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ink/ink1.xml" ContentType="application/inkml+xml"/>
  <Override PartName="/word/ink/ink2.xml" ContentType="application/inkml+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header21.xml" ContentType="application/vnd.openxmlformats-officedocument.wordprocessingml.header+xml"/>
  <Override PartName="/word/footer162.xml" ContentType="application/vnd.openxmlformats-officedocument.wordprocessingml.footer+xml"/>
  <Override PartName="/word/header22.xml" ContentType="application/vnd.openxmlformats-officedocument.wordprocessingml.header+xml"/>
  <Override PartName="/word/footer163.xml" ContentType="application/vnd.openxmlformats-officedocument.wordprocessingml.footer+xml"/>
  <Override PartName="/word/header23.xml" ContentType="application/vnd.openxmlformats-officedocument.wordprocessingml.header+xml"/>
  <Override PartName="/word/footer164.xml" ContentType="application/vnd.openxmlformats-officedocument.wordprocessingml.footer+xml"/>
  <Override PartName="/word/header24.xml" ContentType="application/vnd.openxmlformats-officedocument.wordprocessingml.header+xml"/>
  <Override PartName="/word/footer16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8D63E" w14:textId="77777777" w:rsidR="00382CF2" w:rsidRDefault="00054989">
      <w:pPr>
        <w:spacing w:before="120" w:after="120" w:line="276" w:lineRule="auto"/>
        <w:jc w:val="both"/>
        <w:rPr>
          <w:rFonts w:ascii="Calibri" w:eastAsia="SimSun" w:hAnsi="Calibri" w:cs="Calibri"/>
          <w:b/>
          <w:sz w:val="22"/>
          <w:szCs w:val="22"/>
          <w:lang w:val="hr-HR"/>
        </w:rPr>
      </w:pPr>
      <w:bookmarkStart w:id="0" w:name="_Hlk128143323"/>
      <w:bookmarkStart w:id="1" w:name="_Hlk98995389"/>
      <w:bookmarkEnd w:id="0"/>
      <w:r>
        <w:rPr>
          <w:rFonts w:ascii="Calibri" w:eastAsia="SimSun" w:hAnsi="Calibri" w:cs="Calibri"/>
          <w:b/>
          <w:sz w:val="22"/>
          <w:szCs w:val="22"/>
          <w:lang w:val="hr-HR"/>
        </w:rPr>
        <w:t xml:space="preserve">                                                                                                                                                                                                                                                                                                                                                                                                                                                                                                                                                                                                                                                                                                                                                                                                                                                                                                                                                                                                                                                                                                                                                                                                                                                                                                                                                                                                                                                                                                                                                                                                                                                                                                                                                                                                                                                                                                                                                                                                                                                                                                                                                                                                                                                                                                                                                                                                                                                                                                                                                                                                                                                                                                                                                                                                                                                                                                                                                                                                                                                                                                                                                                                                                                                                                                                                                                                                                                                                                                                                                                                                                                                                                                                                                                                                                                                                                                                                                                                                                                                                                                                                                                                                                                                                                                                                                                                                                                                                                                                                                                                                                                                                                                                                                                                                                                                                                                                                                                                                                                                                                                                                                                                                                                                                                                                                                                                                                                                                                                                                                                                                                                                                                                                                                                                                                                                                                                                                                                                                                                                                                                                                                                                                                                                                                                                                                                                                                                                                                                                                                                                                                                                                                                                                                                                                                                                                                                                                                                                                                                                                                                                                                                                                                                                                                                                                                                                                                                                                                                                                                                                                                                                                                                                                                                                                                                                                                                                                                                                                                                                                                                                                                                                                                                                                                                                                                                                                                                                                                                                                                                                                                                                                                                                                                                                                                                                                                                                                                                                                                                                                                                                                                                                                                                                                                                                                                                                                                                                                                                                                                                                                                                                                                                                                                                                                                                                                                                                                                                                                                                                                                                                                                                                                                                                                                                                                                                                                                                                                                                                                                                                                                                                                                                                                                                                                                                                                                                                                                                                                                                                                                                                                                                                                                                                                                                                                                                                                                                                                                                                                                                                                                                                                                                                                                                                                                                                                                                                                                                                                                                                                                                                                                                                                                                                                                                                                                                                                                                                                                                                                                                                                                                                                                                                                                                                                                                                                                                                                                                                                                                                                                                                                                                                                                                                                                                                                                                                                                                                                                                                                                                                                                                                                                                                                                                                                                                                                                                                                                                                                                                                                                                                                                                                                                                                                                                                                                                                                                                                                                                                                                                                                                                                                                                                                                                                                                                                                                                                                                                                                                                                                                                                                                                                                                                                                                                                                                                                                                                                                                                                                                                                                                                                                                                                                                                                                                                                                                                                                                                                                                                                                                                                                                                                                                                                                                                                                                                                                                                                                                                                                                                                                                                                                                                                                                                                                                                                                                                                                                                                                                                                                                                                                                                                                                                                                                                                                                                                                                                                                                                                                                                                                                                                                                                                                                                                                                                                                                                                                                                                                                                                                                                                                                                                                                                                                                                                                                                                                                                                                                                                                                                                                                                                                                                                                                                                                                                                                                                                                                                                                                                                                                                                                                                                                                                                                                                                                                                                                                                                                                                                                                                                                                                                                                                                                                                                                                                                                                                                                                                                                                                                                                                                                                                                                                                                                                                                                                                                                                                                                                                                                                                                                                                                                                                                                                                                                                                                                                                                                                                                                                                                                                                                                                                                                                                                                                                                                                                                                                                                                                                                                                                                                                                                                                                                                                                                                                                                                                                                                                                                                                                                                                                                                                                                                                                                                                                                                                                                                                                                                                                                                                                                                                                                                                                                                                                                                                                                                                                                                                                                                                                                                                                                                                                                                                                                                                                                                                                                                                                                                                                                                                                                                                                                                                                                                                                                                                                                                                                                                                                                                                                                                                                                                                                                                                                                                                                                                                                                                                                                                                                                                                                                                                                                                                                                                                                                                                                                                                                                                                                                                                                                                                                                                                                                                                                                                                                                                                                                                                                                                                                                                                                                                                                                                                                                                                                                                                                                                                                                                                                                                                                                                                              </w:t>
      </w:r>
    </w:p>
    <w:p w14:paraId="1748D63F" w14:textId="0254C32F" w:rsidR="00382CF2" w:rsidRDefault="00054989">
      <w:pPr>
        <w:spacing w:before="120" w:after="120" w:line="276" w:lineRule="auto"/>
        <w:jc w:val="both"/>
      </w:pPr>
      <w:r>
        <w:rPr>
          <w:rStyle w:val="Zadanifontodlomka1"/>
          <w:rFonts w:ascii="Calibri" w:eastAsia="SimSun" w:hAnsi="Calibri" w:cs="Calibri"/>
          <w:noProof/>
          <w:sz w:val="22"/>
          <w:szCs w:val="22"/>
          <w:lang w:val="hr-HR"/>
        </w:rPr>
        <w:drawing>
          <wp:inline distT="0" distB="0" distL="0" distR="0" wp14:anchorId="0920DA8D" wp14:editId="1748D63F">
            <wp:extent cx="2447921" cy="1563953"/>
            <wp:effectExtent l="0" t="0" r="0" b="0"/>
            <wp:docPr id="3" name="Picture 2"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47921" cy="1563953"/>
                    </a:xfrm>
                    <a:prstGeom prst="rect">
                      <a:avLst/>
                    </a:prstGeom>
                    <a:noFill/>
                    <a:ln>
                      <a:noFill/>
                      <a:prstDash/>
                    </a:ln>
                  </pic:spPr>
                </pic:pic>
              </a:graphicData>
            </a:graphic>
          </wp:inline>
        </w:drawing>
      </w:r>
    </w:p>
    <w:p w14:paraId="1748D640" w14:textId="77777777" w:rsidR="00382CF2" w:rsidRDefault="00382CF2">
      <w:pPr>
        <w:spacing w:before="120" w:after="120" w:line="276" w:lineRule="auto"/>
        <w:jc w:val="both"/>
        <w:rPr>
          <w:rFonts w:ascii="Calibri" w:eastAsia="SimSun" w:hAnsi="Calibri" w:cs="Calibri"/>
          <w:b/>
          <w:sz w:val="22"/>
          <w:szCs w:val="22"/>
          <w:lang w:val="hr-HR"/>
        </w:rPr>
      </w:pPr>
    </w:p>
    <w:p w14:paraId="1748D641" w14:textId="77777777" w:rsidR="00382CF2" w:rsidRDefault="00382CF2">
      <w:pPr>
        <w:spacing w:before="120" w:after="120" w:line="276" w:lineRule="auto"/>
        <w:jc w:val="both"/>
        <w:rPr>
          <w:rFonts w:ascii="Calibri" w:eastAsia="SimSun" w:hAnsi="Calibri" w:cs="Calibri"/>
          <w:b/>
          <w:sz w:val="22"/>
          <w:szCs w:val="22"/>
          <w:lang w:val="hr-HR"/>
        </w:rPr>
      </w:pPr>
    </w:p>
    <w:p w14:paraId="1748D642" w14:textId="77777777" w:rsidR="00382CF2" w:rsidRDefault="00382CF2">
      <w:pPr>
        <w:spacing w:before="120" w:after="120" w:line="276" w:lineRule="auto"/>
        <w:jc w:val="both"/>
        <w:rPr>
          <w:rFonts w:ascii="Calibri" w:eastAsia="SimSun" w:hAnsi="Calibri" w:cs="Calibri"/>
          <w:b/>
          <w:sz w:val="22"/>
          <w:szCs w:val="22"/>
          <w:lang w:val="hr-HR"/>
        </w:rPr>
      </w:pPr>
    </w:p>
    <w:p w14:paraId="1748D643" w14:textId="77777777" w:rsidR="00382CF2" w:rsidRDefault="00382CF2">
      <w:pPr>
        <w:spacing w:before="120" w:after="120" w:line="276" w:lineRule="auto"/>
        <w:jc w:val="both"/>
        <w:rPr>
          <w:rFonts w:ascii="Calibri" w:eastAsia="SimSun" w:hAnsi="Calibri" w:cs="Calibri"/>
          <w:b/>
          <w:sz w:val="22"/>
          <w:szCs w:val="22"/>
          <w:lang w:val="hr-HR"/>
        </w:rPr>
      </w:pPr>
    </w:p>
    <w:p w14:paraId="1748D644" w14:textId="77777777" w:rsidR="00382CF2" w:rsidRDefault="00382CF2" w:rsidP="0003144F">
      <w:pPr>
        <w:spacing w:before="120" w:after="120" w:line="276" w:lineRule="auto"/>
        <w:jc w:val="center"/>
        <w:rPr>
          <w:rFonts w:ascii="Calibri" w:eastAsia="SimSun" w:hAnsi="Calibri" w:cs="Calibri"/>
          <w:b/>
          <w:sz w:val="22"/>
          <w:szCs w:val="22"/>
          <w:lang w:val="hr-HR"/>
        </w:rPr>
      </w:pPr>
    </w:p>
    <w:p w14:paraId="1748D645" w14:textId="77777777" w:rsidR="00382CF2" w:rsidRDefault="00382CF2">
      <w:pPr>
        <w:spacing w:before="120" w:after="120" w:line="276" w:lineRule="auto"/>
        <w:jc w:val="both"/>
        <w:rPr>
          <w:rFonts w:ascii="Calibri" w:eastAsia="SimSun" w:hAnsi="Calibri" w:cs="Calibri"/>
          <w:b/>
          <w:sz w:val="22"/>
          <w:szCs w:val="22"/>
          <w:lang w:val="hr-HR"/>
        </w:rPr>
      </w:pPr>
    </w:p>
    <w:p w14:paraId="1748D646" w14:textId="77777777" w:rsidR="00382CF2" w:rsidRDefault="00382CF2">
      <w:pPr>
        <w:spacing w:before="120" w:after="120" w:line="276" w:lineRule="auto"/>
        <w:jc w:val="both"/>
        <w:rPr>
          <w:rFonts w:ascii="Calibri" w:eastAsia="SimSun" w:hAnsi="Calibri" w:cs="Calibri"/>
          <w:b/>
          <w:sz w:val="22"/>
          <w:szCs w:val="22"/>
          <w:lang w:val="hr-HR"/>
        </w:rPr>
      </w:pPr>
    </w:p>
    <w:p w14:paraId="1748D647" w14:textId="77777777" w:rsidR="00382CF2" w:rsidRDefault="00382CF2">
      <w:pPr>
        <w:spacing w:before="120" w:after="120" w:line="276" w:lineRule="auto"/>
        <w:jc w:val="both"/>
        <w:rPr>
          <w:rFonts w:ascii="Calibri" w:eastAsia="SimSun" w:hAnsi="Calibri" w:cs="Calibri"/>
          <w:b/>
          <w:sz w:val="28"/>
          <w:szCs w:val="28"/>
          <w:lang w:val="hr-HR"/>
        </w:rPr>
      </w:pPr>
    </w:p>
    <w:p w14:paraId="1748D648" w14:textId="77777777" w:rsidR="00382CF2" w:rsidRDefault="00054989">
      <w:pPr>
        <w:spacing w:before="120" w:after="120" w:line="276" w:lineRule="auto"/>
        <w:jc w:val="both"/>
        <w:rPr>
          <w:rFonts w:ascii="Calibri" w:eastAsia="SimSun" w:hAnsi="Calibri" w:cs="Calibri"/>
          <w:b/>
          <w:sz w:val="28"/>
          <w:szCs w:val="28"/>
          <w:lang w:val="hr-HR"/>
        </w:rPr>
      </w:pPr>
      <w:r>
        <w:rPr>
          <w:rFonts w:ascii="Calibri" w:eastAsia="SimSun" w:hAnsi="Calibri" w:cs="Calibri"/>
          <w:b/>
          <w:sz w:val="28"/>
          <w:szCs w:val="28"/>
          <w:lang w:val="hr-HR"/>
        </w:rPr>
        <w:t>GODIŠNJE IZVJEŠĆE</w:t>
      </w:r>
    </w:p>
    <w:p w14:paraId="1748D649" w14:textId="77777777" w:rsidR="00382CF2" w:rsidRDefault="00054989">
      <w:pPr>
        <w:spacing w:before="120" w:after="120" w:line="276" w:lineRule="auto"/>
        <w:jc w:val="both"/>
        <w:rPr>
          <w:rFonts w:ascii="Calibri" w:eastAsia="SimSun" w:hAnsi="Calibri" w:cs="Calibri"/>
          <w:b/>
          <w:sz w:val="28"/>
          <w:szCs w:val="28"/>
          <w:lang w:val="hr-HR"/>
        </w:rPr>
      </w:pPr>
      <w:r>
        <w:rPr>
          <w:rFonts w:ascii="Calibri" w:eastAsia="SimSun" w:hAnsi="Calibri" w:cs="Calibri"/>
          <w:b/>
          <w:sz w:val="28"/>
          <w:szCs w:val="28"/>
          <w:lang w:val="hr-HR"/>
        </w:rPr>
        <w:t>GRUPE HRVATSKA BANKA ZA OBNOVU I RAZVITAK</w:t>
      </w:r>
    </w:p>
    <w:p w14:paraId="1748D64A" w14:textId="77777777" w:rsidR="00382CF2" w:rsidRDefault="00054989">
      <w:pPr>
        <w:spacing w:before="120" w:after="120" w:line="276" w:lineRule="auto"/>
        <w:jc w:val="both"/>
        <w:rPr>
          <w:rFonts w:ascii="Calibri" w:eastAsia="SimSun" w:hAnsi="Calibri" w:cs="Calibri"/>
          <w:b/>
          <w:sz w:val="28"/>
          <w:szCs w:val="28"/>
          <w:lang w:val="hr-HR"/>
        </w:rPr>
      </w:pPr>
      <w:r>
        <w:rPr>
          <w:rFonts w:ascii="Calibri" w:eastAsia="SimSun" w:hAnsi="Calibri" w:cs="Calibri"/>
          <w:b/>
          <w:sz w:val="28"/>
          <w:szCs w:val="28"/>
          <w:lang w:val="hr-HR"/>
        </w:rPr>
        <w:t>ZA 2022. GODINU</w:t>
      </w:r>
    </w:p>
    <w:p w14:paraId="1748D64B" w14:textId="77777777" w:rsidR="00382CF2" w:rsidRDefault="00382CF2">
      <w:pPr>
        <w:spacing w:before="120" w:after="120" w:line="276" w:lineRule="auto"/>
        <w:jc w:val="both"/>
        <w:rPr>
          <w:rFonts w:ascii="Calibri" w:eastAsia="SimSun" w:hAnsi="Calibri" w:cs="Calibri"/>
          <w:b/>
          <w:sz w:val="22"/>
          <w:szCs w:val="22"/>
          <w:lang w:val="hr-HR"/>
        </w:rPr>
      </w:pPr>
    </w:p>
    <w:p w14:paraId="1748D64C" w14:textId="77777777" w:rsidR="00382CF2" w:rsidRDefault="00382CF2">
      <w:pPr>
        <w:spacing w:before="120" w:after="120" w:line="276" w:lineRule="auto"/>
        <w:jc w:val="both"/>
        <w:rPr>
          <w:rFonts w:ascii="Calibri" w:eastAsia="SimSun" w:hAnsi="Calibri" w:cs="Calibri"/>
          <w:b/>
          <w:sz w:val="22"/>
          <w:szCs w:val="22"/>
          <w:lang w:val="hr-HR"/>
        </w:rPr>
      </w:pPr>
    </w:p>
    <w:p w14:paraId="1748D64D" w14:textId="77777777" w:rsidR="00382CF2" w:rsidRDefault="00382CF2">
      <w:pPr>
        <w:spacing w:before="120" w:after="120" w:line="276" w:lineRule="auto"/>
        <w:jc w:val="both"/>
        <w:rPr>
          <w:rFonts w:ascii="Calibri" w:eastAsia="SimSun" w:hAnsi="Calibri" w:cs="Calibri"/>
          <w:b/>
          <w:sz w:val="22"/>
          <w:szCs w:val="22"/>
          <w:lang w:val="hr-HR"/>
        </w:rPr>
      </w:pPr>
    </w:p>
    <w:p w14:paraId="1748D64E" w14:textId="77777777" w:rsidR="00382CF2" w:rsidRDefault="00382CF2">
      <w:pPr>
        <w:spacing w:before="120" w:after="120" w:line="276" w:lineRule="auto"/>
        <w:jc w:val="both"/>
        <w:rPr>
          <w:rFonts w:ascii="Calibri" w:eastAsia="SimSun" w:hAnsi="Calibri" w:cs="Calibri"/>
          <w:b/>
          <w:sz w:val="22"/>
          <w:szCs w:val="22"/>
          <w:lang w:val="hr-HR"/>
        </w:rPr>
      </w:pPr>
    </w:p>
    <w:p w14:paraId="1748D64F" w14:textId="77777777" w:rsidR="00382CF2" w:rsidRDefault="00382CF2">
      <w:pPr>
        <w:spacing w:before="120" w:after="120" w:line="276" w:lineRule="auto"/>
        <w:jc w:val="both"/>
        <w:rPr>
          <w:rFonts w:ascii="Calibri" w:eastAsia="SimSun" w:hAnsi="Calibri" w:cs="Calibri"/>
          <w:b/>
          <w:sz w:val="22"/>
          <w:szCs w:val="22"/>
          <w:lang w:val="hr-HR"/>
        </w:rPr>
      </w:pPr>
    </w:p>
    <w:p w14:paraId="1748D650" w14:textId="77777777" w:rsidR="00382CF2" w:rsidRDefault="00382CF2">
      <w:pPr>
        <w:spacing w:before="120" w:after="120" w:line="276" w:lineRule="auto"/>
        <w:jc w:val="both"/>
        <w:rPr>
          <w:rFonts w:ascii="Calibri" w:eastAsia="SimSun" w:hAnsi="Calibri" w:cs="Calibri"/>
          <w:b/>
          <w:sz w:val="22"/>
          <w:szCs w:val="22"/>
          <w:lang w:val="hr-HR"/>
        </w:rPr>
      </w:pPr>
    </w:p>
    <w:p w14:paraId="1748D651" w14:textId="77777777" w:rsidR="00382CF2" w:rsidRDefault="00382CF2">
      <w:pPr>
        <w:spacing w:before="120" w:after="120" w:line="276" w:lineRule="auto"/>
        <w:jc w:val="both"/>
        <w:rPr>
          <w:rFonts w:ascii="Calibri" w:eastAsia="SimSun" w:hAnsi="Calibri" w:cs="Calibri"/>
          <w:b/>
          <w:sz w:val="22"/>
          <w:szCs w:val="22"/>
          <w:lang w:val="hr-HR"/>
        </w:rPr>
      </w:pPr>
    </w:p>
    <w:p w14:paraId="1748D652" w14:textId="77777777" w:rsidR="00382CF2" w:rsidRDefault="00382CF2">
      <w:pPr>
        <w:spacing w:before="120" w:after="120" w:line="276" w:lineRule="auto"/>
        <w:jc w:val="both"/>
        <w:rPr>
          <w:rFonts w:ascii="Calibri" w:eastAsia="SimSun" w:hAnsi="Calibri" w:cs="Calibri"/>
          <w:b/>
          <w:sz w:val="22"/>
          <w:szCs w:val="22"/>
          <w:lang w:val="hr-HR"/>
        </w:rPr>
      </w:pPr>
    </w:p>
    <w:p w14:paraId="1748D653" w14:textId="77777777" w:rsidR="00382CF2" w:rsidRDefault="00382CF2">
      <w:pPr>
        <w:spacing w:before="120" w:after="120" w:line="276" w:lineRule="auto"/>
        <w:jc w:val="both"/>
        <w:rPr>
          <w:rFonts w:ascii="Calibri" w:eastAsia="SimSun" w:hAnsi="Calibri" w:cs="Calibri"/>
          <w:b/>
          <w:sz w:val="22"/>
          <w:szCs w:val="22"/>
          <w:lang w:val="hr-HR"/>
        </w:rPr>
      </w:pPr>
    </w:p>
    <w:p w14:paraId="1748D654" w14:textId="77777777" w:rsidR="00382CF2" w:rsidRDefault="00382CF2">
      <w:pPr>
        <w:spacing w:before="120" w:after="120" w:line="276" w:lineRule="auto"/>
        <w:jc w:val="both"/>
        <w:rPr>
          <w:rFonts w:ascii="Calibri" w:eastAsia="SimSun" w:hAnsi="Calibri" w:cs="Calibri"/>
          <w:b/>
          <w:sz w:val="22"/>
          <w:szCs w:val="22"/>
          <w:lang w:val="hr-HR"/>
        </w:rPr>
      </w:pPr>
    </w:p>
    <w:p w14:paraId="1748D655" w14:textId="77777777" w:rsidR="00382CF2" w:rsidRDefault="00382CF2">
      <w:pPr>
        <w:spacing w:before="120" w:after="120" w:line="276" w:lineRule="auto"/>
        <w:jc w:val="both"/>
        <w:rPr>
          <w:rFonts w:ascii="Calibri" w:eastAsia="SimSun" w:hAnsi="Calibri" w:cs="Calibri"/>
          <w:b/>
          <w:sz w:val="22"/>
          <w:szCs w:val="22"/>
          <w:lang w:val="hr-HR"/>
        </w:rPr>
      </w:pPr>
    </w:p>
    <w:p w14:paraId="1748D656" w14:textId="2CD152F2"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Zagreb, </w:t>
      </w:r>
      <w:r w:rsidR="00E9699B">
        <w:rPr>
          <w:rFonts w:ascii="Calibri" w:eastAsia="SimSun" w:hAnsi="Calibri" w:cs="Calibri"/>
          <w:sz w:val="22"/>
          <w:szCs w:val="22"/>
          <w:lang w:val="hr-HR"/>
        </w:rPr>
        <w:t xml:space="preserve">ožujak </w:t>
      </w:r>
      <w:r>
        <w:rPr>
          <w:rFonts w:ascii="Calibri" w:eastAsia="SimSun" w:hAnsi="Calibri" w:cs="Calibri"/>
          <w:sz w:val="22"/>
          <w:szCs w:val="22"/>
          <w:lang w:val="hr-HR"/>
        </w:rPr>
        <w:t>2023.</w:t>
      </w:r>
    </w:p>
    <w:p w14:paraId="2D89DA8E" w14:textId="77777777" w:rsidR="001F1E10" w:rsidRDefault="001F1E10">
      <w:pPr>
        <w:suppressAutoHyphens w:val="0"/>
        <w:rPr>
          <w:rFonts w:ascii="Calibri" w:eastAsia="SimSun" w:hAnsi="Calibri" w:cs="Calibri"/>
          <w:b/>
          <w:sz w:val="22"/>
          <w:szCs w:val="22"/>
          <w:lang w:val="hr-HR"/>
        </w:rPr>
      </w:pPr>
      <w:r>
        <w:rPr>
          <w:rFonts w:ascii="Calibri" w:eastAsia="SimSun" w:hAnsi="Calibri" w:cs="Calibri"/>
          <w:b/>
          <w:sz w:val="22"/>
          <w:szCs w:val="22"/>
          <w:lang w:val="hr-HR"/>
        </w:rPr>
        <w:br w:type="page"/>
      </w:r>
    </w:p>
    <w:p w14:paraId="1748D658" w14:textId="7950D860" w:rsidR="00382CF2" w:rsidRDefault="00054989">
      <w:pPr>
        <w:spacing w:before="120" w:after="120" w:line="360" w:lineRule="auto"/>
        <w:jc w:val="both"/>
        <w:rPr>
          <w:rFonts w:ascii="Calibri" w:eastAsia="SimSun" w:hAnsi="Calibri" w:cs="Calibri"/>
          <w:b/>
          <w:sz w:val="22"/>
          <w:szCs w:val="22"/>
          <w:lang w:val="hr-HR"/>
        </w:rPr>
      </w:pPr>
      <w:r>
        <w:rPr>
          <w:rFonts w:ascii="Calibri" w:eastAsia="SimSun" w:hAnsi="Calibri" w:cs="Calibri"/>
          <w:b/>
          <w:sz w:val="22"/>
          <w:szCs w:val="22"/>
          <w:lang w:val="hr-HR"/>
        </w:rPr>
        <w:lastRenderedPageBreak/>
        <w:t>SADRŽAJ</w:t>
      </w:r>
    </w:p>
    <w:bookmarkStart w:id="2" w:name="_Toc3249199"/>
    <w:bookmarkStart w:id="3" w:name="_Hlk127190481"/>
    <w:p w14:paraId="1E014C97" w14:textId="2FF5E207" w:rsidR="00F408C1" w:rsidRDefault="00E45A39">
      <w:pPr>
        <w:pStyle w:val="TOC1"/>
        <w:rPr>
          <w:rFonts w:eastAsiaTheme="minorEastAsia" w:cstheme="minorBidi"/>
          <w:noProof/>
          <w:szCs w:val="22"/>
          <w:lang w:val="hr-HR" w:eastAsia="hr-HR"/>
        </w:rPr>
      </w:pPr>
      <w:r>
        <w:fldChar w:fldCharType="begin"/>
      </w:r>
      <w:r>
        <w:instrText xml:space="preserve"> TOC \o "1-3" \h \z \u </w:instrText>
      </w:r>
      <w:r>
        <w:fldChar w:fldCharType="separate"/>
      </w:r>
      <w:hyperlink w:anchor="_Toc129083697" w:history="1">
        <w:r w:rsidR="00F408C1" w:rsidRPr="0016058D">
          <w:rPr>
            <w:rStyle w:val="Hyperlink"/>
            <w:rFonts w:ascii="Calibri" w:eastAsia="SimHei" w:hAnsi="Calibri" w:cs="Calibri"/>
            <w:b/>
            <w:bCs/>
            <w:noProof/>
            <w:lang w:val="hr-HR"/>
          </w:rPr>
          <w:t>IZJAVA OSOBA ODGOVORNIH ZA SASTAVLJANJE GODIŠNJEG IZVJEŠĆA</w:t>
        </w:r>
        <w:r w:rsidR="00F408C1">
          <w:rPr>
            <w:noProof/>
            <w:webHidden/>
          </w:rPr>
          <w:tab/>
        </w:r>
        <w:r w:rsidR="00F408C1">
          <w:rPr>
            <w:noProof/>
            <w:webHidden/>
          </w:rPr>
          <w:fldChar w:fldCharType="begin"/>
        </w:r>
        <w:r w:rsidR="00F408C1">
          <w:rPr>
            <w:noProof/>
            <w:webHidden/>
          </w:rPr>
          <w:instrText xml:space="preserve"> PAGEREF _Toc129083697 \h </w:instrText>
        </w:r>
        <w:r w:rsidR="00F408C1">
          <w:rPr>
            <w:noProof/>
            <w:webHidden/>
          </w:rPr>
        </w:r>
        <w:r w:rsidR="00F408C1">
          <w:rPr>
            <w:noProof/>
            <w:webHidden/>
          </w:rPr>
          <w:fldChar w:fldCharType="separate"/>
        </w:r>
        <w:r w:rsidR="00117AFB">
          <w:rPr>
            <w:noProof/>
            <w:webHidden/>
          </w:rPr>
          <w:t>3</w:t>
        </w:r>
        <w:r w:rsidR="00F408C1">
          <w:rPr>
            <w:noProof/>
            <w:webHidden/>
          </w:rPr>
          <w:fldChar w:fldCharType="end"/>
        </w:r>
      </w:hyperlink>
    </w:p>
    <w:p w14:paraId="32E3F1FB" w14:textId="3D67C29E" w:rsidR="00F408C1" w:rsidRDefault="00000000">
      <w:pPr>
        <w:pStyle w:val="TOC1"/>
        <w:rPr>
          <w:rFonts w:eastAsiaTheme="minorEastAsia" w:cstheme="minorBidi"/>
          <w:noProof/>
          <w:szCs w:val="22"/>
          <w:lang w:val="hr-HR" w:eastAsia="hr-HR"/>
        </w:rPr>
      </w:pPr>
      <w:hyperlink w:anchor="_Toc129083698" w:history="1">
        <w:r w:rsidR="00F408C1" w:rsidRPr="0016058D">
          <w:rPr>
            <w:rStyle w:val="Hyperlink"/>
            <w:rFonts w:ascii="Calibri" w:eastAsia="SimHei" w:hAnsi="Calibri" w:cs="Calibri"/>
            <w:b/>
            <w:bCs/>
            <w:noProof/>
            <w:lang w:val="hr-HR"/>
          </w:rPr>
          <w:t>IZVJEŠĆE POSLOVODSTVA ZA 2022. GODINU</w:t>
        </w:r>
        <w:r w:rsidR="00F408C1">
          <w:rPr>
            <w:noProof/>
            <w:webHidden/>
          </w:rPr>
          <w:tab/>
        </w:r>
        <w:r w:rsidR="00F408C1">
          <w:rPr>
            <w:noProof/>
            <w:webHidden/>
          </w:rPr>
          <w:fldChar w:fldCharType="begin"/>
        </w:r>
        <w:r w:rsidR="00F408C1">
          <w:rPr>
            <w:noProof/>
            <w:webHidden/>
          </w:rPr>
          <w:instrText xml:space="preserve"> PAGEREF _Toc129083698 \h </w:instrText>
        </w:r>
        <w:r w:rsidR="00F408C1">
          <w:rPr>
            <w:noProof/>
            <w:webHidden/>
          </w:rPr>
        </w:r>
        <w:r w:rsidR="00F408C1">
          <w:rPr>
            <w:noProof/>
            <w:webHidden/>
          </w:rPr>
          <w:fldChar w:fldCharType="separate"/>
        </w:r>
        <w:r w:rsidR="00117AFB">
          <w:rPr>
            <w:noProof/>
            <w:webHidden/>
          </w:rPr>
          <w:t>4</w:t>
        </w:r>
        <w:r w:rsidR="00F408C1">
          <w:rPr>
            <w:noProof/>
            <w:webHidden/>
          </w:rPr>
          <w:fldChar w:fldCharType="end"/>
        </w:r>
      </w:hyperlink>
    </w:p>
    <w:p w14:paraId="6DC6FBB4" w14:textId="7335C5E6" w:rsidR="00F408C1" w:rsidRDefault="00000000">
      <w:pPr>
        <w:pStyle w:val="TOC1"/>
        <w:rPr>
          <w:rFonts w:eastAsiaTheme="minorEastAsia" w:cstheme="minorBidi"/>
          <w:noProof/>
          <w:szCs w:val="22"/>
          <w:lang w:val="hr-HR" w:eastAsia="hr-HR"/>
        </w:rPr>
      </w:pPr>
      <w:hyperlink w:anchor="_Toc129083699" w:history="1">
        <w:r w:rsidR="00F408C1" w:rsidRPr="0016058D">
          <w:rPr>
            <w:rStyle w:val="Hyperlink"/>
            <w:rFonts w:ascii="Calibri" w:eastAsia="SimHei" w:hAnsi="Calibri" w:cs="Calibri"/>
            <w:b/>
            <w:bCs/>
            <w:noProof/>
            <w:lang w:val="hr-HR"/>
          </w:rPr>
          <w:t>IZJAVA O PRIMJENI KODEKSA KORPORATIVNOG UPRAVLJANJA</w:t>
        </w:r>
        <w:r w:rsidR="00F408C1">
          <w:rPr>
            <w:noProof/>
            <w:webHidden/>
          </w:rPr>
          <w:tab/>
        </w:r>
        <w:r w:rsidR="00F408C1">
          <w:rPr>
            <w:noProof/>
            <w:webHidden/>
          </w:rPr>
          <w:fldChar w:fldCharType="begin"/>
        </w:r>
        <w:r w:rsidR="00F408C1">
          <w:rPr>
            <w:noProof/>
            <w:webHidden/>
          </w:rPr>
          <w:instrText xml:space="preserve"> PAGEREF _Toc129083699 \h </w:instrText>
        </w:r>
        <w:r w:rsidR="00F408C1">
          <w:rPr>
            <w:noProof/>
            <w:webHidden/>
          </w:rPr>
        </w:r>
        <w:r w:rsidR="00F408C1">
          <w:rPr>
            <w:noProof/>
            <w:webHidden/>
          </w:rPr>
          <w:fldChar w:fldCharType="separate"/>
        </w:r>
        <w:r w:rsidR="00117AFB">
          <w:rPr>
            <w:noProof/>
            <w:webHidden/>
          </w:rPr>
          <w:t>6</w:t>
        </w:r>
        <w:r w:rsidR="00F408C1">
          <w:rPr>
            <w:noProof/>
            <w:webHidden/>
          </w:rPr>
          <w:fldChar w:fldCharType="end"/>
        </w:r>
      </w:hyperlink>
    </w:p>
    <w:p w14:paraId="05B31A36" w14:textId="25653E25" w:rsidR="00F408C1" w:rsidRDefault="00000000">
      <w:pPr>
        <w:pStyle w:val="TOC1"/>
        <w:rPr>
          <w:rFonts w:eastAsiaTheme="minorEastAsia" w:cstheme="minorBidi"/>
          <w:noProof/>
          <w:szCs w:val="22"/>
          <w:lang w:val="hr-HR" w:eastAsia="hr-HR"/>
        </w:rPr>
      </w:pPr>
      <w:hyperlink w:anchor="_Toc129083700" w:history="1">
        <w:r w:rsidR="00F408C1" w:rsidRPr="0016058D">
          <w:rPr>
            <w:rStyle w:val="Hyperlink"/>
            <w:rFonts w:ascii="Calibri" w:eastAsia="SimHei" w:hAnsi="Calibri" w:cs="Calibri"/>
            <w:b/>
            <w:bCs/>
            <w:noProof/>
            <w:lang w:val="hr-HR"/>
          </w:rPr>
          <w:t>30 GODINA HBOR-a</w:t>
        </w:r>
        <w:r w:rsidR="00F408C1">
          <w:rPr>
            <w:noProof/>
            <w:webHidden/>
          </w:rPr>
          <w:tab/>
        </w:r>
        <w:r w:rsidR="00F408C1">
          <w:rPr>
            <w:noProof/>
            <w:webHidden/>
          </w:rPr>
          <w:fldChar w:fldCharType="begin"/>
        </w:r>
        <w:r w:rsidR="00F408C1">
          <w:rPr>
            <w:noProof/>
            <w:webHidden/>
          </w:rPr>
          <w:instrText xml:space="preserve"> PAGEREF _Toc129083700 \h </w:instrText>
        </w:r>
        <w:r w:rsidR="00F408C1">
          <w:rPr>
            <w:noProof/>
            <w:webHidden/>
          </w:rPr>
        </w:r>
        <w:r w:rsidR="00F408C1">
          <w:rPr>
            <w:noProof/>
            <w:webHidden/>
          </w:rPr>
          <w:fldChar w:fldCharType="separate"/>
        </w:r>
        <w:r w:rsidR="00117AFB">
          <w:rPr>
            <w:noProof/>
            <w:webHidden/>
          </w:rPr>
          <w:t>10</w:t>
        </w:r>
        <w:r w:rsidR="00F408C1">
          <w:rPr>
            <w:noProof/>
            <w:webHidden/>
          </w:rPr>
          <w:fldChar w:fldCharType="end"/>
        </w:r>
      </w:hyperlink>
    </w:p>
    <w:p w14:paraId="430139CC" w14:textId="06F152E3" w:rsidR="00F408C1" w:rsidRDefault="00000000">
      <w:pPr>
        <w:pStyle w:val="TOC1"/>
        <w:rPr>
          <w:rFonts w:eastAsiaTheme="minorEastAsia" w:cstheme="minorBidi"/>
          <w:noProof/>
          <w:szCs w:val="22"/>
          <w:lang w:val="hr-HR" w:eastAsia="hr-HR"/>
        </w:rPr>
      </w:pPr>
      <w:hyperlink w:anchor="_Toc129083701" w:history="1">
        <w:r w:rsidR="00F408C1" w:rsidRPr="0016058D">
          <w:rPr>
            <w:rStyle w:val="Hyperlink"/>
            <w:rFonts w:ascii="Calibri" w:eastAsia="SimHei" w:hAnsi="Calibri" w:cs="Calibri"/>
            <w:b/>
            <w:bCs/>
            <w:noProof/>
            <w:lang w:val="hr-HR"/>
          </w:rPr>
          <w:t>OPIS POSLOVANJA GRUPE HRVATSKA BANKA ZA OBNOVU I RAZVITAK U 2022. GODINI</w:t>
        </w:r>
        <w:r w:rsidR="00F408C1">
          <w:rPr>
            <w:noProof/>
            <w:webHidden/>
          </w:rPr>
          <w:tab/>
        </w:r>
        <w:r w:rsidR="00F408C1">
          <w:rPr>
            <w:noProof/>
            <w:webHidden/>
          </w:rPr>
          <w:fldChar w:fldCharType="begin"/>
        </w:r>
        <w:r w:rsidR="00F408C1">
          <w:rPr>
            <w:noProof/>
            <w:webHidden/>
          </w:rPr>
          <w:instrText xml:space="preserve"> PAGEREF _Toc129083701 \h </w:instrText>
        </w:r>
        <w:r w:rsidR="00F408C1">
          <w:rPr>
            <w:noProof/>
            <w:webHidden/>
          </w:rPr>
        </w:r>
        <w:r w:rsidR="00F408C1">
          <w:rPr>
            <w:noProof/>
            <w:webHidden/>
          </w:rPr>
          <w:fldChar w:fldCharType="separate"/>
        </w:r>
        <w:r w:rsidR="00117AFB">
          <w:rPr>
            <w:noProof/>
            <w:webHidden/>
          </w:rPr>
          <w:t>11</w:t>
        </w:r>
        <w:r w:rsidR="00F408C1">
          <w:rPr>
            <w:noProof/>
            <w:webHidden/>
          </w:rPr>
          <w:fldChar w:fldCharType="end"/>
        </w:r>
      </w:hyperlink>
    </w:p>
    <w:p w14:paraId="21131915" w14:textId="3528CE4B" w:rsidR="00F408C1" w:rsidRDefault="00000000">
      <w:pPr>
        <w:pStyle w:val="TOC1"/>
        <w:rPr>
          <w:rFonts w:eastAsiaTheme="minorEastAsia" w:cstheme="minorBidi"/>
          <w:noProof/>
          <w:szCs w:val="22"/>
          <w:lang w:val="hr-HR" w:eastAsia="hr-HR"/>
        </w:rPr>
      </w:pPr>
      <w:hyperlink w:anchor="_Toc129083702" w:history="1">
        <w:r w:rsidR="00F408C1" w:rsidRPr="0016058D">
          <w:rPr>
            <w:rStyle w:val="Hyperlink"/>
            <w:rFonts w:ascii="Calibri" w:eastAsia="SimHei" w:hAnsi="Calibri" w:cs="Calibri"/>
            <w:b/>
            <w:bCs/>
            <w:noProof/>
            <w:lang w:val="hr-HR"/>
          </w:rPr>
          <w:t>POSLOVANJE HRVATSKE BANKE ZA OBNOVU I RAZVITAK</w:t>
        </w:r>
        <w:r w:rsidR="00F408C1">
          <w:rPr>
            <w:noProof/>
            <w:webHidden/>
          </w:rPr>
          <w:tab/>
        </w:r>
        <w:r w:rsidR="00F408C1">
          <w:rPr>
            <w:noProof/>
            <w:webHidden/>
          </w:rPr>
          <w:fldChar w:fldCharType="begin"/>
        </w:r>
        <w:r w:rsidR="00F408C1">
          <w:rPr>
            <w:noProof/>
            <w:webHidden/>
          </w:rPr>
          <w:instrText xml:space="preserve"> PAGEREF _Toc129083702 \h </w:instrText>
        </w:r>
        <w:r w:rsidR="00F408C1">
          <w:rPr>
            <w:noProof/>
            <w:webHidden/>
          </w:rPr>
        </w:r>
        <w:r w:rsidR="00F408C1">
          <w:rPr>
            <w:noProof/>
            <w:webHidden/>
          </w:rPr>
          <w:fldChar w:fldCharType="separate"/>
        </w:r>
        <w:r w:rsidR="00117AFB">
          <w:rPr>
            <w:noProof/>
            <w:webHidden/>
          </w:rPr>
          <w:t>11</w:t>
        </w:r>
        <w:r w:rsidR="00F408C1">
          <w:rPr>
            <w:noProof/>
            <w:webHidden/>
          </w:rPr>
          <w:fldChar w:fldCharType="end"/>
        </w:r>
      </w:hyperlink>
    </w:p>
    <w:p w14:paraId="74B60987" w14:textId="13B0C9CF" w:rsidR="00F408C1" w:rsidRDefault="00000000">
      <w:pPr>
        <w:pStyle w:val="TOC1"/>
        <w:rPr>
          <w:rFonts w:eastAsiaTheme="minorEastAsia" w:cstheme="minorBidi"/>
          <w:noProof/>
          <w:szCs w:val="22"/>
          <w:lang w:val="hr-HR" w:eastAsia="hr-HR"/>
        </w:rPr>
      </w:pPr>
      <w:hyperlink w:anchor="_Toc129083703" w:history="1">
        <w:r w:rsidR="00F408C1" w:rsidRPr="0016058D">
          <w:rPr>
            <w:rStyle w:val="Hyperlink"/>
            <w:rFonts w:ascii="Calibri" w:eastAsia="SimHei" w:hAnsi="Calibri" w:cs="Calibri"/>
            <w:b/>
            <w:bCs/>
            <w:noProof/>
            <w:lang w:val="hr-HR"/>
          </w:rPr>
          <w:t>UVEDENE NOVE MJERE I PROIZVODI</w:t>
        </w:r>
        <w:r w:rsidR="00F408C1">
          <w:rPr>
            <w:noProof/>
            <w:webHidden/>
          </w:rPr>
          <w:tab/>
        </w:r>
        <w:r w:rsidR="00F408C1">
          <w:rPr>
            <w:noProof/>
            <w:webHidden/>
          </w:rPr>
          <w:fldChar w:fldCharType="begin"/>
        </w:r>
        <w:r w:rsidR="00F408C1">
          <w:rPr>
            <w:noProof/>
            <w:webHidden/>
          </w:rPr>
          <w:instrText xml:space="preserve"> PAGEREF _Toc129083703 \h </w:instrText>
        </w:r>
        <w:r w:rsidR="00F408C1">
          <w:rPr>
            <w:noProof/>
            <w:webHidden/>
          </w:rPr>
        </w:r>
        <w:r w:rsidR="00F408C1">
          <w:rPr>
            <w:noProof/>
            <w:webHidden/>
          </w:rPr>
          <w:fldChar w:fldCharType="separate"/>
        </w:r>
        <w:r w:rsidR="00117AFB">
          <w:rPr>
            <w:noProof/>
            <w:webHidden/>
          </w:rPr>
          <w:t>14</w:t>
        </w:r>
        <w:r w:rsidR="00F408C1">
          <w:rPr>
            <w:noProof/>
            <w:webHidden/>
          </w:rPr>
          <w:fldChar w:fldCharType="end"/>
        </w:r>
      </w:hyperlink>
    </w:p>
    <w:p w14:paraId="06986427" w14:textId="67EA6EC2" w:rsidR="00F408C1" w:rsidRDefault="00000000">
      <w:pPr>
        <w:pStyle w:val="TOC2"/>
        <w:rPr>
          <w:rFonts w:eastAsiaTheme="minorEastAsia" w:cstheme="minorBidi"/>
          <w:noProof/>
          <w:sz w:val="22"/>
          <w:szCs w:val="22"/>
          <w:lang w:val="hr-HR" w:eastAsia="hr-HR"/>
        </w:rPr>
      </w:pPr>
      <w:hyperlink w:anchor="_Toc129083704" w:history="1">
        <w:r w:rsidR="00F408C1" w:rsidRPr="0016058D">
          <w:rPr>
            <w:rStyle w:val="Hyperlink"/>
            <w:rFonts w:ascii="Calibri" w:eastAsia="SimSun" w:hAnsi="Calibri" w:cs="Calibri"/>
            <w:b/>
            <w:bCs/>
            <w:noProof/>
            <w:lang w:val="hr-HR"/>
          </w:rPr>
          <w:t>MJERE POMOĆI GOSPODARSTVU NAKON RUSKE AGRESIJE NA UKRAJINU</w:t>
        </w:r>
        <w:r w:rsidR="00F408C1">
          <w:rPr>
            <w:noProof/>
            <w:webHidden/>
          </w:rPr>
          <w:tab/>
        </w:r>
        <w:r w:rsidR="00F408C1">
          <w:rPr>
            <w:noProof/>
            <w:webHidden/>
          </w:rPr>
          <w:fldChar w:fldCharType="begin"/>
        </w:r>
        <w:r w:rsidR="00F408C1">
          <w:rPr>
            <w:noProof/>
            <w:webHidden/>
          </w:rPr>
          <w:instrText xml:space="preserve"> PAGEREF _Toc129083704 \h </w:instrText>
        </w:r>
        <w:r w:rsidR="00F408C1">
          <w:rPr>
            <w:noProof/>
            <w:webHidden/>
          </w:rPr>
        </w:r>
        <w:r w:rsidR="00F408C1">
          <w:rPr>
            <w:noProof/>
            <w:webHidden/>
          </w:rPr>
          <w:fldChar w:fldCharType="separate"/>
        </w:r>
        <w:r w:rsidR="00117AFB">
          <w:rPr>
            <w:noProof/>
            <w:webHidden/>
          </w:rPr>
          <w:t>14</w:t>
        </w:r>
        <w:r w:rsidR="00F408C1">
          <w:rPr>
            <w:noProof/>
            <w:webHidden/>
          </w:rPr>
          <w:fldChar w:fldCharType="end"/>
        </w:r>
      </w:hyperlink>
    </w:p>
    <w:p w14:paraId="1F46D30F" w14:textId="74679B02" w:rsidR="00F408C1" w:rsidRDefault="00000000">
      <w:pPr>
        <w:pStyle w:val="TOC2"/>
        <w:rPr>
          <w:rFonts w:eastAsiaTheme="minorEastAsia" w:cstheme="minorBidi"/>
          <w:noProof/>
          <w:sz w:val="22"/>
          <w:szCs w:val="22"/>
          <w:lang w:val="hr-HR" w:eastAsia="hr-HR"/>
        </w:rPr>
      </w:pPr>
      <w:hyperlink w:anchor="_Toc129083705" w:history="1">
        <w:r w:rsidR="00F408C1" w:rsidRPr="0016058D">
          <w:rPr>
            <w:rStyle w:val="Hyperlink"/>
            <w:rFonts w:ascii="Calibri" w:eastAsia="SimSun" w:hAnsi="Calibri" w:cs="Calibri"/>
            <w:b/>
            <w:bCs/>
            <w:noProof/>
            <w:lang w:val="hr-HR"/>
          </w:rPr>
          <w:t>NACIONALNI PLAN OPORAVKA I OTPORNOSTI</w:t>
        </w:r>
        <w:r w:rsidR="00F408C1">
          <w:rPr>
            <w:noProof/>
            <w:webHidden/>
          </w:rPr>
          <w:tab/>
        </w:r>
        <w:r w:rsidR="00F408C1">
          <w:rPr>
            <w:noProof/>
            <w:webHidden/>
          </w:rPr>
          <w:fldChar w:fldCharType="begin"/>
        </w:r>
        <w:r w:rsidR="00F408C1">
          <w:rPr>
            <w:noProof/>
            <w:webHidden/>
          </w:rPr>
          <w:instrText xml:space="preserve"> PAGEREF _Toc129083705 \h </w:instrText>
        </w:r>
        <w:r w:rsidR="00F408C1">
          <w:rPr>
            <w:noProof/>
            <w:webHidden/>
          </w:rPr>
        </w:r>
        <w:r w:rsidR="00F408C1">
          <w:rPr>
            <w:noProof/>
            <w:webHidden/>
          </w:rPr>
          <w:fldChar w:fldCharType="separate"/>
        </w:r>
        <w:r w:rsidR="00117AFB">
          <w:rPr>
            <w:noProof/>
            <w:webHidden/>
          </w:rPr>
          <w:t>15</w:t>
        </w:r>
        <w:r w:rsidR="00F408C1">
          <w:rPr>
            <w:noProof/>
            <w:webHidden/>
          </w:rPr>
          <w:fldChar w:fldCharType="end"/>
        </w:r>
      </w:hyperlink>
    </w:p>
    <w:p w14:paraId="7B1BA456" w14:textId="6E0F627C" w:rsidR="00F408C1" w:rsidRDefault="00000000">
      <w:pPr>
        <w:pStyle w:val="TOC1"/>
        <w:rPr>
          <w:rFonts w:eastAsiaTheme="minorEastAsia" w:cstheme="minorBidi"/>
          <w:noProof/>
          <w:szCs w:val="22"/>
          <w:lang w:val="hr-HR" w:eastAsia="hr-HR"/>
        </w:rPr>
      </w:pPr>
      <w:hyperlink w:anchor="_Toc129083706" w:history="1">
        <w:r w:rsidR="00F408C1" w:rsidRPr="0016058D">
          <w:rPr>
            <w:rStyle w:val="Hyperlink"/>
            <w:rFonts w:ascii="Calibri" w:eastAsia="SimHei" w:hAnsi="Calibri" w:cs="Calibri"/>
            <w:b/>
            <w:bCs/>
            <w:noProof/>
            <w:lang w:val="hr-HR"/>
          </w:rPr>
          <w:t>PROVEDBA MJERA COVID-19</w:t>
        </w:r>
        <w:r w:rsidR="00F408C1">
          <w:rPr>
            <w:noProof/>
            <w:webHidden/>
          </w:rPr>
          <w:tab/>
        </w:r>
        <w:r w:rsidR="00F408C1">
          <w:rPr>
            <w:noProof/>
            <w:webHidden/>
          </w:rPr>
          <w:fldChar w:fldCharType="begin"/>
        </w:r>
        <w:r w:rsidR="00F408C1">
          <w:rPr>
            <w:noProof/>
            <w:webHidden/>
          </w:rPr>
          <w:instrText xml:space="preserve"> PAGEREF _Toc129083706 \h </w:instrText>
        </w:r>
        <w:r w:rsidR="00F408C1">
          <w:rPr>
            <w:noProof/>
            <w:webHidden/>
          </w:rPr>
        </w:r>
        <w:r w:rsidR="00F408C1">
          <w:rPr>
            <w:noProof/>
            <w:webHidden/>
          </w:rPr>
          <w:fldChar w:fldCharType="separate"/>
        </w:r>
        <w:r w:rsidR="00117AFB">
          <w:rPr>
            <w:noProof/>
            <w:webHidden/>
          </w:rPr>
          <w:t>18</w:t>
        </w:r>
        <w:r w:rsidR="00F408C1">
          <w:rPr>
            <w:noProof/>
            <w:webHidden/>
          </w:rPr>
          <w:fldChar w:fldCharType="end"/>
        </w:r>
      </w:hyperlink>
    </w:p>
    <w:p w14:paraId="6E7C78CA" w14:textId="06443CCC" w:rsidR="00F408C1" w:rsidRDefault="00000000">
      <w:pPr>
        <w:pStyle w:val="TOC1"/>
        <w:rPr>
          <w:rFonts w:eastAsiaTheme="minorEastAsia" w:cstheme="minorBidi"/>
          <w:noProof/>
          <w:szCs w:val="22"/>
          <w:lang w:val="hr-HR" w:eastAsia="hr-HR"/>
        </w:rPr>
      </w:pPr>
      <w:hyperlink w:anchor="_Toc129083707" w:history="1">
        <w:r w:rsidR="00F408C1" w:rsidRPr="0016058D">
          <w:rPr>
            <w:rStyle w:val="Hyperlink"/>
            <w:rFonts w:ascii="Calibri" w:eastAsia="SimHei" w:hAnsi="Calibri" w:cs="Calibri"/>
            <w:b/>
            <w:bCs/>
            <w:noProof/>
            <w:lang w:val="hr-HR"/>
          </w:rPr>
          <w:t>NASTAVAK SURADNJE S JLP(R)S I HAMAG BICRO-om</w:t>
        </w:r>
        <w:r w:rsidR="00F408C1">
          <w:rPr>
            <w:noProof/>
            <w:webHidden/>
          </w:rPr>
          <w:tab/>
        </w:r>
        <w:r w:rsidR="00F408C1">
          <w:rPr>
            <w:noProof/>
            <w:webHidden/>
          </w:rPr>
          <w:fldChar w:fldCharType="begin"/>
        </w:r>
        <w:r w:rsidR="00F408C1">
          <w:rPr>
            <w:noProof/>
            <w:webHidden/>
          </w:rPr>
          <w:instrText xml:space="preserve"> PAGEREF _Toc129083707 \h </w:instrText>
        </w:r>
        <w:r w:rsidR="00F408C1">
          <w:rPr>
            <w:noProof/>
            <w:webHidden/>
          </w:rPr>
        </w:r>
        <w:r w:rsidR="00F408C1">
          <w:rPr>
            <w:noProof/>
            <w:webHidden/>
          </w:rPr>
          <w:fldChar w:fldCharType="separate"/>
        </w:r>
        <w:r w:rsidR="00117AFB">
          <w:rPr>
            <w:noProof/>
            <w:webHidden/>
          </w:rPr>
          <w:t>20</w:t>
        </w:r>
        <w:r w:rsidR="00F408C1">
          <w:rPr>
            <w:noProof/>
            <w:webHidden/>
          </w:rPr>
          <w:fldChar w:fldCharType="end"/>
        </w:r>
      </w:hyperlink>
    </w:p>
    <w:p w14:paraId="3832DFD5" w14:textId="7343B854" w:rsidR="00F408C1" w:rsidRDefault="00000000">
      <w:pPr>
        <w:pStyle w:val="TOC2"/>
        <w:rPr>
          <w:rFonts w:eastAsiaTheme="minorEastAsia" w:cstheme="minorBidi"/>
          <w:noProof/>
          <w:sz w:val="22"/>
          <w:szCs w:val="22"/>
          <w:lang w:val="hr-HR" w:eastAsia="hr-HR"/>
        </w:rPr>
      </w:pPr>
      <w:hyperlink w:anchor="_Toc129083708" w:history="1">
        <w:r w:rsidR="00F408C1" w:rsidRPr="0016058D">
          <w:rPr>
            <w:rStyle w:val="Hyperlink"/>
            <w:rFonts w:ascii="Calibri" w:eastAsia="SimSun" w:hAnsi="Calibri" w:cs="Calibri"/>
            <w:b/>
            <w:bCs/>
            <w:noProof/>
            <w:lang w:val="hr-HR"/>
          </w:rPr>
          <w:t>SUBVENCIJA KAMATNE STOPE U POJEDINIM ŽUPANIJAMA, OPĆINAMA I GRADOVIMA</w:t>
        </w:r>
        <w:r w:rsidR="00F408C1">
          <w:rPr>
            <w:noProof/>
            <w:webHidden/>
          </w:rPr>
          <w:tab/>
        </w:r>
        <w:r w:rsidR="00F408C1">
          <w:rPr>
            <w:noProof/>
            <w:webHidden/>
          </w:rPr>
          <w:fldChar w:fldCharType="begin"/>
        </w:r>
        <w:r w:rsidR="00F408C1">
          <w:rPr>
            <w:noProof/>
            <w:webHidden/>
          </w:rPr>
          <w:instrText xml:space="preserve"> PAGEREF _Toc129083708 \h </w:instrText>
        </w:r>
        <w:r w:rsidR="00F408C1">
          <w:rPr>
            <w:noProof/>
            <w:webHidden/>
          </w:rPr>
        </w:r>
        <w:r w:rsidR="00F408C1">
          <w:rPr>
            <w:noProof/>
            <w:webHidden/>
          </w:rPr>
          <w:fldChar w:fldCharType="separate"/>
        </w:r>
        <w:r w:rsidR="00117AFB">
          <w:rPr>
            <w:noProof/>
            <w:webHidden/>
          </w:rPr>
          <w:t>20</w:t>
        </w:r>
        <w:r w:rsidR="00F408C1">
          <w:rPr>
            <w:noProof/>
            <w:webHidden/>
          </w:rPr>
          <w:fldChar w:fldCharType="end"/>
        </w:r>
      </w:hyperlink>
    </w:p>
    <w:p w14:paraId="12C1D15D" w14:textId="060659BF" w:rsidR="00F408C1" w:rsidRDefault="00000000">
      <w:pPr>
        <w:pStyle w:val="TOC2"/>
        <w:rPr>
          <w:rFonts w:eastAsiaTheme="minorEastAsia" w:cstheme="minorBidi"/>
          <w:noProof/>
          <w:sz w:val="22"/>
          <w:szCs w:val="22"/>
          <w:lang w:val="hr-HR" w:eastAsia="hr-HR"/>
        </w:rPr>
      </w:pPr>
      <w:hyperlink w:anchor="_Toc129083709" w:history="1">
        <w:r w:rsidR="00F408C1" w:rsidRPr="0016058D">
          <w:rPr>
            <w:rStyle w:val="Hyperlink"/>
            <w:rFonts w:ascii="Calibri" w:eastAsia="SimSun" w:hAnsi="Calibri" w:cs="Calibri"/>
            <w:b/>
            <w:bCs/>
            <w:noProof/>
            <w:lang w:val="hr-HR"/>
          </w:rPr>
          <w:t>SURADNJA S HAMAG-BICRO-om</w:t>
        </w:r>
        <w:r w:rsidR="00F408C1">
          <w:rPr>
            <w:noProof/>
            <w:webHidden/>
          </w:rPr>
          <w:tab/>
        </w:r>
        <w:r w:rsidR="00F408C1">
          <w:rPr>
            <w:noProof/>
            <w:webHidden/>
          </w:rPr>
          <w:fldChar w:fldCharType="begin"/>
        </w:r>
        <w:r w:rsidR="00F408C1">
          <w:rPr>
            <w:noProof/>
            <w:webHidden/>
          </w:rPr>
          <w:instrText xml:space="preserve"> PAGEREF _Toc129083709 \h </w:instrText>
        </w:r>
        <w:r w:rsidR="00F408C1">
          <w:rPr>
            <w:noProof/>
            <w:webHidden/>
          </w:rPr>
        </w:r>
        <w:r w:rsidR="00F408C1">
          <w:rPr>
            <w:noProof/>
            <w:webHidden/>
          </w:rPr>
          <w:fldChar w:fldCharType="separate"/>
        </w:r>
        <w:r w:rsidR="00117AFB">
          <w:rPr>
            <w:noProof/>
            <w:webHidden/>
          </w:rPr>
          <w:t>20</w:t>
        </w:r>
        <w:r w:rsidR="00F408C1">
          <w:rPr>
            <w:noProof/>
            <w:webHidden/>
          </w:rPr>
          <w:fldChar w:fldCharType="end"/>
        </w:r>
      </w:hyperlink>
    </w:p>
    <w:p w14:paraId="30898E3D" w14:textId="6B55CEBE" w:rsidR="00F408C1" w:rsidRDefault="00000000">
      <w:pPr>
        <w:pStyle w:val="TOC1"/>
        <w:rPr>
          <w:rFonts w:eastAsiaTheme="minorEastAsia" w:cstheme="minorBidi"/>
          <w:noProof/>
          <w:szCs w:val="22"/>
          <w:lang w:val="hr-HR" w:eastAsia="hr-HR"/>
        </w:rPr>
      </w:pPr>
      <w:hyperlink w:anchor="_Toc129083710" w:history="1">
        <w:r w:rsidR="00F408C1" w:rsidRPr="0016058D">
          <w:rPr>
            <w:rStyle w:val="Hyperlink"/>
            <w:rFonts w:ascii="Calibri" w:eastAsia="SimHei" w:hAnsi="Calibri" w:cs="Calibri"/>
            <w:b/>
            <w:bCs/>
            <w:noProof/>
            <w:lang w:val="hr-HR"/>
          </w:rPr>
          <w:t>EU PROGRAMI I INICIJATIVE</w:t>
        </w:r>
        <w:r w:rsidR="00F408C1">
          <w:rPr>
            <w:noProof/>
            <w:webHidden/>
          </w:rPr>
          <w:tab/>
        </w:r>
        <w:r w:rsidR="00F408C1">
          <w:rPr>
            <w:noProof/>
            <w:webHidden/>
          </w:rPr>
          <w:fldChar w:fldCharType="begin"/>
        </w:r>
        <w:r w:rsidR="00F408C1">
          <w:rPr>
            <w:noProof/>
            <w:webHidden/>
          </w:rPr>
          <w:instrText xml:space="preserve"> PAGEREF _Toc129083710 \h </w:instrText>
        </w:r>
        <w:r w:rsidR="00F408C1">
          <w:rPr>
            <w:noProof/>
            <w:webHidden/>
          </w:rPr>
        </w:r>
        <w:r w:rsidR="00F408C1">
          <w:rPr>
            <w:noProof/>
            <w:webHidden/>
          </w:rPr>
          <w:fldChar w:fldCharType="separate"/>
        </w:r>
        <w:r w:rsidR="00117AFB">
          <w:rPr>
            <w:noProof/>
            <w:webHidden/>
          </w:rPr>
          <w:t>21</w:t>
        </w:r>
        <w:r w:rsidR="00F408C1">
          <w:rPr>
            <w:noProof/>
            <w:webHidden/>
          </w:rPr>
          <w:fldChar w:fldCharType="end"/>
        </w:r>
      </w:hyperlink>
    </w:p>
    <w:p w14:paraId="28228F81" w14:textId="6F413BE4" w:rsidR="00F408C1" w:rsidRDefault="00000000">
      <w:pPr>
        <w:pStyle w:val="TOC2"/>
        <w:rPr>
          <w:rFonts w:eastAsiaTheme="minorEastAsia" w:cstheme="minorBidi"/>
          <w:noProof/>
          <w:sz w:val="22"/>
          <w:szCs w:val="22"/>
          <w:lang w:val="hr-HR" w:eastAsia="hr-HR"/>
        </w:rPr>
      </w:pPr>
      <w:hyperlink w:anchor="_Toc129083711" w:history="1">
        <w:r w:rsidR="00F408C1" w:rsidRPr="0016058D">
          <w:rPr>
            <w:rStyle w:val="Hyperlink"/>
            <w:rFonts w:ascii="Calibri" w:eastAsia="SimSun" w:hAnsi="Calibri" w:cs="Calibri"/>
            <w:b/>
            <w:bCs/>
            <w:noProof/>
            <w:lang w:val="hr-HR"/>
          </w:rPr>
          <w:t>FINANCIJSKI INSTRUMENTI</w:t>
        </w:r>
        <w:r w:rsidR="00F408C1">
          <w:rPr>
            <w:noProof/>
            <w:webHidden/>
          </w:rPr>
          <w:tab/>
        </w:r>
        <w:r w:rsidR="00F408C1">
          <w:rPr>
            <w:noProof/>
            <w:webHidden/>
          </w:rPr>
          <w:fldChar w:fldCharType="begin"/>
        </w:r>
        <w:r w:rsidR="00F408C1">
          <w:rPr>
            <w:noProof/>
            <w:webHidden/>
          </w:rPr>
          <w:instrText xml:space="preserve"> PAGEREF _Toc129083711 \h </w:instrText>
        </w:r>
        <w:r w:rsidR="00F408C1">
          <w:rPr>
            <w:noProof/>
            <w:webHidden/>
          </w:rPr>
        </w:r>
        <w:r w:rsidR="00F408C1">
          <w:rPr>
            <w:noProof/>
            <w:webHidden/>
          </w:rPr>
          <w:fldChar w:fldCharType="separate"/>
        </w:r>
        <w:r w:rsidR="00117AFB">
          <w:rPr>
            <w:noProof/>
            <w:webHidden/>
          </w:rPr>
          <w:t>21</w:t>
        </w:r>
        <w:r w:rsidR="00F408C1">
          <w:rPr>
            <w:noProof/>
            <w:webHidden/>
          </w:rPr>
          <w:fldChar w:fldCharType="end"/>
        </w:r>
      </w:hyperlink>
    </w:p>
    <w:p w14:paraId="50E81D6E" w14:textId="017EAC12" w:rsidR="00F408C1" w:rsidRDefault="00000000">
      <w:pPr>
        <w:pStyle w:val="TOC2"/>
        <w:rPr>
          <w:rFonts w:eastAsiaTheme="minorEastAsia" w:cstheme="minorBidi"/>
          <w:noProof/>
          <w:sz w:val="22"/>
          <w:szCs w:val="22"/>
          <w:lang w:val="hr-HR" w:eastAsia="hr-HR"/>
        </w:rPr>
      </w:pPr>
      <w:hyperlink w:anchor="_Toc129083712" w:history="1">
        <w:r w:rsidR="00F408C1" w:rsidRPr="0016058D">
          <w:rPr>
            <w:rStyle w:val="Hyperlink"/>
            <w:rFonts w:ascii="Calibri" w:eastAsia="SimSun" w:hAnsi="Calibri" w:cs="Calibri"/>
            <w:b/>
            <w:bCs/>
            <w:noProof/>
            <w:lang w:val="hr-HR"/>
          </w:rPr>
          <w:t>JAMSTVA EIF-a IZ PAN-EUROPSKOG JAMSTVENOG FONDA (EGF) – ODOBRAVANJE KREDITA UZ POVOLJNIJE UVJETE RADI UBLAŽAVANJA POSLJEDICA UZROKOVANIH PANDEMIJOM COVID-19</w:t>
        </w:r>
        <w:r w:rsidR="00F408C1">
          <w:rPr>
            <w:noProof/>
            <w:webHidden/>
          </w:rPr>
          <w:tab/>
        </w:r>
        <w:r w:rsidR="00F408C1">
          <w:rPr>
            <w:noProof/>
            <w:webHidden/>
          </w:rPr>
          <w:fldChar w:fldCharType="begin"/>
        </w:r>
        <w:r w:rsidR="00F408C1">
          <w:rPr>
            <w:noProof/>
            <w:webHidden/>
          </w:rPr>
          <w:instrText xml:space="preserve"> PAGEREF _Toc129083712 \h </w:instrText>
        </w:r>
        <w:r w:rsidR="00F408C1">
          <w:rPr>
            <w:noProof/>
            <w:webHidden/>
          </w:rPr>
        </w:r>
        <w:r w:rsidR="00F408C1">
          <w:rPr>
            <w:noProof/>
            <w:webHidden/>
          </w:rPr>
          <w:fldChar w:fldCharType="separate"/>
        </w:r>
        <w:r w:rsidR="00117AFB">
          <w:rPr>
            <w:noProof/>
            <w:webHidden/>
          </w:rPr>
          <w:t>21</w:t>
        </w:r>
        <w:r w:rsidR="00F408C1">
          <w:rPr>
            <w:noProof/>
            <w:webHidden/>
          </w:rPr>
          <w:fldChar w:fldCharType="end"/>
        </w:r>
      </w:hyperlink>
    </w:p>
    <w:p w14:paraId="73BDEF6E" w14:textId="3EAAA015" w:rsidR="00F408C1" w:rsidRDefault="00000000">
      <w:pPr>
        <w:pStyle w:val="TOC2"/>
        <w:rPr>
          <w:rFonts w:eastAsiaTheme="minorEastAsia" w:cstheme="minorBidi"/>
          <w:noProof/>
          <w:sz w:val="22"/>
          <w:szCs w:val="22"/>
          <w:lang w:val="hr-HR" w:eastAsia="hr-HR"/>
        </w:rPr>
      </w:pPr>
      <w:hyperlink w:anchor="_Toc129083713" w:history="1">
        <w:r w:rsidR="00F408C1" w:rsidRPr="0016058D">
          <w:rPr>
            <w:rStyle w:val="Hyperlink"/>
            <w:rFonts w:ascii="Calibri" w:eastAsia="SimSun" w:hAnsi="Calibri" w:cs="Calibri"/>
            <w:b/>
            <w:bCs/>
            <w:noProof/>
            <w:lang w:val="hr-HR"/>
          </w:rPr>
          <w:t>KREDITNA LINIJA ZA FINANCIRANJE PRIRODNOG KAPITALA (</w:t>
        </w:r>
        <w:r w:rsidR="00F408C1" w:rsidRPr="0016058D">
          <w:rPr>
            <w:rStyle w:val="Hyperlink"/>
            <w:rFonts w:ascii="Calibri" w:eastAsia="SimSun" w:hAnsi="Calibri" w:cs="Calibri"/>
            <w:b/>
            <w:bCs/>
            <w:i/>
            <w:iCs/>
            <w:noProof/>
            <w:lang w:val="hr-HR"/>
          </w:rPr>
          <w:t>engl. NATURAL CAPITAL FINANCING FACILITY (NCFF)</w:t>
        </w:r>
        <w:r w:rsidR="00F408C1" w:rsidRPr="0016058D">
          <w:rPr>
            <w:rStyle w:val="Hyperlink"/>
            <w:rFonts w:ascii="Calibri" w:eastAsia="SimSun" w:hAnsi="Calibri" w:cs="Calibri"/>
            <w:b/>
            <w:bCs/>
            <w:noProof/>
            <w:lang w:val="hr-HR"/>
          </w:rPr>
          <w:t>)</w:t>
        </w:r>
        <w:r w:rsidR="00F408C1">
          <w:rPr>
            <w:noProof/>
            <w:webHidden/>
          </w:rPr>
          <w:tab/>
        </w:r>
        <w:r w:rsidR="00F408C1">
          <w:rPr>
            <w:noProof/>
            <w:webHidden/>
          </w:rPr>
          <w:fldChar w:fldCharType="begin"/>
        </w:r>
        <w:r w:rsidR="00F408C1">
          <w:rPr>
            <w:noProof/>
            <w:webHidden/>
          </w:rPr>
          <w:instrText xml:space="preserve"> PAGEREF _Toc129083713 \h </w:instrText>
        </w:r>
        <w:r w:rsidR="00F408C1">
          <w:rPr>
            <w:noProof/>
            <w:webHidden/>
          </w:rPr>
        </w:r>
        <w:r w:rsidR="00F408C1">
          <w:rPr>
            <w:noProof/>
            <w:webHidden/>
          </w:rPr>
          <w:fldChar w:fldCharType="separate"/>
        </w:r>
        <w:r w:rsidR="00117AFB">
          <w:rPr>
            <w:noProof/>
            <w:webHidden/>
          </w:rPr>
          <w:t>21</w:t>
        </w:r>
        <w:r w:rsidR="00F408C1">
          <w:rPr>
            <w:noProof/>
            <w:webHidden/>
          </w:rPr>
          <w:fldChar w:fldCharType="end"/>
        </w:r>
      </w:hyperlink>
    </w:p>
    <w:p w14:paraId="5897536F" w14:textId="5C75898A" w:rsidR="00F408C1" w:rsidRDefault="00000000">
      <w:pPr>
        <w:pStyle w:val="TOC2"/>
        <w:rPr>
          <w:rFonts w:eastAsiaTheme="minorEastAsia" w:cstheme="minorBidi"/>
          <w:noProof/>
          <w:sz w:val="22"/>
          <w:szCs w:val="22"/>
          <w:lang w:val="hr-HR" w:eastAsia="hr-HR"/>
        </w:rPr>
      </w:pPr>
      <w:hyperlink w:anchor="_Toc129083714" w:history="1">
        <w:r w:rsidR="00F408C1" w:rsidRPr="0016058D">
          <w:rPr>
            <w:rStyle w:val="Hyperlink"/>
            <w:rFonts w:ascii="Calibri" w:eastAsia="SimSun" w:hAnsi="Calibri" w:cs="Calibri"/>
            <w:b/>
            <w:bCs/>
            <w:noProof/>
            <w:lang w:val="hr-HR"/>
          </w:rPr>
          <w:t>SAVJETODAVNE USLUGE JAVNOM SEKTORU KROZ EUROPSKI SAVJETODAVNI CENTAR ZA ULAGANJA - EIAH</w:t>
        </w:r>
        <w:r w:rsidR="00F408C1">
          <w:rPr>
            <w:noProof/>
            <w:webHidden/>
          </w:rPr>
          <w:tab/>
        </w:r>
        <w:r w:rsidR="00F408C1">
          <w:rPr>
            <w:noProof/>
            <w:webHidden/>
          </w:rPr>
          <w:fldChar w:fldCharType="begin"/>
        </w:r>
        <w:r w:rsidR="00F408C1">
          <w:rPr>
            <w:noProof/>
            <w:webHidden/>
          </w:rPr>
          <w:instrText xml:space="preserve"> PAGEREF _Toc129083714 \h </w:instrText>
        </w:r>
        <w:r w:rsidR="00F408C1">
          <w:rPr>
            <w:noProof/>
            <w:webHidden/>
          </w:rPr>
        </w:r>
        <w:r w:rsidR="00F408C1">
          <w:rPr>
            <w:noProof/>
            <w:webHidden/>
          </w:rPr>
          <w:fldChar w:fldCharType="separate"/>
        </w:r>
        <w:r w:rsidR="00117AFB">
          <w:rPr>
            <w:noProof/>
            <w:webHidden/>
          </w:rPr>
          <w:t>22</w:t>
        </w:r>
        <w:r w:rsidR="00F408C1">
          <w:rPr>
            <w:noProof/>
            <w:webHidden/>
          </w:rPr>
          <w:fldChar w:fldCharType="end"/>
        </w:r>
      </w:hyperlink>
    </w:p>
    <w:p w14:paraId="4068A88F" w14:textId="0827E37E" w:rsidR="00F408C1" w:rsidRDefault="00000000">
      <w:pPr>
        <w:pStyle w:val="TOC2"/>
        <w:rPr>
          <w:rFonts w:eastAsiaTheme="minorEastAsia" w:cstheme="minorBidi"/>
          <w:noProof/>
          <w:sz w:val="22"/>
          <w:szCs w:val="22"/>
          <w:lang w:val="hr-HR" w:eastAsia="hr-HR"/>
        </w:rPr>
      </w:pPr>
      <w:hyperlink w:anchor="_Toc129083715" w:history="1">
        <w:r w:rsidR="00F408C1" w:rsidRPr="0016058D">
          <w:rPr>
            <w:rStyle w:val="Hyperlink"/>
            <w:rFonts w:ascii="Calibri" w:eastAsia="SimSun" w:hAnsi="Calibri" w:cs="Calibri"/>
            <w:b/>
            <w:bCs/>
            <w:noProof/>
            <w:lang w:val="hr-HR"/>
          </w:rPr>
          <w:t>HBOR-ov PROJEKT ODRŽIVOG FINANCIRANJA – ZAOKRET HBOR-ovih AKTIVNOSTI PREMA ODRŽIVOM FINANCIRANJU I ZELENOJ TRANZICIJI</w:t>
        </w:r>
        <w:r w:rsidR="00F408C1">
          <w:rPr>
            <w:noProof/>
            <w:webHidden/>
          </w:rPr>
          <w:tab/>
        </w:r>
        <w:r w:rsidR="00F408C1">
          <w:rPr>
            <w:noProof/>
            <w:webHidden/>
          </w:rPr>
          <w:fldChar w:fldCharType="begin"/>
        </w:r>
        <w:r w:rsidR="00F408C1">
          <w:rPr>
            <w:noProof/>
            <w:webHidden/>
          </w:rPr>
          <w:instrText xml:space="preserve"> PAGEREF _Toc129083715 \h </w:instrText>
        </w:r>
        <w:r w:rsidR="00F408C1">
          <w:rPr>
            <w:noProof/>
            <w:webHidden/>
          </w:rPr>
        </w:r>
        <w:r w:rsidR="00F408C1">
          <w:rPr>
            <w:noProof/>
            <w:webHidden/>
          </w:rPr>
          <w:fldChar w:fldCharType="separate"/>
        </w:r>
        <w:r w:rsidR="00117AFB">
          <w:rPr>
            <w:noProof/>
            <w:webHidden/>
          </w:rPr>
          <w:t>23</w:t>
        </w:r>
        <w:r w:rsidR="00F408C1">
          <w:rPr>
            <w:noProof/>
            <w:webHidden/>
          </w:rPr>
          <w:fldChar w:fldCharType="end"/>
        </w:r>
      </w:hyperlink>
    </w:p>
    <w:p w14:paraId="0A174A9F" w14:textId="5BC6CE3B" w:rsidR="00F408C1" w:rsidRDefault="00000000">
      <w:pPr>
        <w:pStyle w:val="TOC1"/>
        <w:rPr>
          <w:rFonts w:eastAsiaTheme="minorEastAsia" w:cstheme="minorBidi"/>
          <w:noProof/>
          <w:szCs w:val="22"/>
          <w:lang w:val="hr-HR" w:eastAsia="hr-HR"/>
        </w:rPr>
      </w:pPr>
      <w:hyperlink w:anchor="_Toc129083716" w:history="1">
        <w:r w:rsidR="00F408C1" w:rsidRPr="0016058D">
          <w:rPr>
            <w:rStyle w:val="Hyperlink"/>
            <w:rFonts w:ascii="Calibri" w:eastAsia="SimHei" w:hAnsi="Calibri" w:cs="Calibri"/>
            <w:b/>
            <w:bCs/>
            <w:noProof/>
            <w:lang w:val="hr-HR"/>
          </w:rPr>
          <w:t>RAZVOJ TRŽIŠTA RIZIČNOG I VLASNIČKOG KAPITALA</w:t>
        </w:r>
        <w:r w:rsidR="00F408C1">
          <w:rPr>
            <w:noProof/>
            <w:webHidden/>
          </w:rPr>
          <w:tab/>
        </w:r>
        <w:r w:rsidR="00F408C1">
          <w:rPr>
            <w:noProof/>
            <w:webHidden/>
          </w:rPr>
          <w:fldChar w:fldCharType="begin"/>
        </w:r>
        <w:r w:rsidR="00F408C1">
          <w:rPr>
            <w:noProof/>
            <w:webHidden/>
          </w:rPr>
          <w:instrText xml:space="preserve"> PAGEREF _Toc129083716 \h </w:instrText>
        </w:r>
        <w:r w:rsidR="00F408C1">
          <w:rPr>
            <w:noProof/>
            <w:webHidden/>
          </w:rPr>
        </w:r>
        <w:r w:rsidR="00F408C1">
          <w:rPr>
            <w:noProof/>
            <w:webHidden/>
          </w:rPr>
          <w:fldChar w:fldCharType="separate"/>
        </w:r>
        <w:r w:rsidR="00117AFB">
          <w:rPr>
            <w:noProof/>
            <w:webHidden/>
          </w:rPr>
          <w:t>24</w:t>
        </w:r>
        <w:r w:rsidR="00F408C1">
          <w:rPr>
            <w:noProof/>
            <w:webHidden/>
          </w:rPr>
          <w:fldChar w:fldCharType="end"/>
        </w:r>
      </w:hyperlink>
    </w:p>
    <w:p w14:paraId="3A9672FB" w14:textId="3599A9FE" w:rsidR="00F408C1" w:rsidRDefault="00000000">
      <w:pPr>
        <w:pStyle w:val="TOC1"/>
        <w:rPr>
          <w:rFonts w:eastAsiaTheme="minorEastAsia" w:cstheme="minorBidi"/>
          <w:noProof/>
          <w:szCs w:val="22"/>
          <w:lang w:val="hr-HR" w:eastAsia="hr-HR"/>
        </w:rPr>
      </w:pPr>
      <w:hyperlink w:anchor="_Toc129083717" w:history="1">
        <w:r w:rsidR="00F408C1" w:rsidRPr="0016058D">
          <w:rPr>
            <w:rStyle w:val="Hyperlink"/>
            <w:rFonts w:ascii="Calibri" w:eastAsia="SimHei" w:hAnsi="Calibri" w:cs="Calibri"/>
            <w:b/>
            <w:bCs/>
            <w:noProof/>
            <w:lang w:val="hr-HR"/>
          </w:rPr>
          <w:t>POSLOVI OSIGURANJA IZVOZA</w:t>
        </w:r>
        <w:r w:rsidR="00F408C1">
          <w:rPr>
            <w:noProof/>
            <w:webHidden/>
          </w:rPr>
          <w:tab/>
        </w:r>
        <w:r w:rsidR="00F408C1">
          <w:rPr>
            <w:noProof/>
            <w:webHidden/>
          </w:rPr>
          <w:fldChar w:fldCharType="begin"/>
        </w:r>
        <w:r w:rsidR="00F408C1">
          <w:rPr>
            <w:noProof/>
            <w:webHidden/>
          </w:rPr>
          <w:instrText xml:space="preserve"> PAGEREF _Toc129083717 \h </w:instrText>
        </w:r>
        <w:r w:rsidR="00F408C1">
          <w:rPr>
            <w:noProof/>
            <w:webHidden/>
          </w:rPr>
        </w:r>
        <w:r w:rsidR="00F408C1">
          <w:rPr>
            <w:noProof/>
            <w:webHidden/>
          </w:rPr>
          <w:fldChar w:fldCharType="separate"/>
        </w:r>
        <w:r w:rsidR="00117AFB">
          <w:rPr>
            <w:noProof/>
            <w:webHidden/>
          </w:rPr>
          <w:t>28</w:t>
        </w:r>
        <w:r w:rsidR="00F408C1">
          <w:rPr>
            <w:noProof/>
            <w:webHidden/>
          </w:rPr>
          <w:fldChar w:fldCharType="end"/>
        </w:r>
      </w:hyperlink>
    </w:p>
    <w:p w14:paraId="38C5CA05" w14:textId="29E4DB24" w:rsidR="00F408C1" w:rsidRDefault="00000000">
      <w:pPr>
        <w:pStyle w:val="TOC1"/>
        <w:rPr>
          <w:rFonts w:eastAsiaTheme="minorEastAsia" w:cstheme="minorBidi"/>
          <w:noProof/>
          <w:szCs w:val="22"/>
          <w:lang w:val="hr-HR" w:eastAsia="hr-HR"/>
        </w:rPr>
      </w:pPr>
      <w:hyperlink w:anchor="_Toc129083718" w:history="1">
        <w:r w:rsidR="00F408C1" w:rsidRPr="0016058D">
          <w:rPr>
            <w:rStyle w:val="Hyperlink"/>
            <w:rFonts w:ascii="Calibri" w:eastAsia="SimHei" w:hAnsi="Calibri" w:cs="Calibri"/>
            <w:b/>
            <w:bCs/>
            <w:noProof/>
            <w:lang w:val="hr-HR"/>
          </w:rPr>
          <w:t>UPRAVLJANJE RIZICIMA</w:t>
        </w:r>
        <w:r w:rsidR="00F408C1">
          <w:rPr>
            <w:noProof/>
            <w:webHidden/>
          </w:rPr>
          <w:tab/>
        </w:r>
        <w:r w:rsidR="00F408C1">
          <w:rPr>
            <w:noProof/>
            <w:webHidden/>
          </w:rPr>
          <w:fldChar w:fldCharType="begin"/>
        </w:r>
        <w:r w:rsidR="00F408C1">
          <w:rPr>
            <w:noProof/>
            <w:webHidden/>
          </w:rPr>
          <w:instrText xml:space="preserve"> PAGEREF _Toc129083718 \h </w:instrText>
        </w:r>
        <w:r w:rsidR="00F408C1">
          <w:rPr>
            <w:noProof/>
            <w:webHidden/>
          </w:rPr>
        </w:r>
        <w:r w:rsidR="00F408C1">
          <w:rPr>
            <w:noProof/>
            <w:webHidden/>
          </w:rPr>
          <w:fldChar w:fldCharType="separate"/>
        </w:r>
        <w:r w:rsidR="00117AFB">
          <w:rPr>
            <w:noProof/>
            <w:webHidden/>
          </w:rPr>
          <w:t>32</w:t>
        </w:r>
        <w:r w:rsidR="00F408C1">
          <w:rPr>
            <w:noProof/>
            <w:webHidden/>
          </w:rPr>
          <w:fldChar w:fldCharType="end"/>
        </w:r>
      </w:hyperlink>
    </w:p>
    <w:p w14:paraId="16E3FC8F" w14:textId="61307269" w:rsidR="00F408C1" w:rsidRDefault="00000000">
      <w:pPr>
        <w:pStyle w:val="TOC1"/>
        <w:rPr>
          <w:rFonts w:eastAsiaTheme="minorEastAsia" w:cstheme="minorBidi"/>
          <w:noProof/>
          <w:szCs w:val="22"/>
          <w:lang w:val="hr-HR" w:eastAsia="hr-HR"/>
        </w:rPr>
      </w:pPr>
      <w:hyperlink w:anchor="_Toc129083719" w:history="1">
        <w:r w:rsidR="00F408C1" w:rsidRPr="0016058D">
          <w:rPr>
            <w:rStyle w:val="Hyperlink"/>
            <w:rFonts w:ascii="Calibri" w:eastAsia="SimHei" w:hAnsi="Calibri" w:cs="Calibri"/>
            <w:b/>
            <w:bCs/>
            <w:noProof/>
            <w:lang w:val="hr-HR"/>
          </w:rPr>
          <w:t>UNUTARNJA REVIZIJA</w:t>
        </w:r>
        <w:r w:rsidR="00F408C1">
          <w:rPr>
            <w:noProof/>
            <w:webHidden/>
          </w:rPr>
          <w:tab/>
        </w:r>
        <w:r w:rsidR="00F408C1">
          <w:rPr>
            <w:noProof/>
            <w:webHidden/>
          </w:rPr>
          <w:fldChar w:fldCharType="begin"/>
        </w:r>
        <w:r w:rsidR="00F408C1">
          <w:rPr>
            <w:noProof/>
            <w:webHidden/>
          </w:rPr>
          <w:instrText xml:space="preserve"> PAGEREF _Toc129083719 \h </w:instrText>
        </w:r>
        <w:r w:rsidR="00F408C1">
          <w:rPr>
            <w:noProof/>
            <w:webHidden/>
          </w:rPr>
        </w:r>
        <w:r w:rsidR="00F408C1">
          <w:rPr>
            <w:noProof/>
            <w:webHidden/>
          </w:rPr>
          <w:fldChar w:fldCharType="separate"/>
        </w:r>
        <w:r w:rsidR="00117AFB">
          <w:rPr>
            <w:noProof/>
            <w:webHidden/>
          </w:rPr>
          <w:t>37</w:t>
        </w:r>
        <w:r w:rsidR="00F408C1">
          <w:rPr>
            <w:noProof/>
            <w:webHidden/>
          </w:rPr>
          <w:fldChar w:fldCharType="end"/>
        </w:r>
      </w:hyperlink>
    </w:p>
    <w:p w14:paraId="435CAC27" w14:textId="54D7AD5B" w:rsidR="00F408C1" w:rsidRDefault="00000000">
      <w:pPr>
        <w:pStyle w:val="TOC1"/>
        <w:rPr>
          <w:rFonts w:eastAsiaTheme="minorEastAsia" w:cstheme="minorBidi"/>
          <w:noProof/>
          <w:szCs w:val="22"/>
          <w:lang w:val="hr-HR" w:eastAsia="hr-HR"/>
        </w:rPr>
      </w:pPr>
      <w:hyperlink w:anchor="_Toc129083720" w:history="1">
        <w:r w:rsidR="00F408C1" w:rsidRPr="0016058D">
          <w:rPr>
            <w:rStyle w:val="Hyperlink"/>
            <w:rFonts w:ascii="Calibri" w:eastAsia="SimHei" w:hAnsi="Calibri" w:cs="Calibri"/>
            <w:b/>
            <w:bCs/>
            <w:noProof/>
            <w:lang w:val="hr-HR"/>
          </w:rPr>
          <w:t>FUNKCIJA PRAĆENJA USKLAĐENOSTI</w:t>
        </w:r>
        <w:r w:rsidR="00F408C1">
          <w:rPr>
            <w:noProof/>
            <w:webHidden/>
          </w:rPr>
          <w:tab/>
        </w:r>
        <w:r w:rsidR="00F408C1">
          <w:rPr>
            <w:noProof/>
            <w:webHidden/>
          </w:rPr>
          <w:fldChar w:fldCharType="begin"/>
        </w:r>
        <w:r w:rsidR="00F408C1">
          <w:rPr>
            <w:noProof/>
            <w:webHidden/>
          </w:rPr>
          <w:instrText xml:space="preserve"> PAGEREF _Toc129083720 \h </w:instrText>
        </w:r>
        <w:r w:rsidR="00F408C1">
          <w:rPr>
            <w:noProof/>
            <w:webHidden/>
          </w:rPr>
        </w:r>
        <w:r w:rsidR="00F408C1">
          <w:rPr>
            <w:noProof/>
            <w:webHidden/>
          </w:rPr>
          <w:fldChar w:fldCharType="separate"/>
        </w:r>
        <w:r w:rsidR="00117AFB">
          <w:rPr>
            <w:noProof/>
            <w:webHidden/>
          </w:rPr>
          <w:t>37</w:t>
        </w:r>
        <w:r w:rsidR="00F408C1">
          <w:rPr>
            <w:noProof/>
            <w:webHidden/>
          </w:rPr>
          <w:fldChar w:fldCharType="end"/>
        </w:r>
      </w:hyperlink>
    </w:p>
    <w:p w14:paraId="55452278" w14:textId="4D126C8E" w:rsidR="00F408C1" w:rsidRDefault="00000000">
      <w:pPr>
        <w:pStyle w:val="TOC1"/>
        <w:rPr>
          <w:rFonts w:eastAsiaTheme="minorEastAsia" w:cstheme="minorBidi"/>
          <w:noProof/>
          <w:szCs w:val="22"/>
          <w:lang w:val="hr-HR" w:eastAsia="hr-HR"/>
        </w:rPr>
      </w:pPr>
      <w:hyperlink w:anchor="_Toc129083721" w:history="1">
        <w:r w:rsidR="00F408C1" w:rsidRPr="0016058D">
          <w:rPr>
            <w:rStyle w:val="Hyperlink"/>
            <w:rFonts w:ascii="Calibri" w:eastAsia="Calibri" w:hAnsi="Calibri" w:cs="Calibri"/>
            <w:b/>
            <w:bCs/>
            <w:noProof/>
            <w:lang w:val="hr-HR"/>
          </w:rPr>
          <w:t>LJUDSKI POTENCIJALI</w:t>
        </w:r>
        <w:r w:rsidR="00F408C1">
          <w:rPr>
            <w:noProof/>
            <w:webHidden/>
          </w:rPr>
          <w:tab/>
        </w:r>
        <w:r w:rsidR="00F408C1">
          <w:rPr>
            <w:noProof/>
            <w:webHidden/>
          </w:rPr>
          <w:fldChar w:fldCharType="begin"/>
        </w:r>
        <w:r w:rsidR="00F408C1">
          <w:rPr>
            <w:noProof/>
            <w:webHidden/>
          </w:rPr>
          <w:instrText xml:space="preserve"> PAGEREF _Toc129083721 \h </w:instrText>
        </w:r>
        <w:r w:rsidR="00F408C1">
          <w:rPr>
            <w:noProof/>
            <w:webHidden/>
          </w:rPr>
        </w:r>
        <w:r w:rsidR="00F408C1">
          <w:rPr>
            <w:noProof/>
            <w:webHidden/>
          </w:rPr>
          <w:fldChar w:fldCharType="separate"/>
        </w:r>
        <w:r w:rsidR="00117AFB">
          <w:rPr>
            <w:noProof/>
            <w:webHidden/>
          </w:rPr>
          <w:t>38</w:t>
        </w:r>
        <w:r w:rsidR="00F408C1">
          <w:rPr>
            <w:noProof/>
            <w:webHidden/>
          </w:rPr>
          <w:fldChar w:fldCharType="end"/>
        </w:r>
      </w:hyperlink>
    </w:p>
    <w:p w14:paraId="58482850" w14:textId="3828F571" w:rsidR="00F408C1" w:rsidRDefault="00000000">
      <w:pPr>
        <w:pStyle w:val="TOC1"/>
        <w:rPr>
          <w:rFonts w:eastAsiaTheme="minorEastAsia" w:cstheme="minorBidi"/>
          <w:noProof/>
          <w:szCs w:val="22"/>
          <w:lang w:val="hr-HR" w:eastAsia="hr-HR"/>
        </w:rPr>
      </w:pPr>
      <w:hyperlink w:anchor="_Toc129083722" w:history="1">
        <w:r w:rsidR="00F408C1" w:rsidRPr="0016058D">
          <w:rPr>
            <w:rStyle w:val="Hyperlink"/>
            <w:rFonts w:ascii="Calibri" w:eastAsia="SimHei" w:hAnsi="Calibri" w:cs="Calibri"/>
            <w:b/>
            <w:bCs/>
            <w:noProof/>
            <w:lang w:val="hr-HR"/>
          </w:rPr>
          <w:t>OSTALE AKTIVNOSTI</w:t>
        </w:r>
        <w:r w:rsidR="00F408C1">
          <w:rPr>
            <w:noProof/>
            <w:webHidden/>
          </w:rPr>
          <w:tab/>
        </w:r>
        <w:r w:rsidR="00F408C1">
          <w:rPr>
            <w:noProof/>
            <w:webHidden/>
          </w:rPr>
          <w:fldChar w:fldCharType="begin"/>
        </w:r>
        <w:r w:rsidR="00F408C1">
          <w:rPr>
            <w:noProof/>
            <w:webHidden/>
          </w:rPr>
          <w:instrText xml:space="preserve"> PAGEREF _Toc129083722 \h </w:instrText>
        </w:r>
        <w:r w:rsidR="00F408C1">
          <w:rPr>
            <w:noProof/>
            <w:webHidden/>
          </w:rPr>
        </w:r>
        <w:r w:rsidR="00F408C1">
          <w:rPr>
            <w:noProof/>
            <w:webHidden/>
          </w:rPr>
          <w:fldChar w:fldCharType="separate"/>
        </w:r>
        <w:r w:rsidR="00117AFB">
          <w:rPr>
            <w:noProof/>
            <w:webHidden/>
          </w:rPr>
          <w:t>39</w:t>
        </w:r>
        <w:r w:rsidR="00F408C1">
          <w:rPr>
            <w:noProof/>
            <w:webHidden/>
          </w:rPr>
          <w:fldChar w:fldCharType="end"/>
        </w:r>
      </w:hyperlink>
    </w:p>
    <w:p w14:paraId="633F7348" w14:textId="025DAE9F" w:rsidR="00F408C1" w:rsidRDefault="00000000">
      <w:pPr>
        <w:pStyle w:val="TOC1"/>
        <w:rPr>
          <w:rFonts w:eastAsiaTheme="minorEastAsia" w:cstheme="minorBidi"/>
          <w:noProof/>
          <w:szCs w:val="22"/>
          <w:lang w:val="hr-HR" w:eastAsia="hr-HR"/>
        </w:rPr>
      </w:pPr>
      <w:hyperlink w:anchor="_Toc129083723" w:history="1">
        <w:r w:rsidR="00F408C1" w:rsidRPr="0016058D">
          <w:rPr>
            <w:rStyle w:val="Hyperlink"/>
            <w:rFonts w:ascii="Calibri" w:eastAsia="SimHei" w:hAnsi="Calibri" w:cs="Calibri"/>
            <w:b/>
            <w:bCs/>
            <w:noProof/>
            <w:lang w:val="hr-HR"/>
          </w:rPr>
          <w:t>POSLOVANJE GRUPE HRVATSKO KREDITNO OSIGURANJE</w:t>
        </w:r>
        <w:r w:rsidR="00F408C1">
          <w:rPr>
            <w:noProof/>
            <w:webHidden/>
          </w:rPr>
          <w:tab/>
        </w:r>
        <w:r w:rsidR="00F408C1">
          <w:rPr>
            <w:noProof/>
            <w:webHidden/>
          </w:rPr>
          <w:fldChar w:fldCharType="begin"/>
        </w:r>
        <w:r w:rsidR="00F408C1">
          <w:rPr>
            <w:noProof/>
            <w:webHidden/>
          </w:rPr>
          <w:instrText xml:space="preserve"> PAGEREF _Toc129083723 \h </w:instrText>
        </w:r>
        <w:r w:rsidR="00F408C1">
          <w:rPr>
            <w:noProof/>
            <w:webHidden/>
          </w:rPr>
        </w:r>
        <w:r w:rsidR="00F408C1">
          <w:rPr>
            <w:noProof/>
            <w:webHidden/>
          </w:rPr>
          <w:fldChar w:fldCharType="separate"/>
        </w:r>
        <w:r w:rsidR="00117AFB">
          <w:rPr>
            <w:noProof/>
            <w:webHidden/>
          </w:rPr>
          <w:t>43</w:t>
        </w:r>
        <w:r w:rsidR="00F408C1">
          <w:rPr>
            <w:noProof/>
            <w:webHidden/>
          </w:rPr>
          <w:fldChar w:fldCharType="end"/>
        </w:r>
      </w:hyperlink>
    </w:p>
    <w:p w14:paraId="1436726B" w14:textId="3C290AA9" w:rsidR="00F408C1" w:rsidRDefault="00000000">
      <w:pPr>
        <w:pStyle w:val="TOC1"/>
        <w:rPr>
          <w:rFonts w:eastAsiaTheme="minorEastAsia" w:cstheme="minorBidi"/>
          <w:noProof/>
          <w:szCs w:val="22"/>
          <w:lang w:val="hr-HR" w:eastAsia="hr-HR"/>
        </w:rPr>
      </w:pPr>
      <w:hyperlink w:anchor="_Toc129083724" w:history="1">
        <w:r w:rsidR="00F408C1" w:rsidRPr="0016058D">
          <w:rPr>
            <w:rStyle w:val="Hyperlink"/>
            <w:rFonts w:ascii="Calibri" w:eastAsia="SimHei" w:hAnsi="Calibri" w:cs="Calibri"/>
            <w:b/>
            <w:bCs/>
            <w:noProof/>
            <w:lang w:val="hr-HR"/>
          </w:rPr>
          <w:t>HRVATSKO KREDITNO OSIGURANJE D.D. I POSLOVNI INFO SERVIS D.O.O.</w:t>
        </w:r>
        <w:r w:rsidR="00F408C1">
          <w:rPr>
            <w:noProof/>
            <w:webHidden/>
          </w:rPr>
          <w:tab/>
        </w:r>
        <w:r w:rsidR="00F408C1">
          <w:rPr>
            <w:noProof/>
            <w:webHidden/>
          </w:rPr>
          <w:fldChar w:fldCharType="begin"/>
        </w:r>
        <w:r w:rsidR="00F408C1">
          <w:rPr>
            <w:noProof/>
            <w:webHidden/>
          </w:rPr>
          <w:instrText xml:space="preserve"> PAGEREF _Toc129083724 \h </w:instrText>
        </w:r>
        <w:r w:rsidR="00F408C1">
          <w:rPr>
            <w:noProof/>
            <w:webHidden/>
          </w:rPr>
        </w:r>
        <w:r w:rsidR="00F408C1">
          <w:rPr>
            <w:noProof/>
            <w:webHidden/>
          </w:rPr>
          <w:fldChar w:fldCharType="separate"/>
        </w:r>
        <w:r w:rsidR="00117AFB">
          <w:rPr>
            <w:noProof/>
            <w:webHidden/>
          </w:rPr>
          <w:t>43</w:t>
        </w:r>
        <w:r w:rsidR="00F408C1">
          <w:rPr>
            <w:noProof/>
            <w:webHidden/>
          </w:rPr>
          <w:fldChar w:fldCharType="end"/>
        </w:r>
      </w:hyperlink>
    </w:p>
    <w:p w14:paraId="07D01D82" w14:textId="2042EDB9" w:rsidR="00F408C1" w:rsidRDefault="00000000">
      <w:pPr>
        <w:pStyle w:val="TOC1"/>
        <w:rPr>
          <w:rFonts w:eastAsiaTheme="minorEastAsia" w:cstheme="minorBidi"/>
          <w:noProof/>
          <w:szCs w:val="22"/>
          <w:lang w:val="hr-HR" w:eastAsia="hr-HR"/>
        </w:rPr>
      </w:pPr>
      <w:hyperlink w:anchor="_Toc129083725" w:history="1">
        <w:r w:rsidR="00F408C1" w:rsidRPr="0016058D">
          <w:rPr>
            <w:rStyle w:val="Hyperlink"/>
            <w:rFonts w:ascii="Calibri" w:hAnsi="Calibri" w:cs="Calibri"/>
            <w:b/>
            <w:bCs/>
            <w:noProof/>
            <w:spacing w:val="-3"/>
            <w:lang w:val="hr-HR"/>
          </w:rPr>
          <w:t>NAČELA FINANCIJSKOG IZVJEŠTAVANJA</w:t>
        </w:r>
        <w:r w:rsidR="00F408C1">
          <w:rPr>
            <w:noProof/>
            <w:webHidden/>
          </w:rPr>
          <w:tab/>
        </w:r>
        <w:r w:rsidR="00F408C1">
          <w:rPr>
            <w:noProof/>
            <w:webHidden/>
          </w:rPr>
          <w:fldChar w:fldCharType="begin"/>
        </w:r>
        <w:r w:rsidR="00F408C1">
          <w:rPr>
            <w:noProof/>
            <w:webHidden/>
          </w:rPr>
          <w:instrText xml:space="preserve"> PAGEREF _Toc129083725 \h </w:instrText>
        </w:r>
        <w:r w:rsidR="00F408C1">
          <w:rPr>
            <w:noProof/>
            <w:webHidden/>
          </w:rPr>
        </w:r>
        <w:r w:rsidR="00F408C1">
          <w:rPr>
            <w:noProof/>
            <w:webHidden/>
          </w:rPr>
          <w:fldChar w:fldCharType="separate"/>
        </w:r>
        <w:r w:rsidR="00117AFB">
          <w:rPr>
            <w:noProof/>
            <w:webHidden/>
          </w:rPr>
          <w:t>47</w:t>
        </w:r>
        <w:r w:rsidR="00F408C1">
          <w:rPr>
            <w:noProof/>
            <w:webHidden/>
          </w:rPr>
          <w:fldChar w:fldCharType="end"/>
        </w:r>
      </w:hyperlink>
    </w:p>
    <w:p w14:paraId="5608C543" w14:textId="0B4EE623" w:rsidR="00F408C1" w:rsidRDefault="00000000">
      <w:pPr>
        <w:pStyle w:val="TOC1"/>
        <w:rPr>
          <w:rFonts w:eastAsiaTheme="minorEastAsia" w:cstheme="minorBidi"/>
          <w:noProof/>
          <w:szCs w:val="22"/>
          <w:lang w:val="hr-HR" w:eastAsia="hr-HR"/>
        </w:rPr>
      </w:pPr>
      <w:hyperlink w:anchor="_Toc129083726" w:history="1">
        <w:r w:rsidR="00F408C1" w:rsidRPr="0016058D">
          <w:rPr>
            <w:rStyle w:val="Hyperlink"/>
            <w:rFonts w:ascii="Calibri" w:hAnsi="Calibri" w:cs="Calibri"/>
            <w:b/>
            <w:bCs/>
            <w:noProof/>
            <w:spacing w:val="-3"/>
            <w:lang w:val="hr-HR"/>
          </w:rPr>
          <w:t>PREGLED FINANCIJSKOG POSLOVANJA U 2022. GODINI</w:t>
        </w:r>
        <w:r w:rsidR="00F408C1">
          <w:rPr>
            <w:noProof/>
            <w:webHidden/>
          </w:rPr>
          <w:tab/>
        </w:r>
        <w:r w:rsidR="00F408C1">
          <w:rPr>
            <w:noProof/>
            <w:webHidden/>
          </w:rPr>
          <w:fldChar w:fldCharType="begin"/>
        </w:r>
        <w:r w:rsidR="00F408C1">
          <w:rPr>
            <w:noProof/>
            <w:webHidden/>
          </w:rPr>
          <w:instrText xml:space="preserve"> PAGEREF _Toc129083726 \h </w:instrText>
        </w:r>
        <w:r w:rsidR="00F408C1">
          <w:rPr>
            <w:noProof/>
            <w:webHidden/>
          </w:rPr>
        </w:r>
        <w:r w:rsidR="00F408C1">
          <w:rPr>
            <w:noProof/>
            <w:webHidden/>
          </w:rPr>
          <w:fldChar w:fldCharType="separate"/>
        </w:r>
        <w:r w:rsidR="00117AFB">
          <w:rPr>
            <w:noProof/>
            <w:webHidden/>
          </w:rPr>
          <w:t>48</w:t>
        </w:r>
        <w:r w:rsidR="00F408C1">
          <w:rPr>
            <w:noProof/>
            <w:webHidden/>
          </w:rPr>
          <w:fldChar w:fldCharType="end"/>
        </w:r>
      </w:hyperlink>
    </w:p>
    <w:p w14:paraId="29848EA8" w14:textId="531522B1" w:rsidR="00F408C1" w:rsidRDefault="00000000">
      <w:pPr>
        <w:pStyle w:val="TOC2"/>
        <w:rPr>
          <w:rFonts w:eastAsiaTheme="minorEastAsia" w:cstheme="minorBidi"/>
          <w:noProof/>
          <w:sz w:val="22"/>
          <w:szCs w:val="22"/>
          <w:lang w:val="hr-HR" w:eastAsia="hr-HR"/>
        </w:rPr>
      </w:pPr>
      <w:hyperlink w:anchor="_Toc129083727" w:history="1">
        <w:r w:rsidR="00F408C1" w:rsidRPr="0016058D">
          <w:rPr>
            <w:rStyle w:val="Hyperlink"/>
            <w:rFonts w:ascii="Calibri" w:eastAsia="SimSun" w:hAnsi="Calibri" w:cs="Calibri"/>
            <w:b/>
            <w:bCs/>
            <w:noProof/>
            <w:lang w:val="hr-HR"/>
          </w:rPr>
          <w:t>OSVRT NA FINANCIJSKO POSLOVANJE GRUPE</w:t>
        </w:r>
        <w:r w:rsidR="00F408C1">
          <w:rPr>
            <w:noProof/>
            <w:webHidden/>
          </w:rPr>
          <w:tab/>
        </w:r>
        <w:r w:rsidR="00F408C1">
          <w:rPr>
            <w:noProof/>
            <w:webHidden/>
          </w:rPr>
          <w:fldChar w:fldCharType="begin"/>
        </w:r>
        <w:r w:rsidR="00F408C1">
          <w:rPr>
            <w:noProof/>
            <w:webHidden/>
          </w:rPr>
          <w:instrText xml:space="preserve"> PAGEREF _Toc129083727 \h </w:instrText>
        </w:r>
        <w:r w:rsidR="00F408C1">
          <w:rPr>
            <w:noProof/>
            <w:webHidden/>
          </w:rPr>
        </w:r>
        <w:r w:rsidR="00F408C1">
          <w:rPr>
            <w:noProof/>
            <w:webHidden/>
          </w:rPr>
          <w:fldChar w:fldCharType="separate"/>
        </w:r>
        <w:r w:rsidR="00117AFB">
          <w:rPr>
            <w:noProof/>
            <w:webHidden/>
          </w:rPr>
          <w:t>48</w:t>
        </w:r>
        <w:r w:rsidR="00F408C1">
          <w:rPr>
            <w:noProof/>
            <w:webHidden/>
          </w:rPr>
          <w:fldChar w:fldCharType="end"/>
        </w:r>
      </w:hyperlink>
    </w:p>
    <w:p w14:paraId="5D618B69" w14:textId="03F5CCE4" w:rsidR="00F408C1" w:rsidRDefault="00000000">
      <w:pPr>
        <w:pStyle w:val="TOC2"/>
        <w:rPr>
          <w:rStyle w:val="Hyperlink"/>
          <w:noProof/>
        </w:rPr>
      </w:pPr>
      <w:hyperlink w:anchor="_Toc129083728" w:history="1">
        <w:r w:rsidR="00F408C1" w:rsidRPr="0016058D">
          <w:rPr>
            <w:rStyle w:val="Hyperlink"/>
            <w:rFonts w:ascii="Calibri" w:eastAsia="SimSun" w:hAnsi="Calibri" w:cs="Calibri"/>
            <w:b/>
            <w:bCs/>
            <w:noProof/>
            <w:lang w:val="hr-HR"/>
          </w:rPr>
          <w:t>OSVRT NA FINANCIJSKO POSLOVANJE HBOR-a</w:t>
        </w:r>
        <w:r w:rsidR="00F408C1">
          <w:rPr>
            <w:noProof/>
            <w:webHidden/>
          </w:rPr>
          <w:tab/>
        </w:r>
        <w:r w:rsidR="00F408C1">
          <w:rPr>
            <w:noProof/>
            <w:webHidden/>
          </w:rPr>
          <w:fldChar w:fldCharType="begin"/>
        </w:r>
        <w:r w:rsidR="00F408C1">
          <w:rPr>
            <w:noProof/>
            <w:webHidden/>
          </w:rPr>
          <w:instrText xml:space="preserve"> PAGEREF _Toc129083728 \h </w:instrText>
        </w:r>
        <w:r w:rsidR="00F408C1">
          <w:rPr>
            <w:noProof/>
            <w:webHidden/>
          </w:rPr>
        </w:r>
        <w:r w:rsidR="00F408C1">
          <w:rPr>
            <w:noProof/>
            <w:webHidden/>
          </w:rPr>
          <w:fldChar w:fldCharType="separate"/>
        </w:r>
        <w:r w:rsidR="00117AFB">
          <w:rPr>
            <w:noProof/>
            <w:webHidden/>
          </w:rPr>
          <w:t>52</w:t>
        </w:r>
        <w:r w:rsidR="00F408C1">
          <w:rPr>
            <w:noProof/>
            <w:webHidden/>
          </w:rPr>
          <w:fldChar w:fldCharType="end"/>
        </w:r>
      </w:hyperlink>
    </w:p>
    <w:p w14:paraId="4408766C" w14:textId="13B3D817" w:rsidR="00F408C1" w:rsidRDefault="00F408C1">
      <w:pPr>
        <w:suppressAutoHyphens w:val="0"/>
        <w:rPr>
          <w:rFonts w:eastAsiaTheme="minorEastAsia"/>
          <w:noProof/>
        </w:rPr>
      </w:pPr>
      <w:r>
        <w:rPr>
          <w:rFonts w:eastAsiaTheme="minorEastAsia"/>
          <w:noProof/>
        </w:rPr>
        <w:br w:type="page"/>
      </w:r>
    </w:p>
    <w:p w14:paraId="1748D678" w14:textId="022E26D2" w:rsidR="00382CF2" w:rsidRDefault="00E45A39">
      <w:pPr>
        <w:keepNext/>
        <w:keepLines/>
        <w:pBdr>
          <w:bottom w:val="single" w:sz="4" w:space="2" w:color="B2B2B2"/>
        </w:pBdr>
        <w:spacing w:before="360" w:after="120"/>
        <w:jc w:val="both"/>
        <w:outlineLvl w:val="0"/>
        <w:rPr>
          <w:rFonts w:ascii="Calibri" w:eastAsia="SimHei" w:hAnsi="Calibri" w:cs="Calibri"/>
          <w:b/>
          <w:bCs/>
          <w:sz w:val="22"/>
          <w:szCs w:val="22"/>
          <w:lang w:val="hr-HR"/>
        </w:rPr>
      </w:pPr>
      <w:r>
        <w:rPr>
          <w:sz w:val="22"/>
        </w:rPr>
        <w:lastRenderedPageBreak/>
        <w:fldChar w:fldCharType="end"/>
      </w:r>
      <w:bookmarkStart w:id="4" w:name="_Toc129083697"/>
      <w:bookmarkStart w:id="5" w:name="_Hlk130201197"/>
      <w:r w:rsidR="00054989">
        <w:rPr>
          <w:rFonts w:ascii="Calibri" w:eastAsia="SimHei" w:hAnsi="Calibri" w:cs="Calibri"/>
          <w:b/>
          <w:bCs/>
          <w:sz w:val="22"/>
          <w:szCs w:val="22"/>
          <w:lang w:val="hr-HR"/>
        </w:rPr>
        <w:t>IZJAVA OSOBA ODGOVORNIH ZA SASTAVLJANJE GODIŠNJEG IZVJEŠĆA</w:t>
      </w:r>
      <w:bookmarkEnd w:id="2"/>
      <w:bookmarkEnd w:id="4"/>
    </w:p>
    <w:bookmarkEnd w:id="3"/>
    <w:p w14:paraId="1748D67B" w14:textId="2FDA9D92" w:rsidR="00BF521E" w:rsidRDefault="00BF521E">
      <w:pPr>
        <w:suppressAutoHyphens w:val="0"/>
        <w:rPr>
          <w:rFonts w:ascii="Calibri" w:eastAsia="SimSun" w:hAnsi="Calibri" w:cs="Calibri"/>
          <w:sz w:val="22"/>
          <w:szCs w:val="22"/>
          <w:lang w:val="hr-HR"/>
        </w:rPr>
      </w:pPr>
    </w:p>
    <w:p w14:paraId="1748D67C" w14:textId="5E4C5421"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Prema našem saznanju</w:t>
      </w:r>
      <w:r w:rsidR="00FE4A32">
        <w:rPr>
          <w:rFonts w:ascii="Calibri" w:eastAsia="SimSun" w:hAnsi="Calibri" w:cs="Calibri"/>
          <w:sz w:val="22"/>
          <w:szCs w:val="22"/>
          <w:lang w:val="hr-HR"/>
        </w:rPr>
        <w:t>,</w:t>
      </w:r>
      <w:r>
        <w:rPr>
          <w:rFonts w:ascii="Calibri" w:eastAsia="SimSun" w:hAnsi="Calibri" w:cs="Calibri"/>
          <w:sz w:val="22"/>
          <w:szCs w:val="22"/>
          <w:lang w:val="hr-HR"/>
        </w:rPr>
        <w:t xml:space="preserve"> Godišnje izvješće za 2022. godinu sadrži istinit prikaz razvoja i rezultata poslovanja i položaja Hrvatske banke za obnovu i razvitak i Grupe Hrvatska banka za obnovu i razvitak te opis najznačajnijih rizika i neizvjesnosti kojima su Hrvatska banka za obnovu i razvitak i Grupa Hrvatska banka za obnovu i razvitak izloženi.</w:t>
      </w:r>
    </w:p>
    <w:p w14:paraId="1748D67D" w14:textId="77777777" w:rsidR="00382CF2" w:rsidRDefault="00382CF2">
      <w:pPr>
        <w:spacing w:before="120" w:after="120" w:line="276" w:lineRule="auto"/>
        <w:jc w:val="both"/>
        <w:rPr>
          <w:rFonts w:ascii="Calibri" w:eastAsia="SimSun" w:hAnsi="Calibri" w:cs="Calibri"/>
          <w:sz w:val="22"/>
          <w:szCs w:val="22"/>
          <w:lang w:val="hr-HR"/>
        </w:rPr>
      </w:pPr>
    </w:p>
    <w:p w14:paraId="1748D67E" w14:textId="77777777" w:rsidR="00382CF2" w:rsidRDefault="00382CF2">
      <w:pPr>
        <w:spacing w:before="120" w:after="120" w:line="276" w:lineRule="auto"/>
        <w:jc w:val="both"/>
        <w:rPr>
          <w:rFonts w:ascii="Calibri" w:eastAsia="SimSun" w:hAnsi="Calibri" w:cs="Calibri"/>
          <w:sz w:val="22"/>
          <w:szCs w:val="22"/>
          <w:lang w:val="hr-HR"/>
        </w:rPr>
      </w:pPr>
    </w:p>
    <w:p w14:paraId="1748D67F"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ab/>
      </w:r>
    </w:p>
    <w:p w14:paraId="1748D680"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Član Uprave</w:t>
      </w:r>
      <w:r>
        <w:rPr>
          <w:rFonts w:ascii="Calibri" w:eastAsia="SimSun" w:hAnsi="Calibri" w:cs="Calibri"/>
          <w:sz w:val="22"/>
          <w:szCs w:val="22"/>
          <w:lang w:val="hr-HR"/>
        </w:rPr>
        <w:tab/>
      </w:r>
      <w:r>
        <w:rPr>
          <w:rFonts w:ascii="Calibri" w:eastAsia="SimSun" w:hAnsi="Calibri" w:cs="Calibri"/>
          <w:sz w:val="22"/>
          <w:szCs w:val="22"/>
          <w:lang w:val="hr-HR"/>
        </w:rPr>
        <w:tab/>
      </w:r>
      <w:r>
        <w:rPr>
          <w:rFonts w:ascii="Calibri" w:eastAsia="SimSun" w:hAnsi="Calibri" w:cs="Calibri"/>
          <w:sz w:val="22"/>
          <w:szCs w:val="22"/>
          <w:lang w:val="hr-HR"/>
        </w:rPr>
        <w:tab/>
      </w:r>
      <w:r>
        <w:rPr>
          <w:rFonts w:ascii="Calibri" w:eastAsia="SimSun" w:hAnsi="Calibri" w:cs="Calibri"/>
          <w:sz w:val="22"/>
          <w:szCs w:val="22"/>
          <w:lang w:val="hr-HR"/>
        </w:rPr>
        <w:tab/>
        <w:t>Član Uprave</w:t>
      </w:r>
      <w:r>
        <w:rPr>
          <w:rFonts w:ascii="Calibri" w:eastAsia="SimSun" w:hAnsi="Calibri" w:cs="Calibri"/>
          <w:sz w:val="22"/>
          <w:szCs w:val="22"/>
          <w:lang w:val="hr-HR"/>
        </w:rPr>
        <w:tab/>
      </w:r>
      <w:r>
        <w:rPr>
          <w:rFonts w:ascii="Calibri" w:eastAsia="SimSun" w:hAnsi="Calibri" w:cs="Calibri"/>
          <w:sz w:val="22"/>
          <w:szCs w:val="22"/>
          <w:lang w:val="hr-HR"/>
        </w:rPr>
        <w:tab/>
      </w:r>
      <w:r>
        <w:rPr>
          <w:rFonts w:ascii="Calibri" w:eastAsia="SimSun" w:hAnsi="Calibri" w:cs="Calibri"/>
          <w:sz w:val="22"/>
          <w:szCs w:val="22"/>
          <w:lang w:val="hr-HR"/>
        </w:rPr>
        <w:tab/>
      </w:r>
      <w:r>
        <w:rPr>
          <w:rFonts w:ascii="Calibri" w:eastAsia="SimSun" w:hAnsi="Calibri" w:cs="Calibri"/>
          <w:sz w:val="22"/>
          <w:szCs w:val="22"/>
          <w:lang w:val="hr-HR"/>
        </w:rPr>
        <w:tab/>
        <w:t>Predsjednik Uprave</w:t>
      </w:r>
    </w:p>
    <w:p w14:paraId="1748D681" w14:textId="77777777" w:rsidR="00382CF2" w:rsidRDefault="00382CF2">
      <w:pPr>
        <w:spacing w:before="120" w:after="120" w:line="276" w:lineRule="auto"/>
        <w:jc w:val="both"/>
        <w:rPr>
          <w:rFonts w:ascii="Calibri" w:eastAsia="SimSun" w:hAnsi="Calibri" w:cs="Calibri"/>
          <w:sz w:val="22"/>
          <w:szCs w:val="22"/>
          <w:lang w:val="hr-HR"/>
        </w:rPr>
      </w:pPr>
    </w:p>
    <w:p w14:paraId="1748D682" w14:textId="77777777" w:rsidR="00382CF2" w:rsidRDefault="00382CF2">
      <w:pPr>
        <w:spacing w:before="120" w:after="120" w:line="276" w:lineRule="auto"/>
        <w:jc w:val="both"/>
        <w:rPr>
          <w:rFonts w:ascii="Calibri" w:eastAsia="SimSun" w:hAnsi="Calibri" w:cs="Calibri"/>
          <w:sz w:val="22"/>
          <w:szCs w:val="22"/>
          <w:lang w:val="hr-HR"/>
        </w:rPr>
      </w:pPr>
    </w:p>
    <w:p w14:paraId="1748D683"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Josip Pavković</w:t>
      </w:r>
      <w:r>
        <w:rPr>
          <w:rFonts w:ascii="Calibri" w:eastAsia="SimSun" w:hAnsi="Calibri" w:cs="Calibri"/>
          <w:sz w:val="22"/>
          <w:szCs w:val="22"/>
          <w:lang w:val="hr-HR"/>
        </w:rPr>
        <w:tab/>
      </w:r>
      <w:r>
        <w:rPr>
          <w:rFonts w:ascii="Calibri" w:eastAsia="SimSun" w:hAnsi="Calibri" w:cs="Calibri"/>
          <w:sz w:val="22"/>
          <w:szCs w:val="22"/>
          <w:lang w:val="hr-HR"/>
        </w:rPr>
        <w:tab/>
      </w:r>
      <w:r>
        <w:rPr>
          <w:rFonts w:ascii="Calibri" w:eastAsia="SimSun" w:hAnsi="Calibri" w:cs="Calibri"/>
          <w:sz w:val="22"/>
          <w:szCs w:val="22"/>
          <w:lang w:val="hr-HR"/>
        </w:rPr>
        <w:tab/>
      </w:r>
      <w:r>
        <w:rPr>
          <w:rFonts w:ascii="Calibri" w:eastAsia="SimSun" w:hAnsi="Calibri" w:cs="Calibri"/>
          <w:sz w:val="22"/>
          <w:szCs w:val="22"/>
          <w:lang w:val="hr-HR"/>
        </w:rPr>
        <w:tab/>
        <w:t>mr. sc. Alan Herjavec</w:t>
      </w:r>
      <w:r>
        <w:rPr>
          <w:rFonts w:ascii="Calibri" w:eastAsia="SimSun" w:hAnsi="Calibri" w:cs="Calibri"/>
          <w:sz w:val="22"/>
          <w:szCs w:val="22"/>
          <w:lang w:val="hr-HR"/>
        </w:rPr>
        <w:tab/>
      </w:r>
      <w:r>
        <w:rPr>
          <w:rFonts w:ascii="Calibri" w:eastAsia="SimSun" w:hAnsi="Calibri" w:cs="Calibri"/>
          <w:sz w:val="22"/>
          <w:szCs w:val="22"/>
          <w:lang w:val="hr-HR"/>
        </w:rPr>
        <w:tab/>
      </w:r>
      <w:r>
        <w:rPr>
          <w:rFonts w:ascii="Calibri" w:eastAsia="SimSun" w:hAnsi="Calibri" w:cs="Calibri"/>
          <w:sz w:val="22"/>
          <w:szCs w:val="22"/>
          <w:lang w:val="hr-HR"/>
        </w:rPr>
        <w:tab/>
        <w:t>mr. sc. Hrvoje Čuvalo</w:t>
      </w:r>
    </w:p>
    <w:p w14:paraId="1748D684" w14:textId="20D60E16" w:rsidR="00382CF2" w:rsidRDefault="00382CF2">
      <w:pPr>
        <w:spacing w:before="120" w:after="120" w:line="276" w:lineRule="auto"/>
        <w:jc w:val="both"/>
        <w:rPr>
          <w:rFonts w:ascii="Calibri" w:eastAsia="SimSun" w:hAnsi="Calibri" w:cs="Calibri"/>
          <w:sz w:val="22"/>
          <w:szCs w:val="22"/>
          <w:lang w:val="hr-HR"/>
        </w:rPr>
      </w:pPr>
    </w:p>
    <w:p w14:paraId="1748D685" w14:textId="20D60E16" w:rsidR="00382CF2" w:rsidRDefault="00382CF2">
      <w:pPr>
        <w:spacing w:before="120" w:after="120" w:line="276" w:lineRule="auto"/>
        <w:jc w:val="both"/>
        <w:rPr>
          <w:rFonts w:ascii="Calibri" w:eastAsia="SimSun" w:hAnsi="Calibri" w:cs="Calibri"/>
          <w:sz w:val="22"/>
          <w:szCs w:val="22"/>
          <w:lang w:val="hr-HR"/>
        </w:rPr>
      </w:pPr>
    </w:p>
    <w:p w14:paraId="1748D686" w14:textId="20D60E16" w:rsidR="00382CF2" w:rsidRDefault="00382CF2">
      <w:pPr>
        <w:spacing w:before="120" w:after="120" w:line="276" w:lineRule="auto"/>
        <w:jc w:val="both"/>
        <w:rPr>
          <w:rFonts w:ascii="Calibri" w:eastAsia="SimSun" w:hAnsi="Calibri" w:cs="Calibri"/>
          <w:sz w:val="22"/>
          <w:szCs w:val="22"/>
          <w:lang w:val="hr-HR"/>
        </w:rPr>
      </w:pPr>
    </w:p>
    <w:p w14:paraId="1748D687" w14:textId="09D453C1" w:rsidR="00382CF2" w:rsidRDefault="00382CF2" w:rsidP="52F28258">
      <w:pPr>
        <w:pStyle w:val="Tekstkomentara1"/>
        <w:spacing w:before="120" w:after="120" w:line="276" w:lineRule="auto"/>
        <w:rPr>
          <w:rFonts w:eastAsia="SimSun"/>
        </w:rPr>
      </w:pPr>
    </w:p>
    <w:p w14:paraId="3B891EE3" w14:textId="3AB50FCA" w:rsidR="007C7F0B" w:rsidRDefault="00054989" w:rsidP="007C7F0B">
      <w:pPr>
        <w:pStyle w:val="CommentText"/>
        <w:spacing w:before="120" w:after="120" w:line="276" w:lineRule="auto"/>
        <w:rPr>
          <w:rFonts w:ascii="Calibri" w:eastAsia="SimHei" w:hAnsi="Calibri" w:cs="Calibri"/>
          <w:b/>
          <w:bCs/>
          <w:sz w:val="22"/>
          <w:szCs w:val="22"/>
          <w:lang w:val="hr-HR"/>
        </w:rPr>
      </w:pPr>
      <w:r>
        <w:rPr>
          <w:rFonts w:ascii="Calibri" w:eastAsia="SimSun" w:hAnsi="Calibri" w:cs="Calibri"/>
          <w:sz w:val="22"/>
          <w:szCs w:val="22"/>
          <w:lang w:val="hr-HR"/>
        </w:rPr>
        <w:t xml:space="preserve">U Zagrebu </w:t>
      </w:r>
      <w:r w:rsidR="00F82210">
        <w:rPr>
          <w:rFonts w:ascii="Calibri" w:eastAsia="SimSun" w:hAnsi="Calibri" w:cs="Calibri"/>
          <w:sz w:val="22"/>
          <w:szCs w:val="22"/>
          <w:lang w:val="hr-HR"/>
        </w:rPr>
        <w:t>2</w:t>
      </w:r>
      <w:r w:rsidR="00E9699B">
        <w:rPr>
          <w:rFonts w:ascii="Calibri" w:eastAsia="SimSun" w:hAnsi="Calibri" w:cs="Calibri"/>
          <w:sz w:val="22"/>
          <w:szCs w:val="22"/>
          <w:lang w:val="hr-HR"/>
        </w:rPr>
        <w:t>3</w:t>
      </w:r>
      <w:r>
        <w:rPr>
          <w:rFonts w:ascii="Calibri" w:eastAsia="SimSun" w:hAnsi="Calibri" w:cs="Calibri"/>
          <w:sz w:val="22"/>
          <w:szCs w:val="22"/>
          <w:lang w:val="hr-HR"/>
        </w:rPr>
        <w:t xml:space="preserve">. </w:t>
      </w:r>
      <w:r w:rsidR="00F82210">
        <w:rPr>
          <w:rFonts w:ascii="Calibri" w:eastAsia="SimSun" w:hAnsi="Calibri" w:cs="Calibri"/>
          <w:sz w:val="22"/>
          <w:szCs w:val="22"/>
          <w:lang w:val="hr-HR"/>
        </w:rPr>
        <w:t>ožujka</w:t>
      </w:r>
      <w:r>
        <w:rPr>
          <w:rFonts w:ascii="Calibri" w:eastAsia="SimSun" w:hAnsi="Calibri" w:cs="Calibri"/>
          <w:sz w:val="22"/>
          <w:szCs w:val="22"/>
          <w:lang w:val="hr-HR"/>
        </w:rPr>
        <w:t xml:space="preserve"> 2023</w:t>
      </w:r>
      <w:r w:rsidR="001066AF">
        <w:rPr>
          <w:rFonts w:ascii="Calibri" w:eastAsia="SimSun" w:hAnsi="Calibri" w:cs="Calibri"/>
          <w:sz w:val="22"/>
          <w:szCs w:val="22"/>
          <w:lang w:val="hr-HR"/>
        </w:rPr>
        <w:t>.</w:t>
      </w:r>
      <w:r w:rsidR="007C7F0B">
        <w:rPr>
          <w:rFonts w:ascii="Calibri" w:eastAsia="SimSun" w:hAnsi="Calibri" w:cs="Calibri"/>
          <w:sz w:val="22"/>
          <w:szCs w:val="22"/>
          <w:lang w:val="hr-HR"/>
        </w:rPr>
        <w:br/>
      </w:r>
      <w:bookmarkStart w:id="6" w:name="_Toc3249200"/>
      <w:bookmarkStart w:id="7" w:name="_Toc255898363"/>
      <w:bookmarkStart w:id="8" w:name="_Hlk3972812"/>
    </w:p>
    <w:p w14:paraId="4D9F41F6" w14:textId="77777777" w:rsidR="007C7F0B" w:rsidRDefault="007C7F0B">
      <w:pPr>
        <w:suppressAutoHyphens w:val="0"/>
        <w:rPr>
          <w:rFonts w:ascii="Calibri" w:eastAsia="SimHei" w:hAnsi="Calibri" w:cs="Calibri"/>
          <w:b/>
          <w:bCs/>
          <w:sz w:val="22"/>
          <w:szCs w:val="22"/>
          <w:lang w:val="hr-HR"/>
        </w:rPr>
      </w:pPr>
      <w:r>
        <w:rPr>
          <w:rFonts w:ascii="Calibri" w:eastAsia="SimHei" w:hAnsi="Calibri" w:cs="Calibri"/>
          <w:b/>
          <w:bCs/>
          <w:sz w:val="22"/>
          <w:szCs w:val="22"/>
          <w:lang w:val="hr-HR"/>
        </w:rPr>
        <w:br w:type="page"/>
      </w:r>
    </w:p>
    <w:p w14:paraId="1748D689" w14:textId="1672CFEC" w:rsidR="00382CF2" w:rsidRPr="007C7F0B" w:rsidRDefault="00054989" w:rsidP="007C7F0B">
      <w:pPr>
        <w:keepNext/>
        <w:keepLines/>
        <w:pBdr>
          <w:bottom w:val="single" w:sz="4" w:space="2" w:color="B2B2B2"/>
        </w:pBdr>
        <w:spacing w:before="360" w:after="120"/>
        <w:jc w:val="both"/>
        <w:outlineLvl w:val="0"/>
        <w:rPr>
          <w:rFonts w:ascii="Calibri" w:eastAsia="SimHei" w:hAnsi="Calibri" w:cs="Calibri"/>
          <w:b/>
          <w:bCs/>
          <w:sz w:val="22"/>
          <w:szCs w:val="22"/>
          <w:lang w:val="hr-HR"/>
        </w:rPr>
      </w:pPr>
      <w:bookmarkStart w:id="9" w:name="_Toc129083698"/>
      <w:bookmarkEnd w:id="5"/>
      <w:r w:rsidRPr="007C7F0B">
        <w:rPr>
          <w:rFonts w:ascii="Calibri" w:eastAsia="SimHei" w:hAnsi="Calibri" w:cs="Calibri"/>
          <w:b/>
          <w:bCs/>
          <w:sz w:val="22"/>
          <w:szCs w:val="22"/>
          <w:lang w:val="hr-HR"/>
        </w:rPr>
        <w:lastRenderedPageBreak/>
        <w:t>IZVJEŠĆE POSLOVODSTVA ZA 2022. GODINU</w:t>
      </w:r>
      <w:bookmarkEnd w:id="6"/>
      <w:bookmarkEnd w:id="9"/>
    </w:p>
    <w:p w14:paraId="1748D68A" w14:textId="09D453C1" w:rsidR="00382CF2" w:rsidRDefault="00382CF2">
      <w:pPr>
        <w:spacing w:before="120" w:after="120" w:line="276" w:lineRule="auto"/>
        <w:jc w:val="both"/>
        <w:rPr>
          <w:rFonts w:ascii="Calibri" w:eastAsia="SimSun" w:hAnsi="Calibri" w:cs="Calibri"/>
          <w:b/>
          <w:spacing w:val="-3"/>
          <w:sz w:val="22"/>
          <w:szCs w:val="22"/>
          <w:lang w:val="hr-HR"/>
        </w:rPr>
      </w:pPr>
    </w:p>
    <w:bookmarkEnd w:id="7"/>
    <w:p w14:paraId="1748D68B"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Godišnje izvješće obuhvaća sažetak financijskih informacija, opis poslovanja te revidirane Godišnje financijske izvještaje zajedno s Izvješćem neovisnog revizora za godinu koja je završila 31. prosinca 2022. Revidirani financijski izvještaji prikazani su za Grupu Hrvatska banka za obnovu i razvitak i Hrvatsku banku za obnovu i razvitak.</w:t>
      </w:r>
    </w:p>
    <w:p w14:paraId="1748D68C" w14:textId="77777777" w:rsidR="00382CF2" w:rsidRDefault="00382CF2">
      <w:pPr>
        <w:spacing w:before="120" w:after="120" w:line="276" w:lineRule="auto"/>
        <w:jc w:val="both"/>
        <w:rPr>
          <w:rFonts w:ascii="Calibri" w:eastAsia="SimSun" w:hAnsi="Calibri" w:cs="Calibri"/>
          <w:sz w:val="22"/>
          <w:szCs w:val="22"/>
          <w:lang w:val="hr-HR"/>
        </w:rPr>
      </w:pPr>
    </w:p>
    <w:p w14:paraId="1748D68D" w14:textId="77777777" w:rsidR="00382CF2" w:rsidRDefault="00054989">
      <w:pPr>
        <w:spacing w:before="120" w:after="120" w:line="276" w:lineRule="auto"/>
        <w:jc w:val="both"/>
        <w:rPr>
          <w:rFonts w:ascii="Calibri" w:eastAsia="SimSun" w:hAnsi="Calibri" w:cs="Calibri"/>
          <w:b/>
          <w:sz w:val="22"/>
          <w:szCs w:val="22"/>
          <w:lang w:val="hr-HR"/>
        </w:rPr>
      </w:pPr>
      <w:bookmarkStart w:id="10" w:name="_Hlk3975557"/>
      <w:r>
        <w:rPr>
          <w:rFonts w:ascii="Calibri" w:eastAsia="SimSun" w:hAnsi="Calibri" w:cs="Calibri"/>
          <w:b/>
          <w:sz w:val="22"/>
          <w:szCs w:val="22"/>
          <w:lang w:val="hr-HR"/>
        </w:rPr>
        <w:t>Pravni status</w:t>
      </w:r>
    </w:p>
    <w:p w14:paraId="1748D68E" w14:textId="43C7A5FE"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Godišnje izvješće uključuje Godišnje financijske izvještaje pripremljene u skladu s Međunarodnim standardima financijskog izvještavanja i Zakonu o računovodstvu te revidirane u skladu s Međunarodnim revizijskim standardima. Usklađenost Godišnjeg izvješća s Godišnjim financijskim izvještajima potvrđena je od strane revizora provođenjem procedure zahtijevane Zakonom o računovodstvu.</w:t>
      </w:r>
    </w:p>
    <w:p w14:paraId="1748D68F" w14:textId="77777777" w:rsidR="00382CF2" w:rsidRDefault="00382CF2">
      <w:pPr>
        <w:spacing w:before="120" w:after="120" w:line="276" w:lineRule="auto"/>
        <w:jc w:val="both"/>
        <w:rPr>
          <w:rFonts w:ascii="Calibri" w:eastAsia="SimSun" w:hAnsi="Calibri" w:cs="Calibri"/>
          <w:sz w:val="22"/>
          <w:szCs w:val="22"/>
          <w:lang w:val="hr-HR"/>
        </w:rPr>
      </w:pPr>
    </w:p>
    <w:bookmarkEnd w:id="8"/>
    <w:bookmarkEnd w:id="10"/>
    <w:p w14:paraId="1748D690" w14:textId="77777777" w:rsidR="00382CF2" w:rsidRDefault="00054989">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Osnivanje</w:t>
      </w:r>
    </w:p>
    <w:p w14:paraId="1748D691"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Hrvatska banka za obnovu i razvitak osnovana je 12. 6. 1992. donošenjem Zakona o Hrvatskoj kreditnoj banci za obnovu (HKBO). Izmjenama i dopunama Zakona u prosincu 1995. naziv se mijenja u Hrvatska banka za obnovu i razvitak. U prosincu 2006. Hrvatski sabor donio je Zakon o Hrvatskoj banci za obnovu i razvitak koji je stupio na snagu 28. prosinca 2006. Hrvatski je sabor 15. 2. 2013. donio Zakon o izmjeni Zakona o Hrvatskoj banci za obnovu i razvitak kojim je izmijenjen sastav Nadzornog odbora, odnosno Nadzorni odbor je povećan za jednog člana – ministra nadležnog za regionalni razvoj i fondove Europske unije te ukupno broji deset članova. </w:t>
      </w:r>
    </w:p>
    <w:p w14:paraId="1748D692" w14:textId="77777777" w:rsidR="00382CF2" w:rsidRDefault="00382CF2">
      <w:pPr>
        <w:spacing w:before="120" w:after="120" w:line="276" w:lineRule="auto"/>
        <w:jc w:val="both"/>
        <w:rPr>
          <w:rFonts w:ascii="Calibri" w:eastAsia="SimSun" w:hAnsi="Calibri" w:cs="Calibri"/>
          <w:sz w:val="22"/>
          <w:szCs w:val="22"/>
          <w:lang w:val="hr-HR"/>
        </w:rPr>
      </w:pPr>
    </w:p>
    <w:p w14:paraId="1748D693" w14:textId="77777777" w:rsidR="00382CF2" w:rsidRDefault="00054989">
      <w:pPr>
        <w:spacing w:before="120" w:after="120" w:line="276" w:lineRule="auto"/>
        <w:jc w:val="both"/>
        <w:rPr>
          <w:rFonts w:ascii="Calibri" w:eastAsia="Arial Unicode MS" w:hAnsi="Calibri" w:cs="Calibri"/>
          <w:b/>
          <w:sz w:val="22"/>
          <w:szCs w:val="22"/>
          <w:lang w:val="hr-HR"/>
        </w:rPr>
      </w:pPr>
      <w:r>
        <w:rPr>
          <w:rFonts w:ascii="Calibri" w:eastAsia="Arial Unicode MS" w:hAnsi="Calibri" w:cs="Calibri"/>
          <w:b/>
          <w:sz w:val="22"/>
          <w:szCs w:val="22"/>
          <w:lang w:val="hr-HR"/>
        </w:rPr>
        <w:t>Grupa Hrvatska banka za obnovu i razvitak</w:t>
      </w:r>
    </w:p>
    <w:p w14:paraId="1748D694"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Hrvatska banka za obnovu i razvitak (HBOR ili Banka) je matično društvo Grupe Hrvatska banka za obnovu i razvitak (Grupa HBOR) koja je formirana tijekom 2010. godine. Grupu HBOR uz matično društvo čine Hrvatsko kreditno osiguranje d.d. (HKO) i Poslovni info servis d.o.o. (PIS). </w:t>
      </w:r>
    </w:p>
    <w:tbl>
      <w:tblPr>
        <w:tblW w:w="5000" w:type="pct"/>
        <w:tblCellMar>
          <w:left w:w="10" w:type="dxa"/>
          <w:right w:w="10" w:type="dxa"/>
        </w:tblCellMar>
        <w:tblLook w:val="04A0" w:firstRow="1" w:lastRow="0" w:firstColumn="1" w:lastColumn="0" w:noHBand="0" w:noVBand="1"/>
      </w:tblPr>
      <w:tblGrid>
        <w:gridCol w:w="1864"/>
        <w:gridCol w:w="2014"/>
        <w:gridCol w:w="1583"/>
        <w:gridCol w:w="3884"/>
      </w:tblGrid>
      <w:tr w:rsidR="00382CF2" w14:paraId="1748D699" w14:textId="77777777">
        <w:trPr>
          <w:trHeight w:val="832"/>
        </w:trPr>
        <w:tc>
          <w:tcPr>
            <w:tcW w:w="1864" w:type="dxa"/>
            <w:tcBorders>
              <w:top w:val="single" w:sz="4" w:space="0" w:color="666666"/>
              <w:left w:val="single" w:sz="4" w:space="0" w:color="666666"/>
              <w:bottom w:val="single" w:sz="4" w:space="0" w:color="666666"/>
            </w:tcBorders>
            <w:shd w:val="clear" w:color="auto" w:fill="auto"/>
            <w:tcMar>
              <w:top w:w="0" w:type="dxa"/>
              <w:left w:w="108" w:type="dxa"/>
              <w:bottom w:w="0" w:type="dxa"/>
              <w:right w:w="108" w:type="dxa"/>
            </w:tcMar>
            <w:vAlign w:val="center"/>
          </w:tcPr>
          <w:p w14:paraId="1748D695" w14:textId="77777777" w:rsidR="00382CF2" w:rsidRPr="008E4C3B" w:rsidRDefault="00054989">
            <w:pPr>
              <w:spacing w:before="120" w:after="120" w:line="276" w:lineRule="auto"/>
              <w:jc w:val="both"/>
              <w:rPr>
                <w:rFonts w:ascii="Calibri" w:eastAsia="SimSun" w:hAnsi="Calibri" w:cs="Calibri"/>
                <w:b/>
                <w:bCs/>
                <w:sz w:val="22"/>
                <w:szCs w:val="22"/>
                <w:lang w:val="hr-HR"/>
              </w:rPr>
            </w:pPr>
            <w:r w:rsidRPr="008E4C3B">
              <w:rPr>
                <w:rFonts w:ascii="Calibri" w:eastAsia="SimSun" w:hAnsi="Calibri" w:cs="Calibri"/>
                <w:b/>
                <w:bCs/>
                <w:sz w:val="22"/>
                <w:szCs w:val="22"/>
                <w:lang w:val="hr-HR"/>
              </w:rPr>
              <w:t>NAZIV</w:t>
            </w:r>
          </w:p>
        </w:tc>
        <w:tc>
          <w:tcPr>
            <w:tcW w:w="2014"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1748D696" w14:textId="77777777" w:rsidR="00382CF2" w:rsidRPr="008E4C3B" w:rsidRDefault="00054989">
            <w:pPr>
              <w:spacing w:before="120" w:after="120" w:line="276" w:lineRule="auto"/>
              <w:jc w:val="center"/>
              <w:rPr>
                <w:rFonts w:ascii="Calibri" w:eastAsia="SimSun" w:hAnsi="Calibri" w:cs="Calibri"/>
                <w:b/>
                <w:bCs/>
                <w:sz w:val="22"/>
                <w:szCs w:val="22"/>
                <w:lang w:val="hr-HR"/>
              </w:rPr>
            </w:pPr>
            <w:r w:rsidRPr="008E4C3B">
              <w:rPr>
                <w:rFonts w:ascii="Calibri" w:eastAsia="SimSun" w:hAnsi="Calibri" w:cs="Calibri"/>
                <w:b/>
                <w:bCs/>
                <w:sz w:val="22"/>
                <w:szCs w:val="22"/>
                <w:lang w:val="hr-HR"/>
              </w:rPr>
              <w:t>ULOGA UNUTAR GRUPE</w:t>
            </w:r>
          </w:p>
        </w:tc>
        <w:tc>
          <w:tcPr>
            <w:tcW w:w="1583"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1748D697" w14:textId="77777777" w:rsidR="00382CF2" w:rsidRPr="008E4C3B" w:rsidRDefault="00054989">
            <w:pPr>
              <w:spacing w:before="120" w:after="120" w:line="276" w:lineRule="auto"/>
              <w:jc w:val="center"/>
              <w:rPr>
                <w:rFonts w:ascii="Calibri" w:eastAsia="SimSun" w:hAnsi="Calibri" w:cs="Calibri"/>
                <w:b/>
                <w:bCs/>
                <w:sz w:val="22"/>
                <w:szCs w:val="22"/>
                <w:lang w:val="hr-HR"/>
              </w:rPr>
            </w:pPr>
            <w:r w:rsidRPr="008E4C3B">
              <w:rPr>
                <w:rFonts w:ascii="Calibri" w:eastAsia="SimSun" w:hAnsi="Calibri" w:cs="Calibri"/>
                <w:b/>
                <w:bCs/>
                <w:sz w:val="22"/>
                <w:szCs w:val="22"/>
                <w:lang w:val="hr-HR"/>
              </w:rPr>
              <w:t>% POVEZANOSTI</w:t>
            </w:r>
          </w:p>
        </w:tc>
        <w:tc>
          <w:tcPr>
            <w:tcW w:w="3884" w:type="dxa"/>
            <w:tcBorders>
              <w:top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48D698" w14:textId="77777777" w:rsidR="00382CF2" w:rsidRPr="008E4C3B" w:rsidRDefault="00054989">
            <w:pPr>
              <w:spacing w:before="120" w:after="120" w:line="276" w:lineRule="auto"/>
              <w:jc w:val="center"/>
              <w:rPr>
                <w:rFonts w:ascii="Calibri" w:eastAsia="SimSun" w:hAnsi="Calibri" w:cs="Calibri"/>
                <w:b/>
                <w:bCs/>
                <w:sz w:val="22"/>
                <w:szCs w:val="22"/>
                <w:lang w:val="hr-HR"/>
              </w:rPr>
            </w:pPr>
            <w:r w:rsidRPr="008E4C3B">
              <w:rPr>
                <w:rFonts w:ascii="Calibri" w:eastAsia="SimSun" w:hAnsi="Calibri" w:cs="Calibri"/>
                <w:b/>
                <w:bCs/>
                <w:sz w:val="22"/>
                <w:szCs w:val="22"/>
                <w:lang w:val="hr-HR"/>
              </w:rPr>
              <w:t>POSLOVNE AKTIVNOSTI</w:t>
            </w:r>
          </w:p>
        </w:tc>
      </w:tr>
      <w:tr w:rsidR="00382CF2" w14:paraId="1748D69E" w14:textId="77777777">
        <w:trPr>
          <w:trHeight w:val="1274"/>
        </w:trPr>
        <w:tc>
          <w:tcPr>
            <w:tcW w:w="1864" w:type="dxa"/>
            <w:tcBorders>
              <w:top w:val="single" w:sz="4" w:space="0" w:color="666666"/>
              <w:left w:val="single" w:sz="4" w:space="0" w:color="666666"/>
              <w:bottom w:val="single" w:sz="4" w:space="0" w:color="666666"/>
            </w:tcBorders>
            <w:shd w:val="clear" w:color="auto" w:fill="auto"/>
            <w:tcMar>
              <w:top w:w="0" w:type="dxa"/>
              <w:left w:w="108" w:type="dxa"/>
              <w:bottom w:w="0" w:type="dxa"/>
              <w:right w:w="108" w:type="dxa"/>
            </w:tcMar>
            <w:vAlign w:val="center"/>
          </w:tcPr>
          <w:p w14:paraId="1748D69A" w14:textId="77777777" w:rsidR="00382CF2" w:rsidRDefault="00000000">
            <w:hyperlink r:id="rId12" w:history="1">
              <w:r w:rsidR="00054989">
                <w:rPr>
                  <w:rStyle w:val="Zadanifontodlomka1"/>
                  <w:rFonts w:ascii="Calibri" w:eastAsia="Calibri" w:hAnsi="Calibri" w:cs="Calibri"/>
                  <w:b/>
                  <w:bCs/>
                  <w:sz w:val="22"/>
                  <w:szCs w:val="22"/>
                  <w:lang w:val="hr-HR"/>
                </w:rPr>
                <w:t>Hrvatsko kreditno osiguranje d.d.</w:t>
              </w:r>
            </w:hyperlink>
          </w:p>
        </w:tc>
        <w:tc>
          <w:tcPr>
            <w:tcW w:w="2014"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1748D69B" w14:textId="77777777" w:rsidR="00382CF2" w:rsidRDefault="00054989">
            <w:pPr>
              <w:rPr>
                <w:rFonts w:ascii="Calibri" w:eastAsia="Calibri" w:hAnsi="Calibri" w:cs="Calibri"/>
                <w:sz w:val="22"/>
                <w:szCs w:val="22"/>
                <w:lang w:val="hr-HR"/>
              </w:rPr>
            </w:pPr>
            <w:r>
              <w:rPr>
                <w:rFonts w:ascii="Calibri" w:eastAsia="Calibri" w:hAnsi="Calibri" w:cs="Calibri"/>
                <w:sz w:val="22"/>
                <w:szCs w:val="22"/>
                <w:lang w:val="hr-HR"/>
              </w:rPr>
              <w:t>ovisno društvo, neposredna kapitalna povezanost</w:t>
            </w:r>
          </w:p>
        </w:tc>
        <w:tc>
          <w:tcPr>
            <w:tcW w:w="1583"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1748D69C" w14:textId="77777777" w:rsidR="00382CF2" w:rsidRDefault="00054989">
            <w:pPr>
              <w:jc w:val="both"/>
              <w:rPr>
                <w:rFonts w:ascii="Calibri" w:eastAsia="Calibri" w:hAnsi="Calibri" w:cs="Calibri"/>
                <w:sz w:val="22"/>
                <w:szCs w:val="22"/>
                <w:lang w:val="hr-HR"/>
              </w:rPr>
            </w:pPr>
            <w:r>
              <w:rPr>
                <w:rFonts w:ascii="Calibri" w:eastAsia="Calibri" w:hAnsi="Calibri" w:cs="Calibri"/>
                <w:sz w:val="22"/>
                <w:szCs w:val="22"/>
                <w:lang w:val="hr-HR"/>
              </w:rPr>
              <w:t>100% s HBOR</w:t>
            </w:r>
          </w:p>
        </w:tc>
        <w:tc>
          <w:tcPr>
            <w:tcW w:w="3884" w:type="dxa"/>
            <w:tcBorders>
              <w:top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48D69D" w14:textId="77777777" w:rsidR="00382CF2" w:rsidRDefault="00054989">
            <w:pPr>
              <w:rPr>
                <w:rFonts w:ascii="Calibri" w:eastAsia="Calibri" w:hAnsi="Calibri" w:cs="Calibri"/>
                <w:sz w:val="22"/>
                <w:szCs w:val="22"/>
                <w:lang w:val="hr-HR"/>
              </w:rPr>
            </w:pPr>
            <w:r>
              <w:rPr>
                <w:rFonts w:ascii="Calibri" w:eastAsia="Calibri" w:hAnsi="Calibri" w:cs="Calibri"/>
                <w:sz w:val="22"/>
                <w:szCs w:val="22"/>
                <w:lang w:val="hr-HR"/>
              </w:rPr>
              <w:t>osiguravanje inozemnih i domaćih kratkoročnih potraživanja vezanih uz isporuke roba i usluga</w:t>
            </w:r>
          </w:p>
        </w:tc>
      </w:tr>
      <w:tr w:rsidR="00382CF2" w14:paraId="1748D6A3" w14:textId="77777777">
        <w:trPr>
          <w:trHeight w:val="1275"/>
        </w:trPr>
        <w:tc>
          <w:tcPr>
            <w:tcW w:w="1864" w:type="dxa"/>
            <w:tcBorders>
              <w:top w:val="single" w:sz="4" w:space="0" w:color="666666"/>
              <w:left w:val="single" w:sz="4" w:space="0" w:color="666666"/>
              <w:bottom w:val="single" w:sz="4" w:space="0" w:color="666666"/>
            </w:tcBorders>
            <w:shd w:val="clear" w:color="auto" w:fill="auto"/>
            <w:tcMar>
              <w:top w:w="0" w:type="dxa"/>
              <w:left w:w="108" w:type="dxa"/>
              <w:bottom w:w="0" w:type="dxa"/>
              <w:right w:w="108" w:type="dxa"/>
            </w:tcMar>
            <w:vAlign w:val="center"/>
          </w:tcPr>
          <w:p w14:paraId="1748D69F" w14:textId="57F6CC1F" w:rsidR="00382CF2" w:rsidRDefault="00054989">
            <w:pPr>
              <w:rPr>
                <w:rFonts w:ascii="Calibri" w:eastAsia="Calibri" w:hAnsi="Calibri" w:cs="Calibri"/>
                <w:b/>
                <w:bCs/>
                <w:sz w:val="22"/>
                <w:szCs w:val="22"/>
                <w:lang w:val="hr-HR"/>
              </w:rPr>
            </w:pPr>
            <w:r>
              <w:rPr>
                <w:rFonts w:ascii="Calibri" w:eastAsia="Calibri" w:hAnsi="Calibri" w:cs="Calibri"/>
                <w:b/>
                <w:bCs/>
                <w:sz w:val="22"/>
                <w:szCs w:val="22"/>
                <w:lang w:val="hr-HR"/>
              </w:rPr>
              <w:t>Poslovni info servis d.o.o.</w:t>
            </w:r>
          </w:p>
        </w:tc>
        <w:tc>
          <w:tcPr>
            <w:tcW w:w="2014"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1748D6A0" w14:textId="57F6CC1F" w:rsidR="00382CF2" w:rsidRDefault="00054989">
            <w:pPr>
              <w:rPr>
                <w:rFonts w:ascii="Calibri" w:eastAsia="Calibri" w:hAnsi="Calibri" w:cs="Calibri"/>
                <w:sz w:val="22"/>
                <w:szCs w:val="22"/>
                <w:lang w:val="hr-HR"/>
              </w:rPr>
            </w:pPr>
            <w:r>
              <w:rPr>
                <w:rFonts w:ascii="Calibri" w:eastAsia="Calibri" w:hAnsi="Calibri" w:cs="Calibri"/>
                <w:sz w:val="22"/>
                <w:szCs w:val="22"/>
                <w:lang w:val="hr-HR"/>
              </w:rPr>
              <w:t>ovisno društvo, posredna kapitalna povezanost</w:t>
            </w:r>
          </w:p>
        </w:tc>
        <w:tc>
          <w:tcPr>
            <w:tcW w:w="1583"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1748D6A1" w14:textId="77777777" w:rsidR="00382CF2" w:rsidRDefault="00054989">
            <w:pPr>
              <w:jc w:val="both"/>
              <w:rPr>
                <w:rFonts w:ascii="Calibri" w:eastAsia="Calibri" w:hAnsi="Calibri" w:cs="Calibri"/>
                <w:sz w:val="22"/>
                <w:szCs w:val="22"/>
                <w:lang w:val="hr-HR"/>
              </w:rPr>
            </w:pPr>
            <w:r>
              <w:rPr>
                <w:rFonts w:ascii="Calibri" w:eastAsia="Calibri" w:hAnsi="Calibri" w:cs="Calibri"/>
                <w:sz w:val="22"/>
                <w:szCs w:val="22"/>
                <w:lang w:val="hr-HR"/>
              </w:rPr>
              <w:t>100% s HKO</w:t>
            </w:r>
          </w:p>
        </w:tc>
        <w:tc>
          <w:tcPr>
            <w:tcW w:w="3884" w:type="dxa"/>
            <w:tcBorders>
              <w:top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48D6A2" w14:textId="57F6CC1F" w:rsidR="00382CF2" w:rsidRDefault="00054989">
            <w:pPr>
              <w:rPr>
                <w:rFonts w:ascii="Calibri" w:eastAsia="Calibri" w:hAnsi="Calibri" w:cs="Calibri"/>
                <w:sz w:val="22"/>
                <w:szCs w:val="22"/>
                <w:lang w:val="hr-HR"/>
              </w:rPr>
            </w:pPr>
            <w:r>
              <w:rPr>
                <w:rFonts w:ascii="Calibri" w:eastAsia="Calibri" w:hAnsi="Calibri" w:cs="Calibri"/>
                <w:sz w:val="22"/>
                <w:szCs w:val="22"/>
                <w:lang w:val="hr-HR"/>
              </w:rPr>
              <w:t>izrada analiza, procjena kreditnih rizika i pružanje informacija o kreditnoj sposobnosti</w:t>
            </w:r>
          </w:p>
        </w:tc>
      </w:tr>
    </w:tbl>
    <w:p w14:paraId="6B1EB1BE" w14:textId="77777777" w:rsidR="00A23DDB" w:rsidRDefault="00A23DDB">
      <w:pPr>
        <w:spacing w:before="120" w:after="120" w:line="276" w:lineRule="auto"/>
        <w:jc w:val="both"/>
        <w:rPr>
          <w:rFonts w:ascii="Calibri" w:eastAsia="SimSun" w:hAnsi="Calibri" w:cs="Calibri"/>
          <w:b/>
          <w:sz w:val="22"/>
          <w:szCs w:val="22"/>
          <w:lang w:val="hr-HR"/>
        </w:rPr>
      </w:pPr>
    </w:p>
    <w:p w14:paraId="715E8DC9" w14:textId="77777777" w:rsidR="00A23DDB" w:rsidRDefault="00A23DDB">
      <w:pPr>
        <w:suppressAutoHyphens w:val="0"/>
        <w:rPr>
          <w:rFonts w:ascii="Calibri" w:eastAsia="SimSun" w:hAnsi="Calibri" w:cs="Calibri"/>
          <w:b/>
          <w:sz w:val="22"/>
          <w:szCs w:val="22"/>
          <w:lang w:val="hr-HR"/>
        </w:rPr>
      </w:pPr>
      <w:r>
        <w:rPr>
          <w:rFonts w:ascii="Calibri" w:eastAsia="SimSun" w:hAnsi="Calibri" w:cs="Calibri"/>
          <w:b/>
          <w:sz w:val="22"/>
          <w:szCs w:val="22"/>
          <w:lang w:val="hr-HR"/>
        </w:rPr>
        <w:br w:type="page"/>
      </w:r>
    </w:p>
    <w:p w14:paraId="1748D6A6" w14:textId="1395B572" w:rsidR="00382CF2" w:rsidRDefault="00054989">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lastRenderedPageBreak/>
        <w:t>Pregled najvažnijih financijskih informacija za HBOR, u milijunima kuna</w:t>
      </w:r>
    </w:p>
    <w:tbl>
      <w:tblPr>
        <w:tblW w:w="9126" w:type="dxa"/>
        <w:tblCellMar>
          <w:left w:w="10" w:type="dxa"/>
          <w:right w:w="10" w:type="dxa"/>
        </w:tblCellMar>
        <w:tblLook w:val="04A0" w:firstRow="1" w:lastRow="0" w:firstColumn="1" w:lastColumn="0" w:noHBand="0" w:noVBand="1"/>
      </w:tblPr>
      <w:tblGrid>
        <w:gridCol w:w="3855"/>
        <w:gridCol w:w="1757"/>
        <w:gridCol w:w="1757"/>
        <w:gridCol w:w="1757"/>
      </w:tblGrid>
      <w:tr w:rsidR="00382CF2" w14:paraId="1748D6AB" w14:textId="77777777" w:rsidTr="4AF032DA">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48D6A7" w14:textId="57F6CC1F" w:rsidR="00382CF2" w:rsidRPr="007F3D38" w:rsidRDefault="00382CF2">
            <w:pPr>
              <w:rPr>
                <w:rFonts w:ascii="Calibri" w:hAnsi="Calibri" w:cs="Calibri"/>
                <w:b/>
                <w:bCs/>
                <w:sz w:val="22"/>
                <w:szCs w:val="22"/>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A8" w14:textId="77777777" w:rsidR="00382CF2" w:rsidRPr="008E4C3B" w:rsidRDefault="00054989">
            <w:pPr>
              <w:jc w:val="right"/>
              <w:rPr>
                <w:rFonts w:ascii="Calibri" w:hAnsi="Calibri" w:cs="Calibri"/>
                <w:b/>
                <w:bCs/>
                <w:sz w:val="22"/>
                <w:szCs w:val="22"/>
              </w:rPr>
            </w:pPr>
            <w:r w:rsidRPr="008E4C3B">
              <w:rPr>
                <w:rFonts w:ascii="Calibri" w:hAnsi="Calibri" w:cs="Calibri"/>
                <w:b/>
                <w:bCs/>
                <w:sz w:val="22"/>
                <w:szCs w:val="22"/>
              </w:rPr>
              <w:t>2020.</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A9" w14:textId="77777777" w:rsidR="00382CF2" w:rsidRPr="008E4C3B" w:rsidRDefault="00054989">
            <w:pPr>
              <w:jc w:val="right"/>
              <w:rPr>
                <w:rFonts w:ascii="Calibri" w:hAnsi="Calibri" w:cs="Calibri"/>
                <w:b/>
                <w:bCs/>
                <w:sz w:val="22"/>
                <w:szCs w:val="22"/>
              </w:rPr>
            </w:pPr>
            <w:r w:rsidRPr="008E4C3B">
              <w:rPr>
                <w:rFonts w:ascii="Calibri" w:hAnsi="Calibri" w:cs="Calibri"/>
                <w:b/>
                <w:bCs/>
                <w:sz w:val="22"/>
                <w:szCs w:val="22"/>
              </w:rPr>
              <w:t>2021.</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AA" w14:textId="77777777" w:rsidR="00382CF2" w:rsidRPr="008E4C3B" w:rsidRDefault="00054989">
            <w:pPr>
              <w:jc w:val="right"/>
              <w:rPr>
                <w:rFonts w:ascii="Calibri" w:hAnsi="Calibri" w:cs="Calibri"/>
                <w:b/>
                <w:bCs/>
                <w:sz w:val="22"/>
                <w:szCs w:val="22"/>
              </w:rPr>
            </w:pPr>
            <w:r w:rsidRPr="008E4C3B">
              <w:rPr>
                <w:rFonts w:ascii="Calibri" w:hAnsi="Calibri" w:cs="Calibri"/>
                <w:b/>
                <w:bCs/>
                <w:sz w:val="22"/>
                <w:szCs w:val="22"/>
              </w:rPr>
              <w:t>2022.</w:t>
            </w:r>
          </w:p>
        </w:tc>
      </w:tr>
      <w:tr w:rsidR="00382CF2" w14:paraId="1748D6B0" w14:textId="77777777" w:rsidTr="4AF032DA">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AC" w14:textId="77777777" w:rsidR="00382CF2" w:rsidRDefault="00054989">
            <w:pPr>
              <w:rPr>
                <w:rFonts w:ascii="Calibri" w:hAnsi="Calibri" w:cs="Calibri"/>
                <w:b/>
                <w:bCs/>
                <w:noProof/>
                <w:sz w:val="22"/>
                <w:szCs w:val="22"/>
              </w:rPr>
            </w:pPr>
            <w:r>
              <w:rPr>
                <w:rFonts w:ascii="Calibri" w:hAnsi="Calibri" w:cs="Calibri"/>
                <w:b/>
                <w:bCs/>
                <w:noProof/>
                <w:sz w:val="22"/>
                <w:szCs w:val="22"/>
              </w:rPr>
              <w:t>Ukupna imovina</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AD" w14:textId="77777777" w:rsidR="00382CF2" w:rsidRDefault="00054989">
            <w:pPr>
              <w:jc w:val="right"/>
              <w:rPr>
                <w:rFonts w:ascii="Calibri" w:hAnsi="Calibri" w:cs="Calibri"/>
                <w:sz w:val="22"/>
                <w:szCs w:val="22"/>
              </w:rPr>
            </w:pPr>
            <w:r>
              <w:rPr>
                <w:rFonts w:ascii="Calibri" w:hAnsi="Calibri" w:cs="Calibri"/>
                <w:sz w:val="22"/>
                <w:szCs w:val="22"/>
              </w:rPr>
              <w:t>28.680,36</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AE" w14:textId="77777777" w:rsidR="00382CF2" w:rsidRDefault="00054989">
            <w:pPr>
              <w:jc w:val="right"/>
              <w:rPr>
                <w:rFonts w:ascii="Calibri" w:hAnsi="Calibri" w:cs="Calibri"/>
                <w:sz w:val="22"/>
                <w:szCs w:val="22"/>
              </w:rPr>
            </w:pPr>
            <w:r>
              <w:rPr>
                <w:rFonts w:ascii="Calibri" w:hAnsi="Calibri" w:cs="Calibri"/>
                <w:sz w:val="22"/>
                <w:szCs w:val="22"/>
              </w:rPr>
              <w:t>28.249,99</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AF" w14:textId="77777777" w:rsidR="00382CF2" w:rsidRDefault="00054989">
            <w:pPr>
              <w:jc w:val="right"/>
              <w:rPr>
                <w:rFonts w:ascii="Calibri" w:hAnsi="Calibri" w:cs="Calibri"/>
                <w:sz w:val="22"/>
                <w:szCs w:val="22"/>
              </w:rPr>
            </w:pPr>
            <w:r>
              <w:rPr>
                <w:rFonts w:ascii="Calibri" w:hAnsi="Calibri" w:cs="Calibri"/>
                <w:sz w:val="22"/>
                <w:szCs w:val="22"/>
              </w:rPr>
              <w:t>29.032,31</w:t>
            </w:r>
          </w:p>
        </w:tc>
      </w:tr>
      <w:tr w:rsidR="00382CF2" w14:paraId="1748D6B5" w14:textId="77777777" w:rsidTr="4AF032DA">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1" w14:textId="77777777" w:rsidR="00382CF2" w:rsidRDefault="00054989">
            <w:pPr>
              <w:rPr>
                <w:rFonts w:ascii="Calibri" w:hAnsi="Calibri" w:cs="Calibri"/>
                <w:b/>
                <w:bCs/>
                <w:noProof/>
                <w:sz w:val="22"/>
                <w:szCs w:val="22"/>
              </w:rPr>
            </w:pPr>
            <w:r>
              <w:rPr>
                <w:rFonts w:ascii="Calibri" w:hAnsi="Calibri" w:cs="Calibri"/>
                <w:b/>
                <w:bCs/>
                <w:noProof/>
                <w:sz w:val="22"/>
                <w:szCs w:val="22"/>
              </w:rPr>
              <w:t>Bruto krediti</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2" w14:textId="77777777" w:rsidR="00382CF2" w:rsidRDefault="00054989">
            <w:pPr>
              <w:jc w:val="right"/>
              <w:rPr>
                <w:rFonts w:ascii="Calibri" w:hAnsi="Calibri" w:cs="Calibri"/>
                <w:sz w:val="22"/>
                <w:szCs w:val="22"/>
              </w:rPr>
            </w:pPr>
            <w:r>
              <w:rPr>
                <w:rFonts w:ascii="Calibri" w:hAnsi="Calibri" w:cs="Calibri"/>
                <w:sz w:val="22"/>
                <w:szCs w:val="22"/>
              </w:rPr>
              <w:t>27.197,29</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3" w14:textId="77777777" w:rsidR="00382CF2" w:rsidRDefault="00054989">
            <w:pPr>
              <w:jc w:val="right"/>
              <w:rPr>
                <w:rFonts w:ascii="Calibri" w:hAnsi="Calibri" w:cs="Calibri"/>
                <w:sz w:val="22"/>
                <w:szCs w:val="22"/>
              </w:rPr>
            </w:pPr>
            <w:r>
              <w:rPr>
                <w:rFonts w:ascii="Calibri" w:hAnsi="Calibri" w:cs="Calibri"/>
                <w:sz w:val="22"/>
                <w:szCs w:val="22"/>
              </w:rPr>
              <w:t>26.329,34</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4" w14:textId="77777777" w:rsidR="00382CF2" w:rsidRDefault="00054989">
            <w:pPr>
              <w:jc w:val="right"/>
              <w:rPr>
                <w:rFonts w:ascii="Calibri" w:hAnsi="Calibri" w:cs="Calibri"/>
                <w:sz w:val="22"/>
                <w:szCs w:val="22"/>
              </w:rPr>
            </w:pPr>
            <w:r>
              <w:rPr>
                <w:rFonts w:ascii="Calibri" w:hAnsi="Calibri" w:cs="Calibri"/>
                <w:sz w:val="22"/>
                <w:szCs w:val="22"/>
              </w:rPr>
              <w:t>27.903,26</w:t>
            </w:r>
          </w:p>
        </w:tc>
      </w:tr>
      <w:tr w:rsidR="00382CF2" w14:paraId="1748D6BA" w14:textId="77777777" w:rsidTr="4AF032DA">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6" w14:textId="77777777" w:rsidR="00382CF2" w:rsidRDefault="00054989">
            <w:pPr>
              <w:rPr>
                <w:rFonts w:ascii="Calibri" w:hAnsi="Calibri" w:cs="Calibri"/>
                <w:b/>
                <w:bCs/>
                <w:noProof/>
                <w:sz w:val="22"/>
                <w:szCs w:val="22"/>
              </w:rPr>
            </w:pPr>
            <w:r>
              <w:rPr>
                <w:rFonts w:ascii="Calibri" w:hAnsi="Calibri" w:cs="Calibri"/>
                <w:b/>
                <w:bCs/>
                <w:noProof/>
                <w:sz w:val="22"/>
                <w:szCs w:val="22"/>
              </w:rPr>
              <w:t>Ukupni kapital i rezerve</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7" w14:textId="77777777" w:rsidR="00382CF2" w:rsidRDefault="00054989">
            <w:pPr>
              <w:jc w:val="right"/>
              <w:rPr>
                <w:rFonts w:ascii="Calibri" w:hAnsi="Calibri" w:cs="Calibri"/>
                <w:sz w:val="22"/>
                <w:szCs w:val="22"/>
              </w:rPr>
            </w:pPr>
            <w:r>
              <w:rPr>
                <w:rFonts w:ascii="Calibri" w:hAnsi="Calibri" w:cs="Calibri"/>
                <w:sz w:val="22"/>
                <w:szCs w:val="22"/>
              </w:rPr>
              <w:t>10.354,62</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8" w14:textId="77777777" w:rsidR="00382CF2" w:rsidRDefault="00054989">
            <w:pPr>
              <w:jc w:val="right"/>
              <w:rPr>
                <w:rFonts w:ascii="Calibri" w:hAnsi="Calibri" w:cs="Calibri"/>
                <w:sz w:val="22"/>
                <w:szCs w:val="22"/>
              </w:rPr>
            </w:pPr>
            <w:r>
              <w:rPr>
                <w:rFonts w:ascii="Calibri" w:hAnsi="Calibri" w:cs="Calibri"/>
                <w:sz w:val="22"/>
                <w:szCs w:val="22"/>
              </w:rPr>
              <w:t>10.567,73</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9" w14:textId="77777777" w:rsidR="00382CF2" w:rsidRDefault="00054989">
            <w:pPr>
              <w:jc w:val="right"/>
              <w:rPr>
                <w:rFonts w:ascii="Calibri" w:hAnsi="Calibri" w:cs="Calibri"/>
                <w:sz w:val="22"/>
                <w:szCs w:val="22"/>
              </w:rPr>
            </w:pPr>
            <w:r>
              <w:rPr>
                <w:rFonts w:ascii="Calibri" w:hAnsi="Calibri" w:cs="Calibri"/>
                <w:sz w:val="22"/>
                <w:szCs w:val="22"/>
              </w:rPr>
              <w:t>10.710,60</w:t>
            </w:r>
          </w:p>
        </w:tc>
      </w:tr>
      <w:tr w:rsidR="00382CF2" w14:paraId="1748D6BF" w14:textId="77777777" w:rsidTr="4AF032DA">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B" w14:textId="77777777" w:rsidR="00382CF2" w:rsidRDefault="00054989">
            <w:pPr>
              <w:rPr>
                <w:rFonts w:ascii="Calibri" w:hAnsi="Calibri" w:cs="Calibri"/>
                <w:b/>
                <w:bCs/>
                <w:noProof/>
                <w:sz w:val="22"/>
                <w:szCs w:val="22"/>
              </w:rPr>
            </w:pPr>
            <w:r>
              <w:rPr>
                <w:rFonts w:ascii="Calibri" w:hAnsi="Calibri" w:cs="Calibri"/>
                <w:b/>
                <w:bCs/>
                <w:noProof/>
                <w:sz w:val="22"/>
                <w:szCs w:val="22"/>
              </w:rPr>
              <w:t>Ukupni prihodi</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C" w14:textId="77777777" w:rsidR="00382CF2" w:rsidRDefault="00054989">
            <w:pPr>
              <w:jc w:val="right"/>
              <w:rPr>
                <w:rFonts w:ascii="Calibri" w:hAnsi="Calibri" w:cs="Calibri"/>
                <w:sz w:val="22"/>
                <w:szCs w:val="22"/>
              </w:rPr>
            </w:pPr>
            <w:r>
              <w:rPr>
                <w:rFonts w:ascii="Calibri" w:hAnsi="Calibri" w:cs="Calibri"/>
                <w:sz w:val="22"/>
                <w:szCs w:val="22"/>
              </w:rPr>
              <w:t>657,97</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D" w14:textId="77777777" w:rsidR="00382CF2" w:rsidRDefault="00054989">
            <w:pPr>
              <w:jc w:val="right"/>
              <w:rPr>
                <w:rFonts w:ascii="Calibri" w:hAnsi="Calibri" w:cs="Calibri"/>
                <w:sz w:val="22"/>
                <w:szCs w:val="22"/>
              </w:rPr>
            </w:pPr>
            <w:r>
              <w:rPr>
                <w:rFonts w:ascii="Calibri" w:hAnsi="Calibri" w:cs="Calibri"/>
                <w:sz w:val="22"/>
                <w:szCs w:val="22"/>
              </w:rPr>
              <w:t>728,64</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E" w14:textId="77777777" w:rsidR="00382CF2" w:rsidRDefault="00054989">
            <w:pPr>
              <w:jc w:val="right"/>
              <w:rPr>
                <w:rFonts w:ascii="Calibri" w:hAnsi="Calibri" w:cs="Calibri"/>
                <w:sz w:val="22"/>
                <w:szCs w:val="22"/>
              </w:rPr>
            </w:pPr>
            <w:r>
              <w:rPr>
                <w:rFonts w:ascii="Calibri" w:hAnsi="Calibri" w:cs="Calibri"/>
                <w:sz w:val="22"/>
                <w:szCs w:val="22"/>
              </w:rPr>
              <w:t>682,07</w:t>
            </w:r>
          </w:p>
        </w:tc>
      </w:tr>
      <w:tr w:rsidR="00382CF2" w14:paraId="1748D6C4" w14:textId="77777777" w:rsidTr="4AF032DA">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0" w14:textId="77777777" w:rsidR="00382CF2" w:rsidRDefault="00054989">
            <w:pPr>
              <w:rPr>
                <w:rFonts w:ascii="Calibri" w:hAnsi="Calibri" w:cs="Calibri"/>
                <w:b/>
                <w:bCs/>
                <w:noProof/>
                <w:sz w:val="22"/>
                <w:szCs w:val="22"/>
              </w:rPr>
            </w:pPr>
            <w:r>
              <w:rPr>
                <w:rFonts w:ascii="Calibri" w:hAnsi="Calibri" w:cs="Calibri"/>
                <w:b/>
                <w:bCs/>
                <w:noProof/>
                <w:sz w:val="22"/>
                <w:szCs w:val="22"/>
              </w:rPr>
              <w:t>Ukupni rashodi</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1" w14:textId="77777777" w:rsidR="00382CF2" w:rsidRDefault="00054989">
            <w:pPr>
              <w:jc w:val="right"/>
              <w:rPr>
                <w:rFonts w:ascii="Calibri" w:hAnsi="Calibri" w:cs="Calibri"/>
                <w:sz w:val="22"/>
                <w:szCs w:val="22"/>
              </w:rPr>
            </w:pPr>
            <w:r>
              <w:rPr>
                <w:rFonts w:ascii="Calibri" w:hAnsi="Calibri" w:cs="Calibri"/>
                <w:sz w:val="22"/>
                <w:szCs w:val="22"/>
              </w:rPr>
              <w:t>(578,63)</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2" w14:textId="77777777" w:rsidR="00382CF2" w:rsidRDefault="00054989">
            <w:pPr>
              <w:jc w:val="right"/>
              <w:rPr>
                <w:rFonts w:ascii="Calibri" w:hAnsi="Calibri" w:cs="Calibri"/>
                <w:sz w:val="22"/>
                <w:szCs w:val="22"/>
              </w:rPr>
            </w:pPr>
            <w:r>
              <w:rPr>
                <w:rFonts w:ascii="Calibri" w:hAnsi="Calibri" w:cs="Calibri"/>
                <w:sz w:val="22"/>
                <w:szCs w:val="22"/>
              </w:rPr>
              <w:t>(541,56)</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3" w14:textId="77777777" w:rsidR="00382CF2" w:rsidRDefault="00054989">
            <w:pPr>
              <w:jc w:val="right"/>
              <w:rPr>
                <w:rFonts w:ascii="Calibri" w:hAnsi="Calibri" w:cs="Calibri"/>
                <w:sz w:val="22"/>
                <w:szCs w:val="22"/>
              </w:rPr>
            </w:pPr>
            <w:r>
              <w:rPr>
                <w:rFonts w:ascii="Calibri" w:hAnsi="Calibri" w:cs="Calibri"/>
                <w:sz w:val="22"/>
                <w:szCs w:val="22"/>
              </w:rPr>
              <w:t>(495,90)</w:t>
            </w:r>
          </w:p>
        </w:tc>
      </w:tr>
      <w:tr w:rsidR="00382CF2" w14:paraId="1748D6C9" w14:textId="77777777" w:rsidTr="4AF032DA">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5" w14:textId="77777777" w:rsidR="00382CF2" w:rsidRDefault="00054989">
            <w:pPr>
              <w:rPr>
                <w:rFonts w:ascii="Calibri" w:hAnsi="Calibri" w:cs="Calibri"/>
                <w:b/>
                <w:bCs/>
                <w:noProof/>
                <w:sz w:val="22"/>
                <w:szCs w:val="22"/>
              </w:rPr>
            </w:pPr>
            <w:r>
              <w:rPr>
                <w:rFonts w:ascii="Calibri" w:hAnsi="Calibri" w:cs="Calibri"/>
                <w:b/>
                <w:bCs/>
                <w:noProof/>
                <w:sz w:val="22"/>
                <w:szCs w:val="22"/>
              </w:rPr>
              <w:t>Dobit</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6" w14:textId="77777777" w:rsidR="00382CF2" w:rsidRDefault="00054989">
            <w:pPr>
              <w:jc w:val="right"/>
              <w:rPr>
                <w:rFonts w:ascii="Calibri" w:hAnsi="Calibri" w:cs="Calibri"/>
                <w:sz w:val="22"/>
                <w:szCs w:val="22"/>
              </w:rPr>
            </w:pPr>
            <w:r>
              <w:rPr>
                <w:rFonts w:ascii="Calibri" w:hAnsi="Calibri" w:cs="Calibri"/>
                <w:sz w:val="22"/>
                <w:szCs w:val="22"/>
              </w:rPr>
              <w:t>79,34</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7" w14:textId="77777777" w:rsidR="00382CF2" w:rsidRDefault="00054989">
            <w:pPr>
              <w:jc w:val="right"/>
              <w:rPr>
                <w:rFonts w:ascii="Calibri" w:hAnsi="Calibri" w:cs="Calibri"/>
                <w:sz w:val="22"/>
                <w:szCs w:val="22"/>
              </w:rPr>
            </w:pPr>
            <w:r>
              <w:rPr>
                <w:rFonts w:ascii="Calibri" w:hAnsi="Calibri" w:cs="Calibri"/>
                <w:sz w:val="22"/>
                <w:szCs w:val="22"/>
              </w:rPr>
              <w:t>187,08</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8" w14:textId="77777777" w:rsidR="00382CF2" w:rsidRDefault="00054989">
            <w:pPr>
              <w:jc w:val="right"/>
              <w:rPr>
                <w:rFonts w:ascii="Calibri" w:hAnsi="Calibri" w:cs="Calibri"/>
                <w:sz w:val="22"/>
                <w:szCs w:val="22"/>
              </w:rPr>
            </w:pPr>
            <w:r>
              <w:rPr>
                <w:rFonts w:ascii="Calibri" w:hAnsi="Calibri" w:cs="Calibri"/>
                <w:sz w:val="22"/>
                <w:szCs w:val="22"/>
              </w:rPr>
              <w:t>186,17</w:t>
            </w:r>
          </w:p>
        </w:tc>
      </w:tr>
      <w:tr w:rsidR="00382CF2" w14:paraId="1748D6CE" w14:textId="77777777" w:rsidTr="4AF032DA">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A" w14:textId="77777777" w:rsidR="00382CF2" w:rsidRDefault="00054989">
            <w:pPr>
              <w:rPr>
                <w:rFonts w:ascii="Calibri" w:hAnsi="Calibri" w:cs="Calibri"/>
                <w:b/>
                <w:bCs/>
                <w:noProof/>
                <w:sz w:val="22"/>
                <w:szCs w:val="22"/>
              </w:rPr>
            </w:pPr>
            <w:r>
              <w:rPr>
                <w:rFonts w:ascii="Calibri" w:hAnsi="Calibri" w:cs="Calibri"/>
                <w:b/>
                <w:bCs/>
                <w:noProof/>
                <w:sz w:val="22"/>
                <w:szCs w:val="22"/>
              </w:rPr>
              <w:t>Kamatni prihodi</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B" w14:textId="77777777" w:rsidR="00382CF2" w:rsidRDefault="00054989">
            <w:pPr>
              <w:jc w:val="right"/>
              <w:rPr>
                <w:rFonts w:ascii="Calibri" w:hAnsi="Calibri" w:cs="Calibri"/>
                <w:sz w:val="22"/>
                <w:szCs w:val="22"/>
              </w:rPr>
            </w:pPr>
            <w:r>
              <w:rPr>
                <w:rFonts w:ascii="Calibri" w:hAnsi="Calibri" w:cs="Calibri"/>
                <w:sz w:val="22"/>
                <w:szCs w:val="22"/>
              </w:rPr>
              <w:t>621,34</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C" w14:textId="77777777" w:rsidR="00382CF2" w:rsidRDefault="00054989">
            <w:pPr>
              <w:jc w:val="right"/>
              <w:rPr>
                <w:rFonts w:ascii="Calibri" w:hAnsi="Calibri" w:cs="Calibri"/>
                <w:sz w:val="22"/>
                <w:szCs w:val="22"/>
              </w:rPr>
            </w:pPr>
            <w:r>
              <w:rPr>
                <w:rFonts w:ascii="Calibri" w:hAnsi="Calibri" w:cs="Calibri"/>
                <w:sz w:val="22"/>
                <w:szCs w:val="22"/>
              </w:rPr>
              <w:t>676,17</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D" w14:textId="77777777" w:rsidR="00382CF2" w:rsidRDefault="00054989">
            <w:pPr>
              <w:jc w:val="right"/>
              <w:rPr>
                <w:rFonts w:ascii="Calibri" w:hAnsi="Calibri" w:cs="Calibri"/>
                <w:sz w:val="22"/>
                <w:szCs w:val="22"/>
              </w:rPr>
            </w:pPr>
            <w:r>
              <w:rPr>
                <w:rFonts w:ascii="Calibri" w:hAnsi="Calibri" w:cs="Calibri"/>
                <w:sz w:val="22"/>
                <w:szCs w:val="22"/>
              </w:rPr>
              <w:t>627,88</w:t>
            </w:r>
          </w:p>
        </w:tc>
      </w:tr>
      <w:tr w:rsidR="00382CF2" w14:paraId="1748D6D3" w14:textId="77777777" w:rsidTr="4AF032DA">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F" w14:textId="77777777" w:rsidR="00382CF2" w:rsidRDefault="00054989">
            <w:pPr>
              <w:rPr>
                <w:rFonts w:ascii="Calibri" w:hAnsi="Calibri" w:cs="Calibri"/>
                <w:b/>
                <w:bCs/>
                <w:noProof/>
                <w:sz w:val="22"/>
                <w:szCs w:val="22"/>
              </w:rPr>
            </w:pPr>
            <w:r>
              <w:rPr>
                <w:rFonts w:ascii="Calibri" w:hAnsi="Calibri" w:cs="Calibri"/>
                <w:b/>
                <w:bCs/>
                <w:noProof/>
                <w:sz w:val="22"/>
                <w:szCs w:val="22"/>
              </w:rPr>
              <w:t>Kamatni rashodi</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D0" w14:textId="77777777" w:rsidR="00382CF2" w:rsidRDefault="00054989">
            <w:pPr>
              <w:jc w:val="right"/>
              <w:rPr>
                <w:rFonts w:ascii="Calibri" w:hAnsi="Calibri" w:cs="Calibri"/>
                <w:sz w:val="22"/>
                <w:szCs w:val="22"/>
              </w:rPr>
            </w:pPr>
            <w:r>
              <w:rPr>
                <w:rFonts w:ascii="Calibri" w:hAnsi="Calibri" w:cs="Calibri"/>
                <w:sz w:val="22"/>
                <w:szCs w:val="22"/>
              </w:rPr>
              <w:t>(244,19)</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D1" w14:textId="77777777" w:rsidR="00382CF2" w:rsidRDefault="00054989">
            <w:pPr>
              <w:jc w:val="right"/>
              <w:rPr>
                <w:rFonts w:ascii="Calibri" w:hAnsi="Calibri" w:cs="Calibri"/>
                <w:sz w:val="22"/>
                <w:szCs w:val="22"/>
              </w:rPr>
            </w:pPr>
            <w:r>
              <w:rPr>
                <w:rFonts w:ascii="Calibri" w:hAnsi="Calibri" w:cs="Calibri"/>
                <w:sz w:val="22"/>
                <w:szCs w:val="22"/>
              </w:rPr>
              <w:t>(184,61)</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D2" w14:textId="77777777" w:rsidR="00382CF2" w:rsidRDefault="00054989">
            <w:pPr>
              <w:jc w:val="right"/>
              <w:rPr>
                <w:rFonts w:ascii="Calibri" w:hAnsi="Calibri" w:cs="Calibri"/>
                <w:sz w:val="22"/>
                <w:szCs w:val="22"/>
              </w:rPr>
            </w:pPr>
            <w:r>
              <w:rPr>
                <w:rFonts w:ascii="Calibri" w:hAnsi="Calibri" w:cs="Calibri"/>
                <w:sz w:val="22"/>
                <w:szCs w:val="22"/>
              </w:rPr>
              <w:t>(158,41)</w:t>
            </w:r>
          </w:p>
        </w:tc>
      </w:tr>
      <w:tr w:rsidR="00382CF2" w14:paraId="1748D6D8" w14:textId="77777777" w:rsidTr="4AF032DA">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D4" w14:textId="77777777" w:rsidR="00382CF2" w:rsidRDefault="00054989">
            <w:pPr>
              <w:rPr>
                <w:rFonts w:ascii="Calibri" w:hAnsi="Calibri" w:cs="Calibri"/>
                <w:b/>
                <w:bCs/>
                <w:noProof/>
                <w:sz w:val="22"/>
                <w:szCs w:val="22"/>
              </w:rPr>
            </w:pPr>
            <w:r>
              <w:rPr>
                <w:rFonts w:ascii="Calibri" w:hAnsi="Calibri" w:cs="Calibri"/>
                <w:b/>
                <w:bCs/>
                <w:noProof/>
                <w:sz w:val="22"/>
                <w:szCs w:val="22"/>
              </w:rPr>
              <w:t>Neto kamatni prihod</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D5" w14:textId="77777777" w:rsidR="00382CF2" w:rsidRDefault="00054989">
            <w:pPr>
              <w:jc w:val="right"/>
              <w:rPr>
                <w:rFonts w:ascii="Calibri" w:hAnsi="Calibri" w:cs="Calibri"/>
                <w:sz w:val="22"/>
                <w:szCs w:val="22"/>
              </w:rPr>
            </w:pPr>
            <w:r>
              <w:rPr>
                <w:rFonts w:ascii="Calibri" w:hAnsi="Calibri" w:cs="Calibri"/>
                <w:sz w:val="22"/>
                <w:szCs w:val="22"/>
              </w:rPr>
              <w:t>377,15</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D6" w14:textId="77777777" w:rsidR="00382CF2" w:rsidRDefault="00054989">
            <w:pPr>
              <w:jc w:val="right"/>
              <w:rPr>
                <w:rFonts w:ascii="Calibri" w:hAnsi="Calibri" w:cs="Calibri"/>
                <w:sz w:val="22"/>
                <w:szCs w:val="22"/>
              </w:rPr>
            </w:pPr>
            <w:r>
              <w:rPr>
                <w:rFonts w:ascii="Calibri" w:hAnsi="Calibri" w:cs="Calibri"/>
                <w:sz w:val="22"/>
                <w:szCs w:val="22"/>
              </w:rPr>
              <w:t>491,56</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D7" w14:textId="77777777" w:rsidR="00382CF2" w:rsidRDefault="00054989">
            <w:pPr>
              <w:jc w:val="right"/>
              <w:rPr>
                <w:rFonts w:ascii="Calibri" w:hAnsi="Calibri" w:cs="Calibri"/>
                <w:sz w:val="22"/>
                <w:szCs w:val="22"/>
              </w:rPr>
            </w:pPr>
            <w:r>
              <w:rPr>
                <w:rFonts w:ascii="Calibri" w:hAnsi="Calibri" w:cs="Calibri"/>
                <w:sz w:val="22"/>
                <w:szCs w:val="22"/>
              </w:rPr>
              <w:t>469,47</w:t>
            </w:r>
          </w:p>
        </w:tc>
      </w:tr>
    </w:tbl>
    <w:p w14:paraId="1748D6D9" w14:textId="77777777" w:rsidR="00382CF2" w:rsidRDefault="00382CF2">
      <w:pPr>
        <w:spacing w:before="120" w:after="120" w:line="276" w:lineRule="auto"/>
        <w:jc w:val="both"/>
        <w:rPr>
          <w:rFonts w:ascii="Calibri" w:eastAsia="Calibri" w:hAnsi="Calibri" w:cs="Calibri"/>
          <w:sz w:val="22"/>
          <w:szCs w:val="22"/>
          <w:lang w:val="hr-HR"/>
        </w:rPr>
      </w:pPr>
    </w:p>
    <w:p w14:paraId="1748D6DA" w14:textId="77777777" w:rsidR="00382CF2" w:rsidRDefault="00054989">
      <w:pPr>
        <w:spacing w:before="120" w:after="120" w:line="276" w:lineRule="auto"/>
        <w:jc w:val="both"/>
        <w:rPr>
          <w:rFonts w:ascii="Calibri" w:eastAsia="SimSun" w:hAnsi="Calibri" w:cs="Calibri"/>
          <w:b/>
          <w:bCs/>
          <w:sz w:val="22"/>
          <w:szCs w:val="22"/>
          <w:lang w:val="hr-HR"/>
        </w:rPr>
      </w:pPr>
      <w:r>
        <w:rPr>
          <w:rFonts w:ascii="Calibri" w:eastAsia="SimSun" w:hAnsi="Calibri" w:cs="Calibri"/>
          <w:b/>
          <w:bCs/>
          <w:sz w:val="22"/>
          <w:szCs w:val="22"/>
          <w:lang w:val="hr-HR"/>
        </w:rPr>
        <w:t xml:space="preserve">Kreditni rejting, </w:t>
      </w:r>
      <w:bookmarkStart w:id="11" w:name="_Hlk63766908"/>
      <w:r>
        <w:rPr>
          <w:rFonts w:ascii="Calibri" w:eastAsia="SimSun" w:hAnsi="Calibri" w:cs="Calibri"/>
          <w:b/>
          <w:bCs/>
          <w:sz w:val="22"/>
          <w:szCs w:val="22"/>
          <w:lang w:val="hr-HR"/>
        </w:rPr>
        <w:t xml:space="preserve">31. prosinca 2022. </w:t>
      </w:r>
    </w:p>
    <w:bookmarkEnd w:id="11"/>
    <w:p w14:paraId="1748D6DB" w14:textId="77777777" w:rsidR="00382CF2" w:rsidRDefault="00054989" w:rsidP="00F408C1">
      <w:pPr>
        <w:spacing w:before="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BBB+/A-2 - rejting agencije Standard &amp; </w:t>
      </w:r>
      <w:r>
        <w:rPr>
          <w:rFonts w:ascii="Calibri" w:eastAsia="SimSun" w:hAnsi="Calibri" w:cs="Calibri"/>
          <w:noProof/>
          <w:sz w:val="22"/>
          <w:szCs w:val="22"/>
          <w:lang w:val="hr-HR"/>
        </w:rPr>
        <w:t>Poor's</w:t>
      </w:r>
    </w:p>
    <w:p w14:paraId="1748D6DC" w14:textId="77777777" w:rsidR="00382CF2" w:rsidRDefault="00382CF2">
      <w:pPr>
        <w:spacing w:before="120" w:after="120" w:line="276" w:lineRule="auto"/>
        <w:jc w:val="both"/>
        <w:rPr>
          <w:rFonts w:ascii="Calibri" w:eastAsia="SimSun" w:hAnsi="Calibri" w:cs="Calibri"/>
          <w:sz w:val="22"/>
          <w:szCs w:val="22"/>
          <w:lang w:val="hr-HR"/>
        </w:rPr>
      </w:pPr>
    </w:p>
    <w:p w14:paraId="1748D6DD" w14:textId="77777777" w:rsidR="00382CF2" w:rsidRDefault="00054989">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Područni uredi</w:t>
      </w:r>
    </w:p>
    <w:p w14:paraId="1748D6DE" w14:textId="77777777" w:rsidR="00382CF2" w:rsidRDefault="00054989">
      <w:pPr>
        <w:spacing w:before="120" w:after="120" w:line="276" w:lineRule="auto"/>
        <w:contextualSpacing/>
        <w:jc w:val="both"/>
        <w:rPr>
          <w:rFonts w:ascii="Calibri" w:eastAsia="SimSun" w:hAnsi="Calibri" w:cs="Calibri"/>
          <w:sz w:val="22"/>
          <w:szCs w:val="22"/>
          <w:lang w:val="hr-HR"/>
        </w:rPr>
      </w:pPr>
      <w:r>
        <w:rPr>
          <w:rFonts w:ascii="Calibri" w:eastAsia="SimSun" w:hAnsi="Calibri" w:cs="Calibri"/>
          <w:sz w:val="22"/>
          <w:szCs w:val="22"/>
          <w:lang w:val="hr-HR"/>
        </w:rPr>
        <w:t>Područni ured za Dalmaciju</w:t>
      </w:r>
    </w:p>
    <w:p w14:paraId="1748D6DF" w14:textId="77777777" w:rsidR="00382CF2" w:rsidRDefault="00054989">
      <w:pPr>
        <w:spacing w:before="120" w:after="120" w:line="276" w:lineRule="auto"/>
        <w:contextualSpacing/>
        <w:jc w:val="both"/>
        <w:rPr>
          <w:rFonts w:ascii="Calibri" w:eastAsia="SimSun" w:hAnsi="Calibri" w:cs="Calibri"/>
          <w:sz w:val="22"/>
          <w:szCs w:val="22"/>
          <w:lang w:val="hr-HR"/>
        </w:rPr>
      </w:pPr>
      <w:r>
        <w:rPr>
          <w:rFonts w:ascii="Calibri" w:eastAsia="SimSun" w:hAnsi="Calibri" w:cs="Calibri"/>
          <w:sz w:val="22"/>
          <w:szCs w:val="22"/>
          <w:lang w:val="hr-HR"/>
        </w:rPr>
        <w:t>Područni ured za Istru</w:t>
      </w:r>
    </w:p>
    <w:p w14:paraId="1748D6E0" w14:textId="77777777" w:rsidR="00382CF2" w:rsidRDefault="00054989">
      <w:pPr>
        <w:spacing w:before="120" w:after="120" w:line="276" w:lineRule="auto"/>
        <w:contextualSpacing/>
        <w:jc w:val="both"/>
        <w:rPr>
          <w:rFonts w:ascii="Calibri" w:eastAsia="SimSun" w:hAnsi="Calibri" w:cs="Calibri"/>
          <w:sz w:val="22"/>
          <w:szCs w:val="22"/>
          <w:lang w:val="hr-HR"/>
        </w:rPr>
      </w:pPr>
      <w:r>
        <w:rPr>
          <w:rFonts w:ascii="Calibri" w:eastAsia="SimSun" w:hAnsi="Calibri" w:cs="Calibri"/>
          <w:sz w:val="22"/>
          <w:szCs w:val="22"/>
          <w:lang w:val="hr-HR"/>
        </w:rPr>
        <w:t>Područni ured za Liku</w:t>
      </w:r>
    </w:p>
    <w:p w14:paraId="1748D6E1" w14:textId="77777777" w:rsidR="00382CF2" w:rsidRDefault="00054989">
      <w:pPr>
        <w:spacing w:before="120" w:after="120" w:line="276" w:lineRule="auto"/>
        <w:contextualSpacing/>
        <w:jc w:val="both"/>
        <w:rPr>
          <w:rFonts w:ascii="Calibri" w:eastAsia="SimSun" w:hAnsi="Calibri" w:cs="Calibri"/>
          <w:sz w:val="22"/>
          <w:szCs w:val="22"/>
          <w:lang w:val="hr-HR"/>
        </w:rPr>
      </w:pPr>
      <w:r>
        <w:rPr>
          <w:rFonts w:ascii="Calibri" w:eastAsia="SimSun" w:hAnsi="Calibri" w:cs="Calibri"/>
          <w:sz w:val="22"/>
          <w:szCs w:val="22"/>
          <w:lang w:val="hr-HR"/>
        </w:rPr>
        <w:t>Područni ured za Primorje i Gorski kotar</w:t>
      </w:r>
    </w:p>
    <w:p w14:paraId="1748D6E2" w14:textId="77777777" w:rsidR="00382CF2" w:rsidRDefault="00054989">
      <w:pPr>
        <w:spacing w:before="120" w:after="120" w:line="276" w:lineRule="auto"/>
        <w:contextualSpacing/>
        <w:jc w:val="both"/>
        <w:rPr>
          <w:rFonts w:ascii="Calibri" w:eastAsia="SimSun" w:hAnsi="Calibri" w:cs="Calibri"/>
          <w:sz w:val="22"/>
          <w:szCs w:val="22"/>
          <w:lang w:val="hr-HR"/>
        </w:rPr>
      </w:pPr>
      <w:r>
        <w:rPr>
          <w:rFonts w:ascii="Calibri" w:eastAsia="SimSun" w:hAnsi="Calibri" w:cs="Calibri"/>
          <w:sz w:val="22"/>
          <w:szCs w:val="22"/>
          <w:lang w:val="hr-HR"/>
        </w:rPr>
        <w:t>Područni ured za Sjeverozapadnu Hrvatsku</w:t>
      </w:r>
    </w:p>
    <w:p w14:paraId="1748D6E3" w14:textId="77777777" w:rsidR="00382CF2" w:rsidRDefault="00054989">
      <w:pPr>
        <w:spacing w:before="120" w:after="120" w:line="276" w:lineRule="auto"/>
        <w:contextualSpacing/>
        <w:jc w:val="both"/>
        <w:rPr>
          <w:rFonts w:ascii="Calibri" w:eastAsia="SimSun" w:hAnsi="Calibri" w:cs="Calibri"/>
          <w:sz w:val="22"/>
          <w:szCs w:val="22"/>
          <w:lang w:val="hr-HR"/>
        </w:rPr>
      </w:pPr>
      <w:r>
        <w:rPr>
          <w:rFonts w:ascii="Calibri" w:eastAsia="SimSun" w:hAnsi="Calibri" w:cs="Calibri"/>
          <w:sz w:val="22"/>
          <w:szCs w:val="22"/>
          <w:lang w:val="hr-HR"/>
        </w:rPr>
        <w:t>Područni ured za Slavoniju i Baranju</w:t>
      </w:r>
    </w:p>
    <w:p w14:paraId="1748D6E4" w14:textId="77777777" w:rsidR="00382CF2" w:rsidRDefault="00382CF2">
      <w:pPr>
        <w:spacing w:before="120" w:after="120" w:line="276" w:lineRule="auto"/>
        <w:jc w:val="both"/>
        <w:rPr>
          <w:rFonts w:ascii="Calibri" w:eastAsia="SimSun" w:hAnsi="Calibri" w:cs="Calibri"/>
          <w:sz w:val="22"/>
          <w:szCs w:val="22"/>
          <w:lang w:val="hr-HR"/>
        </w:rPr>
      </w:pPr>
    </w:p>
    <w:p w14:paraId="1748D6E5" w14:textId="77777777" w:rsidR="00382CF2" w:rsidRDefault="00054989">
      <w:pPr>
        <w:spacing w:before="120" w:after="120" w:line="276" w:lineRule="auto"/>
        <w:jc w:val="both"/>
      </w:pPr>
      <w:r>
        <w:rPr>
          <w:rStyle w:val="Zadanifontodlomka1"/>
          <w:rFonts w:ascii="Calibri" w:eastAsia="SimSun" w:hAnsi="Calibri" w:cs="Calibri"/>
          <w:b/>
          <w:sz w:val="22"/>
          <w:szCs w:val="22"/>
          <w:lang w:val="hr-HR"/>
        </w:rPr>
        <w:t>Broj zaposlenih</w:t>
      </w:r>
    </w:p>
    <w:p w14:paraId="1748D6E6" w14:textId="6BDEAF7C" w:rsidR="00382CF2" w:rsidRDefault="00054989">
      <w:pPr>
        <w:spacing w:before="120" w:after="120" w:line="276" w:lineRule="auto"/>
        <w:contextualSpacing/>
        <w:jc w:val="both"/>
        <w:rPr>
          <w:rFonts w:ascii="Calibri" w:eastAsia="SimSun" w:hAnsi="Calibri" w:cs="Calibri"/>
          <w:sz w:val="22"/>
          <w:szCs w:val="22"/>
          <w:lang w:val="hr-HR"/>
        </w:rPr>
      </w:pPr>
      <w:r>
        <w:rPr>
          <w:rFonts w:ascii="Calibri" w:eastAsia="SimSun" w:hAnsi="Calibri" w:cs="Calibri"/>
          <w:sz w:val="22"/>
          <w:szCs w:val="22"/>
          <w:lang w:val="hr-HR"/>
        </w:rPr>
        <w:t>Na dan 31.</w:t>
      </w:r>
      <w:r w:rsidR="00875E80">
        <w:rPr>
          <w:rFonts w:ascii="Calibri" w:eastAsia="SimSun" w:hAnsi="Calibri" w:cs="Calibri"/>
          <w:sz w:val="22"/>
          <w:szCs w:val="22"/>
          <w:lang w:val="hr-HR"/>
        </w:rPr>
        <w:t xml:space="preserve"> prosinca </w:t>
      </w:r>
      <w:r>
        <w:rPr>
          <w:rFonts w:ascii="Calibri" w:eastAsia="SimSun" w:hAnsi="Calibri" w:cs="Calibri"/>
          <w:sz w:val="22"/>
          <w:szCs w:val="22"/>
          <w:lang w:val="hr-HR"/>
        </w:rPr>
        <w:t>2022. u HBOR-u je bilo zaposleno 382 radnika.</w:t>
      </w:r>
    </w:p>
    <w:p w14:paraId="1748D6E7" w14:textId="58FF2972" w:rsidR="00382CF2" w:rsidRDefault="00054989">
      <w:pPr>
        <w:spacing w:before="120" w:after="120" w:line="276" w:lineRule="auto"/>
        <w:contextualSpacing/>
        <w:jc w:val="both"/>
        <w:rPr>
          <w:rFonts w:ascii="Calibri" w:eastAsia="SimSun" w:hAnsi="Calibri" w:cs="Calibri"/>
          <w:sz w:val="22"/>
          <w:szCs w:val="22"/>
          <w:lang w:val="hr-HR"/>
        </w:rPr>
      </w:pPr>
      <w:r>
        <w:rPr>
          <w:rFonts w:ascii="Calibri" w:eastAsia="SimSun" w:hAnsi="Calibri" w:cs="Calibri"/>
          <w:sz w:val="22"/>
          <w:szCs w:val="22"/>
          <w:lang w:val="hr-HR"/>
        </w:rPr>
        <w:t xml:space="preserve">Na dan </w:t>
      </w:r>
      <w:r w:rsidR="00875E80">
        <w:rPr>
          <w:rFonts w:ascii="Calibri" w:eastAsia="SimSun" w:hAnsi="Calibri" w:cs="Calibri"/>
          <w:sz w:val="22"/>
          <w:szCs w:val="22"/>
          <w:lang w:val="hr-HR"/>
        </w:rPr>
        <w:t>31. prosinca 2022.</w:t>
      </w:r>
      <w:r>
        <w:rPr>
          <w:rFonts w:ascii="Calibri" w:eastAsia="SimSun" w:hAnsi="Calibri" w:cs="Calibri"/>
          <w:sz w:val="22"/>
          <w:szCs w:val="22"/>
          <w:lang w:val="hr-HR"/>
        </w:rPr>
        <w:t xml:space="preserve"> u Grupi HBOR bila su zaposlena 402 radnika.</w:t>
      </w:r>
    </w:p>
    <w:p w14:paraId="1748D6E8" w14:textId="77777777" w:rsidR="00382CF2" w:rsidRDefault="00382CF2">
      <w:pPr>
        <w:spacing w:before="120" w:after="120" w:line="276" w:lineRule="auto"/>
        <w:jc w:val="both"/>
        <w:rPr>
          <w:rFonts w:ascii="Calibri" w:eastAsia="SimSun" w:hAnsi="Calibri" w:cs="Calibri"/>
          <w:b/>
          <w:sz w:val="22"/>
          <w:szCs w:val="22"/>
          <w:lang w:val="hr-HR"/>
        </w:rPr>
      </w:pPr>
    </w:p>
    <w:p w14:paraId="1748D6E9" w14:textId="77777777" w:rsidR="00382CF2" w:rsidRDefault="00054989">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Tečajna lista</w:t>
      </w:r>
    </w:p>
    <w:p w14:paraId="1748D6EA"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 svrhu preračunavanja iznosa u stranim valutama u kunske iznose korišten je srednji tečaj Hrvatske narodne banke (HNB):</w:t>
      </w:r>
    </w:p>
    <w:tbl>
      <w:tblPr>
        <w:tblW w:w="5000" w:type="pct"/>
        <w:tblCellMar>
          <w:left w:w="10" w:type="dxa"/>
          <w:right w:w="10" w:type="dxa"/>
        </w:tblCellMar>
        <w:tblLook w:val="04A0" w:firstRow="1" w:lastRow="0" w:firstColumn="1" w:lastColumn="0" w:noHBand="0" w:noVBand="1"/>
      </w:tblPr>
      <w:tblGrid>
        <w:gridCol w:w="2740"/>
        <w:gridCol w:w="274"/>
        <w:gridCol w:w="3190"/>
        <w:gridCol w:w="236"/>
        <w:gridCol w:w="2915"/>
      </w:tblGrid>
      <w:tr w:rsidR="00382CF2" w14:paraId="1748D6F0" w14:textId="77777777">
        <w:trPr>
          <w:trHeight w:val="392"/>
        </w:trPr>
        <w:tc>
          <w:tcPr>
            <w:tcW w:w="2740" w:type="dxa"/>
            <w:shd w:val="clear" w:color="auto" w:fill="auto"/>
            <w:tcMar>
              <w:top w:w="0" w:type="dxa"/>
              <w:left w:w="108" w:type="dxa"/>
              <w:bottom w:w="0" w:type="dxa"/>
              <w:right w:w="108" w:type="dxa"/>
            </w:tcMar>
            <w:vAlign w:val="center"/>
          </w:tcPr>
          <w:p w14:paraId="1748D6EB"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31. prosinca 2022.</w:t>
            </w:r>
          </w:p>
        </w:tc>
        <w:tc>
          <w:tcPr>
            <w:tcW w:w="274" w:type="dxa"/>
            <w:shd w:val="clear" w:color="auto" w:fill="auto"/>
            <w:tcMar>
              <w:top w:w="0" w:type="dxa"/>
              <w:left w:w="108" w:type="dxa"/>
              <w:bottom w:w="0" w:type="dxa"/>
              <w:right w:w="108" w:type="dxa"/>
            </w:tcMar>
            <w:vAlign w:val="center"/>
          </w:tcPr>
          <w:p w14:paraId="1748D6EC" w14:textId="77777777" w:rsidR="00382CF2" w:rsidRDefault="00382CF2">
            <w:pPr>
              <w:spacing w:before="120" w:after="120" w:line="276" w:lineRule="auto"/>
              <w:jc w:val="both"/>
              <w:rPr>
                <w:rFonts w:ascii="Calibri" w:eastAsia="SimSun" w:hAnsi="Calibri" w:cs="Calibri"/>
                <w:sz w:val="22"/>
                <w:szCs w:val="22"/>
                <w:lang w:val="hr-HR"/>
              </w:rPr>
            </w:pPr>
          </w:p>
        </w:tc>
        <w:tc>
          <w:tcPr>
            <w:tcW w:w="3190" w:type="dxa"/>
            <w:shd w:val="clear" w:color="auto" w:fill="auto"/>
            <w:tcMar>
              <w:top w:w="0" w:type="dxa"/>
              <w:left w:w="108" w:type="dxa"/>
              <w:bottom w:w="0" w:type="dxa"/>
              <w:right w:w="108" w:type="dxa"/>
            </w:tcMar>
            <w:vAlign w:val="center"/>
          </w:tcPr>
          <w:p w14:paraId="1748D6ED" w14:textId="4C1783F3" w:rsidR="00382CF2" w:rsidRDefault="00054989">
            <w:pPr>
              <w:spacing w:before="120" w:after="120" w:line="276" w:lineRule="auto"/>
              <w:jc w:val="both"/>
            </w:pPr>
            <w:r>
              <w:rPr>
                <w:rStyle w:val="Zadanifontodlomka1"/>
                <w:rFonts w:ascii="Calibri" w:eastAsia="SimSun" w:hAnsi="Calibri" w:cs="Calibri"/>
                <w:sz w:val="22"/>
                <w:szCs w:val="22"/>
                <w:lang w:val="hr-HR"/>
              </w:rPr>
              <w:t xml:space="preserve">1 EUR = </w:t>
            </w:r>
            <w:r>
              <w:rPr>
                <w:rStyle w:val="Zadanifontodlomka1"/>
                <w:rFonts w:ascii="Calibri" w:eastAsia="SimSun" w:hAnsi="Calibri" w:cs="Calibri"/>
                <w:sz w:val="22"/>
                <w:szCs w:val="22"/>
              </w:rPr>
              <w:t>7,534500</w:t>
            </w:r>
            <w:r>
              <w:rPr>
                <w:rStyle w:val="Zadanifontodlomka1"/>
                <w:rFonts w:ascii="Calibri" w:eastAsia="SimSun" w:hAnsi="Calibri" w:cs="Calibri"/>
                <w:sz w:val="22"/>
                <w:szCs w:val="22"/>
                <w:lang w:val="hr-HR"/>
              </w:rPr>
              <w:t xml:space="preserve"> kuna</w:t>
            </w:r>
          </w:p>
        </w:tc>
        <w:tc>
          <w:tcPr>
            <w:tcW w:w="236" w:type="dxa"/>
            <w:shd w:val="clear" w:color="auto" w:fill="auto"/>
            <w:tcMar>
              <w:top w:w="0" w:type="dxa"/>
              <w:left w:w="108" w:type="dxa"/>
              <w:bottom w:w="0" w:type="dxa"/>
              <w:right w:w="108" w:type="dxa"/>
            </w:tcMar>
            <w:vAlign w:val="center"/>
          </w:tcPr>
          <w:p w14:paraId="1748D6EE" w14:textId="77777777" w:rsidR="00382CF2" w:rsidRDefault="00382CF2">
            <w:pPr>
              <w:spacing w:before="120" w:after="120" w:line="276" w:lineRule="auto"/>
              <w:jc w:val="both"/>
              <w:rPr>
                <w:rFonts w:ascii="Calibri" w:eastAsia="SimSun" w:hAnsi="Calibri" w:cs="Calibri"/>
                <w:sz w:val="22"/>
                <w:szCs w:val="22"/>
                <w:lang w:val="hr-HR"/>
              </w:rPr>
            </w:pPr>
          </w:p>
        </w:tc>
        <w:tc>
          <w:tcPr>
            <w:tcW w:w="2915" w:type="dxa"/>
            <w:shd w:val="clear" w:color="auto" w:fill="auto"/>
            <w:tcMar>
              <w:top w:w="0" w:type="dxa"/>
              <w:left w:w="108" w:type="dxa"/>
              <w:bottom w:w="0" w:type="dxa"/>
              <w:right w:w="108" w:type="dxa"/>
            </w:tcMar>
            <w:vAlign w:val="center"/>
          </w:tcPr>
          <w:p w14:paraId="1748D6EF" w14:textId="77777777" w:rsidR="00382CF2" w:rsidRDefault="00054989">
            <w:pPr>
              <w:spacing w:before="120" w:after="120" w:line="276" w:lineRule="auto"/>
              <w:jc w:val="both"/>
            </w:pPr>
            <w:r>
              <w:rPr>
                <w:rStyle w:val="Zadanifontodlomka1"/>
                <w:rFonts w:ascii="Calibri" w:eastAsia="SimSun" w:hAnsi="Calibri" w:cs="Calibri"/>
                <w:sz w:val="22"/>
                <w:szCs w:val="22"/>
                <w:lang w:val="hr-HR"/>
              </w:rPr>
              <w:t xml:space="preserve">1 USD = </w:t>
            </w:r>
            <w:r>
              <w:rPr>
                <w:rStyle w:val="Zadanifontodlomka1"/>
                <w:rFonts w:ascii="Calibri" w:eastAsia="SimSun" w:hAnsi="Calibri" w:cs="Calibri"/>
                <w:sz w:val="22"/>
                <w:szCs w:val="22"/>
              </w:rPr>
              <w:t>7,064035</w:t>
            </w:r>
            <w:r>
              <w:rPr>
                <w:rStyle w:val="Zadanifontodlomka1"/>
                <w:rFonts w:ascii="Calibri" w:eastAsia="SimSun" w:hAnsi="Calibri" w:cs="Calibri"/>
                <w:sz w:val="22"/>
                <w:szCs w:val="22"/>
                <w:lang w:val="hr-HR"/>
              </w:rPr>
              <w:t xml:space="preserve"> kuna</w:t>
            </w:r>
          </w:p>
        </w:tc>
      </w:tr>
      <w:tr w:rsidR="00382CF2" w14:paraId="1748D6F6" w14:textId="77777777">
        <w:trPr>
          <w:trHeight w:val="392"/>
        </w:trPr>
        <w:tc>
          <w:tcPr>
            <w:tcW w:w="2740" w:type="dxa"/>
            <w:shd w:val="clear" w:color="auto" w:fill="auto"/>
            <w:tcMar>
              <w:top w:w="0" w:type="dxa"/>
              <w:left w:w="108" w:type="dxa"/>
              <w:bottom w:w="0" w:type="dxa"/>
              <w:right w:w="108" w:type="dxa"/>
            </w:tcMar>
            <w:vAlign w:val="center"/>
          </w:tcPr>
          <w:p w14:paraId="1748D6F1"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31. prosinca 2021.</w:t>
            </w:r>
          </w:p>
        </w:tc>
        <w:tc>
          <w:tcPr>
            <w:tcW w:w="274" w:type="dxa"/>
            <w:shd w:val="clear" w:color="auto" w:fill="auto"/>
            <w:tcMar>
              <w:top w:w="0" w:type="dxa"/>
              <w:left w:w="108" w:type="dxa"/>
              <w:bottom w:w="0" w:type="dxa"/>
              <w:right w:w="108" w:type="dxa"/>
            </w:tcMar>
            <w:vAlign w:val="center"/>
          </w:tcPr>
          <w:p w14:paraId="1748D6F2" w14:textId="77777777" w:rsidR="00382CF2" w:rsidRDefault="00382CF2">
            <w:pPr>
              <w:spacing w:before="120" w:after="120" w:line="276" w:lineRule="auto"/>
              <w:jc w:val="both"/>
              <w:rPr>
                <w:rFonts w:ascii="Calibri" w:eastAsia="SimSun" w:hAnsi="Calibri" w:cs="Calibri"/>
                <w:sz w:val="22"/>
                <w:szCs w:val="22"/>
                <w:lang w:val="hr-HR"/>
              </w:rPr>
            </w:pPr>
          </w:p>
        </w:tc>
        <w:tc>
          <w:tcPr>
            <w:tcW w:w="3190" w:type="dxa"/>
            <w:shd w:val="clear" w:color="auto" w:fill="auto"/>
            <w:tcMar>
              <w:top w:w="0" w:type="dxa"/>
              <w:left w:w="108" w:type="dxa"/>
              <w:bottom w:w="0" w:type="dxa"/>
              <w:right w:w="108" w:type="dxa"/>
            </w:tcMar>
            <w:vAlign w:val="center"/>
          </w:tcPr>
          <w:p w14:paraId="1748D6F3"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1 EUR = 7,517174 kuna</w:t>
            </w:r>
          </w:p>
        </w:tc>
        <w:tc>
          <w:tcPr>
            <w:tcW w:w="236" w:type="dxa"/>
            <w:shd w:val="clear" w:color="auto" w:fill="auto"/>
            <w:tcMar>
              <w:top w:w="0" w:type="dxa"/>
              <w:left w:w="108" w:type="dxa"/>
              <w:bottom w:w="0" w:type="dxa"/>
              <w:right w:w="108" w:type="dxa"/>
            </w:tcMar>
            <w:vAlign w:val="center"/>
          </w:tcPr>
          <w:p w14:paraId="1748D6F4" w14:textId="77777777" w:rsidR="00382CF2" w:rsidRDefault="00382CF2">
            <w:pPr>
              <w:spacing w:before="120" w:after="120" w:line="276" w:lineRule="auto"/>
              <w:jc w:val="both"/>
              <w:rPr>
                <w:rFonts w:ascii="Calibri" w:eastAsia="SimSun" w:hAnsi="Calibri" w:cs="Calibri"/>
                <w:sz w:val="22"/>
                <w:szCs w:val="22"/>
                <w:lang w:val="hr-HR"/>
              </w:rPr>
            </w:pPr>
          </w:p>
        </w:tc>
        <w:tc>
          <w:tcPr>
            <w:tcW w:w="2915" w:type="dxa"/>
            <w:shd w:val="clear" w:color="auto" w:fill="auto"/>
            <w:tcMar>
              <w:top w:w="0" w:type="dxa"/>
              <w:left w:w="108" w:type="dxa"/>
              <w:bottom w:w="0" w:type="dxa"/>
              <w:right w:w="108" w:type="dxa"/>
            </w:tcMar>
            <w:vAlign w:val="center"/>
          </w:tcPr>
          <w:p w14:paraId="1748D6F5"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1 USD = 6,643548 kuna</w:t>
            </w:r>
          </w:p>
        </w:tc>
      </w:tr>
    </w:tbl>
    <w:p w14:paraId="1748D6F8" w14:textId="77777777" w:rsidR="00382CF2" w:rsidRDefault="00054989">
      <w:pPr>
        <w:keepNext/>
        <w:keepLines/>
        <w:pBdr>
          <w:bottom w:val="single" w:sz="4" w:space="2" w:color="B2B2B2"/>
        </w:pBdr>
        <w:spacing w:before="360" w:after="120"/>
        <w:jc w:val="both"/>
        <w:outlineLvl w:val="0"/>
        <w:rPr>
          <w:rFonts w:ascii="Calibri" w:eastAsia="SimHei" w:hAnsi="Calibri" w:cs="Calibri"/>
          <w:b/>
          <w:bCs/>
          <w:sz w:val="22"/>
          <w:szCs w:val="22"/>
          <w:lang w:val="hr-HR"/>
        </w:rPr>
      </w:pPr>
      <w:bookmarkStart w:id="12" w:name="_Toc3249201"/>
      <w:bookmarkStart w:id="13" w:name="_Toc129083699"/>
      <w:bookmarkStart w:id="14" w:name="_Hlk33695463"/>
      <w:r>
        <w:rPr>
          <w:rFonts w:ascii="Calibri" w:eastAsia="SimHei" w:hAnsi="Calibri" w:cs="Calibri"/>
          <w:b/>
          <w:bCs/>
          <w:sz w:val="22"/>
          <w:szCs w:val="22"/>
          <w:lang w:val="hr-HR"/>
        </w:rPr>
        <w:lastRenderedPageBreak/>
        <w:t>IZJAVA O PRIMJENI KODEKSA KORPORATIVNOG UPRAVLJANJA</w:t>
      </w:r>
      <w:bookmarkEnd w:id="12"/>
      <w:bookmarkEnd w:id="13"/>
    </w:p>
    <w:p w14:paraId="1748D6F9" w14:textId="77777777" w:rsidR="00382CF2" w:rsidRDefault="00054989">
      <w:pPr>
        <w:spacing w:before="120" w:after="120" w:line="276" w:lineRule="auto"/>
        <w:jc w:val="both"/>
        <w:rPr>
          <w:rFonts w:ascii="Calibri" w:eastAsia="Calibri" w:hAnsi="Calibri" w:cs="Calibri"/>
          <w:b/>
          <w:sz w:val="22"/>
          <w:szCs w:val="22"/>
          <w:lang w:val="hr-HR"/>
        </w:rPr>
      </w:pPr>
      <w:r>
        <w:rPr>
          <w:rFonts w:ascii="Calibri" w:eastAsia="Calibri" w:hAnsi="Calibri" w:cs="Calibri"/>
          <w:b/>
          <w:sz w:val="22"/>
          <w:szCs w:val="22"/>
          <w:lang w:val="hr-HR"/>
        </w:rPr>
        <w:t>Hrvatska banka za obnovu i razvitak (HBOR)</w:t>
      </w:r>
    </w:p>
    <w:p w14:paraId="1748D6FA" w14:textId="77777777" w:rsidR="00382CF2" w:rsidRDefault="00054989">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t>HBOR primjenjuje Kodeks korporativnog upravljanja HBOR-a (dalje u tekstu: Kodeks) koji su usvojili Uprava i Nadzorni odbor te je objavljen na mrežnim stranicama HBOR-a.</w:t>
      </w:r>
    </w:p>
    <w:p w14:paraId="1748D6FB" w14:textId="77777777" w:rsidR="00382CF2" w:rsidRDefault="00054989">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t>Kodeks sadrži temeljna načela utvrđena u Odluci o donošenju Kodeksa korporativnog upravljanja trgovačkim društvima u kojima Republika Hrvatska ima dionice ili udjele (NN 112/2010) (dalje u tekstu: Odluka) i načela utvrđena u Smjernicama o unutrašnjem upravljanju EBA-e (</w:t>
      </w:r>
      <w:r w:rsidRPr="008E4C3B">
        <w:rPr>
          <w:rFonts w:ascii="Calibri" w:eastAsia="Calibri" w:hAnsi="Calibri" w:cs="Calibri"/>
          <w:i/>
          <w:iCs/>
          <w:sz w:val="22"/>
          <w:szCs w:val="22"/>
          <w:lang w:val="hr-HR"/>
        </w:rPr>
        <w:t>European Banking Authority Guidelines on Internal Governance GL 44, September/2011</w:t>
      </w:r>
      <w:r>
        <w:rPr>
          <w:rFonts w:ascii="Calibri" w:eastAsia="Calibri" w:hAnsi="Calibri" w:cs="Calibri"/>
          <w:sz w:val="22"/>
          <w:szCs w:val="22"/>
          <w:lang w:val="hr-HR"/>
        </w:rPr>
        <w:t>) (dalje u tekstu: Smjernice).</w:t>
      </w:r>
    </w:p>
    <w:p w14:paraId="1748D6FC" w14:textId="77777777" w:rsidR="00382CF2" w:rsidRDefault="00054989">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t>HBOR je dobrovoljno u Kodeks implementirao načela navedena u Smjernicama u mjeri u kojoj su primjenjiva zbog činjenice da se Smjernice odnose na kreditne institucije i nisu u potpunosti primjenjive na HBOR kao posebnu financijsku instituciju.</w:t>
      </w:r>
    </w:p>
    <w:p w14:paraId="1748D6FD"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Usklađenost poslovanja sa zakonima i drugim propisima te pridržavanje internih pravila osnova su odgovornog korporativnog upravljanja i nužan preduvjet za održivu uspješnost poslovanja. HBOR sustavno prati zakonsku regulativu i najbolju praksu na području korporativnog upravljanja te istu ugrađuje u svoje poslovanje u skladu s načelima dobrog bankarskog poslovanja.</w:t>
      </w:r>
    </w:p>
    <w:p w14:paraId="1748D6FE"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Kodeksom korporativnog upravljanja uspostavljeni su standardi korporativnog upravljanja i transparentnosti poslovanja HBOR-a i njihovog unapređenja u svrhu učinkovitog i odgovornog upravljanja javnim kapitalom i poslovima od posebnog društvenog značaja u funkciji razvoja hrvatskoga gospodarstva. Radi postizanja standarda korporativnog upravljanja, HBOR ovim Kodeksom opisuje odnose s upravljačkim tijelima i zainteresiranim stranama, kao i usvojene principe rada koji imaju za cilj umanjenje rizika poslovanja u nepovoljnim tržišnim uvjetima.</w:t>
      </w:r>
    </w:p>
    <w:p w14:paraId="1748D6FF"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Kodeksom ponašanja HBOR-a propisane su specifične vrijednosti i pravila za prevenciju korupcije i osiguranje profesionalnog ponašanja te je predviđena mogućnost prijave po osnovi kršenja Kodeksa. Obrazac za prijavu, adresa elektroničke pošte za zaprimanje prijava i opis načina podnošenja prijave dostupni su na mrežnim stranicama HBOR-a. Osoba odgovorna za rad funkcije praćenja usklađenosti podnosi godišnje izvješće o podnesenim prijavama i pokrenutim postupcima u vezi s prijavama po osnovi kršenja Kodeksa ponašanja.</w:t>
      </w:r>
    </w:p>
    <w:p w14:paraId="1748D700"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 skladu s načelima javnosti poslovanja financijski izvještaji HBOR-a i Grupe HBOR u izvještajnom razdoblju objavljeni su na mrežnim stranicama HBOR-a. Godišnja odvojena i konsolidirana financijska izvješća HBOR-a utvrđuje Nadzorni odbor te ih podnosi na potvrdu Hrvatskom saboru. Ocjena rejtinga HBOR-a provedena je od strane međunarodne nezavisne rejting agencije Standard &amp; Poor's. U skladu sa Zakonom o pravu na pristup informacijama, HBOR dostavlja izvješće o provedbi Zakona Povjereniku za informiranje.</w:t>
      </w:r>
    </w:p>
    <w:p w14:paraId="1748D701"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U izvještajnom razdoblju, dužnosti, odgovornosti i ovlasti članova Uprave i Nadzornog odbora regulirane su Zakonom o HBOR-u (NN 138/06) i Zakonom o izmjenama Zakona o HBOR-u (NN 25/13) i detaljnije </w:t>
      </w:r>
      <w:bookmarkStart w:id="15" w:name="_Hlk127192101"/>
      <w:r>
        <w:rPr>
          <w:rFonts w:ascii="Calibri" w:eastAsia="SimSun" w:hAnsi="Calibri" w:cs="Calibri"/>
          <w:sz w:val="22"/>
          <w:szCs w:val="22"/>
          <w:lang w:val="hr-HR"/>
        </w:rPr>
        <w:t xml:space="preserve">razrađene u Statutu HBOR-a. Uprava i Nadzorni odbor ostvaruju uspješnu suradnju koja se očituje u otvorenoj raspravi, a temelj suradnje čini pravodobno podnošenje savjesno pripremljenih izvješća Nadzornom odboru </w:t>
      </w:r>
      <w:bookmarkEnd w:id="15"/>
      <w:r>
        <w:rPr>
          <w:rFonts w:ascii="Calibri" w:eastAsia="SimSun" w:hAnsi="Calibri" w:cs="Calibri"/>
          <w:sz w:val="22"/>
          <w:szCs w:val="22"/>
          <w:lang w:val="hr-HR"/>
        </w:rPr>
        <w:t>u pisanom obliku. Zakonom i Statutom HBOR-a te odlukama Nadzornog odbora određene su vrste poslova koje HBOR obavlja samo uz prethodnu suglasnost Nadzornog odbora.</w:t>
      </w:r>
    </w:p>
    <w:p w14:paraId="1748D703" w14:textId="182677F9" w:rsidR="00382CF2" w:rsidRDefault="00054989">
      <w:pPr>
        <w:spacing w:before="120" w:after="120" w:line="276" w:lineRule="auto"/>
        <w:jc w:val="both"/>
      </w:pPr>
      <w:r>
        <w:rPr>
          <w:rStyle w:val="Zadanifontodlomka1"/>
          <w:rFonts w:ascii="Calibri" w:eastAsia="SimSun" w:hAnsi="Calibri" w:cs="Calibri"/>
          <w:b/>
          <w:bCs/>
          <w:sz w:val="22"/>
          <w:szCs w:val="22"/>
          <w:lang w:val="hr-HR"/>
        </w:rPr>
        <w:t>Nadzorni odbor</w:t>
      </w:r>
      <w:r>
        <w:rPr>
          <w:rStyle w:val="Zadanifontodlomka1"/>
          <w:rFonts w:ascii="Calibri" w:eastAsia="SimSun" w:hAnsi="Calibri" w:cs="Calibri"/>
          <w:sz w:val="22"/>
          <w:szCs w:val="22"/>
          <w:lang w:val="hr-HR"/>
        </w:rPr>
        <w:t xml:space="preserve"> utvrđuje načela poslovne politike i strategije, nadzire vođenje poslova banke, donosi kreditne politike HBOR-a, utvrđuje godišnje financijske izvještaje, razmatra izvješća unutarnje revizije, vanjskih neovisnih revizora i izvješća Državnog ureda za reviziju. Nadzorni odbor također prati i kontrolira zakonitost rada Uprave te imenuje i opoziva predsjednika i članove Uprave. Nadzorni odbor po Zakonu </w:t>
      </w:r>
      <w:r>
        <w:rPr>
          <w:rStyle w:val="Zadanifontodlomka1"/>
          <w:rFonts w:ascii="Calibri" w:eastAsia="SimSun" w:hAnsi="Calibri" w:cs="Calibri"/>
          <w:sz w:val="22"/>
          <w:szCs w:val="22"/>
          <w:lang w:val="hr-HR"/>
        </w:rPr>
        <w:lastRenderedPageBreak/>
        <w:t>čini deset članova i to šest ministara Vlade Republike Hrvatske, tri saborska zastupnika te predsjednik Hrvatske gospodarske komore.</w:t>
      </w:r>
    </w:p>
    <w:p w14:paraId="1748D704"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Tijekom 2022. Nadzorni odbor djelovao je u sljedećem sastavu:</w:t>
      </w:r>
    </w:p>
    <w:p w14:paraId="1748D705" w14:textId="77777777" w:rsidR="00382CF2" w:rsidRDefault="00054989">
      <w:pPr>
        <w:numPr>
          <w:ilvl w:val="0"/>
          <w:numId w:val="4"/>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dr. sc. Zdravko Marić, ministar financija i potpredsjednik Vlade Republike Hrvatske, predsjednik Nadzornog odbora (na dužnosti do 18. srpnja 2022.),</w:t>
      </w:r>
    </w:p>
    <w:p w14:paraId="1748D706" w14:textId="77777777" w:rsidR="00382CF2" w:rsidRDefault="00054989">
      <w:pPr>
        <w:numPr>
          <w:ilvl w:val="0"/>
          <w:numId w:val="4"/>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dr. sc. Marko Primorac, ministar financija i predsjednik Nadzornog odbora (na dužnosti od 18. srpnja 2022.),</w:t>
      </w:r>
    </w:p>
    <w:p w14:paraId="1748D707" w14:textId="77777777" w:rsidR="00382CF2" w:rsidRDefault="00054989">
      <w:pPr>
        <w:numPr>
          <w:ilvl w:val="0"/>
          <w:numId w:val="4"/>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dr. sc. Tomislav Ćorić, ministar gospodarstva i održivog razvoja, zamjenik predsjednika Nadzornog odbora (na dužnosti do 6. svibnja 2022.),</w:t>
      </w:r>
    </w:p>
    <w:p w14:paraId="1748D708" w14:textId="77777777" w:rsidR="00382CF2" w:rsidRDefault="00054989">
      <w:pPr>
        <w:numPr>
          <w:ilvl w:val="0"/>
          <w:numId w:val="5"/>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dr. sc. Davor Filipović, ministar gospodarstva i održivog razvoja, zamjenik predsjednika Nadzornog odbora (na dužnosti od 6. svibnja 2022.),</w:t>
      </w:r>
    </w:p>
    <w:p w14:paraId="1748D709" w14:textId="77777777" w:rsidR="00382CF2" w:rsidRDefault="00054989">
      <w:pPr>
        <w:numPr>
          <w:ilvl w:val="0"/>
          <w:numId w:val="5"/>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dr. sc. Nikolina Brnjac, ministrica turizma i sporta,</w:t>
      </w:r>
    </w:p>
    <w:p w14:paraId="1748D70A" w14:textId="77777777" w:rsidR="00382CF2" w:rsidRDefault="00054989">
      <w:pPr>
        <w:numPr>
          <w:ilvl w:val="0"/>
          <w:numId w:val="5"/>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Darko Horvat, ministar prostornog uređenja, graditeljstva i državne imovine, (na dužnosti do 17. ožujka 2022.),</w:t>
      </w:r>
    </w:p>
    <w:p w14:paraId="1748D70B" w14:textId="77777777" w:rsidR="00382CF2" w:rsidRDefault="00054989">
      <w:pPr>
        <w:numPr>
          <w:ilvl w:val="0"/>
          <w:numId w:val="5"/>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Ivan Paladina, ministar prostornog uređenja, graditeljstva i državne imovine, (na dužnosti od 17. ožujka 2022.),</w:t>
      </w:r>
    </w:p>
    <w:p w14:paraId="1748D70C" w14:textId="77777777" w:rsidR="00382CF2" w:rsidRDefault="00054989">
      <w:pPr>
        <w:numPr>
          <w:ilvl w:val="0"/>
          <w:numId w:val="5"/>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Nataša Tramišak, ministrica regionalnoga razvoja i fondova Europske unije,</w:t>
      </w:r>
    </w:p>
    <w:p w14:paraId="1748D70D" w14:textId="77777777" w:rsidR="00382CF2" w:rsidRDefault="00054989">
      <w:pPr>
        <w:numPr>
          <w:ilvl w:val="0"/>
          <w:numId w:val="6"/>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mr. sc. Marija Vučković, ministrica poljoprivrede,</w:t>
      </w:r>
    </w:p>
    <w:p w14:paraId="1748D70E" w14:textId="77777777" w:rsidR="00382CF2" w:rsidRDefault="00054989">
      <w:pPr>
        <w:numPr>
          <w:ilvl w:val="0"/>
          <w:numId w:val="6"/>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dr. sc. Luka Burilović, predsjednik Hrvatske gospodarske komore,</w:t>
      </w:r>
    </w:p>
    <w:p w14:paraId="1748D70F" w14:textId="77777777" w:rsidR="00382CF2" w:rsidRDefault="00054989">
      <w:pPr>
        <w:numPr>
          <w:ilvl w:val="0"/>
          <w:numId w:val="6"/>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Žarko Tušek, saborski zastupnik,</w:t>
      </w:r>
    </w:p>
    <w:p w14:paraId="1748D710" w14:textId="77777777" w:rsidR="00382CF2" w:rsidRDefault="00054989">
      <w:pPr>
        <w:numPr>
          <w:ilvl w:val="0"/>
          <w:numId w:val="6"/>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Predrag Štromar, saborski zastupnik,</w:t>
      </w:r>
    </w:p>
    <w:p w14:paraId="1748D711" w14:textId="77777777" w:rsidR="00382CF2" w:rsidRDefault="00054989">
      <w:pPr>
        <w:numPr>
          <w:ilvl w:val="0"/>
          <w:numId w:val="6"/>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dr. sc. Siniša Hajdaš Dončić, saborski zastupnik.</w:t>
      </w:r>
    </w:p>
    <w:p w14:paraId="1748D712" w14:textId="77777777" w:rsidR="00382CF2" w:rsidRDefault="00054989">
      <w:pPr>
        <w:spacing w:before="120" w:after="120" w:line="276" w:lineRule="auto"/>
        <w:jc w:val="both"/>
      </w:pPr>
      <w:r>
        <w:rPr>
          <w:rStyle w:val="Zadanifontodlomka1"/>
          <w:rFonts w:ascii="Calibri" w:eastAsia="SimSun" w:hAnsi="Calibri" w:cs="Calibri"/>
          <w:b/>
          <w:bCs/>
          <w:sz w:val="22"/>
          <w:szCs w:val="22"/>
          <w:lang w:val="hr-HR"/>
        </w:rPr>
        <w:t xml:space="preserve">Uprava </w:t>
      </w:r>
      <w:r>
        <w:rPr>
          <w:rStyle w:val="Zadanifontodlomka1"/>
          <w:rFonts w:ascii="Calibri" w:eastAsia="SimSun" w:hAnsi="Calibri" w:cs="Calibri"/>
          <w:sz w:val="22"/>
          <w:szCs w:val="22"/>
          <w:lang w:val="hr-HR"/>
        </w:rPr>
        <w:t>zastupa, vodi poslove i raspolaže imovinom HBOR-a te je dužna i ovlaštena poduzeti sve radnje i donijeti sve odluke koje smatra potrebnim za zakonito i uspješno vođenje poslova. Uprava je također zadužena za donošenje normativnih akata kojima se utvrđuje način rada i unutarnja organizacija HBOR-a, donošenje programa kreditiranja, donošenje pojedinačnih odluka o odobrenju kredita i drugih financijskih poslova, odlučivanje o imenovanju i opozivu radnika s posebnim ovlaštenjima, odlučivanje o pravima i obvezama radnika te izvješćivanje Nadzornog odbora.</w:t>
      </w:r>
    </w:p>
    <w:p w14:paraId="1748D713"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Članovi Uprave HBOR-a u 2022.:</w:t>
      </w:r>
    </w:p>
    <w:p w14:paraId="1748D714" w14:textId="77777777" w:rsidR="00382CF2" w:rsidRDefault="00054989">
      <w:pPr>
        <w:numPr>
          <w:ilvl w:val="0"/>
          <w:numId w:val="7"/>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mr. sc. Tamara Perko, predsjednica Uprave, (na dužnosti do 16. listopada 2022.)</w:t>
      </w:r>
    </w:p>
    <w:p w14:paraId="1748D715" w14:textId="77777777" w:rsidR="00382CF2" w:rsidRDefault="00054989">
      <w:pPr>
        <w:numPr>
          <w:ilvl w:val="0"/>
          <w:numId w:val="7"/>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mr. sc. Hrvoje Čuvalo, član Uprave, (na dužnosti do 16. listopada 2022.)</w:t>
      </w:r>
    </w:p>
    <w:p w14:paraId="1748D716" w14:textId="77777777" w:rsidR="00382CF2" w:rsidRDefault="00054989">
      <w:pPr>
        <w:numPr>
          <w:ilvl w:val="0"/>
          <w:numId w:val="7"/>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mr. sc. Hrvoje Čuvalo, predsjednik Uprave, (na dužnosti od 24. listopada 2022.)</w:t>
      </w:r>
    </w:p>
    <w:p w14:paraId="1748D717" w14:textId="77777777" w:rsidR="00382CF2" w:rsidRDefault="00054989">
      <w:pPr>
        <w:numPr>
          <w:ilvl w:val="0"/>
          <w:numId w:val="8"/>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mr. sc. Alan Herjavec, član Uprave, (na dužnosti od 24. listopada 2022.)</w:t>
      </w:r>
    </w:p>
    <w:p w14:paraId="1748D718" w14:textId="77777777" w:rsidR="00382CF2" w:rsidRDefault="00054989">
      <w:pPr>
        <w:numPr>
          <w:ilvl w:val="0"/>
          <w:numId w:val="8"/>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Josip Pavković, član Uprave, (na dužnosti od 24. listopada 2022.)</w:t>
      </w:r>
    </w:p>
    <w:p w14:paraId="1748D719"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Na temelju Kodeksa korporativnog upravljanja HBOR-a i Zakona o reviziji, odlukom Nadzornog odbora osnovan je Revizijski odbor HBOR-a. Revizijski odbor sastavljen je od tri člana od kojih je jedan član </w:t>
      </w:r>
      <w:r>
        <w:rPr>
          <w:rFonts w:ascii="Calibri" w:eastAsia="SimSun" w:hAnsi="Calibri" w:cs="Calibri"/>
          <w:sz w:val="22"/>
          <w:szCs w:val="22"/>
          <w:lang w:val="hr-HR"/>
        </w:rPr>
        <w:lastRenderedPageBreak/>
        <w:t>Nadzornog odbora HBOR-a, a druga dva člana, od kojih najmanje jedan mora biti neovisan član, imenuje Nadzorni odbor. Iz redova neovisnih članova Revizijskog odbora, Nadzorni odbor imenuje predsjednika.</w:t>
      </w:r>
    </w:p>
    <w:p w14:paraId="1748D71A" w14:textId="77777777" w:rsidR="00382CF2" w:rsidRDefault="00054989">
      <w:pPr>
        <w:spacing w:before="120" w:after="120" w:line="276" w:lineRule="auto"/>
        <w:jc w:val="both"/>
      </w:pPr>
      <w:r>
        <w:rPr>
          <w:rStyle w:val="Zadanifontodlomka1"/>
          <w:rFonts w:ascii="Calibri" w:eastAsia="SimSun" w:hAnsi="Calibri" w:cs="Calibri"/>
          <w:sz w:val="22"/>
          <w:szCs w:val="22"/>
          <w:lang w:val="hr-HR"/>
        </w:rPr>
        <w:t xml:space="preserve">Tijekom 2022. </w:t>
      </w:r>
      <w:r>
        <w:rPr>
          <w:rStyle w:val="Zadanifontodlomka1"/>
          <w:rFonts w:ascii="Calibri" w:eastAsia="SimSun" w:hAnsi="Calibri" w:cs="Calibri"/>
          <w:b/>
          <w:bCs/>
          <w:sz w:val="22"/>
          <w:szCs w:val="22"/>
          <w:lang w:val="hr-HR"/>
        </w:rPr>
        <w:t>Revizijski odbor</w:t>
      </w:r>
      <w:r>
        <w:rPr>
          <w:rStyle w:val="Zadanifontodlomka1"/>
          <w:rFonts w:ascii="Calibri" w:eastAsia="SimSun" w:hAnsi="Calibri" w:cs="Calibri"/>
          <w:sz w:val="22"/>
          <w:szCs w:val="22"/>
          <w:lang w:val="hr-HR"/>
        </w:rPr>
        <w:t xml:space="preserve"> HBOR-a djelovao je u sljedećem sastavu:</w:t>
      </w:r>
    </w:p>
    <w:p w14:paraId="1748D71B" w14:textId="77777777" w:rsidR="00382CF2" w:rsidRDefault="00054989">
      <w:pPr>
        <w:numPr>
          <w:ilvl w:val="0"/>
          <w:numId w:val="9"/>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prof. dr. sc. Lajoš Žager, redoviti profesor, Katedra za računovodstvo Ekonomskog fakulteta Sveučilišta u Zagrebu, Ekonomski fakultet Sveučilišta u Zagrebu, predsjednik Revizijskog odbora,</w:t>
      </w:r>
    </w:p>
    <w:p w14:paraId="1748D71C" w14:textId="77777777" w:rsidR="00382CF2" w:rsidRDefault="00054989">
      <w:pPr>
        <w:numPr>
          <w:ilvl w:val="0"/>
          <w:numId w:val="10"/>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Predrag Štromar, predsjednik Odbora za prostorno uređenje i graditeljstvo u Hrvatskom saboru, član Revizijskog odbora, </w:t>
      </w:r>
    </w:p>
    <w:p w14:paraId="1748D71D" w14:textId="77777777" w:rsidR="00382CF2" w:rsidRDefault="00054989">
      <w:pPr>
        <w:numPr>
          <w:ilvl w:val="0"/>
          <w:numId w:val="10"/>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prof. dr. sc. Boris Tušek, redoviti profesor, Katedra za računovodstvo Ekonomskog fakulteta Sveučilišta u Zagrebu, Ekonomski fakultet Sveučilišta u Zagrebu, član Revizijskog odbora i zamjenik predsjednika Revizijskog odbora (na dužnosti od 27. rujna 2022.).</w:t>
      </w:r>
    </w:p>
    <w:p w14:paraId="1748D71E"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Radi osiguranja što efikasnijeg i kvalitetnijeg upravljanja rizicima te svođenja rizika na najmanju mjeru, pri Upravi Banke djeluju i sljedeći odbori: Odbor za upravljanje aktivom i pasivom, Odbor za procjenu i mjerenje kreditnog rizika, Odbor za upravljanje informacijskim sustavom i Odbor za upravljanje poslovnim promjenama.</w:t>
      </w:r>
    </w:p>
    <w:p w14:paraId="1748D71F"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Sustav unutarnjih kontrola HBOR-a organiziran je kroz neovisne organizacijske jedinice:</w:t>
      </w:r>
    </w:p>
    <w:p w14:paraId="1748D720" w14:textId="77777777" w:rsidR="00382CF2" w:rsidRDefault="00054989" w:rsidP="00BC2670">
      <w:pPr>
        <w:numPr>
          <w:ilvl w:val="0"/>
          <w:numId w:val="9"/>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Sektor upravljanja rizicima provodi utvrđivanje, procjenu, odnosno mjerenje, praćenje i kontrolu rizika kojima je HBOR u svom poslovanju izložen ili bi mogao biti izložen te o njima izvještava nadležna tijela,</w:t>
      </w:r>
    </w:p>
    <w:p w14:paraId="1748D721" w14:textId="77777777" w:rsidR="00382CF2" w:rsidRDefault="00054989" w:rsidP="00BC2670">
      <w:pPr>
        <w:numPr>
          <w:ilvl w:val="0"/>
          <w:numId w:val="9"/>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Unutarnja revizija provodi provjeru adekvatnosti i djelotvornosti upravljanja rizicima i sustava unutarnjih kontrola, uključujući i funkciju kontrole rizika i funkciju praćenja usklađenosti, primjenu unutarnjih politika i procedura te postupke u svezi sprječavanja pranja novca, a predmet revizije su i svi drugi poslovni procesi koji se odrede na temelju procjene rizika,</w:t>
      </w:r>
    </w:p>
    <w:p w14:paraId="1748D722" w14:textId="77777777" w:rsidR="00382CF2" w:rsidRPr="00BC2670" w:rsidRDefault="00054989" w:rsidP="00BC2670">
      <w:pPr>
        <w:numPr>
          <w:ilvl w:val="0"/>
          <w:numId w:val="9"/>
        </w:numPr>
        <w:spacing w:before="120" w:after="120" w:line="276" w:lineRule="auto"/>
        <w:jc w:val="both"/>
        <w:rPr>
          <w:rFonts w:ascii="Calibri" w:eastAsia="SimSun" w:hAnsi="Calibri" w:cs="Calibri"/>
          <w:sz w:val="22"/>
          <w:szCs w:val="22"/>
          <w:lang w:val="hr-HR"/>
        </w:rPr>
      </w:pPr>
      <w:r w:rsidRPr="00BC2670">
        <w:rPr>
          <w:rFonts w:ascii="Calibri" w:eastAsia="SimSun" w:hAnsi="Calibri" w:cs="Calibri"/>
          <w:sz w:val="22"/>
          <w:szCs w:val="22"/>
          <w:lang w:val="hr-HR"/>
        </w:rPr>
        <w:t>Funkcija praćenja usklađenosti organizira, koordinira i usmjerava aktivnosti praćenja usklađenosti na razini HBOR-a, savjetuje o pitanjima usklađenosti, upravlja mjerama koje se poduzimaju radi umanjivanja rizika usklađenosti, objedinjuje podatke o praćenju usklađenosti, identificira i ocjenjuje rizike usklađenosti i o tom redovito podnosi izvješća. Osnovna zadaća funkcije praćenja usklađenosti je ograničiti rizik neusklađenosti i na taj način ograničiti i njegove negativne posljedice, kontrolirati usklađenost internih akata i poslovnih procesa s relevantnim propisima te promicati načela etičnog poslovanja.</w:t>
      </w:r>
    </w:p>
    <w:p w14:paraId="1748D723" w14:textId="77777777" w:rsidR="00382CF2" w:rsidRPr="00BC2670" w:rsidRDefault="00382CF2" w:rsidP="00BC2670">
      <w:pPr>
        <w:spacing w:before="120" w:after="120" w:line="276" w:lineRule="auto"/>
        <w:ind w:left="720"/>
        <w:jc w:val="both"/>
        <w:rPr>
          <w:rFonts w:ascii="Calibri" w:eastAsia="SimSun" w:hAnsi="Calibri" w:cs="Calibri"/>
          <w:sz w:val="22"/>
          <w:szCs w:val="22"/>
          <w:lang w:val="hr-HR"/>
        </w:rPr>
      </w:pPr>
      <w:bookmarkStart w:id="16" w:name="_Hlk63769011"/>
    </w:p>
    <w:p w14:paraId="1748D724" w14:textId="77777777" w:rsidR="00382CF2" w:rsidRDefault="00054989">
      <w:pPr>
        <w:pageBreakBefore/>
        <w:spacing w:before="120" w:after="120" w:line="276" w:lineRule="auto"/>
        <w:jc w:val="both"/>
      </w:pPr>
      <w:r>
        <w:rPr>
          <w:rStyle w:val="Zadanifontodlomka1"/>
          <w:rFonts w:ascii="Calibri" w:eastAsia="SimSun" w:hAnsi="Calibri" w:cs="Calibri"/>
          <w:b/>
          <w:bCs/>
          <w:sz w:val="22"/>
          <w:szCs w:val="22"/>
          <w:lang w:val="hr-HR"/>
        </w:rPr>
        <w:lastRenderedPageBreak/>
        <w:t>Hrvatsko kreditno osiguranje d.d. (HKO, Društvo)</w:t>
      </w:r>
    </w:p>
    <w:p w14:paraId="1748D725" w14:textId="77777777" w:rsidR="00382CF2" w:rsidRDefault="00054989">
      <w:pPr>
        <w:spacing w:before="120" w:after="120" w:line="276" w:lineRule="auto"/>
        <w:jc w:val="both"/>
      </w:pPr>
      <w:r>
        <w:rPr>
          <w:rStyle w:val="Zadanifontodlomka1"/>
          <w:rFonts w:ascii="Calibri" w:eastAsia="SimSun" w:hAnsi="Calibri" w:cs="Calibri"/>
          <w:sz w:val="22"/>
          <w:szCs w:val="22"/>
          <w:lang w:val="hr-HR"/>
        </w:rPr>
        <w:t>Sustav unutarnjih kontrola Hrvatskog kreditnog osiguranja d.d. organiziran je kroz sljedeće neovisne ključne funkcije:</w:t>
      </w:r>
    </w:p>
    <w:p w14:paraId="1748D726" w14:textId="77777777" w:rsidR="00382CF2" w:rsidRDefault="00054989">
      <w:pPr>
        <w:numPr>
          <w:ilvl w:val="0"/>
          <w:numId w:val="11"/>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funkciju praćenja usklađenosti,</w:t>
      </w:r>
    </w:p>
    <w:p w14:paraId="1748D727" w14:textId="77777777" w:rsidR="00382CF2" w:rsidRDefault="00054989">
      <w:pPr>
        <w:numPr>
          <w:ilvl w:val="0"/>
          <w:numId w:val="11"/>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funkciju upravljanja rizicima,</w:t>
      </w:r>
    </w:p>
    <w:p w14:paraId="1748D728" w14:textId="77777777" w:rsidR="00382CF2" w:rsidRDefault="00054989">
      <w:pPr>
        <w:numPr>
          <w:ilvl w:val="0"/>
          <w:numId w:val="11"/>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funkciju unutarnje revizije i</w:t>
      </w:r>
    </w:p>
    <w:p w14:paraId="1748D729" w14:textId="77777777" w:rsidR="00382CF2" w:rsidRDefault="00054989">
      <w:pPr>
        <w:numPr>
          <w:ilvl w:val="0"/>
          <w:numId w:val="11"/>
        </w:num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aktuarsku funkciju.</w:t>
      </w:r>
    </w:p>
    <w:p w14:paraId="1748D72A"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HKO ima uspostavljen odgovarajući sustav unutarnjih kontrola temeljen na internom propisu, Pravilniku o sustavu unutarnjih kontrola, čime je povećana vjerojatnost pravovremenog uočavanja prevara, doprinos smanjivanju neopravdanih troškova, smanjivanju zlouporaba i grešaka, sprečavanju neodgovarajućih aktivnosti te smanjenju rizika vezanih za usklađenost sa zakonodavnim okvirom. Društvo uspostavlja stalne i djelotvorne kontrole neovisne o poslovnim procesima i aktivnostima u kojima rizik nastaje odnosno koje prati i nadzire razmjerno svojoj veličini te vrsti, opsegu i složenosti poslovanja u skladu s profilom rizičnosti.</w:t>
      </w:r>
    </w:p>
    <w:p w14:paraId="1748D72B"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Pravni status, ustrojstvo i upravljanje u HKO te druga pitanja značajna za poslovanje uređuju se Statutom Društva te u skladu s odredbama Zakona o trgovačkim društvima i Zakona o osiguranju.</w:t>
      </w:r>
    </w:p>
    <w:p w14:paraId="1748D72C"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Organi upravljanja Društva su Uprava, Nadzorni odbor i Glavna skupština. HKO vodi dvočlana Uprava koja odluke donosi u skladu sa Statutom Društva i Poslovnikom o radu Uprave. Sve odluke donose se na temelju principa dvostruke provjere („dva para očiju“) uz odgovarajući sustav autorizacija.</w:t>
      </w:r>
    </w:p>
    <w:p w14:paraId="1748D72D"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HKO u svojem poslovanju dobrovoljno primjenjuje načela Kodeksa korporativnog upravljanja koji su izradile Hrvatska agencija za nadzor financijskih usluga i Zagrebačka burza d.d., u mjeri primjerenoj veličini i stupnju razvoja Društva.</w:t>
      </w:r>
    </w:p>
    <w:p w14:paraId="1748D72E" w14:textId="3CF4EB67" w:rsidR="0044110F" w:rsidRDefault="00054989">
      <w:pPr>
        <w:spacing w:before="120" w:after="120" w:line="276" w:lineRule="auto"/>
        <w:jc w:val="both"/>
        <w:rPr>
          <w:rStyle w:val="Zadanifontodlomka1"/>
          <w:rFonts w:ascii="Calibri" w:eastAsia="SimSun" w:hAnsi="Calibri" w:cs="Calibri"/>
          <w:sz w:val="22"/>
          <w:szCs w:val="22"/>
          <w:lang w:val="hr-HR"/>
        </w:rPr>
      </w:pPr>
      <w:r>
        <w:rPr>
          <w:rStyle w:val="Zadanifontodlomka1"/>
          <w:rFonts w:ascii="Calibri" w:eastAsia="SimSun" w:hAnsi="Calibri" w:cs="Calibri"/>
          <w:sz w:val="22"/>
          <w:szCs w:val="22"/>
          <w:lang w:val="hr-HR"/>
        </w:rPr>
        <w:t>Ova Izjava smatra se dijelom Godišnjeg izvješća Grupe HBOR za razdoblje od 1. siječnja do 31. prosinca 2022.</w:t>
      </w:r>
    </w:p>
    <w:p w14:paraId="1AF7A3C4" w14:textId="77777777" w:rsidR="0044110F" w:rsidRDefault="0044110F">
      <w:pPr>
        <w:suppressAutoHyphens w:val="0"/>
        <w:rPr>
          <w:rStyle w:val="Zadanifontodlomka1"/>
          <w:rFonts w:ascii="Calibri" w:eastAsia="SimSun" w:hAnsi="Calibri" w:cs="Calibri"/>
          <w:sz w:val="22"/>
          <w:szCs w:val="22"/>
          <w:lang w:val="hr-HR"/>
        </w:rPr>
      </w:pPr>
      <w:r>
        <w:rPr>
          <w:rStyle w:val="Zadanifontodlomka1"/>
          <w:rFonts w:ascii="Calibri" w:eastAsia="SimSun" w:hAnsi="Calibri" w:cs="Calibri"/>
          <w:sz w:val="22"/>
          <w:szCs w:val="22"/>
          <w:lang w:val="hr-HR"/>
        </w:rPr>
        <w:br w:type="page"/>
      </w:r>
    </w:p>
    <w:p w14:paraId="1748D730" w14:textId="77777777" w:rsidR="00382CF2" w:rsidRDefault="00054989">
      <w:pPr>
        <w:keepNext/>
        <w:keepLines/>
        <w:spacing w:before="360" w:after="120"/>
        <w:jc w:val="both"/>
        <w:outlineLvl w:val="0"/>
        <w:rPr>
          <w:rFonts w:ascii="Calibri" w:eastAsia="SimHei" w:hAnsi="Calibri" w:cs="Calibri"/>
          <w:b/>
          <w:bCs/>
          <w:sz w:val="22"/>
          <w:szCs w:val="22"/>
          <w:lang w:val="hr-HR"/>
        </w:rPr>
      </w:pPr>
      <w:bookmarkStart w:id="17" w:name="_Toc129083700"/>
      <w:bookmarkStart w:id="18" w:name="_Toc506982558"/>
      <w:bookmarkStart w:id="19" w:name="_Toc3249202"/>
      <w:bookmarkEnd w:id="14"/>
      <w:bookmarkEnd w:id="16"/>
      <w:r>
        <w:rPr>
          <w:rFonts w:ascii="Calibri" w:eastAsia="SimHei" w:hAnsi="Calibri" w:cs="Calibri"/>
          <w:b/>
          <w:bCs/>
          <w:sz w:val="22"/>
          <w:szCs w:val="22"/>
          <w:lang w:val="hr-HR"/>
        </w:rPr>
        <w:lastRenderedPageBreak/>
        <w:t>30 GODINA HBOR-a</w:t>
      </w:r>
      <w:bookmarkEnd w:id="17"/>
    </w:p>
    <w:p w14:paraId="1748D731" w14:textId="219A78F5" w:rsidR="00382CF2" w:rsidRPr="00E45A39" w:rsidRDefault="00054989" w:rsidP="00782C19">
      <w:pPr>
        <w:spacing w:after="120" w:line="276" w:lineRule="auto"/>
        <w:jc w:val="both"/>
        <w:rPr>
          <w:rFonts w:ascii="Calibri" w:eastAsia="SimSun" w:hAnsi="Calibri" w:cs="Calibri"/>
          <w:sz w:val="22"/>
          <w:szCs w:val="22"/>
          <w:lang w:val="hr-HR"/>
        </w:rPr>
      </w:pPr>
      <w:r w:rsidRPr="00E45A39">
        <w:rPr>
          <w:rFonts w:ascii="Calibri" w:eastAsia="SimSun" w:hAnsi="Calibri" w:cs="Calibri"/>
          <w:sz w:val="22"/>
          <w:szCs w:val="22"/>
          <w:lang w:val="hr-HR"/>
        </w:rPr>
        <w:t xml:space="preserve">HBOR je u 2022. godini obilježio 30. obljetnicu poslovanja. </w:t>
      </w:r>
      <w:r w:rsidR="0058618D">
        <w:rPr>
          <w:rFonts w:ascii="Calibri" w:eastAsia="SimSun" w:hAnsi="Calibri" w:cs="Calibri"/>
          <w:sz w:val="22"/>
          <w:szCs w:val="22"/>
          <w:lang w:val="hr-HR"/>
        </w:rPr>
        <w:t xml:space="preserve">Dana </w:t>
      </w:r>
      <w:r w:rsidRPr="00E45A39">
        <w:rPr>
          <w:rFonts w:ascii="Calibri" w:eastAsia="SimSun" w:hAnsi="Calibri" w:cs="Calibri"/>
          <w:sz w:val="22"/>
          <w:szCs w:val="22"/>
          <w:lang w:val="hr-HR"/>
        </w:rPr>
        <w:t>12. lipnja 1992.</w:t>
      </w:r>
      <w:r w:rsidR="00937D2E">
        <w:rPr>
          <w:rFonts w:ascii="Calibri" w:eastAsia="SimSun" w:hAnsi="Calibri" w:cs="Calibri"/>
          <w:sz w:val="22"/>
          <w:szCs w:val="22"/>
          <w:lang w:val="hr-HR"/>
        </w:rPr>
        <w:t>,</w:t>
      </w:r>
      <w:r w:rsidRPr="00E45A39">
        <w:rPr>
          <w:rFonts w:ascii="Calibri" w:eastAsia="SimSun" w:hAnsi="Calibri" w:cs="Calibri"/>
          <w:sz w:val="22"/>
          <w:szCs w:val="22"/>
          <w:lang w:val="hr-HR"/>
        </w:rPr>
        <w:t xml:space="preserve"> nepunih mjesec dana nakon primitka Republike Hrvatske u Ujedinjene narode</w:t>
      </w:r>
      <w:r w:rsidR="00557B64">
        <w:rPr>
          <w:rFonts w:ascii="Calibri" w:eastAsia="SimSun" w:hAnsi="Calibri" w:cs="Calibri"/>
          <w:sz w:val="22"/>
          <w:szCs w:val="22"/>
          <w:lang w:val="hr-HR"/>
        </w:rPr>
        <w:t>,</w:t>
      </w:r>
      <w:r w:rsidRPr="00E45A39">
        <w:rPr>
          <w:rFonts w:ascii="Calibri" w:eastAsia="SimSun" w:hAnsi="Calibri" w:cs="Calibri"/>
          <w:sz w:val="22"/>
          <w:szCs w:val="22"/>
          <w:lang w:val="hr-HR"/>
        </w:rPr>
        <w:t xml:space="preserve"> počela se ispisivati povijest Hrvatske banke za obnovu i razvitak. Tada</w:t>
      </w:r>
      <w:r w:rsidR="009A72BE">
        <w:rPr>
          <w:rFonts w:ascii="Calibri" w:eastAsia="SimSun" w:hAnsi="Calibri" w:cs="Calibri"/>
          <w:sz w:val="22"/>
          <w:szCs w:val="22"/>
          <w:lang w:val="hr-HR"/>
        </w:rPr>
        <w:t xml:space="preserve"> je</w:t>
      </w:r>
      <w:r w:rsidRPr="00E45A39">
        <w:rPr>
          <w:rFonts w:ascii="Calibri" w:eastAsia="SimSun" w:hAnsi="Calibri" w:cs="Calibri"/>
          <w:sz w:val="22"/>
          <w:szCs w:val="22"/>
          <w:lang w:val="hr-HR"/>
        </w:rPr>
        <w:t xml:space="preserve"> posebnim zakonom osnovana Hrvatska kreditna banka za obnovu - HKBO, preteča današnjeg HBOR-a. HKBO </w:t>
      </w:r>
      <w:r w:rsidR="00257D95">
        <w:rPr>
          <w:rFonts w:ascii="Calibri" w:eastAsia="SimSun" w:hAnsi="Calibri" w:cs="Calibri"/>
          <w:sz w:val="22"/>
          <w:szCs w:val="22"/>
          <w:lang w:val="hr-HR"/>
        </w:rPr>
        <w:t xml:space="preserve">je </w:t>
      </w:r>
      <w:r w:rsidRPr="00E45A39">
        <w:rPr>
          <w:rFonts w:ascii="Calibri" w:eastAsia="SimSun" w:hAnsi="Calibri" w:cs="Calibri"/>
          <w:sz w:val="22"/>
          <w:szCs w:val="22"/>
          <w:lang w:val="hr-HR"/>
        </w:rPr>
        <w:t>preuzeo sredstva, prava, obveze i 50 ljudi zaposlenih u Hrvatskoj razvojnoj i izvoznoj banci d.d. (HRIB). Na osnovi Zakona o financiranju obnove, o kojem je Sabor glasovao u lipnju 1992.</w:t>
      </w:r>
      <w:r w:rsidR="00E62E59">
        <w:rPr>
          <w:rFonts w:ascii="Calibri" w:eastAsia="SimSun" w:hAnsi="Calibri" w:cs="Calibri"/>
          <w:sz w:val="22"/>
          <w:szCs w:val="22"/>
          <w:lang w:val="hr-HR"/>
        </w:rPr>
        <w:t>,</w:t>
      </w:r>
      <w:r w:rsidRPr="00E45A39">
        <w:rPr>
          <w:rFonts w:ascii="Calibri" w:eastAsia="SimSun" w:hAnsi="Calibri" w:cs="Calibri"/>
          <w:sz w:val="22"/>
          <w:szCs w:val="22"/>
          <w:lang w:val="hr-HR"/>
        </w:rPr>
        <w:t xml:space="preserve"> HKBO preuzima i financijska sredstva, prava i obveze Fonda za izgradnju i popravak u ratu srušenih građevinskih objekata. Osnutku i operativnom djelovanju HKBO-a, koji je osnovan po uzoru na njemačku razvojnu banku </w:t>
      </w:r>
      <w:r w:rsidRPr="008E4C3B">
        <w:rPr>
          <w:rFonts w:ascii="Calibri" w:eastAsia="SimSun" w:hAnsi="Calibri" w:cs="Calibri"/>
          <w:color w:val="000000" w:themeColor="text1"/>
          <w:sz w:val="22"/>
          <w:szCs w:val="22"/>
          <w:lang w:val="hr-HR"/>
        </w:rPr>
        <w:t xml:space="preserve">Kreditanstalt </w:t>
      </w:r>
      <w:r w:rsidR="0058618D" w:rsidRPr="008E4C3B">
        <w:rPr>
          <w:rStyle w:val="Emphasis"/>
          <w:rFonts w:asciiTheme="minorHAnsi" w:hAnsiTheme="minorHAnsi" w:cstheme="minorHAnsi"/>
          <w:i w:val="0"/>
          <w:iCs w:val="0"/>
          <w:color w:val="000000" w:themeColor="text1"/>
          <w:sz w:val="22"/>
          <w:szCs w:val="22"/>
          <w:shd w:val="clear" w:color="auto" w:fill="FFFFFF"/>
        </w:rPr>
        <w:t>für</w:t>
      </w:r>
      <w:r w:rsidRPr="008E4C3B">
        <w:rPr>
          <w:rFonts w:ascii="Calibri" w:eastAsia="SimSun" w:hAnsi="Calibri" w:cs="Calibri"/>
          <w:color w:val="000000" w:themeColor="text1"/>
          <w:sz w:val="22"/>
          <w:szCs w:val="22"/>
          <w:lang w:val="hr-HR"/>
        </w:rPr>
        <w:t xml:space="preserve"> </w:t>
      </w:r>
      <w:r w:rsidRPr="00E45A39">
        <w:rPr>
          <w:rFonts w:ascii="Calibri" w:eastAsia="SimSun" w:hAnsi="Calibri" w:cs="Calibri"/>
          <w:sz w:val="22"/>
          <w:szCs w:val="22"/>
          <w:lang w:val="hr-HR"/>
        </w:rPr>
        <w:t>Wiederaufbau (KfW), prethodilo je potpisivanje Sporazuma između Vlade Republike Hrvatske i Vlade Republike Njemačke, po kojem je KfW bio zadužen za tehničku, financijsku i savjetodavnu pomoć HKBO-u.</w:t>
      </w:r>
    </w:p>
    <w:p w14:paraId="1748D732" w14:textId="77777777" w:rsidR="00382CF2" w:rsidRPr="00E45A39" w:rsidRDefault="00054989" w:rsidP="00782C19">
      <w:pPr>
        <w:spacing w:after="120" w:line="276" w:lineRule="auto"/>
        <w:jc w:val="both"/>
        <w:rPr>
          <w:rFonts w:ascii="Calibri" w:eastAsia="SimSun" w:hAnsi="Calibri" w:cs="Calibri"/>
          <w:sz w:val="22"/>
          <w:szCs w:val="22"/>
          <w:lang w:val="hr-HR"/>
        </w:rPr>
      </w:pPr>
      <w:r w:rsidRPr="00E45A39">
        <w:rPr>
          <w:rFonts w:ascii="Calibri" w:eastAsia="SimSun" w:hAnsi="Calibri" w:cs="Calibri"/>
          <w:sz w:val="22"/>
          <w:szCs w:val="22"/>
          <w:lang w:val="hr-HR"/>
        </w:rPr>
        <w:t>Kroz povijest punu prekretnica HBOR je uspješno jačao svoju tržišnu prisutnost te je prošao put od banke za obnovu ratom razrušenog gospodarstva do moderne, međunarodno priznate razvojne i izvozne banke i izvozno-kreditne agencije.</w:t>
      </w:r>
    </w:p>
    <w:p w14:paraId="1748D734" w14:textId="77777777" w:rsidR="00382CF2" w:rsidRPr="00E45A39" w:rsidRDefault="00054989" w:rsidP="00E45A39">
      <w:pPr>
        <w:spacing w:before="120" w:after="120" w:line="276" w:lineRule="auto"/>
        <w:jc w:val="both"/>
        <w:rPr>
          <w:rFonts w:ascii="Calibri" w:eastAsia="SimSun" w:hAnsi="Calibri" w:cs="Calibri"/>
          <w:sz w:val="22"/>
          <w:szCs w:val="22"/>
          <w:lang w:val="hr-HR"/>
        </w:rPr>
      </w:pPr>
      <w:r w:rsidRPr="00E45A39">
        <w:rPr>
          <w:rFonts w:ascii="Calibri" w:eastAsia="SimSun" w:hAnsi="Calibri" w:cs="Calibri"/>
          <w:sz w:val="22"/>
          <w:szCs w:val="22"/>
          <w:lang w:val="hr-HR"/>
        </w:rPr>
        <w:t>Snagu i značaj HBOR-a najbolje potvrđuju brojke - kroz trideset godina poslovanja Banka je podržala gotovo 70 tisuća projekata s iznosom od preko 203 milijarde kuna. Prva poslovna godina zaključena je s aktivom od 335 milijuna kuna, a danas ukupna imovina HBOR-a iznosi 29 milijardi kuna.</w:t>
      </w:r>
    </w:p>
    <w:p w14:paraId="1748D736" w14:textId="7D5CC241" w:rsidR="00382CF2" w:rsidRPr="00E45A39" w:rsidRDefault="00054989" w:rsidP="00E45A39">
      <w:pPr>
        <w:spacing w:before="120" w:after="120" w:line="276" w:lineRule="auto"/>
        <w:jc w:val="both"/>
        <w:rPr>
          <w:rFonts w:ascii="Calibri" w:eastAsia="SimSun" w:hAnsi="Calibri" w:cs="Calibri"/>
          <w:sz w:val="22"/>
          <w:szCs w:val="22"/>
          <w:lang w:val="hr-HR"/>
        </w:rPr>
      </w:pPr>
      <w:r w:rsidRPr="00E45A39">
        <w:rPr>
          <w:rFonts w:ascii="Calibri" w:eastAsia="SimSun" w:hAnsi="Calibri" w:cs="Calibri"/>
          <w:sz w:val="22"/>
          <w:szCs w:val="22"/>
          <w:lang w:val="hr-HR"/>
        </w:rPr>
        <w:t>Spremnost na brze promjene i prilagodbe poslovanja potrebama hrvatskog gospodarstva ključni su faktor uspješnosti HBOR-a</w:t>
      </w:r>
      <w:r w:rsidR="2EDD9F9F" w:rsidRPr="2767BDFC">
        <w:rPr>
          <w:rFonts w:ascii="Calibri" w:eastAsia="SimSun" w:hAnsi="Calibri" w:cs="Calibri"/>
          <w:sz w:val="22"/>
          <w:szCs w:val="22"/>
          <w:lang w:val="hr-HR"/>
        </w:rPr>
        <w:t>.</w:t>
      </w:r>
    </w:p>
    <w:p w14:paraId="1748D737" w14:textId="52F3BE36" w:rsidR="00163AF2" w:rsidRDefault="00163AF2">
      <w:pPr>
        <w:suppressAutoHyphens w:val="0"/>
        <w:rPr>
          <w:rFonts w:ascii="Calibri" w:eastAsia="SimSun" w:hAnsi="Calibri" w:cs="Calibri"/>
          <w:sz w:val="22"/>
          <w:szCs w:val="22"/>
          <w:lang w:val="hr-HR"/>
        </w:rPr>
      </w:pPr>
      <w:r>
        <w:rPr>
          <w:rFonts w:ascii="Calibri" w:eastAsia="SimSun" w:hAnsi="Calibri" w:cs="Calibri"/>
          <w:sz w:val="22"/>
          <w:szCs w:val="22"/>
          <w:lang w:val="hr-HR"/>
        </w:rPr>
        <w:br w:type="page"/>
      </w:r>
    </w:p>
    <w:p w14:paraId="618CD74F" w14:textId="4F82A639" w:rsidR="00163AF2" w:rsidRPr="00995886" w:rsidRDefault="00163AF2" w:rsidP="00163AF2">
      <w:pPr>
        <w:keepNext/>
        <w:keepLines/>
        <w:pBdr>
          <w:bottom w:val="single" w:sz="4" w:space="2" w:color="B2B2B2"/>
        </w:pBdr>
        <w:jc w:val="both"/>
        <w:outlineLvl w:val="0"/>
        <w:rPr>
          <w:rFonts w:ascii="Calibri" w:eastAsia="SimHei" w:hAnsi="Calibri" w:cs="Calibri"/>
          <w:b/>
          <w:bCs/>
          <w:sz w:val="22"/>
          <w:szCs w:val="22"/>
          <w:lang w:val="hr-HR"/>
        </w:rPr>
      </w:pPr>
      <w:bookmarkStart w:id="20" w:name="_Toc97908638"/>
      <w:bookmarkStart w:id="21" w:name="_Toc129083701"/>
      <w:bookmarkEnd w:id="18"/>
      <w:bookmarkEnd w:id="19"/>
      <w:r w:rsidRPr="00995886">
        <w:rPr>
          <w:rFonts w:ascii="Calibri" w:eastAsia="SimHei" w:hAnsi="Calibri" w:cs="Calibri"/>
          <w:b/>
          <w:bCs/>
          <w:sz w:val="22"/>
          <w:szCs w:val="22"/>
          <w:lang w:val="hr-HR"/>
        </w:rPr>
        <w:lastRenderedPageBreak/>
        <w:t>OPIS POSLOVANJA</w:t>
      </w:r>
      <w:bookmarkStart w:id="22" w:name="_Toc3249203"/>
      <w:r w:rsidRPr="00995886">
        <w:rPr>
          <w:rFonts w:ascii="Calibri" w:eastAsia="SimHei" w:hAnsi="Calibri" w:cs="Calibri"/>
          <w:b/>
          <w:bCs/>
          <w:sz w:val="22"/>
          <w:szCs w:val="22"/>
          <w:lang w:val="hr-HR"/>
        </w:rPr>
        <w:t xml:space="preserve"> GRUPE HRVATSKA BANKA ZA OBNOVU I RAZVITAK U 202</w:t>
      </w:r>
      <w:r>
        <w:rPr>
          <w:rFonts w:ascii="Calibri" w:eastAsia="SimHei" w:hAnsi="Calibri" w:cs="Calibri"/>
          <w:b/>
          <w:bCs/>
          <w:sz w:val="22"/>
          <w:szCs w:val="22"/>
          <w:lang w:val="hr-HR"/>
        </w:rPr>
        <w:t>2</w:t>
      </w:r>
      <w:r w:rsidRPr="00995886">
        <w:rPr>
          <w:rFonts w:ascii="Calibri" w:eastAsia="SimHei" w:hAnsi="Calibri" w:cs="Calibri"/>
          <w:b/>
          <w:bCs/>
          <w:sz w:val="22"/>
          <w:szCs w:val="22"/>
          <w:lang w:val="hr-HR"/>
        </w:rPr>
        <w:t>. GODINI</w:t>
      </w:r>
      <w:bookmarkEnd w:id="20"/>
      <w:bookmarkEnd w:id="21"/>
      <w:bookmarkEnd w:id="22"/>
    </w:p>
    <w:p w14:paraId="732CEE27" w14:textId="77777777" w:rsidR="00163AF2" w:rsidRPr="00995886" w:rsidRDefault="00163AF2" w:rsidP="00163AF2">
      <w:pPr>
        <w:jc w:val="both"/>
        <w:rPr>
          <w:rFonts w:ascii="Calibri" w:eastAsia="SimSun" w:hAnsi="Calibri" w:cs="Calibri"/>
          <w:sz w:val="22"/>
          <w:szCs w:val="22"/>
          <w:lang w:val="hr-HR"/>
        </w:rPr>
      </w:pPr>
    </w:p>
    <w:p w14:paraId="1DB9430F" w14:textId="77777777" w:rsidR="00163AF2" w:rsidRPr="00995886" w:rsidRDefault="00163AF2" w:rsidP="009F41BE">
      <w:pPr>
        <w:keepNext/>
        <w:keepLines/>
        <w:pBdr>
          <w:bottom w:val="single" w:sz="4" w:space="2" w:color="B2B2B2"/>
        </w:pBdr>
        <w:spacing w:after="240"/>
        <w:jc w:val="both"/>
        <w:outlineLvl w:val="0"/>
        <w:rPr>
          <w:rFonts w:ascii="Calibri" w:eastAsia="SimHei" w:hAnsi="Calibri" w:cs="Calibri"/>
          <w:b/>
          <w:bCs/>
          <w:sz w:val="22"/>
          <w:szCs w:val="22"/>
          <w:lang w:val="hr-HR"/>
        </w:rPr>
      </w:pPr>
      <w:bookmarkStart w:id="23" w:name="_Toc3249204"/>
      <w:bookmarkStart w:id="24" w:name="_Toc97908639"/>
      <w:bookmarkStart w:id="25" w:name="_Toc129083702"/>
      <w:r w:rsidRPr="00995886">
        <w:rPr>
          <w:rFonts w:ascii="Calibri" w:eastAsia="SimHei" w:hAnsi="Calibri" w:cs="Calibri"/>
          <w:b/>
          <w:bCs/>
          <w:sz w:val="22"/>
          <w:szCs w:val="22"/>
          <w:lang w:val="hr-HR"/>
        </w:rPr>
        <w:t>POSLOVANJE HRVATSKE BANKE ZA OBNOVU I RAZVITAK</w:t>
      </w:r>
      <w:bookmarkEnd w:id="23"/>
      <w:bookmarkEnd w:id="24"/>
      <w:bookmarkEnd w:id="25"/>
    </w:p>
    <w:p w14:paraId="0E1DBBCD" w14:textId="6663DC01" w:rsidR="0012797E" w:rsidRDefault="0012797E" w:rsidP="009F41BE">
      <w:pPr>
        <w:spacing w:after="120" w:line="276" w:lineRule="auto"/>
        <w:jc w:val="both"/>
        <w:rPr>
          <w:rStyle w:val="Zadanifontodlomka1"/>
          <w:rFonts w:ascii="Calibri" w:eastAsia="SimSun" w:hAnsi="Calibri" w:cs="Calibri"/>
          <w:sz w:val="22"/>
          <w:szCs w:val="22"/>
          <w:lang w:val="hr-HR"/>
        </w:rPr>
      </w:pPr>
      <w:r w:rsidRPr="00250865">
        <w:rPr>
          <w:rStyle w:val="Zadanifontodlomka1"/>
          <w:rFonts w:ascii="Calibri" w:eastAsia="SimSun" w:hAnsi="Calibri" w:cs="Calibri"/>
          <w:sz w:val="22"/>
          <w:szCs w:val="22"/>
          <w:lang w:val="hr-HR"/>
        </w:rPr>
        <w:t>Izvještajna 20</w:t>
      </w:r>
      <w:r>
        <w:rPr>
          <w:rStyle w:val="Zadanifontodlomka1"/>
          <w:rFonts w:ascii="Calibri" w:eastAsia="SimSun" w:hAnsi="Calibri" w:cs="Calibri"/>
          <w:sz w:val="22"/>
          <w:szCs w:val="22"/>
          <w:lang w:val="hr-HR"/>
        </w:rPr>
        <w:t>22</w:t>
      </w:r>
      <w:r w:rsidRPr="00250865">
        <w:rPr>
          <w:rStyle w:val="Zadanifontodlomka1"/>
          <w:rFonts w:ascii="Calibri" w:eastAsia="SimSun" w:hAnsi="Calibri" w:cs="Calibri"/>
          <w:sz w:val="22"/>
          <w:szCs w:val="22"/>
          <w:lang w:val="hr-HR"/>
        </w:rPr>
        <w:t>.</w:t>
      </w:r>
      <w:r w:rsidR="00795EF0">
        <w:rPr>
          <w:rStyle w:val="Zadanifontodlomka1"/>
          <w:rFonts w:ascii="Calibri" w:eastAsia="SimSun" w:hAnsi="Calibri" w:cs="Calibri"/>
          <w:sz w:val="22"/>
          <w:szCs w:val="22"/>
          <w:lang w:val="hr-HR"/>
        </w:rPr>
        <w:t xml:space="preserve"> </w:t>
      </w:r>
      <w:r w:rsidRPr="00250865">
        <w:rPr>
          <w:rStyle w:val="Zadanifontodlomka1"/>
          <w:rFonts w:ascii="Calibri" w:eastAsia="SimSun" w:hAnsi="Calibri" w:cs="Calibri"/>
          <w:sz w:val="22"/>
          <w:szCs w:val="22"/>
          <w:lang w:val="hr-HR"/>
        </w:rPr>
        <w:t xml:space="preserve">godina predstavljala je još jednu izazovnu godinu za financijski i gospodarski sektor, kako u Europi tako i u </w:t>
      </w:r>
      <w:r>
        <w:rPr>
          <w:rStyle w:val="Zadanifontodlomka1"/>
          <w:rFonts w:ascii="Calibri" w:eastAsia="SimSun" w:hAnsi="Calibri" w:cs="Calibri"/>
          <w:sz w:val="22"/>
          <w:szCs w:val="22"/>
          <w:lang w:val="hr-HR"/>
        </w:rPr>
        <w:t xml:space="preserve">Republici </w:t>
      </w:r>
      <w:r w:rsidRPr="00250865">
        <w:rPr>
          <w:rStyle w:val="Zadanifontodlomka1"/>
          <w:rFonts w:ascii="Calibri" w:eastAsia="SimSun" w:hAnsi="Calibri" w:cs="Calibri"/>
          <w:sz w:val="22"/>
          <w:szCs w:val="22"/>
          <w:lang w:val="hr-HR"/>
        </w:rPr>
        <w:t xml:space="preserve">Hrvatskoj. </w:t>
      </w:r>
      <w:r>
        <w:rPr>
          <w:rStyle w:val="Zadanifontodlomka1"/>
          <w:rFonts w:ascii="Calibri" w:eastAsia="SimSun" w:hAnsi="Calibri" w:cs="Calibri"/>
          <w:sz w:val="22"/>
          <w:szCs w:val="22"/>
          <w:lang w:val="hr-HR"/>
        </w:rPr>
        <w:t xml:space="preserve">Gospodarski oporavak od krize uzrokovane pandemijom, započet  krajem 2021. godine, naglo je zaustavljen novom krizom uzrokovanom ratom u Ukrajini. Poremećaji u opskrbnim lancima, poskupljenja energenata i veliki inflatorni pritisci </w:t>
      </w:r>
      <w:r w:rsidRPr="00250865">
        <w:rPr>
          <w:rStyle w:val="Zadanifontodlomka1"/>
          <w:rFonts w:ascii="Calibri" w:eastAsia="SimSun" w:hAnsi="Calibri" w:cs="Calibri"/>
          <w:sz w:val="22"/>
          <w:szCs w:val="22"/>
          <w:lang w:val="hr-HR"/>
        </w:rPr>
        <w:t xml:space="preserve">negativno su utjecali na hrvatsko gospodarstvo te smanjili spremnost, ali i kapacitete hrvatskih gospodarstvenika za nove investicije. Kako bi se podržale ekonomske aktivnosti i time ublažile posljedice nepovoljnog gospodarskog okruženja, </w:t>
      </w:r>
      <w:r>
        <w:rPr>
          <w:rStyle w:val="Zadanifontodlomka1"/>
          <w:rFonts w:ascii="Calibri" w:eastAsia="SimSun" w:hAnsi="Calibri" w:cs="Calibri"/>
          <w:sz w:val="22"/>
          <w:szCs w:val="22"/>
          <w:lang w:val="hr-HR"/>
        </w:rPr>
        <w:t>k</w:t>
      </w:r>
      <w:r w:rsidRPr="002D7E47">
        <w:rPr>
          <w:rStyle w:val="Zadanifontodlomka1"/>
          <w:rFonts w:ascii="Calibri" w:eastAsia="SimSun" w:hAnsi="Calibri" w:cs="Calibri"/>
          <w:sz w:val="22"/>
          <w:szCs w:val="22"/>
          <w:lang w:val="hr-HR"/>
        </w:rPr>
        <w:t>ao i za vrijeme COVID</w:t>
      </w:r>
      <w:r w:rsidR="00747551">
        <w:rPr>
          <w:rStyle w:val="Zadanifontodlomka1"/>
          <w:rFonts w:ascii="Calibri" w:eastAsia="SimSun" w:hAnsi="Calibri" w:cs="Calibri"/>
          <w:sz w:val="22"/>
          <w:szCs w:val="22"/>
          <w:lang w:val="hr-HR"/>
        </w:rPr>
        <w:t>-19 pandemije</w:t>
      </w:r>
      <w:r w:rsidRPr="002D7E47">
        <w:rPr>
          <w:rStyle w:val="Zadanifontodlomka1"/>
          <w:rFonts w:ascii="Calibri" w:eastAsia="SimSun" w:hAnsi="Calibri" w:cs="Calibri"/>
          <w:sz w:val="22"/>
          <w:szCs w:val="22"/>
          <w:lang w:val="hr-HR"/>
        </w:rPr>
        <w:t xml:space="preserve">, HBOR je </w:t>
      </w:r>
      <w:r w:rsidR="00747551">
        <w:rPr>
          <w:rStyle w:val="Zadanifontodlomka1"/>
          <w:rFonts w:ascii="Calibri" w:eastAsia="SimSun" w:hAnsi="Calibri" w:cs="Calibri"/>
          <w:sz w:val="22"/>
          <w:szCs w:val="22"/>
          <w:lang w:val="hr-HR"/>
        </w:rPr>
        <w:t>ubrzano</w:t>
      </w:r>
      <w:r w:rsidR="00747551" w:rsidRPr="002D7E47">
        <w:rPr>
          <w:rStyle w:val="Zadanifontodlomka1"/>
          <w:rFonts w:ascii="Calibri" w:eastAsia="SimSun" w:hAnsi="Calibri" w:cs="Calibri"/>
          <w:sz w:val="22"/>
          <w:szCs w:val="22"/>
          <w:lang w:val="hr-HR"/>
        </w:rPr>
        <w:t xml:space="preserve"> </w:t>
      </w:r>
      <w:r w:rsidRPr="002D7E47">
        <w:rPr>
          <w:rStyle w:val="Zadanifontodlomka1"/>
          <w:rFonts w:ascii="Calibri" w:eastAsia="SimSun" w:hAnsi="Calibri" w:cs="Calibri"/>
          <w:sz w:val="22"/>
          <w:szCs w:val="22"/>
          <w:lang w:val="hr-HR"/>
        </w:rPr>
        <w:t>reagirao uvođenjem novih mjera</w:t>
      </w:r>
      <w:r>
        <w:rPr>
          <w:rStyle w:val="Zadanifontodlomka1"/>
          <w:rFonts w:ascii="Calibri" w:eastAsia="SimSun" w:hAnsi="Calibri" w:cs="Calibri"/>
          <w:sz w:val="22"/>
          <w:szCs w:val="22"/>
          <w:lang w:val="hr-HR"/>
        </w:rPr>
        <w:t>.</w:t>
      </w:r>
    </w:p>
    <w:p w14:paraId="7A6800A0" w14:textId="36F51DBB" w:rsidR="0012797E" w:rsidRDefault="0012797E" w:rsidP="009F41BE">
      <w:pPr>
        <w:spacing w:after="120" w:line="276" w:lineRule="auto"/>
        <w:jc w:val="both"/>
        <w:rPr>
          <w:rStyle w:val="Zadanifontodlomka1"/>
          <w:rFonts w:ascii="Calibri" w:eastAsia="SimSun" w:hAnsi="Calibri" w:cs="Calibri"/>
          <w:sz w:val="22"/>
          <w:szCs w:val="22"/>
          <w:lang w:val="hr-HR"/>
        </w:rPr>
      </w:pPr>
      <w:r w:rsidRPr="002755C8">
        <w:rPr>
          <w:rStyle w:val="Zadanifontodlomka1"/>
          <w:rFonts w:ascii="Calibri" w:eastAsia="SimSun" w:hAnsi="Calibri" w:cs="Calibri"/>
          <w:sz w:val="22"/>
          <w:szCs w:val="22"/>
          <w:lang w:val="hr-HR"/>
        </w:rPr>
        <w:t xml:space="preserve">Uz provedbu kriznih mjera </w:t>
      </w:r>
      <w:r w:rsidR="00747551">
        <w:rPr>
          <w:rStyle w:val="Zadanifontodlomka1"/>
          <w:rFonts w:ascii="Calibri" w:eastAsia="SimSun" w:hAnsi="Calibri" w:cs="Calibri"/>
          <w:sz w:val="22"/>
          <w:szCs w:val="22"/>
          <w:lang w:val="hr-HR"/>
        </w:rPr>
        <w:t>po</w:t>
      </w:r>
      <w:r w:rsidRPr="002755C8">
        <w:rPr>
          <w:rStyle w:val="Zadanifontodlomka1"/>
          <w:rFonts w:ascii="Calibri" w:eastAsia="SimSun" w:hAnsi="Calibri" w:cs="Calibri"/>
          <w:sz w:val="22"/>
          <w:szCs w:val="22"/>
          <w:lang w:val="hr-HR"/>
        </w:rPr>
        <w:t xml:space="preserve">vezanih </w:t>
      </w:r>
      <w:r w:rsidR="00747551">
        <w:rPr>
          <w:rStyle w:val="Zadanifontodlomka1"/>
          <w:rFonts w:ascii="Calibri" w:eastAsia="SimSun" w:hAnsi="Calibri" w:cs="Calibri"/>
          <w:sz w:val="22"/>
          <w:szCs w:val="22"/>
          <w:lang w:val="hr-HR"/>
        </w:rPr>
        <w:t xml:space="preserve">s poteškoćama uzrokovanim </w:t>
      </w:r>
      <w:r w:rsidRPr="002755C8">
        <w:rPr>
          <w:rStyle w:val="Zadanifontodlomka1"/>
          <w:rFonts w:ascii="Calibri" w:eastAsia="SimSun" w:hAnsi="Calibri" w:cs="Calibri"/>
          <w:sz w:val="22"/>
          <w:szCs w:val="22"/>
          <w:lang w:val="hr-HR"/>
        </w:rPr>
        <w:t>COVID</w:t>
      </w:r>
      <w:r w:rsidR="00747551">
        <w:rPr>
          <w:rStyle w:val="Zadanifontodlomka1"/>
          <w:rFonts w:ascii="Calibri" w:eastAsia="SimSun" w:hAnsi="Calibri" w:cs="Calibri"/>
          <w:sz w:val="22"/>
          <w:szCs w:val="22"/>
          <w:lang w:val="hr-HR"/>
        </w:rPr>
        <w:t>-19 pandemijom</w:t>
      </w:r>
      <w:r w:rsidRPr="002755C8">
        <w:rPr>
          <w:rStyle w:val="Zadanifontodlomka1"/>
          <w:rFonts w:ascii="Calibri" w:eastAsia="SimSun" w:hAnsi="Calibri" w:cs="Calibri"/>
          <w:sz w:val="22"/>
          <w:szCs w:val="22"/>
          <w:lang w:val="hr-HR"/>
        </w:rPr>
        <w:t xml:space="preserve"> i </w:t>
      </w:r>
      <w:r w:rsidR="00747551">
        <w:rPr>
          <w:rStyle w:val="Zadanifontodlomka1"/>
          <w:rFonts w:ascii="Calibri" w:eastAsia="SimSun" w:hAnsi="Calibri" w:cs="Calibri"/>
          <w:sz w:val="22"/>
          <w:szCs w:val="22"/>
          <w:lang w:val="hr-HR"/>
        </w:rPr>
        <w:t xml:space="preserve">ratom u </w:t>
      </w:r>
      <w:r w:rsidRPr="002755C8">
        <w:rPr>
          <w:rStyle w:val="Zadanifontodlomka1"/>
          <w:rFonts w:ascii="Calibri" w:eastAsia="SimSun" w:hAnsi="Calibri" w:cs="Calibri"/>
          <w:sz w:val="22"/>
          <w:szCs w:val="22"/>
          <w:lang w:val="hr-HR"/>
        </w:rPr>
        <w:t>Ukrajin</w:t>
      </w:r>
      <w:r w:rsidR="00747551">
        <w:rPr>
          <w:rStyle w:val="Zadanifontodlomka1"/>
          <w:rFonts w:ascii="Calibri" w:eastAsia="SimSun" w:hAnsi="Calibri" w:cs="Calibri"/>
          <w:sz w:val="22"/>
          <w:szCs w:val="22"/>
          <w:lang w:val="hr-HR"/>
        </w:rPr>
        <w:t>i</w:t>
      </w:r>
      <w:r w:rsidRPr="002755C8">
        <w:rPr>
          <w:rStyle w:val="Zadanifontodlomka1"/>
          <w:rFonts w:ascii="Calibri" w:eastAsia="SimSun" w:hAnsi="Calibri" w:cs="Calibri"/>
          <w:sz w:val="22"/>
          <w:szCs w:val="22"/>
          <w:lang w:val="hr-HR"/>
        </w:rPr>
        <w:t xml:space="preserve">, tijekom </w:t>
      </w:r>
      <w:r>
        <w:rPr>
          <w:rStyle w:val="Zadanifontodlomka1"/>
          <w:rFonts w:ascii="Calibri" w:eastAsia="SimSun" w:hAnsi="Calibri" w:cs="Calibri"/>
          <w:sz w:val="22"/>
          <w:szCs w:val="22"/>
          <w:lang w:val="hr-HR"/>
        </w:rPr>
        <w:t xml:space="preserve">izvještajne </w:t>
      </w:r>
      <w:r w:rsidRPr="002755C8">
        <w:rPr>
          <w:rStyle w:val="Zadanifontodlomka1"/>
          <w:rFonts w:ascii="Calibri" w:eastAsia="SimSun" w:hAnsi="Calibri" w:cs="Calibri"/>
          <w:sz w:val="22"/>
          <w:szCs w:val="22"/>
          <w:lang w:val="hr-HR"/>
        </w:rPr>
        <w:t xml:space="preserve">godine </w:t>
      </w:r>
      <w:r>
        <w:rPr>
          <w:rStyle w:val="Zadanifontodlomka1"/>
          <w:rFonts w:ascii="Calibri" w:eastAsia="SimSun" w:hAnsi="Calibri" w:cs="Calibri"/>
          <w:sz w:val="22"/>
          <w:szCs w:val="22"/>
          <w:lang w:val="hr-HR"/>
        </w:rPr>
        <w:t>započela je</w:t>
      </w:r>
      <w:r w:rsidRPr="002755C8">
        <w:rPr>
          <w:rStyle w:val="Zadanifontodlomka1"/>
          <w:rFonts w:ascii="Calibri" w:eastAsia="SimSun" w:hAnsi="Calibri" w:cs="Calibri"/>
          <w:sz w:val="22"/>
          <w:szCs w:val="22"/>
          <w:lang w:val="hr-HR"/>
        </w:rPr>
        <w:t xml:space="preserve"> provedb</w:t>
      </w:r>
      <w:r>
        <w:rPr>
          <w:rStyle w:val="Zadanifontodlomka1"/>
          <w:rFonts w:ascii="Calibri" w:eastAsia="SimSun" w:hAnsi="Calibri" w:cs="Calibri"/>
          <w:sz w:val="22"/>
          <w:szCs w:val="22"/>
          <w:lang w:val="hr-HR"/>
        </w:rPr>
        <w:t>a</w:t>
      </w:r>
      <w:r w:rsidRPr="002755C8">
        <w:rPr>
          <w:rStyle w:val="Zadanifontodlomka1"/>
          <w:rFonts w:ascii="Calibri" w:eastAsia="SimSun" w:hAnsi="Calibri" w:cs="Calibri"/>
          <w:sz w:val="22"/>
          <w:szCs w:val="22"/>
          <w:lang w:val="hr-HR"/>
        </w:rPr>
        <w:t xml:space="preserve"> financijskih instrumenata u okviru Nacionalnog plana oporavka i otpornosti</w:t>
      </w:r>
      <w:r>
        <w:rPr>
          <w:rStyle w:val="Zadanifontodlomka1"/>
          <w:rFonts w:ascii="Calibri" w:eastAsia="SimSun" w:hAnsi="Calibri" w:cs="Calibri"/>
          <w:sz w:val="22"/>
          <w:szCs w:val="22"/>
          <w:lang w:val="hr-HR"/>
        </w:rPr>
        <w:t xml:space="preserve"> (NPOO)</w:t>
      </w:r>
      <w:r w:rsidRPr="002755C8">
        <w:rPr>
          <w:rStyle w:val="Zadanifontodlomka1"/>
          <w:rFonts w:ascii="Calibri" w:eastAsia="SimSun" w:hAnsi="Calibri" w:cs="Calibri"/>
          <w:sz w:val="22"/>
          <w:szCs w:val="22"/>
          <w:lang w:val="hr-HR"/>
        </w:rPr>
        <w:t>. HBOR-u je u okviru NPOO-a povjerena provedba financijskih instrumenata</w:t>
      </w:r>
      <w:r>
        <w:rPr>
          <w:rStyle w:val="Zadanifontodlomka1"/>
          <w:rFonts w:ascii="Calibri" w:eastAsia="SimSun" w:hAnsi="Calibri" w:cs="Calibri"/>
          <w:sz w:val="22"/>
          <w:szCs w:val="22"/>
          <w:lang w:val="hr-HR"/>
        </w:rPr>
        <w:t xml:space="preserve"> u vrijednosti</w:t>
      </w:r>
      <w:r w:rsidRPr="002755C8">
        <w:rPr>
          <w:rStyle w:val="Zadanifontodlomka1"/>
          <w:rFonts w:ascii="Calibri" w:eastAsia="SimSun" w:hAnsi="Calibri" w:cs="Calibri"/>
          <w:sz w:val="22"/>
          <w:szCs w:val="22"/>
          <w:lang w:val="hr-HR"/>
        </w:rPr>
        <w:t xml:space="preserve"> </w:t>
      </w:r>
      <w:r>
        <w:rPr>
          <w:rStyle w:val="Zadanifontodlomka1"/>
          <w:rFonts w:ascii="Calibri" w:eastAsia="SimSun" w:hAnsi="Calibri" w:cs="Calibri"/>
          <w:sz w:val="22"/>
          <w:szCs w:val="22"/>
          <w:lang w:val="hr-HR"/>
        </w:rPr>
        <w:t xml:space="preserve">od </w:t>
      </w:r>
      <w:r w:rsidRPr="002755C8">
        <w:rPr>
          <w:rStyle w:val="Zadanifontodlomka1"/>
          <w:rFonts w:ascii="Calibri" w:eastAsia="SimSun" w:hAnsi="Calibri" w:cs="Calibri"/>
          <w:sz w:val="22"/>
          <w:szCs w:val="22"/>
          <w:lang w:val="hr-HR"/>
        </w:rPr>
        <w:t xml:space="preserve">1,925 milijardi kuna (255,5 milijuna eura) </w:t>
      </w:r>
      <w:r>
        <w:rPr>
          <w:rStyle w:val="Zadanifontodlomka1"/>
          <w:rFonts w:ascii="Calibri" w:eastAsia="SimSun" w:hAnsi="Calibri" w:cs="Calibri"/>
          <w:sz w:val="22"/>
          <w:szCs w:val="22"/>
          <w:lang w:val="hr-HR"/>
        </w:rPr>
        <w:t xml:space="preserve">s ciljem </w:t>
      </w:r>
      <w:r w:rsidRPr="002755C8">
        <w:rPr>
          <w:rStyle w:val="Zadanifontodlomka1"/>
          <w:rFonts w:ascii="Calibri" w:eastAsia="SimSun" w:hAnsi="Calibri" w:cs="Calibri"/>
          <w:sz w:val="22"/>
          <w:szCs w:val="22"/>
          <w:lang w:val="hr-HR"/>
        </w:rPr>
        <w:t>daljnje</w:t>
      </w:r>
      <w:r>
        <w:rPr>
          <w:rStyle w:val="Zadanifontodlomka1"/>
          <w:rFonts w:ascii="Calibri" w:eastAsia="SimSun" w:hAnsi="Calibri" w:cs="Calibri"/>
          <w:sz w:val="22"/>
          <w:szCs w:val="22"/>
          <w:lang w:val="hr-HR"/>
        </w:rPr>
        <w:t>g</w:t>
      </w:r>
      <w:r w:rsidRPr="002755C8">
        <w:rPr>
          <w:rStyle w:val="Zadanifontodlomka1"/>
          <w:rFonts w:ascii="Calibri" w:eastAsia="SimSun" w:hAnsi="Calibri" w:cs="Calibri"/>
          <w:sz w:val="22"/>
          <w:szCs w:val="22"/>
          <w:lang w:val="hr-HR"/>
        </w:rPr>
        <w:t xml:space="preserve"> </w:t>
      </w:r>
      <w:r w:rsidRPr="00E26365">
        <w:rPr>
          <w:rStyle w:val="Zadanifontodlomka1"/>
          <w:rFonts w:ascii="Calibri" w:eastAsia="SimSun" w:hAnsi="Calibri" w:cs="Calibri"/>
          <w:sz w:val="22"/>
          <w:szCs w:val="22"/>
          <w:lang w:val="hr-HR"/>
        </w:rPr>
        <w:t>jačanj</w:t>
      </w:r>
      <w:r>
        <w:rPr>
          <w:rStyle w:val="Zadanifontodlomka1"/>
          <w:rFonts w:ascii="Calibri" w:eastAsia="SimSun" w:hAnsi="Calibri" w:cs="Calibri"/>
          <w:sz w:val="22"/>
          <w:szCs w:val="22"/>
          <w:lang w:val="hr-HR"/>
        </w:rPr>
        <w:t>a</w:t>
      </w:r>
      <w:r w:rsidRPr="00E26365">
        <w:rPr>
          <w:rStyle w:val="Zadanifontodlomka1"/>
          <w:rFonts w:ascii="Calibri" w:eastAsia="SimSun" w:hAnsi="Calibri" w:cs="Calibri"/>
          <w:sz w:val="22"/>
          <w:szCs w:val="22"/>
          <w:lang w:val="hr-HR"/>
        </w:rPr>
        <w:t xml:space="preserve"> investicijske aktivnosti u domaćem gospodarstvu, </w:t>
      </w:r>
      <w:r>
        <w:rPr>
          <w:rStyle w:val="Zadanifontodlomka1"/>
          <w:rFonts w:ascii="Calibri" w:eastAsia="SimSun" w:hAnsi="Calibri" w:cs="Calibri"/>
          <w:sz w:val="22"/>
          <w:szCs w:val="22"/>
          <w:lang w:val="hr-HR"/>
        </w:rPr>
        <w:t>snaženja</w:t>
      </w:r>
      <w:r w:rsidRPr="00E26365">
        <w:rPr>
          <w:rStyle w:val="Zadanifontodlomka1"/>
          <w:rFonts w:ascii="Calibri" w:eastAsia="SimSun" w:hAnsi="Calibri" w:cs="Calibri"/>
          <w:sz w:val="22"/>
          <w:szCs w:val="22"/>
          <w:lang w:val="hr-HR"/>
        </w:rPr>
        <w:t xml:space="preserve"> konkurentnosti</w:t>
      </w:r>
      <w:r>
        <w:rPr>
          <w:rStyle w:val="Zadanifontodlomka1"/>
          <w:rFonts w:ascii="Calibri" w:eastAsia="SimSun" w:hAnsi="Calibri" w:cs="Calibri"/>
          <w:sz w:val="22"/>
          <w:szCs w:val="22"/>
          <w:lang w:val="hr-HR"/>
        </w:rPr>
        <w:t xml:space="preserve"> i otpornosti</w:t>
      </w:r>
      <w:r w:rsidRPr="00E26365">
        <w:rPr>
          <w:rStyle w:val="Zadanifontodlomka1"/>
          <w:rFonts w:ascii="Calibri" w:eastAsia="SimSun" w:hAnsi="Calibri" w:cs="Calibri"/>
          <w:sz w:val="22"/>
          <w:szCs w:val="22"/>
          <w:lang w:val="hr-HR"/>
        </w:rPr>
        <w:t xml:space="preserve"> gospodarskih subjekata</w:t>
      </w:r>
      <w:r>
        <w:rPr>
          <w:rStyle w:val="Zadanifontodlomka1"/>
          <w:rFonts w:ascii="Calibri" w:eastAsia="SimSun" w:hAnsi="Calibri" w:cs="Calibri"/>
          <w:sz w:val="22"/>
          <w:szCs w:val="22"/>
          <w:lang w:val="hr-HR"/>
        </w:rPr>
        <w:t xml:space="preserve"> te poticanja</w:t>
      </w:r>
      <w:r w:rsidRPr="00E26365">
        <w:rPr>
          <w:rStyle w:val="Zadanifontodlomka1"/>
          <w:rFonts w:ascii="Calibri" w:eastAsia="SimSun" w:hAnsi="Calibri" w:cs="Calibri"/>
          <w:sz w:val="22"/>
          <w:szCs w:val="22"/>
          <w:lang w:val="hr-HR"/>
        </w:rPr>
        <w:t xml:space="preserve"> tranzicij</w:t>
      </w:r>
      <w:r>
        <w:rPr>
          <w:rStyle w:val="Zadanifontodlomka1"/>
          <w:rFonts w:ascii="Calibri" w:eastAsia="SimSun" w:hAnsi="Calibri" w:cs="Calibri"/>
          <w:sz w:val="22"/>
          <w:szCs w:val="22"/>
          <w:lang w:val="hr-HR"/>
        </w:rPr>
        <w:t>e</w:t>
      </w:r>
      <w:r w:rsidRPr="00E26365">
        <w:rPr>
          <w:rStyle w:val="Zadanifontodlomka1"/>
          <w:rFonts w:ascii="Calibri" w:eastAsia="SimSun" w:hAnsi="Calibri" w:cs="Calibri"/>
          <w:sz w:val="22"/>
          <w:szCs w:val="22"/>
          <w:lang w:val="hr-HR"/>
        </w:rPr>
        <w:t xml:space="preserve"> prema zelenim i digitalnim tehnologijama kao osnovici buduće održivosti i konkurentnosti.</w:t>
      </w:r>
    </w:p>
    <w:p w14:paraId="02ECF769" w14:textId="5D639C45" w:rsidR="0012797E" w:rsidRDefault="0012797E" w:rsidP="009F41BE">
      <w:pPr>
        <w:spacing w:after="120" w:line="276" w:lineRule="auto"/>
        <w:jc w:val="both"/>
        <w:rPr>
          <w:rStyle w:val="Zadanifontodlomka1"/>
          <w:rFonts w:ascii="Calibri" w:eastAsia="SimSun" w:hAnsi="Calibri" w:cs="Calibri"/>
          <w:sz w:val="22"/>
          <w:szCs w:val="22"/>
          <w:lang w:val="hr-HR"/>
        </w:rPr>
      </w:pPr>
      <w:r>
        <w:rPr>
          <w:rStyle w:val="Zadanifontodlomka1"/>
          <w:rFonts w:ascii="Calibri" w:eastAsia="SimSun" w:hAnsi="Calibri" w:cs="Calibri"/>
          <w:sz w:val="22"/>
          <w:szCs w:val="22"/>
          <w:lang w:val="hr-HR"/>
        </w:rPr>
        <w:t xml:space="preserve">Uz uvođenje novih mjera i financijskih instrumenata, tijekom 2022. godine HBOR je nastavio s provedbom svojih postojećih programa kreditiranja investicija i obrtnih sredstava, garantnog poslovanja, programa izvozno-kreditnog osiguranja i poticanja razvoja tržišta rizičnog kapitala kao i drugih aktivnosti, a sve u skladu sa </w:t>
      </w:r>
      <w:r w:rsidRPr="00160AD4">
        <w:rPr>
          <w:rStyle w:val="Zadanifontodlomka1"/>
          <w:rFonts w:ascii="Calibri" w:eastAsia="SimSun" w:hAnsi="Calibri" w:cs="Calibri"/>
          <w:sz w:val="22"/>
          <w:szCs w:val="22"/>
          <w:lang w:val="hr-HR"/>
        </w:rPr>
        <w:t>Strategijom poslovanja HBOR-a za razdoblje od 2020. do 2024.</w:t>
      </w:r>
    </w:p>
    <w:p w14:paraId="32A6FB18" w14:textId="77777777" w:rsidR="0012797E" w:rsidRPr="00160AD4" w:rsidRDefault="0012797E" w:rsidP="009F41BE">
      <w:pPr>
        <w:spacing w:after="120" w:line="276" w:lineRule="auto"/>
        <w:jc w:val="both"/>
        <w:rPr>
          <w:rStyle w:val="Zadanifontodlomka1"/>
          <w:rFonts w:ascii="Calibri" w:eastAsia="SimSun" w:hAnsi="Calibri" w:cs="Calibri"/>
          <w:sz w:val="22"/>
          <w:szCs w:val="22"/>
          <w:lang w:val="hr-HR"/>
        </w:rPr>
      </w:pPr>
      <w:r>
        <w:rPr>
          <w:rStyle w:val="Zadanifontodlomka1"/>
          <w:rFonts w:ascii="Calibri" w:eastAsia="SimSun" w:hAnsi="Calibri" w:cs="Calibri"/>
          <w:sz w:val="22"/>
          <w:szCs w:val="22"/>
          <w:lang w:val="hr-HR"/>
        </w:rPr>
        <w:t>Strategijom poslovanja definirane su strateške odrednice HBOR-a:</w:t>
      </w:r>
    </w:p>
    <w:p w14:paraId="32800840" w14:textId="77777777" w:rsidR="00B37A90" w:rsidRDefault="00B37A90" w:rsidP="00B37A90">
      <w:pPr>
        <w:numPr>
          <w:ilvl w:val="0"/>
          <w:numId w:val="12"/>
        </w:numPr>
        <w:spacing w:before="120" w:after="120" w:line="276" w:lineRule="auto"/>
        <w:contextualSpacing/>
        <w:jc w:val="both"/>
      </w:pPr>
      <w:r>
        <w:rPr>
          <w:rStyle w:val="Zadanifontodlomka1"/>
          <w:rFonts w:ascii="Calibri" w:eastAsia="Calibri" w:hAnsi="Calibri" w:cs="Calibri"/>
          <w:sz w:val="22"/>
          <w:szCs w:val="22"/>
          <w:lang w:val="hr-HR"/>
        </w:rPr>
        <w:t>Poticanje razvoja tržišta vlasničkog i kvazi vlasničkog kapitala u Republici Hrvatskoj,</w:t>
      </w:r>
    </w:p>
    <w:p w14:paraId="74C93DE3" w14:textId="77777777" w:rsidR="00B37A90" w:rsidRDefault="00B37A90" w:rsidP="00B37A90">
      <w:pPr>
        <w:numPr>
          <w:ilvl w:val="0"/>
          <w:numId w:val="12"/>
        </w:numPr>
        <w:spacing w:before="120" w:after="120" w:line="276" w:lineRule="auto"/>
        <w:contextualSpacing/>
        <w:jc w:val="both"/>
      </w:pPr>
      <w:r>
        <w:rPr>
          <w:rStyle w:val="Zadanifontodlomka1"/>
          <w:rFonts w:ascii="Calibri" w:eastAsia="Calibri" w:hAnsi="Calibri" w:cs="Calibri"/>
          <w:sz w:val="22"/>
          <w:szCs w:val="22"/>
          <w:lang w:val="hr-HR"/>
        </w:rPr>
        <w:t>Poticanje ekonomski i socijalno uravnoteženog i održivog regionalnog, ruralnog i urbanog razvoja Republike Hrvatske,</w:t>
      </w:r>
    </w:p>
    <w:p w14:paraId="675827F8" w14:textId="77777777" w:rsidR="00B37A90" w:rsidRDefault="00B37A90" w:rsidP="00B37A90">
      <w:pPr>
        <w:numPr>
          <w:ilvl w:val="0"/>
          <w:numId w:val="12"/>
        </w:numPr>
        <w:spacing w:before="120" w:after="120" w:line="276" w:lineRule="auto"/>
        <w:contextualSpacing/>
        <w:jc w:val="both"/>
      </w:pPr>
      <w:r>
        <w:rPr>
          <w:rStyle w:val="Zadanifontodlomka1"/>
          <w:rFonts w:ascii="Calibri" w:eastAsia="Calibri" w:hAnsi="Calibri" w:cs="Calibri"/>
          <w:sz w:val="22"/>
          <w:szCs w:val="22"/>
          <w:lang w:val="hr-HR"/>
        </w:rPr>
        <w:t>Poticanje internacionalizacije i globalizacije hrvatskog gospodarstva,</w:t>
      </w:r>
    </w:p>
    <w:p w14:paraId="3C0254B2" w14:textId="3FF23A84" w:rsidR="00B37A90" w:rsidRDefault="00B37A90" w:rsidP="00B37A90">
      <w:pPr>
        <w:numPr>
          <w:ilvl w:val="0"/>
          <w:numId w:val="12"/>
        </w:numPr>
        <w:spacing w:after="160" w:line="276" w:lineRule="auto"/>
        <w:contextualSpacing/>
        <w:jc w:val="both"/>
      </w:pPr>
      <w:r>
        <w:rPr>
          <w:rStyle w:val="Zadanifontodlomka1"/>
          <w:rFonts w:ascii="Calibri" w:eastAsia="Calibri" w:hAnsi="Calibri" w:cs="Calibri"/>
          <w:sz w:val="22"/>
          <w:szCs w:val="22"/>
          <w:lang w:val="hr-HR"/>
        </w:rPr>
        <w:t>Poticanje oporavka gospodarstva od posljedica pandemije</w:t>
      </w:r>
      <w:r w:rsidR="00C22849">
        <w:rPr>
          <w:rStyle w:val="Zadanifontodlomka1"/>
          <w:rFonts w:ascii="Calibri" w:eastAsia="Calibri" w:hAnsi="Calibri" w:cs="Calibri"/>
          <w:sz w:val="22"/>
          <w:szCs w:val="22"/>
          <w:lang w:val="hr-HR"/>
        </w:rPr>
        <w:t xml:space="preserve"> </w:t>
      </w:r>
      <w:r>
        <w:rPr>
          <w:rStyle w:val="Zadanifontodlomka1"/>
          <w:rFonts w:ascii="Calibri" w:eastAsia="Calibri" w:hAnsi="Calibri" w:cs="Calibri"/>
          <w:sz w:val="22"/>
          <w:szCs w:val="22"/>
          <w:lang w:val="hr-HR"/>
        </w:rPr>
        <w:t>COVID-19 te konkurentnosti uz naglasak na inovacije, digitalnu transformaciju i Industriju 4.0,</w:t>
      </w:r>
    </w:p>
    <w:p w14:paraId="40781751" w14:textId="77777777" w:rsidR="00B37A90" w:rsidRDefault="00B37A90" w:rsidP="00B37A90">
      <w:pPr>
        <w:numPr>
          <w:ilvl w:val="0"/>
          <w:numId w:val="12"/>
        </w:numPr>
        <w:spacing w:after="160" w:line="276" w:lineRule="auto"/>
        <w:contextualSpacing/>
        <w:jc w:val="both"/>
      </w:pPr>
      <w:r>
        <w:rPr>
          <w:rStyle w:val="Zadanifontodlomka1"/>
          <w:rFonts w:ascii="Calibri" w:eastAsia="Calibri" w:hAnsi="Calibri" w:cs="Calibri"/>
          <w:sz w:val="22"/>
          <w:szCs w:val="22"/>
          <w:lang w:val="hr-HR"/>
        </w:rPr>
        <w:t>Poticanje klimatski i energetski neutralnog gospodarstva kroz energetsku učinkovitost, obnovljive izvore energije i zaštitu okoliša.</w:t>
      </w:r>
      <w:r>
        <w:rPr>
          <w:rStyle w:val="Zadanifontodlomka1"/>
          <w:rFonts w:ascii="Calibri" w:eastAsia="SimSun" w:hAnsi="Calibri" w:cs="Calibri"/>
          <w:sz w:val="22"/>
          <w:szCs w:val="22"/>
          <w:lang w:val="hr-HR"/>
        </w:rPr>
        <w:t xml:space="preserve"> </w:t>
      </w:r>
    </w:p>
    <w:p w14:paraId="5A1F9093" w14:textId="5C1E1A41" w:rsidR="0012797E" w:rsidRDefault="0012797E" w:rsidP="00B37A90">
      <w:pPr>
        <w:spacing w:line="276" w:lineRule="auto"/>
        <w:jc w:val="both"/>
        <w:rPr>
          <w:rStyle w:val="Zadanifontodlomka1"/>
          <w:rFonts w:ascii="Calibri" w:eastAsia="SimSun" w:hAnsi="Calibri" w:cs="Calibri"/>
          <w:sz w:val="22"/>
          <w:szCs w:val="22"/>
          <w:lang w:val="hr-HR"/>
        </w:rPr>
      </w:pPr>
    </w:p>
    <w:p w14:paraId="65787EC1" w14:textId="77777777" w:rsidR="00B37A90" w:rsidRDefault="00B37A90">
      <w:pPr>
        <w:suppressAutoHyphens w:val="0"/>
        <w:rPr>
          <w:rStyle w:val="Zadanifontodlomka1"/>
          <w:rFonts w:ascii="Calibri" w:eastAsia="SimSun" w:hAnsi="Calibri" w:cs="Calibri"/>
          <w:sz w:val="22"/>
          <w:szCs w:val="22"/>
          <w:lang w:val="hr-HR"/>
        </w:rPr>
      </w:pPr>
      <w:r>
        <w:rPr>
          <w:rStyle w:val="Zadanifontodlomka1"/>
          <w:rFonts w:ascii="Calibri" w:eastAsia="SimSun" w:hAnsi="Calibri" w:cs="Calibri"/>
          <w:sz w:val="22"/>
          <w:szCs w:val="22"/>
          <w:lang w:val="hr-HR"/>
        </w:rPr>
        <w:br w:type="page"/>
      </w:r>
    </w:p>
    <w:p w14:paraId="4AB86E0D" w14:textId="68D72D27" w:rsidR="0012797E" w:rsidRDefault="0012797E" w:rsidP="0012797E">
      <w:pPr>
        <w:spacing w:line="276" w:lineRule="auto"/>
        <w:jc w:val="both"/>
        <w:rPr>
          <w:rStyle w:val="Zadanifontodlomka1"/>
          <w:rFonts w:ascii="Calibri" w:eastAsia="SimSun" w:hAnsi="Calibri" w:cs="Calibri"/>
          <w:sz w:val="22"/>
          <w:szCs w:val="22"/>
          <w:lang w:val="hr-HR"/>
        </w:rPr>
      </w:pPr>
      <w:r>
        <w:rPr>
          <w:rStyle w:val="Zadanifontodlomka1"/>
          <w:rFonts w:ascii="Calibri" w:eastAsia="SimSun" w:hAnsi="Calibri" w:cs="Calibri"/>
          <w:sz w:val="22"/>
          <w:szCs w:val="22"/>
          <w:lang w:val="hr-HR"/>
        </w:rPr>
        <w:lastRenderedPageBreak/>
        <w:t>Nove mjere i aktivnosti rezultirale su povećanjem interesa privatnih gospodarskih i javnih subjekata za HBOR-ovim sredstvima te je t</w:t>
      </w:r>
      <w:r w:rsidRPr="4DB17F52">
        <w:rPr>
          <w:rStyle w:val="Zadanifontodlomka1"/>
          <w:rFonts w:ascii="Calibri" w:eastAsia="SimSun" w:hAnsi="Calibri" w:cs="Calibri"/>
          <w:sz w:val="22"/>
          <w:szCs w:val="22"/>
          <w:lang w:val="hr-HR"/>
        </w:rPr>
        <w:t xml:space="preserve">ijekom 2022. </w:t>
      </w:r>
      <w:r>
        <w:rPr>
          <w:rStyle w:val="Zadanifontodlomka1"/>
          <w:rFonts w:ascii="Calibri" w:eastAsia="SimSun" w:hAnsi="Calibri" w:cs="Calibri"/>
          <w:sz w:val="22"/>
          <w:szCs w:val="22"/>
          <w:lang w:val="hr-HR"/>
        </w:rPr>
        <w:t xml:space="preserve">HBOR </w:t>
      </w:r>
      <w:r w:rsidR="009119BC">
        <w:rPr>
          <w:rStyle w:val="Zadanifontodlomka1"/>
          <w:rFonts w:ascii="Calibri" w:eastAsia="SimSun" w:hAnsi="Calibri" w:cs="Calibri"/>
          <w:sz w:val="22"/>
          <w:szCs w:val="22"/>
          <w:lang w:val="hr-HR"/>
        </w:rPr>
        <w:t>odobrio</w:t>
      </w:r>
      <w:r>
        <w:rPr>
          <w:rStyle w:val="Zadanifontodlomka1"/>
          <w:rFonts w:ascii="Calibri" w:eastAsia="SimSun" w:hAnsi="Calibri" w:cs="Calibri"/>
          <w:sz w:val="22"/>
          <w:szCs w:val="22"/>
          <w:lang w:val="hr-HR"/>
        </w:rPr>
        <w:t xml:space="preserve"> 2.831 plasman u iznosu većem od 9,5 milijardi kuna.</w:t>
      </w:r>
    </w:p>
    <w:p w14:paraId="20DD1E7F" w14:textId="20E42D62" w:rsidR="00B37A90" w:rsidRDefault="00B37A90" w:rsidP="0012797E">
      <w:pPr>
        <w:spacing w:line="276" w:lineRule="auto"/>
        <w:jc w:val="both"/>
        <w:rPr>
          <w:rStyle w:val="Zadanifontodlomka1"/>
          <w:rFonts w:ascii="Calibri" w:eastAsia="SimSun" w:hAnsi="Calibri" w:cs="Calibri"/>
          <w:sz w:val="22"/>
          <w:szCs w:val="22"/>
          <w:lang w:val="hr-HR"/>
        </w:rPr>
      </w:pPr>
    </w:p>
    <w:p w14:paraId="6CADC212" w14:textId="7AFF40D9" w:rsidR="00B37A90" w:rsidRDefault="00B37A90" w:rsidP="0012797E">
      <w:pPr>
        <w:spacing w:line="276" w:lineRule="auto"/>
        <w:jc w:val="both"/>
        <w:rPr>
          <w:rStyle w:val="Zadanifontodlomka1"/>
          <w:rFonts w:ascii="Calibri" w:eastAsia="SimSun" w:hAnsi="Calibri" w:cs="Calibri"/>
          <w:sz w:val="22"/>
          <w:szCs w:val="22"/>
          <w:lang w:val="hr-HR"/>
        </w:rPr>
      </w:pPr>
      <w:r w:rsidRPr="00995886">
        <w:rPr>
          <w:rFonts w:ascii="Calibri" w:eastAsia="SimSun" w:hAnsi="Calibri" w:cs="Calibri"/>
          <w:noProof/>
          <w:sz w:val="22"/>
          <w:szCs w:val="22"/>
          <w:shd w:val="clear" w:color="auto" w:fill="E6E6E6"/>
          <w:lang w:val="hr-HR"/>
        </w:rPr>
        <w:drawing>
          <wp:anchor distT="0" distB="0" distL="114300" distR="114300" simplePos="0" relativeHeight="251660289" behindDoc="1" locked="0" layoutInCell="1" allowOverlap="1" wp14:anchorId="2D67C87C" wp14:editId="0182F612">
            <wp:simplePos x="0" y="0"/>
            <wp:positionH relativeFrom="margin">
              <wp:posOffset>0</wp:posOffset>
            </wp:positionH>
            <wp:positionV relativeFrom="paragraph">
              <wp:posOffset>0</wp:posOffset>
            </wp:positionV>
            <wp:extent cx="5760720" cy="2590800"/>
            <wp:effectExtent l="0" t="0" r="11430" b="0"/>
            <wp:wrapNone/>
            <wp:docPr id="5" name="Chart 5">
              <a:extLst xmlns:a="http://schemas.openxmlformats.org/drawingml/2006/main">
                <a:ext uri="{FF2B5EF4-FFF2-40B4-BE49-F238E27FC236}">
                  <a16:creationId xmlns:a16="http://schemas.microsoft.com/office/drawing/2014/main" id="{938B1263-8970-427A-81D1-C5F408BE8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p>
    <w:p w14:paraId="059468B1" w14:textId="2980FC29" w:rsidR="00B37A90" w:rsidRDefault="00B37A90" w:rsidP="0012797E">
      <w:pPr>
        <w:spacing w:line="276" w:lineRule="auto"/>
        <w:jc w:val="both"/>
        <w:rPr>
          <w:rStyle w:val="Zadanifontodlomka1"/>
          <w:rFonts w:ascii="Calibri" w:eastAsia="SimSun" w:hAnsi="Calibri" w:cs="Calibri"/>
          <w:sz w:val="22"/>
          <w:szCs w:val="22"/>
          <w:lang w:val="hr-HR"/>
        </w:rPr>
      </w:pPr>
    </w:p>
    <w:p w14:paraId="54566AAA" w14:textId="1246D753" w:rsidR="00B37A90" w:rsidRDefault="00B37A90" w:rsidP="0012797E">
      <w:pPr>
        <w:spacing w:line="276" w:lineRule="auto"/>
        <w:jc w:val="both"/>
        <w:rPr>
          <w:rStyle w:val="Zadanifontodlomka1"/>
          <w:rFonts w:ascii="Calibri" w:eastAsia="SimSun" w:hAnsi="Calibri" w:cs="Calibri"/>
          <w:sz w:val="22"/>
          <w:szCs w:val="22"/>
          <w:lang w:val="hr-HR"/>
        </w:rPr>
      </w:pPr>
    </w:p>
    <w:p w14:paraId="42BF3D48" w14:textId="3D9EBA7D" w:rsidR="00B37A90" w:rsidRDefault="00B37A90" w:rsidP="0012797E">
      <w:pPr>
        <w:spacing w:line="276" w:lineRule="auto"/>
        <w:jc w:val="both"/>
        <w:rPr>
          <w:rStyle w:val="Zadanifontodlomka1"/>
          <w:rFonts w:ascii="Calibri" w:eastAsia="SimSun" w:hAnsi="Calibri" w:cs="Calibri"/>
          <w:sz w:val="22"/>
          <w:szCs w:val="22"/>
          <w:lang w:val="hr-HR"/>
        </w:rPr>
      </w:pPr>
    </w:p>
    <w:p w14:paraId="0D652441" w14:textId="7C2C9917" w:rsidR="00B37A90" w:rsidRDefault="00B37A90" w:rsidP="0012797E">
      <w:pPr>
        <w:spacing w:line="276" w:lineRule="auto"/>
        <w:jc w:val="both"/>
        <w:rPr>
          <w:rStyle w:val="Zadanifontodlomka1"/>
          <w:rFonts w:ascii="Calibri" w:eastAsia="SimSun" w:hAnsi="Calibri" w:cs="Calibri"/>
          <w:sz w:val="22"/>
          <w:szCs w:val="22"/>
          <w:lang w:val="hr-HR"/>
        </w:rPr>
      </w:pPr>
    </w:p>
    <w:p w14:paraId="55FA127F" w14:textId="75A477D0" w:rsidR="00B37A90" w:rsidRDefault="00B37A90" w:rsidP="0012797E">
      <w:pPr>
        <w:spacing w:line="276" w:lineRule="auto"/>
        <w:jc w:val="both"/>
        <w:rPr>
          <w:rStyle w:val="Zadanifontodlomka1"/>
          <w:rFonts w:ascii="Calibri" w:eastAsia="SimSun" w:hAnsi="Calibri" w:cs="Calibri"/>
          <w:sz w:val="22"/>
          <w:szCs w:val="22"/>
          <w:lang w:val="hr-HR"/>
        </w:rPr>
      </w:pPr>
    </w:p>
    <w:p w14:paraId="4195530F" w14:textId="18A040E4" w:rsidR="00B37A90" w:rsidRDefault="00B37A90" w:rsidP="0012797E">
      <w:pPr>
        <w:spacing w:line="276" w:lineRule="auto"/>
        <w:jc w:val="both"/>
        <w:rPr>
          <w:rStyle w:val="Zadanifontodlomka1"/>
          <w:rFonts w:ascii="Calibri" w:eastAsia="SimSun" w:hAnsi="Calibri" w:cs="Calibri"/>
          <w:sz w:val="22"/>
          <w:szCs w:val="22"/>
          <w:lang w:val="hr-HR"/>
        </w:rPr>
      </w:pPr>
    </w:p>
    <w:p w14:paraId="56E62785" w14:textId="5686F81A" w:rsidR="00B37A90" w:rsidRDefault="00B37A90" w:rsidP="0012797E">
      <w:pPr>
        <w:spacing w:line="276" w:lineRule="auto"/>
        <w:jc w:val="both"/>
        <w:rPr>
          <w:rStyle w:val="Zadanifontodlomka1"/>
          <w:rFonts w:ascii="Calibri" w:eastAsia="SimSun" w:hAnsi="Calibri" w:cs="Calibri"/>
          <w:sz w:val="22"/>
          <w:szCs w:val="22"/>
          <w:lang w:val="hr-HR"/>
        </w:rPr>
      </w:pPr>
    </w:p>
    <w:p w14:paraId="12E8CEAC" w14:textId="084D4C11" w:rsidR="00B37A90" w:rsidRDefault="00B37A90" w:rsidP="0012797E">
      <w:pPr>
        <w:spacing w:line="276" w:lineRule="auto"/>
        <w:jc w:val="both"/>
        <w:rPr>
          <w:rStyle w:val="Zadanifontodlomka1"/>
          <w:rFonts w:ascii="Calibri" w:eastAsia="SimSun" w:hAnsi="Calibri" w:cs="Calibri"/>
          <w:sz w:val="22"/>
          <w:szCs w:val="22"/>
          <w:lang w:val="hr-HR"/>
        </w:rPr>
      </w:pPr>
    </w:p>
    <w:p w14:paraId="186BE8C4" w14:textId="7ECD70B4" w:rsidR="00B37A90" w:rsidRDefault="00B37A90" w:rsidP="0012797E">
      <w:pPr>
        <w:spacing w:line="276" w:lineRule="auto"/>
        <w:jc w:val="both"/>
        <w:rPr>
          <w:rStyle w:val="Zadanifontodlomka1"/>
          <w:rFonts w:ascii="Calibri" w:eastAsia="SimSun" w:hAnsi="Calibri" w:cs="Calibri"/>
          <w:sz w:val="22"/>
          <w:szCs w:val="22"/>
          <w:lang w:val="hr-HR"/>
        </w:rPr>
      </w:pPr>
    </w:p>
    <w:p w14:paraId="2A69B0DD" w14:textId="33B2D159" w:rsidR="00B37A90" w:rsidRDefault="00B37A90" w:rsidP="0012797E">
      <w:pPr>
        <w:spacing w:line="276" w:lineRule="auto"/>
        <w:jc w:val="both"/>
        <w:rPr>
          <w:rStyle w:val="Zadanifontodlomka1"/>
          <w:rFonts w:ascii="Calibri" w:eastAsia="SimSun" w:hAnsi="Calibri" w:cs="Calibri"/>
          <w:sz w:val="22"/>
          <w:szCs w:val="22"/>
          <w:lang w:val="hr-HR"/>
        </w:rPr>
      </w:pPr>
    </w:p>
    <w:p w14:paraId="6E160C9C" w14:textId="5EEEAF3C" w:rsidR="00B37A90" w:rsidRDefault="00B37A90" w:rsidP="0012797E">
      <w:pPr>
        <w:spacing w:line="276" w:lineRule="auto"/>
        <w:jc w:val="both"/>
        <w:rPr>
          <w:rStyle w:val="Zadanifontodlomka1"/>
          <w:rFonts w:ascii="Calibri" w:eastAsia="SimSun" w:hAnsi="Calibri" w:cs="Calibri"/>
          <w:sz w:val="22"/>
          <w:szCs w:val="22"/>
          <w:lang w:val="hr-HR"/>
        </w:rPr>
      </w:pPr>
    </w:p>
    <w:p w14:paraId="05C586AA" w14:textId="05CBD086" w:rsidR="00B37A90" w:rsidRDefault="00B37A90" w:rsidP="0012797E">
      <w:pPr>
        <w:spacing w:line="276" w:lineRule="auto"/>
        <w:jc w:val="both"/>
        <w:rPr>
          <w:rStyle w:val="Zadanifontodlomka1"/>
          <w:rFonts w:ascii="Calibri" w:eastAsia="SimSun" w:hAnsi="Calibri" w:cs="Calibri"/>
          <w:sz w:val="22"/>
          <w:szCs w:val="22"/>
          <w:lang w:val="hr-HR"/>
        </w:rPr>
      </w:pPr>
    </w:p>
    <w:p w14:paraId="770B50F6" w14:textId="082DD49F" w:rsidR="00B37A90" w:rsidRDefault="00B37A90" w:rsidP="0012797E">
      <w:pPr>
        <w:spacing w:line="276" w:lineRule="auto"/>
        <w:jc w:val="both"/>
        <w:rPr>
          <w:rStyle w:val="Zadanifontodlomka1"/>
          <w:rFonts w:ascii="Calibri" w:eastAsia="SimSun" w:hAnsi="Calibri" w:cs="Calibri"/>
          <w:sz w:val="22"/>
          <w:szCs w:val="22"/>
          <w:lang w:val="hr-HR"/>
        </w:rPr>
      </w:pPr>
    </w:p>
    <w:p w14:paraId="4663A1E5" w14:textId="77777777" w:rsidR="00447766" w:rsidRPr="00EC450F" w:rsidRDefault="00447766" w:rsidP="00447766">
      <w:pPr>
        <w:spacing w:before="120" w:after="120" w:line="276" w:lineRule="auto"/>
        <w:jc w:val="both"/>
        <w:rPr>
          <w:rFonts w:asciiTheme="minorHAnsi" w:hAnsiTheme="minorHAnsi" w:cstheme="minorHAnsi"/>
          <w:sz w:val="22"/>
          <w:szCs w:val="22"/>
          <w:lang w:val="hr-HR"/>
        </w:rPr>
      </w:pPr>
      <w:r w:rsidRPr="00EC450F">
        <w:rPr>
          <w:rFonts w:asciiTheme="minorHAnsi" w:hAnsiTheme="minorHAnsi" w:cstheme="minorHAnsi"/>
          <w:sz w:val="22"/>
          <w:szCs w:val="22"/>
          <w:lang w:val="hr-HR"/>
        </w:rPr>
        <w:t>Najveći dio poslovne aktivnosti odnosi se na kreditiranje – u izvještajnoj godini odobreno je 2.343 kredita u iznosu većem od 6,4 milijardi kuna.</w:t>
      </w:r>
    </w:p>
    <w:p w14:paraId="21543E23" w14:textId="77777777" w:rsidR="000A1B71" w:rsidRDefault="000A1B71" w:rsidP="00825760">
      <w:pPr>
        <w:spacing w:before="120" w:line="276" w:lineRule="auto"/>
        <w:jc w:val="both"/>
        <w:rPr>
          <w:rFonts w:ascii="Calibri" w:eastAsia="SimSun" w:hAnsi="Calibri" w:cs="Calibri"/>
          <w:sz w:val="22"/>
          <w:szCs w:val="22"/>
          <w:lang w:val="hr-HR"/>
        </w:rPr>
      </w:pPr>
    </w:p>
    <w:p w14:paraId="1748D73C" w14:textId="20883C0A" w:rsidR="00382CF2" w:rsidRDefault="00957DFF">
      <w:pPr>
        <w:spacing w:before="120" w:after="120" w:line="276" w:lineRule="auto"/>
        <w:jc w:val="both"/>
      </w:pPr>
      <w:r>
        <w:rPr>
          <w:noProof/>
        </w:rPr>
        <w:drawing>
          <wp:inline distT="0" distB="0" distL="0" distR="0" wp14:anchorId="618F5169" wp14:editId="0DB36903">
            <wp:extent cx="5760720" cy="2843530"/>
            <wp:effectExtent l="0" t="0" r="11430" b="13970"/>
            <wp:docPr id="66" name="Grafikon 66">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AE74C1" w14:textId="1874D97A" w:rsidR="006466E3" w:rsidRDefault="00054989" w:rsidP="00825760">
      <w:pPr>
        <w:spacing w:line="276" w:lineRule="auto"/>
        <w:jc w:val="both"/>
        <w:rPr>
          <w:rFonts w:ascii="Calibri" w:eastAsia="SimSun" w:hAnsi="Calibri" w:cs="Calibri"/>
          <w:sz w:val="22"/>
          <w:szCs w:val="22"/>
          <w:lang w:val="hr-HR"/>
        </w:rPr>
      </w:pPr>
      <w:r>
        <w:t xml:space="preserve"> </w:t>
      </w:r>
    </w:p>
    <w:p w14:paraId="1748D753" w14:textId="7BA84816" w:rsidR="00382CF2" w:rsidRDefault="00E20524">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w:t>
      </w:r>
      <w:r w:rsidR="00054989">
        <w:rPr>
          <w:rFonts w:ascii="Calibri" w:eastAsia="SimSun" w:hAnsi="Calibri" w:cs="Calibri"/>
          <w:sz w:val="22"/>
          <w:szCs w:val="22"/>
          <w:lang w:val="hr-HR"/>
        </w:rPr>
        <w:t xml:space="preserve"> 2022. nastavljen </w:t>
      </w:r>
      <w:r>
        <w:rPr>
          <w:rFonts w:ascii="Calibri" w:eastAsia="SimSun" w:hAnsi="Calibri" w:cs="Calibri"/>
          <w:sz w:val="22"/>
          <w:szCs w:val="22"/>
          <w:lang w:val="hr-HR"/>
        </w:rPr>
        <w:t xml:space="preserve">je </w:t>
      </w:r>
      <w:r w:rsidR="00054989">
        <w:rPr>
          <w:rFonts w:ascii="Calibri" w:eastAsia="SimSun" w:hAnsi="Calibri" w:cs="Calibri"/>
          <w:sz w:val="22"/>
          <w:szCs w:val="22"/>
          <w:lang w:val="hr-HR"/>
        </w:rPr>
        <w:t xml:space="preserve">trend </w:t>
      </w:r>
      <w:r w:rsidR="008A33E6">
        <w:rPr>
          <w:rFonts w:ascii="Calibri" w:eastAsia="SimSun" w:hAnsi="Calibri" w:cs="Calibri"/>
          <w:sz w:val="22"/>
          <w:szCs w:val="22"/>
          <w:lang w:val="hr-HR"/>
        </w:rPr>
        <w:t xml:space="preserve">smanjenja </w:t>
      </w:r>
      <w:r w:rsidR="00054989">
        <w:rPr>
          <w:rFonts w:ascii="Calibri" w:eastAsia="SimSun" w:hAnsi="Calibri" w:cs="Calibri"/>
          <w:sz w:val="22"/>
          <w:szCs w:val="22"/>
          <w:lang w:val="hr-HR"/>
        </w:rPr>
        <w:t xml:space="preserve">sklonosti poduzetnika prema investicijskim ulaganjima te je godina obilježena </w:t>
      </w:r>
      <w:r w:rsidR="008A33E6">
        <w:rPr>
          <w:rFonts w:ascii="Calibri" w:eastAsia="SimSun" w:hAnsi="Calibri" w:cs="Calibri"/>
          <w:sz w:val="22"/>
          <w:szCs w:val="22"/>
          <w:lang w:val="hr-HR"/>
        </w:rPr>
        <w:t xml:space="preserve">povećanjem </w:t>
      </w:r>
      <w:r w:rsidR="00054989">
        <w:rPr>
          <w:rFonts w:ascii="Calibri" w:eastAsia="SimSun" w:hAnsi="Calibri" w:cs="Calibri"/>
          <w:sz w:val="22"/>
          <w:szCs w:val="22"/>
          <w:lang w:val="hr-HR"/>
        </w:rPr>
        <w:t>korištenj</w:t>
      </w:r>
      <w:r w:rsidR="008A33E6">
        <w:rPr>
          <w:rFonts w:ascii="Calibri" w:eastAsia="SimSun" w:hAnsi="Calibri" w:cs="Calibri"/>
          <w:sz w:val="22"/>
          <w:szCs w:val="22"/>
          <w:lang w:val="hr-HR"/>
        </w:rPr>
        <w:t>a</w:t>
      </w:r>
      <w:r w:rsidR="00054989">
        <w:rPr>
          <w:rFonts w:ascii="Calibri" w:eastAsia="SimSun" w:hAnsi="Calibri" w:cs="Calibri"/>
          <w:sz w:val="22"/>
          <w:szCs w:val="22"/>
          <w:lang w:val="hr-HR"/>
        </w:rPr>
        <w:t xml:space="preserve"> kredita za održavanje likvidnosti. </w:t>
      </w:r>
      <w:r w:rsidR="00243057">
        <w:rPr>
          <w:rFonts w:ascii="Calibri" w:eastAsia="SimSun" w:hAnsi="Calibri" w:cs="Calibri"/>
          <w:sz w:val="22"/>
          <w:szCs w:val="22"/>
          <w:lang w:val="hr-HR"/>
        </w:rPr>
        <w:t>Unatoč navedenim okolnostima</w:t>
      </w:r>
      <w:r w:rsidR="00A90822">
        <w:rPr>
          <w:rFonts w:ascii="Calibri" w:eastAsia="SimSun" w:hAnsi="Calibri" w:cs="Calibri"/>
          <w:sz w:val="22"/>
          <w:szCs w:val="22"/>
          <w:lang w:val="hr-HR"/>
        </w:rPr>
        <w:t>,</w:t>
      </w:r>
      <w:r w:rsidR="00E84407">
        <w:rPr>
          <w:rFonts w:ascii="Calibri" w:eastAsia="SimSun" w:hAnsi="Calibri" w:cs="Calibri"/>
          <w:sz w:val="22"/>
          <w:szCs w:val="22"/>
          <w:lang w:val="hr-HR"/>
        </w:rPr>
        <w:t xml:space="preserve"> </w:t>
      </w:r>
      <w:r w:rsidR="00DF7463">
        <w:rPr>
          <w:rFonts w:ascii="Calibri" w:eastAsia="SimSun" w:hAnsi="Calibri" w:cs="Calibri"/>
          <w:sz w:val="22"/>
          <w:szCs w:val="22"/>
          <w:lang w:val="hr-HR"/>
        </w:rPr>
        <w:t xml:space="preserve">HBOR je </w:t>
      </w:r>
      <w:r w:rsidR="00054989">
        <w:rPr>
          <w:rFonts w:ascii="Calibri" w:eastAsia="SimSun" w:hAnsi="Calibri" w:cs="Calibri"/>
          <w:sz w:val="22"/>
          <w:szCs w:val="22"/>
          <w:lang w:val="hr-HR"/>
        </w:rPr>
        <w:t xml:space="preserve">nešto manje od polovice ukupnog iznosa odobrenih kredita odobrio za </w:t>
      </w:r>
      <w:r w:rsidR="00A90822">
        <w:rPr>
          <w:rFonts w:ascii="Calibri" w:eastAsia="SimSun" w:hAnsi="Calibri" w:cs="Calibri"/>
          <w:sz w:val="22"/>
          <w:szCs w:val="22"/>
          <w:lang w:val="hr-HR"/>
        </w:rPr>
        <w:t>realizaciju investicijskih projekata</w:t>
      </w:r>
      <w:r w:rsidR="00054989">
        <w:rPr>
          <w:rFonts w:ascii="Calibri" w:eastAsia="SimSun" w:hAnsi="Calibri" w:cs="Calibri"/>
          <w:sz w:val="22"/>
          <w:szCs w:val="22"/>
          <w:lang w:val="hr-HR"/>
        </w:rPr>
        <w:t xml:space="preserve">. Odobreni investicijski krediti posebno su značajni jer se radi o ulaganjima koja </w:t>
      </w:r>
      <w:r w:rsidR="6CE21C17" w:rsidRPr="4DB17F52">
        <w:rPr>
          <w:rFonts w:ascii="Calibri" w:eastAsia="SimSun" w:hAnsi="Calibri" w:cs="Calibri"/>
          <w:sz w:val="22"/>
          <w:szCs w:val="22"/>
          <w:lang w:val="hr-HR"/>
        </w:rPr>
        <w:t>pridonose ujednačenom gospodarskom razvoju</w:t>
      </w:r>
      <w:r w:rsidR="00054989">
        <w:rPr>
          <w:rFonts w:ascii="Calibri" w:eastAsia="SimSun" w:hAnsi="Calibri" w:cs="Calibri"/>
          <w:sz w:val="22"/>
          <w:szCs w:val="22"/>
          <w:lang w:val="hr-HR"/>
        </w:rPr>
        <w:t>, povećanj</w:t>
      </w:r>
      <w:r w:rsidR="2D5F5D79" w:rsidRPr="4DB17F52">
        <w:rPr>
          <w:rFonts w:ascii="Calibri" w:eastAsia="SimSun" w:hAnsi="Calibri" w:cs="Calibri"/>
          <w:sz w:val="22"/>
          <w:szCs w:val="22"/>
          <w:lang w:val="hr-HR"/>
        </w:rPr>
        <w:t>u</w:t>
      </w:r>
      <w:r w:rsidR="00054989">
        <w:rPr>
          <w:rFonts w:ascii="Calibri" w:eastAsia="SimSun" w:hAnsi="Calibri" w:cs="Calibri"/>
          <w:sz w:val="22"/>
          <w:szCs w:val="22"/>
          <w:lang w:val="hr-HR"/>
        </w:rPr>
        <w:t xml:space="preserve"> konkurentnosti poduzetnika, </w:t>
      </w:r>
      <w:r w:rsidR="25108395" w:rsidRPr="4DB17F52">
        <w:rPr>
          <w:rFonts w:ascii="Calibri" w:eastAsia="SimSun" w:hAnsi="Calibri" w:cs="Calibri"/>
          <w:sz w:val="22"/>
          <w:szCs w:val="22"/>
          <w:lang w:val="hr-HR"/>
        </w:rPr>
        <w:t>ulaganj</w:t>
      </w:r>
      <w:r w:rsidR="1465088D" w:rsidRPr="4DB17F52">
        <w:rPr>
          <w:rFonts w:ascii="Calibri" w:eastAsia="SimSun" w:hAnsi="Calibri" w:cs="Calibri"/>
          <w:sz w:val="22"/>
          <w:szCs w:val="22"/>
          <w:lang w:val="hr-HR"/>
        </w:rPr>
        <w:t>u</w:t>
      </w:r>
      <w:r w:rsidR="00054989">
        <w:rPr>
          <w:rFonts w:ascii="Calibri" w:eastAsia="SimSun" w:hAnsi="Calibri" w:cs="Calibri"/>
          <w:sz w:val="22"/>
          <w:szCs w:val="22"/>
          <w:lang w:val="hr-HR"/>
        </w:rPr>
        <w:t xml:space="preserve"> u nove tehnologije i proizvodnju te nova zapošljavanja. </w:t>
      </w:r>
    </w:p>
    <w:p w14:paraId="1748D754" w14:textId="77777777" w:rsidR="00382CF2" w:rsidRDefault="00382CF2">
      <w:pPr>
        <w:spacing w:before="120" w:after="120" w:line="276" w:lineRule="auto"/>
        <w:jc w:val="both"/>
        <w:rPr>
          <w:rFonts w:ascii="Calibri" w:eastAsia="SimSun" w:hAnsi="Calibri" w:cs="Calibri"/>
          <w:sz w:val="22"/>
          <w:szCs w:val="22"/>
          <w:lang w:val="hr-HR"/>
        </w:rPr>
      </w:pPr>
    </w:p>
    <w:p w14:paraId="1748D755" w14:textId="39619DE7" w:rsidR="00382CF2" w:rsidRDefault="00DD7CDA">
      <w:pPr>
        <w:spacing w:before="120" w:after="120" w:line="276" w:lineRule="auto"/>
        <w:jc w:val="both"/>
      </w:pPr>
      <w:r w:rsidRPr="00995886">
        <w:rPr>
          <w:rFonts w:ascii="Calibri" w:eastAsia="SimSun" w:hAnsi="Calibri" w:cs="Calibri"/>
          <w:noProof/>
          <w:sz w:val="22"/>
          <w:szCs w:val="22"/>
          <w:shd w:val="clear" w:color="auto" w:fill="E6E6E6"/>
          <w:lang w:val="hr-HR"/>
        </w:rPr>
        <w:lastRenderedPageBreak/>
        <w:drawing>
          <wp:inline distT="0" distB="0" distL="0" distR="0" wp14:anchorId="1E9AA5D0" wp14:editId="2DD7ED90">
            <wp:extent cx="5760720" cy="2706370"/>
            <wp:effectExtent l="0" t="0" r="11430" b="17780"/>
            <wp:docPr id="58" name="Chart 58">
              <a:extLst xmlns:a="http://schemas.openxmlformats.org/drawingml/2006/main">
                <a:ext uri="{FF2B5EF4-FFF2-40B4-BE49-F238E27FC236}">
                  <a16:creationId xmlns:a16="http://schemas.microsoft.com/office/drawing/2014/main" id="{938B1263-8970-427A-81D1-C5F408BE8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48D756" w14:textId="5718A814"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Najbrojniji korisnici HBOR-ovih kredita u 2022. bili su mali i srednji poduzetnici kojima je odobreno 1.983 kredita, odnosno 89 posto ukupnog broja odobrenih kredita.</w:t>
      </w:r>
    </w:p>
    <w:p w14:paraId="06ED4329" w14:textId="11A935A2" w:rsidR="009D3036" w:rsidRDefault="009D3036">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Subjekti javnog sektora također su bili aktivni korisnici HBOR-ovih sredstava tijekom izvještajne godine te im je tijekom 2022. odobreno gotovo milijardu kuna kredita. Veliki interes su iskazale </w:t>
      </w:r>
      <w:r w:rsidRPr="009D3036">
        <w:rPr>
          <w:rFonts w:ascii="Calibri" w:eastAsia="SimSun" w:hAnsi="Calibri" w:cs="Calibri"/>
          <w:sz w:val="22"/>
          <w:szCs w:val="22"/>
          <w:lang w:val="hr-HR"/>
        </w:rPr>
        <w:t>jedinic</w:t>
      </w:r>
      <w:r>
        <w:rPr>
          <w:rFonts w:ascii="Calibri" w:eastAsia="SimSun" w:hAnsi="Calibri" w:cs="Calibri"/>
          <w:sz w:val="22"/>
          <w:szCs w:val="22"/>
          <w:lang w:val="hr-HR"/>
        </w:rPr>
        <w:t>e</w:t>
      </w:r>
      <w:r w:rsidRPr="009D3036">
        <w:rPr>
          <w:rFonts w:ascii="Calibri" w:eastAsia="SimSun" w:hAnsi="Calibri" w:cs="Calibri"/>
          <w:sz w:val="22"/>
          <w:szCs w:val="22"/>
          <w:lang w:val="hr-HR"/>
        </w:rPr>
        <w:t xml:space="preserve"> lokalne i područne (regionalne) samouprave </w:t>
      </w:r>
      <w:r>
        <w:rPr>
          <w:rFonts w:ascii="Calibri" w:eastAsia="SimSun" w:hAnsi="Calibri" w:cs="Calibri"/>
          <w:sz w:val="22"/>
          <w:szCs w:val="22"/>
          <w:lang w:val="hr-HR"/>
        </w:rPr>
        <w:t>(</w:t>
      </w:r>
      <w:r w:rsidRPr="009D3036">
        <w:rPr>
          <w:rFonts w:ascii="Calibri" w:eastAsia="SimSun" w:hAnsi="Calibri" w:cs="Calibri"/>
          <w:sz w:val="22"/>
          <w:szCs w:val="22"/>
          <w:lang w:val="hr-HR"/>
        </w:rPr>
        <w:t>JLP(R)S</w:t>
      </w:r>
      <w:r>
        <w:rPr>
          <w:rFonts w:ascii="Calibri" w:eastAsia="SimSun" w:hAnsi="Calibri" w:cs="Calibri"/>
          <w:sz w:val="22"/>
          <w:szCs w:val="22"/>
          <w:lang w:val="hr-HR"/>
        </w:rPr>
        <w:t xml:space="preserve">) za program kreditiranja </w:t>
      </w:r>
      <w:r w:rsidRPr="009D3036">
        <w:rPr>
          <w:rFonts w:ascii="Calibri" w:eastAsia="SimSun" w:hAnsi="Calibri" w:cs="Calibri"/>
          <w:sz w:val="22"/>
          <w:szCs w:val="22"/>
          <w:lang w:val="hr-HR"/>
        </w:rPr>
        <w:t>„ESIF Krediti za javnu rasvjetu”</w:t>
      </w:r>
      <w:r>
        <w:rPr>
          <w:rFonts w:ascii="Calibri" w:eastAsia="SimSun" w:hAnsi="Calibri" w:cs="Calibri"/>
          <w:sz w:val="22"/>
          <w:szCs w:val="22"/>
          <w:lang w:val="hr-HR"/>
        </w:rPr>
        <w:t>.</w:t>
      </w:r>
    </w:p>
    <w:p w14:paraId="1748D757" w14:textId="77777777" w:rsidR="00382CF2" w:rsidRDefault="00054989">
      <w:pPr>
        <w:spacing w:before="120" w:after="120" w:line="276" w:lineRule="auto"/>
        <w:jc w:val="both"/>
        <w:rPr>
          <w:rFonts w:ascii="Calibri" w:eastAsia="SimSun" w:hAnsi="Calibri" w:cs="Calibri"/>
          <w:color w:val="000000"/>
          <w:sz w:val="22"/>
          <w:szCs w:val="22"/>
          <w:lang w:val="hr-HR"/>
        </w:rPr>
      </w:pPr>
      <w:r>
        <w:rPr>
          <w:rFonts w:ascii="Calibri" w:eastAsia="SimSun" w:hAnsi="Calibri" w:cs="Calibri"/>
          <w:color w:val="000000"/>
          <w:sz w:val="22"/>
          <w:szCs w:val="22"/>
          <w:lang w:val="hr-HR"/>
        </w:rPr>
        <w:t>Hrvatske izvoznike HBOR je tijekom 2022. podržao s više od 630 plasmana ukupnim iznosom većim od 3,2 milijarde kuna.</w:t>
      </w:r>
    </w:p>
    <w:p w14:paraId="1748D76C" w14:textId="77777777" w:rsidR="00382CF2" w:rsidRDefault="00054989">
      <w:pPr>
        <w:keepNext/>
        <w:keepLines/>
        <w:pageBreakBefore/>
        <w:pBdr>
          <w:bottom w:val="single" w:sz="4" w:space="2" w:color="B2B2B2"/>
        </w:pBdr>
        <w:spacing w:before="360" w:after="120"/>
        <w:outlineLvl w:val="0"/>
      </w:pPr>
      <w:bookmarkStart w:id="26" w:name="_Toc129083703"/>
      <w:bookmarkStart w:id="27" w:name="_Toc97908644"/>
      <w:bookmarkStart w:id="28" w:name="_Hlk97052479"/>
      <w:r>
        <w:rPr>
          <w:rStyle w:val="Zadanifontodlomka1"/>
          <w:rFonts w:ascii="Calibri" w:eastAsia="SimHei" w:hAnsi="Calibri" w:cs="Calibri"/>
          <w:b/>
          <w:bCs/>
          <w:sz w:val="22"/>
          <w:szCs w:val="22"/>
          <w:lang w:val="hr-HR"/>
        </w:rPr>
        <w:lastRenderedPageBreak/>
        <w:t>UVEDENE NOVE MJERE I PROIZVODI</w:t>
      </w:r>
      <w:bookmarkEnd w:id="26"/>
    </w:p>
    <w:p w14:paraId="1748D76D" w14:textId="77777777" w:rsidR="00382CF2" w:rsidRDefault="00054989" w:rsidP="00BF752D">
      <w:pPr>
        <w:keepNext/>
        <w:spacing w:after="120"/>
        <w:outlineLvl w:val="1"/>
        <w:rPr>
          <w:rFonts w:ascii="Calibri" w:eastAsia="SimSun" w:hAnsi="Calibri" w:cs="Calibri"/>
          <w:b/>
          <w:bCs/>
          <w:sz w:val="22"/>
          <w:szCs w:val="22"/>
          <w:lang w:val="hr-HR"/>
        </w:rPr>
      </w:pPr>
      <w:bookmarkStart w:id="29" w:name="_Toc129083704"/>
      <w:bookmarkEnd w:id="27"/>
      <w:r>
        <w:rPr>
          <w:rFonts w:ascii="Calibri" w:eastAsia="SimSun" w:hAnsi="Calibri" w:cs="Calibri"/>
          <w:b/>
          <w:bCs/>
          <w:sz w:val="22"/>
          <w:szCs w:val="22"/>
          <w:lang w:val="hr-HR"/>
        </w:rPr>
        <w:t>MJERE POMOĆI GOSPODARSTVU NAKON RUSKE AGRESIJE NA UKRAJINU</w:t>
      </w:r>
      <w:bookmarkEnd w:id="29"/>
    </w:p>
    <w:p w14:paraId="1748D76F" w14:textId="020276B7" w:rsidR="00382CF2" w:rsidRDefault="00054989">
      <w:pPr>
        <w:spacing w:line="276" w:lineRule="auto"/>
        <w:jc w:val="both"/>
        <w:textAlignment w:val="baseline"/>
        <w:rPr>
          <w:rFonts w:ascii="Calibri" w:eastAsia="SimSun" w:hAnsi="Calibri" w:cs="Calibri"/>
          <w:sz w:val="22"/>
          <w:szCs w:val="22"/>
          <w:lang w:val="hr-HR"/>
        </w:rPr>
      </w:pPr>
      <w:r>
        <w:rPr>
          <w:rFonts w:ascii="Calibri" w:eastAsia="SimSun" w:hAnsi="Calibri" w:cs="Calibri"/>
          <w:sz w:val="22"/>
          <w:szCs w:val="22"/>
          <w:lang w:val="hr-HR"/>
        </w:rPr>
        <w:t>Uslijed tržišnih poremećaja uzrokovanih ruskom agresijom na Ukrajinu</w:t>
      </w:r>
      <w:r w:rsidR="0042777A">
        <w:rPr>
          <w:rFonts w:ascii="Calibri" w:eastAsia="SimSun" w:hAnsi="Calibri" w:cs="Calibri"/>
          <w:sz w:val="22"/>
          <w:szCs w:val="22"/>
          <w:lang w:val="hr-HR"/>
        </w:rPr>
        <w:t>,</w:t>
      </w:r>
      <w:r>
        <w:rPr>
          <w:rFonts w:ascii="Calibri" w:eastAsia="SimSun" w:hAnsi="Calibri" w:cs="Calibri"/>
          <w:sz w:val="22"/>
          <w:szCs w:val="22"/>
          <w:lang w:val="hr-HR"/>
        </w:rPr>
        <w:t xml:space="preserve"> HBOR je u trećem kvartalu 2022.</w:t>
      </w:r>
      <w:r w:rsidR="007020D6">
        <w:rPr>
          <w:rFonts w:ascii="Calibri" w:eastAsia="SimSun" w:hAnsi="Calibri" w:cs="Calibri"/>
          <w:sz w:val="22"/>
          <w:szCs w:val="22"/>
          <w:lang w:val="hr-HR"/>
        </w:rPr>
        <w:t xml:space="preserve"> </w:t>
      </w:r>
      <w:r>
        <w:rPr>
          <w:rFonts w:ascii="Calibri" w:eastAsia="SimSun" w:hAnsi="Calibri" w:cs="Calibri"/>
          <w:sz w:val="22"/>
          <w:szCs w:val="22"/>
          <w:lang w:val="hr-HR"/>
        </w:rPr>
        <w:t>uspješno notificirao i dobio odobrenje Europske komisije za provedbu mjera pomoći gospodarstvu temeljem Privremenog kriznog okvira koje uključuju povoljne kredite za likvidnost kroz privremenu mjeru Obrtna sredstva KRIZA 2022 i police osiguranja kao kolateral uz mogućnost subvencioniranja premije osiguranja (Program osiguranja portfelja za likvidnost izvoznika, Program pojedinačnog osiguranja kredita za likvidnost izvoznika</w:t>
      </w:r>
      <w:r w:rsidR="00321D27">
        <w:rPr>
          <w:rFonts w:ascii="Calibri" w:eastAsia="SimSun" w:hAnsi="Calibri" w:cs="Calibri"/>
          <w:sz w:val="22"/>
          <w:szCs w:val="22"/>
          <w:lang w:val="hr-HR"/>
        </w:rPr>
        <w:t xml:space="preserve"> i</w:t>
      </w:r>
      <w:r w:rsidR="00AE619C">
        <w:rPr>
          <w:rFonts w:ascii="Calibri" w:eastAsia="SimSun" w:hAnsi="Calibri" w:cs="Calibri"/>
          <w:sz w:val="22"/>
          <w:szCs w:val="22"/>
          <w:lang w:val="hr-HR"/>
        </w:rPr>
        <w:t xml:space="preserve"> </w:t>
      </w:r>
      <w:r>
        <w:rPr>
          <w:rFonts w:ascii="Calibri" w:eastAsia="SimSun" w:hAnsi="Calibri" w:cs="Calibri"/>
          <w:sz w:val="22"/>
          <w:szCs w:val="22"/>
          <w:lang w:val="hr-HR"/>
        </w:rPr>
        <w:t>Program subvencioniranja premije osiguranja).</w:t>
      </w:r>
    </w:p>
    <w:p w14:paraId="1748D770" w14:textId="77777777" w:rsidR="00382CF2" w:rsidRDefault="00382CF2">
      <w:pPr>
        <w:spacing w:line="276" w:lineRule="auto"/>
        <w:jc w:val="both"/>
        <w:textAlignment w:val="baseline"/>
        <w:rPr>
          <w:rFonts w:ascii="Calibri" w:hAnsi="Calibri" w:cs="Calibri"/>
          <w:sz w:val="22"/>
          <w:szCs w:val="22"/>
          <w:lang w:val="hr-HR" w:eastAsia="hr-HR"/>
        </w:rPr>
      </w:pPr>
    </w:p>
    <w:p w14:paraId="1748D771" w14:textId="77777777" w:rsidR="00382CF2" w:rsidRDefault="00054989">
      <w:pPr>
        <w:spacing w:before="120" w:after="120" w:line="276" w:lineRule="auto"/>
        <w:jc w:val="both"/>
      </w:pPr>
      <w:r>
        <w:rPr>
          <w:rStyle w:val="Zadanifontodlomka1"/>
          <w:rFonts w:ascii="Calibri" w:hAnsi="Calibri" w:cs="Calibri"/>
          <w:b/>
          <w:bCs/>
          <w:sz w:val="22"/>
          <w:szCs w:val="22"/>
          <w:lang w:val="hr-HR" w:eastAsia="hr-HR"/>
        </w:rPr>
        <w:t xml:space="preserve">Privremena </w:t>
      </w:r>
      <w:r>
        <w:rPr>
          <w:rStyle w:val="Zadanifontodlomka1"/>
          <w:rFonts w:ascii="Calibri" w:eastAsia="SimSun" w:hAnsi="Calibri" w:cs="Calibri"/>
          <w:b/>
          <w:bCs/>
          <w:sz w:val="22"/>
          <w:szCs w:val="22"/>
          <w:lang w:val="hr-HR"/>
        </w:rPr>
        <w:t>mjera u okviru programa kreditiranja obrtna sredstva – Obrtna sredstva KRIZA 2022</w:t>
      </w:r>
    </w:p>
    <w:p w14:paraId="1748D772" w14:textId="5DAD48C2" w:rsidR="00382CF2" w:rsidRDefault="00054989">
      <w:pPr>
        <w:spacing w:before="120" w:after="120" w:line="276" w:lineRule="auto"/>
        <w:jc w:val="both"/>
      </w:pPr>
      <w:r>
        <w:rPr>
          <w:rStyle w:val="Zadanifontodlomka1"/>
          <w:rFonts w:ascii="Calibri" w:eastAsia="SimSun" w:hAnsi="Calibri" w:cs="Calibri"/>
          <w:sz w:val="22"/>
          <w:szCs w:val="22"/>
          <w:lang w:val="hr-HR"/>
        </w:rPr>
        <w:t>Povoljnim kreditima za likvidnost kroz privremenu mjeru Obrtna sredstva KRIZA 2022 HBOR je poduzetnicima olakšao</w:t>
      </w:r>
      <w:r>
        <w:rPr>
          <w:rStyle w:val="Zadanifontodlomka1"/>
          <w:rFonts w:ascii="Calibri" w:hAnsi="Calibri" w:cs="Calibri"/>
          <w:sz w:val="22"/>
          <w:szCs w:val="22"/>
          <w:lang w:val="hr-HR" w:eastAsia="hr-HR"/>
        </w:rPr>
        <w:t xml:space="preserve"> </w:t>
      </w:r>
      <w:r w:rsidR="003C423C">
        <w:rPr>
          <w:rStyle w:val="Zadanifontodlomka1"/>
          <w:rFonts w:ascii="Calibri" w:hAnsi="Calibri" w:cs="Calibri"/>
          <w:sz w:val="22"/>
          <w:szCs w:val="22"/>
          <w:lang w:val="hr-HR" w:eastAsia="hr-HR"/>
        </w:rPr>
        <w:t>prevladati</w:t>
      </w:r>
      <w:r>
        <w:rPr>
          <w:rStyle w:val="Zadanifontodlomka1"/>
          <w:rFonts w:ascii="Calibri" w:hAnsi="Calibri" w:cs="Calibri"/>
          <w:sz w:val="22"/>
          <w:szCs w:val="22"/>
          <w:lang w:val="hr-HR" w:eastAsia="hr-HR"/>
        </w:rPr>
        <w:t xml:space="preserve"> gospodarsk</w:t>
      </w:r>
      <w:r w:rsidR="003C423C">
        <w:rPr>
          <w:rStyle w:val="Zadanifontodlomka1"/>
          <w:rFonts w:ascii="Calibri" w:hAnsi="Calibri" w:cs="Calibri"/>
          <w:sz w:val="22"/>
          <w:szCs w:val="22"/>
          <w:lang w:val="hr-HR" w:eastAsia="hr-HR"/>
        </w:rPr>
        <w:t>e</w:t>
      </w:r>
      <w:r>
        <w:rPr>
          <w:rStyle w:val="Zadanifontodlomka1"/>
          <w:rFonts w:ascii="Calibri" w:hAnsi="Calibri" w:cs="Calibri"/>
          <w:sz w:val="22"/>
          <w:szCs w:val="22"/>
          <w:lang w:val="hr-HR" w:eastAsia="hr-HR"/>
        </w:rPr>
        <w:t xml:space="preserve"> posljedic</w:t>
      </w:r>
      <w:r w:rsidR="003C423C">
        <w:rPr>
          <w:rStyle w:val="Zadanifontodlomka1"/>
          <w:rFonts w:ascii="Calibri" w:hAnsi="Calibri" w:cs="Calibri"/>
          <w:sz w:val="22"/>
          <w:szCs w:val="22"/>
          <w:lang w:val="hr-HR" w:eastAsia="hr-HR"/>
        </w:rPr>
        <w:t>e</w:t>
      </w:r>
      <w:r>
        <w:rPr>
          <w:rStyle w:val="Zadanifontodlomka1"/>
          <w:rFonts w:ascii="Calibri" w:hAnsi="Calibri" w:cs="Calibri"/>
          <w:sz w:val="22"/>
          <w:szCs w:val="22"/>
          <w:lang w:val="hr-HR" w:eastAsia="hr-HR"/>
        </w:rPr>
        <w:t xml:space="preserve"> rusko-ukrajinske krize poput smanjenja potražnje, prekida postojećih ugovora i projekata uz posljedični gubitak prometa, poremećaja u lancima opskrbe, posebno sirovina i poluproizvoda ili drugih ulaznih materijala koji više nisu dostupni ili nisu ekonomični.</w:t>
      </w:r>
    </w:p>
    <w:p w14:paraId="1748D773" w14:textId="798094BF" w:rsidR="00382CF2" w:rsidRPr="00E66E12" w:rsidRDefault="00054989">
      <w:pPr>
        <w:spacing w:before="120" w:after="120" w:line="276" w:lineRule="auto"/>
        <w:jc w:val="both"/>
        <w:rPr>
          <w:rFonts w:ascii="Calibri" w:hAnsi="Calibri" w:cs="Calibri"/>
          <w:sz w:val="22"/>
          <w:szCs w:val="22"/>
          <w:lang w:val="hr-HR" w:eastAsia="hr-HR"/>
        </w:rPr>
      </w:pPr>
      <w:r>
        <w:rPr>
          <w:rFonts w:ascii="Calibri" w:hAnsi="Calibri" w:cs="Calibri"/>
          <w:sz w:val="22"/>
          <w:szCs w:val="22"/>
          <w:lang w:val="hr-HR" w:eastAsia="hr-HR"/>
        </w:rPr>
        <w:t xml:space="preserve">Krediti se odobravaju izravno i u suradnji s poslovnim bankama po modelu podjele rizika na razdoblje do 5 godina uključujući 1 godinu počeka, bez naknada za obradu zahtjeva i rezervaciju sredstava. Kamatna stopa na kredite u 2022. kretala </w:t>
      </w:r>
      <w:r w:rsidR="00174E78">
        <w:rPr>
          <w:rFonts w:ascii="Calibri" w:hAnsi="Calibri" w:cs="Calibri"/>
          <w:sz w:val="22"/>
          <w:szCs w:val="22"/>
          <w:lang w:val="hr-HR" w:eastAsia="hr-HR"/>
        </w:rPr>
        <w:t xml:space="preserve">se </w:t>
      </w:r>
      <w:r>
        <w:rPr>
          <w:rFonts w:ascii="Calibri" w:hAnsi="Calibri" w:cs="Calibri"/>
          <w:sz w:val="22"/>
          <w:szCs w:val="22"/>
          <w:lang w:val="hr-HR" w:eastAsia="hr-HR"/>
        </w:rPr>
        <w:t xml:space="preserve">od 0,5 posto za razdoblje korištenja i prve tri godine otplate te od 2 posto za četvrtu i petu godinu otplate, što je u uvjetima </w:t>
      </w:r>
      <w:r w:rsidR="00B64830">
        <w:rPr>
          <w:rFonts w:ascii="Calibri" w:hAnsi="Calibri" w:cs="Calibri"/>
          <w:sz w:val="22"/>
          <w:szCs w:val="22"/>
          <w:lang w:val="hr-HR" w:eastAsia="hr-HR"/>
        </w:rPr>
        <w:t xml:space="preserve">promjene </w:t>
      </w:r>
      <w:r>
        <w:rPr>
          <w:rFonts w:ascii="Calibri" w:hAnsi="Calibri" w:cs="Calibri"/>
          <w:sz w:val="22"/>
          <w:szCs w:val="22"/>
          <w:lang w:val="hr-HR" w:eastAsia="hr-HR"/>
        </w:rPr>
        <w:t>kamatn</w:t>
      </w:r>
      <w:r w:rsidR="00B64830">
        <w:rPr>
          <w:rFonts w:ascii="Calibri" w:hAnsi="Calibri" w:cs="Calibri"/>
          <w:sz w:val="22"/>
          <w:szCs w:val="22"/>
          <w:lang w:val="hr-HR" w:eastAsia="hr-HR"/>
        </w:rPr>
        <w:t>ih</w:t>
      </w:r>
      <w:r>
        <w:rPr>
          <w:rFonts w:ascii="Calibri" w:hAnsi="Calibri" w:cs="Calibri"/>
          <w:sz w:val="22"/>
          <w:szCs w:val="22"/>
          <w:lang w:val="hr-HR" w:eastAsia="hr-HR"/>
        </w:rPr>
        <w:t xml:space="preserve"> politik</w:t>
      </w:r>
      <w:r w:rsidR="00B64830">
        <w:rPr>
          <w:rFonts w:ascii="Calibri" w:hAnsi="Calibri" w:cs="Calibri"/>
          <w:sz w:val="22"/>
          <w:szCs w:val="22"/>
          <w:lang w:val="hr-HR" w:eastAsia="hr-HR"/>
        </w:rPr>
        <w:t>a</w:t>
      </w:r>
      <w:r>
        <w:rPr>
          <w:rFonts w:ascii="Calibri" w:hAnsi="Calibri" w:cs="Calibri"/>
          <w:sz w:val="22"/>
          <w:szCs w:val="22"/>
          <w:lang w:val="hr-HR" w:eastAsia="hr-HR"/>
        </w:rPr>
        <w:t xml:space="preserve"> poslovnih banaka</w:t>
      </w:r>
      <w:r w:rsidR="00030541">
        <w:rPr>
          <w:rFonts w:ascii="Calibri" w:hAnsi="Calibri" w:cs="Calibri"/>
          <w:sz w:val="22"/>
          <w:szCs w:val="22"/>
          <w:lang w:val="hr-HR" w:eastAsia="hr-HR"/>
        </w:rPr>
        <w:t>, kroz povećanje kamatnih stopa,</w:t>
      </w:r>
      <w:r>
        <w:rPr>
          <w:rFonts w:ascii="Calibri" w:hAnsi="Calibri" w:cs="Calibri"/>
          <w:sz w:val="22"/>
          <w:szCs w:val="22"/>
          <w:lang w:val="hr-HR" w:eastAsia="hr-HR"/>
        </w:rPr>
        <w:t xml:space="preserve"> </w:t>
      </w:r>
      <w:r w:rsidR="004A06EA">
        <w:rPr>
          <w:rFonts w:ascii="Calibri" w:hAnsi="Calibri" w:cs="Calibri"/>
          <w:sz w:val="22"/>
          <w:szCs w:val="22"/>
          <w:lang w:val="hr-HR" w:eastAsia="hr-HR"/>
        </w:rPr>
        <w:t>prouzrokovalo</w:t>
      </w:r>
      <w:r w:rsidR="004A06EA" w:rsidRPr="00E66E12">
        <w:rPr>
          <w:rFonts w:ascii="Calibri" w:hAnsi="Calibri" w:cs="Calibri"/>
          <w:sz w:val="22"/>
          <w:szCs w:val="22"/>
          <w:lang w:val="hr-HR" w:eastAsia="hr-HR"/>
        </w:rPr>
        <w:t xml:space="preserve"> </w:t>
      </w:r>
      <w:r w:rsidRPr="00E66E12">
        <w:rPr>
          <w:rFonts w:ascii="Calibri" w:hAnsi="Calibri" w:cs="Calibri"/>
          <w:sz w:val="22"/>
          <w:szCs w:val="22"/>
          <w:lang w:val="hr-HR" w:eastAsia="hr-HR"/>
        </w:rPr>
        <w:t>značajan interes poduzetnika.</w:t>
      </w:r>
    </w:p>
    <w:p w14:paraId="1748D774" w14:textId="09A8ADF9" w:rsidR="00382CF2" w:rsidRPr="00E66E12" w:rsidRDefault="00054989">
      <w:pPr>
        <w:spacing w:line="276" w:lineRule="auto"/>
        <w:jc w:val="both"/>
        <w:textAlignment w:val="baseline"/>
        <w:rPr>
          <w:rStyle w:val="Zadanifontodlomka1"/>
          <w:rFonts w:ascii="Calibri" w:hAnsi="Calibri" w:cs="Calibri"/>
          <w:sz w:val="22"/>
          <w:szCs w:val="22"/>
          <w:lang w:val="hr-HR" w:eastAsia="hr-HR"/>
        </w:rPr>
      </w:pPr>
      <w:r w:rsidRPr="00E66E12">
        <w:rPr>
          <w:rStyle w:val="Zadanifontodlomka1"/>
          <w:rFonts w:ascii="Calibri" w:hAnsi="Calibri" w:cs="Calibri"/>
          <w:sz w:val="22"/>
          <w:szCs w:val="22"/>
          <w:lang w:val="hr-HR" w:eastAsia="hr-HR"/>
        </w:rPr>
        <w:t xml:space="preserve">Od 1. rujna 2022., kada je Mjera uvedena, do 31. prosinca 2022. odobren je 31 kredit u ukupnom iznosu od </w:t>
      </w:r>
      <w:r w:rsidR="00E66E12" w:rsidRPr="00E66E12">
        <w:rPr>
          <w:rStyle w:val="Zadanifontodlomka1"/>
          <w:rFonts w:ascii="Calibri" w:hAnsi="Calibri" w:cs="Calibri"/>
          <w:sz w:val="22"/>
          <w:szCs w:val="22"/>
          <w:lang w:val="hr-HR" w:eastAsia="hr-HR"/>
        </w:rPr>
        <w:t>282</w:t>
      </w:r>
      <w:r w:rsidRPr="00E66E12">
        <w:rPr>
          <w:rStyle w:val="Zadanifontodlomka1"/>
          <w:rFonts w:ascii="Calibri" w:hAnsi="Calibri" w:cs="Calibri"/>
          <w:sz w:val="22"/>
          <w:szCs w:val="22"/>
          <w:lang w:val="hr-HR" w:eastAsia="hr-HR"/>
        </w:rPr>
        <w:t xml:space="preserve"> milijuna </w:t>
      </w:r>
      <w:r w:rsidR="00E66E12" w:rsidRPr="00E66E12">
        <w:rPr>
          <w:rStyle w:val="Zadanifontodlomka1"/>
          <w:rFonts w:ascii="Calibri" w:hAnsi="Calibri" w:cs="Calibri"/>
          <w:sz w:val="22"/>
          <w:szCs w:val="22"/>
          <w:lang w:val="hr-HR" w:eastAsia="hr-HR"/>
        </w:rPr>
        <w:t>kuna</w:t>
      </w:r>
      <w:r w:rsidRPr="00E66E12">
        <w:rPr>
          <w:rStyle w:val="Zadanifontodlomka1"/>
          <w:rFonts w:ascii="Calibri" w:hAnsi="Calibri" w:cs="Calibri"/>
          <w:sz w:val="22"/>
          <w:szCs w:val="22"/>
          <w:lang w:val="hr-HR" w:eastAsia="hr-HR"/>
        </w:rPr>
        <w:t xml:space="preserve">. Provedba ove Mjere nastavit će se i u </w:t>
      </w:r>
      <w:r>
        <w:rPr>
          <w:rStyle w:val="Zadanifontodlomka1"/>
          <w:rFonts w:ascii="Calibri" w:eastAsia="SimSun" w:hAnsi="Calibri" w:cs="Calibri"/>
          <w:sz w:val="22"/>
          <w:szCs w:val="22"/>
          <w:lang w:val="hr-HR"/>
        </w:rPr>
        <w:t>2023. godini.</w:t>
      </w:r>
    </w:p>
    <w:p w14:paraId="11B56B43" w14:textId="77777777" w:rsidR="00025A48" w:rsidRDefault="00025A48">
      <w:pPr>
        <w:spacing w:line="276" w:lineRule="auto"/>
        <w:jc w:val="both"/>
        <w:textAlignment w:val="baseline"/>
        <w:rPr>
          <w:rStyle w:val="Zadanifontodlomka1"/>
          <w:rFonts w:ascii="Calibri" w:eastAsia="SimSun" w:hAnsi="Calibri" w:cs="Calibri"/>
          <w:b/>
          <w:bCs/>
          <w:sz w:val="22"/>
          <w:szCs w:val="22"/>
          <w:lang w:val="hr-HR"/>
        </w:rPr>
      </w:pPr>
    </w:p>
    <w:p w14:paraId="1748D776" w14:textId="3D4EC3AC" w:rsidR="00382CF2" w:rsidRDefault="00054989">
      <w:pPr>
        <w:spacing w:line="276" w:lineRule="auto"/>
        <w:jc w:val="both"/>
        <w:textAlignment w:val="baseline"/>
      </w:pPr>
      <w:r>
        <w:rPr>
          <w:rStyle w:val="Zadanifontodlomka1"/>
          <w:rFonts w:ascii="Calibri" w:eastAsia="SimSun" w:hAnsi="Calibri" w:cs="Calibri"/>
          <w:b/>
          <w:bCs/>
          <w:sz w:val="22"/>
          <w:szCs w:val="22"/>
          <w:lang w:val="hr-HR"/>
        </w:rPr>
        <w:t>Programi portfeljnog i pojedinačnog osiguranja kredita</w:t>
      </w:r>
      <w:r>
        <w:rPr>
          <w:rStyle w:val="Zadanifontodlomka1"/>
          <w:rFonts w:ascii="Calibri" w:hAnsi="Calibri" w:cs="Calibri"/>
          <w:b/>
          <w:bCs/>
          <w:sz w:val="22"/>
          <w:szCs w:val="22"/>
          <w:lang w:val="hr-HR" w:eastAsia="hr-HR"/>
        </w:rPr>
        <w:t xml:space="preserve"> za likvidnost izvoznika – mjere</w:t>
      </w:r>
      <w:r>
        <w:rPr>
          <w:rStyle w:val="Zadanifontodlomka1"/>
          <w:rFonts w:ascii="Calibri" w:hAnsi="Calibri" w:cs="Calibri"/>
          <w:sz w:val="22"/>
          <w:szCs w:val="22"/>
          <w:lang w:val="hr-HR" w:eastAsia="hr-HR"/>
        </w:rPr>
        <w:t xml:space="preserve"> </w:t>
      </w:r>
      <w:r>
        <w:rPr>
          <w:rStyle w:val="Zadanifontodlomka1"/>
          <w:rFonts w:ascii="Calibri" w:hAnsi="Calibri" w:cs="Calibri"/>
          <w:b/>
          <w:bCs/>
          <w:sz w:val="22"/>
          <w:szCs w:val="22"/>
          <w:lang w:val="hr-HR" w:eastAsia="hr-HR"/>
        </w:rPr>
        <w:t xml:space="preserve">pomoći gospodarstvu RH nakon </w:t>
      </w:r>
      <w:r>
        <w:rPr>
          <w:rStyle w:val="Zadanifontodlomka1"/>
          <w:rFonts w:ascii="Calibri" w:eastAsia="SimSun" w:hAnsi="Calibri" w:cs="Calibri"/>
          <w:b/>
          <w:bCs/>
          <w:sz w:val="22"/>
          <w:szCs w:val="22"/>
          <w:lang w:val="hr-HR"/>
        </w:rPr>
        <w:t>ruske agresije na Ukrajinu</w:t>
      </w:r>
    </w:p>
    <w:p w14:paraId="1748D777" w14:textId="319F4596" w:rsidR="00382CF2" w:rsidRDefault="00054989">
      <w:pPr>
        <w:spacing w:before="120" w:after="120" w:line="276" w:lineRule="auto"/>
        <w:jc w:val="both"/>
        <w:rPr>
          <w:rStyle w:val="Zadanifontodlomka1"/>
          <w:rFonts w:ascii="Calibri" w:hAnsi="Calibri" w:cs="Calibri"/>
          <w:sz w:val="22"/>
          <w:szCs w:val="22"/>
          <w:lang w:val="hr-HR" w:eastAsia="hr-HR"/>
        </w:rPr>
      </w:pPr>
      <w:r>
        <w:rPr>
          <w:rStyle w:val="Zadanifontodlomka1"/>
          <w:rFonts w:ascii="Calibri" w:eastAsia="SimSun" w:hAnsi="Calibri" w:cs="Calibri"/>
          <w:sz w:val="22"/>
          <w:szCs w:val="22"/>
          <w:lang w:val="hr-HR"/>
        </w:rPr>
        <w:t>Programi portfeljnog i pojedinačnog</w:t>
      </w:r>
      <w:r>
        <w:rPr>
          <w:rStyle w:val="Zadanifontodlomka1"/>
          <w:rFonts w:ascii="Calibri" w:hAnsi="Calibri" w:cs="Calibri"/>
          <w:sz w:val="22"/>
          <w:szCs w:val="22"/>
          <w:lang w:val="hr-HR" w:eastAsia="hr-HR"/>
        </w:rPr>
        <w:t xml:space="preserve"> osiguranja kredita za likvidnost izvoznika – mjere pomoći gospodarstvu RH nakon ruske agresije na Ukrajinu, omogućuju izvoznicima i njihovim dobavljačima (posrednim izvoznicima), koji su se susreli s poteškoćama u poslovanju uzrokovanim krizom koja je nastupila uslijed ruske agresije na Ukrajinu i koji zadovoljavaju kriterije prihvatljivosti utvrđene tim programima, pribavljanje instrumenta osiguranja kojeg banke kao kreditori mogu koristiti za odobravanje novih kredita za likvidnost. Predmetni programi provode se na temelju poglavlja 2.2. Privremenog kriznog okvira Europske komisije.</w:t>
      </w:r>
    </w:p>
    <w:p w14:paraId="1748D778" w14:textId="77777777" w:rsidR="00382CF2" w:rsidRDefault="00054989">
      <w:pPr>
        <w:spacing w:before="120" w:after="120" w:line="276" w:lineRule="auto"/>
        <w:jc w:val="both"/>
        <w:rPr>
          <w:rFonts w:ascii="Calibri" w:hAnsi="Calibri" w:cs="Calibri"/>
          <w:sz w:val="22"/>
          <w:szCs w:val="22"/>
          <w:lang w:val="hr-HR" w:eastAsia="hr-HR"/>
        </w:rPr>
      </w:pPr>
      <w:r>
        <w:rPr>
          <w:rFonts w:ascii="Calibri" w:hAnsi="Calibri" w:cs="Calibri"/>
          <w:sz w:val="22"/>
          <w:szCs w:val="22"/>
          <w:lang w:val="hr-HR" w:eastAsia="hr-HR"/>
        </w:rPr>
        <w:t>Programom portfeljnog osiguranja nastoji se potaknuti banke na brže i jednostavnije odobrenje novih sredstava za očuvanje likvidnosti izvoznika iz svih gospodarskih sektora, pri čemu se izvoznicima smatraju poduzetnici koji ostvaruju najmanje 10 posto izvoznog prihoda u poslovnim prihodima posljednje financijske godine kao i njihovi dobavljači koji ostvaruju najmanje 20 posto prihoda od prodaje izvoznicima i njihovim dobavljačima. Banke uključene u suradnju po ovom programu portfeljnog osiguranja kredite uključuju prema unaprijed dogovorenim kriterijima u osigurani portfelj za koji HBOR preuzima do 90 posto rizika povrata.</w:t>
      </w:r>
    </w:p>
    <w:p w14:paraId="1748D779" w14:textId="77777777" w:rsidR="00382CF2" w:rsidRDefault="00054989">
      <w:pPr>
        <w:spacing w:line="276" w:lineRule="auto"/>
        <w:jc w:val="both"/>
        <w:textAlignment w:val="baseline"/>
        <w:rPr>
          <w:rFonts w:ascii="Calibri" w:hAnsi="Calibri" w:cs="Calibri"/>
          <w:sz w:val="22"/>
          <w:szCs w:val="22"/>
          <w:lang w:val="hr-HR" w:eastAsia="hr-HR"/>
        </w:rPr>
      </w:pPr>
      <w:r>
        <w:rPr>
          <w:rFonts w:ascii="Calibri" w:hAnsi="Calibri" w:cs="Calibri"/>
          <w:sz w:val="22"/>
          <w:szCs w:val="22"/>
          <w:lang w:val="hr-HR" w:eastAsia="hr-HR"/>
        </w:rPr>
        <w:t>Program pojedinačnog osiguranja uveden je za potrebe osiguranja kredita koji se ne uklapaju u potpunosti u kriterije prihvatljivosti za uključenje kredita u portfelj prema programu portfeljnog osiguranja, a koje osiguratelj nakon provedene analize ocijeni prihvatljivima za osiguranje.</w:t>
      </w:r>
    </w:p>
    <w:p w14:paraId="1748D77B" w14:textId="77777777" w:rsidR="00382CF2" w:rsidRDefault="00054989" w:rsidP="00A92DEC">
      <w:pPr>
        <w:spacing w:before="120" w:line="276" w:lineRule="auto"/>
        <w:jc w:val="both"/>
        <w:textAlignment w:val="baseline"/>
        <w:rPr>
          <w:rFonts w:ascii="Calibri" w:eastAsia="SimSun" w:hAnsi="Calibri" w:cs="Calibri"/>
          <w:b/>
          <w:bCs/>
          <w:sz w:val="22"/>
          <w:szCs w:val="22"/>
          <w:lang w:val="hr-HR"/>
        </w:rPr>
      </w:pPr>
      <w:r>
        <w:rPr>
          <w:rFonts w:ascii="Calibri" w:eastAsia="SimSun" w:hAnsi="Calibri" w:cs="Calibri"/>
          <w:b/>
          <w:bCs/>
          <w:sz w:val="22"/>
          <w:szCs w:val="22"/>
          <w:lang w:val="hr-HR"/>
        </w:rPr>
        <w:lastRenderedPageBreak/>
        <w:t>Program subvencioniranja premije osiguranja – mjera pomoći gospodarstvu RH nakon ruske agresije na Ukrajinu</w:t>
      </w:r>
    </w:p>
    <w:p w14:paraId="3F39B2A5" w14:textId="39799204" w:rsidR="00025A48" w:rsidRDefault="00054989" w:rsidP="00D42113">
      <w:pPr>
        <w:spacing w:after="120" w:line="276" w:lineRule="auto"/>
        <w:jc w:val="both"/>
        <w:textAlignment w:val="baseline"/>
        <w:rPr>
          <w:rFonts w:ascii="Calibri" w:hAnsi="Calibri" w:cs="Calibri"/>
          <w:sz w:val="22"/>
          <w:szCs w:val="22"/>
          <w:lang w:val="hr-HR" w:eastAsia="hr-HR"/>
        </w:rPr>
      </w:pPr>
      <w:r>
        <w:rPr>
          <w:rStyle w:val="Zadanifontodlomka1"/>
          <w:rFonts w:ascii="Calibri" w:eastAsia="SimSun" w:hAnsi="Calibri" w:cs="Calibri"/>
          <w:sz w:val="22"/>
          <w:szCs w:val="22"/>
          <w:lang w:val="hr-HR"/>
        </w:rPr>
        <w:t>Program subvencioniranja premije osiguranja – mjera pomoći gospodarstvu RH nakon ruske agresije na Ukrajinu provodi</w:t>
      </w:r>
      <w:r>
        <w:rPr>
          <w:rStyle w:val="Zadanifontodlomka1"/>
          <w:rFonts w:ascii="Calibri" w:hAnsi="Calibri" w:cs="Calibri"/>
          <w:sz w:val="22"/>
          <w:szCs w:val="22"/>
          <w:lang w:val="hr-HR" w:eastAsia="hr-HR"/>
        </w:rPr>
        <w:t xml:space="preserve"> se na temelju poglavlja 2.1. Privremenog kriznog okvira Europske komisije.</w:t>
      </w:r>
    </w:p>
    <w:p w14:paraId="1748D77D" w14:textId="268FE734" w:rsidR="00382CF2" w:rsidRDefault="00054989" w:rsidP="00D42113">
      <w:pPr>
        <w:spacing w:line="276" w:lineRule="auto"/>
        <w:jc w:val="both"/>
        <w:textAlignment w:val="baseline"/>
        <w:rPr>
          <w:rFonts w:ascii="Calibri" w:hAnsi="Calibri" w:cs="Calibri"/>
          <w:sz w:val="22"/>
          <w:szCs w:val="22"/>
          <w:lang w:val="hr-HR" w:eastAsia="hr-HR"/>
        </w:rPr>
      </w:pPr>
      <w:r>
        <w:rPr>
          <w:rFonts w:ascii="Calibri" w:hAnsi="Calibri" w:cs="Calibri"/>
          <w:sz w:val="22"/>
          <w:szCs w:val="22"/>
          <w:lang w:val="hr-HR" w:eastAsia="hr-HR"/>
        </w:rPr>
        <w:t xml:space="preserve">Ovim se programom izvoznicima, koji su korisnici kredita osiguranih programima portfeljnog ili pojedinačnog osiguranja kredita za likvidnost izvoznika koje HBOR provodi kao mjere pomoći gospodarstvu </w:t>
      </w:r>
      <w:r w:rsidR="007C2E06">
        <w:rPr>
          <w:rFonts w:ascii="Calibri" w:eastAsia="SimSun" w:hAnsi="Calibri" w:cs="Calibri"/>
          <w:sz w:val="22"/>
          <w:szCs w:val="22"/>
          <w:lang w:val="hr-HR"/>
        </w:rPr>
        <w:t xml:space="preserve">Republike Hrvatske </w:t>
      </w:r>
      <w:r>
        <w:rPr>
          <w:rFonts w:ascii="Calibri" w:hAnsi="Calibri" w:cs="Calibri"/>
          <w:sz w:val="22"/>
          <w:szCs w:val="22"/>
          <w:lang w:val="hr-HR" w:eastAsia="hr-HR"/>
        </w:rPr>
        <w:t>nakon ruske agresije na Ukrajinu, omogućuje djelomično ili cjelovito umanjenje troška premije osiguranja ako su ispunjeni uvjeti za subvencioniranje premije osiguranja. Na taj se način omogućuje povoljnije osiguranje kredita odobrenih izvoznicima te izbjegava značajnije povećanje financijskih troškova izvoznika i daljnje narušavanje njihove likvidnosti.</w:t>
      </w:r>
      <w:bookmarkStart w:id="30" w:name="_Hlk126930842"/>
    </w:p>
    <w:p w14:paraId="1748D77E" w14:textId="77777777" w:rsidR="00382CF2" w:rsidRDefault="00382CF2">
      <w:pPr>
        <w:spacing w:before="120" w:after="120" w:line="276" w:lineRule="auto"/>
        <w:jc w:val="both"/>
        <w:rPr>
          <w:rFonts w:ascii="Calibri" w:hAnsi="Calibri" w:cs="Calibri"/>
          <w:b/>
          <w:bCs/>
          <w:sz w:val="22"/>
          <w:szCs w:val="22"/>
          <w:lang w:val="hr-HR"/>
        </w:rPr>
      </w:pPr>
    </w:p>
    <w:p w14:paraId="1748D77F" w14:textId="77777777" w:rsidR="00382CF2" w:rsidRDefault="00054989" w:rsidP="00A92DEC">
      <w:pPr>
        <w:keepNext/>
        <w:spacing w:after="120"/>
        <w:outlineLvl w:val="1"/>
        <w:rPr>
          <w:rFonts w:ascii="Calibri" w:eastAsia="SimSun" w:hAnsi="Calibri" w:cs="Calibri"/>
          <w:b/>
          <w:bCs/>
          <w:sz w:val="22"/>
          <w:szCs w:val="22"/>
          <w:lang w:val="hr-HR"/>
        </w:rPr>
      </w:pPr>
      <w:bookmarkStart w:id="31" w:name="_Toc129083705"/>
      <w:r>
        <w:rPr>
          <w:rFonts w:ascii="Calibri" w:eastAsia="SimSun" w:hAnsi="Calibri" w:cs="Calibri"/>
          <w:b/>
          <w:bCs/>
          <w:sz w:val="22"/>
          <w:szCs w:val="22"/>
          <w:lang w:val="hr-HR"/>
        </w:rPr>
        <w:t>NACIONALNI PLAN OPORAVKA I OTPORNOSTI</w:t>
      </w:r>
      <w:bookmarkEnd w:id="31"/>
    </w:p>
    <w:p w14:paraId="1748D780" w14:textId="1E3503BA" w:rsidR="00382CF2" w:rsidRDefault="00054989">
      <w:pPr>
        <w:spacing w:before="120" w:after="120" w:line="276" w:lineRule="auto"/>
        <w:jc w:val="both"/>
        <w:rPr>
          <w:rFonts w:ascii="Calibri" w:hAnsi="Calibri" w:cs="Calibri"/>
          <w:sz w:val="22"/>
          <w:szCs w:val="22"/>
          <w:lang w:val="hr-HR" w:eastAsia="hr-HR"/>
        </w:rPr>
      </w:pPr>
      <w:r>
        <w:rPr>
          <w:rFonts w:ascii="Calibri" w:hAnsi="Calibri" w:cs="Calibri"/>
          <w:sz w:val="22"/>
          <w:szCs w:val="22"/>
          <w:lang w:val="hr-HR" w:eastAsia="hr-HR"/>
        </w:rPr>
        <w:t xml:space="preserve">U suradnji s resornim ministarstvima i nadležnim tijelima Republike Hrvatske, HBOR je tijekom 2021. bio aktivan sudionik izrade Nacionalnog plana oporavka i otpornosti iz Instrumenta za oporavak i otpornost </w:t>
      </w:r>
      <w:r w:rsidR="00F8327F">
        <w:rPr>
          <w:rFonts w:ascii="Calibri" w:hAnsi="Calibri" w:cs="Calibri"/>
          <w:sz w:val="22"/>
          <w:szCs w:val="22"/>
          <w:lang w:val="hr-HR" w:eastAsia="hr-HR"/>
        </w:rPr>
        <w:t>(</w:t>
      </w:r>
      <w:r w:rsidRPr="00327C22">
        <w:rPr>
          <w:rFonts w:ascii="Calibri" w:hAnsi="Calibri" w:cs="Calibri"/>
          <w:i/>
          <w:iCs/>
          <w:sz w:val="22"/>
          <w:szCs w:val="22"/>
          <w:lang w:val="hr-HR" w:eastAsia="hr-HR"/>
        </w:rPr>
        <w:t>engl. Recovery and Resilience Facility</w:t>
      </w:r>
      <w:r w:rsidR="00E86A0D">
        <w:rPr>
          <w:rFonts w:ascii="Calibri" w:hAnsi="Calibri" w:cs="Calibri"/>
          <w:sz w:val="22"/>
          <w:szCs w:val="22"/>
          <w:lang w:val="hr-HR" w:eastAsia="hr-HR"/>
        </w:rPr>
        <w:t xml:space="preserve">), dalje: RRF. </w:t>
      </w:r>
    </w:p>
    <w:p w14:paraId="1748D781" w14:textId="08D095EE" w:rsidR="00382CF2" w:rsidRDefault="0020498D">
      <w:pPr>
        <w:spacing w:before="120" w:after="120" w:line="276" w:lineRule="auto"/>
        <w:jc w:val="both"/>
        <w:rPr>
          <w:rFonts w:ascii="Calibri" w:hAnsi="Calibri" w:cs="Calibri"/>
          <w:sz w:val="22"/>
          <w:szCs w:val="22"/>
          <w:lang w:val="hr-HR" w:eastAsia="hr-HR"/>
        </w:rPr>
      </w:pPr>
      <w:r>
        <w:rPr>
          <w:rStyle w:val="Zadanifontodlomka1"/>
          <w:rFonts w:ascii="Calibri" w:eastAsia="SimSun" w:hAnsi="Calibri" w:cs="Calibri"/>
          <w:noProof/>
          <w:sz w:val="22"/>
          <w:szCs w:val="22"/>
          <w:shd w:val="clear" w:color="auto" w:fill="E6E6E6"/>
          <w:lang w:val="hr-HR"/>
        </w:rPr>
        <w:drawing>
          <wp:anchor distT="0" distB="0" distL="114300" distR="114300" simplePos="0" relativeHeight="251658240" behindDoc="0" locked="0" layoutInCell="1" allowOverlap="1" wp14:anchorId="6CDAEBB9" wp14:editId="5E751BF4">
            <wp:simplePos x="0" y="0"/>
            <wp:positionH relativeFrom="column">
              <wp:posOffset>251460</wp:posOffset>
            </wp:positionH>
            <wp:positionV relativeFrom="paragraph">
              <wp:posOffset>1085215</wp:posOffset>
            </wp:positionV>
            <wp:extent cx="5495928" cy="3161666"/>
            <wp:effectExtent l="0" t="0" r="0" b="0"/>
            <wp:wrapSquare wrapText="bothSides"/>
            <wp:docPr id="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054989">
        <w:rPr>
          <w:rFonts w:ascii="Calibri" w:hAnsi="Calibri" w:cs="Calibri"/>
          <w:sz w:val="22"/>
          <w:szCs w:val="22"/>
          <w:lang w:val="hr-HR" w:eastAsia="hr-HR"/>
        </w:rPr>
        <w:t>Pri razvoju financijskih instrumenata, izuzev ciljeva RRF-a, uvaženi su ciljevi HBOR-a definirani u okviru Strategije poslovanja za razdoblje 2020.-2024. Provedbom financijskih instrumenata omogućeno je povoljno financiranje novih investicija privatnog i javnog sektora usmjerenih prema jačanju konkurentnosti i otpornosti ekonomije, ali i tranziciji prema zelenom i digitalnom gospodarstvu, kao temelju konkurentnosti gospodarskih subjekata u budućem razdoblju.</w:t>
      </w:r>
    </w:p>
    <w:p w14:paraId="6ADD3EA7" w14:textId="77777777" w:rsidR="00FC6427" w:rsidRDefault="00FC6427">
      <w:pPr>
        <w:spacing w:before="120" w:after="120" w:line="276" w:lineRule="auto"/>
        <w:jc w:val="both"/>
        <w:rPr>
          <w:rFonts w:ascii="Calibri" w:hAnsi="Calibri" w:cs="Calibri"/>
          <w:sz w:val="22"/>
          <w:szCs w:val="22"/>
          <w:lang w:val="hr-HR" w:eastAsia="hr-HR"/>
        </w:rPr>
      </w:pPr>
    </w:p>
    <w:p w14:paraId="1748D782" w14:textId="150D6F86" w:rsidR="00382CF2" w:rsidRDefault="00054989">
      <w:pPr>
        <w:spacing w:before="120" w:after="120" w:line="276" w:lineRule="auto"/>
        <w:jc w:val="both"/>
      </w:pPr>
      <w:r>
        <w:rPr>
          <w:rStyle w:val="Zadanifontodlomka1"/>
          <w:rFonts w:ascii="Calibri" w:hAnsi="Calibri" w:cs="Calibri"/>
          <w:sz w:val="22"/>
          <w:szCs w:val="22"/>
          <w:lang w:val="hr-HR" w:eastAsia="hr-HR"/>
        </w:rPr>
        <w:t xml:space="preserve">U okviru NPOO-a HBOR-u je povjerena provedba </w:t>
      </w:r>
      <w:r w:rsidR="00DF084A">
        <w:rPr>
          <w:rStyle w:val="Zadanifontodlomka1"/>
          <w:rFonts w:ascii="Calibri" w:hAnsi="Calibri" w:cs="Calibri"/>
          <w:sz w:val="22"/>
          <w:szCs w:val="22"/>
          <w:lang w:val="hr-HR" w:eastAsia="hr-HR"/>
        </w:rPr>
        <w:t xml:space="preserve">šest </w:t>
      </w:r>
      <w:r>
        <w:rPr>
          <w:rStyle w:val="Zadanifontodlomka1"/>
          <w:rFonts w:ascii="Calibri" w:hAnsi="Calibri" w:cs="Calibri"/>
          <w:sz w:val="22"/>
          <w:szCs w:val="22"/>
          <w:lang w:val="hr-HR" w:eastAsia="hr-HR"/>
        </w:rPr>
        <w:t>financijskih instrumenata ukupne vrijednosti 256 milijuna eura.</w:t>
      </w:r>
    </w:p>
    <w:p w14:paraId="1748D784" w14:textId="74DDA571" w:rsidR="00382CF2" w:rsidRDefault="00054989">
      <w:pPr>
        <w:spacing w:before="120" w:after="120" w:line="276" w:lineRule="auto"/>
        <w:jc w:val="both"/>
        <w:rPr>
          <w:rFonts w:ascii="Calibri" w:hAnsi="Calibri" w:cs="Calibri"/>
          <w:sz w:val="22"/>
          <w:szCs w:val="22"/>
          <w:lang w:val="hr-HR" w:eastAsia="hr-HR"/>
        </w:rPr>
      </w:pPr>
      <w:r>
        <w:rPr>
          <w:rFonts w:ascii="Calibri" w:hAnsi="Calibri" w:cs="Calibri"/>
          <w:sz w:val="22"/>
          <w:szCs w:val="22"/>
          <w:lang w:val="hr-HR" w:eastAsia="hr-HR"/>
        </w:rPr>
        <w:t xml:space="preserve">Tijekom 2022. potpisani su Sporazumi s Ministarstvom financija i Ministarstvom gospodarstva i održivog razvoja temeljem kojih je HBOR-u </w:t>
      </w:r>
      <w:r w:rsidR="00424B33">
        <w:rPr>
          <w:rFonts w:ascii="Calibri" w:hAnsi="Calibri" w:cs="Calibri"/>
          <w:sz w:val="22"/>
          <w:szCs w:val="22"/>
          <w:lang w:val="hr-HR" w:eastAsia="hr-HR"/>
        </w:rPr>
        <w:t xml:space="preserve">povjerena </w:t>
      </w:r>
      <w:r>
        <w:rPr>
          <w:rFonts w:ascii="Calibri" w:hAnsi="Calibri" w:cs="Calibri"/>
          <w:sz w:val="22"/>
          <w:szCs w:val="22"/>
          <w:lang w:val="hr-HR" w:eastAsia="hr-HR"/>
        </w:rPr>
        <w:t xml:space="preserve">provedba svih </w:t>
      </w:r>
      <w:r w:rsidR="00DF084A">
        <w:rPr>
          <w:rFonts w:ascii="Calibri" w:hAnsi="Calibri" w:cs="Calibri"/>
          <w:sz w:val="22"/>
          <w:szCs w:val="22"/>
          <w:lang w:val="hr-HR" w:eastAsia="hr-HR"/>
        </w:rPr>
        <w:t xml:space="preserve">šest </w:t>
      </w:r>
      <w:r>
        <w:rPr>
          <w:rFonts w:ascii="Calibri" w:hAnsi="Calibri" w:cs="Calibri"/>
          <w:sz w:val="22"/>
          <w:szCs w:val="22"/>
          <w:lang w:val="hr-HR" w:eastAsia="hr-HR"/>
        </w:rPr>
        <w:t>financijskih instrumenata, slijedom čega je u 2022. započeta provedba četiri financijska instrumenta, dok je provedba preostala dva instrumenta planirana u 2023. i 2024. godini.</w:t>
      </w:r>
    </w:p>
    <w:p w14:paraId="1748D786" w14:textId="77777777" w:rsidR="00382CF2" w:rsidRDefault="00054989">
      <w:pPr>
        <w:spacing w:before="120" w:after="120" w:line="276" w:lineRule="auto"/>
        <w:jc w:val="both"/>
        <w:rPr>
          <w:rFonts w:ascii="Calibri" w:hAnsi="Calibri" w:cs="Calibri"/>
          <w:sz w:val="22"/>
          <w:szCs w:val="22"/>
          <w:lang w:val="hr-HR" w:eastAsia="hr-HR"/>
        </w:rPr>
      </w:pPr>
      <w:r>
        <w:rPr>
          <w:rFonts w:ascii="Calibri" w:hAnsi="Calibri" w:cs="Calibri"/>
          <w:sz w:val="22"/>
          <w:szCs w:val="22"/>
          <w:lang w:val="hr-HR" w:eastAsia="hr-HR"/>
        </w:rPr>
        <w:lastRenderedPageBreak/>
        <w:t>Opis NPOO financijskih instrumenata:</w:t>
      </w:r>
    </w:p>
    <w:p w14:paraId="191EA1A8" w14:textId="32E24ABD" w:rsidR="0024604E" w:rsidRDefault="00054989" w:rsidP="0024604E">
      <w:pPr>
        <w:spacing w:before="120" w:after="120" w:line="276" w:lineRule="auto"/>
        <w:jc w:val="both"/>
        <w:rPr>
          <w:rFonts w:ascii="Calibri" w:hAnsi="Calibri" w:cs="Calibri"/>
          <w:sz w:val="22"/>
          <w:szCs w:val="22"/>
          <w:lang w:val="hr-HR" w:eastAsia="hr-HR"/>
        </w:rPr>
      </w:pPr>
      <w:r>
        <w:rPr>
          <w:rStyle w:val="Zadanifontodlomka1"/>
          <w:rFonts w:ascii="Calibri" w:hAnsi="Calibri" w:cs="Calibri"/>
          <w:b/>
          <w:bCs/>
          <w:sz w:val="22"/>
          <w:szCs w:val="22"/>
          <w:lang w:val="hr-HR" w:eastAsia="hr-HR"/>
        </w:rPr>
        <w:t>Izravni krediti putem programa Investicije posebnih segmenata MSP-ova u okviru NPOO-a</w:t>
      </w:r>
    </w:p>
    <w:p w14:paraId="1748D788" w14:textId="55EA507D" w:rsidR="00382CF2" w:rsidRDefault="00054989" w:rsidP="00ED0A0F">
      <w:pPr>
        <w:spacing w:before="120" w:after="120" w:line="276" w:lineRule="auto"/>
        <w:jc w:val="both"/>
        <w:rPr>
          <w:rFonts w:ascii="Calibri" w:hAnsi="Calibri" w:cs="Calibri"/>
          <w:sz w:val="22"/>
          <w:szCs w:val="22"/>
          <w:lang w:val="hr-HR" w:eastAsia="hr-HR"/>
        </w:rPr>
      </w:pPr>
      <w:r>
        <w:rPr>
          <w:rFonts w:ascii="Calibri" w:hAnsi="Calibri" w:cs="Calibri"/>
          <w:sz w:val="22"/>
          <w:szCs w:val="22"/>
          <w:lang w:val="hr-HR" w:eastAsia="hr-HR"/>
        </w:rPr>
        <w:t xml:space="preserve">Financijski instrument usmjeren je na poduzetnike i sektore koji uobičajeno imaju otežan pristup financiranju: poduzetnici početnici, mladi poduzetnici, žene u poduzetništvu te ulaganja malih i srednjih poduzeća u slabije razvijena područja te istraživanja i razvoj. </w:t>
      </w:r>
    </w:p>
    <w:p w14:paraId="1748D789" w14:textId="77777777" w:rsidR="00382CF2" w:rsidRDefault="00054989">
      <w:pPr>
        <w:spacing w:line="276" w:lineRule="auto"/>
        <w:jc w:val="both"/>
        <w:textAlignment w:val="baseline"/>
        <w:rPr>
          <w:rFonts w:ascii="Calibri" w:hAnsi="Calibri" w:cs="Calibri"/>
          <w:sz w:val="22"/>
          <w:szCs w:val="22"/>
          <w:lang w:val="hr-HR" w:eastAsia="hr-HR"/>
        </w:rPr>
      </w:pPr>
      <w:r>
        <w:rPr>
          <w:rFonts w:ascii="Calibri" w:hAnsi="Calibri" w:cs="Calibri"/>
          <w:sz w:val="22"/>
          <w:szCs w:val="22"/>
          <w:lang w:val="hr-HR" w:eastAsia="hr-HR"/>
        </w:rPr>
        <w:t>Provedbom predmetnog financijskog instrumenta, uz podršku sredstava RRF-a, HBOR odobrava izravne investicijske kredite iznosa od 100 tisuća eura do 1 milijuna eura uz kamatne stope od 0,4 posto i 0,8 posto. Provedba financijskog instrumenta započeta je u lipnju 2022. godine.</w:t>
      </w:r>
    </w:p>
    <w:p w14:paraId="1748D78A" w14:textId="77777777" w:rsidR="00382CF2" w:rsidRDefault="00382CF2">
      <w:pPr>
        <w:spacing w:line="276" w:lineRule="auto"/>
        <w:jc w:val="both"/>
        <w:textAlignment w:val="baseline"/>
        <w:rPr>
          <w:rFonts w:ascii="Calibri" w:hAnsi="Calibri" w:cs="Calibri"/>
          <w:b/>
          <w:bCs/>
          <w:sz w:val="22"/>
          <w:szCs w:val="22"/>
          <w:lang w:val="hr-HR" w:eastAsia="hr-HR"/>
        </w:rPr>
      </w:pPr>
    </w:p>
    <w:p w14:paraId="1748D78B" w14:textId="77777777" w:rsidR="00382CF2" w:rsidRDefault="00054989">
      <w:pPr>
        <w:spacing w:before="120" w:after="120" w:line="276" w:lineRule="auto"/>
        <w:jc w:val="both"/>
        <w:rPr>
          <w:rFonts w:ascii="Calibri" w:hAnsi="Calibri" w:cs="Calibri"/>
          <w:b/>
          <w:bCs/>
          <w:sz w:val="22"/>
          <w:szCs w:val="22"/>
          <w:lang w:val="hr-HR" w:eastAsia="hr-HR"/>
        </w:rPr>
      </w:pPr>
      <w:r>
        <w:rPr>
          <w:rFonts w:ascii="Calibri" w:hAnsi="Calibri" w:cs="Calibri"/>
          <w:b/>
          <w:bCs/>
          <w:sz w:val="22"/>
          <w:szCs w:val="22"/>
          <w:lang w:val="hr-HR" w:eastAsia="hr-HR"/>
        </w:rPr>
        <w:t>Financijski instrumenti subvencioniranja kamata za privatni i javni sektor</w:t>
      </w:r>
    </w:p>
    <w:p w14:paraId="1748D78C" w14:textId="77777777" w:rsidR="00382CF2" w:rsidRDefault="00054989">
      <w:pPr>
        <w:spacing w:before="120" w:after="120" w:line="276" w:lineRule="auto"/>
        <w:jc w:val="both"/>
        <w:rPr>
          <w:rFonts w:ascii="Calibri" w:hAnsi="Calibri" w:cs="Calibri"/>
          <w:sz w:val="22"/>
          <w:szCs w:val="22"/>
          <w:lang w:val="hr-HR" w:eastAsia="hr-HR"/>
        </w:rPr>
      </w:pPr>
      <w:r>
        <w:rPr>
          <w:rFonts w:ascii="Calibri" w:hAnsi="Calibri" w:cs="Calibri"/>
          <w:sz w:val="22"/>
          <w:szCs w:val="22"/>
          <w:lang w:val="hr-HR" w:eastAsia="hr-HR"/>
        </w:rPr>
        <w:t>U lipnju 2022. godine započeta je i provedba tri financijska instrumenta subvencija kamata. Subvencije kamata omogućit će povoljnije uvjete financiranja ulaganja:</w:t>
      </w:r>
    </w:p>
    <w:p w14:paraId="1748D78D" w14:textId="77777777" w:rsidR="00382CF2" w:rsidRDefault="00054989">
      <w:pPr>
        <w:pStyle w:val="Odlomakpopisa1"/>
        <w:numPr>
          <w:ilvl w:val="0"/>
          <w:numId w:val="13"/>
        </w:numPr>
        <w:spacing w:line="276" w:lineRule="auto"/>
        <w:jc w:val="both"/>
        <w:textAlignment w:val="baseline"/>
        <w:rPr>
          <w:rFonts w:ascii="Calibri" w:hAnsi="Calibri" w:cs="Calibri"/>
          <w:sz w:val="22"/>
          <w:szCs w:val="22"/>
          <w:lang w:val="hr-HR" w:eastAsia="hr-HR"/>
        </w:rPr>
      </w:pPr>
      <w:r>
        <w:rPr>
          <w:rFonts w:ascii="Calibri" w:hAnsi="Calibri" w:cs="Calibri"/>
          <w:sz w:val="22"/>
          <w:szCs w:val="22"/>
          <w:lang w:val="hr-HR" w:eastAsia="hr-HR"/>
        </w:rPr>
        <w:t>mikro, malih i srednjih poslovnih subjekata,</w:t>
      </w:r>
    </w:p>
    <w:p w14:paraId="1748D78E" w14:textId="77777777" w:rsidR="00382CF2" w:rsidRPr="000F238D" w:rsidRDefault="00054989">
      <w:pPr>
        <w:pStyle w:val="Odlomakpopisa1"/>
        <w:numPr>
          <w:ilvl w:val="0"/>
          <w:numId w:val="13"/>
        </w:numPr>
        <w:spacing w:line="276" w:lineRule="auto"/>
        <w:jc w:val="both"/>
        <w:textAlignment w:val="baseline"/>
        <w:rPr>
          <w:rStyle w:val="Zadanifontodlomka1"/>
          <w:rFonts w:ascii="Calibri" w:hAnsi="Calibri" w:cs="Calibri"/>
          <w:sz w:val="22"/>
          <w:szCs w:val="22"/>
          <w:lang w:val="hr-HR" w:eastAsia="hr-HR"/>
        </w:rPr>
      </w:pPr>
      <w:r>
        <w:rPr>
          <w:rStyle w:val="Zadanifontodlomka1"/>
          <w:rFonts w:ascii="Calibri" w:hAnsi="Calibri" w:cs="Calibri"/>
          <w:sz w:val="22"/>
          <w:szCs w:val="22"/>
          <w:lang w:val="hr-HR" w:eastAsia="hr-HR"/>
        </w:rPr>
        <w:t>subjekata srednje tržišne kapitalizacije i velikih poslovnih subjekata</w:t>
      </w:r>
      <w:r w:rsidRPr="000F238D">
        <w:rPr>
          <w:rStyle w:val="Zadanifontodlomka1"/>
          <w:rFonts w:ascii="Calibri" w:hAnsi="Calibri" w:cs="Calibri"/>
          <w:sz w:val="22"/>
          <w:szCs w:val="22"/>
          <w:lang w:val="hr-HR" w:eastAsia="hr-HR"/>
        </w:rPr>
        <w:t>,</w:t>
      </w:r>
    </w:p>
    <w:p w14:paraId="1748D78F" w14:textId="77777777" w:rsidR="00382CF2" w:rsidRDefault="00054989">
      <w:pPr>
        <w:pStyle w:val="Odlomakpopisa1"/>
        <w:numPr>
          <w:ilvl w:val="0"/>
          <w:numId w:val="13"/>
        </w:numPr>
        <w:spacing w:line="276" w:lineRule="auto"/>
        <w:jc w:val="both"/>
        <w:textAlignment w:val="baseline"/>
        <w:rPr>
          <w:rFonts w:ascii="Calibri" w:hAnsi="Calibri" w:cs="Calibri"/>
          <w:sz w:val="22"/>
          <w:szCs w:val="22"/>
          <w:lang w:val="hr-HR" w:eastAsia="hr-HR"/>
        </w:rPr>
      </w:pPr>
      <w:r>
        <w:rPr>
          <w:rFonts w:ascii="Calibri" w:hAnsi="Calibri" w:cs="Calibri"/>
          <w:sz w:val="22"/>
          <w:szCs w:val="22"/>
          <w:lang w:val="hr-HR" w:eastAsia="hr-HR"/>
        </w:rPr>
        <w:t xml:space="preserve">javnog sektora. </w:t>
      </w:r>
    </w:p>
    <w:p w14:paraId="1748D790" w14:textId="57B1B09F" w:rsidR="00382CF2" w:rsidRDefault="00054989">
      <w:pPr>
        <w:spacing w:before="120" w:after="120" w:line="276" w:lineRule="auto"/>
        <w:jc w:val="both"/>
      </w:pPr>
      <w:r>
        <w:rPr>
          <w:rStyle w:val="Zadanifontodlomka1"/>
          <w:rFonts w:ascii="Calibri" w:hAnsi="Calibri" w:cs="Calibri"/>
          <w:sz w:val="22"/>
          <w:szCs w:val="22"/>
          <w:lang w:val="hr-HR" w:eastAsia="hr-HR"/>
        </w:rPr>
        <w:t xml:space="preserve">Subvenciju kamata moguće je dodijeliti za investicijske kredite usmjerene na ulaganja u jačanje konkurentnosti i otpornosti, a </w:t>
      </w:r>
      <w:r w:rsidR="002D68C5">
        <w:rPr>
          <w:rStyle w:val="Zadanifontodlomka1"/>
          <w:rFonts w:ascii="Calibri" w:hAnsi="Calibri" w:cs="Calibri"/>
          <w:sz w:val="22"/>
          <w:szCs w:val="22"/>
          <w:lang w:val="hr-HR" w:eastAsia="hr-HR"/>
        </w:rPr>
        <w:t>za</w:t>
      </w:r>
      <w:r>
        <w:rPr>
          <w:rStyle w:val="Zadanifontodlomka1"/>
          <w:rFonts w:ascii="Calibri" w:hAnsi="Calibri" w:cs="Calibri"/>
          <w:sz w:val="22"/>
          <w:szCs w:val="22"/>
          <w:lang w:val="hr-HR" w:eastAsia="hr-HR"/>
        </w:rPr>
        <w:t xml:space="preserve"> ulaganj</w:t>
      </w:r>
      <w:r w:rsidR="002D68C5">
        <w:rPr>
          <w:rStyle w:val="Zadanifontodlomka1"/>
          <w:rFonts w:ascii="Calibri" w:hAnsi="Calibri" w:cs="Calibri"/>
          <w:sz w:val="22"/>
          <w:szCs w:val="22"/>
          <w:lang w:val="hr-HR" w:eastAsia="hr-HR"/>
        </w:rPr>
        <w:t>a</w:t>
      </w:r>
      <w:r>
        <w:rPr>
          <w:rStyle w:val="Zadanifontodlomka1"/>
          <w:rFonts w:ascii="Calibri" w:hAnsi="Calibri" w:cs="Calibri"/>
          <w:sz w:val="22"/>
          <w:szCs w:val="22"/>
          <w:lang w:val="hr-HR" w:eastAsia="hr-HR"/>
        </w:rPr>
        <w:t xml:space="preserve"> u zelene i digitalne tehnologije nužne za dugoročni održivi razvoj javnog i privatnog sektora u Republici Hrvatskoj</w:t>
      </w:r>
      <w:r w:rsidR="002D68C5">
        <w:rPr>
          <w:rStyle w:val="Zadanifontodlomka1"/>
          <w:rFonts w:ascii="Calibri" w:hAnsi="Calibri" w:cs="Calibri"/>
          <w:sz w:val="22"/>
          <w:szCs w:val="22"/>
          <w:lang w:val="hr-HR" w:eastAsia="hr-HR"/>
        </w:rPr>
        <w:t xml:space="preserve">, subvencija </w:t>
      </w:r>
      <w:r w:rsidR="00AF48F2">
        <w:rPr>
          <w:rStyle w:val="Zadanifontodlomka1"/>
          <w:rFonts w:ascii="Calibri" w:hAnsi="Calibri" w:cs="Calibri"/>
          <w:sz w:val="22"/>
          <w:szCs w:val="22"/>
          <w:lang w:val="hr-HR" w:eastAsia="hr-HR"/>
        </w:rPr>
        <w:t>kamata je značajnija</w:t>
      </w:r>
      <w:r>
        <w:rPr>
          <w:rStyle w:val="Zadanifontodlomka1"/>
          <w:rFonts w:ascii="Calibri" w:hAnsi="Calibri" w:cs="Calibri"/>
          <w:sz w:val="22"/>
          <w:szCs w:val="22"/>
          <w:lang w:val="hr-HR" w:eastAsia="hr-HR"/>
        </w:rPr>
        <w:t xml:space="preserve">. </w:t>
      </w:r>
    </w:p>
    <w:p w14:paraId="1748D791" w14:textId="44D95656" w:rsidR="00382CF2" w:rsidRDefault="00054989">
      <w:pPr>
        <w:spacing w:before="120" w:after="120" w:line="276" w:lineRule="auto"/>
        <w:jc w:val="both"/>
        <w:rPr>
          <w:rFonts w:ascii="Calibri" w:hAnsi="Calibri" w:cs="Calibri"/>
          <w:sz w:val="22"/>
          <w:szCs w:val="22"/>
          <w:lang w:val="hr-HR" w:eastAsia="hr-HR"/>
        </w:rPr>
      </w:pPr>
      <w:r>
        <w:rPr>
          <w:rFonts w:ascii="Calibri" w:hAnsi="Calibri" w:cs="Calibri"/>
          <w:sz w:val="22"/>
          <w:szCs w:val="22"/>
          <w:lang w:val="hr-HR" w:eastAsia="hr-HR"/>
        </w:rPr>
        <w:t>Iznos subvencije</w:t>
      </w:r>
      <w:r w:rsidR="00E8359C">
        <w:rPr>
          <w:rFonts w:ascii="Calibri" w:hAnsi="Calibri" w:cs="Calibri"/>
          <w:sz w:val="22"/>
          <w:szCs w:val="22"/>
          <w:lang w:val="hr-HR" w:eastAsia="hr-HR"/>
        </w:rPr>
        <w:t xml:space="preserve"> kamate</w:t>
      </w:r>
      <w:r>
        <w:rPr>
          <w:rFonts w:ascii="Calibri" w:hAnsi="Calibri" w:cs="Calibri"/>
          <w:sz w:val="22"/>
          <w:szCs w:val="22"/>
          <w:lang w:val="hr-HR" w:eastAsia="hr-HR"/>
        </w:rPr>
        <w:t xml:space="preserve"> po pojedinom kreditu ograničen je na 500 tisuća eura za male i srednje poduzetnike, odnosno na 1 milijun eura za ostale subjekte, kako bi povoljnije uvjete mogao koristiti što veći broj korisnika kredita. Subvencija do najviše 3 postotna boda dodjeljuje se ovisno o namjeni i vrsti ulaganja, a može iznositi do 75 posto kamatne stope za zelenu i digitalnu tranziciju, do 65 posto kamatne stope za ulaganja na posebna područja </w:t>
      </w:r>
      <w:r w:rsidR="007C2E06" w:rsidRPr="007C2E06">
        <w:rPr>
          <w:rFonts w:ascii="Calibri" w:hAnsi="Calibri" w:cs="Calibri"/>
          <w:sz w:val="22"/>
          <w:szCs w:val="22"/>
          <w:lang w:val="hr-HR" w:eastAsia="hr-HR"/>
        </w:rPr>
        <w:t xml:space="preserve">Republike Hrvatske </w:t>
      </w:r>
      <w:r>
        <w:rPr>
          <w:rFonts w:ascii="Calibri" w:hAnsi="Calibri" w:cs="Calibri"/>
          <w:sz w:val="22"/>
          <w:szCs w:val="22"/>
          <w:lang w:val="hr-HR" w:eastAsia="hr-HR"/>
        </w:rPr>
        <w:t xml:space="preserve">ili u istraživanja, razvoj i inovacije te za ulaganja javnog sektora za ublažavanje posljedica potresa, odnosno do 50 posto kamatne stope za ostala ulaganja u konkurentnost i otpornost. </w:t>
      </w:r>
    </w:p>
    <w:p w14:paraId="1748D792" w14:textId="77777777" w:rsidR="00382CF2" w:rsidRDefault="00054989">
      <w:pPr>
        <w:spacing w:line="276" w:lineRule="auto"/>
        <w:jc w:val="both"/>
        <w:textAlignment w:val="baseline"/>
        <w:rPr>
          <w:rFonts w:ascii="Calibri" w:hAnsi="Calibri" w:cs="Calibri"/>
          <w:sz w:val="22"/>
          <w:szCs w:val="22"/>
          <w:lang w:val="hr-HR" w:eastAsia="hr-HR"/>
        </w:rPr>
      </w:pPr>
      <w:r>
        <w:rPr>
          <w:rFonts w:ascii="Calibri" w:hAnsi="Calibri" w:cs="Calibri"/>
          <w:sz w:val="22"/>
          <w:szCs w:val="22"/>
          <w:lang w:val="hr-HR" w:eastAsia="hr-HR"/>
        </w:rPr>
        <w:t>Subvencioniranje kamata odobrava se kroz programe kreditiranja HBOR-a izravnim kreditiranjem od lipnja 2022., a od siječnja 2023. i u suradnji s 15 poslovnih banaka.</w:t>
      </w:r>
    </w:p>
    <w:p w14:paraId="1748D793" w14:textId="77777777" w:rsidR="00382CF2" w:rsidRDefault="00382CF2" w:rsidP="0024604E">
      <w:pPr>
        <w:spacing w:after="120" w:line="276" w:lineRule="auto"/>
        <w:jc w:val="both"/>
        <w:textAlignment w:val="baseline"/>
        <w:rPr>
          <w:rFonts w:ascii="Calibri" w:hAnsi="Calibri" w:cs="Calibri"/>
          <w:sz w:val="22"/>
          <w:szCs w:val="22"/>
          <w:lang w:val="hr-HR" w:eastAsia="hr-HR"/>
        </w:rPr>
      </w:pPr>
    </w:p>
    <w:p w14:paraId="1748D794" w14:textId="51C92B05" w:rsidR="00382CF2" w:rsidRDefault="00054989" w:rsidP="0024604E">
      <w:pPr>
        <w:spacing w:after="120" w:line="276" w:lineRule="auto"/>
        <w:jc w:val="both"/>
        <w:textAlignment w:val="baseline"/>
        <w:rPr>
          <w:rFonts w:ascii="Calibri" w:hAnsi="Calibri" w:cs="Calibri"/>
          <w:b/>
          <w:bCs/>
          <w:sz w:val="22"/>
          <w:szCs w:val="22"/>
          <w:lang w:val="hr-HR" w:eastAsia="hr-HR"/>
        </w:rPr>
      </w:pPr>
      <w:r>
        <w:rPr>
          <w:rFonts w:ascii="Calibri" w:hAnsi="Calibri" w:cs="Calibri"/>
          <w:b/>
          <w:bCs/>
          <w:sz w:val="22"/>
          <w:szCs w:val="22"/>
          <w:lang w:val="hr-HR" w:eastAsia="hr-HR"/>
        </w:rPr>
        <w:t>Financijski instrument jamstveni fond za kredite subjektima srednje tržišne kapitalizacije i velikim poslovnim subjektima</w:t>
      </w:r>
    </w:p>
    <w:p w14:paraId="1748D796" w14:textId="4A6A0836" w:rsidR="00382CF2" w:rsidRDefault="00054989">
      <w:pPr>
        <w:spacing w:line="276" w:lineRule="auto"/>
        <w:jc w:val="both"/>
        <w:textAlignment w:val="baseline"/>
        <w:rPr>
          <w:rFonts w:ascii="Calibri" w:hAnsi="Calibri" w:cs="Calibri"/>
          <w:sz w:val="22"/>
          <w:szCs w:val="22"/>
          <w:lang w:val="hr-HR" w:eastAsia="hr-HR"/>
        </w:rPr>
      </w:pPr>
      <w:r>
        <w:rPr>
          <w:rFonts w:ascii="Calibri" w:hAnsi="Calibri" w:cs="Calibri"/>
          <w:sz w:val="22"/>
          <w:szCs w:val="22"/>
          <w:lang w:val="hr-HR" w:eastAsia="hr-HR"/>
        </w:rPr>
        <w:t xml:space="preserve">U Republici Hrvatskoj već duži niz godina postoje različiti jamstveni proizvodi usmjereni na podršku ulaganjima mikro, malih i srednjih poduzeća. Kako bi se omogućila slična podrška i subjektima srednje tržišne kapitalizacije i velikim poslovnim subjektima, u okviru Nacionalnog plana oporavka i otpornosti predviđena je uspostava novog modela jamstava za investicijske kredite subjekata srednje tržišne kapitalizacije i velikih poslovnih subjekata. Kao što je prethodno spomenuto, tijekom 2022. godine potpisan je Sporazum između HBOR-a i resornih ministarstava kojim je omogućena provedba </w:t>
      </w:r>
      <w:r w:rsidR="00571070">
        <w:rPr>
          <w:rFonts w:ascii="Calibri" w:hAnsi="Calibri" w:cs="Calibri"/>
          <w:sz w:val="22"/>
          <w:szCs w:val="22"/>
          <w:lang w:val="hr-HR" w:eastAsia="hr-HR"/>
        </w:rPr>
        <w:t>predmetnog</w:t>
      </w:r>
      <w:r>
        <w:rPr>
          <w:rFonts w:ascii="Calibri" w:hAnsi="Calibri" w:cs="Calibri"/>
          <w:sz w:val="22"/>
          <w:szCs w:val="22"/>
          <w:lang w:val="hr-HR" w:eastAsia="hr-HR"/>
        </w:rPr>
        <w:t xml:space="preserve"> instrumenta. Provedba instrumenta započet će 2023. godine, a ista omogućuje izdavanje jamstava za investicijske kredite subjektima srednje tržišne kapitalizacije i velikim poslovnim subjektima uz pokriće do 80 posto dospjele nenaplaćene glavnice kredita i subvencioniranje do 100 posto iznosa naknade za jamstvo, u ovisnosti o pravilima o državnim potporama.</w:t>
      </w:r>
      <w:bookmarkEnd w:id="28"/>
      <w:bookmarkEnd w:id="30"/>
    </w:p>
    <w:p w14:paraId="1748D797" w14:textId="77777777" w:rsidR="00382CF2" w:rsidRDefault="00382CF2">
      <w:pPr>
        <w:spacing w:line="276" w:lineRule="auto"/>
        <w:jc w:val="both"/>
        <w:textAlignment w:val="baseline"/>
        <w:rPr>
          <w:rFonts w:ascii="Calibri" w:hAnsi="Calibri" w:cs="Calibri"/>
          <w:sz w:val="22"/>
          <w:szCs w:val="22"/>
          <w:lang w:val="hr-HR" w:eastAsia="hr-HR"/>
        </w:rPr>
      </w:pPr>
    </w:p>
    <w:p w14:paraId="4961302D" w14:textId="77777777" w:rsidR="003B561B" w:rsidRDefault="003B561B">
      <w:pPr>
        <w:suppressAutoHyphens w:val="0"/>
        <w:rPr>
          <w:rFonts w:ascii="Calibri" w:eastAsia="SimSun" w:hAnsi="Calibri" w:cs="Calibri"/>
          <w:b/>
          <w:bCs/>
          <w:sz w:val="22"/>
          <w:szCs w:val="22"/>
          <w:lang w:val="hr-HR"/>
        </w:rPr>
      </w:pPr>
      <w:r>
        <w:rPr>
          <w:rFonts w:ascii="Calibri" w:eastAsia="SimSun" w:hAnsi="Calibri" w:cs="Calibri"/>
          <w:b/>
          <w:bCs/>
          <w:sz w:val="22"/>
          <w:szCs w:val="22"/>
          <w:lang w:val="hr-HR"/>
        </w:rPr>
        <w:br w:type="page"/>
      </w:r>
    </w:p>
    <w:p w14:paraId="1748D798" w14:textId="1420CCE5" w:rsidR="00382CF2" w:rsidRDefault="00054989" w:rsidP="00DD551B">
      <w:pPr>
        <w:spacing w:after="120" w:line="276" w:lineRule="auto"/>
        <w:jc w:val="both"/>
        <w:rPr>
          <w:rFonts w:ascii="Calibri" w:eastAsia="SimSun" w:hAnsi="Calibri" w:cs="Calibri"/>
          <w:b/>
          <w:bCs/>
          <w:sz w:val="22"/>
          <w:szCs w:val="22"/>
          <w:lang w:val="hr-HR"/>
        </w:rPr>
      </w:pPr>
      <w:r>
        <w:rPr>
          <w:rFonts w:ascii="Calibri" w:eastAsia="SimSun" w:hAnsi="Calibri" w:cs="Calibri"/>
          <w:b/>
          <w:bCs/>
          <w:sz w:val="22"/>
          <w:szCs w:val="22"/>
          <w:lang w:val="hr-HR"/>
        </w:rPr>
        <w:lastRenderedPageBreak/>
        <w:t>Poticanje razvoja novih fondova rizičnog kapitala</w:t>
      </w:r>
    </w:p>
    <w:p w14:paraId="3D63B2B4" w14:textId="2846E2C7" w:rsidR="0024604E" w:rsidRPr="00F64184" w:rsidRDefault="00054989" w:rsidP="00F64184">
      <w:pPr>
        <w:spacing w:line="276" w:lineRule="auto"/>
        <w:jc w:val="both"/>
        <w:textAlignment w:val="baseline"/>
        <w:rPr>
          <w:rStyle w:val="Zadanifontodlomka1"/>
          <w:rFonts w:ascii="Calibri" w:eastAsia="Calibri" w:hAnsi="Calibri" w:cs="Calibri"/>
          <w:sz w:val="22"/>
          <w:szCs w:val="22"/>
          <w:lang w:val="hr-HR"/>
        </w:rPr>
      </w:pPr>
      <w:r>
        <w:rPr>
          <w:rStyle w:val="Zadanifontodlomka1"/>
          <w:rFonts w:ascii="Calibri" w:eastAsia="SimSun" w:hAnsi="Calibri" w:cs="Calibri"/>
          <w:sz w:val="22"/>
          <w:szCs w:val="22"/>
          <w:lang w:val="hr-HR"/>
        </w:rPr>
        <w:t>Tradicionalni izvori ne mogu uvijek adekvatno odgovoriti na financijske potrebe brzorastućih, ali visokorizičnih kompanija. Upravo iz navedenog razloga, u okviru NPOO-a, predviđena su sredstva</w:t>
      </w:r>
      <w:r>
        <w:rPr>
          <w:rStyle w:val="Zadanifontodlomka1"/>
          <w:rFonts w:ascii="Calibri" w:eastAsia="Calibri" w:hAnsi="Calibri" w:cs="Calibri"/>
          <w:sz w:val="22"/>
          <w:szCs w:val="22"/>
          <w:lang w:val="hr-HR"/>
        </w:rPr>
        <w:t xml:space="preserve"> za dodatno jačanje malih i srednjih poduzetnika kroz ulaganja vlasničkog i kvazi-vlasničkog kapitala, a s ciljem razvoj</w:t>
      </w:r>
      <w:r w:rsidR="008E329D">
        <w:rPr>
          <w:rStyle w:val="Zadanifontodlomka1"/>
          <w:rFonts w:ascii="Calibri" w:eastAsia="Calibri" w:hAnsi="Calibri" w:cs="Calibri"/>
          <w:sz w:val="22"/>
          <w:szCs w:val="22"/>
          <w:lang w:val="hr-HR"/>
        </w:rPr>
        <w:t>a</w:t>
      </w:r>
      <w:r>
        <w:rPr>
          <w:rStyle w:val="Zadanifontodlomka1"/>
          <w:rFonts w:ascii="Calibri" w:eastAsia="Calibri" w:hAnsi="Calibri" w:cs="Calibri"/>
          <w:sz w:val="22"/>
          <w:szCs w:val="22"/>
          <w:lang w:val="hr-HR"/>
        </w:rPr>
        <w:t xml:space="preserve"> poslovnih ideja u </w:t>
      </w:r>
      <w:r w:rsidR="007C2E06" w:rsidRPr="007C2E06">
        <w:rPr>
          <w:rStyle w:val="Zadanifontodlomka1"/>
          <w:rFonts w:ascii="Calibri" w:eastAsia="Calibri" w:hAnsi="Calibri" w:cs="Calibri"/>
          <w:sz w:val="22"/>
          <w:szCs w:val="22"/>
          <w:lang w:val="hr-HR"/>
        </w:rPr>
        <w:t>Republi</w:t>
      </w:r>
      <w:r w:rsidR="007C2E06">
        <w:rPr>
          <w:rStyle w:val="Zadanifontodlomka1"/>
          <w:rFonts w:ascii="Calibri" w:eastAsia="Calibri" w:hAnsi="Calibri" w:cs="Calibri"/>
          <w:sz w:val="22"/>
          <w:szCs w:val="22"/>
          <w:lang w:val="hr-HR"/>
        </w:rPr>
        <w:t>ci</w:t>
      </w:r>
      <w:r w:rsidR="007C2E06" w:rsidRPr="007C2E06">
        <w:rPr>
          <w:rStyle w:val="Zadanifontodlomka1"/>
          <w:rFonts w:ascii="Calibri" w:eastAsia="Calibri" w:hAnsi="Calibri" w:cs="Calibri"/>
          <w:sz w:val="22"/>
          <w:szCs w:val="22"/>
          <w:lang w:val="hr-HR"/>
        </w:rPr>
        <w:t xml:space="preserve"> Hrvatsk</w:t>
      </w:r>
      <w:r w:rsidR="007C2E06">
        <w:rPr>
          <w:rStyle w:val="Zadanifontodlomka1"/>
          <w:rFonts w:ascii="Calibri" w:eastAsia="Calibri" w:hAnsi="Calibri" w:cs="Calibri"/>
          <w:sz w:val="22"/>
          <w:szCs w:val="22"/>
          <w:lang w:val="hr-HR"/>
        </w:rPr>
        <w:t>oj</w:t>
      </w:r>
      <w:r>
        <w:rPr>
          <w:rStyle w:val="Zadanifontodlomka1"/>
          <w:rFonts w:ascii="Calibri" w:eastAsia="Calibri" w:hAnsi="Calibri" w:cs="Calibri"/>
          <w:sz w:val="22"/>
          <w:szCs w:val="22"/>
          <w:lang w:val="hr-HR"/>
        </w:rPr>
        <w:t>. Izuzev potpisivanja Sporazuma s resornim ministarstvima kojima je HBOR-u povjerena provedba financijskog instrumenta, HBOR je tijekom 2022. godine započeo suradnju s Europskim investicijskim fondom s ciljem razvoja novog instrumenta čija provedba je</w:t>
      </w:r>
      <w:r w:rsidRPr="00F64184">
        <w:rPr>
          <w:rStyle w:val="Zadanifontodlomka1"/>
          <w:rFonts w:ascii="Calibri" w:eastAsia="Calibri" w:hAnsi="Calibri" w:cs="Calibri"/>
          <w:sz w:val="22"/>
          <w:szCs w:val="22"/>
          <w:lang w:val="hr-HR"/>
        </w:rPr>
        <w:t xml:space="preserve"> planirana tijekom 2024. godine.</w:t>
      </w:r>
    </w:p>
    <w:p w14:paraId="3962094B" w14:textId="77777777" w:rsidR="0024604E" w:rsidRPr="00F64184" w:rsidRDefault="0024604E" w:rsidP="0024604E">
      <w:pPr>
        <w:spacing w:line="276" w:lineRule="auto"/>
        <w:jc w:val="both"/>
        <w:textAlignment w:val="baseline"/>
        <w:rPr>
          <w:rStyle w:val="Zadanifontodlomka1"/>
          <w:rFonts w:ascii="Calibri" w:eastAsia="Calibri" w:hAnsi="Calibri" w:cs="Calibri"/>
          <w:sz w:val="22"/>
          <w:szCs w:val="22"/>
          <w:lang w:val="hr-HR"/>
        </w:rPr>
      </w:pPr>
    </w:p>
    <w:p w14:paraId="7AE9501A" w14:textId="03CB5DCC" w:rsidR="0024604E" w:rsidRPr="00F64184" w:rsidRDefault="00054989" w:rsidP="00F64184">
      <w:pPr>
        <w:spacing w:after="120" w:line="276" w:lineRule="auto"/>
        <w:jc w:val="both"/>
        <w:rPr>
          <w:rFonts w:ascii="Calibri" w:eastAsia="SimSun" w:hAnsi="Calibri" w:cs="Calibri"/>
          <w:b/>
          <w:bCs/>
          <w:sz w:val="22"/>
          <w:szCs w:val="22"/>
          <w:lang w:val="hr-HR"/>
        </w:rPr>
      </w:pPr>
      <w:r w:rsidRPr="00F64184">
        <w:rPr>
          <w:rFonts w:ascii="Calibri" w:eastAsia="SimSun" w:hAnsi="Calibri" w:cs="Calibri"/>
          <w:b/>
          <w:bCs/>
          <w:sz w:val="22"/>
          <w:szCs w:val="22"/>
          <w:lang w:val="hr-HR"/>
        </w:rPr>
        <w:t xml:space="preserve">Načelo nenanošenja bitne štete - „Do </w:t>
      </w:r>
      <w:r w:rsidR="00720022">
        <w:rPr>
          <w:rFonts w:ascii="Calibri" w:eastAsia="SimSun" w:hAnsi="Calibri" w:cs="Calibri"/>
          <w:b/>
          <w:bCs/>
          <w:sz w:val="22"/>
          <w:szCs w:val="22"/>
          <w:lang w:val="hr-HR"/>
        </w:rPr>
        <w:t>N</w:t>
      </w:r>
      <w:r w:rsidR="00720022" w:rsidRPr="00F64184">
        <w:rPr>
          <w:rFonts w:ascii="Calibri" w:eastAsia="SimSun" w:hAnsi="Calibri" w:cs="Calibri"/>
          <w:b/>
          <w:bCs/>
          <w:sz w:val="22"/>
          <w:szCs w:val="22"/>
          <w:lang w:val="hr-HR"/>
        </w:rPr>
        <w:t xml:space="preserve">o </w:t>
      </w:r>
      <w:r w:rsidR="00720022">
        <w:rPr>
          <w:rFonts w:ascii="Calibri" w:eastAsia="SimSun" w:hAnsi="Calibri" w:cs="Calibri"/>
          <w:b/>
          <w:bCs/>
          <w:sz w:val="22"/>
          <w:szCs w:val="22"/>
          <w:lang w:val="hr-HR"/>
        </w:rPr>
        <w:t>S</w:t>
      </w:r>
      <w:r w:rsidR="00720022" w:rsidRPr="00F64184">
        <w:rPr>
          <w:rFonts w:ascii="Calibri" w:eastAsia="SimSun" w:hAnsi="Calibri" w:cs="Calibri"/>
          <w:b/>
          <w:bCs/>
          <w:sz w:val="22"/>
          <w:szCs w:val="22"/>
          <w:lang w:val="hr-HR"/>
        </w:rPr>
        <w:t xml:space="preserve">ignificant </w:t>
      </w:r>
      <w:r w:rsidR="00720022">
        <w:rPr>
          <w:rFonts w:ascii="Calibri" w:eastAsia="SimSun" w:hAnsi="Calibri" w:cs="Calibri"/>
          <w:b/>
          <w:bCs/>
          <w:sz w:val="22"/>
          <w:szCs w:val="22"/>
          <w:lang w:val="hr-HR"/>
        </w:rPr>
        <w:t>H</w:t>
      </w:r>
      <w:r w:rsidR="00720022" w:rsidRPr="00F64184">
        <w:rPr>
          <w:rFonts w:ascii="Calibri" w:eastAsia="SimSun" w:hAnsi="Calibri" w:cs="Calibri"/>
          <w:b/>
          <w:bCs/>
          <w:sz w:val="22"/>
          <w:szCs w:val="22"/>
          <w:lang w:val="hr-HR"/>
        </w:rPr>
        <w:t>arm</w:t>
      </w:r>
      <w:r w:rsidRPr="00F64184">
        <w:rPr>
          <w:rFonts w:ascii="Calibri" w:eastAsia="SimSun" w:hAnsi="Calibri" w:cs="Calibri"/>
          <w:b/>
          <w:bCs/>
          <w:sz w:val="22"/>
          <w:szCs w:val="22"/>
          <w:lang w:val="hr-HR"/>
        </w:rPr>
        <w:t xml:space="preserve">“ DNSH načelo </w:t>
      </w:r>
    </w:p>
    <w:p w14:paraId="1748D79B" w14:textId="2C40B36F" w:rsidR="008E4AC3" w:rsidRDefault="00054989">
      <w:pPr>
        <w:spacing w:after="160" w:line="276" w:lineRule="auto"/>
        <w:jc w:val="both"/>
        <w:rPr>
          <w:rStyle w:val="Zadanifontodlomka1"/>
          <w:rFonts w:ascii="Calibri" w:hAnsi="Calibri" w:cs="Calibri"/>
          <w:sz w:val="22"/>
          <w:szCs w:val="22"/>
          <w:lang w:val="hr-HR" w:eastAsia="hr-HR"/>
        </w:rPr>
      </w:pPr>
      <w:r w:rsidRPr="00F64184">
        <w:rPr>
          <w:rStyle w:val="Zadanifontodlomka1"/>
          <w:rFonts w:ascii="Calibri" w:eastAsia="Calibri" w:hAnsi="Calibri" w:cs="Calibri"/>
          <w:sz w:val="22"/>
          <w:szCs w:val="22"/>
          <w:lang w:val="hr-HR"/>
        </w:rPr>
        <w:t>Važno je napomenuti kako je provedba svih prethodno opisanih NPOO financijskih instrumenata usklađena s načelom nenanošenja bitne štete, tzv. DNSH načelom (</w:t>
      </w:r>
      <w:r w:rsidRPr="00327C22">
        <w:rPr>
          <w:rStyle w:val="Zadanifontodlomka1"/>
          <w:rFonts w:ascii="Calibri" w:eastAsia="Calibri" w:hAnsi="Calibri" w:cs="Calibri"/>
          <w:i/>
          <w:iCs/>
          <w:sz w:val="22"/>
          <w:szCs w:val="22"/>
          <w:lang w:val="hr-HR"/>
        </w:rPr>
        <w:t xml:space="preserve">engl. „Do </w:t>
      </w:r>
      <w:r w:rsidR="006F43E3" w:rsidRPr="00327C22">
        <w:rPr>
          <w:rStyle w:val="Zadanifontodlomka1"/>
          <w:rFonts w:ascii="Calibri" w:eastAsia="Calibri" w:hAnsi="Calibri" w:cs="Calibri"/>
          <w:i/>
          <w:iCs/>
          <w:sz w:val="22"/>
          <w:szCs w:val="22"/>
          <w:lang w:val="hr-HR"/>
        </w:rPr>
        <w:t>No Significant Harm</w:t>
      </w:r>
      <w:r w:rsidRPr="00327C22">
        <w:rPr>
          <w:rStyle w:val="Zadanifontodlomka1"/>
          <w:rFonts w:ascii="Calibri" w:eastAsia="Calibri" w:hAnsi="Calibri" w:cs="Calibri"/>
          <w:i/>
          <w:iCs/>
          <w:sz w:val="22"/>
          <w:szCs w:val="22"/>
          <w:lang w:val="hr-HR"/>
        </w:rPr>
        <w:t>“</w:t>
      </w:r>
      <w:r w:rsidRPr="00F64184">
        <w:rPr>
          <w:rStyle w:val="Zadanifontodlomka1"/>
          <w:rFonts w:ascii="Calibri" w:eastAsia="Calibri" w:hAnsi="Calibri" w:cs="Calibri"/>
          <w:sz w:val="22"/>
          <w:szCs w:val="22"/>
          <w:lang w:val="hr-HR"/>
        </w:rPr>
        <w:t>). Navedeno načelo odnosi se na zahtjev da nijedna investicija koja se financira ne smije imati značajnije negativne utjecaje na klimu, okoliš, prirodni ekosustav, vodu i ostale ciljeve definirane EU Taksonomijom čime HBOR izravno</w:t>
      </w:r>
      <w:r>
        <w:rPr>
          <w:rStyle w:val="Zadanifontodlomka1"/>
          <w:rFonts w:ascii="Calibri" w:eastAsia="SimSun" w:hAnsi="Calibri" w:cs="Calibri"/>
          <w:sz w:val="22"/>
          <w:szCs w:val="22"/>
          <w:lang w:val="hr-HR"/>
        </w:rPr>
        <w:t xml:space="preserve"> doprinosi razvoju klimatski i okolišno održivijeg gospodarstva Republike Hrvatske. Na ovaj način potiče se </w:t>
      </w:r>
      <w:r w:rsidR="00EE5B34">
        <w:rPr>
          <w:rStyle w:val="Zadanifontodlomka1"/>
          <w:rFonts w:ascii="Calibri" w:eastAsia="SimSun" w:hAnsi="Calibri" w:cs="Calibri"/>
          <w:sz w:val="22"/>
          <w:szCs w:val="22"/>
          <w:lang w:val="hr-HR"/>
        </w:rPr>
        <w:t xml:space="preserve">veća otpornost </w:t>
      </w:r>
      <w:r>
        <w:rPr>
          <w:rStyle w:val="Zadanifontodlomka1"/>
          <w:rFonts w:ascii="Calibri" w:eastAsia="SimSun" w:hAnsi="Calibri" w:cs="Calibri"/>
          <w:sz w:val="22"/>
          <w:szCs w:val="22"/>
          <w:lang w:val="hr-HR"/>
        </w:rPr>
        <w:t>h</w:t>
      </w:r>
      <w:r>
        <w:rPr>
          <w:rStyle w:val="Zadanifontodlomka1"/>
          <w:rFonts w:ascii="Calibri" w:hAnsi="Calibri" w:cs="Calibri"/>
          <w:sz w:val="22"/>
          <w:szCs w:val="22"/>
          <w:lang w:val="hr-HR" w:eastAsia="hr-HR"/>
        </w:rPr>
        <w:t>rvatsko</w:t>
      </w:r>
      <w:r w:rsidR="00EE5B34">
        <w:rPr>
          <w:rStyle w:val="Zadanifontodlomka1"/>
          <w:rFonts w:ascii="Calibri" w:hAnsi="Calibri" w:cs="Calibri"/>
          <w:sz w:val="22"/>
          <w:szCs w:val="22"/>
          <w:lang w:val="hr-HR" w:eastAsia="hr-HR"/>
        </w:rPr>
        <w:t>g</w:t>
      </w:r>
      <w:r>
        <w:rPr>
          <w:rStyle w:val="Zadanifontodlomka1"/>
          <w:rFonts w:ascii="Calibri" w:hAnsi="Calibri" w:cs="Calibri"/>
          <w:sz w:val="22"/>
          <w:szCs w:val="22"/>
          <w:lang w:val="hr-HR" w:eastAsia="hr-HR"/>
        </w:rPr>
        <w:t xml:space="preserve"> </w:t>
      </w:r>
      <w:r w:rsidR="00EE5B34">
        <w:rPr>
          <w:rStyle w:val="Zadanifontodlomka1"/>
          <w:rFonts w:ascii="Calibri" w:hAnsi="Calibri" w:cs="Calibri"/>
          <w:sz w:val="22"/>
          <w:szCs w:val="22"/>
          <w:lang w:val="hr-HR" w:eastAsia="hr-HR"/>
        </w:rPr>
        <w:t xml:space="preserve">gospodarstva </w:t>
      </w:r>
      <w:r>
        <w:rPr>
          <w:rStyle w:val="Zadanifontodlomka1"/>
          <w:rFonts w:ascii="Calibri" w:hAnsi="Calibri" w:cs="Calibri"/>
          <w:sz w:val="22"/>
          <w:szCs w:val="22"/>
          <w:lang w:val="hr-HR" w:eastAsia="hr-HR"/>
        </w:rPr>
        <w:t xml:space="preserve">i </w:t>
      </w:r>
      <w:r w:rsidR="00EE5B34">
        <w:rPr>
          <w:rStyle w:val="Zadanifontodlomka1"/>
          <w:rFonts w:ascii="Calibri" w:hAnsi="Calibri" w:cs="Calibri"/>
          <w:sz w:val="22"/>
          <w:szCs w:val="22"/>
          <w:lang w:val="hr-HR" w:eastAsia="hr-HR"/>
        </w:rPr>
        <w:t xml:space="preserve">društva </w:t>
      </w:r>
      <w:r>
        <w:rPr>
          <w:rStyle w:val="Zadanifontodlomka1"/>
          <w:rFonts w:ascii="Calibri" w:hAnsi="Calibri" w:cs="Calibri"/>
          <w:sz w:val="22"/>
          <w:szCs w:val="22"/>
          <w:lang w:val="hr-HR" w:eastAsia="hr-HR"/>
        </w:rPr>
        <w:t>na buduće tržišne poremećaje</w:t>
      </w:r>
      <w:r w:rsidR="007E3D72">
        <w:rPr>
          <w:rStyle w:val="Zadanifontodlomka1"/>
          <w:rFonts w:ascii="Calibri" w:hAnsi="Calibri" w:cs="Calibri"/>
          <w:sz w:val="22"/>
          <w:szCs w:val="22"/>
          <w:lang w:val="hr-HR" w:eastAsia="hr-HR"/>
        </w:rPr>
        <w:t>,</w:t>
      </w:r>
      <w:r>
        <w:rPr>
          <w:rStyle w:val="Zadanifontodlomka1"/>
          <w:rFonts w:ascii="Calibri" w:hAnsi="Calibri" w:cs="Calibri"/>
          <w:sz w:val="22"/>
          <w:szCs w:val="22"/>
          <w:lang w:val="hr-HR" w:eastAsia="hr-HR"/>
        </w:rPr>
        <w:t xml:space="preserve"> ali i </w:t>
      </w:r>
      <w:r w:rsidR="007E3D72">
        <w:rPr>
          <w:rStyle w:val="Zadanifontodlomka1"/>
          <w:rFonts w:ascii="Calibri" w:hAnsi="Calibri" w:cs="Calibri"/>
          <w:sz w:val="22"/>
          <w:szCs w:val="22"/>
          <w:lang w:val="hr-HR" w:eastAsia="hr-HR"/>
        </w:rPr>
        <w:t xml:space="preserve">tranziciju na </w:t>
      </w:r>
      <w:r w:rsidR="008142F4">
        <w:rPr>
          <w:rStyle w:val="Zadanifontodlomka1"/>
          <w:rFonts w:ascii="Calibri" w:hAnsi="Calibri" w:cs="Calibri"/>
          <w:sz w:val="22"/>
          <w:szCs w:val="22"/>
          <w:lang w:val="hr-HR" w:eastAsia="hr-HR"/>
        </w:rPr>
        <w:t xml:space="preserve">klimatsku </w:t>
      </w:r>
      <w:r>
        <w:rPr>
          <w:rStyle w:val="Zadanifontodlomka1"/>
          <w:rFonts w:ascii="Calibri" w:hAnsi="Calibri" w:cs="Calibri"/>
          <w:sz w:val="22"/>
          <w:szCs w:val="22"/>
          <w:lang w:val="hr-HR" w:eastAsia="hr-HR"/>
        </w:rPr>
        <w:t xml:space="preserve">i </w:t>
      </w:r>
      <w:r w:rsidR="008142F4">
        <w:rPr>
          <w:rStyle w:val="Zadanifontodlomka1"/>
          <w:rFonts w:ascii="Calibri" w:hAnsi="Calibri" w:cs="Calibri"/>
          <w:sz w:val="22"/>
          <w:szCs w:val="22"/>
          <w:lang w:val="hr-HR" w:eastAsia="hr-HR"/>
        </w:rPr>
        <w:t xml:space="preserve">okolišnu </w:t>
      </w:r>
      <w:r>
        <w:rPr>
          <w:rStyle w:val="Zadanifontodlomka1"/>
          <w:rFonts w:ascii="Calibri" w:hAnsi="Calibri" w:cs="Calibri"/>
          <w:sz w:val="22"/>
          <w:szCs w:val="22"/>
          <w:lang w:val="hr-HR" w:eastAsia="hr-HR"/>
        </w:rPr>
        <w:t>održiv</w:t>
      </w:r>
      <w:r w:rsidR="008142F4">
        <w:rPr>
          <w:rStyle w:val="Zadanifontodlomka1"/>
          <w:rFonts w:ascii="Calibri" w:hAnsi="Calibri" w:cs="Calibri"/>
          <w:sz w:val="22"/>
          <w:szCs w:val="22"/>
          <w:lang w:val="hr-HR" w:eastAsia="hr-HR"/>
        </w:rPr>
        <w:t>ost</w:t>
      </w:r>
      <w:r>
        <w:rPr>
          <w:rStyle w:val="Zadanifontodlomka1"/>
          <w:rFonts w:ascii="Calibri" w:hAnsi="Calibri" w:cs="Calibri"/>
          <w:sz w:val="22"/>
          <w:szCs w:val="22"/>
          <w:lang w:val="hr-HR" w:eastAsia="hr-HR"/>
        </w:rPr>
        <w:t>.</w:t>
      </w:r>
    </w:p>
    <w:p w14:paraId="33A7BA25" w14:textId="77777777" w:rsidR="008E4AC3" w:rsidRDefault="008E4AC3">
      <w:pPr>
        <w:suppressAutoHyphens w:val="0"/>
        <w:rPr>
          <w:rStyle w:val="Zadanifontodlomka1"/>
          <w:rFonts w:ascii="Calibri" w:hAnsi="Calibri" w:cs="Calibri"/>
          <w:sz w:val="22"/>
          <w:szCs w:val="22"/>
          <w:lang w:val="hr-HR" w:eastAsia="hr-HR"/>
        </w:rPr>
      </w:pPr>
      <w:r>
        <w:rPr>
          <w:rStyle w:val="Zadanifontodlomka1"/>
          <w:rFonts w:ascii="Calibri" w:hAnsi="Calibri" w:cs="Calibri"/>
          <w:sz w:val="22"/>
          <w:szCs w:val="22"/>
          <w:lang w:val="hr-HR" w:eastAsia="hr-HR"/>
        </w:rPr>
        <w:br w:type="page"/>
      </w:r>
    </w:p>
    <w:p w14:paraId="64316922" w14:textId="77777777" w:rsidR="008E4AC3" w:rsidRDefault="008E4AC3" w:rsidP="008E4AC3">
      <w:pPr>
        <w:keepNext/>
        <w:keepLines/>
        <w:pBdr>
          <w:bottom w:val="single" w:sz="4" w:space="2" w:color="B2B2B2"/>
        </w:pBdr>
        <w:spacing w:before="360" w:after="120"/>
        <w:outlineLvl w:val="0"/>
        <w:rPr>
          <w:rFonts w:ascii="Calibri" w:eastAsia="SimHei" w:hAnsi="Calibri" w:cs="Calibri"/>
          <w:b/>
          <w:bCs/>
          <w:sz w:val="22"/>
          <w:szCs w:val="22"/>
          <w:lang w:val="hr-HR"/>
        </w:rPr>
      </w:pPr>
      <w:bookmarkStart w:id="32" w:name="_Toc129083706"/>
      <w:r>
        <w:rPr>
          <w:rFonts w:ascii="Calibri" w:eastAsia="SimHei" w:hAnsi="Calibri" w:cs="Calibri"/>
          <w:b/>
          <w:bCs/>
          <w:sz w:val="22"/>
          <w:szCs w:val="22"/>
          <w:lang w:val="hr-HR"/>
        </w:rPr>
        <w:lastRenderedPageBreak/>
        <w:t>PROVEDBA MJERA COVID-19</w:t>
      </w:r>
      <w:bookmarkEnd w:id="32"/>
    </w:p>
    <w:p w14:paraId="569B3C6E" w14:textId="77777777" w:rsidR="008E4AC3" w:rsidRDefault="008E4AC3" w:rsidP="008E4AC3">
      <w:pPr>
        <w:spacing w:before="120" w:after="120" w:line="276" w:lineRule="auto"/>
        <w:jc w:val="both"/>
        <w:rPr>
          <w:rFonts w:ascii="Calibri" w:eastAsia="SimSun" w:hAnsi="Calibri" w:cs="Calibri"/>
          <w:b/>
          <w:bCs/>
          <w:sz w:val="22"/>
          <w:szCs w:val="22"/>
          <w:lang w:val="hr-HR"/>
        </w:rPr>
      </w:pPr>
      <w:r>
        <w:rPr>
          <w:rFonts w:ascii="Calibri" w:eastAsia="SimSun" w:hAnsi="Calibri" w:cs="Calibri"/>
          <w:b/>
          <w:bCs/>
          <w:sz w:val="22"/>
          <w:szCs w:val="22"/>
          <w:lang w:val="hr-HR"/>
        </w:rPr>
        <w:t>OBRTNA SREDSTVA MJERA COVID – 19</w:t>
      </w:r>
    </w:p>
    <w:p w14:paraId="1C6A2433" w14:textId="43726680" w:rsidR="008E4AC3" w:rsidRDefault="008E4AC3" w:rsidP="008E4AC3">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Mjera je obuhvaćala kreditiranje po modelu podjele rizika s poslovnim bankama ili izravno kreditiranje za iznose kredita</w:t>
      </w:r>
      <w:r w:rsidR="00EA5526">
        <w:rPr>
          <w:rFonts w:ascii="Calibri" w:eastAsia="SimSun" w:hAnsi="Calibri" w:cs="Calibri"/>
          <w:sz w:val="22"/>
          <w:szCs w:val="22"/>
          <w:lang w:val="hr-HR"/>
        </w:rPr>
        <w:t xml:space="preserve"> </w:t>
      </w:r>
      <w:r w:rsidR="00EA5526" w:rsidRPr="00203B9B">
        <w:rPr>
          <w:rFonts w:ascii="Calibri" w:eastAsia="SimSun" w:hAnsi="Calibri" w:cs="Calibri"/>
          <w:sz w:val="22"/>
          <w:szCs w:val="22"/>
          <w:lang w:val="hr-HR"/>
        </w:rPr>
        <w:t>iznad 1,5 milijuna kuna izvoznicima ili turističkom sektoru, odnosno iznad 37 milijuna kuna ostalim subjektima</w:t>
      </w:r>
      <w:r>
        <w:rPr>
          <w:rFonts w:ascii="Calibri" w:eastAsia="SimSun" w:hAnsi="Calibri" w:cs="Calibri"/>
          <w:sz w:val="22"/>
          <w:szCs w:val="22"/>
          <w:lang w:val="hr-HR"/>
        </w:rPr>
        <w:t>. Krediti su se odobravali s rokom otplate do 5 godina, uključujući i mogućnost počeka u trajanju do 1 godine uz kamatnu stopu već od 0 posto na HBOR-ov udio u kreditu za prve tri godine otplate kredita. Program se tijekom 2022. provodio putem 15 banaka, a izravno za iznose kredita više od 1,5 milijuna kuna za poduzetnike iz turističkih djelatnosti te one koji ostvaruju najmanje 10 posto prihoda od izvoza ili posrednog izvoza, odnosno za iznose kredita više od 37 milijuna kuna za ostale poduzetnike. Mjera se provodila do 30. lipnja 2022. godine.</w:t>
      </w:r>
    </w:p>
    <w:p w14:paraId="2EFB8302" w14:textId="77777777" w:rsidR="008E4AC3" w:rsidRDefault="008E4AC3" w:rsidP="008E4AC3">
      <w:pPr>
        <w:spacing w:after="160" w:line="276" w:lineRule="auto"/>
        <w:contextualSpacing/>
        <w:jc w:val="both"/>
        <w:rPr>
          <w:rFonts w:ascii="Calibri" w:eastAsia="SimSun" w:hAnsi="Calibri" w:cs="Calibri"/>
          <w:sz w:val="22"/>
          <w:szCs w:val="22"/>
          <w:lang w:val="hr-HR"/>
        </w:rPr>
      </w:pPr>
    </w:p>
    <w:p w14:paraId="01DDAC56" w14:textId="77777777" w:rsidR="008E4AC3" w:rsidRDefault="008E4AC3" w:rsidP="008E4AC3">
      <w:pPr>
        <w:spacing w:before="120" w:after="120" w:line="276" w:lineRule="auto"/>
        <w:jc w:val="both"/>
        <w:rPr>
          <w:rFonts w:ascii="Calibri" w:eastAsia="SimSun" w:hAnsi="Calibri" w:cs="Calibri"/>
          <w:b/>
          <w:bCs/>
          <w:sz w:val="22"/>
          <w:szCs w:val="22"/>
          <w:lang w:val="hr-HR"/>
        </w:rPr>
      </w:pPr>
      <w:r>
        <w:rPr>
          <w:rFonts w:ascii="Calibri" w:eastAsia="SimSun" w:hAnsi="Calibri" w:cs="Calibri"/>
          <w:b/>
          <w:bCs/>
          <w:sz w:val="22"/>
          <w:szCs w:val="22"/>
          <w:lang w:val="hr-HR"/>
        </w:rPr>
        <w:t>OBRTNA SREDSTVA ZA RURALNI RAZVOJ</w:t>
      </w:r>
    </w:p>
    <w:p w14:paraId="30291318" w14:textId="64A52F67" w:rsidR="008E4AC3" w:rsidRDefault="008E4AC3" w:rsidP="00872A90">
      <w:pPr>
        <w:spacing w:before="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Kredite iz ovog programa HBOR odobrava izravno prihvatljivim korisnicima koji su poljoprivrednici i prerađivači poljoprivrednih proizvoda </w:t>
      </w:r>
      <w:r w:rsidR="005409A8">
        <w:rPr>
          <w:rFonts w:ascii="Calibri" w:eastAsia="SimSun" w:hAnsi="Calibri" w:cs="Calibri"/>
          <w:sz w:val="22"/>
          <w:szCs w:val="22"/>
          <w:lang w:val="hr-HR"/>
        </w:rPr>
        <w:t xml:space="preserve">ili </w:t>
      </w:r>
      <w:r>
        <w:rPr>
          <w:rFonts w:ascii="Calibri" w:eastAsia="SimSun" w:hAnsi="Calibri" w:cs="Calibri"/>
          <w:sz w:val="22"/>
          <w:szCs w:val="22"/>
          <w:lang w:val="hr-HR"/>
        </w:rPr>
        <w:t xml:space="preserve">subjekti koji djeluju u sektoru šumarstva. Sredstva se odobravaju bez uobičajenih bankarskih naknada po kamatnoj stopi 0,5 posto samo uz mjenice i zadužnice kao instrument osiguranja i rok otplate do 5 godina. Program je uveden prenamjenom dijela sredstava Financijskog instrumenta Investicijski krediti za ruralni razvoj, a u cijelosti se financira iz sredstava Programskog doprinosa Programa ruralnog razvoja </w:t>
      </w:r>
      <w:r w:rsidR="007C2E06" w:rsidRPr="007C2E06">
        <w:rPr>
          <w:rFonts w:ascii="Calibri" w:eastAsia="SimSun" w:hAnsi="Calibri" w:cs="Calibri"/>
          <w:sz w:val="22"/>
          <w:szCs w:val="22"/>
          <w:lang w:val="hr-HR"/>
        </w:rPr>
        <w:t xml:space="preserve">Republike Hrvatske </w:t>
      </w:r>
      <w:r>
        <w:rPr>
          <w:rFonts w:ascii="Calibri" w:eastAsia="SimSun" w:hAnsi="Calibri" w:cs="Calibri"/>
          <w:sz w:val="22"/>
          <w:szCs w:val="22"/>
          <w:lang w:val="hr-HR"/>
        </w:rPr>
        <w:t xml:space="preserve">za razdoblje 2014.-2020. Krediti su dostupni korisnicima do kraja razdoblja prihvatljivosti, odnosno dok postoji potreba zbog </w:t>
      </w:r>
      <w:r w:rsidR="00423C33">
        <w:rPr>
          <w:rFonts w:ascii="Calibri" w:eastAsia="SimSun" w:hAnsi="Calibri" w:cs="Calibri"/>
          <w:sz w:val="22"/>
          <w:szCs w:val="22"/>
          <w:lang w:val="hr-HR"/>
        </w:rPr>
        <w:t xml:space="preserve">negativnih posljedica </w:t>
      </w:r>
      <w:r>
        <w:rPr>
          <w:rFonts w:ascii="Calibri" w:eastAsia="SimSun" w:hAnsi="Calibri" w:cs="Calibri"/>
          <w:sz w:val="22"/>
          <w:szCs w:val="22"/>
          <w:lang w:val="hr-HR"/>
        </w:rPr>
        <w:t>pandemije COVID-19, a najkasnije do 31. prosinca 2023.</w:t>
      </w:r>
    </w:p>
    <w:p w14:paraId="70774693" w14:textId="77777777" w:rsidR="00872A90" w:rsidRDefault="00872A90" w:rsidP="006C7C20">
      <w:pPr>
        <w:spacing w:after="120" w:line="276" w:lineRule="auto"/>
        <w:jc w:val="both"/>
        <w:rPr>
          <w:rFonts w:ascii="Calibri" w:eastAsia="SimSun" w:hAnsi="Calibri" w:cs="Calibri"/>
          <w:b/>
          <w:bCs/>
          <w:sz w:val="22"/>
          <w:szCs w:val="22"/>
          <w:lang w:val="hr-HR"/>
        </w:rPr>
      </w:pPr>
    </w:p>
    <w:p w14:paraId="2F8E3FCD" w14:textId="683265C6" w:rsidR="008E4AC3" w:rsidRDefault="008E4AC3" w:rsidP="008E4AC3">
      <w:pPr>
        <w:spacing w:before="120" w:after="120" w:line="276" w:lineRule="auto"/>
        <w:jc w:val="both"/>
        <w:rPr>
          <w:rFonts w:ascii="Calibri" w:eastAsia="SimSun" w:hAnsi="Calibri" w:cs="Calibri"/>
          <w:b/>
          <w:bCs/>
          <w:sz w:val="22"/>
          <w:szCs w:val="22"/>
          <w:lang w:val="hr-HR"/>
        </w:rPr>
      </w:pPr>
      <w:r>
        <w:rPr>
          <w:rFonts w:ascii="Calibri" w:eastAsia="SimSun" w:hAnsi="Calibri" w:cs="Calibri"/>
          <w:b/>
          <w:bCs/>
          <w:sz w:val="22"/>
          <w:szCs w:val="22"/>
          <w:lang w:val="hr-HR"/>
        </w:rPr>
        <w:t>Rezultati – odobreni krediti:</w:t>
      </w:r>
    </w:p>
    <w:p w14:paraId="7F326280" w14:textId="77777777" w:rsidR="008E4AC3" w:rsidRDefault="008E4AC3" w:rsidP="008E4AC3">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 2022. HBOR je u sklopu mjera COVID-19 izravno odobrio 152 kredita u ukupnom iznosu od gotovo 1,4 milijarde kuna.</w:t>
      </w:r>
    </w:p>
    <w:p w14:paraId="4AF9D032" w14:textId="2A932B46" w:rsidR="008E4AC3" w:rsidRDefault="008E4AC3" w:rsidP="00872A90">
      <w:pPr>
        <w:spacing w:before="120" w:line="276" w:lineRule="auto"/>
        <w:jc w:val="both"/>
        <w:rPr>
          <w:rFonts w:ascii="Calibri" w:hAnsi="Calibri" w:cs="Calibri"/>
          <w:b/>
          <w:bCs/>
          <w:sz w:val="22"/>
          <w:szCs w:val="22"/>
          <w:lang w:val="hr-HR" w:eastAsia="hr-HR"/>
        </w:rPr>
      </w:pPr>
      <w:r>
        <w:rPr>
          <w:rStyle w:val="Zadanifontodlomka1"/>
          <w:rFonts w:ascii="Calibri" w:eastAsia="SimSun" w:hAnsi="Calibri" w:cs="Calibri"/>
          <w:sz w:val="22"/>
          <w:szCs w:val="22"/>
          <w:lang w:val="hr-HR"/>
        </w:rPr>
        <w:t>Od početka provođenja Mjera COVID-19 do kraja 2022.</w:t>
      </w:r>
      <w:r w:rsidR="00C54E38">
        <w:rPr>
          <w:rStyle w:val="Zadanifontodlomka1"/>
          <w:rFonts w:ascii="Calibri" w:eastAsia="SimSun" w:hAnsi="Calibri" w:cs="Calibri"/>
          <w:sz w:val="22"/>
          <w:szCs w:val="22"/>
          <w:lang w:val="hr-HR"/>
        </w:rPr>
        <w:t>,</w:t>
      </w:r>
      <w:r>
        <w:rPr>
          <w:rStyle w:val="Zadanifontodlomka1"/>
          <w:rFonts w:ascii="Calibri" w:eastAsia="SimSun" w:hAnsi="Calibri" w:cs="Calibri"/>
          <w:sz w:val="22"/>
          <w:szCs w:val="22"/>
          <w:lang w:val="hr-HR"/>
        </w:rPr>
        <w:t xml:space="preserve"> po programima kreditiranja u okviru Mjera COVID – 19</w:t>
      </w:r>
      <w:r w:rsidR="009741C0">
        <w:rPr>
          <w:rStyle w:val="Zadanifontodlomka1"/>
          <w:rFonts w:ascii="Calibri" w:eastAsia="SimSun" w:hAnsi="Calibri" w:cs="Calibri"/>
          <w:sz w:val="22"/>
          <w:szCs w:val="22"/>
          <w:lang w:val="hr-HR"/>
        </w:rPr>
        <w:t>,</w:t>
      </w:r>
      <w:r>
        <w:rPr>
          <w:rStyle w:val="Zadanifontodlomka1"/>
          <w:rFonts w:ascii="Calibri" w:eastAsia="SimSun" w:hAnsi="Calibri" w:cs="Calibri"/>
          <w:sz w:val="22"/>
          <w:szCs w:val="22"/>
          <w:lang w:val="hr-HR"/>
        </w:rPr>
        <w:t xml:space="preserve"> HBOR je odobrio 656 kredita u iznosu većem </w:t>
      </w:r>
      <w:r>
        <w:rPr>
          <w:rStyle w:val="Zadanifontodlomka1"/>
          <w:rFonts w:ascii="Calibri" w:eastAsia="SimSun" w:hAnsi="Calibri" w:cs="Calibri"/>
          <w:color w:val="000000"/>
          <w:sz w:val="22"/>
          <w:szCs w:val="22"/>
          <w:lang w:val="hr-HR"/>
        </w:rPr>
        <w:t>od 3,5 milijardi kuna</w:t>
      </w:r>
      <w:r>
        <w:rPr>
          <w:rStyle w:val="Zadanifontodlomka1"/>
          <w:rFonts w:ascii="Calibri" w:eastAsia="SimSun" w:hAnsi="Calibri" w:cs="Calibri"/>
          <w:sz w:val="22"/>
          <w:szCs w:val="22"/>
          <w:lang w:val="hr-HR"/>
        </w:rPr>
        <w:t xml:space="preserve">. </w:t>
      </w:r>
    </w:p>
    <w:p w14:paraId="6CB4E634" w14:textId="77777777" w:rsidR="008E4AC3" w:rsidRDefault="008E4AC3" w:rsidP="006C7C20">
      <w:pPr>
        <w:spacing w:after="120" w:line="276" w:lineRule="auto"/>
        <w:jc w:val="both"/>
        <w:rPr>
          <w:rFonts w:ascii="Calibri" w:hAnsi="Calibri" w:cs="Calibri"/>
          <w:b/>
          <w:bCs/>
          <w:sz w:val="22"/>
          <w:szCs w:val="22"/>
          <w:lang w:val="hr-HR" w:eastAsia="hr-HR"/>
        </w:rPr>
      </w:pPr>
    </w:p>
    <w:p w14:paraId="72F04323" w14:textId="77777777" w:rsidR="008E4AC3" w:rsidRDefault="008E4AC3" w:rsidP="008E4AC3">
      <w:pPr>
        <w:jc w:val="both"/>
        <w:textAlignment w:val="baseline"/>
      </w:pPr>
      <w:r>
        <w:rPr>
          <w:rStyle w:val="Zadanifontodlomka1"/>
          <w:rFonts w:ascii="Calibri" w:hAnsi="Calibri" w:cs="Calibri"/>
          <w:b/>
          <w:bCs/>
          <w:sz w:val="22"/>
          <w:szCs w:val="22"/>
          <w:lang w:val="hr-HR" w:eastAsia="hr-HR"/>
        </w:rPr>
        <w:t>PROGRAMI PORTFELJNOG I POJEDINAČNOG OSIGURANJA KREDITA ZA LIKVIDNOST IZVOZNIKA – MJERE</w:t>
      </w:r>
      <w:r>
        <w:rPr>
          <w:rStyle w:val="Zadanifontodlomka1"/>
          <w:rFonts w:ascii="Calibri" w:hAnsi="Calibri" w:cs="Calibri"/>
          <w:sz w:val="22"/>
          <w:szCs w:val="22"/>
          <w:lang w:val="hr-HR" w:eastAsia="hr-HR"/>
        </w:rPr>
        <w:t xml:space="preserve"> </w:t>
      </w:r>
      <w:r>
        <w:rPr>
          <w:rStyle w:val="Zadanifontodlomka1"/>
          <w:rFonts w:ascii="Calibri" w:hAnsi="Calibri" w:cs="Calibri"/>
          <w:b/>
          <w:bCs/>
          <w:sz w:val="22"/>
          <w:szCs w:val="22"/>
          <w:lang w:val="hr-HR" w:eastAsia="hr-HR"/>
        </w:rPr>
        <w:t>COVID-19</w:t>
      </w:r>
    </w:p>
    <w:p w14:paraId="6111D3B1" w14:textId="77777777" w:rsidR="006C7C20" w:rsidRDefault="006C7C20" w:rsidP="008E4AC3">
      <w:pPr>
        <w:jc w:val="both"/>
        <w:textAlignment w:val="baseline"/>
        <w:rPr>
          <w:rFonts w:ascii="Calibri" w:hAnsi="Calibri" w:cs="Calibri"/>
          <w:sz w:val="22"/>
          <w:szCs w:val="22"/>
          <w:lang w:val="hr-HR" w:eastAsia="hr-HR"/>
        </w:rPr>
      </w:pPr>
    </w:p>
    <w:p w14:paraId="40A7C692" w14:textId="66EA4954" w:rsidR="008E4AC3" w:rsidRDefault="008E4AC3" w:rsidP="001F089E">
      <w:pPr>
        <w:spacing w:line="276" w:lineRule="auto"/>
        <w:jc w:val="both"/>
        <w:textAlignment w:val="baseline"/>
        <w:rPr>
          <w:rFonts w:ascii="Calibri" w:hAnsi="Calibri" w:cs="Calibri"/>
          <w:sz w:val="22"/>
          <w:szCs w:val="22"/>
          <w:lang w:val="hr-HR" w:eastAsia="hr-HR"/>
        </w:rPr>
      </w:pPr>
      <w:r>
        <w:rPr>
          <w:rFonts w:ascii="Calibri" w:hAnsi="Calibri" w:cs="Calibri"/>
          <w:sz w:val="22"/>
          <w:szCs w:val="22"/>
          <w:lang w:val="hr-HR" w:eastAsia="hr-HR"/>
        </w:rPr>
        <w:t>Predmetnim programima koji su se provodili do 30. lipnja 2022.</w:t>
      </w:r>
      <w:r w:rsidR="009741C0">
        <w:rPr>
          <w:rFonts w:ascii="Calibri" w:hAnsi="Calibri" w:cs="Calibri"/>
          <w:sz w:val="22"/>
          <w:szCs w:val="22"/>
          <w:lang w:val="hr-HR" w:eastAsia="hr-HR"/>
        </w:rPr>
        <w:t>,</w:t>
      </w:r>
      <w:r>
        <w:rPr>
          <w:rFonts w:ascii="Calibri" w:hAnsi="Calibri" w:cs="Calibri"/>
          <w:sz w:val="22"/>
          <w:szCs w:val="22"/>
          <w:lang w:val="hr-HR" w:eastAsia="hr-HR"/>
        </w:rPr>
        <w:t xml:space="preserve"> temeljem Privremenog okvira Europske komisije</w:t>
      </w:r>
      <w:r w:rsidR="009741C0">
        <w:rPr>
          <w:rFonts w:ascii="Calibri" w:hAnsi="Calibri" w:cs="Calibri"/>
          <w:sz w:val="22"/>
          <w:szCs w:val="22"/>
          <w:lang w:val="hr-HR" w:eastAsia="hr-HR"/>
        </w:rPr>
        <w:t>,</w:t>
      </w:r>
      <w:r>
        <w:rPr>
          <w:rFonts w:ascii="Calibri" w:hAnsi="Calibri" w:cs="Calibri"/>
          <w:sz w:val="22"/>
          <w:szCs w:val="22"/>
          <w:lang w:val="hr-HR" w:eastAsia="hr-HR"/>
        </w:rPr>
        <w:t xml:space="preserve"> nastojalo se potaknuti banke na brže i jednostavnije odobrenje novih sredstava za očuvanje likvidnosti izvoznika i posrednih izvoznika iz svih gospodarskih sektora. Banke uključene u suradnju po programima uključivale su prema unaprijed dogovorenim kriterijima kredite u osigurani portfelj za kojeg je HBOR preuzimao do 90 posto iznosa glavnice kredita. Od uvođenja programa u 2020. godini do 30. lipnja 2022. osigurano je 369 kredita u ukupnom iznosu od 4,2 milijarde kuna.</w:t>
      </w:r>
    </w:p>
    <w:p w14:paraId="7F79A14F" w14:textId="77777777" w:rsidR="008E4AC3" w:rsidRDefault="008E4AC3" w:rsidP="008E4AC3">
      <w:pPr>
        <w:jc w:val="both"/>
        <w:textAlignment w:val="baseline"/>
        <w:rPr>
          <w:rFonts w:ascii="Calibri" w:eastAsia="SimSun" w:hAnsi="Calibri" w:cs="Calibri"/>
          <w:sz w:val="22"/>
          <w:szCs w:val="22"/>
          <w:lang w:val="hr-HR"/>
        </w:rPr>
      </w:pPr>
    </w:p>
    <w:p w14:paraId="194E4FFB" w14:textId="02C5DCF9" w:rsidR="00F64184" w:rsidRDefault="008E4AC3" w:rsidP="008E4AC3">
      <w:pPr>
        <w:autoSpaceDE w:val="0"/>
        <w:spacing w:before="120" w:after="120" w:line="276" w:lineRule="auto"/>
        <w:jc w:val="both"/>
        <w:rPr>
          <w:rStyle w:val="normaltextrun"/>
          <w:rFonts w:ascii="Calibri" w:hAnsi="Calibri" w:cs="Calibri"/>
          <w:color w:val="000000"/>
          <w:sz w:val="22"/>
          <w:szCs w:val="22"/>
          <w:shd w:val="clear" w:color="auto" w:fill="FFFFFF"/>
          <w:lang w:val="hr-HR"/>
        </w:rPr>
      </w:pPr>
      <w:r>
        <w:rPr>
          <w:rStyle w:val="Zadanifontodlomka1"/>
          <w:rFonts w:ascii="Calibri" w:eastAsia="Calibri" w:hAnsi="Calibri" w:cs="Calibri"/>
          <w:b/>
          <w:bCs/>
          <w:sz w:val="22"/>
          <w:szCs w:val="22"/>
          <w:lang w:val="hr-HR"/>
        </w:rPr>
        <w:t>PROGRAM SUBVENCIONIRANJA PREMIJE OSIGURANJA – MJERA</w:t>
      </w:r>
      <w:r>
        <w:rPr>
          <w:rStyle w:val="Zadanifontodlomka1"/>
          <w:rFonts w:ascii="Calibri" w:eastAsia="Calibri" w:hAnsi="Calibri" w:cs="Calibri"/>
          <w:sz w:val="22"/>
          <w:szCs w:val="22"/>
          <w:lang w:val="hr-HR"/>
        </w:rPr>
        <w:t xml:space="preserve"> </w:t>
      </w:r>
      <w:r>
        <w:rPr>
          <w:rStyle w:val="Zadanifontodlomka1"/>
          <w:rFonts w:ascii="Calibri" w:eastAsia="Calibri" w:hAnsi="Calibri" w:cs="Calibri"/>
          <w:b/>
          <w:bCs/>
          <w:sz w:val="22"/>
          <w:szCs w:val="22"/>
          <w:lang w:val="hr-HR"/>
        </w:rPr>
        <w:t>COVID-19</w:t>
      </w:r>
    </w:p>
    <w:p w14:paraId="4FD78B76" w14:textId="149C9E22" w:rsidR="008E4AC3" w:rsidRDefault="008E4AC3" w:rsidP="008E4AC3">
      <w:pPr>
        <w:autoSpaceDE w:val="0"/>
        <w:spacing w:before="120" w:after="120" w:line="276" w:lineRule="auto"/>
        <w:jc w:val="both"/>
        <w:rPr>
          <w:rStyle w:val="normaltextrun"/>
          <w:rFonts w:ascii="Calibri" w:hAnsi="Calibri" w:cs="Calibri"/>
          <w:color w:val="000000"/>
          <w:sz w:val="22"/>
          <w:szCs w:val="22"/>
          <w:shd w:val="clear" w:color="auto" w:fill="FFFFFF"/>
          <w:lang w:val="hr-HR"/>
        </w:rPr>
      </w:pPr>
      <w:r>
        <w:rPr>
          <w:rStyle w:val="normaltextrun"/>
          <w:rFonts w:ascii="Calibri" w:hAnsi="Calibri" w:cs="Calibri"/>
          <w:color w:val="000000"/>
          <w:sz w:val="22"/>
          <w:szCs w:val="22"/>
          <w:shd w:val="clear" w:color="auto" w:fill="FFFFFF"/>
          <w:lang w:val="hr-HR"/>
        </w:rPr>
        <w:t>Predmetni program provodio se do 30. lipnja 2022. temeljem Privremenog okvira Europske komisije te je</w:t>
      </w:r>
      <w:r w:rsidR="00F64184">
        <w:rPr>
          <w:rStyle w:val="normaltextrun"/>
          <w:rFonts w:ascii="Calibri" w:hAnsi="Calibri" w:cs="Calibri"/>
          <w:color w:val="000000"/>
          <w:sz w:val="22"/>
          <w:szCs w:val="22"/>
          <w:shd w:val="clear" w:color="auto" w:fill="FFFFFF"/>
          <w:lang w:val="hr-HR"/>
        </w:rPr>
        <w:t xml:space="preserve"> </w:t>
      </w:r>
      <w:r>
        <w:rPr>
          <w:rStyle w:val="normaltextrun"/>
          <w:rFonts w:ascii="Calibri" w:hAnsi="Calibri" w:cs="Calibri"/>
          <w:color w:val="000000"/>
          <w:sz w:val="22"/>
          <w:szCs w:val="22"/>
          <w:shd w:val="clear" w:color="auto" w:fill="FFFFFF"/>
          <w:lang w:val="hr-HR"/>
        </w:rPr>
        <w:t>omogućavao izvoznicima</w:t>
      </w:r>
      <w:r w:rsidR="00C0544B">
        <w:rPr>
          <w:rStyle w:val="normaltextrun"/>
          <w:rFonts w:ascii="Calibri" w:hAnsi="Calibri" w:cs="Calibri"/>
          <w:color w:val="000000"/>
          <w:sz w:val="22"/>
          <w:szCs w:val="22"/>
          <w:shd w:val="clear" w:color="auto" w:fill="FFFFFF"/>
          <w:lang w:val="hr-HR"/>
        </w:rPr>
        <w:t>,</w:t>
      </w:r>
      <w:r>
        <w:rPr>
          <w:rStyle w:val="normaltextrun"/>
          <w:rFonts w:ascii="Calibri" w:hAnsi="Calibri" w:cs="Calibri"/>
          <w:color w:val="000000"/>
          <w:sz w:val="22"/>
          <w:szCs w:val="22"/>
          <w:shd w:val="clear" w:color="auto" w:fill="FFFFFF"/>
          <w:lang w:val="hr-HR"/>
        </w:rPr>
        <w:t xml:space="preserve"> koji udovoljavaju uvjetima programa</w:t>
      </w:r>
      <w:r w:rsidR="009F71BC">
        <w:rPr>
          <w:rStyle w:val="normaltextrun"/>
          <w:rFonts w:ascii="Calibri" w:hAnsi="Calibri" w:cs="Calibri"/>
          <w:color w:val="000000"/>
          <w:sz w:val="22"/>
          <w:szCs w:val="22"/>
          <w:shd w:val="clear" w:color="auto" w:fill="FFFFFF"/>
          <w:lang w:val="hr-HR"/>
        </w:rPr>
        <w:t>,</w:t>
      </w:r>
      <w:r>
        <w:rPr>
          <w:rStyle w:val="normaltextrun"/>
          <w:rFonts w:ascii="Calibri" w:hAnsi="Calibri" w:cs="Calibri"/>
          <w:color w:val="000000"/>
          <w:sz w:val="22"/>
          <w:szCs w:val="22"/>
          <w:shd w:val="clear" w:color="auto" w:fill="FFFFFF"/>
          <w:lang w:val="hr-HR"/>
        </w:rPr>
        <w:t xml:space="preserve"> subvencioniranje cjelokupnog ili dijela troška premije osiguranja kredita za likvidnost izvoznika – COVID-19 mjere. Program je uveden u </w:t>
      </w:r>
      <w:r>
        <w:rPr>
          <w:rStyle w:val="normaltextrun"/>
          <w:rFonts w:ascii="Calibri" w:hAnsi="Calibri" w:cs="Calibri"/>
          <w:color w:val="000000"/>
          <w:sz w:val="22"/>
          <w:szCs w:val="22"/>
          <w:shd w:val="clear" w:color="auto" w:fill="FFFFFF"/>
          <w:lang w:val="hr-HR"/>
        </w:rPr>
        <w:lastRenderedPageBreak/>
        <w:t>studenom 2020., a za vrijeme njegova trajanja odobreno je 299 subvencija u iznosu većem od 76 milijuna kuna.</w:t>
      </w:r>
    </w:p>
    <w:p w14:paraId="46424860" w14:textId="77777777" w:rsidR="001C6278" w:rsidRDefault="001C6278" w:rsidP="005819D7">
      <w:pPr>
        <w:autoSpaceDE w:val="0"/>
        <w:spacing w:line="276" w:lineRule="auto"/>
        <w:jc w:val="both"/>
        <w:rPr>
          <w:rFonts w:ascii="Calibri" w:eastAsia="SimSun" w:hAnsi="Calibri" w:cs="Calibri"/>
          <w:sz w:val="22"/>
          <w:szCs w:val="22"/>
          <w:lang w:val="hr-HR"/>
        </w:rPr>
      </w:pPr>
    </w:p>
    <w:p w14:paraId="1B0E06E2" w14:textId="77777777" w:rsidR="008E4AC3" w:rsidRDefault="008E4AC3" w:rsidP="00EF6C41">
      <w:pPr>
        <w:spacing w:after="120" w:line="276" w:lineRule="auto"/>
        <w:jc w:val="both"/>
        <w:rPr>
          <w:rFonts w:ascii="Calibri" w:eastAsia="SimSun" w:hAnsi="Calibri" w:cs="Calibri"/>
          <w:b/>
          <w:bCs/>
          <w:sz w:val="22"/>
          <w:szCs w:val="22"/>
          <w:lang w:val="hr-HR"/>
        </w:rPr>
      </w:pPr>
      <w:r>
        <w:rPr>
          <w:rFonts w:ascii="Calibri" w:eastAsia="SimSun" w:hAnsi="Calibri" w:cs="Calibri"/>
          <w:b/>
          <w:bCs/>
          <w:sz w:val="22"/>
          <w:szCs w:val="22"/>
          <w:lang w:val="hr-HR"/>
        </w:rPr>
        <w:t>Rezultati – jamstva i osiguranje kredita:</w:t>
      </w:r>
    </w:p>
    <w:p w14:paraId="5EFBC7C4" w14:textId="14127C07" w:rsidR="00E80CB4" w:rsidRPr="00E90C44" w:rsidRDefault="00E80CB4" w:rsidP="00E80CB4">
      <w:pPr>
        <w:spacing w:before="120" w:after="120" w:line="276" w:lineRule="auto"/>
        <w:jc w:val="both"/>
        <w:rPr>
          <w:rFonts w:ascii="Calibri" w:hAnsi="Calibri" w:cs="Calibri"/>
          <w:color w:val="000000"/>
          <w:sz w:val="22"/>
          <w:szCs w:val="22"/>
          <w:shd w:val="clear" w:color="auto" w:fill="FFFFFF"/>
          <w:lang w:val="hr-HR"/>
        </w:rPr>
      </w:pPr>
      <w:r>
        <w:rPr>
          <w:rFonts w:ascii="Calibri" w:hAnsi="Calibri" w:cs="Calibri"/>
          <w:sz w:val="22"/>
          <w:szCs w:val="22"/>
          <w:lang w:val="hr-HR" w:eastAsia="hr-HR"/>
        </w:rPr>
        <w:t xml:space="preserve">U 2022. HBOR je osigurao </w:t>
      </w:r>
      <w:r w:rsidRPr="00074C70">
        <w:rPr>
          <w:rFonts w:ascii="Calibri" w:hAnsi="Calibri" w:cs="Calibri"/>
          <w:sz w:val="22"/>
          <w:szCs w:val="22"/>
          <w:lang w:val="hr-HR" w:eastAsia="hr-HR"/>
        </w:rPr>
        <w:t>84 kredita u ukupnom iznosu od 1.385,2 milijuna kuna</w:t>
      </w:r>
      <w:r w:rsidR="00B52B11">
        <w:rPr>
          <w:rFonts w:ascii="Calibri" w:hAnsi="Calibri" w:cs="Calibri"/>
          <w:sz w:val="22"/>
          <w:szCs w:val="22"/>
          <w:lang w:val="hr-HR" w:eastAsia="hr-HR"/>
        </w:rPr>
        <w:t xml:space="preserve"> te je </w:t>
      </w:r>
      <w:r w:rsidR="00B52B11" w:rsidRPr="00120425">
        <w:rPr>
          <w:rFonts w:ascii="Calibri" w:hAnsi="Calibri" w:cs="Calibri"/>
          <w:sz w:val="22"/>
          <w:szCs w:val="22"/>
          <w:lang w:val="hr-HR" w:eastAsia="hr-HR"/>
        </w:rPr>
        <w:t>odobr</w:t>
      </w:r>
      <w:r w:rsidR="00C62119" w:rsidRPr="00120425">
        <w:rPr>
          <w:rFonts w:ascii="Calibri" w:hAnsi="Calibri" w:cs="Calibri"/>
          <w:sz w:val="22"/>
          <w:szCs w:val="22"/>
          <w:lang w:val="hr-HR" w:eastAsia="hr-HR"/>
        </w:rPr>
        <w:t>io</w:t>
      </w:r>
      <w:r w:rsidR="00B52B11" w:rsidRPr="00120425">
        <w:rPr>
          <w:rFonts w:ascii="Calibri" w:hAnsi="Calibri" w:cs="Calibri"/>
          <w:sz w:val="22"/>
          <w:szCs w:val="22"/>
          <w:lang w:val="hr-HR" w:eastAsia="hr-HR"/>
        </w:rPr>
        <w:t xml:space="preserve"> </w:t>
      </w:r>
      <w:r w:rsidR="00120425" w:rsidRPr="00120425">
        <w:rPr>
          <w:rFonts w:ascii="Calibri" w:hAnsi="Calibri" w:cs="Calibri"/>
          <w:sz w:val="22"/>
          <w:szCs w:val="22"/>
          <w:lang w:val="hr-HR" w:eastAsia="hr-HR"/>
        </w:rPr>
        <w:t>84 subvencije u iznosu većem od 24 milijuna kuna</w:t>
      </w:r>
      <w:r w:rsidRPr="00074C70">
        <w:rPr>
          <w:rFonts w:ascii="Calibri" w:hAnsi="Calibri" w:cs="Calibri"/>
          <w:sz w:val="22"/>
          <w:szCs w:val="22"/>
          <w:lang w:val="hr-HR" w:eastAsia="hr-HR"/>
        </w:rPr>
        <w:t>.</w:t>
      </w:r>
    </w:p>
    <w:p w14:paraId="318EB216" w14:textId="059A5BD5" w:rsidR="00A914CD" w:rsidRDefault="008E4AC3" w:rsidP="00A914CD">
      <w:pPr>
        <w:spacing w:before="120" w:after="120" w:line="276" w:lineRule="auto"/>
        <w:jc w:val="both"/>
        <w:rPr>
          <w:rStyle w:val="normaltextrun"/>
          <w:rFonts w:ascii="Calibri" w:hAnsi="Calibri" w:cs="Calibri"/>
          <w:color w:val="000000"/>
          <w:sz w:val="22"/>
          <w:szCs w:val="22"/>
          <w:shd w:val="clear" w:color="auto" w:fill="FFFFFF"/>
          <w:lang w:val="hr-HR"/>
        </w:rPr>
      </w:pPr>
      <w:r>
        <w:rPr>
          <w:rStyle w:val="normaltextrun"/>
          <w:rFonts w:ascii="Calibri" w:hAnsi="Calibri" w:cs="Calibri"/>
          <w:color w:val="000000"/>
          <w:sz w:val="22"/>
          <w:szCs w:val="22"/>
          <w:shd w:val="clear" w:color="auto" w:fill="FFFFFF"/>
          <w:lang w:val="hr-HR"/>
        </w:rPr>
        <w:t>Programima osiguranja i izdavanja jamstava osiguravali su se krediti koje je odobravao HBOR i poslovne banke. Od početka provođenja Mjera COVID-19 do kraja njihova trajanja</w:t>
      </w:r>
      <w:r w:rsidR="00D73B0F">
        <w:rPr>
          <w:rStyle w:val="normaltextrun"/>
          <w:rFonts w:ascii="Calibri" w:hAnsi="Calibri" w:cs="Calibri"/>
          <w:color w:val="000000"/>
          <w:sz w:val="22"/>
          <w:szCs w:val="22"/>
          <w:shd w:val="clear" w:color="auto" w:fill="FFFFFF"/>
          <w:lang w:val="hr-HR"/>
        </w:rPr>
        <w:t>,</w:t>
      </w:r>
      <w:r>
        <w:rPr>
          <w:rStyle w:val="normaltextrun"/>
          <w:rFonts w:ascii="Calibri" w:hAnsi="Calibri" w:cs="Calibri"/>
          <w:color w:val="000000"/>
          <w:sz w:val="22"/>
          <w:szCs w:val="22"/>
          <w:shd w:val="clear" w:color="auto" w:fill="FFFFFF"/>
          <w:lang w:val="hr-HR"/>
        </w:rPr>
        <w:t xml:space="preserve"> </w:t>
      </w:r>
      <w:r w:rsidR="00D914CA">
        <w:rPr>
          <w:rStyle w:val="normaltextrun"/>
          <w:rFonts w:ascii="Calibri" w:hAnsi="Calibri" w:cs="Calibri"/>
          <w:color w:val="000000"/>
          <w:sz w:val="22"/>
          <w:szCs w:val="22"/>
          <w:shd w:val="clear" w:color="auto" w:fill="FFFFFF"/>
          <w:lang w:val="hr-HR"/>
        </w:rPr>
        <w:t>po svim</w:t>
      </w:r>
      <w:r w:rsidR="00AE4BAA">
        <w:rPr>
          <w:rStyle w:val="normaltextrun"/>
          <w:rFonts w:ascii="Calibri" w:hAnsi="Calibri" w:cs="Calibri"/>
          <w:color w:val="000000"/>
          <w:sz w:val="22"/>
          <w:szCs w:val="22"/>
          <w:shd w:val="clear" w:color="auto" w:fill="FFFFFF"/>
          <w:lang w:val="hr-HR"/>
        </w:rPr>
        <w:t xml:space="preserve"> </w:t>
      </w:r>
      <w:r>
        <w:rPr>
          <w:rStyle w:val="normaltextrun"/>
          <w:rFonts w:ascii="Calibri" w:hAnsi="Calibri" w:cs="Calibri"/>
          <w:color w:val="000000"/>
          <w:sz w:val="22"/>
          <w:szCs w:val="22"/>
          <w:shd w:val="clear" w:color="auto" w:fill="FFFFFF"/>
          <w:lang w:val="hr-HR"/>
        </w:rPr>
        <w:t>HBOR-ov</w:t>
      </w:r>
      <w:r w:rsidR="00D914CA">
        <w:rPr>
          <w:rStyle w:val="normaltextrun"/>
          <w:rFonts w:ascii="Calibri" w:hAnsi="Calibri" w:cs="Calibri"/>
          <w:color w:val="000000"/>
          <w:sz w:val="22"/>
          <w:szCs w:val="22"/>
          <w:shd w:val="clear" w:color="auto" w:fill="FFFFFF"/>
          <w:lang w:val="hr-HR"/>
        </w:rPr>
        <w:t>im</w:t>
      </w:r>
      <w:r>
        <w:rPr>
          <w:rStyle w:val="normaltextrun"/>
          <w:rFonts w:ascii="Calibri" w:hAnsi="Calibri" w:cs="Calibri"/>
          <w:color w:val="000000"/>
          <w:sz w:val="22"/>
          <w:szCs w:val="22"/>
          <w:shd w:val="clear" w:color="auto" w:fill="FFFFFF"/>
          <w:lang w:val="hr-HR"/>
        </w:rPr>
        <w:t xml:space="preserve"> program</w:t>
      </w:r>
      <w:r w:rsidR="00D914CA">
        <w:rPr>
          <w:rStyle w:val="normaltextrun"/>
          <w:rFonts w:ascii="Calibri" w:hAnsi="Calibri" w:cs="Calibri"/>
          <w:color w:val="000000"/>
          <w:sz w:val="22"/>
          <w:szCs w:val="22"/>
          <w:shd w:val="clear" w:color="auto" w:fill="FFFFFF"/>
          <w:lang w:val="hr-HR"/>
        </w:rPr>
        <w:t>ima</w:t>
      </w:r>
      <w:r>
        <w:rPr>
          <w:rStyle w:val="normaltextrun"/>
          <w:rFonts w:ascii="Calibri" w:hAnsi="Calibri" w:cs="Calibri"/>
          <w:color w:val="000000"/>
          <w:sz w:val="22"/>
          <w:szCs w:val="22"/>
          <w:shd w:val="clear" w:color="auto" w:fill="FFFFFF"/>
          <w:lang w:val="hr-HR"/>
        </w:rPr>
        <w:t xml:space="preserve"> osiguranja i </w:t>
      </w:r>
      <w:r w:rsidR="00AE4BAA">
        <w:rPr>
          <w:rStyle w:val="normaltextrun"/>
          <w:rFonts w:ascii="Calibri" w:hAnsi="Calibri" w:cs="Calibri"/>
          <w:color w:val="000000"/>
          <w:sz w:val="22"/>
          <w:szCs w:val="22"/>
          <w:shd w:val="clear" w:color="auto" w:fill="FFFFFF"/>
          <w:lang w:val="hr-HR"/>
        </w:rPr>
        <w:t xml:space="preserve">izdavanja </w:t>
      </w:r>
      <w:r>
        <w:rPr>
          <w:rStyle w:val="normaltextrun"/>
          <w:rFonts w:ascii="Calibri" w:hAnsi="Calibri" w:cs="Calibri"/>
          <w:color w:val="000000"/>
          <w:sz w:val="22"/>
          <w:szCs w:val="22"/>
          <w:shd w:val="clear" w:color="auto" w:fill="FFFFFF"/>
          <w:lang w:val="hr-HR"/>
        </w:rPr>
        <w:t xml:space="preserve">jamstava </w:t>
      </w:r>
      <w:r w:rsidR="00120425">
        <w:rPr>
          <w:rStyle w:val="normaltextrun"/>
          <w:rFonts w:ascii="Calibri" w:hAnsi="Calibri" w:cs="Calibri"/>
          <w:color w:val="000000"/>
          <w:sz w:val="22"/>
          <w:szCs w:val="22"/>
          <w:shd w:val="clear" w:color="auto" w:fill="FFFFFF"/>
          <w:lang w:val="hr-HR"/>
        </w:rPr>
        <w:t xml:space="preserve">koje je provodio HBOR </w:t>
      </w:r>
      <w:r>
        <w:rPr>
          <w:rStyle w:val="normaltextrun"/>
          <w:rFonts w:ascii="Calibri" w:hAnsi="Calibri" w:cs="Calibri"/>
          <w:color w:val="000000"/>
          <w:sz w:val="22"/>
          <w:szCs w:val="22"/>
          <w:shd w:val="clear" w:color="auto" w:fill="FFFFFF"/>
          <w:lang w:val="hr-HR"/>
        </w:rPr>
        <w:t>u okviru Mjera COVID-19</w:t>
      </w:r>
      <w:r w:rsidR="00D73B0F">
        <w:rPr>
          <w:rStyle w:val="normaltextrun"/>
          <w:rFonts w:ascii="Calibri" w:hAnsi="Calibri" w:cs="Calibri"/>
          <w:color w:val="000000"/>
          <w:sz w:val="22"/>
          <w:szCs w:val="22"/>
          <w:shd w:val="clear" w:color="auto" w:fill="FFFFFF"/>
          <w:lang w:val="hr-HR"/>
        </w:rPr>
        <w:t>,</w:t>
      </w:r>
      <w:r>
        <w:rPr>
          <w:rStyle w:val="normaltextrun"/>
          <w:rFonts w:ascii="Calibri" w:hAnsi="Calibri" w:cs="Calibri"/>
          <w:color w:val="000000"/>
          <w:sz w:val="22"/>
          <w:szCs w:val="22"/>
          <w:shd w:val="clear" w:color="auto" w:fill="FFFFFF"/>
          <w:lang w:val="hr-HR"/>
        </w:rPr>
        <w:t xml:space="preserve"> osigurano je više od 4,4 milijarde kuna kredita za likvidnost poduzetnicima. Od odobrenog iznosa osiguranja</w:t>
      </w:r>
      <w:r w:rsidR="00C837EC">
        <w:rPr>
          <w:rStyle w:val="normaltextrun"/>
          <w:rFonts w:ascii="Calibri" w:hAnsi="Calibri" w:cs="Calibri"/>
          <w:color w:val="000000"/>
          <w:sz w:val="22"/>
          <w:szCs w:val="22"/>
          <w:shd w:val="clear" w:color="auto" w:fill="FFFFFF"/>
          <w:lang w:val="hr-HR"/>
        </w:rPr>
        <w:t>,</w:t>
      </w:r>
      <w:r>
        <w:rPr>
          <w:rStyle w:val="normaltextrun"/>
          <w:rFonts w:ascii="Calibri" w:hAnsi="Calibri" w:cs="Calibri"/>
          <w:color w:val="000000"/>
          <w:sz w:val="22"/>
          <w:szCs w:val="22"/>
          <w:shd w:val="clear" w:color="auto" w:fill="FFFFFF"/>
          <w:lang w:val="hr-HR"/>
        </w:rPr>
        <w:t xml:space="preserve"> 2,7 milijarde kuna odnosilo se na kredite koje su poslovne banke odobrile poduzetnicima.</w:t>
      </w:r>
    </w:p>
    <w:p w14:paraId="3B1A8A02" w14:textId="77777777" w:rsidR="00E80CB4" w:rsidRDefault="00E80CB4" w:rsidP="00A914CD">
      <w:pPr>
        <w:spacing w:before="120" w:after="120" w:line="276" w:lineRule="auto"/>
        <w:jc w:val="both"/>
        <w:rPr>
          <w:rStyle w:val="normaltextrun"/>
          <w:rFonts w:ascii="Calibri" w:hAnsi="Calibri" w:cs="Calibri"/>
          <w:color w:val="000000"/>
          <w:sz w:val="22"/>
          <w:szCs w:val="22"/>
          <w:shd w:val="clear" w:color="auto" w:fill="FFFFFF"/>
          <w:lang w:val="hr-HR"/>
        </w:rPr>
      </w:pPr>
    </w:p>
    <w:p w14:paraId="5397C5DC" w14:textId="6E609A1D" w:rsidR="009B3F08" w:rsidRDefault="009B3F08" w:rsidP="00955B06">
      <w:pPr>
        <w:spacing w:before="120" w:after="120" w:line="276" w:lineRule="auto"/>
        <w:jc w:val="both"/>
        <w:rPr>
          <w:rStyle w:val="normaltextrun"/>
          <w:rFonts w:ascii="Calibri" w:hAnsi="Calibri" w:cs="Calibri"/>
          <w:color w:val="000000"/>
          <w:sz w:val="22"/>
          <w:szCs w:val="22"/>
          <w:shd w:val="clear" w:color="auto" w:fill="FFFFFF"/>
          <w:lang w:val="hr-HR"/>
        </w:rPr>
      </w:pPr>
      <w:r w:rsidRPr="4AF032DA">
        <w:rPr>
          <w:rStyle w:val="normaltextrun"/>
          <w:rFonts w:ascii="Calibri" w:hAnsi="Calibri" w:cs="Calibri"/>
          <w:color w:val="000000" w:themeColor="text1"/>
          <w:sz w:val="22"/>
          <w:szCs w:val="22"/>
          <w:lang w:val="hr-HR"/>
        </w:rPr>
        <w:br w:type="page"/>
      </w:r>
    </w:p>
    <w:p w14:paraId="1748D79D" w14:textId="2C7276DA" w:rsidR="00382CF2" w:rsidRDefault="00054989">
      <w:pPr>
        <w:keepNext/>
        <w:keepLines/>
        <w:pBdr>
          <w:bottom w:val="single" w:sz="4" w:space="2" w:color="B2B2B2"/>
        </w:pBdr>
        <w:spacing w:before="360" w:after="120"/>
        <w:outlineLvl w:val="0"/>
        <w:rPr>
          <w:rFonts w:ascii="Calibri" w:eastAsia="SimHei" w:hAnsi="Calibri" w:cs="Calibri"/>
          <w:b/>
          <w:bCs/>
          <w:sz w:val="22"/>
          <w:szCs w:val="22"/>
          <w:lang w:val="hr-HR"/>
        </w:rPr>
      </w:pPr>
      <w:bookmarkStart w:id="33" w:name="_Toc129083707"/>
      <w:r>
        <w:rPr>
          <w:rFonts w:ascii="Calibri" w:eastAsia="SimHei" w:hAnsi="Calibri" w:cs="Calibri"/>
          <w:b/>
          <w:bCs/>
          <w:sz w:val="22"/>
          <w:szCs w:val="22"/>
          <w:lang w:val="hr-HR"/>
        </w:rPr>
        <w:lastRenderedPageBreak/>
        <w:t>NASTAVAK SURADNJE S JLP(R)S I HAMAG BICRO-</w:t>
      </w:r>
      <w:r w:rsidR="00FE0D9E">
        <w:rPr>
          <w:rFonts w:ascii="Calibri" w:eastAsia="SimHei" w:hAnsi="Calibri" w:cs="Calibri"/>
          <w:b/>
          <w:bCs/>
          <w:sz w:val="22"/>
          <w:szCs w:val="22"/>
          <w:lang w:val="hr-HR"/>
        </w:rPr>
        <w:t>om</w:t>
      </w:r>
      <w:bookmarkEnd w:id="33"/>
    </w:p>
    <w:p w14:paraId="1748D79E" w14:textId="6E609A1D" w:rsidR="00382CF2" w:rsidRDefault="00054989">
      <w:pPr>
        <w:keepNext/>
        <w:outlineLvl w:val="1"/>
        <w:rPr>
          <w:rFonts w:ascii="Calibri" w:eastAsia="SimSun" w:hAnsi="Calibri" w:cs="Calibri"/>
          <w:b/>
          <w:bCs/>
          <w:sz w:val="22"/>
          <w:szCs w:val="22"/>
          <w:lang w:val="hr-HR"/>
        </w:rPr>
      </w:pPr>
      <w:bookmarkStart w:id="34" w:name="_Toc129083708"/>
      <w:r>
        <w:rPr>
          <w:rFonts w:ascii="Calibri" w:eastAsia="SimSun" w:hAnsi="Calibri" w:cs="Calibri"/>
          <w:b/>
          <w:bCs/>
          <w:sz w:val="22"/>
          <w:szCs w:val="22"/>
          <w:lang w:val="hr-HR"/>
        </w:rPr>
        <w:t>SUBVENCIJA KAMATNE STOPE U POJEDINIM ŽUPANIJAMA, OPĆINAMA I GRADOVIMA</w:t>
      </w:r>
      <w:bookmarkEnd w:id="34"/>
      <w:r>
        <w:rPr>
          <w:rFonts w:ascii="Calibri" w:eastAsia="SimSun" w:hAnsi="Calibri" w:cs="Calibri"/>
          <w:b/>
          <w:bCs/>
          <w:sz w:val="22"/>
          <w:szCs w:val="22"/>
          <w:lang w:val="hr-HR"/>
        </w:rPr>
        <w:t xml:space="preserve"> </w:t>
      </w:r>
    </w:p>
    <w:p w14:paraId="09B97BC2" w14:textId="7D843525" w:rsidR="00F42F47" w:rsidRDefault="00054989" w:rsidP="00DD4B19">
      <w:pPr>
        <w:spacing w:before="120" w:line="276" w:lineRule="auto"/>
        <w:jc w:val="both"/>
        <w:rPr>
          <w:rFonts w:ascii="Calibri" w:eastAsia="SimSun" w:hAnsi="Calibri" w:cs="Calibri"/>
          <w:sz w:val="22"/>
          <w:szCs w:val="22"/>
          <w:lang w:val="hr-HR"/>
        </w:rPr>
      </w:pPr>
      <w:r>
        <w:rPr>
          <w:rStyle w:val="Zadanifontodlomka1"/>
          <w:rFonts w:ascii="Calibri" w:hAnsi="Calibri" w:cs="Calibri"/>
          <w:sz w:val="22"/>
          <w:szCs w:val="22"/>
          <w:lang w:val="hr-HR" w:eastAsia="hr-HR"/>
        </w:rPr>
        <w:t>HBOR je i u 2022. nastavio doprinositi postizanju ujednačenog regionalnog razvoja putem suradnje s</w:t>
      </w:r>
      <w:r>
        <w:rPr>
          <w:rStyle w:val="Zadanifontodlomka1"/>
          <w:rFonts w:ascii="Calibri" w:eastAsia="SimSun" w:hAnsi="Calibri" w:cs="Calibri"/>
          <w:sz w:val="22"/>
          <w:szCs w:val="22"/>
          <w:lang w:val="hr-HR"/>
        </w:rPr>
        <w:t xml:space="preserve"> pojedinim županijama, gradovima i općinama. Na temelju ugovora o poslovnoj suradnji zaključenih između HBOR-a i županija, gradova i općina, poduzetnici mogu koristiti subvenciju kamatne stope na kredite HBOR-a iz sredstava županije, grada ili općine. Ugovorima je na pojedinim područjima omogućeno kreditiranje poduzetnika uz kamatnu stopu već od 0 posto. Tijekom 2022.</w:t>
      </w:r>
      <w:r w:rsidR="008639C8">
        <w:rPr>
          <w:rStyle w:val="Zadanifontodlomka1"/>
          <w:rFonts w:ascii="Calibri" w:eastAsia="SimSun" w:hAnsi="Calibri" w:cs="Calibri"/>
          <w:sz w:val="22"/>
          <w:szCs w:val="22"/>
          <w:lang w:val="hr-HR"/>
        </w:rPr>
        <w:t xml:space="preserve"> </w:t>
      </w:r>
      <w:r w:rsidR="00940BB0">
        <w:rPr>
          <w:rStyle w:val="Zadanifontodlomka1"/>
          <w:rFonts w:ascii="Calibri" w:eastAsia="SimSun" w:hAnsi="Calibri" w:cs="Calibri"/>
          <w:sz w:val="22"/>
          <w:szCs w:val="22"/>
          <w:lang w:val="hr-HR"/>
        </w:rPr>
        <w:t xml:space="preserve">važećih potpisanih Ugovora </w:t>
      </w:r>
      <w:r w:rsidR="00E064C1">
        <w:rPr>
          <w:rStyle w:val="Zadanifontodlomka1"/>
          <w:rFonts w:ascii="Calibri" w:eastAsia="SimSun" w:hAnsi="Calibri" w:cs="Calibri"/>
          <w:sz w:val="22"/>
          <w:szCs w:val="22"/>
          <w:lang w:val="hr-HR"/>
        </w:rPr>
        <w:t xml:space="preserve">bilo je s </w:t>
      </w:r>
      <w:r>
        <w:rPr>
          <w:rStyle w:val="Zadanifontodlomka1"/>
          <w:rFonts w:ascii="Calibri" w:eastAsia="SimSun" w:hAnsi="Calibri" w:cs="Calibri"/>
          <w:sz w:val="22"/>
          <w:szCs w:val="22"/>
          <w:lang w:val="hr-HR"/>
        </w:rPr>
        <w:t>42 jedinice lokalne i područne (regionalne) samouprave – JLP(R)S.</w:t>
      </w:r>
    </w:p>
    <w:p w14:paraId="0F555C52" w14:textId="77777777" w:rsidR="00312BB4" w:rsidRDefault="00312BB4" w:rsidP="00312BB4">
      <w:pPr>
        <w:spacing w:after="120" w:line="276" w:lineRule="auto"/>
        <w:jc w:val="both"/>
        <w:rPr>
          <w:rFonts w:ascii="Calibri" w:eastAsia="SimSun" w:hAnsi="Calibri" w:cs="Calibri"/>
          <w:sz w:val="22"/>
          <w:szCs w:val="22"/>
          <w:lang w:val="hr-HR"/>
        </w:rPr>
      </w:pPr>
    </w:p>
    <w:p w14:paraId="1748D7A1" w14:textId="585F530C" w:rsidR="00382CF2" w:rsidRDefault="00054989">
      <w:pPr>
        <w:keepNext/>
        <w:outlineLvl w:val="1"/>
        <w:rPr>
          <w:rFonts w:ascii="Calibri" w:eastAsia="SimSun" w:hAnsi="Calibri" w:cs="Calibri"/>
          <w:b/>
          <w:bCs/>
          <w:sz w:val="22"/>
          <w:szCs w:val="22"/>
          <w:lang w:val="hr-HR"/>
        </w:rPr>
      </w:pPr>
      <w:bookmarkStart w:id="35" w:name="_Toc129083709"/>
      <w:r>
        <w:rPr>
          <w:rFonts w:ascii="Calibri" w:eastAsia="SimSun" w:hAnsi="Calibri" w:cs="Calibri"/>
          <w:b/>
          <w:bCs/>
          <w:sz w:val="22"/>
          <w:szCs w:val="22"/>
          <w:lang w:val="hr-HR"/>
        </w:rPr>
        <w:t>SURADNJA S HAMAG-BICRO-</w:t>
      </w:r>
      <w:r w:rsidR="00FE0D9E">
        <w:rPr>
          <w:rFonts w:ascii="Calibri" w:eastAsia="SimSun" w:hAnsi="Calibri" w:cs="Calibri"/>
          <w:b/>
          <w:bCs/>
          <w:sz w:val="22"/>
          <w:szCs w:val="22"/>
          <w:lang w:val="hr-HR"/>
        </w:rPr>
        <w:t>om</w:t>
      </w:r>
      <w:bookmarkEnd w:id="35"/>
      <w:r>
        <w:rPr>
          <w:rFonts w:ascii="Calibri" w:eastAsia="SimSun" w:hAnsi="Calibri" w:cs="Calibri"/>
          <w:b/>
          <w:bCs/>
          <w:sz w:val="22"/>
          <w:szCs w:val="22"/>
          <w:lang w:val="hr-HR"/>
        </w:rPr>
        <w:t xml:space="preserve"> </w:t>
      </w:r>
    </w:p>
    <w:p w14:paraId="1748D7A2" w14:textId="77777777" w:rsidR="00382CF2" w:rsidRDefault="00054989">
      <w:pPr>
        <w:spacing w:before="120"/>
        <w:jc w:val="both"/>
        <w:textAlignment w:val="baseline"/>
        <w:rPr>
          <w:rFonts w:ascii="Calibri" w:hAnsi="Calibri" w:cs="Calibri"/>
          <w:sz w:val="22"/>
          <w:szCs w:val="22"/>
          <w:lang w:val="hr-HR" w:eastAsia="hr-HR"/>
        </w:rPr>
      </w:pPr>
      <w:r>
        <w:rPr>
          <w:rFonts w:ascii="Calibri" w:hAnsi="Calibri" w:cs="Calibri"/>
          <w:sz w:val="22"/>
          <w:szCs w:val="22"/>
          <w:lang w:val="hr-HR" w:eastAsia="hr-HR"/>
        </w:rPr>
        <w:t>U 2022. godini nastavljena je suradnja s HAMAG-BICRO-om na jamstvenim programima:</w:t>
      </w:r>
    </w:p>
    <w:p w14:paraId="465A10C5" w14:textId="523ECAC9" w:rsidR="0061136B" w:rsidRDefault="00054989" w:rsidP="0061136B">
      <w:pPr>
        <w:pStyle w:val="Odlomakpopisa1"/>
        <w:numPr>
          <w:ilvl w:val="0"/>
          <w:numId w:val="13"/>
        </w:numPr>
        <w:spacing w:line="276" w:lineRule="auto"/>
        <w:jc w:val="both"/>
        <w:textAlignment w:val="baseline"/>
        <w:rPr>
          <w:rFonts w:ascii="Calibri" w:hAnsi="Calibri" w:cs="Calibri"/>
          <w:sz w:val="22"/>
          <w:szCs w:val="22"/>
          <w:lang w:val="hr-HR" w:eastAsia="hr-HR"/>
        </w:rPr>
      </w:pPr>
      <w:r w:rsidRPr="0061136B">
        <w:rPr>
          <w:rStyle w:val="Zadanifontodlomka1"/>
          <w:rFonts w:ascii="Calibri" w:hAnsi="Calibri" w:cs="Calibri"/>
          <w:sz w:val="22"/>
          <w:szCs w:val="22"/>
          <w:lang w:val="hr-HR" w:eastAsia="hr-HR"/>
        </w:rPr>
        <w:t>ESIF pojedinačna jamstva za investicijske kredite i kredite za obrtna sredstva namijenjena subjektima malog gospodarstva (osim za djelatnosti poljoprivrede i ribarstva, trgovačke djelatnosti i dr.),</w:t>
      </w:r>
    </w:p>
    <w:p w14:paraId="653D37B9" w14:textId="1F777F44" w:rsidR="00A920B1" w:rsidRPr="0061136B" w:rsidRDefault="00054989" w:rsidP="0061136B">
      <w:pPr>
        <w:pStyle w:val="Odlomakpopisa1"/>
        <w:numPr>
          <w:ilvl w:val="0"/>
          <w:numId w:val="13"/>
        </w:numPr>
        <w:spacing w:line="276" w:lineRule="auto"/>
        <w:jc w:val="both"/>
        <w:textAlignment w:val="baseline"/>
        <w:rPr>
          <w:rFonts w:ascii="Calibri" w:hAnsi="Calibri" w:cs="Calibri"/>
          <w:sz w:val="22"/>
          <w:szCs w:val="22"/>
          <w:lang w:val="hr-HR" w:eastAsia="hr-HR"/>
        </w:rPr>
      </w:pPr>
      <w:r w:rsidRPr="0061136B">
        <w:rPr>
          <w:rFonts w:ascii="Calibri" w:hAnsi="Calibri" w:cs="Calibri"/>
          <w:sz w:val="22"/>
          <w:szCs w:val="22"/>
          <w:lang w:val="hr-HR" w:eastAsia="hr-HR"/>
        </w:rPr>
        <w:t>ESIF pojedinačna jamstva za ruralni razvoj namijenjena lakšem pristupu financiranju mikro, malih i srednjih subjekata malog gospodarstva u poljoprivrednom, prerađivačkom i šumarskom sektoru,</w:t>
      </w:r>
    </w:p>
    <w:p w14:paraId="1748D7A5" w14:textId="79A6D7B3" w:rsidR="00173300" w:rsidRPr="00A920B1" w:rsidRDefault="00054989" w:rsidP="00A920B1">
      <w:pPr>
        <w:pStyle w:val="Odlomakpopisa1"/>
        <w:numPr>
          <w:ilvl w:val="0"/>
          <w:numId w:val="13"/>
        </w:numPr>
        <w:spacing w:line="276" w:lineRule="auto"/>
        <w:jc w:val="both"/>
        <w:textAlignment w:val="baseline"/>
        <w:rPr>
          <w:rStyle w:val="Zadanifontodlomka1"/>
          <w:rFonts w:ascii="Calibri" w:hAnsi="Calibri" w:cs="Calibri"/>
          <w:sz w:val="22"/>
          <w:szCs w:val="22"/>
          <w:lang w:val="hr-HR" w:eastAsia="hr-HR"/>
        </w:rPr>
      </w:pPr>
      <w:r w:rsidRPr="00A920B1">
        <w:rPr>
          <w:rStyle w:val="Zadanifontodlomka1"/>
          <w:rFonts w:ascii="Calibri" w:hAnsi="Calibri" w:cs="Calibri"/>
          <w:sz w:val="22"/>
          <w:szCs w:val="22"/>
          <w:lang w:val="hr-HR" w:eastAsia="hr-HR"/>
        </w:rPr>
        <w:t>ESIF ograničeno portfeljno jamstvo namijenjeno lakšem pristupu financiranju mikro, malih i srednjih subjekata malog gospodarstva.</w:t>
      </w:r>
    </w:p>
    <w:p w14:paraId="10ADF0C8" w14:textId="77777777" w:rsidR="00173300" w:rsidRDefault="00173300">
      <w:pPr>
        <w:suppressAutoHyphens w:val="0"/>
        <w:rPr>
          <w:rFonts w:ascii="Calibri" w:hAnsi="Calibri" w:cs="Calibri"/>
          <w:sz w:val="22"/>
          <w:szCs w:val="22"/>
          <w:lang w:val="hr-HR" w:eastAsia="hr-HR"/>
        </w:rPr>
      </w:pPr>
      <w:r>
        <w:rPr>
          <w:rFonts w:ascii="Calibri" w:hAnsi="Calibri" w:cs="Calibri"/>
          <w:sz w:val="22"/>
          <w:szCs w:val="22"/>
          <w:lang w:val="hr-HR" w:eastAsia="hr-HR"/>
        </w:rPr>
        <w:br w:type="page"/>
      </w:r>
    </w:p>
    <w:p w14:paraId="1748D7A7" w14:textId="77777777" w:rsidR="00382CF2" w:rsidRDefault="00054989">
      <w:pPr>
        <w:keepNext/>
        <w:keepLines/>
        <w:pBdr>
          <w:bottom w:val="single" w:sz="4" w:space="2" w:color="B2B2B2"/>
        </w:pBdr>
        <w:spacing w:before="360" w:after="120"/>
        <w:outlineLvl w:val="0"/>
        <w:rPr>
          <w:rFonts w:ascii="Calibri" w:eastAsia="SimHei" w:hAnsi="Calibri" w:cs="Calibri"/>
          <w:b/>
          <w:bCs/>
          <w:sz w:val="22"/>
          <w:szCs w:val="22"/>
          <w:lang w:val="hr-HR"/>
        </w:rPr>
      </w:pPr>
      <w:bookmarkStart w:id="36" w:name="_Toc129083710"/>
      <w:r>
        <w:rPr>
          <w:rFonts w:ascii="Calibri" w:eastAsia="SimHei" w:hAnsi="Calibri" w:cs="Calibri"/>
          <w:b/>
          <w:bCs/>
          <w:sz w:val="22"/>
          <w:szCs w:val="22"/>
          <w:lang w:val="hr-HR"/>
        </w:rPr>
        <w:lastRenderedPageBreak/>
        <w:t>EU PROGRAMI I INICIJATIVE</w:t>
      </w:r>
      <w:bookmarkStart w:id="37" w:name="_Hlk126930912"/>
      <w:bookmarkEnd w:id="36"/>
    </w:p>
    <w:p w14:paraId="1748D7A8" w14:textId="77777777" w:rsidR="00382CF2" w:rsidRDefault="00054989">
      <w:pPr>
        <w:keepNext/>
        <w:outlineLvl w:val="1"/>
        <w:rPr>
          <w:rFonts w:ascii="Calibri" w:eastAsia="SimSun" w:hAnsi="Calibri" w:cs="Calibri"/>
          <w:b/>
          <w:bCs/>
          <w:sz w:val="22"/>
          <w:szCs w:val="22"/>
          <w:lang w:val="hr-HR"/>
        </w:rPr>
      </w:pPr>
      <w:bookmarkStart w:id="38" w:name="_Toc129083711"/>
      <w:bookmarkEnd w:id="37"/>
      <w:r>
        <w:rPr>
          <w:rFonts w:ascii="Calibri" w:eastAsia="SimSun" w:hAnsi="Calibri" w:cs="Calibri"/>
          <w:b/>
          <w:bCs/>
          <w:sz w:val="22"/>
          <w:szCs w:val="22"/>
          <w:lang w:val="hr-HR"/>
        </w:rPr>
        <w:t>FINANCIJSKI INSTRUMENTI</w:t>
      </w:r>
      <w:bookmarkEnd w:id="38"/>
      <w:r>
        <w:rPr>
          <w:rFonts w:ascii="Calibri" w:eastAsia="SimSun" w:hAnsi="Calibri" w:cs="Calibri"/>
          <w:b/>
          <w:bCs/>
          <w:sz w:val="22"/>
          <w:szCs w:val="22"/>
          <w:lang w:val="hr-HR"/>
        </w:rPr>
        <w:t xml:space="preserve"> </w:t>
      </w:r>
    </w:p>
    <w:p w14:paraId="1748D7A9" w14:textId="14E0C9F8" w:rsidR="00382CF2" w:rsidRDefault="00054989">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t>HBOR je u 2022. nastavio provedbu postojećih Financijskih instrumenata namijenjenih privatnom sektoru: „ESIF Krediti za rast i razvoj” i „Obrtna sredstva za ruralni razvoj”</w:t>
      </w:r>
      <w:r w:rsidR="002817CF">
        <w:rPr>
          <w:rFonts w:ascii="Calibri" w:eastAsia="Calibri" w:hAnsi="Calibri" w:cs="Calibri"/>
          <w:sz w:val="22"/>
          <w:szCs w:val="22"/>
          <w:lang w:val="hr-HR"/>
        </w:rPr>
        <w:t>,</w:t>
      </w:r>
      <w:r>
        <w:rPr>
          <w:rFonts w:ascii="Calibri" w:eastAsia="Calibri" w:hAnsi="Calibri" w:cs="Calibri"/>
          <w:sz w:val="22"/>
          <w:szCs w:val="22"/>
          <w:lang w:val="hr-HR"/>
        </w:rPr>
        <w:t xml:space="preserve"> ali i financijskog instrumenta namijenjenog javnom sektoru: „ESIF Krediti za javnu rasvjetu”. Ujedno je nastavljeno prilagođavanje postojećih financijskih instrumenata potrebama tržišta kroz izmjene uvjeta istih.</w:t>
      </w:r>
    </w:p>
    <w:p w14:paraId="1748D7AA" w14:textId="12C4D05C" w:rsidR="00382CF2" w:rsidRDefault="00054989">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t>Uz provedbu postojećih financijskih instrumenata, HBOR je kroz radne skupine aktivno sudjelovao i u procesu programiranja korištenja EU fondova za novo financijsko razdoblje</w:t>
      </w:r>
      <w:r w:rsidR="006B299B">
        <w:rPr>
          <w:rFonts w:ascii="Calibri" w:eastAsia="Calibri" w:hAnsi="Calibri" w:cs="Calibri"/>
          <w:sz w:val="22"/>
          <w:szCs w:val="22"/>
          <w:lang w:val="hr-HR"/>
        </w:rPr>
        <w:t xml:space="preserve"> od</w:t>
      </w:r>
      <w:r>
        <w:rPr>
          <w:rFonts w:ascii="Calibri" w:eastAsia="Calibri" w:hAnsi="Calibri" w:cs="Calibri"/>
          <w:sz w:val="22"/>
          <w:szCs w:val="22"/>
          <w:lang w:val="hr-HR"/>
        </w:rPr>
        <w:t xml:space="preserve"> 2021.-2027.</w:t>
      </w:r>
      <w:r w:rsidR="006B299B">
        <w:rPr>
          <w:rFonts w:ascii="Calibri" w:eastAsia="Calibri" w:hAnsi="Calibri" w:cs="Calibri"/>
          <w:sz w:val="22"/>
          <w:szCs w:val="22"/>
          <w:lang w:val="hr-HR"/>
        </w:rPr>
        <w:t xml:space="preserve"> godine.</w:t>
      </w:r>
      <w:r>
        <w:rPr>
          <w:rFonts w:ascii="Calibri" w:eastAsia="Calibri" w:hAnsi="Calibri" w:cs="Calibri"/>
          <w:sz w:val="22"/>
          <w:szCs w:val="22"/>
          <w:lang w:val="hr-HR"/>
        </w:rPr>
        <w:t xml:space="preserve"> Proces programiranja, koordiniran od strane Ministarstva regionalnog razvoja i fondova Europske unije, završio je u prosincu 2022., a rezultirao je usvajanjem od strane Europske komisije ključnih Programskih dokumenata (Sporazum o partnerstvu, Operativni program Konkurentnost i kohezija 2021. – 2027. (OPKK), Integrirani teritorijalni program 2021. – 2027. (ITP), Operativni program Učinkoviti ljudski potencijali 2021.-2027. (OPULJP), Program za ribarstvo i akvakulturu 2021. - 2027. (PRA)).</w:t>
      </w:r>
    </w:p>
    <w:p w14:paraId="7594AA1A" w14:textId="660AC679" w:rsidR="00DD4B19" w:rsidRDefault="00054989" w:rsidP="00ED0A0F">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t>HBOR je u 2022. kroz rad u neformalnim radnim skupinama koje koordinira Ministarstvo regionalnoga razvoja i fondova Europske unije, a u suradnji s resornim ministarstvima, započeo s postupkom razrade novih financijskih instrumenata, čija se implementacija očekuje u 2024. godini.</w:t>
      </w:r>
    </w:p>
    <w:p w14:paraId="26D90C72" w14:textId="77777777" w:rsidR="00ED0A0F" w:rsidRDefault="00ED0A0F" w:rsidP="00BB609F">
      <w:pPr>
        <w:spacing w:before="120" w:after="120" w:line="276" w:lineRule="auto"/>
        <w:jc w:val="both"/>
        <w:rPr>
          <w:rFonts w:ascii="Calibri" w:eastAsia="Calibri" w:hAnsi="Calibri" w:cs="Calibri"/>
          <w:sz w:val="22"/>
          <w:szCs w:val="22"/>
          <w:lang w:val="hr-HR"/>
        </w:rPr>
      </w:pPr>
    </w:p>
    <w:p w14:paraId="1748D7AD" w14:textId="77777777" w:rsidR="00382CF2" w:rsidRDefault="00054989" w:rsidP="00DD4B19">
      <w:pPr>
        <w:keepNext/>
        <w:jc w:val="both"/>
        <w:outlineLvl w:val="1"/>
        <w:rPr>
          <w:rFonts w:ascii="Calibri" w:eastAsia="SimSun" w:hAnsi="Calibri" w:cs="Calibri"/>
          <w:b/>
          <w:bCs/>
          <w:sz w:val="22"/>
          <w:szCs w:val="22"/>
          <w:lang w:val="hr-HR"/>
        </w:rPr>
      </w:pPr>
      <w:bookmarkStart w:id="39" w:name="_Toc129083712"/>
      <w:r>
        <w:rPr>
          <w:rFonts w:ascii="Calibri" w:eastAsia="SimSun" w:hAnsi="Calibri" w:cs="Calibri"/>
          <w:b/>
          <w:bCs/>
          <w:sz w:val="22"/>
          <w:szCs w:val="22"/>
          <w:lang w:val="hr-HR"/>
        </w:rPr>
        <w:t>JAMSTVA EIF-a IZ PAN-EUROPSKOG JAMSTVENOG FONDA (EGF) – ODOBRAVANJE KREDITA UZ POVOLJNIJE UVJETE RADI UBLAŽAVANJA POSLJEDICA UZROKOVANIH PANDEMIJOM COVID-19</w:t>
      </w:r>
      <w:bookmarkEnd w:id="39"/>
    </w:p>
    <w:p w14:paraId="1748D7AE" w14:textId="3622F31A" w:rsidR="00382CF2" w:rsidRDefault="00054989">
      <w:pPr>
        <w:spacing w:before="120" w:after="120" w:line="276" w:lineRule="auto"/>
        <w:jc w:val="both"/>
        <w:rPr>
          <w:rFonts w:ascii="Calibri" w:hAnsi="Calibri" w:cs="Calibri"/>
          <w:sz w:val="22"/>
          <w:szCs w:val="22"/>
          <w:lang w:val="hr-HR"/>
        </w:rPr>
      </w:pPr>
      <w:r>
        <w:rPr>
          <w:rFonts w:ascii="Calibri" w:hAnsi="Calibri" w:cs="Calibri"/>
          <w:sz w:val="22"/>
          <w:szCs w:val="22"/>
          <w:lang w:val="hr-HR"/>
        </w:rPr>
        <w:t>Pan-europski jamstveni fond osnovala je EIB Grupa 2020.</w:t>
      </w:r>
      <w:r w:rsidR="001F2424">
        <w:rPr>
          <w:rFonts w:ascii="Calibri" w:hAnsi="Calibri" w:cs="Calibri"/>
          <w:sz w:val="22"/>
          <w:szCs w:val="22"/>
          <w:lang w:val="hr-HR"/>
        </w:rPr>
        <w:t xml:space="preserve"> </w:t>
      </w:r>
      <w:r>
        <w:rPr>
          <w:rFonts w:ascii="Calibri" w:hAnsi="Calibri" w:cs="Calibri"/>
          <w:sz w:val="22"/>
          <w:szCs w:val="22"/>
          <w:lang w:val="hr-HR"/>
        </w:rPr>
        <w:t xml:space="preserve">kako bi ubrzala oporavak europskog gospodarstva nakon pandemije COVID-19, </w:t>
      </w:r>
      <w:r w:rsidR="00A9237E">
        <w:rPr>
          <w:rFonts w:ascii="Calibri" w:hAnsi="Calibri" w:cs="Calibri"/>
          <w:sz w:val="22"/>
          <w:szCs w:val="22"/>
          <w:lang w:val="hr-HR"/>
        </w:rPr>
        <w:t xml:space="preserve">s namjerom </w:t>
      </w:r>
      <w:r>
        <w:rPr>
          <w:rFonts w:ascii="Calibri" w:hAnsi="Calibri" w:cs="Calibri"/>
          <w:sz w:val="22"/>
          <w:szCs w:val="22"/>
          <w:lang w:val="hr-HR"/>
        </w:rPr>
        <w:t xml:space="preserve">očuvanja radnih mjesta i osiguranja likvidnosti. U okviru Pan-europskog jamstvenog fonda, HBOR je s Europskim investicijskim fondom (EIF) 2021. godine sklopio </w:t>
      </w:r>
      <w:r w:rsidR="00E64437">
        <w:rPr>
          <w:rFonts w:ascii="Calibri" w:hAnsi="Calibri" w:cs="Calibri"/>
          <w:sz w:val="22"/>
          <w:szCs w:val="22"/>
          <w:lang w:val="hr-HR"/>
        </w:rPr>
        <w:t>U</w:t>
      </w:r>
      <w:r>
        <w:rPr>
          <w:rFonts w:ascii="Calibri" w:hAnsi="Calibri" w:cs="Calibri"/>
          <w:sz w:val="22"/>
          <w:szCs w:val="22"/>
          <w:lang w:val="hr-HR"/>
        </w:rPr>
        <w:t xml:space="preserve">govor o jamstvu. </w:t>
      </w:r>
    </w:p>
    <w:p w14:paraId="1748D7AF" w14:textId="7F4C8202" w:rsidR="00382CF2" w:rsidRDefault="00054989">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t>Sklapanjem ugovora s EIF-om</w:t>
      </w:r>
      <w:r w:rsidR="00E77B8F">
        <w:rPr>
          <w:rFonts w:ascii="Calibri" w:eastAsia="Calibri" w:hAnsi="Calibri" w:cs="Calibri"/>
          <w:sz w:val="22"/>
          <w:szCs w:val="22"/>
          <w:lang w:val="hr-HR"/>
        </w:rPr>
        <w:t>,</w:t>
      </w:r>
      <w:r>
        <w:rPr>
          <w:rFonts w:ascii="Calibri" w:eastAsia="Calibri" w:hAnsi="Calibri" w:cs="Calibri"/>
          <w:sz w:val="22"/>
          <w:szCs w:val="22"/>
          <w:lang w:val="hr-HR"/>
        </w:rPr>
        <w:t xml:space="preserve"> HBOR-u je omogućeno korištenje jamstava za portfelj kredita odobren malim i srednjim poduzećima te malim srednje kapitaliziranim poduzećima u ukupnom iznosu do 50 milijuna eura. </w:t>
      </w:r>
    </w:p>
    <w:p w14:paraId="1748D7B0" w14:textId="490C0659" w:rsidR="00382CF2" w:rsidRDefault="00054989">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t xml:space="preserve">Ova su se jamstva koristila za izravno odobrene kredite u okviru postojećih programa kreditiranja u svrhu dobivanja povoljnijih uvjeta: odobrenja kredita uz kamatne stope snižene za 0,403 postotna boda u odnosu na redovne ili uz manje zahtjeve za instrumente osiguranja, odnosno odobrenja kredita samo uz mjenice i zadužnice. Ove pogodnosti poduzetnici su mogli koristiti za kreditiranje obrtnih sredstava i za </w:t>
      </w:r>
      <w:r w:rsidR="00420BB3">
        <w:rPr>
          <w:rFonts w:ascii="Calibri" w:eastAsia="Calibri" w:hAnsi="Calibri" w:cs="Calibri"/>
          <w:sz w:val="22"/>
          <w:szCs w:val="22"/>
          <w:lang w:val="hr-HR"/>
        </w:rPr>
        <w:t>investicijska ulaganja</w:t>
      </w:r>
      <w:r>
        <w:rPr>
          <w:rFonts w:ascii="Calibri" w:eastAsia="Calibri" w:hAnsi="Calibri" w:cs="Calibri"/>
          <w:sz w:val="22"/>
          <w:szCs w:val="22"/>
          <w:lang w:val="hr-HR"/>
        </w:rPr>
        <w:t xml:space="preserve">. </w:t>
      </w:r>
    </w:p>
    <w:p w14:paraId="1748D7B1" w14:textId="1D7DD770" w:rsidR="00382CF2" w:rsidRDefault="00054989">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t xml:space="preserve">Ovaj proizvod provodio se </w:t>
      </w:r>
      <w:r w:rsidR="007528E9">
        <w:rPr>
          <w:rFonts w:ascii="Calibri" w:eastAsia="Calibri" w:hAnsi="Calibri" w:cs="Calibri"/>
          <w:sz w:val="22"/>
          <w:szCs w:val="22"/>
          <w:lang w:val="hr-HR"/>
        </w:rPr>
        <w:t>kroz</w:t>
      </w:r>
      <w:r>
        <w:rPr>
          <w:rFonts w:ascii="Calibri" w:eastAsia="Calibri" w:hAnsi="Calibri" w:cs="Calibri"/>
          <w:sz w:val="22"/>
          <w:szCs w:val="22"/>
          <w:lang w:val="hr-HR"/>
        </w:rPr>
        <w:t xml:space="preserve"> 2022. godinu</w:t>
      </w:r>
      <w:r w:rsidR="007528E9">
        <w:rPr>
          <w:rFonts w:ascii="Calibri" w:eastAsia="Calibri" w:hAnsi="Calibri" w:cs="Calibri"/>
          <w:sz w:val="22"/>
          <w:szCs w:val="22"/>
          <w:lang w:val="hr-HR"/>
        </w:rPr>
        <w:t>, a završetkom godine okončana je</w:t>
      </w:r>
      <w:r w:rsidR="000734C7">
        <w:rPr>
          <w:rFonts w:ascii="Calibri" w:eastAsia="Calibri" w:hAnsi="Calibri" w:cs="Calibri"/>
          <w:sz w:val="22"/>
          <w:szCs w:val="22"/>
          <w:lang w:val="hr-HR"/>
        </w:rPr>
        <w:t xml:space="preserve"> provedba istog. </w:t>
      </w:r>
      <w:r>
        <w:rPr>
          <w:rFonts w:ascii="Calibri" w:eastAsia="Calibri" w:hAnsi="Calibri" w:cs="Calibri"/>
          <w:sz w:val="22"/>
          <w:szCs w:val="22"/>
          <w:lang w:val="hr-HR"/>
        </w:rPr>
        <w:t xml:space="preserve"> </w:t>
      </w:r>
      <w:r w:rsidR="00445AA6">
        <w:rPr>
          <w:rFonts w:ascii="Calibri" w:eastAsia="Calibri" w:hAnsi="Calibri" w:cs="Calibri"/>
          <w:sz w:val="22"/>
          <w:szCs w:val="22"/>
          <w:lang w:val="hr-HR"/>
        </w:rPr>
        <w:t>Provedbom navedenog proizvoda</w:t>
      </w:r>
      <w:r>
        <w:rPr>
          <w:rFonts w:ascii="Calibri" w:eastAsia="Calibri" w:hAnsi="Calibri" w:cs="Calibri"/>
          <w:sz w:val="22"/>
          <w:szCs w:val="22"/>
          <w:lang w:val="hr-HR"/>
        </w:rPr>
        <w:t xml:space="preserve"> HBOR </w:t>
      </w:r>
      <w:r w:rsidR="00445AA6">
        <w:rPr>
          <w:rFonts w:ascii="Calibri" w:eastAsia="Calibri" w:hAnsi="Calibri" w:cs="Calibri"/>
          <w:sz w:val="22"/>
          <w:szCs w:val="22"/>
          <w:lang w:val="hr-HR"/>
        </w:rPr>
        <w:t xml:space="preserve">je u potpunosti </w:t>
      </w:r>
      <w:r>
        <w:rPr>
          <w:rFonts w:ascii="Calibri" w:eastAsia="Calibri" w:hAnsi="Calibri" w:cs="Calibri"/>
          <w:sz w:val="22"/>
          <w:szCs w:val="22"/>
          <w:lang w:val="hr-HR"/>
        </w:rPr>
        <w:t xml:space="preserve">iskoristio planirani portfelj od 50 milijuna eura odobrenih kredita. </w:t>
      </w:r>
    </w:p>
    <w:p w14:paraId="1748D7B2" w14:textId="77777777" w:rsidR="00382CF2" w:rsidRDefault="00382CF2">
      <w:pPr>
        <w:spacing w:before="120" w:after="120" w:line="276" w:lineRule="auto"/>
        <w:jc w:val="both"/>
        <w:rPr>
          <w:rFonts w:ascii="Calibri" w:eastAsia="Calibri" w:hAnsi="Calibri" w:cs="Calibri"/>
          <w:sz w:val="22"/>
          <w:szCs w:val="22"/>
          <w:lang w:val="hr-HR"/>
        </w:rPr>
      </w:pPr>
    </w:p>
    <w:p w14:paraId="1748D7B3" w14:textId="37D0D02E" w:rsidR="00382CF2" w:rsidRDefault="00054989" w:rsidP="0061136B">
      <w:pPr>
        <w:keepNext/>
        <w:jc w:val="both"/>
        <w:outlineLvl w:val="1"/>
        <w:rPr>
          <w:rFonts w:ascii="Calibri" w:eastAsia="SimSun" w:hAnsi="Calibri" w:cs="Calibri"/>
          <w:b/>
          <w:bCs/>
          <w:sz w:val="22"/>
          <w:szCs w:val="22"/>
          <w:lang w:val="hr-HR"/>
        </w:rPr>
      </w:pPr>
      <w:bookmarkStart w:id="40" w:name="_Toc129083713"/>
      <w:r>
        <w:rPr>
          <w:rFonts w:ascii="Calibri" w:eastAsia="SimSun" w:hAnsi="Calibri" w:cs="Calibri"/>
          <w:b/>
          <w:bCs/>
          <w:sz w:val="22"/>
          <w:szCs w:val="22"/>
          <w:lang w:val="hr-HR"/>
        </w:rPr>
        <w:t>KREDITNA LINIJA ZA FINANCIRANJE PRIRODNOG KAPITALA</w:t>
      </w:r>
      <w:r w:rsidR="00972D5C">
        <w:rPr>
          <w:rFonts w:ascii="Calibri" w:eastAsia="SimSun" w:hAnsi="Calibri" w:cs="Calibri"/>
          <w:b/>
          <w:bCs/>
          <w:sz w:val="22"/>
          <w:szCs w:val="22"/>
          <w:lang w:val="hr-HR"/>
        </w:rPr>
        <w:t xml:space="preserve"> (</w:t>
      </w:r>
      <w:r w:rsidR="00972D5C" w:rsidRPr="003518ED">
        <w:rPr>
          <w:rFonts w:ascii="Calibri" w:eastAsia="SimSun" w:hAnsi="Calibri" w:cs="Calibri"/>
          <w:b/>
          <w:bCs/>
          <w:i/>
          <w:iCs/>
          <w:sz w:val="22"/>
          <w:szCs w:val="22"/>
          <w:lang w:val="hr-HR"/>
        </w:rPr>
        <w:t>engl. NATURAL CAPITAL FINANCING FACILITY (NCFF)</w:t>
      </w:r>
      <w:r w:rsidR="00972D5C">
        <w:rPr>
          <w:rFonts w:ascii="Calibri" w:eastAsia="SimSun" w:hAnsi="Calibri" w:cs="Calibri"/>
          <w:b/>
          <w:bCs/>
          <w:sz w:val="22"/>
          <w:szCs w:val="22"/>
          <w:lang w:val="hr-HR"/>
        </w:rPr>
        <w:t>)</w:t>
      </w:r>
      <w:bookmarkEnd w:id="40"/>
    </w:p>
    <w:p w14:paraId="1748D7B4" w14:textId="0F9277C9" w:rsidR="00382CF2" w:rsidRDefault="00054989">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t xml:space="preserve">HBOR je do kraja rujna 2022. provodio NCFF kreditnu liniju, koja je proizašla iz suradnje s EIB-om i sklopljenog Ugovora o financiranju u iznosu </w:t>
      </w:r>
      <w:r w:rsidR="005942CE">
        <w:rPr>
          <w:rFonts w:ascii="Calibri" w:eastAsia="Calibri" w:hAnsi="Calibri" w:cs="Calibri"/>
          <w:sz w:val="22"/>
          <w:szCs w:val="22"/>
          <w:lang w:val="hr-HR"/>
        </w:rPr>
        <w:t xml:space="preserve">od </w:t>
      </w:r>
      <w:r>
        <w:rPr>
          <w:rFonts w:ascii="Calibri" w:eastAsia="Calibri" w:hAnsi="Calibri" w:cs="Calibri"/>
          <w:sz w:val="22"/>
          <w:szCs w:val="22"/>
          <w:lang w:val="hr-HR"/>
        </w:rPr>
        <w:t>15 milijuna eura, čija su sredstva bila namijenjena za financiranje očuvanja i održivog korištenja bioraznolikosti kroz zeleno poduzetništvo i prilagodbu klimatskim promjenama korištenjem prirodnih rješenja.</w:t>
      </w:r>
    </w:p>
    <w:p w14:paraId="1748D7B5" w14:textId="77777777" w:rsidR="00382CF2" w:rsidRDefault="00054989">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lastRenderedPageBreak/>
        <w:t>NCFF je financijski instrument koji kombinira sredstva EIB-a i sredstva LIFE programa, instrumenta Europske unije namijenjenoga financiranju aktivnosti na području zaštite okoliša, prirode i klime.</w:t>
      </w:r>
    </w:p>
    <w:p w14:paraId="1748D7B6" w14:textId="77777777" w:rsidR="00382CF2" w:rsidRDefault="00054989">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t>Osim povoljnijih uvjeta kreditiranja, poduzetnicima i javnom sektoru bila je omogućena i besplatna tehnička pomoć u obliku savjetodavnih usluga, kao što su utvrđivanje ispunjavanja NCFF kriterija, pomoć u identificiranju i pripremi projekata, tehnički i financijski savjeti, pomoć kod marketinške strategije, izvještavanja o statusu i rezultatima projekta i sl.</w:t>
      </w:r>
    </w:p>
    <w:p w14:paraId="1748D7B7" w14:textId="77777777" w:rsidR="00382CF2" w:rsidRDefault="00382CF2">
      <w:pPr>
        <w:spacing w:before="120" w:after="120" w:line="276" w:lineRule="auto"/>
        <w:jc w:val="both"/>
        <w:rPr>
          <w:rFonts w:ascii="Calibri" w:eastAsia="Calibri" w:hAnsi="Calibri" w:cs="Calibri"/>
          <w:sz w:val="22"/>
          <w:szCs w:val="22"/>
          <w:lang w:val="hr-HR"/>
        </w:rPr>
      </w:pPr>
    </w:p>
    <w:p w14:paraId="1748D7B8" w14:textId="77777777" w:rsidR="00382CF2" w:rsidRDefault="00054989" w:rsidP="0061136B">
      <w:pPr>
        <w:keepNext/>
        <w:jc w:val="both"/>
        <w:outlineLvl w:val="1"/>
        <w:rPr>
          <w:rFonts w:ascii="Calibri" w:eastAsia="SimSun" w:hAnsi="Calibri" w:cs="Calibri"/>
          <w:b/>
          <w:bCs/>
          <w:sz w:val="22"/>
          <w:szCs w:val="22"/>
          <w:lang w:val="hr-HR"/>
        </w:rPr>
      </w:pPr>
      <w:bookmarkStart w:id="41" w:name="_Toc129083714"/>
      <w:r>
        <w:rPr>
          <w:rFonts w:ascii="Calibri" w:eastAsia="SimSun" w:hAnsi="Calibri" w:cs="Calibri"/>
          <w:b/>
          <w:bCs/>
          <w:sz w:val="22"/>
          <w:szCs w:val="22"/>
          <w:lang w:val="hr-HR"/>
        </w:rPr>
        <w:t>SAVJETODAVNE USLUGE JAVNOM SEKTORU KROZ EUROPSKI SAVJETODAVNI CENTAR ZA ULAGANJA - EIAH</w:t>
      </w:r>
      <w:bookmarkEnd w:id="41"/>
      <w:r>
        <w:rPr>
          <w:rFonts w:ascii="Calibri" w:eastAsia="SimSun" w:hAnsi="Calibri" w:cs="Calibri"/>
          <w:b/>
          <w:bCs/>
          <w:sz w:val="22"/>
          <w:szCs w:val="22"/>
          <w:lang w:val="hr-HR"/>
        </w:rPr>
        <w:t xml:space="preserve"> </w:t>
      </w:r>
    </w:p>
    <w:p w14:paraId="1748D7B9" w14:textId="75D8476C" w:rsidR="00382CF2" w:rsidRDefault="00054989">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t>Projekt „Savjetodavne usluge javnom sektoru“ provodio se uz financiranje od strane Europske unije kroz Europski savjetodavni centar za ulaganja (</w:t>
      </w:r>
      <w:r w:rsidRPr="003518ED">
        <w:rPr>
          <w:rFonts w:ascii="Calibri" w:eastAsia="Calibri" w:hAnsi="Calibri" w:cs="Calibri"/>
          <w:i/>
          <w:iCs/>
          <w:sz w:val="22"/>
          <w:szCs w:val="22"/>
          <w:lang w:val="hr-HR"/>
        </w:rPr>
        <w:t>engl. European Investment Advisory Hub (EIAH)</w:t>
      </w:r>
      <w:r>
        <w:rPr>
          <w:rFonts w:ascii="Calibri" w:eastAsia="Calibri" w:hAnsi="Calibri" w:cs="Calibri"/>
          <w:sz w:val="22"/>
          <w:szCs w:val="22"/>
          <w:lang w:val="hr-HR"/>
        </w:rPr>
        <w:t>) na temelju Ugovora o financiranju razvoja i provedbe savjetodavnih usluga za ulaganja zaključenog početkom 2021. između EIB-a i HBOR-a.</w:t>
      </w:r>
    </w:p>
    <w:p w14:paraId="1748D7BA" w14:textId="46961CB9" w:rsidR="00382CF2" w:rsidRDefault="00054989">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t>Ciljevi projekta</w:t>
      </w:r>
      <w:r w:rsidR="00D62BD7">
        <w:rPr>
          <w:rFonts w:ascii="Calibri" w:eastAsia="Calibri" w:hAnsi="Calibri" w:cs="Calibri"/>
          <w:sz w:val="22"/>
          <w:szCs w:val="22"/>
          <w:lang w:val="hr-HR"/>
        </w:rPr>
        <w:t xml:space="preserve"> su</w:t>
      </w:r>
      <w:r>
        <w:rPr>
          <w:rFonts w:ascii="Calibri" w:eastAsia="Calibri" w:hAnsi="Calibri" w:cs="Calibri"/>
          <w:sz w:val="22"/>
          <w:szCs w:val="22"/>
          <w:lang w:val="hr-HR"/>
        </w:rPr>
        <w:t xml:space="preserve"> povećanje kvalitete i obujma ulaganja javnog sektora u </w:t>
      </w:r>
      <w:r w:rsidR="007C2E06" w:rsidRPr="007C2E06">
        <w:rPr>
          <w:rFonts w:ascii="Calibri" w:eastAsia="Calibri" w:hAnsi="Calibri" w:cs="Calibri"/>
          <w:sz w:val="22"/>
          <w:szCs w:val="22"/>
          <w:lang w:val="hr-HR"/>
        </w:rPr>
        <w:t>Republi</w:t>
      </w:r>
      <w:r w:rsidR="007C2E06">
        <w:rPr>
          <w:rFonts w:ascii="Calibri" w:eastAsia="Calibri" w:hAnsi="Calibri" w:cs="Calibri"/>
          <w:sz w:val="22"/>
          <w:szCs w:val="22"/>
          <w:lang w:val="hr-HR"/>
        </w:rPr>
        <w:t>ci</w:t>
      </w:r>
      <w:r w:rsidR="007C2E06" w:rsidRPr="007C2E06">
        <w:rPr>
          <w:rFonts w:ascii="Calibri" w:eastAsia="Calibri" w:hAnsi="Calibri" w:cs="Calibri"/>
          <w:sz w:val="22"/>
          <w:szCs w:val="22"/>
          <w:lang w:val="hr-HR"/>
        </w:rPr>
        <w:t xml:space="preserve"> Hrvatsk</w:t>
      </w:r>
      <w:r w:rsidR="007C2E06">
        <w:rPr>
          <w:rFonts w:ascii="Calibri" w:eastAsia="Calibri" w:hAnsi="Calibri" w:cs="Calibri"/>
          <w:sz w:val="22"/>
          <w:szCs w:val="22"/>
          <w:lang w:val="hr-HR"/>
        </w:rPr>
        <w:t>oj</w:t>
      </w:r>
      <w:r>
        <w:rPr>
          <w:rFonts w:ascii="Calibri" w:eastAsia="Calibri" w:hAnsi="Calibri" w:cs="Calibri"/>
          <w:sz w:val="22"/>
          <w:szCs w:val="22"/>
          <w:lang w:val="hr-HR"/>
        </w:rPr>
        <w:t xml:space="preserve"> sa svrhom uravnoteženja lokalnog i regionalnog razvoja te unaprjeđenje apsorpcije europskih strukturnih i investicijskih fondova u financijskom okviru 2021.-2027. kroz savjetodavnu pomoć u strukturiranju održivih, a </w:t>
      </w:r>
      <w:r w:rsidR="00CA2C34">
        <w:rPr>
          <w:rFonts w:ascii="Calibri" w:eastAsia="Calibri" w:hAnsi="Calibri" w:cs="Calibri"/>
          <w:sz w:val="22"/>
          <w:szCs w:val="22"/>
          <w:lang w:val="hr-HR"/>
        </w:rPr>
        <w:t xml:space="preserve">posljedično </w:t>
      </w:r>
      <w:r>
        <w:rPr>
          <w:rFonts w:ascii="Calibri" w:eastAsia="Calibri" w:hAnsi="Calibri" w:cs="Calibri"/>
          <w:sz w:val="22"/>
          <w:szCs w:val="22"/>
          <w:lang w:val="hr-HR"/>
        </w:rPr>
        <w:t>i isplativih projekata javnog sektora, a prije svega jedinica lokalne i područne (regionalne) samouprave - JLP(R)S.</w:t>
      </w:r>
    </w:p>
    <w:p w14:paraId="1748D7BB" w14:textId="26CAAE55" w:rsidR="00382CF2" w:rsidRDefault="00054989">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t>Ukupna vrijednost Projekta je 670.125,00 eura, od čega će EIAH financirati do najviše 75 posto troškova Projekta, odnosno do najviše 500.000,00 eura. Razliku do 100 posto troškova Projekta HBOR financira iz vlastitih sredstava.</w:t>
      </w:r>
    </w:p>
    <w:p w14:paraId="1748D7BC" w14:textId="77777777" w:rsidR="00382CF2" w:rsidRDefault="00054989">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t>Projekt se provodio u suradnji s dvije grupe vanjskih konzultanata (Konzultanti 1 i Konzultanti 2). S Konzultantima 1 su u razdoblju trajanja ugovora o konzultantskim uslugama (svibanj - prosinac 2021.) realizirana dva ključna cilja Projekta: pružene su savjetodavne usluge HBOR-u kako bi HBOR razvio najprimjereniji model pružanja tehničke pomoći te je organizirana promotivna kampanja radi podizanja svijesti o dostupnoj savjetodavnoj podršci HBOR-a.</w:t>
      </w:r>
    </w:p>
    <w:p w14:paraId="1748D7BD" w14:textId="0172CF9E" w:rsidR="00382CF2" w:rsidRDefault="00054989">
      <w:pPr>
        <w:spacing w:before="120" w:after="120" w:line="276" w:lineRule="auto"/>
        <w:jc w:val="both"/>
        <w:rPr>
          <w:rFonts w:ascii="Calibri" w:eastAsia="Calibri" w:hAnsi="Calibri" w:cs="Calibri"/>
          <w:sz w:val="22"/>
          <w:szCs w:val="22"/>
          <w:lang w:val="hr-HR"/>
        </w:rPr>
      </w:pPr>
      <w:r>
        <w:rPr>
          <w:rFonts w:ascii="Calibri" w:eastAsia="Calibri" w:hAnsi="Calibri" w:cs="Calibri"/>
          <w:sz w:val="22"/>
          <w:szCs w:val="22"/>
          <w:lang w:val="hr-HR"/>
        </w:rPr>
        <w:t>U razdoblju od 1. siječnja 2022. do 30. lipnja 2022. provedena je druga faza Projekta u kojoj je realiziran treći ključni cilj: pružene su savjetodavne usluge i tehnička pomoć krajnjim korisnicima Projekta odnosno JLP(R)S-ovima koje obuhvaćaju savjetodavne usluge vezane uz reviziju/izradu projektno tehničke dokumentacije (analiza postojećeg stanja, analiza projekta uklanjanja građevine, izrada geodetskog elaborata, izrada idejnog rješenja, izvođenje akata javnopravnih tijela, izrada glavnog projekta s troškovnikom, revidiranje troškovnika), izradu studije izvodljivosti s analizom troškova i koristi, financijsko savjetovanje</w:t>
      </w:r>
      <w:r w:rsidR="00F0179F">
        <w:rPr>
          <w:rFonts w:ascii="Calibri" w:eastAsia="Calibri" w:hAnsi="Calibri" w:cs="Calibri"/>
          <w:sz w:val="22"/>
          <w:szCs w:val="22"/>
          <w:lang w:val="hr-HR"/>
        </w:rPr>
        <w:t xml:space="preserve">, tj. </w:t>
      </w:r>
      <w:r>
        <w:rPr>
          <w:rFonts w:ascii="Calibri" w:eastAsia="Calibri" w:hAnsi="Calibri" w:cs="Calibri"/>
          <w:sz w:val="22"/>
          <w:szCs w:val="22"/>
          <w:lang w:val="hr-HR"/>
        </w:rPr>
        <w:t xml:space="preserve"> analizu mogućih izvora financiranja, podršku u pripremi projektnog prijedloga i izradi potrebne dokumentacije za prijavu na dostupne javne pozive te savjetodavnu podršku u javnoj nabavi i konzultantske usluge pri provedbi projekata.</w:t>
      </w:r>
    </w:p>
    <w:p w14:paraId="1748D7BE" w14:textId="7F74EA77" w:rsidR="00382CF2" w:rsidRDefault="00054989" w:rsidP="00CD6310">
      <w:pPr>
        <w:spacing w:line="276" w:lineRule="auto"/>
        <w:jc w:val="both"/>
        <w:rPr>
          <w:rFonts w:ascii="Calibri" w:eastAsia="Calibri" w:hAnsi="Calibri" w:cs="Calibri"/>
          <w:sz w:val="22"/>
          <w:szCs w:val="22"/>
          <w:lang w:val="hr-HR"/>
        </w:rPr>
      </w:pPr>
      <w:r>
        <w:rPr>
          <w:rFonts w:ascii="Calibri" w:eastAsia="Calibri" w:hAnsi="Calibri" w:cs="Calibri"/>
          <w:sz w:val="22"/>
          <w:szCs w:val="22"/>
          <w:lang w:val="hr-HR"/>
        </w:rPr>
        <w:t>Krajnji korisnici savjetodavnih usluga u 2022. bile</w:t>
      </w:r>
      <w:r w:rsidR="003F54D6">
        <w:rPr>
          <w:rFonts w:ascii="Calibri" w:eastAsia="Calibri" w:hAnsi="Calibri" w:cs="Calibri"/>
          <w:sz w:val="22"/>
          <w:szCs w:val="22"/>
          <w:lang w:val="hr-HR"/>
        </w:rPr>
        <w:t xml:space="preserve"> su</w:t>
      </w:r>
      <w:r>
        <w:rPr>
          <w:rFonts w:ascii="Calibri" w:eastAsia="Calibri" w:hAnsi="Calibri" w:cs="Calibri"/>
          <w:sz w:val="22"/>
          <w:szCs w:val="22"/>
          <w:lang w:val="hr-HR"/>
        </w:rPr>
        <w:t xml:space="preserve"> jedinice lokalne i područne (regionalne) samouprave</w:t>
      </w:r>
      <w:r w:rsidR="003F54D6">
        <w:rPr>
          <w:rFonts w:ascii="Calibri" w:eastAsia="Calibri" w:hAnsi="Calibri" w:cs="Calibri"/>
          <w:sz w:val="22"/>
          <w:szCs w:val="22"/>
          <w:lang w:val="hr-HR"/>
        </w:rPr>
        <w:t>,</w:t>
      </w:r>
      <w:r>
        <w:rPr>
          <w:rFonts w:ascii="Calibri" w:eastAsia="Calibri" w:hAnsi="Calibri" w:cs="Calibri"/>
          <w:sz w:val="22"/>
          <w:szCs w:val="22"/>
          <w:lang w:val="hr-HR"/>
        </w:rPr>
        <w:t xml:space="preserve"> odnosno </w:t>
      </w:r>
      <w:r w:rsidR="004F4DD1">
        <w:rPr>
          <w:rFonts w:ascii="Calibri" w:eastAsia="Calibri" w:hAnsi="Calibri" w:cs="Calibri"/>
          <w:sz w:val="22"/>
          <w:szCs w:val="22"/>
          <w:lang w:val="hr-HR"/>
        </w:rPr>
        <w:t xml:space="preserve">tri </w:t>
      </w:r>
      <w:r>
        <w:rPr>
          <w:rFonts w:ascii="Calibri" w:eastAsia="Calibri" w:hAnsi="Calibri" w:cs="Calibri"/>
          <w:sz w:val="22"/>
          <w:szCs w:val="22"/>
          <w:lang w:val="hr-HR"/>
        </w:rPr>
        <w:t xml:space="preserve">grada, </w:t>
      </w:r>
      <w:r w:rsidR="004F4DD1">
        <w:rPr>
          <w:rFonts w:ascii="Calibri" w:eastAsia="Calibri" w:hAnsi="Calibri" w:cs="Calibri"/>
          <w:sz w:val="22"/>
          <w:szCs w:val="22"/>
          <w:lang w:val="hr-HR"/>
        </w:rPr>
        <w:t xml:space="preserve">četiri </w:t>
      </w:r>
      <w:r>
        <w:rPr>
          <w:rFonts w:ascii="Calibri" w:eastAsia="Calibri" w:hAnsi="Calibri" w:cs="Calibri"/>
          <w:sz w:val="22"/>
          <w:szCs w:val="22"/>
          <w:lang w:val="hr-HR"/>
        </w:rPr>
        <w:t xml:space="preserve">općine i </w:t>
      </w:r>
      <w:r w:rsidR="004F4DD1">
        <w:rPr>
          <w:rFonts w:ascii="Calibri" w:eastAsia="Calibri" w:hAnsi="Calibri" w:cs="Calibri"/>
          <w:sz w:val="22"/>
          <w:szCs w:val="22"/>
          <w:lang w:val="hr-HR"/>
        </w:rPr>
        <w:t xml:space="preserve">jedan </w:t>
      </w:r>
      <w:r>
        <w:rPr>
          <w:rFonts w:ascii="Calibri" w:eastAsia="Calibri" w:hAnsi="Calibri" w:cs="Calibri"/>
          <w:sz w:val="22"/>
          <w:szCs w:val="22"/>
          <w:lang w:val="hr-HR"/>
        </w:rPr>
        <w:t xml:space="preserve">dom za starije osobe u vlasništvu županije te je realizirano ukupno </w:t>
      </w:r>
      <w:r w:rsidR="004F4DD1">
        <w:rPr>
          <w:rFonts w:ascii="Calibri" w:eastAsia="Calibri" w:hAnsi="Calibri" w:cs="Calibri"/>
          <w:sz w:val="22"/>
          <w:szCs w:val="22"/>
          <w:lang w:val="hr-HR"/>
        </w:rPr>
        <w:t xml:space="preserve">deset </w:t>
      </w:r>
      <w:r>
        <w:rPr>
          <w:rFonts w:ascii="Calibri" w:eastAsia="Calibri" w:hAnsi="Calibri" w:cs="Calibri"/>
          <w:sz w:val="22"/>
          <w:szCs w:val="22"/>
          <w:lang w:val="hr-HR"/>
        </w:rPr>
        <w:t xml:space="preserve">projekata od kojih je </w:t>
      </w:r>
      <w:r w:rsidR="004F4DD1">
        <w:rPr>
          <w:rFonts w:ascii="Calibri" w:eastAsia="Calibri" w:hAnsi="Calibri" w:cs="Calibri"/>
          <w:sz w:val="22"/>
          <w:szCs w:val="22"/>
          <w:lang w:val="hr-HR"/>
        </w:rPr>
        <w:t xml:space="preserve">šest </w:t>
      </w:r>
      <w:r>
        <w:rPr>
          <w:rFonts w:ascii="Calibri" w:eastAsia="Calibri" w:hAnsi="Calibri" w:cs="Calibri"/>
          <w:sz w:val="22"/>
          <w:szCs w:val="22"/>
          <w:lang w:val="hr-HR"/>
        </w:rPr>
        <w:t>na slabije razvijenim područjima Republike Hrvatske. Odabrani projekti su iz područja socijalne infrastrukture: izgradnja dječjeg vrtića, izgradnja/obnova doma za starije i nemoćne osobe, izgradnja sportskog centra, dogradnja osnovne škole, izgradnja sportske dvorane, rekonstrukcija zgrade u svrhu otvaranja multifunkcionalnog centra te projekti iz područja zaštite okoliša: zbrinjavanje otpadnih voda</w:t>
      </w:r>
      <w:r w:rsidR="00FF16F1">
        <w:rPr>
          <w:rFonts w:ascii="Calibri" w:eastAsia="Calibri" w:hAnsi="Calibri" w:cs="Calibri"/>
          <w:sz w:val="22"/>
          <w:szCs w:val="22"/>
          <w:lang w:val="hr-HR"/>
        </w:rPr>
        <w:t xml:space="preserve">, </w:t>
      </w:r>
      <w:r>
        <w:rPr>
          <w:rFonts w:ascii="Calibri" w:eastAsia="Calibri" w:hAnsi="Calibri" w:cs="Calibri"/>
          <w:sz w:val="22"/>
          <w:szCs w:val="22"/>
          <w:lang w:val="hr-HR"/>
        </w:rPr>
        <w:t>kanalizacijska mreža</w:t>
      </w:r>
      <w:r w:rsidR="00FF16F1">
        <w:rPr>
          <w:rFonts w:ascii="Calibri" w:eastAsia="Calibri" w:hAnsi="Calibri" w:cs="Calibri"/>
          <w:sz w:val="22"/>
          <w:szCs w:val="22"/>
          <w:lang w:val="hr-HR"/>
        </w:rPr>
        <w:t xml:space="preserve">, </w:t>
      </w:r>
      <w:r>
        <w:rPr>
          <w:rFonts w:ascii="Calibri" w:eastAsia="Calibri" w:hAnsi="Calibri" w:cs="Calibri"/>
          <w:sz w:val="22"/>
          <w:szCs w:val="22"/>
          <w:lang w:val="hr-HR"/>
        </w:rPr>
        <w:t>ugradnja pročišćivača i izgradnja reciklažnog dvorišta za građevinski otpad.</w:t>
      </w:r>
    </w:p>
    <w:p w14:paraId="1748D7BF" w14:textId="1F8A80A6" w:rsidR="00382CF2" w:rsidRDefault="00054989">
      <w:pPr>
        <w:keepNext/>
        <w:jc w:val="both"/>
        <w:outlineLvl w:val="1"/>
        <w:rPr>
          <w:rFonts w:ascii="Calibri" w:eastAsia="SimSun" w:hAnsi="Calibri" w:cs="Calibri"/>
          <w:b/>
          <w:bCs/>
          <w:sz w:val="22"/>
          <w:szCs w:val="22"/>
          <w:lang w:val="hr-HR"/>
        </w:rPr>
      </w:pPr>
      <w:bookmarkStart w:id="42" w:name="_Toc129083715"/>
      <w:r>
        <w:rPr>
          <w:rFonts w:ascii="Calibri" w:eastAsia="SimSun" w:hAnsi="Calibri" w:cs="Calibri"/>
          <w:b/>
          <w:bCs/>
          <w:sz w:val="22"/>
          <w:szCs w:val="22"/>
          <w:lang w:val="hr-HR"/>
        </w:rPr>
        <w:lastRenderedPageBreak/>
        <w:t>HBOR-</w:t>
      </w:r>
      <w:r w:rsidR="08211F6B" w:rsidRPr="4DB17F52">
        <w:rPr>
          <w:rFonts w:ascii="Calibri" w:eastAsia="SimSun" w:hAnsi="Calibri" w:cs="Calibri"/>
          <w:b/>
          <w:bCs/>
          <w:sz w:val="22"/>
          <w:szCs w:val="22"/>
          <w:lang w:val="hr-HR"/>
        </w:rPr>
        <w:t>ov</w:t>
      </w:r>
      <w:r>
        <w:rPr>
          <w:rFonts w:ascii="Calibri" w:eastAsia="SimSun" w:hAnsi="Calibri" w:cs="Calibri"/>
          <w:b/>
          <w:bCs/>
          <w:sz w:val="22"/>
          <w:szCs w:val="22"/>
          <w:lang w:val="hr-HR"/>
        </w:rPr>
        <w:t xml:space="preserve"> PROJEKT ODRŽIVOG FINANCIRANJA – ZAOKRET HBOR-</w:t>
      </w:r>
      <w:r w:rsidR="4CA878C4" w:rsidRPr="4DB17F52">
        <w:rPr>
          <w:rFonts w:ascii="Calibri" w:eastAsia="SimSun" w:hAnsi="Calibri" w:cs="Calibri"/>
          <w:b/>
          <w:bCs/>
          <w:sz w:val="22"/>
          <w:szCs w:val="22"/>
          <w:lang w:val="hr-HR"/>
        </w:rPr>
        <w:t>ovih</w:t>
      </w:r>
      <w:r>
        <w:rPr>
          <w:rFonts w:ascii="Calibri" w:eastAsia="SimSun" w:hAnsi="Calibri" w:cs="Calibri"/>
          <w:b/>
          <w:bCs/>
          <w:sz w:val="22"/>
          <w:szCs w:val="22"/>
          <w:lang w:val="hr-HR"/>
        </w:rPr>
        <w:t xml:space="preserve"> AKTIVNOSTI PREMA ODRŽIVOM FINANCIRANJU I ZELENOJ TRANZICIJI</w:t>
      </w:r>
      <w:bookmarkStart w:id="43" w:name="_Hlk126931003"/>
      <w:bookmarkEnd w:id="42"/>
    </w:p>
    <w:p w14:paraId="61A1240B" w14:textId="05A5842C" w:rsidR="00FA1535" w:rsidRDefault="00A31743">
      <w:pPr>
        <w:spacing w:before="120" w:after="120" w:line="276" w:lineRule="auto"/>
        <w:jc w:val="both"/>
        <w:rPr>
          <w:rFonts w:ascii="Calibri" w:eastAsia="SimSun" w:hAnsi="Calibri" w:cs="Calibri"/>
          <w:sz w:val="22"/>
          <w:szCs w:val="22"/>
          <w:lang w:val="hr-HR"/>
        </w:rPr>
      </w:pPr>
      <w:r>
        <w:rPr>
          <w:rStyle w:val="Zadanifontodlomka1"/>
          <w:rFonts w:ascii="Calibri" w:eastAsia="SimSun" w:hAnsi="Calibri" w:cs="Calibri"/>
          <w:sz w:val="22"/>
          <w:szCs w:val="22"/>
          <w:lang w:val="hr-HR"/>
        </w:rPr>
        <w:t xml:space="preserve">Cijelu </w:t>
      </w:r>
      <w:r w:rsidR="00054989">
        <w:rPr>
          <w:rStyle w:val="Zadanifontodlomka1"/>
          <w:rFonts w:ascii="Calibri" w:eastAsia="SimSun" w:hAnsi="Calibri" w:cs="Calibri"/>
          <w:sz w:val="22"/>
          <w:szCs w:val="22"/>
          <w:lang w:val="hr-HR"/>
        </w:rPr>
        <w:t>2022. snažno su obilježile provedbene aktivnosti sveobuhvatnog tematskog projekta održivog financiranja naziva “Zaokret HBOR-ovih aktivnosti prema održivom financiranju i zelenoj tranziciji“ (</w:t>
      </w:r>
      <w:r w:rsidR="00054989" w:rsidRPr="003518ED">
        <w:rPr>
          <w:rStyle w:val="Zadanifontodlomka1"/>
          <w:rFonts w:ascii="Calibri" w:eastAsia="SimSun" w:hAnsi="Calibri" w:cs="Calibri"/>
          <w:i/>
          <w:iCs/>
          <w:sz w:val="22"/>
          <w:szCs w:val="22"/>
          <w:lang w:val="hr-HR"/>
        </w:rPr>
        <w:t>engl. Reorient Croatian Development Bank's (HBOR) operations towards sustainable financing and green transition</w:t>
      </w:r>
      <w:r w:rsidR="00054989">
        <w:rPr>
          <w:rStyle w:val="Zadanifontodlomka1"/>
          <w:rFonts w:ascii="Calibri" w:eastAsia="SimSun" w:hAnsi="Calibri" w:cs="Calibri"/>
          <w:sz w:val="22"/>
          <w:szCs w:val="22"/>
          <w:lang w:val="hr-HR"/>
        </w:rPr>
        <w:t>)</w:t>
      </w:r>
      <w:r w:rsidR="00054989">
        <w:rPr>
          <w:rStyle w:val="Zadanifontodlomka1"/>
          <w:rFonts w:ascii="Calibri" w:eastAsia="SimSun" w:hAnsi="Calibri" w:cs="Calibri"/>
          <w:i/>
          <w:iCs/>
          <w:sz w:val="22"/>
          <w:szCs w:val="22"/>
          <w:lang w:val="hr-HR"/>
        </w:rPr>
        <w:t xml:space="preserve"> </w:t>
      </w:r>
      <w:r w:rsidR="00054989">
        <w:rPr>
          <w:rStyle w:val="Zadanifontodlomka1"/>
          <w:rFonts w:ascii="Calibri" w:eastAsia="SimSun" w:hAnsi="Calibri" w:cs="Calibri"/>
          <w:sz w:val="22"/>
          <w:szCs w:val="22"/>
          <w:lang w:val="hr-HR"/>
        </w:rPr>
        <w:t>kojim je HBOR započeo sustavnu prilagodbu zahtjevima regulative o održivosti i održivom financiranju.</w:t>
      </w:r>
    </w:p>
    <w:p w14:paraId="1748D7C1" w14:textId="512D85AF"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Ovaj HBOR-ov projekt održivog financiranja podržala je Glavna uprava za potporu strukturnim reformama (</w:t>
      </w:r>
      <w:r w:rsidRPr="003518ED">
        <w:rPr>
          <w:rFonts w:ascii="Calibri" w:eastAsia="SimSun" w:hAnsi="Calibri" w:cs="Calibri"/>
          <w:i/>
          <w:iCs/>
          <w:sz w:val="22"/>
          <w:szCs w:val="22"/>
          <w:lang w:val="hr-HR"/>
        </w:rPr>
        <w:t>engl. Directorate-General for Structural Reform Support (DG REFORM)</w:t>
      </w:r>
      <w:r>
        <w:rPr>
          <w:rFonts w:ascii="Calibri" w:eastAsia="SimSun" w:hAnsi="Calibri" w:cs="Calibri"/>
          <w:sz w:val="22"/>
          <w:szCs w:val="22"/>
          <w:lang w:val="hr-HR"/>
        </w:rPr>
        <w:t xml:space="preserve">), koja pomaže državama članicama u provedbi reformi za otvaranje radnih mjesta i poticanje održivog rasta. Projektne aktivnosti </w:t>
      </w:r>
      <w:r w:rsidR="00F42CCB">
        <w:rPr>
          <w:rFonts w:ascii="Calibri" w:eastAsia="SimSun" w:hAnsi="Calibri" w:cs="Calibri"/>
          <w:sz w:val="22"/>
          <w:szCs w:val="22"/>
          <w:lang w:val="hr-HR"/>
        </w:rPr>
        <w:t xml:space="preserve">zajednički su </w:t>
      </w:r>
      <w:r>
        <w:rPr>
          <w:rFonts w:ascii="Calibri" w:eastAsia="SimSun" w:hAnsi="Calibri" w:cs="Calibri"/>
          <w:sz w:val="22"/>
          <w:szCs w:val="22"/>
          <w:lang w:val="hr-HR"/>
        </w:rPr>
        <w:t xml:space="preserve">definirali HBOR i DG REFORM, a potpora je </w:t>
      </w:r>
      <w:r w:rsidR="00753CAD">
        <w:rPr>
          <w:rFonts w:ascii="Calibri" w:eastAsia="SimSun" w:hAnsi="Calibri" w:cs="Calibri"/>
          <w:sz w:val="22"/>
          <w:szCs w:val="22"/>
          <w:lang w:val="hr-HR"/>
        </w:rPr>
        <w:t xml:space="preserve">osigurana </w:t>
      </w:r>
      <w:r>
        <w:rPr>
          <w:rFonts w:ascii="Calibri" w:eastAsia="SimSun" w:hAnsi="Calibri" w:cs="Calibri"/>
          <w:sz w:val="22"/>
          <w:szCs w:val="22"/>
          <w:lang w:val="hr-HR"/>
        </w:rPr>
        <w:t>putem tehničke podrške stručnjaka međunarodnog konzorcija, koji imaju ekspertna znanja iz različitih područja održivog financiranja.</w:t>
      </w:r>
    </w:p>
    <w:p w14:paraId="1748D7C2" w14:textId="0EA2986C"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Cilj projekta </w:t>
      </w:r>
      <w:r w:rsidR="00753CAD">
        <w:rPr>
          <w:rFonts w:ascii="Calibri" w:eastAsia="SimSun" w:hAnsi="Calibri" w:cs="Calibri"/>
          <w:sz w:val="22"/>
          <w:szCs w:val="22"/>
          <w:lang w:val="hr-HR"/>
        </w:rPr>
        <w:t xml:space="preserve">je  </w:t>
      </w:r>
      <w:r>
        <w:rPr>
          <w:rFonts w:ascii="Calibri" w:eastAsia="SimSun" w:hAnsi="Calibri" w:cs="Calibri"/>
          <w:sz w:val="22"/>
          <w:szCs w:val="22"/>
          <w:lang w:val="hr-HR"/>
        </w:rPr>
        <w:t xml:space="preserve">ojačati HBOR u razumijevanju okolišnih, klimatskih i društvenih rizika i njihovih implikacija na poslovanje te </w:t>
      </w:r>
      <w:r w:rsidR="009051FB">
        <w:rPr>
          <w:rFonts w:ascii="Calibri" w:eastAsia="SimSun" w:hAnsi="Calibri" w:cs="Calibri"/>
          <w:sz w:val="22"/>
          <w:szCs w:val="22"/>
          <w:lang w:val="hr-HR"/>
        </w:rPr>
        <w:t xml:space="preserve">osigurati </w:t>
      </w:r>
      <w:r>
        <w:rPr>
          <w:rFonts w:ascii="Calibri" w:eastAsia="SimSun" w:hAnsi="Calibri" w:cs="Calibri"/>
          <w:sz w:val="22"/>
          <w:szCs w:val="22"/>
          <w:lang w:val="hr-HR"/>
        </w:rPr>
        <w:t xml:space="preserve">razvoj i </w:t>
      </w:r>
      <w:r w:rsidR="009051FB">
        <w:rPr>
          <w:rFonts w:ascii="Calibri" w:eastAsia="SimSun" w:hAnsi="Calibri" w:cs="Calibri"/>
          <w:sz w:val="22"/>
          <w:szCs w:val="22"/>
          <w:lang w:val="hr-HR"/>
        </w:rPr>
        <w:t xml:space="preserve">provedbu </w:t>
      </w:r>
      <w:r>
        <w:rPr>
          <w:rFonts w:ascii="Calibri" w:eastAsia="SimSun" w:hAnsi="Calibri" w:cs="Calibri"/>
          <w:sz w:val="22"/>
          <w:szCs w:val="22"/>
          <w:lang w:val="hr-HR"/>
        </w:rPr>
        <w:t>sveobuhvatnog skupa održivih financijskih politika, postupaka, alata i mjerila.</w:t>
      </w:r>
    </w:p>
    <w:p w14:paraId="1748D7C3"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Provedbene aktivnosti započele su krajem 2021. godine, a projektne aktivnosti sadržavaju: izradu dijagnostičkog izvještaja, metodologiju za upravljanje ESG rizicima i utjecajima, organizacijske i komunikacijske aktivnosti, treninge i jačanje kapaciteta te akcijski plan održivog financiranja.</w:t>
      </w:r>
    </w:p>
    <w:p w14:paraId="1748D7C4" w14:textId="0D2C8B04" w:rsidR="00CD6310"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Glavnina projektnih aktivnosti odvijala se u 2022. godini, a očekivani završetak ovog 18-mjesečnog projekta je travanj 2023.</w:t>
      </w:r>
      <w:r w:rsidR="00FB034A">
        <w:rPr>
          <w:rFonts w:ascii="Calibri" w:eastAsia="SimSun" w:hAnsi="Calibri" w:cs="Calibri"/>
          <w:sz w:val="22"/>
          <w:szCs w:val="22"/>
          <w:lang w:val="hr-HR"/>
        </w:rPr>
        <w:t xml:space="preserve"> godine.</w:t>
      </w:r>
    </w:p>
    <w:p w14:paraId="02CD46CE" w14:textId="77777777" w:rsidR="00CD6310" w:rsidRDefault="00CD6310">
      <w:pPr>
        <w:suppressAutoHyphens w:val="0"/>
        <w:rPr>
          <w:rFonts w:ascii="Calibri" w:eastAsia="SimSun" w:hAnsi="Calibri" w:cs="Calibri"/>
          <w:sz w:val="22"/>
          <w:szCs w:val="22"/>
          <w:lang w:val="hr-HR"/>
        </w:rPr>
      </w:pPr>
      <w:r>
        <w:rPr>
          <w:rFonts w:ascii="Calibri" w:eastAsia="SimSun" w:hAnsi="Calibri" w:cs="Calibri"/>
          <w:sz w:val="22"/>
          <w:szCs w:val="22"/>
          <w:lang w:val="hr-HR"/>
        </w:rPr>
        <w:br w:type="page"/>
      </w:r>
    </w:p>
    <w:p w14:paraId="1748D7C6" w14:textId="7749197E" w:rsidR="00382CF2" w:rsidRDefault="00054989">
      <w:pPr>
        <w:keepNext/>
        <w:keepLines/>
        <w:pBdr>
          <w:bottom w:val="single" w:sz="4" w:space="2" w:color="B2B2B2"/>
        </w:pBdr>
        <w:spacing w:before="360" w:after="120"/>
        <w:outlineLvl w:val="0"/>
        <w:rPr>
          <w:rFonts w:ascii="Calibri" w:eastAsia="SimHei" w:hAnsi="Calibri" w:cs="Calibri"/>
          <w:b/>
          <w:bCs/>
          <w:sz w:val="22"/>
          <w:szCs w:val="22"/>
          <w:lang w:val="hr-HR"/>
        </w:rPr>
      </w:pPr>
      <w:bookmarkStart w:id="44" w:name="_Toc129083716"/>
      <w:bookmarkEnd w:id="43"/>
      <w:r>
        <w:rPr>
          <w:rFonts w:ascii="Calibri" w:eastAsia="SimHei" w:hAnsi="Calibri" w:cs="Calibri"/>
          <w:b/>
          <w:bCs/>
          <w:sz w:val="22"/>
          <w:szCs w:val="22"/>
          <w:lang w:val="hr-HR"/>
        </w:rPr>
        <w:lastRenderedPageBreak/>
        <w:t>RAZVOJ TRŽIŠTA RIZIČNOG I VLASNIČKOG KAPITALA</w:t>
      </w:r>
      <w:bookmarkEnd w:id="44"/>
    </w:p>
    <w:p w14:paraId="1748D7C7" w14:textId="5C89ED1D" w:rsidR="00382CF2" w:rsidRDefault="00D6467E">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Rezultati prijašnjih </w:t>
      </w:r>
      <w:r w:rsidR="00822821">
        <w:rPr>
          <w:rFonts w:ascii="Calibri" w:eastAsia="SimSun" w:hAnsi="Calibri" w:cs="Calibri"/>
          <w:sz w:val="22"/>
          <w:szCs w:val="22"/>
          <w:lang w:val="hr-HR"/>
        </w:rPr>
        <w:t xml:space="preserve">analiza ukazuju na činjenicu kako </w:t>
      </w:r>
      <w:r w:rsidR="00054989">
        <w:rPr>
          <w:rFonts w:ascii="Calibri" w:eastAsia="SimSun" w:hAnsi="Calibri" w:cs="Calibri"/>
          <w:sz w:val="22"/>
          <w:szCs w:val="22"/>
          <w:lang w:val="hr-HR"/>
        </w:rPr>
        <w:t>se hrvatska mikro, mala, srednja i srednje kapitalizirana poduzeća, posebno ona inovativna i s višim stupnjem rizika (novoosnovana poduzeća, poduzeća u fazama ubrzanog rasta ili u propulzivnim ICT granama djelatnosti)</w:t>
      </w:r>
      <w:r w:rsidR="00822821">
        <w:rPr>
          <w:rFonts w:ascii="Calibri" w:eastAsia="SimSun" w:hAnsi="Calibri" w:cs="Calibri"/>
          <w:sz w:val="22"/>
          <w:szCs w:val="22"/>
          <w:lang w:val="hr-HR"/>
        </w:rPr>
        <w:t>,</w:t>
      </w:r>
      <w:r w:rsidR="00054989">
        <w:rPr>
          <w:rFonts w:ascii="Calibri" w:eastAsia="SimSun" w:hAnsi="Calibri" w:cs="Calibri"/>
          <w:sz w:val="22"/>
          <w:szCs w:val="22"/>
          <w:lang w:val="hr-HR"/>
        </w:rPr>
        <w:t xml:space="preserve"> suočavaju s izazovom pronalaženja primjerenih izvora financiranja zbog slabo razvijenog tržišta rizičnog i vlasničkog kapitala te dominacije tradicionalnih izvora financiranja.</w:t>
      </w:r>
    </w:p>
    <w:p w14:paraId="1748D7C8" w14:textId="5EF1E80B"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Republika Hrvatska, kao najmlađa država članica Europske unije, ima slabije razvijeno tržište rizičnog i vlasničkog kapitala u usporedbi s ostalim članicama. Uslijed nedovoljnog broja kvalificiranih ulagatelja fokusiranih na ulaganja u fondove rizičnog i vlasničkog kapitala koji su aktivni u </w:t>
      </w:r>
      <w:r w:rsidR="00EB63E7" w:rsidRPr="00EB63E7">
        <w:rPr>
          <w:rFonts w:ascii="Calibri" w:eastAsia="SimSun" w:hAnsi="Calibri" w:cs="Calibri"/>
          <w:sz w:val="22"/>
          <w:szCs w:val="22"/>
          <w:lang w:val="hr-HR"/>
        </w:rPr>
        <w:t>Republi</w:t>
      </w:r>
      <w:r w:rsidR="00EB63E7">
        <w:rPr>
          <w:rFonts w:ascii="Calibri" w:eastAsia="SimSun" w:hAnsi="Calibri" w:cs="Calibri"/>
          <w:sz w:val="22"/>
          <w:szCs w:val="22"/>
          <w:lang w:val="hr-HR"/>
        </w:rPr>
        <w:t>ci</w:t>
      </w:r>
      <w:r w:rsidR="00EB63E7" w:rsidRPr="00EB63E7">
        <w:rPr>
          <w:rFonts w:ascii="Calibri" w:eastAsia="SimSun" w:hAnsi="Calibri" w:cs="Calibri"/>
          <w:sz w:val="22"/>
          <w:szCs w:val="22"/>
          <w:lang w:val="hr-HR"/>
        </w:rPr>
        <w:t xml:space="preserve"> Hrvatsk</w:t>
      </w:r>
      <w:r w:rsidR="00EB63E7">
        <w:rPr>
          <w:rFonts w:ascii="Calibri" w:eastAsia="SimSun" w:hAnsi="Calibri" w:cs="Calibri"/>
          <w:sz w:val="22"/>
          <w:szCs w:val="22"/>
          <w:lang w:val="hr-HR"/>
        </w:rPr>
        <w:t>oj</w:t>
      </w:r>
      <w:r>
        <w:rPr>
          <w:rFonts w:ascii="Calibri" w:eastAsia="SimSun" w:hAnsi="Calibri" w:cs="Calibri"/>
          <w:sz w:val="22"/>
          <w:szCs w:val="22"/>
          <w:lang w:val="hr-HR"/>
        </w:rPr>
        <w:t>, uloga HBOR-a kao ulagatelja od posebnog je značaja.</w:t>
      </w:r>
    </w:p>
    <w:p w14:paraId="1748D7C9"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HBOR je u proteklom razdoblju sudjelovao u nizu inicijativa za razvoj tržišta rizičnog i vlasničkog kapitala kako bi se osigurali odgovarajući izvori za pomoć rastu poduzetničkih aktivnosti.</w:t>
      </w:r>
    </w:p>
    <w:p w14:paraId="1748D7CA" w14:textId="675D6320"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Kroz</w:t>
      </w:r>
      <w:r w:rsidR="0079718B">
        <w:rPr>
          <w:rFonts w:ascii="Calibri" w:eastAsia="SimSun" w:hAnsi="Calibri" w:cs="Calibri"/>
          <w:sz w:val="22"/>
          <w:szCs w:val="22"/>
          <w:lang w:val="hr-HR"/>
        </w:rPr>
        <w:t xml:space="preserve"> fond rizičnog kapitala </w:t>
      </w:r>
      <w:bookmarkStart w:id="45" w:name="OLE_LINK2"/>
      <w:bookmarkStart w:id="46" w:name="OLE_LINK1"/>
      <w:r w:rsidR="0079718B">
        <w:rPr>
          <w:rFonts w:ascii="Calibri" w:eastAsia="SimSun" w:hAnsi="Calibri" w:cs="Calibri"/>
          <w:sz w:val="22"/>
          <w:szCs w:val="22"/>
          <w:lang w:val="hr-HR"/>
        </w:rPr>
        <w:t>V</w:t>
      </w:r>
      <w:r>
        <w:rPr>
          <w:rFonts w:ascii="Calibri" w:eastAsia="SimSun" w:hAnsi="Calibri" w:cs="Calibri"/>
          <w:sz w:val="22"/>
          <w:szCs w:val="22"/>
          <w:lang w:val="hr-HR"/>
        </w:rPr>
        <w:t xml:space="preserve">enture </w:t>
      </w:r>
      <w:r w:rsidR="0079718B">
        <w:rPr>
          <w:rFonts w:ascii="Calibri" w:eastAsia="SimSun" w:hAnsi="Calibri" w:cs="Calibri"/>
          <w:sz w:val="22"/>
          <w:szCs w:val="22"/>
          <w:lang w:val="hr-HR"/>
        </w:rPr>
        <w:t>C</w:t>
      </w:r>
      <w:r>
        <w:rPr>
          <w:rFonts w:ascii="Calibri" w:eastAsia="SimSun" w:hAnsi="Calibri" w:cs="Calibri"/>
          <w:sz w:val="22"/>
          <w:szCs w:val="22"/>
          <w:lang w:val="hr-HR"/>
        </w:rPr>
        <w:t xml:space="preserve">apital </w:t>
      </w:r>
      <w:r w:rsidR="0079718B">
        <w:rPr>
          <w:rFonts w:ascii="Calibri" w:eastAsia="SimSun" w:hAnsi="Calibri" w:cs="Calibri"/>
          <w:sz w:val="22"/>
          <w:szCs w:val="22"/>
          <w:lang w:val="hr-HR"/>
        </w:rPr>
        <w:t>F</w:t>
      </w:r>
      <w:r w:rsidR="00FF62B6">
        <w:rPr>
          <w:rFonts w:ascii="Calibri" w:eastAsia="SimSun" w:hAnsi="Calibri" w:cs="Calibri"/>
          <w:sz w:val="22"/>
          <w:szCs w:val="22"/>
          <w:lang w:val="hr-HR"/>
        </w:rPr>
        <w:t>u</w:t>
      </w:r>
      <w:r>
        <w:rPr>
          <w:rFonts w:ascii="Calibri" w:eastAsia="SimSun" w:hAnsi="Calibri" w:cs="Calibri"/>
          <w:sz w:val="22"/>
          <w:szCs w:val="22"/>
          <w:lang w:val="hr-HR"/>
        </w:rPr>
        <w:t xml:space="preserve">nd </w:t>
      </w:r>
      <w:bookmarkEnd w:id="45"/>
      <w:r>
        <w:rPr>
          <w:rFonts w:ascii="Calibri" w:eastAsia="SimSun" w:hAnsi="Calibri" w:cs="Calibri"/>
          <w:sz w:val="22"/>
          <w:szCs w:val="22"/>
          <w:lang w:val="hr-HR"/>
        </w:rPr>
        <w:t>Fil Rouge Capital (</w:t>
      </w:r>
      <w:bookmarkEnd w:id="46"/>
      <w:r>
        <w:rPr>
          <w:rFonts w:ascii="Calibri" w:eastAsia="SimSun" w:hAnsi="Calibri" w:cs="Calibri"/>
          <w:sz w:val="22"/>
          <w:szCs w:val="22"/>
          <w:lang w:val="hr-HR"/>
        </w:rPr>
        <w:t xml:space="preserve">FRC2 CROATIA PARTNERS SCSp), koji je uz HBOR-ovu podršku osnovan 2019., </w:t>
      </w:r>
      <w:r w:rsidR="00291822">
        <w:rPr>
          <w:rFonts w:ascii="Calibri" w:eastAsia="SimSun" w:hAnsi="Calibri" w:cs="Calibri"/>
          <w:sz w:val="22"/>
          <w:szCs w:val="22"/>
          <w:lang w:val="hr-HR"/>
        </w:rPr>
        <w:t xml:space="preserve">realizirano </w:t>
      </w:r>
      <w:r>
        <w:rPr>
          <w:rFonts w:ascii="Calibri" w:eastAsia="SimSun" w:hAnsi="Calibri" w:cs="Calibri"/>
          <w:sz w:val="22"/>
          <w:szCs w:val="22"/>
          <w:lang w:val="hr-HR"/>
        </w:rPr>
        <w:t xml:space="preserve">je preko 180 </w:t>
      </w:r>
      <w:r w:rsidR="00291822">
        <w:rPr>
          <w:rFonts w:ascii="Calibri" w:eastAsia="SimSun" w:hAnsi="Calibri" w:cs="Calibri"/>
          <w:sz w:val="22"/>
          <w:szCs w:val="22"/>
          <w:lang w:val="hr-HR"/>
        </w:rPr>
        <w:t xml:space="preserve">pojedinačnih </w:t>
      </w:r>
      <w:r>
        <w:rPr>
          <w:rFonts w:ascii="Calibri" w:eastAsia="SimSun" w:hAnsi="Calibri" w:cs="Calibri"/>
          <w:sz w:val="22"/>
          <w:szCs w:val="22"/>
          <w:lang w:val="hr-HR"/>
        </w:rPr>
        <w:t>investicija. Tijekom 2022.</w:t>
      </w:r>
      <w:r w:rsidR="00507B1F">
        <w:rPr>
          <w:rFonts w:ascii="Calibri" w:eastAsia="SimSun" w:hAnsi="Calibri" w:cs="Calibri"/>
          <w:sz w:val="22"/>
          <w:szCs w:val="22"/>
          <w:lang w:val="hr-HR"/>
        </w:rPr>
        <w:t xml:space="preserve"> godine</w:t>
      </w:r>
      <w:r>
        <w:rPr>
          <w:rFonts w:ascii="Calibri" w:eastAsia="SimSun" w:hAnsi="Calibri" w:cs="Calibri"/>
          <w:sz w:val="22"/>
          <w:szCs w:val="22"/>
          <w:lang w:val="hr-HR"/>
        </w:rPr>
        <w:t xml:space="preserve"> i treći fond osnovan u okviru programa CROGIP (</w:t>
      </w:r>
      <w:r w:rsidR="00507B1F" w:rsidRPr="00CD3EA4">
        <w:rPr>
          <w:rFonts w:ascii="Calibri" w:eastAsia="SimSun" w:hAnsi="Calibri" w:cs="Calibri"/>
          <w:i/>
          <w:iCs/>
          <w:sz w:val="22"/>
          <w:szCs w:val="22"/>
          <w:lang w:val="hr-HR"/>
        </w:rPr>
        <w:t xml:space="preserve">engl. </w:t>
      </w:r>
      <w:r w:rsidRPr="00CD3EA4">
        <w:rPr>
          <w:rFonts w:ascii="Calibri" w:eastAsia="SimSun" w:hAnsi="Calibri" w:cs="Calibri"/>
          <w:i/>
          <w:iCs/>
          <w:sz w:val="22"/>
          <w:szCs w:val="22"/>
          <w:lang w:val="hr-HR"/>
        </w:rPr>
        <w:t>Croatian Growth Investment Programme</w:t>
      </w:r>
      <w:r>
        <w:rPr>
          <w:rFonts w:ascii="Calibri" w:eastAsia="SimSun" w:hAnsi="Calibri" w:cs="Calibri"/>
          <w:sz w:val="22"/>
          <w:szCs w:val="22"/>
          <w:lang w:val="hr-HR"/>
        </w:rPr>
        <w:t xml:space="preserve">) započeo je s radom i ostvario prvo ulaganje, dok su ostala dva fonda intenzivno ulagala u poduzeća u Republici Hrvatskoj. U pripremi je osnivanje fonda za transfer tehnologija, a </w:t>
      </w:r>
      <w:r w:rsidR="00506607">
        <w:rPr>
          <w:rFonts w:ascii="Calibri" w:eastAsia="SimSun" w:hAnsi="Calibri" w:cs="Calibri"/>
          <w:sz w:val="22"/>
          <w:szCs w:val="22"/>
          <w:lang w:val="hr-HR"/>
        </w:rPr>
        <w:t xml:space="preserve">odabir </w:t>
      </w:r>
      <w:r>
        <w:rPr>
          <w:rFonts w:ascii="Calibri" w:eastAsia="SimSun" w:hAnsi="Calibri" w:cs="Calibri"/>
          <w:sz w:val="22"/>
          <w:szCs w:val="22"/>
          <w:lang w:val="hr-HR"/>
        </w:rPr>
        <w:t>upravitelj</w:t>
      </w:r>
      <w:r w:rsidR="00506607">
        <w:rPr>
          <w:rFonts w:ascii="Calibri" w:eastAsia="SimSun" w:hAnsi="Calibri" w:cs="Calibri"/>
          <w:sz w:val="22"/>
          <w:szCs w:val="22"/>
          <w:lang w:val="hr-HR"/>
        </w:rPr>
        <w:t>a</w:t>
      </w:r>
      <w:r>
        <w:rPr>
          <w:rFonts w:ascii="Calibri" w:eastAsia="SimSun" w:hAnsi="Calibri" w:cs="Calibri"/>
          <w:sz w:val="22"/>
          <w:szCs w:val="22"/>
          <w:lang w:val="hr-HR"/>
        </w:rPr>
        <w:t xml:space="preserve"> fonda </w:t>
      </w:r>
      <w:r w:rsidR="00506607">
        <w:rPr>
          <w:rFonts w:ascii="Calibri" w:eastAsia="SimSun" w:hAnsi="Calibri" w:cs="Calibri"/>
          <w:sz w:val="22"/>
          <w:szCs w:val="22"/>
          <w:lang w:val="hr-HR"/>
        </w:rPr>
        <w:t>planiran je u</w:t>
      </w:r>
      <w:r>
        <w:rPr>
          <w:rFonts w:ascii="Calibri" w:eastAsia="SimSun" w:hAnsi="Calibri" w:cs="Calibri"/>
          <w:sz w:val="22"/>
          <w:szCs w:val="22"/>
          <w:lang w:val="hr-HR"/>
        </w:rPr>
        <w:t xml:space="preserve"> 2023. godini.</w:t>
      </w:r>
    </w:p>
    <w:p w14:paraId="1748D7CC" w14:textId="0AE75F6F" w:rsidR="00382CF2" w:rsidRDefault="00054989" w:rsidP="00BE1EC0">
      <w:pPr>
        <w:spacing w:line="276" w:lineRule="auto"/>
        <w:jc w:val="both"/>
        <w:rPr>
          <w:rFonts w:ascii="Calibri" w:eastAsia="SimSun" w:hAnsi="Calibri" w:cs="Calibri"/>
          <w:b/>
          <w:bCs/>
          <w:sz w:val="22"/>
          <w:szCs w:val="22"/>
          <w:lang w:val="hr-HR"/>
        </w:rPr>
      </w:pPr>
      <w:r>
        <w:rPr>
          <w:rStyle w:val="Zadanifontodlomka1"/>
          <w:rFonts w:ascii="Calibri" w:eastAsia="SimSun" w:hAnsi="Calibri" w:cs="Calibri"/>
          <w:sz w:val="22"/>
          <w:szCs w:val="22"/>
          <w:lang w:val="hr-HR"/>
        </w:rPr>
        <w:t>Krajem 2022.</w:t>
      </w:r>
      <w:r w:rsidR="00BE7D0F">
        <w:rPr>
          <w:rStyle w:val="Zadanifontodlomka1"/>
          <w:rFonts w:ascii="Calibri" w:eastAsia="SimSun" w:hAnsi="Calibri" w:cs="Calibri"/>
          <w:sz w:val="22"/>
          <w:szCs w:val="22"/>
          <w:lang w:val="hr-HR"/>
        </w:rPr>
        <w:t xml:space="preserve"> </w:t>
      </w:r>
      <w:r>
        <w:rPr>
          <w:rStyle w:val="Zadanifontodlomka1"/>
          <w:rFonts w:ascii="Calibri" w:eastAsia="SimSun" w:hAnsi="Calibri" w:cs="Calibri"/>
          <w:sz w:val="22"/>
          <w:szCs w:val="22"/>
          <w:lang w:val="hr-HR"/>
        </w:rPr>
        <w:t>stvoren je preduvjet za osnivanje još dva fonda iz sredstava Nacionalnog programa za oporavak i otpornost. Više informacija o ovoj temi nalazi se u odjeljku Nacionalni plan oporavka i</w:t>
      </w:r>
      <w:r>
        <w:rPr>
          <w:rStyle w:val="Zadanifontodlomka1"/>
          <w:rFonts w:ascii="Calibri" w:hAnsi="Calibri" w:cs="Calibri"/>
          <w:sz w:val="22"/>
          <w:szCs w:val="22"/>
          <w:lang w:val="hr-HR" w:eastAsia="hr-HR"/>
        </w:rPr>
        <w:t xml:space="preserve"> otpornosti (NPOO).</w:t>
      </w:r>
    </w:p>
    <w:p w14:paraId="7408B85B" w14:textId="77777777" w:rsidR="00BE1EC0" w:rsidRDefault="00BE1EC0" w:rsidP="00BE1EC0">
      <w:pPr>
        <w:spacing w:line="276" w:lineRule="auto"/>
        <w:jc w:val="both"/>
        <w:rPr>
          <w:rFonts w:ascii="Calibri" w:eastAsia="SimSun" w:hAnsi="Calibri" w:cs="Calibri"/>
          <w:b/>
          <w:bCs/>
          <w:sz w:val="22"/>
          <w:szCs w:val="22"/>
          <w:lang w:val="hr-HR"/>
        </w:rPr>
      </w:pPr>
    </w:p>
    <w:p w14:paraId="1748D7CD" w14:textId="77777777" w:rsidR="00382CF2" w:rsidRDefault="00054989">
      <w:pPr>
        <w:spacing w:after="160" w:line="276" w:lineRule="auto"/>
        <w:jc w:val="both"/>
        <w:rPr>
          <w:rFonts w:ascii="Calibri" w:eastAsia="SimSun" w:hAnsi="Calibri" w:cs="Calibri"/>
          <w:b/>
          <w:bCs/>
          <w:sz w:val="22"/>
          <w:szCs w:val="22"/>
          <w:lang w:val="hr-HR"/>
        </w:rPr>
      </w:pPr>
      <w:r>
        <w:rPr>
          <w:rFonts w:ascii="Calibri" w:eastAsia="SimSun" w:hAnsi="Calibri" w:cs="Calibri"/>
          <w:b/>
          <w:bCs/>
          <w:sz w:val="22"/>
          <w:szCs w:val="22"/>
          <w:lang w:val="hr-HR"/>
        </w:rPr>
        <w:t>FRC2 CROATIA PARTNERS SCSP (ESIF FOND RIZIČNOG KAPITALA)</w:t>
      </w:r>
    </w:p>
    <w:p w14:paraId="1748D7CE"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FRC2 Croatia Partners SCSp je fond rizičnog kapitala pokrenut dijelom iz sredstava ESIF Financijskih instrumenata kroz suradnju s Europskim investicijskim fondom (EIF), a dijelom iz sredstava privatnih ulagatelja. EIF je za upravljanje odabrao društvo FRC2 GP S.à.r.l. te je 2019. osnovan fond FRC2 Croatia Partners SCSp (Fond FRC2).</w:t>
      </w:r>
    </w:p>
    <w:p w14:paraId="1748D7CF" w14:textId="1296F2A1"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HBOR je 2019. postao jedan od ulagača u Fond FRC2, </w:t>
      </w:r>
      <w:r w:rsidR="00BB01A8">
        <w:rPr>
          <w:rFonts w:ascii="Calibri" w:eastAsia="SimSun" w:hAnsi="Calibri" w:cs="Calibri"/>
          <w:sz w:val="22"/>
          <w:szCs w:val="22"/>
          <w:lang w:val="hr-HR"/>
        </w:rPr>
        <w:t>međutim</w:t>
      </w:r>
      <w:r>
        <w:rPr>
          <w:rFonts w:ascii="Calibri" w:eastAsia="SimSun" w:hAnsi="Calibri" w:cs="Calibri"/>
          <w:sz w:val="22"/>
          <w:szCs w:val="22"/>
          <w:lang w:val="hr-HR"/>
        </w:rPr>
        <w:t xml:space="preserve">, kao niti drugi ulagatelji u fond, ne sudjeluje u odabiru poslovnih subjekata </w:t>
      </w:r>
      <w:r w:rsidR="00DB7B6C">
        <w:rPr>
          <w:rFonts w:ascii="Calibri" w:eastAsia="SimSun" w:hAnsi="Calibri" w:cs="Calibri"/>
          <w:sz w:val="22"/>
          <w:szCs w:val="22"/>
          <w:lang w:val="hr-HR"/>
        </w:rPr>
        <w:t>za provedbu ulaganja</w:t>
      </w:r>
      <w:r>
        <w:rPr>
          <w:rFonts w:ascii="Calibri" w:eastAsia="SimSun" w:hAnsi="Calibri" w:cs="Calibri"/>
          <w:sz w:val="22"/>
          <w:szCs w:val="22"/>
          <w:lang w:val="hr-HR"/>
        </w:rPr>
        <w:t>.</w:t>
      </w:r>
    </w:p>
    <w:p w14:paraId="1748D7D0"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Fond FRC2 ulaže u poduzeća u Republici Hrvatskoj u najranijim fazama razvoja koja imaju potrebnu inovativnost i želju za uspjehom.</w:t>
      </w:r>
    </w:p>
    <w:p w14:paraId="1748D7D1"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Fond se sastoji od dvije komponente:</w:t>
      </w:r>
    </w:p>
    <w:p w14:paraId="1748D7D2" w14:textId="2D1DBEA6" w:rsidR="00382CF2" w:rsidRDefault="00054989">
      <w:pPr>
        <w:pStyle w:val="Odlomakpopisa1"/>
        <w:numPr>
          <w:ilvl w:val="0"/>
          <w:numId w:val="13"/>
        </w:numPr>
        <w:spacing w:line="276" w:lineRule="auto"/>
        <w:jc w:val="both"/>
        <w:textAlignment w:val="baseline"/>
        <w:rPr>
          <w:rFonts w:ascii="Calibri" w:hAnsi="Calibri" w:cs="Calibri"/>
          <w:sz w:val="22"/>
          <w:szCs w:val="22"/>
          <w:lang w:val="hr-HR" w:eastAsia="hr-HR"/>
        </w:rPr>
      </w:pPr>
      <w:r>
        <w:rPr>
          <w:rFonts w:ascii="Calibri" w:hAnsi="Calibri" w:cs="Calibri"/>
          <w:sz w:val="22"/>
          <w:szCs w:val="22"/>
          <w:lang w:val="hr-HR" w:eastAsia="hr-HR"/>
        </w:rPr>
        <w:t>akceleratorski program namijenjen inovativnim</w:t>
      </w:r>
      <w:r w:rsidR="00FA20A9">
        <w:rPr>
          <w:rFonts w:ascii="Calibri" w:hAnsi="Calibri" w:cs="Calibri"/>
          <w:sz w:val="22"/>
          <w:szCs w:val="22"/>
          <w:lang w:val="hr-HR" w:eastAsia="hr-HR"/>
        </w:rPr>
        <w:t xml:space="preserve"> </w:t>
      </w:r>
      <w:r w:rsidR="002B7292">
        <w:rPr>
          <w:rFonts w:ascii="Calibri" w:hAnsi="Calibri" w:cs="Calibri"/>
          <w:sz w:val="22"/>
          <w:szCs w:val="22"/>
          <w:lang w:val="hr-HR" w:eastAsia="hr-HR"/>
        </w:rPr>
        <w:t>početnicima, tzv.</w:t>
      </w:r>
      <w:r>
        <w:rPr>
          <w:rFonts w:ascii="Calibri" w:hAnsi="Calibri" w:cs="Calibri"/>
          <w:sz w:val="22"/>
          <w:szCs w:val="22"/>
          <w:lang w:val="hr-HR" w:eastAsia="hr-HR"/>
        </w:rPr>
        <w:t xml:space="preserve"> startup-ovima koji imaju samo poslovnu ideju (Start-up škola) ili prototip (Akcelerator) i</w:t>
      </w:r>
    </w:p>
    <w:p w14:paraId="1748D7D3" w14:textId="77777777" w:rsidR="00382CF2" w:rsidRDefault="00054989">
      <w:pPr>
        <w:pStyle w:val="Odlomakpopisa1"/>
        <w:numPr>
          <w:ilvl w:val="0"/>
          <w:numId w:val="13"/>
        </w:numPr>
        <w:spacing w:line="276" w:lineRule="auto"/>
        <w:jc w:val="both"/>
        <w:textAlignment w:val="baseline"/>
        <w:rPr>
          <w:rFonts w:ascii="Calibri" w:hAnsi="Calibri" w:cs="Calibri"/>
          <w:sz w:val="22"/>
          <w:szCs w:val="22"/>
          <w:lang w:val="hr-HR" w:eastAsia="hr-HR"/>
        </w:rPr>
      </w:pPr>
      <w:r>
        <w:rPr>
          <w:rFonts w:ascii="Calibri" w:hAnsi="Calibri" w:cs="Calibri"/>
          <w:sz w:val="22"/>
          <w:szCs w:val="22"/>
          <w:lang w:val="hr-HR" w:eastAsia="hr-HR"/>
        </w:rPr>
        <w:t>ulaganje vlasničkog kapitala (VC) namijenjenog poduzećima koja već posluju, imaju prve kupce i koja su već prošla ranu fazu razvoja.</w:t>
      </w:r>
    </w:p>
    <w:p w14:paraId="1748D7D4" w14:textId="77777777" w:rsidR="00382CF2" w:rsidRDefault="00382CF2" w:rsidP="00C0181E">
      <w:pPr>
        <w:spacing w:after="120"/>
        <w:rPr>
          <w:rFonts w:ascii="Calibri" w:eastAsia="SimSun" w:hAnsi="Calibri" w:cs="Calibri"/>
          <w:b/>
          <w:bCs/>
          <w:sz w:val="22"/>
          <w:szCs w:val="22"/>
          <w:lang w:val="hr-HR"/>
        </w:rPr>
      </w:pPr>
    </w:p>
    <w:p w14:paraId="1748D7D5" w14:textId="77777777" w:rsidR="00382CF2" w:rsidRDefault="00054989">
      <w:pPr>
        <w:spacing w:after="160" w:line="276" w:lineRule="auto"/>
        <w:jc w:val="both"/>
      </w:pPr>
      <w:bookmarkStart w:id="47" w:name="OLE_LINK3"/>
      <w:r>
        <w:rPr>
          <w:rStyle w:val="Zadanifontodlomka1"/>
          <w:rFonts w:ascii="Calibri" w:eastAsia="SimSun" w:hAnsi="Calibri" w:cs="Calibri"/>
          <w:b/>
          <w:bCs/>
          <w:sz w:val="22"/>
          <w:szCs w:val="22"/>
        </w:rPr>
        <w:t xml:space="preserve">CROATIAN </w:t>
      </w:r>
      <w:r>
        <w:rPr>
          <w:rStyle w:val="Zadanifontodlomka1"/>
          <w:rFonts w:ascii="Calibri" w:eastAsia="SimSun" w:hAnsi="Calibri" w:cs="Calibri"/>
          <w:b/>
          <w:bCs/>
          <w:sz w:val="22"/>
          <w:szCs w:val="22"/>
          <w:lang w:val="hr-HR"/>
        </w:rPr>
        <w:t>GROWTH INVESTMENT PROGRAMME (CROGIP)</w:t>
      </w:r>
    </w:p>
    <w:bookmarkEnd w:id="47"/>
    <w:p w14:paraId="1748D7D6" w14:textId="48D99F9A" w:rsidR="00382CF2" w:rsidRDefault="00054989">
      <w:pPr>
        <w:spacing w:after="160" w:line="276" w:lineRule="auto"/>
        <w:jc w:val="both"/>
      </w:pPr>
      <w:r>
        <w:rPr>
          <w:rStyle w:val="Zadanifontodlomka1"/>
          <w:rFonts w:ascii="Calibri" w:eastAsia="SimSun" w:hAnsi="Calibri" w:cs="Calibri"/>
          <w:sz w:val="22"/>
          <w:szCs w:val="22"/>
          <w:lang w:val="hr-HR"/>
        </w:rPr>
        <w:t>U okviru EIF-NPI Equity</w:t>
      </w:r>
      <w:r>
        <w:rPr>
          <w:rStyle w:val="Zadanifontodlomka1"/>
          <w:rFonts w:ascii="Calibri" w:hAnsi="Calibri" w:cs="Calibri"/>
          <w:sz w:val="22"/>
          <w:szCs w:val="22"/>
          <w:lang w:val="hr-HR" w:eastAsia="hr-HR"/>
        </w:rPr>
        <w:t xml:space="preserve"> Platforme, EIF i HBOR su 2019. potpisali ugovor kojim je pokrenut CROGIP</w:t>
      </w:r>
      <w:r w:rsidR="00353F58">
        <w:rPr>
          <w:rStyle w:val="Zadanifontodlomka1"/>
          <w:rFonts w:ascii="Calibri" w:hAnsi="Calibri" w:cs="Calibri"/>
          <w:sz w:val="22"/>
          <w:szCs w:val="22"/>
          <w:lang w:val="hr-HR" w:eastAsia="hr-HR"/>
        </w:rPr>
        <w:t xml:space="preserve"> čiji cilj je</w:t>
      </w:r>
      <w:r>
        <w:rPr>
          <w:rStyle w:val="Zadanifontodlomka1"/>
          <w:rFonts w:ascii="Calibri" w:hAnsi="Calibri" w:cs="Calibri"/>
          <w:sz w:val="22"/>
          <w:szCs w:val="22"/>
          <w:lang w:val="hr-HR" w:eastAsia="hr-HR"/>
        </w:rPr>
        <w:t xml:space="preserve"> potaknuti ulaganja u mala i srednja te </w:t>
      </w:r>
      <w:r>
        <w:rPr>
          <w:rStyle w:val="Zadanifontodlomka1"/>
          <w:rFonts w:ascii="Calibri" w:eastAsia="SimSun" w:hAnsi="Calibri" w:cs="Calibri"/>
          <w:sz w:val="22"/>
          <w:szCs w:val="22"/>
          <w:lang w:val="hr-HR"/>
        </w:rPr>
        <w:t>srednje kapitalizirana poduzeća.</w:t>
      </w:r>
    </w:p>
    <w:p w14:paraId="1748D7D7"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lastRenderedPageBreak/>
        <w:t>EIF i HBOR zajednički ulažu sredstva (svaki po 50 milijuna eura) u:</w:t>
      </w:r>
    </w:p>
    <w:p w14:paraId="1748D7D8" w14:textId="5FCCBD5F" w:rsidR="00382CF2" w:rsidRDefault="00054989">
      <w:pPr>
        <w:pStyle w:val="Odlomakpopisa1"/>
        <w:numPr>
          <w:ilvl w:val="0"/>
          <w:numId w:val="13"/>
        </w:numPr>
        <w:spacing w:line="276" w:lineRule="auto"/>
        <w:jc w:val="both"/>
        <w:textAlignment w:val="baseline"/>
        <w:rPr>
          <w:rFonts w:ascii="Calibri" w:hAnsi="Calibri" w:cs="Calibri"/>
          <w:sz w:val="22"/>
          <w:szCs w:val="22"/>
          <w:lang w:val="hr-HR" w:eastAsia="hr-HR"/>
        </w:rPr>
      </w:pPr>
      <w:r>
        <w:rPr>
          <w:rFonts w:ascii="Calibri" w:hAnsi="Calibri" w:cs="Calibri"/>
          <w:sz w:val="22"/>
          <w:szCs w:val="22"/>
          <w:lang w:val="hr-HR" w:eastAsia="hr-HR"/>
        </w:rPr>
        <w:t>fondove vlasničkog kapitala kojima upravljaju društva odabrana od strane EIF-a te</w:t>
      </w:r>
    </w:p>
    <w:p w14:paraId="1748D7D9" w14:textId="77777777" w:rsidR="00382CF2" w:rsidRDefault="00054989">
      <w:pPr>
        <w:pStyle w:val="Odlomakpopisa1"/>
        <w:numPr>
          <w:ilvl w:val="0"/>
          <w:numId w:val="13"/>
        </w:numPr>
        <w:spacing w:line="276" w:lineRule="auto"/>
        <w:jc w:val="both"/>
        <w:textAlignment w:val="baseline"/>
        <w:rPr>
          <w:rFonts w:ascii="Calibri" w:hAnsi="Calibri" w:cs="Calibri"/>
          <w:sz w:val="22"/>
          <w:szCs w:val="22"/>
          <w:lang w:val="hr-HR" w:eastAsia="hr-HR"/>
        </w:rPr>
      </w:pPr>
      <w:r>
        <w:rPr>
          <w:rFonts w:ascii="Calibri" w:hAnsi="Calibri" w:cs="Calibri"/>
          <w:sz w:val="22"/>
          <w:szCs w:val="22"/>
          <w:lang w:val="hr-HR" w:eastAsia="hr-HR"/>
        </w:rPr>
        <w:t>su-investiranje uz fondove koji već imaju uspostavljen odnos s EIF-om i pozitivne reference.</w:t>
      </w:r>
    </w:p>
    <w:p w14:paraId="1748D7DA"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Osim općeg cilja osiguravanja podrške hrvatskim poduzećima i otvaranja novih radnih mjesta kroz osiguravanje dostupnosti vlasničkog kapitala, svrha CROGIP-a je i razvoj tržišta i institucionalnih kapaciteta za financiranje vlasničkim kapitalom u Republici Hrvatskoj podržavanjem društava za upravljanje fondovima koja značajan dio svojih ulaganja usmjeravaju u hrvatska poduzeća.</w:t>
      </w:r>
    </w:p>
    <w:p w14:paraId="1748D7DB"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EIF upravlja i provodi CROGIP kroz ulaganja u fondove vlasničkog kapitala i su-investiranje s fondovima i privatnim ulagačima po tržišnim uvjetima. Program nije ograničen na određeni sektor. EIF omogućava ulaganje u fondove i su-investiranje s odabranim društvima za upravljanje s pozitivnim referencama prema kriterijima koje je HBOR unaprijed definirao kroz CROGIP. Osim EIF-ovih kriterija za odabir, fondovi moraju zadovoljiti i uvjet da u svojoj investicijskoj strategiji imaju utvrđeno da će najmanje 70 posto ukupnih ulaganja fonda uložiti u društva koja su osnovana u Republici Hrvatskoj i koja najveći dio poslovanja obavljaju u Republici Hrvatskoj i/ili koja će planiranim ulaganjima započeti dugoročno poslovanje u Republici Hrvatskoj pri tome zapošljavajući značajan broj domaćih radnika.</w:t>
      </w:r>
    </w:p>
    <w:p w14:paraId="1748D7DC" w14:textId="01428AE3"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EIF je prema uvjetima CROGIP inicijative i svojim internim procedurama odabrao tri fonda u koja ulaže sredstva CROGIP inicijative: Adriatic Structured Equity Fund, Prosperus Growth Fund i Croatian Mezzanine Debt Fund.</w:t>
      </w:r>
    </w:p>
    <w:p w14:paraId="1748D7DD" w14:textId="64F65112" w:rsidR="00382CF2" w:rsidRDefault="00054989">
      <w:pPr>
        <w:spacing w:before="120" w:line="276" w:lineRule="auto"/>
        <w:jc w:val="both"/>
        <w:rPr>
          <w:rFonts w:ascii="Calibri" w:eastAsia="SimSun" w:hAnsi="Calibri" w:cs="Calibri"/>
          <w:sz w:val="22"/>
          <w:szCs w:val="22"/>
          <w:lang w:val="hr-HR"/>
        </w:rPr>
      </w:pPr>
      <w:r>
        <w:rPr>
          <w:rFonts w:ascii="Calibri" w:eastAsia="SimSun" w:hAnsi="Calibri" w:cs="Calibri"/>
          <w:sz w:val="22"/>
          <w:szCs w:val="22"/>
          <w:lang w:val="hr-HR"/>
        </w:rPr>
        <w:t>Adriatic Structured Equity Fund i Prosperus Growth Fund započeli su s poslovanjem u 2020., a u 2021.</w:t>
      </w:r>
      <w:r w:rsidR="00D87F2A">
        <w:rPr>
          <w:rFonts w:ascii="Calibri" w:eastAsia="SimSun" w:hAnsi="Calibri" w:cs="Calibri"/>
          <w:sz w:val="22"/>
          <w:szCs w:val="22"/>
          <w:lang w:val="hr-HR"/>
        </w:rPr>
        <w:t xml:space="preserve"> </w:t>
      </w:r>
      <w:r>
        <w:rPr>
          <w:rFonts w:ascii="Calibri" w:eastAsia="SimSun" w:hAnsi="Calibri" w:cs="Calibri"/>
          <w:sz w:val="22"/>
          <w:szCs w:val="22"/>
          <w:lang w:val="hr-HR"/>
        </w:rPr>
        <w:t>proveli su svoja prva ulaganja u hrvatska poduzeća. Croatian Mezzanine Debt Fund je započeo s radom u 2022. te je u istoj godini proveo i svoje prvo ulaganje.</w:t>
      </w:r>
    </w:p>
    <w:p w14:paraId="1748D7DE" w14:textId="77777777" w:rsidR="00382CF2" w:rsidRDefault="00382CF2">
      <w:pPr>
        <w:spacing w:after="160" w:line="276" w:lineRule="auto"/>
        <w:jc w:val="both"/>
        <w:rPr>
          <w:rFonts w:ascii="Calibri" w:eastAsia="SimSun" w:hAnsi="Calibri" w:cs="Calibri"/>
          <w:sz w:val="22"/>
          <w:szCs w:val="22"/>
          <w:lang w:val="hr-HR"/>
        </w:rPr>
      </w:pPr>
    </w:p>
    <w:p w14:paraId="1748D7DF" w14:textId="77777777" w:rsidR="00382CF2" w:rsidRDefault="00054989">
      <w:pPr>
        <w:spacing w:after="160" w:line="276" w:lineRule="auto"/>
        <w:jc w:val="both"/>
      </w:pPr>
      <w:r>
        <w:rPr>
          <w:rStyle w:val="Zadanifontodlomka1"/>
          <w:rFonts w:ascii="Calibri" w:eastAsia="SimSun" w:hAnsi="Calibri" w:cs="Calibri"/>
          <w:b/>
          <w:bCs/>
          <w:sz w:val="22"/>
          <w:szCs w:val="22"/>
          <w:lang w:val="hr-HR"/>
        </w:rPr>
        <w:t>FOND ZA TRANSFER TEHNOLOGIJE</w:t>
      </w:r>
    </w:p>
    <w:p w14:paraId="1748D7E0" w14:textId="563167DF" w:rsidR="00382CF2" w:rsidRDefault="00054989">
      <w:pPr>
        <w:spacing w:line="276" w:lineRule="auto"/>
        <w:jc w:val="both"/>
        <w:rPr>
          <w:rFonts w:ascii="Calibri" w:eastAsia="SimSun" w:hAnsi="Calibri" w:cs="Calibri"/>
          <w:sz w:val="22"/>
          <w:szCs w:val="22"/>
          <w:lang w:val="hr-HR"/>
        </w:rPr>
      </w:pPr>
      <w:r>
        <w:rPr>
          <w:rFonts w:ascii="Calibri" w:eastAsia="SimSun" w:hAnsi="Calibri" w:cs="Calibri"/>
          <w:sz w:val="22"/>
          <w:szCs w:val="22"/>
          <w:lang w:val="hr-HR"/>
        </w:rPr>
        <w:t>Iz CROGIP inicijative, koja je omogućila uspostavljanje prve regionalne platforme za pokretanje fonda za financiranje komercijalizacije inovativnih tehnoloških i znanstvenih rješenja hrvatskih i slovenskih sveučilišta, istraživačkih instituta i centara, u 2023.</w:t>
      </w:r>
      <w:r w:rsidR="00D87F2A">
        <w:rPr>
          <w:rFonts w:ascii="Calibri" w:eastAsia="SimSun" w:hAnsi="Calibri" w:cs="Calibri"/>
          <w:sz w:val="22"/>
          <w:szCs w:val="22"/>
          <w:lang w:val="hr-HR"/>
        </w:rPr>
        <w:t xml:space="preserve"> </w:t>
      </w:r>
      <w:r>
        <w:rPr>
          <w:rFonts w:ascii="Calibri" w:eastAsia="SimSun" w:hAnsi="Calibri" w:cs="Calibri"/>
          <w:sz w:val="22"/>
          <w:szCs w:val="22"/>
          <w:lang w:val="hr-HR"/>
        </w:rPr>
        <w:t>očekuje</w:t>
      </w:r>
      <w:r w:rsidR="00D87F2A">
        <w:rPr>
          <w:rFonts w:ascii="Calibri" w:eastAsia="SimSun" w:hAnsi="Calibri" w:cs="Calibri"/>
          <w:sz w:val="22"/>
          <w:szCs w:val="22"/>
          <w:lang w:val="hr-HR"/>
        </w:rPr>
        <w:t xml:space="preserve"> se</w:t>
      </w:r>
      <w:r>
        <w:rPr>
          <w:rFonts w:ascii="Calibri" w:eastAsia="SimSun" w:hAnsi="Calibri" w:cs="Calibri"/>
          <w:sz w:val="22"/>
          <w:szCs w:val="22"/>
          <w:lang w:val="hr-HR"/>
        </w:rPr>
        <w:t xml:space="preserve"> pokretanje prvog fonda namijenjenog isključivo financiranju projekata vezanih za transfer tehnologija. HBOR-ov partner u ovom projektu je, osim EIF-a, i </w:t>
      </w:r>
      <w:r w:rsidR="000D7573">
        <w:rPr>
          <w:rFonts w:ascii="Calibri" w:eastAsia="SimSun" w:hAnsi="Calibri" w:cs="Calibri"/>
          <w:sz w:val="22"/>
          <w:szCs w:val="22"/>
          <w:lang w:val="hr-HR"/>
        </w:rPr>
        <w:t xml:space="preserve">slovenska razvojna banka, tj. </w:t>
      </w:r>
      <w:r>
        <w:rPr>
          <w:rFonts w:ascii="Calibri" w:eastAsia="SimSun" w:hAnsi="Calibri" w:cs="Calibri"/>
          <w:sz w:val="22"/>
          <w:szCs w:val="22"/>
          <w:lang w:val="hr-HR"/>
        </w:rPr>
        <w:t>SID banka d.d. Budući fond za transfer tehnologije minimalne veličine 40 milijuna eura morat će, uz ostale uvjete, osigurati da se najmanje 15 milijuna eura uloži u projekte ili poduzeća koji se razvijaju na sveučilištima ili istraživačkim institutima i centrima u Republici Hrvatskoj.</w:t>
      </w:r>
    </w:p>
    <w:p w14:paraId="1748D7E1" w14:textId="77777777" w:rsidR="00382CF2" w:rsidRDefault="00382CF2">
      <w:pPr>
        <w:spacing w:after="160" w:line="276" w:lineRule="auto"/>
        <w:jc w:val="both"/>
        <w:rPr>
          <w:rFonts w:ascii="Calibri" w:eastAsia="SimSun" w:hAnsi="Calibri" w:cs="Calibri"/>
          <w:sz w:val="22"/>
          <w:szCs w:val="22"/>
          <w:lang w:val="hr-HR"/>
        </w:rPr>
      </w:pPr>
    </w:p>
    <w:p w14:paraId="1748D7E2" w14:textId="77777777" w:rsidR="00382CF2" w:rsidRDefault="00054989">
      <w:pPr>
        <w:spacing w:after="160" w:line="276" w:lineRule="auto"/>
        <w:jc w:val="both"/>
      </w:pPr>
      <w:r>
        <w:rPr>
          <w:rStyle w:val="Zadanifontodlomka1"/>
          <w:rFonts w:ascii="Calibri" w:eastAsia="SimSun" w:hAnsi="Calibri" w:cs="Calibri"/>
          <w:b/>
          <w:bCs/>
          <w:sz w:val="22"/>
          <w:szCs w:val="22"/>
          <w:lang w:val="hr-HR"/>
        </w:rPr>
        <w:t>INVESTICIJSKI FOND INICIJATIVE TRIJU MORA</w:t>
      </w:r>
    </w:p>
    <w:p w14:paraId="1748D7E3"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Inicijativa triju mora, platforma za suradnju 12 zemalja članica Europske unije na području triju mora (Jadransko, Baltičko i Crno more), osnovana je radi pružanja podrške zajedničkim prekograničnim strateškim projektima s naglaskom na energetsku, prometnu i digitalnu povezanost regije.</w:t>
      </w:r>
    </w:p>
    <w:p w14:paraId="1748D7E4" w14:textId="54D19B8E"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Investicijski fond Inicijative triju mora kreiran je kao financijski alat uz čiju pomoć se ulaže kapital u projekte na području Inicijative (investicije u rizični i kvazi rizični kapital). Investicijski cilj Fonda </w:t>
      </w:r>
      <w:r w:rsidR="00BD1CAB">
        <w:rPr>
          <w:rFonts w:ascii="Calibri" w:eastAsia="SimSun" w:hAnsi="Calibri" w:cs="Calibri"/>
          <w:sz w:val="22"/>
          <w:szCs w:val="22"/>
          <w:lang w:val="hr-HR"/>
        </w:rPr>
        <w:t xml:space="preserve">je </w:t>
      </w:r>
      <w:r>
        <w:rPr>
          <w:rFonts w:ascii="Calibri" w:eastAsia="SimSun" w:hAnsi="Calibri" w:cs="Calibri"/>
          <w:sz w:val="22"/>
          <w:szCs w:val="22"/>
          <w:lang w:val="hr-HR"/>
        </w:rPr>
        <w:t xml:space="preserve">korištenje raspoloživih sredstava za ulaganje u infrastrukturne projekte kojima se doprinosi sigurnosti i raznolikosti opskrbe energijom, smanjenju emisija i troškova prijevoza, gospodarskoj, društvenoj i </w:t>
      </w:r>
      <w:r>
        <w:rPr>
          <w:rFonts w:ascii="Calibri" w:eastAsia="SimSun" w:hAnsi="Calibri" w:cs="Calibri"/>
          <w:sz w:val="22"/>
          <w:szCs w:val="22"/>
          <w:lang w:val="hr-HR"/>
        </w:rPr>
        <w:lastRenderedPageBreak/>
        <w:t>digitalnoj povezanosti zemalja članica Europske unije te integraciji kroz smanjenje razlika u kvaliteti infrastrukture.</w:t>
      </w:r>
    </w:p>
    <w:p w14:paraId="1748D7E5" w14:textId="4E1CC7FA"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Vlada Republike Hrvatske donijela je krajem 2020.</w:t>
      </w:r>
      <w:r w:rsidR="00F0446F">
        <w:rPr>
          <w:rFonts w:ascii="Calibri" w:eastAsia="SimSun" w:hAnsi="Calibri" w:cs="Calibri"/>
          <w:sz w:val="22"/>
          <w:szCs w:val="22"/>
          <w:lang w:val="hr-HR"/>
        </w:rPr>
        <w:t xml:space="preserve"> </w:t>
      </w:r>
      <w:r>
        <w:rPr>
          <w:rFonts w:ascii="Calibri" w:eastAsia="SimSun" w:hAnsi="Calibri" w:cs="Calibri"/>
          <w:sz w:val="22"/>
          <w:szCs w:val="22"/>
          <w:lang w:val="hr-HR"/>
        </w:rPr>
        <w:t>odluku o ulaganju u Fond sa svrhom poticanja ostvarivanja zajedničkih projekata na području Inicijative. HBOR je ovom odlukom ovlašten da u svoje ime, a za račun Vlade Republike Hrvatske, provede ulaganje u Fond u iznosu do 20 milijuna eura uvećano za naknade i troškove pristupanja i sudjelovanja u Fondu. HBOR je pristupio Fondu u prvom kvartalu 2021. godine. Veličina fonda na 31. prosinca 2022.</w:t>
      </w:r>
      <w:r w:rsidR="00FF30EA">
        <w:rPr>
          <w:rFonts w:ascii="Calibri" w:eastAsia="SimSun" w:hAnsi="Calibri" w:cs="Calibri"/>
          <w:sz w:val="22"/>
          <w:szCs w:val="22"/>
          <w:lang w:val="hr-HR"/>
        </w:rPr>
        <w:t xml:space="preserve"> </w:t>
      </w:r>
      <w:r>
        <w:rPr>
          <w:rFonts w:ascii="Calibri" w:eastAsia="SimSun" w:hAnsi="Calibri" w:cs="Calibri"/>
          <w:sz w:val="22"/>
          <w:szCs w:val="22"/>
          <w:lang w:val="hr-HR"/>
        </w:rPr>
        <w:t>iznosila je 928,1 milijuna eura.</w:t>
      </w:r>
    </w:p>
    <w:p w14:paraId="1748D7E6" w14:textId="77777777" w:rsidR="00382CF2" w:rsidRDefault="00054989">
      <w:pPr>
        <w:spacing w:before="120" w:line="276" w:lineRule="auto"/>
        <w:jc w:val="both"/>
        <w:rPr>
          <w:rFonts w:ascii="Calibri" w:eastAsia="SimSun" w:hAnsi="Calibri" w:cs="Calibri"/>
          <w:sz w:val="22"/>
          <w:szCs w:val="22"/>
          <w:lang w:val="hr-HR"/>
        </w:rPr>
      </w:pPr>
      <w:r>
        <w:rPr>
          <w:rFonts w:ascii="Calibri" w:eastAsia="SimSun" w:hAnsi="Calibri" w:cs="Calibri"/>
          <w:sz w:val="22"/>
          <w:szCs w:val="22"/>
          <w:lang w:val="hr-HR"/>
        </w:rPr>
        <w:t>HBOR ne donosi odluke o odabiru investicija Fonda, već odabir projekata vrši investicijski savjetnik, a odluku donosi upravitelj fonda na prijedlog neovisnog investicijskog odbora.</w:t>
      </w:r>
    </w:p>
    <w:p w14:paraId="1748D7E7" w14:textId="77777777" w:rsidR="00382CF2" w:rsidRDefault="00382CF2">
      <w:pPr>
        <w:spacing w:after="160" w:line="276" w:lineRule="auto"/>
        <w:jc w:val="both"/>
        <w:rPr>
          <w:rFonts w:ascii="Calibri" w:eastAsia="SimSun" w:hAnsi="Calibri" w:cs="Calibri"/>
          <w:sz w:val="22"/>
          <w:szCs w:val="22"/>
          <w:lang w:val="hr-HR"/>
        </w:rPr>
      </w:pPr>
    </w:p>
    <w:p w14:paraId="1748D7E8" w14:textId="77777777" w:rsidR="00382CF2" w:rsidRDefault="00054989">
      <w:pPr>
        <w:jc w:val="both"/>
        <w:textAlignment w:val="baseline"/>
      </w:pPr>
      <w:r>
        <w:rPr>
          <w:rStyle w:val="Zadanifontodlomka1"/>
          <w:rFonts w:ascii="Calibri" w:hAnsi="Calibri" w:cs="Calibri"/>
          <w:b/>
          <w:bCs/>
          <w:sz w:val="22"/>
          <w:szCs w:val="22"/>
          <w:lang w:val="hr-HR" w:eastAsia="hr-HR"/>
        </w:rPr>
        <w:t>EIF-NPI EQUITY PLATFORMA I OSTALA ČLANSTVA</w:t>
      </w:r>
    </w:p>
    <w:p w14:paraId="1748D7E9" w14:textId="4FF76BE6" w:rsidR="00382CF2" w:rsidRDefault="00054989">
      <w:pPr>
        <w:spacing w:before="120" w:after="120" w:line="276" w:lineRule="auto"/>
        <w:jc w:val="both"/>
      </w:pPr>
      <w:r>
        <w:rPr>
          <w:rStyle w:val="Zadanifontodlomka1"/>
          <w:rFonts w:ascii="Calibri" w:hAnsi="Calibri" w:cs="Calibri"/>
          <w:sz w:val="22"/>
          <w:szCs w:val="22"/>
          <w:lang w:val="hr-HR" w:eastAsia="hr-HR"/>
        </w:rPr>
        <w:t>Europska komisija je u suradnji s EIF-om i nacionalnim razvojnim institucijama (</w:t>
      </w:r>
      <w:r w:rsidRPr="00CD3EA4">
        <w:rPr>
          <w:rStyle w:val="Zadanifontodlomka1"/>
          <w:rFonts w:ascii="Calibri" w:hAnsi="Calibri" w:cs="Calibri"/>
          <w:i/>
          <w:iCs/>
          <w:sz w:val="22"/>
          <w:szCs w:val="22"/>
          <w:lang w:val="hr-HR" w:eastAsia="hr-HR"/>
        </w:rPr>
        <w:t xml:space="preserve">engl. National Promotional </w:t>
      </w:r>
      <w:r w:rsidRPr="00CD3EA4">
        <w:rPr>
          <w:rStyle w:val="Zadanifontodlomka1"/>
          <w:rFonts w:ascii="Calibri" w:eastAsia="SimSun" w:hAnsi="Calibri" w:cs="Calibri"/>
          <w:i/>
          <w:iCs/>
          <w:sz w:val="22"/>
          <w:szCs w:val="22"/>
          <w:lang w:val="hr-HR"/>
        </w:rPr>
        <w:t>Institutions - NPIs</w:t>
      </w:r>
      <w:r>
        <w:rPr>
          <w:rStyle w:val="Zadanifontodlomka1"/>
          <w:rFonts w:ascii="Calibri" w:eastAsia="SimSun" w:hAnsi="Calibri" w:cs="Calibri"/>
          <w:sz w:val="22"/>
          <w:szCs w:val="22"/>
          <w:lang w:val="hr-HR"/>
        </w:rPr>
        <w:t>) u svrhu razvoja tržišta ulaganja u fondove rizičnog i vlasničkog kapitala pokrenula EIF-NPI equity platformu. HBOR se</w:t>
      </w:r>
      <w:r w:rsidR="002076E0">
        <w:rPr>
          <w:rStyle w:val="Zadanifontodlomka1"/>
          <w:rFonts w:ascii="Calibri" w:eastAsia="SimSun" w:hAnsi="Calibri" w:cs="Calibri"/>
          <w:sz w:val="22"/>
          <w:szCs w:val="22"/>
          <w:lang w:val="hr-HR"/>
        </w:rPr>
        <w:t>,</w:t>
      </w:r>
      <w:r>
        <w:rPr>
          <w:rStyle w:val="Zadanifontodlomka1"/>
          <w:rFonts w:ascii="Calibri" w:eastAsia="SimSun" w:hAnsi="Calibri" w:cs="Calibri"/>
          <w:sz w:val="22"/>
          <w:szCs w:val="22"/>
          <w:lang w:val="hr-HR"/>
        </w:rPr>
        <w:t xml:space="preserve"> kao jedna od institucija osnivačica</w:t>
      </w:r>
      <w:r w:rsidR="002076E0">
        <w:rPr>
          <w:rStyle w:val="Zadanifontodlomka1"/>
          <w:rFonts w:ascii="Calibri" w:eastAsia="SimSun" w:hAnsi="Calibri" w:cs="Calibri"/>
          <w:sz w:val="22"/>
          <w:szCs w:val="22"/>
          <w:lang w:val="hr-HR"/>
        </w:rPr>
        <w:t>,</w:t>
      </w:r>
      <w:r>
        <w:rPr>
          <w:rStyle w:val="Zadanifontodlomka1"/>
          <w:rFonts w:ascii="Calibri" w:eastAsia="SimSun" w:hAnsi="Calibri" w:cs="Calibri"/>
          <w:sz w:val="22"/>
          <w:szCs w:val="22"/>
          <w:lang w:val="hr-HR"/>
        </w:rPr>
        <w:t xml:space="preserve"> pridružio stvaranju ove platforme u rujnu 2016.</w:t>
      </w:r>
      <w:r w:rsidR="00354421">
        <w:rPr>
          <w:rStyle w:val="Zadanifontodlomka1"/>
          <w:rFonts w:ascii="Calibri" w:eastAsia="SimSun" w:hAnsi="Calibri" w:cs="Calibri"/>
          <w:sz w:val="22"/>
          <w:szCs w:val="22"/>
          <w:lang w:val="hr-HR"/>
        </w:rPr>
        <w:t xml:space="preserve"> </w:t>
      </w:r>
      <w:r>
        <w:rPr>
          <w:rStyle w:val="Zadanifontodlomka1"/>
          <w:rFonts w:ascii="Calibri" w:eastAsia="SimSun" w:hAnsi="Calibri" w:cs="Calibri"/>
          <w:sz w:val="22"/>
          <w:szCs w:val="22"/>
          <w:lang w:val="hr-HR"/>
        </w:rPr>
        <w:t>te od tada sudjeluje u radu dvaju tijela platforme – Generalnog foruma i Konzultativnog foruma čiji rad je usmjeren na razmjenu iskustava i znanja u svrhu jačanja industrije rizičnog i vlasničkog kapitala.</w:t>
      </w:r>
    </w:p>
    <w:p w14:paraId="1748D7EA" w14:textId="7638D3FD" w:rsidR="00382CF2" w:rsidRDefault="00054989" w:rsidP="00871762">
      <w:pPr>
        <w:spacing w:before="120" w:line="276" w:lineRule="auto"/>
        <w:jc w:val="both"/>
        <w:rPr>
          <w:rFonts w:ascii="Calibri" w:eastAsia="SimSun" w:hAnsi="Calibri" w:cs="Calibri"/>
          <w:sz w:val="22"/>
          <w:szCs w:val="22"/>
          <w:lang w:val="hr-HR"/>
        </w:rPr>
      </w:pPr>
      <w:r>
        <w:rPr>
          <w:rFonts w:ascii="Calibri" w:eastAsia="SimSun" w:hAnsi="Calibri" w:cs="Calibri"/>
          <w:sz w:val="22"/>
          <w:szCs w:val="22"/>
          <w:lang w:val="hr-HR"/>
        </w:rPr>
        <w:t>HBOR je aktivni član u stručnim udruženjima Invest Europe i European Venture Fund Investors Network (EVFIN). Invest Europe je strukovno, neprofitno udruženje koje okuplja sektor ulagatelja u kapital, fondove rizičnog kapitala i investicijski sektor te upravitelje fondovima. Aktivno doprinosi u izradi politika koje imaju utjecaj na ulaganje kapitala (izravno i kroz fondove) u Europi, a istovremeno pruža informacije o utjecaju svojih članova na gospodarstvo EU i objavljuje istraživanja o trendovima i razvoju industrije rizičnog kapitala. EVFIN je neformalna platforma za dijalog i suradnju koja okuplja 21 javnog ulagača iz 17 europskih zemalja. Cilj platforme je razmjena informacija i najboljih praksi među članicama te pružanje doprinosa javnoj raspravi u EU i istraživanju mjera za stvaranje održivijih tržišta rizičnog kapitala u EU-u.</w:t>
      </w:r>
    </w:p>
    <w:p w14:paraId="1748D7EB" w14:textId="77777777" w:rsidR="00382CF2" w:rsidRDefault="00382CF2">
      <w:pPr>
        <w:spacing w:after="160" w:line="276" w:lineRule="auto"/>
        <w:jc w:val="both"/>
        <w:rPr>
          <w:rFonts w:ascii="Calibri" w:eastAsia="SimSun" w:hAnsi="Calibri" w:cs="Calibri"/>
          <w:b/>
          <w:bCs/>
          <w:sz w:val="22"/>
          <w:szCs w:val="22"/>
          <w:lang w:val="hr-HR"/>
        </w:rPr>
      </w:pPr>
    </w:p>
    <w:p w14:paraId="1748D7EC" w14:textId="77777777" w:rsidR="00382CF2" w:rsidRDefault="00054989">
      <w:pPr>
        <w:spacing w:after="160" w:line="276" w:lineRule="auto"/>
        <w:jc w:val="both"/>
        <w:rPr>
          <w:rFonts w:ascii="Calibri" w:eastAsia="SimSun" w:hAnsi="Calibri" w:cs="Calibri"/>
          <w:b/>
          <w:bCs/>
          <w:sz w:val="22"/>
          <w:szCs w:val="22"/>
          <w:lang w:val="hr-HR"/>
        </w:rPr>
      </w:pPr>
      <w:r>
        <w:rPr>
          <w:rFonts w:ascii="Calibri" w:eastAsia="SimSun" w:hAnsi="Calibri" w:cs="Calibri"/>
          <w:b/>
          <w:bCs/>
          <w:sz w:val="22"/>
          <w:szCs w:val="22"/>
          <w:lang w:val="hr-HR"/>
        </w:rPr>
        <w:t xml:space="preserve">JAČANJE INTERNIH KAPACITETA </w:t>
      </w:r>
    </w:p>
    <w:p w14:paraId="1748D7ED" w14:textId="6C74686E"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 2021.</w:t>
      </w:r>
      <w:r w:rsidR="00203AE9">
        <w:rPr>
          <w:rFonts w:ascii="Calibri" w:eastAsia="SimSun" w:hAnsi="Calibri" w:cs="Calibri"/>
          <w:sz w:val="22"/>
          <w:szCs w:val="22"/>
          <w:lang w:val="hr-HR"/>
        </w:rPr>
        <w:t xml:space="preserve"> </w:t>
      </w:r>
      <w:r>
        <w:rPr>
          <w:rFonts w:ascii="Calibri" w:eastAsia="SimSun" w:hAnsi="Calibri" w:cs="Calibri"/>
          <w:sz w:val="22"/>
          <w:szCs w:val="22"/>
          <w:lang w:val="hr-HR"/>
        </w:rPr>
        <w:t>HBOR je s Europskom investicijskom bankom zaključio ugovor na temelju kojeg je Europski savjetodavni centar za ulaganja (</w:t>
      </w:r>
      <w:r w:rsidRPr="00CD3EA4">
        <w:rPr>
          <w:rFonts w:ascii="Calibri" w:eastAsia="SimSun" w:hAnsi="Calibri" w:cs="Calibri"/>
          <w:i/>
          <w:iCs/>
          <w:sz w:val="22"/>
          <w:szCs w:val="22"/>
          <w:lang w:val="hr-HR"/>
        </w:rPr>
        <w:t>engl. European Investment Advisory Hub - EIAH</w:t>
      </w:r>
      <w:r>
        <w:rPr>
          <w:rFonts w:ascii="Calibri" w:eastAsia="SimSun" w:hAnsi="Calibri" w:cs="Calibri"/>
          <w:sz w:val="22"/>
          <w:szCs w:val="22"/>
          <w:lang w:val="hr-HR"/>
        </w:rPr>
        <w:t xml:space="preserve">) osigurao pružanje savjetodavnih usluga HBOR-u s ciljem jačanja internih kapaciteta HBOR-a u uspostavljanju i praćenju ulaganja u fondove rizičnog i vlasničkog kapitala. Jedna od aktivnosti na temelju navedenog ugovora </w:t>
      </w:r>
      <w:r w:rsidR="008363C6">
        <w:rPr>
          <w:rFonts w:ascii="Calibri" w:eastAsia="SimSun" w:hAnsi="Calibri" w:cs="Calibri"/>
          <w:sz w:val="22"/>
          <w:szCs w:val="22"/>
          <w:lang w:val="hr-HR"/>
        </w:rPr>
        <w:t>bila je</w:t>
      </w:r>
      <w:r>
        <w:rPr>
          <w:rFonts w:ascii="Calibri" w:eastAsia="SimSun" w:hAnsi="Calibri" w:cs="Calibri"/>
          <w:sz w:val="22"/>
          <w:szCs w:val="22"/>
          <w:lang w:val="hr-HR"/>
        </w:rPr>
        <w:t xml:space="preserve"> priprema analize tržišnog nedostatka (</w:t>
      </w:r>
      <w:r w:rsidR="006579E6" w:rsidRPr="00CD3EA4">
        <w:rPr>
          <w:rFonts w:ascii="Calibri" w:eastAsia="SimSun" w:hAnsi="Calibri" w:cs="Calibri"/>
          <w:i/>
          <w:iCs/>
          <w:sz w:val="22"/>
          <w:szCs w:val="22"/>
          <w:lang w:val="hr-HR"/>
        </w:rPr>
        <w:t xml:space="preserve">engl. </w:t>
      </w:r>
      <w:r w:rsidRPr="00CD3EA4">
        <w:rPr>
          <w:rFonts w:ascii="Calibri" w:eastAsia="SimSun" w:hAnsi="Calibri" w:cs="Calibri"/>
          <w:i/>
          <w:iCs/>
          <w:sz w:val="22"/>
          <w:szCs w:val="22"/>
          <w:lang w:val="hr-HR"/>
        </w:rPr>
        <w:t>„market gap analysis“</w:t>
      </w:r>
      <w:r>
        <w:rPr>
          <w:rFonts w:ascii="Calibri" w:eastAsia="SimSun" w:hAnsi="Calibri" w:cs="Calibri"/>
          <w:sz w:val="22"/>
          <w:szCs w:val="22"/>
          <w:lang w:val="hr-HR"/>
        </w:rPr>
        <w:t>) financiranja rizičnim i vlasničkim kapitalom za Republiku Hrvatsku. Analizom su detaljno prikazane potrebe i mogućnosti tržišta, uključujući identifikaciju regulatornih i administrativnih zapreka.</w:t>
      </w:r>
    </w:p>
    <w:p w14:paraId="1748D7EE" w14:textId="037906F1" w:rsidR="00382CF2" w:rsidRDefault="00312594">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Nastavno na činjenicu kako na području Republike Hrvatske, ali niti na području </w:t>
      </w:r>
      <w:r w:rsidR="002109F4">
        <w:rPr>
          <w:rFonts w:ascii="Calibri" w:eastAsia="SimSun" w:hAnsi="Calibri" w:cs="Calibri"/>
          <w:sz w:val="22"/>
          <w:szCs w:val="22"/>
          <w:lang w:val="hr-HR"/>
        </w:rPr>
        <w:t xml:space="preserve">Republike Slovenije </w:t>
      </w:r>
      <w:r w:rsidR="00054989">
        <w:rPr>
          <w:rFonts w:ascii="Calibri" w:eastAsia="SimSun" w:hAnsi="Calibri" w:cs="Calibri"/>
          <w:sz w:val="22"/>
          <w:szCs w:val="22"/>
          <w:lang w:val="hr-HR"/>
        </w:rPr>
        <w:t>nije postojao fond za transfer tehnologije, s ciljem što kvalitetnije pripreme svih dionika na tržištu, HBOR i SID banka su se u ožujku 2022. obratili EIB-u sa zahtjevom za tehničku pomoć. Savjetodavna podrška koja će se pružati u okviru Ugovora bit će usmjerena na pregled najboljih praksi i organizaciju radionica za jačanje kapaciteta za sveučilišta i istraživačke institucije, društvo za upravljanje fondom za transfer tehnologije te potencijalne ulagatelje u fond.</w:t>
      </w:r>
    </w:p>
    <w:p w14:paraId="1748D7F1" w14:textId="77777777" w:rsidR="00382CF2" w:rsidRDefault="00382CF2">
      <w:pPr>
        <w:spacing w:line="276" w:lineRule="auto"/>
        <w:jc w:val="both"/>
        <w:textAlignment w:val="baseline"/>
        <w:rPr>
          <w:rFonts w:ascii="Calibri" w:hAnsi="Calibri" w:cs="Calibri"/>
          <w:sz w:val="22"/>
          <w:szCs w:val="22"/>
          <w:lang w:val="hr-HR" w:eastAsia="hr-HR"/>
        </w:rPr>
      </w:pPr>
    </w:p>
    <w:p w14:paraId="20A8DABF" w14:textId="77777777" w:rsidR="00CD3EA4" w:rsidRDefault="00CD3EA4">
      <w:pPr>
        <w:suppressAutoHyphens w:val="0"/>
        <w:rPr>
          <w:rStyle w:val="Zadanifontodlomka1"/>
          <w:rFonts w:ascii="Calibri" w:hAnsi="Calibri" w:cs="Calibri"/>
          <w:b/>
          <w:bCs/>
          <w:sz w:val="22"/>
          <w:szCs w:val="22"/>
          <w:lang w:val="hr-HR" w:eastAsia="hr-HR"/>
        </w:rPr>
      </w:pPr>
      <w:r>
        <w:rPr>
          <w:rStyle w:val="Zadanifontodlomka1"/>
          <w:rFonts w:ascii="Calibri" w:hAnsi="Calibri" w:cs="Calibri"/>
          <w:b/>
          <w:bCs/>
          <w:sz w:val="22"/>
          <w:szCs w:val="22"/>
          <w:lang w:val="hr-HR" w:eastAsia="hr-HR"/>
        </w:rPr>
        <w:br w:type="page"/>
      </w:r>
    </w:p>
    <w:p w14:paraId="1748D7F2" w14:textId="511152F8" w:rsidR="00382CF2" w:rsidRDefault="00054989">
      <w:pPr>
        <w:spacing w:after="160" w:line="276" w:lineRule="auto"/>
        <w:jc w:val="both"/>
      </w:pPr>
      <w:r>
        <w:rPr>
          <w:rStyle w:val="Zadanifontodlomka1"/>
          <w:rFonts w:ascii="Calibri" w:hAnsi="Calibri" w:cs="Calibri"/>
          <w:b/>
          <w:bCs/>
          <w:sz w:val="22"/>
          <w:szCs w:val="22"/>
          <w:lang w:val="hr-HR" w:eastAsia="hr-HR"/>
        </w:rPr>
        <w:lastRenderedPageBreak/>
        <w:t xml:space="preserve">NACIONALNI PROGRAM OPORAVKA </w:t>
      </w:r>
      <w:r>
        <w:rPr>
          <w:rStyle w:val="Zadanifontodlomka1"/>
          <w:rFonts w:ascii="Calibri" w:eastAsia="SimSun" w:hAnsi="Calibri" w:cs="Calibri"/>
          <w:b/>
          <w:bCs/>
          <w:sz w:val="22"/>
          <w:szCs w:val="22"/>
          <w:lang w:val="hr-HR"/>
        </w:rPr>
        <w:t>I OTPORNOSTI (NPOO)</w:t>
      </w:r>
    </w:p>
    <w:p w14:paraId="1748D7F3" w14:textId="525253D5"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Ministarstvo financija, Ministarstvo gospodarstva i održivog razvoja i Hrvatska banka za obnovu i razvitak (HBOR) potpisali su u prosincu 2022.</w:t>
      </w:r>
      <w:r w:rsidR="003D46CB">
        <w:rPr>
          <w:rFonts w:ascii="Calibri" w:eastAsia="SimSun" w:hAnsi="Calibri" w:cs="Calibri"/>
          <w:sz w:val="22"/>
          <w:szCs w:val="22"/>
          <w:lang w:val="hr-HR"/>
        </w:rPr>
        <w:t xml:space="preserve"> </w:t>
      </w:r>
      <w:r>
        <w:rPr>
          <w:rFonts w:ascii="Calibri" w:eastAsia="SimSun" w:hAnsi="Calibri" w:cs="Calibri"/>
          <w:sz w:val="22"/>
          <w:szCs w:val="22"/>
          <w:lang w:val="hr-HR"/>
        </w:rPr>
        <w:t>Sporazum o delegiranim poslovima u okviru Nacionalnog plana oporavka i otpornosti (NPOO) ukupne vrijednosti 29,86 milijuna eura.</w:t>
      </w:r>
    </w:p>
    <w:p w14:paraId="1748D7F4" w14:textId="4BCD45C2"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Novopotpisanim Sporazumom o delegiranim poslovima u okviru NPOO-a HBOR-u je povjerena provedba još jednog Financijskog instrumenta - Ulaganje u instrumente vlasničkog i kvazi-vlasničkog financiranja za mikro, male i srednje poslovne subjekte te poslovne subjekte srednje tržišne kapitalizacije ukupne vrijednosti 29,86 milijuna eura. </w:t>
      </w:r>
      <w:r w:rsidR="00B94D6C">
        <w:rPr>
          <w:rFonts w:ascii="Calibri" w:eastAsia="SimSun" w:hAnsi="Calibri" w:cs="Calibri"/>
          <w:sz w:val="22"/>
          <w:szCs w:val="22"/>
          <w:lang w:val="hr-HR"/>
        </w:rPr>
        <w:t>Posljednji</w:t>
      </w:r>
      <w:r>
        <w:rPr>
          <w:rFonts w:ascii="Calibri" w:eastAsia="SimSun" w:hAnsi="Calibri" w:cs="Calibri"/>
          <w:sz w:val="22"/>
          <w:szCs w:val="22"/>
          <w:lang w:val="hr-HR"/>
        </w:rPr>
        <w:t>, šest</w:t>
      </w:r>
      <w:r w:rsidR="00B94D6C">
        <w:rPr>
          <w:rFonts w:ascii="Calibri" w:eastAsia="SimSun" w:hAnsi="Calibri" w:cs="Calibri"/>
          <w:sz w:val="22"/>
          <w:szCs w:val="22"/>
          <w:lang w:val="hr-HR"/>
        </w:rPr>
        <w:t>i</w:t>
      </w:r>
      <w:r>
        <w:rPr>
          <w:rFonts w:ascii="Calibri" w:eastAsia="SimSun" w:hAnsi="Calibri" w:cs="Calibri"/>
          <w:sz w:val="22"/>
          <w:szCs w:val="22"/>
          <w:lang w:val="hr-HR"/>
        </w:rPr>
        <w:t xml:space="preserve"> financijsk</w:t>
      </w:r>
      <w:r w:rsidR="00B94D6C">
        <w:rPr>
          <w:rFonts w:ascii="Calibri" w:eastAsia="SimSun" w:hAnsi="Calibri" w:cs="Calibri"/>
          <w:sz w:val="22"/>
          <w:szCs w:val="22"/>
          <w:lang w:val="hr-HR"/>
        </w:rPr>
        <w:t>i</w:t>
      </w:r>
      <w:r>
        <w:rPr>
          <w:rFonts w:ascii="Calibri" w:eastAsia="SimSun" w:hAnsi="Calibri" w:cs="Calibri"/>
          <w:sz w:val="22"/>
          <w:szCs w:val="22"/>
          <w:lang w:val="hr-HR"/>
        </w:rPr>
        <w:t xml:space="preserve"> instrument koji će HBOR provoditi u okviru NPOO-a, </w:t>
      </w:r>
      <w:r w:rsidR="00C226FF">
        <w:rPr>
          <w:rFonts w:ascii="Calibri" w:eastAsia="SimSun" w:hAnsi="Calibri" w:cs="Calibri"/>
          <w:sz w:val="22"/>
          <w:szCs w:val="22"/>
          <w:lang w:val="hr-HR"/>
        </w:rPr>
        <w:t xml:space="preserve">doprinosi povećanju </w:t>
      </w:r>
      <w:r w:rsidR="00480888">
        <w:rPr>
          <w:rFonts w:ascii="Calibri" w:eastAsia="SimSun" w:hAnsi="Calibri" w:cs="Calibri"/>
          <w:sz w:val="22"/>
          <w:szCs w:val="22"/>
          <w:lang w:val="hr-HR"/>
        </w:rPr>
        <w:t>ukupn</w:t>
      </w:r>
      <w:r w:rsidR="00396B19">
        <w:rPr>
          <w:rFonts w:ascii="Calibri" w:eastAsia="SimSun" w:hAnsi="Calibri" w:cs="Calibri"/>
          <w:sz w:val="22"/>
          <w:szCs w:val="22"/>
          <w:lang w:val="hr-HR"/>
        </w:rPr>
        <w:t>e</w:t>
      </w:r>
      <w:r w:rsidR="00480888">
        <w:rPr>
          <w:rFonts w:ascii="Calibri" w:eastAsia="SimSun" w:hAnsi="Calibri" w:cs="Calibri"/>
          <w:sz w:val="22"/>
          <w:szCs w:val="22"/>
          <w:lang w:val="hr-HR"/>
        </w:rPr>
        <w:t xml:space="preserve"> vrijednosti </w:t>
      </w:r>
      <w:r>
        <w:rPr>
          <w:rFonts w:ascii="Calibri" w:eastAsia="SimSun" w:hAnsi="Calibri" w:cs="Calibri"/>
          <w:sz w:val="22"/>
          <w:szCs w:val="22"/>
          <w:lang w:val="hr-HR"/>
        </w:rPr>
        <w:t>HBOR-</w:t>
      </w:r>
      <w:r w:rsidR="00480888">
        <w:rPr>
          <w:rFonts w:ascii="Calibri" w:eastAsia="SimSun" w:hAnsi="Calibri" w:cs="Calibri"/>
          <w:sz w:val="22"/>
          <w:szCs w:val="22"/>
          <w:lang w:val="hr-HR"/>
        </w:rPr>
        <w:t>ovih</w:t>
      </w:r>
      <w:r>
        <w:rPr>
          <w:rFonts w:ascii="Calibri" w:eastAsia="SimSun" w:hAnsi="Calibri" w:cs="Calibri"/>
          <w:sz w:val="22"/>
          <w:szCs w:val="22"/>
          <w:lang w:val="hr-HR"/>
        </w:rPr>
        <w:t xml:space="preserve"> delegiranih poslova</w:t>
      </w:r>
      <w:r w:rsidR="00480888">
        <w:rPr>
          <w:rFonts w:ascii="Calibri" w:eastAsia="SimSun" w:hAnsi="Calibri" w:cs="Calibri"/>
          <w:sz w:val="22"/>
          <w:szCs w:val="22"/>
          <w:lang w:val="hr-HR"/>
        </w:rPr>
        <w:t xml:space="preserve"> koja sada</w:t>
      </w:r>
      <w:r>
        <w:rPr>
          <w:rFonts w:ascii="Calibri" w:eastAsia="SimSun" w:hAnsi="Calibri" w:cs="Calibri"/>
          <w:sz w:val="22"/>
          <w:szCs w:val="22"/>
          <w:lang w:val="hr-HR"/>
        </w:rPr>
        <w:t xml:space="preserve"> iznosi 255,5 milijuna eura.</w:t>
      </w:r>
    </w:p>
    <w:p w14:paraId="1748D7F5"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Početak provedbe instrumenta za vlasničko i kvazi-vlasničko financiranje planiran je u 2023. godini, a kao i ostali financijski instrumenti koje HBOR provodi u sklopu NPOO-a bit će namijenjen osiguranju povoljnih uvjeta financiranja s ciljem poticanja jačanja investicijske aktivnosti u hrvatskom gospodarstvu, jačanja konkurentnosti domaćih gospodarskih subjekata, poticanja uspješne tranzicije prema zelenim i digitalnim tehnologijama koje su osnovica buduće održivosti i konkurentnosti hrvatskog gospodarstva.</w:t>
      </w:r>
    </w:p>
    <w:p w14:paraId="1748D7F6" w14:textId="1CF9F8BF" w:rsidR="00977700"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 skladu s regulatornim okvirom za provedbu i korištenje sredstava, sve investicije koje će biti financirane sredstvima NPOO-a moraju zadovoljavati kriterije načela nenanošenja bitne štete okolišnim i klimatskim ciljevima EU-a</w:t>
      </w:r>
      <w:r w:rsidR="003A309C">
        <w:rPr>
          <w:rFonts w:ascii="Calibri" w:eastAsia="SimSun" w:hAnsi="Calibri" w:cs="Calibri"/>
          <w:sz w:val="22"/>
          <w:szCs w:val="22"/>
          <w:lang w:val="hr-HR"/>
        </w:rPr>
        <w:t xml:space="preserve">, tj. DNSH </w:t>
      </w:r>
      <w:r w:rsidR="007B61CB">
        <w:rPr>
          <w:rFonts w:ascii="Calibri" w:eastAsia="SimSun" w:hAnsi="Calibri" w:cs="Calibri"/>
          <w:sz w:val="22"/>
          <w:szCs w:val="22"/>
          <w:lang w:val="hr-HR"/>
        </w:rPr>
        <w:t>načelo</w:t>
      </w:r>
      <w:r w:rsidR="003A309C">
        <w:rPr>
          <w:rFonts w:ascii="Calibri" w:eastAsia="SimSun" w:hAnsi="Calibri" w:cs="Calibri"/>
          <w:sz w:val="22"/>
          <w:szCs w:val="22"/>
          <w:lang w:val="hr-HR"/>
        </w:rPr>
        <w:t xml:space="preserve">. </w:t>
      </w:r>
      <w:r>
        <w:rPr>
          <w:rFonts w:ascii="Calibri" w:eastAsia="SimSun" w:hAnsi="Calibri" w:cs="Calibri"/>
          <w:sz w:val="22"/>
          <w:szCs w:val="22"/>
          <w:lang w:val="hr-HR"/>
        </w:rPr>
        <w:t xml:space="preserve"> </w:t>
      </w:r>
    </w:p>
    <w:p w14:paraId="0742AF6B" w14:textId="77777777" w:rsidR="00977700" w:rsidRDefault="00977700">
      <w:pPr>
        <w:suppressAutoHyphens w:val="0"/>
        <w:rPr>
          <w:rFonts w:ascii="Calibri" w:eastAsia="SimSun" w:hAnsi="Calibri" w:cs="Calibri"/>
          <w:sz w:val="22"/>
          <w:szCs w:val="22"/>
          <w:lang w:val="hr-HR"/>
        </w:rPr>
      </w:pPr>
      <w:r>
        <w:rPr>
          <w:rFonts w:ascii="Calibri" w:eastAsia="SimSun" w:hAnsi="Calibri" w:cs="Calibri"/>
          <w:sz w:val="22"/>
          <w:szCs w:val="22"/>
          <w:lang w:val="hr-HR"/>
        </w:rPr>
        <w:br w:type="page"/>
      </w:r>
    </w:p>
    <w:p w14:paraId="1748D7F8" w14:textId="77777777" w:rsidR="00382CF2" w:rsidRDefault="00054989">
      <w:pPr>
        <w:keepNext/>
        <w:keepLines/>
        <w:pBdr>
          <w:bottom w:val="single" w:sz="4" w:space="2" w:color="B2B2B2"/>
        </w:pBdr>
        <w:spacing w:before="360" w:after="120"/>
        <w:outlineLvl w:val="0"/>
        <w:rPr>
          <w:rFonts w:ascii="Calibri" w:eastAsia="SimHei" w:hAnsi="Calibri" w:cs="Calibri"/>
          <w:b/>
          <w:bCs/>
          <w:sz w:val="22"/>
          <w:szCs w:val="22"/>
          <w:lang w:val="hr-HR"/>
        </w:rPr>
      </w:pPr>
      <w:bookmarkStart w:id="48" w:name="_Toc129083717"/>
      <w:bookmarkStart w:id="49" w:name="_Toc509582268"/>
      <w:bookmarkStart w:id="50" w:name="_Toc3249210"/>
      <w:bookmarkStart w:id="51" w:name="_Toc255898372"/>
      <w:r>
        <w:rPr>
          <w:rFonts w:ascii="Calibri" w:eastAsia="SimHei" w:hAnsi="Calibri" w:cs="Calibri"/>
          <w:b/>
          <w:bCs/>
          <w:sz w:val="22"/>
          <w:szCs w:val="22"/>
          <w:lang w:val="hr-HR"/>
        </w:rPr>
        <w:lastRenderedPageBreak/>
        <w:t>POSLOVI OSIGURANJA IZVOZA</w:t>
      </w:r>
      <w:bookmarkEnd w:id="48"/>
      <w:r>
        <w:rPr>
          <w:rFonts w:ascii="Calibri" w:eastAsia="SimHei" w:hAnsi="Calibri" w:cs="Calibri"/>
          <w:b/>
          <w:bCs/>
          <w:sz w:val="22"/>
          <w:szCs w:val="22"/>
          <w:lang w:val="hr-HR"/>
        </w:rPr>
        <w:t xml:space="preserve"> </w:t>
      </w:r>
    </w:p>
    <w:p w14:paraId="1748D7F9" w14:textId="0C1F7A1D" w:rsidR="00382CF2" w:rsidRDefault="003A309C">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Poslove</w:t>
      </w:r>
      <w:r w:rsidR="00054989">
        <w:rPr>
          <w:rFonts w:ascii="Calibri" w:eastAsia="SimSun" w:hAnsi="Calibri" w:cs="Calibri"/>
          <w:sz w:val="22"/>
          <w:szCs w:val="22"/>
          <w:lang w:val="hr-HR"/>
        </w:rPr>
        <w:t xml:space="preserve"> osiguranja i reosiguranja izvoza </w:t>
      </w:r>
      <w:r>
        <w:rPr>
          <w:rFonts w:ascii="Calibri" w:eastAsia="SimSun" w:hAnsi="Calibri" w:cs="Calibri"/>
          <w:sz w:val="22"/>
          <w:szCs w:val="22"/>
          <w:lang w:val="hr-HR"/>
        </w:rPr>
        <w:t xml:space="preserve">HBOR </w:t>
      </w:r>
      <w:r w:rsidR="00054989">
        <w:rPr>
          <w:rFonts w:ascii="Calibri" w:eastAsia="SimSun" w:hAnsi="Calibri" w:cs="Calibri"/>
          <w:sz w:val="22"/>
          <w:szCs w:val="22"/>
          <w:lang w:val="hr-HR"/>
        </w:rPr>
        <w:t>obavlja kao mandatni posao s ciljem poticanja izvoza, internacionalizacije poslovanja te povećanja konkurentnosti hrvatskih izvoznika na stranim tržištima.</w:t>
      </w:r>
    </w:p>
    <w:p w14:paraId="1748D7FA" w14:textId="16A72CA3" w:rsidR="00382CF2" w:rsidRDefault="00896A43">
      <w:pPr>
        <w:spacing w:before="120" w:after="120" w:line="276" w:lineRule="auto"/>
        <w:jc w:val="both"/>
        <w:rPr>
          <w:rFonts w:ascii="Calibri" w:eastAsia="SimSun" w:hAnsi="Calibri" w:cs="Calibri"/>
          <w:sz w:val="22"/>
          <w:szCs w:val="22"/>
          <w:lang w:val="hr-HR"/>
        </w:rPr>
      </w:pPr>
      <w:r w:rsidRPr="002755C8">
        <w:rPr>
          <w:rStyle w:val="Zadanifontodlomka1"/>
          <w:rFonts w:ascii="Calibri" w:eastAsia="SimSun" w:hAnsi="Calibri" w:cs="Calibri"/>
          <w:sz w:val="22"/>
          <w:szCs w:val="22"/>
          <w:lang w:val="hr-HR"/>
        </w:rPr>
        <w:t>Uz provedbu kriznih mjera vezanih uz COVID</w:t>
      </w:r>
      <w:r>
        <w:rPr>
          <w:rStyle w:val="Zadanifontodlomka1"/>
          <w:rFonts w:ascii="Calibri" w:eastAsia="SimSun" w:hAnsi="Calibri" w:cs="Calibri"/>
          <w:sz w:val="22"/>
          <w:szCs w:val="22"/>
          <w:lang w:val="hr-HR"/>
        </w:rPr>
        <w:t xml:space="preserve">-19, </w:t>
      </w:r>
      <w:r>
        <w:rPr>
          <w:rFonts w:ascii="Calibri" w:eastAsia="SimSun" w:hAnsi="Calibri" w:cs="Calibri"/>
          <w:sz w:val="22"/>
          <w:szCs w:val="22"/>
          <w:lang w:val="hr-HR"/>
        </w:rPr>
        <w:t>z</w:t>
      </w:r>
      <w:r w:rsidR="00054989">
        <w:rPr>
          <w:rFonts w:ascii="Calibri" w:eastAsia="SimSun" w:hAnsi="Calibri" w:cs="Calibri"/>
          <w:sz w:val="22"/>
          <w:szCs w:val="22"/>
          <w:lang w:val="hr-HR"/>
        </w:rPr>
        <w:t>bog kriz</w:t>
      </w:r>
      <w:r w:rsidR="000329B4">
        <w:rPr>
          <w:rFonts w:ascii="Calibri" w:eastAsia="SimSun" w:hAnsi="Calibri" w:cs="Calibri"/>
          <w:sz w:val="22"/>
          <w:szCs w:val="22"/>
          <w:lang w:val="hr-HR"/>
        </w:rPr>
        <w:t>e</w:t>
      </w:r>
      <w:r w:rsidR="00054989">
        <w:rPr>
          <w:rFonts w:ascii="Calibri" w:eastAsia="SimSun" w:hAnsi="Calibri" w:cs="Calibri"/>
          <w:sz w:val="22"/>
          <w:szCs w:val="22"/>
          <w:lang w:val="hr-HR"/>
        </w:rPr>
        <w:t xml:space="preserve"> uzrokovan</w:t>
      </w:r>
      <w:r w:rsidR="000329B4">
        <w:rPr>
          <w:rFonts w:ascii="Calibri" w:eastAsia="SimSun" w:hAnsi="Calibri" w:cs="Calibri"/>
          <w:sz w:val="22"/>
          <w:szCs w:val="22"/>
          <w:lang w:val="hr-HR"/>
        </w:rPr>
        <w:t>e</w:t>
      </w:r>
      <w:r w:rsidR="00054989">
        <w:rPr>
          <w:rFonts w:ascii="Calibri" w:eastAsia="SimSun" w:hAnsi="Calibri" w:cs="Calibri"/>
          <w:sz w:val="22"/>
          <w:szCs w:val="22"/>
          <w:lang w:val="hr-HR"/>
        </w:rPr>
        <w:t xml:space="preserve"> ruskom agresijom na Ukrajinu HBOR je i u okviru mandatnih poslova osiguranja izvoza poseban naglasak stavio na olakšavanje financiranja likvidnosti za izvoznike uvođenjem novih programa osiguranja – mjera pomoći gospodarstvu RH.</w:t>
      </w:r>
    </w:p>
    <w:p w14:paraId="1748D7FD" w14:textId="0EA33E29" w:rsidR="00382CF2" w:rsidRDefault="00896A43">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w:t>
      </w:r>
      <w:r w:rsidR="00054989">
        <w:rPr>
          <w:rFonts w:ascii="Calibri" w:eastAsia="SimSun" w:hAnsi="Calibri" w:cs="Calibri"/>
          <w:sz w:val="22"/>
          <w:szCs w:val="22"/>
          <w:lang w:val="hr-HR"/>
        </w:rPr>
        <w:t xml:space="preserve"> okviru programa osiguranja kredita za likvidnost izvoznika – mjere pomoći gospodarstvu RH nakon ruske agresije na Ukrajinu, uvedenih u drugoj polovici 2022.</w:t>
      </w:r>
      <w:r w:rsidR="008F15BA">
        <w:rPr>
          <w:rFonts w:ascii="Calibri" w:eastAsia="SimSun" w:hAnsi="Calibri" w:cs="Calibri"/>
          <w:sz w:val="22"/>
          <w:szCs w:val="22"/>
          <w:lang w:val="hr-HR"/>
        </w:rPr>
        <w:t xml:space="preserve"> </w:t>
      </w:r>
      <w:r w:rsidR="00054989">
        <w:rPr>
          <w:rFonts w:ascii="Calibri" w:eastAsia="SimSun" w:hAnsi="Calibri" w:cs="Calibri"/>
          <w:sz w:val="22"/>
          <w:szCs w:val="22"/>
          <w:lang w:val="hr-HR"/>
        </w:rPr>
        <w:t xml:space="preserve">temeljem Privremenog kriznog okvira Europske komisije, do </w:t>
      </w:r>
      <w:r w:rsidR="003732B2" w:rsidRPr="003732B2">
        <w:rPr>
          <w:rFonts w:ascii="Calibri" w:eastAsia="SimSun" w:hAnsi="Calibri" w:cs="Calibri"/>
          <w:sz w:val="22"/>
          <w:szCs w:val="22"/>
          <w:lang w:val="hr-HR"/>
        </w:rPr>
        <w:t>31. prosinca 2022.</w:t>
      </w:r>
      <w:r w:rsidR="00054989">
        <w:rPr>
          <w:rFonts w:ascii="Calibri" w:eastAsia="SimSun" w:hAnsi="Calibri" w:cs="Calibri"/>
          <w:sz w:val="22"/>
          <w:szCs w:val="22"/>
          <w:lang w:val="hr-HR"/>
        </w:rPr>
        <w:t xml:space="preserve"> osigurano je 25 kredita za likvidnost izvoznika u ukupnom iznosu od 376,1 milijuna kuna. HBOR je omogućio izvoznicima </w:t>
      </w:r>
      <w:r w:rsidR="00EC05F2">
        <w:rPr>
          <w:rFonts w:ascii="Calibri" w:eastAsia="SimSun" w:hAnsi="Calibri" w:cs="Calibri"/>
          <w:sz w:val="22"/>
          <w:szCs w:val="22"/>
          <w:lang w:val="hr-HR"/>
        </w:rPr>
        <w:t>nepostojanje ili umanjenje</w:t>
      </w:r>
      <w:r w:rsidR="00054989">
        <w:rPr>
          <w:rFonts w:ascii="Calibri" w:eastAsia="SimSun" w:hAnsi="Calibri" w:cs="Calibri"/>
          <w:sz w:val="22"/>
          <w:szCs w:val="22"/>
          <w:lang w:val="hr-HR"/>
        </w:rPr>
        <w:t xml:space="preserve"> troš</w:t>
      </w:r>
      <w:r w:rsidR="00EC05F2">
        <w:rPr>
          <w:rFonts w:ascii="Calibri" w:eastAsia="SimSun" w:hAnsi="Calibri" w:cs="Calibri"/>
          <w:sz w:val="22"/>
          <w:szCs w:val="22"/>
          <w:lang w:val="hr-HR"/>
        </w:rPr>
        <w:t>ka</w:t>
      </w:r>
      <w:r w:rsidR="00054989">
        <w:rPr>
          <w:rFonts w:ascii="Calibri" w:eastAsia="SimSun" w:hAnsi="Calibri" w:cs="Calibri"/>
          <w:sz w:val="22"/>
          <w:szCs w:val="22"/>
          <w:lang w:val="hr-HR"/>
        </w:rPr>
        <w:t xml:space="preserve"> osiguranja </w:t>
      </w:r>
      <w:r w:rsidR="00EC05F2">
        <w:rPr>
          <w:rFonts w:ascii="Calibri" w:eastAsia="SimSun" w:hAnsi="Calibri" w:cs="Calibri"/>
          <w:sz w:val="22"/>
          <w:szCs w:val="22"/>
          <w:lang w:val="hr-HR"/>
        </w:rPr>
        <w:t>predmetnih</w:t>
      </w:r>
      <w:r w:rsidR="00054989">
        <w:rPr>
          <w:rFonts w:ascii="Calibri" w:eastAsia="SimSun" w:hAnsi="Calibri" w:cs="Calibri"/>
          <w:sz w:val="22"/>
          <w:szCs w:val="22"/>
          <w:lang w:val="hr-HR"/>
        </w:rPr>
        <w:t xml:space="preserve"> kredita putem programa subvencioniranja premije osiguranja koji je također uveden u drugoj polovici 2022. godine. U okviru ovog programa, do </w:t>
      </w:r>
      <w:r w:rsidR="003732B2" w:rsidRPr="003732B2">
        <w:rPr>
          <w:rFonts w:ascii="Calibri" w:eastAsia="SimSun" w:hAnsi="Calibri" w:cs="Calibri"/>
          <w:sz w:val="22"/>
          <w:szCs w:val="22"/>
          <w:lang w:val="hr-HR"/>
        </w:rPr>
        <w:t>31. prosinca 2022.</w:t>
      </w:r>
      <w:r w:rsidR="00520E5C">
        <w:rPr>
          <w:rFonts w:ascii="Calibri" w:eastAsia="SimSun" w:hAnsi="Calibri" w:cs="Calibri"/>
          <w:sz w:val="22"/>
          <w:szCs w:val="22"/>
          <w:lang w:val="hr-HR"/>
        </w:rPr>
        <w:t xml:space="preserve"> </w:t>
      </w:r>
      <w:r w:rsidR="00054989">
        <w:rPr>
          <w:rFonts w:ascii="Calibri" w:eastAsia="SimSun" w:hAnsi="Calibri" w:cs="Calibri"/>
          <w:sz w:val="22"/>
          <w:szCs w:val="22"/>
          <w:lang w:val="hr-HR"/>
        </w:rPr>
        <w:t xml:space="preserve">odobreno je 12 milijuna kuna subvencija. Predmetni programi osiguranja i subvencioniranja premije provodit će se i u 2023., za </w:t>
      </w:r>
      <w:r w:rsidR="00442C3B">
        <w:rPr>
          <w:rFonts w:ascii="Calibri" w:eastAsia="SimSun" w:hAnsi="Calibri" w:cs="Calibri"/>
          <w:sz w:val="22"/>
          <w:szCs w:val="22"/>
          <w:lang w:val="hr-HR"/>
        </w:rPr>
        <w:t xml:space="preserve">što </w:t>
      </w:r>
      <w:r w:rsidR="00054989">
        <w:rPr>
          <w:rFonts w:ascii="Calibri" w:eastAsia="SimSun" w:hAnsi="Calibri" w:cs="Calibri"/>
          <w:sz w:val="22"/>
          <w:szCs w:val="22"/>
          <w:lang w:val="hr-HR"/>
        </w:rPr>
        <w:t>je osigurano dodatnih 2,6 milijardi kuna portfelja, koji će se rasporediti na banke za potrebe osiguranja novih kredita za likvidnost.</w:t>
      </w:r>
    </w:p>
    <w:p w14:paraId="1748D7FE" w14:textId="279465F1"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HBOR je u 2022. osigurao promet u visini od 2,8 milijardi kuna, što je rekordan iznos osiguranog prometa u jednoj godini od početka obavljanja poslova osiguranja izvoza, a najvećim je dijelom rezultat snažnije iskorištenosti programa osiguranja uvedenih s ciljem pomoći gospodarstvu uslijed kriza uzrokovanih pandemijom COVID-19 i ruskom agresijom na Ukrajinu. U okviru programa osiguranja izvoza HBOR je tijekom 2022. podržao izvoz hrvatskih roba i usluga u 43 države svijeta.</w:t>
      </w:r>
    </w:p>
    <w:p w14:paraId="4F36F1D8" w14:textId="77777777" w:rsidR="009D347B" w:rsidRDefault="009D347B">
      <w:pPr>
        <w:spacing w:before="120" w:after="120" w:line="276" w:lineRule="auto"/>
        <w:jc w:val="both"/>
        <w:rPr>
          <w:rFonts w:ascii="Calibri" w:eastAsia="SimSun" w:hAnsi="Calibri" w:cs="Calibri"/>
          <w:sz w:val="22"/>
          <w:szCs w:val="22"/>
          <w:lang w:val="hr-HR"/>
        </w:rPr>
      </w:pPr>
    </w:p>
    <w:p w14:paraId="1748D7FF" w14:textId="77777777" w:rsidR="00382CF2" w:rsidRDefault="00054989">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Sažetak rezultata po poslovima osiguranja izvoza, u milijunima kuna</w:t>
      </w:r>
    </w:p>
    <w:tbl>
      <w:tblPr>
        <w:tblW w:w="5084" w:type="pct"/>
        <w:tblInd w:w="-5" w:type="dxa"/>
        <w:tblLayout w:type="fixed"/>
        <w:tblCellMar>
          <w:left w:w="10" w:type="dxa"/>
          <w:right w:w="10" w:type="dxa"/>
        </w:tblCellMar>
        <w:tblLook w:val="04A0" w:firstRow="1" w:lastRow="0" w:firstColumn="1" w:lastColumn="0" w:noHBand="0" w:noVBand="1"/>
      </w:tblPr>
      <w:tblGrid>
        <w:gridCol w:w="4660"/>
        <w:gridCol w:w="1615"/>
        <w:gridCol w:w="1615"/>
        <w:gridCol w:w="1612"/>
      </w:tblGrid>
      <w:tr w:rsidR="00162A62" w:rsidRPr="00871762" w14:paraId="1748D804" w14:textId="77777777">
        <w:trPr>
          <w:trHeight w:val="611"/>
        </w:trPr>
        <w:tc>
          <w:tcPr>
            <w:tcW w:w="4660" w:type="dxa"/>
            <w:tcBorders>
              <w:top w:val="single" w:sz="4" w:space="0" w:color="000000"/>
              <w:left w:val="single" w:sz="4" w:space="0" w:color="000000"/>
            </w:tcBorders>
            <w:shd w:val="clear" w:color="auto" w:fill="auto"/>
            <w:noWrap/>
            <w:tcMar>
              <w:top w:w="0" w:type="dxa"/>
              <w:left w:w="108" w:type="dxa"/>
              <w:bottom w:w="0" w:type="dxa"/>
              <w:right w:w="108" w:type="dxa"/>
            </w:tcMar>
          </w:tcPr>
          <w:p w14:paraId="1748D800" w14:textId="77777777" w:rsidR="00382CF2" w:rsidRPr="00871762" w:rsidRDefault="00054989">
            <w:pPr>
              <w:spacing w:before="120" w:after="120" w:line="276" w:lineRule="auto"/>
              <w:jc w:val="both"/>
              <w:rPr>
                <w:rFonts w:ascii="Calibri" w:eastAsia="SimSun" w:hAnsi="Calibri" w:cs="Calibri"/>
                <w:b/>
                <w:bCs/>
                <w:color w:val="000000" w:themeColor="text1"/>
                <w:sz w:val="22"/>
                <w:szCs w:val="22"/>
                <w:lang w:val="hr-HR"/>
              </w:rPr>
            </w:pPr>
            <w:r w:rsidRPr="00871762">
              <w:rPr>
                <w:rFonts w:ascii="Calibri" w:eastAsia="SimSun" w:hAnsi="Calibri" w:cs="Calibri"/>
                <w:b/>
                <w:bCs/>
                <w:color w:val="000000" w:themeColor="text1"/>
                <w:sz w:val="22"/>
                <w:szCs w:val="22"/>
                <w:lang w:val="hr-HR"/>
              </w:rPr>
              <w:t>Opis</w:t>
            </w:r>
          </w:p>
        </w:tc>
        <w:tc>
          <w:tcPr>
            <w:tcW w:w="1615" w:type="dxa"/>
            <w:tcBorders>
              <w:top w:val="single" w:sz="4" w:space="0" w:color="000000"/>
            </w:tcBorders>
            <w:shd w:val="clear" w:color="auto" w:fill="auto"/>
            <w:noWrap/>
            <w:tcMar>
              <w:top w:w="0" w:type="dxa"/>
              <w:left w:w="108" w:type="dxa"/>
              <w:bottom w:w="0" w:type="dxa"/>
              <w:right w:w="108" w:type="dxa"/>
            </w:tcMar>
          </w:tcPr>
          <w:p w14:paraId="1748D801" w14:textId="77777777" w:rsidR="00382CF2" w:rsidRPr="00871762" w:rsidRDefault="00054989">
            <w:pPr>
              <w:spacing w:before="120" w:after="120" w:line="276" w:lineRule="auto"/>
              <w:jc w:val="right"/>
              <w:rPr>
                <w:color w:val="000000" w:themeColor="text1"/>
              </w:rPr>
            </w:pPr>
            <w:r w:rsidRPr="00871762">
              <w:rPr>
                <w:rStyle w:val="Zadanifontodlomka1"/>
                <w:rFonts w:ascii="Calibri" w:eastAsia="SimSun" w:hAnsi="Calibri" w:cs="Calibri"/>
                <w:b/>
                <w:bCs/>
                <w:color w:val="000000" w:themeColor="text1"/>
                <w:sz w:val="22"/>
                <w:szCs w:val="22"/>
                <w:lang w:val="hr-HR"/>
              </w:rPr>
              <w:t>2</w:t>
            </w:r>
            <w:r w:rsidRPr="00871762">
              <w:rPr>
                <w:rStyle w:val="Zadanifontodlomka1"/>
                <w:rFonts w:ascii="Calibri" w:eastAsia="SimSun" w:hAnsi="Calibri"/>
                <w:b/>
                <w:bCs/>
                <w:color w:val="000000" w:themeColor="text1"/>
                <w:sz w:val="22"/>
                <w:szCs w:val="22"/>
                <w:lang w:val="hr-HR"/>
              </w:rPr>
              <w:t>020</w:t>
            </w:r>
            <w:r w:rsidRPr="00871762">
              <w:rPr>
                <w:rStyle w:val="Zadanifontodlomka1"/>
                <w:rFonts w:ascii="Calibri" w:eastAsia="SimSun" w:hAnsi="Calibri" w:cs="Calibri"/>
                <w:b/>
                <w:bCs/>
                <w:color w:val="000000" w:themeColor="text1"/>
                <w:sz w:val="22"/>
                <w:szCs w:val="22"/>
                <w:lang w:val="hr-HR"/>
              </w:rPr>
              <w:t>.</w:t>
            </w:r>
          </w:p>
        </w:tc>
        <w:tc>
          <w:tcPr>
            <w:tcW w:w="1615" w:type="dxa"/>
            <w:tcBorders>
              <w:top w:val="single" w:sz="4" w:space="0" w:color="000000"/>
            </w:tcBorders>
            <w:shd w:val="clear" w:color="auto" w:fill="auto"/>
            <w:noWrap/>
            <w:tcMar>
              <w:top w:w="0" w:type="dxa"/>
              <w:left w:w="108" w:type="dxa"/>
              <w:bottom w:w="0" w:type="dxa"/>
              <w:right w:w="108" w:type="dxa"/>
            </w:tcMar>
          </w:tcPr>
          <w:p w14:paraId="1748D802" w14:textId="77777777" w:rsidR="00382CF2" w:rsidRPr="00871762" w:rsidRDefault="00054989">
            <w:pPr>
              <w:spacing w:before="120" w:after="120" w:line="276" w:lineRule="auto"/>
              <w:jc w:val="right"/>
              <w:rPr>
                <w:color w:val="000000" w:themeColor="text1"/>
              </w:rPr>
            </w:pPr>
            <w:r w:rsidRPr="00871762">
              <w:rPr>
                <w:rStyle w:val="Zadanifontodlomka1"/>
                <w:rFonts w:ascii="Calibri" w:eastAsia="SimSun" w:hAnsi="Calibri" w:cs="Calibri"/>
                <w:b/>
                <w:bCs/>
                <w:color w:val="000000" w:themeColor="text1"/>
                <w:sz w:val="22"/>
                <w:szCs w:val="22"/>
                <w:lang w:val="hr-HR"/>
              </w:rPr>
              <w:t>2</w:t>
            </w:r>
            <w:r w:rsidRPr="00871762">
              <w:rPr>
                <w:rStyle w:val="Zadanifontodlomka1"/>
                <w:rFonts w:ascii="Calibri" w:eastAsia="SimSun" w:hAnsi="Calibri"/>
                <w:b/>
                <w:bCs/>
                <w:color w:val="000000" w:themeColor="text1"/>
                <w:sz w:val="22"/>
                <w:szCs w:val="22"/>
                <w:lang w:val="hr-HR"/>
              </w:rPr>
              <w:t>021</w:t>
            </w:r>
            <w:r w:rsidRPr="00871762">
              <w:rPr>
                <w:rStyle w:val="Zadanifontodlomka1"/>
                <w:rFonts w:ascii="Calibri" w:eastAsia="SimSun" w:hAnsi="Calibri" w:cs="Calibri"/>
                <w:b/>
                <w:bCs/>
                <w:color w:val="000000" w:themeColor="text1"/>
                <w:sz w:val="22"/>
                <w:szCs w:val="22"/>
                <w:lang w:val="hr-HR"/>
              </w:rPr>
              <w:t>.</w:t>
            </w:r>
          </w:p>
        </w:tc>
        <w:tc>
          <w:tcPr>
            <w:tcW w:w="1612" w:type="dxa"/>
            <w:tcBorders>
              <w:top w:val="single" w:sz="4" w:space="0" w:color="000000"/>
              <w:right w:val="single" w:sz="4" w:space="0" w:color="000000"/>
            </w:tcBorders>
            <w:shd w:val="clear" w:color="auto" w:fill="auto"/>
            <w:tcMar>
              <w:top w:w="0" w:type="dxa"/>
              <w:left w:w="108" w:type="dxa"/>
              <w:bottom w:w="0" w:type="dxa"/>
              <w:right w:w="108" w:type="dxa"/>
            </w:tcMar>
          </w:tcPr>
          <w:p w14:paraId="1748D803" w14:textId="77777777" w:rsidR="00382CF2" w:rsidRPr="00871762" w:rsidRDefault="00054989">
            <w:pPr>
              <w:spacing w:before="120" w:after="120" w:line="276" w:lineRule="auto"/>
              <w:jc w:val="right"/>
              <w:rPr>
                <w:color w:val="000000" w:themeColor="text1"/>
              </w:rPr>
            </w:pPr>
            <w:r w:rsidRPr="00871762">
              <w:rPr>
                <w:rStyle w:val="Zadanifontodlomka1"/>
                <w:rFonts w:ascii="Calibri" w:eastAsia="SimSun" w:hAnsi="Calibri" w:cs="Calibri"/>
                <w:b/>
                <w:bCs/>
                <w:color w:val="000000" w:themeColor="text1"/>
                <w:sz w:val="22"/>
                <w:szCs w:val="22"/>
                <w:lang w:val="hr-HR"/>
              </w:rPr>
              <w:t>2</w:t>
            </w:r>
            <w:r w:rsidRPr="00871762">
              <w:rPr>
                <w:rStyle w:val="Zadanifontodlomka1"/>
                <w:rFonts w:ascii="Calibri" w:eastAsia="SimSun" w:hAnsi="Calibri"/>
                <w:b/>
                <w:bCs/>
                <w:color w:val="000000" w:themeColor="text1"/>
                <w:sz w:val="22"/>
                <w:szCs w:val="22"/>
                <w:lang w:val="hr-HR"/>
              </w:rPr>
              <w:t>022</w:t>
            </w:r>
            <w:r w:rsidRPr="00871762">
              <w:rPr>
                <w:rStyle w:val="Zadanifontodlomka1"/>
                <w:rFonts w:ascii="Calibri" w:eastAsia="SimSun" w:hAnsi="Calibri" w:cs="Calibri"/>
                <w:b/>
                <w:bCs/>
                <w:color w:val="000000" w:themeColor="text1"/>
                <w:sz w:val="22"/>
                <w:szCs w:val="22"/>
                <w:lang w:val="hr-HR"/>
              </w:rPr>
              <w:t>.</w:t>
            </w:r>
          </w:p>
        </w:tc>
      </w:tr>
      <w:tr w:rsidR="00382CF2" w14:paraId="1748D809" w14:textId="77777777">
        <w:trPr>
          <w:trHeight w:val="315"/>
        </w:trPr>
        <w:tc>
          <w:tcPr>
            <w:tcW w:w="4660" w:type="dxa"/>
            <w:tcBorders>
              <w:left w:val="single" w:sz="4" w:space="0" w:color="000000"/>
            </w:tcBorders>
            <w:shd w:val="clear" w:color="auto" w:fill="auto"/>
            <w:noWrap/>
            <w:tcMar>
              <w:top w:w="0" w:type="dxa"/>
              <w:left w:w="108" w:type="dxa"/>
              <w:bottom w:w="0" w:type="dxa"/>
              <w:right w:w="108" w:type="dxa"/>
            </w:tcMar>
          </w:tcPr>
          <w:p w14:paraId="1748D805" w14:textId="77777777" w:rsidR="00382CF2" w:rsidRDefault="00054989">
            <w:pPr>
              <w:spacing w:before="120" w:after="120" w:line="276" w:lineRule="auto"/>
              <w:jc w:val="both"/>
              <w:rPr>
                <w:rFonts w:ascii="Calibri" w:eastAsia="SimSun" w:hAnsi="Calibri" w:cs="Calibri"/>
                <w:b/>
                <w:bCs/>
                <w:sz w:val="22"/>
                <w:szCs w:val="22"/>
                <w:lang w:val="hr-HR" w:eastAsia="hr-HR"/>
              </w:rPr>
            </w:pPr>
            <w:r>
              <w:rPr>
                <w:rFonts w:ascii="Calibri" w:eastAsia="SimSun" w:hAnsi="Calibri" w:cs="Calibri"/>
                <w:b/>
                <w:bCs/>
                <w:sz w:val="22"/>
                <w:szCs w:val="22"/>
                <w:lang w:val="hr-HR" w:eastAsia="hr-HR"/>
              </w:rPr>
              <w:t>Osigurani promet</w:t>
            </w:r>
          </w:p>
        </w:tc>
        <w:tc>
          <w:tcPr>
            <w:tcW w:w="1615" w:type="dxa"/>
            <w:shd w:val="clear" w:color="auto" w:fill="auto"/>
            <w:noWrap/>
            <w:tcMar>
              <w:top w:w="0" w:type="dxa"/>
              <w:left w:w="108" w:type="dxa"/>
              <w:bottom w:w="0" w:type="dxa"/>
              <w:right w:w="108" w:type="dxa"/>
            </w:tcMar>
          </w:tcPr>
          <w:p w14:paraId="1748D806" w14:textId="77777777" w:rsidR="00382CF2" w:rsidRDefault="00054989">
            <w:pPr>
              <w:spacing w:before="120" w:after="120" w:line="276" w:lineRule="auto"/>
              <w:jc w:val="right"/>
            </w:pPr>
            <w:r>
              <w:rPr>
                <w:rStyle w:val="Zadanifontodlomka1"/>
                <w:rFonts w:ascii="Calibri" w:eastAsia="SimSun" w:hAnsi="Calibri" w:cs="Calibri"/>
                <w:sz w:val="22"/>
                <w:szCs w:val="22"/>
                <w:lang w:val="hr-HR" w:eastAsia="hr-HR"/>
              </w:rPr>
              <w:t>2</w:t>
            </w:r>
            <w:r>
              <w:rPr>
                <w:rStyle w:val="Zadanifontodlomka1"/>
                <w:rFonts w:ascii="Calibri" w:eastAsia="SimSun" w:hAnsi="Calibri"/>
                <w:sz w:val="22"/>
                <w:szCs w:val="22"/>
                <w:lang w:val="hr-HR" w:eastAsia="hr-HR"/>
              </w:rPr>
              <w:t>.096,80</w:t>
            </w:r>
          </w:p>
        </w:tc>
        <w:tc>
          <w:tcPr>
            <w:tcW w:w="1615" w:type="dxa"/>
            <w:shd w:val="clear" w:color="auto" w:fill="auto"/>
            <w:noWrap/>
            <w:tcMar>
              <w:top w:w="0" w:type="dxa"/>
              <w:left w:w="108" w:type="dxa"/>
              <w:bottom w:w="0" w:type="dxa"/>
              <w:right w:w="108" w:type="dxa"/>
            </w:tcMar>
          </w:tcPr>
          <w:p w14:paraId="1748D807" w14:textId="77777777" w:rsidR="00382CF2" w:rsidRDefault="00054989">
            <w:pPr>
              <w:spacing w:before="120" w:after="120" w:line="276" w:lineRule="auto"/>
              <w:jc w:val="right"/>
            </w:pPr>
            <w:r>
              <w:rPr>
                <w:rStyle w:val="Zadanifontodlomka1"/>
                <w:rFonts w:ascii="Calibri" w:eastAsia="SimSun" w:hAnsi="Calibri" w:cs="Calibri"/>
                <w:sz w:val="22"/>
                <w:szCs w:val="22"/>
                <w:lang w:val="hr-HR"/>
              </w:rPr>
              <w:t>2.6</w:t>
            </w:r>
            <w:r>
              <w:rPr>
                <w:rStyle w:val="Zadanifontodlomka1"/>
                <w:rFonts w:ascii="Calibri" w:eastAsia="SimSun" w:hAnsi="Calibri"/>
                <w:sz w:val="22"/>
                <w:szCs w:val="22"/>
                <w:lang w:val="hr-HR"/>
              </w:rPr>
              <w:t>26,04</w:t>
            </w:r>
          </w:p>
        </w:tc>
        <w:tc>
          <w:tcPr>
            <w:tcW w:w="1612" w:type="dxa"/>
            <w:tcBorders>
              <w:right w:val="single" w:sz="4" w:space="0" w:color="000000"/>
            </w:tcBorders>
            <w:shd w:val="clear" w:color="auto" w:fill="auto"/>
            <w:tcMar>
              <w:top w:w="0" w:type="dxa"/>
              <w:left w:w="108" w:type="dxa"/>
              <w:bottom w:w="0" w:type="dxa"/>
              <w:right w:w="108" w:type="dxa"/>
            </w:tcMar>
          </w:tcPr>
          <w:p w14:paraId="1748D808" w14:textId="77777777" w:rsidR="00382CF2" w:rsidRDefault="00054989">
            <w:pPr>
              <w:spacing w:before="120" w:after="120" w:line="276" w:lineRule="auto"/>
              <w:jc w:val="right"/>
            </w:pPr>
            <w:r>
              <w:rPr>
                <w:rStyle w:val="Zadanifontodlomka1"/>
                <w:rFonts w:ascii="Calibri" w:eastAsia="SimSun" w:hAnsi="Calibri" w:cs="Calibri"/>
                <w:sz w:val="22"/>
                <w:szCs w:val="22"/>
                <w:lang w:val="hr-HR"/>
              </w:rPr>
              <w:t>2</w:t>
            </w:r>
            <w:r>
              <w:rPr>
                <w:rStyle w:val="Zadanifontodlomka1"/>
                <w:rFonts w:ascii="Calibri" w:eastAsia="SimSun" w:hAnsi="Calibri"/>
                <w:sz w:val="22"/>
                <w:szCs w:val="22"/>
                <w:lang w:val="hr-HR"/>
              </w:rPr>
              <w:t>.834,48</w:t>
            </w:r>
          </w:p>
        </w:tc>
      </w:tr>
      <w:tr w:rsidR="00382CF2" w14:paraId="1748D80E" w14:textId="77777777">
        <w:trPr>
          <w:trHeight w:val="315"/>
        </w:trPr>
        <w:tc>
          <w:tcPr>
            <w:tcW w:w="4660" w:type="dxa"/>
            <w:tcBorders>
              <w:left w:val="single" w:sz="4" w:space="0" w:color="000000"/>
            </w:tcBorders>
            <w:shd w:val="clear" w:color="auto" w:fill="auto"/>
            <w:noWrap/>
            <w:tcMar>
              <w:top w:w="0" w:type="dxa"/>
              <w:left w:w="108" w:type="dxa"/>
              <w:bottom w:w="0" w:type="dxa"/>
              <w:right w:w="108" w:type="dxa"/>
            </w:tcMar>
          </w:tcPr>
          <w:p w14:paraId="1748D80A" w14:textId="39B1FB18" w:rsidR="00382CF2" w:rsidRDefault="00054989">
            <w:pPr>
              <w:spacing w:before="120" w:after="120" w:line="276" w:lineRule="auto"/>
              <w:jc w:val="both"/>
              <w:rPr>
                <w:rFonts w:ascii="Calibri" w:eastAsia="SimSun" w:hAnsi="Calibri" w:cs="Calibri"/>
                <w:b/>
                <w:bCs/>
                <w:sz w:val="22"/>
                <w:szCs w:val="22"/>
                <w:lang w:val="hr-HR" w:eastAsia="hr-HR"/>
              </w:rPr>
            </w:pPr>
            <w:r>
              <w:rPr>
                <w:rFonts w:ascii="Calibri" w:eastAsia="SimSun" w:hAnsi="Calibri" w:cs="Calibri"/>
                <w:b/>
                <w:bCs/>
                <w:sz w:val="22"/>
                <w:szCs w:val="22"/>
                <w:lang w:val="hr-HR" w:eastAsia="hr-HR"/>
              </w:rPr>
              <w:t>Bruto izloženost na 31.</w:t>
            </w:r>
            <w:r w:rsidR="00C908B8">
              <w:rPr>
                <w:rFonts w:ascii="Calibri" w:eastAsia="SimSun" w:hAnsi="Calibri" w:cs="Calibri"/>
                <w:b/>
                <w:bCs/>
                <w:sz w:val="22"/>
                <w:szCs w:val="22"/>
                <w:lang w:val="hr-HR" w:eastAsia="hr-HR"/>
              </w:rPr>
              <w:t xml:space="preserve"> </w:t>
            </w:r>
            <w:r>
              <w:rPr>
                <w:rFonts w:ascii="Calibri" w:eastAsia="SimSun" w:hAnsi="Calibri" w:cs="Calibri"/>
                <w:b/>
                <w:bCs/>
                <w:sz w:val="22"/>
                <w:szCs w:val="22"/>
                <w:lang w:val="hr-HR" w:eastAsia="hr-HR"/>
              </w:rPr>
              <w:t>12.</w:t>
            </w:r>
          </w:p>
        </w:tc>
        <w:tc>
          <w:tcPr>
            <w:tcW w:w="1615" w:type="dxa"/>
            <w:shd w:val="clear" w:color="auto" w:fill="auto"/>
            <w:noWrap/>
            <w:tcMar>
              <w:top w:w="0" w:type="dxa"/>
              <w:left w:w="108" w:type="dxa"/>
              <w:bottom w:w="0" w:type="dxa"/>
              <w:right w:w="108" w:type="dxa"/>
            </w:tcMar>
          </w:tcPr>
          <w:p w14:paraId="1748D80B" w14:textId="77777777" w:rsidR="00382CF2" w:rsidRDefault="00054989">
            <w:pPr>
              <w:spacing w:before="120" w:after="120" w:line="276" w:lineRule="auto"/>
              <w:jc w:val="right"/>
              <w:rPr>
                <w:rFonts w:ascii="Calibri" w:eastAsia="SimSun" w:hAnsi="Calibri" w:cs="Calibri"/>
                <w:sz w:val="22"/>
                <w:szCs w:val="22"/>
                <w:lang w:val="hr-HR" w:eastAsia="hr-HR"/>
              </w:rPr>
            </w:pPr>
            <w:r>
              <w:rPr>
                <w:rFonts w:ascii="Calibri" w:eastAsia="SimSun" w:hAnsi="Calibri" w:cs="Calibri"/>
                <w:sz w:val="22"/>
                <w:szCs w:val="22"/>
                <w:lang w:val="hr-HR" w:eastAsia="hr-HR"/>
              </w:rPr>
              <w:t>3.142,28</w:t>
            </w:r>
          </w:p>
        </w:tc>
        <w:tc>
          <w:tcPr>
            <w:tcW w:w="1615" w:type="dxa"/>
            <w:shd w:val="clear" w:color="auto" w:fill="auto"/>
            <w:noWrap/>
            <w:tcMar>
              <w:top w:w="0" w:type="dxa"/>
              <w:left w:w="108" w:type="dxa"/>
              <w:bottom w:w="0" w:type="dxa"/>
              <w:right w:w="108" w:type="dxa"/>
            </w:tcMar>
          </w:tcPr>
          <w:p w14:paraId="1748D80C" w14:textId="77777777" w:rsidR="00382CF2" w:rsidRDefault="00054989">
            <w:pPr>
              <w:spacing w:before="120" w:after="120" w:line="276" w:lineRule="auto"/>
              <w:jc w:val="right"/>
            </w:pPr>
            <w:r>
              <w:rPr>
                <w:rStyle w:val="Zadanifontodlomka1"/>
                <w:rFonts w:ascii="Calibri" w:eastAsia="SimSun" w:hAnsi="Calibri" w:cs="Calibri"/>
                <w:sz w:val="22"/>
                <w:szCs w:val="22"/>
                <w:lang w:val="hr-HR"/>
              </w:rPr>
              <w:t>3.594,77</w:t>
            </w:r>
          </w:p>
        </w:tc>
        <w:tc>
          <w:tcPr>
            <w:tcW w:w="1612" w:type="dxa"/>
            <w:tcBorders>
              <w:right w:val="single" w:sz="4" w:space="0" w:color="000000"/>
            </w:tcBorders>
            <w:shd w:val="clear" w:color="auto" w:fill="auto"/>
            <w:tcMar>
              <w:top w:w="0" w:type="dxa"/>
              <w:left w:w="108" w:type="dxa"/>
              <w:bottom w:w="0" w:type="dxa"/>
              <w:right w:w="108" w:type="dxa"/>
            </w:tcMar>
          </w:tcPr>
          <w:p w14:paraId="1748D80D" w14:textId="77777777" w:rsidR="00382CF2" w:rsidRDefault="00054989">
            <w:pPr>
              <w:spacing w:before="120" w:after="120" w:line="276" w:lineRule="auto"/>
              <w:jc w:val="right"/>
            </w:pPr>
            <w:r>
              <w:rPr>
                <w:rStyle w:val="Zadanifontodlomka1"/>
                <w:rFonts w:ascii="Calibri" w:eastAsia="SimSun" w:hAnsi="Calibri" w:cs="Calibri"/>
                <w:sz w:val="22"/>
                <w:szCs w:val="22"/>
                <w:lang w:val="hr-HR"/>
              </w:rPr>
              <w:t>5.246,67</w:t>
            </w:r>
          </w:p>
        </w:tc>
      </w:tr>
      <w:tr w:rsidR="00382CF2" w14:paraId="1748D813" w14:textId="77777777">
        <w:trPr>
          <w:trHeight w:val="315"/>
        </w:trPr>
        <w:tc>
          <w:tcPr>
            <w:tcW w:w="4660" w:type="dxa"/>
            <w:tcBorders>
              <w:left w:val="single" w:sz="4" w:space="0" w:color="000000"/>
            </w:tcBorders>
            <w:shd w:val="clear" w:color="auto" w:fill="auto"/>
            <w:noWrap/>
            <w:tcMar>
              <w:top w:w="0" w:type="dxa"/>
              <w:left w:w="108" w:type="dxa"/>
              <w:bottom w:w="0" w:type="dxa"/>
              <w:right w:w="108" w:type="dxa"/>
            </w:tcMar>
          </w:tcPr>
          <w:p w14:paraId="1748D80F" w14:textId="77777777" w:rsidR="00382CF2" w:rsidRDefault="00054989">
            <w:pPr>
              <w:spacing w:before="120" w:after="120" w:line="276" w:lineRule="auto"/>
              <w:jc w:val="both"/>
              <w:rPr>
                <w:rFonts w:ascii="Calibri" w:eastAsia="SimSun" w:hAnsi="Calibri" w:cs="Calibri"/>
                <w:b/>
                <w:bCs/>
                <w:sz w:val="22"/>
                <w:szCs w:val="22"/>
                <w:lang w:val="hr-HR" w:eastAsia="hr-HR"/>
              </w:rPr>
            </w:pPr>
            <w:r>
              <w:rPr>
                <w:rFonts w:ascii="Calibri" w:eastAsia="SimSun" w:hAnsi="Calibri" w:cs="Calibri"/>
                <w:b/>
                <w:bCs/>
                <w:sz w:val="22"/>
                <w:szCs w:val="22"/>
                <w:lang w:val="hr-HR" w:eastAsia="hr-HR"/>
              </w:rPr>
              <w:t>Naplaćena premija osiguranja</w:t>
            </w:r>
          </w:p>
        </w:tc>
        <w:tc>
          <w:tcPr>
            <w:tcW w:w="1615" w:type="dxa"/>
            <w:shd w:val="clear" w:color="auto" w:fill="auto"/>
            <w:noWrap/>
            <w:tcMar>
              <w:top w:w="0" w:type="dxa"/>
              <w:left w:w="108" w:type="dxa"/>
              <w:bottom w:w="0" w:type="dxa"/>
              <w:right w:w="108" w:type="dxa"/>
            </w:tcMar>
          </w:tcPr>
          <w:p w14:paraId="1748D810" w14:textId="77777777" w:rsidR="00382CF2" w:rsidRDefault="00054989">
            <w:pPr>
              <w:spacing w:before="120" w:after="120" w:line="276" w:lineRule="auto"/>
              <w:jc w:val="right"/>
              <w:rPr>
                <w:rFonts w:ascii="Calibri" w:eastAsia="SimSun" w:hAnsi="Calibri" w:cs="Calibri"/>
                <w:sz w:val="22"/>
                <w:szCs w:val="22"/>
                <w:lang w:val="hr-HR" w:eastAsia="hr-HR"/>
              </w:rPr>
            </w:pPr>
            <w:r>
              <w:rPr>
                <w:rFonts w:ascii="Calibri" w:eastAsia="SimSun" w:hAnsi="Calibri" w:cs="Calibri"/>
                <w:sz w:val="22"/>
                <w:szCs w:val="22"/>
                <w:lang w:val="hr-HR" w:eastAsia="hr-HR"/>
              </w:rPr>
              <w:t>13,45</w:t>
            </w:r>
          </w:p>
        </w:tc>
        <w:tc>
          <w:tcPr>
            <w:tcW w:w="1615" w:type="dxa"/>
            <w:shd w:val="clear" w:color="auto" w:fill="auto"/>
            <w:noWrap/>
            <w:tcMar>
              <w:top w:w="0" w:type="dxa"/>
              <w:left w:w="108" w:type="dxa"/>
              <w:bottom w:w="0" w:type="dxa"/>
              <w:right w:w="108" w:type="dxa"/>
            </w:tcMar>
          </w:tcPr>
          <w:p w14:paraId="1748D811" w14:textId="77777777" w:rsidR="00382CF2" w:rsidRDefault="00054989">
            <w:pPr>
              <w:spacing w:before="120" w:after="120" w:line="276" w:lineRule="auto"/>
              <w:jc w:val="right"/>
            </w:pPr>
            <w:r>
              <w:rPr>
                <w:rStyle w:val="Zadanifontodlomka1"/>
                <w:rFonts w:ascii="Calibri" w:eastAsia="SimSun" w:hAnsi="Calibri" w:cs="Calibri"/>
                <w:sz w:val="22"/>
                <w:szCs w:val="22"/>
                <w:lang w:val="hr-HR"/>
              </w:rPr>
              <w:t>53,60</w:t>
            </w:r>
          </w:p>
        </w:tc>
        <w:tc>
          <w:tcPr>
            <w:tcW w:w="1612" w:type="dxa"/>
            <w:tcBorders>
              <w:right w:val="single" w:sz="4" w:space="0" w:color="000000"/>
            </w:tcBorders>
            <w:shd w:val="clear" w:color="auto" w:fill="auto"/>
            <w:tcMar>
              <w:top w:w="0" w:type="dxa"/>
              <w:left w:w="108" w:type="dxa"/>
              <w:bottom w:w="0" w:type="dxa"/>
              <w:right w:w="108" w:type="dxa"/>
            </w:tcMar>
          </w:tcPr>
          <w:p w14:paraId="1748D812" w14:textId="77777777" w:rsidR="00382CF2" w:rsidRDefault="00054989">
            <w:pPr>
              <w:spacing w:before="120" w:after="120" w:line="276" w:lineRule="auto"/>
              <w:jc w:val="right"/>
            </w:pPr>
            <w:r>
              <w:rPr>
                <w:rStyle w:val="Zadanifontodlomka1"/>
                <w:rFonts w:ascii="Calibri" w:eastAsia="SimSun" w:hAnsi="Calibri" w:cs="Calibri"/>
                <w:sz w:val="22"/>
                <w:szCs w:val="22"/>
                <w:lang w:val="hr-HR"/>
              </w:rPr>
              <w:t>8,13</w:t>
            </w:r>
          </w:p>
        </w:tc>
      </w:tr>
      <w:tr w:rsidR="00382CF2" w14:paraId="1748D818" w14:textId="77777777">
        <w:trPr>
          <w:trHeight w:val="315"/>
        </w:trPr>
        <w:tc>
          <w:tcPr>
            <w:tcW w:w="4660" w:type="dxa"/>
            <w:tcBorders>
              <w:left w:val="single" w:sz="4" w:space="0" w:color="000000"/>
            </w:tcBorders>
            <w:shd w:val="clear" w:color="auto" w:fill="auto"/>
            <w:noWrap/>
            <w:tcMar>
              <w:top w:w="0" w:type="dxa"/>
              <w:left w:w="108" w:type="dxa"/>
              <w:bottom w:w="0" w:type="dxa"/>
              <w:right w:w="108" w:type="dxa"/>
            </w:tcMar>
          </w:tcPr>
          <w:p w14:paraId="1748D814" w14:textId="77777777" w:rsidR="00382CF2" w:rsidRDefault="00054989">
            <w:pPr>
              <w:spacing w:before="120" w:after="120" w:line="276" w:lineRule="auto"/>
              <w:jc w:val="both"/>
              <w:rPr>
                <w:rFonts w:ascii="Calibri" w:eastAsia="SimSun" w:hAnsi="Calibri" w:cs="Calibri"/>
                <w:b/>
                <w:bCs/>
                <w:sz w:val="22"/>
                <w:szCs w:val="22"/>
                <w:lang w:val="hr-HR" w:eastAsia="hr-HR"/>
              </w:rPr>
            </w:pPr>
            <w:r>
              <w:rPr>
                <w:rFonts w:ascii="Calibri" w:eastAsia="SimSun" w:hAnsi="Calibri" w:cs="Calibri"/>
                <w:b/>
                <w:bCs/>
                <w:sz w:val="22"/>
                <w:szCs w:val="22"/>
                <w:lang w:val="hr-HR" w:eastAsia="hr-HR"/>
              </w:rPr>
              <w:t xml:space="preserve">Isplaćene odštete </w:t>
            </w:r>
          </w:p>
        </w:tc>
        <w:tc>
          <w:tcPr>
            <w:tcW w:w="1615" w:type="dxa"/>
            <w:shd w:val="clear" w:color="auto" w:fill="auto"/>
            <w:noWrap/>
            <w:tcMar>
              <w:top w:w="0" w:type="dxa"/>
              <w:left w:w="108" w:type="dxa"/>
              <w:bottom w:w="0" w:type="dxa"/>
              <w:right w:w="108" w:type="dxa"/>
            </w:tcMar>
          </w:tcPr>
          <w:p w14:paraId="1748D815" w14:textId="77777777" w:rsidR="00382CF2" w:rsidRDefault="00054989">
            <w:pPr>
              <w:spacing w:before="120" w:after="120" w:line="276" w:lineRule="auto"/>
              <w:jc w:val="right"/>
              <w:rPr>
                <w:rFonts w:ascii="Calibri" w:eastAsia="SimSun" w:hAnsi="Calibri" w:cs="Calibri"/>
                <w:sz w:val="22"/>
                <w:szCs w:val="22"/>
                <w:lang w:val="hr-HR" w:eastAsia="hr-HR"/>
              </w:rPr>
            </w:pPr>
            <w:r>
              <w:rPr>
                <w:rFonts w:ascii="Calibri" w:eastAsia="SimSun" w:hAnsi="Calibri" w:cs="Calibri"/>
                <w:sz w:val="22"/>
                <w:szCs w:val="22"/>
                <w:lang w:val="hr-HR" w:eastAsia="hr-HR"/>
              </w:rPr>
              <w:t>0,02</w:t>
            </w:r>
          </w:p>
        </w:tc>
        <w:tc>
          <w:tcPr>
            <w:tcW w:w="1615" w:type="dxa"/>
            <w:shd w:val="clear" w:color="auto" w:fill="auto"/>
            <w:noWrap/>
            <w:tcMar>
              <w:top w:w="0" w:type="dxa"/>
              <w:left w:w="108" w:type="dxa"/>
              <w:bottom w:w="0" w:type="dxa"/>
              <w:right w:w="108" w:type="dxa"/>
            </w:tcMar>
          </w:tcPr>
          <w:p w14:paraId="1748D816" w14:textId="77777777" w:rsidR="00382CF2" w:rsidRDefault="00054989">
            <w:pPr>
              <w:spacing w:before="120" w:after="120" w:line="276" w:lineRule="auto"/>
              <w:jc w:val="right"/>
            </w:pPr>
            <w:r>
              <w:rPr>
                <w:rStyle w:val="Zadanifontodlomka1"/>
                <w:rFonts w:ascii="Calibri" w:eastAsia="SimSun" w:hAnsi="Calibri" w:cs="Calibri"/>
                <w:sz w:val="22"/>
                <w:szCs w:val="22"/>
                <w:lang w:val="hr-HR"/>
              </w:rPr>
              <w:t>1,57</w:t>
            </w:r>
          </w:p>
        </w:tc>
        <w:tc>
          <w:tcPr>
            <w:tcW w:w="1612" w:type="dxa"/>
            <w:tcBorders>
              <w:right w:val="single" w:sz="4" w:space="0" w:color="000000"/>
            </w:tcBorders>
            <w:shd w:val="clear" w:color="auto" w:fill="auto"/>
            <w:tcMar>
              <w:top w:w="0" w:type="dxa"/>
              <w:left w:w="108" w:type="dxa"/>
              <w:bottom w:w="0" w:type="dxa"/>
              <w:right w:w="108" w:type="dxa"/>
            </w:tcMar>
          </w:tcPr>
          <w:p w14:paraId="1748D817" w14:textId="77777777" w:rsidR="00382CF2" w:rsidRDefault="00054989">
            <w:pPr>
              <w:spacing w:before="120" w:after="120" w:line="276" w:lineRule="auto"/>
              <w:jc w:val="right"/>
            </w:pPr>
            <w:r>
              <w:rPr>
                <w:rStyle w:val="Zadanifontodlomka1"/>
                <w:rFonts w:ascii="Calibri" w:eastAsia="SimSun" w:hAnsi="Calibri" w:cs="Calibri"/>
                <w:sz w:val="22"/>
                <w:szCs w:val="22"/>
                <w:lang w:val="hr-HR"/>
              </w:rPr>
              <w:t>49,88</w:t>
            </w:r>
          </w:p>
        </w:tc>
      </w:tr>
      <w:tr w:rsidR="00382CF2" w14:paraId="1748D81D" w14:textId="77777777">
        <w:trPr>
          <w:trHeight w:val="315"/>
        </w:trPr>
        <w:tc>
          <w:tcPr>
            <w:tcW w:w="4660" w:type="dxa"/>
            <w:tcBorders>
              <w:left w:val="single" w:sz="4" w:space="0" w:color="000000"/>
            </w:tcBorders>
            <w:shd w:val="clear" w:color="auto" w:fill="auto"/>
            <w:noWrap/>
            <w:tcMar>
              <w:top w:w="0" w:type="dxa"/>
              <w:left w:w="108" w:type="dxa"/>
              <w:bottom w:w="0" w:type="dxa"/>
              <w:right w:w="108" w:type="dxa"/>
            </w:tcMar>
          </w:tcPr>
          <w:p w14:paraId="1748D819" w14:textId="77777777" w:rsidR="00382CF2" w:rsidRDefault="00054989">
            <w:pPr>
              <w:spacing w:before="120" w:after="120" w:line="276" w:lineRule="auto"/>
              <w:jc w:val="both"/>
              <w:rPr>
                <w:rFonts w:ascii="Calibri" w:eastAsia="SimSun" w:hAnsi="Calibri" w:cs="Calibri"/>
                <w:b/>
                <w:bCs/>
                <w:sz w:val="22"/>
                <w:szCs w:val="22"/>
                <w:lang w:val="hr-HR" w:eastAsia="hr-HR"/>
              </w:rPr>
            </w:pPr>
            <w:r>
              <w:rPr>
                <w:rFonts w:ascii="Calibri" w:eastAsia="SimSun" w:hAnsi="Calibri" w:cs="Calibri"/>
                <w:b/>
                <w:bCs/>
                <w:sz w:val="22"/>
                <w:szCs w:val="22"/>
                <w:lang w:val="hr-HR" w:eastAsia="hr-HR"/>
              </w:rPr>
              <w:t>Regresne naplate od dužnika</w:t>
            </w:r>
          </w:p>
        </w:tc>
        <w:tc>
          <w:tcPr>
            <w:tcW w:w="1615" w:type="dxa"/>
            <w:shd w:val="clear" w:color="auto" w:fill="auto"/>
            <w:noWrap/>
            <w:tcMar>
              <w:top w:w="0" w:type="dxa"/>
              <w:left w:w="108" w:type="dxa"/>
              <w:bottom w:w="0" w:type="dxa"/>
              <w:right w:w="108" w:type="dxa"/>
            </w:tcMar>
          </w:tcPr>
          <w:p w14:paraId="1748D81A" w14:textId="77777777" w:rsidR="00382CF2" w:rsidRDefault="00054989">
            <w:pPr>
              <w:spacing w:before="120" w:after="120" w:line="276" w:lineRule="auto"/>
              <w:jc w:val="right"/>
              <w:rPr>
                <w:rFonts w:ascii="Calibri" w:eastAsia="SimSun" w:hAnsi="Calibri" w:cs="Calibri"/>
                <w:sz w:val="22"/>
                <w:szCs w:val="22"/>
                <w:lang w:val="hr-HR" w:eastAsia="hr-HR"/>
              </w:rPr>
            </w:pPr>
            <w:r>
              <w:rPr>
                <w:rFonts w:ascii="Calibri" w:eastAsia="SimSun" w:hAnsi="Calibri" w:cs="Calibri"/>
                <w:sz w:val="22"/>
                <w:szCs w:val="22"/>
                <w:lang w:val="hr-HR" w:eastAsia="hr-HR"/>
              </w:rPr>
              <w:t>9,27</w:t>
            </w:r>
          </w:p>
        </w:tc>
        <w:tc>
          <w:tcPr>
            <w:tcW w:w="1615" w:type="dxa"/>
            <w:shd w:val="clear" w:color="auto" w:fill="auto"/>
            <w:noWrap/>
            <w:tcMar>
              <w:top w:w="0" w:type="dxa"/>
              <w:left w:w="108" w:type="dxa"/>
              <w:bottom w:w="0" w:type="dxa"/>
              <w:right w:w="108" w:type="dxa"/>
            </w:tcMar>
          </w:tcPr>
          <w:p w14:paraId="1748D81B" w14:textId="77777777" w:rsidR="00382CF2" w:rsidRDefault="00054989">
            <w:pPr>
              <w:spacing w:before="120" w:after="120" w:line="276" w:lineRule="auto"/>
              <w:jc w:val="right"/>
            </w:pPr>
            <w:r>
              <w:rPr>
                <w:rStyle w:val="Zadanifontodlomka1"/>
                <w:rFonts w:ascii="Calibri" w:eastAsia="SimSun" w:hAnsi="Calibri" w:cs="Calibri"/>
                <w:sz w:val="22"/>
                <w:szCs w:val="22"/>
                <w:lang w:val="hr-HR"/>
              </w:rPr>
              <w:t>102,72</w:t>
            </w:r>
          </w:p>
        </w:tc>
        <w:tc>
          <w:tcPr>
            <w:tcW w:w="1612" w:type="dxa"/>
            <w:tcBorders>
              <w:right w:val="single" w:sz="4" w:space="0" w:color="000000"/>
            </w:tcBorders>
            <w:shd w:val="clear" w:color="auto" w:fill="auto"/>
            <w:tcMar>
              <w:top w:w="0" w:type="dxa"/>
              <w:left w:w="108" w:type="dxa"/>
              <w:bottom w:w="0" w:type="dxa"/>
              <w:right w:w="108" w:type="dxa"/>
            </w:tcMar>
          </w:tcPr>
          <w:p w14:paraId="1748D81C" w14:textId="77777777" w:rsidR="00382CF2" w:rsidRDefault="00054989">
            <w:pPr>
              <w:spacing w:before="120" w:after="120" w:line="276" w:lineRule="auto"/>
              <w:jc w:val="right"/>
            </w:pPr>
            <w:r>
              <w:rPr>
                <w:rStyle w:val="Zadanifontodlomka1"/>
                <w:rFonts w:ascii="Calibri" w:eastAsia="SimSun" w:hAnsi="Calibri" w:cs="Calibri"/>
                <w:sz w:val="22"/>
                <w:szCs w:val="22"/>
                <w:lang w:val="hr-HR"/>
              </w:rPr>
              <w:t>0,10</w:t>
            </w:r>
          </w:p>
        </w:tc>
      </w:tr>
      <w:tr w:rsidR="00382CF2" w14:paraId="1748D822" w14:textId="77777777">
        <w:trPr>
          <w:trHeight w:val="315"/>
        </w:trPr>
        <w:tc>
          <w:tcPr>
            <w:tcW w:w="4660" w:type="dxa"/>
            <w:tcBorders>
              <w:left w:val="single" w:sz="4" w:space="0" w:color="000000"/>
              <w:bottom w:val="single" w:sz="4" w:space="0" w:color="000000"/>
            </w:tcBorders>
            <w:shd w:val="clear" w:color="auto" w:fill="auto"/>
            <w:noWrap/>
            <w:tcMar>
              <w:top w:w="0" w:type="dxa"/>
              <w:left w:w="108" w:type="dxa"/>
              <w:bottom w:w="0" w:type="dxa"/>
              <w:right w:w="108" w:type="dxa"/>
            </w:tcMar>
          </w:tcPr>
          <w:p w14:paraId="1748D81E" w14:textId="45D21384" w:rsidR="00382CF2" w:rsidRDefault="00054989">
            <w:pPr>
              <w:spacing w:before="120" w:after="120" w:line="276" w:lineRule="auto"/>
              <w:jc w:val="both"/>
              <w:rPr>
                <w:rFonts w:ascii="Calibri" w:eastAsia="SimSun" w:hAnsi="Calibri" w:cs="Calibri"/>
                <w:b/>
                <w:bCs/>
                <w:sz w:val="22"/>
                <w:szCs w:val="22"/>
                <w:lang w:val="hr-HR" w:eastAsia="hr-HR"/>
              </w:rPr>
            </w:pPr>
            <w:r>
              <w:rPr>
                <w:rFonts w:ascii="Calibri" w:eastAsia="SimSun" w:hAnsi="Calibri" w:cs="Calibri"/>
                <w:b/>
                <w:bCs/>
                <w:sz w:val="22"/>
                <w:szCs w:val="22"/>
                <w:lang w:val="hr-HR" w:eastAsia="hr-HR"/>
              </w:rPr>
              <w:t>Raspoloživa sredstva Garantnog fonda na 31.</w:t>
            </w:r>
            <w:r w:rsidR="00E000C2">
              <w:rPr>
                <w:rFonts w:ascii="Calibri" w:eastAsia="SimSun" w:hAnsi="Calibri" w:cs="Calibri"/>
                <w:b/>
                <w:bCs/>
                <w:sz w:val="22"/>
                <w:szCs w:val="22"/>
                <w:lang w:val="hr-HR" w:eastAsia="hr-HR"/>
              </w:rPr>
              <w:t xml:space="preserve"> </w:t>
            </w:r>
            <w:r>
              <w:rPr>
                <w:rFonts w:ascii="Calibri" w:eastAsia="SimSun" w:hAnsi="Calibri" w:cs="Calibri"/>
                <w:b/>
                <w:bCs/>
                <w:sz w:val="22"/>
                <w:szCs w:val="22"/>
                <w:lang w:val="hr-HR" w:eastAsia="hr-HR"/>
              </w:rPr>
              <w:t xml:space="preserve">12. </w:t>
            </w:r>
          </w:p>
        </w:tc>
        <w:tc>
          <w:tcPr>
            <w:tcW w:w="1615" w:type="dxa"/>
            <w:tcBorders>
              <w:bottom w:val="single" w:sz="4" w:space="0" w:color="000000"/>
            </w:tcBorders>
            <w:shd w:val="clear" w:color="auto" w:fill="auto"/>
            <w:noWrap/>
            <w:tcMar>
              <w:top w:w="0" w:type="dxa"/>
              <w:left w:w="108" w:type="dxa"/>
              <w:bottom w:w="0" w:type="dxa"/>
              <w:right w:w="108" w:type="dxa"/>
            </w:tcMar>
          </w:tcPr>
          <w:p w14:paraId="1748D81F" w14:textId="77777777" w:rsidR="00382CF2" w:rsidRDefault="00054989">
            <w:pPr>
              <w:spacing w:before="120" w:after="120" w:line="276" w:lineRule="auto"/>
              <w:jc w:val="right"/>
              <w:rPr>
                <w:rFonts w:ascii="Calibri" w:eastAsia="SimSun" w:hAnsi="Calibri" w:cs="Calibri"/>
                <w:sz w:val="22"/>
                <w:szCs w:val="22"/>
                <w:lang w:val="hr-HR" w:eastAsia="hr-HR"/>
              </w:rPr>
            </w:pPr>
            <w:r>
              <w:rPr>
                <w:rFonts w:ascii="Calibri" w:eastAsia="SimSun" w:hAnsi="Calibri" w:cs="Calibri"/>
                <w:sz w:val="22"/>
                <w:szCs w:val="22"/>
                <w:lang w:val="hr-HR" w:eastAsia="hr-HR"/>
              </w:rPr>
              <w:t>477,24</w:t>
            </w:r>
          </w:p>
        </w:tc>
        <w:tc>
          <w:tcPr>
            <w:tcW w:w="1615" w:type="dxa"/>
            <w:tcBorders>
              <w:bottom w:val="single" w:sz="4" w:space="0" w:color="000000"/>
            </w:tcBorders>
            <w:shd w:val="clear" w:color="auto" w:fill="auto"/>
            <w:noWrap/>
            <w:tcMar>
              <w:top w:w="0" w:type="dxa"/>
              <w:left w:w="108" w:type="dxa"/>
              <w:bottom w:w="0" w:type="dxa"/>
              <w:right w:w="108" w:type="dxa"/>
            </w:tcMar>
          </w:tcPr>
          <w:p w14:paraId="1748D820" w14:textId="77777777" w:rsidR="00382CF2" w:rsidRDefault="00054989">
            <w:pPr>
              <w:spacing w:before="120" w:after="120" w:line="276" w:lineRule="auto"/>
              <w:jc w:val="right"/>
            </w:pPr>
            <w:r>
              <w:rPr>
                <w:rStyle w:val="Zadanifontodlomka1"/>
                <w:rFonts w:ascii="Calibri" w:eastAsia="SimSun" w:hAnsi="Calibri" w:cs="Calibri"/>
                <w:sz w:val="22"/>
                <w:szCs w:val="22"/>
                <w:lang w:val="hr-HR"/>
              </w:rPr>
              <w:t>621,78</w:t>
            </w:r>
          </w:p>
        </w:tc>
        <w:tc>
          <w:tcPr>
            <w:tcW w:w="1612" w:type="dxa"/>
            <w:tcBorders>
              <w:bottom w:val="single" w:sz="4" w:space="0" w:color="000000"/>
              <w:right w:val="single" w:sz="4" w:space="0" w:color="000000"/>
            </w:tcBorders>
            <w:shd w:val="clear" w:color="auto" w:fill="auto"/>
            <w:tcMar>
              <w:top w:w="0" w:type="dxa"/>
              <w:left w:w="108" w:type="dxa"/>
              <w:bottom w:w="0" w:type="dxa"/>
              <w:right w:w="108" w:type="dxa"/>
            </w:tcMar>
          </w:tcPr>
          <w:p w14:paraId="1748D821" w14:textId="77777777" w:rsidR="00382CF2" w:rsidRDefault="00054989">
            <w:pPr>
              <w:spacing w:before="120" w:after="120" w:line="276" w:lineRule="auto"/>
              <w:jc w:val="right"/>
            </w:pPr>
            <w:r>
              <w:rPr>
                <w:rStyle w:val="Zadanifontodlomka1"/>
                <w:rFonts w:ascii="Calibri" w:eastAsia="SimSun" w:hAnsi="Calibri" w:cs="Calibri"/>
                <w:sz w:val="22"/>
                <w:szCs w:val="22"/>
                <w:lang w:val="hr-HR"/>
              </w:rPr>
              <w:t>741,97</w:t>
            </w:r>
          </w:p>
        </w:tc>
      </w:tr>
    </w:tbl>
    <w:p w14:paraId="0759ED5A" w14:textId="5957034A" w:rsidR="00F70F1E" w:rsidRPr="008E0495" w:rsidRDefault="00F65C9F" w:rsidP="003714BD">
      <w:pPr>
        <w:spacing w:before="120" w:after="120" w:line="276" w:lineRule="auto"/>
        <w:jc w:val="center"/>
        <w:rPr>
          <w:rFonts w:ascii="Calibri" w:eastAsia="SimSun" w:hAnsi="Calibri" w:cs="Calibri"/>
          <w:b/>
          <w:sz w:val="8"/>
          <w:szCs w:val="8"/>
          <w:lang w:val="hr-HR"/>
        </w:rPr>
      </w:pPr>
      <w:r>
        <w:rPr>
          <w:noProof/>
        </w:rPr>
        <w:lastRenderedPageBreak/>
        <w:drawing>
          <wp:inline distT="0" distB="0" distL="0" distR="0" wp14:anchorId="1DCE7445" wp14:editId="144F5043">
            <wp:extent cx="5848350" cy="3569970"/>
            <wp:effectExtent l="0" t="0" r="0" b="11430"/>
            <wp:docPr id="1" name="Chart 1">
              <a:extLst xmlns:a="http://schemas.openxmlformats.org/drawingml/2006/main">
                <a:ext uri="{FF2B5EF4-FFF2-40B4-BE49-F238E27FC236}">
                  <a16:creationId xmlns:a16="http://schemas.microsoft.com/office/drawing/2014/main" id="{2665AFA5-854E-4CCE-AB5A-0947CA41A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48D825" w14:textId="30F51F20" w:rsidR="00382CF2" w:rsidRDefault="00054989" w:rsidP="00F116A4">
      <w:pPr>
        <w:spacing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BRUTO IZLOŽENOST</w:t>
      </w:r>
    </w:p>
    <w:p w14:paraId="1748D827" w14:textId="72EA55A3" w:rsidR="00382CF2" w:rsidRDefault="00054989" w:rsidP="008E0495">
      <w:pPr>
        <w:spacing w:before="120" w:line="276" w:lineRule="auto"/>
        <w:jc w:val="both"/>
        <w:rPr>
          <w:rFonts w:ascii="Calibri" w:eastAsia="SimSun" w:hAnsi="Calibri" w:cs="Calibri"/>
          <w:b/>
          <w:sz w:val="22"/>
          <w:szCs w:val="22"/>
          <w:lang w:val="hr-HR"/>
        </w:rPr>
      </w:pPr>
      <w:r>
        <w:rPr>
          <w:rStyle w:val="normaltextrun"/>
          <w:rFonts w:ascii="Calibri" w:hAnsi="Calibri" w:cs="Calibri"/>
          <w:color w:val="000000"/>
          <w:sz w:val="22"/>
          <w:szCs w:val="22"/>
          <w:shd w:val="clear" w:color="auto" w:fill="FFFFFF"/>
          <w:lang w:val="hr-HR"/>
        </w:rPr>
        <w:t>Na dan 31. prosinca 2022.</w:t>
      </w:r>
      <w:r w:rsidR="0059685A">
        <w:rPr>
          <w:rStyle w:val="normaltextrun"/>
          <w:rFonts w:ascii="Calibri" w:hAnsi="Calibri" w:cs="Calibri"/>
          <w:color w:val="000000"/>
          <w:sz w:val="22"/>
          <w:szCs w:val="22"/>
          <w:shd w:val="clear" w:color="auto" w:fill="FFFFFF"/>
          <w:lang w:val="hr-HR"/>
        </w:rPr>
        <w:t xml:space="preserve"> </w:t>
      </w:r>
      <w:r>
        <w:rPr>
          <w:rStyle w:val="normaltextrun"/>
          <w:rFonts w:ascii="Calibri" w:hAnsi="Calibri" w:cs="Calibri"/>
          <w:color w:val="000000"/>
          <w:sz w:val="22"/>
          <w:szCs w:val="22"/>
          <w:shd w:val="clear" w:color="auto" w:fill="FFFFFF"/>
          <w:lang w:val="hr-HR"/>
        </w:rPr>
        <w:t>bruto izloženost HBOR-a po poslovima osiguranja izvoza iznosila je 5,2 milijarde kuna, što predstavlja rast od 46 posto u odnosu na isti dan 2021.</w:t>
      </w:r>
      <w:r w:rsidR="00C800F2">
        <w:rPr>
          <w:rStyle w:val="normaltextrun"/>
          <w:rFonts w:ascii="Calibri" w:hAnsi="Calibri" w:cs="Calibri"/>
          <w:color w:val="000000"/>
          <w:sz w:val="22"/>
          <w:szCs w:val="22"/>
          <w:shd w:val="clear" w:color="auto" w:fill="FFFFFF"/>
          <w:lang w:val="hr-HR"/>
        </w:rPr>
        <w:t xml:space="preserve"> </w:t>
      </w:r>
      <w:r>
        <w:rPr>
          <w:rStyle w:val="normaltextrun"/>
          <w:rFonts w:ascii="Calibri" w:hAnsi="Calibri" w:cs="Calibri"/>
          <w:color w:val="000000"/>
          <w:sz w:val="22"/>
          <w:szCs w:val="22"/>
          <w:shd w:val="clear" w:color="auto" w:fill="FFFFFF"/>
          <w:lang w:val="hr-HR"/>
        </w:rPr>
        <w:t>te je ujedno i najveći iznos bruto izloženosti koji je HBOR ikad imao od početka obavljanja poslova osiguranja izvoza. Navedeni rast rezultat je snažnije aktivnosti po programima osiguranja koji su uvedeni s ciljem pomoći gospodarstvu uslijed kriza uzrokovanih pandemijom COVID-19 i ruskom agresijom na Ukrajinu.</w:t>
      </w:r>
    </w:p>
    <w:p w14:paraId="71EC1E0E" w14:textId="77777777" w:rsidR="00CB0528" w:rsidRDefault="00CB0528" w:rsidP="008E0495">
      <w:pPr>
        <w:spacing w:line="276" w:lineRule="auto"/>
        <w:jc w:val="both"/>
        <w:rPr>
          <w:rFonts w:ascii="Calibri" w:eastAsia="SimSun" w:hAnsi="Calibri" w:cs="Calibri"/>
          <w:b/>
          <w:sz w:val="22"/>
          <w:szCs w:val="22"/>
          <w:lang w:val="hr-HR"/>
        </w:rPr>
      </w:pPr>
    </w:p>
    <w:p w14:paraId="1748D828" w14:textId="77777777" w:rsidR="00382CF2" w:rsidRDefault="00054989">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OSIGURANJE KRATKOROČNIH IZVOZNIH POTRAŽIVANJA</w:t>
      </w:r>
    </w:p>
    <w:p w14:paraId="1748D829" w14:textId="20DF8BBA"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 okviru Programa osiguranja kratkoročnih izvoznih potraživanja</w:t>
      </w:r>
      <w:r w:rsidR="00FF5A40">
        <w:rPr>
          <w:rFonts w:ascii="Calibri" w:eastAsia="SimSun" w:hAnsi="Calibri" w:cs="Calibri"/>
          <w:sz w:val="22"/>
          <w:szCs w:val="22"/>
          <w:lang w:val="hr-HR"/>
        </w:rPr>
        <w:t>,</w:t>
      </w:r>
      <w:r>
        <w:rPr>
          <w:rFonts w:ascii="Calibri" w:eastAsia="SimSun" w:hAnsi="Calibri" w:cs="Calibri"/>
          <w:sz w:val="22"/>
          <w:szCs w:val="22"/>
          <w:lang w:val="hr-HR"/>
        </w:rPr>
        <w:t xml:space="preserve"> HBOR osigurava kratkoročna potraživanja izvoznika </w:t>
      </w:r>
      <w:r w:rsidR="003517D1">
        <w:rPr>
          <w:rFonts w:ascii="Calibri" w:eastAsia="SimSun" w:hAnsi="Calibri" w:cs="Calibri"/>
          <w:sz w:val="22"/>
          <w:szCs w:val="22"/>
          <w:lang w:val="hr-HR"/>
        </w:rPr>
        <w:t xml:space="preserve">od netržišnih i privremeno netržišnih rizika </w:t>
      </w:r>
      <w:r>
        <w:rPr>
          <w:rFonts w:ascii="Calibri" w:eastAsia="SimSun" w:hAnsi="Calibri" w:cs="Calibri"/>
          <w:sz w:val="22"/>
          <w:szCs w:val="22"/>
          <w:lang w:val="hr-HR"/>
        </w:rPr>
        <w:t>za koja je ugovorena odgoda plaćanja do najviše 2 godine</w:t>
      </w:r>
      <w:r w:rsidR="00FC49CF">
        <w:rPr>
          <w:rFonts w:ascii="Calibri" w:eastAsia="SimSun" w:hAnsi="Calibri" w:cs="Calibri"/>
          <w:sz w:val="22"/>
          <w:szCs w:val="22"/>
          <w:lang w:val="hr-HR"/>
        </w:rPr>
        <w:t>.</w:t>
      </w:r>
    </w:p>
    <w:p w14:paraId="6FFB7C4B" w14:textId="0F228C9E" w:rsidR="00DD0605" w:rsidRDefault="00054989" w:rsidP="008E0495">
      <w:pPr>
        <w:spacing w:line="276" w:lineRule="auto"/>
        <w:jc w:val="both"/>
        <w:rPr>
          <w:rStyle w:val="Zadanifontodlomka1"/>
          <w:rFonts w:ascii="Calibri" w:eastAsia="SimSun" w:hAnsi="Calibri" w:cs="Calibri"/>
          <w:b/>
          <w:sz w:val="22"/>
          <w:szCs w:val="22"/>
          <w:lang w:val="hr-HR"/>
        </w:rPr>
      </w:pPr>
      <w:r>
        <w:rPr>
          <w:rStyle w:val="Zadanifontodlomka1"/>
          <w:rFonts w:ascii="Calibri" w:eastAsia="SimSun" w:hAnsi="Calibri" w:cs="Calibri"/>
          <w:sz w:val="22"/>
          <w:szCs w:val="22"/>
          <w:lang w:val="hr-HR"/>
        </w:rPr>
        <w:t>Kroz navedeni program HBOR je u 2022.</w:t>
      </w:r>
      <w:r w:rsidR="00FC49CF">
        <w:rPr>
          <w:rStyle w:val="Zadanifontodlomka1"/>
          <w:rFonts w:ascii="Calibri" w:eastAsia="SimSun" w:hAnsi="Calibri" w:cs="Calibri"/>
          <w:sz w:val="22"/>
          <w:szCs w:val="22"/>
          <w:lang w:val="hr-HR"/>
        </w:rPr>
        <w:t xml:space="preserve"> </w:t>
      </w:r>
      <w:r>
        <w:rPr>
          <w:rStyle w:val="Zadanifontodlomka1"/>
          <w:rFonts w:ascii="Calibri" w:eastAsia="SimSun" w:hAnsi="Calibri" w:cs="Calibri"/>
          <w:sz w:val="22"/>
          <w:szCs w:val="22"/>
          <w:lang w:val="hr-HR"/>
        </w:rPr>
        <w:t>osigurao promet u iznosu od 480,5 milijuna kuna. U okviru programa ponajviše su podržani izvoznici koji se bave proizvodnjom farmaceutskih pripravaka, fotonaponskih modula, proizvoda od drva te elektroničkih licenci. Najveći osigurani izvozni promet ostvaren je prema kupcima u Ukrajini, Francuskoj, Kanadi, Švicarskoj i Sloveniji.</w:t>
      </w:r>
    </w:p>
    <w:p w14:paraId="5A588C7C" w14:textId="1214B555" w:rsidR="00084C64" w:rsidRDefault="00084C64" w:rsidP="008E0495">
      <w:pPr>
        <w:spacing w:line="276" w:lineRule="auto"/>
        <w:jc w:val="both"/>
        <w:rPr>
          <w:rStyle w:val="Zadanifontodlomka1"/>
          <w:rFonts w:ascii="Calibri" w:eastAsia="SimSun" w:hAnsi="Calibri" w:cs="Calibri"/>
          <w:b/>
          <w:sz w:val="22"/>
          <w:szCs w:val="22"/>
          <w:lang w:val="hr-HR"/>
        </w:rPr>
      </w:pPr>
    </w:p>
    <w:p w14:paraId="1748D82B" w14:textId="2CC3D628" w:rsidR="00382CF2" w:rsidRDefault="00054989">
      <w:pPr>
        <w:spacing w:before="120" w:after="120" w:line="276" w:lineRule="auto"/>
        <w:jc w:val="both"/>
      </w:pPr>
      <w:r>
        <w:rPr>
          <w:rStyle w:val="Zadanifontodlomka1"/>
          <w:rFonts w:ascii="Calibri" w:eastAsia="SimSun" w:hAnsi="Calibri" w:cs="Calibri"/>
          <w:b/>
          <w:sz w:val="22"/>
          <w:szCs w:val="22"/>
          <w:lang w:val="hr-HR"/>
        </w:rPr>
        <w:t>OSIGURANJE KRATKOROČNIH IZVOZNIH POTRAŽIVANJA ZA MALE IZVOZNIKE</w:t>
      </w:r>
    </w:p>
    <w:p w14:paraId="1748D82C" w14:textId="77777777" w:rsidR="00382CF2" w:rsidRDefault="00054989">
      <w:pPr>
        <w:spacing w:before="120" w:after="120" w:line="276" w:lineRule="auto"/>
        <w:jc w:val="both"/>
      </w:pPr>
      <w:r>
        <w:rPr>
          <w:rStyle w:val="Zadanifontodlomka1"/>
          <w:rFonts w:ascii="Calibri" w:hAnsi="Calibri" w:cs="Calibri"/>
          <w:sz w:val="22"/>
          <w:szCs w:val="22"/>
          <w:lang w:val="hr-HR" w:eastAsia="hr-HR"/>
        </w:rPr>
        <w:t xml:space="preserve">Program osiguranja naplate kratkoročnih izvoznih potraživanja za male izvoznike namijenjen je malim i srednjim poduzetnicima s godišnjim izvoznim prometom do 2 milijuna eura i onima koji tek započinju s </w:t>
      </w:r>
      <w:r>
        <w:rPr>
          <w:rStyle w:val="Zadanifontodlomka1"/>
          <w:rFonts w:ascii="Calibri" w:eastAsia="SimSun" w:hAnsi="Calibri" w:cs="Calibri"/>
          <w:sz w:val="22"/>
          <w:szCs w:val="22"/>
          <w:lang w:val="hr-HR"/>
        </w:rPr>
        <w:t>prodajom svojih proizvoda i usluga na inozemnom tržištu. Police osiguranja omogućavaju izvoznicima ugovaranje osiguranja u kraćem roku i uz smanjene administrativne obveze.</w:t>
      </w:r>
    </w:p>
    <w:p w14:paraId="1748D82E" w14:textId="4D10CE44" w:rsidR="00382CF2" w:rsidRDefault="00054989" w:rsidP="00223B36">
      <w:pPr>
        <w:spacing w:before="120" w:after="120" w:line="276" w:lineRule="auto"/>
        <w:jc w:val="both"/>
        <w:rPr>
          <w:rFonts w:ascii="Calibri" w:hAnsi="Calibri" w:cs="Calibri"/>
          <w:sz w:val="22"/>
          <w:szCs w:val="22"/>
          <w:lang w:val="hr-HR" w:eastAsia="hr-HR"/>
        </w:rPr>
      </w:pPr>
      <w:r>
        <w:rPr>
          <w:rStyle w:val="Zadanifontodlomka1"/>
          <w:rFonts w:ascii="Calibri" w:eastAsia="SimSun" w:hAnsi="Calibri" w:cs="Calibri"/>
          <w:sz w:val="22"/>
          <w:szCs w:val="22"/>
          <w:lang w:val="hr-HR"/>
        </w:rPr>
        <w:t>Za ovu skupinu izvoznika tijekom 2022.</w:t>
      </w:r>
      <w:r w:rsidR="00F414C9">
        <w:rPr>
          <w:rStyle w:val="Zadanifontodlomka1"/>
          <w:rFonts w:ascii="Calibri" w:eastAsia="SimSun" w:hAnsi="Calibri" w:cs="Calibri"/>
          <w:sz w:val="22"/>
          <w:szCs w:val="22"/>
          <w:lang w:val="hr-HR"/>
        </w:rPr>
        <w:t xml:space="preserve"> </w:t>
      </w:r>
      <w:r>
        <w:rPr>
          <w:rStyle w:val="Zadanifontodlomka1"/>
          <w:rFonts w:ascii="Calibri" w:eastAsia="SimSun" w:hAnsi="Calibri" w:cs="Calibri"/>
          <w:sz w:val="22"/>
          <w:szCs w:val="22"/>
          <w:lang w:val="hr-HR"/>
        </w:rPr>
        <w:t xml:space="preserve">odobreno je osiguranje u ukupnom iznosu od 6,6 milijuna kuna. U okviru programa ponajviše su podržani izvoznici koji se bave proizvodnjom robe široke potrošnje, </w:t>
      </w:r>
      <w:r>
        <w:rPr>
          <w:rStyle w:val="Zadanifontodlomka1"/>
          <w:rFonts w:ascii="Calibri" w:eastAsia="SimSun" w:hAnsi="Calibri" w:cs="Calibri"/>
          <w:sz w:val="22"/>
          <w:szCs w:val="22"/>
          <w:lang w:val="hr-HR"/>
        </w:rPr>
        <w:lastRenderedPageBreak/>
        <w:t>uslugama savjetovanja te trgovinom na veliko i malo. Najveći osigurani izvozni promet ostvaren je prema</w:t>
      </w:r>
      <w:r>
        <w:rPr>
          <w:rStyle w:val="Zadanifontodlomka1"/>
          <w:rFonts w:ascii="Calibri" w:hAnsi="Calibri" w:cs="Calibri"/>
          <w:sz w:val="22"/>
          <w:szCs w:val="22"/>
          <w:lang w:val="hr-HR" w:eastAsia="hr-HR"/>
        </w:rPr>
        <w:t xml:space="preserve"> kupcima u Italiji, Bosni i Hercegovini, Austriji, Crnoj Gori i Francuskoj.</w:t>
      </w:r>
    </w:p>
    <w:p w14:paraId="3A387D44" w14:textId="77777777" w:rsidR="00223B36" w:rsidRDefault="00223B36" w:rsidP="00223B36">
      <w:pPr>
        <w:spacing w:before="120" w:line="276" w:lineRule="auto"/>
        <w:jc w:val="both"/>
        <w:rPr>
          <w:rFonts w:ascii="Calibri" w:hAnsi="Calibri" w:cs="Calibri"/>
          <w:sz w:val="22"/>
          <w:szCs w:val="22"/>
          <w:lang w:val="hr-HR" w:eastAsia="hr-HR"/>
        </w:rPr>
      </w:pPr>
    </w:p>
    <w:p w14:paraId="1748D82F" w14:textId="77777777" w:rsidR="00382CF2" w:rsidRDefault="00054989">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REOSIGURANJE KRATKOROČNIH IZVOZNIH POTRAŽIVANJA</w:t>
      </w:r>
    </w:p>
    <w:p w14:paraId="1748D830"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Program reosiguranja kratkoročnih izvoznih potraživanja namijenjen je osiguravajućim društvima koja posluju na tržištu Republike Hrvatske i koja hrvatskim izvoznicima osiguravaju izvozna potraživanja.</w:t>
      </w:r>
    </w:p>
    <w:p w14:paraId="1748D831" w14:textId="39BDD749" w:rsidR="00382CF2" w:rsidRDefault="00054989" w:rsidP="008E0495">
      <w:pPr>
        <w:spacing w:before="120" w:line="276" w:lineRule="auto"/>
        <w:jc w:val="both"/>
        <w:rPr>
          <w:rFonts w:ascii="Calibri" w:eastAsia="SimSun" w:hAnsi="Calibri" w:cs="Calibri"/>
          <w:sz w:val="22"/>
          <w:szCs w:val="22"/>
          <w:lang w:val="hr-HR"/>
        </w:rPr>
      </w:pPr>
      <w:r>
        <w:rPr>
          <w:rFonts w:ascii="Calibri" w:eastAsia="SimSun" w:hAnsi="Calibri" w:cs="Calibri"/>
          <w:sz w:val="22"/>
          <w:szCs w:val="22"/>
          <w:lang w:val="hr-HR"/>
        </w:rPr>
        <w:t>HBOR je kroz Program reosiguranja kratkoročnih izvoznih potraživanja u 2022.</w:t>
      </w:r>
      <w:r w:rsidR="000F235C">
        <w:rPr>
          <w:rFonts w:ascii="Calibri" w:eastAsia="SimSun" w:hAnsi="Calibri" w:cs="Calibri"/>
          <w:sz w:val="22"/>
          <w:szCs w:val="22"/>
          <w:lang w:val="hr-HR"/>
        </w:rPr>
        <w:t xml:space="preserve"> </w:t>
      </w:r>
      <w:r>
        <w:rPr>
          <w:rFonts w:ascii="Calibri" w:eastAsia="SimSun" w:hAnsi="Calibri" w:cs="Calibri"/>
          <w:sz w:val="22"/>
          <w:szCs w:val="22"/>
          <w:lang w:val="hr-HR"/>
        </w:rPr>
        <w:t>reosigurao izvozni promet u visini od 12,4 milijuna kuna. Većina podržanih poslova odnosila se na izvoz roba iz sektora prerađivačke i prehrambene industrije prema kupcima iz Srbije, Ukrajine, Kazahstana, Bosne i Hercegovine, Vijetnama i Alžira.</w:t>
      </w:r>
    </w:p>
    <w:p w14:paraId="1748D832" w14:textId="77777777" w:rsidR="00382CF2" w:rsidRDefault="00382CF2" w:rsidP="008E0495">
      <w:pPr>
        <w:spacing w:line="276" w:lineRule="auto"/>
        <w:jc w:val="both"/>
        <w:rPr>
          <w:rFonts w:ascii="Calibri" w:hAnsi="Calibri" w:cs="Calibri"/>
          <w:sz w:val="22"/>
          <w:szCs w:val="22"/>
          <w:lang w:val="hr-HR" w:eastAsia="hr-HR"/>
        </w:rPr>
      </w:pPr>
    </w:p>
    <w:p w14:paraId="1748D833" w14:textId="77777777" w:rsidR="00382CF2" w:rsidRDefault="00054989">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OSIGURANJE KREDITA DOBAVLJAČA I ŠTETA TIJEKOM PROIZVODNJE</w:t>
      </w:r>
    </w:p>
    <w:p w14:paraId="1748D834" w14:textId="2E3D60C6" w:rsidR="00382CF2" w:rsidRDefault="00054989" w:rsidP="008E0495">
      <w:pPr>
        <w:spacing w:before="120" w:line="276" w:lineRule="auto"/>
        <w:jc w:val="both"/>
        <w:rPr>
          <w:rFonts w:ascii="Calibri" w:hAnsi="Calibri" w:cs="Calibri"/>
          <w:sz w:val="22"/>
          <w:szCs w:val="22"/>
          <w:lang w:val="hr-HR" w:eastAsia="hr-HR"/>
        </w:rPr>
      </w:pPr>
      <w:r>
        <w:rPr>
          <w:rFonts w:ascii="Calibri" w:hAnsi="Calibri" w:cs="Calibri"/>
          <w:sz w:val="22"/>
          <w:szCs w:val="22"/>
          <w:lang w:val="hr-HR" w:eastAsia="hr-HR"/>
        </w:rPr>
        <w:t>Kroz predmetne programe HBOR je u 2022.</w:t>
      </w:r>
      <w:r w:rsidR="00126286">
        <w:rPr>
          <w:rFonts w:ascii="Calibri" w:hAnsi="Calibri" w:cs="Calibri"/>
          <w:sz w:val="22"/>
          <w:szCs w:val="22"/>
          <w:lang w:val="hr-HR" w:eastAsia="hr-HR"/>
        </w:rPr>
        <w:t xml:space="preserve"> </w:t>
      </w:r>
      <w:r>
        <w:rPr>
          <w:rFonts w:ascii="Calibri" w:hAnsi="Calibri" w:cs="Calibri"/>
          <w:sz w:val="22"/>
          <w:szCs w:val="22"/>
          <w:lang w:val="hr-HR" w:eastAsia="hr-HR"/>
        </w:rPr>
        <w:t xml:space="preserve">osigurao promet u iznosu od 441,5 milijuna kuna </w:t>
      </w:r>
      <w:r w:rsidR="008703DB">
        <w:rPr>
          <w:rFonts w:ascii="Calibri" w:hAnsi="Calibri" w:cs="Calibri"/>
          <w:sz w:val="22"/>
          <w:szCs w:val="22"/>
          <w:lang w:val="hr-HR" w:eastAsia="hr-HR"/>
        </w:rPr>
        <w:t>te na taj način</w:t>
      </w:r>
      <w:r>
        <w:rPr>
          <w:rFonts w:ascii="Calibri" w:hAnsi="Calibri" w:cs="Calibri"/>
          <w:sz w:val="22"/>
          <w:szCs w:val="22"/>
          <w:lang w:val="hr-HR" w:eastAsia="hr-HR"/>
        </w:rPr>
        <w:t xml:space="preserve"> podržao izvoz na tržišta Grčke, Latvije, Austrije, Mađarske, Ujedinjene Kraljevine Velike Britanije i Sjeverne Irske, Češke i Španjolske, a od udaljenijih izvoznih tržišta izvoz u Irak i Ganu. Osigurani izvozni poslovi odnosili su se većinom na izvoz roba i usluga iz sektora energetike te proizvodnje strojeva i opreme.</w:t>
      </w:r>
    </w:p>
    <w:p w14:paraId="1748D835" w14:textId="77777777" w:rsidR="00382CF2" w:rsidRDefault="00382CF2" w:rsidP="00F116A4">
      <w:pPr>
        <w:spacing w:line="276" w:lineRule="auto"/>
        <w:jc w:val="both"/>
        <w:rPr>
          <w:rFonts w:ascii="Calibri" w:hAnsi="Calibri" w:cs="Calibri"/>
          <w:sz w:val="22"/>
          <w:szCs w:val="22"/>
          <w:lang w:val="hr-HR" w:eastAsia="hr-HR"/>
        </w:rPr>
      </w:pPr>
    </w:p>
    <w:p w14:paraId="1748D839" w14:textId="77777777" w:rsidR="00382CF2" w:rsidRDefault="00054989">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OSIGURANJE KREDITA ZA PRIPREMU IZVOZA</w:t>
      </w:r>
    </w:p>
    <w:p w14:paraId="1748D83A"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Programom osiguranja kredita za pripremu izvoza, bankama je omogućeno financiranje obrtnih sredstava izvoznika u fazi proizvodnje robe za izvoz, a izvoznicima je omogućeno dobivanje kredita koje inače ne bi bilo moguće realizirati zbog nedostatnosti kolaterala.</w:t>
      </w:r>
    </w:p>
    <w:p w14:paraId="1748D83C" w14:textId="06909212" w:rsidR="00382CF2" w:rsidRDefault="00054989" w:rsidP="008E0495">
      <w:pPr>
        <w:spacing w:before="120" w:line="276" w:lineRule="auto"/>
        <w:jc w:val="both"/>
        <w:rPr>
          <w:rFonts w:ascii="Calibri" w:hAnsi="Calibri" w:cs="Calibri"/>
          <w:sz w:val="22"/>
          <w:szCs w:val="22"/>
          <w:lang w:val="hr-HR" w:eastAsia="hr-HR"/>
        </w:rPr>
      </w:pPr>
      <w:r>
        <w:rPr>
          <w:rStyle w:val="Zadanifontodlomka1"/>
          <w:rFonts w:ascii="Calibri" w:eastAsia="SimSun" w:hAnsi="Calibri" w:cs="Calibri"/>
          <w:sz w:val="22"/>
          <w:szCs w:val="22"/>
          <w:lang w:val="hr-HR"/>
        </w:rPr>
        <w:t>Kroz navedeni program tijekom 2022.</w:t>
      </w:r>
      <w:r w:rsidR="005E6726">
        <w:rPr>
          <w:rStyle w:val="Zadanifontodlomka1"/>
          <w:rFonts w:ascii="Calibri" w:eastAsia="SimSun" w:hAnsi="Calibri" w:cs="Calibri"/>
          <w:sz w:val="22"/>
          <w:szCs w:val="22"/>
          <w:lang w:val="hr-HR"/>
        </w:rPr>
        <w:t xml:space="preserve"> </w:t>
      </w:r>
      <w:r>
        <w:rPr>
          <w:rStyle w:val="Zadanifontodlomka1"/>
          <w:rFonts w:ascii="Calibri" w:eastAsia="SimSun" w:hAnsi="Calibri" w:cs="Calibri"/>
          <w:sz w:val="22"/>
          <w:szCs w:val="22"/>
          <w:lang w:val="hr-HR"/>
        </w:rPr>
        <w:t xml:space="preserve">osigurano je kredita u ukupnom iznosu od 116,2 milijuna kuna za </w:t>
      </w:r>
      <w:r>
        <w:rPr>
          <w:rStyle w:val="Zadanifontodlomka1"/>
          <w:rFonts w:ascii="Calibri" w:hAnsi="Calibri" w:cs="Calibri"/>
          <w:sz w:val="22"/>
          <w:szCs w:val="22"/>
          <w:lang w:val="hr-HR" w:eastAsia="hr-HR"/>
        </w:rPr>
        <w:t>potrebe financiranja obrtnih sredstava izvoznicima iz sektora prerađivačke industrije.</w:t>
      </w:r>
    </w:p>
    <w:p w14:paraId="7F42632A" w14:textId="77777777" w:rsidR="002C1DB7" w:rsidRDefault="002C1DB7" w:rsidP="008E0495">
      <w:pPr>
        <w:spacing w:line="276" w:lineRule="auto"/>
        <w:jc w:val="both"/>
        <w:rPr>
          <w:rFonts w:ascii="Calibri" w:hAnsi="Calibri" w:cs="Calibri"/>
          <w:sz w:val="22"/>
          <w:szCs w:val="22"/>
          <w:lang w:val="hr-HR" w:eastAsia="hr-HR"/>
        </w:rPr>
      </w:pPr>
    </w:p>
    <w:p w14:paraId="1748D83D" w14:textId="77777777" w:rsidR="00382CF2" w:rsidRDefault="00054989">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OSIGURANJE IZVOZNIH ČINIDBENIH BANKARSKIH GARANCIJA</w:t>
      </w:r>
    </w:p>
    <w:p w14:paraId="1748D83E" w14:textId="77777777" w:rsidR="00382CF2" w:rsidRDefault="00054989" w:rsidP="008E0495">
      <w:pPr>
        <w:spacing w:before="120" w:line="276" w:lineRule="auto"/>
        <w:jc w:val="both"/>
        <w:rPr>
          <w:rFonts w:ascii="Calibri" w:eastAsia="SimSun" w:hAnsi="Calibri" w:cs="Calibri"/>
          <w:sz w:val="22"/>
          <w:szCs w:val="22"/>
          <w:lang w:val="hr-HR"/>
        </w:rPr>
      </w:pPr>
      <w:r>
        <w:rPr>
          <w:rFonts w:ascii="Calibri" w:eastAsia="SimSun" w:hAnsi="Calibri" w:cs="Calibri"/>
          <w:sz w:val="22"/>
          <w:szCs w:val="22"/>
          <w:lang w:val="hr-HR"/>
        </w:rPr>
        <w:t>Po predmetnom programu zaključena je polica osiguranja bankarske garancije u iznosu od 15 milijuna kuna izdana u svezi izvršenja izvoznog ugovora izvoznika na tržištu Saudijske Arabije.</w:t>
      </w:r>
    </w:p>
    <w:p w14:paraId="1748D83F" w14:textId="77777777" w:rsidR="00382CF2" w:rsidRDefault="00382CF2" w:rsidP="008E0495">
      <w:pPr>
        <w:spacing w:line="276" w:lineRule="auto"/>
        <w:jc w:val="both"/>
        <w:rPr>
          <w:rFonts w:ascii="Calibri" w:eastAsia="SimSun" w:hAnsi="Calibri" w:cs="Calibri"/>
          <w:sz w:val="22"/>
          <w:szCs w:val="22"/>
          <w:lang w:val="hr-HR"/>
        </w:rPr>
      </w:pPr>
    </w:p>
    <w:p w14:paraId="1748D840" w14:textId="77777777" w:rsidR="00382CF2" w:rsidRDefault="00054989">
      <w:pPr>
        <w:spacing w:before="120" w:after="120" w:line="276" w:lineRule="auto"/>
        <w:ind w:right="-285"/>
        <w:jc w:val="both"/>
        <w:rPr>
          <w:rFonts w:ascii="Calibri" w:eastAsia="SimSun" w:hAnsi="Calibri" w:cs="Calibri"/>
          <w:b/>
          <w:bCs/>
          <w:sz w:val="22"/>
          <w:szCs w:val="22"/>
          <w:lang w:val="hr-HR"/>
        </w:rPr>
      </w:pPr>
      <w:r>
        <w:rPr>
          <w:rFonts w:ascii="Calibri" w:eastAsia="SimSun" w:hAnsi="Calibri" w:cs="Calibri"/>
          <w:b/>
          <w:bCs/>
          <w:sz w:val="22"/>
          <w:szCs w:val="22"/>
          <w:lang w:val="hr-HR"/>
        </w:rPr>
        <w:t>OSIGURANJE PORTFELJA KREDITA ZA OBRTNA SREDSTVA ZA IZVOZNIKE</w:t>
      </w:r>
    </w:p>
    <w:p w14:paraId="1748D842" w14:textId="727EFB7E" w:rsidR="002C1DB7" w:rsidRDefault="00054989" w:rsidP="00ED0A0F">
      <w:pPr>
        <w:suppressAutoHyphens w:val="0"/>
        <w:spacing w:line="276" w:lineRule="auto"/>
        <w:jc w:val="both"/>
        <w:rPr>
          <w:rFonts w:ascii="Calibri" w:hAnsi="Calibri" w:cs="Calibri"/>
          <w:sz w:val="22"/>
          <w:szCs w:val="22"/>
          <w:lang w:val="hr-HR" w:eastAsia="hr-HR"/>
        </w:rPr>
      </w:pPr>
      <w:r>
        <w:rPr>
          <w:rStyle w:val="Zadanifontodlomka1"/>
          <w:rFonts w:ascii="Calibri" w:eastAsia="SimSun" w:hAnsi="Calibri" w:cs="Calibri"/>
          <w:sz w:val="22"/>
          <w:szCs w:val="22"/>
          <w:lang w:val="hr-HR"/>
        </w:rPr>
        <w:t>Predmetni program usvojen je krajem 2019.</w:t>
      </w:r>
      <w:r w:rsidR="00834686">
        <w:rPr>
          <w:rStyle w:val="Zadanifontodlomka1"/>
          <w:rFonts w:ascii="Calibri" w:eastAsia="SimSun" w:hAnsi="Calibri" w:cs="Calibri"/>
          <w:sz w:val="22"/>
          <w:szCs w:val="22"/>
          <w:lang w:val="hr-HR"/>
        </w:rPr>
        <w:t xml:space="preserve"> </w:t>
      </w:r>
      <w:r>
        <w:rPr>
          <w:rStyle w:val="Zadanifontodlomka1"/>
          <w:rFonts w:ascii="Calibri" w:eastAsia="SimSun" w:hAnsi="Calibri" w:cs="Calibri"/>
          <w:sz w:val="22"/>
          <w:szCs w:val="22"/>
          <w:lang w:val="hr-HR"/>
        </w:rPr>
        <w:t>te se provodi u suradnji s bankama kako bi se malim i srednjim poduzetnicima olakšao pristup financiranju obrtnih sredstava te kako bi ih se potaklo na izvoz i izlazak na nova izvozna tržišta. Banke, prema unaprijed definiranim uvjetima programa i troškovima osiguranja, samostalno odlučuju o kreditima koje će uključiti u portfelj, a koji HBOR osigurava uz 80-postotno pokriće glavnice i redovne kamate svakog kredita. Tijekom 2022.</w:t>
      </w:r>
      <w:r w:rsidR="001D3131">
        <w:rPr>
          <w:rStyle w:val="Zadanifontodlomka1"/>
          <w:rFonts w:ascii="Calibri" w:eastAsia="SimSun" w:hAnsi="Calibri" w:cs="Calibri"/>
          <w:sz w:val="22"/>
          <w:szCs w:val="22"/>
          <w:lang w:val="hr-HR"/>
        </w:rPr>
        <w:t xml:space="preserve"> </w:t>
      </w:r>
      <w:r>
        <w:rPr>
          <w:rStyle w:val="Zadanifontodlomka1"/>
          <w:rFonts w:ascii="Calibri" w:eastAsia="SimSun" w:hAnsi="Calibri" w:cs="Calibri"/>
          <w:sz w:val="22"/>
          <w:szCs w:val="22"/>
          <w:lang w:val="hr-HR"/>
        </w:rPr>
        <w:t xml:space="preserve">osigurani su krediti ukupnog iznosa 1,1 milijun </w:t>
      </w:r>
      <w:r>
        <w:rPr>
          <w:rStyle w:val="Zadanifontodlomka1"/>
          <w:rFonts w:ascii="Calibri" w:hAnsi="Calibri" w:cs="Calibri"/>
          <w:sz w:val="22"/>
          <w:szCs w:val="22"/>
          <w:lang w:val="hr-HR" w:eastAsia="hr-HR"/>
        </w:rPr>
        <w:t>kuna.</w:t>
      </w:r>
      <w:r w:rsidR="002C1DB7">
        <w:rPr>
          <w:rFonts w:ascii="Calibri" w:hAnsi="Calibri" w:cs="Calibri"/>
          <w:sz w:val="22"/>
          <w:szCs w:val="22"/>
          <w:lang w:val="hr-HR" w:eastAsia="hr-HR"/>
        </w:rPr>
        <w:br w:type="page"/>
      </w:r>
    </w:p>
    <w:p w14:paraId="1748D849" w14:textId="77777777" w:rsidR="00382CF2" w:rsidRDefault="00054989" w:rsidP="00122EBC">
      <w:pPr>
        <w:spacing w:after="120" w:line="276" w:lineRule="auto"/>
        <w:ind w:right="-1"/>
        <w:jc w:val="both"/>
        <w:rPr>
          <w:rStyle w:val="Zadanifontodlomka1"/>
          <w:rFonts w:ascii="Calibri" w:eastAsia="SimSun" w:hAnsi="Calibri" w:cs="Calibri"/>
          <w:b/>
          <w:bCs/>
          <w:sz w:val="22"/>
          <w:szCs w:val="22"/>
          <w:lang w:val="hr-HR"/>
        </w:rPr>
      </w:pPr>
      <w:r>
        <w:rPr>
          <w:rStyle w:val="Zadanifontodlomka1"/>
          <w:rFonts w:ascii="Calibri" w:hAnsi="Calibri" w:cs="Calibri"/>
          <w:b/>
          <w:bCs/>
          <w:sz w:val="22"/>
          <w:szCs w:val="22"/>
          <w:lang w:val="hr-HR" w:eastAsia="hr-HR"/>
        </w:rPr>
        <w:lastRenderedPageBreak/>
        <w:t>OSIGURANJE PORTFELJA KREDITA ZA LIKVIDNOST IZVOZNIKA -</w:t>
      </w:r>
      <w:r>
        <w:rPr>
          <w:rStyle w:val="Zadanifontodlomka1"/>
          <w:lang w:eastAsia="hr-HR"/>
        </w:rPr>
        <w:t xml:space="preserve"> </w:t>
      </w:r>
      <w:r>
        <w:rPr>
          <w:rStyle w:val="Zadanifontodlomka1"/>
          <w:rFonts w:ascii="Calibri" w:hAnsi="Calibri" w:cs="Calibri"/>
          <w:b/>
          <w:bCs/>
          <w:sz w:val="22"/>
          <w:szCs w:val="22"/>
          <w:lang w:val="hr-HR" w:eastAsia="hr-HR"/>
        </w:rPr>
        <w:t xml:space="preserve">MJERA POMOĆI GOSPODARSTVU RH </w:t>
      </w:r>
      <w:r>
        <w:rPr>
          <w:rStyle w:val="Zadanifontodlomka1"/>
          <w:rFonts w:ascii="Calibri" w:eastAsia="SimSun" w:hAnsi="Calibri" w:cs="Calibri"/>
          <w:b/>
          <w:bCs/>
          <w:sz w:val="22"/>
          <w:szCs w:val="22"/>
          <w:lang w:val="hr-HR"/>
        </w:rPr>
        <w:t>NAKON RUSKE AGRESIJE NA UKRAJINU</w:t>
      </w:r>
    </w:p>
    <w:p w14:paraId="1748D84B" w14:textId="07FE8E7F" w:rsidR="00382CF2" w:rsidRDefault="00054989" w:rsidP="00122EBC">
      <w:pPr>
        <w:spacing w:line="276" w:lineRule="auto"/>
        <w:ind w:right="-1"/>
        <w:jc w:val="both"/>
        <w:rPr>
          <w:rStyle w:val="Zadanifontodlomka1"/>
          <w:rFonts w:ascii="Calibri" w:hAnsi="Calibri" w:cs="Calibri"/>
          <w:sz w:val="22"/>
          <w:szCs w:val="22"/>
          <w:lang w:val="hr-HR" w:eastAsia="hr-HR"/>
        </w:rPr>
      </w:pPr>
      <w:r>
        <w:rPr>
          <w:rStyle w:val="Zadanifontodlomka1"/>
          <w:rFonts w:ascii="Calibri" w:eastAsia="SimSun" w:hAnsi="Calibri" w:cs="Calibri"/>
          <w:sz w:val="22"/>
          <w:szCs w:val="22"/>
          <w:lang w:val="hr-HR"/>
        </w:rPr>
        <w:t>Predme</w:t>
      </w:r>
      <w:r>
        <w:rPr>
          <w:rStyle w:val="Zadanifontodlomka1"/>
          <w:rFonts w:ascii="Calibri" w:hAnsi="Calibri" w:cs="Calibri"/>
          <w:sz w:val="22"/>
          <w:szCs w:val="22"/>
          <w:lang w:val="hr-HR" w:eastAsia="hr-HR"/>
        </w:rPr>
        <w:t>tni program uveden je u drugoj polovici 2022.</w:t>
      </w:r>
      <w:r w:rsidR="001D3131">
        <w:rPr>
          <w:rStyle w:val="Zadanifontodlomka1"/>
          <w:rFonts w:ascii="Calibri" w:hAnsi="Calibri" w:cs="Calibri"/>
          <w:sz w:val="22"/>
          <w:szCs w:val="22"/>
          <w:lang w:val="hr-HR" w:eastAsia="hr-HR"/>
        </w:rPr>
        <w:t xml:space="preserve"> </w:t>
      </w:r>
      <w:r>
        <w:rPr>
          <w:rStyle w:val="Zadanifontodlomka1"/>
          <w:rFonts w:ascii="Calibri" w:hAnsi="Calibri" w:cs="Calibri"/>
          <w:sz w:val="22"/>
          <w:szCs w:val="22"/>
          <w:lang w:val="hr-HR" w:eastAsia="hr-HR"/>
        </w:rPr>
        <w:t>temeljem Privremenog kriznog okvira Europske komisije. Do 31. prosinca 2022.</w:t>
      </w:r>
      <w:r w:rsidR="001D3131">
        <w:rPr>
          <w:rStyle w:val="Zadanifontodlomka1"/>
          <w:rFonts w:ascii="Calibri" w:hAnsi="Calibri" w:cs="Calibri"/>
          <w:sz w:val="22"/>
          <w:szCs w:val="22"/>
          <w:lang w:val="hr-HR" w:eastAsia="hr-HR"/>
        </w:rPr>
        <w:t xml:space="preserve"> </w:t>
      </w:r>
      <w:r>
        <w:rPr>
          <w:rStyle w:val="Zadanifontodlomka1"/>
          <w:rFonts w:ascii="Calibri" w:hAnsi="Calibri" w:cs="Calibri"/>
          <w:sz w:val="22"/>
          <w:szCs w:val="22"/>
          <w:lang w:val="hr-HR" w:eastAsia="hr-HR"/>
        </w:rPr>
        <w:t>u okviru programa osigurana su 23 kredita u ukupnom iznosu od 334,7 milijuna kuna.</w:t>
      </w:r>
    </w:p>
    <w:p w14:paraId="0DC61768" w14:textId="77777777" w:rsidR="008D35FB" w:rsidRDefault="008D35FB" w:rsidP="00122EBC">
      <w:pPr>
        <w:spacing w:line="276" w:lineRule="auto"/>
        <w:ind w:right="-1"/>
        <w:jc w:val="both"/>
        <w:rPr>
          <w:rFonts w:ascii="Calibri" w:hAnsi="Calibri" w:cs="Calibri"/>
          <w:sz w:val="22"/>
          <w:szCs w:val="22"/>
          <w:lang w:val="hr-HR" w:eastAsia="hr-HR"/>
        </w:rPr>
      </w:pPr>
    </w:p>
    <w:p w14:paraId="1748D84C" w14:textId="77777777" w:rsidR="00382CF2" w:rsidRDefault="00054989" w:rsidP="00122EBC">
      <w:pPr>
        <w:spacing w:line="276" w:lineRule="auto"/>
        <w:ind w:right="-1"/>
        <w:jc w:val="both"/>
      </w:pPr>
      <w:r>
        <w:rPr>
          <w:rStyle w:val="Zadanifontodlomka1"/>
          <w:rFonts w:ascii="Calibri" w:hAnsi="Calibri" w:cs="Calibri"/>
          <w:b/>
          <w:bCs/>
          <w:sz w:val="22"/>
          <w:szCs w:val="22"/>
          <w:lang w:val="hr-HR" w:eastAsia="hr-HR"/>
        </w:rPr>
        <w:t>POJEDINAČNO OSIGURANJE KREDITA ZA LIKVIDNOST IZVOZNIKA -</w:t>
      </w:r>
      <w:r>
        <w:rPr>
          <w:rStyle w:val="Zadanifontodlomka1"/>
          <w:lang w:eastAsia="hr-HR"/>
        </w:rPr>
        <w:t xml:space="preserve"> </w:t>
      </w:r>
      <w:r>
        <w:rPr>
          <w:rStyle w:val="Zadanifontodlomka1"/>
          <w:rFonts w:ascii="Calibri" w:hAnsi="Calibri" w:cs="Calibri"/>
          <w:b/>
          <w:bCs/>
          <w:sz w:val="22"/>
          <w:szCs w:val="22"/>
          <w:lang w:val="hr-HR" w:eastAsia="hr-HR"/>
        </w:rPr>
        <w:t xml:space="preserve">MJERA POMOĆI GOSPODARSTVU RH NAKON RUSKE AGRESIJE </w:t>
      </w:r>
      <w:r>
        <w:rPr>
          <w:rStyle w:val="Zadanifontodlomka1"/>
          <w:rFonts w:ascii="Calibri" w:eastAsia="SimSun" w:hAnsi="Calibri" w:cs="Calibri"/>
          <w:b/>
          <w:bCs/>
          <w:sz w:val="22"/>
          <w:szCs w:val="22"/>
          <w:lang w:val="hr-HR"/>
        </w:rPr>
        <w:t>NA UKRAJINU</w:t>
      </w:r>
    </w:p>
    <w:p w14:paraId="1748D84E" w14:textId="52408FCB" w:rsidR="00382CF2" w:rsidRDefault="00054989" w:rsidP="00122EBC">
      <w:pPr>
        <w:spacing w:line="276" w:lineRule="auto"/>
        <w:ind w:right="-1"/>
        <w:jc w:val="both"/>
        <w:rPr>
          <w:rStyle w:val="Zadanifontodlomka1"/>
          <w:rFonts w:ascii="Calibri" w:hAnsi="Calibri" w:cs="Calibri"/>
          <w:sz w:val="22"/>
          <w:szCs w:val="22"/>
          <w:lang w:val="hr-HR" w:eastAsia="hr-HR"/>
        </w:rPr>
      </w:pPr>
      <w:r>
        <w:rPr>
          <w:rStyle w:val="Zadanifontodlomka1"/>
          <w:rFonts w:ascii="Calibri" w:eastAsia="SimSun" w:hAnsi="Calibri" w:cs="Calibri"/>
          <w:sz w:val="22"/>
          <w:szCs w:val="22"/>
          <w:lang w:val="hr-HR"/>
        </w:rPr>
        <w:t>Predmetni program uvede</w:t>
      </w:r>
      <w:r>
        <w:rPr>
          <w:rStyle w:val="Zadanifontodlomka1"/>
          <w:rFonts w:ascii="Calibri" w:hAnsi="Calibri" w:cs="Calibri"/>
          <w:sz w:val="22"/>
          <w:szCs w:val="22"/>
          <w:lang w:val="hr-HR" w:eastAsia="hr-HR"/>
        </w:rPr>
        <w:t>n je u drugoj polovici 2022. godine temeljem Privremenog kriznog okvira Europske komisije. Do 31. prosinca 2022.</w:t>
      </w:r>
      <w:r w:rsidR="00A01D7A">
        <w:rPr>
          <w:rStyle w:val="Zadanifontodlomka1"/>
          <w:rFonts w:ascii="Calibri" w:hAnsi="Calibri" w:cs="Calibri"/>
          <w:sz w:val="22"/>
          <w:szCs w:val="22"/>
          <w:lang w:val="hr-HR" w:eastAsia="hr-HR"/>
        </w:rPr>
        <w:t xml:space="preserve"> </w:t>
      </w:r>
      <w:r>
        <w:rPr>
          <w:rStyle w:val="Zadanifontodlomka1"/>
          <w:rFonts w:ascii="Calibri" w:hAnsi="Calibri" w:cs="Calibri"/>
          <w:sz w:val="22"/>
          <w:szCs w:val="22"/>
          <w:lang w:val="hr-HR" w:eastAsia="hr-HR"/>
        </w:rPr>
        <w:t>u okviru programa osigurana su 2 kredita u ukupnom iznosu od 41,4 milijuna kuna.</w:t>
      </w:r>
    </w:p>
    <w:p w14:paraId="10EE1AD9" w14:textId="77777777" w:rsidR="008D35FB" w:rsidRDefault="008D35FB" w:rsidP="00E23982">
      <w:pPr>
        <w:spacing w:line="276" w:lineRule="auto"/>
        <w:ind w:right="-285"/>
        <w:jc w:val="both"/>
        <w:rPr>
          <w:rFonts w:ascii="Calibri" w:eastAsia="SimSun" w:hAnsi="Calibri" w:cs="Calibri"/>
          <w:sz w:val="22"/>
          <w:szCs w:val="22"/>
          <w:lang w:val="hr-HR"/>
        </w:rPr>
      </w:pPr>
    </w:p>
    <w:p w14:paraId="1748D84F" w14:textId="77777777" w:rsidR="00382CF2" w:rsidRDefault="00054989" w:rsidP="00E23982">
      <w:pPr>
        <w:spacing w:line="276" w:lineRule="auto"/>
        <w:jc w:val="both"/>
        <w:rPr>
          <w:rFonts w:ascii="Calibri" w:eastAsia="SimSun" w:hAnsi="Calibri" w:cs="Calibri"/>
          <w:b/>
          <w:sz w:val="22"/>
          <w:szCs w:val="22"/>
          <w:lang w:val="hr-HR"/>
        </w:rPr>
      </w:pPr>
      <w:r>
        <w:rPr>
          <w:rFonts w:ascii="Calibri" w:eastAsia="SimSun" w:hAnsi="Calibri" w:cs="Calibri"/>
          <w:b/>
          <w:sz w:val="22"/>
          <w:szCs w:val="22"/>
          <w:lang w:val="hr-HR"/>
        </w:rPr>
        <w:t xml:space="preserve">ISPLAĆENE ODŠTETE </w:t>
      </w:r>
    </w:p>
    <w:p w14:paraId="1748D850" w14:textId="644E0487" w:rsidR="00382CF2" w:rsidRDefault="00054989">
      <w:pPr>
        <w:spacing w:before="120" w:after="120" w:line="276" w:lineRule="auto"/>
        <w:jc w:val="both"/>
      </w:pPr>
      <w:r>
        <w:rPr>
          <w:rStyle w:val="Zadanifontodlomka1"/>
          <w:rFonts w:ascii="Calibri" w:hAnsi="Calibri" w:cs="Calibri"/>
          <w:sz w:val="22"/>
          <w:szCs w:val="22"/>
          <w:lang w:val="hr-HR" w:eastAsia="hr-HR"/>
        </w:rPr>
        <w:t>Tijekom 2022.</w:t>
      </w:r>
      <w:r w:rsidR="00A01D7A">
        <w:rPr>
          <w:rStyle w:val="Zadanifontodlomka1"/>
          <w:rFonts w:ascii="Calibri" w:hAnsi="Calibri" w:cs="Calibri"/>
          <w:sz w:val="22"/>
          <w:szCs w:val="22"/>
          <w:lang w:val="hr-HR" w:eastAsia="hr-HR"/>
        </w:rPr>
        <w:t xml:space="preserve"> </w:t>
      </w:r>
      <w:r>
        <w:rPr>
          <w:rStyle w:val="Zadanifontodlomka1"/>
          <w:rFonts w:ascii="Calibri" w:hAnsi="Calibri" w:cs="Calibri"/>
          <w:sz w:val="22"/>
          <w:szCs w:val="22"/>
          <w:lang w:val="hr-HR" w:eastAsia="hr-HR"/>
        </w:rPr>
        <w:t xml:space="preserve">isplaćeno je </w:t>
      </w:r>
      <w:r w:rsidR="000627AD">
        <w:rPr>
          <w:rStyle w:val="Zadanifontodlomka1"/>
          <w:rFonts w:ascii="Calibri" w:hAnsi="Calibri" w:cs="Calibri"/>
          <w:sz w:val="22"/>
          <w:szCs w:val="22"/>
          <w:lang w:val="hr-HR" w:eastAsia="hr-HR"/>
        </w:rPr>
        <w:t xml:space="preserve">osam </w:t>
      </w:r>
      <w:r>
        <w:rPr>
          <w:rStyle w:val="Zadanifontodlomka1"/>
          <w:rFonts w:ascii="Calibri" w:hAnsi="Calibri" w:cs="Calibri"/>
          <w:sz w:val="22"/>
          <w:szCs w:val="22"/>
          <w:lang w:val="hr-HR" w:eastAsia="hr-HR"/>
        </w:rPr>
        <w:t>odšteta ukupnog iznosa 49,88 milijuna kuna</w:t>
      </w:r>
      <w:r w:rsidR="00A01D7A">
        <w:rPr>
          <w:rStyle w:val="Zadanifontodlomka1"/>
          <w:rFonts w:ascii="Calibri" w:hAnsi="Calibri" w:cs="Calibri"/>
          <w:sz w:val="22"/>
          <w:szCs w:val="22"/>
          <w:lang w:val="hr-HR" w:eastAsia="hr-HR"/>
        </w:rPr>
        <w:t>,</w:t>
      </w:r>
      <w:r>
        <w:rPr>
          <w:rStyle w:val="Zadanifontodlomka1"/>
          <w:rFonts w:ascii="Calibri" w:hAnsi="Calibri" w:cs="Calibri"/>
          <w:sz w:val="22"/>
          <w:szCs w:val="22"/>
          <w:lang w:val="hr-HR" w:eastAsia="hr-HR"/>
        </w:rPr>
        <w:t xml:space="preserve"> što je treći najveći godišnji iznos isplaćenih odšteta od početka obavljanja poslova osiguranja izvoza. Od navedenog broja isplaćenih odšteta, </w:t>
      </w:r>
      <w:r w:rsidR="000627AD">
        <w:rPr>
          <w:rStyle w:val="Zadanifontodlomka1"/>
          <w:rFonts w:ascii="Calibri" w:hAnsi="Calibri" w:cs="Calibri"/>
          <w:sz w:val="22"/>
          <w:szCs w:val="22"/>
          <w:lang w:val="hr-HR" w:eastAsia="hr-HR"/>
        </w:rPr>
        <w:t xml:space="preserve">pet </w:t>
      </w:r>
      <w:r>
        <w:rPr>
          <w:rStyle w:val="Zadanifontodlomka1"/>
          <w:rFonts w:ascii="Calibri" w:hAnsi="Calibri" w:cs="Calibri"/>
          <w:sz w:val="22"/>
          <w:szCs w:val="22"/>
          <w:lang w:val="hr-HR" w:eastAsia="hr-HR"/>
        </w:rPr>
        <w:t xml:space="preserve">odšteta ukupnog iznosa 49,14 milijuna kuna odnosi se na odštete isplaćene u okviru programa osiguranja portfelja kredita za likvidnost izvoznika COVID-19, jedna odšteta u iznosu od 301,45 tisuća kuna isplaćena je u okviru programa osiguranja portfelja kredita za obrtna sredstva za izvoznike, a preostale </w:t>
      </w:r>
      <w:r w:rsidR="000627AD">
        <w:rPr>
          <w:rStyle w:val="Zadanifontodlomka1"/>
          <w:rFonts w:ascii="Calibri" w:hAnsi="Calibri" w:cs="Calibri"/>
          <w:sz w:val="22"/>
          <w:szCs w:val="22"/>
          <w:lang w:val="hr-HR" w:eastAsia="hr-HR"/>
        </w:rPr>
        <w:t xml:space="preserve">dvije </w:t>
      </w:r>
      <w:r>
        <w:rPr>
          <w:rStyle w:val="Zadanifontodlomka1"/>
          <w:rFonts w:ascii="Calibri" w:hAnsi="Calibri" w:cs="Calibri"/>
          <w:sz w:val="22"/>
          <w:szCs w:val="22"/>
          <w:lang w:val="hr-HR" w:eastAsia="hr-HR"/>
        </w:rPr>
        <w:t xml:space="preserve">odštete, ukupnog iznosa 425,60 tisuća kuna, odnose se na odštete isplaćene po programu osiguranja </w:t>
      </w:r>
      <w:r>
        <w:rPr>
          <w:rStyle w:val="Zadanifontodlomka1"/>
          <w:rFonts w:ascii="Calibri" w:eastAsia="SimSun" w:hAnsi="Calibri" w:cs="Calibri"/>
          <w:sz w:val="22"/>
          <w:szCs w:val="22"/>
          <w:lang w:val="hr-HR"/>
        </w:rPr>
        <w:t>kratkoročnih izvoznih potraživanja. Istovremeno je, po svim programima osiguranja, osiguranicima isplaćeno 39,65 tisuća kuna na ime naknade troškova koji su nastali u svrhu umanjenja potencijalnih šteta ili u svrhu regresne naplate.</w:t>
      </w:r>
    </w:p>
    <w:p w14:paraId="1748D852" w14:textId="34BFFA94" w:rsidR="00382CF2" w:rsidRDefault="00054989" w:rsidP="00E23982">
      <w:pPr>
        <w:spacing w:line="276" w:lineRule="auto"/>
        <w:jc w:val="both"/>
        <w:rPr>
          <w:rStyle w:val="Zadanifontodlomka1"/>
          <w:rFonts w:ascii="Calibri" w:hAnsi="Calibri" w:cs="Calibri"/>
          <w:sz w:val="22"/>
          <w:szCs w:val="22"/>
          <w:lang w:val="hr-HR" w:eastAsia="hr-HR"/>
        </w:rPr>
      </w:pPr>
      <w:r>
        <w:rPr>
          <w:rStyle w:val="Zadanifontodlomka1"/>
          <w:rFonts w:ascii="Calibri" w:eastAsia="SimSun" w:hAnsi="Calibri" w:cs="Calibri"/>
          <w:sz w:val="22"/>
          <w:szCs w:val="22"/>
          <w:lang w:val="hr-HR"/>
        </w:rPr>
        <w:t>U 2022. godini zaprimljeno je 13 obavijesti o neplaćanju dužnika, pri čemu se 6 obavijesti odnosi na program osiguranja portfelja kredita za likvidnost izvoznika COVID-19, 5 na programe osiguranja kratkoročnih izvoznih</w:t>
      </w:r>
      <w:r>
        <w:rPr>
          <w:rStyle w:val="Zadanifontodlomka1"/>
          <w:rFonts w:ascii="Calibri" w:hAnsi="Calibri" w:cs="Calibri"/>
          <w:sz w:val="22"/>
          <w:szCs w:val="22"/>
          <w:lang w:val="hr-HR" w:eastAsia="hr-HR"/>
        </w:rPr>
        <w:t xml:space="preserve"> potraživanja te po jedna na program osiguranja šteta tijekom proizvodnje i program osiguranja kredita dobavljača.</w:t>
      </w:r>
    </w:p>
    <w:p w14:paraId="309B411E" w14:textId="77777777" w:rsidR="008D35FB" w:rsidRDefault="008D35FB" w:rsidP="00E23982">
      <w:pPr>
        <w:spacing w:line="276" w:lineRule="auto"/>
        <w:jc w:val="both"/>
        <w:rPr>
          <w:rFonts w:ascii="Calibri" w:hAnsi="Calibri" w:cs="Calibri"/>
          <w:sz w:val="22"/>
          <w:szCs w:val="22"/>
          <w:lang w:val="hr-HR" w:eastAsia="hr-HR"/>
        </w:rPr>
      </w:pPr>
    </w:p>
    <w:p w14:paraId="1748D853" w14:textId="77777777" w:rsidR="00382CF2" w:rsidRDefault="00054989" w:rsidP="00E23982">
      <w:pPr>
        <w:spacing w:line="276" w:lineRule="auto"/>
        <w:jc w:val="both"/>
        <w:rPr>
          <w:rFonts w:ascii="Calibri" w:eastAsia="SimSun" w:hAnsi="Calibri" w:cs="Calibri"/>
          <w:b/>
          <w:sz w:val="22"/>
          <w:szCs w:val="22"/>
          <w:lang w:val="hr-HR"/>
        </w:rPr>
      </w:pPr>
      <w:r>
        <w:rPr>
          <w:rFonts w:ascii="Calibri" w:eastAsia="SimSun" w:hAnsi="Calibri" w:cs="Calibri"/>
          <w:b/>
          <w:sz w:val="22"/>
          <w:szCs w:val="22"/>
          <w:lang w:val="hr-HR"/>
        </w:rPr>
        <w:t>REGRESNE NAPLATE OD DUŽNIKA</w:t>
      </w:r>
    </w:p>
    <w:p w14:paraId="17E54665" w14:textId="39316BCE" w:rsidR="00122EBC" w:rsidRDefault="00054989" w:rsidP="00122EBC">
      <w:pPr>
        <w:spacing w:after="160" w:line="276" w:lineRule="auto"/>
        <w:jc w:val="both"/>
        <w:rPr>
          <w:rStyle w:val="normaltextrun"/>
          <w:rFonts w:ascii="Calibri" w:hAnsi="Calibri" w:cs="Calibri"/>
          <w:color w:val="000000"/>
          <w:sz w:val="22"/>
          <w:szCs w:val="22"/>
          <w:shd w:val="clear" w:color="auto" w:fill="FFFFFF"/>
          <w:lang w:val="hr-HR"/>
        </w:rPr>
      </w:pPr>
      <w:r>
        <w:rPr>
          <w:rStyle w:val="normaltextrun"/>
          <w:rFonts w:ascii="Calibri" w:hAnsi="Calibri" w:cs="Calibri"/>
          <w:color w:val="000000"/>
          <w:sz w:val="22"/>
          <w:szCs w:val="22"/>
          <w:shd w:val="clear" w:color="auto" w:fill="FFFFFF"/>
          <w:lang w:val="hr-HR"/>
        </w:rPr>
        <w:t>U 2022. regresno je od dužnika naplaćeno 103,27 tisuća kuna. Navedeni iznos regresne naplate značajno je smanjen u odnosu na prethodnu godinu kada je ostvareno 102,72 milijuna kuna regresne naplate jer su u 2021. ostvarene regresne naplate u više predmeta velike vrijednosti, uključujući i predmet u kojem je ostvaren rekordni iznos regresne naplate u jednom predmetu od početka obavljanja poslova osiguranja izvoza.</w:t>
      </w:r>
    </w:p>
    <w:p w14:paraId="29B50934" w14:textId="77777777" w:rsidR="00122EBC" w:rsidRDefault="00122EBC">
      <w:pPr>
        <w:suppressAutoHyphens w:val="0"/>
        <w:rPr>
          <w:rStyle w:val="normaltextrun"/>
          <w:rFonts w:ascii="Calibri" w:hAnsi="Calibri" w:cs="Calibri"/>
          <w:color w:val="000000"/>
          <w:sz w:val="22"/>
          <w:szCs w:val="22"/>
          <w:shd w:val="clear" w:color="auto" w:fill="FFFFFF"/>
          <w:lang w:val="hr-HR"/>
        </w:rPr>
      </w:pPr>
      <w:r>
        <w:rPr>
          <w:rStyle w:val="normaltextrun"/>
          <w:rFonts w:ascii="Calibri" w:hAnsi="Calibri" w:cs="Calibri"/>
          <w:color w:val="000000"/>
          <w:sz w:val="22"/>
          <w:szCs w:val="22"/>
          <w:shd w:val="clear" w:color="auto" w:fill="FFFFFF"/>
          <w:lang w:val="hr-HR"/>
        </w:rPr>
        <w:br w:type="page"/>
      </w:r>
    </w:p>
    <w:p w14:paraId="1748D856" w14:textId="77777777" w:rsidR="00382CF2" w:rsidRDefault="00054989">
      <w:pPr>
        <w:keepNext/>
        <w:keepLines/>
        <w:pBdr>
          <w:bottom w:val="single" w:sz="4" w:space="2" w:color="B2B2B2"/>
        </w:pBdr>
        <w:spacing w:before="360" w:after="120"/>
        <w:outlineLvl w:val="0"/>
        <w:rPr>
          <w:rFonts w:ascii="Calibri" w:eastAsia="SimHei" w:hAnsi="Calibri" w:cs="Calibri"/>
          <w:b/>
          <w:bCs/>
          <w:sz w:val="22"/>
          <w:szCs w:val="22"/>
          <w:lang w:val="hr-HR"/>
        </w:rPr>
      </w:pPr>
      <w:bookmarkStart w:id="52" w:name="_Toc129083718"/>
      <w:bookmarkStart w:id="53" w:name="_Toc255898376"/>
      <w:bookmarkEnd w:id="49"/>
      <w:bookmarkEnd w:id="50"/>
      <w:bookmarkEnd w:id="51"/>
      <w:r>
        <w:rPr>
          <w:rFonts w:ascii="Calibri" w:eastAsia="SimHei" w:hAnsi="Calibri" w:cs="Calibri"/>
          <w:b/>
          <w:bCs/>
          <w:sz w:val="22"/>
          <w:szCs w:val="22"/>
          <w:lang w:val="hr-HR"/>
        </w:rPr>
        <w:lastRenderedPageBreak/>
        <w:t>UPRAVLJANJE RIZICIMA</w:t>
      </w:r>
      <w:bookmarkEnd w:id="52"/>
    </w:p>
    <w:p w14:paraId="1748D857" w14:textId="132FF46C" w:rsidR="00382CF2" w:rsidRDefault="00AE0656">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Temeljem</w:t>
      </w:r>
      <w:r w:rsidR="00054989">
        <w:rPr>
          <w:rFonts w:ascii="Calibri" w:eastAsia="SimSun" w:hAnsi="Calibri" w:cs="Calibri"/>
          <w:sz w:val="22"/>
          <w:szCs w:val="22"/>
          <w:lang w:val="hr-HR"/>
        </w:rPr>
        <w:t xml:space="preserve"> Zakona o HBOR-u Banka je dužna rizike u poslovanju svoditi na najmanju mjeru rukovodeći se načelima bankarskog poslovanja. </w:t>
      </w:r>
    </w:p>
    <w:p w14:paraId="1748D858" w14:textId="447AE914" w:rsidR="00382CF2" w:rsidRDefault="0051526D">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w:t>
      </w:r>
      <w:r w:rsidR="00121BA4">
        <w:rPr>
          <w:rFonts w:ascii="Calibri" w:eastAsia="SimSun" w:hAnsi="Calibri" w:cs="Calibri"/>
          <w:sz w:val="22"/>
          <w:szCs w:val="22"/>
          <w:lang w:val="hr-HR"/>
        </w:rPr>
        <w:t xml:space="preserve"> </w:t>
      </w:r>
      <w:r w:rsidR="00054989">
        <w:rPr>
          <w:rFonts w:ascii="Calibri" w:eastAsia="SimSun" w:hAnsi="Calibri" w:cs="Calibri"/>
          <w:sz w:val="22"/>
          <w:szCs w:val="22"/>
          <w:lang w:val="hr-HR"/>
        </w:rPr>
        <w:t>procesu upravljanja rizicima</w:t>
      </w:r>
      <w:r>
        <w:rPr>
          <w:rFonts w:ascii="Calibri" w:eastAsia="SimSun" w:hAnsi="Calibri" w:cs="Calibri"/>
          <w:sz w:val="22"/>
          <w:szCs w:val="22"/>
          <w:lang w:val="hr-HR"/>
        </w:rPr>
        <w:t>,</w:t>
      </w:r>
      <w:r w:rsidR="00054989">
        <w:rPr>
          <w:rFonts w:ascii="Calibri" w:eastAsia="SimSun" w:hAnsi="Calibri" w:cs="Calibri"/>
          <w:sz w:val="22"/>
          <w:szCs w:val="22"/>
          <w:lang w:val="hr-HR"/>
        </w:rPr>
        <w:t xml:space="preserve"> </w:t>
      </w:r>
      <w:r>
        <w:rPr>
          <w:rFonts w:ascii="Calibri" w:eastAsia="SimSun" w:hAnsi="Calibri" w:cs="Calibri"/>
          <w:sz w:val="22"/>
          <w:szCs w:val="22"/>
          <w:lang w:val="hr-HR"/>
        </w:rPr>
        <w:t xml:space="preserve">HBOR </w:t>
      </w:r>
      <w:r w:rsidR="00054989">
        <w:rPr>
          <w:rFonts w:ascii="Calibri" w:eastAsia="SimSun" w:hAnsi="Calibri" w:cs="Calibri"/>
          <w:sz w:val="22"/>
          <w:szCs w:val="22"/>
          <w:lang w:val="hr-HR"/>
        </w:rPr>
        <w:t xml:space="preserve">kontinuirano utvrđuje, procjenjuje, odnosno mjeri, prati, ovladava i kontrolira rizike kojima je u poslovanju izložen ili bi mogao biti izložen te o njima izvještava nadležna tijela. Navedenim postupcima i odgovarajućim internim aktima osiguran je sveobuhvatan i cjelovit sustav upravljanja rizicima. Najznačajniji rizici kojima je HBOR u svakodnevnom poslovanju izložen su kreditni rizik, rizik likvidnosti, kamatni rizik, valutni rizik, operativni rizik i rizik eksternalizacije. Navedenim rizicima svakodnevno se upravlja na temelju politika, pravilnika, procedura, metodologija, uputa i sustava limita, kontrola te odluka/zaključaka Nadzornog odbora, Uprave i </w:t>
      </w:r>
      <w:r w:rsidR="00AE0176">
        <w:rPr>
          <w:rFonts w:ascii="Calibri" w:eastAsia="SimSun" w:hAnsi="Calibri" w:cs="Calibri"/>
          <w:sz w:val="22"/>
          <w:szCs w:val="22"/>
          <w:lang w:val="hr-HR"/>
        </w:rPr>
        <w:t xml:space="preserve">Odbora </w:t>
      </w:r>
      <w:r w:rsidR="00054989">
        <w:rPr>
          <w:rFonts w:ascii="Calibri" w:eastAsia="SimSun" w:hAnsi="Calibri" w:cs="Calibri"/>
          <w:sz w:val="22"/>
          <w:szCs w:val="22"/>
          <w:lang w:val="hr-HR"/>
        </w:rPr>
        <w:t>za upravljanje rizicima.</w:t>
      </w:r>
    </w:p>
    <w:p w14:paraId="1748D859" w14:textId="3A4C8380"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HBOR ima funkcionalno i organizacijski odvojenu i neovisnu organizacijsku jedinicu za kontrolu rizika u poslovanju koja je neposredno odgovorna Upravi. </w:t>
      </w:r>
      <w:r w:rsidR="007D35D5">
        <w:rPr>
          <w:rFonts w:ascii="Calibri" w:eastAsia="SimSun" w:hAnsi="Calibri" w:cs="Calibri"/>
          <w:sz w:val="22"/>
          <w:szCs w:val="22"/>
          <w:lang w:val="hr-HR"/>
        </w:rPr>
        <w:t xml:space="preserve">Navedena </w:t>
      </w:r>
      <w:r>
        <w:rPr>
          <w:rFonts w:ascii="Calibri" w:eastAsia="SimSun" w:hAnsi="Calibri" w:cs="Calibri"/>
          <w:sz w:val="22"/>
          <w:szCs w:val="22"/>
          <w:lang w:val="hr-HR"/>
        </w:rPr>
        <w:t>organizacijska jedinica odgovorna je za utvrđivanje, procjenu, odnosno mjerenje, nadzor i kontrolu rizika kojima je Banka u svom poslovanju izložena ili bi mogla biti izložena. Svoju funkciju ostvaruje analizom te procjenom, odnosno mjerenjem rizika, razvojem politika, pravilnika, procedura i metodologija i uputa vezanih za upravljanje rizicima, nadzorom i praćenjem njihove primjene, predlaganjem i kontrolom poštivanja usvojenih limita, davanjem prijedloga i preporuka za primjereno upravljanje rizicima te izvješćivanjem nadležnih tijela.</w:t>
      </w:r>
    </w:p>
    <w:p w14:paraId="1748D85A" w14:textId="245D9A2C"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Pri procjeni, odnosno mjerenju rizika, HBOR uvažava povijesne podatke, planove poslovanja, trenutne i očekivane tržišne uvjete te specifičnosti Banke kao posebne financijske institucije. Rezultati procjene, odnosno mjerenja, provedenih analiza te testiranja na stres izlažu se na sjednicama odbora za upravljanje rizicima, Uprave i Nadzornog odbora. U svrhu praćenja i kontrole rizika utvrđeni su sustavi limita za upravljanje kreditnim rizikom, rizikom likvidnosti, kamatnim rizikom i valutnim rizikom. Nadležna tijela sustavno se izvještava o: kvaliteti kreditnog portfelja, velikoj izloženosti i najvišoj dopuštenoj izloženosti, adekvatnosti regulatornog kapitala, naplati potraživanja i rizičnih plasmana, promjenama internih rejtinga poslovnih banaka i poduzetim aktivnostima u slučaju pogoršanja istih, nizu pokazatelja likvidnosti (</w:t>
      </w:r>
      <w:bookmarkStart w:id="54" w:name="OLE_LINK4"/>
      <w:r>
        <w:rPr>
          <w:rFonts w:ascii="Calibri" w:eastAsia="SimSun" w:hAnsi="Calibri" w:cs="Calibri"/>
          <w:sz w:val="22"/>
          <w:szCs w:val="22"/>
          <w:lang w:val="hr-HR"/>
        </w:rPr>
        <w:t xml:space="preserve">koeficijent likvidnosne pokrivenosti </w:t>
      </w:r>
      <w:bookmarkEnd w:id="54"/>
      <w:r>
        <w:rPr>
          <w:rFonts w:ascii="Calibri" w:eastAsia="SimSun" w:hAnsi="Calibri" w:cs="Calibri"/>
          <w:sz w:val="22"/>
          <w:szCs w:val="22"/>
          <w:lang w:val="hr-HR"/>
        </w:rPr>
        <w:t xml:space="preserve">(LCR), omjer neto stabilnih izvora financiranja (NSFR), period preživljavanja), kao i o projekcijama kretanja likvidnosti, projekcijama otvorenosti devizne pozicije, rizičnim vrijednostima, utjecaju promjena deviznih tečajeva i kamatnih stopa na rezultat poslovanja, kamatnom jazu, projekcijama prosječnih ponderiranih kamatnih stopa na izvore i plasmane i </w:t>
      </w:r>
      <w:r w:rsidR="00A415CF">
        <w:rPr>
          <w:rFonts w:ascii="Calibri" w:eastAsia="SimSun" w:hAnsi="Calibri" w:cs="Calibri"/>
          <w:sz w:val="22"/>
          <w:szCs w:val="22"/>
          <w:lang w:val="hr-HR"/>
        </w:rPr>
        <w:t>dr</w:t>
      </w:r>
      <w:r>
        <w:rPr>
          <w:rFonts w:ascii="Calibri" w:eastAsia="SimSun" w:hAnsi="Calibri" w:cs="Calibri"/>
          <w:sz w:val="22"/>
          <w:szCs w:val="22"/>
          <w:lang w:val="hr-HR"/>
        </w:rPr>
        <w:t>. Dinamika izvještavanja te metodologije mjerenja i procjene rizika propisane su internim aktima Banke.</w:t>
      </w:r>
    </w:p>
    <w:p w14:paraId="1748D85B"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Banka provodi analize osjetljivosti i analize scenarija pod pretpostavkom promjene jednoga, odnosno više faktora rizika u redovnim i stresnim okolnostima te se o rezultatima izvještavaju nadležna tijela HBOR-a. Kontinuirano se razvijaju sustavi proaktivnog upravljanja rizicima radi smanjenja potencijalnih budućih rizika.</w:t>
      </w:r>
    </w:p>
    <w:p w14:paraId="1748D85C"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Uprava HBOR-a odgovorna je za provođenje strategije upravljanja rizicima te uspostavljanje i provođenje učinkovitog i pouzdanog sustava upravljanja rizicima. Za ostvarenje svoje funkcije Uprava je svoja ovlaštenja delegirala na tri odbora za upravljanje rizicima:</w:t>
      </w:r>
    </w:p>
    <w:p w14:paraId="1748D85D" w14:textId="77777777" w:rsidR="00382CF2" w:rsidRDefault="00054989">
      <w:pPr>
        <w:pStyle w:val="Odlomakpopisa1"/>
        <w:numPr>
          <w:ilvl w:val="0"/>
          <w:numId w:val="13"/>
        </w:numPr>
        <w:spacing w:line="276" w:lineRule="auto"/>
        <w:jc w:val="both"/>
        <w:textAlignment w:val="baseline"/>
        <w:rPr>
          <w:rFonts w:ascii="Calibri" w:hAnsi="Calibri" w:cs="Calibri"/>
          <w:sz w:val="22"/>
          <w:szCs w:val="22"/>
          <w:lang w:val="hr-HR" w:eastAsia="hr-HR"/>
        </w:rPr>
      </w:pPr>
      <w:r>
        <w:rPr>
          <w:rFonts w:ascii="Calibri" w:hAnsi="Calibri" w:cs="Calibri"/>
          <w:sz w:val="22"/>
          <w:szCs w:val="22"/>
          <w:lang w:val="hr-HR" w:eastAsia="hr-HR"/>
        </w:rPr>
        <w:t xml:space="preserve">Odbor za upravljanje aktivom i pasivom - upravlja rizikom likvidnosti, kamatnim rizikom i valutnim rizikom u okviru propisanih politika, pravilnika i procedura, a kojima je regulirano ovo područje, </w:t>
      </w:r>
    </w:p>
    <w:p w14:paraId="1748D85E" w14:textId="77777777" w:rsidR="00382CF2" w:rsidRDefault="00054989">
      <w:pPr>
        <w:pStyle w:val="Odlomakpopisa1"/>
        <w:numPr>
          <w:ilvl w:val="0"/>
          <w:numId w:val="13"/>
        </w:numPr>
        <w:spacing w:line="276" w:lineRule="auto"/>
        <w:jc w:val="both"/>
        <w:textAlignment w:val="baseline"/>
        <w:rPr>
          <w:rFonts w:ascii="Calibri" w:hAnsi="Calibri" w:cs="Calibri"/>
          <w:sz w:val="22"/>
          <w:szCs w:val="22"/>
          <w:lang w:val="hr-HR" w:eastAsia="hr-HR"/>
        </w:rPr>
      </w:pPr>
      <w:r>
        <w:rPr>
          <w:rFonts w:ascii="Calibri" w:hAnsi="Calibri" w:cs="Calibri"/>
          <w:sz w:val="22"/>
          <w:szCs w:val="22"/>
          <w:lang w:val="hr-HR" w:eastAsia="hr-HR"/>
        </w:rPr>
        <w:t>Odbor za procjenu i mjerenje kreditnog rizika - upravlja kreditnim rizikom u okviru propisanih politika, pravilnika i ostalih internih akata vezanih za kreditni rizik,</w:t>
      </w:r>
    </w:p>
    <w:p w14:paraId="1748D85F" w14:textId="77777777" w:rsidR="00382CF2" w:rsidRDefault="00054989">
      <w:pPr>
        <w:pStyle w:val="Odlomakpopisa1"/>
        <w:numPr>
          <w:ilvl w:val="0"/>
          <w:numId w:val="13"/>
        </w:numPr>
        <w:spacing w:line="276" w:lineRule="auto"/>
        <w:jc w:val="both"/>
        <w:textAlignment w:val="baseline"/>
        <w:rPr>
          <w:rFonts w:ascii="Calibri" w:hAnsi="Calibri" w:cs="Calibri"/>
          <w:sz w:val="22"/>
          <w:szCs w:val="22"/>
          <w:lang w:val="hr-HR" w:eastAsia="hr-HR"/>
        </w:rPr>
      </w:pPr>
      <w:r>
        <w:rPr>
          <w:rFonts w:ascii="Calibri" w:hAnsi="Calibri" w:cs="Calibri"/>
          <w:sz w:val="22"/>
          <w:szCs w:val="22"/>
          <w:lang w:val="hr-HR" w:eastAsia="hr-HR"/>
        </w:rPr>
        <w:t>Odbor za upravljanje informacijskim sustavom HBOR-a - upravlja resursima informacijskog sustava uz primjereno upravljanje rizicima koji proizlaze iz korištenja informacijske tehnologije.</w:t>
      </w:r>
    </w:p>
    <w:p w14:paraId="1748D860"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lastRenderedPageBreak/>
        <w:t>Strategija upravljanja rizicima usmjerena je prema postizanju i održavanju kvalitetnog i učinkovitog sustava upravljanja rizicima</w:t>
      </w:r>
      <w:bookmarkStart w:id="55" w:name="_Hlk126300712"/>
      <w:r>
        <w:rPr>
          <w:rFonts w:ascii="Calibri" w:eastAsia="SimSun" w:hAnsi="Calibri" w:cs="Calibri"/>
          <w:sz w:val="22"/>
          <w:szCs w:val="22"/>
          <w:lang w:val="hr-HR"/>
        </w:rPr>
        <w:t xml:space="preserve">, </w:t>
      </w:r>
      <w:bookmarkStart w:id="56" w:name="_Hlk126302896"/>
      <w:r>
        <w:rPr>
          <w:rFonts w:ascii="Calibri" w:eastAsia="SimSun" w:hAnsi="Calibri" w:cs="Calibri"/>
          <w:sz w:val="22"/>
          <w:szCs w:val="22"/>
          <w:lang w:val="hr-HR"/>
        </w:rPr>
        <w:t>na daljnji razvoj i unapređenje tog sustava u smjeru usklađenja s bankovnom regulativom te relevantnim preporukama i smjernicama, uvažavajući specifičnosti HBOR-a kao razvojne i izvozne banke i posebne financijske institucije</w:t>
      </w:r>
      <w:bookmarkEnd w:id="55"/>
      <w:bookmarkEnd w:id="56"/>
      <w:r>
        <w:rPr>
          <w:rFonts w:ascii="Calibri" w:eastAsia="SimSun" w:hAnsi="Calibri" w:cs="Calibri"/>
          <w:sz w:val="22"/>
          <w:szCs w:val="22"/>
          <w:lang w:val="hr-HR"/>
        </w:rPr>
        <w:t>.</w:t>
      </w:r>
    </w:p>
    <w:p w14:paraId="1748D861" w14:textId="77777777" w:rsidR="00382CF2" w:rsidRDefault="00382CF2">
      <w:pPr>
        <w:spacing w:before="120" w:after="120" w:line="276" w:lineRule="auto"/>
        <w:jc w:val="both"/>
        <w:rPr>
          <w:rFonts w:ascii="Calibri" w:eastAsia="SimSun" w:hAnsi="Calibri" w:cs="Calibri"/>
          <w:bCs/>
          <w:spacing w:val="-3"/>
          <w:sz w:val="22"/>
          <w:szCs w:val="22"/>
          <w:lang w:val="hr-HR"/>
        </w:rPr>
      </w:pPr>
    </w:p>
    <w:p w14:paraId="1748D862" w14:textId="77777777" w:rsidR="00382CF2" w:rsidRDefault="00054989">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 xml:space="preserve">Kreditni rizik </w:t>
      </w:r>
    </w:p>
    <w:p w14:paraId="1748D863" w14:textId="35F04734"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Banka kontrolira kreditni rizik putem kreditnih politika i pravilnika o upravljanju </w:t>
      </w:r>
      <w:r w:rsidR="00624084">
        <w:rPr>
          <w:rFonts w:ascii="Calibri" w:eastAsia="SimSun" w:hAnsi="Calibri" w:cs="Calibri"/>
          <w:sz w:val="22"/>
          <w:szCs w:val="22"/>
          <w:lang w:val="hr-HR"/>
        </w:rPr>
        <w:t xml:space="preserve">navedenim </w:t>
      </w:r>
      <w:r>
        <w:rPr>
          <w:rFonts w:ascii="Calibri" w:eastAsia="SimSun" w:hAnsi="Calibri" w:cs="Calibri"/>
          <w:sz w:val="22"/>
          <w:szCs w:val="22"/>
          <w:lang w:val="hr-HR"/>
        </w:rPr>
        <w:t>rizikom u kojima su utvrđeni sustavi unutarnjih kontrola s ciljem preventivnog djelovanja na rizik.</w:t>
      </w:r>
    </w:p>
    <w:p w14:paraId="1748D864"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Sustav upravljanja kreditnim rizikom čini najvažniji dio poslovne politike HBOR-a i bitan je čimbenik njezine strategije poslovanja zbog čega je ovo područje regulirano Politikom o upravljanju kreditnim rizikom i Pravilnikom o upravljanju kreditnim rizikom koji se primjenjuje na sve faze kreditnog procesa (od razvoja novih bankarskih proizvoda, zahtjeva za kredit, praćenja poslovanja klijenta do konačne otplate kredita).</w:t>
      </w:r>
    </w:p>
    <w:p w14:paraId="1748D865"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Uz Politiku i Pravilnik o upravljanju kreditnim rizikom propisane su metodologije namijenjene ocjeni poslovanja različitih ciljnih skupina klijenata.</w:t>
      </w:r>
    </w:p>
    <w:p w14:paraId="1748D866"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 svrhu ublažavanja kreditnog rizika i smanjenja troškova poslovanja, a u skladu sa Zakonom o HBOR-u, dio svojih plasmana Banka odobrava putem financijskih institucija koje snose rizik povrata plasmana krajnjeg korisnika. Radi lakše dostupnosti sredstava HBOR-a, dio svojih plasmana Banka plasira po modelima podjele rizika s poslovnim bankama prema kojima kreditne institucije i HBOR dijele rizik u unaprijed dogovorenim omjerima financiranja.</w:t>
      </w:r>
    </w:p>
    <w:p w14:paraId="1748D867"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Svi izravni plasmani i plasmani uz podjelu rizika uglavnom su osigurani hipotekom na nekretninama i, ako je to moguće, kao osiguranje od kreditnog rizika Banka pribavlja jamstvo HAMAG BICRO-a te ostale vrste jamstava i garancija. Ovisno o vrsti instrumenta osiguranja, kreditnom programu, općim uvjetima osiguranja ili odluci nadležnog tijela, Banka je odredila potreban omjer visine plasmana i vrijednosti osiguranja.</w:t>
      </w:r>
    </w:p>
    <w:p w14:paraId="1748D868" w14:textId="5DD4385A" w:rsidR="00382CF2" w:rsidRDefault="00054989">
      <w:pPr>
        <w:spacing w:before="120" w:after="120" w:line="276" w:lineRule="auto"/>
        <w:jc w:val="both"/>
      </w:pPr>
      <w:r>
        <w:rPr>
          <w:rStyle w:val="Zadanifontodlomka1"/>
          <w:rFonts w:ascii="Calibri" w:eastAsia="SimSun" w:hAnsi="Calibri" w:cs="Calibri"/>
          <w:sz w:val="22"/>
          <w:szCs w:val="22"/>
          <w:lang w:val="hr-HR"/>
        </w:rPr>
        <w:t xml:space="preserve">Banka kroz razvojne programe kreditiranja obuhvaća područje cijele Republike Hrvatske s naglaskom na potpomognuta područja. Kreditni rizik rasprostranjen je po geografskim područjima, djelatnostima, sektorima te kreditnim programima. Banka nastoji izbjeći pretjeranu koncentraciju kreditnog rizika te povoljnijim uvjetima i novim kreditnim potprogramima (proizvodima) potaknuti razvoj slabije razvijenih područja Republike Hrvatske u skladu sa Strategijom poslovanja HBOR-a za razdoblje od 2020. do 2024. </w:t>
      </w:r>
      <w:r w:rsidR="00CD6ED9">
        <w:rPr>
          <w:rStyle w:val="Zadanifontodlomka1"/>
          <w:rFonts w:ascii="Calibri" w:eastAsia="SimSun" w:hAnsi="Calibri" w:cs="Calibri"/>
          <w:sz w:val="22"/>
          <w:szCs w:val="22"/>
          <w:lang w:val="hr-HR"/>
        </w:rPr>
        <w:t xml:space="preserve">godine </w:t>
      </w:r>
      <w:r>
        <w:rPr>
          <w:rStyle w:val="Zadanifontodlomka1"/>
          <w:rFonts w:ascii="Calibri" w:eastAsia="SimSun" w:hAnsi="Calibri" w:cs="Calibri"/>
          <w:sz w:val="22"/>
          <w:szCs w:val="22"/>
          <w:lang w:val="hr-HR"/>
        </w:rPr>
        <w:t>i</w:t>
      </w:r>
      <w:r>
        <w:rPr>
          <w:rStyle w:val="Zadanifontodlomka1"/>
          <w:rFonts w:ascii="Calibri" w:eastAsia="SimSun" w:hAnsi="Calibri" w:cs="Calibri"/>
          <w:bCs/>
          <w:spacing w:val="-3"/>
          <w:sz w:val="22"/>
          <w:szCs w:val="22"/>
          <w:lang w:val="hr-HR"/>
        </w:rPr>
        <w:t xml:space="preserve"> državnom strategijom</w:t>
      </w:r>
      <w:r>
        <w:rPr>
          <w:rStyle w:val="Zadanifontodlomka1"/>
          <w:rFonts w:ascii="Calibri" w:eastAsia="SimSun" w:hAnsi="Calibri"/>
          <w:sz w:val="16"/>
          <w:szCs w:val="16"/>
        </w:rPr>
        <w:t xml:space="preserve"> </w:t>
      </w:r>
      <w:r>
        <w:rPr>
          <w:rStyle w:val="Zadanifontodlomka1"/>
          <w:rFonts w:ascii="Calibri" w:eastAsia="SimSun" w:hAnsi="Calibri" w:cs="Calibri"/>
          <w:bCs/>
          <w:spacing w:val="-3"/>
          <w:sz w:val="22"/>
          <w:szCs w:val="22"/>
          <w:lang w:val="hr-HR"/>
        </w:rPr>
        <w:t>razvoja pojedinih djelatnosti.</w:t>
      </w:r>
    </w:p>
    <w:p w14:paraId="1748D869" w14:textId="77777777" w:rsidR="00382CF2" w:rsidRDefault="00382CF2">
      <w:pPr>
        <w:spacing w:before="120" w:after="120" w:line="276" w:lineRule="auto"/>
        <w:jc w:val="both"/>
        <w:rPr>
          <w:rFonts w:ascii="Calibri" w:eastAsia="SimSun" w:hAnsi="Calibri" w:cs="Calibri"/>
          <w:b/>
          <w:sz w:val="22"/>
          <w:szCs w:val="22"/>
          <w:lang w:val="hr-HR"/>
        </w:rPr>
      </w:pPr>
    </w:p>
    <w:p w14:paraId="1748D86A" w14:textId="77777777" w:rsidR="00382CF2" w:rsidRDefault="00054989">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Rizik likvidnosti, valutni rizik i kamatni rizik u knjizi banke</w:t>
      </w:r>
    </w:p>
    <w:p w14:paraId="1748D86B" w14:textId="5DE858BA"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Kroz djelovanje Odbora za upravljanje aktivom i pasivom, Banka osigurava adekvatno upravljanje rizikom likvidnosti te valutnim rizikom i kamatnim rizikom. Upravljanje </w:t>
      </w:r>
      <w:r w:rsidR="007D5BEF">
        <w:rPr>
          <w:rFonts w:ascii="Calibri" w:eastAsia="SimSun" w:hAnsi="Calibri" w:cs="Calibri"/>
          <w:sz w:val="22"/>
          <w:szCs w:val="22"/>
          <w:lang w:val="hr-HR"/>
        </w:rPr>
        <w:t xml:space="preserve">navedenim </w:t>
      </w:r>
      <w:r>
        <w:rPr>
          <w:rFonts w:ascii="Calibri" w:eastAsia="SimSun" w:hAnsi="Calibri" w:cs="Calibri"/>
          <w:sz w:val="22"/>
          <w:szCs w:val="22"/>
          <w:lang w:val="hr-HR"/>
        </w:rPr>
        <w:t>rizicima podrazumijeva svođenje kamatnog i valutnog rizika te rizika likvidnosti na najmanju mjeru. Izravnim i neizravnim uključivanjem većine organizacijskih jedinica Banke u rad Odbora za upravljanje aktivom i pasivom nastoji se osigurati kvalitetan, integriran i sveobuhvatan sustav upravljanja navedenim rizicima.</w:t>
      </w:r>
    </w:p>
    <w:p w14:paraId="02DD2EB6" w14:textId="77777777" w:rsidR="0041461F" w:rsidRDefault="0041461F">
      <w:pPr>
        <w:suppressAutoHyphens w:val="0"/>
        <w:rPr>
          <w:rFonts w:ascii="Calibri" w:eastAsia="SimSun" w:hAnsi="Calibri" w:cs="Calibri"/>
          <w:b/>
          <w:sz w:val="22"/>
          <w:szCs w:val="22"/>
          <w:lang w:val="hr-HR"/>
        </w:rPr>
      </w:pPr>
      <w:r>
        <w:rPr>
          <w:rFonts w:ascii="Calibri" w:eastAsia="SimSun" w:hAnsi="Calibri" w:cs="Calibri"/>
          <w:b/>
          <w:sz w:val="22"/>
          <w:szCs w:val="22"/>
          <w:lang w:val="hr-HR"/>
        </w:rPr>
        <w:br w:type="page"/>
      </w:r>
    </w:p>
    <w:p w14:paraId="1748D870" w14:textId="57340CD5" w:rsidR="00382CF2" w:rsidRDefault="00054989">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lastRenderedPageBreak/>
        <w:t>Rizik likvidnosti</w:t>
      </w:r>
    </w:p>
    <w:p w14:paraId="1748D871"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Temeljna načela upravljanja rizikom likvidnosti HBOR-a utvrđena su internim aktima te odlukama i zaključcima Nadzornog odbora, Uprave i Odbora za upravljanje aktivom i pasivom. </w:t>
      </w:r>
    </w:p>
    <w:p w14:paraId="1748D872"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U svrhu upravljanja rizikom likvidnosti, Banka je uspostavila sustav limita te prati i kontrolira njihovo poštivanje, održava potrebnu razinu rezerve likvidnosti, kontinuirano, kroz limite, pokazatelje i projekcije prati tekuću i planiranu likvidnost, osigurava dostatna kunska i devizna sredstva potrebna za pravovremeno podmirenje obveza te za isplate po odobrenim kreditima i planiranim odobrenjima kredita. Pri upravljanju rizikom likvidnosti Banka prati i nastoji postići ročnu usklađenost postojećih i planiranih plasmana i njihovih izvora. Banka nema depozite građana te nije izložena značajnijim dnevnim oscilacijama likvidnosti. Praćenje rizika likvidnosti Banka provodi i kroz analize scenarija i analize osjetljivosti pod pretpostavkom redovnih i stresnih uvjeta poslovanja. Pravilnikom o upravljanju rizikom likvidnosti utvrđeni su signali ranog upozorenja te postupci u slučaju naznake, kao i nastupa krize likvidnosti. </w:t>
      </w:r>
    </w:p>
    <w:p w14:paraId="1748D873" w14:textId="77777777" w:rsidR="00382CF2" w:rsidRDefault="00382CF2">
      <w:pPr>
        <w:spacing w:before="120" w:after="120" w:line="276" w:lineRule="auto"/>
        <w:jc w:val="both"/>
        <w:rPr>
          <w:rFonts w:ascii="Calibri" w:eastAsia="SimSun" w:hAnsi="Calibri" w:cs="Calibri"/>
          <w:sz w:val="22"/>
          <w:szCs w:val="22"/>
          <w:lang w:val="hr-HR"/>
        </w:rPr>
      </w:pPr>
    </w:p>
    <w:p w14:paraId="1748D874" w14:textId="77777777" w:rsidR="00382CF2" w:rsidRDefault="00054989">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 xml:space="preserve">Kamatni rizik </w:t>
      </w:r>
    </w:p>
    <w:p w14:paraId="1748D875"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Temeljna načela upravljanja kamatnim rizikom Banke utvrđena su internim aktima te odlukama i zaključcima Uprave i Odbora za upravljanje aktivom i pasivom. Za mjerenje i praćenje kamatnog rizika Banka provodi analizu kamatnog jaza. Kamatni se jaz izrađuje za određena razdoblja prema mogućnosti promjene kamatnih stopa i koristi se za sagledavanje osjetljivosti Banke na promjene kamatnih stopa u redovnim i stresnim uvjetima poslovanja. Provodi se i detaljna razrada kamatnih stopa po valuti, vrsti i visini kamatne stope te se izrađuju projekcije kretanja prosječnih ponderiranih kamatnih stopa izvora i plasmana. Pored usklađivanja kamatnih stopa izvora i plasmana, prate se trenutni tržišni uvjeti i prognoze kretanja osnovnih tržišnih pokazatelja.</w:t>
      </w:r>
    </w:p>
    <w:p w14:paraId="1748D876" w14:textId="77777777" w:rsidR="00382CF2" w:rsidRDefault="00382CF2">
      <w:pPr>
        <w:spacing w:before="120" w:after="120" w:line="276" w:lineRule="auto"/>
        <w:jc w:val="both"/>
        <w:rPr>
          <w:rFonts w:ascii="Calibri" w:eastAsia="SimSun" w:hAnsi="Calibri" w:cs="Calibri"/>
          <w:sz w:val="22"/>
          <w:szCs w:val="22"/>
          <w:lang w:val="hr-HR"/>
        </w:rPr>
      </w:pPr>
    </w:p>
    <w:p w14:paraId="1748D877" w14:textId="77777777" w:rsidR="00382CF2" w:rsidRDefault="00054989">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Valutni rizik</w:t>
      </w:r>
    </w:p>
    <w:p w14:paraId="1748D878"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Temeljna načela upravljanja valutnim rizikom HBOR-a utvrđena su internim aktima te odlukama i zaključcima Uprave i Odbora za upravljanje aktivom i pasivom. Postavljene su metode za mjerenje, odnosno procjenu, praćenje i upravljanje valutnim rizikom, utvrđeni su limiti i signali ranog upozorenja, postupci u slučaju naznake, kao i nastupa krize te su definirana izvješća potrebna za cjelovito ovladavanje ovim rizikom.</w:t>
      </w:r>
    </w:p>
    <w:p w14:paraId="1748D879"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Za mjerenje izloženosti valutnom riziku Banka prati otvorenost devizne pozicije. Osim dnevnog praćenja otvorenosti devizne pozicije i projiciranja njezinog kretanja, Banka za potrebe procjene i mjerenja valutnog rizika izračunava rizične vrijednosti te redovito izvještava nadležna tijela o najvećim potencijalnim gubicima po značajnim valutama. Provode se analize osjetljivosti pod pretpostavkom redovnih i stresnih uvjeta poslovanja.</w:t>
      </w:r>
    </w:p>
    <w:p w14:paraId="1748D87A" w14:textId="77777777" w:rsidR="00382CF2" w:rsidRDefault="00382CF2">
      <w:pPr>
        <w:spacing w:before="120" w:after="120" w:line="276" w:lineRule="auto"/>
        <w:jc w:val="both"/>
        <w:rPr>
          <w:rFonts w:ascii="Calibri" w:eastAsia="SimSun" w:hAnsi="Calibri" w:cs="Calibri"/>
          <w:b/>
          <w:sz w:val="22"/>
          <w:szCs w:val="22"/>
          <w:lang w:val="hr-HR"/>
        </w:rPr>
      </w:pPr>
    </w:p>
    <w:p w14:paraId="1748D87B" w14:textId="77777777" w:rsidR="00382CF2" w:rsidRDefault="00054989">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 xml:space="preserve">Operativni rizik </w:t>
      </w:r>
    </w:p>
    <w:p w14:paraId="1748D87C" w14:textId="3C39EACA"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Temeljna načela upravljanja operativnim rizikom utvrđena su krovnim aktom Politike upravljanja operativnim rizikom, uspostavljena je struktura upravljanja i odgovornosti u sustavu, utvrđen</w:t>
      </w:r>
      <w:r w:rsidR="004B1895">
        <w:rPr>
          <w:rFonts w:ascii="Calibri" w:eastAsia="SimSun" w:hAnsi="Calibri" w:cs="Calibri"/>
          <w:sz w:val="22"/>
          <w:szCs w:val="22"/>
          <w:lang w:val="hr-HR"/>
        </w:rPr>
        <w:t xml:space="preserve"> je</w:t>
      </w:r>
      <w:r>
        <w:rPr>
          <w:rFonts w:ascii="Calibri" w:eastAsia="SimSun" w:hAnsi="Calibri" w:cs="Calibri"/>
          <w:sz w:val="22"/>
          <w:szCs w:val="22"/>
          <w:lang w:val="hr-HR"/>
        </w:rPr>
        <w:t xml:space="preserve"> pristup za izračun kapitalnog zahtjeva za operativni rizik, uspostavljen </w:t>
      </w:r>
      <w:r w:rsidR="00CB2A45">
        <w:rPr>
          <w:rFonts w:ascii="Calibri" w:eastAsia="SimSun" w:hAnsi="Calibri" w:cs="Calibri"/>
          <w:sz w:val="22"/>
          <w:szCs w:val="22"/>
          <w:lang w:val="hr-HR"/>
        </w:rPr>
        <w:t xml:space="preserve">je </w:t>
      </w:r>
      <w:r>
        <w:rPr>
          <w:rFonts w:ascii="Calibri" w:eastAsia="SimSun" w:hAnsi="Calibri" w:cs="Calibri"/>
          <w:sz w:val="22"/>
          <w:szCs w:val="22"/>
          <w:lang w:val="hr-HR"/>
        </w:rPr>
        <w:t>sustav izvještavanja te načini utvrđivanja, ovladavanja i praćenja izloženosti operativnom riziku.</w:t>
      </w:r>
    </w:p>
    <w:p w14:paraId="1748D87D" w14:textId="6AC292E6"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lastRenderedPageBreak/>
        <w:t xml:space="preserve">Za praćenje i nadziranje rada informacijskog sustava zadužen je Odbor za upravljanje informacijskim sustavom čiji je cilj upravljanje resursima informacijskog sustava uz uspostavljanje odgovarajuće razine učinkovitosti i sigurnosti informacijskog sustava kako bi se osiguralo, između ostalog, primjereno upravljanje rizicima koji proizlaze iz korištenja informacijske tehnologije. Nadzor nad sigurnošću informacijskog sustava obavlja funkcija Voditelja sigurnosti informacijskog sustava. U okviru </w:t>
      </w:r>
      <w:r w:rsidR="004128E6">
        <w:rPr>
          <w:rFonts w:ascii="Calibri" w:eastAsia="SimSun" w:hAnsi="Calibri" w:cs="Calibri"/>
          <w:sz w:val="22"/>
          <w:szCs w:val="22"/>
          <w:lang w:val="hr-HR"/>
        </w:rPr>
        <w:t xml:space="preserve">navedene </w:t>
      </w:r>
      <w:r>
        <w:rPr>
          <w:rFonts w:ascii="Calibri" w:eastAsia="SimSun" w:hAnsi="Calibri" w:cs="Calibri"/>
          <w:sz w:val="22"/>
          <w:szCs w:val="22"/>
          <w:lang w:val="hr-HR"/>
        </w:rPr>
        <w:t>funkcije uspostavljen je sustav upravljanja kontinuitetom poslovanja HBOR-a.</w:t>
      </w:r>
    </w:p>
    <w:p w14:paraId="1748D87E"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Zbog posljedica potresa u Zagrebu kada je oštećena glavna poslovna zgrada Banke i pandemije COVID-19, rad na izdvojenom mjestu je aktualan za velik dio zaposlenika kojima su osigurani resursi potrebni za odvijanje poslovanja bez prekida. Dodatne sigurnosne kontrole su uspostavljene nad poslovnim aktivnostima djelatnika i radom mobilnih uređaja (telefona i računala) kako bi se omogućio rad s primjerenom razinom zaštite.</w:t>
      </w:r>
    </w:p>
    <w:p w14:paraId="1748D87F" w14:textId="77777777" w:rsidR="00382CF2" w:rsidRDefault="00382CF2">
      <w:pPr>
        <w:spacing w:before="120" w:after="120" w:line="276" w:lineRule="auto"/>
        <w:jc w:val="both"/>
        <w:rPr>
          <w:rFonts w:ascii="Calibri" w:eastAsia="SimSun" w:hAnsi="Calibri" w:cs="Calibri"/>
          <w:sz w:val="22"/>
          <w:szCs w:val="22"/>
          <w:lang w:val="hr-HR"/>
        </w:rPr>
      </w:pPr>
    </w:p>
    <w:p w14:paraId="1748D880" w14:textId="77777777" w:rsidR="00382CF2" w:rsidRDefault="00054989">
      <w:pPr>
        <w:spacing w:before="120" w:after="120" w:line="276" w:lineRule="auto"/>
        <w:jc w:val="both"/>
        <w:rPr>
          <w:rFonts w:ascii="Calibri" w:eastAsia="Calibri" w:hAnsi="Calibri" w:cs="Calibri"/>
          <w:b/>
          <w:sz w:val="22"/>
          <w:szCs w:val="22"/>
          <w:lang w:val="hr-HR" w:eastAsia="hr-HR"/>
        </w:rPr>
      </w:pPr>
      <w:r>
        <w:rPr>
          <w:rFonts w:ascii="Calibri" w:eastAsia="Calibri" w:hAnsi="Calibri" w:cs="Calibri"/>
          <w:b/>
          <w:sz w:val="22"/>
          <w:szCs w:val="22"/>
          <w:lang w:val="hr-HR" w:eastAsia="hr-HR"/>
        </w:rPr>
        <w:t>Rizik eksternalizacije</w:t>
      </w:r>
    </w:p>
    <w:p w14:paraId="1748D881"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Banka upravlja rizikom eksternalizacije na temelju internih akata usklađenih s regulativom Hrvatske narodne banke primjenjivom na Banku kao posebnu financijsku instituciju. Internim aktima kojima je propisano upravljanje ovim rizikom utvrđeni su postupci provođenja eksternaliziranih aktivnosti, upravljanje odnosima s pružateljima usluga te svođenje rizika na najmanju mjeru.</w:t>
      </w:r>
    </w:p>
    <w:p w14:paraId="1748D882"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Uspostavljena je centralna evidencija o eksternaliziranim aktivnostima, a o materijalno značajnim eksternalizacijama godišnje se izvještava Upravu i Nadzorni odbor Banke.</w:t>
      </w:r>
    </w:p>
    <w:p w14:paraId="1748D883" w14:textId="77777777" w:rsidR="00382CF2" w:rsidRDefault="00382CF2">
      <w:pPr>
        <w:spacing w:before="120" w:after="120" w:line="276" w:lineRule="auto"/>
        <w:jc w:val="both"/>
        <w:rPr>
          <w:rFonts w:ascii="Calibri" w:eastAsia="SimSun" w:hAnsi="Calibri" w:cs="Calibri"/>
          <w:sz w:val="22"/>
          <w:szCs w:val="22"/>
          <w:lang w:val="hr-HR"/>
        </w:rPr>
      </w:pPr>
    </w:p>
    <w:p w14:paraId="1748D884" w14:textId="77777777" w:rsidR="00382CF2" w:rsidRDefault="00054989">
      <w:pPr>
        <w:spacing w:before="120" w:after="120" w:line="276" w:lineRule="auto"/>
        <w:jc w:val="both"/>
        <w:rPr>
          <w:rFonts w:ascii="Calibri" w:eastAsia="Calibri" w:hAnsi="Calibri" w:cs="Calibri"/>
          <w:b/>
          <w:sz w:val="22"/>
          <w:szCs w:val="22"/>
          <w:lang w:val="hr-HR" w:eastAsia="hr-HR"/>
        </w:rPr>
      </w:pPr>
      <w:r>
        <w:rPr>
          <w:rFonts w:ascii="Calibri" w:eastAsia="Calibri" w:hAnsi="Calibri" w:cs="Calibri"/>
          <w:b/>
          <w:sz w:val="22"/>
          <w:szCs w:val="22"/>
          <w:lang w:val="hr-HR" w:eastAsia="hr-HR"/>
        </w:rPr>
        <w:t>Kvaliteta imovine HBOR-a</w:t>
      </w:r>
    </w:p>
    <w:p w14:paraId="1748D885" w14:textId="5AA3DA84"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HBOR od 2018.</w:t>
      </w:r>
      <w:r w:rsidR="006403C9">
        <w:rPr>
          <w:rFonts w:ascii="Calibri" w:eastAsia="SimSun" w:hAnsi="Calibri" w:cs="Calibri"/>
          <w:sz w:val="22"/>
          <w:szCs w:val="22"/>
          <w:lang w:val="hr-HR"/>
        </w:rPr>
        <w:t xml:space="preserve"> </w:t>
      </w:r>
      <w:r>
        <w:rPr>
          <w:rFonts w:ascii="Calibri" w:eastAsia="SimSun" w:hAnsi="Calibri" w:cs="Calibri"/>
          <w:sz w:val="22"/>
          <w:szCs w:val="22"/>
          <w:lang w:val="hr-HR"/>
        </w:rPr>
        <w:t>primjenjuje Međunarodni standard financijskog izvještavanja broj 9 za umanjenje vrijednosti financijskih instrumenata.</w:t>
      </w:r>
    </w:p>
    <w:p w14:paraId="1748D886" w14:textId="1ABCB3CB"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Ukupni bruto portfelj HBOR-a na 31. prosinca 2022.</w:t>
      </w:r>
      <w:r w:rsidR="00690F12">
        <w:rPr>
          <w:rFonts w:ascii="Calibri" w:eastAsia="SimSun" w:hAnsi="Calibri" w:cs="Calibri"/>
          <w:sz w:val="22"/>
          <w:szCs w:val="22"/>
          <w:lang w:val="hr-HR"/>
        </w:rPr>
        <w:t xml:space="preserve"> </w:t>
      </w:r>
      <w:r>
        <w:rPr>
          <w:rFonts w:ascii="Calibri" w:eastAsia="SimSun" w:hAnsi="Calibri" w:cs="Calibri"/>
          <w:sz w:val="22"/>
          <w:szCs w:val="22"/>
          <w:lang w:val="hr-HR"/>
        </w:rPr>
        <w:t>iznosio je oko 35,5 milijardi kuna. Od ukupnog bruto portfelja, u 1. stupanj kreditnog rizika razvrstano je 78,4 posto, u 2. stupanj kreditnog rizika 7,4 posto te 14,1 posto u 3. stupanj kreditnog rizika.</w:t>
      </w:r>
    </w:p>
    <w:p w14:paraId="1748D887"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Financijska imovina koja nije klasificirana u stupnjeve kreditnog rizika, čini 0,1 posto ukupnog bruto portfelja.</w:t>
      </w:r>
    </w:p>
    <w:p w14:paraId="1748D888" w14:textId="30D140F8"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Od ukupnog bruto kreditnog portfelja, u 1. stupanj kreditnog rizika razvrstano je 75,8 posto, u 2. stupanj kreditnog rizika 8,5 posto te 15,7 posto u 3. stupanj kreditnog rizika.</w:t>
      </w:r>
      <w:r w:rsidR="00CC7575">
        <w:rPr>
          <w:rFonts w:ascii="Calibri" w:eastAsia="SimSun" w:hAnsi="Calibri" w:cs="Calibri"/>
          <w:sz w:val="22"/>
          <w:szCs w:val="22"/>
          <w:lang w:val="hr-HR"/>
        </w:rPr>
        <w:t xml:space="preserve"> Navedeno je prikazano grafikonima u nastavku. </w:t>
      </w:r>
    </w:p>
    <w:p w14:paraId="1748D889" w14:textId="17576F69" w:rsidR="00382CF2" w:rsidRDefault="00121BA4">
      <w:pPr>
        <w:spacing w:before="120" w:after="120" w:line="276" w:lineRule="auto"/>
        <w:jc w:val="both"/>
      </w:pPr>
      <w:r>
        <w:rPr>
          <w:rStyle w:val="Zadanifontodlomka1"/>
          <w:rFonts w:ascii="Calibri" w:eastAsia="SimSun" w:hAnsi="Calibri" w:cs="Calibri"/>
          <w:noProof/>
          <w:shd w:val="clear" w:color="auto" w:fill="E6E6E6"/>
        </w:rPr>
        <w:lastRenderedPageBreak/>
        <w:drawing>
          <wp:inline distT="0" distB="0" distL="0" distR="0" wp14:anchorId="5F3F54A1" wp14:editId="1B9E85E6">
            <wp:extent cx="4906012" cy="3274695"/>
            <wp:effectExtent l="0" t="0" r="8890" b="1905"/>
            <wp:docPr id="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48D88A" w14:textId="77777777" w:rsidR="00382CF2" w:rsidRDefault="00382CF2">
      <w:pPr>
        <w:spacing w:before="120" w:after="120" w:line="276" w:lineRule="auto"/>
        <w:jc w:val="both"/>
        <w:rPr>
          <w:rFonts w:ascii="Calibri" w:eastAsia="SimSun" w:hAnsi="Calibri" w:cs="Calibri"/>
          <w:sz w:val="22"/>
          <w:szCs w:val="22"/>
          <w:lang w:val="hr-HR"/>
        </w:rPr>
      </w:pPr>
    </w:p>
    <w:p w14:paraId="1748D88B" w14:textId="6BA2DFD7" w:rsidR="00382CF2" w:rsidRDefault="00121BA4">
      <w:pPr>
        <w:spacing w:before="120" w:after="120" w:line="276" w:lineRule="auto"/>
        <w:jc w:val="both"/>
      </w:pPr>
      <w:r w:rsidRPr="00995886">
        <w:rPr>
          <w:rFonts w:ascii="Calibri" w:eastAsia="SimSun" w:hAnsi="Calibri" w:cs="Calibri"/>
          <w:noProof/>
          <w:shd w:val="clear" w:color="auto" w:fill="E6E6E6"/>
        </w:rPr>
        <w:drawing>
          <wp:inline distT="0" distB="0" distL="0" distR="0" wp14:anchorId="48FFA440" wp14:editId="124CFBF3">
            <wp:extent cx="4906645" cy="2924175"/>
            <wp:effectExtent l="0" t="0" r="8255" b="9525"/>
            <wp:docPr id="6" name="Chart 8">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48D88C" w14:textId="77777777" w:rsidR="00382CF2" w:rsidRDefault="00382CF2">
      <w:pPr>
        <w:spacing w:before="120" w:after="120" w:line="276" w:lineRule="auto"/>
        <w:jc w:val="both"/>
        <w:rPr>
          <w:rFonts w:ascii="Calibri" w:eastAsia="SimSun" w:hAnsi="Calibri" w:cs="Calibri"/>
          <w:sz w:val="22"/>
          <w:szCs w:val="22"/>
          <w:lang w:val="hr-HR"/>
        </w:rPr>
      </w:pPr>
    </w:p>
    <w:p w14:paraId="614C8995" w14:textId="77777777" w:rsidR="00E23982" w:rsidRDefault="00E23982">
      <w:pPr>
        <w:suppressAutoHyphens w:val="0"/>
        <w:rPr>
          <w:rFonts w:ascii="Calibri" w:eastAsia="SimHei" w:hAnsi="Calibri" w:cs="Calibri"/>
          <w:b/>
          <w:bCs/>
          <w:sz w:val="22"/>
          <w:szCs w:val="22"/>
          <w:lang w:val="hr-HR"/>
        </w:rPr>
      </w:pPr>
      <w:r>
        <w:rPr>
          <w:rFonts w:ascii="Calibri" w:eastAsia="SimHei" w:hAnsi="Calibri" w:cs="Calibri"/>
          <w:b/>
          <w:bCs/>
          <w:sz w:val="22"/>
          <w:szCs w:val="22"/>
          <w:lang w:val="hr-HR"/>
        </w:rPr>
        <w:br w:type="page"/>
      </w:r>
    </w:p>
    <w:p w14:paraId="1748D88E" w14:textId="685D6084" w:rsidR="00382CF2" w:rsidRDefault="00054989">
      <w:pPr>
        <w:keepNext/>
        <w:keepLines/>
        <w:pBdr>
          <w:bottom w:val="single" w:sz="4" w:space="2" w:color="B2B2B2"/>
        </w:pBdr>
        <w:spacing w:before="360" w:after="120"/>
        <w:jc w:val="both"/>
        <w:outlineLvl w:val="0"/>
        <w:rPr>
          <w:rFonts w:ascii="Calibri" w:eastAsia="SimHei" w:hAnsi="Calibri" w:cs="Calibri"/>
          <w:b/>
          <w:bCs/>
          <w:sz w:val="22"/>
          <w:szCs w:val="22"/>
          <w:lang w:val="hr-HR"/>
        </w:rPr>
      </w:pPr>
      <w:bookmarkStart w:id="57" w:name="_Toc129083719"/>
      <w:r>
        <w:rPr>
          <w:rFonts w:ascii="Calibri" w:eastAsia="SimHei" w:hAnsi="Calibri" w:cs="Calibri"/>
          <w:b/>
          <w:bCs/>
          <w:sz w:val="22"/>
          <w:szCs w:val="22"/>
          <w:lang w:val="hr-HR"/>
        </w:rPr>
        <w:lastRenderedPageBreak/>
        <w:t>UNUTARNJA REVIZIJA</w:t>
      </w:r>
      <w:bookmarkEnd w:id="57"/>
    </w:p>
    <w:p w14:paraId="1748D88F" w14:textId="5F3FD0DB"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Unutarnja revizija</w:t>
      </w:r>
      <w:r w:rsidR="00CC7575">
        <w:rPr>
          <w:rFonts w:ascii="Calibri" w:eastAsia="SimSun" w:hAnsi="Calibri" w:cs="Calibri"/>
          <w:sz w:val="22"/>
          <w:szCs w:val="22"/>
          <w:lang w:val="hr-HR"/>
        </w:rPr>
        <w:t xml:space="preserve"> je</w:t>
      </w:r>
      <w:r>
        <w:rPr>
          <w:rFonts w:ascii="Calibri" w:eastAsia="SimSun" w:hAnsi="Calibri" w:cs="Calibri"/>
          <w:sz w:val="22"/>
          <w:szCs w:val="22"/>
          <w:lang w:val="hr-HR"/>
        </w:rPr>
        <w:t xml:space="preserve"> dio sustava nadzora HBOR-a zadužen za praćenje ukupnog poslovanja temeljenog na zakonitosti i internim aktima HBOR-a, koji se provodi primjenom standarda interne revizije. Unutarnja revizija organizacijski je nezavisna u obavljanju poslova te samostalno određuje način rada, izvještavanja, nalaza, mišljenja i preporuka. Za svoj rad odgovara administrativno Upravi, a funkcionalno Revizijskom i Nadzornom odboru HBOR-a koje izvješćuje polugodišnje. Na temelju izvješća o reviziji, na prijedlog Unutarnje revizije, Uprava donosi potrebne odluke za poduzimanje korektivnih mjera i aktivnosti.</w:t>
      </w:r>
      <w:r w:rsidR="00D9081D">
        <w:rPr>
          <w:rFonts w:ascii="Calibri" w:eastAsia="SimSun" w:hAnsi="Calibri" w:cs="Calibri"/>
          <w:sz w:val="22"/>
          <w:szCs w:val="22"/>
          <w:lang w:val="hr-HR"/>
        </w:rPr>
        <w:t xml:space="preserve"> </w:t>
      </w:r>
    </w:p>
    <w:p w14:paraId="1748D890" w14:textId="4BA6467A" w:rsidR="00382CF2" w:rsidRDefault="00054989">
      <w:pPr>
        <w:keepNext/>
        <w:keepLines/>
        <w:pBdr>
          <w:bottom w:val="single" w:sz="4" w:space="2" w:color="B2B2B2"/>
        </w:pBdr>
        <w:spacing w:before="360" w:after="120"/>
        <w:jc w:val="both"/>
        <w:outlineLvl w:val="0"/>
        <w:rPr>
          <w:rFonts w:ascii="Calibri" w:eastAsia="SimHei" w:hAnsi="Calibri" w:cs="Calibri"/>
          <w:b/>
          <w:bCs/>
          <w:sz w:val="22"/>
          <w:szCs w:val="22"/>
          <w:lang w:val="hr-HR"/>
        </w:rPr>
      </w:pPr>
      <w:bookmarkStart w:id="58" w:name="_Toc3249212"/>
      <w:bookmarkStart w:id="59" w:name="_Toc129083720"/>
      <w:bookmarkEnd w:id="53"/>
      <w:r>
        <w:rPr>
          <w:rFonts w:ascii="Calibri" w:eastAsia="SimHei" w:hAnsi="Calibri" w:cs="Calibri"/>
          <w:b/>
          <w:bCs/>
          <w:sz w:val="22"/>
          <w:szCs w:val="22"/>
          <w:lang w:val="hr-HR"/>
        </w:rPr>
        <w:t>FUNKCIJA PRAĆENJA USKLAĐENOSTI</w:t>
      </w:r>
      <w:bookmarkEnd w:id="58"/>
      <w:bookmarkEnd w:id="59"/>
    </w:p>
    <w:p w14:paraId="1748D891" w14:textId="26B94E5B"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Funkcija praćenja usklađenosti uspostavljena je kao neovisna i trajna kontrolna funkcija. Poslovi praćenja usklađenosti uključuju utvrđivanje i procjenu rizika usklađenosti kojem je HBOR izložen ili bi mogao biti izložen, savjetovanje Uprave i drugih odgovornih osoba o načinu primjene relevantnih zakona, standarda i pravila</w:t>
      </w:r>
      <w:r w:rsidR="00253443">
        <w:rPr>
          <w:rFonts w:ascii="Calibri" w:eastAsia="SimSun" w:hAnsi="Calibri" w:cs="Calibri"/>
          <w:sz w:val="22"/>
          <w:szCs w:val="22"/>
          <w:lang w:val="hr-HR"/>
        </w:rPr>
        <w:t>,</w:t>
      </w:r>
      <w:r>
        <w:rPr>
          <w:rFonts w:ascii="Calibri" w:eastAsia="SimSun" w:hAnsi="Calibri" w:cs="Calibri"/>
          <w:sz w:val="22"/>
          <w:szCs w:val="22"/>
          <w:lang w:val="hr-HR"/>
        </w:rPr>
        <w:t xml:space="preserve"> uključujući i informiranje o aktualnostima iz tih područja.</w:t>
      </w:r>
    </w:p>
    <w:p w14:paraId="1748D892" w14:textId="02EB1BD2"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Funkcija praćenja usklađenosti procjenjuje učinke koje će na poslovanje HBOR-a imati novi </w:t>
      </w:r>
      <w:r w:rsidR="00253443">
        <w:rPr>
          <w:rFonts w:ascii="Calibri" w:eastAsia="SimSun" w:hAnsi="Calibri" w:cs="Calibri"/>
          <w:sz w:val="22"/>
          <w:szCs w:val="22"/>
          <w:lang w:val="hr-HR"/>
        </w:rPr>
        <w:t xml:space="preserve">zakoni i propisi </w:t>
      </w:r>
      <w:r>
        <w:rPr>
          <w:rFonts w:ascii="Calibri" w:eastAsia="SimSun" w:hAnsi="Calibri" w:cs="Calibri"/>
          <w:sz w:val="22"/>
          <w:szCs w:val="22"/>
          <w:lang w:val="hr-HR"/>
        </w:rPr>
        <w:t>te izmjene relevantnih zakona i drugih propisa, procjenjuje usklađenost novih proizvoda ili novih postupaka s relevantnim zakonima i propisima kao i s izmjenama propisa, savjetuje u dijelu pripreme obrazovnih programa vezanih za usklađenost, savjetuje i obrazuje o etičkom ponašanju te nadzire provedbu i pridržavanje odredbi Kodeksa ponašanja. Funkcija praćenja usklađenosti podnosi periodička izvješća Upravi, Revizijskom i Nadzornom odboru HBOR-a.</w:t>
      </w:r>
    </w:p>
    <w:p w14:paraId="59C4FA7E" w14:textId="77777777" w:rsidR="00E56D74" w:rsidRDefault="00E56D74">
      <w:pPr>
        <w:suppressAutoHyphens w:val="0"/>
        <w:rPr>
          <w:rStyle w:val="Zadanifontodlomka1"/>
          <w:rFonts w:ascii="Calibri" w:eastAsia="Calibri" w:hAnsi="Calibri" w:cs="Calibri"/>
          <w:b/>
          <w:bCs/>
          <w:sz w:val="22"/>
          <w:szCs w:val="22"/>
          <w:lang w:val="hr-HR"/>
        </w:rPr>
      </w:pPr>
      <w:r>
        <w:rPr>
          <w:rStyle w:val="Zadanifontodlomka1"/>
          <w:rFonts w:ascii="Calibri" w:eastAsia="Calibri" w:hAnsi="Calibri" w:cs="Calibri"/>
          <w:b/>
          <w:bCs/>
          <w:sz w:val="22"/>
          <w:szCs w:val="22"/>
          <w:lang w:val="hr-HR"/>
        </w:rPr>
        <w:br w:type="page"/>
      </w:r>
    </w:p>
    <w:p w14:paraId="1748D894" w14:textId="6726E250" w:rsidR="00382CF2" w:rsidRDefault="00054989">
      <w:pPr>
        <w:keepNext/>
        <w:keepLines/>
        <w:pBdr>
          <w:bottom w:val="single" w:sz="4" w:space="2" w:color="B2B2B2"/>
        </w:pBdr>
        <w:spacing w:before="360" w:after="120"/>
        <w:outlineLvl w:val="0"/>
      </w:pPr>
      <w:bookmarkStart w:id="60" w:name="_Toc129083721"/>
      <w:r>
        <w:rPr>
          <w:rStyle w:val="Zadanifontodlomka1"/>
          <w:rFonts w:ascii="Calibri" w:eastAsia="Calibri" w:hAnsi="Calibri" w:cs="Calibri"/>
          <w:b/>
          <w:bCs/>
          <w:sz w:val="22"/>
          <w:szCs w:val="22"/>
          <w:lang w:val="hr-HR"/>
        </w:rPr>
        <w:lastRenderedPageBreak/>
        <w:t>LJUDSKI POTENCIJALI</w:t>
      </w:r>
      <w:bookmarkEnd w:id="60"/>
    </w:p>
    <w:p w14:paraId="1748D895" w14:textId="4F22AB3B"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HBOR je nositelj Certifikata Poslodavac Partner koji dodjeljuje Selectio d.o.o. za izvrsnost u upravljanju ljudskim potencijalima. Od 2006., kada je HBOR </w:t>
      </w:r>
      <w:r w:rsidR="00937960">
        <w:rPr>
          <w:rFonts w:ascii="Calibri" w:eastAsia="SimSun" w:hAnsi="Calibri" w:cs="Calibri"/>
          <w:sz w:val="22"/>
          <w:szCs w:val="22"/>
          <w:lang w:val="hr-HR"/>
        </w:rPr>
        <w:t xml:space="preserve">uključen </w:t>
      </w:r>
      <w:r>
        <w:rPr>
          <w:rFonts w:ascii="Calibri" w:eastAsia="SimSun" w:hAnsi="Calibri" w:cs="Calibri"/>
          <w:sz w:val="22"/>
          <w:szCs w:val="22"/>
          <w:lang w:val="hr-HR"/>
        </w:rPr>
        <w:t>u projekt, prisutan je stalni rast i razvoj u područjima upravljanja ljudskim potencijalima.</w:t>
      </w:r>
    </w:p>
    <w:p w14:paraId="1748D896" w14:textId="119C0919"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Cilj procesa upravljanja ljudskim potencijalima jest kvalitetan odabir zaposlenika, njihovo kvalitetno usavršavanje i vođenje</w:t>
      </w:r>
      <w:r w:rsidR="00121BA4">
        <w:rPr>
          <w:rFonts w:ascii="Calibri" w:eastAsia="SimSun" w:hAnsi="Calibri" w:cs="Calibri"/>
          <w:sz w:val="22"/>
          <w:szCs w:val="22"/>
          <w:lang w:val="hr-HR"/>
        </w:rPr>
        <w:t xml:space="preserve"> </w:t>
      </w:r>
      <w:r w:rsidR="00235B74">
        <w:rPr>
          <w:rFonts w:ascii="Calibri" w:eastAsia="SimSun" w:hAnsi="Calibri" w:cs="Calibri"/>
          <w:sz w:val="22"/>
          <w:szCs w:val="22"/>
          <w:lang w:val="hr-HR"/>
        </w:rPr>
        <w:t>kao ključan preduvjet za</w:t>
      </w:r>
      <w:r w:rsidR="00121BA4">
        <w:rPr>
          <w:rFonts w:ascii="Calibri" w:eastAsia="SimSun" w:hAnsi="Calibri" w:cs="Calibri"/>
          <w:sz w:val="22"/>
          <w:szCs w:val="22"/>
          <w:lang w:val="hr-HR"/>
        </w:rPr>
        <w:t xml:space="preserve"> </w:t>
      </w:r>
      <w:r>
        <w:rPr>
          <w:rFonts w:ascii="Calibri" w:eastAsia="SimSun" w:hAnsi="Calibri" w:cs="Calibri"/>
          <w:sz w:val="22"/>
          <w:szCs w:val="22"/>
          <w:lang w:val="hr-HR"/>
        </w:rPr>
        <w:t xml:space="preserve">izvrsnost u </w:t>
      </w:r>
      <w:r w:rsidR="00FA1950">
        <w:rPr>
          <w:rFonts w:ascii="Calibri" w:eastAsia="SimSun" w:hAnsi="Calibri" w:cs="Calibri"/>
          <w:sz w:val="22"/>
          <w:szCs w:val="22"/>
          <w:lang w:val="hr-HR"/>
        </w:rPr>
        <w:t xml:space="preserve"> poslovanju Banke</w:t>
      </w:r>
      <w:r>
        <w:rPr>
          <w:rFonts w:ascii="Calibri" w:eastAsia="SimSun" w:hAnsi="Calibri" w:cs="Calibri"/>
          <w:sz w:val="22"/>
          <w:szCs w:val="22"/>
          <w:lang w:val="hr-HR"/>
        </w:rPr>
        <w:t xml:space="preserve">. Redoviti procesi i aktivnosti upravljanja ljudskim potencijalima pokrivaju cjelokupni tijek karijere zaposlenika u organizaciji te omogućuju podršku menadžmentu u upravljanju ljudskim potencijalima: odabiru zaposlenika i zapošljavanju, upravljanju ciljevima i kompetencijama te nagrađivanju kao i razvoju zaposlenika. Nakon zapošljavanja, koje se provodi po transparentnim </w:t>
      </w:r>
      <w:r w:rsidR="00A957C6">
        <w:rPr>
          <w:rFonts w:ascii="Calibri" w:eastAsia="SimSun" w:hAnsi="Calibri" w:cs="Calibri"/>
          <w:sz w:val="22"/>
          <w:szCs w:val="22"/>
          <w:lang w:val="hr-HR"/>
        </w:rPr>
        <w:t xml:space="preserve">i propisanim </w:t>
      </w:r>
      <w:r>
        <w:rPr>
          <w:rFonts w:ascii="Calibri" w:eastAsia="SimSun" w:hAnsi="Calibri" w:cs="Calibri"/>
          <w:sz w:val="22"/>
          <w:szCs w:val="22"/>
          <w:lang w:val="hr-HR"/>
        </w:rPr>
        <w:t>selekcijskim kriterijima, novi zaposlenici uključuju se u program uvođenja u posao kroz interne edukacije. Radni učinak svih zaposlenika HBOR-a prati se i dokumentira u kvartalnoj dinamici, a jednom godišnje provodi se proces godišnjih razgovora. Razvoj i usavršavanje u kompetencijama, koje su ključne u poslovima koje zaposlenici obavljaju, provodi se kroz održavanje internih edukacija te kroz sudjelovanje zaposlenika na eksternim edukacijama.</w:t>
      </w:r>
    </w:p>
    <w:p w14:paraId="1748D897"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Zbog pandemije, a potom i stradavanja poslovnih prostora u potresu koji je u ožujku 2020. godine pogodio Zagreb, HBOR je svoje poslovanje organizirao na način da veliki dio radnika može poslove svog radnog mjesta povremeno obavljati na izdvojenom mjestu rada. Cjelokupni rad HBOR-a prilagođen je i radu na izdvojenom mjestu rada te je s radnicima, čija priroda posla to dozvoljava, reguliran rad na izdvojenom mjestu rada.</w:t>
      </w:r>
    </w:p>
    <w:p w14:paraId="1748D898" w14:textId="39B0F6B1"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Na dan 31. prosinca 2022. od ukupno 382 radnika njih 351, odnosno 92 posto, je visokoobrazovano. Prosječna dob radnika je 45 godina, pri čemu žene čine 65 posto, a muškarci 35 posto radnika.</w:t>
      </w:r>
    </w:p>
    <w:p w14:paraId="1748D899" w14:textId="77777777" w:rsidR="00382CF2" w:rsidRDefault="00382CF2">
      <w:pPr>
        <w:spacing w:after="160" w:line="276" w:lineRule="auto"/>
        <w:jc w:val="both"/>
        <w:rPr>
          <w:rFonts w:ascii="Calibri" w:eastAsia="Calibri" w:hAnsi="Calibri" w:cs="Calibri"/>
          <w:b/>
          <w:bCs/>
          <w:sz w:val="22"/>
          <w:szCs w:val="22"/>
          <w:lang w:val="hr-HR"/>
        </w:rPr>
      </w:pPr>
    </w:p>
    <w:p w14:paraId="1748D89A" w14:textId="77777777" w:rsidR="00382CF2" w:rsidRDefault="00054989">
      <w:pPr>
        <w:spacing w:after="160" w:line="276" w:lineRule="auto"/>
        <w:jc w:val="both"/>
      </w:pPr>
      <w:r>
        <w:rPr>
          <w:rStyle w:val="Zadanifontodlomka1"/>
          <w:rFonts w:ascii="Calibri" w:eastAsia="Calibri" w:hAnsi="Calibri" w:cs="Calibri"/>
          <w:b/>
          <w:bCs/>
          <w:sz w:val="22"/>
          <w:szCs w:val="22"/>
          <w:lang w:val="hr-HR"/>
        </w:rPr>
        <w:t xml:space="preserve">Organizacijska struktura HBOR-a 31. 12. 2022. </w:t>
      </w:r>
    </w:p>
    <w:p w14:paraId="1748D89B" w14:textId="40B571E7" w:rsidR="00382CF2" w:rsidRDefault="00054989">
      <w:pPr>
        <w:spacing w:after="160" w:line="276" w:lineRule="auto"/>
        <w:jc w:val="center"/>
      </w:pPr>
      <w:r>
        <w:rPr>
          <w:rStyle w:val="Zadanifontodlomka1"/>
          <w:rFonts w:ascii="Calibri" w:eastAsia="SimSun" w:hAnsi="Calibri" w:cs="Calibri"/>
          <w:noProof/>
          <w:sz w:val="21"/>
          <w:szCs w:val="21"/>
        </w:rPr>
        <w:drawing>
          <wp:inline distT="0" distB="0" distL="0" distR="0" wp14:anchorId="3D2B8AB2" wp14:editId="1748D64F">
            <wp:extent cx="5990563" cy="3307293"/>
            <wp:effectExtent l="0" t="0" r="0" b="7407"/>
            <wp:docPr id="11" name="Picture 132322026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90563" cy="3307293"/>
                    </a:xfrm>
                    <a:prstGeom prst="rect">
                      <a:avLst/>
                    </a:prstGeom>
                    <a:noFill/>
                    <a:ln>
                      <a:noFill/>
                      <a:prstDash/>
                    </a:ln>
                  </pic:spPr>
                </pic:pic>
              </a:graphicData>
            </a:graphic>
          </wp:inline>
        </w:drawing>
      </w:r>
      <w:bookmarkStart w:id="61" w:name="_Toc3249214"/>
      <w:bookmarkStart w:id="62" w:name="_Hlk2943388"/>
    </w:p>
    <w:p w14:paraId="1748D89D" w14:textId="77777777" w:rsidR="00382CF2" w:rsidRDefault="00054989">
      <w:pPr>
        <w:keepNext/>
        <w:keepLines/>
        <w:pageBreakBefore/>
        <w:pBdr>
          <w:bottom w:val="single" w:sz="4" w:space="2" w:color="B2B2B2"/>
        </w:pBdr>
        <w:spacing w:before="360" w:after="120"/>
        <w:outlineLvl w:val="0"/>
        <w:rPr>
          <w:rFonts w:ascii="Calibri" w:eastAsia="SimHei" w:hAnsi="Calibri" w:cs="Calibri"/>
          <w:b/>
          <w:bCs/>
          <w:sz w:val="22"/>
          <w:szCs w:val="22"/>
          <w:lang w:val="hr-HR"/>
        </w:rPr>
      </w:pPr>
      <w:bookmarkStart w:id="63" w:name="_Toc129083722"/>
      <w:bookmarkEnd w:id="61"/>
      <w:bookmarkEnd w:id="62"/>
      <w:r>
        <w:rPr>
          <w:rFonts w:ascii="Calibri" w:eastAsia="SimHei" w:hAnsi="Calibri" w:cs="Calibri"/>
          <w:b/>
          <w:bCs/>
          <w:sz w:val="22"/>
          <w:szCs w:val="22"/>
          <w:lang w:val="hr-HR"/>
        </w:rPr>
        <w:lastRenderedPageBreak/>
        <w:t>OSTALE AKTIVNOSTI</w:t>
      </w:r>
      <w:bookmarkEnd w:id="63"/>
    </w:p>
    <w:p w14:paraId="1748D89E" w14:textId="77777777" w:rsidR="00382CF2" w:rsidRDefault="00054989">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Uvođenje eura kao službene valute u Republici Hrvatskoj</w:t>
      </w:r>
    </w:p>
    <w:p w14:paraId="1748D89F" w14:textId="2DAE9822" w:rsidR="00382CF2" w:rsidRPr="00867A50" w:rsidRDefault="00054989">
      <w:pPr>
        <w:spacing w:before="120" w:after="120" w:line="276" w:lineRule="auto"/>
        <w:jc w:val="both"/>
        <w:rPr>
          <w:rFonts w:ascii="Calibri" w:eastAsia="SimSun" w:hAnsi="Calibri" w:cs="Calibri"/>
          <w:spacing w:val="-1"/>
          <w:sz w:val="22"/>
          <w:szCs w:val="22"/>
          <w:lang w:val="hr-HR"/>
        </w:rPr>
      </w:pPr>
      <w:r w:rsidRPr="00867A50">
        <w:rPr>
          <w:rFonts w:ascii="Calibri" w:eastAsia="SimSun" w:hAnsi="Calibri" w:cs="Calibri"/>
          <w:spacing w:val="-1"/>
          <w:sz w:val="22"/>
          <w:szCs w:val="22"/>
          <w:lang w:val="hr-HR"/>
        </w:rPr>
        <w:t>Usporedno s aktivnostima uvođenja eura na nacionalnoj razini, HBOR je početkom 2021.</w:t>
      </w:r>
      <w:r w:rsidR="006F2CD2">
        <w:rPr>
          <w:rFonts w:ascii="Calibri" w:eastAsia="SimSun" w:hAnsi="Calibri" w:cs="Calibri"/>
          <w:spacing w:val="-1"/>
          <w:sz w:val="22"/>
          <w:szCs w:val="22"/>
          <w:lang w:val="hr-HR"/>
        </w:rPr>
        <w:t xml:space="preserve"> </w:t>
      </w:r>
      <w:r w:rsidRPr="00867A50">
        <w:rPr>
          <w:rFonts w:ascii="Calibri" w:eastAsia="SimSun" w:hAnsi="Calibri" w:cs="Calibri"/>
          <w:spacing w:val="-1"/>
          <w:sz w:val="22"/>
          <w:szCs w:val="22"/>
          <w:lang w:val="hr-HR"/>
        </w:rPr>
        <w:t>započeo s procjenom utjecaja zamjene kune eurom u svakom aspektu poslovanja radi pokretanja projekta uvođenja eura. Poseban fokus bio je stavljen na analizu svih poslovnih aktivnosti HBOR-a s ciljem pravodobnog usklađenja s Nacionalnim planom zamjene hrvatske kune eurom i Zakonom o uvođenju eura kao službene valute u Republici Hrvatskoj, kao i izmjenama zakonskih i podzakonskih propisa iz domene platnog prometa, poreznog sustava, tržišta kapitala, financijskog sustava i trgovačkog prava. U okviru dvogodišnjeg projekta uvođenja eura, HBOR se pravodobno uskladio s obvezama propisanim Zakonom o uvođenju eura kao službene valute u Republici Hrvatskoj i uspješno završio projekt uvođenja eura u HBOR-u.</w:t>
      </w:r>
    </w:p>
    <w:p w14:paraId="1748D8A0" w14:textId="77777777" w:rsidR="00382CF2" w:rsidRDefault="00382CF2">
      <w:pPr>
        <w:spacing w:before="120" w:after="120" w:line="276" w:lineRule="auto"/>
        <w:jc w:val="both"/>
        <w:rPr>
          <w:rFonts w:ascii="Calibri" w:eastAsia="SimSun" w:hAnsi="Calibri" w:cs="Calibri"/>
          <w:bCs/>
          <w:sz w:val="22"/>
          <w:szCs w:val="22"/>
          <w:lang w:val="hr-HR"/>
        </w:rPr>
      </w:pPr>
    </w:p>
    <w:p w14:paraId="7A81F323" w14:textId="0FD4E0DD" w:rsidR="00A60BF2" w:rsidRDefault="00054989">
      <w:pPr>
        <w:spacing w:before="120" w:after="120" w:line="276" w:lineRule="auto"/>
        <w:jc w:val="both"/>
        <w:rPr>
          <w:rStyle w:val="Zadanifontodlomka1"/>
          <w:rFonts w:ascii="Calibri" w:eastAsia="SimSun" w:hAnsi="Calibri" w:cs="Calibri"/>
          <w:sz w:val="22"/>
          <w:szCs w:val="22"/>
          <w:lang w:val="hr-HR"/>
        </w:rPr>
      </w:pPr>
      <w:r>
        <w:rPr>
          <w:rStyle w:val="Zadanifontodlomka1"/>
          <w:rFonts w:ascii="Calibri" w:eastAsia="SimSun" w:hAnsi="Calibri" w:cs="Calibri"/>
          <w:b/>
          <w:bCs/>
          <w:sz w:val="22"/>
          <w:szCs w:val="22"/>
          <w:lang w:val="hr-HR"/>
        </w:rPr>
        <w:t>Ocjena na temelju stupova (</w:t>
      </w:r>
      <w:r w:rsidRPr="007E3A4D">
        <w:rPr>
          <w:rStyle w:val="Zadanifontodlomka1"/>
          <w:rFonts w:ascii="Calibri" w:eastAsia="SimSun" w:hAnsi="Calibri" w:cs="Calibri"/>
          <w:b/>
          <w:bCs/>
          <w:i/>
          <w:iCs/>
          <w:sz w:val="22"/>
          <w:szCs w:val="22"/>
          <w:lang w:val="hr-HR"/>
        </w:rPr>
        <w:t>engl. Pillar Assessment</w:t>
      </w:r>
      <w:r>
        <w:rPr>
          <w:rStyle w:val="Zadanifontodlomka1"/>
          <w:rFonts w:ascii="Calibri" w:eastAsia="SimSun" w:hAnsi="Calibri" w:cs="Calibri"/>
          <w:b/>
          <w:bCs/>
          <w:sz w:val="22"/>
          <w:szCs w:val="22"/>
          <w:lang w:val="hr-HR"/>
        </w:rPr>
        <w:t>)</w:t>
      </w:r>
    </w:p>
    <w:p w14:paraId="1748D8A2" w14:textId="3D989CC8" w:rsidR="00382CF2" w:rsidRDefault="00054989">
      <w:pPr>
        <w:spacing w:before="120" w:after="120" w:line="276" w:lineRule="auto"/>
        <w:jc w:val="both"/>
      </w:pPr>
      <w:r>
        <w:rPr>
          <w:rStyle w:val="Zadanifontodlomka1"/>
          <w:rFonts w:ascii="Calibri" w:eastAsia="SimSun" w:hAnsi="Calibri" w:cs="Calibri"/>
          <w:sz w:val="22"/>
          <w:szCs w:val="22"/>
          <w:lang w:val="hr-HR"/>
        </w:rPr>
        <w:t xml:space="preserve">Kao preduvjet sudjelovanja u neizravnom upravljanju sredstvima EU-a, </w:t>
      </w:r>
      <w:r w:rsidR="00F012A3">
        <w:rPr>
          <w:rStyle w:val="Zadanifontodlomka1"/>
          <w:rFonts w:ascii="Calibri" w:eastAsia="SimSun" w:hAnsi="Calibri" w:cs="Calibri"/>
          <w:sz w:val="22"/>
          <w:szCs w:val="22"/>
          <w:lang w:val="hr-HR"/>
        </w:rPr>
        <w:t>HBOR je proveo</w:t>
      </w:r>
      <w:r>
        <w:rPr>
          <w:rStyle w:val="Zadanifontodlomka1"/>
          <w:rFonts w:ascii="Calibri" w:eastAsia="SimSun" w:hAnsi="Calibri" w:cs="Calibri"/>
          <w:sz w:val="22"/>
          <w:szCs w:val="22"/>
          <w:lang w:val="hr-HR"/>
        </w:rPr>
        <w:t xml:space="preserve"> Ocjenu na temelju stupova (</w:t>
      </w:r>
      <w:r w:rsidRPr="007E3A4D">
        <w:rPr>
          <w:rStyle w:val="Zadanifontodlomka1"/>
          <w:rFonts w:ascii="Calibri" w:eastAsia="SimSun" w:hAnsi="Calibri" w:cs="Calibri"/>
          <w:i/>
          <w:iCs/>
          <w:sz w:val="22"/>
          <w:szCs w:val="22"/>
          <w:lang w:val="hr-HR"/>
        </w:rPr>
        <w:t>eng</w:t>
      </w:r>
      <w:r w:rsidR="00121BA4">
        <w:rPr>
          <w:rStyle w:val="Zadanifontodlomka1"/>
          <w:rFonts w:ascii="Calibri" w:eastAsia="SimSun" w:hAnsi="Calibri" w:cs="Calibri"/>
          <w:i/>
          <w:iCs/>
          <w:sz w:val="22"/>
          <w:szCs w:val="22"/>
          <w:lang w:val="hr-HR"/>
        </w:rPr>
        <w:t>l</w:t>
      </w:r>
      <w:r w:rsidR="0055174E" w:rsidRPr="007E3A4D">
        <w:rPr>
          <w:rStyle w:val="Zadanifontodlomka1"/>
          <w:rFonts w:ascii="Calibri" w:eastAsia="SimSun" w:hAnsi="Calibri" w:cs="Calibri"/>
          <w:i/>
          <w:iCs/>
          <w:sz w:val="22"/>
          <w:szCs w:val="22"/>
          <w:lang w:val="hr-HR"/>
        </w:rPr>
        <w:t>.</w:t>
      </w:r>
      <w:r w:rsidRPr="007E3A4D">
        <w:rPr>
          <w:rStyle w:val="Zadanifontodlomka1"/>
          <w:rFonts w:ascii="Calibri" w:eastAsia="SimSun" w:hAnsi="Calibri" w:cs="Calibri"/>
          <w:i/>
          <w:iCs/>
          <w:sz w:val="22"/>
          <w:szCs w:val="22"/>
          <w:lang w:val="hr-HR"/>
        </w:rPr>
        <w:t xml:space="preserve"> Pillar Assessment</w:t>
      </w:r>
      <w:r>
        <w:rPr>
          <w:rStyle w:val="Zadanifontodlomka1"/>
          <w:rFonts w:ascii="Calibri" w:eastAsia="SimSun" w:hAnsi="Calibri" w:cs="Calibri"/>
          <w:sz w:val="22"/>
          <w:szCs w:val="22"/>
          <w:lang w:val="hr-HR"/>
        </w:rPr>
        <w:t>), definiranih člankom 154. Financijske uredbe koja se primjenjuje na opći proračun Europske komisije i  Europski razvojni fond. Na temelju rezultata Ocjene stupova Europska Komisija (EK) odlučuje hoće li povjeriti zadaće izvršenja proračuna HBOR-u i sklopiti posebne sporazume o doprinosima</w:t>
      </w:r>
      <w:r>
        <w:rPr>
          <w:rStyle w:val="Zadanifontodlomka1"/>
          <w:rFonts w:ascii="Calibri" w:eastAsia="SimSun" w:hAnsi="Calibri" w:cs="Calibri"/>
          <w:bCs/>
          <w:sz w:val="22"/>
          <w:szCs w:val="22"/>
          <w:lang w:val="hr-HR"/>
        </w:rPr>
        <w:t xml:space="preserve"> za neizravno upravljanje.</w:t>
      </w:r>
    </w:p>
    <w:p w14:paraId="1748D8A3" w14:textId="67E05884" w:rsidR="00382CF2" w:rsidRDefault="00054989">
      <w:pPr>
        <w:spacing w:before="120" w:after="120" w:line="276" w:lineRule="auto"/>
        <w:jc w:val="both"/>
        <w:rPr>
          <w:rFonts w:ascii="Calibri" w:eastAsia="SimSun" w:hAnsi="Calibri" w:cs="Calibri"/>
          <w:bCs/>
          <w:sz w:val="22"/>
          <w:szCs w:val="22"/>
          <w:lang w:val="hr-HR"/>
        </w:rPr>
      </w:pPr>
      <w:r>
        <w:rPr>
          <w:rFonts w:ascii="Calibri" w:eastAsia="SimSun" w:hAnsi="Calibri" w:cs="Calibri"/>
          <w:bCs/>
          <w:sz w:val="22"/>
          <w:szCs w:val="22"/>
          <w:lang w:val="hr-HR"/>
        </w:rPr>
        <w:t>Unutar postupka Ocjene na temelju stupova HBOR je proveo proces provjere sljedećih stupova:</w:t>
      </w:r>
    </w:p>
    <w:p w14:paraId="1748D8A4" w14:textId="77777777" w:rsidR="00382CF2" w:rsidRDefault="00054989">
      <w:pPr>
        <w:numPr>
          <w:ilvl w:val="0"/>
          <w:numId w:val="14"/>
        </w:numPr>
        <w:spacing w:before="120" w:after="120" w:line="276" w:lineRule="auto"/>
        <w:jc w:val="both"/>
        <w:rPr>
          <w:rFonts w:ascii="Calibri" w:eastAsia="SimSun" w:hAnsi="Calibri" w:cs="Calibri"/>
          <w:bCs/>
          <w:sz w:val="22"/>
          <w:szCs w:val="22"/>
          <w:lang w:val="hr-HR"/>
        </w:rPr>
      </w:pPr>
      <w:r>
        <w:rPr>
          <w:rFonts w:ascii="Calibri" w:eastAsia="SimSun" w:hAnsi="Calibri" w:cs="Calibri"/>
          <w:bCs/>
          <w:sz w:val="22"/>
          <w:szCs w:val="22"/>
          <w:lang w:val="hr-HR"/>
        </w:rPr>
        <w:t>Unutarnja kontrola</w:t>
      </w:r>
    </w:p>
    <w:p w14:paraId="1748D8A5" w14:textId="77777777" w:rsidR="00382CF2" w:rsidRDefault="00054989">
      <w:pPr>
        <w:numPr>
          <w:ilvl w:val="0"/>
          <w:numId w:val="15"/>
        </w:numPr>
        <w:spacing w:before="120" w:after="120" w:line="276" w:lineRule="auto"/>
        <w:jc w:val="both"/>
        <w:rPr>
          <w:rFonts w:ascii="Calibri" w:eastAsia="SimSun" w:hAnsi="Calibri" w:cs="Calibri"/>
          <w:bCs/>
          <w:sz w:val="22"/>
          <w:szCs w:val="22"/>
          <w:lang w:val="hr-HR"/>
        </w:rPr>
      </w:pPr>
      <w:r>
        <w:rPr>
          <w:rFonts w:ascii="Calibri" w:eastAsia="SimSun" w:hAnsi="Calibri" w:cs="Calibri"/>
          <w:bCs/>
          <w:sz w:val="22"/>
          <w:szCs w:val="22"/>
          <w:lang w:val="hr-HR"/>
        </w:rPr>
        <w:t>Računovodstvo</w:t>
      </w:r>
    </w:p>
    <w:p w14:paraId="1748D8A6" w14:textId="77777777" w:rsidR="00382CF2" w:rsidRDefault="00054989">
      <w:pPr>
        <w:numPr>
          <w:ilvl w:val="0"/>
          <w:numId w:val="16"/>
        </w:numPr>
        <w:spacing w:before="120" w:after="120" w:line="276" w:lineRule="auto"/>
        <w:jc w:val="both"/>
        <w:rPr>
          <w:rFonts w:ascii="Calibri" w:eastAsia="SimSun" w:hAnsi="Calibri" w:cs="Calibri"/>
          <w:bCs/>
          <w:sz w:val="22"/>
          <w:szCs w:val="22"/>
          <w:lang w:val="hr-HR"/>
        </w:rPr>
      </w:pPr>
      <w:r>
        <w:rPr>
          <w:rFonts w:ascii="Calibri" w:eastAsia="SimSun" w:hAnsi="Calibri" w:cs="Calibri"/>
          <w:bCs/>
          <w:sz w:val="22"/>
          <w:szCs w:val="22"/>
          <w:lang w:val="hr-HR"/>
        </w:rPr>
        <w:t>Vanjska revizija</w:t>
      </w:r>
    </w:p>
    <w:p w14:paraId="1748D8A7" w14:textId="77777777" w:rsidR="00382CF2" w:rsidRDefault="00054989">
      <w:pPr>
        <w:numPr>
          <w:ilvl w:val="0"/>
          <w:numId w:val="17"/>
        </w:numPr>
        <w:spacing w:before="120" w:after="120" w:line="276" w:lineRule="auto"/>
        <w:jc w:val="both"/>
        <w:rPr>
          <w:rFonts w:ascii="Calibri" w:eastAsia="SimSun" w:hAnsi="Calibri" w:cs="Calibri"/>
          <w:bCs/>
          <w:sz w:val="22"/>
          <w:szCs w:val="22"/>
          <w:lang w:val="hr-HR"/>
        </w:rPr>
      </w:pPr>
      <w:r>
        <w:rPr>
          <w:rFonts w:ascii="Calibri" w:eastAsia="SimSun" w:hAnsi="Calibri" w:cs="Calibri"/>
          <w:bCs/>
          <w:sz w:val="22"/>
          <w:szCs w:val="22"/>
          <w:lang w:val="hr-HR"/>
        </w:rPr>
        <w:t>Financijski instrumenti</w:t>
      </w:r>
    </w:p>
    <w:p w14:paraId="1748D8A8" w14:textId="77777777" w:rsidR="00382CF2" w:rsidRDefault="00054989">
      <w:pPr>
        <w:numPr>
          <w:ilvl w:val="0"/>
          <w:numId w:val="18"/>
        </w:numPr>
        <w:spacing w:before="120" w:after="120" w:line="276" w:lineRule="auto"/>
        <w:jc w:val="both"/>
        <w:rPr>
          <w:rFonts w:ascii="Calibri" w:eastAsia="SimSun" w:hAnsi="Calibri" w:cs="Calibri"/>
          <w:bCs/>
          <w:sz w:val="22"/>
          <w:szCs w:val="22"/>
          <w:lang w:val="hr-HR"/>
        </w:rPr>
      </w:pPr>
      <w:r>
        <w:rPr>
          <w:rFonts w:ascii="Calibri" w:eastAsia="SimSun" w:hAnsi="Calibri" w:cs="Calibri"/>
          <w:bCs/>
          <w:sz w:val="22"/>
          <w:szCs w:val="22"/>
          <w:lang w:val="hr-HR"/>
        </w:rPr>
        <w:t>Isključenje iz pristupa financiranju</w:t>
      </w:r>
    </w:p>
    <w:p w14:paraId="1748D8A9" w14:textId="77777777" w:rsidR="00382CF2" w:rsidRDefault="00054989">
      <w:pPr>
        <w:numPr>
          <w:ilvl w:val="0"/>
          <w:numId w:val="19"/>
        </w:numPr>
        <w:spacing w:before="120" w:after="120" w:line="276" w:lineRule="auto"/>
        <w:jc w:val="both"/>
        <w:rPr>
          <w:rFonts w:ascii="Calibri" w:eastAsia="SimSun" w:hAnsi="Calibri" w:cs="Calibri"/>
          <w:bCs/>
          <w:sz w:val="22"/>
          <w:szCs w:val="22"/>
          <w:lang w:val="hr-HR"/>
        </w:rPr>
      </w:pPr>
      <w:r>
        <w:rPr>
          <w:rFonts w:ascii="Calibri" w:eastAsia="SimSun" w:hAnsi="Calibri" w:cs="Calibri"/>
          <w:bCs/>
          <w:sz w:val="22"/>
          <w:szCs w:val="22"/>
          <w:lang w:val="hr-HR"/>
        </w:rPr>
        <w:t>Zaštita osobnih podataka</w:t>
      </w:r>
    </w:p>
    <w:p w14:paraId="1748D8AA" w14:textId="59A1203D"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Postupak provjere i testiranja završio je u studenom 2022. godine kada je Europskoj komisiji dostavljeno Preliminarno završno izvješće. Završetak procesa očekuje se tijekom 2023. godine.</w:t>
      </w:r>
    </w:p>
    <w:p w14:paraId="1748D8AB" w14:textId="77777777" w:rsidR="00382CF2" w:rsidRDefault="00382CF2">
      <w:pPr>
        <w:spacing w:before="120" w:after="120" w:line="276" w:lineRule="auto"/>
        <w:jc w:val="both"/>
        <w:rPr>
          <w:rFonts w:ascii="Calibri" w:eastAsia="SimSun" w:hAnsi="Calibri" w:cs="Calibri"/>
          <w:bCs/>
          <w:sz w:val="22"/>
          <w:szCs w:val="22"/>
          <w:lang w:val="hr-HR"/>
        </w:rPr>
      </w:pPr>
    </w:p>
    <w:p w14:paraId="1748D8AC" w14:textId="77777777" w:rsidR="00382CF2" w:rsidRDefault="00054989">
      <w:pPr>
        <w:spacing w:before="120" w:after="120" w:line="276" w:lineRule="auto"/>
        <w:jc w:val="both"/>
        <w:rPr>
          <w:rFonts w:ascii="Calibri" w:eastAsia="SimSun" w:hAnsi="Calibri" w:cs="Calibri"/>
          <w:b/>
          <w:bCs/>
          <w:sz w:val="22"/>
          <w:szCs w:val="22"/>
          <w:lang w:val="hr-HR"/>
        </w:rPr>
      </w:pPr>
      <w:r>
        <w:rPr>
          <w:rFonts w:ascii="Calibri" w:eastAsia="SimSun" w:hAnsi="Calibri" w:cs="Calibri"/>
          <w:b/>
          <w:bCs/>
          <w:sz w:val="22"/>
          <w:szCs w:val="22"/>
          <w:lang w:val="hr-HR"/>
        </w:rPr>
        <w:t>Rejting</w:t>
      </w:r>
    </w:p>
    <w:p w14:paraId="1748D8AD" w14:textId="2B813295"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Nakon što je Vijeće EU potvrdilo ulazak </w:t>
      </w:r>
      <w:r w:rsidR="00EB63E7" w:rsidRPr="00EB63E7">
        <w:rPr>
          <w:rFonts w:ascii="Calibri" w:eastAsia="SimSun" w:hAnsi="Calibri" w:cs="Calibri"/>
          <w:sz w:val="22"/>
          <w:szCs w:val="22"/>
          <w:lang w:val="hr-HR"/>
        </w:rPr>
        <w:t xml:space="preserve">Republike Hrvatske </w:t>
      </w:r>
      <w:r>
        <w:rPr>
          <w:rFonts w:ascii="Calibri" w:eastAsia="SimSun" w:hAnsi="Calibri" w:cs="Calibri"/>
          <w:sz w:val="22"/>
          <w:szCs w:val="22"/>
          <w:lang w:val="hr-HR"/>
        </w:rPr>
        <w:t>u eurozonu, a uzimajući u obzir koristi od ulaska u eurozonu, monetarne politike ECB-a, boljeg pristupa tržištima kapitala, kao i predviđeni rast gospodarstva, rejting agencija Standard &amp; Poor's podigla je u srpnju 2022.</w:t>
      </w:r>
      <w:r w:rsidR="008E3E24">
        <w:rPr>
          <w:rFonts w:ascii="Calibri" w:eastAsia="SimSun" w:hAnsi="Calibri" w:cs="Calibri"/>
          <w:sz w:val="22"/>
          <w:szCs w:val="22"/>
          <w:lang w:val="hr-HR"/>
        </w:rPr>
        <w:t xml:space="preserve"> </w:t>
      </w:r>
      <w:r>
        <w:rPr>
          <w:rFonts w:ascii="Calibri" w:eastAsia="SimSun" w:hAnsi="Calibri" w:cs="Calibri"/>
          <w:sz w:val="22"/>
          <w:szCs w:val="22"/>
          <w:lang w:val="hr-HR"/>
        </w:rPr>
        <w:t xml:space="preserve">rejting </w:t>
      </w:r>
      <w:r w:rsidR="00EB63E7" w:rsidRPr="00EB63E7">
        <w:rPr>
          <w:rFonts w:ascii="Calibri" w:eastAsia="SimSun" w:hAnsi="Calibri" w:cs="Calibri"/>
          <w:sz w:val="22"/>
          <w:szCs w:val="22"/>
          <w:lang w:val="hr-HR"/>
        </w:rPr>
        <w:t xml:space="preserve">Republike Hrvatske </w:t>
      </w:r>
      <w:r>
        <w:rPr>
          <w:rFonts w:ascii="Calibri" w:eastAsia="SimSun" w:hAnsi="Calibri" w:cs="Calibri"/>
          <w:sz w:val="22"/>
          <w:szCs w:val="22"/>
          <w:lang w:val="hr-HR"/>
        </w:rPr>
        <w:t xml:space="preserve">na BBB+/A-2 uz stabilne izglede. </w:t>
      </w:r>
      <w:r w:rsidR="00486835">
        <w:rPr>
          <w:rFonts w:ascii="Calibri" w:eastAsia="SimSun" w:hAnsi="Calibri" w:cs="Calibri"/>
          <w:sz w:val="22"/>
          <w:szCs w:val="22"/>
          <w:lang w:val="hr-HR"/>
        </w:rPr>
        <w:t>Posljedično je rejting</w:t>
      </w:r>
      <w:r>
        <w:rPr>
          <w:rFonts w:ascii="Calibri" w:eastAsia="SimSun" w:hAnsi="Calibri" w:cs="Calibri"/>
          <w:sz w:val="22"/>
          <w:szCs w:val="22"/>
          <w:lang w:val="hr-HR"/>
        </w:rPr>
        <w:t xml:space="preserve"> HBOR-</w:t>
      </w:r>
      <w:r w:rsidR="00486835">
        <w:rPr>
          <w:rFonts w:ascii="Calibri" w:eastAsia="SimSun" w:hAnsi="Calibri" w:cs="Calibri"/>
          <w:sz w:val="22"/>
          <w:szCs w:val="22"/>
          <w:lang w:val="hr-HR"/>
        </w:rPr>
        <w:t>a</w:t>
      </w:r>
      <w:r>
        <w:rPr>
          <w:rFonts w:ascii="Calibri" w:eastAsia="SimSun" w:hAnsi="Calibri" w:cs="Calibri"/>
          <w:sz w:val="22"/>
          <w:szCs w:val="22"/>
          <w:lang w:val="hr-HR"/>
        </w:rPr>
        <w:t xml:space="preserve"> podignut na BBB+/A-2 (sa razine 'BBB-/A-3') uz stabilne izglede.</w:t>
      </w:r>
    </w:p>
    <w:p w14:paraId="1748D8AE" w14:textId="77777777" w:rsidR="00382CF2" w:rsidRDefault="00382CF2">
      <w:pPr>
        <w:spacing w:before="120" w:after="120" w:line="276" w:lineRule="auto"/>
        <w:jc w:val="both"/>
        <w:rPr>
          <w:rFonts w:ascii="Calibri" w:eastAsia="SimSun" w:hAnsi="Calibri" w:cs="Calibri"/>
          <w:b/>
          <w:bCs/>
          <w:sz w:val="22"/>
          <w:szCs w:val="22"/>
          <w:lang w:val="hr-HR"/>
        </w:rPr>
      </w:pPr>
    </w:p>
    <w:p w14:paraId="78DFDE2D" w14:textId="20DDBB0A" w:rsidR="00867A50" w:rsidRDefault="00054989" w:rsidP="0019481C">
      <w:pPr>
        <w:shd w:val="clear" w:color="auto" w:fill="FFFFFF"/>
        <w:spacing w:after="160" w:line="276" w:lineRule="auto"/>
        <w:jc w:val="both"/>
        <w:rPr>
          <w:rStyle w:val="Zadanifontodlomka1"/>
          <w:rFonts w:ascii="Calibri" w:hAnsi="Calibri" w:cs="Calibri"/>
          <w:sz w:val="22"/>
          <w:szCs w:val="22"/>
          <w:lang w:val="hr-HR"/>
        </w:rPr>
      </w:pPr>
      <w:r>
        <w:rPr>
          <w:rStyle w:val="Zadanifontodlomka1"/>
          <w:rFonts w:ascii="Calibri" w:hAnsi="Calibri" w:cs="Calibri"/>
          <w:b/>
          <w:bCs/>
          <w:sz w:val="22"/>
          <w:szCs w:val="22"/>
          <w:lang w:val="hr-HR" w:eastAsia="hr-HR"/>
        </w:rPr>
        <w:t xml:space="preserve">Suradnja EIB-a i HBOR-a vezano za projekt Opće </w:t>
      </w:r>
      <w:r>
        <w:rPr>
          <w:rStyle w:val="Zadanifontodlomka1"/>
          <w:rFonts w:ascii="Calibri" w:hAnsi="Calibri" w:cs="Calibri"/>
          <w:b/>
          <w:bCs/>
          <w:sz w:val="22"/>
          <w:szCs w:val="22"/>
          <w:lang w:val="hr-HR"/>
        </w:rPr>
        <w:t>bolnica Pula</w:t>
      </w:r>
    </w:p>
    <w:p w14:paraId="1748D8B1" w14:textId="1B708096" w:rsidR="00382CF2" w:rsidRDefault="00054989" w:rsidP="0019481C">
      <w:pPr>
        <w:shd w:val="clear" w:color="auto" w:fill="FFFFFF"/>
        <w:spacing w:after="160" w:line="276" w:lineRule="auto"/>
        <w:jc w:val="both"/>
        <w:rPr>
          <w:rFonts w:ascii="Calibri" w:hAnsi="Calibri" w:cs="Calibri"/>
          <w:sz w:val="22"/>
          <w:szCs w:val="22"/>
          <w:lang w:val="hr-HR" w:eastAsia="hr-HR"/>
        </w:rPr>
      </w:pPr>
      <w:r>
        <w:rPr>
          <w:rStyle w:val="Zadanifontodlomka1"/>
          <w:rFonts w:ascii="Calibri" w:hAnsi="Calibri" w:cs="Calibri"/>
          <w:sz w:val="22"/>
          <w:szCs w:val="22"/>
          <w:lang w:val="hr-HR"/>
        </w:rPr>
        <w:t>Opća bolnica u Puli svečano je otvorena 28. listopada</w:t>
      </w:r>
      <w:r>
        <w:rPr>
          <w:rStyle w:val="Zadanifontodlomka1"/>
          <w:rFonts w:ascii="Calibri" w:eastAsia="SimSun" w:hAnsi="Calibri" w:cs="Calibri"/>
          <w:sz w:val="22"/>
          <w:szCs w:val="22"/>
          <w:lang w:val="hr-HR"/>
        </w:rPr>
        <w:t xml:space="preserve"> 2022.</w:t>
      </w:r>
      <w:r w:rsidR="009E0A27">
        <w:rPr>
          <w:rStyle w:val="Zadanifontodlomka1"/>
          <w:rFonts w:ascii="Calibri" w:eastAsia="SimSun" w:hAnsi="Calibri" w:cs="Calibri"/>
          <w:sz w:val="22"/>
          <w:szCs w:val="22"/>
          <w:lang w:val="hr-HR"/>
        </w:rPr>
        <w:t xml:space="preserve"> godine.</w:t>
      </w:r>
      <w:r>
        <w:rPr>
          <w:rStyle w:val="Zadanifontodlomka1"/>
          <w:rFonts w:ascii="Calibri" w:eastAsia="SimSun" w:hAnsi="Calibri" w:cs="Calibri"/>
          <w:sz w:val="22"/>
          <w:szCs w:val="22"/>
          <w:lang w:val="hr-HR"/>
        </w:rPr>
        <w:t xml:space="preserve"> Investicija vrijedna preko 100 milijuna eura realizirana je, među ostalim, kreditnim sredstvima HBOR-a i EIB-a. Projekt je obuhvaćao izgradnju, rekonstrukciju i opremanje bolnice najsuvremenijom medicinskom opremom, kao i temeljitu obnovu </w:t>
      </w:r>
      <w:r>
        <w:rPr>
          <w:rStyle w:val="Zadanifontodlomka1"/>
          <w:rFonts w:ascii="Calibri" w:eastAsia="SimSun" w:hAnsi="Calibri" w:cs="Calibri"/>
          <w:sz w:val="22"/>
          <w:szCs w:val="22"/>
          <w:lang w:val="hr-HR"/>
        </w:rPr>
        <w:lastRenderedPageBreak/>
        <w:t>stare zgrade. Projekt je pokrenut s ciljem olakšavanja pružanja modernih zdravstvenih usluga, čime je značajno unaprijeđena kvaliteta života u Istri.</w:t>
      </w:r>
    </w:p>
    <w:p w14:paraId="0284EE43" w14:textId="77777777" w:rsidR="0019481C" w:rsidRDefault="0019481C" w:rsidP="00867A50">
      <w:pPr>
        <w:shd w:val="clear" w:color="auto" w:fill="FFFFFF"/>
        <w:spacing w:after="160" w:line="276" w:lineRule="auto"/>
        <w:jc w:val="both"/>
        <w:rPr>
          <w:rFonts w:ascii="Calibri" w:hAnsi="Calibri" w:cs="Calibri"/>
          <w:sz w:val="22"/>
          <w:szCs w:val="22"/>
          <w:lang w:val="hr-HR" w:eastAsia="hr-HR"/>
        </w:rPr>
      </w:pPr>
    </w:p>
    <w:p w14:paraId="1748D8B2" w14:textId="77777777" w:rsidR="00382CF2" w:rsidRDefault="00054989">
      <w:pPr>
        <w:shd w:val="clear" w:color="auto" w:fill="FFFFFF"/>
        <w:spacing w:after="160" w:line="276" w:lineRule="auto"/>
        <w:jc w:val="both"/>
        <w:rPr>
          <w:rFonts w:ascii="Calibri" w:hAnsi="Calibri" w:cs="Calibri"/>
          <w:b/>
          <w:bCs/>
          <w:sz w:val="22"/>
          <w:szCs w:val="22"/>
          <w:lang w:val="hr-HR" w:eastAsia="hr-HR"/>
        </w:rPr>
      </w:pPr>
      <w:r>
        <w:rPr>
          <w:rFonts w:ascii="Calibri" w:hAnsi="Calibri" w:cs="Calibri"/>
          <w:b/>
          <w:bCs/>
          <w:sz w:val="22"/>
          <w:szCs w:val="22"/>
          <w:lang w:val="hr-HR" w:eastAsia="hr-HR"/>
        </w:rPr>
        <w:t>Suradnja CEB-a i HBOR-a</w:t>
      </w:r>
    </w:p>
    <w:p w14:paraId="1748D8B3" w14:textId="1A7CFA02" w:rsidR="00382CF2" w:rsidRDefault="00054989">
      <w:pPr>
        <w:shd w:val="clear" w:color="auto" w:fill="FFFFFF"/>
        <w:spacing w:after="160" w:line="276" w:lineRule="auto"/>
        <w:jc w:val="both"/>
        <w:rPr>
          <w:rFonts w:ascii="Calibri" w:hAnsi="Calibri" w:cs="Calibri"/>
          <w:sz w:val="22"/>
          <w:szCs w:val="22"/>
          <w:lang w:val="hr-HR"/>
        </w:rPr>
      </w:pPr>
      <w:r>
        <w:rPr>
          <w:rFonts w:ascii="Calibri" w:hAnsi="Calibri" w:cs="Calibri"/>
          <w:sz w:val="22"/>
          <w:szCs w:val="22"/>
          <w:lang w:val="hr-HR"/>
        </w:rPr>
        <w:t>Razvojna banka Vijeća Europe (CEB) i Hrvatska banka za obnovu i razvitak (HBOR) potpisale su 17. svibnja 2022.</w:t>
      </w:r>
      <w:r w:rsidR="009E0A27">
        <w:rPr>
          <w:rFonts w:ascii="Calibri" w:hAnsi="Calibri" w:cs="Calibri"/>
          <w:sz w:val="22"/>
          <w:szCs w:val="22"/>
          <w:lang w:val="hr-HR"/>
        </w:rPr>
        <w:t xml:space="preserve"> </w:t>
      </w:r>
      <w:r>
        <w:rPr>
          <w:rFonts w:ascii="Calibri" w:hAnsi="Calibri" w:cs="Calibri"/>
          <w:sz w:val="22"/>
          <w:szCs w:val="22"/>
          <w:lang w:val="hr-HR"/>
        </w:rPr>
        <w:t>ugovor o kreditu od 200 milijuna eura. Sredstva CEB-a usmjeravaju se izravno i putem banaka i leasing kuća krajnjim korisnicima za djelomično financiranje razvoja i unapređenja lokalne i regionalne infrastrukture, poput vodoopskrbe, mreža za odvodnju i pročišćavanje otpadnih voda, lokalnih cesta, obrazovnih, kulturnih i drugih komunalnih sadržaja. Kreditom CEB-a omogućava se podrška malim i srednjim poduzećima, otvaranje novih i očuvanje postojećih radnih mjesta te financiranje obnove i opremanja infrastrukture, poboljšanje životnih uvjeta u urbanim i ruralnim područjima, pomoć nacionalnim i lokalnim vlastima kroz ulaganja u obnovu prirodnom ili ekološkom katastrofom pogođenih područja te podupiranje ulaganja za njihovu prevenciju.</w:t>
      </w:r>
    </w:p>
    <w:p w14:paraId="1748D8B4" w14:textId="77777777" w:rsidR="00382CF2" w:rsidRDefault="00382CF2">
      <w:pPr>
        <w:shd w:val="clear" w:color="auto" w:fill="FFFFFF"/>
        <w:spacing w:after="160" w:line="276" w:lineRule="auto"/>
        <w:jc w:val="both"/>
        <w:rPr>
          <w:rFonts w:ascii="Calibri" w:hAnsi="Calibri" w:cs="Calibri"/>
          <w:b/>
          <w:bCs/>
          <w:sz w:val="22"/>
          <w:szCs w:val="22"/>
          <w:lang w:val="hr-HR"/>
        </w:rPr>
      </w:pPr>
    </w:p>
    <w:p w14:paraId="1748D8B5" w14:textId="77777777" w:rsidR="00382CF2" w:rsidRDefault="00054989">
      <w:pPr>
        <w:shd w:val="clear" w:color="auto" w:fill="FFFFFF"/>
        <w:spacing w:after="160" w:line="276" w:lineRule="auto"/>
        <w:jc w:val="both"/>
        <w:rPr>
          <w:rFonts w:ascii="Calibri" w:hAnsi="Calibri" w:cs="Calibri"/>
          <w:b/>
          <w:bCs/>
          <w:sz w:val="22"/>
          <w:szCs w:val="22"/>
          <w:lang w:val="hr-HR" w:eastAsia="hr-HR"/>
        </w:rPr>
      </w:pPr>
      <w:r>
        <w:rPr>
          <w:rFonts w:ascii="Calibri" w:hAnsi="Calibri" w:cs="Calibri"/>
          <w:b/>
          <w:bCs/>
          <w:sz w:val="22"/>
          <w:szCs w:val="22"/>
          <w:lang w:val="hr-HR" w:eastAsia="hr-HR"/>
        </w:rPr>
        <w:t>Međunarodna suradnja i internacionalizacija</w:t>
      </w:r>
    </w:p>
    <w:p w14:paraId="1748D8B6" w14:textId="7C6A5174" w:rsidR="00382CF2" w:rsidRDefault="00672285">
      <w:pPr>
        <w:spacing w:before="120" w:after="120" w:line="276" w:lineRule="auto"/>
        <w:jc w:val="both"/>
        <w:rPr>
          <w:rFonts w:ascii="Calibri" w:hAnsi="Calibri" w:cs="Calibri"/>
          <w:sz w:val="22"/>
          <w:szCs w:val="22"/>
          <w:lang w:val="hr-HR"/>
        </w:rPr>
      </w:pPr>
      <w:r>
        <w:rPr>
          <w:rFonts w:ascii="Calibri" w:hAnsi="Calibri" w:cs="Calibri"/>
          <w:sz w:val="22"/>
          <w:szCs w:val="22"/>
          <w:lang w:val="hr-HR"/>
        </w:rPr>
        <w:t xml:space="preserve">Tijekom </w:t>
      </w:r>
      <w:r w:rsidR="00054989">
        <w:rPr>
          <w:rFonts w:ascii="Calibri" w:hAnsi="Calibri" w:cs="Calibri"/>
          <w:sz w:val="22"/>
          <w:szCs w:val="22"/>
          <w:lang w:val="hr-HR"/>
        </w:rPr>
        <w:t xml:space="preserve">2022. </w:t>
      </w:r>
      <w:r w:rsidR="00F01828">
        <w:rPr>
          <w:rFonts w:ascii="Calibri" w:hAnsi="Calibri" w:cs="Calibri"/>
          <w:sz w:val="22"/>
          <w:szCs w:val="22"/>
          <w:lang w:val="hr-HR"/>
        </w:rPr>
        <w:t xml:space="preserve">organizirana su </w:t>
      </w:r>
      <w:r w:rsidR="00054989">
        <w:rPr>
          <w:rFonts w:ascii="Calibri" w:hAnsi="Calibri" w:cs="Calibri"/>
          <w:sz w:val="22"/>
          <w:szCs w:val="22"/>
          <w:lang w:val="hr-HR"/>
        </w:rPr>
        <w:t>brojna međunarodna događanja, većinom u hibridnom formatu te je zbog jednostavnije organizacije koju je omogućila digitalizacija</w:t>
      </w:r>
      <w:r w:rsidR="002846E0">
        <w:rPr>
          <w:rFonts w:ascii="Calibri" w:hAnsi="Calibri" w:cs="Calibri"/>
          <w:sz w:val="22"/>
          <w:szCs w:val="22"/>
          <w:lang w:val="hr-HR"/>
        </w:rPr>
        <w:t>,</w:t>
      </w:r>
      <w:r w:rsidR="00054989">
        <w:rPr>
          <w:rFonts w:ascii="Calibri" w:hAnsi="Calibri" w:cs="Calibri"/>
          <w:sz w:val="22"/>
          <w:szCs w:val="22"/>
          <w:lang w:val="hr-HR"/>
        </w:rPr>
        <w:t xml:space="preserve"> HBOR-ova međunarodna suradnja bila vrlo dinamična kako na multilateralnom, tako i na bilateralnom planu.</w:t>
      </w:r>
    </w:p>
    <w:p w14:paraId="1748D8B7" w14:textId="77777777" w:rsidR="00382CF2" w:rsidRDefault="00054989">
      <w:pPr>
        <w:spacing w:before="120" w:after="120" w:line="276" w:lineRule="auto"/>
        <w:jc w:val="both"/>
        <w:rPr>
          <w:rStyle w:val="Zadanifontodlomka1"/>
          <w:rFonts w:ascii="Calibri" w:eastAsia="SimSun" w:hAnsi="Calibri" w:cs="Calibri"/>
          <w:sz w:val="22"/>
          <w:szCs w:val="22"/>
          <w:lang w:val="hr-HR"/>
        </w:rPr>
      </w:pPr>
      <w:r>
        <w:rPr>
          <w:rStyle w:val="Zadanifontodlomka1"/>
          <w:rFonts w:ascii="Calibri" w:hAnsi="Calibri" w:cs="Calibri"/>
          <w:sz w:val="22"/>
          <w:szCs w:val="22"/>
          <w:lang w:val="hr-HR"/>
        </w:rPr>
        <w:t>HBOR posvećuje posebnu pažnju uspostavljanju i održavanju uspješnih odnosa s međunarodnim financijskim institucijama, razvojnim bankama, izvozno-kreditnim agencijama te udrugama i klubovima među kojima su Europska udruga javnih banaka (EAPB), Europska udruga dugoročnih investitora (ELTI) čiji je HBOR suosnivač, Međunarodni klub za financiranje razvoja (IDFC), Udruženje banaka Srednje i Istočne Europe (</w:t>
      </w:r>
      <w:r>
        <w:rPr>
          <w:rStyle w:val="Zadanifontodlomka1"/>
          <w:rFonts w:ascii="Calibri" w:eastAsia="SimSun" w:hAnsi="Calibri" w:cs="Calibri"/>
          <w:sz w:val="22"/>
          <w:szCs w:val="22"/>
          <w:lang w:val="hr-HR"/>
        </w:rPr>
        <w:t>BACEE), Bernska unija, Mreža europskih financijskih institucija za mikro, mala i srednja poduzeća (NEFI), UN-ov Program zaštite okoliša (UNEP FI), UN Global Compact, te više bilateralnih trgovinskih komora.</w:t>
      </w:r>
    </w:p>
    <w:p w14:paraId="1748D8B8"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Aktivno sudjelovanje u radu međunarodnih udruga omogućuje HBOR-u bolji uvid i informiranje o razvojnim politikama EU kao i o aktivnostima razvojnih banaka EU što rezultira stjecanjem novih znanja korisnih za razvoj novih oblika podrške hrvatskim poduzetnicima i razmjenu najboljih praksi i specifičnih znanja članica u različitim područjima poslovanja. Putem međunarodne aktivnosti, HBOR sudjeluje u izradi zajedničkih stajališta i lobiranju te tako utječe na kreiranje EU politika i regulative.</w:t>
      </w:r>
    </w:p>
    <w:p w14:paraId="1748D8B9" w14:textId="54331451"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HBOR ima izuzetno aktivnu ulogu u pojedinim udrugama razvojnih banaka. </w:t>
      </w:r>
      <w:r w:rsidR="00211EC4">
        <w:rPr>
          <w:rFonts w:ascii="Calibri" w:eastAsia="SimSun" w:hAnsi="Calibri" w:cs="Calibri"/>
          <w:sz w:val="22"/>
          <w:szCs w:val="22"/>
          <w:lang w:val="hr-HR"/>
        </w:rPr>
        <w:t>U</w:t>
      </w:r>
      <w:r>
        <w:rPr>
          <w:rFonts w:ascii="Calibri" w:eastAsia="SimSun" w:hAnsi="Calibri" w:cs="Calibri"/>
          <w:sz w:val="22"/>
          <w:szCs w:val="22"/>
          <w:lang w:val="hr-HR"/>
        </w:rPr>
        <w:t xml:space="preserve"> lipnju </w:t>
      </w:r>
      <w:r w:rsidR="009E5252">
        <w:rPr>
          <w:rFonts w:ascii="Calibri" w:eastAsia="SimSun" w:hAnsi="Calibri" w:cs="Calibri"/>
          <w:sz w:val="22"/>
          <w:szCs w:val="22"/>
          <w:lang w:val="hr-HR"/>
        </w:rPr>
        <w:t xml:space="preserve">2022. </w:t>
      </w:r>
      <w:r>
        <w:rPr>
          <w:rFonts w:ascii="Calibri" w:eastAsia="SimSun" w:hAnsi="Calibri" w:cs="Calibri"/>
          <w:sz w:val="22"/>
          <w:szCs w:val="22"/>
          <w:lang w:val="hr-HR"/>
        </w:rPr>
        <w:t xml:space="preserve">u Upravno vijeće EAPB-a izabran </w:t>
      </w:r>
      <w:r w:rsidR="009E5252">
        <w:rPr>
          <w:rFonts w:ascii="Calibri" w:eastAsia="SimSun" w:hAnsi="Calibri" w:cs="Calibri"/>
          <w:sz w:val="22"/>
          <w:szCs w:val="22"/>
          <w:lang w:val="hr-HR"/>
        </w:rPr>
        <w:t xml:space="preserve">je </w:t>
      </w:r>
      <w:r>
        <w:rPr>
          <w:rFonts w:ascii="Calibri" w:eastAsia="SimSun" w:hAnsi="Calibri" w:cs="Calibri"/>
          <w:sz w:val="22"/>
          <w:szCs w:val="22"/>
          <w:lang w:val="hr-HR"/>
        </w:rPr>
        <w:t xml:space="preserve">predsjednik Uprave HBOR-a Hrvoje Čuvalo na mandat od </w:t>
      </w:r>
      <w:r w:rsidR="009E5252">
        <w:rPr>
          <w:rFonts w:ascii="Calibri" w:eastAsia="SimSun" w:hAnsi="Calibri" w:cs="Calibri"/>
          <w:sz w:val="22"/>
          <w:szCs w:val="22"/>
          <w:lang w:val="hr-HR"/>
        </w:rPr>
        <w:t xml:space="preserve">dvije </w:t>
      </w:r>
      <w:r>
        <w:rPr>
          <w:rFonts w:ascii="Calibri" w:eastAsia="SimSun" w:hAnsi="Calibri" w:cs="Calibri"/>
          <w:sz w:val="22"/>
          <w:szCs w:val="22"/>
          <w:lang w:val="hr-HR"/>
        </w:rPr>
        <w:t>godine. Novo Upravno vijeće EAPB-a je snažno dinamiziralo rad i dalo novi zamah Udruzi koja je započela rad na novoj strategiji i ustroju kao i tematskim smjernicama budućeg rada.</w:t>
      </w:r>
    </w:p>
    <w:p w14:paraId="1748D8BA"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Nadalje, kao jedan od suosnivača ELTI-a, HBOR je zadržao svoju poziciju u Upravnom odboru u narednom trogodišnjem mandatu, osiguravajući time zastupljenost manjih razvojnih banaka u upravnim tijelima ove Udruge i u lobiranju za interese manjih razvojnih banaka u provođenju zajedničkih europskih politika.</w:t>
      </w:r>
    </w:p>
    <w:p w14:paraId="1748D8BB"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HBOR je kroz članstvo u IDFC-u nastavio s aktivnostima započetim nastavno na potpisanu „Zajedničku deklaraciju javnih razvojnih banaka“ te „Izjavu o rodnoj ravnopravnosti i osnaživanju žena“ na prvom Samitu javnih razvojnih banaka održanom u Parizu krajem 2020. godine.</w:t>
      </w:r>
    </w:p>
    <w:p w14:paraId="1C970F0B" w14:textId="469F4E3A" w:rsidR="00592975" w:rsidRDefault="00054989" w:rsidP="00592975">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lastRenderedPageBreak/>
        <w:t xml:space="preserve">Nastavljena je suradnja na području internacionalizacije s udruženjem Hrvatski izvoznici gdje je na izbornoj skupštini predsjednik Uprave HBOR-a Hrvoje Čuvalo izabran u Predsjedništvo i Upravni odbor iste na mandat od </w:t>
      </w:r>
      <w:r w:rsidR="00A41317">
        <w:rPr>
          <w:rFonts w:ascii="Calibri" w:eastAsia="SimSun" w:hAnsi="Calibri" w:cs="Calibri"/>
          <w:sz w:val="22"/>
          <w:szCs w:val="22"/>
          <w:lang w:val="hr-HR"/>
        </w:rPr>
        <w:t xml:space="preserve">četiri </w:t>
      </w:r>
      <w:r>
        <w:rPr>
          <w:rFonts w:ascii="Calibri" w:eastAsia="SimSun" w:hAnsi="Calibri" w:cs="Calibri"/>
          <w:sz w:val="22"/>
          <w:szCs w:val="22"/>
          <w:lang w:val="hr-HR"/>
        </w:rPr>
        <w:t>godine.</w:t>
      </w:r>
    </w:p>
    <w:p w14:paraId="3E288E42" w14:textId="05C73DF0" w:rsidR="00706472" w:rsidRDefault="00592975" w:rsidP="00592975">
      <w:pPr>
        <w:spacing w:before="120" w:after="120" w:line="276" w:lineRule="auto"/>
        <w:jc w:val="both"/>
        <w:rPr>
          <w:rStyle w:val="Zadanifontodlomka1"/>
          <w:rFonts w:ascii="Calibri" w:eastAsia="SimSun" w:hAnsi="Calibri" w:cs="Calibri"/>
          <w:sz w:val="22"/>
          <w:szCs w:val="22"/>
          <w:lang w:val="hr-HR"/>
        </w:rPr>
      </w:pPr>
      <w:r>
        <w:rPr>
          <w:rFonts w:ascii="Calibri" w:eastAsia="SimSun" w:hAnsi="Calibri" w:cs="Calibri"/>
          <w:sz w:val="22"/>
          <w:szCs w:val="22"/>
          <w:lang w:val="hr-HR"/>
        </w:rPr>
        <w:t>I</w:t>
      </w:r>
      <w:r w:rsidR="00054989">
        <w:rPr>
          <w:rStyle w:val="Zadanifontodlomka1"/>
          <w:rFonts w:ascii="Calibri" w:eastAsia="SimSun" w:hAnsi="Calibri" w:cs="Calibri"/>
          <w:sz w:val="22"/>
          <w:szCs w:val="22"/>
          <w:lang w:val="hr-HR"/>
        </w:rPr>
        <w:t xml:space="preserve">nternacionalizacija gospodarstva podržana je kroz suradnju HBOR-ovih predstavnika s Hrvatskom gospodarskom komorom i Ministarstvom vanjskih i europskih poslova te kroz suradnju s ino-komorama u </w:t>
      </w:r>
      <w:r w:rsidR="00EB63E7" w:rsidRPr="00EB63E7">
        <w:rPr>
          <w:rStyle w:val="Zadanifontodlomka1"/>
          <w:rFonts w:ascii="Calibri" w:eastAsia="SimSun" w:hAnsi="Calibri" w:cs="Calibri"/>
          <w:sz w:val="22"/>
          <w:szCs w:val="22"/>
          <w:lang w:val="hr-HR"/>
        </w:rPr>
        <w:t>Republi</w:t>
      </w:r>
      <w:r w:rsidR="00EB63E7">
        <w:rPr>
          <w:rStyle w:val="Zadanifontodlomka1"/>
          <w:rFonts w:ascii="Calibri" w:eastAsia="SimSun" w:hAnsi="Calibri" w:cs="Calibri"/>
          <w:sz w:val="22"/>
          <w:szCs w:val="22"/>
          <w:lang w:val="hr-HR"/>
        </w:rPr>
        <w:t>ci</w:t>
      </w:r>
      <w:r w:rsidR="00EB63E7" w:rsidRPr="00EB63E7">
        <w:rPr>
          <w:rStyle w:val="Zadanifontodlomka1"/>
          <w:rFonts w:ascii="Calibri" w:eastAsia="SimSun" w:hAnsi="Calibri" w:cs="Calibri"/>
          <w:sz w:val="22"/>
          <w:szCs w:val="22"/>
          <w:lang w:val="hr-HR"/>
        </w:rPr>
        <w:t xml:space="preserve"> Hrvatsk</w:t>
      </w:r>
      <w:r w:rsidR="00EB63E7">
        <w:rPr>
          <w:rStyle w:val="Zadanifontodlomka1"/>
          <w:rFonts w:ascii="Calibri" w:eastAsia="SimSun" w:hAnsi="Calibri" w:cs="Calibri"/>
          <w:sz w:val="22"/>
          <w:szCs w:val="22"/>
          <w:lang w:val="hr-HR"/>
        </w:rPr>
        <w:t>oj</w:t>
      </w:r>
      <w:r w:rsidR="00054989">
        <w:rPr>
          <w:rStyle w:val="Zadanifontodlomka1"/>
          <w:rFonts w:ascii="Calibri" w:eastAsia="SimSun" w:hAnsi="Calibri" w:cs="Calibri"/>
          <w:sz w:val="22"/>
          <w:szCs w:val="22"/>
          <w:lang w:val="hr-HR"/>
        </w:rPr>
        <w:t>.</w:t>
      </w:r>
    </w:p>
    <w:p w14:paraId="1748D8BE" w14:textId="400C87C6" w:rsidR="00382CF2" w:rsidRDefault="00054989">
      <w:pPr>
        <w:spacing w:before="120" w:after="120" w:line="276" w:lineRule="auto"/>
        <w:jc w:val="both"/>
        <w:rPr>
          <w:rStyle w:val="Zadanifontodlomka1"/>
          <w:rFonts w:ascii="Calibri" w:eastAsia="SimSun" w:hAnsi="Calibri" w:cs="Calibri"/>
          <w:sz w:val="22"/>
          <w:szCs w:val="22"/>
          <w:lang w:val="hr-HR"/>
        </w:rPr>
      </w:pPr>
      <w:r>
        <w:rPr>
          <w:rStyle w:val="Zadanifontodlomka1"/>
          <w:rFonts w:ascii="Calibri" w:eastAsia="SimSun" w:hAnsi="Calibri" w:cs="Calibri"/>
          <w:sz w:val="22"/>
          <w:szCs w:val="22"/>
          <w:lang w:val="hr-HR"/>
        </w:rPr>
        <w:t>HBOR je tijekom 2022.</w:t>
      </w:r>
      <w:r w:rsidR="00776563">
        <w:rPr>
          <w:rStyle w:val="Zadanifontodlomka1"/>
          <w:rFonts w:ascii="Calibri" w:eastAsia="SimSun" w:hAnsi="Calibri" w:cs="Calibri"/>
          <w:sz w:val="22"/>
          <w:szCs w:val="22"/>
          <w:lang w:val="hr-HR"/>
        </w:rPr>
        <w:t xml:space="preserve"> </w:t>
      </w:r>
      <w:r>
        <w:rPr>
          <w:rStyle w:val="Zadanifontodlomka1"/>
          <w:rFonts w:ascii="Calibri" w:eastAsia="SimSun" w:hAnsi="Calibri" w:cs="Calibri"/>
          <w:sz w:val="22"/>
          <w:szCs w:val="22"/>
          <w:lang w:val="hr-HR"/>
        </w:rPr>
        <w:t xml:space="preserve">potpisao Sporazum o suradnji s PJSC „ECA“ Ukrajina, </w:t>
      </w:r>
      <w:r>
        <w:rPr>
          <w:rStyle w:val="Zadanifontodlomka1"/>
          <w:rFonts w:ascii="Calibri" w:hAnsi="Calibri" w:cs="Calibri"/>
          <w:sz w:val="22"/>
          <w:szCs w:val="22"/>
          <w:lang w:val="hr-HR"/>
        </w:rPr>
        <w:t xml:space="preserve">ukrajinskom </w:t>
      </w:r>
      <w:r>
        <w:rPr>
          <w:rStyle w:val="Zadanifontodlomka1"/>
          <w:rFonts w:ascii="Calibri" w:eastAsia="SimSun" w:hAnsi="Calibri" w:cs="Calibri"/>
          <w:sz w:val="22"/>
          <w:szCs w:val="22"/>
          <w:lang w:val="hr-HR"/>
        </w:rPr>
        <w:t>državnom agencijom koja obavlja poslove izvozno-kreditnog osiguranja čime se pružila podrška ovoj instituciji u teškim trenucima prouzročenim ratnim zbivanjima.</w:t>
      </w:r>
    </w:p>
    <w:p w14:paraId="1748D8BF" w14:textId="1C67476E"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HBOR je tijekom 2022.</w:t>
      </w:r>
      <w:r w:rsidR="00A10400">
        <w:rPr>
          <w:rFonts w:ascii="Calibri" w:eastAsia="SimSun" w:hAnsi="Calibri" w:cs="Calibri"/>
          <w:sz w:val="22"/>
          <w:szCs w:val="22"/>
          <w:lang w:val="hr-HR"/>
        </w:rPr>
        <w:t xml:space="preserve"> </w:t>
      </w:r>
      <w:r>
        <w:rPr>
          <w:rFonts w:ascii="Calibri" w:eastAsia="SimSun" w:hAnsi="Calibri" w:cs="Calibri"/>
          <w:sz w:val="22"/>
          <w:szCs w:val="22"/>
          <w:lang w:val="hr-HR"/>
        </w:rPr>
        <w:t>aktivno sudjelovao na sastancima Radne skupine za izvozne kredite (</w:t>
      </w:r>
      <w:r w:rsidR="007F13D5" w:rsidRPr="007E3A4D">
        <w:rPr>
          <w:rFonts w:ascii="Calibri" w:eastAsia="SimSun" w:hAnsi="Calibri" w:cs="Calibri"/>
          <w:i/>
          <w:iCs/>
          <w:sz w:val="22"/>
          <w:szCs w:val="22"/>
          <w:lang w:val="hr-HR"/>
        </w:rPr>
        <w:t xml:space="preserve">engl. </w:t>
      </w:r>
      <w:r w:rsidRPr="007E3A4D">
        <w:rPr>
          <w:rFonts w:ascii="Calibri" w:eastAsia="SimSun" w:hAnsi="Calibri" w:cs="Calibri"/>
          <w:i/>
          <w:iCs/>
          <w:sz w:val="22"/>
          <w:szCs w:val="22"/>
          <w:lang w:val="hr-HR"/>
        </w:rPr>
        <w:t>Export Credits Group, ECG</w:t>
      </w:r>
      <w:r>
        <w:rPr>
          <w:rFonts w:ascii="Calibri" w:eastAsia="SimSun" w:hAnsi="Calibri" w:cs="Calibri"/>
          <w:sz w:val="22"/>
          <w:szCs w:val="22"/>
          <w:lang w:val="hr-HR"/>
        </w:rPr>
        <w:t>) Vijeća Europske unije i na sastancima Radne skupine za izvozne kredite OECD-a na kojima je kao stručni član hrvatske delegacije dao značajan doprinos. Rad ECG-a bio</w:t>
      </w:r>
      <w:r w:rsidR="007F13D5">
        <w:rPr>
          <w:rFonts w:ascii="Calibri" w:eastAsia="SimSun" w:hAnsi="Calibri" w:cs="Calibri"/>
          <w:sz w:val="22"/>
          <w:szCs w:val="22"/>
          <w:lang w:val="hr-HR"/>
        </w:rPr>
        <w:t xml:space="preserve"> je</w:t>
      </w:r>
      <w:r>
        <w:rPr>
          <w:rFonts w:ascii="Calibri" w:eastAsia="SimSun" w:hAnsi="Calibri" w:cs="Calibri"/>
          <w:sz w:val="22"/>
          <w:szCs w:val="22"/>
          <w:lang w:val="hr-HR"/>
        </w:rPr>
        <w:t xml:space="preserve"> vrlo dinamičan</w:t>
      </w:r>
      <w:r w:rsidR="007F13D5">
        <w:rPr>
          <w:rFonts w:ascii="Calibri" w:eastAsia="SimSun" w:hAnsi="Calibri" w:cs="Calibri"/>
          <w:sz w:val="22"/>
          <w:szCs w:val="22"/>
          <w:lang w:val="hr-HR"/>
        </w:rPr>
        <w:t>,</w:t>
      </w:r>
      <w:r>
        <w:rPr>
          <w:rFonts w:ascii="Calibri" w:eastAsia="SimSun" w:hAnsi="Calibri" w:cs="Calibri"/>
          <w:sz w:val="22"/>
          <w:szCs w:val="22"/>
          <w:lang w:val="hr-HR"/>
        </w:rPr>
        <w:t xml:space="preserve"> naročito u dijelu pregovora oko modernizacije OECD Sporazuma o službeno podupiranim izvoznim kreditima, aktivnostima oko donošenja europske strategije izvoznog financiranja s ciljem povećanja konkurentnosti europskih poduzetnika na globalnim tržištima te u aktivnostima vezanim za zelenu tranziciju kroz daljnje postupno smanjivanje službene potpore za elektrane na ugljen.</w:t>
      </w:r>
    </w:p>
    <w:p w14:paraId="1748D8C0" w14:textId="159450B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Osim prethodno navedenog, HBOR je sudjelovao u radu neformalnog foruma izvozno-kreditnih agencija (ECA) na razini Europske unije pod nazivom EU Heads of ECA Forum. Cilj ovog foruma</w:t>
      </w:r>
      <w:r w:rsidR="007F13D5">
        <w:rPr>
          <w:rFonts w:ascii="Calibri" w:eastAsia="SimSun" w:hAnsi="Calibri" w:cs="Calibri"/>
          <w:sz w:val="22"/>
          <w:szCs w:val="22"/>
          <w:lang w:val="hr-HR"/>
        </w:rPr>
        <w:t>,</w:t>
      </w:r>
      <w:r>
        <w:rPr>
          <w:rFonts w:ascii="Calibri" w:eastAsia="SimSun" w:hAnsi="Calibri" w:cs="Calibri"/>
          <w:sz w:val="22"/>
          <w:szCs w:val="22"/>
          <w:lang w:val="hr-HR"/>
        </w:rPr>
        <w:t xml:space="preserve"> koji prvenstveno okuplja predsjednike uprava ECA</w:t>
      </w:r>
      <w:r w:rsidR="007F13D5">
        <w:rPr>
          <w:rFonts w:ascii="Calibri" w:eastAsia="SimSun" w:hAnsi="Calibri" w:cs="Calibri"/>
          <w:sz w:val="22"/>
          <w:szCs w:val="22"/>
          <w:lang w:val="hr-HR"/>
        </w:rPr>
        <w:t>,</w:t>
      </w:r>
      <w:r>
        <w:rPr>
          <w:rFonts w:ascii="Calibri" w:eastAsia="SimSun" w:hAnsi="Calibri" w:cs="Calibri"/>
          <w:sz w:val="22"/>
          <w:szCs w:val="22"/>
          <w:lang w:val="hr-HR"/>
        </w:rPr>
        <w:t xml:space="preserve"> je osigurati platformu za razmjenu na visokoj razini vezano za potrebu za promjenama u okviru djelovanja ECA, povećati njihovu vizibilnost, osigurati bolje informiranje javnosti i vlada o njihovoj ulozi i doprinosu gospodarstvima država u kojima djeluju te potaknuti veću razmjenu znanja i dobrih praksi s kojima se susreću u poslovanju.</w:t>
      </w:r>
    </w:p>
    <w:p w14:paraId="1748D8C2" w14:textId="79FB3E9F" w:rsidR="00382CF2" w:rsidRDefault="00054989">
      <w:pPr>
        <w:spacing w:before="120" w:after="120" w:line="276" w:lineRule="auto"/>
        <w:jc w:val="both"/>
        <w:rPr>
          <w:rFonts w:ascii="Calibri" w:eastAsia="Calibri" w:hAnsi="Calibri" w:cs="Calibri"/>
          <w:sz w:val="22"/>
          <w:szCs w:val="22"/>
          <w:lang w:val="hr-HR"/>
        </w:rPr>
      </w:pPr>
      <w:r>
        <w:rPr>
          <w:rStyle w:val="Zadanifontodlomka1"/>
          <w:rFonts w:ascii="Calibri" w:eastAsia="SimSun" w:hAnsi="Calibri" w:cs="Calibri"/>
          <w:sz w:val="22"/>
          <w:szCs w:val="22"/>
          <w:lang w:val="hr-HR"/>
        </w:rPr>
        <w:t>HBOR je</w:t>
      </w:r>
      <w:r w:rsidR="00512E9C">
        <w:rPr>
          <w:rStyle w:val="Zadanifontodlomka1"/>
          <w:rFonts w:ascii="Calibri" w:eastAsia="SimSun" w:hAnsi="Calibri" w:cs="Calibri"/>
          <w:sz w:val="22"/>
          <w:szCs w:val="22"/>
          <w:lang w:val="hr-HR"/>
        </w:rPr>
        <w:t xml:space="preserve"> </w:t>
      </w:r>
      <w:r>
        <w:rPr>
          <w:rStyle w:val="Zadanifontodlomka1"/>
          <w:rFonts w:ascii="Calibri" w:eastAsia="SimSun" w:hAnsi="Calibri" w:cs="Calibri"/>
          <w:sz w:val="22"/>
          <w:szCs w:val="22"/>
          <w:lang w:val="hr-HR"/>
        </w:rPr>
        <w:t>u 2022.</w:t>
      </w:r>
      <w:r w:rsidR="004E5337">
        <w:rPr>
          <w:rStyle w:val="Zadanifontodlomka1"/>
          <w:rFonts w:ascii="Calibri" w:eastAsia="SimSun" w:hAnsi="Calibri" w:cs="Calibri"/>
          <w:sz w:val="22"/>
          <w:szCs w:val="22"/>
          <w:lang w:val="hr-HR"/>
        </w:rPr>
        <w:t xml:space="preserve"> nastavio djelovati kao</w:t>
      </w:r>
      <w:r>
        <w:rPr>
          <w:rStyle w:val="Zadanifontodlomka1"/>
          <w:rFonts w:ascii="Calibri" w:eastAsia="SimSun" w:hAnsi="Calibri" w:cs="Calibri"/>
          <w:sz w:val="22"/>
          <w:szCs w:val="22"/>
          <w:lang w:val="hr-HR"/>
        </w:rPr>
        <w:t xml:space="preserve"> aktivan član Bernske unije</w:t>
      </w:r>
      <w:r w:rsidR="004E5337">
        <w:rPr>
          <w:rStyle w:val="Zadanifontodlomka1"/>
          <w:rFonts w:ascii="Calibri" w:eastAsia="SimSun" w:hAnsi="Calibri" w:cs="Calibri"/>
          <w:sz w:val="22"/>
          <w:szCs w:val="22"/>
          <w:lang w:val="hr-HR"/>
        </w:rPr>
        <w:t xml:space="preserve">, </w:t>
      </w:r>
      <w:r>
        <w:rPr>
          <w:rStyle w:val="Zadanifontodlomka1"/>
          <w:rFonts w:ascii="Calibri" w:eastAsia="SimSun" w:hAnsi="Calibri" w:cs="Calibri"/>
          <w:sz w:val="22"/>
          <w:szCs w:val="22"/>
          <w:lang w:val="hr-HR"/>
        </w:rPr>
        <w:t xml:space="preserve">najvećeg svjetskog udruženja izvozno-kreditnih osiguratelja </w:t>
      </w:r>
      <w:r w:rsidR="001817DC">
        <w:rPr>
          <w:rStyle w:val="Zadanifontodlomka1"/>
          <w:rFonts w:ascii="Calibri" w:eastAsia="SimSun" w:hAnsi="Calibri" w:cs="Calibri"/>
          <w:sz w:val="22"/>
          <w:szCs w:val="22"/>
          <w:lang w:val="hr-HR"/>
        </w:rPr>
        <w:t xml:space="preserve">koji </w:t>
      </w:r>
      <w:r>
        <w:rPr>
          <w:rStyle w:val="Zadanifontodlomka1"/>
          <w:rFonts w:ascii="Calibri" w:eastAsia="SimSun" w:hAnsi="Calibri" w:cs="Calibri"/>
          <w:sz w:val="22"/>
          <w:szCs w:val="22"/>
          <w:lang w:val="hr-HR"/>
        </w:rPr>
        <w:t xml:space="preserve">broji 85 članica iz cijelog svijeta, u kojem je HBOR član jednog od </w:t>
      </w:r>
      <w:r w:rsidR="001817DC">
        <w:rPr>
          <w:rStyle w:val="Zadanifontodlomka1"/>
          <w:rFonts w:ascii="Calibri" w:eastAsia="SimSun" w:hAnsi="Calibri" w:cs="Calibri"/>
          <w:sz w:val="22"/>
          <w:szCs w:val="22"/>
          <w:lang w:val="hr-HR"/>
        </w:rPr>
        <w:t xml:space="preserve">četiri </w:t>
      </w:r>
      <w:r>
        <w:rPr>
          <w:rStyle w:val="Zadanifontodlomka1"/>
          <w:rFonts w:ascii="Calibri" w:eastAsia="SimSun" w:hAnsi="Calibri" w:cs="Calibri"/>
          <w:sz w:val="22"/>
          <w:szCs w:val="22"/>
          <w:lang w:val="hr-HR"/>
        </w:rPr>
        <w:t xml:space="preserve">operativna odbora - Odbora Praškog kluba. </w:t>
      </w:r>
      <w:r w:rsidR="001817DC">
        <w:rPr>
          <w:rStyle w:val="Zadanifontodlomka1"/>
          <w:rFonts w:ascii="Calibri" w:eastAsia="SimSun" w:hAnsi="Calibri" w:cs="Calibri"/>
          <w:sz w:val="22"/>
          <w:szCs w:val="22"/>
          <w:lang w:val="hr-HR"/>
        </w:rPr>
        <w:t>U</w:t>
      </w:r>
      <w:r>
        <w:rPr>
          <w:rStyle w:val="Zadanifontodlomka1"/>
          <w:rFonts w:ascii="Calibri" w:eastAsia="SimSun" w:hAnsi="Calibri" w:cs="Calibri"/>
          <w:sz w:val="22"/>
          <w:szCs w:val="22"/>
          <w:lang w:val="hr-HR"/>
        </w:rPr>
        <w:t xml:space="preserve"> 2022.</w:t>
      </w:r>
      <w:r w:rsidR="001817DC">
        <w:rPr>
          <w:rStyle w:val="Zadanifontodlomka1"/>
          <w:rFonts w:ascii="Calibri" w:eastAsia="SimSun" w:hAnsi="Calibri" w:cs="Calibri"/>
          <w:sz w:val="22"/>
          <w:szCs w:val="22"/>
          <w:lang w:val="hr-HR"/>
        </w:rPr>
        <w:t xml:space="preserve"> </w:t>
      </w:r>
      <w:r>
        <w:rPr>
          <w:rStyle w:val="Zadanifontodlomka1"/>
          <w:rFonts w:ascii="Calibri" w:eastAsia="SimSun" w:hAnsi="Calibri" w:cs="Calibri"/>
          <w:sz w:val="22"/>
          <w:szCs w:val="22"/>
          <w:lang w:val="hr-HR"/>
        </w:rPr>
        <w:t xml:space="preserve">predstavnici HBOR-a aktivno </w:t>
      </w:r>
      <w:r w:rsidR="001817DC">
        <w:rPr>
          <w:rStyle w:val="Zadanifontodlomka1"/>
          <w:rFonts w:ascii="Calibri" w:eastAsia="SimSun" w:hAnsi="Calibri" w:cs="Calibri"/>
          <w:sz w:val="22"/>
          <w:szCs w:val="22"/>
          <w:lang w:val="hr-HR"/>
        </w:rPr>
        <w:t xml:space="preserve">su </w:t>
      </w:r>
      <w:r>
        <w:rPr>
          <w:rStyle w:val="Zadanifontodlomka1"/>
          <w:rFonts w:ascii="Calibri" w:eastAsia="SimSun" w:hAnsi="Calibri" w:cs="Calibri"/>
          <w:sz w:val="22"/>
          <w:szCs w:val="22"/>
          <w:lang w:val="hr-HR"/>
        </w:rPr>
        <w:t xml:space="preserve">sudjelovali na općem proljetnom sastanku Bernske unije koji je održan u svibnju u Istanbulu te na </w:t>
      </w:r>
      <w:r w:rsidR="00D2143C" w:rsidRPr="00D2143C">
        <w:rPr>
          <w:rStyle w:val="Zadanifontodlomka1"/>
          <w:rFonts w:ascii="Calibri" w:eastAsia="SimSun" w:hAnsi="Calibri" w:cs="Calibri"/>
          <w:sz w:val="22"/>
          <w:szCs w:val="22"/>
          <w:lang w:val="hr-HR"/>
        </w:rPr>
        <w:t xml:space="preserve">pet tematskih, specijalističkih sastanaka </w:t>
      </w:r>
      <w:r>
        <w:rPr>
          <w:rStyle w:val="Zadanifontodlomka1"/>
          <w:rFonts w:ascii="Calibri" w:eastAsia="SimSun" w:hAnsi="Calibri" w:cs="Calibri"/>
          <w:sz w:val="22"/>
          <w:szCs w:val="22"/>
          <w:lang w:val="hr-HR"/>
        </w:rPr>
        <w:t xml:space="preserve">(o digitalizaciji, odštetama i regresnim naplatama, podršci </w:t>
      </w:r>
      <w:r w:rsidR="00C7039E">
        <w:rPr>
          <w:rStyle w:val="Zadanifontodlomka1"/>
          <w:rFonts w:ascii="Calibri" w:eastAsia="SimSun" w:hAnsi="Calibri" w:cs="Calibri"/>
          <w:sz w:val="22"/>
          <w:szCs w:val="22"/>
          <w:lang w:val="hr-HR"/>
        </w:rPr>
        <w:t xml:space="preserve">malim i srednjim poduzetnicima </w:t>
      </w:r>
      <w:r>
        <w:rPr>
          <w:rStyle w:val="Zadanifontodlomka1"/>
          <w:rFonts w:ascii="Calibri" w:eastAsia="SimSun" w:hAnsi="Calibri" w:cs="Calibri"/>
          <w:sz w:val="22"/>
          <w:szCs w:val="22"/>
          <w:lang w:val="hr-HR"/>
        </w:rPr>
        <w:t>izvoznicima</w:t>
      </w:r>
      <w:r w:rsidR="00D2143C">
        <w:rPr>
          <w:rStyle w:val="Zadanifontodlomka1"/>
          <w:rFonts w:ascii="Calibri" w:eastAsia="SimSun" w:hAnsi="Calibri" w:cs="Calibri"/>
          <w:sz w:val="22"/>
          <w:szCs w:val="22"/>
          <w:lang w:val="hr-HR"/>
        </w:rPr>
        <w:t xml:space="preserve">, </w:t>
      </w:r>
      <w:r w:rsidR="00D2143C" w:rsidRPr="008A255C">
        <w:rPr>
          <w:rStyle w:val="Zadanifontodlomka1"/>
          <w:rFonts w:ascii="Calibri" w:eastAsia="SimSun" w:hAnsi="Calibri" w:cs="Calibri"/>
          <w:sz w:val="22"/>
          <w:szCs w:val="22"/>
          <w:lang w:val="hr-HR"/>
        </w:rPr>
        <w:t>premijskim stopama i rejtingu klijenata za srednjoročno-dugoročne poslove osiguranja</w:t>
      </w:r>
      <w:r>
        <w:rPr>
          <w:rStyle w:val="Zadanifontodlomka1"/>
          <w:rFonts w:ascii="Calibri" w:eastAsia="SimSun" w:hAnsi="Calibri" w:cs="Calibri"/>
          <w:sz w:val="22"/>
          <w:szCs w:val="22"/>
          <w:lang w:val="hr-HR"/>
        </w:rPr>
        <w:t xml:space="preserve"> i sastanku namijenjenom novim </w:t>
      </w:r>
      <w:r>
        <w:rPr>
          <w:rStyle w:val="Zadanifontodlomka1"/>
          <w:rFonts w:ascii="Calibri" w:hAnsi="Calibri" w:cs="Calibri"/>
          <w:sz w:val="22"/>
          <w:szCs w:val="22"/>
          <w:lang w:val="hr-HR"/>
        </w:rPr>
        <w:t>zaposlenicima).</w:t>
      </w:r>
    </w:p>
    <w:p w14:paraId="64F02F96" w14:textId="77777777" w:rsidR="00891E0E" w:rsidRDefault="00891E0E">
      <w:pPr>
        <w:spacing w:before="120" w:after="120" w:line="276" w:lineRule="auto"/>
        <w:jc w:val="both"/>
        <w:rPr>
          <w:rFonts w:ascii="Calibri" w:eastAsia="Calibri" w:hAnsi="Calibri" w:cs="Calibri"/>
          <w:sz w:val="22"/>
          <w:szCs w:val="22"/>
          <w:lang w:val="hr-HR"/>
        </w:rPr>
      </w:pPr>
    </w:p>
    <w:p w14:paraId="1748D8C3" w14:textId="77777777" w:rsidR="00382CF2" w:rsidRDefault="00054989">
      <w:pPr>
        <w:spacing w:before="120" w:after="120" w:line="276" w:lineRule="auto"/>
        <w:jc w:val="both"/>
        <w:rPr>
          <w:rStyle w:val="Zadanifontodlomka1"/>
          <w:rFonts w:ascii="Calibri" w:eastAsia="SimSun" w:hAnsi="Calibri" w:cs="Calibri"/>
          <w:b/>
          <w:bCs/>
          <w:sz w:val="22"/>
          <w:szCs w:val="22"/>
          <w:lang w:val="hr-HR"/>
        </w:rPr>
      </w:pPr>
      <w:r>
        <w:rPr>
          <w:rStyle w:val="Zadanifontodlomka1"/>
          <w:rFonts w:ascii="Calibri" w:hAnsi="Calibri" w:cs="Calibri"/>
          <w:b/>
          <w:bCs/>
          <w:sz w:val="22"/>
          <w:szCs w:val="22"/>
          <w:lang w:val="hr-HR"/>
        </w:rPr>
        <w:t>Zaštita osobnih po</w:t>
      </w:r>
      <w:r>
        <w:rPr>
          <w:rStyle w:val="Zadanifontodlomka1"/>
          <w:rFonts w:ascii="Calibri" w:eastAsia="SimSun" w:hAnsi="Calibri" w:cs="Calibri"/>
          <w:b/>
          <w:bCs/>
          <w:sz w:val="22"/>
          <w:szCs w:val="22"/>
          <w:lang w:val="hr-HR"/>
        </w:rPr>
        <w:t xml:space="preserve">dataka </w:t>
      </w:r>
    </w:p>
    <w:p w14:paraId="1748D8C4" w14:textId="75021E0F" w:rsidR="00382CF2" w:rsidRDefault="00054989">
      <w:pPr>
        <w:spacing w:before="120" w:after="120" w:line="276" w:lineRule="auto"/>
        <w:jc w:val="both"/>
        <w:rPr>
          <w:rFonts w:ascii="Calibri" w:hAnsi="Calibri" w:cs="Calibri"/>
          <w:sz w:val="22"/>
          <w:szCs w:val="22"/>
          <w:lang w:val="hr-HR"/>
        </w:rPr>
      </w:pPr>
      <w:r>
        <w:rPr>
          <w:rFonts w:ascii="Calibri" w:hAnsi="Calibri" w:cs="Calibri"/>
          <w:sz w:val="22"/>
          <w:szCs w:val="22"/>
          <w:lang w:val="hr-HR"/>
        </w:rPr>
        <w:t>HBOR je u 2022.</w:t>
      </w:r>
      <w:r w:rsidR="005B4867">
        <w:rPr>
          <w:rFonts w:ascii="Calibri" w:hAnsi="Calibri" w:cs="Calibri"/>
          <w:sz w:val="22"/>
          <w:szCs w:val="22"/>
          <w:lang w:val="hr-HR"/>
        </w:rPr>
        <w:t xml:space="preserve"> </w:t>
      </w:r>
      <w:r>
        <w:rPr>
          <w:rFonts w:ascii="Calibri" w:hAnsi="Calibri" w:cs="Calibri"/>
          <w:sz w:val="22"/>
          <w:szCs w:val="22"/>
          <w:lang w:val="hr-HR"/>
        </w:rPr>
        <w:t>nastavio s ažuriranjem i dopunjavanjem Registra obrada osobnih podataka, prilagođavanjem poslovnih procesa GDPR-u, smanjenjem redundancije u obradi podataka kroz usklađenje poslovnih aplikacija, proveo nekoliko internih edukacija radnika te nekoliko procjena učinka na zaštitu podataka u odnosu na rizičnije obrade osobnih podataka. Provedene promjene u načinima obrade osobnih podataka u svrhu usklađenja s GDPR-om dodatno su umanjile rizike obrada osobnih podataka radnika i klijenata HBOR-a.</w:t>
      </w:r>
    </w:p>
    <w:p w14:paraId="09609AAD" w14:textId="77777777" w:rsidR="00D01208" w:rsidRPr="00867A50" w:rsidRDefault="00D01208">
      <w:pPr>
        <w:spacing w:before="120" w:after="120" w:line="276" w:lineRule="auto"/>
        <w:jc w:val="both"/>
        <w:rPr>
          <w:rFonts w:ascii="Calibri" w:eastAsia="Calibri" w:hAnsi="Calibri" w:cs="Calibri"/>
          <w:sz w:val="22"/>
          <w:szCs w:val="22"/>
          <w:lang w:val="hr-HR"/>
        </w:rPr>
      </w:pPr>
    </w:p>
    <w:p w14:paraId="1748D8C7" w14:textId="77777777" w:rsidR="00382CF2" w:rsidRDefault="00054989" w:rsidP="00867A50">
      <w:pPr>
        <w:spacing w:before="120" w:after="120" w:line="276" w:lineRule="auto"/>
        <w:jc w:val="both"/>
        <w:rPr>
          <w:rFonts w:ascii="Calibri" w:eastAsia="SimSun" w:hAnsi="Calibri" w:cs="Calibri"/>
          <w:b/>
          <w:sz w:val="22"/>
          <w:szCs w:val="22"/>
          <w:lang w:val="hr-HR"/>
        </w:rPr>
      </w:pPr>
      <w:bookmarkStart w:id="64" w:name="_Toc509582271"/>
      <w:r w:rsidRPr="00105FFC">
        <w:rPr>
          <w:rFonts w:ascii="Calibri" w:eastAsia="Calibri" w:hAnsi="Calibri" w:cs="Calibri"/>
          <w:b/>
          <w:bCs/>
          <w:sz w:val="22"/>
          <w:szCs w:val="22"/>
          <w:lang w:val="hr-HR"/>
        </w:rPr>
        <w:t>F</w:t>
      </w:r>
      <w:r>
        <w:rPr>
          <w:rFonts w:ascii="Calibri" w:eastAsia="SimSun" w:hAnsi="Calibri" w:cs="Calibri"/>
          <w:b/>
          <w:sz w:val="22"/>
          <w:szCs w:val="22"/>
          <w:lang w:val="hr-HR"/>
        </w:rPr>
        <w:t xml:space="preserve">unkcija </w:t>
      </w:r>
      <w:bookmarkEnd w:id="64"/>
      <w:r>
        <w:rPr>
          <w:rFonts w:ascii="Calibri" w:eastAsia="SimSun" w:hAnsi="Calibri" w:cs="Calibri"/>
          <w:b/>
          <w:sz w:val="22"/>
          <w:szCs w:val="22"/>
          <w:lang w:val="hr-HR"/>
        </w:rPr>
        <w:t>sprječavanja pranja novca i financiranja terorizma</w:t>
      </w:r>
    </w:p>
    <w:p w14:paraId="1748D8C9" w14:textId="0A5E48F0" w:rsidR="00382CF2" w:rsidRDefault="00054989">
      <w:pPr>
        <w:spacing w:before="120" w:after="120" w:line="276" w:lineRule="auto"/>
        <w:jc w:val="both"/>
        <w:rPr>
          <w:rFonts w:ascii="Calibri" w:hAnsi="Calibri" w:cs="Calibri"/>
          <w:sz w:val="22"/>
          <w:szCs w:val="22"/>
          <w:lang w:val="hr-HR"/>
        </w:rPr>
      </w:pPr>
      <w:r>
        <w:rPr>
          <w:rStyle w:val="Zadanifontodlomka1"/>
          <w:rFonts w:ascii="Calibri" w:eastAsia="SimSun" w:hAnsi="Calibri" w:cs="Calibri"/>
          <w:sz w:val="22"/>
          <w:szCs w:val="22"/>
          <w:lang w:val="hr-HR"/>
        </w:rPr>
        <w:t xml:space="preserve">HBOR u svom poslovanju provodi mjere, radnje i postupke sprječavanja pranja novca i financiranja terorizma u skladu s odredbama Zakona o sprječavanju pranja novca i financiranja terorizma, propisima donesenim na temelju Zakona te u skladu s odredbama HBOR-ovog Pravilnika o sprječavanju pranja novca </w:t>
      </w:r>
      <w:r>
        <w:rPr>
          <w:rStyle w:val="Zadanifontodlomka1"/>
          <w:rFonts w:ascii="Calibri" w:eastAsia="SimSun" w:hAnsi="Calibri" w:cs="Calibri"/>
          <w:sz w:val="22"/>
          <w:szCs w:val="22"/>
          <w:lang w:val="hr-HR"/>
        </w:rPr>
        <w:lastRenderedPageBreak/>
        <w:t xml:space="preserve">i financiranja terorizma i Metodologije za provedbu mjera, radnji i postupaka sprječavanja pranja novca i </w:t>
      </w:r>
      <w:r>
        <w:rPr>
          <w:rStyle w:val="Zadanifontodlomka1"/>
          <w:rFonts w:ascii="Calibri" w:hAnsi="Calibri" w:cs="Calibri"/>
          <w:sz w:val="22"/>
          <w:szCs w:val="22"/>
          <w:lang w:val="hr-HR"/>
        </w:rPr>
        <w:t>financiranja terorizma.</w:t>
      </w:r>
    </w:p>
    <w:p w14:paraId="1A350F82" w14:textId="77777777" w:rsidR="00592975" w:rsidRDefault="00592975">
      <w:pPr>
        <w:spacing w:before="120" w:after="120" w:line="276" w:lineRule="auto"/>
        <w:jc w:val="both"/>
        <w:rPr>
          <w:rFonts w:ascii="Calibri" w:hAnsi="Calibri" w:cs="Calibri"/>
          <w:sz w:val="22"/>
          <w:szCs w:val="22"/>
          <w:lang w:val="hr-HR"/>
        </w:rPr>
      </w:pPr>
    </w:p>
    <w:p w14:paraId="33711B9D" w14:textId="1E0D1BD2" w:rsidR="0043181F" w:rsidRDefault="00054989">
      <w:pPr>
        <w:spacing w:before="120" w:after="120" w:line="276" w:lineRule="auto"/>
        <w:jc w:val="both"/>
        <w:rPr>
          <w:rStyle w:val="Zadanifontodlomka1"/>
          <w:rFonts w:ascii="Calibri" w:hAnsi="Calibri" w:cs="Calibri"/>
          <w:sz w:val="22"/>
          <w:szCs w:val="22"/>
          <w:lang w:val="hr-HR" w:eastAsia="hr-HR"/>
        </w:rPr>
      </w:pPr>
      <w:r>
        <w:rPr>
          <w:rStyle w:val="Zadanifontodlomka1"/>
          <w:rFonts w:ascii="Calibri" w:hAnsi="Calibri" w:cs="Calibri"/>
          <w:b/>
          <w:bCs/>
          <w:sz w:val="22"/>
          <w:szCs w:val="22"/>
          <w:lang w:val="hr-HR"/>
        </w:rPr>
        <w:t>Područni</w:t>
      </w:r>
      <w:r>
        <w:rPr>
          <w:rStyle w:val="Zadanifontodlomka1"/>
          <w:rFonts w:ascii="Calibri" w:eastAsia="SimSun" w:hAnsi="Calibri" w:cs="Calibri"/>
          <w:b/>
          <w:bCs/>
          <w:sz w:val="22"/>
          <w:szCs w:val="22"/>
          <w:lang w:val="hr-HR"/>
        </w:rPr>
        <w:t xml:space="preserve"> uredi</w:t>
      </w:r>
    </w:p>
    <w:p w14:paraId="1748D8CC" w14:textId="7226D7AD" w:rsidR="00382CF2" w:rsidRDefault="00054989">
      <w:pPr>
        <w:spacing w:before="120" w:after="120" w:line="276" w:lineRule="auto"/>
        <w:jc w:val="both"/>
        <w:rPr>
          <w:rFonts w:ascii="Calibri" w:hAnsi="Calibri" w:cs="Calibri"/>
          <w:sz w:val="22"/>
          <w:szCs w:val="22"/>
          <w:lang w:val="hr-HR"/>
        </w:rPr>
      </w:pPr>
      <w:r>
        <w:rPr>
          <w:rStyle w:val="Zadanifontodlomka1"/>
          <w:rFonts w:ascii="Calibri" w:hAnsi="Calibri" w:cs="Calibri"/>
          <w:sz w:val="22"/>
          <w:szCs w:val="22"/>
          <w:lang w:val="hr-HR" w:eastAsia="hr-HR"/>
        </w:rPr>
        <w:t>Tijekom 2022.</w:t>
      </w:r>
      <w:r w:rsidR="001F2313">
        <w:rPr>
          <w:rStyle w:val="Zadanifontodlomka1"/>
          <w:rFonts w:ascii="Calibri" w:hAnsi="Calibri" w:cs="Calibri"/>
          <w:sz w:val="22"/>
          <w:szCs w:val="22"/>
          <w:lang w:val="hr-HR" w:eastAsia="hr-HR"/>
        </w:rPr>
        <w:t xml:space="preserve"> </w:t>
      </w:r>
      <w:r>
        <w:rPr>
          <w:rStyle w:val="Zadanifontodlomka1"/>
          <w:rFonts w:ascii="Calibri" w:hAnsi="Calibri" w:cs="Calibri"/>
          <w:sz w:val="22"/>
          <w:szCs w:val="22"/>
          <w:lang w:val="hr-HR" w:eastAsia="hr-HR"/>
        </w:rPr>
        <w:t xml:space="preserve">područni uredi HBOR-a (u Gospiću, Osijeku, Puli, Rijeci, Splitu i Varaždinu), realizirali su planirane aktivnosti u segmentima kontakata, prezentacija i edukacija te iniciranja kreditne aktivnosti u dijelu koji je razmjeran kreditnoj aktivnosti na razini HBOR-a kao cjeline. Područni uredi u provedbi planiranih aktivnosti uspješno surađuju s uredima za gospodarstvo jedinica lokalne uprave i samouprave, nadležnim gospodarskim i obrtničkim komorama, poduzetničkim centrima ili razvojnim agencijama te lokalnim akcijskim grupama. Glavnina aktivnosti usmjerena je na savjetovanje i informiranje poduzetnika o korištenju HBOR-ovih proizvoda kao izvora financiranja za ulaganja u pokretanje poslovanja, rast i razvoj. Područni uredi smatraju se važnim distribucijskim kanalom proizvoda HBOR-a, posebno u kontekstu realizacije aktivnosti u okviru Nacionalnog plana za oporavak i otpornost, provedbe Operativnih programa Strategije </w:t>
      </w:r>
      <w:r>
        <w:rPr>
          <w:rStyle w:val="Zadanifontodlomka1"/>
          <w:rFonts w:ascii="Calibri" w:hAnsi="Calibri" w:cs="Calibri"/>
          <w:sz w:val="22"/>
          <w:szCs w:val="22"/>
          <w:lang w:val="hr-HR"/>
        </w:rPr>
        <w:t>poslovanja HBOR-a te programa u sklopu Privremenog kriznog okvira (TCF).</w:t>
      </w:r>
    </w:p>
    <w:p w14:paraId="4E1B4AAD" w14:textId="77777777" w:rsidR="008B38E7" w:rsidRDefault="008B38E7">
      <w:pPr>
        <w:spacing w:before="120" w:after="120" w:line="276" w:lineRule="auto"/>
        <w:jc w:val="both"/>
        <w:rPr>
          <w:rFonts w:ascii="Calibri" w:hAnsi="Calibri" w:cs="Calibri"/>
          <w:sz w:val="22"/>
          <w:szCs w:val="22"/>
          <w:lang w:val="hr-HR"/>
        </w:rPr>
      </w:pPr>
    </w:p>
    <w:p w14:paraId="1748D8CD" w14:textId="77777777" w:rsidR="00382CF2" w:rsidRDefault="00054989">
      <w:pPr>
        <w:spacing w:before="120" w:after="120" w:line="276" w:lineRule="auto"/>
        <w:jc w:val="both"/>
        <w:rPr>
          <w:rFonts w:ascii="Calibri" w:hAnsi="Calibri" w:cs="Calibri"/>
          <w:b/>
          <w:bCs/>
          <w:sz w:val="22"/>
          <w:szCs w:val="22"/>
          <w:lang w:val="hr-HR"/>
        </w:rPr>
      </w:pPr>
      <w:r>
        <w:rPr>
          <w:rFonts w:ascii="Calibri" w:hAnsi="Calibri" w:cs="Calibri"/>
          <w:b/>
          <w:bCs/>
          <w:sz w:val="22"/>
          <w:szCs w:val="22"/>
          <w:lang w:val="hr-HR"/>
        </w:rPr>
        <w:t>Javnost rada</w:t>
      </w:r>
    </w:p>
    <w:p w14:paraId="1748D8CE" w14:textId="572CF3E5"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HBOR osobitu pozornost posvećuje informiranju javnosti o ciljevima svog rada i mjerama za njihovo ostvarivanje kao i o rezultatima svojih aktivnosti, poštujući pri tome i vodeći računa o propisanoj bankovnoj tajni i njezinoj funkciji. Primjenom različitih oblika informiranja, HBOR je i tijekom 2022. redovito obavještavao javnost o svim svojim važnijim aktivnostima. </w:t>
      </w:r>
    </w:p>
    <w:p w14:paraId="1748D8CF" w14:textId="3A112E33"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Tijekom izvještajne godine objavljeno je 19 postupka javne nabave u elektroničkom oglasniku javne nabave. Od 1. srpnja 2017.</w:t>
      </w:r>
      <w:r w:rsidR="0017330D">
        <w:rPr>
          <w:rFonts w:ascii="Calibri" w:eastAsia="SimSun" w:hAnsi="Calibri" w:cs="Calibri"/>
          <w:sz w:val="22"/>
          <w:szCs w:val="22"/>
          <w:lang w:val="hr-HR"/>
        </w:rPr>
        <w:t xml:space="preserve"> </w:t>
      </w:r>
      <w:r>
        <w:rPr>
          <w:rFonts w:ascii="Calibri" w:eastAsia="SimSun" w:hAnsi="Calibri" w:cs="Calibri"/>
          <w:sz w:val="22"/>
          <w:szCs w:val="22"/>
          <w:lang w:val="hr-HR"/>
        </w:rPr>
        <w:t>na mrežnim stranicama HBOR-a objavljuju se i postupci jednostavne nabave, a od 1. siječnja 2022.</w:t>
      </w:r>
      <w:r w:rsidR="0017330D">
        <w:rPr>
          <w:rFonts w:ascii="Calibri" w:eastAsia="SimSun" w:hAnsi="Calibri" w:cs="Calibri"/>
          <w:sz w:val="22"/>
          <w:szCs w:val="22"/>
          <w:lang w:val="hr-HR"/>
        </w:rPr>
        <w:t xml:space="preserve"> </w:t>
      </w:r>
      <w:r>
        <w:rPr>
          <w:rFonts w:ascii="Calibri" w:eastAsia="SimSun" w:hAnsi="Calibri" w:cs="Calibri"/>
          <w:sz w:val="22"/>
          <w:szCs w:val="22"/>
          <w:lang w:val="hr-HR"/>
        </w:rPr>
        <w:t>svi postupci jednostavne nabave procijenjene vrijednosti nabave jednake ili veće od 20 tisuća kuna objavljuju se u elektroničkom oglasniku javne nabave.</w:t>
      </w:r>
    </w:p>
    <w:p w14:paraId="1748D8D0"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Tijekom 2022. godine zaprimljeno je 13 zahtjeva za pristup informacijama u skladu sa Zakonom o pravu na pristup informacijama.</w:t>
      </w:r>
    </w:p>
    <w:p w14:paraId="6D4795AE" w14:textId="77777777" w:rsidR="00F116A4" w:rsidRDefault="00F116A4">
      <w:pPr>
        <w:suppressAutoHyphens w:val="0"/>
        <w:rPr>
          <w:rFonts w:ascii="Calibri" w:eastAsia="SimHei" w:hAnsi="Calibri" w:cs="Calibri"/>
          <w:b/>
          <w:bCs/>
          <w:sz w:val="22"/>
          <w:szCs w:val="22"/>
          <w:lang w:val="hr-HR"/>
        </w:rPr>
      </w:pPr>
      <w:bookmarkStart w:id="65" w:name="_Toc509582274"/>
      <w:bookmarkStart w:id="66" w:name="_Toc3249216"/>
      <w:r>
        <w:rPr>
          <w:rFonts w:ascii="Calibri" w:eastAsia="SimHei" w:hAnsi="Calibri" w:cs="Calibri"/>
          <w:b/>
          <w:bCs/>
          <w:sz w:val="22"/>
          <w:szCs w:val="22"/>
          <w:lang w:val="hr-HR"/>
        </w:rPr>
        <w:br w:type="page"/>
      </w:r>
    </w:p>
    <w:p w14:paraId="49CD1DB9" w14:textId="31B02555" w:rsidR="00205D0A" w:rsidRPr="00995886" w:rsidRDefault="00205D0A" w:rsidP="00205D0A">
      <w:pPr>
        <w:keepNext/>
        <w:keepLines/>
        <w:pBdr>
          <w:bottom w:val="single" w:sz="4" w:space="2" w:color="B2B2B2"/>
        </w:pBdr>
        <w:jc w:val="both"/>
        <w:outlineLvl w:val="0"/>
        <w:rPr>
          <w:rFonts w:ascii="Calibri" w:eastAsia="SimHei" w:hAnsi="Calibri" w:cs="Calibri"/>
          <w:b/>
          <w:bCs/>
          <w:sz w:val="22"/>
          <w:szCs w:val="22"/>
          <w:lang w:val="hr-HR"/>
        </w:rPr>
      </w:pPr>
      <w:bookmarkStart w:id="67" w:name="_Toc129083723"/>
      <w:r w:rsidRPr="00205D0A">
        <w:rPr>
          <w:rFonts w:ascii="Calibri" w:eastAsia="SimHei" w:hAnsi="Calibri" w:cs="Calibri"/>
          <w:b/>
          <w:bCs/>
          <w:sz w:val="22"/>
          <w:szCs w:val="22"/>
          <w:lang w:val="hr-HR"/>
        </w:rPr>
        <w:lastRenderedPageBreak/>
        <w:t>POSLOVANJE GRUPE HRVATSKO KREDITNO OSIGURANJE</w:t>
      </w:r>
      <w:bookmarkEnd w:id="67"/>
    </w:p>
    <w:p w14:paraId="5CFA0C89" w14:textId="77777777" w:rsidR="00205D0A" w:rsidRPr="00995886" w:rsidRDefault="00205D0A" w:rsidP="00205D0A">
      <w:pPr>
        <w:jc w:val="both"/>
        <w:rPr>
          <w:rFonts w:ascii="Calibri" w:eastAsia="SimSun" w:hAnsi="Calibri" w:cs="Calibri"/>
          <w:sz w:val="22"/>
          <w:szCs w:val="22"/>
          <w:lang w:val="hr-HR"/>
        </w:rPr>
      </w:pPr>
    </w:p>
    <w:p w14:paraId="1748D8D3" w14:textId="40AD9BDA" w:rsidR="00382CF2" w:rsidRDefault="00054989" w:rsidP="00205D0A">
      <w:pPr>
        <w:keepNext/>
        <w:keepLines/>
        <w:pBdr>
          <w:bottom w:val="single" w:sz="4" w:space="2" w:color="B2B2B2"/>
        </w:pBdr>
        <w:jc w:val="both"/>
        <w:outlineLvl w:val="0"/>
        <w:rPr>
          <w:rFonts w:ascii="Calibri" w:eastAsia="SimHei" w:hAnsi="Calibri" w:cs="Calibri"/>
          <w:b/>
          <w:bCs/>
          <w:sz w:val="22"/>
          <w:szCs w:val="22"/>
          <w:lang w:val="hr-HR"/>
        </w:rPr>
      </w:pPr>
      <w:bookmarkStart w:id="68" w:name="_Toc129083724"/>
      <w:r>
        <w:rPr>
          <w:rFonts w:ascii="Calibri" w:eastAsia="SimHei" w:hAnsi="Calibri" w:cs="Calibri"/>
          <w:b/>
          <w:bCs/>
          <w:sz w:val="22"/>
          <w:szCs w:val="22"/>
          <w:lang w:val="hr-HR"/>
        </w:rPr>
        <w:t>HRVATSKO KREDITNO OSIGURANJE D.D. I POSLOVNI INFO SERVIS D.O.O.</w:t>
      </w:r>
      <w:bookmarkEnd w:id="68"/>
    </w:p>
    <w:p w14:paraId="1748D8D4" w14:textId="775683BE"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Hrvatsko kreditno osiguranje d.d. (HKO) dioničko je društvo za osiguranje specijalizirano za osiguranje kratkoročnih potraživanja (</w:t>
      </w:r>
      <w:r w:rsidR="006B7E2A">
        <w:rPr>
          <w:rFonts w:ascii="Calibri" w:eastAsia="SimSun" w:hAnsi="Calibri" w:cs="Calibri"/>
          <w:sz w:val="22"/>
          <w:szCs w:val="22"/>
          <w:lang w:val="hr-HR"/>
        </w:rPr>
        <w:t xml:space="preserve">s </w:t>
      </w:r>
      <w:r>
        <w:rPr>
          <w:rFonts w:ascii="Calibri" w:eastAsia="SimSun" w:hAnsi="Calibri" w:cs="Calibri"/>
          <w:sz w:val="22"/>
          <w:szCs w:val="22"/>
          <w:lang w:val="hr-HR"/>
        </w:rPr>
        <w:t>rokovi</w:t>
      </w:r>
      <w:r w:rsidR="006B7E2A">
        <w:rPr>
          <w:rFonts w:ascii="Calibri" w:eastAsia="SimSun" w:hAnsi="Calibri" w:cs="Calibri"/>
          <w:sz w:val="22"/>
          <w:szCs w:val="22"/>
          <w:lang w:val="hr-HR"/>
        </w:rPr>
        <w:t>ma</w:t>
      </w:r>
      <w:r>
        <w:rPr>
          <w:rFonts w:ascii="Calibri" w:eastAsia="SimSun" w:hAnsi="Calibri" w:cs="Calibri"/>
          <w:sz w:val="22"/>
          <w:szCs w:val="22"/>
          <w:lang w:val="hr-HR"/>
        </w:rPr>
        <w:t xml:space="preserve"> plaćanja do 2 godine) nastalih na temelju prodaje roba i usluga među poslovnim subjektima.</w:t>
      </w:r>
    </w:p>
    <w:p w14:paraId="1748D8D5" w14:textId="516DEF7E"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HKO je u listopadu 2010.</w:t>
      </w:r>
      <w:r w:rsidR="006B7E2A">
        <w:rPr>
          <w:rFonts w:ascii="Calibri" w:eastAsia="SimSun" w:hAnsi="Calibri" w:cs="Calibri"/>
          <w:sz w:val="22"/>
          <w:szCs w:val="22"/>
          <w:lang w:val="hr-HR"/>
        </w:rPr>
        <w:t xml:space="preserve"> </w:t>
      </w:r>
      <w:r>
        <w:rPr>
          <w:rFonts w:ascii="Calibri" w:eastAsia="SimSun" w:hAnsi="Calibri" w:cs="Calibri"/>
          <w:sz w:val="22"/>
          <w:szCs w:val="22"/>
          <w:lang w:val="hr-HR"/>
        </w:rPr>
        <w:t>osnovao društvo Poslovni info servis</w:t>
      </w:r>
      <w:r w:rsidR="004B24B1">
        <w:rPr>
          <w:rFonts w:ascii="Calibri" w:eastAsia="SimSun" w:hAnsi="Calibri" w:cs="Calibri"/>
          <w:sz w:val="22"/>
          <w:szCs w:val="22"/>
          <w:lang w:val="hr-HR"/>
        </w:rPr>
        <w:t xml:space="preserve"> d.o.o. </w:t>
      </w:r>
      <w:r>
        <w:rPr>
          <w:rFonts w:ascii="Calibri" w:eastAsia="SimSun" w:hAnsi="Calibri" w:cs="Calibri"/>
          <w:sz w:val="22"/>
          <w:szCs w:val="22"/>
          <w:lang w:val="hr-HR"/>
        </w:rPr>
        <w:t xml:space="preserve">te je počeo poslovati kao Grupa Hrvatsko kreditno osiguranje (Grupa HKO) i iskazivati konsolidirane financijske podatke. Poslovni info servis d.o.o. (PIS) unutar </w:t>
      </w:r>
      <w:bookmarkStart w:id="69" w:name="_Hlk97714177"/>
      <w:r>
        <w:rPr>
          <w:rFonts w:ascii="Calibri" w:eastAsia="SimSun" w:hAnsi="Calibri" w:cs="Calibri"/>
          <w:sz w:val="22"/>
          <w:szCs w:val="22"/>
          <w:lang w:val="hr-HR"/>
        </w:rPr>
        <w:t>Grupe HKO zadužen je za provedbu analize i ocjene kreditnih rizika u vezi s poslovima osiguranja.</w:t>
      </w:r>
      <w:bookmarkEnd w:id="69"/>
    </w:p>
    <w:p w14:paraId="1748D8D6" w14:textId="15678C41"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Na dan 31. prosinca 2022.</w:t>
      </w:r>
      <w:r w:rsidR="004B24B1">
        <w:rPr>
          <w:rFonts w:ascii="Calibri" w:eastAsia="SimSun" w:hAnsi="Calibri" w:cs="Calibri"/>
          <w:sz w:val="22"/>
          <w:szCs w:val="22"/>
          <w:lang w:val="hr-HR"/>
        </w:rPr>
        <w:t xml:space="preserve"> </w:t>
      </w:r>
      <w:r>
        <w:rPr>
          <w:rFonts w:ascii="Calibri" w:eastAsia="SimSun" w:hAnsi="Calibri" w:cs="Calibri"/>
          <w:sz w:val="22"/>
          <w:szCs w:val="22"/>
          <w:lang w:val="hr-HR"/>
        </w:rPr>
        <w:t>Grupa HKO je zapošljavala 20 zaposlenika, od čega je 14 bilo zaposleno u Hrvatskom kreditnom osiguranju d.d., a 6 u društvu PIS. Visoku stručnu spremu ima 18 zaposlenika, a dvoje srednju stručnu spremu.</w:t>
      </w:r>
    </w:p>
    <w:p w14:paraId="1748D8D7" w14:textId="77777777" w:rsidR="00382CF2" w:rsidRDefault="00382CF2">
      <w:pPr>
        <w:spacing w:before="120" w:after="120" w:line="23" w:lineRule="atLeast"/>
        <w:jc w:val="both"/>
        <w:rPr>
          <w:rFonts w:ascii="Calibri" w:eastAsia="SimSun" w:hAnsi="Calibri" w:cs="Calibri"/>
          <w:b/>
          <w:sz w:val="22"/>
          <w:szCs w:val="22"/>
          <w:lang w:val="hr-HR"/>
        </w:rPr>
      </w:pPr>
    </w:p>
    <w:p w14:paraId="1748D8D8" w14:textId="77777777" w:rsidR="00382CF2" w:rsidRDefault="00054989">
      <w:pPr>
        <w:spacing w:before="120" w:after="120" w:line="23" w:lineRule="atLeast"/>
        <w:jc w:val="both"/>
        <w:rPr>
          <w:rFonts w:ascii="Calibri" w:eastAsia="SimSun" w:hAnsi="Calibri" w:cs="Calibri"/>
          <w:b/>
          <w:sz w:val="22"/>
          <w:szCs w:val="22"/>
          <w:lang w:val="hr-HR"/>
        </w:rPr>
      </w:pPr>
      <w:r>
        <w:rPr>
          <w:rFonts w:ascii="Calibri" w:eastAsia="SimSun" w:hAnsi="Calibri" w:cs="Calibri"/>
          <w:b/>
          <w:sz w:val="22"/>
          <w:szCs w:val="22"/>
          <w:lang w:val="hr-HR"/>
        </w:rPr>
        <w:t>Vlasnička struktura</w:t>
      </w:r>
    </w:p>
    <w:p w14:paraId="1748D8D9" w14:textId="77777777" w:rsidR="00382CF2" w:rsidRDefault="00054989">
      <w:pPr>
        <w:spacing w:before="120" w:after="120" w:line="23" w:lineRule="atLeast"/>
        <w:jc w:val="both"/>
        <w:rPr>
          <w:rFonts w:ascii="Calibri" w:eastAsia="SimSun" w:hAnsi="Calibri" w:cs="Calibri"/>
          <w:sz w:val="22"/>
          <w:szCs w:val="22"/>
          <w:lang w:val="hr-HR"/>
        </w:rPr>
      </w:pPr>
      <w:r>
        <w:rPr>
          <w:rFonts w:ascii="Calibri" w:eastAsia="SimSun" w:hAnsi="Calibri" w:cs="Calibri"/>
          <w:sz w:val="22"/>
          <w:szCs w:val="22"/>
          <w:lang w:val="hr-HR"/>
        </w:rPr>
        <w:t>Hrvatska banka za obnovu i razvitak 100%-tni je vlasnik HKO-a.</w:t>
      </w:r>
    </w:p>
    <w:p w14:paraId="1748D8DA" w14:textId="77777777" w:rsidR="00382CF2" w:rsidRDefault="00382CF2">
      <w:pPr>
        <w:spacing w:before="120" w:after="120" w:line="23" w:lineRule="atLeast"/>
        <w:jc w:val="both"/>
        <w:rPr>
          <w:rFonts w:ascii="Calibri" w:eastAsia="SimSun" w:hAnsi="Calibri" w:cs="Calibri"/>
          <w:sz w:val="22"/>
          <w:szCs w:val="22"/>
          <w:lang w:val="hr-HR"/>
        </w:rPr>
      </w:pPr>
    </w:p>
    <w:p w14:paraId="1748D8DB" w14:textId="77777777" w:rsidR="00382CF2" w:rsidRDefault="00054989">
      <w:pPr>
        <w:spacing w:before="120" w:after="120" w:line="23" w:lineRule="atLeast"/>
        <w:jc w:val="both"/>
        <w:rPr>
          <w:rFonts w:ascii="Calibri" w:eastAsia="SimSun" w:hAnsi="Calibri" w:cs="Calibri"/>
          <w:b/>
          <w:sz w:val="22"/>
          <w:szCs w:val="22"/>
          <w:lang w:val="hr-HR"/>
        </w:rPr>
      </w:pPr>
      <w:r>
        <w:rPr>
          <w:rFonts w:ascii="Calibri" w:eastAsia="SimSun" w:hAnsi="Calibri" w:cs="Calibri"/>
          <w:b/>
          <w:sz w:val="22"/>
          <w:szCs w:val="22"/>
          <w:lang w:val="hr-HR"/>
        </w:rPr>
        <w:t>Upravljanje</w:t>
      </w:r>
    </w:p>
    <w:p w14:paraId="1748D8DC" w14:textId="77777777"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Statutom Društva uređuje se pravni status, ustrojstvo i upravljanje Društvom te druga pitanja značajna za poslovanje Društva kao i ostala usklađenja u skladu sa Zakonom o trgovačkim društvima i Zakonom o osiguranju. Tijela koja upravljaju Društvom su: Uprava, Nadzorni odbor i Glavna skupština.</w:t>
      </w:r>
    </w:p>
    <w:p w14:paraId="1748D8DD" w14:textId="77777777" w:rsidR="00382CF2" w:rsidRDefault="00382CF2">
      <w:pPr>
        <w:spacing w:before="120" w:after="120" w:line="276" w:lineRule="auto"/>
        <w:jc w:val="both"/>
        <w:rPr>
          <w:rFonts w:ascii="Calibri" w:eastAsia="SimSun" w:hAnsi="Calibri" w:cs="Calibri"/>
          <w:sz w:val="22"/>
          <w:szCs w:val="22"/>
          <w:lang w:val="hr-HR"/>
        </w:rPr>
      </w:pPr>
    </w:p>
    <w:p w14:paraId="1748D8DE" w14:textId="77777777" w:rsidR="00382CF2" w:rsidRDefault="00054989">
      <w:pPr>
        <w:spacing w:before="120" w:after="120" w:line="23" w:lineRule="atLeast"/>
        <w:jc w:val="both"/>
        <w:rPr>
          <w:rFonts w:ascii="Calibri" w:eastAsia="PMingLiU" w:hAnsi="Calibri" w:cs="Calibri"/>
          <w:b/>
          <w:sz w:val="22"/>
          <w:szCs w:val="22"/>
          <w:lang w:val="hr-HR"/>
        </w:rPr>
      </w:pPr>
      <w:r>
        <w:rPr>
          <w:rFonts w:ascii="Calibri" w:eastAsia="PMingLiU" w:hAnsi="Calibri" w:cs="Calibri"/>
          <w:b/>
          <w:sz w:val="22"/>
          <w:szCs w:val="22"/>
          <w:lang w:val="hr-HR"/>
        </w:rPr>
        <w:t>Osobe ovlaštene za zastupanje</w:t>
      </w:r>
    </w:p>
    <w:p w14:paraId="1748D8DF" w14:textId="5202C079" w:rsidR="00382CF2" w:rsidRDefault="00054989">
      <w:pPr>
        <w:spacing w:before="120" w:after="120" w:line="23" w:lineRule="atLeast"/>
        <w:jc w:val="both"/>
        <w:rPr>
          <w:rFonts w:ascii="Calibri" w:eastAsia="PMingLiU" w:hAnsi="Calibri" w:cs="Calibri"/>
          <w:b/>
          <w:sz w:val="22"/>
          <w:szCs w:val="22"/>
          <w:lang w:val="hr-HR"/>
        </w:rPr>
      </w:pPr>
      <w:r>
        <w:rPr>
          <w:rFonts w:ascii="Calibri" w:eastAsia="PMingLiU" w:hAnsi="Calibri" w:cs="Calibri"/>
          <w:b/>
          <w:sz w:val="22"/>
          <w:szCs w:val="22"/>
          <w:lang w:val="hr-HR"/>
        </w:rPr>
        <w:t>Uprava tijekom 2022.</w:t>
      </w:r>
      <w:r w:rsidR="00162ED6">
        <w:rPr>
          <w:rFonts w:ascii="Calibri" w:eastAsia="PMingLiU" w:hAnsi="Calibri" w:cs="Calibri"/>
          <w:b/>
          <w:sz w:val="22"/>
          <w:szCs w:val="22"/>
          <w:lang w:val="hr-HR"/>
        </w:rPr>
        <w:t xml:space="preserve"> godine</w:t>
      </w:r>
      <w:r>
        <w:rPr>
          <w:rFonts w:ascii="Calibri" w:eastAsia="PMingLiU" w:hAnsi="Calibri" w:cs="Calibri"/>
          <w:b/>
          <w:sz w:val="22"/>
          <w:szCs w:val="22"/>
          <w:lang w:val="hr-HR"/>
        </w:rPr>
        <w:t>:</w:t>
      </w:r>
    </w:p>
    <w:p w14:paraId="1748D8E0" w14:textId="77777777" w:rsidR="00382CF2" w:rsidRDefault="00054989">
      <w:pPr>
        <w:numPr>
          <w:ilvl w:val="0"/>
          <w:numId w:val="20"/>
        </w:numPr>
        <w:tabs>
          <w:tab w:val="left" w:pos="3836"/>
        </w:tabs>
        <w:spacing w:before="120" w:after="120" w:line="23" w:lineRule="atLeast"/>
        <w:ind w:left="284" w:hanging="284"/>
        <w:jc w:val="both"/>
        <w:rPr>
          <w:rFonts w:ascii="Calibri" w:eastAsia="SimSun" w:hAnsi="Calibri" w:cs="Calibri"/>
          <w:sz w:val="22"/>
          <w:szCs w:val="22"/>
          <w:lang w:val="hr-HR"/>
        </w:rPr>
      </w:pPr>
      <w:r>
        <w:rPr>
          <w:rFonts w:ascii="Calibri" w:eastAsia="SimSun" w:hAnsi="Calibri" w:cs="Calibri"/>
          <w:sz w:val="22"/>
          <w:szCs w:val="22"/>
          <w:lang w:val="hr-HR"/>
        </w:rPr>
        <w:t>Zvonimir Samodol, predsjednik Uprave</w:t>
      </w:r>
    </w:p>
    <w:p w14:paraId="1748D8E1" w14:textId="77777777" w:rsidR="00382CF2" w:rsidRDefault="00054989">
      <w:pPr>
        <w:numPr>
          <w:ilvl w:val="0"/>
          <w:numId w:val="20"/>
        </w:numPr>
        <w:tabs>
          <w:tab w:val="left" w:pos="3836"/>
        </w:tabs>
        <w:spacing w:before="120" w:after="120" w:line="23" w:lineRule="atLeast"/>
        <w:ind w:left="284" w:hanging="284"/>
        <w:jc w:val="both"/>
      </w:pPr>
      <w:r>
        <w:rPr>
          <w:rStyle w:val="Zadanifontodlomka1"/>
          <w:rFonts w:ascii="Calibri" w:eastAsia="SimSun" w:hAnsi="Calibri" w:cs="Calibri"/>
          <w:sz w:val="22"/>
          <w:szCs w:val="22"/>
          <w:lang w:val="hr-HR"/>
        </w:rPr>
        <w:t>Ružica Adamović, članica Uprave</w:t>
      </w:r>
    </w:p>
    <w:p w14:paraId="1748D8E2" w14:textId="77777777" w:rsidR="00382CF2" w:rsidRDefault="00382CF2">
      <w:pPr>
        <w:tabs>
          <w:tab w:val="left" w:pos="3836"/>
        </w:tabs>
        <w:spacing w:before="120" w:after="120" w:line="23" w:lineRule="atLeast"/>
        <w:ind w:left="284"/>
        <w:jc w:val="both"/>
        <w:rPr>
          <w:rFonts w:ascii="Calibri" w:eastAsia="PMingLiU" w:hAnsi="Calibri" w:cs="Calibri"/>
          <w:b/>
          <w:sz w:val="22"/>
          <w:szCs w:val="22"/>
          <w:lang w:val="hr-HR"/>
        </w:rPr>
      </w:pPr>
    </w:p>
    <w:p w14:paraId="1748D8E3" w14:textId="77777777" w:rsidR="00382CF2" w:rsidRDefault="00054989">
      <w:pPr>
        <w:spacing w:before="120" w:after="120" w:line="23" w:lineRule="atLeast"/>
        <w:jc w:val="both"/>
        <w:rPr>
          <w:rFonts w:ascii="Calibri" w:eastAsia="PMingLiU" w:hAnsi="Calibri" w:cs="Calibri"/>
          <w:b/>
          <w:sz w:val="22"/>
          <w:szCs w:val="22"/>
          <w:lang w:val="hr-HR"/>
        </w:rPr>
      </w:pPr>
      <w:r>
        <w:rPr>
          <w:rFonts w:ascii="Calibri" w:eastAsia="PMingLiU" w:hAnsi="Calibri" w:cs="Calibri"/>
          <w:b/>
          <w:sz w:val="22"/>
          <w:szCs w:val="22"/>
          <w:lang w:val="hr-HR"/>
        </w:rPr>
        <w:t>Nadzorni odbor HKO-a</w:t>
      </w:r>
    </w:p>
    <w:p w14:paraId="1748D8E4" w14:textId="407C4B11" w:rsidR="00382CF2" w:rsidRDefault="00054989">
      <w:pPr>
        <w:spacing w:before="120" w:after="120" w:line="23" w:lineRule="atLeast"/>
        <w:jc w:val="both"/>
        <w:rPr>
          <w:rFonts w:ascii="Calibri" w:eastAsia="PMingLiU" w:hAnsi="Calibri" w:cs="Calibri"/>
          <w:sz w:val="22"/>
          <w:szCs w:val="22"/>
          <w:lang w:val="hr-HR"/>
        </w:rPr>
      </w:pPr>
      <w:r>
        <w:rPr>
          <w:rFonts w:ascii="Calibri" w:eastAsia="PMingLiU" w:hAnsi="Calibri" w:cs="Calibri"/>
          <w:sz w:val="22"/>
          <w:szCs w:val="22"/>
          <w:lang w:val="hr-HR"/>
        </w:rPr>
        <w:t>Nadzorni odbor HKO-a u 2022.</w:t>
      </w:r>
      <w:r w:rsidR="00162ED6">
        <w:rPr>
          <w:rFonts w:ascii="Calibri" w:eastAsia="PMingLiU" w:hAnsi="Calibri" w:cs="Calibri"/>
          <w:sz w:val="22"/>
          <w:szCs w:val="22"/>
          <w:lang w:val="hr-HR"/>
        </w:rPr>
        <w:t xml:space="preserve"> godin</w:t>
      </w:r>
      <w:r w:rsidR="00512E9C">
        <w:rPr>
          <w:rFonts w:ascii="Calibri" w:eastAsia="PMingLiU" w:hAnsi="Calibri" w:cs="Calibri"/>
          <w:sz w:val="22"/>
          <w:szCs w:val="22"/>
          <w:lang w:val="hr-HR"/>
        </w:rPr>
        <w:t>i</w:t>
      </w:r>
      <w:r>
        <w:rPr>
          <w:rFonts w:ascii="Calibri" w:eastAsia="PMingLiU" w:hAnsi="Calibri" w:cs="Calibri"/>
          <w:sz w:val="22"/>
          <w:szCs w:val="22"/>
          <w:lang w:val="hr-HR"/>
        </w:rPr>
        <w:t xml:space="preserve"> djelovao je u sljedećem sastavu:</w:t>
      </w:r>
    </w:p>
    <w:p w14:paraId="1BE131B4" w14:textId="5EFD364C" w:rsidR="006560EC" w:rsidRDefault="00054989" w:rsidP="006560EC">
      <w:pPr>
        <w:numPr>
          <w:ilvl w:val="0"/>
          <w:numId w:val="24"/>
        </w:numPr>
        <w:tabs>
          <w:tab w:val="left" w:pos="3836"/>
        </w:tabs>
        <w:spacing w:before="120" w:after="120" w:line="23" w:lineRule="atLeast"/>
        <w:ind w:left="284" w:hanging="284"/>
        <w:jc w:val="both"/>
        <w:rPr>
          <w:rFonts w:ascii="Calibri" w:eastAsia="SimSun" w:hAnsi="Calibri" w:cs="Calibri"/>
          <w:sz w:val="22"/>
          <w:szCs w:val="22"/>
          <w:lang w:val="hr-HR"/>
        </w:rPr>
      </w:pPr>
      <w:r>
        <w:rPr>
          <w:rFonts w:ascii="Calibri" w:eastAsia="SimSun" w:hAnsi="Calibri" w:cs="Calibri"/>
          <w:sz w:val="22"/>
          <w:szCs w:val="22"/>
          <w:lang w:val="hr-HR"/>
        </w:rPr>
        <w:t>Vedran Jakšić, predsjednik Nadzornog odbora</w:t>
      </w:r>
      <w:r w:rsidR="006560EC">
        <w:rPr>
          <w:rFonts w:ascii="Calibri" w:eastAsia="SimSun" w:hAnsi="Calibri" w:cs="Calibri"/>
          <w:sz w:val="22"/>
          <w:szCs w:val="22"/>
          <w:lang w:val="hr-HR"/>
        </w:rPr>
        <w:t>, do 3. siječnja 2023.</w:t>
      </w:r>
      <w:r w:rsidR="00162ED6">
        <w:rPr>
          <w:rFonts w:ascii="Calibri" w:eastAsia="SimSun" w:hAnsi="Calibri" w:cs="Calibri"/>
          <w:sz w:val="22"/>
          <w:szCs w:val="22"/>
          <w:lang w:val="hr-HR"/>
        </w:rPr>
        <w:t xml:space="preserve"> godine</w:t>
      </w:r>
    </w:p>
    <w:p w14:paraId="1748D8E6" w14:textId="77777777" w:rsidR="00382CF2" w:rsidRDefault="00054989">
      <w:pPr>
        <w:numPr>
          <w:ilvl w:val="0"/>
          <w:numId w:val="20"/>
        </w:numPr>
        <w:tabs>
          <w:tab w:val="left" w:pos="3836"/>
        </w:tabs>
        <w:spacing w:before="120" w:after="120" w:line="23" w:lineRule="atLeast"/>
        <w:ind w:left="284" w:hanging="284"/>
        <w:jc w:val="both"/>
        <w:rPr>
          <w:rFonts w:ascii="Calibri" w:eastAsia="SimSun" w:hAnsi="Calibri" w:cs="Calibri"/>
          <w:sz w:val="22"/>
          <w:szCs w:val="22"/>
          <w:lang w:val="hr-HR"/>
        </w:rPr>
      </w:pPr>
      <w:r>
        <w:rPr>
          <w:rFonts w:ascii="Calibri" w:eastAsia="SimSun" w:hAnsi="Calibri" w:cs="Calibri"/>
          <w:sz w:val="22"/>
          <w:szCs w:val="22"/>
          <w:lang w:val="hr-HR"/>
        </w:rPr>
        <w:t>Andreja Mergeduš, zamjenica predsjednika Nadzornog odbora</w:t>
      </w:r>
    </w:p>
    <w:p w14:paraId="1748D8E7" w14:textId="77777777" w:rsidR="00382CF2" w:rsidRDefault="00054989">
      <w:pPr>
        <w:numPr>
          <w:ilvl w:val="0"/>
          <w:numId w:val="20"/>
        </w:numPr>
        <w:tabs>
          <w:tab w:val="left" w:pos="3836"/>
        </w:tabs>
        <w:spacing w:before="120" w:after="120" w:line="23" w:lineRule="atLeast"/>
        <w:ind w:left="284" w:hanging="284"/>
        <w:jc w:val="both"/>
        <w:rPr>
          <w:rFonts w:ascii="Calibri" w:eastAsia="SimSun" w:hAnsi="Calibri" w:cs="Calibri"/>
          <w:sz w:val="22"/>
          <w:szCs w:val="22"/>
          <w:lang w:val="hr-HR"/>
        </w:rPr>
      </w:pPr>
      <w:r>
        <w:rPr>
          <w:rFonts w:ascii="Calibri" w:eastAsia="SimSun" w:hAnsi="Calibri" w:cs="Calibri"/>
          <w:sz w:val="22"/>
          <w:szCs w:val="22"/>
          <w:lang w:val="hr-HR"/>
        </w:rPr>
        <w:t>Ante Artuković, član Nadzornog odbora</w:t>
      </w:r>
    </w:p>
    <w:p w14:paraId="1748D8E8" w14:textId="77777777" w:rsidR="00382CF2" w:rsidRPr="009F4C08" w:rsidRDefault="00054989">
      <w:pPr>
        <w:numPr>
          <w:ilvl w:val="0"/>
          <w:numId w:val="20"/>
        </w:numPr>
        <w:tabs>
          <w:tab w:val="left" w:pos="3836"/>
        </w:tabs>
        <w:spacing w:before="120" w:after="120" w:line="23" w:lineRule="atLeast"/>
        <w:ind w:left="284" w:hanging="284"/>
        <w:jc w:val="both"/>
        <w:rPr>
          <w:rFonts w:ascii="Calibri" w:eastAsia="SimSun" w:hAnsi="Calibri" w:cs="Calibri"/>
          <w:color w:val="000000" w:themeColor="text1"/>
          <w:sz w:val="22"/>
          <w:szCs w:val="22"/>
          <w:lang w:val="hr-HR"/>
        </w:rPr>
      </w:pPr>
      <w:r w:rsidRPr="009F4C08">
        <w:rPr>
          <w:rFonts w:ascii="Calibri" w:eastAsia="SimSun" w:hAnsi="Calibri" w:cs="Calibri"/>
          <w:color w:val="000000" w:themeColor="text1"/>
          <w:sz w:val="22"/>
          <w:szCs w:val="22"/>
          <w:lang w:val="hr-HR"/>
        </w:rPr>
        <w:t>Gordan Kuvek, član Nadzornog odbora</w:t>
      </w:r>
    </w:p>
    <w:p w14:paraId="1748D8E9" w14:textId="77777777" w:rsidR="00382CF2" w:rsidRPr="009F4C08" w:rsidRDefault="00054989" w:rsidP="00E168BE">
      <w:pPr>
        <w:numPr>
          <w:ilvl w:val="0"/>
          <w:numId w:val="20"/>
        </w:numPr>
        <w:tabs>
          <w:tab w:val="left" w:pos="3836"/>
        </w:tabs>
        <w:spacing w:before="120" w:after="240" w:line="23" w:lineRule="atLeast"/>
        <w:ind w:left="284" w:hanging="284"/>
        <w:jc w:val="both"/>
        <w:rPr>
          <w:rFonts w:ascii="Calibri" w:eastAsia="SimSun" w:hAnsi="Calibri" w:cs="Calibri"/>
          <w:color w:val="000000" w:themeColor="text1"/>
          <w:sz w:val="22"/>
          <w:szCs w:val="22"/>
          <w:lang w:val="hr-HR"/>
        </w:rPr>
      </w:pPr>
      <w:r w:rsidRPr="009F4C08">
        <w:rPr>
          <w:rFonts w:ascii="Calibri" w:eastAsia="SimSun" w:hAnsi="Calibri" w:cs="Calibri"/>
          <w:color w:val="000000" w:themeColor="text1"/>
          <w:sz w:val="22"/>
          <w:szCs w:val="22"/>
          <w:lang w:val="hr-HR"/>
        </w:rPr>
        <w:t>Marija Jerkić, članica Nadzornog odbora</w:t>
      </w:r>
    </w:p>
    <w:p w14:paraId="2B48D2F4" w14:textId="13CC2013" w:rsidR="0028677A" w:rsidRPr="009F4C08" w:rsidRDefault="0028677A" w:rsidP="009F4C08">
      <w:pPr>
        <w:tabs>
          <w:tab w:val="left" w:pos="3836"/>
        </w:tabs>
        <w:spacing w:before="120" w:after="120" w:line="23" w:lineRule="atLeast"/>
        <w:jc w:val="both"/>
        <w:rPr>
          <w:rFonts w:ascii="Calibri" w:eastAsia="PMingLiU" w:hAnsi="Calibri" w:cs="Calibri"/>
          <w:color w:val="000000" w:themeColor="text1"/>
          <w:sz w:val="22"/>
          <w:szCs w:val="22"/>
          <w:lang w:val="hr-HR"/>
        </w:rPr>
      </w:pPr>
      <w:r w:rsidRPr="009F4C08">
        <w:rPr>
          <w:rFonts w:ascii="Calibri" w:eastAsia="SimSun" w:hAnsi="Calibri" w:cs="Calibri"/>
          <w:color w:val="000000" w:themeColor="text1"/>
          <w:sz w:val="22"/>
          <w:szCs w:val="22"/>
          <w:lang w:val="hr-HR"/>
        </w:rPr>
        <w:t>Hrvatska agencija za nadzor financijskih usluga izdala je dana 3. veljače 2023.</w:t>
      </w:r>
      <w:r w:rsidR="000A5400">
        <w:rPr>
          <w:rFonts w:ascii="Calibri" w:eastAsia="SimSun" w:hAnsi="Calibri" w:cs="Calibri"/>
          <w:color w:val="000000" w:themeColor="text1"/>
          <w:sz w:val="22"/>
          <w:szCs w:val="22"/>
          <w:lang w:val="hr-HR"/>
        </w:rPr>
        <w:t xml:space="preserve"> </w:t>
      </w:r>
      <w:r w:rsidRPr="009F4C08">
        <w:rPr>
          <w:rFonts w:ascii="Calibri" w:eastAsia="SimSun" w:hAnsi="Calibri" w:cs="Calibri"/>
          <w:color w:val="000000" w:themeColor="text1"/>
          <w:sz w:val="22"/>
          <w:szCs w:val="22"/>
          <w:lang w:val="hr-HR"/>
        </w:rPr>
        <w:t>Rješenje kojim se izdaje odobrenje za obavljanje funkcije člana Nadzornog odbora za Marina Pranjića.</w:t>
      </w:r>
    </w:p>
    <w:p w14:paraId="3EE23FB3" w14:textId="357182BC" w:rsidR="009F4C08" w:rsidRDefault="009F4C08">
      <w:pPr>
        <w:suppressAutoHyphens w:val="0"/>
        <w:rPr>
          <w:rFonts w:ascii="Calibri" w:eastAsia="PMingLiU" w:hAnsi="Calibri" w:cs="Calibri"/>
          <w:b/>
          <w:color w:val="000000" w:themeColor="text1"/>
          <w:sz w:val="22"/>
          <w:szCs w:val="22"/>
          <w:lang w:val="hr-HR"/>
        </w:rPr>
      </w:pPr>
    </w:p>
    <w:p w14:paraId="51405B5B" w14:textId="77777777" w:rsidR="00ED0A0F" w:rsidRDefault="00ED0A0F">
      <w:pPr>
        <w:suppressAutoHyphens w:val="0"/>
        <w:rPr>
          <w:rFonts w:ascii="Calibri" w:eastAsia="PMingLiU" w:hAnsi="Calibri" w:cs="Calibri"/>
          <w:b/>
          <w:color w:val="000000" w:themeColor="text1"/>
          <w:sz w:val="22"/>
          <w:szCs w:val="22"/>
          <w:lang w:val="hr-HR"/>
        </w:rPr>
      </w:pPr>
    </w:p>
    <w:p w14:paraId="2002CD26" w14:textId="77777777" w:rsidR="00ED0A0F" w:rsidRDefault="00ED0A0F">
      <w:pPr>
        <w:suppressAutoHyphens w:val="0"/>
        <w:rPr>
          <w:rFonts w:ascii="Calibri" w:eastAsia="PMingLiU" w:hAnsi="Calibri" w:cs="Calibri"/>
          <w:b/>
          <w:color w:val="000000" w:themeColor="text1"/>
          <w:sz w:val="22"/>
          <w:szCs w:val="22"/>
          <w:lang w:val="hr-HR"/>
        </w:rPr>
      </w:pPr>
    </w:p>
    <w:p w14:paraId="1748D8EB" w14:textId="16D68613" w:rsidR="00382CF2" w:rsidRDefault="00054989">
      <w:pPr>
        <w:spacing w:before="120" w:after="120" w:line="23" w:lineRule="atLeast"/>
        <w:rPr>
          <w:rFonts w:ascii="Calibri" w:eastAsia="PMingLiU" w:hAnsi="Calibri" w:cs="Calibri"/>
          <w:b/>
          <w:sz w:val="22"/>
          <w:szCs w:val="22"/>
          <w:lang w:val="hr-HR"/>
        </w:rPr>
      </w:pPr>
      <w:r>
        <w:rPr>
          <w:rFonts w:ascii="Calibri" w:eastAsia="PMingLiU" w:hAnsi="Calibri" w:cs="Calibri"/>
          <w:b/>
          <w:sz w:val="22"/>
          <w:szCs w:val="22"/>
          <w:lang w:val="hr-HR"/>
        </w:rPr>
        <w:lastRenderedPageBreak/>
        <w:t>Poslovni info servis d.o.o.</w:t>
      </w:r>
    </w:p>
    <w:p w14:paraId="1748D8EC" w14:textId="77777777" w:rsidR="00382CF2" w:rsidRDefault="00054989">
      <w:pPr>
        <w:spacing w:before="120" w:after="120" w:line="23" w:lineRule="atLeast"/>
        <w:jc w:val="both"/>
        <w:rPr>
          <w:rFonts w:ascii="Calibri" w:eastAsia="PMingLiU" w:hAnsi="Calibri" w:cs="Calibri"/>
          <w:sz w:val="22"/>
          <w:szCs w:val="22"/>
          <w:lang w:val="hr-HR"/>
        </w:rPr>
      </w:pPr>
      <w:r>
        <w:rPr>
          <w:rFonts w:ascii="Calibri" w:eastAsia="PMingLiU" w:hAnsi="Calibri" w:cs="Calibri"/>
          <w:sz w:val="22"/>
          <w:szCs w:val="22"/>
          <w:lang w:val="hr-HR"/>
        </w:rPr>
        <w:t>Funkciju direktorice PIS-a obavljala je Jelena Boromisa.</w:t>
      </w:r>
    </w:p>
    <w:p w14:paraId="1748D8ED" w14:textId="2A097967" w:rsidR="00382CF2" w:rsidRDefault="00054989">
      <w:pPr>
        <w:spacing w:before="120" w:after="120" w:line="23" w:lineRule="atLeast"/>
        <w:jc w:val="both"/>
        <w:rPr>
          <w:rFonts w:ascii="Calibri" w:eastAsia="PMingLiU" w:hAnsi="Calibri" w:cs="Calibri"/>
          <w:sz w:val="22"/>
          <w:szCs w:val="22"/>
          <w:lang w:val="hr-HR"/>
        </w:rPr>
      </w:pPr>
      <w:r>
        <w:rPr>
          <w:rFonts w:ascii="Calibri" w:eastAsia="PMingLiU" w:hAnsi="Calibri" w:cs="Calibri"/>
          <w:sz w:val="22"/>
          <w:szCs w:val="22"/>
          <w:lang w:val="hr-HR"/>
        </w:rPr>
        <w:t>Prokuristica Društva je Ivana Paić.</w:t>
      </w:r>
    </w:p>
    <w:p w14:paraId="52B95C9D" w14:textId="2A097967" w:rsidR="009F4C08" w:rsidRDefault="009F4C08">
      <w:pPr>
        <w:spacing w:before="120" w:after="120" w:line="23" w:lineRule="atLeast"/>
        <w:jc w:val="both"/>
        <w:rPr>
          <w:rFonts w:ascii="Calibri" w:eastAsia="PMingLiU" w:hAnsi="Calibri" w:cs="Calibri"/>
          <w:sz w:val="22"/>
          <w:szCs w:val="22"/>
          <w:lang w:val="hr-HR"/>
        </w:rPr>
      </w:pPr>
    </w:p>
    <w:p w14:paraId="1748D8EE" w14:textId="77777777" w:rsidR="00382CF2" w:rsidRDefault="00054989">
      <w:pPr>
        <w:spacing w:before="120" w:after="120" w:line="23" w:lineRule="atLeast"/>
        <w:jc w:val="both"/>
        <w:rPr>
          <w:rFonts w:ascii="Calibri" w:eastAsia="PMingLiU" w:hAnsi="Calibri" w:cs="Calibri"/>
          <w:b/>
          <w:sz w:val="22"/>
          <w:szCs w:val="22"/>
          <w:lang w:val="hr-HR"/>
        </w:rPr>
      </w:pPr>
      <w:r>
        <w:rPr>
          <w:rFonts w:ascii="Calibri" w:eastAsia="PMingLiU" w:hAnsi="Calibri" w:cs="Calibri"/>
          <w:b/>
          <w:sz w:val="22"/>
          <w:szCs w:val="22"/>
          <w:lang w:val="hr-HR"/>
        </w:rPr>
        <w:t>Revizijski odbor HKO-a</w:t>
      </w:r>
    </w:p>
    <w:p w14:paraId="1748D8EF" w14:textId="3E060B3F" w:rsidR="00382CF2" w:rsidRDefault="00054989">
      <w:pPr>
        <w:spacing w:before="120" w:after="120" w:line="23" w:lineRule="atLeast"/>
        <w:jc w:val="both"/>
        <w:rPr>
          <w:rFonts w:ascii="Calibri" w:eastAsia="PMingLiU" w:hAnsi="Calibri" w:cs="Calibri"/>
          <w:sz w:val="22"/>
          <w:szCs w:val="22"/>
          <w:lang w:val="hr-HR"/>
        </w:rPr>
      </w:pPr>
      <w:r>
        <w:rPr>
          <w:rFonts w:ascii="Calibri" w:eastAsia="PMingLiU" w:hAnsi="Calibri" w:cs="Calibri"/>
          <w:sz w:val="22"/>
          <w:szCs w:val="22"/>
          <w:lang w:val="hr-HR"/>
        </w:rPr>
        <w:t>Revizijski odbor HKO-a u 2022.</w:t>
      </w:r>
      <w:r w:rsidR="000A5400">
        <w:rPr>
          <w:rFonts w:ascii="Calibri" w:eastAsia="PMingLiU" w:hAnsi="Calibri" w:cs="Calibri"/>
          <w:sz w:val="22"/>
          <w:szCs w:val="22"/>
          <w:lang w:val="hr-HR"/>
        </w:rPr>
        <w:t xml:space="preserve"> godine</w:t>
      </w:r>
      <w:r>
        <w:rPr>
          <w:rFonts w:ascii="Calibri" w:eastAsia="PMingLiU" w:hAnsi="Calibri" w:cs="Calibri"/>
          <w:sz w:val="22"/>
          <w:szCs w:val="22"/>
          <w:lang w:val="hr-HR"/>
        </w:rPr>
        <w:t xml:space="preserve"> djelovao je u sljedećem sastavu:</w:t>
      </w:r>
    </w:p>
    <w:p w14:paraId="1748D8F0" w14:textId="77777777" w:rsidR="00382CF2" w:rsidRDefault="00054989">
      <w:pPr>
        <w:numPr>
          <w:ilvl w:val="0"/>
          <w:numId w:val="20"/>
        </w:numPr>
        <w:tabs>
          <w:tab w:val="left" w:pos="3836"/>
        </w:tabs>
        <w:spacing w:before="120" w:after="120" w:line="23" w:lineRule="atLeast"/>
        <w:ind w:left="284" w:hanging="284"/>
        <w:jc w:val="both"/>
        <w:rPr>
          <w:rFonts w:ascii="Calibri" w:eastAsia="SimSun" w:hAnsi="Calibri" w:cs="Calibri"/>
          <w:sz w:val="22"/>
          <w:szCs w:val="22"/>
          <w:lang w:val="hr-HR"/>
        </w:rPr>
      </w:pPr>
      <w:r>
        <w:rPr>
          <w:rFonts w:ascii="Calibri" w:eastAsia="SimSun" w:hAnsi="Calibri" w:cs="Calibri"/>
          <w:sz w:val="22"/>
          <w:szCs w:val="22"/>
          <w:lang w:val="hr-HR"/>
        </w:rPr>
        <w:t>Ante Artuković, predsjednik Revizijskog odbora,</w:t>
      </w:r>
    </w:p>
    <w:p w14:paraId="1748D8F1" w14:textId="24B9C915" w:rsidR="00382CF2" w:rsidRDefault="00054989">
      <w:pPr>
        <w:numPr>
          <w:ilvl w:val="0"/>
          <w:numId w:val="20"/>
        </w:numPr>
        <w:tabs>
          <w:tab w:val="left" w:pos="3836"/>
        </w:tabs>
        <w:spacing w:before="120" w:after="120" w:line="23" w:lineRule="atLeast"/>
        <w:ind w:left="284" w:hanging="284"/>
        <w:jc w:val="both"/>
        <w:rPr>
          <w:rFonts w:ascii="Calibri" w:eastAsia="SimSun" w:hAnsi="Calibri" w:cs="Calibri"/>
          <w:sz w:val="22"/>
          <w:szCs w:val="22"/>
          <w:lang w:val="hr-HR"/>
        </w:rPr>
      </w:pPr>
      <w:r>
        <w:rPr>
          <w:rFonts w:ascii="Calibri" w:eastAsia="SimSun" w:hAnsi="Calibri" w:cs="Calibri"/>
          <w:sz w:val="22"/>
          <w:szCs w:val="22"/>
          <w:lang w:val="hr-HR"/>
        </w:rPr>
        <w:t>Vedran Jakšić, zamjenik predsjednika Revizijskog odbora, do 19. prosinca 2022.</w:t>
      </w:r>
      <w:r w:rsidR="000A5400">
        <w:rPr>
          <w:rFonts w:ascii="Calibri" w:eastAsia="SimSun" w:hAnsi="Calibri" w:cs="Calibri"/>
          <w:sz w:val="22"/>
          <w:szCs w:val="22"/>
          <w:lang w:val="hr-HR"/>
        </w:rPr>
        <w:t xml:space="preserve"> godine</w:t>
      </w:r>
    </w:p>
    <w:p w14:paraId="1748D8F2" w14:textId="1E380AFC" w:rsidR="00382CF2" w:rsidRDefault="00054989">
      <w:pPr>
        <w:numPr>
          <w:ilvl w:val="0"/>
          <w:numId w:val="20"/>
        </w:numPr>
        <w:tabs>
          <w:tab w:val="left" w:pos="3836"/>
        </w:tabs>
        <w:spacing w:before="120" w:after="120" w:line="23" w:lineRule="atLeast"/>
        <w:ind w:left="284" w:hanging="284"/>
        <w:jc w:val="both"/>
        <w:rPr>
          <w:rFonts w:ascii="Calibri" w:eastAsia="SimSun" w:hAnsi="Calibri" w:cs="Calibri"/>
          <w:sz w:val="22"/>
          <w:szCs w:val="22"/>
          <w:lang w:val="hr-HR"/>
        </w:rPr>
      </w:pPr>
      <w:r>
        <w:rPr>
          <w:rFonts w:ascii="Calibri" w:eastAsia="SimSun" w:hAnsi="Calibri" w:cs="Calibri"/>
          <w:sz w:val="22"/>
          <w:szCs w:val="22"/>
          <w:lang w:val="hr-HR"/>
        </w:rPr>
        <w:t>Andreja Mergeduš, zamjenica predsjednika Revizijskog odbora, od 19. prosinca 2022.</w:t>
      </w:r>
      <w:r w:rsidR="000A5400">
        <w:rPr>
          <w:rFonts w:ascii="Calibri" w:eastAsia="SimSun" w:hAnsi="Calibri" w:cs="Calibri"/>
          <w:sz w:val="22"/>
          <w:szCs w:val="22"/>
          <w:lang w:val="hr-HR"/>
        </w:rPr>
        <w:t xml:space="preserve"> godine</w:t>
      </w:r>
    </w:p>
    <w:p w14:paraId="1748D8F3" w14:textId="77777777" w:rsidR="00382CF2" w:rsidRDefault="00054989">
      <w:pPr>
        <w:numPr>
          <w:ilvl w:val="0"/>
          <w:numId w:val="20"/>
        </w:numPr>
        <w:tabs>
          <w:tab w:val="left" w:pos="3836"/>
        </w:tabs>
        <w:spacing w:before="120" w:after="120" w:line="23" w:lineRule="atLeast"/>
        <w:ind w:left="284" w:hanging="284"/>
        <w:jc w:val="both"/>
        <w:rPr>
          <w:rFonts w:ascii="Calibri" w:eastAsia="SimSun" w:hAnsi="Calibri" w:cs="Calibri"/>
          <w:sz w:val="22"/>
          <w:szCs w:val="22"/>
          <w:lang w:val="hr-HR"/>
        </w:rPr>
      </w:pPr>
      <w:r>
        <w:rPr>
          <w:rFonts w:ascii="Calibri" w:eastAsia="SimSun" w:hAnsi="Calibri" w:cs="Calibri"/>
          <w:sz w:val="22"/>
          <w:szCs w:val="22"/>
          <w:lang w:val="hr-HR"/>
        </w:rPr>
        <w:t>Andreja Svečnjak, članica Revizijskog odbora.</w:t>
      </w:r>
    </w:p>
    <w:p w14:paraId="1748D8F4" w14:textId="77777777" w:rsidR="00382CF2" w:rsidRDefault="00382CF2">
      <w:pPr>
        <w:tabs>
          <w:tab w:val="left" w:pos="3836"/>
        </w:tabs>
        <w:spacing w:before="120" w:after="120" w:line="23" w:lineRule="atLeast"/>
        <w:jc w:val="both"/>
        <w:rPr>
          <w:rFonts w:ascii="Calibri" w:eastAsia="PMingLiU" w:hAnsi="Calibri" w:cs="Calibri"/>
          <w:b/>
          <w:sz w:val="22"/>
          <w:szCs w:val="22"/>
          <w:lang w:val="hr-HR"/>
        </w:rPr>
      </w:pPr>
    </w:p>
    <w:p w14:paraId="1748D8F5" w14:textId="57F6CC1F" w:rsidR="00382CF2" w:rsidRDefault="00054989">
      <w:pPr>
        <w:spacing w:after="160" w:line="276" w:lineRule="auto"/>
        <w:rPr>
          <w:rFonts w:ascii="Calibri" w:eastAsia="PMingLiU" w:hAnsi="Calibri" w:cs="Calibri"/>
          <w:b/>
          <w:sz w:val="22"/>
          <w:szCs w:val="22"/>
          <w:lang w:val="hr-HR"/>
        </w:rPr>
      </w:pPr>
      <w:r>
        <w:rPr>
          <w:rFonts w:ascii="Calibri" w:eastAsia="PMingLiU" w:hAnsi="Calibri" w:cs="Calibri"/>
          <w:b/>
          <w:sz w:val="22"/>
          <w:szCs w:val="22"/>
          <w:lang w:val="hr-HR"/>
        </w:rPr>
        <w:t>Izvještavanje nadzornih tijela</w:t>
      </w:r>
    </w:p>
    <w:p w14:paraId="555ED935" w14:textId="4F96258D" w:rsidR="00D63272" w:rsidRDefault="00054989" w:rsidP="4CD10B3D">
      <w:pPr>
        <w:spacing w:before="120" w:after="120" w:line="276" w:lineRule="auto"/>
        <w:jc w:val="both"/>
        <w:rPr>
          <w:rFonts w:ascii="Calibri" w:eastAsia="SimSun" w:hAnsi="Calibri" w:cs="Calibri"/>
          <w:b/>
          <w:bCs/>
          <w:iCs/>
          <w:sz w:val="22"/>
          <w:szCs w:val="22"/>
          <w:lang w:val="hr-HR"/>
        </w:rPr>
      </w:pPr>
      <w:r>
        <w:rPr>
          <w:rFonts w:ascii="Calibri" w:eastAsia="SimSun" w:hAnsi="Calibri" w:cs="Calibri"/>
          <w:sz w:val="22"/>
          <w:szCs w:val="22"/>
          <w:lang w:val="hr-HR"/>
        </w:rPr>
        <w:t>Društvo je tijekom 2022.</w:t>
      </w:r>
      <w:r w:rsidR="000A5400">
        <w:rPr>
          <w:rFonts w:ascii="Calibri" w:eastAsia="SimSun" w:hAnsi="Calibri" w:cs="Calibri"/>
          <w:sz w:val="22"/>
          <w:szCs w:val="22"/>
          <w:lang w:val="hr-HR"/>
        </w:rPr>
        <w:t xml:space="preserve"> </w:t>
      </w:r>
      <w:r>
        <w:rPr>
          <w:rFonts w:ascii="Calibri" w:eastAsia="SimSun" w:hAnsi="Calibri" w:cs="Calibri"/>
          <w:sz w:val="22"/>
          <w:szCs w:val="22"/>
          <w:lang w:val="hr-HR"/>
        </w:rPr>
        <w:t>redovito izvještavalo nadzorna tijela u skladu sa Zakonom o osiguranju, pravilnicima Hrvatske agencije za nadzor financijskih institucija i drugim važećim propisima o svim relevantnim činjenicama i promjenama u Društvu. Društvo je uredno odgovaralo na sve zahtjeve nadzornih tijela u smislu kontrole poslovanja i dostave podataka Društva.</w:t>
      </w:r>
    </w:p>
    <w:p w14:paraId="03D24A7C" w14:textId="2C6672FD" w:rsidR="002D0454" w:rsidRDefault="002D0454">
      <w:pPr>
        <w:suppressAutoHyphens w:val="0"/>
        <w:rPr>
          <w:rFonts w:ascii="Calibri" w:eastAsia="SimSun" w:hAnsi="Calibri" w:cs="Calibri"/>
          <w:b/>
          <w:bCs/>
          <w:iCs/>
          <w:sz w:val="22"/>
          <w:szCs w:val="22"/>
          <w:lang w:val="hr-HR"/>
        </w:rPr>
      </w:pPr>
      <w:r>
        <w:rPr>
          <w:rFonts w:ascii="Calibri" w:eastAsia="SimSun" w:hAnsi="Calibri" w:cs="Calibri"/>
          <w:b/>
          <w:bCs/>
          <w:iCs/>
          <w:sz w:val="22"/>
          <w:szCs w:val="22"/>
          <w:lang w:val="hr-HR"/>
        </w:rPr>
        <w:br w:type="page"/>
      </w:r>
    </w:p>
    <w:p w14:paraId="1748D8F7" w14:textId="4C8E229A" w:rsidR="00382CF2" w:rsidRDefault="00054989" w:rsidP="002D0454">
      <w:pPr>
        <w:spacing w:before="120" w:after="120" w:line="276" w:lineRule="auto"/>
        <w:jc w:val="both"/>
        <w:rPr>
          <w:rFonts w:ascii="Calibri" w:eastAsia="SimSun" w:hAnsi="Calibri" w:cs="Calibri"/>
          <w:b/>
          <w:bCs/>
          <w:iCs/>
          <w:sz w:val="22"/>
          <w:szCs w:val="22"/>
          <w:lang w:val="hr-HR"/>
        </w:rPr>
      </w:pPr>
      <w:r w:rsidRPr="007B61CB">
        <w:rPr>
          <w:rFonts w:ascii="Calibri" w:eastAsia="SimSun" w:hAnsi="Calibri" w:cs="Calibri"/>
          <w:b/>
          <w:bCs/>
          <w:iCs/>
          <w:sz w:val="22"/>
          <w:szCs w:val="22"/>
          <w:lang w:val="hr-HR"/>
        </w:rPr>
        <w:lastRenderedPageBreak/>
        <w:t>POSLOVANJE U 2022. GODINI</w:t>
      </w:r>
    </w:p>
    <w:p w14:paraId="1748D8F8" w14:textId="4FC44EE9" w:rsidR="00382CF2" w:rsidRDefault="00054989">
      <w:pPr>
        <w:widowControl w:val="0"/>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Hrvatsko kreditno osiguranje d.d. u 2022.</w:t>
      </w:r>
      <w:r w:rsidR="007515D1">
        <w:rPr>
          <w:rFonts w:ascii="Calibri" w:eastAsia="SimSun" w:hAnsi="Calibri" w:cs="Calibri"/>
          <w:sz w:val="22"/>
          <w:szCs w:val="22"/>
          <w:lang w:val="hr-HR"/>
        </w:rPr>
        <w:t xml:space="preserve"> </w:t>
      </w:r>
      <w:r>
        <w:rPr>
          <w:rFonts w:ascii="Calibri" w:eastAsia="SimSun" w:hAnsi="Calibri" w:cs="Calibri"/>
          <w:sz w:val="22"/>
          <w:szCs w:val="22"/>
          <w:lang w:val="hr-HR"/>
        </w:rPr>
        <w:t xml:space="preserve">ostvarilo </w:t>
      </w:r>
      <w:r w:rsidR="009841C9">
        <w:rPr>
          <w:rFonts w:ascii="Calibri" w:eastAsia="SimSun" w:hAnsi="Calibri" w:cs="Calibri"/>
          <w:sz w:val="22"/>
          <w:szCs w:val="22"/>
          <w:lang w:val="hr-HR"/>
        </w:rPr>
        <w:t xml:space="preserve">je </w:t>
      </w:r>
      <w:r>
        <w:rPr>
          <w:rFonts w:ascii="Calibri" w:eastAsia="SimSun" w:hAnsi="Calibri" w:cs="Calibri"/>
          <w:sz w:val="22"/>
          <w:szCs w:val="22"/>
          <w:lang w:val="hr-HR"/>
        </w:rPr>
        <w:t>premijski prihod od 19,7 milijuna kuna, što predstavlja rast od 11,91 posto u odnosu na prethodnu godinu. U ukupnom premijskom prihodu izvozna su potraživanja imala udio od 53,7 posto. Ukupno je u osiguranje tijekom 2022.</w:t>
      </w:r>
      <w:r w:rsidR="007515D1">
        <w:rPr>
          <w:rFonts w:ascii="Calibri" w:eastAsia="SimSun" w:hAnsi="Calibri" w:cs="Calibri"/>
          <w:sz w:val="22"/>
          <w:szCs w:val="22"/>
          <w:lang w:val="hr-HR"/>
        </w:rPr>
        <w:t xml:space="preserve"> </w:t>
      </w:r>
      <w:r>
        <w:rPr>
          <w:rFonts w:ascii="Calibri" w:eastAsia="SimSun" w:hAnsi="Calibri" w:cs="Calibri"/>
          <w:sz w:val="22"/>
          <w:szCs w:val="22"/>
          <w:lang w:val="hr-HR"/>
        </w:rPr>
        <w:t>prijavljen osigurani promet u iznosu od 12,9 milijardi kuna, što je rast od 20,1 posto u odnosu na prethodnu godinu.</w:t>
      </w:r>
    </w:p>
    <w:p w14:paraId="1748D8F9" w14:textId="54B0288D" w:rsidR="00382CF2" w:rsidRDefault="00054989">
      <w:pPr>
        <w:widowControl w:val="0"/>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Na</w:t>
      </w:r>
      <w:r w:rsidR="009922E1">
        <w:rPr>
          <w:rFonts w:ascii="Calibri" w:eastAsia="SimSun" w:hAnsi="Calibri" w:cs="Calibri"/>
          <w:sz w:val="22"/>
          <w:szCs w:val="22"/>
          <w:lang w:val="hr-HR"/>
        </w:rPr>
        <w:t xml:space="preserve"> dan</w:t>
      </w:r>
      <w:r>
        <w:rPr>
          <w:rFonts w:ascii="Calibri" w:eastAsia="SimSun" w:hAnsi="Calibri" w:cs="Calibri"/>
          <w:sz w:val="22"/>
          <w:szCs w:val="22"/>
          <w:lang w:val="hr-HR"/>
        </w:rPr>
        <w:t xml:space="preserve"> </w:t>
      </w:r>
      <w:r w:rsidR="00FB52CD" w:rsidRPr="00FB52CD">
        <w:rPr>
          <w:rFonts w:ascii="Calibri" w:eastAsia="SimSun" w:hAnsi="Calibri" w:cs="Calibri"/>
          <w:sz w:val="22"/>
          <w:szCs w:val="22"/>
          <w:lang w:val="hr-HR"/>
        </w:rPr>
        <w:t>31. prosinca 2022.</w:t>
      </w:r>
      <w:r w:rsidR="009922E1">
        <w:rPr>
          <w:rFonts w:ascii="Calibri" w:eastAsia="SimSun" w:hAnsi="Calibri" w:cs="Calibri"/>
          <w:sz w:val="22"/>
          <w:szCs w:val="22"/>
          <w:lang w:val="hr-HR"/>
        </w:rPr>
        <w:t xml:space="preserve"> </w:t>
      </w:r>
      <w:r>
        <w:rPr>
          <w:rFonts w:ascii="Calibri" w:eastAsia="SimSun" w:hAnsi="Calibri" w:cs="Calibri"/>
          <w:sz w:val="22"/>
          <w:szCs w:val="22"/>
          <w:lang w:val="hr-HR"/>
        </w:rPr>
        <w:t>ukupna izloženost prema odobrenim limitima po kupcima iznosila je 5 milijardi kuna, što predstavlja rast od 15,98 posto u odnosu na stanje na 31. prosinca 2021.</w:t>
      </w:r>
      <w:r w:rsidR="005B31E1">
        <w:rPr>
          <w:rFonts w:ascii="Calibri" w:eastAsia="SimSun" w:hAnsi="Calibri" w:cs="Calibri"/>
          <w:sz w:val="22"/>
          <w:szCs w:val="22"/>
          <w:lang w:val="hr-HR"/>
        </w:rPr>
        <w:t xml:space="preserve"> godine.</w:t>
      </w:r>
    </w:p>
    <w:p w14:paraId="1748D8FA" w14:textId="68B9C95E" w:rsidR="00382CF2" w:rsidRDefault="00054989">
      <w:pPr>
        <w:widowControl w:val="0"/>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Na</w:t>
      </w:r>
      <w:r w:rsidR="009922E1">
        <w:rPr>
          <w:rFonts w:ascii="Calibri" w:eastAsia="SimSun" w:hAnsi="Calibri" w:cs="Calibri"/>
          <w:sz w:val="22"/>
          <w:szCs w:val="22"/>
          <w:lang w:val="hr-HR"/>
        </w:rPr>
        <w:t xml:space="preserve"> dan</w:t>
      </w:r>
      <w:r>
        <w:rPr>
          <w:rFonts w:ascii="Calibri" w:eastAsia="SimSun" w:hAnsi="Calibri" w:cs="Calibri"/>
          <w:sz w:val="22"/>
          <w:szCs w:val="22"/>
          <w:lang w:val="hr-HR"/>
        </w:rPr>
        <w:t xml:space="preserve"> 31. prosinca 2022.</w:t>
      </w:r>
      <w:r w:rsidR="009922E1">
        <w:rPr>
          <w:rFonts w:ascii="Calibri" w:eastAsia="SimSun" w:hAnsi="Calibri" w:cs="Calibri"/>
          <w:sz w:val="22"/>
          <w:szCs w:val="22"/>
          <w:lang w:val="hr-HR"/>
        </w:rPr>
        <w:t xml:space="preserve"> </w:t>
      </w:r>
      <w:r>
        <w:rPr>
          <w:rFonts w:ascii="Calibri" w:eastAsia="SimSun" w:hAnsi="Calibri" w:cs="Calibri"/>
          <w:sz w:val="22"/>
          <w:szCs w:val="22"/>
          <w:lang w:val="hr-HR"/>
        </w:rPr>
        <w:t>u osigurateljno pokriće je uključeno 7.796 kreditnih limita, što je za 1,44 posto više u odnosu na prethodnu godinu. U ukupnoj strukturi limita, na domaća potraživanja odnosi se 4.929 kreditnih limita, a 2.867 kreditnih limita odnosi se na izvozna potraživanja prema kupcima u 66 z</w:t>
      </w:r>
      <w:r w:rsidRPr="00D250AC">
        <w:rPr>
          <w:rFonts w:ascii="Calibri" w:eastAsia="SimSun" w:hAnsi="Calibri" w:cs="Calibri"/>
          <w:color w:val="000000" w:themeColor="text1"/>
          <w:sz w:val="22"/>
          <w:szCs w:val="22"/>
          <w:lang w:val="hr-HR"/>
        </w:rPr>
        <w:t>em</w:t>
      </w:r>
      <w:r w:rsidR="00D250AC" w:rsidRPr="00D250AC">
        <w:rPr>
          <w:rFonts w:ascii="Calibri" w:eastAsia="SimSun" w:hAnsi="Calibri" w:cs="Calibri"/>
          <w:color w:val="000000" w:themeColor="text1"/>
          <w:sz w:val="22"/>
          <w:szCs w:val="22"/>
          <w:lang w:val="hr-HR"/>
        </w:rPr>
        <w:t>alja</w:t>
      </w:r>
      <w:r w:rsidRPr="00D250AC">
        <w:rPr>
          <w:rFonts w:ascii="Calibri" w:eastAsia="SimSun" w:hAnsi="Calibri" w:cs="Calibri"/>
          <w:color w:val="000000" w:themeColor="text1"/>
          <w:sz w:val="22"/>
          <w:szCs w:val="22"/>
          <w:lang w:val="hr-HR"/>
        </w:rPr>
        <w:t xml:space="preserve"> </w:t>
      </w:r>
      <w:r>
        <w:rPr>
          <w:rFonts w:ascii="Calibri" w:eastAsia="SimSun" w:hAnsi="Calibri" w:cs="Calibri"/>
          <w:sz w:val="22"/>
          <w:szCs w:val="22"/>
          <w:lang w:val="hr-HR"/>
        </w:rPr>
        <w:t>svijeta.</w:t>
      </w:r>
    </w:p>
    <w:p w14:paraId="06BCC1FE" w14:textId="77777777" w:rsidR="001209CB" w:rsidRPr="00D32822" w:rsidRDefault="001209CB">
      <w:pPr>
        <w:widowControl w:val="0"/>
        <w:spacing w:before="120" w:after="120" w:line="276" w:lineRule="auto"/>
        <w:jc w:val="both"/>
        <w:rPr>
          <w:rFonts w:ascii="Calibri" w:eastAsia="SimSun" w:hAnsi="Calibri" w:cs="Calibri"/>
          <w:sz w:val="22"/>
          <w:szCs w:val="22"/>
          <w:lang w:val="hr-HR"/>
          <w14:textOutline w14:w="9525" w14:cap="rnd" w14:cmpd="sng" w14:algn="ctr">
            <w14:solidFill>
              <w14:schemeClr w14:val="bg1">
                <w14:lumMod w14:val="85000"/>
              </w14:schemeClr>
            </w14:solidFill>
            <w14:prstDash w14:val="solid"/>
            <w14:bevel/>
          </w14:textOutline>
        </w:rPr>
      </w:pPr>
    </w:p>
    <w:p w14:paraId="1748D8FB" w14:textId="662D6FD8" w:rsidR="00382CF2" w:rsidRDefault="00054989">
      <w:pPr>
        <w:widowControl w:val="0"/>
        <w:spacing w:before="120" w:after="120" w:line="276" w:lineRule="auto"/>
        <w:jc w:val="both"/>
        <w:rPr>
          <w:rStyle w:val="Zadanifontodlomka1"/>
          <w:rFonts w:ascii="Calibri" w:eastAsia="SimSun" w:hAnsi="Calibri" w:cs="Calibri"/>
          <w:sz w:val="22"/>
          <w:szCs w:val="22"/>
          <w:lang w:val="hr-HR"/>
        </w:rPr>
      </w:pPr>
      <w:r>
        <w:rPr>
          <w:rStyle w:val="Zadanifontodlomka1"/>
          <w:rFonts w:ascii="Calibri" w:eastAsia="SimSun" w:hAnsi="Calibri" w:cs="Calibri"/>
          <w:noProof/>
          <w:sz w:val="22"/>
          <w:szCs w:val="22"/>
          <w:shd w:val="clear" w:color="auto" w:fill="E6E6E6"/>
          <w:lang w:val="hr-HR"/>
        </w:rPr>
        <w:drawing>
          <wp:inline distT="0" distB="0" distL="0" distR="0" wp14:anchorId="39BF6D70" wp14:editId="437877AA">
            <wp:extent cx="5962650" cy="4010025"/>
            <wp:effectExtent l="0" t="0" r="0" b="9525"/>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9F5995" w14:textId="77777777" w:rsidR="00A54311" w:rsidRPr="00211679" w:rsidRDefault="00A54311">
      <w:pPr>
        <w:widowControl w:val="0"/>
        <w:spacing w:before="120" w:after="120" w:line="276" w:lineRule="auto"/>
        <w:jc w:val="both"/>
        <w:rPr>
          <w:rFonts w:ascii="Calibri" w:eastAsia="SimSun" w:hAnsi="Calibri" w:cs="Calibri"/>
          <w:sz w:val="22"/>
          <w:szCs w:val="22"/>
          <w:lang w:val="hr-HR"/>
        </w:rPr>
      </w:pPr>
    </w:p>
    <w:p w14:paraId="1748D8FC" w14:textId="4EA2351B" w:rsidR="00382CF2" w:rsidRDefault="00054989">
      <w:pPr>
        <w:widowControl w:val="0"/>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Društvo je u 2022.</w:t>
      </w:r>
      <w:r w:rsidR="005B31E1">
        <w:rPr>
          <w:rFonts w:ascii="Calibri" w:eastAsia="SimSun" w:hAnsi="Calibri" w:cs="Calibri"/>
          <w:sz w:val="22"/>
          <w:szCs w:val="22"/>
          <w:lang w:val="hr-HR"/>
        </w:rPr>
        <w:t xml:space="preserve"> </w:t>
      </w:r>
      <w:r>
        <w:rPr>
          <w:rFonts w:ascii="Calibri" w:eastAsia="SimSun" w:hAnsi="Calibri" w:cs="Calibri"/>
          <w:sz w:val="22"/>
          <w:szCs w:val="22"/>
          <w:lang w:val="hr-HR"/>
        </w:rPr>
        <w:t xml:space="preserve">isplatilo štete i povezano pokriće troškova u ukupnom iznosu od 6,32 milijuna kuna, dok je u prethodnoj godini iznos likvidiranih šteta bio 2,29 milijuna kuna. Štete su isplaćene za kupce u Hrvatskoj, Mađarskoj, Bosni i </w:t>
      </w:r>
      <w:r w:rsidRPr="00D32822">
        <w:rPr>
          <w:rFonts w:ascii="Calibri" w:eastAsia="SimSun" w:hAnsi="Calibri" w:cs="Calibri"/>
          <w:sz w:val="22"/>
          <w:szCs w:val="22"/>
          <w:lang w:val="hr-HR"/>
        </w:rPr>
        <w:t>Hercegovini</w:t>
      </w:r>
      <w:r>
        <w:rPr>
          <w:rFonts w:ascii="Calibri" w:eastAsia="SimSun" w:hAnsi="Calibri" w:cs="Calibri"/>
          <w:sz w:val="22"/>
          <w:szCs w:val="22"/>
          <w:lang w:val="hr-HR"/>
        </w:rPr>
        <w:t>, Velikoj Britaniji, Sloveniji i Sjedinjenim Američkim Državama.</w:t>
      </w:r>
    </w:p>
    <w:p w14:paraId="1748D8FD" w14:textId="1CE04F80" w:rsidR="001209CB" w:rsidRDefault="001209CB">
      <w:pPr>
        <w:suppressAutoHyphens w:val="0"/>
        <w:rPr>
          <w:rFonts w:ascii="Calibri" w:eastAsia="SimSun" w:hAnsi="Calibri" w:cs="Calibri"/>
          <w:sz w:val="22"/>
          <w:szCs w:val="22"/>
          <w:lang w:val="hr-HR"/>
        </w:rPr>
      </w:pPr>
      <w:r>
        <w:rPr>
          <w:rFonts w:ascii="Calibri" w:eastAsia="SimSun" w:hAnsi="Calibri" w:cs="Calibri"/>
          <w:sz w:val="22"/>
          <w:szCs w:val="22"/>
          <w:lang w:val="hr-HR"/>
        </w:rPr>
        <w:br w:type="page"/>
      </w:r>
    </w:p>
    <w:p w14:paraId="1748D8FF" w14:textId="77777777" w:rsidR="00382CF2" w:rsidRDefault="00054989">
      <w:pPr>
        <w:widowControl w:val="0"/>
        <w:spacing w:before="120" w:after="120" w:line="23" w:lineRule="atLeast"/>
      </w:pPr>
      <w:r>
        <w:rPr>
          <w:rStyle w:val="Zadanifontodlomka1"/>
          <w:rFonts w:ascii="Calibri" w:eastAsia="SimSun" w:hAnsi="Calibri" w:cs="Calibri"/>
          <w:b/>
          <w:bCs/>
          <w:iCs/>
          <w:sz w:val="22"/>
          <w:szCs w:val="22"/>
          <w:lang w:val="hr-HR"/>
        </w:rPr>
        <w:lastRenderedPageBreak/>
        <w:t>Indikatori poslova osiguranja</w:t>
      </w:r>
    </w:p>
    <w:tbl>
      <w:tblPr>
        <w:tblW w:w="9062" w:type="dxa"/>
        <w:tblCellMar>
          <w:left w:w="10" w:type="dxa"/>
          <w:right w:w="10" w:type="dxa"/>
        </w:tblCellMar>
        <w:tblLook w:val="04A0" w:firstRow="1" w:lastRow="0" w:firstColumn="1" w:lastColumn="0" w:noHBand="0" w:noVBand="1"/>
      </w:tblPr>
      <w:tblGrid>
        <w:gridCol w:w="2932"/>
        <w:gridCol w:w="2041"/>
        <w:gridCol w:w="2041"/>
        <w:gridCol w:w="2048"/>
      </w:tblGrid>
      <w:tr w:rsidR="00DA027C" w:rsidRPr="00BD2102" w14:paraId="1748D904" w14:textId="77777777">
        <w:trPr>
          <w:trHeight w:val="533"/>
        </w:trPr>
        <w:tc>
          <w:tcPr>
            <w:tcW w:w="2932" w:type="dxa"/>
            <w:tcBorders>
              <w:top w:val="single" w:sz="4" w:space="0" w:color="000000"/>
              <w:left w:val="single" w:sz="4" w:space="0" w:color="000000"/>
            </w:tcBorders>
            <w:shd w:val="clear" w:color="auto" w:fill="auto"/>
            <w:tcMar>
              <w:top w:w="0" w:type="dxa"/>
              <w:left w:w="108" w:type="dxa"/>
              <w:bottom w:w="0" w:type="dxa"/>
              <w:right w:w="108" w:type="dxa"/>
            </w:tcMar>
          </w:tcPr>
          <w:p w14:paraId="1748D900" w14:textId="77777777" w:rsidR="00382CF2" w:rsidRPr="00BD2102" w:rsidRDefault="00382CF2">
            <w:pPr>
              <w:spacing w:before="120" w:after="120" w:line="23" w:lineRule="atLeast"/>
              <w:jc w:val="center"/>
              <w:rPr>
                <w:rFonts w:ascii="Calibri" w:eastAsia="SimSun" w:hAnsi="Calibri" w:cs="Calibri"/>
                <w:b/>
                <w:bCs/>
                <w:color w:val="000000" w:themeColor="text1"/>
                <w:sz w:val="22"/>
                <w:szCs w:val="22"/>
                <w:lang w:val="hr-HR"/>
              </w:rPr>
            </w:pPr>
            <w:bookmarkStart w:id="70" w:name="_Hlk126077091"/>
          </w:p>
        </w:tc>
        <w:tc>
          <w:tcPr>
            <w:tcW w:w="2041" w:type="dxa"/>
            <w:tcBorders>
              <w:top w:val="single" w:sz="4" w:space="0" w:color="000000"/>
            </w:tcBorders>
            <w:shd w:val="clear" w:color="auto" w:fill="auto"/>
            <w:tcMar>
              <w:top w:w="0" w:type="dxa"/>
              <w:left w:w="108" w:type="dxa"/>
              <w:bottom w:w="0" w:type="dxa"/>
              <w:right w:w="108" w:type="dxa"/>
            </w:tcMar>
          </w:tcPr>
          <w:p w14:paraId="1748D901" w14:textId="77777777" w:rsidR="00382CF2" w:rsidRPr="00BD2102" w:rsidRDefault="00054989">
            <w:pPr>
              <w:spacing w:before="120" w:after="120" w:line="23" w:lineRule="atLeast"/>
              <w:jc w:val="center"/>
              <w:rPr>
                <w:rFonts w:ascii="Calibri" w:eastAsia="SimSun" w:hAnsi="Calibri" w:cs="Calibri"/>
                <w:b/>
                <w:bCs/>
                <w:color w:val="000000" w:themeColor="text1"/>
                <w:sz w:val="22"/>
                <w:szCs w:val="22"/>
                <w:lang w:val="hr-HR"/>
              </w:rPr>
            </w:pPr>
            <w:r w:rsidRPr="00BD2102">
              <w:rPr>
                <w:rFonts w:ascii="Calibri" w:eastAsia="SimSun" w:hAnsi="Calibri" w:cs="Calibri"/>
                <w:b/>
                <w:bCs/>
                <w:color w:val="000000" w:themeColor="text1"/>
                <w:sz w:val="22"/>
                <w:szCs w:val="22"/>
                <w:lang w:val="hr-HR"/>
              </w:rPr>
              <w:t>2020.</w:t>
            </w:r>
          </w:p>
        </w:tc>
        <w:tc>
          <w:tcPr>
            <w:tcW w:w="2041" w:type="dxa"/>
            <w:tcBorders>
              <w:top w:val="single" w:sz="4" w:space="0" w:color="000000"/>
            </w:tcBorders>
            <w:shd w:val="clear" w:color="auto" w:fill="auto"/>
            <w:tcMar>
              <w:top w:w="0" w:type="dxa"/>
              <w:left w:w="108" w:type="dxa"/>
              <w:bottom w:w="0" w:type="dxa"/>
              <w:right w:w="108" w:type="dxa"/>
            </w:tcMar>
          </w:tcPr>
          <w:p w14:paraId="1748D902" w14:textId="77777777" w:rsidR="00382CF2" w:rsidRPr="00BD2102" w:rsidRDefault="00054989">
            <w:pPr>
              <w:spacing w:before="120" w:after="120" w:line="23" w:lineRule="atLeast"/>
              <w:jc w:val="center"/>
              <w:rPr>
                <w:rFonts w:ascii="Calibri" w:eastAsia="SimSun" w:hAnsi="Calibri" w:cs="Calibri"/>
                <w:b/>
                <w:bCs/>
                <w:color w:val="000000" w:themeColor="text1"/>
                <w:sz w:val="22"/>
                <w:szCs w:val="22"/>
                <w:lang w:val="hr-HR"/>
              </w:rPr>
            </w:pPr>
            <w:r w:rsidRPr="00BD2102">
              <w:rPr>
                <w:rFonts w:ascii="Calibri" w:eastAsia="SimSun" w:hAnsi="Calibri" w:cs="Calibri"/>
                <w:b/>
                <w:bCs/>
                <w:color w:val="000000" w:themeColor="text1"/>
                <w:sz w:val="22"/>
                <w:szCs w:val="22"/>
                <w:lang w:val="hr-HR"/>
              </w:rPr>
              <w:t>2021.</w:t>
            </w:r>
          </w:p>
        </w:tc>
        <w:tc>
          <w:tcPr>
            <w:tcW w:w="2048" w:type="dxa"/>
            <w:tcBorders>
              <w:top w:val="single" w:sz="4" w:space="0" w:color="000000"/>
              <w:right w:val="single" w:sz="4" w:space="0" w:color="000000"/>
            </w:tcBorders>
            <w:shd w:val="clear" w:color="auto" w:fill="auto"/>
            <w:tcMar>
              <w:top w:w="0" w:type="dxa"/>
              <w:left w:w="108" w:type="dxa"/>
              <w:bottom w:w="0" w:type="dxa"/>
              <w:right w:w="108" w:type="dxa"/>
            </w:tcMar>
          </w:tcPr>
          <w:p w14:paraId="1748D903" w14:textId="77777777" w:rsidR="00382CF2" w:rsidRPr="00BD2102" w:rsidRDefault="00054989">
            <w:pPr>
              <w:spacing w:before="120" w:after="120" w:line="23" w:lineRule="atLeast"/>
              <w:jc w:val="center"/>
              <w:rPr>
                <w:rFonts w:ascii="Calibri" w:eastAsia="SimSun" w:hAnsi="Calibri" w:cs="Calibri"/>
                <w:b/>
                <w:bCs/>
                <w:color w:val="000000" w:themeColor="text1"/>
                <w:sz w:val="22"/>
                <w:szCs w:val="22"/>
                <w:lang w:val="hr-HR"/>
              </w:rPr>
            </w:pPr>
            <w:r w:rsidRPr="00BD2102">
              <w:rPr>
                <w:rFonts w:ascii="Calibri" w:eastAsia="SimSun" w:hAnsi="Calibri" w:cs="Calibri"/>
                <w:b/>
                <w:bCs/>
                <w:color w:val="000000" w:themeColor="text1"/>
                <w:sz w:val="22"/>
                <w:szCs w:val="22"/>
                <w:lang w:val="hr-HR"/>
              </w:rPr>
              <w:t>2022.</w:t>
            </w:r>
          </w:p>
        </w:tc>
      </w:tr>
      <w:tr w:rsidR="00382CF2" w14:paraId="1748D909" w14:textId="77777777">
        <w:trPr>
          <w:trHeight w:val="669"/>
        </w:trPr>
        <w:tc>
          <w:tcPr>
            <w:tcW w:w="2932" w:type="dxa"/>
            <w:tcBorders>
              <w:left w:val="single" w:sz="4" w:space="0" w:color="000000"/>
            </w:tcBorders>
            <w:shd w:val="clear" w:color="auto" w:fill="auto"/>
            <w:tcMar>
              <w:top w:w="0" w:type="dxa"/>
              <w:left w:w="108" w:type="dxa"/>
              <w:bottom w:w="0" w:type="dxa"/>
              <w:right w:w="108" w:type="dxa"/>
            </w:tcMar>
          </w:tcPr>
          <w:p w14:paraId="1748D905" w14:textId="77777777" w:rsidR="00382CF2" w:rsidRDefault="00054989">
            <w:pPr>
              <w:spacing w:before="120" w:after="120" w:line="23" w:lineRule="atLeast"/>
              <w:rPr>
                <w:rFonts w:ascii="Calibri" w:eastAsia="SimSun" w:hAnsi="Calibri" w:cs="Calibri"/>
                <w:b/>
                <w:bCs/>
                <w:sz w:val="22"/>
                <w:szCs w:val="22"/>
                <w:lang w:val="hr-HR"/>
              </w:rPr>
            </w:pPr>
            <w:r>
              <w:rPr>
                <w:rFonts w:ascii="Calibri" w:eastAsia="SimSun" w:hAnsi="Calibri" w:cs="Calibri"/>
                <w:b/>
                <w:bCs/>
                <w:sz w:val="22"/>
                <w:szCs w:val="22"/>
                <w:lang w:val="hr-HR"/>
              </w:rPr>
              <w:t>Volumen osiguranih potraživanja, u mil. kn</w:t>
            </w:r>
          </w:p>
        </w:tc>
        <w:tc>
          <w:tcPr>
            <w:tcW w:w="2041" w:type="dxa"/>
            <w:shd w:val="clear" w:color="auto" w:fill="auto"/>
            <w:tcMar>
              <w:top w:w="0" w:type="dxa"/>
              <w:left w:w="108" w:type="dxa"/>
              <w:bottom w:w="0" w:type="dxa"/>
              <w:right w:w="108" w:type="dxa"/>
            </w:tcMar>
          </w:tcPr>
          <w:p w14:paraId="1748D906" w14:textId="77777777" w:rsidR="00382CF2" w:rsidRDefault="00054989">
            <w:pPr>
              <w:spacing w:before="120" w:after="120" w:line="23" w:lineRule="atLeast"/>
              <w:jc w:val="center"/>
              <w:rPr>
                <w:rFonts w:ascii="Calibri" w:eastAsia="SimSun" w:hAnsi="Calibri" w:cs="Calibri"/>
                <w:bCs/>
                <w:sz w:val="22"/>
                <w:szCs w:val="22"/>
                <w:lang w:val="hr-HR"/>
              </w:rPr>
            </w:pPr>
            <w:r>
              <w:rPr>
                <w:rFonts w:ascii="Calibri" w:eastAsia="SimSun" w:hAnsi="Calibri" w:cs="Calibri"/>
                <w:bCs/>
                <w:sz w:val="22"/>
                <w:szCs w:val="22"/>
                <w:lang w:val="hr-HR"/>
              </w:rPr>
              <w:t>7.290,66</w:t>
            </w:r>
          </w:p>
        </w:tc>
        <w:tc>
          <w:tcPr>
            <w:tcW w:w="2041" w:type="dxa"/>
            <w:shd w:val="clear" w:color="auto" w:fill="auto"/>
            <w:tcMar>
              <w:top w:w="0" w:type="dxa"/>
              <w:left w:w="108" w:type="dxa"/>
              <w:bottom w:w="0" w:type="dxa"/>
              <w:right w:w="108" w:type="dxa"/>
            </w:tcMar>
          </w:tcPr>
          <w:p w14:paraId="1748D907" w14:textId="77777777" w:rsidR="00382CF2" w:rsidRDefault="00054989">
            <w:pPr>
              <w:spacing w:before="120" w:after="120" w:line="23" w:lineRule="atLeast"/>
              <w:jc w:val="center"/>
              <w:rPr>
                <w:rFonts w:ascii="Calibri" w:eastAsia="SimSun" w:hAnsi="Calibri" w:cs="Calibri"/>
                <w:bCs/>
                <w:sz w:val="22"/>
                <w:szCs w:val="22"/>
                <w:lang w:val="hr-HR"/>
              </w:rPr>
            </w:pPr>
            <w:r>
              <w:rPr>
                <w:rFonts w:ascii="Calibri" w:eastAsia="SimSun" w:hAnsi="Calibri" w:cs="Calibri"/>
                <w:bCs/>
                <w:sz w:val="22"/>
                <w:szCs w:val="22"/>
                <w:lang w:val="hr-HR"/>
              </w:rPr>
              <w:t>10.711,02</w:t>
            </w:r>
          </w:p>
        </w:tc>
        <w:tc>
          <w:tcPr>
            <w:tcW w:w="2048" w:type="dxa"/>
            <w:tcBorders>
              <w:right w:val="single" w:sz="4" w:space="0" w:color="000000"/>
            </w:tcBorders>
            <w:shd w:val="clear" w:color="auto" w:fill="auto"/>
            <w:tcMar>
              <w:top w:w="0" w:type="dxa"/>
              <w:left w:w="108" w:type="dxa"/>
              <w:bottom w:w="0" w:type="dxa"/>
              <w:right w:w="108" w:type="dxa"/>
            </w:tcMar>
          </w:tcPr>
          <w:p w14:paraId="1748D908" w14:textId="77777777" w:rsidR="00382CF2" w:rsidRDefault="00054989">
            <w:pPr>
              <w:spacing w:before="120" w:after="120" w:line="23" w:lineRule="atLeast"/>
              <w:jc w:val="center"/>
            </w:pPr>
            <w:r>
              <w:rPr>
                <w:rStyle w:val="Zadanifontodlomka1"/>
                <w:rFonts w:ascii="Calibri" w:eastAsia="SimSun" w:hAnsi="Calibri" w:cs="Calibri"/>
                <w:bCs/>
                <w:sz w:val="22"/>
                <w:szCs w:val="22"/>
                <w:lang w:val="hr-HR"/>
              </w:rPr>
              <w:t>12.865,34</w:t>
            </w:r>
          </w:p>
        </w:tc>
      </w:tr>
      <w:tr w:rsidR="00382CF2" w14:paraId="1748D90E" w14:textId="77777777">
        <w:trPr>
          <w:trHeight w:val="722"/>
        </w:trPr>
        <w:tc>
          <w:tcPr>
            <w:tcW w:w="2932" w:type="dxa"/>
            <w:tcBorders>
              <w:left w:val="single" w:sz="4" w:space="0" w:color="000000"/>
            </w:tcBorders>
            <w:shd w:val="clear" w:color="auto" w:fill="auto"/>
            <w:tcMar>
              <w:top w:w="0" w:type="dxa"/>
              <w:left w:w="108" w:type="dxa"/>
              <w:bottom w:w="0" w:type="dxa"/>
              <w:right w:w="108" w:type="dxa"/>
            </w:tcMar>
          </w:tcPr>
          <w:p w14:paraId="1748D90A" w14:textId="2C4C854D" w:rsidR="00382CF2" w:rsidRDefault="00054989">
            <w:pPr>
              <w:spacing w:before="120" w:after="120" w:line="23" w:lineRule="atLeast"/>
              <w:rPr>
                <w:rFonts w:ascii="Calibri" w:eastAsia="SimSun" w:hAnsi="Calibri" w:cs="Calibri"/>
                <w:b/>
                <w:bCs/>
                <w:sz w:val="22"/>
                <w:szCs w:val="22"/>
                <w:lang w:val="hr-HR"/>
              </w:rPr>
            </w:pPr>
            <w:r>
              <w:rPr>
                <w:rFonts w:ascii="Calibri" w:eastAsia="SimSun" w:hAnsi="Calibri" w:cs="Calibri"/>
                <w:b/>
                <w:bCs/>
                <w:sz w:val="22"/>
                <w:szCs w:val="22"/>
                <w:lang w:val="hr-HR"/>
              </w:rPr>
              <w:t>Izloženost prema kupcima, na 31.</w:t>
            </w:r>
            <w:r w:rsidR="00F54513">
              <w:rPr>
                <w:rFonts w:ascii="Calibri" w:eastAsia="SimSun" w:hAnsi="Calibri" w:cs="Calibri"/>
                <w:b/>
                <w:bCs/>
                <w:sz w:val="22"/>
                <w:szCs w:val="22"/>
                <w:lang w:val="hr-HR"/>
              </w:rPr>
              <w:t xml:space="preserve"> </w:t>
            </w:r>
            <w:r>
              <w:rPr>
                <w:rFonts w:ascii="Calibri" w:eastAsia="SimSun" w:hAnsi="Calibri" w:cs="Calibri"/>
                <w:b/>
                <w:bCs/>
                <w:sz w:val="22"/>
                <w:szCs w:val="22"/>
                <w:lang w:val="hr-HR"/>
              </w:rPr>
              <w:t xml:space="preserve">12., u mil. kn </w:t>
            </w:r>
          </w:p>
        </w:tc>
        <w:tc>
          <w:tcPr>
            <w:tcW w:w="2041" w:type="dxa"/>
            <w:shd w:val="clear" w:color="auto" w:fill="auto"/>
            <w:tcMar>
              <w:top w:w="0" w:type="dxa"/>
              <w:left w:w="108" w:type="dxa"/>
              <w:bottom w:w="0" w:type="dxa"/>
              <w:right w:w="108" w:type="dxa"/>
            </w:tcMar>
          </w:tcPr>
          <w:p w14:paraId="1748D90B" w14:textId="77777777" w:rsidR="00382CF2" w:rsidRDefault="00054989">
            <w:pPr>
              <w:spacing w:before="120" w:after="120" w:line="23" w:lineRule="atLeast"/>
              <w:jc w:val="center"/>
              <w:rPr>
                <w:rFonts w:ascii="Calibri" w:eastAsia="SimSun" w:hAnsi="Calibri" w:cs="Calibri"/>
                <w:bCs/>
                <w:sz w:val="22"/>
                <w:szCs w:val="22"/>
                <w:lang w:val="hr-HR"/>
              </w:rPr>
            </w:pPr>
            <w:r>
              <w:rPr>
                <w:rFonts w:ascii="Calibri" w:eastAsia="SimSun" w:hAnsi="Calibri" w:cs="Calibri"/>
                <w:bCs/>
                <w:sz w:val="22"/>
                <w:szCs w:val="22"/>
                <w:lang w:val="hr-HR"/>
              </w:rPr>
              <w:t>3.574,09</w:t>
            </w:r>
          </w:p>
        </w:tc>
        <w:tc>
          <w:tcPr>
            <w:tcW w:w="2041" w:type="dxa"/>
            <w:shd w:val="clear" w:color="auto" w:fill="auto"/>
            <w:tcMar>
              <w:top w:w="0" w:type="dxa"/>
              <w:left w:w="108" w:type="dxa"/>
              <w:bottom w:w="0" w:type="dxa"/>
              <w:right w:w="108" w:type="dxa"/>
            </w:tcMar>
          </w:tcPr>
          <w:p w14:paraId="1748D90C" w14:textId="77777777" w:rsidR="00382CF2" w:rsidRDefault="00054989">
            <w:pPr>
              <w:spacing w:before="120" w:after="120" w:line="23" w:lineRule="atLeast"/>
              <w:jc w:val="center"/>
              <w:rPr>
                <w:rFonts w:ascii="Calibri" w:eastAsia="SimSun" w:hAnsi="Calibri" w:cs="Calibri"/>
                <w:bCs/>
                <w:sz w:val="22"/>
                <w:szCs w:val="22"/>
                <w:lang w:val="hr-HR"/>
              </w:rPr>
            </w:pPr>
            <w:r>
              <w:rPr>
                <w:rFonts w:ascii="Calibri" w:eastAsia="SimSun" w:hAnsi="Calibri" w:cs="Calibri"/>
                <w:bCs/>
                <w:sz w:val="22"/>
                <w:szCs w:val="22"/>
                <w:lang w:val="hr-HR"/>
              </w:rPr>
              <w:t>4.338,13</w:t>
            </w:r>
          </w:p>
        </w:tc>
        <w:tc>
          <w:tcPr>
            <w:tcW w:w="2048" w:type="dxa"/>
            <w:tcBorders>
              <w:right w:val="single" w:sz="4" w:space="0" w:color="000000"/>
            </w:tcBorders>
            <w:shd w:val="clear" w:color="auto" w:fill="auto"/>
            <w:tcMar>
              <w:top w:w="0" w:type="dxa"/>
              <w:left w:w="108" w:type="dxa"/>
              <w:bottom w:w="0" w:type="dxa"/>
              <w:right w:w="108" w:type="dxa"/>
            </w:tcMar>
          </w:tcPr>
          <w:p w14:paraId="1748D90D" w14:textId="77777777" w:rsidR="00382CF2" w:rsidRDefault="00054989">
            <w:pPr>
              <w:spacing w:before="120" w:after="120" w:line="23" w:lineRule="atLeast"/>
              <w:jc w:val="center"/>
            </w:pPr>
            <w:r>
              <w:rPr>
                <w:rStyle w:val="Zadanifontodlomka1"/>
                <w:rFonts w:ascii="Calibri" w:eastAsia="SimSun" w:hAnsi="Calibri" w:cs="Calibri"/>
                <w:bCs/>
                <w:sz w:val="22"/>
                <w:szCs w:val="22"/>
                <w:lang w:val="hr-HR"/>
              </w:rPr>
              <w:t>5.031,31</w:t>
            </w:r>
          </w:p>
        </w:tc>
      </w:tr>
      <w:tr w:rsidR="00382CF2" w14:paraId="1748D913" w14:textId="77777777">
        <w:trPr>
          <w:trHeight w:val="720"/>
        </w:trPr>
        <w:tc>
          <w:tcPr>
            <w:tcW w:w="2932" w:type="dxa"/>
            <w:tcBorders>
              <w:left w:val="single" w:sz="4" w:space="0" w:color="000000"/>
            </w:tcBorders>
            <w:shd w:val="clear" w:color="auto" w:fill="auto"/>
            <w:tcMar>
              <w:top w:w="0" w:type="dxa"/>
              <w:left w:w="108" w:type="dxa"/>
              <w:bottom w:w="0" w:type="dxa"/>
              <w:right w:w="108" w:type="dxa"/>
            </w:tcMar>
          </w:tcPr>
          <w:p w14:paraId="1748D90F" w14:textId="77777777" w:rsidR="00382CF2" w:rsidRDefault="00054989">
            <w:pPr>
              <w:spacing w:before="120" w:after="120" w:line="23" w:lineRule="atLeast"/>
              <w:rPr>
                <w:rFonts w:ascii="Calibri" w:eastAsia="SimSun" w:hAnsi="Calibri" w:cs="Calibri"/>
                <w:b/>
                <w:bCs/>
                <w:sz w:val="22"/>
                <w:szCs w:val="22"/>
                <w:lang w:val="hr-HR"/>
              </w:rPr>
            </w:pPr>
            <w:r>
              <w:rPr>
                <w:rFonts w:ascii="Calibri" w:eastAsia="SimSun" w:hAnsi="Calibri" w:cs="Calibri"/>
                <w:b/>
                <w:bCs/>
                <w:sz w:val="22"/>
                <w:szCs w:val="22"/>
                <w:lang w:val="hr-HR"/>
              </w:rPr>
              <w:t>Zaračunata bruto premija, u mil. kn</w:t>
            </w:r>
          </w:p>
        </w:tc>
        <w:tc>
          <w:tcPr>
            <w:tcW w:w="2041" w:type="dxa"/>
            <w:shd w:val="clear" w:color="auto" w:fill="auto"/>
            <w:tcMar>
              <w:top w:w="0" w:type="dxa"/>
              <w:left w:w="108" w:type="dxa"/>
              <w:bottom w:w="0" w:type="dxa"/>
              <w:right w:w="108" w:type="dxa"/>
            </w:tcMar>
          </w:tcPr>
          <w:p w14:paraId="1748D910" w14:textId="77777777" w:rsidR="00382CF2" w:rsidRDefault="00054989">
            <w:pPr>
              <w:spacing w:before="120" w:after="120" w:line="23" w:lineRule="atLeast"/>
              <w:jc w:val="center"/>
              <w:rPr>
                <w:rFonts w:ascii="Calibri" w:eastAsia="SimSun" w:hAnsi="Calibri" w:cs="Calibri"/>
                <w:bCs/>
                <w:sz w:val="22"/>
                <w:szCs w:val="22"/>
                <w:lang w:val="hr-HR"/>
              </w:rPr>
            </w:pPr>
            <w:r>
              <w:rPr>
                <w:rFonts w:ascii="Calibri" w:eastAsia="SimSun" w:hAnsi="Calibri" w:cs="Calibri"/>
                <w:bCs/>
                <w:sz w:val="22"/>
                <w:szCs w:val="22"/>
                <w:lang w:val="hr-HR"/>
              </w:rPr>
              <w:t>13,08</w:t>
            </w:r>
          </w:p>
        </w:tc>
        <w:tc>
          <w:tcPr>
            <w:tcW w:w="2041" w:type="dxa"/>
            <w:shd w:val="clear" w:color="auto" w:fill="auto"/>
            <w:tcMar>
              <w:top w:w="0" w:type="dxa"/>
              <w:left w:w="108" w:type="dxa"/>
              <w:bottom w:w="0" w:type="dxa"/>
              <w:right w:w="108" w:type="dxa"/>
            </w:tcMar>
          </w:tcPr>
          <w:p w14:paraId="1748D911" w14:textId="77777777" w:rsidR="00382CF2" w:rsidRDefault="00054989">
            <w:pPr>
              <w:spacing w:before="120" w:after="120" w:line="23" w:lineRule="atLeast"/>
              <w:jc w:val="center"/>
              <w:rPr>
                <w:rFonts w:ascii="Calibri" w:eastAsia="SimSun" w:hAnsi="Calibri" w:cs="Calibri"/>
                <w:bCs/>
                <w:sz w:val="22"/>
                <w:szCs w:val="22"/>
                <w:lang w:val="hr-HR"/>
              </w:rPr>
            </w:pPr>
            <w:r>
              <w:rPr>
                <w:rFonts w:ascii="Calibri" w:eastAsia="SimSun" w:hAnsi="Calibri" w:cs="Calibri"/>
                <w:bCs/>
                <w:sz w:val="22"/>
                <w:szCs w:val="22"/>
                <w:lang w:val="hr-HR"/>
              </w:rPr>
              <w:t>17,61</w:t>
            </w:r>
          </w:p>
        </w:tc>
        <w:tc>
          <w:tcPr>
            <w:tcW w:w="2048" w:type="dxa"/>
            <w:tcBorders>
              <w:right w:val="single" w:sz="4" w:space="0" w:color="000000"/>
            </w:tcBorders>
            <w:shd w:val="clear" w:color="auto" w:fill="auto"/>
            <w:tcMar>
              <w:top w:w="0" w:type="dxa"/>
              <w:left w:w="108" w:type="dxa"/>
              <w:bottom w:w="0" w:type="dxa"/>
              <w:right w:w="108" w:type="dxa"/>
            </w:tcMar>
          </w:tcPr>
          <w:p w14:paraId="1748D912" w14:textId="77777777" w:rsidR="00382CF2" w:rsidRDefault="00054989">
            <w:pPr>
              <w:spacing w:before="120" w:after="120" w:line="23" w:lineRule="atLeast"/>
              <w:jc w:val="center"/>
            </w:pPr>
            <w:r>
              <w:rPr>
                <w:rStyle w:val="Zadanifontodlomka1"/>
                <w:rFonts w:ascii="Calibri" w:eastAsia="SimSun" w:hAnsi="Calibri" w:cs="Calibri"/>
                <w:bCs/>
                <w:sz w:val="22"/>
                <w:szCs w:val="22"/>
                <w:lang w:val="hr-HR"/>
              </w:rPr>
              <w:t>19,71</w:t>
            </w:r>
          </w:p>
        </w:tc>
      </w:tr>
      <w:tr w:rsidR="00382CF2" w14:paraId="1748D918" w14:textId="77777777">
        <w:trPr>
          <w:trHeight w:val="700"/>
        </w:trPr>
        <w:tc>
          <w:tcPr>
            <w:tcW w:w="2932" w:type="dxa"/>
            <w:tcBorders>
              <w:left w:val="single" w:sz="4" w:space="0" w:color="000000"/>
            </w:tcBorders>
            <w:shd w:val="clear" w:color="auto" w:fill="auto"/>
            <w:tcMar>
              <w:top w:w="0" w:type="dxa"/>
              <w:left w:w="108" w:type="dxa"/>
              <w:bottom w:w="0" w:type="dxa"/>
              <w:right w:w="108" w:type="dxa"/>
            </w:tcMar>
          </w:tcPr>
          <w:p w14:paraId="1748D914" w14:textId="77777777" w:rsidR="00382CF2" w:rsidRDefault="00054989">
            <w:pPr>
              <w:spacing w:before="120" w:after="120" w:line="23" w:lineRule="atLeast"/>
              <w:rPr>
                <w:rFonts w:ascii="Calibri" w:eastAsia="SimSun" w:hAnsi="Calibri" w:cs="Calibri"/>
                <w:b/>
                <w:bCs/>
                <w:sz w:val="22"/>
                <w:szCs w:val="22"/>
                <w:lang w:val="hr-HR"/>
              </w:rPr>
            </w:pPr>
            <w:r>
              <w:rPr>
                <w:rFonts w:ascii="Calibri" w:eastAsia="SimSun" w:hAnsi="Calibri" w:cs="Calibri"/>
                <w:b/>
                <w:bCs/>
                <w:sz w:val="22"/>
                <w:szCs w:val="22"/>
                <w:lang w:val="hr-HR"/>
              </w:rPr>
              <w:t>Iznos isplaćenih naknada šteta, u mil. kn</w:t>
            </w:r>
          </w:p>
        </w:tc>
        <w:tc>
          <w:tcPr>
            <w:tcW w:w="2041" w:type="dxa"/>
            <w:shd w:val="clear" w:color="auto" w:fill="auto"/>
            <w:tcMar>
              <w:top w:w="0" w:type="dxa"/>
              <w:left w:w="108" w:type="dxa"/>
              <w:bottom w:w="0" w:type="dxa"/>
              <w:right w:w="108" w:type="dxa"/>
            </w:tcMar>
          </w:tcPr>
          <w:p w14:paraId="1748D915" w14:textId="77777777" w:rsidR="00382CF2" w:rsidRDefault="00054989">
            <w:pPr>
              <w:spacing w:before="120" w:after="120" w:line="23" w:lineRule="atLeast"/>
              <w:jc w:val="center"/>
              <w:rPr>
                <w:rFonts w:ascii="Calibri" w:eastAsia="SimSun" w:hAnsi="Calibri" w:cs="Calibri"/>
                <w:bCs/>
                <w:sz w:val="22"/>
                <w:szCs w:val="22"/>
                <w:lang w:val="hr-HR"/>
              </w:rPr>
            </w:pPr>
            <w:r>
              <w:rPr>
                <w:rFonts w:ascii="Calibri" w:eastAsia="SimSun" w:hAnsi="Calibri" w:cs="Calibri"/>
                <w:bCs/>
                <w:sz w:val="22"/>
                <w:szCs w:val="22"/>
                <w:lang w:val="hr-HR"/>
              </w:rPr>
              <w:t>0,97</w:t>
            </w:r>
          </w:p>
        </w:tc>
        <w:tc>
          <w:tcPr>
            <w:tcW w:w="2041" w:type="dxa"/>
            <w:shd w:val="clear" w:color="auto" w:fill="auto"/>
            <w:tcMar>
              <w:top w:w="0" w:type="dxa"/>
              <w:left w:w="108" w:type="dxa"/>
              <w:bottom w:w="0" w:type="dxa"/>
              <w:right w:w="108" w:type="dxa"/>
            </w:tcMar>
          </w:tcPr>
          <w:p w14:paraId="1748D916" w14:textId="77777777" w:rsidR="00382CF2" w:rsidRDefault="00054989">
            <w:pPr>
              <w:spacing w:before="120" w:after="120" w:line="23" w:lineRule="atLeast"/>
              <w:jc w:val="center"/>
              <w:rPr>
                <w:rFonts w:ascii="Calibri" w:eastAsia="SimSun" w:hAnsi="Calibri" w:cs="Calibri"/>
                <w:bCs/>
                <w:sz w:val="22"/>
                <w:szCs w:val="22"/>
                <w:lang w:val="hr-HR"/>
              </w:rPr>
            </w:pPr>
            <w:r>
              <w:rPr>
                <w:rFonts w:ascii="Calibri" w:eastAsia="SimSun" w:hAnsi="Calibri" w:cs="Calibri"/>
                <w:bCs/>
                <w:sz w:val="22"/>
                <w:szCs w:val="22"/>
                <w:lang w:val="hr-HR"/>
              </w:rPr>
              <w:t>2,29</w:t>
            </w:r>
          </w:p>
        </w:tc>
        <w:tc>
          <w:tcPr>
            <w:tcW w:w="2048" w:type="dxa"/>
            <w:tcBorders>
              <w:right w:val="single" w:sz="4" w:space="0" w:color="000000"/>
            </w:tcBorders>
            <w:shd w:val="clear" w:color="auto" w:fill="auto"/>
            <w:tcMar>
              <w:top w:w="0" w:type="dxa"/>
              <w:left w:w="108" w:type="dxa"/>
              <w:bottom w:w="0" w:type="dxa"/>
              <w:right w:w="108" w:type="dxa"/>
            </w:tcMar>
          </w:tcPr>
          <w:p w14:paraId="1748D917" w14:textId="77777777" w:rsidR="00382CF2" w:rsidRDefault="00054989">
            <w:pPr>
              <w:spacing w:before="120" w:after="120" w:line="23" w:lineRule="atLeast"/>
              <w:jc w:val="center"/>
            </w:pPr>
            <w:r>
              <w:rPr>
                <w:rStyle w:val="Zadanifontodlomka1"/>
                <w:rFonts w:ascii="Calibri" w:eastAsia="SimSun" w:hAnsi="Calibri" w:cs="Calibri"/>
                <w:bCs/>
                <w:sz w:val="22"/>
                <w:szCs w:val="22"/>
                <w:lang w:val="hr-HR"/>
              </w:rPr>
              <w:t>6,32</w:t>
            </w:r>
          </w:p>
        </w:tc>
      </w:tr>
      <w:tr w:rsidR="00382CF2" w14:paraId="1748D91D" w14:textId="77777777">
        <w:trPr>
          <w:trHeight w:val="714"/>
        </w:trPr>
        <w:tc>
          <w:tcPr>
            <w:tcW w:w="2932" w:type="dxa"/>
            <w:tcBorders>
              <w:left w:val="single" w:sz="4" w:space="0" w:color="000000"/>
              <w:bottom w:val="single" w:sz="4" w:space="0" w:color="000000"/>
            </w:tcBorders>
            <w:shd w:val="clear" w:color="auto" w:fill="auto"/>
            <w:tcMar>
              <w:top w:w="0" w:type="dxa"/>
              <w:left w:w="108" w:type="dxa"/>
              <w:bottom w:w="0" w:type="dxa"/>
              <w:right w:w="108" w:type="dxa"/>
            </w:tcMar>
          </w:tcPr>
          <w:p w14:paraId="1748D919" w14:textId="77777777" w:rsidR="00382CF2" w:rsidRDefault="00054989">
            <w:pPr>
              <w:spacing w:before="120" w:after="120" w:line="23" w:lineRule="atLeast"/>
              <w:rPr>
                <w:rFonts w:ascii="Calibri" w:eastAsia="SimSun" w:hAnsi="Calibri" w:cs="Calibri"/>
                <w:b/>
                <w:bCs/>
                <w:sz w:val="22"/>
                <w:szCs w:val="22"/>
                <w:lang w:val="hr-HR"/>
              </w:rPr>
            </w:pPr>
            <w:r>
              <w:rPr>
                <w:rFonts w:ascii="Calibri" w:eastAsia="SimSun" w:hAnsi="Calibri" w:cs="Calibri"/>
                <w:b/>
                <w:bCs/>
                <w:sz w:val="22"/>
                <w:szCs w:val="22"/>
                <w:lang w:val="hr-HR"/>
              </w:rPr>
              <w:t>Broj aktivnih limita na 31. 12.</w:t>
            </w:r>
          </w:p>
        </w:tc>
        <w:tc>
          <w:tcPr>
            <w:tcW w:w="2041" w:type="dxa"/>
            <w:tcBorders>
              <w:bottom w:val="single" w:sz="4" w:space="0" w:color="000000"/>
            </w:tcBorders>
            <w:shd w:val="clear" w:color="auto" w:fill="auto"/>
            <w:tcMar>
              <w:top w:w="0" w:type="dxa"/>
              <w:left w:w="108" w:type="dxa"/>
              <w:bottom w:w="0" w:type="dxa"/>
              <w:right w:w="108" w:type="dxa"/>
            </w:tcMar>
          </w:tcPr>
          <w:p w14:paraId="1748D91A" w14:textId="77777777" w:rsidR="00382CF2" w:rsidRDefault="00054989">
            <w:pPr>
              <w:spacing w:before="120" w:after="120" w:line="23" w:lineRule="atLeast"/>
              <w:jc w:val="center"/>
            </w:pPr>
            <w:r>
              <w:rPr>
                <w:rStyle w:val="Zadanifontodlomka1"/>
                <w:rFonts w:ascii="Calibri" w:eastAsia="SimSun" w:hAnsi="Calibri" w:cs="Calibri"/>
                <w:bCs/>
                <w:sz w:val="22"/>
                <w:szCs w:val="22"/>
                <w:lang w:val="hr-HR"/>
              </w:rPr>
              <w:t>7.336</w:t>
            </w:r>
          </w:p>
        </w:tc>
        <w:tc>
          <w:tcPr>
            <w:tcW w:w="2041" w:type="dxa"/>
            <w:tcBorders>
              <w:bottom w:val="single" w:sz="4" w:space="0" w:color="000000"/>
            </w:tcBorders>
            <w:shd w:val="clear" w:color="auto" w:fill="auto"/>
            <w:tcMar>
              <w:top w:w="0" w:type="dxa"/>
              <w:left w:w="108" w:type="dxa"/>
              <w:bottom w:w="0" w:type="dxa"/>
              <w:right w:w="108" w:type="dxa"/>
            </w:tcMar>
          </w:tcPr>
          <w:p w14:paraId="1748D91B" w14:textId="77777777" w:rsidR="00382CF2" w:rsidRDefault="00054989">
            <w:pPr>
              <w:spacing w:before="120" w:after="120" w:line="23" w:lineRule="atLeast"/>
              <w:jc w:val="center"/>
            </w:pPr>
            <w:r>
              <w:rPr>
                <w:rStyle w:val="Zadanifontodlomka1"/>
                <w:rFonts w:ascii="Calibri" w:eastAsia="SimSun" w:hAnsi="Calibri" w:cs="Calibri"/>
                <w:bCs/>
                <w:sz w:val="22"/>
                <w:szCs w:val="22"/>
                <w:lang w:val="hr-HR"/>
              </w:rPr>
              <w:t>7.685</w:t>
            </w:r>
          </w:p>
        </w:tc>
        <w:tc>
          <w:tcPr>
            <w:tcW w:w="2048" w:type="dxa"/>
            <w:tcBorders>
              <w:bottom w:val="single" w:sz="4" w:space="0" w:color="000000"/>
              <w:right w:val="single" w:sz="4" w:space="0" w:color="000000"/>
            </w:tcBorders>
            <w:shd w:val="clear" w:color="auto" w:fill="auto"/>
            <w:tcMar>
              <w:top w:w="0" w:type="dxa"/>
              <w:left w:w="108" w:type="dxa"/>
              <w:bottom w:w="0" w:type="dxa"/>
              <w:right w:w="108" w:type="dxa"/>
            </w:tcMar>
          </w:tcPr>
          <w:p w14:paraId="1748D91C" w14:textId="77777777" w:rsidR="00382CF2" w:rsidRDefault="00054989">
            <w:pPr>
              <w:spacing w:before="120" w:after="120" w:line="23" w:lineRule="atLeast"/>
              <w:jc w:val="center"/>
            </w:pPr>
            <w:r>
              <w:rPr>
                <w:rStyle w:val="Zadanifontodlomka1"/>
                <w:rFonts w:ascii="Calibri" w:eastAsia="SimSun" w:hAnsi="Calibri" w:cs="Calibri"/>
                <w:bCs/>
                <w:sz w:val="22"/>
                <w:szCs w:val="22"/>
                <w:lang w:val="hr-HR"/>
              </w:rPr>
              <w:t>7.796</w:t>
            </w:r>
          </w:p>
        </w:tc>
      </w:tr>
      <w:bookmarkEnd w:id="70"/>
    </w:tbl>
    <w:p w14:paraId="1748D91E" w14:textId="77777777" w:rsidR="00382CF2" w:rsidRDefault="00382CF2">
      <w:pPr>
        <w:spacing w:before="120" w:after="120" w:line="23" w:lineRule="atLeast"/>
        <w:jc w:val="both"/>
        <w:rPr>
          <w:rFonts w:ascii="Calibri" w:eastAsia="SimSun" w:hAnsi="Calibri" w:cs="Calibri"/>
          <w:sz w:val="22"/>
          <w:szCs w:val="22"/>
          <w:lang w:val="hr-HR"/>
        </w:rPr>
      </w:pPr>
    </w:p>
    <w:p w14:paraId="1748D91F" w14:textId="09ECDEB9"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Troškovi pribave, marketinga i administrativni troškovi te ostali poslovni rashodi Grupe HKO u 2022.</w:t>
      </w:r>
      <w:r w:rsidR="00EA34A9">
        <w:rPr>
          <w:rFonts w:ascii="Calibri" w:eastAsia="SimSun" w:hAnsi="Calibri" w:cs="Calibri"/>
          <w:sz w:val="22"/>
          <w:szCs w:val="22"/>
          <w:lang w:val="hr-HR"/>
        </w:rPr>
        <w:t xml:space="preserve"> </w:t>
      </w:r>
      <w:r>
        <w:rPr>
          <w:rFonts w:ascii="Calibri" w:eastAsia="SimSun" w:hAnsi="Calibri" w:cs="Calibri"/>
          <w:sz w:val="22"/>
          <w:szCs w:val="22"/>
          <w:lang w:val="hr-HR"/>
        </w:rPr>
        <w:t>iznosili su 8,73 milijuna kuna, a na razini društva troškovi pribave, marketinga i administrativni troškovi te ostali poslovni rashodi iznosili su 7,17 milijuna kuna.</w:t>
      </w:r>
    </w:p>
    <w:p w14:paraId="1748D920" w14:textId="5502176D"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Prihodi od naknada za procjenu rizika iznosili su 2,02 milijuna kuna, u usporedbi s 1,89 milijuna ostvarenih u 2021. godini.</w:t>
      </w:r>
    </w:p>
    <w:p w14:paraId="1748D921" w14:textId="25AAD2D4"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Neto prihodi od ulaganja u 2022.</w:t>
      </w:r>
      <w:r w:rsidR="0075733D">
        <w:rPr>
          <w:rFonts w:ascii="Calibri" w:eastAsia="SimSun" w:hAnsi="Calibri" w:cs="Calibri"/>
          <w:sz w:val="22"/>
          <w:szCs w:val="22"/>
          <w:lang w:val="hr-HR"/>
        </w:rPr>
        <w:t xml:space="preserve"> </w:t>
      </w:r>
      <w:r>
        <w:rPr>
          <w:rFonts w:ascii="Calibri" w:eastAsia="SimSun" w:hAnsi="Calibri" w:cs="Calibri"/>
          <w:sz w:val="22"/>
          <w:szCs w:val="22"/>
          <w:lang w:val="hr-HR"/>
        </w:rPr>
        <w:t>iznosili su 1,34 milijuna kuna (u 2021.</w:t>
      </w:r>
      <w:r w:rsidR="0075733D">
        <w:rPr>
          <w:rFonts w:ascii="Calibri" w:eastAsia="SimSun" w:hAnsi="Calibri" w:cs="Calibri"/>
          <w:sz w:val="22"/>
          <w:szCs w:val="22"/>
          <w:lang w:val="hr-HR"/>
        </w:rPr>
        <w:t xml:space="preserve"> iznosili su</w:t>
      </w:r>
      <w:r>
        <w:rPr>
          <w:rFonts w:ascii="Calibri" w:eastAsia="SimSun" w:hAnsi="Calibri" w:cs="Calibri"/>
          <w:sz w:val="22"/>
          <w:szCs w:val="22"/>
          <w:lang w:val="hr-HR"/>
        </w:rPr>
        <w:t xml:space="preserve"> 1,21 milijun).</w:t>
      </w:r>
    </w:p>
    <w:p w14:paraId="1748D922" w14:textId="73D29B56"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Poslovnu 2022. godinu Grupa HKO zaključila je s ostvarenom dobiti tekuće godine prije poreza u iznosu od 1,34 milijuna kuna, dok je u 2021.</w:t>
      </w:r>
      <w:r w:rsidR="0075733D">
        <w:rPr>
          <w:rFonts w:ascii="Calibri" w:eastAsia="SimSun" w:hAnsi="Calibri" w:cs="Calibri"/>
          <w:sz w:val="22"/>
          <w:szCs w:val="22"/>
          <w:lang w:val="hr-HR"/>
        </w:rPr>
        <w:t xml:space="preserve"> </w:t>
      </w:r>
      <w:r>
        <w:rPr>
          <w:rFonts w:ascii="Calibri" w:eastAsia="SimSun" w:hAnsi="Calibri" w:cs="Calibri"/>
          <w:sz w:val="22"/>
          <w:szCs w:val="22"/>
          <w:lang w:val="hr-HR"/>
        </w:rPr>
        <w:t xml:space="preserve">dobit tekuće godine prije poreza iznosila 2,18 milijuna kuna. </w:t>
      </w:r>
    </w:p>
    <w:p w14:paraId="1748D923" w14:textId="5CB75486"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Ukupna imovina Grupe HKO na 31. prosinca 2022.</w:t>
      </w:r>
      <w:r w:rsidR="0075733D">
        <w:rPr>
          <w:rFonts w:ascii="Calibri" w:eastAsia="SimSun" w:hAnsi="Calibri" w:cs="Calibri"/>
          <w:sz w:val="22"/>
          <w:szCs w:val="22"/>
          <w:lang w:val="hr-HR"/>
        </w:rPr>
        <w:t xml:space="preserve"> </w:t>
      </w:r>
      <w:r>
        <w:rPr>
          <w:rFonts w:ascii="Calibri" w:eastAsia="SimSun" w:hAnsi="Calibri" w:cs="Calibri"/>
          <w:sz w:val="22"/>
          <w:szCs w:val="22"/>
          <w:lang w:val="hr-HR"/>
        </w:rPr>
        <w:t>u iznosu od 84,04 milijuna kuna veća je za 30,26 posto u odnosu na prethodnu godinu. Najvažniji razlog povećanja je dokapitalizacija koju je proveo vlasnik HBOR u iznosu od 20 milijuna kuna.</w:t>
      </w:r>
    </w:p>
    <w:p w14:paraId="1748D924" w14:textId="2A2C6C51" w:rsidR="00382CF2" w:rsidRDefault="00054989">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Ukupni kapital na dan 31. prosinca 2022.</w:t>
      </w:r>
      <w:r w:rsidR="00C639A1">
        <w:rPr>
          <w:rFonts w:ascii="Calibri" w:eastAsia="SimSun" w:hAnsi="Calibri" w:cs="Calibri"/>
          <w:sz w:val="22"/>
          <w:szCs w:val="22"/>
          <w:lang w:val="hr-HR"/>
        </w:rPr>
        <w:t xml:space="preserve"> </w:t>
      </w:r>
      <w:r>
        <w:rPr>
          <w:rFonts w:ascii="Calibri" w:eastAsia="SimSun" w:hAnsi="Calibri" w:cs="Calibri"/>
          <w:sz w:val="22"/>
          <w:szCs w:val="22"/>
          <w:lang w:val="hr-HR"/>
        </w:rPr>
        <w:t>iznosio je 56,92 milijuna kuna, a neto tehničke pričuve 16,61 milijun kuna.</w:t>
      </w:r>
    </w:p>
    <w:bookmarkEnd w:id="65"/>
    <w:bookmarkEnd w:id="66"/>
    <w:p w14:paraId="12E050DB" w14:textId="77777777" w:rsidR="000F5E41" w:rsidRDefault="000F5E41">
      <w:pPr>
        <w:suppressAutoHyphens w:val="0"/>
        <w:rPr>
          <w:rStyle w:val="Zadanifontodlomka1"/>
          <w:rFonts w:ascii="Calibri" w:hAnsi="Calibri" w:cs="Calibri"/>
          <w:b/>
          <w:bCs/>
          <w:spacing w:val="-3"/>
          <w:sz w:val="22"/>
          <w:szCs w:val="22"/>
          <w:lang w:val="hr-HR"/>
        </w:rPr>
      </w:pPr>
      <w:r>
        <w:rPr>
          <w:rStyle w:val="Zadanifontodlomka1"/>
          <w:rFonts w:ascii="Calibri" w:hAnsi="Calibri" w:cs="Calibri"/>
          <w:b/>
          <w:bCs/>
          <w:spacing w:val="-3"/>
          <w:sz w:val="22"/>
          <w:szCs w:val="22"/>
          <w:lang w:val="hr-HR"/>
        </w:rPr>
        <w:br w:type="page"/>
      </w:r>
    </w:p>
    <w:p w14:paraId="1748D926" w14:textId="0CD99972" w:rsidR="00382CF2" w:rsidRDefault="00054989">
      <w:pPr>
        <w:keepNext/>
        <w:keepLines/>
        <w:pBdr>
          <w:bottom w:val="single" w:sz="4" w:space="2" w:color="B2B2B2"/>
        </w:pBdr>
        <w:spacing w:before="360" w:after="120"/>
        <w:outlineLvl w:val="0"/>
      </w:pPr>
      <w:bookmarkStart w:id="71" w:name="_Toc129083725"/>
      <w:r>
        <w:rPr>
          <w:rStyle w:val="Zadanifontodlomka1"/>
          <w:rFonts w:ascii="Calibri" w:hAnsi="Calibri" w:cs="Calibri"/>
          <w:b/>
          <w:bCs/>
          <w:spacing w:val="-3"/>
          <w:sz w:val="22"/>
          <w:szCs w:val="22"/>
          <w:lang w:val="hr-HR"/>
        </w:rPr>
        <w:lastRenderedPageBreak/>
        <w:t>NAČELA FINANCIJSKOG IZVJEŠTAVANJA</w:t>
      </w:r>
      <w:bookmarkEnd w:id="71"/>
      <w:r>
        <w:rPr>
          <w:rStyle w:val="Zadanifontodlomka1"/>
          <w:rFonts w:ascii="Calibri" w:hAnsi="Calibri" w:cs="Calibri"/>
          <w:b/>
          <w:spacing w:val="-3"/>
          <w:sz w:val="22"/>
          <w:szCs w:val="22"/>
          <w:lang w:val="hr-HR"/>
        </w:rPr>
        <w:tab/>
      </w:r>
    </w:p>
    <w:p w14:paraId="1748D928" w14:textId="77777777" w:rsidR="00382CF2" w:rsidRDefault="00054989">
      <w:pPr>
        <w:spacing w:line="276" w:lineRule="auto"/>
        <w:rPr>
          <w:rFonts w:ascii="Calibri" w:hAnsi="Calibri" w:cs="Calibri"/>
          <w:sz w:val="22"/>
          <w:szCs w:val="22"/>
          <w:lang w:val="hr-HR"/>
        </w:rPr>
      </w:pPr>
      <w:r>
        <w:rPr>
          <w:rFonts w:ascii="Calibri" w:hAnsi="Calibri" w:cs="Calibri"/>
          <w:sz w:val="22"/>
          <w:szCs w:val="22"/>
          <w:lang w:val="hr-HR"/>
        </w:rPr>
        <w:t>Grupa HBOR priprema:</w:t>
      </w:r>
    </w:p>
    <w:p w14:paraId="1748D929" w14:textId="3EF2D2D3" w:rsidR="00382CF2" w:rsidRDefault="00054989" w:rsidP="00B62047">
      <w:pPr>
        <w:numPr>
          <w:ilvl w:val="0"/>
          <w:numId w:val="21"/>
        </w:numPr>
        <w:spacing w:before="120" w:line="276" w:lineRule="auto"/>
        <w:ind w:left="714" w:hanging="357"/>
        <w:jc w:val="both"/>
        <w:textAlignment w:val="baseline"/>
        <w:rPr>
          <w:rFonts w:ascii="Calibri" w:hAnsi="Calibri" w:cs="Calibri"/>
          <w:sz w:val="22"/>
          <w:szCs w:val="22"/>
          <w:lang w:val="hr-HR"/>
        </w:rPr>
      </w:pPr>
      <w:r>
        <w:rPr>
          <w:rFonts w:ascii="Calibri" w:hAnsi="Calibri" w:cs="Calibri"/>
          <w:sz w:val="22"/>
          <w:szCs w:val="22"/>
          <w:lang w:val="hr-HR"/>
        </w:rPr>
        <w:t xml:space="preserve">odvojene financijske izvještaje matice </w:t>
      </w:r>
      <w:r w:rsidR="00C639A1">
        <w:rPr>
          <w:rFonts w:ascii="Calibri" w:hAnsi="Calibri" w:cs="Calibri"/>
          <w:sz w:val="22"/>
          <w:szCs w:val="22"/>
          <w:lang w:val="hr-HR"/>
        </w:rPr>
        <w:t>–</w:t>
      </w:r>
      <w:r>
        <w:rPr>
          <w:rFonts w:ascii="Calibri" w:hAnsi="Calibri" w:cs="Calibri"/>
          <w:sz w:val="22"/>
          <w:szCs w:val="22"/>
          <w:lang w:val="hr-HR"/>
        </w:rPr>
        <w:t xml:space="preserve"> HBOR</w:t>
      </w:r>
      <w:r w:rsidR="00C639A1">
        <w:rPr>
          <w:rFonts w:ascii="Calibri" w:hAnsi="Calibri" w:cs="Calibri"/>
          <w:sz w:val="22"/>
          <w:szCs w:val="22"/>
          <w:lang w:val="hr-HR"/>
        </w:rPr>
        <w:t xml:space="preserve"> te</w:t>
      </w:r>
    </w:p>
    <w:p w14:paraId="1748D92A" w14:textId="048EAFC3" w:rsidR="00382CF2" w:rsidRDefault="00054989" w:rsidP="006A261B">
      <w:pPr>
        <w:numPr>
          <w:ilvl w:val="0"/>
          <w:numId w:val="21"/>
        </w:numPr>
        <w:spacing w:after="120" w:line="276" w:lineRule="auto"/>
        <w:ind w:left="714" w:hanging="357"/>
        <w:jc w:val="both"/>
        <w:textAlignment w:val="baseline"/>
        <w:rPr>
          <w:rFonts w:ascii="Calibri" w:hAnsi="Calibri" w:cs="Calibri"/>
          <w:sz w:val="22"/>
          <w:szCs w:val="22"/>
          <w:lang w:val="hr-HR"/>
        </w:rPr>
      </w:pPr>
      <w:r>
        <w:rPr>
          <w:rFonts w:ascii="Calibri" w:hAnsi="Calibri" w:cs="Calibri"/>
          <w:sz w:val="22"/>
          <w:szCs w:val="22"/>
          <w:lang w:val="hr-HR"/>
        </w:rPr>
        <w:t>konsolidirane financijske izvještaje koji uključuju HBOR i društva pod njegovom kontrolom</w:t>
      </w:r>
      <w:r w:rsidR="00C639A1">
        <w:rPr>
          <w:rFonts w:ascii="Calibri" w:hAnsi="Calibri" w:cs="Calibri"/>
          <w:sz w:val="22"/>
          <w:szCs w:val="22"/>
          <w:lang w:val="hr-HR"/>
        </w:rPr>
        <w:t xml:space="preserve">, tj. </w:t>
      </w:r>
      <w:r>
        <w:rPr>
          <w:rFonts w:ascii="Calibri" w:hAnsi="Calibri" w:cs="Calibri"/>
          <w:sz w:val="22"/>
          <w:szCs w:val="22"/>
          <w:lang w:val="hr-HR"/>
        </w:rPr>
        <w:t xml:space="preserve">ovisna društva. </w:t>
      </w:r>
    </w:p>
    <w:p w14:paraId="1748D92B" w14:textId="77777777" w:rsidR="00382CF2" w:rsidRDefault="00382CF2">
      <w:pPr>
        <w:spacing w:line="276" w:lineRule="auto"/>
        <w:jc w:val="both"/>
        <w:rPr>
          <w:rFonts w:ascii="Calibri" w:hAnsi="Calibri" w:cs="Calibri"/>
          <w:sz w:val="22"/>
          <w:szCs w:val="22"/>
          <w:lang w:val="hr-HR"/>
        </w:rPr>
      </w:pPr>
    </w:p>
    <w:p w14:paraId="1748D92C" w14:textId="70F98DC6" w:rsidR="00382CF2" w:rsidRDefault="00054989">
      <w:pPr>
        <w:spacing w:line="276" w:lineRule="auto"/>
        <w:jc w:val="both"/>
        <w:rPr>
          <w:rFonts w:ascii="Calibri" w:hAnsi="Calibri" w:cs="Calibri"/>
          <w:sz w:val="22"/>
          <w:szCs w:val="22"/>
          <w:lang w:val="hr-HR"/>
        </w:rPr>
      </w:pPr>
      <w:r>
        <w:rPr>
          <w:rFonts w:ascii="Calibri" w:hAnsi="Calibri" w:cs="Calibri"/>
          <w:sz w:val="22"/>
          <w:szCs w:val="22"/>
          <w:lang w:val="hr-HR"/>
        </w:rPr>
        <w:t>Grupa HBOR</w:t>
      </w:r>
      <w:r w:rsidR="00EE4570">
        <w:rPr>
          <w:rFonts w:ascii="Calibri" w:hAnsi="Calibri" w:cs="Calibri"/>
          <w:sz w:val="22"/>
          <w:szCs w:val="22"/>
          <w:lang w:val="hr-HR"/>
        </w:rPr>
        <w:t xml:space="preserve"> </w:t>
      </w:r>
      <w:r>
        <w:rPr>
          <w:rFonts w:ascii="Calibri" w:hAnsi="Calibri" w:cs="Calibri"/>
          <w:sz w:val="22"/>
          <w:szCs w:val="22"/>
          <w:lang w:val="hr-HR"/>
        </w:rPr>
        <w:t>pri sastavljanju i prezentiranju godišnjih financijskih izvještaja primjenjuje Međunarodne standarde financijskog izvještavanja usvojene od strane Europske unije („EU MSFI“).</w:t>
      </w:r>
    </w:p>
    <w:p w14:paraId="1748D92D" w14:textId="77777777" w:rsidR="00382CF2" w:rsidRDefault="00054989">
      <w:pPr>
        <w:spacing w:line="276" w:lineRule="auto"/>
        <w:jc w:val="both"/>
        <w:rPr>
          <w:rFonts w:ascii="Calibri" w:hAnsi="Calibri" w:cs="Calibri"/>
          <w:sz w:val="22"/>
          <w:szCs w:val="22"/>
          <w:lang w:val="hr-HR"/>
        </w:rPr>
      </w:pPr>
      <w:r>
        <w:rPr>
          <w:rFonts w:ascii="Calibri" w:hAnsi="Calibri" w:cs="Calibri"/>
          <w:sz w:val="22"/>
          <w:szCs w:val="22"/>
          <w:lang w:val="hr-HR"/>
        </w:rPr>
        <w:t>Financijski izvještaji sastavljaju se i pripremaju s ciljem pružanja informacija o financijskom položaju, uspješnosti poslovanja i promjenama financijskog položaja HBOR-a i Grupe HBOR radi donošenja odgovarajućih ekonomskih odluka od strane njihovih korisnika te pružanja financijskih podataka o provedbi strategije Grupe HBOR.</w:t>
      </w:r>
    </w:p>
    <w:p w14:paraId="1748D92E" w14:textId="77777777" w:rsidR="00382CF2" w:rsidRDefault="00382CF2">
      <w:pPr>
        <w:spacing w:line="276" w:lineRule="auto"/>
        <w:jc w:val="both"/>
        <w:rPr>
          <w:rFonts w:ascii="Calibri" w:hAnsi="Calibri" w:cs="Calibri"/>
          <w:sz w:val="22"/>
          <w:szCs w:val="22"/>
          <w:lang w:val="hr-HR"/>
        </w:rPr>
      </w:pPr>
    </w:p>
    <w:p w14:paraId="1748D92F" w14:textId="3B05095A" w:rsidR="00382CF2" w:rsidRDefault="00054989">
      <w:pPr>
        <w:spacing w:line="276" w:lineRule="auto"/>
        <w:jc w:val="both"/>
        <w:rPr>
          <w:rFonts w:ascii="Calibri" w:hAnsi="Calibri" w:cs="Calibri"/>
          <w:sz w:val="22"/>
          <w:szCs w:val="22"/>
          <w:lang w:val="hr-HR"/>
        </w:rPr>
      </w:pPr>
      <w:r>
        <w:rPr>
          <w:rFonts w:ascii="Calibri" w:hAnsi="Calibri" w:cs="Calibri"/>
          <w:sz w:val="22"/>
          <w:szCs w:val="22"/>
          <w:lang w:val="hr-HR"/>
        </w:rPr>
        <w:t>Grupa HBOR</w:t>
      </w:r>
      <w:r w:rsidR="00A62696">
        <w:rPr>
          <w:rFonts w:ascii="Calibri" w:hAnsi="Calibri" w:cs="Calibri"/>
          <w:sz w:val="22"/>
          <w:szCs w:val="22"/>
          <w:lang w:val="hr-HR"/>
        </w:rPr>
        <w:t>,</w:t>
      </w:r>
      <w:r>
        <w:rPr>
          <w:rFonts w:ascii="Calibri" w:hAnsi="Calibri" w:cs="Calibri"/>
          <w:sz w:val="22"/>
          <w:szCs w:val="22"/>
          <w:lang w:val="hr-HR"/>
        </w:rPr>
        <w:t xml:space="preserve"> pri financijskom izvještavanju i objavama</w:t>
      </w:r>
      <w:r w:rsidR="00A62696">
        <w:rPr>
          <w:rFonts w:ascii="Calibri" w:hAnsi="Calibri" w:cs="Calibri"/>
          <w:sz w:val="22"/>
          <w:szCs w:val="22"/>
          <w:lang w:val="hr-HR"/>
        </w:rPr>
        <w:t>,</w:t>
      </w:r>
      <w:r>
        <w:rPr>
          <w:rFonts w:ascii="Calibri" w:hAnsi="Calibri" w:cs="Calibri"/>
          <w:sz w:val="22"/>
          <w:szCs w:val="22"/>
          <w:lang w:val="hr-HR"/>
        </w:rPr>
        <w:t xml:space="preserve"> primjenjuje sljedeća načela:</w:t>
      </w:r>
    </w:p>
    <w:p w14:paraId="1748D930" w14:textId="77777777" w:rsidR="00382CF2" w:rsidRDefault="00382CF2">
      <w:pPr>
        <w:spacing w:line="276" w:lineRule="auto"/>
        <w:jc w:val="both"/>
        <w:rPr>
          <w:rFonts w:ascii="Calibri" w:hAnsi="Calibri" w:cs="Calibri"/>
          <w:sz w:val="22"/>
          <w:szCs w:val="22"/>
          <w:lang w:val="hr-HR"/>
        </w:rPr>
      </w:pPr>
    </w:p>
    <w:p w14:paraId="1748D931" w14:textId="77777777" w:rsidR="00382CF2" w:rsidRDefault="00054989">
      <w:pPr>
        <w:numPr>
          <w:ilvl w:val="0"/>
          <w:numId w:val="22"/>
        </w:numPr>
        <w:spacing w:after="160" w:line="276" w:lineRule="auto"/>
        <w:jc w:val="both"/>
        <w:textAlignment w:val="baseline"/>
      </w:pPr>
      <w:r>
        <w:rPr>
          <w:rStyle w:val="Zadanifontodlomka1"/>
          <w:rFonts w:ascii="Calibri" w:hAnsi="Calibri" w:cs="Calibri"/>
          <w:b/>
          <w:sz w:val="22"/>
          <w:szCs w:val="22"/>
          <w:lang w:val="hr-HR"/>
        </w:rPr>
        <w:t>transparentnost prezentiranja</w:t>
      </w:r>
      <w:r>
        <w:rPr>
          <w:rStyle w:val="Zadanifontodlomka1"/>
          <w:rFonts w:ascii="Calibri" w:hAnsi="Calibri" w:cs="Calibri"/>
          <w:sz w:val="22"/>
          <w:szCs w:val="22"/>
          <w:lang w:val="hr-HR"/>
        </w:rPr>
        <w:t xml:space="preserve"> radi osiguravanja većeg razumijevanja prezentiranih informacija od strane korisnika financijskih izvještaja,</w:t>
      </w:r>
    </w:p>
    <w:p w14:paraId="1748D932" w14:textId="77777777" w:rsidR="00382CF2" w:rsidRDefault="00054989">
      <w:pPr>
        <w:numPr>
          <w:ilvl w:val="0"/>
          <w:numId w:val="22"/>
        </w:numPr>
        <w:spacing w:after="160" w:line="276" w:lineRule="auto"/>
        <w:jc w:val="both"/>
        <w:textAlignment w:val="baseline"/>
      </w:pPr>
      <w:r>
        <w:rPr>
          <w:rStyle w:val="Zadanifontodlomka1"/>
          <w:rFonts w:ascii="Calibri" w:hAnsi="Calibri" w:cs="Calibri"/>
          <w:b/>
          <w:sz w:val="22"/>
          <w:szCs w:val="22"/>
          <w:lang w:val="hr-HR"/>
        </w:rPr>
        <w:t>dosljednost prezentiranja</w:t>
      </w:r>
      <w:r>
        <w:rPr>
          <w:rStyle w:val="Zadanifontodlomka1"/>
          <w:rFonts w:ascii="Calibri" w:hAnsi="Calibri" w:cs="Calibri"/>
          <w:sz w:val="22"/>
          <w:szCs w:val="22"/>
          <w:lang w:val="hr-HR"/>
        </w:rPr>
        <w:t xml:space="preserve"> unutar svakog izvještajnog razdoblja i između izvještajnih razdoblja,</w:t>
      </w:r>
    </w:p>
    <w:p w14:paraId="1748D933" w14:textId="77777777" w:rsidR="00382CF2" w:rsidRDefault="00054989">
      <w:pPr>
        <w:numPr>
          <w:ilvl w:val="0"/>
          <w:numId w:val="22"/>
        </w:numPr>
        <w:spacing w:after="160" w:line="276" w:lineRule="auto"/>
        <w:jc w:val="both"/>
        <w:textAlignment w:val="baseline"/>
      </w:pPr>
      <w:r>
        <w:rPr>
          <w:rStyle w:val="Zadanifontodlomka1"/>
          <w:rFonts w:ascii="Calibri" w:hAnsi="Calibri" w:cs="Calibri"/>
          <w:b/>
          <w:sz w:val="22"/>
          <w:szCs w:val="22"/>
          <w:lang w:val="hr-HR"/>
        </w:rPr>
        <w:t>jednostavnost prezentiranja</w:t>
      </w:r>
      <w:r>
        <w:rPr>
          <w:rStyle w:val="Zadanifontodlomka1"/>
          <w:rFonts w:ascii="Calibri" w:hAnsi="Calibri" w:cs="Calibri"/>
          <w:sz w:val="22"/>
          <w:szCs w:val="22"/>
          <w:lang w:val="hr-HR"/>
        </w:rPr>
        <w:t xml:space="preserve"> kako bi se korisnicima omogućilo lakše razumijevanje položaja, uspješnosti poslovanja te promjena financijskog položaja i donošenje odluka, </w:t>
      </w:r>
    </w:p>
    <w:p w14:paraId="1748D934" w14:textId="77777777" w:rsidR="00382CF2" w:rsidRDefault="00054989">
      <w:pPr>
        <w:numPr>
          <w:ilvl w:val="0"/>
          <w:numId w:val="22"/>
        </w:numPr>
        <w:spacing w:after="160" w:line="276" w:lineRule="auto"/>
        <w:jc w:val="both"/>
        <w:textAlignment w:val="baseline"/>
      </w:pPr>
      <w:r>
        <w:rPr>
          <w:rStyle w:val="Zadanifontodlomka1"/>
          <w:rFonts w:ascii="Calibri" w:hAnsi="Calibri" w:cs="Calibri"/>
          <w:b/>
          <w:sz w:val="22"/>
          <w:szCs w:val="22"/>
          <w:lang w:val="hr-HR"/>
        </w:rPr>
        <w:t xml:space="preserve">usmjerenost na zahtjeve zakonske regulative </w:t>
      </w:r>
      <w:r>
        <w:rPr>
          <w:rStyle w:val="Zadanifontodlomka1"/>
          <w:rFonts w:ascii="Calibri" w:hAnsi="Calibri" w:cs="Calibri"/>
          <w:sz w:val="22"/>
          <w:szCs w:val="22"/>
          <w:lang w:val="hr-HR"/>
        </w:rPr>
        <w:t>kako bi se osigurala usklađenost,</w:t>
      </w:r>
    </w:p>
    <w:p w14:paraId="1748D935" w14:textId="77777777" w:rsidR="00382CF2" w:rsidRDefault="00054989">
      <w:pPr>
        <w:numPr>
          <w:ilvl w:val="0"/>
          <w:numId w:val="22"/>
        </w:numPr>
        <w:spacing w:after="160" w:line="276" w:lineRule="auto"/>
        <w:jc w:val="both"/>
        <w:textAlignment w:val="baseline"/>
      </w:pPr>
      <w:r>
        <w:rPr>
          <w:rStyle w:val="Zadanifontodlomka1"/>
          <w:rFonts w:ascii="Calibri" w:hAnsi="Calibri" w:cs="Calibri"/>
          <w:b/>
          <w:sz w:val="22"/>
          <w:szCs w:val="22"/>
          <w:lang w:val="hr-HR"/>
        </w:rPr>
        <w:t>primjena najbolje prakse</w:t>
      </w:r>
      <w:r>
        <w:rPr>
          <w:rStyle w:val="Zadanifontodlomka1"/>
          <w:rFonts w:ascii="Calibri" w:hAnsi="Calibri" w:cs="Calibri"/>
          <w:sz w:val="22"/>
          <w:szCs w:val="22"/>
          <w:lang w:val="hr-HR"/>
        </w:rPr>
        <w:t xml:space="preserve"> </w:t>
      </w:r>
      <w:r>
        <w:rPr>
          <w:rStyle w:val="Zadanifontodlomka1"/>
          <w:rFonts w:ascii="Calibri" w:hAnsi="Calibri" w:cs="Calibri"/>
          <w:b/>
          <w:sz w:val="22"/>
          <w:szCs w:val="22"/>
          <w:lang w:val="hr-HR"/>
        </w:rPr>
        <w:t xml:space="preserve">prezentiranja </w:t>
      </w:r>
      <w:r>
        <w:rPr>
          <w:rStyle w:val="Zadanifontodlomka1"/>
          <w:rFonts w:ascii="Calibri" w:hAnsi="Calibri" w:cs="Calibri"/>
          <w:sz w:val="22"/>
          <w:szCs w:val="22"/>
          <w:lang w:val="hr-HR"/>
        </w:rPr>
        <w:t xml:space="preserve">primjenjive na djelatnost poslovanja Grupe uz uvažavanje suvremenih međunarodnih trendova u financijskom izvještavanju, kao i zahtjeva tržišta. </w:t>
      </w:r>
    </w:p>
    <w:p w14:paraId="1748D937" w14:textId="77777777" w:rsidR="00382CF2" w:rsidRDefault="00382CF2">
      <w:pPr>
        <w:rPr>
          <w:rFonts w:ascii="Calibri" w:hAnsi="Calibri" w:cs="Calibri"/>
          <w:b/>
          <w:spacing w:val="-3"/>
          <w:sz w:val="22"/>
          <w:szCs w:val="22"/>
          <w:lang w:val="hr-HR"/>
        </w:rPr>
      </w:pPr>
      <w:bookmarkStart w:id="72" w:name="_Toc445193513"/>
    </w:p>
    <w:p w14:paraId="1748D938" w14:textId="77777777" w:rsidR="00382CF2" w:rsidRDefault="00054989">
      <w:pPr>
        <w:keepNext/>
        <w:keepLines/>
        <w:pageBreakBefore/>
        <w:pBdr>
          <w:bottom w:val="single" w:sz="4" w:space="2" w:color="B2B2B2"/>
        </w:pBdr>
        <w:spacing w:before="360" w:after="120"/>
        <w:outlineLvl w:val="0"/>
        <w:rPr>
          <w:rFonts w:ascii="Calibri" w:hAnsi="Calibri" w:cs="Calibri"/>
          <w:b/>
          <w:bCs/>
          <w:spacing w:val="-3"/>
          <w:sz w:val="22"/>
          <w:szCs w:val="22"/>
          <w:lang w:val="hr-HR"/>
        </w:rPr>
      </w:pPr>
      <w:bookmarkStart w:id="73" w:name="_Toc129083726"/>
      <w:r>
        <w:rPr>
          <w:rFonts w:ascii="Calibri" w:hAnsi="Calibri" w:cs="Calibri"/>
          <w:b/>
          <w:bCs/>
          <w:spacing w:val="-3"/>
          <w:sz w:val="22"/>
          <w:szCs w:val="22"/>
          <w:lang w:val="hr-HR"/>
        </w:rPr>
        <w:lastRenderedPageBreak/>
        <w:t>PREGLED FINANCIJSKOG POSLOVANJA U 2022. GODINI</w:t>
      </w:r>
      <w:bookmarkStart w:id="74" w:name="_Hlk99034682"/>
      <w:bookmarkEnd w:id="72"/>
      <w:bookmarkEnd w:id="73"/>
    </w:p>
    <w:bookmarkEnd w:id="74"/>
    <w:p w14:paraId="1748D93A" w14:textId="77777777" w:rsidR="00382CF2" w:rsidRDefault="00054989">
      <w:pPr>
        <w:tabs>
          <w:tab w:val="left" w:pos="-720"/>
        </w:tabs>
        <w:jc w:val="both"/>
        <w:rPr>
          <w:rFonts w:ascii="Calibri" w:eastAsia="SimSun" w:hAnsi="Calibri" w:cs="Calibri"/>
          <w:sz w:val="22"/>
          <w:szCs w:val="22"/>
          <w:lang w:val="hr-HR"/>
        </w:rPr>
      </w:pPr>
      <w:r>
        <w:rPr>
          <w:rFonts w:ascii="Calibri" w:eastAsia="SimSun" w:hAnsi="Calibri" w:cs="Calibri"/>
          <w:sz w:val="22"/>
          <w:szCs w:val="22"/>
          <w:lang w:val="hr-HR"/>
        </w:rPr>
        <w:t xml:space="preserve">Financijski izvještaji uključuju odvojene financijske izvještaje HBOR-a i konsolidirane financijske izvještaje Grupe HBOR. </w:t>
      </w:r>
    </w:p>
    <w:p w14:paraId="1748D93B" w14:textId="77777777" w:rsidR="00382CF2" w:rsidRDefault="00382CF2">
      <w:pPr>
        <w:tabs>
          <w:tab w:val="left" w:pos="-720"/>
        </w:tabs>
        <w:jc w:val="both"/>
        <w:rPr>
          <w:rFonts w:ascii="Calibri" w:eastAsia="SimSun" w:hAnsi="Calibri" w:cs="Calibri"/>
          <w:sz w:val="22"/>
          <w:szCs w:val="22"/>
          <w:lang w:val="hr-HR"/>
        </w:rPr>
      </w:pPr>
    </w:p>
    <w:p w14:paraId="1748D93C" w14:textId="77777777" w:rsidR="00382CF2" w:rsidRDefault="00054989">
      <w:pPr>
        <w:tabs>
          <w:tab w:val="left" w:pos="-720"/>
        </w:tabs>
        <w:jc w:val="both"/>
        <w:rPr>
          <w:rFonts w:ascii="Calibri" w:eastAsia="SimSun" w:hAnsi="Calibri" w:cs="Calibri"/>
          <w:sz w:val="22"/>
          <w:szCs w:val="22"/>
          <w:lang w:val="hr-HR"/>
        </w:rPr>
      </w:pPr>
      <w:r>
        <w:rPr>
          <w:rFonts w:ascii="Calibri" w:eastAsia="SimSun" w:hAnsi="Calibri" w:cs="Calibri"/>
          <w:sz w:val="22"/>
          <w:szCs w:val="22"/>
          <w:lang w:val="hr-HR"/>
        </w:rPr>
        <w:t>U nastavku se daje financijski pregled i pregled poslovanja zasebno za Grupu HBOR i HBOR, kao matično društvo i izvještajni subjekt.</w:t>
      </w:r>
    </w:p>
    <w:p w14:paraId="1748D93D" w14:textId="77777777" w:rsidR="00382CF2" w:rsidRDefault="00382CF2">
      <w:pPr>
        <w:tabs>
          <w:tab w:val="left" w:pos="-720"/>
        </w:tabs>
        <w:jc w:val="both"/>
        <w:rPr>
          <w:rFonts w:ascii="Calibri" w:hAnsi="Calibri" w:cs="Calibri"/>
          <w:b/>
          <w:spacing w:val="-3"/>
          <w:sz w:val="22"/>
          <w:szCs w:val="22"/>
          <w:u w:val="single"/>
          <w:lang w:val="hr-HR" w:eastAsia="hr-HR"/>
        </w:rPr>
      </w:pPr>
    </w:p>
    <w:p w14:paraId="1748D93E" w14:textId="77777777" w:rsidR="00382CF2" w:rsidRDefault="00054989" w:rsidP="5C80D097">
      <w:pPr>
        <w:jc w:val="both"/>
        <w:rPr>
          <w:rFonts w:ascii="Calibri" w:hAnsi="Calibri" w:cs="Calibri"/>
          <w:sz w:val="22"/>
          <w:szCs w:val="22"/>
          <w:lang w:val="hr-HR"/>
        </w:rPr>
      </w:pPr>
      <w:r>
        <w:rPr>
          <w:rFonts w:ascii="Calibri" w:hAnsi="Calibri" w:cs="Calibri"/>
          <w:sz w:val="22"/>
          <w:szCs w:val="22"/>
          <w:lang w:val="hr-HR"/>
        </w:rPr>
        <w:t xml:space="preserve">Reviziju odvojenih i konsolidiranih Godišnjih financijskih izvještaja HBOR-a za 2022. godinu, koji se nalaze u privitku, obavila su revizorska društva BDO Croatia d.o.o. i PKF FACT Revizija d.o.o., o čemu su podnijela zajedničko revizorsko izvješće u kojem je izraženo pozitivno mišljenje u Zajedničkom izvješću neovisnog revizora. </w:t>
      </w:r>
    </w:p>
    <w:p w14:paraId="1748D940" w14:textId="77777777" w:rsidR="00382CF2" w:rsidRDefault="00382CF2" w:rsidP="00754738">
      <w:pPr>
        <w:tabs>
          <w:tab w:val="left" w:pos="-720"/>
        </w:tabs>
        <w:spacing w:after="120"/>
        <w:rPr>
          <w:rFonts w:ascii="Calibri" w:hAnsi="Calibri" w:cs="Calibri"/>
          <w:b/>
          <w:sz w:val="22"/>
          <w:szCs w:val="22"/>
          <w:lang w:val="hr-HR"/>
        </w:rPr>
      </w:pPr>
    </w:p>
    <w:p w14:paraId="1748D941" w14:textId="77777777" w:rsidR="00382CF2" w:rsidRDefault="00054989">
      <w:pPr>
        <w:keepNext/>
        <w:outlineLvl w:val="1"/>
        <w:rPr>
          <w:rFonts w:ascii="Calibri" w:eastAsia="SimSun" w:hAnsi="Calibri" w:cs="Calibri"/>
          <w:b/>
          <w:bCs/>
          <w:sz w:val="22"/>
          <w:szCs w:val="22"/>
          <w:lang w:val="hr-HR"/>
        </w:rPr>
      </w:pPr>
      <w:bookmarkStart w:id="75" w:name="_Toc445193514"/>
      <w:bookmarkStart w:id="76" w:name="_Toc129083727"/>
      <w:r>
        <w:rPr>
          <w:rFonts w:ascii="Calibri" w:eastAsia="SimSun" w:hAnsi="Calibri" w:cs="Calibri"/>
          <w:b/>
          <w:bCs/>
          <w:sz w:val="22"/>
          <w:szCs w:val="22"/>
          <w:lang w:val="hr-HR"/>
        </w:rPr>
        <w:t>OSVRT NA FINANCIJSKO POSLOVANJE GRUPE</w:t>
      </w:r>
      <w:bookmarkEnd w:id="75"/>
      <w:bookmarkEnd w:id="76"/>
    </w:p>
    <w:p w14:paraId="1748D942" w14:textId="77777777" w:rsidR="00382CF2" w:rsidRDefault="00382CF2">
      <w:pPr>
        <w:tabs>
          <w:tab w:val="left" w:pos="-720"/>
        </w:tabs>
        <w:jc w:val="both"/>
        <w:rPr>
          <w:rFonts w:ascii="Calibri" w:hAnsi="Calibri" w:cs="Calibri"/>
          <w:sz w:val="22"/>
          <w:szCs w:val="22"/>
          <w:lang w:val="hr-HR"/>
        </w:rPr>
      </w:pPr>
    </w:p>
    <w:p w14:paraId="1748D943" w14:textId="77777777" w:rsidR="00382CF2" w:rsidRDefault="00054989">
      <w:pPr>
        <w:tabs>
          <w:tab w:val="left" w:pos="-720"/>
        </w:tabs>
        <w:spacing w:line="276" w:lineRule="auto"/>
        <w:jc w:val="both"/>
      </w:pPr>
      <w:r>
        <w:rPr>
          <w:rStyle w:val="Zadanifontodlomka1"/>
          <w:rFonts w:ascii="Calibri" w:hAnsi="Calibri" w:cs="Calibri"/>
          <w:sz w:val="22"/>
          <w:szCs w:val="22"/>
          <w:lang w:val="hr-HR"/>
        </w:rPr>
        <w:t>S obzirom na veličinu ovisnih društava i obujam njihovog poslovanja u usporedbi s poslovanjem matice, njihovi financijski podaci nisu od značaja da bi se posebno isticali u okviru konsolidiranog financijskog izvještaja te shodno tome nemaju materijalan utjecaj na konsolidirane financijske izvještaje u odnosu na odvojene financijske izvještaje HBOR-a, kao matičnog društva. Naime, Grupa Hrvatsko kreditno osiguranje d.d. čini tek 0,29 posto imovine matičnog društva.</w:t>
      </w:r>
    </w:p>
    <w:p w14:paraId="1748D944" w14:textId="77777777" w:rsidR="00382CF2" w:rsidRDefault="00382CF2" w:rsidP="5C80D097">
      <w:pPr>
        <w:tabs>
          <w:tab w:val="left" w:pos="426"/>
        </w:tabs>
        <w:jc w:val="both"/>
        <w:rPr>
          <w:rFonts w:ascii="Calibri" w:hAnsi="Calibri" w:cs="Calibri"/>
          <w:b/>
          <w:caps/>
          <w:spacing w:val="-3"/>
          <w:sz w:val="22"/>
          <w:szCs w:val="22"/>
          <w:lang w:val="hr-HR" w:eastAsia="hr-HR"/>
        </w:rPr>
      </w:pPr>
    </w:p>
    <w:p w14:paraId="1748D946" w14:textId="77777777" w:rsidR="00382CF2" w:rsidRDefault="00054989">
      <w:pPr>
        <w:tabs>
          <w:tab w:val="left" w:pos="-720"/>
          <w:tab w:val="left" w:pos="426"/>
        </w:tabs>
        <w:spacing w:before="120" w:after="120" w:line="276" w:lineRule="auto"/>
        <w:rPr>
          <w:rFonts w:ascii="Calibri" w:eastAsia="SimSun" w:hAnsi="Calibri" w:cs="Calibri"/>
          <w:b/>
          <w:sz w:val="22"/>
          <w:szCs w:val="22"/>
          <w:lang w:val="hr-HR"/>
        </w:rPr>
      </w:pPr>
      <w:r>
        <w:rPr>
          <w:rFonts w:ascii="Calibri" w:eastAsia="SimSun" w:hAnsi="Calibri" w:cs="Calibri"/>
          <w:b/>
          <w:sz w:val="22"/>
          <w:szCs w:val="22"/>
          <w:lang w:val="hr-HR"/>
        </w:rPr>
        <w:t>Pregled najvažnijih financijskih informacija za Grupu HBOR, u milijunima kuna</w:t>
      </w:r>
    </w:p>
    <w:tbl>
      <w:tblPr>
        <w:tblW w:w="8495" w:type="dxa"/>
        <w:tblLayout w:type="fixed"/>
        <w:tblCellMar>
          <w:left w:w="10" w:type="dxa"/>
          <w:right w:w="10" w:type="dxa"/>
        </w:tblCellMar>
        <w:tblLook w:val="04A0" w:firstRow="1" w:lastRow="0" w:firstColumn="1" w:lastColumn="0" w:noHBand="0" w:noVBand="1"/>
      </w:tblPr>
      <w:tblGrid>
        <w:gridCol w:w="2123"/>
        <w:gridCol w:w="2124"/>
        <w:gridCol w:w="2124"/>
        <w:gridCol w:w="2124"/>
      </w:tblGrid>
      <w:tr w:rsidR="00382CF2" w14:paraId="1748D94B" w14:textId="77777777">
        <w:trPr>
          <w:trHeight w:val="437"/>
        </w:trPr>
        <w:tc>
          <w:tcPr>
            <w:tcW w:w="2123"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1748D947" w14:textId="77777777" w:rsidR="00382CF2" w:rsidRPr="0089384A" w:rsidRDefault="00054989">
            <w:pPr>
              <w:spacing w:line="276" w:lineRule="auto"/>
              <w:jc w:val="right"/>
              <w:rPr>
                <w:rFonts w:ascii="Calibri" w:hAnsi="Calibri" w:cs="Calibri"/>
                <w:b/>
                <w:bCs/>
                <w:sz w:val="22"/>
                <w:szCs w:val="22"/>
                <w:lang w:val="hr-HR" w:eastAsia="hr-HR"/>
              </w:rPr>
            </w:pPr>
            <w:r w:rsidRPr="0089384A">
              <w:rPr>
                <w:rFonts w:ascii="Calibri" w:hAnsi="Calibri" w:cs="Calibri"/>
                <w:b/>
                <w:bCs/>
                <w:sz w:val="22"/>
                <w:szCs w:val="22"/>
                <w:lang w:val="hr-HR" w:eastAsia="hr-HR"/>
              </w:rPr>
              <w:t> </w:t>
            </w:r>
          </w:p>
        </w:tc>
        <w:tc>
          <w:tcPr>
            <w:tcW w:w="2124" w:type="dxa"/>
            <w:tcBorders>
              <w:top w:val="single" w:sz="4" w:space="0" w:color="000000"/>
            </w:tcBorders>
            <w:shd w:val="clear" w:color="auto" w:fill="auto"/>
            <w:tcMar>
              <w:top w:w="0" w:type="dxa"/>
              <w:left w:w="108" w:type="dxa"/>
              <w:bottom w:w="0" w:type="dxa"/>
              <w:right w:w="108" w:type="dxa"/>
            </w:tcMar>
            <w:vAlign w:val="center"/>
          </w:tcPr>
          <w:p w14:paraId="1748D948" w14:textId="77777777" w:rsidR="00382CF2" w:rsidRPr="0089384A" w:rsidRDefault="00054989">
            <w:pPr>
              <w:spacing w:line="276" w:lineRule="auto"/>
              <w:jc w:val="right"/>
              <w:rPr>
                <w:rFonts w:ascii="Calibri" w:hAnsi="Calibri" w:cs="Calibri"/>
                <w:b/>
                <w:bCs/>
                <w:sz w:val="22"/>
                <w:szCs w:val="22"/>
                <w:lang w:val="hr-HR" w:eastAsia="hr-HR"/>
              </w:rPr>
            </w:pPr>
            <w:r w:rsidRPr="0089384A">
              <w:rPr>
                <w:rFonts w:ascii="Calibri" w:hAnsi="Calibri" w:cs="Calibri"/>
                <w:b/>
                <w:bCs/>
                <w:sz w:val="22"/>
                <w:szCs w:val="22"/>
                <w:lang w:val="hr-HR" w:eastAsia="hr-HR"/>
              </w:rPr>
              <w:t>2020.</w:t>
            </w:r>
          </w:p>
        </w:tc>
        <w:tc>
          <w:tcPr>
            <w:tcW w:w="2124" w:type="dxa"/>
            <w:tcBorders>
              <w:top w:val="single" w:sz="4" w:space="0" w:color="000000"/>
            </w:tcBorders>
            <w:shd w:val="clear" w:color="auto" w:fill="auto"/>
            <w:tcMar>
              <w:top w:w="0" w:type="dxa"/>
              <w:left w:w="108" w:type="dxa"/>
              <w:bottom w:w="0" w:type="dxa"/>
              <w:right w:w="108" w:type="dxa"/>
            </w:tcMar>
            <w:vAlign w:val="center"/>
          </w:tcPr>
          <w:p w14:paraId="1748D949" w14:textId="77777777" w:rsidR="00382CF2" w:rsidRPr="0089384A" w:rsidRDefault="00054989">
            <w:pPr>
              <w:spacing w:line="276" w:lineRule="auto"/>
              <w:jc w:val="right"/>
              <w:rPr>
                <w:rFonts w:ascii="Calibri" w:hAnsi="Calibri" w:cs="Calibri"/>
                <w:b/>
                <w:bCs/>
                <w:sz w:val="22"/>
                <w:szCs w:val="22"/>
                <w:lang w:val="hr-HR" w:eastAsia="hr-HR"/>
              </w:rPr>
            </w:pPr>
            <w:r w:rsidRPr="0089384A">
              <w:rPr>
                <w:rFonts w:ascii="Calibri" w:hAnsi="Calibri" w:cs="Calibri"/>
                <w:b/>
                <w:bCs/>
                <w:sz w:val="22"/>
                <w:szCs w:val="22"/>
                <w:lang w:val="hr-HR" w:eastAsia="hr-HR"/>
              </w:rPr>
              <w:t>2021.</w:t>
            </w:r>
          </w:p>
        </w:tc>
        <w:tc>
          <w:tcPr>
            <w:tcW w:w="2124" w:type="dxa"/>
            <w:tcBorders>
              <w:top w:val="single" w:sz="4" w:space="0" w:color="000000"/>
              <w:right w:val="single" w:sz="4" w:space="0" w:color="000000"/>
            </w:tcBorders>
            <w:shd w:val="clear" w:color="auto" w:fill="auto"/>
            <w:tcMar>
              <w:top w:w="0" w:type="dxa"/>
              <w:left w:w="108" w:type="dxa"/>
              <w:bottom w:w="0" w:type="dxa"/>
              <w:right w:w="108" w:type="dxa"/>
            </w:tcMar>
            <w:vAlign w:val="center"/>
          </w:tcPr>
          <w:p w14:paraId="1748D94A" w14:textId="77777777" w:rsidR="00382CF2" w:rsidRPr="0089384A" w:rsidRDefault="00054989">
            <w:pPr>
              <w:spacing w:line="276" w:lineRule="auto"/>
              <w:jc w:val="right"/>
              <w:rPr>
                <w:rFonts w:ascii="Calibri" w:hAnsi="Calibri" w:cs="Calibri"/>
                <w:b/>
                <w:bCs/>
                <w:sz w:val="22"/>
                <w:szCs w:val="22"/>
                <w:lang w:val="hr-HR" w:eastAsia="hr-HR"/>
              </w:rPr>
            </w:pPr>
            <w:r w:rsidRPr="0089384A">
              <w:rPr>
                <w:rFonts w:ascii="Calibri" w:hAnsi="Calibri" w:cs="Calibri"/>
                <w:b/>
                <w:bCs/>
                <w:sz w:val="22"/>
                <w:szCs w:val="22"/>
                <w:lang w:val="hr-HR" w:eastAsia="hr-HR"/>
              </w:rPr>
              <w:t>2022.</w:t>
            </w:r>
          </w:p>
        </w:tc>
      </w:tr>
      <w:tr w:rsidR="00382CF2" w14:paraId="1748D950" w14:textId="77777777">
        <w:trPr>
          <w:trHeight w:hRule="exact" w:val="437"/>
        </w:trPr>
        <w:tc>
          <w:tcPr>
            <w:tcW w:w="2123" w:type="dxa"/>
            <w:tcBorders>
              <w:left w:val="single" w:sz="4" w:space="0" w:color="000000"/>
            </w:tcBorders>
            <w:shd w:val="clear" w:color="auto" w:fill="auto"/>
            <w:tcMar>
              <w:top w:w="0" w:type="dxa"/>
              <w:left w:w="108" w:type="dxa"/>
              <w:bottom w:w="0" w:type="dxa"/>
              <w:right w:w="108" w:type="dxa"/>
            </w:tcMar>
            <w:vAlign w:val="center"/>
          </w:tcPr>
          <w:p w14:paraId="1748D94C" w14:textId="77777777" w:rsidR="00382CF2" w:rsidRDefault="00054989">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Ukupna imovina</w:t>
            </w:r>
          </w:p>
        </w:tc>
        <w:tc>
          <w:tcPr>
            <w:tcW w:w="2124" w:type="dxa"/>
            <w:shd w:val="clear" w:color="auto" w:fill="auto"/>
            <w:tcMar>
              <w:top w:w="0" w:type="dxa"/>
              <w:left w:w="108" w:type="dxa"/>
              <w:bottom w:w="0" w:type="dxa"/>
              <w:right w:w="108" w:type="dxa"/>
            </w:tcMar>
            <w:vAlign w:val="center"/>
          </w:tcPr>
          <w:p w14:paraId="1748D94D"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28.706,54</w:t>
            </w:r>
          </w:p>
        </w:tc>
        <w:tc>
          <w:tcPr>
            <w:tcW w:w="2124" w:type="dxa"/>
            <w:shd w:val="clear" w:color="auto" w:fill="auto"/>
            <w:tcMar>
              <w:top w:w="0" w:type="dxa"/>
              <w:left w:w="108" w:type="dxa"/>
              <w:bottom w:w="0" w:type="dxa"/>
              <w:right w:w="108" w:type="dxa"/>
            </w:tcMar>
            <w:vAlign w:val="center"/>
          </w:tcPr>
          <w:p w14:paraId="1748D94E"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28.278,37</w:t>
            </w:r>
          </w:p>
        </w:tc>
        <w:tc>
          <w:tcPr>
            <w:tcW w:w="2124" w:type="dxa"/>
            <w:tcBorders>
              <w:right w:val="single" w:sz="4" w:space="0" w:color="000000"/>
            </w:tcBorders>
            <w:shd w:val="clear" w:color="auto" w:fill="auto"/>
            <w:tcMar>
              <w:top w:w="0" w:type="dxa"/>
              <w:left w:w="108" w:type="dxa"/>
              <w:bottom w:w="0" w:type="dxa"/>
              <w:right w:w="108" w:type="dxa"/>
            </w:tcMar>
            <w:vAlign w:val="center"/>
          </w:tcPr>
          <w:p w14:paraId="1748D94F"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29.060,16</w:t>
            </w:r>
          </w:p>
        </w:tc>
      </w:tr>
      <w:tr w:rsidR="00382CF2" w14:paraId="1748D955" w14:textId="77777777">
        <w:trPr>
          <w:trHeight w:hRule="exact" w:val="437"/>
        </w:trPr>
        <w:tc>
          <w:tcPr>
            <w:tcW w:w="2123" w:type="dxa"/>
            <w:tcBorders>
              <w:left w:val="single" w:sz="4" w:space="0" w:color="000000"/>
            </w:tcBorders>
            <w:shd w:val="clear" w:color="auto" w:fill="auto"/>
            <w:tcMar>
              <w:top w:w="0" w:type="dxa"/>
              <w:left w:w="108" w:type="dxa"/>
              <w:bottom w:w="0" w:type="dxa"/>
              <w:right w:w="108" w:type="dxa"/>
            </w:tcMar>
            <w:vAlign w:val="center"/>
          </w:tcPr>
          <w:p w14:paraId="1748D951" w14:textId="77777777" w:rsidR="00382CF2" w:rsidRDefault="00054989">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Bruto krediti</w:t>
            </w:r>
          </w:p>
        </w:tc>
        <w:tc>
          <w:tcPr>
            <w:tcW w:w="2124" w:type="dxa"/>
            <w:shd w:val="clear" w:color="auto" w:fill="auto"/>
            <w:tcMar>
              <w:top w:w="0" w:type="dxa"/>
              <w:left w:w="108" w:type="dxa"/>
              <w:bottom w:w="0" w:type="dxa"/>
              <w:right w:w="108" w:type="dxa"/>
            </w:tcMar>
            <w:vAlign w:val="center"/>
          </w:tcPr>
          <w:p w14:paraId="1748D952"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27.197,29</w:t>
            </w:r>
          </w:p>
        </w:tc>
        <w:tc>
          <w:tcPr>
            <w:tcW w:w="2124" w:type="dxa"/>
            <w:shd w:val="clear" w:color="auto" w:fill="auto"/>
            <w:tcMar>
              <w:top w:w="0" w:type="dxa"/>
              <w:left w:w="108" w:type="dxa"/>
              <w:bottom w:w="0" w:type="dxa"/>
              <w:right w:w="108" w:type="dxa"/>
            </w:tcMar>
            <w:vAlign w:val="center"/>
          </w:tcPr>
          <w:p w14:paraId="1748D953"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26.329,34</w:t>
            </w:r>
          </w:p>
        </w:tc>
        <w:tc>
          <w:tcPr>
            <w:tcW w:w="2124" w:type="dxa"/>
            <w:tcBorders>
              <w:right w:val="single" w:sz="4" w:space="0" w:color="000000"/>
            </w:tcBorders>
            <w:shd w:val="clear" w:color="auto" w:fill="auto"/>
            <w:tcMar>
              <w:top w:w="0" w:type="dxa"/>
              <w:left w:w="108" w:type="dxa"/>
              <w:bottom w:w="0" w:type="dxa"/>
              <w:right w:w="108" w:type="dxa"/>
            </w:tcMar>
            <w:vAlign w:val="center"/>
          </w:tcPr>
          <w:p w14:paraId="1748D954"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27.903,26</w:t>
            </w:r>
          </w:p>
        </w:tc>
      </w:tr>
      <w:tr w:rsidR="00382CF2" w14:paraId="1748D95A" w14:textId="77777777">
        <w:trPr>
          <w:trHeight w:hRule="exact" w:val="731"/>
        </w:trPr>
        <w:tc>
          <w:tcPr>
            <w:tcW w:w="2123" w:type="dxa"/>
            <w:tcBorders>
              <w:left w:val="single" w:sz="4" w:space="0" w:color="000000"/>
            </w:tcBorders>
            <w:shd w:val="clear" w:color="auto" w:fill="auto"/>
            <w:tcMar>
              <w:top w:w="0" w:type="dxa"/>
              <w:left w:w="108" w:type="dxa"/>
              <w:bottom w:w="0" w:type="dxa"/>
              <w:right w:w="108" w:type="dxa"/>
            </w:tcMar>
            <w:vAlign w:val="center"/>
          </w:tcPr>
          <w:p w14:paraId="1748D956" w14:textId="77777777" w:rsidR="00382CF2" w:rsidRDefault="00054989">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Ukupni kapital i rezerve</w:t>
            </w:r>
          </w:p>
        </w:tc>
        <w:tc>
          <w:tcPr>
            <w:tcW w:w="2124" w:type="dxa"/>
            <w:shd w:val="clear" w:color="auto" w:fill="auto"/>
            <w:tcMar>
              <w:top w:w="0" w:type="dxa"/>
              <w:left w:w="108" w:type="dxa"/>
              <w:bottom w:w="0" w:type="dxa"/>
              <w:right w:w="108" w:type="dxa"/>
            </w:tcMar>
            <w:vAlign w:val="center"/>
          </w:tcPr>
          <w:p w14:paraId="1748D957"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10.363,76</w:t>
            </w:r>
          </w:p>
        </w:tc>
        <w:tc>
          <w:tcPr>
            <w:tcW w:w="2124" w:type="dxa"/>
            <w:shd w:val="clear" w:color="auto" w:fill="auto"/>
            <w:tcMar>
              <w:top w:w="0" w:type="dxa"/>
              <w:left w:w="108" w:type="dxa"/>
              <w:bottom w:w="0" w:type="dxa"/>
              <w:right w:w="108" w:type="dxa"/>
            </w:tcMar>
            <w:vAlign w:val="center"/>
          </w:tcPr>
          <w:p w14:paraId="1748D958"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10.576,79</w:t>
            </w:r>
          </w:p>
        </w:tc>
        <w:tc>
          <w:tcPr>
            <w:tcW w:w="2124" w:type="dxa"/>
            <w:tcBorders>
              <w:right w:val="single" w:sz="4" w:space="0" w:color="000000"/>
            </w:tcBorders>
            <w:shd w:val="clear" w:color="auto" w:fill="auto"/>
            <w:tcMar>
              <w:top w:w="0" w:type="dxa"/>
              <w:left w:w="108" w:type="dxa"/>
              <w:bottom w:w="0" w:type="dxa"/>
              <w:right w:w="108" w:type="dxa"/>
            </w:tcMar>
            <w:vAlign w:val="center"/>
          </w:tcPr>
          <w:p w14:paraId="1748D959"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10.715,03</w:t>
            </w:r>
          </w:p>
        </w:tc>
      </w:tr>
      <w:tr w:rsidR="00382CF2" w14:paraId="1748D95F" w14:textId="77777777">
        <w:trPr>
          <w:trHeight w:hRule="exact" w:val="437"/>
        </w:trPr>
        <w:tc>
          <w:tcPr>
            <w:tcW w:w="2123" w:type="dxa"/>
            <w:tcBorders>
              <w:left w:val="single" w:sz="4" w:space="0" w:color="000000"/>
            </w:tcBorders>
            <w:shd w:val="clear" w:color="auto" w:fill="auto"/>
            <w:tcMar>
              <w:top w:w="0" w:type="dxa"/>
              <w:left w:w="108" w:type="dxa"/>
              <w:bottom w:w="0" w:type="dxa"/>
              <w:right w:w="108" w:type="dxa"/>
            </w:tcMar>
            <w:vAlign w:val="center"/>
          </w:tcPr>
          <w:p w14:paraId="1748D95B" w14:textId="77777777" w:rsidR="00382CF2" w:rsidRDefault="00054989">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Ukupni prihodi</w:t>
            </w:r>
          </w:p>
        </w:tc>
        <w:tc>
          <w:tcPr>
            <w:tcW w:w="2124" w:type="dxa"/>
            <w:shd w:val="clear" w:color="auto" w:fill="auto"/>
            <w:tcMar>
              <w:top w:w="0" w:type="dxa"/>
              <w:left w:w="108" w:type="dxa"/>
              <w:bottom w:w="0" w:type="dxa"/>
              <w:right w:w="108" w:type="dxa"/>
            </w:tcMar>
            <w:vAlign w:val="center"/>
          </w:tcPr>
          <w:p w14:paraId="1748D95C"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669,38</w:t>
            </w:r>
          </w:p>
        </w:tc>
        <w:tc>
          <w:tcPr>
            <w:tcW w:w="2124" w:type="dxa"/>
            <w:shd w:val="clear" w:color="auto" w:fill="auto"/>
            <w:tcMar>
              <w:top w:w="0" w:type="dxa"/>
              <w:left w:w="108" w:type="dxa"/>
              <w:bottom w:w="0" w:type="dxa"/>
              <w:right w:w="108" w:type="dxa"/>
            </w:tcMar>
            <w:vAlign w:val="center"/>
          </w:tcPr>
          <w:p w14:paraId="1748D95D"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741,29</w:t>
            </w:r>
          </w:p>
        </w:tc>
        <w:tc>
          <w:tcPr>
            <w:tcW w:w="2124" w:type="dxa"/>
            <w:tcBorders>
              <w:right w:val="single" w:sz="4" w:space="0" w:color="000000"/>
            </w:tcBorders>
            <w:shd w:val="clear" w:color="auto" w:fill="auto"/>
            <w:tcMar>
              <w:top w:w="0" w:type="dxa"/>
              <w:left w:w="108" w:type="dxa"/>
              <w:bottom w:w="0" w:type="dxa"/>
              <w:right w:w="108" w:type="dxa"/>
            </w:tcMar>
            <w:vAlign w:val="center"/>
          </w:tcPr>
          <w:p w14:paraId="1748D95E"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698,30</w:t>
            </w:r>
          </w:p>
        </w:tc>
      </w:tr>
      <w:tr w:rsidR="00382CF2" w14:paraId="1748D964" w14:textId="77777777">
        <w:trPr>
          <w:trHeight w:hRule="exact" w:val="437"/>
        </w:trPr>
        <w:tc>
          <w:tcPr>
            <w:tcW w:w="2123" w:type="dxa"/>
            <w:tcBorders>
              <w:left w:val="single" w:sz="4" w:space="0" w:color="000000"/>
            </w:tcBorders>
            <w:shd w:val="clear" w:color="auto" w:fill="auto"/>
            <w:tcMar>
              <w:top w:w="0" w:type="dxa"/>
              <w:left w:w="108" w:type="dxa"/>
              <w:bottom w:w="0" w:type="dxa"/>
              <w:right w:w="108" w:type="dxa"/>
            </w:tcMar>
            <w:vAlign w:val="center"/>
          </w:tcPr>
          <w:p w14:paraId="1748D960" w14:textId="77777777" w:rsidR="00382CF2" w:rsidRDefault="00054989">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Ukupni rashodi</w:t>
            </w:r>
          </w:p>
        </w:tc>
        <w:tc>
          <w:tcPr>
            <w:tcW w:w="2124" w:type="dxa"/>
            <w:shd w:val="clear" w:color="auto" w:fill="auto"/>
            <w:tcMar>
              <w:top w:w="0" w:type="dxa"/>
              <w:left w:w="108" w:type="dxa"/>
              <w:bottom w:w="0" w:type="dxa"/>
              <w:right w:w="108" w:type="dxa"/>
            </w:tcMar>
            <w:vAlign w:val="center"/>
          </w:tcPr>
          <w:p w14:paraId="1748D961"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(587,85)</w:t>
            </w:r>
          </w:p>
        </w:tc>
        <w:tc>
          <w:tcPr>
            <w:tcW w:w="2124" w:type="dxa"/>
            <w:shd w:val="clear" w:color="auto" w:fill="auto"/>
            <w:tcMar>
              <w:top w:w="0" w:type="dxa"/>
              <w:left w:w="108" w:type="dxa"/>
              <w:bottom w:w="0" w:type="dxa"/>
              <w:right w:w="108" w:type="dxa"/>
            </w:tcMar>
            <w:vAlign w:val="center"/>
          </w:tcPr>
          <w:p w14:paraId="1748D962"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(553,10)</w:t>
            </w:r>
          </w:p>
        </w:tc>
        <w:tc>
          <w:tcPr>
            <w:tcW w:w="2124" w:type="dxa"/>
            <w:tcBorders>
              <w:right w:val="single" w:sz="4" w:space="0" w:color="000000"/>
            </w:tcBorders>
            <w:shd w:val="clear" w:color="auto" w:fill="auto"/>
            <w:tcMar>
              <w:top w:w="0" w:type="dxa"/>
              <w:left w:w="108" w:type="dxa"/>
              <w:bottom w:w="0" w:type="dxa"/>
              <w:right w:w="108" w:type="dxa"/>
            </w:tcMar>
            <w:vAlign w:val="center"/>
          </w:tcPr>
          <w:p w14:paraId="1748D963"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(508,84)</w:t>
            </w:r>
          </w:p>
        </w:tc>
      </w:tr>
      <w:tr w:rsidR="00382CF2" w14:paraId="1748D969" w14:textId="77777777">
        <w:trPr>
          <w:trHeight w:hRule="exact" w:val="437"/>
        </w:trPr>
        <w:tc>
          <w:tcPr>
            <w:tcW w:w="2123" w:type="dxa"/>
            <w:tcBorders>
              <w:left w:val="single" w:sz="4" w:space="0" w:color="000000"/>
            </w:tcBorders>
            <w:shd w:val="clear" w:color="auto" w:fill="auto"/>
            <w:tcMar>
              <w:top w:w="0" w:type="dxa"/>
              <w:left w:w="108" w:type="dxa"/>
              <w:bottom w:w="0" w:type="dxa"/>
              <w:right w:w="108" w:type="dxa"/>
            </w:tcMar>
            <w:vAlign w:val="center"/>
          </w:tcPr>
          <w:p w14:paraId="1748D965" w14:textId="77777777" w:rsidR="00382CF2" w:rsidRDefault="00054989">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Dobit</w:t>
            </w:r>
          </w:p>
        </w:tc>
        <w:tc>
          <w:tcPr>
            <w:tcW w:w="2124" w:type="dxa"/>
            <w:shd w:val="clear" w:color="auto" w:fill="auto"/>
            <w:tcMar>
              <w:top w:w="0" w:type="dxa"/>
              <w:left w:w="108" w:type="dxa"/>
              <w:bottom w:w="0" w:type="dxa"/>
              <w:right w:w="108" w:type="dxa"/>
            </w:tcMar>
            <w:vAlign w:val="center"/>
          </w:tcPr>
          <w:p w14:paraId="1748D966" w14:textId="3404C6DC"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81,</w:t>
            </w:r>
            <w:r w:rsidR="009620F6">
              <w:rPr>
                <w:rFonts w:ascii="Calibri" w:hAnsi="Calibri" w:cs="Calibri"/>
                <w:sz w:val="22"/>
                <w:szCs w:val="22"/>
                <w:lang w:val="hr-HR" w:eastAsia="hr-HR"/>
              </w:rPr>
              <w:t>53</w:t>
            </w:r>
          </w:p>
        </w:tc>
        <w:tc>
          <w:tcPr>
            <w:tcW w:w="2124" w:type="dxa"/>
            <w:shd w:val="clear" w:color="auto" w:fill="auto"/>
            <w:tcMar>
              <w:top w:w="0" w:type="dxa"/>
              <w:left w:w="108" w:type="dxa"/>
              <w:bottom w:w="0" w:type="dxa"/>
              <w:right w:w="108" w:type="dxa"/>
            </w:tcMar>
            <w:vAlign w:val="center"/>
          </w:tcPr>
          <w:p w14:paraId="1748D967"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188,19</w:t>
            </w:r>
          </w:p>
        </w:tc>
        <w:tc>
          <w:tcPr>
            <w:tcW w:w="2124" w:type="dxa"/>
            <w:tcBorders>
              <w:right w:val="single" w:sz="4" w:space="0" w:color="000000"/>
            </w:tcBorders>
            <w:shd w:val="clear" w:color="auto" w:fill="auto"/>
            <w:tcMar>
              <w:top w:w="0" w:type="dxa"/>
              <w:left w:w="108" w:type="dxa"/>
              <w:bottom w:w="0" w:type="dxa"/>
              <w:right w:w="108" w:type="dxa"/>
            </w:tcMar>
            <w:vAlign w:val="center"/>
          </w:tcPr>
          <w:p w14:paraId="1748D968"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189,46</w:t>
            </w:r>
          </w:p>
        </w:tc>
      </w:tr>
      <w:tr w:rsidR="00382CF2" w14:paraId="1748D96E" w14:textId="77777777">
        <w:trPr>
          <w:trHeight w:hRule="exact" w:val="1228"/>
        </w:trPr>
        <w:tc>
          <w:tcPr>
            <w:tcW w:w="2123" w:type="dxa"/>
            <w:tcBorders>
              <w:left w:val="single" w:sz="4" w:space="0" w:color="000000"/>
            </w:tcBorders>
            <w:shd w:val="clear" w:color="auto" w:fill="auto"/>
            <w:tcMar>
              <w:top w:w="0" w:type="dxa"/>
              <w:left w:w="108" w:type="dxa"/>
              <w:bottom w:w="0" w:type="dxa"/>
              <w:right w:w="108" w:type="dxa"/>
            </w:tcMar>
            <w:vAlign w:val="center"/>
          </w:tcPr>
          <w:p w14:paraId="1748D96A" w14:textId="77777777" w:rsidR="00382CF2" w:rsidRDefault="00054989">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Kamatni prihodi izračunati metodom efektivne kamatne stope</w:t>
            </w:r>
          </w:p>
        </w:tc>
        <w:tc>
          <w:tcPr>
            <w:tcW w:w="2124" w:type="dxa"/>
            <w:shd w:val="clear" w:color="auto" w:fill="auto"/>
            <w:tcMar>
              <w:top w:w="0" w:type="dxa"/>
              <w:left w:w="108" w:type="dxa"/>
              <w:bottom w:w="0" w:type="dxa"/>
              <w:right w:w="108" w:type="dxa"/>
            </w:tcMar>
            <w:vAlign w:val="center"/>
          </w:tcPr>
          <w:p w14:paraId="1748D96B"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622,48</w:t>
            </w:r>
          </w:p>
        </w:tc>
        <w:tc>
          <w:tcPr>
            <w:tcW w:w="2124" w:type="dxa"/>
            <w:shd w:val="clear" w:color="auto" w:fill="auto"/>
            <w:tcMar>
              <w:top w:w="0" w:type="dxa"/>
              <w:left w:w="108" w:type="dxa"/>
              <w:bottom w:w="0" w:type="dxa"/>
              <w:right w:w="108" w:type="dxa"/>
            </w:tcMar>
            <w:vAlign w:val="center"/>
          </w:tcPr>
          <w:p w14:paraId="1748D96C"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677,44</w:t>
            </w:r>
          </w:p>
        </w:tc>
        <w:tc>
          <w:tcPr>
            <w:tcW w:w="2124" w:type="dxa"/>
            <w:tcBorders>
              <w:right w:val="single" w:sz="4" w:space="0" w:color="000000"/>
            </w:tcBorders>
            <w:shd w:val="clear" w:color="auto" w:fill="auto"/>
            <w:tcMar>
              <w:top w:w="0" w:type="dxa"/>
              <w:left w:w="108" w:type="dxa"/>
              <w:bottom w:w="0" w:type="dxa"/>
              <w:right w:w="108" w:type="dxa"/>
            </w:tcMar>
            <w:vAlign w:val="center"/>
          </w:tcPr>
          <w:p w14:paraId="1748D96D"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629,19</w:t>
            </w:r>
          </w:p>
        </w:tc>
      </w:tr>
      <w:tr w:rsidR="00382CF2" w14:paraId="1748D973" w14:textId="77777777">
        <w:trPr>
          <w:trHeight w:hRule="exact" w:val="437"/>
        </w:trPr>
        <w:tc>
          <w:tcPr>
            <w:tcW w:w="2123" w:type="dxa"/>
            <w:tcBorders>
              <w:left w:val="single" w:sz="4" w:space="0" w:color="000000"/>
            </w:tcBorders>
            <w:shd w:val="clear" w:color="auto" w:fill="auto"/>
            <w:tcMar>
              <w:top w:w="0" w:type="dxa"/>
              <w:left w:w="108" w:type="dxa"/>
              <w:bottom w:w="0" w:type="dxa"/>
              <w:right w:w="108" w:type="dxa"/>
            </w:tcMar>
            <w:vAlign w:val="center"/>
          </w:tcPr>
          <w:p w14:paraId="1748D96F" w14:textId="77777777" w:rsidR="00382CF2" w:rsidRDefault="00054989">
            <w:pPr>
              <w:spacing w:line="276" w:lineRule="auto"/>
              <w:rPr>
                <w:rFonts w:ascii="Calibri" w:hAnsi="Calibri" w:cs="Calibri"/>
                <w:b/>
                <w:bCs/>
                <w:sz w:val="22"/>
                <w:szCs w:val="22"/>
                <w:lang w:val="hr-HR" w:eastAsia="hr-HR"/>
              </w:rPr>
            </w:pPr>
            <w:r>
              <w:rPr>
                <w:rFonts w:ascii="Calibri" w:hAnsi="Calibri" w:cs="Calibri"/>
                <w:b/>
                <w:bCs/>
                <w:sz w:val="22"/>
                <w:szCs w:val="22"/>
                <w:lang w:val="hr-HR" w:eastAsia="hr-HR"/>
              </w:rPr>
              <w:t>Kamatni rashodi</w:t>
            </w:r>
          </w:p>
        </w:tc>
        <w:tc>
          <w:tcPr>
            <w:tcW w:w="2124" w:type="dxa"/>
            <w:shd w:val="clear" w:color="auto" w:fill="auto"/>
            <w:tcMar>
              <w:top w:w="0" w:type="dxa"/>
              <w:left w:w="108" w:type="dxa"/>
              <w:bottom w:w="0" w:type="dxa"/>
              <w:right w:w="108" w:type="dxa"/>
            </w:tcMar>
            <w:vAlign w:val="center"/>
          </w:tcPr>
          <w:p w14:paraId="1748D970"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(244,21)</w:t>
            </w:r>
          </w:p>
        </w:tc>
        <w:tc>
          <w:tcPr>
            <w:tcW w:w="2124" w:type="dxa"/>
            <w:shd w:val="clear" w:color="auto" w:fill="auto"/>
            <w:tcMar>
              <w:top w:w="0" w:type="dxa"/>
              <w:left w:w="108" w:type="dxa"/>
              <w:bottom w:w="0" w:type="dxa"/>
              <w:right w:w="108" w:type="dxa"/>
            </w:tcMar>
            <w:vAlign w:val="center"/>
          </w:tcPr>
          <w:p w14:paraId="1748D971"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(184,63)</w:t>
            </w:r>
          </w:p>
        </w:tc>
        <w:tc>
          <w:tcPr>
            <w:tcW w:w="2124" w:type="dxa"/>
            <w:tcBorders>
              <w:right w:val="single" w:sz="4" w:space="0" w:color="000000"/>
            </w:tcBorders>
            <w:shd w:val="clear" w:color="auto" w:fill="auto"/>
            <w:tcMar>
              <w:top w:w="0" w:type="dxa"/>
              <w:left w:w="108" w:type="dxa"/>
              <w:bottom w:w="0" w:type="dxa"/>
              <w:right w:w="108" w:type="dxa"/>
            </w:tcMar>
            <w:vAlign w:val="center"/>
          </w:tcPr>
          <w:p w14:paraId="1748D972" w14:textId="77777777" w:rsidR="00382CF2" w:rsidRDefault="00054989">
            <w:pPr>
              <w:spacing w:line="276" w:lineRule="auto"/>
              <w:jc w:val="right"/>
              <w:rPr>
                <w:rFonts w:ascii="Calibri" w:hAnsi="Calibri" w:cs="Calibri"/>
                <w:sz w:val="22"/>
                <w:szCs w:val="22"/>
                <w:lang w:val="hr-HR" w:eastAsia="hr-HR"/>
              </w:rPr>
            </w:pPr>
            <w:r>
              <w:rPr>
                <w:rFonts w:ascii="Calibri" w:hAnsi="Calibri" w:cs="Calibri"/>
                <w:sz w:val="22"/>
                <w:szCs w:val="22"/>
                <w:lang w:val="hr-HR" w:eastAsia="hr-HR"/>
              </w:rPr>
              <w:t>(158,41)</w:t>
            </w:r>
          </w:p>
        </w:tc>
      </w:tr>
      <w:tr w:rsidR="00382CF2" w14:paraId="1748D978" w14:textId="77777777">
        <w:trPr>
          <w:trHeight w:hRule="exact" w:val="437"/>
        </w:trPr>
        <w:tc>
          <w:tcPr>
            <w:tcW w:w="2123"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748D974" w14:textId="77777777" w:rsidR="00382CF2" w:rsidRDefault="00054989">
            <w:pPr>
              <w:rPr>
                <w:rFonts w:ascii="Calibri" w:hAnsi="Calibri" w:cs="Calibri"/>
                <w:b/>
                <w:bCs/>
                <w:sz w:val="22"/>
                <w:szCs w:val="22"/>
                <w:lang w:val="hr-HR" w:eastAsia="hr-HR"/>
              </w:rPr>
            </w:pPr>
            <w:r>
              <w:rPr>
                <w:rFonts w:ascii="Calibri" w:hAnsi="Calibri" w:cs="Calibri"/>
                <w:b/>
                <w:bCs/>
                <w:sz w:val="22"/>
                <w:szCs w:val="22"/>
                <w:lang w:val="hr-HR" w:eastAsia="hr-HR"/>
              </w:rPr>
              <w:t>Neto kamatni prihod</w:t>
            </w:r>
          </w:p>
        </w:tc>
        <w:tc>
          <w:tcPr>
            <w:tcW w:w="2124" w:type="dxa"/>
            <w:tcBorders>
              <w:bottom w:val="single" w:sz="4" w:space="0" w:color="000000"/>
            </w:tcBorders>
            <w:shd w:val="clear" w:color="auto" w:fill="auto"/>
            <w:tcMar>
              <w:top w:w="0" w:type="dxa"/>
              <w:left w:w="108" w:type="dxa"/>
              <w:bottom w:w="0" w:type="dxa"/>
              <w:right w:w="108" w:type="dxa"/>
            </w:tcMar>
            <w:vAlign w:val="center"/>
          </w:tcPr>
          <w:p w14:paraId="1748D975" w14:textId="77777777" w:rsidR="00382CF2" w:rsidRDefault="00054989">
            <w:pPr>
              <w:jc w:val="right"/>
              <w:rPr>
                <w:rFonts w:ascii="Calibri" w:hAnsi="Calibri" w:cs="Calibri"/>
                <w:sz w:val="22"/>
                <w:szCs w:val="22"/>
                <w:lang w:val="hr-HR" w:eastAsia="hr-HR"/>
              </w:rPr>
            </w:pPr>
            <w:r>
              <w:rPr>
                <w:rFonts w:ascii="Calibri" w:hAnsi="Calibri" w:cs="Calibri"/>
                <w:sz w:val="22"/>
                <w:szCs w:val="22"/>
                <w:lang w:val="hr-HR" w:eastAsia="hr-HR"/>
              </w:rPr>
              <w:t>378,27</w:t>
            </w:r>
          </w:p>
        </w:tc>
        <w:tc>
          <w:tcPr>
            <w:tcW w:w="2124" w:type="dxa"/>
            <w:tcBorders>
              <w:bottom w:val="single" w:sz="4" w:space="0" w:color="000000"/>
            </w:tcBorders>
            <w:shd w:val="clear" w:color="auto" w:fill="auto"/>
            <w:tcMar>
              <w:top w:w="0" w:type="dxa"/>
              <w:left w:w="108" w:type="dxa"/>
              <w:bottom w:w="0" w:type="dxa"/>
              <w:right w:w="108" w:type="dxa"/>
            </w:tcMar>
            <w:vAlign w:val="center"/>
          </w:tcPr>
          <w:p w14:paraId="1748D976" w14:textId="77777777" w:rsidR="00382CF2" w:rsidRDefault="00054989">
            <w:pPr>
              <w:jc w:val="right"/>
              <w:rPr>
                <w:rFonts w:ascii="Calibri" w:hAnsi="Calibri" w:cs="Calibri"/>
                <w:sz w:val="22"/>
                <w:szCs w:val="22"/>
                <w:lang w:val="hr-HR" w:eastAsia="hr-HR"/>
              </w:rPr>
            </w:pPr>
            <w:r>
              <w:rPr>
                <w:rFonts w:ascii="Calibri" w:hAnsi="Calibri" w:cs="Calibri"/>
                <w:sz w:val="22"/>
                <w:szCs w:val="22"/>
                <w:lang w:val="hr-HR" w:eastAsia="hr-HR"/>
              </w:rPr>
              <w:t>492,81</w:t>
            </w:r>
          </w:p>
        </w:tc>
        <w:tc>
          <w:tcPr>
            <w:tcW w:w="212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748D977" w14:textId="77777777" w:rsidR="00382CF2" w:rsidRDefault="00054989">
            <w:pPr>
              <w:jc w:val="right"/>
              <w:rPr>
                <w:rFonts w:ascii="Calibri" w:hAnsi="Calibri" w:cs="Calibri"/>
                <w:sz w:val="22"/>
                <w:szCs w:val="22"/>
                <w:lang w:val="hr-HR" w:eastAsia="hr-HR"/>
              </w:rPr>
            </w:pPr>
            <w:r>
              <w:rPr>
                <w:rFonts w:ascii="Calibri" w:hAnsi="Calibri" w:cs="Calibri"/>
                <w:sz w:val="22"/>
                <w:szCs w:val="22"/>
                <w:lang w:val="hr-HR" w:eastAsia="hr-HR"/>
              </w:rPr>
              <w:t>470,78</w:t>
            </w:r>
          </w:p>
        </w:tc>
      </w:tr>
    </w:tbl>
    <w:p w14:paraId="1748D979" w14:textId="77777777" w:rsidR="00382CF2" w:rsidRDefault="00382CF2" w:rsidP="5C80D097">
      <w:pPr>
        <w:tabs>
          <w:tab w:val="left" w:pos="426"/>
        </w:tabs>
        <w:jc w:val="both"/>
        <w:rPr>
          <w:rFonts w:ascii="Calibri" w:hAnsi="Calibri" w:cs="Calibri"/>
          <w:b/>
          <w:caps/>
          <w:spacing w:val="-3"/>
          <w:sz w:val="22"/>
          <w:szCs w:val="22"/>
          <w:lang w:val="hr-HR" w:eastAsia="hr-HR"/>
        </w:rPr>
      </w:pPr>
    </w:p>
    <w:p w14:paraId="1748D97B" w14:textId="77777777" w:rsidR="00382CF2" w:rsidRDefault="00382CF2">
      <w:pPr>
        <w:tabs>
          <w:tab w:val="left" w:pos="-720"/>
          <w:tab w:val="left" w:pos="426"/>
        </w:tabs>
        <w:jc w:val="both"/>
        <w:rPr>
          <w:rFonts w:ascii="Calibri" w:hAnsi="Calibri" w:cs="Calibri"/>
          <w:b/>
          <w:caps/>
          <w:spacing w:val="-3"/>
          <w:sz w:val="22"/>
          <w:szCs w:val="22"/>
          <w:lang w:val="hr-HR" w:eastAsia="hr-HR"/>
        </w:rPr>
      </w:pPr>
    </w:p>
    <w:p w14:paraId="1748D97C" w14:textId="77777777" w:rsidR="00382CF2" w:rsidRDefault="00382CF2">
      <w:pPr>
        <w:spacing w:after="160" w:line="276" w:lineRule="auto"/>
        <w:ind w:left="-284" w:right="-567"/>
        <w:rPr>
          <w:rFonts w:ascii="Calibri" w:eastAsia="SimSun" w:hAnsi="Calibri"/>
          <w:sz w:val="21"/>
          <w:szCs w:val="21"/>
        </w:rPr>
      </w:pPr>
    </w:p>
    <w:p w14:paraId="1748D97D" w14:textId="77777777" w:rsidR="00382CF2" w:rsidRDefault="00054989">
      <w:pPr>
        <w:spacing w:after="160" w:line="276" w:lineRule="auto"/>
        <w:ind w:left="-284" w:right="-709"/>
      </w:pPr>
      <w:r>
        <w:rPr>
          <w:rStyle w:val="Zadanifontodlomka1"/>
          <w:rFonts w:ascii="Calibri" w:eastAsia="SimSun" w:hAnsi="Calibri"/>
          <w:noProof/>
          <w:sz w:val="21"/>
          <w:szCs w:val="21"/>
        </w:rPr>
        <w:lastRenderedPageBreak/>
        <w:drawing>
          <wp:inline distT="0" distB="0" distL="0" distR="0" wp14:anchorId="67A748C5" wp14:editId="1748D653">
            <wp:extent cx="3162159" cy="2229426"/>
            <wp:effectExtent l="0" t="0" r="141" b="0"/>
            <wp:docPr id="13" name="Slika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3162159" cy="2229426"/>
                    </a:xfrm>
                    <a:prstGeom prst="rect">
                      <a:avLst/>
                    </a:prstGeom>
                    <a:noFill/>
                    <a:ln>
                      <a:noFill/>
                      <a:prstDash/>
                    </a:ln>
                  </pic:spPr>
                </pic:pic>
              </a:graphicData>
            </a:graphic>
          </wp:inline>
        </w:drawing>
      </w:r>
      <w:r>
        <w:rPr>
          <w:rStyle w:val="Zadanifontodlomka1"/>
          <w:rFonts w:ascii="Calibri" w:eastAsia="SimSun" w:hAnsi="Calibri"/>
          <w:sz w:val="21"/>
          <w:szCs w:val="21"/>
        </w:rPr>
        <w:t xml:space="preserve">  </w:t>
      </w:r>
      <w:r>
        <w:rPr>
          <w:rStyle w:val="Zadanifontodlomka1"/>
          <w:rFonts w:ascii="Calibri" w:eastAsia="SimSun" w:hAnsi="Calibri"/>
          <w:noProof/>
          <w:sz w:val="21"/>
          <w:szCs w:val="21"/>
        </w:rPr>
        <w:drawing>
          <wp:inline distT="0" distB="0" distL="0" distR="0" wp14:anchorId="020EE1A9" wp14:editId="1748D655">
            <wp:extent cx="3164994" cy="2246104"/>
            <wp:effectExtent l="0" t="0" r="0" b="1796"/>
            <wp:docPr id="14" name="Slika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3164994" cy="2246104"/>
                    </a:xfrm>
                    <a:prstGeom prst="rect">
                      <a:avLst/>
                    </a:prstGeom>
                    <a:noFill/>
                    <a:ln>
                      <a:noFill/>
                      <a:prstDash/>
                    </a:ln>
                  </pic:spPr>
                </pic:pic>
              </a:graphicData>
            </a:graphic>
          </wp:inline>
        </w:drawing>
      </w:r>
      <w:r>
        <w:rPr>
          <w:rStyle w:val="Zadanifontodlomka1"/>
          <w:rFonts w:ascii="Calibri" w:eastAsia="SimSun" w:hAnsi="Calibri"/>
          <w:sz w:val="21"/>
          <w:szCs w:val="21"/>
        </w:rPr>
        <w:t xml:space="preserve">  </w:t>
      </w:r>
    </w:p>
    <w:p w14:paraId="1748D97E" w14:textId="77777777" w:rsidR="00382CF2" w:rsidRDefault="00382CF2">
      <w:pPr>
        <w:spacing w:after="160" w:line="276" w:lineRule="auto"/>
        <w:ind w:left="-284" w:right="-567"/>
        <w:rPr>
          <w:rFonts w:ascii="Calibri" w:eastAsia="SimSun" w:hAnsi="Calibri"/>
          <w:sz w:val="21"/>
          <w:szCs w:val="21"/>
        </w:rPr>
      </w:pPr>
    </w:p>
    <w:p w14:paraId="1748D97F" w14:textId="77777777" w:rsidR="00382CF2" w:rsidRDefault="00382CF2">
      <w:pPr>
        <w:tabs>
          <w:tab w:val="left" w:pos="-720"/>
          <w:tab w:val="left" w:pos="0"/>
          <w:tab w:val="left" w:pos="4820"/>
        </w:tabs>
        <w:ind w:left="-284" w:right="-567"/>
        <w:jc w:val="both"/>
        <w:rPr>
          <w:rFonts w:ascii="Calibri" w:hAnsi="Calibri" w:cs="Calibri"/>
          <w:b/>
          <w:caps/>
          <w:spacing w:val="-3"/>
          <w:sz w:val="22"/>
          <w:szCs w:val="22"/>
          <w:lang w:val="hr-HR" w:eastAsia="hr-HR"/>
        </w:rPr>
      </w:pPr>
    </w:p>
    <w:p w14:paraId="1748D980" w14:textId="77777777" w:rsidR="00382CF2" w:rsidRDefault="00054989">
      <w:pPr>
        <w:tabs>
          <w:tab w:val="left" w:pos="-720"/>
          <w:tab w:val="left" w:pos="0"/>
          <w:tab w:val="left" w:pos="4820"/>
        </w:tabs>
        <w:ind w:left="-284" w:right="-567"/>
        <w:jc w:val="both"/>
      </w:pPr>
      <w:r>
        <w:rPr>
          <w:rStyle w:val="Zadanifontodlomka1"/>
          <w:rFonts w:ascii="Calibri" w:hAnsi="Calibri" w:cs="Calibri"/>
          <w:b/>
          <w:caps/>
          <w:noProof/>
          <w:spacing w:val="-3"/>
          <w:sz w:val="22"/>
          <w:szCs w:val="22"/>
          <w:lang w:val="hr-HR" w:eastAsia="hr-HR"/>
        </w:rPr>
        <w:drawing>
          <wp:inline distT="0" distB="0" distL="0" distR="0" wp14:anchorId="39D45AB9" wp14:editId="1748D657">
            <wp:extent cx="3104964" cy="2356619"/>
            <wp:effectExtent l="0" t="0" r="186" b="5581"/>
            <wp:docPr id="15"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3104964" cy="2356619"/>
                    </a:xfrm>
                    <a:prstGeom prst="rect">
                      <a:avLst/>
                    </a:prstGeom>
                    <a:noFill/>
                    <a:ln>
                      <a:noFill/>
                      <a:prstDash/>
                    </a:ln>
                  </pic:spPr>
                </pic:pic>
              </a:graphicData>
            </a:graphic>
          </wp:inline>
        </w:drawing>
      </w:r>
      <w:r>
        <w:rPr>
          <w:rStyle w:val="Zadanifontodlomka1"/>
          <w:rFonts w:ascii="Calibri" w:hAnsi="Calibri" w:cs="Calibri"/>
          <w:b/>
          <w:caps/>
          <w:spacing w:val="-3"/>
          <w:sz w:val="22"/>
          <w:szCs w:val="22"/>
          <w:lang w:val="hr-HR" w:eastAsia="hr-HR"/>
        </w:rPr>
        <w:t xml:space="preserve">  </w:t>
      </w:r>
      <w:r>
        <w:rPr>
          <w:rStyle w:val="Zadanifontodlomka1"/>
          <w:rFonts w:ascii="Calibri" w:hAnsi="Calibri" w:cs="Calibri"/>
          <w:b/>
          <w:caps/>
          <w:noProof/>
          <w:spacing w:val="-3"/>
          <w:sz w:val="22"/>
          <w:szCs w:val="22"/>
          <w:lang w:val="hr-HR" w:eastAsia="hr-HR"/>
        </w:rPr>
        <w:drawing>
          <wp:inline distT="0" distB="0" distL="0" distR="0" wp14:anchorId="473CFC7F" wp14:editId="1748D659">
            <wp:extent cx="3093552" cy="2363577"/>
            <wp:effectExtent l="0" t="0" r="0" b="0"/>
            <wp:docPr id="16"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3093552" cy="2363577"/>
                    </a:xfrm>
                    <a:prstGeom prst="rect">
                      <a:avLst/>
                    </a:prstGeom>
                    <a:noFill/>
                    <a:ln>
                      <a:noFill/>
                      <a:prstDash/>
                    </a:ln>
                  </pic:spPr>
                </pic:pic>
              </a:graphicData>
            </a:graphic>
          </wp:inline>
        </w:drawing>
      </w:r>
    </w:p>
    <w:p w14:paraId="1748D981" w14:textId="77777777" w:rsidR="00382CF2" w:rsidRDefault="00382CF2">
      <w:pPr>
        <w:tabs>
          <w:tab w:val="left" w:pos="-720"/>
          <w:tab w:val="left" w:pos="0"/>
          <w:tab w:val="left" w:pos="4820"/>
        </w:tabs>
        <w:ind w:left="-284" w:right="-567"/>
        <w:jc w:val="both"/>
        <w:rPr>
          <w:rFonts w:ascii="Calibri" w:hAnsi="Calibri" w:cs="Calibri"/>
          <w:b/>
          <w:caps/>
          <w:spacing w:val="-3"/>
          <w:sz w:val="22"/>
          <w:szCs w:val="22"/>
          <w:lang w:val="hr-HR" w:eastAsia="hr-HR"/>
        </w:rPr>
      </w:pPr>
    </w:p>
    <w:p w14:paraId="1748D983" w14:textId="1E18C6D2" w:rsidR="00A709D8" w:rsidRDefault="00A709D8">
      <w:pPr>
        <w:suppressAutoHyphens w:val="0"/>
        <w:rPr>
          <w:rFonts w:ascii="Calibri" w:eastAsia="SimSun" w:hAnsi="Calibri" w:cs="Calibri"/>
          <w:b/>
          <w:sz w:val="22"/>
          <w:szCs w:val="22"/>
          <w:lang w:val="hr-HR"/>
        </w:rPr>
      </w:pPr>
      <w:r>
        <w:rPr>
          <w:rFonts w:ascii="Calibri" w:eastAsia="SimSun" w:hAnsi="Calibri" w:cs="Calibri"/>
          <w:b/>
          <w:sz w:val="22"/>
          <w:szCs w:val="22"/>
          <w:lang w:val="hr-HR"/>
        </w:rPr>
        <w:br w:type="page"/>
      </w:r>
    </w:p>
    <w:p w14:paraId="1748D98D" w14:textId="77777777" w:rsidR="00382CF2" w:rsidRDefault="00054989">
      <w:pPr>
        <w:rPr>
          <w:rFonts w:ascii="Calibri" w:eastAsia="SimSun" w:hAnsi="Calibri" w:cs="Calibri"/>
          <w:b/>
          <w:sz w:val="22"/>
          <w:szCs w:val="22"/>
          <w:lang w:val="hr-HR"/>
        </w:rPr>
      </w:pPr>
      <w:r>
        <w:rPr>
          <w:rFonts w:ascii="Calibri" w:eastAsia="SimSun" w:hAnsi="Calibri" w:cs="Calibri"/>
          <w:b/>
          <w:sz w:val="22"/>
          <w:szCs w:val="22"/>
          <w:lang w:val="hr-HR"/>
        </w:rPr>
        <w:lastRenderedPageBreak/>
        <w:t>Rezultat Grupe</w:t>
      </w:r>
    </w:p>
    <w:p w14:paraId="1748D98E" w14:textId="77777777" w:rsidR="00382CF2" w:rsidRDefault="00382CF2">
      <w:pPr>
        <w:rPr>
          <w:rFonts w:ascii="Calibri" w:eastAsia="SimSun" w:hAnsi="Calibri" w:cs="Calibri"/>
          <w:b/>
          <w:sz w:val="22"/>
          <w:szCs w:val="22"/>
          <w:lang w:val="hr-HR"/>
        </w:rPr>
      </w:pPr>
    </w:p>
    <w:p w14:paraId="1748D98F" w14:textId="76E8DC3C" w:rsidR="00382CF2" w:rsidRDefault="00054989">
      <w:pPr>
        <w:jc w:val="both"/>
        <w:rPr>
          <w:rFonts w:ascii="Calibri" w:eastAsia="SimSun" w:hAnsi="Calibri" w:cs="Calibri"/>
          <w:sz w:val="22"/>
          <w:szCs w:val="22"/>
          <w:lang w:val="hr-HR"/>
        </w:rPr>
      </w:pPr>
      <w:r>
        <w:rPr>
          <w:rFonts w:ascii="Calibri" w:eastAsia="SimSun" w:hAnsi="Calibri" w:cs="Calibri"/>
          <w:sz w:val="22"/>
          <w:szCs w:val="22"/>
          <w:lang w:val="hr-HR"/>
        </w:rPr>
        <w:t>Grupa HBOR je u 2022.</w:t>
      </w:r>
      <w:r w:rsidR="00B24002">
        <w:rPr>
          <w:rFonts w:ascii="Calibri" w:eastAsia="SimSun" w:hAnsi="Calibri" w:cs="Calibri"/>
          <w:sz w:val="22"/>
          <w:szCs w:val="22"/>
          <w:lang w:val="hr-HR"/>
        </w:rPr>
        <w:t xml:space="preserve"> </w:t>
      </w:r>
      <w:r>
        <w:rPr>
          <w:rFonts w:ascii="Calibri" w:eastAsia="SimSun" w:hAnsi="Calibri" w:cs="Calibri"/>
          <w:sz w:val="22"/>
          <w:szCs w:val="22"/>
          <w:lang w:val="hr-HR"/>
        </w:rPr>
        <w:t>ostvarila dobit nakon oporezivanja u iznosu od 189,46 milijuna kuna. Ostvarena dobit veća je za 0,67 posto u odnosu na prethodnu godinu, a razlozi se daju u opisu financijskog poslovanja HBOR-a.</w:t>
      </w:r>
    </w:p>
    <w:p w14:paraId="1748D990" w14:textId="77777777" w:rsidR="00382CF2" w:rsidRDefault="00382CF2">
      <w:pPr>
        <w:jc w:val="both"/>
        <w:rPr>
          <w:rFonts w:ascii="Calibri" w:eastAsia="SimSun" w:hAnsi="Calibri" w:cs="Calibri"/>
          <w:sz w:val="22"/>
          <w:szCs w:val="22"/>
          <w:lang w:val="hr-HR"/>
        </w:rPr>
      </w:pPr>
    </w:p>
    <w:p w14:paraId="1748D991" w14:textId="77777777" w:rsidR="00382CF2" w:rsidRDefault="00054989">
      <w:pPr>
        <w:jc w:val="both"/>
        <w:rPr>
          <w:rFonts w:ascii="Calibri" w:eastAsia="SimSun" w:hAnsi="Calibri" w:cs="Calibri"/>
          <w:sz w:val="22"/>
          <w:szCs w:val="22"/>
          <w:lang w:val="hr-HR"/>
        </w:rPr>
      </w:pPr>
      <w:r>
        <w:rPr>
          <w:rFonts w:ascii="Calibri" w:eastAsia="SimSun" w:hAnsi="Calibri" w:cs="Calibri"/>
          <w:sz w:val="22"/>
          <w:szCs w:val="22"/>
          <w:lang w:val="hr-HR"/>
        </w:rPr>
        <w:t>Matično društvo na temelju odredbi Zakona o HBOR-u nije obveznik plaćanja poreza na dobit te porezne obveze na ime poreza na dobit proizlaze isključivo iz aktivnosti ostalih članica Grupe.</w:t>
      </w:r>
    </w:p>
    <w:p w14:paraId="1748D992" w14:textId="77777777" w:rsidR="00382CF2" w:rsidRDefault="00382CF2">
      <w:pPr>
        <w:jc w:val="both"/>
        <w:rPr>
          <w:rFonts w:ascii="Calibri" w:eastAsia="SimSun" w:hAnsi="Calibri" w:cs="Calibri"/>
          <w:sz w:val="22"/>
          <w:szCs w:val="22"/>
          <w:lang w:val="hr-HR"/>
        </w:rPr>
      </w:pPr>
    </w:p>
    <w:p w14:paraId="1748D993" w14:textId="4965A15A" w:rsidR="00382CF2" w:rsidRDefault="00054989">
      <w:pPr>
        <w:jc w:val="both"/>
        <w:rPr>
          <w:rFonts w:ascii="Calibri" w:eastAsia="SimSun" w:hAnsi="Calibri" w:cs="Calibri"/>
          <w:sz w:val="22"/>
          <w:szCs w:val="22"/>
          <w:lang w:val="hr-HR"/>
        </w:rPr>
      </w:pPr>
      <w:r>
        <w:rPr>
          <w:rFonts w:ascii="Calibri" w:eastAsia="SimSun" w:hAnsi="Calibri" w:cs="Calibri"/>
          <w:sz w:val="22"/>
          <w:szCs w:val="22"/>
          <w:lang w:val="hr-HR"/>
        </w:rPr>
        <w:t>Konsolidirani ukupni prihodi u 2022.</w:t>
      </w:r>
      <w:r w:rsidR="0095327F">
        <w:rPr>
          <w:rFonts w:ascii="Calibri" w:eastAsia="SimSun" w:hAnsi="Calibri" w:cs="Calibri"/>
          <w:sz w:val="22"/>
          <w:szCs w:val="22"/>
          <w:lang w:val="hr-HR"/>
        </w:rPr>
        <w:t xml:space="preserve"> </w:t>
      </w:r>
      <w:r>
        <w:rPr>
          <w:rFonts w:ascii="Calibri" w:eastAsia="SimSun" w:hAnsi="Calibri" w:cs="Calibri"/>
          <w:sz w:val="22"/>
          <w:szCs w:val="22"/>
          <w:lang w:val="hr-HR"/>
        </w:rPr>
        <w:t>iznose 698,30 milijuna kuna, dok ukupni rashodi iznose 508,84 milijuna kuna.</w:t>
      </w:r>
    </w:p>
    <w:p w14:paraId="1748D994" w14:textId="77777777" w:rsidR="00382CF2" w:rsidRDefault="00382CF2">
      <w:pPr>
        <w:jc w:val="both"/>
        <w:rPr>
          <w:rFonts w:ascii="Calibri" w:eastAsia="SimSun" w:hAnsi="Calibri" w:cs="Calibri"/>
          <w:sz w:val="22"/>
          <w:szCs w:val="22"/>
          <w:lang w:val="hr-HR"/>
        </w:rPr>
      </w:pPr>
    </w:p>
    <w:p w14:paraId="1748D995" w14:textId="77777777" w:rsidR="00382CF2" w:rsidRDefault="00054989">
      <w:pPr>
        <w:jc w:val="both"/>
        <w:rPr>
          <w:rFonts w:ascii="Calibri" w:eastAsia="SimSun" w:hAnsi="Calibri" w:cs="Calibri"/>
          <w:sz w:val="22"/>
          <w:szCs w:val="22"/>
          <w:lang w:val="hr-HR"/>
        </w:rPr>
      </w:pPr>
      <w:r>
        <w:rPr>
          <w:rFonts w:ascii="Calibri" w:eastAsia="SimSun" w:hAnsi="Calibri" w:cs="Calibri"/>
          <w:sz w:val="22"/>
          <w:szCs w:val="22"/>
          <w:lang w:val="hr-HR"/>
        </w:rPr>
        <w:t>U strukturi prihoda Grupe najveći dio, tj. 90,10 posto odnosi se na prihode od kamata kao rezultat poslovanja matičnog društva.</w:t>
      </w:r>
    </w:p>
    <w:p w14:paraId="1748D996" w14:textId="77777777" w:rsidR="00382CF2" w:rsidRDefault="00382CF2">
      <w:pPr>
        <w:jc w:val="both"/>
        <w:rPr>
          <w:rFonts w:ascii="Calibri" w:eastAsia="SimSun" w:hAnsi="Calibri" w:cs="Calibri"/>
          <w:sz w:val="22"/>
          <w:szCs w:val="22"/>
          <w:lang w:val="hr-HR"/>
        </w:rPr>
      </w:pPr>
    </w:p>
    <w:p w14:paraId="1748D997" w14:textId="77777777" w:rsidR="00382CF2" w:rsidRDefault="00054989">
      <w:pPr>
        <w:jc w:val="both"/>
        <w:rPr>
          <w:rFonts w:ascii="Calibri" w:eastAsia="SimSun" w:hAnsi="Calibri" w:cs="Calibri"/>
          <w:sz w:val="22"/>
          <w:szCs w:val="22"/>
          <w:lang w:val="hr-HR"/>
        </w:rPr>
      </w:pPr>
      <w:r>
        <w:rPr>
          <w:rFonts w:ascii="Calibri" w:eastAsia="SimSun" w:hAnsi="Calibri" w:cs="Calibri"/>
          <w:sz w:val="22"/>
          <w:szCs w:val="22"/>
          <w:lang w:val="hr-HR"/>
        </w:rPr>
        <w:t>U dijelu ukupnih rashoda, najveći dio čine operativni troškovi i to 39,61 posto te rashodi od kamata 31,13 posto koji proizlaze iz poslovanja matičnog društva.</w:t>
      </w:r>
    </w:p>
    <w:p w14:paraId="1748D998" w14:textId="77777777" w:rsidR="00382CF2" w:rsidRDefault="00382CF2">
      <w:pPr>
        <w:jc w:val="both"/>
        <w:rPr>
          <w:rFonts w:ascii="Calibri" w:eastAsia="SimSun" w:hAnsi="Calibri" w:cs="Calibri"/>
          <w:sz w:val="22"/>
          <w:szCs w:val="22"/>
          <w:lang w:val="hr-HR"/>
        </w:rPr>
      </w:pPr>
    </w:p>
    <w:p w14:paraId="1748D999" w14:textId="26EDA01D" w:rsidR="00382CF2" w:rsidRDefault="00054989">
      <w:pPr>
        <w:jc w:val="both"/>
        <w:rPr>
          <w:rFonts w:ascii="Calibri" w:eastAsia="SimSun" w:hAnsi="Calibri" w:cs="Calibri"/>
          <w:sz w:val="22"/>
          <w:szCs w:val="22"/>
          <w:lang w:val="hr-HR"/>
        </w:rPr>
      </w:pPr>
      <w:r>
        <w:rPr>
          <w:rFonts w:ascii="Calibri" w:eastAsia="SimSun" w:hAnsi="Calibri" w:cs="Calibri"/>
          <w:sz w:val="22"/>
          <w:szCs w:val="22"/>
          <w:lang w:val="hr-HR"/>
        </w:rPr>
        <w:t>Konsolidirani operativni troškovi u 2022.</w:t>
      </w:r>
      <w:r w:rsidR="008101D5">
        <w:rPr>
          <w:rFonts w:ascii="Calibri" w:eastAsia="SimSun" w:hAnsi="Calibri" w:cs="Calibri"/>
          <w:sz w:val="22"/>
          <w:szCs w:val="22"/>
          <w:lang w:val="hr-HR"/>
        </w:rPr>
        <w:t xml:space="preserve"> </w:t>
      </w:r>
      <w:r>
        <w:rPr>
          <w:rFonts w:ascii="Calibri" w:eastAsia="SimSun" w:hAnsi="Calibri" w:cs="Calibri"/>
          <w:sz w:val="22"/>
          <w:szCs w:val="22"/>
          <w:lang w:val="hr-HR"/>
        </w:rPr>
        <w:t>iznose 201,57 milijuna kuna, a čine ih opći i administrativni troškovi te ostali troškovi poslovanja.</w:t>
      </w:r>
    </w:p>
    <w:p w14:paraId="1748D99A" w14:textId="77777777" w:rsidR="00382CF2" w:rsidRDefault="00382CF2">
      <w:pPr>
        <w:jc w:val="both"/>
        <w:rPr>
          <w:rFonts w:ascii="Calibri" w:eastAsia="SimSun" w:hAnsi="Calibri" w:cs="Calibri"/>
          <w:sz w:val="22"/>
          <w:szCs w:val="22"/>
          <w:lang w:val="hr-HR"/>
        </w:rPr>
      </w:pPr>
    </w:p>
    <w:p w14:paraId="1748D99B" w14:textId="587CB7F7" w:rsidR="00382CF2" w:rsidRDefault="00054989">
      <w:pPr>
        <w:jc w:val="both"/>
        <w:rPr>
          <w:rFonts w:ascii="Calibri" w:eastAsia="SimSun" w:hAnsi="Calibri" w:cs="Calibri"/>
          <w:sz w:val="22"/>
          <w:szCs w:val="22"/>
          <w:lang w:val="hr-HR"/>
        </w:rPr>
      </w:pPr>
      <w:r>
        <w:rPr>
          <w:rFonts w:ascii="Calibri" w:eastAsia="SimSun" w:hAnsi="Calibri" w:cs="Calibri"/>
          <w:sz w:val="22"/>
          <w:szCs w:val="22"/>
          <w:lang w:val="hr-HR"/>
        </w:rPr>
        <w:t xml:space="preserve">Ukupan broj zaposlenih u Grupi na dan </w:t>
      </w:r>
      <w:r w:rsidR="008C0EF2">
        <w:rPr>
          <w:rFonts w:ascii="Calibri" w:eastAsia="SimSun" w:hAnsi="Calibri" w:cs="Calibri"/>
          <w:sz w:val="22"/>
          <w:szCs w:val="22"/>
          <w:lang w:val="hr-HR"/>
        </w:rPr>
        <w:t>31. prosinca 2022.</w:t>
      </w:r>
      <w:r w:rsidR="008101D5">
        <w:rPr>
          <w:rFonts w:ascii="Calibri" w:eastAsia="SimSun" w:hAnsi="Calibri" w:cs="Calibri"/>
          <w:sz w:val="22"/>
          <w:szCs w:val="22"/>
          <w:lang w:val="hr-HR"/>
        </w:rPr>
        <w:t xml:space="preserve"> </w:t>
      </w:r>
      <w:r>
        <w:rPr>
          <w:rFonts w:ascii="Calibri" w:eastAsia="SimSun" w:hAnsi="Calibri" w:cs="Calibri"/>
          <w:sz w:val="22"/>
          <w:szCs w:val="22"/>
          <w:lang w:val="hr-HR"/>
        </w:rPr>
        <w:t>je 402, dok je na kraju 2021. Grupa zapošljavala 394 radnika.</w:t>
      </w:r>
    </w:p>
    <w:p w14:paraId="1748D99C" w14:textId="77777777" w:rsidR="00382CF2" w:rsidRDefault="00382CF2">
      <w:pPr>
        <w:jc w:val="both"/>
        <w:rPr>
          <w:rFonts w:ascii="Calibri" w:eastAsia="SimSun" w:hAnsi="Calibri" w:cs="Calibri"/>
          <w:sz w:val="22"/>
          <w:szCs w:val="22"/>
          <w:lang w:val="hr-HR"/>
        </w:rPr>
      </w:pPr>
    </w:p>
    <w:p w14:paraId="1748D99D" w14:textId="77777777" w:rsidR="00382CF2" w:rsidRDefault="00054989">
      <w:pPr>
        <w:rPr>
          <w:rFonts w:ascii="Calibri" w:eastAsia="SimSun" w:hAnsi="Calibri" w:cs="Calibri"/>
          <w:b/>
          <w:sz w:val="22"/>
          <w:szCs w:val="22"/>
          <w:lang w:val="hr-HR"/>
        </w:rPr>
      </w:pPr>
      <w:r>
        <w:rPr>
          <w:rFonts w:ascii="Calibri" w:eastAsia="SimSun" w:hAnsi="Calibri" w:cs="Calibri"/>
          <w:b/>
          <w:sz w:val="22"/>
          <w:szCs w:val="22"/>
          <w:lang w:val="hr-HR"/>
        </w:rPr>
        <w:t>Imovina i obveze Grupe</w:t>
      </w:r>
    </w:p>
    <w:p w14:paraId="1748D99E" w14:textId="77777777" w:rsidR="00382CF2" w:rsidRDefault="00382CF2">
      <w:pPr>
        <w:jc w:val="both"/>
        <w:rPr>
          <w:rFonts w:ascii="Calibri" w:eastAsia="SimSun" w:hAnsi="Calibri" w:cs="Calibri"/>
          <w:sz w:val="22"/>
          <w:szCs w:val="22"/>
          <w:lang w:val="hr-HR"/>
        </w:rPr>
      </w:pPr>
    </w:p>
    <w:p w14:paraId="1748D99F" w14:textId="77777777" w:rsidR="00382CF2" w:rsidRDefault="00054989">
      <w:pPr>
        <w:jc w:val="both"/>
        <w:rPr>
          <w:rFonts w:ascii="Calibri" w:eastAsia="SimSun" w:hAnsi="Calibri" w:cs="Calibri"/>
          <w:sz w:val="22"/>
          <w:szCs w:val="22"/>
          <w:lang w:val="hr-HR"/>
        </w:rPr>
      </w:pPr>
      <w:r>
        <w:rPr>
          <w:rFonts w:ascii="Calibri" w:eastAsia="SimSun" w:hAnsi="Calibri" w:cs="Calibri"/>
          <w:sz w:val="22"/>
          <w:szCs w:val="22"/>
          <w:lang w:val="hr-HR"/>
        </w:rPr>
        <w:t>Ukupna imovina Grupe na konsolidiranoj osnovi iznosi 29.060,16 milijuna kuna i veća je za 2,76 posto u odnosu na početak godine. Razlozi ovakvog trenda daju se u opisu financijskog poslovanja HBOR-a.</w:t>
      </w:r>
    </w:p>
    <w:p w14:paraId="1748D9A0" w14:textId="77777777" w:rsidR="00382CF2" w:rsidRDefault="00382CF2">
      <w:pPr>
        <w:jc w:val="both"/>
        <w:rPr>
          <w:rFonts w:ascii="Calibri" w:eastAsia="SimSun" w:hAnsi="Calibri" w:cs="Calibri"/>
          <w:sz w:val="22"/>
          <w:szCs w:val="22"/>
          <w:lang w:val="hr-HR"/>
        </w:rPr>
      </w:pPr>
    </w:p>
    <w:p w14:paraId="1748D9A1" w14:textId="77777777" w:rsidR="00382CF2" w:rsidRDefault="00054989">
      <w:pPr>
        <w:jc w:val="both"/>
        <w:rPr>
          <w:rFonts w:ascii="Calibri" w:eastAsia="SimSun" w:hAnsi="Calibri" w:cs="Calibri"/>
          <w:sz w:val="22"/>
          <w:szCs w:val="22"/>
          <w:lang w:val="hr-HR"/>
        </w:rPr>
      </w:pPr>
      <w:r>
        <w:rPr>
          <w:rFonts w:ascii="Calibri" w:eastAsia="SimSun" w:hAnsi="Calibri" w:cs="Calibri"/>
          <w:sz w:val="22"/>
          <w:szCs w:val="22"/>
          <w:lang w:val="hr-HR"/>
        </w:rPr>
        <w:t>U strukturi imovine najveće učešće odnosi se na kreditno poslovanje matičnog društva te neto krediti čine 83,92 posto ukupne imovine.</w:t>
      </w:r>
    </w:p>
    <w:p w14:paraId="1748D9A2" w14:textId="77777777" w:rsidR="00382CF2" w:rsidRDefault="00382CF2">
      <w:pPr>
        <w:jc w:val="both"/>
        <w:rPr>
          <w:rFonts w:ascii="Calibri" w:hAnsi="Calibri" w:cs="Calibri"/>
          <w:spacing w:val="-3"/>
          <w:sz w:val="22"/>
          <w:szCs w:val="22"/>
          <w:lang w:val="hr-HR" w:eastAsia="hr-HR"/>
        </w:rPr>
      </w:pPr>
    </w:p>
    <w:p w14:paraId="1748D9A3" w14:textId="7D02BD72" w:rsidR="00382CF2" w:rsidRDefault="00054989">
      <w:pPr>
        <w:jc w:val="both"/>
      </w:pPr>
      <w:r>
        <w:rPr>
          <w:rStyle w:val="Zadanifontodlomka1"/>
          <w:rFonts w:ascii="Calibri" w:hAnsi="Calibri" w:cs="Calibri"/>
          <w:spacing w:val="-3"/>
          <w:sz w:val="22"/>
          <w:szCs w:val="22"/>
          <w:lang w:val="hr-HR" w:eastAsia="hr-HR"/>
        </w:rPr>
        <w:t xml:space="preserve">Ukupne obveze i kapital i rezerve na dan </w:t>
      </w:r>
      <w:r w:rsidR="00EC4074">
        <w:rPr>
          <w:rFonts w:ascii="Calibri" w:eastAsia="SimSun" w:hAnsi="Calibri" w:cs="Calibri"/>
          <w:sz w:val="22"/>
          <w:szCs w:val="22"/>
          <w:lang w:val="hr-HR"/>
        </w:rPr>
        <w:t>31. prosinca 2022.</w:t>
      </w:r>
      <w:r w:rsidR="00956802">
        <w:rPr>
          <w:rFonts w:ascii="Calibri" w:eastAsia="SimSun" w:hAnsi="Calibri" w:cs="Calibri"/>
          <w:sz w:val="22"/>
          <w:szCs w:val="22"/>
          <w:lang w:val="hr-HR"/>
        </w:rPr>
        <w:t xml:space="preserve"> </w:t>
      </w:r>
      <w:r>
        <w:rPr>
          <w:rStyle w:val="Zadanifontodlomka1"/>
          <w:rFonts w:ascii="Calibri" w:hAnsi="Calibri" w:cs="Calibri"/>
          <w:spacing w:val="-3"/>
          <w:sz w:val="22"/>
          <w:szCs w:val="22"/>
          <w:lang w:val="hr-HR" w:eastAsia="hr-HR"/>
        </w:rPr>
        <w:t>iznose 29.060,16 milijuna kuna od čega ukupne obveze iznose 18.345,13</w:t>
      </w:r>
      <w:r>
        <w:rPr>
          <w:rStyle w:val="Zadanifontodlomka1"/>
          <w:rFonts w:ascii="Calibri" w:hAnsi="Calibri" w:cs="Calibri"/>
          <w:bCs/>
          <w:sz w:val="22"/>
          <w:szCs w:val="22"/>
          <w:lang w:val="hr-HR" w:eastAsia="hr-HR"/>
        </w:rPr>
        <w:t xml:space="preserve"> </w:t>
      </w:r>
      <w:r>
        <w:rPr>
          <w:rStyle w:val="Zadanifontodlomka1"/>
          <w:rFonts w:ascii="Calibri" w:hAnsi="Calibri" w:cs="Calibri"/>
          <w:spacing w:val="-3"/>
          <w:sz w:val="22"/>
          <w:szCs w:val="22"/>
          <w:lang w:val="hr-HR" w:eastAsia="hr-HR"/>
        </w:rPr>
        <w:t>milijuna kuna, odnosno 63,13 posto.</w:t>
      </w:r>
    </w:p>
    <w:p w14:paraId="1748D9A4" w14:textId="77777777" w:rsidR="00382CF2" w:rsidRDefault="00054989">
      <w:pPr>
        <w:jc w:val="both"/>
        <w:rPr>
          <w:rFonts w:ascii="Calibri" w:eastAsia="SimSun" w:hAnsi="Calibri" w:cs="Calibri"/>
          <w:sz w:val="22"/>
          <w:szCs w:val="22"/>
          <w:lang w:val="hr-HR"/>
        </w:rPr>
      </w:pPr>
      <w:r>
        <w:rPr>
          <w:rFonts w:ascii="Calibri" w:eastAsia="SimSun" w:hAnsi="Calibri" w:cs="Calibri"/>
          <w:sz w:val="22"/>
          <w:szCs w:val="22"/>
          <w:lang w:val="hr-HR"/>
        </w:rPr>
        <w:t>U ukupnim obvezama i kapitalu i rezervama Grupe najveći dio, tj. 56,78 posto čine obveze po kreditima matičnog društva.</w:t>
      </w:r>
    </w:p>
    <w:p w14:paraId="1748D9A5" w14:textId="77777777" w:rsidR="00382CF2" w:rsidRDefault="00382CF2">
      <w:pPr>
        <w:jc w:val="both"/>
        <w:rPr>
          <w:rFonts w:ascii="Calibri" w:eastAsia="SimSun" w:hAnsi="Calibri" w:cs="Calibri"/>
          <w:sz w:val="22"/>
          <w:szCs w:val="22"/>
          <w:lang w:val="hr-HR"/>
        </w:rPr>
      </w:pPr>
    </w:p>
    <w:p w14:paraId="1748D9A6" w14:textId="185EAD7F" w:rsidR="00382CF2" w:rsidRDefault="00054989">
      <w:pPr>
        <w:jc w:val="both"/>
        <w:rPr>
          <w:rFonts w:ascii="Calibri" w:eastAsia="SimSun" w:hAnsi="Calibri" w:cs="Calibri"/>
          <w:sz w:val="22"/>
          <w:szCs w:val="22"/>
          <w:lang w:val="hr-HR"/>
        </w:rPr>
      </w:pPr>
      <w:r>
        <w:rPr>
          <w:rFonts w:ascii="Calibri" w:eastAsia="SimSun" w:hAnsi="Calibri" w:cs="Calibri"/>
          <w:sz w:val="22"/>
          <w:szCs w:val="22"/>
          <w:lang w:val="hr-HR"/>
        </w:rPr>
        <w:t>Ukupni kapital i rezerve na konsolidiranoj osnovi na kraju 2022.</w:t>
      </w:r>
      <w:r w:rsidR="00956802">
        <w:rPr>
          <w:rFonts w:ascii="Calibri" w:eastAsia="SimSun" w:hAnsi="Calibri" w:cs="Calibri"/>
          <w:sz w:val="22"/>
          <w:szCs w:val="22"/>
          <w:lang w:val="hr-HR"/>
        </w:rPr>
        <w:t xml:space="preserve"> </w:t>
      </w:r>
      <w:r>
        <w:rPr>
          <w:rFonts w:ascii="Calibri" w:eastAsia="SimSun" w:hAnsi="Calibri" w:cs="Calibri"/>
          <w:sz w:val="22"/>
          <w:szCs w:val="22"/>
          <w:lang w:val="hr-HR"/>
        </w:rPr>
        <w:t>iznose 10.715,03 milijuna kuna i čine 36,87 posto ukupnih obveza i kapitala i rezervi Grupe.</w:t>
      </w:r>
    </w:p>
    <w:p w14:paraId="1748D9A9" w14:textId="77777777" w:rsidR="00382CF2" w:rsidRDefault="00382CF2">
      <w:pPr>
        <w:ind w:left="-284" w:right="-285"/>
        <w:jc w:val="both"/>
        <w:rPr>
          <w:rFonts w:ascii="Calibri" w:eastAsia="SimSun" w:hAnsi="Calibri" w:cs="Calibri"/>
          <w:sz w:val="22"/>
          <w:szCs w:val="22"/>
          <w:lang w:val="hr-HR"/>
        </w:rPr>
      </w:pPr>
    </w:p>
    <w:p w14:paraId="1748D9AA" w14:textId="77777777" w:rsidR="00382CF2" w:rsidRDefault="00054989">
      <w:pPr>
        <w:ind w:left="-284" w:right="-285"/>
        <w:jc w:val="both"/>
      </w:pPr>
      <w:r>
        <w:rPr>
          <w:rStyle w:val="Zadanifontodlomka1"/>
          <w:rFonts w:ascii="Calibri" w:eastAsia="SimSun" w:hAnsi="Calibri" w:cs="Calibri"/>
          <w:sz w:val="22"/>
          <w:szCs w:val="22"/>
          <w:lang w:val="hr-HR"/>
        </w:rPr>
        <w:lastRenderedPageBreak/>
        <w:t xml:space="preserve">        </w:t>
      </w:r>
      <w:r>
        <w:rPr>
          <w:rStyle w:val="Zadanifontodlomka1"/>
          <w:rFonts w:ascii="Calibri" w:hAnsi="Calibri" w:cs="Calibri"/>
          <w:b/>
          <w:spacing w:val="-3"/>
          <w:sz w:val="22"/>
          <w:szCs w:val="22"/>
          <w:lang w:val="hr-HR" w:eastAsia="hr-HR"/>
        </w:rPr>
        <w:t xml:space="preserve">   </w:t>
      </w:r>
      <w:r>
        <w:rPr>
          <w:rStyle w:val="Zadanifontodlomka1"/>
          <w:rFonts w:ascii="Calibri" w:hAnsi="Calibri" w:cs="Calibri"/>
          <w:b/>
          <w:noProof/>
          <w:spacing w:val="-3"/>
          <w:sz w:val="22"/>
          <w:szCs w:val="22"/>
          <w:lang w:val="hr-HR" w:eastAsia="hr-HR"/>
        </w:rPr>
        <w:drawing>
          <wp:inline distT="0" distB="0" distL="0" distR="0" wp14:anchorId="1748D65A" wp14:editId="1748D65B">
            <wp:extent cx="2712796" cy="3382868"/>
            <wp:effectExtent l="0" t="0" r="0" b="8032"/>
            <wp:docPr id="17"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712796" cy="3382868"/>
                    </a:xfrm>
                    <a:prstGeom prst="rect">
                      <a:avLst/>
                    </a:prstGeom>
                    <a:noFill/>
                    <a:ln>
                      <a:noFill/>
                      <a:prstDash/>
                    </a:ln>
                  </pic:spPr>
                </pic:pic>
              </a:graphicData>
            </a:graphic>
          </wp:inline>
        </w:drawing>
      </w:r>
      <w:r>
        <w:rPr>
          <w:rStyle w:val="Zadanifontodlomka1"/>
          <w:rFonts w:ascii="Calibri" w:hAnsi="Calibri" w:cs="Calibri"/>
          <w:b/>
          <w:spacing w:val="-3"/>
          <w:sz w:val="22"/>
          <w:szCs w:val="22"/>
          <w:lang w:val="hr-HR" w:eastAsia="hr-HR"/>
        </w:rPr>
        <w:t xml:space="preserve">    </w:t>
      </w:r>
      <w:r>
        <w:rPr>
          <w:rStyle w:val="Zadanifontodlomka1"/>
          <w:rFonts w:ascii="Calibri" w:hAnsi="Calibri" w:cs="Calibri"/>
          <w:b/>
          <w:noProof/>
          <w:spacing w:val="-3"/>
          <w:sz w:val="22"/>
          <w:szCs w:val="22"/>
          <w:lang w:val="hr-HR" w:eastAsia="hr-HR"/>
        </w:rPr>
        <w:drawing>
          <wp:inline distT="0" distB="0" distL="0" distR="0" wp14:anchorId="1748D65C" wp14:editId="1AA74E3E">
            <wp:extent cx="2691130" cy="3385468"/>
            <wp:effectExtent l="0" t="0" r="0" b="5715"/>
            <wp:docPr id="18"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692564" cy="3387272"/>
                    </a:xfrm>
                    <a:prstGeom prst="rect">
                      <a:avLst/>
                    </a:prstGeom>
                    <a:noFill/>
                    <a:ln>
                      <a:noFill/>
                      <a:prstDash/>
                    </a:ln>
                  </pic:spPr>
                </pic:pic>
              </a:graphicData>
            </a:graphic>
          </wp:inline>
        </w:drawing>
      </w:r>
    </w:p>
    <w:p w14:paraId="1748D9AB" w14:textId="77777777" w:rsidR="00382CF2" w:rsidRDefault="00382CF2">
      <w:pPr>
        <w:ind w:left="-284" w:right="-425"/>
        <w:rPr>
          <w:rFonts w:ascii="Calibri" w:hAnsi="Calibri" w:cs="Calibri"/>
          <w:b/>
          <w:spacing w:val="-3"/>
          <w:sz w:val="22"/>
          <w:szCs w:val="22"/>
          <w:lang w:val="hr-HR" w:eastAsia="hr-HR"/>
        </w:rPr>
      </w:pPr>
    </w:p>
    <w:p w14:paraId="1748D9AC" w14:textId="77777777" w:rsidR="00382CF2" w:rsidRDefault="00054989">
      <w:pPr>
        <w:ind w:left="-284" w:right="-425"/>
      </w:pPr>
      <w:r>
        <w:rPr>
          <w:rStyle w:val="Zadanifontodlomka1"/>
          <w:rFonts w:ascii="Calibri" w:hAnsi="Calibri" w:cs="Calibri"/>
          <w:b/>
          <w:spacing w:val="-3"/>
          <w:sz w:val="22"/>
          <w:szCs w:val="22"/>
          <w:lang w:val="hr-HR" w:eastAsia="hr-HR"/>
        </w:rPr>
        <w:t xml:space="preserve"> </w:t>
      </w:r>
      <w:r>
        <w:rPr>
          <w:rStyle w:val="Zadanifontodlomka1"/>
          <w:rFonts w:ascii="Calibri" w:eastAsia="SimSun" w:hAnsi="Calibri" w:cs="Calibri"/>
          <w:sz w:val="22"/>
          <w:szCs w:val="22"/>
          <w:lang w:val="hr-HR"/>
        </w:rPr>
        <w:t xml:space="preserve">          </w:t>
      </w:r>
      <w:r>
        <w:rPr>
          <w:rStyle w:val="Zadanifontodlomka1"/>
          <w:rFonts w:ascii="Calibri" w:eastAsia="SimSun" w:hAnsi="Calibri" w:cs="Calibri"/>
          <w:noProof/>
          <w:sz w:val="22"/>
          <w:szCs w:val="22"/>
          <w:lang w:val="hr-HR"/>
        </w:rPr>
        <w:drawing>
          <wp:inline distT="0" distB="0" distL="0" distR="0" wp14:anchorId="1748D65E" wp14:editId="1748D65F">
            <wp:extent cx="2681039" cy="3337285"/>
            <wp:effectExtent l="0" t="0" r="5011" b="0"/>
            <wp:docPr id="19" name="Picture 16" descr="Slika na kojoj se prikazuje tekst, snimka zaslona, posjetnica&#10;&#10;Opis je automatski generira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2681039" cy="3337285"/>
                    </a:xfrm>
                    <a:prstGeom prst="rect">
                      <a:avLst/>
                    </a:prstGeom>
                    <a:noFill/>
                    <a:ln>
                      <a:noFill/>
                      <a:prstDash/>
                    </a:ln>
                  </pic:spPr>
                </pic:pic>
              </a:graphicData>
            </a:graphic>
          </wp:inline>
        </w:drawing>
      </w:r>
      <w:r>
        <w:rPr>
          <w:rStyle w:val="Zadanifontodlomka1"/>
          <w:rFonts w:ascii="Calibri" w:eastAsia="SimSun" w:hAnsi="Calibri" w:cs="Calibri"/>
          <w:sz w:val="22"/>
          <w:szCs w:val="22"/>
          <w:lang w:val="hr-HR"/>
        </w:rPr>
        <w:t xml:space="preserve">    </w:t>
      </w:r>
      <w:r>
        <w:rPr>
          <w:rStyle w:val="Zadanifontodlomka1"/>
          <w:rFonts w:ascii="Calibri" w:eastAsia="SimSun" w:hAnsi="Calibri" w:cs="Calibri"/>
          <w:noProof/>
          <w:sz w:val="22"/>
          <w:szCs w:val="22"/>
          <w:lang w:val="hr-HR"/>
        </w:rPr>
        <w:drawing>
          <wp:inline distT="0" distB="0" distL="0" distR="0" wp14:anchorId="1748D660" wp14:editId="1C4A3490">
            <wp:extent cx="2654739" cy="3333940"/>
            <wp:effectExtent l="0" t="0" r="0" b="0"/>
            <wp:docPr id="20" name="Picture 17" descr="Slika na kojoj se prikazuje tekst, snimka zaslona, posjetnica&#10;&#10;Opis je automatski generira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656515" cy="3336171"/>
                    </a:xfrm>
                    <a:prstGeom prst="rect">
                      <a:avLst/>
                    </a:prstGeom>
                    <a:noFill/>
                    <a:ln>
                      <a:noFill/>
                      <a:prstDash/>
                    </a:ln>
                  </pic:spPr>
                </pic:pic>
              </a:graphicData>
            </a:graphic>
          </wp:inline>
        </w:drawing>
      </w:r>
    </w:p>
    <w:p w14:paraId="1748D9AD" w14:textId="77777777" w:rsidR="00382CF2" w:rsidRDefault="00054989">
      <w:pPr>
        <w:spacing w:before="240"/>
        <w:jc w:val="both"/>
      </w:pPr>
      <w:r>
        <w:rPr>
          <w:rStyle w:val="Zadanifontodlomka1"/>
          <w:rFonts w:ascii="Calibri" w:hAnsi="Calibri" w:cs="Calibri"/>
          <w:spacing w:val="-3"/>
          <w:sz w:val="22"/>
          <w:szCs w:val="22"/>
          <w:lang w:val="hr-HR" w:eastAsia="hr-HR"/>
        </w:rPr>
        <w:t>*Nekretnine, postrojenja i oprema i nematerijalna imovina, Preuzeta imovina i Ostala imovina.</w:t>
      </w:r>
    </w:p>
    <w:p w14:paraId="1748D9AE" w14:textId="77777777" w:rsidR="00382CF2" w:rsidRDefault="00054989">
      <w:pPr>
        <w:spacing w:before="240"/>
        <w:jc w:val="both"/>
        <w:rPr>
          <w:rFonts w:ascii="Calibri" w:hAnsi="Calibri" w:cs="Calibri"/>
          <w:spacing w:val="-3"/>
          <w:sz w:val="22"/>
          <w:szCs w:val="22"/>
          <w:lang w:val="hr-HR" w:eastAsia="hr-HR"/>
        </w:rPr>
      </w:pPr>
      <w:r>
        <w:rPr>
          <w:rFonts w:ascii="Calibri" w:hAnsi="Calibri" w:cs="Calibri"/>
          <w:spacing w:val="-3"/>
          <w:sz w:val="22"/>
          <w:szCs w:val="22"/>
          <w:lang w:val="hr-HR" w:eastAsia="hr-HR"/>
        </w:rPr>
        <w:t>**Rezerviranja uključuju rezerviranja za garancije, preuzete i ostale obveze.</w:t>
      </w:r>
    </w:p>
    <w:p w14:paraId="03DCF7F4" w14:textId="77777777" w:rsidR="00EC613F" w:rsidRDefault="00EC613F">
      <w:pPr>
        <w:suppressAutoHyphens w:val="0"/>
        <w:rPr>
          <w:rFonts w:ascii="Calibri" w:eastAsia="SimSun" w:hAnsi="Calibri" w:cs="Calibri"/>
          <w:b/>
          <w:bCs/>
          <w:sz w:val="22"/>
          <w:szCs w:val="22"/>
          <w:lang w:val="hr-HR"/>
        </w:rPr>
      </w:pPr>
      <w:bookmarkStart w:id="77" w:name="_Toc477261950"/>
      <w:bookmarkStart w:id="78" w:name="_Toc97051758"/>
      <w:bookmarkStart w:id="79" w:name="_Toc97908669"/>
      <w:r>
        <w:rPr>
          <w:rFonts w:ascii="Calibri" w:eastAsia="SimSun" w:hAnsi="Calibri" w:cs="Calibri"/>
          <w:b/>
          <w:bCs/>
          <w:sz w:val="22"/>
          <w:szCs w:val="22"/>
          <w:lang w:val="hr-HR"/>
        </w:rPr>
        <w:br w:type="page"/>
      </w:r>
    </w:p>
    <w:p w14:paraId="1748D9B0" w14:textId="3BBAAF1E" w:rsidR="00382CF2" w:rsidRDefault="00054989" w:rsidP="00754738">
      <w:pPr>
        <w:keepNext/>
        <w:spacing w:after="120"/>
        <w:outlineLvl w:val="1"/>
        <w:rPr>
          <w:rFonts w:ascii="Calibri" w:eastAsia="SimSun" w:hAnsi="Calibri" w:cs="Calibri"/>
          <w:b/>
          <w:bCs/>
          <w:sz w:val="22"/>
          <w:szCs w:val="22"/>
          <w:lang w:val="hr-HR"/>
        </w:rPr>
      </w:pPr>
      <w:bookmarkStart w:id="80" w:name="_Toc129083728"/>
      <w:r>
        <w:rPr>
          <w:rFonts w:ascii="Calibri" w:eastAsia="SimSun" w:hAnsi="Calibri" w:cs="Calibri"/>
          <w:b/>
          <w:bCs/>
          <w:sz w:val="22"/>
          <w:szCs w:val="22"/>
          <w:lang w:val="hr-HR"/>
        </w:rPr>
        <w:lastRenderedPageBreak/>
        <w:t>OSVRT NA FINANCIJSKO POSLOVANJE HBOR-a</w:t>
      </w:r>
      <w:bookmarkEnd w:id="77"/>
      <w:bookmarkEnd w:id="78"/>
      <w:bookmarkEnd w:id="79"/>
      <w:bookmarkEnd w:id="80"/>
    </w:p>
    <w:p w14:paraId="1748D9B2" w14:textId="77777777" w:rsidR="00382CF2" w:rsidRDefault="00054989">
      <w:pPr>
        <w:jc w:val="both"/>
        <w:rPr>
          <w:rFonts w:ascii="Calibri" w:eastAsia="SimSun" w:hAnsi="Calibri" w:cs="Calibri"/>
          <w:sz w:val="22"/>
          <w:szCs w:val="22"/>
          <w:lang w:val="hr-HR"/>
        </w:rPr>
      </w:pPr>
      <w:r>
        <w:rPr>
          <w:rFonts w:ascii="Calibri" w:eastAsia="SimSun" w:hAnsi="Calibri" w:cs="Calibri"/>
          <w:sz w:val="22"/>
          <w:szCs w:val="22"/>
          <w:lang w:val="hr-HR"/>
        </w:rPr>
        <w:t>U nastavku se daje pregled i objašnjenja značajnih promjena u financijskom položaju i uspješnosti poslovanja u izvještajnoj godini.</w:t>
      </w:r>
    </w:p>
    <w:p w14:paraId="1748D9B3" w14:textId="77777777" w:rsidR="00382CF2" w:rsidRDefault="00382CF2">
      <w:pPr>
        <w:tabs>
          <w:tab w:val="left" w:pos="-720"/>
        </w:tabs>
        <w:jc w:val="both"/>
        <w:rPr>
          <w:rFonts w:ascii="Calibri" w:eastAsia="SimSun" w:hAnsi="Calibri" w:cs="Calibri"/>
          <w:b/>
          <w:spacing w:val="-3"/>
          <w:sz w:val="22"/>
          <w:szCs w:val="22"/>
          <w:lang w:val="hr-HR"/>
        </w:rPr>
      </w:pPr>
    </w:p>
    <w:p w14:paraId="1748D9B4" w14:textId="77777777" w:rsidR="00382CF2" w:rsidRDefault="00054989">
      <w:pPr>
        <w:tabs>
          <w:tab w:val="left" w:pos="-720"/>
        </w:tabs>
        <w:jc w:val="both"/>
        <w:rPr>
          <w:rFonts w:ascii="Calibri" w:eastAsia="SimSun" w:hAnsi="Calibri" w:cs="Calibri"/>
          <w:b/>
          <w:spacing w:val="-3"/>
          <w:sz w:val="22"/>
          <w:szCs w:val="22"/>
          <w:lang w:val="hr-HR"/>
        </w:rPr>
      </w:pPr>
      <w:r>
        <w:rPr>
          <w:rFonts w:ascii="Calibri" w:eastAsia="SimSun" w:hAnsi="Calibri" w:cs="Calibri"/>
          <w:b/>
          <w:spacing w:val="-3"/>
          <w:sz w:val="22"/>
          <w:szCs w:val="22"/>
          <w:lang w:val="hr-HR"/>
        </w:rPr>
        <w:t xml:space="preserve">Uspješnost poslovanja </w:t>
      </w:r>
    </w:p>
    <w:p w14:paraId="1748D9B5" w14:textId="77777777" w:rsidR="00382CF2" w:rsidRDefault="00382CF2">
      <w:pPr>
        <w:ind w:right="-1"/>
        <w:jc w:val="both"/>
        <w:rPr>
          <w:rFonts w:ascii="Calibri" w:eastAsia="SimSun" w:hAnsi="Calibri" w:cs="Calibri"/>
          <w:sz w:val="22"/>
          <w:szCs w:val="22"/>
          <w:lang w:val="hr-HR"/>
        </w:rPr>
      </w:pPr>
    </w:p>
    <w:p w14:paraId="1748D9B6" w14:textId="4C9A290B" w:rsidR="00382CF2" w:rsidRDefault="00054989">
      <w:pPr>
        <w:tabs>
          <w:tab w:val="left" w:pos="-720"/>
        </w:tabs>
        <w:jc w:val="both"/>
        <w:rPr>
          <w:rFonts w:ascii="Calibri" w:eastAsia="SimSun" w:hAnsi="Calibri" w:cs="Calibri"/>
          <w:spacing w:val="-3"/>
          <w:sz w:val="22"/>
          <w:szCs w:val="22"/>
          <w:lang w:val="hr-HR"/>
        </w:rPr>
      </w:pPr>
      <w:r>
        <w:rPr>
          <w:rFonts w:ascii="Calibri" w:eastAsia="SimSun" w:hAnsi="Calibri" w:cs="Calibri"/>
          <w:spacing w:val="-3"/>
          <w:sz w:val="22"/>
          <w:szCs w:val="22"/>
          <w:lang w:val="hr-HR"/>
        </w:rPr>
        <w:t>U 2022.</w:t>
      </w:r>
      <w:r w:rsidR="00283D1D">
        <w:rPr>
          <w:rFonts w:ascii="Calibri" w:eastAsia="SimSun" w:hAnsi="Calibri" w:cs="Calibri"/>
          <w:spacing w:val="-3"/>
          <w:sz w:val="22"/>
          <w:szCs w:val="22"/>
          <w:lang w:val="hr-HR"/>
        </w:rPr>
        <w:t xml:space="preserve"> </w:t>
      </w:r>
      <w:r>
        <w:rPr>
          <w:rFonts w:ascii="Calibri" w:eastAsia="SimSun" w:hAnsi="Calibri" w:cs="Calibri"/>
          <w:spacing w:val="-3"/>
          <w:sz w:val="22"/>
          <w:szCs w:val="22"/>
          <w:lang w:val="hr-HR"/>
        </w:rPr>
        <w:t>HBOR je ostvario ukupne prihode u iznosu od 682,07 milijuna kuna, rashode u iznosu od 495,90 milijuna kuna i dobit u iznosu od 186,17 milijuna kuna. Dobit HBOR-a u 2022.</w:t>
      </w:r>
      <w:r w:rsidR="00283D1D">
        <w:rPr>
          <w:rFonts w:ascii="Calibri" w:eastAsia="SimSun" w:hAnsi="Calibri" w:cs="Calibri"/>
          <w:spacing w:val="-3"/>
          <w:sz w:val="22"/>
          <w:szCs w:val="22"/>
          <w:lang w:val="hr-HR"/>
        </w:rPr>
        <w:t xml:space="preserve"> </w:t>
      </w:r>
      <w:r>
        <w:rPr>
          <w:rFonts w:ascii="Calibri" w:eastAsia="SimSun" w:hAnsi="Calibri" w:cs="Calibri"/>
          <w:spacing w:val="-3"/>
          <w:sz w:val="22"/>
          <w:szCs w:val="22"/>
          <w:lang w:val="hr-HR"/>
        </w:rPr>
        <w:t>je za 0,91 milijuna kuna, odnosno 0,49 posto manja od dobiti za 2021. godinu.</w:t>
      </w:r>
    </w:p>
    <w:p w14:paraId="1748D9B7" w14:textId="77777777" w:rsidR="00382CF2" w:rsidRDefault="00382CF2">
      <w:pPr>
        <w:tabs>
          <w:tab w:val="left" w:pos="-720"/>
        </w:tabs>
        <w:jc w:val="both"/>
        <w:rPr>
          <w:rFonts w:ascii="Calibri" w:eastAsia="SimSun" w:hAnsi="Calibri" w:cs="Calibri"/>
          <w:spacing w:val="-3"/>
          <w:sz w:val="22"/>
          <w:szCs w:val="22"/>
          <w:lang w:val="hr-HR"/>
        </w:rPr>
      </w:pPr>
    </w:p>
    <w:p w14:paraId="1748D9B8" w14:textId="77777777" w:rsidR="00382CF2" w:rsidRDefault="00054989">
      <w:pPr>
        <w:tabs>
          <w:tab w:val="left" w:pos="-720"/>
        </w:tabs>
        <w:jc w:val="both"/>
        <w:rPr>
          <w:rFonts w:ascii="Calibri" w:eastAsia="SimSun" w:hAnsi="Calibri" w:cs="Calibri"/>
          <w:spacing w:val="-3"/>
          <w:sz w:val="22"/>
          <w:szCs w:val="22"/>
          <w:lang w:val="hr-HR"/>
        </w:rPr>
      </w:pPr>
      <w:r>
        <w:rPr>
          <w:rFonts w:ascii="Calibri" w:eastAsia="SimSun" w:hAnsi="Calibri" w:cs="Calibri"/>
          <w:spacing w:val="-3"/>
          <w:sz w:val="22"/>
          <w:szCs w:val="22"/>
          <w:lang w:val="hr-HR"/>
        </w:rPr>
        <w:t>U nastavku se daju najznačajnije okolnosti koje su utjecale na smanjenje dobiti u 2022. u odnosu na 2021.:</w:t>
      </w:r>
    </w:p>
    <w:p w14:paraId="1748D9B9" w14:textId="77777777" w:rsidR="00382CF2" w:rsidRDefault="00382CF2">
      <w:pPr>
        <w:tabs>
          <w:tab w:val="left" w:pos="-720"/>
        </w:tabs>
        <w:jc w:val="both"/>
        <w:rPr>
          <w:rFonts w:ascii="Calibri" w:eastAsia="SimSun" w:hAnsi="Calibri" w:cs="Calibri"/>
          <w:spacing w:val="-3"/>
          <w:sz w:val="22"/>
          <w:szCs w:val="22"/>
          <w:lang w:val="hr-HR"/>
        </w:rPr>
      </w:pPr>
    </w:p>
    <w:p w14:paraId="1748D9BA" w14:textId="77777777" w:rsidR="00382CF2" w:rsidRDefault="00054989">
      <w:pPr>
        <w:numPr>
          <w:ilvl w:val="0"/>
          <w:numId w:val="23"/>
        </w:numPr>
        <w:tabs>
          <w:tab w:val="left" w:pos="-2160"/>
        </w:tabs>
        <w:spacing w:after="160" w:line="276" w:lineRule="auto"/>
        <w:jc w:val="both"/>
        <w:textAlignment w:val="baseline"/>
        <w:rPr>
          <w:rFonts w:ascii="Calibri" w:eastAsia="SimSun" w:hAnsi="Calibri" w:cs="Calibri"/>
          <w:sz w:val="22"/>
          <w:szCs w:val="22"/>
          <w:lang w:val="hr-HR"/>
        </w:rPr>
      </w:pPr>
      <w:r>
        <w:rPr>
          <w:rFonts w:ascii="Calibri" w:eastAsia="SimSun" w:hAnsi="Calibri" w:cs="Calibri"/>
          <w:sz w:val="22"/>
          <w:szCs w:val="22"/>
          <w:lang w:val="hr-HR"/>
        </w:rPr>
        <w:t>manje ostvarenje prihoda od kamata za 48,29 milijuna kuna,</w:t>
      </w:r>
    </w:p>
    <w:p w14:paraId="1748D9BB" w14:textId="77777777" w:rsidR="00382CF2" w:rsidRDefault="00054989">
      <w:pPr>
        <w:numPr>
          <w:ilvl w:val="0"/>
          <w:numId w:val="23"/>
        </w:numPr>
        <w:tabs>
          <w:tab w:val="left" w:pos="-2160"/>
        </w:tabs>
        <w:spacing w:after="160" w:line="276" w:lineRule="auto"/>
        <w:jc w:val="both"/>
        <w:textAlignment w:val="baseline"/>
      </w:pPr>
      <w:r>
        <w:rPr>
          <w:rStyle w:val="Zadanifontodlomka1"/>
          <w:rFonts w:ascii="Calibri" w:eastAsia="SimSun" w:hAnsi="Calibri" w:cs="Calibri"/>
          <w:bCs/>
          <w:spacing w:val="-3"/>
          <w:sz w:val="22"/>
          <w:szCs w:val="22"/>
          <w:lang w:val="hr-HR"/>
        </w:rPr>
        <w:t xml:space="preserve">manje ostvarenje rashoda od kamata za 26,20 milijuna kuna, </w:t>
      </w:r>
    </w:p>
    <w:p w14:paraId="1748D9BC" w14:textId="77777777" w:rsidR="00382CF2" w:rsidRDefault="00054989">
      <w:pPr>
        <w:numPr>
          <w:ilvl w:val="0"/>
          <w:numId w:val="23"/>
        </w:numPr>
        <w:tabs>
          <w:tab w:val="left" w:pos="-2160"/>
        </w:tabs>
        <w:spacing w:after="160" w:line="276" w:lineRule="auto"/>
        <w:jc w:val="both"/>
        <w:textAlignment w:val="baseline"/>
      </w:pPr>
      <w:r>
        <w:rPr>
          <w:rStyle w:val="Zadanifontodlomka1"/>
          <w:rFonts w:ascii="Calibri" w:eastAsia="SimSun" w:hAnsi="Calibri" w:cs="Calibri"/>
          <w:bCs/>
          <w:spacing w:val="-3"/>
          <w:sz w:val="22"/>
          <w:szCs w:val="22"/>
          <w:lang w:val="hr-HR"/>
        </w:rPr>
        <w:t>manje ostvarenje neto prihoda od naknada i provizija za 4,05 milijuna kuna,</w:t>
      </w:r>
    </w:p>
    <w:p w14:paraId="1748D9BD" w14:textId="77777777" w:rsidR="00382CF2" w:rsidRDefault="00054989">
      <w:pPr>
        <w:numPr>
          <w:ilvl w:val="0"/>
          <w:numId w:val="23"/>
        </w:numPr>
        <w:tabs>
          <w:tab w:val="left" w:pos="-2160"/>
        </w:tabs>
        <w:spacing w:after="160" w:line="276" w:lineRule="auto"/>
        <w:jc w:val="both"/>
        <w:textAlignment w:val="baseline"/>
      </w:pPr>
      <w:r>
        <w:rPr>
          <w:rStyle w:val="Zadanifontodlomka1"/>
          <w:rFonts w:ascii="Calibri" w:eastAsia="SimSun" w:hAnsi="Calibri" w:cs="Calibri"/>
          <w:bCs/>
          <w:spacing w:val="-3"/>
          <w:sz w:val="22"/>
          <w:szCs w:val="22"/>
          <w:lang w:val="hr-HR"/>
        </w:rPr>
        <w:t>veće ostvarenje neto prihoda od financijskih aktivnosti za 28,57 milijuna kuna (u 2022. godini ostvarene je neto prihod od financijskih aktivnosti u iznosu od 16,73 milijuna kuna, dok su u 2021. godini ostvareni neto rashodi od financijskih aktivnosti u visini od 11,84 milijuna kuna),</w:t>
      </w:r>
    </w:p>
    <w:p w14:paraId="1748D9BE" w14:textId="77777777" w:rsidR="00382CF2" w:rsidRDefault="00054989">
      <w:pPr>
        <w:numPr>
          <w:ilvl w:val="0"/>
          <w:numId w:val="23"/>
        </w:numPr>
        <w:tabs>
          <w:tab w:val="left" w:pos="-2160"/>
        </w:tabs>
        <w:spacing w:after="160" w:line="276" w:lineRule="auto"/>
        <w:jc w:val="both"/>
        <w:textAlignment w:val="baseline"/>
      </w:pPr>
      <w:r>
        <w:rPr>
          <w:rStyle w:val="Zadanifontodlomka1"/>
          <w:rFonts w:ascii="Calibri" w:eastAsia="SimSun" w:hAnsi="Calibri" w:cs="Calibri"/>
          <w:spacing w:val="-3"/>
          <w:sz w:val="22"/>
          <w:szCs w:val="22"/>
          <w:lang w:val="hr-HR"/>
        </w:rPr>
        <w:t xml:space="preserve">veće ostvarenje </w:t>
      </w:r>
      <w:r>
        <w:rPr>
          <w:rStyle w:val="Zadanifontodlomka1"/>
          <w:rFonts w:ascii="Calibri" w:eastAsia="SimSun" w:hAnsi="Calibri" w:cs="Calibri"/>
          <w:bCs/>
          <w:spacing w:val="-3"/>
          <w:sz w:val="22"/>
          <w:szCs w:val="22"/>
          <w:lang w:val="hr-HR"/>
        </w:rPr>
        <w:t>operativnih troškova</w:t>
      </w:r>
      <w:r>
        <w:rPr>
          <w:rStyle w:val="Zadanifontodlomka1"/>
          <w:rFonts w:ascii="Calibri" w:eastAsia="SimSun" w:hAnsi="Calibri" w:cs="Calibri"/>
          <w:spacing w:val="-3"/>
          <w:sz w:val="22"/>
          <w:szCs w:val="22"/>
          <w:lang w:val="hr-HR"/>
        </w:rPr>
        <w:t xml:space="preserve"> za 12,10 milijuna kuna, </w:t>
      </w:r>
    </w:p>
    <w:p w14:paraId="1748D9BF" w14:textId="69CEC3A4" w:rsidR="00382CF2" w:rsidRDefault="00054989">
      <w:pPr>
        <w:numPr>
          <w:ilvl w:val="0"/>
          <w:numId w:val="23"/>
        </w:numPr>
        <w:spacing w:after="160" w:line="276" w:lineRule="auto"/>
        <w:textAlignment w:val="baseline"/>
        <w:rPr>
          <w:rFonts w:ascii="Calibri" w:eastAsia="SimSun" w:hAnsi="Calibri" w:cs="Calibri"/>
          <w:spacing w:val="-3"/>
          <w:sz w:val="22"/>
          <w:szCs w:val="22"/>
          <w:lang w:val="hr-HR"/>
        </w:rPr>
      </w:pPr>
      <w:r>
        <w:rPr>
          <w:rFonts w:ascii="Calibri" w:eastAsia="SimSun" w:hAnsi="Calibri" w:cs="Calibri"/>
          <w:spacing w:val="-3"/>
          <w:sz w:val="22"/>
          <w:szCs w:val="22"/>
          <w:lang w:val="hr-HR"/>
        </w:rPr>
        <w:t>manje ostvarenje gubitka od umanjenja vrijednosti i rezerviranja za 18,57 milijuna kuna u odnosu na 2021.</w:t>
      </w:r>
      <w:r w:rsidR="00655550">
        <w:rPr>
          <w:rFonts w:ascii="Calibri" w:eastAsia="SimSun" w:hAnsi="Calibri" w:cs="Calibri"/>
          <w:spacing w:val="-3"/>
          <w:sz w:val="22"/>
          <w:szCs w:val="22"/>
          <w:lang w:val="hr-HR"/>
        </w:rPr>
        <w:t xml:space="preserve"> godinu</w:t>
      </w:r>
      <w:r>
        <w:rPr>
          <w:rFonts w:ascii="Calibri" w:eastAsia="SimSun" w:hAnsi="Calibri" w:cs="Calibri"/>
          <w:spacing w:val="-3"/>
          <w:sz w:val="22"/>
          <w:szCs w:val="22"/>
          <w:lang w:val="hr-HR"/>
        </w:rPr>
        <w:t>,</w:t>
      </w:r>
    </w:p>
    <w:p w14:paraId="1748D9C0" w14:textId="77777777" w:rsidR="00382CF2" w:rsidRDefault="00054989">
      <w:pPr>
        <w:numPr>
          <w:ilvl w:val="0"/>
          <w:numId w:val="23"/>
        </w:numPr>
        <w:spacing w:after="160" w:line="276" w:lineRule="auto"/>
        <w:textAlignment w:val="baseline"/>
        <w:rPr>
          <w:rFonts w:ascii="Calibri" w:eastAsia="SimSun" w:hAnsi="Calibri" w:cs="Calibri"/>
          <w:spacing w:val="-3"/>
          <w:sz w:val="22"/>
          <w:szCs w:val="22"/>
          <w:lang w:val="hr-HR"/>
        </w:rPr>
      </w:pPr>
      <w:r>
        <w:rPr>
          <w:rFonts w:ascii="Calibri" w:eastAsia="SimSun" w:hAnsi="Calibri" w:cs="Calibri"/>
          <w:spacing w:val="-3"/>
          <w:sz w:val="22"/>
          <w:szCs w:val="22"/>
          <w:lang w:val="hr-HR"/>
        </w:rPr>
        <w:t>manje ostvarenje ostalih prihoda za 9,81 milijuna kuna.</w:t>
      </w:r>
    </w:p>
    <w:p w14:paraId="1748D9C2" w14:textId="569688B7" w:rsidR="00382CF2" w:rsidRDefault="00054989">
      <w:pPr>
        <w:tabs>
          <w:tab w:val="left" w:pos="-720"/>
        </w:tabs>
        <w:jc w:val="both"/>
        <w:rPr>
          <w:rFonts w:ascii="Calibri" w:eastAsia="SimSun" w:hAnsi="Calibri" w:cs="Calibri"/>
          <w:spacing w:val="-3"/>
          <w:sz w:val="22"/>
          <w:szCs w:val="22"/>
          <w:lang w:val="hr-HR"/>
        </w:rPr>
      </w:pPr>
      <w:r>
        <w:rPr>
          <w:rFonts w:ascii="Calibri" w:eastAsia="SimSun" w:hAnsi="Calibri" w:cs="Calibri"/>
          <w:spacing w:val="-3"/>
          <w:sz w:val="22"/>
          <w:szCs w:val="22"/>
          <w:lang w:val="hr-HR"/>
        </w:rPr>
        <w:t>Detaljniji opis trendova daje se kod svake kategorije zasebno</w:t>
      </w:r>
      <w:r w:rsidR="00655550">
        <w:rPr>
          <w:rFonts w:ascii="Calibri" w:eastAsia="SimSun" w:hAnsi="Calibri" w:cs="Calibri"/>
          <w:spacing w:val="-3"/>
          <w:sz w:val="22"/>
          <w:szCs w:val="22"/>
          <w:lang w:val="hr-HR"/>
        </w:rPr>
        <w:t xml:space="preserve"> grafikonima</w:t>
      </w:r>
      <w:r>
        <w:rPr>
          <w:rFonts w:ascii="Calibri" w:eastAsia="SimSun" w:hAnsi="Calibri" w:cs="Calibri"/>
          <w:spacing w:val="-3"/>
          <w:sz w:val="22"/>
          <w:szCs w:val="22"/>
          <w:lang w:val="hr-HR"/>
        </w:rPr>
        <w:t xml:space="preserve"> u nastavku.</w:t>
      </w:r>
    </w:p>
    <w:p w14:paraId="1748D9C3" w14:textId="77777777" w:rsidR="00382CF2" w:rsidRDefault="00382CF2">
      <w:pPr>
        <w:tabs>
          <w:tab w:val="left" w:pos="-720"/>
        </w:tabs>
        <w:jc w:val="both"/>
        <w:rPr>
          <w:rFonts w:ascii="Calibri" w:eastAsia="SimSun" w:hAnsi="Calibri" w:cs="Calibri"/>
          <w:spacing w:val="-3"/>
          <w:sz w:val="22"/>
          <w:szCs w:val="22"/>
          <w:lang w:val="hr-HR"/>
        </w:rPr>
      </w:pPr>
    </w:p>
    <w:p w14:paraId="1748D9C5" w14:textId="2655FF72" w:rsidR="003B6068" w:rsidRDefault="003B6068">
      <w:pPr>
        <w:suppressAutoHyphens w:val="0"/>
        <w:rPr>
          <w:rFonts w:ascii="Calibri" w:eastAsia="SimSun" w:hAnsi="Calibri" w:cs="Calibri"/>
          <w:sz w:val="22"/>
          <w:szCs w:val="22"/>
          <w:lang w:val="hr-HR"/>
        </w:rPr>
      </w:pPr>
      <w:r>
        <w:rPr>
          <w:rFonts w:ascii="Calibri" w:eastAsia="SimSun" w:hAnsi="Calibri" w:cs="Calibri"/>
          <w:sz w:val="22"/>
          <w:szCs w:val="22"/>
          <w:lang w:val="hr-HR"/>
        </w:rPr>
        <w:br w:type="page"/>
      </w:r>
    </w:p>
    <w:p w14:paraId="4C3591A7" w14:textId="77777777" w:rsidR="00382CF2" w:rsidRDefault="00382CF2">
      <w:pPr>
        <w:tabs>
          <w:tab w:val="left" w:pos="-720"/>
        </w:tabs>
        <w:ind w:left="-284" w:right="-426"/>
        <w:rPr>
          <w:rFonts w:ascii="Calibri" w:eastAsia="SimSun" w:hAnsi="Calibri" w:cs="Calibri"/>
          <w:sz w:val="22"/>
          <w:szCs w:val="22"/>
          <w:lang w:val="hr-HR"/>
        </w:rPr>
      </w:pPr>
    </w:p>
    <w:p w14:paraId="1748D9C6" w14:textId="77777777" w:rsidR="00382CF2" w:rsidRDefault="00054989">
      <w:pPr>
        <w:tabs>
          <w:tab w:val="left" w:pos="-720"/>
        </w:tabs>
        <w:ind w:left="-284" w:right="-426"/>
      </w:pPr>
      <w:r>
        <w:rPr>
          <w:rStyle w:val="Zadanifontodlomka1"/>
          <w:rFonts w:ascii="Calibri" w:hAnsi="Calibri" w:cs="Calibri"/>
          <w:b/>
          <w:i/>
          <w:spacing w:val="-3"/>
          <w:sz w:val="22"/>
          <w:szCs w:val="22"/>
          <w:lang w:val="hr-HR" w:eastAsia="hr-HR"/>
        </w:rPr>
        <w:t xml:space="preserve">           </w:t>
      </w:r>
      <w:r>
        <w:rPr>
          <w:rStyle w:val="Zadanifontodlomka1"/>
          <w:rFonts w:ascii="Calibri" w:hAnsi="Calibri" w:cs="Calibri"/>
          <w:b/>
          <w:i/>
          <w:noProof/>
          <w:spacing w:val="-3"/>
          <w:sz w:val="22"/>
          <w:szCs w:val="22"/>
          <w:lang w:val="hr-HR" w:eastAsia="hr-HR"/>
        </w:rPr>
        <w:drawing>
          <wp:inline distT="0" distB="0" distL="0" distR="0" wp14:anchorId="1748D662" wp14:editId="6D1D18B3">
            <wp:extent cx="2642870" cy="3179445"/>
            <wp:effectExtent l="0" t="0" r="5080" b="1905"/>
            <wp:docPr id="21"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2643237" cy="3179887"/>
                    </a:xfrm>
                    <a:prstGeom prst="rect">
                      <a:avLst/>
                    </a:prstGeom>
                    <a:noFill/>
                    <a:ln>
                      <a:noFill/>
                      <a:prstDash/>
                    </a:ln>
                  </pic:spPr>
                </pic:pic>
              </a:graphicData>
            </a:graphic>
          </wp:inline>
        </w:drawing>
      </w:r>
      <w:r>
        <w:rPr>
          <w:rStyle w:val="Zadanifontodlomka1"/>
          <w:rFonts w:ascii="Calibri" w:hAnsi="Calibri" w:cs="Calibri"/>
          <w:b/>
          <w:i/>
          <w:spacing w:val="-3"/>
          <w:sz w:val="22"/>
          <w:szCs w:val="22"/>
          <w:lang w:val="hr-HR" w:eastAsia="hr-HR"/>
        </w:rPr>
        <w:t xml:space="preserve">   </w:t>
      </w:r>
      <w:r>
        <w:rPr>
          <w:rStyle w:val="Zadanifontodlomka1"/>
          <w:rFonts w:ascii="Calibri" w:hAnsi="Calibri" w:cs="Calibri"/>
          <w:b/>
          <w:i/>
          <w:noProof/>
          <w:spacing w:val="-3"/>
          <w:sz w:val="22"/>
          <w:szCs w:val="22"/>
          <w:lang w:val="hr-HR" w:eastAsia="hr-HR"/>
        </w:rPr>
        <w:drawing>
          <wp:inline distT="0" distB="0" distL="0" distR="0" wp14:anchorId="1748D664" wp14:editId="1748D665">
            <wp:extent cx="2714250" cy="3189088"/>
            <wp:effectExtent l="0" t="0" r="0" b="0"/>
            <wp:docPr id="22"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714250" cy="3189088"/>
                    </a:xfrm>
                    <a:prstGeom prst="rect">
                      <a:avLst/>
                    </a:prstGeom>
                    <a:noFill/>
                    <a:ln>
                      <a:noFill/>
                      <a:prstDash/>
                    </a:ln>
                  </pic:spPr>
                </pic:pic>
              </a:graphicData>
            </a:graphic>
          </wp:inline>
        </w:drawing>
      </w:r>
    </w:p>
    <w:p w14:paraId="1748D9C7" w14:textId="77777777" w:rsidR="00382CF2" w:rsidRDefault="00054989">
      <w:pPr>
        <w:tabs>
          <w:tab w:val="left" w:pos="-720"/>
        </w:tabs>
        <w:ind w:left="-284" w:right="-426"/>
        <w:rPr>
          <w:rFonts w:ascii="Calibri" w:hAnsi="Calibri" w:cs="Calibri"/>
          <w:b/>
          <w:i/>
          <w:spacing w:val="-3"/>
          <w:sz w:val="22"/>
          <w:szCs w:val="22"/>
          <w:lang w:val="hr-HR" w:eastAsia="hr-HR"/>
        </w:rPr>
      </w:pPr>
      <w:r>
        <w:rPr>
          <w:rFonts w:ascii="Calibri" w:hAnsi="Calibri" w:cs="Calibri"/>
          <w:b/>
          <w:i/>
          <w:spacing w:val="-3"/>
          <w:sz w:val="22"/>
          <w:szCs w:val="22"/>
          <w:lang w:val="hr-HR" w:eastAsia="hr-HR"/>
        </w:rPr>
        <w:t xml:space="preserve">  </w:t>
      </w:r>
    </w:p>
    <w:p w14:paraId="1748D9C8" w14:textId="77777777" w:rsidR="00382CF2" w:rsidRDefault="00054989">
      <w:pPr>
        <w:tabs>
          <w:tab w:val="left" w:pos="-720"/>
        </w:tabs>
        <w:ind w:left="-284" w:right="-426"/>
      </w:pPr>
      <w:r>
        <w:rPr>
          <w:rStyle w:val="Zadanifontodlomka1"/>
          <w:rFonts w:ascii="Calibri" w:hAnsi="Calibri" w:cs="Calibri"/>
          <w:b/>
          <w:i/>
          <w:spacing w:val="-3"/>
          <w:sz w:val="22"/>
          <w:szCs w:val="22"/>
          <w:lang w:val="hr-HR" w:eastAsia="hr-HR"/>
        </w:rPr>
        <w:t xml:space="preserve">       </w:t>
      </w:r>
    </w:p>
    <w:p w14:paraId="1748D9C9" w14:textId="77777777" w:rsidR="00382CF2" w:rsidRDefault="00054989">
      <w:pPr>
        <w:tabs>
          <w:tab w:val="left" w:pos="-720"/>
        </w:tabs>
        <w:ind w:left="-284" w:right="-426"/>
      </w:pPr>
      <w:r>
        <w:rPr>
          <w:rStyle w:val="Zadanifontodlomka1"/>
          <w:rFonts w:ascii="Calibri" w:hAnsi="Calibri" w:cs="Calibri"/>
          <w:b/>
          <w:i/>
          <w:spacing w:val="-3"/>
          <w:sz w:val="22"/>
          <w:szCs w:val="22"/>
          <w:lang w:val="hr-HR" w:eastAsia="hr-HR"/>
        </w:rPr>
        <w:t xml:space="preserve">          </w:t>
      </w:r>
      <w:r>
        <w:rPr>
          <w:rStyle w:val="Zadanifontodlomka1"/>
          <w:rFonts w:ascii="Calibri" w:hAnsi="Calibri" w:cs="Calibri"/>
          <w:b/>
          <w:i/>
          <w:noProof/>
          <w:spacing w:val="-3"/>
          <w:sz w:val="22"/>
          <w:szCs w:val="22"/>
          <w:lang w:val="hr-HR" w:eastAsia="hr-HR"/>
        </w:rPr>
        <w:drawing>
          <wp:inline distT="0" distB="0" distL="0" distR="0" wp14:anchorId="1748D666" wp14:editId="0103E953">
            <wp:extent cx="2736850" cy="3268345"/>
            <wp:effectExtent l="0" t="0" r="6350" b="8255"/>
            <wp:docPr id="23"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2737228" cy="3268796"/>
                    </a:xfrm>
                    <a:prstGeom prst="rect">
                      <a:avLst/>
                    </a:prstGeom>
                    <a:noFill/>
                    <a:ln>
                      <a:noFill/>
                      <a:prstDash/>
                    </a:ln>
                  </pic:spPr>
                </pic:pic>
              </a:graphicData>
            </a:graphic>
          </wp:inline>
        </w:drawing>
      </w:r>
      <w:r>
        <w:rPr>
          <w:rStyle w:val="Zadanifontodlomka1"/>
          <w:rFonts w:ascii="Calibri" w:hAnsi="Calibri" w:cs="Calibri"/>
          <w:b/>
          <w:i/>
          <w:spacing w:val="-3"/>
          <w:sz w:val="22"/>
          <w:szCs w:val="22"/>
          <w:lang w:val="hr-HR" w:eastAsia="hr-HR"/>
        </w:rPr>
        <w:t xml:space="preserve">  </w:t>
      </w:r>
      <w:r>
        <w:rPr>
          <w:rStyle w:val="Zadanifontodlomka1"/>
          <w:rFonts w:ascii="Calibri" w:hAnsi="Calibri" w:cs="Calibri"/>
          <w:b/>
          <w:i/>
          <w:noProof/>
          <w:spacing w:val="-3"/>
          <w:sz w:val="22"/>
          <w:szCs w:val="22"/>
          <w:lang w:val="hr-HR" w:eastAsia="hr-HR"/>
        </w:rPr>
        <w:drawing>
          <wp:inline distT="0" distB="0" distL="0" distR="0" wp14:anchorId="1748D668" wp14:editId="1748D669">
            <wp:extent cx="2687878" cy="3268714"/>
            <wp:effectExtent l="0" t="0" r="0" b="7886"/>
            <wp:docPr id="24"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687878" cy="3268714"/>
                    </a:xfrm>
                    <a:prstGeom prst="rect">
                      <a:avLst/>
                    </a:prstGeom>
                    <a:noFill/>
                    <a:ln>
                      <a:noFill/>
                      <a:prstDash/>
                    </a:ln>
                  </pic:spPr>
                </pic:pic>
              </a:graphicData>
            </a:graphic>
          </wp:inline>
        </w:drawing>
      </w:r>
    </w:p>
    <w:p w14:paraId="1748D9CA" w14:textId="77777777" w:rsidR="00382CF2" w:rsidRDefault="00054989">
      <w:pPr>
        <w:tabs>
          <w:tab w:val="left" w:pos="-720"/>
        </w:tabs>
        <w:ind w:left="-284" w:right="-426"/>
        <w:rPr>
          <w:rFonts w:ascii="Calibri" w:hAnsi="Calibri" w:cs="Calibri"/>
          <w:b/>
          <w:i/>
          <w:spacing w:val="-3"/>
          <w:sz w:val="22"/>
          <w:szCs w:val="22"/>
          <w:lang w:val="hr-HR" w:eastAsia="hr-HR"/>
        </w:rPr>
      </w:pPr>
      <w:r>
        <w:rPr>
          <w:rFonts w:ascii="Calibri" w:hAnsi="Calibri" w:cs="Calibri"/>
          <w:b/>
          <w:i/>
          <w:spacing w:val="-3"/>
          <w:sz w:val="22"/>
          <w:szCs w:val="22"/>
          <w:lang w:val="hr-HR" w:eastAsia="hr-HR"/>
        </w:rPr>
        <w:t xml:space="preserve">        </w:t>
      </w:r>
    </w:p>
    <w:p w14:paraId="1748D9D0" w14:textId="77777777" w:rsidR="00382CF2" w:rsidRDefault="00382CF2">
      <w:pPr>
        <w:tabs>
          <w:tab w:val="left" w:pos="-720"/>
        </w:tabs>
        <w:ind w:left="-426" w:right="-285"/>
        <w:jc w:val="both"/>
        <w:rPr>
          <w:rFonts w:ascii="Calibri" w:hAnsi="Calibri" w:cs="Calibri"/>
          <w:b/>
          <w:i/>
          <w:spacing w:val="-3"/>
          <w:sz w:val="22"/>
          <w:szCs w:val="22"/>
          <w:lang w:val="hr-HR" w:eastAsia="hr-HR"/>
        </w:rPr>
      </w:pPr>
    </w:p>
    <w:p w14:paraId="0B9116C6" w14:textId="77777777" w:rsidR="00FF7DAA" w:rsidRDefault="00FF7DAA">
      <w:pPr>
        <w:suppressAutoHyphens w:val="0"/>
        <w:rPr>
          <w:rFonts w:ascii="Calibri" w:hAnsi="Calibri" w:cs="Calibri"/>
          <w:b/>
          <w:i/>
          <w:spacing w:val="-3"/>
          <w:sz w:val="22"/>
          <w:szCs w:val="22"/>
          <w:lang w:val="hr-HR" w:eastAsia="hr-HR"/>
        </w:rPr>
      </w:pPr>
      <w:r>
        <w:rPr>
          <w:rFonts w:ascii="Calibri" w:hAnsi="Calibri" w:cs="Calibri"/>
          <w:b/>
          <w:i/>
          <w:spacing w:val="-3"/>
          <w:sz w:val="22"/>
          <w:szCs w:val="22"/>
          <w:lang w:val="hr-HR" w:eastAsia="hr-HR"/>
        </w:rPr>
        <w:br w:type="page"/>
      </w:r>
    </w:p>
    <w:p w14:paraId="1748D9D2" w14:textId="54A9A7A4" w:rsidR="00382CF2" w:rsidRDefault="00054989">
      <w:pPr>
        <w:tabs>
          <w:tab w:val="left" w:pos="-720"/>
        </w:tabs>
        <w:jc w:val="both"/>
        <w:rPr>
          <w:rFonts w:ascii="Calibri" w:hAnsi="Calibri" w:cs="Calibri"/>
          <w:b/>
          <w:i/>
          <w:spacing w:val="-3"/>
          <w:sz w:val="22"/>
          <w:szCs w:val="22"/>
          <w:lang w:val="hr-HR" w:eastAsia="hr-HR"/>
        </w:rPr>
      </w:pPr>
      <w:r>
        <w:rPr>
          <w:rFonts w:ascii="Calibri" w:hAnsi="Calibri" w:cs="Calibri"/>
          <w:b/>
          <w:i/>
          <w:spacing w:val="-3"/>
          <w:sz w:val="22"/>
          <w:szCs w:val="22"/>
          <w:lang w:val="hr-HR" w:eastAsia="hr-HR"/>
        </w:rPr>
        <w:lastRenderedPageBreak/>
        <w:t>Neto prihodi od kamata</w:t>
      </w:r>
    </w:p>
    <w:p w14:paraId="1748D9D3" w14:textId="77777777" w:rsidR="00382CF2" w:rsidRDefault="00382CF2">
      <w:pPr>
        <w:tabs>
          <w:tab w:val="left" w:pos="-720"/>
        </w:tabs>
        <w:jc w:val="both"/>
        <w:textAlignment w:val="baseline"/>
        <w:rPr>
          <w:rFonts w:ascii="Calibri" w:hAnsi="Calibri" w:cs="Calibri"/>
          <w:b/>
          <w:i/>
          <w:spacing w:val="-3"/>
          <w:sz w:val="22"/>
          <w:szCs w:val="22"/>
          <w:lang w:val="hr-HR" w:eastAsia="hr-HR"/>
        </w:rPr>
      </w:pPr>
    </w:p>
    <w:p w14:paraId="1748D9D4" w14:textId="77777777" w:rsidR="00382CF2" w:rsidRDefault="00054989">
      <w:pPr>
        <w:tabs>
          <w:tab w:val="left" w:pos="-720"/>
        </w:tabs>
        <w:spacing w:line="276" w:lineRule="auto"/>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 xml:space="preserve">Neto kamatni prihodi ostvareni su u iznosu od 469,47 milijuna kuna i u odnosu na ostvarenje prethodne izvještajne godine manji su za 4,49 posto zbog smanjenja prihoda od kamata za 48,29 milijuna kuna te smanjenja rashoda od kamata za 26,20 milijuna kuna. </w:t>
      </w:r>
    </w:p>
    <w:p w14:paraId="1748D9D5" w14:textId="72D8B560" w:rsidR="00382CF2" w:rsidRDefault="00054989">
      <w:pPr>
        <w:spacing w:line="276" w:lineRule="auto"/>
        <w:jc w:val="both"/>
        <w:textAlignment w:val="baseline"/>
      </w:pPr>
      <w:r>
        <w:rPr>
          <w:rStyle w:val="Zadanifontodlomka1"/>
          <w:rFonts w:ascii="Calibri" w:eastAsia="Calibri" w:hAnsi="Calibri" w:cs="Calibri"/>
          <w:spacing w:val="-3"/>
          <w:sz w:val="22"/>
          <w:szCs w:val="22"/>
          <w:lang w:val="hr-HR"/>
        </w:rPr>
        <w:t>Prihodi od kamata</w:t>
      </w:r>
      <w:r w:rsidR="00482B77">
        <w:rPr>
          <w:rStyle w:val="Zadanifontodlomka1"/>
          <w:rFonts w:ascii="Calibri" w:eastAsia="Calibri" w:hAnsi="Calibri" w:cs="Calibri"/>
          <w:spacing w:val="-3"/>
          <w:sz w:val="22"/>
          <w:szCs w:val="22"/>
          <w:lang w:val="hr-HR"/>
        </w:rPr>
        <w:t>,</w:t>
      </w:r>
      <w:r>
        <w:rPr>
          <w:rStyle w:val="Zadanifontodlomka1"/>
          <w:rFonts w:ascii="Calibri" w:eastAsia="Calibri" w:hAnsi="Calibri" w:cs="Calibri"/>
          <w:spacing w:val="-3"/>
          <w:sz w:val="22"/>
          <w:szCs w:val="22"/>
          <w:lang w:val="hr-HR"/>
        </w:rPr>
        <w:t xml:space="preserve"> izračunati metodom efektivne kamatne stope</w:t>
      </w:r>
      <w:r w:rsidR="00482B77">
        <w:rPr>
          <w:rStyle w:val="Zadanifontodlomka1"/>
          <w:rFonts w:ascii="Calibri" w:eastAsia="Calibri" w:hAnsi="Calibri" w:cs="Calibri"/>
          <w:spacing w:val="-3"/>
          <w:sz w:val="22"/>
          <w:szCs w:val="22"/>
          <w:lang w:val="hr-HR"/>
        </w:rPr>
        <w:t>,</w:t>
      </w:r>
      <w:r>
        <w:rPr>
          <w:rStyle w:val="Zadanifontodlomka1"/>
          <w:rFonts w:ascii="Calibri" w:eastAsia="Calibri" w:hAnsi="Calibri" w:cs="Calibri"/>
          <w:spacing w:val="-3"/>
          <w:sz w:val="22"/>
          <w:szCs w:val="22"/>
          <w:lang w:val="hr-HR"/>
        </w:rPr>
        <w:t xml:space="preserve"> ostvareni su u iznosu od 627,88 milijuna kuna i manji su u odnosu na prethodnu godinu za 7,14 posto što je najvećim dijelom rezultat manje efektivne kamatne stope u 2022. u odnosu na 2021. </w:t>
      </w:r>
      <w:r>
        <w:rPr>
          <w:rStyle w:val="Zadanifontodlomka1"/>
          <w:rFonts w:ascii="Calibri" w:eastAsia="Calibri" w:hAnsi="Calibri" w:cs="Calibri"/>
          <w:color w:val="000000"/>
          <w:spacing w:val="-3"/>
          <w:sz w:val="22"/>
          <w:szCs w:val="22"/>
          <w:lang w:val="hr-HR"/>
        </w:rPr>
        <w:t>godinu.</w:t>
      </w:r>
    </w:p>
    <w:p w14:paraId="1748D9D6" w14:textId="77777777" w:rsidR="00382CF2" w:rsidRDefault="00382CF2">
      <w:pPr>
        <w:tabs>
          <w:tab w:val="left" w:pos="-720"/>
        </w:tabs>
        <w:spacing w:line="276" w:lineRule="auto"/>
        <w:jc w:val="both"/>
        <w:textAlignment w:val="baseline"/>
        <w:rPr>
          <w:rFonts w:ascii="Calibri" w:eastAsia="Calibri" w:hAnsi="Calibri" w:cs="Calibri"/>
          <w:color w:val="000000"/>
          <w:spacing w:val="-3"/>
          <w:sz w:val="22"/>
          <w:szCs w:val="22"/>
          <w:lang w:val="hr-HR"/>
        </w:rPr>
      </w:pPr>
    </w:p>
    <w:p w14:paraId="1748D9D7" w14:textId="77777777" w:rsidR="00382CF2" w:rsidRDefault="00054989">
      <w:pPr>
        <w:tabs>
          <w:tab w:val="left" w:pos="-720"/>
        </w:tabs>
        <w:spacing w:line="276" w:lineRule="auto"/>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Rashodi od kamata ostvareni su u iznosu od 158,41 milijuna kuna i manji su za 14,19 posto u odnosu na prethodnu izvještajnu godinu na što je najviše utjecalo razduživanje po kreditnim obvezama.</w:t>
      </w:r>
    </w:p>
    <w:p w14:paraId="1748D9D8" w14:textId="77777777" w:rsidR="00382CF2" w:rsidRDefault="00382CF2">
      <w:pPr>
        <w:tabs>
          <w:tab w:val="left" w:pos="-720"/>
        </w:tabs>
        <w:spacing w:line="276" w:lineRule="auto"/>
        <w:jc w:val="both"/>
        <w:textAlignment w:val="baseline"/>
        <w:rPr>
          <w:rFonts w:ascii="Calibri" w:eastAsia="Calibri" w:hAnsi="Calibri" w:cs="Calibri"/>
          <w:spacing w:val="-3"/>
          <w:sz w:val="22"/>
          <w:szCs w:val="22"/>
          <w:lang w:val="hr-HR"/>
        </w:rPr>
      </w:pPr>
    </w:p>
    <w:p w14:paraId="1748D9D9" w14:textId="77777777" w:rsidR="00382CF2" w:rsidRDefault="00054989">
      <w:pPr>
        <w:tabs>
          <w:tab w:val="left" w:pos="-720"/>
        </w:tabs>
        <w:spacing w:line="276" w:lineRule="auto"/>
        <w:jc w:val="both"/>
        <w:textAlignment w:val="baseline"/>
      </w:pPr>
      <w:r>
        <w:rPr>
          <w:rStyle w:val="Zadanifontodlomka1"/>
          <w:rFonts w:ascii="Calibri" w:eastAsia="Calibri" w:hAnsi="Calibri" w:cs="Calibri"/>
          <w:spacing w:val="-3"/>
          <w:sz w:val="22"/>
          <w:szCs w:val="22"/>
          <w:lang w:val="hr-HR"/>
        </w:rPr>
        <w:t>S obzirom na opisane trendove u kamatnim prihodima i kamatnim rashodima, neto kamatna marža smanjena je za 0,09 postotnih bodova u odnosu na prethodnu godinu i iznosi 1,64 posto.</w:t>
      </w:r>
    </w:p>
    <w:p w14:paraId="1748D9DA" w14:textId="77777777" w:rsidR="00382CF2" w:rsidRDefault="00382CF2">
      <w:pPr>
        <w:tabs>
          <w:tab w:val="left" w:pos="-720"/>
        </w:tabs>
        <w:jc w:val="both"/>
        <w:textAlignment w:val="baseline"/>
        <w:rPr>
          <w:rFonts w:ascii="Calibri" w:hAnsi="Calibri" w:cs="Calibri"/>
          <w:b/>
          <w:i/>
          <w:spacing w:val="-3"/>
          <w:sz w:val="22"/>
          <w:szCs w:val="22"/>
          <w:lang w:val="hr-HR" w:eastAsia="hr-HR"/>
        </w:rPr>
      </w:pPr>
    </w:p>
    <w:p w14:paraId="1748D9DB" w14:textId="77777777" w:rsidR="00382CF2" w:rsidRDefault="00054989">
      <w:pPr>
        <w:tabs>
          <w:tab w:val="left" w:pos="-720"/>
        </w:tabs>
        <w:jc w:val="both"/>
        <w:textAlignment w:val="baseline"/>
        <w:rPr>
          <w:rFonts w:ascii="Calibri" w:hAnsi="Calibri" w:cs="Calibri"/>
          <w:b/>
          <w:i/>
          <w:spacing w:val="-3"/>
          <w:sz w:val="22"/>
          <w:szCs w:val="22"/>
          <w:lang w:val="hr-HR" w:eastAsia="hr-HR"/>
        </w:rPr>
      </w:pPr>
      <w:r>
        <w:rPr>
          <w:rFonts w:ascii="Calibri" w:hAnsi="Calibri" w:cs="Calibri"/>
          <w:b/>
          <w:i/>
          <w:spacing w:val="-3"/>
          <w:sz w:val="22"/>
          <w:szCs w:val="22"/>
          <w:lang w:val="hr-HR" w:eastAsia="hr-HR"/>
        </w:rPr>
        <w:t>Neto prihod od naknada i provizija</w:t>
      </w:r>
    </w:p>
    <w:p w14:paraId="1748D9DC" w14:textId="77777777" w:rsidR="00382CF2" w:rsidRDefault="00382CF2">
      <w:pPr>
        <w:tabs>
          <w:tab w:val="left" w:pos="-720"/>
        </w:tabs>
        <w:jc w:val="both"/>
        <w:textAlignment w:val="baseline"/>
        <w:rPr>
          <w:rFonts w:ascii="Calibri" w:hAnsi="Calibri" w:cs="Calibri"/>
          <w:b/>
          <w:i/>
          <w:spacing w:val="-3"/>
          <w:sz w:val="22"/>
          <w:szCs w:val="22"/>
          <w:lang w:val="hr-HR" w:eastAsia="hr-HR"/>
        </w:rPr>
      </w:pPr>
    </w:p>
    <w:p w14:paraId="1748D9DD" w14:textId="0145C44D" w:rsidR="00382CF2" w:rsidRDefault="00054989">
      <w:pPr>
        <w:spacing w:line="276" w:lineRule="auto"/>
        <w:jc w:val="both"/>
        <w:rPr>
          <w:rStyle w:val="Zadanifontodlomka1"/>
          <w:rFonts w:ascii="Calibri" w:eastAsia="SimSun" w:hAnsi="Calibri" w:cs="Calibri"/>
          <w:spacing w:val="-3"/>
          <w:sz w:val="22"/>
          <w:szCs w:val="22"/>
          <w:lang w:val="hr-HR"/>
        </w:rPr>
      </w:pPr>
      <w:r>
        <w:rPr>
          <w:rStyle w:val="Zadanifontodlomka1"/>
          <w:rFonts w:ascii="Calibri" w:eastAsia="Calibri" w:hAnsi="Calibri" w:cs="Calibri"/>
          <w:spacing w:val="-3"/>
          <w:sz w:val="22"/>
          <w:szCs w:val="22"/>
          <w:lang w:val="hr-HR"/>
        </w:rPr>
        <w:t>Neto prihod od naknada i provizija ostvaren je u iznosu od 19,39 milijuna kuna i manji je za 17,28 posto u odnosu na prethodnu godinu zbog većeg smanjenja prihoda od naknada i provizija za 5,20 milijuna kuna u odnosu na smanjenje rashoda od naknada i provizija za 1,15 milijuna kuna.</w:t>
      </w:r>
      <w:r>
        <w:rPr>
          <w:rStyle w:val="Zadanifontodlomka1"/>
          <w:rFonts w:ascii="Calibri" w:eastAsia="SimSun" w:hAnsi="Calibri" w:cs="Calibri"/>
          <w:spacing w:val="-3"/>
          <w:sz w:val="22"/>
          <w:szCs w:val="22"/>
          <w:lang w:val="hr-HR"/>
        </w:rPr>
        <w:t xml:space="preserve"> Smanjenje prihoda od naknada i provizija rezultat je smanjenja prihoda od naknada po osnovi poslova u ime i za račun nalogodavaca.</w:t>
      </w:r>
    </w:p>
    <w:p w14:paraId="6C885D11" w14:textId="77777777" w:rsidR="00E0717E" w:rsidRDefault="00E0717E">
      <w:pPr>
        <w:spacing w:line="276" w:lineRule="auto"/>
        <w:jc w:val="both"/>
      </w:pPr>
    </w:p>
    <w:p w14:paraId="1748D9DE" w14:textId="121207CA" w:rsidR="00382CF2" w:rsidRDefault="00054989">
      <w:pPr>
        <w:spacing w:line="276" w:lineRule="auto"/>
        <w:jc w:val="both"/>
        <w:rPr>
          <w:rFonts w:ascii="Calibri" w:hAnsi="Calibri" w:cs="Calibri"/>
          <w:sz w:val="22"/>
          <w:szCs w:val="22"/>
          <w:lang w:val="hr-HR" w:eastAsia="hr-HR"/>
        </w:rPr>
      </w:pPr>
      <w:r>
        <w:rPr>
          <w:rFonts w:ascii="Calibri" w:hAnsi="Calibri" w:cs="Calibri"/>
          <w:sz w:val="22"/>
          <w:szCs w:val="22"/>
          <w:lang w:val="hr-HR" w:eastAsia="hr-HR"/>
        </w:rPr>
        <w:t xml:space="preserve">Temeljem ugovora s mandatarom, HBOR je u 2020. i 2021. godini evidentirao prihode temeljem prava na upravljačke naknade. Tijekom 2022. godine bila </w:t>
      </w:r>
      <w:r w:rsidR="00436A90">
        <w:rPr>
          <w:rFonts w:ascii="Calibri" w:hAnsi="Calibri" w:cs="Calibri"/>
          <w:sz w:val="22"/>
          <w:szCs w:val="22"/>
          <w:lang w:val="hr-HR" w:eastAsia="hr-HR"/>
        </w:rPr>
        <w:t xml:space="preserve">je </w:t>
      </w:r>
      <w:r>
        <w:rPr>
          <w:rFonts w:ascii="Calibri" w:hAnsi="Calibri" w:cs="Calibri"/>
          <w:sz w:val="22"/>
          <w:szCs w:val="22"/>
          <w:lang w:val="hr-HR" w:eastAsia="hr-HR"/>
        </w:rPr>
        <w:t>provjera upravljačke naknade gdje HBOR nije mogao svojim internim troškovima u potpunosti opravdati prihode te je neopravdani dio naknade evidentirao kao trošak po reobračunu.</w:t>
      </w:r>
    </w:p>
    <w:p w14:paraId="47E3D9A3" w14:textId="77777777" w:rsidR="00364EE3" w:rsidRDefault="00364EE3">
      <w:pPr>
        <w:suppressAutoHyphens w:val="0"/>
        <w:rPr>
          <w:rFonts w:ascii="Calibri" w:hAnsi="Calibri" w:cs="Calibri"/>
          <w:b/>
          <w:i/>
          <w:sz w:val="22"/>
          <w:szCs w:val="22"/>
          <w:lang w:val="hr-HR" w:eastAsia="hr-HR"/>
        </w:rPr>
      </w:pPr>
      <w:r>
        <w:rPr>
          <w:rFonts w:ascii="Calibri" w:hAnsi="Calibri" w:cs="Calibri"/>
          <w:b/>
          <w:i/>
          <w:sz w:val="22"/>
          <w:szCs w:val="22"/>
          <w:lang w:val="hr-HR" w:eastAsia="hr-HR"/>
        </w:rPr>
        <w:br w:type="page"/>
      </w:r>
    </w:p>
    <w:p w14:paraId="1748D9E0" w14:textId="451814D4" w:rsidR="00382CF2" w:rsidRDefault="00054989">
      <w:pPr>
        <w:jc w:val="both"/>
        <w:rPr>
          <w:rFonts w:ascii="Calibri" w:hAnsi="Calibri" w:cs="Calibri"/>
          <w:b/>
          <w:i/>
          <w:sz w:val="22"/>
          <w:szCs w:val="22"/>
          <w:lang w:val="hr-HR" w:eastAsia="hr-HR"/>
        </w:rPr>
      </w:pPr>
      <w:r>
        <w:rPr>
          <w:rFonts w:ascii="Calibri" w:hAnsi="Calibri" w:cs="Calibri"/>
          <w:b/>
          <w:i/>
          <w:sz w:val="22"/>
          <w:szCs w:val="22"/>
          <w:lang w:val="hr-HR" w:eastAsia="hr-HR"/>
        </w:rPr>
        <w:lastRenderedPageBreak/>
        <w:t>Neto prihodi/(rashodi) od financijskih aktivnosti</w:t>
      </w:r>
    </w:p>
    <w:p w14:paraId="1748D9E1" w14:textId="77777777" w:rsidR="00382CF2" w:rsidRDefault="00382CF2">
      <w:pPr>
        <w:jc w:val="both"/>
        <w:rPr>
          <w:rFonts w:ascii="Calibri" w:hAnsi="Calibri" w:cs="Calibri"/>
          <w:b/>
          <w:i/>
          <w:sz w:val="22"/>
          <w:szCs w:val="22"/>
          <w:lang w:val="hr-HR" w:eastAsia="hr-HR"/>
        </w:rPr>
      </w:pPr>
    </w:p>
    <w:p w14:paraId="1748D9E2" w14:textId="77777777" w:rsidR="00382CF2" w:rsidRDefault="00054989">
      <w:pPr>
        <w:jc w:val="both"/>
        <w:textAlignment w:val="baseline"/>
      </w:pPr>
      <w:r>
        <w:rPr>
          <w:rStyle w:val="Zadanifontodlomka1"/>
          <w:rFonts w:ascii="Calibri" w:eastAsia="Calibri" w:hAnsi="Calibri" w:cs="Calibri"/>
          <w:spacing w:val="-3"/>
          <w:sz w:val="22"/>
          <w:szCs w:val="22"/>
          <w:lang w:val="hr-HR"/>
        </w:rPr>
        <w:t xml:space="preserve">Neto prihode/(rashode) od financijskih aktivnosti čine neto tečajne razlike po glavnici potraživanja i obveza, neto prihodi ili troškovi nastali na temelju ugovora o kreditu s ugrađenom „call opcijom”, dobitak/(gubitak) </w:t>
      </w:r>
      <w:r>
        <w:rPr>
          <w:rStyle w:val="Zadanifontodlomka1"/>
          <w:rFonts w:ascii="Calibri" w:hAnsi="Calibri" w:cs="Calibri"/>
          <w:spacing w:val="-3"/>
          <w:sz w:val="22"/>
          <w:szCs w:val="22"/>
          <w:lang w:val="hr-HR" w:eastAsia="hr-HR"/>
        </w:rPr>
        <w:t>od vrijednosnog usklađenja imovine koja se iskazuje po fer vrijednosti kroz dobit ili gubitak te realizirani dobitak/(gubitak) od imovine koja se iskazuje po fer vrijednosti kroz ostalu sveobuhvatnu dobit.</w:t>
      </w:r>
    </w:p>
    <w:p w14:paraId="1748D9E3" w14:textId="77777777" w:rsidR="00382CF2" w:rsidRDefault="00054989">
      <w:pPr>
        <w:tabs>
          <w:tab w:val="left" w:pos="-720"/>
        </w:tabs>
        <w:jc w:val="both"/>
        <w:textAlignment w:val="baseline"/>
        <w:rPr>
          <w:rFonts w:ascii="Calibri" w:hAnsi="Calibri" w:cs="Calibri"/>
          <w:spacing w:val="-3"/>
          <w:sz w:val="22"/>
          <w:szCs w:val="22"/>
          <w:lang w:val="hr-HR" w:eastAsia="hr-HR"/>
        </w:rPr>
      </w:pPr>
      <w:r>
        <w:rPr>
          <w:rFonts w:ascii="Calibri" w:hAnsi="Calibri" w:cs="Calibri"/>
          <w:spacing w:val="-3"/>
          <w:sz w:val="22"/>
          <w:szCs w:val="22"/>
          <w:lang w:val="hr-HR" w:eastAsia="hr-HR"/>
        </w:rPr>
        <w:t xml:space="preserve"> </w:t>
      </w:r>
    </w:p>
    <w:p w14:paraId="1748D9E4" w14:textId="77777777" w:rsidR="00382CF2" w:rsidRDefault="00054989">
      <w:pPr>
        <w:tabs>
          <w:tab w:val="left" w:pos="-720"/>
        </w:tabs>
        <w:spacing w:line="276" w:lineRule="auto"/>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 xml:space="preserve">U izvještajnom razdoblju ostvareni su neto prihodi od financijskih aktivnosti u iznosu od 16,73 milijuna kuna, dok su u prethodnoj godini ostvareni neto rashodi u iznosu od 11,84 milijuna kuna. </w:t>
      </w:r>
    </w:p>
    <w:p w14:paraId="1748D9E5" w14:textId="77777777" w:rsidR="00382CF2" w:rsidRDefault="00382CF2">
      <w:pPr>
        <w:tabs>
          <w:tab w:val="left" w:pos="-720"/>
        </w:tabs>
        <w:jc w:val="both"/>
        <w:rPr>
          <w:rFonts w:ascii="Calibri" w:eastAsia="SimSun" w:hAnsi="Calibri" w:cs="Calibri"/>
          <w:spacing w:val="-3"/>
          <w:sz w:val="22"/>
          <w:szCs w:val="22"/>
          <w:lang w:val="hr-HR"/>
        </w:rPr>
      </w:pPr>
    </w:p>
    <w:p w14:paraId="1748D9E6" w14:textId="77777777" w:rsidR="00382CF2" w:rsidRDefault="00054989">
      <w:pPr>
        <w:tabs>
          <w:tab w:val="left" w:pos="-720"/>
        </w:tabs>
        <w:jc w:val="both"/>
        <w:rPr>
          <w:rFonts w:ascii="Calibri" w:eastAsia="SimSun" w:hAnsi="Calibri" w:cs="Calibri"/>
          <w:spacing w:val="-3"/>
          <w:sz w:val="22"/>
          <w:szCs w:val="22"/>
          <w:lang w:val="hr-HR"/>
        </w:rPr>
      </w:pPr>
      <w:r>
        <w:rPr>
          <w:rFonts w:ascii="Calibri" w:eastAsia="SimSun" w:hAnsi="Calibri" w:cs="Calibri"/>
          <w:spacing w:val="-3"/>
          <w:sz w:val="22"/>
          <w:szCs w:val="22"/>
          <w:lang w:val="hr-HR"/>
        </w:rPr>
        <w:t>Pregled kretanja tečaja kune u odnosu na tečaj eura i dolara:</w:t>
      </w:r>
    </w:p>
    <w:p w14:paraId="1748D9E7" w14:textId="77777777" w:rsidR="00382CF2" w:rsidRDefault="00382CF2">
      <w:pPr>
        <w:tabs>
          <w:tab w:val="left" w:pos="-720"/>
        </w:tabs>
        <w:jc w:val="both"/>
        <w:rPr>
          <w:rFonts w:ascii="Calibri" w:eastAsia="SimSun" w:hAnsi="Calibri" w:cs="Calibri"/>
          <w:spacing w:val="-3"/>
          <w:sz w:val="22"/>
          <w:szCs w:val="22"/>
          <w:lang w:val="hr-HR"/>
        </w:rPr>
      </w:pPr>
    </w:p>
    <w:p w14:paraId="1748D9E8" w14:textId="77777777" w:rsidR="00382CF2" w:rsidRDefault="00054989">
      <w:pPr>
        <w:tabs>
          <w:tab w:val="left" w:pos="-720"/>
          <w:tab w:val="left" w:pos="4820"/>
        </w:tabs>
        <w:ind w:left="-426" w:right="-567"/>
        <w:jc w:val="both"/>
      </w:pPr>
      <w:r>
        <w:rPr>
          <w:rStyle w:val="Zadanifontodlomka1"/>
          <w:rFonts w:ascii="Calibri" w:eastAsia="SimSun" w:hAnsi="Calibri" w:cs="Calibri"/>
          <w:spacing w:val="-3"/>
          <w:sz w:val="22"/>
          <w:szCs w:val="22"/>
          <w:lang w:val="hr-HR" w:eastAsia="hr-HR"/>
        </w:rPr>
        <w:t xml:space="preserve">    </w:t>
      </w:r>
      <w:r>
        <w:rPr>
          <w:rStyle w:val="Zadanifontodlomka1"/>
          <w:rFonts w:ascii="Calibri" w:eastAsia="SimSun" w:hAnsi="Calibri" w:cs="Calibri"/>
          <w:spacing w:val="-3"/>
          <w:sz w:val="22"/>
          <w:szCs w:val="22"/>
          <w:lang w:val="hr-HR"/>
        </w:rPr>
        <w:t xml:space="preserve">     </w:t>
      </w:r>
      <w:r>
        <w:rPr>
          <w:rStyle w:val="Zadanifontodlomka1"/>
          <w:rFonts w:ascii="Calibri" w:eastAsia="SimSun" w:hAnsi="Calibri" w:cs="Calibri"/>
          <w:noProof/>
          <w:spacing w:val="-3"/>
          <w:sz w:val="22"/>
          <w:szCs w:val="22"/>
          <w:lang w:val="hr-HR"/>
        </w:rPr>
        <w:drawing>
          <wp:inline distT="0" distB="0" distL="0" distR="0" wp14:anchorId="1748D66A" wp14:editId="1748D66B">
            <wp:extent cx="2667240" cy="1850736"/>
            <wp:effectExtent l="0" t="0" r="0" b="0"/>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2667240" cy="1850736"/>
                    </a:xfrm>
                    <a:prstGeom prst="rect">
                      <a:avLst/>
                    </a:prstGeom>
                    <a:noFill/>
                    <a:ln>
                      <a:noFill/>
                      <a:prstDash/>
                    </a:ln>
                  </pic:spPr>
                </pic:pic>
              </a:graphicData>
            </a:graphic>
          </wp:inline>
        </w:drawing>
      </w:r>
      <w:r>
        <w:rPr>
          <w:rStyle w:val="Zadanifontodlomka1"/>
          <w:rFonts w:ascii="Calibri" w:eastAsia="SimSun" w:hAnsi="Calibri" w:cs="Calibri"/>
          <w:spacing w:val="-3"/>
          <w:sz w:val="22"/>
          <w:szCs w:val="22"/>
          <w:lang w:val="hr-HR"/>
        </w:rPr>
        <w:t xml:space="preserve">               </w:t>
      </w:r>
      <w:r>
        <w:rPr>
          <w:rStyle w:val="Zadanifontodlomka1"/>
          <w:rFonts w:ascii="Calibri" w:eastAsia="SimSun" w:hAnsi="Calibri" w:cs="Calibri"/>
          <w:noProof/>
          <w:spacing w:val="-3"/>
          <w:sz w:val="22"/>
          <w:szCs w:val="22"/>
          <w:lang w:val="hr-HR"/>
        </w:rPr>
        <w:drawing>
          <wp:inline distT="0" distB="0" distL="0" distR="0" wp14:anchorId="1748D66C" wp14:editId="1748D66D">
            <wp:extent cx="2744690" cy="1888821"/>
            <wp:effectExtent l="0" t="0" r="0" b="0"/>
            <wp:docPr id="26"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2744690" cy="1888821"/>
                    </a:xfrm>
                    <a:prstGeom prst="rect">
                      <a:avLst/>
                    </a:prstGeom>
                    <a:noFill/>
                    <a:ln>
                      <a:noFill/>
                      <a:prstDash/>
                    </a:ln>
                  </pic:spPr>
                </pic:pic>
              </a:graphicData>
            </a:graphic>
          </wp:inline>
        </w:drawing>
      </w:r>
    </w:p>
    <w:p w14:paraId="1748D9E9" w14:textId="77777777" w:rsidR="00382CF2" w:rsidRDefault="00382CF2">
      <w:pPr>
        <w:tabs>
          <w:tab w:val="left" w:pos="-720"/>
          <w:tab w:val="left" w:pos="4820"/>
        </w:tabs>
        <w:ind w:right="-426" w:hanging="426"/>
        <w:jc w:val="both"/>
        <w:rPr>
          <w:rFonts w:ascii="Calibri" w:eastAsia="SimSun" w:hAnsi="Calibri" w:cs="Calibri"/>
          <w:spacing w:val="-3"/>
          <w:sz w:val="22"/>
          <w:szCs w:val="22"/>
          <w:lang w:val="hr-HR"/>
        </w:rPr>
      </w:pPr>
    </w:p>
    <w:p w14:paraId="1748D9EA" w14:textId="77777777" w:rsidR="00382CF2" w:rsidRDefault="00054989">
      <w:pPr>
        <w:tabs>
          <w:tab w:val="left" w:pos="-720"/>
          <w:tab w:val="left" w:pos="4820"/>
        </w:tabs>
        <w:ind w:right="-426" w:hanging="567"/>
        <w:jc w:val="both"/>
        <w:textAlignment w:val="baseline"/>
      </w:pPr>
      <w:r>
        <w:rPr>
          <w:rStyle w:val="Zadanifontodlomka1"/>
          <w:rFonts w:ascii="Calibri" w:eastAsia="Calibri" w:hAnsi="Calibri" w:cs="Calibri"/>
          <w:spacing w:val="-3"/>
          <w:sz w:val="22"/>
          <w:szCs w:val="22"/>
          <w:lang w:val="hr-HR"/>
        </w:rPr>
        <w:t xml:space="preserve">           Napomena:</w:t>
      </w:r>
    </w:p>
    <w:p w14:paraId="1748D9EB" w14:textId="77777777" w:rsidR="00382CF2" w:rsidRDefault="00054989">
      <w:pPr>
        <w:tabs>
          <w:tab w:val="left" w:pos="-720"/>
          <w:tab w:val="left" w:pos="4820"/>
        </w:tabs>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D = deprecijacija kune 2022./2021.</w:t>
      </w:r>
      <w:r>
        <w:rPr>
          <w:rFonts w:ascii="Calibri" w:eastAsia="Calibri" w:hAnsi="Calibri" w:cs="Calibri"/>
          <w:spacing w:val="-3"/>
          <w:sz w:val="22"/>
          <w:szCs w:val="22"/>
          <w:lang w:val="hr-HR"/>
        </w:rPr>
        <w:tab/>
        <w:t xml:space="preserve">              D = deprecijacija kune 2022./2021.</w:t>
      </w:r>
    </w:p>
    <w:p w14:paraId="1748D9EC" w14:textId="77777777" w:rsidR="00382CF2" w:rsidRDefault="00382CF2">
      <w:pPr>
        <w:tabs>
          <w:tab w:val="left" w:pos="-720"/>
          <w:tab w:val="left" w:pos="4820"/>
        </w:tabs>
        <w:jc w:val="both"/>
        <w:textAlignment w:val="baseline"/>
        <w:rPr>
          <w:rFonts w:ascii="Calibri" w:eastAsia="Calibri" w:hAnsi="Calibri" w:cs="Calibri"/>
          <w:spacing w:val="-3"/>
          <w:sz w:val="22"/>
          <w:szCs w:val="22"/>
          <w:lang w:val="hr-HR"/>
        </w:rPr>
      </w:pPr>
    </w:p>
    <w:p w14:paraId="1748D9ED" w14:textId="77777777" w:rsidR="00382CF2" w:rsidRDefault="00382CF2">
      <w:pPr>
        <w:tabs>
          <w:tab w:val="left" w:pos="-720"/>
        </w:tabs>
        <w:jc w:val="both"/>
        <w:textAlignment w:val="baseline"/>
        <w:rPr>
          <w:rFonts w:ascii="Calibri" w:eastAsia="Calibri" w:hAnsi="Calibri" w:cs="Calibri"/>
          <w:spacing w:val="-3"/>
          <w:sz w:val="22"/>
          <w:szCs w:val="22"/>
          <w:lang w:val="hr-HR"/>
        </w:rPr>
      </w:pPr>
    </w:p>
    <w:p w14:paraId="1748D9EE" w14:textId="77777777" w:rsidR="00382CF2" w:rsidRDefault="00054989">
      <w:pPr>
        <w:tabs>
          <w:tab w:val="left" w:pos="-720"/>
        </w:tabs>
        <w:spacing w:line="276" w:lineRule="auto"/>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 xml:space="preserve">Sredstva i izvore sredstava koji su izraženi u stranim sredstvima plaćanja ili su izraženi s valutnom klauzulom, HBOR preračunava u kunsku protuvrijednost po srednjem tečaju HNB-a na izvještajni dan. </w:t>
      </w:r>
    </w:p>
    <w:p w14:paraId="1748D9EF" w14:textId="77777777" w:rsidR="00382CF2" w:rsidRDefault="00054989">
      <w:pPr>
        <w:spacing w:line="276" w:lineRule="auto"/>
        <w:jc w:val="both"/>
        <w:rPr>
          <w:rFonts w:ascii="Calibri" w:eastAsia="Calibri" w:hAnsi="Calibri" w:cs="Calibri"/>
          <w:spacing w:val="-3"/>
          <w:sz w:val="22"/>
          <w:szCs w:val="22"/>
          <w:lang w:val="hr-HR"/>
        </w:rPr>
      </w:pPr>
      <w:r>
        <w:rPr>
          <w:rFonts w:ascii="Calibri" w:eastAsia="Calibri" w:hAnsi="Calibri" w:cs="Calibri"/>
          <w:spacing w:val="-3"/>
          <w:sz w:val="22"/>
          <w:szCs w:val="22"/>
          <w:lang w:val="hr-HR"/>
        </w:rPr>
        <w:t>Prihodi i rashodi u stranim sredstvima plaćanja preračunavaju se po tečaju na dan transakcije. Ostvareni prihodi i rashodi nastali preračunavanjem po tečaju iskazuju se u Računu dobiti i gubitka u neto iznosu.</w:t>
      </w:r>
    </w:p>
    <w:p w14:paraId="1748D9F0" w14:textId="77777777" w:rsidR="00382CF2" w:rsidRDefault="00382CF2">
      <w:pPr>
        <w:jc w:val="both"/>
        <w:rPr>
          <w:rFonts w:ascii="Calibri" w:eastAsia="Calibri" w:hAnsi="Calibri" w:cs="Calibri"/>
          <w:spacing w:val="-3"/>
          <w:sz w:val="22"/>
          <w:szCs w:val="22"/>
          <w:lang w:val="hr-HR"/>
        </w:rPr>
      </w:pPr>
    </w:p>
    <w:p w14:paraId="1748D9F1" w14:textId="77777777" w:rsidR="00382CF2" w:rsidRDefault="00382CF2">
      <w:pPr>
        <w:jc w:val="both"/>
        <w:rPr>
          <w:rFonts w:ascii="Calibri" w:eastAsia="Calibri" w:hAnsi="Calibri" w:cs="Calibri"/>
          <w:spacing w:val="-3"/>
          <w:sz w:val="22"/>
          <w:szCs w:val="22"/>
          <w:lang w:val="hr-HR"/>
        </w:rPr>
      </w:pPr>
    </w:p>
    <w:p w14:paraId="1748D9F2" w14:textId="77777777" w:rsidR="00382CF2" w:rsidRDefault="00054989">
      <w:pPr>
        <w:jc w:val="both"/>
        <w:rPr>
          <w:rFonts w:ascii="Calibri" w:hAnsi="Calibri" w:cs="Calibri"/>
          <w:b/>
          <w:i/>
          <w:sz w:val="22"/>
          <w:szCs w:val="22"/>
          <w:lang w:val="hr-HR" w:eastAsia="hr-HR"/>
        </w:rPr>
      </w:pPr>
      <w:r>
        <w:rPr>
          <w:rFonts w:ascii="Calibri" w:hAnsi="Calibri" w:cs="Calibri"/>
          <w:b/>
          <w:i/>
          <w:sz w:val="22"/>
          <w:szCs w:val="22"/>
          <w:lang w:val="hr-HR" w:eastAsia="hr-HR"/>
        </w:rPr>
        <w:t>Operativni troškovi</w:t>
      </w:r>
    </w:p>
    <w:p w14:paraId="1748D9F3" w14:textId="77777777" w:rsidR="00382CF2" w:rsidRDefault="00382CF2">
      <w:pPr>
        <w:jc w:val="both"/>
        <w:rPr>
          <w:rFonts w:ascii="Calibri" w:hAnsi="Calibri" w:cs="Calibri"/>
          <w:b/>
          <w:sz w:val="22"/>
          <w:szCs w:val="22"/>
          <w:lang w:val="hr-HR" w:eastAsia="hr-HR"/>
        </w:rPr>
      </w:pPr>
    </w:p>
    <w:p w14:paraId="1748D9F4" w14:textId="77777777" w:rsidR="00382CF2" w:rsidRDefault="00054989">
      <w:pPr>
        <w:tabs>
          <w:tab w:val="left" w:pos="-720"/>
        </w:tabs>
        <w:jc w:val="both"/>
      </w:pPr>
      <w:r>
        <w:rPr>
          <w:rStyle w:val="Zadanifontodlomka1"/>
          <w:rFonts w:ascii="Calibri" w:eastAsia="Calibri" w:hAnsi="Calibri" w:cs="Calibri"/>
          <w:spacing w:val="-3"/>
          <w:sz w:val="22"/>
          <w:szCs w:val="22"/>
          <w:lang w:val="hr-HR"/>
        </w:rPr>
        <w:t>Operativni troškovi obuhvaćaju opće i administrativne troškove te ostale troškove poslovanja, a ostvareni su u iznosu od 189,15 milijuna kuna te su za 6,83 posto veći u odnosu na prethodnu godinu,</w:t>
      </w:r>
      <w:r>
        <w:rPr>
          <w:rStyle w:val="Zadanifontodlomka1"/>
          <w:rFonts w:ascii="Calibri" w:eastAsia="Calibri" w:hAnsi="Calibri" w:cs="Calibri"/>
          <w:sz w:val="22"/>
          <w:szCs w:val="22"/>
          <w:lang w:val="hr-HR"/>
        </w:rPr>
        <w:t xml:space="preserve"> </w:t>
      </w:r>
      <w:r>
        <w:rPr>
          <w:rStyle w:val="Zadanifontodlomka1"/>
          <w:rFonts w:ascii="Calibri" w:eastAsia="SimSun" w:hAnsi="Calibri" w:cs="Calibri"/>
          <w:spacing w:val="-3"/>
          <w:sz w:val="22"/>
          <w:szCs w:val="22"/>
          <w:lang w:val="hr-HR"/>
        </w:rPr>
        <w:t>najvećim dijelom zbog povećanja troškova reobračuna i troškova otpisa potraživanja po financijskim instrumentima za 12,42 milijuna kuna.</w:t>
      </w:r>
    </w:p>
    <w:p w14:paraId="1748D9F5" w14:textId="77777777" w:rsidR="00382CF2" w:rsidRDefault="00382CF2">
      <w:pPr>
        <w:tabs>
          <w:tab w:val="left" w:pos="-720"/>
        </w:tabs>
        <w:jc w:val="both"/>
        <w:rPr>
          <w:rFonts w:ascii="Calibri" w:eastAsia="SimSun" w:hAnsi="Calibri" w:cs="Calibri"/>
          <w:spacing w:val="-3"/>
          <w:sz w:val="22"/>
          <w:szCs w:val="22"/>
          <w:lang w:val="hr-HR"/>
        </w:rPr>
      </w:pPr>
    </w:p>
    <w:p w14:paraId="1748D9F6" w14:textId="2857B29E" w:rsidR="00382CF2" w:rsidRDefault="00054989">
      <w:pPr>
        <w:jc w:val="both"/>
        <w:textAlignment w:val="baseline"/>
      </w:pPr>
      <w:r>
        <w:rPr>
          <w:rStyle w:val="Zadanifontodlomka1"/>
          <w:rFonts w:ascii="Calibri" w:eastAsia="Calibri" w:hAnsi="Calibri" w:cs="Calibri"/>
          <w:spacing w:val="-3"/>
          <w:sz w:val="22"/>
          <w:szCs w:val="22"/>
          <w:lang w:val="hr-HR"/>
        </w:rPr>
        <w:t>Ukupan broj zaposlenih na kraju 2022.</w:t>
      </w:r>
      <w:r w:rsidR="006F52D1">
        <w:rPr>
          <w:rStyle w:val="Zadanifontodlomka1"/>
          <w:rFonts w:ascii="Calibri" w:eastAsia="Calibri" w:hAnsi="Calibri" w:cs="Calibri"/>
          <w:spacing w:val="-3"/>
          <w:sz w:val="22"/>
          <w:szCs w:val="22"/>
          <w:lang w:val="hr-HR"/>
        </w:rPr>
        <w:t xml:space="preserve"> </w:t>
      </w:r>
      <w:r>
        <w:rPr>
          <w:rStyle w:val="Zadanifontodlomka1"/>
          <w:rFonts w:ascii="Calibri" w:eastAsia="Calibri" w:hAnsi="Calibri" w:cs="Calibri"/>
          <w:spacing w:val="-3"/>
          <w:sz w:val="22"/>
          <w:szCs w:val="22"/>
          <w:lang w:val="hr-HR"/>
        </w:rPr>
        <w:t>je 382 (31.</w:t>
      </w:r>
      <w:r w:rsidR="00F54513">
        <w:rPr>
          <w:rStyle w:val="Zadanifontodlomka1"/>
          <w:rFonts w:ascii="Calibri" w:eastAsia="Calibri" w:hAnsi="Calibri" w:cs="Calibri"/>
          <w:spacing w:val="-3"/>
          <w:sz w:val="22"/>
          <w:szCs w:val="22"/>
          <w:lang w:val="hr-HR"/>
        </w:rPr>
        <w:t xml:space="preserve"> prosinca </w:t>
      </w:r>
      <w:r>
        <w:rPr>
          <w:rStyle w:val="Zadanifontodlomka1"/>
          <w:rFonts w:ascii="Calibri" w:eastAsia="Calibri" w:hAnsi="Calibri" w:cs="Calibri"/>
          <w:spacing w:val="-3"/>
          <w:sz w:val="22"/>
          <w:szCs w:val="22"/>
          <w:lang w:val="hr-HR"/>
        </w:rPr>
        <w:t>2021. bilo je 375 zaposlenika)</w:t>
      </w:r>
      <w:r>
        <w:rPr>
          <w:rStyle w:val="Zadanifontodlomka1"/>
          <w:rFonts w:ascii="Calibri" w:eastAsia="Calibri" w:hAnsi="Calibri" w:cs="Calibri"/>
          <w:sz w:val="22"/>
          <w:szCs w:val="22"/>
          <w:lang w:val="hr-HR"/>
        </w:rPr>
        <w:t xml:space="preserve">. </w:t>
      </w:r>
    </w:p>
    <w:p w14:paraId="1748D9F7" w14:textId="77777777" w:rsidR="00382CF2" w:rsidRDefault="00382CF2">
      <w:pPr>
        <w:jc w:val="both"/>
        <w:textAlignment w:val="baseline"/>
        <w:rPr>
          <w:rFonts w:ascii="Calibri" w:eastAsia="Calibri" w:hAnsi="Calibri" w:cs="Calibri"/>
          <w:sz w:val="22"/>
          <w:szCs w:val="22"/>
          <w:lang w:val="hr-HR"/>
        </w:rPr>
      </w:pPr>
    </w:p>
    <w:p w14:paraId="1748D9F8" w14:textId="77777777" w:rsidR="00382CF2" w:rsidRDefault="00382CF2">
      <w:pPr>
        <w:jc w:val="both"/>
        <w:textAlignment w:val="baseline"/>
        <w:rPr>
          <w:rFonts w:ascii="Calibri" w:eastAsia="Calibri" w:hAnsi="Calibri" w:cs="Calibri"/>
          <w:sz w:val="22"/>
          <w:szCs w:val="22"/>
          <w:lang w:val="hr-HR"/>
        </w:rPr>
      </w:pPr>
    </w:p>
    <w:p w14:paraId="1748D9F9" w14:textId="77777777" w:rsidR="00382CF2" w:rsidRDefault="00382CF2">
      <w:pPr>
        <w:tabs>
          <w:tab w:val="left" w:pos="-720"/>
        </w:tabs>
        <w:jc w:val="both"/>
        <w:rPr>
          <w:rFonts w:ascii="Calibri" w:eastAsia="Calibri" w:hAnsi="Calibri" w:cs="Calibri"/>
          <w:spacing w:val="-3"/>
          <w:sz w:val="22"/>
          <w:szCs w:val="22"/>
          <w:lang w:val="hr-HR"/>
        </w:rPr>
      </w:pPr>
    </w:p>
    <w:p w14:paraId="1748D9FA" w14:textId="77777777" w:rsidR="00382CF2" w:rsidRDefault="00382CF2">
      <w:pPr>
        <w:tabs>
          <w:tab w:val="left" w:pos="-720"/>
        </w:tabs>
        <w:jc w:val="both"/>
        <w:rPr>
          <w:rFonts w:ascii="Calibri" w:eastAsia="Calibri" w:hAnsi="Calibri" w:cs="Calibri"/>
          <w:spacing w:val="-3"/>
          <w:sz w:val="22"/>
          <w:szCs w:val="22"/>
          <w:lang w:val="hr-HR"/>
        </w:rPr>
      </w:pPr>
    </w:p>
    <w:p w14:paraId="1748D9FB" w14:textId="77777777" w:rsidR="00382CF2" w:rsidRDefault="00382CF2">
      <w:pPr>
        <w:tabs>
          <w:tab w:val="left" w:pos="-720"/>
        </w:tabs>
        <w:jc w:val="both"/>
        <w:rPr>
          <w:rFonts w:ascii="Calibri" w:eastAsia="Calibri" w:hAnsi="Calibri" w:cs="Calibri"/>
          <w:spacing w:val="-3"/>
          <w:sz w:val="22"/>
          <w:szCs w:val="22"/>
          <w:lang w:val="hr-HR"/>
        </w:rPr>
      </w:pPr>
    </w:p>
    <w:p w14:paraId="1748D9FC" w14:textId="77777777" w:rsidR="00382CF2" w:rsidRDefault="00382CF2">
      <w:pPr>
        <w:tabs>
          <w:tab w:val="left" w:pos="-720"/>
        </w:tabs>
        <w:jc w:val="both"/>
        <w:rPr>
          <w:rFonts w:ascii="Calibri" w:eastAsia="Calibri" w:hAnsi="Calibri" w:cs="Calibri"/>
          <w:spacing w:val="-3"/>
          <w:sz w:val="22"/>
          <w:szCs w:val="22"/>
          <w:lang w:val="hr-HR"/>
        </w:rPr>
      </w:pPr>
    </w:p>
    <w:p w14:paraId="1748D9FD" w14:textId="77777777" w:rsidR="00382CF2" w:rsidRDefault="00382CF2">
      <w:pPr>
        <w:tabs>
          <w:tab w:val="left" w:pos="-720"/>
        </w:tabs>
        <w:jc w:val="both"/>
        <w:rPr>
          <w:rFonts w:ascii="Calibri" w:eastAsia="Calibri" w:hAnsi="Calibri" w:cs="Calibri"/>
          <w:spacing w:val="-3"/>
          <w:sz w:val="22"/>
          <w:szCs w:val="22"/>
          <w:lang w:val="hr-HR"/>
        </w:rPr>
      </w:pPr>
    </w:p>
    <w:p w14:paraId="1748D9FE" w14:textId="77777777" w:rsidR="00382CF2" w:rsidRDefault="00382CF2">
      <w:pPr>
        <w:tabs>
          <w:tab w:val="left" w:pos="-720"/>
        </w:tabs>
        <w:jc w:val="both"/>
        <w:rPr>
          <w:rFonts w:ascii="Calibri" w:eastAsia="Calibri" w:hAnsi="Calibri" w:cs="Calibri"/>
          <w:spacing w:val="-3"/>
          <w:sz w:val="22"/>
          <w:szCs w:val="22"/>
          <w:lang w:val="hr-HR"/>
        </w:rPr>
      </w:pPr>
    </w:p>
    <w:p w14:paraId="1748D9FF" w14:textId="77777777" w:rsidR="00382CF2" w:rsidRDefault="00382CF2">
      <w:pPr>
        <w:tabs>
          <w:tab w:val="left" w:pos="-720"/>
        </w:tabs>
        <w:jc w:val="both"/>
        <w:rPr>
          <w:rFonts w:ascii="Calibri" w:eastAsia="Calibri" w:hAnsi="Calibri" w:cs="Calibri"/>
          <w:spacing w:val="-3"/>
          <w:sz w:val="22"/>
          <w:szCs w:val="22"/>
          <w:lang w:val="hr-HR"/>
        </w:rPr>
      </w:pPr>
    </w:p>
    <w:p w14:paraId="1748DA00" w14:textId="77777777" w:rsidR="00382CF2" w:rsidRDefault="00382CF2">
      <w:pPr>
        <w:tabs>
          <w:tab w:val="left" w:pos="-720"/>
        </w:tabs>
        <w:jc w:val="both"/>
        <w:rPr>
          <w:rFonts w:ascii="Calibri" w:eastAsia="SimSun" w:hAnsi="Calibri" w:cs="Calibri"/>
          <w:spacing w:val="-3"/>
          <w:sz w:val="22"/>
          <w:szCs w:val="22"/>
          <w:lang w:val="hr-HR"/>
        </w:rPr>
      </w:pPr>
    </w:p>
    <w:p w14:paraId="1748DA01" w14:textId="77777777" w:rsidR="00382CF2" w:rsidRDefault="00054989">
      <w:pPr>
        <w:jc w:val="both"/>
        <w:textAlignment w:val="baseline"/>
      </w:pPr>
      <w:r>
        <w:rPr>
          <w:rStyle w:val="Zadanifontodlomka1"/>
          <w:rFonts w:ascii="Calibri" w:hAnsi="Calibri" w:cs="Calibri"/>
          <w:b/>
          <w:i/>
          <w:spacing w:val="-3"/>
          <w:sz w:val="22"/>
          <w:szCs w:val="22"/>
          <w:lang w:val="hr-HR" w:eastAsia="hr-HR"/>
        </w:rPr>
        <w:lastRenderedPageBreak/>
        <w:t xml:space="preserve">Gubitak od umanjenja </w:t>
      </w:r>
      <w:r>
        <w:rPr>
          <w:rStyle w:val="Zadanifontodlomka1"/>
          <w:rFonts w:ascii="Calibri" w:hAnsi="Calibri" w:cs="Calibri"/>
          <w:b/>
          <w:i/>
          <w:sz w:val="22"/>
          <w:szCs w:val="22"/>
          <w:lang w:val="hr-HR" w:eastAsia="hr-HR"/>
        </w:rPr>
        <w:t>vrijednosti</w:t>
      </w:r>
      <w:r>
        <w:rPr>
          <w:rStyle w:val="Zadanifontodlomka1"/>
          <w:rFonts w:ascii="Calibri" w:hAnsi="Calibri" w:cs="Calibri"/>
          <w:b/>
          <w:i/>
          <w:spacing w:val="-3"/>
          <w:sz w:val="22"/>
          <w:szCs w:val="22"/>
          <w:lang w:val="hr-HR" w:eastAsia="hr-HR"/>
        </w:rPr>
        <w:t xml:space="preserve"> i rezerviranja</w:t>
      </w:r>
      <w:r>
        <w:rPr>
          <w:rStyle w:val="Zadanifontodlomka1"/>
          <w:rFonts w:ascii="Calibri" w:hAnsi="Calibri" w:cs="Calibri"/>
          <w:b/>
          <w:i/>
          <w:sz w:val="22"/>
          <w:szCs w:val="22"/>
          <w:lang w:val="hr-HR" w:eastAsia="hr-HR"/>
        </w:rPr>
        <w:t xml:space="preserve"> </w:t>
      </w:r>
    </w:p>
    <w:p w14:paraId="1748DA02" w14:textId="77777777" w:rsidR="00382CF2" w:rsidRDefault="00382CF2">
      <w:pPr>
        <w:jc w:val="both"/>
        <w:textAlignment w:val="baseline"/>
        <w:rPr>
          <w:rFonts w:ascii="Calibri" w:eastAsia="Calibri" w:hAnsi="Calibri" w:cs="Calibri"/>
          <w:sz w:val="22"/>
          <w:szCs w:val="22"/>
          <w:lang w:val="hr-HR"/>
        </w:rPr>
      </w:pPr>
    </w:p>
    <w:p w14:paraId="1748DA03" w14:textId="77777777" w:rsidR="00382CF2" w:rsidRDefault="00054989">
      <w:pPr>
        <w:jc w:val="both"/>
        <w:textAlignment w:val="baseline"/>
      </w:pPr>
      <w:r>
        <w:rPr>
          <w:rStyle w:val="Zadanifontodlomka1"/>
          <w:rFonts w:ascii="Calibri" w:eastAsia="Calibri" w:hAnsi="Calibri" w:cs="Calibri"/>
          <w:spacing w:val="-3"/>
          <w:sz w:val="22"/>
          <w:szCs w:val="22"/>
          <w:lang w:val="hr-HR"/>
        </w:rPr>
        <w:t>U izvještajnom razdoblju ostvaren je neto gubitak od umanjenja vrijednosti plasmana u visini od 144,43 milijuna kuna, a prethodne godine u visini od 163,00 milijuna kuna.</w:t>
      </w:r>
      <w:r>
        <w:rPr>
          <w:rStyle w:val="Zadanifontodlomka1"/>
          <w:rFonts w:ascii="Calibri" w:hAnsi="Calibri" w:cs="Calibri"/>
          <w:sz w:val="22"/>
          <w:szCs w:val="22"/>
          <w:lang w:val="hr-HR"/>
        </w:rPr>
        <w:t xml:space="preserve"> </w:t>
      </w:r>
    </w:p>
    <w:p w14:paraId="1748DA04" w14:textId="77777777" w:rsidR="00382CF2" w:rsidRDefault="00382CF2">
      <w:pPr>
        <w:jc w:val="both"/>
        <w:textAlignment w:val="baseline"/>
        <w:rPr>
          <w:rFonts w:ascii="Calibri" w:eastAsia="Calibri" w:hAnsi="Calibri" w:cs="Calibri"/>
          <w:sz w:val="22"/>
          <w:szCs w:val="22"/>
          <w:lang w:val="hr-HR"/>
        </w:rPr>
      </w:pPr>
    </w:p>
    <w:p w14:paraId="1748DA05" w14:textId="77777777" w:rsidR="00382CF2" w:rsidRDefault="00382CF2">
      <w:pPr>
        <w:tabs>
          <w:tab w:val="left" w:pos="-720"/>
        </w:tabs>
        <w:jc w:val="both"/>
        <w:rPr>
          <w:rFonts w:ascii="Calibri" w:eastAsia="SimSun" w:hAnsi="Calibri" w:cs="Calibri"/>
          <w:spacing w:val="-3"/>
          <w:sz w:val="22"/>
          <w:szCs w:val="22"/>
          <w:lang w:val="hr-HR"/>
        </w:rPr>
      </w:pPr>
    </w:p>
    <w:p w14:paraId="1748DA06" w14:textId="77777777" w:rsidR="00382CF2" w:rsidRDefault="00054989">
      <w:pPr>
        <w:tabs>
          <w:tab w:val="left" w:pos="-720"/>
        </w:tabs>
        <w:jc w:val="both"/>
      </w:pPr>
      <w:r>
        <w:rPr>
          <w:rStyle w:val="Zadanifontodlomka1"/>
          <w:rFonts w:ascii="Calibri" w:eastAsia="SimSun" w:hAnsi="Calibri" w:cs="Calibri"/>
          <w:spacing w:val="-3"/>
          <w:sz w:val="22"/>
          <w:szCs w:val="22"/>
          <w:lang w:val="hr-HR"/>
        </w:rPr>
        <w:t>U nastavku se daje pregled kvalitete portfelja:</w:t>
      </w:r>
      <w:r>
        <w:rPr>
          <w:rStyle w:val="Zadanifontodlomka1"/>
          <w:rFonts w:ascii="Calibri" w:eastAsia="SimSun" w:hAnsi="Calibri" w:cs="Calibri"/>
          <w:sz w:val="22"/>
          <w:szCs w:val="22"/>
          <w:lang w:val="hr-HR" w:eastAsia="hr-HR"/>
        </w:rPr>
        <w:t xml:space="preserve"> </w:t>
      </w:r>
    </w:p>
    <w:p w14:paraId="1748DA07" w14:textId="77777777" w:rsidR="00382CF2" w:rsidRDefault="00054989">
      <w:pPr>
        <w:tabs>
          <w:tab w:val="left" w:pos="4536"/>
        </w:tabs>
        <w:ind w:right="-285" w:hanging="284"/>
        <w:jc w:val="both"/>
        <w:rPr>
          <w:rFonts w:ascii="Calibri" w:hAnsi="Calibri" w:cs="Calibri"/>
          <w:b/>
          <w:spacing w:val="-3"/>
          <w:sz w:val="22"/>
          <w:szCs w:val="22"/>
          <w:lang w:val="hr-HR" w:eastAsia="hr-HR"/>
        </w:rPr>
      </w:pPr>
      <w:r>
        <w:rPr>
          <w:rFonts w:ascii="Calibri" w:hAnsi="Calibri" w:cs="Calibri"/>
          <w:b/>
          <w:spacing w:val="-3"/>
          <w:sz w:val="22"/>
          <w:szCs w:val="22"/>
          <w:lang w:val="hr-HR" w:eastAsia="hr-HR"/>
        </w:rPr>
        <w:t xml:space="preserve">    </w:t>
      </w:r>
    </w:p>
    <w:p w14:paraId="1748DA08" w14:textId="77777777" w:rsidR="00382CF2" w:rsidRDefault="00054989">
      <w:pPr>
        <w:tabs>
          <w:tab w:val="left" w:pos="4536"/>
        </w:tabs>
        <w:ind w:right="-285"/>
        <w:jc w:val="both"/>
      </w:pPr>
      <w:r>
        <w:rPr>
          <w:rStyle w:val="Zadanifontodlomka1"/>
          <w:rFonts w:ascii="Calibri" w:hAnsi="Calibri" w:cs="Calibri"/>
          <w:spacing w:val="-3"/>
          <w:sz w:val="22"/>
          <w:szCs w:val="22"/>
          <w:lang w:val="hr-HR" w:eastAsia="hr-HR"/>
        </w:rPr>
        <w:t xml:space="preserve">     </w:t>
      </w:r>
      <w:r>
        <w:rPr>
          <w:rStyle w:val="Zadanifontodlomka1"/>
          <w:rFonts w:ascii="Calibri" w:hAnsi="Calibri" w:cs="Calibri"/>
          <w:noProof/>
          <w:spacing w:val="-3"/>
          <w:sz w:val="22"/>
          <w:szCs w:val="22"/>
          <w:lang w:val="hr-HR" w:eastAsia="hr-HR"/>
        </w:rPr>
        <w:drawing>
          <wp:inline distT="0" distB="0" distL="0" distR="0" wp14:anchorId="1748D66E" wp14:editId="1748D66F">
            <wp:extent cx="2650296" cy="2504706"/>
            <wp:effectExtent l="0" t="0" r="0" b="0"/>
            <wp:docPr id="27"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2650296" cy="2504706"/>
                    </a:xfrm>
                    <a:prstGeom prst="rect">
                      <a:avLst/>
                    </a:prstGeom>
                    <a:noFill/>
                    <a:ln>
                      <a:noFill/>
                      <a:prstDash/>
                    </a:ln>
                  </pic:spPr>
                </pic:pic>
              </a:graphicData>
            </a:graphic>
          </wp:inline>
        </w:drawing>
      </w:r>
      <w:r>
        <w:rPr>
          <w:rStyle w:val="Zadanifontodlomka1"/>
          <w:rFonts w:ascii="Calibri" w:hAnsi="Calibri" w:cs="Calibri"/>
          <w:spacing w:val="-3"/>
          <w:sz w:val="22"/>
          <w:szCs w:val="22"/>
          <w:lang w:val="hr-HR" w:eastAsia="hr-HR"/>
        </w:rPr>
        <w:t xml:space="preserve">      </w:t>
      </w:r>
      <w:r>
        <w:rPr>
          <w:rStyle w:val="Zadanifontodlomka1"/>
          <w:rFonts w:ascii="Calibri" w:hAnsi="Calibri" w:cs="Calibri"/>
          <w:noProof/>
          <w:spacing w:val="-3"/>
          <w:sz w:val="22"/>
          <w:szCs w:val="22"/>
          <w:lang w:val="hr-HR" w:eastAsia="hr-HR"/>
        </w:rPr>
        <w:drawing>
          <wp:inline distT="0" distB="0" distL="0" distR="0" wp14:anchorId="1748D670" wp14:editId="1748D671">
            <wp:extent cx="2691042" cy="2497829"/>
            <wp:effectExtent l="0" t="0" r="0" b="0"/>
            <wp:docPr id="28"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691042" cy="2497829"/>
                    </a:xfrm>
                    <a:prstGeom prst="rect">
                      <a:avLst/>
                    </a:prstGeom>
                    <a:noFill/>
                    <a:ln>
                      <a:noFill/>
                      <a:prstDash/>
                    </a:ln>
                  </pic:spPr>
                </pic:pic>
              </a:graphicData>
            </a:graphic>
          </wp:inline>
        </w:drawing>
      </w:r>
    </w:p>
    <w:p w14:paraId="1748DA09" w14:textId="77777777" w:rsidR="00382CF2" w:rsidRDefault="00382CF2">
      <w:pPr>
        <w:tabs>
          <w:tab w:val="left" w:pos="4536"/>
        </w:tabs>
        <w:ind w:right="-285"/>
        <w:jc w:val="both"/>
        <w:rPr>
          <w:rFonts w:ascii="Calibri" w:hAnsi="Calibri" w:cs="Calibri"/>
          <w:spacing w:val="-3"/>
          <w:sz w:val="22"/>
          <w:szCs w:val="22"/>
          <w:lang w:val="hr-HR" w:eastAsia="hr-HR"/>
        </w:rPr>
      </w:pPr>
    </w:p>
    <w:p w14:paraId="1748DA0A" w14:textId="77777777" w:rsidR="00382CF2" w:rsidRDefault="00054989">
      <w:pPr>
        <w:widowControl w:val="0"/>
        <w:spacing w:before="120" w:after="120" w:line="23" w:lineRule="atLeast"/>
        <w:rPr>
          <w:rFonts w:ascii="Calibri" w:eastAsia="SimSun" w:hAnsi="Calibri" w:cs="Calibri"/>
          <w:b/>
          <w:bCs/>
          <w:iCs/>
          <w:sz w:val="22"/>
          <w:szCs w:val="22"/>
          <w:lang w:val="hr-HR"/>
        </w:rPr>
      </w:pPr>
      <w:r>
        <w:rPr>
          <w:rFonts w:ascii="Calibri" w:eastAsia="SimSun" w:hAnsi="Calibri" w:cs="Calibri"/>
          <w:b/>
          <w:bCs/>
          <w:iCs/>
          <w:sz w:val="22"/>
          <w:szCs w:val="22"/>
          <w:lang w:val="hr-HR"/>
        </w:rPr>
        <w:t>Pregled ukupnog bruto portfelja i rezerviranja prema strukturi - financijske institucije i direktni</w:t>
      </w:r>
    </w:p>
    <w:tbl>
      <w:tblPr>
        <w:tblW w:w="8926" w:type="dxa"/>
        <w:tblLayout w:type="fixed"/>
        <w:tblCellMar>
          <w:left w:w="10" w:type="dxa"/>
          <w:right w:w="10" w:type="dxa"/>
        </w:tblCellMar>
        <w:tblLook w:val="04A0" w:firstRow="1" w:lastRow="0" w:firstColumn="1" w:lastColumn="0" w:noHBand="0" w:noVBand="1"/>
      </w:tblPr>
      <w:tblGrid>
        <w:gridCol w:w="3257"/>
        <w:gridCol w:w="1501"/>
        <w:gridCol w:w="1401"/>
        <w:gridCol w:w="6"/>
        <w:gridCol w:w="1343"/>
        <w:gridCol w:w="1418"/>
      </w:tblGrid>
      <w:tr w:rsidR="00382CF2" w14:paraId="1748DA0E" w14:textId="77777777">
        <w:trPr>
          <w:trHeight w:val="420"/>
        </w:trPr>
        <w:tc>
          <w:tcPr>
            <w:tcW w:w="3257"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1748DA0B" w14:textId="77777777" w:rsidR="00382CF2" w:rsidRPr="008E33C7" w:rsidRDefault="00382CF2">
            <w:pPr>
              <w:spacing w:after="160" w:line="276" w:lineRule="auto"/>
              <w:jc w:val="center"/>
              <w:rPr>
                <w:rFonts w:ascii="Calibri" w:eastAsia="SimSun" w:hAnsi="Calibri" w:cs="Calibri"/>
                <w:b/>
                <w:bCs/>
                <w:sz w:val="22"/>
                <w:szCs w:val="22"/>
                <w:lang w:val="hr-HR" w:eastAsia="hr-HR"/>
              </w:rPr>
            </w:pPr>
          </w:p>
        </w:tc>
        <w:tc>
          <w:tcPr>
            <w:tcW w:w="2908" w:type="dxa"/>
            <w:gridSpan w:val="3"/>
            <w:tcBorders>
              <w:top w:val="single" w:sz="4" w:space="0" w:color="000000"/>
            </w:tcBorders>
            <w:shd w:val="clear" w:color="auto" w:fill="auto"/>
            <w:tcMar>
              <w:top w:w="0" w:type="dxa"/>
              <w:left w:w="108" w:type="dxa"/>
              <w:bottom w:w="0" w:type="dxa"/>
              <w:right w:w="108" w:type="dxa"/>
            </w:tcMar>
            <w:vAlign w:val="center"/>
          </w:tcPr>
          <w:p w14:paraId="1748DA0C" w14:textId="77777777" w:rsidR="00382CF2" w:rsidRPr="008E33C7" w:rsidRDefault="00054989">
            <w:pPr>
              <w:spacing w:after="160" w:line="276" w:lineRule="auto"/>
              <w:jc w:val="center"/>
              <w:rPr>
                <w:rFonts w:ascii="Calibri" w:eastAsia="SimSun" w:hAnsi="Calibri" w:cs="Calibri"/>
                <w:b/>
                <w:bCs/>
                <w:sz w:val="22"/>
                <w:szCs w:val="22"/>
                <w:lang w:val="hr-HR" w:eastAsia="hr-HR"/>
              </w:rPr>
            </w:pPr>
            <w:r w:rsidRPr="008E33C7">
              <w:rPr>
                <w:rFonts w:ascii="Calibri" w:eastAsia="SimSun" w:hAnsi="Calibri" w:cs="Calibri"/>
                <w:b/>
                <w:bCs/>
                <w:sz w:val="22"/>
                <w:szCs w:val="22"/>
                <w:lang w:val="hr-HR" w:eastAsia="hr-HR"/>
              </w:rPr>
              <w:t>2021.</w:t>
            </w:r>
          </w:p>
        </w:tc>
        <w:tc>
          <w:tcPr>
            <w:tcW w:w="2761" w:type="dxa"/>
            <w:gridSpan w:val="2"/>
            <w:tcBorders>
              <w:top w:val="single" w:sz="4" w:space="0" w:color="000000"/>
              <w:right w:val="single" w:sz="4" w:space="0" w:color="000000"/>
            </w:tcBorders>
            <w:shd w:val="clear" w:color="auto" w:fill="auto"/>
            <w:tcMar>
              <w:top w:w="0" w:type="dxa"/>
              <w:left w:w="108" w:type="dxa"/>
              <w:bottom w:w="0" w:type="dxa"/>
              <w:right w:w="108" w:type="dxa"/>
            </w:tcMar>
          </w:tcPr>
          <w:p w14:paraId="1748DA0D" w14:textId="77777777" w:rsidR="00382CF2" w:rsidRPr="008E33C7" w:rsidRDefault="00054989">
            <w:pPr>
              <w:spacing w:after="160" w:line="276" w:lineRule="auto"/>
              <w:jc w:val="center"/>
              <w:rPr>
                <w:rFonts w:ascii="Calibri" w:eastAsia="SimSun" w:hAnsi="Calibri" w:cs="Calibri"/>
                <w:b/>
                <w:bCs/>
                <w:sz w:val="22"/>
                <w:szCs w:val="22"/>
                <w:lang w:val="hr-HR" w:eastAsia="hr-HR"/>
              </w:rPr>
            </w:pPr>
            <w:r w:rsidRPr="008E33C7">
              <w:rPr>
                <w:rFonts w:ascii="Calibri" w:eastAsia="SimSun" w:hAnsi="Calibri" w:cs="Calibri"/>
                <w:b/>
                <w:bCs/>
                <w:sz w:val="22"/>
                <w:szCs w:val="22"/>
                <w:lang w:val="hr-HR" w:eastAsia="hr-HR"/>
              </w:rPr>
              <w:t>2022.</w:t>
            </w:r>
          </w:p>
        </w:tc>
      </w:tr>
      <w:tr w:rsidR="00382CF2" w14:paraId="1748DA14" w14:textId="77777777">
        <w:trPr>
          <w:trHeight w:val="593"/>
        </w:trPr>
        <w:tc>
          <w:tcPr>
            <w:tcW w:w="3257" w:type="dxa"/>
            <w:tcBorders>
              <w:left w:val="single" w:sz="4" w:space="0" w:color="000000"/>
            </w:tcBorders>
            <w:shd w:val="clear" w:color="auto" w:fill="auto"/>
            <w:tcMar>
              <w:top w:w="0" w:type="dxa"/>
              <w:left w:w="108" w:type="dxa"/>
              <w:bottom w:w="0" w:type="dxa"/>
              <w:right w:w="108" w:type="dxa"/>
            </w:tcMar>
            <w:vAlign w:val="center"/>
          </w:tcPr>
          <w:p w14:paraId="1748DA0F" w14:textId="77777777" w:rsidR="00382CF2" w:rsidRPr="008E33C7" w:rsidRDefault="00382CF2">
            <w:pPr>
              <w:spacing w:after="160" w:line="276" w:lineRule="auto"/>
              <w:jc w:val="center"/>
              <w:rPr>
                <w:rFonts w:ascii="Calibri" w:eastAsia="SimSun" w:hAnsi="Calibri" w:cs="Calibri"/>
                <w:b/>
                <w:bCs/>
                <w:sz w:val="22"/>
                <w:szCs w:val="22"/>
                <w:lang w:val="hr-HR" w:eastAsia="hr-HR"/>
              </w:rPr>
            </w:pPr>
          </w:p>
        </w:tc>
        <w:tc>
          <w:tcPr>
            <w:tcW w:w="1501" w:type="dxa"/>
            <w:shd w:val="clear" w:color="auto" w:fill="auto"/>
            <w:tcMar>
              <w:top w:w="0" w:type="dxa"/>
              <w:left w:w="108" w:type="dxa"/>
              <w:bottom w:w="0" w:type="dxa"/>
              <w:right w:w="108" w:type="dxa"/>
            </w:tcMar>
            <w:vAlign w:val="center"/>
          </w:tcPr>
          <w:p w14:paraId="1748DA10" w14:textId="77777777" w:rsidR="00382CF2" w:rsidRPr="008E33C7" w:rsidRDefault="00054989">
            <w:pPr>
              <w:spacing w:after="160" w:line="276" w:lineRule="auto"/>
              <w:ind w:left="-624" w:firstLine="624"/>
              <w:jc w:val="right"/>
              <w:rPr>
                <w:rFonts w:ascii="Calibri" w:eastAsia="SimSun" w:hAnsi="Calibri" w:cs="Calibri"/>
                <w:b/>
                <w:bCs/>
                <w:sz w:val="22"/>
                <w:szCs w:val="22"/>
                <w:lang w:val="hr-HR" w:eastAsia="hr-HR"/>
              </w:rPr>
            </w:pPr>
            <w:r w:rsidRPr="008E33C7">
              <w:rPr>
                <w:rFonts w:ascii="Calibri" w:eastAsia="SimSun" w:hAnsi="Calibri" w:cs="Calibri"/>
                <w:b/>
                <w:bCs/>
                <w:sz w:val="22"/>
                <w:szCs w:val="22"/>
                <w:lang w:val="hr-HR" w:eastAsia="hr-HR"/>
              </w:rPr>
              <w:t>Iznos</w:t>
            </w:r>
          </w:p>
        </w:tc>
        <w:tc>
          <w:tcPr>
            <w:tcW w:w="1401" w:type="dxa"/>
            <w:shd w:val="clear" w:color="auto" w:fill="auto"/>
            <w:tcMar>
              <w:top w:w="0" w:type="dxa"/>
              <w:left w:w="108" w:type="dxa"/>
              <w:bottom w:w="0" w:type="dxa"/>
              <w:right w:w="108" w:type="dxa"/>
            </w:tcMar>
            <w:vAlign w:val="center"/>
          </w:tcPr>
          <w:p w14:paraId="1748DA11" w14:textId="77777777" w:rsidR="00382CF2" w:rsidRPr="008E33C7" w:rsidRDefault="00054989">
            <w:pPr>
              <w:spacing w:after="160" w:line="276" w:lineRule="auto"/>
              <w:jc w:val="right"/>
              <w:rPr>
                <w:rFonts w:ascii="Calibri" w:eastAsia="SimSun" w:hAnsi="Calibri" w:cs="Calibri"/>
                <w:b/>
                <w:bCs/>
                <w:sz w:val="22"/>
                <w:szCs w:val="22"/>
                <w:lang w:val="hr-HR" w:eastAsia="hr-HR"/>
              </w:rPr>
            </w:pPr>
            <w:r w:rsidRPr="008E33C7">
              <w:rPr>
                <w:rFonts w:ascii="Calibri" w:eastAsia="SimSun" w:hAnsi="Calibri" w:cs="Calibri"/>
                <w:b/>
                <w:bCs/>
                <w:sz w:val="22"/>
                <w:szCs w:val="22"/>
                <w:lang w:val="hr-HR" w:eastAsia="hr-HR"/>
              </w:rPr>
              <w:t>Struktura(%)</w:t>
            </w:r>
          </w:p>
        </w:tc>
        <w:tc>
          <w:tcPr>
            <w:tcW w:w="1349" w:type="dxa"/>
            <w:gridSpan w:val="2"/>
            <w:shd w:val="clear" w:color="auto" w:fill="auto"/>
            <w:tcMar>
              <w:top w:w="0" w:type="dxa"/>
              <w:left w:w="108" w:type="dxa"/>
              <w:bottom w:w="0" w:type="dxa"/>
              <w:right w:w="108" w:type="dxa"/>
            </w:tcMar>
            <w:vAlign w:val="center"/>
          </w:tcPr>
          <w:p w14:paraId="1748DA12" w14:textId="77777777" w:rsidR="00382CF2" w:rsidRPr="008E33C7" w:rsidRDefault="00054989">
            <w:pPr>
              <w:spacing w:after="160" w:line="276" w:lineRule="auto"/>
              <w:jc w:val="right"/>
              <w:rPr>
                <w:rFonts w:ascii="Calibri" w:eastAsia="SimSun" w:hAnsi="Calibri" w:cs="Calibri"/>
                <w:b/>
                <w:bCs/>
                <w:sz w:val="22"/>
                <w:szCs w:val="22"/>
                <w:lang w:val="hr-HR" w:eastAsia="hr-HR"/>
              </w:rPr>
            </w:pPr>
            <w:r w:rsidRPr="008E33C7">
              <w:rPr>
                <w:rFonts w:ascii="Calibri" w:eastAsia="SimSun" w:hAnsi="Calibri" w:cs="Calibri"/>
                <w:b/>
                <w:bCs/>
                <w:sz w:val="22"/>
                <w:szCs w:val="22"/>
                <w:lang w:val="hr-HR" w:eastAsia="hr-HR"/>
              </w:rPr>
              <w:t>Iznos</w:t>
            </w:r>
          </w:p>
        </w:tc>
        <w:tc>
          <w:tcPr>
            <w:tcW w:w="1418" w:type="dxa"/>
            <w:tcBorders>
              <w:right w:val="single" w:sz="4" w:space="0" w:color="000000"/>
            </w:tcBorders>
            <w:shd w:val="clear" w:color="auto" w:fill="auto"/>
            <w:tcMar>
              <w:top w:w="0" w:type="dxa"/>
              <w:left w:w="108" w:type="dxa"/>
              <w:bottom w:w="0" w:type="dxa"/>
              <w:right w:w="108" w:type="dxa"/>
            </w:tcMar>
            <w:vAlign w:val="center"/>
          </w:tcPr>
          <w:p w14:paraId="1748DA13" w14:textId="77777777" w:rsidR="00382CF2" w:rsidRPr="008E33C7" w:rsidRDefault="00054989">
            <w:pPr>
              <w:spacing w:after="160" w:line="276" w:lineRule="auto"/>
              <w:jc w:val="right"/>
              <w:rPr>
                <w:rFonts w:ascii="Calibri" w:eastAsia="SimSun" w:hAnsi="Calibri" w:cs="Calibri"/>
                <w:b/>
                <w:bCs/>
                <w:sz w:val="22"/>
                <w:szCs w:val="22"/>
                <w:lang w:val="hr-HR" w:eastAsia="hr-HR"/>
              </w:rPr>
            </w:pPr>
            <w:r w:rsidRPr="008E33C7">
              <w:rPr>
                <w:rFonts w:ascii="Calibri" w:eastAsia="SimSun" w:hAnsi="Calibri" w:cs="Calibri"/>
                <w:b/>
                <w:bCs/>
                <w:sz w:val="22"/>
                <w:szCs w:val="22"/>
                <w:lang w:val="hr-HR" w:eastAsia="hr-HR"/>
              </w:rPr>
              <w:t>Struktura(%)</w:t>
            </w:r>
          </w:p>
        </w:tc>
      </w:tr>
      <w:tr w:rsidR="00382CF2" w14:paraId="1748DA1A" w14:textId="77777777">
        <w:trPr>
          <w:trHeight w:val="329"/>
        </w:trPr>
        <w:tc>
          <w:tcPr>
            <w:tcW w:w="3257" w:type="dxa"/>
            <w:tcBorders>
              <w:left w:val="single" w:sz="4" w:space="0" w:color="000000"/>
            </w:tcBorders>
            <w:shd w:val="clear" w:color="auto" w:fill="auto"/>
            <w:tcMar>
              <w:top w:w="0" w:type="dxa"/>
              <w:left w:w="108" w:type="dxa"/>
              <w:bottom w:w="0" w:type="dxa"/>
              <w:right w:w="108" w:type="dxa"/>
            </w:tcMar>
          </w:tcPr>
          <w:p w14:paraId="1748DA15" w14:textId="77777777" w:rsidR="00382CF2" w:rsidRDefault="00054989">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Ukupni bruto portfelj, mil. kn</w:t>
            </w:r>
          </w:p>
        </w:tc>
        <w:tc>
          <w:tcPr>
            <w:tcW w:w="1501" w:type="dxa"/>
            <w:shd w:val="clear" w:color="auto" w:fill="auto"/>
            <w:tcMar>
              <w:top w:w="0" w:type="dxa"/>
              <w:left w:w="108" w:type="dxa"/>
              <w:bottom w:w="0" w:type="dxa"/>
              <w:right w:w="108" w:type="dxa"/>
            </w:tcMar>
          </w:tcPr>
          <w:p w14:paraId="1748DA16" w14:textId="77777777" w:rsidR="00382CF2" w:rsidRDefault="00054989">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35.412,68</w:t>
            </w:r>
          </w:p>
        </w:tc>
        <w:tc>
          <w:tcPr>
            <w:tcW w:w="1401" w:type="dxa"/>
            <w:shd w:val="clear" w:color="auto" w:fill="auto"/>
            <w:tcMar>
              <w:top w:w="0" w:type="dxa"/>
              <w:left w:w="108" w:type="dxa"/>
              <w:bottom w:w="0" w:type="dxa"/>
              <w:right w:w="108" w:type="dxa"/>
            </w:tcMar>
          </w:tcPr>
          <w:p w14:paraId="1748DA17" w14:textId="77777777" w:rsidR="00382CF2" w:rsidRDefault="00054989">
            <w:pPr>
              <w:tabs>
                <w:tab w:val="left" w:pos="35"/>
              </w:tabs>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100,00</w:t>
            </w:r>
          </w:p>
        </w:tc>
        <w:tc>
          <w:tcPr>
            <w:tcW w:w="1349" w:type="dxa"/>
            <w:gridSpan w:val="2"/>
            <w:shd w:val="clear" w:color="auto" w:fill="auto"/>
            <w:tcMar>
              <w:top w:w="0" w:type="dxa"/>
              <w:left w:w="108" w:type="dxa"/>
              <w:bottom w:w="0" w:type="dxa"/>
              <w:right w:w="108" w:type="dxa"/>
            </w:tcMar>
          </w:tcPr>
          <w:p w14:paraId="1748DA18" w14:textId="77777777" w:rsidR="00382CF2" w:rsidRDefault="00054989">
            <w:pPr>
              <w:tabs>
                <w:tab w:val="left" w:pos="35"/>
              </w:tabs>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35.479,17</w:t>
            </w:r>
          </w:p>
        </w:tc>
        <w:tc>
          <w:tcPr>
            <w:tcW w:w="1418" w:type="dxa"/>
            <w:tcBorders>
              <w:right w:val="single" w:sz="4" w:space="0" w:color="000000"/>
            </w:tcBorders>
            <w:shd w:val="clear" w:color="auto" w:fill="auto"/>
            <w:tcMar>
              <w:top w:w="0" w:type="dxa"/>
              <w:left w:w="108" w:type="dxa"/>
              <w:bottom w:w="0" w:type="dxa"/>
              <w:right w:w="108" w:type="dxa"/>
            </w:tcMar>
          </w:tcPr>
          <w:p w14:paraId="1748DA19" w14:textId="77777777" w:rsidR="00382CF2" w:rsidRDefault="00054989">
            <w:pPr>
              <w:tabs>
                <w:tab w:val="left" w:pos="35"/>
              </w:tabs>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100,00</w:t>
            </w:r>
          </w:p>
        </w:tc>
      </w:tr>
      <w:tr w:rsidR="00382CF2" w14:paraId="1748DA20" w14:textId="77777777">
        <w:trPr>
          <w:trHeight w:val="329"/>
        </w:trPr>
        <w:tc>
          <w:tcPr>
            <w:tcW w:w="3257" w:type="dxa"/>
            <w:tcBorders>
              <w:left w:val="single" w:sz="4" w:space="0" w:color="000000"/>
            </w:tcBorders>
            <w:shd w:val="clear" w:color="auto" w:fill="auto"/>
            <w:tcMar>
              <w:top w:w="0" w:type="dxa"/>
              <w:left w:w="108" w:type="dxa"/>
              <w:bottom w:w="0" w:type="dxa"/>
              <w:right w:w="108" w:type="dxa"/>
            </w:tcMar>
          </w:tcPr>
          <w:p w14:paraId="1748DA1B" w14:textId="77777777" w:rsidR="00382CF2" w:rsidRDefault="00054989">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 xml:space="preserve"> Od čega:</w:t>
            </w:r>
          </w:p>
        </w:tc>
        <w:tc>
          <w:tcPr>
            <w:tcW w:w="1501" w:type="dxa"/>
            <w:shd w:val="clear" w:color="auto" w:fill="auto"/>
            <w:tcMar>
              <w:top w:w="0" w:type="dxa"/>
              <w:left w:w="108" w:type="dxa"/>
              <w:bottom w:w="0" w:type="dxa"/>
              <w:right w:w="108" w:type="dxa"/>
            </w:tcMar>
          </w:tcPr>
          <w:p w14:paraId="1748DA1C" w14:textId="77777777" w:rsidR="00382CF2" w:rsidRDefault="00382CF2">
            <w:pPr>
              <w:spacing w:after="160" w:line="276" w:lineRule="auto"/>
              <w:jc w:val="right"/>
              <w:rPr>
                <w:rFonts w:ascii="Calibri" w:eastAsia="SimSun" w:hAnsi="Calibri" w:cs="Calibri"/>
                <w:sz w:val="22"/>
                <w:szCs w:val="22"/>
                <w:lang w:val="hr-HR" w:eastAsia="hr-HR"/>
              </w:rPr>
            </w:pPr>
          </w:p>
        </w:tc>
        <w:tc>
          <w:tcPr>
            <w:tcW w:w="1401" w:type="dxa"/>
            <w:shd w:val="clear" w:color="auto" w:fill="auto"/>
            <w:tcMar>
              <w:top w:w="0" w:type="dxa"/>
              <w:left w:w="108" w:type="dxa"/>
              <w:bottom w:w="0" w:type="dxa"/>
              <w:right w:w="108" w:type="dxa"/>
            </w:tcMar>
          </w:tcPr>
          <w:p w14:paraId="1748DA1D" w14:textId="77777777" w:rsidR="00382CF2" w:rsidRDefault="00382CF2">
            <w:pPr>
              <w:spacing w:after="160" w:line="276" w:lineRule="auto"/>
              <w:jc w:val="right"/>
              <w:rPr>
                <w:rFonts w:ascii="Calibri" w:eastAsia="SimSun" w:hAnsi="Calibri" w:cs="Calibri"/>
                <w:sz w:val="22"/>
                <w:szCs w:val="22"/>
                <w:lang w:val="hr-HR" w:eastAsia="hr-HR"/>
              </w:rPr>
            </w:pPr>
          </w:p>
        </w:tc>
        <w:tc>
          <w:tcPr>
            <w:tcW w:w="1349" w:type="dxa"/>
            <w:gridSpan w:val="2"/>
            <w:shd w:val="clear" w:color="auto" w:fill="auto"/>
            <w:tcMar>
              <w:top w:w="0" w:type="dxa"/>
              <w:left w:w="108" w:type="dxa"/>
              <w:bottom w:w="0" w:type="dxa"/>
              <w:right w:w="108" w:type="dxa"/>
            </w:tcMar>
          </w:tcPr>
          <w:p w14:paraId="1748DA1E" w14:textId="77777777" w:rsidR="00382CF2" w:rsidRDefault="00382CF2">
            <w:pPr>
              <w:spacing w:after="160" w:line="276" w:lineRule="auto"/>
              <w:jc w:val="right"/>
              <w:rPr>
                <w:rFonts w:ascii="Calibri" w:eastAsia="SimSun" w:hAnsi="Calibri" w:cs="Calibri"/>
                <w:sz w:val="22"/>
                <w:szCs w:val="22"/>
                <w:lang w:val="hr-HR" w:eastAsia="hr-HR"/>
              </w:rPr>
            </w:pPr>
          </w:p>
        </w:tc>
        <w:tc>
          <w:tcPr>
            <w:tcW w:w="1418" w:type="dxa"/>
            <w:tcBorders>
              <w:right w:val="single" w:sz="4" w:space="0" w:color="000000"/>
            </w:tcBorders>
            <w:shd w:val="clear" w:color="auto" w:fill="auto"/>
            <w:tcMar>
              <w:top w:w="0" w:type="dxa"/>
              <w:left w:w="108" w:type="dxa"/>
              <w:bottom w:w="0" w:type="dxa"/>
              <w:right w:w="108" w:type="dxa"/>
            </w:tcMar>
          </w:tcPr>
          <w:p w14:paraId="1748DA1F" w14:textId="77777777" w:rsidR="00382CF2" w:rsidRDefault="00382CF2">
            <w:pPr>
              <w:spacing w:after="160" w:line="276" w:lineRule="auto"/>
              <w:jc w:val="right"/>
              <w:rPr>
                <w:rFonts w:ascii="Calibri" w:eastAsia="SimSun" w:hAnsi="Calibri" w:cs="Calibri"/>
                <w:sz w:val="22"/>
                <w:szCs w:val="22"/>
                <w:lang w:val="hr-HR" w:eastAsia="hr-HR"/>
              </w:rPr>
            </w:pPr>
          </w:p>
        </w:tc>
      </w:tr>
      <w:tr w:rsidR="00382CF2" w14:paraId="1748DA26" w14:textId="77777777">
        <w:trPr>
          <w:trHeight w:val="329"/>
        </w:trPr>
        <w:tc>
          <w:tcPr>
            <w:tcW w:w="3257" w:type="dxa"/>
            <w:tcBorders>
              <w:left w:val="single" w:sz="4" w:space="0" w:color="000000"/>
            </w:tcBorders>
            <w:shd w:val="clear" w:color="auto" w:fill="auto"/>
            <w:tcMar>
              <w:top w:w="0" w:type="dxa"/>
              <w:left w:w="108" w:type="dxa"/>
              <w:bottom w:w="0" w:type="dxa"/>
              <w:right w:w="108" w:type="dxa"/>
            </w:tcMar>
          </w:tcPr>
          <w:p w14:paraId="1748DA21" w14:textId="77777777" w:rsidR="00382CF2" w:rsidRDefault="00054989">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 xml:space="preserve">    - financijske institucije</w:t>
            </w:r>
          </w:p>
        </w:tc>
        <w:tc>
          <w:tcPr>
            <w:tcW w:w="1501" w:type="dxa"/>
            <w:shd w:val="clear" w:color="auto" w:fill="auto"/>
            <w:tcMar>
              <w:top w:w="0" w:type="dxa"/>
              <w:left w:w="108" w:type="dxa"/>
              <w:bottom w:w="0" w:type="dxa"/>
              <w:right w:w="108" w:type="dxa"/>
            </w:tcMar>
          </w:tcPr>
          <w:p w14:paraId="1748DA22" w14:textId="77777777" w:rsidR="00382CF2" w:rsidRDefault="00054989">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10.898,97</w:t>
            </w:r>
          </w:p>
        </w:tc>
        <w:tc>
          <w:tcPr>
            <w:tcW w:w="1401" w:type="dxa"/>
            <w:shd w:val="clear" w:color="auto" w:fill="auto"/>
            <w:tcMar>
              <w:top w:w="0" w:type="dxa"/>
              <w:left w:w="108" w:type="dxa"/>
              <w:bottom w:w="0" w:type="dxa"/>
              <w:right w:w="108" w:type="dxa"/>
            </w:tcMar>
          </w:tcPr>
          <w:p w14:paraId="1748DA23" w14:textId="77777777" w:rsidR="00382CF2" w:rsidRDefault="00054989">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30,78</w:t>
            </w:r>
          </w:p>
        </w:tc>
        <w:tc>
          <w:tcPr>
            <w:tcW w:w="1349" w:type="dxa"/>
            <w:gridSpan w:val="2"/>
            <w:shd w:val="clear" w:color="auto" w:fill="auto"/>
            <w:tcMar>
              <w:top w:w="0" w:type="dxa"/>
              <w:left w:w="108" w:type="dxa"/>
              <w:bottom w:w="0" w:type="dxa"/>
              <w:right w:w="108" w:type="dxa"/>
            </w:tcMar>
          </w:tcPr>
          <w:p w14:paraId="1748DA24" w14:textId="77777777" w:rsidR="00382CF2" w:rsidRDefault="00054989">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9.970,66</w:t>
            </w:r>
          </w:p>
        </w:tc>
        <w:tc>
          <w:tcPr>
            <w:tcW w:w="1418" w:type="dxa"/>
            <w:tcBorders>
              <w:right w:val="single" w:sz="4" w:space="0" w:color="000000"/>
            </w:tcBorders>
            <w:shd w:val="clear" w:color="auto" w:fill="auto"/>
            <w:tcMar>
              <w:top w:w="0" w:type="dxa"/>
              <w:left w:w="108" w:type="dxa"/>
              <w:bottom w:w="0" w:type="dxa"/>
              <w:right w:w="108" w:type="dxa"/>
            </w:tcMar>
          </w:tcPr>
          <w:p w14:paraId="1748DA25" w14:textId="77777777" w:rsidR="00382CF2" w:rsidRDefault="00054989">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28,10</w:t>
            </w:r>
          </w:p>
        </w:tc>
      </w:tr>
      <w:tr w:rsidR="00382CF2" w14:paraId="1748DA2C" w14:textId="77777777">
        <w:trPr>
          <w:trHeight w:val="329"/>
        </w:trPr>
        <w:tc>
          <w:tcPr>
            <w:tcW w:w="3257" w:type="dxa"/>
            <w:tcBorders>
              <w:left w:val="single" w:sz="4" w:space="0" w:color="000000"/>
            </w:tcBorders>
            <w:shd w:val="clear" w:color="auto" w:fill="auto"/>
            <w:tcMar>
              <w:top w:w="0" w:type="dxa"/>
              <w:left w:w="108" w:type="dxa"/>
              <w:bottom w:w="0" w:type="dxa"/>
              <w:right w:w="108" w:type="dxa"/>
            </w:tcMar>
          </w:tcPr>
          <w:p w14:paraId="1748DA27" w14:textId="77777777" w:rsidR="00382CF2" w:rsidRDefault="00054989">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 xml:space="preserve">    - direktni</w:t>
            </w:r>
          </w:p>
        </w:tc>
        <w:tc>
          <w:tcPr>
            <w:tcW w:w="1501" w:type="dxa"/>
            <w:shd w:val="clear" w:color="auto" w:fill="auto"/>
            <w:tcMar>
              <w:top w:w="0" w:type="dxa"/>
              <w:left w:w="108" w:type="dxa"/>
              <w:bottom w:w="0" w:type="dxa"/>
              <w:right w:w="108" w:type="dxa"/>
            </w:tcMar>
          </w:tcPr>
          <w:p w14:paraId="1748DA28" w14:textId="77777777" w:rsidR="00382CF2" w:rsidRDefault="00054989">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24.513,71</w:t>
            </w:r>
          </w:p>
        </w:tc>
        <w:tc>
          <w:tcPr>
            <w:tcW w:w="1401" w:type="dxa"/>
            <w:shd w:val="clear" w:color="auto" w:fill="auto"/>
            <w:tcMar>
              <w:top w:w="0" w:type="dxa"/>
              <w:left w:w="108" w:type="dxa"/>
              <w:bottom w:w="0" w:type="dxa"/>
              <w:right w:w="108" w:type="dxa"/>
            </w:tcMar>
          </w:tcPr>
          <w:p w14:paraId="1748DA29" w14:textId="77777777" w:rsidR="00382CF2" w:rsidRDefault="00054989">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69,22</w:t>
            </w:r>
          </w:p>
        </w:tc>
        <w:tc>
          <w:tcPr>
            <w:tcW w:w="1349" w:type="dxa"/>
            <w:gridSpan w:val="2"/>
            <w:shd w:val="clear" w:color="auto" w:fill="auto"/>
            <w:tcMar>
              <w:top w:w="0" w:type="dxa"/>
              <w:left w:w="108" w:type="dxa"/>
              <w:bottom w:w="0" w:type="dxa"/>
              <w:right w:w="108" w:type="dxa"/>
            </w:tcMar>
          </w:tcPr>
          <w:p w14:paraId="1748DA2A" w14:textId="77777777" w:rsidR="00382CF2" w:rsidRDefault="00054989">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25.508,51</w:t>
            </w:r>
          </w:p>
        </w:tc>
        <w:tc>
          <w:tcPr>
            <w:tcW w:w="1418" w:type="dxa"/>
            <w:tcBorders>
              <w:right w:val="single" w:sz="4" w:space="0" w:color="000000"/>
            </w:tcBorders>
            <w:shd w:val="clear" w:color="auto" w:fill="auto"/>
            <w:tcMar>
              <w:top w:w="0" w:type="dxa"/>
              <w:left w:w="108" w:type="dxa"/>
              <w:bottom w:w="0" w:type="dxa"/>
              <w:right w:w="108" w:type="dxa"/>
            </w:tcMar>
          </w:tcPr>
          <w:p w14:paraId="1748DA2B" w14:textId="77777777" w:rsidR="00382CF2" w:rsidRDefault="00054989">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71,90</w:t>
            </w:r>
          </w:p>
        </w:tc>
      </w:tr>
      <w:tr w:rsidR="00382CF2" w14:paraId="1748DA32" w14:textId="77777777">
        <w:trPr>
          <w:trHeight w:val="329"/>
        </w:trPr>
        <w:tc>
          <w:tcPr>
            <w:tcW w:w="3257" w:type="dxa"/>
            <w:tcBorders>
              <w:left w:val="single" w:sz="4" w:space="0" w:color="000000"/>
            </w:tcBorders>
            <w:shd w:val="clear" w:color="auto" w:fill="auto"/>
            <w:tcMar>
              <w:top w:w="0" w:type="dxa"/>
              <w:left w:w="108" w:type="dxa"/>
              <w:bottom w:w="0" w:type="dxa"/>
              <w:right w:w="108" w:type="dxa"/>
            </w:tcMar>
          </w:tcPr>
          <w:p w14:paraId="1748DA2D" w14:textId="77777777" w:rsidR="00382CF2" w:rsidRDefault="00054989">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Ukupno rezerviranja, mil. kn</w:t>
            </w:r>
          </w:p>
        </w:tc>
        <w:tc>
          <w:tcPr>
            <w:tcW w:w="1501" w:type="dxa"/>
            <w:shd w:val="clear" w:color="auto" w:fill="auto"/>
            <w:tcMar>
              <w:top w:w="0" w:type="dxa"/>
              <w:left w:w="108" w:type="dxa"/>
              <w:bottom w:w="0" w:type="dxa"/>
              <w:right w:w="108" w:type="dxa"/>
            </w:tcMar>
          </w:tcPr>
          <w:p w14:paraId="1748DA2E" w14:textId="77777777" w:rsidR="00382CF2" w:rsidRDefault="00054989">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3.477,90</w:t>
            </w:r>
          </w:p>
        </w:tc>
        <w:tc>
          <w:tcPr>
            <w:tcW w:w="1401" w:type="dxa"/>
            <w:shd w:val="clear" w:color="auto" w:fill="auto"/>
            <w:tcMar>
              <w:top w:w="0" w:type="dxa"/>
              <w:left w:w="108" w:type="dxa"/>
              <w:bottom w:w="0" w:type="dxa"/>
              <w:right w:w="108" w:type="dxa"/>
            </w:tcMar>
          </w:tcPr>
          <w:p w14:paraId="1748DA2F" w14:textId="77777777" w:rsidR="00382CF2" w:rsidRDefault="00054989">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100,00</w:t>
            </w:r>
          </w:p>
        </w:tc>
        <w:tc>
          <w:tcPr>
            <w:tcW w:w="1349" w:type="dxa"/>
            <w:gridSpan w:val="2"/>
            <w:shd w:val="clear" w:color="auto" w:fill="auto"/>
            <w:tcMar>
              <w:top w:w="0" w:type="dxa"/>
              <w:left w:w="108" w:type="dxa"/>
              <w:bottom w:w="0" w:type="dxa"/>
              <w:right w:w="108" w:type="dxa"/>
            </w:tcMar>
          </w:tcPr>
          <w:p w14:paraId="1748DA30" w14:textId="77777777" w:rsidR="00382CF2" w:rsidRDefault="00054989">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3.637,85</w:t>
            </w:r>
          </w:p>
        </w:tc>
        <w:tc>
          <w:tcPr>
            <w:tcW w:w="1418" w:type="dxa"/>
            <w:tcBorders>
              <w:right w:val="single" w:sz="4" w:space="0" w:color="000000"/>
            </w:tcBorders>
            <w:shd w:val="clear" w:color="auto" w:fill="auto"/>
            <w:tcMar>
              <w:top w:w="0" w:type="dxa"/>
              <w:left w:w="108" w:type="dxa"/>
              <w:bottom w:w="0" w:type="dxa"/>
              <w:right w:w="108" w:type="dxa"/>
            </w:tcMar>
          </w:tcPr>
          <w:p w14:paraId="1748DA31" w14:textId="77777777" w:rsidR="00382CF2" w:rsidRDefault="00054989">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100,00</w:t>
            </w:r>
          </w:p>
        </w:tc>
      </w:tr>
      <w:tr w:rsidR="00382CF2" w14:paraId="1748DA38" w14:textId="77777777">
        <w:trPr>
          <w:trHeight w:val="329"/>
        </w:trPr>
        <w:tc>
          <w:tcPr>
            <w:tcW w:w="3257" w:type="dxa"/>
            <w:tcBorders>
              <w:left w:val="single" w:sz="4" w:space="0" w:color="000000"/>
            </w:tcBorders>
            <w:shd w:val="clear" w:color="auto" w:fill="auto"/>
            <w:tcMar>
              <w:top w:w="0" w:type="dxa"/>
              <w:left w:w="108" w:type="dxa"/>
              <w:bottom w:w="0" w:type="dxa"/>
              <w:right w:w="108" w:type="dxa"/>
            </w:tcMar>
          </w:tcPr>
          <w:p w14:paraId="1748DA33" w14:textId="77777777" w:rsidR="00382CF2" w:rsidRDefault="00054989">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Od čega:</w:t>
            </w:r>
          </w:p>
        </w:tc>
        <w:tc>
          <w:tcPr>
            <w:tcW w:w="1501" w:type="dxa"/>
            <w:shd w:val="clear" w:color="auto" w:fill="auto"/>
            <w:tcMar>
              <w:top w:w="0" w:type="dxa"/>
              <w:left w:w="108" w:type="dxa"/>
              <w:bottom w:w="0" w:type="dxa"/>
              <w:right w:w="108" w:type="dxa"/>
            </w:tcMar>
          </w:tcPr>
          <w:p w14:paraId="1748DA34" w14:textId="77777777" w:rsidR="00382CF2" w:rsidRDefault="00382CF2">
            <w:pPr>
              <w:spacing w:after="160" w:line="276" w:lineRule="auto"/>
              <w:jc w:val="right"/>
              <w:rPr>
                <w:rFonts w:ascii="Calibri" w:eastAsia="SimSun" w:hAnsi="Calibri" w:cs="Calibri"/>
                <w:sz w:val="22"/>
                <w:szCs w:val="22"/>
                <w:lang w:val="hr-HR" w:eastAsia="hr-HR"/>
              </w:rPr>
            </w:pPr>
          </w:p>
        </w:tc>
        <w:tc>
          <w:tcPr>
            <w:tcW w:w="1401" w:type="dxa"/>
            <w:shd w:val="clear" w:color="auto" w:fill="auto"/>
            <w:tcMar>
              <w:top w:w="0" w:type="dxa"/>
              <w:left w:w="108" w:type="dxa"/>
              <w:bottom w:w="0" w:type="dxa"/>
              <w:right w:w="108" w:type="dxa"/>
            </w:tcMar>
          </w:tcPr>
          <w:p w14:paraId="1748DA35" w14:textId="77777777" w:rsidR="00382CF2" w:rsidRDefault="00382CF2">
            <w:pPr>
              <w:spacing w:after="160" w:line="276" w:lineRule="auto"/>
              <w:jc w:val="right"/>
              <w:rPr>
                <w:rFonts w:ascii="Calibri" w:eastAsia="SimSun" w:hAnsi="Calibri" w:cs="Calibri"/>
                <w:sz w:val="22"/>
                <w:szCs w:val="22"/>
                <w:lang w:val="hr-HR" w:eastAsia="hr-HR"/>
              </w:rPr>
            </w:pPr>
          </w:p>
        </w:tc>
        <w:tc>
          <w:tcPr>
            <w:tcW w:w="1349" w:type="dxa"/>
            <w:gridSpan w:val="2"/>
            <w:shd w:val="clear" w:color="auto" w:fill="auto"/>
            <w:tcMar>
              <w:top w:w="0" w:type="dxa"/>
              <w:left w:w="108" w:type="dxa"/>
              <w:bottom w:w="0" w:type="dxa"/>
              <w:right w:w="108" w:type="dxa"/>
            </w:tcMar>
          </w:tcPr>
          <w:p w14:paraId="1748DA36" w14:textId="77777777" w:rsidR="00382CF2" w:rsidRDefault="00382CF2">
            <w:pPr>
              <w:spacing w:after="160" w:line="276" w:lineRule="auto"/>
              <w:jc w:val="right"/>
              <w:rPr>
                <w:rFonts w:ascii="Calibri" w:eastAsia="SimSun" w:hAnsi="Calibri" w:cs="Calibri"/>
                <w:sz w:val="22"/>
                <w:szCs w:val="22"/>
                <w:lang w:val="hr-HR" w:eastAsia="hr-HR"/>
              </w:rPr>
            </w:pPr>
          </w:p>
        </w:tc>
        <w:tc>
          <w:tcPr>
            <w:tcW w:w="1418" w:type="dxa"/>
            <w:tcBorders>
              <w:right w:val="single" w:sz="4" w:space="0" w:color="000000"/>
            </w:tcBorders>
            <w:shd w:val="clear" w:color="auto" w:fill="auto"/>
            <w:tcMar>
              <w:top w:w="0" w:type="dxa"/>
              <w:left w:w="108" w:type="dxa"/>
              <w:bottom w:w="0" w:type="dxa"/>
              <w:right w:w="108" w:type="dxa"/>
            </w:tcMar>
          </w:tcPr>
          <w:p w14:paraId="1748DA37" w14:textId="77777777" w:rsidR="00382CF2" w:rsidRDefault="00382CF2">
            <w:pPr>
              <w:spacing w:after="160" w:line="276" w:lineRule="auto"/>
              <w:jc w:val="right"/>
              <w:rPr>
                <w:rFonts w:ascii="Calibri" w:eastAsia="SimSun" w:hAnsi="Calibri" w:cs="Calibri"/>
                <w:sz w:val="22"/>
                <w:szCs w:val="22"/>
                <w:lang w:val="hr-HR" w:eastAsia="hr-HR"/>
              </w:rPr>
            </w:pPr>
          </w:p>
        </w:tc>
      </w:tr>
      <w:tr w:rsidR="00382CF2" w14:paraId="1748DA3E" w14:textId="77777777">
        <w:trPr>
          <w:trHeight w:val="329"/>
        </w:trPr>
        <w:tc>
          <w:tcPr>
            <w:tcW w:w="3257" w:type="dxa"/>
            <w:tcBorders>
              <w:left w:val="single" w:sz="4" w:space="0" w:color="000000"/>
            </w:tcBorders>
            <w:shd w:val="clear" w:color="auto" w:fill="auto"/>
            <w:tcMar>
              <w:top w:w="0" w:type="dxa"/>
              <w:left w:w="108" w:type="dxa"/>
              <w:bottom w:w="0" w:type="dxa"/>
              <w:right w:w="108" w:type="dxa"/>
            </w:tcMar>
          </w:tcPr>
          <w:p w14:paraId="1748DA39" w14:textId="77777777" w:rsidR="00382CF2" w:rsidRDefault="00054989">
            <w:pPr>
              <w:spacing w:after="160" w:line="276" w:lineRule="auto"/>
              <w:ind w:firstLine="221"/>
              <w:rPr>
                <w:rFonts w:ascii="Calibri" w:eastAsia="SimSun" w:hAnsi="Calibri" w:cs="Calibri"/>
                <w:b/>
                <w:bCs/>
                <w:sz w:val="22"/>
                <w:szCs w:val="22"/>
                <w:lang w:val="hr-HR" w:eastAsia="hr-HR"/>
              </w:rPr>
            </w:pPr>
            <w:r>
              <w:rPr>
                <w:rFonts w:ascii="Calibri" w:eastAsia="SimSun" w:hAnsi="Calibri" w:cs="Calibri"/>
                <w:b/>
                <w:bCs/>
                <w:sz w:val="22"/>
                <w:szCs w:val="22"/>
                <w:lang w:val="hr-HR" w:eastAsia="hr-HR"/>
              </w:rPr>
              <w:t>- financijske institucije</w:t>
            </w:r>
          </w:p>
        </w:tc>
        <w:tc>
          <w:tcPr>
            <w:tcW w:w="1501" w:type="dxa"/>
            <w:shd w:val="clear" w:color="auto" w:fill="auto"/>
            <w:tcMar>
              <w:top w:w="0" w:type="dxa"/>
              <w:left w:w="108" w:type="dxa"/>
              <w:bottom w:w="0" w:type="dxa"/>
              <w:right w:w="108" w:type="dxa"/>
            </w:tcMar>
          </w:tcPr>
          <w:p w14:paraId="1748DA3A" w14:textId="77777777" w:rsidR="00382CF2" w:rsidRDefault="00054989">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63,41</w:t>
            </w:r>
          </w:p>
        </w:tc>
        <w:tc>
          <w:tcPr>
            <w:tcW w:w="1401" w:type="dxa"/>
            <w:shd w:val="clear" w:color="auto" w:fill="auto"/>
            <w:tcMar>
              <w:top w:w="0" w:type="dxa"/>
              <w:left w:w="108" w:type="dxa"/>
              <w:bottom w:w="0" w:type="dxa"/>
              <w:right w:w="108" w:type="dxa"/>
            </w:tcMar>
          </w:tcPr>
          <w:p w14:paraId="1748DA3B" w14:textId="77777777" w:rsidR="00382CF2" w:rsidRDefault="00054989">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1,82</w:t>
            </w:r>
          </w:p>
        </w:tc>
        <w:tc>
          <w:tcPr>
            <w:tcW w:w="1349" w:type="dxa"/>
            <w:gridSpan w:val="2"/>
            <w:shd w:val="clear" w:color="auto" w:fill="auto"/>
            <w:tcMar>
              <w:top w:w="0" w:type="dxa"/>
              <w:left w:w="108" w:type="dxa"/>
              <w:bottom w:w="0" w:type="dxa"/>
              <w:right w:w="108" w:type="dxa"/>
            </w:tcMar>
          </w:tcPr>
          <w:p w14:paraId="1748DA3C" w14:textId="77777777" w:rsidR="00382CF2" w:rsidRDefault="00054989">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68,26</w:t>
            </w:r>
          </w:p>
        </w:tc>
        <w:tc>
          <w:tcPr>
            <w:tcW w:w="1418" w:type="dxa"/>
            <w:tcBorders>
              <w:right w:val="single" w:sz="4" w:space="0" w:color="000000"/>
            </w:tcBorders>
            <w:shd w:val="clear" w:color="auto" w:fill="auto"/>
            <w:tcMar>
              <w:top w:w="0" w:type="dxa"/>
              <w:left w:w="108" w:type="dxa"/>
              <w:bottom w:w="0" w:type="dxa"/>
              <w:right w:w="108" w:type="dxa"/>
            </w:tcMar>
          </w:tcPr>
          <w:p w14:paraId="1748DA3D" w14:textId="77777777" w:rsidR="00382CF2" w:rsidRDefault="00054989">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1,88</w:t>
            </w:r>
          </w:p>
        </w:tc>
      </w:tr>
      <w:tr w:rsidR="00382CF2" w14:paraId="1748DA44" w14:textId="77777777">
        <w:trPr>
          <w:trHeight w:val="329"/>
        </w:trPr>
        <w:tc>
          <w:tcPr>
            <w:tcW w:w="3257" w:type="dxa"/>
            <w:tcBorders>
              <w:left w:val="single" w:sz="4" w:space="0" w:color="000000"/>
            </w:tcBorders>
            <w:shd w:val="clear" w:color="auto" w:fill="auto"/>
            <w:tcMar>
              <w:top w:w="0" w:type="dxa"/>
              <w:left w:w="108" w:type="dxa"/>
              <w:bottom w:w="0" w:type="dxa"/>
              <w:right w:w="108" w:type="dxa"/>
            </w:tcMar>
          </w:tcPr>
          <w:p w14:paraId="1748DA3F" w14:textId="77777777" w:rsidR="00382CF2" w:rsidRDefault="00054989">
            <w:pPr>
              <w:spacing w:after="160" w:line="276" w:lineRule="auto"/>
              <w:ind w:firstLine="221"/>
              <w:rPr>
                <w:rFonts w:ascii="Calibri" w:eastAsia="SimSun" w:hAnsi="Calibri" w:cs="Calibri"/>
                <w:b/>
                <w:bCs/>
                <w:sz w:val="22"/>
                <w:szCs w:val="22"/>
                <w:lang w:val="hr-HR" w:eastAsia="hr-HR"/>
              </w:rPr>
            </w:pPr>
            <w:r>
              <w:rPr>
                <w:rFonts w:ascii="Calibri" w:eastAsia="SimSun" w:hAnsi="Calibri" w:cs="Calibri"/>
                <w:b/>
                <w:bCs/>
                <w:sz w:val="22"/>
                <w:szCs w:val="22"/>
                <w:lang w:val="hr-HR" w:eastAsia="hr-HR"/>
              </w:rPr>
              <w:t>- direktni</w:t>
            </w:r>
          </w:p>
        </w:tc>
        <w:tc>
          <w:tcPr>
            <w:tcW w:w="1501" w:type="dxa"/>
            <w:shd w:val="clear" w:color="auto" w:fill="auto"/>
            <w:tcMar>
              <w:top w:w="0" w:type="dxa"/>
              <w:left w:w="108" w:type="dxa"/>
              <w:bottom w:w="0" w:type="dxa"/>
              <w:right w:w="108" w:type="dxa"/>
            </w:tcMar>
          </w:tcPr>
          <w:p w14:paraId="1748DA40" w14:textId="77777777" w:rsidR="00382CF2" w:rsidRDefault="00054989">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3.414,49</w:t>
            </w:r>
          </w:p>
        </w:tc>
        <w:tc>
          <w:tcPr>
            <w:tcW w:w="1401" w:type="dxa"/>
            <w:shd w:val="clear" w:color="auto" w:fill="auto"/>
            <w:tcMar>
              <w:top w:w="0" w:type="dxa"/>
              <w:left w:w="108" w:type="dxa"/>
              <w:bottom w:w="0" w:type="dxa"/>
              <w:right w:w="108" w:type="dxa"/>
            </w:tcMar>
          </w:tcPr>
          <w:p w14:paraId="1748DA41" w14:textId="77777777" w:rsidR="00382CF2" w:rsidRDefault="00054989">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98,18</w:t>
            </w:r>
          </w:p>
        </w:tc>
        <w:tc>
          <w:tcPr>
            <w:tcW w:w="1349" w:type="dxa"/>
            <w:gridSpan w:val="2"/>
            <w:shd w:val="clear" w:color="auto" w:fill="auto"/>
            <w:tcMar>
              <w:top w:w="0" w:type="dxa"/>
              <w:left w:w="108" w:type="dxa"/>
              <w:bottom w:w="0" w:type="dxa"/>
              <w:right w:w="108" w:type="dxa"/>
            </w:tcMar>
          </w:tcPr>
          <w:p w14:paraId="1748DA42" w14:textId="77777777" w:rsidR="00382CF2" w:rsidRDefault="00054989">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3.569,59</w:t>
            </w:r>
          </w:p>
        </w:tc>
        <w:tc>
          <w:tcPr>
            <w:tcW w:w="1418" w:type="dxa"/>
            <w:tcBorders>
              <w:right w:val="single" w:sz="4" w:space="0" w:color="000000"/>
            </w:tcBorders>
            <w:shd w:val="clear" w:color="auto" w:fill="auto"/>
            <w:tcMar>
              <w:top w:w="0" w:type="dxa"/>
              <w:left w:w="108" w:type="dxa"/>
              <w:bottom w:w="0" w:type="dxa"/>
              <w:right w:w="108" w:type="dxa"/>
            </w:tcMar>
          </w:tcPr>
          <w:p w14:paraId="1748DA43" w14:textId="77777777" w:rsidR="00382CF2" w:rsidRDefault="00054989">
            <w:pPr>
              <w:spacing w:after="160" w:line="276" w:lineRule="auto"/>
              <w:jc w:val="right"/>
              <w:rPr>
                <w:rFonts w:ascii="Calibri" w:eastAsia="SimSun" w:hAnsi="Calibri" w:cs="Calibri"/>
                <w:sz w:val="22"/>
                <w:szCs w:val="22"/>
                <w:lang w:val="hr-HR"/>
              </w:rPr>
            </w:pPr>
            <w:r>
              <w:rPr>
                <w:rFonts w:ascii="Calibri" w:eastAsia="SimSun" w:hAnsi="Calibri" w:cs="Calibri"/>
                <w:sz w:val="22"/>
                <w:szCs w:val="22"/>
                <w:lang w:val="hr-HR"/>
              </w:rPr>
              <w:t>98,12</w:t>
            </w:r>
          </w:p>
        </w:tc>
      </w:tr>
      <w:tr w:rsidR="00382CF2" w14:paraId="1748DA4A" w14:textId="77777777">
        <w:trPr>
          <w:trHeight w:val="329"/>
        </w:trPr>
        <w:tc>
          <w:tcPr>
            <w:tcW w:w="3257" w:type="dxa"/>
            <w:tcBorders>
              <w:left w:val="single" w:sz="4" w:space="0" w:color="000000"/>
              <w:bottom w:val="single" w:sz="4" w:space="0" w:color="000000"/>
            </w:tcBorders>
            <w:shd w:val="clear" w:color="auto" w:fill="auto"/>
            <w:tcMar>
              <w:top w:w="0" w:type="dxa"/>
              <w:left w:w="108" w:type="dxa"/>
              <w:bottom w:w="0" w:type="dxa"/>
              <w:right w:w="108" w:type="dxa"/>
            </w:tcMar>
          </w:tcPr>
          <w:p w14:paraId="1748DA45" w14:textId="77777777" w:rsidR="00382CF2" w:rsidRDefault="00054989">
            <w:pPr>
              <w:spacing w:after="160" w:line="276" w:lineRule="auto"/>
              <w:rPr>
                <w:rFonts w:ascii="Calibri" w:eastAsia="SimSun" w:hAnsi="Calibri" w:cs="Calibri"/>
                <w:b/>
                <w:bCs/>
                <w:sz w:val="22"/>
                <w:szCs w:val="22"/>
                <w:lang w:val="hr-HR" w:eastAsia="hr-HR"/>
              </w:rPr>
            </w:pPr>
            <w:r>
              <w:rPr>
                <w:rFonts w:ascii="Calibri" w:eastAsia="SimSun" w:hAnsi="Calibri" w:cs="Calibri"/>
                <w:b/>
                <w:bCs/>
                <w:sz w:val="22"/>
                <w:szCs w:val="22"/>
                <w:lang w:val="hr-HR" w:eastAsia="hr-HR"/>
              </w:rPr>
              <w:t>Rezerviranja/bruto portfelj</w:t>
            </w:r>
          </w:p>
        </w:tc>
        <w:tc>
          <w:tcPr>
            <w:tcW w:w="1501" w:type="dxa"/>
            <w:tcBorders>
              <w:bottom w:val="single" w:sz="4" w:space="0" w:color="000000"/>
            </w:tcBorders>
            <w:shd w:val="clear" w:color="auto" w:fill="auto"/>
            <w:tcMar>
              <w:top w:w="0" w:type="dxa"/>
              <w:left w:w="108" w:type="dxa"/>
              <w:bottom w:w="0" w:type="dxa"/>
              <w:right w:w="108" w:type="dxa"/>
            </w:tcMar>
          </w:tcPr>
          <w:p w14:paraId="1748DA46" w14:textId="77777777" w:rsidR="00382CF2" w:rsidRDefault="00054989">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9,82 posto</w:t>
            </w:r>
          </w:p>
        </w:tc>
        <w:tc>
          <w:tcPr>
            <w:tcW w:w="1401" w:type="dxa"/>
            <w:tcBorders>
              <w:bottom w:val="single" w:sz="4" w:space="0" w:color="000000"/>
            </w:tcBorders>
            <w:shd w:val="clear" w:color="auto" w:fill="auto"/>
            <w:tcMar>
              <w:top w:w="0" w:type="dxa"/>
              <w:left w:w="108" w:type="dxa"/>
              <w:bottom w:w="0" w:type="dxa"/>
              <w:right w:w="108" w:type="dxa"/>
            </w:tcMar>
          </w:tcPr>
          <w:p w14:paraId="1748DA47" w14:textId="77777777" w:rsidR="00382CF2" w:rsidRDefault="00054989">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w:t>
            </w:r>
          </w:p>
        </w:tc>
        <w:tc>
          <w:tcPr>
            <w:tcW w:w="1349" w:type="dxa"/>
            <w:gridSpan w:val="2"/>
            <w:tcBorders>
              <w:bottom w:val="single" w:sz="4" w:space="0" w:color="000000"/>
            </w:tcBorders>
            <w:shd w:val="clear" w:color="auto" w:fill="auto"/>
            <w:tcMar>
              <w:top w:w="0" w:type="dxa"/>
              <w:left w:w="108" w:type="dxa"/>
              <w:bottom w:w="0" w:type="dxa"/>
              <w:right w:w="108" w:type="dxa"/>
            </w:tcMar>
          </w:tcPr>
          <w:p w14:paraId="1748DA48" w14:textId="77777777" w:rsidR="00382CF2" w:rsidRDefault="00054989">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10,25 posto</w:t>
            </w:r>
          </w:p>
        </w:tc>
        <w:tc>
          <w:tcPr>
            <w:tcW w:w="1418" w:type="dxa"/>
            <w:tcBorders>
              <w:bottom w:val="single" w:sz="4" w:space="0" w:color="000000"/>
              <w:right w:val="single" w:sz="4" w:space="0" w:color="000000"/>
            </w:tcBorders>
            <w:shd w:val="clear" w:color="auto" w:fill="auto"/>
            <w:tcMar>
              <w:top w:w="0" w:type="dxa"/>
              <w:left w:w="108" w:type="dxa"/>
              <w:bottom w:w="0" w:type="dxa"/>
              <w:right w:w="108" w:type="dxa"/>
            </w:tcMar>
          </w:tcPr>
          <w:p w14:paraId="1748DA49" w14:textId="77777777" w:rsidR="00382CF2" w:rsidRDefault="00054989">
            <w:pPr>
              <w:spacing w:after="160" w:line="276" w:lineRule="auto"/>
              <w:jc w:val="right"/>
              <w:rPr>
                <w:rFonts w:ascii="Calibri" w:eastAsia="SimSun" w:hAnsi="Calibri" w:cs="Calibri"/>
                <w:b/>
                <w:bCs/>
                <w:sz w:val="22"/>
                <w:szCs w:val="22"/>
                <w:lang w:val="hr-HR"/>
              </w:rPr>
            </w:pPr>
            <w:r>
              <w:rPr>
                <w:rFonts w:ascii="Calibri" w:eastAsia="SimSun" w:hAnsi="Calibri" w:cs="Calibri"/>
                <w:b/>
                <w:bCs/>
                <w:sz w:val="22"/>
                <w:szCs w:val="22"/>
                <w:lang w:val="hr-HR"/>
              </w:rPr>
              <w:t>-</w:t>
            </w:r>
          </w:p>
        </w:tc>
      </w:tr>
    </w:tbl>
    <w:p w14:paraId="1CC89756" w14:textId="77777777" w:rsidR="00C744C1" w:rsidRDefault="00C744C1">
      <w:pPr>
        <w:suppressAutoHyphens w:val="0"/>
        <w:rPr>
          <w:rStyle w:val="Zadanifontodlomka1"/>
          <w:rFonts w:ascii="Calibri" w:hAnsi="Calibri" w:cs="Calibri"/>
          <w:b/>
          <w:i/>
          <w:spacing w:val="-3"/>
          <w:sz w:val="22"/>
          <w:szCs w:val="22"/>
          <w:lang w:val="hr-HR" w:eastAsia="hr-HR"/>
        </w:rPr>
      </w:pPr>
      <w:r>
        <w:rPr>
          <w:rStyle w:val="Zadanifontodlomka1"/>
          <w:rFonts w:ascii="Calibri" w:hAnsi="Calibri" w:cs="Calibri"/>
          <w:b/>
          <w:i/>
          <w:spacing w:val="-3"/>
          <w:sz w:val="22"/>
          <w:szCs w:val="22"/>
          <w:lang w:val="hr-HR" w:eastAsia="hr-HR"/>
        </w:rPr>
        <w:br w:type="page"/>
      </w:r>
    </w:p>
    <w:p w14:paraId="1748DA4C" w14:textId="5370786C" w:rsidR="00382CF2" w:rsidRDefault="00054989">
      <w:pPr>
        <w:tabs>
          <w:tab w:val="left" w:pos="4536"/>
        </w:tabs>
        <w:ind w:right="-285" w:hanging="284"/>
        <w:jc w:val="both"/>
      </w:pPr>
      <w:r>
        <w:rPr>
          <w:rStyle w:val="Zadanifontodlomka1"/>
          <w:rFonts w:ascii="Calibri" w:hAnsi="Calibri" w:cs="Calibri"/>
          <w:b/>
          <w:i/>
          <w:spacing w:val="-3"/>
          <w:sz w:val="22"/>
          <w:szCs w:val="22"/>
          <w:lang w:val="hr-HR" w:eastAsia="hr-HR"/>
        </w:rPr>
        <w:lastRenderedPageBreak/>
        <w:t xml:space="preserve">     </w:t>
      </w:r>
      <w:r>
        <w:rPr>
          <w:rStyle w:val="Zadanifontodlomka1"/>
          <w:rFonts w:ascii="Calibri" w:eastAsia="SimSun" w:hAnsi="Calibri" w:cs="Calibri"/>
          <w:b/>
          <w:spacing w:val="-3"/>
          <w:sz w:val="22"/>
          <w:szCs w:val="22"/>
          <w:lang w:val="hr-HR"/>
        </w:rPr>
        <w:t>Značajne promjene u financijskom položaju</w:t>
      </w:r>
    </w:p>
    <w:p w14:paraId="1748DA4D" w14:textId="77777777" w:rsidR="00382CF2" w:rsidRDefault="00382CF2">
      <w:pPr>
        <w:tabs>
          <w:tab w:val="left" w:pos="-720"/>
        </w:tabs>
        <w:jc w:val="both"/>
        <w:textAlignment w:val="baseline"/>
        <w:rPr>
          <w:rFonts w:ascii="Calibri" w:eastAsia="Calibri" w:hAnsi="Calibri" w:cs="Calibri"/>
          <w:b/>
          <w:spacing w:val="-3"/>
          <w:sz w:val="22"/>
          <w:szCs w:val="22"/>
          <w:lang w:val="hr-HR"/>
        </w:rPr>
      </w:pPr>
    </w:p>
    <w:p w14:paraId="1748DA4E" w14:textId="3A0B6879" w:rsidR="00382CF2" w:rsidRDefault="00054989">
      <w:pPr>
        <w:tabs>
          <w:tab w:val="left" w:pos="-720"/>
        </w:tabs>
        <w:jc w:val="both"/>
        <w:textAlignment w:val="baseline"/>
      </w:pPr>
      <w:r>
        <w:rPr>
          <w:rStyle w:val="Zadanifontodlomka1"/>
          <w:rFonts w:ascii="Calibri" w:eastAsia="Calibri" w:hAnsi="Calibri" w:cs="Calibri"/>
          <w:spacing w:val="-3"/>
          <w:sz w:val="22"/>
          <w:szCs w:val="22"/>
          <w:lang w:val="hr-HR"/>
        </w:rPr>
        <w:t>Ukupna imovina HBOR-a na dan 31.</w:t>
      </w:r>
      <w:r w:rsidR="00162A62">
        <w:rPr>
          <w:rStyle w:val="Zadanifontodlomka1"/>
          <w:rFonts w:ascii="Calibri" w:eastAsia="Calibri" w:hAnsi="Calibri" w:cs="Calibri"/>
          <w:spacing w:val="-3"/>
          <w:sz w:val="22"/>
          <w:szCs w:val="22"/>
          <w:lang w:val="hr-HR"/>
        </w:rPr>
        <w:t xml:space="preserve"> prosinca </w:t>
      </w:r>
      <w:r>
        <w:rPr>
          <w:rStyle w:val="Zadanifontodlomka1"/>
          <w:rFonts w:ascii="Calibri" w:eastAsia="Calibri" w:hAnsi="Calibri" w:cs="Calibri"/>
          <w:spacing w:val="-3"/>
          <w:sz w:val="22"/>
          <w:szCs w:val="22"/>
          <w:lang w:val="hr-HR"/>
        </w:rPr>
        <w:t>2022. iznosi 29.032,31 milijuna kuna te je u odnosu na 2021.</w:t>
      </w:r>
      <w:r w:rsidR="00DE3EF1">
        <w:rPr>
          <w:rStyle w:val="Zadanifontodlomka1"/>
          <w:rFonts w:ascii="Calibri" w:eastAsia="Calibri" w:hAnsi="Calibri" w:cs="Calibri"/>
          <w:spacing w:val="-3"/>
          <w:sz w:val="22"/>
          <w:szCs w:val="22"/>
          <w:lang w:val="hr-HR"/>
        </w:rPr>
        <w:t xml:space="preserve"> </w:t>
      </w:r>
      <w:r>
        <w:rPr>
          <w:rStyle w:val="Zadanifontodlomka1"/>
          <w:rFonts w:ascii="Calibri" w:eastAsia="Calibri" w:hAnsi="Calibri" w:cs="Calibri"/>
          <w:spacing w:val="-3"/>
          <w:sz w:val="22"/>
          <w:szCs w:val="22"/>
          <w:lang w:val="hr-HR"/>
        </w:rPr>
        <w:t xml:space="preserve">povećana za 2,77 posto </w:t>
      </w:r>
      <w:r>
        <w:rPr>
          <w:rStyle w:val="Zadanifontodlomka1"/>
          <w:rFonts w:ascii="Calibri" w:eastAsia="SimSun" w:hAnsi="Calibri" w:cs="Calibri"/>
          <w:spacing w:val="-3"/>
          <w:sz w:val="22"/>
          <w:szCs w:val="22"/>
          <w:lang w:val="hr-HR"/>
        </w:rPr>
        <w:t>uslijed povećanja plasmana ostalim korisnicima.</w:t>
      </w:r>
      <w:r>
        <w:rPr>
          <w:rStyle w:val="Zadanifontodlomka1"/>
          <w:rFonts w:ascii="Calibri" w:hAnsi="Calibri" w:cs="Calibri"/>
          <w:spacing w:val="-3"/>
          <w:sz w:val="22"/>
          <w:szCs w:val="22"/>
          <w:lang w:val="hr-HR" w:eastAsia="hr-HR"/>
        </w:rPr>
        <w:t xml:space="preserve"> </w:t>
      </w:r>
    </w:p>
    <w:p w14:paraId="1748DA4F" w14:textId="77777777" w:rsidR="00382CF2" w:rsidRDefault="00382CF2">
      <w:pPr>
        <w:tabs>
          <w:tab w:val="left" w:pos="-720"/>
        </w:tabs>
        <w:jc w:val="both"/>
        <w:textAlignment w:val="baseline"/>
        <w:rPr>
          <w:rFonts w:ascii="Calibri" w:hAnsi="Calibri" w:cs="Calibri"/>
          <w:spacing w:val="-3"/>
          <w:sz w:val="22"/>
          <w:szCs w:val="22"/>
          <w:lang w:val="hr-HR" w:eastAsia="hr-HR"/>
        </w:rPr>
      </w:pPr>
    </w:p>
    <w:p w14:paraId="1748DA50" w14:textId="77777777" w:rsidR="00382CF2" w:rsidRDefault="00054989">
      <w:pPr>
        <w:jc w:val="both"/>
        <w:textAlignment w:val="baseline"/>
        <w:rPr>
          <w:rFonts w:ascii="Calibri" w:hAnsi="Calibri" w:cs="Calibri"/>
          <w:b/>
          <w:i/>
          <w:sz w:val="22"/>
          <w:szCs w:val="22"/>
          <w:lang w:val="hr-HR" w:eastAsia="hr-HR"/>
        </w:rPr>
      </w:pPr>
      <w:r>
        <w:rPr>
          <w:rFonts w:ascii="Calibri" w:hAnsi="Calibri" w:cs="Calibri"/>
          <w:b/>
          <w:i/>
          <w:sz w:val="22"/>
          <w:szCs w:val="22"/>
          <w:lang w:val="hr-HR" w:eastAsia="hr-HR"/>
        </w:rPr>
        <w:t xml:space="preserve">Novčana sredstva i depoziti kod drugih banaka </w:t>
      </w:r>
    </w:p>
    <w:p w14:paraId="1748DA51" w14:textId="77777777" w:rsidR="00382CF2" w:rsidRDefault="00382CF2">
      <w:pPr>
        <w:jc w:val="both"/>
        <w:textAlignment w:val="baseline"/>
        <w:rPr>
          <w:rFonts w:ascii="Calibri" w:hAnsi="Calibri" w:cs="Calibri"/>
          <w:b/>
          <w:i/>
          <w:sz w:val="22"/>
          <w:szCs w:val="22"/>
          <w:lang w:val="hr-HR" w:eastAsia="hr-HR"/>
        </w:rPr>
      </w:pPr>
    </w:p>
    <w:p w14:paraId="1748DA52" w14:textId="62B3B3D6" w:rsidR="00382CF2" w:rsidRDefault="00054989">
      <w:pPr>
        <w:jc w:val="both"/>
        <w:textAlignment w:val="baseline"/>
        <w:rPr>
          <w:rFonts w:ascii="Calibri" w:eastAsia="Calibri" w:hAnsi="Calibri" w:cs="Calibri"/>
          <w:sz w:val="22"/>
          <w:szCs w:val="22"/>
          <w:lang w:val="hr-HR"/>
        </w:rPr>
      </w:pPr>
      <w:r>
        <w:rPr>
          <w:rFonts w:ascii="Calibri" w:eastAsia="Calibri" w:hAnsi="Calibri" w:cs="Calibri"/>
          <w:sz w:val="22"/>
          <w:szCs w:val="22"/>
          <w:lang w:val="hr-HR"/>
        </w:rPr>
        <w:t>Stanje novčanih sredstava i depozita kod drugih banaka na kraju 2022. iznosi 1.727,12 milijuna kuna i čini 5,95 posto ukupne imovine te bilježi smanjenje od 12,16 posto u odnosu na prethodnu godinu.</w:t>
      </w:r>
    </w:p>
    <w:p w14:paraId="1748DA53" w14:textId="77777777" w:rsidR="00382CF2" w:rsidRDefault="00382CF2">
      <w:pPr>
        <w:jc w:val="both"/>
        <w:rPr>
          <w:rFonts w:ascii="Calibri" w:hAnsi="Calibri" w:cs="Calibri"/>
          <w:b/>
          <w:i/>
          <w:sz w:val="22"/>
          <w:szCs w:val="22"/>
          <w:lang w:val="hr-HR" w:eastAsia="hr-HR"/>
        </w:rPr>
      </w:pPr>
    </w:p>
    <w:p w14:paraId="1748DA54" w14:textId="77777777" w:rsidR="00382CF2" w:rsidRDefault="00054989">
      <w:pPr>
        <w:jc w:val="both"/>
        <w:rPr>
          <w:rFonts w:ascii="Calibri" w:hAnsi="Calibri" w:cs="Calibri"/>
          <w:b/>
          <w:i/>
          <w:sz w:val="22"/>
          <w:szCs w:val="22"/>
          <w:lang w:val="hr-HR" w:eastAsia="hr-HR"/>
        </w:rPr>
      </w:pPr>
      <w:r>
        <w:rPr>
          <w:rFonts w:ascii="Calibri" w:hAnsi="Calibri" w:cs="Calibri"/>
          <w:b/>
          <w:i/>
          <w:sz w:val="22"/>
          <w:szCs w:val="22"/>
          <w:lang w:val="hr-HR" w:eastAsia="hr-HR"/>
        </w:rPr>
        <w:t xml:space="preserve">Krediti financijskim institucijama i ostalim korisnicima </w:t>
      </w:r>
    </w:p>
    <w:p w14:paraId="1748DA55" w14:textId="77777777" w:rsidR="00382CF2" w:rsidRDefault="00382CF2">
      <w:pPr>
        <w:jc w:val="both"/>
        <w:textAlignment w:val="baseline"/>
        <w:rPr>
          <w:rFonts w:ascii="Calibri" w:hAnsi="Calibri" w:cs="Calibri"/>
          <w:b/>
          <w:i/>
          <w:sz w:val="22"/>
          <w:szCs w:val="22"/>
          <w:lang w:val="hr-HR" w:eastAsia="hr-HR"/>
        </w:rPr>
      </w:pPr>
    </w:p>
    <w:p w14:paraId="1748DA56" w14:textId="5D24C955" w:rsidR="00382CF2" w:rsidRDefault="00054989">
      <w:pPr>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Ukupni neto krediti povećani su za 5,97 posto u odnosu na prošlu godinu te na kraju 2022.</w:t>
      </w:r>
      <w:r w:rsidR="00BA73F7">
        <w:rPr>
          <w:rFonts w:ascii="Calibri" w:eastAsia="Calibri" w:hAnsi="Calibri" w:cs="Calibri"/>
          <w:spacing w:val="-3"/>
          <w:sz w:val="22"/>
          <w:szCs w:val="22"/>
          <w:lang w:val="hr-HR"/>
        </w:rPr>
        <w:t xml:space="preserve"> </w:t>
      </w:r>
      <w:r>
        <w:rPr>
          <w:rFonts w:ascii="Calibri" w:eastAsia="Calibri" w:hAnsi="Calibri" w:cs="Calibri"/>
          <w:spacing w:val="-3"/>
          <w:sz w:val="22"/>
          <w:szCs w:val="22"/>
          <w:lang w:val="hr-HR"/>
        </w:rPr>
        <w:t xml:space="preserve">iznose 24.387,38 milijuna kuna i čine 84,00 posto ukupne imovine. </w:t>
      </w:r>
    </w:p>
    <w:p w14:paraId="1748DA57" w14:textId="77777777" w:rsidR="00382CF2" w:rsidRDefault="00054989">
      <w:pPr>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Ukupni bruto krediti iskazani su u iznosu od 27.903,26 milijuna kuna i povećani su za 5,98 posto u odnosu na prethodnu godinu. Bruto krediti ostalim korisnicima povećani su za 8,52 posto u odnosu na početak godine što je najvećim dijelom rezultat isplata kredita za obrtna sredstva, kredita prema mjerama COVID-19, investicije javnog sektora te investicije privatnog sektora. Bruto krediti financijskim institucijama smanjeni su za 0,89 posto u odnosu na prethodnu godinu.</w:t>
      </w:r>
    </w:p>
    <w:p w14:paraId="1748DA58" w14:textId="77777777" w:rsidR="00382CF2" w:rsidRDefault="00382CF2">
      <w:pPr>
        <w:jc w:val="both"/>
        <w:textAlignment w:val="baseline"/>
        <w:rPr>
          <w:rFonts w:ascii="Calibri" w:eastAsia="Calibri" w:hAnsi="Calibri" w:cs="Calibri"/>
          <w:sz w:val="22"/>
          <w:szCs w:val="22"/>
          <w:lang w:val="hr-HR"/>
        </w:rPr>
      </w:pPr>
    </w:p>
    <w:p w14:paraId="1748DA59" w14:textId="048B0AA7" w:rsidR="00382CF2" w:rsidRDefault="00054989">
      <w:pPr>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Na kraju 2022.</w:t>
      </w:r>
      <w:r w:rsidR="000322CE">
        <w:rPr>
          <w:rFonts w:ascii="Calibri" w:eastAsia="Calibri" w:hAnsi="Calibri" w:cs="Calibri"/>
          <w:spacing w:val="-3"/>
          <w:sz w:val="22"/>
          <w:szCs w:val="22"/>
          <w:lang w:val="hr-HR"/>
        </w:rPr>
        <w:t xml:space="preserve"> </w:t>
      </w:r>
      <w:r>
        <w:rPr>
          <w:rFonts w:ascii="Calibri" w:eastAsia="Calibri" w:hAnsi="Calibri" w:cs="Calibri"/>
          <w:spacing w:val="-3"/>
          <w:sz w:val="22"/>
          <w:szCs w:val="22"/>
          <w:lang w:val="hr-HR"/>
        </w:rPr>
        <w:t>odnos kreditnih bruto plasmana putem financijskih institucija i izravnih plasmana čini 25,25 posto : 74,75 posto.</w:t>
      </w:r>
    </w:p>
    <w:p w14:paraId="1748DA5A" w14:textId="77777777" w:rsidR="00382CF2" w:rsidRDefault="00382CF2">
      <w:pPr>
        <w:tabs>
          <w:tab w:val="left" w:pos="-720"/>
        </w:tabs>
        <w:jc w:val="both"/>
        <w:textAlignment w:val="baseline"/>
        <w:rPr>
          <w:rFonts w:ascii="Calibri" w:eastAsia="Calibri" w:hAnsi="Calibri" w:cs="Calibri"/>
          <w:b/>
          <w:i/>
          <w:sz w:val="22"/>
          <w:szCs w:val="22"/>
          <w:shd w:val="clear" w:color="auto" w:fill="FFFF00"/>
          <w:lang w:val="hr-HR"/>
        </w:rPr>
      </w:pPr>
    </w:p>
    <w:p w14:paraId="1748DA5B" w14:textId="77777777" w:rsidR="00382CF2" w:rsidRDefault="00054989">
      <w:pPr>
        <w:tabs>
          <w:tab w:val="left" w:pos="-720"/>
        </w:tabs>
        <w:jc w:val="both"/>
        <w:textAlignment w:val="baseline"/>
        <w:rPr>
          <w:rFonts w:ascii="Calibri" w:eastAsia="Calibri" w:hAnsi="Calibri" w:cs="Calibri"/>
          <w:b/>
          <w:i/>
          <w:sz w:val="22"/>
          <w:szCs w:val="22"/>
          <w:lang w:val="hr-HR"/>
        </w:rPr>
      </w:pPr>
      <w:r>
        <w:rPr>
          <w:rFonts w:ascii="Calibri" w:eastAsia="Calibri" w:hAnsi="Calibri" w:cs="Calibri"/>
          <w:b/>
          <w:i/>
          <w:sz w:val="22"/>
          <w:szCs w:val="22"/>
          <w:lang w:val="hr-HR"/>
        </w:rPr>
        <w:t>Financijska imovina po fer vrijednosti kroz dobit ili gubitak</w:t>
      </w:r>
    </w:p>
    <w:p w14:paraId="1748DA5C" w14:textId="77777777" w:rsidR="00382CF2" w:rsidRDefault="00382CF2">
      <w:pPr>
        <w:tabs>
          <w:tab w:val="left" w:pos="-720"/>
        </w:tabs>
        <w:jc w:val="both"/>
        <w:textAlignment w:val="baseline"/>
        <w:rPr>
          <w:rFonts w:ascii="Calibri" w:eastAsia="Calibri" w:hAnsi="Calibri" w:cs="Calibri"/>
          <w:b/>
          <w:i/>
          <w:sz w:val="22"/>
          <w:szCs w:val="22"/>
          <w:lang w:val="hr-HR"/>
        </w:rPr>
      </w:pPr>
    </w:p>
    <w:p w14:paraId="1748DA5D" w14:textId="2EEDD4C9" w:rsidR="00382CF2" w:rsidRDefault="00054989">
      <w:pPr>
        <w:tabs>
          <w:tab w:val="left" w:pos="-720"/>
        </w:tabs>
        <w:jc w:val="both"/>
        <w:textAlignment w:val="baseline"/>
        <w:rPr>
          <w:rFonts w:ascii="Calibri" w:eastAsia="Calibri" w:hAnsi="Calibri" w:cs="Calibri"/>
          <w:sz w:val="22"/>
          <w:szCs w:val="22"/>
          <w:lang w:val="hr-HR"/>
        </w:rPr>
      </w:pPr>
      <w:r>
        <w:rPr>
          <w:rFonts w:ascii="Calibri" w:eastAsia="Calibri" w:hAnsi="Calibri" w:cs="Calibri"/>
          <w:sz w:val="22"/>
          <w:szCs w:val="22"/>
          <w:lang w:val="hr-HR"/>
        </w:rPr>
        <w:t xml:space="preserve">U </w:t>
      </w:r>
      <w:r w:rsidR="000322CE">
        <w:rPr>
          <w:rFonts w:ascii="Calibri" w:eastAsia="Calibri" w:hAnsi="Calibri" w:cs="Calibri"/>
          <w:sz w:val="22"/>
          <w:szCs w:val="22"/>
          <w:lang w:val="hr-HR"/>
        </w:rPr>
        <w:t xml:space="preserve">navedenu </w:t>
      </w:r>
      <w:r>
        <w:rPr>
          <w:rFonts w:ascii="Calibri" w:eastAsia="Calibri" w:hAnsi="Calibri" w:cs="Calibri"/>
          <w:sz w:val="22"/>
          <w:szCs w:val="22"/>
          <w:lang w:val="hr-HR"/>
        </w:rPr>
        <w:t>imovinu klasificirani su krediti po fer vrijednosti (</w:t>
      </w:r>
      <w:r w:rsidR="0085350C">
        <w:rPr>
          <w:rFonts w:ascii="Calibri" w:eastAsia="Calibri" w:hAnsi="Calibri" w:cs="Calibri"/>
          <w:sz w:val="22"/>
          <w:szCs w:val="22"/>
          <w:lang w:val="hr-HR"/>
        </w:rPr>
        <w:t>temeljem odluke HBOR-a u navedenu skupinu klasificirani su</w:t>
      </w:r>
      <w:r>
        <w:rPr>
          <w:rFonts w:ascii="Calibri" w:eastAsia="Calibri" w:hAnsi="Calibri" w:cs="Calibri"/>
          <w:sz w:val="22"/>
          <w:szCs w:val="22"/>
          <w:lang w:val="hr-HR"/>
        </w:rPr>
        <w:t xml:space="preserve"> mezzanine krediti), ulaganja u investicijske fondove i dio vlasničkih instrumenata. Ukupan iznos </w:t>
      </w:r>
      <w:r w:rsidR="008F4F7E">
        <w:rPr>
          <w:rFonts w:ascii="Calibri" w:eastAsia="Calibri" w:hAnsi="Calibri" w:cs="Calibri"/>
          <w:sz w:val="22"/>
          <w:szCs w:val="22"/>
          <w:lang w:val="hr-HR"/>
        </w:rPr>
        <w:t xml:space="preserve">predmetne </w:t>
      </w:r>
      <w:r>
        <w:rPr>
          <w:rFonts w:ascii="Calibri" w:eastAsia="Calibri" w:hAnsi="Calibri" w:cs="Calibri"/>
          <w:sz w:val="22"/>
          <w:szCs w:val="22"/>
          <w:lang w:val="hr-HR"/>
        </w:rPr>
        <w:t xml:space="preserve">imovine na dan 31. prosinca 2022. </w:t>
      </w:r>
      <w:r w:rsidR="008F4F7E">
        <w:rPr>
          <w:rFonts w:ascii="Calibri" w:eastAsia="Calibri" w:hAnsi="Calibri" w:cs="Calibri"/>
          <w:sz w:val="22"/>
          <w:szCs w:val="22"/>
          <w:lang w:val="hr-HR"/>
        </w:rPr>
        <w:t xml:space="preserve">godine </w:t>
      </w:r>
      <w:r>
        <w:rPr>
          <w:rFonts w:ascii="Calibri" w:eastAsia="Calibri" w:hAnsi="Calibri" w:cs="Calibri"/>
          <w:sz w:val="22"/>
          <w:szCs w:val="22"/>
          <w:lang w:val="hr-HR"/>
        </w:rPr>
        <w:t xml:space="preserve">iznosi 131,52 milijuna kuna i čini 0,45 posto ukupne imovine. </w:t>
      </w:r>
    </w:p>
    <w:p w14:paraId="1748DA5E" w14:textId="77777777" w:rsidR="00382CF2" w:rsidRDefault="00382CF2">
      <w:pPr>
        <w:tabs>
          <w:tab w:val="left" w:pos="-720"/>
        </w:tabs>
        <w:jc w:val="both"/>
        <w:textAlignment w:val="baseline"/>
        <w:rPr>
          <w:rFonts w:ascii="Calibri" w:eastAsia="Calibri" w:hAnsi="Calibri" w:cs="Calibri"/>
          <w:spacing w:val="-3"/>
          <w:sz w:val="22"/>
          <w:szCs w:val="22"/>
          <w:lang w:val="hr-HR"/>
        </w:rPr>
      </w:pPr>
    </w:p>
    <w:p w14:paraId="1748DA5F" w14:textId="77777777" w:rsidR="00382CF2" w:rsidRDefault="00054989">
      <w:pPr>
        <w:tabs>
          <w:tab w:val="left" w:pos="-720"/>
        </w:tabs>
        <w:jc w:val="both"/>
        <w:textAlignment w:val="baseline"/>
        <w:rPr>
          <w:rFonts w:ascii="Calibri" w:eastAsia="Calibri" w:hAnsi="Calibri" w:cs="Calibri"/>
          <w:b/>
          <w:i/>
          <w:sz w:val="22"/>
          <w:szCs w:val="22"/>
          <w:lang w:val="hr-HR"/>
        </w:rPr>
      </w:pPr>
      <w:r>
        <w:rPr>
          <w:rFonts w:ascii="Calibri" w:eastAsia="Calibri" w:hAnsi="Calibri" w:cs="Calibri"/>
          <w:b/>
          <w:i/>
          <w:sz w:val="22"/>
          <w:szCs w:val="22"/>
          <w:lang w:val="hr-HR"/>
        </w:rPr>
        <w:t>Financijska imovina po fer vrijednosti kroz ostalu sveobuhvatnu dobit</w:t>
      </w:r>
    </w:p>
    <w:p w14:paraId="1748DA60" w14:textId="77777777" w:rsidR="00382CF2" w:rsidRDefault="00382CF2">
      <w:pPr>
        <w:tabs>
          <w:tab w:val="left" w:pos="-720"/>
        </w:tabs>
        <w:jc w:val="both"/>
        <w:textAlignment w:val="baseline"/>
        <w:rPr>
          <w:rFonts w:ascii="Calibri" w:eastAsia="Calibri" w:hAnsi="Calibri" w:cs="Calibri"/>
          <w:b/>
          <w:i/>
          <w:sz w:val="22"/>
          <w:szCs w:val="22"/>
          <w:lang w:val="hr-HR"/>
        </w:rPr>
      </w:pPr>
    </w:p>
    <w:p w14:paraId="1748DA61" w14:textId="77777777" w:rsidR="00382CF2" w:rsidRDefault="00054989">
      <w:pPr>
        <w:tabs>
          <w:tab w:val="left" w:pos="-720"/>
        </w:tabs>
        <w:jc w:val="both"/>
        <w:textAlignment w:val="baseline"/>
        <w:rPr>
          <w:rFonts w:ascii="Calibri" w:eastAsia="Calibri" w:hAnsi="Calibri" w:cs="Calibri"/>
          <w:b/>
          <w:i/>
          <w:sz w:val="22"/>
          <w:szCs w:val="22"/>
          <w:lang w:val="hr-HR"/>
        </w:rPr>
      </w:pPr>
      <w:r>
        <w:rPr>
          <w:rFonts w:ascii="Calibri" w:eastAsia="Calibri" w:hAnsi="Calibri" w:cs="Calibri"/>
          <w:b/>
          <w:i/>
          <w:sz w:val="22"/>
          <w:szCs w:val="22"/>
          <w:lang w:val="hr-HR"/>
        </w:rPr>
        <w:t>a) Dužnički vrijednosni papiri</w:t>
      </w:r>
    </w:p>
    <w:p w14:paraId="1748DA62" w14:textId="77777777" w:rsidR="00382CF2" w:rsidRDefault="00382CF2">
      <w:pPr>
        <w:tabs>
          <w:tab w:val="left" w:pos="-720"/>
        </w:tabs>
        <w:jc w:val="both"/>
        <w:textAlignment w:val="baseline"/>
        <w:rPr>
          <w:rFonts w:ascii="Calibri" w:eastAsia="Calibri" w:hAnsi="Calibri" w:cs="Calibri"/>
          <w:b/>
          <w:i/>
          <w:sz w:val="22"/>
          <w:szCs w:val="22"/>
          <w:lang w:val="hr-HR"/>
        </w:rPr>
      </w:pPr>
    </w:p>
    <w:p w14:paraId="1748DA63" w14:textId="72A02F33" w:rsidR="00382CF2" w:rsidRDefault="00054989">
      <w:pPr>
        <w:jc w:val="both"/>
        <w:textAlignment w:val="baseline"/>
        <w:rPr>
          <w:rFonts w:ascii="Calibri" w:eastAsia="Calibri" w:hAnsi="Calibri" w:cs="Calibri"/>
          <w:sz w:val="22"/>
          <w:szCs w:val="22"/>
          <w:lang w:val="hr-HR"/>
        </w:rPr>
      </w:pPr>
      <w:r>
        <w:rPr>
          <w:rFonts w:ascii="Calibri" w:eastAsia="Calibri" w:hAnsi="Calibri" w:cs="Calibri"/>
          <w:sz w:val="22"/>
          <w:szCs w:val="22"/>
          <w:lang w:val="hr-HR"/>
        </w:rPr>
        <w:t xml:space="preserve">U </w:t>
      </w:r>
      <w:r w:rsidR="008F4F7E">
        <w:rPr>
          <w:rFonts w:ascii="Calibri" w:eastAsia="Calibri" w:hAnsi="Calibri" w:cs="Calibri"/>
          <w:sz w:val="22"/>
          <w:szCs w:val="22"/>
          <w:lang w:val="hr-HR"/>
        </w:rPr>
        <w:t xml:space="preserve">navedenu </w:t>
      </w:r>
      <w:r>
        <w:rPr>
          <w:rFonts w:ascii="Calibri" w:eastAsia="Calibri" w:hAnsi="Calibri" w:cs="Calibri"/>
          <w:sz w:val="22"/>
          <w:szCs w:val="22"/>
          <w:lang w:val="hr-HR"/>
        </w:rPr>
        <w:t xml:space="preserve">imovinu klasificirane su obveznice Republike Hrvatske i trgovačkih društava i trezorski zapisi Ministarstva financija kao dio rezerve likvidnosti te na izvještajni datum iznose 2.586,30 milijuna kuna i čine 8,91 posto ukupne imovine. Umanjenje </w:t>
      </w:r>
      <w:r w:rsidR="00491571">
        <w:rPr>
          <w:rFonts w:ascii="Calibri" w:eastAsia="Calibri" w:hAnsi="Calibri" w:cs="Calibri"/>
          <w:sz w:val="22"/>
          <w:szCs w:val="22"/>
          <w:lang w:val="hr-HR"/>
        </w:rPr>
        <w:t xml:space="preserve">navedene </w:t>
      </w:r>
      <w:r>
        <w:rPr>
          <w:rFonts w:ascii="Calibri" w:eastAsia="Calibri" w:hAnsi="Calibri" w:cs="Calibri"/>
          <w:sz w:val="22"/>
          <w:szCs w:val="22"/>
          <w:lang w:val="hr-HR"/>
        </w:rPr>
        <w:t>financijske imovine obračunava se primjenom modela očekivanih kreditnih gubitaka na način da se rezervacije za umanjenje vrijednosti priznaju na računima ostale sveobuhvatne dobiti i ne umanjuju knjigovodstveni iznos ove financijske imovine u izvještaju o financijskom položaju te na izvještajni datum u ostalim rezervama iznose 4,57 milijuna kuna.</w:t>
      </w:r>
    </w:p>
    <w:p w14:paraId="1748DA64" w14:textId="77777777" w:rsidR="00382CF2" w:rsidRDefault="00382CF2">
      <w:pPr>
        <w:jc w:val="both"/>
        <w:textAlignment w:val="baseline"/>
        <w:rPr>
          <w:rFonts w:ascii="Calibri" w:eastAsia="Calibri" w:hAnsi="Calibri" w:cs="Calibri"/>
          <w:sz w:val="22"/>
          <w:szCs w:val="22"/>
          <w:lang w:val="hr-HR"/>
        </w:rPr>
      </w:pPr>
    </w:p>
    <w:p w14:paraId="1748DA65" w14:textId="77777777" w:rsidR="00382CF2" w:rsidRDefault="00054989">
      <w:pPr>
        <w:tabs>
          <w:tab w:val="left" w:pos="-720"/>
        </w:tabs>
        <w:jc w:val="both"/>
        <w:textAlignment w:val="baseline"/>
        <w:rPr>
          <w:rFonts w:ascii="Calibri" w:eastAsia="Calibri" w:hAnsi="Calibri" w:cs="Calibri"/>
          <w:b/>
          <w:i/>
          <w:sz w:val="22"/>
          <w:szCs w:val="22"/>
          <w:lang w:val="hr-HR"/>
        </w:rPr>
      </w:pPr>
      <w:r>
        <w:rPr>
          <w:rFonts w:ascii="Calibri" w:eastAsia="Calibri" w:hAnsi="Calibri" w:cs="Calibri"/>
          <w:b/>
          <w:i/>
          <w:sz w:val="22"/>
          <w:szCs w:val="22"/>
          <w:lang w:val="hr-HR"/>
        </w:rPr>
        <w:t xml:space="preserve"> b) Vlasnički vrijednosni papiri</w:t>
      </w:r>
    </w:p>
    <w:p w14:paraId="1748DA66" w14:textId="77777777" w:rsidR="00382CF2" w:rsidRDefault="00382CF2">
      <w:pPr>
        <w:tabs>
          <w:tab w:val="left" w:pos="-720"/>
        </w:tabs>
        <w:jc w:val="both"/>
        <w:textAlignment w:val="baseline"/>
        <w:rPr>
          <w:rFonts w:ascii="Calibri" w:eastAsia="Calibri" w:hAnsi="Calibri" w:cs="Calibri"/>
          <w:b/>
          <w:i/>
          <w:sz w:val="22"/>
          <w:szCs w:val="22"/>
          <w:lang w:val="hr-HR"/>
        </w:rPr>
      </w:pPr>
    </w:p>
    <w:p w14:paraId="1748DA67" w14:textId="063F9B43" w:rsidR="00382CF2" w:rsidRDefault="00054989" w:rsidP="00473671">
      <w:pPr>
        <w:tabs>
          <w:tab w:val="left" w:pos="-720"/>
        </w:tabs>
        <w:spacing w:after="240"/>
        <w:jc w:val="both"/>
        <w:textAlignment w:val="baseline"/>
        <w:rPr>
          <w:rFonts w:ascii="Calibri" w:eastAsia="Calibri" w:hAnsi="Calibri" w:cs="Calibri"/>
          <w:sz w:val="22"/>
          <w:szCs w:val="22"/>
          <w:lang w:val="hr-HR"/>
        </w:rPr>
      </w:pPr>
      <w:r>
        <w:rPr>
          <w:rFonts w:ascii="Calibri" w:eastAsia="Calibri" w:hAnsi="Calibri" w:cs="Calibri"/>
          <w:sz w:val="22"/>
          <w:szCs w:val="22"/>
          <w:lang w:val="hr-HR"/>
        </w:rPr>
        <w:t xml:space="preserve">U </w:t>
      </w:r>
      <w:r w:rsidR="00491571">
        <w:rPr>
          <w:rFonts w:ascii="Calibri" w:eastAsia="Calibri" w:hAnsi="Calibri" w:cs="Calibri"/>
          <w:sz w:val="22"/>
          <w:szCs w:val="22"/>
          <w:lang w:val="hr-HR"/>
        </w:rPr>
        <w:t xml:space="preserve">navedenu </w:t>
      </w:r>
      <w:r>
        <w:rPr>
          <w:rFonts w:ascii="Calibri" w:eastAsia="Calibri" w:hAnsi="Calibri" w:cs="Calibri"/>
          <w:sz w:val="22"/>
          <w:szCs w:val="22"/>
          <w:lang w:val="hr-HR"/>
        </w:rPr>
        <w:t>imovinu klasificirani su vlasnički vrijednosni papiri (dionice trgovačkih društava) koje HBOR nema namjeru prodavati i na koje se primjenjuje neopoziva opcija naknadnog mjerenja fer vrijednosti kroz ostalu sveobuhvatnu dobit bez recikliranja, odnosno, rezerve priznate unutar ostale sveobuhvatne dobiti nikada se neće prenijeti u dobit ili gubitak.</w:t>
      </w:r>
    </w:p>
    <w:p w14:paraId="1748DA68" w14:textId="513403D3" w:rsidR="00382CF2" w:rsidRDefault="00491571">
      <w:pPr>
        <w:jc w:val="both"/>
      </w:pPr>
      <w:r>
        <w:rPr>
          <w:rStyle w:val="Zadanifontodlomka1"/>
          <w:rFonts w:ascii="Calibri" w:eastAsia="Calibri" w:hAnsi="Calibri" w:cs="Calibri"/>
          <w:spacing w:val="-3"/>
          <w:sz w:val="22"/>
          <w:szCs w:val="22"/>
          <w:lang w:val="hr-HR"/>
        </w:rPr>
        <w:t xml:space="preserve">Predmetna </w:t>
      </w:r>
      <w:r w:rsidR="00054989">
        <w:rPr>
          <w:rStyle w:val="Zadanifontodlomka1"/>
          <w:rFonts w:ascii="Calibri" w:eastAsia="Calibri" w:hAnsi="Calibri" w:cs="Calibri"/>
          <w:spacing w:val="-3"/>
          <w:sz w:val="22"/>
          <w:szCs w:val="22"/>
          <w:lang w:val="hr-HR"/>
        </w:rPr>
        <w:t>imovina na izvještajni datum iznosi 53,17 milijuna kuna i čini 0,18 posto ukupne imovine.</w:t>
      </w:r>
    </w:p>
    <w:p w14:paraId="1748DA69" w14:textId="77777777" w:rsidR="00382CF2" w:rsidRDefault="00382CF2">
      <w:pPr>
        <w:tabs>
          <w:tab w:val="left" w:pos="-720"/>
        </w:tabs>
        <w:jc w:val="both"/>
        <w:rPr>
          <w:rFonts w:ascii="Calibri" w:eastAsia="SimSun" w:hAnsi="Calibri" w:cs="Calibri"/>
          <w:spacing w:val="-3"/>
          <w:sz w:val="22"/>
          <w:szCs w:val="22"/>
          <w:lang w:val="hr-HR"/>
        </w:rPr>
      </w:pPr>
    </w:p>
    <w:p w14:paraId="1748DA6A" w14:textId="77777777" w:rsidR="00382CF2" w:rsidRDefault="00382CF2">
      <w:pPr>
        <w:tabs>
          <w:tab w:val="left" w:pos="-720"/>
        </w:tabs>
        <w:jc w:val="both"/>
        <w:rPr>
          <w:rFonts w:ascii="Calibri" w:eastAsia="SimSun" w:hAnsi="Calibri" w:cs="Calibri"/>
          <w:spacing w:val="-3"/>
          <w:sz w:val="22"/>
          <w:szCs w:val="22"/>
          <w:lang w:val="hr-HR"/>
        </w:rPr>
      </w:pPr>
    </w:p>
    <w:p w14:paraId="1748DA6B" w14:textId="77777777" w:rsidR="00382CF2" w:rsidRDefault="00054989">
      <w:pPr>
        <w:tabs>
          <w:tab w:val="left" w:pos="-720"/>
        </w:tabs>
        <w:jc w:val="both"/>
      </w:pPr>
      <w:r>
        <w:rPr>
          <w:rStyle w:val="Zadanifontodlomka1"/>
          <w:rFonts w:ascii="Calibri" w:eastAsia="SimSun" w:hAnsi="Calibri" w:cs="Calibri"/>
          <w:spacing w:val="-3"/>
          <w:sz w:val="22"/>
          <w:szCs w:val="22"/>
          <w:lang w:val="hr-HR"/>
        </w:rPr>
        <w:lastRenderedPageBreak/>
        <w:t xml:space="preserve">   </w:t>
      </w:r>
      <w:r>
        <w:rPr>
          <w:rStyle w:val="Zadanifontodlomka1"/>
          <w:rFonts w:ascii="Calibri" w:eastAsia="SimSun" w:hAnsi="Calibri" w:cs="Calibri"/>
          <w:noProof/>
          <w:spacing w:val="-3"/>
          <w:sz w:val="22"/>
          <w:szCs w:val="22"/>
          <w:lang w:val="hr-HR"/>
        </w:rPr>
        <w:drawing>
          <wp:inline distT="0" distB="0" distL="0" distR="0" wp14:anchorId="1748D672" wp14:editId="4B8BE8F9">
            <wp:extent cx="2782850" cy="2505075"/>
            <wp:effectExtent l="0" t="0" r="0" b="0"/>
            <wp:docPr id="29"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2784699" cy="2506740"/>
                    </a:xfrm>
                    <a:prstGeom prst="rect">
                      <a:avLst/>
                    </a:prstGeom>
                    <a:noFill/>
                    <a:ln>
                      <a:noFill/>
                      <a:prstDash/>
                    </a:ln>
                  </pic:spPr>
                </pic:pic>
              </a:graphicData>
            </a:graphic>
          </wp:inline>
        </w:drawing>
      </w:r>
      <w:r>
        <w:rPr>
          <w:rStyle w:val="Zadanifontodlomka1"/>
          <w:rFonts w:ascii="Calibri" w:eastAsia="SimSun" w:hAnsi="Calibri" w:cs="Calibri"/>
          <w:spacing w:val="-3"/>
          <w:sz w:val="22"/>
          <w:szCs w:val="22"/>
          <w:lang w:val="hr-HR"/>
        </w:rPr>
        <w:t xml:space="preserve">    </w:t>
      </w:r>
      <w:r>
        <w:rPr>
          <w:rStyle w:val="Zadanifontodlomka1"/>
          <w:rFonts w:ascii="Calibri" w:eastAsia="SimSun" w:hAnsi="Calibri" w:cs="Calibri"/>
          <w:noProof/>
          <w:spacing w:val="-3"/>
          <w:sz w:val="22"/>
          <w:szCs w:val="22"/>
          <w:lang w:val="hr-HR"/>
        </w:rPr>
        <w:drawing>
          <wp:inline distT="0" distB="0" distL="0" distR="0" wp14:anchorId="1748D674" wp14:editId="429FAAEB">
            <wp:extent cx="2698750" cy="2502437"/>
            <wp:effectExtent l="0" t="0" r="6350" b="0"/>
            <wp:docPr id="30"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2701525" cy="2505011"/>
                    </a:xfrm>
                    <a:prstGeom prst="rect">
                      <a:avLst/>
                    </a:prstGeom>
                    <a:noFill/>
                    <a:ln>
                      <a:noFill/>
                      <a:prstDash/>
                    </a:ln>
                  </pic:spPr>
                </pic:pic>
              </a:graphicData>
            </a:graphic>
          </wp:inline>
        </w:drawing>
      </w:r>
    </w:p>
    <w:p w14:paraId="1748DA6C" w14:textId="77777777" w:rsidR="00382CF2" w:rsidRDefault="00054989">
      <w:pPr>
        <w:tabs>
          <w:tab w:val="left" w:pos="-720"/>
        </w:tabs>
        <w:ind w:left="-567" w:right="-284"/>
        <w:jc w:val="both"/>
        <w:rPr>
          <w:rFonts w:ascii="Calibri" w:eastAsia="SimSun" w:hAnsi="Calibri" w:cs="Calibri"/>
          <w:spacing w:val="-3"/>
          <w:sz w:val="22"/>
          <w:szCs w:val="22"/>
          <w:lang w:val="hr-HR"/>
        </w:rPr>
      </w:pPr>
      <w:r>
        <w:rPr>
          <w:rFonts w:ascii="Calibri" w:eastAsia="SimSun" w:hAnsi="Calibri" w:cs="Calibri"/>
          <w:spacing w:val="-3"/>
          <w:sz w:val="22"/>
          <w:szCs w:val="22"/>
          <w:lang w:val="hr-HR"/>
        </w:rPr>
        <w:t xml:space="preserve">           </w:t>
      </w:r>
    </w:p>
    <w:p w14:paraId="1748DA6D" w14:textId="77777777" w:rsidR="00382CF2" w:rsidRDefault="00054989">
      <w:pPr>
        <w:tabs>
          <w:tab w:val="left" w:pos="-720"/>
        </w:tabs>
        <w:ind w:left="-567" w:right="-284"/>
        <w:jc w:val="both"/>
        <w:rPr>
          <w:rFonts w:ascii="Calibri" w:eastAsia="SimSun" w:hAnsi="Calibri" w:cs="Calibri"/>
          <w:spacing w:val="-3"/>
          <w:sz w:val="22"/>
          <w:szCs w:val="22"/>
          <w:lang w:val="hr-HR"/>
        </w:rPr>
      </w:pPr>
      <w:r>
        <w:rPr>
          <w:rFonts w:ascii="Calibri" w:eastAsia="SimSun" w:hAnsi="Calibri" w:cs="Calibri"/>
          <w:spacing w:val="-3"/>
          <w:sz w:val="22"/>
          <w:szCs w:val="22"/>
          <w:lang w:val="hr-HR"/>
        </w:rPr>
        <w:t xml:space="preserve">                 </w:t>
      </w:r>
    </w:p>
    <w:p w14:paraId="1748DA6E" w14:textId="77777777" w:rsidR="00382CF2" w:rsidRDefault="00054989">
      <w:pPr>
        <w:tabs>
          <w:tab w:val="left" w:pos="-720"/>
          <w:tab w:val="left" w:pos="853"/>
        </w:tabs>
        <w:ind w:left="-567" w:right="-284"/>
        <w:jc w:val="both"/>
        <w:rPr>
          <w:rFonts w:ascii="Calibri" w:eastAsia="SimSun" w:hAnsi="Calibri" w:cs="Calibri"/>
          <w:spacing w:val="-3"/>
          <w:sz w:val="22"/>
          <w:szCs w:val="22"/>
          <w:lang w:val="hr-HR"/>
        </w:rPr>
      </w:pPr>
      <w:r>
        <w:rPr>
          <w:rFonts w:ascii="Calibri" w:eastAsia="SimSun" w:hAnsi="Calibri" w:cs="Calibri"/>
          <w:spacing w:val="-3"/>
          <w:sz w:val="22"/>
          <w:szCs w:val="22"/>
          <w:lang w:val="hr-HR"/>
        </w:rPr>
        <w:t xml:space="preserve">       </w:t>
      </w:r>
      <w:r>
        <w:rPr>
          <w:rFonts w:ascii="Calibri" w:eastAsia="SimSun" w:hAnsi="Calibri" w:cs="Calibri"/>
          <w:spacing w:val="-3"/>
          <w:sz w:val="22"/>
          <w:szCs w:val="22"/>
          <w:lang w:val="hr-HR"/>
        </w:rPr>
        <w:tab/>
        <w:t xml:space="preserve">    </w:t>
      </w:r>
    </w:p>
    <w:p w14:paraId="1748DA6F" w14:textId="5196C566" w:rsidR="00382CF2" w:rsidRDefault="00054989">
      <w:pPr>
        <w:tabs>
          <w:tab w:val="left" w:pos="-720"/>
        </w:tabs>
        <w:jc w:val="both"/>
      </w:pPr>
      <w:r>
        <w:rPr>
          <w:rStyle w:val="Zadanifontodlomka1"/>
          <w:rFonts w:ascii="Calibri" w:eastAsia="SimSun" w:hAnsi="Calibri" w:cs="Calibri"/>
          <w:spacing w:val="-3"/>
          <w:sz w:val="22"/>
          <w:szCs w:val="22"/>
          <w:lang w:val="hr-HR"/>
        </w:rPr>
        <w:t xml:space="preserve">  </w:t>
      </w:r>
      <w:r>
        <w:rPr>
          <w:rStyle w:val="Zadanifontodlomka1"/>
          <w:rFonts w:ascii="Calibri" w:eastAsia="SimSun" w:hAnsi="Calibri" w:cs="Calibri"/>
          <w:noProof/>
          <w:spacing w:val="-3"/>
          <w:sz w:val="22"/>
          <w:szCs w:val="22"/>
          <w:lang w:val="hr-HR"/>
        </w:rPr>
        <w:drawing>
          <wp:inline distT="0" distB="0" distL="0" distR="0" wp14:anchorId="1748D676" wp14:editId="1748D677">
            <wp:extent cx="2816717" cy="2436583"/>
            <wp:effectExtent l="0" t="0" r="2683" b="1817"/>
            <wp:docPr id="31"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2816717" cy="2436583"/>
                    </a:xfrm>
                    <a:prstGeom prst="rect">
                      <a:avLst/>
                    </a:prstGeom>
                    <a:noFill/>
                    <a:ln>
                      <a:noFill/>
                      <a:prstDash/>
                    </a:ln>
                  </pic:spPr>
                </pic:pic>
              </a:graphicData>
            </a:graphic>
          </wp:inline>
        </w:drawing>
      </w:r>
      <w:r>
        <w:rPr>
          <w:rStyle w:val="Zadanifontodlomka1"/>
          <w:rFonts w:ascii="Calibri" w:eastAsia="SimSun" w:hAnsi="Calibri" w:cs="Calibri"/>
          <w:spacing w:val="-3"/>
          <w:sz w:val="22"/>
          <w:szCs w:val="22"/>
          <w:lang w:val="hr-HR"/>
        </w:rPr>
        <w:t xml:space="preserve">   </w:t>
      </w:r>
      <w:r>
        <w:rPr>
          <w:rStyle w:val="Zadanifontodlomka1"/>
          <w:rFonts w:ascii="Calibri" w:eastAsia="SimSun" w:hAnsi="Calibri" w:cs="Calibri"/>
          <w:noProof/>
          <w:spacing w:val="-3"/>
          <w:sz w:val="22"/>
          <w:szCs w:val="22"/>
          <w:lang w:val="hr-HR"/>
        </w:rPr>
        <w:drawing>
          <wp:inline distT="0" distB="0" distL="0" distR="0" wp14:anchorId="6A174526" wp14:editId="1748D679">
            <wp:extent cx="2721748" cy="2438841"/>
            <wp:effectExtent l="0" t="0" r="2402" b="0"/>
            <wp:docPr id="32"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2721748" cy="2438841"/>
                    </a:xfrm>
                    <a:prstGeom prst="rect">
                      <a:avLst/>
                    </a:prstGeom>
                    <a:noFill/>
                    <a:ln>
                      <a:noFill/>
                      <a:prstDash/>
                    </a:ln>
                  </pic:spPr>
                </pic:pic>
              </a:graphicData>
            </a:graphic>
          </wp:inline>
        </w:drawing>
      </w:r>
    </w:p>
    <w:p w14:paraId="1748DA70" w14:textId="77777777" w:rsidR="00382CF2" w:rsidRDefault="00382CF2">
      <w:pPr>
        <w:tabs>
          <w:tab w:val="left" w:pos="-720"/>
        </w:tabs>
        <w:jc w:val="both"/>
        <w:rPr>
          <w:rFonts w:ascii="Calibri" w:eastAsia="SimSun" w:hAnsi="Calibri" w:cs="Calibri"/>
          <w:spacing w:val="-3"/>
          <w:sz w:val="22"/>
          <w:szCs w:val="22"/>
          <w:lang w:val="hr-HR"/>
        </w:rPr>
      </w:pPr>
    </w:p>
    <w:p w14:paraId="1748DA71" w14:textId="77777777" w:rsidR="00382CF2" w:rsidRDefault="00382CF2">
      <w:pPr>
        <w:tabs>
          <w:tab w:val="left" w:pos="-720"/>
        </w:tabs>
        <w:jc w:val="both"/>
        <w:rPr>
          <w:rFonts w:ascii="Calibri" w:hAnsi="Calibri" w:cs="Calibri"/>
          <w:b/>
          <w:i/>
          <w:spacing w:val="-3"/>
          <w:sz w:val="22"/>
          <w:szCs w:val="22"/>
          <w:lang w:val="hr-HR" w:eastAsia="hr-HR"/>
        </w:rPr>
      </w:pPr>
    </w:p>
    <w:p w14:paraId="1748DA72" w14:textId="77777777" w:rsidR="00382CF2" w:rsidRDefault="00054989">
      <w:pPr>
        <w:tabs>
          <w:tab w:val="left" w:pos="-720"/>
        </w:tabs>
        <w:jc w:val="both"/>
        <w:rPr>
          <w:rFonts w:ascii="Calibri" w:hAnsi="Calibri" w:cs="Calibri"/>
          <w:b/>
          <w:i/>
          <w:spacing w:val="-3"/>
          <w:sz w:val="22"/>
          <w:szCs w:val="22"/>
          <w:lang w:val="hr-HR" w:eastAsia="hr-HR"/>
        </w:rPr>
      </w:pPr>
      <w:r>
        <w:rPr>
          <w:rFonts w:ascii="Calibri" w:hAnsi="Calibri" w:cs="Calibri"/>
          <w:b/>
          <w:i/>
          <w:spacing w:val="-3"/>
          <w:sz w:val="22"/>
          <w:szCs w:val="22"/>
          <w:lang w:val="hr-HR" w:eastAsia="hr-HR"/>
        </w:rPr>
        <w:t xml:space="preserve">Ukupne obveze </w:t>
      </w:r>
    </w:p>
    <w:p w14:paraId="1748DA73" w14:textId="77777777" w:rsidR="00382CF2" w:rsidRDefault="00382CF2">
      <w:pPr>
        <w:tabs>
          <w:tab w:val="left" w:pos="-720"/>
        </w:tabs>
        <w:jc w:val="both"/>
        <w:textAlignment w:val="baseline"/>
        <w:rPr>
          <w:rFonts w:ascii="Calibri" w:hAnsi="Calibri" w:cs="Calibri"/>
          <w:b/>
          <w:i/>
          <w:spacing w:val="-3"/>
          <w:sz w:val="22"/>
          <w:szCs w:val="22"/>
          <w:lang w:val="hr-HR" w:eastAsia="hr-HR"/>
        </w:rPr>
      </w:pPr>
    </w:p>
    <w:tbl>
      <w:tblPr>
        <w:tblW w:w="9279" w:type="dxa"/>
        <w:tblCellMar>
          <w:left w:w="10" w:type="dxa"/>
          <w:right w:w="10" w:type="dxa"/>
        </w:tblCellMar>
        <w:tblLook w:val="04A0" w:firstRow="1" w:lastRow="0" w:firstColumn="1" w:lastColumn="0" w:noHBand="0" w:noVBand="1"/>
      </w:tblPr>
      <w:tblGrid>
        <w:gridCol w:w="9279"/>
      </w:tblGrid>
      <w:tr w:rsidR="00382CF2" w14:paraId="1748DA93" w14:textId="77777777">
        <w:trPr>
          <w:trHeight w:val="283"/>
        </w:trPr>
        <w:tc>
          <w:tcPr>
            <w:tcW w:w="9279" w:type="dxa"/>
            <w:shd w:val="clear" w:color="auto" w:fill="auto"/>
            <w:tcMar>
              <w:top w:w="0" w:type="dxa"/>
              <w:left w:w="108" w:type="dxa"/>
              <w:bottom w:w="0" w:type="dxa"/>
              <w:right w:w="108" w:type="dxa"/>
            </w:tcMar>
          </w:tcPr>
          <w:p w14:paraId="1748DA74" w14:textId="4550AAC7" w:rsidR="00382CF2" w:rsidRDefault="00054989">
            <w:pPr>
              <w:tabs>
                <w:tab w:val="left" w:pos="-720"/>
              </w:tabs>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Stanje ukupnih obveza na kraju 2022.</w:t>
            </w:r>
            <w:r w:rsidR="000D55F2">
              <w:rPr>
                <w:rFonts w:ascii="Calibri" w:eastAsia="Calibri" w:hAnsi="Calibri" w:cs="Calibri"/>
                <w:spacing w:val="-3"/>
                <w:sz w:val="22"/>
                <w:szCs w:val="22"/>
                <w:lang w:val="hr-HR"/>
              </w:rPr>
              <w:t xml:space="preserve"> </w:t>
            </w:r>
            <w:r>
              <w:rPr>
                <w:rFonts w:ascii="Calibri" w:eastAsia="Calibri" w:hAnsi="Calibri" w:cs="Calibri"/>
                <w:spacing w:val="-3"/>
                <w:sz w:val="22"/>
                <w:szCs w:val="22"/>
                <w:lang w:val="hr-HR"/>
              </w:rPr>
              <w:t xml:space="preserve">iznosi 18.321,71 milijuna kuna i čini 63,11 posto ukupnih obveza i kapitala i rezervi. Najveći iznos ukupnih obveza čine kreditna zaduženja HBOR-a u ukupnom iznosu od 16.501,28 milijuna kuna. </w:t>
            </w:r>
          </w:p>
          <w:p w14:paraId="1748DA75" w14:textId="77777777" w:rsidR="00382CF2" w:rsidRDefault="00382CF2">
            <w:pPr>
              <w:jc w:val="both"/>
              <w:textAlignment w:val="baseline"/>
              <w:rPr>
                <w:rFonts w:ascii="Calibri" w:eastAsia="Calibri" w:hAnsi="Calibri" w:cs="Calibri"/>
                <w:spacing w:val="-3"/>
                <w:sz w:val="22"/>
                <w:szCs w:val="22"/>
                <w:lang w:val="hr-HR"/>
              </w:rPr>
            </w:pPr>
          </w:p>
          <w:p w14:paraId="1748DA76" w14:textId="77777777" w:rsidR="00382CF2" w:rsidRDefault="00054989">
            <w:pPr>
              <w:tabs>
                <w:tab w:val="left" w:pos="-720"/>
              </w:tabs>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Obveze po kreditima povećane su u odnosu na početak godine za 2,40 posto, a promjene po ovim obvezama daju se u tabeli u nastavku:</w:t>
            </w:r>
          </w:p>
          <w:p w14:paraId="1748DA77" w14:textId="77777777" w:rsidR="00382CF2" w:rsidRDefault="00382CF2">
            <w:pPr>
              <w:tabs>
                <w:tab w:val="left" w:pos="-720"/>
              </w:tabs>
              <w:jc w:val="both"/>
              <w:textAlignment w:val="baseline"/>
              <w:rPr>
                <w:rFonts w:ascii="Calibri" w:eastAsia="Calibri" w:hAnsi="Calibri" w:cs="Calibri"/>
                <w:spacing w:val="-3"/>
                <w:sz w:val="22"/>
                <w:szCs w:val="22"/>
                <w:lang w:val="hr-HR"/>
              </w:rPr>
            </w:pPr>
          </w:p>
          <w:tbl>
            <w:tblPr>
              <w:tblW w:w="9063" w:type="dxa"/>
              <w:tblCellMar>
                <w:left w:w="10" w:type="dxa"/>
                <w:right w:w="10" w:type="dxa"/>
              </w:tblCellMar>
              <w:tblLook w:val="04A0" w:firstRow="1" w:lastRow="0" w:firstColumn="1" w:lastColumn="0" w:noHBand="0" w:noVBand="1"/>
            </w:tblPr>
            <w:tblGrid>
              <w:gridCol w:w="6379"/>
              <w:gridCol w:w="2684"/>
            </w:tblGrid>
            <w:tr w:rsidR="00382CF2" w14:paraId="1748DA7A" w14:textId="77777777">
              <w:trPr>
                <w:trHeight w:val="283"/>
              </w:trPr>
              <w:tc>
                <w:tcPr>
                  <w:tcW w:w="6379" w:type="dxa"/>
                  <w:shd w:val="clear" w:color="auto" w:fill="auto"/>
                  <w:tcMar>
                    <w:top w:w="0" w:type="dxa"/>
                    <w:left w:w="108" w:type="dxa"/>
                    <w:bottom w:w="0" w:type="dxa"/>
                    <w:right w:w="108" w:type="dxa"/>
                  </w:tcMar>
                  <w:vAlign w:val="bottom"/>
                </w:tcPr>
                <w:p w14:paraId="1748DA78" w14:textId="77777777" w:rsidR="00382CF2" w:rsidRDefault="00382CF2">
                  <w:pPr>
                    <w:tabs>
                      <w:tab w:val="left" w:pos="-720"/>
                    </w:tabs>
                    <w:rPr>
                      <w:rFonts w:ascii="Calibri" w:eastAsia="Calibri" w:hAnsi="Calibri" w:cs="Calibri"/>
                      <w:spacing w:val="-3"/>
                      <w:sz w:val="22"/>
                      <w:szCs w:val="22"/>
                      <w:lang w:val="hr-HR"/>
                    </w:rPr>
                  </w:pPr>
                </w:p>
              </w:tc>
              <w:tc>
                <w:tcPr>
                  <w:tcW w:w="2684" w:type="dxa"/>
                  <w:shd w:val="clear" w:color="auto" w:fill="auto"/>
                  <w:tcMar>
                    <w:top w:w="0" w:type="dxa"/>
                    <w:left w:w="108" w:type="dxa"/>
                    <w:bottom w:w="0" w:type="dxa"/>
                    <w:right w:w="108" w:type="dxa"/>
                  </w:tcMar>
                  <w:vAlign w:val="bottom"/>
                </w:tcPr>
                <w:p w14:paraId="1748DA79" w14:textId="77777777" w:rsidR="00382CF2" w:rsidRDefault="00054989">
                  <w:pPr>
                    <w:tabs>
                      <w:tab w:val="left" w:pos="-720"/>
                    </w:tabs>
                    <w:jc w:val="right"/>
                    <w:rPr>
                      <w:rFonts w:ascii="Calibri" w:eastAsia="Calibri" w:hAnsi="Calibri" w:cs="Calibri"/>
                      <w:spacing w:val="-3"/>
                      <w:sz w:val="22"/>
                      <w:szCs w:val="22"/>
                      <w:lang w:val="hr-HR"/>
                    </w:rPr>
                  </w:pPr>
                  <w:r>
                    <w:rPr>
                      <w:rFonts w:ascii="Calibri" w:eastAsia="Calibri" w:hAnsi="Calibri" w:cs="Calibri"/>
                      <w:spacing w:val="-3"/>
                      <w:sz w:val="22"/>
                      <w:szCs w:val="22"/>
                      <w:lang w:val="hr-HR"/>
                    </w:rPr>
                    <w:t>(u milijunima kuna)</w:t>
                  </w:r>
                </w:p>
              </w:tc>
            </w:tr>
            <w:tr w:rsidR="00382CF2" w14:paraId="1748DA7E" w14:textId="77777777">
              <w:trPr>
                <w:trHeight w:val="283"/>
              </w:trPr>
              <w:tc>
                <w:tcPr>
                  <w:tcW w:w="6379" w:type="dxa"/>
                  <w:shd w:val="clear" w:color="auto" w:fill="auto"/>
                  <w:tcMar>
                    <w:top w:w="0" w:type="dxa"/>
                    <w:left w:w="108" w:type="dxa"/>
                    <w:bottom w:w="0" w:type="dxa"/>
                    <w:right w:w="108" w:type="dxa"/>
                  </w:tcMar>
                </w:tcPr>
                <w:p w14:paraId="1748DA7B" w14:textId="77777777" w:rsidR="00382CF2" w:rsidRDefault="00054989">
                  <w:pPr>
                    <w:tabs>
                      <w:tab w:val="left" w:pos="-720"/>
                    </w:tabs>
                    <w:rPr>
                      <w:rFonts w:ascii="Calibri" w:eastAsia="Calibri" w:hAnsi="Calibri" w:cs="Calibri"/>
                      <w:spacing w:val="-3"/>
                      <w:sz w:val="22"/>
                      <w:szCs w:val="22"/>
                      <w:lang w:val="hr-HR"/>
                    </w:rPr>
                  </w:pPr>
                  <w:r>
                    <w:rPr>
                      <w:rFonts w:ascii="Calibri" w:eastAsia="Calibri" w:hAnsi="Calibri" w:cs="Calibri"/>
                      <w:spacing w:val="-3"/>
                      <w:sz w:val="22"/>
                      <w:szCs w:val="22"/>
                      <w:lang w:val="hr-HR"/>
                    </w:rPr>
                    <w:t>- povlačenje sredstava zaduženja po ranije ugovorenim sredstvima posebnih financijskih institucija i zajmu Ministarstva financija</w:t>
                  </w:r>
                </w:p>
              </w:tc>
              <w:tc>
                <w:tcPr>
                  <w:tcW w:w="2684" w:type="dxa"/>
                  <w:shd w:val="clear" w:color="auto" w:fill="auto"/>
                  <w:tcMar>
                    <w:top w:w="0" w:type="dxa"/>
                    <w:left w:w="108" w:type="dxa"/>
                    <w:bottom w:w="0" w:type="dxa"/>
                    <w:right w:w="108" w:type="dxa"/>
                  </w:tcMar>
                </w:tcPr>
                <w:p w14:paraId="1748DA7C" w14:textId="77777777" w:rsidR="00382CF2" w:rsidRDefault="00382CF2">
                  <w:pPr>
                    <w:tabs>
                      <w:tab w:val="left" w:pos="-720"/>
                    </w:tabs>
                    <w:jc w:val="right"/>
                    <w:rPr>
                      <w:rFonts w:ascii="Calibri" w:eastAsia="Calibri" w:hAnsi="Calibri" w:cs="Calibri"/>
                      <w:spacing w:val="-3"/>
                      <w:sz w:val="22"/>
                      <w:szCs w:val="22"/>
                      <w:lang w:val="hr-HR"/>
                    </w:rPr>
                  </w:pPr>
                </w:p>
                <w:p w14:paraId="1748DA7D" w14:textId="77777777" w:rsidR="00382CF2" w:rsidRDefault="00054989">
                  <w:pPr>
                    <w:tabs>
                      <w:tab w:val="left" w:pos="-720"/>
                    </w:tabs>
                    <w:jc w:val="right"/>
                    <w:rPr>
                      <w:rFonts w:ascii="Calibri" w:eastAsia="Calibri" w:hAnsi="Calibri" w:cs="Calibri"/>
                      <w:spacing w:val="-3"/>
                      <w:sz w:val="22"/>
                      <w:szCs w:val="22"/>
                      <w:lang w:val="hr-HR"/>
                    </w:rPr>
                  </w:pPr>
                  <w:r>
                    <w:rPr>
                      <w:rFonts w:ascii="Calibri" w:eastAsia="Calibri" w:hAnsi="Calibri" w:cs="Calibri"/>
                      <w:spacing w:val="-3"/>
                      <w:sz w:val="22"/>
                      <w:szCs w:val="22"/>
                      <w:lang w:val="hr-HR"/>
                    </w:rPr>
                    <w:t>2.981,14</w:t>
                  </w:r>
                </w:p>
              </w:tc>
            </w:tr>
            <w:tr w:rsidR="00382CF2" w14:paraId="1748DA81" w14:textId="77777777">
              <w:trPr>
                <w:trHeight w:val="283"/>
              </w:trPr>
              <w:tc>
                <w:tcPr>
                  <w:tcW w:w="6379" w:type="dxa"/>
                  <w:shd w:val="clear" w:color="auto" w:fill="auto"/>
                  <w:tcMar>
                    <w:top w:w="0" w:type="dxa"/>
                    <w:left w:w="108" w:type="dxa"/>
                    <w:bottom w:w="0" w:type="dxa"/>
                    <w:right w:w="108" w:type="dxa"/>
                  </w:tcMar>
                </w:tcPr>
                <w:p w14:paraId="1748DA7F" w14:textId="77777777" w:rsidR="00382CF2" w:rsidRDefault="00054989">
                  <w:pPr>
                    <w:tabs>
                      <w:tab w:val="left" w:pos="-720"/>
                    </w:tabs>
                    <w:jc w:val="both"/>
                    <w:rPr>
                      <w:rFonts w:ascii="Calibri" w:eastAsia="Calibri" w:hAnsi="Calibri" w:cs="Calibri"/>
                      <w:spacing w:val="-3"/>
                      <w:sz w:val="22"/>
                      <w:szCs w:val="22"/>
                      <w:lang w:val="hr-HR"/>
                    </w:rPr>
                  </w:pPr>
                  <w:r>
                    <w:rPr>
                      <w:rFonts w:ascii="Calibri" w:eastAsia="Calibri" w:hAnsi="Calibri" w:cs="Calibri"/>
                      <w:spacing w:val="-3"/>
                      <w:sz w:val="22"/>
                      <w:szCs w:val="22"/>
                      <w:lang w:val="hr-HR"/>
                    </w:rPr>
                    <w:t>- otplate zaduženja</w:t>
                  </w:r>
                </w:p>
              </w:tc>
              <w:tc>
                <w:tcPr>
                  <w:tcW w:w="2684" w:type="dxa"/>
                  <w:shd w:val="clear" w:color="auto" w:fill="auto"/>
                  <w:tcMar>
                    <w:top w:w="0" w:type="dxa"/>
                    <w:left w:w="108" w:type="dxa"/>
                    <w:bottom w:w="0" w:type="dxa"/>
                    <w:right w:w="108" w:type="dxa"/>
                  </w:tcMar>
                </w:tcPr>
                <w:p w14:paraId="1748DA80" w14:textId="77777777" w:rsidR="00382CF2" w:rsidRDefault="00054989">
                  <w:pPr>
                    <w:tabs>
                      <w:tab w:val="left" w:pos="-720"/>
                    </w:tabs>
                    <w:jc w:val="right"/>
                    <w:rPr>
                      <w:rFonts w:ascii="Calibri" w:eastAsia="Calibri" w:hAnsi="Calibri" w:cs="Calibri"/>
                      <w:spacing w:val="-3"/>
                      <w:sz w:val="22"/>
                      <w:szCs w:val="22"/>
                      <w:lang w:val="hr-HR"/>
                    </w:rPr>
                  </w:pPr>
                  <w:r>
                    <w:rPr>
                      <w:rFonts w:ascii="Calibri" w:eastAsia="Calibri" w:hAnsi="Calibri" w:cs="Calibri"/>
                      <w:spacing w:val="-3"/>
                      <w:sz w:val="22"/>
                      <w:szCs w:val="22"/>
                      <w:lang w:val="hr-HR"/>
                    </w:rPr>
                    <w:t>(2.631,69)</w:t>
                  </w:r>
                </w:p>
              </w:tc>
            </w:tr>
            <w:tr w:rsidR="00382CF2" w14:paraId="1748DA84" w14:textId="77777777">
              <w:trPr>
                <w:trHeight w:val="283"/>
              </w:trPr>
              <w:tc>
                <w:tcPr>
                  <w:tcW w:w="6379" w:type="dxa"/>
                  <w:shd w:val="clear" w:color="auto" w:fill="auto"/>
                  <w:tcMar>
                    <w:top w:w="0" w:type="dxa"/>
                    <w:left w:w="108" w:type="dxa"/>
                    <w:bottom w:w="0" w:type="dxa"/>
                    <w:right w:w="108" w:type="dxa"/>
                  </w:tcMar>
                </w:tcPr>
                <w:p w14:paraId="1748DA82" w14:textId="77777777" w:rsidR="00382CF2" w:rsidRDefault="00054989">
                  <w:pPr>
                    <w:tabs>
                      <w:tab w:val="left" w:pos="-720"/>
                    </w:tabs>
                    <w:jc w:val="both"/>
                  </w:pPr>
                  <w:r>
                    <w:rPr>
                      <w:rStyle w:val="Zadanifontodlomka1"/>
                      <w:rFonts w:ascii="Calibri" w:eastAsia="Calibri" w:hAnsi="Calibri" w:cs="Calibri"/>
                      <w:spacing w:val="-3"/>
                      <w:sz w:val="22"/>
                      <w:szCs w:val="22"/>
                      <w:lang w:val="hr-HR"/>
                    </w:rPr>
                    <w:t>- tečajne razlike</w:t>
                  </w:r>
                </w:p>
              </w:tc>
              <w:tc>
                <w:tcPr>
                  <w:tcW w:w="2684" w:type="dxa"/>
                  <w:shd w:val="clear" w:color="auto" w:fill="auto"/>
                  <w:tcMar>
                    <w:top w:w="0" w:type="dxa"/>
                    <w:left w:w="108" w:type="dxa"/>
                    <w:bottom w:w="0" w:type="dxa"/>
                    <w:right w:w="108" w:type="dxa"/>
                  </w:tcMar>
                </w:tcPr>
                <w:p w14:paraId="1748DA83" w14:textId="77777777" w:rsidR="00382CF2" w:rsidRDefault="00054989">
                  <w:pPr>
                    <w:tabs>
                      <w:tab w:val="left" w:pos="-720"/>
                    </w:tabs>
                    <w:jc w:val="right"/>
                    <w:rPr>
                      <w:rFonts w:ascii="Calibri" w:eastAsia="Calibri" w:hAnsi="Calibri" w:cs="Calibri"/>
                      <w:spacing w:val="-3"/>
                      <w:sz w:val="22"/>
                      <w:szCs w:val="22"/>
                      <w:lang w:val="hr-HR"/>
                    </w:rPr>
                  </w:pPr>
                  <w:r>
                    <w:rPr>
                      <w:rFonts w:ascii="Calibri" w:eastAsia="Calibri" w:hAnsi="Calibri" w:cs="Calibri"/>
                      <w:spacing w:val="-3"/>
                      <w:sz w:val="22"/>
                      <w:szCs w:val="22"/>
                      <w:lang w:val="hr-HR"/>
                    </w:rPr>
                    <w:t>45,68</w:t>
                  </w:r>
                </w:p>
              </w:tc>
            </w:tr>
            <w:tr w:rsidR="00382CF2" w14:paraId="1748DA87" w14:textId="77777777">
              <w:trPr>
                <w:trHeight w:val="283"/>
              </w:trPr>
              <w:tc>
                <w:tcPr>
                  <w:tcW w:w="6379" w:type="dxa"/>
                  <w:tcBorders>
                    <w:bottom w:val="single" w:sz="4" w:space="0" w:color="000000"/>
                  </w:tcBorders>
                  <w:shd w:val="clear" w:color="auto" w:fill="auto"/>
                  <w:tcMar>
                    <w:top w:w="0" w:type="dxa"/>
                    <w:left w:w="108" w:type="dxa"/>
                    <w:bottom w:w="0" w:type="dxa"/>
                    <w:right w:w="108" w:type="dxa"/>
                  </w:tcMar>
                </w:tcPr>
                <w:p w14:paraId="1748DA85" w14:textId="77777777" w:rsidR="00382CF2" w:rsidRDefault="00054989">
                  <w:pPr>
                    <w:tabs>
                      <w:tab w:val="left" w:pos="-720"/>
                    </w:tabs>
                    <w:jc w:val="both"/>
                    <w:rPr>
                      <w:rFonts w:ascii="Calibri" w:eastAsia="Calibri" w:hAnsi="Calibri" w:cs="Calibri"/>
                      <w:spacing w:val="-3"/>
                      <w:sz w:val="22"/>
                      <w:szCs w:val="22"/>
                      <w:lang w:val="hr-HR"/>
                    </w:rPr>
                  </w:pPr>
                  <w:r>
                    <w:rPr>
                      <w:rFonts w:ascii="Calibri" w:eastAsia="Calibri" w:hAnsi="Calibri" w:cs="Calibri"/>
                      <w:spacing w:val="-3"/>
                      <w:sz w:val="22"/>
                      <w:szCs w:val="22"/>
                      <w:lang w:val="hr-HR"/>
                    </w:rPr>
                    <w:t>- ostali obračuni*</w:t>
                  </w:r>
                </w:p>
              </w:tc>
              <w:tc>
                <w:tcPr>
                  <w:tcW w:w="2684" w:type="dxa"/>
                  <w:tcBorders>
                    <w:bottom w:val="single" w:sz="4" w:space="0" w:color="000000"/>
                  </w:tcBorders>
                  <w:shd w:val="clear" w:color="auto" w:fill="auto"/>
                  <w:tcMar>
                    <w:top w:w="0" w:type="dxa"/>
                    <w:left w:w="108" w:type="dxa"/>
                    <w:bottom w:w="0" w:type="dxa"/>
                    <w:right w:w="108" w:type="dxa"/>
                  </w:tcMar>
                </w:tcPr>
                <w:p w14:paraId="1748DA86" w14:textId="77777777" w:rsidR="00382CF2" w:rsidRDefault="00054989">
                  <w:pPr>
                    <w:tabs>
                      <w:tab w:val="left" w:pos="-720"/>
                    </w:tabs>
                    <w:jc w:val="right"/>
                    <w:rPr>
                      <w:rFonts w:ascii="Calibri" w:eastAsia="Calibri" w:hAnsi="Calibri" w:cs="Calibri"/>
                      <w:spacing w:val="-3"/>
                      <w:sz w:val="22"/>
                      <w:szCs w:val="22"/>
                      <w:lang w:val="hr-HR"/>
                    </w:rPr>
                  </w:pPr>
                  <w:r>
                    <w:rPr>
                      <w:rFonts w:ascii="Calibri" w:eastAsia="Calibri" w:hAnsi="Calibri" w:cs="Calibri"/>
                      <w:spacing w:val="-3"/>
                      <w:sz w:val="22"/>
                      <w:szCs w:val="22"/>
                      <w:lang w:val="hr-HR"/>
                    </w:rPr>
                    <w:t>(9,09)</w:t>
                  </w:r>
                </w:p>
              </w:tc>
            </w:tr>
            <w:tr w:rsidR="00382CF2" w14:paraId="1748DA8A" w14:textId="77777777">
              <w:trPr>
                <w:trHeight w:val="283"/>
              </w:trPr>
              <w:tc>
                <w:tcPr>
                  <w:tcW w:w="6379" w:type="dxa"/>
                  <w:tcBorders>
                    <w:top w:val="single" w:sz="4" w:space="0" w:color="000000"/>
                  </w:tcBorders>
                  <w:shd w:val="clear" w:color="auto" w:fill="auto"/>
                  <w:tcMar>
                    <w:top w:w="0" w:type="dxa"/>
                    <w:left w:w="108" w:type="dxa"/>
                    <w:bottom w:w="0" w:type="dxa"/>
                    <w:right w:w="108" w:type="dxa"/>
                  </w:tcMar>
                </w:tcPr>
                <w:p w14:paraId="1748DA88" w14:textId="77777777" w:rsidR="00382CF2" w:rsidRDefault="00054989">
                  <w:pPr>
                    <w:tabs>
                      <w:tab w:val="left" w:pos="-720"/>
                    </w:tabs>
                    <w:jc w:val="both"/>
                    <w:rPr>
                      <w:rFonts w:ascii="Calibri" w:eastAsia="Calibri" w:hAnsi="Calibri" w:cs="Calibri"/>
                      <w:b/>
                      <w:spacing w:val="-3"/>
                      <w:sz w:val="22"/>
                      <w:szCs w:val="22"/>
                      <w:lang w:val="hr-HR"/>
                    </w:rPr>
                  </w:pPr>
                  <w:r>
                    <w:rPr>
                      <w:rFonts w:ascii="Calibri" w:eastAsia="Calibri" w:hAnsi="Calibri" w:cs="Calibri"/>
                      <w:b/>
                      <w:spacing w:val="-3"/>
                      <w:sz w:val="22"/>
                      <w:szCs w:val="22"/>
                      <w:lang w:val="hr-HR"/>
                    </w:rPr>
                    <w:t>Ukupno promjene</w:t>
                  </w:r>
                </w:p>
              </w:tc>
              <w:tc>
                <w:tcPr>
                  <w:tcW w:w="2684" w:type="dxa"/>
                  <w:tcBorders>
                    <w:top w:val="single" w:sz="4" w:space="0" w:color="000000"/>
                  </w:tcBorders>
                  <w:shd w:val="clear" w:color="auto" w:fill="auto"/>
                  <w:tcMar>
                    <w:top w:w="0" w:type="dxa"/>
                    <w:left w:w="108" w:type="dxa"/>
                    <w:bottom w:w="0" w:type="dxa"/>
                    <w:right w:w="108" w:type="dxa"/>
                  </w:tcMar>
                </w:tcPr>
                <w:p w14:paraId="1748DA89" w14:textId="77777777" w:rsidR="00382CF2" w:rsidRDefault="00054989">
                  <w:pPr>
                    <w:tabs>
                      <w:tab w:val="left" w:pos="-720"/>
                    </w:tabs>
                    <w:jc w:val="right"/>
                    <w:rPr>
                      <w:rFonts w:ascii="Calibri" w:eastAsia="Calibri" w:hAnsi="Calibri" w:cs="Calibri"/>
                      <w:b/>
                      <w:spacing w:val="-3"/>
                      <w:sz w:val="22"/>
                      <w:szCs w:val="22"/>
                      <w:lang w:val="hr-HR"/>
                    </w:rPr>
                  </w:pPr>
                  <w:r>
                    <w:rPr>
                      <w:rFonts w:ascii="Calibri" w:eastAsia="Calibri" w:hAnsi="Calibri" w:cs="Calibri"/>
                      <w:b/>
                      <w:spacing w:val="-3"/>
                      <w:sz w:val="22"/>
                      <w:szCs w:val="22"/>
                      <w:lang w:val="hr-HR"/>
                    </w:rPr>
                    <w:t>386,04</w:t>
                  </w:r>
                </w:p>
              </w:tc>
            </w:tr>
            <w:tr w:rsidR="00382CF2" w14:paraId="1748DA8D" w14:textId="77777777">
              <w:trPr>
                <w:trHeight w:val="283"/>
              </w:trPr>
              <w:tc>
                <w:tcPr>
                  <w:tcW w:w="6379" w:type="dxa"/>
                  <w:tcBorders>
                    <w:top w:val="single" w:sz="4" w:space="0" w:color="000000"/>
                  </w:tcBorders>
                  <w:shd w:val="clear" w:color="auto" w:fill="auto"/>
                  <w:tcMar>
                    <w:top w:w="0" w:type="dxa"/>
                    <w:left w:w="108" w:type="dxa"/>
                    <w:bottom w:w="0" w:type="dxa"/>
                    <w:right w:w="108" w:type="dxa"/>
                  </w:tcMar>
                </w:tcPr>
                <w:p w14:paraId="1748DA8B" w14:textId="77777777" w:rsidR="00382CF2" w:rsidRDefault="00382CF2">
                  <w:pPr>
                    <w:tabs>
                      <w:tab w:val="left" w:pos="-720"/>
                    </w:tabs>
                    <w:jc w:val="both"/>
                    <w:rPr>
                      <w:rFonts w:ascii="Calibri" w:eastAsia="Calibri" w:hAnsi="Calibri" w:cs="Calibri"/>
                      <w:b/>
                      <w:spacing w:val="-3"/>
                      <w:sz w:val="22"/>
                      <w:szCs w:val="22"/>
                      <w:lang w:val="hr-HR"/>
                    </w:rPr>
                  </w:pPr>
                </w:p>
              </w:tc>
              <w:tc>
                <w:tcPr>
                  <w:tcW w:w="2684" w:type="dxa"/>
                  <w:tcBorders>
                    <w:top w:val="single" w:sz="4" w:space="0" w:color="000000"/>
                  </w:tcBorders>
                  <w:shd w:val="clear" w:color="auto" w:fill="auto"/>
                  <w:tcMar>
                    <w:top w:w="0" w:type="dxa"/>
                    <w:left w:w="108" w:type="dxa"/>
                    <w:bottom w:w="0" w:type="dxa"/>
                    <w:right w:w="108" w:type="dxa"/>
                  </w:tcMar>
                </w:tcPr>
                <w:p w14:paraId="1748DA8C" w14:textId="77777777" w:rsidR="00382CF2" w:rsidRDefault="00382CF2">
                  <w:pPr>
                    <w:tabs>
                      <w:tab w:val="left" w:pos="-720"/>
                    </w:tabs>
                    <w:jc w:val="right"/>
                    <w:rPr>
                      <w:rFonts w:ascii="Calibri" w:eastAsia="Calibri" w:hAnsi="Calibri" w:cs="Calibri"/>
                      <w:b/>
                      <w:spacing w:val="-3"/>
                      <w:sz w:val="22"/>
                      <w:szCs w:val="22"/>
                      <w:lang w:val="hr-HR"/>
                    </w:rPr>
                  </w:pPr>
                </w:p>
              </w:tc>
            </w:tr>
            <w:tr w:rsidR="00382CF2" w14:paraId="1748DA8F" w14:textId="77777777">
              <w:trPr>
                <w:trHeight w:val="283"/>
              </w:trPr>
              <w:tc>
                <w:tcPr>
                  <w:tcW w:w="9063" w:type="dxa"/>
                  <w:gridSpan w:val="2"/>
                  <w:shd w:val="clear" w:color="auto" w:fill="auto"/>
                  <w:tcMar>
                    <w:top w:w="0" w:type="dxa"/>
                    <w:left w:w="108" w:type="dxa"/>
                    <w:bottom w:w="0" w:type="dxa"/>
                    <w:right w:w="108" w:type="dxa"/>
                  </w:tcMar>
                </w:tcPr>
                <w:p w14:paraId="1748DA8E" w14:textId="77777777" w:rsidR="00382CF2" w:rsidRDefault="00054989">
                  <w:pPr>
                    <w:tabs>
                      <w:tab w:val="left" w:pos="-720"/>
                    </w:tabs>
                    <w:jc w:val="both"/>
                    <w:rPr>
                      <w:rFonts w:ascii="Calibri" w:eastAsia="Calibri" w:hAnsi="Calibri" w:cs="Calibri"/>
                      <w:i/>
                      <w:spacing w:val="-3"/>
                      <w:sz w:val="22"/>
                      <w:szCs w:val="22"/>
                      <w:lang w:val="hr-HR"/>
                    </w:rPr>
                  </w:pPr>
                  <w:r>
                    <w:rPr>
                      <w:rFonts w:ascii="Calibri" w:eastAsia="Calibri" w:hAnsi="Calibri" w:cs="Calibri"/>
                      <w:i/>
                      <w:spacing w:val="-3"/>
                      <w:sz w:val="22"/>
                      <w:szCs w:val="22"/>
                      <w:lang w:val="hr-HR"/>
                    </w:rPr>
                    <w:t>*Ostali obračuni odnose se na promjene iznosa nedospjele kamate i odgođene naknade.</w:t>
                  </w:r>
                </w:p>
              </w:tc>
            </w:tr>
            <w:tr w:rsidR="00382CF2" w14:paraId="1748DA91" w14:textId="77777777">
              <w:trPr>
                <w:trHeight w:val="283"/>
              </w:trPr>
              <w:tc>
                <w:tcPr>
                  <w:tcW w:w="9063" w:type="dxa"/>
                  <w:gridSpan w:val="2"/>
                  <w:shd w:val="clear" w:color="auto" w:fill="auto"/>
                  <w:tcMar>
                    <w:top w:w="0" w:type="dxa"/>
                    <w:left w:w="108" w:type="dxa"/>
                    <w:bottom w:w="0" w:type="dxa"/>
                    <w:right w:w="108" w:type="dxa"/>
                  </w:tcMar>
                </w:tcPr>
                <w:p w14:paraId="1748DA90" w14:textId="77777777" w:rsidR="00382CF2" w:rsidRDefault="00382CF2">
                  <w:pPr>
                    <w:tabs>
                      <w:tab w:val="left" w:pos="-720"/>
                    </w:tabs>
                    <w:jc w:val="both"/>
                    <w:rPr>
                      <w:rFonts w:ascii="Calibri" w:eastAsia="Calibri" w:hAnsi="Calibri" w:cs="Calibri"/>
                      <w:i/>
                      <w:spacing w:val="-3"/>
                      <w:sz w:val="22"/>
                      <w:szCs w:val="22"/>
                      <w:lang w:val="hr-HR"/>
                    </w:rPr>
                  </w:pPr>
                </w:p>
              </w:tc>
            </w:tr>
          </w:tbl>
          <w:p w14:paraId="1748DA92" w14:textId="77777777" w:rsidR="00382CF2" w:rsidRDefault="00382CF2">
            <w:pPr>
              <w:rPr>
                <w:rFonts w:ascii="Calibri" w:eastAsia="Calibri" w:hAnsi="Calibri" w:cs="Calibri"/>
                <w:i/>
                <w:spacing w:val="-3"/>
                <w:sz w:val="22"/>
                <w:szCs w:val="22"/>
                <w:lang w:val="hr-HR"/>
              </w:rPr>
            </w:pPr>
          </w:p>
        </w:tc>
      </w:tr>
    </w:tbl>
    <w:p w14:paraId="1748DA94" w14:textId="1FD7D5AE" w:rsidR="00382CF2" w:rsidRDefault="00054989">
      <w:pPr>
        <w:tabs>
          <w:tab w:val="left" w:pos="-720"/>
        </w:tabs>
        <w:spacing w:line="276" w:lineRule="auto"/>
        <w:jc w:val="both"/>
      </w:pPr>
      <w:r>
        <w:rPr>
          <w:rStyle w:val="Zadanifontodlomka1"/>
          <w:rFonts w:ascii="Calibri" w:hAnsi="Calibri" w:cs="Calibri"/>
          <w:sz w:val="22"/>
          <w:szCs w:val="22"/>
          <w:lang w:val="hr-HR" w:eastAsia="hr-HR"/>
        </w:rPr>
        <w:lastRenderedPageBreak/>
        <w:t xml:space="preserve">HBOR je tijekom 2022. </w:t>
      </w:r>
      <w:r w:rsidR="000D55F2">
        <w:rPr>
          <w:rStyle w:val="Zadanifontodlomka1"/>
          <w:rFonts w:ascii="Calibri" w:hAnsi="Calibri" w:cs="Calibri"/>
          <w:sz w:val="22"/>
          <w:szCs w:val="22"/>
          <w:lang w:val="hr-HR" w:eastAsia="hr-HR"/>
        </w:rPr>
        <w:t xml:space="preserve"> </w:t>
      </w:r>
      <w:r>
        <w:rPr>
          <w:rStyle w:val="Zadanifontodlomka1"/>
          <w:rFonts w:ascii="Calibri" w:hAnsi="Calibri" w:cs="Calibri"/>
          <w:sz w:val="22"/>
          <w:szCs w:val="22"/>
          <w:lang w:val="hr-HR" w:eastAsia="hr-HR"/>
        </w:rPr>
        <w:t>nastavio s pribavljanjem sredstava te je dana 17. svibnja 2022. godine, s Razvojnom bankom vijeća Europe (CEB) potpisao ugovor o zajmu u iznosu od 200 milijuna eura za poticanje gospodarskog rasta te pomoć za oporavak i obnovu od potresa u Hrvatskoj. Sredstva zajma koristi</w:t>
      </w:r>
      <w:r w:rsidR="000D55F2">
        <w:rPr>
          <w:rStyle w:val="Zadanifontodlomka1"/>
          <w:rFonts w:ascii="Calibri" w:hAnsi="Calibri" w:cs="Calibri"/>
          <w:sz w:val="22"/>
          <w:szCs w:val="22"/>
          <w:lang w:val="hr-HR" w:eastAsia="hr-HR"/>
        </w:rPr>
        <w:t>t</w:t>
      </w:r>
      <w:r>
        <w:rPr>
          <w:rStyle w:val="Zadanifontodlomka1"/>
          <w:rFonts w:ascii="Calibri" w:hAnsi="Calibri" w:cs="Calibri"/>
          <w:sz w:val="22"/>
          <w:szCs w:val="22"/>
          <w:lang w:val="hr-HR" w:eastAsia="hr-HR"/>
        </w:rPr>
        <w:t xml:space="preserve"> će se za</w:t>
      </w:r>
      <w:r>
        <w:rPr>
          <w:rStyle w:val="Zadanifontodlomka1"/>
          <w:rFonts w:ascii="Calibri" w:hAnsi="Calibri" w:cs="Calibri"/>
          <w:sz w:val="22"/>
          <w:szCs w:val="22"/>
          <w:lang w:eastAsia="hr-HR"/>
        </w:rPr>
        <w:t xml:space="preserve"> </w:t>
      </w:r>
      <w:r>
        <w:rPr>
          <w:rStyle w:val="Zadanifontodlomka1"/>
          <w:rFonts w:ascii="Calibri" w:hAnsi="Calibri" w:cs="Calibri"/>
          <w:sz w:val="22"/>
          <w:szCs w:val="22"/>
          <w:lang w:val="hr-HR" w:eastAsia="hr-HR"/>
        </w:rPr>
        <w:t>financiranje po postojećim programima financiranja, ali i za projekte koji će se financirati u okviru Nacionalnog plana oporavka i otpornosti (NPOO).</w:t>
      </w:r>
    </w:p>
    <w:p w14:paraId="1748DA95" w14:textId="77777777" w:rsidR="00382CF2" w:rsidRDefault="00382CF2">
      <w:pPr>
        <w:tabs>
          <w:tab w:val="left" w:pos="-720"/>
        </w:tabs>
        <w:spacing w:line="276" w:lineRule="auto"/>
        <w:jc w:val="both"/>
        <w:rPr>
          <w:rFonts w:ascii="Calibri" w:hAnsi="Calibri" w:cs="Calibri"/>
          <w:sz w:val="22"/>
          <w:szCs w:val="22"/>
          <w:lang w:val="hr-HR" w:eastAsia="hr-HR"/>
        </w:rPr>
      </w:pPr>
    </w:p>
    <w:p w14:paraId="1748DA96" w14:textId="77777777" w:rsidR="00382CF2" w:rsidRDefault="00054989">
      <w:pPr>
        <w:tabs>
          <w:tab w:val="left" w:pos="-720"/>
        </w:tabs>
        <w:jc w:val="both"/>
        <w:rPr>
          <w:rFonts w:ascii="Calibri" w:hAnsi="Calibri" w:cs="Calibri"/>
          <w:sz w:val="22"/>
          <w:szCs w:val="22"/>
          <w:lang w:val="hr-HR" w:eastAsia="hr-HR"/>
        </w:rPr>
      </w:pPr>
      <w:r>
        <w:rPr>
          <w:rFonts w:ascii="Calibri" w:hAnsi="Calibri" w:cs="Calibri"/>
          <w:sz w:val="22"/>
          <w:szCs w:val="22"/>
          <w:lang w:val="hr-HR" w:eastAsia="hr-HR"/>
        </w:rPr>
        <w:t>Zajam CEB-a će se putem HBOR-a usmjeriti izravno krajnjim korisnicima za djelomično financiranje razvoja i unapređenja lokalne i regionalne infrastrukture, poput vodoopskrbe, mreža za odvodnju i pročišćavanje otpadnih voda, lokalnih cesta, obrazovnih, kulturnih i drugih komunalnih sadržaja.</w:t>
      </w:r>
    </w:p>
    <w:p w14:paraId="1748DA97" w14:textId="77777777" w:rsidR="00382CF2" w:rsidRDefault="00382CF2">
      <w:pPr>
        <w:tabs>
          <w:tab w:val="left" w:pos="-720"/>
        </w:tabs>
        <w:jc w:val="both"/>
        <w:rPr>
          <w:rFonts w:ascii="Calibri" w:hAnsi="Calibri" w:cs="Calibri"/>
          <w:sz w:val="22"/>
          <w:szCs w:val="22"/>
          <w:lang w:val="hr-HR" w:eastAsia="hr-HR"/>
        </w:rPr>
      </w:pPr>
    </w:p>
    <w:p w14:paraId="1748DA98" w14:textId="362D36D3" w:rsidR="00382CF2" w:rsidRDefault="00054989">
      <w:pPr>
        <w:tabs>
          <w:tab w:val="left" w:pos="-720"/>
        </w:tabs>
        <w:jc w:val="both"/>
      </w:pPr>
      <w:r>
        <w:rPr>
          <w:rStyle w:val="Zadanifontodlomka1"/>
          <w:rFonts w:ascii="Calibri" w:hAnsi="Calibri" w:cs="Calibri"/>
          <w:sz w:val="22"/>
          <w:szCs w:val="22"/>
          <w:lang w:val="hr-HR" w:eastAsia="hr-HR"/>
        </w:rPr>
        <w:t>Uz navedeno, zajam će omogućiti podršku HBOR-a mikro, malim i srednjim poduzećima, otvaranje novih i očuvanje postojećih radnih mjesta te financiranje obnove i opremanja infrastrukture i zgrada oštećenih u potresu.</w:t>
      </w:r>
    </w:p>
    <w:p w14:paraId="1748DA99" w14:textId="77777777" w:rsidR="00382CF2" w:rsidRDefault="00382CF2">
      <w:pPr>
        <w:tabs>
          <w:tab w:val="left" w:pos="-720"/>
        </w:tabs>
        <w:jc w:val="both"/>
        <w:rPr>
          <w:rFonts w:ascii="Calibri" w:hAnsi="Calibri" w:cs="Calibri"/>
          <w:b/>
          <w:i/>
          <w:spacing w:val="-3"/>
          <w:sz w:val="22"/>
          <w:szCs w:val="22"/>
          <w:lang w:val="hr-HR" w:eastAsia="hr-HR"/>
        </w:rPr>
      </w:pPr>
    </w:p>
    <w:p w14:paraId="1748DA9A" w14:textId="6D7503CB" w:rsidR="00382CF2" w:rsidRDefault="00054989">
      <w:pPr>
        <w:tabs>
          <w:tab w:val="left" w:pos="-720"/>
        </w:tabs>
        <w:jc w:val="both"/>
        <w:rPr>
          <w:rFonts w:ascii="Calibri" w:hAnsi="Calibri" w:cs="Calibri"/>
          <w:bCs/>
          <w:iCs/>
          <w:spacing w:val="-3"/>
          <w:sz w:val="22"/>
          <w:szCs w:val="22"/>
          <w:lang w:val="hr-HR" w:eastAsia="hr-HR"/>
        </w:rPr>
      </w:pPr>
      <w:r>
        <w:rPr>
          <w:rFonts w:ascii="Calibri" w:hAnsi="Calibri" w:cs="Calibri"/>
          <w:bCs/>
          <w:iCs/>
          <w:spacing w:val="-3"/>
          <w:sz w:val="22"/>
          <w:szCs w:val="22"/>
          <w:lang w:val="hr-HR" w:eastAsia="hr-HR"/>
        </w:rPr>
        <w:t xml:space="preserve">Nadalje, HBOR je dana 14. listopada 2022. godine s </w:t>
      </w:r>
      <w:r w:rsidR="006F176F" w:rsidRPr="006F176F">
        <w:rPr>
          <w:rFonts w:ascii="Calibri" w:hAnsi="Calibri" w:cs="Calibri"/>
          <w:bCs/>
          <w:iCs/>
          <w:spacing w:val="-3"/>
          <w:sz w:val="22"/>
          <w:szCs w:val="22"/>
          <w:lang w:val="hr-HR" w:eastAsia="hr-HR"/>
        </w:rPr>
        <w:t>Republik</w:t>
      </w:r>
      <w:r w:rsidR="006F176F">
        <w:rPr>
          <w:rFonts w:ascii="Calibri" w:hAnsi="Calibri" w:cs="Calibri"/>
          <w:bCs/>
          <w:iCs/>
          <w:spacing w:val="-3"/>
          <w:sz w:val="22"/>
          <w:szCs w:val="22"/>
          <w:lang w:val="hr-HR" w:eastAsia="hr-HR"/>
        </w:rPr>
        <w:t>om</w:t>
      </w:r>
      <w:r w:rsidR="006F176F" w:rsidRPr="006F176F">
        <w:rPr>
          <w:rFonts w:ascii="Calibri" w:hAnsi="Calibri" w:cs="Calibri"/>
          <w:bCs/>
          <w:iCs/>
          <w:spacing w:val="-3"/>
          <w:sz w:val="22"/>
          <w:szCs w:val="22"/>
          <w:lang w:val="hr-HR" w:eastAsia="hr-HR"/>
        </w:rPr>
        <w:t xml:space="preserve"> Hrvatsk</w:t>
      </w:r>
      <w:r w:rsidR="006F176F">
        <w:rPr>
          <w:rFonts w:ascii="Calibri" w:hAnsi="Calibri" w:cs="Calibri"/>
          <w:bCs/>
          <w:iCs/>
          <w:spacing w:val="-3"/>
          <w:sz w:val="22"/>
          <w:szCs w:val="22"/>
          <w:lang w:val="hr-HR" w:eastAsia="hr-HR"/>
        </w:rPr>
        <w:t>o</w:t>
      </w:r>
      <w:r w:rsidR="00F62580">
        <w:rPr>
          <w:rFonts w:ascii="Calibri" w:hAnsi="Calibri" w:cs="Calibri"/>
          <w:bCs/>
          <w:iCs/>
          <w:spacing w:val="-3"/>
          <w:sz w:val="22"/>
          <w:szCs w:val="22"/>
          <w:lang w:val="hr-HR" w:eastAsia="hr-HR"/>
        </w:rPr>
        <w:t>m</w:t>
      </w:r>
      <w:r w:rsidR="006F176F" w:rsidRPr="006F176F">
        <w:rPr>
          <w:rFonts w:ascii="Calibri" w:hAnsi="Calibri" w:cs="Calibri"/>
          <w:bCs/>
          <w:iCs/>
          <w:spacing w:val="-3"/>
          <w:sz w:val="22"/>
          <w:szCs w:val="22"/>
          <w:lang w:val="hr-HR" w:eastAsia="hr-HR"/>
        </w:rPr>
        <w:t xml:space="preserve"> </w:t>
      </w:r>
      <w:r>
        <w:rPr>
          <w:rFonts w:ascii="Calibri" w:hAnsi="Calibri" w:cs="Calibri"/>
          <w:bCs/>
          <w:iCs/>
          <w:spacing w:val="-3"/>
          <w:sz w:val="22"/>
          <w:szCs w:val="22"/>
          <w:lang w:val="hr-HR" w:eastAsia="hr-HR"/>
        </w:rPr>
        <w:t>– Ministarstvom financija zaključio Ugovor o zajmu u iznosu od 1.000.000 tisuća kuna za opće namjene.</w:t>
      </w:r>
    </w:p>
    <w:p w14:paraId="1748DA9B" w14:textId="77777777" w:rsidR="00382CF2" w:rsidRDefault="00054989">
      <w:pPr>
        <w:tabs>
          <w:tab w:val="left" w:pos="-720"/>
        </w:tabs>
        <w:jc w:val="both"/>
        <w:rPr>
          <w:rFonts w:ascii="Calibri" w:hAnsi="Calibri" w:cs="Calibri"/>
          <w:bCs/>
          <w:iCs/>
          <w:spacing w:val="-3"/>
          <w:sz w:val="22"/>
          <w:szCs w:val="22"/>
          <w:lang w:val="hr-HR" w:eastAsia="hr-HR"/>
        </w:rPr>
      </w:pPr>
      <w:r>
        <w:rPr>
          <w:rFonts w:ascii="Calibri" w:hAnsi="Calibri" w:cs="Calibri"/>
          <w:bCs/>
          <w:iCs/>
          <w:spacing w:val="-3"/>
          <w:sz w:val="22"/>
          <w:szCs w:val="22"/>
          <w:lang w:val="hr-HR" w:eastAsia="hr-HR"/>
        </w:rPr>
        <w:t xml:space="preserve"> </w:t>
      </w:r>
    </w:p>
    <w:p w14:paraId="1748DA9C" w14:textId="77777777" w:rsidR="00382CF2" w:rsidRDefault="00382CF2">
      <w:pPr>
        <w:tabs>
          <w:tab w:val="left" w:pos="-720"/>
        </w:tabs>
        <w:jc w:val="both"/>
        <w:rPr>
          <w:rFonts w:ascii="Calibri" w:hAnsi="Calibri" w:cs="Calibri"/>
          <w:bCs/>
          <w:iCs/>
          <w:spacing w:val="-3"/>
          <w:sz w:val="22"/>
          <w:szCs w:val="22"/>
          <w:lang w:val="hr-HR" w:eastAsia="hr-HR"/>
        </w:rPr>
      </w:pPr>
    </w:p>
    <w:p w14:paraId="1748DA9D" w14:textId="77777777" w:rsidR="00382CF2" w:rsidRDefault="00054989">
      <w:pPr>
        <w:tabs>
          <w:tab w:val="left" w:pos="-720"/>
        </w:tabs>
        <w:jc w:val="both"/>
        <w:rPr>
          <w:rFonts w:ascii="Calibri" w:hAnsi="Calibri" w:cs="Calibri"/>
          <w:b/>
          <w:i/>
          <w:spacing w:val="-3"/>
          <w:sz w:val="22"/>
          <w:szCs w:val="22"/>
          <w:lang w:val="hr-HR" w:eastAsia="hr-HR"/>
        </w:rPr>
      </w:pPr>
      <w:r>
        <w:rPr>
          <w:rFonts w:ascii="Calibri" w:hAnsi="Calibri" w:cs="Calibri"/>
          <w:b/>
          <w:i/>
          <w:spacing w:val="-3"/>
          <w:sz w:val="22"/>
          <w:szCs w:val="22"/>
          <w:lang w:val="hr-HR" w:eastAsia="hr-HR"/>
        </w:rPr>
        <w:t xml:space="preserve">Ukupni kapital i rezerve </w:t>
      </w:r>
    </w:p>
    <w:p w14:paraId="1748DA9E" w14:textId="77777777" w:rsidR="00382CF2" w:rsidRDefault="00382CF2">
      <w:pPr>
        <w:tabs>
          <w:tab w:val="left" w:pos="-720"/>
        </w:tabs>
        <w:jc w:val="both"/>
        <w:textAlignment w:val="baseline"/>
        <w:rPr>
          <w:rFonts w:ascii="Calibri" w:hAnsi="Calibri" w:cs="Calibri"/>
          <w:b/>
          <w:i/>
          <w:spacing w:val="-3"/>
          <w:sz w:val="22"/>
          <w:szCs w:val="22"/>
          <w:lang w:val="hr-HR" w:eastAsia="hr-HR"/>
        </w:rPr>
      </w:pPr>
    </w:p>
    <w:p w14:paraId="1748DA9F" w14:textId="7F9D027B" w:rsidR="00382CF2" w:rsidRDefault="00054989">
      <w:pPr>
        <w:jc w:val="both"/>
        <w:textAlignment w:val="baseline"/>
        <w:rPr>
          <w:rFonts w:ascii="Calibri" w:hAnsi="Calibri" w:cs="Calibri"/>
          <w:spacing w:val="-3"/>
          <w:sz w:val="22"/>
          <w:szCs w:val="22"/>
          <w:lang w:val="hr-HR" w:eastAsia="hr-HR"/>
        </w:rPr>
      </w:pPr>
      <w:r>
        <w:rPr>
          <w:rFonts w:ascii="Calibri" w:hAnsi="Calibri" w:cs="Calibri"/>
          <w:spacing w:val="-3"/>
          <w:sz w:val="22"/>
          <w:szCs w:val="22"/>
          <w:lang w:val="hr-HR" w:eastAsia="hr-HR"/>
        </w:rPr>
        <w:t>Od ukupnog iznosa ukupnih obveza i kapitala i rezervi</w:t>
      </w:r>
      <w:r w:rsidR="001A6967">
        <w:rPr>
          <w:rFonts w:ascii="Calibri" w:hAnsi="Calibri" w:cs="Calibri"/>
          <w:spacing w:val="-3"/>
          <w:sz w:val="22"/>
          <w:szCs w:val="22"/>
          <w:lang w:val="hr-HR" w:eastAsia="hr-HR"/>
        </w:rPr>
        <w:t>,</w:t>
      </w:r>
      <w:r>
        <w:rPr>
          <w:rFonts w:ascii="Calibri" w:hAnsi="Calibri" w:cs="Calibri"/>
          <w:spacing w:val="-3"/>
          <w:sz w:val="22"/>
          <w:szCs w:val="22"/>
          <w:lang w:val="hr-HR" w:eastAsia="hr-HR"/>
        </w:rPr>
        <w:t xml:space="preserve"> na ukupni kapital i rezerve odnosi </w:t>
      </w:r>
      <w:r w:rsidR="001A6967">
        <w:rPr>
          <w:rFonts w:ascii="Calibri" w:hAnsi="Calibri" w:cs="Calibri"/>
          <w:spacing w:val="-3"/>
          <w:sz w:val="22"/>
          <w:szCs w:val="22"/>
          <w:lang w:val="hr-HR" w:eastAsia="hr-HR"/>
        </w:rPr>
        <w:t xml:space="preserve">se </w:t>
      </w:r>
      <w:r>
        <w:rPr>
          <w:rFonts w:ascii="Calibri" w:hAnsi="Calibri" w:cs="Calibri"/>
          <w:spacing w:val="-3"/>
          <w:sz w:val="22"/>
          <w:szCs w:val="22"/>
          <w:lang w:val="hr-HR" w:eastAsia="hr-HR"/>
        </w:rPr>
        <w:t>10.710,60 milijuna kuna ili 36,89 posto.</w:t>
      </w:r>
    </w:p>
    <w:p w14:paraId="1748DAA0" w14:textId="77777777" w:rsidR="00382CF2" w:rsidRDefault="00382CF2">
      <w:pPr>
        <w:jc w:val="both"/>
        <w:textAlignment w:val="baseline"/>
        <w:rPr>
          <w:rFonts w:ascii="Calibri" w:hAnsi="Calibri" w:cs="Calibri"/>
          <w:spacing w:val="-3"/>
          <w:sz w:val="22"/>
          <w:szCs w:val="22"/>
          <w:lang w:val="hr-HR" w:eastAsia="hr-HR"/>
        </w:rPr>
      </w:pPr>
    </w:p>
    <w:p w14:paraId="1748DAA1" w14:textId="77777777" w:rsidR="00382CF2" w:rsidRDefault="00054989">
      <w:pPr>
        <w:tabs>
          <w:tab w:val="left" w:pos="-720"/>
        </w:tabs>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t xml:space="preserve">Ukupan kapital i rezerve HBOR-a čine osnivački kapital uplaćen iz proračuna Republike Hrvatske, zadržana dobit formirana iz ostvarene dobiti u prethodnim godinama, ostale rezerve, Garantni fond te dobit tekućeg razdoblja. </w:t>
      </w:r>
    </w:p>
    <w:p w14:paraId="1748DAA2" w14:textId="77777777" w:rsidR="00382CF2" w:rsidRDefault="00382CF2">
      <w:pPr>
        <w:tabs>
          <w:tab w:val="left" w:pos="-720"/>
        </w:tabs>
        <w:jc w:val="both"/>
        <w:textAlignment w:val="baseline"/>
        <w:rPr>
          <w:rFonts w:ascii="Calibri" w:eastAsia="Calibri" w:hAnsi="Calibri" w:cs="Calibri"/>
          <w:spacing w:val="-3"/>
          <w:sz w:val="22"/>
          <w:szCs w:val="22"/>
          <w:lang w:val="hr-HR"/>
        </w:rPr>
      </w:pPr>
    </w:p>
    <w:p w14:paraId="1748DAA3" w14:textId="03E308AF" w:rsidR="00382CF2" w:rsidRDefault="00054989">
      <w:pPr>
        <w:spacing w:after="160" w:line="276" w:lineRule="auto"/>
        <w:jc w:val="both"/>
        <w:rPr>
          <w:rFonts w:ascii="Calibri" w:eastAsia="Calibri" w:hAnsi="Calibri" w:cs="Calibri"/>
          <w:spacing w:val="-3"/>
          <w:sz w:val="22"/>
          <w:szCs w:val="22"/>
          <w:lang w:val="hr-HR"/>
        </w:rPr>
      </w:pPr>
      <w:r>
        <w:rPr>
          <w:rFonts w:ascii="Calibri" w:eastAsia="Calibri" w:hAnsi="Calibri" w:cs="Calibri"/>
          <w:spacing w:val="-3"/>
          <w:sz w:val="22"/>
          <w:szCs w:val="22"/>
          <w:lang w:val="hr-HR"/>
        </w:rPr>
        <w:t xml:space="preserve">U izvještajnom razdoblju iz proračuna Republike Hrvatske u osnivački kapital uplaćeno </w:t>
      </w:r>
      <w:r w:rsidR="001A6967">
        <w:rPr>
          <w:rFonts w:ascii="Calibri" w:eastAsia="Calibri" w:hAnsi="Calibri" w:cs="Calibri"/>
          <w:spacing w:val="-3"/>
          <w:sz w:val="22"/>
          <w:szCs w:val="22"/>
          <w:lang w:val="hr-HR"/>
        </w:rPr>
        <w:t xml:space="preserve">je </w:t>
      </w:r>
      <w:r>
        <w:rPr>
          <w:rFonts w:ascii="Calibri" w:eastAsia="Calibri" w:hAnsi="Calibri" w:cs="Calibri"/>
          <w:spacing w:val="-3"/>
          <w:sz w:val="22"/>
          <w:szCs w:val="22"/>
          <w:lang w:val="hr-HR"/>
        </w:rPr>
        <w:t xml:space="preserve">20,00 milijuna kuna </w:t>
      </w:r>
      <w:r w:rsidR="0039634B">
        <w:rPr>
          <w:rFonts w:ascii="Calibri" w:eastAsia="Calibri" w:hAnsi="Calibri" w:cs="Calibri"/>
          <w:spacing w:val="-3"/>
          <w:sz w:val="22"/>
          <w:szCs w:val="22"/>
          <w:lang w:val="hr-HR"/>
        </w:rPr>
        <w:t>te</w:t>
      </w:r>
      <w:r>
        <w:rPr>
          <w:rFonts w:ascii="Calibri" w:eastAsia="Calibri" w:hAnsi="Calibri" w:cs="Calibri"/>
          <w:spacing w:val="-3"/>
          <w:sz w:val="22"/>
          <w:szCs w:val="22"/>
          <w:lang w:val="hr-HR"/>
        </w:rPr>
        <w:t xml:space="preserve"> na kraju 2022.</w:t>
      </w:r>
      <w:r w:rsidR="0039634B">
        <w:rPr>
          <w:rFonts w:ascii="Calibri" w:eastAsia="Calibri" w:hAnsi="Calibri" w:cs="Calibri"/>
          <w:spacing w:val="-3"/>
          <w:sz w:val="22"/>
          <w:szCs w:val="22"/>
          <w:lang w:val="hr-HR"/>
        </w:rPr>
        <w:t xml:space="preserve"> </w:t>
      </w:r>
      <w:r>
        <w:rPr>
          <w:rFonts w:ascii="Calibri" w:eastAsia="Calibri" w:hAnsi="Calibri" w:cs="Calibri"/>
          <w:spacing w:val="-3"/>
          <w:sz w:val="22"/>
          <w:szCs w:val="22"/>
          <w:lang w:val="hr-HR"/>
        </w:rPr>
        <w:t>ukupno uplaćeni kapital iz proračuna Republike Hrvatske iznosi 6.778,00 milijuna kuna</w:t>
      </w:r>
      <w:r w:rsidR="0039634B">
        <w:rPr>
          <w:rFonts w:ascii="Calibri" w:eastAsia="Calibri" w:hAnsi="Calibri" w:cs="Calibri"/>
          <w:spacing w:val="-3"/>
          <w:sz w:val="22"/>
          <w:szCs w:val="22"/>
          <w:lang w:val="hr-HR"/>
        </w:rPr>
        <w:t>, a</w:t>
      </w:r>
      <w:r>
        <w:rPr>
          <w:rFonts w:ascii="Calibri" w:eastAsia="Calibri" w:hAnsi="Calibri" w:cs="Calibri"/>
          <w:spacing w:val="-3"/>
          <w:sz w:val="22"/>
          <w:szCs w:val="22"/>
          <w:lang w:val="hr-HR"/>
        </w:rPr>
        <w:t xml:space="preserve"> za uplatu do Zakonom o HBOR-u propisanog iznosa od 7.000,00 milijuna kuna preostaje 222,00 milijuna kuna.</w:t>
      </w:r>
    </w:p>
    <w:p w14:paraId="30189C05" w14:textId="77777777" w:rsidR="00A0295A" w:rsidRDefault="00A0295A">
      <w:pPr>
        <w:suppressAutoHyphens w:val="0"/>
        <w:rPr>
          <w:rFonts w:ascii="Calibri" w:eastAsia="Calibri" w:hAnsi="Calibri" w:cs="Calibri"/>
          <w:spacing w:val="-3"/>
          <w:sz w:val="22"/>
          <w:szCs w:val="22"/>
          <w:lang w:val="hr-HR"/>
        </w:rPr>
      </w:pPr>
      <w:r>
        <w:rPr>
          <w:rFonts w:ascii="Calibri" w:eastAsia="Calibri" w:hAnsi="Calibri" w:cs="Calibri"/>
          <w:spacing w:val="-3"/>
          <w:sz w:val="22"/>
          <w:szCs w:val="22"/>
          <w:lang w:val="hr-HR"/>
        </w:rPr>
        <w:br w:type="page"/>
      </w:r>
    </w:p>
    <w:p w14:paraId="1748DAA5" w14:textId="36D1F7B5" w:rsidR="00382CF2" w:rsidRDefault="00054989">
      <w:pPr>
        <w:jc w:val="both"/>
        <w:textAlignment w:val="baseline"/>
        <w:rPr>
          <w:rFonts w:ascii="Calibri" w:eastAsia="Calibri" w:hAnsi="Calibri" w:cs="Calibri"/>
          <w:spacing w:val="-3"/>
          <w:sz w:val="22"/>
          <w:szCs w:val="22"/>
          <w:lang w:val="hr-HR"/>
        </w:rPr>
      </w:pPr>
      <w:r>
        <w:rPr>
          <w:rFonts w:ascii="Calibri" w:eastAsia="Calibri" w:hAnsi="Calibri" w:cs="Calibri"/>
          <w:spacing w:val="-3"/>
          <w:sz w:val="22"/>
          <w:szCs w:val="22"/>
          <w:lang w:val="hr-HR"/>
        </w:rPr>
        <w:lastRenderedPageBreak/>
        <w:t>U skladu s odredbama Zakona o HBOR-u, cjelokupna ostvarena dobit izvještajnog razdoblja Banke se raspoređuje u rezerve.</w:t>
      </w:r>
    </w:p>
    <w:p w14:paraId="1748DAA6" w14:textId="77777777" w:rsidR="00382CF2" w:rsidRDefault="00382CF2">
      <w:pPr>
        <w:jc w:val="both"/>
        <w:textAlignment w:val="baseline"/>
        <w:rPr>
          <w:rFonts w:ascii="Calibri" w:eastAsia="Calibri" w:hAnsi="Calibri" w:cs="Calibri"/>
          <w:spacing w:val="-3"/>
          <w:sz w:val="22"/>
          <w:szCs w:val="22"/>
          <w:lang w:val="hr-HR"/>
        </w:rPr>
      </w:pPr>
    </w:p>
    <w:p w14:paraId="1748DAA7" w14:textId="77777777" w:rsidR="00382CF2" w:rsidRDefault="00382CF2">
      <w:pPr>
        <w:jc w:val="both"/>
        <w:textAlignment w:val="baseline"/>
        <w:rPr>
          <w:rFonts w:ascii="Calibri" w:eastAsia="Calibri" w:hAnsi="Calibri" w:cs="Calibri"/>
          <w:spacing w:val="-3"/>
          <w:sz w:val="22"/>
          <w:szCs w:val="22"/>
          <w:lang w:val="hr-HR"/>
        </w:rPr>
      </w:pPr>
    </w:p>
    <w:p w14:paraId="1748DAA8" w14:textId="201FB29F" w:rsidR="00382CF2" w:rsidRDefault="00054989">
      <w:pPr>
        <w:tabs>
          <w:tab w:val="left" w:pos="-720"/>
        </w:tabs>
        <w:ind w:left="-426" w:right="-426"/>
        <w:jc w:val="both"/>
      </w:pPr>
      <w:r>
        <w:rPr>
          <w:rStyle w:val="Zadanifontodlomka1"/>
          <w:rFonts w:ascii="Calibri" w:eastAsia="SimSun" w:hAnsi="Calibri" w:cs="Calibri"/>
          <w:sz w:val="22"/>
          <w:szCs w:val="22"/>
          <w:lang w:val="hr-HR" w:eastAsia="hr-HR"/>
        </w:rPr>
        <w:t xml:space="preserve">               </w:t>
      </w:r>
      <w:r>
        <w:rPr>
          <w:rStyle w:val="Zadanifontodlomka1"/>
          <w:rFonts w:ascii="Calibri" w:eastAsia="SimSun" w:hAnsi="Calibri" w:cs="Calibri"/>
          <w:noProof/>
          <w:sz w:val="22"/>
          <w:szCs w:val="22"/>
          <w:lang w:val="hr-HR" w:eastAsia="hr-HR"/>
        </w:rPr>
        <w:drawing>
          <wp:inline distT="0" distB="0" distL="0" distR="0" wp14:anchorId="1748D67A" wp14:editId="1748D67B">
            <wp:extent cx="2772351" cy="3113513"/>
            <wp:effectExtent l="0" t="0" r="8949" b="0"/>
            <wp:docPr id="33"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2772351" cy="3113513"/>
                    </a:xfrm>
                    <a:prstGeom prst="rect">
                      <a:avLst/>
                    </a:prstGeom>
                    <a:noFill/>
                    <a:ln>
                      <a:noFill/>
                      <a:prstDash/>
                    </a:ln>
                  </pic:spPr>
                </pic:pic>
              </a:graphicData>
            </a:graphic>
          </wp:inline>
        </w:drawing>
      </w:r>
      <w:r>
        <w:rPr>
          <w:rStyle w:val="Zadanifontodlomka1"/>
          <w:rFonts w:ascii="Calibri" w:eastAsia="SimSun" w:hAnsi="Calibri" w:cs="Calibri"/>
          <w:sz w:val="22"/>
          <w:szCs w:val="22"/>
          <w:lang w:val="hr-HR" w:eastAsia="hr-HR"/>
        </w:rPr>
        <w:t xml:space="preserve">   </w:t>
      </w:r>
      <w:r>
        <w:rPr>
          <w:rStyle w:val="Zadanifontodlomka1"/>
          <w:rFonts w:ascii="Calibri" w:eastAsia="SimSun" w:hAnsi="Calibri" w:cs="Calibri"/>
          <w:noProof/>
          <w:sz w:val="22"/>
          <w:szCs w:val="22"/>
          <w:lang w:val="hr-HR" w:eastAsia="hr-HR"/>
        </w:rPr>
        <w:drawing>
          <wp:inline distT="0" distB="0" distL="0" distR="0" wp14:anchorId="1FBFB8E1" wp14:editId="1748D67D">
            <wp:extent cx="2736515" cy="3117116"/>
            <wp:effectExtent l="0" t="0" r="6685" b="7084"/>
            <wp:docPr id="34"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2736515" cy="3117116"/>
                    </a:xfrm>
                    <a:prstGeom prst="rect">
                      <a:avLst/>
                    </a:prstGeom>
                    <a:noFill/>
                    <a:ln>
                      <a:noFill/>
                      <a:prstDash/>
                    </a:ln>
                  </pic:spPr>
                </pic:pic>
              </a:graphicData>
            </a:graphic>
          </wp:inline>
        </w:drawing>
      </w:r>
    </w:p>
    <w:p w14:paraId="1748DAA9" w14:textId="77777777" w:rsidR="00382CF2" w:rsidRDefault="00382CF2">
      <w:pPr>
        <w:tabs>
          <w:tab w:val="left" w:pos="-720"/>
        </w:tabs>
        <w:ind w:left="-426" w:right="-426"/>
        <w:jc w:val="both"/>
        <w:rPr>
          <w:rFonts w:ascii="Calibri" w:eastAsia="SimSun" w:hAnsi="Calibri" w:cs="Calibri"/>
          <w:sz w:val="22"/>
          <w:szCs w:val="22"/>
          <w:lang w:val="hr-HR" w:eastAsia="hr-HR"/>
        </w:rPr>
      </w:pPr>
    </w:p>
    <w:p w14:paraId="1748DAAA" w14:textId="77777777" w:rsidR="00382CF2" w:rsidRDefault="00382CF2">
      <w:pPr>
        <w:tabs>
          <w:tab w:val="left" w:pos="-720"/>
        </w:tabs>
        <w:ind w:left="-426" w:right="-426"/>
        <w:jc w:val="both"/>
        <w:rPr>
          <w:rFonts w:ascii="Calibri" w:eastAsia="SimSun" w:hAnsi="Calibri" w:cs="Calibri"/>
          <w:sz w:val="22"/>
          <w:szCs w:val="22"/>
          <w:lang w:val="hr-HR" w:eastAsia="hr-HR"/>
        </w:rPr>
      </w:pPr>
    </w:p>
    <w:p w14:paraId="1748DAAB" w14:textId="77777777" w:rsidR="00382CF2" w:rsidRDefault="00054989">
      <w:pPr>
        <w:tabs>
          <w:tab w:val="left" w:pos="-720"/>
        </w:tabs>
        <w:ind w:left="-426" w:right="-426"/>
        <w:jc w:val="both"/>
      </w:pPr>
      <w:r>
        <w:rPr>
          <w:rStyle w:val="Zadanifontodlomka1"/>
          <w:rFonts w:ascii="Calibri" w:eastAsia="SimSun" w:hAnsi="Calibri" w:cs="Calibri"/>
          <w:sz w:val="22"/>
          <w:szCs w:val="22"/>
          <w:lang w:val="hr-HR" w:eastAsia="hr-HR"/>
        </w:rPr>
        <w:t xml:space="preserve">                 </w:t>
      </w:r>
      <w:r>
        <w:rPr>
          <w:rStyle w:val="Zadanifontodlomka1"/>
          <w:rFonts w:ascii="Calibri" w:eastAsia="SimSun" w:hAnsi="Calibri" w:cs="Calibri"/>
          <w:noProof/>
          <w:sz w:val="22"/>
          <w:szCs w:val="22"/>
          <w:lang w:val="hr-HR" w:eastAsia="hr-HR"/>
        </w:rPr>
        <w:drawing>
          <wp:inline distT="0" distB="0" distL="0" distR="0" wp14:anchorId="6D121421" wp14:editId="1748D67F">
            <wp:extent cx="2696958" cy="3179569"/>
            <wp:effectExtent l="0" t="0" r="8142" b="1781"/>
            <wp:docPr id="3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2696958" cy="3179569"/>
                    </a:xfrm>
                    <a:prstGeom prst="rect">
                      <a:avLst/>
                    </a:prstGeom>
                    <a:noFill/>
                    <a:ln>
                      <a:noFill/>
                      <a:prstDash/>
                    </a:ln>
                  </pic:spPr>
                </pic:pic>
              </a:graphicData>
            </a:graphic>
          </wp:inline>
        </w:drawing>
      </w:r>
      <w:r>
        <w:rPr>
          <w:rStyle w:val="Zadanifontodlomka1"/>
          <w:rFonts w:ascii="Calibri" w:eastAsia="SimSun" w:hAnsi="Calibri" w:cs="Calibri"/>
          <w:sz w:val="22"/>
          <w:szCs w:val="22"/>
          <w:lang w:val="hr-HR" w:eastAsia="hr-HR"/>
        </w:rPr>
        <w:t xml:space="preserve">   </w:t>
      </w:r>
      <w:r>
        <w:rPr>
          <w:rStyle w:val="Zadanifontodlomka1"/>
          <w:rFonts w:ascii="Calibri" w:eastAsia="SimSun" w:hAnsi="Calibri" w:cs="Calibri"/>
          <w:noProof/>
          <w:sz w:val="22"/>
          <w:szCs w:val="22"/>
          <w:lang w:val="hr-HR" w:eastAsia="hr-HR"/>
        </w:rPr>
        <w:drawing>
          <wp:inline distT="0" distB="0" distL="0" distR="0" wp14:anchorId="4A749CDA" wp14:editId="1748D681">
            <wp:extent cx="2790181" cy="3186601"/>
            <wp:effectExtent l="0" t="0" r="0" b="0"/>
            <wp:docPr id="3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2790181" cy="3186601"/>
                    </a:xfrm>
                    <a:prstGeom prst="rect">
                      <a:avLst/>
                    </a:prstGeom>
                    <a:noFill/>
                    <a:ln>
                      <a:noFill/>
                      <a:prstDash/>
                    </a:ln>
                  </pic:spPr>
                </pic:pic>
              </a:graphicData>
            </a:graphic>
          </wp:inline>
        </w:drawing>
      </w:r>
    </w:p>
    <w:p w14:paraId="1748DAAC" w14:textId="77777777" w:rsidR="00382CF2" w:rsidRDefault="00054989">
      <w:pPr>
        <w:tabs>
          <w:tab w:val="left" w:pos="-720"/>
        </w:tabs>
        <w:jc w:val="both"/>
        <w:rPr>
          <w:rFonts w:ascii="Calibri" w:eastAsia="SimSun" w:hAnsi="Calibri" w:cs="Calibri"/>
          <w:sz w:val="22"/>
          <w:szCs w:val="22"/>
          <w:lang w:val="hr-HR"/>
        </w:rPr>
      </w:pPr>
      <w:r>
        <w:rPr>
          <w:rFonts w:ascii="Calibri" w:eastAsia="SimSun" w:hAnsi="Calibri" w:cs="Calibri"/>
          <w:sz w:val="22"/>
          <w:szCs w:val="22"/>
          <w:lang w:val="hr-HR"/>
        </w:rPr>
        <w:t xml:space="preserve"> </w:t>
      </w:r>
    </w:p>
    <w:p w14:paraId="1748DAAD" w14:textId="77777777" w:rsidR="00382CF2" w:rsidRDefault="00054989">
      <w:pPr>
        <w:tabs>
          <w:tab w:val="left" w:pos="-720"/>
          <w:tab w:val="left" w:pos="426"/>
        </w:tabs>
        <w:jc w:val="both"/>
        <w:rPr>
          <w:rFonts w:ascii="Calibri" w:hAnsi="Calibri" w:cs="Calibri"/>
          <w:spacing w:val="-3"/>
          <w:sz w:val="22"/>
          <w:szCs w:val="22"/>
          <w:lang w:val="hr-HR" w:eastAsia="hr-HR"/>
        </w:rPr>
      </w:pPr>
      <w:r>
        <w:rPr>
          <w:rFonts w:ascii="Calibri" w:hAnsi="Calibri" w:cs="Calibri"/>
          <w:spacing w:val="-3"/>
          <w:sz w:val="22"/>
          <w:szCs w:val="22"/>
          <w:lang w:val="hr-HR" w:eastAsia="hr-HR"/>
        </w:rPr>
        <w:t>*Ulaganja u ovisna društva, Nekretnine, postrojenja i oprema i nematerijalna imovina, Preuzeta imovina.</w:t>
      </w:r>
    </w:p>
    <w:p w14:paraId="422A5F16" w14:textId="77777777" w:rsidR="00804BFE" w:rsidRDefault="00054989">
      <w:pPr>
        <w:spacing w:before="240"/>
        <w:jc w:val="both"/>
        <w:rPr>
          <w:rStyle w:val="Zadanifontodlomka1"/>
          <w:rFonts w:ascii="Calibri" w:hAnsi="Calibri" w:cs="Calibri"/>
          <w:spacing w:val="-3"/>
          <w:sz w:val="22"/>
          <w:szCs w:val="22"/>
          <w:lang w:val="hr-HR" w:eastAsia="hr-HR"/>
        </w:rPr>
        <w:sectPr w:rsidR="00804BFE" w:rsidSect="00B27482">
          <w:footerReference w:type="default" r:id="rId46"/>
          <w:pgSz w:w="11907" w:h="16840"/>
          <w:pgMar w:top="1418" w:right="1134" w:bottom="1134" w:left="1418" w:header="851" w:footer="851" w:gutter="0"/>
          <w:cols w:space="720"/>
          <w:titlePg/>
          <w:docGrid w:linePitch="326"/>
        </w:sectPr>
      </w:pPr>
      <w:r>
        <w:rPr>
          <w:rStyle w:val="Zadanifontodlomka1"/>
          <w:rFonts w:ascii="Calibri" w:hAnsi="Calibri" w:cs="Calibri"/>
          <w:spacing w:val="-3"/>
          <w:sz w:val="22"/>
          <w:szCs w:val="22"/>
          <w:lang w:val="hr-HR" w:eastAsia="hr-HR"/>
        </w:rPr>
        <w:t>**Rezerviranja uključuju rezerviranja za garancije, preuzete i ostale obveze.</w:t>
      </w:r>
      <w:bookmarkEnd w:id="1"/>
    </w:p>
    <w:p w14:paraId="53C61798" w14:textId="77777777" w:rsidR="00804BFE" w:rsidRPr="00B91D09" w:rsidRDefault="00804BFE" w:rsidP="00804BFE">
      <w:pPr>
        <w:pStyle w:val="T1"/>
        <w:keepNext w:val="0"/>
        <w:spacing w:after="0" w:line="240" w:lineRule="auto"/>
        <w:rPr>
          <w:rFonts w:cs="Arial"/>
          <w:smallCaps/>
          <w:color w:val="000000" w:themeColor="text1"/>
          <w:sz w:val="22"/>
          <w:szCs w:val="22"/>
          <w:lang w:val="hr-HR"/>
        </w:rPr>
      </w:pPr>
      <w:bookmarkStart w:id="81" w:name="_Toc67326567"/>
    </w:p>
    <w:p w14:paraId="718405A5" w14:textId="77777777" w:rsidR="00804BFE" w:rsidRPr="00B91D09" w:rsidRDefault="00804BFE" w:rsidP="00804BFE">
      <w:pPr>
        <w:pStyle w:val="T1"/>
        <w:keepNext w:val="0"/>
        <w:spacing w:after="0" w:line="240" w:lineRule="auto"/>
        <w:rPr>
          <w:rFonts w:cs="Arial"/>
          <w:smallCaps/>
          <w:color w:val="000000" w:themeColor="text1"/>
          <w:sz w:val="22"/>
          <w:szCs w:val="22"/>
          <w:lang w:val="hr-HR"/>
        </w:rPr>
      </w:pPr>
    </w:p>
    <w:p w14:paraId="70D98C91" w14:textId="77777777" w:rsidR="00804BFE" w:rsidRPr="00B91D09" w:rsidRDefault="00804BFE" w:rsidP="00804BFE">
      <w:pPr>
        <w:pStyle w:val="T1"/>
        <w:keepNext w:val="0"/>
        <w:spacing w:after="0" w:line="240" w:lineRule="auto"/>
        <w:rPr>
          <w:rFonts w:cs="Arial"/>
          <w:smallCaps/>
          <w:color w:val="000000" w:themeColor="text1"/>
          <w:sz w:val="22"/>
          <w:szCs w:val="22"/>
          <w:lang w:val="hr-HR"/>
        </w:rPr>
      </w:pPr>
    </w:p>
    <w:p w14:paraId="64F279CE" w14:textId="77777777" w:rsidR="00804BFE" w:rsidRPr="00B91D09" w:rsidRDefault="00804BFE" w:rsidP="00804BFE">
      <w:pPr>
        <w:pStyle w:val="T1"/>
        <w:keepNext w:val="0"/>
        <w:spacing w:after="0" w:line="240" w:lineRule="auto"/>
        <w:rPr>
          <w:rFonts w:cs="Arial"/>
          <w:smallCaps/>
          <w:color w:val="000000" w:themeColor="text1"/>
          <w:sz w:val="22"/>
          <w:szCs w:val="22"/>
          <w:lang w:val="hr-HR"/>
        </w:rPr>
      </w:pPr>
    </w:p>
    <w:p w14:paraId="4537B9AA" w14:textId="77777777" w:rsidR="00804BFE" w:rsidRPr="00B91D09" w:rsidRDefault="00804BFE" w:rsidP="00804BFE">
      <w:pPr>
        <w:pStyle w:val="T1"/>
        <w:keepNext w:val="0"/>
        <w:spacing w:after="0" w:line="240" w:lineRule="auto"/>
        <w:rPr>
          <w:rFonts w:cs="Arial"/>
          <w:smallCaps/>
          <w:color w:val="000000" w:themeColor="text1"/>
          <w:sz w:val="22"/>
          <w:szCs w:val="22"/>
          <w:lang w:val="hr-HR"/>
        </w:rPr>
      </w:pPr>
    </w:p>
    <w:p w14:paraId="05DA82D5" w14:textId="77777777" w:rsidR="00804BFE" w:rsidRPr="00B91D09" w:rsidRDefault="00804BFE" w:rsidP="00804BFE">
      <w:pPr>
        <w:pStyle w:val="T1"/>
        <w:keepNext w:val="0"/>
        <w:spacing w:after="0" w:line="240" w:lineRule="auto"/>
        <w:rPr>
          <w:rFonts w:cs="Arial"/>
          <w:smallCaps/>
          <w:color w:val="000000" w:themeColor="text1"/>
          <w:sz w:val="22"/>
          <w:szCs w:val="22"/>
          <w:lang w:val="hr-HR"/>
        </w:rPr>
      </w:pPr>
    </w:p>
    <w:p w14:paraId="2AD9D137" w14:textId="77777777" w:rsidR="00804BFE" w:rsidRPr="00B91D09" w:rsidRDefault="00804BFE" w:rsidP="00804BFE">
      <w:pPr>
        <w:pStyle w:val="T1"/>
        <w:keepNext w:val="0"/>
        <w:spacing w:after="0" w:line="240" w:lineRule="auto"/>
        <w:rPr>
          <w:rFonts w:cs="Arial"/>
          <w:smallCaps/>
          <w:color w:val="000000" w:themeColor="text1"/>
          <w:sz w:val="22"/>
          <w:szCs w:val="22"/>
          <w:lang w:val="hr-HR"/>
        </w:rPr>
      </w:pPr>
    </w:p>
    <w:p w14:paraId="013BE86D" w14:textId="77777777" w:rsidR="00804BFE" w:rsidRPr="00B91D09" w:rsidRDefault="00804BFE" w:rsidP="00804BFE">
      <w:pPr>
        <w:pStyle w:val="T1"/>
        <w:keepNext w:val="0"/>
        <w:spacing w:after="0" w:line="240" w:lineRule="auto"/>
        <w:rPr>
          <w:rFonts w:cs="Arial"/>
          <w:smallCaps/>
          <w:color w:val="000000" w:themeColor="text1"/>
          <w:sz w:val="22"/>
          <w:szCs w:val="22"/>
          <w:lang w:val="hr-HR"/>
        </w:rPr>
      </w:pPr>
    </w:p>
    <w:p w14:paraId="72504EF9" w14:textId="77777777" w:rsidR="00804BFE" w:rsidRPr="00B91D09" w:rsidRDefault="00804BFE" w:rsidP="00804BFE">
      <w:pPr>
        <w:pStyle w:val="T1"/>
        <w:keepNext w:val="0"/>
        <w:spacing w:after="0" w:line="240" w:lineRule="auto"/>
        <w:rPr>
          <w:rFonts w:cs="Arial"/>
          <w:smallCaps/>
          <w:color w:val="000000" w:themeColor="text1"/>
          <w:sz w:val="22"/>
          <w:szCs w:val="22"/>
          <w:lang w:val="hr-HR"/>
        </w:rPr>
      </w:pPr>
    </w:p>
    <w:p w14:paraId="0DF29B33" w14:textId="77777777" w:rsidR="00804BFE" w:rsidRPr="00B91D09" w:rsidRDefault="00804BFE" w:rsidP="00804BFE">
      <w:pPr>
        <w:pStyle w:val="Heading2"/>
        <w:spacing w:line="360" w:lineRule="auto"/>
        <w:ind w:right="-709"/>
        <w:rPr>
          <w:color w:val="000000" w:themeColor="text1"/>
          <w:sz w:val="28"/>
          <w:szCs w:val="28"/>
          <w:lang w:val="hr-HR"/>
        </w:rPr>
      </w:pPr>
    </w:p>
    <w:p w14:paraId="2F38B265" w14:textId="77777777" w:rsidR="00804BFE" w:rsidRPr="00BD43BE" w:rsidRDefault="00804BFE" w:rsidP="00804BFE">
      <w:pPr>
        <w:pStyle w:val="Heading2"/>
        <w:spacing w:line="360" w:lineRule="auto"/>
        <w:ind w:right="-709"/>
        <w:rPr>
          <w:rFonts w:ascii="Arial" w:hAnsi="Arial" w:cs="Arial"/>
          <w:b/>
          <w:bCs/>
          <w:color w:val="000000" w:themeColor="text1"/>
          <w:sz w:val="28"/>
          <w:szCs w:val="28"/>
          <w:lang w:val="hr-HR"/>
        </w:rPr>
      </w:pPr>
      <w:r w:rsidRPr="00BD43BE">
        <w:rPr>
          <w:rFonts w:ascii="Arial" w:hAnsi="Arial" w:cs="Arial"/>
          <w:b/>
          <w:bCs/>
          <w:color w:val="000000" w:themeColor="text1"/>
          <w:sz w:val="28"/>
          <w:szCs w:val="28"/>
          <w:lang w:val="hr-HR"/>
        </w:rPr>
        <w:t>HRVATSKA BANKA ZA OBNOVU I RAZVITAK</w:t>
      </w:r>
      <w:bookmarkEnd w:id="81"/>
    </w:p>
    <w:p w14:paraId="2D208F61" w14:textId="77777777" w:rsidR="00804BFE" w:rsidRPr="00B91D09" w:rsidRDefault="00804BFE" w:rsidP="00804BFE">
      <w:pPr>
        <w:spacing w:line="317" w:lineRule="atLeast"/>
        <w:ind w:left="-142"/>
        <w:rPr>
          <w:rFonts w:ascii="Arial" w:hAnsi="Arial" w:cs="Arial"/>
          <w:color w:val="000000" w:themeColor="text1"/>
          <w:sz w:val="28"/>
          <w:szCs w:val="28"/>
          <w:lang w:val="hr-HR"/>
        </w:rPr>
      </w:pPr>
      <w:r w:rsidRPr="00B91D09">
        <w:rPr>
          <w:rFonts w:ascii="Arial" w:hAnsi="Arial" w:cs="Arial"/>
          <w:color w:val="000000" w:themeColor="text1"/>
          <w:sz w:val="28"/>
          <w:szCs w:val="28"/>
          <w:lang w:val="hr-HR"/>
        </w:rPr>
        <w:t xml:space="preserve">  Godišnji financijski izvještaji za 202</w:t>
      </w:r>
      <w:r>
        <w:rPr>
          <w:rFonts w:ascii="Arial" w:hAnsi="Arial" w:cs="Arial"/>
          <w:color w:val="000000" w:themeColor="text1"/>
          <w:sz w:val="28"/>
          <w:szCs w:val="28"/>
          <w:lang w:val="hr-HR"/>
        </w:rPr>
        <w:t>2</w:t>
      </w:r>
      <w:r w:rsidRPr="00B91D09">
        <w:rPr>
          <w:rFonts w:ascii="Arial" w:hAnsi="Arial" w:cs="Arial"/>
          <w:color w:val="000000" w:themeColor="text1"/>
          <w:sz w:val="28"/>
          <w:szCs w:val="28"/>
          <w:lang w:val="hr-HR"/>
        </w:rPr>
        <w:t xml:space="preserve">. godinu  </w:t>
      </w:r>
    </w:p>
    <w:p w14:paraId="5529490A" w14:textId="77777777" w:rsidR="00804BFE" w:rsidRPr="00B91D09" w:rsidRDefault="00804BFE" w:rsidP="00804BFE">
      <w:pPr>
        <w:jc w:val="center"/>
        <w:rPr>
          <w:rFonts w:ascii="Arial" w:hAnsi="Arial" w:cs="Arial"/>
          <w:b/>
          <w:i/>
          <w:color w:val="000000" w:themeColor="text1"/>
          <w:sz w:val="22"/>
          <w:szCs w:val="22"/>
          <w:lang w:val="hr-HR"/>
        </w:rPr>
      </w:pPr>
    </w:p>
    <w:p w14:paraId="2BE3E571" w14:textId="77777777" w:rsidR="00804BFE" w:rsidRPr="00B91D09" w:rsidRDefault="00804BFE" w:rsidP="00804BFE">
      <w:pPr>
        <w:jc w:val="center"/>
        <w:rPr>
          <w:rFonts w:ascii="Arial" w:hAnsi="Arial" w:cs="Arial"/>
          <w:b/>
          <w:i/>
          <w:color w:val="000000" w:themeColor="text1"/>
          <w:sz w:val="22"/>
          <w:szCs w:val="22"/>
          <w:lang w:val="hr-HR"/>
        </w:rPr>
      </w:pPr>
    </w:p>
    <w:p w14:paraId="60E5ED9A" w14:textId="77777777" w:rsidR="00804BFE" w:rsidRPr="00B91D09" w:rsidRDefault="00804BFE" w:rsidP="00804BFE">
      <w:pPr>
        <w:jc w:val="center"/>
        <w:rPr>
          <w:rFonts w:ascii="Arial" w:hAnsi="Arial" w:cs="Arial"/>
          <w:b/>
          <w:i/>
          <w:color w:val="000000" w:themeColor="text1"/>
          <w:sz w:val="22"/>
          <w:szCs w:val="22"/>
          <w:lang w:val="hr-HR"/>
        </w:rPr>
      </w:pPr>
    </w:p>
    <w:p w14:paraId="6FD906B5" w14:textId="77777777" w:rsidR="00804BFE" w:rsidRPr="00B91D09" w:rsidRDefault="00804BFE" w:rsidP="00804BFE">
      <w:pPr>
        <w:jc w:val="center"/>
        <w:rPr>
          <w:rFonts w:ascii="Arial" w:hAnsi="Arial" w:cs="Arial"/>
          <w:b/>
          <w:i/>
          <w:color w:val="000000" w:themeColor="text1"/>
          <w:sz w:val="22"/>
          <w:szCs w:val="22"/>
          <w:lang w:val="hr-HR"/>
        </w:rPr>
      </w:pPr>
    </w:p>
    <w:p w14:paraId="73E33ED1" w14:textId="77777777" w:rsidR="00804BFE" w:rsidRPr="00B91D09" w:rsidRDefault="00804BFE" w:rsidP="00804BFE">
      <w:pPr>
        <w:jc w:val="center"/>
        <w:rPr>
          <w:rFonts w:ascii="Arial" w:hAnsi="Arial" w:cs="Arial"/>
          <w:b/>
          <w:i/>
          <w:color w:val="000000" w:themeColor="text1"/>
          <w:sz w:val="22"/>
          <w:szCs w:val="22"/>
          <w:lang w:val="hr-HR"/>
        </w:rPr>
      </w:pPr>
    </w:p>
    <w:p w14:paraId="6FEDDBDF" w14:textId="77777777" w:rsidR="00804BFE" w:rsidRPr="00B91D09" w:rsidRDefault="00804BFE" w:rsidP="00804BFE">
      <w:pPr>
        <w:jc w:val="center"/>
        <w:rPr>
          <w:rFonts w:ascii="Arial" w:hAnsi="Arial" w:cs="Arial"/>
          <w:b/>
          <w:i/>
          <w:color w:val="000000" w:themeColor="text1"/>
          <w:sz w:val="22"/>
          <w:szCs w:val="22"/>
          <w:lang w:val="hr-HR"/>
        </w:rPr>
      </w:pPr>
    </w:p>
    <w:p w14:paraId="1318F546" w14:textId="77777777" w:rsidR="00804BFE" w:rsidRPr="00B91D09" w:rsidRDefault="00804BFE" w:rsidP="00804BFE">
      <w:pPr>
        <w:jc w:val="center"/>
        <w:rPr>
          <w:rFonts w:ascii="Arial" w:hAnsi="Arial" w:cs="Arial"/>
          <w:b/>
          <w:i/>
          <w:color w:val="000000" w:themeColor="text1"/>
          <w:sz w:val="22"/>
          <w:szCs w:val="22"/>
          <w:lang w:val="hr-HR"/>
        </w:rPr>
      </w:pPr>
    </w:p>
    <w:p w14:paraId="3F862A43" w14:textId="77777777" w:rsidR="00804BFE" w:rsidRPr="00B91D09" w:rsidRDefault="00804BFE" w:rsidP="00804BFE">
      <w:pPr>
        <w:jc w:val="center"/>
        <w:rPr>
          <w:rFonts w:ascii="Arial" w:hAnsi="Arial" w:cs="Arial"/>
          <w:b/>
          <w:i/>
          <w:color w:val="000000" w:themeColor="text1"/>
          <w:sz w:val="22"/>
          <w:szCs w:val="22"/>
          <w:lang w:val="hr-HR"/>
        </w:rPr>
      </w:pPr>
    </w:p>
    <w:p w14:paraId="19103026" w14:textId="77777777" w:rsidR="00804BFE" w:rsidRPr="00B91D09" w:rsidRDefault="00804BFE" w:rsidP="00804BFE">
      <w:pPr>
        <w:jc w:val="center"/>
        <w:rPr>
          <w:rFonts w:ascii="Arial" w:hAnsi="Arial" w:cs="Arial"/>
          <w:b/>
          <w:i/>
          <w:color w:val="000000" w:themeColor="text1"/>
          <w:sz w:val="22"/>
          <w:szCs w:val="22"/>
          <w:lang w:val="hr-HR"/>
        </w:rPr>
      </w:pPr>
    </w:p>
    <w:p w14:paraId="1D13D32F" w14:textId="77777777" w:rsidR="00804BFE" w:rsidRPr="00B91D09" w:rsidRDefault="00804BFE" w:rsidP="00804BFE">
      <w:pPr>
        <w:jc w:val="center"/>
        <w:rPr>
          <w:rFonts w:ascii="Arial" w:hAnsi="Arial" w:cs="Arial"/>
          <w:b/>
          <w:i/>
          <w:color w:val="000000" w:themeColor="text1"/>
          <w:sz w:val="22"/>
          <w:szCs w:val="22"/>
          <w:lang w:val="hr-HR"/>
        </w:rPr>
      </w:pPr>
    </w:p>
    <w:p w14:paraId="1C998074" w14:textId="77777777" w:rsidR="00804BFE" w:rsidRPr="00B91D09" w:rsidRDefault="00804BFE" w:rsidP="00804BFE">
      <w:pPr>
        <w:jc w:val="center"/>
        <w:rPr>
          <w:rFonts w:ascii="Arial" w:hAnsi="Arial" w:cs="Arial"/>
          <w:b/>
          <w:i/>
          <w:color w:val="000000" w:themeColor="text1"/>
          <w:sz w:val="22"/>
          <w:szCs w:val="22"/>
          <w:lang w:val="hr-HR"/>
        </w:rPr>
      </w:pPr>
    </w:p>
    <w:p w14:paraId="47E19577" w14:textId="77777777" w:rsidR="00804BFE" w:rsidRPr="00B91D09" w:rsidRDefault="00804BFE" w:rsidP="00804BFE">
      <w:pPr>
        <w:rPr>
          <w:rFonts w:ascii="Arial" w:hAnsi="Arial" w:cs="Arial"/>
          <w:b/>
          <w:i/>
          <w:color w:val="000000" w:themeColor="text1"/>
          <w:sz w:val="22"/>
          <w:szCs w:val="22"/>
          <w:lang w:val="hr-HR"/>
        </w:rPr>
      </w:pPr>
    </w:p>
    <w:p w14:paraId="342FE054" w14:textId="77777777" w:rsidR="00804BFE" w:rsidRPr="00B91D09" w:rsidRDefault="00804BFE" w:rsidP="00804BFE">
      <w:pPr>
        <w:jc w:val="center"/>
        <w:rPr>
          <w:rFonts w:ascii="Arial" w:hAnsi="Arial" w:cs="Arial"/>
          <w:b/>
          <w:i/>
          <w:color w:val="000000" w:themeColor="text1"/>
          <w:sz w:val="22"/>
          <w:szCs w:val="22"/>
          <w:lang w:val="hr-HR"/>
        </w:rPr>
      </w:pPr>
    </w:p>
    <w:p w14:paraId="2BBDD826" w14:textId="77777777" w:rsidR="00804BFE" w:rsidRPr="00B91D09" w:rsidRDefault="00804BFE" w:rsidP="00804BFE">
      <w:pPr>
        <w:jc w:val="center"/>
        <w:rPr>
          <w:rFonts w:ascii="Arial" w:hAnsi="Arial" w:cs="Arial"/>
          <w:b/>
          <w:i/>
          <w:color w:val="000000" w:themeColor="text1"/>
          <w:sz w:val="22"/>
          <w:szCs w:val="22"/>
          <w:lang w:val="hr-HR"/>
        </w:rPr>
      </w:pPr>
    </w:p>
    <w:p w14:paraId="2D19F748" w14:textId="77777777" w:rsidR="00804BFE" w:rsidRPr="00B91D09" w:rsidRDefault="00804BFE" w:rsidP="00804BFE">
      <w:pPr>
        <w:jc w:val="center"/>
        <w:rPr>
          <w:rFonts w:ascii="Arial" w:hAnsi="Arial" w:cs="Arial"/>
          <w:b/>
          <w:i/>
          <w:color w:val="000000" w:themeColor="text1"/>
          <w:sz w:val="22"/>
          <w:szCs w:val="22"/>
          <w:lang w:val="hr-HR"/>
        </w:rPr>
      </w:pPr>
    </w:p>
    <w:p w14:paraId="583057F3" w14:textId="77777777" w:rsidR="00804BFE" w:rsidRPr="00B91D09" w:rsidRDefault="00804BFE" w:rsidP="00804BFE">
      <w:pPr>
        <w:jc w:val="center"/>
        <w:rPr>
          <w:rFonts w:ascii="Arial" w:hAnsi="Arial" w:cs="Arial"/>
          <w:b/>
          <w:i/>
          <w:color w:val="000000" w:themeColor="text1"/>
          <w:sz w:val="22"/>
          <w:szCs w:val="22"/>
          <w:lang w:val="hr-HR"/>
        </w:rPr>
      </w:pPr>
    </w:p>
    <w:p w14:paraId="51AAFA77" w14:textId="77777777" w:rsidR="00804BFE" w:rsidRPr="00B91D09" w:rsidRDefault="00804BFE" w:rsidP="00804BFE">
      <w:pPr>
        <w:jc w:val="center"/>
        <w:rPr>
          <w:rFonts w:ascii="Arial" w:hAnsi="Arial" w:cs="Arial"/>
          <w:b/>
          <w:i/>
          <w:color w:val="000000" w:themeColor="text1"/>
          <w:sz w:val="22"/>
          <w:szCs w:val="22"/>
          <w:lang w:val="hr-HR"/>
        </w:rPr>
      </w:pPr>
    </w:p>
    <w:p w14:paraId="2757845E" w14:textId="77777777" w:rsidR="00804BFE" w:rsidRPr="00B91D09" w:rsidRDefault="00804BFE" w:rsidP="00804BFE">
      <w:pPr>
        <w:jc w:val="center"/>
        <w:rPr>
          <w:rFonts w:ascii="Arial" w:hAnsi="Arial" w:cs="Arial"/>
          <w:b/>
          <w:i/>
          <w:color w:val="000000" w:themeColor="text1"/>
          <w:sz w:val="22"/>
          <w:szCs w:val="22"/>
          <w:lang w:val="hr-HR"/>
        </w:rPr>
      </w:pPr>
    </w:p>
    <w:p w14:paraId="637DDB85" w14:textId="77777777" w:rsidR="00804BFE" w:rsidRPr="00B91D09" w:rsidRDefault="00804BFE" w:rsidP="00804BFE">
      <w:pPr>
        <w:jc w:val="center"/>
        <w:rPr>
          <w:rFonts w:ascii="Arial" w:hAnsi="Arial" w:cs="Arial"/>
          <w:b/>
          <w:i/>
          <w:color w:val="000000" w:themeColor="text1"/>
          <w:sz w:val="22"/>
          <w:szCs w:val="22"/>
          <w:lang w:val="hr-HR"/>
        </w:rPr>
      </w:pPr>
    </w:p>
    <w:p w14:paraId="6E5B6131" w14:textId="77777777" w:rsidR="00804BFE" w:rsidRPr="00B91D09" w:rsidRDefault="00804BFE" w:rsidP="00804BFE">
      <w:pPr>
        <w:jc w:val="center"/>
        <w:rPr>
          <w:rFonts w:ascii="Arial" w:hAnsi="Arial" w:cs="Arial"/>
          <w:b/>
          <w:i/>
          <w:color w:val="000000" w:themeColor="text1"/>
          <w:sz w:val="22"/>
          <w:szCs w:val="22"/>
          <w:lang w:val="hr-HR"/>
        </w:rPr>
      </w:pPr>
    </w:p>
    <w:p w14:paraId="42AC99E0" w14:textId="77777777" w:rsidR="00804BFE" w:rsidRPr="00B91D09" w:rsidRDefault="00804BFE" w:rsidP="00804BFE">
      <w:pPr>
        <w:jc w:val="center"/>
        <w:rPr>
          <w:rFonts w:ascii="Arial" w:hAnsi="Arial" w:cs="Arial"/>
          <w:b/>
          <w:i/>
          <w:color w:val="000000" w:themeColor="text1"/>
          <w:sz w:val="22"/>
          <w:szCs w:val="22"/>
          <w:lang w:val="hr-HR"/>
        </w:rPr>
      </w:pPr>
    </w:p>
    <w:p w14:paraId="7297F0A0" w14:textId="77777777" w:rsidR="00804BFE" w:rsidRPr="00B91D09" w:rsidRDefault="00804BFE" w:rsidP="00804BFE">
      <w:pPr>
        <w:jc w:val="center"/>
        <w:rPr>
          <w:rFonts w:ascii="Arial" w:hAnsi="Arial" w:cs="Arial"/>
          <w:b/>
          <w:i/>
          <w:color w:val="000000" w:themeColor="text1"/>
          <w:sz w:val="22"/>
          <w:szCs w:val="22"/>
          <w:lang w:val="hr-HR"/>
        </w:rPr>
      </w:pPr>
    </w:p>
    <w:p w14:paraId="49F72A8D" w14:textId="77777777" w:rsidR="00804BFE" w:rsidRPr="00B91D09" w:rsidRDefault="00804BFE" w:rsidP="00804BFE">
      <w:pPr>
        <w:rPr>
          <w:rFonts w:ascii="Arial" w:hAnsi="Arial" w:cs="Arial"/>
          <w:color w:val="000000" w:themeColor="text1"/>
          <w:sz w:val="22"/>
          <w:szCs w:val="22"/>
          <w:lang w:val="hr-HR"/>
        </w:rPr>
      </w:pPr>
    </w:p>
    <w:p w14:paraId="2A2849F3" w14:textId="77777777" w:rsidR="00804BFE" w:rsidRDefault="00804BFE" w:rsidP="00804BFE">
      <w:pPr>
        <w:jc w:val="center"/>
        <w:rPr>
          <w:rFonts w:ascii="Arial" w:hAnsi="Arial" w:cs="Arial"/>
          <w:b/>
          <w:i/>
          <w:color w:val="000000" w:themeColor="text1"/>
          <w:sz w:val="22"/>
          <w:szCs w:val="22"/>
          <w:lang w:val="hr-HR"/>
        </w:rPr>
      </w:pPr>
    </w:p>
    <w:p w14:paraId="66A9CA3D" w14:textId="77777777" w:rsidR="00804BFE" w:rsidRDefault="00804BFE" w:rsidP="00804BFE">
      <w:pPr>
        <w:jc w:val="center"/>
        <w:rPr>
          <w:rFonts w:ascii="Arial" w:hAnsi="Arial" w:cs="Arial"/>
          <w:b/>
          <w:i/>
          <w:color w:val="000000" w:themeColor="text1"/>
          <w:sz w:val="22"/>
          <w:szCs w:val="22"/>
          <w:lang w:val="hr-HR"/>
        </w:rPr>
      </w:pPr>
    </w:p>
    <w:p w14:paraId="1AC073A2" w14:textId="77777777" w:rsidR="00804BFE" w:rsidRDefault="00804BFE" w:rsidP="00804BFE">
      <w:pPr>
        <w:jc w:val="center"/>
        <w:rPr>
          <w:rFonts w:ascii="Arial" w:hAnsi="Arial" w:cs="Arial"/>
          <w:b/>
          <w:i/>
          <w:color w:val="000000" w:themeColor="text1"/>
          <w:sz w:val="22"/>
          <w:szCs w:val="22"/>
          <w:lang w:val="hr-HR"/>
        </w:rPr>
      </w:pPr>
    </w:p>
    <w:p w14:paraId="6420CFC9" w14:textId="77777777" w:rsidR="00804BFE" w:rsidRDefault="00804BFE" w:rsidP="00804BFE">
      <w:pPr>
        <w:jc w:val="center"/>
        <w:rPr>
          <w:rFonts w:ascii="Arial" w:hAnsi="Arial" w:cs="Arial"/>
          <w:b/>
          <w:i/>
          <w:color w:val="000000" w:themeColor="text1"/>
          <w:sz w:val="22"/>
          <w:szCs w:val="22"/>
          <w:lang w:val="hr-HR"/>
        </w:rPr>
      </w:pPr>
    </w:p>
    <w:p w14:paraId="59D04C3A" w14:textId="77777777" w:rsidR="00804BFE" w:rsidRDefault="00804BFE" w:rsidP="00804BFE">
      <w:pPr>
        <w:jc w:val="center"/>
        <w:rPr>
          <w:rFonts w:ascii="Arial" w:hAnsi="Arial" w:cs="Arial"/>
          <w:b/>
          <w:i/>
          <w:color w:val="000000" w:themeColor="text1"/>
          <w:sz w:val="22"/>
          <w:szCs w:val="22"/>
          <w:lang w:val="hr-HR"/>
        </w:rPr>
      </w:pPr>
    </w:p>
    <w:p w14:paraId="270930BA" w14:textId="77777777" w:rsidR="00804BFE" w:rsidRPr="00B91D09" w:rsidRDefault="00804BFE" w:rsidP="00804BFE">
      <w:pPr>
        <w:jc w:val="center"/>
        <w:rPr>
          <w:rFonts w:ascii="Arial" w:hAnsi="Arial" w:cs="Arial"/>
          <w:b/>
          <w:i/>
          <w:color w:val="000000" w:themeColor="text1"/>
          <w:sz w:val="22"/>
          <w:szCs w:val="22"/>
          <w:lang w:val="hr-HR"/>
        </w:rPr>
      </w:pPr>
    </w:p>
    <w:p w14:paraId="269F1960" w14:textId="77777777" w:rsidR="00804BFE" w:rsidRPr="00B91D09" w:rsidRDefault="00804BFE" w:rsidP="00804BFE">
      <w:pPr>
        <w:jc w:val="center"/>
        <w:rPr>
          <w:rFonts w:ascii="Arial" w:hAnsi="Arial" w:cs="Arial"/>
          <w:b/>
          <w:color w:val="000000" w:themeColor="text1"/>
          <w:sz w:val="22"/>
          <w:szCs w:val="22"/>
          <w:lang w:val="hr-HR"/>
        </w:rPr>
      </w:pPr>
    </w:p>
    <w:p w14:paraId="409D4E7E" w14:textId="77777777" w:rsidR="00804BFE" w:rsidRPr="00B91D09" w:rsidRDefault="00804BFE" w:rsidP="00804BFE">
      <w:pPr>
        <w:rPr>
          <w:rFonts w:ascii="Arial" w:hAnsi="Arial" w:cs="Arial"/>
          <w:color w:val="000000" w:themeColor="text1"/>
          <w:sz w:val="22"/>
          <w:szCs w:val="22"/>
          <w:lang w:val="hr-HR"/>
        </w:rPr>
      </w:pPr>
      <w:bookmarkStart w:id="82" w:name="_Hlk97037324"/>
      <w:r w:rsidRPr="00B91D09">
        <w:rPr>
          <w:rFonts w:ascii="Arial" w:hAnsi="Arial" w:cs="Arial"/>
          <w:color w:val="000000" w:themeColor="text1"/>
          <w:sz w:val="22"/>
          <w:szCs w:val="22"/>
          <w:lang w:val="hr-HR"/>
        </w:rPr>
        <w:t xml:space="preserve">Zagreb, </w:t>
      </w:r>
      <w:r>
        <w:rPr>
          <w:rFonts w:ascii="Arial" w:hAnsi="Arial" w:cs="Arial"/>
          <w:color w:val="000000" w:themeColor="text1"/>
          <w:sz w:val="22"/>
          <w:szCs w:val="22"/>
          <w:lang w:val="hr-HR"/>
        </w:rPr>
        <w:t>ožujak</w:t>
      </w:r>
      <w:r w:rsidRPr="00B91D09">
        <w:rPr>
          <w:rFonts w:ascii="Arial" w:hAnsi="Arial" w:cs="Arial"/>
          <w:color w:val="000000" w:themeColor="text1"/>
          <w:sz w:val="22"/>
          <w:szCs w:val="22"/>
          <w:lang w:val="hr-HR"/>
        </w:rPr>
        <w:t xml:space="preserve"> 202</w:t>
      </w:r>
      <w:r>
        <w:rPr>
          <w:rFonts w:ascii="Arial" w:hAnsi="Arial" w:cs="Arial"/>
          <w:color w:val="000000" w:themeColor="text1"/>
          <w:sz w:val="22"/>
          <w:szCs w:val="22"/>
          <w:lang w:val="hr-HR"/>
        </w:rPr>
        <w:t>3</w:t>
      </w:r>
      <w:r w:rsidRPr="00B91D09">
        <w:rPr>
          <w:rFonts w:ascii="Arial" w:hAnsi="Arial" w:cs="Arial"/>
          <w:color w:val="000000" w:themeColor="text1"/>
          <w:sz w:val="22"/>
          <w:szCs w:val="22"/>
          <w:lang w:val="hr-HR"/>
        </w:rPr>
        <w:t xml:space="preserve">. </w:t>
      </w:r>
    </w:p>
    <w:bookmarkEnd w:id="82"/>
    <w:p w14:paraId="6DD910B6" w14:textId="77777777" w:rsidR="00804BFE" w:rsidRPr="00B91D09" w:rsidRDefault="00804BFE" w:rsidP="00804BFE">
      <w:pPr>
        <w:rPr>
          <w:rFonts w:ascii="Arial" w:hAnsi="Arial" w:cs="Arial"/>
          <w:color w:val="000000" w:themeColor="text1"/>
          <w:sz w:val="22"/>
          <w:szCs w:val="22"/>
          <w:lang w:val="hr-HR"/>
        </w:rPr>
      </w:pPr>
    </w:p>
    <w:p w14:paraId="3B630742" w14:textId="77777777" w:rsidR="00804BFE" w:rsidRPr="00B91D09" w:rsidRDefault="00804BFE" w:rsidP="00804BFE">
      <w:pPr>
        <w:rPr>
          <w:rFonts w:ascii="Arial" w:hAnsi="Arial" w:cs="Arial"/>
          <w:color w:val="000000" w:themeColor="text1"/>
          <w:sz w:val="22"/>
          <w:szCs w:val="22"/>
          <w:lang w:val="hr-HR"/>
        </w:rPr>
      </w:pPr>
    </w:p>
    <w:p w14:paraId="611A539B" w14:textId="77777777" w:rsidR="00804BFE" w:rsidRPr="00B91D09" w:rsidRDefault="00804BFE" w:rsidP="00804BFE">
      <w:pPr>
        <w:rPr>
          <w:rFonts w:ascii="Arial" w:hAnsi="Arial" w:cs="Arial"/>
          <w:color w:val="000000" w:themeColor="text1"/>
          <w:sz w:val="22"/>
          <w:szCs w:val="22"/>
          <w:lang w:val="hr-HR"/>
        </w:rPr>
        <w:sectPr w:rsidR="00804BFE" w:rsidRPr="00B91D09" w:rsidSect="00623DBA">
          <w:pgSz w:w="11907" w:h="16840" w:code="9"/>
          <w:pgMar w:top="1418" w:right="1134" w:bottom="1134" w:left="1418" w:header="851" w:footer="851" w:gutter="0"/>
          <w:cols w:space="720"/>
          <w:noEndnote/>
          <w:titlePg/>
        </w:sectPr>
      </w:pPr>
    </w:p>
    <w:p w14:paraId="4A0638F9" w14:textId="77777777" w:rsidR="00804BFE" w:rsidRPr="00B91D09" w:rsidRDefault="00804BFE" w:rsidP="00804BFE">
      <w:pPr>
        <w:rPr>
          <w:rFonts w:ascii="Arial" w:hAnsi="Arial" w:cs="Arial"/>
          <w:color w:val="000000" w:themeColor="text1"/>
          <w:sz w:val="22"/>
          <w:szCs w:val="22"/>
          <w:lang w:val="hr-HR"/>
        </w:rPr>
      </w:pPr>
    </w:p>
    <w:tbl>
      <w:tblPr>
        <w:tblW w:w="9487" w:type="dxa"/>
        <w:tblInd w:w="-132" w:type="dxa"/>
        <w:tblLook w:val="01E0" w:firstRow="1" w:lastRow="1" w:firstColumn="1" w:lastColumn="1" w:noHBand="0" w:noVBand="0"/>
      </w:tblPr>
      <w:tblGrid>
        <w:gridCol w:w="8429"/>
        <w:gridCol w:w="1058"/>
      </w:tblGrid>
      <w:tr w:rsidR="00804BFE" w:rsidRPr="00D142F5" w14:paraId="4F2EFD76" w14:textId="77777777" w:rsidTr="00E032FC">
        <w:tc>
          <w:tcPr>
            <w:tcW w:w="8429" w:type="dxa"/>
            <w:vAlign w:val="bottom"/>
          </w:tcPr>
          <w:p w14:paraId="6BC4963A" w14:textId="77777777" w:rsidR="00804BFE" w:rsidRPr="00D142F5" w:rsidRDefault="00804BFE" w:rsidP="00E032FC">
            <w:pPr>
              <w:spacing w:before="120"/>
              <w:rPr>
                <w:rFonts w:ascii="Arial" w:hAnsi="Arial" w:cs="Arial"/>
                <w:color w:val="000000" w:themeColor="text1"/>
                <w:sz w:val="20"/>
                <w:szCs w:val="20"/>
                <w:lang w:val="hr-HR"/>
              </w:rPr>
            </w:pPr>
            <w:bookmarkStart w:id="83" w:name="shema"/>
            <w:bookmarkEnd w:id="83"/>
          </w:p>
        </w:tc>
        <w:tc>
          <w:tcPr>
            <w:tcW w:w="1058" w:type="dxa"/>
            <w:vAlign w:val="bottom"/>
          </w:tcPr>
          <w:p w14:paraId="6FC40CE1" w14:textId="77777777" w:rsidR="00804BFE" w:rsidRPr="00D142F5" w:rsidRDefault="00804BFE" w:rsidP="00E032FC">
            <w:pPr>
              <w:spacing w:before="120"/>
              <w:jc w:val="right"/>
              <w:rPr>
                <w:rFonts w:ascii="Arial" w:hAnsi="Arial" w:cs="Arial"/>
                <w:color w:val="000000" w:themeColor="text1"/>
                <w:sz w:val="20"/>
                <w:szCs w:val="20"/>
                <w:lang w:val="hr-HR"/>
              </w:rPr>
            </w:pPr>
            <w:r w:rsidRPr="00D142F5">
              <w:rPr>
                <w:rFonts w:ascii="Arial" w:hAnsi="Arial" w:cs="Arial"/>
                <w:color w:val="000000" w:themeColor="text1"/>
                <w:sz w:val="20"/>
                <w:szCs w:val="20"/>
                <w:lang w:val="hr-HR"/>
              </w:rPr>
              <w:t>Stranica</w:t>
            </w:r>
          </w:p>
        </w:tc>
      </w:tr>
      <w:tr w:rsidR="00804BFE" w:rsidRPr="00D142F5" w14:paraId="7628545D" w14:textId="77777777" w:rsidTr="00E032FC">
        <w:tc>
          <w:tcPr>
            <w:tcW w:w="8429" w:type="dxa"/>
            <w:vAlign w:val="bottom"/>
          </w:tcPr>
          <w:p w14:paraId="58BE7D18" w14:textId="77777777" w:rsidR="00804BFE" w:rsidRPr="00D142F5" w:rsidRDefault="00804BFE" w:rsidP="00E032FC">
            <w:pPr>
              <w:spacing w:before="120"/>
              <w:rPr>
                <w:rFonts w:ascii="Arial" w:hAnsi="Arial" w:cs="Arial"/>
                <w:color w:val="000000" w:themeColor="text1"/>
                <w:sz w:val="20"/>
                <w:szCs w:val="20"/>
                <w:lang w:val="hr-HR"/>
              </w:rPr>
            </w:pPr>
          </w:p>
        </w:tc>
        <w:tc>
          <w:tcPr>
            <w:tcW w:w="1058" w:type="dxa"/>
            <w:vAlign w:val="bottom"/>
          </w:tcPr>
          <w:p w14:paraId="1ED1EAC5" w14:textId="77777777" w:rsidR="00804BFE" w:rsidRPr="00D142F5" w:rsidRDefault="00804BFE" w:rsidP="00E032FC">
            <w:pPr>
              <w:spacing w:before="120"/>
              <w:jc w:val="right"/>
              <w:rPr>
                <w:rFonts w:ascii="Arial" w:hAnsi="Arial" w:cs="Arial"/>
                <w:color w:val="000000" w:themeColor="text1"/>
                <w:sz w:val="20"/>
                <w:szCs w:val="20"/>
                <w:lang w:val="hr-HR"/>
              </w:rPr>
            </w:pPr>
          </w:p>
        </w:tc>
      </w:tr>
      <w:tr w:rsidR="00804BFE" w:rsidRPr="00D142F5" w14:paraId="1BE9DF5A" w14:textId="77777777" w:rsidTr="00E032FC">
        <w:tc>
          <w:tcPr>
            <w:tcW w:w="8429" w:type="dxa"/>
            <w:vAlign w:val="bottom"/>
          </w:tcPr>
          <w:p w14:paraId="04397AF6" w14:textId="77777777" w:rsidR="00804BFE" w:rsidRPr="00D142F5" w:rsidRDefault="00804BFE" w:rsidP="00E032FC">
            <w:pPr>
              <w:spacing w:before="120"/>
              <w:rPr>
                <w:rFonts w:ascii="Arial" w:hAnsi="Arial" w:cs="Arial"/>
                <w:color w:val="000000" w:themeColor="text1"/>
                <w:sz w:val="20"/>
                <w:szCs w:val="20"/>
                <w:lang w:val="hr-HR"/>
              </w:rPr>
            </w:pPr>
            <w:r w:rsidRPr="00CB0D35">
              <w:rPr>
                <w:rFonts w:ascii="Arial" w:hAnsi="Arial" w:cs="Arial"/>
                <w:color w:val="000000" w:themeColor="text1"/>
                <w:sz w:val="20"/>
                <w:szCs w:val="20"/>
                <w:lang w:val="hr-HR"/>
              </w:rPr>
              <w:t>Odgovornosti Uprave i Nadzornog odbora za pripremu i prihvaćanje odvojenih i konsolidiranih financijskih izvještaja</w:t>
            </w:r>
          </w:p>
        </w:tc>
        <w:tc>
          <w:tcPr>
            <w:tcW w:w="1058" w:type="dxa"/>
            <w:vAlign w:val="bottom"/>
          </w:tcPr>
          <w:p w14:paraId="2C2ED68E" w14:textId="62354078" w:rsidR="00804BFE" w:rsidRPr="001A26DC" w:rsidRDefault="001856C5" w:rsidP="00E032FC">
            <w:pPr>
              <w:spacing w:before="120"/>
              <w:jc w:val="right"/>
              <w:rPr>
                <w:rFonts w:ascii="Arial" w:hAnsi="Arial" w:cs="Arial"/>
                <w:color w:val="000000" w:themeColor="text1"/>
                <w:sz w:val="20"/>
                <w:szCs w:val="20"/>
                <w:lang w:val="hr-HR"/>
              </w:rPr>
            </w:pPr>
            <w:r w:rsidRPr="007C1DAF">
              <w:rPr>
                <w:rFonts w:ascii="Arial" w:hAnsi="Arial" w:cs="Arial"/>
                <w:color w:val="000000" w:themeColor="text1"/>
                <w:sz w:val="20"/>
                <w:szCs w:val="20"/>
                <w:lang w:val="hr-HR"/>
              </w:rPr>
              <w:t>6</w:t>
            </w:r>
            <w:r w:rsidR="00804BFE" w:rsidRPr="007C1DAF">
              <w:rPr>
                <w:rFonts w:ascii="Arial" w:hAnsi="Arial" w:cs="Arial"/>
                <w:color w:val="000000" w:themeColor="text1"/>
                <w:sz w:val="20"/>
                <w:szCs w:val="20"/>
                <w:lang w:val="hr-HR"/>
              </w:rPr>
              <w:t>3</w:t>
            </w:r>
          </w:p>
        </w:tc>
      </w:tr>
      <w:tr w:rsidR="00804BFE" w:rsidRPr="00D142F5" w14:paraId="57D67086" w14:textId="77777777" w:rsidTr="00E032FC">
        <w:tc>
          <w:tcPr>
            <w:tcW w:w="8429" w:type="dxa"/>
            <w:vAlign w:val="bottom"/>
          </w:tcPr>
          <w:p w14:paraId="762A4A65" w14:textId="77777777" w:rsidR="00804BFE" w:rsidRPr="00D142F5" w:rsidRDefault="00804BFE" w:rsidP="00E032FC">
            <w:pPr>
              <w:spacing w:before="120"/>
              <w:rPr>
                <w:rFonts w:ascii="Arial" w:hAnsi="Arial" w:cs="Arial"/>
                <w:color w:val="000000" w:themeColor="text1"/>
                <w:sz w:val="20"/>
                <w:szCs w:val="20"/>
                <w:lang w:val="hr-HR"/>
              </w:rPr>
            </w:pPr>
          </w:p>
        </w:tc>
        <w:tc>
          <w:tcPr>
            <w:tcW w:w="1058" w:type="dxa"/>
            <w:vAlign w:val="bottom"/>
          </w:tcPr>
          <w:p w14:paraId="4F750891" w14:textId="77777777" w:rsidR="00804BFE" w:rsidRPr="001A26DC" w:rsidRDefault="00804BFE" w:rsidP="00E032FC">
            <w:pPr>
              <w:spacing w:before="120"/>
              <w:jc w:val="right"/>
              <w:rPr>
                <w:rFonts w:ascii="Arial" w:hAnsi="Arial" w:cs="Arial"/>
                <w:color w:val="000000" w:themeColor="text1"/>
                <w:sz w:val="20"/>
                <w:szCs w:val="20"/>
                <w:lang w:val="hr-HR"/>
              </w:rPr>
            </w:pPr>
          </w:p>
        </w:tc>
      </w:tr>
      <w:tr w:rsidR="001856C5" w:rsidRPr="00D142F5" w14:paraId="69513BCB" w14:textId="77777777" w:rsidTr="00E032FC">
        <w:tc>
          <w:tcPr>
            <w:tcW w:w="8429" w:type="dxa"/>
            <w:vAlign w:val="bottom"/>
          </w:tcPr>
          <w:p w14:paraId="76E2A087" w14:textId="6C6FBBED" w:rsidR="001856C5" w:rsidRPr="00D142F5" w:rsidRDefault="001856C5" w:rsidP="00E032FC">
            <w:pPr>
              <w:spacing w:before="120"/>
              <w:rPr>
                <w:rFonts w:ascii="Arial" w:hAnsi="Arial" w:cs="Arial"/>
                <w:color w:val="000000" w:themeColor="text1"/>
                <w:sz w:val="20"/>
                <w:szCs w:val="20"/>
                <w:lang w:val="hr-HR"/>
              </w:rPr>
            </w:pPr>
            <w:r w:rsidRPr="001856C5">
              <w:rPr>
                <w:rFonts w:ascii="Arial" w:hAnsi="Arial" w:cs="Arial"/>
                <w:color w:val="000000" w:themeColor="text1"/>
                <w:sz w:val="20"/>
                <w:szCs w:val="20"/>
                <w:lang w:val="hr-HR"/>
              </w:rPr>
              <w:t>Zajedničko izvješće neovisnih revizora vlasniku Hrvatske banke za obnovu i razvitak</w:t>
            </w:r>
          </w:p>
        </w:tc>
        <w:tc>
          <w:tcPr>
            <w:tcW w:w="1058" w:type="dxa"/>
            <w:vAlign w:val="bottom"/>
          </w:tcPr>
          <w:p w14:paraId="6F3542D1" w14:textId="48FCFF3B" w:rsidR="001856C5" w:rsidRPr="001A26DC" w:rsidRDefault="001856C5" w:rsidP="00E032FC">
            <w:pPr>
              <w:spacing w:before="120"/>
              <w:jc w:val="right"/>
              <w:rPr>
                <w:rFonts w:ascii="Arial" w:hAnsi="Arial" w:cs="Arial"/>
                <w:color w:val="000000" w:themeColor="text1"/>
                <w:sz w:val="20"/>
                <w:szCs w:val="20"/>
                <w:lang w:val="hr-HR"/>
              </w:rPr>
            </w:pPr>
            <w:r w:rsidRPr="001A26DC">
              <w:rPr>
                <w:rFonts w:ascii="Arial" w:hAnsi="Arial" w:cs="Arial"/>
                <w:color w:val="000000" w:themeColor="text1"/>
                <w:sz w:val="20"/>
                <w:szCs w:val="20"/>
                <w:lang w:val="hr-HR"/>
              </w:rPr>
              <w:t>64</w:t>
            </w:r>
          </w:p>
        </w:tc>
      </w:tr>
      <w:tr w:rsidR="001856C5" w:rsidRPr="00D142F5" w14:paraId="5898508A" w14:textId="77777777" w:rsidTr="00E032FC">
        <w:tc>
          <w:tcPr>
            <w:tcW w:w="8429" w:type="dxa"/>
            <w:vAlign w:val="bottom"/>
          </w:tcPr>
          <w:p w14:paraId="129CB508" w14:textId="77777777" w:rsidR="001856C5" w:rsidRPr="00D142F5" w:rsidRDefault="001856C5" w:rsidP="00E032FC">
            <w:pPr>
              <w:spacing w:before="120"/>
              <w:rPr>
                <w:rFonts w:ascii="Arial" w:hAnsi="Arial" w:cs="Arial"/>
                <w:color w:val="000000" w:themeColor="text1"/>
                <w:sz w:val="20"/>
                <w:szCs w:val="20"/>
                <w:lang w:val="hr-HR"/>
              </w:rPr>
            </w:pPr>
          </w:p>
        </w:tc>
        <w:tc>
          <w:tcPr>
            <w:tcW w:w="1058" w:type="dxa"/>
            <w:vAlign w:val="bottom"/>
          </w:tcPr>
          <w:p w14:paraId="20D9A4E9" w14:textId="77777777" w:rsidR="001856C5" w:rsidRPr="001A26DC" w:rsidRDefault="001856C5" w:rsidP="00E032FC">
            <w:pPr>
              <w:spacing w:before="120"/>
              <w:jc w:val="right"/>
              <w:rPr>
                <w:rFonts w:ascii="Arial" w:hAnsi="Arial" w:cs="Arial"/>
                <w:color w:val="000000" w:themeColor="text1"/>
                <w:sz w:val="20"/>
                <w:szCs w:val="20"/>
                <w:lang w:val="hr-HR"/>
              </w:rPr>
            </w:pPr>
          </w:p>
        </w:tc>
      </w:tr>
      <w:tr w:rsidR="00804BFE" w:rsidRPr="00D142F5" w14:paraId="5FBEA9BC" w14:textId="77777777" w:rsidTr="00E032FC">
        <w:trPr>
          <w:trHeight w:val="281"/>
        </w:trPr>
        <w:tc>
          <w:tcPr>
            <w:tcW w:w="8429" w:type="dxa"/>
            <w:vAlign w:val="bottom"/>
          </w:tcPr>
          <w:p w14:paraId="58A7BA51" w14:textId="77777777" w:rsidR="00804BFE" w:rsidRPr="00D142F5" w:rsidRDefault="00804BFE" w:rsidP="00E032FC">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Konsolidirani financijski izvještaji Grupe:</w:t>
            </w:r>
          </w:p>
        </w:tc>
        <w:tc>
          <w:tcPr>
            <w:tcW w:w="1058" w:type="dxa"/>
            <w:vAlign w:val="bottom"/>
          </w:tcPr>
          <w:p w14:paraId="35A39602" w14:textId="3B400E92" w:rsidR="00804BFE" w:rsidRPr="001A26DC" w:rsidRDefault="001856C5" w:rsidP="00E032FC">
            <w:pPr>
              <w:spacing w:before="120"/>
              <w:jc w:val="right"/>
              <w:rPr>
                <w:rFonts w:ascii="Arial" w:hAnsi="Arial" w:cs="Arial"/>
                <w:color w:val="000000" w:themeColor="text1"/>
                <w:sz w:val="20"/>
                <w:szCs w:val="20"/>
                <w:lang w:val="hr-HR"/>
              </w:rPr>
            </w:pPr>
            <w:r w:rsidRPr="001A26DC">
              <w:rPr>
                <w:rFonts w:ascii="Arial" w:hAnsi="Arial" w:cs="Arial"/>
                <w:color w:val="000000" w:themeColor="text1"/>
                <w:sz w:val="20"/>
                <w:szCs w:val="20"/>
                <w:lang w:val="hr-HR"/>
              </w:rPr>
              <w:t>72</w:t>
            </w:r>
          </w:p>
        </w:tc>
      </w:tr>
      <w:tr w:rsidR="00804BFE" w:rsidRPr="00D142F5" w14:paraId="788C586C" w14:textId="77777777" w:rsidTr="00E032FC">
        <w:tc>
          <w:tcPr>
            <w:tcW w:w="8429" w:type="dxa"/>
            <w:vAlign w:val="bottom"/>
          </w:tcPr>
          <w:p w14:paraId="3082776D" w14:textId="77777777" w:rsidR="00804BFE" w:rsidRPr="00D142F5" w:rsidRDefault="00804BFE" w:rsidP="00E032FC">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Račun dobiti i gubitka</w:t>
            </w:r>
          </w:p>
        </w:tc>
        <w:tc>
          <w:tcPr>
            <w:tcW w:w="1058" w:type="dxa"/>
            <w:vAlign w:val="bottom"/>
          </w:tcPr>
          <w:p w14:paraId="182C5A2E" w14:textId="3E8F5172" w:rsidR="00804BFE" w:rsidRPr="001A26DC" w:rsidRDefault="001856C5" w:rsidP="00E032FC">
            <w:pPr>
              <w:spacing w:before="120"/>
              <w:jc w:val="right"/>
              <w:rPr>
                <w:rFonts w:ascii="Arial" w:hAnsi="Arial" w:cs="Arial"/>
                <w:color w:val="000000" w:themeColor="text1"/>
                <w:sz w:val="20"/>
                <w:szCs w:val="20"/>
                <w:lang w:val="hr-HR"/>
              </w:rPr>
            </w:pPr>
            <w:r w:rsidRPr="001A26DC">
              <w:rPr>
                <w:rFonts w:ascii="Arial" w:hAnsi="Arial" w:cs="Arial"/>
                <w:color w:val="000000" w:themeColor="text1"/>
                <w:sz w:val="20"/>
                <w:szCs w:val="20"/>
                <w:lang w:val="hr-HR"/>
              </w:rPr>
              <w:t>72</w:t>
            </w:r>
          </w:p>
        </w:tc>
      </w:tr>
      <w:tr w:rsidR="00804BFE" w:rsidRPr="00D142F5" w14:paraId="2313B511" w14:textId="77777777" w:rsidTr="00E032FC">
        <w:tc>
          <w:tcPr>
            <w:tcW w:w="8429" w:type="dxa"/>
            <w:vAlign w:val="bottom"/>
          </w:tcPr>
          <w:p w14:paraId="3B290C8A" w14:textId="77777777" w:rsidR="00804BFE" w:rsidRPr="00D142F5" w:rsidRDefault="00804BFE" w:rsidP="00E032FC">
            <w:pPr>
              <w:spacing w:before="120"/>
              <w:rPr>
                <w:rFonts w:ascii="Arial" w:hAnsi="Arial" w:cs="Arial"/>
                <w:color w:val="000000" w:themeColor="text1"/>
                <w:sz w:val="20"/>
                <w:szCs w:val="20"/>
                <w:lang w:val="hr-HR"/>
              </w:rPr>
            </w:pPr>
          </w:p>
        </w:tc>
        <w:tc>
          <w:tcPr>
            <w:tcW w:w="1058" w:type="dxa"/>
            <w:vAlign w:val="bottom"/>
          </w:tcPr>
          <w:p w14:paraId="30D2D3CA" w14:textId="77777777" w:rsidR="00804BFE" w:rsidRPr="001A26DC" w:rsidRDefault="00804BFE" w:rsidP="00E032FC">
            <w:pPr>
              <w:spacing w:before="120"/>
              <w:jc w:val="right"/>
              <w:rPr>
                <w:rFonts w:ascii="Arial" w:hAnsi="Arial" w:cs="Arial"/>
                <w:color w:val="000000" w:themeColor="text1"/>
                <w:sz w:val="20"/>
                <w:szCs w:val="20"/>
                <w:lang w:val="hr-HR"/>
              </w:rPr>
            </w:pPr>
          </w:p>
        </w:tc>
      </w:tr>
      <w:tr w:rsidR="00804BFE" w:rsidRPr="00D142F5" w14:paraId="1223E448" w14:textId="77777777" w:rsidTr="00E032FC">
        <w:tc>
          <w:tcPr>
            <w:tcW w:w="8429" w:type="dxa"/>
            <w:vAlign w:val="bottom"/>
          </w:tcPr>
          <w:p w14:paraId="461607FF" w14:textId="77777777" w:rsidR="00804BFE" w:rsidRPr="00D142F5" w:rsidRDefault="00804BFE" w:rsidP="00E032FC">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dobiti i gubitku te ostaloj sveobuhvatnoj dobiti</w:t>
            </w:r>
          </w:p>
        </w:tc>
        <w:tc>
          <w:tcPr>
            <w:tcW w:w="1058" w:type="dxa"/>
            <w:vAlign w:val="bottom"/>
          </w:tcPr>
          <w:p w14:paraId="563D8BAA" w14:textId="1D519C2B" w:rsidR="00804BFE" w:rsidRPr="001A26DC" w:rsidRDefault="007929AD" w:rsidP="00E032FC">
            <w:pPr>
              <w:spacing w:before="120"/>
              <w:jc w:val="right"/>
              <w:rPr>
                <w:rFonts w:ascii="Arial" w:hAnsi="Arial" w:cs="Arial"/>
                <w:color w:val="000000" w:themeColor="text1"/>
                <w:sz w:val="20"/>
                <w:szCs w:val="20"/>
                <w:lang w:val="hr-HR"/>
              </w:rPr>
            </w:pPr>
            <w:r w:rsidRPr="001A26DC">
              <w:rPr>
                <w:rFonts w:ascii="Arial" w:hAnsi="Arial" w:cs="Arial"/>
                <w:color w:val="000000" w:themeColor="text1"/>
                <w:sz w:val="20"/>
                <w:szCs w:val="20"/>
                <w:lang w:val="hr-HR"/>
              </w:rPr>
              <w:t>73</w:t>
            </w:r>
          </w:p>
        </w:tc>
      </w:tr>
      <w:tr w:rsidR="00804BFE" w:rsidRPr="00D142F5" w14:paraId="77DCD070" w14:textId="77777777" w:rsidTr="00E032FC">
        <w:tc>
          <w:tcPr>
            <w:tcW w:w="8429" w:type="dxa"/>
            <w:vAlign w:val="bottom"/>
          </w:tcPr>
          <w:p w14:paraId="05F96ABD" w14:textId="77777777" w:rsidR="00804BFE" w:rsidRPr="00D142F5" w:rsidRDefault="00804BFE" w:rsidP="00E032FC">
            <w:pPr>
              <w:spacing w:before="120"/>
              <w:rPr>
                <w:rFonts w:ascii="Arial" w:hAnsi="Arial" w:cs="Arial"/>
                <w:color w:val="000000" w:themeColor="text1"/>
                <w:sz w:val="20"/>
                <w:szCs w:val="20"/>
                <w:lang w:val="hr-HR"/>
              </w:rPr>
            </w:pPr>
          </w:p>
        </w:tc>
        <w:tc>
          <w:tcPr>
            <w:tcW w:w="1058" w:type="dxa"/>
            <w:vAlign w:val="bottom"/>
          </w:tcPr>
          <w:p w14:paraId="4C807A33" w14:textId="77777777" w:rsidR="00804BFE" w:rsidRPr="001A26DC" w:rsidRDefault="00804BFE" w:rsidP="00E032FC">
            <w:pPr>
              <w:spacing w:before="120"/>
              <w:jc w:val="right"/>
              <w:rPr>
                <w:rFonts w:ascii="Arial" w:hAnsi="Arial" w:cs="Arial"/>
                <w:color w:val="000000" w:themeColor="text1"/>
                <w:sz w:val="20"/>
                <w:szCs w:val="20"/>
                <w:lang w:val="hr-HR"/>
              </w:rPr>
            </w:pPr>
          </w:p>
        </w:tc>
      </w:tr>
      <w:tr w:rsidR="00804BFE" w:rsidRPr="00D142F5" w14:paraId="590FED95" w14:textId="77777777" w:rsidTr="00E032FC">
        <w:tc>
          <w:tcPr>
            <w:tcW w:w="8429" w:type="dxa"/>
            <w:vAlign w:val="bottom"/>
          </w:tcPr>
          <w:p w14:paraId="6D3557B0" w14:textId="77777777" w:rsidR="00804BFE" w:rsidRPr="00D142F5" w:rsidRDefault="00804BFE" w:rsidP="00E032FC">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financijskom položaju</w:t>
            </w:r>
          </w:p>
        </w:tc>
        <w:tc>
          <w:tcPr>
            <w:tcW w:w="1058" w:type="dxa"/>
            <w:vAlign w:val="bottom"/>
          </w:tcPr>
          <w:p w14:paraId="3271F6A5" w14:textId="0C2D8243" w:rsidR="00804BFE" w:rsidRPr="001A26DC" w:rsidRDefault="007929AD" w:rsidP="00E032FC">
            <w:pPr>
              <w:spacing w:before="120"/>
              <w:jc w:val="right"/>
              <w:rPr>
                <w:rFonts w:ascii="Arial" w:hAnsi="Arial" w:cs="Arial"/>
                <w:color w:val="000000" w:themeColor="text1"/>
                <w:sz w:val="20"/>
                <w:szCs w:val="20"/>
                <w:lang w:val="hr-HR"/>
              </w:rPr>
            </w:pPr>
            <w:r w:rsidRPr="001A26DC">
              <w:rPr>
                <w:rFonts w:ascii="Arial" w:hAnsi="Arial" w:cs="Arial"/>
                <w:color w:val="000000" w:themeColor="text1"/>
                <w:sz w:val="20"/>
                <w:szCs w:val="20"/>
                <w:lang w:val="hr-HR"/>
              </w:rPr>
              <w:t>74</w:t>
            </w:r>
          </w:p>
        </w:tc>
      </w:tr>
      <w:tr w:rsidR="00804BFE" w:rsidRPr="00D142F5" w14:paraId="7787A926" w14:textId="77777777" w:rsidTr="00E032FC">
        <w:tc>
          <w:tcPr>
            <w:tcW w:w="8429" w:type="dxa"/>
            <w:vAlign w:val="bottom"/>
          </w:tcPr>
          <w:p w14:paraId="531A5E92" w14:textId="77777777" w:rsidR="00804BFE" w:rsidRPr="00D142F5" w:rsidRDefault="00804BFE" w:rsidP="00E032FC">
            <w:pPr>
              <w:spacing w:before="120"/>
              <w:rPr>
                <w:rFonts w:ascii="Arial" w:hAnsi="Arial" w:cs="Arial"/>
                <w:color w:val="000000" w:themeColor="text1"/>
                <w:sz w:val="20"/>
                <w:szCs w:val="20"/>
                <w:lang w:val="hr-HR"/>
              </w:rPr>
            </w:pPr>
          </w:p>
        </w:tc>
        <w:tc>
          <w:tcPr>
            <w:tcW w:w="1058" w:type="dxa"/>
            <w:vAlign w:val="bottom"/>
          </w:tcPr>
          <w:p w14:paraId="35AAE107" w14:textId="77777777" w:rsidR="00804BFE" w:rsidRPr="001A26DC" w:rsidRDefault="00804BFE" w:rsidP="00E032FC">
            <w:pPr>
              <w:spacing w:before="120"/>
              <w:jc w:val="right"/>
              <w:rPr>
                <w:rFonts w:ascii="Arial" w:hAnsi="Arial" w:cs="Arial"/>
                <w:color w:val="000000" w:themeColor="text1"/>
                <w:sz w:val="20"/>
                <w:szCs w:val="20"/>
                <w:lang w:val="hr-HR"/>
              </w:rPr>
            </w:pPr>
          </w:p>
        </w:tc>
      </w:tr>
      <w:tr w:rsidR="00804BFE" w:rsidRPr="00D142F5" w14:paraId="6334FBFF" w14:textId="77777777" w:rsidTr="00E032FC">
        <w:tc>
          <w:tcPr>
            <w:tcW w:w="8429" w:type="dxa"/>
            <w:vAlign w:val="bottom"/>
          </w:tcPr>
          <w:p w14:paraId="2A710E51" w14:textId="77777777" w:rsidR="00804BFE" w:rsidRPr="00D142F5" w:rsidRDefault="00804BFE" w:rsidP="00E032FC">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novčanim tokovima</w:t>
            </w:r>
          </w:p>
        </w:tc>
        <w:tc>
          <w:tcPr>
            <w:tcW w:w="1058" w:type="dxa"/>
            <w:vAlign w:val="bottom"/>
          </w:tcPr>
          <w:p w14:paraId="4E3F0879" w14:textId="48EAEFDF" w:rsidR="00804BFE" w:rsidRPr="001A26DC" w:rsidRDefault="00804BFE" w:rsidP="00E032FC">
            <w:pPr>
              <w:spacing w:before="120"/>
              <w:jc w:val="right"/>
              <w:rPr>
                <w:rFonts w:ascii="Arial" w:hAnsi="Arial" w:cs="Arial"/>
                <w:color w:val="000000" w:themeColor="text1"/>
                <w:sz w:val="20"/>
                <w:szCs w:val="20"/>
                <w:lang w:val="hr-HR"/>
              </w:rPr>
            </w:pPr>
            <w:r w:rsidRPr="001A26DC">
              <w:rPr>
                <w:rFonts w:ascii="Arial" w:hAnsi="Arial" w:cs="Arial"/>
                <w:color w:val="000000" w:themeColor="text1"/>
                <w:sz w:val="20"/>
                <w:szCs w:val="20"/>
                <w:lang w:val="hr-HR"/>
              </w:rPr>
              <w:t>7</w:t>
            </w:r>
            <w:r w:rsidR="007929AD" w:rsidRPr="001A26DC">
              <w:rPr>
                <w:rFonts w:ascii="Arial" w:hAnsi="Arial" w:cs="Arial"/>
                <w:color w:val="000000" w:themeColor="text1"/>
                <w:sz w:val="20"/>
                <w:szCs w:val="20"/>
                <w:lang w:val="hr-HR"/>
              </w:rPr>
              <w:t>5</w:t>
            </w:r>
          </w:p>
        </w:tc>
      </w:tr>
      <w:tr w:rsidR="00804BFE" w:rsidRPr="00D142F5" w14:paraId="129A4015" w14:textId="77777777" w:rsidTr="00E032FC">
        <w:tc>
          <w:tcPr>
            <w:tcW w:w="8429" w:type="dxa"/>
            <w:vAlign w:val="bottom"/>
          </w:tcPr>
          <w:p w14:paraId="02B45103" w14:textId="77777777" w:rsidR="00804BFE" w:rsidRPr="00D142F5" w:rsidRDefault="00804BFE" w:rsidP="00E032FC">
            <w:pPr>
              <w:spacing w:before="120"/>
              <w:rPr>
                <w:rFonts w:ascii="Arial" w:hAnsi="Arial" w:cs="Arial"/>
                <w:color w:val="000000" w:themeColor="text1"/>
                <w:sz w:val="20"/>
                <w:szCs w:val="20"/>
                <w:lang w:val="hr-HR"/>
              </w:rPr>
            </w:pPr>
          </w:p>
        </w:tc>
        <w:tc>
          <w:tcPr>
            <w:tcW w:w="1058" w:type="dxa"/>
            <w:vAlign w:val="bottom"/>
          </w:tcPr>
          <w:p w14:paraId="5A949EBB" w14:textId="77777777" w:rsidR="00804BFE" w:rsidRPr="001A26DC" w:rsidRDefault="00804BFE" w:rsidP="00E032FC">
            <w:pPr>
              <w:spacing w:before="120"/>
              <w:jc w:val="right"/>
              <w:rPr>
                <w:rFonts w:ascii="Arial" w:hAnsi="Arial" w:cs="Arial"/>
                <w:color w:val="000000" w:themeColor="text1"/>
                <w:sz w:val="20"/>
                <w:szCs w:val="20"/>
                <w:lang w:val="hr-HR"/>
              </w:rPr>
            </w:pPr>
          </w:p>
        </w:tc>
      </w:tr>
      <w:tr w:rsidR="00804BFE" w:rsidRPr="00D142F5" w14:paraId="47AE757E" w14:textId="77777777" w:rsidTr="00E032FC">
        <w:tc>
          <w:tcPr>
            <w:tcW w:w="8429" w:type="dxa"/>
            <w:vAlign w:val="bottom"/>
          </w:tcPr>
          <w:p w14:paraId="42992F6F" w14:textId="77777777" w:rsidR="00804BFE" w:rsidRPr="00D142F5" w:rsidRDefault="00804BFE" w:rsidP="00E032FC">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promjenama na kapitalu i rezervama</w:t>
            </w:r>
          </w:p>
        </w:tc>
        <w:tc>
          <w:tcPr>
            <w:tcW w:w="1058" w:type="dxa"/>
            <w:vAlign w:val="bottom"/>
          </w:tcPr>
          <w:p w14:paraId="09BD8BF2" w14:textId="04092545" w:rsidR="00804BFE" w:rsidRPr="001A26DC" w:rsidRDefault="007929AD" w:rsidP="00E032FC">
            <w:pPr>
              <w:spacing w:before="120"/>
              <w:jc w:val="right"/>
              <w:rPr>
                <w:rFonts w:ascii="Arial" w:hAnsi="Arial" w:cs="Arial"/>
                <w:color w:val="000000" w:themeColor="text1"/>
                <w:sz w:val="20"/>
                <w:szCs w:val="20"/>
                <w:lang w:val="hr-HR"/>
              </w:rPr>
            </w:pPr>
            <w:r w:rsidRPr="001A26DC">
              <w:rPr>
                <w:rFonts w:ascii="Arial" w:hAnsi="Arial" w:cs="Arial"/>
                <w:color w:val="000000" w:themeColor="text1"/>
                <w:sz w:val="20"/>
                <w:szCs w:val="20"/>
                <w:lang w:val="hr-HR"/>
              </w:rPr>
              <w:t>76</w:t>
            </w:r>
          </w:p>
        </w:tc>
      </w:tr>
      <w:tr w:rsidR="00804BFE" w:rsidRPr="00D142F5" w14:paraId="25EBE91F" w14:textId="77777777" w:rsidTr="00E032FC">
        <w:tc>
          <w:tcPr>
            <w:tcW w:w="8429" w:type="dxa"/>
            <w:vAlign w:val="bottom"/>
          </w:tcPr>
          <w:p w14:paraId="0ADE2D8E" w14:textId="77777777" w:rsidR="00804BFE" w:rsidRPr="00D142F5" w:rsidRDefault="00804BFE" w:rsidP="00E032FC">
            <w:pPr>
              <w:spacing w:before="120"/>
              <w:rPr>
                <w:rFonts w:ascii="Arial" w:hAnsi="Arial" w:cs="Arial"/>
                <w:color w:val="000000" w:themeColor="text1"/>
                <w:sz w:val="20"/>
                <w:szCs w:val="20"/>
                <w:lang w:val="hr-HR"/>
              </w:rPr>
            </w:pPr>
          </w:p>
        </w:tc>
        <w:tc>
          <w:tcPr>
            <w:tcW w:w="1058" w:type="dxa"/>
            <w:vAlign w:val="bottom"/>
          </w:tcPr>
          <w:p w14:paraId="08865EB5" w14:textId="77777777" w:rsidR="00804BFE" w:rsidRPr="001A26DC" w:rsidRDefault="00804BFE" w:rsidP="00E032FC">
            <w:pPr>
              <w:spacing w:before="120"/>
              <w:jc w:val="right"/>
              <w:rPr>
                <w:rFonts w:ascii="Arial" w:hAnsi="Arial" w:cs="Arial"/>
                <w:color w:val="000000" w:themeColor="text1"/>
                <w:sz w:val="20"/>
                <w:szCs w:val="20"/>
                <w:lang w:val="hr-HR"/>
              </w:rPr>
            </w:pPr>
          </w:p>
        </w:tc>
      </w:tr>
      <w:tr w:rsidR="00804BFE" w:rsidRPr="00D142F5" w14:paraId="5908D628" w14:textId="77777777" w:rsidTr="00E032FC">
        <w:tc>
          <w:tcPr>
            <w:tcW w:w="8429" w:type="dxa"/>
            <w:vAlign w:val="bottom"/>
          </w:tcPr>
          <w:p w14:paraId="665B19E9" w14:textId="77777777" w:rsidR="00804BFE" w:rsidRPr="00D142F5" w:rsidRDefault="00804BFE" w:rsidP="00E032FC">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Odvojeni financijski izvještaji Banke:</w:t>
            </w:r>
          </w:p>
        </w:tc>
        <w:tc>
          <w:tcPr>
            <w:tcW w:w="1058" w:type="dxa"/>
            <w:vAlign w:val="bottom"/>
          </w:tcPr>
          <w:p w14:paraId="4FFDDCB4" w14:textId="0C68CB90" w:rsidR="00804BFE" w:rsidRPr="001A26DC" w:rsidRDefault="007929AD" w:rsidP="00E032FC">
            <w:pPr>
              <w:spacing w:before="120"/>
              <w:jc w:val="right"/>
              <w:rPr>
                <w:rFonts w:ascii="Arial" w:hAnsi="Arial" w:cs="Arial"/>
                <w:color w:val="000000" w:themeColor="text1"/>
                <w:sz w:val="20"/>
                <w:szCs w:val="20"/>
                <w:lang w:val="hr-HR"/>
              </w:rPr>
            </w:pPr>
            <w:r w:rsidRPr="001A26DC">
              <w:rPr>
                <w:rFonts w:ascii="Arial" w:hAnsi="Arial" w:cs="Arial"/>
                <w:color w:val="000000" w:themeColor="text1"/>
                <w:sz w:val="20"/>
                <w:szCs w:val="20"/>
                <w:lang w:val="hr-HR"/>
              </w:rPr>
              <w:t>77</w:t>
            </w:r>
          </w:p>
        </w:tc>
      </w:tr>
      <w:tr w:rsidR="00804BFE" w:rsidRPr="00D142F5" w14:paraId="3B97EDCD" w14:textId="77777777" w:rsidTr="00E032FC">
        <w:tc>
          <w:tcPr>
            <w:tcW w:w="8429" w:type="dxa"/>
            <w:vAlign w:val="bottom"/>
          </w:tcPr>
          <w:p w14:paraId="430CA488" w14:textId="77777777" w:rsidR="00804BFE" w:rsidRPr="00D142F5" w:rsidRDefault="00804BFE" w:rsidP="00E032FC">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Račun dobiti i gubitka</w:t>
            </w:r>
          </w:p>
        </w:tc>
        <w:tc>
          <w:tcPr>
            <w:tcW w:w="1058" w:type="dxa"/>
            <w:vAlign w:val="bottom"/>
          </w:tcPr>
          <w:p w14:paraId="5710D3BD" w14:textId="4A050B76" w:rsidR="00804BFE" w:rsidRPr="001A26DC" w:rsidRDefault="007929AD" w:rsidP="00E032FC">
            <w:pPr>
              <w:spacing w:before="120"/>
              <w:jc w:val="right"/>
              <w:rPr>
                <w:rFonts w:ascii="Arial" w:hAnsi="Arial" w:cs="Arial"/>
                <w:color w:val="000000" w:themeColor="text1"/>
                <w:sz w:val="20"/>
                <w:szCs w:val="20"/>
                <w:lang w:val="hr-HR"/>
              </w:rPr>
            </w:pPr>
            <w:r w:rsidRPr="001A26DC">
              <w:rPr>
                <w:rFonts w:ascii="Arial" w:hAnsi="Arial" w:cs="Arial"/>
                <w:color w:val="000000" w:themeColor="text1"/>
                <w:sz w:val="20"/>
                <w:szCs w:val="20"/>
                <w:lang w:val="hr-HR"/>
              </w:rPr>
              <w:t>77</w:t>
            </w:r>
          </w:p>
        </w:tc>
      </w:tr>
      <w:tr w:rsidR="00804BFE" w:rsidRPr="00D142F5" w14:paraId="75825445" w14:textId="77777777" w:rsidTr="00E032FC">
        <w:tc>
          <w:tcPr>
            <w:tcW w:w="8429" w:type="dxa"/>
            <w:vAlign w:val="bottom"/>
          </w:tcPr>
          <w:p w14:paraId="4E8A99C7" w14:textId="77777777" w:rsidR="00804BFE" w:rsidRPr="00D142F5" w:rsidRDefault="00804BFE" w:rsidP="00E032FC">
            <w:pPr>
              <w:spacing w:before="120"/>
              <w:rPr>
                <w:rFonts w:ascii="Arial" w:hAnsi="Arial" w:cs="Arial"/>
                <w:color w:val="000000" w:themeColor="text1"/>
                <w:sz w:val="20"/>
                <w:szCs w:val="20"/>
                <w:lang w:val="hr-HR"/>
              </w:rPr>
            </w:pPr>
          </w:p>
        </w:tc>
        <w:tc>
          <w:tcPr>
            <w:tcW w:w="1058" w:type="dxa"/>
            <w:vAlign w:val="bottom"/>
          </w:tcPr>
          <w:p w14:paraId="363A4BFF" w14:textId="77777777" w:rsidR="00804BFE" w:rsidRPr="001A26DC" w:rsidRDefault="00804BFE" w:rsidP="00E032FC">
            <w:pPr>
              <w:spacing w:before="120"/>
              <w:jc w:val="right"/>
              <w:rPr>
                <w:rFonts w:ascii="Arial" w:hAnsi="Arial" w:cs="Arial"/>
                <w:color w:val="000000" w:themeColor="text1"/>
                <w:sz w:val="20"/>
                <w:szCs w:val="20"/>
                <w:lang w:val="hr-HR"/>
              </w:rPr>
            </w:pPr>
          </w:p>
        </w:tc>
      </w:tr>
      <w:tr w:rsidR="00804BFE" w:rsidRPr="00D142F5" w14:paraId="7C77E5B3" w14:textId="77777777" w:rsidTr="00E032FC">
        <w:tc>
          <w:tcPr>
            <w:tcW w:w="8429" w:type="dxa"/>
            <w:vAlign w:val="bottom"/>
          </w:tcPr>
          <w:p w14:paraId="23E7C4B8" w14:textId="77777777" w:rsidR="00804BFE" w:rsidRPr="00D142F5" w:rsidRDefault="00804BFE" w:rsidP="00E032FC">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dobiti i gubitku te ostaloj sveobuhvatnoj dobiti</w:t>
            </w:r>
          </w:p>
        </w:tc>
        <w:tc>
          <w:tcPr>
            <w:tcW w:w="1058" w:type="dxa"/>
            <w:vAlign w:val="bottom"/>
          </w:tcPr>
          <w:p w14:paraId="0D727ED2" w14:textId="6328FF43" w:rsidR="00804BFE" w:rsidRPr="001A26DC" w:rsidRDefault="007929AD" w:rsidP="00E032FC">
            <w:pPr>
              <w:spacing w:before="120"/>
              <w:jc w:val="right"/>
              <w:rPr>
                <w:rFonts w:ascii="Arial" w:hAnsi="Arial" w:cs="Arial"/>
                <w:color w:val="000000" w:themeColor="text1"/>
                <w:sz w:val="20"/>
                <w:szCs w:val="20"/>
                <w:lang w:val="hr-HR"/>
              </w:rPr>
            </w:pPr>
            <w:r w:rsidRPr="001A26DC">
              <w:rPr>
                <w:rFonts w:ascii="Arial" w:hAnsi="Arial" w:cs="Arial"/>
                <w:color w:val="000000" w:themeColor="text1"/>
                <w:sz w:val="20"/>
                <w:szCs w:val="20"/>
                <w:lang w:val="hr-HR"/>
              </w:rPr>
              <w:t>78</w:t>
            </w:r>
          </w:p>
        </w:tc>
      </w:tr>
      <w:tr w:rsidR="00804BFE" w:rsidRPr="00D142F5" w14:paraId="5AF683A7" w14:textId="77777777" w:rsidTr="00E032FC">
        <w:tc>
          <w:tcPr>
            <w:tcW w:w="8429" w:type="dxa"/>
            <w:vAlign w:val="bottom"/>
          </w:tcPr>
          <w:p w14:paraId="1EB3F2B3" w14:textId="77777777" w:rsidR="00804BFE" w:rsidRPr="00D142F5" w:rsidRDefault="00804BFE" w:rsidP="00E032FC">
            <w:pPr>
              <w:spacing w:before="120"/>
              <w:rPr>
                <w:rFonts w:ascii="Arial" w:hAnsi="Arial" w:cs="Arial"/>
                <w:color w:val="000000" w:themeColor="text1"/>
                <w:sz w:val="20"/>
                <w:szCs w:val="20"/>
                <w:lang w:val="hr-HR"/>
              </w:rPr>
            </w:pPr>
          </w:p>
        </w:tc>
        <w:tc>
          <w:tcPr>
            <w:tcW w:w="1058" w:type="dxa"/>
            <w:vAlign w:val="bottom"/>
          </w:tcPr>
          <w:p w14:paraId="78727B71" w14:textId="77777777" w:rsidR="00804BFE" w:rsidRPr="001A26DC" w:rsidRDefault="00804BFE" w:rsidP="00E032FC">
            <w:pPr>
              <w:spacing w:before="120"/>
              <w:jc w:val="right"/>
              <w:rPr>
                <w:rFonts w:ascii="Arial" w:hAnsi="Arial" w:cs="Arial"/>
                <w:color w:val="000000" w:themeColor="text1"/>
                <w:sz w:val="20"/>
                <w:szCs w:val="20"/>
                <w:lang w:val="hr-HR"/>
              </w:rPr>
            </w:pPr>
          </w:p>
        </w:tc>
      </w:tr>
      <w:tr w:rsidR="00804BFE" w:rsidRPr="00D142F5" w14:paraId="3160E2E4" w14:textId="77777777" w:rsidTr="00E032FC">
        <w:tc>
          <w:tcPr>
            <w:tcW w:w="8429" w:type="dxa"/>
            <w:vAlign w:val="bottom"/>
          </w:tcPr>
          <w:p w14:paraId="3E258332" w14:textId="77777777" w:rsidR="00804BFE" w:rsidRPr="00D142F5" w:rsidRDefault="00804BFE" w:rsidP="00E032FC">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financijskom položaju</w:t>
            </w:r>
          </w:p>
        </w:tc>
        <w:tc>
          <w:tcPr>
            <w:tcW w:w="1058" w:type="dxa"/>
            <w:vAlign w:val="bottom"/>
          </w:tcPr>
          <w:p w14:paraId="4026F3B9" w14:textId="5DFC986B" w:rsidR="00804BFE" w:rsidRPr="001A26DC" w:rsidRDefault="007929AD" w:rsidP="00E032FC">
            <w:pPr>
              <w:spacing w:before="120"/>
              <w:jc w:val="right"/>
              <w:rPr>
                <w:rFonts w:ascii="Arial" w:hAnsi="Arial" w:cs="Arial"/>
                <w:color w:val="000000" w:themeColor="text1"/>
                <w:sz w:val="20"/>
                <w:szCs w:val="20"/>
                <w:lang w:val="hr-HR"/>
              </w:rPr>
            </w:pPr>
            <w:r w:rsidRPr="001A26DC">
              <w:rPr>
                <w:rFonts w:ascii="Arial" w:hAnsi="Arial" w:cs="Arial"/>
                <w:color w:val="000000" w:themeColor="text1"/>
                <w:sz w:val="20"/>
                <w:szCs w:val="20"/>
                <w:lang w:val="hr-HR"/>
              </w:rPr>
              <w:t>79</w:t>
            </w:r>
          </w:p>
        </w:tc>
      </w:tr>
      <w:tr w:rsidR="00804BFE" w:rsidRPr="00D142F5" w14:paraId="447BD5D6" w14:textId="77777777" w:rsidTr="00E032FC">
        <w:tc>
          <w:tcPr>
            <w:tcW w:w="8429" w:type="dxa"/>
            <w:vAlign w:val="bottom"/>
          </w:tcPr>
          <w:p w14:paraId="6CED00C5" w14:textId="77777777" w:rsidR="00804BFE" w:rsidRPr="00D142F5" w:rsidRDefault="00804BFE" w:rsidP="00E032FC">
            <w:pPr>
              <w:spacing w:before="120"/>
              <w:rPr>
                <w:rFonts w:ascii="Arial" w:hAnsi="Arial" w:cs="Arial"/>
                <w:color w:val="000000" w:themeColor="text1"/>
                <w:sz w:val="20"/>
                <w:szCs w:val="20"/>
                <w:lang w:val="hr-HR"/>
              </w:rPr>
            </w:pPr>
          </w:p>
        </w:tc>
        <w:tc>
          <w:tcPr>
            <w:tcW w:w="1058" w:type="dxa"/>
            <w:vAlign w:val="bottom"/>
          </w:tcPr>
          <w:p w14:paraId="5B436B65" w14:textId="77777777" w:rsidR="00804BFE" w:rsidRPr="001A26DC" w:rsidRDefault="00804BFE" w:rsidP="00E032FC">
            <w:pPr>
              <w:spacing w:before="120"/>
              <w:jc w:val="right"/>
              <w:rPr>
                <w:rFonts w:ascii="Arial" w:hAnsi="Arial" w:cs="Arial"/>
                <w:color w:val="000000" w:themeColor="text1"/>
                <w:sz w:val="20"/>
                <w:szCs w:val="20"/>
                <w:lang w:val="hr-HR"/>
              </w:rPr>
            </w:pPr>
          </w:p>
        </w:tc>
      </w:tr>
      <w:tr w:rsidR="00804BFE" w:rsidRPr="00D142F5" w14:paraId="468AF5D9" w14:textId="77777777" w:rsidTr="00E032FC">
        <w:tc>
          <w:tcPr>
            <w:tcW w:w="8429" w:type="dxa"/>
            <w:vAlign w:val="bottom"/>
          </w:tcPr>
          <w:p w14:paraId="5DC74BE8" w14:textId="77777777" w:rsidR="00804BFE" w:rsidRPr="00D142F5" w:rsidRDefault="00804BFE" w:rsidP="00E032FC">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novčanim tokovima</w:t>
            </w:r>
          </w:p>
        </w:tc>
        <w:tc>
          <w:tcPr>
            <w:tcW w:w="1058" w:type="dxa"/>
            <w:vAlign w:val="bottom"/>
          </w:tcPr>
          <w:p w14:paraId="41B7E2F7" w14:textId="19DD2EE0" w:rsidR="00804BFE" w:rsidRPr="001A26DC" w:rsidRDefault="007929AD" w:rsidP="00E032FC">
            <w:pPr>
              <w:spacing w:before="120"/>
              <w:jc w:val="right"/>
              <w:rPr>
                <w:rFonts w:ascii="Arial" w:hAnsi="Arial" w:cs="Arial"/>
                <w:color w:val="000000" w:themeColor="text1"/>
                <w:sz w:val="20"/>
                <w:szCs w:val="20"/>
                <w:lang w:val="hr-HR"/>
              </w:rPr>
            </w:pPr>
            <w:r w:rsidRPr="001A26DC">
              <w:rPr>
                <w:rFonts w:ascii="Arial" w:hAnsi="Arial" w:cs="Arial"/>
                <w:color w:val="000000" w:themeColor="text1"/>
                <w:sz w:val="20"/>
                <w:szCs w:val="20"/>
                <w:lang w:val="hr-HR"/>
              </w:rPr>
              <w:t>80</w:t>
            </w:r>
          </w:p>
        </w:tc>
      </w:tr>
      <w:tr w:rsidR="00804BFE" w:rsidRPr="00D142F5" w14:paraId="61C8ECC9" w14:textId="77777777" w:rsidTr="00E032FC">
        <w:tc>
          <w:tcPr>
            <w:tcW w:w="8429" w:type="dxa"/>
            <w:vAlign w:val="bottom"/>
          </w:tcPr>
          <w:p w14:paraId="5C0650AF" w14:textId="77777777" w:rsidR="00804BFE" w:rsidRPr="00D142F5" w:rsidRDefault="00804BFE" w:rsidP="00E032FC">
            <w:pPr>
              <w:spacing w:before="120"/>
              <w:rPr>
                <w:rFonts w:ascii="Arial" w:hAnsi="Arial" w:cs="Arial"/>
                <w:color w:val="000000" w:themeColor="text1"/>
                <w:sz w:val="20"/>
                <w:szCs w:val="20"/>
                <w:lang w:val="hr-HR"/>
              </w:rPr>
            </w:pPr>
          </w:p>
        </w:tc>
        <w:tc>
          <w:tcPr>
            <w:tcW w:w="1058" w:type="dxa"/>
            <w:vAlign w:val="bottom"/>
          </w:tcPr>
          <w:p w14:paraId="79523505" w14:textId="77777777" w:rsidR="00804BFE" w:rsidRPr="001A26DC" w:rsidRDefault="00804BFE" w:rsidP="00E032FC">
            <w:pPr>
              <w:spacing w:before="120"/>
              <w:jc w:val="right"/>
              <w:rPr>
                <w:rFonts w:ascii="Arial" w:hAnsi="Arial" w:cs="Arial"/>
                <w:color w:val="000000" w:themeColor="text1"/>
                <w:sz w:val="20"/>
                <w:szCs w:val="20"/>
                <w:lang w:val="hr-HR"/>
              </w:rPr>
            </w:pPr>
          </w:p>
        </w:tc>
      </w:tr>
      <w:tr w:rsidR="00804BFE" w:rsidRPr="00D142F5" w14:paraId="4ECEFBD7" w14:textId="77777777" w:rsidTr="00E032FC">
        <w:tc>
          <w:tcPr>
            <w:tcW w:w="8429" w:type="dxa"/>
            <w:vAlign w:val="bottom"/>
          </w:tcPr>
          <w:p w14:paraId="7430D17A" w14:textId="77777777" w:rsidR="00804BFE" w:rsidRPr="00D142F5" w:rsidRDefault="00804BFE" w:rsidP="00E032FC">
            <w:pPr>
              <w:spacing w:before="120"/>
              <w:rPr>
                <w:rFonts w:ascii="Arial" w:hAnsi="Arial" w:cs="Arial"/>
                <w:color w:val="000000" w:themeColor="text1"/>
                <w:sz w:val="20"/>
                <w:szCs w:val="20"/>
                <w:lang w:val="hr-HR"/>
              </w:rPr>
            </w:pPr>
            <w:r w:rsidRPr="00D142F5">
              <w:rPr>
                <w:rFonts w:ascii="Arial" w:hAnsi="Arial" w:cs="Arial"/>
                <w:color w:val="000000" w:themeColor="text1"/>
                <w:sz w:val="20"/>
                <w:szCs w:val="20"/>
                <w:lang w:val="hr-HR"/>
              </w:rPr>
              <w:t>Izvještaj o promjenama na kapitalu i rezervama</w:t>
            </w:r>
          </w:p>
        </w:tc>
        <w:tc>
          <w:tcPr>
            <w:tcW w:w="1058" w:type="dxa"/>
            <w:vAlign w:val="bottom"/>
          </w:tcPr>
          <w:p w14:paraId="0FE13C32" w14:textId="3B9EB854" w:rsidR="00804BFE" w:rsidRPr="001A26DC" w:rsidRDefault="007929AD" w:rsidP="00E032FC">
            <w:pPr>
              <w:spacing w:before="120"/>
              <w:jc w:val="right"/>
              <w:rPr>
                <w:rFonts w:ascii="Arial" w:hAnsi="Arial" w:cs="Arial"/>
                <w:color w:val="000000" w:themeColor="text1"/>
                <w:sz w:val="20"/>
                <w:szCs w:val="20"/>
                <w:lang w:val="hr-HR"/>
              </w:rPr>
            </w:pPr>
            <w:r w:rsidRPr="001A26DC">
              <w:rPr>
                <w:rFonts w:ascii="Arial" w:hAnsi="Arial" w:cs="Arial"/>
                <w:color w:val="000000" w:themeColor="text1"/>
                <w:sz w:val="20"/>
                <w:szCs w:val="20"/>
                <w:lang w:val="hr-HR"/>
              </w:rPr>
              <w:t>81</w:t>
            </w:r>
          </w:p>
        </w:tc>
      </w:tr>
      <w:tr w:rsidR="00804BFE" w:rsidRPr="00D142F5" w14:paraId="0564CB04" w14:textId="77777777" w:rsidTr="00E032FC">
        <w:tc>
          <w:tcPr>
            <w:tcW w:w="8429" w:type="dxa"/>
            <w:vAlign w:val="bottom"/>
          </w:tcPr>
          <w:p w14:paraId="75A0515A" w14:textId="77777777" w:rsidR="00804BFE" w:rsidRPr="00D142F5" w:rsidRDefault="00804BFE" w:rsidP="00E032FC">
            <w:pPr>
              <w:spacing w:before="120"/>
              <w:rPr>
                <w:rFonts w:ascii="Arial" w:hAnsi="Arial" w:cs="Arial"/>
                <w:color w:val="000000" w:themeColor="text1"/>
                <w:sz w:val="20"/>
                <w:szCs w:val="20"/>
                <w:lang w:val="hr-HR"/>
              </w:rPr>
            </w:pPr>
          </w:p>
        </w:tc>
        <w:tc>
          <w:tcPr>
            <w:tcW w:w="1058" w:type="dxa"/>
            <w:vAlign w:val="bottom"/>
          </w:tcPr>
          <w:p w14:paraId="225DD944" w14:textId="77777777" w:rsidR="00804BFE" w:rsidRPr="001A26DC" w:rsidRDefault="00804BFE" w:rsidP="00E032FC">
            <w:pPr>
              <w:spacing w:before="120"/>
              <w:jc w:val="right"/>
              <w:rPr>
                <w:rFonts w:ascii="Arial" w:hAnsi="Arial" w:cs="Arial"/>
                <w:color w:val="000000" w:themeColor="text1"/>
                <w:sz w:val="20"/>
                <w:szCs w:val="20"/>
                <w:lang w:val="hr-HR"/>
              </w:rPr>
            </w:pPr>
          </w:p>
        </w:tc>
      </w:tr>
      <w:tr w:rsidR="00804BFE" w:rsidRPr="00D142F5" w14:paraId="7BAD59C1" w14:textId="77777777" w:rsidTr="00E032FC">
        <w:tc>
          <w:tcPr>
            <w:tcW w:w="8429" w:type="dxa"/>
            <w:vAlign w:val="bottom"/>
          </w:tcPr>
          <w:p w14:paraId="06CD0C9B" w14:textId="77777777" w:rsidR="00804BFE" w:rsidRPr="00D142F5" w:rsidRDefault="00804BFE" w:rsidP="00E032FC">
            <w:pPr>
              <w:pStyle w:val="PH"/>
              <w:spacing w:line="320" w:lineRule="exact"/>
              <w:rPr>
                <w:rFonts w:cs="Arial"/>
                <w:color w:val="000000" w:themeColor="text1"/>
                <w:sz w:val="20"/>
                <w:lang w:val="hr-HR"/>
              </w:rPr>
            </w:pPr>
            <w:r w:rsidRPr="00D142F5">
              <w:rPr>
                <w:rFonts w:cs="Arial"/>
                <w:color w:val="000000" w:themeColor="text1"/>
                <w:sz w:val="20"/>
                <w:lang w:val="hr-HR"/>
              </w:rPr>
              <w:t xml:space="preserve">Bilješke uz financijske izvještaje koje obuhvaćaju važne računovodstvene politike i druga objašnjenja </w:t>
            </w:r>
          </w:p>
        </w:tc>
        <w:tc>
          <w:tcPr>
            <w:tcW w:w="1058" w:type="dxa"/>
            <w:shd w:val="clear" w:color="auto" w:fill="auto"/>
            <w:vAlign w:val="bottom"/>
          </w:tcPr>
          <w:p w14:paraId="036959F9" w14:textId="75ECD396" w:rsidR="00804BFE" w:rsidRPr="001A26DC" w:rsidRDefault="007929AD" w:rsidP="00E032FC">
            <w:pPr>
              <w:spacing w:before="120"/>
              <w:jc w:val="right"/>
              <w:rPr>
                <w:rFonts w:ascii="Arial" w:hAnsi="Arial" w:cs="Arial"/>
                <w:color w:val="000000" w:themeColor="text1"/>
                <w:sz w:val="20"/>
                <w:szCs w:val="20"/>
                <w:lang w:val="hr-HR"/>
              </w:rPr>
            </w:pPr>
            <w:r w:rsidRPr="001A26DC">
              <w:rPr>
                <w:rFonts w:ascii="Arial" w:hAnsi="Arial" w:cs="Arial"/>
                <w:color w:val="000000" w:themeColor="text1"/>
                <w:sz w:val="20"/>
                <w:szCs w:val="20"/>
                <w:lang w:val="hr-HR"/>
              </w:rPr>
              <w:t>82</w:t>
            </w:r>
            <w:r w:rsidR="00804BFE" w:rsidRPr="001A26DC">
              <w:rPr>
                <w:rFonts w:ascii="Arial" w:hAnsi="Arial" w:cs="Arial"/>
                <w:color w:val="000000" w:themeColor="text1"/>
                <w:sz w:val="20"/>
                <w:szCs w:val="20"/>
                <w:lang w:val="hr-HR"/>
              </w:rPr>
              <w:t>-</w:t>
            </w:r>
            <w:r w:rsidRPr="001A26DC">
              <w:rPr>
                <w:rFonts w:ascii="Arial" w:hAnsi="Arial" w:cs="Arial"/>
                <w:color w:val="000000" w:themeColor="text1"/>
                <w:sz w:val="20"/>
                <w:szCs w:val="20"/>
                <w:lang w:val="hr-HR"/>
              </w:rPr>
              <w:t>22</w:t>
            </w:r>
            <w:r w:rsidR="00705E68" w:rsidRPr="001A26DC">
              <w:rPr>
                <w:rFonts w:ascii="Arial" w:hAnsi="Arial" w:cs="Arial"/>
                <w:color w:val="000000" w:themeColor="text1"/>
                <w:sz w:val="20"/>
                <w:szCs w:val="20"/>
                <w:lang w:val="hr-HR"/>
              </w:rPr>
              <w:t>6</w:t>
            </w:r>
          </w:p>
        </w:tc>
      </w:tr>
      <w:tr w:rsidR="00804BFE" w:rsidRPr="00D142F5" w14:paraId="5352025E" w14:textId="77777777" w:rsidTr="00E032FC">
        <w:trPr>
          <w:trHeight w:val="482"/>
        </w:trPr>
        <w:tc>
          <w:tcPr>
            <w:tcW w:w="8429" w:type="dxa"/>
            <w:vAlign w:val="bottom"/>
          </w:tcPr>
          <w:p w14:paraId="44593913" w14:textId="77777777" w:rsidR="00804BFE" w:rsidRPr="00D142F5" w:rsidRDefault="00804BFE" w:rsidP="00E032FC">
            <w:pPr>
              <w:pStyle w:val="PH"/>
              <w:spacing w:line="320" w:lineRule="exact"/>
              <w:rPr>
                <w:rFonts w:cs="Arial"/>
                <w:color w:val="000000" w:themeColor="text1"/>
                <w:sz w:val="20"/>
                <w:lang w:val="hr-HR"/>
              </w:rPr>
            </w:pPr>
            <w:r w:rsidRPr="00D142F5">
              <w:rPr>
                <w:rFonts w:cs="Arial"/>
                <w:color w:val="000000" w:themeColor="text1"/>
                <w:sz w:val="20"/>
                <w:lang w:val="hr-HR"/>
              </w:rPr>
              <w:t>Dodatak – Financijsko poslovanje Grupe HKO</w:t>
            </w:r>
          </w:p>
        </w:tc>
        <w:tc>
          <w:tcPr>
            <w:tcW w:w="1058" w:type="dxa"/>
            <w:shd w:val="clear" w:color="auto" w:fill="auto"/>
            <w:vAlign w:val="bottom"/>
          </w:tcPr>
          <w:p w14:paraId="2DEF6066" w14:textId="1486B685" w:rsidR="00804BFE" w:rsidRPr="001A26DC" w:rsidRDefault="007929AD" w:rsidP="00E032FC">
            <w:pPr>
              <w:spacing w:before="120"/>
              <w:jc w:val="right"/>
              <w:rPr>
                <w:rFonts w:ascii="Arial" w:hAnsi="Arial" w:cs="Arial"/>
                <w:color w:val="000000" w:themeColor="text1"/>
                <w:sz w:val="20"/>
                <w:szCs w:val="20"/>
                <w:lang w:val="hr-HR"/>
              </w:rPr>
            </w:pPr>
            <w:r w:rsidRPr="001A26DC">
              <w:rPr>
                <w:rFonts w:ascii="Arial" w:hAnsi="Arial" w:cs="Arial"/>
                <w:color w:val="000000" w:themeColor="text1"/>
                <w:sz w:val="20"/>
                <w:szCs w:val="20"/>
                <w:lang w:val="hr-HR"/>
              </w:rPr>
              <w:t>22</w:t>
            </w:r>
            <w:r w:rsidR="00705E68" w:rsidRPr="001A26DC">
              <w:rPr>
                <w:rFonts w:ascii="Arial" w:hAnsi="Arial" w:cs="Arial"/>
                <w:color w:val="000000" w:themeColor="text1"/>
                <w:sz w:val="20"/>
                <w:szCs w:val="20"/>
                <w:lang w:val="hr-HR"/>
              </w:rPr>
              <w:t>7</w:t>
            </w:r>
            <w:r w:rsidR="00804BFE" w:rsidRPr="001A26DC">
              <w:rPr>
                <w:rFonts w:ascii="Arial" w:hAnsi="Arial" w:cs="Arial"/>
                <w:color w:val="000000" w:themeColor="text1"/>
                <w:sz w:val="20"/>
                <w:szCs w:val="20"/>
                <w:lang w:val="hr-HR"/>
              </w:rPr>
              <w:t>-</w:t>
            </w:r>
            <w:r w:rsidRPr="001A26DC">
              <w:rPr>
                <w:rFonts w:ascii="Arial" w:hAnsi="Arial" w:cs="Arial"/>
                <w:color w:val="000000" w:themeColor="text1"/>
                <w:sz w:val="20"/>
                <w:szCs w:val="20"/>
                <w:lang w:val="hr-HR"/>
              </w:rPr>
              <w:t>2</w:t>
            </w:r>
            <w:r w:rsidR="00705E68" w:rsidRPr="001A26DC">
              <w:rPr>
                <w:rFonts w:ascii="Arial" w:hAnsi="Arial" w:cs="Arial"/>
                <w:color w:val="000000" w:themeColor="text1"/>
                <w:sz w:val="20"/>
                <w:szCs w:val="20"/>
                <w:lang w:val="hr-HR"/>
              </w:rPr>
              <w:t>30</w:t>
            </w:r>
          </w:p>
        </w:tc>
      </w:tr>
    </w:tbl>
    <w:p w14:paraId="0C31BDC6" w14:textId="77777777" w:rsidR="00804BFE" w:rsidRPr="00B91D09" w:rsidRDefault="00804BFE" w:rsidP="00804BFE">
      <w:pPr>
        <w:spacing w:before="120" w:after="120" w:line="276" w:lineRule="auto"/>
        <w:rPr>
          <w:rFonts w:ascii="Arial" w:hAnsi="Arial" w:cs="Arial"/>
          <w:b/>
          <w:color w:val="000000" w:themeColor="text1"/>
          <w:lang w:val="hr-HR"/>
        </w:rPr>
        <w:sectPr w:rsidR="00804BFE" w:rsidRPr="00B91D09" w:rsidSect="00623DBA">
          <w:footerReference w:type="default" r:id="rId47"/>
          <w:headerReference w:type="first" r:id="rId48"/>
          <w:pgSz w:w="11907" w:h="16840" w:code="9"/>
          <w:pgMar w:top="1418" w:right="987" w:bottom="1134" w:left="1418" w:header="851" w:footer="851" w:gutter="0"/>
          <w:cols w:space="720"/>
          <w:noEndnote/>
          <w:titlePg/>
          <w:docGrid w:linePitch="326"/>
        </w:sectPr>
      </w:pPr>
    </w:p>
    <w:p w14:paraId="6B49FE70" w14:textId="77777777" w:rsidR="00804BFE" w:rsidRPr="004B4498" w:rsidRDefault="00804BFE" w:rsidP="00804BFE">
      <w:pPr>
        <w:numPr>
          <w:ilvl w:val="12"/>
          <w:numId w:val="0"/>
        </w:numPr>
        <w:tabs>
          <w:tab w:val="left" w:pos="-1560"/>
          <w:tab w:val="left" w:pos="-840"/>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left" w:pos="8520"/>
          <w:tab w:val="left" w:pos="9240"/>
          <w:tab w:val="left" w:pos="9960"/>
          <w:tab w:val="left" w:pos="10680"/>
          <w:tab w:val="left" w:pos="11400"/>
          <w:tab w:val="left" w:pos="12120"/>
          <w:tab w:val="left" w:pos="12840"/>
          <w:tab w:val="left" w:pos="13560"/>
          <w:tab w:val="left" w:pos="14280"/>
          <w:tab w:val="left" w:pos="15000"/>
          <w:tab w:val="left" w:pos="15720"/>
          <w:tab w:val="left" w:pos="16440"/>
          <w:tab w:val="left" w:pos="17160"/>
        </w:tabs>
        <w:jc w:val="both"/>
        <w:rPr>
          <w:rFonts w:ascii="Arial" w:hAnsi="Arial" w:cs="Arial"/>
          <w:color w:val="000000" w:themeColor="text1"/>
          <w:sz w:val="20"/>
          <w:szCs w:val="20"/>
          <w:lang w:val="hr-HR" w:eastAsia="hr-HR"/>
        </w:rPr>
      </w:pPr>
      <w:bookmarkStart w:id="84" w:name="_Hlk130202277"/>
    </w:p>
    <w:p w14:paraId="10B300A8" w14:textId="77777777" w:rsidR="00804BFE" w:rsidRPr="000D23ED" w:rsidRDefault="00804BFE" w:rsidP="00804BFE">
      <w:pPr>
        <w:numPr>
          <w:ilvl w:val="12"/>
          <w:numId w:val="0"/>
        </w:numPr>
        <w:jc w:val="both"/>
        <w:rPr>
          <w:rFonts w:ascii="Arial" w:hAnsi="Arial" w:cs="Arial"/>
          <w:color w:val="000000" w:themeColor="text1"/>
          <w:sz w:val="20"/>
          <w:szCs w:val="20"/>
          <w:lang w:val="hr-HR" w:eastAsia="hr-HR"/>
        </w:rPr>
      </w:pPr>
      <w:r w:rsidRPr="000D23ED">
        <w:rPr>
          <w:rFonts w:ascii="Arial" w:hAnsi="Arial" w:cs="Arial"/>
          <w:color w:val="000000" w:themeColor="text1"/>
          <w:sz w:val="20"/>
          <w:szCs w:val="20"/>
          <w:lang w:val="hr-HR" w:eastAsia="hr-HR"/>
        </w:rPr>
        <w:t xml:space="preserve">Odgovornost Uprave Hrvatske banke za obnovu i razvitak („HBOR“ ili „Banka“) je pripremiti odvojene i konsolidirane financijske izvještaje za svaku poslovnu godinu, koja daju istinit i vjeran prikaz financijskog položaja Banke i Grupe Hrvatske banke za obnovu i razvitak („Grupa“) te njihovog rezultata poslovanja i novčanih tokova, u skladu s primjenjivim računovodstvenim standardima te vođenje odgovarajućih računovodstvenih evidencija potrebnih za pripremanje financijskih izvještaja u bilo koje vrijeme. </w:t>
      </w:r>
    </w:p>
    <w:p w14:paraId="3E2CEB26" w14:textId="77777777" w:rsidR="00804BFE" w:rsidRPr="000D23ED" w:rsidRDefault="00804BFE" w:rsidP="00804BFE">
      <w:pPr>
        <w:numPr>
          <w:ilvl w:val="12"/>
          <w:numId w:val="0"/>
        </w:numPr>
        <w:jc w:val="both"/>
        <w:rPr>
          <w:rFonts w:ascii="Arial" w:hAnsi="Arial" w:cs="Arial"/>
          <w:color w:val="000000" w:themeColor="text1"/>
          <w:sz w:val="20"/>
          <w:szCs w:val="20"/>
          <w:lang w:val="hr-HR" w:eastAsia="hr-HR"/>
        </w:rPr>
      </w:pPr>
    </w:p>
    <w:p w14:paraId="5C45DA88" w14:textId="77777777" w:rsidR="00804BFE" w:rsidRPr="000D23ED" w:rsidRDefault="00804BFE" w:rsidP="00804BFE">
      <w:pPr>
        <w:numPr>
          <w:ilvl w:val="12"/>
          <w:numId w:val="0"/>
        </w:numPr>
        <w:jc w:val="both"/>
        <w:rPr>
          <w:rFonts w:ascii="Arial" w:hAnsi="Arial" w:cs="Arial"/>
          <w:color w:val="000000" w:themeColor="text1"/>
          <w:sz w:val="20"/>
          <w:szCs w:val="20"/>
          <w:lang w:val="hr-HR" w:eastAsia="hr-HR"/>
        </w:rPr>
      </w:pPr>
      <w:r w:rsidRPr="000D23ED">
        <w:rPr>
          <w:rFonts w:ascii="Arial" w:hAnsi="Arial" w:cs="Arial"/>
          <w:color w:val="000000" w:themeColor="text1"/>
          <w:sz w:val="20"/>
          <w:szCs w:val="20"/>
          <w:lang w:val="hr-HR" w:eastAsia="hr-HR"/>
        </w:rPr>
        <w:t>Uprava ima opću odgovornost za poduzimanje koraka koji su joj u razumnoj mjeri dostupni kako bi joj omogućili očuvanje imovine Banke i Grupe te sprečavanje i otkrivanje prijevara i ostalih nepravilnosti.</w:t>
      </w:r>
    </w:p>
    <w:p w14:paraId="7EDD896A" w14:textId="77777777" w:rsidR="00804BFE" w:rsidRPr="000D23ED" w:rsidRDefault="00804BFE" w:rsidP="00804BFE">
      <w:pPr>
        <w:numPr>
          <w:ilvl w:val="12"/>
          <w:numId w:val="0"/>
        </w:numPr>
        <w:jc w:val="both"/>
        <w:rPr>
          <w:rFonts w:ascii="Arial" w:hAnsi="Arial" w:cs="Arial"/>
          <w:color w:val="000000" w:themeColor="text1"/>
          <w:sz w:val="20"/>
          <w:szCs w:val="20"/>
          <w:lang w:val="hr-HR" w:eastAsia="hr-HR"/>
        </w:rPr>
      </w:pPr>
    </w:p>
    <w:p w14:paraId="13EDAAEF" w14:textId="77777777" w:rsidR="00804BFE" w:rsidRPr="000D23ED" w:rsidRDefault="00804BFE" w:rsidP="00804BFE">
      <w:pPr>
        <w:numPr>
          <w:ilvl w:val="12"/>
          <w:numId w:val="0"/>
        </w:numPr>
        <w:jc w:val="both"/>
        <w:rPr>
          <w:rFonts w:ascii="Arial" w:hAnsi="Arial" w:cs="Arial"/>
          <w:color w:val="000000" w:themeColor="text1"/>
          <w:sz w:val="20"/>
          <w:szCs w:val="20"/>
          <w:lang w:val="hr-HR" w:eastAsia="hr-HR"/>
        </w:rPr>
      </w:pPr>
      <w:r w:rsidRPr="000D23ED">
        <w:rPr>
          <w:rFonts w:ascii="Arial" w:hAnsi="Arial" w:cs="Arial"/>
          <w:color w:val="000000" w:themeColor="text1"/>
          <w:sz w:val="20"/>
          <w:szCs w:val="20"/>
          <w:lang w:val="hr-HR" w:eastAsia="hr-HR"/>
        </w:rPr>
        <w:t>Uprava je odgovorna za odabir prikladnih računovodstvenih politika koje su u skladu s važećim računovodstvenim standardima i za njihovu dosljednu primjenu; donošenje razumnih i razboritih prosudbi i procjena; te pripremanje financijskih izvještaja temeljem principa neograničenosti vremena poslovanja, osim ako je pretpostavka da će Banka i Grupa nastaviti s poslovanjem neprimjerena.</w:t>
      </w:r>
    </w:p>
    <w:p w14:paraId="1FC35D61" w14:textId="77777777" w:rsidR="00804BFE" w:rsidRPr="000D23ED" w:rsidRDefault="00804BFE" w:rsidP="00804BFE">
      <w:pPr>
        <w:numPr>
          <w:ilvl w:val="12"/>
          <w:numId w:val="0"/>
        </w:numPr>
        <w:jc w:val="both"/>
        <w:rPr>
          <w:rFonts w:ascii="Arial" w:hAnsi="Arial" w:cs="Arial"/>
          <w:color w:val="000000" w:themeColor="text1"/>
          <w:sz w:val="20"/>
          <w:szCs w:val="20"/>
          <w:lang w:val="hr-HR" w:eastAsia="hr-HR"/>
        </w:rPr>
      </w:pPr>
    </w:p>
    <w:p w14:paraId="24E221D0" w14:textId="77777777" w:rsidR="00804BFE" w:rsidRPr="000D23ED" w:rsidRDefault="00804BFE" w:rsidP="00804BFE">
      <w:pPr>
        <w:numPr>
          <w:ilvl w:val="12"/>
          <w:numId w:val="0"/>
        </w:numPr>
        <w:jc w:val="both"/>
        <w:rPr>
          <w:rFonts w:ascii="Arial" w:hAnsi="Arial" w:cs="Arial"/>
          <w:color w:val="000000" w:themeColor="text1"/>
          <w:sz w:val="20"/>
          <w:szCs w:val="20"/>
          <w:lang w:val="hr-HR" w:eastAsia="hr-HR"/>
        </w:rPr>
      </w:pPr>
      <w:r w:rsidRPr="000D23ED">
        <w:rPr>
          <w:rFonts w:ascii="Arial" w:hAnsi="Arial" w:cs="Arial"/>
          <w:color w:val="000000" w:themeColor="text1"/>
          <w:sz w:val="20"/>
          <w:szCs w:val="20"/>
          <w:lang w:val="hr-HR" w:eastAsia="hr-HR"/>
        </w:rPr>
        <w:t>Uprava je dužna podnijeti na odobrenje Nadzornom odboru revidirano Godišnje izvješće, nakon čega ga Nadzorni odbor podnosi na potvrdu Hrvatskom saboru.</w:t>
      </w:r>
    </w:p>
    <w:p w14:paraId="1237FEA9" w14:textId="77777777" w:rsidR="00804BFE" w:rsidRPr="000D23ED" w:rsidRDefault="00804BFE" w:rsidP="00804BFE">
      <w:pPr>
        <w:numPr>
          <w:ilvl w:val="12"/>
          <w:numId w:val="0"/>
        </w:numPr>
        <w:jc w:val="both"/>
        <w:rPr>
          <w:rFonts w:ascii="Arial" w:hAnsi="Arial" w:cs="Arial"/>
          <w:color w:val="000000" w:themeColor="text1"/>
          <w:sz w:val="20"/>
          <w:szCs w:val="20"/>
          <w:lang w:val="hr-HR" w:eastAsia="hr-HR"/>
        </w:rPr>
      </w:pPr>
    </w:p>
    <w:p w14:paraId="0931418F" w14:textId="54BAF035" w:rsidR="00804BFE" w:rsidRPr="000D23ED" w:rsidRDefault="00804BFE" w:rsidP="00804BFE">
      <w:pPr>
        <w:numPr>
          <w:ilvl w:val="12"/>
          <w:numId w:val="0"/>
        </w:numPr>
        <w:jc w:val="both"/>
        <w:rPr>
          <w:rFonts w:ascii="Arial" w:hAnsi="Arial" w:cs="Arial"/>
          <w:color w:val="000000" w:themeColor="text1"/>
          <w:sz w:val="20"/>
          <w:szCs w:val="20"/>
          <w:lang w:val="hr-HR" w:eastAsia="hr-HR"/>
        </w:rPr>
      </w:pPr>
      <w:r w:rsidRPr="000D23ED">
        <w:rPr>
          <w:rFonts w:ascii="Arial" w:hAnsi="Arial" w:cs="Arial"/>
          <w:color w:val="000000" w:themeColor="text1"/>
          <w:sz w:val="20"/>
          <w:szCs w:val="20"/>
          <w:lang w:val="hr-HR" w:eastAsia="hr-HR"/>
        </w:rPr>
        <w:t xml:space="preserve">Odvojena i konsolidirana financijska izvješća prikazana na stranicama </w:t>
      </w:r>
      <w:r w:rsidRPr="001A26DC">
        <w:rPr>
          <w:rFonts w:ascii="Arial" w:hAnsi="Arial" w:cs="Arial"/>
          <w:color w:val="000000" w:themeColor="text1"/>
          <w:sz w:val="20"/>
          <w:szCs w:val="20"/>
          <w:lang w:val="hr-HR" w:eastAsia="hr-HR"/>
        </w:rPr>
        <w:t xml:space="preserve">od </w:t>
      </w:r>
      <w:r w:rsidR="005823A8" w:rsidRPr="001A26DC">
        <w:rPr>
          <w:rFonts w:ascii="Arial" w:hAnsi="Arial" w:cs="Arial"/>
          <w:color w:val="000000" w:themeColor="text1"/>
          <w:sz w:val="20"/>
          <w:szCs w:val="20"/>
          <w:lang w:val="hr-HR" w:eastAsia="hr-HR"/>
        </w:rPr>
        <w:t>72</w:t>
      </w:r>
      <w:r w:rsidRPr="001A26DC">
        <w:rPr>
          <w:rFonts w:ascii="Arial" w:hAnsi="Arial" w:cs="Arial"/>
          <w:color w:val="000000" w:themeColor="text1"/>
          <w:sz w:val="20"/>
          <w:szCs w:val="20"/>
          <w:lang w:val="hr-HR" w:eastAsia="hr-HR"/>
        </w:rPr>
        <w:t xml:space="preserve"> do </w:t>
      </w:r>
      <w:r w:rsidR="005823A8" w:rsidRPr="001A26DC">
        <w:rPr>
          <w:rFonts w:ascii="Arial" w:hAnsi="Arial" w:cs="Arial"/>
          <w:color w:val="000000" w:themeColor="text1"/>
          <w:sz w:val="20"/>
          <w:szCs w:val="20"/>
          <w:lang w:val="hr-HR" w:eastAsia="hr-HR"/>
        </w:rPr>
        <w:t>226</w:t>
      </w:r>
      <w:r w:rsidRPr="001A26DC">
        <w:rPr>
          <w:rFonts w:ascii="Arial" w:hAnsi="Arial" w:cs="Arial"/>
          <w:color w:val="000000" w:themeColor="text1"/>
          <w:sz w:val="20"/>
          <w:szCs w:val="20"/>
          <w:lang w:val="hr-HR" w:eastAsia="hr-HR"/>
        </w:rPr>
        <w:t xml:space="preserve"> odobrena</w:t>
      </w:r>
      <w:r w:rsidRPr="000D23ED">
        <w:rPr>
          <w:rFonts w:ascii="Arial" w:hAnsi="Arial" w:cs="Arial"/>
          <w:color w:val="000000" w:themeColor="text1"/>
          <w:sz w:val="20"/>
          <w:szCs w:val="20"/>
          <w:lang w:val="hr-HR" w:eastAsia="hr-HR"/>
        </w:rPr>
        <w:t xml:space="preserve"> su od strane Uprave </w:t>
      </w:r>
      <w:r>
        <w:rPr>
          <w:rFonts w:ascii="Arial" w:hAnsi="Arial" w:cs="Arial"/>
          <w:color w:val="000000" w:themeColor="text1"/>
          <w:sz w:val="20"/>
          <w:szCs w:val="20"/>
          <w:lang w:val="hr-HR" w:eastAsia="hr-HR"/>
        </w:rPr>
        <w:t>2</w:t>
      </w:r>
      <w:r w:rsidR="00E9699B">
        <w:rPr>
          <w:rFonts w:ascii="Arial" w:hAnsi="Arial" w:cs="Arial"/>
          <w:color w:val="000000" w:themeColor="text1"/>
          <w:sz w:val="20"/>
          <w:szCs w:val="20"/>
          <w:lang w:val="hr-HR" w:eastAsia="hr-HR"/>
        </w:rPr>
        <w:t>3</w:t>
      </w:r>
      <w:r w:rsidRPr="000D23ED">
        <w:rPr>
          <w:rFonts w:ascii="Arial" w:hAnsi="Arial" w:cs="Arial"/>
          <w:color w:val="000000" w:themeColor="text1"/>
          <w:sz w:val="20"/>
          <w:szCs w:val="20"/>
          <w:lang w:val="hr-HR" w:eastAsia="hr-HR"/>
        </w:rPr>
        <w:t>. ožujka 2023. u svrhu njihove predaje Nadzornom odboru, što je potvrđeno potpisima u nastavku.</w:t>
      </w:r>
    </w:p>
    <w:p w14:paraId="41ACCC36" w14:textId="77777777" w:rsidR="00804BFE" w:rsidRPr="000D23ED" w:rsidRDefault="00804BFE" w:rsidP="00804BFE">
      <w:pPr>
        <w:numPr>
          <w:ilvl w:val="12"/>
          <w:numId w:val="0"/>
        </w:numPr>
        <w:jc w:val="both"/>
        <w:rPr>
          <w:rFonts w:ascii="Arial" w:hAnsi="Arial" w:cs="Arial"/>
          <w:color w:val="000000" w:themeColor="text1"/>
          <w:sz w:val="20"/>
          <w:szCs w:val="20"/>
          <w:lang w:val="hr-HR" w:eastAsia="hr-HR"/>
        </w:rPr>
      </w:pPr>
    </w:p>
    <w:p w14:paraId="1D23157A" w14:textId="2296CF4E" w:rsidR="00804BFE" w:rsidRPr="000D23ED" w:rsidRDefault="00804BFE" w:rsidP="00804BFE">
      <w:pPr>
        <w:numPr>
          <w:ilvl w:val="12"/>
          <w:numId w:val="0"/>
        </w:numPr>
        <w:jc w:val="both"/>
        <w:rPr>
          <w:rFonts w:ascii="Arial" w:hAnsi="Arial" w:cs="Arial"/>
          <w:color w:val="000000" w:themeColor="text1"/>
          <w:sz w:val="20"/>
          <w:szCs w:val="20"/>
          <w:lang w:val="hr-HR" w:eastAsia="hr-HR"/>
        </w:rPr>
      </w:pPr>
      <w:r w:rsidRPr="000D23ED">
        <w:rPr>
          <w:rFonts w:ascii="Arial" w:hAnsi="Arial" w:cs="Arial"/>
          <w:color w:val="000000" w:themeColor="text1"/>
          <w:sz w:val="20"/>
          <w:szCs w:val="20"/>
          <w:lang w:val="hr-HR" w:eastAsia="hr-HR"/>
        </w:rPr>
        <w:t xml:space="preserve">Uprava je također odgovorna i za pripremu i sadržaj Izvješća poslovodstva i za Izjavu o primjeni kodeksa korporativnog upravljanja u skladu s hrvatskim Zakonom o računovodstvu te ostale informacije (zajedno „ostale informacije“). Izvješće poslovodstva prikazano </w:t>
      </w:r>
      <w:r w:rsidRPr="001A26DC">
        <w:rPr>
          <w:rFonts w:ascii="Arial" w:hAnsi="Arial" w:cs="Arial"/>
          <w:color w:val="000000" w:themeColor="text1"/>
          <w:sz w:val="20"/>
          <w:szCs w:val="20"/>
          <w:lang w:val="hr-HR" w:eastAsia="hr-HR"/>
        </w:rPr>
        <w:t xml:space="preserve">na stranicama </w:t>
      </w:r>
      <w:r w:rsidR="005823A8" w:rsidRPr="001A26DC">
        <w:rPr>
          <w:rFonts w:ascii="Arial" w:hAnsi="Arial" w:cs="Arial"/>
          <w:color w:val="000000" w:themeColor="text1"/>
          <w:sz w:val="20"/>
          <w:szCs w:val="20"/>
          <w:lang w:val="hr-HR" w:eastAsia="hr-HR"/>
        </w:rPr>
        <w:t>4</w:t>
      </w:r>
      <w:r w:rsidRPr="001A26DC">
        <w:rPr>
          <w:rFonts w:ascii="Arial" w:hAnsi="Arial" w:cs="Arial"/>
          <w:color w:val="000000" w:themeColor="text1"/>
          <w:sz w:val="20"/>
          <w:szCs w:val="20"/>
          <w:lang w:val="hr-HR" w:eastAsia="hr-HR"/>
        </w:rPr>
        <w:t xml:space="preserve"> do </w:t>
      </w:r>
      <w:r w:rsidR="005823A8" w:rsidRPr="001A26DC">
        <w:rPr>
          <w:rFonts w:ascii="Arial" w:hAnsi="Arial" w:cs="Arial"/>
          <w:color w:val="000000" w:themeColor="text1"/>
          <w:sz w:val="20"/>
          <w:szCs w:val="20"/>
          <w:lang w:val="hr-HR" w:eastAsia="hr-HR"/>
        </w:rPr>
        <w:t>5</w:t>
      </w:r>
      <w:r w:rsidRPr="001A26DC">
        <w:rPr>
          <w:rFonts w:ascii="Arial" w:hAnsi="Arial" w:cs="Arial"/>
          <w:color w:val="000000" w:themeColor="text1"/>
          <w:sz w:val="20"/>
          <w:szCs w:val="20"/>
          <w:lang w:val="hr-HR" w:eastAsia="hr-HR"/>
        </w:rPr>
        <w:t xml:space="preserve">, Izjava o primjeni kodeksa korporativnog upravljanja prikazana na stranicama </w:t>
      </w:r>
      <w:r w:rsidR="005823A8" w:rsidRPr="001A26DC">
        <w:rPr>
          <w:rFonts w:ascii="Arial" w:hAnsi="Arial" w:cs="Arial"/>
          <w:color w:val="000000" w:themeColor="text1"/>
          <w:sz w:val="20"/>
          <w:szCs w:val="20"/>
          <w:lang w:val="hr-HR" w:eastAsia="hr-HR"/>
        </w:rPr>
        <w:t>6</w:t>
      </w:r>
      <w:r w:rsidRPr="001A26DC">
        <w:rPr>
          <w:rFonts w:ascii="Arial" w:hAnsi="Arial" w:cs="Arial"/>
          <w:color w:val="000000" w:themeColor="text1"/>
          <w:sz w:val="20"/>
          <w:szCs w:val="20"/>
          <w:lang w:val="hr-HR" w:eastAsia="hr-HR"/>
        </w:rPr>
        <w:t xml:space="preserve"> do </w:t>
      </w:r>
      <w:r w:rsidR="005823A8" w:rsidRPr="001A26DC">
        <w:rPr>
          <w:rFonts w:ascii="Arial" w:hAnsi="Arial" w:cs="Arial"/>
          <w:color w:val="000000" w:themeColor="text1"/>
          <w:sz w:val="20"/>
          <w:szCs w:val="20"/>
          <w:lang w:val="hr-HR" w:eastAsia="hr-HR"/>
        </w:rPr>
        <w:t>9</w:t>
      </w:r>
      <w:r w:rsidRPr="001A26DC">
        <w:rPr>
          <w:rFonts w:ascii="Arial" w:hAnsi="Arial" w:cs="Arial"/>
          <w:color w:val="000000" w:themeColor="text1"/>
          <w:sz w:val="20"/>
          <w:szCs w:val="20"/>
          <w:lang w:val="hr-HR" w:eastAsia="hr-HR"/>
        </w:rPr>
        <w:t xml:space="preserve"> te ostale informacije na stranicama </w:t>
      </w:r>
      <w:r w:rsidR="005823A8" w:rsidRPr="001A26DC">
        <w:rPr>
          <w:rFonts w:ascii="Arial" w:hAnsi="Arial" w:cs="Arial"/>
          <w:color w:val="000000" w:themeColor="text1"/>
          <w:sz w:val="20"/>
          <w:szCs w:val="20"/>
          <w:lang w:val="hr-HR" w:eastAsia="hr-HR"/>
        </w:rPr>
        <w:t>10</w:t>
      </w:r>
      <w:r w:rsidRPr="001A26DC">
        <w:rPr>
          <w:rFonts w:ascii="Arial" w:hAnsi="Arial" w:cs="Arial"/>
          <w:color w:val="000000" w:themeColor="text1"/>
          <w:sz w:val="20"/>
          <w:szCs w:val="20"/>
          <w:lang w:val="hr-HR" w:eastAsia="hr-HR"/>
        </w:rPr>
        <w:t xml:space="preserve"> do </w:t>
      </w:r>
      <w:r w:rsidR="005823A8" w:rsidRPr="001A26DC">
        <w:rPr>
          <w:rFonts w:ascii="Arial" w:hAnsi="Arial" w:cs="Arial"/>
          <w:color w:val="000000" w:themeColor="text1"/>
          <w:sz w:val="20"/>
          <w:szCs w:val="20"/>
          <w:lang w:val="hr-HR" w:eastAsia="hr-HR"/>
        </w:rPr>
        <w:t>60</w:t>
      </w:r>
      <w:r w:rsidRPr="001A26DC">
        <w:rPr>
          <w:rFonts w:ascii="Arial" w:hAnsi="Arial" w:cs="Arial"/>
          <w:color w:val="000000" w:themeColor="text1"/>
          <w:sz w:val="20"/>
          <w:szCs w:val="20"/>
          <w:lang w:val="hr-HR" w:eastAsia="hr-HR"/>
        </w:rPr>
        <w:t xml:space="preserve"> odobreni su za izdavanje od strane Uprave 2</w:t>
      </w:r>
      <w:r w:rsidR="00E9699B">
        <w:rPr>
          <w:rFonts w:ascii="Arial" w:hAnsi="Arial" w:cs="Arial"/>
          <w:color w:val="000000" w:themeColor="text1"/>
          <w:sz w:val="20"/>
          <w:szCs w:val="20"/>
          <w:lang w:val="hr-HR" w:eastAsia="hr-HR"/>
        </w:rPr>
        <w:t>3</w:t>
      </w:r>
      <w:r w:rsidRPr="001A26DC">
        <w:rPr>
          <w:rFonts w:ascii="Arial" w:hAnsi="Arial" w:cs="Arial"/>
          <w:color w:val="000000" w:themeColor="text1"/>
          <w:sz w:val="20"/>
          <w:szCs w:val="20"/>
          <w:lang w:val="hr-HR" w:eastAsia="hr-HR"/>
        </w:rPr>
        <w:t>. ožujka 2023.</w:t>
      </w:r>
    </w:p>
    <w:p w14:paraId="65FBA556" w14:textId="77777777" w:rsidR="00804BFE" w:rsidRPr="000D23ED" w:rsidRDefault="00804BFE" w:rsidP="00804BFE">
      <w:pPr>
        <w:numPr>
          <w:ilvl w:val="12"/>
          <w:numId w:val="0"/>
        </w:numPr>
        <w:jc w:val="both"/>
        <w:rPr>
          <w:rFonts w:ascii="Arial" w:hAnsi="Arial" w:cs="Arial"/>
          <w:color w:val="000000" w:themeColor="text1"/>
          <w:sz w:val="20"/>
          <w:szCs w:val="20"/>
          <w:lang w:val="hr-HR" w:eastAsia="hr-HR"/>
        </w:rPr>
      </w:pPr>
    </w:p>
    <w:p w14:paraId="0202C10B" w14:textId="77777777" w:rsidR="00804BFE" w:rsidRPr="000D23ED" w:rsidRDefault="00804BFE" w:rsidP="00804BFE">
      <w:pPr>
        <w:pStyle w:val="T1"/>
        <w:spacing w:before="0" w:after="0" w:line="240" w:lineRule="auto"/>
        <w:rPr>
          <w:rFonts w:cs="Arial"/>
          <w:b w:val="0"/>
          <w:color w:val="000000" w:themeColor="text1"/>
          <w:sz w:val="20"/>
          <w:lang w:val="hr-HR"/>
        </w:rPr>
      </w:pPr>
      <w:r w:rsidRPr="000D23ED">
        <w:rPr>
          <w:rFonts w:cs="Arial"/>
          <w:b w:val="0"/>
          <w:color w:val="000000" w:themeColor="text1"/>
          <w:sz w:val="20"/>
          <w:lang w:val="hr-HR"/>
        </w:rPr>
        <w:t>U ime i za Hrvatsku banku za obnovu i razvitak:</w:t>
      </w:r>
    </w:p>
    <w:p w14:paraId="3EB46C95" w14:textId="77777777" w:rsidR="00804BFE" w:rsidRPr="000D23ED" w:rsidRDefault="00804BFE" w:rsidP="00804BFE">
      <w:pPr>
        <w:pStyle w:val="T1"/>
        <w:spacing w:before="0" w:after="0" w:line="240" w:lineRule="auto"/>
        <w:rPr>
          <w:rFonts w:cs="Arial"/>
          <w:b w:val="0"/>
          <w:color w:val="000000" w:themeColor="text1"/>
          <w:sz w:val="20"/>
          <w:lang w:val="hr-HR"/>
        </w:rPr>
      </w:pPr>
    </w:p>
    <w:p w14:paraId="2AB662B4" w14:textId="77777777" w:rsidR="00804BFE" w:rsidRPr="004B4498" w:rsidRDefault="00804BFE" w:rsidP="00804BFE">
      <w:pPr>
        <w:pStyle w:val="T1"/>
        <w:spacing w:before="0" w:after="0" w:line="240" w:lineRule="auto"/>
        <w:rPr>
          <w:rFonts w:cs="Arial"/>
          <w:b w:val="0"/>
          <w:color w:val="000000" w:themeColor="text1"/>
          <w:sz w:val="20"/>
          <w:lang w:val="hr-HR"/>
        </w:rPr>
      </w:pPr>
    </w:p>
    <w:p w14:paraId="31F56450" w14:textId="77777777" w:rsidR="00804BFE" w:rsidRPr="00B91D09" w:rsidRDefault="00804BFE" w:rsidP="00804BFE">
      <w:pPr>
        <w:pStyle w:val="T1"/>
        <w:spacing w:before="0" w:after="0" w:line="240" w:lineRule="auto"/>
        <w:rPr>
          <w:rFonts w:cs="Arial"/>
          <w:b w:val="0"/>
          <w:color w:val="000000" w:themeColor="text1"/>
          <w:sz w:val="22"/>
          <w:szCs w:val="22"/>
          <w:lang w:val="hr-HR"/>
        </w:rPr>
      </w:pPr>
    </w:p>
    <w:p w14:paraId="2E16317F" w14:textId="77777777" w:rsidR="00804BFE" w:rsidRPr="00B91D09" w:rsidRDefault="00804BFE" w:rsidP="00804BFE">
      <w:pPr>
        <w:pStyle w:val="T1"/>
        <w:spacing w:before="0" w:after="0" w:line="240" w:lineRule="auto"/>
        <w:rPr>
          <w:rFonts w:cs="Arial"/>
          <w:b w:val="0"/>
          <w:color w:val="000000" w:themeColor="text1"/>
          <w:sz w:val="22"/>
          <w:szCs w:val="22"/>
          <w:lang w:val="hr-HR"/>
        </w:rPr>
      </w:pPr>
    </w:p>
    <w:tbl>
      <w:tblPr>
        <w:tblW w:w="6379" w:type="dxa"/>
        <w:tblLook w:val="04A0" w:firstRow="1" w:lastRow="0" w:firstColumn="1" w:lastColumn="0" w:noHBand="0" w:noVBand="1"/>
      </w:tblPr>
      <w:tblGrid>
        <w:gridCol w:w="3402"/>
        <w:gridCol w:w="2977"/>
      </w:tblGrid>
      <w:tr w:rsidR="00804BFE" w:rsidRPr="00B91D09" w14:paraId="60C11BF4" w14:textId="77777777" w:rsidTr="00E032FC">
        <w:trPr>
          <w:trHeight w:hRule="exact" w:val="284"/>
        </w:trPr>
        <w:tc>
          <w:tcPr>
            <w:tcW w:w="3402" w:type="dxa"/>
          </w:tcPr>
          <w:p w14:paraId="2475A636" w14:textId="77777777" w:rsidR="00804BFE" w:rsidRPr="00B91D09" w:rsidRDefault="00804BFE" w:rsidP="00E032FC">
            <w:pPr>
              <w:jc w:val="center"/>
              <w:rPr>
                <w:rFonts w:ascii="Arial" w:hAnsi="Arial" w:cs="Arial"/>
                <w:color w:val="000000" w:themeColor="text1"/>
                <w:sz w:val="22"/>
                <w:szCs w:val="22"/>
                <w:lang w:val="hr-HR"/>
              </w:rPr>
            </w:pPr>
            <w:r w:rsidRPr="00B91D09">
              <w:rPr>
                <w:rFonts w:ascii="Arial" w:hAnsi="Arial" w:cs="Arial"/>
                <w:color w:val="000000" w:themeColor="text1"/>
                <w:sz w:val="22"/>
                <w:szCs w:val="22"/>
                <w:lang w:val="hr-HR"/>
              </w:rPr>
              <w:t>______________________</w:t>
            </w:r>
          </w:p>
        </w:tc>
        <w:tc>
          <w:tcPr>
            <w:tcW w:w="2977" w:type="dxa"/>
          </w:tcPr>
          <w:p w14:paraId="50762D9F" w14:textId="77777777" w:rsidR="00804BFE" w:rsidRPr="00B91D09" w:rsidRDefault="00804BFE" w:rsidP="00E032FC">
            <w:pPr>
              <w:rPr>
                <w:rFonts w:ascii="Arial" w:hAnsi="Arial" w:cs="Arial"/>
                <w:color w:val="000000" w:themeColor="text1"/>
                <w:sz w:val="22"/>
                <w:szCs w:val="22"/>
                <w:lang w:val="hr-HR"/>
              </w:rPr>
            </w:pPr>
          </w:p>
        </w:tc>
        <w:bookmarkStart w:id="85" w:name="_Hlk506894968"/>
      </w:tr>
      <w:tr w:rsidR="00804BFE" w:rsidRPr="00B91D09" w14:paraId="5BFDF68B" w14:textId="77777777" w:rsidTr="00E032FC">
        <w:trPr>
          <w:trHeight w:val="269"/>
        </w:trPr>
        <w:tc>
          <w:tcPr>
            <w:tcW w:w="3402" w:type="dxa"/>
            <w:vAlign w:val="bottom"/>
          </w:tcPr>
          <w:p w14:paraId="6B5A4EC2" w14:textId="77777777" w:rsidR="00804BFE" w:rsidRPr="004B4498" w:rsidRDefault="00804BFE" w:rsidP="00E032FC">
            <w:pPr>
              <w:jc w:val="center"/>
              <w:rPr>
                <w:rFonts w:ascii="Arial" w:hAnsi="Arial" w:cs="Arial"/>
                <w:color w:val="000000" w:themeColor="text1"/>
                <w:sz w:val="20"/>
                <w:szCs w:val="20"/>
                <w:lang w:val="hr-HR"/>
              </w:rPr>
            </w:pPr>
            <w:r w:rsidRPr="004B4498">
              <w:rPr>
                <w:rFonts w:ascii="Arial" w:hAnsi="Arial" w:cs="Arial"/>
                <w:color w:val="000000" w:themeColor="text1"/>
                <w:sz w:val="20"/>
                <w:szCs w:val="20"/>
                <w:lang w:val="hr-HR"/>
              </w:rPr>
              <w:t>Marin Pranjić</w:t>
            </w:r>
          </w:p>
        </w:tc>
        <w:tc>
          <w:tcPr>
            <w:tcW w:w="2977" w:type="dxa"/>
          </w:tcPr>
          <w:p w14:paraId="028C50A2" w14:textId="77777777" w:rsidR="00804BFE" w:rsidRPr="00B91D09" w:rsidRDefault="00804BFE" w:rsidP="00E032FC">
            <w:pPr>
              <w:jc w:val="center"/>
              <w:rPr>
                <w:rFonts w:ascii="Arial" w:hAnsi="Arial" w:cs="Arial"/>
                <w:color w:val="000000" w:themeColor="text1"/>
                <w:sz w:val="22"/>
                <w:szCs w:val="22"/>
                <w:lang w:val="hr-HR"/>
              </w:rPr>
            </w:pPr>
          </w:p>
        </w:tc>
      </w:tr>
      <w:tr w:rsidR="00804BFE" w:rsidRPr="00B91D09" w14:paraId="2A30D202" w14:textId="77777777" w:rsidTr="00E032FC">
        <w:trPr>
          <w:trHeight w:hRule="exact" w:val="145"/>
        </w:trPr>
        <w:tc>
          <w:tcPr>
            <w:tcW w:w="3402" w:type="dxa"/>
          </w:tcPr>
          <w:p w14:paraId="38E82C55" w14:textId="77777777" w:rsidR="00804BFE" w:rsidRPr="004B4498" w:rsidRDefault="00804BFE" w:rsidP="00E032FC">
            <w:pPr>
              <w:jc w:val="center"/>
              <w:rPr>
                <w:rFonts w:ascii="Arial" w:hAnsi="Arial" w:cs="Arial"/>
                <w:color w:val="000000" w:themeColor="text1"/>
                <w:sz w:val="20"/>
                <w:szCs w:val="20"/>
                <w:lang w:val="hr-HR"/>
              </w:rPr>
            </w:pPr>
          </w:p>
        </w:tc>
        <w:tc>
          <w:tcPr>
            <w:tcW w:w="2977" w:type="dxa"/>
          </w:tcPr>
          <w:p w14:paraId="3DF990B2" w14:textId="77777777" w:rsidR="00804BFE" w:rsidRPr="00B91D09" w:rsidRDefault="00804BFE" w:rsidP="00E032FC">
            <w:pPr>
              <w:jc w:val="center"/>
              <w:rPr>
                <w:rFonts w:ascii="Arial" w:hAnsi="Arial" w:cs="Arial"/>
                <w:color w:val="000000" w:themeColor="text1"/>
                <w:sz w:val="22"/>
                <w:szCs w:val="22"/>
                <w:lang w:val="hr-HR"/>
              </w:rPr>
            </w:pPr>
          </w:p>
        </w:tc>
      </w:tr>
      <w:tr w:rsidR="00804BFE" w:rsidRPr="00B91D09" w14:paraId="632667F4" w14:textId="77777777" w:rsidTr="00E032FC">
        <w:trPr>
          <w:trHeight w:val="421"/>
        </w:trPr>
        <w:tc>
          <w:tcPr>
            <w:tcW w:w="3402" w:type="dxa"/>
          </w:tcPr>
          <w:p w14:paraId="2DF56C4C" w14:textId="77777777" w:rsidR="00804BFE" w:rsidRPr="004B4498" w:rsidRDefault="00804BFE" w:rsidP="00E032FC">
            <w:pPr>
              <w:jc w:val="center"/>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Direktor Sektora računovodstva</w:t>
            </w:r>
          </w:p>
        </w:tc>
        <w:tc>
          <w:tcPr>
            <w:tcW w:w="2977" w:type="dxa"/>
          </w:tcPr>
          <w:p w14:paraId="3B4863B8" w14:textId="77777777" w:rsidR="00804BFE" w:rsidRPr="00B91D09" w:rsidRDefault="00804BFE" w:rsidP="00E032FC">
            <w:pPr>
              <w:jc w:val="center"/>
              <w:rPr>
                <w:rFonts w:ascii="Arial" w:hAnsi="Arial" w:cs="Arial"/>
                <w:b/>
                <w:color w:val="000000" w:themeColor="text1"/>
                <w:sz w:val="22"/>
                <w:szCs w:val="22"/>
                <w:lang w:val="hr-HR"/>
              </w:rPr>
            </w:pPr>
          </w:p>
        </w:tc>
      </w:tr>
      <w:bookmarkEnd w:id="85"/>
    </w:tbl>
    <w:p w14:paraId="536EDAE0" w14:textId="77777777" w:rsidR="00804BFE" w:rsidRDefault="00804BFE" w:rsidP="00804BFE">
      <w:pPr>
        <w:pStyle w:val="T1"/>
        <w:spacing w:line="300" w:lineRule="exact"/>
        <w:jc w:val="left"/>
        <w:rPr>
          <w:rFonts w:cs="Arial"/>
          <w:b w:val="0"/>
          <w:color w:val="000000" w:themeColor="text1"/>
          <w:sz w:val="22"/>
          <w:szCs w:val="22"/>
          <w:lang w:val="hr-HR"/>
        </w:rPr>
      </w:pPr>
    </w:p>
    <w:p w14:paraId="5ECF980B" w14:textId="77777777" w:rsidR="00804BFE" w:rsidRDefault="00804BFE" w:rsidP="00804BFE">
      <w:pPr>
        <w:pStyle w:val="T1"/>
        <w:spacing w:line="300" w:lineRule="exact"/>
        <w:jc w:val="left"/>
        <w:rPr>
          <w:rFonts w:cs="Arial"/>
          <w:b w:val="0"/>
          <w:color w:val="000000" w:themeColor="text1"/>
          <w:sz w:val="22"/>
          <w:szCs w:val="22"/>
          <w:lang w:val="hr-HR"/>
        </w:rPr>
      </w:pPr>
    </w:p>
    <w:p w14:paraId="5D08C193" w14:textId="77777777" w:rsidR="00804BFE" w:rsidRPr="00B91D09" w:rsidRDefault="00804BFE" w:rsidP="00804BFE">
      <w:pPr>
        <w:pStyle w:val="T1"/>
        <w:spacing w:line="300" w:lineRule="exact"/>
        <w:jc w:val="left"/>
        <w:rPr>
          <w:rFonts w:cs="Arial"/>
          <w:b w:val="0"/>
          <w:color w:val="000000" w:themeColor="text1"/>
          <w:sz w:val="22"/>
          <w:szCs w:val="22"/>
          <w:lang w:val="hr-HR"/>
        </w:rPr>
      </w:pPr>
    </w:p>
    <w:tbl>
      <w:tblPr>
        <w:tblW w:w="9354" w:type="dxa"/>
        <w:tblLook w:val="04A0" w:firstRow="1" w:lastRow="0" w:firstColumn="1" w:lastColumn="0" w:noHBand="0" w:noVBand="1"/>
      </w:tblPr>
      <w:tblGrid>
        <w:gridCol w:w="3118"/>
        <w:gridCol w:w="3118"/>
        <w:gridCol w:w="3118"/>
      </w:tblGrid>
      <w:tr w:rsidR="00804BFE" w:rsidRPr="00192DCB" w14:paraId="69D6DC60" w14:textId="77777777" w:rsidTr="00E032FC">
        <w:trPr>
          <w:trHeight w:hRule="exact" w:val="284"/>
        </w:trPr>
        <w:tc>
          <w:tcPr>
            <w:tcW w:w="3118" w:type="dxa"/>
          </w:tcPr>
          <w:p w14:paraId="33F70D9A" w14:textId="77777777" w:rsidR="00804BFE" w:rsidRPr="001A5E0D" w:rsidRDefault="00804BFE" w:rsidP="00E032FC">
            <w:pPr>
              <w:jc w:val="center"/>
              <w:rPr>
                <w:rFonts w:ascii="Arial" w:hAnsi="Arial" w:cs="Arial"/>
                <w:color w:val="000000" w:themeColor="text1"/>
                <w:sz w:val="20"/>
                <w:szCs w:val="20"/>
              </w:rPr>
            </w:pPr>
            <w:r w:rsidRPr="001A5E0D">
              <w:rPr>
                <w:rFonts w:ascii="Arial" w:hAnsi="Arial" w:cs="Arial"/>
                <w:color w:val="000000" w:themeColor="text1"/>
                <w:sz w:val="20"/>
                <w:szCs w:val="20"/>
              </w:rPr>
              <w:t>______________________</w:t>
            </w:r>
          </w:p>
        </w:tc>
        <w:tc>
          <w:tcPr>
            <w:tcW w:w="3118" w:type="dxa"/>
          </w:tcPr>
          <w:p w14:paraId="27D1A7AF" w14:textId="77777777" w:rsidR="00804BFE" w:rsidRPr="001A5E0D" w:rsidRDefault="00804BFE" w:rsidP="00E032FC">
            <w:pPr>
              <w:jc w:val="center"/>
              <w:rPr>
                <w:rFonts w:ascii="Arial" w:hAnsi="Arial" w:cs="Arial"/>
                <w:color w:val="000000" w:themeColor="text1"/>
                <w:sz w:val="20"/>
                <w:szCs w:val="20"/>
              </w:rPr>
            </w:pPr>
            <w:r w:rsidRPr="007531C7">
              <w:rPr>
                <w:rFonts w:ascii="Arial" w:hAnsi="Arial" w:cs="Arial"/>
                <w:color w:val="000000" w:themeColor="text1"/>
                <w:sz w:val="20"/>
                <w:szCs w:val="20"/>
              </w:rPr>
              <w:t>______________________</w:t>
            </w:r>
          </w:p>
        </w:tc>
        <w:tc>
          <w:tcPr>
            <w:tcW w:w="3118" w:type="dxa"/>
          </w:tcPr>
          <w:p w14:paraId="311ABD24" w14:textId="77777777" w:rsidR="00804BFE" w:rsidRPr="001A5E0D" w:rsidRDefault="00804BFE" w:rsidP="00E032FC">
            <w:pPr>
              <w:jc w:val="center"/>
              <w:rPr>
                <w:rFonts w:ascii="Arial" w:hAnsi="Arial" w:cs="Arial"/>
                <w:color w:val="000000" w:themeColor="text1"/>
                <w:sz w:val="20"/>
                <w:szCs w:val="20"/>
              </w:rPr>
            </w:pPr>
            <w:r w:rsidRPr="001A5E0D">
              <w:rPr>
                <w:rFonts w:ascii="Arial" w:hAnsi="Arial" w:cs="Arial"/>
                <w:color w:val="000000" w:themeColor="text1"/>
                <w:sz w:val="20"/>
                <w:szCs w:val="20"/>
              </w:rPr>
              <w:t>______________________</w:t>
            </w:r>
          </w:p>
        </w:tc>
      </w:tr>
      <w:tr w:rsidR="00804BFE" w:rsidRPr="00192DCB" w14:paraId="7E388398" w14:textId="77777777" w:rsidTr="00E032FC">
        <w:trPr>
          <w:trHeight w:val="269"/>
        </w:trPr>
        <w:tc>
          <w:tcPr>
            <w:tcW w:w="3118" w:type="dxa"/>
            <w:vAlign w:val="bottom"/>
          </w:tcPr>
          <w:p w14:paraId="72D147F5" w14:textId="79065DB0" w:rsidR="00804BFE" w:rsidRPr="001A5E0D" w:rsidRDefault="00821198" w:rsidP="00E032FC">
            <w:pPr>
              <w:jc w:val="center"/>
              <w:rPr>
                <w:rFonts w:ascii="Arial" w:hAnsi="Arial" w:cs="Arial"/>
                <w:color w:val="000000" w:themeColor="text1"/>
                <w:sz w:val="20"/>
                <w:szCs w:val="20"/>
              </w:rPr>
            </w:pPr>
            <w:r>
              <w:rPr>
                <w:rFonts w:ascii="Arial" w:hAnsi="Arial" w:cs="Arial"/>
                <w:color w:val="000000" w:themeColor="text1"/>
                <w:sz w:val="20"/>
                <w:szCs w:val="20"/>
              </w:rPr>
              <w:t>Josip Pavković</w:t>
            </w:r>
          </w:p>
        </w:tc>
        <w:tc>
          <w:tcPr>
            <w:tcW w:w="3118" w:type="dxa"/>
            <w:vAlign w:val="bottom"/>
          </w:tcPr>
          <w:p w14:paraId="61C27039" w14:textId="0321E4FC" w:rsidR="00804BFE" w:rsidRPr="001A5E0D" w:rsidRDefault="00821198" w:rsidP="00E032FC">
            <w:pPr>
              <w:jc w:val="center"/>
              <w:rPr>
                <w:rFonts w:ascii="Arial" w:hAnsi="Arial" w:cs="Arial"/>
                <w:color w:val="000000" w:themeColor="text1"/>
                <w:sz w:val="20"/>
                <w:szCs w:val="20"/>
              </w:rPr>
            </w:pPr>
            <w:proofErr w:type="spellStart"/>
            <w:r>
              <w:rPr>
                <w:rFonts w:ascii="Arial" w:hAnsi="Arial" w:cs="Arial"/>
                <w:color w:val="000000" w:themeColor="text1"/>
                <w:sz w:val="20"/>
                <w:szCs w:val="20"/>
              </w:rPr>
              <w:t>mr.</w:t>
            </w:r>
            <w:proofErr w:type="spellEnd"/>
            <w:r>
              <w:rPr>
                <w:rFonts w:ascii="Arial" w:hAnsi="Arial" w:cs="Arial"/>
                <w:color w:val="000000" w:themeColor="text1"/>
                <w:sz w:val="20"/>
                <w:szCs w:val="20"/>
              </w:rPr>
              <w:t xml:space="preserve"> sc. Alan Herjavec</w:t>
            </w:r>
          </w:p>
        </w:tc>
        <w:tc>
          <w:tcPr>
            <w:tcW w:w="3118" w:type="dxa"/>
            <w:vAlign w:val="bottom"/>
          </w:tcPr>
          <w:p w14:paraId="7B581C09" w14:textId="77777777" w:rsidR="00804BFE" w:rsidRPr="001A5E0D" w:rsidRDefault="00804BFE" w:rsidP="00E032FC">
            <w:pPr>
              <w:jc w:val="center"/>
              <w:rPr>
                <w:rFonts w:ascii="Arial" w:hAnsi="Arial" w:cs="Arial"/>
                <w:color w:val="000000" w:themeColor="text1"/>
                <w:sz w:val="20"/>
                <w:szCs w:val="20"/>
              </w:rPr>
            </w:pPr>
            <w:proofErr w:type="spellStart"/>
            <w:r w:rsidRPr="00105A98">
              <w:rPr>
                <w:rFonts w:ascii="Arial" w:hAnsi="Arial" w:cs="Arial"/>
                <w:color w:val="000000" w:themeColor="text1"/>
                <w:sz w:val="20"/>
                <w:szCs w:val="20"/>
              </w:rPr>
              <w:t>mr.</w:t>
            </w:r>
            <w:proofErr w:type="spellEnd"/>
            <w:r w:rsidRPr="00105A98">
              <w:rPr>
                <w:rFonts w:ascii="Arial" w:hAnsi="Arial" w:cs="Arial"/>
                <w:color w:val="000000" w:themeColor="text1"/>
                <w:sz w:val="20"/>
                <w:szCs w:val="20"/>
              </w:rPr>
              <w:t xml:space="preserve"> sc. Hrvoje Čuvalo</w:t>
            </w:r>
          </w:p>
        </w:tc>
      </w:tr>
      <w:tr w:rsidR="00804BFE" w:rsidRPr="00192DCB" w14:paraId="7CF6F78D" w14:textId="77777777" w:rsidTr="00E032FC">
        <w:trPr>
          <w:trHeight w:hRule="exact" w:val="145"/>
        </w:trPr>
        <w:tc>
          <w:tcPr>
            <w:tcW w:w="3118" w:type="dxa"/>
          </w:tcPr>
          <w:p w14:paraId="591D6803" w14:textId="77777777" w:rsidR="00804BFE" w:rsidRPr="001A5E0D" w:rsidRDefault="00804BFE" w:rsidP="00E032FC">
            <w:pPr>
              <w:jc w:val="center"/>
              <w:rPr>
                <w:rFonts w:ascii="Arial" w:hAnsi="Arial" w:cs="Arial"/>
                <w:color w:val="000000" w:themeColor="text1"/>
                <w:sz w:val="20"/>
                <w:szCs w:val="20"/>
              </w:rPr>
            </w:pPr>
          </w:p>
        </w:tc>
        <w:tc>
          <w:tcPr>
            <w:tcW w:w="3118" w:type="dxa"/>
          </w:tcPr>
          <w:p w14:paraId="582C166D" w14:textId="77777777" w:rsidR="00804BFE" w:rsidRPr="001A5E0D" w:rsidRDefault="00804BFE" w:rsidP="00E032FC">
            <w:pPr>
              <w:jc w:val="center"/>
              <w:rPr>
                <w:rFonts w:ascii="Arial" w:hAnsi="Arial" w:cs="Arial"/>
                <w:color w:val="000000" w:themeColor="text1"/>
                <w:sz w:val="20"/>
                <w:szCs w:val="20"/>
              </w:rPr>
            </w:pPr>
          </w:p>
        </w:tc>
        <w:tc>
          <w:tcPr>
            <w:tcW w:w="3118" w:type="dxa"/>
          </w:tcPr>
          <w:p w14:paraId="2E653D8C" w14:textId="77777777" w:rsidR="00804BFE" w:rsidRPr="001A5E0D" w:rsidRDefault="00804BFE" w:rsidP="00E032FC">
            <w:pPr>
              <w:jc w:val="center"/>
              <w:rPr>
                <w:rFonts w:ascii="Arial" w:hAnsi="Arial" w:cs="Arial"/>
                <w:color w:val="000000" w:themeColor="text1"/>
                <w:sz w:val="20"/>
                <w:szCs w:val="20"/>
              </w:rPr>
            </w:pPr>
          </w:p>
        </w:tc>
      </w:tr>
      <w:tr w:rsidR="00804BFE" w:rsidRPr="00192DCB" w14:paraId="3E677694" w14:textId="77777777" w:rsidTr="00E032FC">
        <w:trPr>
          <w:trHeight w:val="421"/>
        </w:trPr>
        <w:tc>
          <w:tcPr>
            <w:tcW w:w="3118" w:type="dxa"/>
          </w:tcPr>
          <w:p w14:paraId="2983D84E" w14:textId="77777777" w:rsidR="00804BFE" w:rsidRPr="001A5E0D" w:rsidRDefault="00804BFE" w:rsidP="00E032FC">
            <w:pPr>
              <w:jc w:val="center"/>
              <w:rPr>
                <w:rFonts w:ascii="Arial" w:hAnsi="Arial" w:cs="Arial"/>
                <w:b/>
                <w:color w:val="000000" w:themeColor="text1"/>
                <w:sz w:val="20"/>
                <w:szCs w:val="20"/>
              </w:rPr>
            </w:pPr>
            <w:proofErr w:type="spellStart"/>
            <w:r w:rsidRPr="001A5E0D">
              <w:rPr>
                <w:rFonts w:ascii="Arial" w:hAnsi="Arial" w:cs="Arial"/>
                <w:b/>
                <w:color w:val="000000" w:themeColor="text1"/>
                <w:sz w:val="20"/>
                <w:szCs w:val="20"/>
              </w:rPr>
              <w:t>Član</w:t>
            </w:r>
            <w:proofErr w:type="spellEnd"/>
            <w:r w:rsidRPr="001A5E0D">
              <w:rPr>
                <w:rFonts w:ascii="Arial" w:hAnsi="Arial" w:cs="Arial"/>
                <w:b/>
                <w:color w:val="000000" w:themeColor="text1"/>
                <w:sz w:val="20"/>
                <w:szCs w:val="20"/>
              </w:rPr>
              <w:t xml:space="preserve"> </w:t>
            </w:r>
            <w:proofErr w:type="spellStart"/>
            <w:r w:rsidRPr="001A5E0D">
              <w:rPr>
                <w:rFonts w:ascii="Arial" w:hAnsi="Arial" w:cs="Arial"/>
                <w:b/>
                <w:color w:val="000000" w:themeColor="text1"/>
                <w:sz w:val="20"/>
                <w:szCs w:val="20"/>
              </w:rPr>
              <w:t>Uprave</w:t>
            </w:r>
            <w:proofErr w:type="spellEnd"/>
          </w:p>
        </w:tc>
        <w:tc>
          <w:tcPr>
            <w:tcW w:w="3118" w:type="dxa"/>
          </w:tcPr>
          <w:p w14:paraId="420DFA62" w14:textId="77777777" w:rsidR="00804BFE" w:rsidRPr="001A5E0D" w:rsidRDefault="00804BFE" w:rsidP="00E032FC">
            <w:pPr>
              <w:jc w:val="center"/>
              <w:rPr>
                <w:rFonts w:ascii="Arial" w:hAnsi="Arial" w:cs="Arial"/>
                <w:b/>
                <w:color w:val="000000" w:themeColor="text1"/>
                <w:sz w:val="20"/>
                <w:szCs w:val="20"/>
              </w:rPr>
            </w:pPr>
            <w:proofErr w:type="spellStart"/>
            <w:r w:rsidRPr="00C82399">
              <w:rPr>
                <w:rFonts w:ascii="Arial" w:hAnsi="Arial" w:cs="Arial"/>
                <w:b/>
                <w:color w:val="000000" w:themeColor="text1"/>
                <w:sz w:val="20"/>
                <w:szCs w:val="20"/>
              </w:rPr>
              <w:t>Član</w:t>
            </w:r>
            <w:proofErr w:type="spellEnd"/>
            <w:r w:rsidRPr="00C82399">
              <w:rPr>
                <w:rFonts w:ascii="Arial" w:hAnsi="Arial" w:cs="Arial"/>
                <w:b/>
                <w:color w:val="000000" w:themeColor="text1"/>
                <w:sz w:val="20"/>
                <w:szCs w:val="20"/>
              </w:rPr>
              <w:t xml:space="preserve"> </w:t>
            </w:r>
            <w:proofErr w:type="spellStart"/>
            <w:r w:rsidRPr="00C82399">
              <w:rPr>
                <w:rFonts w:ascii="Arial" w:hAnsi="Arial" w:cs="Arial"/>
                <w:b/>
                <w:color w:val="000000" w:themeColor="text1"/>
                <w:sz w:val="20"/>
                <w:szCs w:val="20"/>
              </w:rPr>
              <w:t>Uprave</w:t>
            </w:r>
            <w:proofErr w:type="spellEnd"/>
          </w:p>
        </w:tc>
        <w:tc>
          <w:tcPr>
            <w:tcW w:w="3118" w:type="dxa"/>
          </w:tcPr>
          <w:p w14:paraId="2D4B5779" w14:textId="77777777" w:rsidR="00804BFE" w:rsidRPr="001A5E0D" w:rsidRDefault="00804BFE" w:rsidP="00E032FC">
            <w:pPr>
              <w:jc w:val="center"/>
              <w:rPr>
                <w:rFonts w:ascii="Arial" w:hAnsi="Arial" w:cs="Arial"/>
                <w:b/>
                <w:color w:val="000000" w:themeColor="text1"/>
                <w:sz w:val="20"/>
                <w:szCs w:val="20"/>
              </w:rPr>
            </w:pPr>
            <w:proofErr w:type="spellStart"/>
            <w:r w:rsidRPr="001A5E0D">
              <w:rPr>
                <w:rFonts w:ascii="Arial" w:hAnsi="Arial" w:cs="Arial"/>
                <w:b/>
                <w:color w:val="000000" w:themeColor="text1"/>
                <w:sz w:val="20"/>
                <w:szCs w:val="20"/>
              </w:rPr>
              <w:t>Predsjedni</w:t>
            </w:r>
            <w:r>
              <w:rPr>
                <w:rFonts w:ascii="Arial" w:hAnsi="Arial" w:cs="Arial"/>
                <w:b/>
                <w:color w:val="000000" w:themeColor="text1"/>
                <w:sz w:val="20"/>
                <w:szCs w:val="20"/>
              </w:rPr>
              <w:t>k</w:t>
            </w:r>
            <w:proofErr w:type="spellEnd"/>
            <w:r w:rsidRPr="001A5E0D">
              <w:rPr>
                <w:rFonts w:ascii="Arial" w:hAnsi="Arial" w:cs="Arial"/>
                <w:b/>
                <w:color w:val="000000" w:themeColor="text1"/>
                <w:sz w:val="20"/>
                <w:szCs w:val="20"/>
              </w:rPr>
              <w:t xml:space="preserve"> </w:t>
            </w:r>
            <w:proofErr w:type="spellStart"/>
            <w:r w:rsidRPr="001A5E0D">
              <w:rPr>
                <w:rFonts w:ascii="Arial" w:hAnsi="Arial" w:cs="Arial"/>
                <w:b/>
                <w:color w:val="000000" w:themeColor="text1"/>
                <w:sz w:val="20"/>
                <w:szCs w:val="20"/>
              </w:rPr>
              <w:t>Uprave</w:t>
            </w:r>
            <w:proofErr w:type="spellEnd"/>
          </w:p>
        </w:tc>
      </w:tr>
    </w:tbl>
    <w:p w14:paraId="223CD965" w14:textId="77777777" w:rsidR="00804BFE" w:rsidRPr="004B4498" w:rsidRDefault="00804BFE" w:rsidP="00804BFE">
      <w:pPr>
        <w:spacing w:before="240" w:after="120"/>
        <w:rPr>
          <w:rFonts w:ascii="Arial" w:hAnsi="Arial" w:cs="Arial"/>
          <w:color w:val="000000" w:themeColor="text1"/>
          <w:sz w:val="20"/>
          <w:szCs w:val="20"/>
          <w:lang w:val="hr-HR"/>
        </w:rPr>
      </w:pPr>
    </w:p>
    <w:p w14:paraId="049EDC2F" w14:textId="057652E3" w:rsidR="001856C5" w:rsidRDefault="00804BFE" w:rsidP="00804BFE">
      <w:pPr>
        <w:spacing w:before="240"/>
        <w:jc w:val="both"/>
        <w:rPr>
          <w:rFonts w:ascii="Arial" w:hAnsi="Arial" w:cs="Arial"/>
          <w:color w:val="000000" w:themeColor="text1"/>
          <w:sz w:val="20"/>
          <w:szCs w:val="20"/>
          <w:lang w:val="hr-HR"/>
        </w:rPr>
        <w:sectPr w:rsidR="001856C5" w:rsidSect="001856C5">
          <w:headerReference w:type="first" r:id="rId49"/>
          <w:footerReference w:type="first" r:id="rId50"/>
          <w:pgSz w:w="11907" w:h="16840"/>
          <w:pgMar w:top="1418" w:right="1134" w:bottom="1134" w:left="1418" w:header="851" w:footer="851" w:gutter="0"/>
          <w:pgNumType w:start="63"/>
          <w:cols w:space="720"/>
          <w:titlePg/>
          <w:docGrid w:linePitch="326"/>
        </w:sectPr>
      </w:pPr>
      <w:r w:rsidRPr="004B4498">
        <w:rPr>
          <w:rFonts w:ascii="Arial" w:hAnsi="Arial" w:cs="Arial"/>
          <w:color w:val="000000" w:themeColor="text1"/>
          <w:sz w:val="20"/>
          <w:szCs w:val="20"/>
          <w:lang w:val="hr-HR"/>
        </w:rPr>
        <w:t>U Zagreb</w:t>
      </w:r>
      <w:r w:rsidRPr="009946AF">
        <w:rPr>
          <w:rFonts w:ascii="Arial" w:hAnsi="Arial" w:cs="Arial"/>
          <w:color w:val="000000" w:themeColor="text1"/>
          <w:sz w:val="20"/>
          <w:szCs w:val="20"/>
          <w:lang w:val="hr-HR"/>
        </w:rPr>
        <w:t xml:space="preserve">u </w:t>
      </w:r>
      <w:r>
        <w:rPr>
          <w:rFonts w:ascii="Arial" w:hAnsi="Arial" w:cs="Arial"/>
          <w:color w:val="000000" w:themeColor="text1"/>
          <w:sz w:val="20"/>
          <w:szCs w:val="20"/>
          <w:lang w:val="hr-HR"/>
        </w:rPr>
        <w:t>2</w:t>
      </w:r>
      <w:r w:rsidR="00E9699B">
        <w:rPr>
          <w:rFonts w:ascii="Arial" w:hAnsi="Arial" w:cs="Arial"/>
          <w:color w:val="000000" w:themeColor="text1"/>
          <w:sz w:val="20"/>
          <w:szCs w:val="20"/>
          <w:lang w:val="hr-HR"/>
        </w:rPr>
        <w:t>3</w:t>
      </w:r>
      <w:r w:rsidRPr="009946AF">
        <w:rPr>
          <w:rFonts w:ascii="Arial" w:hAnsi="Arial" w:cs="Arial"/>
          <w:color w:val="000000" w:themeColor="text1"/>
          <w:sz w:val="20"/>
          <w:szCs w:val="20"/>
          <w:lang w:val="hr-HR"/>
        </w:rPr>
        <w:t xml:space="preserve">. </w:t>
      </w:r>
      <w:r>
        <w:rPr>
          <w:rFonts w:ascii="Arial" w:hAnsi="Arial" w:cs="Arial"/>
          <w:color w:val="000000" w:themeColor="text1"/>
          <w:sz w:val="20"/>
          <w:szCs w:val="20"/>
          <w:lang w:val="hr-HR"/>
        </w:rPr>
        <w:t xml:space="preserve">ožujka </w:t>
      </w:r>
      <w:r w:rsidRPr="004B4498">
        <w:rPr>
          <w:rFonts w:ascii="Arial" w:hAnsi="Arial" w:cs="Arial"/>
          <w:color w:val="000000" w:themeColor="text1"/>
          <w:sz w:val="20"/>
          <w:szCs w:val="20"/>
          <w:lang w:val="hr-HR"/>
        </w:rPr>
        <w:t>202</w:t>
      </w:r>
      <w:r>
        <w:rPr>
          <w:rFonts w:ascii="Arial" w:hAnsi="Arial" w:cs="Arial"/>
          <w:color w:val="000000" w:themeColor="text1"/>
          <w:sz w:val="20"/>
          <w:szCs w:val="20"/>
          <w:lang w:val="hr-HR"/>
        </w:rPr>
        <w:t>3</w:t>
      </w:r>
      <w:r w:rsidRPr="004B4498">
        <w:rPr>
          <w:rFonts w:ascii="Arial" w:hAnsi="Arial" w:cs="Arial"/>
          <w:color w:val="000000" w:themeColor="text1"/>
          <w:sz w:val="20"/>
          <w:szCs w:val="20"/>
          <w:lang w:val="hr-HR"/>
        </w:rPr>
        <w:t>.</w:t>
      </w:r>
    </w:p>
    <w:p w14:paraId="4BC18352" w14:textId="77777777" w:rsidR="00AE3B0D" w:rsidRPr="00AE3B0D" w:rsidRDefault="00AE3B0D" w:rsidP="00AE3B0D">
      <w:pPr>
        <w:suppressAutoHyphens w:val="0"/>
        <w:autoSpaceDN/>
        <w:rPr>
          <w:rFonts w:ascii="Trebuchet MS" w:eastAsia="Calibri" w:hAnsi="Trebuchet MS"/>
          <w:b/>
          <w:bCs/>
          <w:sz w:val="20"/>
          <w:szCs w:val="20"/>
          <w:highlight w:val="yellow"/>
          <w:lang w:val="hr-HR"/>
        </w:rPr>
      </w:pPr>
      <w:bookmarkStart w:id="92" w:name="_Hlk65087249"/>
      <w:bookmarkStart w:id="93" w:name="_Toc32912341"/>
      <w:bookmarkStart w:id="94" w:name="_Toc32932230"/>
      <w:bookmarkStart w:id="95" w:name="_Toc32933529"/>
      <w:bookmarkStart w:id="96" w:name="_Toc33186749"/>
      <w:bookmarkStart w:id="97" w:name="_Toc33188980"/>
      <w:bookmarkStart w:id="98" w:name="_Toc33189469"/>
      <w:bookmarkStart w:id="99" w:name="_Toc33191399"/>
      <w:bookmarkStart w:id="100" w:name="_Toc33192151"/>
      <w:bookmarkStart w:id="101" w:name="_Toc33192356"/>
      <w:bookmarkStart w:id="102" w:name="_Toc33192635"/>
      <w:bookmarkStart w:id="103" w:name="_Toc33193136"/>
      <w:bookmarkStart w:id="104" w:name="_Toc33193222"/>
      <w:bookmarkStart w:id="105" w:name="_Toc33193681"/>
      <w:bookmarkStart w:id="106" w:name="_Toc33195454"/>
      <w:bookmarkStart w:id="107" w:name="_Toc33199266"/>
      <w:bookmarkStart w:id="108" w:name="_Toc33199324"/>
      <w:bookmarkStart w:id="109" w:name="_Toc33200495"/>
      <w:bookmarkStart w:id="110" w:name="_Toc33200652"/>
      <w:bookmarkStart w:id="111" w:name="_Toc33201503"/>
      <w:bookmarkStart w:id="112" w:name="_Toc33201628"/>
      <w:bookmarkStart w:id="113" w:name="_Toc33202692"/>
      <w:bookmarkStart w:id="114" w:name="_Toc33437349"/>
      <w:bookmarkStart w:id="115" w:name="_Toc33437476"/>
      <w:bookmarkStart w:id="116" w:name="_Toc33439021"/>
      <w:bookmarkStart w:id="117" w:name="_Toc33440050"/>
      <w:bookmarkStart w:id="118" w:name="_Toc33440265"/>
      <w:bookmarkStart w:id="119" w:name="_Toc33440563"/>
      <w:bookmarkStart w:id="120" w:name="_Toc33440624"/>
      <w:bookmarkStart w:id="121" w:name="_Toc33442529"/>
      <w:bookmarkStart w:id="122" w:name="_Toc33447634"/>
      <w:bookmarkEnd w:id="84"/>
    </w:p>
    <w:p w14:paraId="59D7D0CE" w14:textId="77777777" w:rsidR="00AE3B0D" w:rsidRPr="00AE3B0D" w:rsidRDefault="00AE3B0D" w:rsidP="00AE3B0D">
      <w:pPr>
        <w:suppressAutoHyphens w:val="0"/>
        <w:autoSpaceDN/>
        <w:rPr>
          <w:rFonts w:ascii="Trebuchet MS" w:eastAsia="Calibri" w:hAnsi="Trebuchet MS"/>
          <w:b/>
          <w:bCs/>
          <w:sz w:val="20"/>
          <w:szCs w:val="20"/>
          <w:lang w:val="hr-HR"/>
        </w:rPr>
      </w:pPr>
      <w:r w:rsidRPr="00AE3B0D">
        <w:rPr>
          <w:rFonts w:ascii="Trebuchet MS" w:eastAsia="Calibri" w:hAnsi="Trebuchet MS"/>
          <w:b/>
          <w:bCs/>
          <w:sz w:val="20"/>
          <w:szCs w:val="20"/>
          <w:lang w:val="hr-HR"/>
        </w:rPr>
        <w:t>ZAJEDNIČKO IZVJEŠĆE NEOVISNOG REVIZORA VLASNIKU HRVATSKE BANKE ZA OBNOVU I RAZVITAK</w:t>
      </w:r>
    </w:p>
    <w:p w14:paraId="47725DE1" w14:textId="77777777" w:rsidR="00AE3B0D" w:rsidRPr="00AE3B0D" w:rsidRDefault="00AE3B0D" w:rsidP="00AE3B0D">
      <w:pPr>
        <w:suppressAutoHyphens w:val="0"/>
        <w:autoSpaceDN/>
        <w:spacing w:before="240" w:after="240"/>
        <w:jc w:val="both"/>
        <w:rPr>
          <w:rFonts w:ascii="Trebuchet MS" w:hAnsi="Trebuchet MS" w:cs="Arial"/>
          <w:b/>
          <w:kern w:val="8"/>
          <w:sz w:val="20"/>
          <w:szCs w:val="20"/>
          <w:lang w:val="hr-HR" w:eastAsia="af-ZA"/>
        </w:rPr>
      </w:pPr>
      <w:r w:rsidRPr="00AE3B0D">
        <w:rPr>
          <w:rFonts w:ascii="Trebuchet MS" w:hAnsi="Trebuchet MS" w:cs="Arial"/>
          <w:b/>
          <w:kern w:val="8"/>
          <w:sz w:val="20"/>
          <w:szCs w:val="20"/>
          <w:lang w:val="hr-HR" w:eastAsia="af-ZA"/>
        </w:rPr>
        <w:t>Izvješće o reviziji godišnjih odvojenih i konsolidiranih financijskih izvještaja</w:t>
      </w:r>
    </w:p>
    <w:p w14:paraId="098861ED" w14:textId="77777777" w:rsidR="00AE3B0D" w:rsidRPr="00AE3B0D" w:rsidRDefault="00AE3B0D" w:rsidP="00387042">
      <w:pPr>
        <w:suppressAutoHyphens w:val="0"/>
        <w:autoSpaceDN/>
        <w:spacing w:before="240" w:after="200"/>
        <w:jc w:val="both"/>
        <w:rPr>
          <w:rFonts w:ascii="Trebuchet MS" w:hAnsi="Trebuchet MS" w:cs="Arial"/>
          <w:b/>
          <w:color w:val="000000"/>
          <w:sz w:val="20"/>
          <w:szCs w:val="20"/>
          <w:lang w:val="hr-HR" w:eastAsia="hr-HR"/>
        </w:rPr>
      </w:pPr>
      <w:r w:rsidRPr="00AE3B0D">
        <w:rPr>
          <w:rFonts w:ascii="Trebuchet MS" w:hAnsi="Trebuchet MS" w:cs="Arial"/>
          <w:b/>
          <w:color w:val="000000"/>
          <w:sz w:val="20"/>
          <w:szCs w:val="20"/>
          <w:lang w:val="hr-HR" w:eastAsia="hr-HR"/>
        </w:rPr>
        <w:t xml:space="preserve">Mišljenje </w:t>
      </w:r>
    </w:p>
    <w:p w14:paraId="502164C3" w14:textId="56AABC61" w:rsidR="00AE3B0D" w:rsidRPr="00AE3B0D" w:rsidRDefault="00AE3B0D" w:rsidP="00AE3B0D">
      <w:pPr>
        <w:suppressAutoHyphens w:val="0"/>
        <w:autoSpaceDN/>
        <w:jc w:val="both"/>
        <w:rPr>
          <w:rFonts w:ascii="Trebuchet MS" w:hAnsi="Trebuchet MS" w:cs="Arial"/>
          <w:bCs/>
          <w:color w:val="000000"/>
          <w:sz w:val="20"/>
          <w:szCs w:val="20"/>
          <w:lang w:val="hr-HR" w:eastAsia="hr-HR"/>
        </w:rPr>
      </w:pPr>
      <w:r w:rsidRPr="00AE3B0D">
        <w:rPr>
          <w:rFonts w:ascii="Trebuchet MS" w:hAnsi="Trebuchet MS" w:cs="Arial"/>
          <w:bCs/>
          <w:color w:val="000000"/>
          <w:sz w:val="20"/>
          <w:szCs w:val="20"/>
          <w:lang w:val="hr-HR" w:eastAsia="hr-HR"/>
        </w:rPr>
        <w:t>Obavili smo reviziju godišnjih odvojenih financijskih izvještaja Hrvatske banke za obnovu i razvitak („Banka“) te konsolidiranih financijskih izvještaja Banke i njezinog ovisnog društva (zajedno „Grupa“), koji obuhvaćaju</w:t>
      </w:r>
      <w:r w:rsidR="00311E9C">
        <w:rPr>
          <w:rFonts w:ascii="Trebuchet MS" w:hAnsi="Trebuchet MS" w:cs="Arial"/>
          <w:bCs/>
          <w:color w:val="000000"/>
          <w:sz w:val="20"/>
          <w:szCs w:val="20"/>
          <w:lang w:val="hr-HR" w:eastAsia="hr-HR"/>
        </w:rPr>
        <w:t xml:space="preserve"> odvojene i konsolidirane</w:t>
      </w:r>
      <w:r w:rsidRPr="00AE3B0D">
        <w:rPr>
          <w:rFonts w:ascii="Trebuchet MS" w:hAnsi="Trebuchet MS" w:cs="Arial"/>
          <w:bCs/>
          <w:color w:val="000000"/>
          <w:sz w:val="20"/>
          <w:szCs w:val="20"/>
          <w:lang w:val="hr-HR" w:eastAsia="hr-HR"/>
        </w:rPr>
        <w:t xml:space="preserve"> izvještaje o financijskom položaju Banke i Grupe na 31. prosinca 2022., </w:t>
      </w:r>
      <w:r w:rsidR="00311E9C">
        <w:rPr>
          <w:rFonts w:ascii="Trebuchet MS" w:hAnsi="Trebuchet MS" w:cs="Arial"/>
          <w:bCs/>
          <w:color w:val="000000"/>
          <w:sz w:val="20"/>
          <w:szCs w:val="20"/>
          <w:lang w:val="hr-HR" w:eastAsia="hr-HR"/>
        </w:rPr>
        <w:t xml:space="preserve">odvojeni i konsolidirani </w:t>
      </w:r>
      <w:r w:rsidRPr="00AE3B0D">
        <w:rPr>
          <w:rFonts w:ascii="Trebuchet MS" w:hAnsi="Trebuchet MS" w:cs="Arial"/>
          <w:bCs/>
          <w:color w:val="000000"/>
          <w:sz w:val="20"/>
          <w:szCs w:val="20"/>
          <w:lang w:val="hr-HR" w:eastAsia="hr-HR"/>
        </w:rPr>
        <w:t>izvještaj o dobiti ili gubitku Banke i Grupe,</w:t>
      </w:r>
      <w:r w:rsidR="00311E9C">
        <w:rPr>
          <w:rFonts w:ascii="Trebuchet MS" w:hAnsi="Trebuchet MS" w:cs="Arial"/>
          <w:bCs/>
          <w:color w:val="000000"/>
          <w:sz w:val="20"/>
          <w:szCs w:val="20"/>
          <w:lang w:val="hr-HR" w:eastAsia="hr-HR"/>
        </w:rPr>
        <w:t xml:space="preserve"> odvojeni i konsolidirani</w:t>
      </w:r>
      <w:r w:rsidRPr="00AE3B0D">
        <w:rPr>
          <w:rFonts w:ascii="Trebuchet MS" w:hAnsi="Trebuchet MS" w:cs="Arial"/>
          <w:bCs/>
          <w:color w:val="000000"/>
          <w:sz w:val="20"/>
          <w:szCs w:val="20"/>
          <w:lang w:val="hr-HR" w:eastAsia="hr-HR"/>
        </w:rPr>
        <w:t xml:space="preserve"> izvještaj o ostaloj sveobuhvatnoj dobiti Banke i Grupe, </w:t>
      </w:r>
      <w:r w:rsidR="00311E9C">
        <w:rPr>
          <w:rFonts w:ascii="Trebuchet MS" w:hAnsi="Trebuchet MS" w:cs="Arial"/>
          <w:bCs/>
          <w:color w:val="000000"/>
          <w:sz w:val="20"/>
          <w:szCs w:val="20"/>
          <w:lang w:val="hr-HR" w:eastAsia="hr-HR"/>
        </w:rPr>
        <w:t xml:space="preserve">odvojeni i konsolidirani </w:t>
      </w:r>
      <w:r w:rsidRPr="00AE3B0D">
        <w:rPr>
          <w:rFonts w:ascii="Trebuchet MS" w:hAnsi="Trebuchet MS" w:cs="Arial"/>
          <w:bCs/>
          <w:color w:val="000000"/>
          <w:sz w:val="20"/>
          <w:szCs w:val="20"/>
          <w:lang w:val="hr-HR" w:eastAsia="hr-HR"/>
        </w:rPr>
        <w:t xml:space="preserve">izvještaj o promjenama kapitala i rezervi Banke i Grupe i </w:t>
      </w:r>
      <w:r w:rsidR="00311E9C">
        <w:rPr>
          <w:rFonts w:ascii="Trebuchet MS" w:hAnsi="Trebuchet MS" w:cs="Arial"/>
          <w:bCs/>
          <w:color w:val="000000"/>
          <w:sz w:val="20"/>
          <w:szCs w:val="20"/>
          <w:lang w:val="hr-HR" w:eastAsia="hr-HR"/>
        </w:rPr>
        <w:t xml:space="preserve">odvojeni i konsolidirani </w:t>
      </w:r>
      <w:r w:rsidRPr="00AE3B0D">
        <w:rPr>
          <w:rFonts w:ascii="Trebuchet MS" w:hAnsi="Trebuchet MS" w:cs="Arial"/>
          <w:bCs/>
          <w:color w:val="000000"/>
          <w:sz w:val="20"/>
          <w:szCs w:val="20"/>
          <w:lang w:val="hr-HR" w:eastAsia="hr-HR"/>
        </w:rPr>
        <w:t>izvještaj o novčanom toku Banke i Grupe za tada završenu godinu te bilješke uz godišnje financijske izvještaje, uključujući i značajne računovodstvene politike.</w:t>
      </w:r>
    </w:p>
    <w:p w14:paraId="2C23785D" w14:textId="77777777" w:rsidR="00AE3B0D" w:rsidRPr="00AE3B0D" w:rsidRDefault="00AE3B0D" w:rsidP="00AE3B0D">
      <w:pPr>
        <w:suppressAutoHyphens w:val="0"/>
        <w:autoSpaceDN/>
        <w:jc w:val="both"/>
        <w:rPr>
          <w:rFonts w:ascii="Trebuchet MS" w:hAnsi="Trebuchet MS" w:cs="Arial"/>
          <w:bCs/>
          <w:color w:val="000000"/>
          <w:sz w:val="20"/>
          <w:szCs w:val="20"/>
          <w:lang w:val="hr-HR" w:eastAsia="hr-HR"/>
        </w:rPr>
      </w:pPr>
    </w:p>
    <w:p w14:paraId="67CD545C" w14:textId="77777777" w:rsidR="00AE3B0D" w:rsidRPr="00AE3B0D" w:rsidRDefault="00AE3B0D" w:rsidP="00AE3B0D">
      <w:pPr>
        <w:suppressAutoHyphens w:val="0"/>
        <w:autoSpaceDN/>
        <w:jc w:val="both"/>
        <w:rPr>
          <w:rFonts w:ascii="Trebuchet MS" w:hAnsi="Trebuchet MS" w:cs="Arial"/>
          <w:bCs/>
          <w:color w:val="000000"/>
          <w:sz w:val="20"/>
          <w:szCs w:val="20"/>
          <w:lang w:val="hr-HR" w:eastAsia="hr-HR"/>
        </w:rPr>
      </w:pPr>
      <w:r w:rsidRPr="00AE3B0D">
        <w:rPr>
          <w:rFonts w:ascii="Trebuchet MS" w:hAnsi="Trebuchet MS" w:cs="Arial"/>
          <w:bCs/>
          <w:color w:val="000000"/>
          <w:sz w:val="20"/>
          <w:szCs w:val="20"/>
          <w:lang w:val="hr-HR" w:eastAsia="hr-HR"/>
        </w:rPr>
        <w:t>Prema našem mišljenju, priloženi godišnji odvojeni i konsolidirani financijski izvještaji istinito i fer prikazuju odvojeni financijski položaj Banke i konsolidirani financijski položaj Grupe na 31. prosinca 2022., njihovu odvojenu i konsolidiranu financijsku uspješnost i njihove odvojene i konsolidirane novčane tokove za tada završenu godinu u skladu sa Međunarodnim standardima financijskog izvještavanja usvojenim od strane Europske unije („MSFI“).</w:t>
      </w:r>
    </w:p>
    <w:p w14:paraId="4B2A3FB0" w14:textId="77777777" w:rsidR="00AE3B0D" w:rsidRPr="00AE3B0D" w:rsidRDefault="00AE3B0D" w:rsidP="00AE3B0D">
      <w:pPr>
        <w:suppressAutoHyphens w:val="0"/>
        <w:autoSpaceDN/>
        <w:jc w:val="both"/>
        <w:rPr>
          <w:rFonts w:ascii="Trebuchet MS" w:hAnsi="Trebuchet MS" w:cs="Arial"/>
          <w:bCs/>
          <w:color w:val="000000"/>
          <w:sz w:val="20"/>
          <w:szCs w:val="20"/>
          <w:lang w:val="hr-HR" w:eastAsia="hr-HR"/>
        </w:rPr>
      </w:pPr>
    </w:p>
    <w:p w14:paraId="2EDA1CDA" w14:textId="77777777" w:rsidR="00AE3B0D" w:rsidRPr="00AE3B0D" w:rsidRDefault="00AE3B0D" w:rsidP="00AE3B0D">
      <w:pPr>
        <w:suppressAutoHyphens w:val="0"/>
        <w:autoSpaceDN/>
        <w:spacing w:after="200"/>
        <w:jc w:val="both"/>
        <w:rPr>
          <w:rFonts w:ascii="Trebuchet MS" w:hAnsi="Trebuchet MS" w:cs="Arial"/>
          <w:b/>
          <w:color w:val="000000"/>
          <w:sz w:val="20"/>
          <w:szCs w:val="20"/>
          <w:lang w:val="hr-HR" w:eastAsia="hr-HR"/>
        </w:rPr>
      </w:pPr>
      <w:r w:rsidRPr="00AE3B0D">
        <w:rPr>
          <w:rFonts w:ascii="Trebuchet MS" w:hAnsi="Trebuchet MS" w:cs="Arial"/>
          <w:b/>
          <w:color w:val="000000"/>
          <w:sz w:val="20"/>
          <w:szCs w:val="20"/>
          <w:lang w:val="hr-HR" w:eastAsia="hr-HR"/>
        </w:rPr>
        <w:t xml:space="preserve">Osnova za izražavanje mišljenja </w:t>
      </w:r>
    </w:p>
    <w:p w14:paraId="0091AFD7" w14:textId="5B04690F" w:rsidR="00AE3B0D" w:rsidRPr="00AE3B0D" w:rsidRDefault="00AE3B0D" w:rsidP="00AE3B0D">
      <w:pPr>
        <w:suppressAutoHyphens w:val="0"/>
        <w:autoSpaceDN/>
        <w:jc w:val="both"/>
        <w:rPr>
          <w:rFonts w:ascii="Trebuchet MS" w:hAnsi="Trebuchet MS" w:cs="Arial"/>
          <w:bCs/>
          <w:color w:val="000000"/>
          <w:sz w:val="20"/>
          <w:szCs w:val="20"/>
          <w:lang w:val="hr-HR" w:eastAsia="hr-HR"/>
        </w:rPr>
      </w:pPr>
      <w:r w:rsidRPr="00AE3B0D">
        <w:rPr>
          <w:rFonts w:ascii="Trebuchet MS" w:hAnsi="Trebuchet MS" w:cs="Arial"/>
          <w:bCs/>
          <w:color w:val="000000"/>
          <w:sz w:val="20"/>
          <w:szCs w:val="20"/>
          <w:lang w:val="hr-HR" w:eastAsia="hr-HR"/>
        </w:rPr>
        <w:t xml:space="preserve">Obavili smo našu reviziju u skladu sa Međunarodnim revizijskim standardima (MRevS-ima). Naše odgovornosti prema tim standardima su podrobnije opisane u našem izvješću neovisnog revizora u odjeljku Odgovornosti revizora za reviziju godišnjih </w:t>
      </w:r>
      <w:r w:rsidR="00311E9C">
        <w:rPr>
          <w:rFonts w:ascii="Trebuchet MS" w:hAnsi="Trebuchet MS" w:cs="Arial"/>
          <w:bCs/>
          <w:color w:val="000000"/>
          <w:sz w:val="20"/>
          <w:szCs w:val="20"/>
          <w:lang w:val="hr-HR" w:eastAsia="hr-HR"/>
        </w:rPr>
        <w:t xml:space="preserve">odvojenih i konsolidiranih </w:t>
      </w:r>
      <w:r w:rsidRPr="00AE3B0D">
        <w:rPr>
          <w:rFonts w:ascii="Trebuchet MS" w:hAnsi="Trebuchet MS" w:cs="Arial"/>
          <w:bCs/>
          <w:color w:val="000000"/>
          <w:sz w:val="20"/>
          <w:szCs w:val="20"/>
          <w:lang w:val="hr-HR" w:eastAsia="hr-HR"/>
        </w:rPr>
        <w:t xml:space="preserve">financijskih izvještaja. Neovisni smo od Banke i Grupe u skladu s Međunarodnim kodeksom etike za profesionalne računovođe, uključujući Međunarodne standarde neovisnosti koje je izdao Odbor za međunarodne standarde etike za računovođe („IESBA“, „IESBA Kodeks“) i ispunili smo naše ostale etičke odgovornosti u skladu s IESBA Kodeksom. </w:t>
      </w:r>
    </w:p>
    <w:p w14:paraId="70137A02" w14:textId="77777777" w:rsidR="00AE3B0D" w:rsidRPr="00AE3B0D" w:rsidRDefault="00AE3B0D" w:rsidP="00AE3B0D">
      <w:pPr>
        <w:suppressAutoHyphens w:val="0"/>
        <w:autoSpaceDN/>
        <w:jc w:val="both"/>
        <w:rPr>
          <w:rFonts w:ascii="Trebuchet MS" w:hAnsi="Trebuchet MS" w:cs="Arial"/>
          <w:bCs/>
          <w:color w:val="000000"/>
          <w:sz w:val="20"/>
          <w:szCs w:val="20"/>
          <w:lang w:val="hr-HR" w:eastAsia="hr-HR"/>
        </w:rPr>
      </w:pPr>
    </w:p>
    <w:p w14:paraId="363C93B1" w14:textId="77777777" w:rsidR="00AE3B0D" w:rsidRPr="00AE3B0D" w:rsidRDefault="00AE3B0D" w:rsidP="00AE3B0D">
      <w:pPr>
        <w:suppressAutoHyphens w:val="0"/>
        <w:autoSpaceDN/>
        <w:jc w:val="both"/>
        <w:rPr>
          <w:rFonts w:ascii="Trebuchet MS" w:hAnsi="Trebuchet MS" w:cs="Arial"/>
          <w:bCs/>
          <w:color w:val="000000"/>
          <w:sz w:val="20"/>
          <w:szCs w:val="20"/>
          <w:lang w:val="hr-HR" w:eastAsia="hr-HR"/>
        </w:rPr>
      </w:pPr>
      <w:r w:rsidRPr="00AE3B0D">
        <w:rPr>
          <w:rFonts w:ascii="Trebuchet MS" w:hAnsi="Trebuchet MS" w:cs="Arial"/>
          <w:bCs/>
          <w:color w:val="000000"/>
          <w:sz w:val="20"/>
          <w:szCs w:val="20"/>
          <w:lang w:val="hr-HR" w:eastAsia="hr-HR"/>
        </w:rPr>
        <w:t>Vjerujemo da su revizijski dokazi koje smo dobili dostatni i primjereni da osiguraju osnovu za naše mišljenje.</w:t>
      </w:r>
    </w:p>
    <w:p w14:paraId="4CFAC125" w14:textId="77777777" w:rsidR="00AE3B0D" w:rsidRPr="00AE3B0D" w:rsidRDefault="00AE3B0D" w:rsidP="00AE3B0D">
      <w:pPr>
        <w:suppressAutoHyphens w:val="0"/>
        <w:autoSpaceDN/>
        <w:jc w:val="both"/>
        <w:rPr>
          <w:rFonts w:ascii="Trebuchet MS" w:hAnsi="Trebuchet MS" w:cs="Arial"/>
          <w:bCs/>
          <w:color w:val="000000"/>
          <w:sz w:val="20"/>
          <w:szCs w:val="20"/>
          <w:lang w:val="hr-HR" w:eastAsia="hr-HR"/>
        </w:rPr>
      </w:pPr>
    </w:p>
    <w:bookmarkEnd w:id="92"/>
    <w:p w14:paraId="4AD08C18" w14:textId="77777777" w:rsidR="00AE3B0D" w:rsidRPr="00AE3B0D" w:rsidRDefault="00AE3B0D" w:rsidP="00AE3B0D">
      <w:pPr>
        <w:suppressAutoHyphens w:val="0"/>
        <w:autoSpaceDN/>
        <w:jc w:val="both"/>
        <w:rPr>
          <w:rFonts w:ascii="Trebuchet MS" w:eastAsia="Batang" w:hAnsi="Trebuchet MS" w:cs="Arial"/>
          <w:bCs/>
          <w:sz w:val="20"/>
          <w:szCs w:val="20"/>
          <w:lang w:val="hr-HR" w:eastAsia="hr-HR"/>
        </w:rPr>
      </w:pPr>
    </w:p>
    <w:p w14:paraId="3D9B64E3" w14:textId="77777777" w:rsidR="00AE3B0D" w:rsidRPr="00AE3B0D" w:rsidRDefault="00AE3B0D" w:rsidP="00AE3B0D">
      <w:pPr>
        <w:suppressAutoHyphens w:val="0"/>
        <w:autoSpaceDN/>
        <w:jc w:val="both"/>
        <w:rPr>
          <w:rFonts w:ascii="Trebuchet MS" w:eastAsia="Batang" w:hAnsi="Trebuchet MS" w:cs="Arial"/>
          <w:bCs/>
          <w:sz w:val="20"/>
          <w:szCs w:val="20"/>
          <w:lang w:val="hr-HR" w:eastAsia="hr-HR"/>
        </w:rPr>
      </w:pPr>
    </w:p>
    <w:p w14:paraId="0D7A2F16" w14:textId="77777777" w:rsidR="00AE3B0D" w:rsidRPr="00AE3B0D" w:rsidRDefault="00AE3B0D" w:rsidP="00AE3B0D">
      <w:pPr>
        <w:suppressAutoHyphens w:val="0"/>
        <w:autoSpaceDN/>
        <w:jc w:val="both"/>
        <w:rPr>
          <w:rFonts w:ascii="Trebuchet MS" w:hAnsi="Trebuchet MS" w:cs="Arial"/>
          <w:b/>
          <w:bCs/>
          <w:sz w:val="20"/>
          <w:szCs w:val="20"/>
          <w:lang w:val="hr-HR" w:eastAsia="hr-HR" w:bidi="he-IL"/>
        </w:rPr>
        <w:sectPr w:rsidR="00AE3B0D" w:rsidRPr="00AE3B0D" w:rsidSect="00CA7A53">
          <w:headerReference w:type="default" r:id="rId51"/>
          <w:footerReference w:type="default" r:id="rId52"/>
          <w:pgSz w:w="11907" w:h="16840" w:code="9"/>
          <w:pgMar w:top="1418" w:right="1418" w:bottom="1418" w:left="1418" w:header="720" w:footer="720" w:gutter="0"/>
          <w:cols w:space="720"/>
        </w:sectPr>
      </w:pPr>
    </w:p>
    <w:p w14:paraId="236D1192" w14:textId="77777777" w:rsidR="00AE3B0D" w:rsidRPr="00AE3B0D" w:rsidRDefault="00AE3B0D" w:rsidP="00AE3B0D">
      <w:pPr>
        <w:suppressAutoHyphens w:val="0"/>
        <w:autoSpaceDN/>
        <w:rPr>
          <w:rFonts w:ascii="Trebuchet MS" w:eastAsia="Calibri" w:hAnsi="Trebuchet MS"/>
          <w:b/>
          <w:bCs/>
          <w:sz w:val="20"/>
          <w:szCs w:val="20"/>
          <w:lang w:val="hr-HR"/>
        </w:rPr>
      </w:pPr>
      <w:bookmarkStart w:id="123" w:name="_Hlk98750130"/>
      <w:r w:rsidRPr="00AE3B0D">
        <w:rPr>
          <w:rFonts w:ascii="Trebuchet MS" w:eastAsia="Calibri" w:hAnsi="Trebuchet MS"/>
          <w:b/>
          <w:bCs/>
          <w:sz w:val="20"/>
          <w:szCs w:val="20"/>
          <w:lang w:val="hr-HR"/>
        </w:rPr>
        <w:lastRenderedPageBreak/>
        <w:t>ZAJEDNIČKO IZVJEŠĆE NEOVISNOG REVIZORA VLASNIKU HRVATSKE BANKE ZA OBNOVU I RAZVITAK (NASTAVAK)</w:t>
      </w:r>
    </w:p>
    <w:p w14:paraId="2A47D8D2" w14:textId="77777777" w:rsidR="00AE3B0D" w:rsidRPr="00AE3B0D" w:rsidRDefault="00AE3B0D" w:rsidP="00AE3B0D">
      <w:pPr>
        <w:suppressAutoHyphens w:val="0"/>
        <w:autoSpaceDN/>
        <w:spacing w:before="240" w:after="200"/>
        <w:jc w:val="both"/>
        <w:rPr>
          <w:rFonts w:ascii="Trebuchet MS" w:hAnsi="Trebuchet MS" w:cs="Arial"/>
          <w:b/>
          <w:kern w:val="8"/>
          <w:sz w:val="20"/>
          <w:szCs w:val="20"/>
          <w:lang w:val="hr-HR" w:eastAsia="af-ZA"/>
        </w:rPr>
      </w:pPr>
      <w:r w:rsidRPr="00AE3B0D">
        <w:rPr>
          <w:rFonts w:ascii="Trebuchet MS" w:hAnsi="Trebuchet MS" w:cs="Arial"/>
          <w:b/>
          <w:kern w:val="8"/>
          <w:sz w:val="20"/>
          <w:szCs w:val="20"/>
          <w:lang w:val="hr-HR" w:eastAsia="af-ZA"/>
        </w:rPr>
        <w:t>Izvješće o reviziji godišnjih odvojenih i konsolidiranih financijskih izvještaja (nastavak)</w:t>
      </w:r>
    </w:p>
    <w:bookmarkEnd w:id="123"/>
    <w:p w14:paraId="2155AE68" w14:textId="77777777" w:rsidR="00AE3B0D" w:rsidRPr="00AE3B0D" w:rsidRDefault="00AE3B0D" w:rsidP="00AE3B0D">
      <w:pPr>
        <w:suppressAutoHyphens w:val="0"/>
        <w:autoSpaceDN/>
        <w:spacing w:after="200"/>
        <w:jc w:val="both"/>
        <w:rPr>
          <w:rFonts w:ascii="Trebuchet MS" w:hAnsi="Trebuchet MS" w:cs="Arial"/>
          <w:b/>
          <w:bCs/>
          <w:sz w:val="20"/>
          <w:szCs w:val="20"/>
          <w:lang w:val="hr-HR" w:eastAsia="hr-HR" w:bidi="he-IL"/>
        </w:rPr>
      </w:pPr>
      <w:r w:rsidRPr="00AE3B0D">
        <w:rPr>
          <w:rFonts w:ascii="Trebuchet MS" w:hAnsi="Trebuchet MS" w:cs="Arial"/>
          <w:b/>
          <w:color w:val="000000"/>
          <w:sz w:val="20"/>
          <w:szCs w:val="20"/>
          <w:lang w:val="hr-HR" w:eastAsia="hr-HR"/>
        </w:rPr>
        <w:t xml:space="preserve">Ključna revizijska pitanja </w:t>
      </w:r>
    </w:p>
    <w:p w14:paraId="6F109582" w14:textId="528313CD" w:rsidR="00AE3B0D" w:rsidRPr="00AE3B0D" w:rsidRDefault="00AE3B0D" w:rsidP="00AE3B0D">
      <w:pPr>
        <w:suppressAutoHyphens w:val="0"/>
        <w:autoSpaceDN/>
        <w:spacing w:after="200"/>
        <w:jc w:val="both"/>
        <w:rPr>
          <w:rFonts w:ascii="Trebuchet MS" w:eastAsia="Batang" w:hAnsi="Trebuchet MS" w:cs="Arial"/>
          <w:bCs/>
          <w:sz w:val="20"/>
          <w:szCs w:val="20"/>
          <w:lang w:val="hr-HR" w:eastAsia="hr-HR"/>
        </w:rPr>
      </w:pPr>
      <w:r w:rsidRPr="00AE3B0D">
        <w:rPr>
          <w:rFonts w:ascii="Trebuchet MS" w:eastAsia="Batang" w:hAnsi="Trebuchet MS" w:cs="Arial"/>
          <w:bCs/>
          <w:sz w:val="20"/>
          <w:szCs w:val="20"/>
          <w:lang w:val="hr-HR" w:eastAsia="hr-HR"/>
        </w:rPr>
        <w:t>Ključna revizijska pitanja su ona pitanja koja su, po našoj profesionalnoj prosudbi, bila od najveće važnosti za našu reviziju godišnjih</w:t>
      </w:r>
      <w:r w:rsidR="00311E9C">
        <w:rPr>
          <w:rFonts w:ascii="Trebuchet MS" w:eastAsia="Batang" w:hAnsi="Trebuchet MS" w:cs="Arial"/>
          <w:bCs/>
          <w:sz w:val="20"/>
          <w:szCs w:val="20"/>
          <w:lang w:val="hr-HR" w:eastAsia="hr-HR"/>
        </w:rPr>
        <w:t xml:space="preserve"> odvojenih i konsolidiranih</w:t>
      </w:r>
      <w:r w:rsidRPr="00AE3B0D">
        <w:rPr>
          <w:rFonts w:ascii="Trebuchet MS" w:eastAsia="Batang" w:hAnsi="Trebuchet MS" w:cs="Arial"/>
          <w:bCs/>
          <w:sz w:val="20"/>
          <w:szCs w:val="20"/>
          <w:lang w:val="hr-HR" w:eastAsia="hr-HR"/>
        </w:rPr>
        <w:t xml:space="preserve"> financijskih izvještaja tekućeg razdoblja. Ta smo pitanja razmatrali u kontekstu naše revizije godišnjih </w:t>
      </w:r>
      <w:r w:rsidR="00311E9C" w:rsidRPr="00311E9C">
        <w:rPr>
          <w:rFonts w:ascii="Trebuchet MS" w:eastAsia="Batang" w:hAnsi="Trebuchet MS" w:cs="Arial"/>
          <w:bCs/>
          <w:sz w:val="20"/>
          <w:szCs w:val="20"/>
          <w:lang w:val="hr-HR" w:eastAsia="hr-HR"/>
        </w:rPr>
        <w:t xml:space="preserve">odvojenih i konsolidiranih </w:t>
      </w:r>
      <w:r w:rsidRPr="00AE3B0D">
        <w:rPr>
          <w:rFonts w:ascii="Trebuchet MS" w:eastAsia="Batang" w:hAnsi="Trebuchet MS" w:cs="Arial"/>
          <w:bCs/>
          <w:sz w:val="20"/>
          <w:szCs w:val="20"/>
          <w:lang w:val="hr-HR" w:eastAsia="hr-HR"/>
        </w:rPr>
        <w:t>financijskih izvještaja kao cjeline i pri formiranju našeg mišljenja o njima te ne dajemo zasebno mišljenje o tim pitanjima.</w:t>
      </w:r>
    </w:p>
    <w:tbl>
      <w:tblPr>
        <w:tblStyle w:val="TableGrid18"/>
        <w:tblW w:w="5000" w:type="pct"/>
        <w:tblInd w:w="0" w:type="dxa"/>
        <w:tblLook w:val="04A0" w:firstRow="1" w:lastRow="0" w:firstColumn="1" w:lastColumn="0" w:noHBand="0" w:noVBand="1"/>
      </w:tblPr>
      <w:tblGrid>
        <w:gridCol w:w="4530"/>
        <w:gridCol w:w="4531"/>
      </w:tblGrid>
      <w:tr w:rsidR="00AE3B0D" w:rsidRPr="00AE3B0D" w14:paraId="63AB0B4B" w14:textId="77777777" w:rsidTr="008A0F3C">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A44923D" w14:textId="77777777" w:rsidR="00AE3B0D" w:rsidRPr="00AE3B0D" w:rsidRDefault="00AE3B0D" w:rsidP="00AE3B0D">
            <w:pPr>
              <w:suppressAutoHyphens w:val="0"/>
              <w:ind w:left="164"/>
              <w:rPr>
                <w:rFonts w:ascii="Trebuchet MS" w:hAnsi="Trebuchet MS"/>
                <w:b/>
                <w:sz w:val="18"/>
                <w:szCs w:val="18"/>
                <w:lang w:val="hr-HR" w:eastAsia="hr-HR"/>
              </w:rPr>
            </w:pPr>
            <w:bookmarkStart w:id="124" w:name="_Hlk32786504"/>
            <w:r w:rsidRPr="00AE3B0D">
              <w:rPr>
                <w:rFonts w:ascii="Trebuchet MS" w:hAnsi="Trebuchet MS"/>
                <w:b/>
                <w:sz w:val="18"/>
                <w:szCs w:val="18"/>
                <w:lang w:val="hr-HR" w:eastAsia="hr-HR"/>
              </w:rPr>
              <w:t>Umanjenje vrijednosti kredita ostalim korisnicima</w:t>
            </w:r>
          </w:p>
        </w:tc>
        <w:bookmarkEnd w:id="124"/>
      </w:tr>
      <w:tr w:rsidR="00AE3B0D" w:rsidRPr="00AE3B0D" w14:paraId="0FE22C86" w14:textId="77777777" w:rsidTr="008A0F3C">
        <w:tc>
          <w:tcPr>
            <w:tcW w:w="5000" w:type="pct"/>
            <w:gridSpan w:val="2"/>
            <w:tcBorders>
              <w:top w:val="single" w:sz="4" w:space="0" w:color="auto"/>
              <w:left w:val="single" w:sz="4" w:space="0" w:color="auto"/>
              <w:bottom w:val="single" w:sz="4" w:space="0" w:color="auto"/>
              <w:right w:val="single" w:sz="4" w:space="0" w:color="auto"/>
            </w:tcBorders>
            <w:hideMark/>
          </w:tcPr>
          <w:p w14:paraId="33DD33FC" w14:textId="77777777" w:rsidR="00AE3B0D" w:rsidRPr="00AE3B0D" w:rsidRDefault="00AE3B0D" w:rsidP="00AE3B0D">
            <w:pPr>
              <w:suppressAutoHyphens w:val="0"/>
              <w:autoSpaceDE w:val="0"/>
              <w:adjustRightInd w:val="0"/>
              <w:spacing w:before="120" w:after="120"/>
              <w:ind w:left="113"/>
              <w:rPr>
                <w:rFonts w:ascii="Trebuchet MS" w:hAnsi="Trebuchet MS"/>
                <w:bCs/>
                <w:sz w:val="18"/>
                <w:szCs w:val="18"/>
                <w:lang w:val="hr-HR" w:eastAsia="hr-HR"/>
              </w:rPr>
            </w:pPr>
            <w:r w:rsidRPr="00AE3B0D">
              <w:rPr>
                <w:rFonts w:ascii="Trebuchet MS" w:hAnsi="Trebuchet MS"/>
                <w:bCs/>
                <w:sz w:val="18"/>
                <w:szCs w:val="18"/>
                <w:lang w:val="hr-HR" w:eastAsia="hr-HR"/>
              </w:rPr>
              <w:t>Na dan 31. prosinca 2022., u financijskim izvještajima Banke i Grupe, bruto krediti ostalim korisnicima iznose 20.858 milijuna kuna, povezano umanjenje vrijednosti u iznosu 3.455 milijuna kuna i gubitak od umanjenja vrijednosti priznat u računu dobiti i gubitka za godinu koja je tada završila: 130 milijuna kuna (31. prosinca 2021. bruto krediti ostalim korisnicima: 19.220 milijuna kuna, umanjenje vrijednosti: 3.256 milijuna kuna, gubitak od umanjenja vrijednosti priznat u računu dobiti i gubitka za godinu koja je tada završila: 78 milijuna kuna).</w:t>
            </w:r>
          </w:p>
          <w:p w14:paraId="48200810" w14:textId="77777777" w:rsidR="00AE3B0D" w:rsidRPr="00AE3B0D" w:rsidRDefault="00AE3B0D" w:rsidP="00AE3B0D">
            <w:pPr>
              <w:suppressAutoHyphens w:val="0"/>
              <w:autoSpaceDE w:val="0"/>
              <w:adjustRightInd w:val="0"/>
              <w:spacing w:before="120" w:after="120"/>
              <w:ind w:left="113"/>
              <w:rPr>
                <w:rFonts w:ascii="Trebuchet MS" w:hAnsi="Trebuchet MS"/>
                <w:bCs/>
                <w:sz w:val="18"/>
                <w:szCs w:val="18"/>
                <w:lang w:val="hr-HR" w:eastAsia="hr-HR"/>
              </w:rPr>
            </w:pPr>
            <w:r w:rsidRPr="00AE3B0D">
              <w:rPr>
                <w:rFonts w:ascii="Trebuchet MS" w:hAnsi="Trebuchet MS"/>
                <w:bCs/>
                <w:sz w:val="18"/>
                <w:szCs w:val="18"/>
                <w:lang w:val="hr-HR" w:eastAsia="hr-HR"/>
              </w:rPr>
              <w:t>Vidi bilješku 1.3. Utjecaj krize uzrokovane rusko-ukrajinskim ratom, 4. Sažetak značajnih računovodstvenih politika, bilješku 10. Gubitak od umanjenja vrijednosti i rezerviranja, bilješku 15. Krediti ostalim korisnicima i Kreditni rizik u okviru bilješke 32. Upravljanje rizicima.</w:t>
            </w:r>
          </w:p>
        </w:tc>
      </w:tr>
      <w:tr w:rsidR="00AE3B0D" w:rsidRPr="00AE3B0D" w14:paraId="2D97D731" w14:textId="77777777" w:rsidTr="008A0F3C">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D2DAEE" w14:textId="77777777" w:rsidR="00AE3B0D" w:rsidRPr="00AE3B0D" w:rsidRDefault="00AE3B0D" w:rsidP="00AE3B0D">
            <w:pPr>
              <w:suppressAutoHyphens w:val="0"/>
              <w:ind w:left="164"/>
              <w:rPr>
                <w:rFonts w:ascii="Trebuchet MS" w:hAnsi="Trebuchet MS"/>
                <w:b/>
                <w:bCs/>
                <w:sz w:val="18"/>
                <w:szCs w:val="18"/>
                <w:lang w:val="hr-HR" w:eastAsia="hr-HR"/>
              </w:rPr>
            </w:pPr>
            <w:bookmarkStart w:id="125" w:name="_Hlk32787590"/>
            <w:r w:rsidRPr="00AE3B0D">
              <w:rPr>
                <w:rFonts w:ascii="Trebuchet MS" w:hAnsi="Trebuchet MS"/>
                <w:b/>
                <w:bCs/>
                <w:sz w:val="18"/>
                <w:szCs w:val="18"/>
                <w:lang w:val="hr-HR" w:eastAsia="hr-HR"/>
              </w:rPr>
              <w:t>Ključno revizijsko pitanje</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25DCE4" w14:textId="77777777" w:rsidR="00AE3B0D" w:rsidRPr="00AE3B0D" w:rsidRDefault="00AE3B0D" w:rsidP="00AE3B0D">
            <w:pPr>
              <w:suppressAutoHyphens w:val="0"/>
              <w:ind w:left="113"/>
              <w:rPr>
                <w:rFonts w:ascii="Trebuchet MS" w:hAnsi="Trebuchet MS"/>
                <w:b/>
                <w:bCs/>
                <w:sz w:val="18"/>
                <w:szCs w:val="18"/>
                <w:lang w:val="hr-HR" w:eastAsia="hr-HR"/>
              </w:rPr>
            </w:pPr>
            <w:r w:rsidRPr="00AE3B0D">
              <w:rPr>
                <w:rFonts w:ascii="Trebuchet MS" w:hAnsi="Trebuchet MS"/>
                <w:b/>
                <w:bCs/>
                <w:sz w:val="18"/>
                <w:szCs w:val="18"/>
                <w:lang w:val="hr-HR" w:eastAsia="hr-HR"/>
              </w:rPr>
              <w:t>Kako smo adresirali ključno revizijsko pitanje</w:t>
            </w:r>
          </w:p>
        </w:tc>
        <w:bookmarkEnd w:id="125"/>
      </w:tr>
      <w:tr w:rsidR="00AE3B0D" w:rsidRPr="00AE3B0D" w14:paraId="560D44A6" w14:textId="77777777" w:rsidTr="008A0F3C">
        <w:tc>
          <w:tcPr>
            <w:tcW w:w="2500" w:type="pct"/>
            <w:tcBorders>
              <w:top w:val="single" w:sz="4" w:space="0" w:color="auto"/>
              <w:left w:val="single" w:sz="4" w:space="0" w:color="auto"/>
              <w:bottom w:val="single" w:sz="4" w:space="0" w:color="auto"/>
              <w:right w:val="single" w:sz="4" w:space="0" w:color="auto"/>
            </w:tcBorders>
          </w:tcPr>
          <w:p w14:paraId="35274DC4" w14:textId="77777777" w:rsidR="00AE3B0D" w:rsidRPr="00AE3B0D" w:rsidRDefault="00AE3B0D" w:rsidP="00AE3B0D">
            <w:pPr>
              <w:suppressAutoHyphens w:val="0"/>
              <w:autoSpaceDE w:val="0"/>
              <w:adjustRightInd w:val="0"/>
              <w:spacing w:before="120"/>
              <w:ind w:left="23"/>
              <w:rPr>
                <w:rFonts w:ascii="Trebuchet MS" w:hAnsi="Trebuchet MS"/>
                <w:bCs/>
                <w:sz w:val="18"/>
                <w:szCs w:val="18"/>
                <w:lang w:val="hr-HR" w:eastAsia="hr-HR" w:bidi="he-IL"/>
              </w:rPr>
            </w:pPr>
            <w:r w:rsidRPr="00AE3B0D">
              <w:rPr>
                <w:rFonts w:ascii="Trebuchet MS" w:hAnsi="Trebuchet MS"/>
                <w:bCs/>
                <w:sz w:val="18"/>
                <w:szCs w:val="18"/>
                <w:lang w:val="hr-HR" w:eastAsia="hr-HR" w:bidi="he-IL"/>
              </w:rPr>
              <w:t xml:space="preserve">Umanjenje vrijednosti predstavlja najbolju procjenu rukovodstva o očekivanim kreditnim gubicima (eng. „ECL“) unutar kredita ostalim korisnicima na izvještajni datum. Usredotočili smo se na navedeno područje s obzirom da određivanje iznosa rezervacija za umanjenje vrijednosti zahtijeva značajnu procjenu od strane rukovodstva koja se odnosi na određivanje iznosa umanjenja vrijednosti. </w:t>
            </w:r>
          </w:p>
          <w:p w14:paraId="3FDF1F4F" w14:textId="77777777" w:rsidR="00AE3B0D" w:rsidRPr="00AE3B0D" w:rsidRDefault="00AE3B0D" w:rsidP="00AE3B0D">
            <w:pPr>
              <w:suppressAutoHyphens w:val="0"/>
              <w:autoSpaceDE w:val="0"/>
              <w:adjustRightInd w:val="0"/>
              <w:spacing w:before="120"/>
              <w:ind w:left="23"/>
              <w:rPr>
                <w:rFonts w:ascii="Trebuchet MS" w:hAnsi="Trebuchet MS"/>
                <w:bCs/>
                <w:sz w:val="18"/>
                <w:szCs w:val="18"/>
                <w:lang w:val="hr-HR" w:eastAsia="hr-HR" w:bidi="he-IL"/>
              </w:rPr>
            </w:pPr>
            <w:r w:rsidRPr="00AE3B0D">
              <w:rPr>
                <w:rFonts w:ascii="Trebuchet MS" w:hAnsi="Trebuchet MS"/>
                <w:bCs/>
                <w:sz w:val="18"/>
                <w:szCs w:val="18"/>
                <w:lang w:val="hr-HR" w:eastAsia="hr-HR" w:bidi="he-IL"/>
              </w:rPr>
              <w:t>Rezervacije za umanjenje vrijednosti za prihodujuće izloženosti (Stage 1 i Stage 2) i neprihodujuće izloženosti (Stage 3) čija je izloženost pojedinačno manja od 3 milijuna kuna (u nastavku „skupno umanjenje vrijednosti“) određuju se temeljem modela.  Modeli za određivanje skupnog umanjenja vrijednosti oslanjaju se na brojne parametre kao što su vjerojatnost nastanka gubitka (PD), izloženost u trenutku priznavanja gubitka (EAD) i gubitak zbog nastanka statusa neispunjenja obveza (LGD), koji uzimaju u obzir povijesno iskustvo, prepoznavanje izloženosti kod kojih je došlo do značajnog pogoršanja kreditnog rizika, informacije o predviđanjima budućih kretanja te procjene rukovodstva.</w:t>
            </w:r>
          </w:p>
          <w:p w14:paraId="6DC101FF" w14:textId="77777777" w:rsidR="00AE3B0D" w:rsidRPr="00AE3B0D" w:rsidRDefault="00AE3B0D" w:rsidP="00AE3B0D">
            <w:pPr>
              <w:suppressAutoHyphens w:val="0"/>
              <w:autoSpaceDE w:val="0"/>
              <w:adjustRightInd w:val="0"/>
              <w:spacing w:before="120"/>
              <w:ind w:left="23"/>
              <w:rPr>
                <w:sz w:val="22"/>
                <w:szCs w:val="22"/>
                <w:lang w:val="hr-HR" w:bidi="he-IL"/>
              </w:rPr>
            </w:pPr>
            <w:r w:rsidRPr="00AE3B0D">
              <w:rPr>
                <w:rFonts w:ascii="Trebuchet MS" w:hAnsi="Trebuchet MS"/>
                <w:bCs/>
                <w:sz w:val="18"/>
                <w:szCs w:val="18"/>
                <w:lang w:val="hr-HR" w:eastAsia="hr-HR" w:bidi="he-IL"/>
              </w:rPr>
              <w:t>Za neprihodujuće izloženosti koje su pojedinačno veće od 3 milijuna kuna, procjena umanjenja vrijednosti temelji se na poznavanju svakog dužnika te često na procjeni fer vrijednosti pripadajućeg kolaterala. Pripadajuća rezervacija za umanjenje vrijednosti određuje se na pojedinačnoj osnovi temeljem sadašnje vrijednosti diskontiranih budućih novčanih tokova.</w:t>
            </w:r>
          </w:p>
        </w:tc>
        <w:tc>
          <w:tcPr>
            <w:tcW w:w="2500" w:type="pct"/>
            <w:tcBorders>
              <w:top w:val="single" w:sz="4" w:space="0" w:color="auto"/>
              <w:left w:val="single" w:sz="4" w:space="0" w:color="auto"/>
              <w:bottom w:val="single" w:sz="4" w:space="0" w:color="auto"/>
              <w:right w:val="single" w:sz="4" w:space="0" w:color="auto"/>
            </w:tcBorders>
          </w:tcPr>
          <w:p w14:paraId="20768DD9" w14:textId="77777777" w:rsidR="00AE3B0D" w:rsidRPr="00AE3B0D" w:rsidRDefault="00AE3B0D" w:rsidP="00AE3B0D">
            <w:pPr>
              <w:suppressAutoHyphens w:val="0"/>
              <w:spacing w:before="120"/>
              <w:ind w:left="28"/>
              <w:rPr>
                <w:rFonts w:ascii="Trebuchet MS" w:hAnsi="Trebuchet MS"/>
                <w:sz w:val="18"/>
                <w:szCs w:val="18"/>
                <w:lang w:val="hr-HR" w:eastAsia="hr-HR"/>
              </w:rPr>
            </w:pPr>
            <w:r w:rsidRPr="00AE3B0D">
              <w:rPr>
                <w:rFonts w:ascii="Trebuchet MS" w:hAnsi="Trebuchet MS"/>
                <w:sz w:val="18"/>
                <w:szCs w:val="18"/>
                <w:lang w:val="hr-HR" w:eastAsia="hr-HR"/>
              </w:rPr>
              <w:t>Naše revizorske procedure vezane za ovo područje, koje smo obavili uz pomoć stručnjaka za financijske instrumente i za informacijsku tehnologiju (IT) između ostalog, uključivale su:</w:t>
            </w:r>
          </w:p>
          <w:p w14:paraId="7F2C7B32" w14:textId="77777777" w:rsidR="00AE3B0D" w:rsidRPr="00AE3B0D" w:rsidRDefault="00AE3B0D" w:rsidP="00AE3B0D">
            <w:pPr>
              <w:numPr>
                <w:ilvl w:val="0"/>
                <w:numId w:val="28"/>
              </w:numPr>
              <w:suppressAutoHyphens w:val="0"/>
              <w:spacing w:before="120"/>
              <w:contextualSpacing/>
              <w:rPr>
                <w:rFonts w:ascii="Trebuchet MS" w:hAnsi="Trebuchet MS"/>
                <w:sz w:val="18"/>
                <w:szCs w:val="18"/>
                <w:lang w:val="hr-HR" w:eastAsia="hr-HR"/>
              </w:rPr>
            </w:pPr>
            <w:r w:rsidRPr="00AE3B0D">
              <w:rPr>
                <w:rFonts w:ascii="Trebuchet MS" w:hAnsi="Trebuchet MS"/>
                <w:sz w:val="18"/>
                <w:szCs w:val="18"/>
                <w:lang w:val="hr-HR" w:eastAsia="hr-HR"/>
              </w:rPr>
              <w:t>Pregled metodologije umanjenja vrijednosti za Banku i Grupu te procjenu njezine usklađenosti sa relevantnim zahtjevima standarda financijskog izvještavanja;</w:t>
            </w:r>
          </w:p>
          <w:p w14:paraId="687F244C" w14:textId="77777777" w:rsidR="00AE3B0D" w:rsidRPr="00AE3B0D" w:rsidRDefault="00AE3B0D" w:rsidP="00AE3B0D">
            <w:pPr>
              <w:numPr>
                <w:ilvl w:val="0"/>
                <w:numId w:val="28"/>
              </w:numPr>
              <w:suppressAutoHyphens w:val="0"/>
              <w:spacing w:before="120"/>
              <w:contextualSpacing/>
              <w:rPr>
                <w:rFonts w:ascii="Trebuchet MS" w:hAnsi="Trebuchet MS"/>
                <w:sz w:val="18"/>
                <w:szCs w:val="18"/>
                <w:lang w:val="hr-HR" w:eastAsia="hr-HR"/>
              </w:rPr>
            </w:pPr>
            <w:r w:rsidRPr="00AE3B0D">
              <w:rPr>
                <w:rFonts w:ascii="Trebuchet MS" w:hAnsi="Trebuchet MS"/>
                <w:sz w:val="18"/>
                <w:szCs w:val="18"/>
                <w:lang w:val="hr-HR" w:eastAsia="hr-HR"/>
              </w:rPr>
              <w:t>Razgovor sa zaposlenicima iz odjela upravljanja rizicima i IT odjela, kako bismo ažurirali razumijevanje procesa umanjenja vrijednosti, korištenih IT aplikacija, izvora ključnih informacija i pretpostavki o podacima koji su korišteni u modelu izračuna očekivanog kreditnog gubitka. Također, uz pomoć našeg IT stručnjaka, procjenu i testiranje IT kontrolnog okruženja na sigurnost i pristup podacima;</w:t>
            </w:r>
          </w:p>
          <w:p w14:paraId="70A0709E" w14:textId="77777777" w:rsidR="00AE3B0D" w:rsidRPr="00AE3B0D" w:rsidRDefault="00AE3B0D" w:rsidP="00AE3B0D">
            <w:pPr>
              <w:numPr>
                <w:ilvl w:val="0"/>
                <w:numId w:val="28"/>
              </w:numPr>
              <w:suppressAutoHyphens w:val="0"/>
              <w:autoSpaceDE w:val="0"/>
              <w:adjustRightInd w:val="0"/>
              <w:spacing w:before="120" w:after="120"/>
              <w:contextualSpacing/>
              <w:rPr>
                <w:rFonts w:ascii="Trebuchet MS" w:hAnsi="Trebuchet MS"/>
                <w:bCs/>
                <w:iCs/>
                <w:sz w:val="18"/>
                <w:szCs w:val="18"/>
                <w:lang w:val="hr-HR" w:eastAsia="hr-HR"/>
              </w:rPr>
            </w:pPr>
            <w:r w:rsidRPr="00AE3B0D">
              <w:rPr>
                <w:rFonts w:ascii="Trebuchet MS" w:hAnsi="Trebuchet MS"/>
                <w:sz w:val="18"/>
                <w:szCs w:val="18"/>
                <w:lang w:val="hr-HR" w:eastAsia="hr-HR"/>
              </w:rPr>
              <w:t>Procjenu i testiranje dizajna, implementacije i operativne učinkovitosti odabranih kontrola vezanih za odobravanje, evidentiranje i praćenje kredita, uključujući, ali ne ograničavajući se na identifikaciju događaja nastanka gubitka, primjerenost klasifikacije između prihodujućih i neprihodujućih kredita, primjerenost segmentacije u grupe sličnih rizika, izračun dana kašnjenja, procjenu vrijednosti kolaterala te kontrole koje se odnose na izračun rezervacije za umanjenje vrijednosti;</w:t>
            </w:r>
          </w:p>
        </w:tc>
      </w:tr>
    </w:tbl>
    <w:p w14:paraId="560F79D5" w14:textId="77777777" w:rsidR="00AE3B0D" w:rsidRPr="00AE3B0D" w:rsidRDefault="00AE3B0D" w:rsidP="00AE3B0D">
      <w:pPr>
        <w:suppressAutoHyphens w:val="0"/>
        <w:autoSpaceDN/>
        <w:spacing w:before="120"/>
        <w:jc w:val="both"/>
        <w:rPr>
          <w:rFonts w:ascii="Trebuchet MS" w:hAnsi="Trebuchet MS" w:cs="Arial"/>
          <w:b/>
          <w:sz w:val="20"/>
          <w:szCs w:val="20"/>
          <w:lang w:val="hr-HR" w:eastAsia="hr-HR" w:bidi="he-IL"/>
        </w:rPr>
        <w:sectPr w:rsidR="00AE3B0D" w:rsidRPr="00AE3B0D" w:rsidSect="00CA7A53">
          <w:headerReference w:type="default" r:id="rId53"/>
          <w:footerReference w:type="default" r:id="rId54"/>
          <w:pgSz w:w="11907" w:h="16840" w:code="9"/>
          <w:pgMar w:top="1418" w:right="1418" w:bottom="1418" w:left="1418" w:header="720" w:footer="720" w:gutter="0"/>
          <w:cols w:space="720"/>
        </w:sectPr>
      </w:pPr>
    </w:p>
    <w:p w14:paraId="2AC1BEF1" w14:textId="77777777" w:rsidR="00AE3B0D" w:rsidRPr="00AE3B0D" w:rsidRDefault="00AE3B0D" w:rsidP="00AE3B0D">
      <w:pPr>
        <w:suppressAutoHyphens w:val="0"/>
        <w:autoSpaceDN/>
        <w:rPr>
          <w:rFonts w:ascii="Trebuchet MS" w:eastAsia="Calibri" w:hAnsi="Trebuchet MS"/>
          <w:b/>
          <w:bCs/>
          <w:sz w:val="20"/>
          <w:szCs w:val="20"/>
          <w:lang w:val="hr-HR"/>
        </w:rPr>
      </w:pPr>
      <w:bookmarkStart w:id="126" w:name="_Hlk65829246"/>
      <w:r w:rsidRPr="00AE3B0D">
        <w:rPr>
          <w:rFonts w:ascii="Trebuchet MS" w:eastAsia="Calibri" w:hAnsi="Trebuchet MS"/>
          <w:b/>
          <w:bCs/>
          <w:sz w:val="20"/>
          <w:szCs w:val="20"/>
          <w:lang w:val="hr-HR"/>
        </w:rPr>
        <w:lastRenderedPageBreak/>
        <w:t>ZAJEDNIČKO IZVJEŠĆE NEOVISNOG REVIZORA VLASNIKU HRVATSKE BANKE ZA OBNOVU I RAZVITAK (NASTAVAK)</w:t>
      </w:r>
    </w:p>
    <w:p w14:paraId="65C6DFDE" w14:textId="77777777" w:rsidR="00AE3B0D" w:rsidRPr="00AE3B0D" w:rsidRDefault="00AE3B0D" w:rsidP="00AE3B0D">
      <w:pPr>
        <w:suppressAutoHyphens w:val="0"/>
        <w:autoSpaceDN/>
        <w:spacing w:before="240" w:after="200"/>
        <w:jc w:val="both"/>
        <w:rPr>
          <w:rFonts w:ascii="Trebuchet MS" w:hAnsi="Trebuchet MS" w:cs="Arial"/>
          <w:b/>
          <w:kern w:val="8"/>
          <w:sz w:val="20"/>
          <w:szCs w:val="20"/>
          <w:lang w:val="hr-HR" w:eastAsia="af-ZA"/>
        </w:rPr>
      </w:pPr>
      <w:r w:rsidRPr="00AE3B0D">
        <w:rPr>
          <w:rFonts w:ascii="Trebuchet MS" w:hAnsi="Trebuchet MS" w:cs="Arial"/>
          <w:b/>
          <w:kern w:val="8"/>
          <w:sz w:val="20"/>
          <w:szCs w:val="20"/>
          <w:lang w:val="hr-HR" w:eastAsia="af-ZA"/>
        </w:rPr>
        <w:t>Izvješće o reviziji godišnjih odvojenih i konsolidiranih financijskih izvještaja (nastavak)</w:t>
      </w:r>
    </w:p>
    <w:p w14:paraId="198729F5" w14:textId="77777777" w:rsidR="00AE3B0D" w:rsidRPr="00AE3B0D" w:rsidRDefault="00AE3B0D" w:rsidP="00AE3B0D">
      <w:pPr>
        <w:suppressAutoHyphens w:val="0"/>
        <w:autoSpaceDN/>
        <w:spacing w:after="200"/>
        <w:jc w:val="both"/>
        <w:rPr>
          <w:rFonts w:ascii="Trebuchet MS" w:hAnsi="Trebuchet MS" w:cs="Arial"/>
          <w:b/>
          <w:color w:val="000000"/>
          <w:sz w:val="20"/>
          <w:szCs w:val="20"/>
          <w:lang w:val="hr-HR" w:eastAsia="hr-HR"/>
        </w:rPr>
      </w:pPr>
      <w:r w:rsidRPr="00AE3B0D">
        <w:rPr>
          <w:rFonts w:ascii="Trebuchet MS" w:hAnsi="Trebuchet MS" w:cs="Arial"/>
          <w:b/>
          <w:color w:val="000000"/>
          <w:sz w:val="20"/>
          <w:szCs w:val="20"/>
          <w:lang w:val="hr-HR" w:eastAsia="hr-HR"/>
        </w:rPr>
        <w:t>Ključna revizijska pitanja (nastavak)</w:t>
      </w:r>
      <w:bookmarkEnd w:id="126"/>
    </w:p>
    <w:tbl>
      <w:tblPr>
        <w:tblStyle w:val="TableGrid19"/>
        <w:tblW w:w="5000" w:type="pct"/>
        <w:tblInd w:w="0" w:type="dxa"/>
        <w:tblLook w:val="04A0" w:firstRow="1" w:lastRow="0" w:firstColumn="1" w:lastColumn="0" w:noHBand="0" w:noVBand="1"/>
      </w:tblPr>
      <w:tblGrid>
        <w:gridCol w:w="4530"/>
        <w:gridCol w:w="4531"/>
      </w:tblGrid>
      <w:tr w:rsidR="00AE3B0D" w:rsidRPr="00AE3B0D" w14:paraId="3EFEDEAA" w14:textId="77777777" w:rsidTr="008A0F3C">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1615B77" w14:textId="77777777" w:rsidR="00AE3B0D" w:rsidRPr="00AE3B0D" w:rsidRDefault="00AE3B0D" w:rsidP="00AE3B0D">
            <w:pPr>
              <w:suppressAutoHyphens w:val="0"/>
              <w:ind w:left="164" w:right="-116"/>
              <w:rPr>
                <w:rFonts w:ascii="Trebuchet MS" w:hAnsi="Trebuchet MS"/>
                <w:sz w:val="18"/>
                <w:szCs w:val="18"/>
                <w:lang w:val="hr-HR" w:eastAsia="hr-HR"/>
              </w:rPr>
            </w:pPr>
            <w:bookmarkStart w:id="127" w:name="_Hlk98753781"/>
            <w:r w:rsidRPr="00AE3B0D">
              <w:rPr>
                <w:rFonts w:ascii="Trebuchet MS" w:hAnsi="Trebuchet MS"/>
                <w:sz w:val="18"/>
                <w:szCs w:val="18"/>
                <w:lang w:val="hr-HR" w:eastAsia="hr-HR"/>
              </w:rPr>
              <w:t>Umanjenje vrijednosti kredita ostalim korisnicima (nastavak)</w:t>
            </w:r>
          </w:p>
        </w:tc>
      </w:tr>
      <w:tr w:rsidR="00AE3B0D" w:rsidRPr="00AE3B0D" w14:paraId="0DB41DF1" w14:textId="77777777" w:rsidTr="008A0F3C">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B0F21A" w14:textId="77777777" w:rsidR="00AE3B0D" w:rsidRPr="00AE3B0D" w:rsidRDefault="00AE3B0D" w:rsidP="00AE3B0D">
            <w:pPr>
              <w:suppressAutoHyphens w:val="0"/>
              <w:ind w:left="164"/>
              <w:rPr>
                <w:rFonts w:ascii="Trebuchet MS" w:hAnsi="Trebuchet MS"/>
                <w:bCs/>
                <w:sz w:val="18"/>
                <w:szCs w:val="18"/>
                <w:lang w:val="hr-HR" w:eastAsia="hr-HR"/>
              </w:rPr>
            </w:pPr>
            <w:r w:rsidRPr="00AE3B0D">
              <w:rPr>
                <w:rFonts w:ascii="Trebuchet MS" w:hAnsi="Trebuchet MS"/>
                <w:bCs/>
                <w:sz w:val="18"/>
                <w:szCs w:val="18"/>
                <w:lang w:val="hr-HR" w:eastAsia="hr-HR"/>
              </w:rPr>
              <w:t>Ključno revizijsko pitanje</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44C12F" w14:textId="77777777" w:rsidR="00AE3B0D" w:rsidRPr="00AE3B0D" w:rsidRDefault="00AE3B0D" w:rsidP="00AE3B0D">
            <w:pPr>
              <w:suppressAutoHyphens w:val="0"/>
              <w:ind w:left="113"/>
              <w:rPr>
                <w:rFonts w:ascii="Trebuchet MS" w:hAnsi="Trebuchet MS"/>
                <w:bCs/>
                <w:sz w:val="18"/>
                <w:szCs w:val="18"/>
                <w:lang w:val="hr-HR" w:eastAsia="hr-HR"/>
              </w:rPr>
            </w:pPr>
            <w:r w:rsidRPr="00AE3B0D">
              <w:rPr>
                <w:rFonts w:ascii="Trebuchet MS" w:hAnsi="Trebuchet MS"/>
                <w:bCs/>
                <w:sz w:val="18"/>
                <w:szCs w:val="18"/>
                <w:lang w:val="hr-HR" w:eastAsia="hr-HR"/>
              </w:rPr>
              <w:t>Kako smo adresirali ključno revizijsko pitanje</w:t>
            </w:r>
          </w:p>
        </w:tc>
      </w:tr>
      <w:tr w:rsidR="00AE3B0D" w:rsidRPr="00AE3B0D" w14:paraId="073D3A1D" w14:textId="77777777" w:rsidTr="008A0F3C">
        <w:tc>
          <w:tcPr>
            <w:tcW w:w="2500" w:type="pct"/>
            <w:tcBorders>
              <w:top w:val="single" w:sz="4" w:space="0" w:color="auto"/>
              <w:left w:val="single" w:sz="4" w:space="0" w:color="auto"/>
              <w:bottom w:val="single" w:sz="4" w:space="0" w:color="auto"/>
              <w:right w:val="single" w:sz="4" w:space="0" w:color="auto"/>
            </w:tcBorders>
            <w:hideMark/>
          </w:tcPr>
          <w:p w14:paraId="51ED4F50" w14:textId="77777777" w:rsidR="00AE3B0D" w:rsidRPr="00AE3B0D" w:rsidRDefault="00AE3B0D" w:rsidP="00AE3B0D">
            <w:pPr>
              <w:suppressAutoHyphens w:val="0"/>
              <w:spacing w:after="120"/>
              <w:rPr>
                <w:rFonts w:ascii="Trebuchet MS" w:hAnsi="Trebuchet MS"/>
                <w:bCs/>
                <w:sz w:val="18"/>
                <w:szCs w:val="18"/>
                <w:lang w:val="hr-HR" w:bidi="he-IL"/>
              </w:rPr>
            </w:pPr>
            <w:r w:rsidRPr="00AE3B0D">
              <w:rPr>
                <w:rFonts w:ascii="Trebuchet MS" w:hAnsi="Trebuchet MS"/>
                <w:bCs/>
                <w:sz w:val="18"/>
                <w:szCs w:val="18"/>
                <w:lang w:val="hr-HR" w:eastAsia="hr-HR" w:bidi="he-IL"/>
              </w:rPr>
              <w:t>Zbog navedenih razloga, smatramo umanjenje vrijednosti kredita ostalim korisnicima značajnim rizikom u našoj reviziji, koji zahtijeva našu povećanu pažnju. Sukladno tome, smatramo da je ovo područje ključno revizijsko pitanje</w:t>
            </w:r>
            <w:r w:rsidRPr="00AE3B0D">
              <w:rPr>
                <w:rFonts w:ascii="Trebuchet MS" w:hAnsi="Trebuchet MS"/>
                <w:bCs/>
                <w:sz w:val="18"/>
                <w:szCs w:val="18"/>
                <w:lang w:val="hr-HR" w:bidi="he-IL"/>
              </w:rPr>
              <w:t>.</w:t>
            </w:r>
          </w:p>
          <w:p w14:paraId="180882B6" w14:textId="77777777" w:rsidR="00AE3B0D" w:rsidRPr="00AE3B0D" w:rsidRDefault="00AE3B0D" w:rsidP="00AE3B0D">
            <w:pPr>
              <w:suppressAutoHyphens w:val="0"/>
              <w:rPr>
                <w:rFonts w:ascii="Trebuchet MS" w:hAnsi="Trebuchet MS"/>
                <w:bCs/>
                <w:sz w:val="18"/>
                <w:szCs w:val="18"/>
                <w:lang w:val="hr-HR" w:bidi="he-IL"/>
              </w:rPr>
            </w:pPr>
          </w:p>
        </w:tc>
        <w:tc>
          <w:tcPr>
            <w:tcW w:w="2500" w:type="pct"/>
            <w:tcBorders>
              <w:top w:val="single" w:sz="4" w:space="0" w:color="auto"/>
              <w:left w:val="single" w:sz="4" w:space="0" w:color="auto"/>
              <w:bottom w:val="single" w:sz="4" w:space="0" w:color="auto"/>
              <w:right w:val="single" w:sz="4" w:space="0" w:color="auto"/>
            </w:tcBorders>
          </w:tcPr>
          <w:p w14:paraId="198B4102" w14:textId="77777777" w:rsidR="00AE3B0D" w:rsidRPr="00AE3B0D" w:rsidRDefault="00AE3B0D" w:rsidP="00AE3B0D">
            <w:pPr>
              <w:numPr>
                <w:ilvl w:val="0"/>
                <w:numId w:val="28"/>
              </w:numPr>
              <w:suppressAutoHyphens w:val="0"/>
              <w:spacing w:before="120"/>
              <w:contextualSpacing/>
              <w:rPr>
                <w:rFonts w:ascii="Trebuchet MS" w:hAnsi="Trebuchet MS"/>
                <w:sz w:val="18"/>
                <w:szCs w:val="18"/>
                <w:lang w:val="hr-HR" w:eastAsia="hr-HR"/>
              </w:rPr>
            </w:pPr>
            <w:r w:rsidRPr="00AE3B0D">
              <w:rPr>
                <w:rFonts w:ascii="Trebuchet MS" w:hAnsi="Trebuchet MS"/>
                <w:sz w:val="18"/>
                <w:szCs w:val="18"/>
                <w:lang w:val="hr-HR" w:eastAsia="hr-HR"/>
              </w:rPr>
              <w:t>Odabir uzorka pojedinačnih izloženosti, s fokusom na izloženosti s potencijalno najvećim utjecajem na financijske izvještaje zbog njihove veličine i rizičnih obilježja te manje izloženosti koje smo na temelju naše neovisne procjene ocijenili kao visoko rizične, kao što su „watchlist“ izloženosti, restrukturirane ili reprogramirane izloženosti, krediti klijentima koji posluju u industrijama višeg rizika, neprihodujuće izloženosti s niskom pokrivenosti rezervacijama te izloženosti sa značajnom promjenom pokrivenosti rezervacijama;</w:t>
            </w:r>
          </w:p>
          <w:p w14:paraId="0E49A8BF" w14:textId="77777777" w:rsidR="00AE3B0D" w:rsidRPr="00AE3B0D" w:rsidRDefault="00AE3B0D" w:rsidP="00AE3B0D">
            <w:pPr>
              <w:numPr>
                <w:ilvl w:val="0"/>
                <w:numId w:val="28"/>
              </w:numPr>
              <w:suppressAutoHyphens w:val="0"/>
              <w:spacing w:before="120"/>
              <w:contextualSpacing/>
              <w:rPr>
                <w:rFonts w:ascii="Trebuchet MS" w:hAnsi="Trebuchet MS"/>
                <w:sz w:val="18"/>
                <w:szCs w:val="18"/>
                <w:lang w:val="hr-HR" w:eastAsia="hr-HR"/>
              </w:rPr>
            </w:pPr>
            <w:r w:rsidRPr="00AE3B0D">
              <w:rPr>
                <w:rFonts w:ascii="Trebuchet MS" w:hAnsi="Trebuchet MS"/>
                <w:sz w:val="18"/>
                <w:szCs w:val="18"/>
                <w:lang w:val="hr-HR" w:eastAsia="hr-HR"/>
              </w:rPr>
              <w:t xml:space="preserve">Za odabrani uzorak provođenje kritičke procjene postojanja naznaka potrebne reklasifikacije u Stage 2 ili Stage 3 na dan 31. prosinca 2022., temeljeno na pregledu pripadajuće dokumentacije (kreditnih spisa) te diskusijama s voditeljima odnosa s klijentima i nositeljima funkcije upravljanja kreditnim rizikom; </w:t>
            </w:r>
          </w:p>
          <w:p w14:paraId="3ADB51A6" w14:textId="77777777" w:rsidR="00AE3B0D" w:rsidRPr="00AE3B0D" w:rsidRDefault="00AE3B0D" w:rsidP="00AE3B0D">
            <w:pPr>
              <w:suppressAutoHyphens w:val="0"/>
              <w:spacing w:before="120"/>
              <w:ind w:left="28"/>
              <w:rPr>
                <w:rFonts w:ascii="Trebuchet MS" w:hAnsi="Trebuchet MS"/>
                <w:sz w:val="18"/>
                <w:szCs w:val="18"/>
                <w:lang w:val="hr-HR" w:eastAsia="hr-HR"/>
              </w:rPr>
            </w:pPr>
            <w:r w:rsidRPr="00AE3B0D">
              <w:rPr>
                <w:rFonts w:ascii="Trebuchet MS" w:hAnsi="Trebuchet MS"/>
                <w:sz w:val="18"/>
                <w:szCs w:val="18"/>
                <w:lang w:val="hr-HR" w:eastAsia="hr-HR"/>
              </w:rPr>
              <w:t>Za umanjenje vrijednosti koje se određuje na pojedinačnoj osnovi:</w:t>
            </w:r>
          </w:p>
          <w:p w14:paraId="0AD811DE" w14:textId="77777777" w:rsidR="00AE3B0D" w:rsidRPr="00AE3B0D" w:rsidRDefault="00AE3B0D" w:rsidP="00AE3B0D">
            <w:pPr>
              <w:numPr>
                <w:ilvl w:val="0"/>
                <w:numId w:val="28"/>
              </w:numPr>
              <w:suppressAutoHyphens w:val="0"/>
              <w:spacing w:before="120"/>
              <w:contextualSpacing/>
              <w:rPr>
                <w:rFonts w:ascii="Trebuchet MS" w:hAnsi="Trebuchet MS"/>
                <w:sz w:val="18"/>
                <w:szCs w:val="18"/>
                <w:lang w:val="hr-HR" w:eastAsia="hr-HR"/>
              </w:rPr>
            </w:pPr>
            <w:r w:rsidRPr="00AE3B0D">
              <w:rPr>
                <w:rFonts w:ascii="Trebuchet MS" w:hAnsi="Trebuchet MS"/>
                <w:sz w:val="18"/>
                <w:szCs w:val="18"/>
                <w:lang w:val="hr-HR" w:eastAsia="hr-HR"/>
              </w:rPr>
              <w:t>Za one izloženosti za koje su identificirane naznake klasifikacije u Stage 3, preispitivanje ključnih pretpostavki rukovodstva vezanih za procjene očekivanih budućih novčanih tokova za potrebe izračuna ispravka vrijednosti, kao što su diskontna stopa, vrijednost kolaterala i razdoblje realizacije. U slučaju značajnih  odstupanja kao rezultat prethodno opisanih procedura tražili smo objašnjenja od rukovodstva.</w:t>
            </w:r>
          </w:p>
          <w:p w14:paraId="1E322CD8" w14:textId="77777777" w:rsidR="00AE3B0D" w:rsidRPr="00AE3B0D" w:rsidRDefault="00AE3B0D" w:rsidP="00AE3B0D">
            <w:pPr>
              <w:suppressAutoHyphens w:val="0"/>
              <w:spacing w:before="120"/>
              <w:ind w:left="28"/>
              <w:rPr>
                <w:rFonts w:ascii="Trebuchet MS" w:hAnsi="Trebuchet MS"/>
                <w:sz w:val="18"/>
                <w:szCs w:val="18"/>
                <w:lang w:val="hr-HR" w:eastAsia="hr-HR"/>
              </w:rPr>
            </w:pPr>
            <w:r w:rsidRPr="00AE3B0D">
              <w:rPr>
                <w:rFonts w:ascii="Trebuchet MS" w:hAnsi="Trebuchet MS"/>
                <w:sz w:val="18"/>
                <w:szCs w:val="18"/>
                <w:lang w:val="hr-HR" w:eastAsia="hr-HR"/>
              </w:rPr>
              <w:t>Za umanjenje vrijednosti koje se određuje na skupnoj osnovi:</w:t>
            </w:r>
          </w:p>
          <w:p w14:paraId="05EF20FB" w14:textId="77777777" w:rsidR="00AE3B0D" w:rsidRPr="00AE3B0D" w:rsidRDefault="00AE3B0D" w:rsidP="00AE3B0D">
            <w:pPr>
              <w:numPr>
                <w:ilvl w:val="0"/>
                <w:numId w:val="28"/>
              </w:numPr>
              <w:suppressAutoHyphens w:val="0"/>
              <w:spacing w:before="120"/>
              <w:contextualSpacing/>
              <w:rPr>
                <w:rFonts w:ascii="Trebuchet MS" w:hAnsi="Trebuchet MS"/>
                <w:sz w:val="18"/>
                <w:szCs w:val="18"/>
                <w:lang w:val="hr-HR" w:eastAsia="hr-HR"/>
              </w:rPr>
            </w:pPr>
            <w:r w:rsidRPr="00AE3B0D">
              <w:rPr>
                <w:rFonts w:ascii="Trebuchet MS" w:hAnsi="Trebuchet MS"/>
                <w:sz w:val="18"/>
                <w:szCs w:val="18"/>
                <w:lang w:val="hr-HR" w:eastAsia="hr-HR"/>
              </w:rPr>
              <w:t xml:space="preserve">Procjena je li definicija nastanka gubitka i kriterija za određivanje stage-a ispravno određena i konzistentno primjenjena. </w:t>
            </w:r>
          </w:p>
          <w:p w14:paraId="6ED9F65A" w14:textId="77777777" w:rsidR="00AE3B0D" w:rsidRDefault="00AE3B0D" w:rsidP="00AE3B0D">
            <w:pPr>
              <w:numPr>
                <w:ilvl w:val="0"/>
                <w:numId w:val="28"/>
              </w:numPr>
              <w:suppressAutoHyphens w:val="0"/>
              <w:spacing w:before="120"/>
              <w:contextualSpacing/>
              <w:rPr>
                <w:rFonts w:ascii="Trebuchet MS" w:hAnsi="Trebuchet MS"/>
                <w:sz w:val="18"/>
                <w:szCs w:val="18"/>
                <w:lang w:val="hr-HR" w:eastAsia="hr-HR"/>
              </w:rPr>
            </w:pPr>
            <w:r w:rsidRPr="00AE3B0D">
              <w:rPr>
                <w:rFonts w:ascii="Trebuchet MS" w:hAnsi="Trebuchet MS"/>
                <w:sz w:val="18"/>
                <w:szCs w:val="18"/>
                <w:lang w:val="hr-HR" w:eastAsia="hr-HR"/>
              </w:rPr>
              <w:t>Traženje relevantnih informacija o predviđanjima budućih kretanja i makroekonomskim projekcijama koji se koriste od strane Banke i Grupe u procjeni ECL. Neovisna procjena tih informacija ispitivanjem javno dostupnih informacija.</w:t>
            </w:r>
          </w:p>
          <w:p w14:paraId="41D0EDBD" w14:textId="445E406A" w:rsidR="00AE3B0D" w:rsidRPr="00AE3B0D" w:rsidRDefault="00AE3B0D" w:rsidP="00AE3B0D">
            <w:pPr>
              <w:suppressAutoHyphens w:val="0"/>
              <w:spacing w:before="120"/>
              <w:ind w:left="388"/>
              <w:contextualSpacing/>
              <w:rPr>
                <w:rFonts w:ascii="Trebuchet MS" w:hAnsi="Trebuchet MS"/>
                <w:sz w:val="18"/>
                <w:szCs w:val="18"/>
                <w:lang w:val="hr-HR" w:eastAsia="hr-HR"/>
              </w:rPr>
            </w:pPr>
          </w:p>
        </w:tc>
      </w:tr>
      <w:bookmarkEnd w:id="127"/>
    </w:tbl>
    <w:p w14:paraId="52EB24D4" w14:textId="77777777" w:rsidR="00AE3B0D" w:rsidRPr="00AE3B0D" w:rsidRDefault="00AE3B0D" w:rsidP="00AE3B0D">
      <w:pPr>
        <w:suppressAutoHyphens w:val="0"/>
        <w:autoSpaceDN/>
        <w:rPr>
          <w:rFonts w:ascii="Trebuchet MS" w:hAnsi="Trebuchet MS" w:cs="Arial"/>
          <w:b/>
          <w:sz w:val="20"/>
          <w:szCs w:val="20"/>
          <w:lang w:val="af-ZA" w:eastAsia="af-ZA"/>
        </w:rPr>
      </w:pPr>
    </w:p>
    <w:p w14:paraId="21F0BEFF" w14:textId="77777777" w:rsidR="00AE3B0D" w:rsidRPr="00AE3B0D" w:rsidRDefault="00AE3B0D" w:rsidP="00AE3B0D">
      <w:pPr>
        <w:suppressAutoHyphens w:val="0"/>
        <w:autoSpaceDN/>
        <w:rPr>
          <w:rFonts w:ascii="Trebuchet MS" w:eastAsia="Calibri" w:hAnsi="Trebuchet MS"/>
          <w:b/>
          <w:bCs/>
          <w:sz w:val="20"/>
          <w:szCs w:val="20"/>
          <w:lang w:val="hr-HR"/>
        </w:rPr>
      </w:pPr>
      <w:r w:rsidRPr="00AE3B0D">
        <w:rPr>
          <w:rFonts w:ascii="Trebuchet MS" w:eastAsia="Calibri" w:hAnsi="Trebuchet MS"/>
          <w:b/>
          <w:bCs/>
          <w:sz w:val="20"/>
          <w:szCs w:val="20"/>
          <w:lang w:val="hr-HR"/>
        </w:rPr>
        <w:br w:type="page"/>
      </w:r>
    </w:p>
    <w:p w14:paraId="2BDBF848" w14:textId="77777777" w:rsidR="00AE3B0D" w:rsidRPr="00AE3B0D" w:rsidRDefault="00AE3B0D" w:rsidP="00AE3B0D">
      <w:pPr>
        <w:suppressAutoHyphens w:val="0"/>
        <w:autoSpaceDN/>
        <w:rPr>
          <w:rFonts w:ascii="Trebuchet MS" w:eastAsia="Calibri" w:hAnsi="Trebuchet MS"/>
          <w:b/>
          <w:bCs/>
          <w:sz w:val="20"/>
          <w:szCs w:val="20"/>
          <w:lang w:val="hr-HR"/>
        </w:rPr>
      </w:pPr>
      <w:r w:rsidRPr="00AE3B0D">
        <w:rPr>
          <w:rFonts w:ascii="Trebuchet MS" w:eastAsia="Calibri" w:hAnsi="Trebuchet MS"/>
          <w:b/>
          <w:bCs/>
          <w:sz w:val="20"/>
          <w:szCs w:val="20"/>
          <w:lang w:val="hr-HR"/>
        </w:rPr>
        <w:lastRenderedPageBreak/>
        <w:t>ZAJEDNIČKO IZVJEŠĆE NEOVISNOG REVIZORA VLASNIKU HRVATSKE BANKE ZA OBNOVU I RAZVITAK (NASTAVAK)</w:t>
      </w:r>
    </w:p>
    <w:p w14:paraId="30D0AC1D" w14:textId="77777777" w:rsidR="00AE3B0D" w:rsidRPr="00AE3B0D" w:rsidRDefault="00AE3B0D" w:rsidP="00AE3B0D">
      <w:pPr>
        <w:suppressAutoHyphens w:val="0"/>
        <w:autoSpaceDN/>
        <w:spacing w:before="240" w:after="200"/>
        <w:jc w:val="both"/>
        <w:rPr>
          <w:rFonts w:ascii="Trebuchet MS" w:hAnsi="Trebuchet MS" w:cs="Arial"/>
          <w:b/>
          <w:kern w:val="8"/>
          <w:sz w:val="20"/>
          <w:szCs w:val="20"/>
          <w:lang w:val="hr-HR" w:eastAsia="af-ZA"/>
        </w:rPr>
      </w:pPr>
      <w:r w:rsidRPr="00AE3B0D">
        <w:rPr>
          <w:rFonts w:ascii="Trebuchet MS" w:hAnsi="Trebuchet MS" w:cs="Arial"/>
          <w:b/>
          <w:kern w:val="8"/>
          <w:sz w:val="20"/>
          <w:szCs w:val="20"/>
          <w:lang w:val="hr-HR" w:eastAsia="af-ZA"/>
        </w:rPr>
        <w:t>Izvješće o reviziji godišnjih odvojenih i konsolidiranih financijskih izvještaja (nastavak)</w:t>
      </w:r>
    </w:p>
    <w:p w14:paraId="506792BA" w14:textId="77777777" w:rsidR="00AE3B0D" w:rsidRPr="00AE3B0D" w:rsidRDefault="00AE3B0D" w:rsidP="00AE3B0D">
      <w:pPr>
        <w:suppressAutoHyphens w:val="0"/>
        <w:autoSpaceDN/>
        <w:spacing w:after="200"/>
        <w:jc w:val="both"/>
        <w:rPr>
          <w:rFonts w:ascii="Trebuchet MS" w:hAnsi="Trebuchet MS" w:cs="Arial"/>
          <w:b/>
          <w:bCs/>
          <w:sz w:val="20"/>
          <w:szCs w:val="20"/>
          <w:lang w:val="hr-HR" w:eastAsia="hr-HR" w:bidi="he-IL"/>
        </w:rPr>
      </w:pPr>
      <w:r w:rsidRPr="00AE3B0D">
        <w:rPr>
          <w:rFonts w:ascii="Trebuchet MS" w:hAnsi="Trebuchet MS" w:cs="Arial"/>
          <w:b/>
          <w:color w:val="000000"/>
          <w:sz w:val="20"/>
          <w:szCs w:val="20"/>
          <w:lang w:val="hr-HR" w:eastAsia="hr-HR"/>
        </w:rPr>
        <w:t>Ključna revizijska pitanja (nastavak)</w:t>
      </w:r>
    </w:p>
    <w:tbl>
      <w:tblPr>
        <w:tblStyle w:val="TableGrid19"/>
        <w:tblW w:w="5000" w:type="pct"/>
        <w:tblInd w:w="0" w:type="dxa"/>
        <w:tblLook w:val="04A0" w:firstRow="1" w:lastRow="0" w:firstColumn="1" w:lastColumn="0" w:noHBand="0" w:noVBand="1"/>
      </w:tblPr>
      <w:tblGrid>
        <w:gridCol w:w="4530"/>
        <w:gridCol w:w="4531"/>
      </w:tblGrid>
      <w:tr w:rsidR="00AE3B0D" w:rsidRPr="00AE3B0D" w14:paraId="091AB499" w14:textId="77777777" w:rsidTr="008A0F3C">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074BA45" w14:textId="77777777" w:rsidR="00AE3B0D" w:rsidRPr="00AE3B0D" w:rsidRDefault="00AE3B0D" w:rsidP="00AE3B0D">
            <w:pPr>
              <w:suppressAutoHyphens w:val="0"/>
              <w:ind w:left="164" w:right="-116"/>
              <w:rPr>
                <w:rFonts w:ascii="Trebuchet MS" w:hAnsi="Trebuchet MS"/>
                <w:sz w:val="18"/>
                <w:szCs w:val="18"/>
                <w:lang w:val="hr-HR" w:eastAsia="hr-HR"/>
              </w:rPr>
            </w:pPr>
            <w:r w:rsidRPr="00AE3B0D">
              <w:rPr>
                <w:rFonts w:ascii="Trebuchet MS" w:hAnsi="Trebuchet MS"/>
                <w:sz w:val="18"/>
                <w:szCs w:val="18"/>
                <w:lang w:val="hr-HR" w:eastAsia="hr-HR"/>
              </w:rPr>
              <w:t>Umanjenje vrijednosti kredita ostalim korisnicima (nastavak)</w:t>
            </w:r>
          </w:p>
        </w:tc>
      </w:tr>
      <w:tr w:rsidR="00AE3B0D" w:rsidRPr="00AE3B0D" w14:paraId="7B407366" w14:textId="77777777" w:rsidTr="008A0F3C">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8F08A7" w14:textId="77777777" w:rsidR="00AE3B0D" w:rsidRPr="00AE3B0D" w:rsidRDefault="00AE3B0D" w:rsidP="00AE3B0D">
            <w:pPr>
              <w:suppressAutoHyphens w:val="0"/>
              <w:ind w:left="164"/>
              <w:rPr>
                <w:rFonts w:ascii="Trebuchet MS" w:hAnsi="Trebuchet MS"/>
                <w:bCs/>
                <w:sz w:val="18"/>
                <w:szCs w:val="18"/>
                <w:lang w:val="hr-HR" w:eastAsia="hr-HR"/>
              </w:rPr>
            </w:pPr>
            <w:r w:rsidRPr="00AE3B0D">
              <w:rPr>
                <w:rFonts w:ascii="Trebuchet MS" w:hAnsi="Trebuchet MS"/>
                <w:bCs/>
                <w:sz w:val="18"/>
                <w:szCs w:val="18"/>
                <w:lang w:val="hr-HR" w:eastAsia="hr-HR"/>
              </w:rPr>
              <w:t>Ključno revizijsko pitanje</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4BDBE9" w14:textId="77777777" w:rsidR="00AE3B0D" w:rsidRPr="00AE3B0D" w:rsidRDefault="00AE3B0D" w:rsidP="00AE3B0D">
            <w:pPr>
              <w:suppressAutoHyphens w:val="0"/>
              <w:ind w:left="113"/>
              <w:rPr>
                <w:rFonts w:ascii="Trebuchet MS" w:hAnsi="Trebuchet MS"/>
                <w:bCs/>
                <w:sz w:val="18"/>
                <w:szCs w:val="18"/>
                <w:lang w:val="hr-HR" w:eastAsia="hr-HR"/>
              </w:rPr>
            </w:pPr>
            <w:r w:rsidRPr="00AE3B0D">
              <w:rPr>
                <w:rFonts w:ascii="Trebuchet MS" w:hAnsi="Trebuchet MS"/>
                <w:bCs/>
                <w:sz w:val="18"/>
                <w:szCs w:val="18"/>
                <w:lang w:val="hr-HR" w:eastAsia="hr-HR"/>
              </w:rPr>
              <w:t>Kako smo adresirali ključno revizijsko pitanje</w:t>
            </w:r>
          </w:p>
        </w:tc>
      </w:tr>
      <w:tr w:rsidR="00AE3B0D" w:rsidRPr="00AE3B0D" w14:paraId="3C06DD9B" w14:textId="77777777" w:rsidTr="008A0F3C">
        <w:tc>
          <w:tcPr>
            <w:tcW w:w="2500" w:type="pct"/>
            <w:tcBorders>
              <w:top w:val="single" w:sz="4" w:space="0" w:color="auto"/>
              <w:left w:val="single" w:sz="4" w:space="0" w:color="auto"/>
              <w:bottom w:val="single" w:sz="4" w:space="0" w:color="auto"/>
              <w:right w:val="single" w:sz="4" w:space="0" w:color="auto"/>
            </w:tcBorders>
            <w:hideMark/>
          </w:tcPr>
          <w:p w14:paraId="729816A0" w14:textId="77777777" w:rsidR="00AE3B0D" w:rsidRPr="00AE3B0D" w:rsidRDefault="00AE3B0D" w:rsidP="00AE3B0D">
            <w:pPr>
              <w:suppressAutoHyphens w:val="0"/>
              <w:spacing w:after="120"/>
              <w:rPr>
                <w:rFonts w:ascii="Trebuchet MS" w:hAnsi="Trebuchet MS"/>
                <w:bCs/>
                <w:sz w:val="18"/>
                <w:szCs w:val="18"/>
                <w:lang w:val="hr-HR" w:bidi="he-IL"/>
              </w:rPr>
            </w:pPr>
          </w:p>
        </w:tc>
        <w:tc>
          <w:tcPr>
            <w:tcW w:w="2500" w:type="pct"/>
            <w:tcBorders>
              <w:top w:val="single" w:sz="4" w:space="0" w:color="auto"/>
              <w:left w:val="single" w:sz="4" w:space="0" w:color="auto"/>
              <w:bottom w:val="single" w:sz="4" w:space="0" w:color="auto"/>
              <w:right w:val="single" w:sz="4" w:space="0" w:color="auto"/>
            </w:tcBorders>
          </w:tcPr>
          <w:p w14:paraId="4FA8DAA8" w14:textId="77777777" w:rsidR="00AE3B0D" w:rsidRPr="00AE3B0D" w:rsidRDefault="00AE3B0D" w:rsidP="00AE3B0D">
            <w:pPr>
              <w:numPr>
                <w:ilvl w:val="0"/>
                <w:numId w:val="28"/>
              </w:numPr>
              <w:suppressAutoHyphens w:val="0"/>
              <w:spacing w:before="120"/>
              <w:contextualSpacing/>
              <w:rPr>
                <w:rFonts w:ascii="Trebuchet MS" w:hAnsi="Trebuchet MS"/>
                <w:sz w:val="18"/>
                <w:szCs w:val="18"/>
                <w:lang w:val="hr-HR" w:eastAsia="hr-HR"/>
              </w:rPr>
            </w:pPr>
            <w:r w:rsidRPr="00AE3B0D">
              <w:rPr>
                <w:rFonts w:ascii="Trebuchet MS" w:hAnsi="Trebuchet MS"/>
                <w:sz w:val="18"/>
                <w:szCs w:val="18"/>
                <w:lang w:val="hr-HR" w:eastAsia="hr-HR"/>
              </w:rPr>
              <w:t>Na uzorku izloženosti, preispitivanje ključnih parametara modela:</w:t>
            </w:r>
          </w:p>
          <w:p w14:paraId="1BD9337A" w14:textId="77777777" w:rsidR="00AE3B0D" w:rsidRPr="00AE3B0D" w:rsidRDefault="00AE3B0D" w:rsidP="00AE3B0D">
            <w:pPr>
              <w:numPr>
                <w:ilvl w:val="1"/>
                <w:numId w:val="29"/>
              </w:numPr>
              <w:suppressAutoHyphens w:val="0"/>
              <w:spacing w:before="120"/>
              <w:contextualSpacing/>
              <w:rPr>
                <w:rFonts w:ascii="Trebuchet MS" w:hAnsi="Trebuchet MS"/>
                <w:sz w:val="18"/>
                <w:szCs w:val="18"/>
                <w:lang w:val="hr-HR" w:eastAsia="hr-HR"/>
              </w:rPr>
            </w:pPr>
            <w:r w:rsidRPr="00AE3B0D">
              <w:rPr>
                <w:rFonts w:ascii="Trebuchet MS" w:hAnsi="Trebuchet MS"/>
                <w:sz w:val="18"/>
                <w:szCs w:val="18"/>
                <w:lang w:val="hr-HR" w:eastAsia="hr-HR"/>
              </w:rPr>
              <w:t>EAD - potvrđivanjem podataka o izloženostima sa podacima iz ugovora za odabrani uzorak;</w:t>
            </w:r>
          </w:p>
          <w:p w14:paraId="76989DFE" w14:textId="77777777" w:rsidR="00AE3B0D" w:rsidRPr="00AE3B0D" w:rsidRDefault="00AE3B0D" w:rsidP="00AE3B0D">
            <w:pPr>
              <w:numPr>
                <w:ilvl w:val="1"/>
                <w:numId w:val="29"/>
              </w:numPr>
              <w:suppressAutoHyphens w:val="0"/>
              <w:spacing w:before="120"/>
              <w:contextualSpacing/>
              <w:rPr>
                <w:rFonts w:ascii="Trebuchet MS" w:hAnsi="Trebuchet MS"/>
                <w:sz w:val="18"/>
                <w:szCs w:val="18"/>
                <w:lang w:val="hr-HR" w:eastAsia="hr-HR"/>
              </w:rPr>
            </w:pPr>
            <w:r w:rsidRPr="00AE3B0D">
              <w:rPr>
                <w:rFonts w:ascii="Trebuchet MS" w:hAnsi="Trebuchet MS"/>
                <w:sz w:val="18"/>
                <w:szCs w:val="18"/>
                <w:lang w:val="hr-HR" w:eastAsia="hr-HR"/>
              </w:rPr>
              <w:t xml:space="preserve">LGD i PD - provjerom povijesnih podataka Banke, koje su prilagođene, tamo gdje je bilo potrebno, za očekivane ekonomske uvjete izvedene iz informacija o očekivanim budućim kretanjima; </w:t>
            </w:r>
          </w:p>
          <w:p w14:paraId="57F20ED6" w14:textId="77777777" w:rsidR="00AE3B0D" w:rsidRPr="00AE3B0D" w:rsidRDefault="00AE3B0D" w:rsidP="00AE3B0D">
            <w:pPr>
              <w:numPr>
                <w:ilvl w:val="0"/>
                <w:numId w:val="28"/>
              </w:numPr>
              <w:suppressAutoHyphens w:val="0"/>
              <w:spacing w:before="120"/>
              <w:contextualSpacing/>
              <w:rPr>
                <w:rFonts w:ascii="Trebuchet MS" w:hAnsi="Trebuchet MS"/>
                <w:sz w:val="18"/>
                <w:szCs w:val="18"/>
                <w:lang w:val="hr-HR" w:eastAsia="hr-HR"/>
              </w:rPr>
            </w:pPr>
            <w:r w:rsidRPr="00AE3B0D">
              <w:rPr>
                <w:rFonts w:ascii="Trebuchet MS" w:hAnsi="Trebuchet MS"/>
                <w:sz w:val="18"/>
                <w:szCs w:val="18"/>
                <w:lang w:val="hr-HR" w:eastAsia="hr-HR"/>
              </w:rPr>
              <w:t xml:space="preserve">Dobivanje rezultata back-testiranja provedenog nad PD i LGD parametrima korištenim u ranijim razdobljima i traženje objašnjenja Uprave za sva materijalno značajna odstupanja. </w:t>
            </w:r>
          </w:p>
          <w:p w14:paraId="7C30016E" w14:textId="77777777" w:rsidR="00AE3B0D" w:rsidRPr="00AE3B0D" w:rsidRDefault="00AE3B0D" w:rsidP="00AE3B0D">
            <w:pPr>
              <w:suppressAutoHyphens w:val="0"/>
              <w:spacing w:before="120"/>
              <w:ind w:left="28"/>
              <w:rPr>
                <w:rFonts w:ascii="Trebuchet MS" w:hAnsi="Trebuchet MS"/>
                <w:sz w:val="18"/>
                <w:szCs w:val="18"/>
                <w:lang w:val="hr-HR" w:eastAsia="hr-HR"/>
              </w:rPr>
            </w:pPr>
            <w:r w:rsidRPr="00AE3B0D">
              <w:rPr>
                <w:rFonts w:ascii="Trebuchet MS" w:hAnsi="Trebuchet MS"/>
                <w:sz w:val="18"/>
                <w:szCs w:val="18"/>
                <w:lang w:val="hr-HR" w:eastAsia="hr-HR"/>
              </w:rPr>
              <w:t>Za ukupno umanjenje vrijednosti:</w:t>
            </w:r>
          </w:p>
          <w:p w14:paraId="58B3C30F" w14:textId="77777777" w:rsidR="00AE3B0D" w:rsidRPr="00AE3B0D" w:rsidRDefault="00AE3B0D" w:rsidP="00AE3B0D">
            <w:pPr>
              <w:numPr>
                <w:ilvl w:val="0"/>
                <w:numId w:val="28"/>
              </w:numPr>
              <w:suppressAutoHyphens w:val="0"/>
              <w:spacing w:before="120"/>
              <w:contextualSpacing/>
              <w:rPr>
                <w:rFonts w:ascii="Trebuchet MS" w:hAnsi="Trebuchet MS"/>
                <w:sz w:val="18"/>
                <w:szCs w:val="18"/>
                <w:lang w:val="hr-HR" w:eastAsia="hr-HR"/>
              </w:rPr>
            </w:pPr>
            <w:r w:rsidRPr="00AE3B0D">
              <w:rPr>
                <w:rFonts w:ascii="Trebuchet MS" w:hAnsi="Trebuchet MS"/>
                <w:sz w:val="18"/>
                <w:szCs w:val="18"/>
                <w:lang w:val="hr-HR" w:eastAsia="hr-HR"/>
              </w:rPr>
              <w:t>Kritičko procjenjivanje adekvatnosti cjelokupnih rezervacija za umanjenje vrijednosti, uključujući udio bruto neprihodujućih izloženosti u ukupnoj bruto izloženosti te razinu pokrivenosti rezervacijama neprihodujućih izloženosti;</w:t>
            </w:r>
          </w:p>
          <w:p w14:paraId="034EF816" w14:textId="77777777" w:rsidR="00AE3B0D" w:rsidRPr="00AE3B0D" w:rsidRDefault="00AE3B0D" w:rsidP="00AE3B0D">
            <w:pPr>
              <w:numPr>
                <w:ilvl w:val="0"/>
                <w:numId w:val="28"/>
              </w:numPr>
              <w:suppressAutoHyphens w:val="0"/>
              <w:spacing w:before="120"/>
              <w:contextualSpacing/>
              <w:rPr>
                <w:rFonts w:ascii="Trebuchet MS" w:hAnsi="Trebuchet MS"/>
                <w:sz w:val="18"/>
                <w:szCs w:val="18"/>
                <w:lang w:val="hr-HR" w:eastAsia="hr-HR"/>
              </w:rPr>
            </w:pPr>
            <w:r w:rsidRPr="00AE3B0D">
              <w:rPr>
                <w:rFonts w:ascii="Trebuchet MS" w:hAnsi="Trebuchet MS"/>
                <w:sz w:val="18"/>
                <w:szCs w:val="18"/>
                <w:lang w:val="hr-HR" w:eastAsia="hr-HR"/>
              </w:rPr>
              <w:t>Procjena uključuju li objave Banke i Grupe u financijskim izvještajima vezane za umanjenje vrijednosti i pripadajuće objave o kreditnim rizicima adekvatne kvantitativen i kvalitativne informacije koje su zahtijevane  relevantnim standardima financijskog izvještavanja.</w:t>
            </w:r>
          </w:p>
          <w:p w14:paraId="07900B1C" w14:textId="77777777" w:rsidR="00AE3B0D" w:rsidRPr="00AE3B0D" w:rsidRDefault="00AE3B0D" w:rsidP="00AE3B0D">
            <w:pPr>
              <w:suppressAutoHyphens w:val="0"/>
              <w:spacing w:before="120"/>
              <w:ind w:left="388"/>
              <w:contextualSpacing/>
              <w:rPr>
                <w:rFonts w:ascii="Trebuchet MS" w:hAnsi="Trebuchet MS"/>
                <w:sz w:val="18"/>
                <w:szCs w:val="18"/>
                <w:lang w:val="hr-HR" w:eastAsia="hr-HR"/>
              </w:rPr>
            </w:pPr>
          </w:p>
        </w:tc>
      </w:tr>
    </w:tbl>
    <w:p w14:paraId="6E706920" w14:textId="77777777" w:rsidR="00AE3B0D" w:rsidRPr="00AE3B0D" w:rsidRDefault="00AE3B0D" w:rsidP="00AE3B0D">
      <w:pPr>
        <w:suppressAutoHyphens w:val="0"/>
        <w:autoSpaceDN/>
        <w:rPr>
          <w:rFonts w:ascii="Trebuchet MS" w:hAnsi="Trebuchet MS" w:cs="Arial"/>
          <w:b/>
          <w:sz w:val="20"/>
          <w:szCs w:val="20"/>
          <w:lang w:val="af-ZA" w:eastAsia="af-ZA"/>
        </w:rPr>
        <w:sectPr w:rsidR="00AE3B0D" w:rsidRPr="00AE3B0D" w:rsidSect="00CA7A53">
          <w:pgSz w:w="11907" w:h="16840" w:code="9"/>
          <w:pgMar w:top="1418" w:right="1418" w:bottom="1418" w:left="1418" w:header="720" w:footer="720" w:gutter="0"/>
          <w:cols w:space="720"/>
        </w:sectPr>
      </w:pPr>
    </w:p>
    <w:p w14:paraId="697DDBC5" w14:textId="77777777" w:rsidR="00AE3B0D" w:rsidRPr="00AE3B0D" w:rsidRDefault="00AE3B0D" w:rsidP="00AE3B0D">
      <w:pPr>
        <w:suppressAutoHyphens w:val="0"/>
        <w:autoSpaceDN/>
        <w:rPr>
          <w:rFonts w:ascii="Trebuchet MS" w:eastAsia="Calibri" w:hAnsi="Trebuchet MS"/>
          <w:b/>
          <w:bCs/>
          <w:sz w:val="20"/>
          <w:szCs w:val="20"/>
          <w:lang w:val="hr-HR"/>
        </w:rPr>
      </w:pPr>
      <w:r w:rsidRPr="00AE3B0D">
        <w:rPr>
          <w:rFonts w:ascii="Trebuchet MS" w:eastAsia="Calibri" w:hAnsi="Trebuchet MS"/>
          <w:b/>
          <w:bCs/>
          <w:sz w:val="20"/>
          <w:szCs w:val="20"/>
          <w:lang w:val="hr-HR"/>
        </w:rPr>
        <w:lastRenderedPageBreak/>
        <w:t>ZAJEDNIČKO IZVJEŠĆE NEOVISNOG REVIZORA VLASNIKU HRVATSKE BANKE ZA OBNOVU I RAZVITAK (NASTAVAK)</w:t>
      </w:r>
    </w:p>
    <w:p w14:paraId="1C650B2E" w14:textId="77777777" w:rsidR="00AE3B0D" w:rsidRPr="00AE3B0D" w:rsidRDefault="00AE3B0D" w:rsidP="00AE3B0D">
      <w:pPr>
        <w:suppressAutoHyphens w:val="0"/>
        <w:autoSpaceDN/>
        <w:spacing w:before="240" w:after="200"/>
        <w:jc w:val="both"/>
        <w:rPr>
          <w:rFonts w:ascii="Trebuchet MS" w:hAnsi="Trebuchet MS" w:cs="Arial"/>
          <w:b/>
          <w:kern w:val="8"/>
          <w:sz w:val="20"/>
          <w:szCs w:val="20"/>
          <w:lang w:val="hr-HR" w:eastAsia="af-ZA"/>
        </w:rPr>
      </w:pPr>
      <w:r w:rsidRPr="00AE3B0D">
        <w:rPr>
          <w:rFonts w:ascii="Trebuchet MS" w:hAnsi="Trebuchet MS" w:cs="Arial"/>
          <w:b/>
          <w:kern w:val="8"/>
          <w:sz w:val="20"/>
          <w:szCs w:val="20"/>
          <w:lang w:val="hr-HR" w:eastAsia="af-ZA"/>
        </w:rPr>
        <w:t>Izvješće o reviziji godišnjih odvojenih i konsolidiranih financijskih izvještaja (nastavak)</w:t>
      </w:r>
    </w:p>
    <w:p w14:paraId="6B6AABCA" w14:textId="77777777" w:rsidR="00AE3B0D" w:rsidRPr="00AE3B0D" w:rsidRDefault="00AE3B0D" w:rsidP="00AE3B0D">
      <w:pPr>
        <w:suppressAutoHyphens w:val="0"/>
        <w:autoSpaceDN/>
        <w:spacing w:after="200"/>
        <w:jc w:val="both"/>
        <w:rPr>
          <w:rFonts w:ascii="Trebuchet MS" w:hAnsi="Trebuchet MS" w:cs="Arial"/>
          <w:b/>
          <w:color w:val="000000"/>
          <w:sz w:val="20"/>
          <w:szCs w:val="20"/>
          <w:lang w:val="hr-HR" w:eastAsia="hr-HR"/>
        </w:rPr>
      </w:pPr>
      <w:r w:rsidRPr="00AE3B0D">
        <w:rPr>
          <w:rFonts w:ascii="Trebuchet MS" w:hAnsi="Trebuchet MS" w:cs="Arial"/>
          <w:b/>
          <w:color w:val="000000"/>
          <w:sz w:val="20"/>
          <w:szCs w:val="20"/>
          <w:lang w:val="hr-HR" w:eastAsia="hr-HR"/>
        </w:rPr>
        <w:t xml:space="preserve">Ostale informacije </w:t>
      </w:r>
    </w:p>
    <w:p w14:paraId="10977192" w14:textId="6B2A8258" w:rsidR="00AE3B0D" w:rsidRPr="00AE3B0D" w:rsidRDefault="00AE3B0D" w:rsidP="00AE3B0D">
      <w:pPr>
        <w:suppressAutoHyphens w:val="0"/>
        <w:autoSpaceDN/>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 xml:space="preserve">Uprava je odgovorna za ostale informacije. Ostale informacije uključuju informacije iskazane u Godišnjem izvješću Banke i Grupe, ali ne uključuju </w:t>
      </w:r>
      <w:r w:rsidR="00356F34">
        <w:rPr>
          <w:rFonts w:ascii="Trebuchet MS" w:hAnsi="Trebuchet MS" w:cs="Arial"/>
          <w:sz w:val="20"/>
          <w:szCs w:val="20"/>
          <w:lang w:val="hr-HR" w:eastAsia="hr-HR" w:bidi="he-IL"/>
        </w:rPr>
        <w:t xml:space="preserve">godišnje </w:t>
      </w:r>
      <w:r w:rsidRPr="00AE3B0D">
        <w:rPr>
          <w:rFonts w:ascii="Trebuchet MS" w:hAnsi="Trebuchet MS" w:cs="Arial"/>
          <w:sz w:val="20"/>
          <w:szCs w:val="20"/>
          <w:lang w:val="hr-HR" w:eastAsia="hr-HR" w:bidi="he-IL"/>
        </w:rPr>
        <w:t>odvojene i konsolidirane financijske izvještaje i naše Izvješće neovisnog revizora o njima.</w:t>
      </w:r>
    </w:p>
    <w:p w14:paraId="1CECB73F" w14:textId="77777777" w:rsidR="00AE3B0D" w:rsidRPr="00AE3B0D" w:rsidRDefault="00AE3B0D" w:rsidP="00AE3B0D">
      <w:pPr>
        <w:suppressAutoHyphens w:val="0"/>
        <w:autoSpaceDN/>
        <w:jc w:val="both"/>
        <w:rPr>
          <w:rFonts w:ascii="Trebuchet MS" w:hAnsi="Trebuchet MS" w:cs="Arial"/>
          <w:sz w:val="20"/>
          <w:szCs w:val="20"/>
          <w:lang w:val="hr-HR" w:eastAsia="hr-HR" w:bidi="he-IL"/>
        </w:rPr>
      </w:pPr>
    </w:p>
    <w:p w14:paraId="403EB11F" w14:textId="77777777" w:rsidR="00AE3B0D" w:rsidRPr="00AE3B0D" w:rsidRDefault="00AE3B0D" w:rsidP="00AE3B0D">
      <w:pPr>
        <w:suppressAutoHyphens w:val="0"/>
        <w:autoSpaceDN/>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 xml:space="preserve">U vezi s našom revizijom godišnjih odvojenih i konsolidiranih financijskih izvještaja, naša je odgovornost pročitati ostale informacije i, u provođenju toga, razmotriti jesu li ostale informacije značajno proturječne godišnjim odvojenim i konsolidiranim financijskim izvještajima ili našim saznanjima stečenim u reviziji ili se drugačije čini da su značajno pogrešno prikazane. </w:t>
      </w:r>
    </w:p>
    <w:p w14:paraId="401DC5CF" w14:textId="77777777" w:rsidR="00AE3B0D" w:rsidRPr="00AE3B0D" w:rsidRDefault="00AE3B0D" w:rsidP="00AE3B0D">
      <w:pPr>
        <w:suppressAutoHyphens w:val="0"/>
        <w:autoSpaceDN/>
        <w:jc w:val="both"/>
        <w:rPr>
          <w:rFonts w:ascii="Trebuchet MS" w:hAnsi="Trebuchet MS" w:cs="Arial"/>
          <w:sz w:val="20"/>
          <w:szCs w:val="20"/>
          <w:lang w:val="hr-HR" w:eastAsia="hr-HR" w:bidi="he-IL"/>
        </w:rPr>
      </w:pPr>
    </w:p>
    <w:p w14:paraId="513A5DFB" w14:textId="77777777" w:rsidR="00AE3B0D" w:rsidRPr="00AE3B0D" w:rsidRDefault="00AE3B0D" w:rsidP="00AE3B0D">
      <w:pPr>
        <w:suppressAutoHyphens w:val="0"/>
        <w:autoSpaceDE w:val="0"/>
        <w:adjustRightInd w:val="0"/>
        <w:spacing w:after="120"/>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Vezano za Izvješće Uprave za Banku i za Grupu te za Izjavu o primjeni kodeksa korporativnog upravljanja, također smo proveli procedure koje su zahtijevane hrvatskim Zakonom o računovodstvu („Zakon o računovodstvu“). Ove procedure uključuju razmatranje:</w:t>
      </w:r>
    </w:p>
    <w:p w14:paraId="47344079" w14:textId="5EBB8299" w:rsidR="00AE3B0D" w:rsidRPr="00AE3B0D" w:rsidRDefault="00AE3B0D" w:rsidP="00AE3B0D">
      <w:pPr>
        <w:numPr>
          <w:ilvl w:val="2"/>
          <w:numId w:val="27"/>
        </w:numPr>
        <w:suppressAutoHyphens w:val="0"/>
        <w:autoSpaceDE w:val="0"/>
        <w:autoSpaceDN/>
        <w:adjustRightInd w:val="0"/>
        <w:spacing w:before="120" w:after="120" w:line="276" w:lineRule="auto"/>
        <w:ind w:left="568" w:hanging="284"/>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 xml:space="preserve">je li Izvješće poslovodstva pripremljeno u skladu s člancima 21. i 24. Zakona o računovodstvu </w:t>
      </w:r>
    </w:p>
    <w:p w14:paraId="3A9A3714" w14:textId="77777777" w:rsidR="00AE3B0D" w:rsidRPr="00AE3B0D" w:rsidRDefault="00AE3B0D" w:rsidP="00AE3B0D">
      <w:pPr>
        <w:numPr>
          <w:ilvl w:val="2"/>
          <w:numId w:val="27"/>
        </w:numPr>
        <w:suppressAutoHyphens w:val="0"/>
        <w:autoSpaceDE w:val="0"/>
        <w:autoSpaceDN/>
        <w:adjustRightInd w:val="0"/>
        <w:spacing w:before="120" w:after="120" w:line="276" w:lineRule="auto"/>
        <w:ind w:left="568" w:hanging="284"/>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 xml:space="preserve">uključuje li Izjava o primjeni kodeksa korporativnog upravljanja informacije koje su zahtijevane sukladno članku 22. Zakona o računovodstvu. </w:t>
      </w:r>
    </w:p>
    <w:p w14:paraId="493FBAEE" w14:textId="77777777" w:rsidR="00AE3B0D" w:rsidRPr="00AE3B0D" w:rsidRDefault="00AE3B0D" w:rsidP="00AE3B0D">
      <w:pPr>
        <w:suppressAutoHyphens w:val="0"/>
        <w:autoSpaceDE w:val="0"/>
        <w:adjustRightInd w:val="0"/>
        <w:ind w:left="567"/>
        <w:jc w:val="both"/>
        <w:rPr>
          <w:rFonts w:ascii="Trebuchet MS" w:hAnsi="Trebuchet MS" w:cs="Arial"/>
          <w:sz w:val="10"/>
          <w:szCs w:val="10"/>
          <w:lang w:val="hr-HR" w:eastAsia="hr-HR" w:bidi="he-IL"/>
        </w:rPr>
      </w:pPr>
    </w:p>
    <w:p w14:paraId="2CF30CEF" w14:textId="77777777" w:rsidR="00AE3B0D" w:rsidRPr="00AE3B0D" w:rsidRDefault="00AE3B0D" w:rsidP="00AE3B0D">
      <w:pPr>
        <w:suppressAutoHyphens w:val="0"/>
        <w:autoSpaceDE w:val="0"/>
        <w:adjustRightInd w:val="0"/>
        <w:spacing w:after="120"/>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Na osnovi obavljenih postupaka u mjeri u kojoj smo u mogućnosti procijeniti, izvještavamo da::</w:t>
      </w:r>
    </w:p>
    <w:p w14:paraId="034409D0" w14:textId="76B5FA34" w:rsidR="00AE3B0D" w:rsidRPr="00AE3B0D" w:rsidRDefault="00AE3B0D" w:rsidP="00AE3B0D">
      <w:pPr>
        <w:numPr>
          <w:ilvl w:val="2"/>
          <w:numId w:val="27"/>
        </w:numPr>
        <w:suppressAutoHyphens w:val="0"/>
        <w:autoSpaceDE w:val="0"/>
        <w:autoSpaceDN/>
        <w:adjustRightInd w:val="0"/>
        <w:spacing w:before="120" w:after="120" w:line="276" w:lineRule="auto"/>
        <w:ind w:left="568" w:hanging="284"/>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Informacije sadržane u Izvješću poslovodstva te Izjavi o primjeni kodeksa korporativnog upravljanja za financijsku godinu za koji su pripremljeni</w:t>
      </w:r>
      <w:r w:rsidR="00356F34">
        <w:rPr>
          <w:rFonts w:ascii="Trebuchet MS" w:hAnsi="Trebuchet MS" w:cs="Arial"/>
          <w:sz w:val="20"/>
          <w:szCs w:val="20"/>
          <w:lang w:val="hr-HR" w:eastAsia="hr-HR" w:bidi="he-IL"/>
        </w:rPr>
        <w:t xml:space="preserve"> godišnji odvojeni i konsolidirani </w:t>
      </w:r>
      <w:r w:rsidRPr="00AE3B0D">
        <w:rPr>
          <w:rFonts w:ascii="Trebuchet MS" w:hAnsi="Trebuchet MS" w:cs="Arial"/>
          <w:sz w:val="20"/>
          <w:szCs w:val="20"/>
          <w:lang w:val="hr-HR" w:eastAsia="hr-HR" w:bidi="he-IL"/>
        </w:rPr>
        <w:t xml:space="preserve"> financijski izvještaji, konzistentne su, u svim značajnim odrednicama, s </w:t>
      </w:r>
      <w:r w:rsidR="00356F34">
        <w:rPr>
          <w:rFonts w:ascii="Trebuchet MS" w:hAnsi="Trebuchet MS" w:cs="Arial"/>
          <w:sz w:val="20"/>
          <w:szCs w:val="20"/>
          <w:lang w:val="hr-HR" w:eastAsia="hr-HR" w:bidi="he-IL"/>
        </w:rPr>
        <w:t xml:space="preserve">godišnjim odvojenim i konsolidiranim </w:t>
      </w:r>
      <w:r w:rsidRPr="00AE3B0D">
        <w:rPr>
          <w:rFonts w:ascii="Trebuchet MS" w:hAnsi="Trebuchet MS" w:cs="Arial"/>
          <w:sz w:val="20"/>
          <w:szCs w:val="20"/>
          <w:lang w:val="hr-HR" w:eastAsia="hr-HR" w:bidi="he-IL"/>
        </w:rPr>
        <w:t>financijskim izvještajima;</w:t>
      </w:r>
    </w:p>
    <w:p w14:paraId="643933FF" w14:textId="77777777" w:rsidR="00AE3B0D" w:rsidRPr="00AE3B0D" w:rsidRDefault="00AE3B0D" w:rsidP="00AE3B0D">
      <w:pPr>
        <w:numPr>
          <w:ilvl w:val="2"/>
          <w:numId w:val="27"/>
        </w:numPr>
        <w:suppressAutoHyphens w:val="0"/>
        <w:autoSpaceDE w:val="0"/>
        <w:autoSpaceDN/>
        <w:adjustRightInd w:val="0"/>
        <w:spacing w:before="120" w:after="120" w:line="276" w:lineRule="auto"/>
        <w:ind w:left="568" w:hanging="284"/>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 xml:space="preserve">Izvješće poslovodstva pripremljeno je, u svim značajnim odrednicama, u skladu s člancima 21. i 24. Zakona o računovodstvu;  </w:t>
      </w:r>
    </w:p>
    <w:p w14:paraId="018CA9C4" w14:textId="77777777" w:rsidR="00AE3B0D" w:rsidRPr="00AE3B0D" w:rsidRDefault="00AE3B0D" w:rsidP="00AE3B0D">
      <w:pPr>
        <w:numPr>
          <w:ilvl w:val="2"/>
          <w:numId w:val="27"/>
        </w:numPr>
        <w:suppressAutoHyphens w:val="0"/>
        <w:autoSpaceDE w:val="0"/>
        <w:autoSpaceDN/>
        <w:adjustRightInd w:val="0"/>
        <w:spacing w:before="120" w:after="120" w:line="276" w:lineRule="auto"/>
        <w:ind w:left="568" w:hanging="284"/>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 xml:space="preserve">Izjava o primjeni kodeksa korporativnog upravljanja uključuje informacije koje su zahtijevane člankom 22. Zakona o računovodstvu. </w:t>
      </w:r>
    </w:p>
    <w:p w14:paraId="0C596C71" w14:textId="77777777" w:rsidR="00AE3B0D" w:rsidRPr="00AE3B0D" w:rsidRDefault="00AE3B0D" w:rsidP="00AE3B0D">
      <w:pPr>
        <w:suppressAutoHyphens w:val="0"/>
        <w:autoSpaceDE w:val="0"/>
        <w:adjustRightInd w:val="0"/>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Nadalje, uzevši u obzir poznavanje i razumijevanje Banke i Grupe te okruženja u kojem oni posluju, a koje smo stekli tijekom naše revizije, dužnost nam je izvijestiti jesmo li identificirali značajno pogrešne iskaze u godišnjem izvješću. U tom smislu mi nemamo nešto za izvijestiti.</w:t>
      </w:r>
    </w:p>
    <w:p w14:paraId="5DA1F348" w14:textId="77777777" w:rsidR="00AE3B0D" w:rsidRPr="00AE3B0D" w:rsidRDefault="00AE3B0D" w:rsidP="00AE3B0D">
      <w:pPr>
        <w:suppressAutoHyphens w:val="0"/>
        <w:autoSpaceDN/>
        <w:spacing w:after="160" w:line="259" w:lineRule="auto"/>
        <w:rPr>
          <w:rFonts w:ascii="Trebuchet MS" w:hAnsi="Trebuchet MS" w:cs="Arial"/>
          <w:sz w:val="20"/>
          <w:szCs w:val="20"/>
          <w:lang w:val="af-ZA" w:eastAsia="hr-HR" w:bidi="he-IL"/>
        </w:rPr>
        <w:sectPr w:rsidR="00AE3B0D" w:rsidRPr="00AE3B0D" w:rsidSect="00CA7A53">
          <w:pgSz w:w="11907" w:h="16840" w:code="9"/>
          <w:pgMar w:top="1418" w:right="1418" w:bottom="1418" w:left="1418" w:header="720" w:footer="720" w:gutter="0"/>
          <w:cols w:space="720"/>
        </w:sectPr>
      </w:pPr>
    </w:p>
    <w:p w14:paraId="28FEFA65" w14:textId="77777777" w:rsidR="00AE3B0D" w:rsidRPr="00AE3B0D" w:rsidRDefault="00AE3B0D" w:rsidP="00AE3B0D">
      <w:pPr>
        <w:suppressAutoHyphens w:val="0"/>
        <w:autoSpaceDN/>
        <w:rPr>
          <w:rFonts w:ascii="Trebuchet MS" w:eastAsia="Calibri" w:hAnsi="Trebuchet MS"/>
          <w:b/>
          <w:bCs/>
          <w:sz w:val="20"/>
          <w:szCs w:val="20"/>
          <w:lang w:val="hr-HR"/>
        </w:rPr>
      </w:pPr>
      <w:r w:rsidRPr="00AE3B0D">
        <w:rPr>
          <w:rFonts w:ascii="Trebuchet MS" w:eastAsia="Calibri" w:hAnsi="Trebuchet MS"/>
          <w:b/>
          <w:bCs/>
          <w:sz w:val="20"/>
          <w:szCs w:val="20"/>
          <w:lang w:val="hr-HR"/>
        </w:rPr>
        <w:lastRenderedPageBreak/>
        <w:t>ZAJEDNIČKO IZVJEŠĆE NEOVISNOG REVIZORA VLASNIKU HRVATSKE BANKE ZA OBNOVU I RAZVITAK (NASTAVAK)</w:t>
      </w:r>
    </w:p>
    <w:p w14:paraId="58D8BFC5" w14:textId="77777777" w:rsidR="00AE3B0D" w:rsidRPr="00AE3B0D" w:rsidRDefault="00AE3B0D" w:rsidP="00AE3B0D">
      <w:pPr>
        <w:suppressAutoHyphens w:val="0"/>
        <w:autoSpaceDN/>
        <w:spacing w:before="240" w:after="200"/>
        <w:jc w:val="both"/>
        <w:rPr>
          <w:rFonts w:ascii="Trebuchet MS" w:hAnsi="Trebuchet MS" w:cs="Arial"/>
          <w:b/>
          <w:kern w:val="8"/>
          <w:sz w:val="20"/>
          <w:szCs w:val="20"/>
          <w:lang w:val="hr-HR" w:eastAsia="af-ZA"/>
        </w:rPr>
      </w:pPr>
      <w:r w:rsidRPr="00AE3B0D">
        <w:rPr>
          <w:rFonts w:ascii="Trebuchet MS" w:hAnsi="Trebuchet MS" w:cs="Arial"/>
          <w:b/>
          <w:kern w:val="8"/>
          <w:sz w:val="20"/>
          <w:szCs w:val="20"/>
          <w:lang w:val="hr-HR" w:eastAsia="af-ZA"/>
        </w:rPr>
        <w:t>Izvješće o reviziji godišnjih odvojenih i konsolidiranih financijskih izvještaja (nastavak)</w:t>
      </w:r>
    </w:p>
    <w:p w14:paraId="0E41C28F" w14:textId="77777777" w:rsidR="00AE3B0D" w:rsidRPr="00AE3B0D" w:rsidRDefault="00AE3B0D" w:rsidP="00AE3B0D">
      <w:pPr>
        <w:suppressAutoHyphens w:val="0"/>
        <w:autoSpaceDN/>
        <w:spacing w:after="200"/>
        <w:jc w:val="both"/>
        <w:rPr>
          <w:rFonts w:ascii="Trebuchet MS" w:hAnsi="Trebuchet MS" w:cs="Arial"/>
          <w:b/>
          <w:color w:val="000000"/>
          <w:sz w:val="20"/>
          <w:szCs w:val="20"/>
          <w:lang w:val="hr-HR" w:eastAsia="hr-HR"/>
        </w:rPr>
      </w:pPr>
      <w:r w:rsidRPr="00AE3B0D">
        <w:rPr>
          <w:rFonts w:ascii="Trebuchet MS" w:hAnsi="Trebuchet MS" w:cs="Arial"/>
          <w:b/>
          <w:color w:val="000000"/>
          <w:sz w:val="20"/>
          <w:szCs w:val="20"/>
          <w:lang w:val="hr-HR" w:eastAsia="hr-HR"/>
        </w:rPr>
        <w:t>Odgovornosti Uprave i onih koji su zaduženi za upravljanje za godišnje financijske izvještaje</w:t>
      </w:r>
    </w:p>
    <w:p w14:paraId="0BD1A133" w14:textId="6477C380" w:rsidR="00AE3B0D" w:rsidRPr="00AE3B0D" w:rsidRDefault="00AE3B0D" w:rsidP="00AE3B0D">
      <w:pPr>
        <w:suppressAutoHyphens w:val="0"/>
        <w:autoSpaceDN/>
        <w:spacing w:after="200"/>
        <w:jc w:val="both"/>
        <w:rPr>
          <w:rFonts w:ascii="Trebuchet MS" w:eastAsia="Batang" w:hAnsi="Trebuchet MS" w:cs="Arial"/>
          <w:sz w:val="20"/>
          <w:szCs w:val="20"/>
          <w:lang w:val="hr-HR" w:eastAsia="hr-HR"/>
        </w:rPr>
      </w:pPr>
      <w:r w:rsidRPr="00AE3B0D">
        <w:rPr>
          <w:rFonts w:ascii="Trebuchet MS" w:eastAsia="Batang" w:hAnsi="Trebuchet MS" w:cs="Arial"/>
          <w:sz w:val="20"/>
          <w:szCs w:val="20"/>
          <w:lang w:val="hr-HR" w:eastAsia="hr-HR"/>
        </w:rPr>
        <w:t xml:space="preserve">Uprava je odgovorna za sastavljanje godišnjih </w:t>
      </w:r>
      <w:r w:rsidR="00356F34">
        <w:rPr>
          <w:rFonts w:ascii="Trebuchet MS" w:eastAsia="Batang" w:hAnsi="Trebuchet MS" w:cs="Arial"/>
          <w:sz w:val="20"/>
          <w:szCs w:val="20"/>
          <w:lang w:val="hr-HR" w:eastAsia="hr-HR"/>
        </w:rPr>
        <w:t xml:space="preserve">odvojenih i konsolidiranih </w:t>
      </w:r>
      <w:r w:rsidRPr="00AE3B0D">
        <w:rPr>
          <w:rFonts w:ascii="Trebuchet MS" w:eastAsia="Batang" w:hAnsi="Trebuchet MS" w:cs="Arial"/>
          <w:sz w:val="20"/>
          <w:szCs w:val="20"/>
          <w:lang w:val="hr-HR" w:eastAsia="hr-HR"/>
        </w:rPr>
        <w:t xml:space="preserve">financijskih izvještaja koji daju istinit i fer prikaz u skladu s MSFI te za one interne kontrole za koje Uprava odredi da su potrebne, kako bi se omogućilo sastavljanje </w:t>
      </w:r>
      <w:r w:rsidR="00356F34">
        <w:rPr>
          <w:rFonts w:ascii="Trebuchet MS" w:eastAsia="Batang" w:hAnsi="Trebuchet MS" w:cs="Arial"/>
          <w:sz w:val="20"/>
          <w:szCs w:val="20"/>
          <w:lang w:val="hr-HR" w:eastAsia="hr-HR"/>
        </w:rPr>
        <w:t xml:space="preserve">tih </w:t>
      </w:r>
      <w:r w:rsidRPr="00AE3B0D">
        <w:rPr>
          <w:rFonts w:ascii="Trebuchet MS" w:eastAsia="Batang" w:hAnsi="Trebuchet MS" w:cs="Arial"/>
          <w:sz w:val="20"/>
          <w:szCs w:val="20"/>
          <w:lang w:val="hr-HR" w:eastAsia="hr-HR"/>
        </w:rPr>
        <w:t>financijskih izvještaja, bez značajnog pogrešnog prikaza uslijed prijevare ili pogreške.</w:t>
      </w:r>
    </w:p>
    <w:p w14:paraId="0421CC51" w14:textId="59BDB043" w:rsidR="00AE3B0D" w:rsidRPr="00AE3B0D" w:rsidRDefault="00AE3B0D" w:rsidP="00AE3B0D">
      <w:pPr>
        <w:suppressAutoHyphens w:val="0"/>
        <w:autoSpaceDN/>
        <w:spacing w:after="200"/>
        <w:jc w:val="both"/>
        <w:rPr>
          <w:rFonts w:ascii="Trebuchet MS" w:eastAsia="Batang" w:hAnsi="Trebuchet MS" w:cs="Arial"/>
          <w:sz w:val="20"/>
          <w:szCs w:val="20"/>
          <w:lang w:val="hr-HR" w:eastAsia="hr-HR"/>
        </w:rPr>
      </w:pPr>
      <w:r w:rsidRPr="00AE3B0D">
        <w:rPr>
          <w:rFonts w:ascii="Trebuchet MS" w:eastAsia="Batang" w:hAnsi="Trebuchet MS" w:cs="Arial"/>
          <w:sz w:val="20"/>
          <w:szCs w:val="20"/>
          <w:lang w:val="hr-HR" w:eastAsia="hr-HR"/>
        </w:rPr>
        <w:t xml:space="preserve">U sastavljanju </w:t>
      </w:r>
      <w:r w:rsidR="00356F34">
        <w:rPr>
          <w:rFonts w:ascii="Trebuchet MS" w:eastAsia="Batang" w:hAnsi="Trebuchet MS" w:cs="Arial"/>
          <w:sz w:val="20"/>
          <w:szCs w:val="20"/>
          <w:lang w:val="hr-HR" w:eastAsia="hr-HR"/>
        </w:rPr>
        <w:t xml:space="preserve">godišnjih odvojenih i konsolidiranih </w:t>
      </w:r>
      <w:r w:rsidRPr="00AE3B0D">
        <w:rPr>
          <w:rFonts w:ascii="Trebuchet MS" w:eastAsia="Batang" w:hAnsi="Trebuchet MS" w:cs="Arial"/>
          <w:sz w:val="20"/>
          <w:szCs w:val="20"/>
          <w:lang w:val="hr-HR" w:eastAsia="hr-HR"/>
        </w:rPr>
        <w:t xml:space="preserve">financijskih izvještaja, Uprava je odgovorna za procjenjivanje sposobnosti Banke i Grupe da nastave s vremenski neograničenim poslovanjem te objavljivanje, ako je primjenjivo, pitanja povezanih s vremenski neograničenim poslovanjem i korištenjem računovodstvene osnove utemeljene na vremenskoj neograničenosti poslovanja, osim u onim slučajevima kada Uprava namjerava likvidirati Banku i Grupu, prekinuti poslovanje ili nema realne alternative nego da to učini. </w:t>
      </w:r>
    </w:p>
    <w:p w14:paraId="1FA7E80A" w14:textId="77777777" w:rsidR="00AE3B0D" w:rsidRPr="00AE3B0D" w:rsidRDefault="00AE3B0D" w:rsidP="00AE3B0D">
      <w:pPr>
        <w:suppressAutoHyphens w:val="0"/>
        <w:autoSpaceDN/>
        <w:spacing w:after="200"/>
        <w:jc w:val="both"/>
        <w:rPr>
          <w:rFonts w:ascii="Trebuchet MS" w:eastAsia="Batang" w:hAnsi="Trebuchet MS" w:cs="Arial"/>
          <w:sz w:val="20"/>
          <w:szCs w:val="20"/>
          <w:lang w:val="hr-HR" w:eastAsia="hr-HR"/>
        </w:rPr>
      </w:pPr>
      <w:r w:rsidRPr="00AE3B0D">
        <w:rPr>
          <w:rFonts w:ascii="Trebuchet MS" w:eastAsia="Batang" w:hAnsi="Trebuchet MS" w:cs="Arial"/>
          <w:sz w:val="20"/>
          <w:szCs w:val="20"/>
          <w:lang w:val="hr-HR" w:eastAsia="hr-HR"/>
        </w:rPr>
        <w:t>Oni koji su zaduženi za nadzor, odgovorni su za nadziranje procesa financijskog izvještavanja, uspostavljenog od strane Banke i Grupe.</w:t>
      </w:r>
    </w:p>
    <w:p w14:paraId="077D8C59" w14:textId="77777777" w:rsidR="00AE3B0D" w:rsidRPr="00AE3B0D" w:rsidRDefault="00AE3B0D" w:rsidP="00AE3B0D">
      <w:pPr>
        <w:suppressAutoHyphens w:val="0"/>
        <w:autoSpaceDN/>
        <w:jc w:val="both"/>
        <w:rPr>
          <w:rFonts w:ascii="Trebuchet MS" w:eastAsia="Batang" w:hAnsi="Trebuchet MS" w:cs="Arial"/>
          <w:sz w:val="20"/>
          <w:szCs w:val="20"/>
          <w:lang w:val="hr-HR" w:eastAsia="hr-HR"/>
        </w:rPr>
      </w:pPr>
    </w:p>
    <w:p w14:paraId="767DD519" w14:textId="1BBD82E2" w:rsidR="00AE3B0D" w:rsidRPr="00AE3B0D" w:rsidRDefault="00AE3B0D" w:rsidP="00AE3B0D">
      <w:pPr>
        <w:suppressAutoHyphens w:val="0"/>
        <w:autoSpaceDN/>
        <w:spacing w:after="200"/>
        <w:jc w:val="both"/>
        <w:rPr>
          <w:rFonts w:ascii="Trebuchet MS" w:hAnsi="Trebuchet MS" w:cs="Arial"/>
          <w:b/>
          <w:color w:val="000000"/>
          <w:sz w:val="20"/>
          <w:szCs w:val="20"/>
          <w:lang w:val="hr-HR" w:eastAsia="hr-HR"/>
        </w:rPr>
      </w:pPr>
      <w:r w:rsidRPr="00AE3B0D">
        <w:rPr>
          <w:rFonts w:ascii="Trebuchet MS" w:hAnsi="Trebuchet MS" w:cs="Arial"/>
          <w:b/>
          <w:color w:val="000000"/>
          <w:sz w:val="20"/>
          <w:szCs w:val="20"/>
          <w:lang w:val="hr-HR" w:eastAsia="hr-HR"/>
        </w:rPr>
        <w:t>Revizorove odgovornosti za reviziju g</w:t>
      </w:r>
      <w:r w:rsidR="00311E9C" w:rsidRPr="00311E9C">
        <w:rPr>
          <w:rFonts w:ascii="Trebuchet MS" w:hAnsi="Trebuchet MS" w:cs="Arial"/>
          <w:b/>
          <w:color w:val="000000"/>
          <w:sz w:val="20"/>
          <w:szCs w:val="20"/>
          <w:lang w:val="hr-HR" w:eastAsia="hr-HR"/>
        </w:rPr>
        <w:t xml:space="preserve">godišnjih odvojenih i konsolidiranih </w:t>
      </w:r>
      <w:r w:rsidRPr="00AE3B0D">
        <w:rPr>
          <w:rFonts w:ascii="Trebuchet MS" w:hAnsi="Trebuchet MS" w:cs="Arial"/>
          <w:b/>
          <w:color w:val="000000"/>
          <w:sz w:val="20"/>
          <w:szCs w:val="20"/>
          <w:lang w:val="hr-HR" w:eastAsia="hr-HR"/>
        </w:rPr>
        <w:t>financijskih izvještaja</w:t>
      </w:r>
    </w:p>
    <w:p w14:paraId="546504B6" w14:textId="7C19C167" w:rsidR="00AE3B0D" w:rsidRPr="00AE3B0D" w:rsidRDefault="00AE3B0D" w:rsidP="00AE3B0D">
      <w:pPr>
        <w:suppressAutoHyphens w:val="0"/>
        <w:autoSpaceDN/>
        <w:jc w:val="both"/>
        <w:rPr>
          <w:rFonts w:ascii="Trebuchet MS" w:eastAsia="Batang" w:hAnsi="Trebuchet MS" w:cs="Arial"/>
          <w:sz w:val="20"/>
          <w:szCs w:val="20"/>
          <w:lang w:val="hr-HR" w:eastAsia="hr-HR"/>
        </w:rPr>
      </w:pPr>
      <w:r w:rsidRPr="00AE3B0D">
        <w:rPr>
          <w:rFonts w:ascii="Trebuchet MS" w:eastAsia="Batang" w:hAnsi="Trebuchet MS" w:cs="Arial"/>
          <w:sz w:val="20"/>
          <w:szCs w:val="20"/>
          <w:lang w:val="hr-HR" w:eastAsia="hr-HR"/>
        </w:rPr>
        <w:t xml:space="preserve">Naši ciljevi su steći razumno uvjerenje o tome jesu li godišnji </w:t>
      </w:r>
      <w:r w:rsidR="00356F34">
        <w:rPr>
          <w:rFonts w:ascii="Trebuchet MS" w:eastAsia="Batang" w:hAnsi="Trebuchet MS" w:cs="Arial"/>
          <w:sz w:val="20"/>
          <w:szCs w:val="20"/>
          <w:lang w:val="hr-HR" w:eastAsia="hr-HR"/>
        </w:rPr>
        <w:t xml:space="preserve">odvojeni i konsolidirani </w:t>
      </w:r>
      <w:r w:rsidRPr="00AE3B0D">
        <w:rPr>
          <w:rFonts w:ascii="Trebuchet MS" w:eastAsia="Batang" w:hAnsi="Trebuchet MS" w:cs="Arial"/>
          <w:sz w:val="20"/>
          <w:szCs w:val="20"/>
          <w:lang w:val="hr-HR" w:eastAsia="hr-HR"/>
        </w:rPr>
        <w:t>financijski izvještaji kao cjelina bez značajnog pogrešnog prikaza uslijed prijevare ili pogreške i izdati izvješće neovisnog revizora koje uključuje naše mišljenje. Razumno uvjerenje je viša razina uvjerenja, ali nije garancija da će revizija obavljena u skladu s MRevS-ima uvijek otkriti značajno pogrešno prikazivanje kada ono postoji. Pogrešni prikazi mogu nastati uslijed prijevare ili pogreške i smatraju se značajni ako se razumno može očekivati da, pojedinačno ili u zbroju, utječu na ekonomske odluke korisnika donijete na osnovi tih godišnjih financijskih izvještaja.</w:t>
      </w:r>
    </w:p>
    <w:p w14:paraId="427291DC" w14:textId="77777777" w:rsidR="00AE3B0D" w:rsidRPr="00AE3B0D" w:rsidRDefault="00AE3B0D" w:rsidP="00AE3B0D">
      <w:pPr>
        <w:suppressAutoHyphens w:val="0"/>
        <w:autoSpaceDN/>
        <w:jc w:val="both"/>
        <w:rPr>
          <w:rFonts w:ascii="Trebuchet MS" w:eastAsia="Batang" w:hAnsi="Trebuchet MS" w:cs="Arial"/>
          <w:sz w:val="20"/>
          <w:szCs w:val="20"/>
          <w:lang w:val="hr-HR" w:eastAsia="hr-HR"/>
        </w:rPr>
      </w:pPr>
    </w:p>
    <w:p w14:paraId="4052734C" w14:textId="77777777" w:rsidR="00AE3B0D" w:rsidRPr="00AE3B0D" w:rsidRDefault="00AE3B0D" w:rsidP="00AE3B0D">
      <w:pPr>
        <w:suppressAutoHyphens w:val="0"/>
        <w:autoSpaceDN/>
        <w:spacing w:after="120"/>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Kao sastavni dio revizije u skladu s MRevS-ima, stvaramo profesionalne prosudbe i održavamo profesionalni skepticizam tijekom revizije. Mi također:</w:t>
      </w:r>
    </w:p>
    <w:p w14:paraId="361E044D" w14:textId="2556AD4F" w:rsidR="00AE3B0D" w:rsidRPr="00AE3B0D" w:rsidRDefault="00AE3B0D" w:rsidP="00AE3B0D">
      <w:pPr>
        <w:numPr>
          <w:ilvl w:val="0"/>
          <w:numId w:val="25"/>
        </w:numPr>
        <w:suppressAutoHyphens w:val="0"/>
        <w:autoSpaceDN/>
        <w:spacing w:after="120" w:line="276" w:lineRule="auto"/>
        <w:ind w:left="284" w:hanging="284"/>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Prepoznajemo i procjenjujemo rizike značajnog pogrešnog prikaza godišnjih odvojenih i konsolidiranih financijskih izvještaja, zbog prijevare ili pogreške, oblikujemo i obavljamo revizijske postupke kao reakciju na te rizike i pribavljamo revizijske dokaze koji su dostatni i primjereni da osiguraju osnovu za naše mišljenje. Rizik ne otkrivanja značajnog pogrešnog prikaza nastalog uslijed prijevare je veći od rizika nastalog uslijed pogreške, jer prijevara može uključiti tajne sporazume, krivotvorenje, namjerno ispuštanje, pogrešno prikazivanje ili zaobilaženje internih kontrola</w:t>
      </w:r>
      <w:r w:rsidR="00311E9C">
        <w:rPr>
          <w:rFonts w:ascii="Trebuchet MS" w:hAnsi="Trebuchet MS" w:cs="Arial"/>
          <w:sz w:val="20"/>
          <w:szCs w:val="20"/>
          <w:lang w:val="hr-HR" w:eastAsia="hr-HR" w:bidi="he-IL"/>
        </w:rPr>
        <w:t>.</w:t>
      </w:r>
    </w:p>
    <w:p w14:paraId="3897C1B5" w14:textId="77777777" w:rsidR="00AE3B0D" w:rsidRPr="00AE3B0D" w:rsidRDefault="00AE3B0D" w:rsidP="00AE3B0D">
      <w:pPr>
        <w:numPr>
          <w:ilvl w:val="0"/>
          <w:numId w:val="25"/>
        </w:numPr>
        <w:suppressAutoHyphens w:val="0"/>
        <w:autoSpaceDN/>
        <w:spacing w:before="120" w:after="120" w:line="276" w:lineRule="auto"/>
        <w:ind w:left="284" w:hanging="284"/>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Stječemo razumijevanje internih kontrola relevantnih za reviziju kako bismo oblikovali revizijske postupke koji su primjereni u danim okolnostima, ali ne i za svrhu izražavanja mišljenja o učinkovitosti internih kontrola Banke.</w:t>
      </w:r>
    </w:p>
    <w:p w14:paraId="30EF1E63" w14:textId="77777777" w:rsidR="00AE3B0D" w:rsidRPr="00AE3B0D" w:rsidRDefault="00AE3B0D" w:rsidP="00AE3B0D">
      <w:pPr>
        <w:numPr>
          <w:ilvl w:val="0"/>
          <w:numId w:val="25"/>
        </w:numPr>
        <w:suppressAutoHyphens w:val="0"/>
        <w:autoSpaceDN/>
        <w:spacing w:before="120" w:after="120" w:line="276" w:lineRule="auto"/>
        <w:ind w:left="284" w:hanging="284"/>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 xml:space="preserve">Ocjenjujemo primjerenost korištenih računovodstvenih politika i razumnost računovodstvenih procjena i povezanih objava koje je stvorila Uprava Banke. </w:t>
      </w:r>
    </w:p>
    <w:p w14:paraId="606D8970" w14:textId="77777777" w:rsidR="00AE3B0D" w:rsidRPr="00AE3B0D" w:rsidRDefault="00AE3B0D" w:rsidP="00AE3B0D">
      <w:pPr>
        <w:suppressAutoHyphens w:val="0"/>
        <w:autoSpaceDN/>
        <w:spacing w:before="120" w:after="120"/>
        <w:jc w:val="both"/>
        <w:rPr>
          <w:rFonts w:ascii="Trebuchet MS" w:hAnsi="Trebuchet MS" w:cs="Arial"/>
          <w:sz w:val="20"/>
          <w:szCs w:val="20"/>
          <w:lang w:val="af-ZA" w:eastAsia="hr-HR" w:bidi="he-IL"/>
        </w:rPr>
        <w:sectPr w:rsidR="00AE3B0D" w:rsidRPr="00AE3B0D" w:rsidSect="00CA7A53">
          <w:pgSz w:w="11907" w:h="16840" w:code="9"/>
          <w:pgMar w:top="1418" w:right="1418" w:bottom="1418" w:left="1418" w:header="720" w:footer="720" w:gutter="0"/>
          <w:cols w:space="720"/>
        </w:sectPr>
      </w:pPr>
    </w:p>
    <w:p w14:paraId="653E86D8" w14:textId="77777777" w:rsidR="00AE3B0D" w:rsidRPr="00AE3B0D" w:rsidRDefault="00AE3B0D" w:rsidP="00AE3B0D">
      <w:pPr>
        <w:suppressAutoHyphens w:val="0"/>
        <w:autoSpaceDN/>
        <w:rPr>
          <w:rFonts w:ascii="Trebuchet MS" w:eastAsia="Calibri" w:hAnsi="Trebuchet MS"/>
          <w:b/>
          <w:bCs/>
          <w:sz w:val="20"/>
          <w:szCs w:val="20"/>
          <w:lang w:val="hr-HR"/>
        </w:rPr>
      </w:pPr>
      <w:r w:rsidRPr="00AE3B0D">
        <w:rPr>
          <w:rFonts w:ascii="Trebuchet MS" w:eastAsia="Calibri" w:hAnsi="Trebuchet MS"/>
          <w:b/>
          <w:bCs/>
          <w:sz w:val="20"/>
          <w:szCs w:val="20"/>
          <w:lang w:val="hr-HR"/>
        </w:rPr>
        <w:lastRenderedPageBreak/>
        <w:t>ZAJEDNIČKO IZVJEŠĆE NEOVISNOG REVIZORA VLASNIKU HRVATSKE BANKE ZA OBNOVU I RAZVITAK (NASTAVAK)</w:t>
      </w:r>
    </w:p>
    <w:p w14:paraId="2AC801A9" w14:textId="77777777" w:rsidR="00AE3B0D" w:rsidRPr="00AE3B0D" w:rsidRDefault="00AE3B0D" w:rsidP="00AE3B0D">
      <w:pPr>
        <w:suppressAutoHyphens w:val="0"/>
        <w:autoSpaceDN/>
        <w:spacing w:before="240" w:after="200"/>
        <w:jc w:val="both"/>
        <w:rPr>
          <w:rFonts w:ascii="Trebuchet MS" w:hAnsi="Trebuchet MS" w:cs="Arial"/>
          <w:b/>
          <w:kern w:val="8"/>
          <w:sz w:val="20"/>
          <w:szCs w:val="20"/>
          <w:lang w:val="hr-HR" w:eastAsia="af-ZA"/>
        </w:rPr>
      </w:pPr>
      <w:r w:rsidRPr="00AE3B0D">
        <w:rPr>
          <w:rFonts w:ascii="Trebuchet MS" w:hAnsi="Trebuchet MS" w:cs="Arial"/>
          <w:b/>
          <w:kern w:val="8"/>
          <w:sz w:val="20"/>
          <w:szCs w:val="20"/>
          <w:lang w:val="hr-HR" w:eastAsia="af-ZA"/>
        </w:rPr>
        <w:t>Izvješće o reviziji godišnjih odvojenih i konsolidiranih financijskih izvještaja (nastavak)</w:t>
      </w:r>
    </w:p>
    <w:p w14:paraId="55F4672B" w14:textId="4650AF85" w:rsidR="00AE3B0D" w:rsidRPr="00AE3B0D" w:rsidRDefault="00AE3B0D" w:rsidP="00AE3B0D">
      <w:pPr>
        <w:suppressAutoHyphens w:val="0"/>
        <w:autoSpaceDN/>
        <w:spacing w:after="200"/>
        <w:jc w:val="both"/>
        <w:rPr>
          <w:rFonts w:ascii="Trebuchet MS" w:hAnsi="Trebuchet MS" w:cs="Arial"/>
          <w:b/>
          <w:color w:val="000000"/>
          <w:sz w:val="20"/>
          <w:szCs w:val="20"/>
          <w:lang w:val="hr-HR" w:eastAsia="hr-HR"/>
        </w:rPr>
      </w:pPr>
      <w:r w:rsidRPr="00AE3B0D">
        <w:rPr>
          <w:rFonts w:ascii="Trebuchet MS" w:hAnsi="Trebuchet MS" w:cs="Arial"/>
          <w:b/>
          <w:color w:val="000000"/>
          <w:sz w:val="20"/>
          <w:szCs w:val="20"/>
          <w:lang w:val="hr-HR" w:eastAsia="hr-HR"/>
        </w:rPr>
        <w:t xml:space="preserve">Revizorove odgovornosti za reviziju godišnjih </w:t>
      </w:r>
      <w:r w:rsidR="00311E9C">
        <w:rPr>
          <w:rFonts w:ascii="Trebuchet MS" w:hAnsi="Trebuchet MS" w:cs="Arial"/>
          <w:b/>
          <w:color w:val="000000"/>
          <w:sz w:val="20"/>
          <w:szCs w:val="20"/>
          <w:lang w:val="hr-HR" w:eastAsia="hr-HR"/>
        </w:rPr>
        <w:t xml:space="preserve">odvojenih i konsolidiranih </w:t>
      </w:r>
      <w:r w:rsidRPr="00AE3B0D">
        <w:rPr>
          <w:rFonts w:ascii="Trebuchet MS" w:hAnsi="Trebuchet MS" w:cs="Arial"/>
          <w:b/>
          <w:color w:val="000000"/>
          <w:sz w:val="20"/>
          <w:szCs w:val="20"/>
          <w:lang w:val="hr-HR" w:eastAsia="hr-HR"/>
        </w:rPr>
        <w:t>financijskih izvještaja (nastavak)</w:t>
      </w:r>
    </w:p>
    <w:p w14:paraId="1C26ADFF" w14:textId="77777777" w:rsidR="00AE3B0D" w:rsidRPr="00AE3B0D" w:rsidRDefault="00AE3B0D" w:rsidP="00AE3B0D">
      <w:pPr>
        <w:numPr>
          <w:ilvl w:val="0"/>
          <w:numId w:val="25"/>
        </w:numPr>
        <w:suppressAutoHyphens w:val="0"/>
        <w:autoSpaceDN/>
        <w:spacing w:after="120" w:line="276" w:lineRule="auto"/>
        <w:ind w:left="284" w:hanging="284"/>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Zaključujemo o primjerenosti korištene računovodstvene osnove utemeljene na vremenskoj neograničenosti poslovanja koju koristi Uprava Banke i, temeljeno na pribavljenim revizijskim dokazima, zaključujemo o tome postoji li značajna neizvjesnost u vezi s događajima ili okolnosti-ma koji mogu stvarati značajnu sumnju u sposobnost Banke da nastavi s poslovanjem po vremenski neograničenom poslovanju. Ako zaključimo da postoji značajna neizvjesnost, od nas se zahtijeva da skrenemo pozornost u našem izvješću neovisnog revizora na povezane objave u godišnjim odvojenim i konsolidiranim financijskim izvještajima ili, ako takve objave nisu odgovarajuće, da modificiramo naše mišljenje. Naši zaključci se temelje na revizijskim dokazima pribavljenim sve do datuma našeg Izvješća neovisnog revizora. Međutim, budući događaji ili uvjeti mogu uzrokovati da Banka prekine s nastavljanjem poslovanja po vremenski neograničenom poslovanju.</w:t>
      </w:r>
    </w:p>
    <w:p w14:paraId="12EDCD28" w14:textId="77777777" w:rsidR="00AE3B0D" w:rsidRPr="00AE3B0D" w:rsidRDefault="00AE3B0D" w:rsidP="00AE3B0D">
      <w:pPr>
        <w:numPr>
          <w:ilvl w:val="0"/>
          <w:numId w:val="25"/>
        </w:numPr>
        <w:suppressAutoHyphens w:val="0"/>
        <w:autoSpaceDN/>
        <w:spacing w:after="120" w:line="276" w:lineRule="auto"/>
        <w:ind w:left="284" w:hanging="284"/>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Ocjenjujemo cjelokupnu prezentaciju, strukturu i sadržaj godišnjih odvojenih i konsolidiranih financijskih izvještaja, uključujući i objave, kao i odražavaju li godišnji financijski izvještaji transakcije i događaje na kojima su zasnovani na način kojim se postiže fer prezentacija</w:t>
      </w:r>
    </w:p>
    <w:p w14:paraId="47E42FE1" w14:textId="77777777" w:rsidR="00AE3B0D" w:rsidRPr="00AE3B0D" w:rsidRDefault="00AE3B0D" w:rsidP="00AE3B0D">
      <w:pPr>
        <w:numPr>
          <w:ilvl w:val="0"/>
          <w:numId w:val="25"/>
        </w:numPr>
        <w:suppressAutoHyphens w:val="0"/>
        <w:autoSpaceDN/>
        <w:spacing w:after="120" w:line="276" w:lineRule="auto"/>
        <w:ind w:left="284" w:hanging="284"/>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Pribavljamo dovoljno odgovarajućih revizijskih dokaza u vezi financijskih informacija od osoba ili poslovnih aktivnosti unutar Grupe za izražavanje mišljenja o konsolidiranim financijskim izvještajima. Mi smo odgovorni za usmjeravanje, nadzor i izvedbu grupne revizije. Jedini smo odgovorni za izražavanje našeg mišljenja.</w:t>
      </w:r>
    </w:p>
    <w:p w14:paraId="180D94FF" w14:textId="77777777" w:rsidR="00AE3B0D" w:rsidRPr="00AE3B0D" w:rsidRDefault="00AE3B0D" w:rsidP="00AE3B0D">
      <w:pPr>
        <w:suppressAutoHyphens w:val="0"/>
        <w:autoSpaceDN/>
        <w:spacing w:after="200"/>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Mi komuniciramo s onima koji su zaduženi za upravljanje u vezi s, između ostalih pitanja, planiranim djelokrugom i vremenskim rasporedom revizije i važnim revizijskim nalazima, uključujući i u vezi sa značajnim nedostacima u internim kontrolama koji su otkriveni tijekom naše revizije.</w:t>
      </w:r>
    </w:p>
    <w:p w14:paraId="5C19AE56" w14:textId="77777777" w:rsidR="00AE3B0D" w:rsidRPr="00AE3B0D" w:rsidRDefault="00AE3B0D" w:rsidP="00AE3B0D">
      <w:pPr>
        <w:suppressAutoHyphens w:val="0"/>
        <w:autoSpaceDN/>
        <w:spacing w:after="200"/>
        <w:jc w:val="both"/>
        <w:rPr>
          <w:rFonts w:ascii="Trebuchet MS" w:hAnsi="Trebuchet MS" w:cs="Arial"/>
          <w:bCs/>
          <w:sz w:val="20"/>
          <w:szCs w:val="20"/>
          <w:lang w:val="hr-HR" w:eastAsia="hr-HR" w:bidi="he-IL"/>
        </w:rPr>
      </w:pPr>
      <w:r w:rsidRPr="00AE3B0D">
        <w:rPr>
          <w:rFonts w:ascii="Trebuchet MS" w:hAnsi="Trebuchet MS" w:cs="Arial"/>
          <w:bCs/>
          <w:sz w:val="20"/>
          <w:szCs w:val="20"/>
          <w:lang w:val="hr-HR" w:eastAsia="hr-HR" w:bidi="he-IL"/>
        </w:rPr>
        <w:t>Mi također dajemo izjavu onima koji su zaduženi za upravljanje da smo postupili u skladu s relevantnim etičkim zahtjevima u vezi s neovisnošću i da ćemo komunicirati s njima o svim odnosima i drugim pitanjima za koja se može razumno smatrati da utječu na našu neovisnost, kao i, gdje je primjenjivo, o povezanim zaštitama.</w:t>
      </w:r>
    </w:p>
    <w:p w14:paraId="6041FFD1" w14:textId="570B1E91" w:rsidR="00AE3B0D" w:rsidRPr="00AE3B0D" w:rsidRDefault="00AE3B0D" w:rsidP="00AE3B0D">
      <w:pPr>
        <w:suppressAutoHyphens w:val="0"/>
        <w:autoSpaceDN/>
        <w:jc w:val="both"/>
        <w:rPr>
          <w:rFonts w:ascii="Trebuchet MS" w:hAnsi="Trebuchet MS" w:cs="Arial"/>
          <w:bCs/>
          <w:sz w:val="20"/>
          <w:szCs w:val="20"/>
          <w:lang w:val="hr-HR" w:eastAsia="hr-HR" w:bidi="he-IL"/>
        </w:rPr>
      </w:pPr>
      <w:r w:rsidRPr="00AE3B0D">
        <w:rPr>
          <w:rFonts w:ascii="Trebuchet MS" w:hAnsi="Trebuchet MS" w:cs="Arial"/>
          <w:bCs/>
          <w:sz w:val="20"/>
          <w:szCs w:val="20"/>
          <w:lang w:val="hr-HR" w:eastAsia="hr-HR" w:bidi="he-IL"/>
        </w:rPr>
        <w:t xml:space="preserve">Između pitanja o kojima se komunicira s onima koji su zaduženi za upravljanje, mi određujemo ona pitanja koja su od najveće važnosti u reviziji godišnjih </w:t>
      </w:r>
      <w:r w:rsidR="00356F34">
        <w:rPr>
          <w:rFonts w:ascii="Trebuchet MS" w:hAnsi="Trebuchet MS" w:cs="Arial"/>
          <w:bCs/>
          <w:sz w:val="20"/>
          <w:szCs w:val="20"/>
          <w:lang w:val="hr-HR" w:eastAsia="hr-HR" w:bidi="he-IL"/>
        </w:rPr>
        <w:t xml:space="preserve">odvojenih i konsolidiranih </w:t>
      </w:r>
      <w:r w:rsidRPr="00AE3B0D">
        <w:rPr>
          <w:rFonts w:ascii="Trebuchet MS" w:hAnsi="Trebuchet MS" w:cs="Arial"/>
          <w:bCs/>
          <w:sz w:val="20"/>
          <w:szCs w:val="20"/>
          <w:lang w:val="hr-HR" w:eastAsia="hr-HR" w:bidi="he-IL"/>
        </w:rPr>
        <w:t>financijskih izvještaja tekućeg razdoblja i stoga su ključna revizijska pitanja. Mi opisujemo ta pitanja u našem Izvješću neovisnog revizora, osim ako zakon ili regulativa sprječava javno objavljivanje pitanja ili kada odlučimo, u iznimno rijetkim okolnostima, da pitanje ne treba priopćiti u našem Izvješću neovisnog revizora jer se razumno može očekivati da bi negativne posljedice priopćavanja nadmašile dobrobiti javnog interesa od takvog priopćavanja.</w:t>
      </w:r>
    </w:p>
    <w:p w14:paraId="5EFFE850" w14:textId="77777777" w:rsidR="00AE3B0D" w:rsidRPr="00AE3B0D" w:rsidRDefault="00AE3B0D" w:rsidP="00AE3B0D">
      <w:pPr>
        <w:suppressAutoHyphens w:val="0"/>
        <w:autoSpaceDN/>
        <w:jc w:val="both"/>
        <w:rPr>
          <w:rFonts w:ascii="Trebuchet MS" w:eastAsia="Batang" w:hAnsi="Trebuchet MS" w:cs="Arial"/>
          <w:b/>
          <w:bCs/>
          <w:sz w:val="20"/>
          <w:szCs w:val="20"/>
          <w:lang w:val="hr-HR" w:eastAsia="hr-HR"/>
        </w:rPr>
      </w:pPr>
    </w:p>
    <w:p w14:paraId="1A803AC7" w14:textId="77777777" w:rsidR="00AE3B0D" w:rsidRPr="00AE3B0D" w:rsidRDefault="00AE3B0D" w:rsidP="00AE3B0D">
      <w:pPr>
        <w:suppressAutoHyphens w:val="0"/>
        <w:autoSpaceDN/>
        <w:jc w:val="both"/>
        <w:rPr>
          <w:rFonts w:ascii="Trebuchet MS" w:eastAsia="Batang" w:hAnsi="Trebuchet MS" w:cs="Arial"/>
          <w:b/>
          <w:bCs/>
          <w:sz w:val="20"/>
          <w:szCs w:val="20"/>
          <w:lang w:val="hr-HR" w:eastAsia="hr-HR"/>
        </w:rPr>
      </w:pPr>
    </w:p>
    <w:p w14:paraId="445BA57B" w14:textId="77777777" w:rsidR="00AE3B0D" w:rsidRPr="00AE3B0D" w:rsidRDefault="00AE3B0D" w:rsidP="00AE3B0D">
      <w:pPr>
        <w:suppressAutoHyphens w:val="0"/>
        <w:autoSpaceDN/>
        <w:spacing w:after="200"/>
        <w:jc w:val="both"/>
        <w:rPr>
          <w:rFonts w:ascii="Trebuchet MS" w:hAnsi="Trebuchet MS" w:cs="Arial"/>
          <w:b/>
          <w:color w:val="000000"/>
          <w:sz w:val="20"/>
          <w:szCs w:val="20"/>
          <w:lang w:val="hr-HR" w:eastAsia="hr-HR"/>
        </w:rPr>
        <w:sectPr w:rsidR="00AE3B0D" w:rsidRPr="00AE3B0D" w:rsidSect="00CA7A53">
          <w:pgSz w:w="11907" w:h="16840" w:code="9"/>
          <w:pgMar w:top="1418" w:right="1418" w:bottom="1418" w:left="1418" w:header="720" w:footer="720" w:gutter="0"/>
          <w:cols w:space="720"/>
        </w:sectPr>
      </w:pPr>
    </w:p>
    <w:p w14:paraId="0AE83A93" w14:textId="77777777" w:rsidR="00AE3B0D" w:rsidRPr="00AE3B0D" w:rsidRDefault="00AE3B0D" w:rsidP="00AE3B0D">
      <w:pPr>
        <w:suppressAutoHyphens w:val="0"/>
        <w:autoSpaceDN/>
        <w:rPr>
          <w:rFonts w:ascii="Trebuchet MS" w:eastAsia="Calibri" w:hAnsi="Trebuchet MS"/>
          <w:b/>
          <w:bCs/>
          <w:sz w:val="20"/>
          <w:szCs w:val="20"/>
          <w:lang w:val="hr-HR"/>
        </w:rPr>
      </w:pPr>
      <w:r w:rsidRPr="00AE3B0D">
        <w:rPr>
          <w:rFonts w:ascii="Trebuchet MS" w:eastAsia="Calibri" w:hAnsi="Trebuchet MS"/>
          <w:b/>
          <w:bCs/>
          <w:sz w:val="20"/>
          <w:szCs w:val="20"/>
          <w:lang w:val="hr-HR"/>
        </w:rPr>
        <w:lastRenderedPageBreak/>
        <w:t>ZAJEDNIČKO IZVJEŠĆE NEOVISNOG REVIZORA VLASNIKU HRVATSKE BANKE ZA OBNOVU I RAZVITAK (NASTAVAK)</w:t>
      </w:r>
    </w:p>
    <w:p w14:paraId="0A1BD98B" w14:textId="77777777" w:rsidR="00AE3B0D" w:rsidRPr="00AE3B0D" w:rsidRDefault="00AE3B0D" w:rsidP="00AE3B0D">
      <w:pPr>
        <w:suppressAutoHyphens w:val="0"/>
        <w:autoSpaceDN/>
        <w:spacing w:before="240" w:after="200"/>
        <w:jc w:val="both"/>
        <w:rPr>
          <w:rFonts w:ascii="Trebuchet MS" w:hAnsi="Trebuchet MS" w:cs="Arial"/>
          <w:b/>
          <w:kern w:val="8"/>
          <w:sz w:val="20"/>
          <w:szCs w:val="20"/>
          <w:lang w:val="hr-HR" w:eastAsia="af-ZA"/>
        </w:rPr>
      </w:pPr>
      <w:r w:rsidRPr="00AE3B0D">
        <w:rPr>
          <w:rFonts w:ascii="Trebuchet MS" w:hAnsi="Trebuchet MS" w:cs="Arial"/>
          <w:b/>
          <w:kern w:val="8"/>
          <w:sz w:val="20"/>
          <w:szCs w:val="20"/>
          <w:lang w:val="hr-HR" w:eastAsia="af-ZA"/>
        </w:rPr>
        <w:t>Izvješće o reviziji godišnjih odvojenih i konsolidiranih financijskih izvještaja (nastavak)</w:t>
      </w:r>
    </w:p>
    <w:p w14:paraId="69756F8D" w14:textId="77777777" w:rsidR="00AE3B0D" w:rsidRPr="00AE3B0D" w:rsidRDefault="00AE3B0D" w:rsidP="00AE3B0D">
      <w:pPr>
        <w:suppressAutoHyphens w:val="0"/>
        <w:autoSpaceDN/>
        <w:spacing w:after="200"/>
        <w:jc w:val="both"/>
        <w:rPr>
          <w:rFonts w:ascii="Trebuchet MS" w:hAnsi="Trebuchet MS" w:cs="Arial"/>
          <w:b/>
          <w:color w:val="000000"/>
          <w:sz w:val="20"/>
          <w:szCs w:val="20"/>
          <w:lang w:val="hr-HR" w:eastAsia="hr-HR"/>
        </w:rPr>
      </w:pPr>
      <w:r w:rsidRPr="00AE3B0D">
        <w:rPr>
          <w:rFonts w:ascii="Trebuchet MS" w:hAnsi="Trebuchet MS" w:cs="Arial"/>
          <w:b/>
          <w:color w:val="000000"/>
          <w:sz w:val="20"/>
          <w:szCs w:val="20"/>
          <w:lang w:val="hr-HR" w:eastAsia="hr-HR"/>
        </w:rPr>
        <w:t>Izvješće o drugim zakonskim i regulatornim zahtjevima</w:t>
      </w:r>
    </w:p>
    <w:p w14:paraId="59456E0E" w14:textId="29BE892A" w:rsidR="00AE3B0D" w:rsidRPr="00AE3B0D" w:rsidRDefault="00AE3B0D" w:rsidP="00AE3B0D">
      <w:pPr>
        <w:suppressAutoHyphens w:val="0"/>
        <w:autoSpaceDN/>
        <w:spacing w:after="120"/>
        <w:jc w:val="both"/>
        <w:rPr>
          <w:rFonts w:ascii="Trebuchet MS" w:hAnsi="Trebuchet MS" w:cs="Arial"/>
          <w:bCs/>
          <w:sz w:val="20"/>
          <w:szCs w:val="20"/>
          <w:lang w:val="hr-HR" w:eastAsia="hr-HR" w:bidi="he-IL"/>
        </w:rPr>
      </w:pPr>
      <w:r w:rsidRPr="00AE3B0D">
        <w:rPr>
          <w:rFonts w:ascii="Trebuchet MS" w:hAnsi="Trebuchet MS" w:cs="Arial"/>
          <w:bCs/>
          <w:sz w:val="20"/>
          <w:szCs w:val="20"/>
          <w:lang w:val="hr-HR" w:eastAsia="hr-HR" w:bidi="he-IL"/>
        </w:rPr>
        <w:t>Društva BDO Croatia d.o.o. i PKF FACT revizija d.o.o. imenovana su revizorima od strane onih zaduženih za nadzor na 28. rujna 2021. da obave reviziju</w:t>
      </w:r>
      <w:r w:rsidR="001A3A4D">
        <w:rPr>
          <w:rFonts w:ascii="Trebuchet MS" w:hAnsi="Trebuchet MS" w:cs="Arial"/>
          <w:bCs/>
          <w:sz w:val="20"/>
          <w:szCs w:val="20"/>
          <w:lang w:val="hr-HR" w:eastAsia="hr-HR" w:bidi="he-IL"/>
        </w:rPr>
        <w:t xml:space="preserve"> godišnjih odvojenih i konsolidiranih</w:t>
      </w:r>
      <w:r w:rsidRPr="00AE3B0D">
        <w:rPr>
          <w:rFonts w:ascii="Trebuchet MS" w:hAnsi="Trebuchet MS" w:cs="Arial"/>
          <w:bCs/>
          <w:sz w:val="20"/>
          <w:szCs w:val="20"/>
          <w:lang w:val="hr-HR" w:eastAsia="hr-HR" w:bidi="he-IL"/>
        </w:rPr>
        <w:t xml:space="preserve"> financijskih izvještaja Banke i Grupe za godinu koja je završila 31. prosinca 2022. Ukupno neprekinuto razdoblje angažmana društva BDO Croatia d.o.o. iznosi 4 godine. Ukupno neprekinuto razdoblje angažmana društva PKF FACT revizija d.o.o. iznosi 2 godine.</w:t>
      </w:r>
    </w:p>
    <w:p w14:paraId="579BF643" w14:textId="77777777" w:rsidR="00AE3B0D" w:rsidRPr="00AE3B0D" w:rsidRDefault="00AE3B0D" w:rsidP="00AE3B0D">
      <w:pPr>
        <w:suppressAutoHyphens w:val="0"/>
        <w:autoSpaceDN/>
        <w:spacing w:after="120"/>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U reviziji odvojenih i konsolidiranih godišnjih financijskih izvještaja Banke i Grupe za 2022. godinu odredili smo značajnosti za godišnje financijske izvještaje kao cjelinu, kako slijedi:</w:t>
      </w:r>
    </w:p>
    <w:p w14:paraId="154346C1" w14:textId="77777777" w:rsidR="00AE3B0D" w:rsidRPr="00AE3B0D" w:rsidRDefault="00AE3B0D" w:rsidP="00AE3B0D">
      <w:pPr>
        <w:numPr>
          <w:ilvl w:val="2"/>
          <w:numId w:val="26"/>
        </w:numPr>
        <w:tabs>
          <w:tab w:val="num" w:pos="1418"/>
        </w:tabs>
        <w:suppressAutoHyphens w:val="0"/>
        <w:autoSpaceDN/>
        <w:spacing w:after="200" w:line="276" w:lineRule="auto"/>
        <w:ind w:hanging="1026"/>
        <w:contextualSpacing/>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za odvojene godišnje financijske izvještaje: 107 milijuna kuna</w:t>
      </w:r>
    </w:p>
    <w:p w14:paraId="50FE087E" w14:textId="77777777" w:rsidR="00AE3B0D" w:rsidRPr="00AE3B0D" w:rsidRDefault="00AE3B0D" w:rsidP="00AE3B0D">
      <w:pPr>
        <w:numPr>
          <w:ilvl w:val="2"/>
          <w:numId w:val="26"/>
        </w:numPr>
        <w:tabs>
          <w:tab w:val="num" w:pos="1418"/>
        </w:tabs>
        <w:suppressAutoHyphens w:val="0"/>
        <w:autoSpaceDN/>
        <w:spacing w:after="200" w:line="276" w:lineRule="auto"/>
        <w:ind w:hanging="1026"/>
        <w:contextualSpacing/>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za konsolidirane godišnje financijske izvještaje: 107 milijuna kuna</w:t>
      </w:r>
    </w:p>
    <w:p w14:paraId="3C98B452" w14:textId="77777777" w:rsidR="00AE3B0D" w:rsidRPr="00AE3B0D" w:rsidRDefault="00AE3B0D" w:rsidP="00AE3B0D">
      <w:pPr>
        <w:suppressAutoHyphens w:val="0"/>
        <w:autoSpaceDN/>
        <w:spacing w:before="120"/>
        <w:ind w:right="-2"/>
        <w:jc w:val="both"/>
        <w:rPr>
          <w:rFonts w:ascii="Trebuchet MS" w:hAnsi="Trebuchet MS"/>
          <w:sz w:val="20"/>
          <w:szCs w:val="20"/>
          <w:lang w:val="hr-HR"/>
        </w:rPr>
      </w:pPr>
      <w:r w:rsidRPr="00AE3B0D">
        <w:rPr>
          <w:rFonts w:ascii="Trebuchet MS" w:hAnsi="Trebuchet MS"/>
          <w:sz w:val="20"/>
          <w:szCs w:val="20"/>
          <w:lang w:val="hr-HR"/>
        </w:rPr>
        <w:t xml:space="preserve">što predstavlja približno 1% neto imovine Banke odnosno Grupe na dan 31. prosinca 2022. </w:t>
      </w:r>
    </w:p>
    <w:p w14:paraId="494A92DE" w14:textId="77777777" w:rsidR="00AE3B0D" w:rsidRPr="00AE3B0D" w:rsidRDefault="00AE3B0D" w:rsidP="00AE3B0D">
      <w:pPr>
        <w:suppressAutoHyphens w:val="0"/>
        <w:autoSpaceDN/>
        <w:spacing w:before="120"/>
        <w:ind w:right="-2"/>
        <w:jc w:val="both"/>
        <w:rPr>
          <w:rFonts w:ascii="Trebuchet MS" w:hAnsi="Trebuchet MS"/>
          <w:sz w:val="20"/>
          <w:szCs w:val="20"/>
          <w:lang w:val="hr-HR"/>
        </w:rPr>
      </w:pPr>
      <w:r w:rsidRPr="00AE3B0D">
        <w:rPr>
          <w:rFonts w:ascii="Trebuchet MS" w:hAnsi="Trebuchet MS"/>
          <w:sz w:val="20"/>
          <w:szCs w:val="20"/>
          <w:lang w:val="hr-HR"/>
        </w:rPr>
        <w:t>Odabrali smo neto imovinu kao mjerilo značajnosti jer smatramo da se radi o najprikladnijem mjerilu prema kojem korisnici najčešće ocjenjuju uspješnost poslovanja Banke i Grupe, a ujedno se radi i o općeprihvaćenom mjerilu.</w:t>
      </w:r>
    </w:p>
    <w:p w14:paraId="4CF129C3" w14:textId="77777777" w:rsidR="00AE3B0D" w:rsidRPr="00AE3B0D" w:rsidRDefault="00AE3B0D" w:rsidP="00AE3B0D">
      <w:pPr>
        <w:suppressAutoHyphens w:val="0"/>
        <w:autoSpaceDN/>
        <w:spacing w:before="120" w:after="120"/>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 xml:space="preserve">Naše revizijsko mišljenje dosljedno je s dodatnim izvješćem za revizijski odbor Banke sastavljenim sukladno odredbama iz članka 11. Uredbe (EU) br. 537/2014. </w:t>
      </w:r>
    </w:p>
    <w:p w14:paraId="5ADBF2E2" w14:textId="77777777" w:rsidR="00AE3B0D" w:rsidRPr="00AE3B0D" w:rsidRDefault="00AE3B0D" w:rsidP="00AE3B0D">
      <w:pPr>
        <w:suppressAutoHyphens w:val="0"/>
        <w:autoSpaceDN/>
        <w:spacing w:before="120" w:after="120"/>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Tijekom razdoblja između početnog datuma revidiranih godišnjih odvojenih i konsolidiranih financijskih izvještaja Banke i Grupe za 2022. godinu i datuma ovog Izvješća nismo Banci niti Grupi pružili zabranjene nerevizorske usluge i nismo u poslovnoj godini prije prethodno navedenog razdoblja pružali usluge osmišljavanja i implementacije postupaka internih kontrola ili upravljanja rizicima povezanih s pripremom i/ili kontrolom financijskih informacija ili osmišljavanja i implementacije tehnoloških sustava za financijske informacije, te smo u obavljanju revizije sačuvali neovisnost u odnosu na Banku i Grupu.</w:t>
      </w:r>
    </w:p>
    <w:p w14:paraId="4301A829" w14:textId="77777777" w:rsidR="00AE3B0D" w:rsidRPr="00AE3B0D" w:rsidRDefault="00AE3B0D" w:rsidP="00AE3B0D">
      <w:pPr>
        <w:suppressAutoHyphens w:val="0"/>
        <w:autoSpaceDN/>
        <w:spacing w:before="120" w:after="120"/>
        <w:jc w:val="both"/>
        <w:rPr>
          <w:rFonts w:ascii="Trebuchet MS" w:hAnsi="Trebuchet MS" w:cs="Arial"/>
          <w:sz w:val="20"/>
          <w:szCs w:val="20"/>
          <w:lang w:val="hr-HR" w:eastAsia="hr-HR" w:bidi="he-IL"/>
        </w:rPr>
      </w:pPr>
      <w:r w:rsidRPr="00AE3B0D">
        <w:rPr>
          <w:rFonts w:ascii="Trebuchet MS" w:hAnsi="Trebuchet MS" w:cs="Arial"/>
          <w:sz w:val="20"/>
          <w:szCs w:val="20"/>
          <w:lang w:val="hr-HR" w:eastAsia="hr-HR" w:bidi="he-IL"/>
        </w:rPr>
        <w:t>Angažirani partneri u reviziji godišnjih odvojenih i konsolidiranih financijskih izvještaja Banke i Grupe za 2022. godinu koja ima za posljedicu ovo Zajedničko zvješće neovisnog revizora su Ivan Čajko, ovlašteni revizor (BDO Croatia d.o.o.) i Jeni Krstičević, ovlašteni revizor (PKF FACT revizija d.o.o.).</w:t>
      </w:r>
    </w:p>
    <w:p w14:paraId="07E6CA98" w14:textId="0AAA8BCA" w:rsidR="00AE3B0D" w:rsidRDefault="00AE3B0D" w:rsidP="00AE3B0D">
      <w:pPr>
        <w:spacing w:before="120" w:after="120"/>
        <w:jc w:val="both"/>
        <w:rPr>
          <w:rFonts w:ascii="Trebuchet MS" w:hAnsi="Trebuchet MS" w:cs="Arial"/>
          <w:sz w:val="20"/>
          <w:szCs w:val="20"/>
          <w:lang w:eastAsia="hr-HR" w:bidi="he-IL"/>
        </w:rPr>
      </w:pPr>
    </w:p>
    <w:p w14:paraId="3BF6ED2E" w14:textId="77777777" w:rsidR="00AE3B0D" w:rsidRPr="001E2DB3" w:rsidRDefault="00AE3B0D" w:rsidP="00AE3B0D">
      <w:pPr>
        <w:spacing w:before="120" w:after="120"/>
        <w:jc w:val="both"/>
        <w:rPr>
          <w:rFonts w:ascii="Trebuchet MS" w:hAnsi="Trebuchet MS" w:cs="Arial"/>
          <w:sz w:val="20"/>
          <w:szCs w:val="20"/>
          <w:lang w:eastAsia="hr-HR" w:bidi="he-IL"/>
        </w:rPr>
      </w:pPr>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851"/>
        <w:gridCol w:w="4065"/>
      </w:tblGrid>
      <w:tr w:rsidR="00AE3B0D" w:rsidRPr="00ED53A7" w14:paraId="6091377A" w14:textId="77777777" w:rsidTr="00AE3B0D">
        <w:trPr>
          <w:trHeight w:val="285"/>
          <w:jc w:val="center"/>
        </w:trPr>
        <w:tc>
          <w:tcPr>
            <w:tcW w:w="4111" w:type="dxa"/>
            <w:tcBorders>
              <w:top w:val="nil"/>
              <w:left w:val="nil"/>
              <w:bottom w:val="nil"/>
              <w:right w:val="nil"/>
            </w:tcBorders>
            <w:shd w:val="clear" w:color="auto" w:fill="auto"/>
            <w:noWrap/>
            <w:vAlign w:val="bottom"/>
          </w:tcPr>
          <w:p w14:paraId="0AF5CDE3" w14:textId="77777777" w:rsidR="00AE3B0D" w:rsidRDefault="00AE3B0D" w:rsidP="008A0F3C">
            <w:pPr>
              <w:spacing w:before="120"/>
              <w:rPr>
                <w:rFonts w:ascii="Trebuchet MS" w:hAnsi="Trebuchet MS" w:cs="Arial"/>
                <w:sz w:val="20"/>
                <w:szCs w:val="20"/>
                <w:lang w:eastAsia="hr-HR"/>
              </w:rPr>
            </w:pPr>
            <w:r>
              <w:rPr>
                <w:rFonts w:ascii="Trebuchet MS" w:hAnsi="Trebuchet MS" w:cs="Arial"/>
                <w:sz w:val="20"/>
                <w:szCs w:val="20"/>
                <w:lang w:eastAsia="hr-HR"/>
              </w:rPr>
              <w:t xml:space="preserve">U </w:t>
            </w:r>
            <w:proofErr w:type="spellStart"/>
            <w:r>
              <w:rPr>
                <w:rFonts w:ascii="Trebuchet MS" w:hAnsi="Trebuchet MS" w:cs="Arial"/>
                <w:sz w:val="20"/>
                <w:szCs w:val="20"/>
                <w:lang w:eastAsia="hr-HR"/>
              </w:rPr>
              <w:t>Zagrebu</w:t>
            </w:r>
            <w:proofErr w:type="spellEnd"/>
            <w:r>
              <w:rPr>
                <w:rFonts w:ascii="Trebuchet MS" w:hAnsi="Trebuchet MS" w:cs="Arial"/>
                <w:sz w:val="20"/>
                <w:szCs w:val="20"/>
                <w:lang w:eastAsia="hr-HR"/>
              </w:rPr>
              <w:t>,</w:t>
            </w:r>
          </w:p>
          <w:p w14:paraId="12E83E95" w14:textId="3836880C" w:rsidR="00AE3B0D" w:rsidRPr="00ED53A7" w:rsidRDefault="00AE3B0D" w:rsidP="008A0F3C">
            <w:pPr>
              <w:spacing w:before="120"/>
              <w:rPr>
                <w:rFonts w:ascii="Trebuchet MS" w:hAnsi="Trebuchet MS" w:cs="Arial"/>
                <w:sz w:val="20"/>
                <w:szCs w:val="20"/>
                <w:lang w:eastAsia="hr-HR"/>
              </w:rPr>
            </w:pPr>
            <w:r>
              <w:rPr>
                <w:rFonts w:ascii="Trebuchet MS" w:hAnsi="Trebuchet MS" w:cs="Arial"/>
                <w:sz w:val="20"/>
                <w:szCs w:val="20"/>
                <w:lang w:eastAsia="hr-HR"/>
              </w:rPr>
              <w:t>2</w:t>
            </w:r>
            <w:r w:rsidR="00E9699B">
              <w:rPr>
                <w:rFonts w:ascii="Trebuchet MS" w:hAnsi="Trebuchet MS" w:cs="Arial"/>
                <w:sz w:val="20"/>
                <w:szCs w:val="20"/>
                <w:lang w:eastAsia="hr-HR"/>
              </w:rPr>
              <w:t>3</w:t>
            </w:r>
            <w:r>
              <w:rPr>
                <w:rFonts w:ascii="Trebuchet MS" w:hAnsi="Trebuchet MS" w:cs="Arial"/>
                <w:sz w:val="20"/>
                <w:szCs w:val="20"/>
                <w:lang w:eastAsia="hr-HR"/>
              </w:rPr>
              <w:t xml:space="preserve">. </w:t>
            </w:r>
            <w:proofErr w:type="spellStart"/>
            <w:r>
              <w:rPr>
                <w:rFonts w:ascii="Trebuchet MS" w:hAnsi="Trebuchet MS" w:cs="Arial"/>
                <w:sz w:val="20"/>
                <w:szCs w:val="20"/>
                <w:lang w:eastAsia="hr-HR"/>
              </w:rPr>
              <w:t>ožujka</w:t>
            </w:r>
            <w:proofErr w:type="spellEnd"/>
            <w:r>
              <w:rPr>
                <w:rFonts w:ascii="Trebuchet MS" w:hAnsi="Trebuchet MS" w:cs="Arial"/>
                <w:sz w:val="20"/>
                <w:szCs w:val="20"/>
                <w:lang w:eastAsia="hr-HR"/>
              </w:rPr>
              <w:t xml:space="preserve"> 2023</w:t>
            </w:r>
            <w:r w:rsidRPr="00ED53A7">
              <w:rPr>
                <w:rFonts w:ascii="Trebuchet MS" w:hAnsi="Trebuchet MS" w:cs="Arial"/>
                <w:sz w:val="20"/>
                <w:szCs w:val="20"/>
                <w:lang w:eastAsia="hr-HR"/>
              </w:rPr>
              <w:t xml:space="preserve">. </w:t>
            </w:r>
            <w:proofErr w:type="spellStart"/>
            <w:r w:rsidRPr="00ED53A7">
              <w:rPr>
                <w:rFonts w:ascii="Trebuchet MS" w:hAnsi="Trebuchet MS" w:cs="Arial"/>
                <w:sz w:val="20"/>
                <w:szCs w:val="20"/>
                <w:lang w:eastAsia="hr-HR"/>
              </w:rPr>
              <w:t>godine</w:t>
            </w:r>
            <w:proofErr w:type="spellEnd"/>
          </w:p>
        </w:tc>
        <w:tc>
          <w:tcPr>
            <w:tcW w:w="851" w:type="dxa"/>
            <w:tcBorders>
              <w:top w:val="nil"/>
              <w:left w:val="nil"/>
              <w:bottom w:val="nil"/>
              <w:right w:val="nil"/>
            </w:tcBorders>
            <w:vAlign w:val="bottom"/>
          </w:tcPr>
          <w:p w14:paraId="72B587AF" w14:textId="77777777" w:rsidR="00AE3B0D" w:rsidRPr="00ED53A7" w:rsidRDefault="00AE3B0D" w:rsidP="008A0F3C">
            <w:pPr>
              <w:spacing w:before="120"/>
              <w:jc w:val="center"/>
              <w:rPr>
                <w:rFonts w:ascii="Trebuchet MS" w:hAnsi="Trebuchet MS" w:cs="Arial"/>
                <w:sz w:val="20"/>
                <w:szCs w:val="20"/>
                <w:lang w:eastAsia="hr-HR"/>
              </w:rPr>
            </w:pPr>
          </w:p>
        </w:tc>
        <w:tc>
          <w:tcPr>
            <w:tcW w:w="4065" w:type="dxa"/>
            <w:tcBorders>
              <w:top w:val="nil"/>
              <w:left w:val="nil"/>
              <w:bottom w:val="nil"/>
              <w:right w:val="nil"/>
            </w:tcBorders>
            <w:shd w:val="clear" w:color="auto" w:fill="auto"/>
            <w:noWrap/>
            <w:vAlign w:val="bottom"/>
          </w:tcPr>
          <w:p w14:paraId="39232F33" w14:textId="77777777" w:rsidR="00AE3B0D" w:rsidRDefault="00AE3B0D" w:rsidP="008A0F3C">
            <w:pPr>
              <w:spacing w:before="120"/>
              <w:rPr>
                <w:rFonts w:ascii="Trebuchet MS" w:hAnsi="Trebuchet MS" w:cs="Arial"/>
                <w:sz w:val="20"/>
                <w:szCs w:val="20"/>
                <w:lang w:eastAsia="hr-HR"/>
              </w:rPr>
            </w:pPr>
            <w:r>
              <w:rPr>
                <w:rFonts w:ascii="Trebuchet MS" w:hAnsi="Trebuchet MS" w:cs="Arial"/>
                <w:sz w:val="20"/>
                <w:szCs w:val="20"/>
                <w:lang w:eastAsia="hr-HR"/>
              </w:rPr>
              <w:t xml:space="preserve">U </w:t>
            </w:r>
            <w:proofErr w:type="spellStart"/>
            <w:r>
              <w:rPr>
                <w:rFonts w:ascii="Trebuchet MS" w:hAnsi="Trebuchet MS" w:cs="Arial"/>
                <w:sz w:val="20"/>
                <w:szCs w:val="20"/>
                <w:lang w:eastAsia="hr-HR"/>
              </w:rPr>
              <w:t>Zagrebu</w:t>
            </w:r>
            <w:proofErr w:type="spellEnd"/>
            <w:r>
              <w:rPr>
                <w:rFonts w:ascii="Trebuchet MS" w:hAnsi="Trebuchet MS" w:cs="Arial"/>
                <w:sz w:val="20"/>
                <w:szCs w:val="20"/>
                <w:lang w:eastAsia="hr-HR"/>
              </w:rPr>
              <w:t>,</w:t>
            </w:r>
          </w:p>
          <w:p w14:paraId="15D67D4A" w14:textId="76582DD2" w:rsidR="00AE3B0D" w:rsidRPr="00ED53A7" w:rsidRDefault="00AE3B0D" w:rsidP="008A0F3C">
            <w:pPr>
              <w:spacing w:before="120"/>
              <w:rPr>
                <w:rFonts w:ascii="Trebuchet MS" w:hAnsi="Trebuchet MS" w:cs="Arial"/>
                <w:sz w:val="20"/>
                <w:szCs w:val="20"/>
                <w:lang w:eastAsia="hr-HR"/>
              </w:rPr>
            </w:pPr>
            <w:r w:rsidRPr="00A7468A">
              <w:rPr>
                <w:rFonts w:ascii="Trebuchet MS" w:hAnsi="Trebuchet MS" w:cs="Arial"/>
                <w:sz w:val="20"/>
                <w:szCs w:val="20"/>
                <w:lang w:eastAsia="hr-HR"/>
              </w:rPr>
              <w:t>2</w:t>
            </w:r>
            <w:r w:rsidR="00E9699B">
              <w:rPr>
                <w:rFonts w:ascii="Trebuchet MS" w:hAnsi="Trebuchet MS" w:cs="Arial"/>
                <w:sz w:val="20"/>
                <w:szCs w:val="20"/>
                <w:lang w:eastAsia="hr-HR"/>
              </w:rPr>
              <w:t>3</w:t>
            </w:r>
            <w:r w:rsidRPr="00A7468A">
              <w:rPr>
                <w:rFonts w:ascii="Trebuchet MS" w:hAnsi="Trebuchet MS" w:cs="Arial"/>
                <w:sz w:val="20"/>
                <w:szCs w:val="20"/>
                <w:lang w:eastAsia="hr-HR"/>
              </w:rPr>
              <w:t xml:space="preserve">. </w:t>
            </w:r>
            <w:proofErr w:type="spellStart"/>
            <w:r w:rsidRPr="00A7468A">
              <w:rPr>
                <w:rFonts w:ascii="Trebuchet MS" w:hAnsi="Trebuchet MS" w:cs="Arial"/>
                <w:sz w:val="20"/>
                <w:szCs w:val="20"/>
                <w:lang w:eastAsia="hr-HR"/>
              </w:rPr>
              <w:t>ožujka</w:t>
            </w:r>
            <w:proofErr w:type="spellEnd"/>
            <w:r w:rsidRPr="00A7468A">
              <w:rPr>
                <w:rFonts w:ascii="Trebuchet MS" w:hAnsi="Trebuchet MS" w:cs="Arial"/>
                <w:sz w:val="20"/>
                <w:szCs w:val="20"/>
                <w:lang w:eastAsia="hr-HR"/>
              </w:rPr>
              <w:t xml:space="preserve"> 202</w:t>
            </w:r>
            <w:r>
              <w:rPr>
                <w:rFonts w:ascii="Trebuchet MS" w:hAnsi="Trebuchet MS" w:cs="Arial"/>
                <w:sz w:val="20"/>
                <w:szCs w:val="20"/>
                <w:lang w:eastAsia="hr-HR"/>
              </w:rPr>
              <w:t>3</w:t>
            </w:r>
            <w:r w:rsidRPr="00ED53A7">
              <w:rPr>
                <w:rFonts w:ascii="Trebuchet MS" w:hAnsi="Trebuchet MS" w:cs="Arial"/>
                <w:sz w:val="20"/>
                <w:szCs w:val="20"/>
                <w:lang w:eastAsia="hr-HR"/>
              </w:rPr>
              <w:t xml:space="preserve">. </w:t>
            </w:r>
            <w:proofErr w:type="spellStart"/>
            <w:r w:rsidRPr="00ED53A7">
              <w:rPr>
                <w:rFonts w:ascii="Trebuchet MS" w:hAnsi="Trebuchet MS" w:cs="Arial"/>
                <w:sz w:val="20"/>
                <w:szCs w:val="20"/>
                <w:lang w:eastAsia="hr-HR"/>
              </w:rPr>
              <w:t>godine</w:t>
            </w:r>
            <w:proofErr w:type="spellEnd"/>
          </w:p>
        </w:tc>
      </w:tr>
      <w:tr w:rsidR="00AE3B0D" w:rsidRPr="00ED53A7" w14:paraId="0897861B" w14:textId="77777777" w:rsidTr="00AE3B0D">
        <w:trPr>
          <w:trHeight w:val="285"/>
          <w:jc w:val="center"/>
        </w:trPr>
        <w:tc>
          <w:tcPr>
            <w:tcW w:w="4111" w:type="dxa"/>
            <w:tcBorders>
              <w:top w:val="nil"/>
              <w:left w:val="nil"/>
              <w:bottom w:val="nil"/>
              <w:right w:val="nil"/>
            </w:tcBorders>
            <w:shd w:val="clear" w:color="auto" w:fill="auto"/>
            <w:noWrap/>
            <w:vAlign w:val="bottom"/>
          </w:tcPr>
          <w:p w14:paraId="3E0A3AFB" w14:textId="77777777" w:rsidR="00AE3B0D" w:rsidRPr="00ED53A7" w:rsidRDefault="00AE3B0D" w:rsidP="008A0F3C">
            <w:pPr>
              <w:spacing w:before="120"/>
              <w:rPr>
                <w:rFonts w:ascii="Trebuchet MS" w:hAnsi="Trebuchet MS" w:cs="Arial"/>
                <w:sz w:val="20"/>
                <w:szCs w:val="20"/>
                <w:highlight w:val="yellow"/>
                <w:lang w:eastAsia="hr-HR"/>
              </w:rPr>
            </w:pPr>
          </w:p>
        </w:tc>
        <w:tc>
          <w:tcPr>
            <w:tcW w:w="851" w:type="dxa"/>
            <w:tcBorders>
              <w:top w:val="nil"/>
              <w:left w:val="nil"/>
              <w:bottom w:val="nil"/>
              <w:right w:val="nil"/>
            </w:tcBorders>
            <w:vAlign w:val="bottom"/>
          </w:tcPr>
          <w:p w14:paraId="29858C19" w14:textId="77777777" w:rsidR="00AE3B0D" w:rsidRPr="00ED53A7" w:rsidRDefault="00AE3B0D" w:rsidP="008A0F3C">
            <w:pPr>
              <w:spacing w:before="120"/>
              <w:jc w:val="center"/>
              <w:rPr>
                <w:rFonts w:ascii="Trebuchet MS" w:hAnsi="Trebuchet MS" w:cs="Arial"/>
                <w:sz w:val="20"/>
                <w:szCs w:val="20"/>
                <w:highlight w:val="yellow"/>
                <w:lang w:eastAsia="hr-HR"/>
              </w:rPr>
            </w:pPr>
          </w:p>
        </w:tc>
        <w:tc>
          <w:tcPr>
            <w:tcW w:w="4065" w:type="dxa"/>
            <w:tcBorders>
              <w:top w:val="nil"/>
              <w:left w:val="nil"/>
              <w:bottom w:val="nil"/>
              <w:right w:val="nil"/>
            </w:tcBorders>
            <w:shd w:val="clear" w:color="auto" w:fill="auto"/>
            <w:noWrap/>
            <w:vAlign w:val="bottom"/>
          </w:tcPr>
          <w:p w14:paraId="035C578E" w14:textId="77777777" w:rsidR="00AE3B0D" w:rsidRPr="00ED53A7" w:rsidRDefault="00AE3B0D" w:rsidP="008A0F3C">
            <w:pPr>
              <w:spacing w:before="120"/>
              <w:rPr>
                <w:rFonts w:ascii="Trebuchet MS" w:hAnsi="Trebuchet MS" w:cs="Arial"/>
                <w:sz w:val="20"/>
                <w:szCs w:val="20"/>
                <w:highlight w:val="yellow"/>
                <w:lang w:eastAsia="hr-HR"/>
              </w:rPr>
            </w:pPr>
          </w:p>
        </w:tc>
      </w:tr>
      <w:tr w:rsidR="00AE3B0D" w:rsidRPr="00ED53A7" w14:paraId="67A3102A" w14:textId="77777777" w:rsidTr="00AE3B0D">
        <w:trPr>
          <w:trHeight w:val="285"/>
          <w:jc w:val="center"/>
        </w:trPr>
        <w:tc>
          <w:tcPr>
            <w:tcW w:w="4111" w:type="dxa"/>
            <w:tcBorders>
              <w:top w:val="nil"/>
              <w:left w:val="nil"/>
              <w:bottom w:val="nil"/>
              <w:right w:val="nil"/>
            </w:tcBorders>
            <w:shd w:val="clear" w:color="auto" w:fill="auto"/>
            <w:noWrap/>
            <w:vAlign w:val="bottom"/>
          </w:tcPr>
          <w:p w14:paraId="38007108" w14:textId="77777777" w:rsidR="00AE3B0D" w:rsidRPr="00ED53A7" w:rsidRDefault="00AE3B0D" w:rsidP="008A0F3C">
            <w:pPr>
              <w:rPr>
                <w:rFonts w:ascii="Trebuchet MS" w:hAnsi="Trebuchet MS" w:cs="Arial"/>
                <w:sz w:val="20"/>
                <w:szCs w:val="20"/>
                <w:lang w:eastAsia="hr-HR"/>
              </w:rPr>
            </w:pPr>
            <w:r w:rsidRPr="00ED53A7">
              <w:rPr>
                <w:rFonts w:ascii="Trebuchet MS" w:hAnsi="Trebuchet MS"/>
                <w:sz w:val="20"/>
                <w:szCs w:val="20"/>
                <w:lang w:eastAsia="hr-HR"/>
              </w:rPr>
              <w:t>BDO Croatia d.o.o.</w:t>
            </w:r>
          </w:p>
        </w:tc>
        <w:tc>
          <w:tcPr>
            <w:tcW w:w="851" w:type="dxa"/>
            <w:tcBorders>
              <w:top w:val="nil"/>
              <w:left w:val="nil"/>
              <w:bottom w:val="nil"/>
              <w:right w:val="nil"/>
            </w:tcBorders>
            <w:vAlign w:val="bottom"/>
          </w:tcPr>
          <w:p w14:paraId="03FD14BB" w14:textId="77777777" w:rsidR="00AE3B0D" w:rsidRPr="00ED53A7" w:rsidRDefault="00AE3B0D" w:rsidP="008A0F3C">
            <w:pPr>
              <w:jc w:val="center"/>
              <w:rPr>
                <w:rFonts w:ascii="Trebuchet MS" w:hAnsi="Trebuchet MS"/>
                <w:sz w:val="20"/>
                <w:szCs w:val="20"/>
                <w:lang w:eastAsia="hr-HR"/>
              </w:rPr>
            </w:pPr>
          </w:p>
        </w:tc>
        <w:tc>
          <w:tcPr>
            <w:tcW w:w="4065" w:type="dxa"/>
            <w:tcBorders>
              <w:top w:val="nil"/>
              <w:left w:val="nil"/>
              <w:bottom w:val="nil"/>
              <w:right w:val="nil"/>
            </w:tcBorders>
            <w:shd w:val="clear" w:color="auto" w:fill="auto"/>
            <w:noWrap/>
            <w:vAlign w:val="bottom"/>
          </w:tcPr>
          <w:p w14:paraId="1F10EEBA" w14:textId="77777777" w:rsidR="00AE3B0D" w:rsidRPr="00ED53A7" w:rsidRDefault="00AE3B0D" w:rsidP="008A0F3C">
            <w:pPr>
              <w:rPr>
                <w:rFonts w:ascii="Trebuchet MS" w:hAnsi="Trebuchet MS" w:cs="Arial"/>
                <w:sz w:val="20"/>
                <w:szCs w:val="20"/>
                <w:lang w:eastAsia="hr-HR"/>
              </w:rPr>
            </w:pPr>
            <w:r w:rsidRPr="00A7468A">
              <w:rPr>
                <w:rFonts w:ascii="Trebuchet MS" w:hAnsi="Trebuchet MS"/>
                <w:sz w:val="20"/>
                <w:szCs w:val="20"/>
                <w:lang w:eastAsia="hr-HR"/>
              </w:rPr>
              <w:t xml:space="preserve">PKF </w:t>
            </w:r>
            <w:r w:rsidRPr="00ED53A7">
              <w:rPr>
                <w:rFonts w:ascii="Trebuchet MS" w:hAnsi="Trebuchet MS"/>
                <w:sz w:val="20"/>
                <w:szCs w:val="20"/>
                <w:lang w:eastAsia="hr-HR"/>
              </w:rPr>
              <w:t xml:space="preserve">FACT </w:t>
            </w:r>
            <w:proofErr w:type="spellStart"/>
            <w:r w:rsidRPr="00A7468A">
              <w:rPr>
                <w:rFonts w:ascii="Trebuchet MS" w:hAnsi="Trebuchet MS"/>
                <w:sz w:val="20"/>
                <w:szCs w:val="20"/>
                <w:lang w:eastAsia="hr-HR"/>
              </w:rPr>
              <w:t>r</w:t>
            </w:r>
            <w:r w:rsidRPr="00ED53A7">
              <w:rPr>
                <w:rFonts w:ascii="Trebuchet MS" w:hAnsi="Trebuchet MS"/>
                <w:sz w:val="20"/>
                <w:szCs w:val="20"/>
                <w:lang w:eastAsia="hr-HR"/>
              </w:rPr>
              <w:t>evizija</w:t>
            </w:r>
            <w:proofErr w:type="spellEnd"/>
            <w:r w:rsidRPr="00ED53A7">
              <w:rPr>
                <w:rFonts w:ascii="Trebuchet MS" w:hAnsi="Trebuchet MS"/>
                <w:sz w:val="20"/>
                <w:szCs w:val="20"/>
                <w:lang w:eastAsia="hr-HR"/>
              </w:rPr>
              <w:t xml:space="preserve"> d.o.o.</w:t>
            </w:r>
          </w:p>
        </w:tc>
      </w:tr>
      <w:tr w:rsidR="00AE3B0D" w:rsidRPr="00ED53A7" w14:paraId="124271A1" w14:textId="77777777" w:rsidTr="00AE3B0D">
        <w:trPr>
          <w:trHeight w:val="285"/>
          <w:jc w:val="center"/>
        </w:trPr>
        <w:tc>
          <w:tcPr>
            <w:tcW w:w="4111" w:type="dxa"/>
            <w:tcBorders>
              <w:top w:val="nil"/>
              <w:left w:val="nil"/>
              <w:bottom w:val="nil"/>
              <w:right w:val="nil"/>
            </w:tcBorders>
            <w:shd w:val="clear" w:color="auto" w:fill="auto"/>
            <w:noWrap/>
            <w:vAlign w:val="bottom"/>
          </w:tcPr>
          <w:p w14:paraId="75AFF6BE" w14:textId="77777777" w:rsidR="00AE3B0D" w:rsidRPr="00ED53A7" w:rsidRDefault="00AE3B0D" w:rsidP="008A0F3C">
            <w:pPr>
              <w:rPr>
                <w:rFonts w:ascii="Trebuchet MS" w:hAnsi="Trebuchet MS" w:cs="Arial"/>
                <w:sz w:val="20"/>
                <w:szCs w:val="20"/>
                <w:lang w:eastAsia="hr-HR"/>
              </w:rPr>
            </w:pPr>
            <w:proofErr w:type="spellStart"/>
            <w:r w:rsidRPr="00A7468A">
              <w:rPr>
                <w:rFonts w:ascii="Trebuchet MS" w:hAnsi="Trebuchet MS"/>
                <w:sz w:val="20"/>
                <w:szCs w:val="20"/>
                <w:lang w:eastAsia="hr-HR"/>
              </w:rPr>
              <w:t>Radnička</w:t>
            </w:r>
            <w:proofErr w:type="spellEnd"/>
            <w:r w:rsidRPr="00A7468A">
              <w:rPr>
                <w:rFonts w:ascii="Trebuchet MS" w:hAnsi="Trebuchet MS"/>
                <w:sz w:val="20"/>
                <w:szCs w:val="20"/>
                <w:lang w:eastAsia="hr-HR"/>
              </w:rPr>
              <w:t xml:space="preserve"> cesta 180</w:t>
            </w:r>
          </w:p>
        </w:tc>
        <w:tc>
          <w:tcPr>
            <w:tcW w:w="851" w:type="dxa"/>
            <w:tcBorders>
              <w:top w:val="nil"/>
              <w:left w:val="nil"/>
              <w:bottom w:val="nil"/>
              <w:right w:val="nil"/>
            </w:tcBorders>
            <w:vAlign w:val="bottom"/>
          </w:tcPr>
          <w:p w14:paraId="7A99CEE8" w14:textId="77777777" w:rsidR="00AE3B0D" w:rsidRPr="00ED53A7" w:rsidRDefault="00AE3B0D" w:rsidP="008A0F3C">
            <w:pPr>
              <w:jc w:val="center"/>
              <w:rPr>
                <w:rFonts w:ascii="Trebuchet MS" w:hAnsi="Trebuchet MS"/>
                <w:sz w:val="20"/>
                <w:szCs w:val="20"/>
                <w:lang w:eastAsia="hr-HR"/>
              </w:rPr>
            </w:pPr>
          </w:p>
        </w:tc>
        <w:tc>
          <w:tcPr>
            <w:tcW w:w="4065" w:type="dxa"/>
            <w:tcBorders>
              <w:top w:val="nil"/>
              <w:left w:val="nil"/>
              <w:bottom w:val="nil"/>
              <w:right w:val="nil"/>
            </w:tcBorders>
            <w:shd w:val="clear" w:color="auto" w:fill="auto"/>
            <w:noWrap/>
            <w:vAlign w:val="bottom"/>
          </w:tcPr>
          <w:p w14:paraId="79A38C18" w14:textId="77777777" w:rsidR="00AE3B0D" w:rsidRPr="00ED53A7" w:rsidRDefault="00AE3B0D" w:rsidP="008A0F3C">
            <w:pPr>
              <w:rPr>
                <w:rFonts w:ascii="Trebuchet MS" w:hAnsi="Trebuchet MS" w:cs="Arial"/>
                <w:sz w:val="20"/>
                <w:szCs w:val="20"/>
                <w:lang w:eastAsia="hr-HR"/>
              </w:rPr>
            </w:pPr>
            <w:proofErr w:type="spellStart"/>
            <w:r w:rsidRPr="00ED53A7">
              <w:rPr>
                <w:rFonts w:ascii="Trebuchet MS" w:hAnsi="Trebuchet MS"/>
                <w:sz w:val="20"/>
                <w:szCs w:val="20"/>
                <w:lang w:eastAsia="hr-HR"/>
              </w:rPr>
              <w:t>Zadarska</w:t>
            </w:r>
            <w:proofErr w:type="spellEnd"/>
            <w:r w:rsidRPr="00ED53A7">
              <w:rPr>
                <w:rFonts w:ascii="Trebuchet MS" w:hAnsi="Trebuchet MS"/>
                <w:sz w:val="20"/>
                <w:szCs w:val="20"/>
                <w:lang w:eastAsia="hr-HR"/>
              </w:rPr>
              <w:t xml:space="preserve"> 80</w:t>
            </w:r>
          </w:p>
        </w:tc>
      </w:tr>
      <w:tr w:rsidR="00AE3B0D" w:rsidRPr="00ED53A7" w14:paraId="58C80356" w14:textId="77777777" w:rsidTr="00AE3B0D">
        <w:trPr>
          <w:trHeight w:val="285"/>
          <w:jc w:val="center"/>
        </w:trPr>
        <w:tc>
          <w:tcPr>
            <w:tcW w:w="4111" w:type="dxa"/>
            <w:tcBorders>
              <w:top w:val="nil"/>
              <w:left w:val="nil"/>
              <w:bottom w:val="nil"/>
              <w:right w:val="nil"/>
            </w:tcBorders>
            <w:shd w:val="clear" w:color="auto" w:fill="auto"/>
            <w:noWrap/>
            <w:vAlign w:val="bottom"/>
          </w:tcPr>
          <w:p w14:paraId="1A0DD92D" w14:textId="77777777" w:rsidR="00AE3B0D" w:rsidRPr="00ED53A7" w:rsidRDefault="00AE3B0D" w:rsidP="008A0F3C">
            <w:pPr>
              <w:rPr>
                <w:rFonts w:ascii="Trebuchet MS" w:hAnsi="Trebuchet MS"/>
                <w:sz w:val="20"/>
                <w:szCs w:val="20"/>
                <w:lang w:eastAsia="hr-HR"/>
              </w:rPr>
            </w:pPr>
            <w:r w:rsidRPr="00ED53A7">
              <w:rPr>
                <w:rFonts w:ascii="Trebuchet MS" w:hAnsi="Trebuchet MS"/>
                <w:sz w:val="20"/>
                <w:szCs w:val="20"/>
                <w:lang w:eastAsia="hr-HR"/>
              </w:rPr>
              <w:t>10000 Zagreb</w:t>
            </w:r>
          </w:p>
        </w:tc>
        <w:tc>
          <w:tcPr>
            <w:tcW w:w="851" w:type="dxa"/>
            <w:tcBorders>
              <w:top w:val="nil"/>
              <w:left w:val="nil"/>
              <w:bottom w:val="nil"/>
              <w:right w:val="nil"/>
            </w:tcBorders>
            <w:vAlign w:val="bottom"/>
          </w:tcPr>
          <w:p w14:paraId="205142DB" w14:textId="77777777" w:rsidR="00AE3B0D" w:rsidRPr="00ED53A7" w:rsidRDefault="00AE3B0D" w:rsidP="008A0F3C">
            <w:pPr>
              <w:jc w:val="center"/>
              <w:rPr>
                <w:rFonts w:ascii="Trebuchet MS" w:hAnsi="Trebuchet MS"/>
                <w:sz w:val="20"/>
                <w:szCs w:val="20"/>
                <w:lang w:eastAsia="hr-HR"/>
              </w:rPr>
            </w:pPr>
          </w:p>
        </w:tc>
        <w:tc>
          <w:tcPr>
            <w:tcW w:w="4065" w:type="dxa"/>
            <w:tcBorders>
              <w:top w:val="nil"/>
              <w:left w:val="nil"/>
              <w:bottom w:val="nil"/>
              <w:right w:val="nil"/>
            </w:tcBorders>
            <w:shd w:val="clear" w:color="auto" w:fill="auto"/>
            <w:noWrap/>
            <w:vAlign w:val="bottom"/>
          </w:tcPr>
          <w:p w14:paraId="687E852D" w14:textId="77777777" w:rsidR="00AE3B0D" w:rsidRPr="00ED53A7" w:rsidRDefault="00AE3B0D" w:rsidP="008A0F3C">
            <w:pPr>
              <w:rPr>
                <w:rFonts w:ascii="Trebuchet MS" w:hAnsi="Trebuchet MS" w:cs="Arial"/>
                <w:sz w:val="20"/>
                <w:szCs w:val="20"/>
                <w:lang w:eastAsia="hr-HR"/>
              </w:rPr>
            </w:pPr>
            <w:r w:rsidRPr="00ED53A7">
              <w:rPr>
                <w:rFonts w:ascii="Trebuchet MS" w:hAnsi="Trebuchet MS"/>
                <w:sz w:val="20"/>
                <w:szCs w:val="20"/>
                <w:lang w:eastAsia="hr-HR"/>
              </w:rPr>
              <w:t>10000 Zagreb</w:t>
            </w:r>
          </w:p>
        </w:tc>
      </w:tr>
      <w:tr w:rsidR="00AE3B0D" w:rsidRPr="00ED53A7" w14:paraId="7609C3D6" w14:textId="77777777" w:rsidTr="00AE3B0D">
        <w:trPr>
          <w:trHeight w:val="850"/>
          <w:jc w:val="center"/>
        </w:trPr>
        <w:tc>
          <w:tcPr>
            <w:tcW w:w="4111" w:type="dxa"/>
            <w:tcBorders>
              <w:top w:val="nil"/>
              <w:left w:val="nil"/>
              <w:bottom w:val="single" w:sz="4" w:space="0" w:color="auto"/>
              <w:right w:val="nil"/>
            </w:tcBorders>
            <w:shd w:val="clear" w:color="auto" w:fill="auto"/>
            <w:noWrap/>
            <w:vAlign w:val="bottom"/>
          </w:tcPr>
          <w:p w14:paraId="0C34DAFA" w14:textId="77777777" w:rsidR="00AE3B0D" w:rsidRPr="00ED53A7" w:rsidRDefault="00AE3B0D" w:rsidP="008A0F3C">
            <w:pPr>
              <w:spacing w:before="120"/>
              <w:jc w:val="center"/>
              <w:rPr>
                <w:rFonts w:ascii="Trebuchet MS" w:hAnsi="Trebuchet MS"/>
                <w:sz w:val="20"/>
                <w:szCs w:val="20"/>
                <w:lang w:eastAsia="hr-HR"/>
              </w:rPr>
            </w:pPr>
          </w:p>
          <w:p w14:paraId="62C16F67" w14:textId="77777777" w:rsidR="00AE3B0D" w:rsidRPr="00ED53A7" w:rsidRDefault="00AE3B0D" w:rsidP="008A0F3C">
            <w:pPr>
              <w:spacing w:before="120"/>
              <w:jc w:val="center"/>
              <w:rPr>
                <w:rFonts w:ascii="Trebuchet MS" w:hAnsi="Trebuchet MS"/>
                <w:sz w:val="20"/>
                <w:szCs w:val="20"/>
                <w:lang w:eastAsia="hr-HR"/>
              </w:rPr>
            </w:pPr>
          </w:p>
          <w:p w14:paraId="31DBA04E" w14:textId="77777777" w:rsidR="00AE3B0D" w:rsidRPr="00ED53A7" w:rsidRDefault="00AE3B0D" w:rsidP="00AE3B0D">
            <w:pPr>
              <w:spacing w:before="120"/>
              <w:rPr>
                <w:rFonts w:ascii="Trebuchet MS" w:hAnsi="Trebuchet MS"/>
                <w:sz w:val="20"/>
                <w:szCs w:val="20"/>
                <w:lang w:eastAsia="hr-HR"/>
              </w:rPr>
            </w:pPr>
          </w:p>
        </w:tc>
        <w:tc>
          <w:tcPr>
            <w:tcW w:w="851" w:type="dxa"/>
            <w:tcBorders>
              <w:top w:val="nil"/>
              <w:left w:val="nil"/>
              <w:bottom w:val="nil"/>
              <w:right w:val="nil"/>
            </w:tcBorders>
            <w:vAlign w:val="bottom"/>
          </w:tcPr>
          <w:p w14:paraId="51A19AAA" w14:textId="77777777" w:rsidR="00AE3B0D" w:rsidRPr="00ED53A7" w:rsidRDefault="00AE3B0D" w:rsidP="008A0F3C">
            <w:pPr>
              <w:spacing w:before="120"/>
              <w:jc w:val="center"/>
              <w:rPr>
                <w:rFonts w:ascii="Trebuchet MS" w:hAnsi="Trebuchet MS"/>
                <w:sz w:val="20"/>
                <w:szCs w:val="20"/>
                <w:lang w:eastAsia="hr-HR"/>
              </w:rPr>
            </w:pPr>
          </w:p>
        </w:tc>
        <w:tc>
          <w:tcPr>
            <w:tcW w:w="4065" w:type="dxa"/>
            <w:tcBorders>
              <w:top w:val="nil"/>
              <w:left w:val="nil"/>
              <w:bottom w:val="single" w:sz="4" w:space="0" w:color="auto"/>
              <w:right w:val="nil"/>
            </w:tcBorders>
            <w:shd w:val="clear" w:color="auto" w:fill="auto"/>
            <w:noWrap/>
            <w:vAlign w:val="bottom"/>
          </w:tcPr>
          <w:p w14:paraId="3FB74CCA" w14:textId="77777777" w:rsidR="00AE3B0D" w:rsidRPr="00ED53A7" w:rsidRDefault="00AE3B0D" w:rsidP="008A0F3C">
            <w:pPr>
              <w:spacing w:before="120"/>
              <w:jc w:val="center"/>
              <w:rPr>
                <w:rFonts w:ascii="Trebuchet MS" w:hAnsi="Trebuchet MS"/>
                <w:sz w:val="20"/>
                <w:szCs w:val="20"/>
                <w:lang w:eastAsia="hr-HR"/>
              </w:rPr>
            </w:pPr>
          </w:p>
        </w:tc>
      </w:tr>
      <w:tr w:rsidR="00AE3B0D" w:rsidRPr="00ED53A7" w14:paraId="2CC4206E" w14:textId="77777777" w:rsidTr="00AE3B0D">
        <w:trPr>
          <w:trHeight w:val="285"/>
          <w:jc w:val="center"/>
        </w:trPr>
        <w:tc>
          <w:tcPr>
            <w:tcW w:w="4111" w:type="dxa"/>
            <w:tcBorders>
              <w:top w:val="single" w:sz="4" w:space="0" w:color="auto"/>
              <w:left w:val="nil"/>
              <w:bottom w:val="nil"/>
              <w:right w:val="nil"/>
            </w:tcBorders>
            <w:shd w:val="clear" w:color="auto" w:fill="auto"/>
            <w:noWrap/>
          </w:tcPr>
          <w:p w14:paraId="6FAADC81" w14:textId="77777777" w:rsidR="00AE3B0D" w:rsidRPr="00ED53A7" w:rsidRDefault="00AE3B0D" w:rsidP="00AE3B0D">
            <w:pPr>
              <w:spacing w:before="120"/>
              <w:rPr>
                <w:rFonts w:ascii="Trebuchet MS" w:hAnsi="Trebuchet MS"/>
                <w:sz w:val="20"/>
                <w:szCs w:val="20"/>
                <w:lang w:eastAsia="hr-HR"/>
              </w:rPr>
            </w:pPr>
            <w:r w:rsidRPr="00ED53A7">
              <w:rPr>
                <w:rFonts w:ascii="Trebuchet MS" w:hAnsi="Trebuchet MS"/>
                <w:sz w:val="20"/>
                <w:szCs w:val="20"/>
                <w:lang w:eastAsia="hr-HR"/>
              </w:rPr>
              <w:t xml:space="preserve">Ivan </w:t>
            </w:r>
            <w:r w:rsidRPr="00ED53A7">
              <w:rPr>
                <w:rFonts w:ascii="Trebuchet MS" w:hAnsi="Trebuchet MS"/>
                <w:color w:val="000000"/>
                <w:sz w:val="20"/>
                <w:szCs w:val="20"/>
                <w:lang w:eastAsia="zh-TW"/>
              </w:rPr>
              <w:t>Čajko</w:t>
            </w:r>
            <w:r w:rsidRPr="00ED53A7">
              <w:rPr>
                <w:rFonts w:ascii="Trebuchet MS" w:hAnsi="Trebuchet MS"/>
                <w:sz w:val="20"/>
                <w:szCs w:val="20"/>
                <w:lang w:eastAsia="hr-HR"/>
              </w:rPr>
              <w:t xml:space="preserve">, </w:t>
            </w:r>
            <w:proofErr w:type="spellStart"/>
            <w:r w:rsidRPr="00ED53A7">
              <w:rPr>
                <w:rFonts w:ascii="Trebuchet MS" w:hAnsi="Trebuchet MS"/>
                <w:sz w:val="20"/>
                <w:szCs w:val="20"/>
                <w:lang w:eastAsia="hr-HR"/>
              </w:rPr>
              <w:t>ovlašteni</w:t>
            </w:r>
            <w:proofErr w:type="spellEnd"/>
            <w:r w:rsidRPr="00ED53A7">
              <w:rPr>
                <w:rFonts w:ascii="Trebuchet MS" w:hAnsi="Trebuchet MS"/>
                <w:sz w:val="20"/>
                <w:szCs w:val="20"/>
                <w:lang w:eastAsia="hr-HR"/>
              </w:rPr>
              <w:t xml:space="preserve"> </w:t>
            </w:r>
            <w:proofErr w:type="spellStart"/>
            <w:r w:rsidRPr="00ED53A7">
              <w:rPr>
                <w:rFonts w:ascii="Trebuchet MS" w:hAnsi="Trebuchet MS"/>
                <w:sz w:val="20"/>
                <w:szCs w:val="20"/>
                <w:lang w:eastAsia="hr-HR"/>
              </w:rPr>
              <w:t>revizor</w:t>
            </w:r>
            <w:proofErr w:type="spellEnd"/>
            <w:r>
              <w:rPr>
                <w:rFonts w:ascii="Trebuchet MS" w:hAnsi="Trebuchet MS"/>
                <w:sz w:val="20"/>
                <w:szCs w:val="20"/>
                <w:lang w:eastAsia="hr-HR"/>
              </w:rPr>
              <w:t xml:space="preserve"> i </w:t>
            </w:r>
            <w:proofErr w:type="spellStart"/>
            <w:r>
              <w:rPr>
                <w:rFonts w:ascii="Trebuchet MS" w:hAnsi="Trebuchet MS"/>
                <w:sz w:val="20"/>
                <w:szCs w:val="20"/>
                <w:lang w:eastAsia="hr-HR"/>
              </w:rPr>
              <w:t>član</w:t>
            </w:r>
            <w:proofErr w:type="spellEnd"/>
            <w:r>
              <w:rPr>
                <w:rFonts w:ascii="Trebuchet MS" w:hAnsi="Trebuchet MS"/>
                <w:sz w:val="20"/>
                <w:szCs w:val="20"/>
                <w:lang w:eastAsia="hr-HR"/>
              </w:rPr>
              <w:t xml:space="preserve"> </w:t>
            </w:r>
            <w:proofErr w:type="spellStart"/>
            <w:r>
              <w:rPr>
                <w:rFonts w:ascii="Trebuchet MS" w:hAnsi="Trebuchet MS"/>
                <w:sz w:val="20"/>
                <w:szCs w:val="20"/>
                <w:lang w:eastAsia="hr-HR"/>
              </w:rPr>
              <w:t>uprave</w:t>
            </w:r>
            <w:proofErr w:type="spellEnd"/>
          </w:p>
        </w:tc>
        <w:tc>
          <w:tcPr>
            <w:tcW w:w="851" w:type="dxa"/>
            <w:tcBorders>
              <w:top w:val="nil"/>
              <w:left w:val="nil"/>
              <w:bottom w:val="nil"/>
              <w:right w:val="nil"/>
            </w:tcBorders>
          </w:tcPr>
          <w:p w14:paraId="08DA3322" w14:textId="77777777" w:rsidR="00AE3B0D" w:rsidRPr="00ED53A7" w:rsidRDefault="00AE3B0D" w:rsidP="00AE3B0D">
            <w:pPr>
              <w:spacing w:before="120"/>
              <w:rPr>
                <w:rFonts w:ascii="Trebuchet MS" w:hAnsi="Trebuchet MS"/>
                <w:sz w:val="20"/>
                <w:szCs w:val="20"/>
                <w:lang w:eastAsia="hr-HR"/>
              </w:rPr>
            </w:pPr>
          </w:p>
        </w:tc>
        <w:tc>
          <w:tcPr>
            <w:tcW w:w="4065" w:type="dxa"/>
            <w:tcBorders>
              <w:top w:val="single" w:sz="4" w:space="0" w:color="auto"/>
              <w:left w:val="nil"/>
              <w:bottom w:val="nil"/>
              <w:right w:val="nil"/>
            </w:tcBorders>
            <w:shd w:val="clear" w:color="auto" w:fill="auto"/>
            <w:noWrap/>
          </w:tcPr>
          <w:p w14:paraId="35E852FA" w14:textId="77777777" w:rsidR="00AE3B0D" w:rsidRPr="00ED53A7" w:rsidRDefault="00AE3B0D" w:rsidP="00AE3B0D">
            <w:pPr>
              <w:spacing w:before="120"/>
              <w:rPr>
                <w:rFonts w:ascii="Trebuchet MS" w:hAnsi="Trebuchet MS"/>
                <w:sz w:val="20"/>
                <w:szCs w:val="20"/>
                <w:lang w:eastAsia="hr-HR"/>
              </w:rPr>
            </w:pPr>
            <w:r w:rsidRPr="00A7468A">
              <w:rPr>
                <w:rFonts w:ascii="Trebuchet MS" w:hAnsi="Trebuchet MS"/>
                <w:sz w:val="20"/>
                <w:szCs w:val="20"/>
                <w:lang w:eastAsia="hr-HR"/>
              </w:rPr>
              <w:t xml:space="preserve">Jeni </w:t>
            </w:r>
            <w:proofErr w:type="spellStart"/>
            <w:r w:rsidRPr="00A7468A">
              <w:rPr>
                <w:rFonts w:ascii="Trebuchet MS" w:hAnsi="Trebuchet MS"/>
                <w:sz w:val="20"/>
                <w:szCs w:val="20"/>
                <w:lang w:eastAsia="hr-HR"/>
              </w:rPr>
              <w:t>Krstičević</w:t>
            </w:r>
            <w:proofErr w:type="spellEnd"/>
            <w:r w:rsidRPr="00ED53A7">
              <w:rPr>
                <w:rFonts w:ascii="Trebuchet MS" w:hAnsi="Trebuchet MS"/>
                <w:sz w:val="20"/>
                <w:szCs w:val="20"/>
                <w:lang w:eastAsia="hr-HR"/>
              </w:rPr>
              <w:t xml:space="preserve">, </w:t>
            </w:r>
            <w:proofErr w:type="spellStart"/>
            <w:r w:rsidRPr="00ED53A7">
              <w:rPr>
                <w:rFonts w:ascii="Trebuchet MS" w:hAnsi="Trebuchet MS"/>
                <w:sz w:val="20"/>
                <w:szCs w:val="20"/>
                <w:lang w:eastAsia="hr-HR"/>
              </w:rPr>
              <w:t>ovlašteni</w:t>
            </w:r>
            <w:proofErr w:type="spellEnd"/>
            <w:r w:rsidRPr="00ED53A7">
              <w:rPr>
                <w:rFonts w:ascii="Trebuchet MS" w:hAnsi="Trebuchet MS"/>
                <w:sz w:val="20"/>
                <w:szCs w:val="20"/>
                <w:lang w:eastAsia="hr-HR"/>
              </w:rPr>
              <w:t xml:space="preserve"> </w:t>
            </w:r>
            <w:proofErr w:type="spellStart"/>
            <w:r w:rsidRPr="00ED53A7">
              <w:rPr>
                <w:rFonts w:ascii="Trebuchet MS" w:hAnsi="Trebuchet MS"/>
                <w:sz w:val="20"/>
                <w:szCs w:val="20"/>
                <w:lang w:eastAsia="hr-HR"/>
              </w:rPr>
              <w:t>revizor</w:t>
            </w:r>
            <w:proofErr w:type="spellEnd"/>
          </w:p>
        </w:tc>
      </w:tr>
      <w:tr w:rsidR="00AE3B0D" w:rsidRPr="00ED53A7" w14:paraId="132E98D4" w14:textId="77777777" w:rsidTr="00AE3B0D">
        <w:trPr>
          <w:trHeight w:val="285"/>
          <w:jc w:val="center"/>
        </w:trPr>
        <w:tc>
          <w:tcPr>
            <w:tcW w:w="4111" w:type="dxa"/>
            <w:tcBorders>
              <w:top w:val="nil"/>
              <w:left w:val="nil"/>
              <w:bottom w:val="nil"/>
              <w:right w:val="nil"/>
            </w:tcBorders>
            <w:shd w:val="clear" w:color="auto" w:fill="auto"/>
            <w:noWrap/>
          </w:tcPr>
          <w:p w14:paraId="7B1CED1B" w14:textId="77777777" w:rsidR="00AE3B0D" w:rsidRPr="00ED53A7" w:rsidRDefault="00AE3B0D" w:rsidP="00AE3B0D">
            <w:pPr>
              <w:spacing w:before="120"/>
              <w:rPr>
                <w:rFonts w:ascii="Trebuchet MS" w:hAnsi="Trebuchet MS"/>
                <w:sz w:val="20"/>
                <w:szCs w:val="20"/>
                <w:lang w:eastAsia="hr-HR"/>
              </w:rPr>
            </w:pPr>
          </w:p>
        </w:tc>
        <w:tc>
          <w:tcPr>
            <w:tcW w:w="851" w:type="dxa"/>
            <w:tcBorders>
              <w:top w:val="nil"/>
              <w:left w:val="nil"/>
              <w:bottom w:val="nil"/>
              <w:right w:val="nil"/>
            </w:tcBorders>
          </w:tcPr>
          <w:p w14:paraId="1FC11A26" w14:textId="77777777" w:rsidR="00AE3B0D" w:rsidRPr="00ED53A7" w:rsidRDefault="00AE3B0D" w:rsidP="00AE3B0D">
            <w:pPr>
              <w:spacing w:before="120"/>
              <w:rPr>
                <w:rFonts w:ascii="Trebuchet MS" w:hAnsi="Trebuchet MS"/>
                <w:sz w:val="20"/>
                <w:szCs w:val="20"/>
                <w:lang w:eastAsia="hr-HR"/>
              </w:rPr>
            </w:pPr>
          </w:p>
        </w:tc>
        <w:tc>
          <w:tcPr>
            <w:tcW w:w="4065" w:type="dxa"/>
            <w:tcBorders>
              <w:top w:val="nil"/>
              <w:left w:val="nil"/>
              <w:bottom w:val="nil"/>
              <w:right w:val="nil"/>
            </w:tcBorders>
            <w:shd w:val="clear" w:color="auto" w:fill="auto"/>
            <w:noWrap/>
          </w:tcPr>
          <w:p w14:paraId="4E14E8AA" w14:textId="77777777" w:rsidR="00AE3B0D" w:rsidRPr="00A7468A" w:rsidRDefault="00AE3B0D" w:rsidP="00AE3B0D">
            <w:pPr>
              <w:spacing w:before="120"/>
              <w:rPr>
                <w:rFonts w:ascii="Trebuchet MS" w:hAnsi="Trebuchet MS"/>
                <w:sz w:val="20"/>
                <w:szCs w:val="20"/>
                <w:lang w:eastAsia="hr-HR"/>
              </w:rPr>
            </w:pPr>
          </w:p>
        </w:tc>
      </w:tr>
      <w:tr w:rsidR="00AE3B0D" w:rsidRPr="00ED53A7" w14:paraId="2C5CC508" w14:textId="77777777" w:rsidTr="00AE3B0D">
        <w:trPr>
          <w:trHeight w:val="285"/>
          <w:jc w:val="center"/>
        </w:trPr>
        <w:tc>
          <w:tcPr>
            <w:tcW w:w="4111" w:type="dxa"/>
            <w:tcBorders>
              <w:top w:val="nil"/>
              <w:left w:val="nil"/>
              <w:bottom w:val="nil"/>
              <w:right w:val="nil"/>
            </w:tcBorders>
            <w:shd w:val="clear" w:color="auto" w:fill="auto"/>
            <w:noWrap/>
          </w:tcPr>
          <w:p w14:paraId="7DA9B309" w14:textId="77777777" w:rsidR="00AE3B0D" w:rsidRPr="00ED53A7" w:rsidRDefault="00AE3B0D" w:rsidP="00AE3B0D">
            <w:pPr>
              <w:spacing w:before="120"/>
              <w:rPr>
                <w:rFonts w:ascii="Trebuchet MS" w:hAnsi="Trebuchet MS"/>
                <w:sz w:val="20"/>
                <w:szCs w:val="20"/>
                <w:lang w:eastAsia="hr-HR"/>
              </w:rPr>
            </w:pPr>
          </w:p>
        </w:tc>
        <w:tc>
          <w:tcPr>
            <w:tcW w:w="851" w:type="dxa"/>
            <w:tcBorders>
              <w:top w:val="nil"/>
              <w:left w:val="nil"/>
              <w:bottom w:val="nil"/>
              <w:right w:val="nil"/>
            </w:tcBorders>
          </w:tcPr>
          <w:p w14:paraId="72465F0C" w14:textId="77777777" w:rsidR="00AE3B0D" w:rsidRPr="00ED53A7" w:rsidRDefault="00AE3B0D" w:rsidP="00AE3B0D">
            <w:pPr>
              <w:spacing w:before="120"/>
              <w:rPr>
                <w:rFonts w:ascii="Trebuchet MS" w:hAnsi="Trebuchet MS"/>
                <w:sz w:val="20"/>
                <w:szCs w:val="20"/>
                <w:lang w:eastAsia="hr-HR"/>
              </w:rPr>
            </w:pPr>
          </w:p>
        </w:tc>
        <w:tc>
          <w:tcPr>
            <w:tcW w:w="4065" w:type="dxa"/>
            <w:tcBorders>
              <w:top w:val="nil"/>
              <w:left w:val="nil"/>
              <w:bottom w:val="nil"/>
              <w:right w:val="nil"/>
            </w:tcBorders>
            <w:shd w:val="clear" w:color="auto" w:fill="auto"/>
            <w:noWrap/>
          </w:tcPr>
          <w:p w14:paraId="10B93617" w14:textId="77777777" w:rsidR="00AE3B0D" w:rsidRPr="00A7468A" w:rsidRDefault="00AE3B0D" w:rsidP="00AE3B0D">
            <w:pPr>
              <w:spacing w:before="120"/>
              <w:rPr>
                <w:rFonts w:ascii="Trebuchet MS" w:hAnsi="Trebuchet MS"/>
                <w:sz w:val="20"/>
                <w:szCs w:val="20"/>
                <w:lang w:eastAsia="hr-HR"/>
              </w:rPr>
            </w:pPr>
          </w:p>
        </w:tc>
      </w:tr>
      <w:tr w:rsidR="00AE3B0D" w:rsidRPr="00ED53A7" w14:paraId="720B385D" w14:textId="77777777" w:rsidTr="00AE3B0D">
        <w:trPr>
          <w:trHeight w:val="285"/>
          <w:jc w:val="center"/>
        </w:trPr>
        <w:tc>
          <w:tcPr>
            <w:tcW w:w="4111" w:type="dxa"/>
            <w:tcBorders>
              <w:top w:val="nil"/>
              <w:left w:val="nil"/>
              <w:bottom w:val="nil"/>
              <w:right w:val="nil"/>
            </w:tcBorders>
            <w:shd w:val="clear" w:color="auto" w:fill="auto"/>
            <w:noWrap/>
          </w:tcPr>
          <w:p w14:paraId="7DFF91FA" w14:textId="77777777" w:rsidR="00AE3B0D" w:rsidRPr="00ED53A7" w:rsidRDefault="00AE3B0D" w:rsidP="00AE3B0D">
            <w:pPr>
              <w:spacing w:before="120"/>
              <w:rPr>
                <w:rFonts w:ascii="Trebuchet MS" w:hAnsi="Trebuchet MS"/>
                <w:sz w:val="20"/>
                <w:szCs w:val="20"/>
                <w:lang w:eastAsia="hr-HR"/>
              </w:rPr>
            </w:pPr>
            <w:bookmarkStart w:id="128" w:name="_Hlk129962097"/>
          </w:p>
        </w:tc>
        <w:tc>
          <w:tcPr>
            <w:tcW w:w="851" w:type="dxa"/>
            <w:tcBorders>
              <w:top w:val="nil"/>
              <w:left w:val="nil"/>
              <w:bottom w:val="nil"/>
              <w:right w:val="nil"/>
            </w:tcBorders>
          </w:tcPr>
          <w:p w14:paraId="50902E5D" w14:textId="77777777" w:rsidR="00AE3B0D" w:rsidRPr="00ED53A7" w:rsidRDefault="00AE3B0D" w:rsidP="00AE3B0D">
            <w:pPr>
              <w:spacing w:before="120"/>
              <w:rPr>
                <w:rFonts w:ascii="Trebuchet MS" w:hAnsi="Trebuchet MS"/>
                <w:sz w:val="20"/>
                <w:szCs w:val="20"/>
                <w:lang w:eastAsia="hr-HR"/>
              </w:rPr>
            </w:pPr>
          </w:p>
        </w:tc>
        <w:tc>
          <w:tcPr>
            <w:tcW w:w="4065" w:type="dxa"/>
            <w:tcBorders>
              <w:top w:val="nil"/>
              <w:left w:val="nil"/>
              <w:bottom w:val="nil"/>
              <w:right w:val="nil"/>
            </w:tcBorders>
            <w:shd w:val="clear" w:color="auto" w:fill="auto"/>
            <w:noWrap/>
          </w:tcPr>
          <w:p w14:paraId="464F7A14" w14:textId="77777777" w:rsidR="00AE3B0D" w:rsidRPr="00A7468A" w:rsidRDefault="00AE3B0D" w:rsidP="00AE3B0D">
            <w:pPr>
              <w:spacing w:before="120"/>
              <w:rPr>
                <w:rFonts w:ascii="Trebuchet MS" w:hAnsi="Trebuchet MS"/>
                <w:sz w:val="20"/>
                <w:szCs w:val="20"/>
                <w:lang w:eastAsia="hr-HR"/>
              </w:rPr>
            </w:pPr>
          </w:p>
        </w:tc>
      </w:tr>
      <w:tr w:rsidR="00AE3B0D" w:rsidRPr="00ED53A7" w14:paraId="3625AEF2" w14:textId="77777777" w:rsidTr="00AE3B0D">
        <w:trPr>
          <w:trHeight w:val="285"/>
          <w:jc w:val="center"/>
        </w:trPr>
        <w:tc>
          <w:tcPr>
            <w:tcW w:w="4111" w:type="dxa"/>
            <w:tcBorders>
              <w:top w:val="nil"/>
              <w:left w:val="nil"/>
              <w:bottom w:val="nil"/>
              <w:right w:val="nil"/>
            </w:tcBorders>
            <w:shd w:val="clear" w:color="auto" w:fill="auto"/>
            <w:noWrap/>
          </w:tcPr>
          <w:p w14:paraId="337E4597" w14:textId="77777777" w:rsidR="00AE3B0D" w:rsidRPr="00ED53A7" w:rsidRDefault="00AE3B0D" w:rsidP="00AE3B0D">
            <w:pPr>
              <w:spacing w:before="120"/>
              <w:rPr>
                <w:rFonts w:ascii="Trebuchet MS" w:hAnsi="Trebuchet MS"/>
                <w:sz w:val="20"/>
                <w:szCs w:val="20"/>
                <w:lang w:eastAsia="hr-HR"/>
              </w:rPr>
            </w:pPr>
          </w:p>
        </w:tc>
        <w:tc>
          <w:tcPr>
            <w:tcW w:w="851" w:type="dxa"/>
            <w:tcBorders>
              <w:top w:val="nil"/>
              <w:left w:val="nil"/>
              <w:bottom w:val="nil"/>
              <w:right w:val="nil"/>
            </w:tcBorders>
          </w:tcPr>
          <w:p w14:paraId="0E408ACC" w14:textId="77777777" w:rsidR="00AE3B0D" w:rsidRPr="00ED53A7" w:rsidRDefault="00AE3B0D" w:rsidP="00AE3B0D">
            <w:pPr>
              <w:spacing w:before="120"/>
              <w:rPr>
                <w:rFonts w:ascii="Trebuchet MS" w:hAnsi="Trebuchet MS"/>
                <w:sz w:val="20"/>
                <w:szCs w:val="20"/>
                <w:lang w:eastAsia="hr-HR"/>
              </w:rPr>
            </w:pPr>
          </w:p>
        </w:tc>
        <w:tc>
          <w:tcPr>
            <w:tcW w:w="4065" w:type="dxa"/>
            <w:tcBorders>
              <w:top w:val="single" w:sz="4" w:space="0" w:color="auto"/>
              <w:left w:val="nil"/>
              <w:bottom w:val="nil"/>
              <w:right w:val="nil"/>
            </w:tcBorders>
            <w:shd w:val="clear" w:color="auto" w:fill="auto"/>
            <w:noWrap/>
          </w:tcPr>
          <w:p w14:paraId="5D197EE3" w14:textId="77777777" w:rsidR="00AE3B0D" w:rsidRPr="00A7468A" w:rsidRDefault="00AE3B0D" w:rsidP="00AE3B0D">
            <w:pPr>
              <w:spacing w:before="120"/>
              <w:rPr>
                <w:rFonts w:ascii="Trebuchet MS" w:hAnsi="Trebuchet MS"/>
                <w:sz w:val="20"/>
                <w:szCs w:val="20"/>
                <w:lang w:eastAsia="hr-HR"/>
              </w:rPr>
            </w:pPr>
            <w:r>
              <w:rPr>
                <w:rFonts w:ascii="Trebuchet MS" w:hAnsi="Trebuchet MS"/>
                <w:sz w:val="20"/>
                <w:szCs w:val="20"/>
                <w:lang w:eastAsia="hr-HR"/>
              </w:rPr>
              <w:t xml:space="preserve">Irena Kovačić, </w:t>
            </w:r>
            <w:proofErr w:type="spellStart"/>
            <w:r>
              <w:rPr>
                <w:rFonts w:ascii="Trebuchet MS" w:hAnsi="Trebuchet MS"/>
                <w:sz w:val="20"/>
                <w:szCs w:val="20"/>
                <w:lang w:eastAsia="hr-HR"/>
              </w:rPr>
              <w:t>članica</w:t>
            </w:r>
            <w:proofErr w:type="spellEnd"/>
            <w:r>
              <w:rPr>
                <w:rFonts w:ascii="Trebuchet MS" w:hAnsi="Trebuchet MS"/>
                <w:sz w:val="20"/>
                <w:szCs w:val="20"/>
                <w:lang w:eastAsia="hr-HR"/>
              </w:rPr>
              <w:t xml:space="preserve"> </w:t>
            </w:r>
            <w:proofErr w:type="spellStart"/>
            <w:r>
              <w:rPr>
                <w:rFonts w:ascii="Trebuchet MS" w:hAnsi="Trebuchet MS"/>
                <w:sz w:val="20"/>
                <w:szCs w:val="20"/>
                <w:lang w:eastAsia="hr-HR"/>
              </w:rPr>
              <w:t>uprave</w:t>
            </w:r>
            <w:proofErr w:type="spellEnd"/>
          </w:p>
        </w:tc>
      </w:t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8"/>
    </w:tbl>
    <w:p w14:paraId="24CA62CE" w14:textId="636ECB6C" w:rsidR="001A3A4D" w:rsidRPr="001A3A4D" w:rsidRDefault="001A3A4D" w:rsidP="001A3A4D">
      <w:pPr>
        <w:rPr>
          <w:lang w:val="hr-HR"/>
        </w:rPr>
        <w:sectPr w:rsidR="001A3A4D" w:rsidRPr="001A3A4D" w:rsidSect="00633ACD">
          <w:headerReference w:type="default" r:id="rId55"/>
          <w:footerReference w:type="default" r:id="rId56"/>
          <w:pgSz w:w="11907" w:h="16840" w:code="9"/>
          <w:pgMar w:top="1418" w:right="992" w:bottom="1134" w:left="1418" w:header="851" w:footer="851" w:gutter="0"/>
          <w:cols w:space="720"/>
          <w:noEndnote/>
        </w:sectPr>
      </w:pPr>
    </w:p>
    <w:tbl>
      <w:tblPr>
        <w:tblpPr w:leftFromText="180" w:rightFromText="180" w:vertAnchor="text" w:horzAnchor="margin" w:tblpX="142" w:tblpY="17"/>
        <w:tblW w:w="4624" w:type="pct"/>
        <w:tblCellMar>
          <w:left w:w="119" w:type="dxa"/>
          <w:right w:w="119" w:type="dxa"/>
        </w:tblCellMar>
        <w:tblLook w:val="0000" w:firstRow="0" w:lastRow="0" w:firstColumn="0" w:lastColumn="0" w:noHBand="0" w:noVBand="0"/>
      </w:tblPr>
      <w:tblGrid>
        <w:gridCol w:w="4538"/>
        <w:gridCol w:w="992"/>
        <w:gridCol w:w="1461"/>
        <w:gridCol w:w="1792"/>
      </w:tblGrid>
      <w:tr w:rsidR="001856C5" w:rsidRPr="00F75A7A" w14:paraId="1BE03C20" w14:textId="77777777" w:rsidTr="00E032FC">
        <w:trPr>
          <w:trHeight w:val="260"/>
        </w:trPr>
        <w:tc>
          <w:tcPr>
            <w:tcW w:w="2583" w:type="pct"/>
          </w:tcPr>
          <w:p w14:paraId="2EB88E60" w14:textId="77777777" w:rsidR="001856C5" w:rsidRPr="004B4498" w:rsidRDefault="001856C5" w:rsidP="00E032FC">
            <w:pPr>
              <w:pStyle w:val="TT"/>
              <w:rPr>
                <w:rFonts w:cs="Arial"/>
                <w:b/>
                <w:bCs/>
                <w:color w:val="000000" w:themeColor="text1"/>
                <w:sz w:val="20"/>
                <w:lang w:val="hr-HR"/>
              </w:rPr>
            </w:pPr>
          </w:p>
        </w:tc>
        <w:tc>
          <w:tcPr>
            <w:tcW w:w="565" w:type="pct"/>
          </w:tcPr>
          <w:p w14:paraId="793AD6C2" w14:textId="77777777" w:rsidR="001856C5" w:rsidRPr="004B4498" w:rsidRDefault="001856C5" w:rsidP="00E032FC">
            <w:pPr>
              <w:pStyle w:val="TT"/>
              <w:ind w:left="-15" w:firstLine="15"/>
              <w:jc w:val="center"/>
              <w:rPr>
                <w:rFonts w:cs="Arial"/>
                <w:b/>
                <w:bCs/>
                <w:color w:val="000000" w:themeColor="text1"/>
                <w:sz w:val="20"/>
                <w:lang w:val="hr-HR"/>
              </w:rPr>
            </w:pPr>
            <w:bookmarkStart w:id="130" w:name="_Toc67326568"/>
            <w:r w:rsidRPr="004B4498">
              <w:rPr>
                <w:rFonts w:cs="Arial"/>
                <w:b/>
                <w:bCs/>
                <w:color w:val="000000" w:themeColor="text1"/>
                <w:spacing w:val="-1"/>
                <w:sz w:val="20"/>
                <w:lang w:val="hr-HR"/>
              </w:rPr>
              <w:t>Bilješka</w:t>
            </w:r>
            <w:bookmarkEnd w:id="130"/>
          </w:p>
        </w:tc>
        <w:tc>
          <w:tcPr>
            <w:tcW w:w="832" w:type="pct"/>
          </w:tcPr>
          <w:p w14:paraId="614DC12B" w14:textId="77777777" w:rsidR="001856C5" w:rsidRPr="004B4498" w:rsidRDefault="001856C5" w:rsidP="00E032FC">
            <w:pPr>
              <w:pStyle w:val="TT"/>
              <w:tabs>
                <w:tab w:val="clear" w:pos="1202"/>
              </w:tabs>
              <w:jc w:val="right"/>
              <w:rPr>
                <w:rFonts w:cs="Arial"/>
                <w:b/>
                <w:bCs/>
                <w:color w:val="000000" w:themeColor="text1"/>
                <w:sz w:val="20"/>
                <w:lang w:val="hr-HR"/>
              </w:rPr>
            </w:pPr>
            <w:r w:rsidRPr="004B4498">
              <w:rPr>
                <w:rFonts w:cs="Arial"/>
                <w:b/>
                <w:bCs/>
                <w:color w:val="000000" w:themeColor="text1"/>
                <w:sz w:val="20"/>
                <w:lang w:val="hr-HR"/>
              </w:rPr>
              <w:t>202</w:t>
            </w:r>
            <w:r>
              <w:rPr>
                <w:rFonts w:cs="Arial"/>
                <w:b/>
                <w:bCs/>
                <w:color w:val="000000" w:themeColor="text1"/>
                <w:sz w:val="20"/>
                <w:lang w:val="hr-HR"/>
              </w:rPr>
              <w:t>2</w:t>
            </w:r>
            <w:r w:rsidRPr="004B4498">
              <w:rPr>
                <w:rFonts w:cs="Arial"/>
                <w:b/>
                <w:bCs/>
                <w:color w:val="000000" w:themeColor="text1"/>
                <w:sz w:val="20"/>
                <w:lang w:val="hr-HR"/>
              </w:rPr>
              <w:t>.</w:t>
            </w:r>
          </w:p>
        </w:tc>
        <w:tc>
          <w:tcPr>
            <w:tcW w:w="1020" w:type="pct"/>
          </w:tcPr>
          <w:p w14:paraId="7EF86FA6" w14:textId="77777777" w:rsidR="001856C5" w:rsidRPr="004B4498" w:rsidRDefault="001856C5" w:rsidP="00E032FC">
            <w:pPr>
              <w:pStyle w:val="TT"/>
              <w:tabs>
                <w:tab w:val="clear" w:pos="1202"/>
              </w:tabs>
              <w:jc w:val="right"/>
              <w:rPr>
                <w:rFonts w:cs="Arial"/>
                <w:b/>
                <w:bCs/>
                <w:color w:val="000000" w:themeColor="text1"/>
                <w:sz w:val="20"/>
                <w:lang w:val="hr-HR"/>
              </w:rPr>
            </w:pPr>
            <w:bookmarkStart w:id="131" w:name="_Toc67326569"/>
            <w:r w:rsidRPr="004B4498">
              <w:rPr>
                <w:rFonts w:cs="Arial"/>
                <w:b/>
                <w:bCs/>
                <w:color w:val="000000" w:themeColor="text1"/>
                <w:sz w:val="20"/>
                <w:lang w:val="hr-HR"/>
              </w:rPr>
              <w:t>202</w:t>
            </w:r>
            <w:r>
              <w:rPr>
                <w:rFonts w:cs="Arial"/>
                <w:b/>
                <w:bCs/>
                <w:color w:val="000000" w:themeColor="text1"/>
                <w:sz w:val="20"/>
                <w:lang w:val="hr-HR"/>
              </w:rPr>
              <w:t>1</w:t>
            </w:r>
            <w:r w:rsidRPr="004B4498">
              <w:rPr>
                <w:rFonts w:cs="Arial"/>
                <w:b/>
                <w:bCs/>
                <w:color w:val="000000" w:themeColor="text1"/>
                <w:sz w:val="20"/>
                <w:lang w:val="hr-HR"/>
              </w:rPr>
              <w:t>.</w:t>
            </w:r>
            <w:bookmarkEnd w:id="131"/>
          </w:p>
        </w:tc>
      </w:tr>
      <w:tr w:rsidR="001856C5" w:rsidRPr="00F75A7A" w14:paraId="694CD955" w14:textId="77777777" w:rsidTr="00E032FC">
        <w:trPr>
          <w:trHeight w:val="260"/>
        </w:trPr>
        <w:tc>
          <w:tcPr>
            <w:tcW w:w="2583" w:type="pct"/>
          </w:tcPr>
          <w:p w14:paraId="046F652E" w14:textId="77777777" w:rsidR="001856C5" w:rsidRPr="004B4498" w:rsidRDefault="001856C5" w:rsidP="00E032FC">
            <w:pPr>
              <w:pStyle w:val="TT"/>
              <w:rPr>
                <w:rFonts w:cs="Arial"/>
                <w:b/>
                <w:bCs/>
                <w:color w:val="000000" w:themeColor="text1"/>
                <w:sz w:val="20"/>
                <w:lang w:val="hr-HR"/>
              </w:rPr>
            </w:pPr>
          </w:p>
        </w:tc>
        <w:tc>
          <w:tcPr>
            <w:tcW w:w="565" w:type="pct"/>
          </w:tcPr>
          <w:p w14:paraId="4089491D" w14:textId="77777777" w:rsidR="001856C5" w:rsidRPr="004B4498" w:rsidRDefault="001856C5" w:rsidP="00E032FC">
            <w:pPr>
              <w:pStyle w:val="TT"/>
              <w:jc w:val="center"/>
              <w:rPr>
                <w:rFonts w:cs="Arial"/>
                <w:b/>
                <w:bCs/>
                <w:color w:val="000000" w:themeColor="text1"/>
                <w:spacing w:val="-1"/>
                <w:sz w:val="20"/>
                <w:lang w:val="hr-HR"/>
              </w:rPr>
            </w:pPr>
          </w:p>
        </w:tc>
        <w:tc>
          <w:tcPr>
            <w:tcW w:w="832" w:type="pct"/>
          </w:tcPr>
          <w:p w14:paraId="6DC6A83C" w14:textId="77777777" w:rsidR="001856C5" w:rsidRPr="004B4498" w:rsidRDefault="001856C5" w:rsidP="00E032FC">
            <w:pPr>
              <w:pStyle w:val="TT"/>
              <w:tabs>
                <w:tab w:val="clear" w:pos="1202"/>
              </w:tabs>
              <w:jc w:val="right"/>
              <w:rPr>
                <w:rFonts w:cs="Arial"/>
                <w:b/>
                <w:bCs/>
                <w:color w:val="000000" w:themeColor="text1"/>
                <w:sz w:val="20"/>
                <w:lang w:val="hr-HR"/>
              </w:rPr>
            </w:pPr>
            <w:bookmarkStart w:id="132" w:name="_Toc67326571"/>
            <w:r w:rsidRPr="004B4498">
              <w:rPr>
                <w:rFonts w:cs="Arial"/>
                <w:b/>
                <w:bCs/>
                <w:color w:val="000000" w:themeColor="text1"/>
                <w:sz w:val="20"/>
                <w:lang w:val="hr-HR"/>
              </w:rPr>
              <w:t>000 kuna</w:t>
            </w:r>
            <w:bookmarkEnd w:id="132"/>
          </w:p>
        </w:tc>
        <w:tc>
          <w:tcPr>
            <w:tcW w:w="1020" w:type="pct"/>
          </w:tcPr>
          <w:p w14:paraId="793109AB" w14:textId="77777777" w:rsidR="001856C5" w:rsidRPr="004B4498" w:rsidRDefault="001856C5" w:rsidP="00E032FC">
            <w:pPr>
              <w:pStyle w:val="TT"/>
              <w:tabs>
                <w:tab w:val="clear" w:pos="1202"/>
              </w:tabs>
              <w:jc w:val="right"/>
              <w:rPr>
                <w:rFonts w:cs="Arial"/>
                <w:b/>
                <w:bCs/>
                <w:color w:val="000000" w:themeColor="text1"/>
                <w:sz w:val="20"/>
                <w:lang w:val="hr-HR"/>
              </w:rPr>
            </w:pPr>
            <w:bookmarkStart w:id="133" w:name="_Toc67326572"/>
            <w:r w:rsidRPr="004B4498">
              <w:rPr>
                <w:rFonts w:cs="Arial"/>
                <w:b/>
                <w:bCs/>
                <w:color w:val="000000" w:themeColor="text1"/>
                <w:sz w:val="20"/>
                <w:lang w:val="hr-HR"/>
              </w:rPr>
              <w:t>000 kuna</w:t>
            </w:r>
            <w:bookmarkEnd w:id="133"/>
          </w:p>
        </w:tc>
      </w:tr>
      <w:tr w:rsidR="001856C5" w:rsidRPr="00F75A7A" w14:paraId="0A163D30" w14:textId="77777777" w:rsidTr="00E032FC">
        <w:trPr>
          <w:trHeight w:hRule="exact" w:val="113"/>
        </w:trPr>
        <w:tc>
          <w:tcPr>
            <w:tcW w:w="2583" w:type="pct"/>
          </w:tcPr>
          <w:p w14:paraId="443A8797" w14:textId="77777777" w:rsidR="001856C5" w:rsidRPr="004B4498" w:rsidRDefault="001856C5" w:rsidP="00E032FC">
            <w:pPr>
              <w:pStyle w:val="TT"/>
              <w:rPr>
                <w:rFonts w:cs="Arial"/>
                <w:color w:val="000000" w:themeColor="text1"/>
                <w:sz w:val="20"/>
                <w:lang w:val="hr-HR"/>
              </w:rPr>
            </w:pPr>
          </w:p>
        </w:tc>
        <w:tc>
          <w:tcPr>
            <w:tcW w:w="565" w:type="pct"/>
          </w:tcPr>
          <w:p w14:paraId="14709369" w14:textId="77777777" w:rsidR="001856C5" w:rsidRPr="004B4498" w:rsidRDefault="001856C5" w:rsidP="00E032FC">
            <w:pPr>
              <w:pStyle w:val="TT"/>
              <w:jc w:val="center"/>
              <w:rPr>
                <w:rFonts w:cs="Arial"/>
                <w:b/>
                <w:color w:val="000000" w:themeColor="text1"/>
                <w:spacing w:val="-1"/>
                <w:sz w:val="20"/>
                <w:lang w:val="hr-HR"/>
              </w:rPr>
            </w:pPr>
          </w:p>
        </w:tc>
        <w:tc>
          <w:tcPr>
            <w:tcW w:w="832" w:type="pct"/>
          </w:tcPr>
          <w:p w14:paraId="3DD3D7AB" w14:textId="77777777" w:rsidR="001856C5" w:rsidRPr="004B4498" w:rsidRDefault="001856C5" w:rsidP="00E032FC">
            <w:pPr>
              <w:pStyle w:val="TT"/>
              <w:tabs>
                <w:tab w:val="clear" w:pos="1202"/>
              </w:tabs>
              <w:jc w:val="right"/>
              <w:rPr>
                <w:rFonts w:cs="Arial"/>
                <w:b/>
                <w:color w:val="000000" w:themeColor="text1"/>
                <w:sz w:val="20"/>
                <w:lang w:val="hr-HR"/>
              </w:rPr>
            </w:pPr>
          </w:p>
        </w:tc>
        <w:tc>
          <w:tcPr>
            <w:tcW w:w="1020" w:type="pct"/>
          </w:tcPr>
          <w:p w14:paraId="0305A1A1" w14:textId="77777777" w:rsidR="001856C5" w:rsidRPr="004B4498" w:rsidRDefault="001856C5" w:rsidP="00E032FC">
            <w:pPr>
              <w:pStyle w:val="TT"/>
              <w:tabs>
                <w:tab w:val="clear" w:pos="1202"/>
              </w:tabs>
              <w:jc w:val="right"/>
              <w:rPr>
                <w:rFonts w:cs="Arial"/>
                <w:b/>
                <w:color w:val="000000" w:themeColor="text1"/>
                <w:sz w:val="20"/>
                <w:lang w:val="hr-HR"/>
              </w:rPr>
            </w:pPr>
          </w:p>
        </w:tc>
      </w:tr>
      <w:tr w:rsidR="001856C5" w:rsidRPr="00F75A7A" w14:paraId="5EC94FE5" w14:textId="77777777" w:rsidTr="00E032FC">
        <w:trPr>
          <w:trHeight w:val="519"/>
        </w:trPr>
        <w:tc>
          <w:tcPr>
            <w:tcW w:w="2583" w:type="pct"/>
          </w:tcPr>
          <w:p w14:paraId="1236078D" w14:textId="77777777" w:rsidR="001856C5" w:rsidRPr="004B4498" w:rsidRDefault="001856C5" w:rsidP="00E032FC">
            <w:pPr>
              <w:pStyle w:val="TT"/>
              <w:rPr>
                <w:rFonts w:cs="Arial"/>
                <w:bCs/>
                <w:color w:val="000000" w:themeColor="text1"/>
                <w:sz w:val="20"/>
                <w:lang w:val="hr-HR"/>
              </w:rPr>
            </w:pPr>
            <w:bookmarkStart w:id="134" w:name="_Toc67326573"/>
            <w:r w:rsidRPr="004B4498">
              <w:rPr>
                <w:rFonts w:cs="Arial"/>
                <w:bCs/>
                <w:color w:val="000000" w:themeColor="text1"/>
                <w:spacing w:val="-2"/>
                <w:sz w:val="20"/>
                <w:lang w:val="hr-HR"/>
              </w:rPr>
              <w:t>Prihodi od kamata izračunati metodom efektivne kamatne stope</w:t>
            </w:r>
            <w:bookmarkEnd w:id="134"/>
          </w:p>
        </w:tc>
        <w:tc>
          <w:tcPr>
            <w:tcW w:w="565" w:type="pct"/>
            <w:vAlign w:val="bottom"/>
          </w:tcPr>
          <w:p w14:paraId="3DCC5DAB" w14:textId="77777777" w:rsidR="001856C5" w:rsidRPr="00A873BB" w:rsidRDefault="001856C5" w:rsidP="00E032FC">
            <w:pPr>
              <w:pStyle w:val="TT"/>
              <w:jc w:val="center"/>
              <w:rPr>
                <w:rFonts w:cs="Arial"/>
                <w:bCs/>
                <w:color w:val="000000" w:themeColor="text1"/>
                <w:sz w:val="20"/>
                <w:lang w:val="hr-HR"/>
              </w:rPr>
            </w:pPr>
            <w:bookmarkStart w:id="135" w:name="_Toc67326574"/>
            <w:r w:rsidRPr="00A873BB">
              <w:rPr>
                <w:rFonts w:cs="Arial"/>
                <w:bCs/>
                <w:color w:val="000000" w:themeColor="text1"/>
                <w:sz w:val="20"/>
                <w:lang w:val="hr-HR"/>
              </w:rPr>
              <w:t>5</w:t>
            </w:r>
            <w:bookmarkEnd w:id="135"/>
          </w:p>
        </w:tc>
        <w:tc>
          <w:tcPr>
            <w:tcW w:w="832" w:type="pct"/>
            <w:tcBorders>
              <w:top w:val="nil"/>
              <w:left w:val="nil"/>
              <w:right w:val="nil"/>
            </w:tcBorders>
            <w:shd w:val="clear" w:color="auto" w:fill="auto"/>
            <w:vAlign w:val="bottom"/>
          </w:tcPr>
          <w:p w14:paraId="64322F37" w14:textId="77777777" w:rsidR="001856C5" w:rsidRPr="004B4498" w:rsidRDefault="001856C5" w:rsidP="00E032FC">
            <w:pPr>
              <w:pStyle w:val="TT"/>
              <w:tabs>
                <w:tab w:val="clear" w:pos="1202"/>
              </w:tabs>
              <w:jc w:val="right"/>
              <w:rPr>
                <w:rFonts w:cs="Arial"/>
                <w:color w:val="000000" w:themeColor="text1"/>
                <w:sz w:val="20"/>
                <w:lang w:val="hr-HR"/>
              </w:rPr>
            </w:pPr>
            <w:r w:rsidRPr="00C507E7">
              <w:rPr>
                <w:rFonts w:cs="Arial"/>
                <w:color w:val="000000" w:themeColor="text1"/>
                <w:sz w:val="20"/>
                <w:lang w:val="hr-HR"/>
              </w:rPr>
              <w:t xml:space="preserve"> 629.193 </w:t>
            </w:r>
          </w:p>
        </w:tc>
        <w:tc>
          <w:tcPr>
            <w:tcW w:w="1020" w:type="pct"/>
            <w:tcBorders>
              <w:top w:val="nil"/>
              <w:left w:val="nil"/>
              <w:right w:val="nil"/>
            </w:tcBorders>
            <w:shd w:val="clear" w:color="auto" w:fill="auto"/>
            <w:vAlign w:val="bottom"/>
          </w:tcPr>
          <w:p w14:paraId="744A3B13" w14:textId="77777777" w:rsidR="001856C5" w:rsidRPr="004B4498" w:rsidRDefault="001856C5" w:rsidP="00E032FC">
            <w:pPr>
              <w:pStyle w:val="TT"/>
              <w:tabs>
                <w:tab w:val="clear" w:pos="1202"/>
              </w:tabs>
              <w:jc w:val="right"/>
              <w:rPr>
                <w:rFonts w:cs="Arial"/>
                <w:bCs/>
                <w:color w:val="000000" w:themeColor="text1"/>
                <w:spacing w:val="-2"/>
                <w:sz w:val="20"/>
                <w:lang w:val="hr-HR"/>
              </w:rPr>
            </w:pPr>
            <w:bookmarkStart w:id="136" w:name="_Toc67326575"/>
            <w:r w:rsidRPr="0046584E">
              <w:rPr>
                <w:rFonts w:cs="Arial"/>
                <w:color w:val="000000" w:themeColor="text1"/>
                <w:sz w:val="20"/>
                <w:lang w:val="hr-HR"/>
              </w:rPr>
              <w:t>677.437</w:t>
            </w:r>
            <w:bookmarkEnd w:id="136"/>
          </w:p>
        </w:tc>
      </w:tr>
      <w:tr w:rsidR="001856C5" w:rsidRPr="00F75A7A" w14:paraId="18BD434B" w14:textId="77777777" w:rsidTr="00E032FC">
        <w:trPr>
          <w:trHeight w:val="247"/>
        </w:trPr>
        <w:tc>
          <w:tcPr>
            <w:tcW w:w="2583" w:type="pct"/>
          </w:tcPr>
          <w:p w14:paraId="6C0AF81A" w14:textId="77777777" w:rsidR="001856C5" w:rsidRPr="004B4498" w:rsidRDefault="001856C5" w:rsidP="00E032FC">
            <w:pPr>
              <w:pStyle w:val="TT"/>
              <w:rPr>
                <w:rFonts w:cs="Arial"/>
                <w:bCs/>
                <w:color w:val="000000" w:themeColor="text1"/>
                <w:spacing w:val="-2"/>
                <w:sz w:val="20"/>
                <w:lang w:val="hr-HR"/>
              </w:rPr>
            </w:pPr>
            <w:bookmarkStart w:id="137" w:name="_Toc67326577"/>
            <w:r w:rsidRPr="004B4498">
              <w:rPr>
                <w:rFonts w:cs="Arial"/>
                <w:bCs/>
                <w:color w:val="000000" w:themeColor="text1"/>
                <w:spacing w:val="-2"/>
                <w:sz w:val="20"/>
                <w:lang w:val="hr-HR"/>
              </w:rPr>
              <w:t>Rashodi od kamata</w:t>
            </w:r>
            <w:bookmarkEnd w:id="137"/>
          </w:p>
        </w:tc>
        <w:tc>
          <w:tcPr>
            <w:tcW w:w="565" w:type="pct"/>
            <w:vAlign w:val="bottom"/>
          </w:tcPr>
          <w:p w14:paraId="7BDCFD92" w14:textId="77777777" w:rsidR="001856C5" w:rsidRPr="00A873BB" w:rsidRDefault="001856C5" w:rsidP="00E032FC">
            <w:pPr>
              <w:pStyle w:val="TT"/>
              <w:jc w:val="center"/>
              <w:rPr>
                <w:rFonts w:cs="Arial"/>
                <w:bCs/>
                <w:color w:val="000000" w:themeColor="text1"/>
                <w:spacing w:val="-2"/>
                <w:sz w:val="20"/>
                <w:lang w:val="hr-HR"/>
              </w:rPr>
            </w:pPr>
            <w:bookmarkStart w:id="138" w:name="_Toc67326578"/>
            <w:r w:rsidRPr="00A873BB">
              <w:rPr>
                <w:rFonts w:cs="Arial"/>
                <w:bCs/>
                <w:color w:val="000000" w:themeColor="text1"/>
                <w:spacing w:val="-2"/>
                <w:sz w:val="20"/>
                <w:lang w:val="hr-HR"/>
              </w:rPr>
              <w:t>6</w:t>
            </w:r>
            <w:bookmarkEnd w:id="138"/>
          </w:p>
        </w:tc>
        <w:tc>
          <w:tcPr>
            <w:tcW w:w="832" w:type="pct"/>
            <w:tcBorders>
              <w:top w:val="nil"/>
              <w:left w:val="nil"/>
              <w:right w:val="nil"/>
            </w:tcBorders>
            <w:shd w:val="clear" w:color="auto" w:fill="auto"/>
            <w:vAlign w:val="bottom"/>
          </w:tcPr>
          <w:p w14:paraId="67F8BB41" w14:textId="77777777" w:rsidR="001856C5" w:rsidRPr="004B4498" w:rsidRDefault="001856C5" w:rsidP="00E032FC">
            <w:pPr>
              <w:pStyle w:val="TT"/>
              <w:tabs>
                <w:tab w:val="clear" w:pos="1202"/>
              </w:tabs>
              <w:jc w:val="right"/>
              <w:rPr>
                <w:rFonts w:cs="Arial"/>
                <w:color w:val="000000" w:themeColor="text1"/>
                <w:sz w:val="20"/>
                <w:lang w:val="hr-HR"/>
              </w:rPr>
            </w:pPr>
            <w:r w:rsidRPr="00C507E7">
              <w:rPr>
                <w:rFonts w:cs="Arial"/>
                <w:color w:val="000000" w:themeColor="text1"/>
                <w:sz w:val="20"/>
                <w:lang w:val="hr-HR"/>
              </w:rPr>
              <w:t xml:space="preserve"> (158.416)</w:t>
            </w:r>
          </w:p>
        </w:tc>
        <w:tc>
          <w:tcPr>
            <w:tcW w:w="1020" w:type="pct"/>
            <w:tcBorders>
              <w:top w:val="nil"/>
              <w:left w:val="nil"/>
              <w:right w:val="nil"/>
            </w:tcBorders>
            <w:shd w:val="clear" w:color="auto" w:fill="auto"/>
            <w:vAlign w:val="bottom"/>
          </w:tcPr>
          <w:p w14:paraId="4C349823" w14:textId="77777777" w:rsidR="001856C5" w:rsidRPr="004B4498" w:rsidRDefault="001856C5" w:rsidP="00E032FC">
            <w:pPr>
              <w:pStyle w:val="TT"/>
              <w:tabs>
                <w:tab w:val="clear" w:pos="1202"/>
              </w:tabs>
              <w:jc w:val="right"/>
              <w:rPr>
                <w:rFonts w:cs="Arial"/>
                <w:bCs/>
                <w:color w:val="000000" w:themeColor="text1"/>
                <w:spacing w:val="-2"/>
                <w:sz w:val="20"/>
                <w:lang w:val="hr-HR"/>
              </w:rPr>
            </w:pPr>
            <w:bookmarkStart w:id="139" w:name="_Toc67326579"/>
            <w:r w:rsidRPr="0046584E">
              <w:rPr>
                <w:rFonts w:cs="Arial"/>
                <w:color w:val="000000" w:themeColor="text1"/>
                <w:sz w:val="20"/>
                <w:lang w:val="hr-HR"/>
              </w:rPr>
              <w:t>(184.626)</w:t>
            </w:r>
            <w:bookmarkEnd w:id="139"/>
          </w:p>
        </w:tc>
      </w:tr>
      <w:tr w:rsidR="001856C5" w:rsidRPr="00F75A7A" w14:paraId="0B978E2E" w14:textId="77777777" w:rsidTr="00E032FC">
        <w:trPr>
          <w:trHeight w:val="292"/>
        </w:trPr>
        <w:tc>
          <w:tcPr>
            <w:tcW w:w="2583" w:type="pct"/>
          </w:tcPr>
          <w:p w14:paraId="2FCB6026" w14:textId="77777777" w:rsidR="001856C5" w:rsidRPr="004B4498" w:rsidRDefault="001856C5" w:rsidP="00E032FC">
            <w:pPr>
              <w:pStyle w:val="Tot"/>
              <w:rPr>
                <w:rFonts w:cs="Arial"/>
                <w:b/>
                <w:bCs/>
                <w:color w:val="000000" w:themeColor="text1"/>
                <w:sz w:val="20"/>
                <w:vertAlign w:val="superscript"/>
                <w:lang w:val="hr-HR"/>
              </w:rPr>
            </w:pPr>
            <w:bookmarkStart w:id="140" w:name="_Toc67326581"/>
            <w:r w:rsidRPr="004B4498">
              <w:rPr>
                <w:rFonts w:cs="Arial"/>
                <w:b/>
                <w:bCs/>
                <w:color w:val="000000" w:themeColor="text1"/>
                <w:sz w:val="20"/>
                <w:lang w:val="hr-HR"/>
              </w:rPr>
              <w:t>Neto prihod od kamata</w:t>
            </w:r>
            <w:bookmarkEnd w:id="140"/>
          </w:p>
        </w:tc>
        <w:tc>
          <w:tcPr>
            <w:tcW w:w="565" w:type="pct"/>
            <w:vAlign w:val="bottom"/>
          </w:tcPr>
          <w:p w14:paraId="28346BB8" w14:textId="77777777" w:rsidR="001856C5" w:rsidRPr="00A873BB" w:rsidRDefault="001856C5" w:rsidP="00E032FC">
            <w:pPr>
              <w:pStyle w:val="Tot"/>
              <w:jc w:val="center"/>
              <w:rPr>
                <w:rFonts w:cs="Arial"/>
                <w:b/>
                <w:bCs/>
                <w:color w:val="000000" w:themeColor="text1"/>
                <w:sz w:val="20"/>
                <w:lang w:val="hr-HR"/>
              </w:rPr>
            </w:pPr>
          </w:p>
        </w:tc>
        <w:tc>
          <w:tcPr>
            <w:tcW w:w="832" w:type="pct"/>
            <w:tcBorders>
              <w:top w:val="single" w:sz="4" w:space="0" w:color="auto"/>
              <w:bottom w:val="single" w:sz="12" w:space="0" w:color="auto"/>
            </w:tcBorders>
            <w:vAlign w:val="bottom"/>
          </w:tcPr>
          <w:p w14:paraId="7E154A7B" w14:textId="77777777" w:rsidR="001856C5" w:rsidRPr="004B4498" w:rsidRDefault="001856C5" w:rsidP="00E032FC">
            <w:pPr>
              <w:pStyle w:val="Tot"/>
              <w:jc w:val="right"/>
              <w:rPr>
                <w:rFonts w:cs="Arial"/>
                <w:b/>
                <w:color w:val="000000" w:themeColor="text1"/>
                <w:sz w:val="20"/>
                <w:lang w:val="hr-HR"/>
              </w:rPr>
            </w:pPr>
            <w:r w:rsidRPr="00C507E7">
              <w:rPr>
                <w:rFonts w:cs="Arial"/>
                <w:b/>
                <w:color w:val="000000" w:themeColor="text1"/>
                <w:sz w:val="20"/>
                <w:lang w:val="hr-HR"/>
              </w:rPr>
              <w:t xml:space="preserve"> 470.777 </w:t>
            </w:r>
          </w:p>
        </w:tc>
        <w:tc>
          <w:tcPr>
            <w:tcW w:w="1020" w:type="pct"/>
            <w:tcBorders>
              <w:top w:val="single" w:sz="4" w:space="0" w:color="auto"/>
              <w:bottom w:val="single" w:sz="12" w:space="0" w:color="auto"/>
            </w:tcBorders>
            <w:vAlign w:val="center"/>
          </w:tcPr>
          <w:p w14:paraId="11D74C52" w14:textId="77777777" w:rsidR="001856C5" w:rsidRPr="004B4498" w:rsidRDefault="001856C5" w:rsidP="00E032FC">
            <w:pPr>
              <w:pStyle w:val="Tot"/>
              <w:tabs>
                <w:tab w:val="clear" w:pos="1202"/>
              </w:tabs>
              <w:jc w:val="right"/>
              <w:rPr>
                <w:rFonts w:cs="Arial"/>
                <w:b/>
                <w:bCs/>
                <w:color w:val="000000" w:themeColor="text1"/>
                <w:spacing w:val="-2"/>
                <w:sz w:val="20"/>
                <w:lang w:val="hr-HR"/>
              </w:rPr>
            </w:pPr>
            <w:bookmarkStart w:id="141" w:name="_Toc67326582"/>
            <w:r w:rsidRPr="0046584E">
              <w:rPr>
                <w:rFonts w:cs="Arial"/>
                <w:b/>
                <w:color w:val="000000" w:themeColor="text1"/>
                <w:sz w:val="20"/>
                <w:lang w:val="hr-HR"/>
              </w:rPr>
              <w:t>492.811</w:t>
            </w:r>
            <w:bookmarkEnd w:id="141"/>
          </w:p>
        </w:tc>
      </w:tr>
      <w:tr w:rsidR="001856C5" w:rsidRPr="00F75A7A" w14:paraId="025C1ACF" w14:textId="77777777" w:rsidTr="00E032FC">
        <w:trPr>
          <w:trHeight w:val="260"/>
        </w:trPr>
        <w:tc>
          <w:tcPr>
            <w:tcW w:w="2583" w:type="pct"/>
          </w:tcPr>
          <w:p w14:paraId="50362A84" w14:textId="77777777" w:rsidR="001856C5" w:rsidRPr="004B4498" w:rsidRDefault="001856C5" w:rsidP="00E032FC">
            <w:pPr>
              <w:pStyle w:val="TT"/>
              <w:rPr>
                <w:rFonts w:cs="Arial"/>
                <w:bCs/>
                <w:color w:val="000000" w:themeColor="text1"/>
                <w:spacing w:val="-2"/>
                <w:sz w:val="20"/>
                <w:lang w:val="hr-HR"/>
              </w:rPr>
            </w:pPr>
          </w:p>
        </w:tc>
        <w:tc>
          <w:tcPr>
            <w:tcW w:w="565" w:type="pct"/>
            <w:vAlign w:val="bottom"/>
          </w:tcPr>
          <w:p w14:paraId="4909DF72" w14:textId="77777777" w:rsidR="001856C5" w:rsidRPr="00A873BB" w:rsidRDefault="001856C5" w:rsidP="00E032FC">
            <w:pPr>
              <w:pStyle w:val="TT"/>
              <w:jc w:val="center"/>
              <w:rPr>
                <w:rFonts w:cs="Arial"/>
                <w:bCs/>
                <w:color w:val="000000" w:themeColor="text1"/>
                <w:sz w:val="20"/>
                <w:lang w:val="hr-HR"/>
              </w:rPr>
            </w:pPr>
          </w:p>
        </w:tc>
        <w:tc>
          <w:tcPr>
            <w:tcW w:w="832" w:type="pct"/>
            <w:vAlign w:val="bottom"/>
          </w:tcPr>
          <w:p w14:paraId="1ACDFBEC" w14:textId="77777777" w:rsidR="001856C5" w:rsidRPr="004B4498" w:rsidRDefault="001856C5" w:rsidP="00E032FC">
            <w:pPr>
              <w:pStyle w:val="TT"/>
              <w:tabs>
                <w:tab w:val="clear" w:pos="1202"/>
              </w:tabs>
              <w:jc w:val="right"/>
              <w:rPr>
                <w:rFonts w:cs="Arial"/>
                <w:color w:val="000000" w:themeColor="text1"/>
                <w:sz w:val="20"/>
                <w:lang w:val="hr-HR"/>
              </w:rPr>
            </w:pPr>
          </w:p>
        </w:tc>
        <w:tc>
          <w:tcPr>
            <w:tcW w:w="1020" w:type="pct"/>
            <w:vAlign w:val="bottom"/>
          </w:tcPr>
          <w:p w14:paraId="6B46489A" w14:textId="77777777" w:rsidR="001856C5" w:rsidRPr="004B4498" w:rsidRDefault="001856C5" w:rsidP="00E032FC">
            <w:pPr>
              <w:pStyle w:val="TT"/>
              <w:tabs>
                <w:tab w:val="clear" w:pos="1202"/>
              </w:tabs>
              <w:jc w:val="right"/>
              <w:rPr>
                <w:rFonts w:cs="Arial"/>
                <w:bCs/>
                <w:color w:val="000000" w:themeColor="text1"/>
                <w:spacing w:val="-2"/>
                <w:sz w:val="20"/>
                <w:lang w:val="hr-HR"/>
              </w:rPr>
            </w:pPr>
          </w:p>
        </w:tc>
      </w:tr>
      <w:tr w:rsidR="001856C5" w:rsidRPr="00F75A7A" w14:paraId="42AFEA11" w14:textId="77777777" w:rsidTr="00E032FC">
        <w:trPr>
          <w:trHeight w:val="260"/>
        </w:trPr>
        <w:tc>
          <w:tcPr>
            <w:tcW w:w="2583" w:type="pct"/>
          </w:tcPr>
          <w:p w14:paraId="227D292E" w14:textId="77777777" w:rsidR="001856C5" w:rsidRPr="004B4498" w:rsidRDefault="001856C5" w:rsidP="00E032FC">
            <w:pPr>
              <w:pStyle w:val="TT"/>
              <w:rPr>
                <w:rFonts w:cs="Arial"/>
                <w:bCs/>
                <w:color w:val="000000" w:themeColor="text1"/>
                <w:sz w:val="20"/>
                <w:lang w:val="hr-HR"/>
              </w:rPr>
            </w:pPr>
            <w:bookmarkStart w:id="142" w:name="_Toc67326584"/>
            <w:r w:rsidRPr="004B4498">
              <w:rPr>
                <w:rFonts w:cs="Arial"/>
                <w:bCs/>
                <w:color w:val="000000" w:themeColor="text1"/>
                <w:spacing w:val="-2"/>
                <w:sz w:val="20"/>
                <w:lang w:val="hr-HR"/>
              </w:rPr>
              <w:t>Prihodi od naknada i provizija</w:t>
            </w:r>
            <w:bookmarkEnd w:id="142"/>
          </w:p>
        </w:tc>
        <w:tc>
          <w:tcPr>
            <w:tcW w:w="565" w:type="pct"/>
          </w:tcPr>
          <w:p w14:paraId="36A1831C" w14:textId="77777777" w:rsidR="001856C5" w:rsidRPr="00A873BB" w:rsidRDefault="001856C5" w:rsidP="00E032FC">
            <w:pPr>
              <w:pStyle w:val="TT"/>
              <w:jc w:val="center"/>
              <w:rPr>
                <w:rFonts w:cs="Arial"/>
                <w:bCs/>
                <w:color w:val="000000" w:themeColor="text1"/>
                <w:sz w:val="20"/>
                <w:lang w:val="hr-HR"/>
              </w:rPr>
            </w:pPr>
            <w:bookmarkStart w:id="143" w:name="_Toc67326585"/>
            <w:r w:rsidRPr="00A873BB">
              <w:rPr>
                <w:rFonts w:cs="Arial"/>
                <w:bCs/>
                <w:color w:val="000000" w:themeColor="text1"/>
                <w:sz w:val="20"/>
                <w:lang w:val="hr-HR"/>
              </w:rPr>
              <w:t>7</w:t>
            </w:r>
            <w:bookmarkEnd w:id="143"/>
          </w:p>
        </w:tc>
        <w:tc>
          <w:tcPr>
            <w:tcW w:w="832" w:type="pct"/>
            <w:vAlign w:val="bottom"/>
          </w:tcPr>
          <w:p w14:paraId="6D2F98E5" w14:textId="77777777" w:rsidR="001856C5" w:rsidRPr="004B4498" w:rsidRDefault="001856C5" w:rsidP="00E032FC">
            <w:pPr>
              <w:pStyle w:val="TT"/>
              <w:tabs>
                <w:tab w:val="clear" w:pos="1202"/>
              </w:tabs>
              <w:jc w:val="right"/>
              <w:rPr>
                <w:rFonts w:cs="Arial"/>
                <w:color w:val="000000" w:themeColor="text1"/>
                <w:sz w:val="20"/>
                <w:lang w:val="hr-HR"/>
              </w:rPr>
            </w:pPr>
            <w:r w:rsidRPr="00C507E7">
              <w:rPr>
                <w:rFonts w:cs="Arial"/>
                <w:color w:val="000000" w:themeColor="text1"/>
                <w:sz w:val="20"/>
                <w:lang w:val="hr-HR"/>
              </w:rPr>
              <w:t xml:space="preserve"> 27.179 </w:t>
            </w:r>
          </w:p>
        </w:tc>
        <w:tc>
          <w:tcPr>
            <w:tcW w:w="1020" w:type="pct"/>
            <w:vAlign w:val="bottom"/>
          </w:tcPr>
          <w:p w14:paraId="56096D38" w14:textId="77777777" w:rsidR="001856C5" w:rsidRPr="004B4498" w:rsidRDefault="001856C5" w:rsidP="00E032FC">
            <w:pPr>
              <w:jc w:val="right"/>
              <w:rPr>
                <w:rFonts w:ascii="Arial" w:eastAsia="Arial Unicode MS" w:hAnsi="Arial" w:cs="Arial"/>
                <w:color w:val="000000" w:themeColor="text1"/>
                <w:sz w:val="20"/>
                <w:szCs w:val="20"/>
                <w:lang w:val="hr-HR"/>
              </w:rPr>
            </w:pPr>
            <w:bookmarkStart w:id="144" w:name="_Toc67326586"/>
            <w:r w:rsidRPr="0046584E">
              <w:rPr>
                <w:rFonts w:ascii="Arial" w:hAnsi="Arial" w:cs="Arial"/>
                <w:color w:val="000000" w:themeColor="text1"/>
                <w:sz w:val="20"/>
                <w:szCs w:val="20"/>
                <w:lang w:val="hr-HR"/>
              </w:rPr>
              <w:t xml:space="preserve"> 31.822 </w:t>
            </w:r>
            <w:bookmarkEnd w:id="144"/>
          </w:p>
        </w:tc>
      </w:tr>
      <w:tr w:rsidR="001856C5" w:rsidRPr="00F75A7A" w14:paraId="200EF5D5" w14:textId="77777777" w:rsidTr="00E032FC">
        <w:trPr>
          <w:trHeight w:val="326"/>
        </w:trPr>
        <w:tc>
          <w:tcPr>
            <w:tcW w:w="2583" w:type="pct"/>
            <w:vAlign w:val="center"/>
          </w:tcPr>
          <w:p w14:paraId="71B35727" w14:textId="77777777" w:rsidR="001856C5" w:rsidRPr="004B4498" w:rsidRDefault="001856C5" w:rsidP="00E032FC">
            <w:pPr>
              <w:pStyle w:val="TT"/>
              <w:rPr>
                <w:rFonts w:cs="Arial"/>
                <w:bCs/>
                <w:color w:val="000000" w:themeColor="text1"/>
                <w:spacing w:val="-2"/>
                <w:sz w:val="20"/>
                <w:lang w:val="hr-HR"/>
              </w:rPr>
            </w:pPr>
            <w:bookmarkStart w:id="145" w:name="_Toc67326587"/>
            <w:r w:rsidRPr="004B4498">
              <w:rPr>
                <w:rFonts w:cs="Arial"/>
                <w:bCs/>
                <w:color w:val="000000" w:themeColor="text1"/>
                <w:spacing w:val="-2"/>
                <w:sz w:val="20"/>
                <w:lang w:val="hr-HR"/>
              </w:rPr>
              <w:t>Rashodi od naknada i provizija</w:t>
            </w:r>
            <w:bookmarkEnd w:id="145"/>
          </w:p>
        </w:tc>
        <w:tc>
          <w:tcPr>
            <w:tcW w:w="565" w:type="pct"/>
            <w:vAlign w:val="center"/>
          </w:tcPr>
          <w:p w14:paraId="0823703A" w14:textId="77777777" w:rsidR="001856C5" w:rsidRPr="00A873BB" w:rsidRDefault="001856C5" w:rsidP="00E032FC">
            <w:pPr>
              <w:pStyle w:val="TT"/>
              <w:jc w:val="center"/>
              <w:rPr>
                <w:rFonts w:cs="Arial"/>
                <w:bCs/>
                <w:color w:val="000000" w:themeColor="text1"/>
                <w:spacing w:val="-2"/>
                <w:sz w:val="20"/>
                <w:lang w:val="hr-HR"/>
              </w:rPr>
            </w:pPr>
            <w:bookmarkStart w:id="146" w:name="_Toc67326588"/>
            <w:r w:rsidRPr="00A873BB">
              <w:rPr>
                <w:rFonts w:cs="Arial"/>
                <w:bCs/>
                <w:color w:val="000000" w:themeColor="text1"/>
                <w:spacing w:val="-2"/>
                <w:sz w:val="20"/>
                <w:lang w:val="hr-HR"/>
              </w:rPr>
              <w:t>7</w:t>
            </w:r>
            <w:bookmarkEnd w:id="146"/>
          </w:p>
        </w:tc>
        <w:tc>
          <w:tcPr>
            <w:tcW w:w="832" w:type="pct"/>
            <w:vAlign w:val="bottom"/>
          </w:tcPr>
          <w:p w14:paraId="52951AB0" w14:textId="77777777" w:rsidR="001856C5" w:rsidRPr="004B4498" w:rsidRDefault="001856C5" w:rsidP="00E032FC">
            <w:pPr>
              <w:pStyle w:val="TT"/>
              <w:tabs>
                <w:tab w:val="clear" w:pos="1202"/>
              </w:tabs>
              <w:jc w:val="right"/>
              <w:rPr>
                <w:rFonts w:cs="Arial"/>
                <w:color w:val="000000" w:themeColor="text1"/>
                <w:sz w:val="20"/>
                <w:lang w:val="hr-HR"/>
              </w:rPr>
            </w:pPr>
            <w:r w:rsidRPr="00C507E7">
              <w:rPr>
                <w:rFonts w:cs="Arial"/>
                <w:color w:val="000000" w:themeColor="text1"/>
                <w:sz w:val="20"/>
                <w:lang w:val="hr-HR"/>
              </w:rPr>
              <w:t xml:space="preserve"> (3.910)</w:t>
            </w:r>
          </w:p>
        </w:tc>
        <w:tc>
          <w:tcPr>
            <w:tcW w:w="1020" w:type="pct"/>
            <w:vAlign w:val="bottom"/>
          </w:tcPr>
          <w:p w14:paraId="3D2DC5ED" w14:textId="77777777" w:rsidR="001856C5" w:rsidRPr="004B4498" w:rsidRDefault="001856C5" w:rsidP="00E032FC">
            <w:pPr>
              <w:jc w:val="right"/>
              <w:rPr>
                <w:rFonts w:ascii="Arial" w:eastAsia="Arial Unicode MS" w:hAnsi="Arial" w:cs="Arial"/>
                <w:color w:val="000000" w:themeColor="text1"/>
                <w:sz w:val="20"/>
                <w:szCs w:val="20"/>
                <w:lang w:val="hr-HR"/>
              </w:rPr>
            </w:pPr>
            <w:bookmarkStart w:id="147" w:name="_Toc67326589"/>
            <w:r w:rsidRPr="0046584E">
              <w:rPr>
                <w:rFonts w:ascii="Arial" w:hAnsi="Arial" w:cs="Arial"/>
                <w:color w:val="000000" w:themeColor="text1"/>
                <w:sz w:val="20"/>
                <w:szCs w:val="20"/>
                <w:lang w:val="hr-HR"/>
              </w:rPr>
              <w:t xml:space="preserve"> (5.056)</w:t>
            </w:r>
            <w:bookmarkEnd w:id="147"/>
          </w:p>
        </w:tc>
      </w:tr>
      <w:tr w:rsidR="001856C5" w:rsidRPr="00F75A7A" w14:paraId="4CCDDE7A" w14:textId="77777777" w:rsidTr="00E032FC">
        <w:trPr>
          <w:trHeight w:val="292"/>
        </w:trPr>
        <w:tc>
          <w:tcPr>
            <w:tcW w:w="2583" w:type="pct"/>
          </w:tcPr>
          <w:p w14:paraId="78F9B2F5" w14:textId="77777777" w:rsidR="001856C5" w:rsidRPr="004B4498" w:rsidRDefault="001856C5" w:rsidP="00E032FC">
            <w:pPr>
              <w:pStyle w:val="Tot"/>
              <w:rPr>
                <w:rFonts w:cs="Arial"/>
                <w:b/>
                <w:bCs/>
                <w:color w:val="000000" w:themeColor="text1"/>
                <w:sz w:val="20"/>
                <w:vertAlign w:val="superscript"/>
                <w:lang w:val="hr-HR"/>
              </w:rPr>
            </w:pPr>
            <w:bookmarkStart w:id="148" w:name="_Toc67326590"/>
            <w:r w:rsidRPr="004B4498">
              <w:rPr>
                <w:rFonts w:cs="Arial"/>
                <w:b/>
                <w:bCs/>
                <w:color w:val="000000" w:themeColor="text1"/>
                <w:sz w:val="20"/>
                <w:lang w:val="hr-HR"/>
              </w:rPr>
              <w:t>Neto prihod od naknada i provizija</w:t>
            </w:r>
            <w:bookmarkEnd w:id="148"/>
          </w:p>
        </w:tc>
        <w:tc>
          <w:tcPr>
            <w:tcW w:w="565" w:type="pct"/>
            <w:vAlign w:val="bottom"/>
          </w:tcPr>
          <w:p w14:paraId="1E536541" w14:textId="77777777" w:rsidR="001856C5" w:rsidRPr="00A873BB" w:rsidRDefault="001856C5" w:rsidP="00E032FC">
            <w:pPr>
              <w:pStyle w:val="Tot"/>
              <w:jc w:val="center"/>
              <w:rPr>
                <w:rFonts w:cs="Arial"/>
                <w:b/>
                <w:bCs/>
                <w:color w:val="000000" w:themeColor="text1"/>
                <w:sz w:val="20"/>
                <w:lang w:val="hr-HR"/>
              </w:rPr>
            </w:pPr>
          </w:p>
        </w:tc>
        <w:tc>
          <w:tcPr>
            <w:tcW w:w="832" w:type="pct"/>
            <w:tcBorders>
              <w:top w:val="single" w:sz="2" w:space="0" w:color="auto"/>
              <w:bottom w:val="single" w:sz="12" w:space="0" w:color="auto"/>
            </w:tcBorders>
            <w:vAlign w:val="bottom"/>
          </w:tcPr>
          <w:p w14:paraId="00603905" w14:textId="77777777" w:rsidR="001856C5" w:rsidRPr="004B4498" w:rsidRDefault="001856C5" w:rsidP="00E032FC">
            <w:pPr>
              <w:pStyle w:val="Tot"/>
              <w:jc w:val="right"/>
              <w:rPr>
                <w:rFonts w:cs="Arial"/>
                <w:b/>
                <w:color w:val="000000" w:themeColor="text1"/>
                <w:sz w:val="20"/>
                <w:lang w:val="hr-HR"/>
              </w:rPr>
            </w:pPr>
            <w:r w:rsidRPr="00C507E7">
              <w:rPr>
                <w:rFonts w:cs="Arial"/>
                <w:b/>
                <w:color w:val="000000" w:themeColor="text1"/>
                <w:sz w:val="20"/>
                <w:lang w:val="hr-HR"/>
              </w:rPr>
              <w:t xml:space="preserve"> 23.269 </w:t>
            </w:r>
          </w:p>
        </w:tc>
        <w:tc>
          <w:tcPr>
            <w:tcW w:w="1020" w:type="pct"/>
            <w:tcBorders>
              <w:top w:val="single" w:sz="2" w:space="0" w:color="auto"/>
              <w:bottom w:val="single" w:sz="12" w:space="0" w:color="auto"/>
            </w:tcBorders>
            <w:vAlign w:val="bottom"/>
          </w:tcPr>
          <w:p w14:paraId="06783675" w14:textId="77777777" w:rsidR="001856C5" w:rsidRPr="004B4498" w:rsidRDefault="001856C5" w:rsidP="00E032FC">
            <w:pPr>
              <w:pStyle w:val="Tot"/>
              <w:tabs>
                <w:tab w:val="clear" w:pos="1202"/>
              </w:tabs>
              <w:jc w:val="right"/>
              <w:rPr>
                <w:rFonts w:cs="Arial"/>
                <w:b/>
                <w:bCs/>
                <w:color w:val="000000" w:themeColor="text1"/>
                <w:spacing w:val="-2"/>
                <w:sz w:val="20"/>
                <w:lang w:val="hr-HR"/>
              </w:rPr>
            </w:pPr>
            <w:bookmarkStart w:id="149" w:name="_Toc67326591"/>
            <w:r w:rsidRPr="0046584E">
              <w:rPr>
                <w:rFonts w:cs="Arial"/>
                <w:b/>
                <w:color w:val="000000" w:themeColor="text1"/>
                <w:sz w:val="20"/>
                <w:lang w:val="hr-HR"/>
              </w:rPr>
              <w:t xml:space="preserve"> 26.766 </w:t>
            </w:r>
            <w:bookmarkEnd w:id="149"/>
          </w:p>
        </w:tc>
      </w:tr>
      <w:tr w:rsidR="001856C5" w:rsidRPr="00F75A7A" w14:paraId="406991DB" w14:textId="77777777" w:rsidTr="00E032FC">
        <w:trPr>
          <w:trHeight w:hRule="exact" w:val="340"/>
        </w:trPr>
        <w:tc>
          <w:tcPr>
            <w:tcW w:w="2583" w:type="pct"/>
          </w:tcPr>
          <w:p w14:paraId="10DCCA79" w14:textId="77777777" w:rsidR="001856C5" w:rsidRPr="004B4498" w:rsidRDefault="001856C5" w:rsidP="00E032FC">
            <w:pPr>
              <w:pStyle w:val="TT"/>
              <w:rPr>
                <w:rFonts w:cs="Arial"/>
                <w:color w:val="000000" w:themeColor="text1"/>
                <w:sz w:val="20"/>
                <w:lang w:val="hr-HR"/>
              </w:rPr>
            </w:pPr>
          </w:p>
        </w:tc>
        <w:tc>
          <w:tcPr>
            <w:tcW w:w="565" w:type="pct"/>
            <w:vAlign w:val="bottom"/>
          </w:tcPr>
          <w:p w14:paraId="0150309E" w14:textId="77777777" w:rsidR="001856C5" w:rsidRPr="00A873BB" w:rsidRDefault="001856C5" w:rsidP="00E032FC">
            <w:pPr>
              <w:pStyle w:val="TT"/>
              <w:jc w:val="center"/>
              <w:rPr>
                <w:rFonts w:cs="Arial"/>
                <w:color w:val="000000" w:themeColor="text1"/>
                <w:sz w:val="20"/>
                <w:lang w:val="hr-HR"/>
              </w:rPr>
            </w:pPr>
          </w:p>
        </w:tc>
        <w:tc>
          <w:tcPr>
            <w:tcW w:w="832" w:type="pct"/>
            <w:tcBorders>
              <w:top w:val="single" w:sz="12" w:space="0" w:color="auto"/>
            </w:tcBorders>
            <w:vAlign w:val="bottom"/>
          </w:tcPr>
          <w:p w14:paraId="7C65DAC3" w14:textId="77777777" w:rsidR="001856C5" w:rsidRPr="004B4498" w:rsidRDefault="001856C5" w:rsidP="00E032FC">
            <w:pPr>
              <w:pStyle w:val="TT"/>
              <w:tabs>
                <w:tab w:val="clear" w:pos="1202"/>
              </w:tabs>
              <w:jc w:val="right"/>
              <w:rPr>
                <w:rFonts w:cs="Arial"/>
                <w:color w:val="000000" w:themeColor="text1"/>
                <w:sz w:val="20"/>
                <w:lang w:val="hr-HR"/>
              </w:rPr>
            </w:pPr>
          </w:p>
        </w:tc>
        <w:tc>
          <w:tcPr>
            <w:tcW w:w="1020" w:type="pct"/>
            <w:tcBorders>
              <w:top w:val="single" w:sz="12" w:space="0" w:color="auto"/>
            </w:tcBorders>
            <w:vAlign w:val="bottom"/>
          </w:tcPr>
          <w:p w14:paraId="6A8661FA" w14:textId="77777777" w:rsidR="001856C5" w:rsidRPr="004B4498" w:rsidRDefault="001856C5" w:rsidP="00E032FC">
            <w:pPr>
              <w:pStyle w:val="TT"/>
              <w:jc w:val="right"/>
              <w:rPr>
                <w:rFonts w:cs="Arial"/>
                <w:color w:val="000000" w:themeColor="text1"/>
                <w:sz w:val="20"/>
                <w:lang w:val="hr-HR"/>
              </w:rPr>
            </w:pPr>
          </w:p>
        </w:tc>
      </w:tr>
      <w:tr w:rsidR="001856C5" w:rsidRPr="00F75A7A" w14:paraId="0B58D94D" w14:textId="77777777" w:rsidTr="00E032FC">
        <w:trPr>
          <w:trHeight w:val="355"/>
        </w:trPr>
        <w:tc>
          <w:tcPr>
            <w:tcW w:w="2583" w:type="pct"/>
          </w:tcPr>
          <w:p w14:paraId="2D0D56D3" w14:textId="77777777" w:rsidR="001856C5" w:rsidRPr="004B4498" w:rsidRDefault="001856C5" w:rsidP="00E032FC">
            <w:pPr>
              <w:pStyle w:val="TT"/>
              <w:rPr>
                <w:rFonts w:cs="Arial"/>
                <w:color w:val="000000" w:themeColor="text1"/>
                <w:sz w:val="20"/>
                <w:lang w:val="hr-HR"/>
              </w:rPr>
            </w:pPr>
            <w:bookmarkStart w:id="150" w:name="_Toc67326593"/>
            <w:r w:rsidRPr="004B4498">
              <w:rPr>
                <w:rFonts w:cs="Arial"/>
                <w:color w:val="000000" w:themeColor="text1"/>
                <w:sz w:val="20"/>
                <w:lang w:val="hr-HR"/>
              </w:rPr>
              <w:t>Neto prihod</w:t>
            </w:r>
            <w:r>
              <w:rPr>
                <w:rFonts w:cs="Arial"/>
                <w:color w:val="000000" w:themeColor="text1"/>
                <w:sz w:val="20"/>
                <w:lang w:val="hr-HR"/>
              </w:rPr>
              <w:t>i/</w:t>
            </w:r>
            <w:r w:rsidRPr="004B4498">
              <w:rPr>
                <w:rFonts w:cs="Arial"/>
                <w:color w:val="000000" w:themeColor="text1"/>
                <w:sz w:val="20"/>
                <w:lang w:val="hr-HR"/>
              </w:rPr>
              <w:t>(rashodi</w:t>
            </w:r>
            <w:r>
              <w:rPr>
                <w:rFonts w:cs="Arial"/>
                <w:color w:val="000000" w:themeColor="text1"/>
                <w:sz w:val="20"/>
                <w:lang w:val="hr-HR"/>
              </w:rPr>
              <w:t xml:space="preserve">) </w:t>
            </w:r>
            <w:r w:rsidRPr="004B4498">
              <w:rPr>
                <w:rFonts w:cs="Arial"/>
                <w:color w:val="000000" w:themeColor="text1"/>
                <w:sz w:val="20"/>
                <w:lang w:val="hr-HR"/>
              </w:rPr>
              <w:t>od financijskih aktivnosti</w:t>
            </w:r>
            <w:bookmarkEnd w:id="150"/>
            <w:r w:rsidRPr="004B4498">
              <w:rPr>
                <w:rFonts w:cs="Arial"/>
                <w:color w:val="000000" w:themeColor="text1"/>
                <w:sz w:val="20"/>
                <w:lang w:val="hr-HR"/>
              </w:rPr>
              <w:t xml:space="preserve"> </w:t>
            </w:r>
          </w:p>
        </w:tc>
        <w:tc>
          <w:tcPr>
            <w:tcW w:w="565" w:type="pct"/>
            <w:vAlign w:val="bottom"/>
          </w:tcPr>
          <w:p w14:paraId="73C8B571" w14:textId="77777777" w:rsidR="001856C5" w:rsidRPr="00A873BB" w:rsidRDefault="001856C5" w:rsidP="00E032FC">
            <w:pPr>
              <w:pStyle w:val="TT"/>
              <w:jc w:val="center"/>
              <w:rPr>
                <w:rFonts w:cs="Arial"/>
                <w:color w:val="000000" w:themeColor="text1"/>
                <w:sz w:val="20"/>
                <w:lang w:val="hr-HR"/>
              </w:rPr>
            </w:pPr>
            <w:bookmarkStart w:id="151" w:name="_Toc67326594"/>
            <w:r w:rsidRPr="00A873BB">
              <w:rPr>
                <w:rFonts w:cs="Arial"/>
                <w:color w:val="000000" w:themeColor="text1"/>
                <w:sz w:val="20"/>
                <w:lang w:val="hr-HR"/>
              </w:rPr>
              <w:t>8</w:t>
            </w:r>
            <w:bookmarkEnd w:id="151"/>
          </w:p>
        </w:tc>
        <w:tc>
          <w:tcPr>
            <w:tcW w:w="832" w:type="pct"/>
            <w:vAlign w:val="bottom"/>
          </w:tcPr>
          <w:p w14:paraId="75E59341" w14:textId="77777777" w:rsidR="001856C5" w:rsidRPr="004B4498" w:rsidRDefault="001856C5" w:rsidP="00E032FC">
            <w:pPr>
              <w:pStyle w:val="TT"/>
              <w:tabs>
                <w:tab w:val="clear" w:pos="1202"/>
              </w:tabs>
              <w:jc w:val="right"/>
              <w:rPr>
                <w:rFonts w:cs="Arial"/>
                <w:color w:val="000000" w:themeColor="text1"/>
                <w:sz w:val="20"/>
                <w:lang w:val="hr-HR"/>
              </w:rPr>
            </w:pPr>
            <w:r w:rsidRPr="00C507E7">
              <w:rPr>
                <w:rFonts w:cs="Arial"/>
                <w:color w:val="000000" w:themeColor="text1"/>
                <w:sz w:val="20"/>
                <w:lang w:val="hr-HR"/>
              </w:rPr>
              <w:t xml:space="preserve"> 16.768 </w:t>
            </w:r>
          </w:p>
        </w:tc>
        <w:tc>
          <w:tcPr>
            <w:tcW w:w="1020" w:type="pct"/>
            <w:vAlign w:val="bottom"/>
          </w:tcPr>
          <w:p w14:paraId="034F1157" w14:textId="77777777" w:rsidR="001856C5" w:rsidRPr="004B4498" w:rsidRDefault="001856C5" w:rsidP="00E032FC">
            <w:pPr>
              <w:pStyle w:val="TT"/>
              <w:jc w:val="right"/>
              <w:rPr>
                <w:rFonts w:cs="Arial"/>
                <w:bCs/>
                <w:color w:val="000000" w:themeColor="text1"/>
                <w:spacing w:val="-2"/>
                <w:sz w:val="20"/>
                <w:lang w:val="hr-HR"/>
              </w:rPr>
            </w:pPr>
            <w:bookmarkStart w:id="152" w:name="_Toc67326595"/>
            <w:r w:rsidRPr="0046584E">
              <w:rPr>
                <w:rFonts w:cs="Arial"/>
                <w:color w:val="000000" w:themeColor="text1"/>
                <w:sz w:val="20"/>
                <w:lang w:val="hr-HR"/>
              </w:rPr>
              <w:t xml:space="preserve"> (11.893)</w:t>
            </w:r>
            <w:bookmarkEnd w:id="152"/>
          </w:p>
        </w:tc>
      </w:tr>
      <w:tr w:rsidR="001856C5" w:rsidRPr="00F75A7A" w14:paraId="3B22A7CA" w14:textId="77777777" w:rsidTr="00E032FC">
        <w:trPr>
          <w:trHeight w:val="292"/>
        </w:trPr>
        <w:tc>
          <w:tcPr>
            <w:tcW w:w="2583" w:type="pct"/>
          </w:tcPr>
          <w:p w14:paraId="6A951645" w14:textId="77777777" w:rsidR="001856C5" w:rsidRPr="004B4498" w:rsidRDefault="001856C5" w:rsidP="00E032FC">
            <w:pPr>
              <w:pStyle w:val="Tot"/>
              <w:rPr>
                <w:rFonts w:cs="Arial"/>
                <w:color w:val="000000" w:themeColor="text1"/>
                <w:sz w:val="20"/>
                <w:lang w:val="hr-HR"/>
              </w:rPr>
            </w:pPr>
            <w:bookmarkStart w:id="153" w:name="_Toc67326597"/>
            <w:r w:rsidRPr="004B4498">
              <w:rPr>
                <w:rFonts w:cs="Arial"/>
                <w:color w:val="000000" w:themeColor="text1"/>
                <w:sz w:val="20"/>
                <w:lang w:val="hr-HR"/>
              </w:rPr>
              <w:t>Ostali prihodi</w:t>
            </w:r>
            <w:bookmarkEnd w:id="153"/>
          </w:p>
        </w:tc>
        <w:tc>
          <w:tcPr>
            <w:tcW w:w="565" w:type="pct"/>
            <w:vAlign w:val="bottom"/>
          </w:tcPr>
          <w:p w14:paraId="748447D8" w14:textId="77777777" w:rsidR="001856C5" w:rsidRPr="00A873BB" w:rsidRDefault="001856C5" w:rsidP="00E032FC">
            <w:pPr>
              <w:pStyle w:val="Tot"/>
              <w:jc w:val="center"/>
              <w:rPr>
                <w:rFonts w:cs="Arial"/>
                <w:b/>
                <w:bCs/>
                <w:color w:val="000000" w:themeColor="text1"/>
                <w:sz w:val="20"/>
                <w:lang w:val="hr-HR"/>
              </w:rPr>
            </w:pPr>
          </w:p>
        </w:tc>
        <w:tc>
          <w:tcPr>
            <w:tcW w:w="832" w:type="pct"/>
            <w:vAlign w:val="bottom"/>
          </w:tcPr>
          <w:p w14:paraId="11C524E1" w14:textId="77777777" w:rsidR="001856C5" w:rsidRPr="004B4498" w:rsidRDefault="001856C5" w:rsidP="00E032FC">
            <w:pPr>
              <w:pStyle w:val="TT"/>
              <w:tabs>
                <w:tab w:val="clear" w:pos="1202"/>
              </w:tabs>
              <w:jc w:val="right"/>
              <w:rPr>
                <w:rFonts w:cs="Arial"/>
                <w:color w:val="000000" w:themeColor="text1"/>
                <w:sz w:val="20"/>
                <w:lang w:val="hr-HR"/>
              </w:rPr>
            </w:pPr>
            <w:r w:rsidRPr="00C507E7">
              <w:rPr>
                <w:rFonts w:cs="Arial"/>
                <w:color w:val="000000" w:themeColor="text1"/>
                <w:sz w:val="20"/>
                <w:lang w:val="hr-HR"/>
              </w:rPr>
              <w:t xml:space="preserve"> 25.165 </w:t>
            </w:r>
          </w:p>
        </w:tc>
        <w:tc>
          <w:tcPr>
            <w:tcW w:w="1020" w:type="pct"/>
            <w:vAlign w:val="bottom"/>
          </w:tcPr>
          <w:p w14:paraId="53248582" w14:textId="77777777" w:rsidR="001856C5" w:rsidRPr="004B4498" w:rsidRDefault="001856C5" w:rsidP="00E032FC">
            <w:pPr>
              <w:pStyle w:val="TT"/>
              <w:jc w:val="right"/>
              <w:rPr>
                <w:rFonts w:cs="Arial"/>
                <w:color w:val="000000" w:themeColor="text1"/>
                <w:sz w:val="20"/>
                <w:lang w:val="hr-HR"/>
              </w:rPr>
            </w:pPr>
            <w:bookmarkStart w:id="154" w:name="_Toc67326598"/>
            <w:r w:rsidRPr="0046584E">
              <w:rPr>
                <w:rFonts w:cs="Arial"/>
                <w:color w:val="000000" w:themeColor="text1"/>
                <w:sz w:val="20"/>
                <w:lang w:val="hr-HR"/>
              </w:rPr>
              <w:t xml:space="preserve"> 32.030 </w:t>
            </w:r>
            <w:bookmarkEnd w:id="154"/>
          </w:p>
        </w:tc>
      </w:tr>
      <w:tr w:rsidR="001856C5" w:rsidRPr="00F75A7A" w14:paraId="40251176" w14:textId="77777777" w:rsidTr="00E032FC">
        <w:trPr>
          <w:trHeight w:val="303"/>
        </w:trPr>
        <w:tc>
          <w:tcPr>
            <w:tcW w:w="2583" w:type="pct"/>
          </w:tcPr>
          <w:p w14:paraId="3B8BC8E0" w14:textId="77777777" w:rsidR="001856C5" w:rsidRPr="004B4498" w:rsidRDefault="001856C5" w:rsidP="00E032FC">
            <w:pPr>
              <w:pStyle w:val="Tot"/>
              <w:rPr>
                <w:rFonts w:cs="Arial"/>
                <w:b/>
                <w:bCs/>
                <w:color w:val="000000" w:themeColor="text1"/>
                <w:sz w:val="20"/>
                <w:lang w:val="hr-HR"/>
              </w:rPr>
            </w:pPr>
          </w:p>
        </w:tc>
        <w:tc>
          <w:tcPr>
            <w:tcW w:w="565" w:type="pct"/>
            <w:vAlign w:val="bottom"/>
          </w:tcPr>
          <w:p w14:paraId="7CA600B4" w14:textId="77777777" w:rsidR="001856C5" w:rsidRPr="00A873BB" w:rsidRDefault="001856C5" w:rsidP="00E032FC">
            <w:pPr>
              <w:pStyle w:val="Tot"/>
              <w:jc w:val="center"/>
              <w:rPr>
                <w:rFonts w:cs="Arial"/>
                <w:b/>
                <w:bCs/>
                <w:color w:val="000000" w:themeColor="text1"/>
                <w:sz w:val="20"/>
                <w:lang w:val="hr-HR"/>
              </w:rPr>
            </w:pPr>
          </w:p>
        </w:tc>
        <w:tc>
          <w:tcPr>
            <w:tcW w:w="832" w:type="pct"/>
            <w:tcBorders>
              <w:top w:val="single" w:sz="2" w:space="0" w:color="auto"/>
              <w:bottom w:val="single" w:sz="12" w:space="0" w:color="auto"/>
            </w:tcBorders>
            <w:vAlign w:val="bottom"/>
          </w:tcPr>
          <w:p w14:paraId="0775F699" w14:textId="77777777" w:rsidR="001856C5" w:rsidRPr="004B4498" w:rsidRDefault="001856C5" w:rsidP="00E032FC">
            <w:pPr>
              <w:pStyle w:val="Tot"/>
              <w:jc w:val="right"/>
              <w:rPr>
                <w:rFonts w:cs="Arial"/>
                <w:b/>
                <w:color w:val="000000" w:themeColor="text1"/>
                <w:sz w:val="20"/>
                <w:lang w:val="hr-HR"/>
              </w:rPr>
            </w:pPr>
            <w:r w:rsidRPr="00C507E7">
              <w:rPr>
                <w:rFonts w:cs="Arial"/>
                <w:b/>
                <w:color w:val="000000" w:themeColor="text1"/>
                <w:sz w:val="20"/>
                <w:lang w:val="hr-HR"/>
              </w:rPr>
              <w:t xml:space="preserve"> 535.979 </w:t>
            </w:r>
          </w:p>
        </w:tc>
        <w:tc>
          <w:tcPr>
            <w:tcW w:w="1020" w:type="pct"/>
            <w:tcBorders>
              <w:top w:val="single" w:sz="2" w:space="0" w:color="auto"/>
              <w:bottom w:val="single" w:sz="12" w:space="0" w:color="auto"/>
            </w:tcBorders>
            <w:vAlign w:val="bottom"/>
          </w:tcPr>
          <w:p w14:paraId="53821323" w14:textId="77777777" w:rsidR="001856C5" w:rsidRPr="004B4498" w:rsidRDefault="001856C5" w:rsidP="00E032FC">
            <w:pPr>
              <w:pStyle w:val="Tot"/>
              <w:jc w:val="right"/>
              <w:rPr>
                <w:rFonts w:cs="Arial"/>
                <w:b/>
                <w:bCs/>
                <w:color w:val="000000" w:themeColor="text1"/>
                <w:sz w:val="20"/>
                <w:lang w:val="hr-HR"/>
              </w:rPr>
            </w:pPr>
            <w:bookmarkStart w:id="155" w:name="_Toc67326600"/>
            <w:r w:rsidRPr="0046584E">
              <w:rPr>
                <w:rFonts w:cs="Arial"/>
                <w:b/>
                <w:color w:val="000000" w:themeColor="text1"/>
                <w:sz w:val="20"/>
                <w:lang w:val="hr-HR"/>
              </w:rPr>
              <w:t xml:space="preserve"> 539.714 </w:t>
            </w:r>
            <w:bookmarkEnd w:id="155"/>
          </w:p>
        </w:tc>
      </w:tr>
      <w:tr w:rsidR="001856C5" w:rsidRPr="00F75A7A" w14:paraId="43454A1B" w14:textId="77777777" w:rsidTr="00E032FC">
        <w:trPr>
          <w:trHeight w:val="260"/>
        </w:trPr>
        <w:tc>
          <w:tcPr>
            <w:tcW w:w="2583" w:type="pct"/>
          </w:tcPr>
          <w:p w14:paraId="691BBD59" w14:textId="77777777" w:rsidR="001856C5" w:rsidRPr="004B4498" w:rsidRDefault="001856C5" w:rsidP="00E032FC">
            <w:pPr>
              <w:pStyle w:val="TT"/>
              <w:rPr>
                <w:rFonts w:cs="Arial"/>
                <w:bCs/>
                <w:color w:val="000000" w:themeColor="text1"/>
                <w:spacing w:val="-2"/>
                <w:sz w:val="20"/>
                <w:lang w:val="hr-HR"/>
              </w:rPr>
            </w:pPr>
          </w:p>
        </w:tc>
        <w:tc>
          <w:tcPr>
            <w:tcW w:w="565" w:type="pct"/>
            <w:vAlign w:val="bottom"/>
          </w:tcPr>
          <w:p w14:paraId="683BE53B" w14:textId="77777777" w:rsidR="001856C5" w:rsidRPr="00A873BB" w:rsidRDefault="001856C5" w:rsidP="00E032FC">
            <w:pPr>
              <w:pStyle w:val="TT"/>
              <w:jc w:val="center"/>
              <w:rPr>
                <w:rFonts w:cs="Arial"/>
                <w:bCs/>
                <w:color w:val="000000" w:themeColor="text1"/>
                <w:spacing w:val="-2"/>
                <w:sz w:val="20"/>
                <w:lang w:val="hr-HR"/>
              </w:rPr>
            </w:pPr>
          </w:p>
        </w:tc>
        <w:tc>
          <w:tcPr>
            <w:tcW w:w="832" w:type="pct"/>
            <w:vAlign w:val="bottom"/>
          </w:tcPr>
          <w:p w14:paraId="5CD609D5" w14:textId="77777777" w:rsidR="001856C5" w:rsidRPr="004B4498" w:rsidRDefault="001856C5" w:rsidP="00E032FC">
            <w:pPr>
              <w:pStyle w:val="TT"/>
              <w:tabs>
                <w:tab w:val="clear" w:pos="1202"/>
              </w:tabs>
              <w:jc w:val="right"/>
              <w:rPr>
                <w:rFonts w:cs="Arial"/>
                <w:color w:val="000000" w:themeColor="text1"/>
                <w:sz w:val="20"/>
                <w:lang w:val="hr-HR"/>
              </w:rPr>
            </w:pPr>
          </w:p>
        </w:tc>
        <w:tc>
          <w:tcPr>
            <w:tcW w:w="1020" w:type="pct"/>
            <w:vAlign w:val="bottom"/>
          </w:tcPr>
          <w:p w14:paraId="1A4424D2" w14:textId="77777777" w:rsidR="001856C5" w:rsidRPr="004B4498" w:rsidRDefault="001856C5" w:rsidP="00E032FC">
            <w:pPr>
              <w:pStyle w:val="TT"/>
              <w:tabs>
                <w:tab w:val="clear" w:pos="1202"/>
              </w:tabs>
              <w:jc w:val="right"/>
              <w:rPr>
                <w:rFonts w:cs="Arial"/>
                <w:bCs/>
                <w:color w:val="000000" w:themeColor="text1"/>
                <w:spacing w:val="-2"/>
                <w:sz w:val="20"/>
                <w:lang w:val="hr-HR"/>
              </w:rPr>
            </w:pPr>
          </w:p>
        </w:tc>
      </w:tr>
      <w:tr w:rsidR="001856C5" w:rsidRPr="00F75A7A" w14:paraId="21A3FE8C" w14:textId="77777777" w:rsidTr="00E032FC">
        <w:trPr>
          <w:trHeight w:val="120"/>
        </w:trPr>
        <w:tc>
          <w:tcPr>
            <w:tcW w:w="2583" w:type="pct"/>
            <w:vAlign w:val="bottom"/>
          </w:tcPr>
          <w:p w14:paraId="5438C207" w14:textId="77777777" w:rsidR="001856C5" w:rsidRPr="004B4498" w:rsidRDefault="001856C5" w:rsidP="00E032FC">
            <w:pPr>
              <w:pStyle w:val="TT"/>
              <w:rPr>
                <w:rFonts w:cs="Arial"/>
                <w:bCs/>
                <w:color w:val="000000" w:themeColor="text1"/>
                <w:spacing w:val="-2"/>
                <w:sz w:val="20"/>
                <w:lang w:val="hr-HR"/>
              </w:rPr>
            </w:pPr>
            <w:bookmarkStart w:id="156" w:name="_Toc67326602"/>
            <w:r w:rsidRPr="004B4498">
              <w:rPr>
                <w:rFonts w:cs="Arial"/>
                <w:bCs/>
                <w:color w:val="000000" w:themeColor="text1"/>
                <w:spacing w:val="-2"/>
                <w:sz w:val="20"/>
                <w:lang w:val="hr-HR"/>
              </w:rPr>
              <w:t>Troškovi osoblja</w:t>
            </w:r>
            <w:bookmarkEnd w:id="156"/>
          </w:p>
        </w:tc>
        <w:tc>
          <w:tcPr>
            <w:tcW w:w="565" w:type="pct"/>
            <w:vAlign w:val="bottom"/>
          </w:tcPr>
          <w:p w14:paraId="207866AE" w14:textId="77777777" w:rsidR="001856C5" w:rsidRPr="00A873BB" w:rsidRDefault="001856C5" w:rsidP="00E032FC">
            <w:pPr>
              <w:pStyle w:val="TT"/>
              <w:jc w:val="center"/>
              <w:rPr>
                <w:rFonts w:cs="Arial"/>
                <w:bCs/>
                <w:color w:val="000000" w:themeColor="text1"/>
                <w:spacing w:val="-2"/>
                <w:sz w:val="20"/>
                <w:lang w:val="hr-HR"/>
              </w:rPr>
            </w:pPr>
            <w:bookmarkStart w:id="157" w:name="_Toc67326603"/>
            <w:r w:rsidRPr="00A873BB">
              <w:rPr>
                <w:rFonts w:cs="Arial"/>
                <w:bCs/>
                <w:color w:val="000000" w:themeColor="text1"/>
                <w:spacing w:val="-2"/>
                <w:sz w:val="20"/>
                <w:lang w:val="hr-HR"/>
              </w:rPr>
              <w:t>9 a)</w:t>
            </w:r>
            <w:bookmarkEnd w:id="157"/>
          </w:p>
        </w:tc>
        <w:tc>
          <w:tcPr>
            <w:tcW w:w="832" w:type="pct"/>
            <w:tcBorders>
              <w:top w:val="nil"/>
              <w:left w:val="nil"/>
              <w:right w:val="nil"/>
            </w:tcBorders>
            <w:shd w:val="clear" w:color="auto" w:fill="auto"/>
            <w:vAlign w:val="bottom"/>
          </w:tcPr>
          <w:p w14:paraId="4607D669" w14:textId="77777777" w:rsidR="001856C5" w:rsidRPr="004B4498" w:rsidRDefault="001856C5" w:rsidP="00E032FC">
            <w:pPr>
              <w:pStyle w:val="TT"/>
              <w:tabs>
                <w:tab w:val="clear" w:pos="1202"/>
              </w:tabs>
              <w:jc w:val="right"/>
              <w:rPr>
                <w:rFonts w:cs="Arial"/>
                <w:color w:val="000000" w:themeColor="text1"/>
                <w:sz w:val="20"/>
                <w:lang w:val="hr-HR"/>
              </w:rPr>
            </w:pPr>
            <w:r w:rsidRPr="00C507E7">
              <w:rPr>
                <w:rFonts w:cs="Arial"/>
                <w:color w:val="000000" w:themeColor="text1"/>
                <w:sz w:val="20"/>
                <w:lang w:val="hr-HR"/>
              </w:rPr>
              <w:t xml:space="preserve"> (105.193)</w:t>
            </w:r>
          </w:p>
        </w:tc>
        <w:tc>
          <w:tcPr>
            <w:tcW w:w="1020" w:type="pct"/>
            <w:tcBorders>
              <w:top w:val="nil"/>
              <w:left w:val="nil"/>
              <w:right w:val="nil"/>
            </w:tcBorders>
            <w:shd w:val="clear" w:color="auto" w:fill="auto"/>
            <w:vAlign w:val="bottom"/>
          </w:tcPr>
          <w:p w14:paraId="35B952A3" w14:textId="77777777" w:rsidR="001856C5" w:rsidRPr="004B4498" w:rsidRDefault="001856C5" w:rsidP="00E032FC">
            <w:pPr>
              <w:pStyle w:val="TT"/>
              <w:tabs>
                <w:tab w:val="clear" w:pos="1202"/>
              </w:tabs>
              <w:jc w:val="right"/>
              <w:rPr>
                <w:rFonts w:cs="Arial"/>
                <w:bCs/>
                <w:color w:val="000000" w:themeColor="text1"/>
                <w:spacing w:val="-2"/>
                <w:sz w:val="20"/>
                <w:lang w:val="hr-HR"/>
              </w:rPr>
            </w:pPr>
            <w:bookmarkStart w:id="158" w:name="_Toc67326604"/>
            <w:r w:rsidRPr="0046584E">
              <w:rPr>
                <w:rFonts w:cs="Arial"/>
                <w:color w:val="000000" w:themeColor="text1"/>
                <w:sz w:val="20"/>
                <w:lang w:val="hr-HR"/>
              </w:rPr>
              <w:t xml:space="preserve"> (100.095)</w:t>
            </w:r>
            <w:bookmarkEnd w:id="158"/>
          </w:p>
        </w:tc>
      </w:tr>
      <w:tr w:rsidR="001856C5" w:rsidRPr="00F75A7A" w14:paraId="49A258F2" w14:textId="77777777" w:rsidTr="00E032FC">
        <w:trPr>
          <w:trHeight w:val="246"/>
        </w:trPr>
        <w:tc>
          <w:tcPr>
            <w:tcW w:w="2583" w:type="pct"/>
            <w:vAlign w:val="bottom"/>
          </w:tcPr>
          <w:p w14:paraId="2B6917B4" w14:textId="77777777" w:rsidR="001856C5" w:rsidRPr="004B4498" w:rsidRDefault="001856C5" w:rsidP="00E032FC">
            <w:pPr>
              <w:pStyle w:val="TT"/>
              <w:rPr>
                <w:rFonts w:cs="Arial"/>
                <w:bCs/>
                <w:color w:val="000000" w:themeColor="text1"/>
                <w:spacing w:val="-2"/>
                <w:sz w:val="20"/>
                <w:lang w:val="hr-HR"/>
              </w:rPr>
            </w:pPr>
            <w:bookmarkStart w:id="159" w:name="_Toc67326606"/>
            <w:r w:rsidRPr="004B4498">
              <w:rPr>
                <w:rFonts w:cs="Arial"/>
                <w:bCs/>
                <w:color w:val="000000" w:themeColor="text1"/>
                <w:spacing w:val="-2"/>
                <w:sz w:val="20"/>
                <w:lang w:val="hr-HR"/>
              </w:rPr>
              <w:t>Amortizacija</w:t>
            </w:r>
            <w:bookmarkEnd w:id="159"/>
          </w:p>
        </w:tc>
        <w:tc>
          <w:tcPr>
            <w:tcW w:w="565" w:type="pct"/>
            <w:vAlign w:val="bottom"/>
          </w:tcPr>
          <w:p w14:paraId="79BF1BDE" w14:textId="77777777" w:rsidR="001856C5" w:rsidRPr="00A873BB" w:rsidRDefault="001856C5" w:rsidP="00E032FC">
            <w:pPr>
              <w:pStyle w:val="TT"/>
              <w:jc w:val="center"/>
              <w:rPr>
                <w:rFonts w:cs="Arial"/>
                <w:bCs/>
                <w:color w:val="000000" w:themeColor="text1"/>
                <w:spacing w:val="-2"/>
                <w:sz w:val="20"/>
                <w:lang w:val="hr-HR"/>
              </w:rPr>
            </w:pPr>
            <w:bookmarkStart w:id="160" w:name="_Toc67326607"/>
            <w:r w:rsidRPr="00A873BB">
              <w:rPr>
                <w:rFonts w:cs="Arial"/>
                <w:bCs/>
                <w:color w:val="000000" w:themeColor="text1"/>
                <w:spacing w:val="-2"/>
                <w:sz w:val="20"/>
                <w:lang w:val="hr-HR"/>
              </w:rPr>
              <w:t>9 b)</w:t>
            </w:r>
            <w:bookmarkEnd w:id="160"/>
          </w:p>
        </w:tc>
        <w:tc>
          <w:tcPr>
            <w:tcW w:w="832" w:type="pct"/>
            <w:tcBorders>
              <w:top w:val="nil"/>
              <w:left w:val="nil"/>
              <w:right w:val="nil"/>
            </w:tcBorders>
            <w:shd w:val="clear" w:color="auto" w:fill="auto"/>
            <w:vAlign w:val="bottom"/>
          </w:tcPr>
          <w:p w14:paraId="339D1ECB" w14:textId="77777777" w:rsidR="001856C5" w:rsidRPr="004B4498" w:rsidRDefault="001856C5" w:rsidP="00E032FC">
            <w:pPr>
              <w:pStyle w:val="TT"/>
              <w:tabs>
                <w:tab w:val="clear" w:pos="1202"/>
              </w:tabs>
              <w:jc w:val="right"/>
              <w:rPr>
                <w:rFonts w:cs="Arial"/>
                <w:color w:val="000000" w:themeColor="text1"/>
                <w:sz w:val="20"/>
                <w:lang w:val="hr-HR"/>
              </w:rPr>
            </w:pPr>
            <w:r w:rsidRPr="00C507E7">
              <w:rPr>
                <w:rFonts w:cs="Arial"/>
                <w:color w:val="000000" w:themeColor="text1"/>
                <w:sz w:val="20"/>
                <w:lang w:val="hr-HR"/>
              </w:rPr>
              <w:t xml:space="preserve"> (11.600)</w:t>
            </w:r>
          </w:p>
        </w:tc>
        <w:tc>
          <w:tcPr>
            <w:tcW w:w="1020" w:type="pct"/>
            <w:tcBorders>
              <w:top w:val="nil"/>
              <w:left w:val="nil"/>
              <w:right w:val="nil"/>
            </w:tcBorders>
            <w:shd w:val="clear" w:color="auto" w:fill="auto"/>
            <w:vAlign w:val="bottom"/>
          </w:tcPr>
          <w:p w14:paraId="2DB31110" w14:textId="77777777" w:rsidR="001856C5" w:rsidRPr="004B4498" w:rsidDel="008A118B" w:rsidRDefault="001856C5" w:rsidP="00E032FC">
            <w:pPr>
              <w:pStyle w:val="TT"/>
              <w:tabs>
                <w:tab w:val="clear" w:pos="1202"/>
              </w:tabs>
              <w:jc w:val="right"/>
              <w:rPr>
                <w:rFonts w:cs="Arial"/>
                <w:color w:val="000000" w:themeColor="text1"/>
                <w:sz w:val="20"/>
                <w:lang w:val="hr-HR"/>
              </w:rPr>
            </w:pPr>
            <w:bookmarkStart w:id="161" w:name="_Toc67326608"/>
            <w:r w:rsidRPr="0046584E">
              <w:rPr>
                <w:rFonts w:cs="Arial"/>
                <w:color w:val="000000" w:themeColor="text1"/>
                <w:sz w:val="20"/>
                <w:lang w:val="hr-HR"/>
              </w:rPr>
              <w:t xml:space="preserve"> (11.304)</w:t>
            </w:r>
            <w:bookmarkEnd w:id="161"/>
          </w:p>
        </w:tc>
      </w:tr>
      <w:tr w:rsidR="001856C5" w:rsidRPr="00F75A7A" w14:paraId="0C854700" w14:textId="77777777" w:rsidTr="00E032FC">
        <w:trPr>
          <w:trHeight w:val="246"/>
        </w:trPr>
        <w:tc>
          <w:tcPr>
            <w:tcW w:w="2583" w:type="pct"/>
            <w:vAlign w:val="bottom"/>
          </w:tcPr>
          <w:p w14:paraId="743B165A" w14:textId="77777777" w:rsidR="001856C5" w:rsidRPr="004B4498" w:rsidRDefault="001856C5" w:rsidP="00E032FC">
            <w:pPr>
              <w:pStyle w:val="TT"/>
              <w:rPr>
                <w:rFonts w:cs="Arial"/>
                <w:bCs/>
                <w:color w:val="000000" w:themeColor="text1"/>
                <w:spacing w:val="-2"/>
                <w:sz w:val="20"/>
                <w:lang w:val="hr-HR"/>
              </w:rPr>
            </w:pPr>
            <w:bookmarkStart w:id="162" w:name="_Toc67326610"/>
            <w:r w:rsidRPr="004B4498">
              <w:rPr>
                <w:rFonts w:cs="Arial"/>
                <w:bCs/>
                <w:color w:val="000000" w:themeColor="text1"/>
                <w:spacing w:val="-2"/>
                <w:sz w:val="20"/>
                <w:lang w:val="hr-HR"/>
              </w:rPr>
              <w:t>Ostali troškovi</w:t>
            </w:r>
            <w:bookmarkEnd w:id="162"/>
          </w:p>
        </w:tc>
        <w:tc>
          <w:tcPr>
            <w:tcW w:w="565" w:type="pct"/>
            <w:vAlign w:val="bottom"/>
          </w:tcPr>
          <w:p w14:paraId="19D55DC1" w14:textId="77777777" w:rsidR="001856C5" w:rsidRPr="00A873BB" w:rsidRDefault="001856C5" w:rsidP="00E032FC">
            <w:pPr>
              <w:pStyle w:val="TT"/>
              <w:jc w:val="center"/>
              <w:rPr>
                <w:rFonts w:cs="Arial"/>
                <w:bCs/>
                <w:color w:val="000000" w:themeColor="text1"/>
                <w:spacing w:val="-2"/>
                <w:sz w:val="20"/>
                <w:lang w:val="hr-HR"/>
              </w:rPr>
            </w:pPr>
            <w:bookmarkStart w:id="163" w:name="_Toc67326611"/>
            <w:r w:rsidRPr="00A873BB">
              <w:rPr>
                <w:rFonts w:cs="Arial"/>
                <w:bCs/>
                <w:color w:val="000000" w:themeColor="text1"/>
                <w:spacing w:val="-2"/>
                <w:sz w:val="20"/>
                <w:lang w:val="hr-HR"/>
              </w:rPr>
              <w:t>9 c)</w:t>
            </w:r>
            <w:bookmarkEnd w:id="163"/>
          </w:p>
        </w:tc>
        <w:tc>
          <w:tcPr>
            <w:tcW w:w="832" w:type="pct"/>
            <w:tcBorders>
              <w:top w:val="nil"/>
              <w:left w:val="nil"/>
              <w:right w:val="nil"/>
            </w:tcBorders>
            <w:shd w:val="clear" w:color="auto" w:fill="auto"/>
            <w:vAlign w:val="bottom"/>
          </w:tcPr>
          <w:p w14:paraId="297A6DB0" w14:textId="77777777" w:rsidR="001856C5" w:rsidRPr="004B4498" w:rsidRDefault="001856C5" w:rsidP="00E032FC">
            <w:pPr>
              <w:pStyle w:val="TT"/>
              <w:tabs>
                <w:tab w:val="clear" w:pos="1202"/>
              </w:tabs>
              <w:jc w:val="right"/>
              <w:rPr>
                <w:rFonts w:cs="Arial"/>
                <w:color w:val="000000" w:themeColor="text1"/>
                <w:sz w:val="20"/>
                <w:lang w:val="hr-HR"/>
              </w:rPr>
            </w:pPr>
            <w:r w:rsidRPr="00C507E7">
              <w:rPr>
                <w:rFonts w:cs="Arial"/>
                <w:color w:val="000000" w:themeColor="text1"/>
                <w:sz w:val="20"/>
                <w:lang w:val="hr-HR"/>
              </w:rPr>
              <w:t xml:space="preserve"> (84.779)</w:t>
            </w:r>
          </w:p>
        </w:tc>
        <w:tc>
          <w:tcPr>
            <w:tcW w:w="1020" w:type="pct"/>
            <w:tcBorders>
              <w:top w:val="nil"/>
              <w:left w:val="nil"/>
              <w:right w:val="nil"/>
            </w:tcBorders>
            <w:shd w:val="clear" w:color="auto" w:fill="auto"/>
            <w:vAlign w:val="bottom"/>
          </w:tcPr>
          <w:p w14:paraId="58CEB1BB" w14:textId="77777777" w:rsidR="001856C5" w:rsidRPr="004B4498" w:rsidDel="008A118B" w:rsidRDefault="001856C5" w:rsidP="00E032FC">
            <w:pPr>
              <w:pStyle w:val="TT"/>
              <w:tabs>
                <w:tab w:val="clear" w:pos="1202"/>
              </w:tabs>
              <w:jc w:val="right"/>
              <w:rPr>
                <w:rFonts w:cs="Arial"/>
                <w:color w:val="000000" w:themeColor="text1"/>
                <w:sz w:val="20"/>
                <w:lang w:val="hr-HR"/>
              </w:rPr>
            </w:pPr>
            <w:bookmarkStart w:id="164" w:name="_Toc67326612"/>
            <w:r w:rsidRPr="0046584E">
              <w:rPr>
                <w:rFonts w:cs="Arial"/>
                <w:color w:val="000000" w:themeColor="text1"/>
                <w:sz w:val="20"/>
                <w:lang w:val="hr-HR"/>
              </w:rPr>
              <w:t xml:space="preserve"> (76.903)</w:t>
            </w:r>
            <w:bookmarkEnd w:id="164"/>
          </w:p>
        </w:tc>
      </w:tr>
      <w:tr w:rsidR="001856C5" w:rsidRPr="00F75A7A" w14:paraId="6031B374" w14:textId="77777777" w:rsidTr="00E032FC">
        <w:trPr>
          <w:trHeight w:val="378"/>
        </w:trPr>
        <w:tc>
          <w:tcPr>
            <w:tcW w:w="2583" w:type="pct"/>
            <w:vAlign w:val="bottom"/>
          </w:tcPr>
          <w:p w14:paraId="70018C56" w14:textId="77777777" w:rsidR="001856C5" w:rsidRPr="004B4498" w:rsidRDefault="001856C5" w:rsidP="00E032FC">
            <w:pPr>
              <w:pStyle w:val="TT"/>
              <w:rPr>
                <w:rFonts w:cs="Arial"/>
                <w:bCs/>
                <w:color w:val="000000" w:themeColor="text1"/>
                <w:spacing w:val="-2"/>
                <w:sz w:val="20"/>
                <w:lang w:val="hr-HR"/>
              </w:rPr>
            </w:pPr>
            <w:bookmarkStart w:id="165" w:name="_Toc67326614"/>
            <w:r w:rsidRPr="004B4498">
              <w:rPr>
                <w:rFonts w:cs="Arial"/>
                <w:bCs/>
                <w:color w:val="000000" w:themeColor="text1"/>
                <w:spacing w:val="-2"/>
                <w:sz w:val="20"/>
                <w:lang w:val="hr-HR"/>
              </w:rPr>
              <w:t>Gubitak od umanjenja vrijednosti i rezerviranja</w:t>
            </w:r>
            <w:bookmarkEnd w:id="165"/>
          </w:p>
        </w:tc>
        <w:tc>
          <w:tcPr>
            <w:tcW w:w="565" w:type="pct"/>
            <w:vAlign w:val="bottom"/>
          </w:tcPr>
          <w:p w14:paraId="0671A812" w14:textId="77777777" w:rsidR="001856C5" w:rsidRPr="00A873BB" w:rsidRDefault="001856C5" w:rsidP="00E032FC">
            <w:pPr>
              <w:pStyle w:val="TT"/>
              <w:jc w:val="center"/>
              <w:rPr>
                <w:rFonts w:cs="Arial"/>
                <w:bCs/>
                <w:color w:val="000000" w:themeColor="text1"/>
                <w:spacing w:val="-2"/>
                <w:sz w:val="20"/>
                <w:lang w:val="hr-HR"/>
              </w:rPr>
            </w:pPr>
            <w:bookmarkStart w:id="166" w:name="_Toc67326615"/>
            <w:r w:rsidRPr="00A873BB">
              <w:rPr>
                <w:rFonts w:cs="Arial"/>
                <w:bCs/>
                <w:color w:val="000000" w:themeColor="text1"/>
                <w:spacing w:val="-2"/>
                <w:sz w:val="20"/>
                <w:lang w:val="hr-HR"/>
              </w:rPr>
              <w:t>10</w:t>
            </w:r>
            <w:bookmarkEnd w:id="166"/>
          </w:p>
        </w:tc>
        <w:tc>
          <w:tcPr>
            <w:tcW w:w="832" w:type="pct"/>
            <w:tcBorders>
              <w:top w:val="nil"/>
              <w:left w:val="nil"/>
              <w:right w:val="nil"/>
            </w:tcBorders>
            <w:shd w:val="clear" w:color="auto" w:fill="auto"/>
            <w:vAlign w:val="bottom"/>
          </w:tcPr>
          <w:p w14:paraId="51497283" w14:textId="77777777" w:rsidR="001856C5" w:rsidRPr="004B4498" w:rsidRDefault="001856C5" w:rsidP="00E032FC">
            <w:pPr>
              <w:pStyle w:val="TT"/>
              <w:tabs>
                <w:tab w:val="clear" w:pos="1202"/>
              </w:tabs>
              <w:jc w:val="right"/>
              <w:rPr>
                <w:rFonts w:cs="Arial"/>
                <w:color w:val="000000" w:themeColor="text1"/>
                <w:sz w:val="20"/>
                <w:lang w:val="hr-HR"/>
              </w:rPr>
            </w:pPr>
            <w:r w:rsidRPr="00C507E7">
              <w:rPr>
                <w:rFonts w:cs="Arial"/>
                <w:color w:val="000000" w:themeColor="text1"/>
                <w:sz w:val="20"/>
                <w:lang w:val="hr-HR"/>
              </w:rPr>
              <w:t>(144.277)</w:t>
            </w:r>
          </w:p>
        </w:tc>
        <w:tc>
          <w:tcPr>
            <w:tcW w:w="1020" w:type="pct"/>
            <w:tcBorders>
              <w:top w:val="nil"/>
              <w:left w:val="nil"/>
              <w:right w:val="nil"/>
            </w:tcBorders>
            <w:shd w:val="clear" w:color="auto" w:fill="auto"/>
            <w:vAlign w:val="bottom"/>
          </w:tcPr>
          <w:p w14:paraId="09BAD95E" w14:textId="77777777" w:rsidR="001856C5" w:rsidRPr="004B4498" w:rsidRDefault="001856C5" w:rsidP="00E032FC">
            <w:pPr>
              <w:pStyle w:val="TT"/>
              <w:tabs>
                <w:tab w:val="clear" w:pos="1202"/>
              </w:tabs>
              <w:jc w:val="right"/>
              <w:rPr>
                <w:rFonts w:cs="Arial"/>
                <w:bCs/>
                <w:color w:val="000000" w:themeColor="text1"/>
                <w:spacing w:val="-2"/>
                <w:sz w:val="20"/>
                <w:lang w:val="hr-HR"/>
              </w:rPr>
            </w:pPr>
            <w:bookmarkStart w:id="167" w:name="_Toc67326616"/>
            <w:r w:rsidRPr="0046584E">
              <w:rPr>
                <w:rFonts w:cs="Arial"/>
                <w:color w:val="000000" w:themeColor="text1"/>
                <w:sz w:val="20"/>
                <w:lang w:val="hr-HR"/>
              </w:rPr>
              <w:t>(163.013)</w:t>
            </w:r>
            <w:bookmarkEnd w:id="167"/>
          </w:p>
        </w:tc>
      </w:tr>
      <w:tr w:rsidR="001856C5" w:rsidRPr="00F75A7A" w14:paraId="59DC6102" w14:textId="77777777" w:rsidTr="00E032FC">
        <w:trPr>
          <w:trHeight w:val="303"/>
        </w:trPr>
        <w:tc>
          <w:tcPr>
            <w:tcW w:w="2583" w:type="pct"/>
          </w:tcPr>
          <w:p w14:paraId="6DBE4DD7" w14:textId="77777777" w:rsidR="001856C5" w:rsidRPr="004B4498" w:rsidRDefault="001856C5" w:rsidP="00E032FC">
            <w:pPr>
              <w:pStyle w:val="Tot"/>
              <w:rPr>
                <w:rFonts w:cs="Arial"/>
                <w:b/>
                <w:bCs/>
                <w:color w:val="000000" w:themeColor="text1"/>
                <w:sz w:val="20"/>
                <w:lang w:val="hr-HR"/>
              </w:rPr>
            </w:pPr>
            <w:bookmarkStart w:id="168" w:name="_Toc67326618"/>
            <w:r w:rsidRPr="004B4498">
              <w:rPr>
                <w:rFonts w:cs="Arial"/>
                <w:b/>
                <w:bCs/>
                <w:color w:val="000000" w:themeColor="text1"/>
                <w:sz w:val="20"/>
                <w:lang w:val="hr-HR"/>
              </w:rPr>
              <w:t>Dobit prije oporezivanja</w:t>
            </w:r>
            <w:bookmarkEnd w:id="168"/>
          </w:p>
        </w:tc>
        <w:tc>
          <w:tcPr>
            <w:tcW w:w="565" w:type="pct"/>
            <w:vAlign w:val="bottom"/>
          </w:tcPr>
          <w:p w14:paraId="38BD361B" w14:textId="77777777" w:rsidR="001856C5" w:rsidRPr="00A873BB" w:rsidRDefault="001856C5" w:rsidP="00E032FC">
            <w:pPr>
              <w:pStyle w:val="Tot"/>
              <w:jc w:val="center"/>
              <w:rPr>
                <w:rFonts w:cs="Arial"/>
                <w:b/>
                <w:bCs/>
                <w:color w:val="000000" w:themeColor="text1"/>
                <w:sz w:val="20"/>
                <w:lang w:val="hr-HR"/>
              </w:rPr>
            </w:pPr>
          </w:p>
        </w:tc>
        <w:tc>
          <w:tcPr>
            <w:tcW w:w="832" w:type="pct"/>
            <w:tcBorders>
              <w:top w:val="single" w:sz="2" w:space="0" w:color="auto"/>
              <w:bottom w:val="single" w:sz="12" w:space="0" w:color="auto"/>
            </w:tcBorders>
            <w:vAlign w:val="bottom"/>
          </w:tcPr>
          <w:p w14:paraId="4DD16D2B" w14:textId="77777777" w:rsidR="001856C5" w:rsidRPr="004B4498" w:rsidRDefault="001856C5" w:rsidP="00E032FC">
            <w:pPr>
              <w:pStyle w:val="TT"/>
              <w:tabs>
                <w:tab w:val="clear" w:pos="1202"/>
              </w:tabs>
              <w:jc w:val="right"/>
              <w:rPr>
                <w:rFonts w:cs="Arial"/>
                <w:b/>
                <w:bCs/>
                <w:color w:val="000000" w:themeColor="text1"/>
                <w:sz w:val="20"/>
                <w:lang w:val="hr-HR"/>
              </w:rPr>
            </w:pPr>
            <w:r w:rsidRPr="00C507E7">
              <w:rPr>
                <w:rFonts w:cs="Arial"/>
                <w:b/>
                <w:bCs/>
                <w:color w:val="000000" w:themeColor="text1"/>
                <w:sz w:val="20"/>
                <w:lang w:val="hr-HR"/>
              </w:rPr>
              <w:t>190.130</w:t>
            </w:r>
          </w:p>
        </w:tc>
        <w:tc>
          <w:tcPr>
            <w:tcW w:w="1020" w:type="pct"/>
            <w:tcBorders>
              <w:top w:val="single" w:sz="2" w:space="0" w:color="auto"/>
              <w:bottom w:val="single" w:sz="12" w:space="0" w:color="auto"/>
            </w:tcBorders>
            <w:vAlign w:val="bottom"/>
          </w:tcPr>
          <w:p w14:paraId="7655EFC5" w14:textId="77777777" w:rsidR="001856C5" w:rsidRPr="004B4498" w:rsidRDefault="001856C5" w:rsidP="00E032FC">
            <w:pPr>
              <w:pStyle w:val="Tot"/>
              <w:jc w:val="right"/>
              <w:rPr>
                <w:rFonts w:cs="Arial"/>
                <w:b/>
                <w:bCs/>
                <w:color w:val="000000" w:themeColor="text1"/>
                <w:sz w:val="20"/>
                <w:lang w:val="hr-HR"/>
              </w:rPr>
            </w:pPr>
            <w:bookmarkStart w:id="169" w:name="_Toc67326619"/>
            <w:r w:rsidRPr="0046584E">
              <w:rPr>
                <w:rFonts w:cs="Arial"/>
                <w:b/>
                <w:bCs/>
                <w:color w:val="000000" w:themeColor="text1"/>
                <w:sz w:val="20"/>
                <w:lang w:val="hr-HR"/>
              </w:rPr>
              <w:t>188.399</w:t>
            </w:r>
            <w:bookmarkEnd w:id="169"/>
          </w:p>
        </w:tc>
      </w:tr>
      <w:tr w:rsidR="001856C5" w:rsidRPr="00F75A7A" w14:paraId="5D02669C" w14:textId="77777777" w:rsidTr="00E032FC">
        <w:trPr>
          <w:trHeight w:val="383"/>
        </w:trPr>
        <w:tc>
          <w:tcPr>
            <w:tcW w:w="2583" w:type="pct"/>
            <w:vAlign w:val="bottom"/>
          </w:tcPr>
          <w:p w14:paraId="76828116" w14:textId="77777777" w:rsidR="001856C5" w:rsidRPr="004B4498" w:rsidRDefault="001856C5" w:rsidP="00E032FC">
            <w:pPr>
              <w:pStyle w:val="Tot"/>
              <w:rPr>
                <w:rFonts w:cs="Arial"/>
                <w:color w:val="000000" w:themeColor="text1"/>
                <w:sz w:val="20"/>
                <w:lang w:val="hr-HR"/>
              </w:rPr>
            </w:pPr>
            <w:bookmarkStart w:id="170" w:name="_Toc67326621"/>
            <w:r w:rsidRPr="004B4498">
              <w:rPr>
                <w:rFonts w:cs="Arial"/>
                <w:color w:val="000000" w:themeColor="text1"/>
                <w:sz w:val="20"/>
                <w:lang w:val="hr-HR"/>
              </w:rPr>
              <w:t>Porez na dobit</w:t>
            </w:r>
            <w:bookmarkEnd w:id="170"/>
          </w:p>
        </w:tc>
        <w:tc>
          <w:tcPr>
            <w:tcW w:w="565" w:type="pct"/>
            <w:vAlign w:val="bottom"/>
          </w:tcPr>
          <w:p w14:paraId="079F1066" w14:textId="77777777" w:rsidR="001856C5" w:rsidRPr="00A873BB" w:rsidRDefault="001856C5" w:rsidP="00E032FC">
            <w:pPr>
              <w:pStyle w:val="Tot"/>
              <w:jc w:val="center"/>
              <w:rPr>
                <w:rFonts w:cs="Arial"/>
                <w:color w:val="000000" w:themeColor="text1"/>
                <w:sz w:val="20"/>
                <w:lang w:val="hr-HR"/>
              </w:rPr>
            </w:pPr>
            <w:bookmarkStart w:id="171" w:name="_Toc67326622"/>
            <w:r w:rsidRPr="00A873BB">
              <w:rPr>
                <w:rFonts w:cs="Arial"/>
                <w:color w:val="000000" w:themeColor="text1"/>
                <w:sz w:val="20"/>
                <w:lang w:val="hr-HR"/>
              </w:rPr>
              <w:t>11</w:t>
            </w:r>
            <w:bookmarkEnd w:id="171"/>
          </w:p>
        </w:tc>
        <w:tc>
          <w:tcPr>
            <w:tcW w:w="832" w:type="pct"/>
            <w:vAlign w:val="bottom"/>
          </w:tcPr>
          <w:p w14:paraId="7C44BFA4" w14:textId="77777777" w:rsidR="001856C5" w:rsidRPr="004B4498" w:rsidRDefault="001856C5" w:rsidP="00E032FC">
            <w:pPr>
              <w:pStyle w:val="Tot"/>
              <w:jc w:val="right"/>
              <w:rPr>
                <w:rFonts w:cs="Arial"/>
                <w:color w:val="000000" w:themeColor="text1"/>
                <w:sz w:val="20"/>
                <w:lang w:val="hr-HR"/>
              </w:rPr>
            </w:pPr>
            <w:r w:rsidRPr="00C507E7">
              <w:rPr>
                <w:rFonts w:cs="Arial"/>
                <w:color w:val="000000" w:themeColor="text1"/>
                <w:sz w:val="20"/>
                <w:lang w:val="hr-HR"/>
              </w:rPr>
              <w:t>(672)</w:t>
            </w:r>
          </w:p>
        </w:tc>
        <w:tc>
          <w:tcPr>
            <w:tcW w:w="1020" w:type="pct"/>
            <w:vAlign w:val="bottom"/>
          </w:tcPr>
          <w:p w14:paraId="7478E552" w14:textId="77777777" w:rsidR="001856C5" w:rsidRPr="004B4498" w:rsidRDefault="001856C5" w:rsidP="00E032FC">
            <w:pPr>
              <w:pStyle w:val="Tot"/>
              <w:jc w:val="right"/>
              <w:rPr>
                <w:rFonts w:cs="Arial"/>
                <w:color w:val="000000" w:themeColor="text1"/>
                <w:sz w:val="20"/>
                <w:lang w:val="hr-HR"/>
              </w:rPr>
            </w:pPr>
            <w:bookmarkStart w:id="172" w:name="_Toc67326623"/>
            <w:r w:rsidRPr="0046584E">
              <w:rPr>
                <w:rFonts w:cs="Arial"/>
                <w:color w:val="000000" w:themeColor="text1"/>
                <w:sz w:val="20"/>
                <w:lang w:val="hr-HR"/>
              </w:rPr>
              <w:t>(214)</w:t>
            </w:r>
            <w:bookmarkEnd w:id="172"/>
          </w:p>
        </w:tc>
      </w:tr>
      <w:tr w:rsidR="001856C5" w:rsidRPr="00F75A7A" w14:paraId="7B981AF8" w14:textId="77777777" w:rsidTr="00E032FC">
        <w:trPr>
          <w:trHeight w:val="292"/>
        </w:trPr>
        <w:tc>
          <w:tcPr>
            <w:tcW w:w="2583" w:type="pct"/>
          </w:tcPr>
          <w:p w14:paraId="40275732" w14:textId="77777777" w:rsidR="001856C5" w:rsidRPr="004B4498" w:rsidRDefault="001856C5" w:rsidP="00E032FC">
            <w:pPr>
              <w:pStyle w:val="Tot"/>
              <w:rPr>
                <w:rFonts w:cs="Arial"/>
                <w:b/>
                <w:bCs/>
                <w:color w:val="000000" w:themeColor="text1"/>
                <w:sz w:val="20"/>
                <w:lang w:val="hr-HR"/>
              </w:rPr>
            </w:pPr>
            <w:bookmarkStart w:id="173" w:name="_Toc67326625"/>
            <w:r w:rsidRPr="004B4498">
              <w:rPr>
                <w:rFonts w:cs="Arial"/>
                <w:b/>
                <w:bCs/>
                <w:color w:val="000000" w:themeColor="text1"/>
                <w:sz w:val="20"/>
                <w:lang w:val="hr-HR"/>
              </w:rPr>
              <w:t>Dobit tekuće godine</w:t>
            </w:r>
            <w:bookmarkEnd w:id="173"/>
          </w:p>
        </w:tc>
        <w:tc>
          <w:tcPr>
            <w:tcW w:w="565" w:type="pct"/>
            <w:vAlign w:val="bottom"/>
          </w:tcPr>
          <w:p w14:paraId="404901EA" w14:textId="77777777" w:rsidR="001856C5" w:rsidRPr="004B4498" w:rsidRDefault="001856C5" w:rsidP="00E032FC">
            <w:pPr>
              <w:pStyle w:val="Tot"/>
              <w:jc w:val="center"/>
              <w:rPr>
                <w:rFonts w:cs="Arial"/>
                <w:b/>
                <w:bCs/>
                <w:color w:val="000000" w:themeColor="text1"/>
                <w:sz w:val="20"/>
                <w:lang w:val="hr-HR"/>
              </w:rPr>
            </w:pPr>
          </w:p>
        </w:tc>
        <w:tc>
          <w:tcPr>
            <w:tcW w:w="832" w:type="pct"/>
            <w:tcBorders>
              <w:top w:val="single" w:sz="2" w:space="0" w:color="auto"/>
              <w:bottom w:val="single" w:sz="12" w:space="0" w:color="auto"/>
            </w:tcBorders>
            <w:vAlign w:val="bottom"/>
          </w:tcPr>
          <w:p w14:paraId="4BDB454D" w14:textId="77777777" w:rsidR="001856C5" w:rsidRPr="004B4498" w:rsidRDefault="001856C5" w:rsidP="00E032FC">
            <w:pPr>
              <w:pStyle w:val="Tot"/>
              <w:jc w:val="right"/>
              <w:rPr>
                <w:rFonts w:cs="Arial"/>
                <w:b/>
                <w:color w:val="000000" w:themeColor="text1"/>
                <w:sz w:val="20"/>
                <w:lang w:val="hr-HR"/>
              </w:rPr>
            </w:pPr>
            <w:r w:rsidRPr="00C507E7">
              <w:rPr>
                <w:rFonts w:cs="Arial"/>
                <w:b/>
                <w:color w:val="000000" w:themeColor="text1"/>
                <w:sz w:val="20"/>
                <w:lang w:val="hr-HR"/>
              </w:rPr>
              <w:t>189.458</w:t>
            </w:r>
          </w:p>
        </w:tc>
        <w:tc>
          <w:tcPr>
            <w:tcW w:w="1020" w:type="pct"/>
            <w:tcBorders>
              <w:top w:val="single" w:sz="2" w:space="0" w:color="auto"/>
              <w:bottom w:val="single" w:sz="12" w:space="0" w:color="auto"/>
            </w:tcBorders>
            <w:vAlign w:val="bottom"/>
          </w:tcPr>
          <w:p w14:paraId="35FE65E7" w14:textId="77777777" w:rsidR="001856C5" w:rsidRPr="004B4498" w:rsidRDefault="001856C5" w:rsidP="00E032FC">
            <w:pPr>
              <w:pStyle w:val="Tot"/>
              <w:jc w:val="right"/>
              <w:rPr>
                <w:rFonts w:cs="Arial"/>
                <w:b/>
                <w:bCs/>
                <w:color w:val="000000" w:themeColor="text1"/>
                <w:sz w:val="20"/>
                <w:lang w:val="hr-HR"/>
              </w:rPr>
            </w:pPr>
            <w:bookmarkStart w:id="174" w:name="_Toc67326626"/>
            <w:r w:rsidRPr="0046584E">
              <w:rPr>
                <w:rFonts w:cs="Arial"/>
                <w:b/>
                <w:color w:val="000000" w:themeColor="text1"/>
                <w:sz w:val="20"/>
                <w:lang w:val="hr-HR"/>
              </w:rPr>
              <w:t>188.185</w:t>
            </w:r>
            <w:bookmarkEnd w:id="174"/>
          </w:p>
        </w:tc>
      </w:tr>
      <w:tr w:rsidR="001856C5" w:rsidRPr="00F75A7A" w14:paraId="7A1CB24C" w14:textId="77777777" w:rsidTr="00E032FC">
        <w:trPr>
          <w:trHeight w:val="60"/>
        </w:trPr>
        <w:tc>
          <w:tcPr>
            <w:tcW w:w="2583" w:type="pct"/>
          </w:tcPr>
          <w:p w14:paraId="154F83F3" w14:textId="77777777" w:rsidR="001856C5" w:rsidRPr="004B4498" w:rsidRDefault="001856C5" w:rsidP="00E032FC">
            <w:pPr>
              <w:pStyle w:val="Thick"/>
              <w:rPr>
                <w:rFonts w:cs="Arial"/>
                <w:color w:val="000000" w:themeColor="text1"/>
                <w:sz w:val="20"/>
                <w:lang w:val="hr-HR"/>
              </w:rPr>
            </w:pPr>
          </w:p>
        </w:tc>
        <w:tc>
          <w:tcPr>
            <w:tcW w:w="565" w:type="pct"/>
            <w:vAlign w:val="bottom"/>
          </w:tcPr>
          <w:p w14:paraId="2685AB77" w14:textId="77777777" w:rsidR="001856C5" w:rsidRPr="004B4498" w:rsidRDefault="001856C5" w:rsidP="00E032FC">
            <w:pPr>
              <w:pStyle w:val="Thick"/>
              <w:jc w:val="center"/>
              <w:rPr>
                <w:rFonts w:cs="Arial"/>
                <w:color w:val="000000" w:themeColor="text1"/>
                <w:sz w:val="20"/>
                <w:lang w:val="hr-HR"/>
              </w:rPr>
            </w:pPr>
          </w:p>
        </w:tc>
        <w:tc>
          <w:tcPr>
            <w:tcW w:w="832" w:type="pct"/>
            <w:tcBorders>
              <w:top w:val="single" w:sz="12" w:space="0" w:color="auto"/>
            </w:tcBorders>
            <w:vAlign w:val="bottom"/>
          </w:tcPr>
          <w:p w14:paraId="710FB1D2" w14:textId="77777777" w:rsidR="001856C5" w:rsidRPr="004B4498" w:rsidRDefault="001856C5" w:rsidP="00E032FC">
            <w:pPr>
              <w:pStyle w:val="TT"/>
              <w:tabs>
                <w:tab w:val="clear" w:pos="1202"/>
              </w:tabs>
              <w:jc w:val="right"/>
              <w:rPr>
                <w:rFonts w:cs="Arial"/>
                <w:color w:val="000000" w:themeColor="text1"/>
                <w:sz w:val="20"/>
                <w:lang w:val="hr-HR"/>
              </w:rPr>
            </w:pPr>
          </w:p>
        </w:tc>
        <w:tc>
          <w:tcPr>
            <w:tcW w:w="1020" w:type="pct"/>
            <w:tcBorders>
              <w:top w:val="single" w:sz="12" w:space="0" w:color="auto"/>
            </w:tcBorders>
            <w:vAlign w:val="bottom"/>
          </w:tcPr>
          <w:p w14:paraId="0225AAF9" w14:textId="77777777" w:rsidR="001856C5" w:rsidRPr="004B4498" w:rsidRDefault="001856C5" w:rsidP="00E032FC">
            <w:pPr>
              <w:pStyle w:val="Thick"/>
              <w:tabs>
                <w:tab w:val="clear" w:pos="1202"/>
              </w:tabs>
              <w:jc w:val="right"/>
              <w:rPr>
                <w:rFonts w:cs="Arial"/>
                <w:color w:val="000000" w:themeColor="text1"/>
                <w:sz w:val="20"/>
                <w:lang w:val="hr-HR"/>
              </w:rPr>
            </w:pPr>
          </w:p>
        </w:tc>
      </w:tr>
      <w:tr w:rsidR="001856C5" w:rsidRPr="00F75A7A" w14:paraId="21FA7BF9" w14:textId="77777777" w:rsidTr="00E032FC">
        <w:trPr>
          <w:trHeight w:val="60"/>
        </w:trPr>
        <w:tc>
          <w:tcPr>
            <w:tcW w:w="2583" w:type="pct"/>
          </w:tcPr>
          <w:p w14:paraId="39F11562" w14:textId="77777777" w:rsidR="001856C5" w:rsidRPr="004B4498" w:rsidRDefault="001856C5" w:rsidP="00E032FC">
            <w:pPr>
              <w:pStyle w:val="Thick"/>
              <w:spacing w:line="240" w:lineRule="exact"/>
              <w:rPr>
                <w:rFonts w:cs="Arial"/>
                <w:color w:val="000000" w:themeColor="text1"/>
                <w:sz w:val="20"/>
                <w:lang w:val="hr-HR"/>
              </w:rPr>
            </w:pPr>
          </w:p>
        </w:tc>
        <w:tc>
          <w:tcPr>
            <w:tcW w:w="565" w:type="pct"/>
            <w:vAlign w:val="bottom"/>
          </w:tcPr>
          <w:p w14:paraId="70CE203F" w14:textId="77777777" w:rsidR="001856C5" w:rsidRPr="004B4498" w:rsidRDefault="001856C5" w:rsidP="00E032FC">
            <w:pPr>
              <w:pStyle w:val="Thick"/>
              <w:spacing w:line="240" w:lineRule="exact"/>
              <w:jc w:val="center"/>
              <w:rPr>
                <w:rFonts w:cs="Arial"/>
                <w:color w:val="000000" w:themeColor="text1"/>
                <w:sz w:val="20"/>
                <w:lang w:val="hr-HR"/>
              </w:rPr>
            </w:pPr>
          </w:p>
        </w:tc>
        <w:tc>
          <w:tcPr>
            <w:tcW w:w="832" w:type="pct"/>
            <w:vAlign w:val="bottom"/>
          </w:tcPr>
          <w:p w14:paraId="2EB81450" w14:textId="77777777" w:rsidR="001856C5" w:rsidRPr="004B4498" w:rsidRDefault="001856C5" w:rsidP="00E032FC">
            <w:pPr>
              <w:pStyle w:val="TT"/>
              <w:tabs>
                <w:tab w:val="clear" w:pos="1202"/>
              </w:tabs>
              <w:jc w:val="right"/>
              <w:rPr>
                <w:rFonts w:cs="Arial"/>
                <w:color w:val="000000" w:themeColor="text1"/>
                <w:sz w:val="20"/>
                <w:lang w:val="hr-HR"/>
              </w:rPr>
            </w:pPr>
          </w:p>
        </w:tc>
        <w:tc>
          <w:tcPr>
            <w:tcW w:w="1020" w:type="pct"/>
            <w:vAlign w:val="bottom"/>
          </w:tcPr>
          <w:p w14:paraId="66F00B9D" w14:textId="77777777" w:rsidR="001856C5" w:rsidRPr="004B4498" w:rsidRDefault="001856C5" w:rsidP="00E032FC">
            <w:pPr>
              <w:pStyle w:val="Thick"/>
              <w:tabs>
                <w:tab w:val="clear" w:pos="1202"/>
              </w:tabs>
              <w:spacing w:line="240" w:lineRule="exact"/>
              <w:jc w:val="right"/>
              <w:rPr>
                <w:rFonts w:cs="Arial"/>
                <w:color w:val="000000" w:themeColor="text1"/>
                <w:sz w:val="20"/>
                <w:lang w:val="hr-HR"/>
              </w:rPr>
            </w:pPr>
          </w:p>
        </w:tc>
      </w:tr>
      <w:tr w:rsidR="001856C5" w:rsidRPr="00F75A7A" w14:paraId="489B3972" w14:textId="77777777" w:rsidTr="00E032FC">
        <w:trPr>
          <w:trHeight w:val="60"/>
        </w:trPr>
        <w:tc>
          <w:tcPr>
            <w:tcW w:w="2583" w:type="pct"/>
            <w:vAlign w:val="bottom"/>
          </w:tcPr>
          <w:p w14:paraId="2172D58D" w14:textId="77777777" w:rsidR="001856C5" w:rsidRPr="004B4498" w:rsidRDefault="001856C5" w:rsidP="00E032FC">
            <w:pPr>
              <w:pStyle w:val="Thick"/>
              <w:spacing w:line="301" w:lineRule="exact"/>
              <w:rPr>
                <w:rFonts w:cs="Arial"/>
                <w:color w:val="000000" w:themeColor="text1"/>
                <w:sz w:val="20"/>
                <w:u w:val="none"/>
                <w:lang w:val="hr-HR"/>
              </w:rPr>
            </w:pPr>
            <w:r w:rsidRPr="004B4498">
              <w:rPr>
                <w:rFonts w:cs="Arial"/>
                <w:color w:val="000000" w:themeColor="text1"/>
                <w:sz w:val="20"/>
                <w:u w:val="none"/>
                <w:lang w:val="hr-HR"/>
              </w:rPr>
              <w:t>Dobit za raspodjelu:</w:t>
            </w:r>
          </w:p>
        </w:tc>
        <w:tc>
          <w:tcPr>
            <w:tcW w:w="565" w:type="pct"/>
            <w:vAlign w:val="bottom"/>
          </w:tcPr>
          <w:p w14:paraId="4D7750BF" w14:textId="77777777" w:rsidR="001856C5" w:rsidRPr="004B4498" w:rsidRDefault="001856C5" w:rsidP="00E032FC">
            <w:pPr>
              <w:pStyle w:val="Thick"/>
              <w:spacing w:line="301" w:lineRule="exact"/>
              <w:jc w:val="center"/>
              <w:rPr>
                <w:rFonts w:cs="Arial"/>
                <w:color w:val="000000" w:themeColor="text1"/>
                <w:sz w:val="20"/>
                <w:lang w:val="hr-HR"/>
              </w:rPr>
            </w:pPr>
          </w:p>
        </w:tc>
        <w:tc>
          <w:tcPr>
            <w:tcW w:w="832" w:type="pct"/>
            <w:vAlign w:val="bottom"/>
          </w:tcPr>
          <w:p w14:paraId="75619702" w14:textId="77777777" w:rsidR="001856C5" w:rsidRPr="004B4498" w:rsidRDefault="001856C5" w:rsidP="00E032FC">
            <w:pPr>
              <w:pStyle w:val="TT"/>
              <w:tabs>
                <w:tab w:val="clear" w:pos="1202"/>
              </w:tabs>
              <w:jc w:val="right"/>
              <w:rPr>
                <w:rFonts w:cs="Arial"/>
                <w:color w:val="000000" w:themeColor="text1"/>
                <w:sz w:val="20"/>
                <w:lang w:val="hr-HR"/>
              </w:rPr>
            </w:pPr>
          </w:p>
        </w:tc>
        <w:tc>
          <w:tcPr>
            <w:tcW w:w="1020" w:type="pct"/>
            <w:vAlign w:val="bottom"/>
          </w:tcPr>
          <w:p w14:paraId="3BEB2FF2" w14:textId="77777777" w:rsidR="001856C5" w:rsidRPr="004B4498" w:rsidRDefault="001856C5" w:rsidP="00E032FC">
            <w:pPr>
              <w:pStyle w:val="Thick"/>
              <w:tabs>
                <w:tab w:val="clear" w:pos="1202"/>
              </w:tabs>
              <w:spacing w:line="301" w:lineRule="exact"/>
              <w:jc w:val="right"/>
              <w:rPr>
                <w:rFonts w:cs="Arial"/>
                <w:color w:val="000000" w:themeColor="text1"/>
                <w:sz w:val="20"/>
                <w:lang w:val="hr-HR"/>
              </w:rPr>
            </w:pPr>
          </w:p>
        </w:tc>
      </w:tr>
      <w:tr w:rsidR="001856C5" w:rsidRPr="00F75A7A" w14:paraId="7F5A24D3" w14:textId="77777777" w:rsidTr="00E032FC">
        <w:trPr>
          <w:trHeight w:val="60"/>
        </w:trPr>
        <w:tc>
          <w:tcPr>
            <w:tcW w:w="2583" w:type="pct"/>
            <w:vAlign w:val="bottom"/>
          </w:tcPr>
          <w:p w14:paraId="05F79ECA" w14:textId="77777777" w:rsidR="001856C5" w:rsidRPr="004B4498" w:rsidRDefault="001856C5" w:rsidP="00E032FC">
            <w:pPr>
              <w:pStyle w:val="Thick"/>
              <w:spacing w:line="301" w:lineRule="exact"/>
              <w:rPr>
                <w:rFonts w:cs="Arial"/>
                <w:color w:val="000000" w:themeColor="text1"/>
                <w:sz w:val="20"/>
                <w:u w:val="none"/>
                <w:lang w:val="hr-HR"/>
              </w:rPr>
            </w:pPr>
            <w:r w:rsidRPr="004B4498">
              <w:rPr>
                <w:rFonts w:cs="Arial"/>
                <w:color w:val="000000" w:themeColor="text1"/>
                <w:sz w:val="20"/>
                <w:u w:val="none"/>
                <w:lang w:val="hr-HR"/>
              </w:rPr>
              <w:t>Vlasniku društva</w:t>
            </w:r>
          </w:p>
        </w:tc>
        <w:tc>
          <w:tcPr>
            <w:tcW w:w="565" w:type="pct"/>
            <w:vAlign w:val="bottom"/>
          </w:tcPr>
          <w:p w14:paraId="07934CBB" w14:textId="77777777" w:rsidR="001856C5" w:rsidRPr="004B4498" w:rsidRDefault="001856C5" w:rsidP="00E032FC">
            <w:pPr>
              <w:pStyle w:val="Thick"/>
              <w:spacing w:line="301" w:lineRule="exact"/>
              <w:jc w:val="center"/>
              <w:rPr>
                <w:rFonts w:cs="Arial"/>
                <w:color w:val="000000" w:themeColor="text1"/>
                <w:sz w:val="20"/>
                <w:lang w:val="hr-HR"/>
              </w:rPr>
            </w:pPr>
          </w:p>
        </w:tc>
        <w:tc>
          <w:tcPr>
            <w:tcW w:w="832" w:type="pct"/>
            <w:tcBorders>
              <w:bottom w:val="single" w:sz="12" w:space="0" w:color="auto"/>
            </w:tcBorders>
            <w:vAlign w:val="bottom"/>
          </w:tcPr>
          <w:p w14:paraId="38F34EE4" w14:textId="77777777" w:rsidR="001856C5" w:rsidRPr="004B4498" w:rsidRDefault="001856C5" w:rsidP="00E032FC">
            <w:pPr>
              <w:pStyle w:val="Thick"/>
              <w:tabs>
                <w:tab w:val="clear" w:pos="1202"/>
              </w:tabs>
              <w:spacing w:line="301" w:lineRule="exact"/>
              <w:jc w:val="right"/>
              <w:rPr>
                <w:rFonts w:cs="Arial"/>
                <w:color w:val="000000" w:themeColor="text1"/>
                <w:sz w:val="20"/>
                <w:u w:val="none"/>
                <w:lang w:val="hr-HR"/>
              </w:rPr>
            </w:pPr>
            <w:r w:rsidRPr="00C507E7">
              <w:rPr>
                <w:rFonts w:cs="Arial"/>
                <w:color w:val="000000" w:themeColor="text1"/>
                <w:sz w:val="20"/>
                <w:u w:val="none"/>
                <w:lang w:val="hr-HR"/>
              </w:rPr>
              <w:t>189.458</w:t>
            </w:r>
          </w:p>
        </w:tc>
        <w:tc>
          <w:tcPr>
            <w:tcW w:w="1020" w:type="pct"/>
            <w:tcBorders>
              <w:bottom w:val="single" w:sz="12" w:space="0" w:color="auto"/>
            </w:tcBorders>
            <w:vAlign w:val="bottom"/>
          </w:tcPr>
          <w:p w14:paraId="69265A11" w14:textId="77777777" w:rsidR="001856C5" w:rsidRPr="004B4498" w:rsidRDefault="001856C5" w:rsidP="00E032FC">
            <w:pPr>
              <w:pStyle w:val="Thick"/>
              <w:tabs>
                <w:tab w:val="clear" w:pos="1202"/>
              </w:tabs>
              <w:spacing w:line="301" w:lineRule="exact"/>
              <w:jc w:val="right"/>
              <w:rPr>
                <w:rFonts w:cs="Arial"/>
                <w:color w:val="000000" w:themeColor="text1"/>
                <w:position w:val="0"/>
                <w:sz w:val="20"/>
                <w:u w:val="none"/>
                <w:lang w:val="hr-HR"/>
              </w:rPr>
            </w:pPr>
            <w:bookmarkStart w:id="175" w:name="_Toc67326628"/>
            <w:r w:rsidRPr="0046584E">
              <w:rPr>
                <w:rFonts w:cs="Arial"/>
                <w:color w:val="000000" w:themeColor="text1"/>
                <w:sz w:val="20"/>
                <w:u w:val="none"/>
                <w:lang w:val="hr-HR"/>
              </w:rPr>
              <w:t>188.185</w:t>
            </w:r>
            <w:bookmarkEnd w:id="175"/>
          </w:p>
        </w:tc>
      </w:tr>
    </w:tbl>
    <w:p w14:paraId="4043AD03"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7F511764"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64FB4638"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16C1CBF5"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23BA21EA"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36B3D26B"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2B9C267E"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207D7E86"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096BB0DA"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036C4A54"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6C6C35A8"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0E535044"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2D3AF947"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4A79D197"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3E6A5B8E"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11473E4A"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752D5F57"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68AF913A"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32634B64"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265015B2"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695D0363"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3057CFDF"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33CE6EDC"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117FC764"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6E10F628"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1BC04A87"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3AF7E965"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53C1A50D"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46E5CA00"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78833983"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5D425CC9"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55EE7125"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37778863"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7FB7FFAC"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50D87526"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1B1322D3"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482BC155"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51A4BB0F"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37A91ED8" w14:textId="77777777" w:rsidR="001856C5" w:rsidRPr="00B91D09" w:rsidRDefault="001856C5" w:rsidP="001856C5">
      <w:pPr>
        <w:pStyle w:val="T1"/>
        <w:spacing w:before="0" w:after="0" w:line="240" w:lineRule="auto"/>
        <w:rPr>
          <w:rFonts w:cs="Arial"/>
          <w:b w:val="0"/>
          <w:bCs w:val="0"/>
          <w:color w:val="000000" w:themeColor="text1"/>
          <w:sz w:val="22"/>
          <w:szCs w:val="22"/>
          <w:lang w:val="hr-HR"/>
        </w:rPr>
      </w:pPr>
    </w:p>
    <w:p w14:paraId="6E1109A0" w14:textId="77777777" w:rsidR="001856C5" w:rsidRPr="004B4498" w:rsidRDefault="001856C5" w:rsidP="001856C5">
      <w:pPr>
        <w:pStyle w:val="T1"/>
        <w:spacing w:before="0" w:after="0" w:line="240" w:lineRule="auto"/>
        <w:rPr>
          <w:rFonts w:cs="Arial"/>
          <w:b w:val="0"/>
          <w:bCs w:val="0"/>
          <w:color w:val="000000" w:themeColor="text1"/>
          <w:sz w:val="20"/>
          <w:lang w:val="hr-HR"/>
        </w:rPr>
        <w:sectPr w:rsidR="001856C5" w:rsidRPr="004B4498" w:rsidSect="00D17EE8">
          <w:headerReference w:type="default" r:id="rId57"/>
          <w:footerReference w:type="default" r:id="rId58"/>
          <w:pgSz w:w="11907" w:h="16840" w:code="9"/>
          <w:pgMar w:top="1418" w:right="992" w:bottom="1134" w:left="1418" w:header="851" w:footer="851" w:gutter="0"/>
          <w:pgNumType w:start="72"/>
          <w:cols w:space="720"/>
          <w:noEndnote/>
        </w:sectPr>
      </w:pPr>
      <w:r w:rsidRPr="004B4498">
        <w:rPr>
          <w:rFonts w:cs="Arial"/>
          <w:b w:val="0"/>
          <w:bCs w:val="0"/>
          <w:color w:val="000000" w:themeColor="text1"/>
          <w:sz w:val="20"/>
          <w:lang w:val="hr-HR"/>
        </w:rPr>
        <w:t>Priložene računovodstvene politike i bilješke sastavni su dio ovih financijskih izvještaja.</w:t>
      </w:r>
    </w:p>
    <w:tbl>
      <w:tblPr>
        <w:tblpPr w:leftFromText="180" w:rightFromText="180" w:horzAnchor="margin" w:tblpY="825"/>
        <w:tblW w:w="5178" w:type="pct"/>
        <w:tblLayout w:type="fixed"/>
        <w:tblCellMar>
          <w:left w:w="119" w:type="dxa"/>
          <w:right w:w="119" w:type="dxa"/>
        </w:tblCellMar>
        <w:tblLook w:val="0000" w:firstRow="0" w:lastRow="0" w:firstColumn="0" w:lastColumn="0" w:noHBand="0" w:noVBand="0"/>
      </w:tblPr>
      <w:tblGrid>
        <w:gridCol w:w="6418"/>
        <w:gridCol w:w="1396"/>
        <w:gridCol w:w="1533"/>
      </w:tblGrid>
      <w:tr w:rsidR="001856C5" w:rsidRPr="0086464F" w14:paraId="176255CF" w14:textId="77777777" w:rsidTr="00F50591">
        <w:trPr>
          <w:trHeight w:val="380"/>
        </w:trPr>
        <w:tc>
          <w:tcPr>
            <w:tcW w:w="3433" w:type="pct"/>
            <w:vAlign w:val="center"/>
          </w:tcPr>
          <w:p w14:paraId="6B69D81B" w14:textId="77777777" w:rsidR="001856C5" w:rsidRPr="0086464F" w:rsidRDefault="001856C5" w:rsidP="00F50591">
            <w:pPr>
              <w:pStyle w:val="TT"/>
              <w:jc w:val="center"/>
              <w:rPr>
                <w:rFonts w:cs="Arial"/>
                <w:b/>
                <w:bCs/>
                <w:color w:val="000000" w:themeColor="text1"/>
                <w:sz w:val="20"/>
                <w:lang w:val="hr-HR"/>
              </w:rPr>
            </w:pPr>
          </w:p>
        </w:tc>
        <w:tc>
          <w:tcPr>
            <w:tcW w:w="747" w:type="pct"/>
            <w:vAlign w:val="bottom"/>
          </w:tcPr>
          <w:p w14:paraId="56946E48" w14:textId="77777777" w:rsidR="001856C5" w:rsidRPr="0086464F" w:rsidRDefault="001856C5" w:rsidP="00F50591">
            <w:pPr>
              <w:pStyle w:val="TT"/>
              <w:tabs>
                <w:tab w:val="clear" w:pos="1202"/>
              </w:tabs>
              <w:jc w:val="right"/>
              <w:rPr>
                <w:rFonts w:cs="Arial"/>
                <w:b/>
                <w:bCs/>
                <w:color w:val="000000" w:themeColor="text1"/>
                <w:sz w:val="20"/>
                <w:lang w:val="hr-HR"/>
              </w:rPr>
            </w:pPr>
            <w:r w:rsidRPr="0086464F">
              <w:rPr>
                <w:rFonts w:cs="Arial"/>
                <w:b/>
                <w:bCs/>
                <w:color w:val="000000" w:themeColor="text1"/>
                <w:sz w:val="20"/>
                <w:lang w:val="hr-HR"/>
              </w:rPr>
              <w:t>202</w:t>
            </w:r>
            <w:r>
              <w:rPr>
                <w:rFonts w:cs="Arial"/>
                <w:b/>
                <w:bCs/>
                <w:color w:val="000000" w:themeColor="text1"/>
                <w:sz w:val="20"/>
                <w:lang w:val="hr-HR"/>
              </w:rPr>
              <w:t>2</w:t>
            </w:r>
            <w:r w:rsidRPr="0086464F">
              <w:rPr>
                <w:rFonts w:cs="Arial"/>
                <w:b/>
                <w:bCs/>
                <w:color w:val="000000" w:themeColor="text1"/>
                <w:sz w:val="20"/>
                <w:lang w:val="hr-HR"/>
              </w:rPr>
              <w:t>.</w:t>
            </w:r>
          </w:p>
        </w:tc>
        <w:tc>
          <w:tcPr>
            <w:tcW w:w="820" w:type="pct"/>
            <w:vAlign w:val="bottom"/>
          </w:tcPr>
          <w:p w14:paraId="17579E58" w14:textId="77777777" w:rsidR="001856C5" w:rsidRPr="0086464F" w:rsidRDefault="001856C5" w:rsidP="00F50591">
            <w:pPr>
              <w:pStyle w:val="TT"/>
              <w:tabs>
                <w:tab w:val="clear" w:pos="1202"/>
              </w:tabs>
              <w:jc w:val="right"/>
              <w:rPr>
                <w:rFonts w:cs="Arial"/>
                <w:b/>
                <w:bCs/>
                <w:color w:val="000000" w:themeColor="text1"/>
                <w:sz w:val="20"/>
                <w:lang w:val="hr-HR"/>
              </w:rPr>
            </w:pPr>
            <w:bookmarkStart w:id="176" w:name="_Toc67326629"/>
            <w:r w:rsidRPr="0086464F">
              <w:rPr>
                <w:rFonts w:cs="Arial"/>
                <w:b/>
                <w:bCs/>
                <w:color w:val="000000" w:themeColor="text1"/>
                <w:sz w:val="20"/>
                <w:lang w:val="hr-HR"/>
              </w:rPr>
              <w:t>202</w:t>
            </w:r>
            <w:r>
              <w:rPr>
                <w:rFonts w:cs="Arial"/>
                <w:b/>
                <w:bCs/>
                <w:color w:val="000000" w:themeColor="text1"/>
                <w:sz w:val="20"/>
                <w:lang w:val="hr-HR"/>
              </w:rPr>
              <w:t>1</w:t>
            </w:r>
            <w:r w:rsidRPr="0086464F">
              <w:rPr>
                <w:rFonts w:cs="Arial"/>
                <w:b/>
                <w:bCs/>
                <w:color w:val="000000" w:themeColor="text1"/>
                <w:sz w:val="20"/>
                <w:lang w:val="hr-HR"/>
              </w:rPr>
              <w:t>.</w:t>
            </w:r>
            <w:bookmarkEnd w:id="176"/>
          </w:p>
        </w:tc>
      </w:tr>
      <w:tr w:rsidR="001856C5" w:rsidRPr="0086464F" w14:paraId="2009F2A8" w14:textId="77777777" w:rsidTr="00F50591">
        <w:trPr>
          <w:trHeight w:hRule="exact" w:val="330"/>
        </w:trPr>
        <w:tc>
          <w:tcPr>
            <w:tcW w:w="3433" w:type="pct"/>
            <w:vAlign w:val="bottom"/>
          </w:tcPr>
          <w:p w14:paraId="3282B6C0" w14:textId="77777777" w:rsidR="001856C5" w:rsidRPr="0086464F" w:rsidRDefault="001856C5" w:rsidP="00F50591">
            <w:pPr>
              <w:pStyle w:val="TT"/>
              <w:jc w:val="center"/>
              <w:rPr>
                <w:rFonts w:cs="Arial"/>
                <w:b/>
                <w:bCs/>
                <w:color w:val="000000" w:themeColor="text1"/>
                <w:sz w:val="20"/>
                <w:lang w:val="hr-HR"/>
              </w:rPr>
            </w:pPr>
          </w:p>
        </w:tc>
        <w:tc>
          <w:tcPr>
            <w:tcW w:w="747" w:type="pct"/>
            <w:vAlign w:val="bottom"/>
          </w:tcPr>
          <w:p w14:paraId="5BA9A157" w14:textId="77777777" w:rsidR="001856C5" w:rsidRPr="0086464F" w:rsidRDefault="001856C5" w:rsidP="00F50591">
            <w:pPr>
              <w:pStyle w:val="TT"/>
              <w:tabs>
                <w:tab w:val="clear" w:pos="1202"/>
              </w:tabs>
              <w:jc w:val="right"/>
              <w:rPr>
                <w:rFonts w:cs="Arial"/>
                <w:b/>
                <w:bCs/>
                <w:color w:val="000000" w:themeColor="text1"/>
                <w:sz w:val="20"/>
                <w:lang w:val="hr-HR"/>
              </w:rPr>
            </w:pPr>
            <w:bookmarkStart w:id="177" w:name="_Toc67326631"/>
            <w:r w:rsidRPr="0086464F">
              <w:rPr>
                <w:rFonts w:cs="Arial"/>
                <w:b/>
                <w:bCs/>
                <w:color w:val="000000" w:themeColor="text1"/>
                <w:sz w:val="20"/>
                <w:lang w:val="hr-HR"/>
              </w:rPr>
              <w:t>000 kuna</w:t>
            </w:r>
            <w:bookmarkEnd w:id="177"/>
          </w:p>
        </w:tc>
        <w:tc>
          <w:tcPr>
            <w:tcW w:w="820" w:type="pct"/>
            <w:vAlign w:val="bottom"/>
          </w:tcPr>
          <w:p w14:paraId="159F6C49" w14:textId="77777777" w:rsidR="001856C5" w:rsidRPr="0086464F" w:rsidRDefault="001856C5" w:rsidP="00F50591">
            <w:pPr>
              <w:pStyle w:val="TT"/>
              <w:tabs>
                <w:tab w:val="clear" w:pos="1202"/>
              </w:tabs>
              <w:jc w:val="right"/>
              <w:rPr>
                <w:rFonts w:cs="Arial"/>
                <w:b/>
                <w:bCs/>
                <w:color w:val="000000" w:themeColor="text1"/>
                <w:sz w:val="20"/>
                <w:lang w:val="hr-HR"/>
              </w:rPr>
            </w:pPr>
            <w:bookmarkStart w:id="178" w:name="_Toc67326632"/>
            <w:r w:rsidRPr="0086464F">
              <w:rPr>
                <w:rFonts w:cs="Arial"/>
                <w:b/>
                <w:bCs/>
                <w:color w:val="000000" w:themeColor="text1"/>
                <w:sz w:val="20"/>
                <w:lang w:val="hr-HR"/>
              </w:rPr>
              <w:t>000 kuna</w:t>
            </w:r>
            <w:bookmarkEnd w:id="178"/>
          </w:p>
        </w:tc>
      </w:tr>
      <w:tr w:rsidR="001856C5" w:rsidRPr="0086464F" w14:paraId="1B5541C4" w14:textId="77777777" w:rsidTr="00F50591">
        <w:trPr>
          <w:trHeight w:hRule="exact" w:val="170"/>
        </w:trPr>
        <w:tc>
          <w:tcPr>
            <w:tcW w:w="3433" w:type="pct"/>
            <w:vAlign w:val="center"/>
          </w:tcPr>
          <w:p w14:paraId="38AECB1B" w14:textId="77777777" w:rsidR="001856C5" w:rsidRPr="0086464F" w:rsidRDefault="001856C5" w:rsidP="00F50591">
            <w:pPr>
              <w:pStyle w:val="TT"/>
              <w:jc w:val="center"/>
              <w:rPr>
                <w:rFonts w:cs="Arial"/>
                <w:b/>
                <w:bCs/>
                <w:color w:val="000000" w:themeColor="text1"/>
                <w:sz w:val="20"/>
                <w:lang w:val="hr-HR"/>
              </w:rPr>
            </w:pPr>
          </w:p>
        </w:tc>
        <w:tc>
          <w:tcPr>
            <w:tcW w:w="747" w:type="pct"/>
          </w:tcPr>
          <w:p w14:paraId="24B2ADDE" w14:textId="77777777" w:rsidR="001856C5" w:rsidRPr="0086464F" w:rsidRDefault="001856C5" w:rsidP="00F50591">
            <w:pPr>
              <w:pStyle w:val="TT"/>
              <w:tabs>
                <w:tab w:val="clear" w:pos="1202"/>
              </w:tabs>
              <w:jc w:val="right"/>
              <w:rPr>
                <w:rFonts w:cs="Arial"/>
                <w:b/>
                <w:bCs/>
                <w:color w:val="000000" w:themeColor="text1"/>
                <w:sz w:val="20"/>
                <w:lang w:val="hr-HR"/>
              </w:rPr>
            </w:pPr>
          </w:p>
        </w:tc>
        <w:tc>
          <w:tcPr>
            <w:tcW w:w="820" w:type="pct"/>
          </w:tcPr>
          <w:p w14:paraId="75C4D611" w14:textId="77777777" w:rsidR="001856C5" w:rsidRPr="0086464F" w:rsidRDefault="001856C5" w:rsidP="00F50591">
            <w:pPr>
              <w:pStyle w:val="TT"/>
              <w:tabs>
                <w:tab w:val="clear" w:pos="1202"/>
              </w:tabs>
              <w:jc w:val="right"/>
              <w:rPr>
                <w:rFonts w:cs="Arial"/>
                <w:b/>
                <w:bCs/>
                <w:color w:val="000000" w:themeColor="text1"/>
                <w:sz w:val="20"/>
                <w:lang w:val="hr-HR"/>
              </w:rPr>
            </w:pPr>
          </w:p>
        </w:tc>
      </w:tr>
      <w:tr w:rsidR="001856C5" w:rsidRPr="0086464F" w14:paraId="5C424F74" w14:textId="77777777" w:rsidTr="00F50591">
        <w:trPr>
          <w:trHeight w:val="328"/>
        </w:trPr>
        <w:tc>
          <w:tcPr>
            <w:tcW w:w="3433" w:type="pct"/>
            <w:vAlign w:val="bottom"/>
          </w:tcPr>
          <w:p w14:paraId="30C8ABC9" w14:textId="77777777" w:rsidR="001856C5" w:rsidRPr="0086464F" w:rsidRDefault="001856C5" w:rsidP="00F50591">
            <w:pPr>
              <w:pStyle w:val="Tot"/>
              <w:rPr>
                <w:rFonts w:cs="Arial"/>
                <w:b/>
                <w:bCs/>
                <w:color w:val="000000" w:themeColor="text1"/>
                <w:sz w:val="20"/>
                <w:lang w:val="hr-HR"/>
              </w:rPr>
            </w:pPr>
            <w:bookmarkStart w:id="179" w:name="_Toc67326633"/>
            <w:r w:rsidRPr="0086464F">
              <w:rPr>
                <w:rFonts w:cs="Arial"/>
                <w:b/>
                <w:bCs/>
                <w:color w:val="000000" w:themeColor="text1"/>
                <w:sz w:val="20"/>
                <w:lang w:val="hr-HR"/>
              </w:rPr>
              <w:t>Dobit tekuće godine</w:t>
            </w:r>
            <w:bookmarkEnd w:id="179"/>
          </w:p>
        </w:tc>
        <w:tc>
          <w:tcPr>
            <w:tcW w:w="747" w:type="pct"/>
            <w:tcBorders>
              <w:bottom w:val="single" w:sz="12" w:space="0" w:color="auto"/>
            </w:tcBorders>
            <w:vAlign w:val="bottom"/>
          </w:tcPr>
          <w:p w14:paraId="1D72FE9C" w14:textId="77777777" w:rsidR="001856C5" w:rsidRPr="0086464F" w:rsidRDefault="001856C5" w:rsidP="00F50591">
            <w:pPr>
              <w:pStyle w:val="Tot"/>
              <w:jc w:val="right"/>
              <w:rPr>
                <w:rFonts w:cs="Arial"/>
                <w:b/>
                <w:bCs/>
                <w:color w:val="000000" w:themeColor="text1"/>
                <w:sz w:val="20"/>
                <w:lang w:val="hr-HR"/>
              </w:rPr>
            </w:pPr>
            <w:r w:rsidRPr="00C507E7">
              <w:rPr>
                <w:rFonts w:cs="Arial"/>
                <w:b/>
                <w:bCs/>
                <w:color w:val="000000" w:themeColor="text1"/>
                <w:sz w:val="20"/>
                <w:lang w:val="hr-HR"/>
              </w:rPr>
              <w:t>189.458</w:t>
            </w:r>
          </w:p>
        </w:tc>
        <w:tc>
          <w:tcPr>
            <w:tcW w:w="820" w:type="pct"/>
            <w:tcBorders>
              <w:bottom w:val="single" w:sz="12" w:space="0" w:color="auto"/>
            </w:tcBorders>
            <w:vAlign w:val="bottom"/>
          </w:tcPr>
          <w:p w14:paraId="5F9E702D" w14:textId="77777777" w:rsidR="001856C5" w:rsidRPr="0086464F" w:rsidRDefault="001856C5" w:rsidP="00F50591">
            <w:pPr>
              <w:pStyle w:val="Tot"/>
              <w:jc w:val="right"/>
              <w:rPr>
                <w:rFonts w:cs="Arial"/>
                <w:b/>
                <w:bCs/>
                <w:color w:val="000000" w:themeColor="text1"/>
                <w:sz w:val="20"/>
                <w:lang w:val="hr-HR"/>
              </w:rPr>
            </w:pPr>
            <w:bookmarkStart w:id="180" w:name="_Toc67326634"/>
            <w:bookmarkStart w:id="181" w:name="_Toc67326635"/>
            <w:r w:rsidRPr="0086464F">
              <w:rPr>
                <w:rFonts w:cs="Arial"/>
                <w:b/>
                <w:bCs/>
                <w:color w:val="000000" w:themeColor="text1"/>
                <w:sz w:val="20"/>
                <w:lang w:val="hr-HR"/>
              </w:rPr>
              <w:t>188.185</w:t>
            </w:r>
            <w:bookmarkEnd w:id="180"/>
            <w:bookmarkEnd w:id="181"/>
          </w:p>
        </w:tc>
      </w:tr>
      <w:tr w:rsidR="001856C5" w:rsidRPr="0086464F" w14:paraId="3E73E86B" w14:textId="77777777" w:rsidTr="00F50591">
        <w:trPr>
          <w:trHeight w:hRule="exact" w:val="112"/>
        </w:trPr>
        <w:tc>
          <w:tcPr>
            <w:tcW w:w="3433" w:type="pct"/>
            <w:vAlign w:val="bottom"/>
          </w:tcPr>
          <w:p w14:paraId="76EEFE90" w14:textId="77777777" w:rsidR="001856C5" w:rsidRPr="0086464F" w:rsidRDefault="001856C5" w:rsidP="00F50591">
            <w:pPr>
              <w:pStyle w:val="Tot"/>
              <w:spacing w:line="140" w:lineRule="exact"/>
              <w:rPr>
                <w:rFonts w:cs="Arial"/>
                <w:b/>
                <w:bCs/>
                <w:color w:val="000000" w:themeColor="text1"/>
                <w:sz w:val="20"/>
                <w:lang w:val="hr-HR"/>
              </w:rPr>
            </w:pPr>
          </w:p>
        </w:tc>
        <w:tc>
          <w:tcPr>
            <w:tcW w:w="747" w:type="pct"/>
            <w:tcBorders>
              <w:top w:val="single" w:sz="12" w:space="0" w:color="auto"/>
            </w:tcBorders>
            <w:vAlign w:val="bottom"/>
          </w:tcPr>
          <w:p w14:paraId="49A8C9F5" w14:textId="77777777" w:rsidR="001856C5" w:rsidRPr="0086464F" w:rsidRDefault="001856C5" w:rsidP="00F50591">
            <w:pPr>
              <w:pStyle w:val="Thick"/>
              <w:tabs>
                <w:tab w:val="clear" w:pos="1202"/>
              </w:tabs>
              <w:jc w:val="right"/>
              <w:rPr>
                <w:rFonts w:cs="Arial"/>
                <w:color w:val="000000" w:themeColor="text1"/>
                <w:sz w:val="20"/>
                <w:lang w:val="hr-HR"/>
              </w:rPr>
            </w:pPr>
          </w:p>
        </w:tc>
        <w:tc>
          <w:tcPr>
            <w:tcW w:w="820" w:type="pct"/>
            <w:tcBorders>
              <w:top w:val="single" w:sz="12" w:space="0" w:color="auto"/>
            </w:tcBorders>
            <w:vAlign w:val="bottom"/>
          </w:tcPr>
          <w:p w14:paraId="6B58885B" w14:textId="77777777" w:rsidR="001856C5" w:rsidRPr="0086464F" w:rsidRDefault="001856C5" w:rsidP="00F50591">
            <w:pPr>
              <w:pStyle w:val="Thick"/>
              <w:tabs>
                <w:tab w:val="clear" w:pos="1202"/>
              </w:tabs>
              <w:jc w:val="right"/>
              <w:rPr>
                <w:rFonts w:cs="Arial"/>
                <w:color w:val="000000" w:themeColor="text1"/>
                <w:sz w:val="20"/>
                <w:lang w:val="hr-HR"/>
              </w:rPr>
            </w:pPr>
          </w:p>
        </w:tc>
      </w:tr>
      <w:tr w:rsidR="001856C5" w:rsidRPr="0086464F" w14:paraId="1BF0A30A" w14:textId="77777777" w:rsidTr="00F50591">
        <w:trPr>
          <w:trHeight w:val="317"/>
        </w:trPr>
        <w:tc>
          <w:tcPr>
            <w:tcW w:w="3433" w:type="pct"/>
            <w:vAlign w:val="bottom"/>
          </w:tcPr>
          <w:p w14:paraId="7FA8374B" w14:textId="77777777" w:rsidR="001856C5" w:rsidRPr="0086464F" w:rsidRDefault="001856C5" w:rsidP="00F50591">
            <w:pPr>
              <w:tabs>
                <w:tab w:val="right" w:pos="1202"/>
              </w:tabs>
              <w:spacing w:line="280" w:lineRule="exact"/>
              <w:outlineLvl w:val="0"/>
              <w:rPr>
                <w:rFonts w:ascii="Arial" w:hAnsi="Arial" w:cs="Arial"/>
                <w:b/>
                <w:bCs/>
                <w:color w:val="000000" w:themeColor="text1"/>
                <w:sz w:val="20"/>
                <w:szCs w:val="20"/>
                <w:lang w:val="hr-HR"/>
              </w:rPr>
            </w:pPr>
            <w:bookmarkStart w:id="182" w:name="_Toc67326636"/>
            <w:r w:rsidRPr="0086464F">
              <w:rPr>
                <w:rFonts w:ascii="Arial" w:hAnsi="Arial" w:cs="Arial"/>
                <w:b/>
                <w:bCs/>
                <w:color w:val="000000" w:themeColor="text1"/>
                <w:sz w:val="20"/>
                <w:szCs w:val="20"/>
                <w:lang w:val="hr-HR"/>
              </w:rPr>
              <w:t>Ostala sveobuhvatna dobit</w:t>
            </w:r>
            <w:bookmarkEnd w:id="182"/>
          </w:p>
        </w:tc>
        <w:tc>
          <w:tcPr>
            <w:tcW w:w="747" w:type="pct"/>
            <w:vAlign w:val="bottom"/>
          </w:tcPr>
          <w:p w14:paraId="735E440F" w14:textId="77777777" w:rsidR="001856C5" w:rsidRPr="0086464F" w:rsidRDefault="001856C5" w:rsidP="00F50591">
            <w:pPr>
              <w:pStyle w:val="Tot"/>
              <w:jc w:val="right"/>
              <w:rPr>
                <w:rFonts w:cs="Arial"/>
                <w:b/>
                <w:bCs/>
                <w:color w:val="000000" w:themeColor="text1"/>
                <w:sz w:val="20"/>
                <w:lang w:val="hr-HR"/>
              </w:rPr>
            </w:pPr>
          </w:p>
        </w:tc>
        <w:tc>
          <w:tcPr>
            <w:tcW w:w="820" w:type="pct"/>
            <w:vAlign w:val="bottom"/>
          </w:tcPr>
          <w:p w14:paraId="0265F18F" w14:textId="77777777" w:rsidR="001856C5" w:rsidRPr="0086464F" w:rsidRDefault="001856C5" w:rsidP="00F50591">
            <w:pPr>
              <w:pStyle w:val="Tot"/>
              <w:jc w:val="right"/>
              <w:rPr>
                <w:rFonts w:cs="Arial"/>
                <w:b/>
                <w:bCs/>
                <w:color w:val="000000" w:themeColor="text1"/>
                <w:sz w:val="20"/>
                <w:lang w:val="hr-HR"/>
              </w:rPr>
            </w:pPr>
          </w:p>
        </w:tc>
      </w:tr>
      <w:tr w:rsidR="001856C5" w:rsidRPr="006E538D" w14:paraId="5111AD08" w14:textId="77777777" w:rsidTr="00F50591">
        <w:trPr>
          <w:trHeight w:val="317"/>
        </w:trPr>
        <w:tc>
          <w:tcPr>
            <w:tcW w:w="3433" w:type="pct"/>
            <w:vAlign w:val="bottom"/>
          </w:tcPr>
          <w:p w14:paraId="79AB70ED" w14:textId="77777777" w:rsidR="001856C5" w:rsidRPr="0086464F" w:rsidRDefault="001856C5" w:rsidP="00F50591">
            <w:pPr>
              <w:tabs>
                <w:tab w:val="right" w:pos="1202"/>
              </w:tabs>
              <w:spacing w:line="280" w:lineRule="exact"/>
              <w:outlineLvl w:val="0"/>
              <w:rPr>
                <w:rFonts w:ascii="Arial" w:hAnsi="Arial" w:cs="Arial"/>
                <w:b/>
                <w:bCs/>
                <w:color w:val="000000" w:themeColor="text1"/>
                <w:sz w:val="20"/>
                <w:szCs w:val="20"/>
                <w:lang w:val="hr-HR"/>
              </w:rPr>
            </w:pPr>
            <w:bookmarkStart w:id="183" w:name="_Toc67326637"/>
            <w:r w:rsidRPr="0086464F">
              <w:rPr>
                <w:rFonts w:ascii="Arial" w:hAnsi="Arial" w:cs="Arial"/>
                <w:b/>
                <w:bCs/>
                <w:color w:val="000000" w:themeColor="text1"/>
                <w:sz w:val="20"/>
                <w:szCs w:val="20"/>
                <w:lang w:val="hr-HR"/>
              </w:rPr>
              <w:t>Stavke koje se kasnije ne prenose u dobit ili gubitak:</w:t>
            </w:r>
            <w:bookmarkEnd w:id="183"/>
          </w:p>
        </w:tc>
        <w:tc>
          <w:tcPr>
            <w:tcW w:w="747" w:type="pct"/>
            <w:vAlign w:val="bottom"/>
          </w:tcPr>
          <w:p w14:paraId="41183114" w14:textId="77777777" w:rsidR="001856C5" w:rsidRPr="0086464F" w:rsidRDefault="001856C5" w:rsidP="00F50591">
            <w:pPr>
              <w:pStyle w:val="Tot"/>
              <w:jc w:val="right"/>
              <w:rPr>
                <w:rFonts w:cs="Arial"/>
                <w:b/>
                <w:bCs/>
                <w:color w:val="000000" w:themeColor="text1"/>
                <w:sz w:val="20"/>
                <w:lang w:val="hr-HR"/>
              </w:rPr>
            </w:pPr>
          </w:p>
        </w:tc>
        <w:tc>
          <w:tcPr>
            <w:tcW w:w="820" w:type="pct"/>
            <w:vAlign w:val="bottom"/>
          </w:tcPr>
          <w:p w14:paraId="581FA534" w14:textId="77777777" w:rsidR="001856C5" w:rsidRPr="0086464F" w:rsidRDefault="001856C5" w:rsidP="00F50591">
            <w:pPr>
              <w:pStyle w:val="Tot"/>
              <w:jc w:val="right"/>
              <w:rPr>
                <w:rFonts w:cs="Arial"/>
                <w:b/>
                <w:bCs/>
                <w:color w:val="000000" w:themeColor="text1"/>
                <w:sz w:val="20"/>
                <w:lang w:val="hr-HR"/>
              </w:rPr>
            </w:pPr>
          </w:p>
        </w:tc>
      </w:tr>
      <w:tr w:rsidR="001856C5" w:rsidRPr="0086464F" w14:paraId="0D336D20" w14:textId="77777777" w:rsidTr="00F50591">
        <w:trPr>
          <w:trHeight w:val="317"/>
        </w:trPr>
        <w:tc>
          <w:tcPr>
            <w:tcW w:w="3433" w:type="pct"/>
            <w:vAlign w:val="bottom"/>
          </w:tcPr>
          <w:p w14:paraId="2E27F063" w14:textId="77777777" w:rsidR="001856C5" w:rsidRPr="0086464F" w:rsidRDefault="001856C5" w:rsidP="00F50591">
            <w:pPr>
              <w:tabs>
                <w:tab w:val="right" w:pos="1202"/>
              </w:tabs>
              <w:spacing w:line="280" w:lineRule="exact"/>
              <w:outlineLvl w:val="0"/>
              <w:rPr>
                <w:rFonts w:ascii="Arial" w:hAnsi="Arial" w:cs="Arial"/>
                <w:b/>
                <w:bCs/>
                <w:color w:val="000000" w:themeColor="text1"/>
                <w:sz w:val="20"/>
                <w:szCs w:val="20"/>
                <w:lang w:val="hr-HR"/>
              </w:rPr>
            </w:pPr>
            <w:bookmarkStart w:id="184" w:name="_Toc67326638"/>
            <w:r w:rsidRPr="0086464F">
              <w:rPr>
                <w:rFonts w:ascii="Arial" w:hAnsi="Arial" w:cs="Arial"/>
                <w:bCs/>
                <w:color w:val="000000" w:themeColor="text1"/>
                <w:sz w:val="20"/>
                <w:szCs w:val="20"/>
                <w:lang w:val="hr-HR"/>
              </w:rPr>
              <w:t>Nerealizirani aktuarski (gubitak)</w:t>
            </w:r>
            <w:bookmarkEnd w:id="184"/>
          </w:p>
        </w:tc>
        <w:tc>
          <w:tcPr>
            <w:tcW w:w="747" w:type="pct"/>
            <w:tcBorders>
              <w:top w:val="nil"/>
              <w:left w:val="nil"/>
              <w:bottom w:val="nil"/>
              <w:right w:val="nil"/>
            </w:tcBorders>
            <w:shd w:val="clear" w:color="auto" w:fill="auto"/>
            <w:vAlign w:val="bottom"/>
          </w:tcPr>
          <w:p w14:paraId="4D3DCFB2" w14:textId="77777777" w:rsidR="001856C5" w:rsidRPr="0086464F" w:rsidRDefault="001856C5" w:rsidP="00F50591">
            <w:pPr>
              <w:pStyle w:val="Tot"/>
              <w:jc w:val="right"/>
              <w:rPr>
                <w:rFonts w:cs="Arial"/>
                <w:bCs/>
                <w:color w:val="000000" w:themeColor="text1"/>
                <w:sz w:val="20"/>
                <w:lang w:val="hr-HR"/>
              </w:rPr>
            </w:pPr>
            <w:r w:rsidRPr="00C507E7">
              <w:rPr>
                <w:rFonts w:cs="Arial"/>
                <w:bCs/>
                <w:color w:val="000000" w:themeColor="text1"/>
                <w:sz w:val="20"/>
                <w:lang w:val="hr-HR"/>
              </w:rPr>
              <w:t>(759)</w:t>
            </w:r>
          </w:p>
        </w:tc>
        <w:tc>
          <w:tcPr>
            <w:tcW w:w="820" w:type="pct"/>
            <w:tcBorders>
              <w:top w:val="nil"/>
              <w:left w:val="nil"/>
              <w:bottom w:val="nil"/>
              <w:right w:val="nil"/>
            </w:tcBorders>
            <w:shd w:val="clear" w:color="auto" w:fill="auto"/>
            <w:vAlign w:val="bottom"/>
          </w:tcPr>
          <w:p w14:paraId="5755AF50" w14:textId="77777777" w:rsidR="001856C5" w:rsidRPr="0086464F" w:rsidRDefault="001856C5" w:rsidP="00F50591">
            <w:pPr>
              <w:pStyle w:val="Tot"/>
              <w:jc w:val="right"/>
              <w:rPr>
                <w:rFonts w:cs="Arial"/>
                <w:bCs/>
                <w:color w:val="000000" w:themeColor="text1"/>
                <w:sz w:val="20"/>
                <w:lang w:val="hr-HR"/>
              </w:rPr>
            </w:pPr>
            <w:bookmarkStart w:id="185" w:name="_Toc67326639"/>
            <w:r w:rsidRPr="0086464F">
              <w:rPr>
                <w:rFonts w:cs="Arial"/>
                <w:bCs/>
                <w:color w:val="000000" w:themeColor="text1"/>
                <w:sz w:val="20"/>
                <w:lang w:val="hr-HR"/>
              </w:rPr>
              <w:t>(831)</w:t>
            </w:r>
            <w:bookmarkEnd w:id="185"/>
          </w:p>
        </w:tc>
      </w:tr>
      <w:tr w:rsidR="001856C5" w:rsidRPr="0086464F" w14:paraId="0C4DE228" w14:textId="77777777" w:rsidTr="00F50591">
        <w:trPr>
          <w:trHeight w:hRule="exact" w:val="398"/>
        </w:trPr>
        <w:tc>
          <w:tcPr>
            <w:tcW w:w="3433" w:type="pct"/>
            <w:vAlign w:val="bottom"/>
          </w:tcPr>
          <w:p w14:paraId="08EE2F08" w14:textId="77777777" w:rsidR="001856C5" w:rsidRPr="0086464F" w:rsidRDefault="001856C5" w:rsidP="00F50591">
            <w:pPr>
              <w:tabs>
                <w:tab w:val="right" w:pos="1202"/>
              </w:tabs>
              <w:spacing w:line="320" w:lineRule="exact"/>
              <w:outlineLvl w:val="0"/>
              <w:rPr>
                <w:rFonts w:ascii="Arial" w:hAnsi="Arial" w:cs="Arial"/>
                <w:b/>
                <w:bCs/>
                <w:color w:val="000000" w:themeColor="text1"/>
                <w:sz w:val="20"/>
                <w:szCs w:val="20"/>
                <w:lang w:val="hr-HR"/>
              </w:rPr>
            </w:pPr>
            <w:bookmarkStart w:id="186" w:name="_Toc67326644"/>
            <w:r w:rsidRPr="0086464F">
              <w:rPr>
                <w:rFonts w:ascii="Arial" w:hAnsi="Arial" w:cs="Arial"/>
                <w:b/>
                <w:bCs/>
                <w:color w:val="000000" w:themeColor="text1"/>
                <w:sz w:val="20"/>
                <w:szCs w:val="20"/>
                <w:lang w:val="hr-HR"/>
              </w:rPr>
              <w:t>Ukupno stavke koje se kasnije ne prenose u dobit ili gubitak</w:t>
            </w:r>
            <w:bookmarkEnd w:id="186"/>
          </w:p>
        </w:tc>
        <w:tc>
          <w:tcPr>
            <w:tcW w:w="747" w:type="pct"/>
            <w:tcBorders>
              <w:top w:val="single" w:sz="4" w:space="0" w:color="auto"/>
              <w:bottom w:val="single" w:sz="12" w:space="0" w:color="auto"/>
            </w:tcBorders>
            <w:vAlign w:val="bottom"/>
          </w:tcPr>
          <w:p w14:paraId="348F078B" w14:textId="77777777" w:rsidR="001856C5" w:rsidRPr="0086464F" w:rsidRDefault="001856C5" w:rsidP="00F50591">
            <w:pPr>
              <w:pStyle w:val="Tot"/>
              <w:jc w:val="right"/>
              <w:rPr>
                <w:rFonts w:cs="Arial"/>
                <w:b/>
                <w:bCs/>
                <w:color w:val="000000" w:themeColor="text1"/>
                <w:sz w:val="20"/>
                <w:lang w:val="hr-HR"/>
              </w:rPr>
            </w:pPr>
            <w:r w:rsidRPr="00C507E7">
              <w:rPr>
                <w:rFonts w:cs="Arial"/>
                <w:b/>
                <w:bCs/>
                <w:color w:val="000000" w:themeColor="text1"/>
                <w:sz w:val="20"/>
                <w:lang w:val="hr-HR"/>
              </w:rPr>
              <w:t>(759)</w:t>
            </w:r>
          </w:p>
        </w:tc>
        <w:tc>
          <w:tcPr>
            <w:tcW w:w="820" w:type="pct"/>
            <w:tcBorders>
              <w:top w:val="single" w:sz="4" w:space="0" w:color="auto"/>
              <w:bottom w:val="single" w:sz="12" w:space="0" w:color="auto"/>
            </w:tcBorders>
            <w:vAlign w:val="bottom"/>
          </w:tcPr>
          <w:p w14:paraId="6E213DD4" w14:textId="77777777" w:rsidR="001856C5" w:rsidRPr="0086464F" w:rsidRDefault="001856C5" w:rsidP="00F50591">
            <w:pPr>
              <w:pStyle w:val="Tot"/>
              <w:jc w:val="right"/>
              <w:rPr>
                <w:rFonts w:cs="Arial"/>
                <w:b/>
                <w:bCs/>
                <w:color w:val="000000" w:themeColor="text1"/>
                <w:sz w:val="20"/>
                <w:lang w:val="hr-HR"/>
              </w:rPr>
            </w:pPr>
            <w:bookmarkStart w:id="187" w:name="_Toc67326645"/>
            <w:r w:rsidRPr="0086464F">
              <w:rPr>
                <w:rFonts w:cs="Arial"/>
                <w:b/>
                <w:bCs/>
                <w:color w:val="000000" w:themeColor="text1"/>
                <w:sz w:val="20"/>
                <w:lang w:val="hr-HR"/>
              </w:rPr>
              <w:t>(831)</w:t>
            </w:r>
            <w:bookmarkEnd w:id="187"/>
          </w:p>
        </w:tc>
      </w:tr>
      <w:tr w:rsidR="001856C5" w:rsidRPr="0086464F" w14:paraId="053D806B" w14:textId="77777777" w:rsidTr="00F50591">
        <w:trPr>
          <w:trHeight w:hRule="exact" w:val="105"/>
        </w:trPr>
        <w:tc>
          <w:tcPr>
            <w:tcW w:w="3433" w:type="pct"/>
            <w:vAlign w:val="bottom"/>
          </w:tcPr>
          <w:p w14:paraId="22E9E0FD" w14:textId="77777777" w:rsidR="001856C5" w:rsidRPr="0086464F" w:rsidRDefault="001856C5" w:rsidP="00F50591">
            <w:pPr>
              <w:tabs>
                <w:tab w:val="right" w:pos="1202"/>
              </w:tabs>
              <w:spacing w:line="320" w:lineRule="exact"/>
              <w:outlineLvl w:val="0"/>
              <w:rPr>
                <w:rFonts w:ascii="Arial" w:hAnsi="Arial" w:cs="Arial"/>
                <w:b/>
                <w:bCs/>
                <w:color w:val="000000" w:themeColor="text1"/>
                <w:sz w:val="20"/>
                <w:szCs w:val="20"/>
                <w:lang w:val="hr-HR"/>
              </w:rPr>
            </w:pPr>
          </w:p>
        </w:tc>
        <w:tc>
          <w:tcPr>
            <w:tcW w:w="747" w:type="pct"/>
            <w:tcBorders>
              <w:top w:val="single" w:sz="12" w:space="0" w:color="auto"/>
            </w:tcBorders>
            <w:vAlign w:val="bottom"/>
          </w:tcPr>
          <w:p w14:paraId="01691631" w14:textId="77777777" w:rsidR="001856C5" w:rsidRPr="0086464F" w:rsidRDefault="001856C5" w:rsidP="00F50591">
            <w:pPr>
              <w:pStyle w:val="Thick"/>
              <w:tabs>
                <w:tab w:val="clear" w:pos="1202"/>
                <w:tab w:val="left" w:pos="146"/>
              </w:tabs>
              <w:jc w:val="right"/>
              <w:rPr>
                <w:rFonts w:cs="Arial"/>
                <w:color w:val="000000" w:themeColor="text1"/>
                <w:sz w:val="20"/>
                <w:lang w:val="hr-HR"/>
              </w:rPr>
            </w:pPr>
          </w:p>
        </w:tc>
        <w:tc>
          <w:tcPr>
            <w:tcW w:w="820" w:type="pct"/>
            <w:tcBorders>
              <w:top w:val="single" w:sz="12" w:space="0" w:color="auto"/>
            </w:tcBorders>
            <w:vAlign w:val="bottom"/>
          </w:tcPr>
          <w:p w14:paraId="378505D5" w14:textId="77777777" w:rsidR="001856C5" w:rsidRPr="0086464F" w:rsidRDefault="001856C5" w:rsidP="00F50591">
            <w:pPr>
              <w:pStyle w:val="Thick"/>
              <w:tabs>
                <w:tab w:val="clear" w:pos="1202"/>
                <w:tab w:val="left" w:pos="146"/>
              </w:tabs>
              <w:jc w:val="right"/>
              <w:rPr>
                <w:rFonts w:cs="Arial"/>
                <w:color w:val="000000" w:themeColor="text1"/>
                <w:sz w:val="20"/>
                <w:lang w:val="hr-HR"/>
              </w:rPr>
            </w:pPr>
          </w:p>
        </w:tc>
      </w:tr>
      <w:tr w:rsidR="001856C5" w:rsidRPr="0086464F" w14:paraId="41D39910" w14:textId="77777777" w:rsidTr="00F50591">
        <w:trPr>
          <w:trHeight w:val="334"/>
        </w:trPr>
        <w:tc>
          <w:tcPr>
            <w:tcW w:w="3433" w:type="pct"/>
            <w:vAlign w:val="bottom"/>
          </w:tcPr>
          <w:p w14:paraId="2374451E" w14:textId="77777777" w:rsidR="001856C5" w:rsidRPr="0086464F" w:rsidRDefault="001856C5" w:rsidP="00F50591">
            <w:pPr>
              <w:pStyle w:val="Tot"/>
              <w:rPr>
                <w:rFonts w:cs="Arial"/>
                <w:b/>
                <w:bCs/>
                <w:color w:val="000000" w:themeColor="text1"/>
                <w:sz w:val="20"/>
                <w:lang w:val="hr-HR"/>
              </w:rPr>
            </w:pPr>
            <w:bookmarkStart w:id="188" w:name="_Toc67326647"/>
            <w:r w:rsidRPr="0086464F">
              <w:rPr>
                <w:rFonts w:cs="Arial"/>
                <w:b/>
                <w:bCs/>
                <w:color w:val="000000" w:themeColor="text1"/>
                <w:sz w:val="20"/>
                <w:lang w:val="hr-HR"/>
              </w:rPr>
              <w:t>Stavke koje se kasnije mogu uračunati u dobit ili gubitak:</w:t>
            </w:r>
            <w:bookmarkEnd w:id="188"/>
          </w:p>
        </w:tc>
        <w:tc>
          <w:tcPr>
            <w:tcW w:w="747" w:type="pct"/>
            <w:vAlign w:val="bottom"/>
          </w:tcPr>
          <w:p w14:paraId="3E8C44E0" w14:textId="77777777" w:rsidR="001856C5" w:rsidRPr="0086464F" w:rsidRDefault="001856C5" w:rsidP="00F50591">
            <w:pPr>
              <w:pStyle w:val="Tot"/>
              <w:jc w:val="right"/>
              <w:rPr>
                <w:rFonts w:cs="Arial"/>
                <w:b/>
                <w:bCs/>
                <w:color w:val="000000" w:themeColor="text1"/>
                <w:sz w:val="20"/>
                <w:lang w:val="hr-HR"/>
              </w:rPr>
            </w:pPr>
          </w:p>
        </w:tc>
        <w:tc>
          <w:tcPr>
            <w:tcW w:w="820" w:type="pct"/>
            <w:vAlign w:val="bottom"/>
          </w:tcPr>
          <w:p w14:paraId="263B08F6" w14:textId="77777777" w:rsidR="001856C5" w:rsidRPr="0086464F" w:rsidRDefault="001856C5" w:rsidP="00F50591">
            <w:pPr>
              <w:pStyle w:val="Tot"/>
              <w:jc w:val="right"/>
              <w:rPr>
                <w:rFonts w:cs="Arial"/>
                <w:b/>
                <w:bCs/>
                <w:color w:val="000000" w:themeColor="text1"/>
                <w:sz w:val="20"/>
                <w:lang w:val="hr-HR"/>
              </w:rPr>
            </w:pPr>
          </w:p>
        </w:tc>
      </w:tr>
      <w:tr w:rsidR="001856C5" w:rsidRPr="0086464F" w14:paraId="5CC57F94" w14:textId="77777777" w:rsidTr="00F50591">
        <w:trPr>
          <w:trHeight w:hRule="exact" w:val="644"/>
        </w:trPr>
        <w:tc>
          <w:tcPr>
            <w:tcW w:w="3433" w:type="pct"/>
            <w:vAlign w:val="bottom"/>
          </w:tcPr>
          <w:p w14:paraId="6DA3D087" w14:textId="77777777" w:rsidR="001856C5" w:rsidRPr="0086464F" w:rsidRDefault="001856C5" w:rsidP="00F50591">
            <w:pPr>
              <w:pStyle w:val="Tot"/>
              <w:rPr>
                <w:rFonts w:cs="Arial"/>
                <w:bCs/>
                <w:color w:val="000000" w:themeColor="text1"/>
                <w:sz w:val="20"/>
                <w:lang w:val="hr-HR"/>
              </w:rPr>
            </w:pPr>
            <w:bookmarkStart w:id="189" w:name="_Toc67326648"/>
            <w:r w:rsidRPr="0086464F">
              <w:rPr>
                <w:rFonts w:cs="Arial"/>
                <w:bCs/>
                <w:color w:val="000000" w:themeColor="text1"/>
                <w:sz w:val="20"/>
                <w:lang w:val="hr-HR"/>
              </w:rPr>
              <w:t>Neto promjene financijske imovine po fer vrijednosti kroz ostalu sveobuhvatnu dobit</w:t>
            </w:r>
            <w:bookmarkEnd w:id="189"/>
          </w:p>
        </w:tc>
        <w:tc>
          <w:tcPr>
            <w:tcW w:w="747" w:type="pct"/>
            <w:tcBorders>
              <w:top w:val="nil"/>
              <w:left w:val="nil"/>
              <w:bottom w:val="nil"/>
              <w:right w:val="nil"/>
            </w:tcBorders>
            <w:shd w:val="clear" w:color="auto" w:fill="auto"/>
            <w:vAlign w:val="bottom"/>
          </w:tcPr>
          <w:p w14:paraId="4083C374" w14:textId="77777777" w:rsidR="001856C5" w:rsidRPr="0086464F" w:rsidRDefault="001856C5" w:rsidP="00F50591">
            <w:pPr>
              <w:pStyle w:val="Tot"/>
              <w:jc w:val="right"/>
              <w:rPr>
                <w:rFonts w:cs="Arial"/>
                <w:color w:val="000000" w:themeColor="text1"/>
                <w:sz w:val="20"/>
                <w:lang w:val="hr-HR"/>
              </w:rPr>
            </w:pPr>
            <w:r w:rsidRPr="00C507E7">
              <w:rPr>
                <w:rFonts w:cs="Arial"/>
                <w:color w:val="000000" w:themeColor="text1"/>
                <w:sz w:val="20"/>
                <w:lang w:val="hr-HR"/>
              </w:rPr>
              <w:t>(72.310)</w:t>
            </w:r>
          </w:p>
        </w:tc>
        <w:tc>
          <w:tcPr>
            <w:tcW w:w="820" w:type="pct"/>
            <w:tcBorders>
              <w:top w:val="nil"/>
              <w:left w:val="nil"/>
              <w:bottom w:val="nil"/>
              <w:right w:val="nil"/>
            </w:tcBorders>
            <w:shd w:val="clear" w:color="auto" w:fill="auto"/>
            <w:vAlign w:val="bottom"/>
          </w:tcPr>
          <w:p w14:paraId="19EE0F16" w14:textId="77777777" w:rsidR="001856C5" w:rsidRPr="0086464F" w:rsidRDefault="001856C5" w:rsidP="00F50591">
            <w:pPr>
              <w:pStyle w:val="Tot"/>
              <w:jc w:val="right"/>
              <w:rPr>
                <w:rFonts w:cs="Arial"/>
                <w:bCs/>
                <w:color w:val="000000" w:themeColor="text1"/>
                <w:sz w:val="20"/>
                <w:lang w:val="hr-HR"/>
              </w:rPr>
            </w:pPr>
            <w:bookmarkStart w:id="190" w:name="_Toc67326649"/>
            <w:r w:rsidRPr="0086464F">
              <w:rPr>
                <w:rFonts w:cs="Arial"/>
                <w:color w:val="000000" w:themeColor="text1"/>
                <w:sz w:val="20"/>
                <w:lang w:val="hr-HR"/>
              </w:rPr>
              <w:t>(24.513)</w:t>
            </w:r>
            <w:bookmarkEnd w:id="190"/>
          </w:p>
        </w:tc>
      </w:tr>
      <w:tr w:rsidR="001856C5" w:rsidRPr="0086464F" w14:paraId="2188443E" w14:textId="77777777" w:rsidTr="00F50591">
        <w:trPr>
          <w:trHeight w:hRule="exact" w:val="466"/>
        </w:trPr>
        <w:tc>
          <w:tcPr>
            <w:tcW w:w="3433" w:type="pct"/>
            <w:vAlign w:val="bottom"/>
          </w:tcPr>
          <w:p w14:paraId="1FBC40A3" w14:textId="77777777" w:rsidR="001856C5" w:rsidRPr="0086464F" w:rsidRDefault="001856C5" w:rsidP="00F50591">
            <w:pPr>
              <w:pStyle w:val="Tot"/>
              <w:rPr>
                <w:rFonts w:cs="Arial"/>
                <w:bCs/>
                <w:color w:val="000000" w:themeColor="text1"/>
                <w:sz w:val="20"/>
                <w:lang w:val="hr-HR"/>
              </w:rPr>
            </w:pPr>
            <w:bookmarkStart w:id="191" w:name="_Toc67326651"/>
            <w:r w:rsidRPr="0086464F">
              <w:rPr>
                <w:rFonts w:cs="Arial"/>
                <w:bCs/>
                <w:color w:val="000000" w:themeColor="text1"/>
                <w:sz w:val="20"/>
                <w:lang w:val="hr-HR"/>
              </w:rPr>
              <w:t>Neto tečajne razlike po vlasničkim vrijednosnim papirima</w:t>
            </w:r>
            <w:bookmarkEnd w:id="191"/>
          </w:p>
        </w:tc>
        <w:tc>
          <w:tcPr>
            <w:tcW w:w="747" w:type="pct"/>
            <w:tcBorders>
              <w:top w:val="nil"/>
              <w:left w:val="nil"/>
              <w:bottom w:val="nil"/>
              <w:right w:val="nil"/>
            </w:tcBorders>
            <w:shd w:val="clear" w:color="auto" w:fill="auto"/>
            <w:vAlign w:val="bottom"/>
          </w:tcPr>
          <w:p w14:paraId="140867F6" w14:textId="77777777" w:rsidR="001856C5" w:rsidRPr="0086464F" w:rsidRDefault="001856C5" w:rsidP="00F50591">
            <w:pPr>
              <w:pStyle w:val="Tot"/>
              <w:jc w:val="right"/>
              <w:rPr>
                <w:rFonts w:cs="Arial"/>
                <w:color w:val="000000" w:themeColor="text1"/>
                <w:sz w:val="20"/>
                <w:lang w:val="hr-HR"/>
              </w:rPr>
            </w:pPr>
            <w:r w:rsidRPr="00C507E7">
              <w:rPr>
                <w:rFonts w:cs="Arial"/>
                <w:color w:val="000000" w:themeColor="text1"/>
                <w:sz w:val="20"/>
                <w:lang w:val="hr-HR"/>
              </w:rPr>
              <w:t>87</w:t>
            </w:r>
          </w:p>
        </w:tc>
        <w:tc>
          <w:tcPr>
            <w:tcW w:w="820" w:type="pct"/>
            <w:tcBorders>
              <w:top w:val="nil"/>
              <w:left w:val="nil"/>
              <w:bottom w:val="nil"/>
              <w:right w:val="nil"/>
            </w:tcBorders>
            <w:shd w:val="clear" w:color="auto" w:fill="auto"/>
            <w:vAlign w:val="bottom"/>
          </w:tcPr>
          <w:p w14:paraId="21890B6E" w14:textId="77777777" w:rsidR="001856C5" w:rsidRPr="0086464F" w:rsidRDefault="001856C5" w:rsidP="00F50591">
            <w:pPr>
              <w:pStyle w:val="Tot"/>
              <w:jc w:val="right"/>
              <w:rPr>
                <w:rFonts w:cs="Arial"/>
                <w:color w:val="000000" w:themeColor="text1"/>
                <w:sz w:val="20"/>
                <w:lang w:val="hr-HR"/>
              </w:rPr>
            </w:pPr>
            <w:bookmarkStart w:id="192" w:name="_Toc67326652"/>
            <w:r w:rsidRPr="0086464F">
              <w:rPr>
                <w:rFonts w:cs="Arial"/>
                <w:color w:val="000000" w:themeColor="text1"/>
                <w:sz w:val="20"/>
                <w:lang w:val="hr-HR"/>
              </w:rPr>
              <w:t>(51)</w:t>
            </w:r>
            <w:bookmarkEnd w:id="192"/>
          </w:p>
        </w:tc>
      </w:tr>
      <w:tr w:rsidR="001856C5" w:rsidRPr="0086464F" w14:paraId="5A061883" w14:textId="77777777" w:rsidTr="00F50591">
        <w:trPr>
          <w:trHeight w:val="328"/>
        </w:trPr>
        <w:tc>
          <w:tcPr>
            <w:tcW w:w="3433" w:type="pct"/>
            <w:vAlign w:val="bottom"/>
          </w:tcPr>
          <w:p w14:paraId="03AECABB" w14:textId="77777777" w:rsidR="001856C5" w:rsidRPr="0086464F" w:rsidRDefault="001856C5" w:rsidP="00F50591">
            <w:pPr>
              <w:pStyle w:val="Tot"/>
              <w:rPr>
                <w:rFonts w:cs="Arial"/>
                <w:bCs/>
                <w:color w:val="000000" w:themeColor="text1"/>
                <w:sz w:val="20"/>
                <w:lang w:val="hr-HR"/>
              </w:rPr>
            </w:pPr>
            <w:bookmarkStart w:id="193" w:name="_Toc67326654"/>
            <w:r w:rsidRPr="0086464F">
              <w:rPr>
                <w:rFonts w:cs="Arial"/>
                <w:bCs/>
                <w:color w:val="000000" w:themeColor="text1"/>
                <w:sz w:val="20"/>
                <w:lang w:val="hr-HR"/>
              </w:rPr>
              <w:t>Odgođeni porez – ostala sveobuhvatna dobit</w:t>
            </w:r>
            <w:bookmarkEnd w:id="193"/>
          </w:p>
        </w:tc>
        <w:tc>
          <w:tcPr>
            <w:tcW w:w="747" w:type="pct"/>
            <w:tcBorders>
              <w:bottom w:val="single" w:sz="2" w:space="0" w:color="auto"/>
            </w:tcBorders>
            <w:vAlign w:val="bottom"/>
          </w:tcPr>
          <w:p w14:paraId="63A410FE" w14:textId="77777777" w:rsidR="001856C5" w:rsidRPr="0086464F" w:rsidRDefault="001856C5" w:rsidP="00F50591">
            <w:pPr>
              <w:pStyle w:val="Tot"/>
              <w:jc w:val="right"/>
              <w:rPr>
                <w:rFonts w:cs="Arial"/>
                <w:color w:val="000000" w:themeColor="text1"/>
                <w:sz w:val="20"/>
                <w:lang w:val="hr-HR"/>
              </w:rPr>
            </w:pPr>
            <w:r w:rsidRPr="00C507E7">
              <w:rPr>
                <w:rFonts w:cs="Arial"/>
                <w:color w:val="000000" w:themeColor="text1"/>
                <w:sz w:val="20"/>
                <w:lang w:val="hr-HR"/>
              </w:rPr>
              <w:t>1.737</w:t>
            </w:r>
          </w:p>
        </w:tc>
        <w:tc>
          <w:tcPr>
            <w:tcW w:w="820" w:type="pct"/>
            <w:tcBorders>
              <w:bottom w:val="single" w:sz="2" w:space="0" w:color="auto"/>
            </w:tcBorders>
            <w:vAlign w:val="bottom"/>
          </w:tcPr>
          <w:p w14:paraId="282CCECB" w14:textId="77777777" w:rsidR="001856C5" w:rsidRPr="0086464F" w:rsidRDefault="001856C5" w:rsidP="00F50591">
            <w:pPr>
              <w:pStyle w:val="Tot"/>
              <w:jc w:val="right"/>
              <w:rPr>
                <w:rFonts w:cs="Arial"/>
                <w:bCs/>
                <w:color w:val="000000" w:themeColor="text1"/>
                <w:sz w:val="20"/>
                <w:lang w:val="hr-HR"/>
              </w:rPr>
            </w:pPr>
            <w:bookmarkStart w:id="194" w:name="_Toc67326655"/>
            <w:r w:rsidRPr="0086464F">
              <w:rPr>
                <w:rFonts w:cs="Arial"/>
                <w:color w:val="000000" w:themeColor="text1"/>
                <w:sz w:val="20"/>
                <w:lang w:val="hr-HR"/>
              </w:rPr>
              <w:t>262</w:t>
            </w:r>
            <w:bookmarkEnd w:id="194"/>
          </w:p>
        </w:tc>
      </w:tr>
      <w:tr w:rsidR="001856C5" w:rsidRPr="0086464F" w14:paraId="5267B007" w14:textId="77777777" w:rsidTr="00F50591">
        <w:trPr>
          <w:trHeight w:hRule="exact" w:val="319"/>
        </w:trPr>
        <w:tc>
          <w:tcPr>
            <w:tcW w:w="3433" w:type="pct"/>
            <w:vAlign w:val="bottom"/>
          </w:tcPr>
          <w:p w14:paraId="36E74078" w14:textId="77777777" w:rsidR="001856C5" w:rsidRPr="0086464F" w:rsidRDefault="001856C5" w:rsidP="00F50591">
            <w:pPr>
              <w:tabs>
                <w:tab w:val="right" w:pos="1202"/>
              </w:tabs>
              <w:outlineLvl w:val="0"/>
              <w:rPr>
                <w:rFonts w:ascii="Arial" w:hAnsi="Arial" w:cs="Arial"/>
                <w:bCs/>
                <w:color w:val="000000" w:themeColor="text1"/>
                <w:sz w:val="20"/>
                <w:szCs w:val="20"/>
                <w:lang w:val="hr-HR"/>
              </w:rPr>
            </w:pPr>
            <w:bookmarkStart w:id="195" w:name="_Toc67326657"/>
            <w:r w:rsidRPr="0086464F">
              <w:rPr>
                <w:rFonts w:ascii="Arial" w:hAnsi="Arial" w:cs="Arial"/>
                <w:b/>
                <w:bCs/>
                <w:color w:val="000000" w:themeColor="text1"/>
                <w:sz w:val="20"/>
                <w:szCs w:val="20"/>
                <w:lang w:val="hr-HR"/>
              </w:rPr>
              <w:t>Ukupno stavke koje se kasnije mogu uračunati u dobit ili gubitak</w:t>
            </w:r>
            <w:bookmarkEnd w:id="195"/>
          </w:p>
        </w:tc>
        <w:tc>
          <w:tcPr>
            <w:tcW w:w="747" w:type="pct"/>
            <w:tcBorders>
              <w:top w:val="single" w:sz="2" w:space="0" w:color="auto"/>
              <w:bottom w:val="single" w:sz="4" w:space="0" w:color="auto"/>
            </w:tcBorders>
            <w:vAlign w:val="bottom"/>
          </w:tcPr>
          <w:p w14:paraId="60A0FE21" w14:textId="77777777" w:rsidR="001856C5" w:rsidRPr="0086464F" w:rsidRDefault="001856C5" w:rsidP="00F50591">
            <w:pPr>
              <w:pStyle w:val="Tot"/>
              <w:jc w:val="right"/>
              <w:rPr>
                <w:rFonts w:cs="Arial"/>
                <w:b/>
                <w:bCs/>
                <w:color w:val="000000" w:themeColor="text1"/>
                <w:sz w:val="20"/>
                <w:lang w:val="hr-HR"/>
              </w:rPr>
            </w:pPr>
            <w:r w:rsidRPr="00C507E7">
              <w:rPr>
                <w:rFonts w:cs="Arial"/>
                <w:b/>
                <w:bCs/>
                <w:color w:val="000000" w:themeColor="text1"/>
                <w:sz w:val="20"/>
                <w:lang w:val="hr-HR"/>
              </w:rPr>
              <w:t>(70.486)</w:t>
            </w:r>
          </w:p>
        </w:tc>
        <w:tc>
          <w:tcPr>
            <w:tcW w:w="820" w:type="pct"/>
            <w:tcBorders>
              <w:top w:val="single" w:sz="2" w:space="0" w:color="auto"/>
              <w:bottom w:val="single" w:sz="4" w:space="0" w:color="auto"/>
            </w:tcBorders>
            <w:vAlign w:val="bottom"/>
          </w:tcPr>
          <w:p w14:paraId="1B421D38" w14:textId="77777777" w:rsidR="001856C5" w:rsidRPr="0086464F" w:rsidRDefault="001856C5" w:rsidP="00F50591">
            <w:pPr>
              <w:pStyle w:val="Tot"/>
              <w:jc w:val="right"/>
              <w:rPr>
                <w:rFonts w:cs="Arial"/>
                <w:b/>
                <w:bCs/>
                <w:color w:val="000000" w:themeColor="text1"/>
                <w:sz w:val="20"/>
                <w:lang w:val="hr-HR"/>
              </w:rPr>
            </w:pPr>
            <w:bookmarkStart w:id="196" w:name="_Toc67326658"/>
            <w:r w:rsidRPr="0086464F">
              <w:rPr>
                <w:rFonts w:cs="Arial"/>
                <w:b/>
                <w:bCs/>
                <w:color w:val="000000" w:themeColor="text1"/>
                <w:sz w:val="20"/>
                <w:lang w:val="hr-HR"/>
              </w:rPr>
              <w:t>(24.302)</w:t>
            </w:r>
            <w:bookmarkEnd w:id="196"/>
          </w:p>
        </w:tc>
      </w:tr>
      <w:tr w:rsidR="001856C5" w:rsidRPr="0086464F" w14:paraId="0D6DE00D" w14:textId="77777777" w:rsidTr="00F50591">
        <w:trPr>
          <w:trHeight w:hRule="exact" w:val="170"/>
        </w:trPr>
        <w:tc>
          <w:tcPr>
            <w:tcW w:w="3433" w:type="pct"/>
            <w:vAlign w:val="bottom"/>
          </w:tcPr>
          <w:p w14:paraId="6ED8EFB5" w14:textId="77777777" w:rsidR="001856C5" w:rsidRPr="0086464F" w:rsidRDefault="001856C5" w:rsidP="00F50591">
            <w:pPr>
              <w:tabs>
                <w:tab w:val="right" w:pos="1202"/>
              </w:tabs>
              <w:outlineLvl w:val="0"/>
              <w:rPr>
                <w:rFonts w:ascii="Arial" w:hAnsi="Arial" w:cs="Arial"/>
                <w:b/>
                <w:bCs/>
                <w:color w:val="000000" w:themeColor="text1"/>
                <w:sz w:val="20"/>
                <w:szCs w:val="20"/>
                <w:lang w:val="hr-HR"/>
              </w:rPr>
            </w:pPr>
          </w:p>
        </w:tc>
        <w:tc>
          <w:tcPr>
            <w:tcW w:w="747" w:type="pct"/>
            <w:tcBorders>
              <w:top w:val="single" w:sz="2" w:space="0" w:color="auto"/>
            </w:tcBorders>
            <w:vAlign w:val="bottom"/>
          </w:tcPr>
          <w:p w14:paraId="1370D390" w14:textId="77777777" w:rsidR="001856C5" w:rsidRPr="0086464F" w:rsidRDefault="001856C5" w:rsidP="00F50591">
            <w:pPr>
              <w:pStyle w:val="Tot"/>
              <w:jc w:val="right"/>
              <w:rPr>
                <w:rFonts w:cs="Arial"/>
                <w:b/>
                <w:bCs/>
                <w:color w:val="000000" w:themeColor="text1"/>
                <w:sz w:val="20"/>
                <w:lang w:val="hr-HR"/>
              </w:rPr>
            </w:pPr>
          </w:p>
        </w:tc>
        <w:tc>
          <w:tcPr>
            <w:tcW w:w="820" w:type="pct"/>
            <w:tcBorders>
              <w:top w:val="single" w:sz="2" w:space="0" w:color="auto"/>
            </w:tcBorders>
            <w:vAlign w:val="bottom"/>
          </w:tcPr>
          <w:p w14:paraId="6A7108DC" w14:textId="77777777" w:rsidR="001856C5" w:rsidRPr="0086464F" w:rsidRDefault="001856C5" w:rsidP="00F50591">
            <w:pPr>
              <w:pStyle w:val="Tot"/>
              <w:jc w:val="right"/>
              <w:rPr>
                <w:rFonts w:cs="Arial"/>
                <w:b/>
                <w:bCs/>
                <w:color w:val="000000" w:themeColor="text1"/>
                <w:sz w:val="20"/>
                <w:lang w:val="hr-HR"/>
              </w:rPr>
            </w:pPr>
          </w:p>
        </w:tc>
      </w:tr>
      <w:tr w:rsidR="001856C5" w:rsidRPr="0086464F" w14:paraId="59945174" w14:textId="77777777" w:rsidTr="00F50591">
        <w:trPr>
          <w:trHeight w:hRule="exact" w:val="319"/>
        </w:trPr>
        <w:tc>
          <w:tcPr>
            <w:tcW w:w="3433" w:type="pct"/>
            <w:vAlign w:val="bottom"/>
          </w:tcPr>
          <w:p w14:paraId="4B391D6D" w14:textId="77777777" w:rsidR="001856C5" w:rsidRPr="0086464F" w:rsidRDefault="001856C5" w:rsidP="00F50591">
            <w:pPr>
              <w:tabs>
                <w:tab w:val="right" w:pos="1202"/>
              </w:tabs>
              <w:outlineLvl w:val="0"/>
              <w:rPr>
                <w:rFonts w:ascii="Arial" w:hAnsi="Arial" w:cs="Arial"/>
                <w:b/>
                <w:bCs/>
                <w:color w:val="000000" w:themeColor="text1"/>
                <w:sz w:val="20"/>
                <w:szCs w:val="20"/>
                <w:lang w:val="hr-HR"/>
              </w:rPr>
            </w:pPr>
            <w:bookmarkStart w:id="197" w:name="_Toc67326660"/>
            <w:r w:rsidRPr="0086464F">
              <w:rPr>
                <w:rFonts w:ascii="Arial" w:hAnsi="Arial" w:cs="Arial"/>
                <w:b/>
                <w:bCs/>
                <w:color w:val="000000" w:themeColor="text1"/>
                <w:sz w:val="20"/>
                <w:szCs w:val="20"/>
                <w:lang w:val="hr-HR"/>
              </w:rPr>
              <w:t>Ostala sveobuhvatna dobit nakon oporezivanja</w:t>
            </w:r>
            <w:bookmarkEnd w:id="197"/>
          </w:p>
        </w:tc>
        <w:tc>
          <w:tcPr>
            <w:tcW w:w="747" w:type="pct"/>
            <w:tcBorders>
              <w:bottom w:val="single" w:sz="4" w:space="0" w:color="auto"/>
            </w:tcBorders>
            <w:vAlign w:val="bottom"/>
          </w:tcPr>
          <w:p w14:paraId="692ABC1B" w14:textId="77777777" w:rsidR="001856C5" w:rsidRPr="0086464F" w:rsidRDefault="001856C5" w:rsidP="00F50591">
            <w:pPr>
              <w:pStyle w:val="Tot"/>
              <w:jc w:val="right"/>
              <w:rPr>
                <w:rFonts w:cs="Arial"/>
                <w:b/>
                <w:bCs/>
                <w:color w:val="000000" w:themeColor="text1"/>
                <w:sz w:val="20"/>
                <w:lang w:val="hr-HR"/>
              </w:rPr>
            </w:pPr>
            <w:r w:rsidRPr="00C507E7">
              <w:rPr>
                <w:rFonts w:cs="Arial"/>
                <w:b/>
                <w:bCs/>
                <w:color w:val="000000" w:themeColor="text1"/>
                <w:sz w:val="20"/>
                <w:lang w:val="hr-HR"/>
              </w:rPr>
              <w:t>(71.245)</w:t>
            </w:r>
          </w:p>
        </w:tc>
        <w:tc>
          <w:tcPr>
            <w:tcW w:w="820" w:type="pct"/>
            <w:tcBorders>
              <w:bottom w:val="single" w:sz="4" w:space="0" w:color="auto"/>
            </w:tcBorders>
            <w:vAlign w:val="bottom"/>
          </w:tcPr>
          <w:p w14:paraId="277F4C06" w14:textId="77777777" w:rsidR="001856C5" w:rsidRPr="0086464F" w:rsidRDefault="001856C5" w:rsidP="00F50591">
            <w:pPr>
              <w:pStyle w:val="Tot"/>
              <w:jc w:val="right"/>
              <w:rPr>
                <w:rFonts w:cs="Arial"/>
                <w:b/>
                <w:bCs/>
                <w:color w:val="000000" w:themeColor="text1"/>
                <w:sz w:val="20"/>
                <w:lang w:val="hr-HR"/>
              </w:rPr>
            </w:pPr>
            <w:bookmarkStart w:id="198" w:name="_Toc67326661"/>
            <w:r w:rsidRPr="0086464F">
              <w:rPr>
                <w:rFonts w:cs="Arial"/>
                <w:b/>
                <w:bCs/>
                <w:color w:val="000000" w:themeColor="text1"/>
                <w:sz w:val="20"/>
                <w:lang w:val="hr-HR"/>
              </w:rPr>
              <w:t>(25.133)</w:t>
            </w:r>
            <w:bookmarkEnd w:id="198"/>
          </w:p>
        </w:tc>
      </w:tr>
      <w:tr w:rsidR="001856C5" w:rsidRPr="0086464F" w14:paraId="4802D2C0" w14:textId="77777777" w:rsidTr="00F50591">
        <w:trPr>
          <w:trHeight w:hRule="exact" w:val="170"/>
        </w:trPr>
        <w:tc>
          <w:tcPr>
            <w:tcW w:w="3433" w:type="pct"/>
            <w:vAlign w:val="bottom"/>
          </w:tcPr>
          <w:p w14:paraId="2A05AFBA" w14:textId="77777777" w:rsidR="001856C5" w:rsidRPr="0086464F" w:rsidRDefault="001856C5" w:rsidP="00F50591">
            <w:pPr>
              <w:tabs>
                <w:tab w:val="right" w:pos="1202"/>
              </w:tabs>
              <w:outlineLvl w:val="0"/>
              <w:rPr>
                <w:rFonts w:ascii="Arial" w:hAnsi="Arial" w:cs="Arial"/>
                <w:b/>
                <w:bCs/>
                <w:color w:val="000000" w:themeColor="text1"/>
                <w:sz w:val="20"/>
                <w:szCs w:val="20"/>
                <w:lang w:val="hr-HR"/>
              </w:rPr>
            </w:pPr>
          </w:p>
        </w:tc>
        <w:tc>
          <w:tcPr>
            <w:tcW w:w="747" w:type="pct"/>
            <w:tcBorders>
              <w:top w:val="single" w:sz="4" w:space="0" w:color="auto"/>
            </w:tcBorders>
            <w:vAlign w:val="bottom"/>
          </w:tcPr>
          <w:p w14:paraId="37332B38" w14:textId="77777777" w:rsidR="001856C5" w:rsidRPr="0086464F" w:rsidRDefault="001856C5" w:rsidP="00F50591">
            <w:pPr>
              <w:pStyle w:val="Tot"/>
              <w:jc w:val="right"/>
              <w:rPr>
                <w:rFonts w:cs="Arial"/>
                <w:b/>
                <w:bCs/>
                <w:color w:val="000000" w:themeColor="text1"/>
                <w:sz w:val="20"/>
                <w:lang w:val="hr-HR"/>
              </w:rPr>
            </w:pPr>
          </w:p>
        </w:tc>
        <w:tc>
          <w:tcPr>
            <w:tcW w:w="820" w:type="pct"/>
            <w:tcBorders>
              <w:top w:val="single" w:sz="4" w:space="0" w:color="auto"/>
            </w:tcBorders>
            <w:vAlign w:val="bottom"/>
          </w:tcPr>
          <w:p w14:paraId="410DC31C" w14:textId="77777777" w:rsidR="001856C5" w:rsidRPr="0086464F" w:rsidRDefault="001856C5" w:rsidP="00F50591">
            <w:pPr>
              <w:pStyle w:val="Tot"/>
              <w:jc w:val="right"/>
              <w:rPr>
                <w:rFonts w:cs="Arial"/>
                <w:b/>
                <w:bCs/>
                <w:color w:val="000000" w:themeColor="text1"/>
                <w:sz w:val="20"/>
                <w:lang w:val="hr-HR"/>
              </w:rPr>
            </w:pPr>
          </w:p>
        </w:tc>
      </w:tr>
      <w:tr w:rsidR="001856C5" w:rsidRPr="0086464F" w14:paraId="1F8F4A27" w14:textId="77777777" w:rsidTr="00F50591">
        <w:trPr>
          <w:trHeight w:val="317"/>
        </w:trPr>
        <w:tc>
          <w:tcPr>
            <w:tcW w:w="3433" w:type="pct"/>
            <w:vAlign w:val="bottom"/>
          </w:tcPr>
          <w:p w14:paraId="2F5BF7D4" w14:textId="77777777" w:rsidR="001856C5" w:rsidRPr="0086464F" w:rsidRDefault="001856C5" w:rsidP="00F50591">
            <w:pPr>
              <w:pStyle w:val="Tot"/>
              <w:rPr>
                <w:rFonts w:cs="Arial"/>
                <w:b/>
                <w:bCs/>
                <w:color w:val="000000" w:themeColor="text1"/>
                <w:sz w:val="20"/>
                <w:lang w:val="hr-HR"/>
              </w:rPr>
            </w:pPr>
            <w:bookmarkStart w:id="199" w:name="_Toc67326663"/>
            <w:r w:rsidRPr="0086464F">
              <w:rPr>
                <w:rFonts w:cs="Arial"/>
                <w:b/>
                <w:bCs/>
                <w:color w:val="000000" w:themeColor="text1"/>
                <w:sz w:val="20"/>
                <w:lang w:val="hr-HR"/>
              </w:rPr>
              <w:t>Ukupna sveobuhvatna dobit nakon oporezivanja</w:t>
            </w:r>
            <w:bookmarkEnd w:id="199"/>
          </w:p>
        </w:tc>
        <w:tc>
          <w:tcPr>
            <w:tcW w:w="747" w:type="pct"/>
            <w:tcBorders>
              <w:bottom w:val="single" w:sz="12" w:space="0" w:color="auto"/>
            </w:tcBorders>
            <w:vAlign w:val="bottom"/>
          </w:tcPr>
          <w:p w14:paraId="763F3EF4" w14:textId="77777777" w:rsidR="001856C5" w:rsidRPr="0086464F" w:rsidRDefault="001856C5" w:rsidP="00F50591">
            <w:pPr>
              <w:pStyle w:val="Tot"/>
              <w:jc w:val="right"/>
              <w:rPr>
                <w:rFonts w:cs="Arial"/>
                <w:b/>
                <w:bCs/>
                <w:color w:val="000000" w:themeColor="text1"/>
                <w:sz w:val="20"/>
                <w:lang w:val="hr-HR"/>
              </w:rPr>
            </w:pPr>
            <w:r w:rsidRPr="00C507E7">
              <w:rPr>
                <w:rFonts w:cs="Arial"/>
                <w:b/>
                <w:bCs/>
                <w:color w:val="000000" w:themeColor="text1"/>
                <w:sz w:val="20"/>
                <w:lang w:val="hr-HR"/>
              </w:rPr>
              <w:t>118.213</w:t>
            </w:r>
          </w:p>
        </w:tc>
        <w:tc>
          <w:tcPr>
            <w:tcW w:w="820" w:type="pct"/>
            <w:tcBorders>
              <w:bottom w:val="single" w:sz="12" w:space="0" w:color="auto"/>
            </w:tcBorders>
            <w:vAlign w:val="bottom"/>
          </w:tcPr>
          <w:p w14:paraId="735F06A8" w14:textId="77777777" w:rsidR="001856C5" w:rsidRPr="0086464F" w:rsidRDefault="001856C5" w:rsidP="00F50591">
            <w:pPr>
              <w:pStyle w:val="Tot"/>
              <w:jc w:val="right"/>
              <w:rPr>
                <w:rFonts w:cs="Arial"/>
                <w:b/>
                <w:bCs/>
                <w:color w:val="000000" w:themeColor="text1"/>
                <w:sz w:val="20"/>
                <w:lang w:val="hr-HR"/>
              </w:rPr>
            </w:pPr>
            <w:bookmarkStart w:id="200" w:name="_Toc67326664"/>
            <w:r w:rsidRPr="0086464F">
              <w:rPr>
                <w:rFonts w:cs="Arial"/>
                <w:b/>
                <w:bCs/>
                <w:color w:val="000000" w:themeColor="text1"/>
                <w:sz w:val="20"/>
                <w:lang w:val="hr-HR"/>
              </w:rPr>
              <w:t>163.052</w:t>
            </w:r>
            <w:bookmarkEnd w:id="200"/>
          </w:p>
        </w:tc>
      </w:tr>
      <w:tr w:rsidR="001856C5" w:rsidRPr="0086464F" w14:paraId="539F6ED4" w14:textId="77777777" w:rsidTr="00F50591">
        <w:trPr>
          <w:trHeight w:val="283"/>
        </w:trPr>
        <w:tc>
          <w:tcPr>
            <w:tcW w:w="3433" w:type="pct"/>
            <w:vAlign w:val="bottom"/>
          </w:tcPr>
          <w:p w14:paraId="571C7C07" w14:textId="77777777" w:rsidR="001856C5" w:rsidRPr="0086464F" w:rsidRDefault="001856C5" w:rsidP="00F50591">
            <w:pPr>
              <w:pStyle w:val="Tot"/>
              <w:spacing w:line="301" w:lineRule="exact"/>
              <w:rPr>
                <w:rFonts w:cs="Arial"/>
                <w:b/>
                <w:bCs/>
                <w:color w:val="000000" w:themeColor="text1"/>
                <w:sz w:val="20"/>
                <w:lang w:val="hr-HR"/>
              </w:rPr>
            </w:pPr>
            <w:bookmarkStart w:id="201" w:name="_Toc67326666"/>
            <w:r w:rsidRPr="0086464F">
              <w:rPr>
                <w:rFonts w:cs="Arial"/>
                <w:b/>
                <w:bCs/>
                <w:color w:val="000000" w:themeColor="text1"/>
                <w:sz w:val="20"/>
                <w:lang w:val="hr-HR"/>
              </w:rPr>
              <w:t>Ukupna sveobuhvatna dobit:</w:t>
            </w:r>
            <w:bookmarkEnd w:id="201"/>
          </w:p>
        </w:tc>
        <w:tc>
          <w:tcPr>
            <w:tcW w:w="747" w:type="pct"/>
            <w:vAlign w:val="bottom"/>
          </w:tcPr>
          <w:p w14:paraId="7ACF0BC8" w14:textId="77777777" w:rsidR="001856C5" w:rsidRPr="0086464F" w:rsidRDefault="001856C5" w:rsidP="00F50591">
            <w:pPr>
              <w:pStyle w:val="Thick"/>
              <w:tabs>
                <w:tab w:val="clear" w:pos="1202"/>
              </w:tabs>
              <w:spacing w:line="301" w:lineRule="exact"/>
              <w:jc w:val="right"/>
              <w:rPr>
                <w:rFonts w:cs="Arial"/>
                <w:color w:val="000000" w:themeColor="text1"/>
                <w:sz w:val="20"/>
                <w:u w:val="none"/>
                <w:lang w:val="hr-HR"/>
              </w:rPr>
            </w:pPr>
          </w:p>
        </w:tc>
        <w:tc>
          <w:tcPr>
            <w:tcW w:w="820" w:type="pct"/>
            <w:vAlign w:val="bottom"/>
          </w:tcPr>
          <w:p w14:paraId="7403DF6E" w14:textId="77777777" w:rsidR="001856C5" w:rsidRPr="0086464F" w:rsidRDefault="001856C5" w:rsidP="00F50591">
            <w:pPr>
              <w:pStyle w:val="Thick"/>
              <w:tabs>
                <w:tab w:val="clear" w:pos="1202"/>
              </w:tabs>
              <w:spacing w:line="301" w:lineRule="exact"/>
              <w:jc w:val="right"/>
              <w:rPr>
                <w:rFonts w:cs="Arial"/>
                <w:color w:val="000000" w:themeColor="text1"/>
                <w:sz w:val="20"/>
                <w:u w:val="none"/>
                <w:lang w:val="hr-HR"/>
              </w:rPr>
            </w:pPr>
          </w:p>
        </w:tc>
      </w:tr>
      <w:tr w:rsidR="001856C5" w:rsidRPr="0086464F" w14:paraId="5A49EFBF" w14:textId="77777777" w:rsidTr="00F50591">
        <w:trPr>
          <w:trHeight w:val="294"/>
        </w:trPr>
        <w:tc>
          <w:tcPr>
            <w:tcW w:w="3433" w:type="pct"/>
            <w:vAlign w:val="bottom"/>
          </w:tcPr>
          <w:p w14:paraId="266B9C33" w14:textId="77777777" w:rsidR="001856C5" w:rsidRPr="0086464F" w:rsidRDefault="001856C5" w:rsidP="00F50591">
            <w:pPr>
              <w:pStyle w:val="Tot"/>
              <w:spacing w:line="301" w:lineRule="exact"/>
              <w:rPr>
                <w:rFonts w:cs="Arial"/>
                <w:b/>
                <w:bCs/>
                <w:color w:val="000000" w:themeColor="text1"/>
                <w:sz w:val="20"/>
                <w:lang w:val="hr-HR"/>
              </w:rPr>
            </w:pPr>
            <w:bookmarkStart w:id="202" w:name="_Toc67326667"/>
            <w:r w:rsidRPr="0086464F">
              <w:rPr>
                <w:rFonts w:cs="Arial"/>
                <w:b/>
                <w:bCs/>
                <w:color w:val="000000" w:themeColor="text1"/>
                <w:sz w:val="20"/>
                <w:lang w:val="hr-HR"/>
              </w:rPr>
              <w:t>Vlasniku društva</w:t>
            </w:r>
            <w:bookmarkEnd w:id="202"/>
          </w:p>
        </w:tc>
        <w:tc>
          <w:tcPr>
            <w:tcW w:w="747" w:type="pct"/>
            <w:tcBorders>
              <w:bottom w:val="single" w:sz="12" w:space="0" w:color="auto"/>
            </w:tcBorders>
            <w:vAlign w:val="bottom"/>
          </w:tcPr>
          <w:p w14:paraId="09541A8F" w14:textId="77777777" w:rsidR="001856C5" w:rsidRPr="0086464F" w:rsidRDefault="001856C5" w:rsidP="00F50591">
            <w:pPr>
              <w:pStyle w:val="Tot"/>
              <w:jc w:val="right"/>
              <w:rPr>
                <w:rFonts w:cs="Arial"/>
                <w:b/>
                <w:bCs/>
                <w:color w:val="000000" w:themeColor="text1"/>
                <w:sz w:val="20"/>
                <w:lang w:val="hr-HR"/>
              </w:rPr>
            </w:pPr>
            <w:r w:rsidRPr="00C507E7">
              <w:rPr>
                <w:rFonts w:cs="Arial"/>
                <w:b/>
                <w:bCs/>
                <w:color w:val="000000" w:themeColor="text1"/>
                <w:sz w:val="20"/>
                <w:lang w:val="hr-HR"/>
              </w:rPr>
              <w:t>118.213</w:t>
            </w:r>
          </w:p>
        </w:tc>
        <w:tc>
          <w:tcPr>
            <w:tcW w:w="820" w:type="pct"/>
            <w:tcBorders>
              <w:bottom w:val="single" w:sz="12" w:space="0" w:color="auto"/>
            </w:tcBorders>
            <w:vAlign w:val="bottom"/>
          </w:tcPr>
          <w:p w14:paraId="7A8BA51B" w14:textId="77777777" w:rsidR="001856C5" w:rsidRPr="0086464F" w:rsidRDefault="001856C5" w:rsidP="00F50591">
            <w:pPr>
              <w:pStyle w:val="Tot"/>
              <w:jc w:val="right"/>
              <w:rPr>
                <w:rFonts w:cs="Arial"/>
                <w:b/>
                <w:bCs/>
                <w:color w:val="000000" w:themeColor="text1"/>
                <w:sz w:val="20"/>
                <w:lang w:val="hr-HR"/>
              </w:rPr>
            </w:pPr>
            <w:bookmarkStart w:id="203" w:name="_Toc67326668"/>
            <w:r w:rsidRPr="0086464F">
              <w:rPr>
                <w:rFonts w:cs="Arial"/>
                <w:b/>
                <w:bCs/>
                <w:color w:val="000000" w:themeColor="text1"/>
                <w:sz w:val="20"/>
                <w:lang w:val="hr-HR"/>
              </w:rPr>
              <w:t>163.052</w:t>
            </w:r>
            <w:bookmarkEnd w:id="203"/>
          </w:p>
        </w:tc>
      </w:tr>
    </w:tbl>
    <w:p w14:paraId="617F64CD" w14:textId="77777777" w:rsidR="001856C5" w:rsidRPr="00B91D09" w:rsidRDefault="001856C5" w:rsidP="001856C5">
      <w:pPr>
        <w:pStyle w:val="T1"/>
        <w:keepNext w:val="0"/>
        <w:spacing w:before="0" w:after="0" w:line="240" w:lineRule="atLeast"/>
        <w:rPr>
          <w:rFonts w:cs="Arial"/>
          <w:b w:val="0"/>
          <w:bCs w:val="0"/>
          <w:color w:val="000000" w:themeColor="text1"/>
          <w:sz w:val="22"/>
          <w:szCs w:val="22"/>
          <w:lang w:val="hr-HR"/>
        </w:rPr>
      </w:pPr>
    </w:p>
    <w:p w14:paraId="6F4AF452" w14:textId="4966EE5A" w:rsidR="001856C5" w:rsidRDefault="001856C5" w:rsidP="001856C5">
      <w:pPr>
        <w:pStyle w:val="T1"/>
        <w:keepNext w:val="0"/>
        <w:spacing w:before="0" w:after="0" w:line="240" w:lineRule="auto"/>
        <w:rPr>
          <w:rFonts w:cs="Arial"/>
          <w:b w:val="0"/>
          <w:bCs w:val="0"/>
          <w:color w:val="000000" w:themeColor="text1"/>
          <w:sz w:val="22"/>
          <w:szCs w:val="22"/>
          <w:lang w:val="hr-HR"/>
        </w:rPr>
      </w:pPr>
    </w:p>
    <w:p w14:paraId="0CD2DD8C" w14:textId="77777777" w:rsidR="00F50591" w:rsidRPr="00B91D09" w:rsidRDefault="00F50591" w:rsidP="001856C5">
      <w:pPr>
        <w:pStyle w:val="T1"/>
        <w:keepNext w:val="0"/>
        <w:spacing w:before="0" w:after="0" w:line="240" w:lineRule="auto"/>
        <w:rPr>
          <w:rFonts w:cs="Arial"/>
          <w:b w:val="0"/>
          <w:bCs w:val="0"/>
          <w:color w:val="000000" w:themeColor="text1"/>
          <w:sz w:val="22"/>
          <w:szCs w:val="22"/>
          <w:lang w:val="hr-HR"/>
        </w:rPr>
      </w:pPr>
    </w:p>
    <w:p w14:paraId="298BE48D" w14:textId="77777777" w:rsidR="001856C5" w:rsidRPr="00B91D09" w:rsidRDefault="001856C5" w:rsidP="001856C5">
      <w:pPr>
        <w:pStyle w:val="T1"/>
        <w:keepNext w:val="0"/>
        <w:spacing w:before="0" w:after="0" w:line="240" w:lineRule="auto"/>
        <w:rPr>
          <w:rFonts w:cs="Arial"/>
          <w:b w:val="0"/>
          <w:bCs w:val="0"/>
          <w:color w:val="000000" w:themeColor="text1"/>
          <w:sz w:val="22"/>
          <w:szCs w:val="22"/>
          <w:lang w:val="hr-HR"/>
        </w:rPr>
      </w:pPr>
    </w:p>
    <w:p w14:paraId="76CBCB50" w14:textId="77777777" w:rsidR="001856C5" w:rsidRPr="00B91D09" w:rsidRDefault="001856C5" w:rsidP="001856C5">
      <w:pPr>
        <w:pStyle w:val="T1"/>
        <w:keepNext w:val="0"/>
        <w:spacing w:before="0" w:after="0" w:line="240" w:lineRule="auto"/>
        <w:rPr>
          <w:rFonts w:cs="Arial"/>
          <w:b w:val="0"/>
          <w:bCs w:val="0"/>
          <w:color w:val="000000" w:themeColor="text1"/>
          <w:sz w:val="22"/>
          <w:szCs w:val="22"/>
          <w:lang w:val="hr-HR"/>
        </w:rPr>
      </w:pPr>
    </w:p>
    <w:p w14:paraId="0343B0F4" w14:textId="77777777" w:rsidR="001856C5" w:rsidRPr="00B91D09" w:rsidRDefault="001856C5" w:rsidP="001856C5">
      <w:pPr>
        <w:pStyle w:val="T1"/>
        <w:keepNext w:val="0"/>
        <w:spacing w:before="0" w:after="0" w:line="240" w:lineRule="auto"/>
        <w:rPr>
          <w:rFonts w:cs="Arial"/>
          <w:b w:val="0"/>
          <w:bCs w:val="0"/>
          <w:color w:val="000000" w:themeColor="text1"/>
          <w:sz w:val="22"/>
          <w:szCs w:val="22"/>
          <w:lang w:val="hr-HR"/>
        </w:rPr>
      </w:pPr>
    </w:p>
    <w:p w14:paraId="56E841E7" w14:textId="77777777" w:rsidR="001856C5" w:rsidRPr="00B91D09" w:rsidRDefault="001856C5" w:rsidP="001856C5">
      <w:pPr>
        <w:pStyle w:val="T1"/>
        <w:keepNext w:val="0"/>
        <w:spacing w:before="0" w:after="0" w:line="240" w:lineRule="auto"/>
        <w:rPr>
          <w:rFonts w:cs="Arial"/>
          <w:b w:val="0"/>
          <w:bCs w:val="0"/>
          <w:color w:val="000000" w:themeColor="text1"/>
          <w:sz w:val="22"/>
          <w:szCs w:val="22"/>
          <w:lang w:val="hr-HR"/>
        </w:rPr>
      </w:pPr>
    </w:p>
    <w:p w14:paraId="27351CC7" w14:textId="77777777" w:rsidR="001856C5" w:rsidRPr="00B91D09" w:rsidRDefault="001856C5" w:rsidP="001856C5">
      <w:pPr>
        <w:pStyle w:val="T1"/>
        <w:keepNext w:val="0"/>
        <w:spacing w:before="0" w:after="0" w:line="240" w:lineRule="auto"/>
        <w:rPr>
          <w:rFonts w:cs="Arial"/>
          <w:b w:val="0"/>
          <w:bCs w:val="0"/>
          <w:color w:val="000000" w:themeColor="text1"/>
          <w:sz w:val="22"/>
          <w:szCs w:val="22"/>
          <w:lang w:val="hr-HR"/>
        </w:rPr>
      </w:pPr>
    </w:p>
    <w:p w14:paraId="3B9DD150" w14:textId="77777777" w:rsidR="001856C5" w:rsidRPr="00B91D09" w:rsidRDefault="001856C5" w:rsidP="001856C5">
      <w:pPr>
        <w:pStyle w:val="T1"/>
        <w:keepNext w:val="0"/>
        <w:spacing w:before="0" w:after="0" w:line="240" w:lineRule="auto"/>
        <w:rPr>
          <w:rFonts w:cs="Arial"/>
          <w:b w:val="0"/>
          <w:bCs w:val="0"/>
          <w:color w:val="000000" w:themeColor="text1"/>
          <w:sz w:val="22"/>
          <w:szCs w:val="22"/>
          <w:lang w:val="hr-HR"/>
        </w:rPr>
      </w:pPr>
    </w:p>
    <w:p w14:paraId="3073CDCB" w14:textId="77777777" w:rsidR="001856C5" w:rsidRPr="00B91D09" w:rsidRDefault="001856C5" w:rsidP="001856C5">
      <w:pPr>
        <w:pStyle w:val="T1"/>
        <w:keepNext w:val="0"/>
        <w:spacing w:before="0" w:after="0" w:line="240" w:lineRule="auto"/>
        <w:rPr>
          <w:rFonts w:cs="Arial"/>
          <w:b w:val="0"/>
          <w:bCs w:val="0"/>
          <w:color w:val="000000" w:themeColor="text1"/>
          <w:sz w:val="22"/>
          <w:szCs w:val="22"/>
          <w:lang w:val="hr-HR"/>
        </w:rPr>
      </w:pPr>
    </w:p>
    <w:p w14:paraId="28C61D9C" w14:textId="77777777" w:rsidR="007E5D38" w:rsidRDefault="001856C5" w:rsidP="001856C5">
      <w:pPr>
        <w:pStyle w:val="T1"/>
        <w:keepNext w:val="0"/>
        <w:spacing w:before="0" w:after="0" w:line="240" w:lineRule="auto"/>
        <w:rPr>
          <w:rFonts w:cs="Arial"/>
          <w:b w:val="0"/>
          <w:bCs w:val="0"/>
          <w:color w:val="000000" w:themeColor="text1"/>
          <w:sz w:val="20"/>
          <w:lang w:val="hr-HR"/>
        </w:rPr>
        <w:sectPr w:rsidR="007E5D38" w:rsidSect="001856C5">
          <w:headerReference w:type="default" r:id="rId59"/>
          <w:footerReference w:type="default" r:id="rId60"/>
          <w:pgSz w:w="11906" w:h="16838"/>
          <w:pgMar w:top="1440" w:right="1440" w:bottom="1440" w:left="1440" w:header="708" w:footer="708" w:gutter="0"/>
          <w:cols w:space="708"/>
          <w:docGrid w:linePitch="360"/>
        </w:sectPr>
      </w:pPr>
      <w:r w:rsidRPr="004B4498">
        <w:rPr>
          <w:rFonts w:cs="Arial"/>
          <w:b w:val="0"/>
          <w:bCs w:val="0"/>
          <w:color w:val="000000" w:themeColor="text1"/>
          <w:sz w:val="20"/>
          <w:lang w:val="hr-HR"/>
        </w:rPr>
        <w:t>Priložene računovodstvene politike i bilješke sastavni su dio ovih financijskih izvještaja.</w:t>
      </w:r>
    </w:p>
    <w:tbl>
      <w:tblPr>
        <w:tblpPr w:leftFromText="181" w:rightFromText="181" w:vertAnchor="text" w:horzAnchor="margin" w:tblpY="392"/>
        <w:tblW w:w="9214" w:type="dxa"/>
        <w:tblLayout w:type="fixed"/>
        <w:tblLook w:val="0000" w:firstRow="0" w:lastRow="0" w:firstColumn="0" w:lastColumn="0" w:noHBand="0" w:noVBand="0"/>
      </w:tblPr>
      <w:tblGrid>
        <w:gridCol w:w="5529"/>
        <w:gridCol w:w="992"/>
        <w:gridCol w:w="1346"/>
        <w:gridCol w:w="1347"/>
      </w:tblGrid>
      <w:tr w:rsidR="007E5D38" w:rsidRPr="00EC7DFC" w14:paraId="51730A6B" w14:textId="77777777" w:rsidTr="00E032FC">
        <w:trPr>
          <w:trHeight w:val="230"/>
        </w:trPr>
        <w:tc>
          <w:tcPr>
            <w:tcW w:w="5529" w:type="dxa"/>
          </w:tcPr>
          <w:p w14:paraId="536AA35E" w14:textId="77777777" w:rsidR="007E5D38" w:rsidRPr="004B4498" w:rsidRDefault="007E5D38" w:rsidP="00E032FC">
            <w:pPr>
              <w:rPr>
                <w:rFonts w:ascii="Arial" w:hAnsi="Arial" w:cs="Arial"/>
                <w:color w:val="000000" w:themeColor="text1"/>
                <w:sz w:val="20"/>
                <w:szCs w:val="20"/>
                <w:lang w:val="hr-HR"/>
              </w:rPr>
            </w:pPr>
          </w:p>
          <w:p w14:paraId="3D0A21BE" w14:textId="77777777" w:rsidR="007E5D38" w:rsidRPr="004B4498" w:rsidRDefault="007E5D38" w:rsidP="00E032FC">
            <w:pPr>
              <w:rPr>
                <w:rFonts w:ascii="Arial" w:hAnsi="Arial" w:cs="Arial"/>
                <w:color w:val="000000" w:themeColor="text1"/>
                <w:sz w:val="20"/>
                <w:szCs w:val="20"/>
                <w:lang w:val="hr-HR"/>
              </w:rPr>
            </w:pPr>
          </w:p>
        </w:tc>
        <w:tc>
          <w:tcPr>
            <w:tcW w:w="992" w:type="dxa"/>
            <w:vAlign w:val="bottom"/>
          </w:tcPr>
          <w:p w14:paraId="48BD52A2" w14:textId="77777777" w:rsidR="007E5D38" w:rsidRPr="004B4498" w:rsidRDefault="007E5D38" w:rsidP="00E032FC">
            <w:pPr>
              <w:jc w:val="center"/>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Bilješka</w:t>
            </w:r>
          </w:p>
        </w:tc>
        <w:tc>
          <w:tcPr>
            <w:tcW w:w="1346" w:type="dxa"/>
            <w:vAlign w:val="bottom"/>
          </w:tcPr>
          <w:p w14:paraId="2217FE2D" w14:textId="77777777" w:rsidR="007E5D38" w:rsidRPr="004B4498" w:rsidRDefault="007E5D38" w:rsidP="00E032FC">
            <w:pPr>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202</w:t>
            </w:r>
            <w:r>
              <w:rPr>
                <w:rFonts w:ascii="Arial" w:hAnsi="Arial" w:cs="Arial"/>
                <w:b/>
                <w:color w:val="000000" w:themeColor="text1"/>
                <w:sz w:val="20"/>
                <w:szCs w:val="20"/>
                <w:lang w:val="hr-HR"/>
              </w:rPr>
              <w:t>2</w:t>
            </w:r>
            <w:r w:rsidRPr="004B4498">
              <w:rPr>
                <w:rFonts w:ascii="Arial" w:hAnsi="Arial" w:cs="Arial"/>
                <w:b/>
                <w:color w:val="000000" w:themeColor="text1"/>
                <w:sz w:val="20"/>
                <w:szCs w:val="20"/>
                <w:lang w:val="hr-HR"/>
              </w:rPr>
              <w:t>.</w:t>
            </w:r>
          </w:p>
        </w:tc>
        <w:tc>
          <w:tcPr>
            <w:tcW w:w="1347" w:type="dxa"/>
            <w:vAlign w:val="bottom"/>
          </w:tcPr>
          <w:p w14:paraId="0D7EB85A" w14:textId="77777777" w:rsidR="007E5D38" w:rsidRPr="004B4498" w:rsidRDefault="007E5D38" w:rsidP="00E032FC">
            <w:pPr>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202</w:t>
            </w:r>
            <w:r>
              <w:rPr>
                <w:rFonts w:ascii="Arial" w:hAnsi="Arial" w:cs="Arial"/>
                <w:b/>
                <w:color w:val="000000" w:themeColor="text1"/>
                <w:sz w:val="20"/>
                <w:szCs w:val="20"/>
                <w:lang w:val="hr-HR"/>
              </w:rPr>
              <w:t>1</w:t>
            </w:r>
            <w:r w:rsidRPr="004B4498">
              <w:rPr>
                <w:rFonts w:ascii="Arial" w:hAnsi="Arial" w:cs="Arial"/>
                <w:b/>
                <w:color w:val="000000" w:themeColor="text1"/>
                <w:sz w:val="20"/>
                <w:szCs w:val="20"/>
                <w:lang w:val="hr-HR"/>
              </w:rPr>
              <w:t>.</w:t>
            </w:r>
          </w:p>
        </w:tc>
      </w:tr>
      <w:tr w:rsidR="007E5D38" w:rsidRPr="00EC7DFC" w14:paraId="74BEAD01" w14:textId="77777777" w:rsidTr="00E032FC">
        <w:trPr>
          <w:trHeight w:val="202"/>
        </w:trPr>
        <w:tc>
          <w:tcPr>
            <w:tcW w:w="5529" w:type="dxa"/>
          </w:tcPr>
          <w:p w14:paraId="45638DC7" w14:textId="77777777" w:rsidR="007E5D38" w:rsidRPr="004B4498" w:rsidRDefault="007E5D38" w:rsidP="00E032FC">
            <w:pPr>
              <w:rPr>
                <w:rFonts w:ascii="Arial" w:hAnsi="Arial" w:cs="Arial"/>
                <w:color w:val="000000" w:themeColor="text1"/>
                <w:sz w:val="20"/>
                <w:szCs w:val="20"/>
                <w:lang w:val="hr-HR"/>
              </w:rPr>
            </w:pPr>
          </w:p>
        </w:tc>
        <w:tc>
          <w:tcPr>
            <w:tcW w:w="992" w:type="dxa"/>
          </w:tcPr>
          <w:p w14:paraId="1742DC25" w14:textId="77777777" w:rsidR="007E5D38" w:rsidRPr="004B4498" w:rsidRDefault="007E5D38" w:rsidP="00E032FC">
            <w:pPr>
              <w:jc w:val="center"/>
              <w:rPr>
                <w:rFonts w:ascii="Arial" w:hAnsi="Arial" w:cs="Arial"/>
                <w:b/>
                <w:color w:val="000000" w:themeColor="text1"/>
                <w:sz w:val="20"/>
                <w:szCs w:val="20"/>
                <w:lang w:val="hr-HR"/>
              </w:rPr>
            </w:pPr>
          </w:p>
        </w:tc>
        <w:tc>
          <w:tcPr>
            <w:tcW w:w="1346" w:type="dxa"/>
          </w:tcPr>
          <w:p w14:paraId="7B042A8A" w14:textId="77777777" w:rsidR="007E5D38" w:rsidRPr="004B4498" w:rsidRDefault="007E5D38" w:rsidP="00E032FC">
            <w:pPr>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000 kuna</w:t>
            </w:r>
          </w:p>
        </w:tc>
        <w:tc>
          <w:tcPr>
            <w:tcW w:w="1347" w:type="dxa"/>
          </w:tcPr>
          <w:p w14:paraId="69E0EBB0" w14:textId="77777777" w:rsidR="007E5D38" w:rsidRPr="004B4498" w:rsidRDefault="007E5D38" w:rsidP="00E032FC">
            <w:pPr>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000 kuna</w:t>
            </w:r>
          </w:p>
        </w:tc>
      </w:tr>
      <w:tr w:rsidR="007E5D38" w:rsidRPr="00EC7DFC" w14:paraId="241E19FA" w14:textId="77777777" w:rsidTr="00E032FC">
        <w:trPr>
          <w:trHeight w:val="303"/>
        </w:trPr>
        <w:tc>
          <w:tcPr>
            <w:tcW w:w="5529" w:type="dxa"/>
            <w:vAlign w:val="bottom"/>
          </w:tcPr>
          <w:p w14:paraId="51FFF90C" w14:textId="77777777" w:rsidR="007E5D38" w:rsidRPr="00CE654D" w:rsidRDefault="007E5D38" w:rsidP="00E032FC">
            <w:pPr>
              <w:pStyle w:val="TT"/>
              <w:rPr>
                <w:rFonts w:cs="Arial"/>
                <w:b/>
                <w:bCs/>
                <w:color w:val="000000" w:themeColor="text1"/>
                <w:sz w:val="20"/>
                <w:lang w:val="hr-HR"/>
              </w:rPr>
            </w:pPr>
            <w:bookmarkStart w:id="204" w:name="_Toc67326670"/>
            <w:r w:rsidRPr="00CE654D">
              <w:rPr>
                <w:rFonts w:cs="Arial"/>
                <w:b/>
                <w:bCs/>
                <w:color w:val="000000" w:themeColor="text1"/>
                <w:sz w:val="20"/>
                <w:lang w:val="hr-HR"/>
              </w:rPr>
              <w:t>Imovina</w:t>
            </w:r>
            <w:bookmarkEnd w:id="204"/>
            <w:r w:rsidRPr="00CE654D">
              <w:rPr>
                <w:rFonts w:cs="Arial"/>
                <w:b/>
                <w:bCs/>
                <w:color w:val="000000" w:themeColor="text1"/>
                <w:sz w:val="20"/>
                <w:lang w:val="hr-HR"/>
              </w:rPr>
              <w:t xml:space="preserve"> </w:t>
            </w:r>
          </w:p>
        </w:tc>
        <w:tc>
          <w:tcPr>
            <w:tcW w:w="992" w:type="dxa"/>
            <w:vAlign w:val="bottom"/>
          </w:tcPr>
          <w:p w14:paraId="64021A99" w14:textId="77777777" w:rsidR="007E5D38" w:rsidRPr="00CE654D" w:rsidRDefault="007E5D38" w:rsidP="00E032FC">
            <w:pPr>
              <w:pStyle w:val="TT"/>
              <w:rPr>
                <w:rFonts w:cs="Arial"/>
                <w:b/>
                <w:bCs/>
                <w:color w:val="000000" w:themeColor="text1"/>
                <w:sz w:val="20"/>
                <w:lang w:val="hr-HR"/>
              </w:rPr>
            </w:pPr>
          </w:p>
        </w:tc>
        <w:tc>
          <w:tcPr>
            <w:tcW w:w="1346" w:type="dxa"/>
            <w:vAlign w:val="bottom"/>
          </w:tcPr>
          <w:p w14:paraId="3FC3463C" w14:textId="77777777" w:rsidR="007E5D38" w:rsidRPr="00CE654D" w:rsidRDefault="007E5D38" w:rsidP="00E032FC">
            <w:pPr>
              <w:pStyle w:val="TT"/>
              <w:rPr>
                <w:rFonts w:cs="Arial"/>
                <w:b/>
                <w:bCs/>
                <w:color w:val="000000" w:themeColor="text1"/>
                <w:sz w:val="20"/>
                <w:lang w:val="hr-HR"/>
              </w:rPr>
            </w:pPr>
          </w:p>
        </w:tc>
        <w:tc>
          <w:tcPr>
            <w:tcW w:w="1347" w:type="dxa"/>
            <w:vAlign w:val="bottom"/>
          </w:tcPr>
          <w:p w14:paraId="416A3FCB" w14:textId="77777777" w:rsidR="007E5D38" w:rsidRPr="00CE654D" w:rsidRDefault="007E5D38" w:rsidP="00E032FC">
            <w:pPr>
              <w:pStyle w:val="TT"/>
              <w:rPr>
                <w:rFonts w:cs="Arial"/>
                <w:b/>
                <w:bCs/>
                <w:color w:val="000000" w:themeColor="text1"/>
                <w:sz w:val="20"/>
                <w:lang w:val="hr-HR"/>
              </w:rPr>
            </w:pPr>
          </w:p>
        </w:tc>
      </w:tr>
      <w:tr w:rsidR="007E5D38" w:rsidRPr="00EC7DFC" w14:paraId="7924B91D" w14:textId="77777777" w:rsidTr="00E032FC">
        <w:trPr>
          <w:trHeight w:val="303"/>
        </w:trPr>
        <w:tc>
          <w:tcPr>
            <w:tcW w:w="5529" w:type="dxa"/>
            <w:vAlign w:val="bottom"/>
          </w:tcPr>
          <w:p w14:paraId="31D74D62" w14:textId="77777777" w:rsidR="007E5D38" w:rsidRPr="00CE654D" w:rsidRDefault="007E5D38" w:rsidP="00E032FC">
            <w:pPr>
              <w:pStyle w:val="TT"/>
              <w:rPr>
                <w:rFonts w:cs="Arial"/>
                <w:color w:val="000000" w:themeColor="text1"/>
                <w:sz w:val="20"/>
                <w:lang w:val="hr-HR"/>
              </w:rPr>
            </w:pPr>
            <w:bookmarkStart w:id="205" w:name="_Toc67326671"/>
            <w:r w:rsidRPr="00CE654D">
              <w:rPr>
                <w:rFonts w:cs="Arial"/>
                <w:color w:val="000000" w:themeColor="text1"/>
                <w:sz w:val="20"/>
                <w:lang w:val="hr-HR"/>
              </w:rPr>
              <w:t>Novčana sredstva i računi kod banaka</w:t>
            </w:r>
            <w:bookmarkEnd w:id="205"/>
          </w:p>
        </w:tc>
        <w:tc>
          <w:tcPr>
            <w:tcW w:w="992" w:type="dxa"/>
            <w:vAlign w:val="bottom"/>
          </w:tcPr>
          <w:p w14:paraId="2BC07FF8" w14:textId="77777777" w:rsidR="007E5D38" w:rsidRPr="00CE654D" w:rsidRDefault="007E5D38" w:rsidP="00E032FC">
            <w:pPr>
              <w:pStyle w:val="TT"/>
              <w:jc w:val="center"/>
              <w:rPr>
                <w:rFonts w:cs="Arial"/>
                <w:color w:val="000000" w:themeColor="text1"/>
                <w:sz w:val="20"/>
                <w:lang w:val="hr-HR"/>
              </w:rPr>
            </w:pPr>
            <w:bookmarkStart w:id="206" w:name="_Toc67326672"/>
            <w:r w:rsidRPr="00CE654D">
              <w:rPr>
                <w:rFonts w:cs="Arial"/>
                <w:snapToGrid w:val="0"/>
                <w:color w:val="000000" w:themeColor="text1"/>
                <w:sz w:val="20"/>
                <w:lang w:val="hr-HR"/>
              </w:rPr>
              <w:t>12</w:t>
            </w:r>
            <w:bookmarkEnd w:id="206"/>
          </w:p>
        </w:tc>
        <w:tc>
          <w:tcPr>
            <w:tcW w:w="1346" w:type="dxa"/>
            <w:tcBorders>
              <w:top w:val="nil"/>
              <w:left w:val="nil"/>
              <w:bottom w:val="nil"/>
              <w:right w:val="nil"/>
            </w:tcBorders>
            <w:shd w:val="clear" w:color="auto" w:fill="auto"/>
            <w:vAlign w:val="bottom"/>
          </w:tcPr>
          <w:p w14:paraId="12FA1EFE" w14:textId="77777777" w:rsidR="007E5D38" w:rsidRPr="00CE654D" w:rsidRDefault="007E5D38" w:rsidP="00E032FC">
            <w:pPr>
              <w:pStyle w:val="TT"/>
              <w:jc w:val="right"/>
              <w:rPr>
                <w:rFonts w:cs="Arial"/>
                <w:color w:val="000000" w:themeColor="text1"/>
                <w:sz w:val="20"/>
                <w:lang w:val="hr-HR"/>
              </w:rPr>
            </w:pPr>
            <w:r w:rsidRPr="00CE654D">
              <w:rPr>
                <w:rFonts w:cs="Arial"/>
                <w:color w:val="000000" w:themeColor="text1"/>
                <w:sz w:val="20"/>
                <w:lang w:val="hr-HR"/>
              </w:rPr>
              <w:t>1.721.919</w:t>
            </w:r>
          </w:p>
        </w:tc>
        <w:tc>
          <w:tcPr>
            <w:tcW w:w="1347" w:type="dxa"/>
            <w:tcBorders>
              <w:top w:val="nil"/>
              <w:left w:val="nil"/>
              <w:bottom w:val="nil"/>
              <w:right w:val="nil"/>
            </w:tcBorders>
            <w:shd w:val="clear" w:color="auto" w:fill="auto"/>
            <w:vAlign w:val="bottom"/>
          </w:tcPr>
          <w:p w14:paraId="2083BE35" w14:textId="77777777" w:rsidR="007E5D38" w:rsidRPr="00CE654D" w:rsidRDefault="007E5D38" w:rsidP="00E032FC">
            <w:pPr>
              <w:pStyle w:val="TT"/>
              <w:jc w:val="right"/>
              <w:rPr>
                <w:rFonts w:cs="Arial"/>
                <w:snapToGrid w:val="0"/>
                <w:color w:val="000000" w:themeColor="text1"/>
                <w:sz w:val="20"/>
                <w:lang w:val="hr-HR"/>
              </w:rPr>
            </w:pPr>
            <w:bookmarkStart w:id="207" w:name="_Toc67326673"/>
            <w:r w:rsidRPr="00CE654D">
              <w:rPr>
                <w:rFonts w:cs="Arial"/>
                <w:color w:val="000000" w:themeColor="text1"/>
                <w:sz w:val="20"/>
                <w:lang w:val="hr-HR"/>
              </w:rPr>
              <w:t>1.961.986</w:t>
            </w:r>
            <w:bookmarkEnd w:id="207"/>
          </w:p>
        </w:tc>
      </w:tr>
      <w:tr w:rsidR="007E5D38" w:rsidRPr="00EC7DFC" w14:paraId="4B142691" w14:textId="77777777" w:rsidTr="00E032FC">
        <w:trPr>
          <w:trHeight w:val="303"/>
        </w:trPr>
        <w:tc>
          <w:tcPr>
            <w:tcW w:w="5529" w:type="dxa"/>
            <w:vAlign w:val="bottom"/>
          </w:tcPr>
          <w:p w14:paraId="10DE80C7" w14:textId="77777777" w:rsidR="007E5D38" w:rsidRPr="00CE654D" w:rsidRDefault="007E5D38" w:rsidP="00E032FC">
            <w:pPr>
              <w:pStyle w:val="TT"/>
              <w:rPr>
                <w:rFonts w:cs="Arial"/>
                <w:color w:val="000000" w:themeColor="text1"/>
                <w:sz w:val="20"/>
                <w:lang w:val="hr-HR"/>
              </w:rPr>
            </w:pPr>
            <w:bookmarkStart w:id="208" w:name="_Toc67326675"/>
            <w:r w:rsidRPr="00CE654D">
              <w:rPr>
                <w:rFonts w:cs="Arial"/>
                <w:color w:val="000000" w:themeColor="text1"/>
                <w:sz w:val="20"/>
                <w:lang w:val="hr-HR"/>
              </w:rPr>
              <w:t>Depoziti kod drugih banaka</w:t>
            </w:r>
            <w:bookmarkEnd w:id="208"/>
          </w:p>
        </w:tc>
        <w:tc>
          <w:tcPr>
            <w:tcW w:w="992" w:type="dxa"/>
            <w:vAlign w:val="bottom"/>
          </w:tcPr>
          <w:p w14:paraId="42FF13DB" w14:textId="77777777" w:rsidR="007E5D38" w:rsidRPr="00CE654D" w:rsidRDefault="007E5D38" w:rsidP="00E032FC">
            <w:pPr>
              <w:pStyle w:val="TT"/>
              <w:jc w:val="center"/>
              <w:rPr>
                <w:rFonts w:cs="Arial"/>
                <w:snapToGrid w:val="0"/>
                <w:color w:val="000000" w:themeColor="text1"/>
                <w:sz w:val="20"/>
                <w:lang w:val="hr-HR"/>
              </w:rPr>
            </w:pPr>
            <w:bookmarkStart w:id="209" w:name="_Toc67326676"/>
            <w:r w:rsidRPr="00CE654D">
              <w:rPr>
                <w:rFonts w:cs="Arial"/>
                <w:snapToGrid w:val="0"/>
                <w:color w:val="000000" w:themeColor="text1"/>
                <w:sz w:val="20"/>
                <w:lang w:val="hr-HR"/>
              </w:rPr>
              <w:t>13</w:t>
            </w:r>
            <w:bookmarkEnd w:id="209"/>
          </w:p>
        </w:tc>
        <w:tc>
          <w:tcPr>
            <w:tcW w:w="1346" w:type="dxa"/>
            <w:tcBorders>
              <w:top w:val="nil"/>
              <w:left w:val="nil"/>
              <w:bottom w:val="nil"/>
              <w:right w:val="nil"/>
            </w:tcBorders>
            <w:shd w:val="clear" w:color="auto" w:fill="auto"/>
            <w:vAlign w:val="bottom"/>
          </w:tcPr>
          <w:p w14:paraId="4EA98FED" w14:textId="77777777" w:rsidR="007E5D38" w:rsidRPr="00CE654D" w:rsidRDefault="007E5D38" w:rsidP="00E032FC">
            <w:pPr>
              <w:pStyle w:val="TT"/>
              <w:jc w:val="right"/>
              <w:rPr>
                <w:rFonts w:cs="Arial"/>
                <w:color w:val="000000" w:themeColor="text1"/>
                <w:sz w:val="20"/>
                <w:lang w:val="hr-HR"/>
              </w:rPr>
            </w:pPr>
            <w:r w:rsidRPr="00CE654D">
              <w:rPr>
                <w:rFonts w:cs="Arial"/>
                <w:color w:val="000000" w:themeColor="text1"/>
                <w:sz w:val="20"/>
                <w:lang w:val="hr-HR"/>
              </w:rPr>
              <w:t>33.180</w:t>
            </w:r>
          </w:p>
        </w:tc>
        <w:tc>
          <w:tcPr>
            <w:tcW w:w="1347" w:type="dxa"/>
            <w:tcBorders>
              <w:top w:val="nil"/>
              <w:left w:val="nil"/>
              <w:bottom w:val="nil"/>
              <w:right w:val="nil"/>
            </w:tcBorders>
            <w:shd w:val="clear" w:color="auto" w:fill="auto"/>
            <w:vAlign w:val="center"/>
          </w:tcPr>
          <w:p w14:paraId="5A0348FE" w14:textId="77777777" w:rsidR="007E5D38" w:rsidRPr="00CE654D" w:rsidRDefault="007E5D38" w:rsidP="00E032FC">
            <w:pPr>
              <w:pStyle w:val="TT"/>
              <w:jc w:val="right"/>
              <w:rPr>
                <w:rFonts w:cs="Arial"/>
                <w:snapToGrid w:val="0"/>
                <w:color w:val="000000" w:themeColor="text1"/>
                <w:sz w:val="20"/>
                <w:lang w:val="hr-HR"/>
              </w:rPr>
            </w:pPr>
            <w:bookmarkStart w:id="210" w:name="_Toc67326677"/>
            <w:r w:rsidRPr="00CE654D">
              <w:rPr>
                <w:rFonts w:cs="Arial"/>
                <w:color w:val="000000" w:themeColor="text1"/>
                <w:sz w:val="20"/>
                <w:lang w:val="hr-HR"/>
              </w:rPr>
              <w:t>7.500</w:t>
            </w:r>
            <w:bookmarkEnd w:id="210"/>
          </w:p>
        </w:tc>
      </w:tr>
      <w:tr w:rsidR="007E5D38" w:rsidRPr="00EC7DFC" w14:paraId="7E015F4F" w14:textId="77777777" w:rsidTr="00E032FC">
        <w:trPr>
          <w:trHeight w:val="291"/>
        </w:trPr>
        <w:tc>
          <w:tcPr>
            <w:tcW w:w="5529" w:type="dxa"/>
            <w:vAlign w:val="bottom"/>
          </w:tcPr>
          <w:p w14:paraId="5F1870E6" w14:textId="77777777" w:rsidR="007E5D38" w:rsidRPr="00CE654D" w:rsidRDefault="007E5D38" w:rsidP="00E032FC">
            <w:pPr>
              <w:pStyle w:val="TT"/>
              <w:rPr>
                <w:rFonts w:cs="Arial"/>
                <w:color w:val="000000" w:themeColor="text1"/>
                <w:sz w:val="20"/>
                <w:lang w:val="hr-HR"/>
              </w:rPr>
            </w:pPr>
            <w:bookmarkStart w:id="211" w:name="_Toc67326679"/>
            <w:r w:rsidRPr="00CE654D">
              <w:rPr>
                <w:rFonts w:cs="Arial"/>
                <w:color w:val="000000" w:themeColor="text1"/>
                <w:sz w:val="20"/>
                <w:lang w:val="hr-HR"/>
              </w:rPr>
              <w:t>Krediti financijskim institucijama</w:t>
            </w:r>
            <w:bookmarkEnd w:id="211"/>
          </w:p>
        </w:tc>
        <w:tc>
          <w:tcPr>
            <w:tcW w:w="992" w:type="dxa"/>
            <w:vAlign w:val="bottom"/>
          </w:tcPr>
          <w:p w14:paraId="47B01ACB" w14:textId="77777777" w:rsidR="007E5D38" w:rsidRPr="00CE654D" w:rsidRDefault="007E5D38" w:rsidP="00E032FC">
            <w:pPr>
              <w:pStyle w:val="TT"/>
              <w:jc w:val="center"/>
              <w:rPr>
                <w:rFonts w:cs="Arial"/>
                <w:snapToGrid w:val="0"/>
                <w:color w:val="000000" w:themeColor="text1"/>
                <w:sz w:val="20"/>
                <w:lang w:val="hr-HR"/>
              </w:rPr>
            </w:pPr>
            <w:bookmarkStart w:id="212" w:name="_Toc67326680"/>
            <w:r w:rsidRPr="00CE654D">
              <w:rPr>
                <w:rFonts w:cs="Arial"/>
                <w:snapToGrid w:val="0"/>
                <w:color w:val="000000" w:themeColor="text1"/>
                <w:sz w:val="20"/>
                <w:lang w:val="hr-HR"/>
              </w:rPr>
              <w:t>14</w:t>
            </w:r>
            <w:bookmarkEnd w:id="212"/>
          </w:p>
        </w:tc>
        <w:tc>
          <w:tcPr>
            <w:tcW w:w="1346" w:type="dxa"/>
            <w:tcBorders>
              <w:top w:val="nil"/>
              <w:left w:val="nil"/>
              <w:bottom w:val="nil"/>
              <w:right w:val="nil"/>
            </w:tcBorders>
            <w:shd w:val="clear" w:color="auto" w:fill="auto"/>
            <w:vAlign w:val="bottom"/>
          </w:tcPr>
          <w:p w14:paraId="4A00C586" w14:textId="77777777" w:rsidR="007E5D38" w:rsidRPr="00CE654D" w:rsidRDefault="007E5D38" w:rsidP="00E032FC">
            <w:pPr>
              <w:pStyle w:val="TT"/>
              <w:jc w:val="right"/>
              <w:rPr>
                <w:rFonts w:cs="Arial"/>
                <w:color w:val="000000" w:themeColor="text1"/>
                <w:sz w:val="20"/>
                <w:lang w:val="hr-HR"/>
              </w:rPr>
            </w:pPr>
            <w:r w:rsidRPr="00CE654D">
              <w:rPr>
                <w:rFonts w:cs="Arial"/>
                <w:color w:val="000000" w:themeColor="text1"/>
                <w:sz w:val="20"/>
                <w:lang w:val="hr-HR"/>
              </w:rPr>
              <w:t>6.984.712</w:t>
            </w:r>
          </w:p>
        </w:tc>
        <w:tc>
          <w:tcPr>
            <w:tcW w:w="1347" w:type="dxa"/>
            <w:tcBorders>
              <w:top w:val="nil"/>
              <w:left w:val="nil"/>
              <w:bottom w:val="nil"/>
              <w:right w:val="nil"/>
            </w:tcBorders>
            <w:shd w:val="clear" w:color="auto" w:fill="auto"/>
            <w:vAlign w:val="center"/>
          </w:tcPr>
          <w:p w14:paraId="1AA66F1D" w14:textId="77777777" w:rsidR="007E5D38" w:rsidRPr="00CE654D" w:rsidRDefault="007E5D38" w:rsidP="00E032FC">
            <w:pPr>
              <w:pStyle w:val="TT"/>
              <w:jc w:val="right"/>
              <w:rPr>
                <w:rFonts w:cs="Arial"/>
                <w:snapToGrid w:val="0"/>
                <w:color w:val="000000" w:themeColor="text1"/>
                <w:sz w:val="20"/>
                <w:lang w:val="hr-HR"/>
              </w:rPr>
            </w:pPr>
            <w:bookmarkStart w:id="213" w:name="_Toc67326681"/>
            <w:r w:rsidRPr="00CE654D">
              <w:rPr>
                <w:rFonts w:cs="Arial"/>
                <w:color w:val="000000" w:themeColor="text1"/>
                <w:sz w:val="20"/>
                <w:lang w:val="hr-HR"/>
              </w:rPr>
              <w:t>7.050.143</w:t>
            </w:r>
            <w:bookmarkEnd w:id="213"/>
          </w:p>
        </w:tc>
      </w:tr>
      <w:tr w:rsidR="007E5D38" w:rsidRPr="00EC7DFC" w14:paraId="05A88A8F" w14:textId="77777777" w:rsidTr="00E032FC">
        <w:trPr>
          <w:trHeight w:val="303"/>
        </w:trPr>
        <w:tc>
          <w:tcPr>
            <w:tcW w:w="5529" w:type="dxa"/>
            <w:vAlign w:val="bottom"/>
          </w:tcPr>
          <w:p w14:paraId="15B2473F" w14:textId="77777777" w:rsidR="007E5D38" w:rsidRPr="00CE654D" w:rsidRDefault="007E5D38" w:rsidP="00E032FC">
            <w:pPr>
              <w:pStyle w:val="TT"/>
              <w:rPr>
                <w:rFonts w:cs="Arial"/>
                <w:color w:val="000000" w:themeColor="text1"/>
                <w:sz w:val="20"/>
                <w:lang w:val="hr-HR"/>
              </w:rPr>
            </w:pPr>
            <w:bookmarkStart w:id="214" w:name="_Toc67326683"/>
            <w:r w:rsidRPr="00CE654D">
              <w:rPr>
                <w:rFonts w:cs="Arial"/>
                <w:color w:val="000000" w:themeColor="text1"/>
                <w:sz w:val="20"/>
                <w:lang w:val="hr-HR"/>
              </w:rPr>
              <w:t>Krediti ostalim korisnicima</w:t>
            </w:r>
            <w:bookmarkEnd w:id="214"/>
          </w:p>
        </w:tc>
        <w:tc>
          <w:tcPr>
            <w:tcW w:w="992" w:type="dxa"/>
            <w:vAlign w:val="bottom"/>
          </w:tcPr>
          <w:p w14:paraId="736404F0" w14:textId="77777777" w:rsidR="007E5D38" w:rsidRPr="00CE654D" w:rsidRDefault="007E5D38" w:rsidP="00E032FC">
            <w:pPr>
              <w:pStyle w:val="TT"/>
              <w:jc w:val="center"/>
              <w:rPr>
                <w:rFonts w:cs="Arial"/>
                <w:snapToGrid w:val="0"/>
                <w:color w:val="000000" w:themeColor="text1"/>
                <w:sz w:val="20"/>
                <w:lang w:val="hr-HR"/>
              </w:rPr>
            </w:pPr>
            <w:bookmarkStart w:id="215" w:name="_Toc67326684"/>
            <w:r w:rsidRPr="00CE654D">
              <w:rPr>
                <w:rFonts w:cs="Arial"/>
                <w:snapToGrid w:val="0"/>
                <w:color w:val="000000" w:themeColor="text1"/>
                <w:sz w:val="20"/>
                <w:lang w:val="hr-HR"/>
              </w:rPr>
              <w:t>15</w:t>
            </w:r>
            <w:bookmarkEnd w:id="215"/>
          </w:p>
        </w:tc>
        <w:tc>
          <w:tcPr>
            <w:tcW w:w="1346" w:type="dxa"/>
            <w:tcBorders>
              <w:top w:val="nil"/>
              <w:left w:val="nil"/>
              <w:bottom w:val="nil"/>
              <w:right w:val="nil"/>
            </w:tcBorders>
            <w:shd w:val="clear" w:color="auto" w:fill="auto"/>
            <w:vAlign w:val="bottom"/>
          </w:tcPr>
          <w:p w14:paraId="5F1E6F36" w14:textId="77777777" w:rsidR="007E5D38" w:rsidRPr="00CE654D" w:rsidRDefault="007E5D38" w:rsidP="00E032FC">
            <w:pPr>
              <w:pStyle w:val="TT"/>
              <w:jc w:val="right"/>
              <w:rPr>
                <w:rFonts w:cs="Arial"/>
                <w:color w:val="000000" w:themeColor="text1"/>
                <w:sz w:val="20"/>
                <w:lang w:val="hr-HR"/>
              </w:rPr>
            </w:pPr>
            <w:r w:rsidRPr="00CE654D">
              <w:rPr>
                <w:rFonts w:cs="Arial"/>
                <w:color w:val="000000" w:themeColor="text1"/>
                <w:sz w:val="20"/>
                <w:lang w:val="hr-HR"/>
              </w:rPr>
              <w:t>17.402.666</w:t>
            </w:r>
          </w:p>
        </w:tc>
        <w:tc>
          <w:tcPr>
            <w:tcW w:w="1347" w:type="dxa"/>
            <w:tcBorders>
              <w:top w:val="nil"/>
              <w:left w:val="nil"/>
              <w:bottom w:val="nil"/>
              <w:right w:val="nil"/>
            </w:tcBorders>
            <w:shd w:val="clear" w:color="auto" w:fill="auto"/>
            <w:vAlign w:val="center"/>
          </w:tcPr>
          <w:p w14:paraId="2D9D468E" w14:textId="77777777" w:rsidR="007E5D38" w:rsidRPr="00CE654D" w:rsidRDefault="007E5D38" w:rsidP="00E032FC">
            <w:pPr>
              <w:pStyle w:val="TT"/>
              <w:jc w:val="right"/>
              <w:rPr>
                <w:rFonts w:cs="Arial"/>
                <w:color w:val="000000" w:themeColor="text1"/>
                <w:spacing w:val="-2"/>
                <w:sz w:val="20"/>
                <w:lang w:val="hr-HR"/>
              </w:rPr>
            </w:pPr>
            <w:bookmarkStart w:id="216" w:name="_Toc67326685"/>
            <w:r w:rsidRPr="00CE654D">
              <w:rPr>
                <w:rFonts w:cs="Arial"/>
                <w:color w:val="000000" w:themeColor="text1"/>
                <w:sz w:val="20"/>
                <w:lang w:val="hr-HR"/>
              </w:rPr>
              <w:t>15.964.376</w:t>
            </w:r>
            <w:bookmarkEnd w:id="216"/>
          </w:p>
        </w:tc>
      </w:tr>
      <w:tr w:rsidR="007E5D38" w:rsidRPr="00EC7DFC" w14:paraId="2ADBCBFF" w14:textId="77777777" w:rsidTr="00E032FC">
        <w:trPr>
          <w:trHeight w:val="227"/>
        </w:trPr>
        <w:tc>
          <w:tcPr>
            <w:tcW w:w="5529" w:type="dxa"/>
            <w:vAlign w:val="bottom"/>
          </w:tcPr>
          <w:p w14:paraId="2DD842AD" w14:textId="77777777" w:rsidR="007E5D38" w:rsidRPr="00CE654D" w:rsidRDefault="007E5D38" w:rsidP="00E032FC">
            <w:pPr>
              <w:pStyle w:val="TT"/>
              <w:rPr>
                <w:rFonts w:cs="Arial"/>
                <w:color w:val="000000" w:themeColor="text1"/>
                <w:sz w:val="20"/>
                <w:lang w:val="hr-HR"/>
              </w:rPr>
            </w:pPr>
            <w:bookmarkStart w:id="217" w:name="_Toc67326687"/>
            <w:r w:rsidRPr="00CE654D">
              <w:rPr>
                <w:rFonts w:cs="Arial"/>
                <w:color w:val="000000" w:themeColor="text1"/>
                <w:sz w:val="20"/>
                <w:lang w:val="hr-HR"/>
              </w:rPr>
              <w:t>Financijska imovina po fer vrijednosti kroz dobit ili gubitak</w:t>
            </w:r>
            <w:bookmarkEnd w:id="217"/>
          </w:p>
        </w:tc>
        <w:tc>
          <w:tcPr>
            <w:tcW w:w="992" w:type="dxa"/>
            <w:vAlign w:val="bottom"/>
          </w:tcPr>
          <w:p w14:paraId="5C82BF90" w14:textId="77777777" w:rsidR="007E5D38" w:rsidRPr="00CE654D" w:rsidRDefault="007E5D38" w:rsidP="00E032FC">
            <w:pPr>
              <w:pStyle w:val="TT"/>
              <w:jc w:val="center"/>
              <w:rPr>
                <w:rFonts w:cs="Arial"/>
                <w:snapToGrid w:val="0"/>
                <w:color w:val="000000" w:themeColor="text1"/>
                <w:sz w:val="20"/>
                <w:lang w:val="hr-HR"/>
              </w:rPr>
            </w:pPr>
            <w:bookmarkStart w:id="218" w:name="_Toc67326688"/>
            <w:r w:rsidRPr="00CE654D">
              <w:rPr>
                <w:rFonts w:cs="Arial"/>
                <w:snapToGrid w:val="0"/>
                <w:color w:val="000000" w:themeColor="text1"/>
                <w:sz w:val="20"/>
                <w:lang w:val="hr-HR"/>
              </w:rPr>
              <w:t>16</w:t>
            </w:r>
            <w:bookmarkEnd w:id="218"/>
          </w:p>
        </w:tc>
        <w:tc>
          <w:tcPr>
            <w:tcW w:w="1346" w:type="dxa"/>
            <w:tcBorders>
              <w:top w:val="nil"/>
              <w:left w:val="nil"/>
              <w:bottom w:val="nil"/>
              <w:right w:val="nil"/>
            </w:tcBorders>
            <w:shd w:val="clear" w:color="auto" w:fill="auto"/>
            <w:vAlign w:val="bottom"/>
          </w:tcPr>
          <w:p w14:paraId="1EFBD38D" w14:textId="77777777" w:rsidR="007E5D38" w:rsidRPr="00CE654D" w:rsidRDefault="007E5D38" w:rsidP="00E032FC">
            <w:pPr>
              <w:pStyle w:val="TT"/>
              <w:jc w:val="right"/>
              <w:rPr>
                <w:rFonts w:cs="Arial"/>
                <w:color w:val="000000" w:themeColor="text1"/>
                <w:sz w:val="20"/>
                <w:lang w:val="hr-HR"/>
              </w:rPr>
            </w:pPr>
            <w:r w:rsidRPr="00CE654D">
              <w:rPr>
                <w:rFonts w:cs="Arial"/>
                <w:color w:val="000000" w:themeColor="text1"/>
                <w:sz w:val="20"/>
                <w:lang w:val="hr-HR"/>
              </w:rPr>
              <w:t>131.523</w:t>
            </w:r>
          </w:p>
        </w:tc>
        <w:tc>
          <w:tcPr>
            <w:tcW w:w="1347" w:type="dxa"/>
            <w:tcBorders>
              <w:top w:val="nil"/>
              <w:left w:val="nil"/>
              <w:bottom w:val="nil"/>
              <w:right w:val="nil"/>
            </w:tcBorders>
            <w:shd w:val="clear" w:color="auto" w:fill="auto"/>
            <w:vAlign w:val="bottom"/>
          </w:tcPr>
          <w:p w14:paraId="3DEF92B4" w14:textId="77777777" w:rsidR="007E5D38" w:rsidRPr="00CE654D" w:rsidRDefault="007E5D38" w:rsidP="00E032FC">
            <w:pPr>
              <w:pStyle w:val="TT"/>
              <w:jc w:val="right"/>
              <w:rPr>
                <w:rFonts w:cs="Arial"/>
                <w:snapToGrid w:val="0"/>
                <w:color w:val="000000" w:themeColor="text1"/>
                <w:sz w:val="20"/>
                <w:lang w:val="hr-HR"/>
              </w:rPr>
            </w:pPr>
            <w:bookmarkStart w:id="219" w:name="_Toc67326689"/>
            <w:r w:rsidRPr="00CE654D">
              <w:rPr>
                <w:rFonts w:cs="Arial"/>
                <w:color w:val="000000" w:themeColor="text1"/>
                <w:sz w:val="20"/>
                <w:lang w:val="hr-HR"/>
              </w:rPr>
              <w:t>218.984</w:t>
            </w:r>
            <w:bookmarkEnd w:id="219"/>
          </w:p>
        </w:tc>
      </w:tr>
      <w:tr w:rsidR="007E5D38" w:rsidRPr="00EC7DFC" w14:paraId="4E9EBBE3" w14:textId="77777777" w:rsidTr="00E032FC">
        <w:trPr>
          <w:trHeight w:val="606"/>
        </w:trPr>
        <w:tc>
          <w:tcPr>
            <w:tcW w:w="5529" w:type="dxa"/>
            <w:vAlign w:val="bottom"/>
          </w:tcPr>
          <w:p w14:paraId="4D2DCFDA" w14:textId="77777777" w:rsidR="007E5D38" w:rsidRPr="00CE654D" w:rsidRDefault="007E5D38" w:rsidP="00E032FC">
            <w:pPr>
              <w:pStyle w:val="TT"/>
              <w:rPr>
                <w:rFonts w:cs="Arial"/>
                <w:color w:val="000000" w:themeColor="text1"/>
                <w:sz w:val="20"/>
                <w:lang w:val="hr-HR"/>
              </w:rPr>
            </w:pPr>
            <w:bookmarkStart w:id="220" w:name="_Toc67326691"/>
            <w:r w:rsidRPr="00CE654D">
              <w:rPr>
                <w:rFonts w:cs="Arial"/>
                <w:color w:val="000000" w:themeColor="text1"/>
                <w:sz w:val="20"/>
                <w:lang w:val="hr-HR"/>
              </w:rPr>
              <w:t>Financijska imovina po fer vrijednosti kroz ostalu sveobuhvatnu dobit</w:t>
            </w:r>
            <w:bookmarkEnd w:id="220"/>
          </w:p>
        </w:tc>
        <w:tc>
          <w:tcPr>
            <w:tcW w:w="992" w:type="dxa"/>
            <w:vAlign w:val="bottom"/>
          </w:tcPr>
          <w:p w14:paraId="718BAC58" w14:textId="77777777" w:rsidR="007E5D38" w:rsidRPr="00CE654D" w:rsidRDefault="007E5D38" w:rsidP="00E032FC">
            <w:pPr>
              <w:pStyle w:val="TT"/>
              <w:jc w:val="center"/>
              <w:rPr>
                <w:rFonts w:cs="Arial"/>
                <w:snapToGrid w:val="0"/>
                <w:color w:val="000000" w:themeColor="text1"/>
                <w:sz w:val="20"/>
                <w:lang w:val="hr-HR"/>
              </w:rPr>
            </w:pPr>
            <w:bookmarkStart w:id="221" w:name="_Toc67326692"/>
            <w:r w:rsidRPr="00CE654D">
              <w:rPr>
                <w:rFonts w:cs="Arial"/>
                <w:snapToGrid w:val="0"/>
                <w:color w:val="000000" w:themeColor="text1"/>
                <w:sz w:val="20"/>
                <w:lang w:val="hr-HR"/>
              </w:rPr>
              <w:t>17</w:t>
            </w:r>
            <w:bookmarkEnd w:id="221"/>
          </w:p>
        </w:tc>
        <w:tc>
          <w:tcPr>
            <w:tcW w:w="1346" w:type="dxa"/>
            <w:tcBorders>
              <w:top w:val="nil"/>
              <w:left w:val="nil"/>
              <w:bottom w:val="nil"/>
              <w:right w:val="nil"/>
            </w:tcBorders>
            <w:shd w:val="clear" w:color="auto" w:fill="auto"/>
            <w:vAlign w:val="bottom"/>
          </w:tcPr>
          <w:p w14:paraId="165F971E" w14:textId="77777777" w:rsidR="007E5D38" w:rsidRPr="00CE654D" w:rsidRDefault="007E5D38" w:rsidP="00E032FC">
            <w:pPr>
              <w:pStyle w:val="TT"/>
              <w:jc w:val="right"/>
              <w:rPr>
                <w:rFonts w:cs="Arial"/>
                <w:color w:val="000000" w:themeColor="text1"/>
                <w:sz w:val="20"/>
                <w:lang w:val="hr-HR"/>
              </w:rPr>
            </w:pPr>
            <w:r w:rsidRPr="00CE654D">
              <w:rPr>
                <w:rFonts w:cs="Arial"/>
                <w:color w:val="000000" w:themeColor="text1"/>
                <w:sz w:val="20"/>
                <w:lang w:val="hr-HR"/>
              </w:rPr>
              <w:t>2.686.622</w:t>
            </w:r>
          </w:p>
        </w:tc>
        <w:tc>
          <w:tcPr>
            <w:tcW w:w="1347" w:type="dxa"/>
            <w:tcBorders>
              <w:top w:val="nil"/>
              <w:left w:val="nil"/>
              <w:bottom w:val="nil"/>
              <w:right w:val="nil"/>
            </w:tcBorders>
            <w:shd w:val="clear" w:color="auto" w:fill="auto"/>
            <w:vAlign w:val="bottom"/>
          </w:tcPr>
          <w:p w14:paraId="6C352A25" w14:textId="77777777" w:rsidR="007E5D38" w:rsidRPr="00CE654D" w:rsidRDefault="007E5D38" w:rsidP="00E032FC">
            <w:pPr>
              <w:pStyle w:val="TT"/>
              <w:jc w:val="right"/>
              <w:rPr>
                <w:rFonts w:cs="Arial"/>
                <w:color w:val="000000" w:themeColor="text1"/>
                <w:sz w:val="20"/>
                <w:lang w:val="hr-HR"/>
              </w:rPr>
            </w:pPr>
            <w:bookmarkStart w:id="222" w:name="_Toc67326693"/>
            <w:r w:rsidRPr="00CE654D">
              <w:rPr>
                <w:rFonts w:cs="Arial"/>
                <w:color w:val="000000" w:themeColor="text1"/>
                <w:sz w:val="20"/>
                <w:lang w:val="hr-HR"/>
              </w:rPr>
              <w:t>2.972.530</w:t>
            </w:r>
            <w:bookmarkEnd w:id="222"/>
          </w:p>
        </w:tc>
      </w:tr>
      <w:tr w:rsidR="007E5D38" w:rsidRPr="00EC7DFC" w14:paraId="772140AB" w14:textId="77777777" w:rsidTr="00E032FC">
        <w:trPr>
          <w:trHeight w:val="303"/>
        </w:trPr>
        <w:tc>
          <w:tcPr>
            <w:tcW w:w="5529" w:type="dxa"/>
            <w:vAlign w:val="bottom"/>
          </w:tcPr>
          <w:p w14:paraId="3A9AC36A" w14:textId="77777777" w:rsidR="007E5D38" w:rsidRPr="00CE654D" w:rsidRDefault="007E5D38" w:rsidP="00E032FC">
            <w:pPr>
              <w:pStyle w:val="TT"/>
              <w:rPr>
                <w:rFonts w:cs="Arial"/>
                <w:color w:val="000000" w:themeColor="text1"/>
                <w:sz w:val="20"/>
                <w:lang w:val="hr-HR"/>
              </w:rPr>
            </w:pPr>
            <w:bookmarkStart w:id="223" w:name="_Toc67326703"/>
            <w:r w:rsidRPr="00CE654D">
              <w:rPr>
                <w:rFonts w:cs="Arial"/>
                <w:color w:val="000000" w:themeColor="text1"/>
                <w:sz w:val="20"/>
                <w:lang w:val="hr-HR"/>
              </w:rPr>
              <w:t>Nekretnine, postrojenja i oprema i nematerijalna imovina</w:t>
            </w:r>
            <w:bookmarkEnd w:id="223"/>
          </w:p>
        </w:tc>
        <w:tc>
          <w:tcPr>
            <w:tcW w:w="992" w:type="dxa"/>
            <w:vAlign w:val="bottom"/>
          </w:tcPr>
          <w:p w14:paraId="5E478C14" w14:textId="77777777" w:rsidR="007E5D38" w:rsidRPr="00CE654D" w:rsidRDefault="007E5D38" w:rsidP="00E032FC">
            <w:pPr>
              <w:pStyle w:val="TT"/>
              <w:jc w:val="center"/>
              <w:rPr>
                <w:rFonts w:cs="Arial"/>
                <w:snapToGrid w:val="0"/>
                <w:color w:val="000000" w:themeColor="text1"/>
                <w:sz w:val="20"/>
                <w:lang w:val="hr-HR"/>
              </w:rPr>
            </w:pPr>
            <w:r w:rsidRPr="00CE654D">
              <w:rPr>
                <w:rFonts w:cs="Arial"/>
                <w:snapToGrid w:val="0"/>
                <w:color w:val="000000" w:themeColor="text1"/>
                <w:sz w:val="20"/>
                <w:lang w:val="hr-HR"/>
              </w:rPr>
              <w:t>19</w:t>
            </w:r>
          </w:p>
        </w:tc>
        <w:tc>
          <w:tcPr>
            <w:tcW w:w="1346" w:type="dxa"/>
            <w:tcBorders>
              <w:top w:val="nil"/>
              <w:left w:val="nil"/>
              <w:bottom w:val="nil"/>
              <w:right w:val="nil"/>
            </w:tcBorders>
            <w:shd w:val="clear" w:color="auto" w:fill="auto"/>
            <w:vAlign w:val="bottom"/>
          </w:tcPr>
          <w:p w14:paraId="79D5BB8C" w14:textId="77777777" w:rsidR="007E5D38" w:rsidRPr="00CE654D" w:rsidRDefault="007E5D38" w:rsidP="00E032FC">
            <w:pPr>
              <w:pStyle w:val="TT"/>
              <w:jc w:val="right"/>
              <w:rPr>
                <w:rFonts w:cs="Arial"/>
                <w:color w:val="000000" w:themeColor="text1"/>
                <w:sz w:val="20"/>
                <w:lang w:val="hr-HR"/>
              </w:rPr>
            </w:pPr>
            <w:r w:rsidRPr="00CE654D">
              <w:rPr>
                <w:rFonts w:cs="Arial"/>
                <w:color w:val="000000" w:themeColor="text1"/>
                <w:sz w:val="20"/>
                <w:lang w:val="hr-HR"/>
              </w:rPr>
              <w:t>38.831</w:t>
            </w:r>
          </w:p>
        </w:tc>
        <w:tc>
          <w:tcPr>
            <w:tcW w:w="1347" w:type="dxa"/>
            <w:tcBorders>
              <w:top w:val="nil"/>
              <w:left w:val="nil"/>
              <w:bottom w:val="nil"/>
              <w:right w:val="nil"/>
            </w:tcBorders>
            <w:shd w:val="clear" w:color="auto" w:fill="auto"/>
            <w:vAlign w:val="center"/>
          </w:tcPr>
          <w:p w14:paraId="1788D35C" w14:textId="77777777" w:rsidR="007E5D38" w:rsidRPr="00CE654D" w:rsidRDefault="007E5D38" w:rsidP="00E032FC">
            <w:pPr>
              <w:pStyle w:val="TT"/>
              <w:jc w:val="right"/>
              <w:rPr>
                <w:rFonts w:cs="Arial"/>
                <w:snapToGrid w:val="0"/>
                <w:color w:val="000000" w:themeColor="text1"/>
                <w:sz w:val="20"/>
                <w:lang w:val="hr-HR"/>
              </w:rPr>
            </w:pPr>
            <w:bookmarkStart w:id="224" w:name="_Toc67326705"/>
            <w:r w:rsidRPr="00CE654D">
              <w:rPr>
                <w:rFonts w:cs="Arial"/>
                <w:color w:val="000000" w:themeColor="text1"/>
                <w:sz w:val="20"/>
                <w:lang w:val="hr-HR"/>
              </w:rPr>
              <w:t>43.937</w:t>
            </w:r>
            <w:bookmarkEnd w:id="224"/>
          </w:p>
        </w:tc>
      </w:tr>
      <w:tr w:rsidR="007E5D38" w:rsidRPr="00EC7DFC" w14:paraId="69B81569" w14:textId="77777777" w:rsidTr="00E032FC">
        <w:trPr>
          <w:trHeight w:val="303"/>
        </w:trPr>
        <w:tc>
          <w:tcPr>
            <w:tcW w:w="5529" w:type="dxa"/>
            <w:vAlign w:val="bottom"/>
          </w:tcPr>
          <w:p w14:paraId="51BACE91" w14:textId="77777777" w:rsidR="007E5D38" w:rsidRPr="00CE654D" w:rsidRDefault="007E5D38" w:rsidP="00E032FC">
            <w:pPr>
              <w:pStyle w:val="TT"/>
              <w:rPr>
                <w:rFonts w:cs="Arial"/>
                <w:color w:val="000000" w:themeColor="text1"/>
                <w:sz w:val="20"/>
                <w:lang w:val="hr-HR"/>
              </w:rPr>
            </w:pPr>
            <w:bookmarkStart w:id="225" w:name="_Toc67326707"/>
            <w:r w:rsidRPr="00CE654D">
              <w:rPr>
                <w:rFonts w:cs="Arial"/>
                <w:color w:val="000000" w:themeColor="text1"/>
                <w:sz w:val="20"/>
                <w:lang w:val="hr-HR"/>
              </w:rPr>
              <w:t>Preuzeta imovina</w:t>
            </w:r>
            <w:bookmarkEnd w:id="225"/>
          </w:p>
        </w:tc>
        <w:tc>
          <w:tcPr>
            <w:tcW w:w="992" w:type="dxa"/>
            <w:vAlign w:val="bottom"/>
          </w:tcPr>
          <w:p w14:paraId="069360A1" w14:textId="77777777" w:rsidR="007E5D38" w:rsidRPr="00CE654D" w:rsidRDefault="007E5D38" w:rsidP="00E032FC">
            <w:pPr>
              <w:pStyle w:val="TT"/>
              <w:jc w:val="center"/>
              <w:rPr>
                <w:rFonts w:cs="Arial"/>
                <w:snapToGrid w:val="0"/>
                <w:color w:val="000000" w:themeColor="text1"/>
                <w:sz w:val="20"/>
                <w:lang w:val="hr-HR"/>
              </w:rPr>
            </w:pPr>
            <w:bookmarkStart w:id="226" w:name="_Toc67326708"/>
            <w:r w:rsidRPr="00CE654D">
              <w:rPr>
                <w:rFonts w:cs="Arial"/>
                <w:snapToGrid w:val="0"/>
                <w:color w:val="000000" w:themeColor="text1"/>
                <w:sz w:val="20"/>
                <w:lang w:val="hr-HR"/>
              </w:rPr>
              <w:t>2</w:t>
            </w:r>
            <w:bookmarkEnd w:id="226"/>
            <w:r w:rsidRPr="00CE654D">
              <w:rPr>
                <w:rFonts w:cs="Arial"/>
                <w:snapToGrid w:val="0"/>
                <w:color w:val="000000" w:themeColor="text1"/>
                <w:sz w:val="20"/>
                <w:lang w:val="hr-HR"/>
              </w:rPr>
              <w:t>0</w:t>
            </w:r>
          </w:p>
        </w:tc>
        <w:tc>
          <w:tcPr>
            <w:tcW w:w="1346" w:type="dxa"/>
            <w:tcBorders>
              <w:top w:val="nil"/>
              <w:left w:val="nil"/>
              <w:bottom w:val="nil"/>
              <w:right w:val="nil"/>
            </w:tcBorders>
            <w:shd w:val="clear" w:color="auto" w:fill="auto"/>
            <w:vAlign w:val="bottom"/>
          </w:tcPr>
          <w:p w14:paraId="5EEEACB2" w14:textId="77777777" w:rsidR="007E5D38" w:rsidRPr="00CE654D" w:rsidRDefault="007E5D38" w:rsidP="00E032FC">
            <w:pPr>
              <w:pStyle w:val="TT"/>
              <w:jc w:val="right"/>
              <w:rPr>
                <w:rFonts w:cs="Arial"/>
                <w:color w:val="000000" w:themeColor="text1"/>
                <w:sz w:val="20"/>
                <w:lang w:val="hr-HR"/>
              </w:rPr>
            </w:pPr>
            <w:r w:rsidRPr="00CE654D">
              <w:rPr>
                <w:rFonts w:cs="Arial"/>
                <w:color w:val="000000" w:themeColor="text1"/>
                <w:sz w:val="20"/>
                <w:lang w:val="hr-HR"/>
              </w:rPr>
              <w:t>24.776</w:t>
            </w:r>
          </w:p>
        </w:tc>
        <w:tc>
          <w:tcPr>
            <w:tcW w:w="1347" w:type="dxa"/>
            <w:tcBorders>
              <w:top w:val="nil"/>
              <w:left w:val="nil"/>
              <w:bottom w:val="nil"/>
              <w:right w:val="nil"/>
            </w:tcBorders>
            <w:shd w:val="clear" w:color="auto" w:fill="auto"/>
            <w:vAlign w:val="center"/>
          </w:tcPr>
          <w:p w14:paraId="056408F3" w14:textId="77777777" w:rsidR="007E5D38" w:rsidRPr="00CE654D" w:rsidRDefault="007E5D38" w:rsidP="00E032FC">
            <w:pPr>
              <w:pStyle w:val="TT"/>
              <w:jc w:val="right"/>
              <w:rPr>
                <w:rFonts w:cs="Arial"/>
                <w:snapToGrid w:val="0"/>
                <w:color w:val="000000" w:themeColor="text1"/>
                <w:sz w:val="20"/>
                <w:lang w:val="hr-HR"/>
              </w:rPr>
            </w:pPr>
            <w:bookmarkStart w:id="227" w:name="_Toc67326709"/>
            <w:r w:rsidRPr="00CE654D">
              <w:rPr>
                <w:rFonts w:cs="Arial"/>
                <w:color w:val="000000" w:themeColor="text1"/>
                <w:sz w:val="20"/>
                <w:lang w:val="hr-HR"/>
              </w:rPr>
              <w:t>21.369</w:t>
            </w:r>
            <w:bookmarkEnd w:id="227"/>
          </w:p>
        </w:tc>
      </w:tr>
      <w:tr w:rsidR="007E5D38" w:rsidRPr="00EC7DFC" w14:paraId="669DA420" w14:textId="77777777" w:rsidTr="00E032FC">
        <w:trPr>
          <w:trHeight w:val="303"/>
        </w:trPr>
        <w:tc>
          <w:tcPr>
            <w:tcW w:w="5529" w:type="dxa"/>
            <w:vAlign w:val="bottom"/>
          </w:tcPr>
          <w:p w14:paraId="561A53C1" w14:textId="77777777" w:rsidR="007E5D38" w:rsidRPr="00CE654D" w:rsidRDefault="007E5D38" w:rsidP="00E032FC">
            <w:pPr>
              <w:pStyle w:val="TT"/>
              <w:rPr>
                <w:rFonts w:cs="Arial"/>
                <w:color w:val="000000" w:themeColor="text1"/>
                <w:sz w:val="20"/>
                <w:lang w:val="hr-HR"/>
              </w:rPr>
            </w:pPr>
            <w:bookmarkStart w:id="228" w:name="_Toc67326711"/>
            <w:r w:rsidRPr="00CE654D">
              <w:rPr>
                <w:rFonts w:cs="Arial"/>
                <w:color w:val="000000" w:themeColor="text1"/>
                <w:sz w:val="20"/>
                <w:lang w:val="hr-HR"/>
              </w:rPr>
              <w:t>Ostala imovina</w:t>
            </w:r>
            <w:bookmarkEnd w:id="228"/>
          </w:p>
        </w:tc>
        <w:tc>
          <w:tcPr>
            <w:tcW w:w="992" w:type="dxa"/>
            <w:vAlign w:val="bottom"/>
          </w:tcPr>
          <w:p w14:paraId="4B0C018F" w14:textId="77777777" w:rsidR="007E5D38" w:rsidRPr="00CE654D" w:rsidRDefault="007E5D38" w:rsidP="00E032FC">
            <w:pPr>
              <w:pStyle w:val="TT"/>
              <w:jc w:val="center"/>
              <w:rPr>
                <w:rFonts w:cs="Arial"/>
                <w:snapToGrid w:val="0"/>
                <w:color w:val="000000" w:themeColor="text1"/>
                <w:sz w:val="20"/>
                <w:lang w:val="hr-HR"/>
              </w:rPr>
            </w:pPr>
            <w:bookmarkStart w:id="229" w:name="_Toc67326712"/>
            <w:r w:rsidRPr="00CE654D">
              <w:rPr>
                <w:rFonts w:cs="Arial"/>
                <w:snapToGrid w:val="0"/>
                <w:color w:val="000000" w:themeColor="text1"/>
                <w:sz w:val="20"/>
                <w:lang w:val="hr-HR"/>
              </w:rPr>
              <w:t>2</w:t>
            </w:r>
            <w:bookmarkEnd w:id="229"/>
            <w:r w:rsidRPr="00CE654D">
              <w:rPr>
                <w:rFonts w:cs="Arial"/>
                <w:snapToGrid w:val="0"/>
                <w:color w:val="000000" w:themeColor="text1"/>
                <w:sz w:val="20"/>
                <w:lang w:val="hr-HR"/>
              </w:rPr>
              <w:t>1</w:t>
            </w:r>
          </w:p>
        </w:tc>
        <w:tc>
          <w:tcPr>
            <w:tcW w:w="1346" w:type="dxa"/>
            <w:tcBorders>
              <w:top w:val="nil"/>
              <w:left w:val="nil"/>
              <w:bottom w:val="nil"/>
              <w:right w:val="nil"/>
            </w:tcBorders>
            <w:shd w:val="clear" w:color="auto" w:fill="auto"/>
            <w:vAlign w:val="bottom"/>
          </w:tcPr>
          <w:p w14:paraId="26A49AC0" w14:textId="77777777" w:rsidR="007E5D38" w:rsidRPr="00CE654D" w:rsidRDefault="007E5D38" w:rsidP="00E032FC">
            <w:pPr>
              <w:pStyle w:val="TT"/>
              <w:jc w:val="right"/>
              <w:rPr>
                <w:rFonts w:cs="Arial"/>
                <w:color w:val="000000" w:themeColor="text1"/>
                <w:sz w:val="20"/>
                <w:lang w:val="hr-HR"/>
              </w:rPr>
            </w:pPr>
            <w:r w:rsidRPr="00CE654D">
              <w:rPr>
                <w:rFonts w:cs="Arial"/>
                <w:color w:val="000000" w:themeColor="text1"/>
                <w:sz w:val="20"/>
                <w:lang w:val="hr-HR"/>
              </w:rPr>
              <w:t>35.934</w:t>
            </w:r>
          </w:p>
        </w:tc>
        <w:tc>
          <w:tcPr>
            <w:tcW w:w="1347" w:type="dxa"/>
            <w:tcBorders>
              <w:top w:val="nil"/>
              <w:left w:val="nil"/>
              <w:bottom w:val="nil"/>
              <w:right w:val="nil"/>
            </w:tcBorders>
            <w:shd w:val="clear" w:color="auto" w:fill="auto"/>
            <w:vAlign w:val="center"/>
          </w:tcPr>
          <w:p w14:paraId="13D17C63" w14:textId="77777777" w:rsidR="007E5D38" w:rsidRPr="00CE654D" w:rsidRDefault="007E5D38" w:rsidP="00E032FC">
            <w:pPr>
              <w:pStyle w:val="TT"/>
              <w:jc w:val="right"/>
              <w:rPr>
                <w:rFonts w:cs="Arial"/>
                <w:snapToGrid w:val="0"/>
                <w:color w:val="000000" w:themeColor="text1"/>
                <w:sz w:val="20"/>
                <w:lang w:val="hr-HR"/>
              </w:rPr>
            </w:pPr>
            <w:bookmarkStart w:id="230" w:name="_Toc67326713"/>
            <w:r w:rsidRPr="00CE654D">
              <w:rPr>
                <w:rFonts w:cs="Arial"/>
                <w:color w:val="000000" w:themeColor="text1"/>
                <w:sz w:val="20"/>
                <w:lang w:val="hr-HR"/>
              </w:rPr>
              <w:t>37.537</w:t>
            </w:r>
            <w:bookmarkEnd w:id="230"/>
          </w:p>
        </w:tc>
      </w:tr>
      <w:tr w:rsidR="007E5D38" w:rsidRPr="00EC7DFC" w14:paraId="4917845B" w14:textId="77777777" w:rsidTr="00E032FC">
        <w:trPr>
          <w:trHeight w:val="341"/>
        </w:trPr>
        <w:tc>
          <w:tcPr>
            <w:tcW w:w="5529" w:type="dxa"/>
            <w:vAlign w:val="bottom"/>
          </w:tcPr>
          <w:p w14:paraId="48AE4860" w14:textId="77777777" w:rsidR="007E5D38" w:rsidRPr="00CE654D" w:rsidRDefault="007E5D38" w:rsidP="00E032FC">
            <w:pPr>
              <w:pStyle w:val="Tot"/>
              <w:rPr>
                <w:rFonts w:cs="Arial"/>
                <w:b/>
                <w:bCs/>
                <w:color w:val="000000" w:themeColor="text1"/>
                <w:sz w:val="20"/>
                <w:lang w:val="hr-HR"/>
              </w:rPr>
            </w:pPr>
            <w:bookmarkStart w:id="231" w:name="_Toc67326715"/>
            <w:r w:rsidRPr="00CE654D">
              <w:rPr>
                <w:rFonts w:cs="Arial"/>
                <w:b/>
                <w:bCs/>
                <w:color w:val="000000" w:themeColor="text1"/>
                <w:sz w:val="20"/>
                <w:lang w:val="hr-HR"/>
              </w:rPr>
              <w:t>Ukupna imovina</w:t>
            </w:r>
            <w:bookmarkEnd w:id="231"/>
          </w:p>
        </w:tc>
        <w:tc>
          <w:tcPr>
            <w:tcW w:w="992" w:type="dxa"/>
            <w:vAlign w:val="bottom"/>
          </w:tcPr>
          <w:p w14:paraId="611B622A" w14:textId="77777777" w:rsidR="007E5D38" w:rsidRPr="00CE654D" w:rsidRDefault="007E5D38" w:rsidP="00E032FC">
            <w:pPr>
              <w:pStyle w:val="TT"/>
              <w:jc w:val="center"/>
              <w:rPr>
                <w:rFonts w:cs="Arial"/>
                <w:snapToGrid w:val="0"/>
                <w:color w:val="000000" w:themeColor="text1"/>
                <w:sz w:val="20"/>
                <w:lang w:val="hr-HR"/>
              </w:rPr>
            </w:pPr>
          </w:p>
        </w:tc>
        <w:tc>
          <w:tcPr>
            <w:tcW w:w="1346" w:type="dxa"/>
            <w:tcBorders>
              <w:top w:val="single" w:sz="2" w:space="0" w:color="auto"/>
              <w:bottom w:val="single" w:sz="12" w:space="0" w:color="auto"/>
            </w:tcBorders>
            <w:vAlign w:val="bottom"/>
          </w:tcPr>
          <w:p w14:paraId="7291D68C" w14:textId="77777777" w:rsidR="007E5D38" w:rsidRPr="00CE654D" w:rsidRDefault="007E5D38" w:rsidP="00E032FC">
            <w:pPr>
              <w:pStyle w:val="Tot"/>
              <w:jc w:val="right"/>
              <w:rPr>
                <w:rFonts w:cs="Arial"/>
                <w:b/>
                <w:bCs/>
                <w:color w:val="000000" w:themeColor="text1"/>
                <w:sz w:val="20"/>
                <w:lang w:val="hr-HR"/>
              </w:rPr>
            </w:pPr>
            <w:r w:rsidRPr="00CE654D">
              <w:rPr>
                <w:rFonts w:cs="Arial"/>
                <w:b/>
                <w:bCs/>
                <w:color w:val="000000" w:themeColor="text1"/>
                <w:sz w:val="20"/>
                <w:lang w:val="hr-HR"/>
              </w:rPr>
              <w:t>29.060.163</w:t>
            </w:r>
          </w:p>
        </w:tc>
        <w:tc>
          <w:tcPr>
            <w:tcW w:w="1347" w:type="dxa"/>
            <w:tcBorders>
              <w:top w:val="single" w:sz="2" w:space="0" w:color="auto"/>
              <w:bottom w:val="single" w:sz="12" w:space="0" w:color="auto"/>
            </w:tcBorders>
            <w:vAlign w:val="bottom"/>
          </w:tcPr>
          <w:p w14:paraId="5FE0AB46" w14:textId="77777777" w:rsidR="007E5D38" w:rsidRPr="00CE654D" w:rsidRDefault="007E5D38" w:rsidP="00E032FC">
            <w:pPr>
              <w:pStyle w:val="Tot"/>
              <w:jc w:val="right"/>
              <w:rPr>
                <w:rFonts w:cs="Arial"/>
                <w:b/>
                <w:bCs/>
                <w:color w:val="000000" w:themeColor="text1"/>
                <w:sz w:val="20"/>
                <w:lang w:val="hr-HR"/>
              </w:rPr>
            </w:pPr>
            <w:bookmarkStart w:id="232" w:name="_Toc67326716"/>
            <w:r w:rsidRPr="00CE654D">
              <w:rPr>
                <w:rFonts w:cs="Arial"/>
                <w:b/>
                <w:bCs/>
                <w:color w:val="000000" w:themeColor="text1"/>
                <w:sz w:val="20"/>
                <w:lang w:val="hr-HR"/>
              </w:rPr>
              <w:t>28.278.362</w:t>
            </w:r>
            <w:bookmarkEnd w:id="232"/>
          </w:p>
        </w:tc>
      </w:tr>
      <w:tr w:rsidR="007E5D38" w:rsidRPr="00EC7DFC" w14:paraId="55EE414B" w14:textId="77777777" w:rsidTr="00E032FC">
        <w:trPr>
          <w:trHeight w:val="291"/>
        </w:trPr>
        <w:tc>
          <w:tcPr>
            <w:tcW w:w="5529" w:type="dxa"/>
            <w:vAlign w:val="bottom"/>
          </w:tcPr>
          <w:p w14:paraId="263D6E6D" w14:textId="77777777" w:rsidR="007E5D38" w:rsidRPr="00CE654D" w:rsidRDefault="007E5D38" w:rsidP="00E032FC">
            <w:pPr>
              <w:pStyle w:val="TT"/>
              <w:rPr>
                <w:rFonts w:cs="Arial"/>
                <w:b/>
                <w:bCs/>
                <w:color w:val="000000" w:themeColor="text1"/>
                <w:sz w:val="20"/>
                <w:lang w:val="hr-HR"/>
              </w:rPr>
            </w:pPr>
            <w:bookmarkStart w:id="233" w:name="_Toc67326718"/>
            <w:r w:rsidRPr="00CE654D">
              <w:rPr>
                <w:rFonts w:cs="Arial"/>
                <w:b/>
                <w:bCs/>
                <w:color w:val="000000" w:themeColor="text1"/>
                <w:sz w:val="20"/>
                <w:lang w:val="hr-HR"/>
              </w:rPr>
              <w:t>Obveze</w:t>
            </w:r>
            <w:bookmarkEnd w:id="233"/>
          </w:p>
        </w:tc>
        <w:tc>
          <w:tcPr>
            <w:tcW w:w="992" w:type="dxa"/>
            <w:vAlign w:val="bottom"/>
          </w:tcPr>
          <w:p w14:paraId="1DC21D7F" w14:textId="77777777" w:rsidR="007E5D38" w:rsidRPr="00CE654D" w:rsidRDefault="007E5D38" w:rsidP="00E032FC">
            <w:pPr>
              <w:pStyle w:val="TT"/>
              <w:jc w:val="center"/>
              <w:rPr>
                <w:rFonts w:cs="Arial"/>
                <w:snapToGrid w:val="0"/>
                <w:color w:val="000000" w:themeColor="text1"/>
                <w:sz w:val="20"/>
                <w:lang w:val="hr-HR"/>
              </w:rPr>
            </w:pPr>
          </w:p>
        </w:tc>
        <w:tc>
          <w:tcPr>
            <w:tcW w:w="1346" w:type="dxa"/>
            <w:vAlign w:val="bottom"/>
          </w:tcPr>
          <w:p w14:paraId="3AF25912" w14:textId="77777777" w:rsidR="007E5D38" w:rsidRPr="00CE654D" w:rsidRDefault="007E5D38" w:rsidP="00E032FC">
            <w:pPr>
              <w:pStyle w:val="TT"/>
              <w:jc w:val="right"/>
              <w:rPr>
                <w:rFonts w:cs="Arial"/>
                <w:b/>
                <w:bCs/>
                <w:color w:val="000000" w:themeColor="text1"/>
                <w:sz w:val="20"/>
                <w:lang w:val="hr-HR"/>
              </w:rPr>
            </w:pPr>
          </w:p>
        </w:tc>
        <w:tc>
          <w:tcPr>
            <w:tcW w:w="1347" w:type="dxa"/>
            <w:vAlign w:val="bottom"/>
          </w:tcPr>
          <w:p w14:paraId="7E4FC966" w14:textId="77777777" w:rsidR="007E5D38" w:rsidRPr="00CE654D" w:rsidRDefault="007E5D38" w:rsidP="00E032FC">
            <w:pPr>
              <w:pStyle w:val="TT"/>
              <w:jc w:val="right"/>
              <w:rPr>
                <w:rFonts w:cs="Arial"/>
                <w:b/>
                <w:bCs/>
                <w:color w:val="000000" w:themeColor="text1"/>
                <w:sz w:val="20"/>
                <w:lang w:val="hr-HR"/>
              </w:rPr>
            </w:pPr>
          </w:p>
        </w:tc>
      </w:tr>
      <w:tr w:rsidR="007E5D38" w:rsidRPr="00EC7DFC" w14:paraId="7F755807" w14:textId="77777777" w:rsidTr="00E032FC">
        <w:trPr>
          <w:trHeight w:val="303"/>
        </w:trPr>
        <w:tc>
          <w:tcPr>
            <w:tcW w:w="5529" w:type="dxa"/>
            <w:vAlign w:val="bottom"/>
          </w:tcPr>
          <w:p w14:paraId="304BC22C" w14:textId="77777777" w:rsidR="007E5D38" w:rsidRPr="00CE654D" w:rsidRDefault="007E5D38" w:rsidP="00E032FC">
            <w:pPr>
              <w:pStyle w:val="TT"/>
              <w:rPr>
                <w:rFonts w:cs="Arial"/>
                <w:color w:val="000000" w:themeColor="text1"/>
                <w:sz w:val="20"/>
                <w:lang w:val="hr-HR"/>
              </w:rPr>
            </w:pPr>
            <w:bookmarkStart w:id="234" w:name="_Toc67326719"/>
            <w:r w:rsidRPr="00CE654D">
              <w:rPr>
                <w:rFonts w:cs="Arial"/>
                <w:color w:val="000000" w:themeColor="text1"/>
                <w:sz w:val="20"/>
                <w:lang w:val="hr-HR"/>
              </w:rPr>
              <w:t>Obveze po depozitima</w:t>
            </w:r>
            <w:bookmarkEnd w:id="234"/>
          </w:p>
        </w:tc>
        <w:tc>
          <w:tcPr>
            <w:tcW w:w="992" w:type="dxa"/>
            <w:vAlign w:val="bottom"/>
          </w:tcPr>
          <w:p w14:paraId="6564E959" w14:textId="77777777" w:rsidR="007E5D38" w:rsidRPr="00CE654D" w:rsidRDefault="007E5D38" w:rsidP="00E032FC">
            <w:pPr>
              <w:pStyle w:val="TT"/>
              <w:jc w:val="center"/>
              <w:rPr>
                <w:rFonts w:cs="Arial"/>
                <w:snapToGrid w:val="0"/>
                <w:color w:val="000000" w:themeColor="text1"/>
                <w:sz w:val="20"/>
                <w:lang w:val="hr-HR"/>
              </w:rPr>
            </w:pPr>
            <w:bookmarkStart w:id="235" w:name="_Toc67326720"/>
            <w:r w:rsidRPr="00CE654D">
              <w:rPr>
                <w:rFonts w:cs="Arial"/>
                <w:snapToGrid w:val="0"/>
                <w:color w:val="000000" w:themeColor="text1"/>
                <w:sz w:val="20"/>
                <w:lang w:val="hr-HR"/>
              </w:rPr>
              <w:t>2</w:t>
            </w:r>
            <w:bookmarkEnd w:id="235"/>
            <w:r w:rsidRPr="00CE654D">
              <w:rPr>
                <w:rFonts w:cs="Arial"/>
                <w:snapToGrid w:val="0"/>
                <w:color w:val="000000" w:themeColor="text1"/>
                <w:sz w:val="20"/>
                <w:lang w:val="hr-HR"/>
              </w:rPr>
              <w:t>2</w:t>
            </w:r>
          </w:p>
        </w:tc>
        <w:tc>
          <w:tcPr>
            <w:tcW w:w="1346" w:type="dxa"/>
            <w:tcBorders>
              <w:top w:val="nil"/>
              <w:left w:val="nil"/>
              <w:bottom w:val="nil"/>
              <w:right w:val="nil"/>
            </w:tcBorders>
            <w:shd w:val="clear" w:color="auto" w:fill="auto"/>
            <w:vAlign w:val="bottom"/>
          </w:tcPr>
          <w:p w14:paraId="6B58F397" w14:textId="77777777" w:rsidR="007E5D38" w:rsidRPr="00CE654D" w:rsidRDefault="007E5D38" w:rsidP="00E032FC">
            <w:pPr>
              <w:pStyle w:val="TT"/>
              <w:jc w:val="right"/>
              <w:rPr>
                <w:rFonts w:cs="Arial"/>
                <w:color w:val="000000" w:themeColor="text1"/>
                <w:sz w:val="20"/>
                <w:lang w:val="hr-HR"/>
              </w:rPr>
            </w:pPr>
            <w:r w:rsidRPr="00CE654D">
              <w:rPr>
                <w:rFonts w:cs="Arial"/>
                <w:color w:val="000000" w:themeColor="text1"/>
                <w:sz w:val="20"/>
                <w:lang w:val="hr-HR"/>
              </w:rPr>
              <w:t>1.024.623</w:t>
            </w:r>
          </w:p>
        </w:tc>
        <w:tc>
          <w:tcPr>
            <w:tcW w:w="1347" w:type="dxa"/>
            <w:tcBorders>
              <w:top w:val="nil"/>
              <w:left w:val="nil"/>
              <w:bottom w:val="nil"/>
              <w:right w:val="nil"/>
            </w:tcBorders>
            <w:shd w:val="clear" w:color="auto" w:fill="auto"/>
            <w:vAlign w:val="center"/>
          </w:tcPr>
          <w:p w14:paraId="4E85D626" w14:textId="77777777" w:rsidR="007E5D38" w:rsidRPr="00CE654D" w:rsidRDefault="007E5D38" w:rsidP="00E032FC">
            <w:pPr>
              <w:pStyle w:val="TT"/>
              <w:jc w:val="right"/>
              <w:rPr>
                <w:rFonts w:cs="Arial"/>
                <w:color w:val="000000" w:themeColor="text1"/>
                <w:sz w:val="20"/>
                <w:lang w:val="hr-HR"/>
              </w:rPr>
            </w:pPr>
            <w:bookmarkStart w:id="236" w:name="_Toc67326721"/>
            <w:r w:rsidRPr="00CE654D">
              <w:rPr>
                <w:rFonts w:cs="Arial"/>
                <w:color w:val="000000" w:themeColor="text1"/>
                <w:sz w:val="20"/>
                <w:lang w:val="hr-HR"/>
              </w:rPr>
              <w:t>960.541</w:t>
            </w:r>
            <w:bookmarkEnd w:id="236"/>
          </w:p>
        </w:tc>
      </w:tr>
      <w:tr w:rsidR="007E5D38" w:rsidRPr="00EC7DFC" w14:paraId="45771D33" w14:textId="77777777" w:rsidTr="00E032FC">
        <w:trPr>
          <w:trHeight w:val="303"/>
        </w:trPr>
        <w:tc>
          <w:tcPr>
            <w:tcW w:w="5529" w:type="dxa"/>
            <w:vAlign w:val="bottom"/>
          </w:tcPr>
          <w:p w14:paraId="53BEF7C8" w14:textId="77777777" w:rsidR="007E5D38" w:rsidRPr="00CE654D" w:rsidRDefault="007E5D38" w:rsidP="00E032FC">
            <w:pPr>
              <w:pStyle w:val="TT"/>
              <w:rPr>
                <w:rFonts w:cs="Arial"/>
                <w:color w:val="000000" w:themeColor="text1"/>
                <w:sz w:val="20"/>
                <w:lang w:val="hr-HR"/>
              </w:rPr>
            </w:pPr>
            <w:bookmarkStart w:id="237" w:name="_Toc67326723"/>
            <w:r w:rsidRPr="00CE654D">
              <w:rPr>
                <w:rFonts w:cs="Arial"/>
                <w:color w:val="000000" w:themeColor="text1"/>
                <w:sz w:val="20"/>
                <w:lang w:val="hr-HR"/>
              </w:rPr>
              <w:t>Obveze po kreditima</w:t>
            </w:r>
            <w:bookmarkEnd w:id="237"/>
          </w:p>
        </w:tc>
        <w:tc>
          <w:tcPr>
            <w:tcW w:w="992" w:type="dxa"/>
          </w:tcPr>
          <w:p w14:paraId="60349B95" w14:textId="77777777" w:rsidR="007E5D38" w:rsidRPr="00CE654D" w:rsidRDefault="007E5D38" w:rsidP="00E032FC">
            <w:pPr>
              <w:pStyle w:val="TT"/>
              <w:jc w:val="center"/>
              <w:rPr>
                <w:rFonts w:cs="Arial"/>
                <w:snapToGrid w:val="0"/>
                <w:color w:val="000000" w:themeColor="text1"/>
                <w:sz w:val="20"/>
                <w:lang w:val="hr-HR"/>
              </w:rPr>
            </w:pPr>
            <w:r w:rsidRPr="00CE654D">
              <w:rPr>
                <w:sz w:val="20"/>
              </w:rPr>
              <w:t>23</w:t>
            </w:r>
          </w:p>
        </w:tc>
        <w:tc>
          <w:tcPr>
            <w:tcW w:w="1346" w:type="dxa"/>
            <w:tcBorders>
              <w:top w:val="nil"/>
              <w:left w:val="nil"/>
              <w:bottom w:val="nil"/>
              <w:right w:val="nil"/>
            </w:tcBorders>
            <w:shd w:val="clear" w:color="auto" w:fill="auto"/>
            <w:vAlign w:val="bottom"/>
          </w:tcPr>
          <w:p w14:paraId="5D417A7E" w14:textId="77777777" w:rsidR="007E5D38" w:rsidRPr="00CE654D" w:rsidRDefault="007E5D38" w:rsidP="00E032FC">
            <w:pPr>
              <w:pStyle w:val="TT"/>
              <w:jc w:val="right"/>
              <w:rPr>
                <w:rFonts w:cs="Arial"/>
                <w:color w:val="000000" w:themeColor="text1"/>
                <w:sz w:val="20"/>
                <w:lang w:val="hr-HR"/>
              </w:rPr>
            </w:pPr>
            <w:r w:rsidRPr="00CE654D">
              <w:rPr>
                <w:rFonts w:cs="Arial"/>
                <w:color w:val="000000" w:themeColor="text1"/>
                <w:sz w:val="20"/>
                <w:lang w:val="hr-HR"/>
              </w:rPr>
              <w:t>16.501.276</w:t>
            </w:r>
          </w:p>
        </w:tc>
        <w:tc>
          <w:tcPr>
            <w:tcW w:w="1347" w:type="dxa"/>
            <w:tcBorders>
              <w:top w:val="nil"/>
              <w:left w:val="nil"/>
              <w:bottom w:val="nil"/>
              <w:right w:val="nil"/>
            </w:tcBorders>
            <w:shd w:val="clear" w:color="auto" w:fill="auto"/>
            <w:vAlign w:val="center"/>
          </w:tcPr>
          <w:p w14:paraId="34052C09" w14:textId="77777777" w:rsidR="007E5D38" w:rsidRPr="00CE654D" w:rsidRDefault="007E5D38" w:rsidP="00E032FC">
            <w:pPr>
              <w:pStyle w:val="TT"/>
              <w:jc w:val="right"/>
              <w:rPr>
                <w:rFonts w:cs="Arial"/>
                <w:color w:val="000000" w:themeColor="text1"/>
                <w:sz w:val="20"/>
                <w:lang w:val="hr-HR"/>
              </w:rPr>
            </w:pPr>
            <w:bookmarkStart w:id="238" w:name="_Toc67326725"/>
            <w:r w:rsidRPr="00CE654D">
              <w:rPr>
                <w:rFonts w:cs="Arial"/>
                <w:color w:val="000000" w:themeColor="text1"/>
                <w:sz w:val="20"/>
                <w:lang w:val="hr-HR"/>
              </w:rPr>
              <w:t>16.115.237</w:t>
            </w:r>
            <w:bookmarkEnd w:id="238"/>
          </w:p>
        </w:tc>
      </w:tr>
      <w:tr w:rsidR="007E5D38" w:rsidRPr="00EC7DFC" w14:paraId="3CDAAB4A" w14:textId="77777777" w:rsidTr="00E032FC">
        <w:trPr>
          <w:trHeight w:val="303"/>
        </w:trPr>
        <w:tc>
          <w:tcPr>
            <w:tcW w:w="5529" w:type="dxa"/>
            <w:vAlign w:val="bottom"/>
          </w:tcPr>
          <w:p w14:paraId="05A815C2" w14:textId="77777777" w:rsidR="007E5D38" w:rsidRPr="00CE654D" w:rsidRDefault="007E5D38" w:rsidP="00E032FC">
            <w:pPr>
              <w:pStyle w:val="TT"/>
              <w:rPr>
                <w:rFonts w:cs="Arial"/>
                <w:color w:val="000000" w:themeColor="text1"/>
                <w:sz w:val="20"/>
                <w:lang w:val="hr-HR"/>
              </w:rPr>
            </w:pPr>
            <w:bookmarkStart w:id="239" w:name="_Toc67326731"/>
            <w:r w:rsidRPr="00CE654D">
              <w:rPr>
                <w:rFonts w:cs="Arial"/>
                <w:color w:val="000000" w:themeColor="text1"/>
                <w:sz w:val="20"/>
                <w:lang w:val="hr-HR"/>
              </w:rPr>
              <w:t>Rezerviranja za garancije, preuzete i ostale obveze</w:t>
            </w:r>
            <w:bookmarkEnd w:id="239"/>
          </w:p>
        </w:tc>
        <w:tc>
          <w:tcPr>
            <w:tcW w:w="992" w:type="dxa"/>
          </w:tcPr>
          <w:p w14:paraId="1C5759FE" w14:textId="77777777" w:rsidR="007E5D38" w:rsidRPr="00CE654D" w:rsidRDefault="007E5D38" w:rsidP="00E032FC">
            <w:pPr>
              <w:pStyle w:val="TT"/>
              <w:jc w:val="center"/>
              <w:rPr>
                <w:rFonts w:cs="Arial"/>
                <w:snapToGrid w:val="0"/>
                <w:color w:val="000000" w:themeColor="text1"/>
                <w:sz w:val="20"/>
                <w:lang w:val="hr-HR"/>
              </w:rPr>
            </w:pPr>
            <w:r w:rsidRPr="00CE654D">
              <w:rPr>
                <w:sz w:val="20"/>
              </w:rPr>
              <w:t>24</w:t>
            </w:r>
          </w:p>
        </w:tc>
        <w:tc>
          <w:tcPr>
            <w:tcW w:w="1346" w:type="dxa"/>
            <w:tcBorders>
              <w:top w:val="nil"/>
              <w:left w:val="nil"/>
              <w:bottom w:val="nil"/>
              <w:right w:val="nil"/>
            </w:tcBorders>
            <w:shd w:val="clear" w:color="auto" w:fill="auto"/>
            <w:vAlign w:val="bottom"/>
          </w:tcPr>
          <w:p w14:paraId="5E2426AF" w14:textId="77777777" w:rsidR="007E5D38" w:rsidRPr="00CE654D" w:rsidDel="00D96056" w:rsidRDefault="007E5D38" w:rsidP="00E032FC">
            <w:pPr>
              <w:pStyle w:val="TT"/>
              <w:jc w:val="right"/>
              <w:rPr>
                <w:rFonts w:cs="Arial"/>
                <w:color w:val="000000" w:themeColor="text1"/>
                <w:sz w:val="20"/>
                <w:lang w:val="hr-HR"/>
              </w:rPr>
            </w:pPr>
            <w:r w:rsidRPr="00CE654D">
              <w:rPr>
                <w:rFonts w:cs="Arial"/>
                <w:color w:val="000000" w:themeColor="text1"/>
                <w:sz w:val="20"/>
                <w:lang w:val="hr-HR"/>
              </w:rPr>
              <w:t>142.715</w:t>
            </w:r>
          </w:p>
        </w:tc>
        <w:tc>
          <w:tcPr>
            <w:tcW w:w="1347" w:type="dxa"/>
            <w:tcBorders>
              <w:top w:val="nil"/>
              <w:left w:val="nil"/>
              <w:bottom w:val="nil"/>
              <w:right w:val="nil"/>
            </w:tcBorders>
            <w:shd w:val="clear" w:color="auto" w:fill="auto"/>
            <w:vAlign w:val="center"/>
          </w:tcPr>
          <w:p w14:paraId="2BECF75E" w14:textId="77777777" w:rsidR="007E5D38" w:rsidRPr="00CE654D" w:rsidRDefault="007E5D38" w:rsidP="00E032FC">
            <w:pPr>
              <w:pStyle w:val="TT"/>
              <w:jc w:val="right"/>
              <w:rPr>
                <w:rFonts w:cs="Arial"/>
                <w:color w:val="000000" w:themeColor="text1"/>
                <w:sz w:val="20"/>
                <w:lang w:val="hr-HR"/>
              </w:rPr>
            </w:pPr>
            <w:bookmarkStart w:id="240" w:name="_Toc67326733"/>
            <w:r w:rsidRPr="00CE654D">
              <w:rPr>
                <w:rFonts w:cs="Arial"/>
                <w:color w:val="000000" w:themeColor="text1"/>
                <w:sz w:val="20"/>
                <w:lang w:val="hr-HR"/>
              </w:rPr>
              <w:t>190.560</w:t>
            </w:r>
            <w:bookmarkEnd w:id="240"/>
          </w:p>
        </w:tc>
      </w:tr>
      <w:tr w:rsidR="007E5D38" w:rsidRPr="00EC7DFC" w14:paraId="5FED18DA" w14:textId="77777777" w:rsidTr="00E032FC">
        <w:trPr>
          <w:trHeight w:val="303"/>
        </w:trPr>
        <w:tc>
          <w:tcPr>
            <w:tcW w:w="5529" w:type="dxa"/>
            <w:vAlign w:val="bottom"/>
          </w:tcPr>
          <w:p w14:paraId="2BE9FD11" w14:textId="77777777" w:rsidR="007E5D38" w:rsidRPr="00CE654D" w:rsidRDefault="007E5D38" w:rsidP="00E032FC">
            <w:pPr>
              <w:pStyle w:val="TT"/>
              <w:rPr>
                <w:rFonts w:cs="Arial"/>
                <w:color w:val="000000" w:themeColor="text1"/>
                <w:sz w:val="20"/>
                <w:lang w:val="hr-HR"/>
              </w:rPr>
            </w:pPr>
            <w:bookmarkStart w:id="241" w:name="_Toc67326735"/>
            <w:r w:rsidRPr="00CE654D">
              <w:rPr>
                <w:rFonts w:cs="Arial"/>
                <w:color w:val="000000" w:themeColor="text1"/>
                <w:sz w:val="20"/>
                <w:lang w:val="hr-HR"/>
              </w:rPr>
              <w:t>Ostale obveze</w:t>
            </w:r>
            <w:bookmarkEnd w:id="241"/>
          </w:p>
        </w:tc>
        <w:tc>
          <w:tcPr>
            <w:tcW w:w="992" w:type="dxa"/>
          </w:tcPr>
          <w:p w14:paraId="4A9E3E15" w14:textId="77777777" w:rsidR="007E5D38" w:rsidRPr="00CE654D" w:rsidRDefault="007E5D38" w:rsidP="00E032FC">
            <w:pPr>
              <w:pStyle w:val="TT"/>
              <w:jc w:val="center"/>
              <w:rPr>
                <w:rFonts w:cs="Arial"/>
                <w:snapToGrid w:val="0"/>
                <w:color w:val="000000" w:themeColor="text1"/>
                <w:sz w:val="20"/>
                <w:lang w:val="hr-HR"/>
              </w:rPr>
            </w:pPr>
            <w:r w:rsidRPr="00CE654D">
              <w:rPr>
                <w:sz w:val="20"/>
              </w:rPr>
              <w:t>25</w:t>
            </w:r>
          </w:p>
        </w:tc>
        <w:tc>
          <w:tcPr>
            <w:tcW w:w="1346" w:type="dxa"/>
            <w:tcBorders>
              <w:top w:val="nil"/>
              <w:left w:val="nil"/>
              <w:bottom w:val="single" w:sz="4" w:space="0" w:color="auto"/>
              <w:right w:val="nil"/>
            </w:tcBorders>
            <w:shd w:val="clear" w:color="auto" w:fill="auto"/>
            <w:vAlign w:val="bottom"/>
          </w:tcPr>
          <w:p w14:paraId="33C07B5B" w14:textId="77777777" w:rsidR="007E5D38" w:rsidRPr="00CE654D" w:rsidRDefault="007E5D38" w:rsidP="00E032FC">
            <w:pPr>
              <w:pStyle w:val="TT"/>
              <w:jc w:val="right"/>
              <w:rPr>
                <w:rFonts w:cs="Arial"/>
                <w:color w:val="000000" w:themeColor="text1"/>
                <w:sz w:val="20"/>
                <w:lang w:val="hr-HR"/>
              </w:rPr>
            </w:pPr>
            <w:r w:rsidRPr="00CE654D">
              <w:rPr>
                <w:rFonts w:cs="Arial"/>
                <w:color w:val="000000" w:themeColor="text1"/>
                <w:sz w:val="20"/>
                <w:lang w:val="hr-HR"/>
              </w:rPr>
              <w:t>676.523</w:t>
            </w:r>
          </w:p>
        </w:tc>
        <w:tc>
          <w:tcPr>
            <w:tcW w:w="1347" w:type="dxa"/>
            <w:tcBorders>
              <w:top w:val="nil"/>
              <w:left w:val="nil"/>
              <w:bottom w:val="single" w:sz="4" w:space="0" w:color="auto"/>
              <w:right w:val="nil"/>
            </w:tcBorders>
            <w:shd w:val="clear" w:color="auto" w:fill="auto"/>
            <w:vAlign w:val="center"/>
          </w:tcPr>
          <w:p w14:paraId="7A490FB9" w14:textId="77777777" w:rsidR="007E5D38" w:rsidRPr="00CE654D" w:rsidRDefault="007E5D38" w:rsidP="00E032FC">
            <w:pPr>
              <w:pStyle w:val="TT"/>
              <w:jc w:val="right"/>
              <w:rPr>
                <w:rFonts w:cs="Arial"/>
                <w:color w:val="000000" w:themeColor="text1"/>
                <w:sz w:val="20"/>
                <w:lang w:val="hr-HR"/>
              </w:rPr>
            </w:pPr>
            <w:bookmarkStart w:id="242" w:name="_Toc67326737"/>
            <w:r w:rsidRPr="00CE654D">
              <w:rPr>
                <w:rFonts w:cs="Arial"/>
                <w:color w:val="000000" w:themeColor="text1"/>
                <w:sz w:val="20"/>
                <w:lang w:val="hr-HR"/>
              </w:rPr>
              <w:t>435.239</w:t>
            </w:r>
            <w:bookmarkEnd w:id="242"/>
          </w:p>
        </w:tc>
      </w:tr>
      <w:tr w:rsidR="007E5D38" w:rsidRPr="00EC7DFC" w14:paraId="6DE8BD5C" w14:textId="77777777" w:rsidTr="00E032FC">
        <w:trPr>
          <w:trHeight w:val="341"/>
        </w:trPr>
        <w:tc>
          <w:tcPr>
            <w:tcW w:w="5529" w:type="dxa"/>
            <w:vAlign w:val="bottom"/>
          </w:tcPr>
          <w:p w14:paraId="25DF4BB9" w14:textId="77777777" w:rsidR="007E5D38" w:rsidRPr="00CE654D" w:rsidRDefault="007E5D38" w:rsidP="00E032FC">
            <w:pPr>
              <w:pStyle w:val="Tot"/>
              <w:rPr>
                <w:rFonts w:cs="Arial"/>
                <w:b/>
                <w:bCs/>
                <w:color w:val="000000" w:themeColor="text1"/>
                <w:sz w:val="20"/>
                <w:lang w:val="hr-HR"/>
              </w:rPr>
            </w:pPr>
            <w:bookmarkStart w:id="243" w:name="_Toc67326739"/>
            <w:r w:rsidRPr="00CE654D">
              <w:rPr>
                <w:rFonts w:cs="Arial"/>
                <w:b/>
                <w:bCs/>
                <w:color w:val="000000" w:themeColor="text1"/>
                <w:sz w:val="20"/>
                <w:lang w:val="hr-HR"/>
              </w:rPr>
              <w:t>Ukupne obveze</w:t>
            </w:r>
            <w:bookmarkEnd w:id="243"/>
          </w:p>
        </w:tc>
        <w:tc>
          <w:tcPr>
            <w:tcW w:w="992" w:type="dxa"/>
            <w:vAlign w:val="bottom"/>
          </w:tcPr>
          <w:p w14:paraId="0268BA99" w14:textId="77777777" w:rsidR="007E5D38" w:rsidRPr="00CE654D" w:rsidRDefault="007E5D38" w:rsidP="00E032FC">
            <w:pPr>
              <w:pStyle w:val="TT"/>
              <w:jc w:val="center"/>
              <w:rPr>
                <w:rFonts w:cs="Arial"/>
                <w:snapToGrid w:val="0"/>
                <w:color w:val="000000" w:themeColor="text1"/>
                <w:sz w:val="20"/>
                <w:lang w:val="hr-HR"/>
              </w:rPr>
            </w:pPr>
          </w:p>
        </w:tc>
        <w:tc>
          <w:tcPr>
            <w:tcW w:w="1346" w:type="dxa"/>
            <w:tcBorders>
              <w:top w:val="single" w:sz="4" w:space="0" w:color="auto"/>
              <w:left w:val="nil"/>
              <w:bottom w:val="single" w:sz="12" w:space="0" w:color="auto"/>
              <w:right w:val="nil"/>
            </w:tcBorders>
            <w:shd w:val="clear" w:color="auto" w:fill="auto"/>
            <w:vAlign w:val="bottom"/>
          </w:tcPr>
          <w:p w14:paraId="06CB3084" w14:textId="77777777" w:rsidR="007E5D38" w:rsidRPr="00CE654D" w:rsidRDefault="007E5D38" w:rsidP="00E032FC">
            <w:pPr>
              <w:pStyle w:val="Tot"/>
              <w:jc w:val="right"/>
              <w:rPr>
                <w:rFonts w:cs="Arial"/>
                <w:b/>
                <w:bCs/>
                <w:color w:val="000000" w:themeColor="text1"/>
                <w:sz w:val="20"/>
                <w:lang w:val="hr-HR"/>
              </w:rPr>
            </w:pPr>
            <w:r w:rsidRPr="00CE654D">
              <w:rPr>
                <w:rFonts w:cs="Arial"/>
                <w:b/>
                <w:bCs/>
                <w:color w:val="000000" w:themeColor="text1"/>
                <w:sz w:val="20"/>
                <w:lang w:val="hr-HR"/>
              </w:rPr>
              <w:t>18.345.137</w:t>
            </w:r>
          </w:p>
        </w:tc>
        <w:tc>
          <w:tcPr>
            <w:tcW w:w="1347" w:type="dxa"/>
            <w:tcBorders>
              <w:top w:val="single" w:sz="4" w:space="0" w:color="auto"/>
              <w:left w:val="nil"/>
              <w:bottom w:val="single" w:sz="12" w:space="0" w:color="auto"/>
              <w:right w:val="nil"/>
            </w:tcBorders>
            <w:shd w:val="clear" w:color="auto" w:fill="auto"/>
            <w:vAlign w:val="center"/>
          </w:tcPr>
          <w:p w14:paraId="3C10DC85" w14:textId="77777777" w:rsidR="007E5D38" w:rsidRPr="00CE654D" w:rsidRDefault="007E5D38" w:rsidP="00E032FC">
            <w:pPr>
              <w:pStyle w:val="Tot"/>
              <w:jc w:val="right"/>
              <w:rPr>
                <w:rFonts w:cs="Arial"/>
                <w:b/>
                <w:bCs/>
                <w:color w:val="000000" w:themeColor="text1"/>
                <w:sz w:val="20"/>
                <w:lang w:val="hr-HR"/>
              </w:rPr>
            </w:pPr>
            <w:bookmarkStart w:id="244" w:name="_Toc67326740"/>
            <w:r w:rsidRPr="00CE654D">
              <w:rPr>
                <w:rFonts w:cs="Arial"/>
                <w:b/>
                <w:bCs/>
                <w:color w:val="000000" w:themeColor="text1"/>
                <w:sz w:val="20"/>
                <w:lang w:val="hr-HR"/>
              </w:rPr>
              <w:t>17.701.577</w:t>
            </w:r>
            <w:bookmarkEnd w:id="244"/>
          </w:p>
        </w:tc>
      </w:tr>
      <w:tr w:rsidR="007E5D38" w:rsidRPr="00EC7DFC" w14:paraId="1E2D7A9B" w14:textId="77777777" w:rsidTr="00E032FC">
        <w:trPr>
          <w:trHeight w:val="303"/>
        </w:trPr>
        <w:tc>
          <w:tcPr>
            <w:tcW w:w="5529" w:type="dxa"/>
            <w:vAlign w:val="bottom"/>
          </w:tcPr>
          <w:p w14:paraId="14B56849" w14:textId="77777777" w:rsidR="007E5D38" w:rsidRPr="00CE654D" w:rsidRDefault="007E5D38" w:rsidP="00E032FC">
            <w:pPr>
              <w:pStyle w:val="TT"/>
              <w:rPr>
                <w:rFonts w:cs="Arial"/>
                <w:b/>
                <w:bCs/>
                <w:color w:val="000000" w:themeColor="text1"/>
                <w:sz w:val="20"/>
                <w:lang w:val="hr-HR"/>
              </w:rPr>
            </w:pPr>
            <w:bookmarkStart w:id="245" w:name="_Toc67326742"/>
            <w:r w:rsidRPr="00CE654D">
              <w:rPr>
                <w:rFonts w:cs="Arial"/>
                <w:b/>
                <w:bCs/>
                <w:color w:val="000000" w:themeColor="text1"/>
                <w:sz w:val="20"/>
                <w:lang w:val="hr-HR"/>
              </w:rPr>
              <w:t>Kapital i rezerve</w:t>
            </w:r>
            <w:bookmarkEnd w:id="245"/>
          </w:p>
        </w:tc>
        <w:tc>
          <w:tcPr>
            <w:tcW w:w="992" w:type="dxa"/>
            <w:vAlign w:val="bottom"/>
          </w:tcPr>
          <w:p w14:paraId="0E6E87B9" w14:textId="77777777" w:rsidR="007E5D38" w:rsidRPr="00CE654D" w:rsidRDefault="007E5D38" w:rsidP="00E032FC">
            <w:pPr>
              <w:pStyle w:val="TT"/>
              <w:jc w:val="center"/>
              <w:rPr>
                <w:rFonts w:cs="Arial"/>
                <w:snapToGrid w:val="0"/>
                <w:color w:val="000000" w:themeColor="text1"/>
                <w:sz w:val="20"/>
                <w:lang w:val="hr-HR"/>
              </w:rPr>
            </w:pPr>
          </w:p>
        </w:tc>
        <w:tc>
          <w:tcPr>
            <w:tcW w:w="1346" w:type="dxa"/>
            <w:tcBorders>
              <w:top w:val="single" w:sz="12" w:space="0" w:color="auto"/>
            </w:tcBorders>
            <w:vAlign w:val="bottom"/>
          </w:tcPr>
          <w:p w14:paraId="41597775" w14:textId="77777777" w:rsidR="007E5D38" w:rsidRPr="00CE654D" w:rsidRDefault="007E5D38" w:rsidP="00E032FC">
            <w:pPr>
              <w:pStyle w:val="TT"/>
              <w:jc w:val="right"/>
              <w:rPr>
                <w:rFonts w:cs="Arial"/>
                <w:b/>
                <w:bCs/>
                <w:color w:val="000000" w:themeColor="text1"/>
                <w:sz w:val="20"/>
                <w:lang w:val="hr-HR"/>
              </w:rPr>
            </w:pPr>
          </w:p>
        </w:tc>
        <w:tc>
          <w:tcPr>
            <w:tcW w:w="1347" w:type="dxa"/>
            <w:tcBorders>
              <w:top w:val="single" w:sz="12" w:space="0" w:color="auto"/>
            </w:tcBorders>
            <w:vAlign w:val="bottom"/>
          </w:tcPr>
          <w:p w14:paraId="2048A6A3" w14:textId="77777777" w:rsidR="007E5D38" w:rsidRPr="00CE654D" w:rsidRDefault="007E5D38" w:rsidP="00E032FC">
            <w:pPr>
              <w:pStyle w:val="TT"/>
              <w:jc w:val="right"/>
              <w:rPr>
                <w:rFonts w:cs="Arial"/>
                <w:b/>
                <w:bCs/>
                <w:color w:val="000000" w:themeColor="text1"/>
                <w:sz w:val="20"/>
                <w:lang w:val="hr-HR"/>
              </w:rPr>
            </w:pPr>
          </w:p>
        </w:tc>
      </w:tr>
      <w:tr w:rsidR="007E5D38" w:rsidRPr="00EC7DFC" w14:paraId="4F86F924" w14:textId="77777777" w:rsidTr="00E032FC">
        <w:trPr>
          <w:trHeight w:val="303"/>
        </w:trPr>
        <w:tc>
          <w:tcPr>
            <w:tcW w:w="5529" w:type="dxa"/>
            <w:vAlign w:val="bottom"/>
          </w:tcPr>
          <w:p w14:paraId="51C55969" w14:textId="77777777" w:rsidR="007E5D38" w:rsidRPr="00CE654D" w:rsidRDefault="007E5D38" w:rsidP="00E032FC">
            <w:pPr>
              <w:pStyle w:val="TT"/>
              <w:rPr>
                <w:rFonts w:cs="Arial"/>
                <w:color w:val="000000" w:themeColor="text1"/>
                <w:sz w:val="20"/>
                <w:lang w:val="hr-HR"/>
              </w:rPr>
            </w:pPr>
            <w:bookmarkStart w:id="246" w:name="_Toc67326743"/>
            <w:r w:rsidRPr="00CE654D">
              <w:rPr>
                <w:rFonts w:cs="Arial"/>
                <w:color w:val="000000" w:themeColor="text1"/>
                <w:sz w:val="20"/>
                <w:lang w:val="hr-HR"/>
              </w:rPr>
              <w:t>Osnivački kapital</w:t>
            </w:r>
            <w:bookmarkEnd w:id="246"/>
          </w:p>
        </w:tc>
        <w:tc>
          <w:tcPr>
            <w:tcW w:w="992" w:type="dxa"/>
            <w:vAlign w:val="bottom"/>
          </w:tcPr>
          <w:p w14:paraId="1B03E777" w14:textId="77777777" w:rsidR="007E5D38" w:rsidRPr="00CE654D" w:rsidRDefault="007E5D38" w:rsidP="00E032FC">
            <w:pPr>
              <w:pStyle w:val="TT"/>
              <w:jc w:val="center"/>
              <w:rPr>
                <w:rFonts w:cs="Arial"/>
                <w:snapToGrid w:val="0"/>
                <w:color w:val="000000" w:themeColor="text1"/>
                <w:sz w:val="20"/>
                <w:lang w:val="hr-HR"/>
              </w:rPr>
            </w:pPr>
            <w:bookmarkStart w:id="247" w:name="_Toc67326744"/>
            <w:r w:rsidRPr="00CE654D">
              <w:rPr>
                <w:rFonts w:cs="Arial"/>
                <w:snapToGrid w:val="0"/>
                <w:color w:val="000000" w:themeColor="text1"/>
                <w:sz w:val="20"/>
                <w:lang w:val="hr-HR"/>
              </w:rPr>
              <w:t>2</w:t>
            </w:r>
            <w:bookmarkEnd w:id="247"/>
            <w:r w:rsidRPr="00CE654D">
              <w:rPr>
                <w:rFonts w:cs="Arial"/>
                <w:snapToGrid w:val="0"/>
                <w:color w:val="000000" w:themeColor="text1"/>
                <w:sz w:val="20"/>
                <w:lang w:val="hr-HR"/>
              </w:rPr>
              <w:t>6</w:t>
            </w:r>
          </w:p>
        </w:tc>
        <w:tc>
          <w:tcPr>
            <w:tcW w:w="1346" w:type="dxa"/>
            <w:tcBorders>
              <w:top w:val="nil"/>
              <w:left w:val="nil"/>
              <w:bottom w:val="nil"/>
              <w:right w:val="nil"/>
            </w:tcBorders>
            <w:shd w:val="clear" w:color="auto" w:fill="auto"/>
            <w:vAlign w:val="bottom"/>
          </w:tcPr>
          <w:p w14:paraId="7FD37D4B" w14:textId="77777777" w:rsidR="007E5D38" w:rsidRPr="00CE654D" w:rsidRDefault="007E5D38" w:rsidP="00E032FC">
            <w:pPr>
              <w:pStyle w:val="TT"/>
              <w:jc w:val="right"/>
              <w:rPr>
                <w:rFonts w:cs="Arial"/>
                <w:color w:val="000000"/>
                <w:sz w:val="20"/>
              </w:rPr>
            </w:pPr>
            <w:r w:rsidRPr="00CE654D">
              <w:rPr>
                <w:sz w:val="20"/>
              </w:rPr>
              <w:t>7.204.632</w:t>
            </w:r>
          </w:p>
        </w:tc>
        <w:tc>
          <w:tcPr>
            <w:tcW w:w="1347" w:type="dxa"/>
            <w:tcBorders>
              <w:top w:val="nil"/>
              <w:left w:val="nil"/>
              <w:bottom w:val="nil"/>
              <w:right w:val="nil"/>
            </w:tcBorders>
            <w:shd w:val="clear" w:color="auto" w:fill="auto"/>
          </w:tcPr>
          <w:p w14:paraId="6F7AA7DF" w14:textId="77777777" w:rsidR="007E5D38" w:rsidRPr="00CE654D" w:rsidRDefault="007E5D38" w:rsidP="00E032FC">
            <w:pPr>
              <w:pStyle w:val="TT"/>
              <w:jc w:val="right"/>
              <w:rPr>
                <w:rFonts w:cs="Arial"/>
                <w:color w:val="000000" w:themeColor="text1"/>
                <w:sz w:val="20"/>
                <w:lang w:val="hr-HR"/>
              </w:rPr>
            </w:pPr>
            <w:bookmarkStart w:id="248" w:name="_Toc67326745"/>
            <w:r w:rsidRPr="00CE654D">
              <w:rPr>
                <w:rFonts w:cs="Arial"/>
                <w:color w:val="000000"/>
                <w:sz w:val="20"/>
              </w:rPr>
              <w:t>7.184.632</w:t>
            </w:r>
            <w:bookmarkEnd w:id="248"/>
          </w:p>
        </w:tc>
      </w:tr>
      <w:tr w:rsidR="007E5D38" w:rsidRPr="00EC7DFC" w14:paraId="0DC15999" w14:textId="77777777" w:rsidTr="00E032FC">
        <w:trPr>
          <w:trHeight w:val="303"/>
        </w:trPr>
        <w:tc>
          <w:tcPr>
            <w:tcW w:w="5529" w:type="dxa"/>
            <w:vAlign w:val="bottom"/>
          </w:tcPr>
          <w:p w14:paraId="0810BFE9" w14:textId="77777777" w:rsidR="007E5D38" w:rsidRPr="00CE654D" w:rsidRDefault="007E5D38" w:rsidP="00E032FC">
            <w:pPr>
              <w:pStyle w:val="TT"/>
              <w:rPr>
                <w:rFonts w:cs="Arial"/>
                <w:color w:val="000000" w:themeColor="text1"/>
                <w:sz w:val="20"/>
                <w:lang w:val="hr-HR"/>
              </w:rPr>
            </w:pPr>
            <w:bookmarkStart w:id="249" w:name="_Toc67326747"/>
            <w:r w:rsidRPr="00CE654D">
              <w:rPr>
                <w:rFonts w:cs="Arial"/>
                <w:color w:val="000000" w:themeColor="text1"/>
                <w:sz w:val="20"/>
                <w:lang w:val="hr-HR"/>
              </w:rPr>
              <w:t>Zadržana dobit i rezerve</w:t>
            </w:r>
            <w:bookmarkEnd w:id="249"/>
          </w:p>
        </w:tc>
        <w:tc>
          <w:tcPr>
            <w:tcW w:w="992" w:type="dxa"/>
            <w:vAlign w:val="bottom"/>
          </w:tcPr>
          <w:p w14:paraId="059EFB5B" w14:textId="77777777" w:rsidR="007E5D38" w:rsidRPr="00CE654D" w:rsidRDefault="007E5D38" w:rsidP="00E032FC">
            <w:pPr>
              <w:pStyle w:val="TT"/>
              <w:jc w:val="center"/>
              <w:rPr>
                <w:rFonts w:cs="Arial"/>
                <w:snapToGrid w:val="0"/>
                <w:color w:val="000000" w:themeColor="text1"/>
                <w:sz w:val="20"/>
                <w:lang w:val="hr-HR"/>
              </w:rPr>
            </w:pPr>
          </w:p>
        </w:tc>
        <w:tc>
          <w:tcPr>
            <w:tcW w:w="1346" w:type="dxa"/>
            <w:tcBorders>
              <w:top w:val="nil"/>
              <w:left w:val="nil"/>
              <w:bottom w:val="nil"/>
              <w:right w:val="nil"/>
            </w:tcBorders>
            <w:shd w:val="clear" w:color="auto" w:fill="auto"/>
            <w:vAlign w:val="bottom"/>
          </w:tcPr>
          <w:p w14:paraId="3F1D7DE4" w14:textId="77777777" w:rsidR="007E5D38" w:rsidRPr="00CE654D" w:rsidRDefault="007E5D38" w:rsidP="00E032FC">
            <w:pPr>
              <w:pStyle w:val="TT"/>
              <w:jc w:val="right"/>
              <w:rPr>
                <w:rFonts w:cs="Arial"/>
                <w:color w:val="000000"/>
                <w:sz w:val="20"/>
              </w:rPr>
            </w:pPr>
            <w:r w:rsidRPr="00CE654D">
              <w:rPr>
                <w:sz w:val="20"/>
              </w:rPr>
              <w:t>3.345.869</w:t>
            </w:r>
          </w:p>
        </w:tc>
        <w:tc>
          <w:tcPr>
            <w:tcW w:w="1347" w:type="dxa"/>
            <w:tcBorders>
              <w:top w:val="nil"/>
              <w:left w:val="nil"/>
              <w:bottom w:val="nil"/>
              <w:right w:val="nil"/>
            </w:tcBorders>
            <w:shd w:val="clear" w:color="auto" w:fill="auto"/>
          </w:tcPr>
          <w:p w14:paraId="697377A1" w14:textId="77777777" w:rsidR="007E5D38" w:rsidRPr="00CE654D" w:rsidRDefault="007E5D38" w:rsidP="00E032FC">
            <w:pPr>
              <w:pStyle w:val="TT"/>
              <w:jc w:val="right"/>
              <w:rPr>
                <w:rFonts w:cs="Arial"/>
                <w:color w:val="000000" w:themeColor="text1"/>
                <w:sz w:val="20"/>
                <w:lang w:val="hr-HR"/>
              </w:rPr>
            </w:pPr>
            <w:bookmarkStart w:id="250" w:name="_Toc67326748"/>
            <w:r w:rsidRPr="00CE654D">
              <w:rPr>
                <w:rFonts w:cs="Arial"/>
                <w:color w:val="000000"/>
                <w:sz w:val="20"/>
              </w:rPr>
              <w:t>3.157.684</w:t>
            </w:r>
            <w:bookmarkEnd w:id="250"/>
          </w:p>
        </w:tc>
      </w:tr>
      <w:tr w:rsidR="007E5D38" w:rsidRPr="00EC7DFC" w14:paraId="70D2827C" w14:textId="77777777" w:rsidTr="00E032FC">
        <w:trPr>
          <w:trHeight w:val="303"/>
        </w:trPr>
        <w:tc>
          <w:tcPr>
            <w:tcW w:w="5529" w:type="dxa"/>
            <w:vAlign w:val="bottom"/>
          </w:tcPr>
          <w:p w14:paraId="4D96EA98" w14:textId="77777777" w:rsidR="007E5D38" w:rsidRPr="00CE654D" w:rsidRDefault="007E5D38" w:rsidP="00E032FC">
            <w:pPr>
              <w:pStyle w:val="TT"/>
              <w:rPr>
                <w:rFonts w:cs="Arial"/>
                <w:color w:val="000000" w:themeColor="text1"/>
                <w:sz w:val="20"/>
                <w:lang w:val="hr-HR"/>
              </w:rPr>
            </w:pPr>
            <w:bookmarkStart w:id="251" w:name="_Toc67326750"/>
            <w:r w:rsidRPr="00CE654D">
              <w:rPr>
                <w:rFonts w:cs="Arial"/>
                <w:color w:val="000000" w:themeColor="text1"/>
                <w:sz w:val="20"/>
                <w:lang w:val="hr-HR"/>
              </w:rPr>
              <w:t>Ostale rezerve</w:t>
            </w:r>
            <w:bookmarkEnd w:id="251"/>
          </w:p>
        </w:tc>
        <w:tc>
          <w:tcPr>
            <w:tcW w:w="992" w:type="dxa"/>
            <w:vAlign w:val="bottom"/>
          </w:tcPr>
          <w:p w14:paraId="31B2A2E9" w14:textId="77777777" w:rsidR="007E5D38" w:rsidRPr="00CE654D" w:rsidRDefault="007E5D38" w:rsidP="00E032FC">
            <w:pPr>
              <w:pStyle w:val="TT"/>
              <w:jc w:val="center"/>
              <w:rPr>
                <w:rFonts w:cs="Arial"/>
                <w:snapToGrid w:val="0"/>
                <w:color w:val="000000" w:themeColor="text1"/>
                <w:sz w:val="20"/>
                <w:lang w:val="hr-HR"/>
              </w:rPr>
            </w:pPr>
          </w:p>
        </w:tc>
        <w:tc>
          <w:tcPr>
            <w:tcW w:w="1346" w:type="dxa"/>
            <w:tcBorders>
              <w:top w:val="nil"/>
              <w:left w:val="nil"/>
              <w:bottom w:val="nil"/>
              <w:right w:val="nil"/>
            </w:tcBorders>
            <w:shd w:val="clear" w:color="auto" w:fill="auto"/>
            <w:vAlign w:val="bottom"/>
          </w:tcPr>
          <w:p w14:paraId="2D208862" w14:textId="77777777" w:rsidR="007E5D38" w:rsidRPr="00CE654D" w:rsidRDefault="007E5D38" w:rsidP="00E032FC">
            <w:pPr>
              <w:pStyle w:val="TT"/>
              <w:jc w:val="right"/>
              <w:rPr>
                <w:rFonts w:cs="Arial"/>
                <w:color w:val="000000"/>
                <w:sz w:val="20"/>
              </w:rPr>
            </w:pPr>
            <w:r w:rsidRPr="00CE654D">
              <w:rPr>
                <w:sz w:val="20"/>
              </w:rPr>
              <w:t>(37.270)</w:t>
            </w:r>
          </w:p>
        </w:tc>
        <w:tc>
          <w:tcPr>
            <w:tcW w:w="1347" w:type="dxa"/>
            <w:tcBorders>
              <w:top w:val="nil"/>
              <w:left w:val="nil"/>
              <w:bottom w:val="nil"/>
              <w:right w:val="nil"/>
            </w:tcBorders>
            <w:shd w:val="clear" w:color="auto" w:fill="auto"/>
          </w:tcPr>
          <w:p w14:paraId="541CD2DE" w14:textId="77777777" w:rsidR="007E5D38" w:rsidRPr="00CE654D" w:rsidRDefault="007E5D38" w:rsidP="00E032FC">
            <w:pPr>
              <w:pStyle w:val="TT"/>
              <w:jc w:val="right"/>
              <w:rPr>
                <w:rFonts w:cs="Arial"/>
                <w:color w:val="000000" w:themeColor="text1"/>
                <w:sz w:val="20"/>
                <w:lang w:val="hr-HR"/>
              </w:rPr>
            </w:pPr>
            <w:bookmarkStart w:id="252" w:name="_Toc67326751"/>
            <w:r w:rsidRPr="00CE654D">
              <w:rPr>
                <w:rFonts w:cs="Arial"/>
                <w:color w:val="000000"/>
                <w:sz w:val="20"/>
              </w:rPr>
              <w:t>33.975</w:t>
            </w:r>
            <w:bookmarkEnd w:id="252"/>
          </w:p>
        </w:tc>
      </w:tr>
      <w:tr w:rsidR="007E5D38" w:rsidRPr="00EC7DFC" w14:paraId="3CC17D77" w14:textId="77777777" w:rsidTr="00E032FC">
        <w:trPr>
          <w:trHeight w:val="291"/>
        </w:trPr>
        <w:tc>
          <w:tcPr>
            <w:tcW w:w="5529" w:type="dxa"/>
            <w:vAlign w:val="bottom"/>
          </w:tcPr>
          <w:p w14:paraId="56E4C834" w14:textId="77777777" w:rsidR="007E5D38" w:rsidRPr="00CE654D" w:rsidRDefault="007E5D38" w:rsidP="00E032FC">
            <w:pPr>
              <w:pStyle w:val="TT"/>
              <w:rPr>
                <w:rFonts w:cs="Arial"/>
                <w:color w:val="000000" w:themeColor="text1"/>
                <w:sz w:val="20"/>
                <w:lang w:val="hr-HR"/>
              </w:rPr>
            </w:pPr>
            <w:bookmarkStart w:id="253" w:name="_Toc67326753"/>
            <w:r w:rsidRPr="00CE654D">
              <w:rPr>
                <w:rFonts w:cs="Arial"/>
                <w:color w:val="000000" w:themeColor="text1"/>
                <w:sz w:val="20"/>
                <w:lang w:val="hr-HR"/>
              </w:rPr>
              <w:t>Dobit tekuće godine</w:t>
            </w:r>
            <w:bookmarkEnd w:id="253"/>
          </w:p>
        </w:tc>
        <w:tc>
          <w:tcPr>
            <w:tcW w:w="992" w:type="dxa"/>
            <w:vAlign w:val="bottom"/>
          </w:tcPr>
          <w:p w14:paraId="21E16828" w14:textId="77777777" w:rsidR="007E5D38" w:rsidRPr="00CE654D" w:rsidRDefault="007E5D38" w:rsidP="00E032FC">
            <w:pPr>
              <w:pStyle w:val="TT"/>
              <w:jc w:val="center"/>
              <w:rPr>
                <w:rFonts w:cs="Arial"/>
                <w:snapToGrid w:val="0"/>
                <w:color w:val="000000" w:themeColor="text1"/>
                <w:sz w:val="20"/>
                <w:lang w:val="hr-HR"/>
              </w:rPr>
            </w:pPr>
          </w:p>
        </w:tc>
        <w:tc>
          <w:tcPr>
            <w:tcW w:w="1346" w:type="dxa"/>
            <w:tcBorders>
              <w:top w:val="nil"/>
              <w:left w:val="nil"/>
              <w:bottom w:val="nil"/>
              <w:right w:val="nil"/>
            </w:tcBorders>
            <w:shd w:val="clear" w:color="auto" w:fill="auto"/>
            <w:vAlign w:val="bottom"/>
          </w:tcPr>
          <w:p w14:paraId="5F658445" w14:textId="77777777" w:rsidR="007E5D38" w:rsidRPr="00CE654D" w:rsidRDefault="007E5D38" w:rsidP="00E032FC">
            <w:pPr>
              <w:pStyle w:val="TT"/>
              <w:jc w:val="right"/>
              <w:rPr>
                <w:rFonts w:cs="Arial"/>
                <w:color w:val="000000"/>
                <w:sz w:val="20"/>
              </w:rPr>
            </w:pPr>
            <w:r w:rsidRPr="00CE654D">
              <w:rPr>
                <w:sz w:val="20"/>
              </w:rPr>
              <w:t>189.458</w:t>
            </w:r>
          </w:p>
        </w:tc>
        <w:tc>
          <w:tcPr>
            <w:tcW w:w="1347" w:type="dxa"/>
            <w:tcBorders>
              <w:top w:val="nil"/>
              <w:left w:val="nil"/>
              <w:bottom w:val="nil"/>
              <w:right w:val="nil"/>
            </w:tcBorders>
            <w:shd w:val="clear" w:color="auto" w:fill="auto"/>
          </w:tcPr>
          <w:p w14:paraId="54903EAE" w14:textId="77777777" w:rsidR="007E5D38" w:rsidRPr="00CE654D" w:rsidRDefault="007E5D38" w:rsidP="00E032FC">
            <w:pPr>
              <w:pStyle w:val="TT"/>
              <w:jc w:val="right"/>
              <w:rPr>
                <w:rFonts w:cs="Arial"/>
                <w:color w:val="000000" w:themeColor="text1"/>
                <w:sz w:val="20"/>
                <w:lang w:val="hr-HR"/>
              </w:rPr>
            </w:pPr>
            <w:bookmarkStart w:id="254" w:name="_Toc67326754"/>
            <w:r w:rsidRPr="00CE654D">
              <w:rPr>
                <w:rFonts w:cs="Arial"/>
                <w:color w:val="000000"/>
                <w:sz w:val="20"/>
              </w:rPr>
              <w:t>188.185</w:t>
            </w:r>
            <w:bookmarkEnd w:id="254"/>
          </w:p>
        </w:tc>
      </w:tr>
      <w:tr w:rsidR="007E5D38" w:rsidRPr="00EC7DFC" w14:paraId="7C4D5808" w14:textId="77777777" w:rsidTr="00E032FC">
        <w:trPr>
          <w:trHeight w:val="291"/>
        </w:trPr>
        <w:tc>
          <w:tcPr>
            <w:tcW w:w="5529" w:type="dxa"/>
            <w:vAlign w:val="bottom"/>
          </w:tcPr>
          <w:p w14:paraId="65F7196B" w14:textId="77777777" w:rsidR="007E5D38" w:rsidRPr="00CE654D" w:rsidRDefault="007E5D38" w:rsidP="00E032FC">
            <w:pPr>
              <w:pStyle w:val="TT"/>
              <w:rPr>
                <w:rFonts w:cs="Arial"/>
                <w:color w:val="000000" w:themeColor="text1"/>
                <w:sz w:val="20"/>
                <w:lang w:val="hr-HR"/>
              </w:rPr>
            </w:pPr>
            <w:bookmarkStart w:id="255" w:name="_Toc67326756"/>
            <w:r w:rsidRPr="00CE654D">
              <w:rPr>
                <w:rFonts w:cs="Arial"/>
                <w:color w:val="000000" w:themeColor="text1"/>
                <w:sz w:val="20"/>
                <w:lang w:val="hr-HR"/>
              </w:rPr>
              <w:t>Garantni fond</w:t>
            </w:r>
            <w:bookmarkEnd w:id="255"/>
          </w:p>
        </w:tc>
        <w:tc>
          <w:tcPr>
            <w:tcW w:w="992" w:type="dxa"/>
            <w:vAlign w:val="bottom"/>
          </w:tcPr>
          <w:p w14:paraId="5396F9E2" w14:textId="77777777" w:rsidR="007E5D38" w:rsidRPr="00CE654D" w:rsidRDefault="007E5D38" w:rsidP="00E032FC">
            <w:pPr>
              <w:pStyle w:val="TT"/>
              <w:jc w:val="center"/>
              <w:rPr>
                <w:rFonts w:cs="Arial"/>
                <w:snapToGrid w:val="0"/>
                <w:color w:val="000000" w:themeColor="text1"/>
                <w:sz w:val="20"/>
                <w:lang w:val="hr-HR"/>
              </w:rPr>
            </w:pPr>
            <w:r w:rsidRPr="00CE654D">
              <w:rPr>
                <w:rFonts w:cs="Arial"/>
                <w:snapToGrid w:val="0"/>
                <w:color w:val="000000" w:themeColor="text1"/>
                <w:sz w:val="20"/>
                <w:lang w:val="hr-HR"/>
              </w:rPr>
              <w:t>27</w:t>
            </w:r>
          </w:p>
        </w:tc>
        <w:tc>
          <w:tcPr>
            <w:tcW w:w="1346" w:type="dxa"/>
            <w:tcBorders>
              <w:top w:val="nil"/>
              <w:left w:val="nil"/>
              <w:bottom w:val="single" w:sz="4" w:space="0" w:color="auto"/>
              <w:right w:val="nil"/>
            </w:tcBorders>
            <w:shd w:val="clear" w:color="auto" w:fill="auto"/>
            <w:vAlign w:val="bottom"/>
          </w:tcPr>
          <w:p w14:paraId="61FD2F09" w14:textId="77777777" w:rsidR="007E5D38" w:rsidRPr="00CE654D" w:rsidRDefault="007E5D38" w:rsidP="00E032FC">
            <w:pPr>
              <w:pStyle w:val="TT"/>
              <w:jc w:val="right"/>
              <w:rPr>
                <w:rFonts w:cs="Arial"/>
                <w:color w:val="000000"/>
                <w:sz w:val="20"/>
              </w:rPr>
            </w:pPr>
            <w:r w:rsidRPr="00CE654D">
              <w:rPr>
                <w:sz w:val="20"/>
              </w:rPr>
              <w:t>12.337</w:t>
            </w:r>
          </w:p>
        </w:tc>
        <w:tc>
          <w:tcPr>
            <w:tcW w:w="1347" w:type="dxa"/>
            <w:tcBorders>
              <w:top w:val="nil"/>
              <w:left w:val="nil"/>
              <w:bottom w:val="single" w:sz="4" w:space="0" w:color="auto"/>
              <w:right w:val="nil"/>
            </w:tcBorders>
            <w:shd w:val="clear" w:color="auto" w:fill="auto"/>
          </w:tcPr>
          <w:p w14:paraId="4902679A" w14:textId="77777777" w:rsidR="007E5D38" w:rsidRPr="00CE654D" w:rsidRDefault="007E5D38" w:rsidP="00E032FC">
            <w:pPr>
              <w:pStyle w:val="TT"/>
              <w:jc w:val="right"/>
              <w:rPr>
                <w:rFonts w:cs="Arial"/>
                <w:color w:val="000000" w:themeColor="text1"/>
                <w:sz w:val="20"/>
                <w:lang w:val="hr-HR"/>
              </w:rPr>
            </w:pPr>
            <w:bookmarkStart w:id="256" w:name="_Toc67326758"/>
            <w:r w:rsidRPr="00CE654D">
              <w:rPr>
                <w:rFonts w:cs="Arial"/>
                <w:color w:val="000000"/>
                <w:sz w:val="20"/>
              </w:rPr>
              <w:t>12.309</w:t>
            </w:r>
            <w:bookmarkEnd w:id="256"/>
          </w:p>
        </w:tc>
      </w:tr>
      <w:tr w:rsidR="007E5D38" w:rsidRPr="00EC7DFC" w14:paraId="4BCA2606" w14:textId="77777777" w:rsidTr="00E032FC">
        <w:trPr>
          <w:trHeight w:val="328"/>
        </w:trPr>
        <w:tc>
          <w:tcPr>
            <w:tcW w:w="5529" w:type="dxa"/>
            <w:vAlign w:val="bottom"/>
          </w:tcPr>
          <w:p w14:paraId="3E3729FC" w14:textId="77777777" w:rsidR="007E5D38" w:rsidRPr="00CE654D" w:rsidRDefault="007E5D38" w:rsidP="00E032FC">
            <w:pPr>
              <w:pStyle w:val="Tot"/>
              <w:rPr>
                <w:rFonts w:cs="Arial"/>
                <w:b/>
                <w:bCs/>
                <w:color w:val="000000" w:themeColor="text1"/>
                <w:sz w:val="20"/>
                <w:lang w:val="hr-HR"/>
              </w:rPr>
            </w:pPr>
            <w:bookmarkStart w:id="257" w:name="_Toc67326760"/>
            <w:r w:rsidRPr="00CE654D">
              <w:rPr>
                <w:rFonts w:cs="Arial"/>
                <w:b/>
                <w:bCs/>
                <w:color w:val="000000" w:themeColor="text1"/>
                <w:sz w:val="20"/>
                <w:lang w:val="hr-HR"/>
              </w:rPr>
              <w:t>Ukupni kapital i rezerve</w:t>
            </w:r>
            <w:bookmarkEnd w:id="257"/>
          </w:p>
        </w:tc>
        <w:tc>
          <w:tcPr>
            <w:tcW w:w="992" w:type="dxa"/>
            <w:vAlign w:val="bottom"/>
          </w:tcPr>
          <w:p w14:paraId="655284C8" w14:textId="77777777" w:rsidR="007E5D38" w:rsidRPr="00CE654D" w:rsidRDefault="007E5D38" w:rsidP="00E032FC">
            <w:pPr>
              <w:pStyle w:val="Tot"/>
              <w:jc w:val="center"/>
              <w:rPr>
                <w:rFonts w:cs="Arial"/>
                <w:b/>
                <w:bCs/>
                <w:color w:val="000000" w:themeColor="text1"/>
                <w:sz w:val="20"/>
                <w:lang w:val="hr-HR"/>
              </w:rPr>
            </w:pPr>
          </w:p>
        </w:tc>
        <w:tc>
          <w:tcPr>
            <w:tcW w:w="1346" w:type="dxa"/>
            <w:tcBorders>
              <w:top w:val="single" w:sz="4" w:space="0" w:color="auto"/>
              <w:left w:val="nil"/>
              <w:bottom w:val="single" w:sz="12" w:space="0" w:color="auto"/>
              <w:right w:val="nil"/>
            </w:tcBorders>
            <w:shd w:val="clear" w:color="auto" w:fill="auto"/>
            <w:vAlign w:val="bottom"/>
          </w:tcPr>
          <w:p w14:paraId="29BCDD80" w14:textId="77777777" w:rsidR="007E5D38" w:rsidRPr="00CE654D" w:rsidRDefault="007E5D38" w:rsidP="00E032FC">
            <w:pPr>
              <w:pStyle w:val="Tot"/>
              <w:jc w:val="right"/>
              <w:rPr>
                <w:rFonts w:cs="Arial"/>
                <w:b/>
                <w:bCs/>
                <w:color w:val="000000" w:themeColor="text1"/>
                <w:sz w:val="20"/>
                <w:lang w:val="hr-HR"/>
              </w:rPr>
            </w:pPr>
            <w:r w:rsidRPr="00CE654D">
              <w:rPr>
                <w:rFonts w:cs="Arial"/>
                <w:b/>
                <w:bCs/>
                <w:color w:val="000000" w:themeColor="text1"/>
                <w:sz w:val="20"/>
                <w:lang w:val="hr-HR"/>
              </w:rPr>
              <w:t>10.715.026</w:t>
            </w:r>
          </w:p>
        </w:tc>
        <w:tc>
          <w:tcPr>
            <w:tcW w:w="1347" w:type="dxa"/>
            <w:tcBorders>
              <w:top w:val="single" w:sz="4" w:space="0" w:color="auto"/>
              <w:left w:val="nil"/>
              <w:bottom w:val="single" w:sz="12" w:space="0" w:color="auto"/>
              <w:right w:val="nil"/>
            </w:tcBorders>
            <w:shd w:val="clear" w:color="auto" w:fill="auto"/>
            <w:vAlign w:val="center"/>
          </w:tcPr>
          <w:p w14:paraId="4D8A401B" w14:textId="77777777" w:rsidR="007E5D38" w:rsidRPr="00CE654D" w:rsidRDefault="007E5D38" w:rsidP="00E032FC">
            <w:pPr>
              <w:pStyle w:val="Tot"/>
              <w:jc w:val="right"/>
              <w:rPr>
                <w:rFonts w:cs="Arial"/>
                <w:b/>
                <w:bCs/>
                <w:color w:val="000000" w:themeColor="text1"/>
                <w:sz w:val="20"/>
                <w:lang w:val="hr-HR"/>
              </w:rPr>
            </w:pPr>
            <w:bookmarkStart w:id="258" w:name="_Toc67326761"/>
            <w:r w:rsidRPr="00CE654D">
              <w:rPr>
                <w:rFonts w:cs="Arial"/>
                <w:b/>
                <w:bCs/>
                <w:color w:val="000000" w:themeColor="text1"/>
                <w:sz w:val="20"/>
                <w:lang w:val="hr-HR"/>
              </w:rPr>
              <w:t>10.576.785</w:t>
            </w:r>
            <w:bookmarkEnd w:id="258"/>
          </w:p>
        </w:tc>
      </w:tr>
      <w:tr w:rsidR="007E5D38" w:rsidRPr="00EC7DFC" w14:paraId="21FA0638" w14:textId="77777777" w:rsidTr="00E032FC">
        <w:trPr>
          <w:trHeight w:val="402"/>
        </w:trPr>
        <w:tc>
          <w:tcPr>
            <w:tcW w:w="5529" w:type="dxa"/>
            <w:vAlign w:val="bottom"/>
          </w:tcPr>
          <w:p w14:paraId="25218255" w14:textId="77777777" w:rsidR="007E5D38" w:rsidRPr="00CE654D" w:rsidRDefault="007E5D38" w:rsidP="00E032FC">
            <w:pPr>
              <w:pStyle w:val="Tot"/>
              <w:rPr>
                <w:rFonts w:cs="Arial"/>
                <w:b/>
                <w:bCs/>
                <w:color w:val="000000" w:themeColor="text1"/>
                <w:sz w:val="20"/>
                <w:lang w:val="hr-HR"/>
              </w:rPr>
            </w:pPr>
            <w:bookmarkStart w:id="259" w:name="_Toc67326763"/>
            <w:r w:rsidRPr="00CE654D">
              <w:rPr>
                <w:rFonts w:cs="Arial"/>
                <w:b/>
                <w:bCs/>
                <w:color w:val="000000" w:themeColor="text1"/>
                <w:sz w:val="20"/>
                <w:lang w:val="hr-HR"/>
              </w:rPr>
              <w:t>Ukupne obveze i kapital i rezerve</w:t>
            </w:r>
            <w:bookmarkEnd w:id="259"/>
          </w:p>
        </w:tc>
        <w:tc>
          <w:tcPr>
            <w:tcW w:w="992" w:type="dxa"/>
            <w:vAlign w:val="bottom"/>
          </w:tcPr>
          <w:p w14:paraId="1191BBAB" w14:textId="77777777" w:rsidR="007E5D38" w:rsidRPr="00CE654D" w:rsidRDefault="007E5D38" w:rsidP="00E032FC">
            <w:pPr>
              <w:pStyle w:val="Tot"/>
              <w:jc w:val="center"/>
              <w:rPr>
                <w:rFonts w:cs="Arial"/>
                <w:b/>
                <w:bCs/>
                <w:color w:val="000000" w:themeColor="text1"/>
                <w:sz w:val="20"/>
                <w:lang w:val="hr-HR"/>
              </w:rPr>
            </w:pPr>
          </w:p>
        </w:tc>
        <w:tc>
          <w:tcPr>
            <w:tcW w:w="1346" w:type="dxa"/>
            <w:tcBorders>
              <w:top w:val="single" w:sz="12" w:space="0" w:color="auto"/>
              <w:left w:val="nil"/>
              <w:bottom w:val="single" w:sz="12" w:space="0" w:color="auto"/>
              <w:right w:val="nil"/>
            </w:tcBorders>
            <w:shd w:val="clear" w:color="auto" w:fill="auto"/>
            <w:vAlign w:val="bottom"/>
          </w:tcPr>
          <w:p w14:paraId="1ED938DC" w14:textId="77777777" w:rsidR="007E5D38" w:rsidRPr="00CE654D" w:rsidRDefault="007E5D38" w:rsidP="00E032FC">
            <w:pPr>
              <w:pStyle w:val="Tot"/>
              <w:jc w:val="right"/>
              <w:rPr>
                <w:rFonts w:cs="Arial"/>
                <w:b/>
                <w:bCs/>
                <w:color w:val="000000" w:themeColor="text1"/>
                <w:sz w:val="20"/>
                <w:lang w:val="hr-HR"/>
              </w:rPr>
            </w:pPr>
            <w:r w:rsidRPr="00CE654D">
              <w:rPr>
                <w:rFonts w:cs="Arial"/>
                <w:b/>
                <w:bCs/>
                <w:color w:val="000000" w:themeColor="text1"/>
                <w:sz w:val="20"/>
                <w:lang w:val="hr-HR"/>
              </w:rPr>
              <w:t>29.060.163</w:t>
            </w:r>
          </w:p>
        </w:tc>
        <w:tc>
          <w:tcPr>
            <w:tcW w:w="1347" w:type="dxa"/>
            <w:tcBorders>
              <w:top w:val="single" w:sz="12" w:space="0" w:color="auto"/>
              <w:left w:val="nil"/>
              <w:bottom w:val="single" w:sz="12" w:space="0" w:color="auto"/>
              <w:right w:val="nil"/>
            </w:tcBorders>
            <w:shd w:val="clear" w:color="auto" w:fill="auto"/>
            <w:vAlign w:val="center"/>
          </w:tcPr>
          <w:p w14:paraId="0E670A12" w14:textId="77777777" w:rsidR="007E5D38" w:rsidRPr="00CE654D" w:rsidRDefault="007E5D38" w:rsidP="00E032FC">
            <w:pPr>
              <w:pStyle w:val="Tot"/>
              <w:jc w:val="right"/>
              <w:rPr>
                <w:rFonts w:cs="Arial"/>
                <w:b/>
                <w:bCs/>
                <w:color w:val="000000" w:themeColor="text1"/>
                <w:sz w:val="20"/>
                <w:lang w:val="hr-HR"/>
              </w:rPr>
            </w:pPr>
            <w:bookmarkStart w:id="260" w:name="_Toc67326764"/>
            <w:r w:rsidRPr="00CE654D">
              <w:rPr>
                <w:rFonts w:cs="Arial"/>
                <w:b/>
                <w:bCs/>
                <w:color w:val="000000" w:themeColor="text1"/>
                <w:sz w:val="20"/>
                <w:lang w:val="hr-HR"/>
              </w:rPr>
              <w:t>28.278.362</w:t>
            </w:r>
            <w:bookmarkEnd w:id="260"/>
          </w:p>
        </w:tc>
      </w:tr>
    </w:tbl>
    <w:p w14:paraId="0FCD563B" w14:textId="77777777" w:rsidR="007E5D38" w:rsidRPr="00B91D09" w:rsidRDefault="007E5D38" w:rsidP="007E5D38">
      <w:pPr>
        <w:pStyle w:val="T1"/>
        <w:keepNext w:val="0"/>
        <w:spacing w:before="0" w:after="0" w:line="240" w:lineRule="auto"/>
        <w:jc w:val="left"/>
        <w:rPr>
          <w:rFonts w:cs="Arial"/>
          <w:b w:val="0"/>
          <w:bCs w:val="0"/>
          <w:color w:val="000000" w:themeColor="text1"/>
          <w:sz w:val="22"/>
          <w:szCs w:val="22"/>
          <w:lang w:val="hr-HR"/>
        </w:rPr>
      </w:pPr>
    </w:p>
    <w:p w14:paraId="5371DEA3" w14:textId="77777777" w:rsidR="007E5D38" w:rsidRPr="00B91D09" w:rsidRDefault="007E5D38" w:rsidP="007E5D38">
      <w:pPr>
        <w:pStyle w:val="T1"/>
        <w:keepNext w:val="0"/>
        <w:spacing w:before="0" w:after="0" w:line="240" w:lineRule="auto"/>
        <w:jc w:val="left"/>
        <w:rPr>
          <w:rFonts w:cs="Arial"/>
          <w:b w:val="0"/>
          <w:bCs w:val="0"/>
          <w:color w:val="000000" w:themeColor="text1"/>
          <w:sz w:val="22"/>
          <w:szCs w:val="22"/>
          <w:lang w:val="hr-HR"/>
        </w:rPr>
      </w:pPr>
    </w:p>
    <w:p w14:paraId="5276FED0" w14:textId="77777777" w:rsidR="007E5D38" w:rsidRPr="00B91D09" w:rsidRDefault="007E5D38" w:rsidP="007E5D38">
      <w:pPr>
        <w:pStyle w:val="T1"/>
        <w:keepNext w:val="0"/>
        <w:spacing w:before="0" w:after="0" w:line="240" w:lineRule="auto"/>
        <w:jc w:val="left"/>
        <w:rPr>
          <w:rFonts w:cs="Arial"/>
          <w:b w:val="0"/>
          <w:bCs w:val="0"/>
          <w:color w:val="000000" w:themeColor="text1"/>
          <w:sz w:val="22"/>
          <w:szCs w:val="22"/>
          <w:lang w:val="hr-HR"/>
        </w:rPr>
      </w:pPr>
    </w:p>
    <w:p w14:paraId="3A1A451C" w14:textId="77777777" w:rsidR="007E5D38" w:rsidRPr="00B91D09" w:rsidRDefault="007E5D38" w:rsidP="007E5D38">
      <w:pPr>
        <w:pStyle w:val="T1"/>
        <w:keepNext w:val="0"/>
        <w:spacing w:before="0" w:after="0" w:line="240" w:lineRule="auto"/>
        <w:jc w:val="left"/>
        <w:rPr>
          <w:rFonts w:cs="Arial"/>
          <w:b w:val="0"/>
          <w:bCs w:val="0"/>
          <w:color w:val="000000" w:themeColor="text1"/>
          <w:sz w:val="22"/>
          <w:szCs w:val="22"/>
          <w:lang w:val="hr-HR"/>
        </w:rPr>
      </w:pPr>
    </w:p>
    <w:p w14:paraId="1CDA0AF5" w14:textId="77777777" w:rsidR="007E5D38" w:rsidRPr="00B91D09" w:rsidRDefault="007E5D38" w:rsidP="007E5D38">
      <w:pPr>
        <w:pStyle w:val="T1"/>
        <w:keepNext w:val="0"/>
        <w:spacing w:before="0" w:after="0" w:line="240" w:lineRule="auto"/>
        <w:jc w:val="left"/>
        <w:rPr>
          <w:rFonts w:cs="Arial"/>
          <w:b w:val="0"/>
          <w:bCs w:val="0"/>
          <w:color w:val="000000" w:themeColor="text1"/>
          <w:sz w:val="22"/>
          <w:szCs w:val="22"/>
          <w:lang w:val="hr-HR"/>
        </w:rPr>
      </w:pPr>
    </w:p>
    <w:p w14:paraId="73E30CED" w14:textId="77777777" w:rsidR="007E5D38" w:rsidRPr="004B4498" w:rsidRDefault="007E5D38" w:rsidP="007E5D38">
      <w:pPr>
        <w:pStyle w:val="T1"/>
        <w:keepNext w:val="0"/>
        <w:spacing w:before="0" w:after="0" w:line="240" w:lineRule="auto"/>
        <w:rPr>
          <w:rFonts w:cs="Arial"/>
          <w:b w:val="0"/>
          <w:bCs w:val="0"/>
          <w:color w:val="000000" w:themeColor="text1"/>
          <w:sz w:val="20"/>
          <w:lang w:val="hr-HR"/>
        </w:rPr>
        <w:sectPr w:rsidR="007E5D38" w:rsidRPr="004B4498" w:rsidSect="00623DBA">
          <w:headerReference w:type="even" r:id="rId61"/>
          <w:headerReference w:type="default" r:id="rId62"/>
          <w:footerReference w:type="default" r:id="rId63"/>
          <w:pgSz w:w="11907" w:h="16840" w:code="9"/>
          <w:pgMar w:top="1418" w:right="850" w:bottom="1134" w:left="1418" w:header="851" w:footer="851" w:gutter="0"/>
          <w:cols w:space="720"/>
          <w:noEndnote/>
        </w:sectPr>
      </w:pPr>
      <w:bookmarkStart w:id="261" w:name="_Hlk2247120"/>
      <w:r w:rsidRPr="004B4498">
        <w:rPr>
          <w:rFonts w:cs="Arial"/>
          <w:b w:val="0"/>
          <w:bCs w:val="0"/>
          <w:color w:val="000000" w:themeColor="text1"/>
          <w:sz w:val="20"/>
          <w:lang w:val="hr-HR"/>
        </w:rPr>
        <w:t>Priložene računovodstvene politike i bilješke sastavni su dio ovih financijskih izvještaja.</w:t>
      </w:r>
    </w:p>
    <w:tbl>
      <w:tblPr>
        <w:tblW w:w="10019" w:type="dxa"/>
        <w:tblInd w:w="-284" w:type="dxa"/>
        <w:tblLayout w:type="fixed"/>
        <w:tblCellMar>
          <w:left w:w="119" w:type="dxa"/>
          <w:right w:w="119" w:type="dxa"/>
        </w:tblCellMar>
        <w:tblLook w:val="0000" w:firstRow="0" w:lastRow="0" w:firstColumn="0" w:lastColumn="0" w:noHBand="0" w:noVBand="0"/>
      </w:tblPr>
      <w:tblGrid>
        <w:gridCol w:w="7515"/>
        <w:gridCol w:w="1252"/>
        <w:gridCol w:w="1252"/>
      </w:tblGrid>
      <w:tr w:rsidR="007E5D38" w:rsidRPr="00201455" w14:paraId="5D720BEB" w14:textId="77777777" w:rsidTr="00E032FC">
        <w:trPr>
          <w:trHeight w:val="173"/>
        </w:trPr>
        <w:tc>
          <w:tcPr>
            <w:tcW w:w="7515" w:type="dxa"/>
          </w:tcPr>
          <w:bookmarkEnd w:id="261"/>
          <w:p w14:paraId="49A75C9B" w14:textId="77777777" w:rsidR="007E5D38" w:rsidRDefault="007E5D38" w:rsidP="00E032FC">
            <w:pPr>
              <w:pStyle w:val="TH"/>
              <w:keepLines/>
              <w:spacing w:line="210" w:lineRule="exact"/>
              <w:jc w:val="center"/>
              <w:rPr>
                <w:rFonts w:cs="Arial"/>
                <w:color w:val="000000" w:themeColor="text1"/>
                <w:szCs w:val="19"/>
                <w:lang w:val="hr-HR"/>
              </w:rPr>
            </w:pPr>
            <w:r w:rsidRPr="004B4498">
              <w:rPr>
                <w:rFonts w:cs="Arial"/>
                <w:color w:val="000000" w:themeColor="text1"/>
                <w:szCs w:val="19"/>
                <w:lang w:val="hr-HR"/>
              </w:rPr>
              <w:lastRenderedPageBreak/>
              <w:t xml:space="preserve">                                                                                                                                       </w:t>
            </w:r>
            <w:r>
              <w:rPr>
                <w:rFonts w:cs="Arial"/>
                <w:color w:val="000000" w:themeColor="text1"/>
                <w:szCs w:val="19"/>
                <w:lang w:val="hr-HR"/>
              </w:rPr>
              <w:t xml:space="preserve">     </w:t>
            </w:r>
            <w:bookmarkStart w:id="262" w:name="_Toc67326766"/>
          </w:p>
          <w:p w14:paraId="34987A14" w14:textId="77777777" w:rsidR="007E5D38" w:rsidRPr="004B4498" w:rsidRDefault="007E5D38" w:rsidP="00E032FC">
            <w:pPr>
              <w:pStyle w:val="TH"/>
              <w:keepLines/>
              <w:spacing w:line="210" w:lineRule="exact"/>
              <w:jc w:val="center"/>
              <w:rPr>
                <w:rFonts w:cs="Arial"/>
                <w:color w:val="000000" w:themeColor="text1"/>
                <w:szCs w:val="19"/>
                <w:lang w:val="hr-HR"/>
              </w:rPr>
            </w:pPr>
            <w:r>
              <w:rPr>
                <w:rFonts w:cs="Arial"/>
                <w:color w:val="000000" w:themeColor="text1"/>
                <w:szCs w:val="19"/>
                <w:lang w:val="hr-HR"/>
              </w:rPr>
              <w:t xml:space="preserve">                                                                                                                            </w:t>
            </w:r>
            <w:r w:rsidRPr="004B4498">
              <w:rPr>
                <w:rFonts w:cs="Arial"/>
                <w:color w:val="000000" w:themeColor="text1"/>
                <w:szCs w:val="19"/>
                <w:lang w:val="hr-HR"/>
              </w:rPr>
              <w:t>Bilješka</w:t>
            </w:r>
            <w:bookmarkEnd w:id="262"/>
          </w:p>
        </w:tc>
        <w:tc>
          <w:tcPr>
            <w:tcW w:w="1252" w:type="dxa"/>
            <w:vAlign w:val="bottom"/>
          </w:tcPr>
          <w:p w14:paraId="58902DF3" w14:textId="77777777" w:rsidR="007E5D38" w:rsidRPr="004B4498" w:rsidRDefault="007E5D38" w:rsidP="00E032FC">
            <w:pPr>
              <w:pStyle w:val="TH"/>
              <w:keepLines/>
              <w:spacing w:line="210" w:lineRule="exact"/>
              <w:jc w:val="right"/>
              <w:rPr>
                <w:rFonts w:cs="Arial"/>
                <w:bCs/>
                <w:color w:val="000000" w:themeColor="text1"/>
                <w:szCs w:val="19"/>
                <w:lang w:val="hr-HR"/>
              </w:rPr>
            </w:pPr>
            <w:r w:rsidRPr="004B4498">
              <w:rPr>
                <w:rFonts w:cs="Arial"/>
                <w:bCs/>
                <w:color w:val="000000" w:themeColor="text1"/>
                <w:szCs w:val="19"/>
                <w:lang w:val="hr-HR"/>
              </w:rPr>
              <w:t>202</w:t>
            </w:r>
            <w:r>
              <w:rPr>
                <w:rFonts w:cs="Arial"/>
                <w:bCs/>
                <w:color w:val="000000" w:themeColor="text1"/>
                <w:szCs w:val="19"/>
                <w:lang w:val="hr-HR"/>
              </w:rPr>
              <w:t>2</w:t>
            </w:r>
            <w:r w:rsidRPr="004B4498">
              <w:rPr>
                <w:rFonts w:cs="Arial"/>
                <w:bCs/>
                <w:color w:val="000000" w:themeColor="text1"/>
                <w:szCs w:val="19"/>
                <w:lang w:val="hr-HR"/>
              </w:rPr>
              <w:t>.</w:t>
            </w:r>
          </w:p>
        </w:tc>
        <w:tc>
          <w:tcPr>
            <w:tcW w:w="1252" w:type="dxa"/>
            <w:vAlign w:val="bottom"/>
          </w:tcPr>
          <w:p w14:paraId="2E3FB791" w14:textId="77777777" w:rsidR="007E5D38" w:rsidRPr="004B4498" w:rsidRDefault="007E5D38" w:rsidP="00E032FC">
            <w:pPr>
              <w:pStyle w:val="TH"/>
              <w:keepLines/>
              <w:spacing w:line="210" w:lineRule="exact"/>
              <w:jc w:val="right"/>
              <w:rPr>
                <w:rFonts w:cs="Arial"/>
                <w:bCs/>
                <w:color w:val="000000" w:themeColor="text1"/>
                <w:szCs w:val="19"/>
                <w:lang w:val="hr-HR"/>
              </w:rPr>
            </w:pPr>
            <w:bookmarkStart w:id="263" w:name="_Toc67326767"/>
            <w:bookmarkStart w:id="264" w:name="_Toc67326768"/>
            <w:r w:rsidRPr="004B4498">
              <w:rPr>
                <w:rFonts w:cs="Arial"/>
                <w:bCs/>
                <w:color w:val="000000" w:themeColor="text1"/>
                <w:szCs w:val="19"/>
                <w:lang w:val="hr-HR"/>
              </w:rPr>
              <w:t>202</w:t>
            </w:r>
            <w:r>
              <w:rPr>
                <w:rFonts w:cs="Arial"/>
                <w:bCs/>
                <w:color w:val="000000" w:themeColor="text1"/>
                <w:szCs w:val="19"/>
                <w:lang w:val="hr-HR"/>
              </w:rPr>
              <w:t>1</w:t>
            </w:r>
            <w:r w:rsidRPr="004B4498">
              <w:rPr>
                <w:rFonts w:cs="Arial"/>
                <w:bCs/>
                <w:color w:val="000000" w:themeColor="text1"/>
                <w:szCs w:val="19"/>
                <w:lang w:val="hr-HR"/>
              </w:rPr>
              <w:t>.</w:t>
            </w:r>
            <w:bookmarkEnd w:id="263"/>
            <w:bookmarkEnd w:id="264"/>
          </w:p>
        </w:tc>
      </w:tr>
      <w:tr w:rsidR="007E5D38" w:rsidRPr="00201455" w14:paraId="230B93A0" w14:textId="77777777" w:rsidTr="00E032FC">
        <w:trPr>
          <w:trHeight w:val="176"/>
        </w:trPr>
        <w:tc>
          <w:tcPr>
            <w:tcW w:w="7515" w:type="dxa"/>
          </w:tcPr>
          <w:p w14:paraId="7B4012D4" w14:textId="77777777" w:rsidR="007E5D38" w:rsidRPr="004B4498" w:rsidRDefault="007E5D38" w:rsidP="00E032FC">
            <w:pPr>
              <w:pStyle w:val="TH"/>
              <w:keepLines/>
              <w:spacing w:line="210" w:lineRule="exact"/>
              <w:rPr>
                <w:rFonts w:cs="Arial"/>
                <w:color w:val="000000" w:themeColor="text1"/>
                <w:szCs w:val="19"/>
                <w:lang w:val="hr-HR"/>
              </w:rPr>
            </w:pPr>
            <w:r w:rsidRPr="004B4498">
              <w:rPr>
                <w:rFonts w:cs="Arial"/>
                <w:color w:val="000000" w:themeColor="text1"/>
                <w:szCs w:val="19"/>
                <w:lang w:val="hr-HR"/>
              </w:rPr>
              <w:t xml:space="preserve">                                                                                                                                     </w:t>
            </w:r>
          </w:p>
        </w:tc>
        <w:tc>
          <w:tcPr>
            <w:tcW w:w="1252" w:type="dxa"/>
            <w:vAlign w:val="bottom"/>
          </w:tcPr>
          <w:p w14:paraId="641F54C3" w14:textId="77777777" w:rsidR="007E5D38" w:rsidRPr="004B4498" w:rsidRDefault="007E5D38" w:rsidP="00E032FC">
            <w:pPr>
              <w:pStyle w:val="TH"/>
              <w:keepLines/>
              <w:spacing w:line="210" w:lineRule="exact"/>
              <w:jc w:val="right"/>
              <w:rPr>
                <w:rFonts w:cs="Arial"/>
                <w:bCs/>
                <w:color w:val="000000" w:themeColor="text1"/>
                <w:szCs w:val="19"/>
                <w:lang w:val="hr-HR"/>
              </w:rPr>
            </w:pPr>
            <w:bookmarkStart w:id="265" w:name="_Toc67326769"/>
            <w:r w:rsidRPr="004B4498">
              <w:rPr>
                <w:rFonts w:cs="Arial"/>
                <w:bCs/>
                <w:color w:val="000000" w:themeColor="text1"/>
                <w:szCs w:val="19"/>
                <w:lang w:val="hr-HR"/>
              </w:rPr>
              <w:t>000 kuna</w:t>
            </w:r>
            <w:bookmarkEnd w:id="265"/>
          </w:p>
        </w:tc>
        <w:tc>
          <w:tcPr>
            <w:tcW w:w="1252" w:type="dxa"/>
            <w:vAlign w:val="bottom"/>
          </w:tcPr>
          <w:p w14:paraId="21039F86" w14:textId="77777777" w:rsidR="007E5D38" w:rsidRPr="004B4498" w:rsidRDefault="007E5D38" w:rsidP="00E032FC">
            <w:pPr>
              <w:pStyle w:val="TH"/>
              <w:keepLines/>
              <w:spacing w:line="210" w:lineRule="exact"/>
              <w:jc w:val="right"/>
              <w:rPr>
                <w:rFonts w:cs="Arial"/>
                <w:bCs/>
                <w:color w:val="000000" w:themeColor="text1"/>
                <w:szCs w:val="19"/>
                <w:lang w:val="hr-HR"/>
              </w:rPr>
            </w:pPr>
            <w:bookmarkStart w:id="266" w:name="_Toc67326770"/>
            <w:r w:rsidRPr="004B4498">
              <w:rPr>
                <w:rFonts w:cs="Arial"/>
                <w:bCs/>
                <w:color w:val="000000" w:themeColor="text1"/>
                <w:szCs w:val="19"/>
                <w:lang w:val="hr-HR"/>
              </w:rPr>
              <w:t>000 kuna</w:t>
            </w:r>
            <w:bookmarkEnd w:id="266"/>
          </w:p>
        </w:tc>
      </w:tr>
      <w:tr w:rsidR="007E5D38" w:rsidRPr="00201455" w14:paraId="07BD130E" w14:textId="77777777" w:rsidTr="00E032FC">
        <w:tc>
          <w:tcPr>
            <w:tcW w:w="7515" w:type="dxa"/>
          </w:tcPr>
          <w:p w14:paraId="0E2B2098" w14:textId="77777777" w:rsidR="007E5D38" w:rsidRPr="004B4498" w:rsidRDefault="007E5D38" w:rsidP="00E032FC">
            <w:pPr>
              <w:pStyle w:val="TT"/>
              <w:keepLines/>
              <w:spacing w:line="210" w:lineRule="exact"/>
              <w:rPr>
                <w:rFonts w:cs="Arial"/>
                <w:b/>
                <w:bCs/>
                <w:color w:val="000000" w:themeColor="text1"/>
                <w:spacing w:val="-3"/>
                <w:szCs w:val="19"/>
                <w:lang w:val="hr-HR"/>
              </w:rPr>
            </w:pPr>
            <w:bookmarkStart w:id="267" w:name="_Toc67326771"/>
            <w:r w:rsidRPr="004B4498">
              <w:rPr>
                <w:rFonts w:cs="Arial"/>
                <w:b/>
                <w:bCs/>
                <w:color w:val="000000" w:themeColor="text1"/>
                <w:szCs w:val="19"/>
                <w:lang w:val="hr-HR"/>
              </w:rPr>
              <w:t>Poslovne aktivnosti</w:t>
            </w:r>
            <w:bookmarkEnd w:id="267"/>
          </w:p>
        </w:tc>
        <w:tc>
          <w:tcPr>
            <w:tcW w:w="1252" w:type="dxa"/>
          </w:tcPr>
          <w:p w14:paraId="278E14ED" w14:textId="77777777" w:rsidR="007E5D38" w:rsidRPr="004B4498" w:rsidRDefault="007E5D38" w:rsidP="00E032FC">
            <w:pPr>
              <w:pStyle w:val="TT"/>
              <w:keepLines/>
              <w:spacing w:line="210" w:lineRule="exact"/>
              <w:jc w:val="right"/>
              <w:rPr>
                <w:rFonts w:cs="Arial"/>
                <w:color w:val="000000" w:themeColor="text1"/>
                <w:szCs w:val="19"/>
                <w:lang w:val="hr-HR"/>
              </w:rPr>
            </w:pPr>
          </w:p>
        </w:tc>
        <w:tc>
          <w:tcPr>
            <w:tcW w:w="1252" w:type="dxa"/>
          </w:tcPr>
          <w:p w14:paraId="10C59A4C" w14:textId="77777777" w:rsidR="007E5D38" w:rsidRPr="004B4498" w:rsidRDefault="007E5D38" w:rsidP="00E032FC">
            <w:pPr>
              <w:pStyle w:val="TT"/>
              <w:keepLines/>
              <w:spacing w:line="210" w:lineRule="exact"/>
              <w:jc w:val="right"/>
              <w:rPr>
                <w:rFonts w:cs="Arial"/>
                <w:color w:val="000000" w:themeColor="text1"/>
                <w:szCs w:val="19"/>
                <w:lang w:val="hr-HR"/>
              </w:rPr>
            </w:pPr>
          </w:p>
        </w:tc>
      </w:tr>
      <w:tr w:rsidR="007E5D38" w:rsidRPr="00201455" w14:paraId="2FA6378E" w14:textId="77777777" w:rsidTr="00E032FC">
        <w:tc>
          <w:tcPr>
            <w:tcW w:w="7515" w:type="dxa"/>
          </w:tcPr>
          <w:p w14:paraId="7B90B176" w14:textId="77777777" w:rsidR="007E5D38" w:rsidRPr="004B4498" w:rsidRDefault="007E5D38" w:rsidP="00E032FC">
            <w:pPr>
              <w:pStyle w:val="TT"/>
              <w:keepLines/>
              <w:spacing w:line="210" w:lineRule="exact"/>
              <w:rPr>
                <w:rFonts w:cs="Arial"/>
                <w:color w:val="000000" w:themeColor="text1"/>
                <w:spacing w:val="-3"/>
                <w:szCs w:val="19"/>
                <w:lang w:val="hr-HR"/>
              </w:rPr>
            </w:pPr>
            <w:bookmarkStart w:id="268" w:name="_Toc67326772"/>
            <w:r w:rsidRPr="004B4498">
              <w:rPr>
                <w:rFonts w:cs="Arial"/>
                <w:color w:val="000000" w:themeColor="text1"/>
                <w:szCs w:val="19"/>
                <w:lang w:val="hr-HR"/>
              </w:rPr>
              <w:t>Dobit prije oporezivanja</w:t>
            </w:r>
            <w:bookmarkEnd w:id="268"/>
          </w:p>
        </w:tc>
        <w:tc>
          <w:tcPr>
            <w:tcW w:w="1252" w:type="dxa"/>
            <w:vAlign w:val="bottom"/>
          </w:tcPr>
          <w:p w14:paraId="78F4F09A" w14:textId="77777777" w:rsidR="007E5D38" w:rsidRPr="004B4498" w:rsidRDefault="007E5D38" w:rsidP="00E032FC">
            <w:pPr>
              <w:pStyle w:val="TT"/>
              <w:keepLines/>
              <w:spacing w:line="210" w:lineRule="exact"/>
              <w:jc w:val="right"/>
              <w:rPr>
                <w:rFonts w:cs="Arial"/>
                <w:color w:val="000000" w:themeColor="text1"/>
                <w:szCs w:val="19"/>
                <w:highlight w:val="yellow"/>
                <w:lang w:val="hr-HR"/>
              </w:rPr>
            </w:pPr>
            <w:r>
              <w:rPr>
                <w:rFonts w:cs="Arial"/>
                <w:color w:val="000000" w:themeColor="text1"/>
                <w:szCs w:val="19"/>
                <w:lang w:val="hr-HR"/>
              </w:rPr>
              <w:t>190.130</w:t>
            </w:r>
          </w:p>
        </w:tc>
        <w:tc>
          <w:tcPr>
            <w:tcW w:w="1252" w:type="dxa"/>
            <w:vAlign w:val="bottom"/>
          </w:tcPr>
          <w:p w14:paraId="67BF4425" w14:textId="77777777" w:rsidR="007E5D38" w:rsidRPr="004B4498" w:rsidRDefault="007E5D38" w:rsidP="00E032FC">
            <w:pPr>
              <w:pStyle w:val="TT"/>
              <w:keepLines/>
              <w:spacing w:line="210" w:lineRule="exact"/>
              <w:jc w:val="right"/>
              <w:rPr>
                <w:rFonts w:cs="Arial"/>
                <w:color w:val="000000" w:themeColor="text1"/>
                <w:szCs w:val="19"/>
                <w:lang w:val="hr-HR"/>
              </w:rPr>
            </w:pPr>
            <w:bookmarkStart w:id="269" w:name="_Toc67326773"/>
            <w:r w:rsidRPr="0046584E">
              <w:rPr>
                <w:rFonts w:cs="Arial"/>
                <w:color w:val="000000" w:themeColor="text1"/>
                <w:szCs w:val="19"/>
                <w:lang w:val="hr-HR"/>
              </w:rPr>
              <w:t>188.399</w:t>
            </w:r>
            <w:bookmarkEnd w:id="269"/>
          </w:p>
        </w:tc>
      </w:tr>
      <w:tr w:rsidR="007E5D38" w:rsidRPr="00201455" w14:paraId="5DEECB8D" w14:textId="77777777" w:rsidTr="00E032FC">
        <w:tc>
          <w:tcPr>
            <w:tcW w:w="7515" w:type="dxa"/>
          </w:tcPr>
          <w:p w14:paraId="16ADFC95" w14:textId="77777777" w:rsidR="007E5D38" w:rsidRPr="004B4498" w:rsidRDefault="007E5D38" w:rsidP="00E032FC">
            <w:pPr>
              <w:pStyle w:val="TT"/>
              <w:keepLines/>
              <w:spacing w:line="210" w:lineRule="exact"/>
              <w:rPr>
                <w:rFonts w:cs="Arial"/>
                <w:i/>
                <w:color w:val="000000" w:themeColor="text1"/>
                <w:szCs w:val="19"/>
                <w:lang w:val="hr-HR"/>
              </w:rPr>
            </w:pPr>
            <w:bookmarkStart w:id="270" w:name="_Toc67326775"/>
            <w:r w:rsidRPr="004B4498">
              <w:rPr>
                <w:rFonts w:cs="Arial"/>
                <w:i/>
                <w:color w:val="000000" w:themeColor="text1"/>
                <w:szCs w:val="19"/>
                <w:lang w:val="hr-HR"/>
              </w:rPr>
              <w:t>Usklađenje na neto novčana sredstva ostvarena i uporabljena za poslovne aktivnosti:</w:t>
            </w:r>
            <w:bookmarkEnd w:id="270"/>
          </w:p>
        </w:tc>
        <w:tc>
          <w:tcPr>
            <w:tcW w:w="1252" w:type="dxa"/>
            <w:vAlign w:val="bottom"/>
          </w:tcPr>
          <w:p w14:paraId="2BBFAA3C" w14:textId="77777777" w:rsidR="007E5D38" w:rsidRPr="004B4498" w:rsidRDefault="007E5D38" w:rsidP="00E032FC">
            <w:pPr>
              <w:pStyle w:val="TT"/>
              <w:keepLines/>
              <w:spacing w:line="210" w:lineRule="exact"/>
              <w:jc w:val="right"/>
              <w:rPr>
                <w:rFonts w:cs="Arial"/>
                <w:i/>
                <w:color w:val="000000" w:themeColor="text1"/>
                <w:szCs w:val="19"/>
                <w:highlight w:val="yellow"/>
                <w:lang w:val="hr-HR"/>
              </w:rPr>
            </w:pPr>
          </w:p>
        </w:tc>
        <w:tc>
          <w:tcPr>
            <w:tcW w:w="1252" w:type="dxa"/>
            <w:vAlign w:val="bottom"/>
          </w:tcPr>
          <w:p w14:paraId="72F28BEC" w14:textId="77777777" w:rsidR="007E5D38" w:rsidRPr="004B4498" w:rsidRDefault="007E5D38" w:rsidP="00E032FC">
            <w:pPr>
              <w:pStyle w:val="TT"/>
              <w:keepLines/>
              <w:spacing w:line="210" w:lineRule="exact"/>
              <w:jc w:val="right"/>
              <w:rPr>
                <w:rFonts w:cs="Arial"/>
                <w:i/>
                <w:color w:val="000000" w:themeColor="text1"/>
                <w:szCs w:val="19"/>
                <w:lang w:val="hr-HR"/>
              </w:rPr>
            </w:pPr>
          </w:p>
        </w:tc>
      </w:tr>
      <w:tr w:rsidR="007E5D38" w:rsidRPr="00201455" w14:paraId="02C4613C" w14:textId="77777777" w:rsidTr="00E032FC">
        <w:tc>
          <w:tcPr>
            <w:tcW w:w="7515" w:type="dxa"/>
          </w:tcPr>
          <w:p w14:paraId="2D03D2F0" w14:textId="77777777" w:rsidR="007E5D38" w:rsidRPr="004B4498" w:rsidRDefault="007E5D38" w:rsidP="00E032FC">
            <w:pPr>
              <w:pStyle w:val="TT"/>
              <w:keepLines/>
              <w:spacing w:line="210" w:lineRule="exact"/>
              <w:rPr>
                <w:rFonts w:cs="Arial"/>
                <w:color w:val="000000" w:themeColor="text1"/>
                <w:spacing w:val="-3"/>
                <w:szCs w:val="19"/>
                <w:lang w:val="hr-HR"/>
              </w:rPr>
            </w:pPr>
            <w:bookmarkStart w:id="271" w:name="_Toc67326776"/>
            <w:bookmarkStart w:id="272" w:name="_Hlk35010472"/>
            <w:r w:rsidRPr="004B4498">
              <w:rPr>
                <w:rFonts w:cs="Arial"/>
                <w:color w:val="000000" w:themeColor="text1"/>
                <w:szCs w:val="19"/>
                <w:lang w:val="hr-HR"/>
              </w:rPr>
              <w:t>Amortizacija</w:t>
            </w:r>
            <w:bookmarkEnd w:id="271"/>
          </w:p>
        </w:tc>
        <w:tc>
          <w:tcPr>
            <w:tcW w:w="1252" w:type="dxa"/>
            <w:tcBorders>
              <w:top w:val="nil"/>
              <w:left w:val="nil"/>
              <w:bottom w:val="nil"/>
              <w:right w:val="nil"/>
            </w:tcBorders>
            <w:shd w:val="clear" w:color="auto" w:fill="auto"/>
            <w:vAlign w:val="bottom"/>
          </w:tcPr>
          <w:p w14:paraId="06C01E8D" w14:textId="77777777" w:rsidR="007E5D38" w:rsidRPr="004B4498" w:rsidRDefault="007E5D38" w:rsidP="00E032FC">
            <w:pPr>
              <w:pStyle w:val="TT"/>
              <w:keepLines/>
              <w:spacing w:line="210" w:lineRule="exact"/>
              <w:jc w:val="right"/>
              <w:rPr>
                <w:rFonts w:cs="Arial"/>
                <w:color w:val="000000" w:themeColor="text1"/>
                <w:szCs w:val="19"/>
                <w:lang w:val="hr-HR"/>
              </w:rPr>
            </w:pPr>
            <w:r w:rsidRPr="009D3042">
              <w:rPr>
                <w:rFonts w:cs="Arial"/>
                <w:color w:val="000000" w:themeColor="text1"/>
                <w:szCs w:val="19"/>
                <w:lang w:val="hr-HR"/>
              </w:rPr>
              <w:t>11.600</w:t>
            </w:r>
          </w:p>
        </w:tc>
        <w:tc>
          <w:tcPr>
            <w:tcW w:w="1252" w:type="dxa"/>
            <w:tcBorders>
              <w:top w:val="nil"/>
              <w:left w:val="nil"/>
              <w:bottom w:val="nil"/>
              <w:right w:val="nil"/>
            </w:tcBorders>
            <w:shd w:val="clear" w:color="auto" w:fill="auto"/>
            <w:vAlign w:val="bottom"/>
          </w:tcPr>
          <w:p w14:paraId="1360C724" w14:textId="77777777" w:rsidR="007E5D38" w:rsidRPr="004B4498" w:rsidRDefault="007E5D38" w:rsidP="00E032FC">
            <w:pPr>
              <w:pStyle w:val="TT"/>
              <w:keepLines/>
              <w:spacing w:line="210" w:lineRule="exact"/>
              <w:jc w:val="right"/>
              <w:rPr>
                <w:rFonts w:cs="Arial"/>
                <w:color w:val="000000" w:themeColor="text1"/>
                <w:szCs w:val="19"/>
                <w:lang w:val="hr-HR"/>
              </w:rPr>
            </w:pPr>
            <w:bookmarkStart w:id="273" w:name="_Toc67326777"/>
            <w:r w:rsidRPr="0046584E">
              <w:rPr>
                <w:rFonts w:cs="Arial"/>
                <w:color w:val="000000" w:themeColor="text1"/>
                <w:szCs w:val="19"/>
                <w:lang w:val="hr-HR"/>
              </w:rPr>
              <w:t>11.304</w:t>
            </w:r>
            <w:bookmarkEnd w:id="273"/>
          </w:p>
        </w:tc>
      </w:tr>
      <w:tr w:rsidR="007E5D38" w:rsidRPr="00201455" w14:paraId="25701B7D" w14:textId="77777777" w:rsidTr="00E032FC">
        <w:tc>
          <w:tcPr>
            <w:tcW w:w="7515" w:type="dxa"/>
          </w:tcPr>
          <w:p w14:paraId="42D2F444" w14:textId="77777777" w:rsidR="007E5D38" w:rsidRPr="004B4498" w:rsidRDefault="007E5D38" w:rsidP="00E032FC">
            <w:pPr>
              <w:pStyle w:val="TT"/>
              <w:keepLines/>
              <w:spacing w:line="210" w:lineRule="exact"/>
              <w:rPr>
                <w:rFonts w:cs="Arial"/>
                <w:color w:val="000000" w:themeColor="text1"/>
                <w:szCs w:val="19"/>
                <w:lang w:val="hr-HR"/>
              </w:rPr>
            </w:pPr>
            <w:bookmarkStart w:id="274" w:name="_Toc67326779"/>
            <w:r w:rsidRPr="004B4498">
              <w:rPr>
                <w:rFonts w:cs="Arial"/>
                <w:color w:val="000000" w:themeColor="text1"/>
                <w:szCs w:val="19"/>
                <w:lang w:val="hr-HR"/>
              </w:rPr>
              <w:t>Porez na dobit</w:t>
            </w:r>
            <w:bookmarkEnd w:id="274"/>
          </w:p>
        </w:tc>
        <w:tc>
          <w:tcPr>
            <w:tcW w:w="1252" w:type="dxa"/>
            <w:tcBorders>
              <w:top w:val="nil"/>
              <w:left w:val="nil"/>
              <w:bottom w:val="nil"/>
              <w:right w:val="nil"/>
            </w:tcBorders>
            <w:shd w:val="clear" w:color="auto" w:fill="auto"/>
            <w:vAlign w:val="bottom"/>
          </w:tcPr>
          <w:p w14:paraId="31F1BAC2" w14:textId="77777777" w:rsidR="007E5D38" w:rsidRPr="004B4498" w:rsidRDefault="007E5D38" w:rsidP="00E032FC">
            <w:pPr>
              <w:pStyle w:val="TT"/>
              <w:keepLines/>
              <w:spacing w:line="210" w:lineRule="exact"/>
              <w:jc w:val="right"/>
              <w:rPr>
                <w:rFonts w:cs="Arial"/>
                <w:color w:val="000000" w:themeColor="text1"/>
                <w:szCs w:val="19"/>
                <w:lang w:val="hr-HR"/>
              </w:rPr>
            </w:pPr>
            <w:r>
              <w:rPr>
                <w:rFonts w:cs="Arial"/>
                <w:color w:val="000000" w:themeColor="text1"/>
                <w:szCs w:val="19"/>
                <w:lang w:val="hr-HR"/>
              </w:rPr>
              <w:t>(672)</w:t>
            </w:r>
          </w:p>
        </w:tc>
        <w:tc>
          <w:tcPr>
            <w:tcW w:w="1252" w:type="dxa"/>
            <w:tcBorders>
              <w:top w:val="nil"/>
              <w:left w:val="nil"/>
              <w:bottom w:val="nil"/>
              <w:right w:val="nil"/>
            </w:tcBorders>
            <w:shd w:val="clear" w:color="auto" w:fill="auto"/>
            <w:vAlign w:val="bottom"/>
          </w:tcPr>
          <w:p w14:paraId="21967E18" w14:textId="77777777" w:rsidR="007E5D38" w:rsidRPr="004B4498" w:rsidRDefault="007E5D38" w:rsidP="00E032FC">
            <w:pPr>
              <w:pStyle w:val="TT"/>
              <w:keepLines/>
              <w:spacing w:line="210" w:lineRule="exact"/>
              <w:jc w:val="right"/>
              <w:rPr>
                <w:rFonts w:cs="Arial"/>
                <w:color w:val="000000" w:themeColor="text1"/>
                <w:szCs w:val="19"/>
                <w:lang w:val="hr-HR"/>
              </w:rPr>
            </w:pPr>
            <w:bookmarkStart w:id="275" w:name="_Toc67326780"/>
            <w:r w:rsidRPr="0046584E">
              <w:rPr>
                <w:rFonts w:cs="Arial"/>
                <w:color w:val="000000" w:themeColor="text1"/>
                <w:szCs w:val="19"/>
                <w:lang w:val="hr-HR"/>
              </w:rPr>
              <w:t>(214)</w:t>
            </w:r>
            <w:bookmarkEnd w:id="275"/>
          </w:p>
        </w:tc>
      </w:tr>
      <w:tr w:rsidR="007E5D38" w:rsidRPr="00201455" w14:paraId="0D4D9947" w14:textId="77777777" w:rsidTr="00E032FC">
        <w:tc>
          <w:tcPr>
            <w:tcW w:w="7515" w:type="dxa"/>
          </w:tcPr>
          <w:p w14:paraId="58DB49CC" w14:textId="77777777" w:rsidR="007E5D38" w:rsidRPr="004B4498" w:rsidRDefault="007E5D38" w:rsidP="00E032FC">
            <w:pPr>
              <w:pStyle w:val="TT"/>
              <w:spacing w:line="210" w:lineRule="exact"/>
              <w:rPr>
                <w:rFonts w:cs="Arial"/>
                <w:bCs/>
                <w:color w:val="000000" w:themeColor="text1"/>
                <w:spacing w:val="-2"/>
                <w:szCs w:val="19"/>
                <w:lang w:val="hr-HR"/>
              </w:rPr>
            </w:pPr>
            <w:bookmarkStart w:id="276" w:name="_Toc67326782"/>
            <w:bookmarkEnd w:id="272"/>
            <w:r w:rsidRPr="004B4498">
              <w:rPr>
                <w:rFonts w:cs="Arial"/>
                <w:bCs/>
                <w:color w:val="000000" w:themeColor="text1"/>
                <w:spacing w:val="-2"/>
                <w:szCs w:val="19"/>
                <w:lang w:val="hr-HR"/>
              </w:rPr>
              <w:t>Gubitak od umanjenja vrijednosti i rezerviranja</w:t>
            </w:r>
            <w:bookmarkEnd w:id="276"/>
          </w:p>
        </w:tc>
        <w:tc>
          <w:tcPr>
            <w:tcW w:w="1252" w:type="dxa"/>
            <w:tcBorders>
              <w:top w:val="nil"/>
              <w:left w:val="nil"/>
              <w:bottom w:val="nil"/>
              <w:right w:val="nil"/>
            </w:tcBorders>
            <w:shd w:val="clear" w:color="auto" w:fill="auto"/>
            <w:vAlign w:val="bottom"/>
          </w:tcPr>
          <w:p w14:paraId="6FAB0A92" w14:textId="77777777" w:rsidR="007E5D38" w:rsidRPr="004B4498" w:rsidRDefault="007E5D38" w:rsidP="00E032FC">
            <w:pPr>
              <w:pStyle w:val="TT"/>
              <w:keepLines/>
              <w:spacing w:line="210" w:lineRule="exact"/>
              <w:jc w:val="right"/>
              <w:rPr>
                <w:rFonts w:cs="Arial"/>
                <w:color w:val="000000" w:themeColor="text1"/>
                <w:szCs w:val="19"/>
                <w:lang w:val="hr-HR"/>
              </w:rPr>
            </w:pPr>
            <w:r w:rsidRPr="009D3042">
              <w:rPr>
                <w:rFonts w:cs="Arial"/>
                <w:color w:val="000000" w:themeColor="text1"/>
                <w:szCs w:val="19"/>
                <w:lang w:val="hr-HR"/>
              </w:rPr>
              <w:t>144.254</w:t>
            </w:r>
          </w:p>
        </w:tc>
        <w:tc>
          <w:tcPr>
            <w:tcW w:w="1252" w:type="dxa"/>
            <w:tcBorders>
              <w:top w:val="nil"/>
              <w:left w:val="nil"/>
              <w:bottom w:val="nil"/>
              <w:right w:val="nil"/>
            </w:tcBorders>
            <w:shd w:val="clear" w:color="auto" w:fill="auto"/>
            <w:vAlign w:val="bottom"/>
          </w:tcPr>
          <w:p w14:paraId="0FC17FB9" w14:textId="77777777" w:rsidR="007E5D38" w:rsidRPr="004B4498" w:rsidRDefault="007E5D38" w:rsidP="00E032FC">
            <w:pPr>
              <w:pStyle w:val="TT"/>
              <w:keepLines/>
              <w:spacing w:line="210" w:lineRule="exact"/>
              <w:jc w:val="right"/>
              <w:rPr>
                <w:rFonts w:cs="Arial"/>
                <w:color w:val="000000" w:themeColor="text1"/>
                <w:szCs w:val="19"/>
                <w:lang w:val="hr-HR"/>
              </w:rPr>
            </w:pPr>
            <w:bookmarkStart w:id="277" w:name="_Toc67326783"/>
            <w:r w:rsidRPr="0046584E">
              <w:rPr>
                <w:rFonts w:cs="Arial"/>
                <w:color w:val="000000" w:themeColor="text1"/>
                <w:szCs w:val="19"/>
                <w:lang w:val="hr-HR"/>
              </w:rPr>
              <w:t>163.030</w:t>
            </w:r>
            <w:bookmarkEnd w:id="277"/>
          </w:p>
        </w:tc>
      </w:tr>
      <w:tr w:rsidR="007E5D38" w:rsidRPr="00201455" w14:paraId="374494AC" w14:textId="77777777" w:rsidTr="00E032FC">
        <w:tc>
          <w:tcPr>
            <w:tcW w:w="7515" w:type="dxa"/>
            <w:vAlign w:val="bottom"/>
          </w:tcPr>
          <w:p w14:paraId="74FDEDB0" w14:textId="77777777" w:rsidR="007E5D38" w:rsidRPr="004B4498" w:rsidRDefault="007E5D38" w:rsidP="00E032FC">
            <w:pPr>
              <w:pStyle w:val="TT"/>
              <w:keepLines/>
              <w:spacing w:line="210" w:lineRule="exact"/>
              <w:rPr>
                <w:rFonts w:cs="Arial"/>
                <w:iCs/>
                <w:color w:val="000000" w:themeColor="text1"/>
                <w:szCs w:val="19"/>
                <w:lang w:val="hr-HR"/>
              </w:rPr>
            </w:pPr>
            <w:bookmarkStart w:id="278" w:name="_Toc67326785"/>
            <w:r w:rsidRPr="004B4498">
              <w:rPr>
                <w:rFonts w:cs="Arial"/>
                <w:iCs/>
                <w:color w:val="000000" w:themeColor="text1"/>
                <w:szCs w:val="19"/>
                <w:lang w:val="hr-HR"/>
              </w:rPr>
              <w:t>Obračunane kamate</w:t>
            </w:r>
            <w:bookmarkEnd w:id="278"/>
            <w:r w:rsidRPr="004B4498">
              <w:rPr>
                <w:rFonts w:cs="Arial"/>
                <w:iCs/>
                <w:color w:val="000000" w:themeColor="text1"/>
                <w:szCs w:val="19"/>
                <w:lang w:val="hr-HR"/>
              </w:rPr>
              <w:t xml:space="preserve"> </w:t>
            </w:r>
          </w:p>
        </w:tc>
        <w:tc>
          <w:tcPr>
            <w:tcW w:w="1252" w:type="dxa"/>
            <w:tcBorders>
              <w:top w:val="nil"/>
              <w:left w:val="nil"/>
              <w:bottom w:val="nil"/>
              <w:right w:val="nil"/>
            </w:tcBorders>
            <w:shd w:val="clear" w:color="auto" w:fill="auto"/>
            <w:vAlign w:val="bottom"/>
          </w:tcPr>
          <w:p w14:paraId="4C948248" w14:textId="77777777" w:rsidR="007E5D38" w:rsidRPr="004B4498" w:rsidRDefault="007E5D38" w:rsidP="00E032FC">
            <w:pPr>
              <w:pStyle w:val="CommentText"/>
              <w:keepLines/>
              <w:spacing w:line="210" w:lineRule="exact"/>
              <w:jc w:val="right"/>
              <w:rPr>
                <w:rFonts w:ascii="Arial" w:hAnsi="Arial" w:cs="Arial"/>
                <w:color w:val="000000" w:themeColor="text1"/>
                <w:sz w:val="19"/>
                <w:szCs w:val="19"/>
                <w:lang w:val="hr-HR"/>
              </w:rPr>
            </w:pPr>
            <w:r w:rsidRPr="009D3042">
              <w:rPr>
                <w:rFonts w:ascii="Arial" w:hAnsi="Arial" w:cs="Arial"/>
                <w:color w:val="000000" w:themeColor="text1"/>
                <w:sz w:val="19"/>
                <w:szCs w:val="19"/>
                <w:lang w:val="hr-HR"/>
              </w:rPr>
              <w:t>60.402</w:t>
            </w:r>
          </w:p>
        </w:tc>
        <w:tc>
          <w:tcPr>
            <w:tcW w:w="1252" w:type="dxa"/>
            <w:tcBorders>
              <w:top w:val="nil"/>
              <w:left w:val="nil"/>
              <w:bottom w:val="nil"/>
              <w:right w:val="nil"/>
            </w:tcBorders>
            <w:shd w:val="clear" w:color="auto" w:fill="auto"/>
            <w:vAlign w:val="bottom"/>
          </w:tcPr>
          <w:p w14:paraId="7856DC0B" w14:textId="77777777" w:rsidR="007E5D38" w:rsidRPr="004B4498" w:rsidRDefault="007E5D38" w:rsidP="00E032FC">
            <w:pPr>
              <w:pStyle w:val="CommentText"/>
              <w:keepLines/>
              <w:spacing w:line="210" w:lineRule="exact"/>
              <w:jc w:val="right"/>
              <w:rPr>
                <w:rFonts w:ascii="Arial" w:hAnsi="Arial" w:cs="Arial"/>
                <w:iCs/>
                <w:color w:val="000000" w:themeColor="text1"/>
                <w:sz w:val="19"/>
                <w:szCs w:val="19"/>
                <w:lang w:val="hr-HR"/>
              </w:rPr>
            </w:pPr>
            <w:r w:rsidRPr="0046584E">
              <w:rPr>
                <w:rFonts w:ascii="Arial" w:hAnsi="Arial" w:cs="Arial"/>
                <w:color w:val="000000" w:themeColor="text1"/>
                <w:sz w:val="19"/>
                <w:szCs w:val="19"/>
                <w:lang w:val="hr-HR"/>
              </w:rPr>
              <w:t>95.188</w:t>
            </w:r>
          </w:p>
        </w:tc>
      </w:tr>
      <w:tr w:rsidR="007E5D38" w:rsidRPr="00201455" w14:paraId="58BDF283" w14:textId="77777777" w:rsidTr="00E032FC">
        <w:tc>
          <w:tcPr>
            <w:tcW w:w="7515" w:type="dxa"/>
          </w:tcPr>
          <w:p w14:paraId="5D085BEE" w14:textId="77777777" w:rsidR="007E5D38" w:rsidRPr="004B4498" w:rsidRDefault="007E5D38" w:rsidP="00E032FC">
            <w:pPr>
              <w:pStyle w:val="TT"/>
              <w:keepLines/>
              <w:spacing w:line="210" w:lineRule="exact"/>
              <w:rPr>
                <w:rFonts w:cs="Arial"/>
                <w:i/>
                <w:iCs/>
                <w:color w:val="000000" w:themeColor="text1"/>
                <w:szCs w:val="19"/>
                <w:lang w:val="hr-HR"/>
              </w:rPr>
            </w:pPr>
            <w:bookmarkStart w:id="279" w:name="_Toc67326786"/>
            <w:r w:rsidRPr="004B4498">
              <w:rPr>
                <w:rFonts w:cs="Arial"/>
                <w:iCs/>
                <w:color w:val="000000" w:themeColor="text1"/>
                <w:szCs w:val="19"/>
                <w:lang w:val="hr-HR"/>
              </w:rPr>
              <w:t>Odgođene naknade</w:t>
            </w:r>
            <w:bookmarkEnd w:id="279"/>
          </w:p>
        </w:tc>
        <w:tc>
          <w:tcPr>
            <w:tcW w:w="1252" w:type="dxa"/>
            <w:tcBorders>
              <w:top w:val="nil"/>
              <w:left w:val="nil"/>
              <w:bottom w:val="nil"/>
              <w:right w:val="nil"/>
            </w:tcBorders>
            <w:shd w:val="clear" w:color="auto" w:fill="auto"/>
            <w:vAlign w:val="bottom"/>
          </w:tcPr>
          <w:p w14:paraId="24BBA450" w14:textId="77777777" w:rsidR="007E5D38" w:rsidRPr="004B4498" w:rsidRDefault="007E5D38" w:rsidP="00E032FC">
            <w:pPr>
              <w:pStyle w:val="CommentText"/>
              <w:keepLines/>
              <w:spacing w:line="210" w:lineRule="exact"/>
              <w:jc w:val="right"/>
              <w:rPr>
                <w:rFonts w:ascii="Arial" w:hAnsi="Arial" w:cs="Arial"/>
                <w:color w:val="000000" w:themeColor="text1"/>
                <w:sz w:val="19"/>
                <w:szCs w:val="19"/>
                <w:lang w:val="hr-HR"/>
              </w:rPr>
            </w:pPr>
            <w:r>
              <w:rPr>
                <w:rFonts w:ascii="Arial" w:hAnsi="Arial" w:cs="Arial"/>
                <w:color w:val="000000" w:themeColor="text1"/>
                <w:sz w:val="19"/>
                <w:szCs w:val="19"/>
                <w:lang w:val="hr-HR"/>
              </w:rPr>
              <w:t>(</w:t>
            </w:r>
            <w:r w:rsidRPr="009D3042">
              <w:rPr>
                <w:rFonts w:ascii="Arial" w:hAnsi="Arial" w:cs="Arial"/>
                <w:color w:val="000000" w:themeColor="text1"/>
                <w:sz w:val="19"/>
                <w:szCs w:val="19"/>
                <w:lang w:val="hr-HR"/>
              </w:rPr>
              <w:t>13.252</w:t>
            </w:r>
            <w:r>
              <w:rPr>
                <w:rFonts w:ascii="Arial" w:hAnsi="Arial" w:cs="Arial"/>
                <w:color w:val="000000" w:themeColor="text1"/>
                <w:sz w:val="19"/>
                <w:szCs w:val="19"/>
                <w:lang w:val="hr-HR"/>
              </w:rPr>
              <w:t>)</w:t>
            </w:r>
          </w:p>
        </w:tc>
        <w:tc>
          <w:tcPr>
            <w:tcW w:w="1252" w:type="dxa"/>
            <w:tcBorders>
              <w:top w:val="nil"/>
              <w:left w:val="nil"/>
              <w:bottom w:val="nil"/>
              <w:right w:val="nil"/>
            </w:tcBorders>
            <w:shd w:val="clear" w:color="auto" w:fill="auto"/>
            <w:vAlign w:val="bottom"/>
          </w:tcPr>
          <w:p w14:paraId="4D9B4549" w14:textId="77777777" w:rsidR="007E5D38" w:rsidRPr="004B4498" w:rsidRDefault="007E5D38" w:rsidP="00E032FC">
            <w:pPr>
              <w:pStyle w:val="CommentText"/>
              <w:keepLines/>
              <w:spacing w:line="210" w:lineRule="exact"/>
              <w:jc w:val="right"/>
              <w:rPr>
                <w:rFonts w:ascii="Arial" w:hAnsi="Arial" w:cs="Arial"/>
                <w:color w:val="000000" w:themeColor="text1"/>
                <w:sz w:val="19"/>
                <w:szCs w:val="19"/>
                <w:lang w:val="hr-HR"/>
              </w:rPr>
            </w:pPr>
            <w:r w:rsidRPr="0046584E">
              <w:rPr>
                <w:rFonts w:ascii="Arial" w:hAnsi="Arial" w:cs="Arial"/>
                <w:color w:val="000000" w:themeColor="text1"/>
                <w:sz w:val="19"/>
                <w:szCs w:val="19"/>
                <w:lang w:val="hr-HR"/>
              </w:rPr>
              <w:t>(9.782)</w:t>
            </w:r>
          </w:p>
        </w:tc>
      </w:tr>
      <w:tr w:rsidR="007E5D38" w:rsidRPr="00201455" w14:paraId="303A5DD4" w14:textId="77777777" w:rsidTr="00E032FC">
        <w:tc>
          <w:tcPr>
            <w:tcW w:w="7515" w:type="dxa"/>
          </w:tcPr>
          <w:p w14:paraId="0A0D6223" w14:textId="77777777" w:rsidR="007E5D38" w:rsidRPr="009D3042" w:rsidRDefault="007E5D38" w:rsidP="00E032FC">
            <w:pPr>
              <w:pStyle w:val="TT"/>
              <w:keepLines/>
              <w:spacing w:line="210" w:lineRule="exact"/>
              <w:rPr>
                <w:rFonts w:cs="Arial"/>
                <w:iCs/>
                <w:color w:val="000000" w:themeColor="text1"/>
                <w:szCs w:val="19"/>
                <w:lang w:val="hr-HR"/>
              </w:rPr>
            </w:pPr>
            <w:bookmarkStart w:id="280" w:name="_Toc67326787"/>
            <w:r w:rsidRPr="009D3042">
              <w:rPr>
                <w:rFonts w:cs="Arial"/>
                <w:iCs/>
                <w:color w:val="000000" w:themeColor="text1"/>
                <w:szCs w:val="19"/>
                <w:lang w:val="hr-HR"/>
              </w:rPr>
              <w:t xml:space="preserve">Neto </w:t>
            </w:r>
            <w:r>
              <w:rPr>
                <w:rFonts w:cs="Arial"/>
                <w:iCs/>
                <w:color w:val="000000" w:themeColor="text1"/>
                <w:szCs w:val="19"/>
                <w:lang w:val="hr-HR"/>
              </w:rPr>
              <w:t>(</w:t>
            </w:r>
            <w:r w:rsidRPr="009D3042">
              <w:rPr>
                <w:rFonts w:cs="Arial"/>
                <w:iCs/>
                <w:color w:val="000000" w:themeColor="text1"/>
                <w:szCs w:val="19"/>
                <w:lang w:val="hr-HR"/>
              </w:rPr>
              <w:t>gubitak</w:t>
            </w:r>
            <w:r>
              <w:rPr>
                <w:rFonts w:cs="Arial"/>
                <w:iCs/>
                <w:color w:val="000000" w:themeColor="text1"/>
                <w:szCs w:val="19"/>
                <w:lang w:val="hr-HR"/>
              </w:rPr>
              <w:t>)/</w:t>
            </w:r>
            <w:r w:rsidRPr="009D3042">
              <w:rPr>
                <w:rFonts w:cs="Arial"/>
                <w:iCs/>
                <w:color w:val="000000" w:themeColor="text1"/>
                <w:szCs w:val="19"/>
                <w:lang w:val="hr-HR"/>
              </w:rPr>
              <w:t>dobit</w:t>
            </w:r>
            <w:r>
              <w:rPr>
                <w:rFonts w:cs="Arial"/>
                <w:iCs/>
                <w:color w:val="000000" w:themeColor="text1"/>
                <w:szCs w:val="19"/>
                <w:lang w:val="hr-HR"/>
              </w:rPr>
              <w:t xml:space="preserve"> </w:t>
            </w:r>
            <w:r w:rsidRPr="009D3042">
              <w:rPr>
                <w:rFonts w:cs="Arial"/>
                <w:iCs/>
                <w:color w:val="000000" w:themeColor="text1"/>
                <w:szCs w:val="19"/>
                <w:lang w:val="hr-HR"/>
              </w:rPr>
              <w:t>od trgovanja derivativnim financijskim instrumentima</w:t>
            </w:r>
            <w:bookmarkEnd w:id="280"/>
          </w:p>
        </w:tc>
        <w:tc>
          <w:tcPr>
            <w:tcW w:w="1252" w:type="dxa"/>
            <w:vAlign w:val="bottom"/>
          </w:tcPr>
          <w:p w14:paraId="3E7A8453" w14:textId="77777777" w:rsidR="007E5D38" w:rsidRPr="004B4498" w:rsidRDefault="007E5D38" w:rsidP="00E032FC">
            <w:pPr>
              <w:pStyle w:val="CommentText"/>
              <w:keepLines/>
              <w:spacing w:line="210" w:lineRule="exact"/>
              <w:jc w:val="right"/>
              <w:rPr>
                <w:rFonts w:ascii="Arial" w:hAnsi="Arial" w:cs="Arial"/>
                <w:color w:val="000000" w:themeColor="text1"/>
                <w:sz w:val="19"/>
                <w:szCs w:val="19"/>
                <w:lang w:val="hr-HR"/>
              </w:rPr>
            </w:pPr>
            <w:r>
              <w:rPr>
                <w:rFonts w:ascii="Arial" w:hAnsi="Arial" w:cs="Arial"/>
                <w:color w:val="000000" w:themeColor="text1"/>
                <w:sz w:val="19"/>
                <w:szCs w:val="19"/>
                <w:lang w:val="hr-HR"/>
              </w:rPr>
              <w:t>(</w:t>
            </w:r>
            <w:r w:rsidRPr="009D3042">
              <w:rPr>
                <w:rFonts w:ascii="Arial" w:hAnsi="Arial" w:cs="Arial"/>
                <w:color w:val="000000" w:themeColor="text1"/>
                <w:sz w:val="19"/>
                <w:szCs w:val="19"/>
                <w:lang w:val="hr-HR"/>
              </w:rPr>
              <w:t>5.304</w:t>
            </w:r>
            <w:r>
              <w:rPr>
                <w:rFonts w:ascii="Arial" w:hAnsi="Arial" w:cs="Arial"/>
                <w:color w:val="000000" w:themeColor="text1"/>
                <w:sz w:val="19"/>
                <w:szCs w:val="19"/>
                <w:lang w:val="hr-HR"/>
              </w:rPr>
              <w:t>)</w:t>
            </w:r>
          </w:p>
        </w:tc>
        <w:tc>
          <w:tcPr>
            <w:tcW w:w="1252" w:type="dxa"/>
            <w:vAlign w:val="bottom"/>
          </w:tcPr>
          <w:p w14:paraId="7D33330C" w14:textId="77777777" w:rsidR="007E5D38" w:rsidRPr="004B4498" w:rsidRDefault="007E5D38" w:rsidP="00E032FC">
            <w:pPr>
              <w:pStyle w:val="CommentText"/>
              <w:keepLines/>
              <w:spacing w:line="210" w:lineRule="exact"/>
              <w:jc w:val="right"/>
              <w:rPr>
                <w:rFonts w:ascii="Arial" w:hAnsi="Arial" w:cs="Arial"/>
                <w:color w:val="000000" w:themeColor="text1"/>
                <w:sz w:val="19"/>
                <w:szCs w:val="19"/>
                <w:lang w:val="hr-HR"/>
              </w:rPr>
            </w:pPr>
            <w:r w:rsidRPr="0046584E">
              <w:rPr>
                <w:rFonts w:ascii="Arial" w:hAnsi="Arial" w:cs="Arial"/>
                <w:color w:val="000000" w:themeColor="text1"/>
                <w:sz w:val="19"/>
                <w:szCs w:val="19"/>
                <w:lang w:val="hr-HR"/>
              </w:rPr>
              <w:t>5.115</w:t>
            </w:r>
          </w:p>
        </w:tc>
      </w:tr>
      <w:tr w:rsidR="007E5D38" w:rsidRPr="00201455" w14:paraId="3DA4B8E3" w14:textId="77777777" w:rsidTr="00E032FC">
        <w:tc>
          <w:tcPr>
            <w:tcW w:w="7515" w:type="dxa"/>
          </w:tcPr>
          <w:p w14:paraId="4A2E5B44" w14:textId="77777777" w:rsidR="007E5D38" w:rsidRPr="004B4498" w:rsidRDefault="007E5D38" w:rsidP="00E032FC">
            <w:pPr>
              <w:pStyle w:val="TT"/>
              <w:keepLines/>
              <w:spacing w:line="210" w:lineRule="exact"/>
              <w:rPr>
                <w:rFonts w:cs="Arial"/>
                <w:iCs/>
                <w:color w:val="000000" w:themeColor="text1"/>
                <w:szCs w:val="19"/>
                <w:lang w:val="hr-HR"/>
              </w:rPr>
            </w:pPr>
            <w:bookmarkStart w:id="281" w:name="_Toc67326788"/>
            <w:r w:rsidRPr="004B4498">
              <w:rPr>
                <w:rFonts w:cs="Arial"/>
                <w:iCs/>
                <w:color w:val="000000" w:themeColor="text1"/>
                <w:szCs w:val="19"/>
                <w:lang w:val="hr-HR"/>
              </w:rPr>
              <w:t>Ostale promjene po imovini po fer vrijednosti</w:t>
            </w:r>
            <w:bookmarkEnd w:id="281"/>
          </w:p>
        </w:tc>
        <w:tc>
          <w:tcPr>
            <w:tcW w:w="1252" w:type="dxa"/>
            <w:vAlign w:val="bottom"/>
          </w:tcPr>
          <w:p w14:paraId="6F7023F4" w14:textId="77777777" w:rsidR="007E5D38" w:rsidRPr="004B4498" w:rsidRDefault="007E5D38" w:rsidP="00E032FC">
            <w:pPr>
              <w:pStyle w:val="CommentText"/>
              <w:keepLines/>
              <w:spacing w:line="210" w:lineRule="exact"/>
              <w:jc w:val="right"/>
              <w:rPr>
                <w:rFonts w:ascii="Arial" w:hAnsi="Arial" w:cs="Arial"/>
                <w:color w:val="000000" w:themeColor="text1"/>
                <w:sz w:val="19"/>
                <w:szCs w:val="19"/>
                <w:lang w:val="hr-HR"/>
              </w:rPr>
            </w:pPr>
            <w:r>
              <w:rPr>
                <w:rFonts w:ascii="Arial" w:hAnsi="Arial" w:cs="Arial"/>
                <w:color w:val="000000" w:themeColor="text1"/>
                <w:sz w:val="19"/>
                <w:szCs w:val="19"/>
                <w:lang w:val="hr-HR"/>
              </w:rPr>
              <w:t>3.144</w:t>
            </w:r>
          </w:p>
        </w:tc>
        <w:tc>
          <w:tcPr>
            <w:tcW w:w="1252" w:type="dxa"/>
            <w:vAlign w:val="bottom"/>
          </w:tcPr>
          <w:p w14:paraId="3C204931" w14:textId="77777777" w:rsidR="007E5D38" w:rsidRPr="004B4498" w:rsidRDefault="007E5D38" w:rsidP="00E032FC">
            <w:pPr>
              <w:pStyle w:val="CommentText"/>
              <w:keepLines/>
              <w:spacing w:line="210" w:lineRule="exact"/>
              <w:jc w:val="right"/>
              <w:rPr>
                <w:rFonts w:ascii="Arial" w:hAnsi="Arial" w:cs="Arial"/>
                <w:color w:val="000000" w:themeColor="text1"/>
                <w:sz w:val="19"/>
                <w:szCs w:val="19"/>
                <w:lang w:val="hr-HR"/>
              </w:rPr>
            </w:pPr>
            <w:r w:rsidRPr="0046584E">
              <w:rPr>
                <w:rFonts w:ascii="Arial" w:hAnsi="Arial" w:cs="Arial"/>
                <w:color w:val="000000" w:themeColor="text1"/>
                <w:sz w:val="19"/>
                <w:szCs w:val="19"/>
                <w:lang w:val="hr-HR"/>
              </w:rPr>
              <w:t>(39.134)</w:t>
            </w:r>
          </w:p>
        </w:tc>
      </w:tr>
      <w:tr w:rsidR="007E5D38" w:rsidRPr="00201455" w14:paraId="06A58388" w14:textId="77777777" w:rsidTr="00E032FC">
        <w:tc>
          <w:tcPr>
            <w:tcW w:w="7515" w:type="dxa"/>
          </w:tcPr>
          <w:p w14:paraId="7355BF5E" w14:textId="77777777" w:rsidR="007E5D38" w:rsidRPr="004B4498" w:rsidRDefault="007E5D38" w:rsidP="00E032FC">
            <w:pPr>
              <w:pStyle w:val="TT"/>
              <w:keepLines/>
              <w:spacing w:line="210" w:lineRule="exact"/>
              <w:rPr>
                <w:rFonts w:cs="Arial"/>
                <w:i/>
                <w:iCs/>
                <w:color w:val="000000" w:themeColor="text1"/>
                <w:szCs w:val="19"/>
                <w:lang w:val="hr-HR"/>
              </w:rPr>
            </w:pPr>
            <w:bookmarkStart w:id="282" w:name="_Toc67326789"/>
            <w:r w:rsidRPr="004B4498">
              <w:rPr>
                <w:rFonts w:cs="Arial"/>
                <w:i/>
                <w:iCs/>
                <w:color w:val="000000" w:themeColor="text1"/>
                <w:szCs w:val="19"/>
                <w:lang w:val="hr-HR"/>
              </w:rPr>
              <w:t>Dobitak/(gubitak) iz poslovnih aktivnosti prije promjena radnog kapitala</w:t>
            </w:r>
            <w:bookmarkEnd w:id="282"/>
          </w:p>
        </w:tc>
        <w:tc>
          <w:tcPr>
            <w:tcW w:w="1252" w:type="dxa"/>
            <w:vAlign w:val="bottom"/>
          </w:tcPr>
          <w:p w14:paraId="3B9B705C" w14:textId="77777777" w:rsidR="007E5D38" w:rsidRPr="004B4498" w:rsidRDefault="007E5D38" w:rsidP="00E032FC">
            <w:pPr>
              <w:pStyle w:val="CommentText"/>
              <w:keepLines/>
              <w:spacing w:line="210" w:lineRule="exact"/>
              <w:jc w:val="right"/>
              <w:rPr>
                <w:rFonts w:ascii="Arial" w:hAnsi="Arial" w:cs="Arial"/>
                <w:i/>
                <w:iCs/>
                <w:color w:val="000000" w:themeColor="text1"/>
                <w:sz w:val="19"/>
                <w:szCs w:val="19"/>
                <w:lang w:val="hr-HR"/>
              </w:rPr>
            </w:pPr>
            <w:r w:rsidRPr="009D3042">
              <w:rPr>
                <w:rFonts w:ascii="Arial" w:hAnsi="Arial" w:cs="Arial"/>
                <w:i/>
                <w:iCs/>
                <w:color w:val="000000" w:themeColor="text1"/>
                <w:sz w:val="19"/>
                <w:szCs w:val="19"/>
                <w:lang w:val="hr-HR"/>
              </w:rPr>
              <w:t>390.</w:t>
            </w:r>
            <w:r>
              <w:rPr>
                <w:rFonts w:ascii="Arial" w:hAnsi="Arial" w:cs="Arial"/>
                <w:i/>
                <w:iCs/>
                <w:color w:val="000000" w:themeColor="text1"/>
                <w:sz w:val="19"/>
                <w:szCs w:val="19"/>
                <w:lang w:val="hr-HR"/>
              </w:rPr>
              <w:t>302</w:t>
            </w:r>
          </w:p>
        </w:tc>
        <w:tc>
          <w:tcPr>
            <w:tcW w:w="1252" w:type="dxa"/>
            <w:vAlign w:val="bottom"/>
          </w:tcPr>
          <w:p w14:paraId="553252F6" w14:textId="77777777" w:rsidR="007E5D38" w:rsidRPr="004B4498" w:rsidRDefault="007E5D38" w:rsidP="00E032FC">
            <w:pPr>
              <w:pStyle w:val="CommentText"/>
              <w:keepLines/>
              <w:spacing w:line="210" w:lineRule="exact"/>
              <w:jc w:val="right"/>
              <w:rPr>
                <w:rFonts w:ascii="Arial" w:hAnsi="Arial" w:cs="Arial"/>
                <w:i/>
                <w:color w:val="000000" w:themeColor="text1"/>
                <w:sz w:val="19"/>
                <w:szCs w:val="19"/>
                <w:lang w:val="hr-HR"/>
              </w:rPr>
            </w:pPr>
            <w:r w:rsidRPr="0046584E">
              <w:rPr>
                <w:rFonts w:ascii="Arial" w:hAnsi="Arial" w:cs="Arial"/>
                <w:i/>
                <w:iCs/>
                <w:color w:val="000000" w:themeColor="text1"/>
                <w:sz w:val="19"/>
                <w:szCs w:val="19"/>
                <w:lang w:val="hr-HR"/>
              </w:rPr>
              <w:t>413.906</w:t>
            </w:r>
          </w:p>
        </w:tc>
      </w:tr>
      <w:tr w:rsidR="007E5D38" w:rsidRPr="006E538D" w14:paraId="2B093268" w14:textId="77777777" w:rsidTr="00E032FC">
        <w:tc>
          <w:tcPr>
            <w:tcW w:w="7515" w:type="dxa"/>
          </w:tcPr>
          <w:p w14:paraId="16B3BBEB" w14:textId="77777777" w:rsidR="007E5D38" w:rsidRPr="004B4498" w:rsidRDefault="007E5D38" w:rsidP="00E032FC">
            <w:pPr>
              <w:pStyle w:val="TT"/>
              <w:keepLines/>
              <w:spacing w:line="210" w:lineRule="exact"/>
              <w:rPr>
                <w:rFonts w:cs="Arial"/>
                <w:i/>
                <w:iCs/>
                <w:color w:val="000000" w:themeColor="text1"/>
                <w:szCs w:val="19"/>
                <w:lang w:val="hr-HR"/>
              </w:rPr>
            </w:pPr>
            <w:bookmarkStart w:id="283" w:name="_Toc67326790"/>
            <w:r w:rsidRPr="004B4498">
              <w:rPr>
                <w:rFonts w:cs="Arial"/>
                <w:i/>
                <w:iCs/>
                <w:color w:val="000000" w:themeColor="text1"/>
                <w:szCs w:val="19"/>
                <w:lang w:val="hr-HR"/>
              </w:rPr>
              <w:t>Promjene u poslovnim sredstvima i izvorima:</w:t>
            </w:r>
            <w:bookmarkEnd w:id="283"/>
          </w:p>
        </w:tc>
        <w:tc>
          <w:tcPr>
            <w:tcW w:w="1252" w:type="dxa"/>
            <w:vAlign w:val="bottom"/>
          </w:tcPr>
          <w:p w14:paraId="083CF31A" w14:textId="77777777" w:rsidR="007E5D38" w:rsidRPr="004B4498" w:rsidRDefault="007E5D38" w:rsidP="00E032FC">
            <w:pPr>
              <w:pStyle w:val="CommentText"/>
              <w:keepLines/>
              <w:spacing w:line="210" w:lineRule="exact"/>
              <w:jc w:val="right"/>
              <w:rPr>
                <w:rFonts w:ascii="Arial" w:hAnsi="Arial" w:cs="Arial"/>
                <w:i/>
                <w:color w:val="000000" w:themeColor="text1"/>
                <w:sz w:val="19"/>
                <w:szCs w:val="19"/>
                <w:lang w:val="hr-HR"/>
              </w:rPr>
            </w:pPr>
          </w:p>
        </w:tc>
        <w:tc>
          <w:tcPr>
            <w:tcW w:w="1252" w:type="dxa"/>
            <w:vAlign w:val="bottom"/>
          </w:tcPr>
          <w:p w14:paraId="2546DFEC" w14:textId="77777777" w:rsidR="007E5D38" w:rsidRPr="004B4498" w:rsidRDefault="007E5D38" w:rsidP="00E032FC">
            <w:pPr>
              <w:pStyle w:val="CommentText"/>
              <w:keepLines/>
              <w:spacing w:line="210" w:lineRule="exact"/>
              <w:jc w:val="right"/>
              <w:rPr>
                <w:rFonts w:ascii="Arial" w:hAnsi="Arial" w:cs="Arial"/>
                <w:i/>
                <w:color w:val="000000" w:themeColor="text1"/>
                <w:sz w:val="19"/>
                <w:szCs w:val="19"/>
                <w:lang w:val="hr-HR"/>
              </w:rPr>
            </w:pPr>
          </w:p>
        </w:tc>
      </w:tr>
      <w:tr w:rsidR="007E5D38" w:rsidRPr="00201455" w14:paraId="0AD2927E" w14:textId="77777777" w:rsidTr="00E032FC">
        <w:trPr>
          <w:trHeight w:val="143"/>
        </w:trPr>
        <w:tc>
          <w:tcPr>
            <w:tcW w:w="7515" w:type="dxa"/>
            <w:vAlign w:val="bottom"/>
          </w:tcPr>
          <w:p w14:paraId="1ADF992C" w14:textId="77777777" w:rsidR="007E5D38" w:rsidRPr="008D40EA" w:rsidRDefault="007E5D38" w:rsidP="00E032FC">
            <w:pPr>
              <w:pStyle w:val="TT"/>
              <w:keepLines/>
              <w:spacing w:line="210" w:lineRule="exact"/>
              <w:rPr>
                <w:rFonts w:cs="Arial"/>
                <w:color w:val="000000" w:themeColor="text1"/>
                <w:szCs w:val="19"/>
                <w:lang w:val="hr-HR"/>
              </w:rPr>
            </w:pPr>
            <w:bookmarkStart w:id="284" w:name="_Toc67326791"/>
            <w:r w:rsidRPr="008D40EA">
              <w:rPr>
                <w:rFonts w:cs="Arial"/>
                <w:color w:val="000000" w:themeColor="text1"/>
                <w:szCs w:val="19"/>
                <w:lang w:val="hr-HR"/>
              </w:rPr>
              <w:t>Neto (povećanje) depozita kod drugih banaka, prije rezerviranja za očekivane gubitke</w:t>
            </w:r>
            <w:bookmarkEnd w:id="284"/>
          </w:p>
        </w:tc>
        <w:tc>
          <w:tcPr>
            <w:tcW w:w="1252" w:type="dxa"/>
            <w:tcBorders>
              <w:top w:val="nil"/>
              <w:left w:val="nil"/>
              <w:bottom w:val="nil"/>
              <w:right w:val="nil"/>
            </w:tcBorders>
            <w:shd w:val="clear" w:color="auto" w:fill="auto"/>
            <w:vAlign w:val="bottom"/>
          </w:tcPr>
          <w:p w14:paraId="0F03FB36" w14:textId="77777777" w:rsidR="007E5D38" w:rsidRPr="004B4498" w:rsidRDefault="007E5D38" w:rsidP="00E032FC">
            <w:pPr>
              <w:pStyle w:val="CommentText"/>
              <w:keepLines/>
              <w:spacing w:line="210" w:lineRule="exact"/>
              <w:jc w:val="right"/>
              <w:rPr>
                <w:rFonts w:ascii="Arial" w:hAnsi="Arial" w:cs="Arial"/>
                <w:color w:val="000000" w:themeColor="text1"/>
                <w:sz w:val="19"/>
                <w:szCs w:val="19"/>
                <w:lang w:val="hr-HR"/>
              </w:rPr>
            </w:pPr>
            <w:r w:rsidRPr="008D40EA">
              <w:rPr>
                <w:rFonts w:ascii="Arial" w:hAnsi="Arial" w:cs="Arial"/>
                <w:color w:val="000000" w:themeColor="text1"/>
                <w:sz w:val="19"/>
                <w:szCs w:val="19"/>
                <w:lang w:val="hr-HR"/>
              </w:rPr>
              <w:t>(25.697)</w:t>
            </w:r>
          </w:p>
        </w:tc>
        <w:tc>
          <w:tcPr>
            <w:tcW w:w="1252" w:type="dxa"/>
            <w:tcBorders>
              <w:top w:val="nil"/>
              <w:left w:val="nil"/>
              <w:bottom w:val="nil"/>
              <w:right w:val="nil"/>
            </w:tcBorders>
            <w:shd w:val="clear" w:color="auto" w:fill="auto"/>
            <w:vAlign w:val="bottom"/>
          </w:tcPr>
          <w:p w14:paraId="26C9125F" w14:textId="77777777" w:rsidR="007E5D38" w:rsidRPr="004B4498" w:rsidRDefault="007E5D38" w:rsidP="00E032FC">
            <w:pPr>
              <w:pStyle w:val="CommentText"/>
              <w:keepLines/>
              <w:spacing w:line="210" w:lineRule="exact"/>
              <w:jc w:val="right"/>
              <w:rPr>
                <w:rFonts w:ascii="Arial" w:hAnsi="Arial" w:cs="Arial"/>
                <w:color w:val="000000" w:themeColor="text1"/>
                <w:spacing w:val="-3"/>
                <w:sz w:val="19"/>
                <w:szCs w:val="19"/>
                <w:lang w:val="hr-HR"/>
              </w:rPr>
            </w:pPr>
            <w:r w:rsidRPr="0046584E">
              <w:rPr>
                <w:rFonts w:ascii="Arial" w:hAnsi="Arial" w:cs="Arial"/>
                <w:color w:val="000000" w:themeColor="text1"/>
                <w:sz w:val="19"/>
                <w:szCs w:val="19"/>
                <w:lang w:val="hr-HR"/>
              </w:rPr>
              <w:t>(220)</w:t>
            </w:r>
          </w:p>
        </w:tc>
      </w:tr>
      <w:tr w:rsidR="007E5D38" w:rsidRPr="00201455" w14:paraId="12D1CAEA" w14:textId="77777777" w:rsidTr="00E032FC">
        <w:tc>
          <w:tcPr>
            <w:tcW w:w="7515" w:type="dxa"/>
          </w:tcPr>
          <w:p w14:paraId="4B4AA64B" w14:textId="77777777" w:rsidR="007E5D38" w:rsidRPr="008D40EA" w:rsidRDefault="007E5D38" w:rsidP="00E032FC">
            <w:pPr>
              <w:pStyle w:val="TT"/>
              <w:keepLines/>
              <w:spacing w:line="210" w:lineRule="exact"/>
              <w:rPr>
                <w:rFonts w:cs="Arial"/>
                <w:color w:val="000000" w:themeColor="text1"/>
                <w:szCs w:val="19"/>
                <w:lang w:val="hr-HR"/>
              </w:rPr>
            </w:pPr>
            <w:bookmarkStart w:id="285" w:name="_Toc67326792"/>
            <w:r w:rsidRPr="008D40EA">
              <w:rPr>
                <w:rFonts w:cs="Arial"/>
                <w:color w:val="000000" w:themeColor="text1"/>
                <w:szCs w:val="19"/>
                <w:lang w:val="hr-HR"/>
              </w:rPr>
              <w:t>Neto smanjenje kredita financijskim institucijama, prije rezerviranja za očekivane gubitke</w:t>
            </w:r>
            <w:bookmarkEnd w:id="285"/>
          </w:p>
        </w:tc>
        <w:tc>
          <w:tcPr>
            <w:tcW w:w="1252" w:type="dxa"/>
            <w:tcBorders>
              <w:top w:val="nil"/>
              <w:left w:val="nil"/>
              <w:bottom w:val="nil"/>
              <w:right w:val="nil"/>
            </w:tcBorders>
            <w:shd w:val="clear" w:color="auto" w:fill="auto"/>
            <w:vAlign w:val="bottom"/>
          </w:tcPr>
          <w:p w14:paraId="09DA5FC5" w14:textId="77777777" w:rsidR="007E5D38" w:rsidRPr="004B4498" w:rsidRDefault="007E5D38" w:rsidP="00E032FC">
            <w:pPr>
              <w:pStyle w:val="CommentText"/>
              <w:keepLines/>
              <w:spacing w:line="210" w:lineRule="exact"/>
              <w:jc w:val="right"/>
              <w:rPr>
                <w:rFonts w:ascii="Arial" w:hAnsi="Arial" w:cs="Arial"/>
                <w:color w:val="000000" w:themeColor="text1"/>
                <w:sz w:val="19"/>
                <w:szCs w:val="19"/>
                <w:lang w:val="hr-HR"/>
              </w:rPr>
            </w:pPr>
            <w:r w:rsidRPr="008D40EA">
              <w:rPr>
                <w:rFonts w:ascii="Arial" w:hAnsi="Arial" w:cs="Arial"/>
                <w:color w:val="000000" w:themeColor="text1"/>
                <w:sz w:val="19"/>
                <w:szCs w:val="19"/>
                <w:lang w:val="hr-HR"/>
              </w:rPr>
              <w:t>69.870</w:t>
            </w:r>
          </w:p>
        </w:tc>
        <w:tc>
          <w:tcPr>
            <w:tcW w:w="1252" w:type="dxa"/>
            <w:tcBorders>
              <w:top w:val="nil"/>
              <w:left w:val="nil"/>
              <w:bottom w:val="nil"/>
              <w:right w:val="nil"/>
            </w:tcBorders>
            <w:shd w:val="clear" w:color="auto" w:fill="auto"/>
            <w:vAlign w:val="bottom"/>
          </w:tcPr>
          <w:p w14:paraId="1998B7D9" w14:textId="77777777" w:rsidR="007E5D38" w:rsidRPr="004B4498" w:rsidRDefault="007E5D38" w:rsidP="00E032FC">
            <w:pPr>
              <w:pStyle w:val="CommentText"/>
              <w:keepLines/>
              <w:spacing w:line="210" w:lineRule="exact"/>
              <w:jc w:val="right"/>
              <w:rPr>
                <w:rFonts w:ascii="Arial" w:hAnsi="Arial" w:cs="Arial"/>
                <w:color w:val="000000" w:themeColor="text1"/>
                <w:spacing w:val="-3"/>
                <w:sz w:val="19"/>
                <w:szCs w:val="19"/>
                <w:lang w:val="hr-HR"/>
              </w:rPr>
            </w:pPr>
            <w:r w:rsidRPr="0046584E">
              <w:rPr>
                <w:rFonts w:ascii="Arial" w:hAnsi="Arial" w:cs="Arial"/>
                <w:color w:val="000000" w:themeColor="text1"/>
                <w:sz w:val="19"/>
                <w:szCs w:val="19"/>
                <w:lang w:val="hr-HR"/>
              </w:rPr>
              <w:t>1.816.385</w:t>
            </w:r>
          </w:p>
        </w:tc>
      </w:tr>
      <w:tr w:rsidR="007E5D38" w:rsidRPr="00201455" w14:paraId="7DF57C80" w14:textId="77777777" w:rsidTr="00E032FC">
        <w:tc>
          <w:tcPr>
            <w:tcW w:w="7515" w:type="dxa"/>
          </w:tcPr>
          <w:p w14:paraId="156226A3" w14:textId="77777777" w:rsidR="007E5D38" w:rsidRPr="004B4498" w:rsidRDefault="007E5D38" w:rsidP="00E032FC">
            <w:pPr>
              <w:pStyle w:val="TT"/>
              <w:keepLines/>
              <w:spacing w:line="210" w:lineRule="exact"/>
              <w:rPr>
                <w:rFonts w:cs="Arial"/>
                <w:color w:val="000000" w:themeColor="text1"/>
                <w:szCs w:val="19"/>
                <w:lang w:val="hr-HR"/>
              </w:rPr>
            </w:pPr>
            <w:bookmarkStart w:id="286" w:name="_Toc67326793"/>
            <w:r w:rsidRPr="004B4498">
              <w:rPr>
                <w:rFonts w:cs="Arial"/>
                <w:color w:val="000000" w:themeColor="text1"/>
                <w:szCs w:val="19"/>
                <w:lang w:val="hr-HR"/>
              </w:rPr>
              <w:t xml:space="preserve">Neto </w:t>
            </w:r>
            <w:r w:rsidRPr="008D40EA">
              <w:rPr>
                <w:rFonts w:cs="Arial"/>
                <w:color w:val="000000" w:themeColor="text1"/>
                <w:szCs w:val="19"/>
                <w:lang w:val="hr-HR"/>
              </w:rPr>
              <w:t>povećanje</w:t>
            </w:r>
            <w:r w:rsidRPr="004B4498">
              <w:rPr>
                <w:rFonts w:cs="Arial"/>
                <w:color w:val="000000" w:themeColor="text1"/>
                <w:szCs w:val="19"/>
                <w:lang w:val="hr-HR"/>
              </w:rPr>
              <w:t xml:space="preserve"> kredita ostalim korisnicima, prije rezerviranja za očekivane gubitke</w:t>
            </w:r>
            <w:bookmarkEnd w:id="286"/>
          </w:p>
        </w:tc>
        <w:tc>
          <w:tcPr>
            <w:tcW w:w="1252" w:type="dxa"/>
            <w:tcBorders>
              <w:top w:val="nil"/>
              <w:left w:val="nil"/>
              <w:bottom w:val="nil"/>
              <w:right w:val="nil"/>
            </w:tcBorders>
            <w:shd w:val="clear" w:color="auto" w:fill="auto"/>
            <w:vAlign w:val="bottom"/>
          </w:tcPr>
          <w:p w14:paraId="7170F475" w14:textId="77777777" w:rsidR="007E5D38" w:rsidRPr="004B4498" w:rsidRDefault="007E5D38" w:rsidP="00E032FC">
            <w:pPr>
              <w:pStyle w:val="CommentText"/>
              <w:keepLines/>
              <w:spacing w:line="210" w:lineRule="exact"/>
              <w:jc w:val="right"/>
              <w:rPr>
                <w:rFonts w:ascii="Arial" w:hAnsi="Arial" w:cs="Arial"/>
                <w:color w:val="000000" w:themeColor="text1"/>
                <w:sz w:val="19"/>
                <w:szCs w:val="19"/>
                <w:lang w:val="hr-HR"/>
              </w:rPr>
            </w:pPr>
            <w:r w:rsidRPr="008D40EA">
              <w:rPr>
                <w:rFonts w:ascii="Arial" w:hAnsi="Arial" w:cs="Arial"/>
                <w:color w:val="000000" w:themeColor="text1"/>
                <w:sz w:val="19"/>
                <w:szCs w:val="19"/>
                <w:lang w:val="hr-HR"/>
              </w:rPr>
              <w:t>(1.745.027)</w:t>
            </w:r>
          </w:p>
        </w:tc>
        <w:tc>
          <w:tcPr>
            <w:tcW w:w="1252" w:type="dxa"/>
            <w:tcBorders>
              <w:top w:val="nil"/>
              <w:left w:val="nil"/>
              <w:bottom w:val="nil"/>
              <w:right w:val="nil"/>
            </w:tcBorders>
            <w:shd w:val="clear" w:color="auto" w:fill="auto"/>
            <w:vAlign w:val="bottom"/>
          </w:tcPr>
          <w:p w14:paraId="155F2404" w14:textId="77777777" w:rsidR="007E5D38" w:rsidRPr="004B4498" w:rsidRDefault="007E5D38" w:rsidP="00E032FC">
            <w:pPr>
              <w:pStyle w:val="CommentText"/>
              <w:keepLines/>
              <w:spacing w:line="210" w:lineRule="exact"/>
              <w:jc w:val="right"/>
              <w:rPr>
                <w:rFonts w:ascii="Arial" w:hAnsi="Arial" w:cs="Arial"/>
                <w:color w:val="000000" w:themeColor="text1"/>
                <w:sz w:val="19"/>
                <w:szCs w:val="19"/>
                <w:lang w:val="hr-HR"/>
              </w:rPr>
            </w:pPr>
            <w:r w:rsidRPr="0046584E">
              <w:rPr>
                <w:rFonts w:ascii="Arial" w:hAnsi="Arial" w:cs="Arial"/>
                <w:color w:val="000000" w:themeColor="text1"/>
                <w:sz w:val="19"/>
                <w:szCs w:val="19"/>
                <w:lang w:val="hr-HR"/>
              </w:rPr>
              <w:t>(1.336.094)</w:t>
            </w:r>
          </w:p>
        </w:tc>
      </w:tr>
      <w:tr w:rsidR="007E5D38" w:rsidRPr="00201455" w14:paraId="782A9E92" w14:textId="77777777" w:rsidTr="00E032FC">
        <w:tc>
          <w:tcPr>
            <w:tcW w:w="7515" w:type="dxa"/>
            <w:vAlign w:val="bottom"/>
          </w:tcPr>
          <w:p w14:paraId="4DB62C8A" w14:textId="77777777" w:rsidR="007E5D38" w:rsidRPr="00633CA5" w:rsidRDefault="007E5D38" w:rsidP="00E032FC">
            <w:pPr>
              <w:pStyle w:val="TT"/>
              <w:keepLines/>
              <w:spacing w:line="210" w:lineRule="exact"/>
              <w:rPr>
                <w:rFonts w:cs="Arial"/>
                <w:color w:val="000000" w:themeColor="text1"/>
                <w:szCs w:val="19"/>
                <w:lang w:val="hr-HR"/>
              </w:rPr>
            </w:pPr>
            <w:bookmarkStart w:id="287" w:name="_Toc67326795"/>
            <w:r w:rsidRPr="00633CA5">
              <w:rPr>
                <w:rFonts w:cs="Arial"/>
                <w:color w:val="000000" w:themeColor="text1"/>
                <w:szCs w:val="19"/>
                <w:lang w:val="hr-HR"/>
              </w:rPr>
              <w:t>Neto (povećanje)/smanjenje</w:t>
            </w:r>
            <w:r>
              <w:rPr>
                <w:rFonts w:cs="Arial"/>
                <w:color w:val="000000" w:themeColor="text1"/>
                <w:szCs w:val="19"/>
                <w:lang w:val="hr-HR"/>
              </w:rPr>
              <w:t xml:space="preserve"> </w:t>
            </w:r>
            <w:r w:rsidRPr="00633CA5">
              <w:rPr>
                <w:rFonts w:cs="Arial"/>
                <w:color w:val="000000" w:themeColor="text1"/>
                <w:szCs w:val="19"/>
                <w:lang w:val="hr-HR"/>
              </w:rPr>
              <w:t>preuzete imovine</w:t>
            </w:r>
            <w:bookmarkEnd w:id="287"/>
            <w:r w:rsidRPr="00633CA5">
              <w:rPr>
                <w:rFonts w:cs="Arial"/>
                <w:color w:val="000000" w:themeColor="text1"/>
                <w:szCs w:val="19"/>
                <w:lang w:val="hr-HR"/>
              </w:rPr>
              <w:t xml:space="preserve"> </w:t>
            </w:r>
          </w:p>
        </w:tc>
        <w:tc>
          <w:tcPr>
            <w:tcW w:w="1252" w:type="dxa"/>
            <w:vAlign w:val="bottom"/>
          </w:tcPr>
          <w:p w14:paraId="60D795A7" w14:textId="77777777" w:rsidR="007E5D38" w:rsidRPr="004B4498" w:rsidRDefault="007E5D38" w:rsidP="00E032FC">
            <w:pPr>
              <w:pStyle w:val="TT"/>
              <w:keepLines/>
              <w:spacing w:line="210" w:lineRule="exact"/>
              <w:jc w:val="right"/>
              <w:rPr>
                <w:rFonts w:cs="Arial"/>
                <w:color w:val="000000" w:themeColor="text1"/>
                <w:szCs w:val="19"/>
                <w:lang w:val="hr-HR"/>
              </w:rPr>
            </w:pPr>
            <w:r w:rsidRPr="008D40EA">
              <w:rPr>
                <w:rFonts w:cs="Arial"/>
                <w:color w:val="000000" w:themeColor="text1"/>
                <w:szCs w:val="19"/>
                <w:lang w:val="hr-HR"/>
              </w:rPr>
              <w:t>(5.578)</w:t>
            </w:r>
          </w:p>
        </w:tc>
        <w:tc>
          <w:tcPr>
            <w:tcW w:w="1252" w:type="dxa"/>
            <w:vAlign w:val="bottom"/>
          </w:tcPr>
          <w:p w14:paraId="49951A9C" w14:textId="77777777" w:rsidR="007E5D38" w:rsidRPr="004B4498" w:rsidRDefault="007E5D38" w:rsidP="00E032FC">
            <w:pPr>
              <w:pStyle w:val="TT"/>
              <w:keepLines/>
              <w:spacing w:line="210" w:lineRule="exact"/>
              <w:jc w:val="right"/>
              <w:rPr>
                <w:rFonts w:cs="Arial"/>
                <w:color w:val="000000" w:themeColor="text1"/>
                <w:szCs w:val="19"/>
                <w:lang w:val="hr-HR"/>
              </w:rPr>
            </w:pPr>
            <w:bookmarkStart w:id="288" w:name="_Toc67326796"/>
            <w:r w:rsidRPr="0046584E">
              <w:rPr>
                <w:rFonts w:cs="Arial"/>
                <w:color w:val="000000" w:themeColor="text1"/>
                <w:szCs w:val="19"/>
                <w:lang w:val="hr-HR"/>
              </w:rPr>
              <w:t>3.103</w:t>
            </w:r>
            <w:bookmarkEnd w:id="288"/>
          </w:p>
        </w:tc>
      </w:tr>
      <w:tr w:rsidR="007E5D38" w:rsidRPr="00201455" w14:paraId="2F976004" w14:textId="77777777" w:rsidTr="00E032FC">
        <w:tc>
          <w:tcPr>
            <w:tcW w:w="7515" w:type="dxa"/>
          </w:tcPr>
          <w:p w14:paraId="16124752" w14:textId="77777777" w:rsidR="007E5D38" w:rsidRPr="00633CA5" w:rsidRDefault="007E5D38" w:rsidP="00E032FC">
            <w:pPr>
              <w:pStyle w:val="TT"/>
              <w:keepLines/>
              <w:spacing w:line="210" w:lineRule="exact"/>
              <w:rPr>
                <w:rFonts w:cs="Arial"/>
                <w:color w:val="000000" w:themeColor="text1"/>
                <w:szCs w:val="19"/>
                <w:lang w:val="hr-HR"/>
              </w:rPr>
            </w:pPr>
            <w:bookmarkStart w:id="289" w:name="_Toc67326798"/>
            <w:r w:rsidRPr="00633CA5">
              <w:rPr>
                <w:rFonts w:cs="Arial"/>
                <w:color w:val="000000" w:themeColor="text1"/>
                <w:szCs w:val="19"/>
                <w:lang w:val="hr-HR"/>
              </w:rPr>
              <w:t>Neto povećanje ostale imovine, prije rezerviranja za očekivane gubitke</w:t>
            </w:r>
            <w:bookmarkEnd w:id="289"/>
          </w:p>
        </w:tc>
        <w:tc>
          <w:tcPr>
            <w:tcW w:w="1252" w:type="dxa"/>
            <w:tcBorders>
              <w:top w:val="nil"/>
              <w:left w:val="nil"/>
              <w:bottom w:val="nil"/>
              <w:right w:val="nil"/>
            </w:tcBorders>
            <w:shd w:val="clear" w:color="auto" w:fill="auto"/>
            <w:vAlign w:val="bottom"/>
          </w:tcPr>
          <w:p w14:paraId="5646C711" w14:textId="77777777" w:rsidR="007E5D38" w:rsidRPr="004B4498" w:rsidRDefault="007E5D38" w:rsidP="00E032FC">
            <w:pPr>
              <w:pStyle w:val="CommentText"/>
              <w:keepLines/>
              <w:spacing w:line="210" w:lineRule="exact"/>
              <w:jc w:val="right"/>
              <w:rPr>
                <w:rFonts w:ascii="Arial" w:hAnsi="Arial" w:cs="Arial"/>
                <w:color w:val="000000" w:themeColor="text1"/>
                <w:sz w:val="19"/>
                <w:szCs w:val="19"/>
                <w:highlight w:val="yellow"/>
                <w:lang w:val="hr-HR"/>
              </w:rPr>
            </w:pPr>
            <w:r w:rsidRPr="008D40EA">
              <w:rPr>
                <w:rFonts w:ascii="Arial" w:hAnsi="Arial" w:cs="Arial"/>
                <w:color w:val="000000" w:themeColor="text1"/>
                <w:sz w:val="19"/>
                <w:szCs w:val="19"/>
                <w:lang w:val="hr-HR"/>
              </w:rPr>
              <w:t>(2.928)</w:t>
            </w:r>
          </w:p>
        </w:tc>
        <w:tc>
          <w:tcPr>
            <w:tcW w:w="1252" w:type="dxa"/>
            <w:tcBorders>
              <w:top w:val="nil"/>
              <w:left w:val="nil"/>
              <w:bottom w:val="nil"/>
              <w:right w:val="nil"/>
            </w:tcBorders>
            <w:shd w:val="clear" w:color="auto" w:fill="auto"/>
            <w:vAlign w:val="bottom"/>
          </w:tcPr>
          <w:p w14:paraId="744FAC71" w14:textId="77777777" w:rsidR="007E5D38" w:rsidRPr="004B4498" w:rsidRDefault="007E5D38" w:rsidP="00E032FC">
            <w:pPr>
              <w:pStyle w:val="CommentText"/>
              <w:keepLines/>
              <w:spacing w:line="210" w:lineRule="exact"/>
              <w:jc w:val="right"/>
              <w:rPr>
                <w:rFonts w:ascii="Arial" w:hAnsi="Arial" w:cs="Arial"/>
                <w:color w:val="000000" w:themeColor="text1"/>
                <w:sz w:val="19"/>
                <w:szCs w:val="19"/>
                <w:lang w:val="hr-HR"/>
              </w:rPr>
            </w:pPr>
            <w:r w:rsidRPr="0046584E">
              <w:rPr>
                <w:rFonts w:ascii="Arial" w:hAnsi="Arial" w:cs="Arial"/>
                <w:color w:val="000000" w:themeColor="text1"/>
                <w:sz w:val="19"/>
                <w:szCs w:val="19"/>
                <w:lang w:val="hr-HR"/>
              </w:rPr>
              <w:t>(5.071)</w:t>
            </w:r>
          </w:p>
        </w:tc>
      </w:tr>
      <w:tr w:rsidR="007E5D38" w:rsidRPr="00201455" w14:paraId="28C8249F" w14:textId="77777777" w:rsidTr="00E032FC">
        <w:tc>
          <w:tcPr>
            <w:tcW w:w="7515" w:type="dxa"/>
          </w:tcPr>
          <w:p w14:paraId="5D4B41C2" w14:textId="77777777" w:rsidR="007E5D38" w:rsidRPr="00633CA5" w:rsidRDefault="007E5D38" w:rsidP="00E032FC">
            <w:pPr>
              <w:pStyle w:val="TT"/>
              <w:keepLines/>
              <w:spacing w:line="210" w:lineRule="exact"/>
              <w:rPr>
                <w:rFonts w:cs="Arial"/>
                <w:color w:val="000000" w:themeColor="text1"/>
                <w:szCs w:val="19"/>
                <w:lang w:val="hr-HR"/>
              </w:rPr>
            </w:pPr>
            <w:bookmarkStart w:id="290" w:name="_Toc67326799"/>
            <w:r w:rsidRPr="00633CA5">
              <w:rPr>
                <w:rFonts w:cs="Arial"/>
                <w:color w:val="000000" w:themeColor="text1"/>
                <w:szCs w:val="19"/>
                <w:lang w:val="hr-HR"/>
              </w:rPr>
              <w:t>Neto povećanje/(smanjenje) depozita banaka i trgovačkih društava</w:t>
            </w:r>
            <w:bookmarkEnd w:id="290"/>
          </w:p>
        </w:tc>
        <w:tc>
          <w:tcPr>
            <w:tcW w:w="1252" w:type="dxa"/>
            <w:vAlign w:val="bottom"/>
          </w:tcPr>
          <w:p w14:paraId="2B26942F" w14:textId="77777777" w:rsidR="007E5D38" w:rsidRPr="004B4498" w:rsidRDefault="007E5D38" w:rsidP="00E032FC">
            <w:pPr>
              <w:pStyle w:val="CommentText"/>
              <w:keepLines/>
              <w:spacing w:line="210" w:lineRule="exact"/>
              <w:jc w:val="right"/>
              <w:rPr>
                <w:rFonts w:ascii="Arial" w:hAnsi="Arial" w:cs="Arial"/>
                <w:color w:val="000000" w:themeColor="text1"/>
                <w:sz w:val="19"/>
                <w:szCs w:val="19"/>
                <w:lang w:val="hr-HR"/>
              </w:rPr>
            </w:pPr>
            <w:r w:rsidRPr="008D40EA">
              <w:rPr>
                <w:rFonts w:ascii="Arial" w:hAnsi="Arial" w:cs="Arial"/>
                <w:color w:val="000000" w:themeColor="text1"/>
                <w:sz w:val="19"/>
                <w:szCs w:val="19"/>
                <w:lang w:val="hr-HR"/>
              </w:rPr>
              <w:t>63.988</w:t>
            </w:r>
          </w:p>
        </w:tc>
        <w:tc>
          <w:tcPr>
            <w:tcW w:w="1252" w:type="dxa"/>
            <w:vAlign w:val="bottom"/>
          </w:tcPr>
          <w:p w14:paraId="020F8759" w14:textId="77777777" w:rsidR="007E5D38" w:rsidRPr="004B4498" w:rsidRDefault="007E5D38" w:rsidP="00E032FC">
            <w:pPr>
              <w:pStyle w:val="CommentText"/>
              <w:keepLines/>
              <w:spacing w:line="210" w:lineRule="exact"/>
              <w:jc w:val="right"/>
              <w:rPr>
                <w:rFonts w:ascii="Arial" w:hAnsi="Arial" w:cs="Arial"/>
                <w:color w:val="000000" w:themeColor="text1"/>
                <w:sz w:val="19"/>
                <w:szCs w:val="19"/>
                <w:lang w:val="hr-HR"/>
              </w:rPr>
            </w:pPr>
            <w:r w:rsidRPr="0046584E">
              <w:rPr>
                <w:rFonts w:ascii="Arial" w:hAnsi="Arial" w:cs="Arial"/>
                <w:color w:val="000000" w:themeColor="text1"/>
                <w:sz w:val="19"/>
                <w:szCs w:val="19"/>
                <w:lang w:val="hr-HR"/>
              </w:rPr>
              <w:t>(13.852)</w:t>
            </w:r>
          </w:p>
        </w:tc>
      </w:tr>
      <w:tr w:rsidR="007E5D38" w:rsidRPr="00201455" w14:paraId="0A6F13FD" w14:textId="77777777" w:rsidTr="00E032FC">
        <w:tc>
          <w:tcPr>
            <w:tcW w:w="7515" w:type="dxa"/>
          </w:tcPr>
          <w:p w14:paraId="21319F96" w14:textId="77777777" w:rsidR="007E5D38" w:rsidRPr="00633CA5" w:rsidRDefault="007E5D38" w:rsidP="00E032FC">
            <w:pPr>
              <w:pStyle w:val="TT"/>
              <w:keepLines/>
              <w:spacing w:line="210" w:lineRule="exact"/>
              <w:rPr>
                <w:rFonts w:cs="Arial"/>
                <w:color w:val="000000" w:themeColor="text1"/>
                <w:spacing w:val="-2"/>
                <w:szCs w:val="19"/>
                <w:lang w:val="hr-HR"/>
              </w:rPr>
            </w:pPr>
            <w:bookmarkStart w:id="291" w:name="_Toc67326800"/>
            <w:r w:rsidRPr="00633CA5">
              <w:rPr>
                <w:rFonts w:cs="Arial"/>
                <w:color w:val="000000" w:themeColor="text1"/>
                <w:spacing w:val="-2"/>
                <w:szCs w:val="19"/>
                <w:lang w:val="hr-HR"/>
              </w:rPr>
              <w:t>Neto povećanje ostalih obveza, prije rezerviranja</w:t>
            </w:r>
            <w:bookmarkEnd w:id="291"/>
          </w:p>
        </w:tc>
        <w:tc>
          <w:tcPr>
            <w:tcW w:w="1252" w:type="dxa"/>
            <w:tcBorders>
              <w:top w:val="nil"/>
              <w:left w:val="nil"/>
              <w:bottom w:val="nil"/>
              <w:right w:val="nil"/>
            </w:tcBorders>
            <w:shd w:val="clear" w:color="auto" w:fill="auto"/>
            <w:vAlign w:val="bottom"/>
          </w:tcPr>
          <w:p w14:paraId="07C41456" w14:textId="77777777" w:rsidR="007E5D38" w:rsidRPr="004B4498" w:rsidRDefault="007E5D38" w:rsidP="00E032FC">
            <w:pPr>
              <w:pStyle w:val="CommentText"/>
              <w:keepLines/>
              <w:spacing w:line="210" w:lineRule="exact"/>
              <w:jc w:val="right"/>
              <w:rPr>
                <w:rFonts w:ascii="Arial" w:hAnsi="Arial" w:cs="Arial"/>
                <w:color w:val="000000" w:themeColor="text1"/>
                <w:sz w:val="19"/>
                <w:szCs w:val="19"/>
                <w:lang w:val="hr-HR"/>
              </w:rPr>
            </w:pPr>
            <w:r w:rsidRPr="008D40EA">
              <w:rPr>
                <w:rFonts w:ascii="Arial" w:hAnsi="Arial" w:cs="Arial"/>
                <w:color w:val="000000" w:themeColor="text1"/>
                <w:sz w:val="19"/>
                <w:szCs w:val="19"/>
                <w:lang w:val="hr-HR"/>
              </w:rPr>
              <w:t>241.382</w:t>
            </w:r>
          </w:p>
        </w:tc>
        <w:tc>
          <w:tcPr>
            <w:tcW w:w="1252" w:type="dxa"/>
            <w:tcBorders>
              <w:top w:val="nil"/>
              <w:left w:val="nil"/>
              <w:bottom w:val="nil"/>
              <w:right w:val="nil"/>
            </w:tcBorders>
            <w:shd w:val="clear" w:color="auto" w:fill="auto"/>
            <w:vAlign w:val="bottom"/>
          </w:tcPr>
          <w:p w14:paraId="084CEEBA" w14:textId="77777777" w:rsidR="007E5D38" w:rsidRPr="004B4498" w:rsidRDefault="007E5D38" w:rsidP="00E032FC">
            <w:pPr>
              <w:pStyle w:val="CommentText"/>
              <w:keepLines/>
              <w:spacing w:line="210" w:lineRule="exact"/>
              <w:jc w:val="right"/>
              <w:rPr>
                <w:rFonts w:ascii="Arial" w:hAnsi="Arial" w:cs="Arial"/>
                <w:color w:val="000000" w:themeColor="text1"/>
                <w:sz w:val="19"/>
                <w:szCs w:val="19"/>
                <w:lang w:val="hr-HR"/>
              </w:rPr>
            </w:pPr>
            <w:r w:rsidRPr="0046584E">
              <w:rPr>
                <w:rFonts w:ascii="Arial" w:hAnsi="Arial" w:cs="Arial"/>
                <w:color w:val="000000" w:themeColor="text1"/>
                <w:sz w:val="19"/>
                <w:szCs w:val="19"/>
                <w:lang w:val="hr-HR"/>
              </w:rPr>
              <w:t>39.256</w:t>
            </w:r>
          </w:p>
        </w:tc>
      </w:tr>
      <w:tr w:rsidR="007E5D38" w:rsidRPr="00201455" w14:paraId="60D9595E" w14:textId="77777777" w:rsidTr="00E032FC">
        <w:trPr>
          <w:trHeight w:val="228"/>
        </w:trPr>
        <w:tc>
          <w:tcPr>
            <w:tcW w:w="7515" w:type="dxa"/>
          </w:tcPr>
          <w:p w14:paraId="625E9026" w14:textId="77777777" w:rsidR="007E5D38" w:rsidRPr="00633CA5" w:rsidRDefault="007E5D38" w:rsidP="00E032FC">
            <w:pPr>
              <w:pStyle w:val="Tot"/>
              <w:keepLines/>
              <w:spacing w:line="220" w:lineRule="exact"/>
              <w:rPr>
                <w:rFonts w:cs="Arial"/>
                <w:b/>
                <w:bCs/>
                <w:color w:val="000000" w:themeColor="text1"/>
                <w:szCs w:val="19"/>
                <w:lang w:val="hr-HR"/>
              </w:rPr>
            </w:pPr>
            <w:bookmarkStart w:id="292" w:name="_Toc67326801"/>
            <w:r w:rsidRPr="00633CA5">
              <w:rPr>
                <w:rFonts w:cs="Arial"/>
                <w:b/>
                <w:bCs/>
                <w:color w:val="000000" w:themeColor="text1"/>
                <w:szCs w:val="19"/>
                <w:lang w:val="hr-HR"/>
              </w:rPr>
              <w:t>Neto novčana sredstva (uporabljena)/ostvarena u poslovnim aktivnostima</w:t>
            </w:r>
            <w:bookmarkEnd w:id="292"/>
            <w:r w:rsidRPr="00633CA5">
              <w:rPr>
                <w:rFonts w:cs="Arial"/>
                <w:b/>
                <w:bCs/>
                <w:color w:val="000000" w:themeColor="text1"/>
                <w:szCs w:val="19"/>
                <w:lang w:val="hr-HR"/>
              </w:rPr>
              <w:t xml:space="preserve"> </w:t>
            </w:r>
          </w:p>
        </w:tc>
        <w:tc>
          <w:tcPr>
            <w:tcW w:w="1252" w:type="dxa"/>
            <w:tcBorders>
              <w:top w:val="single" w:sz="4" w:space="0" w:color="auto"/>
              <w:left w:val="nil"/>
              <w:bottom w:val="single" w:sz="8" w:space="0" w:color="auto"/>
              <w:right w:val="nil"/>
            </w:tcBorders>
            <w:shd w:val="clear" w:color="auto" w:fill="auto"/>
            <w:vAlign w:val="bottom"/>
          </w:tcPr>
          <w:p w14:paraId="60CCE755" w14:textId="77777777" w:rsidR="007E5D38" w:rsidRPr="004B4498" w:rsidRDefault="007E5D38" w:rsidP="00E032FC">
            <w:pPr>
              <w:pStyle w:val="T2"/>
              <w:keepNext w:val="0"/>
              <w:spacing w:line="220" w:lineRule="exact"/>
              <w:jc w:val="right"/>
              <w:rPr>
                <w:rFonts w:cs="Arial"/>
                <w:b/>
                <w:color w:val="000000" w:themeColor="text1"/>
                <w:spacing w:val="-2"/>
                <w:szCs w:val="19"/>
                <w:lang w:val="hr-HR"/>
              </w:rPr>
            </w:pPr>
            <w:r w:rsidRPr="008D40EA">
              <w:rPr>
                <w:rFonts w:cs="Arial"/>
                <w:b/>
                <w:color w:val="000000" w:themeColor="text1"/>
                <w:spacing w:val="-2"/>
                <w:szCs w:val="19"/>
                <w:lang w:val="hr-HR"/>
              </w:rPr>
              <w:t>(1.013.6</w:t>
            </w:r>
            <w:r>
              <w:rPr>
                <w:rFonts w:cs="Arial"/>
                <w:b/>
                <w:color w:val="000000" w:themeColor="text1"/>
                <w:spacing w:val="-2"/>
                <w:szCs w:val="19"/>
                <w:lang w:val="hr-HR"/>
              </w:rPr>
              <w:t>88</w:t>
            </w:r>
            <w:r w:rsidRPr="008D40EA">
              <w:rPr>
                <w:rFonts w:cs="Arial"/>
                <w:b/>
                <w:color w:val="000000" w:themeColor="text1"/>
                <w:spacing w:val="-2"/>
                <w:szCs w:val="19"/>
                <w:lang w:val="hr-HR"/>
              </w:rPr>
              <w:t>)</w:t>
            </w:r>
          </w:p>
        </w:tc>
        <w:tc>
          <w:tcPr>
            <w:tcW w:w="1252" w:type="dxa"/>
            <w:tcBorders>
              <w:top w:val="single" w:sz="4" w:space="0" w:color="auto"/>
              <w:left w:val="nil"/>
              <w:bottom w:val="single" w:sz="8" w:space="0" w:color="auto"/>
              <w:right w:val="nil"/>
            </w:tcBorders>
            <w:shd w:val="clear" w:color="auto" w:fill="auto"/>
            <w:vAlign w:val="bottom"/>
          </w:tcPr>
          <w:p w14:paraId="2FD38671" w14:textId="77777777" w:rsidR="007E5D38" w:rsidRPr="004B4498" w:rsidRDefault="007E5D38" w:rsidP="00E032FC">
            <w:pPr>
              <w:pStyle w:val="T2"/>
              <w:keepNext w:val="0"/>
              <w:spacing w:line="220" w:lineRule="exact"/>
              <w:jc w:val="right"/>
              <w:rPr>
                <w:rFonts w:cs="Arial"/>
                <w:b/>
                <w:color w:val="000000" w:themeColor="text1"/>
                <w:spacing w:val="-2"/>
                <w:szCs w:val="19"/>
                <w:lang w:val="hr-HR"/>
              </w:rPr>
            </w:pPr>
            <w:r w:rsidRPr="0046584E">
              <w:rPr>
                <w:rFonts w:cs="Arial"/>
                <w:b/>
                <w:color w:val="000000" w:themeColor="text1"/>
                <w:spacing w:val="-2"/>
                <w:szCs w:val="19"/>
                <w:lang w:val="hr-HR"/>
              </w:rPr>
              <w:t>917.413</w:t>
            </w:r>
          </w:p>
        </w:tc>
      </w:tr>
      <w:tr w:rsidR="007E5D38" w:rsidRPr="00201455" w14:paraId="2BA8A375" w14:textId="77777777" w:rsidTr="00E032FC">
        <w:tc>
          <w:tcPr>
            <w:tcW w:w="7515" w:type="dxa"/>
          </w:tcPr>
          <w:p w14:paraId="0D464D75" w14:textId="77777777" w:rsidR="007E5D38" w:rsidRPr="004B4498" w:rsidRDefault="007E5D38" w:rsidP="00E032FC">
            <w:pPr>
              <w:pStyle w:val="TT"/>
              <w:keepLines/>
              <w:spacing w:line="210" w:lineRule="exact"/>
              <w:rPr>
                <w:rFonts w:cs="Arial"/>
                <w:b/>
                <w:bCs/>
                <w:color w:val="000000" w:themeColor="text1"/>
                <w:szCs w:val="19"/>
                <w:lang w:val="hr-HR"/>
              </w:rPr>
            </w:pPr>
          </w:p>
        </w:tc>
        <w:tc>
          <w:tcPr>
            <w:tcW w:w="1252" w:type="dxa"/>
            <w:tcBorders>
              <w:top w:val="single" w:sz="12" w:space="0" w:color="auto"/>
            </w:tcBorders>
            <w:vAlign w:val="bottom"/>
          </w:tcPr>
          <w:p w14:paraId="5D1640F7" w14:textId="77777777" w:rsidR="007E5D38" w:rsidRPr="004B4498" w:rsidRDefault="007E5D38" w:rsidP="00E032FC">
            <w:pPr>
              <w:pStyle w:val="TT"/>
              <w:keepLines/>
              <w:spacing w:line="210" w:lineRule="exact"/>
              <w:jc w:val="right"/>
              <w:rPr>
                <w:rFonts w:cs="Arial"/>
                <w:b/>
                <w:bCs/>
                <w:color w:val="000000" w:themeColor="text1"/>
                <w:szCs w:val="19"/>
                <w:highlight w:val="yellow"/>
                <w:lang w:val="hr-HR"/>
              </w:rPr>
            </w:pPr>
          </w:p>
        </w:tc>
        <w:tc>
          <w:tcPr>
            <w:tcW w:w="1252" w:type="dxa"/>
            <w:tcBorders>
              <w:top w:val="single" w:sz="12" w:space="0" w:color="auto"/>
            </w:tcBorders>
            <w:vAlign w:val="bottom"/>
          </w:tcPr>
          <w:p w14:paraId="39C73E2A" w14:textId="77777777" w:rsidR="007E5D38" w:rsidRPr="004B4498" w:rsidRDefault="007E5D38" w:rsidP="00E032FC">
            <w:pPr>
              <w:pStyle w:val="TT"/>
              <w:keepLines/>
              <w:spacing w:line="210" w:lineRule="exact"/>
              <w:jc w:val="right"/>
              <w:rPr>
                <w:rFonts w:cs="Arial"/>
                <w:b/>
                <w:bCs/>
                <w:color w:val="000000" w:themeColor="text1"/>
                <w:szCs w:val="19"/>
                <w:lang w:val="hr-HR"/>
              </w:rPr>
            </w:pPr>
          </w:p>
        </w:tc>
      </w:tr>
      <w:tr w:rsidR="007E5D38" w:rsidRPr="00201455" w14:paraId="456C1D57" w14:textId="77777777" w:rsidTr="00E032FC">
        <w:tc>
          <w:tcPr>
            <w:tcW w:w="7515" w:type="dxa"/>
          </w:tcPr>
          <w:p w14:paraId="7F937CF1" w14:textId="77777777" w:rsidR="007E5D38" w:rsidRPr="004B4498" w:rsidRDefault="007E5D38" w:rsidP="00E032FC">
            <w:pPr>
              <w:pStyle w:val="TT"/>
              <w:keepLines/>
              <w:spacing w:line="210" w:lineRule="exact"/>
              <w:rPr>
                <w:rFonts w:cs="Arial"/>
                <w:b/>
                <w:bCs/>
                <w:color w:val="000000" w:themeColor="text1"/>
                <w:szCs w:val="19"/>
                <w:lang w:val="hr-HR"/>
              </w:rPr>
            </w:pPr>
            <w:bookmarkStart w:id="293" w:name="_Toc67326802"/>
            <w:r w:rsidRPr="004B4498">
              <w:rPr>
                <w:rFonts w:cs="Arial"/>
                <w:b/>
                <w:bCs/>
                <w:color w:val="000000" w:themeColor="text1"/>
                <w:szCs w:val="19"/>
                <w:lang w:val="hr-HR"/>
              </w:rPr>
              <w:t>Ulagateljske aktivnosti</w:t>
            </w:r>
            <w:bookmarkEnd w:id="293"/>
          </w:p>
        </w:tc>
        <w:tc>
          <w:tcPr>
            <w:tcW w:w="1252" w:type="dxa"/>
            <w:vAlign w:val="bottom"/>
          </w:tcPr>
          <w:p w14:paraId="582D27A7" w14:textId="77777777" w:rsidR="007E5D38" w:rsidRPr="004B4498" w:rsidRDefault="007E5D38" w:rsidP="00E032FC">
            <w:pPr>
              <w:pStyle w:val="TT"/>
              <w:keepLines/>
              <w:spacing w:line="210" w:lineRule="exact"/>
              <w:jc w:val="right"/>
              <w:rPr>
                <w:rFonts w:cs="Arial"/>
                <w:b/>
                <w:bCs/>
                <w:color w:val="000000" w:themeColor="text1"/>
                <w:szCs w:val="19"/>
                <w:highlight w:val="yellow"/>
                <w:lang w:val="hr-HR"/>
              </w:rPr>
            </w:pPr>
          </w:p>
        </w:tc>
        <w:tc>
          <w:tcPr>
            <w:tcW w:w="1252" w:type="dxa"/>
            <w:vAlign w:val="bottom"/>
          </w:tcPr>
          <w:p w14:paraId="5757267B" w14:textId="77777777" w:rsidR="007E5D38" w:rsidRPr="004B4498" w:rsidRDefault="007E5D38" w:rsidP="00E032FC">
            <w:pPr>
              <w:pStyle w:val="TT"/>
              <w:keepLines/>
              <w:spacing w:line="210" w:lineRule="exact"/>
              <w:jc w:val="right"/>
              <w:rPr>
                <w:rFonts w:cs="Arial"/>
                <w:b/>
                <w:bCs/>
                <w:color w:val="000000" w:themeColor="text1"/>
                <w:szCs w:val="19"/>
                <w:lang w:val="hr-HR"/>
              </w:rPr>
            </w:pPr>
          </w:p>
        </w:tc>
      </w:tr>
      <w:tr w:rsidR="007E5D38" w:rsidRPr="00201455" w14:paraId="498F2AAD" w14:textId="77777777" w:rsidTr="00E032FC">
        <w:tc>
          <w:tcPr>
            <w:tcW w:w="7515" w:type="dxa"/>
          </w:tcPr>
          <w:p w14:paraId="5FAE7895" w14:textId="77777777" w:rsidR="007E5D38" w:rsidRPr="004B4498" w:rsidRDefault="007E5D38" w:rsidP="00E032FC">
            <w:pPr>
              <w:pStyle w:val="TT"/>
              <w:keepLines/>
              <w:spacing w:line="210" w:lineRule="exact"/>
              <w:rPr>
                <w:rFonts w:cs="Arial"/>
                <w:bCs/>
                <w:color w:val="000000" w:themeColor="text1"/>
                <w:szCs w:val="19"/>
                <w:lang w:val="hr-HR"/>
              </w:rPr>
            </w:pPr>
            <w:bookmarkStart w:id="294" w:name="_Toc67326803"/>
            <w:r w:rsidRPr="004B4498">
              <w:rPr>
                <w:rFonts w:cs="Arial"/>
                <w:bCs/>
                <w:color w:val="000000" w:themeColor="text1"/>
                <w:szCs w:val="19"/>
                <w:lang w:val="hr-HR"/>
              </w:rPr>
              <w:t>Kupovina financijske imovine po fer vrijednosti kroz dobiti ili gubitak</w:t>
            </w:r>
            <w:bookmarkEnd w:id="294"/>
          </w:p>
        </w:tc>
        <w:tc>
          <w:tcPr>
            <w:tcW w:w="1252" w:type="dxa"/>
            <w:vAlign w:val="bottom"/>
          </w:tcPr>
          <w:p w14:paraId="4354CE23" w14:textId="77777777" w:rsidR="007E5D38" w:rsidRPr="004B4498" w:rsidRDefault="007E5D38" w:rsidP="00E032FC">
            <w:pPr>
              <w:pStyle w:val="TT"/>
              <w:keepLines/>
              <w:spacing w:line="210" w:lineRule="exact"/>
              <w:jc w:val="right"/>
              <w:rPr>
                <w:rFonts w:cs="Arial"/>
                <w:bCs/>
                <w:color w:val="000000" w:themeColor="text1"/>
                <w:szCs w:val="19"/>
                <w:lang w:val="hr-HR"/>
              </w:rPr>
            </w:pPr>
            <w:r w:rsidRPr="00633CA5">
              <w:rPr>
                <w:rFonts w:cs="Arial"/>
                <w:bCs/>
                <w:color w:val="000000" w:themeColor="text1"/>
                <w:szCs w:val="19"/>
                <w:lang w:val="hr-HR"/>
              </w:rPr>
              <w:t xml:space="preserve"> (52.821)</w:t>
            </w:r>
          </w:p>
        </w:tc>
        <w:tc>
          <w:tcPr>
            <w:tcW w:w="1252" w:type="dxa"/>
            <w:vAlign w:val="bottom"/>
          </w:tcPr>
          <w:p w14:paraId="2774DEAC" w14:textId="77777777" w:rsidR="007E5D38" w:rsidRPr="004B4498" w:rsidRDefault="007E5D38" w:rsidP="00E032FC">
            <w:pPr>
              <w:pStyle w:val="TT"/>
              <w:keepLines/>
              <w:spacing w:line="210" w:lineRule="exact"/>
              <w:jc w:val="right"/>
              <w:rPr>
                <w:rFonts w:cs="Arial"/>
                <w:bCs/>
                <w:color w:val="000000" w:themeColor="text1"/>
                <w:szCs w:val="19"/>
                <w:lang w:val="hr-HR"/>
              </w:rPr>
            </w:pPr>
            <w:bookmarkStart w:id="295" w:name="_Toc67326804"/>
            <w:r w:rsidRPr="0046584E">
              <w:rPr>
                <w:rFonts w:cs="Arial"/>
                <w:bCs/>
                <w:color w:val="000000" w:themeColor="text1"/>
                <w:szCs w:val="19"/>
                <w:lang w:val="hr-HR"/>
              </w:rPr>
              <w:t>(50.408)</w:t>
            </w:r>
            <w:bookmarkEnd w:id="295"/>
          </w:p>
        </w:tc>
      </w:tr>
      <w:tr w:rsidR="007E5D38" w:rsidRPr="00201455" w14:paraId="01A1AE4E" w14:textId="77777777" w:rsidTr="00E032FC">
        <w:tc>
          <w:tcPr>
            <w:tcW w:w="7515" w:type="dxa"/>
          </w:tcPr>
          <w:p w14:paraId="1464FF8C" w14:textId="77777777" w:rsidR="007E5D38" w:rsidRPr="004B4498" w:rsidRDefault="007E5D38" w:rsidP="00E032FC">
            <w:pPr>
              <w:pStyle w:val="TT"/>
              <w:keepLines/>
              <w:spacing w:line="210" w:lineRule="exact"/>
              <w:rPr>
                <w:rFonts w:cs="Arial"/>
                <w:bCs/>
                <w:color w:val="000000" w:themeColor="text1"/>
                <w:szCs w:val="19"/>
                <w:lang w:val="hr-HR"/>
              </w:rPr>
            </w:pPr>
            <w:bookmarkStart w:id="296" w:name="_Toc67326806"/>
            <w:r w:rsidRPr="004B4498">
              <w:rPr>
                <w:rFonts w:cs="Arial"/>
                <w:bCs/>
                <w:color w:val="000000" w:themeColor="text1"/>
                <w:szCs w:val="19"/>
                <w:lang w:val="hr-HR"/>
              </w:rPr>
              <w:t>Prodaja financijske imovine po fer vrijednosti kroz dobit ili gubitak</w:t>
            </w:r>
            <w:bookmarkEnd w:id="296"/>
          </w:p>
        </w:tc>
        <w:tc>
          <w:tcPr>
            <w:tcW w:w="1252" w:type="dxa"/>
            <w:vAlign w:val="bottom"/>
          </w:tcPr>
          <w:p w14:paraId="01AC6964" w14:textId="77777777" w:rsidR="007E5D38" w:rsidRPr="004B4498" w:rsidRDefault="007E5D38" w:rsidP="00E032FC">
            <w:pPr>
              <w:pStyle w:val="TT"/>
              <w:keepLines/>
              <w:spacing w:line="210" w:lineRule="exact"/>
              <w:jc w:val="right"/>
              <w:rPr>
                <w:rFonts w:cs="Arial"/>
                <w:bCs/>
                <w:color w:val="000000" w:themeColor="text1"/>
                <w:szCs w:val="19"/>
                <w:lang w:val="hr-HR"/>
              </w:rPr>
            </w:pPr>
            <w:r w:rsidRPr="00633CA5">
              <w:rPr>
                <w:rFonts w:cs="Arial"/>
                <w:bCs/>
                <w:color w:val="000000" w:themeColor="text1"/>
                <w:szCs w:val="19"/>
                <w:lang w:val="hr-HR"/>
              </w:rPr>
              <w:t xml:space="preserve"> 156.513 </w:t>
            </w:r>
          </w:p>
        </w:tc>
        <w:tc>
          <w:tcPr>
            <w:tcW w:w="1252" w:type="dxa"/>
            <w:vAlign w:val="bottom"/>
          </w:tcPr>
          <w:p w14:paraId="4E53D866" w14:textId="77777777" w:rsidR="007E5D38" w:rsidRPr="004B4498" w:rsidRDefault="007E5D38" w:rsidP="00E032FC">
            <w:pPr>
              <w:pStyle w:val="TT"/>
              <w:keepLines/>
              <w:spacing w:line="210" w:lineRule="exact"/>
              <w:jc w:val="right"/>
              <w:rPr>
                <w:rFonts w:cs="Arial"/>
                <w:bCs/>
                <w:color w:val="000000" w:themeColor="text1"/>
                <w:szCs w:val="19"/>
                <w:lang w:val="hr-HR"/>
              </w:rPr>
            </w:pPr>
            <w:bookmarkStart w:id="297" w:name="_Toc67326807"/>
            <w:r w:rsidRPr="0046584E">
              <w:rPr>
                <w:rFonts w:cs="Arial"/>
                <w:bCs/>
                <w:color w:val="000000" w:themeColor="text1"/>
                <w:szCs w:val="19"/>
                <w:lang w:val="hr-HR"/>
              </w:rPr>
              <w:t>30.548</w:t>
            </w:r>
            <w:bookmarkEnd w:id="297"/>
          </w:p>
        </w:tc>
      </w:tr>
      <w:tr w:rsidR="007E5D38" w:rsidRPr="00201455" w14:paraId="6CAD359F" w14:textId="77777777" w:rsidTr="00E032FC">
        <w:tc>
          <w:tcPr>
            <w:tcW w:w="7515" w:type="dxa"/>
          </w:tcPr>
          <w:p w14:paraId="32A8AA5F" w14:textId="77777777" w:rsidR="007E5D38" w:rsidRPr="004B4498" w:rsidRDefault="007E5D38" w:rsidP="00E032FC">
            <w:pPr>
              <w:pStyle w:val="TT"/>
              <w:keepLines/>
              <w:spacing w:line="210" w:lineRule="exact"/>
              <w:rPr>
                <w:rFonts w:cs="Arial"/>
                <w:color w:val="000000" w:themeColor="text1"/>
                <w:spacing w:val="-2"/>
                <w:szCs w:val="19"/>
                <w:lang w:val="hr-HR"/>
              </w:rPr>
            </w:pPr>
            <w:bookmarkStart w:id="298" w:name="_Toc67326809"/>
            <w:r w:rsidRPr="004B4498">
              <w:rPr>
                <w:rFonts w:cs="Arial"/>
                <w:color w:val="000000" w:themeColor="text1"/>
                <w:szCs w:val="19"/>
                <w:lang w:val="hr-HR"/>
              </w:rPr>
              <w:t>Kupovina financijske imovine po fer vrijednosti kroz ostalu sveobuhvatnu dobit</w:t>
            </w:r>
            <w:bookmarkEnd w:id="298"/>
          </w:p>
        </w:tc>
        <w:tc>
          <w:tcPr>
            <w:tcW w:w="1252" w:type="dxa"/>
            <w:vAlign w:val="bottom"/>
          </w:tcPr>
          <w:p w14:paraId="0B9CD5A8" w14:textId="77777777" w:rsidR="007E5D38" w:rsidRPr="00633CA5" w:rsidRDefault="007E5D38" w:rsidP="00E032FC">
            <w:pPr>
              <w:pStyle w:val="TT"/>
              <w:keepLines/>
              <w:spacing w:line="210" w:lineRule="exact"/>
              <w:jc w:val="right"/>
              <w:rPr>
                <w:rFonts w:cs="Arial"/>
                <w:bCs/>
                <w:color w:val="000000" w:themeColor="text1"/>
                <w:szCs w:val="19"/>
                <w:lang w:val="hr-HR"/>
              </w:rPr>
            </w:pPr>
            <w:r w:rsidRPr="00633CA5">
              <w:rPr>
                <w:rFonts w:cs="Arial"/>
                <w:bCs/>
                <w:color w:val="000000" w:themeColor="text1"/>
                <w:szCs w:val="19"/>
                <w:lang w:val="hr-HR"/>
              </w:rPr>
              <w:t>(1.929.705)</w:t>
            </w:r>
          </w:p>
        </w:tc>
        <w:tc>
          <w:tcPr>
            <w:tcW w:w="1252" w:type="dxa"/>
            <w:vAlign w:val="bottom"/>
          </w:tcPr>
          <w:p w14:paraId="1ABD5687" w14:textId="77777777" w:rsidR="007E5D38" w:rsidRPr="004B4498" w:rsidRDefault="007E5D38" w:rsidP="00E032FC">
            <w:pPr>
              <w:pStyle w:val="TT"/>
              <w:keepLines/>
              <w:spacing w:line="210" w:lineRule="exact"/>
              <w:jc w:val="right"/>
              <w:rPr>
                <w:rFonts w:cs="Arial"/>
                <w:color w:val="000000" w:themeColor="text1"/>
                <w:spacing w:val="-2"/>
                <w:szCs w:val="19"/>
                <w:lang w:val="hr-HR"/>
              </w:rPr>
            </w:pPr>
            <w:bookmarkStart w:id="299" w:name="_Toc67326810"/>
            <w:r w:rsidRPr="0046584E">
              <w:rPr>
                <w:rFonts w:cs="Arial"/>
                <w:color w:val="000000" w:themeColor="text1"/>
                <w:szCs w:val="19"/>
                <w:lang w:val="hr-HR"/>
              </w:rPr>
              <w:t>(1.659.706)</w:t>
            </w:r>
            <w:bookmarkEnd w:id="299"/>
          </w:p>
        </w:tc>
      </w:tr>
      <w:tr w:rsidR="007E5D38" w:rsidRPr="00201455" w14:paraId="2E38968F" w14:textId="77777777" w:rsidTr="00E032FC">
        <w:tc>
          <w:tcPr>
            <w:tcW w:w="7515" w:type="dxa"/>
          </w:tcPr>
          <w:p w14:paraId="4BEEFC46" w14:textId="77777777" w:rsidR="007E5D38" w:rsidRPr="004B4498" w:rsidRDefault="007E5D38" w:rsidP="00E032FC">
            <w:pPr>
              <w:pStyle w:val="TT"/>
              <w:keepLines/>
              <w:spacing w:line="210" w:lineRule="exact"/>
              <w:rPr>
                <w:rFonts w:cs="Arial"/>
                <w:color w:val="000000" w:themeColor="text1"/>
                <w:szCs w:val="19"/>
                <w:lang w:val="hr-HR"/>
              </w:rPr>
            </w:pPr>
            <w:bookmarkStart w:id="300" w:name="_Toc67326812"/>
            <w:r w:rsidRPr="004B4498">
              <w:rPr>
                <w:rFonts w:cs="Arial"/>
                <w:color w:val="000000" w:themeColor="text1"/>
                <w:szCs w:val="19"/>
                <w:lang w:val="hr-HR"/>
              </w:rPr>
              <w:t>Prodaja financijske imovine po fer vrijednosti kroz ostalu sveobuhvatnu dobit</w:t>
            </w:r>
            <w:bookmarkEnd w:id="300"/>
          </w:p>
        </w:tc>
        <w:tc>
          <w:tcPr>
            <w:tcW w:w="1252" w:type="dxa"/>
            <w:vAlign w:val="bottom"/>
          </w:tcPr>
          <w:p w14:paraId="2A50F40E" w14:textId="77777777" w:rsidR="007E5D38" w:rsidRPr="00633CA5" w:rsidRDefault="007E5D38" w:rsidP="00E032FC">
            <w:pPr>
              <w:pStyle w:val="TT"/>
              <w:keepLines/>
              <w:spacing w:line="210" w:lineRule="exact"/>
              <w:jc w:val="right"/>
              <w:rPr>
                <w:rFonts w:cs="Arial"/>
                <w:bCs/>
                <w:color w:val="000000" w:themeColor="text1"/>
                <w:szCs w:val="19"/>
                <w:lang w:val="hr-HR"/>
              </w:rPr>
            </w:pPr>
            <w:r w:rsidRPr="00633CA5">
              <w:rPr>
                <w:rFonts w:cs="Arial"/>
                <w:bCs/>
                <w:color w:val="000000" w:themeColor="text1"/>
                <w:szCs w:val="19"/>
                <w:lang w:val="hr-HR"/>
              </w:rPr>
              <w:t xml:space="preserve"> 2.121.928 </w:t>
            </w:r>
          </w:p>
        </w:tc>
        <w:tc>
          <w:tcPr>
            <w:tcW w:w="1252" w:type="dxa"/>
            <w:vAlign w:val="bottom"/>
          </w:tcPr>
          <w:p w14:paraId="7EAF82C4" w14:textId="77777777" w:rsidR="007E5D38" w:rsidRPr="004B4498" w:rsidRDefault="007E5D38" w:rsidP="00E032FC">
            <w:pPr>
              <w:pStyle w:val="TT"/>
              <w:keepLines/>
              <w:spacing w:line="210" w:lineRule="exact"/>
              <w:jc w:val="right"/>
              <w:rPr>
                <w:rFonts w:cs="Arial"/>
                <w:color w:val="000000" w:themeColor="text1"/>
                <w:szCs w:val="19"/>
                <w:lang w:val="hr-HR"/>
              </w:rPr>
            </w:pPr>
            <w:bookmarkStart w:id="301" w:name="_Toc67326813"/>
            <w:r w:rsidRPr="0046584E">
              <w:rPr>
                <w:rFonts w:cs="Arial"/>
                <w:color w:val="000000" w:themeColor="text1"/>
                <w:szCs w:val="19"/>
                <w:lang w:val="hr-HR"/>
              </w:rPr>
              <w:t>1.755.422</w:t>
            </w:r>
            <w:bookmarkEnd w:id="301"/>
          </w:p>
        </w:tc>
      </w:tr>
      <w:tr w:rsidR="007E5D38" w:rsidRPr="00201455" w14:paraId="4AAEBCC9" w14:textId="77777777" w:rsidTr="00E032FC">
        <w:tc>
          <w:tcPr>
            <w:tcW w:w="7515" w:type="dxa"/>
          </w:tcPr>
          <w:p w14:paraId="4BF4C171" w14:textId="77777777" w:rsidR="007E5D38" w:rsidRPr="004B4498" w:rsidRDefault="007E5D38" w:rsidP="00E032FC">
            <w:pPr>
              <w:pStyle w:val="TT"/>
              <w:keepLines/>
              <w:spacing w:line="210" w:lineRule="exact"/>
              <w:rPr>
                <w:rFonts w:cs="Arial"/>
                <w:color w:val="000000" w:themeColor="text1"/>
                <w:szCs w:val="19"/>
                <w:lang w:val="hr-HR"/>
              </w:rPr>
            </w:pPr>
            <w:bookmarkStart w:id="302" w:name="_Toc67326818"/>
            <w:r w:rsidRPr="004B4498">
              <w:rPr>
                <w:rFonts w:cs="Arial"/>
                <w:color w:val="000000" w:themeColor="text1"/>
                <w:szCs w:val="19"/>
                <w:lang w:val="hr-HR"/>
              </w:rPr>
              <w:t>Prodaja i otpis ulaganja u pridružena društva</w:t>
            </w:r>
            <w:bookmarkEnd w:id="302"/>
          </w:p>
        </w:tc>
        <w:tc>
          <w:tcPr>
            <w:tcW w:w="1252" w:type="dxa"/>
            <w:vAlign w:val="bottom"/>
          </w:tcPr>
          <w:p w14:paraId="07ADEF8F" w14:textId="77777777" w:rsidR="007E5D38" w:rsidRPr="004B4498" w:rsidRDefault="007E5D38" w:rsidP="00E032FC">
            <w:pPr>
              <w:pStyle w:val="TT"/>
              <w:keepLines/>
              <w:spacing w:line="210" w:lineRule="exact"/>
              <w:jc w:val="right"/>
              <w:rPr>
                <w:rFonts w:cs="Arial"/>
                <w:color w:val="000000" w:themeColor="text1"/>
                <w:szCs w:val="19"/>
                <w:lang w:val="hr-HR"/>
              </w:rPr>
            </w:pPr>
            <w:r>
              <w:rPr>
                <w:rFonts w:cs="Arial"/>
                <w:color w:val="000000" w:themeColor="text1"/>
                <w:szCs w:val="19"/>
                <w:lang w:val="hr-HR"/>
              </w:rPr>
              <w:t>-</w:t>
            </w:r>
          </w:p>
        </w:tc>
        <w:tc>
          <w:tcPr>
            <w:tcW w:w="1252" w:type="dxa"/>
            <w:vAlign w:val="bottom"/>
          </w:tcPr>
          <w:p w14:paraId="36CBFCD1" w14:textId="77777777" w:rsidR="007E5D38" w:rsidRPr="004B4498" w:rsidRDefault="007E5D38" w:rsidP="00E032FC">
            <w:pPr>
              <w:pStyle w:val="TT"/>
              <w:keepLines/>
              <w:spacing w:line="210" w:lineRule="exact"/>
              <w:jc w:val="right"/>
              <w:rPr>
                <w:rFonts w:cs="Arial"/>
                <w:color w:val="000000" w:themeColor="text1"/>
                <w:szCs w:val="19"/>
                <w:lang w:val="hr-HR"/>
              </w:rPr>
            </w:pPr>
            <w:bookmarkStart w:id="303" w:name="_Toc67326819"/>
            <w:r w:rsidRPr="0046584E">
              <w:rPr>
                <w:rFonts w:cs="Arial"/>
                <w:color w:val="000000" w:themeColor="text1"/>
                <w:szCs w:val="19"/>
                <w:lang w:val="hr-HR"/>
              </w:rPr>
              <w:t>5.979</w:t>
            </w:r>
            <w:bookmarkEnd w:id="303"/>
          </w:p>
        </w:tc>
      </w:tr>
      <w:tr w:rsidR="007E5D38" w:rsidRPr="00201455" w14:paraId="5B808F6F" w14:textId="77777777" w:rsidTr="00E032FC">
        <w:tc>
          <w:tcPr>
            <w:tcW w:w="7515" w:type="dxa"/>
          </w:tcPr>
          <w:p w14:paraId="2C8D4336" w14:textId="77777777" w:rsidR="007E5D38" w:rsidRPr="004B4498" w:rsidRDefault="007E5D38" w:rsidP="00E032FC">
            <w:pPr>
              <w:pStyle w:val="TT"/>
              <w:keepLines/>
              <w:spacing w:line="210" w:lineRule="exact"/>
              <w:rPr>
                <w:rFonts w:cs="Arial"/>
                <w:color w:val="000000" w:themeColor="text1"/>
                <w:szCs w:val="19"/>
                <w:lang w:val="hr-HR"/>
              </w:rPr>
            </w:pPr>
            <w:r w:rsidRPr="00633CA5">
              <w:rPr>
                <w:rFonts w:cs="Arial"/>
                <w:color w:val="000000" w:themeColor="text1"/>
                <w:szCs w:val="19"/>
                <w:lang w:val="hr-HR"/>
              </w:rPr>
              <w:t>Ulaganje u ovisna društva</w:t>
            </w:r>
          </w:p>
        </w:tc>
        <w:tc>
          <w:tcPr>
            <w:tcW w:w="1252" w:type="dxa"/>
            <w:vAlign w:val="bottom"/>
          </w:tcPr>
          <w:p w14:paraId="42584070" w14:textId="77777777" w:rsidR="007E5D38" w:rsidRDefault="007E5D38" w:rsidP="00E032FC">
            <w:pPr>
              <w:pStyle w:val="TT"/>
              <w:keepLines/>
              <w:spacing w:line="210" w:lineRule="exact"/>
              <w:jc w:val="right"/>
              <w:rPr>
                <w:rFonts w:cs="Arial"/>
                <w:color w:val="000000" w:themeColor="text1"/>
                <w:szCs w:val="19"/>
                <w:lang w:val="hr-HR"/>
              </w:rPr>
            </w:pPr>
            <w:r w:rsidRPr="00633CA5">
              <w:rPr>
                <w:rFonts w:cs="Arial"/>
                <w:color w:val="000000" w:themeColor="text1"/>
                <w:szCs w:val="19"/>
                <w:lang w:val="hr-HR"/>
              </w:rPr>
              <w:t>(20.000)</w:t>
            </w:r>
          </w:p>
        </w:tc>
        <w:tc>
          <w:tcPr>
            <w:tcW w:w="1252" w:type="dxa"/>
            <w:vAlign w:val="bottom"/>
          </w:tcPr>
          <w:p w14:paraId="4EACF003" w14:textId="77777777" w:rsidR="007E5D38" w:rsidRPr="0046584E" w:rsidRDefault="007E5D38" w:rsidP="00E032FC">
            <w:pPr>
              <w:pStyle w:val="TT"/>
              <w:keepLines/>
              <w:spacing w:line="210" w:lineRule="exact"/>
              <w:jc w:val="right"/>
              <w:rPr>
                <w:rFonts w:cs="Arial"/>
                <w:color w:val="000000" w:themeColor="text1"/>
                <w:szCs w:val="19"/>
                <w:lang w:val="hr-HR"/>
              </w:rPr>
            </w:pPr>
            <w:r>
              <w:rPr>
                <w:rFonts w:cs="Arial"/>
                <w:color w:val="000000" w:themeColor="text1"/>
                <w:szCs w:val="19"/>
                <w:lang w:val="hr-HR"/>
              </w:rPr>
              <w:t>-</w:t>
            </w:r>
          </w:p>
        </w:tc>
      </w:tr>
      <w:tr w:rsidR="007E5D38" w:rsidRPr="00201455" w14:paraId="506DDB25" w14:textId="77777777" w:rsidTr="00E032FC">
        <w:tc>
          <w:tcPr>
            <w:tcW w:w="7515" w:type="dxa"/>
            <w:shd w:val="clear" w:color="auto" w:fill="auto"/>
          </w:tcPr>
          <w:p w14:paraId="6E0B8830" w14:textId="77777777" w:rsidR="007E5D38" w:rsidRPr="004B4498" w:rsidRDefault="007E5D38" w:rsidP="00E032FC">
            <w:pPr>
              <w:pStyle w:val="TT"/>
              <w:keepLines/>
              <w:spacing w:line="210" w:lineRule="exact"/>
              <w:rPr>
                <w:rFonts w:cs="Arial"/>
                <w:color w:val="000000" w:themeColor="text1"/>
                <w:spacing w:val="-2"/>
                <w:szCs w:val="19"/>
                <w:lang w:val="hr-HR"/>
              </w:rPr>
            </w:pPr>
            <w:bookmarkStart w:id="304" w:name="_Toc67326821"/>
            <w:r w:rsidRPr="004B4498">
              <w:rPr>
                <w:rFonts w:cs="Arial"/>
                <w:color w:val="000000" w:themeColor="text1"/>
                <w:spacing w:val="-2"/>
                <w:szCs w:val="19"/>
                <w:lang w:val="hr-HR"/>
              </w:rPr>
              <w:t>Neto nabava nekretnina, postrojenja i opreme i nematerijalne imovine</w:t>
            </w:r>
            <w:bookmarkEnd w:id="304"/>
          </w:p>
        </w:tc>
        <w:tc>
          <w:tcPr>
            <w:tcW w:w="1252" w:type="dxa"/>
            <w:tcBorders>
              <w:bottom w:val="single" w:sz="4" w:space="0" w:color="auto"/>
            </w:tcBorders>
            <w:vAlign w:val="bottom"/>
          </w:tcPr>
          <w:p w14:paraId="4B7484BC" w14:textId="77777777" w:rsidR="007E5D38" w:rsidRPr="004B4498" w:rsidRDefault="007E5D38" w:rsidP="00E032FC">
            <w:pPr>
              <w:pStyle w:val="CommentText"/>
              <w:keepLines/>
              <w:spacing w:line="210" w:lineRule="exact"/>
              <w:jc w:val="right"/>
              <w:rPr>
                <w:rFonts w:ascii="Arial" w:hAnsi="Arial" w:cs="Arial"/>
                <w:color w:val="000000" w:themeColor="text1"/>
                <w:spacing w:val="-2"/>
                <w:sz w:val="19"/>
                <w:szCs w:val="19"/>
                <w:lang w:val="hr-HR"/>
              </w:rPr>
            </w:pPr>
            <w:r w:rsidRPr="00633CA5">
              <w:rPr>
                <w:rFonts w:ascii="Arial" w:hAnsi="Arial" w:cs="Arial"/>
                <w:color w:val="000000" w:themeColor="text1"/>
                <w:spacing w:val="-2"/>
                <w:sz w:val="19"/>
                <w:szCs w:val="19"/>
                <w:lang w:val="hr-HR"/>
              </w:rPr>
              <w:t>(4.574)</w:t>
            </w:r>
          </w:p>
        </w:tc>
        <w:tc>
          <w:tcPr>
            <w:tcW w:w="1252" w:type="dxa"/>
            <w:tcBorders>
              <w:bottom w:val="single" w:sz="4" w:space="0" w:color="auto"/>
            </w:tcBorders>
            <w:vAlign w:val="bottom"/>
          </w:tcPr>
          <w:p w14:paraId="5014FE55" w14:textId="77777777" w:rsidR="007E5D38" w:rsidRPr="004B4498" w:rsidRDefault="007E5D38" w:rsidP="00E032FC">
            <w:pPr>
              <w:pStyle w:val="CommentText"/>
              <w:keepLines/>
              <w:spacing w:line="210" w:lineRule="exact"/>
              <w:jc w:val="right"/>
              <w:rPr>
                <w:rFonts w:ascii="Arial" w:hAnsi="Arial" w:cs="Arial"/>
                <w:color w:val="000000" w:themeColor="text1"/>
                <w:spacing w:val="-2"/>
                <w:sz w:val="19"/>
                <w:szCs w:val="19"/>
                <w:lang w:val="hr-HR"/>
              </w:rPr>
            </w:pPr>
            <w:r w:rsidRPr="0046584E">
              <w:rPr>
                <w:rFonts w:ascii="Arial" w:hAnsi="Arial" w:cs="Arial"/>
                <w:color w:val="000000" w:themeColor="text1"/>
                <w:spacing w:val="-2"/>
                <w:sz w:val="19"/>
                <w:szCs w:val="19"/>
                <w:lang w:val="hr-HR"/>
              </w:rPr>
              <w:t>(6.633)</w:t>
            </w:r>
          </w:p>
        </w:tc>
      </w:tr>
      <w:tr w:rsidR="007E5D38" w:rsidRPr="00201455" w14:paraId="25A1DE2B" w14:textId="77777777" w:rsidTr="00E032FC">
        <w:trPr>
          <w:trHeight w:val="235"/>
        </w:trPr>
        <w:tc>
          <w:tcPr>
            <w:tcW w:w="7515" w:type="dxa"/>
            <w:vAlign w:val="center"/>
          </w:tcPr>
          <w:p w14:paraId="217CF33C" w14:textId="77777777" w:rsidR="007E5D38" w:rsidRPr="004B4498" w:rsidRDefault="007E5D38" w:rsidP="00E032FC">
            <w:pPr>
              <w:pStyle w:val="Tot"/>
              <w:keepLines/>
              <w:spacing w:line="220" w:lineRule="exact"/>
              <w:rPr>
                <w:rFonts w:cs="Arial"/>
                <w:b/>
                <w:bCs/>
                <w:color w:val="000000" w:themeColor="text1"/>
                <w:szCs w:val="19"/>
                <w:lang w:val="hr-HR"/>
              </w:rPr>
            </w:pPr>
            <w:bookmarkStart w:id="305" w:name="_Toc67326822"/>
            <w:r w:rsidRPr="004B4498">
              <w:rPr>
                <w:rFonts w:cs="Arial"/>
                <w:b/>
                <w:bCs/>
                <w:color w:val="000000" w:themeColor="text1"/>
                <w:szCs w:val="19"/>
                <w:lang w:val="hr-HR"/>
              </w:rPr>
              <w:t>Neto novčana sredstv</w:t>
            </w:r>
            <w:r w:rsidRPr="00633CA5">
              <w:rPr>
                <w:rFonts w:cs="Arial"/>
                <w:b/>
                <w:bCs/>
                <w:color w:val="000000" w:themeColor="text1"/>
                <w:szCs w:val="19"/>
                <w:lang w:val="hr-HR"/>
              </w:rPr>
              <w:t>a ostvarena</w:t>
            </w:r>
            <w:r w:rsidRPr="004B4498">
              <w:rPr>
                <w:rFonts w:cs="Arial"/>
                <w:b/>
                <w:bCs/>
                <w:color w:val="000000" w:themeColor="text1"/>
                <w:szCs w:val="19"/>
                <w:lang w:val="hr-HR"/>
              </w:rPr>
              <w:t xml:space="preserve"> u ulagateljskim aktivnostima</w:t>
            </w:r>
            <w:bookmarkEnd w:id="305"/>
          </w:p>
        </w:tc>
        <w:tc>
          <w:tcPr>
            <w:tcW w:w="1252" w:type="dxa"/>
            <w:tcBorders>
              <w:top w:val="single" w:sz="4" w:space="0" w:color="auto"/>
              <w:bottom w:val="single" w:sz="12" w:space="0" w:color="auto"/>
            </w:tcBorders>
            <w:vAlign w:val="bottom"/>
          </w:tcPr>
          <w:p w14:paraId="518C01A3" w14:textId="77777777" w:rsidR="007E5D38" w:rsidRPr="004B4498" w:rsidRDefault="007E5D38" w:rsidP="00E032FC">
            <w:pPr>
              <w:pStyle w:val="T2"/>
              <w:keepNext w:val="0"/>
              <w:spacing w:line="220" w:lineRule="exact"/>
              <w:jc w:val="right"/>
              <w:rPr>
                <w:rFonts w:cs="Arial"/>
                <w:b/>
                <w:bCs/>
                <w:color w:val="000000" w:themeColor="text1"/>
                <w:spacing w:val="-2"/>
                <w:szCs w:val="19"/>
                <w:lang w:val="hr-HR"/>
              </w:rPr>
            </w:pPr>
            <w:r w:rsidRPr="00633CA5">
              <w:rPr>
                <w:rFonts w:cs="Arial"/>
                <w:b/>
                <w:bCs/>
                <w:color w:val="000000" w:themeColor="text1"/>
                <w:spacing w:val="-2"/>
                <w:szCs w:val="19"/>
                <w:lang w:val="hr-HR"/>
              </w:rPr>
              <w:t>271.341</w:t>
            </w:r>
          </w:p>
        </w:tc>
        <w:tc>
          <w:tcPr>
            <w:tcW w:w="1252" w:type="dxa"/>
            <w:tcBorders>
              <w:top w:val="single" w:sz="4" w:space="0" w:color="auto"/>
              <w:bottom w:val="single" w:sz="12" w:space="0" w:color="auto"/>
            </w:tcBorders>
            <w:vAlign w:val="bottom"/>
          </w:tcPr>
          <w:p w14:paraId="0327B6F1" w14:textId="77777777" w:rsidR="007E5D38" w:rsidRPr="004B4498" w:rsidRDefault="007E5D38" w:rsidP="00E032FC">
            <w:pPr>
              <w:pStyle w:val="T2"/>
              <w:keepNext w:val="0"/>
              <w:spacing w:line="220" w:lineRule="exact"/>
              <w:jc w:val="right"/>
              <w:rPr>
                <w:rFonts w:cs="Arial"/>
                <w:b/>
                <w:bCs/>
                <w:color w:val="000000" w:themeColor="text1"/>
                <w:spacing w:val="-2"/>
                <w:szCs w:val="19"/>
                <w:lang w:val="hr-HR"/>
              </w:rPr>
            </w:pPr>
            <w:r w:rsidRPr="0046584E">
              <w:rPr>
                <w:rFonts w:cs="Arial"/>
                <w:b/>
                <w:bCs/>
                <w:color w:val="000000" w:themeColor="text1"/>
                <w:spacing w:val="-2"/>
                <w:szCs w:val="19"/>
                <w:lang w:val="hr-HR"/>
              </w:rPr>
              <w:t>75.202</w:t>
            </w:r>
          </w:p>
        </w:tc>
      </w:tr>
      <w:tr w:rsidR="007E5D38" w:rsidRPr="00201455" w14:paraId="7827F6F8" w14:textId="77777777" w:rsidTr="00E032FC">
        <w:tc>
          <w:tcPr>
            <w:tcW w:w="7515" w:type="dxa"/>
          </w:tcPr>
          <w:p w14:paraId="4DD4EE51" w14:textId="77777777" w:rsidR="007E5D38" w:rsidRPr="004B4498" w:rsidRDefault="007E5D38" w:rsidP="00E032FC">
            <w:pPr>
              <w:pStyle w:val="TT"/>
              <w:keepLines/>
              <w:spacing w:line="210" w:lineRule="exact"/>
              <w:rPr>
                <w:rFonts w:cs="Arial"/>
                <w:b/>
                <w:bCs/>
                <w:color w:val="000000" w:themeColor="text1"/>
                <w:szCs w:val="19"/>
                <w:lang w:val="hr-HR"/>
              </w:rPr>
            </w:pPr>
          </w:p>
        </w:tc>
        <w:tc>
          <w:tcPr>
            <w:tcW w:w="1252" w:type="dxa"/>
            <w:tcBorders>
              <w:top w:val="single" w:sz="12" w:space="0" w:color="auto"/>
            </w:tcBorders>
            <w:vAlign w:val="bottom"/>
          </w:tcPr>
          <w:p w14:paraId="7CC769F8" w14:textId="77777777" w:rsidR="007E5D38" w:rsidRPr="004B4498" w:rsidRDefault="007E5D38" w:rsidP="00E032FC">
            <w:pPr>
              <w:pStyle w:val="TT"/>
              <w:keepLines/>
              <w:spacing w:line="210" w:lineRule="exact"/>
              <w:jc w:val="right"/>
              <w:rPr>
                <w:rFonts w:cs="Arial"/>
                <w:b/>
                <w:bCs/>
                <w:color w:val="000000" w:themeColor="text1"/>
                <w:szCs w:val="19"/>
                <w:lang w:val="hr-HR"/>
              </w:rPr>
            </w:pPr>
          </w:p>
        </w:tc>
        <w:tc>
          <w:tcPr>
            <w:tcW w:w="1252" w:type="dxa"/>
            <w:tcBorders>
              <w:top w:val="single" w:sz="12" w:space="0" w:color="auto"/>
            </w:tcBorders>
            <w:vAlign w:val="bottom"/>
          </w:tcPr>
          <w:p w14:paraId="0939596A" w14:textId="77777777" w:rsidR="007E5D38" w:rsidRPr="004B4498" w:rsidRDefault="007E5D38" w:rsidP="00E032FC">
            <w:pPr>
              <w:pStyle w:val="TT"/>
              <w:keepLines/>
              <w:spacing w:line="210" w:lineRule="exact"/>
              <w:jc w:val="right"/>
              <w:rPr>
                <w:rFonts w:cs="Arial"/>
                <w:b/>
                <w:bCs/>
                <w:color w:val="000000" w:themeColor="text1"/>
                <w:szCs w:val="19"/>
                <w:lang w:val="hr-HR"/>
              </w:rPr>
            </w:pPr>
          </w:p>
        </w:tc>
      </w:tr>
      <w:tr w:rsidR="007E5D38" w:rsidRPr="00201455" w14:paraId="4709F941" w14:textId="77777777" w:rsidTr="00E032FC">
        <w:tc>
          <w:tcPr>
            <w:tcW w:w="7515" w:type="dxa"/>
          </w:tcPr>
          <w:p w14:paraId="303A8287" w14:textId="77777777" w:rsidR="007E5D38" w:rsidRPr="004B4498" w:rsidRDefault="007E5D38" w:rsidP="00E032FC">
            <w:pPr>
              <w:pStyle w:val="TT"/>
              <w:keepLines/>
              <w:spacing w:line="210" w:lineRule="exact"/>
              <w:rPr>
                <w:rFonts w:cs="Arial"/>
                <w:b/>
                <w:bCs/>
                <w:color w:val="000000" w:themeColor="text1"/>
                <w:spacing w:val="-3"/>
                <w:szCs w:val="19"/>
                <w:lang w:val="hr-HR"/>
              </w:rPr>
            </w:pPr>
            <w:bookmarkStart w:id="306" w:name="_Toc67326823"/>
            <w:r w:rsidRPr="004B4498">
              <w:rPr>
                <w:rFonts w:cs="Arial"/>
                <w:b/>
                <w:bCs/>
                <w:color w:val="000000" w:themeColor="text1"/>
                <w:szCs w:val="19"/>
                <w:lang w:val="hr-HR"/>
              </w:rPr>
              <w:t>Financijske aktivnosti</w:t>
            </w:r>
            <w:bookmarkEnd w:id="306"/>
          </w:p>
        </w:tc>
        <w:tc>
          <w:tcPr>
            <w:tcW w:w="1252" w:type="dxa"/>
            <w:vAlign w:val="bottom"/>
          </w:tcPr>
          <w:p w14:paraId="4FAE4763" w14:textId="77777777" w:rsidR="007E5D38" w:rsidRPr="004B4498" w:rsidRDefault="007E5D38" w:rsidP="00E032FC">
            <w:pPr>
              <w:pStyle w:val="TT"/>
              <w:keepLines/>
              <w:spacing w:line="210" w:lineRule="exact"/>
              <w:jc w:val="right"/>
              <w:rPr>
                <w:rFonts w:cs="Arial"/>
                <w:b/>
                <w:bCs/>
                <w:color w:val="000000" w:themeColor="text1"/>
                <w:szCs w:val="19"/>
                <w:lang w:val="hr-HR"/>
              </w:rPr>
            </w:pPr>
          </w:p>
        </w:tc>
        <w:tc>
          <w:tcPr>
            <w:tcW w:w="1252" w:type="dxa"/>
            <w:vAlign w:val="bottom"/>
          </w:tcPr>
          <w:p w14:paraId="6BF592B4" w14:textId="77777777" w:rsidR="007E5D38" w:rsidRPr="004B4498" w:rsidRDefault="007E5D38" w:rsidP="00E032FC">
            <w:pPr>
              <w:pStyle w:val="TT"/>
              <w:keepLines/>
              <w:spacing w:line="210" w:lineRule="exact"/>
              <w:jc w:val="right"/>
              <w:rPr>
                <w:rFonts w:cs="Arial"/>
                <w:b/>
                <w:bCs/>
                <w:color w:val="000000" w:themeColor="text1"/>
                <w:szCs w:val="19"/>
                <w:lang w:val="hr-HR"/>
              </w:rPr>
            </w:pPr>
          </w:p>
        </w:tc>
      </w:tr>
      <w:tr w:rsidR="007E5D38" w:rsidRPr="00201455" w14:paraId="168B9D13" w14:textId="77777777" w:rsidTr="00E032FC">
        <w:tc>
          <w:tcPr>
            <w:tcW w:w="7515" w:type="dxa"/>
          </w:tcPr>
          <w:p w14:paraId="64AC01D0" w14:textId="77777777" w:rsidR="007E5D38" w:rsidRPr="004B4498" w:rsidRDefault="007E5D38" w:rsidP="00E032FC">
            <w:pPr>
              <w:pStyle w:val="TT"/>
              <w:keepLines/>
              <w:spacing w:line="210" w:lineRule="exact"/>
              <w:rPr>
                <w:rFonts w:cs="Arial"/>
                <w:color w:val="000000" w:themeColor="text1"/>
                <w:spacing w:val="-3"/>
                <w:szCs w:val="19"/>
                <w:lang w:val="hr-HR"/>
              </w:rPr>
            </w:pPr>
            <w:bookmarkStart w:id="307" w:name="_Toc67326824"/>
            <w:r w:rsidRPr="004B4498">
              <w:rPr>
                <w:rFonts w:cs="Arial"/>
                <w:color w:val="000000" w:themeColor="text1"/>
                <w:spacing w:val="-3"/>
                <w:szCs w:val="19"/>
                <w:lang w:val="hr-HR"/>
              </w:rPr>
              <w:t>Povećanje osnivačkog kapitala</w:t>
            </w:r>
            <w:bookmarkEnd w:id="307"/>
          </w:p>
        </w:tc>
        <w:tc>
          <w:tcPr>
            <w:tcW w:w="1252" w:type="dxa"/>
            <w:tcBorders>
              <w:top w:val="nil"/>
              <w:left w:val="nil"/>
              <w:bottom w:val="nil"/>
              <w:right w:val="nil"/>
            </w:tcBorders>
            <w:shd w:val="clear" w:color="auto" w:fill="auto"/>
            <w:vAlign w:val="bottom"/>
          </w:tcPr>
          <w:p w14:paraId="35CE622D" w14:textId="77777777" w:rsidR="007E5D38" w:rsidRPr="004B4498" w:rsidRDefault="007E5D38" w:rsidP="00E032FC">
            <w:pPr>
              <w:pStyle w:val="TT"/>
              <w:keepLines/>
              <w:spacing w:line="210" w:lineRule="exact"/>
              <w:jc w:val="right"/>
              <w:rPr>
                <w:rFonts w:cs="Arial"/>
                <w:color w:val="000000" w:themeColor="text1"/>
                <w:szCs w:val="19"/>
                <w:lang w:val="hr-HR"/>
              </w:rPr>
            </w:pPr>
            <w:r w:rsidRPr="00FA60EA">
              <w:rPr>
                <w:rFonts w:cs="Arial"/>
                <w:color w:val="000000" w:themeColor="text1"/>
                <w:szCs w:val="19"/>
                <w:lang w:val="hr-HR"/>
              </w:rPr>
              <w:t xml:space="preserve"> 40.000 </w:t>
            </w:r>
          </w:p>
        </w:tc>
        <w:tc>
          <w:tcPr>
            <w:tcW w:w="1252" w:type="dxa"/>
            <w:tcBorders>
              <w:top w:val="nil"/>
              <w:left w:val="nil"/>
              <w:bottom w:val="nil"/>
              <w:right w:val="nil"/>
            </w:tcBorders>
            <w:shd w:val="clear" w:color="auto" w:fill="auto"/>
            <w:vAlign w:val="bottom"/>
          </w:tcPr>
          <w:p w14:paraId="49993B7A" w14:textId="77777777" w:rsidR="007E5D38" w:rsidRPr="004B4498" w:rsidRDefault="007E5D38" w:rsidP="00E032FC">
            <w:pPr>
              <w:pStyle w:val="TT"/>
              <w:keepLines/>
              <w:spacing w:line="210" w:lineRule="exact"/>
              <w:jc w:val="right"/>
              <w:rPr>
                <w:rFonts w:cs="Arial"/>
                <w:color w:val="000000" w:themeColor="text1"/>
                <w:spacing w:val="-2"/>
                <w:szCs w:val="19"/>
                <w:lang w:val="hr-HR"/>
              </w:rPr>
            </w:pPr>
            <w:bookmarkStart w:id="308" w:name="_Toc67326825"/>
            <w:r w:rsidRPr="0046584E">
              <w:rPr>
                <w:rFonts w:cs="Arial"/>
                <w:color w:val="000000" w:themeColor="text1"/>
                <w:szCs w:val="19"/>
                <w:lang w:val="hr-HR"/>
              </w:rPr>
              <w:t>50.000</w:t>
            </w:r>
            <w:bookmarkEnd w:id="308"/>
          </w:p>
        </w:tc>
      </w:tr>
      <w:tr w:rsidR="007E5D38" w:rsidRPr="00201455" w14:paraId="5F3313D7" w14:textId="77777777" w:rsidTr="00E032FC">
        <w:tc>
          <w:tcPr>
            <w:tcW w:w="7515" w:type="dxa"/>
          </w:tcPr>
          <w:p w14:paraId="0515AF02" w14:textId="77777777" w:rsidR="007E5D38" w:rsidRPr="004B4498" w:rsidRDefault="007E5D38" w:rsidP="00E032FC">
            <w:pPr>
              <w:pStyle w:val="TT"/>
              <w:keepLines/>
              <w:spacing w:line="210" w:lineRule="exact"/>
              <w:rPr>
                <w:rFonts w:cs="Arial"/>
                <w:color w:val="000000" w:themeColor="text1"/>
                <w:spacing w:val="-3"/>
                <w:szCs w:val="19"/>
                <w:lang w:val="hr-HR"/>
              </w:rPr>
            </w:pPr>
            <w:bookmarkStart w:id="309" w:name="_Toc67326827"/>
            <w:r w:rsidRPr="004B4498">
              <w:rPr>
                <w:rFonts w:cs="Arial"/>
                <w:color w:val="000000" w:themeColor="text1"/>
                <w:spacing w:val="-3"/>
                <w:szCs w:val="19"/>
                <w:lang w:val="hr-HR"/>
              </w:rPr>
              <w:t>Povećanje obveza po kreditima povlačenjem sredstava kredita</w:t>
            </w:r>
            <w:bookmarkEnd w:id="309"/>
          </w:p>
        </w:tc>
        <w:tc>
          <w:tcPr>
            <w:tcW w:w="1252" w:type="dxa"/>
            <w:tcBorders>
              <w:top w:val="nil"/>
              <w:left w:val="nil"/>
              <w:bottom w:val="nil"/>
              <w:right w:val="nil"/>
            </w:tcBorders>
            <w:shd w:val="clear" w:color="auto" w:fill="auto"/>
            <w:vAlign w:val="bottom"/>
          </w:tcPr>
          <w:p w14:paraId="2BE78FAF" w14:textId="77777777" w:rsidR="007E5D38" w:rsidRPr="004B4498" w:rsidRDefault="007E5D38" w:rsidP="00E032FC">
            <w:pPr>
              <w:pStyle w:val="TT"/>
              <w:keepLines/>
              <w:spacing w:line="210" w:lineRule="exact"/>
              <w:jc w:val="right"/>
              <w:rPr>
                <w:rFonts w:cs="Arial"/>
                <w:color w:val="000000" w:themeColor="text1"/>
                <w:szCs w:val="19"/>
                <w:lang w:val="hr-HR"/>
              </w:rPr>
            </w:pPr>
            <w:r w:rsidRPr="00FA60EA">
              <w:rPr>
                <w:rFonts w:cs="Arial"/>
                <w:color w:val="000000" w:themeColor="text1"/>
                <w:szCs w:val="19"/>
                <w:lang w:val="hr-HR"/>
              </w:rPr>
              <w:t xml:space="preserve"> 2.981.142 </w:t>
            </w:r>
          </w:p>
        </w:tc>
        <w:tc>
          <w:tcPr>
            <w:tcW w:w="1252" w:type="dxa"/>
            <w:tcBorders>
              <w:top w:val="nil"/>
              <w:left w:val="nil"/>
              <w:bottom w:val="nil"/>
              <w:right w:val="nil"/>
            </w:tcBorders>
            <w:shd w:val="clear" w:color="auto" w:fill="auto"/>
            <w:vAlign w:val="bottom"/>
          </w:tcPr>
          <w:p w14:paraId="6D7FE9A3" w14:textId="77777777" w:rsidR="007E5D38" w:rsidRPr="004B4498" w:rsidRDefault="007E5D38" w:rsidP="00E032FC">
            <w:pPr>
              <w:pStyle w:val="TT"/>
              <w:keepLines/>
              <w:spacing w:line="210" w:lineRule="exact"/>
              <w:jc w:val="right"/>
              <w:rPr>
                <w:rFonts w:cs="Arial"/>
                <w:color w:val="000000" w:themeColor="text1"/>
                <w:spacing w:val="-2"/>
                <w:szCs w:val="19"/>
                <w:lang w:val="hr-HR"/>
              </w:rPr>
            </w:pPr>
            <w:bookmarkStart w:id="310" w:name="_Toc67326828"/>
            <w:r w:rsidRPr="0046584E">
              <w:rPr>
                <w:rFonts w:cs="Arial"/>
                <w:color w:val="000000" w:themeColor="text1"/>
                <w:szCs w:val="19"/>
                <w:lang w:val="hr-HR"/>
              </w:rPr>
              <w:t>1.668.482</w:t>
            </w:r>
            <w:bookmarkEnd w:id="310"/>
          </w:p>
        </w:tc>
      </w:tr>
      <w:tr w:rsidR="007E5D38" w:rsidRPr="00201455" w14:paraId="74D80178" w14:textId="77777777" w:rsidTr="00E032FC">
        <w:tc>
          <w:tcPr>
            <w:tcW w:w="7515" w:type="dxa"/>
          </w:tcPr>
          <w:p w14:paraId="458D023C" w14:textId="77777777" w:rsidR="007E5D38" w:rsidRPr="004B4498" w:rsidRDefault="007E5D38" w:rsidP="00E032FC">
            <w:pPr>
              <w:pStyle w:val="TT"/>
              <w:keepLines/>
              <w:spacing w:line="210" w:lineRule="exact"/>
              <w:rPr>
                <w:rFonts w:cs="Arial"/>
                <w:color w:val="000000" w:themeColor="text1"/>
                <w:spacing w:val="-3"/>
                <w:szCs w:val="19"/>
                <w:lang w:val="hr-HR"/>
              </w:rPr>
            </w:pPr>
            <w:bookmarkStart w:id="311" w:name="_Toc67326830"/>
            <w:r w:rsidRPr="004B4498">
              <w:rPr>
                <w:rFonts w:cs="Arial"/>
                <w:color w:val="000000" w:themeColor="text1"/>
                <w:spacing w:val="-3"/>
                <w:szCs w:val="19"/>
                <w:lang w:val="hr-HR"/>
              </w:rPr>
              <w:t>Smanjenje obveza po kreditima otplatom glavnice kredita</w:t>
            </w:r>
            <w:bookmarkEnd w:id="311"/>
          </w:p>
        </w:tc>
        <w:tc>
          <w:tcPr>
            <w:tcW w:w="1252" w:type="dxa"/>
            <w:tcBorders>
              <w:top w:val="nil"/>
              <w:left w:val="nil"/>
              <w:right w:val="nil"/>
            </w:tcBorders>
            <w:shd w:val="clear" w:color="auto" w:fill="auto"/>
            <w:vAlign w:val="bottom"/>
          </w:tcPr>
          <w:p w14:paraId="4D9B9D8D" w14:textId="77777777" w:rsidR="007E5D38" w:rsidRPr="004B4498" w:rsidRDefault="007E5D38" w:rsidP="00E032FC">
            <w:pPr>
              <w:pStyle w:val="TT"/>
              <w:keepLines/>
              <w:spacing w:line="210" w:lineRule="exact"/>
              <w:jc w:val="right"/>
              <w:rPr>
                <w:rFonts w:cs="Arial"/>
                <w:color w:val="000000" w:themeColor="text1"/>
                <w:szCs w:val="19"/>
                <w:lang w:val="hr-HR"/>
              </w:rPr>
            </w:pPr>
            <w:r w:rsidRPr="00FA60EA">
              <w:rPr>
                <w:rFonts w:cs="Arial"/>
                <w:color w:val="000000" w:themeColor="text1"/>
                <w:szCs w:val="19"/>
                <w:lang w:val="hr-HR"/>
              </w:rPr>
              <w:t>(2.631.688)</w:t>
            </w:r>
          </w:p>
        </w:tc>
        <w:tc>
          <w:tcPr>
            <w:tcW w:w="1252" w:type="dxa"/>
            <w:tcBorders>
              <w:top w:val="nil"/>
              <w:left w:val="nil"/>
              <w:right w:val="nil"/>
            </w:tcBorders>
            <w:shd w:val="clear" w:color="auto" w:fill="auto"/>
            <w:vAlign w:val="bottom"/>
          </w:tcPr>
          <w:p w14:paraId="65F7F752" w14:textId="77777777" w:rsidR="007E5D38" w:rsidRPr="004B4498" w:rsidRDefault="007E5D38" w:rsidP="00E032FC">
            <w:pPr>
              <w:pStyle w:val="TT"/>
              <w:keepLines/>
              <w:spacing w:line="210" w:lineRule="exact"/>
              <w:jc w:val="right"/>
              <w:rPr>
                <w:rFonts w:cs="Arial"/>
                <w:color w:val="000000" w:themeColor="text1"/>
                <w:spacing w:val="-2"/>
                <w:szCs w:val="19"/>
                <w:lang w:val="hr-HR"/>
              </w:rPr>
            </w:pPr>
            <w:bookmarkStart w:id="312" w:name="_Toc67326831"/>
            <w:r w:rsidRPr="0046584E">
              <w:rPr>
                <w:rFonts w:cs="Arial"/>
                <w:color w:val="000000" w:themeColor="text1"/>
                <w:szCs w:val="19"/>
                <w:lang w:val="hr-HR"/>
              </w:rPr>
              <w:t>(2.391.147)</w:t>
            </w:r>
            <w:bookmarkEnd w:id="312"/>
          </w:p>
        </w:tc>
      </w:tr>
      <w:tr w:rsidR="007E5D38" w:rsidRPr="00201455" w14:paraId="143173C4" w14:textId="77777777" w:rsidTr="00E032FC">
        <w:tc>
          <w:tcPr>
            <w:tcW w:w="7515" w:type="dxa"/>
          </w:tcPr>
          <w:p w14:paraId="1DBD3C07" w14:textId="77777777" w:rsidR="007E5D38" w:rsidRPr="004B4498" w:rsidRDefault="007E5D38" w:rsidP="00E032FC">
            <w:pPr>
              <w:pStyle w:val="TT"/>
              <w:keepLines/>
              <w:spacing w:line="210" w:lineRule="exact"/>
              <w:rPr>
                <w:rFonts w:cs="Arial"/>
                <w:color w:val="000000" w:themeColor="text1"/>
                <w:spacing w:val="-3"/>
                <w:szCs w:val="19"/>
                <w:lang w:val="hr-HR"/>
              </w:rPr>
            </w:pPr>
            <w:bookmarkStart w:id="313" w:name="_Toc67326834"/>
            <w:r w:rsidRPr="004B4498">
              <w:rPr>
                <w:rFonts w:cs="Arial"/>
                <w:color w:val="000000" w:themeColor="text1"/>
                <w:spacing w:val="-3"/>
                <w:szCs w:val="19"/>
                <w:lang w:val="hr-HR"/>
              </w:rPr>
              <w:t>Ostalo</w:t>
            </w:r>
            <w:bookmarkEnd w:id="313"/>
          </w:p>
        </w:tc>
        <w:tc>
          <w:tcPr>
            <w:tcW w:w="1252" w:type="dxa"/>
            <w:tcBorders>
              <w:bottom w:val="single" w:sz="4" w:space="0" w:color="auto"/>
            </w:tcBorders>
            <w:vAlign w:val="bottom"/>
          </w:tcPr>
          <w:p w14:paraId="7FB48D84" w14:textId="77777777" w:rsidR="007E5D38" w:rsidRPr="004B4498" w:rsidRDefault="007E5D38" w:rsidP="00E032FC">
            <w:pPr>
              <w:pStyle w:val="CommentText"/>
              <w:keepLines/>
              <w:spacing w:line="210" w:lineRule="exact"/>
              <w:jc w:val="right"/>
              <w:rPr>
                <w:rFonts w:ascii="Arial" w:hAnsi="Arial" w:cs="Arial"/>
                <w:color w:val="000000" w:themeColor="text1"/>
                <w:sz w:val="19"/>
                <w:szCs w:val="19"/>
                <w:lang w:val="hr-HR"/>
              </w:rPr>
            </w:pPr>
            <w:r w:rsidRPr="00FA60EA">
              <w:rPr>
                <w:rFonts w:ascii="Arial" w:hAnsi="Arial" w:cs="Arial"/>
                <w:color w:val="000000" w:themeColor="text1"/>
                <w:sz w:val="19"/>
                <w:szCs w:val="19"/>
                <w:lang w:val="hr-HR"/>
              </w:rPr>
              <w:t>63.2</w:t>
            </w:r>
            <w:r>
              <w:rPr>
                <w:rFonts w:ascii="Arial" w:hAnsi="Arial" w:cs="Arial"/>
                <w:color w:val="000000" w:themeColor="text1"/>
                <w:sz w:val="19"/>
                <w:szCs w:val="19"/>
                <w:lang w:val="hr-HR"/>
              </w:rPr>
              <w:t>58</w:t>
            </w:r>
          </w:p>
        </w:tc>
        <w:tc>
          <w:tcPr>
            <w:tcW w:w="1252" w:type="dxa"/>
            <w:tcBorders>
              <w:bottom w:val="single" w:sz="4" w:space="0" w:color="auto"/>
            </w:tcBorders>
            <w:vAlign w:val="bottom"/>
          </w:tcPr>
          <w:p w14:paraId="4CA5EAE7" w14:textId="77777777" w:rsidR="007E5D38" w:rsidRPr="004B4498" w:rsidRDefault="007E5D38" w:rsidP="00E032FC">
            <w:pPr>
              <w:pStyle w:val="CommentText"/>
              <w:keepLines/>
              <w:spacing w:line="210" w:lineRule="exact"/>
              <w:jc w:val="right"/>
              <w:rPr>
                <w:rFonts w:ascii="Arial" w:hAnsi="Arial" w:cs="Arial"/>
                <w:color w:val="000000" w:themeColor="text1"/>
                <w:sz w:val="19"/>
                <w:szCs w:val="19"/>
                <w:lang w:val="hr-HR"/>
              </w:rPr>
            </w:pPr>
            <w:r w:rsidRPr="0046584E">
              <w:rPr>
                <w:rFonts w:ascii="Arial" w:hAnsi="Arial" w:cs="Arial"/>
                <w:color w:val="000000" w:themeColor="text1"/>
                <w:sz w:val="19"/>
                <w:szCs w:val="19"/>
                <w:lang w:val="hr-HR"/>
              </w:rPr>
              <w:t>4.703</w:t>
            </w:r>
          </w:p>
        </w:tc>
      </w:tr>
      <w:tr w:rsidR="007E5D38" w:rsidRPr="00201455" w14:paraId="3BB27690" w14:textId="77777777" w:rsidTr="00E032FC">
        <w:tc>
          <w:tcPr>
            <w:tcW w:w="7515" w:type="dxa"/>
          </w:tcPr>
          <w:p w14:paraId="4832E37F" w14:textId="77777777" w:rsidR="007E5D38" w:rsidRPr="004B4498" w:rsidRDefault="007E5D38" w:rsidP="00E032FC">
            <w:pPr>
              <w:pStyle w:val="Tot"/>
              <w:keepLines/>
              <w:spacing w:line="220" w:lineRule="exact"/>
              <w:rPr>
                <w:rFonts w:cs="Arial"/>
                <w:b/>
                <w:bCs/>
                <w:color w:val="000000" w:themeColor="text1"/>
                <w:spacing w:val="-3"/>
                <w:szCs w:val="19"/>
                <w:lang w:val="hr-HR"/>
              </w:rPr>
            </w:pPr>
            <w:bookmarkStart w:id="314" w:name="_Toc67326835"/>
            <w:r w:rsidRPr="004B4498">
              <w:rPr>
                <w:rFonts w:cs="Arial"/>
                <w:b/>
                <w:bCs/>
                <w:color w:val="000000" w:themeColor="text1"/>
                <w:szCs w:val="19"/>
                <w:lang w:val="hr-HR"/>
              </w:rPr>
              <w:t xml:space="preserve">Neto novčana sredstva </w:t>
            </w:r>
            <w:r w:rsidRPr="00FA60EA">
              <w:rPr>
                <w:rFonts w:cs="Arial"/>
                <w:b/>
                <w:bCs/>
                <w:color w:val="000000" w:themeColor="text1"/>
                <w:szCs w:val="19"/>
                <w:lang w:val="hr-HR"/>
              </w:rPr>
              <w:t>ostvarena/(uporabljena)</w:t>
            </w:r>
            <w:r w:rsidRPr="004B4498">
              <w:rPr>
                <w:rFonts w:cs="Arial"/>
                <w:b/>
                <w:bCs/>
                <w:color w:val="000000" w:themeColor="text1"/>
                <w:szCs w:val="19"/>
                <w:lang w:val="hr-HR"/>
              </w:rPr>
              <w:t xml:space="preserve"> u financijskim aktivnostima</w:t>
            </w:r>
            <w:bookmarkEnd w:id="314"/>
            <w:r w:rsidRPr="004B4498">
              <w:rPr>
                <w:rFonts w:cs="Arial"/>
                <w:b/>
                <w:bCs/>
                <w:color w:val="000000" w:themeColor="text1"/>
                <w:szCs w:val="19"/>
                <w:lang w:val="hr-HR"/>
              </w:rPr>
              <w:t xml:space="preserve"> </w:t>
            </w:r>
          </w:p>
        </w:tc>
        <w:tc>
          <w:tcPr>
            <w:tcW w:w="1252" w:type="dxa"/>
            <w:tcBorders>
              <w:top w:val="single" w:sz="4" w:space="0" w:color="auto"/>
              <w:bottom w:val="single" w:sz="12" w:space="0" w:color="auto"/>
            </w:tcBorders>
            <w:vAlign w:val="bottom"/>
          </w:tcPr>
          <w:p w14:paraId="634E48F0" w14:textId="77777777" w:rsidR="007E5D38" w:rsidRPr="004B4498" w:rsidRDefault="007E5D38" w:rsidP="00E032FC">
            <w:pPr>
              <w:pStyle w:val="T2"/>
              <w:keepNext w:val="0"/>
              <w:spacing w:line="220" w:lineRule="exact"/>
              <w:jc w:val="right"/>
              <w:rPr>
                <w:rFonts w:cs="Arial"/>
                <w:b/>
                <w:bCs/>
                <w:color w:val="000000" w:themeColor="text1"/>
                <w:szCs w:val="19"/>
                <w:lang w:val="hr-HR"/>
              </w:rPr>
            </w:pPr>
            <w:r w:rsidRPr="00FA60EA">
              <w:rPr>
                <w:rFonts w:cs="Arial"/>
                <w:b/>
                <w:bCs/>
                <w:color w:val="000000" w:themeColor="text1"/>
                <w:szCs w:val="19"/>
                <w:lang w:val="hr-HR"/>
              </w:rPr>
              <w:t>452.</w:t>
            </w:r>
            <w:r>
              <w:rPr>
                <w:rFonts w:cs="Arial"/>
                <w:b/>
                <w:bCs/>
                <w:color w:val="000000" w:themeColor="text1"/>
                <w:szCs w:val="19"/>
                <w:lang w:val="hr-HR"/>
              </w:rPr>
              <w:t>712</w:t>
            </w:r>
          </w:p>
        </w:tc>
        <w:tc>
          <w:tcPr>
            <w:tcW w:w="1252" w:type="dxa"/>
            <w:tcBorders>
              <w:top w:val="single" w:sz="4" w:space="0" w:color="auto"/>
              <w:bottom w:val="single" w:sz="12" w:space="0" w:color="auto"/>
            </w:tcBorders>
            <w:vAlign w:val="bottom"/>
          </w:tcPr>
          <w:p w14:paraId="4D511C2B" w14:textId="77777777" w:rsidR="007E5D38" w:rsidRPr="004B4498" w:rsidRDefault="007E5D38" w:rsidP="00E032FC">
            <w:pPr>
              <w:pStyle w:val="T2"/>
              <w:keepNext w:val="0"/>
              <w:spacing w:line="220" w:lineRule="exact"/>
              <w:jc w:val="right"/>
              <w:rPr>
                <w:rFonts w:cs="Arial"/>
                <w:b/>
                <w:bCs/>
                <w:color w:val="000000" w:themeColor="text1"/>
                <w:szCs w:val="19"/>
                <w:lang w:val="hr-HR"/>
              </w:rPr>
            </w:pPr>
            <w:r w:rsidRPr="0046584E">
              <w:rPr>
                <w:rFonts w:cs="Arial"/>
                <w:b/>
                <w:bCs/>
                <w:color w:val="000000" w:themeColor="text1"/>
                <w:szCs w:val="19"/>
                <w:lang w:val="hr-HR"/>
              </w:rPr>
              <w:t>(667.962)</w:t>
            </w:r>
          </w:p>
        </w:tc>
      </w:tr>
      <w:tr w:rsidR="007E5D38" w:rsidRPr="00201455" w14:paraId="154E379C" w14:textId="77777777" w:rsidTr="00E032FC">
        <w:tc>
          <w:tcPr>
            <w:tcW w:w="7515" w:type="dxa"/>
          </w:tcPr>
          <w:p w14:paraId="487B3D17" w14:textId="77777777" w:rsidR="007E5D38" w:rsidRPr="004B4498" w:rsidRDefault="007E5D38" w:rsidP="00E032FC">
            <w:pPr>
              <w:pStyle w:val="Tot"/>
              <w:keepLines/>
              <w:spacing w:line="220" w:lineRule="exact"/>
              <w:rPr>
                <w:rFonts w:cs="Arial"/>
                <w:b/>
                <w:bCs/>
                <w:color w:val="000000" w:themeColor="text1"/>
                <w:szCs w:val="19"/>
                <w:lang w:val="hr-HR"/>
              </w:rPr>
            </w:pPr>
          </w:p>
        </w:tc>
        <w:tc>
          <w:tcPr>
            <w:tcW w:w="1252" w:type="dxa"/>
            <w:tcBorders>
              <w:top w:val="single" w:sz="12" w:space="0" w:color="auto"/>
            </w:tcBorders>
            <w:vAlign w:val="bottom"/>
          </w:tcPr>
          <w:p w14:paraId="3AE37FD6" w14:textId="77777777" w:rsidR="007E5D38" w:rsidRPr="004B4498" w:rsidRDefault="007E5D38" w:rsidP="00E032FC">
            <w:pPr>
              <w:pStyle w:val="T2"/>
              <w:keepNext w:val="0"/>
              <w:spacing w:line="220" w:lineRule="exact"/>
              <w:jc w:val="right"/>
              <w:rPr>
                <w:rFonts w:cs="Arial"/>
                <w:b/>
                <w:bCs/>
                <w:color w:val="000000" w:themeColor="text1"/>
                <w:szCs w:val="19"/>
                <w:highlight w:val="yellow"/>
                <w:lang w:val="hr-HR"/>
              </w:rPr>
            </w:pPr>
          </w:p>
        </w:tc>
        <w:tc>
          <w:tcPr>
            <w:tcW w:w="1252" w:type="dxa"/>
            <w:tcBorders>
              <w:top w:val="single" w:sz="12" w:space="0" w:color="auto"/>
            </w:tcBorders>
            <w:vAlign w:val="bottom"/>
          </w:tcPr>
          <w:p w14:paraId="44ABFE79" w14:textId="77777777" w:rsidR="007E5D38" w:rsidRPr="004B4498" w:rsidRDefault="007E5D38" w:rsidP="00E032FC">
            <w:pPr>
              <w:pStyle w:val="T2"/>
              <w:keepNext w:val="0"/>
              <w:spacing w:line="220" w:lineRule="exact"/>
              <w:jc w:val="right"/>
              <w:rPr>
                <w:rFonts w:cs="Arial"/>
                <w:b/>
                <w:bCs/>
                <w:color w:val="000000" w:themeColor="text1"/>
                <w:szCs w:val="19"/>
                <w:lang w:val="hr-HR"/>
              </w:rPr>
            </w:pPr>
          </w:p>
        </w:tc>
      </w:tr>
      <w:tr w:rsidR="007E5D38" w:rsidRPr="006E538D" w14:paraId="3BC18FEF" w14:textId="77777777" w:rsidTr="00E032FC">
        <w:tc>
          <w:tcPr>
            <w:tcW w:w="7515" w:type="dxa"/>
          </w:tcPr>
          <w:p w14:paraId="74B8125E" w14:textId="77777777" w:rsidR="007E5D38" w:rsidRPr="004B4498" w:rsidRDefault="007E5D38" w:rsidP="00E032FC">
            <w:pPr>
              <w:pStyle w:val="Tot"/>
              <w:keepLines/>
              <w:spacing w:line="220" w:lineRule="exact"/>
              <w:rPr>
                <w:rFonts w:cs="Arial"/>
                <w:b/>
                <w:bCs/>
                <w:color w:val="000000" w:themeColor="text1"/>
                <w:szCs w:val="19"/>
                <w:lang w:val="hr-HR"/>
              </w:rPr>
            </w:pPr>
            <w:bookmarkStart w:id="315" w:name="_Toc67326836"/>
            <w:r w:rsidRPr="004B4498">
              <w:rPr>
                <w:rFonts w:cs="Arial"/>
                <w:b/>
                <w:bCs/>
                <w:color w:val="000000" w:themeColor="text1"/>
                <w:szCs w:val="19"/>
                <w:lang w:val="hr-HR"/>
              </w:rPr>
              <w:t>Učinci promjene tečajeva na novac i novčane ekvivalente</w:t>
            </w:r>
            <w:bookmarkEnd w:id="315"/>
          </w:p>
        </w:tc>
        <w:tc>
          <w:tcPr>
            <w:tcW w:w="1252" w:type="dxa"/>
            <w:vAlign w:val="bottom"/>
          </w:tcPr>
          <w:p w14:paraId="54A590EA" w14:textId="77777777" w:rsidR="007E5D38" w:rsidRPr="004B4498" w:rsidRDefault="007E5D38" w:rsidP="00E032FC">
            <w:pPr>
              <w:pStyle w:val="T2"/>
              <w:keepNext w:val="0"/>
              <w:spacing w:line="220" w:lineRule="exact"/>
              <w:jc w:val="right"/>
              <w:rPr>
                <w:rFonts w:cs="Arial"/>
                <w:b/>
                <w:bCs/>
                <w:color w:val="000000" w:themeColor="text1"/>
                <w:szCs w:val="19"/>
                <w:highlight w:val="yellow"/>
                <w:lang w:val="hr-HR"/>
              </w:rPr>
            </w:pPr>
          </w:p>
        </w:tc>
        <w:tc>
          <w:tcPr>
            <w:tcW w:w="1252" w:type="dxa"/>
            <w:vAlign w:val="bottom"/>
          </w:tcPr>
          <w:p w14:paraId="6EB54915" w14:textId="77777777" w:rsidR="007E5D38" w:rsidRPr="004B4498" w:rsidRDefault="007E5D38" w:rsidP="00E032FC">
            <w:pPr>
              <w:pStyle w:val="T2"/>
              <w:keepNext w:val="0"/>
              <w:spacing w:line="220" w:lineRule="exact"/>
              <w:jc w:val="right"/>
              <w:rPr>
                <w:rFonts w:cs="Arial"/>
                <w:b/>
                <w:bCs/>
                <w:color w:val="000000" w:themeColor="text1"/>
                <w:szCs w:val="19"/>
                <w:lang w:val="hr-HR"/>
              </w:rPr>
            </w:pPr>
          </w:p>
        </w:tc>
      </w:tr>
      <w:tr w:rsidR="007E5D38" w:rsidRPr="00201455" w14:paraId="46BE741F" w14:textId="77777777" w:rsidTr="00E032FC">
        <w:tc>
          <w:tcPr>
            <w:tcW w:w="7515" w:type="dxa"/>
          </w:tcPr>
          <w:p w14:paraId="0BBB8D7B" w14:textId="77777777" w:rsidR="007E5D38" w:rsidRPr="004B4498" w:rsidRDefault="007E5D38" w:rsidP="00E032FC">
            <w:pPr>
              <w:pStyle w:val="Tot"/>
              <w:keepLines/>
              <w:spacing w:line="220" w:lineRule="exact"/>
              <w:rPr>
                <w:rFonts w:cs="Arial"/>
                <w:bCs/>
                <w:color w:val="000000" w:themeColor="text1"/>
                <w:szCs w:val="19"/>
                <w:lang w:val="hr-HR"/>
              </w:rPr>
            </w:pPr>
            <w:bookmarkStart w:id="316" w:name="_Toc67326837"/>
            <w:r w:rsidRPr="004B4498">
              <w:rPr>
                <w:rFonts w:cs="Arial"/>
                <w:bCs/>
                <w:color w:val="000000" w:themeColor="text1"/>
                <w:szCs w:val="19"/>
                <w:lang w:val="hr-HR"/>
              </w:rPr>
              <w:t>Neto tečajne razlike</w:t>
            </w:r>
            <w:bookmarkEnd w:id="316"/>
          </w:p>
        </w:tc>
        <w:tc>
          <w:tcPr>
            <w:tcW w:w="1252" w:type="dxa"/>
            <w:tcBorders>
              <w:bottom w:val="single" w:sz="4" w:space="0" w:color="auto"/>
            </w:tcBorders>
            <w:vAlign w:val="bottom"/>
          </w:tcPr>
          <w:p w14:paraId="352F705D" w14:textId="77777777" w:rsidR="007E5D38" w:rsidRPr="004B4498" w:rsidRDefault="007E5D38" w:rsidP="00E032FC">
            <w:pPr>
              <w:pStyle w:val="T2"/>
              <w:keepNext w:val="0"/>
              <w:spacing w:line="220" w:lineRule="exact"/>
              <w:jc w:val="right"/>
              <w:rPr>
                <w:rFonts w:cs="Arial"/>
                <w:bCs/>
                <w:color w:val="000000" w:themeColor="text1"/>
                <w:szCs w:val="19"/>
                <w:lang w:val="hr-HR"/>
              </w:rPr>
            </w:pPr>
            <w:r w:rsidRPr="00FA60EA">
              <w:rPr>
                <w:rFonts w:cs="Arial"/>
                <w:bCs/>
                <w:color w:val="000000" w:themeColor="text1"/>
                <w:szCs w:val="19"/>
                <w:lang w:val="hr-HR"/>
              </w:rPr>
              <w:t>53.823</w:t>
            </w:r>
          </w:p>
        </w:tc>
        <w:tc>
          <w:tcPr>
            <w:tcW w:w="1252" w:type="dxa"/>
            <w:tcBorders>
              <w:bottom w:val="single" w:sz="4" w:space="0" w:color="auto"/>
            </w:tcBorders>
            <w:vAlign w:val="bottom"/>
          </w:tcPr>
          <w:p w14:paraId="77F680F7" w14:textId="77777777" w:rsidR="007E5D38" w:rsidRPr="004B4498" w:rsidRDefault="007E5D38" w:rsidP="00E032FC">
            <w:pPr>
              <w:pStyle w:val="T2"/>
              <w:keepNext w:val="0"/>
              <w:spacing w:line="220" w:lineRule="exact"/>
              <w:jc w:val="right"/>
              <w:rPr>
                <w:rFonts w:cs="Arial"/>
                <w:bCs/>
                <w:color w:val="000000" w:themeColor="text1"/>
                <w:szCs w:val="19"/>
                <w:lang w:val="hr-HR"/>
              </w:rPr>
            </w:pPr>
            <w:r w:rsidRPr="0046584E">
              <w:rPr>
                <w:rFonts w:cs="Arial"/>
                <w:bCs/>
                <w:color w:val="000000" w:themeColor="text1"/>
                <w:szCs w:val="19"/>
                <w:lang w:val="hr-HR"/>
              </w:rPr>
              <w:t>(21.626)</w:t>
            </w:r>
          </w:p>
        </w:tc>
      </w:tr>
      <w:tr w:rsidR="007E5D38" w:rsidRPr="00201455" w14:paraId="6FC1AAF5" w14:textId="77777777" w:rsidTr="00E032FC">
        <w:tc>
          <w:tcPr>
            <w:tcW w:w="7515" w:type="dxa"/>
            <w:vAlign w:val="bottom"/>
          </w:tcPr>
          <w:p w14:paraId="1379B4C9" w14:textId="77777777" w:rsidR="007E5D38" w:rsidRPr="004B4498" w:rsidRDefault="007E5D38" w:rsidP="00E032FC">
            <w:pPr>
              <w:pStyle w:val="TT"/>
              <w:keepLines/>
              <w:spacing w:line="210" w:lineRule="exact"/>
              <w:rPr>
                <w:rFonts w:cs="Arial"/>
                <w:b/>
                <w:color w:val="000000" w:themeColor="text1"/>
                <w:spacing w:val="-3"/>
                <w:szCs w:val="19"/>
                <w:lang w:val="hr-HR"/>
              </w:rPr>
            </w:pPr>
            <w:bookmarkStart w:id="317" w:name="_Toc67326838"/>
            <w:r w:rsidRPr="004B4498">
              <w:rPr>
                <w:rFonts w:cs="Arial"/>
                <w:b/>
                <w:color w:val="000000" w:themeColor="text1"/>
                <w:spacing w:val="-3"/>
                <w:szCs w:val="19"/>
                <w:lang w:val="hr-HR"/>
              </w:rPr>
              <w:t>Neto učinak</w:t>
            </w:r>
            <w:bookmarkEnd w:id="317"/>
          </w:p>
        </w:tc>
        <w:tc>
          <w:tcPr>
            <w:tcW w:w="1252" w:type="dxa"/>
            <w:tcBorders>
              <w:top w:val="single" w:sz="4" w:space="0" w:color="auto"/>
              <w:bottom w:val="single" w:sz="12" w:space="0" w:color="auto"/>
            </w:tcBorders>
            <w:vAlign w:val="bottom"/>
          </w:tcPr>
          <w:p w14:paraId="3F194F99" w14:textId="77777777" w:rsidR="007E5D38" w:rsidRPr="004B4498" w:rsidRDefault="007E5D38" w:rsidP="00E032FC">
            <w:pPr>
              <w:pStyle w:val="T2"/>
              <w:keepNext w:val="0"/>
              <w:spacing w:line="220" w:lineRule="exact"/>
              <w:jc w:val="right"/>
              <w:rPr>
                <w:rFonts w:cs="Arial"/>
                <w:b/>
                <w:bCs/>
                <w:color w:val="000000" w:themeColor="text1"/>
                <w:szCs w:val="19"/>
                <w:lang w:val="hr-HR"/>
              </w:rPr>
            </w:pPr>
            <w:r w:rsidRPr="00FA60EA">
              <w:rPr>
                <w:rFonts w:cs="Arial"/>
                <w:b/>
                <w:bCs/>
                <w:color w:val="000000" w:themeColor="text1"/>
                <w:szCs w:val="19"/>
                <w:lang w:val="hr-HR"/>
              </w:rPr>
              <w:t>53.823</w:t>
            </w:r>
          </w:p>
        </w:tc>
        <w:tc>
          <w:tcPr>
            <w:tcW w:w="1252" w:type="dxa"/>
            <w:tcBorders>
              <w:top w:val="single" w:sz="4" w:space="0" w:color="auto"/>
              <w:bottom w:val="single" w:sz="12" w:space="0" w:color="auto"/>
            </w:tcBorders>
            <w:vAlign w:val="bottom"/>
          </w:tcPr>
          <w:p w14:paraId="490F6C7C" w14:textId="77777777" w:rsidR="007E5D38" w:rsidRPr="004B4498" w:rsidRDefault="007E5D38" w:rsidP="00E032FC">
            <w:pPr>
              <w:pStyle w:val="T2"/>
              <w:keepNext w:val="0"/>
              <w:spacing w:line="220" w:lineRule="exact"/>
              <w:jc w:val="right"/>
              <w:rPr>
                <w:rFonts w:cs="Arial"/>
                <w:b/>
                <w:bCs/>
                <w:color w:val="000000" w:themeColor="text1"/>
                <w:szCs w:val="19"/>
                <w:lang w:val="hr-HR"/>
              </w:rPr>
            </w:pPr>
            <w:r w:rsidRPr="0046584E">
              <w:rPr>
                <w:rFonts w:cs="Arial"/>
                <w:b/>
                <w:bCs/>
                <w:color w:val="000000" w:themeColor="text1"/>
                <w:szCs w:val="19"/>
                <w:lang w:val="hr-HR"/>
              </w:rPr>
              <w:t>(21.626)</w:t>
            </w:r>
          </w:p>
        </w:tc>
      </w:tr>
      <w:tr w:rsidR="007E5D38" w:rsidRPr="00201455" w14:paraId="53FC483A" w14:textId="77777777" w:rsidTr="00E032FC">
        <w:trPr>
          <w:trHeight w:val="122"/>
        </w:trPr>
        <w:tc>
          <w:tcPr>
            <w:tcW w:w="7515" w:type="dxa"/>
            <w:vAlign w:val="center"/>
          </w:tcPr>
          <w:p w14:paraId="73C87801" w14:textId="77777777" w:rsidR="007E5D38" w:rsidRPr="004B4498" w:rsidRDefault="007E5D38" w:rsidP="00E032FC">
            <w:pPr>
              <w:pStyle w:val="Tot"/>
              <w:keepLines/>
              <w:spacing w:line="220" w:lineRule="exact"/>
              <w:rPr>
                <w:rFonts w:cs="Arial"/>
                <w:color w:val="000000" w:themeColor="text1"/>
                <w:szCs w:val="19"/>
                <w:lang w:val="hr-HR"/>
              </w:rPr>
            </w:pPr>
          </w:p>
        </w:tc>
        <w:tc>
          <w:tcPr>
            <w:tcW w:w="1252" w:type="dxa"/>
            <w:tcBorders>
              <w:top w:val="single" w:sz="12" w:space="0" w:color="auto"/>
            </w:tcBorders>
            <w:vAlign w:val="bottom"/>
          </w:tcPr>
          <w:p w14:paraId="6CB0BA11" w14:textId="77777777" w:rsidR="007E5D38" w:rsidRPr="004B4498" w:rsidRDefault="007E5D38" w:rsidP="00E032FC">
            <w:pPr>
              <w:pStyle w:val="CommentText"/>
              <w:keepLines/>
              <w:jc w:val="right"/>
              <w:rPr>
                <w:rFonts w:ascii="Arial" w:hAnsi="Arial" w:cs="Arial"/>
                <w:color w:val="000000" w:themeColor="text1"/>
                <w:spacing w:val="-2"/>
                <w:sz w:val="19"/>
                <w:szCs w:val="19"/>
                <w:lang w:val="hr-HR"/>
              </w:rPr>
            </w:pPr>
          </w:p>
        </w:tc>
        <w:tc>
          <w:tcPr>
            <w:tcW w:w="1252" w:type="dxa"/>
            <w:tcBorders>
              <w:top w:val="single" w:sz="12" w:space="0" w:color="auto"/>
            </w:tcBorders>
            <w:vAlign w:val="bottom"/>
          </w:tcPr>
          <w:p w14:paraId="52DF1A2E" w14:textId="77777777" w:rsidR="007E5D38" w:rsidRPr="004B4498" w:rsidRDefault="007E5D38" w:rsidP="00E032FC">
            <w:pPr>
              <w:pStyle w:val="CommentText"/>
              <w:keepLines/>
              <w:jc w:val="right"/>
              <w:rPr>
                <w:rFonts w:ascii="Arial" w:hAnsi="Arial" w:cs="Arial"/>
                <w:color w:val="000000" w:themeColor="text1"/>
                <w:spacing w:val="-2"/>
                <w:sz w:val="19"/>
                <w:szCs w:val="19"/>
                <w:lang w:val="hr-HR"/>
              </w:rPr>
            </w:pPr>
          </w:p>
        </w:tc>
      </w:tr>
      <w:tr w:rsidR="007E5D38" w:rsidRPr="00201455" w14:paraId="676A8569" w14:textId="77777777" w:rsidTr="00E032FC">
        <w:trPr>
          <w:trHeight w:val="122"/>
        </w:trPr>
        <w:tc>
          <w:tcPr>
            <w:tcW w:w="7515" w:type="dxa"/>
            <w:vAlign w:val="center"/>
          </w:tcPr>
          <w:p w14:paraId="106BBA08" w14:textId="77777777" w:rsidR="007E5D38" w:rsidRPr="004B4498" w:rsidRDefault="007E5D38" w:rsidP="00E032FC">
            <w:pPr>
              <w:pStyle w:val="Tot"/>
              <w:keepLines/>
              <w:spacing w:line="220" w:lineRule="exact"/>
              <w:rPr>
                <w:rFonts w:cs="Arial"/>
                <w:color w:val="000000" w:themeColor="text1"/>
                <w:szCs w:val="19"/>
                <w:lang w:val="hr-HR"/>
              </w:rPr>
            </w:pPr>
            <w:bookmarkStart w:id="318" w:name="_Toc67326839"/>
            <w:r w:rsidRPr="004B4498">
              <w:rPr>
                <w:rFonts w:cs="Arial"/>
                <w:color w:val="000000" w:themeColor="text1"/>
                <w:szCs w:val="19"/>
                <w:lang w:val="hr-HR"/>
              </w:rPr>
              <w:t xml:space="preserve">Neto </w:t>
            </w:r>
            <w:r>
              <w:rPr>
                <w:rFonts w:cs="Arial"/>
                <w:color w:val="000000" w:themeColor="text1"/>
                <w:szCs w:val="19"/>
                <w:lang w:val="hr-HR"/>
              </w:rPr>
              <w:t>(</w:t>
            </w:r>
            <w:r w:rsidRPr="00FA60EA">
              <w:rPr>
                <w:rFonts w:cs="Arial"/>
                <w:color w:val="000000" w:themeColor="text1"/>
                <w:szCs w:val="19"/>
                <w:lang w:val="hr-HR"/>
              </w:rPr>
              <w:t>smanjenje)/povećanje</w:t>
            </w:r>
            <w:r w:rsidRPr="004B4498">
              <w:rPr>
                <w:rFonts w:cs="Arial"/>
                <w:color w:val="000000" w:themeColor="text1"/>
                <w:szCs w:val="19"/>
                <w:lang w:val="hr-HR"/>
              </w:rPr>
              <w:t xml:space="preserve"> novca i novčanih ekvivalenata</w:t>
            </w:r>
            <w:bookmarkEnd w:id="318"/>
          </w:p>
        </w:tc>
        <w:tc>
          <w:tcPr>
            <w:tcW w:w="1252" w:type="dxa"/>
            <w:vAlign w:val="bottom"/>
          </w:tcPr>
          <w:p w14:paraId="0FCC7A09" w14:textId="77777777" w:rsidR="007E5D38" w:rsidRPr="004B4498" w:rsidRDefault="007E5D38" w:rsidP="00E032FC">
            <w:pPr>
              <w:pStyle w:val="CommentText"/>
              <w:keepLines/>
              <w:jc w:val="right"/>
              <w:rPr>
                <w:rFonts w:ascii="Arial" w:hAnsi="Arial" w:cs="Arial"/>
                <w:color w:val="000000" w:themeColor="text1"/>
                <w:spacing w:val="-2"/>
                <w:sz w:val="19"/>
                <w:szCs w:val="19"/>
                <w:lang w:val="hr-HR"/>
              </w:rPr>
            </w:pPr>
            <w:r w:rsidRPr="00FA60EA">
              <w:rPr>
                <w:rFonts w:ascii="Arial" w:hAnsi="Arial" w:cs="Arial"/>
                <w:color w:val="000000" w:themeColor="text1"/>
                <w:spacing w:val="-2"/>
                <w:sz w:val="19"/>
                <w:szCs w:val="19"/>
                <w:lang w:val="hr-HR"/>
              </w:rPr>
              <w:t>(235.812)</w:t>
            </w:r>
          </w:p>
        </w:tc>
        <w:tc>
          <w:tcPr>
            <w:tcW w:w="1252" w:type="dxa"/>
            <w:vAlign w:val="bottom"/>
          </w:tcPr>
          <w:p w14:paraId="3272566E" w14:textId="77777777" w:rsidR="007E5D38" w:rsidRPr="004B4498" w:rsidRDefault="007E5D38" w:rsidP="00E032FC">
            <w:pPr>
              <w:pStyle w:val="CommentText"/>
              <w:keepLines/>
              <w:jc w:val="right"/>
              <w:rPr>
                <w:rFonts w:ascii="Arial" w:hAnsi="Arial" w:cs="Arial"/>
                <w:color w:val="000000" w:themeColor="text1"/>
                <w:spacing w:val="-2"/>
                <w:sz w:val="19"/>
                <w:szCs w:val="19"/>
                <w:lang w:val="hr-HR"/>
              </w:rPr>
            </w:pPr>
            <w:r w:rsidRPr="0046584E">
              <w:rPr>
                <w:rFonts w:ascii="Arial" w:hAnsi="Arial" w:cs="Arial"/>
                <w:color w:val="000000" w:themeColor="text1"/>
                <w:spacing w:val="-2"/>
                <w:sz w:val="19"/>
                <w:szCs w:val="19"/>
                <w:lang w:val="hr-HR"/>
              </w:rPr>
              <w:t>303.027</w:t>
            </w:r>
          </w:p>
        </w:tc>
      </w:tr>
      <w:tr w:rsidR="007E5D38" w:rsidRPr="00201455" w14:paraId="0F4FCD17" w14:textId="77777777" w:rsidTr="00E032FC">
        <w:trPr>
          <w:trHeight w:val="122"/>
        </w:trPr>
        <w:tc>
          <w:tcPr>
            <w:tcW w:w="7515" w:type="dxa"/>
            <w:vAlign w:val="center"/>
          </w:tcPr>
          <w:p w14:paraId="7C8D09F9" w14:textId="77777777" w:rsidR="007E5D38" w:rsidRPr="004B4498" w:rsidRDefault="007E5D38" w:rsidP="00E032FC">
            <w:pPr>
              <w:pStyle w:val="Tot"/>
              <w:keepLines/>
              <w:spacing w:line="140" w:lineRule="exact"/>
              <w:rPr>
                <w:rFonts w:cs="Arial"/>
                <w:color w:val="000000" w:themeColor="text1"/>
                <w:szCs w:val="19"/>
                <w:lang w:val="hr-HR"/>
              </w:rPr>
            </w:pPr>
          </w:p>
        </w:tc>
        <w:tc>
          <w:tcPr>
            <w:tcW w:w="1252" w:type="dxa"/>
            <w:vAlign w:val="bottom"/>
          </w:tcPr>
          <w:p w14:paraId="49C486D3" w14:textId="77777777" w:rsidR="007E5D38" w:rsidRPr="004B4498" w:rsidRDefault="007E5D38" w:rsidP="00E032FC">
            <w:pPr>
              <w:pStyle w:val="CommentText"/>
              <w:keepLines/>
              <w:spacing w:line="140" w:lineRule="exact"/>
              <w:jc w:val="right"/>
              <w:rPr>
                <w:rFonts w:ascii="Arial" w:hAnsi="Arial" w:cs="Arial"/>
                <w:color w:val="000000" w:themeColor="text1"/>
                <w:spacing w:val="-2"/>
                <w:sz w:val="19"/>
                <w:szCs w:val="19"/>
                <w:lang w:val="hr-HR"/>
              </w:rPr>
            </w:pPr>
          </w:p>
        </w:tc>
        <w:tc>
          <w:tcPr>
            <w:tcW w:w="1252" w:type="dxa"/>
            <w:vAlign w:val="bottom"/>
          </w:tcPr>
          <w:p w14:paraId="13751FC0" w14:textId="77777777" w:rsidR="007E5D38" w:rsidRPr="004B4498" w:rsidRDefault="007E5D38" w:rsidP="00E032FC">
            <w:pPr>
              <w:pStyle w:val="CommentText"/>
              <w:keepLines/>
              <w:spacing w:line="140" w:lineRule="exact"/>
              <w:jc w:val="right"/>
              <w:rPr>
                <w:rFonts w:ascii="Arial" w:hAnsi="Arial" w:cs="Arial"/>
                <w:color w:val="000000" w:themeColor="text1"/>
                <w:spacing w:val="-2"/>
                <w:sz w:val="19"/>
                <w:szCs w:val="19"/>
                <w:lang w:val="hr-HR"/>
              </w:rPr>
            </w:pPr>
          </w:p>
        </w:tc>
      </w:tr>
      <w:tr w:rsidR="007E5D38" w:rsidRPr="00201455" w14:paraId="1CC59A13" w14:textId="77777777" w:rsidTr="00E032FC">
        <w:trPr>
          <w:trHeight w:val="122"/>
        </w:trPr>
        <w:tc>
          <w:tcPr>
            <w:tcW w:w="7515" w:type="dxa"/>
            <w:vAlign w:val="center"/>
          </w:tcPr>
          <w:p w14:paraId="037B91A6" w14:textId="77777777" w:rsidR="007E5D38" w:rsidRPr="004B4498" w:rsidRDefault="007E5D38" w:rsidP="00E032FC">
            <w:pPr>
              <w:pStyle w:val="Tot"/>
              <w:keepLines/>
              <w:spacing w:line="220" w:lineRule="exact"/>
              <w:rPr>
                <w:rFonts w:cs="Arial"/>
                <w:color w:val="000000" w:themeColor="text1"/>
                <w:szCs w:val="19"/>
                <w:lang w:val="hr-HR"/>
              </w:rPr>
            </w:pPr>
            <w:bookmarkStart w:id="319" w:name="_Toc67326840"/>
            <w:r w:rsidRPr="004B4498">
              <w:rPr>
                <w:rFonts w:cs="Arial"/>
                <w:color w:val="000000" w:themeColor="text1"/>
                <w:szCs w:val="19"/>
                <w:lang w:val="hr-HR"/>
              </w:rPr>
              <w:t>Novac i novčani ekvivalenti stanje na dan 1. siječnja, prije umanjenja vrijednosti</w:t>
            </w:r>
            <w:bookmarkEnd w:id="319"/>
            <w:r w:rsidRPr="004B4498">
              <w:rPr>
                <w:rFonts w:cs="Arial"/>
                <w:color w:val="000000" w:themeColor="text1"/>
                <w:szCs w:val="19"/>
                <w:lang w:val="hr-HR"/>
              </w:rPr>
              <w:t xml:space="preserve"> </w:t>
            </w:r>
          </w:p>
        </w:tc>
        <w:tc>
          <w:tcPr>
            <w:tcW w:w="1252" w:type="dxa"/>
            <w:vAlign w:val="bottom"/>
          </w:tcPr>
          <w:p w14:paraId="368F39D0" w14:textId="77777777" w:rsidR="007E5D38" w:rsidRPr="004B4498" w:rsidRDefault="007E5D38" w:rsidP="00E032FC">
            <w:pPr>
              <w:pStyle w:val="CommentText"/>
              <w:keepLines/>
              <w:jc w:val="right"/>
              <w:rPr>
                <w:rFonts w:ascii="Arial" w:hAnsi="Arial" w:cs="Arial"/>
                <w:color w:val="000000" w:themeColor="text1"/>
                <w:sz w:val="19"/>
                <w:szCs w:val="19"/>
                <w:lang w:val="hr-HR"/>
              </w:rPr>
            </w:pPr>
            <w:r w:rsidRPr="00FA60EA">
              <w:rPr>
                <w:rFonts w:ascii="Arial" w:hAnsi="Arial" w:cs="Arial"/>
                <w:color w:val="000000" w:themeColor="text1"/>
                <w:sz w:val="19"/>
                <w:szCs w:val="19"/>
                <w:lang w:val="hr-HR"/>
              </w:rPr>
              <w:t>1.963.795</w:t>
            </w:r>
          </w:p>
        </w:tc>
        <w:tc>
          <w:tcPr>
            <w:tcW w:w="1252" w:type="dxa"/>
            <w:vAlign w:val="bottom"/>
          </w:tcPr>
          <w:p w14:paraId="2FA9B65B" w14:textId="77777777" w:rsidR="007E5D38" w:rsidRPr="004B4498" w:rsidRDefault="007E5D38" w:rsidP="00E032FC">
            <w:pPr>
              <w:pStyle w:val="CommentText"/>
              <w:keepLines/>
              <w:jc w:val="right"/>
              <w:rPr>
                <w:rFonts w:ascii="Arial" w:hAnsi="Arial" w:cs="Arial"/>
                <w:color w:val="000000" w:themeColor="text1"/>
                <w:spacing w:val="-2"/>
                <w:sz w:val="19"/>
                <w:szCs w:val="19"/>
                <w:lang w:val="hr-HR"/>
              </w:rPr>
            </w:pPr>
            <w:r w:rsidRPr="0046584E">
              <w:rPr>
                <w:rFonts w:ascii="Arial" w:hAnsi="Arial" w:cs="Arial"/>
                <w:color w:val="000000" w:themeColor="text1"/>
                <w:sz w:val="19"/>
                <w:szCs w:val="19"/>
                <w:lang w:val="hr-HR"/>
              </w:rPr>
              <w:t>1.660.768</w:t>
            </w:r>
          </w:p>
        </w:tc>
      </w:tr>
      <w:tr w:rsidR="007E5D38" w:rsidRPr="00201455" w14:paraId="35D10D6A" w14:textId="77777777" w:rsidTr="00E032FC">
        <w:trPr>
          <w:trHeight w:val="122"/>
        </w:trPr>
        <w:tc>
          <w:tcPr>
            <w:tcW w:w="7515" w:type="dxa"/>
            <w:vAlign w:val="center"/>
          </w:tcPr>
          <w:p w14:paraId="63B49CA6" w14:textId="77777777" w:rsidR="007E5D38" w:rsidRPr="004B4498" w:rsidRDefault="007E5D38" w:rsidP="00E032FC">
            <w:pPr>
              <w:pStyle w:val="Tot"/>
              <w:keepLines/>
              <w:spacing w:line="220" w:lineRule="exact"/>
              <w:rPr>
                <w:rFonts w:cs="Arial"/>
                <w:color w:val="000000" w:themeColor="text1"/>
                <w:szCs w:val="19"/>
                <w:lang w:val="hr-HR"/>
              </w:rPr>
            </w:pPr>
            <w:bookmarkStart w:id="320" w:name="_Toc67326841"/>
            <w:r w:rsidRPr="004B4498">
              <w:rPr>
                <w:rFonts w:cs="Arial"/>
                <w:color w:val="000000" w:themeColor="text1"/>
                <w:szCs w:val="19"/>
                <w:lang w:val="hr-HR"/>
              </w:rPr>
              <w:t xml:space="preserve">Neto </w:t>
            </w:r>
            <w:r w:rsidRPr="00FA60EA">
              <w:rPr>
                <w:rFonts w:cs="Arial"/>
                <w:color w:val="000000" w:themeColor="text1"/>
                <w:szCs w:val="19"/>
                <w:lang w:val="hr-HR"/>
              </w:rPr>
              <w:t>(smanjenje)/povećanje</w:t>
            </w:r>
            <w:r w:rsidRPr="004B4498">
              <w:rPr>
                <w:rFonts w:cs="Arial"/>
                <w:color w:val="000000" w:themeColor="text1"/>
                <w:szCs w:val="19"/>
                <w:lang w:val="hr-HR"/>
              </w:rPr>
              <w:t xml:space="preserve"> novca</w:t>
            </w:r>
            <w:bookmarkEnd w:id="320"/>
          </w:p>
        </w:tc>
        <w:tc>
          <w:tcPr>
            <w:tcW w:w="1252" w:type="dxa"/>
            <w:tcBorders>
              <w:bottom w:val="single" w:sz="4" w:space="0" w:color="auto"/>
            </w:tcBorders>
            <w:vAlign w:val="bottom"/>
          </w:tcPr>
          <w:p w14:paraId="22EA6CAA" w14:textId="77777777" w:rsidR="007E5D38" w:rsidRPr="004B4498" w:rsidRDefault="007E5D38" w:rsidP="00E032FC">
            <w:pPr>
              <w:pStyle w:val="CommentText"/>
              <w:keepLines/>
              <w:jc w:val="right"/>
              <w:rPr>
                <w:rFonts w:ascii="Arial" w:hAnsi="Arial" w:cs="Arial"/>
                <w:color w:val="000000" w:themeColor="text1"/>
                <w:sz w:val="19"/>
                <w:szCs w:val="19"/>
                <w:lang w:val="hr-HR"/>
              </w:rPr>
            </w:pPr>
            <w:r w:rsidRPr="00FA60EA">
              <w:rPr>
                <w:rFonts w:ascii="Arial" w:hAnsi="Arial" w:cs="Arial"/>
                <w:color w:val="000000" w:themeColor="text1"/>
                <w:sz w:val="19"/>
                <w:szCs w:val="19"/>
                <w:lang w:val="hr-HR"/>
              </w:rPr>
              <w:t>(235.812)</w:t>
            </w:r>
          </w:p>
        </w:tc>
        <w:tc>
          <w:tcPr>
            <w:tcW w:w="1252" w:type="dxa"/>
            <w:tcBorders>
              <w:bottom w:val="single" w:sz="4" w:space="0" w:color="auto"/>
            </w:tcBorders>
            <w:vAlign w:val="bottom"/>
          </w:tcPr>
          <w:p w14:paraId="16577FDD" w14:textId="77777777" w:rsidR="007E5D38" w:rsidRPr="004B4498" w:rsidRDefault="007E5D38" w:rsidP="00E032FC">
            <w:pPr>
              <w:pStyle w:val="CommentText"/>
              <w:keepLines/>
              <w:jc w:val="right"/>
              <w:rPr>
                <w:rFonts w:ascii="Arial" w:hAnsi="Arial" w:cs="Arial"/>
                <w:color w:val="000000" w:themeColor="text1"/>
                <w:spacing w:val="-2"/>
                <w:sz w:val="19"/>
                <w:szCs w:val="19"/>
                <w:lang w:val="hr-HR"/>
              </w:rPr>
            </w:pPr>
            <w:r w:rsidRPr="0046584E">
              <w:rPr>
                <w:rFonts w:ascii="Arial" w:hAnsi="Arial" w:cs="Arial"/>
                <w:color w:val="000000" w:themeColor="text1"/>
                <w:sz w:val="19"/>
                <w:szCs w:val="19"/>
                <w:lang w:val="hr-HR"/>
              </w:rPr>
              <w:t>303.027</w:t>
            </w:r>
          </w:p>
        </w:tc>
      </w:tr>
      <w:tr w:rsidR="007E5D38" w:rsidRPr="00201455" w14:paraId="68FB5F4C" w14:textId="77777777" w:rsidTr="00E032FC">
        <w:trPr>
          <w:trHeight w:val="267"/>
        </w:trPr>
        <w:tc>
          <w:tcPr>
            <w:tcW w:w="7515" w:type="dxa"/>
            <w:vAlign w:val="bottom"/>
          </w:tcPr>
          <w:p w14:paraId="2FFC63F7" w14:textId="77777777" w:rsidR="007E5D38" w:rsidRPr="004B4498" w:rsidRDefault="007E5D38" w:rsidP="00E032FC">
            <w:pPr>
              <w:pStyle w:val="Tot"/>
              <w:keepLines/>
              <w:spacing w:line="220" w:lineRule="exact"/>
              <w:rPr>
                <w:rFonts w:cs="Arial"/>
                <w:b/>
                <w:bCs/>
                <w:color w:val="000000" w:themeColor="text1"/>
                <w:szCs w:val="19"/>
                <w:lang w:val="hr-HR"/>
              </w:rPr>
            </w:pPr>
            <w:bookmarkStart w:id="321" w:name="_Toc67326842"/>
            <w:r w:rsidRPr="004B4498">
              <w:rPr>
                <w:rFonts w:cs="Arial"/>
                <w:b/>
                <w:bCs/>
                <w:color w:val="000000" w:themeColor="text1"/>
                <w:szCs w:val="19"/>
                <w:lang w:val="hr-HR"/>
              </w:rPr>
              <w:t xml:space="preserve">Novac i novčani ekvivalenti stanje na dan 31. prosinca, prije umanjenja vrijednosti                    </w:t>
            </w:r>
            <w:r>
              <w:rPr>
                <w:rFonts w:cs="Arial"/>
                <w:b/>
                <w:bCs/>
                <w:color w:val="000000" w:themeColor="text1"/>
                <w:szCs w:val="19"/>
                <w:lang w:val="hr-HR"/>
              </w:rPr>
              <w:t xml:space="preserve">                                                                                           </w:t>
            </w:r>
            <w:r w:rsidRPr="004B4498">
              <w:rPr>
                <w:rFonts w:cs="Arial"/>
                <w:b/>
                <w:bCs/>
                <w:color w:val="000000" w:themeColor="text1"/>
                <w:szCs w:val="19"/>
                <w:lang w:val="hr-HR"/>
              </w:rPr>
              <w:t xml:space="preserve"> </w:t>
            </w:r>
            <w:r w:rsidRPr="00A873BB">
              <w:rPr>
                <w:rFonts w:cs="Arial"/>
                <w:b/>
                <w:bCs/>
                <w:color w:val="000000" w:themeColor="text1"/>
                <w:szCs w:val="19"/>
                <w:lang w:val="hr-HR"/>
              </w:rPr>
              <w:t>12</w:t>
            </w:r>
            <w:bookmarkEnd w:id="321"/>
          </w:p>
        </w:tc>
        <w:tc>
          <w:tcPr>
            <w:tcW w:w="1252" w:type="dxa"/>
            <w:tcBorders>
              <w:top w:val="single" w:sz="4" w:space="0" w:color="auto"/>
              <w:bottom w:val="single" w:sz="12" w:space="0" w:color="auto"/>
            </w:tcBorders>
            <w:vAlign w:val="bottom"/>
          </w:tcPr>
          <w:p w14:paraId="0093C703" w14:textId="77777777" w:rsidR="007E5D38" w:rsidRPr="004B4498" w:rsidRDefault="007E5D38" w:rsidP="00E032FC">
            <w:pPr>
              <w:pStyle w:val="T2"/>
              <w:keepNext w:val="0"/>
              <w:spacing w:line="220" w:lineRule="exact"/>
              <w:jc w:val="right"/>
              <w:rPr>
                <w:rFonts w:cs="Arial"/>
                <w:b/>
                <w:bCs/>
                <w:color w:val="000000" w:themeColor="text1"/>
                <w:spacing w:val="-2"/>
                <w:szCs w:val="19"/>
                <w:lang w:val="hr-HR"/>
              </w:rPr>
            </w:pPr>
            <w:r w:rsidRPr="00FA60EA">
              <w:rPr>
                <w:rFonts w:cs="Arial"/>
                <w:b/>
                <w:bCs/>
                <w:color w:val="000000" w:themeColor="text1"/>
                <w:spacing w:val="-2"/>
                <w:szCs w:val="19"/>
                <w:lang w:val="hr-HR"/>
              </w:rPr>
              <w:t>1.727.983</w:t>
            </w:r>
          </w:p>
        </w:tc>
        <w:tc>
          <w:tcPr>
            <w:tcW w:w="1252" w:type="dxa"/>
            <w:tcBorders>
              <w:top w:val="single" w:sz="4" w:space="0" w:color="auto"/>
              <w:bottom w:val="single" w:sz="12" w:space="0" w:color="auto"/>
            </w:tcBorders>
            <w:vAlign w:val="bottom"/>
          </w:tcPr>
          <w:p w14:paraId="40466E1F" w14:textId="77777777" w:rsidR="007E5D38" w:rsidRPr="004B4498" w:rsidRDefault="007E5D38" w:rsidP="00E032FC">
            <w:pPr>
              <w:pStyle w:val="T2"/>
              <w:keepNext w:val="0"/>
              <w:spacing w:line="220" w:lineRule="exact"/>
              <w:jc w:val="right"/>
              <w:rPr>
                <w:rFonts w:cs="Arial"/>
                <w:b/>
                <w:bCs/>
                <w:color w:val="000000" w:themeColor="text1"/>
                <w:spacing w:val="-2"/>
                <w:szCs w:val="19"/>
                <w:lang w:val="hr-HR"/>
              </w:rPr>
            </w:pPr>
            <w:r w:rsidRPr="0046584E">
              <w:rPr>
                <w:rFonts w:cs="Arial"/>
                <w:b/>
                <w:bCs/>
                <w:color w:val="000000" w:themeColor="text1"/>
                <w:spacing w:val="-2"/>
                <w:szCs w:val="19"/>
                <w:lang w:val="hr-HR"/>
              </w:rPr>
              <w:t>1.963.795</w:t>
            </w:r>
          </w:p>
        </w:tc>
      </w:tr>
      <w:tr w:rsidR="007E5D38" w:rsidRPr="00201455" w14:paraId="11C37DB9" w14:textId="77777777" w:rsidTr="00E032FC">
        <w:trPr>
          <w:trHeight w:val="357"/>
        </w:trPr>
        <w:tc>
          <w:tcPr>
            <w:tcW w:w="7515" w:type="dxa"/>
            <w:vAlign w:val="bottom"/>
          </w:tcPr>
          <w:p w14:paraId="0E83C938" w14:textId="77777777" w:rsidR="007E5D38" w:rsidRPr="004B4498" w:rsidRDefault="007E5D38" w:rsidP="00E032FC">
            <w:pPr>
              <w:pStyle w:val="Tot"/>
              <w:keepLines/>
              <w:spacing w:line="220" w:lineRule="exact"/>
              <w:rPr>
                <w:rFonts w:cs="Arial"/>
                <w:color w:val="000000" w:themeColor="text1"/>
                <w:szCs w:val="19"/>
                <w:lang w:val="hr-HR"/>
              </w:rPr>
            </w:pPr>
            <w:bookmarkStart w:id="322" w:name="_Toc67326843"/>
            <w:r w:rsidRPr="004B4498">
              <w:rPr>
                <w:rFonts w:cs="Arial"/>
                <w:b/>
                <w:bCs/>
                <w:color w:val="000000" w:themeColor="text1"/>
                <w:szCs w:val="19"/>
                <w:lang w:val="hr-HR"/>
              </w:rPr>
              <w:t>Dopunski podaci – poslovne aktivnosti</w:t>
            </w:r>
            <w:bookmarkEnd w:id="322"/>
          </w:p>
        </w:tc>
        <w:tc>
          <w:tcPr>
            <w:tcW w:w="1252" w:type="dxa"/>
            <w:tcBorders>
              <w:top w:val="single" w:sz="12" w:space="0" w:color="auto"/>
            </w:tcBorders>
            <w:vAlign w:val="bottom"/>
          </w:tcPr>
          <w:p w14:paraId="70CB1E51" w14:textId="77777777" w:rsidR="007E5D38" w:rsidRPr="004B4498" w:rsidRDefault="007E5D38" w:rsidP="00E032FC">
            <w:pPr>
              <w:pStyle w:val="Thick"/>
              <w:keepNext w:val="0"/>
              <w:tabs>
                <w:tab w:val="clear" w:pos="1202"/>
              </w:tabs>
              <w:spacing w:line="220" w:lineRule="exact"/>
              <w:jc w:val="right"/>
              <w:rPr>
                <w:rFonts w:cs="Arial"/>
                <w:color w:val="000000" w:themeColor="text1"/>
                <w:sz w:val="19"/>
                <w:szCs w:val="19"/>
                <w:u w:val="none"/>
                <w:lang w:val="hr-HR"/>
              </w:rPr>
            </w:pPr>
          </w:p>
        </w:tc>
        <w:tc>
          <w:tcPr>
            <w:tcW w:w="1252" w:type="dxa"/>
            <w:tcBorders>
              <w:top w:val="single" w:sz="12" w:space="0" w:color="auto"/>
            </w:tcBorders>
            <w:vAlign w:val="bottom"/>
          </w:tcPr>
          <w:p w14:paraId="3B56F360" w14:textId="77777777" w:rsidR="007E5D38" w:rsidRPr="004B4498" w:rsidRDefault="007E5D38" w:rsidP="00E032FC">
            <w:pPr>
              <w:pStyle w:val="Thick"/>
              <w:keepNext w:val="0"/>
              <w:tabs>
                <w:tab w:val="clear" w:pos="1202"/>
              </w:tabs>
              <w:spacing w:line="220" w:lineRule="exact"/>
              <w:jc w:val="right"/>
              <w:rPr>
                <w:rFonts w:cs="Arial"/>
                <w:color w:val="000000" w:themeColor="text1"/>
                <w:sz w:val="19"/>
                <w:szCs w:val="19"/>
                <w:u w:val="none"/>
                <w:lang w:val="hr-HR"/>
              </w:rPr>
            </w:pPr>
          </w:p>
        </w:tc>
      </w:tr>
      <w:tr w:rsidR="007E5D38" w:rsidRPr="00201455" w14:paraId="330E2A95" w14:textId="77777777" w:rsidTr="00E032FC">
        <w:trPr>
          <w:trHeight w:val="68"/>
        </w:trPr>
        <w:tc>
          <w:tcPr>
            <w:tcW w:w="7515" w:type="dxa"/>
            <w:vAlign w:val="bottom"/>
          </w:tcPr>
          <w:p w14:paraId="13BADF80" w14:textId="77777777" w:rsidR="007E5D38" w:rsidRPr="004B4498" w:rsidRDefault="007E5D38" w:rsidP="00E032FC">
            <w:pPr>
              <w:pStyle w:val="Tot"/>
              <w:keepLines/>
              <w:spacing w:line="220" w:lineRule="exact"/>
              <w:rPr>
                <w:rFonts w:cs="Arial"/>
                <w:color w:val="000000" w:themeColor="text1"/>
                <w:szCs w:val="19"/>
                <w:lang w:val="hr-HR"/>
              </w:rPr>
            </w:pPr>
            <w:bookmarkStart w:id="323" w:name="_Toc67326844"/>
            <w:r w:rsidRPr="004B4498">
              <w:rPr>
                <w:rFonts w:cs="Arial"/>
                <w:color w:val="000000" w:themeColor="text1"/>
                <w:szCs w:val="19"/>
                <w:lang w:val="hr-HR"/>
              </w:rPr>
              <w:t>Plaćene kamate</w:t>
            </w:r>
            <w:bookmarkEnd w:id="323"/>
          </w:p>
        </w:tc>
        <w:tc>
          <w:tcPr>
            <w:tcW w:w="1252" w:type="dxa"/>
            <w:vAlign w:val="bottom"/>
          </w:tcPr>
          <w:p w14:paraId="031CFB4F" w14:textId="77777777" w:rsidR="007E5D38" w:rsidRPr="004B4498" w:rsidRDefault="007E5D38" w:rsidP="00E032FC">
            <w:pPr>
              <w:pStyle w:val="CommentText"/>
              <w:keepLines/>
              <w:jc w:val="right"/>
              <w:rPr>
                <w:rFonts w:ascii="Arial" w:hAnsi="Arial" w:cs="Arial"/>
                <w:color w:val="000000" w:themeColor="text1"/>
                <w:spacing w:val="-2"/>
                <w:sz w:val="19"/>
                <w:szCs w:val="19"/>
                <w:lang w:val="hr-HR"/>
              </w:rPr>
            </w:pPr>
            <w:r w:rsidRPr="00FA60EA">
              <w:rPr>
                <w:rFonts w:ascii="Arial" w:hAnsi="Arial" w:cs="Arial"/>
                <w:color w:val="000000" w:themeColor="text1"/>
                <w:spacing w:val="-2"/>
                <w:sz w:val="19"/>
                <w:szCs w:val="19"/>
                <w:lang w:val="hr-HR"/>
              </w:rPr>
              <w:t>167.604</w:t>
            </w:r>
          </w:p>
        </w:tc>
        <w:tc>
          <w:tcPr>
            <w:tcW w:w="1252" w:type="dxa"/>
            <w:vAlign w:val="bottom"/>
          </w:tcPr>
          <w:p w14:paraId="09E1B5F5" w14:textId="77777777" w:rsidR="007E5D38" w:rsidRPr="004B4498" w:rsidRDefault="007E5D38" w:rsidP="00E032FC">
            <w:pPr>
              <w:pStyle w:val="CommentText"/>
              <w:keepLines/>
              <w:jc w:val="right"/>
              <w:rPr>
                <w:rFonts w:ascii="Arial" w:hAnsi="Arial" w:cs="Arial"/>
                <w:color w:val="000000" w:themeColor="text1"/>
                <w:spacing w:val="-2"/>
                <w:sz w:val="19"/>
                <w:szCs w:val="19"/>
                <w:lang w:val="hr-HR"/>
              </w:rPr>
            </w:pPr>
            <w:r w:rsidRPr="0046584E">
              <w:rPr>
                <w:rFonts w:ascii="Arial" w:hAnsi="Arial" w:cs="Arial"/>
                <w:color w:val="000000" w:themeColor="text1"/>
                <w:spacing w:val="-2"/>
                <w:sz w:val="19"/>
                <w:szCs w:val="19"/>
                <w:lang w:val="hr-HR"/>
              </w:rPr>
              <w:t>185.187</w:t>
            </w:r>
          </w:p>
        </w:tc>
      </w:tr>
      <w:tr w:rsidR="007E5D38" w:rsidRPr="00201455" w14:paraId="199F1416" w14:textId="77777777" w:rsidTr="00E032FC">
        <w:trPr>
          <w:trHeight w:val="68"/>
        </w:trPr>
        <w:tc>
          <w:tcPr>
            <w:tcW w:w="7515" w:type="dxa"/>
            <w:vAlign w:val="bottom"/>
          </w:tcPr>
          <w:p w14:paraId="418477E7" w14:textId="77777777" w:rsidR="007E5D38" w:rsidRPr="004B4498" w:rsidRDefault="007E5D38" w:rsidP="00E032FC">
            <w:pPr>
              <w:pStyle w:val="Tot"/>
              <w:keepLines/>
              <w:spacing w:line="220" w:lineRule="exact"/>
              <w:rPr>
                <w:rFonts w:cs="Arial"/>
                <w:color w:val="000000" w:themeColor="text1"/>
                <w:szCs w:val="19"/>
                <w:lang w:val="hr-HR"/>
              </w:rPr>
            </w:pPr>
            <w:bookmarkStart w:id="324" w:name="_Toc67326845"/>
            <w:r w:rsidRPr="004B4498">
              <w:rPr>
                <w:rFonts w:cs="Arial"/>
                <w:color w:val="000000" w:themeColor="text1"/>
                <w:szCs w:val="19"/>
                <w:lang w:val="hr-HR"/>
              </w:rPr>
              <w:t>Primljene kamate</w:t>
            </w:r>
            <w:bookmarkEnd w:id="324"/>
          </w:p>
        </w:tc>
        <w:tc>
          <w:tcPr>
            <w:tcW w:w="1252" w:type="dxa"/>
            <w:vAlign w:val="bottom"/>
          </w:tcPr>
          <w:p w14:paraId="11F8A516" w14:textId="77777777" w:rsidR="007E5D38" w:rsidRPr="004B4498" w:rsidRDefault="007E5D38" w:rsidP="00E032FC">
            <w:pPr>
              <w:pStyle w:val="CommentText"/>
              <w:keepLines/>
              <w:jc w:val="right"/>
              <w:rPr>
                <w:rFonts w:ascii="Arial" w:hAnsi="Arial" w:cs="Arial"/>
                <w:color w:val="000000" w:themeColor="text1"/>
                <w:spacing w:val="-2"/>
                <w:sz w:val="19"/>
                <w:szCs w:val="19"/>
                <w:lang w:val="hr-HR"/>
              </w:rPr>
            </w:pPr>
            <w:r w:rsidRPr="00FA60EA">
              <w:rPr>
                <w:rFonts w:ascii="Arial" w:hAnsi="Arial" w:cs="Arial"/>
                <w:color w:val="000000" w:themeColor="text1"/>
                <w:spacing w:val="-2"/>
                <w:sz w:val="19"/>
                <w:szCs w:val="19"/>
                <w:lang w:val="hr-HR"/>
              </w:rPr>
              <w:t>591.528</w:t>
            </w:r>
          </w:p>
        </w:tc>
        <w:tc>
          <w:tcPr>
            <w:tcW w:w="1252" w:type="dxa"/>
            <w:vAlign w:val="bottom"/>
          </w:tcPr>
          <w:p w14:paraId="0AE1F5CB" w14:textId="77777777" w:rsidR="007E5D38" w:rsidRPr="004B4498" w:rsidRDefault="007E5D38" w:rsidP="00E032FC">
            <w:pPr>
              <w:pStyle w:val="CommentText"/>
              <w:keepLines/>
              <w:jc w:val="right"/>
              <w:rPr>
                <w:rFonts w:ascii="Arial" w:hAnsi="Arial" w:cs="Arial"/>
                <w:color w:val="000000" w:themeColor="text1"/>
                <w:spacing w:val="-2"/>
                <w:sz w:val="19"/>
                <w:szCs w:val="19"/>
                <w:lang w:val="hr-HR"/>
              </w:rPr>
            </w:pPr>
            <w:r w:rsidRPr="0046584E">
              <w:rPr>
                <w:rFonts w:ascii="Arial" w:hAnsi="Arial" w:cs="Arial"/>
                <w:color w:val="000000" w:themeColor="text1"/>
                <w:spacing w:val="-2"/>
                <w:sz w:val="19"/>
                <w:szCs w:val="19"/>
                <w:lang w:val="hr-HR"/>
              </w:rPr>
              <w:t>665.677</w:t>
            </w:r>
          </w:p>
        </w:tc>
      </w:tr>
    </w:tbl>
    <w:p w14:paraId="06D25155" w14:textId="77777777" w:rsidR="007E5D38" w:rsidRPr="00B91D09" w:rsidRDefault="007E5D38" w:rsidP="007E5D38">
      <w:pPr>
        <w:pStyle w:val="T1"/>
        <w:keepNext w:val="0"/>
        <w:spacing w:before="0" w:after="0" w:line="240" w:lineRule="auto"/>
        <w:rPr>
          <w:rFonts w:cs="Arial"/>
          <w:b w:val="0"/>
          <w:bCs w:val="0"/>
          <w:color w:val="000000" w:themeColor="text1"/>
          <w:sz w:val="22"/>
          <w:szCs w:val="22"/>
          <w:lang w:val="hr-HR"/>
        </w:rPr>
      </w:pPr>
    </w:p>
    <w:p w14:paraId="4D86EC57" w14:textId="77777777" w:rsidR="007E5D38" w:rsidRPr="00B91D09" w:rsidRDefault="007E5D38" w:rsidP="007E5D38">
      <w:pPr>
        <w:pStyle w:val="T1"/>
        <w:keepNext w:val="0"/>
        <w:spacing w:before="0" w:after="0" w:line="240" w:lineRule="auto"/>
        <w:rPr>
          <w:rFonts w:cs="Arial"/>
          <w:b w:val="0"/>
          <w:bCs w:val="0"/>
          <w:color w:val="000000" w:themeColor="text1"/>
          <w:sz w:val="22"/>
          <w:szCs w:val="22"/>
          <w:lang w:val="hr-HR"/>
        </w:rPr>
      </w:pPr>
    </w:p>
    <w:p w14:paraId="4C25A3DD" w14:textId="77777777" w:rsidR="007E5D38" w:rsidRPr="004B4498" w:rsidRDefault="007E5D38" w:rsidP="007E5D38">
      <w:pPr>
        <w:pStyle w:val="T1"/>
        <w:keepNext w:val="0"/>
        <w:spacing w:before="0" w:after="0" w:line="240" w:lineRule="auto"/>
        <w:rPr>
          <w:rFonts w:cs="Arial"/>
          <w:b w:val="0"/>
          <w:bCs w:val="0"/>
          <w:color w:val="000000" w:themeColor="text1"/>
          <w:sz w:val="20"/>
          <w:lang w:val="hr-HR"/>
        </w:rPr>
        <w:sectPr w:rsidR="007E5D38" w:rsidRPr="004B4498" w:rsidSect="00D17EE8">
          <w:headerReference w:type="default" r:id="rId64"/>
          <w:footerReference w:type="default" r:id="rId65"/>
          <w:pgSz w:w="11907" w:h="16840" w:code="9"/>
          <w:pgMar w:top="885" w:right="992" w:bottom="1134" w:left="1418" w:header="851" w:footer="851" w:gutter="0"/>
          <w:pgNumType w:start="75"/>
          <w:cols w:space="720"/>
          <w:noEndnote/>
          <w:docGrid w:linePitch="326"/>
        </w:sectPr>
      </w:pPr>
      <w:bookmarkStart w:id="325" w:name="_Hlk615355"/>
      <w:r w:rsidRPr="004B4498">
        <w:rPr>
          <w:rFonts w:cs="Arial"/>
          <w:b w:val="0"/>
          <w:bCs w:val="0"/>
          <w:color w:val="000000" w:themeColor="text1"/>
          <w:sz w:val="20"/>
          <w:lang w:val="hr-HR"/>
        </w:rPr>
        <w:t>Priložene računovodstvene politike i bilješke sastavni su dio ovih financijskih izvještaja.</w:t>
      </w:r>
    </w:p>
    <w:bookmarkEnd w:id="325"/>
    <w:p w14:paraId="65AAB584" w14:textId="77777777" w:rsidR="001856C5" w:rsidRPr="004B4498" w:rsidRDefault="001856C5" w:rsidP="001856C5">
      <w:pPr>
        <w:pStyle w:val="T1"/>
        <w:keepNext w:val="0"/>
        <w:spacing w:before="0" w:after="0" w:line="240" w:lineRule="auto"/>
        <w:rPr>
          <w:rFonts w:cs="Arial"/>
          <w:color w:val="000000" w:themeColor="text1"/>
          <w:sz w:val="20"/>
          <w:lang w:val="hr-HR"/>
        </w:rPr>
      </w:pPr>
    </w:p>
    <w:tbl>
      <w:tblPr>
        <w:tblpPr w:leftFromText="180" w:rightFromText="180" w:vertAnchor="page" w:horzAnchor="margin" w:tblpXSpec="right" w:tblpY="2602"/>
        <w:tblW w:w="5297" w:type="pct"/>
        <w:tblLayout w:type="fixed"/>
        <w:tblCellMar>
          <w:left w:w="120" w:type="dxa"/>
          <w:right w:w="120" w:type="dxa"/>
        </w:tblCellMar>
        <w:tblLook w:val="0000" w:firstRow="0" w:lastRow="0" w:firstColumn="0" w:lastColumn="0" w:noHBand="0" w:noVBand="0"/>
      </w:tblPr>
      <w:tblGrid>
        <w:gridCol w:w="2520"/>
        <w:gridCol w:w="1135"/>
        <w:gridCol w:w="1062"/>
        <w:gridCol w:w="1134"/>
        <w:gridCol w:w="1327"/>
        <w:gridCol w:w="1061"/>
        <w:gridCol w:w="1323"/>
      </w:tblGrid>
      <w:tr w:rsidR="00AE4F61" w:rsidRPr="00B91D09" w14:paraId="1034D60D" w14:textId="77777777" w:rsidTr="009307DC">
        <w:trPr>
          <w:trHeight w:val="783"/>
        </w:trPr>
        <w:tc>
          <w:tcPr>
            <w:tcW w:w="1317" w:type="pct"/>
          </w:tcPr>
          <w:p w14:paraId="30F1BCFB" w14:textId="77777777" w:rsidR="00AE4F61" w:rsidRPr="00B91D09" w:rsidRDefault="00AE4F61" w:rsidP="00E032FC">
            <w:pPr>
              <w:pStyle w:val="TT"/>
              <w:rPr>
                <w:rFonts w:cs="Arial"/>
                <w:b/>
                <w:iCs/>
                <w:color w:val="000000" w:themeColor="text1"/>
                <w:sz w:val="18"/>
                <w:szCs w:val="18"/>
                <w:lang w:val="hr-HR"/>
              </w:rPr>
            </w:pPr>
          </w:p>
        </w:tc>
        <w:tc>
          <w:tcPr>
            <w:tcW w:w="593" w:type="pct"/>
            <w:vAlign w:val="bottom"/>
          </w:tcPr>
          <w:p w14:paraId="44EBADF8" w14:textId="77777777" w:rsidR="00AE4F61" w:rsidRPr="00B91D09" w:rsidRDefault="00AE4F61" w:rsidP="00E032FC">
            <w:pPr>
              <w:pStyle w:val="TT"/>
              <w:jc w:val="right"/>
              <w:rPr>
                <w:rFonts w:cs="Arial"/>
                <w:b/>
                <w:iCs/>
                <w:color w:val="000000" w:themeColor="text1"/>
                <w:sz w:val="18"/>
                <w:szCs w:val="18"/>
                <w:lang w:val="hr-HR"/>
              </w:rPr>
            </w:pPr>
            <w:bookmarkStart w:id="326" w:name="_Toc67326846"/>
            <w:r w:rsidRPr="00B91D09">
              <w:rPr>
                <w:rFonts w:cs="Arial"/>
                <w:b/>
                <w:iCs/>
                <w:color w:val="000000" w:themeColor="text1"/>
                <w:sz w:val="18"/>
                <w:szCs w:val="18"/>
                <w:lang w:val="hr-HR"/>
              </w:rPr>
              <w:t>Osnivački</w:t>
            </w:r>
            <w:bookmarkEnd w:id="326"/>
            <w:r w:rsidRPr="00B91D09">
              <w:rPr>
                <w:rFonts w:cs="Arial"/>
                <w:b/>
                <w:iCs/>
                <w:color w:val="000000" w:themeColor="text1"/>
                <w:sz w:val="18"/>
                <w:szCs w:val="18"/>
                <w:lang w:val="hr-HR"/>
              </w:rPr>
              <w:t xml:space="preserve"> </w:t>
            </w:r>
          </w:p>
          <w:p w14:paraId="207DD332" w14:textId="77777777" w:rsidR="00AE4F61" w:rsidRPr="00B91D09" w:rsidRDefault="00AE4F61" w:rsidP="00E032FC">
            <w:pPr>
              <w:pStyle w:val="TT"/>
              <w:jc w:val="right"/>
              <w:rPr>
                <w:rFonts w:cs="Arial"/>
                <w:b/>
                <w:iCs/>
                <w:color w:val="000000" w:themeColor="text1"/>
                <w:sz w:val="18"/>
                <w:szCs w:val="18"/>
                <w:lang w:val="hr-HR"/>
              </w:rPr>
            </w:pPr>
            <w:bookmarkStart w:id="327" w:name="_Toc67326847"/>
            <w:r w:rsidRPr="00B91D09">
              <w:rPr>
                <w:rFonts w:cs="Arial"/>
                <w:b/>
                <w:iCs/>
                <w:color w:val="000000" w:themeColor="text1"/>
                <w:sz w:val="18"/>
                <w:szCs w:val="18"/>
                <w:lang w:val="hr-HR"/>
              </w:rPr>
              <w:t>kapital</w:t>
            </w:r>
            <w:bookmarkEnd w:id="327"/>
          </w:p>
        </w:tc>
        <w:tc>
          <w:tcPr>
            <w:tcW w:w="555" w:type="pct"/>
            <w:vAlign w:val="bottom"/>
          </w:tcPr>
          <w:p w14:paraId="161BDF50" w14:textId="77777777" w:rsidR="00AE4F61" w:rsidRPr="00B91D09" w:rsidRDefault="00AE4F61" w:rsidP="00E032FC">
            <w:pPr>
              <w:pStyle w:val="TT"/>
              <w:jc w:val="right"/>
              <w:rPr>
                <w:rFonts w:cs="Arial"/>
                <w:b/>
                <w:iCs/>
                <w:color w:val="000000" w:themeColor="text1"/>
                <w:sz w:val="18"/>
                <w:szCs w:val="18"/>
                <w:lang w:val="hr-HR"/>
              </w:rPr>
            </w:pPr>
            <w:r w:rsidRPr="00B91D09">
              <w:rPr>
                <w:rFonts w:cs="Arial"/>
                <w:b/>
                <w:iCs/>
                <w:color w:val="000000" w:themeColor="text1"/>
                <w:sz w:val="18"/>
                <w:szCs w:val="18"/>
                <w:lang w:val="hr-HR"/>
              </w:rPr>
              <w:t xml:space="preserve">  </w:t>
            </w:r>
            <w:bookmarkStart w:id="328" w:name="_Toc67326848"/>
            <w:r w:rsidRPr="00B91D09">
              <w:rPr>
                <w:rFonts w:cs="Arial"/>
                <w:b/>
                <w:iCs/>
                <w:color w:val="000000" w:themeColor="text1"/>
                <w:sz w:val="18"/>
                <w:szCs w:val="18"/>
                <w:lang w:val="hr-HR"/>
              </w:rPr>
              <w:t>Zadržana</w:t>
            </w:r>
            <w:bookmarkEnd w:id="328"/>
            <w:r w:rsidRPr="00B91D09">
              <w:rPr>
                <w:rFonts w:cs="Arial"/>
                <w:b/>
                <w:iCs/>
                <w:color w:val="000000" w:themeColor="text1"/>
                <w:sz w:val="18"/>
                <w:szCs w:val="18"/>
                <w:lang w:val="hr-HR"/>
              </w:rPr>
              <w:t xml:space="preserve"> </w:t>
            </w:r>
          </w:p>
          <w:p w14:paraId="4652B1BD" w14:textId="77777777" w:rsidR="00AE4F61" w:rsidRPr="00B91D09" w:rsidRDefault="00AE4F61" w:rsidP="00E032FC">
            <w:pPr>
              <w:pStyle w:val="TT"/>
              <w:jc w:val="right"/>
              <w:rPr>
                <w:rFonts w:cs="Arial"/>
                <w:b/>
                <w:iCs/>
                <w:color w:val="000000" w:themeColor="text1"/>
                <w:sz w:val="18"/>
                <w:szCs w:val="18"/>
                <w:lang w:val="hr-HR"/>
              </w:rPr>
            </w:pPr>
            <w:bookmarkStart w:id="329" w:name="_Toc67326849"/>
            <w:r w:rsidRPr="00B91D09">
              <w:rPr>
                <w:rFonts w:cs="Arial"/>
                <w:b/>
                <w:iCs/>
                <w:color w:val="000000" w:themeColor="text1"/>
                <w:sz w:val="18"/>
                <w:szCs w:val="18"/>
                <w:lang w:val="hr-HR"/>
              </w:rPr>
              <w:t>dobit i rezerve</w:t>
            </w:r>
            <w:bookmarkEnd w:id="329"/>
          </w:p>
        </w:tc>
        <w:tc>
          <w:tcPr>
            <w:tcW w:w="593" w:type="pct"/>
            <w:vAlign w:val="bottom"/>
          </w:tcPr>
          <w:p w14:paraId="6D7989E8" w14:textId="77777777" w:rsidR="00AE4F61" w:rsidRPr="00B91D09" w:rsidRDefault="00AE4F61" w:rsidP="00E032FC">
            <w:pPr>
              <w:pStyle w:val="TT"/>
              <w:jc w:val="right"/>
              <w:rPr>
                <w:rFonts w:cs="Arial"/>
                <w:b/>
                <w:iCs/>
                <w:color w:val="000000" w:themeColor="text1"/>
                <w:sz w:val="18"/>
                <w:szCs w:val="18"/>
                <w:lang w:val="hr-HR"/>
              </w:rPr>
            </w:pPr>
            <w:bookmarkStart w:id="330" w:name="_Toc67326850"/>
            <w:r w:rsidRPr="00B91D09">
              <w:rPr>
                <w:rFonts w:cs="Arial"/>
                <w:b/>
                <w:iCs/>
                <w:color w:val="000000" w:themeColor="text1"/>
                <w:sz w:val="18"/>
                <w:szCs w:val="18"/>
                <w:lang w:val="hr-HR"/>
              </w:rPr>
              <w:t>Ostale rezerve</w:t>
            </w:r>
            <w:bookmarkEnd w:id="330"/>
          </w:p>
        </w:tc>
        <w:tc>
          <w:tcPr>
            <w:tcW w:w="694" w:type="pct"/>
            <w:vAlign w:val="bottom"/>
          </w:tcPr>
          <w:p w14:paraId="6AAC78D9" w14:textId="77777777" w:rsidR="00AE4F61" w:rsidRPr="00B91D09" w:rsidRDefault="00AE4F61" w:rsidP="00E032FC">
            <w:pPr>
              <w:pStyle w:val="TT"/>
              <w:jc w:val="right"/>
              <w:rPr>
                <w:rFonts w:cs="Arial"/>
                <w:b/>
                <w:iCs/>
                <w:color w:val="000000" w:themeColor="text1"/>
                <w:sz w:val="18"/>
                <w:szCs w:val="18"/>
                <w:lang w:val="hr-HR"/>
              </w:rPr>
            </w:pPr>
            <w:bookmarkStart w:id="331" w:name="_Toc67326851"/>
            <w:r w:rsidRPr="00B91D09">
              <w:rPr>
                <w:rFonts w:cs="Arial"/>
                <w:b/>
                <w:iCs/>
                <w:color w:val="000000" w:themeColor="text1"/>
                <w:sz w:val="18"/>
                <w:szCs w:val="18"/>
                <w:lang w:val="hr-HR"/>
              </w:rPr>
              <w:t>Neto dobit</w:t>
            </w:r>
            <w:bookmarkEnd w:id="331"/>
            <w:r w:rsidRPr="00B91D09">
              <w:rPr>
                <w:rFonts w:cs="Arial"/>
                <w:b/>
                <w:iCs/>
                <w:color w:val="000000" w:themeColor="text1"/>
                <w:sz w:val="18"/>
                <w:szCs w:val="18"/>
                <w:lang w:val="hr-HR"/>
              </w:rPr>
              <w:t xml:space="preserve"> </w:t>
            </w:r>
          </w:p>
          <w:p w14:paraId="75A50880" w14:textId="77777777" w:rsidR="00AE4F61" w:rsidRPr="00B91D09" w:rsidRDefault="00AE4F61" w:rsidP="00E032FC">
            <w:pPr>
              <w:pStyle w:val="TT"/>
              <w:jc w:val="right"/>
              <w:rPr>
                <w:rFonts w:cs="Arial"/>
                <w:b/>
                <w:iCs/>
                <w:color w:val="000000" w:themeColor="text1"/>
                <w:sz w:val="18"/>
                <w:szCs w:val="18"/>
                <w:lang w:val="hr-HR"/>
              </w:rPr>
            </w:pPr>
            <w:bookmarkStart w:id="332" w:name="_Toc67326852"/>
            <w:r w:rsidRPr="00B91D09">
              <w:rPr>
                <w:rFonts w:cs="Arial"/>
                <w:b/>
                <w:iCs/>
                <w:color w:val="000000" w:themeColor="text1"/>
                <w:sz w:val="18"/>
                <w:szCs w:val="18"/>
                <w:lang w:val="hr-HR"/>
              </w:rPr>
              <w:t>tekuće godine</w:t>
            </w:r>
            <w:bookmarkEnd w:id="332"/>
          </w:p>
        </w:tc>
        <w:tc>
          <w:tcPr>
            <w:tcW w:w="555" w:type="pct"/>
          </w:tcPr>
          <w:p w14:paraId="57441760" w14:textId="77777777" w:rsidR="00AE4F61" w:rsidRPr="00B91D09" w:rsidRDefault="00AE4F61" w:rsidP="00E032FC">
            <w:pPr>
              <w:pStyle w:val="TT"/>
              <w:jc w:val="right"/>
              <w:rPr>
                <w:rFonts w:cs="Arial"/>
                <w:b/>
                <w:iCs/>
                <w:color w:val="000000" w:themeColor="text1"/>
                <w:sz w:val="18"/>
                <w:szCs w:val="18"/>
                <w:lang w:val="hr-HR"/>
              </w:rPr>
            </w:pPr>
          </w:p>
          <w:p w14:paraId="6A41A7E5" w14:textId="77777777" w:rsidR="00AE4F61" w:rsidRPr="00B91D09" w:rsidRDefault="00AE4F61" w:rsidP="00E032FC">
            <w:pPr>
              <w:pStyle w:val="TT"/>
              <w:jc w:val="right"/>
              <w:rPr>
                <w:rFonts w:cs="Arial"/>
                <w:b/>
                <w:iCs/>
                <w:color w:val="000000" w:themeColor="text1"/>
                <w:sz w:val="18"/>
                <w:szCs w:val="18"/>
                <w:lang w:val="hr-HR"/>
              </w:rPr>
            </w:pPr>
            <w:bookmarkStart w:id="333" w:name="_Toc67326853"/>
            <w:r w:rsidRPr="00B91D09">
              <w:rPr>
                <w:rFonts w:cs="Arial"/>
                <w:b/>
                <w:iCs/>
                <w:color w:val="000000" w:themeColor="text1"/>
                <w:sz w:val="18"/>
                <w:szCs w:val="18"/>
                <w:lang w:val="hr-HR"/>
              </w:rPr>
              <w:t>Garantni</w:t>
            </w:r>
            <w:bookmarkEnd w:id="333"/>
            <w:r w:rsidRPr="00B91D09">
              <w:rPr>
                <w:rFonts w:cs="Arial"/>
                <w:b/>
                <w:iCs/>
                <w:color w:val="000000" w:themeColor="text1"/>
                <w:sz w:val="18"/>
                <w:szCs w:val="18"/>
                <w:lang w:val="hr-HR"/>
              </w:rPr>
              <w:t xml:space="preserve"> </w:t>
            </w:r>
          </w:p>
          <w:p w14:paraId="73D2FD37" w14:textId="77777777" w:rsidR="00AE4F61" w:rsidRPr="00B91D09" w:rsidRDefault="00AE4F61" w:rsidP="00E032FC">
            <w:pPr>
              <w:pStyle w:val="TT"/>
              <w:jc w:val="right"/>
              <w:rPr>
                <w:rFonts w:cs="Arial"/>
                <w:b/>
                <w:iCs/>
                <w:color w:val="000000" w:themeColor="text1"/>
                <w:sz w:val="18"/>
                <w:szCs w:val="18"/>
                <w:lang w:val="hr-HR"/>
              </w:rPr>
            </w:pPr>
            <w:bookmarkStart w:id="334" w:name="_Toc67326854"/>
            <w:r w:rsidRPr="00B91D09">
              <w:rPr>
                <w:rFonts w:cs="Arial"/>
                <w:b/>
                <w:iCs/>
                <w:color w:val="000000" w:themeColor="text1"/>
                <w:sz w:val="18"/>
                <w:szCs w:val="18"/>
                <w:lang w:val="hr-HR"/>
              </w:rPr>
              <w:t>fond</w:t>
            </w:r>
            <w:bookmarkEnd w:id="334"/>
          </w:p>
        </w:tc>
        <w:tc>
          <w:tcPr>
            <w:tcW w:w="692" w:type="pct"/>
            <w:vAlign w:val="bottom"/>
          </w:tcPr>
          <w:p w14:paraId="00491EF2" w14:textId="77777777" w:rsidR="00AE4F61" w:rsidRPr="00B91D09" w:rsidRDefault="00AE4F61" w:rsidP="00E032FC">
            <w:pPr>
              <w:pStyle w:val="TT"/>
              <w:jc w:val="right"/>
              <w:rPr>
                <w:rFonts w:cs="Arial"/>
                <w:b/>
                <w:iCs/>
                <w:color w:val="000000" w:themeColor="text1"/>
                <w:sz w:val="18"/>
                <w:szCs w:val="18"/>
                <w:lang w:val="hr-HR"/>
              </w:rPr>
            </w:pPr>
            <w:bookmarkStart w:id="335" w:name="_Toc67326855"/>
            <w:r w:rsidRPr="00B91D09">
              <w:rPr>
                <w:rFonts w:cs="Arial"/>
                <w:b/>
                <w:iCs/>
                <w:color w:val="000000" w:themeColor="text1"/>
                <w:sz w:val="18"/>
                <w:szCs w:val="18"/>
                <w:lang w:val="hr-HR"/>
              </w:rPr>
              <w:t>Ukupni kapital</w:t>
            </w:r>
            <w:bookmarkEnd w:id="335"/>
            <w:r w:rsidRPr="00B91D09">
              <w:rPr>
                <w:rFonts w:cs="Arial"/>
                <w:b/>
                <w:iCs/>
                <w:color w:val="000000" w:themeColor="text1"/>
                <w:sz w:val="18"/>
                <w:szCs w:val="18"/>
                <w:lang w:val="hr-HR"/>
              </w:rPr>
              <w:t xml:space="preserve"> </w:t>
            </w:r>
          </w:p>
        </w:tc>
      </w:tr>
      <w:tr w:rsidR="00AE4F61" w:rsidRPr="00B91D09" w14:paraId="5257A946" w14:textId="77777777" w:rsidTr="009307DC">
        <w:trPr>
          <w:trHeight w:val="298"/>
        </w:trPr>
        <w:tc>
          <w:tcPr>
            <w:tcW w:w="1317" w:type="pct"/>
          </w:tcPr>
          <w:p w14:paraId="560463AD" w14:textId="77777777" w:rsidR="00AE4F61" w:rsidRPr="00B91D09" w:rsidRDefault="00AE4F61" w:rsidP="00E032FC">
            <w:pPr>
              <w:pStyle w:val="TT"/>
              <w:rPr>
                <w:rFonts w:cs="Arial"/>
                <w:iCs/>
                <w:color w:val="000000" w:themeColor="text1"/>
                <w:sz w:val="18"/>
                <w:szCs w:val="18"/>
                <w:lang w:val="hr-HR"/>
              </w:rPr>
            </w:pPr>
          </w:p>
        </w:tc>
        <w:tc>
          <w:tcPr>
            <w:tcW w:w="593" w:type="pct"/>
          </w:tcPr>
          <w:p w14:paraId="0170B97A" w14:textId="77777777" w:rsidR="00AE4F61" w:rsidRPr="00B91D09" w:rsidRDefault="00AE4F61" w:rsidP="00E032FC">
            <w:pPr>
              <w:pStyle w:val="TH"/>
              <w:keepLines/>
              <w:spacing w:line="301" w:lineRule="exact"/>
              <w:jc w:val="right"/>
              <w:rPr>
                <w:rFonts w:cs="Arial"/>
                <w:bCs/>
                <w:color w:val="000000" w:themeColor="text1"/>
                <w:sz w:val="18"/>
                <w:szCs w:val="18"/>
                <w:lang w:val="hr-HR"/>
              </w:rPr>
            </w:pPr>
            <w:bookmarkStart w:id="336" w:name="_Toc67326856"/>
            <w:r w:rsidRPr="00B91D09">
              <w:rPr>
                <w:rFonts w:cs="Arial"/>
                <w:bCs/>
                <w:color w:val="000000" w:themeColor="text1"/>
                <w:sz w:val="18"/>
                <w:szCs w:val="18"/>
                <w:lang w:val="hr-HR"/>
              </w:rPr>
              <w:t>000 kuna</w:t>
            </w:r>
            <w:bookmarkEnd w:id="336"/>
          </w:p>
        </w:tc>
        <w:tc>
          <w:tcPr>
            <w:tcW w:w="555" w:type="pct"/>
          </w:tcPr>
          <w:p w14:paraId="5C8829E7" w14:textId="77777777" w:rsidR="00AE4F61" w:rsidRPr="00B91D09" w:rsidRDefault="00AE4F61" w:rsidP="00E032FC">
            <w:pPr>
              <w:pStyle w:val="TH"/>
              <w:keepLines/>
              <w:spacing w:line="301" w:lineRule="exact"/>
              <w:jc w:val="right"/>
              <w:rPr>
                <w:rFonts w:cs="Arial"/>
                <w:bCs/>
                <w:color w:val="000000" w:themeColor="text1"/>
                <w:sz w:val="18"/>
                <w:szCs w:val="18"/>
                <w:lang w:val="hr-HR"/>
              </w:rPr>
            </w:pPr>
            <w:bookmarkStart w:id="337" w:name="_Toc67326857"/>
            <w:r w:rsidRPr="00B91D09">
              <w:rPr>
                <w:rFonts w:cs="Arial"/>
                <w:bCs/>
                <w:color w:val="000000" w:themeColor="text1"/>
                <w:sz w:val="18"/>
                <w:szCs w:val="18"/>
                <w:lang w:val="hr-HR"/>
              </w:rPr>
              <w:t>000 kuna</w:t>
            </w:r>
            <w:bookmarkEnd w:id="337"/>
          </w:p>
        </w:tc>
        <w:tc>
          <w:tcPr>
            <w:tcW w:w="593" w:type="pct"/>
          </w:tcPr>
          <w:p w14:paraId="6EBC5FAE" w14:textId="77777777" w:rsidR="00AE4F61" w:rsidRPr="00B91D09" w:rsidRDefault="00AE4F61" w:rsidP="00E032FC">
            <w:pPr>
              <w:pStyle w:val="TH"/>
              <w:keepLines/>
              <w:spacing w:line="301" w:lineRule="exact"/>
              <w:jc w:val="right"/>
              <w:rPr>
                <w:rFonts w:cs="Arial"/>
                <w:bCs/>
                <w:color w:val="000000" w:themeColor="text1"/>
                <w:sz w:val="18"/>
                <w:szCs w:val="18"/>
                <w:lang w:val="hr-HR"/>
              </w:rPr>
            </w:pPr>
            <w:bookmarkStart w:id="338" w:name="_Toc67326858"/>
            <w:r w:rsidRPr="00B91D09">
              <w:rPr>
                <w:rFonts w:cs="Arial"/>
                <w:bCs/>
                <w:color w:val="000000" w:themeColor="text1"/>
                <w:sz w:val="18"/>
                <w:szCs w:val="18"/>
                <w:lang w:val="hr-HR"/>
              </w:rPr>
              <w:t>000 kuna</w:t>
            </w:r>
            <w:bookmarkEnd w:id="338"/>
          </w:p>
        </w:tc>
        <w:tc>
          <w:tcPr>
            <w:tcW w:w="694" w:type="pct"/>
          </w:tcPr>
          <w:p w14:paraId="4BAF7691" w14:textId="77777777" w:rsidR="00AE4F61" w:rsidRPr="00B91D09" w:rsidRDefault="00AE4F61" w:rsidP="00E032FC">
            <w:pPr>
              <w:pStyle w:val="TH"/>
              <w:keepLines/>
              <w:spacing w:line="301" w:lineRule="exact"/>
              <w:jc w:val="right"/>
              <w:rPr>
                <w:rFonts w:cs="Arial"/>
                <w:bCs/>
                <w:color w:val="000000" w:themeColor="text1"/>
                <w:sz w:val="18"/>
                <w:szCs w:val="18"/>
                <w:lang w:val="hr-HR"/>
              </w:rPr>
            </w:pPr>
            <w:bookmarkStart w:id="339" w:name="_Toc67326859"/>
            <w:r w:rsidRPr="00B91D09">
              <w:rPr>
                <w:rFonts w:cs="Arial"/>
                <w:bCs/>
                <w:color w:val="000000" w:themeColor="text1"/>
                <w:sz w:val="18"/>
                <w:szCs w:val="18"/>
                <w:lang w:val="hr-HR"/>
              </w:rPr>
              <w:t>000 kuna</w:t>
            </w:r>
            <w:bookmarkEnd w:id="339"/>
          </w:p>
        </w:tc>
        <w:tc>
          <w:tcPr>
            <w:tcW w:w="555" w:type="pct"/>
          </w:tcPr>
          <w:p w14:paraId="2564894C" w14:textId="77777777" w:rsidR="00AE4F61" w:rsidRPr="00B91D09" w:rsidRDefault="00AE4F61" w:rsidP="00E032FC">
            <w:pPr>
              <w:pStyle w:val="TH"/>
              <w:keepLines/>
              <w:spacing w:line="301" w:lineRule="exact"/>
              <w:jc w:val="right"/>
              <w:rPr>
                <w:rFonts w:cs="Arial"/>
                <w:bCs/>
                <w:color w:val="000000" w:themeColor="text1"/>
                <w:sz w:val="18"/>
                <w:szCs w:val="18"/>
                <w:lang w:val="hr-HR"/>
              </w:rPr>
            </w:pPr>
            <w:r w:rsidRPr="00B91D09">
              <w:rPr>
                <w:rFonts w:cs="Arial"/>
                <w:bCs/>
                <w:color w:val="000000" w:themeColor="text1"/>
                <w:sz w:val="18"/>
                <w:szCs w:val="18"/>
                <w:lang w:val="hr-HR"/>
              </w:rPr>
              <w:t>000 kuna</w:t>
            </w:r>
          </w:p>
        </w:tc>
        <w:tc>
          <w:tcPr>
            <w:tcW w:w="692" w:type="pct"/>
          </w:tcPr>
          <w:p w14:paraId="1CF3DC50" w14:textId="77777777" w:rsidR="00AE4F61" w:rsidRPr="00B91D09" w:rsidRDefault="00AE4F61" w:rsidP="00E032FC">
            <w:pPr>
              <w:pStyle w:val="TH"/>
              <w:keepLines/>
              <w:spacing w:line="301" w:lineRule="exact"/>
              <w:jc w:val="right"/>
              <w:rPr>
                <w:rFonts w:cs="Arial"/>
                <w:bCs/>
                <w:color w:val="000000" w:themeColor="text1"/>
                <w:sz w:val="18"/>
                <w:szCs w:val="18"/>
                <w:lang w:val="hr-HR"/>
              </w:rPr>
            </w:pPr>
            <w:bookmarkStart w:id="340" w:name="_Toc67326860"/>
            <w:r w:rsidRPr="00B91D09">
              <w:rPr>
                <w:rFonts w:cs="Arial"/>
                <w:bCs/>
                <w:color w:val="000000" w:themeColor="text1"/>
                <w:sz w:val="18"/>
                <w:szCs w:val="18"/>
                <w:lang w:val="hr-HR"/>
              </w:rPr>
              <w:t>000 kuna</w:t>
            </w:r>
            <w:bookmarkEnd w:id="340"/>
          </w:p>
        </w:tc>
      </w:tr>
      <w:tr w:rsidR="00AE4F61" w:rsidRPr="00B91D09" w14:paraId="72E620C9" w14:textId="77777777" w:rsidTr="009307DC">
        <w:trPr>
          <w:trHeight w:hRule="exact" w:val="284"/>
        </w:trPr>
        <w:tc>
          <w:tcPr>
            <w:tcW w:w="1317" w:type="pct"/>
            <w:vAlign w:val="bottom"/>
          </w:tcPr>
          <w:p w14:paraId="0805D5D3" w14:textId="77777777" w:rsidR="00AE4F61" w:rsidRPr="00B91D09" w:rsidRDefault="00AE4F61" w:rsidP="00E032FC">
            <w:pPr>
              <w:pStyle w:val="TT"/>
              <w:spacing w:line="140" w:lineRule="exact"/>
              <w:rPr>
                <w:rFonts w:cs="Arial"/>
                <w:iCs/>
                <w:color w:val="000000" w:themeColor="text1"/>
                <w:sz w:val="18"/>
                <w:szCs w:val="18"/>
                <w:lang w:val="hr-HR"/>
              </w:rPr>
            </w:pPr>
          </w:p>
        </w:tc>
        <w:tc>
          <w:tcPr>
            <w:tcW w:w="593" w:type="pct"/>
            <w:tcBorders>
              <w:bottom w:val="single" w:sz="4" w:space="0" w:color="auto"/>
            </w:tcBorders>
            <w:vAlign w:val="bottom"/>
          </w:tcPr>
          <w:p w14:paraId="62E8A8A3" w14:textId="77777777" w:rsidR="00AE4F61" w:rsidRPr="00B91D09" w:rsidRDefault="00AE4F61" w:rsidP="00E032FC">
            <w:pPr>
              <w:pStyle w:val="TT"/>
              <w:spacing w:line="140" w:lineRule="exact"/>
              <w:jc w:val="right"/>
              <w:rPr>
                <w:rFonts w:cs="Arial"/>
                <w:b/>
                <w:bCs/>
                <w:color w:val="000000" w:themeColor="text1"/>
                <w:sz w:val="18"/>
                <w:szCs w:val="18"/>
                <w:lang w:val="hr-HR"/>
              </w:rPr>
            </w:pPr>
          </w:p>
        </w:tc>
        <w:tc>
          <w:tcPr>
            <w:tcW w:w="555" w:type="pct"/>
            <w:tcBorders>
              <w:bottom w:val="single" w:sz="4" w:space="0" w:color="auto"/>
            </w:tcBorders>
            <w:vAlign w:val="bottom"/>
          </w:tcPr>
          <w:p w14:paraId="129A5CC5" w14:textId="77777777" w:rsidR="00AE4F61" w:rsidRPr="00B91D09" w:rsidRDefault="00AE4F61" w:rsidP="00E032FC">
            <w:pPr>
              <w:pStyle w:val="TT"/>
              <w:spacing w:line="140" w:lineRule="exact"/>
              <w:jc w:val="right"/>
              <w:rPr>
                <w:rFonts w:cs="Arial"/>
                <w:b/>
                <w:bCs/>
                <w:color w:val="000000" w:themeColor="text1"/>
                <w:sz w:val="18"/>
                <w:szCs w:val="18"/>
                <w:lang w:val="hr-HR"/>
              </w:rPr>
            </w:pPr>
          </w:p>
        </w:tc>
        <w:tc>
          <w:tcPr>
            <w:tcW w:w="593" w:type="pct"/>
            <w:tcBorders>
              <w:bottom w:val="single" w:sz="4" w:space="0" w:color="auto"/>
            </w:tcBorders>
            <w:vAlign w:val="bottom"/>
          </w:tcPr>
          <w:p w14:paraId="46E5A617" w14:textId="77777777" w:rsidR="00AE4F61" w:rsidRPr="00B91D09" w:rsidRDefault="00AE4F61" w:rsidP="00E032FC">
            <w:pPr>
              <w:pStyle w:val="TT"/>
              <w:spacing w:line="140" w:lineRule="exact"/>
              <w:jc w:val="right"/>
              <w:rPr>
                <w:rFonts w:cs="Arial"/>
                <w:b/>
                <w:bCs/>
                <w:color w:val="000000" w:themeColor="text1"/>
                <w:sz w:val="18"/>
                <w:szCs w:val="18"/>
                <w:lang w:val="hr-HR"/>
              </w:rPr>
            </w:pPr>
          </w:p>
        </w:tc>
        <w:tc>
          <w:tcPr>
            <w:tcW w:w="694" w:type="pct"/>
            <w:tcBorders>
              <w:bottom w:val="single" w:sz="4" w:space="0" w:color="auto"/>
            </w:tcBorders>
            <w:vAlign w:val="bottom"/>
          </w:tcPr>
          <w:p w14:paraId="7321A6DB" w14:textId="77777777" w:rsidR="00AE4F61" w:rsidRPr="00B91D09" w:rsidRDefault="00AE4F61" w:rsidP="00E032FC">
            <w:pPr>
              <w:pStyle w:val="TT"/>
              <w:spacing w:line="140" w:lineRule="exact"/>
              <w:jc w:val="right"/>
              <w:rPr>
                <w:rFonts w:cs="Arial"/>
                <w:b/>
                <w:bCs/>
                <w:color w:val="000000" w:themeColor="text1"/>
                <w:sz w:val="18"/>
                <w:szCs w:val="18"/>
                <w:lang w:val="hr-HR"/>
              </w:rPr>
            </w:pPr>
          </w:p>
        </w:tc>
        <w:tc>
          <w:tcPr>
            <w:tcW w:w="555" w:type="pct"/>
            <w:tcBorders>
              <w:bottom w:val="single" w:sz="4" w:space="0" w:color="auto"/>
            </w:tcBorders>
            <w:vAlign w:val="bottom"/>
          </w:tcPr>
          <w:p w14:paraId="6D0B0BFA" w14:textId="77777777" w:rsidR="00AE4F61" w:rsidRPr="00B91D09" w:rsidRDefault="00AE4F61" w:rsidP="00E032FC">
            <w:pPr>
              <w:pStyle w:val="TT"/>
              <w:spacing w:line="140" w:lineRule="exact"/>
              <w:jc w:val="right"/>
              <w:rPr>
                <w:rFonts w:cs="Arial"/>
                <w:b/>
                <w:bCs/>
                <w:color w:val="000000" w:themeColor="text1"/>
                <w:sz w:val="18"/>
                <w:szCs w:val="18"/>
                <w:lang w:val="hr-HR"/>
              </w:rPr>
            </w:pPr>
          </w:p>
        </w:tc>
        <w:tc>
          <w:tcPr>
            <w:tcW w:w="692" w:type="pct"/>
            <w:tcBorders>
              <w:bottom w:val="single" w:sz="4" w:space="0" w:color="auto"/>
            </w:tcBorders>
            <w:vAlign w:val="bottom"/>
          </w:tcPr>
          <w:p w14:paraId="5BD76FBA" w14:textId="77777777" w:rsidR="00AE4F61" w:rsidRPr="00B91D09" w:rsidRDefault="00AE4F61" w:rsidP="00E032FC">
            <w:pPr>
              <w:pStyle w:val="TT"/>
              <w:spacing w:line="140" w:lineRule="exact"/>
              <w:jc w:val="right"/>
              <w:rPr>
                <w:rFonts w:cs="Arial"/>
                <w:b/>
                <w:bCs/>
                <w:color w:val="000000" w:themeColor="text1"/>
                <w:sz w:val="18"/>
                <w:szCs w:val="18"/>
                <w:lang w:val="hr-HR"/>
              </w:rPr>
            </w:pPr>
          </w:p>
        </w:tc>
      </w:tr>
      <w:tr w:rsidR="00AE4F61" w:rsidRPr="00B91D09" w14:paraId="168F9588" w14:textId="77777777" w:rsidTr="009307DC">
        <w:trPr>
          <w:trHeight w:val="340"/>
        </w:trPr>
        <w:tc>
          <w:tcPr>
            <w:tcW w:w="1317" w:type="pct"/>
            <w:vAlign w:val="bottom"/>
          </w:tcPr>
          <w:p w14:paraId="0184C6A5" w14:textId="77777777" w:rsidR="00AE4F61" w:rsidRPr="00B91D09" w:rsidRDefault="00AE4F61" w:rsidP="00E032FC">
            <w:pPr>
              <w:pStyle w:val="TT"/>
              <w:spacing w:line="240" w:lineRule="exact"/>
              <w:rPr>
                <w:rFonts w:cs="Arial"/>
                <w:b/>
                <w:iCs/>
                <w:color w:val="000000" w:themeColor="text1"/>
                <w:sz w:val="18"/>
                <w:szCs w:val="18"/>
                <w:lang w:val="hr-HR"/>
              </w:rPr>
            </w:pPr>
            <w:bookmarkStart w:id="341" w:name="_Toc67326861"/>
            <w:r w:rsidRPr="00B91D09">
              <w:rPr>
                <w:rFonts w:cs="Arial"/>
                <w:b/>
                <w:iCs/>
                <w:color w:val="000000" w:themeColor="text1"/>
                <w:sz w:val="18"/>
                <w:szCs w:val="18"/>
                <w:lang w:val="hr-HR"/>
              </w:rPr>
              <w:t>Stanje 1. siječnja 202</w:t>
            </w:r>
            <w:r>
              <w:rPr>
                <w:rFonts w:cs="Arial"/>
                <w:b/>
                <w:iCs/>
                <w:color w:val="000000" w:themeColor="text1"/>
                <w:sz w:val="18"/>
                <w:szCs w:val="18"/>
                <w:lang w:val="hr-HR"/>
              </w:rPr>
              <w:t>1</w:t>
            </w:r>
            <w:r w:rsidRPr="00B91D09">
              <w:rPr>
                <w:rFonts w:cs="Arial"/>
                <w:b/>
                <w:iCs/>
                <w:color w:val="000000" w:themeColor="text1"/>
                <w:sz w:val="18"/>
                <w:szCs w:val="18"/>
                <w:lang w:val="hr-HR"/>
              </w:rPr>
              <w:t>.</w:t>
            </w:r>
            <w:bookmarkEnd w:id="341"/>
            <w:r w:rsidRPr="00B91D09">
              <w:rPr>
                <w:rFonts w:cs="Arial"/>
                <w:b/>
                <w:iCs/>
                <w:color w:val="000000" w:themeColor="text1"/>
                <w:sz w:val="18"/>
                <w:szCs w:val="18"/>
                <w:lang w:val="hr-HR"/>
              </w:rPr>
              <w:t xml:space="preserve"> </w:t>
            </w:r>
          </w:p>
        </w:tc>
        <w:tc>
          <w:tcPr>
            <w:tcW w:w="593" w:type="pct"/>
            <w:tcBorders>
              <w:top w:val="nil"/>
              <w:left w:val="nil"/>
              <w:bottom w:val="single" w:sz="12" w:space="0" w:color="auto"/>
              <w:right w:val="nil"/>
            </w:tcBorders>
            <w:shd w:val="clear" w:color="auto" w:fill="auto"/>
            <w:vAlign w:val="bottom"/>
          </w:tcPr>
          <w:p w14:paraId="5DC552B9" w14:textId="77777777" w:rsidR="00AE4F61" w:rsidRPr="00B91D09" w:rsidRDefault="00AE4F61" w:rsidP="00E032FC">
            <w:pPr>
              <w:pStyle w:val="TT"/>
              <w:jc w:val="right"/>
              <w:rPr>
                <w:rFonts w:cs="Arial"/>
                <w:b/>
                <w:iCs/>
                <w:color w:val="000000" w:themeColor="text1"/>
                <w:sz w:val="18"/>
                <w:szCs w:val="18"/>
                <w:lang w:val="hr-HR"/>
              </w:rPr>
            </w:pPr>
            <w:bookmarkStart w:id="342" w:name="_Toc67326911"/>
            <w:r w:rsidRPr="00B91D09">
              <w:rPr>
                <w:rFonts w:cs="Arial"/>
                <w:b/>
                <w:iCs/>
                <w:color w:val="000000" w:themeColor="text1"/>
                <w:sz w:val="18"/>
                <w:szCs w:val="18"/>
                <w:lang w:val="hr-HR"/>
              </w:rPr>
              <w:t>7.134.632</w:t>
            </w:r>
            <w:bookmarkEnd w:id="342"/>
          </w:p>
        </w:tc>
        <w:tc>
          <w:tcPr>
            <w:tcW w:w="555" w:type="pct"/>
            <w:tcBorders>
              <w:top w:val="nil"/>
              <w:left w:val="nil"/>
              <w:bottom w:val="single" w:sz="12" w:space="0" w:color="auto"/>
              <w:right w:val="nil"/>
            </w:tcBorders>
            <w:shd w:val="clear" w:color="auto" w:fill="auto"/>
            <w:vAlign w:val="bottom"/>
          </w:tcPr>
          <w:p w14:paraId="7603788B" w14:textId="77777777" w:rsidR="00AE4F61" w:rsidRPr="00B91D09" w:rsidRDefault="00AE4F61" w:rsidP="00E032FC">
            <w:pPr>
              <w:pStyle w:val="TT"/>
              <w:jc w:val="right"/>
              <w:rPr>
                <w:rFonts w:cs="Arial"/>
                <w:b/>
                <w:iCs/>
                <w:color w:val="000000" w:themeColor="text1"/>
                <w:sz w:val="18"/>
                <w:szCs w:val="18"/>
                <w:lang w:val="hr-HR"/>
              </w:rPr>
            </w:pPr>
            <w:bookmarkStart w:id="343" w:name="_Toc67326912"/>
            <w:r w:rsidRPr="00B91D09">
              <w:rPr>
                <w:rFonts w:cs="Arial"/>
                <w:b/>
                <w:iCs/>
                <w:color w:val="000000" w:themeColor="text1"/>
                <w:sz w:val="18"/>
                <w:szCs w:val="18"/>
                <w:lang w:val="hr-HR"/>
              </w:rPr>
              <w:t>3.076.153</w:t>
            </w:r>
            <w:bookmarkEnd w:id="343"/>
          </w:p>
        </w:tc>
        <w:tc>
          <w:tcPr>
            <w:tcW w:w="593" w:type="pct"/>
            <w:tcBorders>
              <w:top w:val="nil"/>
              <w:left w:val="nil"/>
              <w:bottom w:val="single" w:sz="12" w:space="0" w:color="auto"/>
              <w:right w:val="nil"/>
            </w:tcBorders>
            <w:shd w:val="clear" w:color="auto" w:fill="auto"/>
            <w:vAlign w:val="bottom"/>
          </w:tcPr>
          <w:p w14:paraId="7E346307" w14:textId="77777777" w:rsidR="00AE4F61" w:rsidRPr="00B91D09" w:rsidRDefault="00AE4F61" w:rsidP="00E032FC">
            <w:pPr>
              <w:pStyle w:val="TT"/>
              <w:jc w:val="right"/>
              <w:rPr>
                <w:rFonts w:cs="Arial"/>
                <w:b/>
                <w:iCs/>
                <w:color w:val="000000" w:themeColor="text1"/>
                <w:sz w:val="18"/>
                <w:szCs w:val="18"/>
                <w:lang w:val="hr-HR"/>
              </w:rPr>
            </w:pPr>
            <w:bookmarkStart w:id="344" w:name="_Toc67326913"/>
            <w:r w:rsidRPr="00B91D09">
              <w:rPr>
                <w:rFonts w:cs="Arial"/>
                <w:b/>
                <w:iCs/>
                <w:color w:val="000000" w:themeColor="text1"/>
                <w:sz w:val="18"/>
                <w:szCs w:val="18"/>
                <w:lang w:val="hr-HR"/>
              </w:rPr>
              <w:t>59.108</w:t>
            </w:r>
            <w:bookmarkEnd w:id="344"/>
          </w:p>
        </w:tc>
        <w:tc>
          <w:tcPr>
            <w:tcW w:w="694" w:type="pct"/>
            <w:tcBorders>
              <w:top w:val="nil"/>
              <w:left w:val="nil"/>
              <w:bottom w:val="single" w:sz="12" w:space="0" w:color="auto"/>
              <w:right w:val="nil"/>
            </w:tcBorders>
            <w:shd w:val="clear" w:color="auto" w:fill="auto"/>
            <w:vAlign w:val="bottom"/>
          </w:tcPr>
          <w:p w14:paraId="3AC81188" w14:textId="77777777" w:rsidR="00AE4F61" w:rsidRPr="00B91D09" w:rsidRDefault="00AE4F61" w:rsidP="00E032FC">
            <w:pPr>
              <w:pStyle w:val="TT"/>
              <w:jc w:val="right"/>
              <w:rPr>
                <w:rFonts w:cs="Arial"/>
                <w:b/>
                <w:iCs/>
                <w:color w:val="000000" w:themeColor="text1"/>
                <w:sz w:val="18"/>
                <w:szCs w:val="18"/>
                <w:lang w:val="hr-HR"/>
              </w:rPr>
            </w:pPr>
            <w:bookmarkStart w:id="345" w:name="_Toc67326914"/>
            <w:r w:rsidRPr="00B91D09">
              <w:rPr>
                <w:rFonts w:cs="Arial"/>
                <w:b/>
                <w:iCs/>
                <w:color w:val="000000" w:themeColor="text1"/>
                <w:sz w:val="18"/>
                <w:szCs w:val="18"/>
                <w:lang w:val="hr-HR"/>
              </w:rPr>
              <w:t>81.531</w:t>
            </w:r>
            <w:bookmarkEnd w:id="345"/>
          </w:p>
        </w:tc>
        <w:tc>
          <w:tcPr>
            <w:tcW w:w="555" w:type="pct"/>
            <w:tcBorders>
              <w:top w:val="nil"/>
              <w:left w:val="nil"/>
              <w:bottom w:val="single" w:sz="12" w:space="0" w:color="auto"/>
              <w:right w:val="nil"/>
            </w:tcBorders>
            <w:shd w:val="clear" w:color="auto" w:fill="auto"/>
            <w:vAlign w:val="bottom"/>
          </w:tcPr>
          <w:p w14:paraId="28557057" w14:textId="77777777" w:rsidR="00AE4F61" w:rsidRPr="00B91D09" w:rsidRDefault="00AE4F61" w:rsidP="00E032FC">
            <w:pPr>
              <w:pStyle w:val="TT"/>
              <w:jc w:val="right"/>
              <w:rPr>
                <w:rFonts w:cs="Arial"/>
                <w:b/>
                <w:bCs/>
                <w:color w:val="000000" w:themeColor="text1"/>
                <w:sz w:val="18"/>
                <w:szCs w:val="18"/>
                <w:lang w:val="hr-HR"/>
              </w:rPr>
            </w:pPr>
            <w:bookmarkStart w:id="346" w:name="_Toc67326915"/>
            <w:r w:rsidRPr="00B91D09">
              <w:rPr>
                <w:rFonts w:cs="Arial"/>
                <w:b/>
                <w:bCs/>
                <w:color w:val="000000" w:themeColor="text1"/>
                <w:sz w:val="18"/>
                <w:szCs w:val="18"/>
                <w:lang w:val="hr-HR"/>
              </w:rPr>
              <w:t>12.341</w:t>
            </w:r>
            <w:bookmarkEnd w:id="346"/>
          </w:p>
        </w:tc>
        <w:tc>
          <w:tcPr>
            <w:tcW w:w="692" w:type="pct"/>
            <w:tcBorders>
              <w:top w:val="nil"/>
              <w:left w:val="nil"/>
              <w:bottom w:val="single" w:sz="12" w:space="0" w:color="auto"/>
              <w:right w:val="nil"/>
            </w:tcBorders>
            <w:shd w:val="clear" w:color="auto" w:fill="auto"/>
            <w:vAlign w:val="bottom"/>
          </w:tcPr>
          <w:p w14:paraId="70C37C97" w14:textId="77777777" w:rsidR="00AE4F61" w:rsidRPr="00B91D09" w:rsidRDefault="00AE4F61" w:rsidP="00E032FC">
            <w:pPr>
              <w:pStyle w:val="TT"/>
              <w:jc w:val="right"/>
              <w:rPr>
                <w:rFonts w:cs="Arial"/>
                <w:b/>
                <w:iCs/>
                <w:color w:val="000000" w:themeColor="text1"/>
                <w:sz w:val="18"/>
                <w:szCs w:val="18"/>
                <w:lang w:val="hr-HR"/>
              </w:rPr>
            </w:pPr>
            <w:bookmarkStart w:id="347" w:name="_Toc67326916"/>
            <w:r w:rsidRPr="00B91D09">
              <w:rPr>
                <w:rFonts w:cs="Arial"/>
                <w:b/>
                <w:iCs/>
                <w:color w:val="000000" w:themeColor="text1"/>
                <w:sz w:val="18"/>
                <w:szCs w:val="18"/>
                <w:lang w:val="hr-HR"/>
              </w:rPr>
              <w:t>10.363.765</w:t>
            </w:r>
            <w:bookmarkEnd w:id="347"/>
          </w:p>
        </w:tc>
      </w:tr>
      <w:tr w:rsidR="00AE4F61" w:rsidRPr="00B91D09" w14:paraId="3CC01343" w14:textId="77777777" w:rsidTr="009307DC">
        <w:trPr>
          <w:trHeight w:val="77"/>
        </w:trPr>
        <w:tc>
          <w:tcPr>
            <w:tcW w:w="1317" w:type="pct"/>
            <w:vAlign w:val="bottom"/>
          </w:tcPr>
          <w:p w14:paraId="1D6852CF" w14:textId="77777777" w:rsidR="00AE4F61" w:rsidRPr="00B91D09" w:rsidRDefault="00AE4F61" w:rsidP="00E032FC">
            <w:pPr>
              <w:pStyle w:val="TT"/>
              <w:spacing w:line="240" w:lineRule="exact"/>
              <w:rPr>
                <w:rFonts w:cs="Arial"/>
                <w:iCs/>
                <w:color w:val="000000" w:themeColor="text1"/>
                <w:sz w:val="18"/>
                <w:szCs w:val="18"/>
                <w:lang w:val="hr-HR"/>
              </w:rPr>
            </w:pPr>
            <w:bookmarkStart w:id="348" w:name="_Toc67326868"/>
            <w:r w:rsidRPr="00B91D09">
              <w:rPr>
                <w:rFonts w:cs="Arial"/>
                <w:iCs/>
                <w:color w:val="000000" w:themeColor="text1"/>
                <w:sz w:val="18"/>
                <w:szCs w:val="18"/>
                <w:lang w:val="hr-HR"/>
              </w:rPr>
              <w:t>Dobit tekuće godine</w:t>
            </w:r>
            <w:bookmarkEnd w:id="348"/>
          </w:p>
        </w:tc>
        <w:tc>
          <w:tcPr>
            <w:tcW w:w="593" w:type="pct"/>
            <w:tcBorders>
              <w:top w:val="nil"/>
              <w:left w:val="nil"/>
              <w:bottom w:val="nil"/>
              <w:right w:val="nil"/>
            </w:tcBorders>
            <w:shd w:val="clear" w:color="auto" w:fill="auto"/>
            <w:vAlign w:val="bottom"/>
          </w:tcPr>
          <w:p w14:paraId="463D7EDB" w14:textId="77777777" w:rsidR="00AE4F61" w:rsidRPr="00B91D09" w:rsidRDefault="00AE4F61" w:rsidP="00E032FC">
            <w:pPr>
              <w:pStyle w:val="TT"/>
              <w:jc w:val="right"/>
              <w:rPr>
                <w:rFonts w:cs="Arial"/>
                <w:iCs/>
                <w:color w:val="000000" w:themeColor="text1"/>
                <w:sz w:val="18"/>
                <w:szCs w:val="18"/>
                <w:lang w:val="hr-HR"/>
              </w:rPr>
            </w:pPr>
            <w:bookmarkStart w:id="349" w:name="_Toc67326918"/>
            <w:r w:rsidRPr="00B91D09">
              <w:rPr>
                <w:rFonts w:cs="Arial"/>
                <w:color w:val="000000"/>
                <w:sz w:val="18"/>
                <w:szCs w:val="18"/>
              </w:rPr>
              <w:t xml:space="preserve">- </w:t>
            </w:r>
            <w:bookmarkEnd w:id="349"/>
          </w:p>
        </w:tc>
        <w:tc>
          <w:tcPr>
            <w:tcW w:w="555" w:type="pct"/>
            <w:tcBorders>
              <w:top w:val="nil"/>
              <w:left w:val="nil"/>
              <w:bottom w:val="nil"/>
              <w:right w:val="nil"/>
            </w:tcBorders>
            <w:shd w:val="clear" w:color="auto" w:fill="auto"/>
            <w:vAlign w:val="bottom"/>
          </w:tcPr>
          <w:p w14:paraId="40385F1E" w14:textId="77777777" w:rsidR="00AE4F61" w:rsidRPr="00B91D09" w:rsidRDefault="00AE4F61" w:rsidP="00E032FC">
            <w:pPr>
              <w:pStyle w:val="TT"/>
              <w:jc w:val="right"/>
              <w:rPr>
                <w:rFonts w:cs="Arial"/>
                <w:iCs/>
                <w:color w:val="000000" w:themeColor="text1"/>
                <w:sz w:val="18"/>
                <w:szCs w:val="18"/>
                <w:lang w:val="hr-HR"/>
              </w:rPr>
            </w:pPr>
            <w:bookmarkStart w:id="350" w:name="_Toc67326919"/>
            <w:r w:rsidRPr="00B91D09">
              <w:rPr>
                <w:rFonts w:cs="Arial"/>
                <w:color w:val="000000"/>
                <w:sz w:val="18"/>
                <w:szCs w:val="18"/>
              </w:rPr>
              <w:t xml:space="preserve">    - </w:t>
            </w:r>
            <w:bookmarkEnd w:id="350"/>
          </w:p>
        </w:tc>
        <w:tc>
          <w:tcPr>
            <w:tcW w:w="593" w:type="pct"/>
            <w:tcBorders>
              <w:top w:val="nil"/>
              <w:left w:val="nil"/>
              <w:bottom w:val="nil"/>
              <w:right w:val="nil"/>
            </w:tcBorders>
            <w:shd w:val="clear" w:color="auto" w:fill="auto"/>
            <w:vAlign w:val="bottom"/>
          </w:tcPr>
          <w:p w14:paraId="4DA5C748" w14:textId="77777777" w:rsidR="00AE4F61" w:rsidRPr="00B91D09" w:rsidRDefault="00AE4F61" w:rsidP="00E032FC">
            <w:pPr>
              <w:pStyle w:val="TT"/>
              <w:jc w:val="right"/>
              <w:rPr>
                <w:rFonts w:cs="Arial"/>
                <w:iCs/>
                <w:color w:val="000000" w:themeColor="text1"/>
                <w:sz w:val="18"/>
                <w:szCs w:val="18"/>
                <w:lang w:val="hr-HR"/>
              </w:rPr>
            </w:pPr>
            <w:bookmarkStart w:id="351" w:name="_Toc67326920"/>
            <w:r w:rsidRPr="00B91D09">
              <w:rPr>
                <w:rFonts w:cs="Arial"/>
                <w:color w:val="000000"/>
                <w:sz w:val="18"/>
                <w:szCs w:val="18"/>
              </w:rPr>
              <w:t xml:space="preserve">     - </w:t>
            </w:r>
            <w:bookmarkEnd w:id="351"/>
          </w:p>
        </w:tc>
        <w:tc>
          <w:tcPr>
            <w:tcW w:w="694" w:type="pct"/>
            <w:tcBorders>
              <w:top w:val="nil"/>
              <w:left w:val="nil"/>
              <w:bottom w:val="nil"/>
              <w:right w:val="nil"/>
            </w:tcBorders>
            <w:shd w:val="clear" w:color="auto" w:fill="auto"/>
            <w:vAlign w:val="bottom"/>
          </w:tcPr>
          <w:p w14:paraId="6BDAF6A3" w14:textId="77777777" w:rsidR="00AE4F61" w:rsidRPr="00B91D09" w:rsidRDefault="00AE4F61" w:rsidP="00E032FC">
            <w:pPr>
              <w:pStyle w:val="TT"/>
              <w:jc w:val="right"/>
              <w:rPr>
                <w:rFonts w:cs="Arial"/>
                <w:iCs/>
                <w:color w:val="000000" w:themeColor="text1"/>
                <w:sz w:val="18"/>
                <w:szCs w:val="18"/>
                <w:lang w:val="hr-HR"/>
              </w:rPr>
            </w:pPr>
            <w:bookmarkStart w:id="352" w:name="_Toc67326921"/>
            <w:r w:rsidRPr="00B91D09">
              <w:rPr>
                <w:rFonts w:cs="Arial"/>
                <w:color w:val="000000"/>
                <w:sz w:val="18"/>
                <w:szCs w:val="18"/>
              </w:rPr>
              <w:t xml:space="preserve">188.185 </w:t>
            </w:r>
            <w:bookmarkEnd w:id="352"/>
          </w:p>
        </w:tc>
        <w:tc>
          <w:tcPr>
            <w:tcW w:w="555" w:type="pct"/>
            <w:tcBorders>
              <w:top w:val="nil"/>
              <w:left w:val="nil"/>
              <w:bottom w:val="nil"/>
              <w:right w:val="nil"/>
            </w:tcBorders>
            <w:shd w:val="clear" w:color="auto" w:fill="auto"/>
            <w:vAlign w:val="bottom"/>
          </w:tcPr>
          <w:p w14:paraId="4A34B11E" w14:textId="77777777" w:rsidR="00AE4F61" w:rsidRPr="00B91D09" w:rsidRDefault="00AE4F61" w:rsidP="00E032FC">
            <w:pPr>
              <w:pStyle w:val="TT"/>
              <w:jc w:val="right"/>
              <w:rPr>
                <w:rFonts w:cs="Arial"/>
                <w:color w:val="000000" w:themeColor="text1"/>
                <w:sz w:val="18"/>
                <w:szCs w:val="18"/>
                <w:lang w:val="hr-HR"/>
              </w:rPr>
            </w:pPr>
            <w:bookmarkStart w:id="353" w:name="_Toc67326922"/>
            <w:r w:rsidRPr="00B91D09">
              <w:rPr>
                <w:rFonts w:cs="Arial"/>
                <w:color w:val="000000"/>
                <w:sz w:val="18"/>
                <w:szCs w:val="18"/>
              </w:rPr>
              <w:t xml:space="preserve">  - </w:t>
            </w:r>
            <w:bookmarkEnd w:id="353"/>
          </w:p>
        </w:tc>
        <w:tc>
          <w:tcPr>
            <w:tcW w:w="692" w:type="pct"/>
            <w:tcBorders>
              <w:top w:val="nil"/>
              <w:left w:val="nil"/>
              <w:bottom w:val="nil"/>
              <w:right w:val="nil"/>
            </w:tcBorders>
            <w:shd w:val="clear" w:color="auto" w:fill="auto"/>
            <w:vAlign w:val="bottom"/>
          </w:tcPr>
          <w:p w14:paraId="627BA6EF" w14:textId="77777777" w:rsidR="00AE4F61" w:rsidRPr="00B91D09" w:rsidRDefault="00AE4F61" w:rsidP="00E032FC">
            <w:pPr>
              <w:pStyle w:val="TT"/>
              <w:jc w:val="right"/>
              <w:rPr>
                <w:rFonts w:cs="Arial"/>
                <w:b/>
                <w:iCs/>
                <w:color w:val="000000" w:themeColor="text1"/>
                <w:sz w:val="18"/>
                <w:szCs w:val="18"/>
                <w:lang w:val="hr-HR"/>
              </w:rPr>
            </w:pPr>
            <w:bookmarkStart w:id="354" w:name="_Toc67326923"/>
            <w:r w:rsidRPr="00B91D09">
              <w:rPr>
                <w:rFonts w:cs="Arial"/>
                <w:b/>
                <w:bCs/>
                <w:color w:val="000000"/>
                <w:sz w:val="18"/>
                <w:szCs w:val="18"/>
              </w:rPr>
              <w:t xml:space="preserve">188.185 </w:t>
            </w:r>
            <w:bookmarkEnd w:id="354"/>
          </w:p>
        </w:tc>
      </w:tr>
      <w:tr w:rsidR="00AE4F61" w:rsidRPr="00B91D09" w14:paraId="76D41E28" w14:textId="77777777" w:rsidTr="009307DC">
        <w:trPr>
          <w:trHeight w:val="77"/>
        </w:trPr>
        <w:tc>
          <w:tcPr>
            <w:tcW w:w="1317" w:type="pct"/>
            <w:vAlign w:val="bottom"/>
          </w:tcPr>
          <w:p w14:paraId="2FAFD585" w14:textId="77777777" w:rsidR="00AE4F61" w:rsidRPr="00B91D09" w:rsidRDefault="00AE4F61" w:rsidP="00E032FC">
            <w:pPr>
              <w:pStyle w:val="TT"/>
              <w:spacing w:line="240" w:lineRule="exact"/>
              <w:rPr>
                <w:rFonts w:cs="Arial"/>
                <w:iCs/>
                <w:color w:val="000000" w:themeColor="text1"/>
                <w:sz w:val="18"/>
                <w:szCs w:val="18"/>
                <w:lang w:val="hr-HR"/>
              </w:rPr>
            </w:pPr>
            <w:bookmarkStart w:id="355" w:name="_Toc67326875"/>
            <w:r w:rsidRPr="00B91D09">
              <w:rPr>
                <w:rFonts w:cs="Arial"/>
                <w:iCs/>
                <w:color w:val="000000" w:themeColor="text1"/>
                <w:sz w:val="18"/>
                <w:szCs w:val="18"/>
                <w:lang w:val="hr-HR"/>
              </w:rPr>
              <w:t>Ostala sveobuhvatna dobit</w:t>
            </w:r>
            <w:bookmarkEnd w:id="355"/>
          </w:p>
        </w:tc>
        <w:tc>
          <w:tcPr>
            <w:tcW w:w="593" w:type="pct"/>
            <w:tcBorders>
              <w:bottom w:val="single" w:sz="4" w:space="0" w:color="auto"/>
            </w:tcBorders>
            <w:vAlign w:val="bottom"/>
          </w:tcPr>
          <w:p w14:paraId="079F238A" w14:textId="77777777" w:rsidR="00AE4F61" w:rsidRPr="00B91D09" w:rsidRDefault="00AE4F61" w:rsidP="00E032FC">
            <w:pPr>
              <w:pStyle w:val="TT"/>
              <w:jc w:val="right"/>
              <w:rPr>
                <w:rFonts w:cs="Arial"/>
                <w:iCs/>
                <w:color w:val="000000" w:themeColor="text1"/>
                <w:sz w:val="18"/>
                <w:szCs w:val="18"/>
                <w:lang w:val="hr-HR"/>
              </w:rPr>
            </w:pPr>
            <w:bookmarkStart w:id="356" w:name="_Toc67326925"/>
            <w:r w:rsidRPr="00B91D09">
              <w:rPr>
                <w:rFonts w:cs="Arial"/>
                <w:color w:val="000000"/>
                <w:sz w:val="18"/>
                <w:szCs w:val="18"/>
              </w:rPr>
              <w:t xml:space="preserve"> - </w:t>
            </w:r>
            <w:bookmarkEnd w:id="356"/>
          </w:p>
        </w:tc>
        <w:tc>
          <w:tcPr>
            <w:tcW w:w="555" w:type="pct"/>
            <w:tcBorders>
              <w:bottom w:val="single" w:sz="4" w:space="0" w:color="auto"/>
            </w:tcBorders>
            <w:vAlign w:val="bottom"/>
          </w:tcPr>
          <w:p w14:paraId="7F231EE6" w14:textId="77777777" w:rsidR="00AE4F61" w:rsidRPr="00B91D09" w:rsidRDefault="00AE4F61" w:rsidP="00E032FC">
            <w:pPr>
              <w:pStyle w:val="TT"/>
              <w:jc w:val="right"/>
              <w:rPr>
                <w:rFonts w:cs="Arial"/>
                <w:iCs/>
                <w:color w:val="000000" w:themeColor="text1"/>
                <w:sz w:val="18"/>
                <w:szCs w:val="18"/>
                <w:lang w:val="hr-HR"/>
              </w:rPr>
            </w:pPr>
          </w:p>
        </w:tc>
        <w:tc>
          <w:tcPr>
            <w:tcW w:w="593" w:type="pct"/>
            <w:tcBorders>
              <w:bottom w:val="single" w:sz="4" w:space="0" w:color="auto"/>
            </w:tcBorders>
            <w:vAlign w:val="bottom"/>
          </w:tcPr>
          <w:p w14:paraId="01655F7C" w14:textId="77777777" w:rsidR="00AE4F61" w:rsidRPr="00B91D09" w:rsidRDefault="00AE4F61" w:rsidP="00E032FC">
            <w:pPr>
              <w:pStyle w:val="TT"/>
              <w:jc w:val="right"/>
              <w:rPr>
                <w:rFonts w:cs="Arial"/>
                <w:iCs/>
                <w:color w:val="000000" w:themeColor="text1"/>
                <w:sz w:val="18"/>
                <w:szCs w:val="18"/>
                <w:lang w:val="hr-HR"/>
              </w:rPr>
            </w:pPr>
            <w:bookmarkStart w:id="357" w:name="_Toc67326927"/>
            <w:r w:rsidRPr="00B91D09">
              <w:rPr>
                <w:rFonts w:cs="Arial"/>
                <w:color w:val="000000"/>
                <w:sz w:val="18"/>
                <w:szCs w:val="18"/>
              </w:rPr>
              <w:t xml:space="preserve"> (25.133)</w:t>
            </w:r>
            <w:bookmarkEnd w:id="357"/>
          </w:p>
        </w:tc>
        <w:tc>
          <w:tcPr>
            <w:tcW w:w="694" w:type="pct"/>
            <w:tcBorders>
              <w:bottom w:val="single" w:sz="4" w:space="0" w:color="auto"/>
            </w:tcBorders>
            <w:vAlign w:val="bottom"/>
          </w:tcPr>
          <w:p w14:paraId="290CCA53" w14:textId="77777777" w:rsidR="00AE4F61" w:rsidRPr="00B91D09" w:rsidRDefault="00AE4F61" w:rsidP="00E032FC">
            <w:pPr>
              <w:pStyle w:val="TT"/>
              <w:jc w:val="right"/>
              <w:rPr>
                <w:rFonts w:cs="Arial"/>
                <w:iCs/>
                <w:color w:val="000000" w:themeColor="text1"/>
                <w:sz w:val="18"/>
                <w:szCs w:val="18"/>
                <w:lang w:val="hr-HR"/>
              </w:rPr>
            </w:pPr>
            <w:bookmarkStart w:id="358" w:name="_Toc67326928"/>
            <w:r w:rsidRPr="00B91D09">
              <w:rPr>
                <w:rFonts w:cs="Arial"/>
                <w:color w:val="000000"/>
                <w:sz w:val="18"/>
                <w:szCs w:val="18"/>
              </w:rPr>
              <w:t xml:space="preserve"> - </w:t>
            </w:r>
            <w:bookmarkEnd w:id="358"/>
          </w:p>
        </w:tc>
        <w:tc>
          <w:tcPr>
            <w:tcW w:w="555" w:type="pct"/>
            <w:tcBorders>
              <w:bottom w:val="single" w:sz="4" w:space="0" w:color="auto"/>
            </w:tcBorders>
            <w:vAlign w:val="bottom"/>
          </w:tcPr>
          <w:p w14:paraId="6ABAA76B" w14:textId="77777777" w:rsidR="00AE4F61" w:rsidRPr="00B91D09" w:rsidRDefault="00AE4F61" w:rsidP="00E032FC">
            <w:pPr>
              <w:pStyle w:val="TT"/>
              <w:jc w:val="right"/>
              <w:rPr>
                <w:rFonts w:cs="Arial"/>
                <w:color w:val="000000" w:themeColor="text1"/>
                <w:sz w:val="18"/>
                <w:szCs w:val="18"/>
                <w:lang w:val="hr-HR"/>
              </w:rPr>
            </w:pPr>
            <w:bookmarkStart w:id="359" w:name="_Toc67326929"/>
            <w:r w:rsidRPr="00B91D09">
              <w:rPr>
                <w:rFonts w:cs="Arial"/>
                <w:color w:val="000000"/>
                <w:sz w:val="18"/>
                <w:szCs w:val="18"/>
              </w:rPr>
              <w:t xml:space="preserve"> - </w:t>
            </w:r>
            <w:bookmarkEnd w:id="359"/>
          </w:p>
        </w:tc>
        <w:tc>
          <w:tcPr>
            <w:tcW w:w="692" w:type="pct"/>
            <w:tcBorders>
              <w:bottom w:val="single" w:sz="4" w:space="0" w:color="auto"/>
            </w:tcBorders>
            <w:vAlign w:val="bottom"/>
          </w:tcPr>
          <w:p w14:paraId="15B5B457" w14:textId="77777777" w:rsidR="00AE4F61" w:rsidRPr="00B91D09" w:rsidRDefault="00AE4F61" w:rsidP="00E032FC">
            <w:pPr>
              <w:pStyle w:val="TT"/>
              <w:jc w:val="right"/>
              <w:rPr>
                <w:rFonts w:cs="Arial"/>
                <w:b/>
                <w:iCs/>
                <w:color w:val="000000" w:themeColor="text1"/>
                <w:sz w:val="18"/>
                <w:szCs w:val="18"/>
                <w:lang w:val="hr-HR"/>
              </w:rPr>
            </w:pPr>
            <w:bookmarkStart w:id="360" w:name="_Toc67326930"/>
            <w:r w:rsidRPr="00B91D09">
              <w:rPr>
                <w:rFonts w:cs="Arial"/>
                <w:b/>
                <w:bCs/>
                <w:color w:val="000000"/>
                <w:sz w:val="18"/>
                <w:szCs w:val="18"/>
              </w:rPr>
              <w:t xml:space="preserve"> (25.133)</w:t>
            </w:r>
            <w:bookmarkEnd w:id="360"/>
          </w:p>
        </w:tc>
      </w:tr>
      <w:tr w:rsidR="00AE4F61" w:rsidRPr="00B91D09" w14:paraId="759AE88A" w14:textId="77777777" w:rsidTr="009307DC">
        <w:trPr>
          <w:trHeight w:hRule="exact" w:val="376"/>
        </w:trPr>
        <w:tc>
          <w:tcPr>
            <w:tcW w:w="1317" w:type="pct"/>
            <w:vAlign w:val="bottom"/>
          </w:tcPr>
          <w:p w14:paraId="4295D958" w14:textId="77777777" w:rsidR="00AE4F61" w:rsidRPr="00B91D09" w:rsidRDefault="00AE4F61" w:rsidP="00E032FC">
            <w:pPr>
              <w:pStyle w:val="TT"/>
              <w:spacing w:line="240" w:lineRule="exact"/>
              <w:rPr>
                <w:rFonts w:cs="Arial"/>
                <w:iCs/>
                <w:color w:val="000000" w:themeColor="text1"/>
                <w:sz w:val="18"/>
                <w:szCs w:val="18"/>
                <w:lang w:val="hr-HR"/>
              </w:rPr>
            </w:pPr>
            <w:bookmarkStart w:id="361" w:name="_Toc67326882"/>
            <w:r w:rsidRPr="00B91D09">
              <w:rPr>
                <w:rFonts w:cs="Arial"/>
                <w:iCs/>
                <w:color w:val="000000" w:themeColor="text1"/>
                <w:sz w:val="18"/>
                <w:szCs w:val="18"/>
                <w:lang w:val="hr-HR"/>
              </w:rPr>
              <w:t>Ukupna sveobuhvatna dobit</w:t>
            </w:r>
            <w:bookmarkEnd w:id="361"/>
          </w:p>
        </w:tc>
        <w:tc>
          <w:tcPr>
            <w:tcW w:w="593" w:type="pct"/>
            <w:tcBorders>
              <w:top w:val="nil"/>
              <w:left w:val="nil"/>
              <w:bottom w:val="single" w:sz="4" w:space="0" w:color="auto"/>
              <w:right w:val="nil"/>
            </w:tcBorders>
            <w:shd w:val="clear" w:color="auto" w:fill="auto"/>
            <w:vAlign w:val="bottom"/>
          </w:tcPr>
          <w:p w14:paraId="09BFE5B4" w14:textId="77777777" w:rsidR="00AE4F61" w:rsidRPr="00B91D09" w:rsidRDefault="00AE4F61" w:rsidP="00E032FC">
            <w:pPr>
              <w:pStyle w:val="TT"/>
              <w:jc w:val="right"/>
              <w:rPr>
                <w:rFonts w:cs="Arial"/>
                <w:iCs/>
                <w:color w:val="000000" w:themeColor="text1"/>
                <w:sz w:val="18"/>
                <w:szCs w:val="18"/>
                <w:lang w:val="hr-HR"/>
              </w:rPr>
            </w:pPr>
            <w:bookmarkStart w:id="362" w:name="_Toc67326932"/>
            <w:r w:rsidRPr="00B91D09">
              <w:rPr>
                <w:rFonts w:cs="Arial"/>
                <w:b/>
                <w:iCs/>
                <w:color w:val="000000" w:themeColor="text1"/>
                <w:sz w:val="18"/>
                <w:szCs w:val="18"/>
                <w:lang w:val="hr-HR"/>
              </w:rPr>
              <w:t xml:space="preserve"> - </w:t>
            </w:r>
            <w:bookmarkEnd w:id="362"/>
          </w:p>
        </w:tc>
        <w:tc>
          <w:tcPr>
            <w:tcW w:w="555" w:type="pct"/>
            <w:tcBorders>
              <w:top w:val="nil"/>
              <w:left w:val="nil"/>
              <w:bottom w:val="single" w:sz="4" w:space="0" w:color="auto"/>
              <w:right w:val="nil"/>
            </w:tcBorders>
            <w:shd w:val="clear" w:color="auto" w:fill="auto"/>
            <w:vAlign w:val="bottom"/>
          </w:tcPr>
          <w:p w14:paraId="21DBF0FA" w14:textId="77777777" w:rsidR="00AE4F61" w:rsidRPr="00B91D09" w:rsidRDefault="00AE4F61" w:rsidP="00E032FC">
            <w:pPr>
              <w:pStyle w:val="TT"/>
              <w:jc w:val="right"/>
              <w:rPr>
                <w:rFonts w:cs="Arial"/>
                <w:iCs/>
                <w:color w:val="000000" w:themeColor="text1"/>
                <w:sz w:val="18"/>
                <w:szCs w:val="18"/>
                <w:lang w:val="hr-HR"/>
              </w:rPr>
            </w:pPr>
            <w:bookmarkStart w:id="363" w:name="_Toc67326933"/>
            <w:r w:rsidRPr="00B91D09">
              <w:rPr>
                <w:rFonts w:cs="Arial"/>
                <w:b/>
                <w:iCs/>
                <w:color w:val="000000" w:themeColor="text1"/>
                <w:sz w:val="18"/>
                <w:szCs w:val="18"/>
                <w:lang w:val="hr-HR"/>
              </w:rPr>
              <w:t xml:space="preserve"> - </w:t>
            </w:r>
            <w:bookmarkEnd w:id="363"/>
          </w:p>
        </w:tc>
        <w:tc>
          <w:tcPr>
            <w:tcW w:w="593" w:type="pct"/>
            <w:tcBorders>
              <w:top w:val="nil"/>
              <w:left w:val="nil"/>
              <w:bottom w:val="single" w:sz="4" w:space="0" w:color="auto"/>
              <w:right w:val="nil"/>
            </w:tcBorders>
            <w:shd w:val="clear" w:color="auto" w:fill="auto"/>
            <w:vAlign w:val="bottom"/>
          </w:tcPr>
          <w:p w14:paraId="0DB85E58" w14:textId="77777777" w:rsidR="00AE4F61" w:rsidRPr="00B91D09" w:rsidRDefault="00AE4F61" w:rsidP="00E032FC">
            <w:pPr>
              <w:pStyle w:val="TT"/>
              <w:jc w:val="right"/>
              <w:rPr>
                <w:rFonts w:cs="Arial"/>
                <w:iCs/>
                <w:color w:val="000000" w:themeColor="text1"/>
                <w:sz w:val="18"/>
                <w:szCs w:val="18"/>
                <w:lang w:val="hr-HR"/>
              </w:rPr>
            </w:pPr>
            <w:bookmarkStart w:id="364" w:name="_Toc67326934"/>
            <w:r w:rsidRPr="00B91D09">
              <w:rPr>
                <w:rFonts w:cs="Arial"/>
                <w:b/>
                <w:iCs/>
                <w:color w:val="000000" w:themeColor="text1"/>
                <w:sz w:val="18"/>
                <w:szCs w:val="18"/>
                <w:lang w:val="hr-HR"/>
              </w:rPr>
              <w:t xml:space="preserve"> (25.133)</w:t>
            </w:r>
            <w:bookmarkEnd w:id="364"/>
          </w:p>
        </w:tc>
        <w:tc>
          <w:tcPr>
            <w:tcW w:w="694" w:type="pct"/>
            <w:tcBorders>
              <w:top w:val="nil"/>
              <w:left w:val="nil"/>
              <w:bottom w:val="single" w:sz="4" w:space="0" w:color="auto"/>
              <w:right w:val="nil"/>
            </w:tcBorders>
            <w:shd w:val="clear" w:color="auto" w:fill="auto"/>
            <w:vAlign w:val="bottom"/>
          </w:tcPr>
          <w:p w14:paraId="7508204B" w14:textId="77777777" w:rsidR="00AE4F61" w:rsidRPr="00B91D09" w:rsidRDefault="00AE4F61" w:rsidP="00E032FC">
            <w:pPr>
              <w:pStyle w:val="TT"/>
              <w:jc w:val="right"/>
              <w:rPr>
                <w:rFonts w:cs="Arial"/>
                <w:iCs/>
                <w:color w:val="000000" w:themeColor="text1"/>
                <w:sz w:val="18"/>
                <w:szCs w:val="18"/>
                <w:lang w:val="hr-HR"/>
              </w:rPr>
            </w:pPr>
            <w:bookmarkStart w:id="365" w:name="_Toc67326935"/>
            <w:r w:rsidRPr="00B91D09">
              <w:rPr>
                <w:rFonts w:cs="Arial"/>
                <w:b/>
                <w:iCs/>
                <w:color w:val="000000" w:themeColor="text1"/>
                <w:sz w:val="18"/>
                <w:szCs w:val="18"/>
                <w:lang w:val="hr-HR"/>
              </w:rPr>
              <w:t xml:space="preserve"> 188.185 </w:t>
            </w:r>
            <w:bookmarkEnd w:id="365"/>
          </w:p>
        </w:tc>
        <w:tc>
          <w:tcPr>
            <w:tcW w:w="555" w:type="pct"/>
            <w:tcBorders>
              <w:top w:val="nil"/>
              <w:left w:val="nil"/>
              <w:bottom w:val="single" w:sz="4" w:space="0" w:color="auto"/>
              <w:right w:val="nil"/>
            </w:tcBorders>
            <w:shd w:val="clear" w:color="auto" w:fill="auto"/>
            <w:vAlign w:val="bottom"/>
          </w:tcPr>
          <w:p w14:paraId="53CBE4A4" w14:textId="77777777" w:rsidR="00AE4F61" w:rsidRPr="00B91D09" w:rsidRDefault="00AE4F61" w:rsidP="00E032FC">
            <w:pPr>
              <w:pStyle w:val="TT"/>
              <w:jc w:val="right"/>
              <w:rPr>
                <w:rFonts w:cs="Arial"/>
                <w:color w:val="000000" w:themeColor="text1"/>
                <w:sz w:val="18"/>
                <w:szCs w:val="18"/>
                <w:lang w:val="hr-HR"/>
              </w:rPr>
            </w:pPr>
            <w:bookmarkStart w:id="366" w:name="_Toc67326936"/>
            <w:r w:rsidRPr="00B91D09">
              <w:rPr>
                <w:rFonts w:cs="Arial"/>
                <w:b/>
                <w:iCs/>
                <w:color w:val="000000" w:themeColor="text1"/>
                <w:sz w:val="18"/>
                <w:szCs w:val="18"/>
                <w:lang w:val="hr-HR"/>
              </w:rPr>
              <w:t xml:space="preserve"> - </w:t>
            </w:r>
            <w:bookmarkEnd w:id="366"/>
          </w:p>
        </w:tc>
        <w:tc>
          <w:tcPr>
            <w:tcW w:w="692" w:type="pct"/>
            <w:tcBorders>
              <w:top w:val="nil"/>
              <w:left w:val="nil"/>
              <w:bottom w:val="single" w:sz="4" w:space="0" w:color="auto"/>
              <w:right w:val="nil"/>
            </w:tcBorders>
            <w:shd w:val="clear" w:color="auto" w:fill="auto"/>
            <w:vAlign w:val="bottom"/>
          </w:tcPr>
          <w:p w14:paraId="500F4A1C" w14:textId="77777777" w:rsidR="00AE4F61" w:rsidRPr="00B91D09" w:rsidRDefault="00AE4F61" w:rsidP="00E032FC">
            <w:pPr>
              <w:pStyle w:val="TT"/>
              <w:jc w:val="right"/>
              <w:rPr>
                <w:rFonts w:cs="Arial"/>
                <w:b/>
                <w:iCs/>
                <w:color w:val="000000" w:themeColor="text1"/>
                <w:sz w:val="18"/>
                <w:szCs w:val="18"/>
                <w:lang w:val="hr-HR"/>
              </w:rPr>
            </w:pPr>
            <w:bookmarkStart w:id="367" w:name="_Toc67326937"/>
            <w:r w:rsidRPr="00B91D09">
              <w:rPr>
                <w:rFonts w:cs="Arial"/>
                <w:b/>
                <w:iCs/>
                <w:color w:val="000000" w:themeColor="text1"/>
                <w:sz w:val="18"/>
                <w:szCs w:val="18"/>
                <w:lang w:val="hr-HR"/>
              </w:rPr>
              <w:t xml:space="preserve"> 163.052 </w:t>
            </w:r>
            <w:bookmarkEnd w:id="367"/>
          </w:p>
        </w:tc>
      </w:tr>
      <w:tr w:rsidR="00AE4F61" w:rsidRPr="00B91D09" w14:paraId="41F21519" w14:textId="77777777" w:rsidTr="009307DC">
        <w:trPr>
          <w:trHeight w:hRule="exact" w:val="291"/>
        </w:trPr>
        <w:tc>
          <w:tcPr>
            <w:tcW w:w="1317" w:type="pct"/>
            <w:vAlign w:val="bottom"/>
          </w:tcPr>
          <w:p w14:paraId="52D7E434" w14:textId="77777777" w:rsidR="00AE4F61" w:rsidRPr="00B91D09" w:rsidRDefault="00AE4F61" w:rsidP="00E032FC">
            <w:pPr>
              <w:pStyle w:val="TT"/>
              <w:spacing w:line="240" w:lineRule="exact"/>
              <w:rPr>
                <w:rFonts w:cs="Arial"/>
                <w:iCs/>
                <w:color w:val="000000" w:themeColor="text1"/>
                <w:sz w:val="18"/>
                <w:szCs w:val="18"/>
                <w:lang w:val="hr-HR"/>
              </w:rPr>
            </w:pPr>
            <w:bookmarkStart w:id="368" w:name="_Toc67326889"/>
            <w:r w:rsidRPr="00B91D09">
              <w:rPr>
                <w:rFonts w:cs="Arial"/>
                <w:iCs/>
                <w:color w:val="000000" w:themeColor="text1"/>
                <w:sz w:val="18"/>
                <w:szCs w:val="18"/>
                <w:lang w:val="hr-HR"/>
              </w:rPr>
              <w:t>Tečajne razlike Garantni fond</w:t>
            </w:r>
            <w:bookmarkEnd w:id="368"/>
          </w:p>
        </w:tc>
        <w:tc>
          <w:tcPr>
            <w:tcW w:w="593" w:type="pct"/>
            <w:tcBorders>
              <w:top w:val="nil"/>
              <w:left w:val="nil"/>
              <w:bottom w:val="nil"/>
              <w:right w:val="nil"/>
            </w:tcBorders>
            <w:shd w:val="clear" w:color="auto" w:fill="auto"/>
            <w:vAlign w:val="bottom"/>
          </w:tcPr>
          <w:p w14:paraId="3F5A7249" w14:textId="77777777" w:rsidR="00AE4F61" w:rsidRPr="00B91D09" w:rsidRDefault="00AE4F61" w:rsidP="00E032FC">
            <w:pPr>
              <w:pStyle w:val="TT"/>
              <w:jc w:val="right"/>
              <w:rPr>
                <w:rFonts w:cs="Arial"/>
                <w:color w:val="000000" w:themeColor="text1"/>
                <w:sz w:val="18"/>
                <w:szCs w:val="18"/>
                <w:lang w:val="hr-HR"/>
              </w:rPr>
            </w:pPr>
            <w:bookmarkStart w:id="369" w:name="_Toc67326939"/>
            <w:r w:rsidRPr="00B91D09">
              <w:rPr>
                <w:rFonts w:cs="Arial"/>
                <w:color w:val="000000"/>
                <w:sz w:val="18"/>
                <w:szCs w:val="18"/>
              </w:rPr>
              <w:t xml:space="preserve">     - </w:t>
            </w:r>
            <w:bookmarkEnd w:id="369"/>
          </w:p>
        </w:tc>
        <w:tc>
          <w:tcPr>
            <w:tcW w:w="555" w:type="pct"/>
            <w:tcBorders>
              <w:top w:val="nil"/>
              <w:left w:val="nil"/>
              <w:bottom w:val="nil"/>
              <w:right w:val="nil"/>
            </w:tcBorders>
            <w:shd w:val="clear" w:color="auto" w:fill="auto"/>
            <w:vAlign w:val="bottom"/>
          </w:tcPr>
          <w:p w14:paraId="0BDF3ABB" w14:textId="77777777" w:rsidR="00AE4F61" w:rsidRPr="00B91D09" w:rsidRDefault="00AE4F61" w:rsidP="00E032FC">
            <w:pPr>
              <w:pStyle w:val="TT"/>
              <w:jc w:val="right"/>
              <w:rPr>
                <w:rFonts w:cs="Arial"/>
                <w:color w:val="000000" w:themeColor="text1"/>
                <w:sz w:val="18"/>
                <w:szCs w:val="18"/>
                <w:lang w:val="hr-HR"/>
              </w:rPr>
            </w:pPr>
            <w:bookmarkStart w:id="370" w:name="_Toc67326940"/>
            <w:r w:rsidRPr="00B91D09">
              <w:rPr>
                <w:rFonts w:cs="Arial"/>
                <w:color w:val="000000"/>
                <w:sz w:val="18"/>
                <w:szCs w:val="18"/>
              </w:rPr>
              <w:t xml:space="preserve">     - </w:t>
            </w:r>
            <w:bookmarkEnd w:id="370"/>
          </w:p>
        </w:tc>
        <w:tc>
          <w:tcPr>
            <w:tcW w:w="593" w:type="pct"/>
            <w:tcBorders>
              <w:top w:val="nil"/>
              <w:left w:val="nil"/>
              <w:bottom w:val="nil"/>
              <w:right w:val="nil"/>
            </w:tcBorders>
            <w:shd w:val="clear" w:color="auto" w:fill="auto"/>
            <w:vAlign w:val="bottom"/>
          </w:tcPr>
          <w:p w14:paraId="0DDCD41B" w14:textId="77777777" w:rsidR="00AE4F61" w:rsidRPr="00B91D09" w:rsidRDefault="00AE4F61" w:rsidP="00E032FC">
            <w:pPr>
              <w:pStyle w:val="TT"/>
              <w:jc w:val="right"/>
              <w:rPr>
                <w:rFonts w:cs="Arial"/>
                <w:color w:val="000000" w:themeColor="text1"/>
                <w:sz w:val="18"/>
                <w:szCs w:val="18"/>
                <w:lang w:val="hr-HR"/>
              </w:rPr>
            </w:pPr>
            <w:bookmarkStart w:id="371" w:name="_Toc67326941"/>
            <w:r w:rsidRPr="00B91D09">
              <w:rPr>
                <w:rFonts w:cs="Arial"/>
                <w:color w:val="000000"/>
                <w:sz w:val="18"/>
                <w:szCs w:val="18"/>
              </w:rPr>
              <w:t xml:space="preserve">   - </w:t>
            </w:r>
            <w:bookmarkEnd w:id="371"/>
          </w:p>
        </w:tc>
        <w:tc>
          <w:tcPr>
            <w:tcW w:w="694" w:type="pct"/>
            <w:tcBorders>
              <w:top w:val="nil"/>
              <w:left w:val="nil"/>
              <w:bottom w:val="nil"/>
              <w:right w:val="nil"/>
            </w:tcBorders>
            <w:shd w:val="clear" w:color="auto" w:fill="auto"/>
            <w:vAlign w:val="bottom"/>
          </w:tcPr>
          <w:p w14:paraId="6BC1BDD0" w14:textId="77777777" w:rsidR="00AE4F61" w:rsidRPr="00B91D09" w:rsidRDefault="00AE4F61" w:rsidP="00E032FC">
            <w:pPr>
              <w:pStyle w:val="TT"/>
              <w:jc w:val="right"/>
              <w:rPr>
                <w:rFonts w:cs="Arial"/>
                <w:color w:val="000000" w:themeColor="text1"/>
                <w:sz w:val="18"/>
                <w:szCs w:val="18"/>
                <w:lang w:val="hr-HR"/>
              </w:rPr>
            </w:pPr>
            <w:bookmarkStart w:id="372" w:name="_Toc67326942"/>
            <w:r w:rsidRPr="00B91D09">
              <w:rPr>
                <w:rFonts w:cs="Arial"/>
                <w:color w:val="000000"/>
                <w:sz w:val="18"/>
                <w:szCs w:val="18"/>
              </w:rPr>
              <w:t xml:space="preserve">       - </w:t>
            </w:r>
            <w:bookmarkEnd w:id="372"/>
          </w:p>
        </w:tc>
        <w:tc>
          <w:tcPr>
            <w:tcW w:w="555" w:type="pct"/>
            <w:tcBorders>
              <w:top w:val="nil"/>
              <w:left w:val="nil"/>
              <w:bottom w:val="nil"/>
              <w:right w:val="nil"/>
            </w:tcBorders>
            <w:shd w:val="clear" w:color="auto" w:fill="auto"/>
            <w:vAlign w:val="bottom"/>
          </w:tcPr>
          <w:p w14:paraId="029BC2A3" w14:textId="77777777" w:rsidR="00AE4F61" w:rsidRPr="00B91D09" w:rsidRDefault="00AE4F61" w:rsidP="00E032FC">
            <w:pPr>
              <w:pStyle w:val="TT"/>
              <w:jc w:val="right"/>
              <w:rPr>
                <w:rFonts w:cs="Arial"/>
                <w:color w:val="000000" w:themeColor="text1"/>
                <w:sz w:val="18"/>
                <w:szCs w:val="18"/>
                <w:lang w:val="hr-HR"/>
              </w:rPr>
            </w:pPr>
            <w:bookmarkStart w:id="373" w:name="_Toc67326943"/>
            <w:r w:rsidRPr="00B91D09">
              <w:rPr>
                <w:rFonts w:cs="Arial"/>
                <w:color w:val="000000"/>
                <w:sz w:val="18"/>
                <w:szCs w:val="18"/>
              </w:rPr>
              <w:t xml:space="preserve">    (32)</w:t>
            </w:r>
            <w:bookmarkEnd w:id="373"/>
          </w:p>
        </w:tc>
        <w:tc>
          <w:tcPr>
            <w:tcW w:w="692" w:type="pct"/>
            <w:tcBorders>
              <w:top w:val="nil"/>
              <w:left w:val="nil"/>
              <w:bottom w:val="nil"/>
              <w:right w:val="nil"/>
            </w:tcBorders>
            <w:shd w:val="clear" w:color="auto" w:fill="auto"/>
            <w:vAlign w:val="bottom"/>
          </w:tcPr>
          <w:p w14:paraId="2C869440" w14:textId="77777777" w:rsidR="00AE4F61" w:rsidRPr="00B91D09" w:rsidRDefault="00AE4F61" w:rsidP="00E032FC">
            <w:pPr>
              <w:pStyle w:val="TT"/>
              <w:jc w:val="right"/>
              <w:rPr>
                <w:rFonts w:cs="Arial"/>
                <w:b/>
                <w:color w:val="000000" w:themeColor="text1"/>
                <w:sz w:val="18"/>
                <w:szCs w:val="18"/>
                <w:lang w:val="hr-HR"/>
              </w:rPr>
            </w:pPr>
            <w:bookmarkStart w:id="374" w:name="_Toc67326944"/>
            <w:r w:rsidRPr="00B91D09">
              <w:rPr>
                <w:rFonts w:cs="Arial"/>
                <w:b/>
                <w:bCs/>
                <w:color w:val="000000"/>
                <w:sz w:val="18"/>
                <w:szCs w:val="18"/>
              </w:rPr>
              <w:t xml:space="preserve">    (32)</w:t>
            </w:r>
            <w:bookmarkEnd w:id="374"/>
          </w:p>
        </w:tc>
      </w:tr>
      <w:tr w:rsidR="00AE4F61" w:rsidRPr="00B91D09" w14:paraId="2B67E684" w14:textId="77777777" w:rsidTr="009307DC">
        <w:trPr>
          <w:trHeight w:hRule="exact" w:val="567"/>
        </w:trPr>
        <w:tc>
          <w:tcPr>
            <w:tcW w:w="1317" w:type="pct"/>
            <w:vAlign w:val="bottom"/>
          </w:tcPr>
          <w:p w14:paraId="7F203340" w14:textId="77777777" w:rsidR="00AE4F61" w:rsidRPr="00B91D09" w:rsidRDefault="00AE4F61" w:rsidP="00E032FC">
            <w:pPr>
              <w:pStyle w:val="TT"/>
              <w:spacing w:line="240" w:lineRule="exact"/>
              <w:rPr>
                <w:rFonts w:cs="Arial"/>
                <w:i/>
                <w:iCs/>
                <w:color w:val="000000" w:themeColor="text1"/>
                <w:sz w:val="18"/>
                <w:szCs w:val="18"/>
                <w:lang w:val="hr-HR"/>
              </w:rPr>
            </w:pPr>
            <w:bookmarkStart w:id="375" w:name="_Toc67326896"/>
            <w:r w:rsidRPr="00B91D09">
              <w:rPr>
                <w:rFonts w:cs="Arial"/>
                <w:iCs/>
                <w:color w:val="000000" w:themeColor="text1"/>
                <w:sz w:val="18"/>
                <w:szCs w:val="18"/>
                <w:lang w:val="hr-HR"/>
              </w:rPr>
              <w:t>Uplate u osnivački kapital iz državnog proračuna</w:t>
            </w:r>
            <w:bookmarkEnd w:id="375"/>
          </w:p>
        </w:tc>
        <w:tc>
          <w:tcPr>
            <w:tcW w:w="593" w:type="pct"/>
            <w:tcBorders>
              <w:top w:val="nil"/>
              <w:left w:val="nil"/>
              <w:bottom w:val="nil"/>
              <w:right w:val="nil"/>
            </w:tcBorders>
            <w:shd w:val="clear" w:color="auto" w:fill="auto"/>
            <w:vAlign w:val="bottom"/>
          </w:tcPr>
          <w:p w14:paraId="115B0FEB" w14:textId="77777777" w:rsidR="00AE4F61" w:rsidRPr="00B91D09" w:rsidRDefault="00AE4F61" w:rsidP="00E032FC">
            <w:pPr>
              <w:pStyle w:val="TT"/>
              <w:jc w:val="right"/>
              <w:rPr>
                <w:rFonts w:cs="Arial"/>
                <w:iCs/>
                <w:color w:val="000000" w:themeColor="text1"/>
                <w:sz w:val="18"/>
                <w:szCs w:val="18"/>
                <w:lang w:val="hr-HR"/>
              </w:rPr>
            </w:pPr>
            <w:bookmarkStart w:id="376" w:name="_Toc67326946"/>
            <w:r w:rsidRPr="00B91D09">
              <w:rPr>
                <w:rFonts w:cs="Arial"/>
                <w:color w:val="000000"/>
                <w:sz w:val="18"/>
                <w:szCs w:val="18"/>
              </w:rPr>
              <w:t xml:space="preserve">   50.000 </w:t>
            </w:r>
            <w:bookmarkEnd w:id="376"/>
          </w:p>
        </w:tc>
        <w:tc>
          <w:tcPr>
            <w:tcW w:w="555" w:type="pct"/>
            <w:tcBorders>
              <w:top w:val="nil"/>
              <w:left w:val="nil"/>
              <w:bottom w:val="nil"/>
              <w:right w:val="nil"/>
            </w:tcBorders>
            <w:shd w:val="clear" w:color="auto" w:fill="auto"/>
            <w:vAlign w:val="bottom"/>
          </w:tcPr>
          <w:p w14:paraId="6D7E72F9" w14:textId="77777777" w:rsidR="00AE4F61" w:rsidRPr="00B91D09" w:rsidRDefault="00AE4F61" w:rsidP="00E032FC">
            <w:pPr>
              <w:pStyle w:val="TT"/>
              <w:jc w:val="right"/>
              <w:rPr>
                <w:rFonts w:cs="Arial"/>
                <w:iCs/>
                <w:color w:val="000000" w:themeColor="text1"/>
                <w:sz w:val="18"/>
                <w:szCs w:val="18"/>
                <w:lang w:val="hr-HR"/>
              </w:rPr>
            </w:pPr>
            <w:bookmarkStart w:id="377" w:name="_Toc67326947"/>
            <w:r w:rsidRPr="00B91D09">
              <w:rPr>
                <w:rFonts w:cs="Arial"/>
                <w:color w:val="000000"/>
                <w:sz w:val="18"/>
                <w:szCs w:val="18"/>
              </w:rPr>
              <w:t xml:space="preserve">     - </w:t>
            </w:r>
            <w:bookmarkEnd w:id="377"/>
          </w:p>
        </w:tc>
        <w:tc>
          <w:tcPr>
            <w:tcW w:w="593" w:type="pct"/>
            <w:tcBorders>
              <w:top w:val="nil"/>
              <w:left w:val="nil"/>
              <w:bottom w:val="nil"/>
              <w:right w:val="nil"/>
            </w:tcBorders>
            <w:shd w:val="clear" w:color="auto" w:fill="auto"/>
            <w:vAlign w:val="bottom"/>
          </w:tcPr>
          <w:p w14:paraId="270DBB09" w14:textId="77777777" w:rsidR="00AE4F61" w:rsidRPr="00B91D09" w:rsidRDefault="00AE4F61" w:rsidP="00E032FC">
            <w:pPr>
              <w:pStyle w:val="TT"/>
              <w:jc w:val="right"/>
              <w:rPr>
                <w:rFonts w:cs="Arial"/>
                <w:iCs/>
                <w:color w:val="000000" w:themeColor="text1"/>
                <w:sz w:val="18"/>
                <w:szCs w:val="18"/>
                <w:lang w:val="hr-HR"/>
              </w:rPr>
            </w:pPr>
            <w:bookmarkStart w:id="378" w:name="_Toc67326948"/>
            <w:r w:rsidRPr="00B91D09">
              <w:rPr>
                <w:rFonts w:cs="Arial"/>
                <w:color w:val="000000"/>
                <w:sz w:val="18"/>
                <w:szCs w:val="18"/>
              </w:rPr>
              <w:t xml:space="preserve">    - </w:t>
            </w:r>
            <w:bookmarkEnd w:id="378"/>
          </w:p>
        </w:tc>
        <w:tc>
          <w:tcPr>
            <w:tcW w:w="694" w:type="pct"/>
            <w:tcBorders>
              <w:top w:val="nil"/>
              <w:left w:val="nil"/>
              <w:bottom w:val="nil"/>
              <w:right w:val="nil"/>
            </w:tcBorders>
            <w:shd w:val="clear" w:color="auto" w:fill="auto"/>
            <w:vAlign w:val="bottom"/>
          </w:tcPr>
          <w:p w14:paraId="54CD166B" w14:textId="77777777" w:rsidR="00AE4F61" w:rsidRPr="00B91D09" w:rsidRDefault="00AE4F61" w:rsidP="00E032FC">
            <w:pPr>
              <w:pStyle w:val="TT"/>
              <w:jc w:val="right"/>
              <w:rPr>
                <w:rFonts w:cs="Arial"/>
                <w:iCs/>
                <w:color w:val="000000" w:themeColor="text1"/>
                <w:sz w:val="18"/>
                <w:szCs w:val="18"/>
                <w:lang w:val="hr-HR"/>
              </w:rPr>
            </w:pPr>
            <w:bookmarkStart w:id="379" w:name="_Toc67326949"/>
            <w:r w:rsidRPr="00B91D09">
              <w:rPr>
                <w:rFonts w:cs="Arial"/>
                <w:color w:val="000000"/>
                <w:sz w:val="18"/>
                <w:szCs w:val="18"/>
              </w:rPr>
              <w:t xml:space="preserve">       - </w:t>
            </w:r>
            <w:bookmarkEnd w:id="379"/>
          </w:p>
        </w:tc>
        <w:tc>
          <w:tcPr>
            <w:tcW w:w="555" w:type="pct"/>
            <w:tcBorders>
              <w:top w:val="nil"/>
              <w:left w:val="nil"/>
              <w:bottom w:val="nil"/>
              <w:right w:val="nil"/>
            </w:tcBorders>
            <w:shd w:val="clear" w:color="auto" w:fill="auto"/>
            <w:vAlign w:val="bottom"/>
          </w:tcPr>
          <w:p w14:paraId="5AE1F204" w14:textId="77777777" w:rsidR="00AE4F61" w:rsidRPr="00B91D09" w:rsidRDefault="00AE4F61" w:rsidP="00E032FC">
            <w:pPr>
              <w:pStyle w:val="TT"/>
              <w:jc w:val="right"/>
              <w:rPr>
                <w:rFonts w:cs="Arial"/>
                <w:color w:val="000000" w:themeColor="text1"/>
                <w:sz w:val="18"/>
                <w:szCs w:val="18"/>
                <w:lang w:val="hr-HR"/>
              </w:rPr>
            </w:pPr>
            <w:bookmarkStart w:id="380" w:name="_Toc67326950"/>
            <w:r w:rsidRPr="00B91D09">
              <w:rPr>
                <w:rFonts w:cs="Arial"/>
                <w:color w:val="000000"/>
                <w:sz w:val="18"/>
                <w:szCs w:val="18"/>
              </w:rPr>
              <w:t xml:space="preserve"> - </w:t>
            </w:r>
            <w:bookmarkEnd w:id="380"/>
          </w:p>
        </w:tc>
        <w:tc>
          <w:tcPr>
            <w:tcW w:w="692" w:type="pct"/>
            <w:tcBorders>
              <w:top w:val="nil"/>
              <w:left w:val="nil"/>
              <w:bottom w:val="nil"/>
              <w:right w:val="nil"/>
            </w:tcBorders>
            <w:shd w:val="clear" w:color="auto" w:fill="auto"/>
            <w:vAlign w:val="bottom"/>
          </w:tcPr>
          <w:p w14:paraId="290E79EB" w14:textId="77777777" w:rsidR="00AE4F61" w:rsidRPr="00B91D09" w:rsidRDefault="00AE4F61" w:rsidP="00E032FC">
            <w:pPr>
              <w:pStyle w:val="TT"/>
              <w:jc w:val="right"/>
              <w:rPr>
                <w:rFonts w:cs="Arial"/>
                <w:b/>
                <w:iCs/>
                <w:color w:val="000000" w:themeColor="text1"/>
                <w:sz w:val="18"/>
                <w:szCs w:val="18"/>
                <w:lang w:val="hr-HR"/>
              </w:rPr>
            </w:pPr>
            <w:bookmarkStart w:id="381" w:name="_Toc67326951"/>
            <w:r w:rsidRPr="00B91D09">
              <w:rPr>
                <w:rFonts w:cs="Arial"/>
                <w:b/>
                <w:bCs/>
                <w:color w:val="000000"/>
                <w:sz w:val="18"/>
                <w:szCs w:val="18"/>
              </w:rPr>
              <w:t xml:space="preserve">   50.000 </w:t>
            </w:r>
            <w:bookmarkEnd w:id="381"/>
          </w:p>
        </w:tc>
      </w:tr>
      <w:tr w:rsidR="00AE4F61" w:rsidRPr="00B91D09" w14:paraId="70FA87E7" w14:textId="77777777" w:rsidTr="009307DC">
        <w:trPr>
          <w:trHeight w:val="463"/>
        </w:trPr>
        <w:tc>
          <w:tcPr>
            <w:tcW w:w="1317" w:type="pct"/>
            <w:vAlign w:val="bottom"/>
          </w:tcPr>
          <w:p w14:paraId="4C032DFE" w14:textId="77777777" w:rsidR="00AE4F61" w:rsidRPr="00B91D09" w:rsidRDefault="00AE4F61" w:rsidP="00E032FC">
            <w:pPr>
              <w:pStyle w:val="TT"/>
              <w:spacing w:line="240" w:lineRule="exact"/>
              <w:rPr>
                <w:rFonts w:cs="Arial"/>
                <w:i/>
                <w:iCs/>
                <w:color w:val="000000" w:themeColor="text1"/>
                <w:sz w:val="18"/>
                <w:szCs w:val="18"/>
                <w:lang w:val="hr-HR"/>
              </w:rPr>
            </w:pPr>
            <w:bookmarkStart w:id="382" w:name="_Toc67326903"/>
            <w:r w:rsidRPr="00B91D09">
              <w:rPr>
                <w:rFonts w:cs="Arial"/>
                <w:iCs/>
                <w:color w:val="000000" w:themeColor="text1"/>
                <w:sz w:val="18"/>
                <w:szCs w:val="18"/>
                <w:lang w:val="hr-HR"/>
              </w:rPr>
              <w:t>Prijenos dobiti iz 20</w:t>
            </w:r>
            <w:r>
              <w:rPr>
                <w:rFonts w:cs="Arial"/>
                <w:iCs/>
                <w:color w:val="000000" w:themeColor="text1"/>
                <w:sz w:val="18"/>
                <w:szCs w:val="18"/>
                <w:lang w:val="hr-HR"/>
              </w:rPr>
              <w:t>20</w:t>
            </w:r>
            <w:r w:rsidRPr="00B91D09">
              <w:rPr>
                <w:rFonts w:cs="Arial"/>
                <w:iCs/>
                <w:color w:val="000000" w:themeColor="text1"/>
                <w:sz w:val="18"/>
                <w:szCs w:val="18"/>
                <w:lang w:val="hr-HR"/>
              </w:rPr>
              <w:t>. godine u zadržanu dobit</w:t>
            </w:r>
            <w:bookmarkEnd w:id="382"/>
          </w:p>
        </w:tc>
        <w:tc>
          <w:tcPr>
            <w:tcW w:w="593" w:type="pct"/>
            <w:tcBorders>
              <w:top w:val="nil"/>
              <w:left w:val="nil"/>
              <w:bottom w:val="single" w:sz="4" w:space="0" w:color="auto"/>
              <w:right w:val="nil"/>
            </w:tcBorders>
            <w:shd w:val="clear" w:color="auto" w:fill="auto"/>
            <w:vAlign w:val="bottom"/>
          </w:tcPr>
          <w:p w14:paraId="31085386" w14:textId="77777777" w:rsidR="00AE4F61" w:rsidRPr="00B91D09" w:rsidRDefault="00AE4F61" w:rsidP="00E032FC">
            <w:pPr>
              <w:pStyle w:val="TT"/>
              <w:jc w:val="right"/>
              <w:rPr>
                <w:rFonts w:cs="Arial"/>
                <w:iCs/>
                <w:color w:val="000000" w:themeColor="text1"/>
                <w:sz w:val="18"/>
                <w:szCs w:val="18"/>
                <w:lang w:val="hr-HR"/>
              </w:rPr>
            </w:pPr>
            <w:bookmarkStart w:id="383" w:name="_Toc67326953"/>
            <w:r w:rsidRPr="00B91D09">
              <w:rPr>
                <w:rFonts w:cs="Arial"/>
                <w:color w:val="000000"/>
                <w:sz w:val="18"/>
                <w:szCs w:val="18"/>
              </w:rPr>
              <w:t xml:space="preserve"> - </w:t>
            </w:r>
            <w:bookmarkEnd w:id="383"/>
          </w:p>
        </w:tc>
        <w:tc>
          <w:tcPr>
            <w:tcW w:w="555" w:type="pct"/>
            <w:tcBorders>
              <w:top w:val="nil"/>
              <w:left w:val="nil"/>
              <w:bottom w:val="single" w:sz="4" w:space="0" w:color="auto"/>
              <w:right w:val="nil"/>
            </w:tcBorders>
            <w:shd w:val="clear" w:color="auto" w:fill="auto"/>
            <w:vAlign w:val="bottom"/>
          </w:tcPr>
          <w:p w14:paraId="277904E3" w14:textId="77777777" w:rsidR="00AE4F61" w:rsidRPr="00B91D09" w:rsidRDefault="00AE4F61" w:rsidP="00E032FC">
            <w:pPr>
              <w:pStyle w:val="TT"/>
              <w:jc w:val="right"/>
              <w:rPr>
                <w:rFonts w:cs="Arial"/>
                <w:iCs/>
                <w:color w:val="000000" w:themeColor="text1"/>
                <w:sz w:val="18"/>
                <w:szCs w:val="18"/>
                <w:lang w:val="hr-HR"/>
              </w:rPr>
            </w:pPr>
            <w:bookmarkStart w:id="384" w:name="_Toc67326954"/>
            <w:r w:rsidRPr="00B91D09">
              <w:rPr>
                <w:rFonts w:cs="Arial"/>
                <w:color w:val="000000"/>
                <w:sz w:val="18"/>
                <w:szCs w:val="18"/>
              </w:rPr>
              <w:t xml:space="preserve">81.531 </w:t>
            </w:r>
            <w:bookmarkEnd w:id="384"/>
          </w:p>
        </w:tc>
        <w:tc>
          <w:tcPr>
            <w:tcW w:w="593" w:type="pct"/>
            <w:tcBorders>
              <w:top w:val="nil"/>
              <w:left w:val="nil"/>
              <w:bottom w:val="single" w:sz="4" w:space="0" w:color="auto"/>
              <w:right w:val="nil"/>
            </w:tcBorders>
            <w:shd w:val="clear" w:color="auto" w:fill="auto"/>
            <w:vAlign w:val="bottom"/>
          </w:tcPr>
          <w:p w14:paraId="68BD3DB2" w14:textId="77777777" w:rsidR="00AE4F61" w:rsidRPr="00B91D09" w:rsidRDefault="00AE4F61" w:rsidP="00E032FC">
            <w:pPr>
              <w:pStyle w:val="TT"/>
              <w:jc w:val="right"/>
              <w:rPr>
                <w:rFonts w:cs="Arial"/>
                <w:iCs/>
                <w:color w:val="000000" w:themeColor="text1"/>
                <w:sz w:val="18"/>
                <w:szCs w:val="18"/>
                <w:lang w:val="hr-HR"/>
              </w:rPr>
            </w:pPr>
            <w:bookmarkStart w:id="385" w:name="_Toc67326955"/>
            <w:r w:rsidRPr="00B91D09">
              <w:rPr>
                <w:rFonts w:cs="Arial"/>
                <w:color w:val="000000"/>
                <w:sz w:val="18"/>
                <w:szCs w:val="18"/>
              </w:rPr>
              <w:t xml:space="preserve"> - </w:t>
            </w:r>
            <w:bookmarkEnd w:id="385"/>
          </w:p>
        </w:tc>
        <w:tc>
          <w:tcPr>
            <w:tcW w:w="694" w:type="pct"/>
            <w:tcBorders>
              <w:top w:val="nil"/>
              <w:left w:val="nil"/>
              <w:bottom w:val="single" w:sz="4" w:space="0" w:color="auto"/>
              <w:right w:val="nil"/>
            </w:tcBorders>
            <w:shd w:val="clear" w:color="auto" w:fill="auto"/>
            <w:vAlign w:val="bottom"/>
          </w:tcPr>
          <w:p w14:paraId="3EF4CF93" w14:textId="77777777" w:rsidR="00AE4F61" w:rsidRPr="00B91D09" w:rsidRDefault="00AE4F61" w:rsidP="00E032FC">
            <w:pPr>
              <w:pStyle w:val="TT"/>
              <w:jc w:val="right"/>
              <w:rPr>
                <w:rFonts w:cs="Arial"/>
                <w:iCs/>
                <w:color w:val="000000" w:themeColor="text1"/>
                <w:sz w:val="18"/>
                <w:szCs w:val="18"/>
                <w:lang w:val="hr-HR"/>
              </w:rPr>
            </w:pPr>
            <w:bookmarkStart w:id="386" w:name="_Toc67326956"/>
            <w:r w:rsidRPr="00B91D09">
              <w:rPr>
                <w:rFonts w:cs="Arial"/>
                <w:color w:val="000000"/>
                <w:sz w:val="18"/>
                <w:szCs w:val="18"/>
              </w:rPr>
              <w:t>(81.531)</w:t>
            </w:r>
            <w:bookmarkEnd w:id="386"/>
          </w:p>
        </w:tc>
        <w:tc>
          <w:tcPr>
            <w:tcW w:w="555" w:type="pct"/>
            <w:tcBorders>
              <w:top w:val="nil"/>
              <w:left w:val="nil"/>
              <w:bottom w:val="single" w:sz="4" w:space="0" w:color="auto"/>
              <w:right w:val="nil"/>
            </w:tcBorders>
            <w:shd w:val="clear" w:color="auto" w:fill="auto"/>
            <w:vAlign w:val="bottom"/>
          </w:tcPr>
          <w:p w14:paraId="50CC022F" w14:textId="77777777" w:rsidR="00AE4F61" w:rsidRPr="00B91D09" w:rsidRDefault="00AE4F61" w:rsidP="00E032FC">
            <w:pPr>
              <w:pStyle w:val="TT"/>
              <w:jc w:val="right"/>
              <w:rPr>
                <w:rFonts w:cs="Arial"/>
                <w:color w:val="000000" w:themeColor="text1"/>
                <w:sz w:val="18"/>
                <w:szCs w:val="18"/>
                <w:lang w:val="hr-HR"/>
              </w:rPr>
            </w:pPr>
            <w:bookmarkStart w:id="387" w:name="_Toc67326957"/>
            <w:r w:rsidRPr="00B91D09">
              <w:rPr>
                <w:rFonts w:cs="Arial"/>
                <w:color w:val="000000" w:themeColor="text1"/>
                <w:sz w:val="18"/>
                <w:szCs w:val="18"/>
                <w:lang w:val="hr-HR"/>
              </w:rPr>
              <w:t>-</w:t>
            </w:r>
            <w:bookmarkEnd w:id="387"/>
          </w:p>
        </w:tc>
        <w:tc>
          <w:tcPr>
            <w:tcW w:w="692" w:type="pct"/>
            <w:tcBorders>
              <w:top w:val="nil"/>
              <w:left w:val="nil"/>
              <w:bottom w:val="single" w:sz="4" w:space="0" w:color="auto"/>
              <w:right w:val="nil"/>
            </w:tcBorders>
            <w:shd w:val="clear" w:color="auto" w:fill="auto"/>
            <w:vAlign w:val="bottom"/>
          </w:tcPr>
          <w:p w14:paraId="3D7C9F5D" w14:textId="77777777" w:rsidR="00AE4F61" w:rsidRPr="00B91D09" w:rsidRDefault="00AE4F61" w:rsidP="00E032FC">
            <w:pPr>
              <w:pStyle w:val="TT"/>
              <w:jc w:val="right"/>
              <w:rPr>
                <w:rFonts w:cs="Arial"/>
                <w:b/>
                <w:iCs/>
                <w:color w:val="000000" w:themeColor="text1"/>
                <w:sz w:val="18"/>
                <w:szCs w:val="18"/>
                <w:lang w:val="hr-HR"/>
              </w:rPr>
            </w:pPr>
            <w:bookmarkStart w:id="388" w:name="_Toc67326958"/>
            <w:r w:rsidRPr="00B91D09">
              <w:rPr>
                <w:rFonts w:cs="Arial"/>
                <w:b/>
                <w:bCs/>
                <w:color w:val="000000"/>
                <w:sz w:val="18"/>
                <w:szCs w:val="18"/>
              </w:rPr>
              <w:t xml:space="preserve">    - </w:t>
            </w:r>
            <w:bookmarkEnd w:id="388"/>
          </w:p>
        </w:tc>
      </w:tr>
      <w:tr w:rsidR="00AE4F61" w:rsidRPr="00B91D09" w14:paraId="2F5E16AE" w14:textId="77777777" w:rsidTr="009307DC">
        <w:trPr>
          <w:trHeight w:val="338"/>
        </w:trPr>
        <w:tc>
          <w:tcPr>
            <w:tcW w:w="1317" w:type="pct"/>
            <w:vAlign w:val="bottom"/>
          </w:tcPr>
          <w:p w14:paraId="563C8FF1" w14:textId="77777777" w:rsidR="00AE4F61" w:rsidRPr="00B91D09" w:rsidRDefault="00AE4F61" w:rsidP="00E032FC">
            <w:pPr>
              <w:pStyle w:val="TT"/>
              <w:spacing w:line="240" w:lineRule="exact"/>
              <w:rPr>
                <w:rFonts w:cs="Arial"/>
                <w:b/>
                <w:iCs/>
                <w:color w:val="000000" w:themeColor="text1"/>
                <w:sz w:val="18"/>
                <w:szCs w:val="18"/>
                <w:lang w:val="hr-HR"/>
              </w:rPr>
            </w:pPr>
            <w:bookmarkStart w:id="389" w:name="_Toc67326910"/>
            <w:r w:rsidRPr="00B91D09">
              <w:rPr>
                <w:rFonts w:cs="Arial"/>
                <w:b/>
                <w:iCs/>
                <w:color w:val="000000" w:themeColor="text1"/>
                <w:sz w:val="18"/>
                <w:szCs w:val="18"/>
                <w:lang w:val="hr-HR"/>
              </w:rPr>
              <w:t>Stanje 31. prosinca 202</w:t>
            </w:r>
            <w:r>
              <w:rPr>
                <w:rFonts w:cs="Arial"/>
                <w:b/>
                <w:iCs/>
                <w:color w:val="000000" w:themeColor="text1"/>
                <w:sz w:val="18"/>
                <w:szCs w:val="18"/>
                <w:lang w:val="hr-HR"/>
              </w:rPr>
              <w:t>1</w:t>
            </w:r>
            <w:r w:rsidRPr="00B91D09">
              <w:rPr>
                <w:rFonts w:cs="Arial"/>
                <w:b/>
                <w:iCs/>
                <w:color w:val="000000" w:themeColor="text1"/>
                <w:sz w:val="18"/>
                <w:szCs w:val="18"/>
                <w:lang w:val="hr-HR"/>
              </w:rPr>
              <w:t>.</w:t>
            </w:r>
            <w:bookmarkEnd w:id="389"/>
            <w:r w:rsidRPr="00B91D09">
              <w:rPr>
                <w:rFonts w:cs="Arial"/>
                <w:b/>
                <w:iCs/>
                <w:color w:val="000000" w:themeColor="text1"/>
                <w:sz w:val="18"/>
                <w:szCs w:val="18"/>
                <w:lang w:val="hr-HR"/>
              </w:rPr>
              <w:t xml:space="preserve"> </w:t>
            </w:r>
          </w:p>
        </w:tc>
        <w:tc>
          <w:tcPr>
            <w:tcW w:w="593" w:type="pct"/>
            <w:tcBorders>
              <w:top w:val="single" w:sz="8" w:space="0" w:color="auto"/>
              <w:left w:val="nil"/>
              <w:bottom w:val="single" w:sz="12" w:space="0" w:color="auto"/>
              <w:right w:val="nil"/>
            </w:tcBorders>
            <w:shd w:val="clear" w:color="auto" w:fill="auto"/>
            <w:vAlign w:val="bottom"/>
          </w:tcPr>
          <w:p w14:paraId="6C6B0776" w14:textId="77777777" w:rsidR="00AE4F61" w:rsidRPr="00B91D09" w:rsidRDefault="00AE4F61" w:rsidP="00E032FC">
            <w:pPr>
              <w:pStyle w:val="TT"/>
              <w:jc w:val="right"/>
              <w:rPr>
                <w:rFonts w:cs="Arial"/>
                <w:b/>
                <w:iCs/>
                <w:color w:val="000000" w:themeColor="text1"/>
                <w:sz w:val="18"/>
                <w:szCs w:val="18"/>
                <w:lang w:val="hr-HR"/>
              </w:rPr>
            </w:pPr>
            <w:bookmarkStart w:id="390" w:name="_Toc67326960"/>
            <w:r w:rsidRPr="00B91D09">
              <w:rPr>
                <w:rFonts w:cs="Arial"/>
                <w:b/>
                <w:bCs/>
                <w:color w:val="000000"/>
                <w:sz w:val="18"/>
                <w:szCs w:val="18"/>
              </w:rPr>
              <w:t xml:space="preserve"> 7.184.632 </w:t>
            </w:r>
            <w:bookmarkEnd w:id="390"/>
          </w:p>
        </w:tc>
        <w:tc>
          <w:tcPr>
            <w:tcW w:w="555" w:type="pct"/>
            <w:tcBorders>
              <w:top w:val="single" w:sz="8" w:space="0" w:color="auto"/>
              <w:left w:val="nil"/>
              <w:bottom w:val="single" w:sz="12" w:space="0" w:color="auto"/>
              <w:right w:val="nil"/>
            </w:tcBorders>
            <w:shd w:val="clear" w:color="auto" w:fill="auto"/>
            <w:vAlign w:val="bottom"/>
          </w:tcPr>
          <w:p w14:paraId="610A1DD2" w14:textId="77777777" w:rsidR="00AE4F61" w:rsidRPr="00B91D09" w:rsidRDefault="00AE4F61" w:rsidP="00E032FC">
            <w:pPr>
              <w:pStyle w:val="TT"/>
              <w:jc w:val="right"/>
              <w:rPr>
                <w:rFonts w:cs="Arial"/>
                <w:b/>
                <w:iCs/>
                <w:color w:val="000000" w:themeColor="text1"/>
                <w:sz w:val="18"/>
                <w:szCs w:val="18"/>
                <w:lang w:val="hr-HR"/>
              </w:rPr>
            </w:pPr>
            <w:bookmarkStart w:id="391" w:name="_Toc67326961"/>
            <w:r w:rsidRPr="00B91D09">
              <w:rPr>
                <w:rFonts w:cs="Arial"/>
                <w:b/>
                <w:bCs/>
                <w:color w:val="000000"/>
                <w:sz w:val="18"/>
                <w:szCs w:val="18"/>
              </w:rPr>
              <w:t xml:space="preserve"> 3.157.684 </w:t>
            </w:r>
            <w:bookmarkEnd w:id="391"/>
          </w:p>
        </w:tc>
        <w:tc>
          <w:tcPr>
            <w:tcW w:w="593" w:type="pct"/>
            <w:tcBorders>
              <w:top w:val="single" w:sz="8" w:space="0" w:color="auto"/>
              <w:left w:val="nil"/>
              <w:bottom w:val="single" w:sz="12" w:space="0" w:color="auto"/>
              <w:right w:val="nil"/>
            </w:tcBorders>
            <w:shd w:val="clear" w:color="auto" w:fill="auto"/>
            <w:vAlign w:val="bottom"/>
          </w:tcPr>
          <w:p w14:paraId="5C26E71D" w14:textId="77777777" w:rsidR="00AE4F61" w:rsidRPr="00B91D09" w:rsidRDefault="00AE4F61" w:rsidP="00E032FC">
            <w:pPr>
              <w:pStyle w:val="TT"/>
              <w:jc w:val="right"/>
              <w:rPr>
                <w:rFonts w:cs="Arial"/>
                <w:b/>
                <w:iCs/>
                <w:color w:val="000000" w:themeColor="text1"/>
                <w:sz w:val="18"/>
                <w:szCs w:val="18"/>
                <w:lang w:val="hr-HR"/>
              </w:rPr>
            </w:pPr>
            <w:bookmarkStart w:id="392" w:name="_Toc67326962"/>
            <w:r w:rsidRPr="00B91D09">
              <w:rPr>
                <w:rFonts w:cs="Arial"/>
                <w:b/>
                <w:bCs/>
                <w:color w:val="000000"/>
                <w:sz w:val="18"/>
                <w:szCs w:val="18"/>
              </w:rPr>
              <w:t xml:space="preserve">  33.975 </w:t>
            </w:r>
            <w:bookmarkEnd w:id="392"/>
          </w:p>
        </w:tc>
        <w:tc>
          <w:tcPr>
            <w:tcW w:w="694" w:type="pct"/>
            <w:tcBorders>
              <w:top w:val="single" w:sz="8" w:space="0" w:color="auto"/>
              <w:left w:val="nil"/>
              <w:bottom w:val="single" w:sz="12" w:space="0" w:color="auto"/>
              <w:right w:val="nil"/>
            </w:tcBorders>
            <w:shd w:val="clear" w:color="auto" w:fill="auto"/>
            <w:vAlign w:val="bottom"/>
          </w:tcPr>
          <w:p w14:paraId="5B7D3DF7" w14:textId="77777777" w:rsidR="00AE4F61" w:rsidRPr="00B91D09" w:rsidRDefault="00AE4F61" w:rsidP="00E032FC">
            <w:pPr>
              <w:pStyle w:val="TT"/>
              <w:jc w:val="right"/>
              <w:rPr>
                <w:rFonts w:cs="Arial"/>
                <w:b/>
                <w:iCs/>
                <w:color w:val="000000" w:themeColor="text1"/>
                <w:sz w:val="18"/>
                <w:szCs w:val="18"/>
                <w:lang w:val="hr-HR"/>
              </w:rPr>
            </w:pPr>
            <w:bookmarkStart w:id="393" w:name="_Toc67326963"/>
            <w:r w:rsidRPr="00B91D09">
              <w:rPr>
                <w:rFonts w:cs="Arial"/>
                <w:b/>
                <w:bCs/>
                <w:color w:val="000000"/>
                <w:sz w:val="18"/>
                <w:szCs w:val="18"/>
              </w:rPr>
              <w:t xml:space="preserve">  188.185 </w:t>
            </w:r>
            <w:bookmarkEnd w:id="393"/>
          </w:p>
        </w:tc>
        <w:tc>
          <w:tcPr>
            <w:tcW w:w="555" w:type="pct"/>
            <w:tcBorders>
              <w:top w:val="single" w:sz="8" w:space="0" w:color="auto"/>
              <w:left w:val="nil"/>
              <w:bottom w:val="single" w:sz="12" w:space="0" w:color="auto"/>
              <w:right w:val="nil"/>
            </w:tcBorders>
            <w:shd w:val="clear" w:color="auto" w:fill="auto"/>
            <w:vAlign w:val="bottom"/>
          </w:tcPr>
          <w:p w14:paraId="6EBF254A" w14:textId="77777777" w:rsidR="00AE4F61" w:rsidRPr="00B91D09" w:rsidRDefault="00AE4F61" w:rsidP="00E032FC">
            <w:pPr>
              <w:pStyle w:val="TT"/>
              <w:jc w:val="right"/>
              <w:rPr>
                <w:rFonts w:cs="Arial"/>
                <w:b/>
                <w:color w:val="000000" w:themeColor="text1"/>
                <w:sz w:val="18"/>
                <w:szCs w:val="18"/>
                <w:lang w:val="hr-HR"/>
              </w:rPr>
            </w:pPr>
            <w:bookmarkStart w:id="394" w:name="_Toc67326964"/>
            <w:r w:rsidRPr="00B91D09">
              <w:rPr>
                <w:rFonts w:cs="Arial"/>
                <w:b/>
                <w:bCs/>
                <w:color w:val="000000"/>
                <w:sz w:val="18"/>
                <w:szCs w:val="18"/>
              </w:rPr>
              <w:t xml:space="preserve">  12.309 </w:t>
            </w:r>
            <w:bookmarkEnd w:id="394"/>
          </w:p>
        </w:tc>
        <w:tc>
          <w:tcPr>
            <w:tcW w:w="692" w:type="pct"/>
            <w:tcBorders>
              <w:top w:val="single" w:sz="8" w:space="0" w:color="auto"/>
              <w:left w:val="nil"/>
              <w:bottom w:val="single" w:sz="12" w:space="0" w:color="auto"/>
              <w:right w:val="nil"/>
            </w:tcBorders>
            <w:shd w:val="clear" w:color="auto" w:fill="auto"/>
            <w:vAlign w:val="bottom"/>
          </w:tcPr>
          <w:p w14:paraId="36066BB0" w14:textId="77777777" w:rsidR="00AE4F61" w:rsidRPr="00B91D09" w:rsidRDefault="00AE4F61" w:rsidP="00E032FC">
            <w:pPr>
              <w:pStyle w:val="TT"/>
              <w:jc w:val="right"/>
              <w:rPr>
                <w:rFonts w:cs="Arial"/>
                <w:b/>
                <w:iCs/>
                <w:color w:val="000000" w:themeColor="text1"/>
                <w:sz w:val="18"/>
                <w:szCs w:val="18"/>
                <w:lang w:val="hr-HR"/>
              </w:rPr>
            </w:pPr>
            <w:bookmarkStart w:id="395" w:name="_Toc67326965"/>
            <w:r w:rsidRPr="00B91D09">
              <w:rPr>
                <w:rFonts w:cs="Arial"/>
                <w:b/>
                <w:bCs/>
                <w:color w:val="000000"/>
                <w:sz w:val="18"/>
                <w:szCs w:val="18"/>
              </w:rPr>
              <w:t xml:space="preserve">  10.576.785 </w:t>
            </w:r>
            <w:bookmarkEnd w:id="395"/>
          </w:p>
        </w:tc>
      </w:tr>
      <w:tr w:rsidR="00AE4F61" w:rsidRPr="00B91D09" w14:paraId="29261F3D" w14:textId="77777777" w:rsidTr="009307DC">
        <w:trPr>
          <w:trHeight w:val="443"/>
        </w:trPr>
        <w:tc>
          <w:tcPr>
            <w:tcW w:w="1317" w:type="pct"/>
            <w:vAlign w:val="bottom"/>
          </w:tcPr>
          <w:p w14:paraId="4798DF96" w14:textId="77777777" w:rsidR="00AE4F61" w:rsidRPr="00B91D09" w:rsidRDefault="00AE4F61" w:rsidP="00E032FC">
            <w:pPr>
              <w:pStyle w:val="TT"/>
              <w:spacing w:line="240" w:lineRule="exact"/>
              <w:rPr>
                <w:rFonts w:cs="Arial"/>
                <w:iCs/>
                <w:color w:val="000000" w:themeColor="text1"/>
                <w:sz w:val="18"/>
                <w:szCs w:val="18"/>
                <w:lang w:val="hr-HR"/>
              </w:rPr>
            </w:pPr>
            <w:bookmarkStart w:id="396" w:name="_Toc67326917"/>
            <w:r w:rsidRPr="00B91D09">
              <w:rPr>
                <w:rFonts w:cs="Arial"/>
                <w:iCs/>
                <w:color w:val="000000" w:themeColor="text1"/>
                <w:sz w:val="18"/>
                <w:szCs w:val="18"/>
                <w:lang w:val="hr-HR"/>
              </w:rPr>
              <w:t>Dobit tekuće godine</w:t>
            </w:r>
            <w:bookmarkEnd w:id="396"/>
          </w:p>
        </w:tc>
        <w:tc>
          <w:tcPr>
            <w:tcW w:w="593" w:type="pct"/>
            <w:tcBorders>
              <w:top w:val="nil"/>
              <w:left w:val="nil"/>
              <w:bottom w:val="nil"/>
              <w:right w:val="nil"/>
            </w:tcBorders>
            <w:shd w:val="clear" w:color="auto" w:fill="auto"/>
            <w:vAlign w:val="bottom"/>
          </w:tcPr>
          <w:p w14:paraId="4EC6572E" w14:textId="77777777" w:rsidR="00AE4F61" w:rsidRPr="00B91D09" w:rsidDel="003A48C1" w:rsidRDefault="00AE4F61" w:rsidP="00E032FC">
            <w:pPr>
              <w:pStyle w:val="TT"/>
              <w:jc w:val="right"/>
              <w:rPr>
                <w:rFonts w:cs="Arial"/>
                <w:color w:val="000000" w:themeColor="text1"/>
                <w:sz w:val="18"/>
                <w:szCs w:val="18"/>
                <w:lang w:val="hr-HR"/>
              </w:rPr>
            </w:pPr>
            <w:r>
              <w:rPr>
                <w:rFonts w:cs="Arial"/>
                <w:color w:val="000000" w:themeColor="text1"/>
                <w:sz w:val="18"/>
                <w:szCs w:val="18"/>
                <w:lang w:val="hr-HR"/>
              </w:rPr>
              <w:t>-</w:t>
            </w:r>
          </w:p>
        </w:tc>
        <w:tc>
          <w:tcPr>
            <w:tcW w:w="555" w:type="pct"/>
            <w:tcBorders>
              <w:top w:val="nil"/>
              <w:left w:val="nil"/>
              <w:bottom w:val="nil"/>
              <w:right w:val="nil"/>
            </w:tcBorders>
            <w:shd w:val="clear" w:color="auto" w:fill="auto"/>
            <w:vAlign w:val="bottom"/>
          </w:tcPr>
          <w:p w14:paraId="2A0B69D0" w14:textId="77777777" w:rsidR="00AE4F61" w:rsidRPr="00B91D09" w:rsidDel="003A48C1" w:rsidRDefault="00AE4F61" w:rsidP="00E032FC">
            <w:pPr>
              <w:pStyle w:val="TT"/>
              <w:jc w:val="right"/>
              <w:rPr>
                <w:rFonts w:cs="Arial"/>
                <w:color w:val="000000" w:themeColor="text1"/>
                <w:sz w:val="18"/>
                <w:szCs w:val="18"/>
                <w:lang w:val="hr-HR"/>
              </w:rPr>
            </w:pPr>
            <w:r>
              <w:rPr>
                <w:rFonts w:cs="Arial"/>
                <w:color w:val="000000" w:themeColor="text1"/>
                <w:sz w:val="18"/>
                <w:szCs w:val="18"/>
                <w:lang w:val="hr-HR"/>
              </w:rPr>
              <w:t>-</w:t>
            </w:r>
          </w:p>
        </w:tc>
        <w:tc>
          <w:tcPr>
            <w:tcW w:w="593" w:type="pct"/>
            <w:tcBorders>
              <w:top w:val="nil"/>
              <w:left w:val="nil"/>
              <w:bottom w:val="nil"/>
              <w:right w:val="nil"/>
            </w:tcBorders>
            <w:shd w:val="clear" w:color="auto" w:fill="auto"/>
            <w:vAlign w:val="bottom"/>
          </w:tcPr>
          <w:p w14:paraId="12E70BD5" w14:textId="77777777" w:rsidR="00AE4F61" w:rsidRPr="00B91D09" w:rsidDel="003A48C1" w:rsidRDefault="00AE4F61" w:rsidP="00E032FC">
            <w:pPr>
              <w:pStyle w:val="TT"/>
              <w:jc w:val="right"/>
              <w:rPr>
                <w:rFonts w:cs="Arial"/>
                <w:color w:val="000000" w:themeColor="text1"/>
                <w:sz w:val="18"/>
                <w:szCs w:val="18"/>
                <w:lang w:val="hr-HR"/>
              </w:rPr>
            </w:pPr>
            <w:r>
              <w:rPr>
                <w:rFonts w:cs="Arial"/>
                <w:color w:val="000000" w:themeColor="text1"/>
                <w:sz w:val="18"/>
                <w:szCs w:val="18"/>
                <w:lang w:val="hr-HR"/>
              </w:rPr>
              <w:t>-</w:t>
            </w:r>
          </w:p>
        </w:tc>
        <w:tc>
          <w:tcPr>
            <w:tcW w:w="694" w:type="pct"/>
            <w:tcBorders>
              <w:top w:val="nil"/>
              <w:left w:val="nil"/>
              <w:bottom w:val="nil"/>
              <w:right w:val="nil"/>
            </w:tcBorders>
            <w:shd w:val="clear" w:color="auto" w:fill="auto"/>
            <w:vAlign w:val="bottom"/>
          </w:tcPr>
          <w:p w14:paraId="44BDB7DB" w14:textId="77777777" w:rsidR="00AE4F61" w:rsidRPr="00B91D09" w:rsidDel="003A48C1" w:rsidRDefault="00AE4F61" w:rsidP="00E032FC">
            <w:pPr>
              <w:pStyle w:val="TT"/>
              <w:jc w:val="right"/>
              <w:rPr>
                <w:rFonts w:cs="Arial"/>
                <w:color w:val="000000" w:themeColor="text1"/>
                <w:sz w:val="18"/>
                <w:szCs w:val="18"/>
                <w:lang w:val="hr-HR"/>
              </w:rPr>
            </w:pPr>
            <w:r w:rsidRPr="00C507E7">
              <w:rPr>
                <w:rFonts w:cs="Arial"/>
                <w:color w:val="000000" w:themeColor="text1"/>
                <w:sz w:val="18"/>
                <w:szCs w:val="18"/>
                <w:lang w:val="hr-HR"/>
              </w:rPr>
              <w:t>189.458</w:t>
            </w:r>
          </w:p>
        </w:tc>
        <w:tc>
          <w:tcPr>
            <w:tcW w:w="555" w:type="pct"/>
            <w:tcBorders>
              <w:top w:val="nil"/>
              <w:left w:val="nil"/>
              <w:bottom w:val="nil"/>
              <w:right w:val="nil"/>
            </w:tcBorders>
            <w:shd w:val="clear" w:color="auto" w:fill="auto"/>
            <w:vAlign w:val="bottom"/>
          </w:tcPr>
          <w:p w14:paraId="3D431F5B" w14:textId="77777777" w:rsidR="00AE4F61" w:rsidRPr="00B91D09" w:rsidDel="003A48C1" w:rsidRDefault="00AE4F61" w:rsidP="00E032FC">
            <w:pPr>
              <w:pStyle w:val="TT"/>
              <w:jc w:val="right"/>
              <w:rPr>
                <w:rFonts w:cs="Arial"/>
                <w:color w:val="000000" w:themeColor="text1"/>
                <w:sz w:val="18"/>
                <w:szCs w:val="18"/>
                <w:lang w:val="hr-HR"/>
              </w:rPr>
            </w:pPr>
            <w:r>
              <w:rPr>
                <w:rFonts w:cs="Arial"/>
                <w:color w:val="000000" w:themeColor="text1"/>
                <w:sz w:val="18"/>
                <w:szCs w:val="18"/>
                <w:lang w:val="hr-HR"/>
              </w:rPr>
              <w:t>-</w:t>
            </w:r>
          </w:p>
        </w:tc>
        <w:tc>
          <w:tcPr>
            <w:tcW w:w="692" w:type="pct"/>
            <w:tcBorders>
              <w:top w:val="nil"/>
              <w:left w:val="nil"/>
              <w:bottom w:val="nil"/>
              <w:right w:val="nil"/>
            </w:tcBorders>
            <w:shd w:val="clear" w:color="auto" w:fill="auto"/>
            <w:vAlign w:val="bottom"/>
          </w:tcPr>
          <w:p w14:paraId="5316B4E2" w14:textId="77777777" w:rsidR="00AE4F61" w:rsidRPr="00B91D09" w:rsidDel="003A48C1" w:rsidRDefault="00AE4F61" w:rsidP="00E032FC">
            <w:pPr>
              <w:pStyle w:val="TT"/>
              <w:jc w:val="right"/>
              <w:rPr>
                <w:rFonts w:cs="Arial"/>
                <w:b/>
                <w:color w:val="000000" w:themeColor="text1"/>
                <w:sz w:val="18"/>
                <w:szCs w:val="18"/>
                <w:lang w:val="hr-HR"/>
              </w:rPr>
            </w:pPr>
            <w:r w:rsidRPr="00C507E7">
              <w:rPr>
                <w:rFonts w:cs="Arial"/>
                <w:b/>
                <w:color w:val="000000" w:themeColor="text1"/>
                <w:sz w:val="18"/>
                <w:szCs w:val="18"/>
                <w:lang w:val="hr-HR"/>
              </w:rPr>
              <w:t>189.458</w:t>
            </w:r>
          </w:p>
        </w:tc>
      </w:tr>
      <w:tr w:rsidR="00AE4F61" w:rsidRPr="00B91D09" w14:paraId="0C562E19" w14:textId="77777777" w:rsidTr="009307DC">
        <w:trPr>
          <w:trHeight w:val="276"/>
        </w:trPr>
        <w:tc>
          <w:tcPr>
            <w:tcW w:w="1317" w:type="pct"/>
            <w:vAlign w:val="bottom"/>
          </w:tcPr>
          <w:p w14:paraId="36893888" w14:textId="77777777" w:rsidR="00AE4F61" w:rsidRPr="00B91D09" w:rsidRDefault="00AE4F61" w:rsidP="00E032FC">
            <w:pPr>
              <w:pStyle w:val="TT"/>
              <w:spacing w:line="240" w:lineRule="exact"/>
              <w:rPr>
                <w:rFonts w:cs="Arial"/>
                <w:iCs/>
                <w:color w:val="000000" w:themeColor="text1"/>
                <w:sz w:val="18"/>
                <w:szCs w:val="18"/>
                <w:lang w:val="hr-HR"/>
              </w:rPr>
            </w:pPr>
            <w:bookmarkStart w:id="397" w:name="_Toc67326924"/>
            <w:r w:rsidRPr="00B91D09">
              <w:rPr>
                <w:rFonts w:cs="Arial"/>
                <w:iCs/>
                <w:color w:val="000000" w:themeColor="text1"/>
                <w:sz w:val="18"/>
                <w:szCs w:val="18"/>
                <w:lang w:val="hr-HR"/>
              </w:rPr>
              <w:t>Ostala sveobuhvatna dobit</w:t>
            </w:r>
            <w:bookmarkEnd w:id="397"/>
          </w:p>
        </w:tc>
        <w:tc>
          <w:tcPr>
            <w:tcW w:w="593" w:type="pct"/>
            <w:tcBorders>
              <w:bottom w:val="single" w:sz="4" w:space="0" w:color="auto"/>
            </w:tcBorders>
            <w:vAlign w:val="bottom"/>
          </w:tcPr>
          <w:p w14:paraId="494A9D49" w14:textId="77777777" w:rsidR="00AE4F61" w:rsidRPr="00B91D09" w:rsidRDefault="00AE4F61" w:rsidP="00E032FC">
            <w:pPr>
              <w:pStyle w:val="TT"/>
              <w:jc w:val="right"/>
              <w:rPr>
                <w:rFonts w:cs="Arial"/>
                <w:color w:val="000000"/>
                <w:sz w:val="18"/>
                <w:szCs w:val="18"/>
              </w:rPr>
            </w:pPr>
            <w:r>
              <w:rPr>
                <w:rFonts w:cs="Arial"/>
                <w:color w:val="000000"/>
                <w:sz w:val="18"/>
                <w:szCs w:val="18"/>
              </w:rPr>
              <w:t>-</w:t>
            </w:r>
          </w:p>
        </w:tc>
        <w:tc>
          <w:tcPr>
            <w:tcW w:w="555" w:type="pct"/>
            <w:tcBorders>
              <w:bottom w:val="single" w:sz="4" w:space="0" w:color="auto"/>
            </w:tcBorders>
            <w:vAlign w:val="bottom"/>
          </w:tcPr>
          <w:p w14:paraId="4E80D83A" w14:textId="77777777" w:rsidR="00AE4F61" w:rsidRPr="00B91D09" w:rsidRDefault="00AE4F61" w:rsidP="00E032FC">
            <w:pPr>
              <w:pStyle w:val="TT"/>
              <w:jc w:val="right"/>
              <w:rPr>
                <w:rFonts w:cs="Arial"/>
                <w:color w:val="000000"/>
                <w:sz w:val="18"/>
                <w:szCs w:val="18"/>
              </w:rPr>
            </w:pPr>
            <w:r>
              <w:rPr>
                <w:rFonts w:cs="Arial"/>
                <w:color w:val="000000"/>
                <w:sz w:val="18"/>
                <w:szCs w:val="18"/>
              </w:rPr>
              <w:t>-</w:t>
            </w:r>
          </w:p>
        </w:tc>
        <w:tc>
          <w:tcPr>
            <w:tcW w:w="593" w:type="pct"/>
            <w:tcBorders>
              <w:bottom w:val="single" w:sz="4" w:space="0" w:color="auto"/>
            </w:tcBorders>
            <w:vAlign w:val="bottom"/>
          </w:tcPr>
          <w:p w14:paraId="3FF419B0" w14:textId="77777777" w:rsidR="00AE4F61" w:rsidRPr="00B91D09" w:rsidRDefault="00AE4F61" w:rsidP="00E032FC">
            <w:pPr>
              <w:pStyle w:val="TT"/>
              <w:jc w:val="right"/>
              <w:rPr>
                <w:rFonts w:cs="Arial"/>
                <w:color w:val="000000"/>
                <w:sz w:val="18"/>
                <w:szCs w:val="18"/>
              </w:rPr>
            </w:pPr>
            <w:r w:rsidRPr="00C507E7">
              <w:rPr>
                <w:rFonts w:cs="Arial"/>
                <w:color w:val="000000"/>
                <w:sz w:val="18"/>
                <w:szCs w:val="18"/>
              </w:rPr>
              <w:t>(71.245)</w:t>
            </w:r>
          </w:p>
        </w:tc>
        <w:tc>
          <w:tcPr>
            <w:tcW w:w="694" w:type="pct"/>
            <w:tcBorders>
              <w:bottom w:val="single" w:sz="4" w:space="0" w:color="auto"/>
            </w:tcBorders>
            <w:vAlign w:val="bottom"/>
          </w:tcPr>
          <w:p w14:paraId="128A4F01" w14:textId="77777777" w:rsidR="00AE4F61" w:rsidRPr="00B91D09" w:rsidRDefault="00AE4F61" w:rsidP="00E032FC">
            <w:pPr>
              <w:pStyle w:val="TT"/>
              <w:jc w:val="right"/>
              <w:rPr>
                <w:rFonts w:cs="Arial"/>
                <w:color w:val="000000"/>
                <w:sz w:val="18"/>
                <w:szCs w:val="18"/>
              </w:rPr>
            </w:pPr>
            <w:r>
              <w:rPr>
                <w:rFonts w:cs="Arial"/>
                <w:color w:val="000000"/>
                <w:sz w:val="18"/>
                <w:szCs w:val="18"/>
              </w:rPr>
              <w:t>-</w:t>
            </w:r>
          </w:p>
        </w:tc>
        <w:tc>
          <w:tcPr>
            <w:tcW w:w="555" w:type="pct"/>
            <w:tcBorders>
              <w:bottom w:val="single" w:sz="4" w:space="0" w:color="auto"/>
            </w:tcBorders>
            <w:vAlign w:val="bottom"/>
          </w:tcPr>
          <w:p w14:paraId="5F059993" w14:textId="77777777" w:rsidR="00AE4F61" w:rsidRPr="00B91D09" w:rsidDel="003A48C1" w:rsidRDefault="00AE4F61" w:rsidP="00E032FC">
            <w:pPr>
              <w:pStyle w:val="TT"/>
              <w:jc w:val="right"/>
              <w:rPr>
                <w:rFonts w:cs="Arial"/>
                <w:color w:val="000000"/>
                <w:sz w:val="18"/>
                <w:szCs w:val="18"/>
              </w:rPr>
            </w:pPr>
            <w:r>
              <w:rPr>
                <w:rFonts w:cs="Arial"/>
                <w:color w:val="000000"/>
                <w:sz w:val="18"/>
                <w:szCs w:val="18"/>
              </w:rPr>
              <w:t>-</w:t>
            </w:r>
          </w:p>
        </w:tc>
        <w:tc>
          <w:tcPr>
            <w:tcW w:w="692" w:type="pct"/>
            <w:tcBorders>
              <w:bottom w:val="single" w:sz="4" w:space="0" w:color="auto"/>
            </w:tcBorders>
            <w:vAlign w:val="bottom"/>
          </w:tcPr>
          <w:p w14:paraId="74E18FCA" w14:textId="77777777" w:rsidR="00AE4F61" w:rsidRPr="00B91D09" w:rsidRDefault="00AE4F61" w:rsidP="00E032FC">
            <w:pPr>
              <w:pStyle w:val="TT"/>
              <w:jc w:val="right"/>
              <w:rPr>
                <w:rFonts w:cs="Arial"/>
                <w:b/>
                <w:bCs/>
                <w:color w:val="000000"/>
                <w:sz w:val="18"/>
                <w:szCs w:val="18"/>
              </w:rPr>
            </w:pPr>
            <w:r w:rsidRPr="00DE0111">
              <w:rPr>
                <w:rFonts w:cs="Arial"/>
                <w:b/>
                <w:bCs/>
                <w:color w:val="000000"/>
                <w:sz w:val="18"/>
                <w:szCs w:val="18"/>
              </w:rPr>
              <w:t>(71.245)</w:t>
            </w:r>
          </w:p>
        </w:tc>
      </w:tr>
      <w:tr w:rsidR="00AE4F61" w:rsidRPr="00B91D09" w14:paraId="3E6AEBFD" w14:textId="77777777" w:rsidTr="009307DC">
        <w:trPr>
          <w:trHeight w:val="212"/>
        </w:trPr>
        <w:tc>
          <w:tcPr>
            <w:tcW w:w="1317" w:type="pct"/>
            <w:vAlign w:val="bottom"/>
          </w:tcPr>
          <w:p w14:paraId="61333658" w14:textId="77777777" w:rsidR="00AE4F61" w:rsidRPr="00B91D09" w:rsidRDefault="00AE4F61" w:rsidP="00E032FC">
            <w:pPr>
              <w:pStyle w:val="TT"/>
              <w:spacing w:line="240" w:lineRule="exact"/>
              <w:rPr>
                <w:rFonts w:cs="Arial"/>
                <w:iCs/>
                <w:color w:val="000000" w:themeColor="text1"/>
                <w:sz w:val="18"/>
                <w:szCs w:val="18"/>
                <w:lang w:val="hr-HR"/>
              </w:rPr>
            </w:pPr>
            <w:bookmarkStart w:id="398" w:name="_Toc67326931"/>
            <w:r w:rsidRPr="00B91D09">
              <w:rPr>
                <w:rFonts w:cs="Arial"/>
                <w:iCs/>
                <w:color w:val="000000" w:themeColor="text1"/>
                <w:sz w:val="18"/>
                <w:szCs w:val="18"/>
                <w:lang w:val="hr-HR"/>
              </w:rPr>
              <w:t>Ukupna sveobuhvatna dobit</w:t>
            </w:r>
            <w:bookmarkEnd w:id="398"/>
          </w:p>
        </w:tc>
        <w:tc>
          <w:tcPr>
            <w:tcW w:w="593" w:type="pct"/>
            <w:tcBorders>
              <w:top w:val="nil"/>
              <w:left w:val="nil"/>
              <w:bottom w:val="single" w:sz="4" w:space="0" w:color="auto"/>
              <w:right w:val="nil"/>
            </w:tcBorders>
            <w:shd w:val="clear" w:color="auto" w:fill="auto"/>
            <w:vAlign w:val="bottom"/>
          </w:tcPr>
          <w:p w14:paraId="04B8AFD4" w14:textId="77777777" w:rsidR="00AE4F61" w:rsidRPr="00B91D09" w:rsidRDefault="00AE4F61" w:rsidP="00E032FC">
            <w:pPr>
              <w:pStyle w:val="TT"/>
              <w:jc w:val="right"/>
              <w:rPr>
                <w:rFonts w:cs="Arial"/>
                <w:b/>
                <w:iCs/>
                <w:color w:val="000000" w:themeColor="text1"/>
                <w:sz w:val="18"/>
                <w:szCs w:val="18"/>
                <w:lang w:val="hr-HR"/>
              </w:rPr>
            </w:pPr>
            <w:r>
              <w:rPr>
                <w:rFonts w:cs="Arial"/>
                <w:b/>
                <w:iCs/>
                <w:color w:val="000000" w:themeColor="text1"/>
                <w:sz w:val="18"/>
                <w:szCs w:val="18"/>
                <w:lang w:val="hr-HR"/>
              </w:rPr>
              <w:t>-</w:t>
            </w:r>
          </w:p>
        </w:tc>
        <w:tc>
          <w:tcPr>
            <w:tcW w:w="555" w:type="pct"/>
            <w:tcBorders>
              <w:top w:val="nil"/>
              <w:left w:val="nil"/>
              <w:bottom w:val="single" w:sz="4" w:space="0" w:color="auto"/>
              <w:right w:val="nil"/>
            </w:tcBorders>
            <w:shd w:val="clear" w:color="auto" w:fill="auto"/>
            <w:vAlign w:val="bottom"/>
          </w:tcPr>
          <w:p w14:paraId="3C3E1409" w14:textId="77777777" w:rsidR="00AE4F61" w:rsidRPr="00B91D09" w:rsidRDefault="00AE4F61" w:rsidP="00E032FC">
            <w:pPr>
              <w:pStyle w:val="TT"/>
              <w:jc w:val="right"/>
              <w:rPr>
                <w:rFonts w:cs="Arial"/>
                <w:b/>
                <w:iCs/>
                <w:color w:val="000000" w:themeColor="text1"/>
                <w:sz w:val="18"/>
                <w:szCs w:val="18"/>
                <w:lang w:val="hr-HR"/>
              </w:rPr>
            </w:pPr>
            <w:r>
              <w:rPr>
                <w:rFonts w:cs="Arial"/>
                <w:b/>
                <w:iCs/>
                <w:color w:val="000000" w:themeColor="text1"/>
                <w:sz w:val="18"/>
                <w:szCs w:val="18"/>
                <w:lang w:val="hr-HR"/>
              </w:rPr>
              <w:t>-</w:t>
            </w:r>
          </w:p>
        </w:tc>
        <w:tc>
          <w:tcPr>
            <w:tcW w:w="593" w:type="pct"/>
            <w:tcBorders>
              <w:top w:val="nil"/>
              <w:left w:val="nil"/>
              <w:bottom w:val="single" w:sz="4" w:space="0" w:color="auto"/>
              <w:right w:val="nil"/>
            </w:tcBorders>
            <w:shd w:val="clear" w:color="auto" w:fill="auto"/>
            <w:vAlign w:val="bottom"/>
          </w:tcPr>
          <w:p w14:paraId="349363B4" w14:textId="77777777" w:rsidR="00AE4F61" w:rsidRPr="00B91D09" w:rsidRDefault="00AE4F61" w:rsidP="00E032FC">
            <w:pPr>
              <w:pStyle w:val="TT"/>
              <w:jc w:val="right"/>
              <w:rPr>
                <w:rFonts w:cs="Arial"/>
                <w:b/>
                <w:iCs/>
                <w:color w:val="000000" w:themeColor="text1"/>
                <w:sz w:val="18"/>
                <w:szCs w:val="18"/>
                <w:lang w:val="hr-HR"/>
              </w:rPr>
            </w:pPr>
            <w:r w:rsidRPr="00C507E7">
              <w:rPr>
                <w:rFonts w:cs="Arial"/>
                <w:b/>
                <w:iCs/>
                <w:color w:val="000000" w:themeColor="text1"/>
                <w:sz w:val="18"/>
                <w:szCs w:val="18"/>
                <w:lang w:val="hr-HR"/>
              </w:rPr>
              <w:t>(71.245)</w:t>
            </w:r>
          </w:p>
        </w:tc>
        <w:tc>
          <w:tcPr>
            <w:tcW w:w="694" w:type="pct"/>
            <w:tcBorders>
              <w:top w:val="nil"/>
              <w:left w:val="nil"/>
              <w:bottom w:val="single" w:sz="4" w:space="0" w:color="auto"/>
              <w:right w:val="nil"/>
            </w:tcBorders>
            <w:shd w:val="clear" w:color="auto" w:fill="auto"/>
            <w:vAlign w:val="bottom"/>
          </w:tcPr>
          <w:p w14:paraId="1564C058" w14:textId="77777777" w:rsidR="00AE4F61" w:rsidRPr="00B91D09" w:rsidRDefault="00AE4F61" w:rsidP="00E032FC">
            <w:pPr>
              <w:pStyle w:val="TT"/>
              <w:jc w:val="right"/>
              <w:rPr>
                <w:rFonts w:cs="Arial"/>
                <w:b/>
                <w:iCs/>
                <w:color w:val="000000" w:themeColor="text1"/>
                <w:sz w:val="18"/>
                <w:szCs w:val="18"/>
                <w:lang w:val="hr-HR"/>
              </w:rPr>
            </w:pPr>
            <w:r w:rsidRPr="00C507E7">
              <w:rPr>
                <w:rFonts w:cs="Arial"/>
                <w:b/>
                <w:iCs/>
                <w:color w:val="000000" w:themeColor="text1"/>
                <w:sz w:val="18"/>
                <w:szCs w:val="18"/>
                <w:lang w:val="hr-HR"/>
              </w:rPr>
              <w:t>189.458</w:t>
            </w:r>
          </w:p>
        </w:tc>
        <w:tc>
          <w:tcPr>
            <w:tcW w:w="555" w:type="pct"/>
            <w:tcBorders>
              <w:top w:val="nil"/>
              <w:left w:val="nil"/>
              <w:bottom w:val="single" w:sz="4" w:space="0" w:color="auto"/>
              <w:right w:val="nil"/>
            </w:tcBorders>
            <w:shd w:val="clear" w:color="auto" w:fill="auto"/>
            <w:vAlign w:val="bottom"/>
          </w:tcPr>
          <w:p w14:paraId="55339C2D" w14:textId="77777777" w:rsidR="00AE4F61" w:rsidRPr="00B91D09" w:rsidDel="003A48C1" w:rsidRDefault="00AE4F61" w:rsidP="00E032FC">
            <w:pPr>
              <w:pStyle w:val="TT"/>
              <w:jc w:val="right"/>
              <w:rPr>
                <w:rFonts w:cs="Arial"/>
                <w:b/>
                <w:iCs/>
                <w:color w:val="000000" w:themeColor="text1"/>
                <w:sz w:val="18"/>
                <w:szCs w:val="18"/>
                <w:lang w:val="hr-HR"/>
              </w:rPr>
            </w:pPr>
            <w:r>
              <w:rPr>
                <w:rFonts w:cs="Arial"/>
                <w:b/>
                <w:iCs/>
                <w:color w:val="000000" w:themeColor="text1"/>
                <w:sz w:val="18"/>
                <w:szCs w:val="18"/>
                <w:lang w:val="hr-HR"/>
              </w:rPr>
              <w:t>-</w:t>
            </w:r>
          </w:p>
        </w:tc>
        <w:tc>
          <w:tcPr>
            <w:tcW w:w="692" w:type="pct"/>
            <w:tcBorders>
              <w:top w:val="nil"/>
              <w:left w:val="nil"/>
              <w:bottom w:val="single" w:sz="4" w:space="0" w:color="auto"/>
              <w:right w:val="nil"/>
            </w:tcBorders>
            <w:shd w:val="clear" w:color="auto" w:fill="auto"/>
            <w:vAlign w:val="bottom"/>
          </w:tcPr>
          <w:p w14:paraId="37FB4AA2" w14:textId="77777777" w:rsidR="00AE4F61" w:rsidRPr="00B91D09" w:rsidRDefault="00AE4F61" w:rsidP="00E032FC">
            <w:pPr>
              <w:pStyle w:val="TT"/>
              <w:jc w:val="right"/>
              <w:rPr>
                <w:rFonts w:cs="Arial"/>
                <w:b/>
                <w:iCs/>
                <w:color w:val="000000" w:themeColor="text1"/>
                <w:sz w:val="18"/>
                <w:szCs w:val="18"/>
                <w:lang w:val="hr-HR"/>
              </w:rPr>
            </w:pPr>
            <w:r w:rsidRPr="00DE0111">
              <w:rPr>
                <w:rFonts w:cs="Arial"/>
                <w:b/>
                <w:iCs/>
                <w:color w:val="000000" w:themeColor="text1"/>
                <w:sz w:val="18"/>
                <w:szCs w:val="18"/>
                <w:lang w:val="hr-HR"/>
              </w:rPr>
              <w:t>118.213</w:t>
            </w:r>
          </w:p>
        </w:tc>
      </w:tr>
      <w:tr w:rsidR="00AE4F61" w:rsidRPr="00B91D09" w14:paraId="0231D114" w14:textId="77777777" w:rsidTr="009307DC">
        <w:trPr>
          <w:trHeight w:val="76"/>
        </w:trPr>
        <w:tc>
          <w:tcPr>
            <w:tcW w:w="1317" w:type="pct"/>
            <w:vAlign w:val="bottom"/>
          </w:tcPr>
          <w:p w14:paraId="26EC1929" w14:textId="77777777" w:rsidR="00AE4F61" w:rsidRPr="00B91D09" w:rsidRDefault="00AE4F61" w:rsidP="00E032FC">
            <w:pPr>
              <w:pStyle w:val="TT"/>
              <w:spacing w:line="240" w:lineRule="exact"/>
              <w:rPr>
                <w:rFonts w:cs="Arial"/>
                <w:iCs/>
                <w:color w:val="000000" w:themeColor="text1"/>
                <w:sz w:val="18"/>
                <w:szCs w:val="18"/>
                <w:lang w:val="hr-HR"/>
              </w:rPr>
            </w:pPr>
            <w:bookmarkStart w:id="399" w:name="_Toc67326938"/>
            <w:r w:rsidRPr="00B91D09">
              <w:rPr>
                <w:rFonts w:cs="Arial"/>
                <w:iCs/>
                <w:color w:val="000000" w:themeColor="text1"/>
                <w:sz w:val="18"/>
                <w:szCs w:val="18"/>
                <w:lang w:val="hr-HR"/>
              </w:rPr>
              <w:t>Tečajne razlike Garantni fond</w:t>
            </w:r>
            <w:bookmarkEnd w:id="399"/>
          </w:p>
        </w:tc>
        <w:tc>
          <w:tcPr>
            <w:tcW w:w="593" w:type="pct"/>
            <w:tcBorders>
              <w:top w:val="nil"/>
              <w:left w:val="nil"/>
              <w:bottom w:val="nil"/>
              <w:right w:val="nil"/>
            </w:tcBorders>
            <w:shd w:val="clear" w:color="auto" w:fill="auto"/>
            <w:vAlign w:val="bottom"/>
          </w:tcPr>
          <w:p w14:paraId="4A8E01FA" w14:textId="77777777" w:rsidR="00AE4F61" w:rsidRPr="00B91D09" w:rsidRDefault="00AE4F61" w:rsidP="00E032FC">
            <w:pPr>
              <w:pStyle w:val="TT"/>
              <w:jc w:val="right"/>
              <w:rPr>
                <w:rFonts w:cs="Arial"/>
                <w:color w:val="000000"/>
                <w:sz w:val="18"/>
                <w:szCs w:val="18"/>
              </w:rPr>
            </w:pPr>
            <w:r>
              <w:rPr>
                <w:rFonts w:cs="Arial"/>
                <w:color w:val="000000"/>
                <w:sz w:val="18"/>
                <w:szCs w:val="18"/>
              </w:rPr>
              <w:t>-</w:t>
            </w:r>
          </w:p>
        </w:tc>
        <w:tc>
          <w:tcPr>
            <w:tcW w:w="555" w:type="pct"/>
            <w:tcBorders>
              <w:top w:val="nil"/>
              <w:left w:val="nil"/>
              <w:bottom w:val="nil"/>
              <w:right w:val="nil"/>
            </w:tcBorders>
            <w:shd w:val="clear" w:color="auto" w:fill="auto"/>
            <w:vAlign w:val="bottom"/>
          </w:tcPr>
          <w:p w14:paraId="44EEA39E" w14:textId="77777777" w:rsidR="00AE4F61" w:rsidRPr="00B91D09" w:rsidRDefault="00AE4F61" w:rsidP="00E032FC">
            <w:pPr>
              <w:pStyle w:val="TT"/>
              <w:jc w:val="right"/>
              <w:rPr>
                <w:rFonts w:cs="Arial"/>
                <w:color w:val="000000"/>
                <w:sz w:val="18"/>
                <w:szCs w:val="18"/>
              </w:rPr>
            </w:pPr>
            <w:r>
              <w:rPr>
                <w:rFonts w:cs="Arial"/>
                <w:color w:val="000000"/>
                <w:sz w:val="18"/>
                <w:szCs w:val="18"/>
              </w:rPr>
              <w:t>-</w:t>
            </w:r>
          </w:p>
        </w:tc>
        <w:tc>
          <w:tcPr>
            <w:tcW w:w="593" w:type="pct"/>
            <w:tcBorders>
              <w:top w:val="nil"/>
              <w:left w:val="nil"/>
              <w:bottom w:val="nil"/>
              <w:right w:val="nil"/>
            </w:tcBorders>
            <w:shd w:val="clear" w:color="auto" w:fill="auto"/>
            <w:vAlign w:val="bottom"/>
          </w:tcPr>
          <w:p w14:paraId="1207CF66" w14:textId="77777777" w:rsidR="00AE4F61" w:rsidRPr="00B91D09" w:rsidRDefault="00AE4F61" w:rsidP="00E032FC">
            <w:pPr>
              <w:pStyle w:val="TT"/>
              <w:jc w:val="right"/>
              <w:rPr>
                <w:rFonts w:cs="Arial"/>
                <w:color w:val="000000"/>
                <w:sz w:val="18"/>
                <w:szCs w:val="18"/>
              </w:rPr>
            </w:pPr>
            <w:r>
              <w:rPr>
                <w:rFonts w:cs="Arial"/>
                <w:color w:val="000000"/>
                <w:sz w:val="18"/>
                <w:szCs w:val="18"/>
              </w:rPr>
              <w:t>-</w:t>
            </w:r>
          </w:p>
        </w:tc>
        <w:tc>
          <w:tcPr>
            <w:tcW w:w="694" w:type="pct"/>
            <w:tcBorders>
              <w:top w:val="nil"/>
              <w:left w:val="nil"/>
              <w:bottom w:val="nil"/>
              <w:right w:val="nil"/>
            </w:tcBorders>
            <w:shd w:val="clear" w:color="auto" w:fill="auto"/>
            <w:vAlign w:val="bottom"/>
          </w:tcPr>
          <w:p w14:paraId="50AC3E37" w14:textId="77777777" w:rsidR="00AE4F61" w:rsidRPr="00B91D09" w:rsidRDefault="00AE4F61" w:rsidP="00E032FC">
            <w:pPr>
              <w:pStyle w:val="TT"/>
              <w:jc w:val="right"/>
              <w:rPr>
                <w:rFonts w:cs="Arial"/>
                <w:color w:val="000000"/>
                <w:sz w:val="18"/>
                <w:szCs w:val="18"/>
              </w:rPr>
            </w:pPr>
            <w:r>
              <w:rPr>
                <w:rFonts w:cs="Arial"/>
                <w:color w:val="000000"/>
                <w:sz w:val="18"/>
                <w:szCs w:val="18"/>
              </w:rPr>
              <w:t>-</w:t>
            </w:r>
          </w:p>
        </w:tc>
        <w:tc>
          <w:tcPr>
            <w:tcW w:w="555" w:type="pct"/>
            <w:tcBorders>
              <w:top w:val="nil"/>
              <w:left w:val="nil"/>
              <w:bottom w:val="nil"/>
              <w:right w:val="nil"/>
            </w:tcBorders>
            <w:shd w:val="clear" w:color="auto" w:fill="auto"/>
            <w:vAlign w:val="bottom"/>
          </w:tcPr>
          <w:p w14:paraId="7ADBACBA" w14:textId="77777777" w:rsidR="00AE4F61" w:rsidRPr="00B91D09" w:rsidRDefault="00AE4F61" w:rsidP="00E032FC">
            <w:pPr>
              <w:pStyle w:val="TT"/>
              <w:jc w:val="right"/>
              <w:rPr>
                <w:rFonts w:cs="Arial"/>
                <w:color w:val="000000"/>
                <w:sz w:val="18"/>
                <w:szCs w:val="18"/>
              </w:rPr>
            </w:pPr>
            <w:r w:rsidRPr="00C507E7">
              <w:rPr>
                <w:rFonts w:cs="Arial"/>
                <w:color w:val="000000"/>
                <w:sz w:val="18"/>
                <w:szCs w:val="18"/>
              </w:rPr>
              <w:t>28</w:t>
            </w:r>
          </w:p>
        </w:tc>
        <w:tc>
          <w:tcPr>
            <w:tcW w:w="692" w:type="pct"/>
            <w:tcBorders>
              <w:top w:val="nil"/>
              <w:left w:val="nil"/>
              <w:bottom w:val="nil"/>
              <w:right w:val="nil"/>
            </w:tcBorders>
            <w:shd w:val="clear" w:color="auto" w:fill="auto"/>
            <w:vAlign w:val="bottom"/>
          </w:tcPr>
          <w:p w14:paraId="587E5939" w14:textId="77777777" w:rsidR="00AE4F61" w:rsidRPr="00B91D09" w:rsidRDefault="00AE4F61" w:rsidP="00E032FC">
            <w:pPr>
              <w:pStyle w:val="TT"/>
              <w:jc w:val="right"/>
              <w:rPr>
                <w:rFonts w:cs="Arial"/>
                <w:b/>
                <w:bCs/>
                <w:color w:val="000000"/>
                <w:sz w:val="18"/>
                <w:szCs w:val="18"/>
              </w:rPr>
            </w:pPr>
            <w:r w:rsidRPr="00C507E7">
              <w:rPr>
                <w:rFonts w:cs="Arial"/>
                <w:b/>
                <w:bCs/>
                <w:color w:val="000000"/>
                <w:sz w:val="18"/>
                <w:szCs w:val="18"/>
              </w:rPr>
              <w:t>28</w:t>
            </w:r>
          </w:p>
        </w:tc>
      </w:tr>
      <w:tr w:rsidR="00AE4F61" w:rsidRPr="00B91D09" w14:paraId="6E1EAE44" w14:textId="77777777" w:rsidTr="009307DC">
        <w:trPr>
          <w:trHeight w:val="76"/>
        </w:trPr>
        <w:tc>
          <w:tcPr>
            <w:tcW w:w="1317" w:type="pct"/>
            <w:vAlign w:val="bottom"/>
          </w:tcPr>
          <w:p w14:paraId="4C2E98EC" w14:textId="77777777" w:rsidR="00AE4F61" w:rsidRPr="00B91D09" w:rsidRDefault="00AE4F61" w:rsidP="00E032FC">
            <w:pPr>
              <w:pStyle w:val="TT"/>
              <w:spacing w:line="240" w:lineRule="exact"/>
              <w:rPr>
                <w:rFonts w:cs="Arial"/>
                <w:i/>
                <w:iCs/>
                <w:color w:val="000000" w:themeColor="text1"/>
                <w:sz w:val="18"/>
                <w:szCs w:val="18"/>
                <w:lang w:val="hr-HR"/>
              </w:rPr>
            </w:pPr>
            <w:bookmarkStart w:id="400" w:name="_Toc67326945"/>
            <w:r w:rsidRPr="00B91D09">
              <w:rPr>
                <w:rFonts w:cs="Arial"/>
                <w:iCs/>
                <w:color w:val="000000" w:themeColor="text1"/>
                <w:sz w:val="18"/>
                <w:szCs w:val="18"/>
                <w:lang w:val="hr-HR"/>
              </w:rPr>
              <w:t>Uplate u osnivački kapital iz državnog proračuna</w:t>
            </w:r>
            <w:bookmarkEnd w:id="400"/>
          </w:p>
        </w:tc>
        <w:tc>
          <w:tcPr>
            <w:tcW w:w="593" w:type="pct"/>
            <w:tcBorders>
              <w:top w:val="nil"/>
              <w:left w:val="nil"/>
              <w:bottom w:val="nil"/>
              <w:right w:val="nil"/>
            </w:tcBorders>
            <w:shd w:val="clear" w:color="auto" w:fill="auto"/>
            <w:vAlign w:val="bottom"/>
          </w:tcPr>
          <w:p w14:paraId="32AD7978" w14:textId="77777777" w:rsidR="00AE4F61" w:rsidRPr="00B91D09" w:rsidRDefault="00AE4F61" w:rsidP="00E032FC">
            <w:pPr>
              <w:pStyle w:val="TT"/>
              <w:jc w:val="right"/>
              <w:rPr>
                <w:rFonts w:cs="Arial"/>
                <w:iCs/>
                <w:color w:val="000000" w:themeColor="text1"/>
                <w:sz w:val="18"/>
                <w:szCs w:val="18"/>
                <w:lang w:val="hr-HR"/>
              </w:rPr>
            </w:pPr>
            <w:r w:rsidRPr="00C507E7">
              <w:rPr>
                <w:rFonts w:cs="Arial"/>
                <w:iCs/>
                <w:color w:val="000000" w:themeColor="text1"/>
                <w:sz w:val="18"/>
                <w:szCs w:val="18"/>
                <w:lang w:val="hr-HR"/>
              </w:rPr>
              <w:t>20.000</w:t>
            </w:r>
          </w:p>
        </w:tc>
        <w:tc>
          <w:tcPr>
            <w:tcW w:w="555" w:type="pct"/>
            <w:tcBorders>
              <w:top w:val="nil"/>
              <w:left w:val="nil"/>
              <w:bottom w:val="nil"/>
              <w:right w:val="nil"/>
            </w:tcBorders>
            <w:shd w:val="clear" w:color="auto" w:fill="auto"/>
            <w:vAlign w:val="bottom"/>
          </w:tcPr>
          <w:p w14:paraId="4419B202" w14:textId="77777777" w:rsidR="00AE4F61" w:rsidRPr="00B91D09" w:rsidRDefault="00AE4F61" w:rsidP="00E032FC">
            <w:pPr>
              <w:pStyle w:val="TT"/>
              <w:jc w:val="right"/>
              <w:rPr>
                <w:rFonts w:cs="Arial"/>
                <w:bCs/>
                <w:iCs/>
                <w:color w:val="000000" w:themeColor="text1"/>
                <w:sz w:val="18"/>
                <w:szCs w:val="18"/>
                <w:lang w:val="hr-HR"/>
              </w:rPr>
            </w:pPr>
            <w:r>
              <w:rPr>
                <w:rFonts w:cs="Arial"/>
                <w:bCs/>
                <w:iCs/>
                <w:color w:val="000000" w:themeColor="text1"/>
                <w:sz w:val="18"/>
                <w:szCs w:val="18"/>
                <w:lang w:val="hr-HR"/>
              </w:rPr>
              <w:t>-</w:t>
            </w:r>
          </w:p>
        </w:tc>
        <w:tc>
          <w:tcPr>
            <w:tcW w:w="593" w:type="pct"/>
            <w:tcBorders>
              <w:top w:val="nil"/>
              <w:left w:val="nil"/>
              <w:bottom w:val="nil"/>
              <w:right w:val="nil"/>
            </w:tcBorders>
            <w:shd w:val="clear" w:color="auto" w:fill="auto"/>
            <w:vAlign w:val="bottom"/>
          </w:tcPr>
          <w:p w14:paraId="28CEC028" w14:textId="77777777" w:rsidR="00AE4F61" w:rsidRPr="00B91D09" w:rsidRDefault="00AE4F61" w:rsidP="00E032FC">
            <w:pPr>
              <w:pStyle w:val="TT"/>
              <w:jc w:val="right"/>
              <w:rPr>
                <w:rFonts w:cs="Arial"/>
                <w:iCs/>
                <w:color w:val="000000" w:themeColor="text1"/>
                <w:sz w:val="18"/>
                <w:szCs w:val="18"/>
                <w:lang w:val="hr-HR"/>
              </w:rPr>
            </w:pPr>
            <w:r>
              <w:rPr>
                <w:rFonts w:cs="Arial"/>
                <w:iCs/>
                <w:color w:val="000000" w:themeColor="text1"/>
                <w:sz w:val="18"/>
                <w:szCs w:val="18"/>
                <w:lang w:val="hr-HR"/>
              </w:rPr>
              <w:t>-</w:t>
            </w:r>
          </w:p>
        </w:tc>
        <w:tc>
          <w:tcPr>
            <w:tcW w:w="694" w:type="pct"/>
            <w:tcBorders>
              <w:top w:val="nil"/>
              <w:left w:val="nil"/>
              <w:bottom w:val="nil"/>
              <w:right w:val="nil"/>
            </w:tcBorders>
            <w:shd w:val="clear" w:color="auto" w:fill="auto"/>
            <w:vAlign w:val="bottom"/>
          </w:tcPr>
          <w:p w14:paraId="1EAE98AC" w14:textId="77777777" w:rsidR="00AE4F61" w:rsidRPr="00B91D09" w:rsidRDefault="00AE4F61" w:rsidP="00E032FC">
            <w:pPr>
              <w:pStyle w:val="TT"/>
              <w:jc w:val="right"/>
              <w:rPr>
                <w:rFonts w:cs="Arial"/>
                <w:iCs/>
                <w:color w:val="000000" w:themeColor="text1"/>
                <w:sz w:val="18"/>
                <w:szCs w:val="18"/>
                <w:lang w:val="hr-HR"/>
              </w:rPr>
            </w:pPr>
            <w:r>
              <w:rPr>
                <w:rFonts w:cs="Arial"/>
                <w:iCs/>
                <w:color w:val="000000" w:themeColor="text1"/>
                <w:sz w:val="18"/>
                <w:szCs w:val="18"/>
                <w:lang w:val="hr-HR"/>
              </w:rPr>
              <w:t>-</w:t>
            </w:r>
          </w:p>
        </w:tc>
        <w:tc>
          <w:tcPr>
            <w:tcW w:w="555" w:type="pct"/>
            <w:tcBorders>
              <w:top w:val="nil"/>
              <w:left w:val="nil"/>
              <w:bottom w:val="nil"/>
              <w:right w:val="nil"/>
            </w:tcBorders>
            <w:shd w:val="clear" w:color="auto" w:fill="auto"/>
            <w:vAlign w:val="bottom"/>
          </w:tcPr>
          <w:p w14:paraId="2B23C5AB" w14:textId="77777777" w:rsidR="00AE4F61" w:rsidRPr="00B91D09" w:rsidDel="003A48C1" w:rsidRDefault="00AE4F61" w:rsidP="00E032FC">
            <w:pPr>
              <w:pStyle w:val="TT"/>
              <w:jc w:val="right"/>
              <w:rPr>
                <w:rFonts w:cs="Arial"/>
                <w:color w:val="000000" w:themeColor="text1"/>
                <w:sz w:val="18"/>
                <w:szCs w:val="18"/>
                <w:lang w:val="hr-HR"/>
              </w:rPr>
            </w:pPr>
            <w:r>
              <w:rPr>
                <w:rFonts w:cs="Arial"/>
                <w:color w:val="000000" w:themeColor="text1"/>
                <w:sz w:val="18"/>
                <w:szCs w:val="18"/>
                <w:lang w:val="hr-HR"/>
              </w:rPr>
              <w:t>-</w:t>
            </w:r>
          </w:p>
        </w:tc>
        <w:tc>
          <w:tcPr>
            <w:tcW w:w="692" w:type="pct"/>
            <w:tcBorders>
              <w:top w:val="nil"/>
              <w:left w:val="nil"/>
              <w:bottom w:val="nil"/>
              <w:right w:val="nil"/>
            </w:tcBorders>
            <w:shd w:val="clear" w:color="auto" w:fill="auto"/>
            <w:vAlign w:val="bottom"/>
          </w:tcPr>
          <w:p w14:paraId="1662FA07" w14:textId="77777777" w:rsidR="00AE4F61" w:rsidRPr="00B91D09" w:rsidRDefault="00AE4F61" w:rsidP="00E032FC">
            <w:pPr>
              <w:pStyle w:val="TT"/>
              <w:jc w:val="right"/>
              <w:rPr>
                <w:rFonts w:cs="Arial"/>
                <w:b/>
                <w:iCs/>
                <w:color w:val="000000" w:themeColor="text1"/>
                <w:sz w:val="18"/>
                <w:szCs w:val="18"/>
                <w:lang w:val="hr-HR"/>
              </w:rPr>
            </w:pPr>
            <w:r w:rsidRPr="00C507E7">
              <w:rPr>
                <w:rFonts w:cs="Arial"/>
                <w:b/>
                <w:iCs/>
                <w:color w:val="000000" w:themeColor="text1"/>
                <w:sz w:val="18"/>
                <w:szCs w:val="18"/>
                <w:lang w:val="hr-HR"/>
              </w:rPr>
              <w:t>20.000</w:t>
            </w:r>
          </w:p>
        </w:tc>
      </w:tr>
      <w:tr w:rsidR="00AE4F61" w:rsidRPr="00B91D09" w14:paraId="3518FB81" w14:textId="77777777" w:rsidTr="009307DC">
        <w:trPr>
          <w:trHeight w:val="76"/>
        </w:trPr>
        <w:tc>
          <w:tcPr>
            <w:tcW w:w="1317" w:type="pct"/>
            <w:vAlign w:val="bottom"/>
          </w:tcPr>
          <w:p w14:paraId="2A104ABC" w14:textId="77777777" w:rsidR="00AE4F61" w:rsidRPr="00B91D09" w:rsidRDefault="00AE4F61" w:rsidP="00E032FC">
            <w:pPr>
              <w:pStyle w:val="TT"/>
              <w:spacing w:line="240" w:lineRule="exact"/>
              <w:rPr>
                <w:rFonts w:cs="Arial"/>
                <w:i/>
                <w:iCs/>
                <w:color w:val="000000" w:themeColor="text1"/>
                <w:sz w:val="18"/>
                <w:szCs w:val="18"/>
                <w:lang w:val="hr-HR"/>
              </w:rPr>
            </w:pPr>
            <w:bookmarkStart w:id="401" w:name="_Toc67326952"/>
            <w:r w:rsidRPr="00B91D09">
              <w:rPr>
                <w:rFonts w:cs="Arial"/>
                <w:iCs/>
                <w:color w:val="000000" w:themeColor="text1"/>
                <w:sz w:val="18"/>
                <w:szCs w:val="18"/>
                <w:lang w:val="hr-HR"/>
              </w:rPr>
              <w:t>Prijenos dobiti iz 202</w:t>
            </w:r>
            <w:r>
              <w:rPr>
                <w:rFonts w:cs="Arial"/>
                <w:iCs/>
                <w:color w:val="000000" w:themeColor="text1"/>
                <w:sz w:val="18"/>
                <w:szCs w:val="18"/>
                <w:lang w:val="hr-HR"/>
              </w:rPr>
              <w:t>1</w:t>
            </w:r>
            <w:r w:rsidRPr="00B91D09">
              <w:rPr>
                <w:rFonts w:cs="Arial"/>
                <w:iCs/>
                <w:color w:val="000000" w:themeColor="text1"/>
                <w:sz w:val="18"/>
                <w:szCs w:val="18"/>
                <w:lang w:val="hr-HR"/>
              </w:rPr>
              <w:t>. godine u zadržanu dobit</w:t>
            </w:r>
            <w:bookmarkEnd w:id="401"/>
          </w:p>
        </w:tc>
        <w:tc>
          <w:tcPr>
            <w:tcW w:w="593" w:type="pct"/>
            <w:tcBorders>
              <w:top w:val="nil"/>
              <w:left w:val="nil"/>
              <w:bottom w:val="single" w:sz="4" w:space="0" w:color="auto"/>
              <w:right w:val="nil"/>
            </w:tcBorders>
            <w:shd w:val="clear" w:color="auto" w:fill="auto"/>
            <w:vAlign w:val="bottom"/>
          </w:tcPr>
          <w:p w14:paraId="4E0FD4A7" w14:textId="77777777" w:rsidR="00AE4F61" w:rsidRPr="00B91D09" w:rsidRDefault="00AE4F61" w:rsidP="00E032FC">
            <w:pPr>
              <w:pStyle w:val="TT"/>
              <w:jc w:val="right"/>
              <w:rPr>
                <w:rFonts w:cs="Arial"/>
                <w:iCs/>
                <w:color w:val="000000" w:themeColor="text1"/>
                <w:sz w:val="18"/>
                <w:szCs w:val="18"/>
                <w:lang w:val="hr-HR"/>
              </w:rPr>
            </w:pPr>
            <w:r>
              <w:rPr>
                <w:rFonts w:cs="Arial"/>
                <w:iCs/>
                <w:color w:val="000000" w:themeColor="text1"/>
                <w:sz w:val="18"/>
                <w:szCs w:val="18"/>
                <w:lang w:val="hr-HR"/>
              </w:rPr>
              <w:t>-</w:t>
            </w:r>
          </w:p>
        </w:tc>
        <w:tc>
          <w:tcPr>
            <w:tcW w:w="555" w:type="pct"/>
            <w:tcBorders>
              <w:top w:val="nil"/>
              <w:left w:val="nil"/>
              <w:bottom w:val="single" w:sz="4" w:space="0" w:color="auto"/>
              <w:right w:val="nil"/>
            </w:tcBorders>
            <w:shd w:val="clear" w:color="auto" w:fill="auto"/>
            <w:vAlign w:val="bottom"/>
          </w:tcPr>
          <w:p w14:paraId="505DFA03" w14:textId="77777777" w:rsidR="00AE4F61" w:rsidRPr="00B91D09" w:rsidRDefault="00AE4F61" w:rsidP="00E032FC">
            <w:pPr>
              <w:pStyle w:val="TT"/>
              <w:jc w:val="right"/>
              <w:rPr>
                <w:rFonts w:cs="Arial"/>
                <w:iCs/>
                <w:color w:val="000000" w:themeColor="text1"/>
                <w:sz w:val="18"/>
                <w:szCs w:val="18"/>
                <w:lang w:val="hr-HR"/>
              </w:rPr>
            </w:pPr>
            <w:r w:rsidRPr="00C507E7">
              <w:rPr>
                <w:rFonts w:cs="Arial"/>
                <w:iCs/>
                <w:color w:val="000000" w:themeColor="text1"/>
                <w:sz w:val="18"/>
                <w:szCs w:val="18"/>
                <w:lang w:val="hr-HR"/>
              </w:rPr>
              <w:t>188.185</w:t>
            </w:r>
          </w:p>
        </w:tc>
        <w:tc>
          <w:tcPr>
            <w:tcW w:w="593" w:type="pct"/>
            <w:tcBorders>
              <w:top w:val="nil"/>
              <w:left w:val="nil"/>
              <w:bottom w:val="single" w:sz="4" w:space="0" w:color="auto"/>
              <w:right w:val="nil"/>
            </w:tcBorders>
            <w:shd w:val="clear" w:color="auto" w:fill="auto"/>
            <w:vAlign w:val="bottom"/>
          </w:tcPr>
          <w:p w14:paraId="404D1BC8" w14:textId="77777777" w:rsidR="00AE4F61" w:rsidRPr="00B91D09" w:rsidRDefault="00AE4F61" w:rsidP="00E032FC">
            <w:pPr>
              <w:pStyle w:val="TT"/>
              <w:jc w:val="right"/>
              <w:rPr>
                <w:rFonts w:cs="Arial"/>
                <w:iCs/>
                <w:color w:val="000000" w:themeColor="text1"/>
                <w:sz w:val="18"/>
                <w:szCs w:val="18"/>
                <w:lang w:val="hr-HR"/>
              </w:rPr>
            </w:pPr>
            <w:r>
              <w:rPr>
                <w:rFonts w:cs="Arial"/>
                <w:iCs/>
                <w:color w:val="000000" w:themeColor="text1"/>
                <w:sz w:val="18"/>
                <w:szCs w:val="18"/>
                <w:lang w:val="hr-HR"/>
              </w:rPr>
              <w:t>-</w:t>
            </w:r>
          </w:p>
        </w:tc>
        <w:tc>
          <w:tcPr>
            <w:tcW w:w="694" w:type="pct"/>
            <w:tcBorders>
              <w:top w:val="nil"/>
              <w:left w:val="nil"/>
              <w:bottom w:val="single" w:sz="4" w:space="0" w:color="auto"/>
              <w:right w:val="nil"/>
            </w:tcBorders>
            <w:shd w:val="clear" w:color="auto" w:fill="auto"/>
            <w:vAlign w:val="bottom"/>
          </w:tcPr>
          <w:p w14:paraId="692FA790" w14:textId="77777777" w:rsidR="00AE4F61" w:rsidRPr="00B91D09" w:rsidRDefault="00AE4F61" w:rsidP="00E032FC">
            <w:pPr>
              <w:pStyle w:val="TT"/>
              <w:jc w:val="right"/>
              <w:rPr>
                <w:rFonts w:cs="Arial"/>
                <w:iCs/>
                <w:color w:val="000000" w:themeColor="text1"/>
                <w:sz w:val="18"/>
                <w:szCs w:val="18"/>
                <w:lang w:val="hr-HR"/>
              </w:rPr>
            </w:pPr>
            <w:r>
              <w:rPr>
                <w:rFonts w:cs="Arial"/>
                <w:color w:val="000000" w:themeColor="text1"/>
                <w:sz w:val="18"/>
                <w:szCs w:val="18"/>
                <w:lang w:val="hr-HR"/>
              </w:rPr>
              <w:t>(</w:t>
            </w:r>
            <w:r w:rsidRPr="00C507E7">
              <w:rPr>
                <w:rFonts w:cs="Arial"/>
                <w:color w:val="000000" w:themeColor="text1"/>
                <w:sz w:val="18"/>
                <w:szCs w:val="18"/>
                <w:lang w:val="hr-HR"/>
              </w:rPr>
              <w:t>188.185</w:t>
            </w:r>
            <w:r>
              <w:rPr>
                <w:rFonts w:cs="Arial"/>
                <w:color w:val="000000" w:themeColor="text1"/>
                <w:sz w:val="18"/>
                <w:szCs w:val="18"/>
                <w:lang w:val="hr-HR"/>
              </w:rPr>
              <w:t>)</w:t>
            </w:r>
          </w:p>
        </w:tc>
        <w:tc>
          <w:tcPr>
            <w:tcW w:w="555" w:type="pct"/>
            <w:tcBorders>
              <w:top w:val="nil"/>
              <w:left w:val="nil"/>
              <w:bottom w:val="single" w:sz="4" w:space="0" w:color="auto"/>
              <w:right w:val="nil"/>
            </w:tcBorders>
            <w:shd w:val="clear" w:color="auto" w:fill="auto"/>
            <w:vAlign w:val="bottom"/>
          </w:tcPr>
          <w:p w14:paraId="643C2C55" w14:textId="77777777" w:rsidR="00AE4F61" w:rsidRPr="00B91D09" w:rsidRDefault="00AE4F61" w:rsidP="00E032FC">
            <w:pPr>
              <w:pStyle w:val="TT"/>
              <w:jc w:val="right"/>
              <w:rPr>
                <w:rFonts w:cs="Arial"/>
                <w:color w:val="000000" w:themeColor="text1"/>
                <w:sz w:val="18"/>
                <w:szCs w:val="18"/>
                <w:lang w:val="hr-HR"/>
              </w:rPr>
            </w:pPr>
            <w:r>
              <w:rPr>
                <w:rFonts w:cs="Arial"/>
                <w:color w:val="000000" w:themeColor="text1"/>
                <w:sz w:val="18"/>
                <w:szCs w:val="18"/>
                <w:lang w:val="hr-HR"/>
              </w:rPr>
              <w:t>-</w:t>
            </w:r>
          </w:p>
        </w:tc>
        <w:tc>
          <w:tcPr>
            <w:tcW w:w="692" w:type="pct"/>
            <w:tcBorders>
              <w:top w:val="nil"/>
              <w:left w:val="nil"/>
              <w:bottom w:val="single" w:sz="4" w:space="0" w:color="auto"/>
              <w:right w:val="nil"/>
            </w:tcBorders>
            <w:shd w:val="clear" w:color="auto" w:fill="auto"/>
            <w:vAlign w:val="bottom"/>
          </w:tcPr>
          <w:p w14:paraId="737D9DBB" w14:textId="77777777" w:rsidR="00AE4F61" w:rsidRPr="00B91D09" w:rsidRDefault="00AE4F61" w:rsidP="00E032FC">
            <w:pPr>
              <w:pStyle w:val="TT"/>
              <w:jc w:val="right"/>
              <w:rPr>
                <w:rFonts w:cs="Arial"/>
                <w:b/>
                <w:iCs/>
                <w:color w:val="000000" w:themeColor="text1"/>
                <w:sz w:val="18"/>
                <w:szCs w:val="18"/>
                <w:lang w:val="hr-HR"/>
              </w:rPr>
            </w:pPr>
            <w:r>
              <w:rPr>
                <w:rFonts w:cs="Arial"/>
                <w:b/>
                <w:iCs/>
                <w:color w:val="000000" w:themeColor="text1"/>
                <w:sz w:val="18"/>
                <w:szCs w:val="18"/>
                <w:lang w:val="hr-HR"/>
              </w:rPr>
              <w:t>-</w:t>
            </w:r>
          </w:p>
        </w:tc>
      </w:tr>
      <w:tr w:rsidR="00AE4F61" w:rsidRPr="00B91D09" w14:paraId="53BA4F54" w14:textId="77777777" w:rsidTr="009307DC">
        <w:trPr>
          <w:trHeight w:hRule="exact" w:val="357"/>
        </w:trPr>
        <w:tc>
          <w:tcPr>
            <w:tcW w:w="1317" w:type="pct"/>
            <w:vAlign w:val="bottom"/>
          </w:tcPr>
          <w:p w14:paraId="1A756559" w14:textId="77777777" w:rsidR="00AE4F61" w:rsidRPr="00B91D09" w:rsidRDefault="00AE4F61" w:rsidP="00E032FC">
            <w:pPr>
              <w:pStyle w:val="TT"/>
              <w:spacing w:line="240" w:lineRule="exact"/>
              <w:rPr>
                <w:rFonts w:cs="Arial"/>
                <w:iCs/>
                <w:color w:val="000000" w:themeColor="text1"/>
                <w:sz w:val="18"/>
                <w:szCs w:val="18"/>
                <w:lang w:val="hr-HR"/>
              </w:rPr>
            </w:pPr>
            <w:bookmarkStart w:id="402" w:name="_Toc67326959"/>
            <w:r w:rsidRPr="00B91D09">
              <w:rPr>
                <w:rFonts w:cs="Arial"/>
                <w:b/>
                <w:iCs/>
                <w:color w:val="000000" w:themeColor="text1"/>
                <w:sz w:val="18"/>
                <w:szCs w:val="18"/>
                <w:lang w:val="hr-HR"/>
              </w:rPr>
              <w:t>Stanje 31. prosinca 202</w:t>
            </w:r>
            <w:r>
              <w:rPr>
                <w:rFonts w:cs="Arial"/>
                <w:b/>
                <w:iCs/>
                <w:color w:val="000000" w:themeColor="text1"/>
                <w:sz w:val="18"/>
                <w:szCs w:val="18"/>
                <w:lang w:val="hr-HR"/>
              </w:rPr>
              <w:t>2</w:t>
            </w:r>
            <w:r w:rsidRPr="00B91D09">
              <w:rPr>
                <w:rFonts w:cs="Arial"/>
                <w:b/>
                <w:iCs/>
                <w:color w:val="000000" w:themeColor="text1"/>
                <w:sz w:val="18"/>
                <w:szCs w:val="18"/>
                <w:lang w:val="hr-HR"/>
              </w:rPr>
              <w:t>.</w:t>
            </w:r>
            <w:bookmarkEnd w:id="402"/>
            <w:r w:rsidRPr="00B91D09">
              <w:rPr>
                <w:rFonts w:cs="Arial"/>
                <w:b/>
                <w:iCs/>
                <w:color w:val="000000" w:themeColor="text1"/>
                <w:sz w:val="18"/>
                <w:szCs w:val="18"/>
                <w:lang w:val="hr-HR"/>
              </w:rPr>
              <w:t xml:space="preserve"> </w:t>
            </w:r>
          </w:p>
        </w:tc>
        <w:tc>
          <w:tcPr>
            <w:tcW w:w="593" w:type="pct"/>
            <w:tcBorders>
              <w:top w:val="single" w:sz="8" w:space="0" w:color="auto"/>
              <w:left w:val="nil"/>
              <w:bottom w:val="single" w:sz="12" w:space="0" w:color="auto"/>
              <w:right w:val="nil"/>
            </w:tcBorders>
            <w:shd w:val="clear" w:color="auto" w:fill="auto"/>
            <w:vAlign w:val="bottom"/>
          </w:tcPr>
          <w:p w14:paraId="24BDC6E0" w14:textId="0FF45DC0" w:rsidR="00AE4F61" w:rsidRPr="00C507E7" w:rsidRDefault="00AE4F61" w:rsidP="00E032FC">
            <w:pPr>
              <w:pStyle w:val="TT"/>
              <w:jc w:val="right"/>
              <w:rPr>
                <w:rFonts w:cs="Arial"/>
                <w:b/>
                <w:bCs/>
                <w:color w:val="000000"/>
                <w:sz w:val="18"/>
                <w:szCs w:val="18"/>
              </w:rPr>
            </w:pPr>
            <w:r w:rsidRPr="00C507E7">
              <w:rPr>
                <w:rFonts w:cs="Arial"/>
                <w:b/>
                <w:bCs/>
                <w:color w:val="000000"/>
                <w:sz w:val="18"/>
                <w:szCs w:val="18"/>
              </w:rPr>
              <w:t xml:space="preserve">7.204.632 </w:t>
            </w:r>
          </w:p>
        </w:tc>
        <w:tc>
          <w:tcPr>
            <w:tcW w:w="555" w:type="pct"/>
            <w:tcBorders>
              <w:top w:val="single" w:sz="8" w:space="0" w:color="auto"/>
              <w:left w:val="nil"/>
              <w:bottom w:val="single" w:sz="12" w:space="0" w:color="auto"/>
              <w:right w:val="nil"/>
            </w:tcBorders>
            <w:shd w:val="clear" w:color="auto" w:fill="auto"/>
            <w:vAlign w:val="bottom"/>
          </w:tcPr>
          <w:p w14:paraId="1F83340D" w14:textId="696983DB" w:rsidR="00AE4F61" w:rsidRPr="00C507E7" w:rsidRDefault="00AE4F61" w:rsidP="00E032FC">
            <w:pPr>
              <w:pStyle w:val="TT"/>
              <w:jc w:val="right"/>
              <w:rPr>
                <w:rFonts w:cs="Arial"/>
                <w:b/>
                <w:bCs/>
                <w:color w:val="000000"/>
                <w:sz w:val="18"/>
                <w:szCs w:val="18"/>
              </w:rPr>
            </w:pPr>
            <w:r w:rsidRPr="00C507E7">
              <w:rPr>
                <w:rFonts w:cs="Arial"/>
                <w:b/>
                <w:bCs/>
                <w:color w:val="000000"/>
                <w:sz w:val="18"/>
                <w:szCs w:val="18"/>
              </w:rPr>
              <w:t xml:space="preserve">3.345.869 </w:t>
            </w:r>
          </w:p>
        </w:tc>
        <w:tc>
          <w:tcPr>
            <w:tcW w:w="593" w:type="pct"/>
            <w:tcBorders>
              <w:top w:val="single" w:sz="8" w:space="0" w:color="auto"/>
              <w:left w:val="nil"/>
              <w:bottom w:val="single" w:sz="12" w:space="0" w:color="auto"/>
              <w:right w:val="nil"/>
            </w:tcBorders>
            <w:shd w:val="clear" w:color="auto" w:fill="auto"/>
            <w:vAlign w:val="bottom"/>
          </w:tcPr>
          <w:p w14:paraId="0770A4CD" w14:textId="77777777" w:rsidR="00AE4F61" w:rsidRPr="00C507E7" w:rsidRDefault="00AE4F61" w:rsidP="00E032FC">
            <w:pPr>
              <w:pStyle w:val="TT"/>
              <w:jc w:val="right"/>
              <w:rPr>
                <w:rFonts w:cs="Arial"/>
                <w:b/>
                <w:bCs/>
                <w:color w:val="000000"/>
                <w:sz w:val="18"/>
                <w:szCs w:val="18"/>
              </w:rPr>
            </w:pPr>
            <w:r w:rsidRPr="00C507E7">
              <w:rPr>
                <w:rFonts w:cs="Arial"/>
                <w:b/>
                <w:bCs/>
                <w:color w:val="000000"/>
                <w:sz w:val="18"/>
                <w:szCs w:val="18"/>
              </w:rPr>
              <w:t xml:space="preserve"> (37.270)</w:t>
            </w:r>
          </w:p>
        </w:tc>
        <w:tc>
          <w:tcPr>
            <w:tcW w:w="694" w:type="pct"/>
            <w:tcBorders>
              <w:top w:val="single" w:sz="8" w:space="0" w:color="auto"/>
              <w:left w:val="nil"/>
              <w:bottom w:val="single" w:sz="12" w:space="0" w:color="auto"/>
              <w:right w:val="nil"/>
            </w:tcBorders>
            <w:shd w:val="clear" w:color="auto" w:fill="auto"/>
            <w:vAlign w:val="bottom"/>
          </w:tcPr>
          <w:p w14:paraId="076F0A4B" w14:textId="77777777" w:rsidR="00AE4F61" w:rsidRPr="00C507E7" w:rsidRDefault="00AE4F61" w:rsidP="00E032FC">
            <w:pPr>
              <w:pStyle w:val="TT"/>
              <w:jc w:val="right"/>
              <w:rPr>
                <w:rFonts w:cs="Arial"/>
                <w:b/>
                <w:bCs/>
                <w:color w:val="000000"/>
                <w:sz w:val="18"/>
                <w:szCs w:val="18"/>
              </w:rPr>
            </w:pPr>
            <w:r w:rsidRPr="00C507E7">
              <w:rPr>
                <w:rFonts w:cs="Arial"/>
                <w:b/>
                <w:bCs/>
                <w:color w:val="000000"/>
                <w:sz w:val="18"/>
                <w:szCs w:val="18"/>
              </w:rPr>
              <w:t xml:space="preserve"> 189.458 </w:t>
            </w:r>
          </w:p>
        </w:tc>
        <w:tc>
          <w:tcPr>
            <w:tcW w:w="555" w:type="pct"/>
            <w:tcBorders>
              <w:top w:val="single" w:sz="8" w:space="0" w:color="auto"/>
              <w:left w:val="nil"/>
              <w:bottom w:val="single" w:sz="12" w:space="0" w:color="auto"/>
              <w:right w:val="nil"/>
            </w:tcBorders>
            <w:shd w:val="clear" w:color="auto" w:fill="auto"/>
            <w:vAlign w:val="bottom"/>
          </w:tcPr>
          <w:p w14:paraId="49EA8D1A" w14:textId="77777777" w:rsidR="00AE4F61" w:rsidRPr="00C507E7" w:rsidDel="003A48C1" w:rsidRDefault="00AE4F61" w:rsidP="00E032FC">
            <w:pPr>
              <w:pStyle w:val="TT"/>
              <w:jc w:val="right"/>
              <w:rPr>
                <w:rFonts w:cs="Arial"/>
                <w:b/>
                <w:bCs/>
                <w:color w:val="000000"/>
                <w:sz w:val="18"/>
                <w:szCs w:val="18"/>
              </w:rPr>
            </w:pPr>
            <w:r w:rsidRPr="00C507E7">
              <w:rPr>
                <w:rFonts w:cs="Arial"/>
                <w:b/>
                <w:bCs/>
                <w:color w:val="000000"/>
                <w:sz w:val="18"/>
                <w:szCs w:val="18"/>
              </w:rPr>
              <w:t xml:space="preserve"> 12.337 </w:t>
            </w:r>
          </w:p>
        </w:tc>
        <w:tc>
          <w:tcPr>
            <w:tcW w:w="692" w:type="pct"/>
            <w:tcBorders>
              <w:top w:val="single" w:sz="8" w:space="0" w:color="auto"/>
              <w:left w:val="nil"/>
              <w:bottom w:val="single" w:sz="12" w:space="0" w:color="auto"/>
              <w:right w:val="nil"/>
            </w:tcBorders>
            <w:shd w:val="clear" w:color="auto" w:fill="auto"/>
            <w:vAlign w:val="bottom"/>
          </w:tcPr>
          <w:p w14:paraId="4633FE94" w14:textId="77777777" w:rsidR="00AE4F61" w:rsidRPr="00C507E7" w:rsidRDefault="00AE4F61" w:rsidP="00E032FC">
            <w:pPr>
              <w:pStyle w:val="TT"/>
              <w:jc w:val="right"/>
              <w:rPr>
                <w:rFonts w:cs="Arial"/>
                <w:b/>
                <w:bCs/>
                <w:color w:val="000000"/>
                <w:sz w:val="18"/>
                <w:szCs w:val="18"/>
              </w:rPr>
            </w:pPr>
            <w:r w:rsidRPr="00C507E7">
              <w:rPr>
                <w:rFonts w:cs="Arial"/>
                <w:b/>
                <w:bCs/>
                <w:color w:val="000000"/>
                <w:sz w:val="18"/>
                <w:szCs w:val="18"/>
              </w:rPr>
              <w:t xml:space="preserve"> 10.715.026 </w:t>
            </w:r>
          </w:p>
        </w:tc>
      </w:tr>
    </w:tbl>
    <w:p w14:paraId="2D822202" w14:textId="77777777" w:rsidR="00AE4F61" w:rsidRPr="00B91D09" w:rsidRDefault="00AE4F61" w:rsidP="00AE4F61">
      <w:pPr>
        <w:pStyle w:val="T1"/>
        <w:keepNext w:val="0"/>
        <w:spacing w:before="120" w:after="0"/>
        <w:rPr>
          <w:rFonts w:cs="Arial"/>
          <w:b w:val="0"/>
          <w:bCs w:val="0"/>
          <w:color w:val="000000" w:themeColor="text1"/>
          <w:sz w:val="22"/>
          <w:szCs w:val="22"/>
          <w:lang w:val="hr-HR"/>
        </w:rPr>
      </w:pPr>
    </w:p>
    <w:p w14:paraId="745F6E0E" w14:textId="77777777" w:rsidR="00AE4F61" w:rsidRPr="00B91D09" w:rsidRDefault="00AE4F61" w:rsidP="00AE4F61">
      <w:pPr>
        <w:pStyle w:val="T1"/>
        <w:keepNext w:val="0"/>
        <w:spacing w:before="0" w:after="0" w:line="240" w:lineRule="auto"/>
        <w:rPr>
          <w:rFonts w:cs="Arial"/>
          <w:b w:val="0"/>
          <w:bCs w:val="0"/>
          <w:color w:val="000000" w:themeColor="text1"/>
          <w:sz w:val="22"/>
          <w:szCs w:val="22"/>
          <w:lang w:val="hr-HR"/>
        </w:rPr>
      </w:pPr>
    </w:p>
    <w:p w14:paraId="0C0E0C4B" w14:textId="77777777" w:rsidR="00AE4F61" w:rsidRPr="005D22E7" w:rsidRDefault="00AE4F61" w:rsidP="005D22E7">
      <w:pPr>
        <w:rPr>
          <w:rFonts w:ascii="Arial" w:hAnsi="Arial" w:cs="Arial"/>
          <w:sz w:val="20"/>
          <w:szCs w:val="20"/>
          <w:lang w:val="hr-HR"/>
        </w:rPr>
      </w:pPr>
    </w:p>
    <w:p w14:paraId="11FA60CE" w14:textId="77777777" w:rsidR="00AE4F61" w:rsidRPr="005D22E7" w:rsidRDefault="00AE4F61" w:rsidP="005D22E7">
      <w:pPr>
        <w:rPr>
          <w:rFonts w:ascii="Arial" w:hAnsi="Arial" w:cs="Arial"/>
          <w:sz w:val="20"/>
          <w:szCs w:val="20"/>
          <w:lang w:val="hr-HR"/>
        </w:rPr>
      </w:pPr>
    </w:p>
    <w:p w14:paraId="4D608438" w14:textId="77777777" w:rsidR="00AE4F61" w:rsidRPr="005D22E7" w:rsidRDefault="00AE4F61" w:rsidP="005D22E7">
      <w:pPr>
        <w:rPr>
          <w:rFonts w:ascii="Arial" w:hAnsi="Arial" w:cs="Arial"/>
          <w:sz w:val="20"/>
          <w:szCs w:val="20"/>
          <w:lang w:val="hr-HR"/>
        </w:rPr>
      </w:pPr>
    </w:p>
    <w:p w14:paraId="0ABD39D4" w14:textId="77777777" w:rsidR="00AE4F61" w:rsidRPr="005D22E7" w:rsidRDefault="00AE4F61" w:rsidP="005D22E7">
      <w:pPr>
        <w:rPr>
          <w:rFonts w:ascii="Arial" w:hAnsi="Arial" w:cs="Arial"/>
          <w:sz w:val="20"/>
          <w:szCs w:val="20"/>
          <w:lang w:val="hr-HR"/>
        </w:rPr>
      </w:pPr>
    </w:p>
    <w:p w14:paraId="1860398F" w14:textId="77777777" w:rsidR="00AE4F61" w:rsidRPr="005D22E7" w:rsidRDefault="00AE4F61" w:rsidP="005D22E7">
      <w:pPr>
        <w:rPr>
          <w:rFonts w:ascii="Arial" w:hAnsi="Arial" w:cs="Arial"/>
          <w:sz w:val="20"/>
          <w:szCs w:val="20"/>
          <w:lang w:val="hr-HR"/>
        </w:rPr>
      </w:pPr>
    </w:p>
    <w:p w14:paraId="3E8CD7A0" w14:textId="77777777" w:rsidR="00AE4F61" w:rsidRPr="005D22E7" w:rsidRDefault="00AE4F61" w:rsidP="005D22E7">
      <w:pPr>
        <w:rPr>
          <w:rFonts w:ascii="Arial" w:hAnsi="Arial" w:cs="Arial"/>
          <w:sz w:val="20"/>
          <w:szCs w:val="20"/>
          <w:lang w:val="hr-HR"/>
        </w:rPr>
      </w:pPr>
    </w:p>
    <w:p w14:paraId="3C38E333" w14:textId="77777777" w:rsidR="00AE4F61" w:rsidRPr="005D22E7" w:rsidRDefault="00AE4F61" w:rsidP="005D22E7">
      <w:pPr>
        <w:rPr>
          <w:rFonts w:ascii="Arial" w:hAnsi="Arial" w:cs="Arial"/>
          <w:sz w:val="20"/>
          <w:szCs w:val="20"/>
          <w:lang w:val="hr-HR"/>
        </w:rPr>
      </w:pPr>
    </w:p>
    <w:p w14:paraId="6D70FFB4" w14:textId="77777777" w:rsidR="00AE4F61" w:rsidRPr="005D22E7" w:rsidRDefault="00AE4F61" w:rsidP="005D22E7">
      <w:pPr>
        <w:rPr>
          <w:rFonts w:ascii="Arial" w:hAnsi="Arial" w:cs="Arial"/>
          <w:sz w:val="20"/>
          <w:szCs w:val="20"/>
          <w:lang w:val="hr-HR"/>
        </w:rPr>
      </w:pPr>
    </w:p>
    <w:p w14:paraId="230E96FA" w14:textId="77777777" w:rsidR="00AE4F61" w:rsidRPr="00B91D09" w:rsidRDefault="00AE4F61" w:rsidP="005D22E7">
      <w:pPr>
        <w:rPr>
          <w:lang w:val="hr-HR"/>
        </w:rPr>
      </w:pPr>
    </w:p>
    <w:p w14:paraId="2308215A" w14:textId="77777777" w:rsidR="005D22E7" w:rsidRDefault="00AE4F61" w:rsidP="005D22E7">
      <w:pPr>
        <w:rPr>
          <w:rFonts w:ascii="Arial" w:hAnsi="Arial" w:cs="Arial"/>
          <w:b/>
          <w:bCs/>
          <w:sz w:val="20"/>
          <w:szCs w:val="20"/>
          <w:lang w:val="hr-HR"/>
        </w:rPr>
        <w:sectPr w:rsidR="005D22E7" w:rsidSect="001856C5">
          <w:headerReference w:type="default" r:id="rId66"/>
          <w:footerReference w:type="default" r:id="rId67"/>
          <w:pgSz w:w="11906" w:h="16838"/>
          <w:pgMar w:top="1440" w:right="1440" w:bottom="1440" w:left="1440" w:header="708" w:footer="708" w:gutter="0"/>
          <w:cols w:space="708"/>
          <w:docGrid w:linePitch="360"/>
        </w:sectPr>
      </w:pPr>
      <w:r w:rsidRPr="005D22E7">
        <w:rPr>
          <w:rFonts w:ascii="Arial" w:hAnsi="Arial" w:cs="Arial"/>
          <w:sz w:val="20"/>
          <w:szCs w:val="20"/>
          <w:lang w:val="hr-HR"/>
        </w:rPr>
        <w:t>Priložene računovodstvene politike i bilješke sastavni su dio ovih financijskih izvještaja</w:t>
      </w:r>
      <w:r w:rsidRPr="005D22E7">
        <w:rPr>
          <w:rFonts w:ascii="Arial" w:hAnsi="Arial" w:cs="Arial"/>
          <w:b/>
          <w:bCs/>
          <w:sz w:val="20"/>
          <w:szCs w:val="20"/>
          <w:lang w:val="hr-HR"/>
        </w:rPr>
        <w:t>.</w:t>
      </w:r>
    </w:p>
    <w:tbl>
      <w:tblPr>
        <w:tblpPr w:leftFromText="181" w:rightFromText="181" w:vertAnchor="page" w:horzAnchor="margin" w:tblpY="2966"/>
        <w:tblW w:w="4706" w:type="pct"/>
        <w:tblCellMar>
          <w:left w:w="119" w:type="dxa"/>
          <w:right w:w="119" w:type="dxa"/>
        </w:tblCellMar>
        <w:tblLook w:val="0000" w:firstRow="0" w:lastRow="0" w:firstColumn="0" w:lastColumn="0" w:noHBand="0" w:noVBand="0"/>
      </w:tblPr>
      <w:tblGrid>
        <w:gridCol w:w="4340"/>
        <w:gridCol w:w="987"/>
        <w:gridCol w:w="1481"/>
        <w:gridCol w:w="1687"/>
      </w:tblGrid>
      <w:tr w:rsidR="005D22E7" w:rsidRPr="005617DE" w14:paraId="63AD6382" w14:textId="77777777" w:rsidTr="00E032FC">
        <w:tc>
          <w:tcPr>
            <w:tcW w:w="2567" w:type="pct"/>
          </w:tcPr>
          <w:p w14:paraId="62EE30C6" w14:textId="77777777" w:rsidR="005D22E7" w:rsidRPr="004B4498" w:rsidRDefault="005D22E7" w:rsidP="00E032FC">
            <w:pPr>
              <w:pStyle w:val="TT"/>
              <w:rPr>
                <w:rFonts w:cs="Arial"/>
                <w:b/>
                <w:bCs/>
                <w:color w:val="000000" w:themeColor="text1"/>
                <w:sz w:val="20"/>
                <w:lang w:val="hr-HR"/>
              </w:rPr>
            </w:pPr>
          </w:p>
        </w:tc>
        <w:tc>
          <w:tcPr>
            <w:tcW w:w="544" w:type="pct"/>
          </w:tcPr>
          <w:p w14:paraId="66D1FCCF" w14:textId="77777777" w:rsidR="005D22E7" w:rsidRPr="004B4498" w:rsidRDefault="005D22E7" w:rsidP="00E032FC">
            <w:pPr>
              <w:pStyle w:val="TT"/>
              <w:ind w:left="-15" w:firstLine="15"/>
              <w:jc w:val="center"/>
              <w:rPr>
                <w:rFonts w:cs="Arial"/>
                <w:b/>
                <w:bCs/>
                <w:color w:val="000000" w:themeColor="text1"/>
                <w:sz w:val="20"/>
                <w:lang w:val="hr-HR"/>
              </w:rPr>
            </w:pPr>
            <w:bookmarkStart w:id="403" w:name="_Toc67326966"/>
            <w:r w:rsidRPr="004B4498">
              <w:rPr>
                <w:rFonts w:cs="Arial"/>
                <w:b/>
                <w:bCs/>
                <w:color w:val="000000" w:themeColor="text1"/>
                <w:spacing w:val="-1"/>
                <w:sz w:val="20"/>
                <w:lang w:val="hr-HR"/>
              </w:rPr>
              <w:t>Bilješka</w:t>
            </w:r>
            <w:bookmarkEnd w:id="403"/>
          </w:p>
        </w:tc>
        <w:tc>
          <w:tcPr>
            <w:tcW w:w="884" w:type="pct"/>
          </w:tcPr>
          <w:p w14:paraId="20DC8C15" w14:textId="77777777" w:rsidR="005D22E7" w:rsidRPr="004B4498" w:rsidRDefault="005D22E7" w:rsidP="00E032FC">
            <w:pPr>
              <w:pStyle w:val="TT"/>
              <w:tabs>
                <w:tab w:val="clear" w:pos="1202"/>
              </w:tabs>
              <w:jc w:val="right"/>
              <w:rPr>
                <w:rFonts w:cs="Arial"/>
                <w:b/>
                <w:bCs/>
                <w:color w:val="000000" w:themeColor="text1"/>
                <w:sz w:val="20"/>
                <w:lang w:val="hr-HR"/>
              </w:rPr>
            </w:pPr>
            <w:r w:rsidRPr="004B4498">
              <w:rPr>
                <w:rFonts w:cs="Arial"/>
                <w:b/>
                <w:bCs/>
                <w:color w:val="000000" w:themeColor="text1"/>
                <w:sz w:val="20"/>
                <w:lang w:val="hr-HR"/>
              </w:rPr>
              <w:t>202</w:t>
            </w:r>
            <w:r>
              <w:rPr>
                <w:rFonts w:cs="Arial"/>
                <w:b/>
                <w:bCs/>
                <w:color w:val="000000" w:themeColor="text1"/>
                <w:sz w:val="20"/>
                <w:lang w:val="hr-HR"/>
              </w:rPr>
              <w:t>2</w:t>
            </w:r>
            <w:r w:rsidRPr="004B4498">
              <w:rPr>
                <w:rFonts w:cs="Arial"/>
                <w:b/>
                <w:bCs/>
                <w:color w:val="000000" w:themeColor="text1"/>
                <w:sz w:val="20"/>
                <w:lang w:val="hr-HR"/>
              </w:rPr>
              <w:t>.</w:t>
            </w:r>
          </w:p>
        </w:tc>
        <w:tc>
          <w:tcPr>
            <w:tcW w:w="1005" w:type="pct"/>
          </w:tcPr>
          <w:p w14:paraId="47F6D746" w14:textId="77777777" w:rsidR="005D22E7" w:rsidRPr="004B4498" w:rsidRDefault="005D22E7" w:rsidP="00E032FC">
            <w:pPr>
              <w:pStyle w:val="TT"/>
              <w:tabs>
                <w:tab w:val="clear" w:pos="1202"/>
              </w:tabs>
              <w:jc w:val="right"/>
              <w:rPr>
                <w:rFonts w:cs="Arial"/>
                <w:b/>
                <w:bCs/>
                <w:color w:val="000000" w:themeColor="text1"/>
                <w:sz w:val="20"/>
                <w:lang w:val="hr-HR"/>
              </w:rPr>
            </w:pPr>
            <w:bookmarkStart w:id="404" w:name="_Toc67326967"/>
            <w:bookmarkStart w:id="405" w:name="_Toc67326968"/>
            <w:r w:rsidRPr="004B4498">
              <w:rPr>
                <w:rFonts w:cs="Arial"/>
                <w:b/>
                <w:bCs/>
                <w:color w:val="000000" w:themeColor="text1"/>
                <w:sz w:val="20"/>
                <w:lang w:val="hr-HR"/>
              </w:rPr>
              <w:t>202</w:t>
            </w:r>
            <w:r>
              <w:rPr>
                <w:rFonts w:cs="Arial"/>
                <w:b/>
                <w:bCs/>
                <w:color w:val="000000" w:themeColor="text1"/>
                <w:sz w:val="20"/>
                <w:lang w:val="hr-HR"/>
              </w:rPr>
              <w:t>1</w:t>
            </w:r>
            <w:r w:rsidRPr="004B4498">
              <w:rPr>
                <w:rFonts w:cs="Arial"/>
                <w:b/>
                <w:bCs/>
                <w:color w:val="000000" w:themeColor="text1"/>
                <w:sz w:val="20"/>
                <w:lang w:val="hr-HR"/>
              </w:rPr>
              <w:t>.</w:t>
            </w:r>
            <w:bookmarkEnd w:id="404"/>
            <w:bookmarkEnd w:id="405"/>
          </w:p>
        </w:tc>
      </w:tr>
      <w:tr w:rsidR="005D22E7" w:rsidRPr="005617DE" w14:paraId="7E0DEE50" w14:textId="77777777" w:rsidTr="00E032FC">
        <w:tc>
          <w:tcPr>
            <w:tcW w:w="2567" w:type="pct"/>
          </w:tcPr>
          <w:p w14:paraId="0DCF4C38" w14:textId="77777777" w:rsidR="005D22E7" w:rsidRPr="004B4498" w:rsidRDefault="005D22E7" w:rsidP="00E032FC">
            <w:pPr>
              <w:pStyle w:val="TT"/>
              <w:rPr>
                <w:rFonts w:cs="Arial"/>
                <w:b/>
                <w:bCs/>
                <w:color w:val="000000" w:themeColor="text1"/>
                <w:sz w:val="20"/>
                <w:lang w:val="hr-HR"/>
              </w:rPr>
            </w:pPr>
          </w:p>
        </w:tc>
        <w:tc>
          <w:tcPr>
            <w:tcW w:w="544" w:type="pct"/>
          </w:tcPr>
          <w:p w14:paraId="64ABB996" w14:textId="77777777" w:rsidR="005D22E7" w:rsidRPr="004B4498" w:rsidRDefault="005D22E7" w:rsidP="00E032FC">
            <w:pPr>
              <w:pStyle w:val="TT"/>
              <w:jc w:val="center"/>
              <w:rPr>
                <w:rFonts w:cs="Arial"/>
                <w:b/>
                <w:bCs/>
                <w:color w:val="000000" w:themeColor="text1"/>
                <w:spacing w:val="-1"/>
                <w:sz w:val="20"/>
                <w:lang w:val="hr-HR"/>
              </w:rPr>
            </w:pPr>
          </w:p>
        </w:tc>
        <w:tc>
          <w:tcPr>
            <w:tcW w:w="884" w:type="pct"/>
          </w:tcPr>
          <w:p w14:paraId="2AFBA701" w14:textId="77777777" w:rsidR="005D22E7" w:rsidRPr="004B4498" w:rsidRDefault="005D22E7" w:rsidP="00E032FC">
            <w:pPr>
              <w:pStyle w:val="TT"/>
              <w:tabs>
                <w:tab w:val="clear" w:pos="1202"/>
              </w:tabs>
              <w:jc w:val="right"/>
              <w:rPr>
                <w:rFonts w:cs="Arial"/>
                <w:b/>
                <w:bCs/>
                <w:color w:val="000000" w:themeColor="text1"/>
                <w:sz w:val="20"/>
                <w:lang w:val="hr-HR"/>
              </w:rPr>
            </w:pPr>
            <w:bookmarkStart w:id="406" w:name="_Toc67326969"/>
            <w:r w:rsidRPr="004B4498">
              <w:rPr>
                <w:rFonts w:cs="Arial"/>
                <w:b/>
                <w:bCs/>
                <w:color w:val="000000" w:themeColor="text1"/>
                <w:sz w:val="20"/>
                <w:lang w:val="hr-HR"/>
              </w:rPr>
              <w:t>000 kuna</w:t>
            </w:r>
            <w:bookmarkEnd w:id="406"/>
          </w:p>
        </w:tc>
        <w:tc>
          <w:tcPr>
            <w:tcW w:w="1005" w:type="pct"/>
          </w:tcPr>
          <w:p w14:paraId="1342A057" w14:textId="77777777" w:rsidR="005D22E7" w:rsidRPr="004B4498" w:rsidRDefault="005D22E7" w:rsidP="00E032FC">
            <w:pPr>
              <w:pStyle w:val="TT"/>
              <w:tabs>
                <w:tab w:val="clear" w:pos="1202"/>
              </w:tabs>
              <w:jc w:val="right"/>
              <w:rPr>
                <w:rFonts w:cs="Arial"/>
                <w:b/>
                <w:bCs/>
                <w:color w:val="000000" w:themeColor="text1"/>
                <w:sz w:val="20"/>
                <w:lang w:val="hr-HR"/>
              </w:rPr>
            </w:pPr>
            <w:bookmarkStart w:id="407" w:name="_Toc67326970"/>
            <w:r w:rsidRPr="004B4498">
              <w:rPr>
                <w:rFonts w:cs="Arial"/>
                <w:b/>
                <w:bCs/>
                <w:color w:val="000000" w:themeColor="text1"/>
                <w:sz w:val="20"/>
                <w:lang w:val="hr-HR"/>
              </w:rPr>
              <w:t>000 kuna</w:t>
            </w:r>
            <w:bookmarkEnd w:id="407"/>
          </w:p>
        </w:tc>
      </w:tr>
      <w:tr w:rsidR="005D22E7" w:rsidRPr="005617DE" w14:paraId="51FC73B0" w14:textId="77777777" w:rsidTr="00E032FC">
        <w:tc>
          <w:tcPr>
            <w:tcW w:w="2567" w:type="pct"/>
          </w:tcPr>
          <w:p w14:paraId="777C628E" w14:textId="77777777" w:rsidR="005D22E7" w:rsidRPr="004B4498" w:rsidRDefault="005D22E7" w:rsidP="00E032FC">
            <w:pPr>
              <w:pStyle w:val="TT"/>
              <w:rPr>
                <w:rFonts w:cs="Arial"/>
                <w:color w:val="000000" w:themeColor="text1"/>
                <w:sz w:val="20"/>
                <w:lang w:val="hr-HR"/>
              </w:rPr>
            </w:pPr>
          </w:p>
        </w:tc>
        <w:tc>
          <w:tcPr>
            <w:tcW w:w="544" w:type="pct"/>
          </w:tcPr>
          <w:p w14:paraId="79DDC636" w14:textId="77777777" w:rsidR="005D22E7" w:rsidRPr="004B4498" w:rsidRDefault="005D22E7" w:rsidP="00E032FC">
            <w:pPr>
              <w:pStyle w:val="TT"/>
              <w:jc w:val="center"/>
              <w:rPr>
                <w:rFonts w:cs="Arial"/>
                <w:b/>
                <w:color w:val="000000" w:themeColor="text1"/>
                <w:spacing w:val="-1"/>
                <w:sz w:val="20"/>
                <w:lang w:val="hr-HR"/>
              </w:rPr>
            </w:pPr>
          </w:p>
        </w:tc>
        <w:tc>
          <w:tcPr>
            <w:tcW w:w="884" w:type="pct"/>
          </w:tcPr>
          <w:p w14:paraId="4C0A03B9" w14:textId="77777777" w:rsidR="005D22E7" w:rsidRPr="004B4498" w:rsidRDefault="005D22E7" w:rsidP="00E032FC">
            <w:pPr>
              <w:pStyle w:val="TT"/>
              <w:tabs>
                <w:tab w:val="clear" w:pos="1202"/>
              </w:tabs>
              <w:jc w:val="right"/>
              <w:rPr>
                <w:rFonts w:cs="Arial"/>
                <w:b/>
                <w:color w:val="000000" w:themeColor="text1"/>
                <w:sz w:val="20"/>
                <w:lang w:val="hr-HR"/>
              </w:rPr>
            </w:pPr>
          </w:p>
        </w:tc>
        <w:tc>
          <w:tcPr>
            <w:tcW w:w="1005" w:type="pct"/>
          </w:tcPr>
          <w:p w14:paraId="373D9EA8" w14:textId="77777777" w:rsidR="005D22E7" w:rsidRPr="004B4498" w:rsidRDefault="005D22E7" w:rsidP="00E032FC">
            <w:pPr>
              <w:pStyle w:val="TT"/>
              <w:tabs>
                <w:tab w:val="clear" w:pos="1202"/>
              </w:tabs>
              <w:jc w:val="right"/>
              <w:rPr>
                <w:rFonts w:cs="Arial"/>
                <w:b/>
                <w:color w:val="000000" w:themeColor="text1"/>
                <w:sz w:val="20"/>
                <w:lang w:val="hr-HR"/>
              </w:rPr>
            </w:pPr>
          </w:p>
        </w:tc>
      </w:tr>
      <w:tr w:rsidR="005D22E7" w:rsidRPr="005617DE" w14:paraId="7EEC4BF0" w14:textId="77777777" w:rsidTr="00E032FC">
        <w:tc>
          <w:tcPr>
            <w:tcW w:w="2567" w:type="pct"/>
          </w:tcPr>
          <w:p w14:paraId="5CEF0CEA" w14:textId="77777777" w:rsidR="005D22E7" w:rsidRPr="004B4498" w:rsidRDefault="005D22E7" w:rsidP="00E032FC">
            <w:pPr>
              <w:pStyle w:val="TT"/>
              <w:rPr>
                <w:rFonts w:cs="Arial"/>
                <w:bCs/>
                <w:color w:val="000000" w:themeColor="text1"/>
                <w:sz w:val="20"/>
                <w:lang w:val="hr-HR"/>
              </w:rPr>
            </w:pPr>
            <w:bookmarkStart w:id="408" w:name="_Toc67326971"/>
            <w:r w:rsidRPr="004B4498">
              <w:rPr>
                <w:rFonts w:cs="Arial"/>
                <w:bCs/>
                <w:color w:val="000000" w:themeColor="text1"/>
                <w:spacing w:val="-2"/>
                <w:sz w:val="20"/>
                <w:lang w:val="hr-HR"/>
              </w:rPr>
              <w:t>Prihodi od kamata izračunati metodom efektivne kamatne stope</w:t>
            </w:r>
            <w:bookmarkEnd w:id="408"/>
          </w:p>
        </w:tc>
        <w:tc>
          <w:tcPr>
            <w:tcW w:w="544" w:type="pct"/>
            <w:vAlign w:val="bottom"/>
          </w:tcPr>
          <w:p w14:paraId="59CF4F03" w14:textId="77777777" w:rsidR="005D22E7" w:rsidRPr="00A873BB" w:rsidRDefault="005D22E7" w:rsidP="00E032FC">
            <w:pPr>
              <w:pStyle w:val="TT"/>
              <w:jc w:val="center"/>
              <w:rPr>
                <w:rFonts w:cs="Arial"/>
                <w:bCs/>
                <w:color w:val="000000" w:themeColor="text1"/>
                <w:sz w:val="20"/>
                <w:lang w:val="hr-HR"/>
              </w:rPr>
            </w:pPr>
            <w:bookmarkStart w:id="409" w:name="_Toc67326972"/>
            <w:r w:rsidRPr="00A873BB">
              <w:rPr>
                <w:rFonts w:cs="Arial"/>
                <w:bCs/>
                <w:color w:val="000000" w:themeColor="text1"/>
                <w:sz w:val="20"/>
                <w:lang w:val="hr-HR"/>
              </w:rPr>
              <w:t>5</w:t>
            </w:r>
            <w:bookmarkEnd w:id="409"/>
          </w:p>
        </w:tc>
        <w:tc>
          <w:tcPr>
            <w:tcW w:w="884" w:type="pct"/>
            <w:tcBorders>
              <w:top w:val="nil"/>
              <w:left w:val="nil"/>
              <w:bottom w:val="nil"/>
              <w:right w:val="nil"/>
            </w:tcBorders>
            <w:shd w:val="clear" w:color="auto" w:fill="auto"/>
            <w:vAlign w:val="bottom"/>
          </w:tcPr>
          <w:p w14:paraId="01171669" w14:textId="77777777" w:rsidR="005D22E7" w:rsidRPr="004B4498" w:rsidRDefault="005D22E7" w:rsidP="00E032FC">
            <w:pPr>
              <w:pStyle w:val="TT"/>
              <w:tabs>
                <w:tab w:val="clear" w:pos="1202"/>
              </w:tabs>
              <w:jc w:val="right"/>
              <w:rPr>
                <w:rFonts w:cs="Arial"/>
                <w:color w:val="000000" w:themeColor="text1"/>
                <w:sz w:val="20"/>
                <w:lang w:val="hr-HR"/>
              </w:rPr>
            </w:pPr>
            <w:r w:rsidRPr="00C507E7">
              <w:rPr>
                <w:rFonts w:cs="Arial"/>
                <w:color w:val="000000" w:themeColor="text1"/>
                <w:sz w:val="20"/>
                <w:lang w:val="hr-HR"/>
              </w:rPr>
              <w:t>627.881</w:t>
            </w:r>
          </w:p>
        </w:tc>
        <w:tc>
          <w:tcPr>
            <w:tcW w:w="1005" w:type="pct"/>
            <w:tcBorders>
              <w:top w:val="nil"/>
              <w:left w:val="nil"/>
              <w:bottom w:val="nil"/>
              <w:right w:val="nil"/>
            </w:tcBorders>
            <w:shd w:val="clear" w:color="auto" w:fill="auto"/>
            <w:vAlign w:val="bottom"/>
          </w:tcPr>
          <w:p w14:paraId="6DC37855" w14:textId="77777777" w:rsidR="005D22E7" w:rsidRPr="004B4498" w:rsidRDefault="005D22E7" w:rsidP="00E032FC">
            <w:pPr>
              <w:pStyle w:val="TT"/>
              <w:tabs>
                <w:tab w:val="clear" w:pos="1202"/>
              </w:tabs>
              <w:jc w:val="right"/>
              <w:rPr>
                <w:rFonts w:cs="Arial"/>
                <w:bCs/>
                <w:color w:val="000000" w:themeColor="text1"/>
                <w:spacing w:val="-2"/>
                <w:sz w:val="20"/>
                <w:lang w:val="hr-HR"/>
              </w:rPr>
            </w:pPr>
            <w:bookmarkStart w:id="410" w:name="_Toc67326973"/>
            <w:r w:rsidRPr="0046584E">
              <w:rPr>
                <w:rFonts w:cs="Arial"/>
                <w:color w:val="000000" w:themeColor="text1"/>
                <w:sz w:val="20"/>
                <w:lang w:val="hr-HR"/>
              </w:rPr>
              <w:t>676.167</w:t>
            </w:r>
            <w:bookmarkEnd w:id="410"/>
          </w:p>
        </w:tc>
      </w:tr>
      <w:tr w:rsidR="005D22E7" w:rsidRPr="005617DE" w14:paraId="1BDAF943" w14:textId="77777777" w:rsidTr="00E032FC">
        <w:tc>
          <w:tcPr>
            <w:tcW w:w="2567" w:type="pct"/>
          </w:tcPr>
          <w:p w14:paraId="4A2A33B1" w14:textId="77777777" w:rsidR="005D22E7" w:rsidRPr="004B4498" w:rsidRDefault="005D22E7" w:rsidP="00E032FC">
            <w:pPr>
              <w:pStyle w:val="TT"/>
              <w:rPr>
                <w:rFonts w:cs="Arial"/>
                <w:bCs/>
                <w:color w:val="000000" w:themeColor="text1"/>
                <w:spacing w:val="-2"/>
                <w:sz w:val="20"/>
                <w:lang w:val="hr-HR"/>
              </w:rPr>
            </w:pPr>
            <w:bookmarkStart w:id="411" w:name="_Toc67326975"/>
            <w:r w:rsidRPr="004B4498">
              <w:rPr>
                <w:rFonts w:cs="Arial"/>
                <w:bCs/>
                <w:color w:val="000000" w:themeColor="text1"/>
                <w:spacing w:val="-2"/>
                <w:sz w:val="20"/>
                <w:lang w:val="hr-HR"/>
              </w:rPr>
              <w:t>Rashodi od kamata</w:t>
            </w:r>
            <w:bookmarkEnd w:id="411"/>
          </w:p>
        </w:tc>
        <w:tc>
          <w:tcPr>
            <w:tcW w:w="544" w:type="pct"/>
            <w:vAlign w:val="bottom"/>
          </w:tcPr>
          <w:p w14:paraId="500DF0BB" w14:textId="77777777" w:rsidR="005D22E7" w:rsidRPr="00A873BB" w:rsidRDefault="005D22E7" w:rsidP="00E032FC">
            <w:pPr>
              <w:pStyle w:val="TT"/>
              <w:jc w:val="center"/>
              <w:rPr>
                <w:rFonts w:cs="Arial"/>
                <w:bCs/>
                <w:color w:val="000000" w:themeColor="text1"/>
                <w:spacing w:val="-2"/>
                <w:sz w:val="20"/>
                <w:lang w:val="hr-HR"/>
              </w:rPr>
            </w:pPr>
            <w:bookmarkStart w:id="412" w:name="_Toc67326976"/>
            <w:r w:rsidRPr="00A873BB">
              <w:rPr>
                <w:rFonts w:cs="Arial"/>
                <w:bCs/>
                <w:color w:val="000000" w:themeColor="text1"/>
                <w:spacing w:val="-2"/>
                <w:sz w:val="20"/>
                <w:lang w:val="hr-HR"/>
              </w:rPr>
              <w:t>6</w:t>
            </w:r>
            <w:bookmarkEnd w:id="412"/>
          </w:p>
        </w:tc>
        <w:tc>
          <w:tcPr>
            <w:tcW w:w="884" w:type="pct"/>
            <w:tcBorders>
              <w:top w:val="nil"/>
              <w:left w:val="nil"/>
              <w:bottom w:val="nil"/>
              <w:right w:val="nil"/>
            </w:tcBorders>
            <w:shd w:val="clear" w:color="auto" w:fill="auto"/>
            <w:vAlign w:val="bottom"/>
          </w:tcPr>
          <w:p w14:paraId="41D91132" w14:textId="77777777" w:rsidR="005D22E7" w:rsidRPr="004B4498" w:rsidRDefault="005D22E7" w:rsidP="00E032FC">
            <w:pPr>
              <w:pStyle w:val="TT"/>
              <w:tabs>
                <w:tab w:val="clear" w:pos="1202"/>
              </w:tabs>
              <w:jc w:val="right"/>
              <w:rPr>
                <w:rFonts w:cs="Arial"/>
                <w:color w:val="000000" w:themeColor="text1"/>
                <w:sz w:val="20"/>
                <w:lang w:val="hr-HR"/>
              </w:rPr>
            </w:pPr>
            <w:r w:rsidRPr="00C507E7">
              <w:rPr>
                <w:rFonts w:cs="Arial"/>
                <w:color w:val="000000" w:themeColor="text1"/>
                <w:sz w:val="20"/>
                <w:lang w:val="hr-HR"/>
              </w:rPr>
              <w:t>(158.406)</w:t>
            </w:r>
          </w:p>
        </w:tc>
        <w:tc>
          <w:tcPr>
            <w:tcW w:w="1005" w:type="pct"/>
            <w:tcBorders>
              <w:top w:val="nil"/>
              <w:left w:val="nil"/>
              <w:bottom w:val="nil"/>
              <w:right w:val="nil"/>
            </w:tcBorders>
            <w:shd w:val="clear" w:color="auto" w:fill="auto"/>
            <w:vAlign w:val="bottom"/>
          </w:tcPr>
          <w:p w14:paraId="3F758E25" w14:textId="77777777" w:rsidR="005D22E7" w:rsidRPr="004B4498" w:rsidRDefault="005D22E7" w:rsidP="00E032FC">
            <w:pPr>
              <w:pStyle w:val="TT"/>
              <w:tabs>
                <w:tab w:val="clear" w:pos="1202"/>
              </w:tabs>
              <w:jc w:val="right"/>
              <w:rPr>
                <w:rFonts w:cs="Arial"/>
                <w:bCs/>
                <w:color w:val="000000" w:themeColor="text1"/>
                <w:spacing w:val="-2"/>
                <w:sz w:val="20"/>
                <w:lang w:val="hr-HR"/>
              </w:rPr>
            </w:pPr>
            <w:bookmarkStart w:id="413" w:name="_Toc67326977"/>
            <w:r w:rsidRPr="0046584E">
              <w:rPr>
                <w:rFonts w:cs="Arial"/>
                <w:color w:val="000000" w:themeColor="text1"/>
                <w:sz w:val="20"/>
                <w:lang w:val="hr-HR"/>
              </w:rPr>
              <w:t>(184.610)</w:t>
            </w:r>
            <w:bookmarkEnd w:id="413"/>
          </w:p>
        </w:tc>
      </w:tr>
      <w:tr w:rsidR="005D22E7" w:rsidRPr="005617DE" w14:paraId="67C6682F" w14:textId="77777777" w:rsidTr="00E032FC">
        <w:tc>
          <w:tcPr>
            <w:tcW w:w="2567" w:type="pct"/>
          </w:tcPr>
          <w:p w14:paraId="3A992E52" w14:textId="77777777" w:rsidR="005D22E7" w:rsidRPr="004B4498" w:rsidRDefault="005D22E7" w:rsidP="00E032FC">
            <w:pPr>
              <w:pStyle w:val="Tot"/>
              <w:rPr>
                <w:rFonts w:cs="Arial"/>
                <w:b/>
                <w:bCs/>
                <w:color w:val="000000" w:themeColor="text1"/>
                <w:sz w:val="20"/>
                <w:vertAlign w:val="superscript"/>
                <w:lang w:val="hr-HR"/>
              </w:rPr>
            </w:pPr>
            <w:bookmarkStart w:id="414" w:name="_Toc67326979"/>
            <w:r w:rsidRPr="004B4498">
              <w:rPr>
                <w:rFonts w:cs="Arial"/>
                <w:b/>
                <w:bCs/>
                <w:color w:val="000000" w:themeColor="text1"/>
                <w:sz w:val="20"/>
                <w:lang w:val="hr-HR"/>
              </w:rPr>
              <w:t>Neto prihod od kamata</w:t>
            </w:r>
            <w:bookmarkEnd w:id="414"/>
          </w:p>
        </w:tc>
        <w:tc>
          <w:tcPr>
            <w:tcW w:w="544" w:type="pct"/>
            <w:vAlign w:val="bottom"/>
          </w:tcPr>
          <w:p w14:paraId="2192D55C" w14:textId="77777777" w:rsidR="005D22E7" w:rsidRPr="00A873BB" w:rsidRDefault="005D22E7" w:rsidP="00E032FC">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190FEE89" w14:textId="77777777" w:rsidR="005D22E7" w:rsidRPr="004B4498" w:rsidRDefault="005D22E7" w:rsidP="00E032FC">
            <w:pPr>
              <w:pStyle w:val="Tot"/>
              <w:tabs>
                <w:tab w:val="clear" w:pos="1202"/>
              </w:tabs>
              <w:jc w:val="right"/>
              <w:rPr>
                <w:rFonts w:cs="Arial"/>
                <w:b/>
                <w:bCs/>
                <w:color w:val="000000" w:themeColor="text1"/>
                <w:sz w:val="20"/>
                <w:lang w:val="hr-HR"/>
              </w:rPr>
            </w:pPr>
            <w:r w:rsidRPr="00C507E7">
              <w:rPr>
                <w:rFonts w:cs="Arial"/>
                <w:b/>
                <w:bCs/>
                <w:color w:val="000000" w:themeColor="text1"/>
                <w:sz w:val="20"/>
                <w:lang w:val="hr-HR"/>
              </w:rPr>
              <w:t>469.475</w:t>
            </w:r>
          </w:p>
        </w:tc>
        <w:tc>
          <w:tcPr>
            <w:tcW w:w="1005" w:type="pct"/>
            <w:tcBorders>
              <w:top w:val="single" w:sz="4" w:space="0" w:color="auto"/>
              <w:bottom w:val="single" w:sz="12" w:space="0" w:color="auto"/>
            </w:tcBorders>
          </w:tcPr>
          <w:p w14:paraId="133EB585" w14:textId="77777777" w:rsidR="005D22E7" w:rsidRPr="004B4498" w:rsidRDefault="005D22E7" w:rsidP="00E032FC">
            <w:pPr>
              <w:pStyle w:val="Tot"/>
              <w:tabs>
                <w:tab w:val="clear" w:pos="1202"/>
              </w:tabs>
              <w:jc w:val="right"/>
              <w:rPr>
                <w:rFonts w:cs="Arial"/>
                <w:b/>
                <w:bCs/>
                <w:color w:val="000000" w:themeColor="text1"/>
                <w:spacing w:val="-2"/>
                <w:sz w:val="20"/>
                <w:lang w:val="hr-HR"/>
              </w:rPr>
            </w:pPr>
            <w:bookmarkStart w:id="415" w:name="_Toc67326980"/>
            <w:r w:rsidRPr="0046584E">
              <w:rPr>
                <w:rFonts w:cs="Arial"/>
                <w:b/>
                <w:bCs/>
                <w:color w:val="000000" w:themeColor="text1"/>
                <w:sz w:val="20"/>
                <w:lang w:val="hr-HR"/>
              </w:rPr>
              <w:t>491.557</w:t>
            </w:r>
            <w:bookmarkEnd w:id="415"/>
          </w:p>
        </w:tc>
      </w:tr>
      <w:tr w:rsidR="005D22E7" w:rsidRPr="005617DE" w14:paraId="2E4F5034" w14:textId="77777777" w:rsidTr="00E032FC">
        <w:tc>
          <w:tcPr>
            <w:tcW w:w="2567" w:type="pct"/>
          </w:tcPr>
          <w:p w14:paraId="4197CE1B" w14:textId="77777777" w:rsidR="005D22E7" w:rsidRPr="004B4498" w:rsidRDefault="005D22E7" w:rsidP="00E032FC">
            <w:pPr>
              <w:pStyle w:val="TT"/>
              <w:rPr>
                <w:rFonts w:cs="Arial"/>
                <w:bCs/>
                <w:color w:val="000000" w:themeColor="text1"/>
                <w:spacing w:val="-2"/>
                <w:sz w:val="20"/>
                <w:lang w:val="hr-HR"/>
              </w:rPr>
            </w:pPr>
          </w:p>
        </w:tc>
        <w:tc>
          <w:tcPr>
            <w:tcW w:w="544" w:type="pct"/>
            <w:vAlign w:val="bottom"/>
          </w:tcPr>
          <w:p w14:paraId="77CAC563" w14:textId="77777777" w:rsidR="005D22E7" w:rsidRPr="00A873BB" w:rsidRDefault="005D22E7" w:rsidP="00E032FC">
            <w:pPr>
              <w:pStyle w:val="TT"/>
              <w:jc w:val="center"/>
              <w:rPr>
                <w:rFonts w:cs="Arial"/>
                <w:bCs/>
                <w:color w:val="000000" w:themeColor="text1"/>
                <w:sz w:val="20"/>
                <w:lang w:val="hr-HR"/>
              </w:rPr>
            </w:pPr>
          </w:p>
        </w:tc>
        <w:tc>
          <w:tcPr>
            <w:tcW w:w="884" w:type="pct"/>
            <w:tcBorders>
              <w:top w:val="single" w:sz="12" w:space="0" w:color="auto"/>
            </w:tcBorders>
          </w:tcPr>
          <w:p w14:paraId="3903502A" w14:textId="77777777" w:rsidR="005D22E7" w:rsidRPr="004B4498" w:rsidRDefault="005D22E7" w:rsidP="00E032FC">
            <w:pPr>
              <w:pStyle w:val="TT"/>
              <w:tabs>
                <w:tab w:val="clear" w:pos="1202"/>
              </w:tabs>
              <w:jc w:val="right"/>
              <w:rPr>
                <w:rFonts w:cs="Arial"/>
                <w:bCs/>
                <w:color w:val="000000" w:themeColor="text1"/>
                <w:spacing w:val="-2"/>
                <w:sz w:val="20"/>
                <w:lang w:val="hr-HR"/>
              </w:rPr>
            </w:pPr>
          </w:p>
        </w:tc>
        <w:tc>
          <w:tcPr>
            <w:tcW w:w="1005" w:type="pct"/>
            <w:tcBorders>
              <w:top w:val="single" w:sz="12" w:space="0" w:color="auto"/>
            </w:tcBorders>
          </w:tcPr>
          <w:p w14:paraId="4F2735FF" w14:textId="77777777" w:rsidR="005D22E7" w:rsidRPr="004B4498" w:rsidRDefault="005D22E7" w:rsidP="00E032FC">
            <w:pPr>
              <w:pStyle w:val="TT"/>
              <w:tabs>
                <w:tab w:val="clear" w:pos="1202"/>
              </w:tabs>
              <w:jc w:val="right"/>
              <w:rPr>
                <w:rFonts w:cs="Arial"/>
                <w:bCs/>
                <w:color w:val="000000" w:themeColor="text1"/>
                <w:spacing w:val="-2"/>
                <w:sz w:val="20"/>
                <w:lang w:val="hr-HR"/>
              </w:rPr>
            </w:pPr>
          </w:p>
        </w:tc>
      </w:tr>
      <w:tr w:rsidR="005D22E7" w:rsidRPr="005617DE" w14:paraId="08C1898B" w14:textId="77777777" w:rsidTr="00E032FC">
        <w:tc>
          <w:tcPr>
            <w:tcW w:w="2567" w:type="pct"/>
          </w:tcPr>
          <w:p w14:paraId="33C4A931" w14:textId="77777777" w:rsidR="005D22E7" w:rsidRPr="004B4498" w:rsidRDefault="005D22E7" w:rsidP="00E032FC">
            <w:pPr>
              <w:pStyle w:val="TT"/>
              <w:rPr>
                <w:rFonts w:cs="Arial"/>
                <w:bCs/>
                <w:color w:val="000000" w:themeColor="text1"/>
                <w:sz w:val="20"/>
                <w:lang w:val="hr-HR"/>
              </w:rPr>
            </w:pPr>
            <w:bookmarkStart w:id="416" w:name="_Toc67326982"/>
            <w:r w:rsidRPr="004B4498">
              <w:rPr>
                <w:rFonts w:cs="Arial"/>
                <w:bCs/>
                <w:color w:val="000000" w:themeColor="text1"/>
                <w:spacing w:val="-2"/>
                <w:sz w:val="20"/>
                <w:lang w:val="hr-HR"/>
              </w:rPr>
              <w:t>Prihodi od naknada i provizija</w:t>
            </w:r>
            <w:bookmarkEnd w:id="416"/>
          </w:p>
        </w:tc>
        <w:tc>
          <w:tcPr>
            <w:tcW w:w="544" w:type="pct"/>
          </w:tcPr>
          <w:p w14:paraId="1A9B8F86" w14:textId="77777777" w:rsidR="005D22E7" w:rsidRPr="00A873BB" w:rsidRDefault="005D22E7" w:rsidP="00E032FC">
            <w:pPr>
              <w:pStyle w:val="TT"/>
              <w:jc w:val="center"/>
              <w:rPr>
                <w:rFonts w:cs="Arial"/>
                <w:bCs/>
                <w:color w:val="000000" w:themeColor="text1"/>
                <w:sz w:val="20"/>
                <w:lang w:val="hr-HR"/>
              </w:rPr>
            </w:pPr>
            <w:bookmarkStart w:id="417" w:name="_Toc67326983"/>
            <w:r w:rsidRPr="00A873BB">
              <w:rPr>
                <w:rFonts w:cs="Arial"/>
                <w:bCs/>
                <w:color w:val="000000" w:themeColor="text1"/>
                <w:sz w:val="20"/>
                <w:lang w:val="hr-HR"/>
              </w:rPr>
              <w:t>7</w:t>
            </w:r>
            <w:bookmarkEnd w:id="417"/>
          </w:p>
        </w:tc>
        <w:tc>
          <w:tcPr>
            <w:tcW w:w="884" w:type="pct"/>
            <w:tcBorders>
              <w:top w:val="nil"/>
              <w:left w:val="nil"/>
              <w:bottom w:val="nil"/>
              <w:right w:val="nil"/>
            </w:tcBorders>
            <w:shd w:val="clear" w:color="auto" w:fill="auto"/>
            <w:vAlign w:val="center"/>
          </w:tcPr>
          <w:p w14:paraId="5CDDCF89" w14:textId="77777777" w:rsidR="005D22E7" w:rsidRPr="004B4498" w:rsidRDefault="005D22E7" w:rsidP="00E032FC">
            <w:pPr>
              <w:jc w:val="right"/>
              <w:rPr>
                <w:rFonts w:ascii="Arial" w:hAnsi="Arial" w:cs="Arial"/>
                <w:color w:val="000000" w:themeColor="text1"/>
                <w:sz w:val="20"/>
                <w:szCs w:val="20"/>
                <w:lang w:val="hr-HR"/>
              </w:rPr>
            </w:pPr>
            <w:r w:rsidRPr="00C507E7">
              <w:rPr>
                <w:rFonts w:ascii="Arial" w:hAnsi="Arial" w:cs="Arial"/>
                <w:color w:val="000000" w:themeColor="text1"/>
                <w:sz w:val="20"/>
                <w:szCs w:val="20"/>
                <w:lang w:val="hr-HR"/>
              </w:rPr>
              <w:t>23.302</w:t>
            </w:r>
          </w:p>
        </w:tc>
        <w:tc>
          <w:tcPr>
            <w:tcW w:w="1005" w:type="pct"/>
            <w:tcBorders>
              <w:top w:val="nil"/>
              <w:left w:val="nil"/>
              <w:bottom w:val="nil"/>
              <w:right w:val="nil"/>
            </w:tcBorders>
            <w:shd w:val="clear" w:color="auto" w:fill="auto"/>
            <w:vAlign w:val="center"/>
          </w:tcPr>
          <w:p w14:paraId="446F9C07" w14:textId="77777777" w:rsidR="005D22E7" w:rsidRPr="004B4498" w:rsidRDefault="005D22E7" w:rsidP="00E032FC">
            <w:pPr>
              <w:jc w:val="right"/>
              <w:rPr>
                <w:rFonts w:ascii="Arial" w:eastAsia="Arial Unicode MS" w:hAnsi="Arial" w:cs="Arial"/>
                <w:color w:val="000000" w:themeColor="text1"/>
                <w:sz w:val="20"/>
                <w:szCs w:val="20"/>
                <w:lang w:val="hr-HR"/>
              </w:rPr>
            </w:pPr>
            <w:r w:rsidRPr="0046584E">
              <w:rPr>
                <w:rFonts w:ascii="Arial" w:hAnsi="Arial" w:cs="Arial"/>
                <w:color w:val="000000" w:themeColor="text1"/>
                <w:sz w:val="20"/>
                <w:szCs w:val="20"/>
                <w:lang w:val="hr-HR"/>
              </w:rPr>
              <w:t>28.504</w:t>
            </w:r>
          </w:p>
        </w:tc>
      </w:tr>
      <w:tr w:rsidR="005D22E7" w:rsidRPr="005617DE" w14:paraId="218F5A97" w14:textId="77777777" w:rsidTr="00E032FC">
        <w:trPr>
          <w:trHeight w:val="333"/>
        </w:trPr>
        <w:tc>
          <w:tcPr>
            <w:tcW w:w="2567" w:type="pct"/>
            <w:vAlign w:val="center"/>
          </w:tcPr>
          <w:p w14:paraId="03C65A8A" w14:textId="77777777" w:rsidR="005D22E7" w:rsidRPr="004B4498" w:rsidRDefault="005D22E7" w:rsidP="00E032FC">
            <w:pPr>
              <w:pStyle w:val="TT"/>
              <w:rPr>
                <w:rFonts w:cs="Arial"/>
                <w:bCs/>
                <w:color w:val="000000" w:themeColor="text1"/>
                <w:spacing w:val="-2"/>
                <w:sz w:val="20"/>
                <w:lang w:val="hr-HR"/>
              </w:rPr>
            </w:pPr>
            <w:bookmarkStart w:id="418" w:name="_Toc67326984"/>
            <w:r w:rsidRPr="004B4498">
              <w:rPr>
                <w:rFonts w:cs="Arial"/>
                <w:bCs/>
                <w:color w:val="000000" w:themeColor="text1"/>
                <w:spacing w:val="-2"/>
                <w:sz w:val="20"/>
                <w:lang w:val="hr-HR"/>
              </w:rPr>
              <w:t>Rashodi od naknada i provizija</w:t>
            </w:r>
            <w:bookmarkEnd w:id="418"/>
          </w:p>
        </w:tc>
        <w:tc>
          <w:tcPr>
            <w:tcW w:w="544" w:type="pct"/>
            <w:vAlign w:val="center"/>
          </w:tcPr>
          <w:p w14:paraId="6B8C06B8" w14:textId="77777777" w:rsidR="005D22E7" w:rsidRPr="00A873BB" w:rsidRDefault="005D22E7" w:rsidP="00E032FC">
            <w:pPr>
              <w:pStyle w:val="TT"/>
              <w:jc w:val="center"/>
              <w:rPr>
                <w:rFonts w:cs="Arial"/>
                <w:bCs/>
                <w:color w:val="000000" w:themeColor="text1"/>
                <w:spacing w:val="-2"/>
                <w:sz w:val="20"/>
                <w:lang w:val="hr-HR"/>
              </w:rPr>
            </w:pPr>
            <w:bookmarkStart w:id="419" w:name="_Toc67326985"/>
            <w:r w:rsidRPr="00A873BB">
              <w:rPr>
                <w:rFonts w:cs="Arial"/>
                <w:bCs/>
                <w:color w:val="000000" w:themeColor="text1"/>
                <w:spacing w:val="-2"/>
                <w:sz w:val="20"/>
                <w:lang w:val="hr-HR"/>
              </w:rPr>
              <w:t>7</w:t>
            </w:r>
            <w:bookmarkEnd w:id="419"/>
          </w:p>
        </w:tc>
        <w:tc>
          <w:tcPr>
            <w:tcW w:w="884" w:type="pct"/>
            <w:tcBorders>
              <w:top w:val="nil"/>
              <w:left w:val="nil"/>
              <w:bottom w:val="nil"/>
              <w:right w:val="nil"/>
            </w:tcBorders>
            <w:shd w:val="clear" w:color="auto" w:fill="auto"/>
            <w:vAlign w:val="center"/>
          </w:tcPr>
          <w:p w14:paraId="75EAAF96" w14:textId="77777777" w:rsidR="005D22E7" w:rsidRPr="004B4498" w:rsidRDefault="005D22E7" w:rsidP="00E032FC">
            <w:pPr>
              <w:jc w:val="right"/>
              <w:rPr>
                <w:rFonts w:ascii="Arial" w:hAnsi="Arial" w:cs="Arial"/>
                <w:color w:val="000000" w:themeColor="text1"/>
                <w:sz w:val="20"/>
                <w:szCs w:val="20"/>
                <w:lang w:val="hr-HR"/>
              </w:rPr>
            </w:pPr>
            <w:r w:rsidRPr="00C507E7">
              <w:rPr>
                <w:rFonts w:ascii="Arial" w:hAnsi="Arial" w:cs="Arial"/>
                <w:color w:val="000000" w:themeColor="text1"/>
                <w:sz w:val="20"/>
                <w:szCs w:val="20"/>
                <w:lang w:val="hr-HR"/>
              </w:rPr>
              <w:t>(3.910)</w:t>
            </w:r>
          </w:p>
        </w:tc>
        <w:tc>
          <w:tcPr>
            <w:tcW w:w="1005" w:type="pct"/>
            <w:tcBorders>
              <w:top w:val="nil"/>
              <w:left w:val="nil"/>
              <w:bottom w:val="nil"/>
              <w:right w:val="nil"/>
            </w:tcBorders>
            <w:shd w:val="clear" w:color="auto" w:fill="auto"/>
            <w:vAlign w:val="center"/>
          </w:tcPr>
          <w:p w14:paraId="475EF950" w14:textId="77777777" w:rsidR="005D22E7" w:rsidRPr="004B4498" w:rsidRDefault="005D22E7" w:rsidP="00E032FC">
            <w:pPr>
              <w:jc w:val="right"/>
              <w:rPr>
                <w:rFonts w:ascii="Arial" w:eastAsia="Arial Unicode MS" w:hAnsi="Arial" w:cs="Arial"/>
                <w:color w:val="000000" w:themeColor="text1"/>
                <w:sz w:val="20"/>
                <w:szCs w:val="20"/>
                <w:lang w:val="hr-HR"/>
              </w:rPr>
            </w:pPr>
            <w:r w:rsidRPr="0046584E">
              <w:rPr>
                <w:rFonts w:ascii="Arial" w:hAnsi="Arial" w:cs="Arial"/>
                <w:color w:val="000000" w:themeColor="text1"/>
                <w:sz w:val="20"/>
                <w:szCs w:val="20"/>
                <w:lang w:val="hr-HR"/>
              </w:rPr>
              <w:t>(5.056)</w:t>
            </w:r>
          </w:p>
        </w:tc>
      </w:tr>
      <w:tr w:rsidR="005D22E7" w:rsidRPr="005617DE" w14:paraId="57101785" w14:textId="77777777" w:rsidTr="00E032FC">
        <w:tc>
          <w:tcPr>
            <w:tcW w:w="2567" w:type="pct"/>
          </w:tcPr>
          <w:p w14:paraId="1393153F" w14:textId="77777777" w:rsidR="005D22E7" w:rsidRPr="004B4498" w:rsidRDefault="005D22E7" w:rsidP="00E032FC">
            <w:pPr>
              <w:pStyle w:val="Tot"/>
              <w:rPr>
                <w:rFonts w:cs="Arial"/>
                <w:b/>
                <w:bCs/>
                <w:color w:val="000000" w:themeColor="text1"/>
                <w:sz w:val="20"/>
                <w:vertAlign w:val="superscript"/>
                <w:lang w:val="hr-HR"/>
              </w:rPr>
            </w:pPr>
            <w:bookmarkStart w:id="420" w:name="_Toc67326986"/>
            <w:r w:rsidRPr="004B4498">
              <w:rPr>
                <w:rFonts w:cs="Arial"/>
                <w:b/>
                <w:bCs/>
                <w:color w:val="000000" w:themeColor="text1"/>
                <w:sz w:val="20"/>
                <w:lang w:val="hr-HR"/>
              </w:rPr>
              <w:t>Neto prihod od naknada i provizija</w:t>
            </w:r>
            <w:bookmarkEnd w:id="420"/>
          </w:p>
        </w:tc>
        <w:tc>
          <w:tcPr>
            <w:tcW w:w="544" w:type="pct"/>
            <w:vAlign w:val="bottom"/>
          </w:tcPr>
          <w:p w14:paraId="0CA2C2D1" w14:textId="77777777" w:rsidR="005D22E7" w:rsidRPr="00A873BB" w:rsidRDefault="005D22E7" w:rsidP="00E032FC">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5B1896DA" w14:textId="77777777" w:rsidR="005D22E7" w:rsidRPr="004B4498" w:rsidRDefault="005D22E7" w:rsidP="00E032FC">
            <w:pPr>
              <w:pStyle w:val="Tot"/>
              <w:tabs>
                <w:tab w:val="clear" w:pos="1202"/>
              </w:tabs>
              <w:jc w:val="right"/>
              <w:rPr>
                <w:rFonts w:cs="Arial"/>
                <w:b/>
                <w:bCs/>
                <w:color w:val="000000" w:themeColor="text1"/>
                <w:sz w:val="20"/>
                <w:lang w:val="hr-HR"/>
              </w:rPr>
            </w:pPr>
            <w:r w:rsidRPr="00C507E7">
              <w:rPr>
                <w:rFonts w:cs="Arial"/>
                <w:b/>
                <w:bCs/>
                <w:color w:val="000000" w:themeColor="text1"/>
                <w:sz w:val="20"/>
                <w:lang w:val="hr-HR"/>
              </w:rPr>
              <w:t>19.392</w:t>
            </w:r>
          </w:p>
        </w:tc>
        <w:tc>
          <w:tcPr>
            <w:tcW w:w="1005" w:type="pct"/>
            <w:tcBorders>
              <w:top w:val="single" w:sz="4" w:space="0" w:color="auto"/>
              <w:bottom w:val="single" w:sz="12" w:space="0" w:color="auto"/>
            </w:tcBorders>
          </w:tcPr>
          <w:p w14:paraId="59601B9C" w14:textId="77777777" w:rsidR="005D22E7" w:rsidRPr="004B4498" w:rsidRDefault="005D22E7" w:rsidP="00E032FC">
            <w:pPr>
              <w:pStyle w:val="Tot"/>
              <w:tabs>
                <w:tab w:val="clear" w:pos="1202"/>
              </w:tabs>
              <w:jc w:val="right"/>
              <w:rPr>
                <w:rFonts w:cs="Arial"/>
                <w:b/>
                <w:bCs/>
                <w:color w:val="000000" w:themeColor="text1"/>
                <w:spacing w:val="-2"/>
                <w:sz w:val="20"/>
                <w:lang w:val="hr-HR"/>
              </w:rPr>
            </w:pPr>
            <w:bookmarkStart w:id="421" w:name="_Toc67326987"/>
            <w:r w:rsidRPr="0046584E">
              <w:rPr>
                <w:rFonts w:cs="Arial"/>
                <w:b/>
                <w:bCs/>
                <w:color w:val="000000" w:themeColor="text1"/>
                <w:sz w:val="20"/>
                <w:lang w:val="hr-HR"/>
              </w:rPr>
              <w:t>23.448</w:t>
            </w:r>
            <w:bookmarkEnd w:id="421"/>
          </w:p>
        </w:tc>
      </w:tr>
      <w:tr w:rsidR="005D22E7" w:rsidRPr="005617DE" w14:paraId="5AEDD6EF" w14:textId="77777777" w:rsidTr="00E032FC">
        <w:tc>
          <w:tcPr>
            <w:tcW w:w="2567" w:type="pct"/>
          </w:tcPr>
          <w:p w14:paraId="1F634014" w14:textId="77777777" w:rsidR="005D22E7" w:rsidRPr="004B4498" w:rsidRDefault="005D22E7" w:rsidP="00E032FC">
            <w:pPr>
              <w:pStyle w:val="TT"/>
              <w:rPr>
                <w:rFonts w:cs="Arial"/>
                <w:color w:val="000000" w:themeColor="text1"/>
                <w:sz w:val="20"/>
                <w:lang w:val="hr-HR"/>
              </w:rPr>
            </w:pPr>
          </w:p>
        </w:tc>
        <w:tc>
          <w:tcPr>
            <w:tcW w:w="544" w:type="pct"/>
            <w:vAlign w:val="bottom"/>
          </w:tcPr>
          <w:p w14:paraId="3D9E1549" w14:textId="77777777" w:rsidR="005D22E7" w:rsidRPr="00A873BB" w:rsidRDefault="005D22E7" w:rsidP="00E032FC">
            <w:pPr>
              <w:pStyle w:val="TT"/>
              <w:jc w:val="center"/>
              <w:rPr>
                <w:rFonts w:cs="Arial"/>
                <w:color w:val="000000" w:themeColor="text1"/>
                <w:sz w:val="20"/>
                <w:lang w:val="hr-HR"/>
              </w:rPr>
            </w:pPr>
          </w:p>
        </w:tc>
        <w:tc>
          <w:tcPr>
            <w:tcW w:w="884" w:type="pct"/>
            <w:tcBorders>
              <w:top w:val="single" w:sz="12" w:space="0" w:color="auto"/>
            </w:tcBorders>
          </w:tcPr>
          <w:p w14:paraId="74A35913" w14:textId="77777777" w:rsidR="005D22E7" w:rsidRPr="004B4498" w:rsidRDefault="005D22E7" w:rsidP="00E032FC">
            <w:pPr>
              <w:pStyle w:val="TT"/>
              <w:jc w:val="right"/>
              <w:rPr>
                <w:rFonts w:cs="Arial"/>
                <w:color w:val="000000" w:themeColor="text1"/>
                <w:sz w:val="20"/>
                <w:lang w:val="hr-HR"/>
              </w:rPr>
            </w:pPr>
          </w:p>
        </w:tc>
        <w:tc>
          <w:tcPr>
            <w:tcW w:w="1005" w:type="pct"/>
            <w:tcBorders>
              <w:top w:val="single" w:sz="12" w:space="0" w:color="auto"/>
            </w:tcBorders>
          </w:tcPr>
          <w:p w14:paraId="399D19A6" w14:textId="77777777" w:rsidR="005D22E7" w:rsidRPr="004B4498" w:rsidRDefault="005D22E7" w:rsidP="00E032FC">
            <w:pPr>
              <w:pStyle w:val="TT"/>
              <w:jc w:val="right"/>
              <w:rPr>
                <w:rFonts w:cs="Arial"/>
                <w:color w:val="000000" w:themeColor="text1"/>
                <w:sz w:val="20"/>
                <w:lang w:val="hr-HR"/>
              </w:rPr>
            </w:pPr>
          </w:p>
        </w:tc>
      </w:tr>
      <w:tr w:rsidR="005D22E7" w:rsidRPr="005617DE" w14:paraId="379B7E6B" w14:textId="77777777" w:rsidTr="00E032FC">
        <w:tc>
          <w:tcPr>
            <w:tcW w:w="2567" w:type="pct"/>
          </w:tcPr>
          <w:p w14:paraId="715B82A9" w14:textId="77777777" w:rsidR="005D22E7" w:rsidRPr="004B4498" w:rsidRDefault="005D22E7" w:rsidP="00E032FC">
            <w:pPr>
              <w:pStyle w:val="TT"/>
              <w:rPr>
                <w:rFonts w:cs="Arial"/>
                <w:color w:val="000000" w:themeColor="text1"/>
                <w:sz w:val="20"/>
                <w:lang w:val="hr-HR"/>
              </w:rPr>
            </w:pPr>
            <w:bookmarkStart w:id="422" w:name="_Toc67326989"/>
            <w:r w:rsidRPr="004B4498">
              <w:rPr>
                <w:rFonts w:cs="Arial"/>
                <w:color w:val="000000" w:themeColor="text1"/>
                <w:sz w:val="20"/>
                <w:lang w:val="hr-HR"/>
              </w:rPr>
              <w:t>Neto prihodi</w:t>
            </w:r>
            <w:r>
              <w:rPr>
                <w:rFonts w:cs="Arial"/>
                <w:color w:val="000000" w:themeColor="text1"/>
                <w:sz w:val="20"/>
                <w:lang w:val="hr-HR"/>
              </w:rPr>
              <w:t>/(</w:t>
            </w:r>
            <w:r w:rsidRPr="004B4498">
              <w:rPr>
                <w:rFonts w:cs="Arial"/>
                <w:color w:val="000000" w:themeColor="text1"/>
                <w:sz w:val="20"/>
                <w:lang w:val="hr-HR"/>
              </w:rPr>
              <w:t>rashodi) od financijskih aktivnosti</w:t>
            </w:r>
            <w:bookmarkEnd w:id="422"/>
            <w:r w:rsidRPr="004B4498">
              <w:rPr>
                <w:rFonts w:cs="Arial"/>
                <w:color w:val="000000" w:themeColor="text1"/>
                <w:sz w:val="20"/>
                <w:lang w:val="hr-HR"/>
              </w:rPr>
              <w:t xml:space="preserve"> </w:t>
            </w:r>
          </w:p>
        </w:tc>
        <w:tc>
          <w:tcPr>
            <w:tcW w:w="544" w:type="pct"/>
            <w:vAlign w:val="bottom"/>
          </w:tcPr>
          <w:p w14:paraId="5EB0868D" w14:textId="77777777" w:rsidR="005D22E7" w:rsidRPr="00A873BB" w:rsidRDefault="005D22E7" w:rsidP="00E032FC">
            <w:pPr>
              <w:pStyle w:val="TT"/>
              <w:jc w:val="center"/>
              <w:rPr>
                <w:rFonts w:cs="Arial"/>
                <w:color w:val="000000" w:themeColor="text1"/>
                <w:sz w:val="20"/>
                <w:lang w:val="hr-HR"/>
              </w:rPr>
            </w:pPr>
            <w:bookmarkStart w:id="423" w:name="_Toc67326990"/>
            <w:r w:rsidRPr="00A873BB">
              <w:rPr>
                <w:rFonts w:cs="Arial"/>
                <w:color w:val="000000" w:themeColor="text1"/>
                <w:sz w:val="20"/>
                <w:lang w:val="hr-HR"/>
              </w:rPr>
              <w:t>8</w:t>
            </w:r>
            <w:bookmarkEnd w:id="423"/>
          </w:p>
        </w:tc>
        <w:tc>
          <w:tcPr>
            <w:tcW w:w="884" w:type="pct"/>
            <w:tcBorders>
              <w:top w:val="nil"/>
              <w:left w:val="nil"/>
              <w:bottom w:val="nil"/>
              <w:right w:val="nil"/>
            </w:tcBorders>
            <w:shd w:val="clear" w:color="auto" w:fill="auto"/>
            <w:vAlign w:val="bottom"/>
          </w:tcPr>
          <w:p w14:paraId="3526C47D" w14:textId="77777777" w:rsidR="005D22E7" w:rsidRPr="004B4498" w:rsidRDefault="005D22E7" w:rsidP="00E032FC">
            <w:pPr>
              <w:pStyle w:val="TT"/>
              <w:jc w:val="right"/>
              <w:rPr>
                <w:rFonts w:cs="Arial"/>
                <w:color w:val="000000" w:themeColor="text1"/>
                <w:sz w:val="20"/>
                <w:lang w:val="hr-HR"/>
              </w:rPr>
            </w:pPr>
            <w:r w:rsidRPr="00C507E7">
              <w:rPr>
                <w:rFonts w:cs="Arial"/>
                <w:color w:val="000000" w:themeColor="text1"/>
                <w:sz w:val="20"/>
                <w:lang w:val="hr-HR"/>
              </w:rPr>
              <w:t>16.725</w:t>
            </w:r>
          </w:p>
        </w:tc>
        <w:tc>
          <w:tcPr>
            <w:tcW w:w="1005" w:type="pct"/>
            <w:tcBorders>
              <w:top w:val="nil"/>
              <w:left w:val="nil"/>
              <w:bottom w:val="nil"/>
              <w:right w:val="nil"/>
            </w:tcBorders>
            <w:shd w:val="clear" w:color="auto" w:fill="auto"/>
            <w:vAlign w:val="bottom"/>
          </w:tcPr>
          <w:p w14:paraId="2B4CAD27" w14:textId="77777777" w:rsidR="005D22E7" w:rsidRPr="004B4498" w:rsidRDefault="005D22E7" w:rsidP="00E032FC">
            <w:pPr>
              <w:pStyle w:val="TT"/>
              <w:jc w:val="right"/>
              <w:rPr>
                <w:rFonts w:cs="Arial"/>
                <w:bCs/>
                <w:color w:val="000000" w:themeColor="text1"/>
                <w:spacing w:val="-2"/>
                <w:sz w:val="20"/>
                <w:lang w:val="hr-HR"/>
              </w:rPr>
            </w:pPr>
            <w:bookmarkStart w:id="424" w:name="_Toc67326991"/>
            <w:r w:rsidRPr="0046584E">
              <w:rPr>
                <w:rFonts w:cs="Arial"/>
                <w:color w:val="000000" w:themeColor="text1"/>
                <w:sz w:val="20"/>
                <w:lang w:val="hr-HR"/>
              </w:rPr>
              <w:t>(11.837)</w:t>
            </w:r>
            <w:bookmarkEnd w:id="424"/>
          </w:p>
        </w:tc>
      </w:tr>
      <w:tr w:rsidR="005D22E7" w:rsidRPr="005617DE" w14:paraId="0CB135A7" w14:textId="77777777" w:rsidTr="00E032FC">
        <w:tc>
          <w:tcPr>
            <w:tcW w:w="2567" w:type="pct"/>
          </w:tcPr>
          <w:p w14:paraId="634DB320" w14:textId="77777777" w:rsidR="005D22E7" w:rsidRPr="004B4498" w:rsidRDefault="005D22E7" w:rsidP="00E032FC">
            <w:pPr>
              <w:pStyle w:val="Tot"/>
              <w:rPr>
                <w:rFonts w:cs="Arial"/>
                <w:color w:val="000000" w:themeColor="text1"/>
                <w:sz w:val="20"/>
                <w:lang w:val="hr-HR"/>
              </w:rPr>
            </w:pPr>
            <w:bookmarkStart w:id="425" w:name="_Toc67326993"/>
            <w:r w:rsidRPr="004B4498">
              <w:rPr>
                <w:rFonts w:cs="Arial"/>
                <w:color w:val="000000" w:themeColor="text1"/>
                <w:sz w:val="20"/>
                <w:lang w:val="hr-HR"/>
              </w:rPr>
              <w:t>Ostali prihodi</w:t>
            </w:r>
            <w:bookmarkEnd w:id="425"/>
          </w:p>
        </w:tc>
        <w:tc>
          <w:tcPr>
            <w:tcW w:w="544" w:type="pct"/>
            <w:vAlign w:val="bottom"/>
          </w:tcPr>
          <w:p w14:paraId="36DDADD0" w14:textId="77777777" w:rsidR="005D22E7" w:rsidRPr="00A873BB" w:rsidRDefault="005D22E7" w:rsidP="00E032FC">
            <w:pPr>
              <w:pStyle w:val="Tot"/>
              <w:jc w:val="center"/>
              <w:rPr>
                <w:rFonts w:cs="Arial"/>
                <w:b/>
                <w:bCs/>
                <w:color w:val="000000" w:themeColor="text1"/>
                <w:sz w:val="20"/>
                <w:lang w:val="hr-HR"/>
              </w:rPr>
            </w:pPr>
          </w:p>
        </w:tc>
        <w:tc>
          <w:tcPr>
            <w:tcW w:w="884" w:type="pct"/>
            <w:tcBorders>
              <w:top w:val="nil"/>
              <w:left w:val="nil"/>
              <w:bottom w:val="nil"/>
              <w:right w:val="nil"/>
            </w:tcBorders>
            <w:shd w:val="clear" w:color="auto" w:fill="auto"/>
            <w:vAlign w:val="center"/>
          </w:tcPr>
          <w:p w14:paraId="7161E092" w14:textId="77777777" w:rsidR="005D22E7" w:rsidRPr="004B4498" w:rsidRDefault="005D22E7" w:rsidP="00E032FC">
            <w:pPr>
              <w:pStyle w:val="TT"/>
              <w:jc w:val="right"/>
              <w:rPr>
                <w:rFonts w:cs="Arial"/>
                <w:color w:val="000000" w:themeColor="text1"/>
                <w:sz w:val="20"/>
                <w:lang w:val="hr-HR"/>
              </w:rPr>
            </w:pPr>
            <w:r w:rsidRPr="00C507E7">
              <w:rPr>
                <w:rFonts w:cs="Arial"/>
                <w:color w:val="000000" w:themeColor="text1"/>
                <w:sz w:val="20"/>
                <w:lang w:val="hr-HR"/>
              </w:rPr>
              <w:t>14.163</w:t>
            </w:r>
          </w:p>
        </w:tc>
        <w:tc>
          <w:tcPr>
            <w:tcW w:w="1005" w:type="pct"/>
            <w:tcBorders>
              <w:top w:val="nil"/>
              <w:left w:val="nil"/>
              <w:bottom w:val="nil"/>
              <w:right w:val="nil"/>
            </w:tcBorders>
            <w:shd w:val="clear" w:color="auto" w:fill="auto"/>
            <w:vAlign w:val="center"/>
          </w:tcPr>
          <w:p w14:paraId="52F14357" w14:textId="77777777" w:rsidR="005D22E7" w:rsidRPr="004B4498" w:rsidRDefault="005D22E7" w:rsidP="00E032FC">
            <w:pPr>
              <w:pStyle w:val="TT"/>
              <w:jc w:val="right"/>
              <w:rPr>
                <w:rFonts w:cs="Arial"/>
                <w:color w:val="000000" w:themeColor="text1"/>
                <w:sz w:val="20"/>
                <w:lang w:val="hr-HR"/>
              </w:rPr>
            </w:pPr>
            <w:bookmarkStart w:id="426" w:name="_Toc67326994"/>
            <w:r w:rsidRPr="0046584E">
              <w:rPr>
                <w:rFonts w:cs="Arial"/>
                <w:color w:val="000000" w:themeColor="text1"/>
                <w:sz w:val="20"/>
                <w:lang w:val="hr-HR"/>
              </w:rPr>
              <w:t>23.972</w:t>
            </w:r>
            <w:bookmarkEnd w:id="426"/>
          </w:p>
        </w:tc>
      </w:tr>
      <w:tr w:rsidR="005D22E7" w:rsidRPr="005617DE" w14:paraId="56460E88" w14:textId="77777777" w:rsidTr="00E032FC">
        <w:tc>
          <w:tcPr>
            <w:tcW w:w="2567" w:type="pct"/>
          </w:tcPr>
          <w:p w14:paraId="0564015E" w14:textId="77777777" w:rsidR="005D22E7" w:rsidRPr="004B4498" w:rsidRDefault="005D22E7" w:rsidP="00E032FC">
            <w:pPr>
              <w:pStyle w:val="Tot"/>
              <w:rPr>
                <w:rFonts w:cs="Arial"/>
                <w:b/>
                <w:bCs/>
                <w:color w:val="000000" w:themeColor="text1"/>
                <w:sz w:val="20"/>
                <w:lang w:val="hr-HR"/>
              </w:rPr>
            </w:pPr>
          </w:p>
        </w:tc>
        <w:tc>
          <w:tcPr>
            <w:tcW w:w="544" w:type="pct"/>
            <w:vAlign w:val="bottom"/>
          </w:tcPr>
          <w:p w14:paraId="68952161" w14:textId="77777777" w:rsidR="005D22E7" w:rsidRPr="00A873BB" w:rsidRDefault="005D22E7" w:rsidP="00E032FC">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3C2E62DA" w14:textId="77777777" w:rsidR="005D22E7" w:rsidRPr="004B4498" w:rsidRDefault="005D22E7" w:rsidP="00E032FC">
            <w:pPr>
              <w:pStyle w:val="Tot"/>
              <w:jc w:val="right"/>
              <w:rPr>
                <w:rFonts w:cs="Arial"/>
                <w:b/>
                <w:bCs/>
                <w:color w:val="000000" w:themeColor="text1"/>
                <w:sz w:val="20"/>
                <w:lang w:val="hr-HR"/>
              </w:rPr>
            </w:pPr>
            <w:r w:rsidRPr="00C507E7">
              <w:rPr>
                <w:rFonts w:cs="Arial"/>
                <w:b/>
                <w:bCs/>
                <w:color w:val="000000" w:themeColor="text1"/>
                <w:sz w:val="20"/>
                <w:lang w:val="hr-HR"/>
              </w:rPr>
              <w:t>519.755</w:t>
            </w:r>
          </w:p>
        </w:tc>
        <w:tc>
          <w:tcPr>
            <w:tcW w:w="1005" w:type="pct"/>
            <w:tcBorders>
              <w:top w:val="single" w:sz="4" w:space="0" w:color="auto"/>
              <w:bottom w:val="single" w:sz="12" w:space="0" w:color="auto"/>
            </w:tcBorders>
          </w:tcPr>
          <w:p w14:paraId="5A930C27" w14:textId="77777777" w:rsidR="005D22E7" w:rsidRPr="004B4498" w:rsidRDefault="005D22E7" w:rsidP="00E032FC">
            <w:pPr>
              <w:pStyle w:val="Tot"/>
              <w:jc w:val="right"/>
              <w:rPr>
                <w:rFonts w:cs="Arial"/>
                <w:b/>
                <w:bCs/>
                <w:color w:val="000000" w:themeColor="text1"/>
                <w:sz w:val="20"/>
                <w:lang w:val="hr-HR"/>
              </w:rPr>
            </w:pPr>
            <w:bookmarkStart w:id="427" w:name="_Toc67326996"/>
            <w:r w:rsidRPr="0046584E">
              <w:rPr>
                <w:rFonts w:cs="Arial"/>
                <w:b/>
                <w:bCs/>
                <w:color w:val="000000" w:themeColor="text1"/>
                <w:sz w:val="20"/>
                <w:lang w:val="hr-HR"/>
              </w:rPr>
              <w:t>527.140</w:t>
            </w:r>
            <w:bookmarkEnd w:id="427"/>
          </w:p>
        </w:tc>
      </w:tr>
      <w:tr w:rsidR="005D22E7" w:rsidRPr="005617DE" w14:paraId="30A8395A" w14:textId="77777777" w:rsidTr="00E032FC">
        <w:tc>
          <w:tcPr>
            <w:tcW w:w="2567" w:type="pct"/>
          </w:tcPr>
          <w:p w14:paraId="58A8537E" w14:textId="77777777" w:rsidR="005D22E7" w:rsidRPr="004B4498" w:rsidRDefault="005D22E7" w:rsidP="00E032FC">
            <w:pPr>
              <w:pStyle w:val="TT"/>
              <w:rPr>
                <w:rFonts w:cs="Arial"/>
                <w:bCs/>
                <w:color w:val="000000" w:themeColor="text1"/>
                <w:spacing w:val="-2"/>
                <w:sz w:val="20"/>
                <w:lang w:val="hr-HR"/>
              </w:rPr>
            </w:pPr>
          </w:p>
        </w:tc>
        <w:tc>
          <w:tcPr>
            <w:tcW w:w="544" w:type="pct"/>
            <w:vAlign w:val="bottom"/>
          </w:tcPr>
          <w:p w14:paraId="4C97EBAE" w14:textId="77777777" w:rsidR="005D22E7" w:rsidRPr="00A873BB" w:rsidRDefault="005D22E7" w:rsidP="00E032FC">
            <w:pPr>
              <w:pStyle w:val="TT"/>
              <w:jc w:val="center"/>
              <w:rPr>
                <w:rFonts w:cs="Arial"/>
                <w:bCs/>
                <w:color w:val="000000" w:themeColor="text1"/>
                <w:spacing w:val="-2"/>
                <w:sz w:val="20"/>
                <w:lang w:val="hr-HR"/>
              </w:rPr>
            </w:pPr>
          </w:p>
        </w:tc>
        <w:tc>
          <w:tcPr>
            <w:tcW w:w="884" w:type="pct"/>
            <w:tcBorders>
              <w:top w:val="single" w:sz="12" w:space="0" w:color="auto"/>
            </w:tcBorders>
          </w:tcPr>
          <w:p w14:paraId="7B39430E" w14:textId="77777777" w:rsidR="005D22E7" w:rsidRPr="004B4498" w:rsidRDefault="005D22E7" w:rsidP="00E032FC">
            <w:pPr>
              <w:pStyle w:val="TT"/>
              <w:tabs>
                <w:tab w:val="clear" w:pos="1202"/>
              </w:tabs>
              <w:jc w:val="right"/>
              <w:rPr>
                <w:rFonts w:cs="Arial"/>
                <w:bCs/>
                <w:color w:val="000000" w:themeColor="text1"/>
                <w:spacing w:val="-2"/>
                <w:sz w:val="20"/>
                <w:lang w:val="hr-HR"/>
              </w:rPr>
            </w:pPr>
          </w:p>
        </w:tc>
        <w:tc>
          <w:tcPr>
            <w:tcW w:w="1005" w:type="pct"/>
            <w:tcBorders>
              <w:top w:val="single" w:sz="12" w:space="0" w:color="auto"/>
            </w:tcBorders>
          </w:tcPr>
          <w:p w14:paraId="5ECE6FE9" w14:textId="77777777" w:rsidR="005D22E7" w:rsidRPr="004B4498" w:rsidRDefault="005D22E7" w:rsidP="00E032FC">
            <w:pPr>
              <w:pStyle w:val="TT"/>
              <w:tabs>
                <w:tab w:val="clear" w:pos="1202"/>
              </w:tabs>
              <w:jc w:val="right"/>
              <w:rPr>
                <w:rFonts w:cs="Arial"/>
                <w:bCs/>
                <w:color w:val="000000" w:themeColor="text1"/>
                <w:spacing w:val="-2"/>
                <w:sz w:val="20"/>
                <w:lang w:val="hr-HR"/>
              </w:rPr>
            </w:pPr>
          </w:p>
        </w:tc>
      </w:tr>
      <w:tr w:rsidR="005D22E7" w:rsidRPr="005617DE" w14:paraId="210EE484" w14:textId="77777777" w:rsidTr="00E032FC">
        <w:tc>
          <w:tcPr>
            <w:tcW w:w="2567" w:type="pct"/>
            <w:vAlign w:val="bottom"/>
          </w:tcPr>
          <w:p w14:paraId="40AD0744" w14:textId="77777777" w:rsidR="005D22E7" w:rsidRPr="004B4498" w:rsidRDefault="005D22E7" w:rsidP="00E032FC">
            <w:pPr>
              <w:pStyle w:val="TT"/>
              <w:rPr>
                <w:rFonts w:cs="Arial"/>
                <w:bCs/>
                <w:color w:val="000000" w:themeColor="text1"/>
                <w:spacing w:val="-2"/>
                <w:sz w:val="20"/>
                <w:lang w:val="hr-HR"/>
              </w:rPr>
            </w:pPr>
            <w:bookmarkStart w:id="428" w:name="_Toc67326998"/>
            <w:r w:rsidRPr="004B4498">
              <w:rPr>
                <w:rFonts w:cs="Arial"/>
                <w:bCs/>
                <w:color w:val="000000" w:themeColor="text1"/>
                <w:spacing w:val="-2"/>
                <w:sz w:val="20"/>
                <w:lang w:val="hr-HR"/>
              </w:rPr>
              <w:t>Troškovi osoblja</w:t>
            </w:r>
            <w:bookmarkEnd w:id="428"/>
          </w:p>
        </w:tc>
        <w:tc>
          <w:tcPr>
            <w:tcW w:w="544" w:type="pct"/>
            <w:vAlign w:val="bottom"/>
          </w:tcPr>
          <w:p w14:paraId="48FC7FD0" w14:textId="77777777" w:rsidR="005D22E7" w:rsidRPr="00A873BB" w:rsidRDefault="005D22E7" w:rsidP="00E032FC">
            <w:pPr>
              <w:pStyle w:val="TT"/>
              <w:jc w:val="center"/>
              <w:rPr>
                <w:rFonts w:cs="Arial"/>
                <w:bCs/>
                <w:color w:val="000000" w:themeColor="text1"/>
                <w:spacing w:val="-2"/>
                <w:sz w:val="20"/>
                <w:lang w:val="hr-HR"/>
              </w:rPr>
            </w:pPr>
            <w:bookmarkStart w:id="429" w:name="_Toc67326999"/>
            <w:r w:rsidRPr="00A873BB">
              <w:rPr>
                <w:rFonts w:cs="Arial"/>
                <w:bCs/>
                <w:color w:val="000000" w:themeColor="text1"/>
                <w:spacing w:val="-2"/>
                <w:sz w:val="20"/>
                <w:lang w:val="hr-HR"/>
              </w:rPr>
              <w:t>9 a)</w:t>
            </w:r>
            <w:bookmarkEnd w:id="429"/>
          </w:p>
        </w:tc>
        <w:tc>
          <w:tcPr>
            <w:tcW w:w="884" w:type="pct"/>
            <w:tcBorders>
              <w:top w:val="nil"/>
              <w:left w:val="nil"/>
              <w:bottom w:val="nil"/>
              <w:right w:val="nil"/>
            </w:tcBorders>
            <w:shd w:val="clear" w:color="auto" w:fill="auto"/>
            <w:vAlign w:val="bottom"/>
          </w:tcPr>
          <w:p w14:paraId="19C02CAD" w14:textId="77777777" w:rsidR="005D22E7" w:rsidRPr="004B4498" w:rsidRDefault="005D22E7" w:rsidP="00E032FC">
            <w:pPr>
              <w:pStyle w:val="TT"/>
              <w:tabs>
                <w:tab w:val="clear" w:pos="1202"/>
              </w:tabs>
              <w:jc w:val="right"/>
              <w:rPr>
                <w:rFonts w:cs="Arial"/>
                <w:color w:val="000000" w:themeColor="text1"/>
                <w:sz w:val="20"/>
                <w:lang w:val="hr-HR"/>
              </w:rPr>
            </w:pPr>
            <w:r w:rsidRPr="00C507E7">
              <w:rPr>
                <w:rFonts w:cs="Arial"/>
                <w:color w:val="000000" w:themeColor="text1"/>
                <w:sz w:val="20"/>
                <w:lang w:val="hr-HR"/>
              </w:rPr>
              <w:t>(100.254)</w:t>
            </w:r>
          </w:p>
        </w:tc>
        <w:tc>
          <w:tcPr>
            <w:tcW w:w="1005" w:type="pct"/>
            <w:tcBorders>
              <w:top w:val="nil"/>
              <w:left w:val="nil"/>
              <w:bottom w:val="nil"/>
              <w:right w:val="nil"/>
            </w:tcBorders>
            <w:shd w:val="clear" w:color="auto" w:fill="auto"/>
            <w:vAlign w:val="bottom"/>
          </w:tcPr>
          <w:p w14:paraId="7C7EA1B7" w14:textId="77777777" w:rsidR="005D22E7" w:rsidRPr="004B4498" w:rsidRDefault="005D22E7" w:rsidP="00E032FC">
            <w:pPr>
              <w:pStyle w:val="TT"/>
              <w:tabs>
                <w:tab w:val="clear" w:pos="1202"/>
              </w:tabs>
              <w:jc w:val="right"/>
              <w:rPr>
                <w:rFonts w:cs="Arial"/>
                <w:bCs/>
                <w:color w:val="000000" w:themeColor="text1"/>
                <w:spacing w:val="-2"/>
                <w:sz w:val="20"/>
                <w:lang w:val="hr-HR"/>
              </w:rPr>
            </w:pPr>
            <w:bookmarkStart w:id="430" w:name="_Toc67327000"/>
            <w:r w:rsidRPr="0046584E">
              <w:rPr>
                <w:rFonts w:cs="Arial"/>
                <w:color w:val="000000" w:themeColor="text1"/>
                <w:sz w:val="20"/>
                <w:lang w:val="hr-HR"/>
              </w:rPr>
              <w:t>(95.219)</w:t>
            </w:r>
            <w:bookmarkEnd w:id="430"/>
          </w:p>
        </w:tc>
      </w:tr>
      <w:tr w:rsidR="005D22E7" w:rsidRPr="005617DE" w14:paraId="396A7636" w14:textId="77777777" w:rsidTr="00E032FC">
        <w:tc>
          <w:tcPr>
            <w:tcW w:w="2567" w:type="pct"/>
            <w:vAlign w:val="bottom"/>
          </w:tcPr>
          <w:p w14:paraId="53615952" w14:textId="77777777" w:rsidR="005D22E7" w:rsidRPr="004B4498" w:rsidRDefault="005D22E7" w:rsidP="00E032FC">
            <w:pPr>
              <w:pStyle w:val="TT"/>
              <w:rPr>
                <w:rFonts w:cs="Arial"/>
                <w:bCs/>
                <w:color w:val="000000" w:themeColor="text1"/>
                <w:spacing w:val="-2"/>
                <w:sz w:val="20"/>
                <w:lang w:val="hr-HR"/>
              </w:rPr>
            </w:pPr>
            <w:bookmarkStart w:id="431" w:name="_Toc67327002"/>
            <w:r w:rsidRPr="004B4498">
              <w:rPr>
                <w:rFonts w:cs="Arial"/>
                <w:bCs/>
                <w:color w:val="000000" w:themeColor="text1"/>
                <w:spacing w:val="-2"/>
                <w:sz w:val="20"/>
                <w:lang w:val="hr-HR"/>
              </w:rPr>
              <w:t>Amortizacija</w:t>
            </w:r>
            <w:bookmarkEnd w:id="431"/>
          </w:p>
        </w:tc>
        <w:tc>
          <w:tcPr>
            <w:tcW w:w="544" w:type="pct"/>
            <w:vAlign w:val="bottom"/>
          </w:tcPr>
          <w:p w14:paraId="58AC6F90" w14:textId="77777777" w:rsidR="005D22E7" w:rsidRPr="00A873BB" w:rsidRDefault="005D22E7" w:rsidP="00E032FC">
            <w:pPr>
              <w:pStyle w:val="TT"/>
              <w:jc w:val="center"/>
              <w:rPr>
                <w:rFonts w:cs="Arial"/>
                <w:bCs/>
                <w:color w:val="000000" w:themeColor="text1"/>
                <w:spacing w:val="-2"/>
                <w:sz w:val="20"/>
                <w:lang w:val="hr-HR"/>
              </w:rPr>
            </w:pPr>
            <w:bookmarkStart w:id="432" w:name="_Toc67327003"/>
            <w:r w:rsidRPr="00A873BB">
              <w:rPr>
                <w:rFonts w:cs="Arial"/>
                <w:bCs/>
                <w:color w:val="000000" w:themeColor="text1"/>
                <w:spacing w:val="-2"/>
                <w:sz w:val="20"/>
                <w:lang w:val="hr-HR"/>
              </w:rPr>
              <w:t>9 b)</w:t>
            </w:r>
            <w:bookmarkEnd w:id="432"/>
          </w:p>
        </w:tc>
        <w:tc>
          <w:tcPr>
            <w:tcW w:w="884" w:type="pct"/>
            <w:tcBorders>
              <w:top w:val="nil"/>
              <w:left w:val="nil"/>
              <w:bottom w:val="nil"/>
              <w:right w:val="nil"/>
            </w:tcBorders>
            <w:shd w:val="clear" w:color="auto" w:fill="auto"/>
            <w:vAlign w:val="bottom"/>
          </w:tcPr>
          <w:p w14:paraId="6A40B9CE" w14:textId="77777777" w:rsidR="005D22E7" w:rsidRPr="004B4498" w:rsidRDefault="005D22E7" w:rsidP="00E032FC">
            <w:pPr>
              <w:pStyle w:val="TT"/>
              <w:tabs>
                <w:tab w:val="clear" w:pos="1202"/>
              </w:tabs>
              <w:jc w:val="right"/>
              <w:rPr>
                <w:rFonts w:cs="Arial"/>
                <w:color w:val="000000" w:themeColor="text1"/>
                <w:sz w:val="20"/>
                <w:lang w:val="hr-HR"/>
              </w:rPr>
            </w:pPr>
            <w:r w:rsidRPr="00C507E7">
              <w:rPr>
                <w:rFonts w:cs="Arial"/>
                <w:color w:val="000000" w:themeColor="text1"/>
                <w:sz w:val="20"/>
                <w:lang w:val="hr-HR"/>
              </w:rPr>
              <w:t>(11.248)</w:t>
            </w:r>
          </w:p>
        </w:tc>
        <w:tc>
          <w:tcPr>
            <w:tcW w:w="1005" w:type="pct"/>
            <w:tcBorders>
              <w:top w:val="nil"/>
              <w:left w:val="nil"/>
              <w:bottom w:val="nil"/>
              <w:right w:val="nil"/>
            </w:tcBorders>
            <w:shd w:val="clear" w:color="auto" w:fill="auto"/>
            <w:vAlign w:val="bottom"/>
          </w:tcPr>
          <w:p w14:paraId="50251383" w14:textId="77777777" w:rsidR="005D22E7" w:rsidRPr="004B4498" w:rsidRDefault="005D22E7" w:rsidP="00E032FC">
            <w:pPr>
              <w:pStyle w:val="TT"/>
              <w:tabs>
                <w:tab w:val="clear" w:pos="1202"/>
              </w:tabs>
              <w:jc w:val="right"/>
              <w:rPr>
                <w:rFonts w:cs="Arial"/>
                <w:color w:val="000000" w:themeColor="text1"/>
                <w:sz w:val="20"/>
                <w:lang w:val="hr-HR"/>
              </w:rPr>
            </w:pPr>
            <w:bookmarkStart w:id="433" w:name="_Toc67327004"/>
            <w:r w:rsidRPr="0046584E">
              <w:rPr>
                <w:rFonts w:cs="Arial"/>
                <w:color w:val="000000" w:themeColor="text1"/>
                <w:sz w:val="20"/>
                <w:lang w:val="hr-HR"/>
              </w:rPr>
              <w:t>(10.990)</w:t>
            </w:r>
            <w:bookmarkEnd w:id="433"/>
          </w:p>
        </w:tc>
      </w:tr>
      <w:tr w:rsidR="005D22E7" w:rsidRPr="005617DE" w14:paraId="235ADC25" w14:textId="77777777" w:rsidTr="00E032FC">
        <w:tc>
          <w:tcPr>
            <w:tcW w:w="2567" w:type="pct"/>
            <w:vAlign w:val="bottom"/>
          </w:tcPr>
          <w:p w14:paraId="4445C57E" w14:textId="77777777" w:rsidR="005D22E7" w:rsidRPr="004B4498" w:rsidRDefault="005D22E7" w:rsidP="00E032FC">
            <w:pPr>
              <w:pStyle w:val="TT"/>
              <w:rPr>
                <w:rFonts w:cs="Arial"/>
                <w:bCs/>
                <w:color w:val="000000" w:themeColor="text1"/>
                <w:spacing w:val="-2"/>
                <w:sz w:val="20"/>
                <w:lang w:val="hr-HR"/>
              </w:rPr>
            </w:pPr>
            <w:bookmarkStart w:id="434" w:name="_Toc67327006"/>
            <w:r w:rsidRPr="004B4498">
              <w:rPr>
                <w:rFonts w:cs="Arial"/>
                <w:bCs/>
                <w:color w:val="000000" w:themeColor="text1"/>
                <w:spacing w:val="-2"/>
                <w:sz w:val="20"/>
                <w:lang w:val="hr-HR"/>
              </w:rPr>
              <w:t>Ostali troškovi</w:t>
            </w:r>
            <w:bookmarkEnd w:id="434"/>
          </w:p>
        </w:tc>
        <w:tc>
          <w:tcPr>
            <w:tcW w:w="544" w:type="pct"/>
            <w:vAlign w:val="bottom"/>
          </w:tcPr>
          <w:p w14:paraId="43B63E60" w14:textId="77777777" w:rsidR="005D22E7" w:rsidRPr="00A873BB" w:rsidRDefault="005D22E7" w:rsidP="00E032FC">
            <w:pPr>
              <w:pStyle w:val="TT"/>
              <w:jc w:val="center"/>
              <w:rPr>
                <w:rFonts w:cs="Arial"/>
                <w:bCs/>
                <w:color w:val="000000" w:themeColor="text1"/>
                <w:spacing w:val="-2"/>
                <w:sz w:val="20"/>
                <w:lang w:val="hr-HR"/>
              </w:rPr>
            </w:pPr>
            <w:bookmarkStart w:id="435" w:name="_Toc67327007"/>
            <w:r w:rsidRPr="00A873BB">
              <w:rPr>
                <w:rFonts w:cs="Arial"/>
                <w:bCs/>
                <w:color w:val="000000" w:themeColor="text1"/>
                <w:spacing w:val="-2"/>
                <w:sz w:val="20"/>
                <w:lang w:val="hr-HR"/>
              </w:rPr>
              <w:t>9 c)</w:t>
            </w:r>
            <w:bookmarkEnd w:id="435"/>
          </w:p>
        </w:tc>
        <w:tc>
          <w:tcPr>
            <w:tcW w:w="884" w:type="pct"/>
            <w:tcBorders>
              <w:top w:val="nil"/>
              <w:left w:val="nil"/>
              <w:bottom w:val="nil"/>
              <w:right w:val="nil"/>
            </w:tcBorders>
            <w:shd w:val="clear" w:color="auto" w:fill="auto"/>
            <w:vAlign w:val="bottom"/>
          </w:tcPr>
          <w:p w14:paraId="4183CD47" w14:textId="77777777" w:rsidR="005D22E7" w:rsidRPr="004B4498" w:rsidRDefault="005D22E7" w:rsidP="00E032FC">
            <w:pPr>
              <w:pStyle w:val="TT"/>
              <w:tabs>
                <w:tab w:val="clear" w:pos="1202"/>
              </w:tabs>
              <w:jc w:val="right"/>
              <w:rPr>
                <w:rFonts w:cs="Arial"/>
                <w:color w:val="000000" w:themeColor="text1"/>
                <w:sz w:val="20"/>
                <w:lang w:val="hr-HR"/>
              </w:rPr>
            </w:pPr>
            <w:r w:rsidRPr="00C507E7">
              <w:rPr>
                <w:rFonts w:cs="Arial"/>
                <w:color w:val="000000" w:themeColor="text1"/>
                <w:sz w:val="20"/>
                <w:lang w:val="hr-HR"/>
              </w:rPr>
              <w:t>(77.646)</w:t>
            </w:r>
          </w:p>
        </w:tc>
        <w:tc>
          <w:tcPr>
            <w:tcW w:w="1005" w:type="pct"/>
            <w:tcBorders>
              <w:top w:val="nil"/>
              <w:left w:val="nil"/>
              <w:bottom w:val="nil"/>
              <w:right w:val="nil"/>
            </w:tcBorders>
            <w:shd w:val="clear" w:color="auto" w:fill="auto"/>
            <w:vAlign w:val="bottom"/>
          </w:tcPr>
          <w:p w14:paraId="786705EA" w14:textId="77777777" w:rsidR="005D22E7" w:rsidRPr="004B4498" w:rsidRDefault="005D22E7" w:rsidP="00E032FC">
            <w:pPr>
              <w:pStyle w:val="TT"/>
              <w:tabs>
                <w:tab w:val="clear" w:pos="1202"/>
              </w:tabs>
              <w:jc w:val="right"/>
              <w:rPr>
                <w:rFonts w:cs="Arial"/>
                <w:color w:val="000000" w:themeColor="text1"/>
                <w:sz w:val="20"/>
                <w:lang w:val="hr-HR"/>
              </w:rPr>
            </w:pPr>
            <w:bookmarkStart w:id="436" w:name="_Toc67327008"/>
            <w:r w:rsidRPr="0046584E">
              <w:rPr>
                <w:rFonts w:cs="Arial"/>
                <w:color w:val="000000" w:themeColor="text1"/>
                <w:sz w:val="20"/>
                <w:lang w:val="hr-HR"/>
              </w:rPr>
              <w:t>(70.845)</w:t>
            </w:r>
            <w:bookmarkEnd w:id="436"/>
          </w:p>
        </w:tc>
      </w:tr>
      <w:tr w:rsidR="005D22E7" w:rsidRPr="005617DE" w14:paraId="4EC66018" w14:textId="77777777" w:rsidTr="00E032FC">
        <w:tc>
          <w:tcPr>
            <w:tcW w:w="2567" w:type="pct"/>
          </w:tcPr>
          <w:p w14:paraId="6FBC2DE9" w14:textId="77777777" w:rsidR="005D22E7" w:rsidRPr="004B4498" w:rsidRDefault="005D22E7" w:rsidP="00E032FC">
            <w:pPr>
              <w:pStyle w:val="TT"/>
              <w:rPr>
                <w:rFonts w:cs="Arial"/>
                <w:bCs/>
                <w:color w:val="000000" w:themeColor="text1"/>
                <w:spacing w:val="-2"/>
                <w:sz w:val="20"/>
                <w:lang w:val="hr-HR"/>
              </w:rPr>
            </w:pPr>
            <w:bookmarkStart w:id="437" w:name="_Toc67327010"/>
            <w:r w:rsidRPr="004B4498">
              <w:rPr>
                <w:rFonts w:cs="Arial"/>
                <w:bCs/>
                <w:color w:val="000000" w:themeColor="text1"/>
                <w:spacing w:val="-2"/>
                <w:sz w:val="20"/>
                <w:lang w:val="hr-HR"/>
              </w:rPr>
              <w:t>Gubitak od umanjenja vrijednosti i rezerviranja</w:t>
            </w:r>
            <w:bookmarkEnd w:id="437"/>
          </w:p>
        </w:tc>
        <w:tc>
          <w:tcPr>
            <w:tcW w:w="544" w:type="pct"/>
            <w:vAlign w:val="bottom"/>
          </w:tcPr>
          <w:p w14:paraId="213A45DF" w14:textId="77777777" w:rsidR="005D22E7" w:rsidRPr="00A873BB" w:rsidRDefault="005D22E7" w:rsidP="00E032FC">
            <w:pPr>
              <w:pStyle w:val="TT"/>
              <w:jc w:val="center"/>
              <w:rPr>
                <w:rFonts w:cs="Arial"/>
                <w:bCs/>
                <w:color w:val="000000" w:themeColor="text1"/>
                <w:spacing w:val="-2"/>
                <w:sz w:val="20"/>
                <w:lang w:val="hr-HR"/>
              </w:rPr>
            </w:pPr>
            <w:bookmarkStart w:id="438" w:name="_Toc67327011"/>
            <w:r w:rsidRPr="00A873BB">
              <w:rPr>
                <w:rFonts w:cs="Arial"/>
                <w:bCs/>
                <w:color w:val="000000" w:themeColor="text1"/>
                <w:spacing w:val="-2"/>
                <w:sz w:val="20"/>
                <w:lang w:val="hr-HR"/>
              </w:rPr>
              <w:t>10</w:t>
            </w:r>
            <w:bookmarkEnd w:id="438"/>
          </w:p>
        </w:tc>
        <w:tc>
          <w:tcPr>
            <w:tcW w:w="884" w:type="pct"/>
            <w:tcBorders>
              <w:top w:val="nil"/>
              <w:left w:val="nil"/>
              <w:bottom w:val="nil"/>
              <w:right w:val="nil"/>
            </w:tcBorders>
            <w:shd w:val="clear" w:color="auto" w:fill="auto"/>
            <w:vAlign w:val="bottom"/>
          </w:tcPr>
          <w:p w14:paraId="53974A29" w14:textId="77777777" w:rsidR="005D22E7" w:rsidRPr="004B4498" w:rsidRDefault="005D22E7" w:rsidP="00E032FC">
            <w:pPr>
              <w:pStyle w:val="TT"/>
              <w:tabs>
                <w:tab w:val="clear" w:pos="1202"/>
              </w:tabs>
              <w:jc w:val="right"/>
              <w:rPr>
                <w:rFonts w:cs="Arial"/>
                <w:color w:val="000000" w:themeColor="text1"/>
                <w:sz w:val="20"/>
                <w:lang w:val="hr-HR"/>
              </w:rPr>
            </w:pPr>
            <w:r w:rsidRPr="00C507E7">
              <w:rPr>
                <w:rFonts w:cs="Arial"/>
                <w:color w:val="000000" w:themeColor="text1"/>
                <w:sz w:val="20"/>
                <w:lang w:val="hr-HR"/>
              </w:rPr>
              <w:t>(144.434)</w:t>
            </w:r>
          </w:p>
        </w:tc>
        <w:tc>
          <w:tcPr>
            <w:tcW w:w="1005" w:type="pct"/>
            <w:tcBorders>
              <w:top w:val="nil"/>
              <w:left w:val="nil"/>
              <w:bottom w:val="nil"/>
              <w:right w:val="nil"/>
            </w:tcBorders>
            <w:shd w:val="clear" w:color="auto" w:fill="auto"/>
            <w:vAlign w:val="bottom"/>
          </w:tcPr>
          <w:p w14:paraId="6E04F20A" w14:textId="77777777" w:rsidR="005D22E7" w:rsidRPr="004B4498" w:rsidRDefault="005D22E7" w:rsidP="00E032FC">
            <w:pPr>
              <w:pStyle w:val="TT"/>
              <w:tabs>
                <w:tab w:val="clear" w:pos="1202"/>
              </w:tabs>
              <w:jc w:val="right"/>
              <w:rPr>
                <w:rFonts w:cs="Arial"/>
                <w:bCs/>
                <w:color w:val="000000" w:themeColor="text1"/>
                <w:spacing w:val="-2"/>
                <w:sz w:val="20"/>
                <w:lang w:val="hr-HR"/>
              </w:rPr>
            </w:pPr>
            <w:bookmarkStart w:id="439" w:name="_Toc67327012"/>
            <w:r w:rsidRPr="0046584E">
              <w:rPr>
                <w:rFonts w:cs="Arial"/>
                <w:color w:val="000000" w:themeColor="text1"/>
                <w:sz w:val="20"/>
                <w:lang w:val="hr-HR"/>
              </w:rPr>
              <w:t>(163.004)</w:t>
            </w:r>
            <w:bookmarkEnd w:id="439"/>
          </w:p>
        </w:tc>
      </w:tr>
      <w:tr w:rsidR="005D22E7" w:rsidRPr="005617DE" w14:paraId="08EBF5A8" w14:textId="77777777" w:rsidTr="00E032FC">
        <w:tc>
          <w:tcPr>
            <w:tcW w:w="2567" w:type="pct"/>
          </w:tcPr>
          <w:p w14:paraId="2B61594E" w14:textId="77777777" w:rsidR="005D22E7" w:rsidRPr="004B4498" w:rsidRDefault="005D22E7" w:rsidP="00E032FC">
            <w:pPr>
              <w:pStyle w:val="Tot"/>
              <w:rPr>
                <w:rFonts w:cs="Arial"/>
                <w:b/>
                <w:bCs/>
                <w:color w:val="000000" w:themeColor="text1"/>
                <w:sz w:val="20"/>
                <w:lang w:val="hr-HR"/>
              </w:rPr>
            </w:pPr>
            <w:bookmarkStart w:id="440" w:name="_Toc67327014"/>
            <w:r w:rsidRPr="004B4498">
              <w:rPr>
                <w:rFonts w:cs="Arial"/>
                <w:b/>
                <w:bCs/>
                <w:color w:val="000000" w:themeColor="text1"/>
                <w:sz w:val="20"/>
                <w:lang w:val="hr-HR"/>
              </w:rPr>
              <w:t>Dobit prije oporezivanja</w:t>
            </w:r>
            <w:bookmarkEnd w:id="440"/>
          </w:p>
        </w:tc>
        <w:tc>
          <w:tcPr>
            <w:tcW w:w="544" w:type="pct"/>
            <w:vAlign w:val="bottom"/>
          </w:tcPr>
          <w:p w14:paraId="50ABBDFB" w14:textId="77777777" w:rsidR="005D22E7" w:rsidRPr="00A873BB" w:rsidRDefault="005D22E7" w:rsidP="00E032FC">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67A42C4F" w14:textId="77777777" w:rsidR="005D22E7" w:rsidRPr="004B4498" w:rsidRDefault="005D22E7" w:rsidP="00E032FC">
            <w:pPr>
              <w:pStyle w:val="Tot"/>
              <w:jc w:val="right"/>
              <w:rPr>
                <w:rFonts w:cs="Arial"/>
                <w:b/>
                <w:bCs/>
                <w:color w:val="000000" w:themeColor="text1"/>
                <w:sz w:val="20"/>
                <w:lang w:val="hr-HR"/>
              </w:rPr>
            </w:pPr>
            <w:r w:rsidRPr="00C507E7">
              <w:rPr>
                <w:rFonts w:cs="Arial"/>
                <w:b/>
                <w:bCs/>
                <w:color w:val="000000" w:themeColor="text1"/>
                <w:sz w:val="20"/>
                <w:lang w:val="hr-HR"/>
              </w:rPr>
              <w:t>186.173</w:t>
            </w:r>
          </w:p>
        </w:tc>
        <w:tc>
          <w:tcPr>
            <w:tcW w:w="1005" w:type="pct"/>
            <w:tcBorders>
              <w:top w:val="single" w:sz="4" w:space="0" w:color="auto"/>
              <w:bottom w:val="single" w:sz="12" w:space="0" w:color="auto"/>
            </w:tcBorders>
          </w:tcPr>
          <w:p w14:paraId="2044C2A5" w14:textId="77777777" w:rsidR="005D22E7" w:rsidRPr="004B4498" w:rsidRDefault="005D22E7" w:rsidP="00E032FC">
            <w:pPr>
              <w:pStyle w:val="Tot"/>
              <w:jc w:val="right"/>
              <w:rPr>
                <w:rFonts w:cs="Arial"/>
                <w:b/>
                <w:bCs/>
                <w:color w:val="000000" w:themeColor="text1"/>
                <w:sz w:val="20"/>
                <w:lang w:val="hr-HR"/>
              </w:rPr>
            </w:pPr>
            <w:bookmarkStart w:id="441" w:name="_Toc67327015"/>
            <w:r w:rsidRPr="0046584E">
              <w:rPr>
                <w:rFonts w:cs="Arial"/>
                <w:b/>
                <w:bCs/>
                <w:color w:val="000000" w:themeColor="text1"/>
                <w:sz w:val="20"/>
                <w:lang w:val="hr-HR"/>
              </w:rPr>
              <w:t>187.082</w:t>
            </w:r>
            <w:bookmarkEnd w:id="441"/>
          </w:p>
        </w:tc>
      </w:tr>
      <w:tr w:rsidR="005D22E7" w:rsidRPr="005617DE" w14:paraId="0F536F4A" w14:textId="77777777" w:rsidTr="00E032FC">
        <w:tc>
          <w:tcPr>
            <w:tcW w:w="2567" w:type="pct"/>
          </w:tcPr>
          <w:p w14:paraId="5F3BECF8" w14:textId="77777777" w:rsidR="005D22E7" w:rsidRPr="004B4498" w:rsidRDefault="005D22E7" w:rsidP="00E032FC">
            <w:pPr>
              <w:pStyle w:val="Tot"/>
              <w:rPr>
                <w:rFonts w:cs="Arial"/>
                <w:b/>
                <w:bCs/>
                <w:color w:val="000000" w:themeColor="text1"/>
                <w:sz w:val="20"/>
                <w:lang w:val="hr-HR"/>
              </w:rPr>
            </w:pPr>
          </w:p>
        </w:tc>
        <w:tc>
          <w:tcPr>
            <w:tcW w:w="544" w:type="pct"/>
            <w:vAlign w:val="bottom"/>
          </w:tcPr>
          <w:p w14:paraId="18FED61D" w14:textId="77777777" w:rsidR="005D22E7" w:rsidRPr="00A873BB" w:rsidRDefault="005D22E7" w:rsidP="00E032FC">
            <w:pPr>
              <w:pStyle w:val="Tot"/>
              <w:jc w:val="center"/>
              <w:rPr>
                <w:rFonts w:cs="Arial"/>
                <w:b/>
                <w:bCs/>
                <w:color w:val="000000" w:themeColor="text1"/>
                <w:sz w:val="20"/>
                <w:lang w:val="hr-HR"/>
              </w:rPr>
            </w:pPr>
          </w:p>
        </w:tc>
        <w:tc>
          <w:tcPr>
            <w:tcW w:w="884" w:type="pct"/>
            <w:tcBorders>
              <w:top w:val="single" w:sz="12" w:space="0" w:color="auto"/>
            </w:tcBorders>
          </w:tcPr>
          <w:p w14:paraId="0368DF38" w14:textId="77777777" w:rsidR="005D22E7" w:rsidRPr="004B4498" w:rsidRDefault="005D22E7" w:rsidP="00E032FC">
            <w:pPr>
              <w:pStyle w:val="Tot"/>
              <w:jc w:val="right"/>
              <w:rPr>
                <w:rFonts w:cs="Arial"/>
                <w:b/>
                <w:bCs/>
                <w:color w:val="000000" w:themeColor="text1"/>
                <w:sz w:val="20"/>
                <w:lang w:val="hr-HR"/>
              </w:rPr>
            </w:pPr>
          </w:p>
        </w:tc>
        <w:tc>
          <w:tcPr>
            <w:tcW w:w="1005" w:type="pct"/>
            <w:tcBorders>
              <w:top w:val="single" w:sz="12" w:space="0" w:color="auto"/>
            </w:tcBorders>
          </w:tcPr>
          <w:p w14:paraId="69482229" w14:textId="77777777" w:rsidR="005D22E7" w:rsidRPr="004B4498" w:rsidRDefault="005D22E7" w:rsidP="00E032FC">
            <w:pPr>
              <w:pStyle w:val="Tot"/>
              <w:jc w:val="right"/>
              <w:rPr>
                <w:rFonts w:cs="Arial"/>
                <w:b/>
                <w:bCs/>
                <w:color w:val="000000" w:themeColor="text1"/>
                <w:sz w:val="20"/>
                <w:lang w:val="hr-HR"/>
              </w:rPr>
            </w:pPr>
          </w:p>
        </w:tc>
      </w:tr>
      <w:tr w:rsidR="005D22E7" w:rsidRPr="005617DE" w14:paraId="6EB6B5C2" w14:textId="77777777" w:rsidTr="00E032FC">
        <w:tc>
          <w:tcPr>
            <w:tcW w:w="2567" w:type="pct"/>
          </w:tcPr>
          <w:p w14:paraId="0EE12F0C" w14:textId="77777777" w:rsidR="005D22E7" w:rsidRPr="004B4498" w:rsidRDefault="005D22E7" w:rsidP="00E032FC">
            <w:pPr>
              <w:pStyle w:val="Tot"/>
              <w:rPr>
                <w:rFonts w:cs="Arial"/>
                <w:color w:val="000000" w:themeColor="text1"/>
                <w:sz w:val="20"/>
                <w:lang w:val="hr-HR"/>
              </w:rPr>
            </w:pPr>
            <w:bookmarkStart w:id="442" w:name="_Toc67327017"/>
            <w:r w:rsidRPr="004B4498">
              <w:rPr>
                <w:rFonts w:cs="Arial"/>
                <w:color w:val="000000" w:themeColor="text1"/>
                <w:sz w:val="20"/>
                <w:lang w:val="hr-HR"/>
              </w:rPr>
              <w:t>Porez na dobit</w:t>
            </w:r>
            <w:bookmarkEnd w:id="442"/>
          </w:p>
        </w:tc>
        <w:tc>
          <w:tcPr>
            <w:tcW w:w="544" w:type="pct"/>
            <w:vAlign w:val="bottom"/>
          </w:tcPr>
          <w:p w14:paraId="6FD68592" w14:textId="77777777" w:rsidR="005D22E7" w:rsidRPr="00A873BB" w:rsidRDefault="005D22E7" w:rsidP="00E032FC">
            <w:pPr>
              <w:pStyle w:val="Tot"/>
              <w:jc w:val="center"/>
              <w:rPr>
                <w:rFonts w:cs="Arial"/>
                <w:color w:val="000000" w:themeColor="text1"/>
                <w:sz w:val="20"/>
                <w:lang w:val="hr-HR"/>
              </w:rPr>
            </w:pPr>
            <w:bookmarkStart w:id="443" w:name="_Toc67327018"/>
            <w:r w:rsidRPr="00A873BB">
              <w:rPr>
                <w:rFonts w:cs="Arial"/>
                <w:color w:val="000000" w:themeColor="text1"/>
                <w:sz w:val="20"/>
                <w:lang w:val="hr-HR"/>
              </w:rPr>
              <w:t>11</w:t>
            </w:r>
            <w:bookmarkEnd w:id="443"/>
          </w:p>
        </w:tc>
        <w:tc>
          <w:tcPr>
            <w:tcW w:w="884" w:type="pct"/>
            <w:tcBorders>
              <w:bottom w:val="single" w:sz="4" w:space="0" w:color="auto"/>
            </w:tcBorders>
          </w:tcPr>
          <w:p w14:paraId="13CF244F" w14:textId="77777777" w:rsidR="005D22E7" w:rsidRPr="004B4498" w:rsidRDefault="005D22E7" w:rsidP="00E032FC">
            <w:pPr>
              <w:pStyle w:val="Tot"/>
              <w:jc w:val="right"/>
              <w:rPr>
                <w:rFonts w:cs="Arial"/>
                <w:color w:val="000000" w:themeColor="text1"/>
                <w:sz w:val="20"/>
                <w:lang w:val="hr-HR"/>
              </w:rPr>
            </w:pPr>
            <w:r>
              <w:rPr>
                <w:rFonts w:cs="Arial"/>
                <w:color w:val="000000" w:themeColor="text1"/>
                <w:sz w:val="20"/>
                <w:lang w:val="hr-HR"/>
              </w:rPr>
              <w:t>-</w:t>
            </w:r>
          </w:p>
        </w:tc>
        <w:tc>
          <w:tcPr>
            <w:tcW w:w="1005" w:type="pct"/>
            <w:tcBorders>
              <w:bottom w:val="single" w:sz="4" w:space="0" w:color="auto"/>
            </w:tcBorders>
          </w:tcPr>
          <w:p w14:paraId="0CB09E54" w14:textId="77777777" w:rsidR="005D22E7" w:rsidRPr="004B4498" w:rsidRDefault="005D22E7" w:rsidP="00E032FC">
            <w:pPr>
              <w:pStyle w:val="Tot"/>
              <w:jc w:val="right"/>
              <w:rPr>
                <w:rFonts w:cs="Arial"/>
                <w:color w:val="000000" w:themeColor="text1"/>
                <w:sz w:val="20"/>
                <w:lang w:val="hr-HR"/>
              </w:rPr>
            </w:pPr>
            <w:bookmarkStart w:id="444" w:name="_Toc67327020"/>
            <w:r w:rsidRPr="0046584E">
              <w:rPr>
                <w:rFonts w:cs="Arial"/>
                <w:color w:val="000000" w:themeColor="text1"/>
                <w:sz w:val="20"/>
                <w:lang w:val="hr-HR"/>
              </w:rPr>
              <w:t>-</w:t>
            </w:r>
            <w:bookmarkEnd w:id="444"/>
          </w:p>
        </w:tc>
      </w:tr>
      <w:tr w:rsidR="005D22E7" w:rsidRPr="005617DE" w14:paraId="5AB4450B" w14:textId="77777777" w:rsidTr="00E032FC">
        <w:tc>
          <w:tcPr>
            <w:tcW w:w="2567" w:type="pct"/>
          </w:tcPr>
          <w:p w14:paraId="7267CAFC" w14:textId="77777777" w:rsidR="005D22E7" w:rsidRPr="004B4498" w:rsidRDefault="005D22E7" w:rsidP="00E032FC">
            <w:pPr>
              <w:pStyle w:val="Tot"/>
              <w:rPr>
                <w:rFonts w:cs="Arial"/>
                <w:b/>
                <w:bCs/>
                <w:color w:val="000000" w:themeColor="text1"/>
                <w:sz w:val="20"/>
                <w:lang w:val="hr-HR"/>
              </w:rPr>
            </w:pPr>
            <w:bookmarkStart w:id="445" w:name="_Toc67327021"/>
            <w:r w:rsidRPr="004B4498">
              <w:rPr>
                <w:rFonts w:cs="Arial"/>
                <w:b/>
                <w:bCs/>
                <w:color w:val="000000" w:themeColor="text1"/>
                <w:sz w:val="20"/>
                <w:lang w:val="hr-HR"/>
              </w:rPr>
              <w:t>Dobit tekuće godine</w:t>
            </w:r>
            <w:bookmarkEnd w:id="445"/>
          </w:p>
        </w:tc>
        <w:tc>
          <w:tcPr>
            <w:tcW w:w="544" w:type="pct"/>
            <w:vAlign w:val="bottom"/>
          </w:tcPr>
          <w:p w14:paraId="12E31AF6" w14:textId="77777777" w:rsidR="005D22E7" w:rsidRPr="004B4498" w:rsidRDefault="005D22E7" w:rsidP="00E032FC">
            <w:pPr>
              <w:pStyle w:val="Tot"/>
              <w:jc w:val="center"/>
              <w:rPr>
                <w:rFonts w:cs="Arial"/>
                <w:b/>
                <w:bCs/>
                <w:color w:val="000000" w:themeColor="text1"/>
                <w:sz w:val="20"/>
                <w:lang w:val="hr-HR"/>
              </w:rPr>
            </w:pPr>
          </w:p>
        </w:tc>
        <w:tc>
          <w:tcPr>
            <w:tcW w:w="884" w:type="pct"/>
            <w:tcBorders>
              <w:top w:val="single" w:sz="4" w:space="0" w:color="auto"/>
              <w:bottom w:val="single" w:sz="12" w:space="0" w:color="auto"/>
            </w:tcBorders>
          </w:tcPr>
          <w:p w14:paraId="2D8E1B1F" w14:textId="77777777" w:rsidR="005D22E7" w:rsidRPr="004B4498" w:rsidRDefault="005D22E7" w:rsidP="00E032FC">
            <w:pPr>
              <w:pStyle w:val="Tot"/>
              <w:jc w:val="right"/>
              <w:rPr>
                <w:rFonts w:cs="Arial"/>
                <w:b/>
                <w:bCs/>
                <w:color w:val="000000" w:themeColor="text1"/>
                <w:sz w:val="20"/>
                <w:lang w:val="hr-HR"/>
              </w:rPr>
            </w:pPr>
            <w:r w:rsidRPr="00C507E7">
              <w:rPr>
                <w:rFonts w:cs="Arial"/>
                <w:b/>
                <w:bCs/>
                <w:color w:val="000000" w:themeColor="text1"/>
                <w:sz w:val="20"/>
                <w:lang w:val="hr-HR"/>
              </w:rPr>
              <w:t>186.173</w:t>
            </w:r>
          </w:p>
        </w:tc>
        <w:tc>
          <w:tcPr>
            <w:tcW w:w="1005" w:type="pct"/>
            <w:tcBorders>
              <w:top w:val="single" w:sz="4" w:space="0" w:color="auto"/>
              <w:bottom w:val="single" w:sz="12" w:space="0" w:color="auto"/>
            </w:tcBorders>
          </w:tcPr>
          <w:p w14:paraId="3FB3403D" w14:textId="77777777" w:rsidR="005D22E7" w:rsidRPr="004B4498" w:rsidRDefault="005D22E7" w:rsidP="00E032FC">
            <w:pPr>
              <w:pStyle w:val="Tot"/>
              <w:jc w:val="right"/>
              <w:rPr>
                <w:rFonts w:cs="Arial"/>
                <w:b/>
                <w:bCs/>
                <w:color w:val="000000" w:themeColor="text1"/>
                <w:sz w:val="20"/>
                <w:lang w:val="hr-HR"/>
              </w:rPr>
            </w:pPr>
            <w:bookmarkStart w:id="446" w:name="_Toc67327022"/>
            <w:r w:rsidRPr="0046584E">
              <w:rPr>
                <w:rFonts w:cs="Arial"/>
                <w:b/>
                <w:bCs/>
                <w:color w:val="000000" w:themeColor="text1"/>
                <w:sz w:val="20"/>
                <w:lang w:val="hr-HR"/>
              </w:rPr>
              <w:t>187.082</w:t>
            </w:r>
            <w:bookmarkEnd w:id="446"/>
          </w:p>
        </w:tc>
      </w:tr>
      <w:tr w:rsidR="005D22E7" w:rsidRPr="005617DE" w14:paraId="6D4DEC35" w14:textId="77777777" w:rsidTr="00E032FC">
        <w:trPr>
          <w:trHeight w:val="70"/>
        </w:trPr>
        <w:tc>
          <w:tcPr>
            <w:tcW w:w="2567" w:type="pct"/>
          </w:tcPr>
          <w:p w14:paraId="50C98B84" w14:textId="77777777" w:rsidR="005D22E7" w:rsidRPr="004B4498" w:rsidRDefault="005D22E7" w:rsidP="00E032FC">
            <w:pPr>
              <w:pStyle w:val="Thick"/>
              <w:spacing w:line="240" w:lineRule="exact"/>
              <w:rPr>
                <w:rFonts w:cs="Arial"/>
                <w:color w:val="000000" w:themeColor="text1"/>
                <w:sz w:val="20"/>
                <w:lang w:val="hr-HR"/>
              </w:rPr>
            </w:pPr>
          </w:p>
        </w:tc>
        <w:tc>
          <w:tcPr>
            <w:tcW w:w="544" w:type="pct"/>
            <w:vAlign w:val="bottom"/>
          </w:tcPr>
          <w:p w14:paraId="5EFA1C98" w14:textId="77777777" w:rsidR="005D22E7" w:rsidRPr="004B4498" w:rsidRDefault="005D22E7" w:rsidP="00E032FC">
            <w:pPr>
              <w:pStyle w:val="Thick"/>
              <w:spacing w:line="240" w:lineRule="exact"/>
              <w:jc w:val="center"/>
              <w:rPr>
                <w:rFonts w:cs="Arial"/>
                <w:color w:val="000000" w:themeColor="text1"/>
                <w:sz w:val="20"/>
                <w:lang w:val="hr-HR"/>
              </w:rPr>
            </w:pPr>
          </w:p>
        </w:tc>
        <w:tc>
          <w:tcPr>
            <w:tcW w:w="884" w:type="pct"/>
            <w:tcBorders>
              <w:top w:val="single" w:sz="12" w:space="0" w:color="auto"/>
            </w:tcBorders>
          </w:tcPr>
          <w:p w14:paraId="3C27E4A9" w14:textId="77777777" w:rsidR="005D22E7" w:rsidRPr="004B4498" w:rsidRDefault="005D22E7" w:rsidP="00E032FC">
            <w:pPr>
              <w:pStyle w:val="Thick"/>
              <w:tabs>
                <w:tab w:val="clear" w:pos="1202"/>
              </w:tabs>
              <w:spacing w:line="240" w:lineRule="exact"/>
              <w:jc w:val="right"/>
              <w:rPr>
                <w:rFonts w:cs="Arial"/>
                <w:color w:val="000000" w:themeColor="text1"/>
                <w:sz w:val="20"/>
                <w:lang w:val="hr-HR"/>
              </w:rPr>
            </w:pPr>
          </w:p>
        </w:tc>
        <w:tc>
          <w:tcPr>
            <w:tcW w:w="1005" w:type="pct"/>
            <w:tcBorders>
              <w:top w:val="single" w:sz="12" w:space="0" w:color="auto"/>
            </w:tcBorders>
          </w:tcPr>
          <w:p w14:paraId="617C0162" w14:textId="77777777" w:rsidR="005D22E7" w:rsidRPr="004B4498" w:rsidRDefault="005D22E7" w:rsidP="00E032FC">
            <w:pPr>
              <w:pStyle w:val="Thick"/>
              <w:tabs>
                <w:tab w:val="clear" w:pos="1202"/>
              </w:tabs>
              <w:spacing w:line="240" w:lineRule="exact"/>
              <w:jc w:val="right"/>
              <w:rPr>
                <w:rFonts w:cs="Arial"/>
                <w:color w:val="000000" w:themeColor="text1"/>
                <w:sz w:val="20"/>
                <w:lang w:val="hr-HR"/>
              </w:rPr>
            </w:pPr>
          </w:p>
        </w:tc>
      </w:tr>
      <w:tr w:rsidR="005D22E7" w:rsidRPr="005617DE" w14:paraId="5F97775B" w14:textId="77777777" w:rsidTr="00E032FC">
        <w:trPr>
          <w:trHeight w:val="70"/>
        </w:trPr>
        <w:tc>
          <w:tcPr>
            <w:tcW w:w="2567" w:type="pct"/>
          </w:tcPr>
          <w:p w14:paraId="616BA4C3" w14:textId="77777777" w:rsidR="005D22E7" w:rsidRPr="004B4498" w:rsidRDefault="005D22E7" w:rsidP="00E032FC">
            <w:pPr>
              <w:pStyle w:val="Thick"/>
              <w:spacing w:line="240" w:lineRule="exact"/>
              <w:rPr>
                <w:rFonts w:cs="Arial"/>
                <w:color w:val="000000" w:themeColor="text1"/>
                <w:sz w:val="20"/>
                <w:lang w:val="hr-HR"/>
              </w:rPr>
            </w:pPr>
          </w:p>
        </w:tc>
        <w:tc>
          <w:tcPr>
            <w:tcW w:w="544" w:type="pct"/>
            <w:vAlign w:val="bottom"/>
          </w:tcPr>
          <w:p w14:paraId="799CC240" w14:textId="77777777" w:rsidR="005D22E7" w:rsidRPr="004B4498" w:rsidRDefault="005D22E7" w:rsidP="00E032FC">
            <w:pPr>
              <w:pStyle w:val="Thick"/>
              <w:spacing w:line="240" w:lineRule="exact"/>
              <w:jc w:val="center"/>
              <w:rPr>
                <w:rFonts w:cs="Arial"/>
                <w:color w:val="000000" w:themeColor="text1"/>
                <w:sz w:val="20"/>
                <w:lang w:val="hr-HR"/>
              </w:rPr>
            </w:pPr>
          </w:p>
        </w:tc>
        <w:tc>
          <w:tcPr>
            <w:tcW w:w="884" w:type="pct"/>
          </w:tcPr>
          <w:p w14:paraId="0DD5034B" w14:textId="77777777" w:rsidR="005D22E7" w:rsidRPr="004B4498" w:rsidRDefault="005D22E7" w:rsidP="00E032FC">
            <w:pPr>
              <w:pStyle w:val="Thick"/>
              <w:tabs>
                <w:tab w:val="clear" w:pos="1202"/>
              </w:tabs>
              <w:spacing w:line="240" w:lineRule="exact"/>
              <w:jc w:val="right"/>
              <w:rPr>
                <w:rFonts w:cs="Arial"/>
                <w:color w:val="000000" w:themeColor="text1"/>
                <w:sz w:val="20"/>
                <w:lang w:val="hr-HR"/>
              </w:rPr>
            </w:pPr>
          </w:p>
        </w:tc>
        <w:tc>
          <w:tcPr>
            <w:tcW w:w="1005" w:type="pct"/>
          </w:tcPr>
          <w:p w14:paraId="3FEC1968" w14:textId="77777777" w:rsidR="005D22E7" w:rsidRPr="004B4498" w:rsidRDefault="005D22E7" w:rsidP="00E032FC">
            <w:pPr>
              <w:pStyle w:val="Thick"/>
              <w:tabs>
                <w:tab w:val="clear" w:pos="1202"/>
              </w:tabs>
              <w:spacing w:line="240" w:lineRule="exact"/>
              <w:jc w:val="right"/>
              <w:rPr>
                <w:rFonts w:cs="Arial"/>
                <w:color w:val="000000" w:themeColor="text1"/>
                <w:sz w:val="20"/>
                <w:lang w:val="hr-HR"/>
              </w:rPr>
            </w:pPr>
          </w:p>
        </w:tc>
      </w:tr>
      <w:tr w:rsidR="005D22E7" w:rsidRPr="005617DE" w14:paraId="16643DC4" w14:textId="77777777" w:rsidTr="00E032FC">
        <w:trPr>
          <w:trHeight w:val="70"/>
        </w:trPr>
        <w:tc>
          <w:tcPr>
            <w:tcW w:w="2567" w:type="pct"/>
            <w:vAlign w:val="bottom"/>
          </w:tcPr>
          <w:p w14:paraId="50CAD053" w14:textId="77777777" w:rsidR="005D22E7" w:rsidRPr="004B4498" w:rsidRDefault="005D22E7" w:rsidP="00E032FC">
            <w:pPr>
              <w:pStyle w:val="Thick"/>
              <w:spacing w:line="301" w:lineRule="exact"/>
              <w:rPr>
                <w:rFonts w:cs="Arial"/>
                <w:color w:val="000000" w:themeColor="text1"/>
                <w:sz w:val="20"/>
                <w:u w:val="none"/>
                <w:lang w:val="hr-HR"/>
              </w:rPr>
            </w:pPr>
            <w:r w:rsidRPr="004B4498">
              <w:rPr>
                <w:rFonts w:cs="Arial"/>
                <w:color w:val="000000" w:themeColor="text1"/>
                <w:sz w:val="20"/>
                <w:u w:val="none"/>
                <w:lang w:val="hr-HR"/>
              </w:rPr>
              <w:t>Dobit za raspodjelu:</w:t>
            </w:r>
          </w:p>
        </w:tc>
        <w:tc>
          <w:tcPr>
            <w:tcW w:w="544" w:type="pct"/>
            <w:vAlign w:val="bottom"/>
          </w:tcPr>
          <w:p w14:paraId="0FA6DA12" w14:textId="77777777" w:rsidR="005D22E7" w:rsidRPr="004B4498" w:rsidRDefault="005D22E7" w:rsidP="00E032FC">
            <w:pPr>
              <w:pStyle w:val="Thick"/>
              <w:spacing w:line="301" w:lineRule="exact"/>
              <w:jc w:val="center"/>
              <w:rPr>
                <w:rFonts w:cs="Arial"/>
                <w:color w:val="000000" w:themeColor="text1"/>
                <w:sz w:val="20"/>
                <w:lang w:val="hr-HR"/>
              </w:rPr>
            </w:pPr>
          </w:p>
        </w:tc>
        <w:tc>
          <w:tcPr>
            <w:tcW w:w="884" w:type="pct"/>
          </w:tcPr>
          <w:p w14:paraId="0F0896D2" w14:textId="77777777" w:rsidR="005D22E7" w:rsidRPr="004B4498" w:rsidRDefault="005D22E7" w:rsidP="00E032FC">
            <w:pPr>
              <w:pStyle w:val="Thick"/>
              <w:tabs>
                <w:tab w:val="clear" w:pos="1202"/>
              </w:tabs>
              <w:spacing w:line="301" w:lineRule="exact"/>
              <w:jc w:val="right"/>
              <w:rPr>
                <w:rFonts w:cs="Arial"/>
                <w:color w:val="000000" w:themeColor="text1"/>
                <w:sz w:val="20"/>
                <w:lang w:val="hr-HR"/>
              </w:rPr>
            </w:pPr>
          </w:p>
        </w:tc>
        <w:tc>
          <w:tcPr>
            <w:tcW w:w="1005" w:type="pct"/>
          </w:tcPr>
          <w:p w14:paraId="578EA531" w14:textId="77777777" w:rsidR="005D22E7" w:rsidRPr="004B4498" w:rsidRDefault="005D22E7" w:rsidP="00E032FC">
            <w:pPr>
              <w:pStyle w:val="Thick"/>
              <w:tabs>
                <w:tab w:val="clear" w:pos="1202"/>
              </w:tabs>
              <w:spacing w:line="301" w:lineRule="exact"/>
              <w:jc w:val="right"/>
              <w:rPr>
                <w:rFonts w:cs="Arial"/>
                <w:color w:val="000000" w:themeColor="text1"/>
                <w:sz w:val="20"/>
                <w:lang w:val="hr-HR"/>
              </w:rPr>
            </w:pPr>
          </w:p>
        </w:tc>
      </w:tr>
      <w:tr w:rsidR="005D22E7" w:rsidRPr="005617DE" w14:paraId="319312F7" w14:textId="77777777" w:rsidTr="00E032FC">
        <w:trPr>
          <w:trHeight w:val="70"/>
        </w:trPr>
        <w:tc>
          <w:tcPr>
            <w:tcW w:w="2567" w:type="pct"/>
            <w:vAlign w:val="bottom"/>
          </w:tcPr>
          <w:p w14:paraId="1EA25070" w14:textId="77777777" w:rsidR="005D22E7" w:rsidRPr="004B4498" w:rsidRDefault="005D22E7" w:rsidP="00E032FC">
            <w:pPr>
              <w:pStyle w:val="Thick"/>
              <w:spacing w:line="301" w:lineRule="exact"/>
              <w:rPr>
                <w:rFonts w:cs="Arial"/>
                <w:color w:val="000000" w:themeColor="text1"/>
                <w:sz w:val="20"/>
                <w:u w:val="none"/>
                <w:lang w:val="hr-HR"/>
              </w:rPr>
            </w:pPr>
            <w:r w:rsidRPr="004B4498">
              <w:rPr>
                <w:rFonts w:cs="Arial"/>
                <w:color w:val="000000" w:themeColor="text1"/>
                <w:sz w:val="20"/>
                <w:u w:val="none"/>
                <w:lang w:val="hr-HR"/>
              </w:rPr>
              <w:t>Vlasniku društva</w:t>
            </w:r>
          </w:p>
        </w:tc>
        <w:tc>
          <w:tcPr>
            <w:tcW w:w="544" w:type="pct"/>
            <w:vAlign w:val="bottom"/>
          </w:tcPr>
          <w:p w14:paraId="53F4900F" w14:textId="77777777" w:rsidR="005D22E7" w:rsidRPr="004B4498" w:rsidRDefault="005D22E7" w:rsidP="00E032FC">
            <w:pPr>
              <w:pStyle w:val="Thick"/>
              <w:spacing w:line="301" w:lineRule="exact"/>
              <w:jc w:val="center"/>
              <w:rPr>
                <w:rFonts w:cs="Arial"/>
                <w:color w:val="000000" w:themeColor="text1"/>
                <w:sz w:val="20"/>
                <w:lang w:val="hr-HR"/>
              </w:rPr>
            </w:pPr>
          </w:p>
        </w:tc>
        <w:tc>
          <w:tcPr>
            <w:tcW w:w="884" w:type="pct"/>
            <w:tcBorders>
              <w:bottom w:val="single" w:sz="12" w:space="0" w:color="auto"/>
            </w:tcBorders>
            <w:vAlign w:val="bottom"/>
          </w:tcPr>
          <w:p w14:paraId="68477234" w14:textId="77777777" w:rsidR="005D22E7" w:rsidRPr="004B4498" w:rsidRDefault="005D22E7" w:rsidP="00E032FC">
            <w:pPr>
              <w:pStyle w:val="Thick"/>
              <w:tabs>
                <w:tab w:val="clear" w:pos="1202"/>
              </w:tabs>
              <w:spacing w:line="301" w:lineRule="exact"/>
              <w:jc w:val="right"/>
              <w:rPr>
                <w:rFonts w:cs="Arial"/>
                <w:color w:val="000000" w:themeColor="text1"/>
                <w:sz w:val="20"/>
                <w:u w:val="none"/>
                <w:lang w:val="hr-HR"/>
              </w:rPr>
            </w:pPr>
            <w:r w:rsidRPr="00C507E7">
              <w:rPr>
                <w:rFonts w:cs="Arial"/>
                <w:color w:val="000000" w:themeColor="text1"/>
                <w:sz w:val="20"/>
                <w:u w:val="none"/>
                <w:lang w:val="hr-HR"/>
              </w:rPr>
              <w:t>186.173</w:t>
            </w:r>
          </w:p>
        </w:tc>
        <w:tc>
          <w:tcPr>
            <w:tcW w:w="1005" w:type="pct"/>
            <w:tcBorders>
              <w:bottom w:val="single" w:sz="12" w:space="0" w:color="auto"/>
            </w:tcBorders>
            <w:vAlign w:val="bottom"/>
          </w:tcPr>
          <w:p w14:paraId="17F51E2B" w14:textId="77777777" w:rsidR="005D22E7" w:rsidRPr="004B4498" w:rsidRDefault="005D22E7" w:rsidP="00E032FC">
            <w:pPr>
              <w:pStyle w:val="Thick"/>
              <w:tabs>
                <w:tab w:val="clear" w:pos="1202"/>
              </w:tabs>
              <w:spacing w:line="301" w:lineRule="exact"/>
              <w:jc w:val="right"/>
              <w:rPr>
                <w:rFonts w:cs="Arial"/>
                <w:color w:val="000000" w:themeColor="text1"/>
                <w:sz w:val="20"/>
                <w:u w:val="none"/>
                <w:lang w:val="hr-HR"/>
              </w:rPr>
            </w:pPr>
            <w:r w:rsidRPr="0046584E">
              <w:rPr>
                <w:rFonts w:cs="Arial"/>
                <w:color w:val="000000" w:themeColor="text1"/>
                <w:sz w:val="20"/>
                <w:u w:val="none"/>
                <w:lang w:val="hr-HR"/>
              </w:rPr>
              <w:t>187.082</w:t>
            </w:r>
          </w:p>
        </w:tc>
      </w:tr>
    </w:tbl>
    <w:p w14:paraId="724B622C" w14:textId="77777777" w:rsidR="005D22E7" w:rsidRPr="00B91D09" w:rsidRDefault="005D22E7" w:rsidP="005D22E7">
      <w:pPr>
        <w:rPr>
          <w:lang w:val="hr-HR"/>
        </w:rPr>
      </w:pPr>
    </w:p>
    <w:p w14:paraId="51022706" w14:textId="77777777" w:rsidR="005D22E7" w:rsidRPr="00B91D09" w:rsidRDefault="005D22E7" w:rsidP="005D22E7">
      <w:pPr>
        <w:rPr>
          <w:lang w:val="hr-HR"/>
        </w:rPr>
      </w:pPr>
    </w:p>
    <w:p w14:paraId="5A9FE087" w14:textId="77777777" w:rsidR="005D22E7" w:rsidRPr="00B91D09" w:rsidRDefault="005D22E7" w:rsidP="005D22E7">
      <w:pPr>
        <w:rPr>
          <w:lang w:val="hr-HR"/>
        </w:rPr>
      </w:pPr>
    </w:p>
    <w:p w14:paraId="42758298" w14:textId="77777777" w:rsidR="005D22E7" w:rsidRPr="00B91D09" w:rsidRDefault="005D22E7" w:rsidP="005D22E7">
      <w:pPr>
        <w:rPr>
          <w:lang w:val="hr-HR"/>
        </w:rPr>
      </w:pPr>
    </w:p>
    <w:p w14:paraId="0E160B6B" w14:textId="77777777" w:rsidR="005D22E7" w:rsidRPr="00B91D09" w:rsidRDefault="005D22E7" w:rsidP="005D22E7">
      <w:pPr>
        <w:rPr>
          <w:lang w:val="hr-HR"/>
        </w:rPr>
      </w:pPr>
    </w:p>
    <w:p w14:paraId="074DA92B" w14:textId="7A401D00" w:rsidR="005D22E7" w:rsidRPr="005D22E7" w:rsidRDefault="005D22E7" w:rsidP="005D22E7">
      <w:pPr>
        <w:rPr>
          <w:rFonts w:ascii="Arial" w:hAnsi="Arial" w:cs="Arial"/>
          <w:sz w:val="20"/>
          <w:szCs w:val="20"/>
          <w:lang w:val="hr-HR"/>
        </w:rPr>
      </w:pPr>
      <w:r w:rsidRPr="005D22E7">
        <w:rPr>
          <w:rFonts w:ascii="Arial" w:hAnsi="Arial" w:cs="Arial"/>
          <w:sz w:val="20"/>
          <w:szCs w:val="20"/>
          <w:lang w:val="hr-HR"/>
        </w:rPr>
        <w:t>Priložene računovodstvene politike i bilješke sastavni su dio ovih financijskih izvještaja.</w:t>
      </w:r>
    </w:p>
    <w:p w14:paraId="310DDAF8" w14:textId="77777777" w:rsidR="00D042BF" w:rsidRDefault="00D042BF" w:rsidP="005D22E7">
      <w:pPr>
        <w:rPr>
          <w:rFonts w:ascii="Arial" w:hAnsi="Arial" w:cs="Arial"/>
          <w:b/>
          <w:bCs/>
          <w:sz w:val="20"/>
          <w:szCs w:val="20"/>
          <w:lang w:val="hr-HR"/>
        </w:rPr>
        <w:sectPr w:rsidR="00D042BF" w:rsidSect="001856C5">
          <w:headerReference w:type="default" r:id="rId68"/>
          <w:footerReference w:type="default" r:id="rId69"/>
          <w:pgSz w:w="11906" w:h="16838"/>
          <w:pgMar w:top="1440" w:right="1440" w:bottom="1440" w:left="1440" w:header="708" w:footer="708" w:gutter="0"/>
          <w:cols w:space="708"/>
          <w:docGrid w:linePitch="360"/>
        </w:sectPr>
      </w:pPr>
    </w:p>
    <w:p w14:paraId="79457FE6" w14:textId="77777777" w:rsidR="00D042BF" w:rsidRPr="00B91D09" w:rsidRDefault="00D042BF" w:rsidP="00D042BF">
      <w:pPr>
        <w:pStyle w:val="T1"/>
        <w:spacing w:before="0" w:after="0" w:line="240" w:lineRule="auto"/>
        <w:rPr>
          <w:rFonts w:cs="Arial"/>
          <w:b w:val="0"/>
          <w:bCs w:val="0"/>
          <w:color w:val="000000" w:themeColor="text1"/>
          <w:sz w:val="22"/>
          <w:szCs w:val="22"/>
          <w:lang w:val="hr-HR"/>
        </w:rPr>
      </w:pPr>
    </w:p>
    <w:p w14:paraId="7A4890A3" w14:textId="77777777" w:rsidR="00D042BF" w:rsidRPr="00B91D09" w:rsidRDefault="00D042BF" w:rsidP="00D042BF">
      <w:pPr>
        <w:pStyle w:val="T1"/>
        <w:spacing w:before="0" w:after="0" w:line="240" w:lineRule="auto"/>
        <w:rPr>
          <w:rFonts w:cs="Arial"/>
          <w:b w:val="0"/>
          <w:bCs w:val="0"/>
          <w:color w:val="000000" w:themeColor="text1"/>
          <w:sz w:val="22"/>
          <w:szCs w:val="22"/>
          <w:lang w:val="hr-HR"/>
        </w:rPr>
      </w:pPr>
    </w:p>
    <w:tbl>
      <w:tblPr>
        <w:tblW w:w="4853" w:type="pct"/>
        <w:tblLayout w:type="fixed"/>
        <w:tblCellMar>
          <w:left w:w="119" w:type="dxa"/>
          <w:right w:w="119" w:type="dxa"/>
        </w:tblCellMar>
        <w:tblLook w:val="0000" w:firstRow="0" w:lastRow="0" w:firstColumn="0" w:lastColumn="0" w:noHBand="0" w:noVBand="0"/>
      </w:tblPr>
      <w:tblGrid>
        <w:gridCol w:w="6169"/>
        <w:gridCol w:w="1397"/>
        <w:gridCol w:w="1195"/>
      </w:tblGrid>
      <w:tr w:rsidR="00D042BF" w:rsidRPr="00B91D09" w14:paraId="04938C29" w14:textId="77777777" w:rsidTr="00E032FC">
        <w:trPr>
          <w:trHeight w:val="341"/>
        </w:trPr>
        <w:tc>
          <w:tcPr>
            <w:tcW w:w="3521" w:type="pct"/>
            <w:vAlign w:val="center"/>
          </w:tcPr>
          <w:p w14:paraId="4CE1C79B" w14:textId="77777777" w:rsidR="00D042BF" w:rsidRPr="00B91D09" w:rsidRDefault="00D042BF" w:rsidP="00E032FC">
            <w:pPr>
              <w:pStyle w:val="TT"/>
              <w:jc w:val="center"/>
              <w:rPr>
                <w:rFonts w:cs="Arial"/>
                <w:b/>
                <w:bCs/>
                <w:color w:val="000000" w:themeColor="text1"/>
                <w:sz w:val="20"/>
                <w:lang w:val="hr-HR"/>
              </w:rPr>
            </w:pPr>
          </w:p>
        </w:tc>
        <w:tc>
          <w:tcPr>
            <w:tcW w:w="797" w:type="pct"/>
            <w:vAlign w:val="bottom"/>
          </w:tcPr>
          <w:p w14:paraId="0CB37208" w14:textId="77777777" w:rsidR="00D042BF" w:rsidRPr="00B91D09" w:rsidRDefault="00D042BF" w:rsidP="00E032FC">
            <w:pPr>
              <w:pStyle w:val="TT"/>
              <w:tabs>
                <w:tab w:val="clear" w:pos="1202"/>
              </w:tabs>
              <w:jc w:val="right"/>
              <w:rPr>
                <w:rFonts w:cs="Arial"/>
                <w:b/>
                <w:bCs/>
                <w:color w:val="000000" w:themeColor="text1"/>
                <w:sz w:val="20"/>
                <w:lang w:val="hr-HR"/>
              </w:rPr>
            </w:pPr>
            <w:r w:rsidRPr="00B91D09">
              <w:rPr>
                <w:rFonts w:cs="Arial"/>
                <w:b/>
                <w:bCs/>
                <w:color w:val="000000" w:themeColor="text1"/>
                <w:sz w:val="20"/>
                <w:lang w:val="hr-HR"/>
              </w:rPr>
              <w:t>202</w:t>
            </w:r>
            <w:r>
              <w:rPr>
                <w:rFonts w:cs="Arial"/>
                <w:b/>
                <w:bCs/>
                <w:color w:val="000000" w:themeColor="text1"/>
                <w:sz w:val="20"/>
                <w:lang w:val="hr-HR"/>
              </w:rPr>
              <w:t>2</w:t>
            </w:r>
            <w:r w:rsidRPr="00B91D09">
              <w:rPr>
                <w:rFonts w:cs="Arial"/>
                <w:b/>
                <w:bCs/>
                <w:color w:val="000000" w:themeColor="text1"/>
                <w:sz w:val="20"/>
                <w:lang w:val="hr-HR"/>
              </w:rPr>
              <w:t>.</w:t>
            </w:r>
          </w:p>
        </w:tc>
        <w:tc>
          <w:tcPr>
            <w:tcW w:w="682" w:type="pct"/>
            <w:vAlign w:val="bottom"/>
          </w:tcPr>
          <w:p w14:paraId="5B2A65E3" w14:textId="77777777" w:rsidR="00D042BF" w:rsidRPr="00B91D09" w:rsidRDefault="00D042BF" w:rsidP="00E032FC">
            <w:pPr>
              <w:pStyle w:val="TT"/>
              <w:tabs>
                <w:tab w:val="clear" w:pos="1202"/>
              </w:tabs>
              <w:jc w:val="right"/>
              <w:rPr>
                <w:rFonts w:cs="Arial"/>
                <w:b/>
                <w:bCs/>
                <w:color w:val="000000" w:themeColor="text1"/>
                <w:sz w:val="20"/>
                <w:lang w:val="hr-HR"/>
              </w:rPr>
            </w:pPr>
            <w:bookmarkStart w:id="447" w:name="_Toc67327024"/>
            <w:r w:rsidRPr="00B91D09">
              <w:rPr>
                <w:rFonts w:cs="Arial"/>
                <w:b/>
                <w:bCs/>
                <w:color w:val="000000" w:themeColor="text1"/>
                <w:sz w:val="20"/>
                <w:lang w:val="hr-HR"/>
              </w:rPr>
              <w:t>202</w:t>
            </w:r>
            <w:r>
              <w:rPr>
                <w:rFonts w:cs="Arial"/>
                <w:b/>
                <w:bCs/>
                <w:color w:val="000000" w:themeColor="text1"/>
                <w:sz w:val="20"/>
                <w:lang w:val="hr-HR"/>
              </w:rPr>
              <w:t>1</w:t>
            </w:r>
            <w:r w:rsidRPr="00B91D09">
              <w:rPr>
                <w:rFonts w:cs="Arial"/>
                <w:b/>
                <w:bCs/>
                <w:color w:val="000000" w:themeColor="text1"/>
                <w:sz w:val="20"/>
                <w:lang w:val="hr-HR"/>
              </w:rPr>
              <w:t>.</w:t>
            </w:r>
            <w:bookmarkEnd w:id="447"/>
          </w:p>
        </w:tc>
      </w:tr>
      <w:tr w:rsidR="00D042BF" w:rsidRPr="00B91D09" w14:paraId="05D159E2" w14:textId="77777777" w:rsidTr="00E032FC">
        <w:trPr>
          <w:trHeight w:val="338"/>
        </w:trPr>
        <w:tc>
          <w:tcPr>
            <w:tcW w:w="3521" w:type="pct"/>
            <w:vAlign w:val="center"/>
          </w:tcPr>
          <w:p w14:paraId="2B74BA71" w14:textId="77777777" w:rsidR="00D042BF" w:rsidRPr="00B91D09" w:rsidRDefault="00D042BF" w:rsidP="00E032FC">
            <w:pPr>
              <w:pStyle w:val="TT"/>
              <w:jc w:val="center"/>
              <w:rPr>
                <w:rFonts w:cs="Arial"/>
                <w:b/>
                <w:bCs/>
                <w:color w:val="000000" w:themeColor="text1"/>
                <w:sz w:val="20"/>
                <w:lang w:val="hr-HR"/>
              </w:rPr>
            </w:pPr>
          </w:p>
        </w:tc>
        <w:tc>
          <w:tcPr>
            <w:tcW w:w="797" w:type="pct"/>
          </w:tcPr>
          <w:p w14:paraId="382147B5" w14:textId="77777777" w:rsidR="00D042BF" w:rsidRPr="00B91D09" w:rsidRDefault="00D042BF" w:rsidP="00E032FC">
            <w:pPr>
              <w:pStyle w:val="TT"/>
              <w:tabs>
                <w:tab w:val="clear" w:pos="1202"/>
              </w:tabs>
              <w:jc w:val="right"/>
              <w:rPr>
                <w:rFonts w:cs="Arial"/>
                <w:b/>
                <w:bCs/>
                <w:color w:val="000000" w:themeColor="text1"/>
                <w:sz w:val="20"/>
                <w:lang w:val="hr-HR"/>
              </w:rPr>
            </w:pPr>
            <w:bookmarkStart w:id="448" w:name="_Toc67327026"/>
            <w:r w:rsidRPr="00B91D09">
              <w:rPr>
                <w:rFonts w:cs="Arial"/>
                <w:b/>
                <w:bCs/>
                <w:color w:val="000000" w:themeColor="text1"/>
                <w:sz w:val="20"/>
                <w:lang w:val="hr-HR"/>
              </w:rPr>
              <w:t>000 kuna</w:t>
            </w:r>
            <w:bookmarkEnd w:id="448"/>
          </w:p>
        </w:tc>
        <w:tc>
          <w:tcPr>
            <w:tcW w:w="682" w:type="pct"/>
          </w:tcPr>
          <w:p w14:paraId="6FC8CF9B" w14:textId="77777777" w:rsidR="00D042BF" w:rsidRPr="00B91D09" w:rsidRDefault="00D042BF" w:rsidP="00E032FC">
            <w:pPr>
              <w:pStyle w:val="TT"/>
              <w:tabs>
                <w:tab w:val="clear" w:pos="1202"/>
              </w:tabs>
              <w:jc w:val="right"/>
              <w:rPr>
                <w:rFonts w:cs="Arial"/>
                <w:b/>
                <w:bCs/>
                <w:color w:val="000000" w:themeColor="text1"/>
                <w:sz w:val="20"/>
                <w:lang w:val="hr-HR"/>
              </w:rPr>
            </w:pPr>
            <w:bookmarkStart w:id="449" w:name="_Toc67327027"/>
            <w:r w:rsidRPr="00B91D09">
              <w:rPr>
                <w:rFonts w:cs="Arial"/>
                <w:b/>
                <w:bCs/>
                <w:color w:val="000000" w:themeColor="text1"/>
                <w:sz w:val="20"/>
                <w:lang w:val="hr-HR"/>
              </w:rPr>
              <w:t>000 kuna</w:t>
            </w:r>
            <w:bookmarkEnd w:id="449"/>
          </w:p>
        </w:tc>
      </w:tr>
      <w:tr w:rsidR="00D042BF" w:rsidRPr="00B91D09" w14:paraId="17EE5140" w14:textId="77777777" w:rsidTr="00E032FC">
        <w:trPr>
          <w:trHeight w:hRule="exact" w:val="284"/>
        </w:trPr>
        <w:tc>
          <w:tcPr>
            <w:tcW w:w="3521" w:type="pct"/>
            <w:vAlign w:val="center"/>
          </w:tcPr>
          <w:p w14:paraId="4B71EE38" w14:textId="77777777" w:rsidR="00D042BF" w:rsidRPr="00B91D09" w:rsidRDefault="00D042BF" w:rsidP="00E032FC">
            <w:pPr>
              <w:pStyle w:val="TT"/>
              <w:jc w:val="center"/>
              <w:rPr>
                <w:rFonts w:cs="Arial"/>
                <w:b/>
                <w:bCs/>
                <w:color w:val="000000" w:themeColor="text1"/>
                <w:sz w:val="20"/>
                <w:lang w:val="hr-HR"/>
              </w:rPr>
            </w:pPr>
          </w:p>
        </w:tc>
        <w:tc>
          <w:tcPr>
            <w:tcW w:w="797" w:type="pct"/>
          </w:tcPr>
          <w:p w14:paraId="6CCCC03E" w14:textId="77777777" w:rsidR="00D042BF" w:rsidRPr="00B91D09" w:rsidRDefault="00D042BF" w:rsidP="00E032FC">
            <w:pPr>
              <w:pStyle w:val="TT"/>
              <w:tabs>
                <w:tab w:val="clear" w:pos="1202"/>
              </w:tabs>
              <w:jc w:val="right"/>
              <w:rPr>
                <w:rFonts w:cs="Arial"/>
                <w:b/>
                <w:bCs/>
                <w:color w:val="000000" w:themeColor="text1"/>
                <w:sz w:val="20"/>
                <w:lang w:val="hr-HR"/>
              </w:rPr>
            </w:pPr>
          </w:p>
        </w:tc>
        <w:tc>
          <w:tcPr>
            <w:tcW w:w="682" w:type="pct"/>
          </w:tcPr>
          <w:p w14:paraId="05F80BEE" w14:textId="77777777" w:rsidR="00D042BF" w:rsidRPr="00B91D09" w:rsidRDefault="00D042BF" w:rsidP="00E032FC">
            <w:pPr>
              <w:pStyle w:val="TT"/>
              <w:tabs>
                <w:tab w:val="clear" w:pos="1202"/>
              </w:tabs>
              <w:jc w:val="right"/>
              <w:rPr>
                <w:rFonts w:cs="Arial"/>
                <w:b/>
                <w:bCs/>
                <w:color w:val="000000" w:themeColor="text1"/>
                <w:sz w:val="20"/>
                <w:lang w:val="hr-HR"/>
              </w:rPr>
            </w:pPr>
          </w:p>
        </w:tc>
      </w:tr>
      <w:tr w:rsidR="00D042BF" w:rsidRPr="00B91D09" w14:paraId="1D4F8113" w14:textId="77777777" w:rsidTr="00E032FC">
        <w:trPr>
          <w:trHeight w:val="335"/>
        </w:trPr>
        <w:tc>
          <w:tcPr>
            <w:tcW w:w="3521" w:type="pct"/>
            <w:vAlign w:val="center"/>
          </w:tcPr>
          <w:p w14:paraId="2CAFC909" w14:textId="77777777" w:rsidR="00D042BF" w:rsidRPr="00B91D09" w:rsidRDefault="00D042BF" w:rsidP="00E032FC">
            <w:pPr>
              <w:pStyle w:val="Tot"/>
              <w:spacing w:line="240" w:lineRule="exact"/>
              <w:rPr>
                <w:rFonts w:cs="Arial"/>
                <w:b/>
                <w:bCs/>
                <w:color w:val="000000" w:themeColor="text1"/>
                <w:sz w:val="20"/>
                <w:lang w:val="hr-HR"/>
              </w:rPr>
            </w:pPr>
            <w:bookmarkStart w:id="450" w:name="_Toc67327028"/>
            <w:r w:rsidRPr="00B91D09">
              <w:rPr>
                <w:rFonts w:cs="Arial"/>
                <w:b/>
                <w:bCs/>
                <w:color w:val="000000" w:themeColor="text1"/>
                <w:sz w:val="20"/>
                <w:lang w:val="hr-HR"/>
              </w:rPr>
              <w:t>Dobit tekuće godine</w:t>
            </w:r>
            <w:bookmarkEnd w:id="450"/>
          </w:p>
        </w:tc>
        <w:tc>
          <w:tcPr>
            <w:tcW w:w="797" w:type="pct"/>
            <w:tcBorders>
              <w:bottom w:val="single" w:sz="12" w:space="0" w:color="auto"/>
            </w:tcBorders>
            <w:vAlign w:val="center"/>
          </w:tcPr>
          <w:p w14:paraId="6EC02E5E" w14:textId="77777777" w:rsidR="00D042BF" w:rsidRPr="00B91D09" w:rsidRDefault="00D042BF" w:rsidP="00E032FC">
            <w:pPr>
              <w:pStyle w:val="Tot"/>
              <w:jc w:val="right"/>
              <w:rPr>
                <w:rFonts w:cs="Arial"/>
                <w:b/>
                <w:bCs/>
                <w:color w:val="000000" w:themeColor="text1"/>
                <w:sz w:val="20"/>
                <w:lang w:val="hr-HR"/>
              </w:rPr>
            </w:pPr>
            <w:r w:rsidRPr="00C507E7">
              <w:rPr>
                <w:rFonts w:cs="Arial"/>
                <w:b/>
                <w:bCs/>
                <w:color w:val="000000" w:themeColor="text1"/>
                <w:sz w:val="20"/>
                <w:lang w:val="hr-HR"/>
              </w:rPr>
              <w:t>186.173</w:t>
            </w:r>
          </w:p>
        </w:tc>
        <w:tc>
          <w:tcPr>
            <w:tcW w:w="682" w:type="pct"/>
            <w:tcBorders>
              <w:bottom w:val="single" w:sz="12" w:space="0" w:color="auto"/>
            </w:tcBorders>
            <w:vAlign w:val="center"/>
          </w:tcPr>
          <w:p w14:paraId="5DBFACA8" w14:textId="77777777" w:rsidR="00D042BF" w:rsidRPr="00B91D09" w:rsidRDefault="00D042BF" w:rsidP="00E032FC">
            <w:pPr>
              <w:pStyle w:val="Tot"/>
              <w:jc w:val="right"/>
              <w:rPr>
                <w:rFonts w:cs="Arial"/>
                <w:b/>
                <w:bCs/>
                <w:color w:val="000000" w:themeColor="text1"/>
                <w:sz w:val="20"/>
                <w:lang w:val="hr-HR"/>
              </w:rPr>
            </w:pPr>
            <w:bookmarkStart w:id="451" w:name="_Toc67327029"/>
            <w:r w:rsidRPr="00B91D09">
              <w:rPr>
                <w:rFonts w:cs="Arial"/>
                <w:b/>
                <w:bCs/>
                <w:color w:val="000000" w:themeColor="text1"/>
                <w:sz w:val="20"/>
                <w:lang w:val="hr-HR"/>
              </w:rPr>
              <w:t>187.082</w:t>
            </w:r>
            <w:bookmarkEnd w:id="451"/>
          </w:p>
        </w:tc>
      </w:tr>
      <w:tr w:rsidR="00D042BF" w:rsidRPr="00B91D09" w14:paraId="2031AEE7" w14:textId="77777777" w:rsidTr="00E032FC">
        <w:trPr>
          <w:trHeight w:hRule="exact" w:val="113"/>
        </w:trPr>
        <w:tc>
          <w:tcPr>
            <w:tcW w:w="3521" w:type="pct"/>
            <w:vAlign w:val="center"/>
          </w:tcPr>
          <w:p w14:paraId="0E1779CA" w14:textId="77777777" w:rsidR="00D042BF" w:rsidRPr="00B91D09" w:rsidRDefault="00D042BF" w:rsidP="00E032FC">
            <w:pPr>
              <w:pStyle w:val="Tot"/>
              <w:spacing w:line="240" w:lineRule="exact"/>
              <w:rPr>
                <w:rFonts w:cs="Arial"/>
                <w:b/>
                <w:bCs/>
                <w:color w:val="000000" w:themeColor="text1"/>
                <w:sz w:val="20"/>
                <w:lang w:val="hr-HR"/>
              </w:rPr>
            </w:pPr>
          </w:p>
        </w:tc>
        <w:tc>
          <w:tcPr>
            <w:tcW w:w="797" w:type="pct"/>
            <w:vAlign w:val="center"/>
          </w:tcPr>
          <w:p w14:paraId="35A80397" w14:textId="77777777" w:rsidR="00D042BF" w:rsidRPr="00B91D09" w:rsidRDefault="00D042BF" w:rsidP="00E032FC">
            <w:pPr>
              <w:pStyle w:val="Tot"/>
              <w:jc w:val="right"/>
              <w:rPr>
                <w:rFonts w:cs="Arial"/>
                <w:b/>
                <w:bCs/>
                <w:color w:val="000000" w:themeColor="text1"/>
                <w:sz w:val="20"/>
                <w:lang w:val="hr-HR"/>
              </w:rPr>
            </w:pPr>
          </w:p>
        </w:tc>
        <w:tc>
          <w:tcPr>
            <w:tcW w:w="682" w:type="pct"/>
            <w:vAlign w:val="center"/>
          </w:tcPr>
          <w:p w14:paraId="099E7D18" w14:textId="77777777" w:rsidR="00D042BF" w:rsidRPr="00B91D09" w:rsidRDefault="00D042BF" w:rsidP="00E032FC">
            <w:pPr>
              <w:pStyle w:val="Tot"/>
              <w:jc w:val="right"/>
              <w:rPr>
                <w:rFonts w:cs="Arial"/>
                <w:b/>
                <w:bCs/>
                <w:color w:val="000000" w:themeColor="text1"/>
                <w:sz w:val="20"/>
                <w:lang w:val="hr-HR"/>
              </w:rPr>
            </w:pPr>
          </w:p>
        </w:tc>
      </w:tr>
      <w:tr w:rsidR="00D042BF" w:rsidRPr="00B91D09" w14:paraId="2B49AF86" w14:textId="77777777" w:rsidTr="00E032FC">
        <w:trPr>
          <w:trHeight w:val="323"/>
        </w:trPr>
        <w:tc>
          <w:tcPr>
            <w:tcW w:w="3521" w:type="pct"/>
            <w:vAlign w:val="center"/>
          </w:tcPr>
          <w:p w14:paraId="2D0F9BB3" w14:textId="77777777" w:rsidR="00D042BF" w:rsidRPr="00B91D09" w:rsidRDefault="00D042BF" w:rsidP="00E032FC">
            <w:pPr>
              <w:tabs>
                <w:tab w:val="right" w:pos="1202"/>
              </w:tabs>
              <w:spacing w:line="240" w:lineRule="exact"/>
              <w:outlineLvl w:val="0"/>
              <w:rPr>
                <w:rFonts w:ascii="Arial" w:hAnsi="Arial" w:cs="Arial"/>
                <w:b/>
                <w:bCs/>
                <w:color w:val="000000" w:themeColor="text1"/>
                <w:sz w:val="20"/>
                <w:szCs w:val="20"/>
                <w:lang w:val="hr-HR"/>
              </w:rPr>
            </w:pPr>
            <w:bookmarkStart w:id="452" w:name="_Toc67327031"/>
            <w:r w:rsidRPr="00B91D09">
              <w:rPr>
                <w:rFonts w:ascii="Arial" w:hAnsi="Arial" w:cs="Arial"/>
                <w:b/>
                <w:bCs/>
                <w:color w:val="000000" w:themeColor="text1"/>
                <w:sz w:val="20"/>
                <w:szCs w:val="20"/>
                <w:lang w:val="hr-HR"/>
              </w:rPr>
              <w:t>Ostala sveobuhvatna dobit</w:t>
            </w:r>
            <w:bookmarkEnd w:id="452"/>
          </w:p>
        </w:tc>
        <w:tc>
          <w:tcPr>
            <w:tcW w:w="797" w:type="pct"/>
            <w:vAlign w:val="center"/>
          </w:tcPr>
          <w:p w14:paraId="4AD4FC51" w14:textId="77777777" w:rsidR="00D042BF" w:rsidRPr="00B91D09" w:rsidRDefault="00D042BF" w:rsidP="00E032FC">
            <w:pPr>
              <w:pStyle w:val="Tot"/>
              <w:jc w:val="right"/>
              <w:rPr>
                <w:rFonts w:cs="Arial"/>
                <w:b/>
                <w:bCs/>
                <w:color w:val="000000" w:themeColor="text1"/>
                <w:sz w:val="20"/>
                <w:lang w:val="hr-HR"/>
              </w:rPr>
            </w:pPr>
          </w:p>
        </w:tc>
        <w:tc>
          <w:tcPr>
            <w:tcW w:w="682" w:type="pct"/>
            <w:vAlign w:val="center"/>
          </w:tcPr>
          <w:p w14:paraId="67E0848B" w14:textId="77777777" w:rsidR="00D042BF" w:rsidRPr="00B91D09" w:rsidRDefault="00D042BF" w:rsidP="00E032FC">
            <w:pPr>
              <w:pStyle w:val="Tot"/>
              <w:jc w:val="right"/>
              <w:rPr>
                <w:rFonts w:cs="Arial"/>
                <w:b/>
                <w:bCs/>
                <w:color w:val="000000" w:themeColor="text1"/>
                <w:sz w:val="20"/>
                <w:lang w:val="hr-HR"/>
              </w:rPr>
            </w:pPr>
          </w:p>
        </w:tc>
      </w:tr>
      <w:tr w:rsidR="00D042BF" w:rsidRPr="006E538D" w14:paraId="2C1681DB" w14:textId="77777777" w:rsidTr="00E032FC">
        <w:trPr>
          <w:trHeight w:hRule="exact" w:val="369"/>
        </w:trPr>
        <w:tc>
          <w:tcPr>
            <w:tcW w:w="3521" w:type="pct"/>
            <w:vAlign w:val="bottom"/>
          </w:tcPr>
          <w:p w14:paraId="44DF7827" w14:textId="77777777" w:rsidR="00D042BF" w:rsidRPr="00B91D09" w:rsidRDefault="00D042BF" w:rsidP="00E032FC">
            <w:pPr>
              <w:tabs>
                <w:tab w:val="right" w:pos="1202"/>
              </w:tabs>
              <w:spacing w:line="240" w:lineRule="exact"/>
              <w:outlineLvl w:val="0"/>
              <w:rPr>
                <w:rFonts w:ascii="Arial" w:hAnsi="Arial" w:cs="Arial"/>
                <w:b/>
                <w:bCs/>
                <w:color w:val="000000" w:themeColor="text1"/>
                <w:sz w:val="20"/>
                <w:szCs w:val="20"/>
                <w:lang w:val="hr-HR"/>
              </w:rPr>
            </w:pPr>
            <w:bookmarkStart w:id="453" w:name="_Toc67327032"/>
            <w:r w:rsidRPr="00B91D09">
              <w:rPr>
                <w:rFonts w:ascii="Arial" w:hAnsi="Arial" w:cs="Arial"/>
                <w:b/>
                <w:bCs/>
                <w:color w:val="000000" w:themeColor="text1"/>
                <w:sz w:val="20"/>
                <w:szCs w:val="20"/>
                <w:lang w:val="hr-HR"/>
              </w:rPr>
              <w:t>Stavke koje se kasnije ne prenose u dobit ili gubitak:</w:t>
            </w:r>
            <w:bookmarkEnd w:id="453"/>
          </w:p>
        </w:tc>
        <w:tc>
          <w:tcPr>
            <w:tcW w:w="797" w:type="pct"/>
            <w:vAlign w:val="center"/>
          </w:tcPr>
          <w:p w14:paraId="4C114D27" w14:textId="77777777" w:rsidR="00D042BF" w:rsidRPr="00B91D09" w:rsidRDefault="00D042BF" w:rsidP="00E032FC">
            <w:pPr>
              <w:pStyle w:val="Tot"/>
              <w:jc w:val="right"/>
              <w:rPr>
                <w:rFonts w:cs="Arial"/>
                <w:b/>
                <w:bCs/>
                <w:color w:val="000000" w:themeColor="text1"/>
                <w:sz w:val="20"/>
                <w:lang w:val="hr-HR"/>
              </w:rPr>
            </w:pPr>
          </w:p>
        </w:tc>
        <w:tc>
          <w:tcPr>
            <w:tcW w:w="682" w:type="pct"/>
            <w:vAlign w:val="center"/>
          </w:tcPr>
          <w:p w14:paraId="4EC9BAF7" w14:textId="77777777" w:rsidR="00D042BF" w:rsidRPr="00B91D09" w:rsidRDefault="00D042BF" w:rsidP="00E032FC">
            <w:pPr>
              <w:pStyle w:val="Tot"/>
              <w:jc w:val="right"/>
              <w:rPr>
                <w:rFonts w:cs="Arial"/>
                <w:b/>
                <w:bCs/>
                <w:color w:val="000000" w:themeColor="text1"/>
                <w:sz w:val="20"/>
                <w:lang w:val="hr-HR"/>
              </w:rPr>
            </w:pPr>
          </w:p>
        </w:tc>
      </w:tr>
      <w:tr w:rsidR="00D042BF" w:rsidRPr="00B91D09" w14:paraId="621948CC" w14:textId="77777777" w:rsidTr="00E032FC">
        <w:trPr>
          <w:trHeight w:val="323"/>
        </w:trPr>
        <w:tc>
          <w:tcPr>
            <w:tcW w:w="3521" w:type="pct"/>
            <w:vAlign w:val="bottom"/>
          </w:tcPr>
          <w:p w14:paraId="76806627" w14:textId="77777777" w:rsidR="00D042BF" w:rsidRPr="00B91D09" w:rsidRDefault="00D042BF" w:rsidP="00E032FC">
            <w:pPr>
              <w:tabs>
                <w:tab w:val="right" w:pos="1202"/>
              </w:tabs>
              <w:spacing w:line="240" w:lineRule="exact"/>
              <w:outlineLvl w:val="0"/>
              <w:rPr>
                <w:rFonts w:ascii="Arial" w:hAnsi="Arial" w:cs="Arial"/>
                <w:bCs/>
                <w:color w:val="000000" w:themeColor="text1"/>
                <w:sz w:val="20"/>
                <w:szCs w:val="20"/>
                <w:lang w:val="hr-HR"/>
              </w:rPr>
            </w:pPr>
            <w:bookmarkStart w:id="454" w:name="_Toc67327033"/>
            <w:r w:rsidRPr="00B91D09">
              <w:rPr>
                <w:rFonts w:ascii="Arial" w:hAnsi="Arial" w:cs="Arial"/>
                <w:bCs/>
                <w:color w:val="000000" w:themeColor="text1"/>
                <w:sz w:val="20"/>
                <w:szCs w:val="20"/>
                <w:lang w:val="hr-HR"/>
              </w:rPr>
              <w:t>Nerealizirani aktuarski (gubitak)</w:t>
            </w:r>
            <w:bookmarkEnd w:id="454"/>
          </w:p>
        </w:tc>
        <w:tc>
          <w:tcPr>
            <w:tcW w:w="797" w:type="pct"/>
            <w:tcBorders>
              <w:bottom w:val="single" w:sz="4" w:space="0" w:color="auto"/>
            </w:tcBorders>
            <w:vAlign w:val="bottom"/>
          </w:tcPr>
          <w:p w14:paraId="36DBDDD4" w14:textId="77777777" w:rsidR="00D042BF" w:rsidRPr="00B91D09" w:rsidRDefault="00D042BF" w:rsidP="00E032FC">
            <w:pPr>
              <w:pStyle w:val="Tot"/>
              <w:jc w:val="right"/>
              <w:rPr>
                <w:rFonts w:cs="Arial"/>
                <w:bCs/>
                <w:color w:val="000000" w:themeColor="text1"/>
                <w:sz w:val="20"/>
                <w:lang w:val="hr-HR"/>
              </w:rPr>
            </w:pPr>
            <w:r w:rsidRPr="00C507E7">
              <w:rPr>
                <w:rFonts w:cs="Arial"/>
                <w:bCs/>
                <w:color w:val="000000" w:themeColor="text1"/>
                <w:sz w:val="20"/>
                <w:lang w:val="hr-HR"/>
              </w:rPr>
              <w:t>(759)</w:t>
            </w:r>
          </w:p>
        </w:tc>
        <w:tc>
          <w:tcPr>
            <w:tcW w:w="682" w:type="pct"/>
            <w:tcBorders>
              <w:bottom w:val="single" w:sz="4" w:space="0" w:color="auto"/>
            </w:tcBorders>
            <w:vAlign w:val="bottom"/>
          </w:tcPr>
          <w:p w14:paraId="2BD9EB01" w14:textId="77777777" w:rsidR="00D042BF" w:rsidRPr="00B91D09" w:rsidRDefault="00D042BF" w:rsidP="00E032FC">
            <w:pPr>
              <w:pStyle w:val="Tot"/>
              <w:jc w:val="right"/>
              <w:rPr>
                <w:rFonts w:cs="Arial"/>
                <w:bCs/>
                <w:color w:val="000000" w:themeColor="text1"/>
                <w:sz w:val="20"/>
                <w:lang w:val="hr-HR"/>
              </w:rPr>
            </w:pPr>
            <w:bookmarkStart w:id="455" w:name="_Toc67327034"/>
            <w:r w:rsidRPr="00B91D09">
              <w:rPr>
                <w:rFonts w:cs="Arial"/>
                <w:bCs/>
                <w:color w:val="000000" w:themeColor="text1"/>
                <w:sz w:val="20"/>
                <w:lang w:val="hr-HR"/>
              </w:rPr>
              <w:t>(831)</w:t>
            </w:r>
            <w:bookmarkEnd w:id="455"/>
          </w:p>
        </w:tc>
      </w:tr>
      <w:tr w:rsidR="00D042BF" w:rsidRPr="00B91D09" w14:paraId="0F032891" w14:textId="77777777" w:rsidTr="00E032FC">
        <w:trPr>
          <w:trHeight w:val="311"/>
        </w:trPr>
        <w:tc>
          <w:tcPr>
            <w:tcW w:w="3521" w:type="pct"/>
            <w:vAlign w:val="bottom"/>
          </w:tcPr>
          <w:p w14:paraId="7F0AA63A" w14:textId="77777777" w:rsidR="00D042BF" w:rsidRPr="00B91D09" w:rsidRDefault="00D042BF" w:rsidP="00E032FC">
            <w:pPr>
              <w:tabs>
                <w:tab w:val="right" w:pos="1202"/>
              </w:tabs>
              <w:spacing w:line="240" w:lineRule="exact"/>
              <w:outlineLvl w:val="0"/>
              <w:rPr>
                <w:rFonts w:ascii="Arial" w:hAnsi="Arial" w:cs="Arial"/>
                <w:b/>
                <w:bCs/>
                <w:color w:val="000000" w:themeColor="text1"/>
                <w:sz w:val="20"/>
                <w:szCs w:val="20"/>
                <w:lang w:val="hr-HR"/>
              </w:rPr>
            </w:pPr>
            <w:bookmarkStart w:id="456" w:name="_Toc67327036"/>
            <w:r w:rsidRPr="00B91D09">
              <w:rPr>
                <w:rFonts w:ascii="Arial" w:hAnsi="Arial" w:cs="Arial"/>
                <w:b/>
                <w:bCs/>
                <w:color w:val="000000" w:themeColor="text1"/>
                <w:sz w:val="20"/>
                <w:szCs w:val="20"/>
                <w:lang w:val="hr-HR"/>
              </w:rPr>
              <w:t>Ukupno stavke koje se kasnije ne prenose u dobit ili gubitak</w:t>
            </w:r>
            <w:bookmarkEnd w:id="456"/>
          </w:p>
        </w:tc>
        <w:tc>
          <w:tcPr>
            <w:tcW w:w="797" w:type="pct"/>
            <w:tcBorders>
              <w:top w:val="single" w:sz="4" w:space="0" w:color="auto"/>
              <w:bottom w:val="single" w:sz="12" w:space="0" w:color="auto"/>
            </w:tcBorders>
            <w:vAlign w:val="bottom"/>
          </w:tcPr>
          <w:p w14:paraId="56980365" w14:textId="77777777" w:rsidR="00D042BF" w:rsidRPr="00B91D09" w:rsidRDefault="00D042BF" w:rsidP="00E032FC">
            <w:pPr>
              <w:pStyle w:val="Tot"/>
              <w:jc w:val="right"/>
              <w:rPr>
                <w:rFonts w:cs="Arial"/>
                <w:b/>
                <w:bCs/>
                <w:color w:val="000000" w:themeColor="text1"/>
                <w:sz w:val="20"/>
                <w:lang w:val="hr-HR"/>
              </w:rPr>
            </w:pPr>
            <w:r w:rsidRPr="00C507E7">
              <w:rPr>
                <w:rFonts w:cs="Arial"/>
                <w:b/>
                <w:bCs/>
                <w:color w:val="000000" w:themeColor="text1"/>
                <w:sz w:val="20"/>
                <w:lang w:val="hr-HR"/>
              </w:rPr>
              <w:t>(759)</w:t>
            </w:r>
          </w:p>
        </w:tc>
        <w:tc>
          <w:tcPr>
            <w:tcW w:w="682" w:type="pct"/>
            <w:tcBorders>
              <w:top w:val="single" w:sz="4" w:space="0" w:color="auto"/>
              <w:bottom w:val="single" w:sz="12" w:space="0" w:color="auto"/>
            </w:tcBorders>
            <w:vAlign w:val="bottom"/>
          </w:tcPr>
          <w:p w14:paraId="20C70B24" w14:textId="77777777" w:rsidR="00D042BF" w:rsidRPr="00B91D09" w:rsidRDefault="00D042BF" w:rsidP="00E032FC">
            <w:pPr>
              <w:pStyle w:val="Tot"/>
              <w:tabs>
                <w:tab w:val="left" w:pos="263"/>
              </w:tabs>
              <w:jc w:val="right"/>
              <w:rPr>
                <w:rFonts w:cs="Arial"/>
                <w:b/>
                <w:bCs/>
                <w:color w:val="000000" w:themeColor="text1"/>
                <w:sz w:val="20"/>
                <w:lang w:val="hr-HR"/>
              </w:rPr>
            </w:pPr>
            <w:bookmarkStart w:id="457" w:name="_Toc67327037"/>
            <w:r w:rsidRPr="00B91D09">
              <w:rPr>
                <w:rFonts w:cs="Arial"/>
                <w:b/>
                <w:bCs/>
                <w:color w:val="000000" w:themeColor="text1"/>
                <w:sz w:val="20"/>
                <w:lang w:val="hr-HR"/>
              </w:rPr>
              <w:t>(831)</w:t>
            </w:r>
            <w:bookmarkEnd w:id="457"/>
          </w:p>
        </w:tc>
      </w:tr>
      <w:tr w:rsidR="00D042BF" w:rsidRPr="00B91D09" w14:paraId="09B3A465" w14:textId="77777777" w:rsidTr="00E032FC">
        <w:trPr>
          <w:trHeight w:hRule="exact" w:val="113"/>
        </w:trPr>
        <w:tc>
          <w:tcPr>
            <w:tcW w:w="3521" w:type="pct"/>
            <w:vAlign w:val="bottom"/>
          </w:tcPr>
          <w:p w14:paraId="0737F6E8" w14:textId="77777777" w:rsidR="00D042BF" w:rsidRPr="00B91D09" w:rsidRDefault="00D042BF" w:rsidP="00E032FC">
            <w:pPr>
              <w:tabs>
                <w:tab w:val="right" w:pos="1202"/>
              </w:tabs>
              <w:spacing w:line="240" w:lineRule="exact"/>
              <w:outlineLvl w:val="0"/>
              <w:rPr>
                <w:rFonts w:ascii="Arial" w:hAnsi="Arial" w:cs="Arial"/>
                <w:b/>
                <w:bCs/>
                <w:color w:val="000000" w:themeColor="text1"/>
                <w:sz w:val="20"/>
                <w:szCs w:val="20"/>
                <w:lang w:val="hr-HR"/>
              </w:rPr>
            </w:pPr>
          </w:p>
        </w:tc>
        <w:tc>
          <w:tcPr>
            <w:tcW w:w="797" w:type="pct"/>
            <w:tcBorders>
              <w:top w:val="single" w:sz="4" w:space="0" w:color="auto"/>
            </w:tcBorders>
            <w:vAlign w:val="bottom"/>
          </w:tcPr>
          <w:p w14:paraId="0907C68D" w14:textId="77777777" w:rsidR="00D042BF" w:rsidRPr="00B91D09" w:rsidRDefault="00D042BF" w:rsidP="00E032FC">
            <w:pPr>
              <w:pStyle w:val="Tot"/>
              <w:jc w:val="right"/>
              <w:rPr>
                <w:rFonts w:cs="Arial"/>
                <w:b/>
                <w:bCs/>
                <w:color w:val="000000" w:themeColor="text1"/>
                <w:sz w:val="20"/>
                <w:lang w:val="hr-HR"/>
              </w:rPr>
            </w:pPr>
          </w:p>
        </w:tc>
        <w:tc>
          <w:tcPr>
            <w:tcW w:w="682" w:type="pct"/>
            <w:tcBorders>
              <w:top w:val="single" w:sz="4" w:space="0" w:color="auto"/>
            </w:tcBorders>
            <w:vAlign w:val="bottom"/>
          </w:tcPr>
          <w:p w14:paraId="0A58BF68" w14:textId="77777777" w:rsidR="00D042BF" w:rsidRPr="00B91D09" w:rsidRDefault="00D042BF" w:rsidP="00E032FC">
            <w:pPr>
              <w:pStyle w:val="Tot"/>
              <w:tabs>
                <w:tab w:val="left" w:pos="263"/>
              </w:tabs>
              <w:jc w:val="right"/>
              <w:rPr>
                <w:rFonts w:cs="Arial"/>
                <w:b/>
                <w:bCs/>
                <w:color w:val="000000" w:themeColor="text1"/>
                <w:sz w:val="20"/>
                <w:lang w:val="hr-HR"/>
              </w:rPr>
            </w:pPr>
          </w:p>
        </w:tc>
      </w:tr>
      <w:tr w:rsidR="00D042BF" w:rsidRPr="00B91D09" w14:paraId="779A28D5" w14:textId="77777777" w:rsidTr="00E032FC">
        <w:trPr>
          <w:trHeight w:hRule="exact" w:val="371"/>
        </w:trPr>
        <w:tc>
          <w:tcPr>
            <w:tcW w:w="3521" w:type="pct"/>
            <w:vAlign w:val="bottom"/>
          </w:tcPr>
          <w:p w14:paraId="4BB65F3A" w14:textId="77777777" w:rsidR="00D042BF" w:rsidRPr="00B91D09" w:rsidRDefault="00D042BF" w:rsidP="00E032FC">
            <w:pPr>
              <w:pStyle w:val="Tot"/>
              <w:spacing w:line="240" w:lineRule="exact"/>
              <w:rPr>
                <w:rFonts w:cs="Arial"/>
                <w:b/>
                <w:bCs/>
                <w:color w:val="000000" w:themeColor="text1"/>
                <w:sz w:val="20"/>
                <w:lang w:val="hr-HR"/>
              </w:rPr>
            </w:pPr>
            <w:bookmarkStart w:id="458" w:name="_Toc67327039"/>
            <w:r w:rsidRPr="00B91D09">
              <w:rPr>
                <w:rFonts w:cs="Arial"/>
                <w:b/>
                <w:bCs/>
                <w:color w:val="000000" w:themeColor="text1"/>
                <w:sz w:val="20"/>
                <w:lang w:val="hr-HR"/>
              </w:rPr>
              <w:t>Stavke koje se kasnije mogu uračunati u dobit ili gubitak:</w:t>
            </w:r>
            <w:bookmarkEnd w:id="458"/>
          </w:p>
        </w:tc>
        <w:tc>
          <w:tcPr>
            <w:tcW w:w="797" w:type="pct"/>
            <w:vAlign w:val="center"/>
          </w:tcPr>
          <w:p w14:paraId="2E70182D" w14:textId="77777777" w:rsidR="00D042BF" w:rsidRPr="00B91D09" w:rsidRDefault="00D042BF" w:rsidP="00E032FC">
            <w:pPr>
              <w:pStyle w:val="Tot"/>
              <w:jc w:val="right"/>
              <w:rPr>
                <w:rFonts w:cs="Arial"/>
                <w:b/>
                <w:bCs/>
                <w:color w:val="000000" w:themeColor="text1"/>
                <w:sz w:val="20"/>
                <w:lang w:val="hr-HR"/>
              </w:rPr>
            </w:pPr>
          </w:p>
        </w:tc>
        <w:tc>
          <w:tcPr>
            <w:tcW w:w="682" w:type="pct"/>
            <w:vAlign w:val="center"/>
          </w:tcPr>
          <w:p w14:paraId="1D5C439A" w14:textId="77777777" w:rsidR="00D042BF" w:rsidRPr="00B91D09" w:rsidRDefault="00D042BF" w:rsidP="00E032FC">
            <w:pPr>
              <w:pStyle w:val="Tot"/>
              <w:jc w:val="right"/>
              <w:rPr>
                <w:rFonts w:cs="Arial"/>
                <w:b/>
                <w:bCs/>
                <w:color w:val="000000" w:themeColor="text1"/>
                <w:sz w:val="20"/>
                <w:lang w:val="hr-HR"/>
              </w:rPr>
            </w:pPr>
          </w:p>
        </w:tc>
      </w:tr>
      <w:tr w:rsidR="00D042BF" w:rsidRPr="00B91D09" w14:paraId="7282D2EB" w14:textId="77777777" w:rsidTr="00E032FC">
        <w:trPr>
          <w:trHeight w:val="340"/>
        </w:trPr>
        <w:tc>
          <w:tcPr>
            <w:tcW w:w="3521" w:type="pct"/>
            <w:tcBorders>
              <w:top w:val="nil"/>
              <w:left w:val="nil"/>
              <w:bottom w:val="nil"/>
              <w:right w:val="nil"/>
            </w:tcBorders>
            <w:shd w:val="clear" w:color="auto" w:fill="auto"/>
            <w:vAlign w:val="bottom"/>
          </w:tcPr>
          <w:p w14:paraId="701D74ED" w14:textId="77777777" w:rsidR="00D042BF" w:rsidRPr="00B91D09" w:rsidRDefault="00D042BF" w:rsidP="00E032FC">
            <w:pPr>
              <w:pStyle w:val="Tot"/>
              <w:rPr>
                <w:rFonts w:cs="Arial"/>
                <w:bCs/>
                <w:color w:val="000000" w:themeColor="text1"/>
                <w:sz w:val="20"/>
                <w:lang w:val="hr-HR"/>
              </w:rPr>
            </w:pPr>
            <w:bookmarkStart w:id="459" w:name="_Toc67327040"/>
            <w:r w:rsidRPr="00B91D09">
              <w:rPr>
                <w:rFonts w:cs="Arial"/>
                <w:bCs/>
                <w:color w:val="000000" w:themeColor="text1"/>
                <w:sz w:val="20"/>
                <w:lang w:val="hr-HR"/>
              </w:rPr>
              <w:t>Neto promjene financijske imovine po fer vrijednosti kroz ostalu sveobuhvatnu dobit</w:t>
            </w:r>
            <w:bookmarkEnd w:id="459"/>
          </w:p>
        </w:tc>
        <w:tc>
          <w:tcPr>
            <w:tcW w:w="797" w:type="pct"/>
            <w:tcBorders>
              <w:top w:val="nil"/>
              <w:left w:val="nil"/>
              <w:bottom w:val="nil"/>
              <w:right w:val="nil"/>
            </w:tcBorders>
            <w:shd w:val="clear" w:color="auto" w:fill="auto"/>
            <w:vAlign w:val="bottom"/>
          </w:tcPr>
          <w:p w14:paraId="351BAA8C" w14:textId="77777777" w:rsidR="00D042BF" w:rsidRPr="00B91D09" w:rsidRDefault="00D042BF" w:rsidP="00E032FC">
            <w:pPr>
              <w:pStyle w:val="Tot"/>
              <w:jc w:val="right"/>
              <w:rPr>
                <w:rFonts w:cs="Arial"/>
                <w:bCs/>
                <w:color w:val="000000" w:themeColor="text1"/>
                <w:sz w:val="20"/>
                <w:lang w:val="hr-HR"/>
              </w:rPr>
            </w:pPr>
            <w:r w:rsidRPr="00C507E7">
              <w:rPr>
                <w:rFonts w:cs="Arial"/>
                <w:bCs/>
                <w:color w:val="000000" w:themeColor="text1"/>
                <w:sz w:val="20"/>
                <w:lang w:val="hr-HR"/>
              </w:rPr>
              <w:t>(62.658)</w:t>
            </w:r>
          </w:p>
        </w:tc>
        <w:tc>
          <w:tcPr>
            <w:tcW w:w="682" w:type="pct"/>
            <w:tcBorders>
              <w:top w:val="nil"/>
              <w:left w:val="nil"/>
              <w:bottom w:val="nil"/>
              <w:right w:val="nil"/>
            </w:tcBorders>
            <w:shd w:val="clear" w:color="auto" w:fill="auto"/>
            <w:vAlign w:val="bottom"/>
          </w:tcPr>
          <w:p w14:paraId="016A9FD8" w14:textId="77777777" w:rsidR="00D042BF" w:rsidRPr="00B91D09" w:rsidRDefault="00D042BF" w:rsidP="00E032FC">
            <w:pPr>
              <w:pStyle w:val="Tot"/>
              <w:jc w:val="right"/>
              <w:rPr>
                <w:rFonts w:cs="Arial"/>
                <w:b/>
                <w:bCs/>
                <w:color w:val="000000" w:themeColor="text1"/>
                <w:sz w:val="20"/>
                <w:lang w:val="hr-HR"/>
              </w:rPr>
            </w:pPr>
            <w:bookmarkStart w:id="460" w:name="_Toc67327041"/>
            <w:r w:rsidRPr="00B91D09">
              <w:rPr>
                <w:rFonts w:cs="Arial"/>
                <w:bCs/>
                <w:color w:val="000000" w:themeColor="text1"/>
                <w:sz w:val="20"/>
                <w:lang w:val="hr-HR"/>
              </w:rPr>
              <w:t>(23.063)</w:t>
            </w:r>
            <w:bookmarkEnd w:id="460"/>
          </w:p>
        </w:tc>
      </w:tr>
      <w:tr w:rsidR="00D042BF" w:rsidRPr="00B91D09" w14:paraId="19BCEC5C" w14:textId="77777777" w:rsidTr="00E032FC">
        <w:trPr>
          <w:trHeight w:val="340"/>
        </w:trPr>
        <w:tc>
          <w:tcPr>
            <w:tcW w:w="3521" w:type="pct"/>
            <w:tcBorders>
              <w:top w:val="nil"/>
              <w:left w:val="nil"/>
              <w:bottom w:val="nil"/>
              <w:right w:val="nil"/>
            </w:tcBorders>
            <w:shd w:val="clear" w:color="auto" w:fill="auto"/>
            <w:vAlign w:val="bottom"/>
          </w:tcPr>
          <w:p w14:paraId="1FE27D15" w14:textId="77777777" w:rsidR="00D042BF" w:rsidRPr="00B91D09" w:rsidRDefault="00D042BF" w:rsidP="00E032FC">
            <w:pPr>
              <w:pStyle w:val="Tot"/>
              <w:rPr>
                <w:rFonts w:cs="Arial"/>
                <w:bCs/>
                <w:color w:val="000000" w:themeColor="text1"/>
                <w:sz w:val="20"/>
                <w:lang w:val="hr-HR"/>
              </w:rPr>
            </w:pPr>
            <w:bookmarkStart w:id="461" w:name="_Toc67327043"/>
            <w:r w:rsidRPr="00B91D09">
              <w:rPr>
                <w:rFonts w:cs="Arial"/>
                <w:bCs/>
                <w:color w:val="000000" w:themeColor="text1"/>
                <w:sz w:val="20"/>
                <w:lang w:val="hr-HR"/>
              </w:rPr>
              <w:t>Neto tečajne razlike po vlasničkim vrijednosnim papirima</w:t>
            </w:r>
            <w:bookmarkEnd w:id="461"/>
          </w:p>
        </w:tc>
        <w:tc>
          <w:tcPr>
            <w:tcW w:w="797" w:type="pct"/>
            <w:tcBorders>
              <w:top w:val="nil"/>
              <w:left w:val="nil"/>
              <w:bottom w:val="nil"/>
              <w:right w:val="nil"/>
            </w:tcBorders>
            <w:shd w:val="clear" w:color="auto" w:fill="auto"/>
            <w:vAlign w:val="bottom"/>
          </w:tcPr>
          <w:p w14:paraId="4EE54972" w14:textId="77777777" w:rsidR="00D042BF" w:rsidRPr="00B91D09" w:rsidRDefault="00D042BF" w:rsidP="00E032FC">
            <w:pPr>
              <w:pStyle w:val="Tot"/>
              <w:jc w:val="right"/>
              <w:rPr>
                <w:rFonts w:cs="Arial"/>
                <w:bCs/>
                <w:color w:val="000000" w:themeColor="text1"/>
                <w:sz w:val="20"/>
                <w:lang w:val="hr-HR"/>
              </w:rPr>
            </w:pPr>
            <w:r>
              <w:rPr>
                <w:rFonts w:cs="Arial"/>
                <w:bCs/>
                <w:color w:val="000000" w:themeColor="text1"/>
                <w:sz w:val="20"/>
                <w:lang w:val="hr-HR"/>
              </w:rPr>
              <w:t>87</w:t>
            </w:r>
          </w:p>
        </w:tc>
        <w:tc>
          <w:tcPr>
            <w:tcW w:w="682" w:type="pct"/>
            <w:tcBorders>
              <w:top w:val="nil"/>
              <w:left w:val="nil"/>
              <w:bottom w:val="nil"/>
              <w:right w:val="nil"/>
            </w:tcBorders>
            <w:shd w:val="clear" w:color="auto" w:fill="auto"/>
            <w:vAlign w:val="bottom"/>
          </w:tcPr>
          <w:p w14:paraId="4D3F8ACE" w14:textId="77777777" w:rsidR="00D042BF" w:rsidRPr="00B91D09" w:rsidRDefault="00D042BF" w:rsidP="00E032FC">
            <w:pPr>
              <w:pStyle w:val="Tot"/>
              <w:jc w:val="right"/>
              <w:rPr>
                <w:rFonts w:cs="Arial"/>
                <w:b/>
                <w:bCs/>
                <w:color w:val="000000" w:themeColor="text1"/>
                <w:sz w:val="20"/>
                <w:lang w:val="hr-HR"/>
              </w:rPr>
            </w:pPr>
            <w:bookmarkStart w:id="462" w:name="_Toc67327044"/>
            <w:r w:rsidRPr="00B91D09">
              <w:rPr>
                <w:rFonts w:cs="Arial"/>
                <w:bCs/>
                <w:color w:val="000000" w:themeColor="text1"/>
                <w:sz w:val="20"/>
                <w:lang w:val="hr-HR"/>
              </w:rPr>
              <w:t>(51)</w:t>
            </w:r>
            <w:bookmarkEnd w:id="462"/>
          </w:p>
        </w:tc>
      </w:tr>
      <w:tr w:rsidR="00D042BF" w:rsidRPr="00B91D09" w14:paraId="1FE7DBE4" w14:textId="77777777" w:rsidTr="00E032FC">
        <w:trPr>
          <w:trHeight w:val="319"/>
        </w:trPr>
        <w:tc>
          <w:tcPr>
            <w:tcW w:w="3521" w:type="pct"/>
            <w:vAlign w:val="center"/>
          </w:tcPr>
          <w:p w14:paraId="7FC451FF" w14:textId="77777777" w:rsidR="00D042BF" w:rsidRPr="00B91D09" w:rsidRDefault="00D042BF" w:rsidP="00E032FC">
            <w:pPr>
              <w:pStyle w:val="Tot"/>
              <w:spacing w:line="240" w:lineRule="exact"/>
              <w:rPr>
                <w:rFonts w:cs="Arial"/>
                <w:b/>
                <w:bCs/>
                <w:color w:val="000000" w:themeColor="text1"/>
                <w:sz w:val="20"/>
                <w:lang w:val="hr-HR"/>
              </w:rPr>
            </w:pPr>
            <w:bookmarkStart w:id="463" w:name="_Toc67327046"/>
            <w:r w:rsidRPr="00B91D09">
              <w:rPr>
                <w:rFonts w:cs="Arial"/>
                <w:b/>
                <w:bCs/>
                <w:color w:val="000000" w:themeColor="text1"/>
                <w:sz w:val="20"/>
                <w:lang w:val="hr-HR"/>
              </w:rPr>
              <w:t>Ukupno stavke koje se kasnije mogu uračunati u dobit ili gubitak</w:t>
            </w:r>
            <w:bookmarkEnd w:id="463"/>
          </w:p>
        </w:tc>
        <w:tc>
          <w:tcPr>
            <w:tcW w:w="797" w:type="pct"/>
            <w:tcBorders>
              <w:top w:val="single" w:sz="4" w:space="0" w:color="auto"/>
              <w:bottom w:val="single" w:sz="12" w:space="0" w:color="auto"/>
            </w:tcBorders>
            <w:vAlign w:val="bottom"/>
          </w:tcPr>
          <w:p w14:paraId="298A95E7" w14:textId="77777777" w:rsidR="00D042BF" w:rsidRPr="00B91D09" w:rsidRDefault="00D042BF" w:rsidP="00E032FC">
            <w:pPr>
              <w:pStyle w:val="Tot"/>
              <w:jc w:val="right"/>
              <w:rPr>
                <w:rFonts w:cs="Arial"/>
                <w:b/>
                <w:bCs/>
                <w:color w:val="000000" w:themeColor="text1"/>
                <w:sz w:val="20"/>
                <w:lang w:val="hr-HR"/>
              </w:rPr>
            </w:pPr>
            <w:r w:rsidRPr="00C507E7">
              <w:rPr>
                <w:rFonts w:cs="Arial"/>
                <w:b/>
                <w:bCs/>
                <w:color w:val="000000" w:themeColor="text1"/>
                <w:sz w:val="20"/>
                <w:lang w:val="hr-HR"/>
              </w:rPr>
              <w:t>(62.571)</w:t>
            </w:r>
          </w:p>
        </w:tc>
        <w:tc>
          <w:tcPr>
            <w:tcW w:w="682" w:type="pct"/>
            <w:tcBorders>
              <w:top w:val="single" w:sz="4" w:space="0" w:color="auto"/>
              <w:bottom w:val="single" w:sz="12" w:space="0" w:color="auto"/>
            </w:tcBorders>
            <w:vAlign w:val="bottom"/>
          </w:tcPr>
          <w:p w14:paraId="44A598E8" w14:textId="77777777" w:rsidR="00D042BF" w:rsidRPr="00B91D09" w:rsidRDefault="00D042BF" w:rsidP="00E032FC">
            <w:pPr>
              <w:pStyle w:val="Tot"/>
              <w:jc w:val="right"/>
              <w:rPr>
                <w:rFonts w:cs="Arial"/>
                <w:b/>
                <w:bCs/>
                <w:color w:val="000000" w:themeColor="text1"/>
                <w:sz w:val="20"/>
                <w:lang w:val="hr-HR"/>
              </w:rPr>
            </w:pPr>
            <w:bookmarkStart w:id="464" w:name="_Toc67327047"/>
            <w:r w:rsidRPr="00B91D09">
              <w:rPr>
                <w:rFonts w:cs="Arial"/>
                <w:b/>
                <w:bCs/>
                <w:color w:val="000000" w:themeColor="text1"/>
                <w:sz w:val="20"/>
                <w:lang w:val="hr-HR"/>
              </w:rPr>
              <w:t>(23.114)</w:t>
            </w:r>
            <w:bookmarkEnd w:id="464"/>
          </w:p>
        </w:tc>
      </w:tr>
      <w:tr w:rsidR="00D042BF" w:rsidRPr="00B91D09" w14:paraId="2D815E6C" w14:textId="77777777" w:rsidTr="00E032FC">
        <w:trPr>
          <w:trHeight w:val="323"/>
        </w:trPr>
        <w:tc>
          <w:tcPr>
            <w:tcW w:w="3521" w:type="pct"/>
            <w:vAlign w:val="center"/>
          </w:tcPr>
          <w:p w14:paraId="1CEB8AFA" w14:textId="77777777" w:rsidR="00D042BF" w:rsidRPr="00B91D09" w:rsidRDefault="00D042BF" w:rsidP="00E032FC">
            <w:pPr>
              <w:pStyle w:val="Tot"/>
              <w:spacing w:line="240" w:lineRule="exact"/>
              <w:rPr>
                <w:rFonts w:cs="Arial"/>
                <w:b/>
                <w:bCs/>
                <w:color w:val="000000" w:themeColor="text1"/>
                <w:sz w:val="20"/>
                <w:lang w:val="hr-HR"/>
              </w:rPr>
            </w:pPr>
            <w:bookmarkStart w:id="465" w:name="_Toc67327049"/>
            <w:r w:rsidRPr="00B91D09">
              <w:rPr>
                <w:rFonts w:cs="Arial"/>
                <w:b/>
                <w:bCs/>
                <w:color w:val="000000" w:themeColor="text1"/>
                <w:sz w:val="20"/>
                <w:lang w:val="hr-HR"/>
              </w:rPr>
              <w:t>Ostala sveobuhvatna dobit nakon oporezivanja</w:t>
            </w:r>
            <w:bookmarkEnd w:id="465"/>
          </w:p>
        </w:tc>
        <w:tc>
          <w:tcPr>
            <w:tcW w:w="797" w:type="pct"/>
            <w:tcBorders>
              <w:top w:val="single" w:sz="4" w:space="0" w:color="auto"/>
              <w:bottom w:val="single" w:sz="12" w:space="0" w:color="auto"/>
            </w:tcBorders>
            <w:vAlign w:val="bottom"/>
          </w:tcPr>
          <w:p w14:paraId="133F67CC" w14:textId="77777777" w:rsidR="00D042BF" w:rsidRPr="00B91D09" w:rsidRDefault="00D042BF" w:rsidP="00E032FC">
            <w:pPr>
              <w:pStyle w:val="Tot"/>
              <w:jc w:val="right"/>
              <w:rPr>
                <w:rFonts w:cs="Arial"/>
                <w:b/>
                <w:bCs/>
                <w:color w:val="000000" w:themeColor="text1"/>
                <w:sz w:val="20"/>
                <w:lang w:val="hr-HR"/>
              </w:rPr>
            </w:pPr>
            <w:r w:rsidRPr="00C507E7">
              <w:rPr>
                <w:rFonts w:cs="Arial"/>
                <w:b/>
                <w:bCs/>
                <w:color w:val="000000" w:themeColor="text1"/>
                <w:sz w:val="20"/>
                <w:lang w:val="hr-HR"/>
              </w:rPr>
              <w:t>(63.330)</w:t>
            </w:r>
          </w:p>
        </w:tc>
        <w:tc>
          <w:tcPr>
            <w:tcW w:w="682" w:type="pct"/>
            <w:tcBorders>
              <w:top w:val="single" w:sz="4" w:space="0" w:color="auto"/>
              <w:bottom w:val="single" w:sz="12" w:space="0" w:color="auto"/>
            </w:tcBorders>
            <w:vAlign w:val="bottom"/>
          </w:tcPr>
          <w:p w14:paraId="027DC1D3" w14:textId="77777777" w:rsidR="00D042BF" w:rsidRPr="00B91D09" w:rsidRDefault="00D042BF" w:rsidP="00E032FC">
            <w:pPr>
              <w:pStyle w:val="Tot"/>
              <w:jc w:val="right"/>
              <w:rPr>
                <w:rFonts w:cs="Arial"/>
                <w:b/>
                <w:bCs/>
                <w:color w:val="000000" w:themeColor="text1"/>
                <w:sz w:val="20"/>
                <w:lang w:val="hr-HR"/>
              </w:rPr>
            </w:pPr>
            <w:bookmarkStart w:id="466" w:name="_Toc67327050"/>
            <w:r w:rsidRPr="00B91D09">
              <w:rPr>
                <w:rFonts w:cs="Arial"/>
                <w:b/>
                <w:bCs/>
                <w:color w:val="000000" w:themeColor="text1"/>
                <w:sz w:val="20"/>
                <w:lang w:val="hr-HR"/>
              </w:rPr>
              <w:t>(23.945)</w:t>
            </w:r>
            <w:bookmarkEnd w:id="466"/>
          </w:p>
        </w:tc>
      </w:tr>
      <w:tr w:rsidR="00D042BF" w:rsidRPr="00B91D09" w14:paraId="5FABB0C9" w14:textId="77777777" w:rsidTr="00E032FC">
        <w:trPr>
          <w:trHeight w:hRule="exact" w:val="170"/>
        </w:trPr>
        <w:tc>
          <w:tcPr>
            <w:tcW w:w="3521" w:type="pct"/>
            <w:vAlign w:val="center"/>
          </w:tcPr>
          <w:p w14:paraId="57101380" w14:textId="77777777" w:rsidR="00D042BF" w:rsidRPr="00B91D09" w:rsidRDefault="00D042BF" w:rsidP="00E032FC">
            <w:pPr>
              <w:pStyle w:val="Tot"/>
              <w:spacing w:line="240" w:lineRule="exact"/>
              <w:rPr>
                <w:rFonts w:cs="Arial"/>
                <w:b/>
                <w:bCs/>
                <w:color w:val="000000" w:themeColor="text1"/>
                <w:sz w:val="20"/>
                <w:lang w:val="hr-HR"/>
              </w:rPr>
            </w:pPr>
          </w:p>
        </w:tc>
        <w:tc>
          <w:tcPr>
            <w:tcW w:w="797" w:type="pct"/>
            <w:tcBorders>
              <w:top w:val="single" w:sz="12" w:space="0" w:color="auto"/>
            </w:tcBorders>
            <w:vAlign w:val="bottom"/>
          </w:tcPr>
          <w:p w14:paraId="1EC9042C" w14:textId="77777777" w:rsidR="00D042BF" w:rsidRPr="00B91D09" w:rsidRDefault="00D042BF" w:rsidP="00E032FC">
            <w:pPr>
              <w:pStyle w:val="Tot"/>
              <w:jc w:val="right"/>
              <w:rPr>
                <w:rFonts w:cs="Arial"/>
                <w:b/>
                <w:bCs/>
                <w:color w:val="000000" w:themeColor="text1"/>
                <w:sz w:val="20"/>
                <w:lang w:val="hr-HR"/>
              </w:rPr>
            </w:pPr>
          </w:p>
        </w:tc>
        <w:tc>
          <w:tcPr>
            <w:tcW w:w="682" w:type="pct"/>
            <w:tcBorders>
              <w:top w:val="single" w:sz="12" w:space="0" w:color="auto"/>
            </w:tcBorders>
            <w:vAlign w:val="bottom"/>
          </w:tcPr>
          <w:p w14:paraId="20B1CA54" w14:textId="77777777" w:rsidR="00D042BF" w:rsidRPr="00B91D09" w:rsidRDefault="00D042BF" w:rsidP="00E032FC">
            <w:pPr>
              <w:pStyle w:val="Tot"/>
              <w:jc w:val="right"/>
              <w:rPr>
                <w:rFonts w:cs="Arial"/>
                <w:b/>
                <w:bCs/>
                <w:color w:val="000000" w:themeColor="text1"/>
                <w:sz w:val="20"/>
                <w:lang w:val="hr-HR"/>
              </w:rPr>
            </w:pPr>
          </w:p>
        </w:tc>
      </w:tr>
      <w:tr w:rsidR="00D042BF" w:rsidRPr="00B91D09" w14:paraId="44A4C2AE" w14:textId="77777777" w:rsidTr="00E032FC">
        <w:trPr>
          <w:trHeight w:hRule="exact" w:val="335"/>
        </w:trPr>
        <w:tc>
          <w:tcPr>
            <w:tcW w:w="3521" w:type="pct"/>
            <w:vAlign w:val="center"/>
          </w:tcPr>
          <w:p w14:paraId="58A9F8AB" w14:textId="77777777" w:rsidR="00D042BF" w:rsidRPr="00B91D09" w:rsidRDefault="00D042BF" w:rsidP="00E032FC">
            <w:pPr>
              <w:pStyle w:val="Tot"/>
              <w:spacing w:line="240" w:lineRule="exact"/>
              <w:rPr>
                <w:rFonts w:cs="Arial"/>
                <w:b/>
                <w:bCs/>
                <w:color w:val="000000" w:themeColor="text1"/>
                <w:sz w:val="20"/>
                <w:lang w:val="hr-HR"/>
              </w:rPr>
            </w:pPr>
            <w:bookmarkStart w:id="467" w:name="_Toc67327052"/>
            <w:r w:rsidRPr="00B91D09">
              <w:rPr>
                <w:rFonts w:cs="Arial"/>
                <w:b/>
                <w:bCs/>
                <w:color w:val="000000" w:themeColor="text1"/>
                <w:sz w:val="20"/>
                <w:lang w:val="hr-HR"/>
              </w:rPr>
              <w:t>Ukupna sveobuhvatna dobit nakon oporezivanja</w:t>
            </w:r>
            <w:bookmarkEnd w:id="467"/>
          </w:p>
        </w:tc>
        <w:tc>
          <w:tcPr>
            <w:tcW w:w="797" w:type="pct"/>
            <w:tcBorders>
              <w:bottom w:val="single" w:sz="12" w:space="0" w:color="auto"/>
            </w:tcBorders>
            <w:vAlign w:val="bottom"/>
          </w:tcPr>
          <w:p w14:paraId="0BB5964F" w14:textId="77777777" w:rsidR="00D042BF" w:rsidRPr="00B91D09" w:rsidRDefault="00D042BF" w:rsidP="00E032FC">
            <w:pPr>
              <w:pStyle w:val="Tot"/>
              <w:jc w:val="right"/>
              <w:rPr>
                <w:rFonts w:cs="Arial"/>
                <w:b/>
                <w:bCs/>
                <w:color w:val="000000" w:themeColor="text1"/>
                <w:sz w:val="20"/>
                <w:lang w:val="hr-HR"/>
              </w:rPr>
            </w:pPr>
            <w:r w:rsidRPr="00C507E7">
              <w:rPr>
                <w:rFonts w:cs="Arial"/>
                <w:b/>
                <w:bCs/>
                <w:color w:val="000000" w:themeColor="text1"/>
                <w:sz w:val="20"/>
                <w:lang w:val="hr-HR"/>
              </w:rPr>
              <w:t>122.843</w:t>
            </w:r>
          </w:p>
        </w:tc>
        <w:tc>
          <w:tcPr>
            <w:tcW w:w="682" w:type="pct"/>
            <w:tcBorders>
              <w:bottom w:val="single" w:sz="12" w:space="0" w:color="auto"/>
            </w:tcBorders>
            <w:vAlign w:val="bottom"/>
          </w:tcPr>
          <w:p w14:paraId="5054148A" w14:textId="77777777" w:rsidR="00D042BF" w:rsidRPr="00B91D09" w:rsidRDefault="00D042BF" w:rsidP="00E032FC">
            <w:pPr>
              <w:pStyle w:val="Tot"/>
              <w:jc w:val="right"/>
              <w:rPr>
                <w:rFonts w:cs="Arial"/>
                <w:b/>
                <w:color w:val="000000" w:themeColor="text1"/>
                <w:spacing w:val="-2"/>
                <w:sz w:val="20"/>
                <w:lang w:val="hr-HR"/>
              </w:rPr>
            </w:pPr>
            <w:bookmarkStart w:id="468" w:name="_Toc67327053"/>
            <w:r w:rsidRPr="00B91D09">
              <w:rPr>
                <w:rFonts w:cs="Arial"/>
                <w:b/>
                <w:bCs/>
                <w:color w:val="000000" w:themeColor="text1"/>
                <w:sz w:val="20"/>
                <w:lang w:val="hr-HR"/>
              </w:rPr>
              <w:t>163.137</w:t>
            </w:r>
            <w:bookmarkEnd w:id="468"/>
          </w:p>
        </w:tc>
      </w:tr>
      <w:tr w:rsidR="00D042BF" w:rsidRPr="00B91D09" w14:paraId="16AA921A" w14:textId="77777777" w:rsidTr="00E032FC">
        <w:trPr>
          <w:trHeight w:hRule="exact" w:val="278"/>
        </w:trPr>
        <w:tc>
          <w:tcPr>
            <w:tcW w:w="3521" w:type="pct"/>
            <w:vAlign w:val="center"/>
          </w:tcPr>
          <w:p w14:paraId="7FCD7129" w14:textId="77777777" w:rsidR="00D042BF" w:rsidRPr="00B91D09" w:rsidRDefault="00D042BF" w:rsidP="00E032FC">
            <w:pPr>
              <w:pStyle w:val="Tot"/>
              <w:spacing w:line="240" w:lineRule="exact"/>
              <w:rPr>
                <w:rFonts w:cs="Arial"/>
                <w:b/>
                <w:bCs/>
                <w:color w:val="000000" w:themeColor="text1"/>
                <w:sz w:val="20"/>
                <w:lang w:val="hr-HR"/>
              </w:rPr>
            </w:pPr>
          </w:p>
        </w:tc>
        <w:tc>
          <w:tcPr>
            <w:tcW w:w="797" w:type="pct"/>
            <w:tcBorders>
              <w:top w:val="single" w:sz="12" w:space="0" w:color="auto"/>
            </w:tcBorders>
            <w:vAlign w:val="center"/>
          </w:tcPr>
          <w:p w14:paraId="077B3DF0" w14:textId="77777777" w:rsidR="00D042BF" w:rsidRPr="00B91D09" w:rsidRDefault="00D042BF" w:rsidP="00E032FC">
            <w:pPr>
              <w:pStyle w:val="Thin"/>
              <w:tabs>
                <w:tab w:val="clear" w:pos="1202"/>
              </w:tabs>
              <w:jc w:val="right"/>
              <w:rPr>
                <w:rFonts w:cs="Arial"/>
                <w:color w:val="000000" w:themeColor="text1"/>
                <w:spacing w:val="-2"/>
                <w:sz w:val="20"/>
                <w:lang w:val="hr-HR"/>
              </w:rPr>
            </w:pPr>
          </w:p>
        </w:tc>
        <w:tc>
          <w:tcPr>
            <w:tcW w:w="682" w:type="pct"/>
            <w:tcBorders>
              <w:top w:val="single" w:sz="12" w:space="0" w:color="auto"/>
            </w:tcBorders>
            <w:vAlign w:val="center"/>
          </w:tcPr>
          <w:p w14:paraId="1E03E666" w14:textId="77777777" w:rsidR="00D042BF" w:rsidRPr="00B91D09" w:rsidRDefault="00D042BF" w:rsidP="00E032FC">
            <w:pPr>
              <w:pStyle w:val="Thin"/>
              <w:tabs>
                <w:tab w:val="clear" w:pos="1202"/>
              </w:tabs>
              <w:jc w:val="right"/>
              <w:rPr>
                <w:rFonts w:cs="Arial"/>
                <w:color w:val="000000" w:themeColor="text1"/>
                <w:spacing w:val="-2"/>
                <w:sz w:val="20"/>
                <w:lang w:val="hr-HR"/>
              </w:rPr>
            </w:pPr>
          </w:p>
        </w:tc>
      </w:tr>
      <w:tr w:rsidR="00D042BF" w:rsidRPr="00B91D09" w14:paraId="31C11800" w14:textId="77777777" w:rsidTr="00E032FC">
        <w:trPr>
          <w:trHeight w:val="335"/>
        </w:trPr>
        <w:tc>
          <w:tcPr>
            <w:tcW w:w="3521" w:type="pct"/>
            <w:vAlign w:val="center"/>
          </w:tcPr>
          <w:p w14:paraId="28B3A805" w14:textId="77777777" w:rsidR="00D042BF" w:rsidRPr="00B91D09" w:rsidRDefault="00D042BF" w:rsidP="00E032FC">
            <w:pPr>
              <w:pStyle w:val="Tot"/>
              <w:spacing w:line="240" w:lineRule="exact"/>
              <w:rPr>
                <w:rFonts w:cs="Arial"/>
                <w:b/>
                <w:bCs/>
                <w:color w:val="000000" w:themeColor="text1"/>
                <w:sz w:val="20"/>
                <w:lang w:val="hr-HR"/>
              </w:rPr>
            </w:pPr>
          </w:p>
        </w:tc>
        <w:tc>
          <w:tcPr>
            <w:tcW w:w="797" w:type="pct"/>
            <w:vAlign w:val="center"/>
          </w:tcPr>
          <w:p w14:paraId="0F41809E" w14:textId="77777777" w:rsidR="00D042BF" w:rsidRPr="00B91D09" w:rsidRDefault="00D042BF" w:rsidP="00E032FC">
            <w:pPr>
              <w:pStyle w:val="Tot"/>
              <w:jc w:val="right"/>
              <w:rPr>
                <w:rFonts w:cs="Arial"/>
                <w:b/>
                <w:bCs/>
                <w:color w:val="000000" w:themeColor="text1"/>
                <w:sz w:val="20"/>
                <w:lang w:val="hr-HR"/>
              </w:rPr>
            </w:pPr>
          </w:p>
        </w:tc>
        <w:tc>
          <w:tcPr>
            <w:tcW w:w="682" w:type="pct"/>
            <w:vAlign w:val="center"/>
          </w:tcPr>
          <w:p w14:paraId="5EEFD4BC" w14:textId="77777777" w:rsidR="00D042BF" w:rsidRPr="00B91D09" w:rsidRDefault="00D042BF" w:rsidP="00E032FC">
            <w:pPr>
              <w:pStyle w:val="Tot"/>
              <w:jc w:val="right"/>
              <w:rPr>
                <w:rFonts w:cs="Arial"/>
                <w:b/>
                <w:bCs/>
                <w:color w:val="000000" w:themeColor="text1"/>
                <w:sz w:val="20"/>
                <w:lang w:val="hr-HR"/>
              </w:rPr>
            </w:pPr>
          </w:p>
        </w:tc>
      </w:tr>
      <w:tr w:rsidR="00D042BF" w:rsidRPr="00B91D09" w14:paraId="521D4D89" w14:textId="77777777" w:rsidTr="00E032FC">
        <w:trPr>
          <w:trHeight w:val="234"/>
        </w:trPr>
        <w:tc>
          <w:tcPr>
            <w:tcW w:w="3521" w:type="pct"/>
            <w:vAlign w:val="center"/>
          </w:tcPr>
          <w:p w14:paraId="57C27A76" w14:textId="77777777" w:rsidR="00D042BF" w:rsidRPr="00B91D09" w:rsidRDefault="00D042BF" w:rsidP="00E032FC">
            <w:pPr>
              <w:pStyle w:val="Tot"/>
              <w:spacing w:line="240" w:lineRule="exact"/>
              <w:rPr>
                <w:rFonts w:cs="Arial"/>
                <w:b/>
                <w:bCs/>
                <w:color w:val="000000" w:themeColor="text1"/>
                <w:sz w:val="20"/>
                <w:lang w:val="hr-HR"/>
              </w:rPr>
            </w:pPr>
            <w:bookmarkStart w:id="469" w:name="_Toc67327055"/>
            <w:r w:rsidRPr="00B91D09">
              <w:rPr>
                <w:rFonts w:cs="Arial"/>
                <w:b/>
                <w:bCs/>
                <w:color w:val="000000" w:themeColor="text1"/>
                <w:sz w:val="20"/>
                <w:lang w:val="hr-HR"/>
              </w:rPr>
              <w:t>Ukupna sveobuhvatna dobit:</w:t>
            </w:r>
            <w:bookmarkEnd w:id="469"/>
          </w:p>
        </w:tc>
        <w:tc>
          <w:tcPr>
            <w:tcW w:w="797" w:type="pct"/>
            <w:vAlign w:val="center"/>
          </w:tcPr>
          <w:p w14:paraId="5AE0DF20" w14:textId="77777777" w:rsidR="00D042BF" w:rsidRPr="00B91D09" w:rsidRDefault="00D042BF" w:rsidP="00E032FC">
            <w:pPr>
              <w:pStyle w:val="Thick"/>
              <w:tabs>
                <w:tab w:val="clear" w:pos="1202"/>
              </w:tabs>
              <w:jc w:val="right"/>
              <w:rPr>
                <w:rFonts w:cs="Arial"/>
                <w:color w:val="000000" w:themeColor="text1"/>
                <w:sz w:val="20"/>
                <w:lang w:val="hr-HR"/>
              </w:rPr>
            </w:pPr>
          </w:p>
        </w:tc>
        <w:tc>
          <w:tcPr>
            <w:tcW w:w="682" w:type="pct"/>
            <w:vAlign w:val="center"/>
          </w:tcPr>
          <w:p w14:paraId="7FDCBBCB" w14:textId="77777777" w:rsidR="00D042BF" w:rsidRPr="00B91D09" w:rsidRDefault="00D042BF" w:rsidP="00E032FC">
            <w:pPr>
              <w:pStyle w:val="Thick"/>
              <w:tabs>
                <w:tab w:val="clear" w:pos="1202"/>
              </w:tabs>
              <w:jc w:val="right"/>
              <w:rPr>
                <w:rFonts w:cs="Arial"/>
                <w:color w:val="000000" w:themeColor="text1"/>
                <w:sz w:val="20"/>
                <w:lang w:val="hr-HR"/>
              </w:rPr>
            </w:pPr>
          </w:p>
        </w:tc>
      </w:tr>
      <w:tr w:rsidR="00D042BF" w:rsidRPr="00B91D09" w14:paraId="774CBD1B" w14:textId="77777777" w:rsidTr="00E032FC">
        <w:trPr>
          <w:trHeight w:val="531"/>
        </w:trPr>
        <w:tc>
          <w:tcPr>
            <w:tcW w:w="3521" w:type="pct"/>
            <w:vAlign w:val="bottom"/>
          </w:tcPr>
          <w:p w14:paraId="49346519" w14:textId="77777777" w:rsidR="00D042BF" w:rsidRPr="00B91D09" w:rsidRDefault="00D042BF" w:rsidP="00E032FC">
            <w:pPr>
              <w:pStyle w:val="Tot"/>
              <w:spacing w:line="240" w:lineRule="exact"/>
              <w:rPr>
                <w:rFonts w:cs="Arial"/>
                <w:b/>
                <w:bCs/>
                <w:color w:val="000000" w:themeColor="text1"/>
                <w:sz w:val="20"/>
                <w:lang w:val="hr-HR"/>
              </w:rPr>
            </w:pPr>
            <w:bookmarkStart w:id="470" w:name="_Toc67327056"/>
            <w:r w:rsidRPr="00B91D09">
              <w:rPr>
                <w:rFonts w:cs="Arial"/>
                <w:b/>
                <w:bCs/>
                <w:color w:val="000000" w:themeColor="text1"/>
                <w:sz w:val="20"/>
                <w:lang w:val="hr-HR"/>
              </w:rPr>
              <w:t>Vlasniku društva</w:t>
            </w:r>
            <w:bookmarkEnd w:id="470"/>
          </w:p>
        </w:tc>
        <w:tc>
          <w:tcPr>
            <w:tcW w:w="797" w:type="pct"/>
            <w:tcBorders>
              <w:bottom w:val="single" w:sz="12" w:space="0" w:color="auto"/>
            </w:tcBorders>
            <w:vAlign w:val="bottom"/>
          </w:tcPr>
          <w:p w14:paraId="7A17523C" w14:textId="77777777" w:rsidR="00D042BF" w:rsidRPr="00B91D09" w:rsidRDefault="00D042BF" w:rsidP="00E032FC">
            <w:pPr>
              <w:pStyle w:val="Tot"/>
              <w:jc w:val="right"/>
              <w:rPr>
                <w:rFonts w:cs="Arial"/>
                <w:b/>
                <w:bCs/>
                <w:color w:val="000000" w:themeColor="text1"/>
                <w:sz w:val="20"/>
                <w:lang w:val="hr-HR"/>
              </w:rPr>
            </w:pPr>
            <w:r w:rsidRPr="00C507E7">
              <w:rPr>
                <w:rFonts w:cs="Arial"/>
                <w:b/>
                <w:bCs/>
                <w:color w:val="000000" w:themeColor="text1"/>
                <w:sz w:val="20"/>
                <w:lang w:val="hr-HR"/>
              </w:rPr>
              <w:t>122.843</w:t>
            </w:r>
          </w:p>
        </w:tc>
        <w:tc>
          <w:tcPr>
            <w:tcW w:w="682" w:type="pct"/>
            <w:tcBorders>
              <w:bottom w:val="single" w:sz="12" w:space="0" w:color="auto"/>
            </w:tcBorders>
            <w:vAlign w:val="bottom"/>
          </w:tcPr>
          <w:p w14:paraId="6BBAC60C" w14:textId="77777777" w:rsidR="00D042BF" w:rsidRPr="00B91D09" w:rsidRDefault="00D042BF" w:rsidP="00E032FC">
            <w:pPr>
              <w:pStyle w:val="Tot"/>
              <w:jc w:val="right"/>
              <w:rPr>
                <w:rFonts w:cs="Arial"/>
                <w:b/>
                <w:bCs/>
                <w:color w:val="000000" w:themeColor="text1"/>
                <w:sz w:val="20"/>
                <w:lang w:val="hr-HR"/>
              </w:rPr>
            </w:pPr>
            <w:bookmarkStart w:id="471" w:name="_Toc67327057"/>
            <w:r w:rsidRPr="00B91D09">
              <w:rPr>
                <w:rFonts w:cs="Arial"/>
                <w:b/>
                <w:bCs/>
                <w:color w:val="000000" w:themeColor="text1"/>
                <w:sz w:val="20"/>
                <w:lang w:val="hr-HR"/>
              </w:rPr>
              <w:t>163.137</w:t>
            </w:r>
            <w:bookmarkEnd w:id="471"/>
          </w:p>
        </w:tc>
      </w:tr>
    </w:tbl>
    <w:p w14:paraId="55FFB3A9" w14:textId="77777777" w:rsidR="00D042BF" w:rsidRPr="00B91D09" w:rsidRDefault="00D042BF" w:rsidP="00D042BF">
      <w:pPr>
        <w:rPr>
          <w:lang w:val="hr-HR"/>
        </w:rPr>
      </w:pPr>
    </w:p>
    <w:p w14:paraId="4D9C482A" w14:textId="77777777" w:rsidR="00D042BF" w:rsidRPr="00B91D09" w:rsidRDefault="00D042BF" w:rsidP="00D042BF">
      <w:pPr>
        <w:rPr>
          <w:lang w:val="hr-HR"/>
        </w:rPr>
      </w:pPr>
    </w:p>
    <w:p w14:paraId="7F895111" w14:textId="77777777" w:rsidR="00D042BF" w:rsidRPr="00B91D09" w:rsidRDefault="00D042BF" w:rsidP="00D042BF">
      <w:pPr>
        <w:rPr>
          <w:lang w:val="hr-HR"/>
        </w:rPr>
      </w:pPr>
    </w:p>
    <w:p w14:paraId="51F7E2E6" w14:textId="77777777" w:rsidR="00D042BF" w:rsidRPr="00B91D09" w:rsidRDefault="00D042BF" w:rsidP="00D042BF">
      <w:pPr>
        <w:rPr>
          <w:lang w:val="hr-HR"/>
        </w:rPr>
      </w:pPr>
    </w:p>
    <w:p w14:paraId="2DC876C9" w14:textId="77777777" w:rsidR="00D042BF" w:rsidRPr="00B91D09" w:rsidRDefault="00D042BF" w:rsidP="00D042BF">
      <w:pPr>
        <w:rPr>
          <w:lang w:val="hr-HR"/>
        </w:rPr>
      </w:pPr>
    </w:p>
    <w:p w14:paraId="7E81BFB4" w14:textId="77777777" w:rsidR="00D042BF" w:rsidRPr="00B91D09" w:rsidRDefault="00D042BF" w:rsidP="00D042BF">
      <w:pPr>
        <w:rPr>
          <w:lang w:val="hr-HR"/>
        </w:rPr>
      </w:pPr>
    </w:p>
    <w:p w14:paraId="52A44F8E" w14:textId="77777777" w:rsidR="00D042BF" w:rsidRPr="00D042BF" w:rsidRDefault="00D042BF" w:rsidP="00D042BF">
      <w:pPr>
        <w:rPr>
          <w:rFonts w:ascii="Arial" w:hAnsi="Arial" w:cs="Arial"/>
          <w:sz w:val="20"/>
          <w:szCs w:val="20"/>
          <w:lang w:val="hr-HR"/>
        </w:rPr>
      </w:pPr>
      <w:r w:rsidRPr="00D042BF">
        <w:rPr>
          <w:rFonts w:ascii="Arial" w:hAnsi="Arial" w:cs="Arial"/>
          <w:sz w:val="20"/>
          <w:szCs w:val="20"/>
          <w:lang w:val="hr-HR"/>
        </w:rPr>
        <w:t>Priložene računovodstvene politike i bilješke sastavni su dio ovih financijskih izvještaja.</w:t>
      </w:r>
    </w:p>
    <w:p w14:paraId="147E0AA8" w14:textId="77777777" w:rsidR="00D042BF" w:rsidRDefault="00D042BF" w:rsidP="005D22E7">
      <w:pPr>
        <w:rPr>
          <w:rFonts w:ascii="Arial" w:hAnsi="Arial" w:cs="Arial"/>
          <w:b/>
          <w:bCs/>
          <w:sz w:val="20"/>
          <w:szCs w:val="20"/>
          <w:lang w:val="hr-HR"/>
        </w:rPr>
        <w:sectPr w:rsidR="00D042BF" w:rsidSect="001856C5">
          <w:headerReference w:type="default" r:id="rId70"/>
          <w:footerReference w:type="default" r:id="rId71"/>
          <w:pgSz w:w="11906" w:h="16838"/>
          <w:pgMar w:top="1440" w:right="1440" w:bottom="1440" w:left="1440" w:header="708" w:footer="708" w:gutter="0"/>
          <w:cols w:space="708"/>
          <w:docGrid w:linePitch="360"/>
        </w:sectPr>
      </w:pPr>
    </w:p>
    <w:tbl>
      <w:tblPr>
        <w:tblW w:w="5000" w:type="pct"/>
        <w:tblInd w:w="-142" w:type="dxa"/>
        <w:tblLayout w:type="fixed"/>
        <w:tblLook w:val="0000" w:firstRow="0" w:lastRow="0" w:firstColumn="0" w:lastColumn="0" w:noHBand="0" w:noVBand="0"/>
      </w:tblPr>
      <w:tblGrid>
        <w:gridCol w:w="5257"/>
        <w:gridCol w:w="982"/>
        <w:gridCol w:w="1374"/>
        <w:gridCol w:w="1413"/>
      </w:tblGrid>
      <w:tr w:rsidR="00D042BF" w:rsidRPr="003044E5" w14:paraId="46C47412" w14:textId="77777777" w:rsidTr="00F50591">
        <w:trPr>
          <w:trHeight w:val="510"/>
        </w:trPr>
        <w:tc>
          <w:tcPr>
            <w:tcW w:w="2912" w:type="pct"/>
          </w:tcPr>
          <w:p w14:paraId="7109F97E" w14:textId="77777777" w:rsidR="00D042BF" w:rsidRPr="004B4498" w:rsidRDefault="00D042BF" w:rsidP="00E032FC">
            <w:pPr>
              <w:rPr>
                <w:rFonts w:ascii="Arial" w:hAnsi="Arial" w:cs="Arial"/>
                <w:color w:val="000000" w:themeColor="text1"/>
                <w:sz w:val="20"/>
                <w:szCs w:val="20"/>
                <w:lang w:val="hr-HR"/>
              </w:rPr>
            </w:pPr>
          </w:p>
          <w:p w14:paraId="26B5593A" w14:textId="77777777" w:rsidR="00D042BF" w:rsidRPr="004B4498" w:rsidRDefault="00D042BF" w:rsidP="00E032FC">
            <w:pPr>
              <w:rPr>
                <w:rFonts w:ascii="Arial" w:hAnsi="Arial" w:cs="Arial"/>
                <w:color w:val="000000" w:themeColor="text1"/>
                <w:sz w:val="20"/>
                <w:szCs w:val="20"/>
                <w:lang w:val="hr-HR"/>
              </w:rPr>
            </w:pPr>
          </w:p>
        </w:tc>
        <w:tc>
          <w:tcPr>
            <w:tcW w:w="544" w:type="pct"/>
            <w:vAlign w:val="bottom"/>
          </w:tcPr>
          <w:p w14:paraId="162CC2B1" w14:textId="77777777" w:rsidR="00D042BF" w:rsidRPr="004B4498" w:rsidRDefault="00D042BF" w:rsidP="00E032FC">
            <w:pPr>
              <w:jc w:val="center"/>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Bilješka</w:t>
            </w:r>
          </w:p>
        </w:tc>
        <w:tc>
          <w:tcPr>
            <w:tcW w:w="761" w:type="pct"/>
            <w:vAlign w:val="bottom"/>
          </w:tcPr>
          <w:p w14:paraId="4E35B1C1" w14:textId="77777777" w:rsidR="00D042BF" w:rsidRPr="004B4498" w:rsidRDefault="00D042BF" w:rsidP="00E032FC">
            <w:pPr>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202</w:t>
            </w:r>
            <w:r>
              <w:rPr>
                <w:rFonts w:ascii="Arial" w:hAnsi="Arial" w:cs="Arial"/>
                <w:b/>
                <w:color w:val="000000" w:themeColor="text1"/>
                <w:sz w:val="20"/>
                <w:szCs w:val="20"/>
                <w:lang w:val="hr-HR"/>
              </w:rPr>
              <w:t>2</w:t>
            </w:r>
            <w:r w:rsidRPr="004B4498">
              <w:rPr>
                <w:rFonts w:ascii="Arial" w:hAnsi="Arial" w:cs="Arial"/>
                <w:b/>
                <w:color w:val="000000" w:themeColor="text1"/>
                <w:sz w:val="20"/>
                <w:szCs w:val="20"/>
                <w:lang w:val="hr-HR"/>
              </w:rPr>
              <w:t>.</w:t>
            </w:r>
          </w:p>
        </w:tc>
        <w:tc>
          <w:tcPr>
            <w:tcW w:w="784" w:type="pct"/>
            <w:vAlign w:val="bottom"/>
          </w:tcPr>
          <w:p w14:paraId="7CF10E74" w14:textId="77777777" w:rsidR="00D042BF" w:rsidRPr="004B4498" w:rsidRDefault="00D042BF" w:rsidP="00E032FC">
            <w:pPr>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202</w:t>
            </w:r>
            <w:r>
              <w:rPr>
                <w:rFonts w:ascii="Arial" w:hAnsi="Arial" w:cs="Arial"/>
                <w:b/>
                <w:color w:val="000000" w:themeColor="text1"/>
                <w:sz w:val="20"/>
                <w:szCs w:val="20"/>
                <w:lang w:val="hr-HR"/>
              </w:rPr>
              <w:t>1</w:t>
            </w:r>
            <w:r w:rsidRPr="004B4498">
              <w:rPr>
                <w:rFonts w:ascii="Arial" w:hAnsi="Arial" w:cs="Arial"/>
                <w:b/>
                <w:color w:val="000000" w:themeColor="text1"/>
                <w:sz w:val="20"/>
                <w:szCs w:val="20"/>
                <w:lang w:val="hr-HR"/>
              </w:rPr>
              <w:t>.</w:t>
            </w:r>
          </w:p>
        </w:tc>
      </w:tr>
      <w:tr w:rsidR="00D042BF" w:rsidRPr="003044E5" w14:paraId="18799B54" w14:textId="77777777" w:rsidTr="00F50591">
        <w:trPr>
          <w:trHeight w:val="248"/>
        </w:trPr>
        <w:tc>
          <w:tcPr>
            <w:tcW w:w="2912" w:type="pct"/>
          </w:tcPr>
          <w:p w14:paraId="79A5C129" w14:textId="77777777" w:rsidR="00D042BF" w:rsidRPr="004B4498" w:rsidRDefault="00D042BF" w:rsidP="00E032FC">
            <w:pPr>
              <w:rPr>
                <w:rFonts w:ascii="Arial" w:hAnsi="Arial" w:cs="Arial"/>
                <w:color w:val="000000" w:themeColor="text1"/>
                <w:sz w:val="20"/>
                <w:szCs w:val="20"/>
                <w:lang w:val="hr-HR"/>
              </w:rPr>
            </w:pPr>
          </w:p>
        </w:tc>
        <w:tc>
          <w:tcPr>
            <w:tcW w:w="544" w:type="pct"/>
          </w:tcPr>
          <w:p w14:paraId="66F02DF0" w14:textId="77777777" w:rsidR="00D042BF" w:rsidRPr="004B4498" w:rsidRDefault="00D042BF" w:rsidP="00E032FC">
            <w:pPr>
              <w:jc w:val="center"/>
              <w:rPr>
                <w:rFonts w:ascii="Arial" w:hAnsi="Arial" w:cs="Arial"/>
                <w:b/>
                <w:color w:val="000000" w:themeColor="text1"/>
                <w:sz w:val="20"/>
                <w:szCs w:val="20"/>
                <w:lang w:val="hr-HR"/>
              </w:rPr>
            </w:pPr>
          </w:p>
        </w:tc>
        <w:tc>
          <w:tcPr>
            <w:tcW w:w="761" w:type="pct"/>
          </w:tcPr>
          <w:p w14:paraId="271F4DB2" w14:textId="77777777" w:rsidR="00D042BF" w:rsidRPr="004B4498" w:rsidRDefault="00D042BF" w:rsidP="00E032FC">
            <w:pPr>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000 kuna</w:t>
            </w:r>
          </w:p>
        </w:tc>
        <w:tc>
          <w:tcPr>
            <w:tcW w:w="784" w:type="pct"/>
          </w:tcPr>
          <w:p w14:paraId="76F462A7" w14:textId="77777777" w:rsidR="00D042BF" w:rsidRPr="004B4498" w:rsidRDefault="00D042BF" w:rsidP="00E032FC">
            <w:pPr>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000 kuna</w:t>
            </w:r>
          </w:p>
        </w:tc>
      </w:tr>
      <w:tr w:rsidR="00D042BF" w:rsidRPr="003044E5" w14:paraId="67BD27BE" w14:textId="77777777" w:rsidTr="00F50591">
        <w:trPr>
          <w:trHeight w:val="285"/>
        </w:trPr>
        <w:tc>
          <w:tcPr>
            <w:tcW w:w="2912" w:type="pct"/>
          </w:tcPr>
          <w:p w14:paraId="0C48A655" w14:textId="58F2F3B5" w:rsidR="00D042BF" w:rsidRPr="00CE654D" w:rsidRDefault="00D042BF" w:rsidP="00E032FC">
            <w:pPr>
              <w:pStyle w:val="TT"/>
              <w:rPr>
                <w:rFonts w:cs="Arial"/>
                <w:b/>
                <w:bCs/>
                <w:color w:val="000000" w:themeColor="text1"/>
                <w:sz w:val="20"/>
                <w:lang w:val="hr-HR"/>
              </w:rPr>
            </w:pPr>
            <w:bookmarkStart w:id="472" w:name="_Toc67327059"/>
            <w:r w:rsidRPr="00CE654D">
              <w:rPr>
                <w:rFonts w:cs="Arial"/>
                <w:b/>
                <w:bCs/>
                <w:color w:val="000000" w:themeColor="text1"/>
                <w:sz w:val="20"/>
                <w:lang w:val="hr-HR"/>
              </w:rPr>
              <w:t>Imovina</w:t>
            </w:r>
            <w:bookmarkEnd w:id="472"/>
          </w:p>
        </w:tc>
        <w:tc>
          <w:tcPr>
            <w:tcW w:w="544" w:type="pct"/>
          </w:tcPr>
          <w:p w14:paraId="5A21C2ED" w14:textId="77777777" w:rsidR="00D042BF" w:rsidRPr="00CE654D" w:rsidRDefault="00D042BF" w:rsidP="00E032FC">
            <w:pPr>
              <w:pStyle w:val="TT"/>
              <w:rPr>
                <w:rFonts w:cs="Arial"/>
                <w:b/>
                <w:bCs/>
                <w:color w:val="000000" w:themeColor="text1"/>
                <w:sz w:val="20"/>
                <w:lang w:val="hr-HR"/>
              </w:rPr>
            </w:pPr>
          </w:p>
        </w:tc>
        <w:tc>
          <w:tcPr>
            <w:tcW w:w="761" w:type="pct"/>
          </w:tcPr>
          <w:p w14:paraId="5C3FD2D7" w14:textId="77777777" w:rsidR="00D042BF" w:rsidRPr="00CE654D" w:rsidRDefault="00D042BF" w:rsidP="00E032FC">
            <w:pPr>
              <w:pStyle w:val="TT"/>
              <w:rPr>
                <w:rFonts w:cs="Arial"/>
                <w:b/>
                <w:bCs/>
                <w:color w:val="000000" w:themeColor="text1"/>
                <w:sz w:val="20"/>
                <w:lang w:val="hr-HR"/>
              </w:rPr>
            </w:pPr>
          </w:p>
        </w:tc>
        <w:tc>
          <w:tcPr>
            <w:tcW w:w="784" w:type="pct"/>
          </w:tcPr>
          <w:p w14:paraId="17886CA8" w14:textId="77777777" w:rsidR="00D042BF" w:rsidRPr="00CE654D" w:rsidRDefault="00D042BF" w:rsidP="00E032FC">
            <w:pPr>
              <w:pStyle w:val="TT"/>
              <w:rPr>
                <w:rFonts w:cs="Arial"/>
                <w:b/>
                <w:bCs/>
                <w:color w:val="000000" w:themeColor="text1"/>
                <w:sz w:val="20"/>
                <w:lang w:val="hr-HR"/>
              </w:rPr>
            </w:pPr>
          </w:p>
        </w:tc>
      </w:tr>
      <w:tr w:rsidR="00D042BF" w:rsidRPr="003044E5" w14:paraId="16A60553" w14:textId="77777777" w:rsidTr="00F50591">
        <w:trPr>
          <w:trHeight w:val="285"/>
        </w:trPr>
        <w:tc>
          <w:tcPr>
            <w:tcW w:w="2912" w:type="pct"/>
          </w:tcPr>
          <w:p w14:paraId="5EAAA57F" w14:textId="00391272" w:rsidR="00D042BF" w:rsidRPr="00CE654D" w:rsidRDefault="00D042BF" w:rsidP="00E032FC">
            <w:pPr>
              <w:pStyle w:val="TT"/>
              <w:rPr>
                <w:rFonts w:cs="Arial"/>
                <w:color w:val="000000" w:themeColor="text1"/>
                <w:sz w:val="20"/>
                <w:lang w:val="hr-HR"/>
              </w:rPr>
            </w:pPr>
            <w:bookmarkStart w:id="473" w:name="_Toc67327060"/>
            <w:r w:rsidRPr="00CE654D">
              <w:rPr>
                <w:rFonts w:cs="Arial"/>
                <w:color w:val="000000" w:themeColor="text1"/>
                <w:sz w:val="20"/>
                <w:lang w:val="hr-HR"/>
              </w:rPr>
              <w:t>Novčana sredstva i računi kod banaka</w:t>
            </w:r>
            <w:bookmarkEnd w:id="473"/>
          </w:p>
        </w:tc>
        <w:tc>
          <w:tcPr>
            <w:tcW w:w="544" w:type="pct"/>
            <w:vAlign w:val="bottom"/>
          </w:tcPr>
          <w:p w14:paraId="539BF48B" w14:textId="77777777" w:rsidR="00D042BF" w:rsidRPr="00CE654D" w:rsidRDefault="00D042BF" w:rsidP="00E032FC">
            <w:pPr>
              <w:pStyle w:val="TT"/>
              <w:jc w:val="center"/>
              <w:rPr>
                <w:rFonts w:cs="Arial"/>
                <w:color w:val="000000" w:themeColor="text1"/>
                <w:sz w:val="20"/>
                <w:lang w:val="hr-HR"/>
              </w:rPr>
            </w:pPr>
            <w:bookmarkStart w:id="474" w:name="_Toc67327061"/>
            <w:r w:rsidRPr="00CE654D">
              <w:rPr>
                <w:rFonts w:cs="Arial"/>
                <w:color w:val="000000" w:themeColor="text1"/>
                <w:sz w:val="20"/>
                <w:lang w:val="hr-HR"/>
              </w:rPr>
              <w:t>12</w:t>
            </w:r>
            <w:bookmarkEnd w:id="474"/>
          </w:p>
        </w:tc>
        <w:tc>
          <w:tcPr>
            <w:tcW w:w="761" w:type="pct"/>
            <w:tcBorders>
              <w:top w:val="nil"/>
              <w:left w:val="nil"/>
              <w:bottom w:val="nil"/>
              <w:right w:val="nil"/>
            </w:tcBorders>
            <w:shd w:val="clear" w:color="auto" w:fill="auto"/>
            <w:vAlign w:val="bottom"/>
          </w:tcPr>
          <w:p w14:paraId="2101588E" w14:textId="77777777" w:rsidR="00D042BF" w:rsidRPr="00CE654D" w:rsidRDefault="00D042BF" w:rsidP="00E032FC">
            <w:pPr>
              <w:pStyle w:val="TT"/>
              <w:jc w:val="right"/>
              <w:rPr>
                <w:rFonts w:cs="Arial"/>
                <w:color w:val="000000" w:themeColor="text1"/>
                <w:spacing w:val="-2"/>
                <w:sz w:val="20"/>
                <w:lang w:val="hr-HR"/>
              </w:rPr>
            </w:pPr>
            <w:r w:rsidRPr="00CE654D">
              <w:rPr>
                <w:rFonts w:cs="Arial"/>
                <w:color w:val="000000" w:themeColor="text1"/>
                <w:spacing w:val="-2"/>
                <w:sz w:val="20"/>
                <w:lang w:val="hr-HR"/>
              </w:rPr>
              <w:t>1.716.519</w:t>
            </w:r>
          </w:p>
        </w:tc>
        <w:tc>
          <w:tcPr>
            <w:tcW w:w="784" w:type="pct"/>
            <w:tcBorders>
              <w:top w:val="nil"/>
              <w:left w:val="nil"/>
              <w:bottom w:val="nil"/>
              <w:right w:val="nil"/>
            </w:tcBorders>
            <w:shd w:val="clear" w:color="auto" w:fill="auto"/>
            <w:vAlign w:val="bottom"/>
          </w:tcPr>
          <w:p w14:paraId="4BAF142E" w14:textId="77777777" w:rsidR="00D042BF" w:rsidRPr="00CE654D" w:rsidRDefault="00D042BF" w:rsidP="00E032FC">
            <w:pPr>
              <w:pStyle w:val="TT"/>
              <w:jc w:val="right"/>
              <w:rPr>
                <w:rFonts w:cs="Arial"/>
                <w:color w:val="000000" w:themeColor="text1"/>
                <w:sz w:val="20"/>
                <w:lang w:val="hr-HR"/>
              </w:rPr>
            </w:pPr>
            <w:bookmarkStart w:id="475" w:name="_Toc67327062"/>
            <w:r w:rsidRPr="00CE654D">
              <w:rPr>
                <w:rFonts w:cs="Arial"/>
                <w:snapToGrid w:val="0"/>
                <w:color w:val="000000" w:themeColor="text1"/>
                <w:sz w:val="20"/>
                <w:lang w:val="hr-HR"/>
              </w:rPr>
              <w:t>1.958.620</w:t>
            </w:r>
            <w:bookmarkEnd w:id="475"/>
          </w:p>
        </w:tc>
      </w:tr>
      <w:tr w:rsidR="00D042BF" w:rsidRPr="003044E5" w14:paraId="1B165CDD" w14:textId="77777777" w:rsidTr="00F50591">
        <w:trPr>
          <w:trHeight w:val="285"/>
        </w:trPr>
        <w:tc>
          <w:tcPr>
            <w:tcW w:w="2912" w:type="pct"/>
          </w:tcPr>
          <w:p w14:paraId="7A27081B" w14:textId="050EFCC4" w:rsidR="00D042BF" w:rsidRPr="00CE654D" w:rsidRDefault="00D042BF" w:rsidP="00E032FC">
            <w:pPr>
              <w:pStyle w:val="TT"/>
              <w:rPr>
                <w:rFonts w:cs="Arial"/>
                <w:color w:val="000000" w:themeColor="text1"/>
                <w:sz w:val="20"/>
                <w:lang w:val="hr-HR"/>
              </w:rPr>
            </w:pPr>
            <w:bookmarkStart w:id="476" w:name="_Toc67327064"/>
            <w:r w:rsidRPr="00CE654D">
              <w:rPr>
                <w:rFonts w:cs="Arial"/>
                <w:color w:val="000000" w:themeColor="text1"/>
                <w:sz w:val="20"/>
                <w:lang w:val="hr-HR"/>
              </w:rPr>
              <w:t>Depoziti kod drugih banaka</w:t>
            </w:r>
            <w:bookmarkEnd w:id="476"/>
          </w:p>
        </w:tc>
        <w:tc>
          <w:tcPr>
            <w:tcW w:w="544" w:type="pct"/>
            <w:vAlign w:val="bottom"/>
          </w:tcPr>
          <w:p w14:paraId="466EF489" w14:textId="77777777" w:rsidR="00D042BF" w:rsidRPr="00CE654D" w:rsidRDefault="00D042BF" w:rsidP="00E032FC">
            <w:pPr>
              <w:pStyle w:val="TT"/>
              <w:jc w:val="center"/>
              <w:rPr>
                <w:rFonts w:cs="Arial"/>
                <w:color w:val="000000" w:themeColor="text1"/>
                <w:sz w:val="20"/>
                <w:lang w:val="hr-HR"/>
              </w:rPr>
            </w:pPr>
            <w:bookmarkStart w:id="477" w:name="_Toc67327065"/>
            <w:r w:rsidRPr="00CE654D">
              <w:rPr>
                <w:rFonts w:cs="Arial"/>
                <w:color w:val="000000" w:themeColor="text1"/>
                <w:sz w:val="20"/>
                <w:lang w:val="hr-HR"/>
              </w:rPr>
              <w:t>13</w:t>
            </w:r>
            <w:bookmarkEnd w:id="477"/>
          </w:p>
        </w:tc>
        <w:tc>
          <w:tcPr>
            <w:tcW w:w="761" w:type="pct"/>
            <w:tcBorders>
              <w:top w:val="nil"/>
              <w:left w:val="nil"/>
              <w:bottom w:val="nil"/>
              <w:right w:val="nil"/>
            </w:tcBorders>
            <w:shd w:val="clear" w:color="auto" w:fill="auto"/>
            <w:vAlign w:val="bottom"/>
          </w:tcPr>
          <w:p w14:paraId="29A80802" w14:textId="77777777" w:rsidR="00D042BF" w:rsidRPr="00CE654D" w:rsidRDefault="00D042BF" w:rsidP="00E032FC">
            <w:pPr>
              <w:pStyle w:val="TT"/>
              <w:jc w:val="right"/>
              <w:rPr>
                <w:rFonts w:cs="Arial"/>
                <w:color w:val="000000" w:themeColor="text1"/>
                <w:spacing w:val="-2"/>
                <w:sz w:val="20"/>
                <w:lang w:val="hr-HR"/>
              </w:rPr>
            </w:pPr>
            <w:r w:rsidRPr="00CE654D">
              <w:rPr>
                <w:rFonts w:cs="Arial"/>
                <w:color w:val="000000" w:themeColor="text1"/>
                <w:spacing w:val="-2"/>
                <w:sz w:val="20"/>
                <w:lang w:val="hr-HR"/>
              </w:rPr>
              <w:t>10.596</w:t>
            </w:r>
          </w:p>
        </w:tc>
        <w:tc>
          <w:tcPr>
            <w:tcW w:w="784" w:type="pct"/>
            <w:tcBorders>
              <w:top w:val="nil"/>
              <w:left w:val="nil"/>
              <w:bottom w:val="nil"/>
              <w:right w:val="nil"/>
            </w:tcBorders>
            <w:shd w:val="clear" w:color="auto" w:fill="auto"/>
            <w:vAlign w:val="bottom"/>
          </w:tcPr>
          <w:p w14:paraId="2E47FF35" w14:textId="77777777" w:rsidR="00D042BF" w:rsidRPr="00CE654D" w:rsidRDefault="00D042BF" w:rsidP="00E032FC">
            <w:pPr>
              <w:pStyle w:val="TT"/>
              <w:jc w:val="right"/>
              <w:rPr>
                <w:rFonts w:cs="Arial"/>
                <w:color w:val="000000" w:themeColor="text1"/>
                <w:sz w:val="20"/>
                <w:lang w:val="hr-HR"/>
              </w:rPr>
            </w:pPr>
            <w:bookmarkStart w:id="478" w:name="_Toc67327066"/>
            <w:r w:rsidRPr="00CE654D">
              <w:rPr>
                <w:rFonts w:cs="Arial"/>
                <w:snapToGrid w:val="0"/>
                <w:color w:val="000000" w:themeColor="text1"/>
                <w:sz w:val="20"/>
                <w:lang w:val="hr-HR"/>
              </w:rPr>
              <w:t>7.500</w:t>
            </w:r>
            <w:bookmarkEnd w:id="478"/>
          </w:p>
        </w:tc>
      </w:tr>
      <w:tr w:rsidR="00D042BF" w:rsidRPr="003044E5" w14:paraId="4A6964BE" w14:textId="77777777" w:rsidTr="00F50591">
        <w:trPr>
          <w:trHeight w:val="285"/>
        </w:trPr>
        <w:tc>
          <w:tcPr>
            <w:tcW w:w="2912" w:type="pct"/>
          </w:tcPr>
          <w:p w14:paraId="43F53E23" w14:textId="20CDA7D7" w:rsidR="00D042BF" w:rsidRPr="00CE654D" w:rsidRDefault="00D042BF" w:rsidP="00E032FC">
            <w:pPr>
              <w:pStyle w:val="TT"/>
              <w:rPr>
                <w:rFonts w:cs="Arial"/>
                <w:color w:val="000000" w:themeColor="text1"/>
                <w:sz w:val="20"/>
                <w:lang w:val="hr-HR"/>
              </w:rPr>
            </w:pPr>
            <w:bookmarkStart w:id="479" w:name="_Toc67327068"/>
            <w:r w:rsidRPr="00CE654D">
              <w:rPr>
                <w:rFonts w:cs="Arial"/>
                <w:color w:val="000000" w:themeColor="text1"/>
                <w:sz w:val="20"/>
                <w:lang w:val="hr-HR"/>
              </w:rPr>
              <w:t>Krediti financijskim institucijama</w:t>
            </w:r>
            <w:bookmarkEnd w:id="479"/>
          </w:p>
        </w:tc>
        <w:tc>
          <w:tcPr>
            <w:tcW w:w="544" w:type="pct"/>
            <w:vAlign w:val="bottom"/>
          </w:tcPr>
          <w:p w14:paraId="325D92DE" w14:textId="77777777" w:rsidR="00D042BF" w:rsidRPr="00CE654D" w:rsidRDefault="00D042BF" w:rsidP="00E032FC">
            <w:pPr>
              <w:pStyle w:val="TT"/>
              <w:jc w:val="center"/>
              <w:rPr>
                <w:rFonts w:cs="Arial"/>
                <w:color w:val="000000" w:themeColor="text1"/>
                <w:sz w:val="20"/>
                <w:lang w:val="hr-HR"/>
              </w:rPr>
            </w:pPr>
            <w:bookmarkStart w:id="480" w:name="_Toc67327069"/>
            <w:r w:rsidRPr="00CE654D">
              <w:rPr>
                <w:rFonts w:cs="Arial"/>
                <w:color w:val="000000" w:themeColor="text1"/>
                <w:sz w:val="20"/>
                <w:lang w:val="hr-HR"/>
              </w:rPr>
              <w:t>14</w:t>
            </w:r>
            <w:bookmarkEnd w:id="480"/>
          </w:p>
        </w:tc>
        <w:tc>
          <w:tcPr>
            <w:tcW w:w="761" w:type="pct"/>
            <w:tcBorders>
              <w:top w:val="nil"/>
              <w:left w:val="nil"/>
              <w:bottom w:val="nil"/>
              <w:right w:val="nil"/>
            </w:tcBorders>
            <w:shd w:val="clear" w:color="auto" w:fill="auto"/>
            <w:vAlign w:val="bottom"/>
          </w:tcPr>
          <w:p w14:paraId="4AD8136F" w14:textId="77777777" w:rsidR="00D042BF" w:rsidRPr="00CE654D" w:rsidRDefault="00D042BF" w:rsidP="00E032FC">
            <w:pPr>
              <w:pStyle w:val="TT"/>
              <w:jc w:val="right"/>
              <w:rPr>
                <w:rFonts w:cs="Arial"/>
                <w:color w:val="000000" w:themeColor="text1"/>
                <w:spacing w:val="-2"/>
                <w:sz w:val="20"/>
                <w:lang w:val="hr-HR"/>
              </w:rPr>
            </w:pPr>
            <w:r w:rsidRPr="00CE654D">
              <w:rPr>
                <w:rFonts w:cs="Arial"/>
                <w:color w:val="000000" w:themeColor="text1"/>
                <w:spacing w:val="-2"/>
                <w:sz w:val="20"/>
                <w:lang w:val="hr-HR"/>
              </w:rPr>
              <w:t>6.984.712</w:t>
            </w:r>
          </w:p>
        </w:tc>
        <w:tc>
          <w:tcPr>
            <w:tcW w:w="784" w:type="pct"/>
            <w:tcBorders>
              <w:top w:val="nil"/>
              <w:left w:val="nil"/>
              <w:bottom w:val="nil"/>
              <w:right w:val="nil"/>
            </w:tcBorders>
            <w:shd w:val="clear" w:color="auto" w:fill="auto"/>
            <w:vAlign w:val="bottom"/>
          </w:tcPr>
          <w:p w14:paraId="5E6E596C" w14:textId="77777777" w:rsidR="00D042BF" w:rsidRPr="00CE654D" w:rsidRDefault="00D042BF" w:rsidP="00E032FC">
            <w:pPr>
              <w:pStyle w:val="TT"/>
              <w:jc w:val="right"/>
              <w:rPr>
                <w:rFonts w:cs="Arial"/>
                <w:color w:val="000000" w:themeColor="text1"/>
                <w:sz w:val="20"/>
                <w:lang w:val="hr-HR"/>
              </w:rPr>
            </w:pPr>
            <w:bookmarkStart w:id="481" w:name="_Toc67327070"/>
            <w:r w:rsidRPr="00CE654D">
              <w:rPr>
                <w:rFonts w:cs="Arial"/>
                <w:snapToGrid w:val="0"/>
                <w:color w:val="000000" w:themeColor="text1"/>
                <w:sz w:val="20"/>
                <w:lang w:val="hr-HR"/>
              </w:rPr>
              <w:t>7.050.143</w:t>
            </w:r>
            <w:bookmarkEnd w:id="481"/>
          </w:p>
        </w:tc>
      </w:tr>
      <w:tr w:rsidR="00D042BF" w:rsidRPr="003044E5" w14:paraId="11782324" w14:textId="77777777" w:rsidTr="00F50591">
        <w:trPr>
          <w:trHeight w:val="297"/>
        </w:trPr>
        <w:tc>
          <w:tcPr>
            <w:tcW w:w="2912" w:type="pct"/>
          </w:tcPr>
          <w:p w14:paraId="484AA510" w14:textId="4F0F589A" w:rsidR="00D042BF" w:rsidRPr="00CE654D" w:rsidRDefault="00D042BF" w:rsidP="00E032FC">
            <w:pPr>
              <w:pStyle w:val="TT"/>
              <w:rPr>
                <w:rFonts w:cs="Arial"/>
                <w:color w:val="000000" w:themeColor="text1"/>
                <w:sz w:val="20"/>
                <w:lang w:val="hr-HR"/>
              </w:rPr>
            </w:pPr>
            <w:bookmarkStart w:id="482" w:name="_Toc67327072"/>
            <w:r w:rsidRPr="00CE654D">
              <w:rPr>
                <w:rFonts w:cs="Arial"/>
                <w:color w:val="000000" w:themeColor="text1"/>
                <w:sz w:val="20"/>
                <w:lang w:val="hr-HR"/>
              </w:rPr>
              <w:t>Krediti ostalim korisnicima</w:t>
            </w:r>
            <w:bookmarkEnd w:id="482"/>
          </w:p>
        </w:tc>
        <w:tc>
          <w:tcPr>
            <w:tcW w:w="544" w:type="pct"/>
            <w:vAlign w:val="bottom"/>
          </w:tcPr>
          <w:p w14:paraId="72AB410F" w14:textId="77777777" w:rsidR="00D042BF" w:rsidRPr="00CE654D" w:rsidRDefault="00D042BF" w:rsidP="00E032FC">
            <w:pPr>
              <w:pStyle w:val="TT"/>
              <w:jc w:val="center"/>
              <w:rPr>
                <w:rFonts w:cs="Arial"/>
                <w:color w:val="000000" w:themeColor="text1"/>
                <w:sz w:val="20"/>
                <w:lang w:val="hr-HR"/>
              </w:rPr>
            </w:pPr>
            <w:bookmarkStart w:id="483" w:name="_Toc67327073"/>
            <w:r w:rsidRPr="00CE654D">
              <w:rPr>
                <w:rFonts w:cs="Arial"/>
                <w:color w:val="000000" w:themeColor="text1"/>
                <w:sz w:val="20"/>
                <w:lang w:val="hr-HR"/>
              </w:rPr>
              <w:t>15</w:t>
            </w:r>
            <w:bookmarkEnd w:id="483"/>
          </w:p>
        </w:tc>
        <w:tc>
          <w:tcPr>
            <w:tcW w:w="761" w:type="pct"/>
            <w:tcBorders>
              <w:top w:val="nil"/>
              <w:left w:val="nil"/>
              <w:bottom w:val="nil"/>
              <w:right w:val="nil"/>
            </w:tcBorders>
            <w:shd w:val="clear" w:color="auto" w:fill="auto"/>
            <w:vAlign w:val="bottom"/>
          </w:tcPr>
          <w:p w14:paraId="2EEBCC05" w14:textId="77777777" w:rsidR="00D042BF" w:rsidRPr="00CE654D" w:rsidRDefault="00D042BF" w:rsidP="00E032FC">
            <w:pPr>
              <w:pStyle w:val="TT"/>
              <w:jc w:val="right"/>
              <w:rPr>
                <w:rFonts w:cs="Arial"/>
                <w:color w:val="000000" w:themeColor="text1"/>
                <w:spacing w:val="-2"/>
                <w:sz w:val="20"/>
                <w:lang w:val="hr-HR"/>
              </w:rPr>
            </w:pPr>
            <w:r w:rsidRPr="00CE654D">
              <w:rPr>
                <w:rFonts w:cs="Arial"/>
                <w:color w:val="000000" w:themeColor="text1"/>
                <w:spacing w:val="-2"/>
                <w:sz w:val="20"/>
                <w:lang w:val="hr-HR"/>
              </w:rPr>
              <w:t>17.402.666</w:t>
            </w:r>
          </w:p>
        </w:tc>
        <w:tc>
          <w:tcPr>
            <w:tcW w:w="784" w:type="pct"/>
            <w:tcBorders>
              <w:top w:val="nil"/>
              <w:left w:val="nil"/>
              <w:bottom w:val="nil"/>
              <w:right w:val="nil"/>
            </w:tcBorders>
            <w:shd w:val="clear" w:color="auto" w:fill="auto"/>
            <w:vAlign w:val="bottom"/>
          </w:tcPr>
          <w:p w14:paraId="26FEA120" w14:textId="77777777" w:rsidR="00D042BF" w:rsidRPr="00CE654D" w:rsidRDefault="00D042BF" w:rsidP="00E032FC">
            <w:pPr>
              <w:pStyle w:val="TT"/>
              <w:jc w:val="right"/>
              <w:rPr>
                <w:rFonts w:cs="Arial"/>
                <w:color w:val="000000" w:themeColor="text1"/>
                <w:sz w:val="20"/>
                <w:lang w:val="hr-HR"/>
              </w:rPr>
            </w:pPr>
            <w:bookmarkStart w:id="484" w:name="_Toc67327074"/>
            <w:r w:rsidRPr="00CE654D">
              <w:rPr>
                <w:rFonts w:cs="Arial"/>
                <w:color w:val="000000" w:themeColor="text1"/>
                <w:spacing w:val="-2"/>
                <w:sz w:val="20"/>
                <w:lang w:val="hr-HR"/>
              </w:rPr>
              <w:t>15.964.376</w:t>
            </w:r>
            <w:bookmarkEnd w:id="484"/>
          </w:p>
        </w:tc>
      </w:tr>
      <w:tr w:rsidR="00D042BF" w:rsidRPr="003044E5" w14:paraId="725D9B54" w14:textId="77777777" w:rsidTr="00F50591">
        <w:trPr>
          <w:trHeight w:val="297"/>
        </w:trPr>
        <w:tc>
          <w:tcPr>
            <w:tcW w:w="2912" w:type="pct"/>
            <w:tcBorders>
              <w:top w:val="nil"/>
              <w:left w:val="nil"/>
              <w:bottom w:val="nil"/>
              <w:right w:val="nil"/>
            </w:tcBorders>
            <w:shd w:val="clear" w:color="auto" w:fill="auto"/>
            <w:vAlign w:val="center"/>
          </w:tcPr>
          <w:p w14:paraId="48E8DFBD" w14:textId="7EF6BEF0" w:rsidR="00D042BF" w:rsidRPr="00CE654D" w:rsidRDefault="00D042BF" w:rsidP="00E032FC">
            <w:pPr>
              <w:pStyle w:val="TT"/>
              <w:rPr>
                <w:rFonts w:cs="Arial"/>
                <w:color w:val="000000" w:themeColor="text1"/>
                <w:sz w:val="20"/>
                <w:lang w:val="hr-HR"/>
              </w:rPr>
            </w:pPr>
            <w:bookmarkStart w:id="485" w:name="_Toc67327076"/>
            <w:r w:rsidRPr="00CE654D">
              <w:rPr>
                <w:rFonts w:cs="Arial"/>
                <w:color w:val="000000" w:themeColor="text1"/>
                <w:sz w:val="20"/>
                <w:lang w:val="hr-HR"/>
              </w:rPr>
              <w:t>Financijska imovina po fer vrijednosti kroz dobit ili gubitak</w:t>
            </w:r>
            <w:bookmarkEnd w:id="485"/>
          </w:p>
        </w:tc>
        <w:tc>
          <w:tcPr>
            <w:tcW w:w="544" w:type="pct"/>
            <w:vAlign w:val="bottom"/>
          </w:tcPr>
          <w:p w14:paraId="28DC3053" w14:textId="77777777" w:rsidR="00D042BF" w:rsidRPr="00CE654D" w:rsidRDefault="00D042BF" w:rsidP="00E032FC">
            <w:pPr>
              <w:pStyle w:val="TT"/>
              <w:jc w:val="center"/>
              <w:rPr>
                <w:rFonts w:cs="Arial"/>
                <w:color w:val="000000" w:themeColor="text1"/>
                <w:sz w:val="20"/>
                <w:lang w:val="hr-HR"/>
              </w:rPr>
            </w:pPr>
            <w:bookmarkStart w:id="486" w:name="_Toc67327077"/>
            <w:r w:rsidRPr="00CE654D">
              <w:rPr>
                <w:rFonts w:cs="Arial"/>
                <w:color w:val="000000" w:themeColor="text1"/>
                <w:sz w:val="20"/>
                <w:lang w:val="hr-HR"/>
              </w:rPr>
              <w:t>16</w:t>
            </w:r>
            <w:bookmarkEnd w:id="486"/>
          </w:p>
        </w:tc>
        <w:tc>
          <w:tcPr>
            <w:tcW w:w="761" w:type="pct"/>
            <w:tcBorders>
              <w:top w:val="nil"/>
              <w:left w:val="nil"/>
              <w:bottom w:val="nil"/>
              <w:right w:val="nil"/>
            </w:tcBorders>
            <w:shd w:val="clear" w:color="auto" w:fill="auto"/>
            <w:vAlign w:val="bottom"/>
          </w:tcPr>
          <w:p w14:paraId="2236B1C0" w14:textId="77777777" w:rsidR="00D042BF" w:rsidRPr="00CE654D" w:rsidRDefault="00D042BF" w:rsidP="00E032FC">
            <w:pPr>
              <w:pStyle w:val="TT"/>
              <w:jc w:val="right"/>
              <w:rPr>
                <w:rFonts w:cs="Arial"/>
                <w:color w:val="000000" w:themeColor="text1"/>
                <w:spacing w:val="-2"/>
                <w:sz w:val="20"/>
                <w:lang w:val="hr-HR"/>
              </w:rPr>
            </w:pPr>
            <w:r w:rsidRPr="00CE654D">
              <w:rPr>
                <w:rFonts w:cs="Arial"/>
                <w:color w:val="000000" w:themeColor="text1"/>
                <w:spacing w:val="-2"/>
                <w:sz w:val="20"/>
                <w:lang w:val="hr-HR"/>
              </w:rPr>
              <w:t>131.523</w:t>
            </w:r>
          </w:p>
        </w:tc>
        <w:tc>
          <w:tcPr>
            <w:tcW w:w="784" w:type="pct"/>
            <w:tcBorders>
              <w:top w:val="nil"/>
              <w:left w:val="nil"/>
              <w:bottom w:val="nil"/>
              <w:right w:val="nil"/>
            </w:tcBorders>
            <w:shd w:val="clear" w:color="auto" w:fill="auto"/>
            <w:vAlign w:val="bottom"/>
          </w:tcPr>
          <w:p w14:paraId="274DE52C" w14:textId="77777777" w:rsidR="00D042BF" w:rsidRPr="00CE654D" w:rsidRDefault="00D042BF" w:rsidP="00E032FC">
            <w:pPr>
              <w:pStyle w:val="TT"/>
              <w:jc w:val="right"/>
              <w:rPr>
                <w:rFonts w:cs="Arial"/>
                <w:color w:val="000000" w:themeColor="text1"/>
                <w:sz w:val="20"/>
                <w:lang w:val="hr-HR"/>
              </w:rPr>
            </w:pPr>
            <w:bookmarkStart w:id="487" w:name="_Toc67327078"/>
            <w:r w:rsidRPr="00CE654D">
              <w:rPr>
                <w:rFonts w:cs="Arial"/>
                <w:color w:val="000000" w:themeColor="text1"/>
                <w:spacing w:val="-2"/>
                <w:sz w:val="20"/>
                <w:lang w:val="hr-HR"/>
              </w:rPr>
              <w:t>218.984</w:t>
            </w:r>
            <w:bookmarkEnd w:id="487"/>
          </w:p>
        </w:tc>
      </w:tr>
      <w:tr w:rsidR="00D042BF" w:rsidRPr="003044E5" w14:paraId="7EAF241A" w14:textId="77777777" w:rsidTr="00F50591">
        <w:trPr>
          <w:trHeight w:val="297"/>
        </w:trPr>
        <w:tc>
          <w:tcPr>
            <w:tcW w:w="2912" w:type="pct"/>
            <w:tcBorders>
              <w:top w:val="nil"/>
              <w:left w:val="nil"/>
              <w:bottom w:val="nil"/>
              <w:right w:val="nil"/>
            </w:tcBorders>
            <w:shd w:val="clear" w:color="auto" w:fill="auto"/>
            <w:vAlign w:val="bottom"/>
          </w:tcPr>
          <w:p w14:paraId="0C1CD743" w14:textId="6C1FCA3F" w:rsidR="00D042BF" w:rsidRPr="00CE654D" w:rsidRDefault="00D042BF" w:rsidP="00E032FC">
            <w:pPr>
              <w:pStyle w:val="TT"/>
              <w:rPr>
                <w:rFonts w:cs="Arial"/>
                <w:color w:val="000000" w:themeColor="text1"/>
                <w:sz w:val="20"/>
                <w:lang w:val="hr-HR"/>
              </w:rPr>
            </w:pPr>
            <w:bookmarkStart w:id="488" w:name="_Toc67327080"/>
            <w:r w:rsidRPr="00CE654D">
              <w:rPr>
                <w:rFonts w:cs="Arial"/>
                <w:color w:val="000000" w:themeColor="text1"/>
                <w:sz w:val="20"/>
                <w:lang w:val="hr-HR"/>
              </w:rPr>
              <w:t>Financijska imovina po fer vrijednosti kroz ostalu sveobuhvatnu dobit</w:t>
            </w:r>
            <w:bookmarkEnd w:id="488"/>
          </w:p>
        </w:tc>
        <w:tc>
          <w:tcPr>
            <w:tcW w:w="544" w:type="pct"/>
            <w:vAlign w:val="bottom"/>
          </w:tcPr>
          <w:p w14:paraId="497ACEA0" w14:textId="77777777" w:rsidR="00D042BF" w:rsidRPr="00CE654D" w:rsidRDefault="00D042BF" w:rsidP="00E032FC">
            <w:pPr>
              <w:pStyle w:val="TT"/>
              <w:jc w:val="center"/>
              <w:rPr>
                <w:rFonts w:cs="Arial"/>
                <w:color w:val="000000" w:themeColor="text1"/>
                <w:sz w:val="20"/>
                <w:lang w:val="hr-HR"/>
              </w:rPr>
            </w:pPr>
            <w:bookmarkStart w:id="489" w:name="_Toc67327081"/>
            <w:r w:rsidRPr="00CE654D">
              <w:rPr>
                <w:rFonts w:cs="Arial"/>
                <w:color w:val="000000" w:themeColor="text1"/>
                <w:sz w:val="20"/>
                <w:lang w:val="hr-HR"/>
              </w:rPr>
              <w:t>17</w:t>
            </w:r>
            <w:bookmarkEnd w:id="489"/>
          </w:p>
        </w:tc>
        <w:tc>
          <w:tcPr>
            <w:tcW w:w="761" w:type="pct"/>
            <w:tcBorders>
              <w:top w:val="nil"/>
              <w:left w:val="nil"/>
              <w:bottom w:val="nil"/>
              <w:right w:val="nil"/>
            </w:tcBorders>
            <w:shd w:val="clear" w:color="auto" w:fill="auto"/>
            <w:vAlign w:val="bottom"/>
          </w:tcPr>
          <w:p w14:paraId="0755AD31" w14:textId="77777777" w:rsidR="00D042BF" w:rsidRPr="00CE654D" w:rsidRDefault="00D042BF" w:rsidP="00E032FC">
            <w:pPr>
              <w:pStyle w:val="TT"/>
              <w:jc w:val="right"/>
              <w:rPr>
                <w:rFonts w:cs="Arial"/>
                <w:color w:val="000000" w:themeColor="text1"/>
                <w:spacing w:val="-2"/>
                <w:sz w:val="20"/>
                <w:lang w:val="hr-HR"/>
              </w:rPr>
            </w:pPr>
            <w:r w:rsidRPr="00CE654D">
              <w:rPr>
                <w:rFonts w:cs="Arial"/>
                <w:color w:val="000000" w:themeColor="text1"/>
                <w:spacing w:val="-2"/>
                <w:sz w:val="20"/>
                <w:lang w:val="hr-HR"/>
              </w:rPr>
              <w:t>2.639.472</w:t>
            </w:r>
          </w:p>
        </w:tc>
        <w:tc>
          <w:tcPr>
            <w:tcW w:w="784" w:type="pct"/>
            <w:tcBorders>
              <w:top w:val="nil"/>
              <w:left w:val="nil"/>
              <w:bottom w:val="nil"/>
              <w:right w:val="nil"/>
            </w:tcBorders>
            <w:shd w:val="clear" w:color="auto" w:fill="auto"/>
            <w:vAlign w:val="bottom"/>
          </w:tcPr>
          <w:p w14:paraId="7CE1D4D7" w14:textId="77777777" w:rsidR="00D042BF" w:rsidRPr="00CE654D" w:rsidRDefault="00D042BF" w:rsidP="00E032FC">
            <w:pPr>
              <w:pStyle w:val="TT"/>
              <w:jc w:val="right"/>
              <w:rPr>
                <w:rFonts w:cs="Arial"/>
                <w:color w:val="000000" w:themeColor="text1"/>
                <w:sz w:val="20"/>
                <w:lang w:val="hr-HR"/>
              </w:rPr>
            </w:pPr>
            <w:bookmarkStart w:id="490" w:name="_Toc67327082"/>
            <w:r w:rsidRPr="00CE654D">
              <w:rPr>
                <w:rFonts w:cs="Arial"/>
                <w:color w:val="000000" w:themeColor="text1"/>
                <w:spacing w:val="-2"/>
                <w:sz w:val="20"/>
                <w:lang w:val="hr-HR"/>
              </w:rPr>
              <w:t>2.915.704</w:t>
            </w:r>
            <w:bookmarkEnd w:id="490"/>
          </w:p>
        </w:tc>
      </w:tr>
      <w:tr w:rsidR="00D042BF" w:rsidRPr="003044E5" w14:paraId="0CD8B3A4" w14:textId="77777777" w:rsidTr="00F50591">
        <w:trPr>
          <w:trHeight w:val="285"/>
        </w:trPr>
        <w:tc>
          <w:tcPr>
            <w:tcW w:w="2912" w:type="pct"/>
          </w:tcPr>
          <w:p w14:paraId="2008FE25" w14:textId="50221DED" w:rsidR="00D042BF" w:rsidRPr="00CE654D" w:rsidRDefault="00D042BF" w:rsidP="00E032FC">
            <w:pPr>
              <w:pStyle w:val="TT"/>
              <w:rPr>
                <w:rFonts w:cs="Arial"/>
                <w:color w:val="000000" w:themeColor="text1"/>
                <w:sz w:val="20"/>
                <w:lang w:val="hr-HR"/>
              </w:rPr>
            </w:pPr>
            <w:bookmarkStart w:id="491" w:name="_Toc67327084"/>
            <w:r w:rsidRPr="00CE654D">
              <w:rPr>
                <w:rFonts w:cs="Arial"/>
                <w:color w:val="000000" w:themeColor="text1"/>
                <w:sz w:val="20"/>
                <w:lang w:val="hr-HR"/>
              </w:rPr>
              <w:t>Ulaganja u ovisna društva</w:t>
            </w:r>
            <w:bookmarkEnd w:id="491"/>
          </w:p>
        </w:tc>
        <w:tc>
          <w:tcPr>
            <w:tcW w:w="544" w:type="pct"/>
            <w:vAlign w:val="bottom"/>
          </w:tcPr>
          <w:p w14:paraId="140A9F4B" w14:textId="77777777" w:rsidR="00D042BF" w:rsidRPr="00CE654D" w:rsidRDefault="00D042BF" w:rsidP="00E032FC">
            <w:pPr>
              <w:pStyle w:val="TT"/>
              <w:jc w:val="center"/>
              <w:rPr>
                <w:rFonts w:cs="Arial"/>
                <w:color w:val="000000" w:themeColor="text1"/>
                <w:sz w:val="20"/>
                <w:lang w:val="hr-HR"/>
              </w:rPr>
            </w:pPr>
            <w:bookmarkStart w:id="492" w:name="_Toc67327085"/>
            <w:r w:rsidRPr="00CE654D">
              <w:rPr>
                <w:rFonts w:cs="Arial"/>
                <w:color w:val="000000" w:themeColor="text1"/>
                <w:sz w:val="20"/>
                <w:lang w:val="hr-HR"/>
              </w:rPr>
              <w:t>18</w:t>
            </w:r>
            <w:bookmarkEnd w:id="492"/>
          </w:p>
        </w:tc>
        <w:tc>
          <w:tcPr>
            <w:tcW w:w="761" w:type="pct"/>
            <w:tcBorders>
              <w:top w:val="nil"/>
              <w:left w:val="nil"/>
              <w:bottom w:val="nil"/>
              <w:right w:val="nil"/>
            </w:tcBorders>
            <w:shd w:val="clear" w:color="auto" w:fill="auto"/>
            <w:vAlign w:val="bottom"/>
          </w:tcPr>
          <w:p w14:paraId="768DCF84" w14:textId="77777777" w:rsidR="00D042BF" w:rsidRPr="00CE654D" w:rsidRDefault="00D042BF" w:rsidP="00E032FC">
            <w:pPr>
              <w:pStyle w:val="TT"/>
              <w:jc w:val="right"/>
              <w:rPr>
                <w:rFonts w:cs="Arial"/>
                <w:color w:val="000000" w:themeColor="text1"/>
                <w:spacing w:val="-2"/>
                <w:sz w:val="20"/>
                <w:lang w:val="hr-HR"/>
              </w:rPr>
            </w:pPr>
            <w:r w:rsidRPr="00CE654D">
              <w:rPr>
                <w:rFonts w:cs="Arial"/>
                <w:color w:val="000000" w:themeColor="text1"/>
                <w:spacing w:val="-2"/>
                <w:sz w:val="20"/>
                <w:lang w:val="hr-HR"/>
              </w:rPr>
              <w:t>56.124</w:t>
            </w:r>
          </w:p>
        </w:tc>
        <w:tc>
          <w:tcPr>
            <w:tcW w:w="784" w:type="pct"/>
            <w:tcBorders>
              <w:top w:val="nil"/>
              <w:left w:val="nil"/>
              <w:bottom w:val="nil"/>
              <w:right w:val="nil"/>
            </w:tcBorders>
            <w:shd w:val="clear" w:color="auto" w:fill="auto"/>
            <w:vAlign w:val="bottom"/>
          </w:tcPr>
          <w:p w14:paraId="395F01E6" w14:textId="77777777" w:rsidR="00D042BF" w:rsidRPr="00CE654D" w:rsidRDefault="00D042BF" w:rsidP="00E032FC">
            <w:pPr>
              <w:pStyle w:val="TT"/>
              <w:jc w:val="right"/>
              <w:rPr>
                <w:rFonts w:cs="Arial"/>
                <w:snapToGrid w:val="0"/>
                <w:color w:val="000000" w:themeColor="text1"/>
                <w:sz w:val="20"/>
                <w:lang w:val="hr-HR"/>
              </w:rPr>
            </w:pPr>
            <w:bookmarkStart w:id="493" w:name="_Toc67327086"/>
            <w:r w:rsidRPr="00CE654D">
              <w:rPr>
                <w:rFonts w:cs="Arial"/>
                <w:snapToGrid w:val="0"/>
                <w:color w:val="000000" w:themeColor="text1"/>
                <w:sz w:val="20"/>
                <w:lang w:val="hr-HR"/>
              </w:rPr>
              <w:t>36.124</w:t>
            </w:r>
            <w:bookmarkEnd w:id="493"/>
          </w:p>
        </w:tc>
      </w:tr>
      <w:tr w:rsidR="00D042BF" w:rsidRPr="003044E5" w14:paraId="49EA49DA" w14:textId="77777777" w:rsidTr="00F50591">
        <w:trPr>
          <w:trHeight w:val="253"/>
        </w:trPr>
        <w:tc>
          <w:tcPr>
            <w:tcW w:w="2912" w:type="pct"/>
            <w:vAlign w:val="bottom"/>
          </w:tcPr>
          <w:p w14:paraId="7070614F" w14:textId="3E5AB858" w:rsidR="00D042BF" w:rsidRPr="00CE654D" w:rsidRDefault="00D042BF" w:rsidP="00E032FC">
            <w:pPr>
              <w:pStyle w:val="TT"/>
              <w:rPr>
                <w:rFonts w:cs="Arial"/>
                <w:color w:val="000000" w:themeColor="text1"/>
                <w:sz w:val="20"/>
                <w:lang w:val="hr-HR"/>
              </w:rPr>
            </w:pPr>
            <w:bookmarkStart w:id="494" w:name="_Toc67327092"/>
            <w:r w:rsidRPr="00CE654D">
              <w:rPr>
                <w:rFonts w:cs="Arial"/>
                <w:color w:val="000000" w:themeColor="text1"/>
                <w:sz w:val="20"/>
                <w:lang w:val="hr-HR"/>
              </w:rPr>
              <w:t>Nekretnine, postrojenja i oprema i nematerijalna imovina</w:t>
            </w:r>
            <w:bookmarkEnd w:id="494"/>
          </w:p>
        </w:tc>
        <w:tc>
          <w:tcPr>
            <w:tcW w:w="544" w:type="pct"/>
            <w:vAlign w:val="bottom"/>
          </w:tcPr>
          <w:p w14:paraId="2251FF86" w14:textId="77777777" w:rsidR="00D042BF" w:rsidRPr="00CE654D" w:rsidRDefault="00D042BF" w:rsidP="00E032FC">
            <w:pPr>
              <w:pStyle w:val="TT"/>
              <w:jc w:val="center"/>
              <w:rPr>
                <w:rFonts w:cs="Arial"/>
                <w:color w:val="000000" w:themeColor="text1"/>
                <w:sz w:val="20"/>
                <w:lang w:val="hr-HR"/>
              </w:rPr>
            </w:pPr>
            <w:r w:rsidRPr="00CE654D">
              <w:rPr>
                <w:rFonts w:cs="Arial"/>
                <w:color w:val="000000" w:themeColor="text1"/>
                <w:sz w:val="20"/>
                <w:lang w:val="hr-HR"/>
              </w:rPr>
              <w:t>19</w:t>
            </w:r>
          </w:p>
        </w:tc>
        <w:tc>
          <w:tcPr>
            <w:tcW w:w="761" w:type="pct"/>
            <w:tcBorders>
              <w:top w:val="nil"/>
              <w:left w:val="nil"/>
              <w:bottom w:val="nil"/>
              <w:right w:val="nil"/>
            </w:tcBorders>
            <w:shd w:val="clear" w:color="auto" w:fill="auto"/>
            <w:vAlign w:val="bottom"/>
          </w:tcPr>
          <w:p w14:paraId="3EC479D7" w14:textId="77777777" w:rsidR="00D042BF" w:rsidRPr="00CE654D" w:rsidRDefault="00D042BF" w:rsidP="00E032FC">
            <w:pPr>
              <w:pStyle w:val="TT"/>
              <w:jc w:val="right"/>
              <w:rPr>
                <w:rFonts w:cs="Arial"/>
                <w:color w:val="000000" w:themeColor="text1"/>
                <w:spacing w:val="-2"/>
                <w:sz w:val="20"/>
                <w:lang w:val="hr-HR"/>
              </w:rPr>
            </w:pPr>
            <w:r w:rsidRPr="00CE654D">
              <w:rPr>
                <w:rFonts w:cs="Arial"/>
                <w:color w:val="000000" w:themeColor="text1"/>
                <w:spacing w:val="-2"/>
                <w:sz w:val="20"/>
                <w:lang w:val="hr-HR"/>
              </w:rPr>
              <w:t>37.727</w:t>
            </w:r>
          </w:p>
        </w:tc>
        <w:tc>
          <w:tcPr>
            <w:tcW w:w="784" w:type="pct"/>
            <w:tcBorders>
              <w:top w:val="nil"/>
              <w:left w:val="nil"/>
              <w:bottom w:val="nil"/>
              <w:right w:val="nil"/>
            </w:tcBorders>
            <w:shd w:val="clear" w:color="auto" w:fill="auto"/>
            <w:vAlign w:val="bottom"/>
          </w:tcPr>
          <w:p w14:paraId="128315DC" w14:textId="77777777" w:rsidR="00D042BF" w:rsidRPr="00CE654D" w:rsidRDefault="00D042BF" w:rsidP="00E032FC">
            <w:pPr>
              <w:pStyle w:val="TT"/>
              <w:jc w:val="right"/>
              <w:rPr>
                <w:rFonts w:cs="Arial"/>
                <w:color w:val="000000" w:themeColor="text1"/>
                <w:sz w:val="20"/>
                <w:lang w:val="hr-HR"/>
              </w:rPr>
            </w:pPr>
            <w:bookmarkStart w:id="495" w:name="_Toc67327094"/>
            <w:r w:rsidRPr="00CE654D">
              <w:rPr>
                <w:rFonts w:cs="Arial"/>
                <w:snapToGrid w:val="0"/>
                <w:color w:val="000000" w:themeColor="text1"/>
                <w:sz w:val="20"/>
                <w:lang w:val="hr-HR"/>
              </w:rPr>
              <w:t>42.674</w:t>
            </w:r>
            <w:bookmarkEnd w:id="495"/>
          </w:p>
        </w:tc>
      </w:tr>
      <w:tr w:rsidR="00D042BF" w:rsidRPr="003044E5" w14:paraId="111EB49E" w14:textId="77777777" w:rsidTr="00F50591">
        <w:trPr>
          <w:trHeight w:val="285"/>
        </w:trPr>
        <w:tc>
          <w:tcPr>
            <w:tcW w:w="2912" w:type="pct"/>
          </w:tcPr>
          <w:p w14:paraId="3C1FFB20" w14:textId="3F7A9A36" w:rsidR="00D042BF" w:rsidRPr="00CE654D" w:rsidRDefault="00D042BF" w:rsidP="00E032FC">
            <w:pPr>
              <w:pStyle w:val="TT"/>
              <w:rPr>
                <w:rFonts w:cs="Arial"/>
                <w:color w:val="000000" w:themeColor="text1"/>
                <w:sz w:val="20"/>
                <w:lang w:val="hr-HR"/>
              </w:rPr>
            </w:pPr>
            <w:bookmarkStart w:id="496" w:name="_Toc67327096"/>
            <w:r w:rsidRPr="00CE654D">
              <w:rPr>
                <w:rFonts w:cs="Arial"/>
                <w:color w:val="000000" w:themeColor="text1"/>
                <w:sz w:val="20"/>
                <w:lang w:val="hr-HR"/>
              </w:rPr>
              <w:t>Preuzeta imovina</w:t>
            </w:r>
            <w:bookmarkEnd w:id="496"/>
          </w:p>
        </w:tc>
        <w:tc>
          <w:tcPr>
            <w:tcW w:w="544" w:type="pct"/>
            <w:vAlign w:val="bottom"/>
          </w:tcPr>
          <w:p w14:paraId="31F1C6AE" w14:textId="77777777" w:rsidR="00D042BF" w:rsidRPr="00CE654D" w:rsidRDefault="00D042BF" w:rsidP="00E032FC">
            <w:pPr>
              <w:pStyle w:val="TT"/>
              <w:jc w:val="center"/>
              <w:rPr>
                <w:rFonts w:cs="Arial"/>
                <w:color w:val="000000" w:themeColor="text1"/>
                <w:sz w:val="20"/>
                <w:lang w:val="hr-HR"/>
              </w:rPr>
            </w:pPr>
            <w:bookmarkStart w:id="497" w:name="_Toc67327097"/>
            <w:r w:rsidRPr="00CE654D">
              <w:rPr>
                <w:rFonts w:cs="Arial"/>
                <w:color w:val="000000" w:themeColor="text1"/>
                <w:sz w:val="20"/>
                <w:lang w:val="hr-HR"/>
              </w:rPr>
              <w:t>2</w:t>
            </w:r>
            <w:bookmarkEnd w:id="497"/>
            <w:r w:rsidRPr="00CE654D">
              <w:rPr>
                <w:rFonts w:cs="Arial"/>
                <w:color w:val="000000" w:themeColor="text1"/>
                <w:sz w:val="20"/>
                <w:lang w:val="hr-HR"/>
              </w:rPr>
              <w:t>0</w:t>
            </w:r>
          </w:p>
        </w:tc>
        <w:tc>
          <w:tcPr>
            <w:tcW w:w="761" w:type="pct"/>
            <w:tcBorders>
              <w:top w:val="nil"/>
              <w:left w:val="nil"/>
              <w:bottom w:val="nil"/>
              <w:right w:val="nil"/>
            </w:tcBorders>
            <w:shd w:val="clear" w:color="auto" w:fill="auto"/>
            <w:vAlign w:val="bottom"/>
          </w:tcPr>
          <w:p w14:paraId="235FC2B3" w14:textId="77777777" w:rsidR="00D042BF" w:rsidRPr="00CE654D" w:rsidRDefault="00D042BF" w:rsidP="00E032FC">
            <w:pPr>
              <w:pStyle w:val="TT"/>
              <w:jc w:val="right"/>
              <w:rPr>
                <w:rFonts w:cs="Arial"/>
                <w:color w:val="000000" w:themeColor="text1"/>
                <w:spacing w:val="-2"/>
                <w:sz w:val="20"/>
                <w:lang w:val="hr-HR"/>
              </w:rPr>
            </w:pPr>
            <w:r w:rsidRPr="00CE654D">
              <w:rPr>
                <w:rFonts w:cs="Arial"/>
                <w:color w:val="000000" w:themeColor="text1"/>
                <w:spacing w:val="-2"/>
                <w:sz w:val="20"/>
                <w:lang w:val="hr-HR"/>
              </w:rPr>
              <w:t>24.776</w:t>
            </w:r>
          </w:p>
        </w:tc>
        <w:tc>
          <w:tcPr>
            <w:tcW w:w="784" w:type="pct"/>
            <w:tcBorders>
              <w:top w:val="nil"/>
              <w:left w:val="nil"/>
              <w:bottom w:val="nil"/>
              <w:right w:val="nil"/>
            </w:tcBorders>
            <w:shd w:val="clear" w:color="auto" w:fill="auto"/>
            <w:vAlign w:val="bottom"/>
          </w:tcPr>
          <w:p w14:paraId="2BBD1D6D" w14:textId="77777777" w:rsidR="00D042BF" w:rsidRPr="00CE654D" w:rsidRDefault="00D042BF" w:rsidP="00E032FC">
            <w:pPr>
              <w:pStyle w:val="TT"/>
              <w:jc w:val="right"/>
              <w:rPr>
                <w:rFonts w:cs="Arial"/>
                <w:color w:val="000000" w:themeColor="text1"/>
                <w:sz w:val="20"/>
                <w:lang w:val="hr-HR"/>
              </w:rPr>
            </w:pPr>
            <w:bookmarkStart w:id="498" w:name="_Toc67327098"/>
            <w:r w:rsidRPr="00CE654D">
              <w:rPr>
                <w:rFonts w:cs="Arial"/>
                <w:snapToGrid w:val="0"/>
                <w:color w:val="000000" w:themeColor="text1"/>
                <w:sz w:val="20"/>
                <w:lang w:val="hr-HR"/>
              </w:rPr>
              <w:t>21.369</w:t>
            </w:r>
            <w:bookmarkEnd w:id="498"/>
          </w:p>
        </w:tc>
      </w:tr>
      <w:tr w:rsidR="00D042BF" w:rsidRPr="003044E5" w14:paraId="25FFA077" w14:textId="77777777" w:rsidTr="00F50591">
        <w:trPr>
          <w:trHeight w:val="285"/>
        </w:trPr>
        <w:tc>
          <w:tcPr>
            <w:tcW w:w="2912" w:type="pct"/>
          </w:tcPr>
          <w:p w14:paraId="6203D8F4" w14:textId="602B794F" w:rsidR="00D042BF" w:rsidRPr="00CE654D" w:rsidRDefault="00D042BF" w:rsidP="00E032FC">
            <w:pPr>
              <w:pStyle w:val="TT"/>
              <w:rPr>
                <w:rFonts w:cs="Arial"/>
                <w:color w:val="000000" w:themeColor="text1"/>
                <w:sz w:val="20"/>
                <w:lang w:val="hr-HR"/>
              </w:rPr>
            </w:pPr>
            <w:bookmarkStart w:id="499" w:name="_Toc67327100"/>
            <w:r w:rsidRPr="00CE654D">
              <w:rPr>
                <w:rFonts w:cs="Arial"/>
                <w:color w:val="000000" w:themeColor="text1"/>
                <w:sz w:val="20"/>
                <w:lang w:val="hr-HR"/>
              </w:rPr>
              <w:t>Ostala imovina</w:t>
            </w:r>
            <w:bookmarkEnd w:id="499"/>
          </w:p>
        </w:tc>
        <w:tc>
          <w:tcPr>
            <w:tcW w:w="544" w:type="pct"/>
            <w:vAlign w:val="bottom"/>
          </w:tcPr>
          <w:p w14:paraId="48A6F463" w14:textId="77777777" w:rsidR="00D042BF" w:rsidRPr="00CE654D" w:rsidRDefault="00D042BF" w:rsidP="00E032FC">
            <w:pPr>
              <w:pStyle w:val="TT"/>
              <w:jc w:val="center"/>
              <w:rPr>
                <w:rFonts w:cs="Arial"/>
                <w:color w:val="000000" w:themeColor="text1"/>
                <w:sz w:val="20"/>
                <w:lang w:val="hr-HR"/>
              </w:rPr>
            </w:pPr>
            <w:bookmarkStart w:id="500" w:name="_Toc67327101"/>
            <w:r w:rsidRPr="00CE654D">
              <w:rPr>
                <w:rFonts w:cs="Arial"/>
                <w:color w:val="000000" w:themeColor="text1"/>
                <w:sz w:val="20"/>
                <w:lang w:val="hr-HR"/>
              </w:rPr>
              <w:t>2</w:t>
            </w:r>
            <w:bookmarkEnd w:id="500"/>
            <w:r w:rsidRPr="00CE654D">
              <w:rPr>
                <w:rFonts w:cs="Arial"/>
                <w:color w:val="000000" w:themeColor="text1"/>
                <w:sz w:val="20"/>
                <w:lang w:val="hr-HR"/>
              </w:rPr>
              <w:t>1</w:t>
            </w:r>
          </w:p>
        </w:tc>
        <w:tc>
          <w:tcPr>
            <w:tcW w:w="761" w:type="pct"/>
            <w:tcBorders>
              <w:top w:val="nil"/>
              <w:left w:val="nil"/>
              <w:bottom w:val="nil"/>
              <w:right w:val="nil"/>
            </w:tcBorders>
            <w:shd w:val="clear" w:color="auto" w:fill="auto"/>
            <w:vAlign w:val="bottom"/>
          </w:tcPr>
          <w:p w14:paraId="47FA5B72" w14:textId="77777777" w:rsidR="00D042BF" w:rsidRPr="00CE654D" w:rsidRDefault="00D042BF" w:rsidP="00E032FC">
            <w:pPr>
              <w:pStyle w:val="TT"/>
              <w:jc w:val="right"/>
              <w:rPr>
                <w:rFonts w:cs="Arial"/>
                <w:snapToGrid w:val="0"/>
                <w:color w:val="000000" w:themeColor="text1"/>
                <w:sz w:val="20"/>
                <w:lang w:val="hr-HR"/>
              </w:rPr>
            </w:pPr>
            <w:r w:rsidRPr="00CE654D">
              <w:rPr>
                <w:sz w:val="20"/>
              </w:rPr>
              <w:t>28.192</w:t>
            </w:r>
          </w:p>
        </w:tc>
        <w:tc>
          <w:tcPr>
            <w:tcW w:w="784" w:type="pct"/>
            <w:tcBorders>
              <w:top w:val="nil"/>
              <w:left w:val="nil"/>
              <w:bottom w:val="nil"/>
              <w:right w:val="nil"/>
            </w:tcBorders>
            <w:shd w:val="clear" w:color="auto" w:fill="auto"/>
            <w:vAlign w:val="bottom"/>
          </w:tcPr>
          <w:p w14:paraId="6A930A50" w14:textId="77777777" w:rsidR="00D042BF" w:rsidRPr="00CE654D" w:rsidRDefault="00D042BF" w:rsidP="00E032FC">
            <w:pPr>
              <w:pStyle w:val="TT"/>
              <w:jc w:val="right"/>
              <w:rPr>
                <w:rFonts w:cs="Arial"/>
                <w:color w:val="000000" w:themeColor="text1"/>
                <w:sz w:val="20"/>
                <w:lang w:val="hr-HR"/>
              </w:rPr>
            </w:pPr>
            <w:bookmarkStart w:id="501" w:name="_Toc67327102"/>
            <w:r w:rsidRPr="00CE654D">
              <w:rPr>
                <w:rFonts w:cs="Arial"/>
                <w:snapToGrid w:val="0"/>
                <w:color w:val="000000" w:themeColor="text1"/>
                <w:sz w:val="20"/>
                <w:lang w:val="hr-HR"/>
              </w:rPr>
              <w:t>34.494</w:t>
            </w:r>
            <w:bookmarkEnd w:id="501"/>
          </w:p>
        </w:tc>
      </w:tr>
      <w:tr w:rsidR="00D042BF" w:rsidRPr="003044E5" w14:paraId="4E948589" w14:textId="77777777" w:rsidTr="00F50591">
        <w:trPr>
          <w:trHeight w:val="320"/>
        </w:trPr>
        <w:tc>
          <w:tcPr>
            <w:tcW w:w="2912" w:type="pct"/>
          </w:tcPr>
          <w:p w14:paraId="5ABBC34E" w14:textId="0867D348" w:rsidR="00D042BF" w:rsidRPr="00CE654D" w:rsidRDefault="00D042BF" w:rsidP="00E032FC">
            <w:pPr>
              <w:pStyle w:val="Tot"/>
              <w:rPr>
                <w:rFonts w:cs="Arial"/>
                <w:b/>
                <w:bCs/>
                <w:color w:val="000000" w:themeColor="text1"/>
                <w:sz w:val="20"/>
                <w:lang w:val="hr-HR"/>
              </w:rPr>
            </w:pPr>
            <w:bookmarkStart w:id="502" w:name="_Toc67327104"/>
            <w:r w:rsidRPr="00CE654D">
              <w:rPr>
                <w:rFonts w:cs="Arial"/>
                <w:b/>
                <w:bCs/>
                <w:color w:val="000000" w:themeColor="text1"/>
                <w:sz w:val="20"/>
                <w:lang w:val="hr-HR"/>
              </w:rPr>
              <w:t>Ukupna imovina</w:t>
            </w:r>
            <w:bookmarkEnd w:id="502"/>
          </w:p>
        </w:tc>
        <w:tc>
          <w:tcPr>
            <w:tcW w:w="544" w:type="pct"/>
            <w:vAlign w:val="bottom"/>
          </w:tcPr>
          <w:p w14:paraId="70406B83" w14:textId="77777777" w:rsidR="00D042BF" w:rsidRPr="00CE654D" w:rsidRDefault="00D042BF" w:rsidP="00E032FC">
            <w:pPr>
              <w:pStyle w:val="Tot"/>
              <w:jc w:val="center"/>
              <w:rPr>
                <w:rFonts w:cs="Arial"/>
                <w:b/>
                <w:bCs/>
                <w:color w:val="000000" w:themeColor="text1"/>
                <w:sz w:val="20"/>
                <w:lang w:val="hr-HR"/>
              </w:rPr>
            </w:pPr>
          </w:p>
        </w:tc>
        <w:tc>
          <w:tcPr>
            <w:tcW w:w="761" w:type="pct"/>
            <w:tcBorders>
              <w:top w:val="single" w:sz="4" w:space="0" w:color="auto"/>
              <w:left w:val="nil"/>
              <w:bottom w:val="single" w:sz="8" w:space="0" w:color="auto"/>
              <w:right w:val="nil"/>
            </w:tcBorders>
            <w:shd w:val="clear" w:color="auto" w:fill="auto"/>
            <w:vAlign w:val="bottom"/>
          </w:tcPr>
          <w:p w14:paraId="72697B2B" w14:textId="77777777" w:rsidR="00D042BF" w:rsidRPr="00CE654D" w:rsidRDefault="00D042BF" w:rsidP="00E032FC">
            <w:pPr>
              <w:pStyle w:val="Tot"/>
              <w:jc w:val="right"/>
              <w:rPr>
                <w:rFonts w:cs="Arial"/>
                <w:b/>
                <w:bCs/>
                <w:color w:val="000000" w:themeColor="text1"/>
                <w:sz w:val="20"/>
                <w:lang w:val="hr-HR"/>
              </w:rPr>
            </w:pPr>
            <w:r w:rsidRPr="00CE654D">
              <w:rPr>
                <w:rFonts w:cs="Arial"/>
                <w:b/>
                <w:bCs/>
                <w:color w:val="000000" w:themeColor="text1"/>
                <w:sz w:val="20"/>
                <w:lang w:val="hr-HR"/>
              </w:rPr>
              <w:t>29.032.307</w:t>
            </w:r>
          </w:p>
        </w:tc>
        <w:tc>
          <w:tcPr>
            <w:tcW w:w="784" w:type="pct"/>
            <w:tcBorders>
              <w:top w:val="single" w:sz="4" w:space="0" w:color="auto"/>
              <w:left w:val="nil"/>
              <w:bottom w:val="single" w:sz="8" w:space="0" w:color="auto"/>
              <w:right w:val="nil"/>
            </w:tcBorders>
            <w:shd w:val="clear" w:color="auto" w:fill="auto"/>
            <w:vAlign w:val="bottom"/>
          </w:tcPr>
          <w:p w14:paraId="53A7271E" w14:textId="77777777" w:rsidR="00D042BF" w:rsidRPr="00CE654D" w:rsidRDefault="00D042BF" w:rsidP="00E032FC">
            <w:pPr>
              <w:pStyle w:val="Tot"/>
              <w:jc w:val="right"/>
              <w:rPr>
                <w:rFonts w:cs="Arial"/>
                <w:b/>
                <w:bCs/>
                <w:color w:val="000000" w:themeColor="text1"/>
                <w:sz w:val="20"/>
                <w:lang w:val="hr-HR"/>
              </w:rPr>
            </w:pPr>
            <w:bookmarkStart w:id="503" w:name="_Toc67327105"/>
            <w:r w:rsidRPr="00CE654D">
              <w:rPr>
                <w:rFonts w:cs="Arial"/>
                <w:b/>
                <w:bCs/>
                <w:color w:val="000000" w:themeColor="text1"/>
                <w:sz w:val="20"/>
                <w:lang w:val="hr-HR"/>
              </w:rPr>
              <w:t>28.249.988</w:t>
            </w:r>
            <w:bookmarkEnd w:id="503"/>
          </w:p>
        </w:tc>
      </w:tr>
      <w:tr w:rsidR="00D042BF" w:rsidRPr="003044E5" w14:paraId="7EA4FCBA" w14:textId="77777777" w:rsidTr="00F50591">
        <w:trPr>
          <w:trHeight w:val="285"/>
        </w:trPr>
        <w:tc>
          <w:tcPr>
            <w:tcW w:w="2912" w:type="pct"/>
          </w:tcPr>
          <w:p w14:paraId="32D3B83B" w14:textId="79FA3C4A" w:rsidR="00D042BF" w:rsidRPr="00CE654D" w:rsidRDefault="00D042BF" w:rsidP="00E032FC">
            <w:pPr>
              <w:pStyle w:val="TT"/>
              <w:rPr>
                <w:rFonts w:cs="Arial"/>
                <w:b/>
                <w:bCs/>
                <w:color w:val="000000" w:themeColor="text1"/>
                <w:sz w:val="20"/>
                <w:lang w:val="hr-HR"/>
              </w:rPr>
            </w:pPr>
            <w:bookmarkStart w:id="504" w:name="_Toc67327107"/>
            <w:r w:rsidRPr="00CE654D">
              <w:rPr>
                <w:rFonts w:cs="Arial"/>
                <w:b/>
                <w:bCs/>
                <w:color w:val="000000" w:themeColor="text1"/>
                <w:sz w:val="20"/>
                <w:lang w:val="hr-HR"/>
              </w:rPr>
              <w:t>Obveze</w:t>
            </w:r>
            <w:bookmarkEnd w:id="504"/>
          </w:p>
        </w:tc>
        <w:tc>
          <w:tcPr>
            <w:tcW w:w="544" w:type="pct"/>
            <w:vAlign w:val="bottom"/>
          </w:tcPr>
          <w:p w14:paraId="7F4F72A4" w14:textId="77777777" w:rsidR="00D042BF" w:rsidRPr="00CE654D" w:rsidRDefault="00D042BF" w:rsidP="00E032FC">
            <w:pPr>
              <w:pStyle w:val="TT"/>
              <w:rPr>
                <w:rFonts w:cs="Arial"/>
                <w:b/>
                <w:bCs/>
                <w:color w:val="000000" w:themeColor="text1"/>
                <w:sz w:val="20"/>
                <w:lang w:val="hr-HR"/>
              </w:rPr>
            </w:pPr>
          </w:p>
        </w:tc>
        <w:tc>
          <w:tcPr>
            <w:tcW w:w="761" w:type="pct"/>
            <w:tcBorders>
              <w:top w:val="single" w:sz="12" w:space="0" w:color="auto"/>
            </w:tcBorders>
            <w:vAlign w:val="bottom"/>
          </w:tcPr>
          <w:p w14:paraId="25EDFB29" w14:textId="77777777" w:rsidR="00D042BF" w:rsidRPr="00CE654D" w:rsidRDefault="00D042BF" w:rsidP="00E032FC">
            <w:pPr>
              <w:pStyle w:val="TT"/>
              <w:jc w:val="right"/>
              <w:rPr>
                <w:rFonts w:cs="Arial"/>
                <w:b/>
                <w:bCs/>
                <w:color w:val="000000" w:themeColor="text1"/>
                <w:sz w:val="20"/>
                <w:lang w:val="hr-HR"/>
              </w:rPr>
            </w:pPr>
          </w:p>
        </w:tc>
        <w:tc>
          <w:tcPr>
            <w:tcW w:w="784" w:type="pct"/>
            <w:tcBorders>
              <w:top w:val="single" w:sz="12" w:space="0" w:color="auto"/>
            </w:tcBorders>
            <w:vAlign w:val="bottom"/>
          </w:tcPr>
          <w:p w14:paraId="35C917DB" w14:textId="77777777" w:rsidR="00D042BF" w:rsidRPr="00CE654D" w:rsidRDefault="00D042BF" w:rsidP="00E032FC">
            <w:pPr>
              <w:pStyle w:val="TT"/>
              <w:jc w:val="right"/>
              <w:rPr>
                <w:rFonts w:cs="Arial"/>
                <w:b/>
                <w:bCs/>
                <w:color w:val="000000" w:themeColor="text1"/>
                <w:sz w:val="20"/>
                <w:lang w:val="hr-HR"/>
              </w:rPr>
            </w:pPr>
          </w:p>
        </w:tc>
      </w:tr>
      <w:tr w:rsidR="00D042BF" w:rsidRPr="003044E5" w14:paraId="13EE62B6" w14:textId="77777777" w:rsidTr="00F50591">
        <w:trPr>
          <w:trHeight w:val="285"/>
        </w:trPr>
        <w:tc>
          <w:tcPr>
            <w:tcW w:w="2912" w:type="pct"/>
          </w:tcPr>
          <w:p w14:paraId="1A80796A" w14:textId="7863BFDC" w:rsidR="00D042BF" w:rsidRPr="00CE654D" w:rsidRDefault="00D042BF" w:rsidP="00E032FC">
            <w:pPr>
              <w:pStyle w:val="TT"/>
              <w:rPr>
                <w:rFonts w:cs="Arial"/>
                <w:color w:val="000000" w:themeColor="text1"/>
                <w:sz w:val="20"/>
                <w:lang w:val="hr-HR"/>
              </w:rPr>
            </w:pPr>
            <w:bookmarkStart w:id="505" w:name="_Toc67327108"/>
            <w:r w:rsidRPr="00CE654D">
              <w:rPr>
                <w:rFonts w:cs="Arial"/>
                <w:color w:val="000000" w:themeColor="text1"/>
                <w:sz w:val="20"/>
                <w:lang w:val="hr-HR"/>
              </w:rPr>
              <w:t>Obveze po depozitima</w:t>
            </w:r>
            <w:bookmarkEnd w:id="505"/>
          </w:p>
        </w:tc>
        <w:tc>
          <w:tcPr>
            <w:tcW w:w="544" w:type="pct"/>
            <w:vAlign w:val="bottom"/>
          </w:tcPr>
          <w:p w14:paraId="4DBE8523" w14:textId="77777777" w:rsidR="00D042BF" w:rsidRPr="00CE654D" w:rsidRDefault="00D042BF" w:rsidP="00E032FC">
            <w:pPr>
              <w:pStyle w:val="TT"/>
              <w:jc w:val="center"/>
              <w:rPr>
                <w:rFonts w:cs="Arial"/>
                <w:color w:val="000000" w:themeColor="text1"/>
                <w:sz w:val="20"/>
                <w:lang w:val="hr-HR"/>
              </w:rPr>
            </w:pPr>
            <w:bookmarkStart w:id="506" w:name="_Toc67327109"/>
            <w:r w:rsidRPr="00CE654D">
              <w:rPr>
                <w:rFonts w:cs="Arial"/>
                <w:color w:val="000000" w:themeColor="text1"/>
                <w:sz w:val="20"/>
                <w:lang w:val="hr-HR"/>
              </w:rPr>
              <w:t>2</w:t>
            </w:r>
            <w:bookmarkEnd w:id="506"/>
            <w:r w:rsidRPr="00CE654D">
              <w:rPr>
                <w:rFonts w:cs="Arial"/>
                <w:color w:val="000000" w:themeColor="text1"/>
                <w:sz w:val="20"/>
                <w:lang w:val="hr-HR"/>
              </w:rPr>
              <w:t>2</w:t>
            </w:r>
          </w:p>
        </w:tc>
        <w:tc>
          <w:tcPr>
            <w:tcW w:w="761" w:type="pct"/>
            <w:tcBorders>
              <w:top w:val="nil"/>
              <w:left w:val="nil"/>
              <w:bottom w:val="nil"/>
              <w:right w:val="nil"/>
            </w:tcBorders>
            <w:shd w:val="clear" w:color="auto" w:fill="auto"/>
            <w:vAlign w:val="bottom"/>
          </w:tcPr>
          <w:p w14:paraId="2106814F" w14:textId="77777777" w:rsidR="00D042BF" w:rsidRPr="00CE654D" w:rsidRDefault="00D042BF" w:rsidP="00E032FC">
            <w:pPr>
              <w:pStyle w:val="TT"/>
              <w:jc w:val="right"/>
              <w:rPr>
                <w:rFonts w:cs="Arial"/>
                <w:color w:val="000000" w:themeColor="text1"/>
                <w:sz w:val="20"/>
                <w:lang w:val="hr-HR"/>
              </w:rPr>
            </w:pPr>
            <w:r w:rsidRPr="00CE654D">
              <w:rPr>
                <w:rFonts w:cs="Arial"/>
                <w:color w:val="000000" w:themeColor="text1"/>
                <w:sz w:val="20"/>
                <w:lang w:val="hr-HR"/>
              </w:rPr>
              <w:t>1.024.623</w:t>
            </w:r>
          </w:p>
        </w:tc>
        <w:tc>
          <w:tcPr>
            <w:tcW w:w="784" w:type="pct"/>
            <w:tcBorders>
              <w:top w:val="nil"/>
              <w:left w:val="nil"/>
              <w:bottom w:val="nil"/>
              <w:right w:val="nil"/>
            </w:tcBorders>
            <w:shd w:val="clear" w:color="auto" w:fill="auto"/>
            <w:vAlign w:val="bottom"/>
          </w:tcPr>
          <w:p w14:paraId="119B7544" w14:textId="77777777" w:rsidR="00D042BF" w:rsidRPr="00CE654D" w:rsidRDefault="00D042BF" w:rsidP="00E032FC">
            <w:pPr>
              <w:pStyle w:val="TT"/>
              <w:jc w:val="right"/>
              <w:rPr>
                <w:rFonts w:cs="Arial"/>
                <w:color w:val="000000" w:themeColor="text1"/>
                <w:sz w:val="20"/>
                <w:lang w:val="hr-HR"/>
              </w:rPr>
            </w:pPr>
            <w:bookmarkStart w:id="507" w:name="_Toc67327110"/>
            <w:r w:rsidRPr="00CE654D">
              <w:rPr>
                <w:rFonts w:cs="Arial"/>
                <w:color w:val="000000" w:themeColor="text1"/>
                <w:sz w:val="20"/>
                <w:lang w:val="hr-HR"/>
              </w:rPr>
              <w:t>960.541</w:t>
            </w:r>
            <w:bookmarkEnd w:id="507"/>
          </w:p>
        </w:tc>
      </w:tr>
      <w:tr w:rsidR="00D042BF" w:rsidRPr="003044E5" w14:paraId="0172C8AF" w14:textId="77777777" w:rsidTr="00F50591">
        <w:trPr>
          <w:trHeight w:val="285"/>
        </w:trPr>
        <w:tc>
          <w:tcPr>
            <w:tcW w:w="2912" w:type="pct"/>
          </w:tcPr>
          <w:p w14:paraId="3B4D8BA7" w14:textId="092E3324" w:rsidR="00D042BF" w:rsidRPr="00CE654D" w:rsidRDefault="00D042BF" w:rsidP="00E032FC">
            <w:pPr>
              <w:pStyle w:val="TT"/>
              <w:rPr>
                <w:rFonts w:cs="Arial"/>
                <w:color w:val="000000" w:themeColor="text1"/>
                <w:sz w:val="20"/>
                <w:lang w:val="hr-HR"/>
              </w:rPr>
            </w:pPr>
            <w:bookmarkStart w:id="508" w:name="_Toc67327112"/>
            <w:r w:rsidRPr="00CE654D">
              <w:rPr>
                <w:rFonts w:cs="Arial"/>
                <w:color w:val="000000" w:themeColor="text1"/>
                <w:sz w:val="20"/>
                <w:lang w:val="hr-HR"/>
              </w:rPr>
              <w:t>Obveze po kreditima</w:t>
            </w:r>
            <w:bookmarkEnd w:id="508"/>
          </w:p>
        </w:tc>
        <w:tc>
          <w:tcPr>
            <w:tcW w:w="544" w:type="pct"/>
          </w:tcPr>
          <w:p w14:paraId="28F34D9A" w14:textId="77777777" w:rsidR="00D042BF" w:rsidRPr="00CE654D" w:rsidRDefault="00D042BF" w:rsidP="00E032FC">
            <w:pPr>
              <w:pStyle w:val="TT"/>
              <w:jc w:val="center"/>
              <w:rPr>
                <w:rFonts w:cs="Arial"/>
                <w:color w:val="000000" w:themeColor="text1"/>
                <w:sz w:val="20"/>
                <w:lang w:val="hr-HR"/>
              </w:rPr>
            </w:pPr>
            <w:r w:rsidRPr="00CE654D">
              <w:rPr>
                <w:sz w:val="20"/>
              </w:rPr>
              <w:t>23</w:t>
            </w:r>
          </w:p>
        </w:tc>
        <w:tc>
          <w:tcPr>
            <w:tcW w:w="761" w:type="pct"/>
            <w:tcBorders>
              <w:top w:val="nil"/>
              <w:left w:val="nil"/>
              <w:bottom w:val="nil"/>
              <w:right w:val="nil"/>
            </w:tcBorders>
            <w:shd w:val="clear" w:color="auto" w:fill="auto"/>
            <w:vAlign w:val="bottom"/>
          </w:tcPr>
          <w:p w14:paraId="18F4CECF" w14:textId="77777777" w:rsidR="00D042BF" w:rsidRPr="00CE654D" w:rsidRDefault="00D042BF" w:rsidP="00E032FC">
            <w:pPr>
              <w:pStyle w:val="TT"/>
              <w:jc w:val="right"/>
              <w:rPr>
                <w:rFonts w:cs="Arial"/>
                <w:color w:val="000000" w:themeColor="text1"/>
                <w:sz w:val="20"/>
                <w:lang w:val="hr-HR"/>
              </w:rPr>
            </w:pPr>
            <w:r w:rsidRPr="00CE654D">
              <w:rPr>
                <w:rFonts w:cs="Arial"/>
                <w:color w:val="000000" w:themeColor="text1"/>
                <w:sz w:val="20"/>
                <w:lang w:val="hr-HR"/>
              </w:rPr>
              <w:t>16.501.276</w:t>
            </w:r>
          </w:p>
        </w:tc>
        <w:tc>
          <w:tcPr>
            <w:tcW w:w="784" w:type="pct"/>
            <w:tcBorders>
              <w:top w:val="nil"/>
              <w:left w:val="nil"/>
              <w:bottom w:val="nil"/>
              <w:right w:val="nil"/>
            </w:tcBorders>
            <w:shd w:val="clear" w:color="auto" w:fill="auto"/>
            <w:vAlign w:val="bottom"/>
          </w:tcPr>
          <w:p w14:paraId="02AEA814" w14:textId="77777777" w:rsidR="00D042BF" w:rsidRPr="00CE654D" w:rsidRDefault="00D042BF" w:rsidP="00E032FC">
            <w:pPr>
              <w:pStyle w:val="TT"/>
              <w:jc w:val="right"/>
              <w:rPr>
                <w:rFonts w:cs="Arial"/>
                <w:color w:val="000000" w:themeColor="text1"/>
                <w:sz w:val="20"/>
                <w:lang w:val="hr-HR"/>
              </w:rPr>
            </w:pPr>
            <w:bookmarkStart w:id="509" w:name="_Toc67327114"/>
            <w:r w:rsidRPr="00CE654D">
              <w:rPr>
                <w:rFonts w:cs="Arial"/>
                <w:color w:val="000000" w:themeColor="text1"/>
                <w:sz w:val="20"/>
                <w:lang w:val="hr-HR"/>
              </w:rPr>
              <w:t>16.115.237</w:t>
            </w:r>
            <w:bookmarkEnd w:id="509"/>
          </w:p>
        </w:tc>
      </w:tr>
      <w:tr w:rsidR="00D042BF" w:rsidRPr="003044E5" w14:paraId="138F42BC" w14:textId="77777777" w:rsidTr="00F50591">
        <w:trPr>
          <w:trHeight w:val="285"/>
        </w:trPr>
        <w:tc>
          <w:tcPr>
            <w:tcW w:w="2912" w:type="pct"/>
          </w:tcPr>
          <w:p w14:paraId="2B8984A5" w14:textId="29AFCEFF" w:rsidR="00D042BF" w:rsidRPr="00CE654D" w:rsidRDefault="00D042BF" w:rsidP="00E032FC">
            <w:pPr>
              <w:pStyle w:val="TT"/>
              <w:rPr>
                <w:rFonts w:cs="Arial"/>
                <w:color w:val="000000" w:themeColor="text1"/>
                <w:sz w:val="20"/>
                <w:lang w:val="hr-HR"/>
              </w:rPr>
            </w:pPr>
            <w:bookmarkStart w:id="510" w:name="_Toc67327120"/>
            <w:r w:rsidRPr="00CE654D">
              <w:rPr>
                <w:rFonts w:cs="Arial"/>
                <w:color w:val="000000" w:themeColor="text1"/>
                <w:sz w:val="20"/>
                <w:lang w:val="hr-HR"/>
              </w:rPr>
              <w:t>Rezerviranja za garancije, preuzete i ostale obveze</w:t>
            </w:r>
            <w:bookmarkEnd w:id="510"/>
          </w:p>
        </w:tc>
        <w:tc>
          <w:tcPr>
            <w:tcW w:w="544" w:type="pct"/>
          </w:tcPr>
          <w:p w14:paraId="55B278B7" w14:textId="77777777" w:rsidR="00D042BF" w:rsidRPr="00CE654D" w:rsidRDefault="00D042BF" w:rsidP="00E032FC">
            <w:pPr>
              <w:pStyle w:val="TT"/>
              <w:jc w:val="center"/>
              <w:rPr>
                <w:rFonts w:cs="Arial"/>
                <w:color w:val="000000" w:themeColor="text1"/>
                <w:sz w:val="20"/>
                <w:lang w:val="hr-HR"/>
              </w:rPr>
            </w:pPr>
            <w:r w:rsidRPr="00CE654D">
              <w:rPr>
                <w:sz w:val="20"/>
              </w:rPr>
              <w:t>24</w:t>
            </w:r>
          </w:p>
        </w:tc>
        <w:tc>
          <w:tcPr>
            <w:tcW w:w="761" w:type="pct"/>
            <w:tcBorders>
              <w:top w:val="nil"/>
              <w:left w:val="nil"/>
              <w:bottom w:val="nil"/>
              <w:right w:val="nil"/>
            </w:tcBorders>
            <w:shd w:val="clear" w:color="auto" w:fill="auto"/>
            <w:vAlign w:val="bottom"/>
          </w:tcPr>
          <w:p w14:paraId="3ACDD5D1" w14:textId="77777777" w:rsidR="00D042BF" w:rsidRPr="00CE654D" w:rsidDel="007003BC" w:rsidRDefault="00D042BF" w:rsidP="00E032FC">
            <w:pPr>
              <w:pStyle w:val="TT"/>
              <w:jc w:val="right"/>
              <w:rPr>
                <w:rFonts w:cs="Arial"/>
                <w:color w:val="000000" w:themeColor="text1"/>
                <w:sz w:val="20"/>
                <w:lang w:val="hr-HR"/>
              </w:rPr>
            </w:pPr>
            <w:r w:rsidRPr="00CE654D">
              <w:rPr>
                <w:rFonts w:cs="Arial"/>
                <w:color w:val="000000" w:themeColor="text1"/>
                <w:sz w:val="20"/>
                <w:lang w:val="hr-HR"/>
              </w:rPr>
              <w:t>142.675</w:t>
            </w:r>
          </w:p>
        </w:tc>
        <w:tc>
          <w:tcPr>
            <w:tcW w:w="784" w:type="pct"/>
            <w:tcBorders>
              <w:top w:val="nil"/>
              <w:left w:val="nil"/>
              <w:bottom w:val="nil"/>
              <w:right w:val="nil"/>
            </w:tcBorders>
            <w:shd w:val="clear" w:color="auto" w:fill="auto"/>
            <w:vAlign w:val="bottom"/>
          </w:tcPr>
          <w:p w14:paraId="0590801B" w14:textId="77777777" w:rsidR="00D042BF" w:rsidRPr="00CE654D" w:rsidRDefault="00D042BF" w:rsidP="00E032FC">
            <w:pPr>
              <w:pStyle w:val="TT"/>
              <w:jc w:val="right"/>
              <w:rPr>
                <w:rFonts w:cs="Arial"/>
                <w:color w:val="000000" w:themeColor="text1"/>
                <w:sz w:val="20"/>
                <w:lang w:val="hr-HR"/>
              </w:rPr>
            </w:pPr>
            <w:bookmarkStart w:id="511" w:name="_Toc67327122"/>
            <w:r w:rsidRPr="00CE654D">
              <w:rPr>
                <w:rFonts w:cs="Arial"/>
                <w:color w:val="000000" w:themeColor="text1"/>
                <w:sz w:val="20"/>
                <w:lang w:val="hr-HR"/>
              </w:rPr>
              <w:t>190.303</w:t>
            </w:r>
            <w:bookmarkEnd w:id="511"/>
          </w:p>
        </w:tc>
      </w:tr>
      <w:tr w:rsidR="00D042BF" w:rsidRPr="003044E5" w14:paraId="28B7972D" w14:textId="77777777" w:rsidTr="00F50591">
        <w:trPr>
          <w:trHeight w:val="285"/>
        </w:trPr>
        <w:tc>
          <w:tcPr>
            <w:tcW w:w="2912" w:type="pct"/>
          </w:tcPr>
          <w:p w14:paraId="79FFDF3D" w14:textId="6149E920" w:rsidR="00D042BF" w:rsidRPr="00CE654D" w:rsidRDefault="00D042BF" w:rsidP="00E032FC">
            <w:pPr>
              <w:pStyle w:val="TT"/>
              <w:rPr>
                <w:rFonts w:cs="Arial"/>
                <w:color w:val="000000" w:themeColor="text1"/>
                <w:sz w:val="20"/>
                <w:lang w:val="hr-HR"/>
              </w:rPr>
            </w:pPr>
            <w:bookmarkStart w:id="512" w:name="_Toc67327124"/>
            <w:r w:rsidRPr="00CE654D">
              <w:rPr>
                <w:rFonts w:cs="Arial"/>
                <w:color w:val="000000" w:themeColor="text1"/>
                <w:sz w:val="20"/>
                <w:lang w:val="hr-HR"/>
              </w:rPr>
              <w:t>Ostale obveze</w:t>
            </w:r>
            <w:bookmarkEnd w:id="512"/>
          </w:p>
        </w:tc>
        <w:tc>
          <w:tcPr>
            <w:tcW w:w="544" w:type="pct"/>
          </w:tcPr>
          <w:p w14:paraId="68242929" w14:textId="77777777" w:rsidR="00D042BF" w:rsidRPr="00CE654D" w:rsidRDefault="00D042BF" w:rsidP="00E032FC">
            <w:pPr>
              <w:pStyle w:val="TT"/>
              <w:jc w:val="center"/>
              <w:rPr>
                <w:rFonts w:cs="Arial"/>
                <w:color w:val="000000" w:themeColor="text1"/>
                <w:sz w:val="20"/>
                <w:lang w:val="hr-HR"/>
              </w:rPr>
            </w:pPr>
            <w:r w:rsidRPr="00CE654D">
              <w:rPr>
                <w:sz w:val="20"/>
              </w:rPr>
              <w:t>25</w:t>
            </w:r>
          </w:p>
        </w:tc>
        <w:tc>
          <w:tcPr>
            <w:tcW w:w="761" w:type="pct"/>
            <w:tcBorders>
              <w:top w:val="nil"/>
              <w:left w:val="nil"/>
              <w:bottom w:val="nil"/>
              <w:right w:val="nil"/>
            </w:tcBorders>
            <w:shd w:val="clear" w:color="auto" w:fill="auto"/>
            <w:vAlign w:val="bottom"/>
          </w:tcPr>
          <w:p w14:paraId="4E4BE96D" w14:textId="77777777" w:rsidR="00D042BF" w:rsidRPr="00CE654D" w:rsidRDefault="00D042BF" w:rsidP="00E032FC">
            <w:pPr>
              <w:pStyle w:val="TT"/>
              <w:jc w:val="right"/>
              <w:rPr>
                <w:rFonts w:cs="Arial"/>
                <w:color w:val="000000" w:themeColor="text1"/>
                <w:sz w:val="20"/>
                <w:lang w:val="hr-HR"/>
              </w:rPr>
            </w:pPr>
            <w:r w:rsidRPr="00CE654D">
              <w:rPr>
                <w:rFonts w:cs="Arial"/>
                <w:color w:val="000000" w:themeColor="text1"/>
                <w:sz w:val="20"/>
                <w:lang w:val="hr-HR"/>
              </w:rPr>
              <w:t>653.133</w:t>
            </w:r>
          </w:p>
        </w:tc>
        <w:tc>
          <w:tcPr>
            <w:tcW w:w="784" w:type="pct"/>
            <w:tcBorders>
              <w:top w:val="nil"/>
              <w:left w:val="nil"/>
              <w:bottom w:val="nil"/>
              <w:right w:val="nil"/>
            </w:tcBorders>
            <w:shd w:val="clear" w:color="auto" w:fill="auto"/>
            <w:vAlign w:val="bottom"/>
          </w:tcPr>
          <w:p w14:paraId="5146EB24" w14:textId="77777777" w:rsidR="00D042BF" w:rsidRPr="00CE654D" w:rsidRDefault="00D042BF" w:rsidP="00E032FC">
            <w:pPr>
              <w:pStyle w:val="TT"/>
              <w:jc w:val="right"/>
              <w:rPr>
                <w:rFonts w:cs="Arial"/>
                <w:color w:val="000000" w:themeColor="text1"/>
                <w:sz w:val="20"/>
                <w:lang w:val="hr-HR"/>
              </w:rPr>
            </w:pPr>
            <w:bookmarkStart w:id="513" w:name="_Toc67327126"/>
            <w:r w:rsidRPr="00CE654D">
              <w:rPr>
                <w:rFonts w:cs="Arial"/>
                <w:color w:val="000000" w:themeColor="text1"/>
                <w:sz w:val="20"/>
                <w:lang w:val="hr-HR"/>
              </w:rPr>
              <w:t>416.178</w:t>
            </w:r>
            <w:bookmarkEnd w:id="513"/>
          </w:p>
        </w:tc>
      </w:tr>
      <w:tr w:rsidR="00D042BF" w:rsidRPr="003044E5" w14:paraId="74184CFC" w14:textId="77777777" w:rsidTr="00F50591">
        <w:trPr>
          <w:trHeight w:val="332"/>
        </w:trPr>
        <w:tc>
          <w:tcPr>
            <w:tcW w:w="2912" w:type="pct"/>
          </w:tcPr>
          <w:p w14:paraId="262F5DAF" w14:textId="0836F983" w:rsidR="00D042BF" w:rsidRPr="00CE654D" w:rsidRDefault="00D042BF" w:rsidP="00E032FC">
            <w:pPr>
              <w:pStyle w:val="Tot"/>
              <w:rPr>
                <w:rFonts w:cs="Arial"/>
                <w:b/>
                <w:bCs/>
                <w:color w:val="000000" w:themeColor="text1"/>
                <w:sz w:val="20"/>
                <w:lang w:val="hr-HR"/>
              </w:rPr>
            </w:pPr>
            <w:bookmarkStart w:id="514" w:name="_Toc67327128"/>
            <w:r w:rsidRPr="00CE654D">
              <w:rPr>
                <w:rFonts w:cs="Arial"/>
                <w:b/>
                <w:bCs/>
                <w:color w:val="000000" w:themeColor="text1"/>
                <w:sz w:val="20"/>
                <w:lang w:val="hr-HR"/>
              </w:rPr>
              <w:t>Ukupne obveze</w:t>
            </w:r>
            <w:bookmarkEnd w:id="514"/>
          </w:p>
        </w:tc>
        <w:tc>
          <w:tcPr>
            <w:tcW w:w="544" w:type="pct"/>
            <w:vAlign w:val="bottom"/>
          </w:tcPr>
          <w:p w14:paraId="0229CF3B" w14:textId="77777777" w:rsidR="00D042BF" w:rsidRPr="00CE654D" w:rsidRDefault="00D042BF" w:rsidP="00E032FC">
            <w:pPr>
              <w:pStyle w:val="Tot"/>
              <w:rPr>
                <w:rFonts w:cs="Arial"/>
                <w:b/>
                <w:bCs/>
                <w:color w:val="000000" w:themeColor="text1"/>
                <w:sz w:val="20"/>
                <w:lang w:val="hr-HR"/>
              </w:rPr>
            </w:pPr>
          </w:p>
        </w:tc>
        <w:tc>
          <w:tcPr>
            <w:tcW w:w="761" w:type="pct"/>
            <w:tcBorders>
              <w:top w:val="single" w:sz="4" w:space="0" w:color="auto"/>
              <w:left w:val="nil"/>
              <w:bottom w:val="single" w:sz="8" w:space="0" w:color="auto"/>
              <w:right w:val="nil"/>
            </w:tcBorders>
            <w:shd w:val="clear" w:color="auto" w:fill="auto"/>
            <w:vAlign w:val="bottom"/>
          </w:tcPr>
          <w:p w14:paraId="18FFB6F2" w14:textId="77777777" w:rsidR="00D042BF" w:rsidRPr="00CE654D" w:rsidRDefault="00D042BF" w:rsidP="00E032FC">
            <w:pPr>
              <w:pStyle w:val="Tot"/>
              <w:jc w:val="right"/>
              <w:rPr>
                <w:rFonts w:cs="Arial"/>
                <w:b/>
                <w:bCs/>
                <w:color w:val="000000" w:themeColor="text1"/>
                <w:sz w:val="20"/>
                <w:lang w:val="hr-HR"/>
              </w:rPr>
            </w:pPr>
            <w:r w:rsidRPr="00CE654D">
              <w:rPr>
                <w:rFonts w:cs="Arial"/>
                <w:b/>
                <w:bCs/>
                <w:color w:val="000000" w:themeColor="text1"/>
                <w:sz w:val="20"/>
                <w:lang w:val="hr-HR"/>
              </w:rPr>
              <w:t>18.321.707</w:t>
            </w:r>
          </w:p>
        </w:tc>
        <w:tc>
          <w:tcPr>
            <w:tcW w:w="784" w:type="pct"/>
            <w:tcBorders>
              <w:top w:val="single" w:sz="4" w:space="0" w:color="auto"/>
              <w:left w:val="nil"/>
              <w:bottom w:val="single" w:sz="8" w:space="0" w:color="auto"/>
              <w:right w:val="nil"/>
            </w:tcBorders>
            <w:shd w:val="clear" w:color="auto" w:fill="auto"/>
            <w:vAlign w:val="bottom"/>
          </w:tcPr>
          <w:p w14:paraId="251A1159" w14:textId="77777777" w:rsidR="00D042BF" w:rsidRPr="00CE654D" w:rsidRDefault="00D042BF" w:rsidP="00E032FC">
            <w:pPr>
              <w:pStyle w:val="Tot"/>
              <w:jc w:val="right"/>
              <w:rPr>
                <w:rFonts w:cs="Arial"/>
                <w:b/>
                <w:bCs/>
                <w:color w:val="000000" w:themeColor="text1"/>
                <w:sz w:val="20"/>
                <w:lang w:val="hr-HR"/>
              </w:rPr>
            </w:pPr>
            <w:bookmarkStart w:id="515" w:name="_Toc67327129"/>
            <w:r w:rsidRPr="00CE654D">
              <w:rPr>
                <w:rFonts w:cs="Arial"/>
                <w:b/>
                <w:bCs/>
                <w:color w:val="000000" w:themeColor="text1"/>
                <w:sz w:val="20"/>
                <w:lang w:val="hr-HR"/>
              </w:rPr>
              <w:t>17.682.259</w:t>
            </w:r>
            <w:bookmarkEnd w:id="515"/>
          </w:p>
        </w:tc>
      </w:tr>
      <w:tr w:rsidR="00D042BF" w:rsidRPr="003044E5" w14:paraId="2C8EB35B" w14:textId="77777777" w:rsidTr="00F50591">
        <w:trPr>
          <w:trHeight w:val="285"/>
        </w:trPr>
        <w:tc>
          <w:tcPr>
            <w:tcW w:w="2912" w:type="pct"/>
          </w:tcPr>
          <w:p w14:paraId="634E4E97" w14:textId="40CE999F" w:rsidR="00D042BF" w:rsidRPr="00CE654D" w:rsidRDefault="00D042BF" w:rsidP="00E032FC">
            <w:pPr>
              <w:pStyle w:val="TT"/>
              <w:rPr>
                <w:rFonts w:cs="Arial"/>
                <w:b/>
                <w:bCs/>
                <w:color w:val="000000" w:themeColor="text1"/>
                <w:sz w:val="20"/>
                <w:lang w:val="hr-HR"/>
              </w:rPr>
            </w:pPr>
            <w:bookmarkStart w:id="516" w:name="_Toc67327131"/>
            <w:r w:rsidRPr="00CE654D">
              <w:rPr>
                <w:rFonts w:cs="Arial"/>
                <w:b/>
                <w:bCs/>
                <w:color w:val="000000" w:themeColor="text1"/>
                <w:sz w:val="20"/>
                <w:lang w:val="hr-HR"/>
              </w:rPr>
              <w:t>Kapital i rezerve</w:t>
            </w:r>
            <w:bookmarkEnd w:id="516"/>
          </w:p>
        </w:tc>
        <w:tc>
          <w:tcPr>
            <w:tcW w:w="544" w:type="pct"/>
            <w:vAlign w:val="bottom"/>
          </w:tcPr>
          <w:p w14:paraId="4E29D830" w14:textId="77777777" w:rsidR="00D042BF" w:rsidRPr="00CE654D" w:rsidRDefault="00D042BF" w:rsidP="00E032FC">
            <w:pPr>
              <w:pStyle w:val="TT"/>
              <w:rPr>
                <w:rFonts w:cs="Arial"/>
                <w:b/>
                <w:bCs/>
                <w:color w:val="000000" w:themeColor="text1"/>
                <w:sz w:val="20"/>
                <w:lang w:val="hr-HR"/>
              </w:rPr>
            </w:pPr>
          </w:p>
        </w:tc>
        <w:tc>
          <w:tcPr>
            <w:tcW w:w="761" w:type="pct"/>
            <w:tcBorders>
              <w:top w:val="single" w:sz="12" w:space="0" w:color="auto"/>
            </w:tcBorders>
            <w:vAlign w:val="bottom"/>
          </w:tcPr>
          <w:p w14:paraId="36578167" w14:textId="77777777" w:rsidR="00D042BF" w:rsidRPr="00CE654D" w:rsidRDefault="00D042BF" w:rsidP="00E032FC">
            <w:pPr>
              <w:pStyle w:val="TT"/>
              <w:jc w:val="right"/>
              <w:rPr>
                <w:rFonts w:cs="Arial"/>
                <w:b/>
                <w:bCs/>
                <w:color w:val="000000" w:themeColor="text1"/>
                <w:sz w:val="20"/>
                <w:lang w:val="hr-HR"/>
              </w:rPr>
            </w:pPr>
          </w:p>
        </w:tc>
        <w:tc>
          <w:tcPr>
            <w:tcW w:w="784" w:type="pct"/>
            <w:tcBorders>
              <w:top w:val="single" w:sz="12" w:space="0" w:color="auto"/>
            </w:tcBorders>
            <w:vAlign w:val="bottom"/>
          </w:tcPr>
          <w:p w14:paraId="560C2FB2" w14:textId="77777777" w:rsidR="00D042BF" w:rsidRPr="00CE654D" w:rsidRDefault="00D042BF" w:rsidP="00E032FC">
            <w:pPr>
              <w:pStyle w:val="TT"/>
              <w:jc w:val="right"/>
              <w:rPr>
                <w:rFonts w:cs="Arial"/>
                <w:b/>
                <w:bCs/>
                <w:color w:val="000000" w:themeColor="text1"/>
                <w:sz w:val="20"/>
                <w:lang w:val="hr-HR"/>
              </w:rPr>
            </w:pPr>
          </w:p>
        </w:tc>
      </w:tr>
      <w:tr w:rsidR="00D042BF" w:rsidRPr="003044E5" w14:paraId="5B25CBEF" w14:textId="77777777" w:rsidTr="00F50591">
        <w:trPr>
          <w:trHeight w:val="285"/>
        </w:trPr>
        <w:tc>
          <w:tcPr>
            <w:tcW w:w="2912" w:type="pct"/>
          </w:tcPr>
          <w:p w14:paraId="79836EEA" w14:textId="07C8E258" w:rsidR="00D042BF" w:rsidRPr="00CE654D" w:rsidRDefault="00D042BF" w:rsidP="00E032FC">
            <w:pPr>
              <w:pStyle w:val="TT"/>
              <w:rPr>
                <w:rFonts w:cs="Arial"/>
                <w:color w:val="000000" w:themeColor="text1"/>
                <w:sz w:val="20"/>
                <w:lang w:val="hr-HR"/>
              </w:rPr>
            </w:pPr>
            <w:bookmarkStart w:id="517" w:name="_Toc67327132"/>
            <w:r w:rsidRPr="00CE654D">
              <w:rPr>
                <w:rFonts w:cs="Arial"/>
                <w:color w:val="000000" w:themeColor="text1"/>
                <w:sz w:val="20"/>
                <w:lang w:val="hr-HR"/>
              </w:rPr>
              <w:t>Osnivački kapital</w:t>
            </w:r>
            <w:bookmarkEnd w:id="517"/>
          </w:p>
        </w:tc>
        <w:tc>
          <w:tcPr>
            <w:tcW w:w="544" w:type="pct"/>
            <w:vAlign w:val="bottom"/>
          </w:tcPr>
          <w:p w14:paraId="42430470" w14:textId="77777777" w:rsidR="00D042BF" w:rsidRPr="00CE654D" w:rsidRDefault="00D042BF" w:rsidP="00E032FC">
            <w:pPr>
              <w:pStyle w:val="TT"/>
              <w:jc w:val="center"/>
              <w:rPr>
                <w:rFonts w:cs="Arial"/>
                <w:color w:val="000000" w:themeColor="text1"/>
                <w:sz w:val="20"/>
                <w:lang w:val="hr-HR"/>
              </w:rPr>
            </w:pPr>
            <w:r w:rsidRPr="00CE654D">
              <w:rPr>
                <w:rFonts w:cs="Arial"/>
                <w:color w:val="000000" w:themeColor="text1"/>
                <w:sz w:val="20"/>
                <w:lang w:val="hr-HR"/>
              </w:rPr>
              <w:t>26</w:t>
            </w:r>
          </w:p>
        </w:tc>
        <w:tc>
          <w:tcPr>
            <w:tcW w:w="761" w:type="pct"/>
            <w:tcBorders>
              <w:top w:val="nil"/>
              <w:left w:val="nil"/>
              <w:bottom w:val="nil"/>
              <w:right w:val="nil"/>
            </w:tcBorders>
            <w:shd w:val="clear" w:color="auto" w:fill="auto"/>
            <w:vAlign w:val="bottom"/>
          </w:tcPr>
          <w:p w14:paraId="200E193A" w14:textId="77777777" w:rsidR="00D042BF" w:rsidRPr="00CE654D" w:rsidRDefault="00D042BF" w:rsidP="00E032FC">
            <w:pPr>
              <w:pStyle w:val="TT"/>
              <w:jc w:val="right"/>
              <w:rPr>
                <w:rFonts w:cs="Arial"/>
                <w:color w:val="000000" w:themeColor="text1"/>
                <w:sz w:val="20"/>
                <w:lang w:val="hr-HR"/>
              </w:rPr>
            </w:pPr>
            <w:r w:rsidRPr="00CE654D">
              <w:rPr>
                <w:rFonts w:cs="Arial"/>
                <w:color w:val="000000" w:themeColor="text1"/>
                <w:sz w:val="20"/>
                <w:lang w:val="hr-HR"/>
              </w:rPr>
              <w:t>7.204.632</w:t>
            </w:r>
          </w:p>
        </w:tc>
        <w:tc>
          <w:tcPr>
            <w:tcW w:w="784" w:type="pct"/>
            <w:tcBorders>
              <w:top w:val="nil"/>
              <w:left w:val="nil"/>
              <w:bottom w:val="nil"/>
              <w:right w:val="nil"/>
            </w:tcBorders>
            <w:shd w:val="clear" w:color="auto" w:fill="auto"/>
            <w:vAlign w:val="bottom"/>
          </w:tcPr>
          <w:p w14:paraId="57EA860F" w14:textId="77777777" w:rsidR="00D042BF" w:rsidRPr="00CE654D" w:rsidRDefault="00D042BF" w:rsidP="00E032FC">
            <w:pPr>
              <w:pStyle w:val="TT"/>
              <w:jc w:val="right"/>
              <w:rPr>
                <w:rFonts w:cs="Arial"/>
                <w:color w:val="000000" w:themeColor="text1"/>
                <w:sz w:val="20"/>
                <w:lang w:val="hr-HR"/>
              </w:rPr>
            </w:pPr>
            <w:bookmarkStart w:id="518" w:name="_Toc67327134"/>
            <w:r w:rsidRPr="00CE654D">
              <w:rPr>
                <w:rFonts w:cs="Arial"/>
                <w:color w:val="000000" w:themeColor="text1"/>
                <w:sz w:val="20"/>
                <w:lang w:val="hr-HR"/>
              </w:rPr>
              <w:t>7.184.632</w:t>
            </w:r>
            <w:bookmarkEnd w:id="518"/>
          </w:p>
        </w:tc>
      </w:tr>
      <w:tr w:rsidR="00D042BF" w:rsidRPr="003044E5" w14:paraId="44C000B6" w14:textId="77777777" w:rsidTr="00F50591">
        <w:trPr>
          <w:trHeight w:val="285"/>
        </w:trPr>
        <w:tc>
          <w:tcPr>
            <w:tcW w:w="2912" w:type="pct"/>
          </w:tcPr>
          <w:p w14:paraId="540D6B89" w14:textId="12C2FA05" w:rsidR="00D042BF" w:rsidRPr="00CE654D" w:rsidRDefault="00D042BF" w:rsidP="00E032FC">
            <w:pPr>
              <w:pStyle w:val="TT"/>
              <w:rPr>
                <w:rFonts w:cs="Arial"/>
                <w:color w:val="000000" w:themeColor="text1"/>
                <w:sz w:val="20"/>
                <w:lang w:val="hr-HR"/>
              </w:rPr>
            </w:pPr>
            <w:bookmarkStart w:id="519" w:name="_Toc67327136"/>
            <w:r w:rsidRPr="00CE654D">
              <w:rPr>
                <w:rFonts w:cs="Arial"/>
                <w:color w:val="000000" w:themeColor="text1"/>
                <w:sz w:val="20"/>
                <w:lang w:val="hr-HR"/>
              </w:rPr>
              <w:t>Zadržana dobit i rezerve</w:t>
            </w:r>
            <w:bookmarkEnd w:id="519"/>
          </w:p>
        </w:tc>
        <w:tc>
          <w:tcPr>
            <w:tcW w:w="544" w:type="pct"/>
            <w:vAlign w:val="bottom"/>
          </w:tcPr>
          <w:p w14:paraId="21E34D33" w14:textId="77777777" w:rsidR="00D042BF" w:rsidRPr="00CE654D" w:rsidRDefault="00D042BF" w:rsidP="00E032FC">
            <w:pPr>
              <w:pStyle w:val="TT"/>
              <w:jc w:val="center"/>
              <w:rPr>
                <w:rFonts w:cs="Arial"/>
                <w:color w:val="000000" w:themeColor="text1"/>
                <w:sz w:val="20"/>
                <w:lang w:val="hr-HR"/>
              </w:rPr>
            </w:pPr>
          </w:p>
        </w:tc>
        <w:tc>
          <w:tcPr>
            <w:tcW w:w="761" w:type="pct"/>
            <w:tcBorders>
              <w:top w:val="nil"/>
              <w:left w:val="nil"/>
              <w:bottom w:val="nil"/>
              <w:right w:val="nil"/>
            </w:tcBorders>
            <w:shd w:val="clear" w:color="auto" w:fill="auto"/>
            <w:vAlign w:val="bottom"/>
          </w:tcPr>
          <w:p w14:paraId="28155C9E" w14:textId="77777777" w:rsidR="00D042BF" w:rsidRPr="00CE654D" w:rsidRDefault="00D042BF" w:rsidP="00E032FC">
            <w:pPr>
              <w:pStyle w:val="TT"/>
              <w:jc w:val="right"/>
              <w:rPr>
                <w:rFonts w:cs="Arial"/>
                <w:color w:val="000000" w:themeColor="text1"/>
                <w:sz w:val="20"/>
                <w:lang w:val="hr-HR"/>
              </w:rPr>
            </w:pPr>
            <w:r w:rsidRPr="00CE654D">
              <w:rPr>
                <w:rFonts w:cs="Arial"/>
                <w:color w:val="000000" w:themeColor="text1"/>
                <w:sz w:val="20"/>
                <w:lang w:val="hr-HR"/>
              </w:rPr>
              <w:t>3.340.827</w:t>
            </w:r>
          </w:p>
        </w:tc>
        <w:tc>
          <w:tcPr>
            <w:tcW w:w="784" w:type="pct"/>
            <w:tcBorders>
              <w:top w:val="nil"/>
              <w:left w:val="nil"/>
              <w:bottom w:val="nil"/>
              <w:right w:val="nil"/>
            </w:tcBorders>
            <w:shd w:val="clear" w:color="auto" w:fill="auto"/>
            <w:vAlign w:val="bottom"/>
          </w:tcPr>
          <w:p w14:paraId="568EF0FD" w14:textId="77777777" w:rsidR="00D042BF" w:rsidRPr="00CE654D" w:rsidRDefault="00D042BF" w:rsidP="00E032FC">
            <w:pPr>
              <w:pStyle w:val="TT"/>
              <w:jc w:val="right"/>
              <w:rPr>
                <w:rFonts w:cs="Arial"/>
                <w:color w:val="000000" w:themeColor="text1"/>
                <w:sz w:val="20"/>
                <w:lang w:val="hr-HR"/>
              </w:rPr>
            </w:pPr>
            <w:bookmarkStart w:id="520" w:name="_Toc67327137"/>
            <w:r w:rsidRPr="00CE654D">
              <w:rPr>
                <w:rFonts w:cs="Arial"/>
                <w:color w:val="000000" w:themeColor="text1"/>
                <w:sz w:val="20"/>
                <w:lang w:val="hr-HR"/>
              </w:rPr>
              <w:t>3.153.745</w:t>
            </w:r>
            <w:bookmarkEnd w:id="520"/>
          </w:p>
        </w:tc>
      </w:tr>
      <w:tr w:rsidR="00D042BF" w:rsidRPr="003044E5" w14:paraId="53ACD491" w14:textId="77777777" w:rsidTr="00F50591">
        <w:trPr>
          <w:trHeight w:val="285"/>
        </w:trPr>
        <w:tc>
          <w:tcPr>
            <w:tcW w:w="2912" w:type="pct"/>
          </w:tcPr>
          <w:p w14:paraId="14E8280D" w14:textId="75510660" w:rsidR="00D042BF" w:rsidRPr="00CE654D" w:rsidRDefault="00D042BF" w:rsidP="00E032FC">
            <w:pPr>
              <w:pStyle w:val="TT"/>
              <w:rPr>
                <w:rFonts w:cs="Arial"/>
                <w:color w:val="000000" w:themeColor="text1"/>
                <w:sz w:val="20"/>
                <w:lang w:val="hr-HR"/>
              </w:rPr>
            </w:pPr>
            <w:bookmarkStart w:id="521" w:name="_Toc67327139"/>
            <w:r w:rsidRPr="00CE654D">
              <w:rPr>
                <w:rFonts w:cs="Arial"/>
                <w:color w:val="000000" w:themeColor="text1"/>
                <w:sz w:val="20"/>
                <w:lang w:val="hr-HR"/>
              </w:rPr>
              <w:t>Ostale rezerve</w:t>
            </w:r>
            <w:bookmarkEnd w:id="521"/>
          </w:p>
        </w:tc>
        <w:tc>
          <w:tcPr>
            <w:tcW w:w="544" w:type="pct"/>
            <w:vAlign w:val="bottom"/>
          </w:tcPr>
          <w:p w14:paraId="29553DB6" w14:textId="77777777" w:rsidR="00D042BF" w:rsidRPr="00CE654D" w:rsidRDefault="00D042BF" w:rsidP="00E032FC">
            <w:pPr>
              <w:pStyle w:val="TT"/>
              <w:jc w:val="center"/>
              <w:rPr>
                <w:rFonts w:cs="Arial"/>
                <w:color w:val="000000" w:themeColor="text1"/>
                <w:sz w:val="20"/>
                <w:lang w:val="hr-HR"/>
              </w:rPr>
            </w:pPr>
          </w:p>
        </w:tc>
        <w:tc>
          <w:tcPr>
            <w:tcW w:w="761" w:type="pct"/>
            <w:tcBorders>
              <w:top w:val="nil"/>
              <w:left w:val="nil"/>
              <w:bottom w:val="nil"/>
              <w:right w:val="nil"/>
            </w:tcBorders>
            <w:shd w:val="clear" w:color="auto" w:fill="auto"/>
            <w:vAlign w:val="bottom"/>
          </w:tcPr>
          <w:p w14:paraId="462D316E" w14:textId="77777777" w:rsidR="00D042BF" w:rsidRPr="00CE654D" w:rsidRDefault="00D042BF" w:rsidP="00E032FC">
            <w:pPr>
              <w:pStyle w:val="TT"/>
              <w:jc w:val="right"/>
              <w:rPr>
                <w:rFonts w:cs="Arial"/>
                <w:color w:val="000000" w:themeColor="text1"/>
                <w:sz w:val="20"/>
                <w:lang w:val="hr-HR"/>
              </w:rPr>
            </w:pPr>
            <w:r w:rsidRPr="00CE654D">
              <w:rPr>
                <w:rFonts w:cs="Arial"/>
                <w:color w:val="000000" w:themeColor="text1"/>
                <w:sz w:val="20"/>
                <w:lang w:val="hr-HR"/>
              </w:rPr>
              <w:t>(33.369)</w:t>
            </w:r>
          </w:p>
        </w:tc>
        <w:tc>
          <w:tcPr>
            <w:tcW w:w="784" w:type="pct"/>
            <w:tcBorders>
              <w:top w:val="nil"/>
              <w:left w:val="nil"/>
              <w:bottom w:val="nil"/>
              <w:right w:val="nil"/>
            </w:tcBorders>
            <w:shd w:val="clear" w:color="auto" w:fill="auto"/>
            <w:vAlign w:val="bottom"/>
          </w:tcPr>
          <w:p w14:paraId="4ECE1949" w14:textId="77777777" w:rsidR="00D042BF" w:rsidRPr="00CE654D" w:rsidRDefault="00D042BF" w:rsidP="00E032FC">
            <w:pPr>
              <w:pStyle w:val="TT"/>
              <w:jc w:val="right"/>
              <w:rPr>
                <w:rFonts w:cs="Arial"/>
                <w:color w:val="000000" w:themeColor="text1"/>
                <w:sz w:val="20"/>
                <w:lang w:val="hr-HR"/>
              </w:rPr>
            </w:pPr>
            <w:bookmarkStart w:id="522" w:name="_Toc67327140"/>
            <w:r w:rsidRPr="00CE654D">
              <w:rPr>
                <w:rFonts w:cs="Arial"/>
                <w:color w:val="000000" w:themeColor="text1"/>
                <w:sz w:val="20"/>
                <w:lang w:val="hr-HR"/>
              </w:rPr>
              <w:t>29.961</w:t>
            </w:r>
            <w:bookmarkEnd w:id="522"/>
          </w:p>
        </w:tc>
      </w:tr>
      <w:tr w:rsidR="00D042BF" w:rsidRPr="003044E5" w14:paraId="3B70AAA6" w14:textId="77777777" w:rsidTr="00F50591">
        <w:trPr>
          <w:trHeight w:val="285"/>
        </w:trPr>
        <w:tc>
          <w:tcPr>
            <w:tcW w:w="2912" w:type="pct"/>
          </w:tcPr>
          <w:p w14:paraId="2863B0B8" w14:textId="2030B38F" w:rsidR="00D042BF" w:rsidRPr="00CE654D" w:rsidRDefault="00D042BF" w:rsidP="00E032FC">
            <w:pPr>
              <w:pStyle w:val="TT"/>
              <w:rPr>
                <w:rFonts w:cs="Arial"/>
                <w:color w:val="000000" w:themeColor="text1"/>
                <w:sz w:val="20"/>
                <w:lang w:val="hr-HR"/>
              </w:rPr>
            </w:pPr>
            <w:bookmarkStart w:id="523" w:name="_Toc67327142"/>
            <w:r w:rsidRPr="00CE654D">
              <w:rPr>
                <w:rFonts w:cs="Arial"/>
                <w:color w:val="000000" w:themeColor="text1"/>
                <w:sz w:val="20"/>
                <w:lang w:val="hr-HR"/>
              </w:rPr>
              <w:t>Dobit tekuće godine</w:t>
            </w:r>
            <w:bookmarkEnd w:id="523"/>
          </w:p>
        </w:tc>
        <w:tc>
          <w:tcPr>
            <w:tcW w:w="544" w:type="pct"/>
            <w:vAlign w:val="bottom"/>
          </w:tcPr>
          <w:p w14:paraId="137F47DB" w14:textId="77777777" w:rsidR="00D042BF" w:rsidRPr="00CE654D" w:rsidRDefault="00D042BF" w:rsidP="00E032FC">
            <w:pPr>
              <w:pStyle w:val="TT"/>
              <w:jc w:val="center"/>
              <w:rPr>
                <w:rFonts w:cs="Arial"/>
                <w:color w:val="000000" w:themeColor="text1"/>
                <w:sz w:val="20"/>
                <w:lang w:val="hr-HR"/>
              </w:rPr>
            </w:pPr>
          </w:p>
        </w:tc>
        <w:tc>
          <w:tcPr>
            <w:tcW w:w="761" w:type="pct"/>
            <w:tcBorders>
              <w:top w:val="nil"/>
              <w:left w:val="nil"/>
              <w:bottom w:val="nil"/>
              <w:right w:val="nil"/>
            </w:tcBorders>
            <w:shd w:val="clear" w:color="auto" w:fill="auto"/>
            <w:vAlign w:val="bottom"/>
          </w:tcPr>
          <w:p w14:paraId="14F45B34" w14:textId="77777777" w:rsidR="00D042BF" w:rsidRPr="00CE654D" w:rsidRDefault="00D042BF" w:rsidP="00E032FC">
            <w:pPr>
              <w:pStyle w:val="TT"/>
              <w:jc w:val="right"/>
              <w:rPr>
                <w:rFonts w:cs="Arial"/>
                <w:color w:val="000000" w:themeColor="text1"/>
                <w:sz w:val="20"/>
                <w:lang w:val="hr-HR"/>
              </w:rPr>
            </w:pPr>
            <w:r w:rsidRPr="00CE654D">
              <w:rPr>
                <w:rFonts w:cs="Arial"/>
                <w:color w:val="000000" w:themeColor="text1"/>
                <w:sz w:val="20"/>
                <w:lang w:val="hr-HR"/>
              </w:rPr>
              <w:t>186.173</w:t>
            </w:r>
          </w:p>
        </w:tc>
        <w:tc>
          <w:tcPr>
            <w:tcW w:w="784" w:type="pct"/>
            <w:tcBorders>
              <w:top w:val="nil"/>
              <w:left w:val="nil"/>
              <w:bottom w:val="nil"/>
              <w:right w:val="nil"/>
            </w:tcBorders>
            <w:shd w:val="clear" w:color="auto" w:fill="auto"/>
            <w:vAlign w:val="bottom"/>
          </w:tcPr>
          <w:p w14:paraId="7D5B87AB" w14:textId="77777777" w:rsidR="00D042BF" w:rsidRPr="00CE654D" w:rsidRDefault="00D042BF" w:rsidP="00E032FC">
            <w:pPr>
              <w:pStyle w:val="TT"/>
              <w:jc w:val="right"/>
              <w:rPr>
                <w:rFonts w:cs="Arial"/>
                <w:color w:val="000000" w:themeColor="text1"/>
                <w:sz w:val="20"/>
                <w:lang w:val="hr-HR"/>
              </w:rPr>
            </w:pPr>
            <w:bookmarkStart w:id="524" w:name="_Toc67327143"/>
            <w:r w:rsidRPr="00CE654D">
              <w:rPr>
                <w:rFonts w:cs="Arial"/>
                <w:color w:val="000000" w:themeColor="text1"/>
                <w:sz w:val="20"/>
                <w:lang w:val="hr-HR"/>
              </w:rPr>
              <w:t>187.082</w:t>
            </w:r>
            <w:bookmarkEnd w:id="524"/>
          </w:p>
        </w:tc>
      </w:tr>
      <w:tr w:rsidR="00D042BF" w:rsidRPr="003044E5" w14:paraId="061BAD36" w14:textId="77777777" w:rsidTr="00F50591">
        <w:trPr>
          <w:trHeight w:val="285"/>
        </w:trPr>
        <w:tc>
          <w:tcPr>
            <w:tcW w:w="2912" w:type="pct"/>
          </w:tcPr>
          <w:p w14:paraId="6C4F8223" w14:textId="67EEACEF" w:rsidR="00D042BF" w:rsidRPr="00CE654D" w:rsidRDefault="00D042BF" w:rsidP="00E032FC">
            <w:pPr>
              <w:pStyle w:val="TT"/>
              <w:rPr>
                <w:rFonts w:cs="Arial"/>
                <w:color w:val="000000" w:themeColor="text1"/>
                <w:sz w:val="20"/>
                <w:lang w:val="hr-HR"/>
              </w:rPr>
            </w:pPr>
            <w:bookmarkStart w:id="525" w:name="_Toc67327145"/>
            <w:r w:rsidRPr="00CE654D">
              <w:rPr>
                <w:rFonts w:cs="Arial"/>
                <w:color w:val="000000" w:themeColor="text1"/>
                <w:sz w:val="20"/>
                <w:lang w:val="hr-HR"/>
              </w:rPr>
              <w:t>Garantni fond</w:t>
            </w:r>
            <w:bookmarkEnd w:id="525"/>
          </w:p>
        </w:tc>
        <w:tc>
          <w:tcPr>
            <w:tcW w:w="544" w:type="pct"/>
            <w:vAlign w:val="bottom"/>
          </w:tcPr>
          <w:p w14:paraId="41405EC4" w14:textId="77777777" w:rsidR="00D042BF" w:rsidRPr="00CE654D" w:rsidRDefault="00D042BF" w:rsidP="00E032FC">
            <w:pPr>
              <w:pStyle w:val="TT"/>
              <w:jc w:val="center"/>
              <w:rPr>
                <w:rFonts w:cs="Arial"/>
                <w:color w:val="000000" w:themeColor="text1"/>
                <w:sz w:val="20"/>
                <w:lang w:val="hr-HR"/>
              </w:rPr>
            </w:pPr>
            <w:r w:rsidRPr="00CE654D">
              <w:rPr>
                <w:rFonts w:cs="Arial"/>
                <w:color w:val="000000" w:themeColor="text1"/>
                <w:sz w:val="20"/>
                <w:lang w:val="hr-HR"/>
              </w:rPr>
              <w:t>27</w:t>
            </w:r>
          </w:p>
        </w:tc>
        <w:tc>
          <w:tcPr>
            <w:tcW w:w="761" w:type="pct"/>
            <w:tcBorders>
              <w:top w:val="nil"/>
              <w:left w:val="nil"/>
              <w:bottom w:val="single" w:sz="4" w:space="0" w:color="auto"/>
              <w:right w:val="nil"/>
            </w:tcBorders>
            <w:shd w:val="clear" w:color="auto" w:fill="auto"/>
            <w:vAlign w:val="bottom"/>
          </w:tcPr>
          <w:p w14:paraId="5D806E53" w14:textId="77777777" w:rsidR="00D042BF" w:rsidRPr="00CE654D" w:rsidRDefault="00D042BF" w:rsidP="00E032FC">
            <w:pPr>
              <w:pStyle w:val="TT"/>
              <w:jc w:val="right"/>
              <w:rPr>
                <w:rFonts w:cs="Arial"/>
                <w:color w:val="000000" w:themeColor="text1"/>
                <w:sz w:val="20"/>
                <w:lang w:val="hr-HR"/>
              </w:rPr>
            </w:pPr>
            <w:r w:rsidRPr="00CE654D">
              <w:rPr>
                <w:rFonts w:cs="Arial"/>
                <w:color w:val="000000" w:themeColor="text1"/>
                <w:sz w:val="20"/>
                <w:lang w:val="hr-HR"/>
              </w:rPr>
              <w:t>12.337</w:t>
            </w:r>
          </w:p>
        </w:tc>
        <w:tc>
          <w:tcPr>
            <w:tcW w:w="784" w:type="pct"/>
            <w:tcBorders>
              <w:top w:val="nil"/>
              <w:left w:val="nil"/>
              <w:bottom w:val="single" w:sz="4" w:space="0" w:color="auto"/>
              <w:right w:val="nil"/>
            </w:tcBorders>
            <w:shd w:val="clear" w:color="auto" w:fill="auto"/>
            <w:vAlign w:val="bottom"/>
          </w:tcPr>
          <w:p w14:paraId="2315604A" w14:textId="77777777" w:rsidR="00D042BF" w:rsidRPr="00CE654D" w:rsidRDefault="00D042BF" w:rsidP="00E032FC">
            <w:pPr>
              <w:pStyle w:val="TT"/>
              <w:jc w:val="right"/>
              <w:rPr>
                <w:rFonts w:cs="Arial"/>
                <w:color w:val="000000" w:themeColor="text1"/>
                <w:sz w:val="20"/>
                <w:lang w:val="hr-HR"/>
              </w:rPr>
            </w:pPr>
            <w:bookmarkStart w:id="526" w:name="_Toc67327147"/>
            <w:r w:rsidRPr="00CE654D">
              <w:rPr>
                <w:rFonts w:cs="Arial"/>
                <w:color w:val="000000" w:themeColor="text1"/>
                <w:sz w:val="20"/>
                <w:lang w:val="hr-HR"/>
              </w:rPr>
              <w:t>12.309</w:t>
            </w:r>
            <w:bookmarkEnd w:id="526"/>
          </w:p>
        </w:tc>
      </w:tr>
      <w:tr w:rsidR="00D042BF" w:rsidRPr="003044E5" w14:paraId="2A109483" w14:textId="77777777" w:rsidTr="00F50591">
        <w:trPr>
          <w:trHeight w:val="285"/>
        </w:trPr>
        <w:tc>
          <w:tcPr>
            <w:tcW w:w="2912" w:type="pct"/>
          </w:tcPr>
          <w:p w14:paraId="6ED0982D" w14:textId="591A1AC8" w:rsidR="00D042BF" w:rsidRPr="00CE654D" w:rsidRDefault="00D042BF" w:rsidP="00E032FC">
            <w:pPr>
              <w:pStyle w:val="TT"/>
              <w:rPr>
                <w:rFonts w:cs="Arial"/>
                <w:color w:val="000000" w:themeColor="text1"/>
                <w:sz w:val="20"/>
                <w:lang w:val="hr-HR"/>
              </w:rPr>
            </w:pPr>
            <w:bookmarkStart w:id="527" w:name="_Toc67327149"/>
            <w:r w:rsidRPr="00CE654D">
              <w:rPr>
                <w:rFonts w:cs="Arial"/>
                <w:b/>
                <w:bCs/>
                <w:color w:val="000000" w:themeColor="text1"/>
                <w:sz w:val="20"/>
                <w:lang w:val="hr-HR"/>
              </w:rPr>
              <w:t>Ukupni kapital i rezerve</w:t>
            </w:r>
            <w:bookmarkEnd w:id="527"/>
          </w:p>
        </w:tc>
        <w:tc>
          <w:tcPr>
            <w:tcW w:w="544" w:type="pct"/>
            <w:vAlign w:val="bottom"/>
          </w:tcPr>
          <w:p w14:paraId="536AF2F4" w14:textId="77777777" w:rsidR="00D042BF" w:rsidRPr="00CE654D" w:rsidRDefault="00D042BF" w:rsidP="00E032FC">
            <w:pPr>
              <w:pStyle w:val="TT"/>
              <w:jc w:val="center"/>
              <w:rPr>
                <w:rFonts w:cs="Arial"/>
                <w:color w:val="000000" w:themeColor="text1"/>
                <w:sz w:val="20"/>
                <w:lang w:val="hr-HR"/>
              </w:rPr>
            </w:pPr>
          </w:p>
        </w:tc>
        <w:tc>
          <w:tcPr>
            <w:tcW w:w="761" w:type="pct"/>
            <w:tcBorders>
              <w:top w:val="single" w:sz="4" w:space="0" w:color="auto"/>
              <w:left w:val="nil"/>
              <w:bottom w:val="single" w:sz="12" w:space="0" w:color="auto"/>
              <w:right w:val="nil"/>
            </w:tcBorders>
            <w:shd w:val="clear" w:color="auto" w:fill="auto"/>
            <w:vAlign w:val="bottom"/>
          </w:tcPr>
          <w:p w14:paraId="48F7572D" w14:textId="77777777" w:rsidR="00D042BF" w:rsidRPr="00CE654D" w:rsidRDefault="00D042BF" w:rsidP="00E032FC">
            <w:pPr>
              <w:pStyle w:val="TT"/>
              <w:jc w:val="right"/>
              <w:rPr>
                <w:rFonts w:cs="Arial"/>
                <w:b/>
                <w:color w:val="000000" w:themeColor="text1"/>
                <w:sz w:val="20"/>
                <w:lang w:val="hr-HR"/>
              </w:rPr>
            </w:pPr>
            <w:r w:rsidRPr="00CE654D">
              <w:rPr>
                <w:rFonts w:cs="Arial"/>
                <w:b/>
                <w:color w:val="000000" w:themeColor="text1"/>
                <w:sz w:val="20"/>
                <w:lang w:val="hr-HR"/>
              </w:rPr>
              <w:t>10.710.600</w:t>
            </w:r>
          </w:p>
        </w:tc>
        <w:tc>
          <w:tcPr>
            <w:tcW w:w="784" w:type="pct"/>
            <w:tcBorders>
              <w:top w:val="single" w:sz="4" w:space="0" w:color="auto"/>
              <w:left w:val="nil"/>
              <w:bottom w:val="single" w:sz="12" w:space="0" w:color="auto"/>
              <w:right w:val="nil"/>
            </w:tcBorders>
            <w:shd w:val="clear" w:color="auto" w:fill="auto"/>
            <w:vAlign w:val="bottom"/>
          </w:tcPr>
          <w:p w14:paraId="53D83FB3" w14:textId="77777777" w:rsidR="00D042BF" w:rsidRPr="00CE654D" w:rsidRDefault="00D042BF" w:rsidP="00E032FC">
            <w:pPr>
              <w:pStyle w:val="TT"/>
              <w:jc w:val="right"/>
              <w:rPr>
                <w:rFonts w:cs="Arial"/>
                <w:color w:val="000000" w:themeColor="text1"/>
                <w:sz w:val="20"/>
                <w:lang w:val="hr-HR"/>
              </w:rPr>
            </w:pPr>
            <w:bookmarkStart w:id="528" w:name="_Toc67327150"/>
            <w:r w:rsidRPr="00CE654D">
              <w:rPr>
                <w:rFonts w:cs="Arial"/>
                <w:b/>
                <w:color w:val="000000" w:themeColor="text1"/>
                <w:sz w:val="20"/>
                <w:lang w:val="hr-HR"/>
              </w:rPr>
              <w:t>10.567.729</w:t>
            </w:r>
            <w:bookmarkEnd w:id="528"/>
          </w:p>
        </w:tc>
      </w:tr>
      <w:tr w:rsidR="00D042BF" w:rsidRPr="003044E5" w14:paraId="28062178" w14:textId="77777777" w:rsidTr="00F50591">
        <w:trPr>
          <w:trHeight w:val="386"/>
        </w:trPr>
        <w:tc>
          <w:tcPr>
            <w:tcW w:w="2912" w:type="pct"/>
            <w:vAlign w:val="bottom"/>
          </w:tcPr>
          <w:p w14:paraId="591E414D" w14:textId="4A5631E6" w:rsidR="00D042BF" w:rsidRPr="00CE654D" w:rsidRDefault="00D042BF" w:rsidP="00E032FC">
            <w:pPr>
              <w:pStyle w:val="Tot"/>
              <w:rPr>
                <w:rFonts w:cs="Arial"/>
                <w:b/>
                <w:bCs/>
                <w:color w:val="000000" w:themeColor="text1"/>
                <w:sz w:val="20"/>
                <w:lang w:val="hr-HR"/>
              </w:rPr>
            </w:pPr>
            <w:bookmarkStart w:id="529" w:name="_Toc67327152"/>
            <w:r w:rsidRPr="00CE654D">
              <w:rPr>
                <w:rFonts w:cs="Arial"/>
                <w:b/>
                <w:bCs/>
                <w:color w:val="000000" w:themeColor="text1"/>
                <w:sz w:val="20"/>
                <w:lang w:val="hr-HR"/>
              </w:rPr>
              <w:t>Ukupne obveze i kapital i rezerve</w:t>
            </w:r>
            <w:bookmarkEnd w:id="529"/>
          </w:p>
        </w:tc>
        <w:tc>
          <w:tcPr>
            <w:tcW w:w="544" w:type="pct"/>
            <w:vAlign w:val="bottom"/>
          </w:tcPr>
          <w:p w14:paraId="78BC0D66" w14:textId="77777777" w:rsidR="00D042BF" w:rsidRPr="00CE654D" w:rsidRDefault="00D042BF" w:rsidP="00E032FC">
            <w:pPr>
              <w:pStyle w:val="Tot"/>
              <w:jc w:val="right"/>
              <w:rPr>
                <w:rFonts w:cs="Arial"/>
                <w:b/>
                <w:bCs/>
                <w:color w:val="000000" w:themeColor="text1"/>
                <w:sz w:val="20"/>
                <w:lang w:val="hr-HR"/>
              </w:rPr>
            </w:pPr>
          </w:p>
        </w:tc>
        <w:tc>
          <w:tcPr>
            <w:tcW w:w="761" w:type="pct"/>
            <w:tcBorders>
              <w:top w:val="single" w:sz="12" w:space="0" w:color="auto"/>
              <w:left w:val="nil"/>
              <w:bottom w:val="single" w:sz="12" w:space="0" w:color="auto"/>
              <w:right w:val="nil"/>
            </w:tcBorders>
            <w:shd w:val="clear" w:color="auto" w:fill="auto"/>
            <w:vAlign w:val="bottom"/>
          </w:tcPr>
          <w:p w14:paraId="615AE782" w14:textId="77777777" w:rsidR="00D042BF" w:rsidRPr="00CE654D" w:rsidRDefault="00D042BF" w:rsidP="00E032FC">
            <w:pPr>
              <w:pStyle w:val="Tot"/>
              <w:jc w:val="right"/>
              <w:rPr>
                <w:rFonts w:cs="Arial"/>
                <w:b/>
                <w:bCs/>
                <w:color w:val="000000" w:themeColor="text1"/>
                <w:sz w:val="20"/>
                <w:lang w:val="hr-HR"/>
              </w:rPr>
            </w:pPr>
            <w:r w:rsidRPr="00CE654D">
              <w:rPr>
                <w:rFonts w:cs="Arial"/>
                <w:b/>
                <w:bCs/>
                <w:color w:val="000000" w:themeColor="text1"/>
                <w:sz w:val="20"/>
                <w:lang w:val="hr-HR"/>
              </w:rPr>
              <w:t>29.032.307</w:t>
            </w:r>
          </w:p>
        </w:tc>
        <w:tc>
          <w:tcPr>
            <w:tcW w:w="784" w:type="pct"/>
            <w:tcBorders>
              <w:top w:val="single" w:sz="12" w:space="0" w:color="auto"/>
              <w:left w:val="nil"/>
              <w:bottom w:val="single" w:sz="12" w:space="0" w:color="auto"/>
              <w:right w:val="nil"/>
            </w:tcBorders>
            <w:shd w:val="clear" w:color="auto" w:fill="auto"/>
            <w:vAlign w:val="bottom"/>
          </w:tcPr>
          <w:p w14:paraId="77703DF7" w14:textId="77777777" w:rsidR="00D042BF" w:rsidRPr="00CE654D" w:rsidRDefault="00D042BF" w:rsidP="00E032FC">
            <w:pPr>
              <w:pStyle w:val="Tot"/>
              <w:jc w:val="right"/>
              <w:rPr>
                <w:rFonts w:cs="Arial"/>
                <w:b/>
                <w:bCs/>
                <w:color w:val="000000" w:themeColor="text1"/>
                <w:sz w:val="20"/>
                <w:lang w:val="hr-HR"/>
              </w:rPr>
            </w:pPr>
            <w:bookmarkStart w:id="530" w:name="_Toc67327153"/>
            <w:r w:rsidRPr="00CE654D">
              <w:rPr>
                <w:rFonts w:cs="Arial"/>
                <w:b/>
                <w:bCs/>
                <w:color w:val="000000" w:themeColor="text1"/>
                <w:sz w:val="20"/>
                <w:lang w:val="hr-HR"/>
              </w:rPr>
              <w:t>28.249.988</w:t>
            </w:r>
            <w:bookmarkEnd w:id="530"/>
          </w:p>
        </w:tc>
      </w:tr>
    </w:tbl>
    <w:p w14:paraId="0E3ED270" w14:textId="77777777" w:rsidR="00D042BF" w:rsidRPr="00B91D09" w:rsidRDefault="00D042BF" w:rsidP="00D042BF">
      <w:pPr>
        <w:pStyle w:val="T1"/>
        <w:spacing w:before="0" w:after="0" w:line="240" w:lineRule="auto"/>
        <w:rPr>
          <w:rFonts w:cs="Arial"/>
          <w:b w:val="0"/>
          <w:bCs w:val="0"/>
          <w:color w:val="000000" w:themeColor="text1"/>
          <w:sz w:val="22"/>
          <w:szCs w:val="22"/>
          <w:lang w:val="hr-HR"/>
        </w:rPr>
      </w:pPr>
    </w:p>
    <w:p w14:paraId="1B1BBE00" w14:textId="77777777" w:rsidR="00D042BF" w:rsidRPr="00B91D09" w:rsidRDefault="00D042BF" w:rsidP="00D042BF">
      <w:pPr>
        <w:pStyle w:val="T1"/>
        <w:rPr>
          <w:rFonts w:cs="Arial"/>
          <w:b w:val="0"/>
          <w:bCs w:val="0"/>
          <w:color w:val="000000" w:themeColor="text1"/>
          <w:sz w:val="22"/>
          <w:szCs w:val="22"/>
          <w:lang w:val="hr-HR"/>
        </w:rPr>
      </w:pPr>
    </w:p>
    <w:p w14:paraId="1254B907" w14:textId="77777777" w:rsidR="00D042BF" w:rsidRPr="00B91D09" w:rsidRDefault="00D042BF" w:rsidP="00D042BF">
      <w:pPr>
        <w:pStyle w:val="T1"/>
        <w:rPr>
          <w:rFonts w:cs="Arial"/>
          <w:b w:val="0"/>
          <w:bCs w:val="0"/>
          <w:color w:val="000000" w:themeColor="text1"/>
          <w:sz w:val="22"/>
          <w:szCs w:val="22"/>
          <w:lang w:val="hr-HR"/>
        </w:rPr>
      </w:pPr>
    </w:p>
    <w:p w14:paraId="574B0FC4" w14:textId="77777777" w:rsidR="00D042BF" w:rsidRPr="004B4498" w:rsidRDefault="00D042BF" w:rsidP="00D042BF">
      <w:pPr>
        <w:pStyle w:val="T1"/>
        <w:rPr>
          <w:rFonts w:cs="Arial"/>
          <w:color w:val="000000" w:themeColor="text1"/>
          <w:sz w:val="20"/>
          <w:lang w:val="hr-HR"/>
        </w:rPr>
      </w:pPr>
      <w:r w:rsidRPr="004B4498">
        <w:rPr>
          <w:rFonts w:cs="Arial"/>
          <w:b w:val="0"/>
          <w:bCs w:val="0"/>
          <w:color w:val="000000" w:themeColor="text1"/>
          <w:sz w:val="20"/>
          <w:lang w:val="hr-HR"/>
        </w:rPr>
        <w:t>Priložene računovodstvene politike i bilješke sastavni su dio ovih financijskih izvještaja.</w:t>
      </w:r>
    </w:p>
    <w:p w14:paraId="419868A7" w14:textId="77777777" w:rsidR="00D042BF" w:rsidRDefault="00D042BF" w:rsidP="005D22E7">
      <w:pPr>
        <w:rPr>
          <w:rFonts w:ascii="Arial" w:hAnsi="Arial" w:cs="Arial"/>
          <w:b/>
          <w:bCs/>
          <w:sz w:val="20"/>
          <w:szCs w:val="20"/>
          <w:lang w:val="hr-HR"/>
        </w:rPr>
        <w:sectPr w:rsidR="00D042BF" w:rsidSect="001856C5">
          <w:headerReference w:type="default" r:id="rId72"/>
          <w:footerReference w:type="default" r:id="rId73"/>
          <w:pgSz w:w="11906" w:h="16838"/>
          <w:pgMar w:top="1440" w:right="1440" w:bottom="1440" w:left="1440" w:header="708" w:footer="708" w:gutter="0"/>
          <w:cols w:space="708"/>
          <w:docGrid w:linePitch="360"/>
        </w:sectPr>
      </w:pPr>
    </w:p>
    <w:tbl>
      <w:tblPr>
        <w:tblpPr w:leftFromText="180" w:rightFromText="180" w:vertAnchor="page" w:horzAnchor="margin" w:tblpXSpec="center" w:tblpY="2292"/>
        <w:tblW w:w="5386" w:type="pct"/>
        <w:tblLayout w:type="fixed"/>
        <w:tblCellMar>
          <w:left w:w="119" w:type="dxa"/>
          <w:right w:w="119" w:type="dxa"/>
        </w:tblCellMar>
        <w:tblLook w:val="0000" w:firstRow="0" w:lastRow="0" w:firstColumn="0" w:lastColumn="0" w:noHBand="0" w:noVBand="0"/>
      </w:tblPr>
      <w:tblGrid>
        <w:gridCol w:w="7233"/>
        <w:gridCol w:w="1280"/>
        <w:gridCol w:w="1210"/>
      </w:tblGrid>
      <w:tr w:rsidR="00F50591" w:rsidRPr="00D042BF" w14:paraId="6AB3A536" w14:textId="77777777" w:rsidTr="009620F6">
        <w:trPr>
          <w:trHeight w:val="173"/>
        </w:trPr>
        <w:tc>
          <w:tcPr>
            <w:tcW w:w="3720" w:type="pct"/>
          </w:tcPr>
          <w:p w14:paraId="61BDED03" w14:textId="77777777" w:rsidR="00F50591" w:rsidRDefault="00F50591" w:rsidP="00F50591">
            <w:pPr>
              <w:keepLines/>
              <w:tabs>
                <w:tab w:val="right" w:pos="1202"/>
              </w:tabs>
              <w:suppressAutoHyphens w:val="0"/>
              <w:autoSpaceDN/>
              <w:spacing w:line="220" w:lineRule="exact"/>
              <w:jc w:val="right"/>
              <w:outlineLvl w:val="0"/>
              <w:rPr>
                <w:rFonts w:ascii="Arial" w:hAnsi="Arial" w:cs="Arial"/>
                <w:b/>
                <w:color w:val="000000"/>
                <w:sz w:val="19"/>
                <w:szCs w:val="19"/>
                <w:lang w:val="hr-HR"/>
              </w:rPr>
            </w:pPr>
            <w:bookmarkStart w:id="531" w:name="_Toc67327155"/>
          </w:p>
          <w:p w14:paraId="4E3A6A59"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b/>
                <w:color w:val="000000"/>
                <w:sz w:val="19"/>
                <w:szCs w:val="19"/>
                <w:lang w:val="hr-HR"/>
              </w:rPr>
            </w:pPr>
            <w:r>
              <w:rPr>
                <w:rFonts w:ascii="Arial" w:hAnsi="Arial" w:cs="Arial"/>
                <w:b/>
                <w:color w:val="000000"/>
                <w:sz w:val="19"/>
                <w:szCs w:val="19"/>
                <w:lang w:val="hr-HR"/>
              </w:rPr>
              <w:t>Bi</w:t>
            </w:r>
            <w:r w:rsidRPr="00D042BF">
              <w:rPr>
                <w:rFonts w:ascii="Arial" w:hAnsi="Arial" w:cs="Arial"/>
                <w:b/>
                <w:color w:val="000000"/>
                <w:sz w:val="19"/>
                <w:szCs w:val="19"/>
                <w:lang w:val="hr-HR"/>
              </w:rPr>
              <w:t>lješka</w:t>
            </w:r>
            <w:bookmarkEnd w:id="531"/>
          </w:p>
        </w:tc>
        <w:tc>
          <w:tcPr>
            <w:tcW w:w="658" w:type="pct"/>
            <w:vAlign w:val="bottom"/>
          </w:tcPr>
          <w:p w14:paraId="320EC581"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b/>
                <w:bCs/>
                <w:color w:val="000000"/>
                <w:sz w:val="19"/>
                <w:szCs w:val="19"/>
                <w:lang w:val="hr-HR"/>
              </w:rPr>
            </w:pPr>
            <w:r w:rsidRPr="00D042BF">
              <w:rPr>
                <w:rFonts w:ascii="Arial" w:hAnsi="Arial" w:cs="Arial"/>
                <w:b/>
                <w:bCs/>
                <w:color w:val="000000"/>
                <w:sz w:val="19"/>
                <w:szCs w:val="19"/>
                <w:lang w:val="hr-HR"/>
              </w:rPr>
              <w:t>2022.</w:t>
            </w:r>
          </w:p>
        </w:tc>
        <w:tc>
          <w:tcPr>
            <w:tcW w:w="622" w:type="pct"/>
            <w:vAlign w:val="bottom"/>
          </w:tcPr>
          <w:p w14:paraId="7BBBB249"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b/>
                <w:bCs/>
                <w:color w:val="000000"/>
                <w:sz w:val="19"/>
                <w:szCs w:val="19"/>
                <w:lang w:val="hr-HR"/>
              </w:rPr>
            </w:pPr>
            <w:bookmarkStart w:id="532" w:name="_Toc67327156"/>
            <w:r w:rsidRPr="00D042BF">
              <w:rPr>
                <w:rFonts w:ascii="Arial" w:hAnsi="Arial" w:cs="Arial"/>
                <w:b/>
                <w:bCs/>
                <w:color w:val="000000"/>
                <w:sz w:val="19"/>
                <w:szCs w:val="19"/>
                <w:lang w:val="hr-HR"/>
              </w:rPr>
              <w:t>2021.</w:t>
            </w:r>
            <w:bookmarkEnd w:id="532"/>
          </w:p>
        </w:tc>
      </w:tr>
      <w:tr w:rsidR="00F50591" w:rsidRPr="00D042BF" w14:paraId="2F182699" w14:textId="77777777" w:rsidTr="009620F6">
        <w:trPr>
          <w:trHeight w:val="176"/>
        </w:trPr>
        <w:tc>
          <w:tcPr>
            <w:tcW w:w="3720" w:type="pct"/>
          </w:tcPr>
          <w:p w14:paraId="08D5EADA" w14:textId="77777777" w:rsidR="00F50591" w:rsidRPr="00D042BF" w:rsidRDefault="00F50591" w:rsidP="00F50591">
            <w:pPr>
              <w:keepLines/>
              <w:tabs>
                <w:tab w:val="right" w:pos="1202"/>
              </w:tabs>
              <w:suppressAutoHyphens w:val="0"/>
              <w:autoSpaceDN/>
              <w:spacing w:line="220" w:lineRule="exact"/>
              <w:outlineLvl w:val="0"/>
              <w:rPr>
                <w:rFonts w:ascii="Arial" w:hAnsi="Arial" w:cs="Arial"/>
                <w:b/>
                <w:color w:val="000000"/>
                <w:sz w:val="19"/>
                <w:szCs w:val="19"/>
                <w:lang w:val="hr-HR"/>
              </w:rPr>
            </w:pPr>
            <w:r w:rsidRPr="00D042BF">
              <w:rPr>
                <w:rFonts w:ascii="Arial" w:hAnsi="Arial" w:cs="Arial"/>
                <w:b/>
                <w:color w:val="000000"/>
                <w:sz w:val="19"/>
                <w:szCs w:val="19"/>
                <w:lang w:val="hr-HR"/>
              </w:rPr>
              <w:t xml:space="preserve">                                                                                                                          </w:t>
            </w:r>
          </w:p>
        </w:tc>
        <w:tc>
          <w:tcPr>
            <w:tcW w:w="658" w:type="pct"/>
            <w:vAlign w:val="bottom"/>
          </w:tcPr>
          <w:p w14:paraId="119F65B2"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b/>
                <w:bCs/>
                <w:color w:val="000000"/>
                <w:sz w:val="19"/>
                <w:szCs w:val="19"/>
                <w:lang w:val="hr-HR"/>
              </w:rPr>
            </w:pPr>
            <w:bookmarkStart w:id="533" w:name="_Toc67327158"/>
            <w:r w:rsidRPr="00D042BF">
              <w:rPr>
                <w:rFonts w:ascii="Arial" w:hAnsi="Arial" w:cs="Arial"/>
                <w:b/>
                <w:bCs/>
                <w:color w:val="000000"/>
                <w:sz w:val="19"/>
                <w:szCs w:val="19"/>
                <w:lang w:val="hr-HR"/>
              </w:rPr>
              <w:t>000 kuna</w:t>
            </w:r>
            <w:bookmarkEnd w:id="533"/>
          </w:p>
        </w:tc>
        <w:tc>
          <w:tcPr>
            <w:tcW w:w="622" w:type="pct"/>
            <w:vAlign w:val="bottom"/>
          </w:tcPr>
          <w:p w14:paraId="2B0D0F7E"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b/>
                <w:bCs/>
                <w:color w:val="000000"/>
                <w:sz w:val="19"/>
                <w:szCs w:val="19"/>
                <w:lang w:val="hr-HR"/>
              </w:rPr>
            </w:pPr>
            <w:bookmarkStart w:id="534" w:name="_Toc67327159"/>
            <w:r w:rsidRPr="00D042BF">
              <w:rPr>
                <w:rFonts w:ascii="Arial" w:hAnsi="Arial" w:cs="Arial"/>
                <w:b/>
                <w:bCs/>
                <w:color w:val="000000"/>
                <w:sz w:val="19"/>
                <w:szCs w:val="19"/>
                <w:lang w:val="hr-HR"/>
              </w:rPr>
              <w:t>000 kuna</w:t>
            </w:r>
            <w:bookmarkEnd w:id="534"/>
          </w:p>
        </w:tc>
      </w:tr>
      <w:tr w:rsidR="00F50591" w:rsidRPr="00D042BF" w14:paraId="62B98377" w14:textId="77777777" w:rsidTr="009620F6">
        <w:tc>
          <w:tcPr>
            <w:tcW w:w="3720" w:type="pct"/>
            <w:vAlign w:val="bottom"/>
          </w:tcPr>
          <w:p w14:paraId="4C8D7C8B" w14:textId="2B9C8C9B" w:rsidR="00F50591" w:rsidRPr="00D042BF" w:rsidRDefault="00F50591" w:rsidP="00F50591">
            <w:pPr>
              <w:keepLines/>
              <w:tabs>
                <w:tab w:val="right" w:pos="1202"/>
              </w:tabs>
              <w:suppressAutoHyphens w:val="0"/>
              <w:autoSpaceDN/>
              <w:spacing w:line="220" w:lineRule="exact"/>
              <w:outlineLvl w:val="0"/>
              <w:rPr>
                <w:rFonts w:ascii="Arial" w:hAnsi="Arial" w:cs="Arial"/>
                <w:b/>
                <w:bCs/>
                <w:color w:val="000000"/>
                <w:spacing w:val="-3"/>
                <w:sz w:val="19"/>
                <w:szCs w:val="19"/>
                <w:lang w:val="hr-HR"/>
              </w:rPr>
            </w:pPr>
            <w:bookmarkStart w:id="535" w:name="_Toc67327160"/>
            <w:r w:rsidRPr="00D042BF">
              <w:rPr>
                <w:rFonts w:ascii="Arial" w:hAnsi="Arial" w:cs="Arial"/>
                <w:b/>
                <w:bCs/>
                <w:color w:val="000000"/>
                <w:sz w:val="19"/>
                <w:szCs w:val="19"/>
                <w:lang w:val="hr-HR"/>
              </w:rPr>
              <w:t>Poslovne aktivnosti</w:t>
            </w:r>
            <w:bookmarkEnd w:id="535"/>
          </w:p>
        </w:tc>
        <w:tc>
          <w:tcPr>
            <w:tcW w:w="658" w:type="pct"/>
            <w:vAlign w:val="bottom"/>
          </w:tcPr>
          <w:p w14:paraId="6AEFCCD7"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z w:val="19"/>
                <w:szCs w:val="19"/>
                <w:lang w:val="hr-HR"/>
              </w:rPr>
            </w:pPr>
          </w:p>
        </w:tc>
        <w:tc>
          <w:tcPr>
            <w:tcW w:w="622" w:type="pct"/>
            <w:vAlign w:val="bottom"/>
          </w:tcPr>
          <w:p w14:paraId="0C9246F9"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z w:val="19"/>
                <w:szCs w:val="19"/>
                <w:lang w:val="hr-HR"/>
              </w:rPr>
            </w:pPr>
          </w:p>
        </w:tc>
      </w:tr>
      <w:tr w:rsidR="00F50591" w:rsidRPr="00D042BF" w14:paraId="02F66F2C" w14:textId="77777777" w:rsidTr="009620F6">
        <w:trPr>
          <w:trHeight w:hRule="exact" w:val="227"/>
        </w:trPr>
        <w:tc>
          <w:tcPr>
            <w:tcW w:w="3720" w:type="pct"/>
            <w:vAlign w:val="bottom"/>
          </w:tcPr>
          <w:p w14:paraId="01F5513D" w14:textId="3C3867AE" w:rsidR="00F50591" w:rsidRPr="00D042BF" w:rsidRDefault="00F50591" w:rsidP="00F50591">
            <w:pPr>
              <w:keepLines/>
              <w:tabs>
                <w:tab w:val="right" w:pos="1202"/>
              </w:tabs>
              <w:suppressAutoHyphens w:val="0"/>
              <w:autoSpaceDN/>
              <w:spacing w:line="220" w:lineRule="exact"/>
              <w:outlineLvl w:val="0"/>
              <w:rPr>
                <w:rFonts w:ascii="Arial" w:hAnsi="Arial" w:cs="Arial"/>
                <w:color w:val="000000"/>
                <w:spacing w:val="-3"/>
                <w:sz w:val="19"/>
                <w:szCs w:val="19"/>
                <w:lang w:val="hr-HR"/>
              </w:rPr>
            </w:pPr>
            <w:bookmarkStart w:id="536" w:name="_Toc67327161"/>
            <w:r w:rsidRPr="00D042BF">
              <w:rPr>
                <w:rFonts w:ascii="Arial" w:hAnsi="Arial" w:cs="Arial"/>
                <w:color w:val="000000"/>
                <w:sz w:val="19"/>
                <w:szCs w:val="19"/>
                <w:lang w:val="hr-HR"/>
              </w:rPr>
              <w:t>Dobit prije oporezivanja</w:t>
            </w:r>
            <w:bookmarkEnd w:id="536"/>
          </w:p>
        </w:tc>
        <w:tc>
          <w:tcPr>
            <w:tcW w:w="658" w:type="pct"/>
            <w:vAlign w:val="bottom"/>
          </w:tcPr>
          <w:p w14:paraId="3B3A3EF1"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z w:val="19"/>
                <w:szCs w:val="19"/>
                <w:lang w:val="hr-HR"/>
              </w:rPr>
            </w:pPr>
            <w:r w:rsidRPr="00D042BF">
              <w:rPr>
                <w:rFonts w:ascii="Arial" w:hAnsi="Arial" w:cs="Arial"/>
                <w:color w:val="000000"/>
                <w:sz w:val="19"/>
                <w:szCs w:val="19"/>
                <w:lang w:val="hr-HR"/>
              </w:rPr>
              <w:t>186.173</w:t>
            </w:r>
          </w:p>
        </w:tc>
        <w:tc>
          <w:tcPr>
            <w:tcW w:w="622" w:type="pct"/>
            <w:vAlign w:val="bottom"/>
          </w:tcPr>
          <w:p w14:paraId="448D7CB8"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z w:val="19"/>
                <w:szCs w:val="19"/>
                <w:lang w:val="hr-HR"/>
              </w:rPr>
            </w:pPr>
            <w:bookmarkStart w:id="537" w:name="_Toc67327162"/>
            <w:r w:rsidRPr="00D042BF">
              <w:rPr>
                <w:rFonts w:ascii="Arial" w:hAnsi="Arial" w:cs="Arial"/>
                <w:color w:val="000000"/>
                <w:sz w:val="19"/>
                <w:szCs w:val="19"/>
                <w:lang w:val="hr-HR"/>
              </w:rPr>
              <w:t>187.082</w:t>
            </w:r>
            <w:bookmarkEnd w:id="537"/>
          </w:p>
        </w:tc>
      </w:tr>
      <w:tr w:rsidR="00F50591" w:rsidRPr="00D042BF" w14:paraId="4522DF01" w14:textId="77777777" w:rsidTr="009620F6">
        <w:trPr>
          <w:trHeight w:hRule="exact" w:val="227"/>
        </w:trPr>
        <w:tc>
          <w:tcPr>
            <w:tcW w:w="3720" w:type="pct"/>
            <w:vAlign w:val="bottom"/>
          </w:tcPr>
          <w:p w14:paraId="431393AC" w14:textId="5049114B" w:rsidR="00F50591" w:rsidRPr="00D042BF" w:rsidRDefault="00F50591" w:rsidP="00F50591">
            <w:pPr>
              <w:keepLines/>
              <w:tabs>
                <w:tab w:val="right" w:pos="1202"/>
              </w:tabs>
              <w:suppressAutoHyphens w:val="0"/>
              <w:autoSpaceDN/>
              <w:spacing w:line="220" w:lineRule="exact"/>
              <w:outlineLvl w:val="0"/>
              <w:rPr>
                <w:rFonts w:ascii="Arial" w:hAnsi="Arial" w:cs="Arial"/>
                <w:i/>
                <w:color w:val="000000"/>
                <w:sz w:val="19"/>
                <w:szCs w:val="19"/>
                <w:lang w:val="hr-HR"/>
              </w:rPr>
            </w:pPr>
            <w:bookmarkStart w:id="538" w:name="_Toc67327164"/>
            <w:r w:rsidRPr="00D042BF">
              <w:rPr>
                <w:rFonts w:ascii="Arial" w:hAnsi="Arial" w:cs="Arial"/>
                <w:i/>
                <w:color w:val="000000"/>
                <w:sz w:val="19"/>
                <w:szCs w:val="19"/>
                <w:lang w:val="hr-HR"/>
              </w:rPr>
              <w:t>Usklađenje na neto novčana sredstva ostvarena i uporabljena za poslovne aktivnosti:</w:t>
            </w:r>
            <w:bookmarkEnd w:id="538"/>
          </w:p>
        </w:tc>
        <w:tc>
          <w:tcPr>
            <w:tcW w:w="658" w:type="pct"/>
            <w:vAlign w:val="bottom"/>
          </w:tcPr>
          <w:p w14:paraId="6114F92A"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i/>
                <w:color w:val="000000"/>
                <w:sz w:val="19"/>
                <w:szCs w:val="19"/>
                <w:lang w:val="hr-HR"/>
              </w:rPr>
            </w:pPr>
          </w:p>
        </w:tc>
        <w:tc>
          <w:tcPr>
            <w:tcW w:w="622" w:type="pct"/>
            <w:vAlign w:val="bottom"/>
          </w:tcPr>
          <w:p w14:paraId="7CA79C44"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i/>
                <w:color w:val="000000"/>
                <w:sz w:val="19"/>
                <w:szCs w:val="19"/>
                <w:lang w:val="hr-HR"/>
              </w:rPr>
            </w:pPr>
          </w:p>
        </w:tc>
      </w:tr>
      <w:tr w:rsidR="00F50591" w:rsidRPr="00D042BF" w14:paraId="268FDEA4" w14:textId="77777777" w:rsidTr="009620F6">
        <w:trPr>
          <w:trHeight w:hRule="exact" w:val="227"/>
        </w:trPr>
        <w:tc>
          <w:tcPr>
            <w:tcW w:w="3720" w:type="pct"/>
            <w:vAlign w:val="bottom"/>
          </w:tcPr>
          <w:p w14:paraId="65D1FE68" w14:textId="03A81ACD" w:rsidR="00F50591" w:rsidRPr="00D042BF" w:rsidRDefault="00F50591" w:rsidP="00F50591">
            <w:pPr>
              <w:keepLines/>
              <w:tabs>
                <w:tab w:val="right" w:pos="1202"/>
              </w:tabs>
              <w:suppressAutoHyphens w:val="0"/>
              <w:autoSpaceDN/>
              <w:spacing w:line="220" w:lineRule="exact"/>
              <w:outlineLvl w:val="0"/>
              <w:rPr>
                <w:rFonts w:ascii="Arial" w:hAnsi="Arial" w:cs="Arial"/>
                <w:color w:val="000000"/>
                <w:spacing w:val="-3"/>
                <w:sz w:val="19"/>
                <w:szCs w:val="19"/>
                <w:lang w:val="hr-HR"/>
              </w:rPr>
            </w:pPr>
            <w:bookmarkStart w:id="539" w:name="_Toc67327165"/>
            <w:r w:rsidRPr="00D042BF">
              <w:rPr>
                <w:rFonts w:ascii="Arial" w:hAnsi="Arial" w:cs="Arial"/>
                <w:color w:val="000000"/>
                <w:sz w:val="19"/>
                <w:szCs w:val="19"/>
                <w:lang w:val="hr-HR"/>
              </w:rPr>
              <w:t>Amortizacija</w:t>
            </w:r>
            <w:bookmarkEnd w:id="539"/>
          </w:p>
        </w:tc>
        <w:tc>
          <w:tcPr>
            <w:tcW w:w="658" w:type="pct"/>
            <w:vAlign w:val="bottom"/>
          </w:tcPr>
          <w:p w14:paraId="4419BBD7"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z w:val="19"/>
                <w:szCs w:val="19"/>
                <w:lang w:val="hr-HR"/>
              </w:rPr>
            </w:pPr>
            <w:r w:rsidRPr="00D042BF">
              <w:rPr>
                <w:rFonts w:ascii="Arial" w:hAnsi="Arial" w:cs="Arial"/>
                <w:color w:val="000000"/>
                <w:sz w:val="19"/>
                <w:szCs w:val="19"/>
                <w:lang w:val="hr-HR"/>
              </w:rPr>
              <w:t>11.248</w:t>
            </w:r>
          </w:p>
        </w:tc>
        <w:tc>
          <w:tcPr>
            <w:tcW w:w="622" w:type="pct"/>
            <w:vAlign w:val="bottom"/>
          </w:tcPr>
          <w:p w14:paraId="2A47FBB3"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z w:val="19"/>
                <w:szCs w:val="19"/>
                <w:lang w:val="hr-HR"/>
              </w:rPr>
            </w:pPr>
            <w:bookmarkStart w:id="540" w:name="_Toc67327166"/>
            <w:r w:rsidRPr="00D042BF">
              <w:rPr>
                <w:rFonts w:ascii="Arial" w:hAnsi="Arial" w:cs="Arial"/>
                <w:color w:val="000000"/>
                <w:sz w:val="19"/>
                <w:szCs w:val="19"/>
                <w:lang w:val="hr-HR"/>
              </w:rPr>
              <w:t>10.990</w:t>
            </w:r>
            <w:bookmarkEnd w:id="540"/>
          </w:p>
        </w:tc>
      </w:tr>
      <w:tr w:rsidR="00F50591" w:rsidRPr="00D042BF" w14:paraId="2D420156" w14:textId="77777777" w:rsidTr="009620F6">
        <w:trPr>
          <w:trHeight w:hRule="exact" w:val="227"/>
        </w:trPr>
        <w:tc>
          <w:tcPr>
            <w:tcW w:w="3720" w:type="pct"/>
            <w:vAlign w:val="bottom"/>
          </w:tcPr>
          <w:p w14:paraId="785D0088" w14:textId="546AB70F" w:rsidR="00F50591" w:rsidRPr="00D042BF" w:rsidRDefault="00F50591" w:rsidP="00F50591">
            <w:pPr>
              <w:tabs>
                <w:tab w:val="right" w:pos="1202"/>
              </w:tabs>
              <w:suppressAutoHyphens w:val="0"/>
              <w:autoSpaceDN/>
              <w:spacing w:line="220" w:lineRule="exact"/>
              <w:outlineLvl w:val="0"/>
              <w:rPr>
                <w:rFonts w:ascii="Arial" w:hAnsi="Arial" w:cs="Arial"/>
                <w:bCs/>
                <w:color w:val="000000"/>
                <w:spacing w:val="-2"/>
                <w:sz w:val="19"/>
                <w:szCs w:val="19"/>
                <w:lang w:val="hr-HR"/>
              </w:rPr>
            </w:pPr>
            <w:bookmarkStart w:id="541" w:name="_Toc67327168"/>
            <w:r w:rsidRPr="00D042BF">
              <w:rPr>
                <w:rFonts w:ascii="Arial" w:hAnsi="Arial" w:cs="Arial"/>
                <w:bCs/>
                <w:color w:val="000000"/>
                <w:spacing w:val="-2"/>
                <w:sz w:val="19"/>
                <w:szCs w:val="19"/>
                <w:lang w:val="hr-HR"/>
              </w:rPr>
              <w:t>Gubitak od umanjenja vrijednosti i rezerviranja</w:t>
            </w:r>
            <w:bookmarkEnd w:id="541"/>
          </w:p>
        </w:tc>
        <w:tc>
          <w:tcPr>
            <w:tcW w:w="658" w:type="pct"/>
            <w:shd w:val="clear" w:color="auto" w:fill="auto"/>
            <w:vAlign w:val="bottom"/>
          </w:tcPr>
          <w:p w14:paraId="22EA6223"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z w:val="19"/>
                <w:szCs w:val="19"/>
                <w:lang w:val="hr-HR"/>
              </w:rPr>
            </w:pPr>
            <w:r w:rsidRPr="00D042BF">
              <w:rPr>
                <w:rFonts w:ascii="Arial" w:hAnsi="Arial" w:cs="Arial"/>
                <w:color w:val="000000"/>
                <w:sz w:val="19"/>
                <w:szCs w:val="19"/>
                <w:lang w:val="hr-HR"/>
              </w:rPr>
              <w:t>144.434</w:t>
            </w:r>
          </w:p>
        </w:tc>
        <w:tc>
          <w:tcPr>
            <w:tcW w:w="622" w:type="pct"/>
            <w:shd w:val="clear" w:color="auto" w:fill="auto"/>
            <w:vAlign w:val="bottom"/>
          </w:tcPr>
          <w:p w14:paraId="14C38E97"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z w:val="19"/>
                <w:szCs w:val="19"/>
                <w:lang w:val="hr-HR"/>
              </w:rPr>
            </w:pPr>
            <w:bookmarkStart w:id="542" w:name="_Toc67327169"/>
            <w:r w:rsidRPr="00D042BF">
              <w:rPr>
                <w:rFonts w:ascii="Arial" w:hAnsi="Arial" w:cs="Arial"/>
                <w:color w:val="000000"/>
                <w:sz w:val="19"/>
                <w:szCs w:val="19"/>
                <w:lang w:val="hr-HR"/>
              </w:rPr>
              <w:t>163.004</w:t>
            </w:r>
            <w:bookmarkEnd w:id="542"/>
          </w:p>
        </w:tc>
      </w:tr>
      <w:tr w:rsidR="00F50591" w:rsidRPr="00D042BF" w14:paraId="786F175F" w14:textId="77777777" w:rsidTr="009620F6">
        <w:trPr>
          <w:trHeight w:hRule="exact" w:val="227"/>
        </w:trPr>
        <w:tc>
          <w:tcPr>
            <w:tcW w:w="3720" w:type="pct"/>
            <w:vAlign w:val="bottom"/>
          </w:tcPr>
          <w:p w14:paraId="583A08D9" w14:textId="1339D6D9" w:rsidR="00F50591" w:rsidRPr="00D042BF" w:rsidRDefault="00F50591" w:rsidP="00F50591">
            <w:pPr>
              <w:keepLines/>
              <w:tabs>
                <w:tab w:val="right" w:pos="1202"/>
              </w:tabs>
              <w:suppressAutoHyphens w:val="0"/>
              <w:autoSpaceDN/>
              <w:spacing w:line="220" w:lineRule="exact"/>
              <w:outlineLvl w:val="0"/>
              <w:rPr>
                <w:rFonts w:ascii="Arial" w:hAnsi="Arial" w:cs="Arial"/>
                <w:iCs/>
                <w:color w:val="000000"/>
                <w:sz w:val="19"/>
                <w:szCs w:val="19"/>
                <w:lang w:val="hr-HR"/>
              </w:rPr>
            </w:pPr>
            <w:bookmarkStart w:id="543" w:name="_Toc67327171"/>
            <w:r w:rsidRPr="00D042BF">
              <w:rPr>
                <w:rFonts w:ascii="Arial" w:hAnsi="Arial" w:cs="Arial"/>
                <w:iCs/>
                <w:color w:val="000000"/>
                <w:sz w:val="19"/>
                <w:szCs w:val="19"/>
                <w:lang w:val="hr-HR"/>
              </w:rPr>
              <w:t>Obračunane kamate</w:t>
            </w:r>
            <w:bookmarkEnd w:id="543"/>
            <w:r w:rsidRPr="00D042BF">
              <w:rPr>
                <w:rFonts w:ascii="Arial" w:hAnsi="Arial" w:cs="Arial"/>
                <w:iCs/>
                <w:color w:val="000000"/>
                <w:sz w:val="19"/>
                <w:szCs w:val="19"/>
                <w:lang w:val="hr-HR"/>
              </w:rPr>
              <w:t xml:space="preserve"> </w:t>
            </w:r>
          </w:p>
        </w:tc>
        <w:tc>
          <w:tcPr>
            <w:tcW w:w="658" w:type="pct"/>
            <w:shd w:val="clear" w:color="auto" w:fill="auto"/>
            <w:vAlign w:val="bottom"/>
          </w:tcPr>
          <w:p w14:paraId="4572470C" w14:textId="77777777" w:rsidR="00F50591" w:rsidRPr="00D042BF" w:rsidRDefault="00F50591" w:rsidP="00F50591">
            <w:pPr>
              <w:keepLines/>
              <w:suppressAutoHyphens w:val="0"/>
              <w:autoSpaceDN/>
              <w:jc w:val="right"/>
              <w:rPr>
                <w:rFonts w:ascii="Arial" w:hAnsi="Arial" w:cs="Arial"/>
                <w:iCs/>
                <w:color w:val="000000"/>
                <w:sz w:val="19"/>
                <w:szCs w:val="19"/>
                <w:lang w:val="hr-HR"/>
              </w:rPr>
            </w:pPr>
            <w:r w:rsidRPr="00D042BF">
              <w:rPr>
                <w:rFonts w:ascii="Arial" w:hAnsi="Arial" w:cs="Arial"/>
                <w:iCs/>
                <w:color w:val="000000"/>
                <w:sz w:val="19"/>
                <w:szCs w:val="19"/>
                <w:lang w:val="hr-HR"/>
              </w:rPr>
              <w:t>60.412</w:t>
            </w:r>
          </w:p>
        </w:tc>
        <w:tc>
          <w:tcPr>
            <w:tcW w:w="622" w:type="pct"/>
            <w:shd w:val="clear" w:color="auto" w:fill="auto"/>
            <w:vAlign w:val="bottom"/>
          </w:tcPr>
          <w:p w14:paraId="4C1C6582" w14:textId="77777777" w:rsidR="00F50591" w:rsidRPr="00D042BF" w:rsidRDefault="00F50591" w:rsidP="00F50591">
            <w:pPr>
              <w:keepLines/>
              <w:suppressAutoHyphens w:val="0"/>
              <w:autoSpaceDN/>
              <w:jc w:val="right"/>
              <w:rPr>
                <w:rFonts w:ascii="Arial" w:hAnsi="Arial" w:cs="Arial"/>
                <w:color w:val="000000"/>
                <w:sz w:val="19"/>
                <w:szCs w:val="19"/>
                <w:lang w:val="hr-HR"/>
              </w:rPr>
            </w:pPr>
            <w:r w:rsidRPr="00D042BF">
              <w:rPr>
                <w:rFonts w:ascii="Arial" w:hAnsi="Arial" w:cs="Arial"/>
                <w:iCs/>
                <w:color w:val="000000"/>
                <w:sz w:val="19"/>
                <w:szCs w:val="19"/>
                <w:lang w:val="hr-HR"/>
              </w:rPr>
              <w:t>95.170</w:t>
            </w:r>
          </w:p>
        </w:tc>
      </w:tr>
      <w:tr w:rsidR="00F50591" w:rsidRPr="00D042BF" w14:paraId="6A71D9B4" w14:textId="77777777" w:rsidTr="009620F6">
        <w:trPr>
          <w:trHeight w:hRule="exact" w:val="227"/>
        </w:trPr>
        <w:tc>
          <w:tcPr>
            <w:tcW w:w="3720" w:type="pct"/>
            <w:vAlign w:val="bottom"/>
          </w:tcPr>
          <w:p w14:paraId="58E08DF9" w14:textId="64E06935" w:rsidR="00F50591" w:rsidRPr="00D042BF" w:rsidRDefault="00F50591" w:rsidP="00F50591">
            <w:pPr>
              <w:keepLines/>
              <w:tabs>
                <w:tab w:val="right" w:pos="1202"/>
              </w:tabs>
              <w:suppressAutoHyphens w:val="0"/>
              <w:autoSpaceDN/>
              <w:spacing w:line="220" w:lineRule="exact"/>
              <w:outlineLvl w:val="0"/>
              <w:rPr>
                <w:rFonts w:ascii="Arial" w:hAnsi="Arial" w:cs="Arial"/>
                <w:i/>
                <w:iCs/>
                <w:color w:val="000000"/>
                <w:sz w:val="19"/>
                <w:szCs w:val="19"/>
                <w:lang w:val="hr-HR"/>
              </w:rPr>
            </w:pPr>
            <w:bookmarkStart w:id="544" w:name="_Toc67327172"/>
            <w:r w:rsidRPr="00D042BF">
              <w:rPr>
                <w:rFonts w:ascii="Arial" w:hAnsi="Arial" w:cs="Arial"/>
                <w:iCs/>
                <w:color w:val="000000"/>
                <w:sz w:val="19"/>
                <w:szCs w:val="19"/>
                <w:lang w:val="hr-HR"/>
              </w:rPr>
              <w:t>Odgođene naknade</w:t>
            </w:r>
            <w:bookmarkEnd w:id="544"/>
          </w:p>
        </w:tc>
        <w:tc>
          <w:tcPr>
            <w:tcW w:w="658" w:type="pct"/>
            <w:shd w:val="clear" w:color="auto" w:fill="auto"/>
            <w:vAlign w:val="bottom"/>
          </w:tcPr>
          <w:p w14:paraId="39B36A0A" w14:textId="77777777" w:rsidR="00F50591" w:rsidRPr="00D042BF" w:rsidRDefault="00F50591" w:rsidP="00F50591">
            <w:pPr>
              <w:keepLines/>
              <w:suppressAutoHyphens w:val="0"/>
              <w:autoSpaceDN/>
              <w:jc w:val="right"/>
              <w:rPr>
                <w:rFonts w:ascii="Arial" w:hAnsi="Arial" w:cs="Arial"/>
                <w:color w:val="000000"/>
                <w:sz w:val="19"/>
                <w:szCs w:val="19"/>
                <w:lang w:val="hr-HR"/>
              </w:rPr>
            </w:pPr>
            <w:r w:rsidRPr="00D042BF">
              <w:rPr>
                <w:rFonts w:ascii="Arial" w:hAnsi="Arial" w:cs="Arial"/>
                <w:color w:val="000000"/>
                <w:sz w:val="19"/>
                <w:szCs w:val="19"/>
                <w:lang w:val="hr-HR"/>
              </w:rPr>
              <w:t>(13.252)</w:t>
            </w:r>
          </w:p>
        </w:tc>
        <w:tc>
          <w:tcPr>
            <w:tcW w:w="622" w:type="pct"/>
            <w:shd w:val="clear" w:color="auto" w:fill="auto"/>
            <w:vAlign w:val="bottom"/>
          </w:tcPr>
          <w:p w14:paraId="32F7E0A5" w14:textId="77777777" w:rsidR="00F50591" w:rsidRPr="00D042BF" w:rsidRDefault="00F50591" w:rsidP="00F50591">
            <w:pPr>
              <w:keepLines/>
              <w:suppressAutoHyphens w:val="0"/>
              <w:autoSpaceDN/>
              <w:jc w:val="right"/>
              <w:rPr>
                <w:rFonts w:ascii="Arial" w:hAnsi="Arial" w:cs="Arial"/>
                <w:color w:val="000000"/>
                <w:sz w:val="19"/>
                <w:szCs w:val="19"/>
                <w:lang w:val="hr-HR"/>
              </w:rPr>
            </w:pPr>
            <w:r w:rsidRPr="00D042BF">
              <w:rPr>
                <w:rFonts w:ascii="Arial" w:hAnsi="Arial" w:cs="Arial"/>
                <w:color w:val="000000"/>
                <w:sz w:val="19"/>
                <w:szCs w:val="19"/>
                <w:lang w:val="hr-HR"/>
              </w:rPr>
              <w:t>(9.782)</w:t>
            </w:r>
          </w:p>
        </w:tc>
      </w:tr>
      <w:tr w:rsidR="00F50591" w:rsidRPr="00D042BF" w14:paraId="7ACD0891" w14:textId="77777777" w:rsidTr="009620F6">
        <w:trPr>
          <w:trHeight w:hRule="exact" w:val="227"/>
        </w:trPr>
        <w:tc>
          <w:tcPr>
            <w:tcW w:w="3720" w:type="pct"/>
            <w:vAlign w:val="bottom"/>
          </w:tcPr>
          <w:p w14:paraId="2CB9BE56" w14:textId="46C1F9DB" w:rsidR="00F50591" w:rsidRPr="00D042BF" w:rsidRDefault="00F50591" w:rsidP="00F50591">
            <w:pPr>
              <w:keepLines/>
              <w:tabs>
                <w:tab w:val="right" w:pos="1202"/>
              </w:tabs>
              <w:suppressAutoHyphens w:val="0"/>
              <w:autoSpaceDN/>
              <w:spacing w:line="220" w:lineRule="exact"/>
              <w:outlineLvl w:val="0"/>
              <w:rPr>
                <w:rFonts w:ascii="Arial" w:hAnsi="Arial" w:cs="Arial"/>
                <w:iCs/>
                <w:color w:val="000000"/>
                <w:sz w:val="19"/>
                <w:szCs w:val="19"/>
                <w:lang w:val="hr-HR"/>
              </w:rPr>
            </w:pPr>
            <w:bookmarkStart w:id="545" w:name="_Toc67327173"/>
            <w:r w:rsidRPr="00D042BF">
              <w:rPr>
                <w:rFonts w:ascii="Arial" w:hAnsi="Arial" w:cs="Arial"/>
                <w:iCs/>
                <w:color w:val="000000"/>
                <w:sz w:val="19"/>
                <w:szCs w:val="19"/>
                <w:lang w:val="hr-HR"/>
              </w:rPr>
              <w:t>Neto (gubitak)/dobit od trgovanja derivativnim financijskim instrumentima</w:t>
            </w:r>
            <w:bookmarkEnd w:id="545"/>
          </w:p>
        </w:tc>
        <w:tc>
          <w:tcPr>
            <w:tcW w:w="658" w:type="pct"/>
            <w:shd w:val="clear" w:color="auto" w:fill="auto"/>
            <w:vAlign w:val="bottom"/>
          </w:tcPr>
          <w:p w14:paraId="6CC7AAF4" w14:textId="77777777" w:rsidR="00F50591" w:rsidRPr="00D042BF" w:rsidRDefault="00F50591" w:rsidP="00F50591">
            <w:pPr>
              <w:keepLines/>
              <w:suppressAutoHyphens w:val="0"/>
              <w:autoSpaceDN/>
              <w:jc w:val="right"/>
              <w:rPr>
                <w:rFonts w:ascii="Arial" w:hAnsi="Arial" w:cs="Arial"/>
                <w:color w:val="000000"/>
                <w:sz w:val="19"/>
                <w:szCs w:val="19"/>
                <w:lang w:val="hr-HR"/>
              </w:rPr>
            </w:pPr>
            <w:r w:rsidRPr="00D042BF">
              <w:rPr>
                <w:rFonts w:ascii="Arial" w:hAnsi="Arial" w:cs="Arial"/>
                <w:color w:val="000000"/>
                <w:sz w:val="19"/>
                <w:szCs w:val="19"/>
                <w:lang w:val="hr-HR"/>
              </w:rPr>
              <w:t>(5.304)</w:t>
            </w:r>
          </w:p>
        </w:tc>
        <w:tc>
          <w:tcPr>
            <w:tcW w:w="622" w:type="pct"/>
            <w:shd w:val="clear" w:color="auto" w:fill="auto"/>
            <w:vAlign w:val="bottom"/>
          </w:tcPr>
          <w:p w14:paraId="42F637F2" w14:textId="77777777" w:rsidR="00F50591" w:rsidRPr="00D042BF" w:rsidRDefault="00F50591" w:rsidP="00F50591">
            <w:pPr>
              <w:keepLines/>
              <w:suppressAutoHyphens w:val="0"/>
              <w:autoSpaceDN/>
              <w:jc w:val="right"/>
              <w:rPr>
                <w:rFonts w:ascii="Arial" w:hAnsi="Arial" w:cs="Arial"/>
                <w:color w:val="000000"/>
                <w:sz w:val="19"/>
                <w:szCs w:val="19"/>
                <w:lang w:val="hr-HR"/>
              </w:rPr>
            </w:pPr>
            <w:r w:rsidRPr="00D042BF">
              <w:rPr>
                <w:rFonts w:ascii="Arial" w:hAnsi="Arial" w:cs="Arial"/>
                <w:color w:val="000000"/>
                <w:sz w:val="19"/>
                <w:szCs w:val="19"/>
                <w:lang w:val="hr-HR"/>
              </w:rPr>
              <w:t>5.115</w:t>
            </w:r>
          </w:p>
        </w:tc>
      </w:tr>
      <w:tr w:rsidR="00F50591" w:rsidRPr="00D042BF" w14:paraId="3C324758" w14:textId="77777777" w:rsidTr="009620F6">
        <w:trPr>
          <w:trHeight w:hRule="exact" w:val="227"/>
        </w:trPr>
        <w:tc>
          <w:tcPr>
            <w:tcW w:w="3720" w:type="pct"/>
            <w:vAlign w:val="bottom"/>
          </w:tcPr>
          <w:p w14:paraId="26CE91B9" w14:textId="1C353626" w:rsidR="00F50591" w:rsidRPr="00D042BF" w:rsidRDefault="00F50591" w:rsidP="00F50591">
            <w:pPr>
              <w:keepLines/>
              <w:tabs>
                <w:tab w:val="right" w:pos="1202"/>
              </w:tabs>
              <w:suppressAutoHyphens w:val="0"/>
              <w:autoSpaceDN/>
              <w:spacing w:line="220" w:lineRule="exact"/>
              <w:outlineLvl w:val="0"/>
              <w:rPr>
                <w:rFonts w:ascii="Arial" w:hAnsi="Arial" w:cs="Arial"/>
                <w:iCs/>
                <w:color w:val="000000"/>
                <w:sz w:val="19"/>
                <w:szCs w:val="19"/>
                <w:lang w:val="hr-HR"/>
              </w:rPr>
            </w:pPr>
            <w:bookmarkStart w:id="546" w:name="_Toc67327174"/>
            <w:r w:rsidRPr="00D042BF">
              <w:rPr>
                <w:rFonts w:ascii="Arial" w:hAnsi="Arial" w:cs="Arial"/>
                <w:iCs/>
                <w:color w:val="000000"/>
                <w:sz w:val="19"/>
                <w:szCs w:val="19"/>
                <w:lang w:val="hr-HR"/>
              </w:rPr>
              <w:t>Ostale promjene po imovini po fer vrijednosti</w:t>
            </w:r>
            <w:bookmarkEnd w:id="546"/>
          </w:p>
        </w:tc>
        <w:tc>
          <w:tcPr>
            <w:tcW w:w="658" w:type="pct"/>
            <w:shd w:val="clear" w:color="auto" w:fill="auto"/>
            <w:vAlign w:val="bottom"/>
          </w:tcPr>
          <w:p w14:paraId="5DB9212D" w14:textId="77777777" w:rsidR="00F50591" w:rsidRPr="00D042BF" w:rsidRDefault="00F50591" w:rsidP="00F50591">
            <w:pPr>
              <w:keepLines/>
              <w:suppressAutoHyphens w:val="0"/>
              <w:autoSpaceDN/>
              <w:jc w:val="right"/>
              <w:rPr>
                <w:rFonts w:ascii="Arial" w:hAnsi="Arial" w:cs="Arial"/>
                <w:color w:val="000000"/>
                <w:sz w:val="19"/>
                <w:szCs w:val="19"/>
                <w:lang w:val="hr-HR"/>
              </w:rPr>
            </w:pPr>
            <w:r w:rsidRPr="00D042BF">
              <w:rPr>
                <w:rFonts w:ascii="Arial" w:hAnsi="Arial" w:cs="Arial"/>
                <w:color w:val="000000"/>
                <w:sz w:val="19"/>
                <w:szCs w:val="19"/>
                <w:lang w:val="hr-HR"/>
              </w:rPr>
              <w:t>3.053</w:t>
            </w:r>
          </w:p>
        </w:tc>
        <w:tc>
          <w:tcPr>
            <w:tcW w:w="622" w:type="pct"/>
            <w:shd w:val="clear" w:color="auto" w:fill="auto"/>
            <w:vAlign w:val="bottom"/>
          </w:tcPr>
          <w:p w14:paraId="223A9351" w14:textId="77777777" w:rsidR="00F50591" w:rsidRPr="00D042BF" w:rsidRDefault="00F50591" w:rsidP="00F50591">
            <w:pPr>
              <w:keepLines/>
              <w:suppressAutoHyphens w:val="0"/>
              <w:autoSpaceDN/>
              <w:jc w:val="right"/>
              <w:rPr>
                <w:rFonts w:ascii="Arial" w:hAnsi="Arial" w:cs="Arial"/>
                <w:color w:val="000000"/>
                <w:sz w:val="19"/>
                <w:szCs w:val="19"/>
                <w:lang w:val="hr-HR"/>
              </w:rPr>
            </w:pPr>
            <w:r w:rsidRPr="00D042BF">
              <w:rPr>
                <w:rFonts w:ascii="Arial" w:hAnsi="Arial" w:cs="Arial"/>
                <w:color w:val="000000"/>
                <w:sz w:val="19"/>
                <w:szCs w:val="19"/>
                <w:lang w:val="hr-HR"/>
              </w:rPr>
              <w:t>(39.134)</w:t>
            </w:r>
          </w:p>
        </w:tc>
      </w:tr>
      <w:tr w:rsidR="00F50591" w:rsidRPr="00D042BF" w14:paraId="17CDA9A8" w14:textId="77777777" w:rsidTr="009620F6">
        <w:trPr>
          <w:trHeight w:hRule="exact" w:val="227"/>
        </w:trPr>
        <w:tc>
          <w:tcPr>
            <w:tcW w:w="3720" w:type="pct"/>
            <w:vAlign w:val="bottom"/>
          </w:tcPr>
          <w:p w14:paraId="6FE7C84B" w14:textId="14E86866" w:rsidR="00F50591" w:rsidRPr="00D042BF" w:rsidRDefault="00F50591" w:rsidP="00F50591">
            <w:pPr>
              <w:keepLines/>
              <w:tabs>
                <w:tab w:val="right" w:pos="1202"/>
              </w:tabs>
              <w:suppressAutoHyphens w:val="0"/>
              <w:autoSpaceDN/>
              <w:spacing w:line="220" w:lineRule="exact"/>
              <w:outlineLvl w:val="0"/>
              <w:rPr>
                <w:rFonts w:ascii="Arial" w:hAnsi="Arial" w:cs="Arial"/>
                <w:i/>
                <w:iCs/>
                <w:color w:val="000000"/>
                <w:sz w:val="19"/>
                <w:szCs w:val="19"/>
                <w:lang w:val="hr-HR"/>
              </w:rPr>
            </w:pPr>
            <w:bookmarkStart w:id="547" w:name="_Toc67327175"/>
            <w:r w:rsidRPr="00D042BF">
              <w:rPr>
                <w:rFonts w:ascii="Arial" w:hAnsi="Arial" w:cs="Arial"/>
                <w:i/>
                <w:iCs/>
                <w:color w:val="000000"/>
                <w:sz w:val="19"/>
                <w:szCs w:val="19"/>
                <w:lang w:val="hr-HR"/>
              </w:rPr>
              <w:t>Dobitak/(gubitak) iz poslovnih aktivnosti prije promjena radnog kapitala</w:t>
            </w:r>
            <w:bookmarkEnd w:id="547"/>
          </w:p>
        </w:tc>
        <w:tc>
          <w:tcPr>
            <w:tcW w:w="658" w:type="pct"/>
            <w:vAlign w:val="bottom"/>
          </w:tcPr>
          <w:p w14:paraId="29FBD078" w14:textId="77777777" w:rsidR="00F50591" w:rsidRPr="00D042BF" w:rsidRDefault="00F50591" w:rsidP="00F50591">
            <w:pPr>
              <w:keepLines/>
              <w:suppressAutoHyphens w:val="0"/>
              <w:autoSpaceDN/>
              <w:jc w:val="right"/>
              <w:rPr>
                <w:rFonts w:ascii="Arial" w:hAnsi="Arial" w:cs="Arial"/>
                <w:i/>
                <w:color w:val="000000"/>
                <w:sz w:val="19"/>
                <w:szCs w:val="19"/>
                <w:lang w:val="hr-HR"/>
              </w:rPr>
            </w:pPr>
            <w:r w:rsidRPr="00D042BF">
              <w:rPr>
                <w:rFonts w:ascii="Arial" w:hAnsi="Arial" w:cs="Arial"/>
                <w:i/>
                <w:color w:val="000000"/>
                <w:sz w:val="19"/>
                <w:szCs w:val="19"/>
                <w:lang w:val="hr-HR"/>
              </w:rPr>
              <w:t>386.764</w:t>
            </w:r>
          </w:p>
        </w:tc>
        <w:tc>
          <w:tcPr>
            <w:tcW w:w="622" w:type="pct"/>
            <w:vAlign w:val="bottom"/>
          </w:tcPr>
          <w:p w14:paraId="3C7962BC" w14:textId="77777777" w:rsidR="00F50591" w:rsidRPr="00D042BF" w:rsidRDefault="00F50591" w:rsidP="00F50591">
            <w:pPr>
              <w:keepLines/>
              <w:suppressAutoHyphens w:val="0"/>
              <w:autoSpaceDN/>
              <w:jc w:val="right"/>
              <w:rPr>
                <w:rFonts w:ascii="Arial" w:hAnsi="Arial" w:cs="Arial"/>
                <w:i/>
                <w:color w:val="000000"/>
                <w:sz w:val="19"/>
                <w:szCs w:val="19"/>
                <w:lang w:val="hr-HR"/>
              </w:rPr>
            </w:pPr>
            <w:r w:rsidRPr="00D042BF">
              <w:rPr>
                <w:rFonts w:ascii="Arial" w:hAnsi="Arial" w:cs="Arial"/>
                <w:i/>
                <w:color w:val="000000"/>
                <w:sz w:val="19"/>
                <w:szCs w:val="19"/>
                <w:lang w:val="hr-HR"/>
              </w:rPr>
              <w:t>412.445</w:t>
            </w:r>
          </w:p>
        </w:tc>
      </w:tr>
      <w:tr w:rsidR="00F50591" w:rsidRPr="00D042BF" w14:paraId="724CF822" w14:textId="77777777" w:rsidTr="009620F6">
        <w:trPr>
          <w:trHeight w:hRule="exact" w:val="227"/>
        </w:trPr>
        <w:tc>
          <w:tcPr>
            <w:tcW w:w="3720" w:type="pct"/>
            <w:vAlign w:val="bottom"/>
          </w:tcPr>
          <w:p w14:paraId="47F23FF6" w14:textId="614D3B8B" w:rsidR="00F50591" w:rsidRPr="00D042BF" w:rsidRDefault="00F50591" w:rsidP="00F50591">
            <w:pPr>
              <w:keepLines/>
              <w:tabs>
                <w:tab w:val="right" w:pos="1202"/>
              </w:tabs>
              <w:suppressAutoHyphens w:val="0"/>
              <w:autoSpaceDN/>
              <w:spacing w:line="220" w:lineRule="exact"/>
              <w:outlineLvl w:val="0"/>
              <w:rPr>
                <w:rFonts w:ascii="Arial" w:hAnsi="Arial" w:cs="Arial"/>
                <w:i/>
                <w:iCs/>
                <w:color w:val="000000"/>
                <w:sz w:val="19"/>
                <w:szCs w:val="19"/>
                <w:lang w:val="hr-HR"/>
              </w:rPr>
            </w:pPr>
            <w:bookmarkStart w:id="548" w:name="_Toc67327176"/>
            <w:r w:rsidRPr="00D042BF">
              <w:rPr>
                <w:rFonts w:ascii="Arial" w:hAnsi="Arial" w:cs="Arial"/>
                <w:i/>
                <w:iCs/>
                <w:color w:val="000000"/>
                <w:sz w:val="19"/>
                <w:szCs w:val="19"/>
                <w:lang w:val="hr-HR"/>
              </w:rPr>
              <w:t>Promjene u poslovnim sredstvima i izvorima:</w:t>
            </w:r>
            <w:bookmarkEnd w:id="548"/>
          </w:p>
        </w:tc>
        <w:tc>
          <w:tcPr>
            <w:tcW w:w="658" w:type="pct"/>
            <w:vAlign w:val="bottom"/>
          </w:tcPr>
          <w:p w14:paraId="338CA778" w14:textId="77777777" w:rsidR="00F50591" w:rsidRPr="00D042BF" w:rsidRDefault="00F50591" w:rsidP="00F50591">
            <w:pPr>
              <w:keepLines/>
              <w:suppressAutoHyphens w:val="0"/>
              <w:autoSpaceDN/>
              <w:jc w:val="right"/>
              <w:rPr>
                <w:rFonts w:ascii="Arial" w:hAnsi="Arial" w:cs="Arial"/>
                <w:i/>
                <w:color w:val="000000"/>
                <w:sz w:val="19"/>
                <w:szCs w:val="19"/>
                <w:lang w:val="hr-HR"/>
              </w:rPr>
            </w:pPr>
          </w:p>
        </w:tc>
        <w:tc>
          <w:tcPr>
            <w:tcW w:w="622" w:type="pct"/>
            <w:vAlign w:val="bottom"/>
          </w:tcPr>
          <w:p w14:paraId="36017E09" w14:textId="77777777" w:rsidR="00F50591" w:rsidRPr="00D042BF" w:rsidRDefault="00F50591" w:rsidP="00F50591">
            <w:pPr>
              <w:keepLines/>
              <w:suppressAutoHyphens w:val="0"/>
              <w:autoSpaceDN/>
              <w:jc w:val="right"/>
              <w:rPr>
                <w:rFonts w:ascii="Arial" w:hAnsi="Arial" w:cs="Arial"/>
                <w:i/>
                <w:color w:val="000000"/>
                <w:sz w:val="19"/>
                <w:szCs w:val="19"/>
                <w:lang w:val="hr-HR"/>
              </w:rPr>
            </w:pPr>
          </w:p>
        </w:tc>
      </w:tr>
      <w:tr w:rsidR="00F50591" w:rsidRPr="00D042BF" w14:paraId="53016CA6" w14:textId="77777777" w:rsidTr="009620F6">
        <w:trPr>
          <w:trHeight w:hRule="exact" w:val="431"/>
        </w:trPr>
        <w:tc>
          <w:tcPr>
            <w:tcW w:w="3720" w:type="pct"/>
            <w:vAlign w:val="bottom"/>
          </w:tcPr>
          <w:p w14:paraId="0DD81A87" w14:textId="513D5CEA" w:rsidR="00F50591" w:rsidRPr="00D042BF" w:rsidRDefault="00F50591" w:rsidP="00F50591">
            <w:pPr>
              <w:keepLines/>
              <w:tabs>
                <w:tab w:val="right" w:pos="1202"/>
              </w:tabs>
              <w:suppressAutoHyphens w:val="0"/>
              <w:autoSpaceDN/>
              <w:spacing w:line="220" w:lineRule="exact"/>
              <w:outlineLvl w:val="0"/>
              <w:rPr>
                <w:rFonts w:ascii="Arial" w:hAnsi="Arial" w:cs="Arial"/>
                <w:color w:val="000000"/>
                <w:sz w:val="19"/>
                <w:szCs w:val="19"/>
                <w:lang w:val="hr-HR"/>
              </w:rPr>
            </w:pPr>
            <w:bookmarkStart w:id="549" w:name="_Toc67327177"/>
            <w:r w:rsidRPr="00D042BF">
              <w:rPr>
                <w:rFonts w:ascii="Arial" w:hAnsi="Arial" w:cs="Arial"/>
                <w:color w:val="000000"/>
                <w:sz w:val="19"/>
                <w:szCs w:val="19"/>
                <w:lang w:val="hr-HR"/>
              </w:rPr>
              <w:t>Neto (povećanje) depozita kod drugih banaka, prije rezerviranja za očekivane gubitke</w:t>
            </w:r>
            <w:bookmarkEnd w:id="549"/>
          </w:p>
        </w:tc>
        <w:tc>
          <w:tcPr>
            <w:tcW w:w="658" w:type="pct"/>
            <w:shd w:val="clear" w:color="auto" w:fill="auto"/>
            <w:vAlign w:val="bottom"/>
          </w:tcPr>
          <w:p w14:paraId="367E6F5B" w14:textId="77777777" w:rsidR="00F50591" w:rsidRPr="00D042BF" w:rsidRDefault="00F50591" w:rsidP="00F50591">
            <w:pPr>
              <w:keepLines/>
              <w:suppressAutoHyphens w:val="0"/>
              <w:autoSpaceDN/>
              <w:jc w:val="right"/>
              <w:rPr>
                <w:rFonts w:ascii="Arial" w:hAnsi="Arial" w:cs="Arial"/>
                <w:color w:val="000000"/>
                <w:spacing w:val="-3"/>
                <w:sz w:val="19"/>
                <w:szCs w:val="19"/>
                <w:lang w:val="hr-HR"/>
              </w:rPr>
            </w:pPr>
            <w:r w:rsidRPr="00D042BF">
              <w:rPr>
                <w:rFonts w:ascii="Arial" w:hAnsi="Arial" w:cs="Arial"/>
                <w:color w:val="000000"/>
                <w:spacing w:val="-3"/>
                <w:sz w:val="19"/>
                <w:szCs w:val="19"/>
                <w:lang w:val="hr-HR"/>
              </w:rPr>
              <w:t>(3.094)</w:t>
            </w:r>
          </w:p>
        </w:tc>
        <w:tc>
          <w:tcPr>
            <w:tcW w:w="622" w:type="pct"/>
            <w:shd w:val="clear" w:color="auto" w:fill="auto"/>
            <w:vAlign w:val="bottom"/>
          </w:tcPr>
          <w:p w14:paraId="2B82C662" w14:textId="77777777" w:rsidR="00F50591" w:rsidRPr="00D042BF" w:rsidRDefault="00F50591" w:rsidP="00F50591">
            <w:pPr>
              <w:keepLines/>
              <w:suppressAutoHyphens w:val="0"/>
              <w:autoSpaceDN/>
              <w:jc w:val="right"/>
              <w:rPr>
                <w:rFonts w:ascii="Arial" w:hAnsi="Arial" w:cs="Arial"/>
                <w:color w:val="000000"/>
                <w:sz w:val="19"/>
                <w:szCs w:val="19"/>
                <w:lang w:val="hr-HR"/>
              </w:rPr>
            </w:pPr>
            <w:r w:rsidRPr="00D042BF">
              <w:rPr>
                <w:rFonts w:ascii="Arial" w:hAnsi="Arial" w:cs="Arial"/>
                <w:color w:val="000000"/>
                <w:spacing w:val="-3"/>
                <w:sz w:val="19"/>
                <w:szCs w:val="19"/>
                <w:lang w:val="hr-HR"/>
              </w:rPr>
              <w:t>(220)</w:t>
            </w:r>
          </w:p>
        </w:tc>
      </w:tr>
      <w:tr w:rsidR="00F50591" w:rsidRPr="00D042BF" w14:paraId="7FBF03AF" w14:textId="77777777" w:rsidTr="009620F6">
        <w:trPr>
          <w:trHeight w:hRule="exact" w:val="431"/>
        </w:trPr>
        <w:tc>
          <w:tcPr>
            <w:tcW w:w="3720" w:type="pct"/>
            <w:vAlign w:val="bottom"/>
          </w:tcPr>
          <w:p w14:paraId="78B20E58" w14:textId="114EC54A" w:rsidR="00F50591" w:rsidRPr="00D042BF" w:rsidRDefault="00F50591" w:rsidP="00F50591">
            <w:pPr>
              <w:keepLines/>
              <w:tabs>
                <w:tab w:val="right" w:pos="1202"/>
              </w:tabs>
              <w:suppressAutoHyphens w:val="0"/>
              <w:autoSpaceDN/>
              <w:spacing w:line="220" w:lineRule="exact"/>
              <w:outlineLvl w:val="0"/>
              <w:rPr>
                <w:rFonts w:ascii="Arial" w:hAnsi="Arial" w:cs="Arial"/>
                <w:color w:val="000000"/>
                <w:sz w:val="19"/>
                <w:szCs w:val="19"/>
                <w:lang w:val="hr-HR"/>
              </w:rPr>
            </w:pPr>
            <w:bookmarkStart w:id="550" w:name="_Toc67327178"/>
            <w:r w:rsidRPr="00D042BF">
              <w:rPr>
                <w:rFonts w:ascii="Arial" w:hAnsi="Arial" w:cs="Arial"/>
                <w:color w:val="000000"/>
                <w:sz w:val="19"/>
                <w:szCs w:val="19"/>
                <w:lang w:val="hr-HR"/>
              </w:rPr>
              <w:t>Neto smanjenje kredita financijskim institucijama, prije rezerviranja za očekivane gubitke</w:t>
            </w:r>
            <w:bookmarkEnd w:id="550"/>
          </w:p>
        </w:tc>
        <w:tc>
          <w:tcPr>
            <w:tcW w:w="658" w:type="pct"/>
            <w:shd w:val="clear" w:color="auto" w:fill="auto"/>
            <w:vAlign w:val="bottom"/>
          </w:tcPr>
          <w:p w14:paraId="61DD3157" w14:textId="77777777" w:rsidR="00F50591" w:rsidRPr="00D042BF" w:rsidRDefault="00F50591" w:rsidP="00F50591">
            <w:pPr>
              <w:keepLines/>
              <w:suppressAutoHyphens w:val="0"/>
              <w:autoSpaceDN/>
              <w:jc w:val="right"/>
              <w:rPr>
                <w:rFonts w:ascii="Arial" w:hAnsi="Arial" w:cs="Arial"/>
                <w:color w:val="000000"/>
                <w:spacing w:val="-3"/>
                <w:sz w:val="19"/>
                <w:szCs w:val="19"/>
                <w:lang w:val="hr-HR"/>
              </w:rPr>
            </w:pPr>
            <w:r w:rsidRPr="00D042BF">
              <w:rPr>
                <w:rFonts w:ascii="Arial" w:hAnsi="Arial" w:cs="Arial"/>
                <w:color w:val="000000"/>
                <w:spacing w:val="-3"/>
                <w:sz w:val="19"/>
                <w:szCs w:val="19"/>
                <w:lang w:val="hr-HR"/>
              </w:rPr>
              <w:t>69.870</w:t>
            </w:r>
          </w:p>
        </w:tc>
        <w:tc>
          <w:tcPr>
            <w:tcW w:w="622" w:type="pct"/>
            <w:shd w:val="clear" w:color="auto" w:fill="auto"/>
            <w:vAlign w:val="bottom"/>
          </w:tcPr>
          <w:p w14:paraId="7DBABBAE" w14:textId="77777777" w:rsidR="00F50591" w:rsidRPr="00D042BF" w:rsidRDefault="00F50591" w:rsidP="00F50591">
            <w:pPr>
              <w:keepLines/>
              <w:suppressAutoHyphens w:val="0"/>
              <w:autoSpaceDN/>
              <w:jc w:val="right"/>
              <w:rPr>
                <w:rFonts w:ascii="Arial" w:hAnsi="Arial" w:cs="Arial"/>
                <w:color w:val="000000"/>
                <w:sz w:val="19"/>
                <w:szCs w:val="19"/>
                <w:lang w:val="hr-HR"/>
              </w:rPr>
            </w:pPr>
            <w:r w:rsidRPr="00D042BF">
              <w:rPr>
                <w:rFonts w:ascii="Arial" w:hAnsi="Arial" w:cs="Arial"/>
                <w:color w:val="000000"/>
                <w:spacing w:val="-3"/>
                <w:sz w:val="19"/>
                <w:szCs w:val="19"/>
                <w:lang w:val="hr-HR"/>
              </w:rPr>
              <w:t>1.816.385</w:t>
            </w:r>
          </w:p>
        </w:tc>
      </w:tr>
      <w:tr w:rsidR="00F50591" w:rsidRPr="00D042BF" w14:paraId="1672A467" w14:textId="77777777" w:rsidTr="009620F6">
        <w:trPr>
          <w:trHeight w:hRule="exact" w:val="422"/>
        </w:trPr>
        <w:tc>
          <w:tcPr>
            <w:tcW w:w="3720" w:type="pct"/>
            <w:vAlign w:val="bottom"/>
          </w:tcPr>
          <w:p w14:paraId="5DFD4BFB" w14:textId="01625438" w:rsidR="00F50591" w:rsidRPr="00D042BF" w:rsidRDefault="00F50591" w:rsidP="00F50591">
            <w:pPr>
              <w:keepLines/>
              <w:tabs>
                <w:tab w:val="right" w:pos="1202"/>
              </w:tabs>
              <w:suppressAutoHyphens w:val="0"/>
              <w:autoSpaceDN/>
              <w:spacing w:line="220" w:lineRule="exact"/>
              <w:outlineLvl w:val="0"/>
              <w:rPr>
                <w:rFonts w:ascii="Arial" w:hAnsi="Arial" w:cs="Arial"/>
                <w:color w:val="000000"/>
                <w:sz w:val="19"/>
                <w:szCs w:val="19"/>
                <w:lang w:val="hr-HR"/>
              </w:rPr>
            </w:pPr>
            <w:bookmarkStart w:id="551" w:name="_Toc67327179"/>
            <w:r w:rsidRPr="00D042BF">
              <w:rPr>
                <w:rFonts w:ascii="Arial" w:hAnsi="Arial" w:cs="Arial"/>
                <w:color w:val="000000"/>
                <w:sz w:val="19"/>
                <w:szCs w:val="19"/>
                <w:lang w:val="hr-HR"/>
              </w:rPr>
              <w:t>Neto (povećanje) kredita ostalim korisnicima, prije rezerviranja za očekivane gubitke</w:t>
            </w:r>
            <w:bookmarkEnd w:id="551"/>
          </w:p>
        </w:tc>
        <w:tc>
          <w:tcPr>
            <w:tcW w:w="658" w:type="pct"/>
            <w:shd w:val="clear" w:color="auto" w:fill="auto"/>
            <w:vAlign w:val="bottom"/>
          </w:tcPr>
          <w:p w14:paraId="5958BC51" w14:textId="77777777" w:rsidR="00F50591" w:rsidRPr="00D042BF" w:rsidRDefault="00F50591" w:rsidP="00F50591">
            <w:pPr>
              <w:keepLines/>
              <w:suppressAutoHyphens w:val="0"/>
              <w:autoSpaceDN/>
              <w:jc w:val="right"/>
              <w:rPr>
                <w:rFonts w:ascii="Arial" w:hAnsi="Arial" w:cs="Arial"/>
                <w:color w:val="000000"/>
                <w:sz w:val="19"/>
                <w:szCs w:val="19"/>
                <w:lang w:val="hr-HR"/>
              </w:rPr>
            </w:pPr>
            <w:r w:rsidRPr="00D042BF">
              <w:rPr>
                <w:rFonts w:ascii="Arial" w:hAnsi="Arial" w:cs="Arial"/>
                <w:color w:val="000000"/>
                <w:sz w:val="19"/>
                <w:szCs w:val="19"/>
                <w:lang w:val="hr-HR"/>
              </w:rPr>
              <w:t>(1.745.027)</w:t>
            </w:r>
          </w:p>
        </w:tc>
        <w:tc>
          <w:tcPr>
            <w:tcW w:w="622" w:type="pct"/>
            <w:shd w:val="clear" w:color="auto" w:fill="auto"/>
            <w:vAlign w:val="bottom"/>
          </w:tcPr>
          <w:p w14:paraId="3C3D4AFD" w14:textId="77777777" w:rsidR="00F50591" w:rsidRPr="00D042BF" w:rsidRDefault="00F50591" w:rsidP="00F50591">
            <w:pPr>
              <w:keepLines/>
              <w:suppressAutoHyphens w:val="0"/>
              <w:autoSpaceDN/>
              <w:jc w:val="right"/>
              <w:rPr>
                <w:rFonts w:ascii="Arial" w:hAnsi="Arial" w:cs="Arial"/>
                <w:color w:val="000000"/>
                <w:sz w:val="19"/>
                <w:szCs w:val="19"/>
                <w:lang w:val="hr-HR"/>
              </w:rPr>
            </w:pPr>
            <w:r w:rsidRPr="00D042BF">
              <w:rPr>
                <w:rFonts w:ascii="Arial" w:hAnsi="Arial" w:cs="Arial"/>
                <w:color w:val="000000"/>
                <w:sz w:val="19"/>
                <w:szCs w:val="19"/>
                <w:lang w:val="hr-HR"/>
              </w:rPr>
              <w:t>(1.336.094)</w:t>
            </w:r>
          </w:p>
        </w:tc>
      </w:tr>
      <w:tr w:rsidR="00F50591" w:rsidRPr="00D042BF" w14:paraId="354EBBCF" w14:textId="77777777" w:rsidTr="009620F6">
        <w:trPr>
          <w:trHeight w:hRule="exact" w:val="227"/>
        </w:trPr>
        <w:tc>
          <w:tcPr>
            <w:tcW w:w="3720" w:type="pct"/>
            <w:vAlign w:val="bottom"/>
          </w:tcPr>
          <w:p w14:paraId="4719CAC0" w14:textId="0A97FC25" w:rsidR="00F50591" w:rsidRPr="00D042BF" w:rsidRDefault="00F50591" w:rsidP="00F50591">
            <w:pPr>
              <w:keepLines/>
              <w:tabs>
                <w:tab w:val="right" w:pos="1202"/>
              </w:tabs>
              <w:suppressAutoHyphens w:val="0"/>
              <w:autoSpaceDN/>
              <w:spacing w:line="220" w:lineRule="exact"/>
              <w:outlineLvl w:val="0"/>
              <w:rPr>
                <w:rFonts w:ascii="Arial" w:hAnsi="Arial" w:cs="Arial"/>
                <w:color w:val="000000"/>
                <w:sz w:val="19"/>
                <w:szCs w:val="19"/>
                <w:lang w:val="hr-HR"/>
              </w:rPr>
            </w:pPr>
            <w:bookmarkStart w:id="552" w:name="_Toc67327181"/>
            <w:r w:rsidRPr="00D042BF">
              <w:rPr>
                <w:rFonts w:ascii="Arial" w:hAnsi="Arial" w:cs="Arial"/>
                <w:color w:val="000000"/>
                <w:sz w:val="19"/>
                <w:szCs w:val="19"/>
                <w:lang w:val="hr-HR"/>
              </w:rPr>
              <w:t>Neto (povećanje)/smanjenje preuzete imovine</w:t>
            </w:r>
            <w:bookmarkEnd w:id="552"/>
            <w:r w:rsidRPr="00D042BF">
              <w:rPr>
                <w:rFonts w:ascii="Arial" w:hAnsi="Arial" w:cs="Arial"/>
                <w:color w:val="000000"/>
                <w:sz w:val="19"/>
                <w:szCs w:val="19"/>
                <w:lang w:val="hr-HR"/>
              </w:rPr>
              <w:t xml:space="preserve"> </w:t>
            </w:r>
          </w:p>
        </w:tc>
        <w:tc>
          <w:tcPr>
            <w:tcW w:w="658" w:type="pct"/>
            <w:vAlign w:val="bottom"/>
          </w:tcPr>
          <w:p w14:paraId="4383FE98"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z w:val="19"/>
                <w:szCs w:val="19"/>
                <w:lang w:val="hr-HR"/>
              </w:rPr>
            </w:pPr>
            <w:r w:rsidRPr="00D042BF">
              <w:rPr>
                <w:rFonts w:ascii="Arial" w:hAnsi="Arial" w:cs="Arial"/>
                <w:color w:val="000000"/>
                <w:sz w:val="19"/>
                <w:szCs w:val="19"/>
                <w:lang w:val="hr-HR"/>
              </w:rPr>
              <w:t>(5.578)</w:t>
            </w:r>
          </w:p>
        </w:tc>
        <w:tc>
          <w:tcPr>
            <w:tcW w:w="622" w:type="pct"/>
            <w:vAlign w:val="bottom"/>
          </w:tcPr>
          <w:p w14:paraId="39CAD4B3"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z w:val="19"/>
                <w:szCs w:val="19"/>
                <w:lang w:val="hr-HR"/>
              </w:rPr>
            </w:pPr>
            <w:bookmarkStart w:id="553" w:name="_Toc67327182"/>
            <w:r w:rsidRPr="00D042BF">
              <w:rPr>
                <w:rFonts w:ascii="Arial" w:hAnsi="Arial" w:cs="Arial"/>
                <w:color w:val="000000"/>
                <w:sz w:val="19"/>
                <w:szCs w:val="19"/>
                <w:lang w:val="hr-HR"/>
              </w:rPr>
              <w:t>3.103</w:t>
            </w:r>
            <w:bookmarkEnd w:id="553"/>
          </w:p>
        </w:tc>
      </w:tr>
      <w:tr w:rsidR="00F50591" w:rsidRPr="00D042BF" w14:paraId="7136D9F6" w14:textId="77777777" w:rsidTr="009620F6">
        <w:trPr>
          <w:trHeight w:hRule="exact" w:val="227"/>
        </w:trPr>
        <w:tc>
          <w:tcPr>
            <w:tcW w:w="3720" w:type="pct"/>
            <w:vAlign w:val="bottom"/>
          </w:tcPr>
          <w:p w14:paraId="2887B371" w14:textId="6BD4EC37" w:rsidR="00F50591" w:rsidRPr="00D042BF" w:rsidRDefault="00F50591" w:rsidP="00F50591">
            <w:pPr>
              <w:keepLines/>
              <w:tabs>
                <w:tab w:val="right" w:pos="1202"/>
              </w:tabs>
              <w:suppressAutoHyphens w:val="0"/>
              <w:autoSpaceDN/>
              <w:spacing w:line="220" w:lineRule="exact"/>
              <w:outlineLvl w:val="0"/>
              <w:rPr>
                <w:rFonts w:ascii="Arial" w:hAnsi="Arial" w:cs="Arial"/>
                <w:color w:val="000000"/>
                <w:sz w:val="19"/>
                <w:szCs w:val="19"/>
                <w:lang w:val="hr-HR"/>
              </w:rPr>
            </w:pPr>
            <w:bookmarkStart w:id="554" w:name="_Toc67327184"/>
            <w:r w:rsidRPr="00D042BF">
              <w:rPr>
                <w:rFonts w:ascii="Arial" w:hAnsi="Arial" w:cs="Arial"/>
                <w:color w:val="000000"/>
                <w:sz w:val="19"/>
                <w:szCs w:val="19"/>
                <w:lang w:val="hr-HR"/>
              </w:rPr>
              <w:t>Neto smanjenje/(povećanje) ostale imovine, prije rezerviranja za očekivane gubitke</w:t>
            </w:r>
            <w:bookmarkEnd w:id="554"/>
          </w:p>
        </w:tc>
        <w:tc>
          <w:tcPr>
            <w:tcW w:w="658" w:type="pct"/>
            <w:vAlign w:val="bottom"/>
          </w:tcPr>
          <w:p w14:paraId="78FBB536" w14:textId="77777777" w:rsidR="00F50591" w:rsidRPr="00D042BF" w:rsidRDefault="00F50591" w:rsidP="00F50591">
            <w:pPr>
              <w:keepLines/>
              <w:suppressAutoHyphens w:val="0"/>
              <w:autoSpaceDN/>
              <w:jc w:val="right"/>
              <w:rPr>
                <w:rFonts w:ascii="Arial" w:hAnsi="Arial" w:cs="Arial"/>
                <w:color w:val="000000"/>
                <w:sz w:val="19"/>
                <w:szCs w:val="19"/>
                <w:lang w:val="hr-HR"/>
              </w:rPr>
            </w:pPr>
            <w:r w:rsidRPr="00D042BF">
              <w:rPr>
                <w:rFonts w:ascii="Arial" w:hAnsi="Arial" w:cs="Arial"/>
                <w:color w:val="000000"/>
                <w:sz w:val="19"/>
                <w:szCs w:val="19"/>
                <w:lang w:val="hr-HR"/>
              </w:rPr>
              <w:t>636</w:t>
            </w:r>
          </w:p>
        </w:tc>
        <w:tc>
          <w:tcPr>
            <w:tcW w:w="622" w:type="pct"/>
            <w:vAlign w:val="bottom"/>
          </w:tcPr>
          <w:p w14:paraId="6B63DD8A" w14:textId="77777777" w:rsidR="00F50591" w:rsidRPr="00D042BF" w:rsidRDefault="00F50591" w:rsidP="00F50591">
            <w:pPr>
              <w:keepLines/>
              <w:suppressAutoHyphens w:val="0"/>
              <w:autoSpaceDN/>
              <w:jc w:val="right"/>
              <w:rPr>
                <w:rFonts w:ascii="Arial" w:hAnsi="Arial" w:cs="Arial"/>
                <w:color w:val="000000"/>
                <w:sz w:val="19"/>
                <w:szCs w:val="19"/>
                <w:lang w:val="hr-HR"/>
              </w:rPr>
            </w:pPr>
            <w:r w:rsidRPr="00D042BF">
              <w:rPr>
                <w:rFonts w:ascii="Arial" w:hAnsi="Arial" w:cs="Arial"/>
                <w:color w:val="000000"/>
                <w:sz w:val="19"/>
                <w:szCs w:val="19"/>
                <w:lang w:val="hr-HR"/>
              </w:rPr>
              <w:t>(5.021)</w:t>
            </w:r>
          </w:p>
        </w:tc>
      </w:tr>
      <w:tr w:rsidR="00F50591" w:rsidRPr="00D042BF" w14:paraId="1CC0C75C" w14:textId="77777777" w:rsidTr="009620F6">
        <w:trPr>
          <w:trHeight w:hRule="exact" w:val="227"/>
        </w:trPr>
        <w:tc>
          <w:tcPr>
            <w:tcW w:w="3720" w:type="pct"/>
            <w:vAlign w:val="bottom"/>
          </w:tcPr>
          <w:p w14:paraId="6054A2AF" w14:textId="2B7282CE" w:rsidR="00F50591" w:rsidRPr="00D042BF" w:rsidRDefault="00F50591" w:rsidP="00F50591">
            <w:pPr>
              <w:keepLines/>
              <w:tabs>
                <w:tab w:val="right" w:pos="1202"/>
              </w:tabs>
              <w:suppressAutoHyphens w:val="0"/>
              <w:autoSpaceDN/>
              <w:spacing w:line="220" w:lineRule="exact"/>
              <w:outlineLvl w:val="0"/>
              <w:rPr>
                <w:rFonts w:ascii="Arial" w:hAnsi="Arial" w:cs="Arial"/>
                <w:color w:val="000000"/>
                <w:sz w:val="19"/>
                <w:szCs w:val="19"/>
                <w:lang w:val="hr-HR"/>
              </w:rPr>
            </w:pPr>
            <w:bookmarkStart w:id="555" w:name="_Toc67327185"/>
            <w:r w:rsidRPr="00D042BF">
              <w:rPr>
                <w:rFonts w:ascii="Arial" w:hAnsi="Arial" w:cs="Arial"/>
                <w:color w:val="000000"/>
                <w:sz w:val="19"/>
                <w:szCs w:val="19"/>
                <w:lang w:val="hr-HR"/>
              </w:rPr>
              <w:t>Neto povećanje/(smanjenje) depozita banaka i trgovačkih društava</w:t>
            </w:r>
            <w:bookmarkEnd w:id="555"/>
          </w:p>
        </w:tc>
        <w:tc>
          <w:tcPr>
            <w:tcW w:w="658" w:type="pct"/>
            <w:vAlign w:val="bottom"/>
          </w:tcPr>
          <w:p w14:paraId="29F1F834" w14:textId="77777777" w:rsidR="00F50591" w:rsidRPr="00D042BF" w:rsidRDefault="00F50591" w:rsidP="00F50591">
            <w:pPr>
              <w:keepLines/>
              <w:suppressAutoHyphens w:val="0"/>
              <w:autoSpaceDN/>
              <w:jc w:val="right"/>
              <w:rPr>
                <w:rFonts w:ascii="Arial" w:hAnsi="Arial" w:cs="Arial"/>
                <w:color w:val="000000"/>
                <w:sz w:val="19"/>
                <w:szCs w:val="19"/>
                <w:lang w:val="hr-HR"/>
              </w:rPr>
            </w:pPr>
            <w:r w:rsidRPr="00D042BF">
              <w:rPr>
                <w:rFonts w:ascii="Arial" w:hAnsi="Arial" w:cs="Arial"/>
                <w:color w:val="000000"/>
                <w:sz w:val="19"/>
                <w:szCs w:val="19"/>
                <w:lang w:val="hr-HR"/>
              </w:rPr>
              <w:t>63.988</w:t>
            </w:r>
          </w:p>
        </w:tc>
        <w:tc>
          <w:tcPr>
            <w:tcW w:w="622" w:type="pct"/>
            <w:vAlign w:val="bottom"/>
          </w:tcPr>
          <w:p w14:paraId="42CBBA8F" w14:textId="77777777" w:rsidR="00F50591" w:rsidRPr="00D042BF" w:rsidRDefault="00F50591" w:rsidP="00F50591">
            <w:pPr>
              <w:keepLines/>
              <w:suppressAutoHyphens w:val="0"/>
              <w:autoSpaceDN/>
              <w:jc w:val="right"/>
              <w:rPr>
                <w:rFonts w:ascii="Arial" w:hAnsi="Arial" w:cs="Arial"/>
                <w:color w:val="000000"/>
                <w:sz w:val="19"/>
                <w:szCs w:val="19"/>
                <w:lang w:val="hr-HR"/>
              </w:rPr>
            </w:pPr>
            <w:r w:rsidRPr="00D042BF">
              <w:rPr>
                <w:rFonts w:ascii="Arial" w:hAnsi="Arial" w:cs="Arial"/>
                <w:color w:val="000000"/>
                <w:sz w:val="19"/>
                <w:szCs w:val="19"/>
                <w:lang w:val="hr-HR"/>
              </w:rPr>
              <w:t>(13.852)</w:t>
            </w:r>
          </w:p>
        </w:tc>
      </w:tr>
      <w:tr w:rsidR="00F50591" w:rsidRPr="00D042BF" w14:paraId="61176DD6" w14:textId="77777777" w:rsidTr="009620F6">
        <w:trPr>
          <w:trHeight w:hRule="exact" w:val="227"/>
        </w:trPr>
        <w:tc>
          <w:tcPr>
            <w:tcW w:w="3720" w:type="pct"/>
            <w:vAlign w:val="bottom"/>
          </w:tcPr>
          <w:p w14:paraId="2AACCBDF" w14:textId="6F8B55A4" w:rsidR="00F50591" w:rsidRPr="00D042BF" w:rsidRDefault="00F50591" w:rsidP="00F50591">
            <w:pPr>
              <w:keepLines/>
              <w:tabs>
                <w:tab w:val="right" w:pos="1202"/>
              </w:tabs>
              <w:suppressAutoHyphens w:val="0"/>
              <w:autoSpaceDN/>
              <w:spacing w:line="220" w:lineRule="exact"/>
              <w:outlineLvl w:val="0"/>
              <w:rPr>
                <w:rFonts w:ascii="Arial" w:hAnsi="Arial" w:cs="Arial"/>
                <w:color w:val="000000"/>
                <w:spacing w:val="-2"/>
                <w:sz w:val="19"/>
                <w:szCs w:val="19"/>
                <w:lang w:val="hr-HR"/>
              </w:rPr>
            </w:pPr>
            <w:bookmarkStart w:id="556" w:name="_Toc67327186"/>
            <w:r w:rsidRPr="00D042BF">
              <w:rPr>
                <w:rFonts w:ascii="Arial" w:hAnsi="Arial" w:cs="Arial"/>
                <w:color w:val="000000"/>
                <w:spacing w:val="-2"/>
                <w:sz w:val="19"/>
                <w:szCs w:val="19"/>
                <w:lang w:val="hr-HR"/>
              </w:rPr>
              <w:t>Neto povećanje ostalih obveza, prije rezerviranja</w:t>
            </w:r>
            <w:bookmarkEnd w:id="556"/>
          </w:p>
        </w:tc>
        <w:tc>
          <w:tcPr>
            <w:tcW w:w="658" w:type="pct"/>
            <w:tcBorders>
              <w:bottom w:val="single" w:sz="4" w:space="0" w:color="auto"/>
            </w:tcBorders>
            <w:vAlign w:val="bottom"/>
          </w:tcPr>
          <w:p w14:paraId="4215ED5F" w14:textId="77777777" w:rsidR="00F50591" w:rsidRPr="00D042BF" w:rsidRDefault="00F50591" w:rsidP="00F50591">
            <w:pPr>
              <w:keepLines/>
              <w:suppressAutoHyphens w:val="0"/>
              <w:autoSpaceDN/>
              <w:jc w:val="right"/>
              <w:rPr>
                <w:rFonts w:ascii="Arial" w:hAnsi="Arial" w:cs="Arial"/>
                <w:color w:val="000000"/>
                <w:sz w:val="19"/>
                <w:szCs w:val="19"/>
                <w:lang w:val="hr-HR"/>
              </w:rPr>
            </w:pPr>
            <w:r w:rsidRPr="00D042BF">
              <w:rPr>
                <w:rFonts w:ascii="Arial" w:hAnsi="Arial" w:cs="Arial"/>
                <w:color w:val="000000"/>
                <w:sz w:val="19"/>
                <w:szCs w:val="19"/>
                <w:lang w:val="hr-HR"/>
              </w:rPr>
              <w:t>236.955</w:t>
            </w:r>
          </w:p>
        </w:tc>
        <w:tc>
          <w:tcPr>
            <w:tcW w:w="622" w:type="pct"/>
            <w:tcBorders>
              <w:bottom w:val="single" w:sz="4" w:space="0" w:color="auto"/>
            </w:tcBorders>
            <w:vAlign w:val="bottom"/>
          </w:tcPr>
          <w:p w14:paraId="5E403AAA" w14:textId="77777777" w:rsidR="00F50591" w:rsidRPr="00D042BF" w:rsidRDefault="00F50591" w:rsidP="00F50591">
            <w:pPr>
              <w:keepLines/>
              <w:suppressAutoHyphens w:val="0"/>
              <w:autoSpaceDN/>
              <w:jc w:val="right"/>
              <w:rPr>
                <w:rFonts w:ascii="Arial" w:hAnsi="Arial" w:cs="Arial"/>
                <w:color w:val="000000"/>
                <w:sz w:val="19"/>
                <w:szCs w:val="19"/>
                <w:lang w:val="hr-HR"/>
              </w:rPr>
            </w:pPr>
            <w:r w:rsidRPr="00D042BF">
              <w:rPr>
                <w:rFonts w:ascii="Arial" w:hAnsi="Arial" w:cs="Arial"/>
                <w:color w:val="000000"/>
                <w:sz w:val="19"/>
                <w:szCs w:val="19"/>
                <w:lang w:val="hr-HR"/>
              </w:rPr>
              <w:t>36.566</w:t>
            </w:r>
          </w:p>
        </w:tc>
      </w:tr>
      <w:tr w:rsidR="00F50591" w:rsidRPr="00D042BF" w14:paraId="7F0B5A32" w14:textId="77777777" w:rsidTr="009620F6">
        <w:trPr>
          <w:trHeight w:val="228"/>
        </w:trPr>
        <w:tc>
          <w:tcPr>
            <w:tcW w:w="3720" w:type="pct"/>
            <w:vAlign w:val="bottom"/>
          </w:tcPr>
          <w:p w14:paraId="5ADDA207" w14:textId="70B2BBEB" w:rsidR="00F50591" w:rsidRPr="00D042BF" w:rsidRDefault="00F50591" w:rsidP="00F50591">
            <w:pPr>
              <w:keepLines/>
              <w:tabs>
                <w:tab w:val="right" w:pos="1202"/>
              </w:tabs>
              <w:suppressAutoHyphens w:val="0"/>
              <w:autoSpaceDN/>
              <w:spacing w:line="220" w:lineRule="exact"/>
              <w:outlineLvl w:val="0"/>
              <w:rPr>
                <w:rFonts w:ascii="Arial" w:hAnsi="Arial" w:cs="Arial"/>
                <w:b/>
                <w:bCs/>
                <w:color w:val="000000"/>
                <w:spacing w:val="-3"/>
                <w:sz w:val="19"/>
                <w:szCs w:val="19"/>
                <w:lang w:val="hr-HR"/>
              </w:rPr>
            </w:pPr>
            <w:bookmarkStart w:id="557" w:name="_Toc67327187"/>
            <w:r w:rsidRPr="00D042BF">
              <w:rPr>
                <w:rFonts w:ascii="Arial" w:hAnsi="Arial" w:cs="Arial"/>
                <w:b/>
                <w:bCs/>
                <w:color w:val="000000"/>
                <w:sz w:val="19"/>
                <w:szCs w:val="19"/>
                <w:lang w:val="hr-HR"/>
              </w:rPr>
              <w:t>Neto novčana sredstva (uporabljena)/ostvarena u poslovnim aktivnostima</w:t>
            </w:r>
            <w:bookmarkEnd w:id="557"/>
            <w:r w:rsidRPr="00D042BF">
              <w:rPr>
                <w:rFonts w:ascii="Arial" w:hAnsi="Arial" w:cs="Arial"/>
                <w:b/>
                <w:bCs/>
                <w:color w:val="000000"/>
                <w:sz w:val="19"/>
                <w:szCs w:val="19"/>
                <w:lang w:val="hr-HR"/>
              </w:rPr>
              <w:t xml:space="preserve"> </w:t>
            </w:r>
          </w:p>
        </w:tc>
        <w:tc>
          <w:tcPr>
            <w:tcW w:w="658" w:type="pct"/>
            <w:tcBorders>
              <w:top w:val="single" w:sz="4" w:space="0" w:color="auto"/>
              <w:bottom w:val="single" w:sz="12" w:space="0" w:color="auto"/>
            </w:tcBorders>
            <w:vAlign w:val="bottom"/>
          </w:tcPr>
          <w:p w14:paraId="039DC6FB" w14:textId="77777777" w:rsidR="00F50591" w:rsidRPr="00D042BF" w:rsidRDefault="00F50591" w:rsidP="00F50591">
            <w:pPr>
              <w:suppressAutoHyphens w:val="0"/>
              <w:autoSpaceDN/>
              <w:spacing w:line="220" w:lineRule="exact"/>
              <w:jc w:val="right"/>
              <w:rPr>
                <w:rFonts w:ascii="Arial" w:hAnsi="Arial" w:cs="Arial"/>
                <w:b/>
                <w:color w:val="000000"/>
                <w:spacing w:val="-2"/>
                <w:sz w:val="19"/>
                <w:szCs w:val="19"/>
                <w:lang w:val="hr-HR"/>
              </w:rPr>
            </w:pPr>
            <w:r w:rsidRPr="00D042BF">
              <w:rPr>
                <w:rFonts w:ascii="Arial" w:hAnsi="Arial" w:cs="Arial"/>
                <w:b/>
                <w:color w:val="000000"/>
                <w:spacing w:val="-2"/>
                <w:sz w:val="19"/>
                <w:szCs w:val="19"/>
                <w:lang w:val="hr-HR"/>
              </w:rPr>
              <w:t>(995.486)</w:t>
            </w:r>
          </w:p>
        </w:tc>
        <w:tc>
          <w:tcPr>
            <w:tcW w:w="622" w:type="pct"/>
            <w:tcBorders>
              <w:top w:val="single" w:sz="4" w:space="0" w:color="auto"/>
              <w:bottom w:val="single" w:sz="12" w:space="0" w:color="auto"/>
            </w:tcBorders>
            <w:vAlign w:val="bottom"/>
          </w:tcPr>
          <w:p w14:paraId="56E735E4" w14:textId="77777777" w:rsidR="00F50591" w:rsidRPr="00D042BF" w:rsidRDefault="00F50591" w:rsidP="00F50591">
            <w:pPr>
              <w:suppressAutoHyphens w:val="0"/>
              <w:autoSpaceDN/>
              <w:spacing w:line="220" w:lineRule="exact"/>
              <w:jc w:val="right"/>
              <w:rPr>
                <w:rFonts w:ascii="Arial" w:hAnsi="Arial" w:cs="Arial"/>
                <w:b/>
                <w:color w:val="000000"/>
                <w:spacing w:val="-2"/>
                <w:sz w:val="19"/>
                <w:szCs w:val="19"/>
                <w:lang w:val="hr-HR"/>
              </w:rPr>
            </w:pPr>
            <w:r w:rsidRPr="00D042BF">
              <w:rPr>
                <w:rFonts w:ascii="Arial" w:hAnsi="Arial" w:cs="Arial"/>
                <w:b/>
                <w:color w:val="000000"/>
                <w:spacing w:val="-2"/>
                <w:sz w:val="19"/>
                <w:szCs w:val="19"/>
                <w:lang w:val="hr-HR"/>
              </w:rPr>
              <w:t>913.312</w:t>
            </w:r>
          </w:p>
        </w:tc>
      </w:tr>
      <w:tr w:rsidR="00F50591" w:rsidRPr="00D042BF" w14:paraId="0C995F48" w14:textId="77777777" w:rsidTr="009620F6">
        <w:trPr>
          <w:trHeight w:hRule="exact" w:val="113"/>
        </w:trPr>
        <w:tc>
          <w:tcPr>
            <w:tcW w:w="3720" w:type="pct"/>
            <w:vAlign w:val="bottom"/>
          </w:tcPr>
          <w:p w14:paraId="71901F5B" w14:textId="77777777" w:rsidR="00F50591" w:rsidRPr="00D042BF" w:rsidRDefault="00F50591" w:rsidP="00F50591">
            <w:pPr>
              <w:keepLines/>
              <w:tabs>
                <w:tab w:val="right" w:pos="1202"/>
              </w:tabs>
              <w:suppressAutoHyphens w:val="0"/>
              <w:autoSpaceDN/>
              <w:spacing w:line="220" w:lineRule="exact"/>
              <w:outlineLvl w:val="0"/>
              <w:rPr>
                <w:rFonts w:ascii="Arial" w:hAnsi="Arial" w:cs="Arial"/>
                <w:b/>
                <w:bCs/>
                <w:color w:val="000000"/>
                <w:sz w:val="19"/>
                <w:szCs w:val="19"/>
                <w:lang w:val="hr-HR"/>
              </w:rPr>
            </w:pPr>
          </w:p>
        </w:tc>
        <w:tc>
          <w:tcPr>
            <w:tcW w:w="658" w:type="pct"/>
            <w:tcBorders>
              <w:top w:val="single" w:sz="12" w:space="0" w:color="auto"/>
            </w:tcBorders>
            <w:vAlign w:val="bottom"/>
          </w:tcPr>
          <w:p w14:paraId="410FD52D"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b/>
                <w:bCs/>
                <w:color w:val="000000"/>
                <w:sz w:val="19"/>
                <w:szCs w:val="19"/>
                <w:lang w:val="hr-HR"/>
              </w:rPr>
            </w:pPr>
          </w:p>
        </w:tc>
        <w:tc>
          <w:tcPr>
            <w:tcW w:w="622" w:type="pct"/>
            <w:tcBorders>
              <w:top w:val="single" w:sz="12" w:space="0" w:color="auto"/>
            </w:tcBorders>
            <w:vAlign w:val="bottom"/>
          </w:tcPr>
          <w:p w14:paraId="17720793"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b/>
                <w:bCs/>
                <w:color w:val="000000"/>
                <w:sz w:val="19"/>
                <w:szCs w:val="19"/>
                <w:lang w:val="hr-HR"/>
              </w:rPr>
            </w:pPr>
          </w:p>
        </w:tc>
      </w:tr>
      <w:tr w:rsidR="00F50591" w:rsidRPr="00D042BF" w14:paraId="2031148E" w14:textId="77777777" w:rsidTr="009620F6">
        <w:tc>
          <w:tcPr>
            <w:tcW w:w="3720" w:type="pct"/>
            <w:vAlign w:val="bottom"/>
          </w:tcPr>
          <w:p w14:paraId="72E90E91" w14:textId="4C1C68BB" w:rsidR="00F50591" w:rsidRPr="00D042BF" w:rsidRDefault="00F50591" w:rsidP="00F50591">
            <w:pPr>
              <w:keepLines/>
              <w:tabs>
                <w:tab w:val="right" w:pos="1202"/>
              </w:tabs>
              <w:suppressAutoHyphens w:val="0"/>
              <w:autoSpaceDN/>
              <w:spacing w:line="220" w:lineRule="exact"/>
              <w:outlineLvl w:val="0"/>
              <w:rPr>
                <w:rFonts w:ascii="Arial" w:hAnsi="Arial" w:cs="Arial"/>
                <w:b/>
                <w:bCs/>
                <w:color w:val="000000"/>
                <w:sz w:val="19"/>
                <w:szCs w:val="19"/>
                <w:lang w:val="hr-HR"/>
              </w:rPr>
            </w:pPr>
            <w:bookmarkStart w:id="558" w:name="_Toc67327188"/>
            <w:r w:rsidRPr="00D042BF">
              <w:rPr>
                <w:rFonts w:ascii="Arial" w:hAnsi="Arial" w:cs="Arial"/>
                <w:b/>
                <w:bCs/>
                <w:color w:val="000000"/>
                <w:sz w:val="19"/>
                <w:szCs w:val="19"/>
                <w:lang w:val="hr-HR"/>
              </w:rPr>
              <w:t>Ulagateljske aktivnosti</w:t>
            </w:r>
            <w:bookmarkEnd w:id="558"/>
          </w:p>
        </w:tc>
        <w:tc>
          <w:tcPr>
            <w:tcW w:w="658" w:type="pct"/>
            <w:vAlign w:val="bottom"/>
          </w:tcPr>
          <w:p w14:paraId="71E0C077"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b/>
                <w:bCs/>
                <w:color w:val="000000"/>
                <w:sz w:val="19"/>
                <w:szCs w:val="19"/>
                <w:lang w:val="hr-HR"/>
              </w:rPr>
            </w:pPr>
          </w:p>
        </w:tc>
        <w:tc>
          <w:tcPr>
            <w:tcW w:w="622" w:type="pct"/>
            <w:vAlign w:val="bottom"/>
          </w:tcPr>
          <w:p w14:paraId="564495BB"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b/>
                <w:bCs/>
                <w:color w:val="000000"/>
                <w:sz w:val="19"/>
                <w:szCs w:val="19"/>
                <w:lang w:val="hr-HR"/>
              </w:rPr>
            </w:pPr>
          </w:p>
        </w:tc>
      </w:tr>
      <w:tr w:rsidR="00F50591" w:rsidRPr="00D042BF" w14:paraId="0143B3C4" w14:textId="77777777" w:rsidTr="009620F6">
        <w:trPr>
          <w:trHeight w:hRule="exact" w:val="227"/>
        </w:trPr>
        <w:tc>
          <w:tcPr>
            <w:tcW w:w="3720" w:type="pct"/>
            <w:vAlign w:val="bottom"/>
          </w:tcPr>
          <w:p w14:paraId="15EE5B76" w14:textId="2406C3B9" w:rsidR="00F50591" w:rsidRPr="00D042BF" w:rsidRDefault="00F50591" w:rsidP="00F50591">
            <w:pPr>
              <w:keepLines/>
              <w:tabs>
                <w:tab w:val="right" w:pos="1202"/>
              </w:tabs>
              <w:suppressAutoHyphens w:val="0"/>
              <w:autoSpaceDN/>
              <w:spacing w:line="220" w:lineRule="exact"/>
              <w:outlineLvl w:val="0"/>
              <w:rPr>
                <w:rFonts w:ascii="Arial" w:hAnsi="Arial" w:cs="Arial"/>
                <w:color w:val="000000"/>
                <w:sz w:val="19"/>
                <w:szCs w:val="19"/>
                <w:lang w:val="hr-HR"/>
              </w:rPr>
            </w:pPr>
            <w:bookmarkStart w:id="559" w:name="_Toc67327189"/>
            <w:r w:rsidRPr="00D042BF">
              <w:rPr>
                <w:rFonts w:ascii="Arial" w:hAnsi="Arial" w:cs="Arial"/>
                <w:color w:val="000000"/>
                <w:sz w:val="19"/>
                <w:szCs w:val="19"/>
                <w:lang w:val="hr-HR"/>
              </w:rPr>
              <w:t>Kupovina financijske imovine po fer vrijednosti kroz dobit ili gubitak</w:t>
            </w:r>
            <w:bookmarkEnd w:id="559"/>
          </w:p>
        </w:tc>
        <w:tc>
          <w:tcPr>
            <w:tcW w:w="658" w:type="pct"/>
            <w:shd w:val="clear" w:color="000000" w:fill="auto"/>
            <w:vAlign w:val="bottom"/>
          </w:tcPr>
          <w:p w14:paraId="74378978"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pacing w:val="-2"/>
                <w:sz w:val="19"/>
                <w:szCs w:val="19"/>
                <w:lang w:val="hr-HR"/>
              </w:rPr>
            </w:pPr>
            <w:r w:rsidRPr="00D042BF">
              <w:rPr>
                <w:rFonts w:ascii="Arial" w:hAnsi="Arial" w:cs="Arial"/>
                <w:color w:val="000000"/>
                <w:spacing w:val="-2"/>
                <w:sz w:val="19"/>
                <w:szCs w:val="19"/>
                <w:lang w:val="hr-HR"/>
              </w:rPr>
              <w:t xml:space="preserve"> (52.821)</w:t>
            </w:r>
          </w:p>
        </w:tc>
        <w:tc>
          <w:tcPr>
            <w:tcW w:w="622" w:type="pct"/>
            <w:shd w:val="clear" w:color="000000" w:fill="auto"/>
            <w:vAlign w:val="bottom"/>
          </w:tcPr>
          <w:p w14:paraId="11A1A500"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pacing w:val="-2"/>
                <w:sz w:val="19"/>
                <w:szCs w:val="19"/>
                <w:lang w:val="hr-HR"/>
              </w:rPr>
            </w:pPr>
            <w:bookmarkStart w:id="560" w:name="_Toc67327190"/>
            <w:r w:rsidRPr="00D042BF">
              <w:rPr>
                <w:rFonts w:ascii="Arial" w:hAnsi="Arial" w:cs="Arial"/>
                <w:color w:val="000000"/>
                <w:spacing w:val="-2"/>
                <w:sz w:val="19"/>
                <w:szCs w:val="19"/>
                <w:lang w:val="hr-HR"/>
              </w:rPr>
              <w:t>(50.408)</w:t>
            </w:r>
            <w:bookmarkEnd w:id="560"/>
          </w:p>
        </w:tc>
      </w:tr>
      <w:tr w:rsidR="00F50591" w:rsidRPr="00D042BF" w14:paraId="65DF87AF" w14:textId="77777777" w:rsidTr="009620F6">
        <w:trPr>
          <w:trHeight w:hRule="exact" w:val="227"/>
        </w:trPr>
        <w:tc>
          <w:tcPr>
            <w:tcW w:w="3720" w:type="pct"/>
            <w:vAlign w:val="bottom"/>
          </w:tcPr>
          <w:p w14:paraId="1D54139D" w14:textId="088E4A9A" w:rsidR="00F50591" w:rsidRPr="00D042BF" w:rsidRDefault="00F50591" w:rsidP="00F50591">
            <w:pPr>
              <w:keepLines/>
              <w:tabs>
                <w:tab w:val="right" w:pos="1202"/>
              </w:tabs>
              <w:suppressAutoHyphens w:val="0"/>
              <w:autoSpaceDN/>
              <w:spacing w:line="220" w:lineRule="exact"/>
              <w:outlineLvl w:val="0"/>
              <w:rPr>
                <w:rFonts w:ascii="Arial" w:hAnsi="Arial" w:cs="Arial"/>
                <w:color w:val="000000"/>
                <w:sz w:val="19"/>
                <w:szCs w:val="19"/>
                <w:lang w:val="hr-HR"/>
              </w:rPr>
            </w:pPr>
            <w:bookmarkStart w:id="561" w:name="_Toc67327192"/>
            <w:r w:rsidRPr="00D042BF">
              <w:rPr>
                <w:rFonts w:ascii="Arial" w:hAnsi="Arial" w:cs="Arial"/>
                <w:color w:val="000000"/>
                <w:sz w:val="19"/>
                <w:szCs w:val="19"/>
                <w:lang w:val="hr-HR"/>
              </w:rPr>
              <w:t>Prodaja financijske imovine po fer vrijednosti kroz dobit ili gubitak</w:t>
            </w:r>
            <w:bookmarkEnd w:id="561"/>
          </w:p>
        </w:tc>
        <w:tc>
          <w:tcPr>
            <w:tcW w:w="658" w:type="pct"/>
            <w:shd w:val="clear" w:color="000000" w:fill="auto"/>
            <w:vAlign w:val="bottom"/>
          </w:tcPr>
          <w:p w14:paraId="3D81245C"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pacing w:val="-2"/>
                <w:sz w:val="19"/>
                <w:szCs w:val="19"/>
                <w:lang w:val="hr-HR"/>
              </w:rPr>
            </w:pPr>
            <w:r w:rsidRPr="00D042BF">
              <w:rPr>
                <w:rFonts w:ascii="Arial" w:hAnsi="Arial" w:cs="Arial"/>
                <w:color w:val="000000"/>
                <w:spacing w:val="-2"/>
                <w:sz w:val="19"/>
                <w:szCs w:val="19"/>
                <w:lang w:val="hr-HR"/>
              </w:rPr>
              <w:t xml:space="preserve"> 156.513 </w:t>
            </w:r>
          </w:p>
        </w:tc>
        <w:tc>
          <w:tcPr>
            <w:tcW w:w="622" w:type="pct"/>
            <w:shd w:val="clear" w:color="000000" w:fill="auto"/>
            <w:vAlign w:val="bottom"/>
          </w:tcPr>
          <w:p w14:paraId="1E5CB6DA"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pacing w:val="-2"/>
                <w:sz w:val="19"/>
                <w:szCs w:val="19"/>
                <w:lang w:val="hr-HR"/>
              </w:rPr>
            </w:pPr>
            <w:bookmarkStart w:id="562" w:name="_Toc67327193"/>
            <w:r w:rsidRPr="00D042BF">
              <w:rPr>
                <w:rFonts w:ascii="Arial" w:hAnsi="Arial" w:cs="Arial"/>
                <w:color w:val="000000"/>
                <w:spacing w:val="-2"/>
                <w:sz w:val="19"/>
                <w:szCs w:val="19"/>
                <w:lang w:val="hr-HR"/>
              </w:rPr>
              <w:t>30.548</w:t>
            </w:r>
            <w:bookmarkEnd w:id="562"/>
          </w:p>
        </w:tc>
      </w:tr>
      <w:tr w:rsidR="00F50591" w:rsidRPr="00D042BF" w14:paraId="10CDF65E" w14:textId="77777777" w:rsidTr="009620F6">
        <w:trPr>
          <w:trHeight w:hRule="exact" w:val="227"/>
        </w:trPr>
        <w:tc>
          <w:tcPr>
            <w:tcW w:w="3720" w:type="pct"/>
            <w:vAlign w:val="bottom"/>
          </w:tcPr>
          <w:p w14:paraId="4B653125" w14:textId="3C15E9F4" w:rsidR="00F50591" w:rsidRPr="00D042BF" w:rsidRDefault="00F50591" w:rsidP="00F50591">
            <w:pPr>
              <w:keepLines/>
              <w:tabs>
                <w:tab w:val="right" w:pos="1202"/>
              </w:tabs>
              <w:suppressAutoHyphens w:val="0"/>
              <w:autoSpaceDN/>
              <w:spacing w:line="220" w:lineRule="exact"/>
              <w:outlineLvl w:val="0"/>
              <w:rPr>
                <w:rFonts w:ascii="Arial" w:hAnsi="Arial" w:cs="Arial"/>
                <w:color w:val="000000"/>
                <w:sz w:val="19"/>
                <w:szCs w:val="19"/>
                <w:lang w:val="hr-HR"/>
              </w:rPr>
            </w:pPr>
            <w:bookmarkStart w:id="563" w:name="_Toc67327195"/>
            <w:r w:rsidRPr="00D042BF">
              <w:rPr>
                <w:rFonts w:ascii="Arial" w:hAnsi="Arial" w:cs="Arial"/>
                <w:color w:val="000000"/>
                <w:sz w:val="19"/>
                <w:szCs w:val="19"/>
                <w:lang w:val="hr-HR"/>
              </w:rPr>
              <w:t>Kupovina financijske imovine po fer vrijednosti kroz ostalu sveobuhvatnu dobit</w:t>
            </w:r>
            <w:bookmarkEnd w:id="563"/>
          </w:p>
        </w:tc>
        <w:tc>
          <w:tcPr>
            <w:tcW w:w="658" w:type="pct"/>
            <w:shd w:val="clear" w:color="000000" w:fill="auto"/>
            <w:vAlign w:val="bottom"/>
          </w:tcPr>
          <w:p w14:paraId="041B39DA"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pacing w:val="-2"/>
                <w:sz w:val="19"/>
                <w:szCs w:val="19"/>
                <w:lang w:val="hr-HR"/>
              </w:rPr>
            </w:pPr>
            <w:r w:rsidRPr="00D042BF">
              <w:rPr>
                <w:rFonts w:ascii="Arial" w:hAnsi="Arial" w:cs="Arial"/>
                <w:color w:val="000000"/>
                <w:spacing w:val="-2"/>
                <w:sz w:val="19"/>
                <w:szCs w:val="19"/>
                <w:lang w:val="hr-HR"/>
              </w:rPr>
              <w:t xml:space="preserve"> (1.929.705)</w:t>
            </w:r>
          </w:p>
        </w:tc>
        <w:tc>
          <w:tcPr>
            <w:tcW w:w="622" w:type="pct"/>
            <w:shd w:val="clear" w:color="000000" w:fill="auto"/>
            <w:vAlign w:val="bottom"/>
          </w:tcPr>
          <w:p w14:paraId="238718C5"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pacing w:val="-2"/>
                <w:sz w:val="19"/>
                <w:szCs w:val="19"/>
                <w:lang w:val="hr-HR"/>
              </w:rPr>
            </w:pPr>
            <w:bookmarkStart w:id="564" w:name="_Toc67327196"/>
            <w:r w:rsidRPr="00D042BF">
              <w:rPr>
                <w:rFonts w:ascii="Arial" w:hAnsi="Arial" w:cs="Arial"/>
                <w:color w:val="000000"/>
                <w:spacing w:val="-2"/>
                <w:sz w:val="19"/>
                <w:szCs w:val="19"/>
                <w:lang w:val="hr-HR"/>
              </w:rPr>
              <w:t>(1.651.703)</w:t>
            </w:r>
            <w:bookmarkEnd w:id="564"/>
          </w:p>
        </w:tc>
      </w:tr>
      <w:tr w:rsidR="00F50591" w:rsidRPr="00D042BF" w14:paraId="39ED40E1" w14:textId="77777777" w:rsidTr="009620F6">
        <w:trPr>
          <w:trHeight w:hRule="exact" w:val="227"/>
        </w:trPr>
        <w:tc>
          <w:tcPr>
            <w:tcW w:w="3720" w:type="pct"/>
            <w:vAlign w:val="bottom"/>
          </w:tcPr>
          <w:p w14:paraId="48711B7C" w14:textId="1B9ACA5A" w:rsidR="00F50591" w:rsidRPr="00D042BF" w:rsidRDefault="00F50591" w:rsidP="00F50591">
            <w:pPr>
              <w:keepLines/>
              <w:tabs>
                <w:tab w:val="right" w:pos="1202"/>
              </w:tabs>
              <w:suppressAutoHyphens w:val="0"/>
              <w:autoSpaceDN/>
              <w:spacing w:line="220" w:lineRule="exact"/>
              <w:outlineLvl w:val="0"/>
              <w:rPr>
                <w:rFonts w:ascii="Arial" w:hAnsi="Arial" w:cs="Arial"/>
                <w:color w:val="000000"/>
                <w:sz w:val="19"/>
                <w:szCs w:val="19"/>
                <w:lang w:val="hr-HR"/>
              </w:rPr>
            </w:pPr>
            <w:bookmarkStart w:id="565" w:name="_Toc67327198"/>
            <w:r w:rsidRPr="00D042BF">
              <w:rPr>
                <w:rFonts w:ascii="Arial" w:hAnsi="Arial" w:cs="Arial"/>
                <w:color w:val="000000"/>
                <w:sz w:val="19"/>
                <w:szCs w:val="19"/>
                <w:lang w:val="hr-HR"/>
              </w:rPr>
              <w:t>Prodaja financijske imovine po fer vrijednosti kroz ostalu sveobuhvatnu dobit</w:t>
            </w:r>
            <w:bookmarkEnd w:id="565"/>
          </w:p>
        </w:tc>
        <w:tc>
          <w:tcPr>
            <w:tcW w:w="658" w:type="pct"/>
            <w:shd w:val="clear" w:color="000000" w:fill="auto"/>
            <w:vAlign w:val="bottom"/>
          </w:tcPr>
          <w:p w14:paraId="36384BC0"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pacing w:val="-2"/>
                <w:sz w:val="19"/>
                <w:szCs w:val="19"/>
                <w:lang w:val="hr-HR"/>
              </w:rPr>
            </w:pPr>
            <w:r w:rsidRPr="00D042BF">
              <w:rPr>
                <w:rFonts w:ascii="Arial" w:hAnsi="Arial" w:cs="Arial"/>
                <w:color w:val="000000"/>
                <w:spacing w:val="-2"/>
                <w:sz w:val="19"/>
                <w:szCs w:val="19"/>
                <w:lang w:val="hr-HR"/>
              </w:rPr>
              <w:t xml:space="preserve"> 2.121.928 </w:t>
            </w:r>
          </w:p>
        </w:tc>
        <w:tc>
          <w:tcPr>
            <w:tcW w:w="622" w:type="pct"/>
            <w:shd w:val="clear" w:color="000000" w:fill="auto"/>
            <w:vAlign w:val="bottom"/>
          </w:tcPr>
          <w:p w14:paraId="28BEC737"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pacing w:val="-2"/>
                <w:sz w:val="19"/>
                <w:szCs w:val="19"/>
                <w:lang w:val="hr-HR"/>
              </w:rPr>
            </w:pPr>
            <w:bookmarkStart w:id="566" w:name="_Toc67327199"/>
            <w:r w:rsidRPr="00D042BF">
              <w:rPr>
                <w:rFonts w:ascii="Arial" w:hAnsi="Arial" w:cs="Arial"/>
                <w:color w:val="000000"/>
                <w:spacing w:val="-2"/>
                <w:sz w:val="19"/>
                <w:szCs w:val="19"/>
                <w:lang w:val="hr-HR"/>
              </w:rPr>
              <w:t>1.753.422</w:t>
            </w:r>
            <w:bookmarkEnd w:id="566"/>
          </w:p>
        </w:tc>
      </w:tr>
      <w:tr w:rsidR="00F50591" w:rsidRPr="00D042BF" w14:paraId="26875FFD" w14:textId="77777777" w:rsidTr="009620F6">
        <w:trPr>
          <w:trHeight w:hRule="exact" w:val="227"/>
        </w:trPr>
        <w:tc>
          <w:tcPr>
            <w:tcW w:w="3720" w:type="pct"/>
            <w:vAlign w:val="bottom"/>
          </w:tcPr>
          <w:p w14:paraId="5DDEBE8B" w14:textId="3360D6E3" w:rsidR="00F50591" w:rsidRPr="00D042BF" w:rsidRDefault="00F50591" w:rsidP="00F50591">
            <w:pPr>
              <w:keepLines/>
              <w:tabs>
                <w:tab w:val="right" w:pos="1202"/>
              </w:tabs>
              <w:suppressAutoHyphens w:val="0"/>
              <w:autoSpaceDN/>
              <w:spacing w:line="220" w:lineRule="exact"/>
              <w:outlineLvl w:val="0"/>
              <w:rPr>
                <w:rFonts w:ascii="Arial" w:hAnsi="Arial" w:cs="Arial"/>
                <w:color w:val="000000"/>
                <w:sz w:val="19"/>
                <w:szCs w:val="19"/>
                <w:lang w:val="hr-HR"/>
              </w:rPr>
            </w:pPr>
            <w:bookmarkStart w:id="567" w:name="_Toc67327201"/>
            <w:r w:rsidRPr="00D042BF">
              <w:rPr>
                <w:rFonts w:ascii="Arial" w:hAnsi="Arial" w:cs="Arial"/>
                <w:color w:val="000000"/>
                <w:sz w:val="19"/>
                <w:szCs w:val="19"/>
                <w:lang w:val="hr-HR"/>
              </w:rPr>
              <w:t>Prodaja i otpis ulaganja u pridružena društva</w:t>
            </w:r>
            <w:bookmarkEnd w:id="567"/>
          </w:p>
        </w:tc>
        <w:tc>
          <w:tcPr>
            <w:tcW w:w="658" w:type="pct"/>
            <w:shd w:val="clear" w:color="000000" w:fill="auto"/>
            <w:vAlign w:val="bottom"/>
          </w:tcPr>
          <w:p w14:paraId="4540CD49"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pacing w:val="-2"/>
                <w:sz w:val="19"/>
                <w:szCs w:val="19"/>
                <w:lang w:val="hr-HR"/>
              </w:rPr>
            </w:pPr>
            <w:r w:rsidRPr="00D042BF">
              <w:rPr>
                <w:rFonts w:ascii="Arial" w:hAnsi="Arial" w:cs="Arial"/>
                <w:color w:val="000000"/>
                <w:spacing w:val="-2"/>
                <w:sz w:val="19"/>
                <w:szCs w:val="19"/>
                <w:lang w:val="hr-HR"/>
              </w:rPr>
              <w:t>-</w:t>
            </w:r>
          </w:p>
        </w:tc>
        <w:tc>
          <w:tcPr>
            <w:tcW w:w="622" w:type="pct"/>
            <w:shd w:val="clear" w:color="000000" w:fill="auto"/>
            <w:vAlign w:val="bottom"/>
          </w:tcPr>
          <w:p w14:paraId="62104DD9"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z w:val="19"/>
                <w:szCs w:val="19"/>
                <w:lang w:val="hr-HR"/>
              </w:rPr>
            </w:pPr>
            <w:bookmarkStart w:id="568" w:name="_Toc67327202"/>
            <w:r w:rsidRPr="00D042BF">
              <w:rPr>
                <w:rFonts w:ascii="Arial" w:hAnsi="Arial" w:cs="Arial"/>
                <w:color w:val="000000"/>
                <w:spacing w:val="-2"/>
                <w:sz w:val="19"/>
                <w:szCs w:val="19"/>
                <w:lang w:val="hr-HR"/>
              </w:rPr>
              <w:t>5.979</w:t>
            </w:r>
            <w:bookmarkEnd w:id="568"/>
          </w:p>
        </w:tc>
      </w:tr>
      <w:tr w:rsidR="00F50591" w:rsidRPr="00D042BF" w14:paraId="54567814" w14:textId="77777777" w:rsidTr="009620F6">
        <w:trPr>
          <w:trHeight w:hRule="exact" w:val="227"/>
        </w:trPr>
        <w:tc>
          <w:tcPr>
            <w:tcW w:w="3720" w:type="pct"/>
            <w:vAlign w:val="bottom"/>
          </w:tcPr>
          <w:p w14:paraId="327A44CD" w14:textId="77777777" w:rsidR="00F50591" w:rsidRPr="00D042BF" w:rsidRDefault="00F50591" w:rsidP="00F50591">
            <w:pPr>
              <w:keepLines/>
              <w:tabs>
                <w:tab w:val="right" w:pos="1202"/>
              </w:tabs>
              <w:suppressAutoHyphens w:val="0"/>
              <w:autoSpaceDN/>
              <w:spacing w:line="220" w:lineRule="exact"/>
              <w:outlineLvl w:val="0"/>
              <w:rPr>
                <w:rFonts w:ascii="Arial" w:hAnsi="Arial" w:cs="Arial"/>
                <w:color w:val="000000"/>
                <w:sz w:val="19"/>
                <w:szCs w:val="19"/>
                <w:lang w:val="hr-HR"/>
              </w:rPr>
            </w:pPr>
            <w:r w:rsidRPr="00D042BF">
              <w:rPr>
                <w:rFonts w:ascii="Arial" w:hAnsi="Arial" w:cs="Arial"/>
                <w:color w:val="000000"/>
                <w:sz w:val="19"/>
                <w:szCs w:val="19"/>
                <w:lang w:val="hr-HR"/>
              </w:rPr>
              <w:t>Ulaganje u ovisna društva</w:t>
            </w:r>
          </w:p>
        </w:tc>
        <w:tc>
          <w:tcPr>
            <w:tcW w:w="658" w:type="pct"/>
            <w:shd w:val="clear" w:color="000000" w:fill="auto"/>
            <w:vAlign w:val="bottom"/>
          </w:tcPr>
          <w:p w14:paraId="17AE48C9"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pacing w:val="-2"/>
                <w:sz w:val="19"/>
                <w:szCs w:val="19"/>
                <w:lang w:val="hr-HR"/>
              </w:rPr>
            </w:pPr>
            <w:r w:rsidRPr="00D042BF">
              <w:rPr>
                <w:rFonts w:ascii="Arial" w:hAnsi="Arial" w:cs="Arial"/>
                <w:color w:val="000000"/>
                <w:spacing w:val="-2"/>
                <w:sz w:val="19"/>
                <w:szCs w:val="19"/>
                <w:lang w:val="hr-HR"/>
              </w:rPr>
              <w:t>(20.000)</w:t>
            </w:r>
          </w:p>
        </w:tc>
        <w:tc>
          <w:tcPr>
            <w:tcW w:w="622" w:type="pct"/>
            <w:shd w:val="clear" w:color="000000" w:fill="auto"/>
            <w:vAlign w:val="bottom"/>
          </w:tcPr>
          <w:p w14:paraId="142B1878"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pacing w:val="-2"/>
                <w:sz w:val="19"/>
                <w:szCs w:val="19"/>
                <w:lang w:val="hr-HR"/>
              </w:rPr>
            </w:pPr>
            <w:r w:rsidRPr="00D042BF">
              <w:rPr>
                <w:rFonts w:ascii="Arial" w:hAnsi="Arial" w:cs="Arial"/>
                <w:color w:val="000000"/>
                <w:spacing w:val="-2"/>
                <w:sz w:val="19"/>
                <w:szCs w:val="19"/>
                <w:lang w:val="hr-HR"/>
              </w:rPr>
              <w:t>-</w:t>
            </w:r>
          </w:p>
        </w:tc>
      </w:tr>
      <w:tr w:rsidR="00F50591" w:rsidRPr="00D042BF" w14:paraId="3A35AB28" w14:textId="77777777" w:rsidTr="009620F6">
        <w:trPr>
          <w:trHeight w:hRule="exact" w:val="227"/>
        </w:trPr>
        <w:tc>
          <w:tcPr>
            <w:tcW w:w="3720" w:type="pct"/>
            <w:vAlign w:val="bottom"/>
          </w:tcPr>
          <w:p w14:paraId="144971DB" w14:textId="74F48CF2" w:rsidR="00F50591" w:rsidRPr="00D042BF" w:rsidRDefault="00F50591" w:rsidP="00F50591">
            <w:pPr>
              <w:keepLines/>
              <w:tabs>
                <w:tab w:val="right" w:pos="1202"/>
              </w:tabs>
              <w:suppressAutoHyphens w:val="0"/>
              <w:autoSpaceDN/>
              <w:spacing w:line="220" w:lineRule="exact"/>
              <w:outlineLvl w:val="0"/>
              <w:rPr>
                <w:rFonts w:ascii="Arial" w:hAnsi="Arial" w:cs="Arial"/>
                <w:color w:val="000000"/>
                <w:spacing w:val="-2"/>
                <w:sz w:val="19"/>
                <w:szCs w:val="19"/>
                <w:lang w:val="hr-HR"/>
              </w:rPr>
            </w:pPr>
            <w:bookmarkStart w:id="569" w:name="_Toc67327204"/>
            <w:r w:rsidRPr="00D042BF">
              <w:rPr>
                <w:rFonts w:ascii="Arial" w:hAnsi="Arial" w:cs="Arial"/>
                <w:color w:val="000000"/>
                <w:spacing w:val="-2"/>
                <w:sz w:val="19"/>
                <w:szCs w:val="19"/>
                <w:lang w:val="hr-HR"/>
              </w:rPr>
              <w:t>Neto nabava nekretnina, postrojenja i opreme i nematerijalne imovine</w:t>
            </w:r>
            <w:bookmarkEnd w:id="569"/>
          </w:p>
        </w:tc>
        <w:tc>
          <w:tcPr>
            <w:tcW w:w="658" w:type="pct"/>
            <w:tcBorders>
              <w:bottom w:val="single" w:sz="4" w:space="0" w:color="auto"/>
            </w:tcBorders>
            <w:shd w:val="clear" w:color="000000" w:fill="auto"/>
            <w:vAlign w:val="bottom"/>
          </w:tcPr>
          <w:p w14:paraId="60A1A92F" w14:textId="77777777" w:rsidR="00F50591" w:rsidRPr="00D042BF" w:rsidRDefault="00F50591" w:rsidP="00F50591">
            <w:pPr>
              <w:keepLines/>
              <w:suppressAutoHyphens w:val="0"/>
              <w:autoSpaceDN/>
              <w:jc w:val="right"/>
              <w:rPr>
                <w:rFonts w:ascii="Arial" w:hAnsi="Arial" w:cs="Arial"/>
                <w:color w:val="000000"/>
                <w:spacing w:val="-2"/>
                <w:sz w:val="19"/>
                <w:szCs w:val="19"/>
                <w:lang w:val="hr-HR"/>
              </w:rPr>
            </w:pPr>
            <w:r w:rsidRPr="00D042BF">
              <w:rPr>
                <w:rFonts w:ascii="Arial" w:hAnsi="Arial" w:cs="Arial"/>
                <w:color w:val="000000"/>
                <w:spacing w:val="-2"/>
                <w:sz w:val="19"/>
                <w:szCs w:val="19"/>
                <w:lang w:val="hr-HR"/>
              </w:rPr>
              <w:t>(4.380)</w:t>
            </w:r>
          </w:p>
        </w:tc>
        <w:tc>
          <w:tcPr>
            <w:tcW w:w="622" w:type="pct"/>
            <w:tcBorders>
              <w:bottom w:val="single" w:sz="4" w:space="0" w:color="auto"/>
            </w:tcBorders>
            <w:shd w:val="clear" w:color="000000" w:fill="auto"/>
            <w:vAlign w:val="bottom"/>
          </w:tcPr>
          <w:p w14:paraId="34E46CFB" w14:textId="77777777" w:rsidR="00F50591" w:rsidRPr="00D042BF" w:rsidRDefault="00F50591" w:rsidP="00F50591">
            <w:pPr>
              <w:keepLines/>
              <w:suppressAutoHyphens w:val="0"/>
              <w:autoSpaceDN/>
              <w:jc w:val="right"/>
              <w:rPr>
                <w:rFonts w:ascii="Arial" w:hAnsi="Arial" w:cs="Arial"/>
                <w:color w:val="000000"/>
                <w:spacing w:val="-2"/>
                <w:sz w:val="19"/>
                <w:szCs w:val="19"/>
                <w:lang w:val="hr-HR"/>
              </w:rPr>
            </w:pPr>
            <w:r w:rsidRPr="00D042BF">
              <w:rPr>
                <w:rFonts w:ascii="Arial" w:hAnsi="Arial" w:cs="Arial"/>
                <w:color w:val="000000"/>
                <w:spacing w:val="-2"/>
                <w:sz w:val="19"/>
                <w:szCs w:val="19"/>
                <w:lang w:val="hr-HR"/>
              </w:rPr>
              <w:t>(5.912)</w:t>
            </w:r>
          </w:p>
        </w:tc>
      </w:tr>
      <w:tr w:rsidR="00F50591" w:rsidRPr="00D042BF" w14:paraId="7CFA8AD9" w14:textId="77777777" w:rsidTr="009620F6">
        <w:trPr>
          <w:trHeight w:val="196"/>
        </w:trPr>
        <w:tc>
          <w:tcPr>
            <w:tcW w:w="3720" w:type="pct"/>
            <w:vAlign w:val="bottom"/>
          </w:tcPr>
          <w:p w14:paraId="37F3EC6E" w14:textId="5DE50DCA" w:rsidR="00F50591" w:rsidRPr="00D042BF" w:rsidRDefault="00F50591" w:rsidP="00F50591">
            <w:pPr>
              <w:keepLines/>
              <w:tabs>
                <w:tab w:val="right" w:pos="1202"/>
              </w:tabs>
              <w:suppressAutoHyphens w:val="0"/>
              <w:autoSpaceDN/>
              <w:spacing w:line="220" w:lineRule="exact"/>
              <w:outlineLvl w:val="0"/>
              <w:rPr>
                <w:rFonts w:ascii="Arial" w:hAnsi="Arial" w:cs="Arial"/>
                <w:b/>
                <w:bCs/>
                <w:color w:val="000000"/>
                <w:sz w:val="19"/>
                <w:szCs w:val="19"/>
                <w:lang w:val="hr-HR"/>
              </w:rPr>
            </w:pPr>
            <w:bookmarkStart w:id="570" w:name="_Toc67327205"/>
            <w:r w:rsidRPr="00D042BF">
              <w:rPr>
                <w:rFonts w:ascii="Arial" w:hAnsi="Arial" w:cs="Arial"/>
                <w:b/>
                <w:bCs/>
                <w:color w:val="000000"/>
                <w:sz w:val="19"/>
                <w:szCs w:val="19"/>
                <w:lang w:val="hr-HR"/>
              </w:rPr>
              <w:t>Neto novčana sredstva ostvarena u ulagateljskim aktivnostima</w:t>
            </w:r>
            <w:bookmarkEnd w:id="570"/>
          </w:p>
        </w:tc>
        <w:tc>
          <w:tcPr>
            <w:tcW w:w="658" w:type="pct"/>
            <w:tcBorders>
              <w:top w:val="single" w:sz="4" w:space="0" w:color="auto"/>
              <w:bottom w:val="single" w:sz="12" w:space="0" w:color="auto"/>
            </w:tcBorders>
            <w:vAlign w:val="bottom"/>
          </w:tcPr>
          <w:p w14:paraId="23C21C11" w14:textId="77777777" w:rsidR="00F50591" w:rsidRPr="00D042BF" w:rsidRDefault="00F50591" w:rsidP="00F50591">
            <w:pPr>
              <w:suppressAutoHyphens w:val="0"/>
              <w:autoSpaceDN/>
              <w:spacing w:line="220" w:lineRule="exact"/>
              <w:jc w:val="right"/>
              <w:rPr>
                <w:rFonts w:ascii="Arial" w:hAnsi="Arial" w:cs="Arial"/>
                <w:b/>
                <w:bCs/>
                <w:color w:val="000000"/>
                <w:spacing w:val="-2"/>
                <w:sz w:val="19"/>
                <w:szCs w:val="19"/>
                <w:lang w:val="hr-HR"/>
              </w:rPr>
            </w:pPr>
            <w:r w:rsidRPr="00D042BF">
              <w:rPr>
                <w:rFonts w:ascii="Arial" w:hAnsi="Arial" w:cs="Arial"/>
                <w:b/>
                <w:bCs/>
                <w:color w:val="000000"/>
                <w:spacing w:val="-2"/>
                <w:sz w:val="19"/>
                <w:szCs w:val="19"/>
                <w:lang w:val="hr-HR"/>
              </w:rPr>
              <w:t>271.535</w:t>
            </w:r>
          </w:p>
        </w:tc>
        <w:tc>
          <w:tcPr>
            <w:tcW w:w="622" w:type="pct"/>
            <w:tcBorders>
              <w:top w:val="single" w:sz="4" w:space="0" w:color="auto"/>
              <w:bottom w:val="single" w:sz="12" w:space="0" w:color="auto"/>
            </w:tcBorders>
            <w:vAlign w:val="bottom"/>
          </w:tcPr>
          <w:p w14:paraId="68BB856D" w14:textId="77777777" w:rsidR="00F50591" w:rsidRPr="00D042BF" w:rsidRDefault="00F50591" w:rsidP="00F50591">
            <w:pPr>
              <w:suppressAutoHyphens w:val="0"/>
              <w:autoSpaceDN/>
              <w:spacing w:line="220" w:lineRule="exact"/>
              <w:jc w:val="right"/>
              <w:rPr>
                <w:rFonts w:ascii="Arial" w:hAnsi="Arial" w:cs="Arial"/>
                <w:b/>
                <w:bCs/>
                <w:color w:val="000000"/>
                <w:spacing w:val="-2"/>
                <w:sz w:val="19"/>
                <w:szCs w:val="19"/>
                <w:lang w:val="hr-HR"/>
              </w:rPr>
            </w:pPr>
            <w:r w:rsidRPr="00D042BF">
              <w:rPr>
                <w:rFonts w:ascii="Arial" w:hAnsi="Arial" w:cs="Arial"/>
                <w:b/>
                <w:bCs/>
                <w:color w:val="000000"/>
                <w:spacing w:val="-2"/>
                <w:sz w:val="19"/>
                <w:szCs w:val="19"/>
                <w:lang w:val="hr-HR"/>
              </w:rPr>
              <w:t>81.926</w:t>
            </w:r>
          </w:p>
        </w:tc>
      </w:tr>
      <w:tr w:rsidR="00F50591" w:rsidRPr="00D042BF" w14:paraId="401F9451" w14:textId="77777777" w:rsidTr="009620F6">
        <w:trPr>
          <w:trHeight w:hRule="exact" w:val="113"/>
        </w:trPr>
        <w:tc>
          <w:tcPr>
            <w:tcW w:w="3720" w:type="pct"/>
            <w:vAlign w:val="bottom"/>
          </w:tcPr>
          <w:p w14:paraId="32ADA862" w14:textId="77777777" w:rsidR="00F50591" w:rsidRPr="00D042BF" w:rsidRDefault="00F50591" w:rsidP="00F50591">
            <w:pPr>
              <w:keepLines/>
              <w:tabs>
                <w:tab w:val="right" w:pos="1202"/>
              </w:tabs>
              <w:suppressAutoHyphens w:val="0"/>
              <w:autoSpaceDN/>
              <w:spacing w:line="220" w:lineRule="exact"/>
              <w:outlineLvl w:val="0"/>
              <w:rPr>
                <w:rFonts w:ascii="Arial" w:hAnsi="Arial" w:cs="Arial"/>
                <w:b/>
                <w:bCs/>
                <w:color w:val="000000"/>
                <w:sz w:val="19"/>
                <w:szCs w:val="19"/>
                <w:lang w:val="hr-HR"/>
              </w:rPr>
            </w:pPr>
          </w:p>
        </w:tc>
        <w:tc>
          <w:tcPr>
            <w:tcW w:w="658" w:type="pct"/>
            <w:tcBorders>
              <w:top w:val="single" w:sz="12" w:space="0" w:color="auto"/>
            </w:tcBorders>
            <w:vAlign w:val="bottom"/>
          </w:tcPr>
          <w:p w14:paraId="4B2193B0"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b/>
                <w:bCs/>
                <w:color w:val="000000"/>
                <w:sz w:val="19"/>
                <w:szCs w:val="19"/>
                <w:lang w:val="hr-HR"/>
              </w:rPr>
            </w:pPr>
          </w:p>
        </w:tc>
        <w:tc>
          <w:tcPr>
            <w:tcW w:w="622" w:type="pct"/>
            <w:tcBorders>
              <w:top w:val="single" w:sz="12" w:space="0" w:color="auto"/>
            </w:tcBorders>
            <w:vAlign w:val="bottom"/>
          </w:tcPr>
          <w:p w14:paraId="622BA9D7"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b/>
                <w:bCs/>
                <w:color w:val="000000"/>
                <w:sz w:val="19"/>
                <w:szCs w:val="19"/>
                <w:lang w:val="hr-HR"/>
              </w:rPr>
            </w:pPr>
          </w:p>
        </w:tc>
      </w:tr>
      <w:tr w:rsidR="00F50591" w:rsidRPr="00D042BF" w14:paraId="506990EA" w14:textId="77777777" w:rsidTr="009620F6">
        <w:tc>
          <w:tcPr>
            <w:tcW w:w="3720" w:type="pct"/>
            <w:vAlign w:val="bottom"/>
          </w:tcPr>
          <w:p w14:paraId="1689C0E5" w14:textId="64931C53" w:rsidR="00F50591" w:rsidRPr="00D042BF" w:rsidRDefault="00F50591" w:rsidP="00F50591">
            <w:pPr>
              <w:keepLines/>
              <w:tabs>
                <w:tab w:val="right" w:pos="1202"/>
              </w:tabs>
              <w:suppressAutoHyphens w:val="0"/>
              <w:autoSpaceDN/>
              <w:spacing w:line="220" w:lineRule="exact"/>
              <w:outlineLvl w:val="0"/>
              <w:rPr>
                <w:rFonts w:ascii="Arial" w:hAnsi="Arial" w:cs="Arial"/>
                <w:b/>
                <w:bCs/>
                <w:color w:val="000000"/>
                <w:spacing w:val="-3"/>
                <w:sz w:val="19"/>
                <w:szCs w:val="19"/>
                <w:lang w:val="hr-HR"/>
              </w:rPr>
            </w:pPr>
            <w:bookmarkStart w:id="571" w:name="_Toc67327206"/>
            <w:r w:rsidRPr="00D042BF">
              <w:rPr>
                <w:rFonts w:ascii="Arial" w:hAnsi="Arial" w:cs="Arial"/>
                <w:b/>
                <w:bCs/>
                <w:color w:val="000000"/>
                <w:sz w:val="19"/>
                <w:szCs w:val="19"/>
                <w:lang w:val="hr-HR"/>
              </w:rPr>
              <w:t>Financijske aktivnosti</w:t>
            </w:r>
            <w:bookmarkEnd w:id="571"/>
          </w:p>
        </w:tc>
        <w:tc>
          <w:tcPr>
            <w:tcW w:w="658" w:type="pct"/>
            <w:vAlign w:val="bottom"/>
          </w:tcPr>
          <w:p w14:paraId="3DB9C006"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b/>
                <w:bCs/>
                <w:color w:val="000000"/>
                <w:sz w:val="19"/>
                <w:szCs w:val="19"/>
                <w:lang w:val="hr-HR"/>
              </w:rPr>
            </w:pPr>
          </w:p>
        </w:tc>
        <w:tc>
          <w:tcPr>
            <w:tcW w:w="622" w:type="pct"/>
            <w:vAlign w:val="bottom"/>
          </w:tcPr>
          <w:p w14:paraId="1A086DD0"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b/>
                <w:bCs/>
                <w:color w:val="000000"/>
                <w:sz w:val="19"/>
                <w:szCs w:val="19"/>
                <w:lang w:val="hr-HR"/>
              </w:rPr>
            </w:pPr>
          </w:p>
        </w:tc>
      </w:tr>
      <w:tr w:rsidR="00F50591" w:rsidRPr="00D042BF" w14:paraId="4495833D" w14:textId="77777777" w:rsidTr="009620F6">
        <w:trPr>
          <w:trHeight w:hRule="exact" w:val="227"/>
        </w:trPr>
        <w:tc>
          <w:tcPr>
            <w:tcW w:w="3720" w:type="pct"/>
            <w:vAlign w:val="bottom"/>
          </w:tcPr>
          <w:p w14:paraId="7CE93E5D" w14:textId="095B6409" w:rsidR="00F50591" w:rsidRPr="00D042BF" w:rsidRDefault="00F50591" w:rsidP="00F50591">
            <w:pPr>
              <w:keepLines/>
              <w:tabs>
                <w:tab w:val="right" w:pos="1202"/>
              </w:tabs>
              <w:suppressAutoHyphens w:val="0"/>
              <w:autoSpaceDN/>
              <w:spacing w:line="220" w:lineRule="exact"/>
              <w:outlineLvl w:val="0"/>
              <w:rPr>
                <w:rFonts w:ascii="Arial" w:hAnsi="Arial" w:cs="Arial"/>
                <w:color w:val="000000"/>
                <w:spacing w:val="-3"/>
                <w:sz w:val="19"/>
                <w:szCs w:val="19"/>
                <w:lang w:val="hr-HR"/>
              </w:rPr>
            </w:pPr>
            <w:bookmarkStart w:id="572" w:name="_Toc67327207"/>
            <w:r w:rsidRPr="00D042BF">
              <w:rPr>
                <w:rFonts w:ascii="Arial" w:hAnsi="Arial" w:cs="Arial"/>
                <w:color w:val="000000"/>
                <w:spacing w:val="-3"/>
                <w:sz w:val="19"/>
                <w:szCs w:val="19"/>
                <w:lang w:val="hr-HR"/>
              </w:rPr>
              <w:t>Povećanje osnivačkog kapitala</w:t>
            </w:r>
            <w:bookmarkEnd w:id="572"/>
          </w:p>
        </w:tc>
        <w:tc>
          <w:tcPr>
            <w:tcW w:w="658" w:type="pct"/>
            <w:shd w:val="clear" w:color="auto" w:fill="auto"/>
            <w:vAlign w:val="bottom"/>
          </w:tcPr>
          <w:p w14:paraId="1B0A826E"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pacing w:val="-2"/>
                <w:sz w:val="19"/>
                <w:szCs w:val="19"/>
                <w:lang w:val="hr-HR"/>
              </w:rPr>
            </w:pPr>
            <w:r w:rsidRPr="00D042BF">
              <w:rPr>
                <w:rFonts w:ascii="Arial" w:hAnsi="Arial" w:cs="Arial"/>
                <w:color w:val="000000"/>
                <w:spacing w:val="-2"/>
                <w:sz w:val="19"/>
                <w:szCs w:val="19"/>
                <w:lang w:val="hr-HR"/>
              </w:rPr>
              <w:t xml:space="preserve"> 20.000 </w:t>
            </w:r>
          </w:p>
        </w:tc>
        <w:tc>
          <w:tcPr>
            <w:tcW w:w="622" w:type="pct"/>
            <w:shd w:val="clear" w:color="auto" w:fill="auto"/>
            <w:vAlign w:val="bottom"/>
          </w:tcPr>
          <w:p w14:paraId="7D3A672F"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z w:val="19"/>
                <w:szCs w:val="19"/>
                <w:lang w:val="hr-HR"/>
              </w:rPr>
            </w:pPr>
            <w:bookmarkStart w:id="573" w:name="_Toc67327208"/>
            <w:r w:rsidRPr="00D042BF">
              <w:rPr>
                <w:rFonts w:ascii="Arial" w:hAnsi="Arial" w:cs="Arial"/>
                <w:color w:val="000000"/>
                <w:spacing w:val="-2"/>
                <w:sz w:val="19"/>
                <w:szCs w:val="19"/>
                <w:lang w:val="hr-HR"/>
              </w:rPr>
              <w:t>50.000</w:t>
            </w:r>
            <w:bookmarkEnd w:id="573"/>
          </w:p>
        </w:tc>
      </w:tr>
      <w:tr w:rsidR="00F50591" w:rsidRPr="00D042BF" w14:paraId="5001FA80" w14:textId="77777777" w:rsidTr="009620F6">
        <w:trPr>
          <w:trHeight w:hRule="exact" w:val="227"/>
        </w:trPr>
        <w:tc>
          <w:tcPr>
            <w:tcW w:w="3720" w:type="pct"/>
            <w:vAlign w:val="bottom"/>
          </w:tcPr>
          <w:p w14:paraId="36D89D18" w14:textId="2F15B700" w:rsidR="00F50591" w:rsidRPr="00D042BF" w:rsidRDefault="00F50591" w:rsidP="00F50591">
            <w:pPr>
              <w:keepLines/>
              <w:tabs>
                <w:tab w:val="right" w:pos="1202"/>
              </w:tabs>
              <w:suppressAutoHyphens w:val="0"/>
              <w:autoSpaceDN/>
              <w:spacing w:line="220" w:lineRule="exact"/>
              <w:outlineLvl w:val="0"/>
              <w:rPr>
                <w:rFonts w:ascii="Arial" w:hAnsi="Arial" w:cs="Arial"/>
                <w:color w:val="000000"/>
                <w:spacing w:val="-3"/>
                <w:sz w:val="19"/>
                <w:szCs w:val="19"/>
                <w:lang w:val="hr-HR"/>
              </w:rPr>
            </w:pPr>
            <w:bookmarkStart w:id="574" w:name="_Toc67327210"/>
            <w:r w:rsidRPr="00D042BF">
              <w:rPr>
                <w:rFonts w:ascii="Arial" w:hAnsi="Arial" w:cs="Arial"/>
                <w:color w:val="000000"/>
                <w:spacing w:val="-3"/>
                <w:sz w:val="19"/>
                <w:szCs w:val="19"/>
                <w:lang w:val="hr-HR"/>
              </w:rPr>
              <w:t>Povećanje obveza po kreditima povlačenjem sredstava kredita</w:t>
            </w:r>
            <w:bookmarkEnd w:id="574"/>
          </w:p>
        </w:tc>
        <w:tc>
          <w:tcPr>
            <w:tcW w:w="658" w:type="pct"/>
            <w:shd w:val="clear" w:color="auto" w:fill="auto"/>
            <w:vAlign w:val="bottom"/>
          </w:tcPr>
          <w:p w14:paraId="2F0F64B5"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pacing w:val="-2"/>
                <w:sz w:val="19"/>
                <w:szCs w:val="19"/>
                <w:lang w:val="hr-HR"/>
              </w:rPr>
            </w:pPr>
            <w:r w:rsidRPr="00D042BF">
              <w:rPr>
                <w:rFonts w:ascii="Arial" w:hAnsi="Arial" w:cs="Arial"/>
                <w:color w:val="000000"/>
                <w:spacing w:val="-2"/>
                <w:sz w:val="19"/>
                <w:szCs w:val="19"/>
                <w:lang w:val="hr-HR"/>
              </w:rPr>
              <w:t xml:space="preserve"> 2.981.142 </w:t>
            </w:r>
          </w:p>
        </w:tc>
        <w:tc>
          <w:tcPr>
            <w:tcW w:w="622" w:type="pct"/>
            <w:shd w:val="clear" w:color="auto" w:fill="auto"/>
            <w:vAlign w:val="bottom"/>
          </w:tcPr>
          <w:p w14:paraId="7C973610"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z w:val="19"/>
                <w:szCs w:val="19"/>
                <w:lang w:val="hr-HR"/>
              </w:rPr>
            </w:pPr>
            <w:bookmarkStart w:id="575" w:name="_Toc67327211"/>
            <w:r w:rsidRPr="00D042BF">
              <w:rPr>
                <w:rFonts w:ascii="Arial" w:hAnsi="Arial" w:cs="Arial"/>
                <w:color w:val="000000"/>
                <w:spacing w:val="-2"/>
                <w:sz w:val="19"/>
                <w:szCs w:val="19"/>
                <w:lang w:val="hr-HR"/>
              </w:rPr>
              <w:t>1.668.482</w:t>
            </w:r>
            <w:bookmarkEnd w:id="575"/>
          </w:p>
        </w:tc>
      </w:tr>
      <w:tr w:rsidR="00F50591" w:rsidRPr="00D042BF" w14:paraId="5A5219D8" w14:textId="77777777" w:rsidTr="009620F6">
        <w:trPr>
          <w:trHeight w:hRule="exact" w:val="227"/>
        </w:trPr>
        <w:tc>
          <w:tcPr>
            <w:tcW w:w="3720" w:type="pct"/>
            <w:vAlign w:val="bottom"/>
          </w:tcPr>
          <w:p w14:paraId="76F3CF8C" w14:textId="11E46B78" w:rsidR="00F50591" w:rsidRPr="00D042BF" w:rsidRDefault="00F50591" w:rsidP="00F50591">
            <w:pPr>
              <w:keepLines/>
              <w:tabs>
                <w:tab w:val="right" w:pos="1202"/>
              </w:tabs>
              <w:suppressAutoHyphens w:val="0"/>
              <w:autoSpaceDN/>
              <w:spacing w:line="220" w:lineRule="exact"/>
              <w:outlineLvl w:val="0"/>
              <w:rPr>
                <w:rFonts w:ascii="Arial" w:hAnsi="Arial" w:cs="Arial"/>
                <w:color w:val="000000"/>
                <w:spacing w:val="-3"/>
                <w:sz w:val="19"/>
                <w:szCs w:val="19"/>
                <w:lang w:val="hr-HR"/>
              </w:rPr>
            </w:pPr>
            <w:bookmarkStart w:id="576" w:name="_Toc67327213"/>
            <w:r w:rsidRPr="00D042BF">
              <w:rPr>
                <w:rFonts w:ascii="Arial" w:hAnsi="Arial" w:cs="Arial"/>
                <w:color w:val="000000"/>
                <w:spacing w:val="-3"/>
                <w:sz w:val="19"/>
                <w:szCs w:val="19"/>
                <w:lang w:val="hr-HR"/>
              </w:rPr>
              <w:t>Smanjenje obveza po kreditima otplatom glavnice kredita</w:t>
            </w:r>
            <w:bookmarkEnd w:id="576"/>
          </w:p>
        </w:tc>
        <w:tc>
          <w:tcPr>
            <w:tcW w:w="658" w:type="pct"/>
            <w:shd w:val="clear" w:color="auto" w:fill="auto"/>
            <w:vAlign w:val="bottom"/>
          </w:tcPr>
          <w:p w14:paraId="026E1FE8"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pacing w:val="-2"/>
                <w:sz w:val="19"/>
                <w:szCs w:val="19"/>
                <w:lang w:val="hr-HR"/>
              </w:rPr>
            </w:pPr>
            <w:r w:rsidRPr="00D042BF">
              <w:rPr>
                <w:rFonts w:ascii="Arial" w:hAnsi="Arial" w:cs="Arial"/>
                <w:color w:val="000000"/>
                <w:spacing w:val="-2"/>
                <w:sz w:val="19"/>
                <w:szCs w:val="19"/>
                <w:lang w:val="hr-HR"/>
              </w:rPr>
              <w:t xml:space="preserve"> (2.631.688)</w:t>
            </w:r>
          </w:p>
        </w:tc>
        <w:tc>
          <w:tcPr>
            <w:tcW w:w="622" w:type="pct"/>
            <w:shd w:val="clear" w:color="auto" w:fill="auto"/>
            <w:vAlign w:val="bottom"/>
          </w:tcPr>
          <w:p w14:paraId="55CAA613"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z w:val="19"/>
                <w:szCs w:val="19"/>
                <w:lang w:val="hr-HR"/>
              </w:rPr>
            </w:pPr>
            <w:bookmarkStart w:id="577" w:name="_Toc67327214"/>
            <w:r w:rsidRPr="00D042BF">
              <w:rPr>
                <w:rFonts w:ascii="Arial" w:hAnsi="Arial" w:cs="Arial"/>
                <w:color w:val="000000"/>
                <w:spacing w:val="-2"/>
                <w:sz w:val="19"/>
                <w:szCs w:val="19"/>
                <w:lang w:val="hr-HR"/>
              </w:rPr>
              <w:t>(2.391.147)</w:t>
            </w:r>
            <w:bookmarkEnd w:id="577"/>
          </w:p>
        </w:tc>
      </w:tr>
      <w:tr w:rsidR="00F50591" w:rsidRPr="00D042BF" w14:paraId="43515EAE" w14:textId="77777777" w:rsidTr="009620F6">
        <w:trPr>
          <w:trHeight w:hRule="exact" w:val="227"/>
        </w:trPr>
        <w:tc>
          <w:tcPr>
            <w:tcW w:w="3720" w:type="pct"/>
            <w:vAlign w:val="bottom"/>
          </w:tcPr>
          <w:p w14:paraId="1AB65660" w14:textId="6F1E2904" w:rsidR="00F50591" w:rsidRPr="00D042BF" w:rsidRDefault="00F50591" w:rsidP="00F50591">
            <w:pPr>
              <w:keepLines/>
              <w:tabs>
                <w:tab w:val="right" w:pos="1202"/>
              </w:tabs>
              <w:suppressAutoHyphens w:val="0"/>
              <w:autoSpaceDN/>
              <w:spacing w:line="220" w:lineRule="exact"/>
              <w:outlineLvl w:val="0"/>
              <w:rPr>
                <w:rFonts w:ascii="Arial" w:hAnsi="Arial" w:cs="Arial"/>
                <w:color w:val="000000"/>
                <w:spacing w:val="-3"/>
                <w:sz w:val="19"/>
                <w:szCs w:val="19"/>
                <w:lang w:val="hr-HR"/>
              </w:rPr>
            </w:pPr>
            <w:bookmarkStart w:id="578" w:name="_Toc67327217"/>
            <w:r w:rsidRPr="00D042BF">
              <w:rPr>
                <w:rFonts w:ascii="Arial" w:hAnsi="Arial" w:cs="Arial"/>
                <w:color w:val="000000"/>
                <w:spacing w:val="-3"/>
                <w:sz w:val="19"/>
                <w:szCs w:val="19"/>
                <w:lang w:val="hr-HR"/>
              </w:rPr>
              <w:t>Ostalo</w:t>
            </w:r>
            <w:bookmarkEnd w:id="578"/>
          </w:p>
        </w:tc>
        <w:tc>
          <w:tcPr>
            <w:tcW w:w="658" w:type="pct"/>
            <w:tcBorders>
              <w:bottom w:val="single" w:sz="4" w:space="0" w:color="auto"/>
            </w:tcBorders>
            <w:vAlign w:val="bottom"/>
          </w:tcPr>
          <w:p w14:paraId="601C71B9" w14:textId="77777777" w:rsidR="00F50591" w:rsidRPr="00D042BF" w:rsidRDefault="00F50591" w:rsidP="00F50591">
            <w:pPr>
              <w:keepLines/>
              <w:suppressAutoHyphens w:val="0"/>
              <w:autoSpaceDN/>
              <w:jc w:val="right"/>
              <w:rPr>
                <w:rFonts w:ascii="Arial" w:hAnsi="Arial" w:cs="Arial"/>
                <w:color w:val="000000"/>
                <w:spacing w:val="-2"/>
                <w:sz w:val="19"/>
                <w:szCs w:val="19"/>
                <w:lang w:val="hr-HR"/>
              </w:rPr>
            </w:pPr>
            <w:r w:rsidRPr="00D042BF">
              <w:rPr>
                <w:rFonts w:ascii="Arial" w:hAnsi="Arial" w:cs="Arial"/>
                <w:color w:val="000000"/>
                <w:spacing w:val="-2"/>
                <w:sz w:val="19"/>
                <w:szCs w:val="19"/>
                <w:lang w:val="hr-HR"/>
              </w:rPr>
              <w:t>62.758</w:t>
            </w:r>
          </w:p>
        </w:tc>
        <w:tc>
          <w:tcPr>
            <w:tcW w:w="622" w:type="pct"/>
            <w:tcBorders>
              <w:bottom w:val="single" w:sz="4" w:space="0" w:color="auto"/>
            </w:tcBorders>
            <w:vAlign w:val="bottom"/>
          </w:tcPr>
          <w:p w14:paraId="3E439FAC" w14:textId="77777777" w:rsidR="00F50591" w:rsidRPr="00D042BF" w:rsidRDefault="00F50591" w:rsidP="00F50591">
            <w:pPr>
              <w:keepLines/>
              <w:suppressAutoHyphens w:val="0"/>
              <w:autoSpaceDN/>
              <w:jc w:val="right"/>
              <w:rPr>
                <w:rFonts w:ascii="Arial" w:hAnsi="Arial" w:cs="Arial"/>
                <w:color w:val="000000"/>
                <w:spacing w:val="-2"/>
                <w:sz w:val="19"/>
                <w:szCs w:val="19"/>
                <w:lang w:val="hr-HR"/>
              </w:rPr>
            </w:pPr>
            <w:r w:rsidRPr="00D042BF">
              <w:rPr>
                <w:rFonts w:ascii="Arial" w:hAnsi="Arial" w:cs="Arial"/>
                <w:color w:val="000000"/>
                <w:spacing w:val="-2"/>
                <w:sz w:val="19"/>
                <w:szCs w:val="19"/>
                <w:lang w:val="hr-HR"/>
              </w:rPr>
              <w:t>4.712</w:t>
            </w:r>
          </w:p>
        </w:tc>
      </w:tr>
      <w:tr w:rsidR="00F50591" w:rsidRPr="00D042BF" w14:paraId="15A8A196" w14:textId="77777777" w:rsidTr="009620F6">
        <w:tc>
          <w:tcPr>
            <w:tcW w:w="3720" w:type="pct"/>
            <w:vAlign w:val="bottom"/>
          </w:tcPr>
          <w:p w14:paraId="23AA00D8" w14:textId="49251785" w:rsidR="00F50591" w:rsidRPr="00D042BF" w:rsidRDefault="00F50591" w:rsidP="00F50591">
            <w:pPr>
              <w:keepLines/>
              <w:tabs>
                <w:tab w:val="right" w:pos="1202"/>
              </w:tabs>
              <w:suppressAutoHyphens w:val="0"/>
              <w:autoSpaceDN/>
              <w:spacing w:line="220" w:lineRule="exact"/>
              <w:outlineLvl w:val="0"/>
              <w:rPr>
                <w:rFonts w:ascii="Arial" w:hAnsi="Arial" w:cs="Arial"/>
                <w:b/>
                <w:bCs/>
                <w:color w:val="000000"/>
                <w:spacing w:val="-3"/>
                <w:sz w:val="19"/>
                <w:szCs w:val="19"/>
                <w:lang w:val="hr-HR"/>
              </w:rPr>
            </w:pPr>
            <w:bookmarkStart w:id="579" w:name="_Toc67327218"/>
            <w:r w:rsidRPr="00D042BF">
              <w:rPr>
                <w:rFonts w:ascii="Arial" w:hAnsi="Arial" w:cs="Arial"/>
                <w:b/>
                <w:bCs/>
                <w:color w:val="000000"/>
                <w:sz w:val="19"/>
                <w:szCs w:val="19"/>
                <w:lang w:val="hr-HR"/>
              </w:rPr>
              <w:t>Neto novčana sredstva ostvarena/(uporabljena) u financijskim aktivnostima</w:t>
            </w:r>
            <w:bookmarkEnd w:id="579"/>
            <w:r w:rsidRPr="00D042BF">
              <w:rPr>
                <w:rFonts w:ascii="Arial" w:hAnsi="Arial" w:cs="Arial"/>
                <w:b/>
                <w:bCs/>
                <w:color w:val="000000"/>
                <w:sz w:val="19"/>
                <w:szCs w:val="19"/>
                <w:lang w:val="hr-HR"/>
              </w:rPr>
              <w:t xml:space="preserve"> </w:t>
            </w:r>
          </w:p>
        </w:tc>
        <w:tc>
          <w:tcPr>
            <w:tcW w:w="658" w:type="pct"/>
            <w:tcBorders>
              <w:top w:val="single" w:sz="4" w:space="0" w:color="auto"/>
              <w:bottom w:val="single" w:sz="12" w:space="0" w:color="auto"/>
            </w:tcBorders>
            <w:vAlign w:val="bottom"/>
          </w:tcPr>
          <w:p w14:paraId="4BEF2AD2" w14:textId="77777777" w:rsidR="00F50591" w:rsidRPr="00D042BF" w:rsidRDefault="00F50591" w:rsidP="00F50591">
            <w:pPr>
              <w:suppressAutoHyphens w:val="0"/>
              <w:autoSpaceDN/>
              <w:spacing w:line="220" w:lineRule="exact"/>
              <w:jc w:val="right"/>
              <w:rPr>
                <w:rFonts w:ascii="Arial" w:hAnsi="Arial" w:cs="Arial"/>
                <w:b/>
                <w:bCs/>
                <w:color w:val="000000"/>
                <w:sz w:val="19"/>
                <w:szCs w:val="19"/>
                <w:lang w:val="hr-HR"/>
              </w:rPr>
            </w:pPr>
            <w:r w:rsidRPr="00D042BF">
              <w:rPr>
                <w:rFonts w:ascii="Arial" w:hAnsi="Arial" w:cs="Arial"/>
                <w:b/>
                <w:bCs/>
                <w:color w:val="000000"/>
                <w:sz w:val="19"/>
                <w:szCs w:val="19"/>
                <w:lang w:val="hr-HR"/>
              </w:rPr>
              <w:t>432.212</w:t>
            </w:r>
          </w:p>
        </w:tc>
        <w:tc>
          <w:tcPr>
            <w:tcW w:w="622" w:type="pct"/>
            <w:tcBorders>
              <w:top w:val="single" w:sz="4" w:space="0" w:color="auto"/>
              <w:bottom w:val="single" w:sz="12" w:space="0" w:color="auto"/>
            </w:tcBorders>
            <w:vAlign w:val="bottom"/>
          </w:tcPr>
          <w:p w14:paraId="314A97A7" w14:textId="77777777" w:rsidR="00F50591" w:rsidRPr="00D042BF" w:rsidRDefault="00F50591" w:rsidP="00F50591">
            <w:pPr>
              <w:suppressAutoHyphens w:val="0"/>
              <w:autoSpaceDN/>
              <w:spacing w:line="220" w:lineRule="exact"/>
              <w:jc w:val="right"/>
              <w:rPr>
                <w:rFonts w:ascii="Arial" w:hAnsi="Arial" w:cs="Arial"/>
                <w:b/>
                <w:bCs/>
                <w:color w:val="000000"/>
                <w:sz w:val="19"/>
                <w:szCs w:val="19"/>
                <w:lang w:val="hr-HR"/>
              </w:rPr>
            </w:pPr>
            <w:r w:rsidRPr="00D042BF">
              <w:rPr>
                <w:rFonts w:ascii="Arial" w:hAnsi="Arial" w:cs="Arial"/>
                <w:b/>
                <w:bCs/>
                <w:color w:val="000000"/>
                <w:sz w:val="19"/>
                <w:szCs w:val="19"/>
                <w:lang w:val="hr-HR"/>
              </w:rPr>
              <w:t>(667.953)</w:t>
            </w:r>
          </w:p>
        </w:tc>
      </w:tr>
      <w:tr w:rsidR="00F50591" w:rsidRPr="00D042BF" w14:paraId="1E63A7A0" w14:textId="77777777" w:rsidTr="009620F6">
        <w:trPr>
          <w:trHeight w:hRule="exact" w:val="113"/>
        </w:trPr>
        <w:tc>
          <w:tcPr>
            <w:tcW w:w="3720" w:type="pct"/>
            <w:vAlign w:val="bottom"/>
          </w:tcPr>
          <w:p w14:paraId="014BA8A6" w14:textId="77777777" w:rsidR="00F50591" w:rsidRPr="00D042BF" w:rsidRDefault="00F50591" w:rsidP="00F50591">
            <w:pPr>
              <w:keepLines/>
              <w:tabs>
                <w:tab w:val="right" w:pos="1202"/>
              </w:tabs>
              <w:suppressAutoHyphens w:val="0"/>
              <w:autoSpaceDN/>
              <w:spacing w:line="220" w:lineRule="exact"/>
              <w:outlineLvl w:val="0"/>
              <w:rPr>
                <w:rFonts w:ascii="Arial" w:hAnsi="Arial" w:cs="Arial"/>
                <w:b/>
                <w:bCs/>
                <w:color w:val="000000"/>
                <w:sz w:val="19"/>
                <w:szCs w:val="19"/>
                <w:lang w:val="hr-HR"/>
              </w:rPr>
            </w:pPr>
          </w:p>
        </w:tc>
        <w:tc>
          <w:tcPr>
            <w:tcW w:w="658" w:type="pct"/>
            <w:tcBorders>
              <w:top w:val="single" w:sz="12" w:space="0" w:color="auto"/>
            </w:tcBorders>
            <w:vAlign w:val="bottom"/>
          </w:tcPr>
          <w:p w14:paraId="4E91A1C6" w14:textId="77777777" w:rsidR="00F50591" w:rsidRPr="00D042BF" w:rsidRDefault="00F50591" w:rsidP="00F50591">
            <w:pPr>
              <w:suppressAutoHyphens w:val="0"/>
              <w:autoSpaceDN/>
              <w:spacing w:line="220" w:lineRule="exact"/>
              <w:jc w:val="right"/>
              <w:rPr>
                <w:rFonts w:ascii="Arial" w:hAnsi="Arial" w:cs="Arial"/>
                <w:b/>
                <w:bCs/>
                <w:color w:val="000000"/>
                <w:sz w:val="19"/>
                <w:szCs w:val="19"/>
                <w:lang w:val="hr-HR"/>
              </w:rPr>
            </w:pPr>
          </w:p>
        </w:tc>
        <w:tc>
          <w:tcPr>
            <w:tcW w:w="622" w:type="pct"/>
            <w:tcBorders>
              <w:top w:val="single" w:sz="12" w:space="0" w:color="auto"/>
            </w:tcBorders>
            <w:vAlign w:val="bottom"/>
          </w:tcPr>
          <w:p w14:paraId="43F80EFC" w14:textId="77777777" w:rsidR="00F50591" w:rsidRPr="00D042BF" w:rsidRDefault="00F50591" w:rsidP="00F50591">
            <w:pPr>
              <w:suppressAutoHyphens w:val="0"/>
              <w:autoSpaceDN/>
              <w:spacing w:line="220" w:lineRule="exact"/>
              <w:jc w:val="right"/>
              <w:rPr>
                <w:rFonts w:ascii="Arial" w:hAnsi="Arial" w:cs="Arial"/>
                <w:b/>
                <w:bCs/>
                <w:color w:val="000000"/>
                <w:sz w:val="19"/>
                <w:szCs w:val="19"/>
                <w:lang w:val="hr-HR"/>
              </w:rPr>
            </w:pPr>
          </w:p>
        </w:tc>
      </w:tr>
      <w:tr w:rsidR="00F50591" w:rsidRPr="00D042BF" w14:paraId="622282AA" w14:textId="77777777" w:rsidTr="009620F6">
        <w:tc>
          <w:tcPr>
            <w:tcW w:w="3720" w:type="pct"/>
            <w:vAlign w:val="bottom"/>
          </w:tcPr>
          <w:p w14:paraId="702262F0" w14:textId="5D49CBC9" w:rsidR="00F50591" w:rsidRPr="00D042BF" w:rsidRDefault="00F50591" w:rsidP="00F50591">
            <w:pPr>
              <w:keepLines/>
              <w:tabs>
                <w:tab w:val="right" w:pos="1202"/>
              </w:tabs>
              <w:suppressAutoHyphens w:val="0"/>
              <w:autoSpaceDN/>
              <w:spacing w:line="220" w:lineRule="exact"/>
              <w:outlineLvl w:val="0"/>
              <w:rPr>
                <w:rFonts w:ascii="Arial" w:hAnsi="Arial" w:cs="Arial"/>
                <w:b/>
                <w:bCs/>
                <w:color w:val="000000"/>
                <w:sz w:val="19"/>
                <w:szCs w:val="19"/>
                <w:lang w:val="hr-HR"/>
              </w:rPr>
            </w:pPr>
            <w:bookmarkStart w:id="580" w:name="_Toc67327219"/>
            <w:r w:rsidRPr="00D042BF">
              <w:rPr>
                <w:rFonts w:ascii="Arial" w:hAnsi="Arial" w:cs="Arial"/>
                <w:b/>
                <w:bCs/>
                <w:color w:val="000000"/>
                <w:sz w:val="19"/>
                <w:szCs w:val="19"/>
                <w:lang w:val="hr-HR"/>
              </w:rPr>
              <w:t>Učinci promjene tečajeva na novac i novčane ekvivalente</w:t>
            </w:r>
            <w:bookmarkEnd w:id="580"/>
          </w:p>
        </w:tc>
        <w:tc>
          <w:tcPr>
            <w:tcW w:w="658" w:type="pct"/>
            <w:vAlign w:val="bottom"/>
          </w:tcPr>
          <w:p w14:paraId="723A8BC4" w14:textId="77777777" w:rsidR="00F50591" w:rsidRPr="00D042BF" w:rsidRDefault="00F50591" w:rsidP="00F50591">
            <w:pPr>
              <w:suppressAutoHyphens w:val="0"/>
              <w:autoSpaceDN/>
              <w:spacing w:line="220" w:lineRule="exact"/>
              <w:jc w:val="right"/>
              <w:rPr>
                <w:rFonts w:ascii="Arial" w:hAnsi="Arial" w:cs="Arial"/>
                <w:b/>
                <w:bCs/>
                <w:color w:val="000000"/>
                <w:sz w:val="19"/>
                <w:szCs w:val="19"/>
                <w:lang w:val="hr-HR"/>
              </w:rPr>
            </w:pPr>
          </w:p>
        </w:tc>
        <w:tc>
          <w:tcPr>
            <w:tcW w:w="622" w:type="pct"/>
            <w:vAlign w:val="bottom"/>
          </w:tcPr>
          <w:p w14:paraId="4B10E4B3" w14:textId="77777777" w:rsidR="00F50591" w:rsidRPr="00D042BF" w:rsidRDefault="00F50591" w:rsidP="00F50591">
            <w:pPr>
              <w:suppressAutoHyphens w:val="0"/>
              <w:autoSpaceDN/>
              <w:spacing w:line="220" w:lineRule="exact"/>
              <w:jc w:val="right"/>
              <w:rPr>
                <w:rFonts w:ascii="Arial" w:hAnsi="Arial" w:cs="Arial"/>
                <w:b/>
                <w:bCs/>
                <w:color w:val="000000"/>
                <w:sz w:val="19"/>
                <w:szCs w:val="19"/>
                <w:lang w:val="hr-HR"/>
              </w:rPr>
            </w:pPr>
          </w:p>
        </w:tc>
      </w:tr>
      <w:tr w:rsidR="00F50591" w:rsidRPr="00D042BF" w14:paraId="1A2D06CC" w14:textId="77777777" w:rsidTr="009620F6">
        <w:tc>
          <w:tcPr>
            <w:tcW w:w="3720" w:type="pct"/>
            <w:vAlign w:val="bottom"/>
          </w:tcPr>
          <w:p w14:paraId="60FB9337" w14:textId="0E3FC189" w:rsidR="00F50591" w:rsidRPr="00D042BF" w:rsidRDefault="00F50591" w:rsidP="00F50591">
            <w:pPr>
              <w:keepLines/>
              <w:tabs>
                <w:tab w:val="right" w:pos="1202"/>
              </w:tabs>
              <w:suppressAutoHyphens w:val="0"/>
              <w:autoSpaceDN/>
              <w:spacing w:line="220" w:lineRule="exact"/>
              <w:outlineLvl w:val="0"/>
              <w:rPr>
                <w:rFonts w:ascii="Arial" w:hAnsi="Arial" w:cs="Arial"/>
                <w:bCs/>
                <w:color w:val="000000"/>
                <w:sz w:val="19"/>
                <w:szCs w:val="19"/>
                <w:lang w:val="hr-HR"/>
              </w:rPr>
            </w:pPr>
            <w:bookmarkStart w:id="581" w:name="_Toc67327220"/>
            <w:r w:rsidRPr="00D042BF">
              <w:rPr>
                <w:rFonts w:ascii="Arial" w:hAnsi="Arial" w:cs="Arial"/>
                <w:bCs/>
                <w:color w:val="000000"/>
                <w:sz w:val="19"/>
                <w:szCs w:val="19"/>
                <w:lang w:val="hr-HR"/>
              </w:rPr>
              <w:t>Neto tečajne razlike</w:t>
            </w:r>
            <w:bookmarkEnd w:id="581"/>
          </w:p>
        </w:tc>
        <w:tc>
          <w:tcPr>
            <w:tcW w:w="658" w:type="pct"/>
            <w:vAlign w:val="bottom"/>
          </w:tcPr>
          <w:p w14:paraId="2E4B8E8E" w14:textId="77777777" w:rsidR="00F50591" w:rsidRPr="00D042BF" w:rsidRDefault="00F50591" w:rsidP="00F50591">
            <w:pPr>
              <w:suppressAutoHyphens w:val="0"/>
              <w:autoSpaceDN/>
              <w:spacing w:line="220" w:lineRule="exact"/>
              <w:jc w:val="right"/>
              <w:rPr>
                <w:rFonts w:ascii="Arial" w:hAnsi="Arial" w:cs="Arial"/>
                <w:bCs/>
                <w:color w:val="000000"/>
                <w:sz w:val="19"/>
                <w:szCs w:val="19"/>
                <w:lang w:val="hr-HR"/>
              </w:rPr>
            </w:pPr>
            <w:r w:rsidRPr="00D042BF">
              <w:rPr>
                <w:rFonts w:ascii="Arial" w:hAnsi="Arial" w:cs="Arial"/>
                <w:bCs/>
                <w:color w:val="000000"/>
                <w:sz w:val="19"/>
                <w:szCs w:val="19"/>
                <w:lang w:val="hr-HR"/>
              </w:rPr>
              <w:t>53.893</w:t>
            </w:r>
          </w:p>
        </w:tc>
        <w:tc>
          <w:tcPr>
            <w:tcW w:w="622" w:type="pct"/>
            <w:vAlign w:val="bottom"/>
          </w:tcPr>
          <w:p w14:paraId="23A8B4CE" w14:textId="77777777" w:rsidR="00F50591" w:rsidRPr="00D042BF" w:rsidRDefault="00F50591" w:rsidP="00F50591">
            <w:pPr>
              <w:suppressAutoHyphens w:val="0"/>
              <w:autoSpaceDN/>
              <w:spacing w:line="220" w:lineRule="exact"/>
              <w:jc w:val="right"/>
              <w:rPr>
                <w:rFonts w:ascii="Arial" w:hAnsi="Arial" w:cs="Arial"/>
                <w:bCs/>
                <w:color w:val="000000"/>
                <w:sz w:val="19"/>
                <w:szCs w:val="19"/>
                <w:lang w:val="hr-HR"/>
              </w:rPr>
            </w:pPr>
            <w:r w:rsidRPr="00D042BF">
              <w:rPr>
                <w:rFonts w:ascii="Arial" w:hAnsi="Arial" w:cs="Arial"/>
                <w:bCs/>
                <w:color w:val="000000"/>
                <w:sz w:val="19"/>
                <w:szCs w:val="19"/>
                <w:lang w:val="hr-HR"/>
              </w:rPr>
              <w:t>(21.666)</w:t>
            </w:r>
          </w:p>
        </w:tc>
      </w:tr>
      <w:tr w:rsidR="00F50591" w:rsidRPr="00D042BF" w14:paraId="3A5CAB31" w14:textId="77777777" w:rsidTr="009620F6">
        <w:trPr>
          <w:trHeight w:val="247"/>
        </w:trPr>
        <w:tc>
          <w:tcPr>
            <w:tcW w:w="3720" w:type="pct"/>
            <w:vAlign w:val="bottom"/>
          </w:tcPr>
          <w:p w14:paraId="4C6A9048" w14:textId="730882C4" w:rsidR="00F50591" w:rsidRPr="00D042BF" w:rsidRDefault="00F50591" w:rsidP="00F50591">
            <w:pPr>
              <w:keepLines/>
              <w:tabs>
                <w:tab w:val="right" w:pos="1202"/>
              </w:tabs>
              <w:suppressAutoHyphens w:val="0"/>
              <w:autoSpaceDN/>
              <w:spacing w:line="220" w:lineRule="exact"/>
              <w:outlineLvl w:val="0"/>
              <w:rPr>
                <w:rFonts w:ascii="Arial" w:hAnsi="Arial" w:cs="Arial"/>
                <w:b/>
                <w:color w:val="000000"/>
                <w:spacing w:val="-3"/>
                <w:sz w:val="19"/>
                <w:szCs w:val="19"/>
                <w:lang w:val="hr-HR"/>
              </w:rPr>
            </w:pPr>
            <w:bookmarkStart w:id="582" w:name="_Toc67327221"/>
            <w:r w:rsidRPr="00D042BF">
              <w:rPr>
                <w:rFonts w:ascii="Arial" w:hAnsi="Arial" w:cs="Arial"/>
                <w:b/>
                <w:color w:val="000000"/>
                <w:spacing w:val="-3"/>
                <w:sz w:val="19"/>
                <w:szCs w:val="19"/>
                <w:lang w:val="hr-HR"/>
              </w:rPr>
              <w:t>Neto učinak</w:t>
            </w:r>
            <w:bookmarkEnd w:id="582"/>
          </w:p>
        </w:tc>
        <w:tc>
          <w:tcPr>
            <w:tcW w:w="658" w:type="pct"/>
            <w:vAlign w:val="bottom"/>
          </w:tcPr>
          <w:p w14:paraId="2F2E01A2"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b/>
                <w:color w:val="000000"/>
                <w:spacing w:val="-3"/>
                <w:sz w:val="19"/>
                <w:szCs w:val="19"/>
                <w:lang w:val="hr-HR"/>
              </w:rPr>
            </w:pPr>
            <w:r w:rsidRPr="00D042BF">
              <w:rPr>
                <w:rFonts w:ascii="Arial" w:hAnsi="Arial" w:cs="Arial"/>
                <w:b/>
                <w:color w:val="000000"/>
                <w:spacing w:val="-3"/>
                <w:sz w:val="19"/>
                <w:szCs w:val="19"/>
                <w:lang w:val="hr-HR"/>
              </w:rPr>
              <w:t>53.893</w:t>
            </w:r>
          </w:p>
        </w:tc>
        <w:tc>
          <w:tcPr>
            <w:tcW w:w="622" w:type="pct"/>
            <w:vAlign w:val="bottom"/>
          </w:tcPr>
          <w:p w14:paraId="130177C6"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b/>
                <w:bCs/>
                <w:color w:val="000000"/>
                <w:sz w:val="19"/>
                <w:szCs w:val="19"/>
                <w:lang w:val="hr-HR"/>
              </w:rPr>
            </w:pPr>
            <w:bookmarkStart w:id="583" w:name="_Toc67327222"/>
            <w:r w:rsidRPr="00D042BF">
              <w:rPr>
                <w:rFonts w:ascii="Arial" w:hAnsi="Arial" w:cs="Arial"/>
                <w:b/>
                <w:color w:val="000000"/>
                <w:spacing w:val="-3"/>
                <w:sz w:val="19"/>
                <w:szCs w:val="19"/>
                <w:lang w:val="hr-HR"/>
              </w:rPr>
              <w:t>(21.666)</w:t>
            </w:r>
            <w:bookmarkEnd w:id="583"/>
          </w:p>
        </w:tc>
      </w:tr>
      <w:tr w:rsidR="00F50591" w:rsidRPr="00D042BF" w14:paraId="15CAA843" w14:textId="77777777" w:rsidTr="009620F6">
        <w:trPr>
          <w:trHeight w:hRule="exact" w:val="113"/>
        </w:trPr>
        <w:tc>
          <w:tcPr>
            <w:tcW w:w="3720" w:type="pct"/>
            <w:vAlign w:val="bottom"/>
          </w:tcPr>
          <w:p w14:paraId="10203C7D" w14:textId="77777777" w:rsidR="00F50591" w:rsidRPr="00D042BF" w:rsidRDefault="00F50591" w:rsidP="00F50591">
            <w:pPr>
              <w:keepLines/>
              <w:tabs>
                <w:tab w:val="right" w:pos="1202"/>
              </w:tabs>
              <w:suppressAutoHyphens w:val="0"/>
              <w:autoSpaceDN/>
              <w:spacing w:line="220" w:lineRule="exact"/>
              <w:outlineLvl w:val="0"/>
              <w:rPr>
                <w:rFonts w:ascii="Arial" w:hAnsi="Arial" w:cs="Arial"/>
                <w:color w:val="000000"/>
                <w:sz w:val="19"/>
                <w:szCs w:val="19"/>
                <w:lang w:val="hr-HR"/>
              </w:rPr>
            </w:pPr>
          </w:p>
        </w:tc>
        <w:tc>
          <w:tcPr>
            <w:tcW w:w="658" w:type="pct"/>
            <w:tcBorders>
              <w:bottom w:val="single" w:sz="4" w:space="0" w:color="auto"/>
            </w:tcBorders>
            <w:vAlign w:val="bottom"/>
          </w:tcPr>
          <w:p w14:paraId="3FBD380A" w14:textId="77777777" w:rsidR="00F50591" w:rsidRPr="00D042BF" w:rsidRDefault="00F50591" w:rsidP="00F50591">
            <w:pPr>
              <w:keepLines/>
              <w:suppressAutoHyphens w:val="0"/>
              <w:autoSpaceDN/>
              <w:jc w:val="right"/>
              <w:rPr>
                <w:rFonts w:ascii="Arial" w:hAnsi="Arial" w:cs="Arial"/>
                <w:color w:val="000000"/>
                <w:spacing w:val="-2"/>
                <w:sz w:val="19"/>
                <w:szCs w:val="19"/>
                <w:lang w:val="hr-HR"/>
              </w:rPr>
            </w:pPr>
          </w:p>
        </w:tc>
        <w:tc>
          <w:tcPr>
            <w:tcW w:w="622" w:type="pct"/>
            <w:tcBorders>
              <w:bottom w:val="single" w:sz="4" w:space="0" w:color="auto"/>
            </w:tcBorders>
            <w:vAlign w:val="bottom"/>
          </w:tcPr>
          <w:p w14:paraId="591BAD0D" w14:textId="77777777" w:rsidR="00F50591" w:rsidRPr="00D042BF" w:rsidRDefault="00F50591" w:rsidP="00F50591">
            <w:pPr>
              <w:keepLines/>
              <w:suppressAutoHyphens w:val="0"/>
              <w:autoSpaceDN/>
              <w:jc w:val="right"/>
              <w:rPr>
                <w:rFonts w:ascii="Arial" w:hAnsi="Arial" w:cs="Arial"/>
                <w:color w:val="000000"/>
                <w:spacing w:val="-2"/>
                <w:sz w:val="19"/>
                <w:szCs w:val="19"/>
                <w:lang w:val="hr-HR"/>
              </w:rPr>
            </w:pPr>
          </w:p>
        </w:tc>
      </w:tr>
      <w:tr w:rsidR="00F50591" w:rsidRPr="00D042BF" w14:paraId="5C00B28B" w14:textId="77777777" w:rsidTr="009620F6">
        <w:trPr>
          <w:trHeight w:val="122"/>
        </w:trPr>
        <w:tc>
          <w:tcPr>
            <w:tcW w:w="3720" w:type="pct"/>
            <w:vAlign w:val="bottom"/>
          </w:tcPr>
          <w:p w14:paraId="1AA5D255" w14:textId="51F2F302" w:rsidR="00F50591" w:rsidRPr="00D042BF" w:rsidRDefault="00F50591" w:rsidP="00F50591">
            <w:pPr>
              <w:keepLines/>
              <w:tabs>
                <w:tab w:val="right" w:pos="1202"/>
              </w:tabs>
              <w:suppressAutoHyphens w:val="0"/>
              <w:autoSpaceDN/>
              <w:spacing w:line="220" w:lineRule="exact"/>
              <w:outlineLvl w:val="0"/>
              <w:rPr>
                <w:rFonts w:ascii="Arial" w:hAnsi="Arial" w:cs="Arial"/>
                <w:color w:val="000000"/>
                <w:sz w:val="19"/>
                <w:szCs w:val="19"/>
                <w:lang w:val="hr-HR"/>
              </w:rPr>
            </w:pPr>
            <w:bookmarkStart w:id="584" w:name="_Toc67327224"/>
            <w:r w:rsidRPr="00D042BF">
              <w:rPr>
                <w:rFonts w:ascii="Arial" w:hAnsi="Arial" w:cs="Arial"/>
                <w:color w:val="000000"/>
                <w:sz w:val="19"/>
                <w:szCs w:val="19"/>
                <w:lang w:val="hr-HR"/>
              </w:rPr>
              <w:t>Neto (smanjenje)/povećanje novca i novčanih ekvivalenata</w:t>
            </w:r>
            <w:bookmarkEnd w:id="584"/>
          </w:p>
        </w:tc>
        <w:tc>
          <w:tcPr>
            <w:tcW w:w="658" w:type="pct"/>
            <w:tcBorders>
              <w:top w:val="single" w:sz="4" w:space="0" w:color="auto"/>
              <w:bottom w:val="single" w:sz="12" w:space="0" w:color="auto"/>
            </w:tcBorders>
            <w:vAlign w:val="bottom"/>
          </w:tcPr>
          <w:p w14:paraId="6682BF00" w14:textId="77777777" w:rsidR="00F50591" w:rsidRPr="00D042BF" w:rsidRDefault="00F50591" w:rsidP="00F50591">
            <w:pPr>
              <w:keepLines/>
              <w:suppressAutoHyphens w:val="0"/>
              <w:autoSpaceDN/>
              <w:jc w:val="right"/>
              <w:rPr>
                <w:rFonts w:ascii="Arial" w:hAnsi="Arial" w:cs="Arial"/>
                <w:color w:val="000000"/>
                <w:spacing w:val="-2"/>
                <w:sz w:val="19"/>
                <w:szCs w:val="19"/>
                <w:lang w:val="hr-HR"/>
              </w:rPr>
            </w:pPr>
            <w:r w:rsidRPr="00D042BF">
              <w:rPr>
                <w:rFonts w:ascii="Arial" w:hAnsi="Arial" w:cs="Arial"/>
                <w:color w:val="000000"/>
                <w:spacing w:val="-2"/>
                <w:sz w:val="19"/>
                <w:szCs w:val="19"/>
                <w:lang w:val="hr-HR"/>
              </w:rPr>
              <w:t>(237.846)</w:t>
            </w:r>
          </w:p>
        </w:tc>
        <w:tc>
          <w:tcPr>
            <w:tcW w:w="622" w:type="pct"/>
            <w:tcBorders>
              <w:top w:val="single" w:sz="4" w:space="0" w:color="auto"/>
              <w:bottom w:val="single" w:sz="12" w:space="0" w:color="auto"/>
            </w:tcBorders>
            <w:vAlign w:val="bottom"/>
          </w:tcPr>
          <w:p w14:paraId="40E63EB6" w14:textId="77777777" w:rsidR="00F50591" w:rsidRPr="00D042BF" w:rsidRDefault="00F50591" w:rsidP="00F50591">
            <w:pPr>
              <w:keepLines/>
              <w:suppressAutoHyphens w:val="0"/>
              <w:autoSpaceDN/>
              <w:jc w:val="right"/>
              <w:rPr>
                <w:rFonts w:ascii="Arial" w:hAnsi="Arial" w:cs="Arial"/>
                <w:color w:val="000000"/>
                <w:spacing w:val="-2"/>
                <w:sz w:val="19"/>
                <w:szCs w:val="19"/>
                <w:lang w:val="hr-HR"/>
              </w:rPr>
            </w:pPr>
            <w:r w:rsidRPr="00D042BF">
              <w:rPr>
                <w:rFonts w:ascii="Arial" w:hAnsi="Arial" w:cs="Arial"/>
                <w:color w:val="000000"/>
                <w:spacing w:val="-2"/>
                <w:sz w:val="19"/>
                <w:szCs w:val="19"/>
                <w:lang w:val="hr-HR"/>
              </w:rPr>
              <w:t>305.619</w:t>
            </w:r>
          </w:p>
        </w:tc>
      </w:tr>
      <w:tr w:rsidR="00F50591" w:rsidRPr="00D042BF" w14:paraId="0A4EB4B6" w14:textId="77777777" w:rsidTr="009620F6">
        <w:trPr>
          <w:trHeight w:hRule="exact" w:val="113"/>
        </w:trPr>
        <w:tc>
          <w:tcPr>
            <w:tcW w:w="3720" w:type="pct"/>
            <w:vAlign w:val="bottom"/>
          </w:tcPr>
          <w:p w14:paraId="21CE63F3" w14:textId="77777777" w:rsidR="00F50591" w:rsidRPr="00D042BF" w:rsidRDefault="00F50591" w:rsidP="00F50591">
            <w:pPr>
              <w:keepLines/>
              <w:tabs>
                <w:tab w:val="right" w:pos="1202"/>
              </w:tabs>
              <w:suppressAutoHyphens w:val="0"/>
              <w:autoSpaceDN/>
              <w:spacing w:line="140" w:lineRule="exact"/>
              <w:outlineLvl w:val="0"/>
              <w:rPr>
                <w:rFonts w:ascii="Arial" w:hAnsi="Arial" w:cs="Arial"/>
                <w:color w:val="000000"/>
                <w:sz w:val="19"/>
                <w:szCs w:val="19"/>
                <w:lang w:val="hr-HR"/>
              </w:rPr>
            </w:pPr>
          </w:p>
        </w:tc>
        <w:tc>
          <w:tcPr>
            <w:tcW w:w="658" w:type="pct"/>
            <w:tcBorders>
              <w:top w:val="single" w:sz="12" w:space="0" w:color="auto"/>
            </w:tcBorders>
            <w:vAlign w:val="bottom"/>
          </w:tcPr>
          <w:p w14:paraId="05DD38DF" w14:textId="77777777" w:rsidR="00F50591" w:rsidRPr="00D042BF" w:rsidRDefault="00F50591" w:rsidP="00F50591">
            <w:pPr>
              <w:keepLines/>
              <w:suppressAutoHyphens w:val="0"/>
              <w:autoSpaceDN/>
              <w:spacing w:line="140" w:lineRule="exact"/>
              <w:jc w:val="center"/>
              <w:rPr>
                <w:rFonts w:ascii="Arial" w:hAnsi="Arial" w:cs="Arial"/>
                <w:color w:val="000000"/>
                <w:spacing w:val="-2"/>
                <w:sz w:val="19"/>
                <w:szCs w:val="19"/>
                <w:lang w:val="hr-HR"/>
              </w:rPr>
            </w:pPr>
          </w:p>
        </w:tc>
        <w:tc>
          <w:tcPr>
            <w:tcW w:w="622" w:type="pct"/>
            <w:tcBorders>
              <w:top w:val="single" w:sz="12" w:space="0" w:color="auto"/>
            </w:tcBorders>
            <w:vAlign w:val="bottom"/>
          </w:tcPr>
          <w:p w14:paraId="12DB8374" w14:textId="77777777" w:rsidR="00F50591" w:rsidRPr="00D042BF" w:rsidRDefault="00F50591" w:rsidP="00F50591">
            <w:pPr>
              <w:keepLines/>
              <w:suppressAutoHyphens w:val="0"/>
              <w:autoSpaceDN/>
              <w:spacing w:line="140" w:lineRule="exact"/>
              <w:jc w:val="right"/>
              <w:rPr>
                <w:rFonts w:ascii="Arial" w:hAnsi="Arial" w:cs="Arial"/>
                <w:color w:val="000000"/>
                <w:spacing w:val="-2"/>
                <w:sz w:val="19"/>
                <w:szCs w:val="19"/>
                <w:lang w:val="hr-HR"/>
              </w:rPr>
            </w:pPr>
          </w:p>
        </w:tc>
      </w:tr>
      <w:tr w:rsidR="00F50591" w:rsidRPr="00D042BF" w14:paraId="309DA98B" w14:textId="77777777" w:rsidTr="009620F6">
        <w:trPr>
          <w:trHeight w:hRule="exact" w:val="510"/>
        </w:trPr>
        <w:tc>
          <w:tcPr>
            <w:tcW w:w="3720" w:type="pct"/>
            <w:vAlign w:val="bottom"/>
          </w:tcPr>
          <w:p w14:paraId="08776D1B" w14:textId="585EEFE0" w:rsidR="00F50591" w:rsidRPr="00D042BF" w:rsidRDefault="00F50591" w:rsidP="00F50591">
            <w:pPr>
              <w:keepLines/>
              <w:tabs>
                <w:tab w:val="right" w:pos="1202"/>
              </w:tabs>
              <w:suppressAutoHyphens w:val="0"/>
              <w:autoSpaceDN/>
              <w:spacing w:line="220" w:lineRule="exact"/>
              <w:outlineLvl w:val="0"/>
              <w:rPr>
                <w:rFonts w:ascii="Arial" w:hAnsi="Arial" w:cs="Arial"/>
                <w:color w:val="000000"/>
                <w:sz w:val="19"/>
                <w:szCs w:val="19"/>
                <w:lang w:val="hr-HR"/>
              </w:rPr>
            </w:pPr>
            <w:bookmarkStart w:id="585" w:name="_Toc67327225"/>
            <w:r w:rsidRPr="00D042BF">
              <w:rPr>
                <w:rFonts w:ascii="Arial" w:hAnsi="Arial" w:cs="Arial"/>
                <w:color w:val="000000"/>
                <w:sz w:val="19"/>
                <w:szCs w:val="19"/>
                <w:lang w:val="hr-HR"/>
              </w:rPr>
              <w:t>Novac i novčani ekvivalenti stanje na dan 1. siječnja, prije umanjenja vrijednosti</w:t>
            </w:r>
            <w:bookmarkEnd w:id="585"/>
            <w:r w:rsidRPr="00D042BF">
              <w:rPr>
                <w:rFonts w:ascii="Arial" w:hAnsi="Arial" w:cs="Arial"/>
                <w:color w:val="000000"/>
                <w:sz w:val="19"/>
                <w:szCs w:val="19"/>
                <w:lang w:val="hr-HR"/>
              </w:rPr>
              <w:t xml:space="preserve"> </w:t>
            </w:r>
          </w:p>
        </w:tc>
        <w:tc>
          <w:tcPr>
            <w:tcW w:w="658" w:type="pct"/>
            <w:shd w:val="clear" w:color="auto" w:fill="auto"/>
            <w:vAlign w:val="bottom"/>
          </w:tcPr>
          <w:p w14:paraId="68A1671E" w14:textId="77777777" w:rsidR="00F50591" w:rsidRPr="00D042BF" w:rsidRDefault="00F50591" w:rsidP="00F50591">
            <w:pPr>
              <w:keepLines/>
              <w:suppressAutoHyphens w:val="0"/>
              <w:autoSpaceDN/>
              <w:jc w:val="right"/>
              <w:rPr>
                <w:rFonts w:ascii="Arial" w:hAnsi="Arial" w:cs="Arial"/>
                <w:color w:val="000000"/>
                <w:spacing w:val="-2"/>
                <w:sz w:val="19"/>
                <w:szCs w:val="19"/>
                <w:lang w:val="hr-HR"/>
              </w:rPr>
            </w:pPr>
            <w:r w:rsidRPr="00D042BF">
              <w:rPr>
                <w:rFonts w:ascii="Arial" w:hAnsi="Arial" w:cs="Arial"/>
                <w:color w:val="000000"/>
                <w:spacing w:val="-2"/>
                <w:sz w:val="19"/>
                <w:szCs w:val="19"/>
                <w:lang w:val="hr-HR"/>
              </w:rPr>
              <w:t>1.960.424</w:t>
            </w:r>
          </w:p>
        </w:tc>
        <w:tc>
          <w:tcPr>
            <w:tcW w:w="622" w:type="pct"/>
            <w:shd w:val="clear" w:color="auto" w:fill="auto"/>
            <w:vAlign w:val="bottom"/>
          </w:tcPr>
          <w:p w14:paraId="12FDE097" w14:textId="77777777" w:rsidR="00F50591" w:rsidRPr="00D042BF" w:rsidRDefault="00F50591" w:rsidP="00F50591">
            <w:pPr>
              <w:keepLines/>
              <w:suppressAutoHyphens w:val="0"/>
              <w:autoSpaceDN/>
              <w:jc w:val="right"/>
              <w:rPr>
                <w:rFonts w:ascii="Arial" w:hAnsi="Arial" w:cs="Arial"/>
                <w:color w:val="000000"/>
                <w:sz w:val="19"/>
                <w:szCs w:val="19"/>
                <w:lang w:val="hr-HR"/>
              </w:rPr>
            </w:pPr>
            <w:r w:rsidRPr="00D042BF">
              <w:rPr>
                <w:rFonts w:ascii="Arial" w:hAnsi="Arial" w:cs="Arial"/>
                <w:color w:val="000000"/>
                <w:spacing w:val="-2"/>
                <w:sz w:val="19"/>
                <w:szCs w:val="19"/>
                <w:lang w:val="hr-HR"/>
              </w:rPr>
              <w:t>1.654.805</w:t>
            </w:r>
          </w:p>
        </w:tc>
      </w:tr>
      <w:tr w:rsidR="00F50591" w:rsidRPr="00D042BF" w14:paraId="374995F5" w14:textId="77777777" w:rsidTr="009620F6">
        <w:trPr>
          <w:trHeight w:hRule="exact" w:val="227"/>
        </w:trPr>
        <w:tc>
          <w:tcPr>
            <w:tcW w:w="3720" w:type="pct"/>
            <w:vAlign w:val="bottom"/>
          </w:tcPr>
          <w:p w14:paraId="2B7E052D" w14:textId="3AB9A1C1" w:rsidR="00F50591" w:rsidRPr="00D042BF" w:rsidRDefault="00F50591" w:rsidP="00F50591">
            <w:pPr>
              <w:keepLines/>
              <w:tabs>
                <w:tab w:val="right" w:pos="1202"/>
              </w:tabs>
              <w:suppressAutoHyphens w:val="0"/>
              <w:autoSpaceDN/>
              <w:spacing w:line="220" w:lineRule="exact"/>
              <w:outlineLvl w:val="0"/>
              <w:rPr>
                <w:rFonts w:ascii="Arial" w:hAnsi="Arial" w:cs="Arial"/>
                <w:color w:val="000000"/>
                <w:sz w:val="19"/>
                <w:szCs w:val="19"/>
                <w:lang w:val="hr-HR"/>
              </w:rPr>
            </w:pPr>
            <w:bookmarkStart w:id="586" w:name="_Toc67327226"/>
            <w:r w:rsidRPr="00D042BF">
              <w:rPr>
                <w:rFonts w:ascii="Arial" w:hAnsi="Arial" w:cs="Arial"/>
                <w:color w:val="000000"/>
                <w:sz w:val="19"/>
                <w:szCs w:val="19"/>
                <w:lang w:val="hr-HR"/>
              </w:rPr>
              <w:t>Neto (smanjenje)/povećanje novca</w:t>
            </w:r>
            <w:bookmarkEnd w:id="586"/>
          </w:p>
        </w:tc>
        <w:tc>
          <w:tcPr>
            <w:tcW w:w="658" w:type="pct"/>
            <w:tcBorders>
              <w:bottom w:val="single" w:sz="4" w:space="0" w:color="auto"/>
            </w:tcBorders>
            <w:shd w:val="clear" w:color="auto" w:fill="auto"/>
            <w:vAlign w:val="bottom"/>
          </w:tcPr>
          <w:p w14:paraId="1C99545C" w14:textId="77777777" w:rsidR="00F50591" w:rsidRPr="00D042BF" w:rsidRDefault="00F50591" w:rsidP="00F50591">
            <w:pPr>
              <w:keepLines/>
              <w:suppressAutoHyphens w:val="0"/>
              <w:autoSpaceDN/>
              <w:jc w:val="right"/>
              <w:rPr>
                <w:rFonts w:ascii="Arial" w:hAnsi="Arial" w:cs="Arial"/>
                <w:color w:val="000000"/>
                <w:spacing w:val="-2"/>
                <w:sz w:val="19"/>
                <w:szCs w:val="19"/>
                <w:lang w:val="hr-HR"/>
              </w:rPr>
            </w:pPr>
            <w:r w:rsidRPr="00D042BF">
              <w:rPr>
                <w:rFonts w:ascii="Arial" w:hAnsi="Arial" w:cs="Arial"/>
                <w:color w:val="000000"/>
                <w:spacing w:val="-2"/>
                <w:sz w:val="19"/>
                <w:szCs w:val="19"/>
                <w:lang w:val="hr-HR"/>
              </w:rPr>
              <w:t>(237.846)</w:t>
            </w:r>
          </w:p>
        </w:tc>
        <w:tc>
          <w:tcPr>
            <w:tcW w:w="622" w:type="pct"/>
            <w:tcBorders>
              <w:bottom w:val="single" w:sz="4" w:space="0" w:color="auto"/>
            </w:tcBorders>
            <w:shd w:val="clear" w:color="auto" w:fill="auto"/>
            <w:vAlign w:val="bottom"/>
          </w:tcPr>
          <w:p w14:paraId="41460C10" w14:textId="77777777" w:rsidR="00F50591" w:rsidRPr="00D042BF" w:rsidRDefault="00F50591" w:rsidP="00F50591">
            <w:pPr>
              <w:keepLines/>
              <w:suppressAutoHyphens w:val="0"/>
              <w:autoSpaceDN/>
              <w:jc w:val="right"/>
              <w:rPr>
                <w:rFonts w:ascii="Arial" w:hAnsi="Arial" w:cs="Arial"/>
                <w:color w:val="000000"/>
                <w:sz w:val="19"/>
                <w:szCs w:val="19"/>
                <w:lang w:val="hr-HR"/>
              </w:rPr>
            </w:pPr>
            <w:r w:rsidRPr="00D042BF">
              <w:rPr>
                <w:rFonts w:ascii="Arial" w:hAnsi="Arial" w:cs="Arial"/>
                <w:color w:val="000000"/>
                <w:spacing w:val="-2"/>
                <w:sz w:val="19"/>
                <w:szCs w:val="19"/>
                <w:lang w:val="hr-HR"/>
              </w:rPr>
              <w:t>305.619</w:t>
            </w:r>
          </w:p>
        </w:tc>
      </w:tr>
      <w:tr w:rsidR="00F50591" w:rsidRPr="00D042BF" w14:paraId="59ACA2FE" w14:textId="77777777" w:rsidTr="009620F6">
        <w:trPr>
          <w:trHeight w:val="122"/>
        </w:trPr>
        <w:tc>
          <w:tcPr>
            <w:tcW w:w="3720" w:type="pct"/>
            <w:vAlign w:val="bottom"/>
          </w:tcPr>
          <w:p w14:paraId="1D0AB12C" w14:textId="3005481E" w:rsidR="00F50591" w:rsidRPr="00D042BF" w:rsidRDefault="00F50591" w:rsidP="00F50591">
            <w:pPr>
              <w:keepLines/>
              <w:tabs>
                <w:tab w:val="right" w:pos="1202"/>
              </w:tabs>
              <w:suppressAutoHyphens w:val="0"/>
              <w:autoSpaceDN/>
              <w:spacing w:line="220" w:lineRule="exact"/>
              <w:outlineLvl w:val="0"/>
              <w:rPr>
                <w:rFonts w:ascii="Arial" w:hAnsi="Arial" w:cs="Arial"/>
                <w:b/>
                <w:bCs/>
                <w:color w:val="000000"/>
                <w:sz w:val="19"/>
                <w:szCs w:val="19"/>
                <w:lang w:val="hr-HR"/>
              </w:rPr>
            </w:pPr>
            <w:bookmarkStart w:id="587" w:name="_Toc67327227"/>
            <w:r w:rsidRPr="00D042BF">
              <w:rPr>
                <w:rFonts w:ascii="Arial" w:hAnsi="Arial" w:cs="Arial"/>
                <w:b/>
                <w:bCs/>
                <w:color w:val="000000"/>
                <w:sz w:val="19"/>
                <w:szCs w:val="19"/>
                <w:lang w:val="hr-HR"/>
              </w:rPr>
              <w:t>Novac i novčani ekvivalenti stanje na dan 31. prosinca, prije umanjenja vrijednosti                                                                                                              12</w:t>
            </w:r>
            <w:bookmarkEnd w:id="587"/>
          </w:p>
        </w:tc>
        <w:tc>
          <w:tcPr>
            <w:tcW w:w="658" w:type="pct"/>
            <w:tcBorders>
              <w:top w:val="single" w:sz="4" w:space="0" w:color="auto"/>
              <w:bottom w:val="single" w:sz="12" w:space="0" w:color="auto"/>
            </w:tcBorders>
            <w:vAlign w:val="bottom"/>
          </w:tcPr>
          <w:p w14:paraId="3E3B9E4E" w14:textId="77777777" w:rsidR="00F50591" w:rsidRPr="00D042BF" w:rsidRDefault="00F50591" w:rsidP="00F50591">
            <w:pPr>
              <w:suppressAutoHyphens w:val="0"/>
              <w:autoSpaceDN/>
              <w:spacing w:line="220" w:lineRule="exact"/>
              <w:jc w:val="right"/>
              <w:rPr>
                <w:rFonts w:ascii="Arial" w:hAnsi="Arial" w:cs="Arial"/>
                <w:b/>
                <w:bCs/>
                <w:color w:val="000000"/>
                <w:spacing w:val="-2"/>
                <w:sz w:val="19"/>
                <w:szCs w:val="19"/>
                <w:lang w:val="hr-HR"/>
              </w:rPr>
            </w:pPr>
            <w:r w:rsidRPr="00D042BF">
              <w:rPr>
                <w:rFonts w:ascii="Arial" w:hAnsi="Arial" w:cs="Arial"/>
                <w:b/>
                <w:bCs/>
                <w:color w:val="000000"/>
                <w:spacing w:val="-2"/>
                <w:sz w:val="19"/>
                <w:szCs w:val="19"/>
                <w:lang w:val="hr-HR"/>
              </w:rPr>
              <w:t>1.722.578</w:t>
            </w:r>
          </w:p>
        </w:tc>
        <w:tc>
          <w:tcPr>
            <w:tcW w:w="622" w:type="pct"/>
            <w:tcBorders>
              <w:top w:val="single" w:sz="4" w:space="0" w:color="auto"/>
              <w:bottom w:val="single" w:sz="12" w:space="0" w:color="auto"/>
            </w:tcBorders>
            <w:vAlign w:val="bottom"/>
          </w:tcPr>
          <w:p w14:paraId="1034EE74" w14:textId="77777777" w:rsidR="00F50591" w:rsidRPr="00D042BF" w:rsidRDefault="00F50591" w:rsidP="00F50591">
            <w:pPr>
              <w:suppressAutoHyphens w:val="0"/>
              <w:autoSpaceDN/>
              <w:spacing w:line="220" w:lineRule="exact"/>
              <w:jc w:val="right"/>
              <w:rPr>
                <w:rFonts w:ascii="Arial" w:hAnsi="Arial" w:cs="Arial"/>
                <w:b/>
                <w:bCs/>
                <w:color w:val="000000"/>
                <w:spacing w:val="-2"/>
                <w:sz w:val="19"/>
                <w:szCs w:val="19"/>
                <w:lang w:val="hr-HR"/>
              </w:rPr>
            </w:pPr>
            <w:r w:rsidRPr="00D042BF">
              <w:rPr>
                <w:rFonts w:ascii="Arial" w:hAnsi="Arial" w:cs="Arial"/>
                <w:b/>
                <w:bCs/>
                <w:color w:val="000000"/>
                <w:spacing w:val="-2"/>
                <w:sz w:val="19"/>
                <w:szCs w:val="19"/>
                <w:lang w:val="hr-HR"/>
              </w:rPr>
              <w:t>1.960.424</w:t>
            </w:r>
          </w:p>
        </w:tc>
      </w:tr>
      <w:tr w:rsidR="00F50591" w:rsidRPr="00D042BF" w14:paraId="692557D1" w14:textId="77777777" w:rsidTr="009620F6">
        <w:trPr>
          <w:trHeight w:hRule="exact" w:val="113"/>
        </w:trPr>
        <w:tc>
          <w:tcPr>
            <w:tcW w:w="3720" w:type="pct"/>
            <w:vAlign w:val="bottom"/>
          </w:tcPr>
          <w:p w14:paraId="4EF5D5B8" w14:textId="77777777" w:rsidR="00F50591" w:rsidRPr="00D042BF" w:rsidRDefault="00F50591" w:rsidP="00F50591">
            <w:pPr>
              <w:keepLines/>
              <w:tabs>
                <w:tab w:val="decimal" w:pos="1202"/>
              </w:tabs>
              <w:suppressAutoHyphens w:val="0"/>
              <w:autoSpaceDN/>
              <w:spacing w:line="140" w:lineRule="exact"/>
              <w:rPr>
                <w:rFonts w:ascii="Arial" w:hAnsi="Arial" w:cs="Arial"/>
                <w:b/>
                <w:color w:val="000000"/>
                <w:position w:val="4"/>
                <w:sz w:val="19"/>
                <w:szCs w:val="19"/>
                <w:u w:val="thick"/>
                <w:lang w:val="hr-HR"/>
              </w:rPr>
            </w:pPr>
          </w:p>
        </w:tc>
        <w:tc>
          <w:tcPr>
            <w:tcW w:w="658" w:type="pct"/>
            <w:tcBorders>
              <w:top w:val="single" w:sz="12" w:space="0" w:color="auto"/>
            </w:tcBorders>
            <w:vAlign w:val="bottom"/>
          </w:tcPr>
          <w:p w14:paraId="4814DFD1" w14:textId="77777777" w:rsidR="00F50591" w:rsidRPr="00D042BF" w:rsidRDefault="00F50591" w:rsidP="00F50591">
            <w:pPr>
              <w:keepLines/>
              <w:suppressAutoHyphens w:val="0"/>
              <w:autoSpaceDN/>
              <w:spacing w:line="140" w:lineRule="exact"/>
              <w:jc w:val="right"/>
              <w:rPr>
                <w:rFonts w:ascii="Arial" w:hAnsi="Arial" w:cs="Arial"/>
                <w:b/>
                <w:color w:val="000000"/>
                <w:position w:val="4"/>
                <w:sz w:val="19"/>
                <w:szCs w:val="19"/>
                <w:u w:val="thick"/>
                <w:lang w:val="hr-HR"/>
              </w:rPr>
            </w:pPr>
          </w:p>
        </w:tc>
        <w:tc>
          <w:tcPr>
            <w:tcW w:w="622" w:type="pct"/>
            <w:tcBorders>
              <w:top w:val="single" w:sz="12" w:space="0" w:color="auto"/>
            </w:tcBorders>
            <w:vAlign w:val="bottom"/>
          </w:tcPr>
          <w:p w14:paraId="63DB24F3" w14:textId="77777777" w:rsidR="00F50591" w:rsidRPr="00D042BF" w:rsidRDefault="00F50591" w:rsidP="00F50591">
            <w:pPr>
              <w:keepLines/>
              <w:suppressAutoHyphens w:val="0"/>
              <w:autoSpaceDN/>
              <w:spacing w:line="140" w:lineRule="exact"/>
              <w:jc w:val="right"/>
              <w:rPr>
                <w:rFonts w:ascii="Arial" w:hAnsi="Arial" w:cs="Arial"/>
                <w:b/>
                <w:color w:val="000000"/>
                <w:position w:val="4"/>
                <w:sz w:val="19"/>
                <w:szCs w:val="19"/>
                <w:u w:val="thick"/>
                <w:lang w:val="hr-HR"/>
              </w:rPr>
            </w:pPr>
          </w:p>
        </w:tc>
      </w:tr>
      <w:tr w:rsidR="00F50591" w:rsidRPr="00D042BF" w14:paraId="4681F3B7" w14:textId="77777777" w:rsidTr="009620F6">
        <w:trPr>
          <w:trHeight w:val="247"/>
        </w:trPr>
        <w:tc>
          <w:tcPr>
            <w:tcW w:w="3720" w:type="pct"/>
            <w:vAlign w:val="bottom"/>
          </w:tcPr>
          <w:p w14:paraId="58A6C916" w14:textId="77777777" w:rsidR="00F50591" w:rsidRPr="00D042BF" w:rsidRDefault="00F50591" w:rsidP="00F50591">
            <w:pPr>
              <w:keepLines/>
              <w:tabs>
                <w:tab w:val="decimal" w:pos="1202"/>
              </w:tabs>
              <w:suppressAutoHyphens w:val="0"/>
              <w:autoSpaceDN/>
              <w:spacing w:line="220" w:lineRule="exact"/>
              <w:rPr>
                <w:rFonts w:ascii="Arial" w:hAnsi="Arial" w:cs="Arial"/>
                <w:b/>
                <w:color w:val="000000"/>
                <w:position w:val="4"/>
                <w:sz w:val="19"/>
                <w:szCs w:val="19"/>
                <w:lang w:val="hr-HR"/>
              </w:rPr>
            </w:pPr>
            <w:r w:rsidRPr="00D042BF">
              <w:rPr>
                <w:rFonts w:ascii="Arial" w:hAnsi="Arial" w:cs="Arial"/>
                <w:b/>
                <w:color w:val="000000"/>
                <w:position w:val="4"/>
                <w:sz w:val="19"/>
                <w:szCs w:val="19"/>
                <w:lang w:val="hr-HR"/>
              </w:rPr>
              <w:t>Dopunski podaci – poslovne aktivnosti</w:t>
            </w:r>
          </w:p>
        </w:tc>
        <w:tc>
          <w:tcPr>
            <w:tcW w:w="658" w:type="pct"/>
            <w:vAlign w:val="bottom"/>
          </w:tcPr>
          <w:p w14:paraId="117D3ADE" w14:textId="77777777" w:rsidR="00F50591" w:rsidRPr="00D042BF" w:rsidRDefault="00F50591" w:rsidP="00F50591">
            <w:pPr>
              <w:keepLines/>
              <w:suppressAutoHyphens w:val="0"/>
              <w:autoSpaceDN/>
              <w:spacing w:line="220" w:lineRule="exact"/>
              <w:jc w:val="right"/>
              <w:rPr>
                <w:rFonts w:ascii="Arial" w:hAnsi="Arial" w:cs="Arial"/>
                <w:b/>
                <w:color w:val="000000"/>
                <w:position w:val="4"/>
                <w:sz w:val="19"/>
                <w:szCs w:val="19"/>
                <w:lang w:val="hr-HR"/>
              </w:rPr>
            </w:pPr>
          </w:p>
        </w:tc>
        <w:tc>
          <w:tcPr>
            <w:tcW w:w="622" w:type="pct"/>
            <w:vAlign w:val="bottom"/>
          </w:tcPr>
          <w:p w14:paraId="0C482361" w14:textId="77777777" w:rsidR="00F50591" w:rsidRPr="00D042BF" w:rsidRDefault="00F50591" w:rsidP="00F50591">
            <w:pPr>
              <w:keepLines/>
              <w:suppressAutoHyphens w:val="0"/>
              <w:autoSpaceDN/>
              <w:spacing w:line="220" w:lineRule="exact"/>
              <w:jc w:val="right"/>
              <w:rPr>
                <w:rFonts w:ascii="Arial" w:hAnsi="Arial" w:cs="Arial"/>
                <w:b/>
                <w:color w:val="000000"/>
                <w:position w:val="4"/>
                <w:sz w:val="19"/>
                <w:szCs w:val="19"/>
                <w:lang w:val="hr-HR"/>
              </w:rPr>
            </w:pPr>
          </w:p>
        </w:tc>
      </w:tr>
      <w:tr w:rsidR="00F50591" w:rsidRPr="00D042BF" w14:paraId="73DAFF17" w14:textId="77777777" w:rsidTr="009620F6">
        <w:trPr>
          <w:trHeight w:val="68"/>
        </w:trPr>
        <w:tc>
          <w:tcPr>
            <w:tcW w:w="3720" w:type="pct"/>
            <w:vAlign w:val="bottom"/>
          </w:tcPr>
          <w:p w14:paraId="026F8528" w14:textId="667A29B9" w:rsidR="00F50591" w:rsidRPr="00D042BF" w:rsidRDefault="00F50591" w:rsidP="00F50591">
            <w:pPr>
              <w:keepLines/>
              <w:tabs>
                <w:tab w:val="right" w:pos="1202"/>
              </w:tabs>
              <w:suppressAutoHyphens w:val="0"/>
              <w:autoSpaceDN/>
              <w:spacing w:line="220" w:lineRule="exact"/>
              <w:outlineLvl w:val="0"/>
              <w:rPr>
                <w:rFonts w:ascii="Arial" w:hAnsi="Arial" w:cs="Arial"/>
                <w:color w:val="000000"/>
                <w:sz w:val="19"/>
                <w:szCs w:val="19"/>
                <w:lang w:val="hr-HR"/>
              </w:rPr>
            </w:pPr>
            <w:bookmarkStart w:id="588" w:name="_Toc67327228"/>
            <w:r w:rsidRPr="00D042BF">
              <w:rPr>
                <w:rFonts w:ascii="Arial" w:hAnsi="Arial" w:cs="Arial"/>
                <w:color w:val="000000"/>
                <w:sz w:val="19"/>
                <w:szCs w:val="19"/>
                <w:lang w:val="hr-HR"/>
              </w:rPr>
              <w:t>Plaćene kamate</w:t>
            </w:r>
            <w:bookmarkEnd w:id="588"/>
          </w:p>
        </w:tc>
        <w:tc>
          <w:tcPr>
            <w:tcW w:w="658" w:type="pct"/>
            <w:shd w:val="clear" w:color="auto" w:fill="auto"/>
            <w:vAlign w:val="bottom"/>
          </w:tcPr>
          <w:p w14:paraId="0B540290"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z w:val="19"/>
                <w:szCs w:val="19"/>
                <w:lang w:val="hr-HR"/>
              </w:rPr>
            </w:pPr>
            <w:r w:rsidRPr="00D042BF">
              <w:rPr>
                <w:rFonts w:ascii="Arial" w:hAnsi="Arial" w:cs="Arial"/>
                <w:color w:val="000000"/>
                <w:sz w:val="19"/>
                <w:szCs w:val="19"/>
                <w:lang w:val="hr-HR"/>
              </w:rPr>
              <w:t>167.604</w:t>
            </w:r>
          </w:p>
        </w:tc>
        <w:tc>
          <w:tcPr>
            <w:tcW w:w="622" w:type="pct"/>
            <w:shd w:val="clear" w:color="auto" w:fill="auto"/>
            <w:vAlign w:val="bottom"/>
          </w:tcPr>
          <w:p w14:paraId="30F2F62E"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pacing w:val="-2"/>
                <w:sz w:val="19"/>
                <w:szCs w:val="19"/>
                <w:lang w:val="hr-HR"/>
              </w:rPr>
            </w:pPr>
            <w:r w:rsidRPr="00D042BF">
              <w:rPr>
                <w:rFonts w:ascii="Arial" w:hAnsi="Arial" w:cs="Arial"/>
                <w:color w:val="000000"/>
                <w:sz w:val="19"/>
                <w:szCs w:val="19"/>
                <w:lang w:val="hr-HR"/>
              </w:rPr>
              <w:t>185.187</w:t>
            </w:r>
          </w:p>
        </w:tc>
      </w:tr>
      <w:tr w:rsidR="00F50591" w:rsidRPr="00D042BF" w14:paraId="68A15CD8" w14:textId="77777777" w:rsidTr="009620F6">
        <w:trPr>
          <w:trHeight w:val="68"/>
        </w:trPr>
        <w:tc>
          <w:tcPr>
            <w:tcW w:w="3720" w:type="pct"/>
            <w:vAlign w:val="bottom"/>
          </w:tcPr>
          <w:p w14:paraId="337915BF" w14:textId="4512EABA" w:rsidR="00F50591" w:rsidRPr="00D042BF" w:rsidRDefault="00F50591" w:rsidP="00F50591">
            <w:pPr>
              <w:keepLines/>
              <w:tabs>
                <w:tab w:val="right" w:pos="1202"/>
              </w:tabs>
              <w:suppressAutoHyphens w:val="0"/>
              <w:autoSpaceDN/>
              <w:spacing w:line="220" w:lineRule="exact"/>
              <w:outlineLvl w:val="0"/>
              <w:rPr>
                <w:rFonts w:ascii="Arial" w:hAnsi="Arial" w:cs="Arial"/>
                <w:color w:val="000000"/>
                <w:sz w:val="19"/>
                <w:szCs w:val="19"/>
                <w:lang w:val="hr-HR"/>
              </w:rPr>
            </w:pPr>
            <w:bookmarkStart w:id="589" w:name="_Toc67327230"/>
            <w:r w:rsidRPr="00D042BF">
              <w:rPr>
                <w:rFonts w:ascii="Arial" w:hAnsi="Arial" w:cs="Arial"/>
                <w:color w:val="000000"/>
                <w:sz w:val="19"/>
                <w:szCs w:val="19"/>
                <w:lang w:val="hr-HR"/>
              </w:rPr>
              <w:t>Primljene kamate</w:t>
            </w:r>
            <w:bookmarkEnd w:id="589"/>
          </w:p>
        </w:tc>
        <w:tc>
          <w:tcPr>
            <w:tcW w:w="658" w:type="pct"/>
            <w:shd w:val="clear" w:color="auto" w:fill="auto"/>
            <w:vAlign w:val="bottom"/>
          </w:tcPr>
          <w:p w14:paraId="47441056"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pacing w:val="-2"/>
                <w:sz w:val="19"/>
                <w:szCs w:val="19"/>
                <w:lang w:val="hr-HR"/>
              </w:rPr>
            </w:pPr>
            <w:r w:rsidRPr="00D042BF">
              <w:rPr>
                <w:rFonts w:ascii="Arial" w:hAnsi="Arial" w:cs="Arial"/>
                <w:color w:val="000000"/>
                <w:spacing w:val="-2"/>
                <w:sz w:val="19"/>
                <w:szCs w:val="19"/>
                <w:lang w:val="hr-HR"/>
              </w:rPr>
              <w:t>590.191</w:t>
            </w:r>
          </w:p>
        </w:tc>
        <w:tc>
          <w:tcPr>
            <w:tcW w:w="622" w:type="pct"/>
            <w:shd w:val="clear" w:color="auto" w:fill="auto"/>
            <w:vAlign w:val="bottom"/>
          </w:tcPr>
          <w:p w14:paraId="193385D1" w14:textId="77777777" w:rsidR="00F50591" w:rsidRPr="00D042BF" w:rsidRDefault="00F50591" w:rsidP="00F50591">
            <w:pPr>
              <w:keepLines/>
              <w:tabs>
                <w:tab w:val="right" w:pos="1202"/>
              </w:tabs>
              <w:suppressAutoHyphens w:val="0"/>
              <w:autoSpaceDN/>
              <w:spacing w:line="220" w:lineRule="exact"/>
              <w:jc w:val="right"/>
              <w:outlineLvl w:val="0"/>
              <w:rPr>
                <w:rFonts w:ascii="Arial" w:hAnsi="Arial" w:cs="Arial"/>
                <w:color w:val="000000"/>
                <w:spacing w:val="-2"/>
                <w:sz w:val="19"/>
                <w:szCs w:val="19"/>
                <w:lang w:val="hr-HR"/>
              </w:rPr>
            </w:pPr>
            <w:bookmarkStart w:id="590" w:name="_Toc67327231"/>
            <w:r w:rsidRPr="00D042BF">
              <w:rPr>
                <w:rFonts w:ascii="Arial" w:hAnsi="Arial" w:cs="Arial"/>
                <w:color w:val="000000"/>
                <w:spacing w:val="-2"/>
                <w:sz w:val="19"/>
                <w:szCs w:val="19"/>
                <w:lang w:val="hr-HR"/>
              </w:rPr>
              <w:t>664.320</w:t>
            </w:r>
            <w:bookmarkEnd w:id="590"/>
          </w:p>
        </w:tc>
      </w:tr>
    </w:tbl>
    <w:p w14:paraId="650AD7CA" w14:textId="77777777" w:rsidR="00D042BF" w:rsidRPr="00B91D09" w:rsidRDefault="00D042BF" w:rsidP="00D042BF">
      <w:pPr>
        <w:rPr>
          <w:lang w:val="hr-HR"/>
        </w:rPr>
      </w:pPr>
    </w:p>
    <w:p w14:paraId="32955D51" w14:textId="77777777" w:rsidR="00D042BF" w:rsidRDefault="00D042BF" w:rsidP="00D042BF">
      <w:pPr>
        <w:rPr>
          <w:rFonts w:ascii="Arial" w:hAnsi="Arial" w:cs="Arial"/>
          <w:sz w:val="20"/>
          <w:szCs w:val="20"/>
          <w:lang w:val="hr-HR"/>
        </w:rPr>
      </w:pPr>
    </w:p>
    <w:p w14:paraId="6C054B3A" w14:textId="3E2194A3" w:rsidR="00D042BF" w:rsidRPr="00D042BF" w:rsidRDefault="00D042BF" w:rsidP="00D042BF">
      <w:pPr>
        <w:rPr>
          <w:rFonts w:ascii="Arial" w:hAnsi="Arial" w:cs="Arial"/>
          <w:sz w:val="20"/>
          <w:szCs w:val="20"/>
          <w:lang w:val="hr-HR"/>
        </w:rPr>
      </w:pPr>
      <w:r w:rsidRPr="00D042BF">
        <w:rPr>
          <w:rFonts w:ascii="Arial" w:hAnsi="Arial" w:cs="Arial"/>
          <w:sz w:val="20"/>
          <w:szCs w:val="20"/>
          <w:lang w:val="hr-HR"/>
        </w:rPr>
        <w:t>Priložene računovodstvene politike i bilješke sastavni su dio ovih financijskih izvještaja.</w:t>
      </w:r>
    </w:p>
    <w:p w14:paraId="7C32A75F" w14:textId="77777777" w:rsidR="00D042BF" w:rsidRDefault="00D042BF" w:rsidP="005D22E7">
      <w:pPr>
        <w:rPr>
          <w:rFonts w:ascii="Arial" w:hAnsi="Arial" w:cs="Arial"/>
          <w:b/>
          <w:bCs/>
          <w:sz w:val="20"/>
          <w:szCs w:val="20"/>
          <w:lang w:val="hr-HR"/>
        </w:rPr>
        <w:sectPr w:rsidR="00D042BF" w:rsidSect="001856C5">
          <w:headerReference w:type="default" r:id="rId74"/>
          <w:footerReference w:type="default" r:id="rId75"/>
          <w:pgSz w:w="11906" w:h="16838"/>
          <w:pgMar w:top="1440" w:right="1440" w:bottom="1440" w:left="1440" w:header="708" w:footer="708" w:gutter="0"/>
          <w:cols w:space="708"/>
          <w:docGrid w:linePitch="360"/>
        </w:sectPr>
      </w:pPr>
    </w:p>
    <w:tbl>
      <w:tblPr>
        <w:tblpPr w:leftFromText="181" w:rightFromText="181" w:vertAnchor="text" w:horzAnchor="margin" w:tblpX="-350" w:tblpY="1"/>
        <w:tblW w:w="5161" w:type="pct"/>
        <w:tblLayout w:type="fixed"/>
        <w:tblCellMar>
          <w:left w:w="120" w:type="dxa"/>
          <w:right w:w="120" w:type="dxa"/>
        </w:tblCellMar>
        <w:tblLook w:val="0000" w:firstRow="0" w:lastRow="0" w:firstColumn="0" w:lastColumn="0" w:noHBand="0" w:noVBand="0"/>
      </w:tblPr>
      <w:tblGrid>
        <w:gridCol w:w="2692"/>
        <w:gridCol w:w="1104"/>
        <w:gridCol w:w="1105"/>
        <w:gridCol w:w="1103"/>
        <w:gridCol w:w="1105"/>
        <w:gridCol w:w="1103"/>
        <w:gridCol w:w="1105"/>
      </w:tblGrid>
      <w:tr w:rsidR="00D042BF" w:rsidRPr="00D042BF" w14:paraId="3D856BC8" w14:textId="77777777" w:rsidTr="00E032FC">
        <w:trPr>
          <w:trHeight w:val="636"/>
        </w:trPr>
        <w:tc>
          <w:tcPr>
            <w:tcW w:w="1444" w:type="pct"/>
          </w:tcPr>
          <w:p w14:paraId="0ABB3507" w14:textId="250619DC" w:rsidR="00D042BF" w:rsidRDefault="00D042BF" w:rsidP="00D042BF">
            <w:pPr>
              <w:tabs>
                <w:tab w:val="right" w:pos="1202"/>
              </w:tabs>
              <w:suppressAutoHyphens w:val="0"/>
              <w:autoSpaceDN/>
              <w:spacing w:line="301" w:lineRule="exact"/>
              <w:outlineLvl w:val="0"/>
              <w:rPr>
                <w:rFonts w:ascii="Arial" w:hAnsi="Arial" w:cs="Arial"/>
                <w:iCs/>
                <w:color w:val="000000"/>
                <w:sz w:val="17"/>
                <w:szCs w:val="17"/>
                <w:lang w:val="hr-HR"/>
              </w:rPr>
            </w:pPr>
          </w:p>
          <w:p w14:paraId="182AAAB6" w14:textId="77777777" w:rsidR="00BB131D" w:rsidRDefault="00BB131D" w:rsidP="00D042BF">
            <w:pPr>
              <w:tabs>
                <w:tab w:val="right" w:pos="1202"/>
              </w:tabs>
              <w:suppressAutoHyphens w:val="0"/>
              <w:autoSpaceDN/>
              <w:spacing w:line="301" w:lineRule="exact"/>
              <w:outlineLvl w:val="0"/>
              <w:rPr>
                <w:rFonts w:ascii="Arial" w:hAnsi="Arial" w:cs="Arial"/>
                <w:iCs/>
                <w:color w:val="000000"/>
                <w:sz w:val="17"/>
                <w:szCs w:val="17"/>
                <w:lang w:val="hr-HR"/>
              </w:rPr>
            </w:pPr>
          </w:p>
          <w:p w14:paraId="2AD769E4" w14:textId="77777777" w:rsidR="00BB131D" w:rsidRDefault="00BB131D" w:rsidP="00D042BF">
            <w:pPr>
              <w:tabs>
                <w:tab w:val="right" w:pos="1202"/>
              </w:tabs>
              <w:suppressAutoHyphens w:val="0"/>
              <w:autoSpaceDN/>
              <w:spacing w:line="301" w:lineRule="exact"/>
              <w:outlineLvl w:val="0"/>
              <w:rPr>
                <w:rFonts w:ascii="Arial" w:hAnsi="Arial" w:cs="Arial"/>
                <w:iCs/>
                <w:color w:val="000000"/>
                <w:sz w:val="17"/>
                <w:szCs w:val="17"/>
                <w:lang w:val="hr-HR"/>
              </w:rPr>
            </w:pPr>
          </w:p>
          <w:p w14:paraId="754A07E8" w14:textId="4AEE1639" w:rsidR="00BB131D" w:rsidRPr="00D042BF" w:rsidRDefault="00BB131D" w:rsidP="00D042BF">
            <w:pPr>
              <w:tabs>
                <w:tab w:val="right" w:pos="1202"/>
              </w:tabs>
              <w:suppressAutoHyphens w:val="0"/>
              <w:autoSpaceDN/>
              <w:spacing w:line="301" w:lineRule="exact"/>
              <w:outlineLvl w:val="0"/>
              <w:rPr>
                <w:rFonts w:ascii="Arial" w:hAnsi="Arial" w:cs="Arial"/>
                <w:iCs/>
                <w:color w:val="000000"/>
                <w:sz w:val="17"/>
                <w:szCs w:val="17"/>
                <w:lang w:val="hr-HR"/>
              </w:rPr>
            </w:pPr>
          </w:p>
        </w:tc>
        <w:tc>
          <w:tcPr>
            <w:tcW w:w="592" w:type="pct"/>
            <w:vAlign w:val="bottom"/>
          </w:tcPr>
          <w:p w14:paraId="341E4C43"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bookmarkStart w:id="591" w:name="_Toc67327233"/>
            <w:r w:rsidRPr="00D042BF">
              <w:rPr>
                <w:rFonts w:ascii="Arial" w:hAnsi="Arial" w:cs="Arial"/>
                <w:b/>
                <w:iCs/>
                <w:color w:val="000000"/>
                <w:sz w:val="17"/>
                <w:szCs w:val="17"/>
                <w:lang w:val="hr-HR"/>
              </w:rPr>
              <w:t>Osnivački</w:t>
            </w:r>
            <w:bookmarkEnd w:id="591"/>
            <w:r w:rsidRPr="00D042BF">
              <w:rPr>
                <w:rFonts w:ascii="Arial" w:hAnsi="Arial" w:cs="Arial"/>
                <w:b/>
                <w:iCs/>
                <w:color w:val="000000"/>
                <w:sz w:val="17"/>
                <w:szCs w:val="17"/>
                <w:lang w:val="hr-HR"/>
              </w:rPr>
              <w:t xml:space="preserve"> </w:t>
            </w:r>
          </w:p>
          <w:p w14:paraId="09607F49"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bookmarkStart w:id="592" w:name="_Toc67327234"/>
            <w:r w:rsidRPr="00D042BF">
              <w:rPr>
                <w:rFonts w:ascii="Arial" w:hAnsi="Arial" w:cs="Arial"/>
                <w:b/>
                <w:iCs/>
                <w:color w:val="000000"/>
                <w:sz w:val="17"/>
                <w:szCs w:val="17"/>
                <w:lang w:val="hr-HR"/>
              </w:rPr>
              <w:t>kapital</w:t>
            </w:r>
            <w:bookmarkEnd w:id="592"/>
          </w:p>
        </w:tc>
        <w:tc>
          <w:tcPr>
            <w:tcW w:w="593" w:type="pct"/>
            <w:vAlign w:val="bottom"/>
          </w:tcPr>
          <w:p w14:paraId="55FFB7EF"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r w:rsidRPr="00D042BF">
              <w:rPr>
                <w:rFonts w:ascii="Arial" w:hAnsi="Arial" w:cs="Arial"/>
                <w:b/>
                <w:iCs/>
                <w:color w:val="000000"/>
                <w:sz w:val="17"/>
                <w:szCs w:val="17"/>
                <w:lang w:val="hr-HR"/>
              </w:rPr>
              <w:t xml:space="preserve">  </w:t>
            </w:r>
            <w:bookmarkStart w:id="593" w:name="_Toc67327235"/>
            <w:r w:rsidRPr="00D042BF">
              <w:rPr>
                <w:rFonts w:ascii="Arial" w:hAnsi="Arial" w:cs="Arial"/>
                <w:b/>
                <w:iCs/>
                <w:color w:val="000000"/>
                <w:sz w:val="17"/>
                <w:szCs w:val="17"/>
                <w:lang w:val="hr-HR"/>
              </w:rPr>
              <w:t>Zadržana</w:t>
            </w:r>
            <w:bookmarkEnd w:id="593"/>
            <w:r w:rsidRPr="00D042BF">
              <w:rPr>
                <w:rFonts w:ascii="Arial" w:hAnsi="Arial" w:cs="Arial"/>
                <w:b/>
                <w:iCs/>
                <w:color w:val="000000"/>
                <w:sz w:val="17"/>
                <w:szCs w:val="17"/>
                <w:lang w:val="hr-HR"/>
              </w:rPr>
              <w:t xml:space="preserve"> </w:t>
            </w:r>
          </w:p>
          <w:p w14:paraId="4E40304D"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bookmarkStart w:id="594" w:name="_Toc67327236"/>
            <w:r w:rsidRPr="00D042BF">
              <w:rPr>
                <w:rFonts w:ascii="Arial" w:hAnsi="Arial" w:cs="Arial"/>
                <w:b/>
                <w:iCs/>
                <w:color w:val="000000"/>
                <w:sz w:val="17"/>
                <w:szCs w:val="17"/>
                <w:lang w:val="hr-HR"/>
              </w:rPr>
              <w:t>dobit i rezerve</w:t>
            </w:r>
            <w:bookmarkEnd w:id="594"/>
          </w:p>
        </w:tc>
        <w:tc>
          <w:tcPr>
            <w:tcW w:w="592" w:type="pct"/>
            <w:vAlign w:val="bottom"/>
          </w:tcPr>
          <w:p w14:paraId="0F89EA12"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bookmarkStart w:id="595" w:name="_Toc67327237"/>
            <w:r w:rsidRPr="00D042BF">
              <w:rPr>
                <w:rFonts w:ascii="Arial" w:hAnsi="Arial" w:cs="Arial"/>
                <w:b/>
                <w:iCs/>
                <w:color w:val="000000"/>
                <w:sz w:val="17"/>
                <w:szCs w:val="17"/>
                <w:lang w:val="hr-HR"/>
              </w:rPr>
              <w:t>Ostale rezerve</w:t>
            </w:r>
            <w:bookmarkEnd w:id="595"/>
          </w:p>
        </w:tc>
        <w:tc>
          <w:tcPr>
            <w:tcW w:w="593" w:type="pct"/>
            <w:vAlign w:val="bottom"/>
          </w:tcPr>
          <w:p w14:paraId="38E55DD3"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bookmarkStart w:id="596" w:name="_Toc67327238"/>
            <w:r w:rsidRPr="00D042BF">
              <w:rPr>
                <w:rFonts w:ascii="Arial" w:hAnsi="Arial" w:cs="Arial"/>
                <w:b/>
                <w:iCs/>
                <w:color w:val="000000"/>
                <w:sz w:val="17"/>
                <w:szCs w:val="17"/>
                <w:lang w:val="hr-HR"/>
              </w:rPr>
              <w:t>Neto dobit</w:t>
            </w:r>
            <w:bookmarkEnd w:id="596"/>
            <w:r w:rsidRPr="00D042BF">
              <w:rPr>
                <w:rFonts w:ascii="Arial" w:hAnsi="Arial" w:cs="Arial"/>
                <w:b/>
                <w:iCs/>
                <w:color w:val="000000"/>
                <w:sz w:val="17"/>
                <w:szCs w:val="17"/>
                <w:lang w:val="hr-HR"/>
              </w:rPr>
              <w:t xml:space="preserve"> </w:t>
            </w:r>
          </w:p>
          <w:p w14:paraId="524D44B6"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bookmarkStart w:id="597" w:name="_Toc67327239"/>
            <w:r w:rsidRPr="00D042BF">
              <w:rPr>
                <w:rFonts w:ascii="Arial" w:hAnsi="Arial" w:cs="Arial"/>
                <w:b/>
                <w:iCs/>
                <w:color w:val="000000"/>
                <w:sz w:val="17"/>
                <w:szCs w:val="17"/>
                <w:lang w:val="hr-HR"/>
              </w:rPr>
              <w:t>tekuće godine</w:t>
            </w:r>
            <w:bookmarkEnd w:id="597"/>
          </w:p>
        </w:tc>
        <w:tc>
          <w:tcPr>
            <w:tcW w:w="592" w:type="pct"/>
            <w:vAlign w:val="bottom"/>
          </w:tcPr>
          <w:p w14:paraId="7951EAE2"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bookmarkStart w:id="598" w:name="_Toc67327240"/>
            <w:r w:rsidRPr="00D042BF">
              <w:rPr>
                <w:rFonts w:ascii="Arial" w:hAnsi="Arial" w:cs="Arial"/>
                <w:b/>
                <w:iCs/>
                <w:color w:val="000000"/>
                <w:sz w:val="17"/>
                <w:szCs w:val="17"/>
                <w:lang w:val="hr-HR"/>
              </w:rPr>
              <w:t>Garantni fond</w:t>
            </w:r>
            <w:bookmarkEnd w:id="598"/>
          </w:p>
        </w:tc>
        <w:tc>
          <w:tcPr>
            <w:tcW w:w="593" w:type="pct"/>
            <w:vAlign w:val="bottom"/>
          </w:tcPr>
          <w:p w14:paraId="56ACC81A"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bookmarkStart w:id="599" w:name="_Toc67327241"/>
            <w:r w:rsidRPr="00D042BF">
              <w:rPr>
                <w:rFonts w:ascii="Arial" w:hAnsi="Arial" w:cs="Arial"/>
                <w:b/>
                <w:iCs/>
                <w:color w:val="000000"/>
                <w:sz w:val="17"/>
                <w:szCs w:val="17"/>
                <w:lang w:val="hr-HR"/>
              </w:rPr>
              <w:t>Ukupni kapital</w:t>
            </w:r>
            <w:bookmarkEnd w:id="599"/>
            <w:r w:rsidRPr="00D042BF">
              <w:rPr>
                <w:rFonts w:ascii="Arial" w:hAnsi="Arial" w:cs="Arial"/>
                <w:b/>
                <w:iCs/>
                <w:color w:val="000000"/>
                <w:sz w:val="17"/>
                <w:szCs w:val="17"/>
                <w:lang w:val="hr-HR"/>
              </w:rPr>
              <w:t xml:space="preserve"> </w:t>
            </w:r>
          </w:p>
        </w:tc>
      </w:tr>
      <w:tr w:rsidR="00D042BF" w:rsidRPr="00D042BF" w14:paraId="7FCCE0DA" w14:textId="77777777" w:rsidTr="00E032FC">
        <w:trPr>
          <w:trHeight w:val="241"/>
        </w:trPr>
        <w:tc>
          <w:tcPr>
            <w:tcW w:w="1444" w:type="pct"/>
          </w:tcPr>
          <w:p w14:paraId="4284A56F" w14:textId="77777777" w:rsidR="00D042BF" w:rsidRPr="00D042BF" w:rsidRDefault="00D042BF" w:rsidP="00D042BF">
            <w:pPr>
              <w:tabs>
                <w:tab w:val="right" w:pos="1202"/>
              </w:tabs>
              <w:suppressAutoHyphens w:val="0"/>
              <w:autoSpaceDN/>
              <w:spacing w:line="301" w:lineRule="exact"/>
              <w:outlineLvl w:val="0"/>
              <w:rPr>
                <w:rFonts w:ascii="Arial" w:hAnsi="Arial" w:cs="Arial"/>
                <w:iCs/>
                <w:color w:val="000000"/>
                <w:sz w:val="17"/>
                <w:szCs w:val="17"/>
                <w:lang w:val="hr-HR"/>
              </w:rPr>
            </w:pPr>
          </w:p>
        </w:tc>
        <w:tc>
          <w:tcPr>
            <w:tcW w:w="592" w:type="pct"/>
          </w:tcPr>
          <w:p w14:paraId="75CB5BA1" w14:textId="77777777" w:rsidR="00D042BF" w:rsidRPr="00D042BF" w:rsidRDefault="00D042BF" w:rsidP="00D042BF">
            <w:pPr>
              <w:keepLines/>
              <w:tabs>
                <w:tab w:val="right" w:pos="1202"/>
              </w:tabs>
              <w:suppressAutoHyphens w:val="0"/>
              <w:autoSpaceDN/>
              <w:spacing w:line="301" w:lineRule="exact"/>
              <w:jc w:val="right"/>
              <w:outlineLvl w:val="0"/>
              <w:rPr>
                <w:rFonts w:ascii="Arial" w:hAnsi="Arial" w:cs="Arial"/>
                <w:b/>
                <w:bCs/>
                <w:color w:val="000000"/>
                <w:sz w:val="17"/>
                <w:szCs w:val="17"/>
                <w:lang w:val="hr-HR"/>
              </w:rPr>
            </w:pPr>
            <w:bookmarkStart w:id="600" w:name="_Toc67327242"/>
            <w:r w:rsidRPr="00D042BF">
              <w:rPr>
                <w:rFonts w:ascii="Arial" w:hAnsi="Arial" w:cs="Arial"/>
                <w:b/>
                <w:bCs/>
                <w:color w:val="000000"/>
                <w:sz w:val="17"/>
                <w:szCs w:val="17"/>
                <w:lang w:val="hr-HR"/>
              </w:rPr>
              <w:t>000 kuna</w:t>
            </w:r>
            <w:bookmarkEnd w:id="600"/>
          </w:p>
        </w:tc>
        <w:tc>
          <w:tcPr>
            <w:tcW w:w="593" w:type="pct"/>
          </w:tcPr>
          <w:p w14:paraId="15871432" w14:textId="77777777" w:rsidR="00D042BF" w:rsidRPr="00D042BF" w:rsidRDefault="00D042BF" w:rsidP="00D042BF">
            <w:pPr>
              <w:keepLines/>
              <w:tabs>
                <w:tab w:val="right" w:pos="1202"/>
              </w:tabs>
              <w:suppressAutoHyphens w:val="0"/>
              <w:autoSpaceDN/>
              <w:spacing w:line="301" w:lineRule="exact"/>
              <w:jc w:val="right"/>
              <w:outlineLvl w:val="0"/>
              <w:rPr>
                <w:rFonts w:ascii="Arial" w:hAnsi="Arial" w:cs="Arial"/>
                <w:b/>
                <w:bCs/>
                <w:color w:val="000000"/>
                <w:sz w:val="17"/>
                <w:szCs w:val="17"/>
                <w:lang w:val="hr-HR"/>
              </w:rPr>
            </w:pPr>
            <w:bookmarkStart w:id="601" w:name="_Toc67327243"/>
            <w:r w:rsidRPr="00D042BF">
              <w:rPr>
                <w:rFonts w:ascii="Arial" w:hAnsi="Arial" w:cs="Arial"/>
                <w:b/>
                <w:bCs/>
                <w:color w:val="000000"/>
                <w:sz w:val="17"/>
                <w:szCs w:val="17"/>
                <w:lang w:val="hr-HR"/>
              </w:rPr>
              <w:t>000 kuna</w:t>
            </w:r>
            <w:bookmarkEnd w:id="601"/>
          </w:p>
        </w:tc>
        <w:tc>
          <w:tcPr>
            <w:tcW w:w="592" w:type="pct"/>
          </w:tcPr>
          <w:p w14:paraId="7A1E7A6F" w14:textId="77777777" w:rsidR="00D042BF" w:rsidRPr="00D042BF" w:rsidRDefault="00D042BF" w:rsidP="00D042BF">
            <w:pPr>
              <w:keepLines/>
              <w:tabs>
                <w:tab w:val="right" w:pos="1202"/>
              </w:tabs>
              <w:suppressAutoHyphens w:val="0"/>
              <w:autoSpaceDN/>
              <w:spacing w:line="301" w:lineRule="exact"/>
              <w:jc w:val="right"/>
              <w:outlineLvl w:val="0"/>
              <w:rPr>
                <w:rFonts w:ascii="Arial" w:hAnsi="Arial" w:cs="Arial"/>
                <w:b/>
                <w:bCs/>
                <w:color w:val="000000"/>
                <w:sz w:val="17"/>
                <w:szCs w:val="17"/>
                <w:lang w:val="hr-HR"/>
              </w:rPr>
            </w:pPr>
            <w:bookmarkStart w:id="602" w:name="_Toc67327244"/>
            <w:r w:rsidRPr="00D042BF">
              <w:rPr>
                <w:rFonts w:ascii="Arial" w:hAnsi="Arial" w:cs="Arial"/>
                <w:b/>
                <w:bCs/>
                <w:color w:val="000000"/>
                <w:sz w:val="17"/>
                <w:szCs w:val="17"/>
                <w:lang w:val="hr-HR"/>
              </w:rPr>
              <w:t>000 kuna</w:t>
            </w:r>
            <w:bookmarkEnd w:id="602"/>
          </w:p>
        </w:tc>
        <w:tc>
          <w:tcPr>
            <w:tcW w:w="593" w:type="pct"/>
          </w:tcPr>
          <w:p w14:paraId="7E4BDDF8" w14:textId="77777777" w:rsidR="00D042BF" w:rsidRPr="00D042BF" w:rsidRDefault="00D042BF" w:rsidP="00D042BF">
            <w:pPr>
              <w:keepLines/>
              <w:tabs>
                <w:tab w:val="right" w:pos="1202"/>
              </w:tabs>
              <w:suppressAutoHyphens w:val="0"/>
              <w:autoSpaceDN/>
              <w:spacing w:line="301" w:lineRule="exact"/>
              <w:jc w:val="right"/>
              <w:outlineLvl w:val="0"/>
              <w:rPr>
                <w:rFonts w:ascii="Arial" w:hAnsi="Arial" w:cs="Arial"/>
                <w:b/>
                <w:bCs/>
                <w:color w:val="000000"/>
                <w:sz w:val="17"/>
                <w:szCs w:val="17"/>
                <w:lang w:val="hr-HR"/>
              </w:rPr>
            </w:pPr>
            <w:bookmarkStart w:id="603" w:name="_Toc67327245"/>
            <w:r w:rsidRPr="00D042BF">
              <w:rPr>
                <w:rFonts w:ascii="Arial" w:hAnsi="Arial" w:cs="Arial"/>
                <w:b/>
                <w:bCs/>
                <w:color w:val="000000"/>
                <w:sz w:val="17"/>
                <w:szCs w:val="17"/>
                <w:lang w:val="hr-HR"/>
              </w:rPr>
              <w:t>000 kuna</w:t>
            </w:r>
            <w:bookmarkEnd w:id="603"/>
          </w:p>
        </w:tc>
        <w:tc>
          <w:tcPr>
            <w:tcW w:w="592" w:type="pct"/>
          </w:tcPr>
          <w:p w14:paraId="3F8F77CB" w14:textId="77777777" w:rsidR="00D042BF" w:rsidRPr="00D042BF" w:rsidRDefault="00D042BF" w:rsidP="00D042BF">
            <w:pPr>
              <w:keepLines/>
              <w:tabs>
                <w:tab w:val="right" w:pos="1202"/>
              </w:tabs>
              <w:suppressAutoHyphens w:val="0"/>
              <w:autoSpaceDN/>
              <w:spacing w:line="301" w:lineRule="exact"/>
              <w:jc w:val="right"/>
              <w:outlineLvl w:val="0"/>
              <w:rPr>
                <w:rFonts w:ascii="Arial" w:hAnsi="Arial" w:cs="Arial"/>
                <w:b/>
                <w:bCs/>
                <w:color w:val="000000"/>
                <w:sz w:val="17"/>
                <w:szCs w:val="17"/>
                <w:lang w:val="hr-HR"/>
              </w:rPr>
            </w:pPr>
            <w:bookmarkStart w:id="604" w:name="_Toc67327246"/>
            <w:r w:rsidRPr="00D042BF">
              <w:rPr>
                <w:rFonts w:ascii="Arial" w:hAnsi="Arial" w:cs="Arial"/>
                <w:b/>
                <w:bCs/>
                <w:color w:val="000000"/>
                <w:sz w:val="17"/>
                <w:szCs w:val="17"/>
                <w:lang w:val="hr-HR"/>
              </w:rPr>
              <w:t>000 kuna</w:t>
            </w:r>
            <w:bookmarkEnd w:id="604"/>
          </w:p>
        </w:tc>
        <w:tc>
          <w:tcPr>
            <w:tcW w:w="593" w:type="pct"/>
          </w:tcPr>
          <w:p w14:paraId="7DF37498" w14:textId="77777777" w:rsidR="00D042BF" w:rsidRPr="00D042BF" w:rsidRDefault="00D042BF" w:rsidP="00D042BF">
            <w:pPr>
              <w:keepLines/>
              <w:tabs>
                <w:tab w:val="right" w:pos="1202"/>
              </w:tabs>
              <w:suppressAutoHyphens w:val="0"/>
              <w:autoSpaceDN/>
              <w:spacing w:line="301" w:lineRule="exact"/>
              <w:jc w:val="right"/>
              <w:outlineLvl w:val="0"/>
              <w:rPr>
                <w:rFonts w:ascii="Arial" w:hAnsi="Arial" w:cs="Arial"/>
                <w:b/>
                <w:bCs/>
                <w:color w:val="000000"/>
                <w:sz w:val="17"/>
                <w:szCs w:val="17"/>
                <w:lang w:val="hr-HR"/>
              </w:rPr>
            </w:pPr>
            <w:bookmarkStart w:id="605" w:name="_Toc67327247"/>
            <w:r w:rsidRPr="00D042BF">
              <w:rPr>
                <w:rFonts w:ascii="Arial" w:hAnsi="Arial" w:cs="Arial"/>
                <w:b/>
                <w:bCs/>
                <w:color w:val="000000"/>
                <w:sz w:val="17"/>
                <w:szCs w:val="17"/>
                <w:lang w:val="hr-HR"/>
              </w:rPr>
              <w:t>000 kuna</w:t>
            </w:r>
            <w:bookmarkEnd w:id="605"/>
          </w:p>
        </w:tc>
      </w:tr>
      <w:tr w:rsidR="00D042BF" w:rsidRPr="00D042BF" w14:paraId="72B769E8" w14:textId="77777777" w:rsidTr="00E032FC">
        <w:trPr>
          <w:trHeight w:val="106"/>
        </w:trPr>
        <w:tc>
          <w:tcPr>
            <w:tcW w:w="1444" w:type="pct"/>
          </w:tcPr>
          <w:p w14:paraId="71DB124A" w14:textId="77777777" w:rsidR="00D042BF" w:rsidRPr="00D042BF" w:rsidRDefault="00D042BF" w:rsidP="00D042BF">
            <w:pPr>
              <w:tabs>
                <w:tab w:val="right" w:pos="1202"/>
              </w:tabs>
              <w:suppressAutoHyphens w:val="0"/>
              <w:autoSpaceDN/>
              <w:spacing w:line="140" w:lineRule="exact"/>
              <w:outlineLvl w:val="0"/>
              <w:rPr>
                <w:rFonts w:ascii="Arial" w:hAnsi="Arial" w:cs="Arial"/>
                <w:iCs/>
                <w:color w:val="000000"/>
                <w:sz w:val="17"/>
                <w:szCs w:val="17"/>
                <w:lang w:val="hr-HR"/>
              </w:rPr>
            </w:pPr>
          </w:p>
        </w:tc>
        <w:tc>
          <w:tcPr>
            <w:tcW w:w="592" w:type="pct"/>
            <w:vAlign w:val="bottom"/>
          </w:tcPr>
          <w:p w14:paraId="7C598DE6" w14:textId="77777777" w:rsidR="00D042BF" w:rsidRPr="00D042BF" w:rsidRDefault="00D042BF" w:rsidP="00D042BF">
            <w:pPr>
              <w:tabs>
                <w:tab w:val="right" w:pos="1202"/>
              </w:tabs>
              <w:suppressAutoHyphens w:val="0"/>
              <w:autoSpaceDN/>
              <w:spacing w:line="140" w:lineRule="exact"/>
              <w:jc w:val="right"/>
              <w:outlineLvl w:val="0"/>
              <w:rPr>
                <w:rFonts w:ascii="Arial" w:hAnsi="Arial" w:cs="Arial"/>
                <w:b/>
                <w:bCs/>
                <w:color w:val="000000"/>
                <w:sz w:val="17"/>
                <w:szCs w:val="17"/>
                <w:lang w:val="hr-HR"/>
              </w:rPr>
            </w:pPr>
          </w:p>
        </w:tc>
        <w:tc>
          <w:tcPr>
            <w:tcW w:w="593" w:type="pct"/>
            <w:vAlign w:val="bottom"/>
          </w:tcPr>
          <w:p w14:paraId="12A5BBD9" w14:textId="77777777" w:rsidR="00D042BF" w:rsidRPr="00D042BF" w:rsidRDefault="00D042BF" w:rsidP="00D042BF">
            <w:pPr>
              <w:tabs>
                <w:tab w:val="right" w:pos="1202"/>
              </w:tabs>
              <w:suppressAutoHyphens w:val="0"/>
              <w:autoSpaceDN/>
              <w:spacing w:line="140" w:lineRule="exact"/>
              <w:jc w:val="right"/>
              <w:outlineLvl w:val="0"/>
              <w:rPr>
                <w:rFonts w:ascii="Arial" w:hAnsi="Arial" w:cs="Arial"/>
                <w:b/>
                <w:bCs/>
                <w:color w:val="000000"/>
                <w:sz w:val="17"/>
                <w:szCs w:val="17"/>
                <w:lang w:val="hr-HR"/>
              </w:rPr>
            </w:pPr>
          </w:p>
        </w:tc>
        <w:tc>
          <w:tcPr>
            <w:tcW w:w="592" w:type="pct"/>
          </w:tcPr>
          <w:p w14:paraId="7B244114" w14:textId="77777777" w:rsidR="00D042BF" w:rsidRPr="00D042BF" w:rsidRDefault="00D042BF" w:rsidP="00D042BF">
            <w:pPr>
              <w:tabs>
                <w:tab w:val="right" w:pos="1202"/>
              </w:tabs>
              <w:suppressAutoHyphens w:val="0"/>
              <w:autoSpaceDN/>
              <w:spacing w:line="140" w:lineRule="exact"/>
              <w:jc w:val="right"/>
              <w:outlineLvl w:val="0"/>
              <w:rPr>
                <w:rFonts w:ascii="Arial" w:hAnsi="Arial" w:cs="Arial"/>
                <w:b/>
                <w:bCs/>
                <w:color w:val="000000"/>
                <w:sz w:val="17"/>
                <w:szCs w:val="17"/>
                <w:lang w:val="hr-HR"/>
              </w:rPr>
            </w:pPr>
          </w:p>
        </w:tc>
        <w:tc>
          <w:tcPr>
            <w:tcW w:w="593" w:type="pct"/>
            <w:vAlign w:val="bottom"/>
          </w:tcPr>
          <w:p w14:paraId="38E1A6E2" w14:textId="77777777" w:rsidR="00D042BF" w:rsidRPr="00D042BF" w:rsidRDefault="00D042BF" w:rsidP="00D042BF">
            <w:pPr>
              <w:tabs>
                <w:tab w:val="right" w:pos="1202"/>
              </w:tabs>
              <w:suppressAutoHyphens w:val="0"/>
              <w:autoSpaceDN/>
              <w:spacing w:line="140" w:lineRule="exact"/>
              <w:jc w:val="right"/>
              <w:outlineLvl w:val="0"/>
              <w:rPr>
                <w:rFonts w:ascii="Arial" w:hAnsi="Arial" w:cs="Arial"/>
                <w:b/>
                <w:bCs/>
                <w:color w:val="000000"/>
                <w:sz w:val="17"/>
                <w:szCs w:val="17"/>
                <w:lang w:val="hr-HR"/>
              </w:rPr>
            </w:pPr>
          </w:p>
        </w:tc>
        <w:tc>
          <w:tcPr>
            <w:tcW w:w="592" w:type="pct"/>
          </w:tcPr>
          <w:p w14:paraId="43CC0770" w14:textId="77777777" w:rsidR="00D042BF" w:rsidRPr="00D042BF" w:rsidRDefault="00D042BF" w:rsidP="00D042BF">
            <w:pPr>
              <w:tabs>
                <w:tab w:val="right" w:pos="1202"/>
              </w:tabs>
              <w:suppressAutoHyphens w:val="0"/>
              <w:autoSpaceDN/>
              <w:spacing w:line="140" w:lineRule="exact"/>
              <w:jc w:val="right"/>
              <w:outlineLvl w:val="0"/>
              <w:rPr>
                <w:rFonts w:ascii="Arial" w:hAnsi="Arial" w:cs="Arial"/>
                <w:b/>
                <w:bCs/>
                <w:color w:val="000000"/>
                <w:sz w:val="17"/>
                <w:szCs w:val="17"/>
                <w:lang w:val="hr-HR"/>
              </w:rPr>
            </w:pPr>
          </w:p>
        </w:tc>
        <w:tc>
          <w:tcPr>
            <w:tcW w:w="593" w:type="pct"/>
            <w:vAlign w:val="bottom"/>
          </w:tcPr>
          <w:p w14:paraId="05463DA4" w14:textId="77777777" w:rsidR="00D042BF" w:rsidRPr="00D042BF" w:rsidRDefault="00D042BF" w:rsidP="00D042BF">
            <w:pPr>
              <w:tabs>
                <w:tab w:val="right" w:pos="1202"/>
              </w:tabs>
              <w:suppressAutoHyphens w:val="0"/>
              <w:autoSpaceDN/>
              <w:spacing w:line="140" w:lineRule="exact"/>
              <w:jc w:val="right"/>
              <w:outlineLvl w:val="0"/>
              <w:rPr>
                <w:rFonts w:ascii="Arial" w:hAnsi="Arial" w:cs="Arial"/>
                <w:b/>
                <w:bCs/>
                <w:color w:val="000000"/>
                <w:sz w:val="17"/>
                <w:szCs w:val="17"/>
                <w:lang w:val="hr-HR"/>
              </w:rPr>
            </w:pPr>
          </w:p>
        </w:tc>
      </w:tr>
      <w:tr w:rsidR="00D042BF" w:rsidRPr="00D042BF" w14:paraId="29312944" w14:textId="77777777" w:rsidTr="00E032FC">
        <w:trPr>
          <w:trHeight w:val="367"/>
        </w:trPr>
        <w:tc>
          <w:tcPr>
            <w:tcW w:w="1444" w:type="pct"/>
            <w:vAlign w:val="bottom"/>
          </w:tcPr>
          <w:p w14:paraId="0166E55E" w14:textId="77777777" w:rsidR="00D042BF" w:rsidRPr="00D042BF" w:rsidRDefault="00D042BF" w:rsidP="00D042BF">
            <w:pPr>
              <w:tabs>
                <w:tab w:val="right" w:pos="1202"/>
              </w:tabs>
              <w:suppressAutoHyphens w:val="0"/>
              <w:autoSpaceDN/>
              <w:spacing w:line="240" w:lineRule="exact"/>
              <w:outlineLvl w:val="0"/>
              <w:rPr>
                <w:rFonts w:ascii="Arial" w:hAnsi="Arial" w:cs="Arial"/>
                <w:b/>
                <w:iCs/>
                <w:color w:val="000000"/>
                <w:sz w:val="17"/>
                <w:szCs w:val="17"/>
                <w:lang w:val="hr-HR"/>
              </w:rPr>
            </w:pPr>
            <w:bookmarkStart w:id="606" w:name="_Toc67327248"/>
            <w:r w:rsidRPr="00D042BF">
              <w:rPr>
                <w:rFonts w:ascii="Arial" w:hAnsi="Arial" w:cs="Arial"/>
                <w:b/>
                <w:iCs/>
                <w:color w:val="000000"/>
                <w:sz w:val="17"/>
                <w:szCs w:val="17"/>
                <w:lang w:val="hr-HR"/>
              </w:rPr>
              <w:t>Stanje 1. siječnja 2021.</w:t>
            </w:r>
            <w:bookmarkEnd w:id="606"/>
            <w:r w:rsidRPr="00D042BF">
              <w:rPr>
                <w:rFonts w:ascii="Arial" w:hAnsi="Arial" w:cs="Arial"/>
                <w:b/>
                <w:iCs/>
                <w:color w:val="000000"/>
                <w:sz w:val="17"/>
                <w:szCs w:val="17"/>
                <w:lang w:val="hr-HR"/>
              </w:rPr>
              <w:t xml:space="preserve"> </w:t>
            </w:r>
          </w:p>
        </w:tc>
        <w:tc>
          <w:tcPr>
            <w:tcW w:w="592" w:type="pct"/>
            <w:tcBorders>
              <w:top w:val="nil"/>
              <w:left w:val="nil"/>
              <w:bottom w:val="single" w:sz="12" w:space="0" w:color="auto"/>
              <w:right w:val="nil"/>
            </w:tcBorders>
            <w:shd w:val="clear" w:color="auto" w:fill="auto"/>
            <w:vAlign w:val="bottom"/>
          </w:tcPr>
          <w:p w14:paraId="6379F2D4"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bookmarkStart w:id="607" w:name="_Toc67327298"/>
            <w:r w:rsidRPr="00D042BF">
              <w:rPr>
                <w:rFonts w:ascii="Arial" w:hAnsi="Arial" w:cs="Arial"/>
                <w:b/>
                <w:bCs/>
                <w:color w:val="000000"/>
                <w:sz w:val="17"/>
                <w:szCs w:val="17"/>
                <w:lang w:val="hr-HR"/>
              </w:rPr>
              <w:t>7.134.632</w:t>
            </w:r>
            <w:bookmarkEnd w:id="607"/>
          </w:p>
        </w:tc>
        <w:tc>
          <w:tcPr>
            <w:tcW w:w="593" w:type="pct"/>
            <w:tcBorders>
              <w:top w:val="nil"/>
              <w:left w:val="nil"/>
              <w:bottom w:val="single" w:sz="12" w:space="0" w:color="auto"/>
              <w:right w:val="nil"/>
            </w:tcBorders>
            <w:shd w:val="clear" w:color="auto" w:fill="auto"/>
            <w:vAlign w:val="bottom"/>
          </w:tcPr>
          <w:p w14:paraId="5865AB3F"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bookmarkStart w:id="608" w:name="_Toc67327299"/>
            <w:r w:rsidRPr="00D042BF">
              <w:rPr>
                <w:rFonts w:ascii="Arial" w:hAnsi="Arial" w:cs="Arial"/>
                <w:b/>
                <w:bCs/>
                <w:color w:val="000000"/>
                <w:sz w:val="17"/>
                <w:szCs w:val="17"/>
                <w:lang w:val="hr-HR"/>
              </w:rPr>
              <w:t>3.074.406</w:t>
            </w:r>
            <w:bookmarkEnd w:id="608"/>
          </w:p>
        </w:tc>
        <w:tc>
          <w:tcPr>
            <w:tcW w:w="592" w:type="pct"/>
            <w:tcBorders>
              <w:top w:val="nil"/>
              <w:left w:val="nil"/>
              <w:bottom w:val="single" w:sz="12" w:space="0" w:color="auto"/>
              <w:right w:val="nil"/>
            </w:tcBorders>
            <w:shd w:val="clear" w:color="auto" w:fill="auto"/>
            <w:vAlign w:val="bottom"/>
          </w:tcPr>
          <w:p w14:paraId="4F677B55"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bookmarkStart w:id="609" w:name="_Toc67327300"/>
            <w:r w:rsidRPr="00D042BF">
              <w:rPr>
                <w:rFonts w:ascii="Arial" w:hAnsi="Arial" w:cs="Arial"/>
                <w:b/>
                <w:bCs/>
                <w:color w:val="000000"/>
                <w:sz w:val="17"/>
                <w:szCs w:val="17"/>
                <w:lang w:val="hr-HR"/>
              </w:rPr>
              <w:t>53.906</w:t>
            </w:r>
            <w:bookmarkEnd w:id="609"/>
          </w:p>
        </w:tc>
        <w:tc>
          <w:tcPr>
            <w:tcW w:w="593" w:type="pct"/>
            <w:tcBorders>
              <w:top w:val="nil"/>
              <w:left w:val="nil"/>
              <w:bottom w:val="single" w:sz="12" w:space="0" w:color="auto"/>
              <w:right w:val="nil"/>
            </w:tcBorders>
            <w:shd w:val="clear" w:color="auto" w:fill="auto"/>
            <w:vAlign w:val="bottom"/>
          </w:tcPr>
          <w:p w14:paraId="4FF357DA"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bookmarkStart w:id="610" w:name="_Toc67327301"/>
            <w:r w:rsidRPr="00D042BF">
              <w:rPr>
                <w:rFonts w:ascii="Arial" w:hAnsi="Arial" w:cs="Arial"/>
                <w:b/>
                <w:bCs/>
                <w:color w:val="000000"/>
                <w:sz w:val="17"/>
                <w:szCs w:val="17"/>
                <w:lang w:val="hr-HR"/>
              </w:rPr>
              <w:t>79.339</w:t>
            </w:r>
            <w:bookmarkEnd w:id="610"/>
          </w:p>
        </w:tc>
        <w:tc>
          <w:tcPr>
            <w:tcW w:w="592" w:type="pct"/>
            <w:tcBorders>
              <w:top w:val="nil"/>
              <w:left w:val="nil"/>
              <w:bottom w:val="single" w:sz="12" w:space="0" w:color="auto"/>
              <w:right w:val="nil"/>
            </w:tcBorders>
            <w:shd w:val="clear" w:color="auto" w:fill="auto"/>
            <w:vAlign w:val="bottom"/>
          </w:tcPr>
          <w:p w14:paraId="457E1638"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color w:val="000000"/>
                <w:sz w:val="17"/>
                <w:szCs w:val="17"/>
                <w:lang w:val="hr-HR"/>
              </w:rPr>
            </w:pPr>
            <w:bookmarkStart w:id="611" w:name="_Toc67327302"/>
            <w:r w:rsidRPr="00D042BF">
              <w:rPr>
                <w:rFonts w:ascii="Arial" w:hAnsi="Arial" w:cs="Arial"/>
                <w:b/>
                <w:bCs/>
                <w:color w:val="000000"/>
                <w:sz w:val="17"/>
                <w:szCs w:val="17"/>
                <w:lang w:val="hr-HR"/>
              </w:rPr>
              <w:t>12.341</w:t>
            </w:r>
            <w:bookmarkEnd w:id="611"/>
          </w:p>
        </w:tc>
        <w:tc>
          <w:tcPr>
            <w:tcW w:w="593" w:type="pct"/>
            <w:tcBorders>
              <w:top w:val="nil"/>
              <w:left w:val="nil"/>
              <w:bottom w:val="single" w:sz="12" w:space="0" w:color="auto"/>
              <w:right w:val="nil"/>
            </w:tcBorders>
            <w:shd w:val="clear" w:color="auto" w:fill="auto"/>
            <w:vAlign w:val="bottom"/>
          </w:tcPr>
          <w:p w14:paraId="11273BE3"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bookmarkStart w:id="612" w:name="_Toc67327303"/>
            <w:r w:rsidRPr="00D042BF">
              <w:rPr>
                <w:rFonts w:ascii="Arial" w:hAnsi="Arial" w:cs="Arial"/>
                <w:b/>
                <w:bCs/>
                <w:color w:val="000000"/>
                <w:sz w:val="17"/>
                <w:szCs w:val="17"/>
                <w:lang w:val="hr-HR"/>
              </w:rPr>
              <w:t>10.354.624</w:t>
            </w:r>
            <w:bookmarkEnd w:id="612"/>
          </w:p>
        </w:tc>
      </w:tr>
      <w:tr w:rsidR="00D042BF" w:rsidRPr="00D042BF" w14:paraId="7AD86DB8" w14:textId="77777777" w:rsidTr="00E032FC">
        <w:trPr>
          <w:trHeight w:hRule="exact" w:val="331"/>
        </w:trPr>
        <w:tc>
          <w:tcPr>
            <w:tcW w:w="1444" w:type="pct"/>
            <w:vAlign w:val="bottom"/>
          </w:tcPr>
          <w:p w14:paraId="5E08D936" w14:textId="77777777" w:rsidR="00D042BF" w:rsidRPr="00D042BF" w:rsidRDefault="00D042BF" w:rsidP="00D042BF">
            <w:pPr>
              <w:tabs>
                <w:tab w:val="right" w:pos="1202"/>
              </w:tabs>
              <w:suppressAutoHyphens w:val="0"/>
              <w:autoSpaceDN/>
              <w:spacing w:line="240" w:lineRule="exact"/>
              <w:outlineLvl w:val="0"/>
              <w:rPr>
                <w:rFonts w:ascii="Arial" w:hAnsi="Arial" w:cs="Arial"/>
                <w:iCs/>
                <w:color w:val="000000"/>
                <w:sz w:val="17"/>
                <w:szCs w:val="17"/>
                <w:lang w:val="hr-HR"/>
              </w:rPr>
            </w:pPr>
            <w:bookmarkStart w:id="613" w:name="_Toc67327255"/>
            <w:r w:rsidRPr="00D042BF">
              <w:rPr>
                <w:rFonts w:ascii="Arial" w:hAnsi="Arial" w:cs="Arial"/>
                <w:iCs/>
                <w:color w:val="000000"/>
                <w:sz w:val="17"/>
                <w:szCs w:val="17"/>
                <w:lang w:val="hr-HR"/>
              </w:rPr>
              <w:t>Dobit tekuće godine</w:t>
            </w:r>
            <w:bookmarkEnd w:id="613"/>
          </w:p>
        </w:tc>
        <w:tc>
          <w:tcPr>
            <w:tcW w:w="592" w:type="pct"/>
            <w:tcBorders>
              <w:top w:val="single" w:sz="12" w:space="0" w:color="auto"/>
              <w:left w:val="nil"/>
              <w:bottom w:val="nil"/>
              <w:right w:val="nil"/>
            </w:tcBorders>
            <w:shd w:val="clear" w:color="auto" w:fill="auto"/>
            <w:vAlign w:val="bottom"/>
          </w:tcPr>
          <w:p w14:paraId="1481DFB6"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bookmarkStart w:id="614" w:name="_Toc67327305"/>
            <w:r w:rsidRPr="00D042BF">
              <w:rPr>
                <w:rFonts w:ascii="Arial" w:hAnsi="Arial" w:cs="Arial"/>
                <w:iCs/>
                <w:color w:val="000000"/>
                <w:sz w:val="17"/>
                <w:szCs w:val="17"/>
                <w:lang w:val="hr-HR"/>
              </w:rPr>
              <w:t>-</w:t>
            </w:r>
            <w:bookmarkEnd w:id="614"/>
          </w:p>
        </w:tc>
        <w:tc>
          <w:tcPr>
            <w:tcW w:w="593" w:type="pct"/>
            <w:tcBorders>
              <w:top w:val="single" w:sz="12" w:space="0" w:color="auto"/>
              <w:left w:val="nil"/>
              <w:bottom w:val="nil"/>
              <w:right w:val="nil"/>
            </w:tcBorders>
            <w:shd w:val="clear" w:color="auto" w:fill="auto"/>
            <w:vAlign w:val="bottom"/>
          </w:tcPr>
          <w:p w14:paraId="556FFC98"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bookmarkStart w:id="615" w:name="_Toc67327306"/>
            <w:r w:rsidRPr="00D042BF">
              <w:rPr>
                <w:rFonts w:ascii="Arial" w:hAnsi="Arial" w:cs="Arial"/>
                <w:iCs/>
                <w:color w:val="000000"/>
                <w:sz w:val="17"/>
                <w:szCs w:val="17"/>
                <w:lang w:val="hr-HR"/>
              </w:rPr>
              <w:t>-</w:t>
            </w:r>
            <w:bookmarkEnd w:id="615"/>
          </w:p>
        </w:tc>
        <w:tc>
          <w:tcPr>
            <w:tcW w:w="592" w:type="pct"/>
            <w:tcBorders>
              <w:top w:val="single" w:sz="12" w:space="0" w:color="auto"/>
              <w:left w:val="nil"/>
              <w:bottom w:val="nil"/>
              <w:right w:val="nil"/>
            </w:tcBorders>
            <w:shd w:val="clear" w:color="auto" w:fill="auto"/>
            <w:vAlign w:val="bottom"/>
          </w:tcPr>
          <w:p w14:paraId="443A24E4"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bookmarkStart w:id="616" w:name="_Toc67327307"/>
            <w:r w:rsidRPr="00D042BF">
              <w:rPr>
                <w:rFonts w:ascii="Arial" w:hAnsi="Arial" w:cs="Arial"/>
                <w:iCs/>
                <w:color w:val="000000"/>
                <w:sz w:val="17"/>
                <w:szCs w:val="17"/>
                <w:lang w:val="hr-HR"/>
              </w:rPr>
              <w:t>-</w:t>
            </w:r>
            <w:bookmarkEnd w:id="616"/>
          </w:p>
        </w:tc>
        <w:tc>
          <w:tcPr>
            <w:tcW w:w="593" w:type="pct"/>
            <w:tcBorders>
              <w:top w:val="single" w:sz="12" w:space="0" w:color="auto"/>
              <w:left w:val="nil"/>
              <w:bottom w:val="nil"/>
              <w:right w:val="nil"/>
            </w:tcBorders>
            <w:shd w:val="clear" w:color="auto" w:fill="auto"/>
            <w:vAlign w:val="bottom"/>
          </w:tcPr>
          <w:p w14:paraId="05A61839"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bookmarkStart w:id="617" w:name="_Toc67327308"/>
            <w:r w:rsidRPr="00D042BF">
              <w:rPr>
                <w:rFonts w:ascii="Arial" w:hAnsi="Arial" w:cs="Arial"/>
                <w:iCs/>
                <w:color w:val="000000"/>
                <w:sz w:val="17"/>
                <w:szCs w:val="17"/>
                <w:lang w:val="hr-HR"/>
              </w:rPr>
              <w:t>187.082</w:t>
            </w:r>
            <w:bookmarkEnd w:id="617"/>
          </w:p>
        </w:tc>
        <w:tc>
          <w:tcPr>
            <w:tcW w:w="592" w:type="pct"/>
            <w:tcBorders>
              <w:top w:val="single" w:sz="12" w:space="0" w:color="auto"/>
              <w:left w:val="nil"/>
              <w:bottom w:val="nil"/>
              <w:right w:val="nil"/>
            </w:tcBorders>
            <w:shd w:val="clear" w:color="auto" w:fill="auto"/>
            <w:vAlign w:val="bottom"/>
          </w:tcPr>
          <w:p w14:paraId="4FFBEA91"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color w:val="000000"/>
                <w:sz w:val="17"/>
                <w:szCs w:val="17"/>
                <w:lang w:val="hr-HR"/>
              </w:rPr>
            </w:pPr>
            <w:bookmarkStart w:id="618" w:name="_Toc67327309"/>
            <w:r w:rsidRPr="00D042BF">
              <w:rPr>
                <w:rFonts w:ascii="Arial" w:hAnsi="Arial" w:cs="Arial"/>
                <w:iCs/>
                <w:color w:val="000000"/>
                <w:sz w:val="17"/>
                <w:szCs w:val="17"/>
                <w:lang w:val="hr-HR"/>
              </w:rPr>
              <w:t>-</w:t>
            </w:r>
            <w:bookmarkEnd w:id="618"/>
          </w:p>
        </w:tc>
        <w:tc>
          <w:tcPr>
            <w:tcW w:w="593" w:type="pct"/>
            <w:tcBorders>
              <w:top w:val="single" w:sz="12" w:space="0" w:color="auto"/>
              <w:left w:val="nil"/>
              <w:bottom w:val="nil"/>
              <w:right w:val="nil"/>
            </w:tcBorders>
            <w:shd w:val="clear" w:color="auto" w:fill="auto"/>
            <w:vAlign w:val="bottom"/>
          </w:tcPr>
          <w:p w14:paraId="0E62AECB"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bookmarkStart w:id="619" w:name="_Toc67327310"/>
            <w:r w:rsidRPr="00D042BF">
              <w:rPr>
                <w:rFonts w:ascii="Arial" w:hAnsi="Arial" w:cs="Arial"/>
                <w:b/>
                <w:iCs/>
                <w:color w:val="000000"/>
                <w:sz w:val="17"/>
                <w:szCs w:val="17"/>
                <w:lang w:val="hr-HR"/>
              </w:rPr>
              <w:t>187.082</w:t>
            </w:r>
            <w:bookmarkEnd w:id="619"/>
          </w:p>
        </w:tc>
      </w:tr>
      <w:tr w:rsidR="00D042BF" w:rsidRPr="00D042BF" w14:paraId="361C9119" w14:textId="77777777" w:rsidTr="00E032FC">
        <w:trPr>
          <w:trHeight w:hRule="exact" w:val="343"/>
        </w:trPr>
        <w:tc>
          <w:tcPr>
            <w:tcW w:w="1444" w:type="pct"/>
            <w:vAlign w:val="bottom"/>
          </w:tcPr>
          <w:p w14:paraId="5BF63317" w14:textId="77777777" w:rsidR="00D042BF" w:rsidRPr="00D042BF" w:rsidRDefault="00D042BF" w:rsidP="00D042BF">
            <w:pPr>
              <w:tabs>
                <w:tab w:val="right" w:pos="1202"/>
              </w:tabs>
              <w:suppressAutoHyphens w:val="0"/>
              <w:autoSpaceDN/>
              <w:spacing w:line="240" w:lineRule="exact"/>
              <w:outlineLvl w:val="0"/>
              <w:rPr>
                <w:rFonts w:ascii="Arial" w:hAnsi="Arial" w:cs="Arial"/>
                <w:iCs/>
                <w:color w:val="000000"/>
                <w:sz w:val="17"/>
                <w:szCs w:val="17"/>
                <w:lang w:val="hr-HR"/>
              </w:rPr>
            </w:pPr>
            <w:bookmarkStart w:id="620" w:name="_Toc67327262"/>
            <w:r w:rsidRPr="00D042BF">
              <w:rPr>
                <w:rFonts w:ascii="Arial" w:hAnsi="Arial" w:cs="Arial"/>
                <w:iCs/>
                <w:color w:val="000000"/>
                <w:sz w:val="17"/>
                <w:szCs w:val="17"/>
                <w:lang w:val="hr-HR"/>
              </w:rPr>
              <w:t>Ostala sveobuhvatna dobit</w:t>
            </w:r>
            <w:bookmarkEnd w:id="620"/>
          </w:p>
        </w:tc>
        <w:tc>
          <w:tcPr>
            <w:tcW w:w="592" w:type="pct"/>
            <w:tcBorders>
              <w:top w:val="nil"/>
              <w:left w:val="nil"/>
              <w:bottom w:val="single" w:sz="4" w:space="0" w:color="auto"/>
              <w:right w:val="nil"/>
            </w:tcBorders>
            <w:shd w:val="clear" w:color="auto" w:fill="auto"/>
            <w:vAlign w:val="bottom"/>
          </w:tcPr>
          <w:p w14:paraId="0F12CDF4"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bookmarkStart w:id="621" w:name="_Toc67327312"/>
            <w:r w:rsidRPr="00D042BF">
              <w:rPr>
                <w:rFonts w:ascii="Arial" w:hAnsi="Arial" w:cs="Arial"/>
                <w:iCs/>
                <w:color w:val="000000"/>
                <w:sz w:val="17"/>
                <w:szCs w:val="17"/>
                <w:lang w:val="hr-HR"/>
              </w:rPr>
              <w:t>-</w:t>
            </w:r>
            <w:bookmarkEnd w:id="621"/>
          </w:p>
        </w:tc>
        <w:tc>
          <w:tcPr>
            <w:tcW w:w="593" w:type="pct"/>
            <w:tcBorders>
              <w:top w:val="nil"/>
              <w:left w:val="nil"/>
              <w:bottom w:val="single" w:sz="4" w:space="0" w:color="auto"/>
              <w:right w:val="nil"/>
            </w:tcBorders>
            <w:shd w:val="clear" w:color="auto" w:fill="auto"/>
            <w:vAlign w:val="bottom"/>
          </w:tcPr>
          <w:p w14:paraId="5F73BFE3"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bookmarkStart w:id="622" w:name="_Toc67327313"/>
            <w:r w:rsidRPr="00D042BF">
              <w:rPr>
                <w:rFonts w:ascii="Arial" w:hAnsi="Arial" w:cs="Arial"/>
                <w:iCs/>
                <w:color w:val="000000"/>
                <w:sz w:val="17"/>
                <w:szCs w:val="17"/>
                <w:lang w:val="hr-HR"/>
              </w:rPr>
              <w:t>-</w:t>
            </w:r>
            <w:bookmarkEnd w:id="622"/>
          </w:p>
        </w:tc>
        <w:tc>
          <w:tcPr>
            <w:tcW w:w="592" w:type="pct"/>
            <w:tcBorders>
              <w:top w:val="nil"/>
              <w:left w:val="nil"/>
              <w:bottom w:val="single" w:sz="4" w:space="0" w:color="auto"/>
              <w:right w:val="nil"/>
            </w:tcBorders>
            <w:shd w:val="clear" w:color="auto" w:fill="auto"/>
            <w:vAlign w:val="bottom"/>
          </w:tcPr>
          <w:p w14:paraId="769554C8"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bookmarkStart w:id="623" w:name="_Toc67327314"/>
            <w:r w:rsidRPr="00D042BF">
              <w:rPr>
                <w:rFonts w:ascii="Arial" w:hAnsi="Arial" w:cs="Arial"/>
                <w:iCs/>
                <w:color w:val="000000"/>
                <w:sz w:val="17"/>
                <w:szCs w:val="17"/>
                <w:lang w:val="hr-HR"/>
              </w:rPr>
              <w:t>(23.945)</w:t>
            </w:r>
            <w:bookmarkEnd w:id="623"/>
          </w:p>
        </w:tc>
        <w:tc>
          <w:tcPr>
            <w:tcW w:w="593" w:type="pct"/>
            <w:tcBorders>
              <w:top w:val="nil"/>
              <w:left w:val="nil"/>
              <w:bottom w:val="single" w:sz="4" w:space="0" w:color="auto"/>
              <w:right w:val="nil"/>
            </w:tcBorders>
            <w:shd w:val="clear" w:color="auto" w:fill="auto"/>
            <w:vAlign w:val="bottom"/>
          </w:tcPr>
          <w:p w14:paraId="59E27D62"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bookmarkStart w:id="624" w:name="_Toc67327315"/>
            <w:r w:rsidRPr="00D042BF">
              <w:rPr>
                <w:rFonts w:ascii="Arial" w:hAnsi="Arial" w:cs="Arial"/>
                <w:iCs/>
                <w:color w:val="000000"/>
                <w:sz w:val="17"/>
                <w:szCs w:val="17"/>
                <w:lang w:val="hr-HR"/>
              </w:rPr>
              <w:t>-</w:t>
            </w:r>
            <w:bookmarkEnd w:id="624"/>
          </w:p>
        </w:tc>
        <w:tc>
          <w:tcPr>
            <w:tcW w:w="592" w:type="pct"/>
            <w:tcBorders>
              <w:top w:val="nil"/>
              <w:left w:val="nil"/>
              <w:bottom w:val="single" w:sz="4" w:space="0" w:color="auto"/>
              <w:right w:val="nil"/>
            </w:tcBorders>
            <w:shd w:val="clear" w:color="auto" w:fill="auto"/>
            <w:vAlign w:val="bottom"/>
          </w:tcPr>
          <w:p w14:paraId="60F0F4D6"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color w:val="000000"/>
                <w:sz w:val="17"/>
                <w:szCs w:val="17"/>
                <w:lang w:val="hr-HR"/>
              </w:rPr>
            </w:pPr>
            <w:bookmarkStart w:id="625" w:name="_Toc67327316"/>
            <w:r w:rsidRPr="00D042BF">
              <w:rPr>
                <w:rFonts w:ascii="Arial" w:hAnsi="Arial" w:cs="Arial"/>
                <w:iCs/>
                <w:color w:val="000000"/>
                <w:sz w:val="17"/>
                <w:szCs w:val="17"/>
                <w:lang w:val="hr-HR"/>
              </w:rPr>
              <w:t>-</w:t>
            </w:r>
            <w:bookmarkEnd w:id="625"/>
          </w:p>
        </w:tc>
        <w:tc>
          <w:tcPr>
            <w:tcW w:w="593" w:type="pct"/>
            <w:tcBorders>
              <w:top w:val="nil"/>
              <w:left w:val="nil"/>
              <w:bottom w:val="single" w:sz="4" w:space="0" w:color="auto"/>
              <w:right w:val="nil"/>
            </w:tcBorders>
            <w:shd w:val="clear" w:color="auto" w:fill="auto"/>
            <w:vAlign w:val="bottom"/>
          </w:tcPr>
          <w:p w14:paraId="16EDA696"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bookmarkStart w:id="626" w:name="_Toc67327317"/>
            <w:r w:rsidRPr="00D042BF">
              <w:rPr>
                <w:rFonts w:ascii="Arial" w:hAnsi="Arial" w:cs="Arial"/>
                <w:b/>
                <w:iCs/>
                <w:color w:val="000000"/>
                <w:sz w:val="17"/>
                <w:szCs w:val="17"/>
                <w:lang w:val="hr-HR"/>
              </w:rPr>
              <w:t>(23.945)</w:t>
            </w:r>
            <w:bookmarkEnd w:id="626"/>
          </w:p>
        </w:tc>
      </w:tr>
      <w:tr w:rsidR="00D042BF" w:rsidRPr="00D042BF" w14:paraId="38690C94" w14:textId="77777777" w:rsidTr="00E032FC">
        <w:trPr>
          <w:trHeight w:val="227"/>
        </w:trPr>
        <w:tc>
          <w:tcPr>
            <w:tcW w:w="1444" w:type="pct"/>
            <w:vAlign w:val="bottom"/>
          </w:tcPr>
          <w:p w14:paraId="00F7464D" w14:textId="77777777" w:rsidR="00D042BF" w:rsidRPr="00D042BF" w:rsidRDefault="00D042BF" w:rsidP="00D042BF">
            <w:pPr>
              <w:tabs>
                <w:tab w:val="right" w:pos="1202"/>
              </w:tabs>
              <w:suppressAutoHyphens w:val="0"/>
              <w:autoSpaceDN/>
              <w:spacing w:line="240" w:lineRule="exact"/>
              <w:outlineLvl w:val="0"/>
              <w:rPr>
                <w:rFonts w:ascii="Arial" w:hAnsi="Arial" w:cs="Arial"/>
                <w:iCs/>
                <w:color w:val="000000"/>
                <w:sz w:val="17"/>
                <w:szCs w:val="17"/>
                <w:lang w:val="hr-HR"/>
              </w:rPr>
            </w:pPr>
            <w:bookmarkStart w:id="627" w:name="_Toc67327269"/>
            <w:r w:rsidRPr="00D042BF">
              <w:rPr>
                <w:rFonts w:ascii="Arial" w:hAnsi="Arial" w:cs="Arial"/>
                <w:iCs/>
                <w:color w:val="000000"/>
                <w:sz w:val="17"/>
                <w:szCs w:val="17"/>
                <w:lang w:val="hr-HR"/>
              </w:rPr>
              <w:t>Ukupna sveobuhvatna dobit</w:t>
            </w:r>
            <w:bookmarkEnd w:id="627"/>
          </w:p>
        </w:tc>
        <w:tc>
          <w:tcPr>
            <w:tcW w:w="592" w:type="pct"/>
            <w:tcBorders>
              <w:top w:val="nil"/>
              <w:left w:val="nil"/>
              <w:bottom w:val="single" w:sz="4" w:space="0" w:color="auto"/>
              <w:right w:val="nil"/>
            </w:tcBorders>
            <w:shd w:val="clear" w:color="auto" w:fill="auto"/>
            <w:vAlign w:val="bottom"/>
          </w:tcPr>
          <w:p w14:paraId="29509FC3"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iCs/>
                <w:color w:val="000000"/>
                <w:sz w:val="17"/>
                <w:szCs w:val="17"/>
                <w:lang w:val="hr-HR"/>
              </w:rPr>
            </w:pPr>
            <w:bookmarkStart w:id="628" w:name="_Toc67327319"/>
            <w:r w:rsidRPr="00D042BF">
              <w:rPr>
                <w:rFonts w:ascii="Arial" w:hAnsi="Arial" w:cs="Arial"/>
                <w:b/>
                <w:bCs/>
                <w:iCs/>
                <w:color w:val="000000"/>
                <w:sz w:val="17"/>
                <w:szCs w:val="17"/>
                <w:lang w:val="hr-HR"/>
              </w:rPr>
              <w:t>-</w:t>
            </w:r>
            <w:bookmarkEnd w:id="628"/>
          </w:p>
        </w:tc>
        <w:tc>
          <w:tcPr>
            <w:tcW w:w="593" w:type="pct"/>
            <w:tcBorders>
              <w:top w:val="nil"/>
              <w:left w:val="nil"/>
              <w:bottom w:val="single" w:sz="4" w:space="0" w:color="auto"/>
              <w:right w:val="nil"/>
            </w:tcBorders>
            <w:shd w:val="clear" w:color="auto" w:fill="auto"/>
            <w:vAlign w:val="bottom"/>
          </w:tcPr>
          <w:p w14:paraId="150DC0A1"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iCs/>
                <w:color w:val="000000"/>
                <w:sz w:val="17"/>
                <w:szCs w:val="17"/>
                <w:lang w:val="hr-HR"/>
              </w:rPr>
            </w:pPr>
            <w:bookmarkStart w:id="629" w:name="_Toc67327320"/>
            <w:r w:rsidRPr="00D042BF">
              <w:rPr>
                <w:rFonts w:ascii="Arial" w:hAnsi="Arial" w:cs="Arial"/>
                <w:b/>
                <w:bCs/>
                <w:iCs/>
                <w:color w:val="000000"/>
                <w:sz w:val="17"/>
                <w:szCs w:val="17"/>
                <w:lang w:val="hr-HR"/>
              </w:rPr>
              <w:t>-</w:t>
            </w:r>
            <w:bookmarkEnd w:id="629"/>
          </w:p>
        </w:tc>
        <w:tc>
          <w:tcPr>
            <w:tcW w:w="592" w:type="pct"/>
            <w:tcBorders>
              <w:top w:val="nil"/>
              <w:left w:val="nil"/>
              <w:bottom w:val="single" w:sz="4" w:space="0" w:color="auto"/>
              <w:right w:val="nil"/>
            </w:tcBorders>
            <w:shd w:val="clear" w:color="auto" w:fill="auto"/>
            <w:vAlign w:val="bottom"/>
          </w:tcPr>
          <w:p w14:paraId="4BA395B9"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iCs/>
                <w:color w:val="000000"/>
                <w:sz w:val="17"/>
                <w:szCs w:val="17"/>
                <w:lang w:val="hr-HR"/>
              </w:rPr>
            </w:pPr>
            <w:bookmarkStart w:id="630" w:name="_Toc67327321"/>
            <w:r w:rsidRPr="00D042BF">
              <w:rPr>
                <w:rFonts w:ascii="Arial" w:hAnsi="Arial" w:cs="Arial"/>
                <w:b/>
                <w:bCs/>
                <w:iCs/>
                <w:color w:val="000000"/>
                <w:sz w:val="17"/>
                <w:szCs w:val="17"/>
                <w:lang w:val="hr-HR"/>
              </w:rPr>
              <w:t>(23.945)</w:t>
            </w:r>
            <w:bookmarkEnd w:id="630"/>
          </w:p>
        </w:tc>
        <w:tc>
          <w:tcPr>
            <w:tcW w:w="593" w:type="pct"/>
            <w:tcBorders>
              <w:top w:val="nil"/>
              <w:left w:val="nil"/>
              <w:bottom w:val="single" w:sz="4" w:space="0" w:color="auto"/>
              <w:right w:val="nil"/>
            </w:tcBorders>
            <w:shd w:val="clear" w:color="auto" w:fill="auto"/>
            <w:vAlign w:val="bottom"/>
          </w:tcPr>
          <w:p w14:paraId="5DB3C95D"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iCs/>
                <w:color w:val="000000"/>
                <w:sz w:val="17"/>
                <w:szCs w:val="17"/>
                <w:lang w:val="hr-HR"/>
              </w:rPr>
            </w:pPr>
            <w:bookmarkStart w:id="631" w:name="_Toc67327322"/>
            <w:r w:rsidRPr="00D042BF">
              <w:rPr>
                <w:rFonts w:ascii="Arial" w:hAnsi="Arial" w:cs="Arial"/>
                <w:b/>
                <w:bCs/>
                <w:iCs/>
                <w:color w:val="000000"/>
                <w:sz w:val="17"/>
                <w:szCs w:val="17"/>
                <w:lang w:val="hr-HR"/>
              </w:rPr>
              <w:t>187.082</w:t>
            </w:r>
            <w:bookmarkEnd w:id="631"/>
          </w:p>
        </w:tc>
        <w:tc>
          <w:tcPr>
            <w:tcW w:w="592" w:type="pct"/>
            <w:tcBorders>
              <w:top w:val="nil"/>
              <w:left w:val="nil"/>
              <w:bottom w:val="single" w:sz="4" w:space="0" w:color="auto"/>
              <w:right w:val="nil"/>
            </w:tcBorders>
            <w:shd w:val="clear" w:color="auto" w:fill="auto"/>
            <w:vAlign w:val="bottom"/>
          </w:tcPr>
          <w:p w14:paraId="5540CD33"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color w:val="000000"/>
                <w:sz w:val="17"/>
                <w:szCs w:val="17"/>
                <w:lang w:val="hr-HR"/>
              </w:rPr>
            </w:pPr>
            <w:bookmarkStart w:id="632" w:name="_Toc67327323"/>
            <w:r w:rsidRPr="00D042BF">
              <w:rPr>
                <w:rFonts w:ascii="Arial" w:hAnsi="Arial" w:cs="Arial"/>
                <w:b/>
                <w:bCs/>
                <w:iCs/>
                <w:color w:val="000000"/>
                <w:sz w:val="17"/>
                <w:szCs w:val="17"/>
                <w:lang w:val="hr-HR"/>
              </w:rPr>
              <w:t>-</w:t>
            </w:r>
            <w:bookmarkEnd w:id="632"/>
          </w:p>
        </w:tc>
        <w:tc>
          <w:tcPr>
            <w:tcW w:w="593" w:type="pct"/>
            <w:tcBorders>
              <w:top w:val="nil"/>
              <w:left w:val="nil"/>
              <w:bottom w:val="single" w:sz="4" w:space="0" w:color="auto"/>
              <w:right w:val="nil"/>
            </w:tcBorders>
            <w:shd w:val="clear" w:color="auto" w:fill="auto"/>
            <w:vAlign w:val="bottom"/>
          </w:tcPr>
          <w:p w14:paraId="320D0441"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iCs/>
                <w:color w:val="000000"/>
                <w:sz w:val="17"/>
                <w:szCs w:val="17"/>
                <w:lang w:val="hr-HR"/>
              </w:rPr>
            </w:pPr>
            <w:bookmarkStart w:id="633" w:name="_Toc67327324"/>
            <w:r w:rsidRPr="00D042BF">
              <w:rPr>
                <w:rFonts w:ascii="Arial" w:hAnsi="Arial" w:cs="Arial"/>
                <w:b/>
                <w:bCs/>
                <w:iCs/>
                <w:color w:val="000000"/>
                <w:sz w:val="17"/>
                <w:szCs w:val="17"/>
                <w:lang w:val="hr-HR"/>
              </w:rPr>
              <w:t>163.137</w:t>
            </w:r>
            <w:bookmarkEnd w:id="633"/>
          </w:p>
        </w:tc>
      </w:tr>
      <w:tr w:rsidR="00D042BF" w:rsidRPr="00D042BF" w14:paraId="052B26B8" w14:textId="77777777" w:rsidTr="00E032FC">
        <w:trPr>
          <w:trHeight w:val="227"/>
        </w:trPr>
        <w:tc>
          <w:tcPr>
            <w:tcW w:w="1444" w:type="pct"/>
            <w:vAlign w:val="bottom"/>
          </w:tcPr>
          <w:p w14:paraId="311450E0" w14:textId="77777777" w:rsidR="00D042BF" w:rsidRPr="00D042BF" w:rsidRDefault="00D042BF" w:rsidP="00D042BF">
            <w:pPr>
              <w:tabs>
                <w:tab w:val="right" w:pos="1202"/>
              </w:tabs>
              <w:suppressAutoHyphens w:val="0"/>
              <w:autoSpaceDN/>
              <w:spacing w:line="240" w:lineRule="exact"/>
              <w:outlineLvl w:val="0"/>
              <w:rPr>
                <w:rFonts w:ascii="Arial" w:hAnsi="Arial" w:cs="Arial"/>
                <w:iCs/>
                <w:color w:val="000000"/>
                <w:sz w:val="17"/>
                <w:szCs w:val="17"/>
                <w:lang w:val="hr-HR"/>
              </w:rPr>
            </w:pPr>
            <w:bookmarkStart w:id="634" w:name="_Toc67327276"/>
            <w:r w:rsidRPr="00D042BF">
              <w:rPr>
                <w:rFonts w:ascii="Arial" w:hAnsi="Arial" w:cs="Arial"/>
                <w:iCs/>
                <w:color w:val="000000"/>
                <w:sz w:val="17"/>
                <w:szCs w:val="17"/>
                <w:lang w:val="hr-HR"/>
              </w:rPr>
              <w:t>Tečajne razlike Garantni fond</w:t>
            </w:r>
            <w:bookmarkEnd w:id="634"/>
          </w:p>
        </w:tc>
        <w:tc>
          <w:tcPr>
            <w:tcW w:w="592" w:type="pct"/>
            <w:tcBorders>
              <w:top w:val="nil"/>
              <w:left w:val="nil"/>
              <w:bottom w:val="nil"/>
              <w:right w:val="nil"/>
            </w:tcBorders>
            <w:shd w:val="clear" w:color="auto" w:fill="auto"/>
            <w:vAlign w:val="bottom"/>
          </w:tcPr>
          <w:p w14:paraId="736F634F"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color w:val="000000"/>
                <w:sz w:val="17"/>
                <w:szCs w:val="17"/>
                <w:lang w:val="hr-HR"/>
              </w:rPr>
            </w:pPr>
            <w:bookmarkStart w:id="635" w:name="_Toc67327326"/>
            <w:r w:rsidRPr="00D042BF">
              <w:rPr>
                <w:rFonts w:ascii="Arial" w:hAnsi="Arial" w:cs="Arial"/>
                <w:color w:val="000000"/>
                <w:sz w:val="17"/>
                <w:szCs w:val="17"/>
                <w:lang w:val="hr-HR"/>
              </w:rPr>
              <w:t>-</w:t>
            </w:r>
            <w:bookmarkEnd w:id="635"/>
          </w:p>
        </w:tc>
        <w:tc>
          <w:tcPr>
            <w:tcW w:w="593" w:type="pct"/>
            <w:tcBorders>
              <w:top w:val="nil"/>
              <w:left w:val="nil"/>
              <w:bottom w:val="nil"/>
              <w:right w:val="nil"/>
            </w:tcBorders>
            <w:shd w:val="clear" w:color="auto" w:fill="auto"/>
            <w:vAlign w:val="bottom"/>
          </w:tcPr>
          <w:p w14:paraId="1341C7E9"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color w:val="000000"/>
                <w:sz w:val="17"/>
                <w:szCs w:val="17"/>
                <w:lang w:val="hr-HR"/>
              </w:rPr>
            </w:pPr>
            <w:bookmarkStart w:id="636" w:name="_Toc67327327"/>
            <w:r w:rsidRPr="00D042BF">
              <w:rPr>
                <w:rFonts w:ascii="Arial" w:hAnsi="Arial" w:cs="Arial"/>
                <w:color w:val="000000"/>
                <w:sz w:val="17"/>
                <w:szCs w:val="17"/>
                <w:lang w:val="hr-HR"/>
              </w:rPr>
              <w:t>-</w:t>
            </w:r>
            <w:bookmarkEnd w:id="636"/>
          </w:p>
        </w:tc>
        <w:tc>
          <w:tcPr>
            <w:tcW w:w="592" w:type="pct"/>
            <w:tcBorders>
              <w:top w:val="nil"/>
              <w:left w:val="nil"/>
              <w:bottom w:val="nil"/>
              <w:right w:val="nil"/>
            </w:tcBorders>
            <w:shd w:val="clear" w:color="auto" w:fill="auto"/>
            <w:vAlign w:val="bottom"/>
          </w:tcPr>
          <w:p w14:paraId="5D9EF302"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color w:val="000000"/>
                <w:sz w:val="17"/>
                <w:szCs w:val="17"/>
                <w:lang w:val="hr-HR"/>
              </w:rPr>
            </w:pPr>
            <w:bookmarkStart w:id="637" w:name="_Toc67327328"/>
            <w:r w:rsidRPr="00D042BF">
              <w:rPr>
                <w:rFonts w:ascii="Arial" w:hAnsi="Arial" w:cs="Arial"/>
                <w:color w:val="000000"/>
                <w:sz w:val="17"/>
                <w:szCs w:val="17"/>
                <w:lang w:val="hr-HR"/>
              </w:rPr>
              <w:t>-</w:t>
            </w:r>
            <w:bookmarkEnd w:id="637"/>
          </w:p>
        </w:tc>
        <w:tc>
          <w:tcPr>
            <w:tcW w:w="593" w:type="pct"/>
            <w:tcBorders>
              <w:top w:val="nil"/>
              <w:left w:val="nil"/>
              <w:bottom w:val="nil"/>
              <w:right w:val="nil"/>
            </w:tcBorders>
            <w:shd w:val="clear" w:color="auto" w:fill="auto"/>
            <w:vAlign w:val="bottom"/>
          </w:tcPr>
          <w:p w14:paraId="35DD8ADD"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color w:val="000000"/>
                <w:sz w:val="17"/>
                <w:szCs w:val="17"/>
                <w:lang w:val="hr-HR"/>
              </w:rPr>
            </w:pPr>
            <w:bookmarkStart w:id="638" w:name="_Toc67327329"/>
            <w:r w:rsidRPr="00D042BF">
              <w:rPr>
                <w:rFonts w:ascii="Arial" w:hAnsi="Arial" w:cs="Arial"/>
                <w:color w:val="000000"/>
                <w:sz w:val="17"/>
                <w:szCs w:val="17"/>
                <w:lang w:val="hr-HR"/>
              </w:rPr>
              <w:t>-</w:t>
            </w:r>
            <w:bookmarkEnd w:id="638"/>
          </w:p>
        </w:tc>
        <w:tc>
          <w:tcPr>
            <w:tcW w:w="592" w:type="pct"/>
            <w:tcBorders>
              <w:top w:val="nil"/>
              <w:left w:val="nil"/>
              <w:bottom w:val="nil"/>
              <w:right w:val="nil"/>
            </w:tcBorders>
            <w:shd w:val="clear" w:color="auto" w:fill="auto"/>
            <w:vAlign w:val="bottom"/>
          </w:tcPr>
          <w:p w14:paraId="0F2512C9"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color w:val="000000"/>
                <w:sz w:val="17"/>
                <w:szCs w:val="17"/>
                <w:lang w:val="hr-HR"/>
              </w:rPr>
            </w:pPr>
            <w:bookmarkStart w:id="639" w:name="_Toc67327330"/>
            <w:r w:rsidRPr="00D042BF">
              <w:rPr>
                <w:rFonts w:ascii="Arial" w:hAnsi="Arial" w:cs="Arial"/>
                <w:color w:val="000000"/>
                <w:sz w:val="17"/>
                <w:szCs w:val="17"/>
                <w:lang w:val="hr-HR"/>
              </w:rPr>
              <w:t>(32)</w:t>
            </w:r>
            <w:bookmarkEnd w:id="639"/>
          </w:p>
        </w:tc>
        <w:tc>
          <w:tcPr>
            <w:tcW w:w="593" w:type="pct"/>
            <w:tcBorders>
              <w:top w:val="nil"/>
              <w:left w:val="nil"/>
              <w:bottom w:val="nil"/>
              <w:right w:val="nil"/>
            </w:tcBorders>
            <w:shd w:val="clear" w:color="auto" w:fill="auto"/>
            <w:vAlign w:val="bottom"/>
          </w:tcPr>
          <w:p w14:paraId="1C4E5BF9"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color w:val="000000"/>
                <w:sz w:val="17"/>
                <w:szCs w:val="17"/>
                <w:lang w:val="hr-HR"/>
              </w:rPr>
            </w:pPr>
            <w:bookmarkStart w:id="640" w:name="_Toc67327331"/>
            <w:r w:rsidRPr="00D042BF">
              <w:rPr>
                <w:rFonts w:ascii="Arial" w:hAnsi="Arial" w:cs="Arial"/>
                <w:b/>
                <w:color w:val="000000"/>
                <w:sz w:val="17"/>
                <w:szCs w:val="17"/>
                <w:lang w:val="hr-HR"/>
              </w:rPr>
              <w:t>(32)</w:t>
            </w:r>
            <w:bookmarkEnd w:id="640"/>
          </w:p>
        </w:tc>
      </w:tr>
      <w:tr w:rsidR="00D042BF" w:rsidRPr="00D042BF" w14:paraId="2C022F3B" w14:textId="77777777" w:rsidTr="00E032FC">
        <w:trPr>
          <w:trHeight w:val="565"/>
        </w:trPr>
        <w:tc>
          <w:tcPr>
            <w:tcW w:w="1444" w:type="pct"/>
            <w:vAlign w:val="bottom"/>
          </w:tcPr>
          <w:p w14:paraId="63790A5A" w14:textId="77777777" w:rsidR="00D042BF" w:rsidRPr="00D042BF" w:rsidRDefault="00D042BF" w:rsidP="00D042BF">
            <w:pPr>
              <w:tabs>
                <w:tab w:val="right" w:pos="1202"/>
              </w:tabs>
              <w:suppressAutoHyphens w:val="0"/>
              <w:autoSpaceDN/>
              <w:spacing w:line="240" w:lineRule="exact"/>
              <w:outlineLvl w:val="0"/>
              <w:rPr>
                <w:rFonts w:ascii="Arial" w:hAnsi="Arial" w:cs="Arial"/>
                <w:i/>
                <w:iCs/>
                <w:color w:val="000000"/>
                <w:sz w:val="17"/>
                <w:szCs w:val="17"/>
                <w:lang w:val="hr-HR"/>
              </w:rPr>
            </w:pPr>
            <w:bookmarkStart w:id="641" w:name="_Toc67327283"/>
            <w:r w:rsidRPr="00D042BF">
              <w:rPr>
                <w:rFonts w:ascii="Arial" w:hAnsi="Arial" w:cs="Arial"/>
                <w:iCs/>
                <w:color w:val="000000"/>
                <w:sz w:val="17"/>
                <w:szCs w:val="17"/>
                <w:lang w:val="hr-HR"/>
              </w:rPr>
              <w:t>Uplate u osnivački kapital iz državnog proračuna</w:t>
            </w:r>
            <w:bookmarkEnd w:id="641"/>
            <w:r w:rsidRPr="00D042BF">
              <w:rPr>
                <w:rFonts w:ascii="Arial" w:hAnsi="Arial" w:cs="Arial"/>
                <w:iCs/>
                <w:color w:val="000000"/>
                <w:sz w:val="17"/>
                <w:szCs w:val="17"/>
                <w:lang w:val="hr-HR"/>
              </w:rPr>
              <w:t xml:space="preserve"> </w:t>
            </w:r>
          </w:p>
        </w:tc>
        <w:tc>
          <w:tcPr>
            <w:tcW w:w="592" w:type="pct"/>
            <w:tcBorders>
              <w:top w:val="nil"/>
              <w:left w:val="nil"/>
              <w:bottom w:val="nil"/>
              <w:right w:val="nil"/>
            </w:tcBorders>
            <w:shd w:val="clear" w:color="auto" w:fill="auto"/>
            <w:vAlign w:val="bottom"/>
          </w:tcPr>
          <w:p w14:paraId="358F10AA"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bookmarkStart w:id="642" w:name="_Toc67327333"/>
            <w:r w:rsidRPr="00D042BF">
              <w:rPr>
                <w:rFonts w:ascii="Arial" w:hAnsi="Arial" w:cs="Arial"/>
                <w:iCs/>
                <w:color w:val="000000"/>
                <w:sz w:val="17"/>
                <w:szCs w:val="17"/>
                <w:lang w:val="hr-HR"/>
              </w:rPr>
              <w:t>50.000</w:t>
            </w:r>
            <w:bookmarkEnd w:id="642"/>
          </w:p>
        </w:tc>
        <w:tc>
          <w:tcPr>
            <w:tcW w:w="593" w:type="pct"/>
            <w:tcBorders>
              <w:top w:val="nil"/>
              <w:left w:val="nil"/>
              <w:bottom w:val="nil"/>
              <w:right w:val="nil"/>
            </w:tcBorders>
            <w:shd w:val="clear" w:color="auto" w:fill="auto"/>
            <w:vAlign w:val="bottom"/>
          </w:tcPr>
          <w:p w14:paraId="4C7F07CC"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bookmarkStart w:id="643" w:name="_Toc67327334"/>
            <w:r w:rsidRPr="00D042BF">
              <w:rPr>
                <w:rFonts w:ascii="Arial" w:hAnsi="Arial" w:cs="Arial"/>
                <w:iCs/>
                <w:color w:val="000000"/>
                <w:sz w:val="17"/>
                <w:szCs w:val="17"/>
                <w:lang w:val="hr-HR"/>
              </w:rPr>
              <w:t>-</w:t>
            </w:r>
            <w:bookmarkEnd w:id="643"/>
          </w:p>
        </w:tc>
        <w:tc>
          <w:tcPr>
            <w:tcW w:w="592" w:type="pct"/>
            <w:tcBorders>
              <w:top w:val="nil"/>
              <w:left w:val="nil"/>
              <w:bottom w:val="nil"/>
              <w:right w:val="nil"/>
            </w:tcBorders>
            <w:shd w:val="clear" w:color="auto" w:fill="auto"/>
            <w:vAlign w:val="bottom"/>
          </w:tcPr>
          <w:p w14:paraId="405B063C"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bookmarkStart w:id="644" w:name="_Toc67327335"/>
            <w:r w:rsidRPr="00D042BF">
              <w:rPr>
                <w:rFonts w:ascii="Arial" w:hAnsi="Arial" w:cs="Arial"/>
                <w:iCs/>
                <w:color w:val="000000"/>
                <w:sz w:val="17"/>
                <w:szCs w:val="17"/>
                <w:lang w:val="hr-HR"/>
              </w:rPr>
              <w:t>-</w:t>
            </w:r>
            <w:bookmarkEnd w:id="644"/>
          </w:p>
        </w:tc>
        <w:tc>
          <w:tcPr>
            <w:tcW w:w="593" w:type="pct"/>
            <w:tcBorders>
              <w:top w:val="nil"/>
              <w:left w:val="nil"/>
              <w:bottom w:val="nil"/>
              <w:right w:val="nil"/>
            </w:tcBorders>
            <w:shd w:val="clear" w:color="auto" w:fill="auto"/>
            <w:vAlign w:val="bottom"/>
          </w:tcPr>
          <w:p w14:paraId="7F0AFF90"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bookmarkStart w:id="645" w:name="_Toc67327336"/>
            <w:r w:rsidRPr="00D042BF">
              <w:rPr>
                <w:rFonts w:ascii="Arial" w:hAnsi="Arial" w:cs="Arial"/>
                <w:iCs/>
                <w:color w:val="000000"/>
                <w:sz w:val="17"/>
                <w:szCs w:val="17"/>
                <w:lang w:val="hr-HR"/>
              </w:rPr>
              <w:t>-</w:t>
            </w:r>
            <w:bookmarkEnd w:id="645"/>
          </w:p>
        </w:tc>
        <w:tc>
          <w:tcPr>
            <w:tcW w:w="592" w:type="pct"/>
            <w:tcBorders>
              <w:top w:val="nil"/>
              <w:left w:val="nil"/>
              <w:bottom w:val="nil"/>
              <w:right w:val="nil"/>
            </w:tcBorders>
            <w:shd w:val="clear" w:color="auto" w:fill="auto"/>
            <w:vAlign w:val="bottom"/>
          </w:tcPr>
          <w:p w14:paraId="63FB3A5C"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color w:val="000000"/>
                <w:sz w:val="17"/>
                <w:szCs w:val="17"/>
                <w:lang w:val="hr-HR"/>
              </w:rPr>
            </w:pPr>
            <w:bookmarkStart w:id="646" w:name="_Toc67327337"/>
            <w:r w:rsidRPr="00D042BF">
              <w:rPr>
                <w:rFonts w:ascii="Arial" w:hAnsi="Arial" w:cs="Arial"/>
                <w:iCs/>
                <w:color w:val="000000"/>
                <w:sz w:val="17"/>
                <w:szCs w:val="17"/>
                <w:lang w:val="hr-HR"/>
              </w:rPr>
              <w:t>-</w:t>
            </w:r>
            <w:bookmarkEnd w:id="646"/>
          </w:p>
        </w:tc>
        <w:tc>
          <w:tcPr>
            <w:tcW w:w="593" w:type="pct"/>
            <w:tcBorders>
              <w:top w:val="nil"/>
              <w:left w:val="nil"/>
              <w:bottom w:val="nil"/>
              <w:right w:val="nil"/>
            </w:tcBorders>
            <w:shd w:val="clear" w:color="auto" w:fill="auto"/>
            <w:vAlign w:val="bottom"/>
          </w:tcPr>
          <w:p w14:paraId="37FACFC9"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bookmarkStart w:id="647" w:name="_Toc67327338"/>
            <w:r w:rsidRPr="00D042BF">
              <w:rPr>
                <w:rFonts w:ascii="Arial" w:hAnsi="Arial" w:cs="Arial"/>
                <w:b/>
                <w:iCs/>
                <w:color w:val="000000"/>
                <w:sz w:val="17"/>
                <w:szCs w:val="17"/>
                <w:lang w:val="hr-HR"/>
              </w:rPr>
              <w:t>50.000</w:t>
            </w:r>
            <w:bookmarkEnd w:id="647"/>
          </w:p>
        </w:tc>
      </w:tr>
      <w:tr w:rsidR="00D042BF" w:rsidRPr="00D042BF" w14:paraId="33A544B9" w14:textId="77777777" w:rsidTr="00E032FC">
        <w:trPr>
          <w:trHeight w:val="244"/>
        </w:trPr>
        <w:tc>
          <w:tcPr>
            <w:tcW w:w="1444" w:type="pct"/>
            <w:vAlign w:val="bottom"/>
          </w:tcPr>
          <w:p w14:paraId="6ADAC2C6" w14:textId="77777777" w:rsidR="00D042BF" w:rsidRPr="00D042BF" w:rsidRDefault="00D042BF" w:rsidP="00D042BF">
            <w:pPr>
              <w:tabs>
                <w:tab w:val="right" w:pos="1202"/>
              </w:tabs>
              <w:suppressAutoHyphens w:val="0"/>
              <w:autoSpaceDN/>
              <w:spacing w:line="240" w:lineRule="exact"/>
              <w:outlineLvl w:val="0"/>
              <w:rPr>
                <w:rFonts w:ascii="Arial" w:hAnsi="Arial" w:cs="Arial"/>
                <w:i/>
                <w:iCs/>
                <w:color w:val="000000"/>
                <w:sz w:val="17"/>
                <w:szCs w:val="17"/>
                <w:lang w:val="hr-HR"/>
              </w:rPr>
            </w:pPr>
            <w:bookmarkStart w:id="648" w:name="_Toc67327290"/>
            <w:r w:rsidRPr="00D042BF">
              <w:rPr>
                <w:rFonts w:ascii="Arial" w:hAnsi="Arial" w:cs="Arial"/>
                <w:iCs/>
                <w:color w:val="000000"/>
                <w:sz w:val="17"/>
                <w:szCs w:val="17"/>
                <w:lang w:val="hr-HR"/>
              </w:rPr>
              <w:t>Prijenos dobiti iz 2020. godine u zadržanu dobit</w:t>
            </w:r>
            <w:bookmarkEnd w:id="648"/>
            <w:r w:rsidRPr="00D042BF">
              <w:rPr>
                <w:rFonts w:ascii="Arial" w:hAnsi="Arial" w:cs="Arial"/>
                <w:iCs/>
                <w:color w:val="000000"/>
                <w:sz w:val="17"/>
                <w:szCs w:val="17"/>
                <w:lang w:val="hr-HR"/>
              </w:rPr>
              <w:t xml:space="preserve"> </w:t>
            </w:r>
          </w:p>
        </w:tc>
        <w:tc>
          <w:tcPr>
            <w:tcW w:w="592" w:type="pct"/>
            <w:tcBorders>
              <w:top w:val="nil"/>
              <w:left w:val="nil"/>
              <w:bottom w:val="single" w:sz="4" w:space="0" w:color="auto"/>
              <w:right w:val="nil"/>
            </w:tcBorders>
            <w:shd w:val="clear" w:color="auto" w:fill="auto"/>
            <w:vAlign w:val="bottom"/>
          </w:tcPr>
          <w:p w14:paraId="656F05B0"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bookmarkStart w:id="649" w:name="_Toc67327340"/>
            <w:r w:rsidRPr="00D042BF">
              <w:rPr>
                <w:rFonts w:ascii="Arial" w:hAnsi="Arial" w:cs="Arial"/>
                <w:iCs/>
                <w:color w:val="000000"/>
                <w:sz w:val="17"/>
                <w:szCs w:val="17"/>
                <w:lang w:val="hr-HR"/>
              </w:rPr>
              <w:t>-</w:t>
            </w:r>
            <w:bookmarkEnd w:id="649"/>
          </w:p>
        </w:tc>
        <w:tc>
          <w:tcPr>
            <w:tcW w:w="593" w:type="pct"/>
            <w:tcBorders>
              <w:top w:val="nil"/>
              <w:left w:val="nil"/>
              <w:bottom w:val="single" w:sz="4" w:space="0" w:color="auto"/>
              <w:right w:val="nil"/>
            </w:tcBorders>
            <w:shd w:val="clear" w:color="auto" w:fill="auto"/>
            <w:vAlign w:val="bottom"/>
          </w:tcPr>
          <w:p w14:paraId="6F3A102B"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bookmarkStart w:id="650" w:name="_Toc67327341"/>
            <w:r w:rsidRPr="00D042BF">
              <w:rPr>
                <w:rFonts w:ascii="Arial" w:hAnsi="Arial" w:cs="Arial"/>
                <w:iCs/>
                <w:color w:val="000000"/>
                <w:sz w:val="17"/>
                <w:szCs w:val="17"/>
                <w:lang w:val="hr-HR"/>
              </w:rPr>
              <w:t>79.339</w:t>
            </w:r>
            <w:bookmarkEnd w:id="650"/>
          </w:p>
        </w:tc>
        <w:tc>
          <w:tcPr>
            <w:tcW w:w="592" w:type="pct"/>
            <w:tcBorders>
              <w:top w:val="nil"/>
              <w:left w:val="nil"/>
              <w:bottom w:val="single" w:sz="4" w:space="0" w:color="auto"/>
              <w:right w:val="nil"/>
            </w:tcBorders>
            <w:shd w:val="clear" w:color="auto" w:fill="auto"/>
            <w:vAlign w:val="bottom"/>
          </w:tcPr>
          <w:p w14:paraId="218B3CA8"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bookmarkStart w:id="651" w:name="_Toc67327342"/>
            <w:r w:rsidRPr="00D042BF">
              <w:rPr>
                <w:rFonts w:ascii="Arial" w:hAnsi="Arial" w:cs="Arial"/>
                <w:iCs/>
                <w:color w:val="000000"/>
                <w:sz w:val="17"/>
                <w:szCs w:val="17"/>
                <w:lang w:val="hr-HR"/>
              </w:rPr>
              <w:t>-</w:t>
            </w:r>
            <w:bookmarkEnd w:id="651"/>
          </w:p>
        </w:tc>
        <w:tc>
          <w:tcPr>
            <w:tcW w:w="593" w:type="pct"/>
            <w:tcBorders>
              <w:top w:val="nil"/>
              <w:left w:val="nil"/>
              <w:bottom w:val="single" w:sz="4" w:space="0" w:color="auto"/>
              <w:right w:val="nil"/>
            </w:tcBorders>
            <w:shd w:val="clear" w:color="auto" w:fill="auto"/>
            <w:vAlign w:val="bottom"/>
          </w:tcPr>
          <w:p w14:paraId="75A2B665"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bookmarkStart w:id="652" w:name="_Toc67327343"/>
            <w:r w:rsidRPr="00D042BF">
              <w:rPr>
                <w:rFonts w:ascii="Arial" w:hAnsi="Arial" w:cs="Arial"/>
                <w:iCs/>
                <w:color w:val="000000"/>
                <w:sz w:val="17"/>
                <w:szCs w:val="17"/>
                <w:lang w:val="hr-HR"/>
              </w:rPr>
              <w:t>(79.339)</w:t>
            </w:r>
            <w:bookmarkEnd w:id="652"/>
          </w:p>
        </w:tc>
        <w:tc>
          <w:tcPr>
            <w:tcW w:w="592" w:type="pct"/>
            <w:tcBorders>
              <w:top w:val="nil"/>
              <w:left w:val="nil"/>
              <w:bottom w:val="single" w:sz="4" w:space="0" w:color="auto"/>
              <w:right w:val="nil"/>
            </w:tcBorders>
            <w:shd w:val="clear" w:color="auto" w:fill="auto"/>
            <w:vAlign w:val="bottom"/>
          </w:tcPr>
          <w:p w14:paraId="7E3C37D3"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color w:val="000000"/>
                <w:sz w:val="17"/>
                <w:szCs w:val="17"/>
                <w:lang w:val="hr-HR"/>
              </w:rPr>
            </w:pPr>
            <w:bookmarkStart w:id="653" w:name="_Toc67327344"/>
            <w:r w:rsidRPr="00D042BF">
              <w:rPr>
                <w:rFonts w:ascii="Arial" w:hAnsi="Arial" w:cs="Arial"/>
                <w:iCs/>
                <w:color w:val="000000"/>
                <w:sz w:val="17"/>
                <w:szCs w:val="17"/>
                <w:lang w:val="hr-HR"/>
              </w:rPr>
              <w:t>-</w:t>
            </w:r>
            <w:bookmarkEnd w:id="653"/>
          </w:p>
        </w:tc>
        <w:tc>
          <w:tcPr>
            <w:tcW w:w="593" w:type="pct"/>
            <w:tcBorders>
              <w:top w:val="nil"/>
              <w:left w:val="nil"/>
              <w:bottom w:val="single" w:sz="4" w:space="0" w:color="auto"/>
              <w:right w:val="nil"/>
            </w:tcBorders>
            <w:shd w:val="clear" w:color="auto" w:fill="auto"/>
            <w:vAlign w:val="bottom"/>
          </w:tcPr>
          <w:p w14:paraId="673692A9"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bookmarkStart w:id="654" w:name="_Toc67327345"/>
            <w:r w:rsidRPr="00D042BF">
              <w:rPr>
                <w:rFonts w:ascii="Arial" w:hAnsi="Arial" w:cs="Arial"/>
                <w:b/>
                <w:iCs/>
                <w:color w:val="000000"/>
                <w:sz w:val="17"/>
                <w:szCs w:val="17"/>
                <w:lang w:val="hr-HR"/>
              </w:rPr>
              <w:t>-</w:t>
            </w:r>
            <w:bookmarkEnd w:id="654"/>
          </w:p>
        </w:tc>
      </w:tr>
      <w:tr w:rsidR="00D042BF" w:rsidRPr="00D042BF" w14:paraId="68BAB4C4" w14:textId="77777777" w:rsidTr="00E032FC">
        <w:trPr>
          <w:trHeight w:val="257"/>
        </w:trPr>
        <w:tc>
          <w:tcPr>
            <w:tcW w:w="1444" w:type="pct"/>
            <w:vAlign w:val="bottom"/>
          </w:tcPr>
          <w:p w14:paraId="664A3330" w14:textId="77777777" w:rsidR="00D042BF" w:rsidRPr="00D042BF" w:rsidRDefault="00D042BF" w:rsidP="00D042BF">
            <w:pPr>
              <w:tabs>
                <w:tab w:val="right" w:pos="1202"/>
              </w:tabs>
              <w:suppressAutoHyphens w:val="0"/>
              <w:autoSpaceDN/>
              <w:spacing w:line="240" w:lineRule="exact"/>
              <w:outlineLvl w:val="0"/>
              <w:rPr>
                <w:rFonts w:ascii="Arial" w:hAnsi="Arial" w:cs="Arial"/>
                <w:b/>
                <w:iCs/>
                <w:color w:val="000000"/>
                <w:sz w:val="17"/>
                <w:szCs w:val="17"/>
                <w:lang w:val="hr-HR"/>
              </w:rPr>
            </w:pPr>
            <w:bookmarkStart w:id="655" w:name="_Toc67327297"/>
            <w:r w:rsidRPr="00D042BF">
              <w:rPr>
                <w:rFonts w:ascii="Arial" w:hAnsi="Arial" w:cs="Arial"/>
                <w:b/>
                <w:iCs/>
                <w:color w:val="000000"/>
                <w:sz w:val="17"/>
                <w:szCs w:val="17"/>
                <w:lang w:val="hr-HR"/>
              </w:rPr>
              <w:t>Stanje 31. prosinca 2021.</w:t>
            </w:r>
            <w:bookmarkEnd w:id="655"/>
            <w:r w:rsidRPr="00D042BF">
              <w:rPr>
                <w:rFonts w:ascii="Arial" w:hAnsi="Arial" w:cs="Arial"/>
                <w:b/>
                <w:iCs/>
                <w:color w:val="000000"/>
                <w:sz w:val="17"/>
                <w:szCs w:val="17"/>
                <w:lang w:val="hr-HR"/>
              </w:rPr>
              <w:t xml:space="preserve"> </w:t>
            </w:r>
          </w:p>
        </w:tc>
        <w:tc>
          <w:tcPr>
            <w:tcW w:w="592" w:type="pct"/>
            <w:tcBorders>
              <w:top w:val="single" w:sz="8" w:space="0" w:color="auto"/>
              <w:left w:val="nil"/>
              <w:bottom w:val="single" w:sz="12" w:space="0" w:color="auto"/>
              <w:right w:val="nil"/>
            </w:tcBorders>
            <w:shd w:val="clear" w:color="auto" w:fill="auto"/>
            <w:vAlign w:val="bottom"/>
          </w:tcPr>
          <w:p w14:paraId="479AAB4D"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color w:val="000000"/>
                <w:sz w:val="17"/>
                <w:szCs w:val="17"/>
                <w:lang w:val="hr-HR"/>
              </w:rPr>
            </w:pPr>
            <w:bookmarkStart w:id="656" w:name="_Toc67327347"/>
            <w:r w:rsidRPr="00D042BF">
              <w:rPr>
                <w:rFonts w:ascii="Arial" w:hAnsi="Arial" w:cs="Arial"/>
                <w:b/>
                <w:bCs/>
                <w:color w:val="000000"/>
                <w:sz w:val="17"/>
                <w:szCs w:val="17"/>
                <w:lang w:val="en-GB"/>
              </w:rPr>
              <w:t xml:space="preserve">7.184.632 </w:t>
            </w:r>
            <w:bookmarkEnd w:id="656"/>
          </w:p>
        </w:tc>
        <w:tc>
          <w:tcPr>
            <w:tcW w:w="593" w:type="pct"/>
            <w:tcBorders>
              <w:top w:val="single" w:sz="8" w:space="0" w:color="auto"/>
              <w:left w:val="nil"/>
              <w:bottom w:val="single" w:sz="12" w:space="0" w:color="auto"/>
              <w:right w:val="nil"/>
            </w:tcBorders>
            <w:shd w:val="clear" w:color="auto" w:fill="auto"/>
            <w:vAlign w:val="bottom"/>
          </w:tcPr>
          <w:p w14:paraId="13AA9446"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color w:val="000000"/>
                <w:sz w:val="17"/>
                <w:szCs w:val="17"/>
                <w:lang w:val="hr-HR"/>
              </w:rPr>
            </w:pPr>
            <w:bookmarkStart w:id="657" w:name="_Toc67327348"/>
            <w:r w:rsidRPr="00D042BF">
              <w:rPr>
                <w:rFonts w:ascii="Arial" w:hAnsi="Arial" w:cs="Arial"/>
                <w:b/>
                <w:bCs/>
                <w:color w:val="000000"/>
                <w:sz w:val="17"/>
                <w:szCs w:val="17"/>
                <w:lang w:val="en-GB"/>
              </w:rPr>
              <w:t xml:space="preserve"> 3.153.745 </w:t>
            </w:r>
            <w:bookmarkEnd w:id="657"/>
          </w:p>
        </w:tc>
        <w:tc>
          <w:tcPr>
            <w:tcW w:w="592" w:type="pct"/>
            <w:tcBorders>
              <w:top w:val="single" w:sz="8" w:space="0" w:color="auto"/>
              <w:left w:val="nil"/>
              <w:bottom w:val="single" w:sz="12" w:space="0" w:color="auto"/>
              <w:right w:val="nil"/>
            </w:tcBorders>
            <w:shd w:val="clear" w:color="auto" w:fill="auto"/>
            <w:vAlign w:val="bottom"/>
          </w:tcPr>
          <w:p w14:paraId="1206F91B"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color w:val="000000"/>
                <w:sz w:val="17"/>
                <w:szCs w:val="17"/>
                <w:lang w:val="hr-HR"/>
              </w:rPr>
            </w:pPr>
            <w:bookmarkStart w:id="658" w:name="_Toc67327349"/>
            <w:r w:rsidRPr="00D042BF">
              <w:rPr>
                <w:rFonts w:ascii="Arial" w:hAnsi="Arial" w:cs="Arial"/>
                <w:b/>
                <w:bCs/>
                <w:color w:val="000000"/>
                <w:sz w:val="17"/>
                <w:szCs w:val="17"/>
                <w:lang w:val="en-GB"/>
              </w:rPr>
              <w:t xml:space="preserve"> 29.961 </w:t>
            </w:r>
            <w:bookmarkEnd w:id="658"/>
          </w:p>
        </w:tc>
        <w:tc>
          <w:tcPr>
            <w:tcW w:w="593" w:type="pct"/>
            <w:tcBorders>
              <w:top w:val="single" w:sz="8" w:space="0" w:color="auto"/>
              <w:left w:val="nil"/>
              <w:bottom w:val="single" w:sz="12" w:space="0" w:color="auto"/>
              <w:right w:val="nil"/>
            </w:tcBorders>
            <w:shd w:val="clear" w:color="auto" w:fill="auto"/>
            <w:vAlign w:val="bottom"/>
          </w:tcPr>
          <w:p w14:paraId="308F32B6"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color w:val="000000"/>
                <w:sz w:val="17"/>
                <w:szCs w:val="17"/>
                <w:lang w:val="hr-HR"/>
              </w:rPr>
            </w:pPr>
            <w:bookmarkStart w:id="659" w:name="_Toc67327350"/>
            <w:r w:rsidRPr="00D042BF">
              <w:rPr>
                <w:rFonts w:ascii="Arial" w:hAnsi="Arial" w:cs="Arial"/>
                <w:b/>
                <w:bCs/>
                <w:color w:val="000000"/>
                <w:sz w:val="17"/>
                <w:szCs w:val="17"/>
                <w:lang w:val="en-GB"/>
              </w:rPr>
              <w:t xml:space="preserve">   187.082 </w:t>
            </w:r>
            <w:bookmarkEnd w:id="659"/>
          </w:p>
        </w:tc>
        <w:tc>
          <w:tcPr>
            <w:tcW w:w="592" w:type="pct"/>
            <w:tcBorders>
              <w:top w:val="single" w:sz="8" w:space="0" w:color="auto"/>
              <w:left w:val="nil"/>
              <w:bottom w:val="single" w:sz="12" w:space="0" w:color="auto"/>
              <w:right w:val="nil"/>
            </w:tcBorders>
            <w:shd w:val="clear" w:color="auto" w:fill="auto"/>
            <w:vAlign w:val="bottom"/>
          </w:tcPr>
          <w:p w14:paraId="009948E9"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color w:val="000000"/>
                <w:sz w:val="17"/>
                <w:szCs w:val="17"/>
                <w:lang w:val="hr-HR"/>
              </w:rPr>
            </w:pPr>
            <w:bookmarkStart w:id="660" w:name="_Toc67327351"/>
            <w:r w:rsidRPr="00D042BF">
              <w:rPr>
                <w:rFonts w:ascii="Arial" w:hAnsi="Arial" w:cs="Arial"/>
                <w:b/>
                <w:bCs/>
                <w:color w:val="000000"/>
                <w:sz w:val="17"/>
                <w:szCs w:val="17"/>
                <w:lang w:val="en-GB"/>
              </w:rPr>
              <w:t xml:space="preserve">  12.309 </w:t>
            </w:r>
            <w:bookmarkEnd w:id="660"/>
          </w:p>
        </w:tc>
        <w:tc>
          <w:tcPr>
            <w:tcW w:w="593" w:type="pct"/>
            <w:tcBorders>
              <w:top w:val="single" w:sz="8" w:space="0" w:color="auto"/>
              <w:left w:val="nil"/>
              <w:bottom w:val="single" w:sz="12" w:space="0" w:color="auto"/>
              <w:right w:val="nil"/>
            </w:tcBorders>
            <w:shd w:val="clear" w:color="auto" w:fill="auto"/>
            <w:vAlign w:val="bottom"/>
          </w:tcPr>
          <w:p w14:paraId="138ECF7D"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color w:val="000000"/>
                <w:sz w:val="17"/>
                <w:szCs w:val="17"/>
                <w:lang w:val="hr-HR"/>
              </w:rPr>
            </w:pPr>
            <w:bookmarkStart w:id="661" w:name="_Toc67327352"/>
            <w:r w:rsidRPr="00D042BF">
              <w:rPr>
                <w:rFonts w:ascii="Arial" w:hAnsi="Arial" w:cs="Arial"/>
                <w:b/>
                <w:bCs/>
                <w:color w:val="000000"/>
                <w:sz w:val="17"/>
                <w:szCs w:val="17"/>
                <w:lang w:val="en-GB"/>
              </w:rPr>
              <w:t xml:space="preserve">10.567.729 </w:t>
            </w:r>
            <w:bookmarkEnd w:id="661"/>
          </w:p>
        </w:tc>
      </w:tr>
      <w:tr w:rsidR="00D042BF" w:rsidRPr="00D042BF" w14:paraId="08BB20DD" w14:textId="77777777" w:rsidTr="00E032FC">
        <w:trPr>
          <w:trHeight w:val="386"/>
        </w:trPr>
        <w:tc>
          <w:tcPr>
            <w:tcW w:w="1444" w:type="pct"/>
            <w:vAlign w:val="bottom"/>
          </w:tcPr>
          <w:p w14:paraId="5DB5BE0C" w14:textId="77777777" w:rsidR="00D042BF" w:rsidRPr="00D042BF" w:rsidRDefault="00D042BF" w:rsidP="00D042BF">
            <w:pPr>
              <w:tabs>
                <w:tab w:val="right" w:pos="1202"/>
              </w:tabs>
              <w:suppressAutoHyphens w:val="0"/>
              <w:autoSpaceDN/>
              <w:spacing w:line="240" w:lineRule="exact"/>
              <w:outlineLvl w:val="0"/>
              <w:rPr>
                <w:rFonts w:ascii="Arial" w:hAnsi="Arial" w:cs="Arial"/>
                <w:iCs/>
                <w:color w:val="000000"/>
                <w:sz w:val="17"/>
                <w:szCs w:val="17"/>
                <w:lang w:val="hr-HR"/>
              </w:rPr>
            </w:pPr>
            <w:bookmarkStart w:id="662" w:name="_Toc67327304"/>
            <w:r w:rsidRPr="00D042BF">
              <w:rPr>
                <w:rFonts w:ascii="Arial" w:hAnsi="Arial" w:cs="Arial"/>
                <w:iCs/>
                <w:color w:val="000000"/>
                <w:sz w:val="17"/>
                <w:szCs w:val="17"/>
                <w:lang w:val="hr-HR"/>
              </w:rPr>
              <w:t>Dobit tekuće godine</w:t>
            </w:r>
            <w:bookmarkEnd w:id="662"/>
          </w:p>
        </w:tc>
        <w:tc>
          <w:tcPr>
            <w:tcW w:w="592" w:type="pct"/>
            <w:tcBorders>
              <w:top w:val="single" w:sz="12" w:space="0" w:color="auto"/>
              <w:left w:val="nil"/>
              <w:bottom w:val="nil"/>
              <w:right w:val="nil"/>
            </w:tcBorders>
            <w:shd w:val="clear" w:color="auto" w:fill="auto"/>
            <w:vAlign w:val="bottom"/>
          </w:tcPr>
          <w:p w14:paraId="2048B7AA"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cs="Arial"/>
                <w:iCs/>
                <w:color w:val="000000"/>
                <w:sz w:val="17"/>
                <w:szCs w:val="17"/>
                <w:lang w:val="hr-HR"/>
              </w:rPr>
              <w:t>-</w:t>
            </w:r>
          </w:p>
        </w:tc>
        <w:tc>
          <w:tcPr>
            <w:tcW w:w="593" w:type="pct"/>
            <w:tcBorders>
              <w:top w:val="single" w:sz="12" w:space="0" w:color="auto"/>
              <w:left w:val="nil"/>
              <w:bottom w:val="nil"/>
              <w:right w:val="nil"/>
            </w:tcBorders>
            <w:shd w:val="clear" w:color="auto" w:fill="auto"/>
            <w:vAlign w:val="bottom"/>
          </w:tcPr>
          <w:p w14:paraId="20BABE6A"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cs="Arial"/>
                <w:iCs/>
                <w:color w:val="000000"/>
                <w:sz w:val="17"/>
                <w:szCs w:val="17"/>
                <w:lang w:val="hr-HR"/>
              </w:rPr>
              <w:t>-</w:t>
            </w:r>
          </w:p>
        </w:tc>
        <w:tc>
          <w:tcPr>
            <w:tcW w:w="592" w:type="pct"/>
            <w:tcBorders>
              <w:top w:val="single" w:sz="12" w:space="0" w:color="auto"/>
              <w:left w:val="nil"/>
              <w:bottom w:val="nil"/>
              <w:right w:val="nil"/>
            </w:tcBorders>
            <w:shd w:val="clear" w:color="auto" w:fill="auto"/>
            <w:vAlign w:val="bottom"/>
          </w:tcPr>
          <w:p w14:paraId="3727B130" w14:textId="7BD0157B" w:rsidR="00D042BF" w:rsidRPr="00D042BF" w:rsidRDefault="005B34C5"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Pr>
                <w:rFonts w:ascii="Arial" w:hAnsi="Arial" w:cs="Arial"/>
                <w:iCs/>
                <w:color w:val="000000"/>
                <w:sz w:val="17"/>
                <w:szCs w:val="17"/>
                <w:lang w:val="hr-HR"/>
              </w:rPr>
              <w:t>-</w:t>
            </w:r>
          </w:p>
        </w:tc>
        <w:tc>
          <w:tcPr>
            <w:tcW w:w="593" w:type="pct"/>
            <w:tcBorders>
              <w:top w:val="single" w:sz="12" w:space="0" w:color="auto"/>
              <w:left w:val="nil"/>
              <w:bottom w:val="nil"/>
              <w:right w:val="nil"/>
            </w:tcBorders>
            <w:shd w:val="clear" w:color="auto" w:fill="auto"/>
            <w:vAlign w:val="bottom"/>
          </w:tcPr>
          <w:p w14:paraId="08C55FA0"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cs="Arial"/>
                <w:iCs/>
                <w:color w:val="000000"/>
                <w:sz w:val="17"/>
                <w:szCs w:val="17"/>
                <w:lang w:val="hr-HR"/>
              </w:rPr>
              <w:t>186.173</w:t>
            </w:r>
          </w:p>
        </w:tc>
        <w:tc>
          <w:tcPr>
            <w:tcW w:w="592" w:type="pct"/>
            <w:tcBorders>
              <w:top w:val="single" w:sz="12" w:space="0" w:color="auto"/>
              <w:left w:val="nil"/>
              <w:bottom w:val="nil"/>
              <w:right w:val="nil"/>
            </w:tcBorders>
            <w:shd w:val="clear" w:color="auto" w:fill="auto"/>
            <w:vAlign w:val="bottom"/>
          </w:tcPr>
          <w:p w14:paraId="16F220CB" w14:textId="78D515A7" w:rsidR="00D042BF" w:rsidRPr="00D042BF" w:rsidRDefault="005B34C5"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Pr>
                <w:rFonts w:ascii="Arial" w:hAnsi="Arial" w:cs="Arial"/>
                <w:iCs/>
                <w:color w:val="000000"/>
                <w:sz w:val="17"/>
                <w:szCs w:val="17"/>
                <w:lang w:val="hr-HR"/>
              </w:rPr>
              <w:t>-</w:t>
            </w:r>
          </w:p>
        </w:tc>
        <w:tc>
          <w:tcPr>
            <w:tcW w:w="593" w:type="pct"/>
            <w:tcBorders>
              <w:top w:val="single" w:sz="12" w:space="0" w:color="auto"/>
              <w:left w:val="nil"/>
              <w:bottom w:val="nil"/>
              <w:right w:val="nil"/>
            </w:tcBorders>
            <w:shd w:val="clear" w:color="auto" w:fill="auto"/>
            <w:vAlign w:val="bottom"/>
          </w:tcPr>
          <w:p w14:paraId="61E0D0E7"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r w:rsidRPr="00D042BF">
              <w:rPr>
                <w:rFonts w:ascii="Arial" w:hAnsi="Arial" w:cs="Arial"/>
                <w:b/>
                <w:iCs/>
                <w:color w:val="000000"/>
                <w:sz w:val="17"/>
                <w:szCs w:val="17"/>
                <w:lang w:val="hr-HR"/>
              </w:rPr>
              <w:t>186.173</w:t>
            </w:r>
          </w:p>
        </w:tc>
      </w:tr>
      <w:tr w:rsidR="00D042BF" w:rsidRPr="00D042BF" w14:paraId="52D1AC1C" w14:textId="77777777" w:rsidTr="00E032FC">
        <w:trPr>
          <w:trHeight w:val="202"/>
        </w:trPr>
        <w:tc>
          <w:tcPr>
            <w:tcW w:w="1444" w:type="pct"/>
            <w:vAlign w:val="bottom"/>
          </w:tcPr>
          <w:p w14:paraId="0DE863D4" w14:textId="77777777" w:rsidR="00D042BF" w:rsidRPr="00D042BF" w:rsidRDefault="00D042BF" w:rsidP="00D042BF">
            <w:pPr>
              <w:tabs>
                <w:tab w:val="right" w:pos="1202"/>
              </w:tabs>
              <w:suppressAutoHyphens w:val="0"/>
              <w:autoSpaceDN/>
              <w:spacing w:line="240" w:lineRule="exact"/>
              <w:outlineLvl w:val="0"/>
              <w:rPr>
                <w:rFonts w:ascii="Arial" w:hAnsi="Arial" w:cs="Arial"/>
                <w:iCs/>
                <w:color w:val="000000"/>
                <w:sz w:val="17"/>
                <w:szCs w:val="17"/>
                <w:lang w:val="hr-HR"/>
              </w:rPr>
            </w:pPr>
            <w:bookmarkStart w:id="663" w:name="_Toc67327311"/>
            <w:r w:rsidRPr="00D042BF">
              <w:rPr>
                <w:rFonts w:ascii="Arial" w:hAnsi="Arial" w:cs="Arial"/>
                <w:iCs/>
                <w:color w:val="000000"/>
                <w:sz w:val="17"/>
                <w:szCs w:val="17"/>
                <w:lang w:val="hr-HR"/>
              </w:rPr>
              <w:t>Ostala sveobuhvatna dobit</w:t>
            </w:r>
            <w:bookmarkEnd w:id="663"/>
          </w:p>
        </w:tc>
        <w:tc>
          <w:tcPr>
            <w:tcW w:w="592" w:type="pct"/>
            <w:tcBorders>
              <w:top w:val="nil"/>
              <w:left w:val="nil"/>
              <w:bottom w:val="single" w:sz="4" w:space="0" w:color="auto"/>
              <w:right w:val="nil"/>
            </w:tcBorders>
            <w:shd w:val="clear" w:color="auto" w:fill="auto"/>
          </w:tcPr>
          <w:p w14:paraId="274A6F91"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sz w:val="19"/>
                <w:szCs w:val="20"/>
                <w:lang w:val="en-GB"/>
              </w:rPr>
              <w:t>-</w:t>
            </w:r>
          </w:p>
        </w:tc>
        <w:tc>
          <w:tcPr>
            <w:tcW w:w="593" w:type="pct"/>
            <w:tcBorders>
              <w:top w:val="nil"/>
              <w:left w:val="nil"/>
              <w:bottom w:val="single" w:sz="4" w:space="0" w:color="auto"/>
              <w:right w:val="nil"/>
            </w:tcBorders>
            <w:shd w:val="clear" w:color="auto" w:fill="auto"/>
          </w:tcPr>
          <w:p w14:paraId="6DA6E650"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sz w:val="19"/>
                <w:szCs w:val="20"/>
                <w:lang w:val="en-GB"/>
              </w:rPr>
              <w:t>-</w:t>
            </w:r>
          </w:p>
        </w:tc>
        <w:tc>
          <w:tcPr>
            <w:tcW w:w="592" w:type="pct"/>
            <w:tcBorders>
              <w:top w:val="nil"/>
              <w:left w:val="nil"/>
              <w:bottom w:val="single" w:sz="4" w:space="0" w:color="auto"/>
              <w:right w:val="nil"/>
            </w:tcBorders>
            <w:shd w:val="clear" w:color="auto" w:fill="auto"/>
            <w:vAlign w:val="bottom"/>
          </w:tcPr>
          <w:p w14:paraId="36DE86B2"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cs="Arial"/>
                <w:iCs/>
                <w:color w:val="000000"/>
                <w:sz w:val="17"/>
                <w:szCs w:val="17"/>
                <w:lang w:val="hr-HR"/>
              </w:rPr>
              <w:t>(63.330)</w:t>
            </w:r>
          </w:p>
        </w:tc>
        <w:tc>
          <w:tcPr>
            <w:tcW w:w="593" w:type="pct"/>
            <w:tcBorders>
              <w:top w:val="nil"/>
              <w:left w:val="nil"/>
              <w:bottom w:val="single" w:sz="4" w:space="0" w:color="auto"/>
              <w:right w:val="nil"/>
            </w:tcBorders>
            <w:shd w:val="clear" w:color="auto" w:fill="auto"/>
          </w:tcPr>
          <w:p w14:paraId="11E2296B"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sz w:val="19"/>
                <w:szCs w:val="20"/>
                <w:lang w:val="en-GB"/>
              </w:rPr>
              <w:t>-</w:t>
            </w:r>
          </w:p>
        </w:tc>
        <w:tc>
          <w:tcPr>
            <w:tcW w:w="592" w:type="pct"/>
            <w:tcBorders>
              <w:top w:val="nil"/>
              <w:left w:val="nil"/>
              <w:bottom w:val="single" w:sz="4" w:space="0" w:color="auto"/>
              <w:right w:val="nil"/>
            </w:tcBorders>
            <w:shd w:val="clear" w:color="auto" w:fill="auto"/>
          </w:tcPr>
          <w:p w14:paraId="2C5B9DAD"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sz w:val="19"/>
                <w:szCs w:val="20"/>
                <w:lang w:val="en-GB"/>
              </w:rPr>
              <w:t>-</w:t>
            </w:r>
          </w:p>
        </w:tc>
        <w:tc>
          <w:tcPr>
            <w:tcW w:w="593" w:type="pct"/>
            <w:tcBorders>
              <w:top w:val="nil"/>
              <w:left w:val="nil"/>
              <w:bottom w:val="single" w:sz="4" w:space="0" w:color="auto"/>
              <w:right w:val="nil"/>
            </w:tcBorders>
            <w:shd w:val="clear" w:color="auto" w:fill="auto"/>
            <w:vAlign w:val="bottom"/>
          </w:tcPr>
          <w:p w14:paraId="51BCCB57"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r w:rsidRPr="00D042BF">
              <w:rPr>
                <w:rFonts w:ascii="Arial" w:hAnsi="Arial" w:cs="Arial"/>
                <w:b/>
                <w:iCs/>
                <w:color w:val="000000"/>
                <w:sz w:val="17"/>
                <w:szCs w:val="17"/>
                <w:lang w:val="hr-HR"/>
              </w:rPr>
              <w:t>(63.330)</w:t>
            </w:r>
          </w:p>
        </w:tc>
      </w:tr>
      <w:tr w:rsidR="00D042BF" w:rsidRPr="00D042BF" w14:paraId="7363EA09" w14:textId="77777777" w:rsidTr="00E032FC">
        <w:trPr>
          <w:trHeight w:val="62"/>
        </w:trPr>
        <w:tc>
          <w:tcPr>
            <w:tcW w:w="1444" w:type="pct"/>
            <w:vAlign w:val="bottom"/>
          </w:tcPr>
          <w:p w14:paraId="50C49067" w14:textId="77777777" w:rsidR="00D042BF" w:rsidRPr="00D042BF" w:rsidRDefault="00D042BF" w:rsidP="00D042BF">
            <w:pPr>
              <w:tabs>
                <w:tab w:val="right" w:pos="1202"/>
              </w:tabs>
              <w:suppressAutoHyphens w:val="0"/>
              <w:autoSpaceDN/>
              <w:spacing w:line="240" w:lineRule="exact"/>
              <w:outlineLvl w:val="0"/>
              <w:rPr>
                <w:rFonts w:ascii="Arial" w:hAnsi="Arial" w:cs="Arial"/>
                <w:iCs/>
                <w:color w:val="000000"/>
                <w:sz w:val="17"/>
                <w:szCs w:val="17"/>
                <w:lang w:val="hr-HR"/>
              </w:rPr>
            </w:pPr>
            <w:bookmarkStart w:id="664" w:name="_Toc67327318"/>
            <w:r w:rsidRPr="00D042BF">
              <w:rPr>
                <w:rFonts w:ascii="Arial" w:hAnsi="Arial" w:cs="Arial"/>
                <w:iCs/>
                <w:color w:val="000000"/>
                <w:sz w:val="17"/>
                <w:szCs w:val="17"/>
                <w:lang w:val="hr-HR"/>
              </w:rPr>
              <w:t>Ukupna sveobuhvatna dobit</w:t>
            </w:r>
            <w:bookmarkEnd w:id="664"/>
          </w:p>
        </w:tc>
        <w:tc>
          <w:tcPr>
            <w:tcW w:w="592" w:type="pct"/>
            <w:tcBorders>
              <w:top w:val="nil"/>
              <w:left w:val="nil"/>
              <w:bottom w:val="single" w:sz="4" w:space="0" w:color="auto"/>
              <w:right w:val="nil"/>
            </w:tcBorders>
            <w:shd w:val="clear" w:color="auto" w:fill="auto"/>
          </w:tcPr>
          <w:p w14:paraId="1FE49E48"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sz w:val="19"/>
                <w:szCs w:val="20"/>
                <w:lang w:val="en-GB"/>
              </w:rPr>
              <w:t>-</w:t>
            </w:r>
          </w:p>
        </w:tc>
        <w:tc>
          <w:tcPr>
            <w:tcW w:w="593" w:type="pct"/>
            <w:tcBorders>
              <w:top w:val="nil"/>
              <w:left w:val="nil"/>
              <w:bottom w:val="single" w:sz="4" w:space="0" w:color="auto"/>
              <w:right w:val="nil"/>
            </w:tcBorders>
            <w:shd w:val="clear" w:color="auto" w:fill="auto"/>
          </w:tcPr>
          <w:p w14:paraId="2098E1FC"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sz w:val="19"/>
                <w:szCs w:val="20"/>
                <w:lang w:val="en-GB"/>
              </w:rPr>
              <w:t>-</w:t>
            </w:r>
          </w:p>
        </w:tc>
        <w:tc>
          <w:tcPr>
            <w:tcW w:w="592" w:type="pct"/>
            <w:tcBorders>
              <w:top w:val="nil"/>
              <w:left w:val="nil"/>
              <w:bottom w:val="single" w:sz="4" w:space="0" w:color="auto"/>
              <w:right w:val="nil"/>
            </w:tcBorders>
            <w:shd w:val="clear" w:color="auto" w:fill="auto"/>
            <w:vAlign w:val="bottom"/>
          </w:tcPr>
          <w:p w14:paraId="2422525F"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cs="Arial"/>
                <w:iCs/>
                <w:color w:val="000000"/>
                <w:sz w:val="17"/>
                <w:szCs w:val="17"/>
                <w:lang w:val="hr-HR"/>
              </w:rPr>
              <w:t>(63.330)</w:t>
            </w:r>
          </w:p>
        </w:tc>
        <w:tc>
          <w:tcPr>
            <w:tcW w:w="593" w:type="pct"/>
            <w:tcBorders>
              <w:top w:val="nil"/>
              <w:left w:val="nil"/>
              <w:bottom w:val="single" w:sz="4" w:space="0" w:color="auto"/>
              <w:right w:val="nil"/>
            </w:tcBorders>
            <w:shd w:val="clear" w:color="auto" w:fill="auto"/>
            <w:vAlign w:val="bottom"/>
          </w:tcPr>
          <w:p w14:paraId="53BEC779"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cs="Arial"/>
                <w:iCs/>
                <w:color w:val="000000"/>
                <w:sz w:val="17"/>
                <w:szCs w:val="17"/>
                <w:lang w:val="hr-HR"/>
              </w:rPr>
              <w:t>186.173</w:t>
            </w:r>
          </w:p>
        </w:tc>
        <w:tc>
          <w:tcPr>
            <w:tcW w:w="592" w:type="pct"/>
            <w:tcBorders>
              <w:top w:val="nil"/>
              <w:left w:val="nil"/>
              <w:bottom w:val="single" w:sz="4" w:space="0" w:color="auto"/>
              <w:right w:val="nil"/>
            </w:tcBorders>
            <w:shd w:val="clear" w:color="auto" w:fill="auto"/>
          </w:tcPr>
          <w:p w14:paraId="58F7594D"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sz w:val="19"/>
                <w:szCs w:val="20"/>
                <w:lang w:val="en-GB"/>
              </w:rPr>
              <w:t>-</w:t>
            </w:r>
          </w:p>
        </w:tc>
        <w:tc>
          <w:tcPr>
            <w:tcW w:w="593" w:type="pct"/>
            <w:tcBorders>
              <w:top w:val="nil"/>
              <w:left w:val="nil"/>
              <w:bottom w:val="single" w:sz="4" w:space="0" w:color="auto"/>
              <w:right w:val="nil"/>
            </w:tcBorders>
            <w:shd w:val="clear" w:color="auto" w:fill="auto"/>
          </w:tcPr>
          <w:p w14:paraId="2429D1D7"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iCs/>
                <w:color w:val="000000"/>
                <w:sz w:val="17"/>
                <w:szCs w:val="17"/>
                <w:lang w:val="hr-HR"/>
              </w:rPr>
            </w:pPr>
            <w:r w:rsidRPr="00D042BF">
              <w:rPr>
                <w:rFonts w:ascii="Arial" w:hAnsi="Arial"/>
                <w:b/>
                <w:bCs/>
                <w:sz w:val="17"/>
                <w:szCs w:val="17"/>
                <w:lang w:val="en-GB"/>
              </w:rPr>
              <w:t>122.843</w:t>
            </w:r>
          </w:p>
        </w:tc>
      </w:tr>
      <w:tr w:rsidR="00D042BF" w:rsidRPr="00D042BF" w14:paraId="3D05790D" w14:textId="77777777" w:rsidTr="00E032FC">
        <w:trPr>
          <w:trHeight w:val="62"/>
        </w:trPr>
        <w:tc>
          <w:tcPr>
            <w:tcW w:w="1444" w:type="pct"/>
            <w:vAlign w:val="bottom"/>
          </w:tcPr>
          <w:p w14:paraId="5B165FAB" w14:textId="77777777" w:rsidR="00D042BF" w:rsidRPr="00D042BF" w:rsidRDefault="00D042BF" w:rsidP="00D042BF">
            <w:pPr>
              <w:tabs>
                <w:tab w:val="right" w:pos="1202"/>
              </w:tabs>
              <w:suppressAutoHyphens w:val="0"/>
              <w:autoSpaceDN/>
              <w:spacing w:line="240" w:lineRule="exact"/>
              <w:outlineLvl w:val="0"/>
              <w:rPr>
                <w:rFonts w:ascii="Arial" w:hAnsi="Arial" w:cs="Arial"/>
                <w:iCs/>
                <w:color w:val="000000"/>
                <w:sz w:val="17"/>
                <w:szCs w:val="17"/>
                <w:lang w:val="hr-HR"/>
              </w:rPr>
            </w:pPr>
            <w:bookmarkStart w:id="665" w:name="_Toc67327325"/>
            <w:r w:rsidRPr="00D042BF">
              <w:rPr>
                <w:rFonts w:ascii="Arial" w:hAnsi="Arial" w:cs="Arial"/>
                <w:iCs/>
                <w:color w:val="000000"/>
                <w:sz w:val="17"/>
                <w:szCs w:val="17"/>
                <w:lang w:val="hr-HR"/>
              </w:rPr>
              <w:t>Tečajne razlike Garantni fond</w:t>
            </w:r>
            <w:bookmarkEnd w:id="665"/>
          </w:p>
        </w:tc>
        <w:tc>
          <w:tcPr>
            <w:tcW w:w="592" w:type="pct"/>
            <w:tcBorders>
              <w:top w:val="nil"/>
              <w:left w:val="nil"/>
              <w:bottom w:val="nil"/>
              <w:right w:val="nil"/>
            </w:tcBorders>
            <w:shd w:val="clear" w:color="auto" w:fill="auto"/>
          </w:tcPr>
          <w:p w14:paraId="0460FB77"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color w:val="000000"/>
                <w:sz w:val="17"/>
                <w:szCs w:val="17"/>
                <w:lang w:val="hr-HR"/>
              </w:rPr>
            </w:pPr>
            <w:r w:rsidRPr="00D042BF">
              <w:rPr>
                <w:rFonts w:ascii="Arial" w:hAnsi="Arial"/>
                <w:sz w:val="19"/>
                <w:szCs w:val="20"/>
                <w:lang w:val="en-GB"/>
              </w:rPr>
              <w:t>-</w:t>
            </w:r>
          </w:p>
        </w:tc>
        <w:tc>
          <w:tcPr>
            <w:tcW w:w="593" w:type="pct"/>
            <w:tcBorders>
              <w:top w:val="nil"/>
              <w:left w:val="nil"/>
              <w:bottom w:val="nil"/>
              <w:right w:val="nil"/>
            </w:tcBorders>
            <w:shd w:val="clear" w:color="auto" w:fill="auto"/>
          </w:tcPr>
          <w:p w14:paraId="179BBDA1"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color w:val="000000"/>
                <w:sz w:val="17"/>
                <w:szCs w:val="17"/>
                <w:lang w:val="hr-HR"/>
              </w:rPr>
            </w:pPr>
            <w:r w:rsidRPr="00D042BF">
              <w:rPr>
                <w:rFonts w:ascii="Arial" w:hAnsi="Arial"/>
                <w:sz w:val="19"/>
                <w:szCs w:val="20"/>
                <w:lang w:val="en-GB"/>
              </w:rPr>
              <w:t>-</w:t>
            </w:r>
          </w:p>
        </w:tc>
        <w:tc>
          <w:tcPr>
            <w:tcW w:w="592" w:type="pct"/>
            <w:tcBorders>
              <w:top w:val="nil"/>
              <w:left w:val="nil"/>
              <w:bottom w:val="nil"/>
              <w:right w:val="nil"/>
            </w:tcBorders>
            <w:shd w:val="clear" w:color="auto" w:fill="auto"/>
          </w:tcPr>
          <w:p w14:paraId="4CC68235"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color w:val="000000"/>
                <w:sz w:val="17"/>
                <w:szCs w:val="17"/>
                <w:lang w:val="hr-HR"/>
              </w:rPr>
            </w:pPr>
            <w:r w:rsidRPr="00D042BF">
              <w:rPr>
                <w:rFonts w:ascii="Arial" w:hAnsi="Arial"/>
                <w:sz w:val="19"/>
                <w:szCs w:val="20"/>
                <w:lang w:val="en-GB"/>
              </w:rPr>
              <w:t>-</w:t>
            </w:r>
          </w:p>
        </w:tc>
        <w:tc>
          <w:tcPr>
            <w:tcW w:w="593" w:type="pct"/>
            <w:tcBorders>
              <w:top w:val="nil"/>
              <w:left w:val="nil"/>
              <w:bottom w:val="nil"/>
              <w:right w:val="nil"/>
            </w:tcBorders>
            <w:shd w:val="clear" w:color="auto" w:fill="auto"/>
          </w:tcPr>
          <w:p w14:paraId="767E1859"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color w:val="000000"/>
                <w:sz w:val="17"/>
                <w:szCs w:val="17"/>
                <w:lang w:val="hr-HR"/>
              </w:rPr>
            </w:pPr>
            <w:r w:rsidRPr="00D042BF">
              <w:rPr>
                <w:rFonts w:ascii="Arial" w:hAnsi="Arial"/>
                <w:sz w:val="19"/>
                <w:szCs w:val="20"/>
                <w:lang w:val="en-GB"/>
              </w:rPr>
              <w:t>-</w:t>
            </w:r>
          </w:p>
        </w:tc>
        <w:tc>
          <w:tcPr>
            <w:tcW w:w="592" w:type="pct"/>
            <w:tcBorders>
              <w:top w:val="nil"/>
              <w:left w:val="nil"/>
              <w:bottom w:val="nil"/>
              <w:right w:val="nil"/>
            </w:tcBorders>
            <w:shd w:val="clear" w:color="auto" w:fill="auto"/>
            <w:vAlign w:val="bottom"/>
          </w:tcPr>
          <w:p w14:paraId="5E78FA27"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color w:val="000000"/>
                <w:sz w:val="17"/>
                <w:szCs w:val="17"/>
                <w:lang w:val="hr-HR"/>
              </w:rPr>
            </w:pPr>
            <w:r w:rsidRPr="00D042BF">
              <w:rPr>
                <w:rFonts w:ascii="Arial" w:hAnsi="Arial" w:cs="Arial"/>
                <w:color w:val="000000"/>
                <w:sz w:val="17"/>
                <w:szCs w:val="17"/>
                <w:lang w:val="hr-HR"/>
              </w:rPr>
              <w:t>28</w:t>
            </w:r>
          </w:p>
        </w:tc>
        <w:tc>
          <w:tcPr>
            <w:tcW w:w="593" w:type="pct"/>
            <w:tcBorders>
              <w:top w:val="nil"/>
              <w:left w:val="nil"/>
              <w:bottom w:val="nil"/>
              <w:right w:val="nil"/>
            </w:tcBorders>
            <w:shd w:val="clear" w:color="auto" w:fill="auto"/>
            <w:vAlign w:val="bottom"/>
          </w:tcPr>
          <w:p w14:paraId="622192B1"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color w:val="000000"/>
                <w:sz w:val="17"/>
                <w:szCs w:val="17"/>
                <w:lang w:val="hr-HR"/>
              </w:rPr>
            </w:pPr>
            <w:r w:rsidRPr="00D042BF">
              <w:rPr>
                <w:rFonts w:ascii="Arial" w:hAnsi="Arial" w:cs="Arial"/>
                <w:b/>
                <w:color w:val="000000"/>
                <w:sz w:val="17"/>
                <w:szCs w:val="17"/>
                <w:lang w:val="hr-HR"/>
              </w:rPr>
              <w:t>28</w:t>
            </w:r>
          </w:p>
        </w:tc>
      </w:tr>
      <w:tr w:rsidR="00D042BF" w:rsidRPr="00D042BF" w14:paraId="079A9122" w14:textId="77777777" w:rsidTr="00E032FC">
        <w:trPr>
          <w:trHeight w:val="565"/>
        </w:trPr>
        <w:tc>
          <w:tcPr>
            <w:tcW w:w="1444" w:type="pct"/>
            <w:vAlign w:val="bottom"/>
          </w:tcPr>
          <w:p w14:paraId="1601BF04" w14:textId="77777777" w:rsidR="00D042BF" w:rsidRPr="00D042BF" w:rsidRDefault="00D042BF" w:rsidP="00D042BF">
            <w:pPr>
              <w:tabs>
                <w:tab w:val="right" w:pos="1202"/>
              </w:tabs>
              <w:suppressAutoHyphens w:val="0"/>
              <w:autoSpaceDN/>
              <w:spacing w:line="240" w:lineRule="exact"/>
              <w:outlineLvl w:val="0"/>
              <w:rPr>
                <w:rFonts w:ascii="Arial" w:hAnsi="Arial" w:cs="Arial"/>
                <w:i/>
                <w:iCs/>
                <w:color w:val="000000"/>
                <w:sz w:val="17"/>
                <w:szCs w:val="17"/>
                <w:lang w:val="hr-HR"/>
              </w:rPr>
            </w:pPr>
            <w:bookmarkStart w:id="666" w:name="_Toc67327332"/>
            <w:r w:rsidRPr="00D042BF">
              <w:rPr>
                <w:rFonts w:ascii="Arial" w:hAnsi="Arial" w:cs="Arial"/>
                <w:iCs/>
                <w:color w:val="000000"/>
                <w:sz w:val="17"/>
                <w:szCs w:val="17"/>
                <w:lang w:val="hr-HR"/>
              </w:rPr>
              <w:t>Uplate u osnivački kapital iz državnog proračuna</w:t>
            </w:r>
            <w:bookmarkEnd w:id="666"/>
            <w:r w:rsidRPr="00D042BF">
              <w:rPr>
                <w:rFonts w:ascii="Arial" w:hAnsi="Arial" w:cs="Arial"/>
                <w:iCs/>
                <w:color w:val="000000"/>
                <w:sz w:val="17"/>
                <w:szCs w:val="17"/>
                <w:lang w:val="hr-HR"/>
              </w:rPr>
              <w:t xml:space="preserve"> </w:t>
            </w:r>
          </w:p>
        </w:tc>
        <w:tc>
          <w:tcPr>
            <w:tcW w:w="592" w:type="pct"/>
            <w:tcBorders>
              <w:top w:val="nil"/>
              <w:left w:val="nil"/>
              <w:bottom w:val="nil"/>
              <w:right w:val="nil"/>
            </w:tcBorders>
            <w:shd w:val="clear" w:color="auto" w:fill="auto"/>
            <w:vAlign w:val="bottom"/>
          </w:tcPr>
          <w:p w14:paraId="5C09C761"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cs="Arial"/>
                <w:iCs/>
                <w:color w:val="000000"/>
                <w:sz w:val="17"/>
                <w:szCs w:val="17"/>
                <w:lang w:val="hr-HR"/>
              </w:rPr>
              <w:t>20.000</w:t>
            </w:r>
          </w:p>
        </w:tc>
        <w:tc>
          <w:tcPr>
            <w:tcW w:w="593" w:type="pct"/>
            <w:tcBorders>
              <w:top w:val="nil"/>
              <w:left w:val="nil"/>
              <w:bottom w:val="nil"/>
              <w:right w:val="nil"/>
            </w:tcBorders>
            <w:shd w:val="clear" w:color="auto" w:fill="auto"/>
            <w:vAlign w:val="bottom"/>
          </w:tcPr>
          <w:p w14:paraId="7E32C6A6"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sz w:val="19"/>
                <w:szCs w:val="20"/>
                <w:lang w:val="en-GB"/>
              </w:rPr>
              <w:t>-</w:t>
            </w:r>
          </w:p>
        </w:tc>
        <w:tc>
          <w:tcPr>
            <w:tcW w:w="592" w:type="pct"/>
            <w:tcBorders>
              <w:top w:val="nil"/>
              <w:left w:val="nil"/>
              <w:bottom w:val="nil"/>
              <w:right w:val="nil"/>
            </w:tcBorders>
            <w:shd w:val="clear" w:color="auto" w:fill="auto"/>
            <w:vAlign w:val="bottom"/>
          </w:tcPr>
          <w:p w14:paraId="7CFBDC84"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sz w:val="19"/>
                <w:szCs w:val="20"/>
                <w:lang w:val="en-GB"/>
              </w:rPr>
              <w:t>-</w:t>
            </w:r>
          </w:p>
        </w:tc>
        <w:tc>
          <w:tcPr>
            <w:tcW w:w="593" w:type="pct"/>
            <w:tcBorders>
              <w:top w:val="nil"/>
              <w:left w:val="nil"/>
              <w:bottom w:val="nil"/>
              <w:right w:val="nil"/>
            </w:tcBorders>
            <w:shd w:val="clear" w:color="auto" w:fill="auto"/>
            <w:vAlign w:val="bottom"/>
          </w:tcPr>
          <w:p w14:paraId="6547AADD"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sz w:val="19"/>
                <w:szCs w:val="20"/>
                <w:lang w:val="en-GB"/>
              </w:rPr>
              <w:t>-</w:t>
            </w:r>
          </w:p>
        </w:tc>
        <w:tc>
          <w:tcPr>
            <w:tcW w:w="592" w:type="pct"/>
            <w:tcBorders>
              <w:top w:val="nil"/>
              <w:left w:val="nil"/>
              <w:bottom w:val="nil"/>
              <w:right w:val="nil"/>
            </w:tcBorders>
            <w:shd w:val="clear" w:color="auto" w:fill="auto"/>
            <w:vAlign w:val="bottom"/>
          </w:tcPr>
          <w:p w14:paraId="0972C451"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sz w:val="19"/>
                <w:szCs w:val="20"/>
                <w:lang w:val="en-GB"/>
              </w:rPr>
              <w:t>-</w:t>
            </w:r>
          </w:p>
        </w:tc>
        <w:tc>
          <w:tcPr>
            <w:tcW w:w="593" w:type="pct"/>
            <w:tcBorders>
              <w:top w:val="nil"/>
              <w:left w:val="nil"/>
              <w:bottom w:val="nil"/>
              <w:right w:val="nil"/>
            </w:tcBorders>
            <w:shd w:val="clear" w:color="auto" w:fill="auto"/>
            <w:vAlign w:val="bottom"/>
          </w:tcPr>
          <w:p w14:paraId="12E21DB6"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r w:rsidRPr="00D042BF">
              <w:rPr>
                <w:rFonts w:ascii="Arial" w:hAnsi="Arial" w:cs="Arial"/>
                <w:b/>
                <w:iCs/>
                <w:color w:val="000000"/>
                <w:sz w:val="17"/>
                <w:szCs w:val="17"/>
                <w:lang w:val="hr-HR"/>
              </w:rPr>
              <w:t>20.000</w:t>
            </w:r>
          </w:p>
        </w:tc>
      </w:tr>
      <w:tr w:rsidR="00D042BF" w:rsidRPr="00D042BF" w14:paraId="5CF19B00" w14:textId="77777777" w:rsidTr="00E032FC">
        <w:trPr>
          <w:trHeight w:val="385"/>
        </w:trPr>
        <w:tc>
          <w:tcPr>
            <w:tcW w:w="1444" w:type="pct"/>
            <w:vAlign w:val="bottom"/>
          </w:tcPr>
          <w:p w14:paraId="4FBE79CD" w14:textId="77777777" w:rsidR="00D042BF" w:rsidRPr="00D042BF" w:rsidRDefault="00D042BF" w:rsidP="00D042BF">
            <w:pPr>
              <w:tabs>
                <w:tab w:val="right" w:pos="1202"/>
              </w:tabs>
              <w:suppressAutoHyphens w:val="0"/>
              <w:autoSpaceDN/>
              <w:spacing w:line="240" w:lineRule="exact"/>
              <w:outlineLvl w:val="0"/>
              <w:rPr>
                <w:rFonts w:ascii="Arial" w:hAnsi="Arial" w:cs="Arial"/>
                <w:i/>
                <w:iCs/>
                <w:color w:val="000000"/>
                <w:sz w:val="17"/>
                <w:szCs w:val="17"/>
                <w:lang w:val="hr-HR"/>
              </w:rPr>
            </w:pPr>
            <w:bookmarkStart w:id="667" w:name="_Toc67327339"/>
            <w:r w:rsidRPr="00D042BF">
              <w:rPr>
                <w:rFonts w:ascii="Arial" w:hAnsi="Arial" w:cs="Arial"/>
                <w:iCs/>
                <w:color w:val="000000"/>
                <w:sz w:val="17"/>
                <w:szCs w:val="17"/>
                <w:lang w:val="hr-HR"/>
              </w:rPr>
              <w:t>Prijenos dobiti iz 2021. godine u zadržanu dobit</w:t>
            </w:r>
            <w:bookmarkEnd w:id="667"/>
          </w:p>
        </w:tc>
        <w:tc>
          <w:tcPr>
            <w:tcW w:w="592" w:type="pct"/>
            <w:tcBorders>
              <w:top w:val="nil"/>
              <w:left w:val="nil"/>
              <w:bottom w:val="single" w:sz="4" w:space="0" w:color="auto"/>
              <w:right w:val="nil"/>
            </w:tcBorders>
            <w:shd w:val="clear" w:color="auto" w:fill="auto"/>
            <w:vAlign w:val="bottom"/>
          </w:tcPr>
          <w:p w14:paraId="59538D01"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cs="Arial"/>
                <w:color w:val="000000"/>
                <w:sz w:val="17"/>
                <w:szCs w:val="17"/>
                <w:lang w:val="hr-HR"/>
              </w:rPr>
              <w:t>-</w:t>
            </w:r>
          </w:p>
        </w:tc>
        <w:tc>
          <w:tcPr>
            <w:tcW w:w="593" w:type="pct"/>
            <w:tcBorders>
              <w:top w:val="nil"/>
              <w:left w:val="nil"/>
              <w:bottom w:val="single" w:sz="4" w:space="0" w:color="auto"/>
              <w:right w:val="nil"/>
            </w:tcBorders>
            <w:shd w:val="clear" w:color="auto" w:fill="auto"/>
            <w:vAlign w:val="bottom"/>
          </w:tcPr>
          <w:p w14:paraId="75554FE7"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cs="Arial"/>
                <w:iCs/>
                <w:color w:val="000000"/>
                <w:sz w:val="17"/>
                <w:szCs w:val="17"/>
                <w:lang w:val="hr-HR"/>
              </w:rPr>
              <w:t>187.082</w:t>
            </w:r>
          </w:p>
        </w:tc>
        <w:tc>
          <w:tcPr>
            <w:tcW w:w="592" w:type="pct"/>
            <w:tcBorders>
              <w:top w:val="nil"/>
              <w:left w:val="nil"/>
              <w:bottom w:val="single" w:sz="4" w:space="0" w:color="auto"/>
              <w:right w:val="nil"/>
            </w:tcBorders>
            <w:shd w:val="clear" w:color="auto" w:fill="auto"/>
            <w:vAlign w:val="bottom"/>
          </w:tcPr>
          <w:p w14:paraId="64E74A60"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cs="Arial"/>
                <w:color w:val="000000"/>
                <w:sz w:val="17"/>
                <w:szCs w:val="17"/>
                <w:lang w:val="hr-HR"/>
              </w:rPr>
              <w:t>-</w:t>
            </w:r>
          </w:p>
        </w:tc>
        <w:tc>
          <w:tcPr>
            <w:tcW w:w="593" w:type="pct"/>
            <w:tcBorders>
              <w:top w:val="nil"/>
              <w:left w:val="nil"/>
              <w:bottom w:val="single" w:sz="4" w:space="0" w:color="auto"/>
              <w:right w:val="nil"/>
            </w:tcBorders>
            <w:shd w:val="clear" w:color="auto" w:fill="auto"/>
            <w:vAlign w:val="bottom"/>
          </w:tcPr>
          <w:p w14:paraId="181D2FA7"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cs="Arial"/>
                <w:iCs/>
                <w:color w:val="000000"/>
                <w:sz w:val="17"/>
                <w:szCs w:val="17"/>
                <w:lang w:val="hr-HR"/>
              </w:rPr>
              <w:t>(187.082)</w:t>
            </w:r>
          </w:p>
        </w:tc>
        <w:tc>
          <w:tcPr>
            <w:tcW w:w="592" w:type="pct"/>
            <w:tcBorders>
              <w:top w:val="nil"/>
              <w:left w:val="nil"/>
              <w:bottom w:val="single" w:sz="4" w:space="0" w:color="auto"/>
              <w:right w:val="nil"/>
            </w:tcBorders>
            <w:shd w:val="clear" w:color="auto" w:fill="auto"/>
            <w:vAlign w:val="bottom"/>
          </w:tcPr>
          <w:p w14:paraId="32B9C6ED"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iCs/>
                <w:color w:val="000000"/>
                <w:sz w:val="17"/>
                <w:szCs w:val="17"/>
                <w:lang w:val="hr-HR"/>
              </w:rPr>
            </w:pPr>
            <w:r w:rsidRPr="00D042BF">
              <w:rPr>
                <w:rFonts w:ascii="Arial" w:hAnsi="Arial"/>
                <w:sz w:val="19"/>
                <w:szCs w:val="20"/>
                <w:lang w:val="en-GB"/>
              </w:rPr>
              <w:t>-</w:t>
            </w:r>
          </w:p>
        </w:tc>
        <w:tc>
          <w:tcPr>
            <w:tcW w:w="593" w:type="pct"/>
            <w:tcBorders>
              <w:top w:val="nil"/>
              <w:left w:val="nil"/>
              <w:bottom w:val="single" w:sz="4" w:space="0" w:color="auto"/>
              <w:right w:val="nil"/>
            </w:tcBorders>
            <w:shd w:val="clear" w:color="auto" w:fill="auto"/>
            <w:vAlign w:val="bottom"/>
          </w:tcPr>
          <w:p w14:paraId="1C1140DA"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iCs/>
                <w:color w:val="000000"/>
                <w:sz w:val="17"/>
                <w:szCs w:val="17"/>
                <w:lang w:val="hr-HR"/>
              </w:rPr>
            </w:pPr>
            <w:r w:rsidRPr="00D042BF">
              <w:rPr>
                <w:rFonts w:ascii="Arial" w:hAnsi="Arial"/>
                <w:sz w:val="19"/>
                <w:szCs w:val="20"/>
                <w:lang w:val="en-GB"/>
              </w:rPr>
              <w:t>-</w:t>
            </w:r>
          </w:p>
        </w:tc>
      </w:tr>
      <w:tr w:rsidR="00D042BF" w:rsidRPr="00D042BF" w14:paraId="13E4C981" w14:textId="77777777" w:rsidTr="00E032FC">
        <w:trPr>
          <w:trHeight w:val="240"/>
        </w:trPr>
        <w:tc>
          <w:tcPr>
            <w:tcW w:w="1444" w:type="pct"/>
            <w:vAlign w:val="bottom"/>
          </w:tcPr>
          <w:p w14:paraId="3BD4247E" w14:textId="77777777" w:rsidR="00D042BF" w:rsidRPr="00D042BF" w:rsidRDefault="00D042BF" w:rsidP="00D042BF">
            <w:pPr>
              <w:tabs>
                <w:tab w:val="right" w:pos="1202"/>
              </w:tabs>
              <w:suppressAutoHyphens w:val="0"/>
              <w:autoSpaceDN/>
              <w:spacing w:line="240" w:lineRule="exact"/>
              <w:outlineLvl w:val="0"/>
              <w:rPr>
                <w:rFonts w:ascii="Arial" w:hAnsi="Arial" w:cs="Arial"/>
                <w:b/>
                <w:iCs/>
                <w:color w:val="000000"/>
                <w:sz w:val="17"/>
                <w:szCs w:val="17"/>
                <w:lang w:val="hr-HR"/>
              </w:rPr>
            </w:pPr>
            <w:bookmarkStart w:id="668" w:name="_Toc67327346"/>
            <w:r w:rsidRPr="00D042BF">
              <w:rPr>
                <w:rFonts w:ascii="Arial" w:hAnsi="Arial" w:cs="Arial"/>
                <w:b/>
                <w:iCs/>
                <w:color w:val="000000"/>
                <w:sz w:val="17"/>
                <w:szCs w:val="17"/>
                <w:lang w:val="hr-HR"/>
              </w:rPr>
              <w:t>Stanje 31. prosinca 2022.</w:t>
            </w:r>
            <w:bookmarkEnd w:id="668"/>
            <w:r w:rsidRPr="00D042BF">
              <w:rPr>
                <w:rFonts w:ascii="Arial" w:hAnsi="Arial" w:cs="Arial"/>
                <w:b/>
                <w:iCs/>
                <w:color w:val="000000"/>
                <w:sz w:val="17"/>
                <w:szCs w:val="17"/>
                <w:lang w:val="hr-HR"/>
              </w:rPr>
              <w:t xml:space="preserve"> </w:t>
            </w:r>
          </w:p>
        </w:tc>
        <w:tc>
          <w:tcPr>
            <w:tcW w:w="592" w:type="pct"/>
            <w:tcBorders>
              <w:top w:val="single" w:sz="8" w:space="0" w:color="auto"/>
              <w:left w:val="nil"/>
              <w:bottom w:val="single" w:sz="12" w:space="0" w:color="auto"/>
              <w:right w:val="nil"/>
            </w:tcBorders>
            <w:shd w:val="clear" w:color="auto" w:fill="auto"/>
            <w:vAlign w:val="bottom"/>
          </w:tcPr>
          <w:p w14:paraId="5488D947"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color w:val="000000"/>
                <w:sz w:val="17"/>
                <w:szCs w:val="17"/>
                <w:lang w:val="en-GB"/>
              </w:rPr>
            </w:pPr>
            <w:r w:rsidRPr="00D042BF">
              <w:rPr>
                <w:rFonts w:ascii="Arial" w:hAnsi="Arial" w:cs="Arial"/>
                <w:b/>
                <w:bCs/>
                <w:color w:val="000000"/>
                <w:sz w:val="17"/>
                <w:szCs w:val="17"/>
                <w:lang w:val="en-GB"/>
              </w:rPr>
              <w:t xml:space="preserve"> 7.204.632 </w:t>
            </w:r>
          </w:p>
        </w:tc>
        <w:tc>
          <w:tcPr>
            <w:tcW w:w="593" w:type="pct"/>
            <w:tcBorders>
              <w:top w:val="single" w:sz="8" w:space="0" w:color="auto"/>
              <w:left w:val="nil"/>
              <w:bottom w:val="single" w:sz="12" w:space="0" w:color="auto"/>
              <w:right w:val="nil"/>
            </w:tcBorders>
            <w:shd w:val="clear" w:color="auto" w:fill="auto"/>
            <w:vAlign w:val="bottom"/>
          </w:tcPr>
          <w:p w14:paraId="21045B07"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color w:val="000000"/>
                <w:sz w:val="17"/>
                <w:szCs w:val="17"/>
                <w:lang w:val="en-GB"/>
              </w:rPr>
            </w:pPr>
            <w:r w:rsidRPr="00D042BF">
              <w:rPr>
                <w:rFonts w:ascii="Arial" w:hAnsi="Arial" w:cs="Arial"/>
                <w:b/>
                <w:bCs/>
                <w:color w:val="000000"/>
                <w:sz w:val="17"/>
                <w:szCs w:val="17"/>
                <w:lang w:val="en-GB"/>
              </w:rPr>
              <w:t xml:space="preserve"> 3.340.827 </w:t>
            </w:r>
          </w:p>
        </w:tc>
        <w:tc>
          <w:tcPr>
            <w:tcW w:w="592" w:type="pct"/>
            <w:tcBorders>
              <w:top w:val="single" w:sz="8" w:space="0" w:color="auto"/>
              <w:left w:val="nil"/>
              <w:bottom w:val="single" w:sz="12" w:space="0" w:color="auto"/>
              <w:right w:val="nil"/>
            </w:tcBorders>
            <w:shd w:val="clear" w:color="auto" w:fill="auto"/>
            <w:vAlign w:val="bottom"/>
          </w:tcPr>
          <w:p w14:paraId="3F24D40A"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color w:val="000000"/>
                <w:sz w:val="17"/>
                <w:szCs w:val="17"/>
                <w:lang w:val="en-GB"/>
              </w:rPr>
            </w:pPr>
            <w:r w:rsidRPr="00D042BF">
              <w:rPr>
                <w:rFonts w:ascii="Arial" w:hAnsi="Arial" w:cs="Arial"/>
                <w:b/>
                <w:bCs/>
                <w:color w:val="000000"/>
                <w:sz w:val="17"/>
                <w:szCs w:val="17"/>
                <w:lang w:val="en-GB"/>
              </w:rPr>
              <w:t xml:space="preserve"> (33.369)</w:t>
            </w:r>
          </w:p>
        </w:tc>
        <w:tc>
          <w:tcPr>
            <w:tcW w:w="593" w:type="pct"/>
            <w:tcBorders>
              <w:top w:val="single" w:sz="8" w:space="0" w:color="auto"/>
              <w:left w:val="nil"/>
              <w:bottom w:val="single" w:sz="12" w:space="0" w:color="auto"/>
              <w:right w:val="nil"/>
            </w:tcBorders>
            <w:shd w:val="clear" w:color="auto" w:fill="auto"/>
            <w:vAlign w:val="bottom"/>
          </w:tcPr>
          <w:p w14:paraId="02E75BD4"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color w:val="000000"/>
                <w:sz w:val="17"/>
                <w:szCs w:val="17"/>
                <w:lang w:val="en-GB"/>
              </w:rPr>
            </w:pPr>
            <w:r w:rsidRPr="00D042BF">
              <w:rPr>
                <w:rFonts w:ascii="Arial" w:hAnsi="Arial" w:cs="Arial"/>
                <w:b/>
                <w:bCs/>
                <w:color w:val="000000"/>
                <w:sz w:val="17"/>
                <w:szCs w:val="17"/>
                <w:lang w:val="en-GB"/>
              </w:rPr>
              <w:t xml:space="preserve"> 186.173 </w:t>
            </w:r>
          </w:p>
        </w:tc>
        <w:tc>
          <w:tcPr>
            <w:tcW w:w="592" w:type="pct"/>
            <w:tcBorders>
              <w:top w:val="single" w:sz="8" w:space="0" w:color="auto"/>
              <w:left w:val="nil"/>
              <w:bottom w:val="single" w:sz="12" w:space="0" w:color="auto"/>
              <w:right w:val="nil"/>
            </w:tcBorders>
            <w:shd w:val="clear" w:color="auto" w:fill="auto"/>
            <w:vAlign w:val="bottom"/>
          </w:tcPr>
          <w:p w14:paraId="00BA7F7A"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color w:val="000000"/>
                <w:sz w:val="17"/>
                <w:szCs w:val="17"/>
                <w:lang w:val="en-GB"/>
              </w:rPr>
            </w:pPr>
            <w:r w:rsidRPr="00D042BF">
              <w:rPr>
                <w:rFonts w:ascii="Arial" w:hAnsi="Arial" w:cs="Arial"/>
                <w:b/>
                <w:bCs/>
                <w:color w:val="000000"/>
                <w:sz w:val="17"/>
                <w:szCs w:val="17"/>
                <w:lang w:val="en-GB"/>
              </w:rPr>
              <w:t xml:space="preserve"> 12.337 </w:t>
            </w:r>
          </w:p>
        </w:tc>
        <w:tc>
          <w:tcPr>
            <w:tcW w:w="593" w:type="pct"/>
            <w:tcBorders>
              <w:top w:val="single" w:sz="8" w:space="0" w:color="auto"/>
              <w:left w:val="nil"/>
              <w:bottom w:val="single" w:sz="12" w:space="0" w:color="auto"/>
              <w:right w:val="nil"/>
            </w:tcBorders>
            <w:shd w:val="clear" w:color="auto" w:fill="auto"/>
            <w:vAlign w:val="bottom"/>
          </w:tcPr>
          <w:p w14:paraId="0DB92C4A" w14:textId="77777777" w:rsidR="00D042BF" w:rsidRPr="00D042BF" w:rsidRDefault="00D042BF" w:rsidP="00D042BF">
            <w:pPr>
              <w:tabs>
                <w:tab w:val="right" w:pos="1202"/>
              </w:tabs>
              <w:suppressAutoHyphens w:val="0"/>
              <w:autoSpaceDN/>
              <w:spacing w:line="301" w:lineRule="exact"/>
              <w:jc w:val="right"/>
              <w:outlineLvl w:val="0"/>
              <w:rPr>
                <w:rFonts w:ascii="Arial" w:hAnsi="Arial" w:cs="Arial"/>
                <w:b/>
                <w:bCs/>
                <w:color w:val="000000"/>
                <w:sz w:val="17"/>
                <w:szCs w:val="17"/>
                <w:lang w:val="en-GB"/>
              </w:rPr>
            </w:pPr>
            <w:r w:rsidRPr="00D042BF">
              <w:rPr>
                <w:rFonts w:ascii="Arial" w:hAnsi="Arial" w:cs="Arial"/>
                <w:b/>
                <w:bCs/>
                <w:color w:val="000000"/>
                <w:sz w:val="17"/>
                <w:szCs w:val="17"/>
                <w:lang w:val="en-GB"/>
              </w:rPr>
              <w:t xml:space="preserve"> 10.710.600 </w:t>
            </w:r>
          </w:p>
        </w:tc>
      </w:tr>
    </w:tbl>
    <w:p w14:paraId="4B130A2C" w14:textId="77777777" w:rsidR="00D042BF" w:rsidRPr="00D042BF" w:rsidRDefault="00D042BF" w:rsidP="00D042BF">
      <w:pPr>
        <w:keepNext/>
        <w:suppressAutoHyphens w:val="0"/>
        <w:autoSpaceDN/>
        <w:jc w:val="both"/>
        <w:rPr>
          <w:rFonts w:ascii="Arial" w:hAnsi="Arial" w:cs="Arial"/>
          <w:color w:val="000000"/>
          <w:sz w:val="22"/>
          <w:szCs w:val="22"/>
          <w:lang w:val="hr-HR"/>
        </w:rPr>
      </w:pPr>
    </w:p>
    <w:p w14:paraId="347A21BE" w14:textId="77777777" w:rsidR="00D042BF" w:rsidRPr="00D042BF" w:rsidRDefault="00D042BF" w:rsidP="00D042BF">
      <w:pPr>
        <w:keepNext/>
        <w:suppressAutoHyphens w:val="0"/>
        <w:autoSpaceDN/>
        <w:jc w:val="both"/>
        <w:rPr>
          <w:rFonts w:ascii="Arial" w:hAnsi="Arial" w:cs="Arial"/>
          <w:color w:val="000000"/>
          <w:sz w:val="22"/>
          <w:szCs w:val="22"/>
          <w:lang w:val="hr-HR"/>
        </w:rPr>
      </w:pPr>
    </w:p>
    <w:p w14:paraId="4C6D4752" w14:textId="77777777" w:rsidR="00D042BF" w:rsidRPr="00D042BF" w:rsidRDefault="00D042BF" w:rsidP="00D042BF">
      <w:pPr>
        <w:keepNext/>
        <w:suppressAutoHyphens w:val="0"/>
        <w:autoSpaceDN/>
        <w:jc w:val="both"/>
        <w:rPr>
          <w:rFonts w:ascii="Arial" w:hAnsi="Arial" w:cs="Arial"/>
          <w:color w:val="000000"/>
          <w:sz w:val="22"/>
          <w:szCs w:val="22"/>
          <w:lang w:val="hr-HR"/>
        </w:rPr>
      </w:pPr>
    </w:p>
    <w:p w14:paraId="1755F1B4" w14:textId="77777777" w:rsidR="00D042BF" w:rsidRPr="00D042BF" w:rsidRDefault="00D042BF" w:rsidP="00D042BF">
      <w:pPr>
        <w:keepNext/>
        <w:suppressAutoHyphens w:val="0"/>
        <w:autoSpaceDN/>
        <w:jc w:val="both"/>
        <w:rPr>
          <w:rFonts w:ascii="Arial" w:hAnsi="Arial" w:cs="Arial"/>
          <w:color w:val="000000"/>
          <w:sz w:val="22"/>
          <w:szCs w:val="22"/>
          <w:lang w:val="hr-HR"/>
        </w:rPr>
      </w:pPr>
    </w:p>
    <w:p w14:paraId="572642DB" w14:textId="77777777" w:rsidR="00D042BF" w:rsidRPr="00D042BF" w:rsidRDefault="00D042BF" w:rsidP="00D042BF">
      <w:pPr>
        <w:keepNext/>
        <w:suppressAutoHyphens w:val="0"/>
        <w:autoSpaceDN/>
        <w:jc w:val="both"/>
        <w:rPr>
          <w:rFonts w:ascii="Arial" w:hAnsi="Arial" w:cs="Arial"/>
          <w:color w:val="000000"/>
          <w:sz w:val="22"/>
          <w:szCs w:val="22"/>
          <w:lang w:val="hr-HR"/>
        </w:rPr>
      </w:pPr>
    </w:p>
    <w:p w14:paraId="71DFBBCC" w14:textId="77777777" w:rsidR="00D042BF" w:rsidRPr="00D042BF" w:rsidRDefault="00D042BF" w:rsidP="00D042BF">
      <w:pPr>
        <w:keepNext/>
        <w:suppressAutoHyphens w:val="0"/>
        <w:autoSpaceDN/>
        <w:jc w:val="both"/>
        <w:rPr>
          <w:rFonts w:ascii="Arial" w:hAnsi="Arial" w:cs="Arial"/>
          <w:color w:val="000000"/>
          <w:sz w:val="22"/>
          <w:szCs w:val="22"/>
          <w:lang w:val="hr-HR"/>
        </w:rPr>
      </w:pPr>
    </w:p>
    <w:p w14:paraId="2F34850F" w14:textId="77777777" w:rsidR="00D042BF" w:rsidRPr="00D042BF" w:rsidRDefault="00D042BF" w:rsidP="00D042BF">
      <w:pPr>
        <w:keepNext/>
        <w:suppressAutoHyphens w:val="0"/>
        <w:autoSpaceDN/>
        <w:jc w:val="both"/>
        <w:rPr>
          <w:rFonts w:ascii="Arial" w:hAnsi="Arial" w:cs="Arial"/>
          <w:color w:val="000000"/>
          <w:sz w:val="22"/>
          <w:szCs w:val="22"/>
          <w:lang w:val="hr-HR"/>
        </w:rPr>
      </w:pPr>
    </w:p>
    <w:p w14:paraId="0CE16559" w14:textId="77777777" w:rsidR="00D042BF" w:rsidRPr="00D042BF" w:rsidRDefault="00D042BF" w:rsidP="00D042BF">
      <w:pPr>
        <w:keepNext/>
        <w:suppressAutoHyphens w:val="0"/>
        <w:autoSpaceDN/>
        <w:jc w:val="both"/>
        <w:rPr>
          <w:rFonts w:ascii="Arial" w:hAnsi="Arial" w:cs="Arial"/>
          <w:color w:val="000000"/>
          <w:sz w:val="22"/>
          <w:szCs w:val="22"/>
          <w:lang w:val="hr-HR"/>
        </w:rPr>
      </w:pPr>
    </w:p>
    <w:p w14:paraId="3DF9B317" w14:textId="77777777" w:rsidR="00D042BF" w:rsidRPr="00D042BF" w:rsidRDefault="00D042BF" w:rsidP="00D042BF">
      <w:pPr>
        <w:keepNext/>
        <w:suppressAutoHyphens w:val="0"/>
        <w:autoSpaceDN/>
        <w:jc w:val="both"/>
        <w:rPr>
          <w:rFonts w:ascii="Arial" w:hAnsi="Arial" w:cs="Arial"/>
          <w:color w:val="000000"/>
          <w:sz w:val="22"/>
          <w:szCs w:val="22"/>
          <w:lang w:val="hr-HR"/>
        </w:rPr>
      </w:pPr>
    </w:p>
    <w:p w14:paraId="2F585631" w14:textId="77777777" w:rsidR="00D042BF" w:rsidRPr="00D042BF" w:rsidRDefault="00D042BF" w:rsidP="00D042BF">
      <w:pPr>
        <w:keepNext/>
        <w:suppressAutoHyphens w:val="0"/>
        <w:autoSpaceDN/>
        <w:spacing w:before="240" w:after="120" w:line="360" w:lineRule="auto"/>
        <w:jc w:val="both"/>
        <w:rPr>
          <w:rFonts w:ascii="Arial" w:hAnsi="Arial" w:cs="Arial"/>
          <w:b/>
          <w:bCs/>
          <w:color w:val="000000"/>
          <w:sz w:val="20"/>
          <w:szCs w:val="20"/>
          <w:lang w:val="hr-HR"/>
        </w:rPr>
      </w:pPr>
      <w:r w:rsidRPr="00D042BF">
        <w:rPr>
          <w:rFonts w:ascii="Arial" w:hAnsi="Arial" w:cs="Arial"/>
          <w:color w:val="000000"/>
          <w:sz w:val="20"/>
          <w:szCs w:val="20"/>
          <w:lang w:val="hr-HR"/>
        </w:rPr>
        <w:t>Priložene računovodstvene politike i bilješke sastavni su dio ovih financijskih izvještaja.</w:t>
      </w:r>
    </w:p>
    <w:p w14:paraId="62948A92" w14:textId="77777777" w:rsidR="004E2F51" w:rsidRDefault="004E2F51" w:rsidP="005D22E7">
      <w:pPr>
        <w:rPr>
          <w:rFonts w:ascii="Arial" w:hAnsi="Arial" w:cs="Arial"/>
          <w:b/>
          <w:bCs/>
          <w:sz w:val="20"/>
          <w:szCs w:val="20"/>
          <w:lang w:val="hr-HR"/>
        </w:rPr>
        <w:sectPr w:rsidR="004E2F51" w:rsidSect="001856C5">
          <w:headerReference w:type="default" r:id="rId76"/>
          <w:footerReference w:type="default" r:id="rId77"/>
          <w:pgSz w:w="11906" w:h="16838"/>
          <w:pgMar w:top="1440" w:right="1440" w:bottom="1440" w:left="1440" w:header="708" w:footer="708" w:gutter="0"/>
          <w:cols w:space="708"/>
          <w:docGrid w:linePitch="360"/>
        </w:sectPr>
      </w:pPr>
    </w:p>
    <w:p w14:paraId="1748DAAE" w14:textId="4189D325" w:rsidR="00382CF2" w:rsidRDefault="00382CF2" w:rsidP="005D22E7">
      <w:pPr>
        <w:rPr>
          <w:rFonts w:ascii="Arial" w:hAnsi="Arial" w:cs="Arial"/>
          <w:b/>
          <w:bCs/>
          <w:sz w:val="20"/>
          <w:szCs w:val="20"/>
          <w:lang w:val="hr-HR"/>
        </w:rPr>
      </w:pPr>
    </w:p>
    <w:p w14:paraId="245C62CD"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p>
    <w:p w14:paraId="074712EA" w14:textId="77777777" w:rsidR="004E2F51" w:rsidRPr="004B4498" w:rsidRDefault="004E2F51" w:rsidP="004E2F51">
      <w:pPr>
        <w:pStyle w:val="T1"/>
        <w:tabs>
          <w:tab w:val="left" w:pos="567"/>
        </w:tabs>
        <w:spacing w:before="0" w:after="0" w:line="240" w:lineRule="auto"/>
        <w:rPr>
          <w:rFonts w:cs="Arial"/>
          <w:strike/>
          <w:color w:val="000000" w:themeColor="text1"/>
          <w:sz w:val="20"/>
          <w:lang w:val="hr-HR"/>
        </w:rPr>
      </w:pPr>
      <w:r w:rsidRPr="004B4498">
        <w:rPr>
          <w:rFonts w:cs="Arial"/>
          <w:color w:val="000000" w:themeColor="text1"/>
          <w:sz w:val="20"/>
          <w:lang w:val="hr-HR"/>
        </w:rPr>
        <w:t>1.</w:t>
      </w:r>
      <w:r w:rsidRPr="004B4498">
        <w:rPr>
          <w:rFonts w:cs="Arial"/>
          <w:color w:val="000000" w:themeColor="text1"/>
          <w:sz w:val="20"/>
          <w:lang w:val="hr-HR"/>
        </w:rPr>
        <w:tab/>
        <w:t>Opći podaci</w:t>
      </w:r>
    </w:p>
    <w:p w14:paraId="4CAD5693" w14:textId="77777777" w:rsidR="004E2F51" w:rsidRPr="004B4498" w:rsidRDefault="004E2F51" w:rsidP="004E2F51">
      <w:pPr>
        <w:pStyle w:val="NormalWeb"/>
        <w:tabs>
          <w:tab w:val="left" w:pos="567"/>
        </w:tabs>
        <w:spacing w:before="0" w:beforeAutospacing="0" w:after="0" w:afterAutospacing="0"/>
        <w:jc w:val="both"/>
        <w:rPr>
          <w:rFonts w:ascii="Arial" w:hAnsi="Arial" w:cs="Arial"/>
          <w:b/>
          <w:color w:val="000000" w:themeColor="text1"/>
          <w:sz w:val="20"/>
          <w:szCs w:val="20"/>
          <w:lang w:val="hr-HR"/>
        </w:rPr>
      </w:pPr>
    </w:p>
    <w:p w14:paraId="30DF2EC1" w14:textId="77777777" w:rsidR="004E2F51" w:rsidRPr="004B4498" w:rsidRDefault="004E2F51" w:rsidP="004E2F51">
      <w:pPr>
        <w:pStyle w:val="NormalWeb"/>
        <w:tabs>
          <w:tab w:val="left" w:pos="567"/>
        </w:tabs>
        <w:spacing w:before="0" w:beforeAutospacing="0" w:after="0" w:afterAutospacing="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1.1.</w:t>
      </w:r>
      <w:r w:rsidRPr="004B4498">
        <w:rPr>
          <w:rFonts w:ascii="Arial" w:hAnsi="Arial" w:cs="Arial"/>
          <w:b/>
          <w:color w:val="000000" w:themeColor="text1"/>
          <w:sz w:val="20"/>
          <w:szCs w:val="20"/>
          <w:lang w:val="hr-HR"/>
        </w:rPr>
        <w:tab/>
        <w:t>Grupa:</w:t>
      </w:r>
    </w:p>
    <w:p w14:paraId="1F4679EC" w14:textId="77777777" w:rsidR="004E2F51" w:rsidRPr="004B4498" w:rsidRDefault="004E2F51" w:rsidP="004E2F51">
      <w:pPr>
        <w:pStyle w:val="Heading1"/>
        <w:tabs>
          <w:tab w:val="left" w:pos="567"/>
          <w:tab w:val="left" w:pos="1470"/>
        </w:tabs>
        <w:suppressAutoHyphens w:val="0"/>
        <w:rPr>
          <w:rFonts w:ascii="Arial" w:hAnsi="Arial" w:cs="Arial"/>
          <w:bCs/>
          <w:color w:val="000000" w:themeColor="text1"/>
          <w:sz w:val="20"/>
          <w:lang w:val="hr-HR"/>
        </w:rPr>
      </w:pPr>
      <w:bookmarkStart w:id="669" w:name="_Toc67327353"/>
      <w:r w:rsidRPr="004B4498">
        <w:rPr>
          <w:rFonts w:ascii="Arial" w:hAnsi="Arial" w:cs="Arial"/>
          <w:bCs/>
          <w:color w:val="000000" w:themeColor="text1"/>
          <w:sz w:val="20"/>
          <w:lang w:val="hr-HR"/>
        </w:rPr>
        <w:t>Hrvatska banka za obnovu i razvitak („HBOR“ ili „Banka“) je matično društvo Grupe Hrvatska banka za obnovu i razvitak („Grupa“) koja posluje u Republici Hrvatskoj. Grupa obavlja u najvećem obimu bankarsko poslovanje, a u manjem osiguravateljske aktivnosti te procjenu kreditnih rizika. Ovi financijski izvještaji obuhvaćaju odvojene  i konsolidirane financijske izvještaje Banke i Grupe.</w:t>
      </w:r>
      <w:bookmarkEnd w:id="669"/>
    </w:p>
    <w:p w14:paraId="6DC021C8" w14:textId="77777777" w:rsidR="004E2F51" w:rsidRPr="004B4498" w:rsidRDefault="004E2F51" w:rsidP="004E2F51">
      <w:pPr>
        <w:rPr>
          <w:rFonts w:ascii="Arial" w:hAnsi="Arial" w:cs="Arial"/>
          <w:color w:val="000000" w:themeColor="text1"/>
          <w:sz w:val="20"/>
          <w:szCs w:val="20"/>
          <w:lang w:val="hr-HR"/>
        </w:rPr>
      </w:pPr>
    </w:p>
    <w:p w14:paraId="7EDCE7B2"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Sjedište Banke je u Zagrebu, Strossmayerov trg 9, Zagreb, Hrvatska.</w:t>
      </w:r>
    </w:p>
    <w:p w14:paraId="7BB1832F" w14:textId="77777777" w:rsidR="004E2F51" w:rsidRPr="004B4498" w:rsidRDefault="004E2F51" w:rsidP="004E2F51">
      <w:pPr>
        <w:rPr>
          <w:rFonts w:ascii="Arial" w:hAnsi="Arial" w:cs="Arial"/>
          <w:color w:val="000000" w:themeColor="text1"/>
          <w:sz w:val="20"/>
          <w:szCs w:val="20"/>
          <w:lang w:val="hr-HR"/>
        </w:rPr>
      </w:pPr>
    </w:p>
    <w:p w14:paraId="64029516"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Grupa je formirana tijekom 2010. godine, a ovisna društva Banke su Hrvatsko kreditno osiguranje d.d. i Poslovni info servis d.o.o. koji čine Grupu Hrvatsko kreditno osiguranje („Grupa HKO“). </w:t>
      </w:r>
    </w:p>
    <w:p w14:paraId="521E664D" w14:textId="77777777" w:rsidR="004E2F51" w:rsidRPr="004B4498" w:rsidRDefault="004E2F51" w:rsidP="004E2F51">
      <w:pPr>
        <w:jc w:val="both"/>
        <w:rPr>
          <w:rFonts w:ascii="Arial" w:hAnsi="Arial" w:cs="Arial"/>
          <w:color w:val="000000" w:themeColor="text1"/>
          <w:sz w:val="20"/>
          <w:szCs w:val="20"/>
          <w:lang w:val="hr-HR"/>
        </w:rPr>
      </w:pPr>
    </w:p>
    <w:p w14:paraId="734774BB"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Hrvatska banka za obnovu i razvitak je 100%-tni vlasnik HKO-a, koji je 100%-tni vlasnik Poslovnog info servisa d.o.o.</w:t>
      </w:r>
    </w:p>
    <w:p w14:paraId="17562532" w14:textId="77777777" w:rsidR="004E2F51" w:rsidRPr="004B4498" w:rsidRDefault="004E2F51" w:rsidP="004E2F51">
      <w:pPr>
        <w:rPr>
          <w:rFonts w:ascii="Arial" w:hAnsi="Arial" w:cs="Arial"/>
          <w:color w:val="000000" w:themeColor="text1"/>
          <w:sz w:val="20"/>
          <w:szCs w:val="20"/>
          <w:lang w:val="hr-HR"/>
        </w:rPr>
      </w:pPr>
    </w:p>
    <w:p w14:paraId="5EDD9AFF" w14:textId="77777777" w:rsidR="004E2F51" w:rsidRPr="004B4498" w:rsidRDefault="004E2F51" w:rsidP="004E2F51">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Sjedište Grupe HKO je u Zagrebu, Bednjanska 12.</w:t>
      </w:r>
    </w:p>
    <w:p w14:paraId="76900C70"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0F3A22CC"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Na dan 31. prosinca 202</w:t>
      </w:r>
      <w:r>
        <w:rPr>
          <w:rFonts w:cs="Arial"/>
          <w:b w:val="0"/>
          <w:bCs w:val="0"/>
          <w:color w:val="000000" w:themeColor="text1"/>
          <w:sz w:val="20"/>
          <w:lang w:val="hr-HR"/>
        </w:rPr>
        <w:t>2</w:t>
      </w:r>
      <w:r w:rsidRPr="004B4498">
        <w:rPr>
          <w:rFonts w:cs="Arial"/>
          <w:b w:val="0"/>
          <w:bCs w:val="0"/>
          <w:color w:val="000000" w:themeColor="text1"/>
          <w:sz w:val="20"/>
          <w:lang w:val="hr-HR"/>
        </w:rPr>
        <w:t xml:space="preserve">. Grupa ima </w:t>
      </w:r>
      <w:r>
        <w:rPr>
          <w:rFonts w:cs="Arial"/>
          <w:b w:val="0"/>
          <w:bCs w:val="0"/>
          <w:color w:val="000000" w:themeColor="text1"/>
          <w:sz w:val="20"/>
          <w:lang w:val="hr-HR"/>
        </w:rPr>
        <w:t>402</w:t>
      </w:r>
      <w:r w:rsidRPr="004B4498">
        <w:rPr>
          <w:rFonts w:cs="Arial"/>
          <w:b w:val="0"/>
          <w:bCs w:val="0"/>
          <w:color w:val="000000" w:themeColor="text1"/>
          <w:sz w:val="20"/>
          <w:lang w:val="hr-HR"/>
        </w:rPr>
        <w:t xml:space="preserve"> zaposlenika (31. prosinca 202</w:t>
      </w:r>
      <w:r>
        <w:rPr>
          <w:rFonts w:cs="Arial"/>
          <w:b w:val="0"/>
          <w:bCs w:val="0"/>
          <w:color w:val="000000" w:themeColor="text1"/>
          <w:sz w:val="20"/>
          <w:lang w:val="hr-HR"/>
        </w:rPr>
        <w:t>1</w:t>
      </w:r>
      <w:r w:rsidRPr="004B4498">
        <w:rPr>
          <w:rFonts w:cs="Arial"/>
          <w:b w:val="0"/>
          <w:bCs w:val="0"/>
          <w:color w:val="000000" w:themeColor="text1"/>
          <w:sz w:val="20"/>
          <w:lang w:val="hr-HR"/>
        </w:rPr>
        <w:t>. bilo je 3</w:t>
      </w:r>
      <w:r>
        <w:rPr>
          <w:rFonts w:cs="Arial"/>
          <w:b w:val="0"/>
          <w:bCs w:val="0"/>
          <w:color w:val="000000" w:themeColor="text1"/>
          <w:sz w:val="20"/>
          <w:lang w:val="hr-HR"/>
        </w:rPr>
        <w:t>94</w:t>
      </w:r>
      <w:r w:rsidRPr="004B4498">
        <w:rPr>
          <w:rFonts w:cs="Arial"/>
          <w:b w:val="0"/>
          <w:bCs w:val="0"/>
          <w:color w:val="000000" w:themeColor="text1"/>
          <w:sz w:val="20"/>
          <w:lang w:val="hr-HR"/>
        </w:rPr>
        <w:t xml:space="preserve"> zaposlenika).</w:t>
      </w:r>
    </w:p>
    <w:p w14:paraId="44559432" w14:textId="77777777" w:rsidR="004E2F51" w:rsidRPr="004B4498" w:rsidRDefault="004E2F51" w:rsidP="004E2F51">
      <w:pPr>
        <w:pStyle w:val="NormalWeb"/>
        <w:tabs>
          <w:tab w:val="left" w:pos="567"/>
        </w:tabs>
        <w:spacing w:before="0" w:beforeAutospacing="0" w:after="0" w:afterAutospacing="0"/>
        <w:jc w:val="both"/>
        <w:rPr>
          <w:rFonts w:ascii="Arial" w:hAnsi="Arial" w:cs="Arial"/>
          <w:b/>
          <w:color w:val="000000" w:themeColor="text1"/>
          <w:sz w:val="20"/>
          <w:szCs w:val="20"/>
          <w:lang w:val="hr-HR"/>
        </w:rPr>
      </w:pPr>
    </w:p>
    <w:p w14:paraId="222322D3" w14:textId="77777777" w:rsidR="004E2F51" w:rsidRPr="004B4498" w:rsidRDefault="004E2F51" w:rsidP="004E2F51">
      <w:pPr>
        <w:pStyle w:val="NormalWeb"/>
        <w:tabs>
          <w:tab w:val="left" w:pos="567"/>
        </w:tabs>
        <w:spacing w:before="0" w:beforeAutospacing="0" w:after="0" w:afterAutospacing="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1.2.</w:t>
      </w:r>
      <w:r w:rsidRPr="004B4498">
        <w:rPr>
          <w:rFonts w:ascii="Arial" w:hAnsi="Arial" w:cs="Arial"/>
          <w:b/>
          <w:color w:val="000000" w:themeColor="text1"/>
          <w:sz w:val="20"/>
          <w:szCs w:val="20"/>
          <w:lang w:val="hr-HR"/>
        </w:rPr>
        <w:tab/>
        <w:t>Banka:</w:t>
      </w:r>
    </w:p>
    <w:p w14:paraId="38FBB844"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2BD8EAB6"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Hrvatska banka za obnovu i razvitak (</w:t>
      </w:r>
      <w:r w:rsidRPr="004B4498">
        <w:rPr>
          <w:rFonts w:cs="Arial"/>
          <w:b w:val="0"/>
          <w:color w:val="000000" w:themeColor="text1"/>
          <w:sz w:val="20"/>
          <w:lang w:val="hr-HR"/>
        </w:rPr>
        <w:t>„</w:t>
      </w:r>
      <w:r w:rsidRPr="004B4498">
        <w:rPr>
          <w:rFonts w:cs="Arial"/>
          <w:b w:val="0"/>
          <w:bCs w:val="0"/>
          <w:color w:val="000000" w:themeColor="text1"/>
          <w:sz w:val="20"/>
          <w:lang w:val="hr-HR"/>
        </w:rPr>
        <w:t>HBOR</w:t>
      </w:r>
      <w:r w:rsidRPr="004B4498">
        <w:rPr>
          <w:rFonts w:cs="Arial"/>
          <w:b w:val="0"/>
          <w:color w:val="000000" w:themeColor="text1"/>
          <w:sz w:val="20"/>
          <w:lang w:val="hr-HR"/>
        </w:rPr>
        <w:t>“</w:t>
      </w:r>
      <w:r w:rsidRPr="004B4498">
        <w:rPr>
          <w:rFonts w:cs="Arial"/>
          <w:b w:val="0"/>
          <w:bCs w:val="0"/>
          <w:color w:val="000000" w:themeColor="text1"/>
          <w:sz w:val="20"/>
          <w:lang w:val="hr-HR"/>
        </w:rPr>
        <w:t xml:space="preserve"> ili </w:t>
      </w:r>
      <w:r w:rsidRPr="004B4498">
        <w:rPr>
          <w:rFonts w:cs="Arial"/>
          <w:b w:val="0"/>
          <w:color w:val="000000" w:themeColor="text1"/>
          <w:sz w:val="20"/>
          <w:lang w:val="hr-HR"/>
        </w:rPr>
        <w:t>„</w:t>
      </w:r>
      <w:r w:rsidRPr="004B4498">
        <w:rPr>
          <w:rFonts w:cs="Arial"/>
          <w:b w:val="0"/>
          <w:bCs w:val="0"/>
          <w:color w:val="000000" w:themeColor="text1"/>
          <w:sz w:val="20"/>
          <w:lang w:val="hr-HR"/>
        </w:rPr>
        <w:t>Banka</w:t>
      </w:r>
      <w:r w:rsidRPr="004B4498">
        <w:rPr>
          <w:rFonts w:cs="Arial"/>
          <w:color w:val="000000" w:themeColor="text1"/>
          <w:sz w:val="20"/>
          <w:lang w:val="hr-HR"/>
        </w:rPr>
        <w:t>“</w:t>
      </w:r>
      <w:r w:rsidRPr="004B4498">
        <w:rPr>
          <w:rFonts w:cs="Arial"/>
          <w:b w:val="0"/>
          <w:bCs w:val="0"/>
          <w:color w:val="000000" w:themeColor="text1"/>
          <w:sz w:val="20"/>
          <w:lang w:val="hr-HR"/>
        </w:rPr>
        <w:t xml:space="preserve">) osnovana je 12. lipnja 1992. donošenjem Zakona o Hrvatskoj kreditnoj banci za obnovu (HKBO). U prosincu 1995. godine, Banka mijenja naziv u Hrvatska banka za obnovu i razvitak. Osnivač i 100%-tni vlasnik HBOR-a je Republika Hrvatska. </w:t>
      </w:r>
    </w:p>
    <w:p w14:paraId="3BB11212" w14:textId="77777777" w:rsidR="004E2F51" w:rsidRPr="004B4498" w:rsidRDefault="004E2F51" w:rsidP="004E2F51">
      <w:pPr>
        <w:pStyle w:val="T1"/>
        <w:spacing w:before="0" w:after="0" w:line="240" w:lineRule="auto"/>
        <w:rPr>
          <w:rFonts w:cs="Arial"/>
          <w:color w:val="000000" w:themeColor="text1"/>
          <w:sz w:val="20"/>
          <w:lang w:val="hr-HR"/>
        </w:rPr>
      </w:pPr>
    </w:p>
    <w:p w14:paraId="130F2119" w14:textId="77777777" w:rsidR="004E2F51" w:rsidRPr="004B4498" w:rsidRDefault="004E2F51" w:rsidP="004E2F51">
      <w:pPr>
        <w:pStyle w:val="NormalWeb"/>
        <w:spacing w:before="0" w:beforeAutospacing="0" w:after="0" w:afterAutospacing="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Republika Hrvatska jamči za obveze Hrvatske banke za obnovu i razvitak bezuvjetno, neopozivo i na prvi poziv te bez izdavanja posebne jamstvene isprave. Odgovornost Republike Hrvatske kao jamca za obveze HBOR-a je solidarna i neograničena.</w:t>
      </w:r>
    </w:p>
    <w:p w14:paraId="4675666B" w14:textId="77777777" w:rsidR="004E2F51" w:rsidRPr="004B4498" w:rsidRDefault="004E2F51" w:rsidP="004E2F51">
      <w:pPr>
        <w:pStyle w:val="NormalWeb"/>
        <w:spacing w:before="0" w:beforeAutospacing="0" w:after="0" w:afterAutospacing="0"/>
        <w:jc w:val="both"/>
        <w:rPr>
          <w:rFonts w:ascii="Arial" w:hAnsi="Arial" w:cs="Arial"/>
          <w:color w:val="000000" w:themeColor="text1"/>
          <w:sz w:val="20"/>
          <w:szCs w:val="20"/>
          <w:lang w:val="hr-HR"/>
        </w:rPr>
      </w:pPr>
    </w:p>
    <w:p w14:paraId="20E6E267" w14:textId="77777777" w:rsidR="004E2F51" w:rsidRPr="004B4498" w:rsidRDefault="004E2F51" w:rsidP="004E2F51">
      <w:pPr>
        <w:pStyle w:val="NormalWeb"/>
        <w:spacing w:before="0" w:beforeAutospacing="0" w:after="0" w:afterAutospacing="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Zakonom o HBOR-u</w:t>
      </w:r>
      <w:r w:rsidRPr="004B4498">
        <w:rPr>
          <w:rFonts w:ascii="Arial" w:hAnsi="Arial" w:cs="Arial"/>
          <w:b/>
          <w:color w:val="000000" w:themeColor="text1"/>
          <w:sz w:val="20"/>
          <w:szCs w:val="20"/>
          <w:lang w:val="hr-HR"/>
        </w:rPr>
        <w:t xml:space="preserve"> </w:t>
      </w:r>
      <w:r w:rsidRPr="004B4498">
        <w:rPr>
          <w:rFonts w:ascii="Arial" w:hAnsi="Arial" w:cs="Arial"/>
          <w:color w:val="000000" w:themeColor="text1"/>
          <w:sz w:val="20"/>
          <w:szCs w:val="20"/>
          <w:lang w:val="hr-HR"/>
        </w:rPr>
        <w:t xml:space="preserve">iz prosinca 2006. godine temeljni kapital HBOR-a utvrđen je u visini od 7 milijardi kuna čija se dinamika uplate za pojedinu godinu utvrđuje državnim proračunom. </w:t>
      </w:r>
    </w:p>
    <w:p w14:paraId="5488407D" w14:textId="77777777" w:rsidR="004E2F51" w:rsidRPr="004B4498" w:rsidRDefault="004E2F51" w:rsidP="004E2F51">
      <w:pPr>
        <w:pStyle w:val="NormalWeb"/>
        <w:spacing w:before="0" w:beforeAutospacing="0" w:after="0" w:afterAutospacing="0"/>
        <w:jc w:val="both"/>
        <w:rPr>
          <w:rFonts w:ascii="Arial" w:hAnsi="Arial" w:cs="Arial"/>
          <w:color w:val="000000" w:themeColor="text1"/>
          <w:sz w:val="20"/>
          <w:szCs w:val="20"/>
          <w:lang w:val="hr-HR"/>
        </w:rPr>
      </w:pPr>
    </w:p>
    <w:p w14:paraId="0A1EE8A9" w14:textId="77777777" w:rsidR="004E2F51" w:rsidRPr="004B4498" w:rsidRDefault="004E2F51" w:rsidP="004E2F51">
      <w:pPr>
        <w:pStyle w:val="T1"/>
        <w:tabs>
          <w:tab w:val="left" w:pos="567"/>
        </w:tabs>
        <w:spacing w:before="0" w:after="0" w:line="240" w:lineRule="auto"/>
        <w:rPr>
          <w:rFonts w:cs="Arial"/>
          <w:b w:val="0"/>
          <w:bCs w:val="0"/>
          <w:color w:val="000000" w:themeColor="text1"/>
          <w:sz w:val="20"/>
          <w:lang w:val="hr-HR"/>
        </w:rPr>
        <w:sectPr w:rsidR="004E2F51" w:rsidRPr="004B4498" w:rsidSect="00623DBA">
          <w:headerReference w:type="even" r:id="rId78"/>
          <w:headerReference w:type="default" r:id="rId79"/>
          <w:footerReference w:type="default" r:id="rId80"/>
          <w:pgSz w:w="11907" w:h="16840" w:code="9"/>
          <w:pgMar w:top="1418" w:right="992" w:bottom="1134" w:left="1418" w:header="851" w:footer="851" w:gutter="0"/>
          <w:cols w:space="720"/>
          <w:noEndnote/>
        </w:sectPr>
      </w:pPr>
    </w:p>
    <w:p w14:paraId="5ED0486D"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p>
    <w:p w14:paraId="77775DCD" w14:textId="77777777" w:rsidR="004E2F51" w:rsidRPr="004B4498" w:rsidRDefault="004E2F51" w:rsidP="004E2F51">
      <w:pPr>
        <w:pStyle w:val="T1"/>
        <w:tabs>
          <w:tab w:val="left" w:pos="567"/>
        </w:tabs>
        <w:spacing w:before="0" w:after="0" w:line="240" w:lineRule="auto"/>
        <w:rPr>
          <w:rFonts w:cs="Arial"/>
          <w:strike/>
          <w:color w:val="000000" w:themeColor="text1"/>
          <w:sz w:val="20"/>
          <w:lang w:val="hr-HR"/>
        </w:rPr>
      </w:pPr>
      <w:r w:rsidRPr="004B4498">
        <w:rPr>
          <w:rFonts w:cs="Arial"/>
          <w:color w:val="000000" w:themeColor="text1"/>
          <w:sz w:val="20"/>
          <w:lang w:val="hr-HR"/>
        </w:rPr>
        <w:t>1.</w:t>
      </w:r>
      <w:r w:rsidRPr="004B4498">
        <w:rPr>
          <w:rFonts w:cs="Arial"/>
          <w:color w:val="000000" w:themeColor="text1"/>
          <w:sz w:val="20"/>
          <w:lang w:val="hr-HR"/>
        </w:rPr>
        <w:tab/>
        <w:t>Opći podaci (nastavak)</w:t>
      </w:r>
    </w:p>
    <w:p w14:paraId="39568A5E" w14:textId="77777777" w:rsidR="004E2F51" w:rsidRPr="004B4498" w:rsidRDefault="004E2F51" w:rsidP="004E2F51">
      <w:pPr>
        <w:pStyle w:val="NormalWeb"/>
        <w:tabs>
          <w:tab w:val="left" w:pos="567"/>
        </w:tabs>
        <w:spacing w:before="0" w:beforeAutospacing="0" w:after="0" w:afterAutospacing="0"/>
        <w:jc w:val="both"/>
        <w:rPr>
          <w:rFonts w:ascii="Arial" w:hAnsi="Arial" w:cs="Arial"/>
          <w:b/>
          <w:color w:val="000000" w:themeColor="text1"/>
          <w:sz w:val="20"/>
          <w:szCs w:val="20"/>
          <w:lang w:val="hr-HR"/>
        </w:rPr>
      </w:pPr>
    </w:p>
    <w:p w14:paraId="48070C98" w14:textId="77777777" w:rsidR="004E2F51" w:rsidRPr="004B4498" w:rsidRDefault="004E2F51" w:rsidP="004E2F51">
      <w:pPr>
        <w:pStyle w:val="NormalWeb"/>
        <w:tabs>
          <w:tab w:val="left" w:pos="567"/>
        </w:tabs>
        <w:spacing w:before="0" w:beforeAutospacing="0" w:after="0" w:afterAutospacing="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1.2.</w:t>
      </w:r>
      <w:r w:rsidRPr="004B4498">
        <w:rPr>
          <w:rFonts w:ascii="Arial" w:hAnsi="Arial" w:cs="Arial"/>
          <w:b/>
          <w:color w:val="000000" w:themeColor="text1"/>
          <w:sz w:val="20"/>
          <w:szCs w:val="20"/>
          <w:lang w:val="hr-HR"/>
        </w:rPr>
        <w:tab/>
        <w:t>Banka (nastavak):</w:t>
      </w:r>
    </w:p>
    <w:p w14:paraId="517AF1E5" w14:textId="77777777" w:rsidR="004E2F51" w:rsidRPr="004B4498" w:rsidRDefault="004E2F51" w:rsidP="004E2F51">
      <w:pPr>
        <w:pStyle w:val="NormalWeb"/>
        <w:tabs>
          <w:tab w:val="left" w:pos="567"/>
        </w:tabs>
        <w:spacing w:before="0" w:beforeAutospacing="0" w:after="0" w:afterAutospacing="0"/>
        <w:jc w:val="both"/>
        <w:rPr>
          <w:rFonts w:ascii="Arial" w:hAnsi="Arial" w:cs="Arial"/>
          <w:b/>
          <w:color w:val="000000" w:themeColor="text1"/>
          <w:sz w:val="20"/>
          <w:szCs w:val="20"/>
          <w:lang w:val="hr-HR"/>
        </w:rPr>
      </w:pPr>
    </w:p>
    <w:p w14:paraId="749EAD63" w14:textId="77777777" w:rsidR="004E2F51" w:rsidRPr="004B4498" w:rsidRDefault="004E2F51" w:rsidP="004E2F51">
      <w:pPr>
        <w:pStyle w:val="NormalWeb"/>
        <w:tabs>
          <w:tab w:val="left" w:pos="567"/>
        </w:tabs>
        <w:spacing w:before="0" w:beforeAutospacing="0" w:after="0" w:afterAutospacing="0"/>
        <w:jc w:val="both"/>
        <w:rPr>
          <w:rFonts w:ascii="Arial" w:hAnsi="Arial" w:cs="Arial"/>
          <w:i/>
          <w:color w:val="000000" w:themeColor="text1"/>
          <w:sz w:val="20"/>
          <w:szCs w:val="20"/>
          <w:lang w:val="hr-HR"/>
        </w:rPr>
      </w:pPr>
      <w:r w:rsidRPr="004B4498">
        <w:rPr>
          <w:rFonts w:ascii="Arial" w:hAnsi="Arial" w:cs="Arial"/>
          <w:i/>
          <w:color w:val="000000" w:themeColor="text1"/>
          <w:sz w:val="20"/>
          <w:szCs w:val="20"/>
          <w:lang w:val="hr-HR"/>
        </w:rPr>
        <w:t>Nadzorni odbor</w:t>
      </w:r>
    </w:p>
    <w:p w14:paraId="066EAEF2" w14:textId="77777777" w:rsidR="004E2F51" w:rsidRPr="004B4498" w:rsidRDefault="004E2F51" w:rsidP="004E2F51">
      <w:pPr>
        <w:pStyle w:val="T1PARAGRAPH"/>
        <w:widowControl w:val="0"/>
        <w:numPr>
          <w:ilvl w:val="0"/>
          <w:numId w:val="0"/>
        </w:numPr>
        <w:spacing w:after="0" w:line="240" w:lineRule="auto"/>
        <w:rPr>
          <w:color w:val="000000" w:themeColor="text1"/>
          <w:sz w:val="20"/>
        </w:rPr>
      </w:pPr>
      <w:r w:rsidRPr="004B4498">
        <w:rPr>
          <w:color w:val="000000" w:themeColor="text1"/>
          <w:sz w:val="20"/>
        </w:rPr>
        <w:t>Na dan 31. prosinca 202</w:t>
      </w:r>
      <w:r>
        <w:rPr>
          <w:color w:val="000000" w:themeColor="text1"/>
          <w:sz w:val="20"/>
        </w:rPr>
        <w:t>2</w:t>
      </w:r>
      <w:r w:rsidRPr="004B4498">
        <w:rPr>
          <w:color w:val="000000" w:themeColor="text1"/>
          <w:sz w:val="20"/>
        </w:rPr>
        <w:t>. Nadzorni odbor djeluje u sljedećem sastavu:</w:t>
      </w:r>
    </w:p>
    <w:p w14:paraId="5F3A36AE" w14:textId="77777777" w:rsidR="004E2F51" w:rsidRPr="004B4498" w:rsidRDefault="004E2F51" w:rsidP="004E2F51">
      <w:pPr>
        <w:pStyle w:val="T1PARAGRAPH"/>
        <w:widowControl w:val="0"/>
        <w:numPr>
          <w:ilvl w:val="0"/>
          <w:numId w:val="0"/>
        </w:numPr>
        <w:spacing w:after="0" w:line="240" w:lineRule="auto"/>
        <w:rPr>
          <w:color w:val="000000" w:themeColor="text1"/>
          <w:sz w:val="20"/>
        </w:rPr>
      </w:pPr>
    </w:p>
    <w:p w14:paraId="575096F6" w14:textId="77777777" w:rsidR="004E2F51" w:rsidRDefault="004E2F51" w:rsidP="004E2F51">
      <w:pPr>
        <w:pStyle w:val="ListParagraph"/>
        <w:numPr>
          <w:ilvl w:val="0"/>
          <w:numId w:val="24"/>
        </w:numPr>
        <w:suppressAutoHyphens w:val="0"/>
        <w:autoSpaceDN/>
        <w:ind w:left="851" w:hanging="284"/>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izv. prof. dr. sc. Marko Primorac, ministar financija – po položaju predsjednik Nadzornog odbora, </w:t>
      </w:r>
    </w:p>
    <w:p w14:paraId="49BC4ED5" w14:textId="77777777" w:rsidR="004E2F51" w:rsidRPr="004B4498" w:rsidRDefault="004E2F51" w:rsidP="004E2F51">
      <w:pPr>
        <w:pStyle w:val="ListParagraph"/>
        <w:numPr>
          <w:ilvl w:val="0"/>
          <w:numId w:val="24"/>
        </w:numPr>
        <w:suppressAutoHyphens w:val="0"/>
        <w:autoSpaceDN/>
        <w:ind w:left="851" w:hanging="284"/>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izv. prof. dr. sc. Davor Filipović, ministar gospodarstva i održivog razvoja – po položaju zamjenik predsjednika Nadzornog odbora,</w:t>
      </w:r>
    </w:p>
    <w:p w14:paraId="582917B2" w14:textId="77777777" w:rsidR="004E2F51" w:rsidRPr="004B4498" w:rsidRDefault="004E2F51" w:rsidP="004E2F51">
      <w:pPr>
        <w:pStyle w:val="ListParagraph"/>
        <w:numPr>
          <w:ilvl w:val="0"/>
          <w:numId w:val="24"/>
        </w:numPr>
        <w:suppressAutoHyphens w:val="0"/>
        <w:autoSpaceDN/>
        <w:ind w:left="851" w:hanging="284"/>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dr. sc. Nikolina Brnjac, ministrica turizma i sporta,</w:t>
      </w:r>
    </w:p>
    <w:p w14:paraId="3B7EEB18" w14:textId="77777777" w:rsidR="004E2F51" w:rsidRPr="004B4498" w:rsidRDefault="004E2F51" w:rsidP="004E2F51">
      <w:pPr>
        <w:pStyle w:val="T1PARAGRAPH"/>
        <w:numPr>
          <w:ilvl w:val="0"/>
          <w:numId w:val="24"/>
        </w:numPr>
        <w:tabs>
          <w:tab w:val="clear" w:pos="-720"/>
        </w:tabs>
        <w:suppressAutoHyphens w:val="0"/>
        <w:autoSpaceDN/>
        <w:spacing w:after="0" w:line="240" w:lineRule="auto"/>
        <w:ind w:left="851" w:hanging="284"/>
        <w:rPr>
          <w:color w:val="000000" w:themeColor="text1"/>
          <w:sz w:val="20"/>
        </w:rPr>
      </w:pPr>
      <w:r w:rsidRPr="004B4498">
        <w:rPr>
          <w:color w:val="000000" w:themeColor="text1"/>
          <w:sz w:val="20"/>
        </w:rPr>
        <w:t>Nataša Tramišak, ministrica regionalnoga razvoja i fondova Europske unije,</w:t>
      </w:r>
    </w:p>
    <w:p w14:paraId="0F0DD2FC" w14:textId="77777777" w:rsidR="004E2F51" w:rsidRDefault="004E2F51" w:rsidP="004E2F51">
      <w:pPr>
        <w:pStyle w:val="ListParagraph"/>
        <w:numPr>
          <w:ilvl w:val="0"/>
          <w:numId w:val="24"/>
        </w:numPr>
        <w:suppressAutoHyphens w:val="0"/>
        <w:autoSpaceDN/>
        <w:ind w:left="851" w:hanging="284"/>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mr. sc. Marija Vučković, ministrica poljoprivrede,</w:t>
      </w:r>
    </w:p>
    <w:p w14:paraId="2063CA2B" w14:textId="77777777" w:rsidR="004E2F51" w:rsidRPr="004B4498" w:rsidRDefault="004E2F51" w:rsidP="004E2F51">
      <w:pPr>
        <w:pStyle w:val="ListParagraph"/>
        <w:numPr>
          <w:ilvl w:val="0"/>
          <w:numId w:val="24"/>
        </w:numPr>
        <w:suppressAutoHyphens w:val="0"/>
        <w:autoSpaceDN/>
        <w:ind w:left="851" w:hanging="284"/>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Ivan Paladina, ministar prostornoga uređenja, graditeljstva i državne imovine,</w:t>
      </w:r>
    </w:p>
    <w:p w14:paraId="2F4F8513" w14:textId="77777777" w:rsidR="004E2F51" w:rsidRPr="004B4498" w:rsidRDefault="004E2F51" w:rsidP="004E2F51">
      <w:pPr>
        <w:pStyle w:val="ListParagraph"/>
        <w:numPr>
          <w:ilvl w:val="0"/>
          <w:numId w:val="24"/>
        </w:numPr>
        <w:suppressAutoHyphens w:val="0"/>
        <w:autoSpaceDN/>
        <w:ind w:left="851" w:hanging="284"/>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dr. sc. Luka Burilović, predsjednik Hrvatske gospodarske komore – po položaju član Nadzornog odbora,</w:t>
      </w:r>
    </w:p>
    <w:p w14:paraId="18B0FF40" w14:textId="77777777" w:rsidR="004E2F51" w:rsidRPr="004B4498" w:rsidRDefault="004E2F51" w:rsidP="004E2F51">
      <w:pPr>
        <w:pStyle w:val="ListParagraph"/>
        <w:numPr>
          <w:ilvl w:val="0"/>
          <w:numId w:val="24"/>
        </w:numPr>
        <w:suppressAutoHyphens w:val="0"/>
        <w:autoSpaceDN/>
        <w:ind w:left="851" w:hanging="284"/>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Žarko Tušek, saborski zastupnik,</w:t>
      </w:r>
    </w:p>
    <w:p w14:paraId="593CE974" w14:textId="77777777" w:rsidR="004E2F51" w:rsidRPr="004B4498" w:rsidRDefault="004E2F51" w:rsidP="004E2F51">
      <w:pPr>
        <w:pStyle w:val="ListParagraph"/>
        <w:numPr>
          <w:ilvl w:val="0"/>
          <w:numId w:val="24"/>
        </w:numPr>
        <w:suppressAutoHyphens w:val="0"/>
        <w:autoSpaceDN/>
        <w:ind w:left="851" w:hanging="284"/>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Predrag Štromar, saborski zastupnik,</w:t>
      </w:r>
    </w:p>
    <w:p w14:paraId="10D4F19E" w14:textId="77777777" w:rsidR="004E2F51" w:rsidRPr="004B4498" w:rsidRDefault="004E2F51" w:rsidP="004E2F51">
      <w:pPr>
        <w:pStyle w:val="ListParagraph"/>
        <w:numPr>
          <w:ilvl w:val="0"/>
          <w:numId w:val="24"/>
        </w:numPr>
        <w:suppressAutoHyphens w:val="0"/>
        <w:autoSpaceDN/>
        <w:ind w:left="851" w:hanging="284"/>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dr. sc. Siniša Hajdaš Dončić, saborski zastupnik.</w:t>
      </w:r>
    </w:p>
    <w:p w14:paraId="5445F225" w14:textId="77777777" w:rsidR="004E2F51" w:rsidRPr="006E538D" w:rsidRDefault="004E2F51" w:rsidP="004E2F51">
      <w:pPr>
        <w:jc w:val="both"/>
        <w:rPr>
          <w:rFonts w:ascii="Arial" w:hAnsi="Arial" w:cs="Arial"/>
          <w:color w:val="000000" w:themeColor="text1"/>
          <w:sz w:val="20"/>
          <w:szCs w:val="20"/>
          <w:lang w:val="hr-HR"/>
        </w:rPr>
      </w:pPr>
    </w:p>
    <w:p w14:paraId="1A6754AE" w14:textId="77777777" w:rsidR="004E2F51" w:rsidRDefault="004E2F51" w:rsidP="004E2F51">
      <w:pPr>
        <w:jc w:val="both"/>
        <w:rPr>
          <w:rFonts w:ascii="Arial" w:hAnsi="Arial" w:cs="Arial"/>
          <w:color w:val="000000" w:themeColor="text1"/>
          <w:sz w:val="20"/>
          <w:szCs w:val="20"/>
        </w:rPr>
      </w:pPr>
      <w:r w:rsidRPr="00A94E1E">
        <w:rPr>
          <w:rFonts w:ascii="Arial" w:hAnsi="Arial" w:cs="Arial"/>
          <w:color w:val="000000" w:themeColor="text1"/>
          <w:sz w:val="20"/>
          <w:szCs w:val="20"/>
          <w:lang w:val="hr-HR"/>
        </w:rPr>
        <w:t>Nakon izvještajnog razdoblja, Vlada Republike Hrvatske je na sjednici održanoj 20. siječnja 2023. donijela Rješenje o razrješenju i imenovanju dijela članova Nadzornog odbora Hrvatske banke za obnovu i razvitak kojom se razrješuju dužnosti članovi Nadzornog odbora - Nataša Tramišak i Ivan Paladina, a imenuje se Šime Erlić, ministar regionalnoga razvoja i fondova Europske unije, članom Nadzornog odbora HBOR-a po položaju te Branko Bačić, potpredsjednik Vlade Republike Hrvatske i ministar prostornoga uređenja, graditeljstva i državne imovine, članom Nadzornog odbora HBOR-a</w:t>
      </w:r>
      <w:r>
        <w:rPr>
          <w:rFonts w:ascii="Arial" w:hAnsi="Arial" w:cs="Arial"/>
          <w:color w:val="000000" w:themeColor="text1"/>
          <w:sz w:val="20"/>
          <w:szCs w:val="20"/>
        </w:rPr>
        <w:t>.</w:t>
      </w:r>
    </w:p>
    <w:p w14:paraId="09284585" w14:textId="77777777" w:rsidR="004E2F51" w:rsidRDefault="004E2F51" w:rsidP="004E2F51">
      <w:pPr>
        <w:jc w:val="both"/>
        <w:rPr>
          <w:rFonts w:ascii="Arial" w:hAnsi="Arial" w:cs="Arial"/>
          <w:color w:val="000000" w:themeColor="text1"/>
          <w:sz w:val="20"/>
          <w:szCs w:val="20"/>
        </w:rPr>
      </w:pPr>
    </w:p>
    <w:p w14:paraId="68FFBC88" w14:textId="77777777" w:rsidR="004E2F51" w:rsidRPr="00F13BA4" w:rsidRDefault="004E2F51" w:rsidP="004E2F51">
      <w:pPr>
        <w:jc w:val="both"/>
        <w:rPr>
          <w:rFonts w:ascii="Arial" w:hAnsi="Arial" w:cs="Arial"/>
          <w:color w:val="000000"/>
          <w:sz w:val="20"/>
          <w:szCs w:val="20"/>
          <w:lang w:val="hr-HR" w:eastAsia="hr-HR"/>
        </w:rPr>
      </w:pPr>
      <w:r w:rsidRPr="00F13BA4">
        <w:rPr>
          <w:rFonts w:ascii="Arial" w:hAnsi="Arial" w:cs="Arial"/>
          <w:color w:val="000000"/>
          <w:sz w:val="20"/>
          <w:szCs w:val="20"/>
          <w:lang w:val="hr-HR" w:eastAsia="hr-HR"/>
        </w:rPr>
        <w:t>Sukladno navedenome, s danom 20. siječnja 2023. godine Nadzorni odbor HBOR-a djeluje u sljedećem sastavu:</w:t>
      </w:r>
    </w:p>
    <w:p w14:paraId="35F0969B" w14:textId="77777777" w:rsidR="004E2F51" w:rsidRPr="00F13BA4" w:rsidRDefault="004E2F51" w:rsidP="004E2F51">
      <w:pPr>
        <w:pStyle w:val="ListParagraph"/>
        <w:numPr>
          <w:ilvl w:val="0"/>
          <w:numId w:val="24"/>
        </w:numPr>
        <w:suppressAutoHyphens w:val="0"/>
        <w:autoSpaceDN/>
        <w:ind w:left="851" w:hanging="284"/>
        <w:jc w:val="both"/>
        <w:rPr>
          <w:rFonts w:ascii="Arial" w:hAnsi="Arial" w:cs="Arial"/>
          <w:color w:val="000000" w:themeColor="text1"/>
          <w:sz w:val="20"/>
          <w:szCs w:val="20"/>
          <w:lang w:val="hr-HR"/>
        </w:rPr>
      </w:pPr>
      <w:r w:rsidRPr="00F13BA4">
        <w:rPr>
          <w:rFonts w:ascii="Arial" w:hAnsi="Arial" w:cs="Arial"/>
          <w:color w:val="000000" w:themeColor="text1"/>
          <w:sz w:val="20"/>
          <w:szCs w:val="20"/>
          <w:lang w:val="hr-HR"/>
        </w:rPr>
        <w:t xml:space="preserve">izv. prof. dr. sc. Marko Primorac, ministar financija – po položaju predsjednik Nadzornog odbora, </w:t>
      </w:r>
    </w:p>
    <w:p w14:paraId="69CE930B" w14:textId="77777777" w:rsidR="004E2F51" w:rsidRDefault="004E2F51" w:rsidP="004E2F51">
      <w:pPr>
        <w:pStyle w:val="ListParagraph"/>
        <w:numPr>
          <w:ilvl w:val="0"/>
          <w:numId w:val="24"/>
        </w:numPr>
        <w:suppressAutoHyphens w:val="0"/>
        <w:autoSpaceDN/>
        <w:ind w:left="851" w:hanging="284"/>
        <w:jc w:val="both"/>
        <w:rPr>
          <w:rFonts w:ascii="Arial" w:hAnsi="Arial" w:cs="Arial"/>
          <w:color w:val="000000" w:themeColor="text1"/>
          <w:sz w:val="20"/>
          <w:szCs w:val="20"/>
          <w:lang w:val="hr-HR"/>
        </w:rPr>
      </w:pPr>
      <w:r w:rsidRPr="00F13BA4">
        <w:rPr>
          <w:rFonts w:ascii="Arial" w:hAnsi="Arial" w:cs="Arial"/>
          <w:color w:val="000000" w:themeColor="text1"/>
          <w:sz w:val="20"/>
          <w:szCs w:val="20"/>
          <w:lang w:val="hr-HR"/>
        </w:rPr>
        <w:t>izv. prof. dr. sc. Davor Filipović, ministar gospodarstva i održivog razvoja – po položaju zamjenik predsjednika Nadzornog odbora,</w:t>
      </w:r>
    </w:p>
    <w:p w14:paraId="34EC0BED" w14:textId="77777777" w:rsidR="004E2F51" w:rsidRPr="00F13BA4" w:rsidRDefault="004E2F51" w:rsidP="004E2F51">
      <w:pPr>
        <w:pStyle w:val="ListParagraph"/>
        <w:numPr>
          <w:ilvl w:val="0"/>
          <w:numId w:val="24"/>
        </w:numPr>
        <w:suppressAutoHyphens w:val="0"/>
        <w:autoSpaceDN/>
        <w:ind w:left="851" w:hanging="284"/>
        <w:jc w:val="both"/>
        <w:rPr>
          <w:rFonts w:ascii="Arial" w:hAnsi="Arial" w:cs="Arial"/>
          <w:color w:val="000000" w:themeColor="text1"/>
          <w:sz w:val="20"/>
          <w:szCs w:val="20"/>
          <w:lang w:val="hr-HR"/>
        </w:rPr>
      </w:pPr>
      <w:r w:rsidRPr="00F13BA4">
        <w:rPr>
          <w:rFonts w:ascii="Arial" w:hAnsi="Arial" w:cs="Arial"/>
          <w:color w:val="000000" w:themeColor="text1"/>
          <w:sz w:val="20"/>
          <w:szCs w:val="20"/>
          <w:lang w:val="hr-HR"/>
        </w:rPr>
        <w:t>dr. sc. Nikolina Brnjac, ministrica turizma i sporta</w:t>
      </w:r>
    </w:p>
    <w:p w14:paraId="5E925165" w14:textId="77777777" w:rsidR="004E2F51" w:rsidRPr="00F13BA4" w:rsidRDefault="004E2F51" w:rsidP="004E2F51">
      <w:pPr>
        <w:pStyle w:val="ListParagraph"/>
        <w:numPr>
          <w:ilvl w:val="0"/>
          <w:numId w:val="24"/>
        </w:numPr>
        <w:suppressAutoHyphens w:val="0"/>
        <w:autoSpaceDN/>
        <w:ind w:left="851" w:hanging="284"/>
        <w:jc w:val="both"/>
        <w:rPr>
          <w:rFonts w:ascii="Arial" w:hAnsi="Arial" w:cs="Arial"/>
          <w:color w:val="000000" w:themeColor="text1"/>
          <w:sz w:val="20"/>
          <w:szCs w:val="20"/>
          <w:lang w:val="hr-HR"/>
        </w:rPr>
      </w:pPr>
      <w:r w:rsidRPr="00F13BA4">
        <w:rPr>
          <w:rFonts w:ascii="Arial" w:hAnsi="Arial" w:cs="Arial"/>
          <w:color w:val="000000" w:themeColor="text1"/>
          <w:sz w:val="20"/>
          <w:szCs w:val="20"/>
          <w:lang w:val="hr-HR"/>
        </w:rPr>
        <w:t>Šime Erlić, ministar regionalnoga razvoja i fondova Europske unije,</w:t>
      </w:r>
    </w:p>
    <w:p w14:paraId="2E4988C7" w14:textId="77777777" w:rsidR="004E2F51" w:rsidRDefault="004E2F51" w:rsidP="004E2F51">
      <w:pPr>
        <w:pStyle w:val="ListParagraph"/>
        <w:numPr>
          <w:ilvl w:val="0"/>
          <w:numId w:val="24"/>
        </w:numPr>
        <w:suppressAutoHyphens w:val="0"/>
        <w:autoSpaceDN/>
        <w:ind w:left="851" w:hanging="284"/>
        <w:jc w:val="both"/>
        <w:rPr>
          <w:rFonts w:ascii="Arial" w:hAnsi="Arial" w:cs="Arial"/>
          <w:color w:val="000000" w:themeColor="text1"/>
          <w:sz w:val="20"/>
          <w:szCs w:val="20"/>
          <w:lang w:val="hr-HR"/>
        </w:rPr>
      </w:pPr>
      <w:r w:rsidRPr="00F13BA4">
        <w:rPr>
          <w:rFonts w:ascii="Arial" w:hAnsi="Arial" w:cs="Arial"/>
          <w:color w:val="000000" w:themeColor="text1"/>
          <w:sz w:val="20"/>
          <w:szCs w:val="20"/>
          <w:lang w:val="hr-HR"/>
        </w:rPr>
        <w:t>mr. sc. Marija Vučković, ministrica poljoprivrede,</w:t>
      </w:r>
    </w:p>
    <w:p w14:paraId="56110226" w14:textId="77777777" w:rsidR="004E2F51" w:rsidRPr="00F13BA4" w:rsidRDefault="004E2F51" w:rsidP="004E2F51">
      <w:pPr>
        <w:pStyle w:val="ListParagraph"/>
        <w:numPr>
          <w:ilvl w:val="0"/>
          <w:numId w:val="24"/>
        </w:numPr>
        <w:suppressAutoHyphens w:val="0"/>
        <w:autoSpaceDN/>
        <w:ind w:left="851" w:hanging="284"/>
        <w:jc w:val="both"/>
        <w:rPr>
          <w:rFonts w:ascii="Arial" w:hAnsi="Arial" w:cs="Arial"/>
          <w:color w:val="000000" w:themeColor="text1"/>
          <w:sz w:val="20"/>
          <w:szCs w:val="20"/>
          <w:lang w:val="hr-HR"/>
        </w:rPr>
      </w:pPr>
      <w:r w:rsidRPr="00F13BA4">
        <w:rPr>
          <w:rFonts w:ascii="Arial" w:hAnsi="Arial" w:cs="Arial"/>
          <w:color w:val="000000"/>
          <w:sz w:val="20"/>
          <w:szCs w:val="20"/>
          <w:lang w:val="hr-HR"/>
        </w:rPr>
        <w:t>Branko Bačić, potpredsjednik Vlade Republike Hrvatske i ministar prostornoga uređenja, graditeljstva i državne imovine,</w:t>
      </w:r>
    </w:p>
    <w:p w14:paraId="658C4D0F" w14:textId="77777777" w:rsidR="004E2F51" w:rsidRPr="00F13BA4" w:rsidRDefault="004E2F51" w:rsidP="004E2F51">
      <w:pPr>
        <w:pStyle w:val="ListParagraph"/>
        <w:numPr>
          <w:ilvl w:val="0"/>
          <w:numId w:val="24"/>
        </w:numPr>
        <w:suppressAutoHyphens w:val="0"/>
        <w:autoSpaceDN/>
        <w:ind w:left="851" w:hanging="284"/>
        <w:jc w:val="both"/>
        <w:rPr>
          <w:rFonts w:ascii="Arial" w:hAnsi="Arial" w:cs="Arial"/>
          <w:color w:val="000000" w:themeColor="text1"/>
          <w:sz w:val="20"/>
          <w:szCs w:val="20"/>
          <w:lang w:val="hr-HR"/>
        </w:rPr>
      </w:pPr>
      <w:r w:rsidRPr="00F13BA4">
        <w:rPr>
          <w:rFonts w:ascii="Arial" w:hAnsi="Arial" w:cs="Arial"/>
          <w:color w:val="000000"/>
          <w:sz w:val="20"/>
          <w:szCs w:val="20"/>
          <w:lang w:val="hr-HR"/>
        </w:rPr>
        <w:t>dr. sc. Luka Burilović, predsjednik Hrvatske gospodarske komore – po položaju član Nadzorno</w:t>
      </w:r>
      <w:r>
        <w:rPr>
          <w:rFonts w:ascii="Arial" w:hAnsi="Arial" w:cs="Arial"/>
          <w:color w:val="000000"/>
          <w:sz w:val="20"/>
          <w:szCs w:val="20"/>
          <w:lang w:val="hr-HR"/>
        </w:rPr>
        <w:t xml:space="preserve">g </w:t>
      </w:r>
      <w:r w:rsidRPr="00F13BA4">
        <w:rPr>
          <w:rFonts w:ascii="Arial" w:hAnsi="Arial" w:cs="Arial"/>
          <w:color w:val="000000"/>
          <w:sz w:val="20"/>
          <w:szCs w:val="20"/>
          <w:lang w:val="hr-HR"/>
        </w:rPr>
        <w:t>odbora</w:t>
      </w:r>
      <w:r>
        <w:rPr>
          <w:rFonts w:ascii="Arial" w:hAnsi="Arial" w:cs="Arial"/>
          <w:color w:val="000000"/>
          <w:sz w:val="20"/>
          <w:szCs w:val="20"/>
          <w:lang w:val="hr-HR"/>
        </w:rPr>
        <w:t>,</w:t>
      </w:r>
    </w:p>
    <w:p w14:paraId="52752FCF" w14:textId="77777777" w:rsidR="004E2F51" w:rsidRPr="00F13BA4" w:rsidRDefault="004E2F51" w:rsidP="004E2F51">
      <w:pPr>
        <w:pStyle w:val="ListParagraph"/>
        <w:numPr>
          <w:ilvl w:val="0"/>
          <w:numId w:val="24"/>
        </w:numPr>
        <w:suppressAutoHyphens w:val="0"/>
        <w:autoSpaceDN/>
        <w:ind w:left="851" w:hanging="284"/>
        <w:jc w:val="both"/>
        <w:rPr>
          <w:rFonts w:ascii="Arial" w:hAnsi="Arial" w:cs="Arial"/>
          <w:color w:val="000000" w:themeColor="text1"/>
          <w:sz w:val="20"/>
          <w:szCs w:val="20"/>
          <w:lang w:val="hr-HR"/>
        </w:rPr>
      </w:pPr>
      <w:r w:rsidRPr="00F13BA4">
        <w:rPr>
          <w:rFonts w:ascii="Arial" w:hAnsi="Arial" w:cs="Arial"/>
          <w:color w:val="000000"/>
          <w:sz w:val="20"/>
          <w:szCs w:val="20"/>
          <w:lang w:val="hr-HR"/>
        </w:rPr>
        <w:t>Žarko Tušek, saborski zastupnik,</w:t>
      </w:r>
    </w:p>
    <w:p w14:paraId="74B7FF99" w14:textId="77777777" w:rsidR="004E2F51" w:rsidRPr="00F13BA4" w:rsidRDefault="004E2F51" w:rsidP="004E2F51">
      <w:pPr>
        <w:pStyle w:val="ListParagraph"/>
        <w:numPr>
          <w:ilvl w:val="0"/>
          <w:numId w:val="24"/>
        </w:numPr>
        <w:suppressAutoHyphens w:val="0"/>
        <w:autoSpaceDN/>
        <w:ind w:left="851" w:hanging="284"/>
        <w:jc w:val="both"/>
        <w:rPr>
          <w:rFonts w:ascii="Arial" w:hAnsi="Arial" w:cs="Arial"/>
          <w:color w:val="000000" w:themeColor="text1"/>
          <w:sz w:val="20"/>
          <w:szCs w:val="20"/>
          <w:lang w:val="hr-HR"/>
        </w:rPr>
      </w:pPr>
      <w:r w:rsidRPr="00F13BA4">
        <w:rPr>
          <w:rFonts w:ascii="Arial" w:hAnsi="Arial" w:cs="Arial"/>
          <w:color w:val="000000"/>
          <w:sz w:val="20"/>
          <w:szCs w:val="20"/>
          <w:lang w:val="hr-HR"/>
        </w:rPr>
        <w:t>Predrag Štromar, saborski zastupnik,</w:t>
      </w:r>
    </w:p>
    <w:p w14:paraId="51D583E5" w14:textId="77777777" w:rsidR="004E2F51" w:rsidRPr="00F13BA4" w:rsidRDefault="004E2F51" w:rsidP="004E2F51">
      <w:pPr>
        <w:pStyle w:val="ListParagraph"/>
        <w:numPr>
          <w:ilvl w:val="0"/>
          <w:numId w:val="24"/>
        </w:numPr>
        <w:suppressAutoHyphens w:val="0"/>
        <w:autoSpaceDN/>
        <w:ind w:left="851" w:hanging="284"/>
        <w:jc w:val="both"/>
        <w:rPr>
          <w:rFonts w:ascii="Arial" w:hAnsi="Arial" w:cs="Arial"/>
          <w:color w:val="000000" w:themeColor="text1"/>
          <w:sz w:val="20"/>
          <w:szCs w:val="20"/>
          <w:lang w:val="hr-HR"/>
        </w:rPr>
      </w:pPr>
      <w:r w:rsidRPr="00F13BA4">
        <w:rPr>
          <w:rFonts w:ascii="Arial" w:hAnsi="Arial" w:cs="Arial"/>
          <w:color w:val="000000"/>
          <w:sz w:val="20"/>
          <w:szCs w:val="20"/>
          <w:lang w:val="hr-HR"/>
        </w:rPr>
        <w:t>dr. sc. Siniša Hajdaš Dončić, saborski zastupnik.</w:t>
      </w:r>
    </w:p>
    <w:p w14:paraId="0731D704" w14:textId="77777777" w:rsidR="004E2F51" w:rsidRPr="006E538D" w:rsidRDefault="004E2F51" w:rsidP="004E2F51">
      <w:pPr>
        <w:jc w:val="both"/>
        <w:rPr>
          <w:rFonts w:ascii="Arial" w:hAnsi="Arial" w:cs="Arial"/>
          <w:color w:val="000000" w:themeColor="text1"/>
          <w:sz w:val="20"/>
          <w:szCs w:val="20"/>
          <w:lang w:val="hr-HR" w:eastAsia="hr-HR"/>
        </w:rPr>
      </w:pPr>
    </w:p>
    <w:p w14:paraId="1E125A5F" w14:textId="77777777" w:rsidR="004E2F51" w:rsidRPr="004B4498" w:rsidRDefault="004E2F51" w:rsidP="004E2F51">
      <w:pPr>
        <w:keepNext/>
        <w:tabs>
          <w:tab w:val="left" w:pos="567"/>
        </w:tabs>
        <w:jc w:val="both"/>
        <w:outlineLvl w:val="0"/>
        <w:rPr>
          <w:rFonts w:ascii="Arial" w:hAnsi="Arial" w:cs="Arial"/>
          <w:i/>
          <w:caps/>
          <w:color w:val="000000" w:themeColor="text1"/>
          <w:sz w:val="20"/>
          <w:szCs w:val="20"/>
          <w:lang w:val="hr-HR"/>
        </w:rPr>
      </w:pPr>
      <w:bookmarkStart w:id="670" w:name="_Toc67327354"/>
      <w:r w:rsidRPr="004B4498">
        <w:rPr>
          <w:rFonts w:ascii="Arial" w:hAnsi="Arial" w:cs="Arial"/>
          <w:i/>
          <w:color w:val="000000" w:themeColor="text1"/>
          <w:sz w:val="20"/>
          <w:szCs w:val="20"/>
          <w:lang w:val="hr-HR"/>
        </w:rPr>
        <w:t>Uprava</w:t>
      </w:r>
      <w:bookmarkEnd w:id="670"/>
      <w:r w:rsidRPr="004B4498">
        <w:rPr>
          <w:rFonts w:ascii="Arial" w:hAnsi="Arial" w:cs="Arial"/>
          <w:i/>
          <w:caps/>
          <w:color w:val="000000" w:themeColor="text1"/>
          <w:sz w:val="20"/>
          <w:szCs w:val="20"/>
          <w:lang w:val="hr-HR"/>
        </w:rPr>
        <w:t xml:space="preserve"> </w:t>
      </w:r>
    </w:p>
    <w:p w14:paraId="41219E8A"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Na dan sastavljanja ovih izvještaja Uprava HBOR-a djeluje u sljedećem sastavu:</w:t>
      </w:r>
    </w:p>
    <w:p w14:paraId="41CBFE88" w14:textId="77777777" w:rsidR="004E2F51" w:rsidRPr="004B4498" w:rsidRDefault="004E2F51" w:rsidP="004E2F51">
      <w:pPr>
        <w:jc w:val="both"/>
        <w:rPr>
          <w:rFonts w:ascii="Arial" w:hAnsi="Arial" w:cs="Arial"/>
          <w:color w:val="000000" w:themeColor="text1"/>
          <w:sz w:val="20"/>
          <w:szCs w:val="20"/>
          <w:lang w:val="hr-HR" w:eastAsia="hr-HR"/>
        </w:rPr>
      </w:pPr>
    </w:p>
    <w:p w14:paraId="49F07E8C" w14:textId="77777777" w:rsidR="004E2F51" w:rsidRDefault="004E2F51">
      <w:pPr>
        <w:pStyle w:val="ListParagraph"/>
        <w:numPr>
          <w:ilvl w:val="0"/>
          <w:numId w:val="38"/>
        </w:numPr>
        <w:suppressAutoHyphens w:val="0"/>
        <w:autoSpaceDN/>
        <w:ind w:left="709" w:hanging="283"/>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mr. sc. Hrvoje Čuvalo, </w:t>
      </w:r>
      <w:r w:rsidRPr="004D72D0">
        <w:rPr>
          <w:rFonts w:ascii="Arial" w:hAnsi="Arial" w:cs="Arial"/>
          <w:color w:val="000000" w:themeColor="text1"/>
          <w:sz w:val="20"/>
          <w:szCs w:val="20"/>
          <w:lang w:val="hr-HR" w:eastAsia="hr-HR"/>
        </w:rPr>
        <w:t>predsjednik Uprave,</w:t>
      </w:r>
    </w:p>
    <w:p w14:paraId="2A33A437" w14:textId="77777777" w:rsidR="004E2F51" w:rsidRDefault="004E2F51">
      <w:pPr>
        <w:pStyle w:val="ListParagraph"/>
        <w:numPr>
          <w:ilvl w:val="0"/>
          <w:numId w:val="38"/>
        </w:numPr>
        <w:suppressAutoHyphens w:val="0"/>
        <w:autoSpaceDN/>
        <w:ind w:left="709" w:hanging="283"/>
        <w:jc w:val="both"/>
        <w:rPr>
          <w:rFonts w:ascii="Arial" w:hAnsi="Arial" w:cs="Arial"/>
          <w:color w:val="000000" w:themeColor="text1"/>
          <w:sz w:val="20"/>
          <w:szCs w:val="20"/>
          <w:lang w:val="hr-HR" w:eastAsia="hr-HR"/>
        </w:rPr>
      </w:pPr>
      <w:r w:rsidRPr="00D80917">
        <w:rPr>
          <w:rFonts w:ascii="Arial" w:hAnsi="Arial" w:cs="Arial"/>
          <w:color w:val="000000" w:themeColor="text1"/>
          <w:sz w:val="20"/>
          <w:szCs w:val="20"/>
          <w:lang w:val="hr-HR" w:eastAsia="hr-HR"/>
        </w:rPr>
        <w:t>Josip Pavković, član Uprave i</w:t>
      </w:r>
      <w:r w:rsidRPr="00145E55" w:rsidDel="004D72D0">
        <w:rPr>
          <w:rFonts w:ascii="Arial" w:hAnsi="Arial" w:cs="Arial"/>
          <w:color w:val="000000" w:themeColor="text1"/>
          <w:sz w:val="20"/>
          <w:szCs w:val="20"/>
          <w:lang w:val="hr-HR" w:eastAsia="hr-HR"/>
        </w:rPr>
        <w:t xml:space="preserve"> </w:t>
      </w:r>
    </w:p>
    <w:p w14:paraId="1A2FA647" w14:textId="77777777" w:rsidR="004E2F51" w:rsidRPr="004B4498" w:rsidRDefault="004E2F51">
      <w:pPr>
        <w:pStyle w:val="ListParagraph"/>
        <w:numPr>
          <w:ilvl w:val="0"/>
          <w:numId w:val="38"/>
        </w:numPr>
        <w:suppressAutoHyphens w:val="0"/>
        <w:autoSpaceDN/>
        <w:ind w:left="709" w:hanging="283"/>
        <w:jc w:val="both"/>
        <w:rPr>
          <w:rFonts w:ascii="Arial" w:hAnsi="Arial" w:cs="Arial"/>
          <w:color w:val="000000" w:themeColor="text1"/>
          <w:sz w:val="20"/>
          <w:szCs w:val="20"/>
          <w:lang w:val="hr-HR" w:eastAsia="hr-HR"/>
        </w:rPr>
      </w:pPr>
      <w:r w:rsidRPr="002160B1">
        <w:rPr>
          <w:rFonts w:ascii="Arial" w:hAnsi="Arial" w:cs="Arial"/>
          <w:color w:val="000000" w:themeColor="text1"/>
          <w:sz w:val="20"/>
          <w:szCs w:val="20"/>
          <w:lang w:val="hr-HR" w:eastAsia="hr-HR"/>
        </w:rPr>
        <w:t>mr. sc. Alan Herjavec, član Uprave.</w:t>
      </w:r>
    </w:p>
    <w:p w14:paraId="310AB288" w14:textId="77777777" w:rsidR="004E2F51" w:rsidRPr="004B4498" w:rsidRDefault="004E2F51" w:rsidP="004E2F51">
      <w:pPr>
        <w:jc w:val="both"/>
        <w:rPr>
          <w:rFonts w:ascii="Arial" w:hAnsi="Arial" w:cs="Arial"/>
          <w:color w:val="000000" w:themeColor="text1"/>
          <w:sz w:val="20"/>
          <w:szCs w:val="20"/>
          <w:lang w:val="hr-HR" w:eastAsia="hr-HR"/>
        </w:rPr>
      </w:pPr>
    </w:p>
    <w:p w14:paraId="026FE2DA"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Na dan 31. prosinca 202</w:t>
      </w:r>
      <w:r>
        <w:rPr>
          <w:rFonts w:ascii="Arial" w:hAnsi="Arial" w:cs="Arial"/>
          <w:color w:val="000000" w:themeColor="text1"/>
          <w:sz w:val="20"/>
          <w:szCs w:val="20"/>
          <w:lang w:val="hr-HR"/>
        </w:rPr>
        <w:t>2</w:t>
      </w:r>
      <w:r w:rsidRPr="004B4498">
        <w:rPr>
          <w:rFonts w:ascii="Arial" w:hAnsi="Arial" w:cs="Arial"/>
          <w:color w:val="000000" w:themeColor="text1"/>
          <w:sz w:val="20"/>
          <w:szCs w:val="20"/>
          <w:lang w:val="hr-HR"/>
        </w:rPr>
        <w:t xml:space="preserve">. HBOR ima </w:t>
      </w:r>
      <w:r w:rsidRPr="00A94E1E">
        <w:rPr>
          <w:rFonts w:ascii="Arial" w:hAnsi="Arial" w:cs="Arial"/>
          <w:color w:val="000000" w:themeColor="text1"/>
          <w:sz w:val="20"/>
          <w:szCs w:val="20"/>
          <w:lang w:val="hr-HR"/>
        </w:rPr>
        <w:t>3</w:t>
      </w:r>
      <w:r>
        <w:rPr>
          <w:rFonts w:ascii="Arial" w:hAnsi="Arial" w:cs="Arial"/>
          <w:color w:val="000000" w:themeColor="text1"/>
          <w:sz w:val="20"/>
          <w:szCs w:val="20"/>
          <w:lang w:val="hr-HR"/>
        </w:rPr>
        <w:t>82</w:t>
      </w:r>
      <w:r w:rsidRPr="004B4498">
        <w:rPr>
          <w:rFonts w:ascii="Arial" w:hAnsi="Arial" w:cs="Arial"/>
          <w:color w:val="000000" w:themeColor="text1"/>
          <w:sz w:val="20"/>
          <w:szCs w:val="20"/>
          <w:lang w:val="hr-HR"/>
        </w:rPr>
        <w:t xml:space="preserve"> zaposlenika (31. prosinca 202</w:t>
      </w:r>
      <w:r>
        <w:rPr>
          <w:rFonts w:ascii="Arial" w:hAnsi="Arial" w:cs="Arial"/>
          <w:color w:val="000000" w:themeColor="text1"/>
          <w:sz w:val="20"/>
          <w:szCs w:val="20"/>
          <w:lang w:val="hr-HR"/>
        </w:rPr>
        <w:t>1</w:t>
      </w:r>
      <w:r w:rsidRPr="004B4498">
        <w:rPr>
          <w:rFonts w:ascii="Arial" w:hAnsi="Arial" w:cs="Arial"/>
          <w:color w:val="000000" w:themeColor="text1"/>
          <w:sz w:val="20"/>
          <w:szCs w:val="20"/>
          <w:lang w:val="hr-HR"/>
        </w:rPr>
        <w:t>. bilo je 3</w:t>
      </w:r>
      <w:r>
        <w:rPr>
          <w:rFonts w:ascii="Arial" w:hAnsi="Arial" w:cs="Arial"/>
          <w:color w:val="000000" w:themeColor="text1"/>
          <w:sz w:val="20"/>
          <w:szCs w:val="20"/>
          <w:lang w:val="hr-HR"/>
        </w:rPr>
        <w:t>7</w:t>
      </w:r>
      <w:r w:rsidRPr="004B4498">
        <w:rPr>
          <w:rFonts w:ascii="Arial" w:hAnsi="Arial" w:cs="Arial"/>
          <w:color w:val="000000" w:themeColor="text1"/>
          <w:sz w:val="20"/>
          <w:szCs w:val="20"/>
          <w:lang w:val="hr-HR"/>
        </w:rPr>
        <w:t>5 zaposlenika).</w:t>
      </w:r>
    </w:p>
    <w:p w14:paraId="195E77B3" w14:textId="77777777" w:rsidR="004E2F51" w:rsidRPr="004B4498" w:rsidRDefault="004E2F51" w:rsidP="004E2F51">
      <w:pPr>
        <w:rPr>
          <w:rFonts w:ascii="Arial" w:hAnsi="Arial" w:cs="Arial"/>
          <w:b/>
          <w:color w:val="000000" w:themeColor="text1"/>
          <w:spacing w:val="-3"/>
          <w:sz w:val="20"/>
          <w:szCs w:val="20"/>
          <w:lang w:val="hr-HR" w:eastAsia="hr-HR"/>
        </w:rPr>
      </w:pPr>
    </w:p>
    <w:p w14:paraId="5822D1D7"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sectPr w:rsidR="004E2F51" w:rsidRPr="004B4498" w:rsidSect="00623DBA">
          <w:headerReference w:type="even" r:id="rId81"/>
          <w:headerReference w:type="default" r:id="rId82"/>
          <w:footerReference w:type="default" r:id="rId83"/>
          <w:pgSz w:w="11907" w:h="16840" w:code="9"/>
          <w:pgMar w:top="1418" w:right="992" w:bottom="1134" w:left="1418" w:header="851" w:footer="851" w:gutter="0"/>
          <w:cols w:space="720"/>
          <w:noEndnote/>
        </w:sectPr>
      </w:pPr>
    </w:p>
    <w:p w14:paraId="4AD8FE58" w14:textId="77777777" w:rsidR="004E2F51" w:rsidRPr="009115D8" w:rsidRDefault="004E2F51" w:rsidP="004E2F51">
      <w:pPr>
        <w:pStyle w:val="T1"/>
        <w:tabs>
          <w:tab w:val="left" w:pos="567"/>
        </w:tabs>
        <w:spacing w:before="0" w:after="0" w:line="240" w:lineRule="auto"/>
        <w:rPr>
          <w:rFonts w:cs="Arial"/>
          <w:color w:val="000000" w:themeColor="text1"/>
          <w:sz w:val="16"/>
          <w:szCs w:val="16"/>
          <w:lang w:val="hr-HR"/>
        </w:rPr>
      </w:pPr>
    </w:p>
    <w:p w14:paraId="01A25CA0" w14:textId="77777777" w:rsidR="004E2F51" w:rsidRPr="004B4498" w:rsidRDefault="004E2F51" w:rsidP="004E2F51">
      <w:pPr>
        <w:pStyle w:val="T1"/>
        <w:tabs>
          <w:tab w:val="left" w:pos="567"/>
        </w:tabs>
        <w:spacing w:before="0" w:after="0" w:line="240" w:lineRule="auto"/>
        <w:rPr>
          <w:rFonts w:cs="Arial"/>
          <w:strike/>
          <w:color w:val="000000" w:themeColor="text1"/>
          <w:sz w:val="20"/>
          <w:lang w:val="hr-HR"/>
        </w:rPr>
      </w:pPr>
      <w:r w:rsidRPr="004B4498">
        <w:rPr>
          <w:rFonts w:cs="Arial"/>
          <w:color w:val="000000" w:themeColor="text1"/>
          <w:sz w:val="20"/>
          <w:lang w:val="hr-HR"/>
        </w:rPr>
        <w:t>1.</w:t>
      </w:r>
      <w:r w:rsidRPr="004B4498">
        <w:rPr>
          <w:rFonts w:cs="Arial"/>
          <w:color w:val="000000" w:themeColor="text1"/>
          <w:sz w:val="20"/>
          <w:lang w:val="hr-HR"/>
        </w:rPr>
        <w:tab/>
        <w:t>Opći podaci (nastavak)</w:t>
      </w:r>
    </w:p>
    <w:p w14:paraId="4CC813C2" w14:textId="77777777" w:rsidR="004E2F51" w:rsidRPr="009115D8" w:rsidRDefault="004E2F51" w:rsidP="004E2F51">
      <w:pPr>
        <w:pStyle w:val="NormalWeb"/>
        <w:tabs>
          <w:tab w:val="left" w:pos="567"/>
        </w:tabs>
        <w:spacing w:before="0" w:beforeAutospacing="0" w:after="0" w:afterAutospacing="0"/>
        <w:jc w:val="both"/>
        <w:rPr>
          <w:rFonts w:ascii="Arial" w:hAnsi="Arial" w:cs="Arial"/>
          <w:b/>
          <w:color w:val="000000" w:themeColor="text1"/>
          <w:sz w:val="14"/>
          <w:szCs w:val="14"/>
          <w:lang w:val="hr-HR"/>
        </w:rPr>
      </w:pPr>
    </w:p>
    <w:p w14:paraId="32AAC4B5" w14:textId="77777777" w:rsidR="004E2F51" w:rsidRPr="004B4498" w:rsidRDefault="004E2F51" w:rsidP="004E2F51">
      <w:pPr>
        <w:pStyle w:val="NormalWeb"/>
        <w:tabs>
          <w:tab w:val="left" w:pos="567"/>
        </w:tabs>
        <w:spacing w:before="0" w:beforeAutospacing="0" w:after="0" w:afterAutospacing="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1.2.</w:t>
      </w:r>
      <w:r w:rsidRPr="004B4498">
        <w:rPr>
          <w:rFonts w:ascii="Arial" w:hAnsi="Arial" w:cs="Arial"/>
          <w:b/>
          <w:color w:val="000000" w:themeColor="text1"/>
          <w:sz w:val="20"/>
          <w:szCs w:val="20"/>
          <w:lang w:val="hr-HR"/>
        </w:rPr>
        <w:tab/>
        <w:t>Banka (nastavak):</w:t>
      </w:r>
    </w:p>
    <w:p w14:paraId="5C4920C7" w14:textId="77777777" w:rsidR="004E2F51" w:rsidRPr="009115D8" w:rsidRDefault="004E2F51" w:rsidP="004E2F51">
      <w:pPr>
        <w:pStyle w:val="NormalWeb"/>
        <w:tabs>
          <w:tab w:val="left" w:pos="567"/>
        </w:tabs>
        <w:spacing w:before="0" w:beforeAutospacing="0" w:after="0" w:afterAutospacing="0"/>
        <w:jc w:val="both"/>
        <w:rPr>
          <w:rFonts w:ascii="Arial" w:hAnsi="Arial" w:cs="Arial"/>
          <w:b/>
          <w:color w:val="000000" w:themeColor="text1"/>
          <w:sz w:val="14"/>
          <w:szCs w:val="14"/>
          <w:lang w:val="hr-HR"/>
        </w:rPr>
      </w:pPr>
    </w:p>
    <w:p w14:paraId="7C7B6800" w14:textId="77777777" w:rsidR="004E2F51" w:rsidRPr="004B4498" w:rsidRDefault="004E2F51" w:rsidP="004E2F51">
      <w:pPr>
        <w:jc w:val="both"/>
        <w:rPr>
          <w:rFonts w:ascii="Arial" w:hAnsi="Arial" w:cs="Arial"/>
          <w:i/>
          <w:color w:val="000000" w:themeColor="text1"/>
          <w:sz w:val="20"/>
          <w:szCs w:val="20"/>
          <w:lang w:val="hr-HR"/>
        </w:rPr>
      </w:pPr>
      <w:r w:rsidRPr="004B4498">
        <w:rPr>
          <w:rFonts w:ascii="Arial" w:hAnsi="Arial" w:cs="Arial"/>
          <w:i/>
          <w:color w:val="000000" w:themeColor="text1"/>
          <w:sz w:val="20"/>
          <w:szCs w:val="20"/>
          <w:lang w:val="hr-HR"/>
        </w:rPr>
        <w:t>Revizijski odbor</w:t>
      </w:r>
    </w:p>
    <w:p w14:paraId="2551D5EB" w14:textId="77777777" w:rsidR="004E2F51" w:rsidRPr="004B4498" w:rsidRDefault="004E2F51" w:rsidP="004E2F51">
      <w:pPr>
        <w:tabs>
          <w:tab w:val="left" w:pos="42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Na dan 31. prosinca 202</w:t>
      </w:r>
      <w:r>
        <w:rPr>
          <w:rFonts w:ascii="Arial" w:hAnsi="Arial" w:cs="Arial"/>
          <w:color w:val="000000" w:themeColor="text1"/>
          <w:sz w:val="20"/>
          <w:szCs w:val="20"/>
          <w:lang w:val="hr-HR" w:eastAsia="hr-HR"/>
        </w:rPr>
        <w:t>2</w:t>
      </w:r>
      <w:r w:rsidRPr="004B4498">
        <w:rPr>
          <w:rFonts w:ascii="Arial" w:hAnsi="Arial" w:cs="Arial"/>
          <w:color w:val="000000" w:themeColor="text1"/>
          <w:sz w:val="20"/>
          <w:szCs w:val="20"/>
          <w:lang w:val="hr-HR" w:eastAsia="hr-HR"/>
        </w:rPr>
        <w:t>. Revizijski odbor djeluje u sastavu:</w:t>
      </w:r>
    </w:p>
    <w:p w14:paraId="4F884D0C" w14:textId="77777777" w:rsidR="004E2F51" w:rsidRPr="009115D8" w:rsidRDefault="004E2F51" w:rsidP="004E2F51">
      <w:pPr>
        <w:tabs>
          <w:tab w:val="left" w:pos="426"/>
        </w:tabs>
        <w:jc w:val="both"/>
        <w:rPr>
          <w:rFonts w:ascii="Arial" w:hAnsi="Arial" w:cs="Arial"/>
          <w:color w:val="000000" w:themeColor="text1"/>
          <w:sz w:val="10"/>
          <w:szCs w:val="10"/>
          <w:lang w:val="hr-HR" w:eastAsia="hr-HR"/>
        </w:rPr>
      </w:pPr>
    </w:p>
    <w:p w14:paraId="3B00936F" w14:textId="77777777" w:rsidR="004E2F51" w:rsidRDefault="004E2F51">
      <w:pPr>
        <w:pStyle w:val="ListParagraph"/>
        <w:numPr>
          <w:ilvl w:val="0"/>
          <w:numId w:val="34"/>
        </w:numPr>
        <w:tabs>
          <w:tab w:val="num" w:pos="851"/>
        </w:tabs>
        <w:suppressAutoHyphens w:val="0"/>
        <w:autoSpaceDN/>
        <w:ind w:left="851"/>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prof. dr. sc. Lajoš Žager, redoviti profesor, Katedra za računovodstvo Ekonomskog fakulteta Sveučilišta u Zagrebu, u svojstvu predsjednika Revizijskog odbora,</w:t>
      </w:r>
    </w:p>
    <w:p w14:paraId="2024ED81" w14:textId="77777777" w:rsidR="004E2F51" w:rsidRPr="004B4498" w:rsidRDefault="004E2F51">
      <w:pPr>
        <w:pStyle w:val="ListParagraph"/>
        <w:numPr>
          <w:ilvl w:val="0"/>
          <w:numId w:val="34"/>
        </w:numPr>
        <w:tabs>
          <w:tab w:val="num" w:pos="851"/>
        </w:tabs>
        <w:suppressAutoHyphens w:val="0"/>
        <w:autoSpaceDN/>
        <w:ind w:left="851"/>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prof. dr. sc. Boris Tušek, redoviti profesor, Katedra za računovodstvo Ekonomskog fakulteta Sveučilišta u Zagrebu, u svojstvu zamjenika predsjednika Revizijskog odbora,</w:t>
      </w:r>
    </w:p>
    <w:p w14:paraId="43B84215" w14:textId="77777777" w:rsidR="004E2F51" w:rsidRDefault="004E2F51">
      <w:pPr>
        <w:pStyle w:val="ListParagraph"/>
        <w:numPr>
          <w:ilvl w:val="0"/>
          <w:numId w:val="34"/>
        </w:numPr>
        <w:tabs>
          <w:tab w:val="num" w:pos="993"/>
        </w:tabs>
        <w:suppressAutoHyphens w:val="0"/>
        <w:autoSpaceDN/>
        <w:ind w:left="851"/>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Predrag Štromar, predsjednik Odbora za prostorno uređenje i graditeljstvo u Hrvatskom saboru, u svojstvu člana Revizijskog odbora.</w:t>
      </w:r>
    </w:p>
    <w:p w14:paraId="0ECBFFC4" w14:textId="77777777" w:rsidR="004E2F51" w:rsidRPr="009115D8" w:rsidRDefault="004E2F51" w:rsidP="004E2F51">
      <w:pPr>
        <w:jc w:val="both"/>
        <w:rPr>
          <w:rFonts w:ascii="Arial" w:hAnsi="Arial" w:cs="Arial"/>
          <w:color w:val="000000" w:themeColor="text1"/>
          <w:sz w:val="14"/>
          <w:szCs w:val="14"/>
          <w:lang w:val="hr-HR"/>
        </w:rPr>
      </w:pPr>
    </w:p>
    <w:p w14:paraId="431FB767" w14:textId="77777777" w:rsidR="004E2F51" w:rsidRPr="00DA3A0E" w:rsidRDefault="004E2F51" w:rsidP="004E2F51">
      <w:pPr>
        <w:jc w:val="both"/>
        <w:rPr>
          <w:rFonts w:ascii="Arial" w:hAnsi="Arial" w:cs="Arial"/>
          <w:color w:val="000000" w:themeColor="text1"/>
          <w:sz w:val="20"/>
          <w:szCs w:val="20"/>
          <w:lang w:val="hr-HR"/>
        </w:rPr>
      </w:pPr>
      <w:r w:rsidRPr="00DA3A0E">
        <w:rPr>
          <w:rFonts w:ascii="Arial" w:hAnsi="Arial" w:cs="Arial"/>
          <w:color w:val="000000" w:themeColor="text1"/>
          <w:sz w:val="20"/>
          <w:szCs w:val="20"/>
          <w:lang w:val="hr-HR"/>
        </w:rPr>
        <w:t>Temeljem Statuta HBOR-a, Nadzorni odbor je na 7. sjednici održanoj 27. rujna 2022. godine donio Odluku o imenovanju prof. dr. sc. Borisa Tušeka, redovitog profesora na katedri za računovodstvo Ekonomskog fakulteta Sveučilišta u Zagrebu u Revizijski odbor HBOR-a, u svojstvu zamjenika predsjednika Revizijskog odbora HBOR-a.</w:t>
      </w:r>
    </w:p>
    <w:p w14:paraId="32CBC2E9" w14:textId="77777777" w:rsidR="004E2F51" w:rsidRPr="009115D8" w:rsidRDefault="004E2F51" w:rsidP="004E2F51">
      <w:pPr>
        <w:pStyle w:val="NormalWeb"/>
        <w:tabs>
          <w:tab w:val="left" w:pos="567"/>
        </w:tabs>
        <w:spacing w:before="0" w:beforeAutospacing="0" w:after="0" w:afterAutospacing="0"/>
        <w:jc w:val="both"/>
        <w:rPr>
          <w:rFonts w:ascii="Arial" w:hAnsi="Arial" w:cs="Arial"/>
          <w:b/>
          <w:color w:val="000000" w:themeColor="text1"/>
          <w:sz w:val="14"/>
          <w:szCs w:val="14"/>
          <w:lang w:val="hr-HR"/>
        </w:rPr>
      </w:pPr>
    </w:p>
    <w:p w14:paraId="4E012BFA" w14:textId="77777777" w:rsidR="004E2F51" w:rsidRPr="004B4498" w:rsidRDefault="004E2F51" w:rsidP="004E2F51">
      <w:pPr>
        <w:tabs>
          <w:tab w:val="left" w:pos="42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1.2.1. Djelatnost Banke:</w:t>
      </w:r>
    </w:p>
    <w:p w14:paraId="1E00ECAA" w14:textId="77777777" w:rsidR="004E2F51" w:rsidRPr="009115D8" w:rsidRDefault="004E2F51" w:rsidP="004E2F51">
      <w:pPr>
        <w:jc w:val="both"/>
        <w:rPr>
          <w:rFonts w:ascii="Arial" w:hAnsi="Arial" w:cs="Arial"/>
          <w:b/>
          <w:color w:val="000000" w:themeColor="text1"/>
          <w:sz w:val="14"/>
          <w:szCs w:val="14"/>
          <w:lang w:val="hr-HR" w:eastAsia="hr-HR"/>
        </w:rPr>
      </w:pPr>
    </w:p>
    <w:p w14:paraId="2483FD3E"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Glavne poslovne djelatnosti Banke odnose se na: </w:t>
      </w:r>
    </w:p>
    <w:p w14:paraId="7696F1F0" w14:textId="77777777" w:rsidR="004E2F51" w:rsidRPr="009115D8" w:rsidRDefault="004E2F51">
      <w:pPr>
        <w:pStyle w:val="ListParagraph"/>
        <w:numPr>
          <w:ilvl w:val="0"/>
          <w:numId w:val="33"/>
        </w:numPr>
        <w:suppressAutoHyphens w:val="0"/>
        <w:autoSpaceDN/>
        <w:jc w:val="both"/>
        <w:rPr>
          <w:rFonts w:ascii="Arial" w:hAnsi="Arial" w:cs="Arial"/>
          <w:color w:val="000000" w:themeColor="text1"/>
          <w:sz w:val="20"/>
          <w:szCs w:val="20"/>
          <w:lang w:val="hr-HR" w:eastAsia="hr-HR"/>
        </w:rPr>
      </w:pPr>
      <w:r w:rsidRPr="009115D8">
        <w:rPr>
          <w:rFonts w:ascii="Arial" w:hAnsi="Arial" w:cs="Arial"/>
          <w:color w:val="000000" w:themeColor="text1"/>
          <w:sz w:val="20"/>
          <w:szCs w:val="20"/>
          <w:lang w:val="hr-HR" w:eastAsia="hr-HR"/>
        </w:rPr>
        <w:t xml:space="preserve">financiranje obnove i razvitka hrvatskoga gospodarstva, </w:t>
      </w:r>
    </w:p>
    <w:p w14:paraId="17CC69CB" w14:textId="77777777" w:rsidR="004E2F51" w:rsidRPr="004B4498" w:rsidRDefault="004E2F51">
      <w:pPr>
        <w:numPr>
          <w:ilvl w:val="0"/>
          <w:numId w:val="33"/>
        </w:numPr>
        <w:suppressAutoHyphens w:val="0"/>
        <w:autoSpaceDN/>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financiranje infrastrukture, </w:t>
      </w:r>
    </w:p>
    <w:p w14:paraId="18034FEA" w14:textId="77777777" w:rsidR="004E2F51" w:rsidRPr="004B4498" w:rsidRDefault="004E2F51">
      <w:pPr>
        <w:numPr>
          <w:ilvl w:val="0"/>
          <w:numId w:val="33"/>
        </w:numPr>
        <w:suppressAutoHyphens w:val="0"/>
        <w:autoSpaceDN/>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poticanje izvoza, </w:t>
      </w:r>
    </w:p>
    <w:p w14:paraId="521D7C34" w14:textId="77777777" w:rsidR="004E2F51" w:rsidRPr="004B4498" w:rsidRDefault="004E2F51">
      <w:pPr>
        <w:numPr>
          <w:ilvl w:val="0"/>
          <w:numId w:val="33"/>
        </w:numPr>
        <w:suppressAutoHyphens w:val="0"/>
        <w:autoSpaceDN/>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potporu razvitku malog i srednjeg poduzetništva, </w:t>
      </w:r>
    </w:p>
    <w:p w14:paraId="5032B992" w14:textId="77777777" w:rsidR="004E2F51" w:rsidRPr="004B4498" w:rsidRDefault="004E2F51">
      <w:pPr>
        <w:numPr>
          <w:ilvl w:val="0"/>
          <w:numId w:val="33"/>
        </w:numPr>
        <w:suppressAutoHyphens w:val="0"/>
        <w:autoSpaceDN/>
        <w:jc w:val="both"/>
        <w:rPr>
          <w:rFonts w:ascii="Arial" w:hAnsi="Arial" w:cs="Arial"/>
          <w:b/>
          <w:color w:val="000000" w:themeColor="text1"/>
          <w:spacing w:val="-3"/>
          <w:sz w:val="20"/>
          <w:szCs w:val="20"/>
          <w:lang w:val="hr-HR" w:eastAsia="hr-HR"/>
        </w:rPr>
      </w:pPr>
      <w:r w:rsidRPr="004B4498">
        <w:rPr>
          <w:rFonts w:ascii="Arial" w:hAnsi="Arial" w:cs="Arial"/>
          <w:color w:val="000000" w:themeColor="text1"/>
          <w:sz w:val="20"/>
          <w:szCs w:val="20"/>
          <w:lang w:val="hr-HR" w:eastAsia="hr-HR"/>
        </w:rPr>
        <w:t>poticanje zaštite okoliša,</w:t>
      </w:r>
    </w:p>
    <w:p w14:paraId="4505F858" w14:textId="77777777" w:rsidR="004E2F51" w:rsidRPr="004B4498" w:rsidRDefault="004E2F51">
      <w:pPr>
        <w:numPr>
          <w:ilvl w:val="0"/>
          <w:numId w:val="33"/>
        </w:numPr>
        <w:suppressAutoHyphens w:val="0"/>
        <w:autoSpaceDN/>
        <w:jc w:val="both"/>
        <w:rPr>
          <w:rFonts w:ascii="Arial" w:hAnsi="Arial" w:cs="Arial"/>
          <w:b/>
          <w:color w:val="000000" w:themeColor="text1"/>
          <w:spacing w:val="-3"/>
          <w:sz w:val="20"/>
          <w:szCs w:val="20"/>
          <w:lang w:val="hr-HR" w:eastAsia="hr-HR"/>
        </w:rPr>
      </w:pPr>
      <w:r w:rsidRPr="004B4498">
        <w:rPr>
          <w:rFonts w:ascii="Arial" w:hAnsi="Arial" w:cs="Arial"/>
          <w:color w:val="000000" w:themeColor="text1"/>
          <w:sz w:val="20"/>
          <w:szCs w:val="20"/>
          <w:lang w:val="hr-HR" w:eastAsia="hr-HR"/>
        </w:rPr>
        <w:t>kao i osiguranja izvoza hrvatskih roba i usluga od netržišnih rizika u ime i za račun Republike Hrvatske.</w:t>
      </w:r>
    </w:p>
    <w:p w14:paraId="11152DCD" w14:textId="77777777" w:rsidR="004E2F51" w:rsidRPr="009115D8" w:rsidRDefault="004E2F51" w:rsidP="004E2F51">
      <w:pPr>
        <w:ind w:left="720"/>
        <w:rPr>
          <w:rFonts w:ascii="Arial" w:hAnsi="Arial" w:cs="Arial"/>
          <w:b/>
          <w:color w:val="000000" w:themeColor="text1"/>
          <w:spacing w:val="-3"/>
          <w:sz w:val="16"/>
          <w:szCs w:val="16"/>
          <w:lang w:val="hr-HR" w:eastAsia="hr-HR"/>
        </w:rPr>
      </w:pPr>
    </w:p>
    <w:p w14:paraId="748ABF2D" w14:textId="77777777" w:rsidR="004E2F51"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HBOR može obavljati i druge financijske poslove sukladno odlukama Vlade Republike Hrvatske ako ona ocijeni da je to u interesu Republike Hrvatske.</w:t>
      </w:r>
    </w:p>
    <w:p w14:paraId="09D519E9" w14:textId="77777777" w:rsidR="004E2F51" w:rsidRPr="009115D8" w:rsidRDefault="004E2F51" w:rsidP="004E2F51">
      <w:pPr>
        <w:jc w:val="both"/>
        <w:rPr>
          <w:rFonts w:ascii="Arial" w:hAnsi="Arial" w:cs="Arial"/>
          <w:color w:val="000000" w:themeColor="text1"/>
          <w:sz w:val="14"/>
          <w:szCs w:val="14"/>
          <w:lang w:val="hr-HR" w:eastAsia="hr-HR"/>
        </w:rPr>
      </w:pPr>
    </w:p>
    <w:p w14:paraId="4F4FBD29" w14:textId="77777777" w:rsidR="004E2F51" w:rsidRPr="00B37DA4" w:rsidRDefault="004E2F51" w:rsidP="004E2F51">
      <w:pPr>
        <w:tabs>
          <w:tab w:val="left" w:pos="0"/>
        </w:tabs>
        <w:ind w:left="567" w:hanging="567"/>
        <w:jc w:val="both"/>
        <w:rPr>
          <w:rFonts w:ascii="Arial" w:hAnsi="Arial" w:cs="Arial"/>
          <w:bCs/>
          <w:color w:val="222222"/>
          <w:sz w:val="20"/>
          <w:szCs w:val="20"/>
          <w:lang w:val="hr-HR"/>
        </w:rPr>
      </w:pPr>
      <w:r w:rsidRPr="00B37DA4">
        <w:rPr>
          <w:rFonts w:ascii="Arial" w:hAnsi="Arial" w:cs="Arial"/>
          <w:b/>
          <w:bCs/>
          <w:color w:val="000000" w:themeColor="text1"/>
          <w:sz w:val="20"/>
          <w:szCs w:val="20"/>
          <w:lang w:val="hr-HR" w:eastAsia="hr-HR"/>
        </w:rPr>
        <w:t>1.3.</w:t>
      </w:r>
      <w:r w:rsidRPr="00B37DA4">
        <w:rPr>
          <w:rFonts w:ascii="Arial" w:hAnsi="Arial" w:cs="Arial"/>
          <w:b/>
          <w:bCs/>
          <w:color w:val="000000" w:themeColor="text1"/>
          <w:sz w:val="20"/>
          <w:szCs w:val="20"/>
          <w:lang w:val="hr-HR" w:eastAsia="hr-HR"/>
        </w:rPr>
        <w:tab/>
      </w:r>
      <w:r w:rsidRPr="00B37DA4">
        <w:rPr>
          <w:rFonts w:ascii="Arial" w:hAnsi="Arial" w:cstheme="minorHAnsi"/>
          <w:b/>
          <w:bCs/>
          <w:sz w:val="20"/>
          <w:lang w:val="hr-HR"/>
        </w:rPr>
        <w:t xml:space="preserve">Utjecaj krize uzrokovane rusko-ukrajinskim ratom </w:t>
      </w:r>
      <w:r w:rsidRPr="00B37DA4">
        <w:rPr>
          <w:rFonts w:ascii="Arial" w:hAnsi="Arial" w:cs="Arial"/>
          <w:bCs/>
          <w:color w:val="222222"/>
          <w:sz w:val="20"/>
          <w:szCs w:val="20"/>
          <w:lang w:val="hr-HR"/>
        </w:rPr>
        <w:t xml:space="preserve"> </w:t>
      </w:r>
    </w:p>
    <w:p w14:paraId="4118AC9B" w14:textId="77777777" w:rsidR="004E2F51" w:rsidRPr="009115D8" w:rsidRDefault="004E2F51" w:rsidP="004E2F51">
      <w:pPr>
        <w:pStyle w:val="NormalWeb"/>
        <w:spacing w:before="0" w:beforeAutospacing="0" w:after="0" w:afterAutospacing="0"/>
        <w:jc w:val="both"/>
        <w:rPr>
          <w:rFonts w:ascii="Arial" w:hAnsi="Arial" w:cs="Arial"/>
          <w:bCs/>
          <w:color w:val="222222"/>
          <w:sz w:val="14"/>
          <w:szCs w:val="14"/>
          <w:lang w:val="hr-HR"/>
        </w:rPr>
      </w:pPr>
    </w:p>
    <w:p w14:paraId="6AA2808F" w14:textId="77777777" w:rsidR="004E2F51" w:rsidRPr="00B37DA4" w:rsidRDefault="004E2F51" w:rsidP="004E2F51">
      <w:pPr>
        <w:spacing w:line="240" w:lineRule="exact"/>
        <w:jc w:val="both"/>
        <w:rPr>
          <w:rFonts w:ascii="Arial" w:hAnsi="Arial" w:cstheme="minorHAnsi"/>
          <w:sz w:val="20"/>
          <w:lang w:val="hr-HR"/>
        </w:rPr>
      </w:pPr>
      <w:r w:rsidRPr="00B37DA4">
        <w:rPr>
          <w:rFonts w:ascii="Arial" w:hAnsi="Arial" w:cstheme="minorHAnsi"/>
          <w:sz w:val="20"/>
          <w:lang w:val="hr-HR"/>
        </w:rPr>
        <w:t xml:space="preserve">Nakon ruske invazije na Ukrajinu 24. veljače 2022., Europska unija je donijela paket sankcija prema Ruskoj Federaciji i Republici Bjelorusiji, koje imaju gospodarske posljedice za cijelo EU tržište, pa tako i hrvatsko gospodarstvo. </w:t>
      </w:r>
    </w:p>
    <w:p w14:paraId="772AEE60" w14:textId="77777777" w:rsidR="004E2F51" w:rsidRPr="00B37DA4" w:rsidRDefault="004E2F51" w:rsidP="004E2F51">
      <w:pPr>
        <w:tabs>
          <w:tab w:val="left" w:pos="360"/>
        </w:tabs>
        <w:spacing w:line="240" w:lineRule="exact"/>
        <w:jc w:val="both"/>
        <w:rPr>
          <w:rFonts w:ascii="Arial" w:hAnsi="Arial" w:cstheme="minorHAnsi"/>
          <w:sz w:val="20"/>
          <w:lang w:val="hr-HR"/>
        </w:rPr>
      </w:pPr>
      <w:r w:rsidRPr="00B37DA4">
        <w:rPr>
          <w:rFonts w:ascii="Arial" w:hAnsi="Arial" w:cstheme="minorHAnsi"/>
          <w:sz w:val="20"/>
          <w:lang w:val="hr-HR" w:eastAsia="hr-HR"/>
        </w:rPr>
        <w:t>Poduzetnici su višestruko pogođeni, i izravno i neizravno, posebice u obliku smanjenja potražnje, prekida postojećih ugovora i projekata uz posljedični gubitak prometa, poremećaja u lancima opskrbe, posebno sirovina i poluproizvoda, cijene energenata ili drugih ulaznih materijala.</w:t>
      </w:r>
      <w:r w:rsidRPr="00B37DA4">
        <w:rPr>
          <w:rFonts w:ascii="Arial" w:hAnsi="Arial" w:cstheme="minorHAnsi"/>
          <w:sz w:val="20"/>
          <w:lang w:val="hr-HR"/>
        </w:rPr>
        <w:t xml:space="preserve"> Kriza remeti opskrbne lance, utječući na izvoznike i uvoznike ruske, ukrajinske i bjeloruske robe i usluga. Negativan utjecaj povećanja cijena već se osjeća u cijelom hrvatskom gospodarstvu.</w:t>
      </w:r>
    </w:p>
    <w:p w14:paraId="4507BF74" w14:textId="77777777" w:rsidR="004E2F51" w:rsidRPr="009115D8" w:rsidRDefault="004E2F51" w:rsidP="004E2F51">
      <w:pPr>
        <w:spacing w:line="200" w:lineRule="exact"/>
        <w:jc w:val="both"/>
        <w:rPr>
          <w:rFonts w:ascii="Arial" w:hAnsi="Arial" w:cstheme="minorHAnsi"/>
          <w:sz w:val="12"/>
          <w:szCs w:val="12"/>
          <w:lang w:val="hr-HR"/>
        </w:rPr>
      </w:pPr>
    </w:p>
    <w:p w14:paraId="5548923E" w14:textId="77777777" w:rsidR="004E2F51" w:rsidRPr="00B37DA4" w:rsidRDefault="004E2F51" w:rsidP="004E2F51">
      <w:pPr>
        <w:tabs>
          <w:tab w:val="left" w:pos="360"/>
        </w:tabs>
        <w:spacing w:line="240" w:lineRule="exact"/>
        <w:jc w:val="both"/>
        <w:rPr>
          <w:rFonts w:ascii="Arial" w:hAnsi="Arial" w:cstheme="minorHAnsi"/>
          <w:sz w:val="20"/>
          <w:lang w:val="hr-HR" w:eastAsia="hr-HR"/>
        </w:rPr>
      </w:pPr>
      <w:r w:rsidRPr="00B37DA4">
        <w:rPr>
          <w:rFonts w:ascii="Arial" w:hAnsi="Arial" w:cstheme="minorHAnsi"/>
          <w:sz w:val="20"/>
          <w:lang w:val="hr-HR" w:eastAsia="hr-HR"/>
        </w:rPr>
        <w:t>Slijedom navedenog HBOR je započeo sa programom pomoći hrvatskom gospodarstvu pogođenom ovom novom krizom:</w:t>
      </w:r>
    </w:p>
    <w:p w14:paraId="5C1F2AD7" w14:textId="77777777" w:rsidR="004E2F51" w:rsidRPr="00B37DA4" w:rsidRDefault="004E2F51">
      <w:pPr>
        <w:numPr>
          <w:ilvl w:val="0"/>
          <w:numId w:val="33"/>
        </w:numPr>
        <w:suppressAutoHyphens w:val="0"/>
        <w:autoSpaceDN/>
        <w:spacing w:line="240" w:lineRule="exact"/>
        <w:jc w:val="both"/>
        <w:rPr>
          <w:rFonts w:ascii="Arial" w:hAnsi="Arial" w:cstheme="minorHAnsi"/>
          <w:color w:val="000000" w:themeColor="text1"/>
          <w:sz w:val="20"/>
          <w:lang w:val="hr-HR" w:eastAsia="hr-HR"/>
        </w:rPr>
      </w:pPr>
      <w:bookmarkStart w:id="671" w:name="_Hlk104406035"/>
      <w:r w:rsidRPr="00B37DA4">
        <w:rPr>
          <w:rFonts w:ascii="Arial" w:hAnsi="Arial" w:cstheme="minorHAnsi"/>
          <w:color w:val="000000" w:themeColor="text1"/>
          <w:sz w:val="20"/>
          <w:lang w:val="hr-HR" w:eastAsia="hr-HR"/>
        </w:rPr>
        <w:t>Programom dodjele potpora HBOR-a usklađen s Privremenim kriznim okvirom za mjere državne potpore za potporu gospodarstvu nakon invazije Rusije na Ukrajinu - odjeljci „2.1. i 2.3.“</w:t>
      </w:r>
      <w:bookmarkEnd w:id="671"/>
      <w:r w:rsidRPr="00B37DA4">
        <w:rPr>
          <w:rFonts w:ascii="Arial" w:hAnsi="Arial" w:cstheme="minorHAnsi"/>
          <w:color w:val="000000" w:themeColor="text1"/>
          <w:sz w:val="20"/>
          <w:lang w:val="hr-HR" w:eastAsia="hr-HR"/>
        </w:rPr>
        <w:t>,</w:t>
      </w:r>
    </w:p>
    <w:p w14:paraId="32BB5D89" w14:textId="77777777" w:rsidR="004E2F51" w:rsidRPr="00B37DA4" w:rsidRDefault="004E2F51">
      <w:pPr>
        <w:numPr>
          <w:ilvl w:val="0"/>
          <w:numId w:val="33"/>
        </w:numPr>
        <w:suppressAutoHyphens w:val="0"/>
        <w:autoSpaceDN/>
        <w:spacing w:line="240" w:lineRule="exact"/>
        <w:jc w:val="both"/>
        <w:rPr>
          <w:rFonts w:ascii="Arial" w:hAnsi="Arial" w:cstheme="minorHAnsi"/>
          <w:color w:val="000000" w:themeColor="text1"/>
          <w:sz w:val="20"/>
          <w:lang w:val="hr-HR" w:eastAsia="hr-HR"/>
        </w:rPr>
      </w:pPr>
      <w:r w:rsidRPr="00B37DA4">
        <w:rPr>
          <w:rFonts w:ascii="Arial" w:hAnsi="Arial" w:cstheme="minorHAnsi"/>
          <w:color w:val="000000" w:themeColor="text1"/>
          <w:sz w:val="20"/>
          <w:lang w:val="hr-HR" w:eastAsia="hr-HR"/>
        </w:rPr>
        <w:t>Odlukom o donošenju privremene krizne mjere programa kreditiranja Obrtna sredstva: Obrtna sredstva KRIZA 2022 – mjera, čija provedba</w:t>
      </w:r>
      <w:r>
        <w:rPr>
          <w:rFonts w:ascii="Arial" w:hAnsi="Arial" w:cstheme="minorHAnsi"/>
          <w:color w:val="000000" w:themeColor="text1"/>
          <w:sz w:val="20"/>
          <w:lang w:val="hr-HR" w:eastAsia="hr-HR"/>
        </w:rPr>
        <w:t xml:space="preserve"> je</w:t>
      </w:r>
      <w:r w:rsidRPr="00B37DA4">
        <w:rPr>
          <w:rFonts w:ascii="Arial" w:hAnsi="Arial" w:cstheme="minorHAnsi"/>
          <w:color w:val="000000" w:themeColor="text1"/>
          <w:sz w:val="20"/>
          <w:lang w:val="hr-HR" w:eastAsia="hr-HR"/>
        </w:rPr>
        <w:t xml:space="preserve"> produljena do 31. prosinca 2023. te</w:t>
      </w:r>
    </w:p>
    <w:p w14:paraId="59002C08" w14:textId="585B253D" w:rsidR="004E2F51" w:rsidRPr="00B37DA4" w:rsidRDefault="004E2F51">
      <w:pPr>
        <w:numPr>
          <w:ilvl w:val="0"/>
          <w:numId w:val="33"/>
        </w:numPr>
        <w:suppressAutoHyphens w:val="0"/>
        <w:autoSpaceDN/>
        <w:spacing w:line="240" w:lineRule="exact"/>
        <w:jc w:val="both"/>
        <w:rPr>
          <w:rFonts w:ascii="Arial" w:hAnsi="Arial" w:cstheme="minorHAnsi"/>
          <w:color w:val="000000" w:themeColor="text1"/>
          <w:sz w:val="20"/>
          <w:lang w:val="hr-HR" w:eastAsia="hr-HR"/>
        </w:rPr>
      </w:pPr>
      <w:r w:rsidRPr="00B37DA4">
        <w:rPr>
          <w:rFonts w:ascii="Arial" w:hAnsi="Arial" w:cstheme="minorHAnsi"/>
          <w:color w:val="000000" w:themeColor="text1"/>
          <w:sz w:val="20"/>
          <w:lang w:val="hr-HR" w:eastAsia="hr-HR"/>
        </w:rPr>
        <w:t>Pravilnikom o obradi zahtjeva za izravne kredite po programu Obrtna sredstva KRIZA 2022 – mjera, koji obuhvaća i financiranje modelom podjele rizika s financijskim institucijama.</w:t>
      </w:r>
    </w:p>
    <w:p w14:paraId="76A611E2" w14:textId="77777777" w:rsidR="004E2F51" w:rsidRPr="009115D8" w:rsidRDefault="004E2F51" w:rsidP="004E2F51">
      <w:pPr>
        <w:spacing w:line="200" w:lineRule="exact"/>
        <w:rPr>
          <w:rFonts w:ascii="Arial" w:hAnsi="Arial" w:cstheme="minorHAnsi"/>
          <w:sz w:val="12"/>
          <w:szCs w:val="12"/>
          <w:lang w:val="hr-HR"/>
        </w:rPr>
      </w:pPr>
    </w:p>
    <w:p w14:paraId="5C090948" w14:textId="77777777" w:rsidR="004E2F51" w:rsidRPr="00B37DA4" w:rsidRDefault="004E2F51" w:rsidP="004E2F51">
      <w:pPr>
        <w:spacing w:line="240" w:lineRule="exact"/>
        <w:jc w:val="both"/>
        <w:rPr>
          <w:rFonts w:ascii="Arial" w:hAnsi="Arial" w:cs="Calibri"/>
          <w:bCs/>
          <w:color w:val="222222"/>
          <w:sz w:val="20"/>
          <w:lang w:val="hr-HR" w:eastAsia="hr-HR"/>
        </w:rPr>
      </w:pPr>
      <w:r w:rsidRPr="00B37DA4">
        <w:rPr>
          <w:rFonts w:ascii="Arial" w:hAnsi="Arial" w:cs="Calibri"/>
          <w:bCs/>
          <w:color w:val="222222"/>
          <w:sz w:val="20"/>
          <w:lang w:val="hr-HR" w:eastAsia="hr-HR"/>
        </w:rPr>
        <w:t xml:space="preserve">Iako je dugoročnu razinu utjecaja ove krize na poslovanje Grupe trenutno teško kvantificirati, Grupa HBOR ima visoku kapitaliziranost i likvidnost kao i odgovarajuću razinu rezerviranja za izloženosti te Uprava procjenjuje da je kontinuitet poslovanja Grupe HBOR i HBOR-a neupitan. </w:t>
      </w:r>
    </w:p>
    <w:p w14:paraId="61B5E47F" w14:textId="77777777" w:rsidR="004E2F51" w:rsidRPr="009115D8" w:rsidRDefault="004E2F51" w:rsidP="004E2F51">
      <w:pPr>
        <w:spacing w:line="200" w:lineRule="exact"/>
        <w:jc w:val="both"/>
        <w:rPr>
          <w:rFonts w:ascii="Arial" w:hAnsi="Arial" w:cs="Calibri"/>
          <w:bCs/>
          <w:color w:val="222222"/>
          <w:sz w:val="10"/>
          <w:szCs w:val="10"/>
          <w:lang w:val="hr-HR" w:eastAsia="hr-HR"/>
        </w:rPr>
      </w:pPr>
    </w:p>
    <w:p w14:paraId="1A0BD812" w14:textId="4B972872" w:rsidR="004E2F51" w:rsidRPr="00B37DA4" w:rsidRDefault="004E2F51" w:rsidP="004E2F51">
      <w:pPr>
        <w:pStyle w:val="NormalWeb"/>
        <w:spacing w:before="0" w:beforeAutospacing="0" w:after="0" w:afterAutospacing="0"/>
        <w:jc w:val="both"/>
        <w:rPr>
          <w:rFonts w:ascii="Arial" w:hAnsi="Arial" w:cs="Calibri"/>
          <w:bCs/>
          <w:spacing w:val="-3"/>
          <w:sz w:val="20"/>
          <w:lang w:val="hr-HR"/>
        </w:rPr>
      </w:pPr>
      <w:r w:rsidRPr="00B37DA4">
        <w:rPr>
          <w:rFonts w:ascii="Arial" w:hAnsi="Arial" w:cs="Calibri"/>
          <w:bCs/>
          <w:spacing w:val="-3"/>
          <w:sz w:val="20"/>
          <w:lang w:val="hr-HR"/>
        </w:rPr>
        <w:t>Grupu HBOR čine HBOR kao matično društvo te ovisna društva: Hrvatsko kreditno osiguranje d.d. (u daljnjem tekstu HKO) i Poslovni info servis d.o.o. koja zajedno čine Grupu HKO, što iznosi 0,</w:t>
      </w:r>
      <w:r>
        <w:rPr>
          <w:rFonts w:ascii="Arial" w:hAnsi="Arial" w:cs="Calibri"/>
          <w:bCs/>
          <w:spacing w:val="-3"/>
          <w:sz w:val="20"/>
          <w:lang w:val="hr-HR"/>
        </w:rPr>
        <w:t>3</w:t>
      </w:r>
      <w:r w:rsidRPr="00B37DA4">
        <w:rPr>
          <w:rFonts w:ascii="Arial" w:hAnsi="Arial" w:cs="Calibri"/>
          <w:bCs/>
          <w:spacing w:val="-3"/>
          <w:sz w:val="20"/>
          <w:lang w:val="hr-HR"/>
        </w:rPr>
        <w:t>% ukupne imovine matičnog društva. Uprava ovisnih društava poduzima potrebne mjere kako bi se smanjili negativni efekti invazije na Ukr</w:t>
      </w:r>
      <w:r w:rsidR="00856CC8">
        <w:rPr>
          <w:rFonts w:ascii="Arial" w:hAnsi="Arial" w:cs="Calibri"/>
          <w:bCs/>
          <w:spacing w:val="-3"/>
          <w:sz w:val="20"/>
          <w:lang w:val="hr-HR"/>
        </w:rPr>
        <w:t>a</w:t>
      </w:r>
      <w:r w:rsidRPr="00B37DA4">
        <w:rPr>
          <w:rFonts w:ascii="Arial" w:hAnsi="Arial" w:cs="Calibri"/>
          <w:bCs/>
          <w:spacing w:val="-3"/>
          <w:sz w:val="20"/>
          <w:lang w:val="hr-HR"/>
        </w:rPr>
        <w:t>jinu.</w:t>
      </w:r>
    </w:p>
    <w:p w14:paraId="536CEEA6" w14:textId="77777777" w:rsidR="004E2F51" w:rsidRPr="004B4498" w:rsidRDefault="004E2F51" w:rsidP="004E2F51">
      <w:pPr>
        <w:pStyle w:val="NormalWeb"/>
        <w:spacing w:before="0" w:beforeAutospacing="0" w:after="0" w:afterAutospacing="0"/>
        <w:jc w:val="both"/>
        <w:rPr>
          <w:rFonts w:ascii="Arial" w:hAnsi="Arial" w:cs="Arial"/>
          <w:bCs/>
          <w:color w:val="222222"/>
          <w:sz w:val="20"/>
          <w:szCs w:val="20"/>
          <w:lang w:val="hr-HR"/>
        </w:rPr>
        <w:sectPr w:rsidR="004E2F51" w:rsidRPr="004B4498" w:rsidSect="00623DBA">
          <w:footerReference w:type="default" r:id="rId84"/>
          <w:pgSz w:w="11907" w:h="16840" w:code="9"/>
          <w:pgMar w:top="1418" w:right="992" w:bottom="1134" w:left="1418" w:header="851" w:footer="851" w:gutter="0"/>
          <w:cols w:space="720"/>
          <w:noEndnote/>
        </w:sectPr>
      </w:pPr>
    </w:p>
    <w:p w14:paraId="150C346B" w14:textId="77777777" w:rsidR="004E2F51" w:rsidRPr="004B4498" w:rsidRDefault="004E2F51" w:rsidP="004E2F51">
      <w:pPr>
        <w:tabs>
          <w:tab w:val="left" w:pos="567"/>
        </w:tabs>
        <w:jc w:val="both"/>
        <w:rPr>
          <w:rFonts w:ascii="Arial" w:hAnsi="Arial" w:cs="Arial"/>
          <w:b/>
          <w:color w:val="000000" w:themeColor="text1"/>
          <w:sz w:val="20"/>
          <w:szCs w:val="20"/>
          <w:lang w:val="hr-HR" w:eastAsia="hr-HR"/>
        </w:rPr>
      </w:pPr>
    </w:p>
    <w:p w14:paraId="1043A5BF" w14:textId="77777777" w:rsidR="004E2F51" w:rsidRPr="004B4498" w:rsidRDefault="004E2F51" w:rsidP="004E2F51">
      <w:pPr>
        <w:tabs>
          <w:tab w:val="left" w:pos="567"/>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2.</w:t>
      </w:r>
      <w:r w:rsidRPr="004B4498">
        <w:rPr>
          <w:rFonts w:ascii="Arial" w:hAnsi="Arial" w:cs="Arial"/>
          <w:b/>
          <w:color w:val="000000" w:themeColor="text1"/>
          <w:sz w:val="20"/>
          <w:szCs w:val="20"/>
          <w:lang w:val="hr-HR" w:eastAsia="hr-HR"/>
        </w:rPr>
        <w:tab/>
        <w:t xml:space="preserve">Temelj za sastavljanje financijskih izvještaja </w:t>
      </w:r>
    </w:p>
    <w:p w14:paraId="0E3A3EB2" w14:textId="77777777" w:rsidR="004E2F51" w:rsidRPr="004B4498" w:rsidRDefault="004E2F51" w:rsidP="004E2F51">
      <w:pPr>
        <w:jc w:val="both"/>
        <w:rPr>
          <w:rFonts w:ascii="Arial" w:hAnsi="Arial" w:cs="Arial"/>
          <w:b/>
          <w:color w:val="000000" w:themeColor="text1"/>
          <w:sz w:val="20"/>
          <w:szCs w:val="20"/>
          <w:lang w:val="hr-HR" w:eastAsia="hr-HR"/>
        </w:rPr>
      </w:pPr>
    </w:p>
    <w:p w14:paraId="6B83EFE1" w14:textId="77777777" w:rsidR="004E2F51" w:rsidRPr="004B4498" w:rsidRDefault="004E2F51" w:rsidP="004E2F51">
      <w:pPr>
        <w:tabs>
          <w:tab w:val="left" w:pos="567"/>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2.1.</w:t>
      </w:r>
      <w:r w:rsidRPr="004B4498">
        <w:rPr>
          <w:rFonts w:ascii="Arial" w:hAnsi="Arial" w:cs="Arial"/>
          <w:b/>
          <w:color w:val="000000" w:themeColor="text1"/>
          <w:sz w:val="20"/>
          <w:szCs w:val="20"/>
          <w:lang w:val="hr-HR" w:eastAsia="hr-HR"/>
        </w:rPr>
        <w:tab/>
        <w:t>Izjava o usklađenosti</w:t>
      </w:r>
    </w:p>
    <w:p w14:paraId="3F9673F0" w14:textId="77777777" w:rsidR="004E2F51" w:rsidRPr="004B4498" w:rsidRDefault="004E2F51" w:rsidP="004E2F51">
      <w:pPr>
        <w:jc w:val="both"/>
        <w:rPr>
          <w:rFonts w:ascii="Arial" w:hAnsi="Arial" w:cs="Arial"/>
          <w:color w:val="000000" w:themeColor="text1"/>
          <w:sz w:val="20"/>
          <w:szCs w:val="20"/>
          <w:lang w:val="hr-HR"/>
        </w:rPr>
      </w:pPr>
    </w:p>
    <w:p w14:paraId="09EA98EE" w14:textId="19F1BECE" w:rsidR="004E2F51" w:rsidRPr="00A65BD5" w:rsidRDefault="004E2F51" w:rsidP="004E2F51">
      <w:pPr>
        <w:jc w:val="both"/>
        <w:rPr>
          <w:rFonts w:ascii="Arial" w:hAnsi="Arial" w:cs="Arial"/>
          <w:color w:val="000000" w:themeColor="text1"/>
          <w:sz w:val="20"/>
          <w:szCs w:val="20"/>
          <w:lang w:val="hr-HR"/>
        </w:rPr>
      </w:pPr>
      <w:r w:rsidRPr="00A65BD5">
        <w:rPr>
          <w:rFonts w:ascii="Arial" w:hAnsi="Arial" w:cs="Arial"/>
          <w:color w:val="000000" w:themeColor="text1"/>
          <w:sz w:val="20"/>
          <w:szCs w:val="20"/>
          <w:lang w:val="hr-HR"/>
        </w:rPr>
        <w:t>Ovi konsolidirani i odvojeni financijski izvještaji pripremljeni su u skladu s Međunarodnim standardima financijskog izvještavanja usvojenim od strane EU. Odobreni su za izdavanje od strane Uprave Banke dana 2</w:t>
      </w:r>
      <w:r w:rsidR="00E9699B">
        <w:rPr>
          <w:rFonts w:ascii="Arial" w:hAnsi="Arial" w:cs="Arial"/>
          <w:color w:val="000000" w:themeColor="text1"/>
          <w:sz w:val="20"/>
          <w:szCs w:val="20"/>
          <w:lang w:val="hr-HR"/>
        </w:rPr>
        <w:t>3</w:t>
      </w:r>
      <w:r w:rsidRPr="00A65BD5">
        <w:rPr>
          <w:rFonts w:ascii="Arial" w:hAnsi="Arial" w:cs="Arial"/>
          <w:color w:val="000000" w:themeColor="text1"/>
          <w:sz w:val="20"/>
          <w:szCs w:val="20"/>
          <w:lang w:val="hr-HR"/>
        </w:rPr>
        <w:t>. ožujka 2023.</w:t>
      </w:r>
    </w:p>
    <w:p w14:paraId="07F994AB" w14:textId="77777777" w:rsidR="004E2F51" w:rsidRPr="00A65BD5" w:rsidRDefault="004E2F51" w:rsidP="004E2F51">
      <w:pPr>
        <w:jc w:val="both"/>
        <w:rPr>
          <w:rFonts w:ascii="Arial" w:hAnsi="Arial" w:cs="Arial"/>
          <w:color w:val="000000" w:themeColor="text1"/>
          <w:sz w:val="20"/>
          <w:szCs w:val="20"/>
          <w:lang w:val="hr-HR" w:eastAsia="hr-HR"/>
        </w:rPr>
      </w:pPr>
    </w:p>
    <w:p w14:paraId="0CC90C10" w14:textId="77777777" w:rsidR="004E2F51" w:rsidRPr="00A65BD5"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A65BD5">
        <w:rPr>
          <w:rFonts w:ascii="Arial" w:hAnsi="Arial" w:cs="Arial"/>
          <w:b/>
          <w:color w:val="000000" w:themeColor="text1"/>
          <w:sz w:val="20"/>
          <w:szCs w:val="20"/>
          <w:lang w:val="hr-HR" w:eastAsia="hr-HR"/>
        </w:rPr>
        <w:t>2.2.</w:t>
      </w:r>
      <w:r w:rsidRPr="00A65BD5">
        <w:rPr>
          <w:rFonts w:ascii="Arial" w:hAnsi="Arial" w:cs="Arial"/>
          <w:b/>
          <w:color w:val="000000" w:themeColor="text1"/>
          <w:sz w:val="20"/>
          <w:szCs w:val="20"/>
          <w:lang w:val="hr-HR" w:eastAsia="hr-HR"/>
        </w:rPr>
        <w:tab/>
        <w:t>Mjerenje</w:t>
      </w:r>
    </w:p>
    <w:p w14:paraId="17E06E2C" w14:textId="77777777" w:rsidR="004E2F51" w:rsidRPr="00A65BD5" w:rsidRDefault="004E2F51" w:rsidP="004E2F51">
      <w:pPr>
        <w:jc w:val="both"/>
        <w:rPr>
          <w:rFonts w:ascii="Arial" w:hAnsi="Arial" w:cs="Arial"/>
          <w:color w:val="000000" w:themeColor="text1"/>
          <w:sz w:val="20"/>
          <w:szCs w:val="20"/>
          <w:lang w:val="hr-HR" w:eastAsia="hr-HR"/>
        </w:rPr>
      </w:pPr>
    </w:p>
    <w:p w14:paraId="17EF55D8" w14:textId="77777777" w:rsidR="004E2F51" w:rsidRPr="00A65BD5" w:rsidRDefault="004E2F51" w:rsidP="004E2F51">
      <w:pPr>
        <w:jc w:val="both"/>
        <w:rPr>
          <w:rFonts w:ascii="Arial" w:hAnsi="Arial" w:cs="Arial"/>
          <w:color w:val="000000" w:themeColor="text1"/>
          <w:sz w:val="20"/>
          <w:szCs w:val="20"/>
          <w:lang w:val="hr-HR"/>
        </w:rPr>
      </w:pPr>
      <w:r w:rsidRPr="00A65BD5">
        <w:rPr>
          <w:rFonts w:ascii="Arial" w:hAnsi="Arial" w:cs="Arial"/>
          <w:color w:val="000000" w:themeColor="text1"/>
          <w:sz w:val="20"/>
          <w:szCs w:val="20"/>
          <w:lang w:val="hr-HR" w:eastAsia="hr-HR"/>
        </w:rPr>
        <w:t>Financijski izvještaji sastavljeni su na osnovi fer vrijednosti financijske imovine i obveza po fer vrijednosti kroz dobit ili gubitak i financijske imovine po fer vrijednosti kroz ostalu sveobuhvatnu dobit. Ostala financijska imovina i obveze te nefinancijska imovina i obveze iskazani su po amortiziranom ili povijesnom trošku.</w:t>
      </w:r>
    </w:p>
    <w:p w14:paraId="53BCFA5D" w14:textId="77777777" w:rsidR="004E2F51" w:rsidRPr="00A65BD5" w:rsidRDefault="004E2F51" w:rsidP="004E2F51">
      <w:pPr>
        <w:ind w:right="27"/>
        <w:jc w:val="both"/>
        <w:rPr>
          <w:rFonts w:ascii="Arial" w:hAnsi="Arial" w:cs="Arial"/>
          <w:color w:val="000000" w:themeColor="text1"/>
          <w:sz w:val="20"/>
          <w:szCs w:val="20"/>
          <w:lang w:val="hr-HR" w:eastAsia="hr-HR"/>
        </w:rPr>
      </w:pPr>
    </w:p>
    <w:p w14:paraId="13DD92C9" w14:textId="77777777" w:rsidR="004E2F51" w:rsidRPr="004B4498" w:rsidRDefault="004E2F51" w:rsidP="004E2F51">
      <w:pPr>
        <w:ind w:right="27"/>
        <w:jc w:val="both"/>
        <w:rPr>
          <w:rFonts w:ascii="Arial" w:hAnsi="Arial" w:cs="Arial"/>
          <w:color w:val="000000" w:themeColor="text1"/>
          <w:sz w:val="20"/>
          <w:szCs w:val="20"/>
          <w:lang w:val="hr-HR" w:eastAsia="hr-HR"/>
        </w:rPr>
      </w:pPr>
      <w:r w:rsidRPr="00A65BD5">
        <w:rPr>
          <w:rFonts w:ascii="Arial" w:hAnsi="Arial" w:cs="Arial"/>
          <w:color w:val="000000" w:themeColor="text1"/>
          <w:sz w:val="20"/>
          <w:szCs w:val="20"/>
          <w:lang w:val="hr-HR" w:eastAsia="hr-HR"/>
        </w:rPr>
        <w:t>Financijski izvještaji sastavljeni su po načelu nastanka događaja kao i pod pretpostavkom vremenske neograničenosti poslovanja.</w:t>
      </w:r>
    </w:p>
    <w:p w14:paraId="3654EA0F" w14:textId="77777777" w:rsidR="004E2F51" w:rsidRPr="004B4498" w:rsidRDefault="004E2F51" w:rsidP="004E2F51">
      <w:pPr>
        <w:ind w:right="27"/>
        <w:jc w:val="both"/>
        <w:rPr>
          <w:rFonts w:ascii="Arial" w:hAnsi="Arial" w:cs="Arial"/>
          <w:color w:val="000000" w:themeColor="text1"/>
          <w:sz w:val="20"/>
          <w:szCs w:val="20"/>
          <w:lang w:val="hr-HR" w:eastAsia="hr-HR"/>
        </w:rPr>
      </w:pPr>
    </w:p>
    <w:p w14:paraId="72A40E66" w14:textId="77777777" w:rsidR="004E2F51" w:rsidRPr="00F757E5"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F757E5">
        <w:rPr>
          <w:rFonts w:ascii="Arial" w:hAnsi="Arial" w:cs="Arial"/>
          <w:b/>
          <w:color w:val="000000" w:themeColor="text1"/>
          <w:sz w:val="20"/>
          <w:szCs w:val="20"/>
          <w:lang w:val="hr-HR" w:eastAsia="hr-HR"/>
        </w:rPr>
        <w:t>2.3.</w:t>
      </w:r>
      <w:r w:rsidRPr="00F757E5">
        <w:rPr>
          <w:rFonts w:ascii="Arial" w:hAnsi="Arial" w:cs="Arial"/>
          <w:b/>
          <w:color w:val="000000" w:themeColor="text1"/>
          <w:sz w:val="20"/>
          <w:szCs w:val="20"/>
          <w:lang w:val="hr-HR" w:eastAsia="hr-HR"/>
        </w:rPr>
        <w:tab/>
        <w:t>Funkci</w:t>
      </w:r>
      <w:r>
        <w:rPr>
          <w:rFonts w:ascii="Arial" w:hAnsi="Arial" w:cs="Arial"/>
          <w:b/>
          <w:color w:val="000000" w:themeColor="text1"/>
          <w:sz w:val="20"/>
          <w:szCs w:val="20"/>
          <w:lang w:val="hr-HR" w:eastAsia="hr-HR"/>
        </w:rPr>
        <w:t>onalna</w:t>
      </w:r>
      <w:r w:rsidRPr="00F757E5">
        <w:rPr>
          <w:rFonts w:ascii="Arial" w:hAnsi="Arial" w:cs="Arial"/>
          <w:b/>
          <w:color w:val="000000" w:themeColor="text1"/>
          <w:sz w:val="20"/>
          <w:szCs w:val="20"/>
          <w:lang w:val="hr-HR" w:eastAsia="hr-HR"/>
        </w:rPr>
        <w:t xml:space="preserve"> i prezentacijska valuta</w:t>
      </w:r>
    </w:p>
    <w:p w14:paraId="1AC94DCD"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highlight w:val="yellow"/>
          <w:lang w:val="hr-HR" w:eastAsia="hr-HR"/>
        </w:rPr>
      </w:pPr>
    </w:p>
    <w:p w14:paraId="37BA76EF" w14:textId="77777777" w:rsidR="004E2F51" w:rsidRDefault="004E2F51" w:rsidP="004E2F51">
      <w:pPr>
        <w:jc w:val="both"/>
        <w:rPr>
          <w:rFonts w:ascii="Arial" w:hAnsi="Arial" w:cs="Arial"/>
          <w:color w:val="000000" w:themeColor="text1"/>
          <w:sz w:val="20"/>
          <w:szCs w:val="20"/>
          <w:lang w:val="hr-HR" w:eastAsia="hr-HR"/>
        </w:rPr>
      </w:pPr>
      <w:r w:rsidRPr="00B37DA4">
        <w:rPr>
          <w:rFonts w:ascii="Arial" w:hAnsi="Arial" w:cs="Arial"/>
          <w:color w:val="000000" w:themeColor="text1"/>
          <w:sz w:val="20"/>
          <w:szCs w:val="20"/>
          <w:lang w:val="hr-HR" w:eastAsia="hr-HR"/>
        </w:rPr>
        <w:t>Ovi financijski izvještaji Banke i Grupe iskazani su u hrvatskim kunama (“kn”), što je funkcionalna</w:t>
      </w:r>
      <w:r>
        <w:rPr>
          <w:rFonts w:ascii="Arial" w:hAnsi="Arial" w:cs="Arial"/>
          <w:color w:val="000000" w:themeColor="text1"/>
          <w:sz w:val="20"/>
          <w:szCs w:val="20"/>
          <w:lang w:val="hr-HR" w:eastAsia="hr-HR"/>
        </w:rPr>
        <w:t xml:space="preserve"> i prezentacijska</w:t>
      </w:r>
      <w:r w:rsidRPr="00B37DA4">
        <w:rPr>
          <w:rFonts w:ascii="Arial" w:hAnsi="Arial" w:cs="Arial"/>
          <w:color w:val="000000" w:themeColor="text1"/>
          <w:sz w:val="20"/>
          <w:szCs w:val="20"/>
          <w:lang w:val="hr-HR" w:eastAsia="hr-HR"/>
        </w:rPr>
        <w:t xml:space="preserve"> valuta Banke do 31. prosinca 2022.</w:t>
      </w:r>
      <w:r>
        <w:rPr>
          <w:rFonts w:ascii="Arial" w:hAnsi="Arial" w:cs="Arial"/>
          <w:color w:val="000000" w:themeColor="text1"/>
          <w:sz w:val="20"/>
          <w:szCs w:val="20"/>
          <w:lang w:val="hr-HR" w:eastAsia="hr-HR"/>
        </w:rPr>
        <w:t xml:space="preserve"> </w:t>
      </w:r>
      <w:r w:rsidRPr="00B37DA4">
        <w:rPr>
          <w:rFonts w:ascii="Arial" w:hAnsi="Arial" w:cs="Arial"/>
          <w:color w:val="000000" w:themeColor="text1"/>
          <w:sz w:val="20"/>
          <w:szCs w:val="20"/>
          <w:lang w:val="hr-HR" w:eastAsia="hr-HR"/>
        </w:rPr>
        <w:t>godine. Iznosi su zaokruženi na najbližu tisuću, osim ako nije drugačije navedeno</w:t>
      </w:r>
      <w:r>
        <w:rPr>
          <w:rFonts w:ascii="Arial" w:hAnsi="Arial" w:cs="Arial"/>
          <w:color w:val="000000" w:themeColor="text1"/>
          <w:sz w:val="20"/>
          <w:szCs w:val="20"/>
          <w:lang w:val="hr-HR" w:eastAsia="hr-HR"/>
        </w:rPr>
        <w:t>.</w:t>
      </w:r>
    </w:p>
    <w:p w14:paraId="077170EA" w14:textId="77777777" w:rsidR="004E2F51" w:rsidRPr="004B4498" w:rsidRDefault="004E2F51" w:rsidP="004E2F51">
      <w:pPr>
        <w:jc w:val="both"/>
        <w:rPr>
          <w:rFonts w:ascii="Arial" w:hAnsi="Arial" w:cs="Arial"/>
          <w:color w:val="000000" w:themeColor="text1"/>
          <w:sz w:val="20"/>
          <w:szCs w:val="20"/>
          <w:lang w:val="hr-HR"/>
        </w:rPr>
      </w:pPr>
    </w:p>
    <w:p w14:paraId="26057C6E"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 xml:space="preserve">3. </w:t>
      </w:r>
      <w:r w:rsidRPr="004B4498">
        <w:rPr>
          <w:rFonts w:ascii="Arial" w:hAnsi="Arial" w:cs="Arial"/>
          <w:b/>
          <w:color w:val="000000" w:themeColor="text1"/>
          <w:sz w:val="20"/>
          <w:szCs w:val="20"/>
          <w:lang w:val="hr-HR" w:eastAsia="hr-HR"/>
        </w:rPr>
        <w:tab/>
        <w:t>Korištenje prosudbi i procjena</w:t>
      </w:r>
    </w:p>
    <w:p w14:paraId="3B833D03"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34C866A5"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Prilikom pripreme konsolidiranih i odvojenih financijskih izvještaja u skladu s MSFI-jevima usvojenim od strane EU, poslovodstvo donosi prosudbe, procjene i pretpostavke koje utječu na primjenu politika i iskazane iznose imovine i obveza, objavu potencijalnih i preuzetih obveza na datum izvještavanja, kao i iznose prihoda i rashoda za razdoblje. Procjene i uz njih vezane pretpostavke zasnivaju se na povijesnom iskustvu i raznim drugim čimbenicima za koje se smatra da su razumni u danim uvjetima i uz raspoložive informacije na datum izrade financijskih izvještaja, a koji zajedno čine osnovu za prosuđivanje knjigovodstvene vrijednosti imovine i obveza koja nije lako utvrdiva iz drugih izvora. Stvarni rezultati mogu se razlikovati od ovih procjena. Procjene i uz njih vezane pretpostavke kontinuirano se pregledavaju. Izmjene računovodstvenih procjena priznaju se u razdoblju u kojem je procjena izmijenjena ukoliko izmjena utječe samo na to razdoblje, ili u razdoblju izmjene i budućim razdobljima ako izmjena utječe na tekuće i buduća razdoblja.</w:t>
      </w:r>
    </w:p>
    <w:p w14:paraId="07169785" w14:textId="77777777" w:rsidR="004E2F51" w:rsidRPr="004B4498" w:rsidRDefault="004E2F51" w:rsidP="004E2F51">
      <w:pPr>
        <w:pStyle w:val="ListParagraph"/>
        <w:ind w:left="0"/>
        <w:jc w:val="both"/>
        <w:rPr>
          <w:rFonts w:ascii="Arial" w:hAnsi="Arial" w:cs="Arial"/>
          <w:color w:val="000000" w:themeColor="text1"/>
          <w:sz w:val="20"/>
          <w:szCs w:val="20"/>
          <w:lang w:val="hr-HR" w:eastAsia="hr-HR"/>
        </w:rPr>
      </w:pPr>
    </w:p>
    <w:p w14:paraId="08BF790D" w14:textId="77777777" w:rsidR="004E2F51" w:rsidRPr="004B4498" w:rsidRDefault="004E2F51" w:rsidP="004E2F51">
      <w:pPr>
        <w:pStyle w:val="ListParagraph"/>
        <w:ind w:left="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Procjene i temeljne pretpostavke kontinuirano se preispituju. Promjene procjena priznaju se prospektivno.</w:t>
      </w:r>
    </w:p>
    <w:p w14:paraId="34938FE3"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0"/>
          <w:szCs w:val="20"/>
          <w:highlight w:val="yellow"/>
          <w:lang w:val="hr-HR" w:eastAsia="hr-HR"/>
        </w:rPr>
      </w:pPr>
    </w:p>
    <w:p w14:paraId="1C03B8BB"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0"/>
          <w:szCs w:val="20"/>
          <w:lang w:val="hr-HR" w:eastAsia="hr-HR"/>
        </w:rPr>
      </w:pPr>
      <w:r w:rsidRPr="004B4498">
        <w:rPr>
          <w:rFonts w:ascii="Arial" w:hAnsi="Arial" w:cs="Arial"/>
          <w:i/>
          <w:sz w:val="20"/>
          <w:szCs w:val="20"/>
          <w:lang w:val="hr-HR" w:eastAsia="hr-HR"/>
        </w:rPr>
        <w:t>Prosudbe</w:t>
      </w:r>
    </w:p>
    <w:p w14:paraId="55D2996D" w14:textId="77777777" w:rsidR="004E2F51" w:rsidRPr="00A873BB" w:rsidRDefault="004E2F51">
      <w:pPr>
        <w:pStyle w:val="ListParagraph"/>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ind w:left="720"/>
        <w:jc w:val="both"/>
        <w:rPr>
          <w:rFonts w:ascii="Arial" w:hAnsi="Arial" w:cs="Arial"/>
          <w:sz w:val="20"/>
          <w:szCs w:val="20"/>
          <w:lang w:val="hr-HR" w:eastAsia="hr-HR"/>
        </w:rPr>
      </w:pPr>
      <w:r w:rsidRPr="004B4498">
        <w:rPr>
          <w:rFonts w:ascii="Arial" w:hAnsi="Arial" w:cs="Arial"/>
          <w:sz w:val="20"/>
          <w:szCs w:val="20"/>
          <w:lang w:val="hr-HR" w:eastAsia="hr-HR"/>
        </w:rPr>
        <w:t xml:space="preserve">klasifikacija financijske imovine: procjena poslovnog modela u kojem se drži imovina i procjena da li ugovorni uvjeti financijske imovine prolaze SPPI test na preostali </w:t>
      </w:r>
      <w:r w:rsidRPr="00A873BB">
        <w:rPr>
          <w:rFonts w:ascii="Arial" w:hAnsi="Arial" w:cs="Arial"/>
          <w:sz w:val="20"/>
          <w:szCs w:val="20"/>
          <w:lang w:val="hr-HR" w:eastAsia="hr-HR"/>
        </w:rPr>
        <w:t>iznos glavnice (bilješka 4.1.G.ii.).</w:t>
      </w:r>
    </w:p>
    <w:p w14:paraId="0B54CCFB" w14:textId="77777777" w:rsidR="004E2F51" w:rsidRPr="00A873BB" w:rsidRDefault="004E2F51">
      <w:pPr>
        <w:pStyle w:val="ListParagraph"/>
        <w:numPr>
          <w:ilvl w:val="0"/>
          <w:numId w:val="61"/>
        </w:numPr>
        <w:suppressAutoHyphens w:val="0"/>
        <w:autoSpaceDN/>
        <w:ind w:left="720"/>
        <w:jc w:val="both"/>
        <w:rPr>
          <w:rFonts w:ascii="Arial" w:hAnsi="Arial" w:cs="Arial"/>
          <w:sz w:val="20"/>
          <w:szCs w:val="20"/>
          <w:lang w:val="hr-HR" w:eastAsia="hr-HR"/>
        </w:rPr>
      </w:pPr>
      <w:r w:rsidRPr="00A873BB">
        <w:rPr>
          <w:rFonts w:ascii="Arial" w:hAnsi="Arial" w:cs="Arial"/>
          <w:sz w:val="20"/>
          <w:szCs w:val="20"/>
          <w:lang w:val="hr-HR" w:eastAsia="hr-HR"/>
        </w:rPr>
        <w:t>utvrđivanje kriterija za određivanje je li kreditni rizik financijske imovine značajno povećan od početnog priznavanja, određivanje metodologije za uključivanje informacija koje se odnose na budućnost u mjerenje očekivanih kreditnih gubitaka te odabir i odobrenje modela za mjerenje očekivanih kreditnih gubitaka.</w:t>
      </w:r>
    </w:p>
    <w:p w14:paraId="4F487F9E" w14:textId="77777777" w:rsidR="004E2F51" w:rsidRPr="00A873BB" w:rsidRDefault="004E2F51">
      <w:pPr>
        <w:pStyle w:val="ListParagraph"/>
        <w:numPr>
          <w:ilvl w:val="0"/>
          <w:numId w:val="61"/>
        </w:numPr>
        <w:suppressAutoHyphens w:val="0"/>
        <w:autoSpaceDN/>
        <w:ind w:left="720"/>
        <w:jc w:val="both"/>
        <w:rPr>
          <w:rFonts w:ascii="Arial" w:hAnsi="Arial" w:cs="Arial"/>
          <w:sz w:val="20"/>
          <w:szCs w:val="20"/>
          <w:lang w:val="hr-HR" w:eastAsia="hr-HR"/>
        </w:rPr>
        <w:sectPr w:rsidR="004E2F51" w:rsidRPr="00A873BB" w:rsidSect="00F625B3">
          <w:footerReference w:type="default" r:id="rId85"/>
          <w:pgSz w:w="11907" w:h="16840" w:code="9"/>
          <w:pgMar w:top="1418" w:right="992" w:bottom="1134" w:left="1418" w:header="851" w:footer="851" w:gutter="0"/>
          <w:cols w:space="720"/>
          <w:noEndnote/>
        </w:sectPr>
      </w:pPr>
      <w:r w:rsidRPr="00A873BB">
        <w:rPr>
          <w:rFonts w:ascii="Arial" w:hAnsi="Arial" w:cs="Arial"/>
          <w:sz w:val="20"/>
          <w:szCs w:val="20"/>
          <w:lang w:val="hr-HR" w:eastAsia="hr-HR"/>
        </w:rPr>
        <w:t>utvrđivanje kontrole nad društvima u koje se ulaže (bilješka 4.1.A).</w:t>
      </w:r>
    </w:p>
    <w:p w14:paraId="2B54A059" w14:textId="77777777" w:rsidR="004E2F51" w:rsidRPr="004B4498" w:rsidRDefault="004E2F51" w:rsidP="004E2F51">
      <w:pPr>
        <w:pStyle w:val="ListParagraph"/>
        <w:jc w:val="both"/>
        <w:rPr>
          <w:rFonts w:ascii="Arial" w:hAnsi="Arial" w:cs="Arial"/>
          <w:sz w:val="20"/>
          <w:szCs w:val="20"/>
          <w:lang w:val="hr-HR"/>
        </w:rPr>
      </w:pPr>
    </w:p>
    <w:p w14:paraId="689848E7"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3.</w:t>
      </w:r>
      <w:r w:rsidRPr="004B4498">
        <w:rPr>
          <w:rFonts w:ascii="Arial" w:hAnsi="Arial" w:cs="Arial"/>
          <w:b/>
          <w:color w:val="000000" w:themeColor="text1"/>
          <w:sz w:val="20"/>
          <w:szCs w:val="20"/>
          <w:lang w:val="hr-HR" w:eastAsia="hr-HR"/>
        </w:rPr>
        <w:tab/>
        <w:t>Korištenje prosudbi i procjena (nastavak)</w:t>
      </w:r>
    </w:p>
    <w:p w14:paraId="3531A634"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lang w:val="hr-HR" w:eastAsia="hr-HR"/>
        </w:rPr>
      </w:pPr>
    </w:p>
    <w:p w14:paraId="4CC1DC07"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sz w:val="20"/>
          <w:szCs w:val="20"/>
          <w:lang w:val="hr-HR" w:eastAsia="hr-HR"/>
        </w:rPr>
      </w:pPr>
      <w:r w:rsidRPr="004B4498">
        <w:rPr>
          <w:rFonts w:ascii="Arial" w:hAnsi="Arial" w:cs="Arial"/>
          <w:i/>
          <w:sz w:val="20"/>
          <w:szCs w:val="20"/>
          <w:lang w:val="hr-HR" w:eastAsia="hr-HR"/>
        </w:rPr>
        <w:t>Pretpostavke i neizvjesnosti procjene</w:t>
      </w:r>
    </w:p>
    <w:p w14:paraId="4422C8CB"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hr-HR" w:eastAsia="hr-HR"/>
        </w:rPr>
      </w:pPr>
    </w:p>
    <w:p w14:paraId="057DDBD5"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hr-HR" w:eastAsia="hr-HR"/>
        </w:rPr>
      </w:pPr>
      <w:r w:rsidRPr="004B4498">
        <w:rPr>
          <w:rFonts w:ascii="Arial" w:hAnsi="Arial" w:cs="Arial"/>
          <w:sz w:val="20"/>
          <w:szCs w:val="20"/>
          <w:lang w:val="hr-HR" w:eastAsia="hr-HR"/>
        </w:rPr>
        <w:t>Informacije o pretpostavkama i neizvjesnosti procjena koje imaju značajan rizik da će rezultirati značajnim usklađivanjem u godini koja je završila 31. prosinca 202</w:t>
      </w:r>
      <w:r>
        <w:rPr>
          <w:rFonts w:ascii="Arial" w:hAnsi="Arial" w:cs="Arial"/>
          <w:sz w:val="20"/>
          <w:szCs w:val="20"/>
          <w:lang w:val="hr-HR" w:eastAsia="hr-HR"/>
        </w:rPr>
        <w:t>2</w:t>
      </w:r>
      <w:r w:rsidRPr="004B4498">
        <w:rPr>
          <w:rFonts w:ascii="Arial" w:hAnsi="Arial" w:cs="Arial"/>
          <w:sz w:val="20"/>
          <w:szCs w:val="20"/>
          <w:lang w:val="hr-HR" w:eastAsia="hr-HR"/>
        </w:rPr>
        <w:t>. godine nalaze se u sljedećim bilješkama.</w:t>
      </w:r>
    </w:p>
    <w:p w14:paraId="486723D0" w14:textId="77777777" w:rsidR="004E2F51" w:rsidRPr="00A873BB" w:rsidRDefault="004E2F51">
      <w:pPr>
        <w:pStyle w:val="ListParagraph"/>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rPr>
          <w:rFonts w:ascii="Arial" w:hAnsi="Arial" w:cs="Arial"/>
          <w:sz w:val="20"/>
          <w:szCs w:val="20"/>
          <w:lang w:val="hr-HR" w:eastAsia="hr-HR"/>
        </w:rPr>
      </w:pPr>
      <w:r w:rsidRPr="004B4498">
        <w:rPr>
          <w:rFonts w:ascii="Arial" w:hAnsi="Arial" w:cs="Arial"/>
          <w:sz w:val="20"/>
          <w:szCs w:val="20"/>
          <w:lang w:val="hr-HR" w:eastAsia="hr-HR"/>
        </w:rPr>
        <w:t xml:space="preserve">umanjenje vrijednosti financijskih instrumenata: utvrđivanje ulaznih podataka u model mjerenja očekivanih kreditnih gubitaka, uključivanje informacija koje se odnose na budućnost (bilješka </w:t>
      </w:r>
      <w:r w:rsidRPr="00A873BB">
        <w:rPr>
          <w:rFonts w:ascii="Arial" w:hAnsi="Arial" w:cs="Arial"/>
          <w:sz w:val="20"/>
          <w:szCs w:val="20"/>
          <w:lang w:val="hr-HR" w:eastAsia="hr-HR"/>
        </w:rPr>
        <w:t>4.1.G.ix.).</w:t>
      </w:r>
    </w:p>
    <w:p w14:paraId="37D5CD90" w14:textId="77777777" w:rsidR="004E2F51" w:rsidRPr="00A873BB" w:rsidRDefault="004E2F51">
      <w:pPr>
        <w:pStyle w:val="ListParagraph"/>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rPr>
          <w:rFonts w:ascii="Arial" w:hAnsi="Arial" w:cs="Arial"/>
          <w:sz w:val="20"/>
          <w:szCs w:val="20"/>
          <w:lang w:val="hr-HR" w:eastAsia="hr-HR"/>
        </w:rPr>
      </w:pPr>
      <w:r w:rsidRPr="00A873BB">
        <w:rPr>
          <w:rFonts w:ascii="Arial" w:hAnsi="Arial" w:cs="Arial"/>
          <w:sz w:val="20"/>
          <w:szCs w:val="20"/>
          <w:lang w:val="hr-HR" w:eastAsia="hr-HR"/>
        </w:rPr>
        <w:t>umanjenje vrijednosti financijskih instrumenata: ključne pretpostavke korištene u procjeni nadoknadivih novčanih tokova (bilješka 4.1.G.ix.).</w:t>
      </w:r>
    </w:p>
    <w:p w14:paraId="203BCF7A" w14:textId="77777777" w:rsidR="004E2F51" w:rsidRPr="00A873BB" w:rsidRDefault="004E2F51">
      <w:pPr>
        <w:pStyle w:val="ListParagraph"/>
        <w:numPr>
          <w:ilvl w:val="0"/>
          <w:numId w:val="62"/>
        </w:numPr>
        <w:suppressAutoHyphens w:val="0"/>
        <w:autoSpaceDN/>
        <w:jc w:val="both"/>
        <w:rPr>
          <w:rFonts w:ascii="Arial" w:eastAsia="Calibri" w:hAnsi="Arial" w:cs="Arial"/>
          <w:sz w:val="20"/>
          <w:szCs w:val="20"/>
          <w:lang w:val="hr-HR"/>
        </w:rPr>
      </w:pPr>
      <w:r w:rsidRPr="00A873BB">
        <w:rPr>
          <w:rFonts w:ascii="Arial" w:hAnsi="Arial" w:cs="Arial"/>
          <w:sz w:val="20"/>
          <w:szCs w:val="20"/>
          <w:lang w:val="hr-HR" w:eastAsia="hr-HR"/>
        </w:rPr>
        <w:t>značajne računovodstvene procjene i prosudbe koje se odnose na primjenu MSFI-ja 9 opisane su u bilješci (bilješka 4.1.G.).</w:t>
      </w:r>
    </w:p>
    <w:p w14:paraId="31933DB5"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78B3200B"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w:t>
      </w:r>
    </w:p>
    <w:p w14:paraId="0AE1374B" w14:textId="77777777" w:rsidR="004E2F51" w:rsidRPr="00C25BBA"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7D12DDEE"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w:t>
      </w:r>
    </w:p>
    <w:p w14:paraId="57D901AC"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3B221A65" w14:textId="77777777" w:rsidR="004E2F51" w:rsidRPr="004B4498" w:rsidRDefault="004E2F51" w:rsidP="004E2F51">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Osnovne računovodstvene politike primijenjene pri sastavljanju ovih financijskih izvještaja sažete su u nastavku.</w:t>
      </w:r>
    </w:p>
    <w:p w14:paraId="265B78A6" w14:textId="77777777" w:rsidR="004E2F51" w:rsidRPr="004B4498" w:rsidRDefault="004E2F51" w:rsidP="004E2F51">
      <w:pPr>
        <w:pStyle w:val="ListParagraph"/>
        <w:ind w:left="0"/>
        <w:jc w:val="both"/>
        <w:rPr>
          <w:rFonts w:ascii="Arial" w:hAnsi="Arial" w:cs="Arial"/>
          <w:color w:val="000000" w:themeColor="text1"/>
          <w:sz w:val="20"/>
          <w:szCs w:val="20"/>
          <w:lang w:val="hr-HR" w:eastAsia="hr-HR"/>
        </w:rPr>
      </w:pPr>
    </w:p>
    <w:p w14:paraId="1E30379F" w14:textId="77777777" w:rsidR="004E2F51" w:rsidRPr="004B4498" w:rsidRDefault="004E2F51" w:rsidP="004E2F51">
      <w:pPr>
        <w:pStyle w:val="ListParagraph"/>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Grupa je dosljedno primjenjivala sljedeće računovodstvene politike na sva razdoblja iskazana u ovim odvojenim i konsolidiranim financijskim izvještajima.</w:t>
      </w:r>
    </w:p>
    <w:p w14:paraId="3AD294E5" w14:textId="77777777" w:rsidR="004E2F51" w:rsidRPr="004B4498" w:rsidRDefault="004E2F51" w:rsidP="004E2F51">
      <w:pPr>
        <w:pStyle w:val="T1"/>
        <w:tabs>
          <w:tab w:val="left" w:pos="567"/>
        </w:tabs>
        <w:spacing w:before="0" w:after="0" w:line="240" w:lineRule="auto"/>
        <w:rPr>
          <w:rFonts w:cs="Arial"/>
          <w:color w:val="000000" w:themeColor="text1"/>
          <w:sz w:val="20"/>
          <w:highlight w:val="yellow"/>
          <w:lang w:val="hr-HR"/>
        </w:rPr>
      </w:pPr>
    </w:p>
    <w:p w14:paraId="3BA6EFA1" w14:textId="77777777" w:rsidR="004E2F51" w:rsidRPr="004B4498" w:rsidRDefault="004E2F51" w:rsidP="004E2F51">
      <w:pPr>
        <w:pStyle w:val="T1"/>
        <w:tabs>
          <w:tab w:val="left" w:pos="284"/>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A.</w:t>
      </w:r>
      <w:r w:rsidRPr="004B4498">
        <w:rPr>
          <w:rFonts w:cs="Arial"/>
          <w:color w:val="000000" w:themeColor="text1"/>
          <w:sz w:val="20"/>
          <w:lang w:val="hr-HR"/>
        </w:rPr>
        <w:tab/>
        <w:t>Osnova za konsolidaciju</w:t>
      </w:r>
    </w:p>
    <w:p w14:paraId="0E43D68C" w14:textId="77777777" w:rsidR="004E2F51" w:rsidRPr="004B4498" w:rsidRDefault="004E2F51" w:rsidP="004E2F51">
      <w:pPr>
        <w:pStyle w:val="T1"/>
        <w:tabs>
          <w:tab w:val="left" w:pos="567"/>
        </w:tabs>
        <w:spacing w:before="0" w:after="0" w:line="240" w:lineRule="auto"/>
        <w:rPr>
          <w:rFonts w:cs="Arial"/>
          <w:color w:val="000000" w:themeColor="text1"/>
          <w:sz w:val="20"/>
          <w:highlight w:val="yellow"/>
          <w:lang w:val="hr-HR"/>
        </w:rPr>
      </w:pPr>
    </w:p>
    <w:p w14:paraId="5B8A7147"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Ovisna društva</w:t>
      </w:r>
    </w:p>
    <w:p w14:paraId="6928A860"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Ovisna društva su društva pod kontrolom Grupe. Grupa "kontrolira" subjekt ako je izložena ili ima prava na varijabilne povrate iz svog sudjelovanja u subjektu i ima mogućnost utjecati na te povrate kroz svoju moć nad subjektom. Grupa ponovno procjenjuje ima li kontrolu ako postoje promjene u jednom ili više elemenata kontrole. To uključuje okolnosti u kojima zaštitna prava koja se drže (npr. ona koja proizlaze iz kreditnog odnosa) postaju bitna i dovode do toga da Grupa ima vlast nad subjektom u koji ulaže.</w:t>
      </w:r>
    </w:p>
    <w:p w14:paraId="57D0672E" w14:textId="77777777" w:rsidR="004E2F51" w:rsidRPr="004B4498" w:rsidRDefault="004E2F51" w:rsidP="004E2F51">
      <w:pPr>
        <w:pStyle w:val="ListParagraph"/>
        <w:spacing w:before="120" w:after="120"/>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Financijski izvještaji ovisnih društava uključeni su u konsolidirane financijske izvještaje od datuma početka kontrole do datuma prestanka kontrole.</w:t>
      </w:r>
    </w:p>
    <w:p w14:paraId="711336A9"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Nekontrolirajući udjeli</w:t>
      </w:r>
    </w:p>
    <w:p w14:paraId="0924E144"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Nekontrolirajući udjeli mjere se prema njihovom proporcionalnom udjelu u utvrdivoj neto imovini stečenog društva na datum stjecanja.</w:t>
      </w:r>
    </w:p>
    <w:p w14:paraId="66E2A885" w14:textId="77777777" w:rsidR="004E2F51" w:rsidRPr="004B4498" w:rsidRDefault="004E2F51" w:rsidP="004E2F51">
      <w:pPr>
        <w:pStyle w:val="ListParagraph"/>
        <w:spacing w:before="120" w:after="120"/>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Promjene vlasničkog udjela Grupe u ovisnom društvu koje nemaju za posljedicu gubitak kontrole obračunavaju se kao transakcije vlasničkim kapitalom.</w:t>
      </w:r>
    </w:p>
    <w:p w14:paraId="2067E6B6"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Gubitak kontrole</w:t>
      </w:r>
    </w:p>
    <w:p w14:paraId="4D0A9947"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Kada Grupa izgubi kontrolu nad ovisnim društvima, prestaje priznavati imovinu i obveze ovisnog društva te sve povezane nekontrolirajuće udjele i ostale sastavne dijelove kapitala.</w:t>
      </w:r>
    </w:p>
    <w:p w14:paraId="2AA7055F"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eastAsia="hr-HR"/>
        </w:rPr>
        <w:sectPr w:rsidR="004E2F51" w:rsidRPr="004B4498" w:rsidSect="00F625B3">
          <w:footerReference w:type="default" r:id="rId86"/>
          <w:pgSz w:w="11907" w:h="16840" w:code="9"/>
          <w:pgMar w:top="1418" w:right="1134" w:bottom="1134" w:left="1418" w:header="851" w:footer="851" w:gutter="0"/>
          <w:cols w:space="720"/>
          <w:noEndnote/>
        </w:sectPr>
      </w:pPr>
      <w:r w:rsidRPr="004B4498">
        <w:rPr>
          <w:rFonts w:ascii="Arial" w:hAnsi="Arial" w:cs="Arial"/>
          <w:color w:val="000000" w:themeColor="text1"/>
          <w:sz w:val="20"/>
          <w:szCs w:val="20"/>
          <w:lang w:val="hr-HR" w:eastAsia="hr-HR"/>
        </w:rPr>
        <w:t>Dobici ili gubici koji su rezultat navedenoga priznaju se u dobit ili gubitak. Pri gubitku kontrole, bilo koji udio zadržan u bivšem ovisnom društvu mjeri se po fer vrijednosti.</w:t>
      </w:r>
    </w:p>
    <w:p w14:paraId="6485D96A" w14:textId="77777777" w:rsidR="004E2F51" w:rsidRPr="004B4498" w:rsidRDefault="004E2F51" w:rsidP="004E2F51">
      <w:pPr>
        <w:pStyle w:val="ListParagraph"/>
        <w:spacing w:before="120" w:after="120"/>
        <w:ind w:left="0"/>
        <w:jc w:val="both"/>
        <w:rPr>
          <w:rFonts w:ascii="Arial" w:hAnsi="Arial" w:cs="Arial"/>
          <w:color w:val="000000" w:themeColor="text1"/>
          <w:sz w:val="20"/>
          <w:szCs w:val="20"/>
          <w:lang w:val="hr-HR"/>
        </w:rPr>
      </w:pPr>
    </w:p>
    <w:p w14:paraId="7DF2916B"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5DC1B4E0"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p>
    <w:p w14:paraId="6B44CAB7"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4921CA69"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305F08C5"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A. Osnova za konsolidaciju (nastavak)</w:t>
      </w:r>
    </w:p>
    <w:p w14:paraId="48E03340"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Transakcije eliminirane prilikom konsolidacije</w:t>
      </w:r>
    </w:p>
    <w:p w14:paraId="5C1AF53E" w14:textId="77777777" w:rsidR="004E2F51" w:rsidRPr="004B4498" w:rsidRDefault="004E2F51" w:rsidP="004E2F51">
      <w:pPr>
        <w:pStyle w:val="ListParagraph"/>
        <w:spacing w:before="120" w:after="120"/>
        <w:ind w:left="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Stanja i transakcije unutar grupe te svi nerealizirani prihodi i rashodi koji proizlaze iz transakcija unutar grupe eliminiraju se prilikom sastavljanja konsolidiranih financijskih izvještaja. Nerealizirani gubici se eliminiraju na isti način kao i nerealizirani dobici, ali samo u onoj mjeri u kojoj nema dokaza o umanjenju vrijednosti.</w:t>
      </w:r>
    </w:p>
    <w:p w14:paraId="113F20F2" w14:textId="77777777" w:rsidR="004E2F51" w:rsidRPr="004B4498" w:rsidRDefault="004E2F51" w:rsidP="004E2F51">
      <w:pPr>
        <w:pStyle w:val="ListParagraph"/>
        <w:ind w:left="0"/>
        <w:jc w:val="both"/>
        <w:rPr>
          <w:rFonts w:ascii="Arial" w:hAnsi="Arial" w:cs="Arial"/>
          <w:b/>
          <w:color w:val="000000" w:themeColor="text1"/>
          <w:sz w:val="20"/>
          <w:szCs w:val="20"/>
          <w:lang w:val="hr-HR"/>
        </w:rPr>
      </w:pPr>
    </w:p>
    <w:p w14:paraId="3DDF9A16" w14:textId="77777777" w:rsidR="004E2F51" w:rsidRPr="004B4498" w:rsidRDefault="004E2F51" w:rsidP="004E2F51">
      <w:pPr>
        <w:pStyle w:val="ListParagraph"/>
        <w:ind w:left="0"/>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B. Transakcije u inozemnim valutama i uz valutnu klauzulu</w:t>
      </w:r>
    </w:p>
    <w:p w14:paraId="46272458"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p>
    <w:p w14:paraId="66AA2274" w14:textId="77777777" w:rsidR="004E2F51" w:rsidRPr="004B4498" w:rsidRDefault="004E2F51" w:rsidP="004E2F51">
      <w:pPr>
        <w:pStyle w:val="accountingpolicytitle"/>
        <w:rPr>
          <w:rFonts w:cs="Arial"/>
          <w:b w:val="0"/>
          <w:bCs/>
          <w:color w:val="000000" w:themeColor="text1"/>
          <w:sz w:val="20"/>
          <w:lang w:val="hr-HR"/>
        </w:rPr>
      </w:pPr>
      <w:r w:rsidRPr="004B4498">
        <w:rPr>
          <w:rFonts w:cs="Arial"/>
          <w:b w:val="0"/>
          <w:bCs/>
          <w:color w:val="000000" w:themeColor="text1"/>
          <w:sz w:val="20"/>
          <w:lang w:val="hr-HR"/>
        </w:rPr>
        <w:t>Sredstva i izvori sredstava izraženi u inozemnim sredstvima plaćanja preračunavaju se u kunsku protuvrijednost po tečaju Hrvatske narodne banke važećem na izvještajni dan ili po ugovornom tečaju. Prihodi i rashodi u inozemnim sredstvima plaćanja preračunavaju se po tečaju na dan transakcije. Ostvareni prihodi i rashodi nastali preračunavanjem po tečaju knjiže se u dobit ili gubitak.</w:t>
      </w:r>
    </w:p>
    <w:p w14:paraId="27F897DB" w14:textId="77777777" w:rsidR="004E2F51" w:rsidRPr="004B4498" w:rsidRDefault="004E2F51" w:rsidP="004E2F51">
      <w:pPr>
        <w:pStyle w:val="ListParagraph"/>
        <w:ind w:left="0"/>
        <w:jc w:val="both"/>
        <w:rPr>
          <w:rFonts w:ascii="Arial" w:hAnsi="Arial" w:cs="Arial"/>
          <w:b/>
          <w:color w:val="000000" w:themeColor="text1"/>
          <w:sz w:val="20"/>
          <w:szCs w:val="20"/>
          <w:lang w:val="hr-HR"/>
        </w:rPr>
      </w:pPr>
    </w:p>
    <w:p w14:paraId="06E66CA0" w14:textId="77777777" w:rsidR="004E2F51" w:rsidRPr="004B4498" w:rsidRDefault="004E2F51" w:rsidP="004E2F51">
      <w:pPr>
        <w:pStyle w:val="accountingpolicytitle"/>
        <w:rPr>
          <w:rFonts w:cs="Arial"/>
          <w:b w:val="0"/>
          <w:bCs/>
          <w:color w:val="000000" w:themeColor="text1"/>
          <w:sz w:val="20"/>
          <w:lang w:val="hr-HR"/>
        </w:rPr>
      </w:pPr>
      <w:r w:rsidRPr="004B4498">
        <w:rPr>
          <w:rFonts w:cs="Arial"/>
          <w:b w:val="0"/>
          <w:bCs/>
          <w:color w:val="000000" w:themeColor="text1"/>
          <w:sz w:val="20"/>
          <w:lang w:val="hr-HR"/>
        </w:rPr>
        <w:t>Banka posjeduje imovinu nastalu u hrvatskim kunama koja je jednosmjernom valutnom klauzulom vezana za inozemnu valutu. Zahvaljujući toj klauzuli, Banka ima mogućnost revalorizacije imovine primjenom deviznog tečaja važećeg na dan dospijeća koji je povoljniji za Banku u usporedbi s tečajem koji je na snazi na dan nastanka imovine.</w:t>
      </w:r>
    </w:p>
    <w:p w14:paraId="50E1F537"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Tečajne razlike koje proizlaze iz preračunavanja vlasničkih ulaganja za koja je izvršen odabir prikazivanja naknadnih promjena fer vrijednosti u ostaloj sveobuhvatnoj dobiti, priznaju se u ostaloj sveobuhvatnoj dobiti. Iznosi priznati u ostaloj sveobuhvatnoj dobiti koji proizlaze iz vlasničkih ulaganja ne prenose se u dobit ili gubitak, već se zadržavaju u ostaloj sveobuhvatnoj dobiti u trenutku prestanka priznavanja.</w:t>
      </w:r>
    </w:p>
    <w:p w14:paraId="07891693" w14:textId="77777777" w:rsidR="004E2F51" w:rsidRPr="004B4498" w:rsidRDefault="004E2F51" w:rsidP="004E2F51">
      <w:pPr>
        <w:spacing w:before="120" w:after="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Valutni tečajevi osnovnih valuta koje je objavila Hrvatska narodna banka i koje su korištene u sastavljanju financijskih izvještaja na izvještajni datum su: </w:t>
      </w:r>
    </w:p>
    <w:tbl>
      <w:tblPr>
        <w:tblW w:w="5000" w:type="pct"/>
        <w:tblLook w:val="0000" w:firstRow="0" w:lastRow="0" w:firstColumn="0" w:lastColumn="0" w:noHBand="0" w:noVBand="0"/>
      </w:tblPr>
      <w:tblGrid>
        <w:gridCol w:w="2741"/>
        <w:gridCol w:w="273"/>
        <w:gridCol w:w="3190"/>
        <w:gridCol w:w="236"/>
        <w:gridCol w:w="2915"/>
      </w:tblGrid>
      <w:tr w:rsidR="004E2F51" w:rsidRPr="00C25BBA" w14:paraId="1D0C9B96" w14:textId="77777777" w:rsidTr="00E032FC">
        <w:trPr>
          <w:trHeight w:hRule="exact" w:val="392"/>
        </w:trPr>
        <w:tc>
          <w:tcPr>
            <w:tcW w:w="1465" w:type="pct"/>
            <w:vAlign w:val="center"/>
          </w:tcPr>
          <w:p w14:paraId="3133C5D8" w14:textId="77777777" w:rsidR="004E2F51" w:rsidRPr="004B4498" w:rsidRDefault="004E2F51" w:rsidP="00E032FC">
            <w:pPr>
              <w:spacing w:before="120" w:after="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31. prosinca 202</w:t>
            </w:r>
            <w:r>
              <w:rPr>
                <w:rFonts w:ascii="Arial" w:hAnsi="Arial" w:cs="Arial"/>
                <w:color w:val="000000" w:themeColor="text1"/>
                <w:sz w:val="20"/>
                <w:szCs w:val="20"/>
                <w:lang w:val="hr-HR"/>
              </w:rPr>
              <w:t>2</w:t>
            </w:r>
            <w:r w:rsidRPr="004B4498">
              <w:rPr>
                <w:rFonts w:ascii="Arial" w:hAnsi="Arial" w:cs="Arial"/>
                <w:color w:val="000000" w:themeColor="text1"/>
                <w:sz w:val="20"/>
                <w:szCs w:val="20"/>
                <w:lang w:val="hr-HR"/>
              </w:rPr>
              <w:t>.</w:t>
            </w:r>
          </w:p>
        </w:tc>
        <w:tc>
          <w:tcPr>
            <w:tcW w:w="146" w:type="pct"/>
            <w:vAlign w:val="center"/>
          </w:tcPr>
          <w:p w14:paraId="2A39AB0A" w14:textId="77777777" w:rsidR="004E2F51" w:rsidRPr="004B4498" w:rsidRDefault="004E2F51" w:rsidP="00E032FC">
            <w:pPr>
              <w:spacing w:before="120" w:after="120"/>
              <w:jc w:val="both"/>
              <w:rPr>
                <w:rFonts w:ascii="Arial" w:hAnsi="Arial" w:cs="Arial"/>
                <w:color w:val="000000" w:themeColor="text1"/>
                <w:sz w:val="20"/>
                <w:szCs w:val="20"/>
                <w:lang w:val="hr-HR"/>
              </w:rPr>
            </w:pPr>
          </w:p>
        </w:tc>
        <w:tc>
          <w:tcPr>
            <w:tcW w:w="1705" w:type="pct"/>
            <w:vAlign w:val="center"/>
          </w:tcPr>
          <w:p w14:paraId="0163619F" w14:textId="77777777" w:rsidR="004E2F51" w:rsidRPr="004B4498" w:rsidRDefault="004E2F51" w:rsidP="00E032FC">
            <w:pPr>
              <w:spacing w:before="120" w:after="120"/>
              <w:jc w:val="center"/>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1 EUR = </w:t>
            </w:r>
            <w:r w:rsidRPr="00917D61">
              <w:rPr>
                <w:rFonts w:ascii="Arial" w:hAnsi="Arial" w:cs="Arial"/>
                <w:color w:val="000000" w:themeColor="text1"/>
                <w:sz w:val="20"/>
                <w:szCs w:val="20"/>
                <w:lang w:val="hr-HR"/>
              </w:rPr>
              <w:t>7,534500</w:t>
            </w:r>
            <w:r>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kuna</w:t>
            </w:r>
          </w:p>
        </w:tc>
        <w:tc>
          <w:tcPr>
            <w:tcW w:w="126" w:type="pct"/>
            <w:vAlign w:val="center"/>
          </w:tcPr>
          <w:p w14:paraId="5CA4D312" w14:textId="77777777" w:rsidR="004E2F51" w:rsidRPr="004B4498" w:rsidRDefault="004E2F51" w:rsidP="00E032FC">
            <w:pPr>
              <w:spacing w:before="120" w:after="120"/>
              <w:jc w:val="center"/>
              <w:rPr>
                <w:rFonts w:ascii="Arial" w:hAnsi="Arial" w:cs="Arial"/>
                <w:color w:val="000000" w:themeColor="text1"/>
                <w:sz w:val="20"/>
                <w:szCs w:val="20"/>
                <w:lang w:val="hr-HR"/>
              </w:rPr>
            </w:pPr>
          </w:p>
        </w:tc>
        <w:tc>
          <w:tcPr>
            <w:tcW w:w="1558" w:type="pct"/>
            <w:vAlign w:val="center"/>
          </w:tcPr>
          <w:p w14:paraId="3A42503A" w14:textId="77777777" w:rsidR="004E2F51" w:rsidRPr="004B4498" w:rsidRDefault="004E2F51" w:rsidP="00E032FC">
            <w:pPr>
              <w:spacing w:before="120" w:after="120"/>
              <w:jc w:val="center"/>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1 USD = </w:t>
            </w:r>
            <w:r w:rsidRPr="00917D61">
              <w:rPr>
                <w:rFonts w:ascii="Arial" w:hAnsi="Arial" w:cs="Arial"/>
                <w:color w:val="000000" w:themeColor="text1"/>
                <w:sz w:val="20"/>
                <w:szCs w:val="20"/>
                <w:lang w:val="hr-HR"/>
              </w:rPr>
              <w:t>7,064035</w:t>
            </w:r>
            <w:r>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kuna</w:t>
            </w:r>
          </w:p>
        </w:tc>
      </w:tr>
      <w:tr w:rsidR="004E2F51" w:rsidRPr="00C25BBA" w14:paraId="28FC8427" w14:textId="77777777" w:rsidTr="00E032FC">
        <w:trPr>
          <w:trHeight w:hRule="exact" w:val="340"/>
        </w:trPr>
        <w:tc>
          <w:tcPr>
            <w:tcW w:w="1465" w:type="pct"/>
            <w:vAlign w:val="center"/>
          </w:tcPr>
          <w:p w14:paraId="07B98D28" w14:textId="77777777" w:rsidR="004E2F51" w:rsidRPr="004B4498" w:rsidRDefault="004E2F51" w:rsidP="00E032FC">
            <w:pPr>
              <w:jc w:val="both"/>
              <w:rPr>
                <w:rFonts w:ascii="Arial" w:hAnsi="Arial" w:cs="Arial"/>
                <w:color w:val="000000" w:themeColor="text1"/>
                <w:sz w:val="20"/>
                <w:szCs w:val="20"/>
                <w:lang w:val="hr-HR"/>
              </w:rPr>
            </w:pPr>
            <w:r w:rsidRPr="0046584E">
              <w:rPr>
                <w:rFonts w:ascii="Arial" w:hAnsi="Arial" w:cs="Arial"/>
                <w:color w:val="000000" w:themeColor="text1"/>
                <w:sz w:val="20"/>
                <w:szCs w:val="20"/>
                <w:lang w:val="hr-HR"/>
              </w:rPr>
              <w:t>31. prosinca 2021.</w:t>
            </w:r>
          </w:p>
        </w:tc>
        <w:tc>
          <w:tcPr>
            <w:tcW w:w="146" w:type="pct"/>
            <w:vAlign w:val="center"/>
          </w:tcPr>
          <w:p w14:paraId="7468EBD4" w14:textId="77777777" w:rsidR="004E2F51" w:rsidRPr="004B4498" w:rsidRDefault="004E2F51" w:rsidP="00E032FC">
            <w:pPr>
              <w:jc w:val="both"/>
              <w:rPr>
                <w:rFonts w:ascii="Arial" w:hAnsi="Arial" w:cs="Arial"/>
                <w:color w:val="000000" w:themeColor="text1"/>
                <w:sz w:val="20"/>
                <w:szCs w:val="20"/>
                <w:lang w:val="hr-HR"/>
              </w:rPr>
            </w:pPr>
          </w:p>
        </w:tc>
        <w:tc>
          <w:tcPr>
            <w:tcW w:w="1705" w:type="pct"/>
            <w:vAlign w:val="center"/>
          </w:tcPr>
          <w:p w14:paraId="782C1BF9" w14:textId="77777777" w:rsidR="004E2F51" w:rsidRPr="004B4498" w:rsidRDefault="004E2F51" w:rsidP="00E032FC">
            <w:pPr>
              <w:jc w:val="center"/>
              <w:rPr>
                <w:rFonts w:ascii="Arial" w:hAnsi="Arial" w:cs="Arial"/>
                <w:color w:val="000000" w:themeColor="text1"/>
                <w:sz w:val="20"/>
                <w:szCs w:val="20"/>
                <w:lang w:val="hr-HR"/>
              </w:rPr>
            </w:pPr>
            <w:r w:rsidRPr="0046584E">
              <w:rPr>
                <w:rFonts w:ascii="Arial" w:hAnsi="Arial" w:cs="Arial"/>
                <w:color w:val="000000" w:themeColor="text1"/>
                <w:sz w:val="20"/>
                <w:szCs w:val="20"/>
                <w:lang w:val="hr-HR"/>
              </w:rPr>
              <w:t>1 EUR = 7,517174 kuna</w:t>
            </w:r>
          </w:p>
        </w:tc>
        <w:tc>
          <w:tcPr>
            <w:tcW w:w="126" w:type="pct"/>
            <w:vAlign w:val="center"/>
          </w:tcPr>
          <w:p w14:paraId="4F3A1851" w14:textId="77777777" w:rsidR="004E2F51" w:rsidRPr="004B4498" w:rsidRDefault="004E2F51" w:rsidP="00E032FC">
            <w:pPr>
              <w:jc w:val="center"/>
              <w:rPr>
                <w:rFonts w:ascii="Arial" w:hAnsi="Arial" w:cs="Arial"/>
                <w:color w:val="000000" w:themeColor="text1"/>
                <w:sz w:val="20"/>
                <w:szCs w:val="20"/>
                <w:lang w:val="hr-HR"/>
              </w:rPr>
            </w:pPr>
          </w:p>
        </w:tc>
        <w:tc>
          <w:tcPr>
            <w:tcW w:w="1558" w:type="pct"/>
            <w:vAlign w:val="center"/>
          </w:tcPr>
          <w:p w14:paraId="02C3B4D2" w14:textId="77777777" w:rsidR="004E2F51" w:rsidRPr="004B4498" w:rsidRDefault="004E2F51" w:rsidP="00E032FC">
            <w:pPr>
              <w:jc w:val="center"/>
              <w:rPr>
                <w:rFonts w:ascii="Arial" w:hAnsi="Arial" w:cs="Arial"/>
                <w:color w:val="000000" w:themeColor="text1"/>
                <w:sz w:val="20"/>
                <w:szCs w:val="20"/>
                <w:lang w:val="hr-HR"/>
              </w:rPr>
            </w:pPr>
            <w:r w:rsidRPr="0046584E">
              <w:rPr>
                <w:rFonts w:ascii="Arial" w:hAnsi="Arial" w:cs="Arial"/>
                <w:color w:val="000000" w:themeColor="text1"/>
                <w:sz w:val="20"/>
                <w:szCs w:val="20"/>
                <w:lang w:val="hr-HR"/>
              </w:rPr>
              <w:t>1 USD = 6,643548 kuna</w:t>
            </w:r>
          </w:p>
        </w:tc>
      </w:tr>
      <w:tr w:rsidR="004E2F51" w:rsidRPr="00C25BBA" w14:paraId="32BE90EE" w14:textId="77777777" w:rsidTr="00E032FC">
        <w:trPr>
          <w:trHeight w:hRule="exact" w:val="340"/>
        </w:trPr>
        <w:tc>
          <w:tcPr>
            <w:tcW w:w="1465" w:type="pct"/>
            <w:vAlign w:val="center"/>
          </w:tcPr>
          <w:p w14:paraId="7A6697EB" w14:textId="77777777" w:rsidR="004E2F51" w:rsidRPr="004B4498" w:rsidRDefault="004E2F51" w:rsidP="00E032FC">
            <w:pPr>
              <w:jc w:val="both"/>
              <w:rPr>
                <w:rFonts w:ascii="Arial" w:hAnsi="Arial" w:cs="Arial"/>
                <w:color w:val="000000" w:themeColor="text1"/>
                <w:sz w:val="20"/>
                <w:szCs w:val="20"/>
                <w:lang w:val="hr-HR"/>
              </w:rPr>
            </w:pPr>
          </w:p>
        </w:tc>
        <w:tc>
          <w:tcPr>
            <w:tcW w:w="146" w:type="pct"/>
            <w:vAlign w:val="center"/>
          </w:tcPr>
          <w:p w14:paraId="4CDF1BB7" w14:textId="77777777" w:rsidR="004E2F51" w:rsidRPr="004B4498" w:rsidRDefault="004E2F51" w:rsidP="00E032FC">
            <w:pPr>
              <w:jc w:val="both"/>
              <w:rPr>
                <w:rFonts w:ascii="Arial" w:hAnsi="Arial" w:cs="Arial"/>
                <w:color w:val="000000" w:themeColor="text1"/>
                <w:sz w:val="20"/>
                <w:szCs w:val="20"/>
                <w:lang w:val="hr-HR"/>
              </w:rPr>
            </w:pPr>
          </w:p>
        </w:tc>
        <w:tc>
          <w:tcPr>
            <w:tcW w:w="1705" w:type="pct"/>
            <w:vAlign w:val="center"/>
          </w:tcPr>
          <w:p w14:paraId="26371360" w14:textId="77777777" w:rsidR="004E2F51" w:rsidRPr="004B4498" w:rsidRDefault="004E2F51" w:rsidP="00E032FC">
            <w:pPr>
              <w:jc w:val="center"/>
              <w:rPr>
                <w:rFonts w:ascii="Arial" w:hAnsi="Arial" w:cs="Arial"/>
                <w:color w:val="000000" w:themeColor="text1"/>
                <w:sz w:val="20"/>
                <w:szCs w:val="20"/>
                <w:lang w:val="hr-HR"/>
              </w:rPr>
            </w:pPr>
          </w:p>
        </w:tc>
        <w:tc>
          <w:tcPr>
            <w:tcW w:w="126" w:type="pct"/>
            <w:vAlign w:val="center"/>
          </w:tcPr>
          <w:p w14:paraId="29EEFFD3" w14:textId="77777777" w:rsidR="004E2F51" w:rsidRPr="004B4498" w:rsidRDefault="004E2F51" w:rsidP="00E032FC">
            <w:pPr>
              <w:jc w:val="center"/>
              <w:rPr>
                <w:rFonts w:ascii="Arial" w:hAnsi="Arial" w:cs="Arial"/>
                <w:color w:val="000000" w:themeColor="text1"/>
                <w:sz w:val="20"/>
                <w:szCs w:val="20"/>
                <w:lang w:val="hr-HR"/>
              </w:rPr>
            </w:pPr>
          </w:p>
        </w:tc>
        <w:tc>
          <w:tcPr>
            <w:tcW w:w="1558" w:type="pct"/>
            <w:vAlign w:val="center"/>
          </w:tcPr>
          <w:p w14:paraId="50D91319" w14:textId="77777777" w:rsidR="004E2F51" w:rsidRPr="004B4498" w:rsidRDefault="004E2F51" w:rsidP="00E032FC">
            <w:pPr>
              <w:jc w:val="center"/>
              <w:rPr>
                <w:rFonts w:ascii="Arial" w:hAnsi="Arial" w:cs="Arial"/>
                <w:color w:val="000000" w:themeColor="text1"/>
                <w:sz w:val="20"/>
                <w:szCs w:val="20"/>
                <w:lang w:val="hr-HR"/>
              </w:rPr>
            </w:pPr>
          </w:p>
        </w:tc>
      </w:tr>
    </w:tbl>
    <w:p w14:paraId="53CAD50C" w14:textId="77777777" w:rsidR="004E2F51"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sectPr w:rsidR="004E2F51" w:rsidSect="00623DBA">
          <w:footerReference w:type="default" r:id="rId87"/>
          <w:pgSz w:w="11907" w:h="16840" w:code="9"/>
          <w:pgMar w:top="1418" w:right="1134" w:bottom="1134" w:left="1418" w:header="851" w:footer="851" w:gutter="0"/>
          <w:cols w:space="720"/>
          <w:noEndnote/>
        </w:sectPr>
      </w:pPr>
    </w:p>
    <w:p w14:paraId="275C1E5A"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1405393E"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 xml:space="preserve">4. </w:t>
      </w:r>
      <w:r w:rsidRPr="004B4498">
        <w:rPr>
          <w:rFonts w:ascii="Arial" w:hAnsi="Arial" w:cs="Arial"/>
          <w:b/>
          <w:color w:val="000000" w:themeColor="text1"/>
          <w:sz w:val="20"/>
          <w:szCs w:val="20"/>
          <w:lang w:val="hr-HR"/>
        </w:rPr>
        <w:tab/>
        <w:t>Sažetak značajnih računovodstvenih politika (nastavak)</w:t>
      </w:r>
    </w:p>
    <w:p w14:paraId="2771AB22"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4EBF0640"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115FA95B" w14:textId="77777777" w:rsidR="004E2F51"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1DF0D550"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C. Prihodi i rashodi od kamata</w:t>
      </w:r>
    </w:p>
    <w:p w14:paraId="3B341BF4"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59213AD4" w14:textId="77777777" w:rsidR="004E2F51" w:rsidRPr="004B4498" w:rsidRDefault="004E2F51" w:rsidP="004E2F51">
      <w:pPr>
        <w:jc w:val="both"/>
        <w:rPr>
          <w:rFonts w:ascii="Arial" w:hAnsi="Arial" w:cs="Arial"/>
          <w:i/>
          <w:color w:val="000000" w:themeColor="text1"/>
          <w:sz w:val="20"/>
          <w:szCs w:val="20"/>
          <w:lang w:val="hr-HR"/>
        </w:rPr>
      </w:pPr>
      <w:r w:rsidRPr="004B4498">
        <w:rPr>
          <w:rFonts w:ascii="Arial" w:hAnsi="Arial" w:cs="Arial"/>
          <w:i/>
          <w:color w:val="000000" w:themeColor="text1"/>
          <w:sz w:val="20"/>
          <w:szCs w:val="20"/>
          <w:lang w:val="hr-HR"/>
        </w:rPr>
        <w:t>Efektivna kamatna stopa</w:t>
      </w:r>
    </w:p>
    <w:p w14:paraId="6ADAB306" w14:textId="77777777" w:rsidR="004E2F51" w:rsidRPr="004B4498" w:rsidRDefault="004E2F51" w:rsidP="004E2F51">
      <w:pPr>
        <w:jc w:val="both"/>
        <w:rPr>
          <w:rFonts w:ascii="Arial" w:hAnsi="Arial" w:cs="Arial"/>
          <w:i/>
          <w:color w:val="000000" w:themeColor="text1"/>
          <w:sz w:val="20"/>
          <w:szCs w:val="20"/>
          <w:lang w:val="hr-HR"/>
        </w:rPr>
      </w:pPr>
    </w:p>
    <w:p w14:paraId="6312EF7A"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Prihodi i rashodi od kamata priznaju se u dobit ili gubitak primjenom metode efektivne kamatne stope. Efektivna kamatna stopa je stopa koja točno diskontira procijenjena buduća novčana plaćanja ili primitke kroz očekivani vijek trajanja financijskih instrumenata na:</w:t>
      </w:r>
    </w:p>
    <w:p w14:paraId="687A16BA"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              - bruto knjigovodstvenu vrijednost financijske imovine; ili</w:t>
      </w:r>
    </w:p>
    <w:p w14:paraId="2EC6BDA1" w14:textId="77777777" w:rsidR="004E2F51" w:rsidRPr="004B4498" w:rsidRDefault="004E2F51" w:rsidP="004E2F51">
      <w:pPr>
        <w:ind w:firstLine="680"/>
        <w:jc w:val="both"/>
        <w:rPr>
          <w:rFonts w:ascii="Arial" w:eastAsia="Calibri" w:hAnsi="Arial" w:cs="Arial"/>
          <w:color w:val="000000" w:themeColor="text1"/>
          <w:sz w:val="20"/>
          <w:szCs w:val="20"/>
          <w:lang w:val="hr-HR"/>
        </w:rPr>
      </w:pPr>
      <w:r>
        <w:rPr>
          <w:rFonts w:ascii="Arial" w:hAnsi="Arial" w:cs="Arial"/>
          <w:color w:val="000000" w:themeColor="text1"/>
          <w:sz w:val="20"/>
          <w:szCs w:val="20"/>
          <w:lang w:val="hr-HR" w:eastAsia="hr-HR"/>
        </w:rPr>
        <w:t xml:space="preserve">  </w:t>
      </w:r>
      <w:r w:rsidRPr="004B4498">
        <w:rPr>
          <w:rFonts w:ascii="Arial" w:hAnsi="Arial" w:cs="Arial"/>
          <w:color w:val="000000" w:themeColor="text1"/>
          <w:sz w:val="20"/>
          <w:szCs w:val="20"/>
          <w:lang w:val="hr-HR" w:eastAsia="hr-HR"/>
        </w:rPr>
        <w:t>-</w:t>
      </w:r>
      <w:r>
        <w:rPr>
          <w:rFonts w:ascii="Arial" w:hAnsi="Arial" w:cs="Arial"/>
          <w:color w:val="000000" w:themeColor="text1"/>
          <w:sz w:val="20"/>
          <w:szCs w:val="20"/>
          <w:lang w:val="hr-HR" w:eastAsia="hr-HR"/>
        </w:rPr>
        <w:t xml:space="preserve"> </w:t>
      </w:r>
      <w:r w:rsidRPr="004B4498">
        <w:rPr>
          <w:rFonts w:ascii="Arial" w:hAnsi="Arial" w:cs="Arial"/>
          <w:color w:val="000000" w:themeColor="text1"/>
          <w:sz w:val="20"/>
          <w:szCs w:val="20"/>
          <w:lang w:val="hr-HR" w:eastAsia="hr-HR"/>
        </w:rPr>
        <w:t>amortizirani trošak financijskih obveza.</w:t>
      </w:r>
    </w:p>
    <w:p w14:paraId="19659E16" w14:textId="77777777" w:rsidR="004E2F51" w:rsidRPr="004B4498" w:rsidRDefault="004E2F51" w:rsidP="004E2F51">
      <w:pPr>
        <w:spacing w:before="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 xml:space="preserve">Prilikom izračunavanja efektivne kamatne stope za financijske instrumente koji nisu kupljena ili stvorena financijska imovina umanjena za kreditne gubitke („POCI“), Grupa procjenjuje buduće novčane tokove uzimajući u obzir sve ugovorne uvjete financijskog instrumenta, ali ne i očekivane kreditne gubitke. </w:t>
      </w:r>
      <w:r w:rsidRPr="004B4498">
        <w:rPr>
          <w:rFonts w:ascii="Arial" w:hAnsi="Arial" w:cs="Arial"/>
          <w:color w:val="000000" w:themeColor="text1"/>
          <w:sz w:val="20"/>
          <w:szCs w:val="20"/>
          <w:lang w:val="hr-HR"/>
        </w:rPr>
        <w:t>Za kupljenu ili stvorenu financijsku imovinu umanjenu za kreditne gubitke, efektivna kamatna stopa usklađena za kreditni rizik izračunava se na temelju procijenjenih budućih tokova uključujući i očekivane kreditne gubitke.</w:t>
      </w:r>
    </w:p>
    <w:p w14:paraId="6A6E683D" w14:textId="77777777" w:rsidR="004E2F51" w:rsidRPr="004B4498" w:rsidRDefault="004E2F51" w:rsidP="004E2F51">
      <w:pPr>
        <w:spacing w:before="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Izračun efektivne kamatne stope uključuje transakcijske troškove i naknade te plaćene ili primljene naknade koji su sastavni dio efektivne kamatne stope. Transakcijski troškovi uključuju inkrementalne troškove koji se mogu izravno pripisati stjecanju ili izdavanju financijske imovine ili financijske obveze.</w:t>
      </w:r>
    </w:p>
    <w:p w14:paraId="28A1D97B" w14:textId="77777777" w:rsidR="004E2F51" w:rsidRPr="004B4498" w:rsidRDefault="004E2F51" w:rsidP="004E2F51">
      <w:pPr>
        <w:pStyle w:val="accountingpolicytitle"/>
        <w:rPr>
          <w:rFonts w:cs="Arial"/>
          <w:b w:val="0"/>
          <w:bCs/>
          <w:color w:val="000000" w:themeColor="text1"/>
          <w:sz w:val="20"/>
          <w:lang w:val="hr-HR"/>
        </w:rPr>
      </w:pPr>
    </w:p>
    <w:p w14:paraId="64211E0C"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Amortizirani trošak i bruto knjigovodstvena vrijednost</w:t>
      </w:r>
    </w:p>
    <w:p w14:paraId="658A8E72"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color w:val="000000" w:themeColor="text1"/>
          <w:sz w:val="20"/>
          <w:szCs w:val="20"/>
          <w:lang w:val="hr-HR" w:eastAsia="hr-HR"/>
        </w:rPr>
      </w:pPr>
    </w:p>
    <w:p w14:paraId="0F878E53"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„Amortizirani trošak“ financijske imovine ili financijske obveze je iznos po kojem se financijska imovina ili financijska obveza mjeri pri početnom priznavanju, umanjen za otplatu glavnice, uvećan ili umanjen za kumulativnu amortizaciju svih razlika između početnog iznosa i iznosa po dospijeću primjenom metode efektivne kamatne stope, te usklađen za sve očekivane kreditne gubitke.</w:t>
      </w:r>
    </w:p>
    <w:p w14:paraId="5E6BB0A3"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color w:val="000000" w:themeColor="text1"/>
          <w:sz w:val="20"/>
          <w:szCs w:val="20"/>
          <w:lang w:val="hr-HR" w:eastAsia="hr-HR"/>
        </w:rPr>
      </w:pPr>
    </w:p>
    <w:p w14:paraId="646436AD"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Amortizirani trošak i bruto knjigovodstvena vrijednost (nastavak)</w:t>
      </w:r>
    </w:p>
    <w:p w14:paraId="73928667" w14:textId="77777777" w:rsidR="004E2F51" w:rsidRPr="004B4498" w:rsidRDefault="004E2F51" w:rsidP="004E2F51">
      <w:pPr>
        <w:jc w:val="both"/>
        <w:rPr>
          <w:rFonts w:ascii="Arial" w:hAnsi="Arial" w:cs="Arial"/>
          <w:color w:val="000000" w:themeColor="text1"/>
          <w:sz w:val="20"/>
          <w:szCs w:val="20"/>
          <w:lang w:val="hr-HR" w:eastAsia="hr-HR"/>
        </w:rPr>
      </w:pPr>
    </w:p>
    <w:p w14:paraId="573B0B69" w14:textId="77777777" w:rsidR="004E2F51" w:rsidRPr="004B4498" w:rsidRDefault="004E2F51" w:rsidP="004E2F51">
      <w:pPr>
        <w:jc w:val="both"/>
        <w:rPr>
          <w:rFonts w:ascii="Arial" w:eastAsia="Calibri" w:hAnsi="Arial" w:cs="Arial"/>
          <w:color w:val="000000" w:themeColor="text1"/>
          <w:sz w:val="20"/>
          <w:szCs w:val="20"/>
          <w:lang w:val="hr-HR"/>
        </w:rPr>
      </w:pPr>
      <w:r w:rsidRPr="004B4498">
        <w:rPr>
          <w:rFonts w:ascii="Arial" w:hAnsi="Arial" w:cs="Arial"/>
          <w:color w:val="000000" w:themeColor="text1"/>
          <w:sz w:val="20"/>
          <w:szCs w:val="20"/>
          <w:lang w:val="hr-HR"/>
        </w:rPr>
        <w:t xml:space="preserve"> “Bruto knjigovodstvena vrijednost financijske imovine” je amortizirani trošak financijske imovine prije usklađivanja za bilo koji očekivani kreditni gubitak.</w:t>
      </w:r>
    </w:p>
    <w:p w14:paraId="0F31ADDD" w14:textId="77777777" w:rsidR="004E2F51" w:rsidRPr="004B4498" w:rsidRDefault="004E2F51" w:rsidP="004E2F51">
      <w:pPr>
        <w:jc w:val="both"/>
        <w:rPr>
          <w:rFonts w:ascii="Arial" w:hAnsi="Arial" w:cs="Arial"/>
          <w:b/>
          <w:color w:val="000000" w:themeColor="text1"/>
          <w:sz w:val="20"/>
          <w:szCs w:val="20"/>
          <w:lang w:val="hr-HR"/>
        </w:rPr>
      </w:pPr>
    </w:p>
    <w:p w14:paraId="7FE7AE47"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Obračun prihoda i rashoda od kamata</w:t>
      </w:r>
    </w:p>
    <w:p w14:paraId="7615E66E"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color w:val="000000" w:themeColor="text1"/>
          <w:sz w:val="20"/>
          <w:szCs w:val="20"/>
          <w:lang w:val="hr-HR" w:eastAsia="hr-HR"/>
        </w:rPr>
      </w:pPr>
    </w:p>
    <w:p w14:paraId="413607EA" w14:textId="77777777" w:rsidR="004E2F51" w:rsidRPr="004B4498" w:rsidRDefault="004E2F51" w:rsidP="004E2F51">
      <w:pPr>
        <w:pStyle w:val="ListParagraph"/>
        <w:ind w:left="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Efektivna kamatna stopa financijske imovine ili financijske obveze izračunava se pri početnom priznavanju financijske imovine ili financijske obveze. Pri izračunu prihoda i rashoda od kamata, efektivna kamatna stopa primjenjuje se na bruto knjigovodstvenu vrijednost imovine (kada imovina nije umanjena za kreditne gubitke) ili amortizirani trošak obveze. Efektivna kamatna stopa revidira se kao rezultat periodične procjene novčanih tokova instrumenata s promjenjivom kamatnom stopom kako bi se odrazila kretanja tržišnih kamatnih stopa.</w:t>
      </w:r>
    </w:p>
    <w:p w14:paraId="50DA82E2"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Međutim, za financijsku imovinu koja je nakon početnog priznavanja umanjena za kreditne gubitke, prihodi od kamata izračunavaju se primjenom efektivne kamatne stope na amortizirani trošak financijske imovine. U slučaju smanjenja kreditnog rizika, izračun kamatnog prihoda se vraća na bruto knjigovodstvenu vrijednost financijske imovine.</w:t>
      </w:r>
    </w:p>
    <w:p w14:paraId="69DC0100" w14:textId="77777777" w:rsidR="004E2F51" w:rsidRPr="004B4498" w:rsidRDefault="004E2F51" w:rsidP="004E2F51">
      <w:pPr>
        <w:pStyle w:val="ListParagraph"/>
        <w:spacing w:before="120"/>
        <w:ind w:left="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Za financijsku imovinu koja je bila kreditno umanjena prilikom početnog priznavanja, prihodi od kamata izračunavaju se primjenom efektivne kamatne stope na amortizirani trošak imovine. U slučaju smanjenja kreditnog rizika, izračun prihoda od kamata ne vraća se na bruto knjigovodstvenu vrijednost.</w:t>
      </w:r>
    </w:p>
    <w:p w14:paraId="381F423B" w14:textId="77777777" w:rsidR="004E2F51" w:rsidRDefault="004E2F51" w:rsidP="004E2F51">
      <w:pPr>
        <w:pStyle w:val="ListParagraph"/>
        <w:spacing w:before="120"/>
        <w:ind w:left="0"/>
        <w:jc w:val="both"/>
        <w:rPr>
          <w:rFonts w:ascii="Arial" w:hAnsi="Arial" w:cs="Arial"/>
          <w:color w:val="000000" w:themeColor="text1"/>
          <w:sz w:val="20"/>
          <w:szCs w:val="20"/>
          <w:lang w:val="hr-HR"/>
        </w:rPr>
        <w:sectPr w:rsidR="004E2F51" w:rsidSect="00623DBA">
          <w:footerReference w:type="default" r:id="rId88"/>
          <w:pgSz w:w="11907" w:h="16840" w:code="9"/>
          <w:pgMar w:top="1418" w:right="1134" w:bottom="1134" w:left="1418" w:header="851" w:footer="851" w:gutter="0"/>
          <w:cols w:space="720"/>
          <w:noEndnote/>
        </w:sectPr>
      </w:pPr>
    </w:p>
    <w:p w14:paraId="223C941F" w14:textId="77777777" w:rsidR="004E2F51" w:rsidRDefault="004E2F51" w:rsidP="004E2F51">
      <w:pPr>
        <w:pStyle w:val="ListParagraph"/>
        <w:spacing w:before="120"/>
        <w:ind w:left="0"/>
        <w:jc w:val="both"/>
        <w:rPr>
          <w:rFonts w:ascii="Arial" w:hAnsi="Arial" w:cs="Arial"/>
          <w:color w:val="000000" w:themeColor="text1"/>
          <w:sz w:val="20"/>
          <w:szCs w:val="20"/>
          <w:lang w:val="hr-HR"/>
        </w:rPr>
      </w:pPr>
    </w:p>
    <w:p w14:paraId="090B3611"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 xml:space="preserve">4. </w:t>
      </w:r>
      <w:r w:rsidRPr="004B4498">
        <w:rPr>
          <w:rFonts w:ascii="Arial" w:hAnsi="Arial" w:cs="Arial"/>
          <w:b/>
          <w:color w:val="000000" w:themeColor="text1"/>
          <w:sz w:val="20"/>
          <w:szCs w:val="20"/>
          <w:lang w:val="hr-HR"/>
        </w:rPr>
        <w:tab/>
        <w:t>Sažetak značajnih računovodstvenih politika (nastavak)</w:t>
      </w:r>
    </w:p>
    <w:p w14:paraId="0E25E4A0"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5EC07550"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186157D4" w14:textId="77777777" w:rsidR="004E2F51" w:rsidRDefault="004E2F51" w:rsidP="004E2F51">
      <w:pPr>
        <w:pStyle w:val="ListParagraph"/>
        <w:spacing w:before="120"/>
        <w:ind w:left="0"/>
        <w:jc w:val="both"/>
        <w:rPr>
          <w:rFonts w:ascii="Arial" w:hAnsi="Arial" w:cs="Arial"/>
          <w:color w:val="000000" w:themeColor="text1"/>
          <w:sz w:val="20"/>
          <w:szCs w:val="20"/>
          <w:lang w:val="hr-HR"/>
        </w:rPr>
      </w:pPr>
    </w:p>
    <w:p w14:paraId="69732AB8"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C. Prihodi i rashodi od kamata</w:t>
      </w:r>
      <w:r>
        <w:rPr>
          <w:rFonts w:ascii="Arial" w:hAnsi="Arial" w:cs="Arial"/>
          <w:b/>
          <w:color w:val="000000" w:themeColor="text1"/>
          <w:sz w:val="20"/>
          <w:szCs w:val="20"/>
          <w:lang w:val="hr-HR" w:eastAsia="hr-HR"/>
        </w:rPr>
        <w:t xml:space="preserve"> (nastavak)</w:t>
      </w:r>
    </w:p>
    <w:p w14:paraId="023AB25C" w14:textId="77777777" w:rsidR="004E2F51" w:rsidRDefault="004E2F51" w:rsidP="004E2F51">
      <w:pPr>
        <w:pStyle w:val="ListParagraph"/>
        <w:spacing w:before="120"/>
        <w:ind w:left="0"/>
        <w:jc w:val="both"/>
        <w:rPr>
          <w:rFonts w:ascii="Arial" w:hAnsi="Arial" w:cs="Arial"/>
          <w:color w:val="000000" w:themeColor="text1"/>
          <w:sz w:val="20"/>
          <w:szCs w:val="20"/>
          <w:lang w:val="hr-HR"/>
        </w:rPr>
      </w:pPr>
    </w:p>
    <w:p w14:paraId="20D91AE9"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color w:val="000000" w:themeColor="text1"/>
          <w:sz w:val="20"/>
          <w:szCs w:val="20"/>
          <w:lang w:val="hr-HR" w:eastAsia="hr-HR"/>
        </w:rPr>
      </w:pPr>
      <w:r w:rsidRPr="004B4498">
        <w:rPr>
          <w:rFonts w:ascii="Arial" w:hAnsi="Arial" w:cs="Arial"/>
          <w:i/>
          <w:color w:val="000000" w:themeColor="text1"/>
          <w:sz w:val="20"/>
          <w:szCs w:val="20"/>
          <w:lang w:val="hr-HR" w:eastAsia="hr-HR"/>
        </w:rPr>
        <w:t>Obračun prihoda i rashoda od kamata</w:t>
      </w:r>
      <w:r>
        <w:rPr>
          <w:rFonts w:ascii="Arial" w:hAnsi="Arial" w:cs="Arial"/>
          <w:i/>
          <w:color w:val="000000" w:themeColor="text1"/>
          <w:sz w:val="20"/>
          <w:szCs w:val="20"/>
          <w:lang w:val="hr-HR" w:eastAsia="hr-HR"/>
        </w:rPr>
        <w:t xml:space="preserve"> (nastavak)</w:t>
      </w:r>
    </w:p>
    <w:p w14:paraId="43EA2BEC" w14:textId="77777777" w:rsidR="004E2F51" w:rsidRPr="004B4498" w:rsidRDefault="004E2F51" w:rsidP="004E2F51">
      <w:pPr>
        <w:pStyle w:val="ListParagraph"/>
        <w:spacing w:before="120"/>
        <w:ind w:left="0"/>
        <w:jc w:val="both"/>
        <w:rPr>
          <w:rFonts w:ascii="Arial" w:hAnsi="Arial" w:cs="Arial"/>
          <w:color w:val="000000" w:themeColor="text1"/>
          <w:sz w:val="20"/>
          <w:szCs w:val="20"/>
          <w:lang w:val="hr-HR"/>
        </w:rPr>
      </w:pPr>
    </w:p>
    <w:p w14:paraId="09A3CDF6" w14:textId="77777777" w:rsidR="004E2F51" w:rsidRPr="004B4498" w:rsidRDefault="004E2F51" w:rsidP="004E2F51">
      <w:pPr>
        <w:pStyle w:val="ListParagraph"/>
        <w:spacing w:before="120"/>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Za potrebe izračuna kamatnog prihoda za izloženosti raspoređene u 3. stupanj ili za imovinu klasificiranu kao kupljena ili stvorena financijska imovina umanjena za kreditne gubitke, koristi se pojam vremenske vrijednosti novca (unwinding). Unwinding, tj. prihod od kamata za navedene izloženosti izračunava se nakon datuma prijenosa izloženosti u 3. stupanj ili nakon datuma klasifikacije imovine kao POCI imovine i evidentira se kao rezerviranja za financijski instrument uz istodobno smanjenje prihoda od kamata.</w:t>
      </w:r>
    </w:p>
    <w:p w14:paraId="6C2105F2" w14:textId="77777777" w:rsidR="004E2F51" w:rsidRPr="004B4498" w:rsidRDefault="004E2F51" w:rsidP="004E2F51">
      <w:pPr>
        <w:pStyle w:val="ListParagraph"/>
        <w:spacing w:before="120"/>
        <w:ind w:left="0"/>
        <w:jc w:val="both"/>
        <w:rPr>
          <w:rFonts w:ascii="Arial" w:hAnsi="Arial" w:cs="Arial"/>
          <w:color w:val="000000" w:themeColor="text1"/>
          <w:sz w:val="20"/>
          <w:szCs w:val="20"/>
          <w:lang w:val="hr-HR"/>
        </w:rPr>
      </w:pPr>
    </w:p>
    <w:p w14:paraId="49EDFBDE" w14:textId="77777777" w:rsidR="004E2F51" w:rsidRPr="004B4498" w:rsidRDefault="004E2F51" w:rsidP="004E2F51">
      <w:pPr>
        <w:pStyle w:val="ListParagraph"/>
        <w:spacing w:before="120"/>
        <w:ind w:left="0"/>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Naknade koje čine kamatni prihod, a koje se odnose na plasmane i koje se obračunavaju i naplaćuju prilikom odobravanja i plasmana kredita ili tijekom razdoblja trajanja ugovora o kreditu, razgraničavaju se i priznaju u dobit ili gubitak primjenom metode efektivne kamatne stope tijekom razdoblja na koje se odnose.</w:t>
      </w:r>
    </w:p>
    <w:p w14:paraId="49E43D4D" w14:textId="77777777" w:rsidR="004E2F51" w:rsidRPr="004B4498" w:rsidRDefault="004E2F51" w:rsidP="004E2F51">
      <w:pPr>
        <w:pStyle w:val="T1"/>
        <w:spacing w:before="120" w:after="0" w:line="240" w:lineRule="auto"/>
        <w:rPr>
          <w:rFonts w:cs="Arial"/>
          <w:b w:val="0"/>
          <w:bCs w:val="0"/>
          <w:color w:val="000000" w:themeColor="text1"/>
          <w:sz w:val="20"/>
          <w:lang w:val="hr-HR"/>
        </w:rPr>
      </w:pPr>
      <w:r w:rsidRPr="004B4498">
        <w:rPr>
          <w:rFonts w:cs="Arial"/>
          <w:b w:val="0"/>
          <w:bCs w:val="0"/>
          <w:color w:val="000000" w:themeColor="text1"/>
          <w:sz w:val="20"/>
          <w:lang w:val="hr-HR"/>
        </w:rPr>
        <w:t>Prihodi i rashodi od kamata iskazuju se u dobiti i gubitku u razdoblju u kojemu su nastali. Prihodi i rashodi od kamata iskazuju se u dobiti i gubitku za sve kamatonosne instrumente po načelu obračunanih kamata primjenom efektivne kamatne stope kojom se procijenjena buduća plaćanja ili naplate diskontiraju tijekom očekivanog vijeka trajanja financijskog instrumenta ili tijekom kraćeg razdoblja, kad je to primjereno. Prihod od kamata uključuje kupone zarađene od ulaganja u vrijednosnice s fiksnim prinosom.</w:t>
      </w:r>
    </w:p>
    <w:p w14:paraId="5410A204" w14:textId="77777777" w:rsidR="004E2F51" w:rsidRPr="004B4498" w:rsidRDefault="004E2F51" w:rsidP="004E2F51">
      <w:pPr>
        <w:pStyle w:val="T1"/>
        <w:keepNext w:val="0"/>
        <w:spacing w:before="120" w:after="0" w:line="240" w:lineRule="auto"/>
        <w:rPr>
          <w:rFonts w:cs="Arial"/>
          <w:b w:val="0"/>
          <w:color w:val="000000" w:themeColor="text1"/>
          <w:sz w:val="20"/>
          <w:lang w:val="hr-HR" w:eastAsia="hr-HR"/>
        </w:rPr>
      </w:pPr>
      <w:r w:rsidRPr="004B4498">
        <w:rPr>
          <w:rFonts w:cs="Arial"/>
          <w:b w:val="0"/>
          <w:bCs w:val="0"/>
          <w:color w:val="000000" w:themeColor="text1"/>
          <w:sz w:val="20"/>
          <w:lang w:val="hr-HR"/>
        </w:rPr>
        <w:t>Naknade koje čine kamatni prihod, zajedno s procijenjenim pripadajućim troškovima, odgađaju se te priznaju na vremenski proporcionalnoj osnovi za razdoblje trajanja kredita kao usklađenje efektivnog prinosa na kredit tijekom razdoblja trajanja kredita.</w:t>
      </w:r>
    </w:p>
    <w:p w14:paraId="1D2454A3"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color w:val="000000" w:themeColor="text1"/>
          <w:sz w:val="20"/>
          <w:szCs w:val="20"/>
          <w:lang w:val="hr-HR" w:eastAsia="hr-HR"/>
        </w:rPr>
      </w:pPr>
    </w:p>
    <w:p w14:paraId="15CFBB3F" w14:textId="77777777" w:rsidR="004E2F51" w:rsidRPr="004B4498" w:rsidRDefault="004E2F51" w:rsidP="004E2F51">
      <w:pPr>
        <w:pStyle w:val="T1"/>
        <w:spacing w:before="0" w:after="0" w:line="240" w:lineRule="auto"/>
        <w:rPr>
          <w:rFonts w:cs="Arial"/>
          <w:color w:val="000000" w:themeColor="text1"/>
          <w:sz w:val="20"/>
          <w:lang w:val="hr-HR"/>
        </w:rPr>
      </w:pPr>
      <w:r w:rsidRPr="004B4498">
        <w:rPr>
          <w:rFonts w:cs="Arial"/>
          <w:b w:val="0"/>
          <w:bCs w:val="0"/>
          <w:color w:val="000000" w:themeColor="text1"/>
          <w:sz w:val="20"/>
          <w:lang w:val="hr-HR"/>
        </w:rPr>
        <w:t xml:space="preserve">Kamata na kredite kod kojih postoji umanjenje vrijednosti i na ostalu financijsku imovinu se priznaje na osnovi stope korištene za svođenje budućih novčanih primitaka na njihovu sadašnju vrijednost te se iskazuje u dobiti ili gubitku. </w:t>
      </w:r>
    </w:p>
    <w:p w14:paraId="5D4F250B" w14:textId="77777777" w:rsidR="004E2F51" w:rsidRDefault="004E2F51" w:rsidP="004E2F51">
      <w:pPr>
        <w:jc w:val="both"/>
        <w:rPr>
          <w:rFonts w:ascii="Arial" w:hAnsi="Arial" w:cs="Arial"/>
          <w:b/>
          <w:color w:val="000000" w:themeColor="text1"/>
          <w:sz w:val="20"/>
          <w:szCs w:val="20"/>
          <w:lang w:val="hr-HR"/>
        </w:rPr>
        <w:sectPr w:rsidR="004E2F51" w:rsidSect="00623DBA">
          <w:footerReference w:type="default" r:id="rId89"/>
          <w:pgSz w:w="11907" w:h="16840" w:code="9"/>
          <w:pgMar w:top="1418" w:right="1134" w:bottom="1134" w:left="1418" w:header="851" w:footer="851" w:gutter="0"/>
          <w:cols w:space="720"/>
          <w:noEndnote/>
        </w:sectPr>
      </w:pPr>
    </w:p>
    <w:p w14:paraId="404D09F0" w14:textId="77777777" w:rsidR="004E2F51" w:rsidRPr="004B4498" w:rsidRDefault="004E2F51" w:rsidP="004E2F51">
      <w:pPr>
        <w:jc w:val="both"/>
        <w:rPr>
          <w:rFonts w:ascii="Arial" w:hAnsi="Arial" w:cs="Arial"/>
          <w:b/>
          <w:color w:val="000000" w:themeColor="text1"/>
          <w:sz w:val="20"/>
          <w:szCs w:val="20"/>
          <w:lang w:val="hr-HR"/>
        </w:rPr>
      </w:pPr>
    </w:p>
    <w:p w14:paraId="66830816" w14:textId="77777777" w:rsidR="004E2F51"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4BDA3445"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0D1413B6"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5644DC05"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2AB9A0C8" w14:textId="77777777" w:rsidR="004E2F51" w:rsidRDefault="004E2F51" w:rsidP="004E2F51">
      <w:pPr>
        <w:pStyle w:val="accountingpolicytitle"/>
        <w:rPr>
          <w:rFonts w:cs="Arial"/>
          <w:color w:val="000000" w:themeColor="text1"/>
          <w:sz w:val="20"/>
          <w:lang w:val="hr-HR"/>
        </w:rPr>
      </w:pPr>
    </w:p>
    <w:p w14:paraId="2E59E0E3" w14:textId="77777777" w:rsidR="004E2F51" w:rsidRPr="004B4498" w:rsidRDefault="004E2F51" w:rsidP="004E2F51">
      <w:pPr>
        <w:pStyle w:val="accountingpolicytitle"/>
        <w:rPr>
          <w:rFonts w:cs="Arial"/>
          <w:color w:val="000000" w:themeColor="text1"/>
          <w:sz w:val="20"/>
          <w:lang w:val="hr-HR"/>
        </w:rPr>
      </w:pPr>
      <w:r w:rsidRPr="004B4498">
        <w:rPr>
          <w:rFonts w:cs="Arial"/>
          <w:color w:val="000000" w:themeColor="text1"/>
          <w:sz w:val="20"/>
          <w:lang w:val="hr-HR"/>
        </w:rPr>
        <w:t>D. Prihodi od naknada i provizija</w:t>
      </w:r>
    </w:p>
    <w:p w14:paraId="49154233" w14:textId="77777777" w:rsidR="004E2F51" w:rsidRPr="004B4498" w:rsidRDefault="004E2F51" w:rsidP="004E2F51">
      <w:pPr>
        <w:pStyle w:val="accountingpolicytitle"/>
        <w:rPr>
          <w:rFonts w:cs="Arial"/>
          <w:color w:val="000000" w:themeColor="text1"/>
          <w:sz w:val="20"/>
          <w:lang w:val="hr-HR"/>
        </w:rPr>
      </w:pPr>
    </w:p>
    <w:p w14:paraId="4F998148" w14:textId="77777777" w:rsidR="004E2F51" w:rsidRPr="004B4498" w:rsidRDefault="004E2F51" w:rsidP="004E2F51">
      <w:pPr>
        <w:pStyle w:val="ListParagraph"/>
        <w:ind w:left="0"/>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eastAsia="hr-HR"/>
        </w:rPr>
        <w:t xml:space="preserve">Prihodi i rashodi od naknada i provizija koji su sastavni dio efektivne kamatne stope na financijsku imovinu ili financijsku obvezu uključuju se u efektivnu kamatnu </w:t>
      </w:r>
      <w:r w:rsidRPr="00A873BB">
        <w:rPr>
          <w:rFonts w:ascii="Arial" w:hAnsi="Arial" w:cs="Arial"/>
          <w:color w:val="000000" w:themeColor="text1"/>
          <w:sz w:val="20"/>
          <w:szCs w:val="20"/>
          <w:lang w:val="hr-HR" w:eastAsia="hr-HR"/>
        </w:rPr>
        <w:t>stopu (vidi (C)).</w:t>
      </w:r>
      <w:r w:rsidRPr="004B4498">
        <w:rPr>
          <w:rFonts w:ascii="Arial" w:hAnsi="Arial" w:cs="Arial"/>
          <w:color w:val="000000" w:themeColor="text1"/>
          <w:sz w:val="20"/>
          <w:szCs w:val="20"/>
          <w:lang w:val="hr-HR" w:eastAsia="hr-HR"/>
        </w:rPr>
        <w:t xml:space="preserve"> Ostali prihodi od naknada i provizija - prihodi od naknada za dane garancije i ostale usluge Grupe, zajedno s provizijama za upravljanje sredstvima u ime i za račun pravnih osoba i naknadama za platni promet u zemlji i inozemstvu - priznaju se kada je obavljena povezana usluga. Ako se ne očekuje da će kreditna obveza rezultirati povlačenjem kredita, onda se pripadajuća naknada za neiskorištena sredstva priznaje pravocrtnom metodom tijekom obvezujućeg razdoblja.</w:t>
      </w:r>
    </w:p>
    <w:p w14:paraId="4F01906E"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p>
    <w:p w14:paraId="0A0EADAC"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rPr>
        <w:t>Prihodi od naknada i provizija koji imaju karakter nekamatnih prihoda (naknade za upravljanje kreditima u ime i za račun drugih osoba, naknade za platni promet, ostale naknade nekamatnog tipa) priznaju se u dobit ili gubitak kada nastaju.</w:t>
      </w:r>
    </w:p>
    <w:p w14:paraId="70294D90"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7B918259"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E. Najmovi</w:t>
      </w:r>
    </w:p>
    <w:p w14:paraId="1842860C"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4B1D3B9F"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(a) Grupa kao najmoprimac</w:t>
      </w:r>
    </w:p>
    <w:p w14:paraId="3B85249E"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7DDAA3C7" w14:textId="77777777" w:rsidR="004E2F51"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 xml:space="preserve">Pri sklapanju ugovora Grupa procjenjuje je li riječ o ugovoru o najmu odnosno sadrži li pojedini ugovor elemente najma. Riječ je o ugovoru o najmu ili ugovoru koji sadrži najam ako se njime prenosi pravo kontrole nad uporabom utvrđene imovine u određenom vremenskom razdoblju u zamjenu za naknadu. </w:t>
      </w:r>
    </w:p>
    <w:p w14:paraId="47C9F617" w14:textId="77777777" w:rsidR="004E2F51"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29F2A04E"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5BFCA2E8"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 xml:space="preserve">Kako bi procijenila prenosi li se ugovorom pravo kontrole nad uporabom utvrđene imovine, Grupa koristi definiciju najma iz MSFI 16. </w:t>
      </w:r>
    </w:p>
    <w:p w14:paraId="06027E91"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28BE43D0"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 xml:space="preserve">Grupa priznaje imovinu s pravom korištenja i obvezu po najmu na datum početka najma. Imovina s pravom korištenja početno se mjeri po trošku, koji obuhvaća početni iznos obveze po najmu usklađen za eventualna plaćanja najma prije ili na datum početka najma plus eventualno nastale direktne troškove i procjenu troškova za demontažu i uklanjanje eventualnih unaprjeđenja u prostorima podružnica i poslovnica.  </w:t>
      </w:r>
    </w:p>
    <w:p w14:paraId="263C52D0"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7341BDA4"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Imovina s pravom korištenja naknadno se amortizira primjenom linearne metode od datuma početka do kraja razdoblja najma. Dodatno, imovina s pravom korištenja periodično se smanjuje za gubitke od umanjenja, ukoliko postoje, i usklađuje s određenim ponovnim mjerenjima obveze po najmu.</w:t>
      </w:r>
    </w:p>
    <w:p w14:paraId="3C1532BE"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144867BC" w14:textId="77777777" w:rsidR="004E2F51" w:rsidRPr="00644EC6"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Obveza po osnovi najma mjeri se po sadašnjoj vrijednosti svih plaćanja u vezi s najmom koja nisu izvršena do dana početka najma primjenom diskontne stope. Diskontna stopa jednaka je prosječnoj ponderiranoj kamatnoj stopi na plasmane HBOR-a utvrđenoj za prethodnu poslovnu godinu.</w:t>
      </w:r>
    </w:p>
    <w:p w14:paraId="38C0606D" w14:textId="77777777" w:rsidR="004E2F51" w:rsidRPr="00644EC6"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47401A3A" w14:textId="77777777" w:rsidR="004E2F51" w:rsidRPr="00644EC6"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Plaćanja po osnovu najma uključena u mjerenje obaveze po osnovu najma obuhvaćaju slijedeća plaćanja koja nisu podmirena do prvog dana trajanja najma:</w:t>
      </w:r>
    </w:p>
    <w:p w14:paraId="013AFABE" w14:textId="77777777" w:rsidR="004E2F51" w:rsidRPr="00644EC6"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a) fiksna plaćanja;</w:t>
      </w:r>
    </w:p>
    <w:p w14:paraId="4EB1EC11" w14:textId="77777777" w:rsidR="004E2F51" w:rsidRPr="00644EC6"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b) varijabilna plaćanja koja zavise od određenog indeksa ili stope;</w:t>
      </w:r>
    </w:p>
    <w:p w14:paraId="1ABA25FD" w14:textId="77777777" w:rsidR="004E2F51" w:rsidRPr="00644EC6"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c) iznose koje se očekuje platiti na ime garantiranog ostatka vrijednosti;</w:t>
      </w:r>
    </w:p>
    <w:p w14:paraId="725029BB" w14:textId="77777777" w:rsidR="004E2F51" w:rsidRPr="00644EC6"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d) cijenu korištenja opcije otkupa ukoliko postoji velika vjerojatnost korištenja te opcije; i</w:t>
      </w:r>
    </w:p>
    <w:p w14:paraId="085DEE70" w14:textId="77777777" w:rsidR="004E2F51" w:rsidRPr="00644EC6"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e) kazne za raskid najma.</w:t>
      </w:r>
    </w:p>
    <w:p w14:paraId="1690E9C6" w14:textId="77777777" w:rsidR="004E2F51" w:rsidRPr="00644EC6"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5065156A" w14:textId="77777777" w:rsidR="004E2F51"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sectPr w:rsidR="004E2F51" w:rsidSect="00623DBA">
          <w:footerReference w:type="default" r:id="rId90"/>
          <w:pgSz w:w="11907" w:h="16840" w:code="9"/>
          <w:pgMar w:top="1418" w:right="1134" w:bottom="1134" w:left="1418" w:header="851" w:footer="851" w:gutter="0"/>
          <w:cols w:space="720"/>
          <w:noEndnote/>
        </w:sectPr>
      </w:pPr>
      <w:r w:rsidRPr="00644EC6">
        <w:rPr>
          <w:rFonts w:ascii="Arial" w:eastAsia="Calibri" w:hAnsi="Arial" w:cs="Arial"/>
          <w:iCs/>
          <w:sz w:val="20"/>
          <w:szCs w:val="20"/>
          <w:lang w:val="hr-HR"/>
        </w:rPr>
        <w:t>Grupa prikazuje imovinu s pravom korištenja u bilješki 21. Ostala imovina, a obveze po najmu u bilješci 25. Ostale obveze, zbog nematerijalnog iznosa.</w:t>
      </w:r>
    </w:p>
    <w:p w14:paraId="50F35E18" w14:textId="77777777" w:rsidR="004E2F51" w:rsidRPr="00644EC6"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236DAFB6" w14:textId="77777777" w:rsidR="004E2F51" w:rsidRPr="00644EC6"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41FAAFA9"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4931B85E"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137ABD0D"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66B35976" w14:textId="77777777" w:rsidR="004E2F51"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097BF77C"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E. Najmovi</w:t>
      </w:r>
      <w:r>
        <w:rPr>
          <w:rFonts w:ascii="Arial" w:hAnsi="Arial" w:cs="Arial"/>
          <w:b/>
          <w:color w:val="000000" w:themeColor="text1"/>
          <w:sz w:val="20"/>
          <w:szCs w:val="20"/>
          <w:lang w:val="hr-HR" w:eastAsia="hr-HR"/>
        </w:rPr>
        <w:t xml:space="preserve"> (nastavak)</w:t>
      </w:r>
    </w:p>
    <w:p w14:paraId="73D20DEF"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5C6D8B60"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4B4498">
        <w:rPr>
          <w:rFonts w:ascii="Arial" w:eastAsia="Calibri" w:hAnsi="Arial" w:cs="Arial"/>
          <w:iCs/>
          <w:sz w:val="20"/>
          <w:szCs w:val="20"/>
          <w:lang w:val="hr-HR"/>
        </w:rPr>
        <w:t>(a) Grupa kao najmoprimac</w:t>
      </w:r>
      <w:r>
        <w:rPr>
          <w:rFonts w:ascii="Arial" w:eastAsia="Calibri" w:hAnsi="Arial" w:cs="Arial"/>
          <w:iCs/>
          <w:sz w:val="20"/>
          <w:szCs w:val="20"/>
          <w:lang w:val="hr-HR"/>
        </w:rPr>
        <w:t xml:space="preserve"> (nastavak)</w:t>
      </w:r>
    </w:p>
    <w:p w14:paraId="7188BDF6" w14:textId="77777777" w:rsidR="004E2F51"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25EC6946" w14:textId="77777777" w:rsidR="004E2F51" w:rsidRPr="00644EC6"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Kratkoročni najmovi i najmovi imovine male vrijednosti</w:t>
      </w:r>
    </w:p>
    <w:p w14:paraId="798F7346" w14:textId="77777777" w:rsidR="004E2F51" w:rsidRPr="00644EC6"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0F464443" w14:textId="77777777" w:rsidR="004E2F51" w:rsidRPr="00644EC6"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Grupa je odabrala opciju nepriznavanja imovine s pravom korištenja i obveza po najmu za najmove imovine male vrijednosti i kratkoročne najmove. Grupa priznaje plaćanja najma povezana s tim najmovima kao trošak primjenom linearne metode tijekom trajanja najma.</w:t>
      </w:r>
    </w:p>
    <w:p w14:paraId="15B56D53" w14:textId="77777777" w:rsidR="004E2F51" w:rsidRPr="00644EC6"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6C2FB85B" w14:textId="77777777" w:rsidR="004E2F51"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644EC6">
        <w:rPr>
          <w:rFonts w:ascii="Arial" w:eastAsia="Calibri" w:hAnsi="Arial" w:cs="Arial"/>
          <w:iCs/>
          <w:sz w:val="20"/>
          <w:szCs w:val="20"/>
          <w:lang w:val="hr-HR"/>
        </w:rPr>
        <w:t>Grupa nije imala financijskih najmova u svom portfelju.</w:t>
      </w:r>
    </w:p>
    <w:p w14:paraId="7DC06587" w14:textId="77777777" w:rsidR="004E2F51" w:rsidRPr="00A873BB"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5903F097" w14:textId="77777777" w:rsidR="004E2F51" w:rsidRPr="00A873BB"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A873BB">
        <w:rPr>
          <w:rFonts w:ascii="Arial" w:eastAsia="Calibri" w:hAnsi="Arial" w:cs="Arial"/>
          <w:iCs/>
          <w:sz w:val="20"/>
          <w:szCs w:val="20"/>
          <w:lang w:val="hr-HR"/>
        </w:rPr>
        <w:t xml:space="preserve">(b) Grupa kao najmodavac                                                                         </w:t>
      </w:r>
    </w:p>
    <w:p w14:paraId="0731B723" w14:textId="77777777" w:rsidR="004E2F51" w:rsidRPr="00A873BB"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194B6ADF"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r w:rsidRPr="00A873BB">
        <w:rPr>
          <w:rFonts w:ascii="Arial" w:eastAsia="Calibri" w:hAnsi="Arial" w:cs="Arial"/>
          <w:iCs/>
          <w:sz w:val="20"/>
          <w:szCs w:val="20"/>
          <w:lang w:val="hr-HR"/>
        </w:rPr>
        <w:t>Najmovi u kojima najmodavac zadržava bitan udio rizika i koristi vlasništva klasificiraju se kao operativni najmovi. Imovina u operativnom najmu uključuje se u ‘Ulaganja</w:t>
      </w:r>
      <w:r w:rsidRPr="004B4498">
        <w:rPr>
          <w:rFonts w:ascii="Arial" w:eastAsia="Calibri" w:hAnsi="Arial" w:cs="Arial"/>
          <w:iCs/>
          <w:sz w:val="20"/>
          <w:szCs w:val="20"/>
          <w:lang w:val="hr-HR"/>
        </w:rPr>
        <w:t xml:space="preserve"> u nekretnine' u izvještaju o financijskom položaju. Ulaganja u nekretnine iskazana su u </w:t>
      </w:r>
      <w:r w:rsidRPr="00A873BB">
        <w:rPr>
          <w:rFonts w:ascii="Arial" w:eastAsia="Calibri" w:hAnsi="Arial" w:cs="Arial"/>
          <w:iCs/>
          <w:sz w:val="20"/>
          <w:szCs w:val="20"/>
          <w:lang w:val="hr-HR"/>
        </w:rPr>
        <w:t>bilješci 21.</w:t>
      </w:r>
      <w:r w:rsidRPr="004B4498">
        <w:rPr>
          <w:rFonts w:ascii="Arial" w:eastAsia="Calibri" w:hAnsi="Arial" w:cs="Arial"/>
          <w:iCs/>
          <w:sz w:val="20"/>
          <w:szCs w:val="20"/>
          <w:lang w:val="hr-HR"/>
        </w:rPr>
        <w:t xml:space="preserve"> Ostala imovina zbog nematerijalnosti iznosa. Imovina se amortizira po pravocrtnoj osnovi jednako kao i ostale stavke nekretnina i opreme. Prihod od najma priznaje se tijekom trajanja najma.</w:t>
      </w:r>
    </w:p>
    <w:p w14:paraId="7D4FA67A"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iCs/>
          <w:sz w:val="20"/>
          <w:szCs w:val="20"/>
          <w:lang w:val="hr-HR"/>
        </w:rPr>
      </w:pPr>
    </w:p>
    <w:p w14:paraId="73B2A2BC"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2719EF6C"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F. Porez na dobit</w:t>
      </w:r>
    </w:p>
    <w:p w14:paraId="2902D615"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6CDBA0EB" w14:textId="77777777" w:rsidR="004E2F51" w:rsidRPr="004B4498" w:rsidRDefault="004E2F51" w:rsidP="004E2F51">
      <w:pPr>
        <w:pStyle w:val="T1"/>
        <w:keepNext w:val="0"/>
        <w:tabs>
          <w:tab w:val="left" w:pos="426"/>
        </w:tabs>
        <w:spacing w:before="0" w:after="0" w:line="240" w:lineRule="auto"/>
        <w:rPr>
          <w:rFonts w:cs="Arial"/>
          <w:color w:val="000000" w:themeColor="text1"/>
          <w:sz w:val="20"/>
          <w:lang w:val="hr-HR" w:eastAsia="hr-HR"/>
        </w:rPr>
      </w:pPr>
      <w:r w:rsidRPr="004B4498">
        <w:rPr>
          <w:rFonts w:cs="Arial"/>
          <w:b w:val="0"/>
          <w:bCs w:val="0"/>
          <w:color w:val="000000" w:themeColor="text1"/>
          <w:sz w:val="20"/>
          <w:lang w:val="hr-HR"/>
        </w:rPr>
        <w:t xml:space="preserve">Matično društvo temeljem članka 9. Zakona o HBOR-u nije obveznik plaćanja poreza na dobit. </w:t>
      </w:r>
      <w:r w:rsidRPr="004B4498">
        <w:rPr>
          <w:rFonts w:cs="Arial"/>
          <w:b w:val="0"/>
          <w:color w:val="000000" w:themeColor="text1"/>
          <w:sz w:val="20"/>
          <w:lang w:val="hr-HR" w:eastAsia="hr-HR"/>
        </w:rPr>
        <w:t>Obveze za porez na dobit proizlaze isključivo iz aktivnosti drugih članica Grupe.</w:t>
      </w:r>
    </w:p>
    <w:p w14:paraId="40B9478A" w14:textId="77777777" w:rsidR="004E2F51" w:rsidRPr="004B4498" w:rsidRDefault="004E2F51" w:rsidP="004E2F51">
      <w:pPr>
        <w:pStyle w:val="BodyText"/>
        <w:ind w:right="-1"/>
        <w:jc w:val="both"/>
        <w:rPr>
          <w:rFonts w:ascii="Arial" w:hAnsi="Arial" w:cs="Arial"/>
          <w:color w:val="000000" w:themeColor="text1"/>
          <w:sz w:val="20"/>
          <w:lang w:val="hr-HR"/>
        </w:rPr>
      </w:pPr>
      <w:r w:rsidRPr="004B4498">
        <w:rPr>
          <w:rFonts w:ascii="Arial" w:hAnsi="Arial" w:cs="Arial"/>
          <w:color w:val="000000" w:themeColor="text1"/>
          <w:sz w:val="20"/>
          <w:lang w:val="hr-HR" w:eastAsia="hr-HR"/>
        </w:rPr>
        <w:t xml:space="preserve">Porez na dobit obračunava se na oporezivu dobit za godinu i sastoji se od tekućeg i odgođenog poreza. Porez na dobit priznaje se u dobit ili gubitak, osim u mjeri u kojoj se odnosi na stavke priznate izravno u kapitalu, u kojem slučaju se priznaju u kapitalu. </w:t>
      </w:r>
      <w:r w:rsidRPr="004B4498">
        <w:rPr>
          <w:rFonts w:ascii="Arial" w:hAnsi="Arial" w:cs="Arial"/>
          <w:color w:val="000000" w:themeColor="text1"/>
          <w:sz w:val="20"/>
          <w:lang w:val="hr-HR"/>
        </w:rPr>
        <w:t>Tekući porez predstavlja očekivanu poreznu obvezu obračunatu na oporezivi iznos dobiti za godinu, koristeći porezne stope koje su stupile na snagu ili su bile na snazi na izvještajni datum te sve korekcije iznosa porezne obveze za prethodna razdoblja.</w:t>
      </w:r>
    </w:p>
    <w:p w14:paraId="1EFA4FD4" w14:textId="77777777" w:rsidR="004E2F51" w:rsidRPr="004B4498" w:rsidRDefault="004E2F51" w:rsidP="004E2F51">
      <w:pPr>
        <w:pStyle w:val="MACNormal"/>
        <w:numPr>
          <w:ilvl w:val="12"/>
          <w:numId w:val="0"/>
        </w:numPr>
        <w:tabs>
          <w:tab w:val="left" w:pos="800"/>
          <w:tab w:val="left" w:pos="2240"/>
          <w:tab w:val="right" w:pos="4220"/>
          <w:tab w:val="right" w:pos="5660"/>
          <w:tab w:val="decimal" w:pos="7100"/>
          <w:tab w:val="decimal" w:pos="8540"/>
        </w:tabs>
        <w:spacing w:before="120" w:after="120"/>
        <w:rPr>
          <w:rFonts w:ascii="Arial" w:hAnsi="Arial" w:cs="Arial"/>
          <w:color w:val="000000" w:themeColor="text1"/>
          <w:lang w:val="hr-HR"/>
        </w:rPr>
      </w:pPr>
      <w:r w:rsidRPr="004B4498">
        <w:rPr>
          <w:rFonts w:ascii="Arial" w:hAnsi="Arial" w:cs="Arial"/>
          <w:color w:val="000000" w:themeColor="text1"/>
          <w:lang w:val="hr-HR" w:eastAsia="en-US"/>
        </w:rPr>
        <w:t xml:space="preserve">Iznos odgođenog poreza izračunava se metodom bilančne obveze. Odgođeni porez na dobit odražava privremene razlike između knjigovodstvene vrijednosti imovine i obveza za potrebe financijskog izvještavanja i iznosa koji se koriste za potrebe izračuna poreza. Odgođena porezna imovina i obveze mjere se </w:t>
      </w:r>
      <w:r w:rsidRPr="004B4498">
        <w:rPr>
          <w:rFonts w:ascii="Arial" w:hAnsi="Arial" w:cs="Arial"/>
          <w:color w:val="000000" w:themeColor="text1"/>
          <w:lang w:val="hr-HR"/>
        </w:rPr>
        <w:t>primjenom poreznih stopa za koje se očekuje da će se primjenjivati ​​na oporezivu dobit u godinama u kojima se očekuje da će se te privremene razlike nadoknaditi ili namiriti na temelju poreznih stopa koje su stupile na snagu ili su bile na snazi na izvještajni datum.</w:t>
      </w:r>
    </w:p>
    <w:p w14:paraId="03D53191"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Mjerenje odgođenih poreznih obveza i imovine odražava porezne posljedice koje proizlaze iz načina na koji Grupa očekuje, na datum izvještavanja, povrat ili podmirenje knjigovodstvene vrijednosti imovine i obveza.</w:t>
      </w:r>
    </w:p>
    <w:p w14:paraId="24DB27F9"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Odgođena porezna imovina i obveze se ne diskontiraju te se klasificiraju kao dugotrajna imovina i / ili obveze u izvještaju o financijskom položaju. Odgođena porezna imovina priznaje se kada je vjerojatno da će biti raspoloživa dostatna oporeziva dobit za koju se može iskoristiti odgođena porezna imovina. Na svaki datum izvještaja o financijskom položaju, Grupa ponovno procjenjuje nepriznatu potencijalnu odgođenu poreznu imovinu i knjigovodstvenu vrijednost priznate odgođene porezne imovine.</w:t>
      </w:r>
    </w:p>
    <w:p w14:paraId="069939F3" w14:textId="77777777" w:rsidR="004E2F51"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sectPr w:rsidR="004E2F51" w:rsidSect="00623DBA">
          <w:footerReference w:type="default" r:id="rId91"/>
          <w:pgSz w:w="11907" w:h="16840" w:code="9"/>
          <w:pgMar w:top="1418" w:right="1134" w:bottom="1134" w:left="1418" w:header="851" w:footer="851" w:gutter="0"/>
          <w:cols w:space="720"/>
          <w:noEndnote/>
        </w:sectPr>
      </w:pPr>
      <w:r w:rsidRPr="004B4498">
        <w:rPr>
          <w:rFonts w:ascii="Arial" w:hAnsi="Arial" w:cs="Arial"/>
          <w:color w:val="000000" w:themeColor="text1"/>
          <w:sz w:val="20"/>
          <w:szCs w:val="20"/>
          <w:lang w:val="hr-HR" w:eastAsia="hr-HR"/>
        </w:rPr>
        <w:t>Odgođena porezna imovina i obveze prebijaju se samo ako su ispunjeni određeni kriteriji.</w:t>
      </w:r>
    </w:p>
    <w:p w14:paraId="3F50E57C"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1D80A775"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6BA4EC13"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31017410"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1FCE57AA"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p>
    <w:p w14:paraId="4A05E408"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w:t>
      </w:r>
    </w:p>
    <w:p w14:paraId="5F09E77D"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p>
    <w:p w14:paraId="1A02856C"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 Priznavanje i početno mjerenje</w:t>
      </w:r>
    </w:p>
    <w:p w14:paraId="6DC53FFF"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43350994"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Grupa početno priznaje kredite financijskim institucijama, kredite ostalim korisnicima, depozite i izdane dužničke vrijednosne papire na datum nastanka. Svi ostali financijski instrumenti (uključujući redovitu kupnju i prodaju financijske imovine) priznaju se na datum trgovanja, odnosno na datum na koji Grupa postaje strana ugovornih odredbi instrumenta.</w:t>
      </w:r>
    </w:p>
    <w:p w14:paraId="64BD5AFD"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4F588F26"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Financijska imovina ili financijska obveza početno se mjeri po fer vrijednosti, koja se kod financijske imovine koja se naknadno ne mjeri po fer vrijednosti kroz dobit ili gubitak uvećava za transakcijske troškove koji se mogu izravno pripisati stjecanju ili izdavanju financijske imovine.</w:t>
      </w:r>
    </w:p>
    <w:p w14:paraId="13788C95" w14:textId="77777777" w:rsidR="004E2F51" w:rsidRPr="004B4498" w:rsidRDefault="004E2F51" w:rsidP="004E2F51">
      <w:pPr>
        <w:jc w:val="both"/>
        <w:rPr>
          <w:rFonts w:ascii="Arial" w:hAnsi="Arial" w:cs="Arial"/>
          <w:b/>
          <w:color w:val="000000" w:themeColor="text1"/>
          <w:sz w:val="20"/>
          <w:szCs w:val="20"/>
          <w:lang w:val="hr-HR"/>
        </w:rPr>
      </w:pPr>
    </w:p>
    <w:p w14:paraId="12B5F990"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ii. Klasifikacija</w:t>
      </w:r>
    </w:p>
    <w:p w14:paraId="6A33BD16"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5DE9E289"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eastAsia="hr-HR"/>
        </w:rPr>
        <w:t>Nakon početnog priznavanja, financijska imovina se klasificira kao mjerena po amortiziranom trošku, po fer vrijednosti kroz ostalu sveobuhvatnu dobit ili po fer vrijednosti kroz dobiti ili gubitak.</w:t>
      </w:r>
    </w:p>
    <w:p w14:paraId="70A49109"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745CFC5B"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color w:val="000000" w:themeColor="text1"/>
          <w:sz w:val="20"/>
          <w:szCs w:val="20"/>
          <w:lang w:val="hr-HR"/>
        </w:rPr>
      </w:pPr>
      <w:r w:rsidRPr="004B4498">
        <w:rPr>
          <w:rFonts w:ascii="Arial" w:hAnsi="Arial" w:cs="Arial"/>
          <w:color w:val="000000" w:themeColor="text1"/>
          <w:sz w:val="20"/>
          <w:szCs w:val="20"/>
          <w:lang w:val="hr-HR" w:eastAsia="hr-HR"/>
        </w:rPr>
        <w:t>Financijska imovina mjeri se po amortiziranom trošku ako ispunjava oba sljedeća uvjeta i ne mjeri se po fer vrijednosti kroz dobit ili gubitak:</w:t>
      </w:r>
    </w:p>
    <w:p w14:paraId="2E4A1317" w14:textId="77777777" w:rsidR="004E2F51" w:rsidRPr="004B4498" w:rsidRDefault="004E2F51">
      <w:pPr>
        <w:pStyle w:val="ListParagraph"/>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financijska imovina je alocirana u poslovni model čiji je cilj držanje imovine radi prikupljanja ugovornih novčanih tokova i</w:t>
      </w:r>
    </w:p>
    <w:p w14:paraId="6ACB1FB6" w14:textId="77777777" w:rsidR="004E2F51" w:rsidRPr="004B4498" w:rsidRDefault="004E2F51">
      <w:pPr>
        <w:pStyle w:val="ListParagraph"/>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ugovorni uvjeti financijske imovine nastaju na određene datume za novčane tokove – SPPI test je zadovoljen.</w:t>
      </w:r>
    </w:p>
    <w:p w14:paraId="0D8C7877"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60F61DB5"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Dužnički instrument mjeri se po fer vrijednosti kroz ostalu sveobuhvatnu dobit samo ako ispunjava oba sljedeća uvjeta i ne mjeri se po fer vrijednosti kroz dobit ili gubitak:</w:t>
      </w:r>
    </w:p>
    <w:p w14:paraId="5CDE9699" w14:textId="77777777" w:rsidR="004E2F51" w:rsidRPr="004B4498" w:rsidRDefault="004E2F51">
      <w:pPr>
        <w:pStyle w:val="ListParagraph"/>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imovina se drži unutar poslovnog modela čiji se cilj postiže prikupljanjem ugovornih novčanih tokova i prodajom financijske imovine; i</w:t>
      </w:r>
    </w:p>
    <w:p w14:paraId="6244505C" w14:textId="77777777" w:rsidR="004E2F51" w:rsidRPr="004B4498" w:rsidRDefault="004E2F51">
      <w:pPr>
        <w:pStyle w:val="ListParagraph"/>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ugovorni uvjeti financijske imovine nastaju na određene datume za novčane tokove – SPPI test je zadovoljen.</w:t>
      </w:r>
    </w:p>
    <w:p w14:paraId="71CBBF06"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p>
    <w:p w14:paraId="306C2EB5"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Prilikom početnog priznavanja ulaganja u vlasničke instrumente koji se ne drže radi trgovanja, Grupa može neopozivo izabrati opciju iskazivanja promjena fer vrijednosti kroz ostalu sveobuhvatnu dobit. Ovaj izbor se vrši na temelju ulaganja po investiciji.</w:t>
      </w:r>
    </w:p>
    <w:p w14:paraId="4148B463"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1D3D239E"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Sva ostala financijska imovina klasificira se kao financijska imovina po fer vrijednosti kroz dobit ili gubitak.</w:t>
      </w:r>
    </w:p>
    <w:p w14:paraId="4D8C1C38"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p>
    <w:p w14:paraId="1323768D"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Dodatno, pri početnom priznavanju, Grupa može neopozivo odlučiti da se financijska imovina mjeri po fer vrijednosti kroz dobit ili gubitak (financijska imovinu koja na drugi način ispunjava zahtjeve za mjerenjem po amortiziranom trošku ili po fer vrijednosti kroz ostalu sveobuhvatnu dobit) ako se time otklanja ili znatno umanjuje računovodstvena neusklađenost koja bi u protivnome nastala.</w:t>
      </w:r>
    </w:p>
    <w:p w14:paraId="5287A968"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p>
    <w:p w14:paraId="397ADEBC"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Poslovni modeli</w:t>
      </w:r>
    </w:p>
    <w:p w14:paraId="39BFB7FA" w14:textId="77777777" w:rsidR="004E2F51" w:rsidRPr="004B4498" w:rsidRDefault="004E2F51" w:rsidP="004E2F51">
      <w:pPr>
        <w:spacing w:before="12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Grupa procjenjuje cilj poslovnog modela u kojem se imovina drži na razini portfelja jer to najbolje odražava način na koji se upravlja poslovanjem te pružaju informacije rukovodstvu.</w:t>
      </w:r>
    </w:p>
    <w:p w14:paraId="0B01B7F5"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Sva financijska imovina, osim ulaganja u vlasničke vrijednosne papire klasificirane u kategoriju ulaganja u pridružena društva i ovisna društva s više od 20% glasačke moći ili kontrolom, grupirana je u poslovne modele koji odražavaju način na koji Grupa upravlja skupinom financijske imovine radi ostvarenja određenog poslovnog cilja i generiranja novčanih tokova.</w:t>
      </w:r>
    </w:p>
    <w:p w14:paraId="5BFAE614" w14:textId="77777777" w:rsidR="004E2F51" w:rsidRDefault="004E2F51" w:rsidP="004E2F51">
      <w:pPr>
        <w:pStyle w:val="ListParagraph"/>
        <w:ind w:left="840"/>
        <w:jc w:val="both"/>
        <w:rPr>
          <w:rFonts w:ascii="Arial" w:hAnsi="Arial" w:cs="Arial"/>
          <w:color w:val="000000" w:themeColor="text1"/>
          <w:sz w:val="20"/>
          <w:szCs w:val="20"/>
          <w:lang w:val="hr-HR"/>
        </w:rPr>
        <w:sectPr w:rsidR="004E2F51" w:rsidSect="00623DBA">
          <w:footerReference w:type="default" r:id="rId92"/>
          <w:pgSz w:w="11907" w:h="16840" w:code="9"/>
          <w:pgMar w:top="1418" w:right="1134" w:bottom="1134" w:left="1418" w:header="851" w:footer="851" w:gutter="0"/>
          <w:cols w:space="720"/>
          <w:noEndnote/>
        </w:sectPr>
      </w:pPr>
    </w:p>
    <w:p w14:paraId="43597052" w14:textId="77777777" w:rsidR="004E2F51" w:rsidRDefault="004E2F51" w:rsidP="004E2F51">
      <w:pPr>
        <w:pStyle w:val="ListParagraph"/>
        <w:ind w:left="840"/>
        <w:jc w:val="both"/>
        <w:rPr>
          <w:rFonts w:ascii="Arial" w:hAnsi="Arial" w:cs="Arial"/>
          <w:color w:val="000000" w:themeColor="text1"/>
          <w:sz w:val="20"/>
          <w:szCs w:val="20"/>
          <w:lang w:val="hr-HR"/>
        </w:rPr>
      </w:pPr>
    </w:p>
    <w:p w14:paraId="5936D892" w14:textId="77777777" w:rsidR="004E2F51" w:rsidRDefault="004E2F51" w:rsidP="004E2F51">
      <w:pPr>
        <w:pStyle w:val="ListParagraph"/>
        <w:ind w:left="840"/>
        <w:jc w:val="both"/>
        <w:rPr>
          <w:rFonts w:ascii="Arial" w:hAnsi="Arial" w:cs="Arial"/>
          <w:color w:val="000000" w:themeColor="text1"/>
          <w:sz w:val="20"/>
          <w:szCs w:val="20"/>
          <w:lang w:val="hr-HR"/>
        </w:rPr>
      </w:pPr>
    </w:p>
    <w:p w14:paraId="281F50A0"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5464E011"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3CF4D321"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1754627F"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p>
    <w:p w14:paraId="1B535CE2"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681F0D29"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p>
    <w:p w14:paraId="0A48CD8B"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ii. Klasifikacija (nastavak)</w:t>
      </w:r>
    </w:p>
    <w:p w14:paraId="2601F356" w14:textId="77777777" w:rsidR="004E2F51" w:rsidRDefault="004E2F51" w:rsidP="004E2F51">
      <w:pPr>
        <w:jc w:val="both"/>
        <w:rPr>
          <w:rFonts w:ascii="Arial" w:hAnsi="Arial" w:cs="Arial"/>
          <w:color w:val="000000" w:themeColor="text1"/>
          <w:sz w:val="20"/>
          <w:szCs w:val="20"/>
          <w:lang w:val="hr-HR"/>
        </w:rPr>
      </w:pPr>
    </w:p>
    <w:p w14:paraId="33E0F9AB"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Poslovni modeli (nastavak)</w:t>
      </w:r>
    </w:p>
    <w:p w14:paraId="58D6DD47" w14:textId="77777777" w:rsidR="004E2F51" w:rsidRDefault="004E2F51" w:rsidP="004E2F51">
      <w:pPr>
        <w:jc w:val="both"/>
        <w:rPr>
          <w:rFonts w:ascii="Arial" w:hAnsi="Arial" w:cs="Arial"/>
          <w:color w:val="000000" w:themeColor="text1"/>
          <w:sz w:val="20"/>
          <w:szCs w:val="20"/>
          <w:lang w:val="hr-HR"/>
        </w:rPr>
      </w:pPr>
    </w:p>
    <w:p w14:paraId="45F3C38F" w14:textId="77777777" w:rsidR="004E2F51" w:rsidRPr="004B4498" w:rsidRDefault="004E2F51" w:rsidP="004E2F51">
      <w:pPr>
        <w:ind w:left="567" w:hanging="567"/>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Poslovni modeli Grupe su:</w:t>
      </w:r>
    </w:p>
    <w:p w14:paraId="33A22BD4" w14:textId="77777777" w:rsidR="004E2F51" w:rsidRDefault="004E2F51" w:rsidP="004E2F51">
      <w:pPr>
        <w:pStyle w:val="ListParagraph"/>
        <w:ind w:left="840"/>
        <w:jc w:val="both"/>
        <w:rPr>
          <w:rFonts w:ascii="Arial" w:hAnsi="Arial" w:cs="Arial"/>
          <w:color w:val="000000" w:themeColor="text1"/>
          <w:sz w:val="20"/>
          <w:szCs w:val="20"/>
          <w:lang w:val="hr-HR"/>
        </w:rPr>
      </w:pPr>
    </w:p>
    <w:p w14:paraId="6F78268D" w14:textId="77777777" w:rsidR="004E2F51" w:rsidRPr="004B4498" w:rsidRDefault="004E2F51">
      <w:pPr>
        <w:pStyle w:val="ListParagraph"/>
        <w:numPr>
          <w:ilvl w:val="0"/>
          <w:numId w:val="33"/>
        </w:numPr>
        <w:suppressAutoHyphens w:val="0"/>
        <w:autoSpaceDN/>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Poslovni model čiji je cilj držanje imovine radi naplate ugovorenih novčanih tokova – objedinjava svu financijsku imovinu koja se drži radi naplate ugovorenih novčanih tokova tijekom vijeka trajanja financijskog instrumenta. </w:t>
      </w:r>
    </w:p>
    <w:p w14:paraId="6F6BD473" w14:textId="77777777" w:rsidR="004E2F51" w:rsidRPr="004B4498" w:rsidRDefault="004E2F51" w:rsidP="004E2F51">
      <w:pPr>
        <w:pStyle w:val="ListParagraph"/>
        <w:ind w:left="1080"/>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Poslovni model radi naplate prolazi SPPI test (engl. Solely payments of principal and interest – u nastavku SPPI test), a u taj model alocirana je sljedeća financijska imovina:</w:t>
      </w:r>
    </w:p>
    <w:p w14:paraId="16C228E8" w14:textId="77777777" w:rsidR="004E2F51" w:rsidRPr="00282540" w:rsidRDefault="004E2F51">
      <w:pPr>
        <w:pStyle w:val="ListParagraph"/>
        <w:numPr>
          <w:ilvl w:val="1"/>
          <w:numId w:val="33"/>
        </w:numPr>
        <w:suppressAutoHyphens w:val="0"/>
        <w:autoSpaceDN/>
        <w:jc w:val="both"/>
        <w:rPr>
          <w:rFonts w:ascii="Arial" w:eastAsia="PMingLiU" w:hAnsi="Arial" w:cs="Arial"/>
          <w:color w:val="000000" w:themeColor="text1"/>
          <w:sz w:val="20"/>
          <w:szCs w:val="20"/>
          <w:lang w:val="hr-HR" w:eastAsia="hr-HR" w:bidi="hr-HR"/>
        </w:rPr>
      </w:pPr>
      <w:r w:rsidRPr="00282540">
        <w:rPr>
          <w:rFonts w:ascii="Arial" w:eastAsia="PMingLiU" w:hAnsi="Arial" w:cs="Arial"/>
          <w:color w:val="000000" w:themeColor="text1"/>
          <w:sz w:val="20"/>
          <w:szCs w:val="20"/>
          <w:lang w:val="hr-HR" w:eastAsia="hr-HR" w:bidi="hr-HR"/>
        </w:rPr>
        <w:t>novčana sredstva na transakcijskim računima,</w:t>
      </w:r>
    </w:p>
    <w:p w14:paraId="31A7F9C4" w14:textId="77777777" w:rsidR="004E2F51" w:rsidRPr="004B4498" w:rsidRDefault="004E2F51">
      <w:pPr>
        <w:pStyle w:val="ListParagraph"/>
        <w:numPr>
          <w:ilvl w:val="1"/>
          <w:numId w:val="33"/>
        </w:numPr>
        <w:suppressAutoHyphens w:val="0"/>
        <w:autoSpaceDN/>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 xml:space="preserve">depoziti kod banaka, </w:t>
      </w:r>
    </w:p>
    <w:p w14:paraId="1425917F" w14:textId="77777777" w:rsidR="004E2F51" w:rsidRPr="004B4498" w:rsidRDefault="004E2F51">
      <w:pPr>
        <w:pStyle w:val="ListParagraph"/>
        <w:numPr>
          <w:ilvl w:val="1"/>
          <w:numId w:val="33"/>
        </w:numPr>
        <w:suppressAutoHyphens w:val="0"/>
        <w:autoSpaceDN/>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krediti i obrnuti repo plasmani,</w:t>
      </w:r>
    </w:p>
    <w:p w14:paraId="004B7EF2" w14:textId="77777777" w:rsidR="004E2F51" w:rsidRPr="004B4498" w:rsidRDefault="004E2F51">
      <w:pPr>
        <w:pStyle w:val="ListParagraph"/>
        <w:numPr>
          <w:ilvl w:val="1"/>
          <w:numId w:val="33"/>
        </w:numPr>
        <w:suppressAutoHyphens w:val="0"/>
        <w:autoSpaceDN/>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ostala potraživanja.</w:t>
      </w:r>
    </w:p>
    <w:p w14:paraId="6B51BA2A" w14:textId="77777777" w:rsidR="004E2F51" w:rsidRPr="004B4498" w:rsidRDefault="004E2F51" w:rsidP="004E2F51">
      <w:pPr>
        <w:pStyle w:val="ListParagraph"/>
        <w:ind w:left="108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Kreditni rizik je osnovni rizik kojim se upravlja u okviru ovog poslovnog modela.</w:t>
      </w:r>
    </w:p>
    <w:p w14:paraId="395FDC90" w14:textId="77777777" w:rsidR="004E2F51" w:rsidRPr="004B4498" w:rsidRDefault="004E2F51" w:rsidP="004E2F51">
      <w:pPr>
        <w:pStyle w:val="ListParagraph"/>
        <w:ind w:left="1080"/>
        <w:jc w:val="both"/>
        <w:rPr>
          <w:rFonts w:ascii="Arial" w:hAnsi="Arial" w:cs="Arial"/>
          <w:color w:val="000000" w:themeColor="text1"/>
          <w:sz w:val="20"/>
          <w:szCs w:val="20"/>
          <w:lang w:val="hr-HR"/>
        </w:rPr>
      </w:pPr>
    </w:p>
    <w:p w14:paraId="2D9D598E" w14:textId="77777777" w:rsidR="004E2F51" w:rsidRPr="004B4498" w:rsidRDefault="004E2F51">
      <w:pPr>
        <w:pStyle w:val="ListParagraph"/>
        <w:numPr>
          <w:ilvl w:val="0"/>
          <w:numId w:val="33"/>
        </w:numPr>
        <w:suppressAutoHyphens w:val="0"/>
        <w:autoSpaceDN/>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Poslovni model čiji je cilj prikupljanje ugovorenih novčanih tokova i prodaja financijske imovine – objedinjava financijsku imovinu koja se drži s ciljem prikupljanja ugovorenih novčanih tokova i prodaje financijske imovine.</w:t>
      </w:r>
    </w:p>
    <w:p w14:paraId="08815CE1" w14:textId="77777777" w:rsidR="004E2F51" w:rsidRPr="004B4498" w:rsidRDefault="004E2F51" w:rsidP="004E2F51">
      <w:pPr>
        <w:pStyle w:val="ListParagraph"/>
        <w:ind w:left="1080"/>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U poslovni model radi naplate i prodaje alocirana je sljedeća financijska imovina:</w:t>
      </w:r>
    </w:p>
    <w:p w14:paraId="65D4D15E" w14:textId="77777777" w:rsidR="004E2F51" w:rsidRPr="004B4498" w:rsidRDefault="004E2F51">
      <w:pPr>
        <w:pStyle w:val="ListParagraph"/>
        <w:numPr>
          <w:ilvl w:val="1"/>
          <w:numId w:val="33"/>
        </w:numPr>
        <w:suppressAutoHyphens w:val="0"/>
        <w:autoSpaceDN/>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 xml:space="preserve">dužnički vrijednosni papiri (prolazi SPPI test), </w:t>
      </w:r>
    </w:p>
    <w:p w14:paraId="3070F4BE" w14:textId="77777777" w:rsidR="004E2F51" w:rsidRPr="004B4498" w:rsidRDefault="004E2F51">
      <w:pPr>
        <w:pStyle w:val="ListParagraph"/>
        <w:numPr>
          <w:ilvl w:val="1"/>
          <w:numId w:val="33"/>
        </w:numPr>
        <w:suppressAutoHyphens w:val="0"/>
        <w:autoSpaceDN/>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vlasnički vrijednosni papiri (ne prolaze SPPI test),</w:t>
      </w:r>
    </w:p>
    <w:p w14:paraId="7869DE95" w14:textId="77777777" w:rsidR="004E2F51" w:rsidRPr="004B4498" w:rsidRDefault="004E2F51">
      <w:pPr>
        <w:pStyle w:val="ListParagraph"/>
        <w:numPr>
          <w:ilvl w:val="1"/>
          <w:numId w:val="33"/>
        </w:numPr>
        <w:suppressAutoHyphens w:val="0"/>
        <w:autoSpaceDN/>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udjeli u investicijskim fondovima (ne prolaze SPPI test),</w:t>
      </w:r>
    </w:p>
    <w:p w14:paraId="108CF7DD" w14:textId="77777777" w:rsidR="004E2F51" w:rsidRPr="004B4498" w:rsidRDefault="004E2F51" w:rsidP="004E2F51">
      <w:pPr>
        <w:ind w:left="397" w:firstLine="68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Rizik likvidnosti je osnovni rizik kojim se upravlja u okviru ovog poslovnog modela.</w:t>
      </w:r>
    </w:p>
    <w:p w14:paraId="0B0D84F9" w14:textId="77777777" w:rsidR="004E2F51" w:rsidRPr="004B4498" w:rsidRDefault="004E2F51" w:rsidP="004E2F51">
      <w:pPr>
        <w:jc w:val="both"/>
        <w:rPr>
          <w:rFonts w:ascii="Arial" w:hAnsi="Arial" w:cs="Arial"/>
          <w:b/>
          <w:color w:val="000000" w:themeColor="text1"/>
          <w:sz w:val="20"/>
          <w:szCs w:val="20"/>
          <w:lang w:val="hr-HR"/>
        </w:rPr>
      </w:pPr>
    </w:p>
    <w:p w14:paraId="20B2F3F7" w14:textId="77777777" w:rsidR="004E2F51" w:rsidRPr="004B4498" w:rsidRDefault="004E2F51">
      <w:pPr>
        <w:pStyle w:val="ListParagraph"/>
        <w:keepNext/>
        <w:numPr>
          <w:ilvl w:val="0"/>
          <w:numId w:val="33"/>
        </w:numPr>
        <w:tabs>
          <w:tab w:val="left" w:pos="426"/>
        </w:tabs>
        <w:suppressAutoHyphens w:val="0"/>
        <w:autoSpaceDN/>
        <w:ind w:left="1077" w:hanging="368"/>
        <w:jc w:val="both"/>
        <w:rPr>
          <w:rFonts w:ascii="Arial" w:hAnsi="Arial" w:cs="Arial"/>
          <w:b/>
          <w:bCs/>
          <w:color w:val="000000" w:themeColor="text1"/>
          <w:sz w:val="20"/>
          <w:szCs w:val="20"/>
          <w:lang w:val="hr-HR"/>
        </w:rPr>
      </w:pPr>
      <w:r w:rsidRPr="004B4498">
        <w:rPr>
          <w:rFonts w:ascii="Arial" w:hAnsi="Arial" w:cs="Arial"/>
          <w:color w:val="000000" w:themeColor="text1"/>
          <w:sz w:val="20"/>
          <w:szCs w:val="20"/>
          <w:lang w:val="hr-HR"/>
        </w:rPr>
        <w:t>Poslovni model unutar kojeg se financijska imovina mjeri po fer vrijednosti kroz dobit ili gubitak (ne prolazi SPPI test) – objedinjuje svu financijsku imovinu koja se ne drži u okviru prethodno navedena dva poslovna modela.</w:t>
      </w:r>
    </w:p>
    <w:p w14:paraId="0C46045B"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7"/>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 xml:space="preserve">Financijskom imovinom u ovom poslovnom modelu upravlja se s ciljem ostvarenja novčanih   tokova prodajom imovine i ostvarenjem kratkoročnog profita. </w:t>
      </w:r>
    </w:p>
    <w:p w14:paraId="7521BE51" w14:textId="77777777" w:rsidR="004E2F51" w:rsidRPr="004B4498" w:rsidRDefault="004E2F51" w:rsidP="004E2F51">
      <w:pPr>
        <w:jc w:val="both"/>
        <w:rPr>
          <w:rFonts w:ascii="Arial" w:hAnsi="Arial" w:cs="Arial"/>
          <w:b/>
          <w:color w:val="000000" w:themeColor="text1"/>
          <w:sz w:val="20"/>
          <w:szCs w:val="20"/>
          <w:lang w:val="hr-HR"/>
        </w:rPr>
      </w:pPr>
    </w:p>
    <w:p w14:paraId="2A8F3086"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iii. SPPI test</w:t>
      </w:r>
    </w:p>
    <w:p w14:paraId="52454B56"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color w:val="000000" w:themeColor="text1"/>
          <w:sz w:val="20"/>
          <w:szCs w:val="20"/>
          <w:lang w:val="hr-HR" w:eastAsia="hr-HR"/>
        </w:rPr>
      </w:pPr>
    </w:p>
    <w:p w14:paraId="47680718"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Za potrebe ove procjene, „glavnica“ se definira kao fer vrijednost financijske imovine prilikom početnog priznavanja. "Kamata" se definira kao naknada za vremensku vrijednost novca i za kreditni rizik povezan s nepodmirenim iznosom glavnice u određenom vremenskom razdoblju i za ostale osnovne kreditne rizike i troškove (npr. rizik likvidnosti i administrativni troškovi), kao i profitnom maržom.</w:t>
      </w:r>
    </w:p>
    <w:p w14:paraId="7CE51049" w14:textId="77777777" w:rsidR="004E2F51" w:rsidRPr="004B4498" w:rsidRDefault="004E2F51" w:rsidP="004E2F51">
      <w:pPr>
        <w:jc w:val="both"/>
        <w:rPr>
          <w:rFonts w:ascii="Arial" w:hAnsi="Arial" w:cs="Arial"/>
          <w:b/>
          <w:color w:val="000000" w:themeColor="text1"/>
          <w:sz w:val="20"/>
          <w:szCs w:val="20"/>
          <w:lang w:val="hr-HR"/>
        </w:rPr>
      </w:pPr>
    </w:p>
    <w:p w14:paraId="7AAEC849" w14:textId="77777777" w:rsidR="004E2F51" w:rsidRPr="004B4498" w:rsidRDefault="004E2F51" w:rsidP="004E2F51">
      <w:pPr>
        <w:tabs>
          <w:tab w:val="left" w:pos="426"/>
        </w:tabs>
        <w:jc w:val="both"/>
        <w:rPr>
          <w:rFonts w:ascii="Arial" w:eastAsia="PMingLiU" w:hAnsi="Arial" w:cs="Arial"/>
          <w:color w:val="000000" w:themeColor="text1"/>
          <w:sz w:val="20"/>
          <w:szCs w:val="20"/>
          <w:lang w:val="hr-HR" w:eastAsia="hr-HR" w:bidi="hr-HR"/>
        </w:rPr>
      </w:pPr>
      <w:r w:rsidRPr="004B4498">
        <w:rPr>
          <w:rFonts w:ascii="Arial" w:hAnsi="Arial" w:cs="Arial"/>
          <w:bCs/>
          <w:color w:val="000000" w:themeColor="text1"/>
          <w:sz w:val="20"/>
          <w:szCs w:val="20"/>
          <w:lang w:val="hr-HR"/>
        </w:rPr>
        <w:t xml:space="preserve">Test obilježja ugovorenih novčanih tokova s aspekta plaćanja samo glavnice i kamate na nepodmireni iznos glavnice </w:t>
      </w:r>
      <w:r w:rsidRPr="004B4498">
        <w:rPr>
          <w:rFonts w:ascii="Arial" w:eastAsia="PMingLiU" w:hAnsi="Arial" w:cs="Arial"/>
          <w:color w:val="000000" w:themeColor="text1"/>
          <w:sz w:val="20"/>
          <w:szCs w:val="20"/>
          <w:lang w:val="hr-HR" w:eastAsia="hr-HR" w:bidi="hr-HR"/>
        </w:rPr>
        <w:t xml:space="preserve">(engl. Solely payments of principal and interest – u nastavku SPPI test) jedan je od kriterija za klasifikaciju financijske imovine u pojedinu kategoriju mjerenja. SPPI test se provodi s ciljem utvrđivanja </w:t>
      </w:r>
    </w:p>
    <w:p w14:paraId="1E469DD2" w14:textId="77777777" w:rsidR="004E2F51" w:rsidRPr="004B4498" w:rsidRDefault="004E2F51" w:rsidP="004E2F51">
      <w:pPr>
        <w:tabs>
          <w:tab w:val="left" w:pos="426"/>
        </w:tabs>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da li kamata na nepodmirenu glavnicu odražava naknadu za vremensku vrijednost novca, kreditni rizik i druge osnovne rizike posudbe, troškove kreditiranja i profitnu maržu.</w:t>
      </w:r>
    </w:p>
    <w:p w14:paraId="16213A2A" w14:textId="77777777" w:rsidR="004E2F51" w:rsidRPr="004B4498" w:rsidRDefault="004E2F51" w:rsidP="004E2F51">
      <w:pPr>
        <w:tabs>
          <w:tab w:val="left" w:pos="426"/>
        </w:tabs>
        <w:jc w:val="both"/>
        <w:rPr>
          <w:rFonts w:ascii="Arial" w:eastAsia="PMingLiU" w:hAnsi="Arial" w:cs="Arial"/>
          <w:color w:val="000000" w:themeColor="text1"/>
          <w:sz w:val="20"/>
          <w:szCs w:val="20"/>
          <w:lang w:val="hr-HR" w:eastAsia="hr-HR" w:bidi="hr-HR"/>
        </w:rPr>
      </w:pPr>
    </w:p>
    <w:p w14:paraId="13C10B91" w14:textId="77777777" w:rsidR="004E2F51" w:rsidRPr="004B4498" w:rsidRDefault="004E2F51" w:rsidP="004E2F51">
      <w:pPr>
        <w:pStyle w:val="HTMLPreformatted"/>
        <w:jc w:val="both"/>
        <w:rPr>
          <w:rFonts w:ascii="Arial" w:hAnsi="Arial" w:cs="Arial"/>
          <w:color w:val="000000" w:themeColor="text1"/>
        </w:rPr>
        <w:sectPr w:rsidR="004E2F51" w:rsidRPr="004B4498" w:rsidSect="00623DBA">
          <w:footerReference w:type="default" r:id="rId93"/>
          <w:pgSz w:w="11907" w:h="16840" w:code="9"/>
          <w:pgMar w:top="1418" w:right="1134" w:bottom="1134" w:left="1418" w:header="851" w:footer="851" w:gutter="0"/>
          <w:cols w:space="720"/>
          <w:noEndnote/>
        </w:sectPr>
      </w:pPr>
      <w:r w:rsidRPr="004B4498">
        <w:rPr>
          <w:rFonts w:ascii="Arial" w:hAnsi="Arial" w:cs="Arial"/>
          <w:color w:val="000000" w:themeColor="text1"/>
        </w:rPr>
        <w:t>Prilikom procjene zadovoljavaju li ugovoreni novčani tokovi SPPI test, Grupa razmatra ugovorne uvjete instrumenta. To uključuje procjenu sadrži li financijska imovina ugovorni uvjet koji bi mogao promijeniti vrijeme ili iznos ugovorenih novčanih tokova tako da ne bi ispunio taj uvjet. Prilikom procjene, Grupa razmatra:</w:t>
      </w:r>
    </w:p>
    <w:p w14:paraId="6FE576E4"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510EF207"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4567D148"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p>
    <w:p w14:paraId="3AD48FB9"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079A7A83"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p>
    <w:p w14:paraId="4C5A9FF2"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4BB6F522"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p>
    <w:p w14:paraId="44E6FA9C"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i/>
          <w:color w:val="000000" w:themeColor="text1"/>
          <w:sz w:val="20"/>
          <w:szCs w:val="20"/>
          <w:lang w:val="hr-HR" w:eastAsia="hr-HR"/>
        </w:rPr>
      </w:pPr>
      <w:r w:rsidRPr="004B4498">
        <w:rPr>
          <w:rFonts w:ascii="Arial" w:hAnsi="Arial" w:cs="Arial"/>
          <w:b/>
          <w:i/>
          <w:color w:val="000000" w:themeColor="text1"/>
          <w:sz w:val="20"/>
          <w:szCs w:val="20"/>
          <w:lang w:val="hr-HR" w:eastAsia="hr-HR"/>
        </w:rPr>
        <w:t>iii. SPPI test (nastavak)</w:t>
      </w:r>
    </w:p>
    <w:p w14:paraId="6C2903AB" w14:textId="77777777" w:rsidR="004E2F51" w:rsidRPr="004B4498" w:rsidRDefault="004E2F51" w:rsidP="004E2F51">
      <w:pPr>
        <w:pStyle w:val="HTMLPreformatted"/>
        <w:jc w:val="both"/>
        <w:rPr>
          <w:rFonts w:ascii="Arial" w:hAnsi="Arial" w:cs="Arial"/>
          <w:color w:val="000000" w:themeColor="text1"/>
        </w:rPr>
      </w:pPr>
    </w:p>
    <w:p w14:paraId="7C7E9E85" w14:textId="77777777" w:rsidR="004E2F51" w:rsidRPr="004B4498" w:rsidRDefault="004E2F51" w:rsidP="004E2F51">
      <w:pPr>
        <w:pStyle w:val="HTMLPreformatted"/>
        <w:jc w:val="both"/>
        <w:rPr>
          <w:rFonts w:ascii="Arial" w:hAnsi="Arial" w:cs="Arial"/>
          <w:color w:val="000000" w:themeColor="text1"/>
        </w:rPr>
      </w:pPr>
      <w:r w:rsidRPr="004B4498">
        <w:rPr>
          <w:rFonts w:ascii="Arial" w:hAnsi="Arial" w:cs="Arial"/>
          <w:color w:val="000000" w:themeColor="text1"/>
        </w:rPr>
        <w:t>- nepredviđene događaje koji bi promijenili iznos i vrijeme novčanih tokova;</w:t>
      </w:r>
    </w:p>
    <w:p w14:paraId="209447A2" w14:textId="77777777" w:rsidR="004E2F51" w:rsidRPr="004B4498" w:rsidRDefault="004E2F51" w:rsidP="004E2F51">
      <w:pPr>
        <w:pStyle w:val="HTMLPreformatted"/>
        <w:jc w:val="both"/>
        <w:rPr>
          <w:rFonts w:ascii="Arial" w:hAnsi="Arial" w:cs="Arial"/>
          <w:color w:val="000000" w:themeColor="text1"/>
        </w:rPr>
      </w:pPr>
      <w:r w:rsidRPr="004B4498">
        <w:rPr>
          <w:rFonts w:ascii="Arial" w:hAnsi="Arial" w:cs="Arial"/>
          <w:color w:val="000000" w:themeColor="text1"/>
        </w:rPr>
        <w:t>- značajke (karakteristike) financijske poluge;</w:t>
      </w:r>
    </w:p>
    <w:p w14:paraId="738CDA4E" w14:textId="77777777" w:rsidR="004E2F51" w:rsidRPr="004B4498" w:rsidRDefault="004E2F51" w:rsidP="004E2F51">
      <w:pPr>
        <w:pStyle w:val="HTMLPreformatted"/>
        <w:jc w:val="both"/>
        <w:rPr>
          <w:rFonts w:ascii="Arial" w:hAnsi="Arial" w:cs="Arial"/>
          <w:color w:val="000000" w:themeColor="text1"/>
        </w:rPr>
      </w:pPr>
      <w:r w:rsidRPr="004B4498">
        <w:rPr>
          <w:rFonts w:ascii="Arial" w:hAnsi="Arial" w:cs="Arial"/>
          <w:color w:val="000000" w:themeColor="text1"/>
        </w:rPr>
        <w:t>- uvjete prijevremene otplate i produljenja roka otplate;</w:t>
      </w:r>
    </w:p>
    <w:p w14:paraId="7D9FD4F9" w14:textId="77777777" w:rsidR="004E2F51" w:rsidRPr="004B4498" w:rsidRDefault="004E2F51" w:rsidP="004E2F51">
      <w:pPr>
        <w:pStyle w:val="HTMLPreformatted"/>
        <w:jc w:val="both"/>
        <w:rPr>
          <w:rFonts w:ascii="Arial" w:hAnsi="Arial" w:cs="Arial"/>
          <w:color w:val="000000" w:themeColor="text1"/>
        </w:rPr>
      </w:pPr>
      <w:r w:rsidRPr="004B4498">
        <w:rPr>
          <w:rFonts w:ascii="Arial" w:hAnsi="Arial" w:cs="Arial"/>
          <w:color w:val="000000" w:themeColor="text1"/>
        </w:rPr>
        <w:t>- uvjete koji ograničavaju pravo na novčane tokove Grupe od navedene imovine (npr. krediti bez prava na regres); i</w:t>
      </w:r>
    </w:p>
    <w:p w14:paraId="77BA515C" w14:textId="77777777" w:rsidR="004E2F51" w:rsidRPr="004B4498" w:rsidRDefault="004E2F51" w:rsidP="004E2F51">
      <w:pPr>
        <w:tabs>
          <w:tab w:val="left" w:pos="42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značajke koje mijenjaju razmatranje vremenske vrijednosti novca (npr. periodično resetiranje kamatnih stopa).</w:t>
      </w:r>
    </w:p>
    <w:p w14:paraId="41D02ED5" w14:textId="77777777" w:rsidR="004E2F51" w:rsidRPr="004B4498" w:rsidRDefault="004E2F51" w:rsidP="004E2F51">
      <w:pPr>
        <w:tabs>
          <w:tab w:val="left" w:pos="426"/>
        </w:tabs>
        <w:contextualSpacing/>
        <w:jc w:val="both"/>
        <w:rPr>
          <w:rFonts w:ascii="Arial" w:hAnsi="Arial" w:cs="Arial"/>
          <w:color w:val="000000" w:themeColor="text1"/>
          <w:sz w:val="20"/>
          <w:szCs w:val="20"/>
          <w:lang w:val="hr-HR"/>
        </w:rPr>
      </w:pPr>
    </w:p>
    <w:p w14:paraId="6AA17752" w14:textId="77777777" w:rsidR="004E2F51" w:rsidRPr="004B4498" w:rsidRDefault="004E2F51" w:rsidP="004E2F51">
      <w:pPr>
        <w:tabs>
          <w:tab w:val="left" w:pos="426"/>
        </w:tabs>
        <w:contextualSpacing/>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SPPI test se provodi:</w:t>
      </w:r>
    </w:p>
    <w:p w14:paraId="4F6B6BBD" w14:textId="77777777" w:rsidR="004E2F51" w:rsidRPr="004B4498" w:rsidRDefault="004E2F51">
      <w:pPr>
        <w:pStyle w:val="ListParagraph"/>
        <w:numPr>
          <w:ilvl w:val="0"/>
          <w:numId w:val="34"/>
        </w:numPr>
        <w:suppressAutoHyphens w:val="0"/>
        <w:autoSpaceDN/>
        <w:ind w:left="284" w:hanging="331"/>
        <w:jc w:val="both"/>
        <w:rPr>
          <w:rFonts w:ascii="Arial" w:eastAsia="PMingLiU" w:hAnsi="Arial" w:cs="Arial"/>
          <w:color w:val="000000" w:themeColor="text1"/>
          <w:sz w:val="20"/>
          <w:szCs w:val="20"/>
          <w:lang w:val="hr-HR" w:eastAsia="hr-HR" w:bidi="hr-HR"/>
        </w:rPr>
      </w:pPr>
      <w:r w:rsidRPr="004B4498">
        <w:rPr>
          <w:rFonts w:ascii="Arial" w:hAnsi="Arial" w:cs="Arial"/>
          <w:color w:val="000000" w:themeColor="text1"/>
          <w:sz w:val="20"/>
          <w:szCs w:val="20"/>
          <w:lang w:val="hr-HR"/>
        </w:rPr>
        <w:t>za svaku</w:t>
      </w:r>
      <w:r w:rsidRPr="004B4498">
        <w:rPr>
          <w:rFonts w:ascii="Arial" w:eastAsia="PMingLiU" w:hAnsi="Arial" w:cs="Arial"/>
          <w:color w:val="000000" w:themeColor="text1"/>
          <w:sz w:val="20"/>
          <w:szCs w:val="20"/>
          <w:lang w:val="hr-HR" w:eastAsia="hr-HR" w:bidi="hr-HR"/>
        </w:rPr>
        <w:t xml:space="preserve"> financijsku imovinu, alociranu u poslovni model čiji je cilj držanje financijske imovine radi naplate ugovorenih novčanih tokova i poslovni model čiji je cilj prikupljanje ugovorenih novčanih tokova i prodaja financijske imovine, a na datum njenog inicijalnog priznavanja,</w:t>
      </w:r>
    </w:p>
    <w:p w14:paraId="67112187" w14:textId="77777777" w:rsidR="004E2F51" w:rsidRPr="004B4498" w:rsidRDefault="004E2F51">
      <w:pPr>
        <w:pStyle w:val="ListParagraph"/>
        <w:keepNext/>
        <w:numPr>
          <w:ilvl w:val="0"/>
          <w:numId w:val="34"/>
        </w:numPr>
        <w:tabs>
          <w:tab w:val="left" w:pos="426"/>
        </w:tabs>
        <w:suppressAutoHyphens w:val="0"/>
        <w:autoSpaceDN/>
        <w:ind w:left="284" w:hanging="331"/>
        <w:jc w:val="both"/>
        <w:rPr>
          <w:rFonts w:ascii="Arial" w:hAnsi="Arial" w:cs="Arial"/>
          <w:b/>
          <w:bCs/>
          <w:color w:val="000000" w:themeColor="text1"/>
          <w:sz w:val="20"/>
          <w:szCs w:val="20"/>
          <w:lang w:val="hr-HR"/>
        </w:rPr>
      </w:pPr>
      <w:r w:rsidRPr="004B4498">
        <w:rPr>
          <w:rFonts w:ascii="Arial" w:eastAsia="PMingLiU" w:hAnsi="Arial" w:cs="Arial"/>
          <w:color w:val="000000" w:themeColor="text1"/>
          <w:sz w:val="20"/>
          <w:szCs w:val="20"/>
          <w:lang w:val="hr-HR" w:eastAsia="hr-HR" w:bidi="hr-HR"/>
        </w:rPr>
        <w:t xml:space="preserve">za svaku financijsku imovinu u slučajevima u kojima je izvorna imovina značajno modificirana i zbog toga ponovno priznata kao nova imovina, </w:t>
      </w:r>
    </w:p>
    <w:p w14:paraId="17401927" w14:textId="77777777" w:rsidR="004E2F51" w:rsidRPr="004B4498" w:rsidRDefault="004E2F51">
      <w:pPr>
        <w:pStyle w:val="ListParagraph"/>
        <w:numPr>
          <w:ilvl w:val="0"/>
          <w:numId w:val="34"/>
        </w:numPr>
        <w:tabs>
          <w:tab w:val="clear" w:pos="1040"/>
        </w:tabs>
        <w:suppressAutoHyphens w:val="0"/>
        <w:autoSpaceDN/>
        <w:ind w:left="284" w:hanging="284"/>
        <w:rPr>
          <w:rFonts w:ascii="Arial" w:hAnsi="Arial" w:cs="Arial"/>
          <w:b/>
          <w:sz w:val="20"/>
          <w:szCs w:val="20"/>
          <w:lang w:val="hr-HR"/>
        </w:rPr>
      </w:pPr>
      <w:r w:rsidRPr="004B4498">
        <w:rPr>
          <w:rFonts w:ascii="Arial" w:eastAsia="PMingLiU" w:hAnsi="Arial" w:cs="Arial"/>
          <w:color w:val="000000" w:themeColor="text1"/>
          <w:sz w:val="20"/>
          <w:szCs w:val="20"/>
          <w:lang w:val="hr-HR" w:eastAsia="hr-HR" w:bidi="hr-HR"/>
        </w:rPr>
        <w:t>kod uvođenja novih modela i/ili programa kreditiranja kako bi se unaprijed utvrdila prihvatljivost razmatranih uvjeta kreditiranja u odnosu na potrebu kasnijeg praćenja vrijednosti eventualne financijske imovine koja bi proizašla iz istih.</w:t>
      </w:r>
    </w:p>
    <w:p w14:paraId="1111B03B" w14:textId="77777777" w:rsidR="004E2F51" w:rsidRPr="004B4498" w:rsidRDefault="004E2F51" w:rsidP="004E2F51">
      <w:pPr>
        <w:jc w:val="both"/>
        <w:rPr>
          <w:rFonts w:ascii="Arial" w:hAnsi="Arial" w:cs="Arial"/>
          <w:b/>
          <w:i/>
          <w:color w:val="000000" w:themeColor="text1"/>
          <w:sz w:val="20"/>
          <w:szCs w:val="20"/>
          <w:lang w:val="hr-HR"/>
        </w:rPr>
      </w:pPr>
    </w:p>
    <w:p w14:paraId="6EA290B6" w14:textId="77777777" w:rsidR="004E2F51" w:rsidRPr="004B4498" w:rsidRDefault="004E2F51" w:rsidP="004E2F51">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iv. Reklasifikacija financijske imovine</w:t>
      </w:r>
    </w:p>
    <w:p w14:paraId="6D9688AE" w14:textId="77777777" w:rsidR="004E2F51" w:rsidRPr="004B4498" w:rsidRDefault="004E2F51" w:rsidP="004E2F51">
      <w:pPr>
        <w:jc w:val="both"/>
        <w:rPr>
          <w:rFonts w:ascii="Arial" w:hAnsi="Arial" w:cs="Arial"/>
          <w:b/>
          <w:color w:val="000000" w:themeColor="text1"/>
          <w:sz w:val="20"/>
          <w:szCs w:val="20"/>
          <w:lang w:val="hr-HR"/>
        </w:rPr>
      </w:pPr>
    </w:p>
    <w:p w14:paraId="43067113"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 slučaju promjene poslovnog modela upravljanja financijskom imovinom, reklasificirati će se sva financijska imovina na koju utječe reklasifikacija. Reklasifikacija će se obaviti prospektivno, od datuma reklasifikacije, odnosno od prvog dana idućeg obračunskog razdoblja, ne prepravljajući, pri tom, prethodno priznatu dobit, gubitke ni kamate.</w:t>
      </w:r>
    </w:p>
    <w:p w14:paraId="692CB519" w14:textId="77777777" w:rsidR="004E2F51" w:rsidRPr="004B4498" w:rsidRDefault="004E2F51" w:rsidP="004E2F51">
      <w:pPr>
        <w:jc w:val="both"/>
        <w:rPr>
          <w:rFonts w:ascii="Arial" w:hAnsi="Arial" w:cs="Arial"/>
          <w:b/>
          <w:color w:val="000000" w:themeColor="text1"/>
          <w:sz w:val="20"/>
          <w:szCs w:val="20"/>
          <w:lang w:val="hr-HR"/>
        </w:rPr>
      </w:pPr>
    </w:p>
    <w:p w14:paraId="732C800F" w14:textId="77777777" w:rsidR="004E2F51" w:rsidRPr="004B4498" w:rsidRDefault="004E2F51" w:rsidP="004E2F51">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v. Prestanak priznavanja</w:t>
      </w:r>
    </w:p>
    <w:p w14:paraId="0D39A295" w14:textId="77777777" w:rsidR="004E2F51" w:rsidRPr="004B4498" w:rsidRDefault="004E2F51" w:rsidP="004E2F51">
      <w:pPr>
        <w:jc w:val="both"/>
        <w:rPr>
          <w:rFonts w:ascii="Arial" w:hAnsi="Arial" w:cs="Arial"/>
          <w:b/>
          <w:color w:val="000000" w:themeColor="text1"/>
          <w:sz w:val="20"/>
          <w:szCs w:val="20"/>
          <w:lang w:val="hr-HR"/>
        </w:rPr>
      </w:pPr>
    </w:p>
    <w:p w14:paraId="771EED97" w14:textId="77777777" w:rsidR="004E2F51" w:rsidRPr="004B4498" w:rsidRDefault="004E2F51" w:rsidP="004E2F51">
      <w:pPr>
        <w:pStyle w:val="HTMLPreformatted"/>
        <w:rPr>
          <w:rFonts w:ascii="Arial" w:hAnsi="Arial" w:cs="Arial"/>
          <w:color w:val="000000" w:themeColor="text1"/>
        </w:rPr>
      </w:pPr>
      <w:r w:rsidRPr="004B4498">
        <w:rPr>
          <w:rFonts w:ascii="Arial" w:hAnsi="Arial" w:cs="Arial"/>
          <w:color w:val="000000" w:themeColor="text1"/>
        </w:rPr>
        <w:t>Financijska imovina</w:t>
      </w:r>
    </w:p>
    <w:p w14:paraId="788DB449" w14:textId="77777777" w:rsidR="004E2F51" w:rsidRPr="004B4498" w:rsidRDefault="004E2F51" w:rsidP="004E2F51">
      <w:pPr>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Grupa prestaje priznavati financijsku imovinu kada isteknu ugovorna prava na novčane tokove od financijske imovine ili ako prenosi prava na primanje ugovornih novčanih tokova u transakciji u kojoj se prenose uglavnom svi rizici i koristi od vlasništva nad financijskom imovinom ili u kojima Grupa ne prenosi niti zadržava uglavnom sve rizike i nagrade povezane s vlasništvom te ne zadržava kontrolu nad financijskom imovinom.</w:t>
      </w:r>
    </w:p>
    <w:p w14:paraId="6F4A4D3A" w14:textId="77777777" w:rsidR="004E2F51" w:rsidRPr="004B4498" w:rsidRDefault="004E2F51" w:rsidP="004E2F51">
      <w:pPr>
        <w:jc w:val="both"/>
        <w:rPr>
          <w:rFonts w:ascii="Arial" w:hAnsi="Arial" w:cs="Arial"/>
          <w:b/>
          <w:color w:val="000000" w:themeColor="text1"/>
          <w:sz w:val="20"/>
          <w:szCs w:val="20"/>
          <w:lang w:val="hr-HR"/>
        </w:rPr>
      </w:pPr>
    </w:p>
    <w:p w14:paraId="10819BE4" w14:textId="77777777" w:rsidR="004E2F51" w:rsidRPr="004B4498" w:rsidRDefault="004E2F51" w:rsidP="004E2F51">
      <w:pPr>
        <w:jc w:val="both"/>
        <w:rPr>
          <w:rFonts w:ascii="Arial" w:hAnsi="Arial" w:cs="Arial"/>
          <w:color w:val="000000" w:themeColor="text1"/>
          <w:sz w:val="20"/>
          <w:szCs w:val="20"/>
          <w:lang w:val="hr-HR"/>
        </w:rPr>
        <w:sectPr w:rsidR="004E2F51" w:rsidRPr="004B4498" w:rsidSect="00623DBA">
          <w:footerReference w:type="default" r:id="rId94"/>
          <w:pgSz w:w="11907" w:h="16840" w:code="9"/>
          <w:pgMar w:top="1418" w:right="1134" w:bottom="1134" w:left="1418" w:header="851" w:footer="851" w:gutter="0"/>
          <w:cols w:space="720"/>
          <w:noEndnote/>
        </w:sectPr>
      </w:pPr>
      <w:r w:rsidRPr="004B4498">
        <w:rPr>
          <w:rFonts w:ascii="Arial" w:hAnsi="Arial" w:cs="Arial"/>
          <w:color w:val="000000" w:themeColor="text1"/>
          <w:sz w:val="20"/>
          <w:szCs w:val="20"/>
          <w:lang w:val="hr-HR"/>
        </w:rPr>
        <w:t>Nakon prestanka priznavanja financijske imovine, razlika između knjigovodstvene vrijednosti imovine (ili knjigovodstvenog iznosa raspoređenog na dio imovine koja se prestala priznavati) i zbroja (i) primljene naknade za dio koji se prestaje priznavati (uključujući svu novo stečenu imovinu umanjenu za sve preuzete nove obveze) i (ii) kumulativnog dobitka ili gubitka koji je priznat u ostaloj sveobuhvatnoj dobiti, priznaje se u dobiti ili gubitku.</w:t>
      </w:r>
    </w:p>
    <w:p w14:paraId="57462A02" w14:textId="77777777" w:rsidR="004E2F51" w:rsidRPr="004B4498" w:rsidRDefault="004E2F51" w:rsidP="004E2F51">
      <w:pPr>
        <w:jc w:val="both"/>
        <w:rPr>
          <w:rFonts w:ascii="Arial" w:hAnsi="Arial" w:cs="Arial"/>
          <w:color w:val="000000" w:themeColor="text1"/>
          <w:sz w:val="20"/>
          <w:szCs w:val="20"/>
          <w:lang w:val="hr-HR"/>
        </w:rPr>
      </w:pPr>
    </w:p>
    <w:p w14:paraId="39C660B3"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0A7881EE"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4C1D4534"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19F4A925" w14:textId="77777777" w:rsidR="004E2F51" w:rsidRPr="004B4498" w:rsidRDefault="004E2F51" w:rsidP="004E2F51">
      <w:pPr>
        <w:jc w:val="both"/>
        <w:rPr>
          <w:rFonts w:ascii="Arial" w:hAnsi="Arial" w:cs="Arial"/>
          <w:b/>
          <w:color w:val="000000" w:themeColor="text1"/>
          <w:sz w:val="20"/>
          <w:szCs w:val="20"/>
          <w:lang w:val="hr-HR"/>
        </w:rPr>
      </w:pPr>
    </w:p>
    <w:p w14:paraId="5A09AE55"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4071CE11" w14:textId="77777777" w:rsidR="004E2F51" w:rsidRPr="004B4498" w:rsidRDefault="004E2F51" w:rsidP="004E2F51">
      <w:pPr>
        <w:jc w:val="both"/>
        <w:rPr>
          <w:rFonts w:ascii="Arial" w:hAnsi="Arial" w:cs="Arial"/>
          <w:b/>
          <w:i/>
          <w:color w:val="000000" w:themeColor="text1"/>
          <w:sz w:val="20"/>
          <w:szCs w:val="20"/>
          <w:lang w:val="hr-HR"/>
        </w:rPr>
      </w:pPr>
    </w:p>
    <w:p w14:paraId="68FB3E30" w14:textId="77777777" w:rsidR="004E2F51" w:rsidRPr="004B4498" w:rsidRDefault="004E2F51" w:rsidP="004E2F51">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v. Prestanak priznavanja (nastavak)</w:t>
      </w:r>
    </w:p>
    <w:p w14:paraId="098D9361" w14:textId="77777777" w:rsidR="004E2F51" w:rsidRPr="004B4498" w:rsidRDefault="004E2F51" w:rsidP="004E2F51">
      <w:pPr>
        <w:jc w:val="both"/>
        <w:rPr>
          <w:rFonts w:ascii="Arial" w:hAnsi="Arial" w:cs="Arial"/>
          <w:color w:val="000000" w:themeColor="text1"/>
          <w:sz w:val="20"/>
          <w:szCs w:val="20"/>
          <w:lang w:val="hr-HR"/>
        </w:rPr>
      </w:pPr>
    </w:p>
    <w:p w14:paraId="175B9ED9"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Od 1. siječnja 2018. svi kumulativni dobici/gubici priznati u ostaloj sveobuhvatnoj dobiti po vlasničkim vrijednosnim papirima vrednovanim po fer vrijednosti kroz ostalu sveobuhvatnu dobit, ne priznaju se u dobit ili gubitak po prestanku priznavanja. Svaki udio u prenesenoj financijskoj imovini koja ispunjava uvjete za prestanak priznavanja koji je stvorila ili zadržala Grupa, priznaje se kao zasebna imovina ili obveze.</w:t>
      </w:r>
    </w:p>
    <w:p w14:paraId="30E99D8F" w14:textId="77777777" w:rsidR="004E2F51" w:rsidRPr="004B4498" w:rsidRDefault="004E2F51" w:rsidP="004E2F51">
      <w:pPr>
        <w:jc w:val="both"/>
        <w:rPr>
          <w:rFonts w:ascii="Arial" w:hAnsi="Arial" w:cs="Arial"/>
          <w:bCs/>
          <w:color w:val="000000" w:themeColor="text1"/>
          <w:sz w:val="20"/>
          <w:szCs w:val="20"/>
          <w:lang w:val="hr-HR"/>
        </w:rPr>
      </w:pPr>
    </w:p>
    <w:p w14:paraId="0D4E4FAB" w14:textId="77777777" w:rsidR="004E2F51" w:rsidRPr="004B4498" w:rsidRDefault="004E2F51" w:rsidP="004E2F51">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Financijske obveze</w:t>
      </w:r>
    </w:p>
    <w:p w14:paraId="105308FF" w14:textId="77777777" w:rsidR="004E2F51" w:rsidRPr="004B4498" w:rsidRDefault="004E2F51" w:rsidP="004E2F51">
      <w:pPr>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Financijska obveza prestaje se priznavati kada je obveza podmirena, otkazana ili istekla.</w:t>
      </w:r>
    </w:p>
    <w:p w14:paraId="5C8CE91D" w14:textId="77777777" w:rsidR="004E2F51" w:rsidRPr="004B4498" w:rsidRDefault="004E2F51" w:rsidP="004E2F51">
      <w:pPr>
        <w:jc w:val="both"/>
        <w:rPr>
          <w:rFonts w:ascii="Arial" w:hAnsi="Arial" w:cs="Arial"/>
          <w:b/>
          <w:color w:val="000000" w:themeColor="text1"/>
          <w:sz w:val="20"/>
          <w:szCs w:val="20"/>
          <w:lang w:val="hr-HR"/>
        </w:rPr>
      </w:pPr>
    </w:p>
    <w:p w14:paraId="24D7EC82" w14:textId="77777777" w:rsidR="004E2F51" w:rsidRPr="004B4498" w:rsidRDefault="004E2F51" w:rsidP="004E2F51">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vi. Modifikacija financijske imovine</w:t>
      </w:r>
    </w:p>
    <w:p w14:paraId="0A98EB15" w14:textId="77777777" w:rsidR="004E2F51" w:rsidRPr="004B4498" w:rsidRDefault="004E2F51" w:rsidP="004E2F51">
      <w:pPr>
        <w:jc w:val="both"/>
        <w:rPr>
          <w:rFonts w:ascii="Arial" w:hAnsi="Arial" w:cs="Arial"/>
          <w:color w:val="000000" w:themeColor="text1"/>
          <w:sz w:val="20"/>
          <w:szCs w:val="20"/>
          <w:lang w:val="hr-HR"/>
        </w:rPr>
      </w:pPr>
    </w:p>
    <w:p w14:paraId="277F2C6B"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Modifikacija financijske imovine je svaka izmjena ugovornih odredbi koja rezultira izmjenom ugovorenih novčanih tokova. U slučaju kada modifikacija nije značajna, izmjena ugovornih odredbi ne dovodi do prestanka priznavanja te financijske imovine, već se utvrđuje nova bruto knjigovodstvena vrijednost kao sadašnja vrijednost modificiranih ugovornih novčanih tokova diskontiranih izvornom EKS. </w:t>
      </w:r>
    </w:p>
    <w:p w14:paraId="54D7C9A8" w14:textId="77777777" w:rsidR="004E2F51" w:rsidRPr="004B4498" w:rsidRDefault="004E2F51" w:rsidP="004E2F51">
      <w:pPr>
        <w:jc w:val="both"/>
        <w:rPr>
          <w:rFonts w:ascii="Arial" w:hAnsi="Arial" w:cs="Arial"/>
          <w:color w:val="000000" w:themeColor="text1"/>
          <w:sz w:val="20"/>
          <w:szCs w:val="20"/>
          <w:lang w:val="hr-HR"/>
        </w:rPr>
      </w:pPr>
    </w:p>
    <w:p w14:paraId="75600220"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Pri tome se razlika između izvorne bruto knjigovodstvene vrijednosti prije modifikacije i bruto knjigovodstvene vrijednosti utvrđene temeljem modificiranih novčanih tokova nakon modifikacije priznaje u izvještaju o dobiti i gubitku kao modifikacijski dobitak ili gubitak.</w:t>
      </w:r>
    </w:p>
    <w:p w14:paraId="7F3E8C7E" w14:textId="77777777" w:rsidR="004E2F51" w:rsidRPr="004B4498" w:rsidRDefault="004E2F51" w:rsidP="004E2F51">
      <w:pPr>
        <w:jc w:val="both"/>
        <w:rPr>
          <w:rFonts w:ascii="Arial" w:hAnsi="Arial" w:cs="Arial"/>
          <w:color w:val="000000" w:themeColor="text1"/>
          <w:sz w:val="20"/>
          <w:szCs w:val="20"/>
          <w:lang w:val="hr-HR"/>
        </w:rPr>
      </w:pPr>
    </w:p>
    <w:p w14:paraId="1DA0BC2E"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 slučaju kada je modifikacija financijske imovine značajna, financijska imovina se prije modifikacije prestaje priznavati te se modificirana financijska imovina ponovno priznaje kao „nova“ financijska imovina i utvrđuje se nova EKS. Datumom početnog priznavanja smatra se datum izmjene ugovornih odredbi.</w:t>
      </w:r>
    </w:p>
    <w:p w14:paraId="3A5FF4AC" w14:textId="77777777" w:rsidR="004E2F51" w:rsidRPr="004B4498" w:rsidRDefault="004E2F51" w:rsidP="004E2F51">
      <w:pPr>
        <w:jc w:val="both"/>
        <w:rPr>
          <w:rFonts w:ascii="Arial" w:hAnsi="Arial" w:cs="Arial"/>
          <w:color w:val="000000" w:themeColor="text1"/>
          <w:sz w:val="20"/>
          <w:szCs w:val="20"/>
          <w:lang w:val="hr-HR"/>
        </w:rPr>
      </w:pPr>
    </w:p>
    <w:p w14:paraId="0E3A3AA9"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vrijednosti na ponovno priznatu financijsku imovinu priznaje se u iznosu očekivanih kreditnih gubitaka u dvanaestomjesečnom razdoblju (1. stupanj) dok se ne ispune uvjeti za prelazak u 2. stupanj. Ukoliko se utvrdi da je modificirana financijska imovina pri početnom priznavanju umanjena za kreditne gubitke, u tom slučaju financijska imovina se priznaje kao kupljena ili stvorena financijska imovina umanjena za kreditne gubitke (POCI imovina) te se utvrđuje EKS usklađena za kreditni rizik.</w:t>
      </w:r>
    </w:p>
    <w:p w14:paraId="6AE92681" w14:textId="77777777" w:rsidR="004E2F51" w:rsidRPr="004B4498" w:rsidRDefault="004E2F51" w:rsidP="004E2F51">
      <w:pPr>
        <w:jc w:val="both"/>
        <w:rPr>
          <w:rFonts w:ascii="Arial" w:hAnsi="Arial" w:cs="Arial"/>
          <w:b/>
          <w:i/>
          <w:color w:val="000000" w:themeColor="text1"/>
          <w:sz w:val="20"/>
          <w:szCs w:val="20"/>
          <w:lang w:val="hr-HR"/>
        </w:rPr>
      </w:pPr>
    </w:p>
    <w:p w14:paraId="0D771D26" w14:textId="77777777" w:rsidR="004E2F51" w:rsidRPr="004B4498" w:rsidRDefault="004E2F51" w:rsidP="004E2F51">
      <w:pPr>
        <w:jc w:val="both"/>
        <w:rPr>
          <w:rFonts w:ascii="Arial" w:hAnsi="Arial" w:cs="Arial"/>
          <w:color w:val="000000" w:themeColor="text1"/>
          <w:sz w:val="20"/>
          <w:szCs w:val="20"/>
          <w:lang w:val="hr-HR"/>
        </w:rPr>
        <w:sectPr w:rsidR="004E2F51" w:rsidRPr="004B4498" w:rsidSect="00623DBA">
          <w:footerReference w:type="default" r:id="rId95"/>
          <w:pgSz w:w="11907" w:h="16840" w:code="9"/>
          <w:pgMar w:top="1418" w:right="1134" w:bottom="1134" w:left="1418" w:header="851" w:footer="851" w:gutter="0"/>
          <w:cols w:space="720"/>
          <w:noEndnote/>
        </w:sectPr>
      </w:pPr>
      <w:r w:rsidRPr="004B4498">
        <w:rPr>
          <w:rFonts w:ascii="Arial" w:hAnsi="Arial" w:cs="Arial"/>
          <w:color w:val="000000" w:themeColor="text1"/>
          <w:sz w:val="20"/>
          <w:szCs w:val="20"/>
          <w:lang w:val="hr-HR"/>
        </w:rPr>
        <w:t>U svrhu odlučivanja je li modifikacija značajna ili beznačajna, provodi se kvantitativno ispitivanje kako bi se utvrdilo da li je prekoračen prag značajnosti. Bruto knjigovodstvena vrijednost prije i nakon modifikacije se uspoređuju, a novi novčani tokovi diskontiraju se po izvornoj efektivnoj kamatnoj stopi. Kao prag značajnosti kvantitativnih modifikacija koje utječu na izmjenu novčanih tokova, utvrđuje se razlika u visini inicijalnog novčanog toka u odnosu na modificirani novčani tok u iznosu promjene od 10% inicijalnog novčanog toka.</w:t>
      </w:r>
    </w:p>
    <w:p w14:paraId="2DA5FF11" w14:textId="77777777" w:rsidR="004E2F51" w:rsidRPr="004B4498" w:rsidRDefault="004E2F51" w:rsidP="004E2F51">
      <w:pPr>
        <w:jc w:val="both"/>
        <w:rPr>
          <w:rFonts w:ascii="Arial" w:hAnsi="Arial" w:cs="Arial"/>
          <w:b/>
          <w:i/>
          <w:color w:val="000000" w:themeColor="text1"/>
          <w:sz w:val="20"/>
          <w:szCs w:val="20"/>
          <w:lang w:val="hr-HR"/>
        </w:rPr>
      </w:pPr>
    </w:p>
    <w:p w14:paraId="5436F4DC"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5B5C72EA"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04B1506E"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21674223" w14:textId="77777777" w:rsidR="004E2F51" w:rsidRPr="004B4498" w:rsidRDefault="004E2F51" w:rsidP="004E2F51">
      <w:pPr>
        <w:jc w:val="both"/>
        <w:rPr>
          <w:rFonts w:ascii="Arial" w:hAnsi="Arial" w:cs="Arial"/>
          <w:b/>
          <w:color w:val="000000" w:themeColor="text1"/>
          <w:sz w:val="20"/>
          <w:szCs w:val="20"/>
          <w:lang w:val="hr-HR"/>
        </w:rPr>
      </w:pPr>
    </w:p>
    <w:p w14:paraId="1160F8B5"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5031EFE0" w14:textId="77777777" w:rsidR="004E2F51" w:rsidRPr="004B4498" w:rsidRDefault="004E2F51" w:rsidP="004E2F51">
      <w:pPr>
        <w:jc w:val="both"/>
        <w:rPr>
          <w:rFonts w:ascii="Arial" w:hAnsi="Arial" w:cs="Arial"/>
          <w:b/>
          <w:color w:val="000000" w:themeColor="text1"/>
          <w:sz w:val="20"/>
          <w:szCs w:val="20"/>
          <w:lang w:val="hr-HR"/>
        </w:rPr>
      </w:pPr>
    </w:p>
    <w:p w14:paraId="26CC4017" w14:textId="77777777" w:rsidR="004E2F51" w:rsidRPr="004B4498" w:rsidRDefault="004E2F51" w:rsidP="004E2F51">
      <w:pPr>
        <w:jc w:val="both"/>
        <w:rPr>
          <w:rFonts w:ascii="Arial" w:hAnsi="Arial" w:cs="Arial"/>
          <w:b/>
          <w:bCs/>
          <w:i/>
          <w:iCs/>
          <w:color w:val="000000" w:themeColor="text1"/>
          <w:sz w:val="20"/>
          <w:szCs w:val="20"/>
          <w:lang w:val="hr-HR"/>
        </w:rPr>
      </w:pPr>
      <w:r w:rsidRPr="004B4498">
        <w:rPr>
          <w:rFonts w:ascii="Arial" w:hAnsi="Arial" w:cs="Arial"/>
          <w:b/>
          <w:bCs/>
          <w:i/>
          <w:iCs/>
          <w:color w:val="000000" w:themeColor="text1"/>
          <w:sz w:val="20"/>
          <w:szCs w:val="20"/>
          <w:lang w:val="hr-HR"/>
        </w:rPr>
        <w:t>vii. Kupljena ili stvorena financijska imovina umanjena za kreditne gubitke (POCI imovina)</w:t>
      </w:r>
    </w:p>
    <w:p w14:paraId="04C3726C" w14:textId="77777777" w:rsidR="004E2F51" w:rsidRPr="004B4498" w:rsidRDefault="004E2F51" w:rsidP="004E2F51">
      <w:pPr>
        <w:tabs>
          <w:tab w:val="left" w:pos="426"/>
        </w:tabs>
        <w:jc w:val="both"/>
        <w:rPr>
          <w:rFonts w:ascii="Arial" w:hAnsi="Arial" w:cs="Arial"/>
          <w:b/>
          <w:bCs/>
          <w:color w:val="000000" w:themeColor="text1"/>
          <w:sz w:val="20"/>
          <w:szCs w:val="20"/>
          <w:lang w:val="hr-HR"/>
        </w:rPr>
      </w:pPr>
    </w:p>
    <w:p w14:paraId="59095853" w14:textId="77777777" w:rsidR="004E2F51" w:rsidRPr="00D23FD2" w:rsidRDefault="004E2F51" w:rsidP="004E2F51">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POCI imovina je financijska imovina kod koje pri početnom priznavanju postoje objektivni dokazi o umanjenju za kreditne gubitke, zato što je kreditni rizik stvorene, odnosno izdane imovine vrlo visok ili je, u slučaju kupnje, ista nabavljena s velikim diskontom.</w:t>
      </w:r>
    </w:p>
    <w:p w14:paraId="568E3FBE" w14:textId="77777777" w:rsidR="004E2F51" w:rsidRPr="00D23FD2" w:rsidRDefault="004E2F51" w:rsidP="004E2F51">
      <w:pPr>
        <w:jc w:val="both"/>
        <w:rPr>
          <w:rFonts w:ascii="Arial" w:hAnsi="Arial" w:cs="Arial"/>
          <w:bCs/>
          <w:color w:val="000000" w:themeColor="text1"/>
          <w:sz w:val="20"/>
          <w:szCs w:val="20"/>
          <w:lang w:val="hr-HR"/>
        </w:rPr>
      </w:pPr>
    </w:p>
    <w:p w14:paraId="2A3042D4" w14:textId="77777777" w:rsidR="004E2F51" w:rsidRPr="00D23FD2" w:rsidRDefault="004E2F51" w:rsidP="004E2F51">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Pri početnom mjerenju POCI imovine, njezina knjigovodstvena vrijednost ne umanjuje se za rezervacije za umanjenje vrijednosti, već se POCI imovina priznaje u iznosu fer vrijednosti koja uključuje očekivane kreditne gubitke.</w:t>
      </w:r>
    </w:p>
    <w:p w14:paraId="18807A96" w14:textId="77777777" w:rsidR="004E2F51" w:rsidRPr="00D23FD2" w:rsidRDefault="004E2F51" w:rsidP="004E2F51">
      <w:pPr>
        <w:jc w:val="both"/>
        <w:rPr>
          <w:rFonts w:ascii="Arial" w:hAnsi="Arial" w:cs="Arial"/>
          <w:bCs/>
          <w:color w:val="000000" w:themeColor="text1"/>
          <w:sz w:val="20"/>
          <w:szCs w:val="20"/>
          <w:lang w:val="hr-HR"/>
        </w:rPr>
      </w:pPr>
    </w:p>
    <w:p w14:paraId="13EB8F7B" w14:textId="77777777" w:rsidR="004E2F51" w:rsidRPr="00D23FD2" w:rsidRDefault="004E2F51" w:rsidP="004E2F51">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Očekivani kreditni gubici pri inicijalnom priznavanju iskazuju se kao umanjenje vrijednosti nastalo pri početnom priznavanju u izvještaju o financijskom položaju. Istovremeno, u računu dobiti i gubitka priznaju se gubici od umanjenja vrijednosti nastalog pri početnom priznavanju, ako se radi o izdanoj POCI imovini ili POCI imovini nastaloj nakon značajne modifikacije.</w:t>
      </w:r>
    </w:p>
    <w:p w14:paraId="4EEC23FF" w14:textId="77777777" w:rsidR="004E2F51" w:rsidRPr="00D23FD2" w:rsidRDefault="004E2F51" w:rsidP="004E2F51">
      <w:pPr>
        <w:jc w:val="both"/>
        <w:rPr>
          <w:rFonts w:ascii="Arial" w:hAnsi="Arial" w:cs="Arial"/>
          <w:bCs/>
          <w:color w:val="000000" w:themeColor="text1"/>
          <w:sz w:val="20"/>
          <w:szCs w:val="20"/>
          <w:lang w:val="hr-HR"/>
        </w:rPr>
      </w:pPr>
    </w:p>
    <w:p w14:paraId="542DBDF5" w14:textId="77777777" w:rsidR="004E2F51" w:rsidRPr="00D23FD2" w:rsidRDefault="004E2F51" w:rsidP="004E2F51">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Rezervacije za umanjenje vrijednosti priznaju se u izvještaju o financijskom položaju u iznosu kumulativnih promjena očekivanih kreditnih gubitaka tijekom vijeka trajanja nastalih nakon početnog priznavanja POCI imovine, uz istovremeno priznavanje dobiti ili gubitka od umanjenja vrijednosti u računu dobiti i gubitka.</w:t>
      </w:r>
    </w:p>
    <w:p w14:paraId="79DD556A" w14:textId="77777777" w:rsidR="004E2F51" w:rsidRPr="00D23FD2" w:rsidRDefault="004E2F51" w:rsidP="004E2F51">
      <w:pPr>
        <w:jc w:val="both"/>
        <w:rPr>
          <w:rFonts w:ascii="Arial" w:hAnsi="Arial" w:cs="Arial"/>
          <w:bCs/>
          <w:color w:val="000000" w:themeColor="text1"/>
          <w:sz w:val="20"/>
          <w:szCs w:val="20"/>
          <w:lang w:val="hr-HR"/>
        </w:rPr>
      </w:pPr>
    </w:p>
    <w:p w14:paraId="3B22B58D" w14:textId="77777777" w:rsidR="004E2F51" w:rsidRPr="00D23FD2" w:rsidRDefault="004E2F51" w:rsidP="004E2F51">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Smanjenje očekivanih kreditnih gubitaka tijekom vijeka trajanja u odnosu na iznos očekivanih kreditnih gubitaka pri početnom priznavanju, priznaje se kao negativni iznos rezervacija za umanjenje vrijednosti, uz istovremeno priznavanje dobiti od umanjenja vrijednosti u računu dobiti i gubitka.</w:t>
      </w:r>
    </w:p>
    <w:p w14:paraId="3D9BA762" w14:textId="77777777" w:rsidR="004E2F51" w:rsidRPr="00D23FD2" w:rsidRDefault="004E2F51" w:rsidP="004E2F51">
      <w:pPr>
        <w:jc w:val="both"/>
        <w:rPr>
          <w:rFonts w:ascii="Arial" w:hAnsi="Arial" w:cs="Arial"/>
          <w:bCs/>
          <w:color w:val="000000" w:themeColor="text1"/>
          <w:sz w:val="20"/>
          <w:szCs w:val="20"/>
          <w:lang w:val="hr-HR"/>
        </w:rPr>
      </w:pPr>
    </w:p>
    <w:p w14:paraId="1771272E" w14:textId="77777777" w:rsidR="004E2F51" w:rsidRDefault="004E2F51" w:rsidP="004E2F51">
      <w:pPr>
        <w:jc w:val="both"/>
        <w:rPr>
          <w:rFonts w:ascii="Arial" w:hAnsi="Arial" w:cs="Arial"/>
          <w:bCs/>
          <w:color w:val="000000" w:themeColor="text1"/>
          <w:sz w:val="20"/>
          <w:szCs w:val="20"/>
          <w:lang w:val="hr-HR"/>
        </w:rPr>
      </w:pPr>
      <w:r w:rsidRPr="00D23FD2">
        <w:rPr>
          <w:rFonts w:ascii="Arial" w:hAnsi="Arial" w:cs="Arial"/>
          <w:bCs/>
          <w:color w:val="000000" w:themeColor="text1"/>
          <w:sz w:val="20"/>
          <w:szCs w:val="20"/>
          <w:lang w:val="hr-HR"/>
        </w:rPr>
        <w:t>Financijska imovina koja je priznata kao POCI imovina ostaje alocirana u 3. stupanj do prestanka priznavanja.</w:t>
      </w:r>
    </w:p>
    <w:p w14:paraId="6AF8DB9C" w14:textId="77777777" w:rsidR="004E2F51" w:rsidRPr="004B4498" w:rsidRDefault="004E2F51" w:rsidP="004E2F51">
      <w:pPr>
        <w:jc w:val="both"/>
        <w:rPr>
          <w:rFonts w:ascii="Arial" w:hAnsi="Arial" w:cs="Arial"/>
          <w:b/>
          <w:color w:val="000000" w:themeColor="text1"/>
          <w:sz w:val="20"/>
          <w:szCs w:val="20"/>
          <w:lang w:val="hr-HR"/>
        </w:rPr>
      </w:pPr>
    </w:p>
    <w:p w14:paraId="680DEFF2" w14:textId="77777777" w:rsidR="004E2F51" w:rsidRPr="004B4498" w:rsidRDefault="004E2F51" w:rsidP="004E2F51">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viii. Mjerenje fer vrijednosti</w:t>
      </w:r>
    </w:p>
    <w:p w14:paraId="79BB15EA" w14:textId="77777777" w:rsidR="004E2F51" w:rsidRPr="004B4498" w:rsidRDefault="004E2F51" w:rsidP="004E2F51">
      <w:pPr>
        <w:jc w:val="both"/>
        <w:rPr>
          <w:rFonts w:ascii="Arial" w:hAnsi="Arial" w:cs="Arial"/>
          <w:b/>
          <w:color w:val="000000" w:themeColor="text1"/>
          <w:sz w:val="20"/>
          <w:szCs w:val="20"/>
          <w:lang w:val="hr-HR"/>
        </w:rPr>
      </w:pPr>
    </w:p>
    <w:p w14:paraId="1944ADA4"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Fer vrijednost je cijena koja bi bila ostvarena na datum mjerenja prodajom neke stavke imovine ili plaćena za prijenos neke obveze Grupe u urednoj transakciji na glavnom, odnosno najpovoljnijem tržištu pod postojećim tržišnim uvjetima. </w:t>
      </w:r>
    </w:p>
    <w:p w14:paraId="7AC63B53" w14:textId="77777777" w:rsidR="004E2F51" w:rsidRPr="004B4498" w:rsidRDefault="004E2F51" w:rsidP="004E2F51">
      <w:pPr>
        <w:jc w:val="both"/>
        <w:rPr>
          <w:rFonts w:ascii="Arial" w:hAnsi="Arial" w:cs="Arial"/>
          <w:color w:val="000000" w:themeColor="text1"/>
          <w:sz w:val="20"/>
          <w:szCs w:val="20"/>
          <w:lang w:val="hr-HR"/>
        </w:rPr>
      </w:pPr>
    </w:p>
    <w:p w14:paraId="21DEDBAF" w14:textId="77777777" w:rsidR="004E2F51" w:rsidRPr="004B4498" w:rsidRDefault="004E2F51" w:rsidP="004E2F51">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Osnovnu cijenu predstavlja izlazna cijena, neovisno o tome da li je ona neposredno vidljiva ili procijenjena nekom drugom metodom vrednovanja.</w:t>
      </w:r>
    </w:p>
    <w:p w14:paraId="7D9E9E37" w14:textId="77777777" w:rsidR="004E2F51" w:rsidRPr="004B4498" w:rsidRDefault="004E2F51" w:rsidP="004E2F51">
      <w:pPr>
        <w:jc w:val="both"/>
        <w:rPr>
          <w:rFonts w:ascii="Arial" w:hAnsi="Arial" w:cs="Arial"/>
          <w:bCs/>
          <w:color w:val="000000" w:themeColor="text1"/>
          <w:sz w:val="20"/>
          <w:szCs w:val="20"/>
          <w:lang w:val="hr-HR"/>
        </w:rPr>
      </w:pPr>
    </w:p>
    <w:p w14:paraId="4928956C"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Pri početnom priznavanju, kad je neka stavka financijske imovine stečena ili neka obveza preuzeta u razmjeni za tu stavku imovine, odnosno obvezu, transakcijska cijena je cijena plaćena za stjecanje predmetne stavke imovine, odnosno primljena za preuzimanje predmetne obveze (ulazna cijena). </w:t>
      </w:r>
    </w:p>
    <w:p w14:paraId="34F92A60" w14:textId="77777777" w:rsidR="004E2F51" w:rsidRPr="004B4498" w:rsidRDefault="004E2F51" w:rsidP="004E2F51">
      <w:pPr>
        <w:jc w:val="both"/>
        <w:rPr>
          <w:rFonts w:ascii="Arial" w:hAnsi="Arial" w:cs="Arial"/>
          <w:color w:val="000000" w:themeColor="text1"/>
          <w:sz w:val="20"/>
          <w:szCs w:val="20"/>
          <w:lang w:val="hr-HR"/>
        </w:rPr>
      </w:pPr>
    </w:p>
    <w:p w14:paraId="55DB6C0E" w14:textId="77777777" w:rsidR="004E2F51" w:rsidRPr="004B4498" w:rsidRDefault="004E2F51" w:rsidP="004E2F51">
      <w:pPr>
        <w:pStyle w:val="accountingpolicytitle"/>
        <w:rPr>
          <w:rFonts w:cs="Arial"/>
          <w:b w:val="0"/>
          <w:color w:val="000000" w:themeColor="text1"/>
          <w:sz w:val="20"/>
          <w:lang w:val="hr-HR"/>
        </w:rPr>
      </w:pPr>
      <w:r w:rsidRPr="004B4498">
        <w:rPr>
          <w:rFonts w:cs="Arial"/>
          <w:b w:val="0"/>
          <w:color w:val="000000" w:themeColor="text1"/>
          <w:sz w:val="20"/>
          <w:lang w:val="hr-HR"/>
        </w:rPr>
        <w:t>Fer vrijednost imovine ili obveze je cijena koja bi bila ostvarena prodajom imovine, odnosno plaćena za prijenos obveze (izlazna cijena).</w:t>
      </w:r>
    </w:p>
    <w:p w14:paraId="5DCD445A" w14:textId="77777777" w:rsidR="004E2F51" w:rsidRPr="004B4498" w:rsidRDefault="004E2F51" w:rsidP="004E2F51">
      <w:pPr>
        <w:pStyle w:val="accountingpolicytitle"/>
        <w:rPr>
          <w:rFonts w:cs="Arial"/>
          <w:b w:val="0"/>
          <w:color w:val="000000" w:themeColor="text1"/>
          <w:sz w:val="20"/>
          <w:lang w:val="hr-HR"/>
        </w:rPr>
      </w:pPr>
    </w:p>
    <w:p w14:paraId="26C426C9"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Ako odredbe nekog MSFI-ja ili zakonske odredbe propisuju ili dopuštaju mjerenje neke stavke imovine ili obveze kod prvog knjiženja po fer vrijednosti i ako se u tome slučaju transakcijska cijena razlikuje od fer vrijednosti, Grupa tako nastale dobitke i gubitke uračunava u dobit i gubitak, osim ako nije propisano drugačije.</w:t>
      </w:r>
    </w:p>
    <w:p w14:paraId="4E10AAAF" w14:textId="77777777" w:rsidR="004E2F51" w:rsidRPr="004B4498" w:rsidRDefault="004E2F51" w:rsidP="004E2F51">
      <w:pPr>
        <w:jc w:val="both"/>
        <w:rPr>
          <w:rFonts w:ascii="Arial" w:hAnsi="Arial" w:cs="Arial"/>
          <w:color w:val="000000" w:themeColor="text1"/>
          <w:sz w:val="20"/>
          <w:szCs w:val="20"/>
          <w:lang w:val="hr-HR"/>
        </w:rPr>
      </w:pPr>
    </w:p>
    <w:p w14:paraId="7070E838" w14:textId="77777777" w:rsidR="004E2F51" w:rsidRPr="004B4498" w:rsidRDefault="004E2F51" w:rsidP="004E2F51">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Pri utvrđivanju fer vrijednosti Grupa koristi što više relevantnih vidljivih ulaznih podataka, a što manje ulaznih podataka koji nisu vidljivi.</w:t>
      </w:r>
    </w:p>
    <w:p w14:paraId="368994B8" w14:textId="77777777" w:rsidR="004E2F51" w:rsidRPr="004B4498" w:rsidRDefault="004E2F51" w:rsidP="004E2F51">
      <w:pPr>
        <w:jc w:val="both"/>
        <w:rPr>
          <w:rFonts w:ascii="Arial" w:hAnsi="Arial" w:cs="Arial"/>
          <w:bCs/>
          <w:color w:val="000000" w:themeColor="text1"/>
          <w:sz w:val="20"/>
          <w:szCs w:val="20"/>
          <w:lang w:val="hr-HR"/>
        </w:rPr>
      </w:pPr>
    </w:p>
    <w:p w14:paraId="571B31BB"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Grupa odabire ulazne podatke prema obilježjima stavke imovine ili obveze koje bi tržišni sudionici uzeli u obzir u transakciji predmetnom imovinom, odnosno obvezom. </w:t>
      </w:r>
    </w:p>
    <w:p w14:paraId="494FB96F" w14:textId="77777777" w:rsidR="004E2F51" w:rsidRPr="004B4498" w:rsidRDefault="004E2F51" w:rsidP="004E2F51">
      <w:pPr>
        <w:jc w:val="both"/>
        <w:rPr>
          <w:rFonts w:ascii="Arial" w:hAnsi="Arial" w:cs="Arial"/>
          <w:color w:val="000000" w:themeColor="text1"/>
          <w:sz w:val="20"/>
          <w:szCs w:val="20"/>
          <w:lang w:val="hr-HR"/>
        </w:rPr>
        <w:sectPr w:rsidR="004E2F51" w:rsidRPr="004B4498" w:rsidSect="00623DBA">
          <w:footerReference w:type="default" r:id="rId96"/>
          <w:pgSz w:w="11907" w:h="16840" w:code="9"/>
          <w:pgMar w:top="1418" w:right="1134" w:bottom="1134" w:left="1418" w:header="851" w:footer="851" w:gutter="0"/>
          <w:cols w:space="720"/>
          <w:noEndnote/>
        </w:sectPr>
      </w:pPr>
    </w:p>
    <w:p w14:paraId="1289C3C0" w14:textId="77777777" w:rsidR="004E2F51" w:rsidRPr="00C25BBA" w:rsidRDefault="004E2F51" w:rsidP="004E2F51">
      <w:pPr>
        <w:jc w:val="both"/>
        <w:rPr>
          <w:rFonts w:ascii="Arial" w:hAnsi="Arial" w:cs="Arial"/>
          <w:color w:val="000000" w:themeColor="text1"/>
          <w:sz w:val="20"/>
          <w:szCs w:val="20"/>
          <w:lang w:val="hr-HR"/>
        </w:rPr>
      </w:pPr>
    </w:p>
    <w:p w14:paraId="4A2749DB"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60493DBC"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74D233B4"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3F167B80" w14:textId="77777777" w:rsidR="004E2F51" w:rsidRPr="004B4498" w:rsidRDefault="004E2F51" w:rsidP="004E2F51">
      <w:pPr>
        <w:jc w:val="both"/>
        <w:rPr>
          <w:rFonts w:ascii="Arial" w:hAnsi="Arial" w:cs="Arial"/>
          <w:b/>
          <w:color w:val="000000" w:themeColor="text1"/>
          <w:sz w:val="20"/>
          <w:szCs w:val="20"/>
          <w:lang w:val="hr-HR"/>
        </w:rPr>
      </w:pPr>
    </w:p>
    <w:p w14:paraId="5C8CA1C2"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1A267B87"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p>
    <w:p w14:paraId="515D9AAC" w14:textId="77777777" w:rsidR="004E2F51" w:rsidRPr="004B4498" w:rsidRDefault="004E2F51" w:rsidP="004E2F51">
      <w:pPr>
        <w:pStyle w:val="T1"/>
        <w:tabs>
          <w:tab w:val="left" w:pos="426"/>
        </w:tabs>
        <w:spacing w:before="0" w:after="0" w:line="240" w:lineRule="auto"/>
        <w:rPr>
          <w:rFonts w:cs="Arial"/>
          <w:i/>
          <w:color w:val="000000" w:themeColor="text1"/>
          <w:sz w:val="20"/>
          <w:lang w:val="hr-HR"/>
        </w:rPr>
      </w:pPr>
      <w:r w:rsidRPr="004B4498">
        <w:rPr>
          <w:rFonts w:cs="Arial"/>
          <w:i/>
          <w:color w:val="000000" w:themeColor="text1"/>
          <w:sz w:val="20"/>
          <w:lang w:val="hr-HR"/>
        </w:rPr>
        <w:t>viii. Mjerenje fer vrijednosti (nastavak)</w:t>
      </w:r>
    </w:p>
    <w:p w14:paraId="0F038DE8" w14:textId="77777777" w:rsidR="004E2F51" w:rsidRPr="004B4498" w:rsidRDefault="004E2F51" w:rsidP="004E2F51">
      <w:pPr>
        <w:jc w:val="both"/>
        <w:rPr>
          <w:rFonts w:ascii="Arial" w:hAnsi="Arial" w:cs="Arial"/>
          <w:color w:val="000000" w:themeColor="text1"/>
          <w:sz w:val="20"/>
          <w:szCs w:val="20"/>
          <w:lang w:val="hr-HR"/>
        </w:rPr>
      </w:pPr>
    </w:p>
    <w:p w14:paraId="1667B375" w14:textId="77777777" w:rsidR="004E2F51"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Ako neka stavka imovine ili neka obveza mjerena po fer vrijednosti ima kupovnu cijenu i prodajnu cijenu (npr. ulazni podatak s dilerskog tržišta), za mjerenje fer vrijednosti koristi se cijena unutar raspona između kupovne i prodajne cijene koja najreprezentativnije odražava fer vrijednost.</w:t>
      </w:r>
    </w:p>
    <w:p w14:paraId="235C4F7F" w14:textId="77777777" w:rsidR="004E2F51" w:rsidRDefault="004E2F51" w:rsidP="004E2F51">
      <w:pPr>
        <w:jc w:val="both"/>
        <w:rPr>
          <w:rFonts w:ascii="Arial" w:hAnsi="Arial" w:cs="Arial"/>
          <w:color w:val="000000" w:themeColor="text1"/>
          <w:sz w:val="20"/>
          <w:szCs w:val="20"/>
          <w:lang w:val="hr-HR"/>
        </w:rPr>
      </w:pPr>
    </w:p>
    <w:p w14:paraId="27627343"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Sukladno navedenome, knjigovodstveni iznosi novca i stanja na računu kod Hrvatske narodne banke općenito su približno iskazani po njihovim fer vrijednostima.</w:t>
      </w:r>
    </w:p>
    <w:p w14:paraId="06EC86B1" w14:textId="77777777" w:rsidR="004E2F51" w:rsidRPr="004B4498" w:rsidRDefault="004E2F51" w:rsidP="004E2F51">
      <w:pPr>
        <w:jc w:val="both"/>
        <w:rPr>
          <w:rFonts w:ascii="Arial" w:hAnsi="Arial" w:cs="Arial"/>
          <w:color w:val="000000" w:themeColor="text1"/>
          <w:sz w:val="20"/>
          <w:szCs w:val="20"/>
          <w:lang w:val="hr-HR"/>
        </w:rPr>
      </w:pPr>
    </w:p>
    <w:p w14:paraId="3AF7F45D" w14:textId="77777777" w:rsidR="004E2F51" w:rsidRPr="004B4498" w:rsidRDefault="004E2F51" w:rsidP="004E2F51">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Procijenjena fer vrijednost depozita kod drugih banaka približna je njihovim knjigovodstvenim iznosima, s obzirom da svi iznosi dospijevaju najkasnije do 90 dana.</w:t>
      </w:r>
    </w:p>
    <w:p w14:paraId="5566793D" w14:textId="77777777" w:rsidR="004E2F51" w:rsidRPr="004B4498" w:rsidRDefault="004E2F51" w:rsidP="004E2F51">
      <w:pPr>
        <w:jc w:val="both"/>
        <w:rPr>
          <w:rFonts w:ascii="Arial" w:hAnsi="Arial" w:cs="Arial"/>
          <w:bCs/>
          <w:color w:val="000000" w:themeColor="text1"/>
          <w:sz w:val="20"/>
          <w:szCs w:val="20"/>
          <w:lang w:val="hr-HR"/>
        </w:rPr>
      </w:pPr>
    </w:p>
    <w:p w14:paraId="5745F0C0"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Krediti i predujmovi bankama i ostalim klijentima su iskazani u neto vrijednosti, odnosno umanjeni za iznos rezerviranja radi umanjenja vrijednosti. Njihova procijenjena fer vrijednost predstavlja diskontirani iznos procijenjenih očekivanih budućih priljeva novca. Prilikom sagledavanja fer vrijednosti uzima se u obzir i subvencionirana kamata koja je u diskontiranom iznosu prikazana kao odgođeno priznavanje kamatnih prihoda u ostalim obvezama. Kod kredita nastalih u kunama koji su jednosmjernom valutnom klauzulom vezani uz stranu valutu, pri procjeni fer vrijednosti ove opcije primjenjuje se postupak opisan pod „Transakcije u stranim valutama i uz valutnu klauzulu“.</w:t>
      </w:r>
    </w:p>
    <w:p w14:paraId="3131DC8E" w14:textId="77777777" w:rsidR="004E2F51" w:rsidRPr="004B4498" w:rsidRDefault="004E2F51" w:rsidP="004E2F51">
      <w:pPr>
        <w:pStyle w:val="T1"/>
        <w:tabs>
          <w:tab w:val="left" w:pos="426"/>
        </w:tabs>
        <w:spacing w:before="0" w:after="0" w:line="240" w:lineRule="auto"/>
        <w:rPr>
          <w:rFonts w:cs="Arial"/>
          <w:color w:val="000000" w:themeColor="text1"/>
          <w:sz w:val="20"/>
          <w:lang w:val="hr-HR"/>
        </w:rPr>
      </w:pPr>
    </w:p>
    <w:p w14:paraId="60E6EF27"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Tržišne cijene za dugoročne kredite koje je Grupa primila nisu dostupne te se njihova fer vrijednost procjenjuje kao sadašnja vrijednost budućih novčanih tokova diskontiranih primjenom važećih kamatnih stopa na datum izvještaja o financijskom položaju za nove kredite sa sličnim uvjetima i preostalim dospijećem. </w:t>
      </w:r>
    </w:p>
    <w:p w14:paraId="16719485" w14:textId="77777777" w:rsidR="004E2F51" w:rsidRPr="004B4498" w:rsidRDefault="004E2F51" w:rsidP="004E2F51">
      <w:pPr>
        <w:jc w:val="both"/>
        <w:rPr>
          <w:rFonts w:ascii="Arial" w:hAnsi="Arial" w:cs="Arial"/>
          <w:color w:val="000000" w:themeColor="text1"/>
          <w:sz w:val="20"/>
          <w:szCs w:val="20"/>
          <w:lang w:val="hr-HR"/>
        </w:rPr>
      </w:pPr>
    </w:p>
    <w:p w14:paraId="1E5B74A1"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Fer vrijednost obveznica izdanih od strane HBOR-a prezentira se korištenjem ulaznih podataka 2. razine u vidu tržišno potkrijepljenih podataka vidljivih na Bloomberg servisu, korištenjem „Bloomberg Generic prices“ (BGN) mid cijene.</w:t>
      </w:r>
    </w:p>
    <w:p w14:paraId="359614D0" w14:textId="77777777" w:rsidR="004E2F51" w:rsidRPr="004B4498" w:rsidRDefault="004E2F51" w:rsidP="004E2F51">
      <w:pPr>
        <w:jc w:val="both"/>
        <w:rPr>
          <w:rFonts w:ascii="Arial" w:hAnsi="Arial" w:cs="Arial"/>
          <w:b/>
          <w:color w:val="000000" w:themeColor="text1"/>
          <w:sz w:val="20"/>
          <w:szCs w:val="20"/>
          <w:lang w:val="hr-HR"/>
        </w:rPr>
      </w:pPr>
    </w:p>
    <w:p w14:paraId="59A93E9C"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BGN ili „Bloomberg Generic prices“ predstavlja jednostavni prosjek cijena uključujući indikativne i izvršne cijene. „Mid“ cijena predstavlja prosjek kotirane „ask“ i „bid“ cijene.</w:t>
      </w:r>
    </w:p>
    <w:p w14:paraId="4CD3D8B6" w14:textId="77777777" w:rsidR="004E2F51" w:rsidRPr="004B4498" w:rsidRDefault="004E2F51" w:rsidP="004E2F51">
      <w:pPr>
        <w:jc w:val="both"/>
        <w:rPr>
          <w:rFonts w:ascii="Arial" w:hAnsi="Arial" w:cs="Arial"/>
          <w:color w:val="000000" w:themeColor="text1"/>
          <w:sz w:val="20"/>
          <w:szCs w:val="20"/>
          <w:lang w:val="hr-HR"/>
        </w:rPr>
      </w:pPr>
    </w:p>
    <w:p w14:paraId="762DA97D" w14:textId="77777777" w:rsidR="004E2F51" w:rsidRPr="004B4498" w:rsidRDefault="004E2F51" w:rsidP="004E2F51">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Grupa vodi računa o prezentiranju hijerarhije fer vrijednosti koja se sastoji od tri razine podataka koji ulaze u tehnike vrednovanja na način kako slijedi:</w:t>
      </w:r>
    </w:p>
    <w:p w14:paraId="50CC056A" w14:textId="77777777" w:rsidR="004E2F51" w:rsidRPr="004B4498" w:rsidRDefault="004E2F51" w:rsidP="004E2F51">
      <w:pPr>
        <w:jc w:val="both"/>
        <w:rPr>
          <w:rFonts w:ascii="Arial" w:hAnsi="Arial" w:cs="Arial"/>
          <w:bCs/>
          <w:color w:val="000000" w:themeColor="text1"/>
          <w:sz w:val="20"/>
          <w:szCs w:val="20"/>
          <w:lang w:val="hr-HR"/>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552"/>
        <w:gridCol w:w="2551"/>
        <w:gridCol w:w="2410"/>
      </w:tblGrid>
      <w:tr w:rsidR="004E2F51" w:rsidRPr="00C25BBA" w14:paraId="70FEAA64" w14:textId="77777777" w:rsidTr="00E032FC">
        <w:trPr>
          <w:trHeight w:val="389"/>
          <w:jc w:val="center"/>
        </w:trPr>
        <w:tc>
          <w:tcPr>
            <w:tcW w:w="1985" w:type="dxa"/>
            <w:tcBorders>
              <w:top w:val="nil"/>
              <w:left w:val="nil"/>
            </w:tcBorders>
            <w:shd w:val="clear" w:color="auto" w:fill="auto"/>
          </w:tcPr>
          <w:p w14:paraId="3DF887A7" w14:textId="77777777" w:rsidR="004E2F51" w:rsidRPr="00C25BBA" w:rsidRDefault="004E2F51" w:rsidP="00E032FC">
            <w:pPr>
              <w:jc w:val="both"/>
              <w:rPr>
                <w:rFonts w:ascii="Arial" w:hAnsi="Arial" w:cs="Arial"/>
                <w:b/>
                <w:bCs/>
                <w:color w:val="000000" w:themeColor="text1"/>
                <w:sz w:val="20"/>
                <w:szCs w:val="20"/>
                <w:lang w:val="hr-HR"/>
              </w:rPr>
            </w:pPr>
            <w:r w:rsidRPr="00C25BBA">
              <w:rPr>
                <w:rFonts w:ascii="Arial" w:hAnsi="Arial" w:cs="Arial"/>
                <w:color w:val="000000" w:themeColor="text1"/>
                <w:sz w:val="20"/>
                <w:szCs w:val="20"/>
                <w:lang w:val="hr-HR"/>
              </w:rPr>
              <w:br w:type="page"/>
            </w:r>
            <w:r w:rsidRPr="00C25BBA">
              <w:rPr>
                <w:rFonts w:ascii="Arial" w:hAnsi="Arial" w:cs="Arial"/>
                <w:bCs/>
                <w:color w:val="000000" w:themeColor="text1"/>
                <w:sz w:val="20"/>
                <w:szCs w:val="20"/>
                <w:lang w:val="hr-HR"/>
              </w:rPr>
              <w:br w:type="page"/>
            </w:r>
          </w:p>
        </w:tc>
        <w:tc>
          <w:tcPr>
            <w:tcW w:w="2552" w:type="dxa"/>
            <w:shd w:val="clear" w:color="auto" w:fill="auto"/>
          </w:tcPr>
          <w:p w14:paraId="0278EAD6" w14:textId="77777777" w:rsidR="004E2F51" w:rsidRPr="00C25BBA" w:rsidRDefault="004E2F51" w:rsidP="00E032FC">
            <w:pPr>
              <w:jc w:val="both"/>
              <w:rPr>
                <w:rFonts w:ascii="Arial" w:hAnsi="Arial" w:cs="Arial"/>
                <w:b/>
                <w:bCs/>
                <w:color w:val="000000" w:themeColor="text1"/>
                <w:sz w:val="20"/>
                <w:szCs w:val="20"/>
                <w:lang w:val="hr-HR"/>
              </w:rPr>
            </w:pPr>
            <w:r w:rsidRPr="00C25BBA">
              <w:rPr>
                <w:rFonts w:ascii="Arial" w:hAnsi="Arial" w:cs="Arial"/>
                <w:b/>
                <w:bCs/>
                <w:color w:val="000000" w:themeColor="text1"/>
                <w:sz w:val="20"/>
                <w:szCs w:val="20"/>
                <w:lang w:val="hr-HR"/>
              </w:rPr>
              <w:t>Razina 1</w:t>
            </w:r>
          </w:p>
        </w:tc>
        <w:tc>
          <w:tcPr>
            <w:tcW w:w="2551" w:type="dxa"/>
            <w:shd w:val="clear" w:color="auto" w:fill="auto"/>
          </w:tcPr>
          <w:p w14:paraId="73D5CD0F" w14:textId="77777777" w:rsidR="004E2F51" w:rsidRPr="00C25BBA" w:rsidRDefault="004E2F51" w:rsidP="00E032FC">
            <w:pPr>
              <w:jc w:val="both"/>
              <w:rPr>
                <w:rFonts w:ascii="Arial" w:hAnsi="Arial" w:cs="Arial"/>
                <w:b/>
                <w:bCs/>
                <w:color w:val="000000" w:themeColor="text1"/>
                <w:sz w:val="20"/>
                <w:szCs w:val="20"/>
                <w:lang w:val="hr-HR"/>
              </w:rPr>
            </w:pPr>
            <w:r w:rsidRPr="00C25BBA">
              <w:rPr>
                <w:rFonts w:ascii="Arial" w:hAnsi="Arial" w:cs="Arial"/>
                <w:b/>
                <w:bCs/>
                <w:color w:val="000000" w:themeColor="text1"/>
                <w:sz w:val="20"/>
                <w:szCs w:val="20"/>
                <w:lang w:val="hr-HR"/>
              </w:rPr>
              <w:t>Razina 2</w:t>
            </w:r>
          </w:p>
        </w:tc>
        <w:tc>
          <w:tcPr>
            <w:tcW w:w="2410" w:type="dxa"/>
            <w:shd w:val="clear" w:color="auto" w:fill="auto"/>
          </w:tcPr>
          <w:p w14:paraId="6C28B6EE" w14:textId="77777777" w:rsidR="004E2F51" w:rsidRPr="00C25BBA" w:rsidRDefault="004E2F51" w:rsidP="00E032FC">
            <w:pPr>
              <w:jc w:val="both"/>
              <w:rPr>
                <w:rFonts w:ascii="Arial" w:hAnsi="Arial" w:cs="Arial"/>
                <w:b/>
                <w:bCs/>
                <w:color w:val="000000" w:themeColor="text1"/>
                <w:sz w:val="20"/>
                <w:szCs w:val="20"/>
                <w:lang w:val="hr-HR"/>
              </w:rPr>
            </w:pPr>
            <w:r w:rsidRPr="00C25BBA">
              <w:rPr>
                <w:rFonts w:ascii="Arial" w:hAnsi="Arial" w:cs="Arial"/>
                <w:b/>
                <w:bCs/>
                <w:color w:val="000000" w:themeColor="text1"/>
                <w:sz w:val="20"/>
                <w:szCs w:val="20"/>
                <w:lang w:val="hr-HR"/>
              </w:rPr>
              <w:t>Razina 3</w:t>
            </w:r>
          </w:p>
        </w:tc>
      </w:tr>
      <w:tr w:rsidR="004E2F51" w:rsidRPr="006E538D" w14:paraId="58F68DA6" w14:textId="77777777" w:rsidTr="00E032FC">
        <w:trPr>
          <w:trHeight w:val="376"/>
          <w:jc w:val="center"/>
        </w:trPr>
        <w:tc>
          <w:tcPr>
            <w:tcW w:w="1985" w:type="dxa"/>
            <w:tcBorders>
              <w:bottom w:val="single" w:sz="4" w:space="0" w:color="auto"/>
            </w:tcBorders>
            <w:shd w:val="clear" w:color="auto" w:fill="auto"/>
          </w:tcPr>
          <w:p w14:paraId="74DBA7C0" w14:textId="77777777" w:rsidR="004E2F51" w:rsidRPr="00C25BBA" w:rsidRDefault="004E2F51" w:rsidP="00E032FC">
            <w:pPr>
              <w:rPr>
                <w:rFonts w:ascii="Arial" w:hAnsi="Arial" w:cs="Arial"/>
                <w:b/>
                <w:bCs/>
                <w:color w:val="000000" w:themeColor="text1"/>
                <w:sz w:val="20"/>
                <w:szCs w:val="20"/>
                <w:lang w:val="hr-HR"/>
              </w:rPr>
            </w:pPr>
            <w:r w:rsidRPr="00C25BBA">
              <w:rPr>
                <w:rFonts w:ascii="Arial" w:hAnsi="Arial" w:cs="Arial"/>
                <w:b/>
                <w:bCs/>
                <w:color w:val="000000" w:themeColor="text1"/>
                <w:sz w:val="20"/>
                <w:szCs w:val="20"/>
                <w:lang w:val="hr-HR"/>
              </w:rPr>
              <w:t>Definicija ulaznih podataka:</w:t>
            </w:r>
          </w:p>
        </w:tc>
        <w:tc>
          <w:tcPr>
            <w:tcW w:w="2552" w:type="dxa"/>
            <w:tcBorders>
              <w:bottom w:val="single" w:sz="4" w:space="0" w:color="auto"/>
            </w:tcBorders>
            <w:shd w:val="clear" w:color="auto" w:fill="auto"/>
          </w:tcPr>
          <w:p w14:paraId="29BF6078" w14:textId="77777777" w:rsidR="004E2F51" w:rsidRPr="00C25BBA" w:rsidRDefault="004E2F51" w:rsidP="00E032FC">
            <w:pPr>
              <w:rPr>
                <w:rFonts w:ascii="Arial" w:hAnsi="Arial" w:cs="Arial"/>
                <w:bCs/>
                <w:color w:val="000000" w:themeColor="text1"/>
                <w:sz w:val="20"/>
                <w:szCs w:val="20"/>
                <w:lang w:val="hr-HR"/>
              </w:rPr>
            </w:pPr>
            <w:r w:rsidRPr="00C25BBA">
              <w:rPr>
                <w:rFonts w:ascii="Arial" w:hAnsi="Arial" w:cs="Arial"/>
                <w:bCs/>
                <w:color w:val="000000" w:themeColor="text1"/>
                <w:sz w:val="20"/>
                <w:szCs w:val="20"/>
                <w:lang w:val="hr-HR"/>
              </w:rPr>
              <w:t>Kotirane (neusklađene) cijene na aktivnim tržištima za identičnu imovinu, odnosno identične obveze i koje su dostupne na datum mjerenja.</w:t>
            </w:r>
          </w:p>
        </w:tc>
        <w:tc>
          <w:tcPr>
            <w:tcW w:w="2551" w:type="dxa"/>
            <w:tcBorders>
              <w:bottom w:val="single" w:sz="4" w:space="0" w:color="auto"/>
            </w:tcBorders>
            <w:shd w:val="clear" w:color="auto" w:fill="auto"/>
          </w:tcPr>
          <w:p w14:paraId="2DE4AED7" w14:textId="77777777" w:rsidR="004E2F51" w:rsidRPr="00C25BBA" w:rsidRDefault="004E2F51" w:rsidP="00E032FC">
            <w:pPr>
              <w:rPr>
                <w:rFonts w:ascii="Arial" w:hAnsi="Arial" w:cs="Arial"/>
                <w:bCs/>
                <w:color w:val="000000" w:themeColor="text1"/>
                <w:sz w:val="20"/>
                <w:szCs w:val="20"/>
                <w:lang w:val="hr-HR"/>
              </w:rPr>
            </w:pPr>
            <w:r w:rsidRPr="00C25BBA">
              <w:rPr>
                <w:rFonts w:ascii="Arial" w:hAnsi="Arial" w:cs="Arial"/>
                <w:bCs/>
                <w:color w:val="000000" w:themeColor="text1"/>
                <w:sz w:val="20"/>
                <w:szCs w:val="20"/>
                <w:lang w:val="hr-HR"/>
              </w:rPr>
              <w:t>Ulazni podaci, osim kotiranih iz 1. razine koje su, bilo izravno, bilo neizravno, vidljive za predmetnu imovinu, odnosno obvezu.</w:t>
            </w:r>
          </w:p>
        </w:tc>
        <w:tc>
          <w:tcPr>
            <w:tcW w:w="2410" w:type="dxa"/>
            <w:tcBorders>
              <w:bottom w:val="single" w:sz="4" w:space="0" w:color="auto"/>
            </w:tcBorders>
            <w:shd w:val="clear" w:color="auto" w:fill="auto"/>
          </w:tcPr>
          <w:p w14:paraId="39144061" w14:textId="77777777" w:rsidR="004E2F51" w:rsidRPr="00C25BBA" w:rsidRDefault="004E2F51" w:rsidP="00E032FC">
            <w:pPr>
              <w:rPr>
                <w:rFonts w:ascii="Arial" w:hAnsi="Arial" w:cs="Arial"/>
                <w:bCs/>
                <w:color w:val="000000" w:themeColor="text1"/>
                <w:sz w:val="20"/>
                <w:szCs w:val="20"/>
                <w:lang w:val="hr-HR"/>
              </w:rPr>
            </w:pPr>
            <w:r w:rsidRPr="00C25BBA">
              <w:rPr>
                <w:rFonts w:ascii="Arial" w:hAnsi="Arial" w:cs="Arial"/>
                <w:bCs/>
                <w:color w:val="000000" w:themeColor="text1"/>
                <w:sz w:val="20"/>
                <w:szCs w:val="20"/>
                <w:lang w:val="hr-HR"/>
              </w:rPr>
              <w:t>Ulazni podaci o predmetnoj imovini, odnosno obvezi koji nisu vidljivi, odnosno koji su izvedeni iz tržišnih podataka</w:t>
            </w:r>
            <w:r w:rsidRPr="00C25BBA">
              <w:rPr>
                <w:rFonts w:ascii="Arial" w:hAnsi="Arial" w:cs="Arial"/>
                <w:b/>
                <w:bCs/>
                <w:color w:val="000000" w:themeColor="text1"/>
                <w:sz w:val="20"/>
                <w:szCs w:val="20"/>
                <w:lang w:val="hr-HR"/>
              </w:rPr>
              <w:t>.</w:t>
            </w:r>
          </w:p>
        </w:tc>
      </w:tr>
    </w:tbl>
    <w:p w14:paraId="05A4ECEE" w14:textId="77777777" w:rsidR="004E2F51" w:rsidRPr="004B4498" w:rsidRDefault="004E2F51" w:rsidP="004E2F51">
      <w:pPr>
        <w:jc w:val="both"/>
        <w:rPr>
          <w:rFonts w:ascii="Arial" w:hAnsi="Arial" w:cs="Arial"/>
          <w:bCs/>
          <w:color w:val="000000" w:themeColor="text1"/>
          <w:sz w:val="20"/>
          <w:szCs w:val="20"/>
          <w:lang w:val="hr-HR"/>
        </w:rPr>
      </w:pPr>
    </w:p>
    <w:p w14:paraId="23220ED9" w14:textId="77777777" w:rsidR="004E2F51" w:rsidRPr="004B4498" w:rsidRDefault="004E2F51" w:rsidP="004E2F51">
      <w:pPr>
        <w:jc w:val="both"/>
        <w:rPr>
          <w:rFonts w:ascii="Arial" w:hAnsi="Arial" w:cs="Arial"/>
          <w:bCs/>
          <w:color w:val="000000" w:themeColor="text1"/>
          <w:sz w:val="20"/>
          <w:szCs w:val="20"/>
          <w:lang w:val="hr-HR"/>
        </w:rPr>
      </w:pPr>
      <w:r w:rsidRPr="004B4498">
        <w:rPr>
          <w:rFonts w:ascii="Arial" w:hAnsi="Arial" w:cs="Arial"/>
          <w:bCs/>
          <w:color w:val="000000" w:themeColor="text1"/>
          <w:sz w:val="20"/>
          <w:szCs w:val="20"/>
          <w:lang w:val="hr-HR"/>
        </w:rPr>
        <w:t>Grupa iskazuje prijenose između razina fer vrijednosti na kraju izvještajnog razdoblja tijekom kojeg se promjena dogodila.</w:t>
      </w:r>
    </w:p>
    <w:p w14:paraId="6CA070FF" w14:textId="77777777" w:rsidR="004E2F51" w:rsidRPr="004B4498" w:rsidRDefault="004E2F51" w:rsidP="004E2F51">
      <w:pPr>
        <w:jc w:val="both"/>
        <w:rPr>
          <w:rFonts w:ascii="Arial" w:hAnsi="Arial" w:cs="Arial"/>
          <w:bCs/>
          <w:color w:val="000000" w:themeColor="text1"/>
          <w:sz w:val="20"/>
          <w:szCs w:val="20"/>
          <w:lang w:val="hr-HR"/>
        </w:rPr>
      </w:pPr>
    </w:p>
    <w:p w14:paraId="621BE27E" w14:textId="77777777" w:rsidR="004E2F51" w:rsidRPr="004B4498" w:rsidRDefault="004E2F51" w:rsidP="004E2F51">
      <w:pPr>
        <w:jc w:val="both"/>
        <w:rPr>
          <w:rFonts w:ascii="Arial" w:hAnsi="Arial" w:cs="Arial"/>
          <w:bCs/>
          <w:color w:val="000000" w:themeColor="text1"/>
          <w:spacing w:val="-3"/>
          <w:sz w:val="20"/>
          <w:szCs w:val="20"/>
          <w:lang w:val="hr-HR"/>
        </w:rPr>
        <w:sectPr w:rsidR="004E2F51" w:rsidRPr="004B4498" w:rsidSect="00623DBA">
          <w:footerReference w:type="default" r:id="rId97"/>
          <w:pgSz w:w="11907" w:h="16840" w:code="9"/>
          <w:pgMar w:top="1418" w:right="1134" w:bottom="1134" w:left="1418" w:header="851" w:footer="851" w:gutter="0"/>
          <w:cols w:space="720"/>
          <w:noEndnote/>
        </w:sectPr>
      </w:pPr>
      <w:r w:rsidRPr="004B4498">
        <w:rPr>
          <w:rFonts w:ascii="Arial" w:hAnsi="Arial" w:cs="Arial"/>
          <w:bCs/>
          <w:color w:val="000000" w:themeColor="text1"/>
          <w:sz w:val="20"/>
          <w:szCs w:val="20"/>
          <w:lang w:val="hr-HR"/>
        </w:rPr>
        <w:t xml:space="preserve">Usporedba fer i knjigovodstvene vrijednosti financijskih instrumenata koji se ne vode po fer vrijednosti prikazana je u bilješci </w:t>
      </w:r>
      <w:r w:rsidRPr="00A873BB">
        <w:rPr>
          <w:rFonts w:ascii="Arial" w:hAnsi="Arial" w:cs="Arial"/>
          <w:bCs/>
          <w:color w:val="000000" w:themeColor="text1"/>
          <w:spacing w:val="-3"/>
          <w:sz w:val="20"/>
          <w:szCs w:val="20"/>
          <w:lang w:val="hr-HR"/>
        </w:rPr>
        <w:t>32.2.</w:t>
      </w:r>
    </w:p>
    <w:p w14:paraId="62CCDF5A" w14:textId="77777777" w:rsidR="004E2F51" w:rsidRPr="004B4498" w:rsidRDefault="004E2F51" w:rsidP="004E2F51">
      <w:pPr>
        <w:jc w:val="both"/>
        <w:rPr>
          <w:rFonts w:ascii="Arial" w:hAnsi="Arial" w:cs="Arial"/>
          <w:color w:val="000000" w:themeColor="text1"/>
          <w:spacing w:val="-3"/>
          <w:sz w:val="20"/>
          <w:szCs w:val="20"/>
          <w:lang w:val="hr-HR"/>
        </w:rPr>
      </w:pPr>
    </w:p>
    <w:p w14:paraId="68A168E4"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1341F3EF"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437CA06"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4B4E3CD8" w14:textId="77777777" w:rsidR="004E2F51" w:rsidRPr="004B4498" w:rsidRDefault="004E2F51" w:rsidP="004E2F51">
      <w:pPr>
        <w:jc w:val="both"/>
        <w:rPr>
          <w:rFonts w:ascii="Arial" w:hAnsi="Arial" w:cs="Arial"/>
          <w:b/>
          <w:color w:val="000000" w:themeColor="text1"/>
          <w:sz w:val="20"/>
          <w:szCs w:val="20"/>
          <w:lang w:val="hr-HR"/>
        </w:rPr>
      </w:pPr>
    </w:p>
    <w:p w14:paraId="1380FD31"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567E08A8" w14:textId="77777777" w:rsidR="004E2F51" w:rsidRPr="004B4498" w:rsidRDefault="004E2F51" w:rsidP="004E2F51">
      <w:pPr>
        <w:jc w:val="both"/>
        <w:rPr>
          <w:rFonts w:ascii="Arial" w:hAnsi="Arial" w:cs="Arial"/>
          <w:b/>
          <w:i/>
          <w:color w:val="000000" w:themeColor="text1"/>
          <w:sz w:val="20"/>
          <w:szCs w:val="20"/>
          <w:lang w:val="hr-HR"/>
        </w:rPr>
      </w:pPr>
    </w:p>
    <w:p w14:paraId="3C1EF64A" w14:textId="77777777" w:rsidR="004E2F51" w:rsidRPr="004B4498" w:rsidRDefault="004E2F51" w:rsidP="004E2F51">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ix. Umanjenje vrijednosti</w:t>
      </w:r>
    </w:p>
    <w:p w14:paraId="0ADB45E2" w14:textId="77777777" w:rsidR="004E2F51" w:rsidRPr="004B4498" w:rsidRDefault="004E2F51" w:rsidP="004E2F51">
      <w:pPr>
        <w:pStyle w:val="accountingpolicytitle"/>
        <w:rPr>
          <w:rFonts w:cs="Arial"/>
          <w:color w:val="000000" w:themeColor="text1"/>
          <w:sz w:val="20"/>
          <w:lang w:val="hr-HR"/>
        </w:rPr>
      </w:pPr>
    </w:p>
    <w:p w14:paraId="1914B024"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vrijednosti financijske imovine priznaje se po modelu očekivanih kreditnih gubitaka za imovinu koja se naknadno mjeri po amortiziranom trošku i imovinu koja se naknadno mjeri po fer vrijednosti kroz ostalu sveobuhvatnu dobit.</w:t>
      </w:r>
    </w:p>
    <w:p w14:paraId="49B62207"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vrijednosti provodi se tijekom obračunskih razdoblja i krajem godine na dan bilance, a efekti umanjenja vrijednosti iskazuju se po svakom plasmanu pojedinačno u izvještaju o financijskom položaju, ostaloj sveobuhvatnoj dobiti i izvještaju o dobiti i gubitku.</w:t>
      </w:r>
    </w:p>
    <w:p w14:paraId="6B445549" w14:textId="77777777" w:rsidR="004E2F51" w:rsidRPr="004B4498" w:rsidRDefault="004E2F51" w:rsidP="004E2F51">
      <w:pPr>
        <w:jc w:val="both"/>
        <w:rPr>
          <w:rFonts w:ascii="Arial" w:hAnsi="Arial" w:cs="Arial"/>
          <w:color w:val="000000" w:themeColor="text1"/>
          <w:sz w:val="20"/>
          <w:szCs w:val="20"/>
          <w:lang w:val="hr-HR"/>
        </w:rPr>
      </w:pPr>
    </w:p>
    <w:p w14:paraId="3788BD31"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vrijednosti se provodi primjenom općeg i pojednostavljenog pristupa.</w:t>
      </w:r>
    </w:p>
    <w:p w14:paraId="13CEDB64"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01C355F6"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Prema </w:t>
      </w:r>
      <w:r w:rsidRPr="004B4498">
        <w:rPr>
          <w:rFonts w:ascii="Arial" w:hAnsi="Arial" w:cs="Arial"/>
          <w:b/>
          <w:color w:val="000000" w:themeColor="text1"/>
          <w:sz w:val="20"/>
          <w:szCs w:val="20"/>
          <w:lang w:val="hr-HR"/>
        </w:rPr>
        <w:t>općem pristupu</w:t>
      </w:r>
      <w:r w:rsidRPr="004B4498">
        <w:rPr>
          <w:rFonts w:ascii="Arial" w:hAnsi="Arial" w:cs="Arial"/>
          <w:color w:val="000000" w:themeColor="text1"/>
          <w:sz w:val="20"/>
          <w:szCs w:val="20"/>
          <w:lang w:val="hr-HR"/>
        </w:rPr>
        <w:t xml:space="preserve"> umanjenja vrijednosti, financijska imovina se pri inicijalnom priznavanju alocira u:</w:t>
      </w:r>
    </w:p>
    <w:p w14:paraId="3DC56E8C" w14:textId="77777777" w:rsidR="004E2F51" w:rsidRPr="004B4498" w:rsidRDefault="004E2F51">
      <w:pPr>
        <w:pStyle w:val="ListParagraph"/>
        <w:numPr>
          <w:ilvl w:val="0"/>
          <w:numId w:val="34"/>
        </w:numPr>
        <w:suppressAutoHyphens w:val="0"/>
        <w:autoSpaceDN/>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1. stupanj – financijska imovina bez značajno povećanog kreditnog rizika ili</w:t>
      </w:r>
    </w:p>
    <w:p w14:paraId="5A2EC2D5" w14:textId="77777777" w:rsidR="004E2F51" w:rsidRPr="004B4498" w:rsidRDefault="004E2F51">
      <w:pPr>
        <w:pStyle w:val="ListParagraph"/>
        <w:keepNext/>
        <w:numPr>
          <w:ilvl w:val="0"/>
          <w:numId w:val="34"/>
        </w:numPr>
        <w:tabs>
          <w:tab w:val="left" w:pos="426"/>
        </w:tabs>
        <w:suppressAutoHyphens w:val="0"/>
        <w:autoSpaceDN/>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POCI imovinu kao financijsku imovinu koja je kupljena ili stvorena financijska imovina umanjena za kreditne gubitke, koja se alocira u 3. stupanj.</w:t>
      </w:r>
    </w:p>
    <w:p w14:paraId="4EF54B48" w14:textId="77777777" w:rsidR="004E2F51" w:rsidRPr="004B4498" w:rsidRDefault="004E2F51" w:rsidP="004E2F51">
      <w:pPr>
        <w:jc w:val="both"/>
        <w:rPr>
          <w:rFonts w:ascii="Arial" w:hAnsi="Arial" w:cs="Arial"/>
          <w:b/>
          <w:i/>
          <w:color w:val="000000" w:themeColor="text1"/>
          <w:sz w:val="20"/>
          <w:szCs w:val="20"/>
          <w:lang w:val="hr-HR"/>
        </w:rPr>
      </w:pPr>
    </w:p>
    <w:p w14:paraId="3355E432" w14:textId="77777777" w:rsidR="004E2F51" w:rsidRPr="004B4498" w:rsidRDefault="004E2F51" w:rsidP="004E2F51">
      <w:pPr>
        <w:jc w:val="both"/>
        <w:rPr>
          <w:rFonts w:ascii="Arial" w:eastAsia="PMingLiU" w:hAnsi="Arial" w:cs="Arial"/>
          <w:color w:val="000000" w:themeColor="text1"/>
          <w:sz w:val="20"/>
          <w:szCs w:val="20"/>
          <w:lang w:val="hr-HR" w:eastAsia="hr-HR" w:bidi="hr-HR"/>
        </w:rPr>
      </w:pPr>
      <w:r w:rsidRPr="004B4498">
        <w:rPr>
          <w:rFonts w:ascii="Arial" w:hAnsi="Arial" w:cs="Arial"/>
          <w:color w:val="000000" w:themeColor="text1"/>
          <w:sz w:val="20"/>
          <w:szCs w:val="20"/>
          <w:lang w:val="hr-HR"/>
        </w:rPr>
        <w:t>Na sljedeće izvještajne datume sva financijska imovina, koja nije priznata kao POCI imovina, alocira se prema utvrđenom značajnom porastu kreditnog rizika i kriterijima kreditnog umanjenja u tri stupnja:</w:t>
      </w:r>
      <w:r w:rsidRPr="004B4498">
        <w:rPr>
          <w:rFonts w:ascii="Arial" w:eastAsia="PMingLiU" w:hAnsi="Arial" w:cs="Arial"/>
          <w:color w:val="000000" w:themeColor="text1"/>
          <w:sz w:val="20"/>
          <w:szCs w:val="20"/>
          <w:lang w:val="hr-HR" w:eastAsia="hr-HR" w:bidi="hr-HR"/>
        </w:rPr>
        <w:t xml:space="preserve"> </w:t>
      </w:r>
    </w:p>
    <w:p w14:paraId="0120203E" w14:textId="77777777" w:rsidR="004E2F51" w:rsidRPr="004B4498" w:rsidRDefault="004E2F51" w:rsidP="004E2F51">
      <w:p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1. stupanj – u ovaj stupanj se raspoređuju financijski instrumenti klijenata niskog kreditnog rizika, a to su:</w:t>
      </w:r>
    </w:p>
    <w:p w14:paraId="4881A857" w14:textId="77777777" w:rsidR="004E2F51" w:rsidRPr="004B4498" w:rsidRDefault="004E2F51">
      <w:pPr>
        <w:pStyle w:val="ListParagraph"/>
        <w:numPr>
          <w:ilvl w:val="1"/>
          <w:numId w:val="34"/>
        </w:numPr>
        <w:suppressAutoHyphens w:val="0"/>
        <w:autoSpaceDN/>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financijski instrumenti klijenta s investicijskim rejtingom vanjskih kreditnih rejting agencija</w:t>
      </w:r>
    </w:p>
    <w:p w14:paraId="3123E5D4" w14:textId="77777777" w:rsidR="004E2F51" w:rsidRPr="004B4498" w:rsidRDefault="004E2F51">
      <w:pPr>
        <w:pStyle w:val="ListParagraph"/>
        <w:numPr>
          <w:ilvl w:val="1"/>
          <w:numId w:val="34"/>
        </w:numPr>
        <w:suppressAutoHyphens w:val="0"/>
        <w:autoSpaceDN/>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izloženosti prema Republici Hrvatskoj i jedinicama lokalne i područne (regionalne) samouprave, HNB-u, Europskoj investicijskoj banci iIi ostalim razvojnim bankama.</w:t>
      </w:r>
    </w:p>
    <w:p w14:paraId="4934BB40" w14:textId="77777777" w:rsidR="004E2F51" w:rsidRPr="004B4498" w:rsidRDefault="004E2F51" w:rsidP="004E2F51">
      <w:pPr>
        <w:jc w:val="both"/>
        <w:rPr>
          <w:rFonts w:ascii="Arial" w:eastAsia="PMingLiU" w:hAnsi="Arial" w:cs="Arial"/>
          <w:color w:val="000000" w:themeColor="text1"/>
          <w:sz w:val="20"/>
          <w:szCs w:val="20"/>
          <w:lang w:val="hr-HR" w:eastAsia="hr-HR" w:bidi="hr-HR"/>
        </w:rPr>
      </w:pPr>
    </w:p>
    <w:p w14:paraId="070059CD" w14:textId="77777777" w:rsidR="004E2F51" w:rsidRPr="004B4498" w:rsidRDefault="004E2F51" w:rsidP="004E2F51">
      <w:p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Financijski instrumenti klijenta ne smatraju se instrumentima niskog kreditnog rizika samo zbog vrijednosti instrumenata osiguranja.</w:t>
      </w:r>
    </w:p>
    <w:p w14:paraId="3381AEE4" w14:textId="77777777" w:rsidR="004E2F51" w:rsidRPr="004B4498" w:rsidRDefault="004E2F51" w:rsidP="004E2F51">
      <w:pPr>
        <w:jc w:val="both"/>
        <w:rPr>
          <w:rFonts w:ascii="Arial" w:eastAsia="PMingLiU" w:hAnsi="Arial" w:cs="Arial"/>
          <w:color w:val="000000" w:themeColor="text1"/>
          <w:sz w:val="20"/>
          <w:szCs w:val="20"/>
          <w:lang w:val="hr-HR" w:eastAsia="hr-HR" w:bidi="hr-HR"/>
        </w:rPr>
      </w:pPr>
    </w:p>
    <w:p w14:paraId="111F3B1F" w14:textId="77777777" w:rsidR="004E2F51" w:rsidRPr="004B4498" w:rsidRDefault="004E2F51" w:rsidP="004E2F51">
      <w:p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Za financijske instrumente klijenata alociranih u ovaj stupanj, umanjenja vrijednosti se izračunavaju na skupnoj osnovi u visini dvanaestomjesečnih očekivanih kreditnih gubitaka.</w:t>
      </w:r>
    </w:p>
    <w:p w14:paraId="762BC304" w14:textId="77777777" w:rsidR="004E2F51" w:rsidRPr="004B4498" w:rsidRDefault="004E2F51" w:rsidP="004E2F51">
      <w:pPr>
        <w:jc w:val="both"/>
        <w:rPr>
          <w:rFonts w:ascii="Arial" w:eastAsia="PMingLiU" w:hAnsi="Arial" w:cs="Arial"/>
          <w:color w:val="000000" w:themeColor="text1"/>
          <w:sz w:val="20"/>
          <w:szCs w:val="20"/>
          <w:lang w:val="hr-HR" w:eastAsia="hr-HR" w:bidi="hr-HR"/>
        </w:rPr>
      </w:pPr>
    </w:p>
    <w:p w14:paraId="07E5577C" w14:textId="77777777" w:rsidR="004E2F51" w:rsidRPr="004B4498" w:rsidRDefault="004E2F51" w:rsidP="004E2F51">
      <w:p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2. stupanj - u ovaj stupanj se raspoređuju financijski instrumenti klijenata značajnog porasta kreditnog rizika ili se individualno značajni klijent nalazi na Listi za pojačano praćenje (eng. watch list).</w:t>
      </w:r>
    </w:p>
    <w:p w14:paraId="0459DA3C" w14:textId="77777777" w:rsidR="004E2F51" w:rsidRPr="004B4498" w:rsidRDefault="004E2F51" w:rsidP="004E2F51">
      <w:pPr>
        <w:jc w:val="both"/>
        <w:rPr>
          <w:rFonts w:ascii="Arial" w:hAnsi="Arial" w:cs="Arial"/>
          <w:color w:val="000000" w:themeColor="text1"/>
          <w:sz w:val="20"/>
          <w:szCs w:val="20"/>
          <w:lang w:val="hr-HR"/>
        </w:rPr>
      </w:pPr>
    </w:p>
    <w:p w14:paraId="0615ED64" w14:textId="77777777" w:rsidR="004E2F51" w:rsidRPr="004B4498" w:rsidRDefault="004E2F51" w:rsidP="004E2F51">
      <w:p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 xml:space="preserve">Za detaljnije objašnjenje molimo pogledati </w:t>
      </w:r>
      <w:r w:rsidRPr="00A873BB">
        <w:rPr>
          <w:rFonts w:ascii="Arial" w:eastAsia="PMingLiU" w:hAnsi="Arial" w:cs="Arial"/>
          <w:color w:val="000000" w:themeColor="text1"/>
          <w:sz w:val="20"/>
          <w:szCs w:val="20"/>
          <w:lang w:val="hr-HR" w:eastAsia="hr-HR" w:bidi="hr-HR"/>
        </w:rPr>
        <w:t>bilješku 31</w:t>
      </w:r>
      <w:r w:rsidRPr="004B4498">
        <w:rPr>
          <w:rFonts w:ascii="Arial" w:eastAsia="PMingLiU" w:hAnsi="Arial" w:cs="Arial"/>
          <w:color w:val="000000" w:themeColor="text1"/>
          <w:sz w:val="20"/>
          <w:szCs w:val="20"/>
          <w:lang w:val="hr-HR" w:eastAsia="hr-HR" w:bidi="hr-HR"/>
        </w:rPr>
        <w:t xml:space="preserve">. Upravljanje rizicima. </w:t>
      </w:r>
    </w:p>
    <w:p w14:paraId="1240D4A5" w14:textId="77777777" w:rsidR="004E2F51" w:rsidRPr="004B4498" w:rsidRDefault="004E2F51" w:rsidP="004E2F51">
      <w:pPr>
        <w:jc w:val="both"/>
        <w:rPr>
          <w:rFonts w:ascii="Arial" w:eastAsia="PMingLiU" w:hAnsi="Arial" w:cs="Arial"/>
          <w:color w:val="000000" w:themeColor="text1"/>
          <w:sz w:val="20"/>
          <w:szCs w:val="20"/>
          <w:lang w:val="hr-HR" w:eastAsia="hr-HR" w:bidi="hr-HR"/>
        </w:rPr>
      </w:pPr>
    </w:p>
    <w:p w14:paraId="5C2A8413" w14:textId="3142034E" w:rsidR="004E2F51" w:rsidRPr="004B4498" w:rsidRDefault="004E2F51" w:rsidP="004E2F51">
      <w:pPr>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 xml:space="preserve">Za financijske instrumente klijenata u 2. stupnju, rezervacije za umanjenje vrijednosti se izračunavaju na skupnoj osnovi u visini </w:t>
      </w:r>
      <w:r w:rsidR="00856CC8" w:rsidRPr="004B4498">
        <w:rPr>
          <w:rFonts w:ascii="Arial" w:eastAsia="PMingLiU" w:hAnsi="Arial" w:cs="Arial"/>
          <w:color w:val="000000" w:themeColor="text1"/>
          <w:sz w:val="20"/>
          <w:szCs w:val="20"/>
          <w:lang w:val="hr-HR" w:eastAsia="hr-HR" w:bidi="hr-HR"/>
        </w:rPr>
        <w:t>cjeloživotnih</w:t>
      </w:r>
      <w:r w:rsidRPr="004B4498">
        <w:rPr>
          <w:rFonts w:ascii="Arial" w:eastAsia="PMingLiU" w:hAnsi="Arial" w:cs="Arial"/>
          <w:color w:val="000000" w:themeColor="text1"/>
          <w:sz w:val="20"/>
          <w:szCs w:val="20"/>
          <w:lang w:val="hr-HR" w:eastAsia="hr-HR" w:bidi="hr-HR"/>
        </w:rPr>
        <w:t xml:space="preserve"> očekivanih kreditnih gubitaka.</w:t>
      </w:r>
    </w:p>
    <w:p w14:paraId="6619A757" w14:textId="77777777" w:rsidR="004E2F51" w:rsidRPr="004B4498" w:rsidRDefault="004E2F51" w:rsidP="004E2F51">
      <w:pPr>
        <w:ind w:left="709"/>
        <w:jc w:val="both"/>
        <w:rPr>
          <w:rFonts w:ascii="Arial" w:eastAsia="PMingLiU" w:hAnsi="Arial" w:cs="Arial"/>
          <w:color w:val="000000" w:themeColor="text1"/>
          <w:sz w:val="20"/>
          <w:szCs w:val="20"/>
          <w:lang w:val="hr-HR" w:eastAsia="hr-HR" w:bidi="hr-HR"/>
        </w:rPr>
      </w:pPr>
    </w:p>
    <w:p w14:paraId="013597AA" w14:textId="77777777" w:rsidR="004E2F51" w:rsidRPr="004B4498" w:rsidRDefault="004E2F51" w:rsidP="004E2F51">
      <w:pPr>
        <w:tabs>
          <w:tab w:val="left" w:pos="8640"/>
        </w:tabs>
        <w:ind w:right="57"/>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3. stupanj – financijski instrumenti klijenta u statusu neispunjenja obveza (eng. default) – obuhvaća klijente kod kojih postoje objektivni dokazi o umanjenju vrijednosti financijskog instrumenta te kupljenu ili stvorenu kreditno umanjenu financijsku imovinu – POCI.</w:t>
      </w:r>
    </w:p>
    <w:p w14:paraId="00080D2F" w14:textId="77777777" w:rsidR="004E2F51" w:rsidRPr="004B4498" w:rsidRDefault="004E2F51" w:rsidP="004E2F51">
      <w:pPr>
        <w:jc w:val="both"/>
        <w:rPr>
          <w:rFonts w:ascii="Arial" w:hAnsi="Arial" w:cs="Arial"/>
          <w:color w:val="000000" w:themeColor="text1"/>
          <w:sz w:val="20"/>
          <w:szCs w:val="20"/>
          <w:lang w:val="hr-HR"/>
        </w:rPr>
        <w:sectPr w:rsidR="004E2F51" w:rsidRPr="004B4498" w:rsidSect="00623DBA">
          <w:footerReference w:type="default" r:id="rId98"/>
          <w:pgSz w:w="11907" w:h="16840" w:code="9"/>
          <w:pgMar w:top="1418" w:right="1134" w:bottom="1134" w:left="1418" w:header="851" w:footer="851" w:gutter="0"/>
          <w:cols w:space="720"/>
          <w:noEndnote/>
        </w:sectPr>
      </w:pPr>
    </w:p>
    <w:p w14:paraId="4FEE6EEF"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0922A845"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119E1970"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7942A444"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0CA4C8F4" w14:textId="77777777" w:rsidR="004E2F51" w:rsidRPr="004B4498" w:rsidRDefault="004E2F51" w:rsidP="004E2F51">
      <w:pPr>
        <w:jc w:val="both"/>
        <w:rPr>
          <w:rFonts w:ascii="Arial" w:hAnsi="Arial" w:cs="Arial"/>
          <w:b/>
          <w:color w:val="000000" w:themeColor="text1"/>
          <w:sz w:val="20"/>
          <w:szCs w:val="20"/>
          <w:lang w:val="hr-HR"/>
        </w:rPr>
      </w:pPr>
    </w:p>
    <w:p w14:paraId="28BE030C"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1C87A500" w14:textId="77777777" w:rsidR="004E2F51" w:rsidRPr="004B4498" w:rsidRDefault="004E2F51" w:rsidP="004E2F51">
      <w:pPr>
        <w:jc w:val="both"/>
        <w:rPr>
          <w:rFonts w:ascii="Arial" w:hAnsi="Arial" w:cs="Arial"/>
          <w:b/>
          <w:i/>
          <w:color w:val="000000" w:themeColor="text1"/>
          <w:sz w:val="20"/>
          <w:szCs w:val="20"/>
          <w:lang w:val="hr-HR"/>
        </w:rPr>
      </w:pPr>
    </w:p>
    <w:p w14:paraId="1AD1A8F9" w14:textId="77777777" w:rsidR="004E2F51" w:rsidRPr="004B4498" w:rsidRDefault="004E2F51" w:rsidP="004E2F51">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ix. Umanjenje vrijednosti (nastavak)</w:t>
      </w:r>
    </w:p>
    <w:p w14:paraId="784C263B" w14:textId="77777777" w:rsidR="004E2F51" w:rsidRPr="004B4498" w:rsidRDefault="004E2F51" w:rsidP="004E2F51">
      <w:pPr>
        <w:tabs>
          <w:tab w:val="left" w:pos="8640"/>
        </w:tabs>
        <w:ind w:right="57"/>
        <w:jc w:val="both"/>
        <w:rPr>
          <w:rFonts w:ascii="Arial" w:eastAsia="PMingLiU" w:hAnsi="Arial" w:cs="Arial"/>
          <w:color w:val="000000" w:themeColor="text1"/>
          <w:sz w:val="20"/>
          <w:szCs w:val="20"/>
          <w:lang w:val="hr-HR" w:eastAsia="hr-HR" w:bidi="hr-HR"/>
        </w:rPr>
      </w:pPr>
    </w:p>
    <w:p w14:paraId="1C63941B"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Financijska imovina koja je priznata kao POCI imovina ostaje alocirana u 3. stupnju do prestanka priznavanja.</w:t>
      </w:r>
    </w:p>
    <w:p w14:paraId="33358E3A" w14:textId="77777777" w:rsidR="004E2F51" w:rsidRPr="004B4498" w:rsidRDefault="004E2F51" w:rsidP="004E2F51">
      <w:pPr>
        <w:tabs>
          <w:tab w:val="left" w:pos="8640"/>
        </w:tabs>
        <w:ind w:left="284" w:right="57"/>
        <w:jc w:val="both"/>
        <w:rPr>
          <w:rFonts w:ascii="Arial" w:eastAsia="PMingLiU" w:hAnsi="Arial" w:cs="Arial"/>
          <w:color w:val="000000" w:themeColor="text1"/>
          <w:sz w:val="20"/>
          <w:szCs w:val="20"/>
          <w:lang w:val="hr-HR" w:eastAsia="hr-HR" w:bidi="hr-HR"/>
        </w:rPr>
      </w:pPr>
    </w:p>
    <w:p w14:paraId="289E0650" w14:textId="77777777" w:rsidR="004E2F51" w:rsidRPr="004B4498" w:rsidRDefault="004E2F51" w:rsidP="004E2F51">
      <w:pPr>
        <w:tabs>
          <w:tab w:val="left" w:pos="8640"/>
        </w:tabs>
        <w:ind w:right="57"/>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 xml:space="preserve">Mjerenje očekivanih kreditnih gubitaka na skupnoj osnovi koristi se za klijente u 1. i 2. stupnju te za klijente u 3. stupnju koji pripadaju portfelju malih kredita (bruto iznos izloženosti jednak ili manji od </w:t>
      </w:r>
      <w:r>
        <w:rPr>
          <w:rFonts w:ascii="Arial" w:eastAsia="PMingLiU" w:hAnsi="Arial" w:cs="Arial"/>
          <w:color w:val="000000" w:themeColor="text1"/>
          <w:sz w:val="20"/>
          <w:szCs w:val="20"/>
          <w:lang w:val="hr-HR" w:eastAsia="hr-HR" w:bidi="hr-HR"/>
        </w:rPr>
        <w:t>3</w:t>
      </w:r>
      <w:r w:rsidRPr="004B4498">
        <w:rPr>
          <w:rFonts w:ascii="Arial" w:eastAsia="PMingLiU" w:hAnsi="Arial" w:cs="Arial"/>
          <w:color w:val="000000" w:themeColor="text1"/>
          <w:sz w:val="20"/>
          <w:szCs w:val="20"/>
          <w:lang w:val="hr-HR" w:eastAsia="hr-HR" w:bidi="hr-HR"/>
        </w:rPr>
        <w:t>.</w:t>
      </w:r>
      <w:r>
        <w:rPr>
          <w:rFonts w:ascii="Arial" w:eastAsia="PMingLiU" w:hAnsi="Arial" w:cs="Arial"/>
          <w:color w:val="000000" w:themeColor="text1"/>
          <w:sz w:val="20"/>
          <w:szCs w:val="20"/>
          <w:lang w:val="hr-HR" w:eastAsia="hr-HR" w:bidi="hr-HR"/>
        </w:rPr>
        <w:t>0</w:t>
      </w:r>
      <w:r w:rsidRPr="004B4498">
        <w:rPr>
          <w:rFonts w:ascii="Arial" w:eastAsia="PMingLiU" w:hAnsi="Arial" w:cs="Arial"/>
          <w:color w:val="000000" w:themeColor="text1"/>
          <w:sz w:val="20"/>
          <w:szCs w:val="20"/>
          <w:lang w:val="hr-HR" w:eastAsia="hr-HR" w:bidi="hr-HR"/>
        </w:rPr>
        <w:t xml:space="preserve">00 tisuća kuna), dok se individualna procjena obavlja za financijske instrumente klijenata u statusu neispunjenja obveza i za POCI imovinu. </w:t>
      </w:r>
    </w:p>
    <w:p w14:paraId="5164EA3A" w14:textId="77777777" w:rsidR="004E2F51" w:rsidRPr="004B4498" w:rsidRDefault="004E2F51" w:rsidP="004E2F51">
      <w:pPr>
        <w:jc w:val="both"/>
        <w:rPr>
          <w:rFonts w:ascii="Arial" w:hAnsi="Arial" w:cs="Arial"/>
          <w:b/>
          <w:i/>
          <w:iCs/>
          <w:color w:val="000000" w:themeColor="text1"/>
          <w:sz w:val="20"/>
          <w:szCs w:val="20"/>
          <w:lang w:val="hr-HR"/>
        </w:rPr>
      </w:pPr>
    </w:p>
    <w:p w14:paraId="277A91A2" w14:textId="77777777" w:rsidR="004E2F51" w:rsidRPr="004B4498" w:rsidRDefault="004E2F51" w:rsidP="004E2F51">
      <w:pPr>
        <w:tabs>
          <w:tab w:val="left" w:pos="8640"/>
        </w:tabs>
        <w:ind w:right="57"/>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 xml:space="preserve">Pri mjerenju očekivanih kreditnih gubitaka na skupnoj osnovi HBOR je definirao sljedeće homogene skupine na temelju zajedničkih karakteristika kreditnog rizika: </w:t>
      </w:r>
    </w:p>
    <w:p w14:paraId="2431B02C" w14:textId="77777777" w:rsidR="004E2F51" w:rsidRPr="004B4498" w:rsidRDefault="004E2F51">
      <w:pPr>
        <w:pStyle w:val="ListParagraph"/>
        <w:numPr>
          <w:ilvl w:val="0"/>
          <w:numId w:val="39"/>
        </w:numPr>
        <w:tabs>
          <w:tab w:val="left" w:pos="8640"/>
        </w:tabs>
        <w:suppressAutoHyphens w:val="0"/>
        <w:autoSpaceDN/>
        <w:ind w:right="57"/>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financijske institucije,</w:t>
      </w:r>
    </w:p>
    <w:p w14:paraId="214043EE" w14:textId="77777777" w:rsidR="004E2F51" w:rsidRPr="004B4498" w:rsidRDefault="004E2F51">
      <w:pPr>
        <w:pStyle w:val="ListParagraph"/>
        <w:numPr>
          <w:ilvl w:val="0"/>
          <w:numId w:val="39"/>
        </w:numPr>
        <w:tabs>
          <w:tab w:val="left" w:pos="8640"/>
        </w:tabs>
        <w:suppressAutoHyphens w:val="0"/>
        <w:autoSpaceDN/>
        <w:ind w:right="57"/>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središnja država i lokalna i područna (regionalna) samouprava,</w:t>
      </w:r>
    </w:p>
    <w:p w14:paraId="397AC0ED" w14:textId="77777777" w:rsidR="004E2F51" w:rsidRPr="004B4498" w:rsidRDefault="004E2F51">
      <w:pPr>
        <w:pStyle w:val="ListParagraph"/>
        <w:numPr>
          <w:ilvl w:val="0"/>
          <w:numId w:val="39"/>
        </w:numPr>
        <w:tabs>
          <w:tab w:val="left" w:pos="8640"/>
        </w:tabs>
        <w:suppressAutoHyphens w:val="0"/>
        <w:autoSpaceDN/>
        <w:ind w:right="57"/>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izravni korisnici – veliki,</w:t>
      </w:r>
    </w:p>
    <w:p w14:paraId="3548182B" w14:textId="77777777" w:rsidR="004E2F51" w:rsidRPr="004B4498" w:rsidRDefault="004E2F51">
      <w:pPr>
        <w:pStyle w:val="ListParagraph"/>
        <w:numPr>
          <w:ilvl w:val="0"/>
          <w:numId w:val="39"/>
        </w:numPr>
        <w:tabs>
          <w:tab w:val="left" w:pos="8640"/>
        </w:tabs>
        <w:suppressAutoHyphens w:val="0"/>
        <w:autoSpaceDN/>
        <w:ind w:right="57"/>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 xml:space="preserve">izravni korisnici – mali i srednji, </w:t>
      </w:r>
    </w:p>
    <w:p w14:paraId="29D3FBD2" w14:textId="77777777" w:rsidR="004E2F51" w:rsidRPr="004B4498" w:rsidRDefault="004E2F51">
      <w:pPr>
        <w:pStyle w:val="ListParagraph"/>
        <w:numPr>
          <w:ilvl w:val="0"/>
          <w:numId w:val="39"/>
        </w:numPr>
        <w:tabs>
          <w:tab w:val="left" w:pos="8640"/>
        </w:tabs>
        <w:suppressAutoHyphens w:val="0"/>
        <w:autoSpaceDN/>
        <w:ind w:right="57"/>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 xml:space="preserve">izravni korisnici – mikro, </w:t>
      </w:r>
    </w:p>
    <w:p w14:paraId="447064BB" w14:textId="77777777" w:rsidR="004E2F51" w:rsidRPr="004B4498" w:rsidRDefault="004E2F51">
      <w:pPr>
        <w:pStyle w:val="ListParagraph"/>
        <w:numPr>
          <w:ilvl w:val="0"/>
          <w:numId w:val="39"/>
        </w:numPr>
        <w:tabs>
          <w:tab w:val="left" w:pos="8640"/>
        </w:tabs>
        <w:suppressAutoHyphens w:val="0"/>
        <w:autoSpaceDN/>
        <w:ind w:right="57"/>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izravni korisnici – stanovništvo,</w:t>
      </w:r>
    </w:p>
    <w:p w14:paraId="26D531AD" w14:textId="77777777" w:rsidR="004E2F51" w:rsidRPr="004B4498" w:rsidRDefault="004E2F51">
      <w:pPr>
        <w:pStyle w:val="ListParagraph"/>
        <w:numPr>
          <w:ilvl w:val="0"/>
          <w:numId w:val="39"/>
        </w:numPr>
        <w:tabs>
          <w:tab w:val="left" w:pos="8640"/>
        </w:tabs>
        <w:suppressAutoHyphens w:val="0"/>
        <w:autoSpaceDN/>
        <w:ind w:right="57"/>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ostalo.</w:t>
      </w:r>
    </w:p>
    <w:p w14:paraId="5BDF8839" w14:textId="77777777" w:rsidR="004E2F51" w:rsidRPr="004B4498" w:rsidRDefault="004E2F51" w:rsidP="004E2F51">
      <w:pPr>
        <w:jc w:val="both"/>
        <w:rPr>
          <w:rFonts w:ascii="Arial" w:hAnsi="Arial" w:cs="Arial"/>
          <w:color w:val="000000" w:themeColor="text1"/>
          <w:sz w:val="20"/>
          <w:szCs w:val="20"/>
          <w:lang w:val="hr-HR"/>
        </w:rPr>
      </w:pPr>
    </w:p>
    <w:p w14:paraId="2979CC66"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Za skupinu središnje države i lokalne i područne (regionalne) samouprave kod izračuna očekivanih kreditnih gubitaka – PD-jeva (eng. probability of default) korišten je rejting vanjskih kreditnih rejting agencija za RH prema ocjeni rejting agencije S&amp;P te javno dostupni izvještaji kreditnih rejting agencija o povijesnim stopama statusa neispunjenja obveza (defaulta).  </w:t>
      </w:r>
    </w:p>
    <w:p w14:paraId="40A328CA" w14:textId="77777777" w:rsidR="004E2F51" w:rsidRPr="004B4498" w:rsidRDefault="004E2F51" w:rsidP="004E2F51">
      <w:pPr>
        <w:tabs>
          <w:tab w:val="left" w:pos="8640"/>
        </w:tabs>
        <w:jc w:val="both"/>
        <w:rPr>
          <w:rFonts w:ascii="Arial" w:eastAsia="PMingLiU" w:hAnsi="Arial" w:cs="Arial"/>
          <w:color w:val="000000" w:themeColor="text1"/>
          <w:sz w:val="20"/>
          <w:szCs w:val="20"/>
          <w:lang w:val="hr-HR" w:eastAsia="hr-HR" w:bidi="hr-HR"/>
        </w:rPr>
      </w:pPr>
    </w:p>
    <w:p w14:paraId="4E60AF04" w14:textId="77777777" w:rsidR="004E2F51" w:rsidRPr="004B4498" w:rsidRDefault="004E2F51" w:rsidP="004E2F51">
      <w:pPr>
        <w:tabs>
          <w:tab w:val="left" w:pos="8640"/>
        </w:tabs>
        <w:jc w:val="both"/>
        <w:rPr>
          <w:rFonts w:ascii="Arial" w:eastAsia="PMingLiU" w:hAnsi="Arial" w:cs="Arial"/>
          <w:color w:val="000000" w:themeColor="text1"/>
          <w:sz w:val="20"/>
          <w:szCs w:val="20"/>
          <w:lang w:val="hr-HR" w:eastAsia="hr-HR" w:bidi="hr-HR"/>
        </w:rPr>
      </w:pPr>
      <w:r w:rsidRPr="004B4498">
        <w:rPr>
          <w:rFonts w:ascii="Arial" w:eastAsia="PMingLiU" w:hAnsi="Arial" w:cs="Arial"/>
          <w:color w:val="000000" w:themeColor="text1"/>
          <w:sz w:val="20"/>
          <w:szCs w:val="20"/>
          <w:lang w:val="hr-HR" w:eastAsia="hr-HR" w:bidi="hr-HR"/>
        </w:rPr>
        <w:t>Procjena kreditnih gubitaka financijskih institucija obavlja se temeljem mapiranja rejtinga HBOR-a sa PD-jevima rejting agencije S&amp;P, pri čemu je rejting Zagrebačke banke i PD Zagrebačke banke sidro (benchmark), obzirom da ta banka ima utvrđen rejting.</w:t>
      </w:r>
    </w:p>
    <w:p w14:paraId="6E26F9ED" w14:textId="77777777" w:rsidR="004E2F51" w:rsidRPr="004B4498" w:rsidRDefault="004E2F51" w:rsidP="004E2F51">
      <w:pPr>
        <w:jc w:val="both"/>
        <w:rPr>
          <w:rFonts w:ascii="Arial" w:hAnsi="Arial" w:cs="Arial"/>
          <w:color w:val="000000" w:themeColor="text1"/>
          <w:sz w:val="20"/>
          <w:szCs w:val="20"/>
          <w:lang w:val="hr-HR"/>
        </w:rPr>
      </w:pPr>
    </w:p>
    <w:p w14:paraId="684EF241"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Za skupine izravnih kredita (veliki, mali i srednji, mikro, stanovništvo) i ostalo kod modeliranja PD-jeva korišten je pristup temeljen na migracijskim matricama – kretanje izloženosti između sljedećih rizičnih skupina: </w:t>
      </w:r>
    </w:p>
    <w:p w14:paraId="37B09CE0" w14:textId="77777777" w:rsidR="004E2F51" w:rsidRPr="004B4498" w:rsidRDefault="004E2F51">
      <w:pPr>
        <w:pStyle w:val="ListParagraph"/>
        <w:numPr>
          <w:ilvl w:val="0"/>
          <w:numId w:val="37"/>
        </w:numPr>
        <w:suppressAutoHyphens w:val="0"/>
        <w:autoSpaceDN/>
        <w:ind w:left="1066" w:hanging="357"/>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od 0 do 30 dana kašnjenja – 1. stupanj,</w:t>
      </w:r>
    </w:p>
    <w:p w14:paraId="0D7F217C" w14:textId="77777777" w:rsidR="004E2F51" w:rsidRPr="004B4498" w:rsidRDefault="004E2F51">
      <w:pPr>
        <w:pStyle w:val="ListParagraph"/>
        <w:numPr>
          <w:ilvl w:val="0"/>
          <w:numId w:val="37"/>
        </w:numPr>
        <w:suppressAutoHyphens w:val="0"/>
        <w:autoSpaceDN/>
        <w:ind w:left="1066" w:hanging="357"/>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od 31 do 90 dana kašnjenja – 2. stupanj,</w:t>
      </w:r>
    </w:p>
    <w:p w14:paraId="613438EF" w14:textId="77777777" w:rsidR="004E2F51" w:rsidRPr="004B4498" w:rsidRDefault="004E2F51">
      <w:pPr>
        <w:pStyle w:val="ListParagraph"/>
        <w:numPr>
          <w:ilvl w:val="0"/>
          <w:numId w:val="37"/>
        </w:numPr>
        <w:suppressAutoHyphens w:val="0"/>
        <w:autoSpaceDN/>
        <w:ind w:left="1066" w:hanging="357"/>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više od 90 dana kašnjenja i restrukturiranje – događaj statusa neispunjenja obveza - default.</w:t>
      </w:r>
    </w:p>
    <w:p w14:paraId="2B790D14" w14:textId="77777777" w:rsidR="004E2F51" w:rsidRPr="004B4498" w:rsidRDefault="004E2F51" w:rsidP="004E2F51">
      <w:pPr>
        <w:jc w:val="both"/>
        <w:rPr>
          <w:rFonts w:ascii="Arial" w:hAnsi="Arial" w:cs="Arial"/>
          <w:color w:val="000000" w:themeColor="text1"/>
          <w:sz w:val="20"/>
          <w:szCs w:val="20"/>
          <w:lang w:val="hr-HR"/>
        </w:rPr>
      </w:pPr>
    </w:p>
    <w:p w14:paraId="5DF79374" w14:textId="77777777" w:rsidR="004E2F51" w:rsidRPr="004B4498" w:rsidRDefault="004E2F51" w:rsidP="004E2F51">
      <w:pPr>
        <w:jc w:val="both"/>
        <w:rPr>
          <w:rFonts w:ascii="Arial" w:hAnsi="Arial" w:cs="Arial"/>
          <w:color w:val="000000" w:themeColor="text1"/>
          <w:sz w:val="20"/>
          <w:szCs w:val="20"/>
          <w:lang w:val="hr-HR"/>
        </w:rPr>
        <w:sectPr w:rsidR="004E2F51" w:rsidRPr="004B4498" w:rsidSect="00F625B3">
          <w:footerReference w:type="default" r:id="rId99"/>
          <w:pgSz w:w="11907" w:h="16840" w:code="9"/>
          <w:pgMar w:top="1418" w:right="1134" w:bottom="1134" w:left="1418" w:header="851" w:footer="851" w:gutter="0"/>
          <w:cols w:space="720"/>
          <w:noEndnote/>
        </w:sectPr>
      </w:pPr>
      <w:r w:rsidRPr="004B4498">
        <w:rPr>
          <w:rFonts w:ascii="Arial" w:hAnsi="Arial" w:cs="Arial"/>
          <w:color w:val="000000" w:themeColor="text1"/>
          <w:sz w:val="20"/>
          <w:szCs w:val="20"/>
          <w:lang w:val="hr-HR"/>
        </w:rPr>
        <w:t>Kreditni gubitak je razlika između svih ugovorenih novčanih tokova i svih novčanih tokova koji se očekuju od dužnika, diskontiranih na sadašnju vrijednost primjenom izvorne efektivne kamatne stope, ili, u slučaju POCI imovine, primjenom EKS usklađene za kreditni rizik.</w:t>
      </w:r>
    </w:p>
    <w:p w14:paraId="7DE0A526" w14:textId="77777777" w:rsidR="004E2F51" w:rsidRPr="004B4498" w:rsidRDefault="004E2F51" w:rsidP="004E2F51">
      <w:pPr>
        <w:jc w:val="both"/>
        <w:rPr>
          <w:rFonts w:ascii="Arial" w:hAnsi="Arial" w:cs="Arial"/>
          <w:b/>
          <w:color w:val="000000" w:themeColor="text1"/>
          <w:sz w:val="20"/>
          <w:szCs w:val="20"/>
          <w:lang w:val="hr-HR"/>
        </w:rPr>
      </w:pPr>
    </w:p>
    <w:p w14:paraId="2E2CA51B"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01C6D1DB"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436D7841"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59AB2A35" w14:textId="77777777" w:rsidR="004E2F51" w:rsidRPr="004B4498" w:rsidRDefault="004E2F51" w:rsidP="004E2F51">
      <w:pPr>
        <w:jc w:val="both"/>
        <w:rPr>
          <w:rFonts w:ascii="Arial" w:hAnsi="Arial" w:cs="Arial"/>
          <w:b/>
          <w:color w:val="000000" w:themeColor="text1"/>
          <w:sz w:val="20"/>
          <w:szCs w:val="20"/>
          <w:lang w:val="hr-HR"/>
        </w:rPr>
      </w:pPr>
    </w:p>
    <w:p w14:paraId="167F26DF"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2702F6E8" w14:textId="77777777" w:rsidR="004E2F51" w:rsidRPr="004B4498" w:rsidRDefault="004E2F51" w:rsidP="004E2F51">
      <w:pPr>
        <w:jc w:val="both"/>
        <w:rPr>
          <w:rFonts w:ascii="Arial" w:hAnsi="Arial" w:cs="Arial"/>
          <w:b/>
          <w:i/>
          <w:color w:val="000000" w:themeColor="text1"/>
          <w:sz w:val="20"/>
          <w:szCs w:val="20"/>
          <w:lang w:val="hr-HR"/>
        </w:rPr>
      </w:pPr>
    </w:p>
    <w:p w14:paraId="37C6D71B" w14:textId="77777777" w:rsidR="004E2F51" w:rsidRPr="004B4498" w:rsidRDefault="004E2F51" w:rsidP="004E2F51">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ix. Umanjenje vrijednosti (nastavak)</w:t>
      </w:r>
    </w:p>
    <w:p w14:paraId="623702D2" w14:textId="77777777" w:rsidR="004E2F51" w:rsidRPr="004B4498" w:rsidRDefault="004E2F51" w:rsidP="004E2F51">
      <w:pPr>
        <w:jc w:val="both"/>
        <w:rPr>
          <w:rFonts w:ascii="Arial" w:hAnsi="Arial" w:cs="Arial"/>
          <w:color w:val="000000" w:themeColor="text1"/>
          <w:sz w:val="20"/>
          <w:szCs w:val="20"/>
          <w:lang w:val="hr-HR"/>
        </w:rPr>
      </w:pPr>
    </w:p>
    <w:p w14:paraId="73740E39"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Za financijsku imovinu koja se naknadno mjeri po amortiziranom trošku, umanjenje vrijednosti priznaje se kao trošak u izvještaju o dobiti i gubitku, a rezervacije za umanjenje vrijednosti umanjuju knjigovodstvenu vrijednost financijske imovine u izvještaju o financijskom položaju. Rezervacije za umanjenje vrijednosti smanjuju se ili ukidaju u slučaju smanjenja očekivanih kreditnih gubitaka ili zbog naplate potraživanja u izvještaju o financijskom položaju i istovremeno se priznaju kao prihod od ukidanja rezervacija ili prihod po naplati u dobiti ili gubitku.</w:t>
      </w:r>
    </w:p>
    <w:p w14:paraId="46529C0A" w14:textId="77777777" w:rsidR="004E2F51" w:rsidRPr="004B4498" w:rsidRDefault="004E2F51" w:rsidP="004E2F51">
      <w:pPr>
        <w:jc w:val="both"/>
        <w:rPr>
          <w:rFonts w:ascii="Arial" w:hAnsi="Arial" w:cs="Arial"/>
          <w:b/>
          <w:i/>
          <w:color w:val="000000" w:themeColor="text1"/>
          <w:sz w:val="20"/>
          <w:szCs w:val="20"/>
          <w:lang w:val="hr-HR"/>
        </w:rPr>
      </w:pPr>
    </w:p>
    <w:p w14:paraId="6A3904DF"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Umanjenje financijske imovine klasificirane kao imovina koja se naknadno mjeri po fer vrijednosti kroz ostalu sveobuhvatnu dobit obračunava se primjenom modela očekivanih kreditnih gubitaka na način da se rezervacije za umanjenje vrijednosti priznaju u računu dobiti i gubitka te u sklopu ostale sveobuhvatne dobiti i sukladno tome ne umanjuju knjigovodstveni iznos ove financijske imovine u izvještaju o financijskom položaju.</w:t>
      </w:r>
    </w:p>
    <w:p w14:paraId="287CC5AA" w14:textId="77777777" w:rsidR="004E2F51" w:rsidRPr="004B4498" w:rsidRDefault="004E2F51" w:rsidP="004E2F51">
      <w:pPr>
        <w:jc w:val="both"/>
        <w:rPr>
          <w:rFonts w:ascii="Arial" w:hAnsi="Arial" w:cs="Arial"/>
          <w:color w:val="000000" w:themeColor="text1"/>
          <w:sz w:val="20"/>
          <w:szCs w:val="20"/>
          <w:lang w:val="hr-HR"/>
        </w:rPr>
      </w:pPr>
    </w:p>
    <w:p w14:paraId="55B7DEC0"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Dobit ili gubitak nastao promjenom fer vrijednosti ove financijske imovine priznaje se u ostaloj sveobuhvatnoj dobiti, a dobit ili gubitak od tečajnih razlika priznaje se u </w:t>
      </w:r>
      <w:r w:rsidRPr="00D33776">
        <w:rPr>
          <w:rFonts w:ascii="Arial" w:hAnsi="Arial" w:cs="Arial"/>
          <w:color w:val="000000" w:themeColor="text1"/>
          <w:sz w:val="20"/>
          <w:szCs w:val="20"/>
          <w:lang w:val="hr-HR"/>
        </w:rPr>
        <w:t>račun</w:t>
      </w:r>
      <w:r>
        <w:rPr>
          <w:rFonts w:ascii="Arial" w:hAnsi="Arial" w:cs="Arial"/>
          <w:color w:val="000000" w:themeColor="text1"/>
          <w:sz w:val="20"/>
          <w:szCs w:val="20"/>
          <w:lang w:val="hr-HR"/>
        </w:rPr>
        <w:t>u</w:t>
      </w:r>
      <w:r w:rsidRPr="00D33776">
        <w:rPr>
          <w:rFonts w:ascii="Arial" w:hAnsi="Arial" w:cs="Arial"/>
          <w:color w:val="000000" w:themeColor="text1"/>
          <w:sz w:val="20"/>
          <w:szCs w:val="20"/>
          <w:lang w:val="hr-HR"/>
        </w:rPr>
        <w:t xml:space="preserve"> dobiti i gubitka</w:t>
      </w:r>
      <w:r w:rsidRPr="004B4498">
        <w:rPr>
          <w:rFonts w:ascii="Arial" w:hAnsi="Arial" w:cs="Arial"/>
          <w:color w:val="000000" w:themeColor="text1"/>
          <w:sz w:val="20"/>
          <w:szCs w:val="20"/>
          <w:lang w:val="hr-HR"/>
        </w:rPr>
        <w:t>.</w:t>
      </w:r>
    </w:p>
    <w:p w14:paraId="09E95D58" w14:textId="77777777" w:rsidR="004E2F51" w:rsidRPr="004B4498" w:rsidRDefault="004E2F51" w:rsidP="004E2F51">
      <w:pPr>
        <w:pStyle w:val="Style26"/>
        <w:shd w:val="clear" w:color="auto" w:fill="auto"/>
        <w:spacing w:before="0" w:line="240" w:lineRule="auto"/>
        <w:ind w:firstLine="0"/>
        <w:jc w:val="both"/>
        <w:rPr>
          <w:color w:val="000000" w:themeColor="text1"/>
          <w:sz w:val="20"/>
          <w:szCs w:val="20"/>
          <w:lang w:val="hr-HR"/>
        </w:rPr>
      </w:pPr>
    </w:p>
    <w:p w14:paraId="58AEBA88" w14:textId="77777777" w:rsidR="004E2F51" w:rsidRPr="004B4498" w:rsidRDefault="004E2F51" w:rsidP="004E2F51">
      <w:pPr>
        <w:pStyle w:val="Style26"/>
        <w:shd w:val="clear" w:color="auto" w:fill="auto"/>
        <w:spacing w:before="0" w:line="240" w:lineRule="auto"/>
        <w:ind w:firstLine="0"/>
        <w:jc w:val="both"/>
        <w:rPr>
          <w:rFonts w:eastAsia="Times New Roman"/>
          <w:color w:val="000000" w:themeColor="text1"/>
          <w:sz w:val="20"/>
          <w:szCs w:val="20"/>
          <w:lang w:val="hr-HR"/>
        </w:rPr>
      </w:pPr>
      <w:r w:rsidRPr="004B4498">
        <w:rPr>
          <w:rFonts w:eastAsia="Times New Roman"/>
          <w:color w:val="000000" w:themeColor="text1"/>
          <w:sz w:val="20"/>
          <w:szCs w:val="20"/>
          <w:lang w:val="hr-HR"/>
        </w:rPr>
        <w:t xml:space="preserve">Akumulirana dobit/gubitak priznati u ostaloj sveobuhvatnoj dobiti reklasificiraju se iz vlasničkog kapitala u računu dobiti i gubitka pri prestanku priznavanja imovine i predstavljaju reklasifikacijsko usklađenje, osim za vlasničke vrijednosnice klasificirane unutar financijske imovine po fer vrijednosti kroz ostalu sveobuhvatnu dobit kod kojih se rezerve priznate unutar ostale sveobuhvatne dobiti nikada neće prenijeti u </w:t>
      </w:r>
      <w:bookmarkStart w:id="672" w:name="_Hlk127262148"/>
      <w:r w:rsidRPr="004B4498">
        <w:rPr>
          <w:rFonts w:eastAsia="Times New Roman"/>
          <w:color w:val="000000" w:themeColor="text1"/>
          <w:sz w:val="20"/>
          <w:szCs w:val="20"/>
          <w:lang w:val="hr-HR"/>
        </w:rPr>
        <w:t>račun dobiti i gubitka</w:t>
      </w:r>
      <w:bookmarkEnd w:id="672"/>
      <w:r w:rsidRPr="004B4498">
        <w:rPr>
          <w:rFonts w:eastAsia="Times New Roman"/>
          <w:color w:val="000000" w:themeColor="text1"/>
          <w:sz w:val="20"/>
          <w:szCs w:val="20"/>
          <w:lang w:val="hr-HR"/>
        </w:rPr>
        <w:t>.</w:t>
      </w:r>
    </w:p>
    <w:p w14:paraId="4236CAC6" w14:textId="77777777" w:rsidR="004E2F51" w:rsidRPr="004B4498" w:rsidRDefault="004E2F51" w:rsidP="004E2F51">
      <w:pPr>
        <w:jc w:val="both"/>
        <w:rPr>
          <w:rFonts w:ascii="Arial" w:hAnsi="Arial" w:cs="Arial"/>
          <w:color w:val="000000" w:themeColor="text1"/>
          <w:sz w:val="20"/>
          <w:szCs w:val="20"/>
          <w:lang w:val="hr-HR"/>
        </w:rPr>
      </w:pPr>
    </w:p>
    <w:p w14:paraId="4B0DDFD3"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Financijska imovina koja je klasificirana kao imovina koja se naknadno mjeri po fer vrijednosti kroz dobiti ili gubitak početno i naknadno se mjeri po utvrđenoj fer vrijednosti i ne podliježe umanjenju vrijednosti, već se fer vrijednost imovine utvrđuje sukladno internim aktima koji uređuju metode vrednovanja financijskih instrumenata, do prestanka priznavanja financijskog instrumenta.</w:t>
      </w:r>
    </w:p>
    <w:p w14:paraId="6E508FF2" w14:textId="77777777" w:rsidR="004E2F51" w:rsidRPr="004B4498" w:rsidRDefault="004E2F51" w:rsidP="004E2F51">
      <w:pPr>
        <w:jc w:val="both"/>
        <w:rPr>
          <w:rFonts w:ascii="Arial" w:hAnsi="Arial" w:cs="Arial"/>
          <w:b/>
          <w:color w:val="000000" w:themeColor="text1"/>
          <w:sz w:val="20"/>
          <w:szCs w:val="20"/>
          <w:lang w:val="hr-HR"/>
        </w:rPr>
      </w:pPr>
      <w:r w:rsidRPr="004B4498">
        <w:rPr>
          <w:rFonts w:ascii="Arial" w:hAnsi="Arial" w:cs="Arial"/>
          <w:color w:val="000000" w:themeColor="text1"/>
          <w:sz w:val="20"/>
          <w:szCs w:val="20"/>
          <w:lang w:val="hr-HR"/>
        </w:rPr>
        <w:t xml:space="preserve">Smanjenje ili povećanje fer vrijednosti ove financijske imovine evidentira se povećanjem ili smanjenjem njihove knjigovodstvene vrijednosti u izvještaju o financijskom položaju, a dobici ili gubici nastali promjenom fer vrijednosti priznaju se u </w:t>
      </w:r>
      <w:r w:rsidRPr="00D33776">
        <w:rPr>
          <w:rFonts w:ascii="Arial" w:hAnsi="Arial" w:cs="Arial"/>
          <w:color w:val="000000" w:themeColor="text1"/>
          <w:sz w:val="20"/>
          <w:szCs w:val="20"/>
          <w:lang w:val="hr-HR"/>
        </w:rPr>
        <w:t>račun</w:t>
      </w:r>
      <w:r>
        <w:rPr>
          <w:rFonts w:ascii="Arial" w:hAnsi="Arial" w:cs="Arial"/>
          <w:color w:val="000000" w:themeColor="text1"/>
          <w:sz w:val="20"/>
          <w:szCs w:val="20"/>
          <w:lang w:val="hr-HR"/>
        </w:rPr>
        <w:t>u</w:t>
      </w:r>
      <w:r w:rsidRPr="00D33776">
        <w:rPr>
          <w:rFonts w:ascii="Arial" w:hAnsi="Arial" w:cs="Arial"/>
          <w:color w:val="000000" w:themeColor="text1"/>
          <w:sz w:val="20"/>
          <w:szCs w:val="20"/>
          <w:lang w:val="hr-HR"/>
        </w:rPr>
        <w:t xml:space="preserve"> dobiti i gubitka</w:t>
      </w:r>
      <w:r w:rsidRPr="004B4498">
        <w:rPr>
          <w:rFonts w:ascii="Arial" w:hAnsi="Arial" w:cs="Arial"/>
          <w:color w:val="000000" w:themeColor="text1"/>
          <w:sz w:val="20"/>
          <w:szCs w:val="20"/>
          <w:lang w:val="hr-HR"/>
        </w:rPr>
        <w:t>.</w:t>
      </w:r>
    </w:p>
    <w:p w14:paraId="23AF1F24" w14:textId="77777777" w:rsidR="004E2F51" w:rsidRPr="004B4498" w:rsidRDefault="004E2F51" w:rsidP="004E2F51">
      <w:pPr>
        <w:jc w:val="both"/>
        <w:rPr>
          <w:rFonts w:ascii="Arial" w:hAnsi="Arial" w:cs="Arial"/>
          <w:color w:val="000000" w:themeColor="text1"/>
          <w:sz w:val="20"/>
          <w:szCs w:val="20"/>
          <w:lang w:val="hr-HR"/>
        </w:rPr>
      </w:pPr>
    </w:p>
    <w:p w14:paraId="104A7508"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b/>
          <w:color w:val="000000" w:themeColor="text1"/>
          <w:sz w:val="20"/>
          <w:szCs w:val="20"/>
          <w:lang w:val="hr-HR"/>
        </w:rPr>
        <w:t>Pojednostavljeni pristup</w:t>
      </w:r>
      <w:r w:rsidRPr="004B4498">
        <w:rPr>
          <w:rFonts w:ascii="Arial" w:hAnsi="Arial" w:cs="Arial"/>
          <w:color w:val="000000" w:themeColor="text1"/>
          <w:sz w:val="20"/>
          <w:szCs w:val="20"/>
          <w:lang w:val="hr-HR"/>
        </w:rPr>
        <w:t xml:space="preserve"> umanjenja vrijednosti može se primijeniti samo na potraživanja od kupaca ili ugovornu imovinu i potraživanja na temelju najma, te ostale nekamatne naknade i ovo umanjenje vrijednosti uvijek odgovara iznosu očekivanih kreditnih gubitaka tijekom vijeka trajanja instrumenta.</w:t>
      </w:r>
    </w:p>
    <w:p w14:paraId="13787C4A" w14:textId="77777777" w:rsidR="004E2F51" w:rsidRPr="004B4498" w:rsidRDefault="004E2F51" w:rsidP="004E2F51">
      <w:pPr>
        <w:jc w:val="both"/>
        <w:rPr>
          <w:rFonts w:ascii="Arial" w:hAnsi="Arial" w:cs="Arial"/>
          <w:color w:val="000000" w:themeColor="text1"/>
          <w:sz w:val="20"/>
          <w:szCs w:val="20"/>
          <w:lang w:val="hr-HR"/>
        </w:rPr>
      </w:pPr>
    </w:p>
    <w:p w14:paraId="1044E832"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Pri inicijalnom priznavanju financijska imovina se alocira u 2. stupanj (sva financijska imovina koja nije kreditno umanjena pri inicijalnom priznavanju) ili 3. stupanj (sva POCI imovina).</w:t>
      </w:r>
    </w:p>
    <w:p w14:paraId="3E8C7A51" w14:textId="77777777" w:rsidR="004E2F51" w:rsidRPr="004B4498" w:rsidRDefault="004E2F51" w:rsidP="004E2F51">
      <w:pPr>
        <w:jc w:val="both"/>
        <w:rPr>
          <w:rFonts w:ascii="Arial" w:hAnsi="Arial" w:cs="Arial"/>
          <w:color w:val="000000" w:themeColor="text1"/>
          <w:sz w:val="20"/>
          <w:szCs w:val="20"/>
          <w:lang w:val="hr-HR"/>
        </w:rPr>
      </w:pPr>
    </w:p>
    <w:p w14:paraId="2E3D3916" w14:textId="77777777" w:rsidR="004E2F51" w:rsidRPr="004B4498" w:rsidRDefault="004E2F51" w:rsidP="004E2F51">
      <w:pPr>
        <w:jc w:val="both"/>
        <w:rPr>
          <w:rFonts w:ascii="Arial" w:hAnsi="Arial" w:cs="Arial"/>
          <w:color w:val="000000" w:themeColor="text1"/>
          <w:sz w:val="20"/>
          <w:szCs w:val="20"/>
          <w:lang w:val="hr-HR"/>
        </w:rPr>
        <w:sectPr w:rsidR="004E2F51" w:rsidRPr="004B4498" w:rsidSect="00F625B3">
          <w:footerReference w:type="default" r:id="rId100"/>
          <w:pgSz w:w="11907" w:h="16840" w:code="9"/>
          <w:pgMar w:top="1418" w:right="1134" w:bottom="1134" w:left="1418" w:header="851" w:footer="851" w:gutter="0"/>
          <w:cols w:space="720"/>
          <w:noEndnote/>
        </w:sectPr>
      </w:pPr>
      <w:r w:rsidRPr="004B4498">
        <w:rPr>
          <w:rFonts w:ascii="Arial" w:hAnsi="Arial" w:cs="Arial"/>
          <w:color w:val="000000" w:themeColor="text1"/>
          <w:sz w:val="20"/>
          <w:szCs w:val="20"/>
          <w:lang w:val="hr-HR"/>
        </w:rPr>
        <w:t>Na sljedeće izvještajne datume sva financijska imovina, koja nije priznata kao POCI imovina, alocira se isključivo prema kriterijima kreditnog umanjenja u 2. i 3. stupanj.</w:t>
      </w:r>
    </w:p>
    <w:p w14:paraId="7DC3DBA7" w14:textId="77777777" w:rsidR="004E2F51" w:rsidRPr="004B4498" w:rsidRDefault="004E2F51" w:rsidP="004E2F51">
      <w:pPr>
        <w:jc w:val="both"/>
        <w:rPr>
          <w:rFonts w:ascii="Arial" w:hAnsi="Arial" w:cs="Arial"/>
          <w:b/>
          <w:i/>
          <w:color w:val="000000" w:themeColor="text1"/>
          <w:sz w:val="20"/>
          <w:szCs w:val="20"/>
          <w:lang w:val="hr-HR"/>
        </w:rPr>
      </w:pPr>
    </w:p>
    <w:p w14:paraId="5DCE8DA0"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581C2BFC"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4BD03BDC"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0E95548C" w14:textId="77777777" w:rsidR="004E2F51" w:rsidRPr="004B4498" w:rsidRDefault="004E2F51" w:rsidP="004E2F51">
      <w:pPr>
        <w:jc w:val="both"/>
        <w:rPr>
          <w:rFonts w:ascii="Arial" w:hAnsi="Arial" w:cs="Arial"/>
          <w:b/>
          <w:color w:val="000000" w:themeColor="text1"/>
          <w:sz w:val="20"/>
          <w:szCs w:val="20"/>
          <w:lang w:val="hr-HR"/>
        </w:rPr>
      </w:pPr>
    </w:p>
    <w:p w14:paraId="11D9285F"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52EE901D" w14:textId="77777777" w:rsidR="004E2F51" w:rsidRPr="004B4498" w:rsidRDefault="004E2F51" w:rsidP="004E2F51">
      <w:pPr>
        <w:pStyle w:val="ListParagraph"/>
        <w:ind w:left="0"/>
        <w:jc w:val="both"/>
        <w:rPr>
          <w:rFonts w:ascii="Arial" w:hAnsi="Arial" w:cs="Arial"/>
          <w:color w:val="000000" w:themeColor="text1"/>
          <w:sz w:val="20"/>
          <w:szCs w:val="20"/>
          <w:lang w:val="hr-HR"/>
        </w:rPr>
      </w:pPr>
    </w:p>
    <w:p w14:paraId="251B8CF1" w14:textId="77777777" w:rsidR="004E2F51" w:rsidRPr="004B4498" w:rsidRDefault="004E2F51" w:rsidP="004E2F51">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ix. Umanjenje vrijednosti (nastavak)</w:t>
      </w:r>
    </w:p>
    <w:p w14:paraId="2CFABC50" w14:textId="77777777" w:rsidR="004E2F51" w:rsidRPr="004B4498" w:rsidRDefault="004E2F51" w:rsidP="004E2F51">
      <w:pPr>
        <w:pStyle w:val="ListParagraph"/>
        <w:ind w:left="0"/>
        <w:jc w:val="both"/>
        <w:rPr>
          <w:rFonts w:ascii="Arial" w:hAnsi="Arial" w:cs="Arial"/>
          <w:color w:val="000000" w:themeColor="text1"/>
          <w:sz w:val="20"/>
          <w:szCs w:val="20"/>
          <w:lang w:val="hr-HR"/>
        </w:rPr>
      </w:pPr>
    </w:p>
    <w:p w14:paraId="2A171CD6" w14:textId="77777777" w:rsidR="004E2F51" w:rsidRPr="004B4498" w:rsidRDefault="004E2F51" w:rsidP="004E2F51">
      <w:pPr>
        <w:pStyle w:val="ListParagraph"/>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Financijska imovina koja je priznata kao POCI imovina ostaje alocirana u 3. stupnju do prestanka priznavanja.</w:t>
      </w:r>
    </w:p>
    <w:p w14:paraId="53B9F410" w14:textId="77777777" w:rsidR="004E2F51" w:rsidRPr="004B4498" w:rsidRDefault="004E2F51" w:rsidP="004E2F51">
      <w:pPr>
        <w:pStyle w:val="ListParagraph"/>
        <w:ind w:left="0"/>
        <w:jc w:val="both"/>
        <w:rPr>
          <w:rFonts w:ascii="Arial" w:hAnsi="Arial" w:cs="Arial"/>
          <w:color w:val="000000" w:themeColor="text1"/>
          <w:sz w:val="20"/>
          <w:szCs w:val="20"/>
          <w:lang w:val="hr-HR"/>
        </w:rPr>
      </w:pPr>
    </w:p>
    <w:p w14:paraId="1FD4FE1A" w14:textId="77777777" w:rsidR="004E2F51" w:rsidRPr="004B4498" w:rsidRDefault="004E2F51" w:rsidP="004E2F51">
      <w:pPr>
        <w:pStyle w:val="ListParagraph"/>
        <w:ind w:left="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Detalji vezani uz metodologiju su navedeni u sklopu </w:t>
      </w:r>
      <w:r w:rsidRPr="00A873BB">
        <w:rPr>
          <w:rFonts w:ascii="Arial" w:hAnsi="Arial" w:cs="Arial"/>
          <w:color w:val="000000" w:themeColor="text1"/>
          <w:sz w:val="20"/>
          <w:szCs w:val="20"/>
          <w:lang w:val="hr-HR"/>
        </w:rPr>
        <w:t>bilješke 31.</w:t>
      </w:r>
      <w:r w:rsidRPr="004B4498">
        <w:rPr>
          <w:rFonts w:ascii="Arial" w:hAnsi="Arial" w:cs="Arial"/>
          <w:color w:val="000000" w:themeColor="text1"/>
          <w:sz w:val="20"/>
          <w:szCs w:val="20"/>
          <w:lang w:val="hr-HR"/>
        </w:rPr>
        <w:t xml:space="preserve"> Upravljanje rizicima. </w:t>
      </w:r>
    </w:p>
    <w:p w14:paraId="492501B0" w14:textId="77777777" w:rsidR="004E2F51" w:rsidRPr="004B4498" w:rsidRDefault="004E2F51" w:rsidP="004E2F51">
      <w:pPr>
        <w:jc w:val="both"/>
        <w:rPr>
          <w:rFonts w:ascii="Arial" w:hAnsi="Arial" w:cs="Arial"/>
          <w:b/>
          <w:i/>
          <w:color w:val="000000" w:themeColor="text1"/>
          <w:sz w:val="20"/>
          <w:szCs w:val="20"/>
          <w:lang w:val="hr-HR"/>
        </w:rPr>
      </w:pPr>
    </w:p>
    <w:p w14:paraId="2BBE9967" w14:textId="77777777" w:rsidR="004E2F51" w:rsidRPr="004B4498" w:rsidRDefault="004E2F51" w:rsidP="004E2F51">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w:t>
      </w:r>
    </w:p>
    <w:p w14:paraId="4A0FBD70" w14:textId="77777777" w:rsidR="004E2F51" w:rsidRPr="004B4498" w:rsidRDefault="004E2F51" w:rsidP="004E2F51">
      <w:pPr>
        <w:jc w:val="both"/>
        <w:rPr>
          <w:rFonts w:ascii="Arial" w:hAnsi="Arial" w:cs="Arial"/>
          <w:b/>
          <w:i/>
          <w:color w:val="000000" w:themeColor="text1"/>
          <w:sz w:val="20"/>
          <w:szCs w:val="20"/>
          <w:lang w:val="hr-HR"/>
        </w:rPr>
      </w:pPr>
    </w:p>
    <w:p w14:paraId="58E3544B"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Financijsku imovinu Grupe čine:</w:t>
      </w:r>
    </w:p>
    <w:p w14:paraId="24259C96" w14:textId="77777777" w:rsidR="004E2F51" w:rsidRPr="004B4498" w:rsidRDefault="004E2F51">
      <w:pPr>
        <w:pStyle w:val="ListParagraph"/>
        <w:numPr>
          <w:ilvl w:val="0"/>
          <w:numId w:val="33"/>
        </w:numPr>
        <w:suppressAutoHyphens w:val="0"/>
        <w:autoSpaceDN/>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novčana sredstva na transakcijskim računima,</w:t>
      </w:r>
    </w:p>
    <w:p w14:paraId="51F4EA14" w14:textId="77777777" w:rsidR="004E2F51" w:rsidRPr="004B4498" w:rsidRDefault="004E2F51">
      <w:pPr>
        <w:pStyle w:val="ListParagraph"/>
        <w:numPr>
          <w:ilvl w:val="0"/>
          <w:numId w:val="33"/>
        </w:numPr>
        <w:suppressAutoHyphens w:val="0"/>
        <w:autoSpaceDN/>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depoziti kod banaka,</w:t>
      </w:r>
    </w:p>
    <w:p w14:paraId="3BC4D4F6" w14:textId="77777777" w:rsidR="004E2F51" w:rsidRPr="004B4498" w:rsidRDefault="004E2F51">
      <w:pPr>
        <w:pStyle w:val="ListParagraph"/>
        <w:numPr>
          <w:ilvl w:val="0"/>
          <w:numId w:val="33"/>
        </w:numPr>
        <w:suppressAutoHyphens w:val="0"/>
        <w:autoSpaceDN/>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krediti,</w:t>
      </w:r>
    </w:p>
    <w:p w14:paraId="092AB717" w14:textId="77777777" w:rsidR="004E2F51" w:rsidRPr="004B4498" w:rsidRDefault="004E2F51">
      <w:pPr>
        <w:pStyle w:val="ListParagraph"/>
        <w:numPr>
          <w:ilvl w:val="0"/>
          <w:numId w:val="33"/>
        </w:numPr>
        <w:suppressAutoHyphens w:val="0"/>
        <w:autoSpaceDN/>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dužnički vrijednosni papiri,</w:t>
      </w:r>
    </w:p>
    <w:p w14:paraId="46BE990A" w14:textId="77777777" w:rsidR="004E2F51" w:rsidRPr="004B4498" w:rsidRDefault="004E2F51">
      <w:pPr>
        <w:pStyle w:val="ListParagraph"/>
        <w:numPr>
          <w:ilvl w:val="0"/>
          <w:numId w:val="33"/>
        </w:numPr>
        <w:suppressAutoHyphens w:val="0"/>
        <w:autoSpaceDN/>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vlasnički vrijednosni papiri,</w:t>
      </w:r>
    </w:p>
    <w:p w14:paraId="1901EA81" w14:textId="77777777" w:rsidR="004E2F51" w:rsidRPr="004B4498" w:rsidRDefault="004E2F51">
      <w:pPr>
        <w:pStyle w:val="ListParagraph"/>
        <w:numPr>
          <w:ilvl w:val="0"/>
          <w:numId w:val="33"/>
        </w:numPr>
        <w:suppressAutoHyphens w:val="0"/>
        <w:autoSpaceDN/>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udjeli u investicijskim fondovima,</w:t>
      </w:r>
    </w:p>
    <w:p w14:paraId="798E107B" w14:textId="77777777" w:rsidR="004E2F51" w:rsidRPr="004B4498" w:rsidRDefault="004E2F51">
      <w:pPr>
        <w:pStyle w:val="ListParagraph"/>
        <w:numPr>
          <w:ilvl w:val="0"/>
          <w:numId w:val="33"/>
        </w:numPr>
        <w:suppressAutoHyphens w:val="0"/>
        <w:autoSpaceDN/>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derivatna financijska imovina i </w:t>
      </w:r>
    </w:p>
    <w:p w14:paraId="5A1B32AC" w14:textId="77777777" w:rsidR="004E2F51" w:rsidRPr="004B4498" w:rsidRDefault="004E2F51">
      <w:pPr>
        <w:pStyle w:val="ListParagraph"/>
        <w:numPr>
          <w:ilvl w:val="0"/>
          <w:numId w:val="33"/>
        </w:numPr>
        <w:suppressAutoHyphens w:val="0"/>
        <w:autoSpaceDN/>
        <w:spacing w:line="120" w:lineRule="atLeast"/>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ostala potraživanja. </w:t>
      </w:r>
    </w:p>
    <w:p w14:paraId="6073D137" w14:textId="77777777" w:rsidR="004E2F51" w:rsidRPr="004B4498" w:rsidRDefault="004E2F51" w:rsidP="004E2F51">
      <w:pPr>
        <w:jc w:val="both"/>
        <w:rPr>
          <w:rFonts w:ascii="Arial" w:hAnsi="Arial" w:cs="Arial"/>
          <w:b/>
          <w:i/>
          <w:color w:val="000000" w:themeColor="text1"/>
          <w:sz w:val="20"/>
          <w:szCs w:val="20"/>
          <w:lang w:val="hr-HR"/>
        </w:rPr>
      </w:pPr>
    </w:p>
    <w:p w14:paraId="562E17ED" w14:textId="77777777" w:rsidR="004E2F51" w:rsidRPr="004B4498" w:rsidRDefault="004E2F51" w:rsidP="004E2F51">
      <w:pPr>
        <w:spacing w:after="160" w:line="252" w:lineRule="auto"/>
        <w:contextualSpacing/>
        <w:jc w:val="both"/>
        <w:rPr>
          <w:rFonts w:ascii="Arial" w:hAnsi="Arial" w:cs="Arial"/>
          <w:i/>
          <w:iCs/>
          <w:color w:val="000000" w:themeColor="text1"/>
          <w:sz w:val="20"/>
          <w:szCs w:val="20"/>
          <w:lang w:val="hr-HR"/>
        </w:rPr>
      </w:pPr>
      <w:r w:rsidRPr="004B4498">
        <w:rPr>
          <w:rFonts w:ascii="Arial" w:hAnsi="Arial" w:cs="Arial"/>
          <w:i/>
          <w:iCs/>
          <w:color w:val="000000" w:themeColor="text1"/>
          <w:sz w:val="20"/>
          <w:szCs w:val="20"/>
          <w:lang w:val="hr-HR"/>
        </w:rPr>
        <w:t>Novčana sredstva na transakcijskim računima</w:t>
      </w:r>
    </w:p>
    <w:p w14:paraId="4158BCFC"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Novčana sredstva na transakcijskim računima alocirani su u poslovni model čiji je cilj držanje imovine radi naplate ugovorenih novčanih tokova, te prema uvjetima u Metodologiji za klasifikaciju i mjerenje financijskih instrumenata prolaze SPPI test.</w:t>
      </w:r>
    </w:p>
    <w:p w14:paraId="0456D9E1" w14:textId="77777777" w:rsidR="004E2F51" w:rsidRPr="004B4498" w:rsidRDefault="004E2F51" w:rsidP="004E2F51">
      <w:pPr>
        <w:jc w:val="both"/>
        <w:rPr>
          <w:rFonts w:ascii="Arial" w:hAnsi="Arial" w:cs="Arial"/>
          <w:color w:val="000000" w:themeColor="text1"/>
          <w:sz w:val="20"/>
          <w:szCs w:val="20"/>
          <w:lang w:val="hr-HR" w:eastAsia="hr-HR"/>
        </w:rPr>
      </w:pPr>
    </w:p>
    <w:p w14:paraId="12F14769"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Sukladno navedenom, novčana sredstva na transakcijskim računima klasificiraju se u imovinu koja se naknadno mjeri po amortiziranom trošku.</w:t>
      </w:r>
    </w:p>
    <w:p w14:paraId="4D4D433D" w14:textId="77777777" w:rsidR="004E2F51" w:rsidRPr="004B4498" w:rsidRDefault="004E2F51" w:rsidP="004E2F51">
      <w:pPr>
        <w:jc w:val="both"/>
        <w:rPr>
          <w:rFonts w:ascii="Arial" w:hAnsi="Arial" w:cs="Arial"/>
          <w:color w:val="000000" w:themeColor="text1"/>
          <w:sz w:val="20"/>
          <w:szCs w:val="20"/>
          <w:lang w:val="hr-HR" w:eastAsia="hr-HR"/>
        </w:rPr>
      </w:pPr>
    </w:p>
    <w:p w14:paraId="28194890"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 slučaju identificiranih očekivanih kreditnih gubitaka novčanih sredstava na transakcijskim računima kod domaćih banaka i u inozemstvu, provodi se umanjenje vrijednosti, ali se očekivani kreditni gubici ne diskontiraju na sadašnju vrijednost u skladu sa kratkoročnim karakterom ove financijske imovine.</w:t>
      </w:r>
    </w:p>
    <w:p w14:paraId="6D018823" w14:textId="77777777" w:rsidR="004E2F51" w:rsidRPr="004B4498" w:rsidRDefault="004E2F51" w:rsidP="004E2F51">
      <w:pPr>
        <w:rPr>
          <w:rFonts w:ascii="Arial" w:hAnsi="Arial" w:cs="Arial"/>
          <w:color w:val="000000" w:themeColor="text1"/>
          <w:sz w:val="20"/>
          <w:szCs w:val="20"/>
          <w:lang w:val="hr-HR"/>
        </w:rPr>
      </w:pPr>
    </w:p>
    <w:p w14:paraId="6ED0A005" w14:textId="77777777" w:rsidR="004E2F51" w:rsidRPr="004B4498" w:rsidRDefault="004E2F51" w:rsidP="004E2F51">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Depoziti kod banaka</w:t>
      </w:r>
    </w:p>
    <w:p w14:paraId="5497E304"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Depoziti kod banaka alocirani su u poslovni model čiji je cilj držanje imovine radi naplate ugovorenih novčanih tokova, te prema uvjetima u Metodologiji za klasifikaciju i mjerenje financijskih instrumenata prolaze SPPI test. </w:t>
      </w:r>
    </w:p>
    <w:p w14:paraId="61ECEC63" w14:textId="77777777" w:rsidR="004E2F51" w:rsidRPr="004B4498" w:rsidRDefault="004E2F51" w:rsidP="004E2F51">
      <w:pPr>
        <w:jc w:val="both"/>
        <w:rPr>
          <w:rFonts w:ascii="Arial" w:hAnsi="Arial" w:cs="Arial"/>
          <w:color w:val="000000" w:themeColor="text1"/>
          <w:sz w:val="20"/>
          <w:szCs w:val="20"/>
          <w:lang w:val="hr-HR" w:eastAsia="hr-HR"/>
        </w:rPr>
      </w:pPr>
    </w:p>
    <w:p w14:paraId="59358D4C"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Sukladno navedenom, depoziti kod banaka klasificiraju se u imovinu koja se naknadno mjeri po amortiziranom trošku.</w:t>
      </w:r>
    </w:p>
    <w:p w14:paraId="767A75B2" w14:textId="77777777" w:rsidR="004E2F51" w:rsidRPr="00C25BBA" w:rsidRDefault="004E2F51" w:rsidP="004E2F51">
      <w:pPr>
        <w:jc w:val="both"/>
        <w:rPr>
          <w:rFonts w:ascii="Arial" w:hAnsi="Arial" w:cs="Arial"/>
          <w:color w:val="000000" w:themeColor="text1"/>
          <w:sz w:val="20"/>
          <w:szCs w:val="20"/>
          <w:lang w:val="hr-HR" w:eastAsia="hr-HR"/>
        </w:rPr>
      </w:pPr>
    </w:p>
    <w:p w14:paraId="53022CBE"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Umanjenje vrijednosti utvrđuje se u iznosu očekivanih kreditnih gubitaka, ali se u slučaju kratkoročnih depozita ne diskontira na sadašnju vrijednost u skladu sa nj</w:t>
      </w:r>
      <w:bookmarkStart w:id="673" w:name="_Toc299458634"/>
      <w:bookmarkStart w:id="674" w:name="_Toc216856817"/>
      <w:bookmarkStart w:id="675" w:name="_Toc186480251"/>
      <w:r w:rsidRPr="004B4498">
        <w:rPr>
          <w:rFonts w:ascii="Arial" w:hAnsi="Arial" w:cs="Arial"/>
          <w:color w:val="000000" w:themeColor="text1"/>
          <w:sz w:val="20"/>
          <w:szCs w:val="20"/>
          <w:lang w:val="hr-HR" w:eastAsia="hr-HR"/>
        </w:rPr>
        <w:t>ihovim kratkoročnim karakterom</w:t>
      </w:r>
      <w:bookmarkEnd w:id="673"/>
      <w:bookmarkEnd w:id="674"/>
      <w:bookmarkEnd w:id="675"/>
      <w:r w:rsidRPr="004B4498">
        <w:rPr>
          <w:rFonts w:ascii="Arial" w:hAnsi="Arial" w:cs="Arial"/>
          <w:color w:val="000000" w:themeColor="text1"/>
          <w:sz w:val="20"/>
          <w:szCs w:val="20"/>
          <w:lang w:val="hr-HR" w:eastAsia="hr-HR"/>
        </w:rPr>
        <w:t>.</w:t>
      </w:r>
    </w:p>
    <w:p w14:paraId="157B5143"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sectPr w:rsidR="004E2F51" w:rsidRPr="004B4498" w:rsidSect="00623DBA">
          <w:footerReference w:type="default" r:id="rId101"/>
          <w:pgSz w:w="11907" w:h="16840" w:code="9"/>
          <w:pgMar w:top="1418" w:right="1134" w:bottom="1134" w:left="1418" w:header="851" w:footer="851" w:gutter="0"/>
          <w:cols w:space="720"/>
          <w:noEndnote/>
        </w:sectPr>
      </w:pPr>
    </w:p>
    <w:p w14:paraId="36E941D2"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2D8EDDE5"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5CE37467"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1CF587EF"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126CA09D" w14:textId="77777777" w:rsidR="004E2F51" w:rsidRPr="004B4498" w:rsidRDefault="004E2F51" w:rsidP="004E2F51">
      <w:pPr>
        <w:jc w:val="both"/>
        <w:rPr>
          <w:rFonts w:ascii="Arial" w:hAnsi="Arial" w:cs="Arial"/>
          <w:b/>
          <w:color w:val="000000" w:themeColor="text1"/>
          <w:sz w:val="20"/>
          <w:szCs w:val="20"/>
          <w:lang w:val="hr-HR"/>
        </w:rPr>
      </w:pPr>
    </w:p>
    <w:p w14:paraId="6C5A50C5"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5FD97613" w14:textId="77777777" w:rsidR="004E2F51" w:rsidRPr="004B4498" w:rsidRDefault="004E2F51" w:rsidP="004E2F51">
      <w:pPr>
        <w:jc w:val="both"/>
        <w:rPr>
          <w:rFonts w:ascii="Arial" w:hAnsi="Arial" w:cs="Arial"/>
          <w:b/>
          <w:i/>
          <w:color w:val="000000" w:themeColor="text1"/>
          <w:sz w:val="20"/>
          <w:szCs w:val="20"/>
          <w:lang w:val="hr-HR"/>
        </w:rPr>
      </w:pPr>
    </w:p>
    <w:p w14:paraId="34938EF2" w14:textId="77777777" w:rsidR="004E2F51" w:rsidRPr="004B4498" w:rsidRDefault="004E2F51" w:rsidP="004E2F51">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1BDF9DCD"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6CB58AAD" w14:textId="77777777" w:rsidR="004E2F51" w:rsidRPr="004B4498" w:rsidRDefault="004E2F51" w:rsidP="004E2F51">
      <w:pPr>
        <w:pStyle w:val="accountingpolicytitle"/>
        <w:jc w:val="left"/>
        <w:rPr>
          <w:rFonts w:cs="Arial"/>
          <w:b w:val="0"/>
          <w:i/>
          <w:iCs/>
          <w:color w:val="000000" w:themeColor="text1"/>
          <w:sz w:val="20"/>
          <w:lang w:val="hr-HR"/>
        </w:rPr>
      </w:pPr>
      <w:r w:rsidRPr="004B4498">
        <w:rPr>
          <w:rFonts w:cs="Arial"/>
          <w:b w:val="0"/>
          <w:bCs/>
          <w:i/>
          <w:iCs/>
          <w:color w:val="000000" w:themeColor="text1"/>
          <w:sz w:val="20"/>
          <w:lang w:val="hr-HR"/>
        </w:rPr>
        <w:t>Krediti</w:t>
      </w:r>
    </w:p>
    <w:p w14:paraId="0B95FA73"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Krediti su alocirani u poslovni model čiji je cilj držanje imovine radi naplate ugovorenih novčanih tokova. Krediti koji prema uvjetima u Metodologiji za klasifikaciju i mjerenje financijskih instrumenata prolaze SPPI test, klasificiraju se u imovinu koja se naknadno mjeri po amortiziranom trošku. Krediti koji prema uvjetima u Metodologiji za klasifikaciju i mjerenje financijskih instrumenata ne prolaze SPPI test, klasificiraju se u imovinu koja se naknadno mjeri po fer vrijednosti kroz dobit ili gubitak.</w:t>
      </w:r>
    </w:p>
    <w:p w14:paraId="13B5BAF6" w14:textId="77777777" w:rsidR="004E2F51" w:rsidRPr="004B4498" w:rsidRDefault="004E2F51" w:rsidP="004E2F51">
      <w:pPr>
        <w:jc w:val="both"/>
        <w:rPr>
          <w:rFonts w:ascii="Arial" w:hAnsi="Arial" w:cs="Arial"/>
          <w:color w:val="000000" w:themeColor="text1"/>
          <w:sz w:val="20"/>
          <w:szCs w:val="20"/>
          <w:lang w:val="hr-HR" w:eastAsia="hr-HR"/>
        </w:rPr>
      </w:pPr>
    </w:p>
    <w:p w14:paraId="3DD23726" w14:textId="77777777" w:rsidR="004E2F51" w:rsidRPr="00A873BB" w:rsidRDefault="004E2F51" w:rsidP="004E2F51">
      <w:pPr>
        <w:jc w:val="both"/>
        <w:rPr>
          <w:rFonts w:ascii="Arial" w:hAnsi="Arial" w:cs="Arial"/>
          <w:color w:val="000000" w:themeColor="text1"/>
          <w:sz w:val="20"/>
          <w:szCs w:val="20"/>
          <w:lang w:val="hr-HR" w:eastAsia="hr-HR"/>
        </w:rPr>
      </w:pPr>
      <w:r w:rsidRPr="00A873BB">
        <w:rPr>
          <w:rFonts w:ascii="Arial" w:hAnsi="Arial" w:cs="Arial"/>
          <w:color w:val="000000" w:themeColor="text1"/>
          <w:sz w:val="20"/>
          <w:szCs w:val="20"/>
          <w:lang w:val="hr-HR" w:eastAsia="hr-HR"/>
        </w:rPr>
        <w:t xml:space="preserve">Umanjenje vrijednosti kredita koji se naknadno mjere po amortiziranom trošku utvrđuje se u visini očekivanih kreditnih gubitaka primjenjujući opći pristup umanjenja vrijednosti (vidi G.ix. Umanjenje vrijednosti). </w:t>
      </w:r>
    </w:p>
    <w:p w14:paraId="449A8718" w14:textId="77777777" w:rsidR="004E2F51" w:rsidRPr="00A873BB" w:rsidRDefault="004E2F51" w:rsidP="004E2F51">
      <w:pPr>
        <w:jc w:val="both"/>
        <w:rPr>
          <w:rFonts w:ascii="Arial" w:hAnsi="Arial" w:cs="Arial"/>
          <w:color w:val="000000" w:themeColor="text1"/>
          <w:sz w:val="20"/>
          <w:szCs w:val="20"/>
          <w:lang w:val="hr-HR" w:eastAsia="hr-HR"/>
        </w:rPr>
      </w:pPr>
    </w:p>
    <w:p w14:paraId="773D78D6" w14:textId="77777777" w:rsidR="004E2F51" w:rsidRPr="00A873BB" w:rsidRDefault="004E2F51" w:rsidP="004E2F51">
      <w:pPr>
        <w:jc w:val="both"/>
        <w:rPr>
          <w:rFonts w:ascii="Arial" w:hAnsi="Arial" w:cs="Arial"/>
          <w:color w:val="000000" w:themeColor="text1"/>
          <w:sz w:val="20"/>
          <w:szCs w:val="20"/>
          <w:lang w:val="hr-HR" w:eastAsia="hr-HR"/>
        </w:rPr>
      </w:pPr>
      <w:r w:rsidRPr="00A873BB">
        <w:rPr>
          <w:rFonts w:ascii="Arial" w:hAnsi="Arial" w:cs="Arial"/>
          <w:color w:val="000000" w:themeColor="text1"/>
          <w:sz w:val="20"/>
          <w:szCs w:val="20"/>
          <w:lang w:val="hr-HR" w:eastAsia="hr-HR"/>
        </w:rPr>
        <w:t>Potraživanja po kreditima temelje se na ugovoru. Svaka izmjena ugovornih odredbi koja mijenja ugovorene novčane tokove od kredita smatra se modifikacijom kredita (vidi</w:t>
      </w:r>
      <w:r w:rsidRPr="00A873BB">
        <w:rPr>
          <w:rFonts w:ascii="Arial" w:hAnsi="Arial" w:cs="Arial"/>
          <w:color w:val="000000" w:themeColor="text1"/>
          <w:sz w:val="20"/>
          <w:szCs w:val="20"/>
          <w:lang w:val="hr-HR"/>
        </w:rPr>
        <w:t xml:space="preserve"> G.vi. Modifikacija financijske imovine)</w:t>
      </w:r>
      <w:r w:rsidRPr="00A873BB">
        <w:rPr>
          <w:rFonts w:ascii="Arial" w:hAnsi="Arial" w:cs="Arial"/>
          <w:color w:val="000000" w:themeColor="text1"/>
          <w:sz w:val="20"/>
          <w:szCs w:val="20"/>
          <w:lang w:val="hr-HR" w:eastAsia="hr-HR"/>
        </w:rPr>
        <w:t>.</w:t>
      </w:r>
    </w:p>
    <w:p w14:paraId="0C5190C6" w14:textId="77777777" w:rsidR="004E2F51" w:rsidRPr="00A873BB" w:rsidRDefault="004E2F51" w:rsidP="004E2F51">
      <w:pPr>
        <w:jc w:val="both"/>
        <w:rPr>
          <w:rFonts w:ascii="Arial" w:hAnsi="Arial" w:cs="Arial"/>
          <w:color w:val="000000" w:themeColor="text1"/>
          <w:sz w:val="20"/>
          <w:szCs w:val="20"/>
          <w:lang w:val="hr-HR" w:eastAsia="hr-HR"/>
        </w:rPr>
      </w:pPr>
    </w:p>
    <w:p w14:paraId="302BA61E" w14:textId="77777777" w:rsidR="004E2F51" w:rsidRPr="00A873BB" w:rsidRDefault="004E2F51" w:rsidP="004E2F51">
      <w:pPr>
        <w:jc w:val="both"/>
        <w:rPr>
          <w:rFonts w:ascii="Arial" w:hAnsi="Arial" w:cs="Arial"/>
          <w:color w:val="000000" w:themeColor="text1"/>
          <w:sz w:val="20"/>
          <w:szCs w:val="20"/>
          <w:lang w:val="hr-HR" w:eastAsia="hr-HR"/>
        </w:rPr>
      </w:pPr>
      <w:r w:rsidRPr="00A873BB">
        <w:rPr>
          <w:rFonts w:ascii="Arial" w:hAnsi="Arial" w:cs="Arial"/>
          <w:color w:val="000000" w:themeColor="text1"/>
          <w:sz w:val="20"/>
          <w:szCs w:val="20"/>
          <w:lang w:val="hr-HR" w:eastAsia="hr-HR"/>
        </w:rPr>
        <w:t>Kupljeni ili dani krediti za koje je pri inicijalnom priznavanju utvrđeno postojanje očekivanih kreditnih gubitaka smatraju se POCI imovinom (vidi G.vii.</w:t>
      </w:r>
      <w:r w:rsidRPr="00A873BB">
        <w:rPr>
          <w:rFonts w:ascii="Arial" w:hAnsi="Arial" w:cs="Arial"/>
          <w:color w:val="000000" w:themeColor="text1"/>
          <w:sz w:val="20"/>
          <w:szCs w:val="20"/>
          <w:lang w:val="hr-HR"/>
        </w:rPr>
        <w:t xml:space="preserve"> Kupljena ili stvorena financijska imovina umanjena za kreditne gubitke (POCI imovina)).</w:t>
      </w:r>
    </w:p>
    <w:p w14:paraId="15908A7E" w14:textId="77777777" w:rsidR="004E2F51" w:rsidRPr="00A873BB" w:rsidRDefault="004E2F51" w:rsidP="004E2F51">
      <w:pPr>
        <w:jc w:val="both"/>
        <w:rPr>
          <w:rFonts w:ascii="Arial" w:hAnsi="Arial" w:cs="Arial"/>
          <w:color w:val="000000" w:themeColor="text1"/>
          <w:sz w:val="20"/>
          <w:szCs w:val="20"/>
          <w:lang w:val="hr-HR" w:eastAsia="hr-HR"/>
        </w:rPr>
      </w:pPr>
    </w:p>
    <w:p w14:paraId="651DC316" w14:textId="77777777" w:rsidR="004E2F51" w:rsidRPr="00A873BB" w:rsidRDefault="004E2F51" w:rsidP="004E2F51">
      <w:pPr>
        <w:jc w:val="both"/>
        <w:rPr>
          <w:rFonts w:ascii="Arial" w:hAnsi="Arial" w:cs="Arial"/>
          <w:color w:val="000000" w:themeColor="text1"/>
          <w:sz w:val="20"/>
          <w:szCs w:val="20"/>
          <w:lang w:val="hr-HR" w:eastAsia="hr-HR"/>
        </w:rPr>
      </w:pPr>
      <w:r w:rsidRPr="00A873BB">
        <w:rPr>
          <w:rFonts w:ascii="Arial" w:hAnsi="Arial" w:cs="Arial"/>
          <w:color w:val="000000" w:themeColor="text1"/>
          <w:sz w:val="20"/>
          <w:szCs w:val="20"/>
          <w:lang w:val="hr-HR" w:eastAsia="hr-HR"/>
        </w:rPr>
        <w:t xml:space="preserve">Kamatni prihod od naknada priznaje se u dobiti ili gubitku metodom efektivne kamatne stope gdje god je to primjenjivo. U slučaju da zaduženje naknade koja je inkrementalni trošak kredita nastupi prije prvog korištenja kredita, prihod od naknade priznaje se u računu dobiti i gubitka na vremenski proporcionalnoj osnovi (tzv. linearna metoda) do utvrđenja efektivne kamatne stope. Od trenutka utvrđenja efektivne kamatne stope do kraja vijeka trajanja kredita, na priznavanje kamatnog prihoda u računu dobiti i gubitka primjenjuje se metoda efektivne kamatne stope na neamortizirani iznos naknade. </w:t>
      </w:r>
    </w:p>
    <w:p w14:paraId="41D20F7D" w14:textId="77777777" w:rsidR="004E2F51" w:rsidRPr="00A873BB" w:rsidRDefault="004E2F51" w:rsidP="004E2F51">
      <w:pPr>
        <w:jc w:val="both"/>
        <w:rPr>
          <w:rFonts w:ascii="Arial" w:hAnsi="Arial" w:cs="Arial"/>
          <w:color w:val="000000" w:themeColor="text1"/>
          <w:sz w:val="20"/>
          <w:szCs w:val="20"/>
          <w:lang w:val="hr-HR" w:eastAsia="hr-HR"/>
        </w:rPr>
      </w:pPr>
    </w:p>
    <w:p w14:paraId="32A908DA" w14:textId="77777777" w:rsidR="004E2F51" w:rsidRPr="004B4498" w:rsidRDefault="004E2F51" w:rsidP="004E2F51">
      <w:pPr>
        <w:jc w:val="both"/>
        <w:rPr>
          <w:rFonts w:ascii="Arial" w:hAnsi="Arial" w:cs="Arial"/>
          <w:color w:val="000000" w:themeColor="text1"/>
          <w:sz w:val="20"/>
          <w:szCs w:val="20"/>
          <w:lang w:val="hr-HR" w:eastAsia="hr-HR"/>
        </w:rPr>
      </w:pPr>
      <w:r w:rsidRPr="00A873BB">
        <w:rPr>
          <w:rFonts w:ascii="Arial" w:hAnsi="Arial" w:cs="Arial"/>
          <w:color w:val="000000" w:themeColor="text1"/>
          <w:sz w:val="20"/>
          <w:szCs w:val="20"/>
          <w:lang w:val="hr-HR" w:eastAsia="hr-HR"/>
        </w:rPr>
        <w:t>Krediti koji su klasificirani u imovinu koja se naknadno mjeri po fer vrijednosti kroz dobit ili gubitak ne podliježu umanjenju vrijednosti već se i na početno i naknadno vrednovanje primjenjuju odredbe opisane u točki G.x. “</w:t>
      </w:r>
      <w:r w:rsidRPr="004B4498">
        <w:rPr>
          <w:rFonts w:ascii="Arial" w:hAnsi="Arial" w:cs="Arial"/>
          <w:color w:val="000000" w:themeColor="text1"/>
          <w:sz w:val="20"/>
          <w:szCs w:val="20"/>
          <w:lang w:val="hr-HR" w:eastAsia="hr-HR"/>
        </w:rPr>
        <w:t>Udjeli u investicijskim fondovima”.</w:t>
      </w:r>
    </w:p>
    <w:p w14:paraId="19C54FE4" w14:textId="77777777" w:rsidR="004E2F51" w:rsidRPr="004B4498" w:rsidRDefault="004E2F51" w:rsidP="004E2F51">
      <w:pPr>
        <w:jc w:val="both"/>
        <w:rPr>
          <w:rFonts w:ascii="Arial" w:hAnsi="Arial" w:cs="Arial"/>
          <w:color w:val="000000" w:themeColor="text1"/>
          <w:sz w:val="20"/>
          <w:szCs w:val="20"/>
          <w:lang w:val="hr-HR" w:eastAsia="hr-HR"/>
        </w:rPr>
      </w:pPr>
    </w:p>
    <w:p w14:paraId="41969640"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eastAsia="hr-HR"/>
        </w:rPr>
        <w:t xml:space="preserve"> </w:t>
      </w:r>
    </w:p>
    <w:p w14:paraId="490EE679" w14:textId="77777777" w:rsidR="004E2F51" w:rsidRPr="004B4498" w:rsidRDefault="004E2F51" w:rsidP="004E2F51">
      <w:pPr>
        <w:pStyle w:val="T1"/>
        <w:spacing w:before="0" w:after="0" w:line="240" w:lineRule="auto"/>
        <w:rPr>
          <w:rFonts w:cs="Arial"/>
          <w:b w:val="0"/>
          <w:bCs w:val="0"/>
          <w:color w:val="000000" w:themeColor="text1"/>
          <w:sz w:val="20"/>
          <w:lang w:val="hr-HR"/>
        </w:rPr>
        <w:sectPr w:rsidR="004E2F51" w:rsidRPr="004B4498" w:rsidSect="00623DBA">
          <w:footerReference w:type="default" r:id="rId102"/>
          <w:pgSz w:w="11907" w:h="16840" w:code="9"/>
          <w:pgMar w:top="1418" w:right="1134" w:bottom="1134" w:left="1418" w:header="851" w:footer="851" w:gutter="0"/>
          <w:cols w:space="720"/>
          <w:noEndnote/>
        </w:sectPr>
      </w:pPr>
    </w:p>
    <w:p w14:paraId="5BAC85E6"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0499AF83"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16EED7BC"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3D7020A"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4A76230E" w14:textId="77777777" w:rsidR="004E2F51" w:rsidRPr="004B4498" w:rsidRDefault="004E2F51" w:rsidP="004E2F51">
      <w:pPr>
        <w:jc w:val="both"/>
        <w:rPr>
          <w:rFonts w:ascii="Arial" w:hAnsi="Arial" w:cs="Arial"/>
          <w:b/>
          <w:color w:val="000000" w:themeColor="text1"/>
          <w:sz w:val="20"/>
          <w:szCs w:val="20"/>
          <w:lang w:val="hr-HR"/>
        </w:rPr>
      </w:pPr>
    </w:p>
    <w:p w14:paraId="312BBFBB"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76673522" w14:textId="77777777" w:rsidR="004E2F51" w:rsidRPr="004B4498" w:rsidRDefault="004E2F51" w:rsidP="004E2F51">
      <w:pPr>
        <w:jc w:val="both"/>
        <w:rPr>
          <w:rFonts w:ascii="Arial" w:hAnsi="Arial" w:cs="Arial"/>
          <w:b/>
          <w:i/>
          <w:color w:val="000000" w:themeColor="text1"/>
          <w:sz w:val="20"/>
          <w:szCs w:val="20"/>
          <w:lang w:val="hr-HR"/>
        </w:rPr>
      </w:pPr>
    </w:p>
    <w:p w14:paraId="706E4F23" w14:textId="77777777" w:rsidR="004E2F51" w:rsidRPr="004B4498" w:rsidRDefault="004E2F51" w:rsidP="004E2F51">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52DEE03C"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4B4D34A3" w14:textId="77777777" w:rsidR="004E2F51" w:rsidRPr="004B4498" w:rsidRDefault="004E2F51" w:rsidP="004E2F51">
      <w:pPr>
        <w:pStyle w:val="accountingpolicytitle"/>
        <w:jc w:val="left"/>
        <w:rPr>
          <w:rFonts w:cs="Arial"/>
          <w:b w:val="0"/>
          <w:i/>
          <w:iCs/>
          <w:color w:val="000000" w:themeColor="text1"/>
          <w:sz w:val="20"/>
          <w:lang w:val="hr-HR"/>
        </w:rPr>
      </w:pPr>
      <w:r w:rsidRPr="004B4498">
        <w:rPr>
          <w:rFonts w:cs="Arial"/>
          <w:b w:val="0"/>
          <w:bCs/>
          <w:i/>
          <w:iCs/>
          <w:color w:val="000000" w:themeColor="text1"/>
          <w:sz w:val="20"/>
          <w:lang w:val="hr-HR"/>
        </w:rPr>
        <w:t>Dužnički vrijednosni papiri</w:t>
      </w:r>
    </w:p>
    <w:p w14:paraId="6BE93F0F"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HBOR ulaže dio sredstava rezervi likvidnosti u dužničke vrijednosne papire sukladno uvjetima propisnim internim aktima banke koji uređuju investicijsku politiku HBOR-a. Zbog razvojne uloge HBOR-a određene Zakonom o HBOR-u, očuvanja kapitala i svođenja rizika koji su proizašli iz obavljanja djelatnosti utvrđenih Zakonom o HBOR-u na najmanju mjeru, Banka se ne bavi stjecanjem vrijednosnih papira i ulaganja radi kratkoročnog stjecanja dobitka/gubitka od aktivnosti trgovanja, već u svrhu održavanja kratkoročne rezerve likvidnosti i upravljanja kratkoročnom likvidnošću.</w:t>
      </w:r>
    </w:p>
    <w:p w14:paraId="6E25073A" w14:textId="77777777" w:rsidR="004E2F51" w:rsidRPr="004B4498" w:rsidRDefault="004E2F51" w:rsidP="004E2F51">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Dužničke vrijednosne papire čine obveznice i instrumenti tržišta novca – trezorski, blagajnički i komercijalni zapisi. </w:t>
      </w:r>
    </w:p>
    <w:p w14:paraId="1D9321C0" w14:textId="77777777" w:rsidR="004E2F51" w:rsidRPr="004B4498" w:rsidRDefault="004E2F51" w:rsidP="004E2F51">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Dužnički vrijednosni papiri alocirani su u poslovni model čiji je cilj prikupljanje ugovorenih novčanih tokova i prodaja financijske imovine, prolaze SPPI test te se klasificiraju u imovinu koja se naknadno mjeri po fer vrijednosti kroz ostalu sveobuhvatnu dobit.</w:t>
      </w:r>
    </w:p>
    <w:p w14:paraId="308288F6" w14:textId="77777777" w:rsidR="004E2F51" w:rsidRPr="004B4498" w:rsidRDefault="004E2F51" w:rsidP="004E2F51">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Dužnički vrijednosni papiri iskazuju u izvanbilančnoj evidenciji na datum trgovanja po nominalnoj vrijednosti, a na datum namire priznaju se u izvještaju o financijskom položaju po fer vrijednosti koja uključuje transakcijske troškove koji se izravno mogu pripisati stjecanju financijske imovine. </w:t>
      </w:r>
    </w:p>
    <w:p w14:paraId="1ACD006A" w14:textId="77777777" w:rsidR="004E2F51" w:rsidRPr="004B4498" w:rsidRDefault="004E2F51" w:rsidP="004E2F51">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Stečena kamata se priznaje kao potraživanje po kamatama na datum namire i ne predstavlja prihod HBOR-a.</w:t>
      </w:r>
    </w:p>
    <w:p w14:paraId="45959B14" w14:textId="77777777" w:rsidR="004E2F51" w:rsidRPr="004B4498" w:rsidRDefault="004E2F51" w:rsidP="004E2F51">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Kamate obračunane na nominalnu vrijednost dužničkih vrijednosnih papira proporcionalne su kamatnoj stopi i vremenu dospijeća, i priznaju se kao prihod od kamata u računu dobiti i gubitka metodom efektivne kamatne stope.</w:t>
      </w:r>
    </w:p>
    <w:p w14:paraId="176B2D6D" w14:textId="77777777" w:rsidR="004E2F51" w:rsidRPr="004B4498" w:rsidRDefault="004E2F51" w:rsidP="004E2F51">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Amortizacija početno priznate premije ili diskonta te transakcijskih troškova kod kupnje dužničkih vrijednosnih papira, priznaje se u računu dobiti i gubitka kao povećanje ili smanjenje kamatnog prihoda, metodom efektivne kamatne stope.</w:t>
      </w:r>
    </w:p>
    <w:p w14:paraId="05BA7C4D" w14:textId="77777777" w:rsidR="004E2F51" w:rsidRPr="004B4498" w:rsidRDefault="004E2F51" w:rsidP="004E2F51">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Dužnički vrijednosni papiri evaluiraju se na datum bilance na fer vrijednost koja se utvrđuje na način propisan internim aktima koji uređuju metode vrednovanja financijskih instrumenata (Metodologija vrednovanja financijskih instrumenata). Dobit ili gubitak nastao uslijed promjene fer vrijednosti ove financijske imovine priznaje se u ostaloj sveobuhvatnoj dobiti, a dobit ili gubitak od tečajnih razlika priznaje se u računu dobiti ili gubitka.</w:t>
      </w:r>
    </w:p>
    <w:p w14:paraId="5E3F574F" w14:textId="77777777" w:rsidR="004E2F51" w:rsidRPr="004B4498" w:rsidRDefault="004E2F51" w:rsidP="004E2F51">
      <w:pPr>
        <w:spacing w:before="120"/>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Ako se financijska imovina prestane priznavati, kumulativna dobit ili gubitak priznati u ostaloj sveobuhvatnoj dobiti reklasificiraju se iz vlasničkog kapitala u račun dobiti i gubitka i predstavljanju reklasifikacijsko usklađenje. </w:t>
      </w:r>
    </w:p>
    <w:p w14:paraId="3F055A86" w14:textId="77777777" w:rsidR="004E2F51" w:rsidRPr="004B4498" w:rsidRDefault="004E2F51" w:rsidP="004E2F51">
      <w:pPr>
        <w:spacing w:before="120"/>
        <w:jc w:val="both"/>
        <w:rPr>
          <w:rFonts w:ascii="Arial" w:hAnsi="Arial" w:cs="Arial"/>
          <w:color w:val="000000" w:themeColor="text1"/>
          <w:sz w:val="20"/>
          <w:szCs w:val="20"/>
          <w:lang w:val="hr-HR" w:eastAsia="hr-HR"/>
        </w:rPr>
        <w:sectPr w:rsidR="004E2F51" w:rsidRPr="004B4498" w:rsidSect="00623DBA">
          <w:footerReference w:type="default" r:id="rId103"/>
          <w:pgSz w:w="11907" w:h="16840" w:code="9"/>
          <w:pgMar w:top="1418" w:right="1134" w:bottom="1134" w:left="1418" w:header="851" w:footer="851" w:gutter="0"/>
          <w:cols w:space="720"/>
          <w:noEndnote/>
        </w:sectPr>
      </w:pPr>
      <w:r w:rsidRPr="004B4498">
        <w:rPr>
          <w:rFonts w:ascii="Arial" w:hAnsi="Arial" w:cs="Arial"/>
          <w:color w:val="000000" w:themeColor="text1"/>
          <w:sz w:val="20"/>
          <w:szCs w:val="20"/>
          <w:lang w:val="hr-HR" w:eastAsia="hr-HR"/>
        </w:rPr>
        <w:t xml:space="preserve">Umanjenje vrijednosti utvrđuje se u visini očekivanih kreditnih gubitaka (vidi </w:t>
      </w:r>
      <w:r w:rsidRPr="00A873BB">
        <w:rPr>
          <w:rFonts w:ascii="Arial" w:hAnsi="Arial" w:cs="Arial"/>
          <w:color w:val="000000" w:themeColor="text1"/>
          <w:sz w:val="20"/>
          <w:szCs w:val="20"/>
          <w:lang w:val="hr-HR" w:eastAsia="hr-HR"/>
        </w:rPr>
        <w:t>G.ix.</w:t>
      </w:r>
      <w:r w:rsidRPr="004B4498">
        <w:rPr>
          <w:rFonts w:ascii="Arial" w:hAnsi="Arial" w:cs="Arial"/>
          <w:color w:val="000000" w:themeColor="text1"/>
          <w:sz w:val="20"/>
          <w:szCs w:val="20"/>
          <w:lang w:val="hr-HR" w:eastAsia="hr-HR"/>
        </w:rPr>
        <w:t xml:space="preserve"> Umanjenje vrijednosti – opći pristup).</w:t>
      </w:r>
    </w:p>
    <w:p w14:paraId="4B6EA4F0" w14:textId="77777777" w:rsidR="004E2F51" w:rsidRPr="004B4498" w:rsidRDefault="004E2F51" w:rsidP="004E2F51">
      <w:pPr>
        <w:jc w:val="both"/>
        <w:rPr>
          <w:rFonts w:ascii="Arial" w:hAnsi="Arial" w:cs="Arial"/>
          <w:color w:val="000000" w:themeColor="text1"/>
          <w:sz w:val="20"/>
          <w:szCs w:val="20"/>
          <w:lang w:val="hr-HR"/>
        </w:rPr>
      </w:pPr>
    </w:p>
    <w:p w14:paraId="6EBA785B"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02A82DDA"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08F3C22A"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0A6C810E" w14:textId="77777777" w:rsidR="004E2F51" w:rsidRPr="004B4498" w:rsidRDefault="004E2F51" w:rsidP="004E2F51">
      <w:pPr>
        <w:jc w:val="both"/>
        <w:rPr>
          <w:rFonts w:ascii="Arial" w:hAnsi="Arial" w:cs="Arial"/>
          <w:b/>
          <w:color w:val="000000" w:themeColor="text1"/>
          <w:sz w:val="20"/>
          <w:szCs w:val="20"/>
          <w:lang w:val="hr-HR"/>
        </w:rPr>
      </w:pPr>
    </w:p>
    <w:p w14:paraId="7F9FBE9B"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2E602AA9" w14:textId="77777777" w:rsidR="004E2F51" w:rsidRPr="004B4498" w:rsidRDefault="004E2F51" w:rsidP="004E2F51">
      <w:pPr>
        <w:jc w:val="both"/>
        <w:rPr>
          <w:rFonts w:ascii="Arial" w:hAnsi="Arial" w:cs="Arial"/>
          <w:b/>
          <w:i/>
          <w:color w:val="000000" w:themeColor="text1"/>
          <w:sz w:val="20"/>
          <w:szCs w:val="20"/>
          <w:lang w:val="hr-HR"/>
        </w:rPr>
      </w:pPr>
    </w:p>
    <w:p w14:paraId="3A516CFD" w14:textId="77777777" w:rsidR="004E2F51" w:rsidRPr="004B4498" w:rsidRDefault="004E2F51" w:rsidP="004E2F51">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60CEE659" w14:textId="77777777" w:rsidR="004E2F51" w:rsidRPr="004B4498" w:rsidRDefault="004E2F51" w:rsidP="004E2F51">
      <w:pPr>
        <w:jc w:val="both"/>
        <w:rPr>
          <w:rFonts w:ascii="Arial" w:hAnsi="Arial" w:cs="Arial"/>
          <w:b/>
          <w:i/>
          <w:color w:val="000000" w:themeColor="text1"/>
          <w:sz w:val="20"/>
          <w:szCs w:val="20"/>
          <w:lang w:val="hr-HR"/>
        </w:rPr>
      </w:pPr>
    </w:p>
    <w:p w14:paraId="7C67C643" w14:textId="77777777" w:rsidR="004E2F51" w:rsidRPr="004B4498" w:rsidRDefault="004E2F51" w:rsidP="004E2F51">
      <w:pPr>
        <w:pStyle w:val="T1"/>
        <w:keepNext w:val="0"/>
        <w:spacing w:before="0" w:after="0" w:line="240" w:lineRule="auto"/>
        <w:rPr>
          <w:rFonts w:cs="Arial"/>
          <w:b w:val="0"/>
          <w:bCs w:val="0"/>
          <w:i/>
          <w:color w:val="000000" w:themeColor="text1"/>
          <w:sz w:val="20"/>
          <w:lang w:val="hr-HR"/>
        </w:rPr>
      </w:pPr>
      <w:r w:rsidRPr="004B4498">
        <w:rPr>
          <w:rFonts w:cs="Arial"/>
          <w:b w:val="0"/>
          <w:bCs w:val="0"/>
          <w:i/>
          <w:color w:val="000000" w:themeColor="text1"/>
          <w:sz w:val="20"/>
          <w:lang w:val="hr-HR"/>
        </w:rPr>
        <w:t>Vlasnički vrijednosni papiri</w:t>
      </w:r>
    </w:p>
    <w:p w14:paraId="342DE1B1"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Računovodstveni tretman ulaganja u obične ili povlaštene dionice ili poslovne udjele ovisi o stupnju kontrole i utjecaju HBOR-a nad poslovanjem i poslovnim politikama u trgovačkom društvu i vrsti ulaganja.</w:t>
      </w:r>
    </w:p>
    <w:p w14:paraId="5F3805C3" w14:textId="77777777" w:rsidR="004E2F51" w:rsidRPr="004B4498" w:rsidRDefault="004E2F51" w:rsidP="004E2F51">
      <w:pPr>
        <w:jc w:val="both"/>
        <w:rPr>
          <w:rFonts w:ascii="Arial" w:hAnsi="Arial" w:cs="Arial"/>
          <w:color w:val="000000" w:themeColor="text1"/>
          <w:sz w:val="20"/>
          <w:szCs w:val="20"/>
          <w:lang w:val="hr-HR" w:eastAsia="hr-HR"/>
        </w:rPr>
      </w:pPr>
    </w:p>
    <w:p w14:paraId="0341E81B"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Ulaganja se razvrstavaju kao:</w:t>
      </w:r>
    </w:p>
    <w:p w14:paraId="1271F441" w14:textId="77777777" w:rsidR="004E2F51" w:rsidRPr="004B4498" w:rsidRDefault="004E2F51">
      <w:pPr>
        <w:numPr>
          <w:ilvl w:val="0"/>
          <w:numId w:val="40"/>
        </w:numPr>
        <w:suppressAutoHyphens w:val="0"/>
        <w:autoSpaceDN/>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ulaganja bez značajnog utjecaja - udjel u vlasništvu ispod 20%,</w:t>
      </w:r>
    </w:p>
    <w:p w14:paraId="38B42E0B" w14:textId="77777777" w:rsidR="004E2F51" w:rsidRPr="004B4498" w:rsidRDefault="004E2F51">
      <w:pPr>
        <w:numPr>
          <w:ilvl w:val="0"/>
          <w:numId w:val="40"/>
        </w:numPr>
        <w:suppressAutoHyphens w:val="0"/>
        <w:autoSpaceDN/>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ulaganja u pridružena društva - značajni utjecaj,</w:t>
      </w:r>
    </w:p>
    <w:p w14:paraId="735730F6" w14:textId="77777777" w:rsidR="004E2F51" w:rsidRPr="004B4498" w:rsidRDefault="004E2F51">
      <w:pPr>
        <w:numPr>
          <w:ilvl w:val="0"/>
          <w:numId w:val="40"/>
        </w:numPr>
        <w:suppressAutoHyphens w:val="0"/>
        <w:autoSpaceDN/>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ulaganja u ovisna društva - kontrolni utjecaj.</w:t>
      </w:r>
    </w:p>
    <w:p w14:paraId="72FE4CD1" w14:textId="77777777" w:rsidR="004E2F51" w:rsidRPr="004B4498" w:rsidRDefault="004E2F51" w:rsidP="004E2F51">
      <w:pPr>
        <w:jc w:val="both"/>
        <w:rPr>
          <w:rFonts w:ascii="Arial" w:eastAsiaTheme="minorHAnsi" w:hAnsi="Arial" w:cs="Arial"/>
          <w:color w:val="000000" w:themeColor="text1"/>
          <w:sz w:val="20"/>
          <w:szCs w:val="20"/>
          <w:lang w:val="hr-HR" w:eastAsia="hr-HR"/>
        </w:rPr>
      </w:pPr>
    </w:p>
    <w:p w14:paraId="20D5ED15"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Pri pripremi odvojenih i konsolidiranih financijskih izvještaja ulaganja u pridružena i ovisna društva iskazuju se ili:</w:t>
      </w:r>
    </w:p>
    <w:p w14:paraId="49F4FB8C" w14:textId="77777777" w:rsidR="004E2F51" w:rsidRPr="004B4498" w:rsidRDefault="004E2F51">
      <w:pPr>
        <w:numPr>
          <w:ilvl w:val="0"/>
          <w:numId w:val="41"/>
        </w:numPr>
        <w:suppressAutoHyphens w:val="0"/>
        <w:autoSpaceDN/>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po trošku ulaganja,</w:t>
      </w:r>
    </w:p>
    <w:p w14:paraId="5662F72F" w14:textId="77777777" w:rsidR="004E2F51" w:rsidRPr="004B4498" w:rsidRDefault="004E2F51">
      <w:pPr>
        <w:numPr>
          <w:ilvl w:val="0"/>
          <w:numId w:val="41"/>
        </w:numPr>
        <w:suppressAutoHyphens w:val="0"/>
        <w:autoSpaceDN/>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sukladno MSFI-ju 9,</w:t>
      </w:r>
    </w:p>
    <w:p w14:paraId="2DB1B14C" w14:textId="77777777" w:rsidR="004E2F51" w:rsidRPr="004B4498" w:rsidRDefault="004E2F51">
      <w:pPr>
        <w:numPr>
          <w:ilvl w:val="0"/>
          <w:numId w:val="41"/>
        </w:numPr>
        <w:suppressAutoHyphens w:val="0"/>
        <w:autoSpaceDN/>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primjenom metode udjela.</w:t>
      </w:r>
    </w:p>
    <w:p w14:paraId="14EB87AE" w14:textId="77777777" w:rsidR="004E2F51" w:rsidRPr="004B4498" w:rsidRDefault="004E2F51" w:rsidP="004E2F51">
      <w:pPr>
        <w:jc w:val="both"/>
        <w:rPr>
          <w:rFonts w:ascii="Arial" w:eastAsiaTheme="minorHAnsi"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Za svaku kategoriju ulaganja primjenjuje se isti računovodstveni tretman.</w:t>
      </w:r>
    </w:p>
    <w:p w14:paraId="2AC0D43C" w14:textId="77777777" w:rsidR="004E2F51" w:rsidRPr="004B4498" w:rsidRDefault="004E2F51" w:rsidP="004E2F51">
      <w:pPr>
        <w:jc w:val="both"/>
        <w:rPr>
          <w:rFonts w:ascii="Arial" w:hAnsi="Arial" w:cs="Arial"/>
          <w:i/>
          <w:color w:val="000000" w:themeColor="text1"/>
          <w:sz w:val="20"/>
          <w:szCs w:val="20"/>
          <w:lang w:val="hr-HR"/>
        </w:rPr>
      </w:pPr>
    </w:p>
    <w:p w14:paraId="429ADA36"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U slučajevima kada se ulaganja u ovisna i pridružena društva koja se iskazuju po trošku ulaganja ili primjenom metode udjela klasificiraju kao ulaganja namijenjena prodaji ili distribuciji iskazuje se sukladno MSFI-ju 5 „Dugotrajna imovina namijenjena prodaji i prestanak poslovanja“. </w:t>
      </w:r>
    </w:p>
    <w:p w14:paraId="49B23058" w14:textId="77777777" w:rsidR="004E2F51" w:rsidRPr="004B4498" w:rsidRDefault="004E2F51" w:rsidP="004E2F51">
      <w:pPr>
        <w:jc w:val="both"/>
        <w:rPr>
          <w:rFonts w:ascii="Arial" w:hAnsi="Arial" w:cs="Arial"/>
          <w:color w:val="000000" w:themeColor="text1"/>
          <w:sz w:val="20"/>
          <w:szCs w:val="20"/>
          <w:lang w:val="hr-HR" w:eastAsia="hr-HR"/>
        </w:rPr>
      </w:pPr>
    </w:p>
    <w:p w14:paraId="53F57AEE"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 tim okolnostima ne mijenja se mjerenje ulaganja obračunatih sukladno MSFI-ju 9.</w:t>
      </w:r>
    </w:p>
    <w:p w14:paraId="0B79E9EF" w14:textId="77777777" w:rsidR="004E2F51" w:rsidRPr="004B4498" w:rsidRDefault="004E2F51" w:rsidP="004E2F51">
      <w:pPr>
        <w:jc w:val="both"/>
        <w:rPr>
          <w:rFonts w:ascii="Arial" w:hAnsi="Arial" w:cs="Arial"/>
          <w:i/>
          <w:color w:val="000000" w:themeColor="text1"/>
          <w:sz w:val="20"/>
          <w:szCs w:val="20"/>
          <w:lang w:val="hr-HR"/>
        </w:rPr>
      </w:pPr>
    </w:p>
    <w:p w14:paraId="5F1037C2" w14:textId="77777777" w:rsidR="004E2F51" w:rsidRPr="00C25BBA" w:rsidRDefault="004E2F51" w:rsidP="004E2F51">
      <w:pPr>
        <w:jc w:val="both"/>
        <w:rPr>
          <w:rFonts w:ascii="Arial" w:hAnsi="Arial" w:cs="Arial"/>
          <w:i/>
          <w:iCs/>
          <w:color w:val="000000" w:themeColor="text1"/>
          <w:sz w:val="20"/>
          <w:szCs w:val="20"/>
          <w:u w:val="single"/>
          <w:lang w:val="hr-HR" w:eastAsia="hr-HR"/>
        </w:rPr>
      </w:pPr>
      <w:r w:rsidRPr="004B4498">
        <w:rPr>
          <w:rFonts w:ascii="Arial" w:hAnsi="Arial" w:cs="Arial"/>
          <w:i/>
          <w:iCs/>
          <w:color w:val="000000" w:themeColor="text1"/>
          <w:sz w:val="20"/>
          <w:szCs w:val="20"/>
          <w:u w:val="single"/>
          <w:lang w:val="hr-HR" w:eastAsia="hr-HR"/>
        </w:rPr>
        <w:t>Ulaganja bez značajnog utjecaja - udjel u vlasništvu ispod 20%</w:t>
      </w:r>
    </w:p>
    <w:p w14:paraId="0C3807B0"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Vlasnički vrijednosni papiri alocirani su u poslovni model čiji je cilj prikupljanje ugovorenih novčanih tokova i prodaja financijske imovine, te prema uvjetima u Metodologiji za klasifikaciju i mjerenje financijskih instrumenata ne prolaze SPPI test. Sukladno navedenom, vlasnički vrijednosni papiri klasificiraju se u imovinu koja se naknadno mjeri po fer vrijednosti kroz dobit ili gubitak te se početno i naknadno mjeri po fer vrijednosti.</w:t>
      </w:r>
    </w:p>
    <w:p w14:paraId="5C8BA83A" w14:textId="77777777" w:rsidR="004E2F51" w:rsidRPr="004B4498" w:rsidRDefault="004E2F51" w:rsidP="004E2F51">
      <w:pPr>
        <w:jc w:val="both"/>
        <w:rPr>
          <w:rFonts w:ascii="Arial" w:hAnsi="Arial" w:cs="Arial"/>
          <w:color w:val="000000" w:themeColor="text1"/>
          <w:sz w:val="20"/>
          <w:szCs w:val="20"/>
          <w:lang w:val="hr-HR" w:eastAsia="hr-HR"/>
        </w:rPr>
      </w:pPr>
    </w:p>
    <w:p w14:paraId="74C1A93C"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Na dio vlasničkih vrijednosnih papira se primjenjuje opcija fer vrijednosti kroz ostalu sveobuhvatnu dobit, a to su dionice društava S.W.I.F.T. i Europskog investicijskog fonda zbog trajne namjere držanja tih dionica u portfelju HBOR-a. Opcija fer vrijednosti kroz ostalu sveobuhvatnu dobit predstavlja način naknadnog mjerenja u kojem se sve promjene fer vrijednosti priznaju u ostaloj sveobuhvatnoj dobiti, a ne u dobiti ili gubitku. Ovo je neopoziva opcija i svi vlasnički instrumenti ostaju klasificirani u ovaj model naknadnog vrednovanja do prestanka priznavanja. </w:t>
      </w:r>
    </w:p>
    <w:p w14:paraId="44865FC7" w14:textId="77777777" w:rsidR="004E2F51" w:rsidRPr="004B4498" w:rsidRDefault="004E2F51" w:rsidP="004E2F51">
      <w:pPr>
        <w:jc w:val="both"/>
        <w:rPr>
          <w:rFonts w:ascii="Arial" w:hAnsi="Arial" w:cs="Arial"/>
          <w:color w:val="000000" w:themeColor="text1"/>
          <w:sz w:val="20"/>
          <w:szCs w:val="20"/>
          <w:lang w:val="hr-HR" w:eastAsia="hr-HR"/>
        </w:rPr>
      </w:pPr>
    </w:p>
    <w:p w14:paraId="72152E3B"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Dobici ili gubici nastali uslijed promjene tečaja stranih valuta, priznaju se u ostaloj sveobuhvatnoj dobiti. Iznosi priznati u ostaloj sveobuhvatnoj dobiti ne prenose se u dobit ili gubitak, već se u trenutku prestanka priznavanja zadržavaju unutar ostale sveobuhvatne dobiti. </w:t>
      </w:r>
    </w:p>
    <w:p w14:paraId="319B7E94" w14:textId="77777777" w:rsidR="004E2F51" w:rsidRPr="004B4498" w:rsidRDefault="004E2F51" w:rsidP="004E2F51">
      <w:pPr>
        <w:jc w:val="both"/>
        <w:rPr>
          <w:rFonts w:ascii="Arial" w:hAnsi="Arial" w:cs="Arial"/>
          <w:color w:val="000000" w:themeColor="text1"/>
          <w:sz w:val="20"/>
          <w:szCs w:val="20"/>
          <w:lang w:val="hr-HR" w:eastAsia="hr-HR"/>
        </w:rPr>
      </w:pPr>
    </w:p>
    <w:p w14:paraId="3553B208" w14:textId="77777777" w:rsidR="004E2F51" w:rsidRPr="004B4498" w:rsidRDefault="004E2F51" w:rsidP="004E2F51">
      <w:pPr>
        <w:jc w:val="both"/>
        <w:rPr>
          <w:rFonts w:ascii="Arial" w:hAnsi="Arial" w:cs="Arial"/>
          <w:color w:val="000000" w:themeColor="text1"/>
          <w:sz w:val="20"/>
          <w:szCs w:val="20"/>
          <w:lang w:val="hr-HR" w:eastAsia="hr-HR"/>
        </w:rPr>
        <w:sectPr w:rsidR="004E2F51" w:rsidRPr="004B4498" w:rsidSect="00623DBA">
          <w:footerReference w:type="default" r:id="rId104"/>
          <w:pgSz w:w="11907" w:h="16840" w:code="9"/>
          <w:pgMar w:top="1418" w:right="1134" w:bottom="1134" w:left="1418" w:header="851" w:footer="851" w:gutter="0"/>
          <w:cols w:space="720"/>
          <w:noEndnote/>
        </w:sectPr>
      </w:pPr>
    </w:p>
    <w:p w14:paraId="66E1B492"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7BD932CE"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567F0D02"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322EF73"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4E48F3EE" w14:textId="77777777" w:rsidR="004E2F51" w:rsidRPr="004B4498" w:rsidRDefault="004E2F51" w:rsidP="004E2F51">
      <w:pPr>
        <w:jc w:val="both"/>
        <w:rPr>
          <w:rFonts w:ascii="Arial" w:hAnsi="Arial" w:cs="Arial"/>
          <w:b/>
          <w:color w:val="000000" w:themeColor="text1"/>
          <w:sz w:val="20"/>
          <w:szCs w:val="20"/>
          <w:lang w:val="hr-HR"/>
        </w:rPr>
      </w:pPr>
    </w:p>
    <w:p w14:paraId="5FC2D38A"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503A4C6B" w14:textId="77777777" w:rsidR="004E2F51" w:rsidRPr="004B4498" w:rsidRDefault="004E2F51" w:rsidP="004E2F51">
      <w:pPr>
        <w:jc w:val="both"/>
        <w:rPr>
          <w:rFonts w:ascii="Arial" w:hAnsi="Arial" w:cs="Arial"/>
          <w:b/>
          <w:i/>
          <w:color w:val="000000" w:themeColor="text1"/>
          <w:sz w:val="20"/>
          <w:szCs w:val="20"/>
          <w:lang w:val="hr-HR"/>
        </w:rPr>
      </w:pPr>
    </w:p>
    <w:p w14:paraId="6792854D" w14:textId="77777777" w:rsidR="004E2F51" w:rsidRPr="004B4498" w:rsidRDefault="004E2F51" w:rsidP="004E2F51">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7B10D268" w14:textId="77777777" w:rsidR="004E2F51" w:rsidRPr="004B4498" w:rsidRDefault="004E2F51" w:rsidP="004E2F51">
      <w:pPr>
        <w:jc w:val="both"/>
        <w:rPr>
          <w:rFonts w:ascii="Arial" w:hAnsi="Arial" w:cs="Arial"/>
          <w:b/>
          <w:i/>
          <w:color w:val="000000" w:themeColor="text1"/>
          <w:sz w:val="20"/>
          <w:szCs w:val="20"/>
          <w:lang w:val="hr-HR"/>
        </w:rPr>
      </w:pPr>
    </w:p>
    <w:p w14:paraId="4F64CE26" w14:textId="77777777" w:rsidR="004E2F51" w:rsidRPr="004B4498" w:rsidRDefault="004E2F51" w:rsidP="004E2F51">
      <w:pPr>
        <w:pStyle w:val="T1"/>
        <w:keepNext w:val="0"/>
        <w:spacing w:before="0" w:after="0" w:line="240" w:lineRule="auto"/>
        <w:rPr>
          <w:rFonts w:cs="Arial"/>
          <w:b w:val="0"/>
          <w:bCs w:val="0"/>
          <w:i/>
          <w:color w:val="000000" w:themeColor="text1"/>
          <w:sz w:val="20"/>
          <w:lang w:val="hr-HR"/>
        </w:rPr>
      </w:pPr>
      <w:r w:rsidRPr="004B4498">
        <w:rPr>
          <w:rFonts w:cs="Arial"/>
          <w:b w:val="0"/>
          <w:bCs w:val="0"/>
          <w:i/>
          <w:color w:val="000000" w:themeColor="text1"/>
          <w:sz w:val="20"/>
          <w:lang w:val="hr-HR"/>
        </w:rPr>
        <w:t>Vlasnički vrijednosni papiri (nastavak)</w:t>
      </w:r>
    </w:p>
    <w:p w14:paraId="69457712" w14:textId="77777777" w:rsidR="004E2F51" w:rsidRPr="00C25BBA" w:rsidRDefault="004E2F51" w:rsidP="004E2F51">
      <w:pPr>
        <w:jc w:val="both"/>
        <w:rPr>
          <w:rFonts w:ascii="Arial" w:hAnsi="Arial" w:cs="Arial"/>
          <w:i/>
          <w:iCs/>
          <w:color w:val="000000" w:themeColor="text1"/>
          <w:sz w:val="20"/>
          <w:szCs w:val="20"/>
          <w:u w:val="single"/>
          <w:lang w:val="hr-HR" w:eastAsia="hr-HR"/>
        </w:rPr>
      </w:pPr>
      <w:r w:rsidRPr="004B4498">
        <w:rPr>
          <w:rFonts w:ascii="Arial" w:hAnsi="Arial" w:cs="Arial"/>
          <w:i/>
          <w:iCs/>
          <w:color w:val="000000" w:themeColor="text1"/>
          <w:sz w:val="20"/>
          <w:szCs w:val="20"/>
          <w:u w:val="single"/>
          <w:lang w:val="hr-HR" w:eastAsia="hr-HR"/>
        </w:rPr>
        <w:t>Ulaganja bez značajnog utjecaja - udjel u vlasništvu ispod 20 % (nastavak)</w:t>
      </w:r>
    </w:p>
    <w:p w14:paraId="28F5E3A1" w14:textId="77777777" w:rsidR="004E2F51" w:rsidRPr="004B4498" w:rsidRDefault="004E2F51" w:rsidP="004E2F51">
      <w:pPr>
        <w:jc w:val="both"/>
        <w:rPr>
          <w:rFonts w:ascii="Arial" w:hAnsi="Arial" w:cs="Arial"/>
          <w:b/>
          <w:i/>
          <w:color w:val="000000" w:themeColor="text1"/>
          <w:sz w:val="20"/>
          <w:szCs w:val="20"/>
          <w:lang w:val="hr-HR"/>
        </w:rPr>
      </w:pPr>
    </w:p>
    <w:p w14:paraId="7C2A5527"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Prihod od dividende po vlasničkim vrijednosnim papirima priznaje se temeljem odluke o isplati i u razdoblju u kojem je donesena, koju je donijela skupština ili drugo nadležno tijelo, ako je razumno da će se dividenda i naplatiti. </w:t>
      </w:r>
    </w:p>
    <w:p w14:paraId="7F11A5CF" w14:textId="77777777" w:rsidR="004E2F51" w:rsidRPr="004B4498" w:rsidRDefault="004E2F51" w:rsidP="004E2F51">
      <w:pPr>
        <w:jc w:val="both"/>
        <w:rPr>
          <w:rFonts w:ascii="Arial" w:hAnsi="Arial" w:cs="Arial"/>
          <w:color w:val="000000" w:themeColor="text1"/>
          <w:sz w:val="20"/>
          <w:szCs w:val="20"/>
          <w:lang w:val="hr-HR" w:eastAsia="hr-HR"/>
        </w:rPr>
      </w:pPr>
    </w:p>
    <w:p w14:paraId="63130516"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Ako je naplata neizvjesna, prihod će se priznati tek u trenutku naplate. </w:t>
      </w:r>
    </w:p>
    <w:p w14:paraId="6BB705D1" w14:textId="77777777" w:rsidR="004E2F51" w:rsidRPr="004B4498" w:rsidRDefault="004E2F51" w:rsidP="004E2F51">
      <w:pPr>
        <w:jc w:val="both"/>
        <w:rPr>
          <w:rFonts w:ascii="Arial" w:hAnsi="Arial" w:cs="Arial"/>
          <w:color w:val="000000" w:themeColor="text1"/>
          <w:sz w:val="20"/>
          <w:szCs w:val="20"/>
          <w:lang w:val="hr-HR" w:eastAsia="hr-HR"/>
        </w:rPr>
      </w:pPr>
    </w:p>
    <w:p w14:paraId="6767012F"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Dividenda se priznaje u dobiti ili gubitku za sve vlasničke instrumente neovisno da li su klasificirani kao instrumenti koji se naknadno mjere po fer vrijednosti kroz dobit ili gubitak ili kao instrumenti koji se naknadno mjere po opciji fer vrijednosti kroz ostalu sveobuhvatnu dobit.</w:t>
      </w:r>
    </w:p>
    <w:p w14:paraId="75A55564" w14:textId="77777777" w:rsidR="004E2F51" w:rsidRPr="004B4498" w:rsidRDefault="004E2F51" w:rsidP="004E2F51">
      <w:pPr>
        <w:jc w:val="both"/>
        <w:rPr>
          <w:rFonts w:ascii="Arial" w:hAnsi="Arial" w:cs="Arial"/>
          <w:color w:val="000000" w:themeColor="text1"/>
          <w:sz w:val="20"/>
          <w:szCs w:val="20"/>
          <w:lang w:val="hr-HR" w:eastAsia="hr-HR"/>
        </w:rPr>
      </w:pPr>
    </w:p>
    <w:p w14:paraId="62C9DE0E" w14:textId="77777777" w:rsidR="004E2F51" w:rsidRPr="004B4498" w:rsidRDefault="004E2F51" w:rsidP="004E2F51">
      <w:pPr>
        <w:jc w:val="both"/>
        <w:rPr>
          <w:rFonts w:ascii="Arial" w:hAnsi="Arial" w:cs="Arial"/>
          <w:i/>
          <w:iCs/>
          <w:color w:val="000000" w:themeColor="text1"/>
          <w:sz w:val="20"/>
          <w:szCs w:val="20"/>
          <w:u w:val="single"/>
          <w:lang w:val="hr-HR" w:eastAsia="hr-HR"/>
        </w:rPr>
      </w:pPr>
      <w:r w:rsidRPr="00A873BB">
        <w:rPr>
          <w:rFonts w:ascii="Arial" w:hAnsi="Arial" w:cs="Arial"/>
          <w:i/>
          <w:iCs/>
          <w:color w:val="000000" w:themeColor="text1"/>
          <w:sz w:val="20"/>
          <w:szCs w:val="20"/>
          <w:u w:val="single"/>
          <w:lang w:val="hr-HR" w:eastAsia="hr-HR"/>
        </w:rPr>
        <w:t>Ulaganja u ovisna društva – ostvarivanje kontrole (vidi A. Ovisna društva)</w:t>
      </w:r>
    </w:p>
    <w:p w14:paraId="75589B52" w14:textId="77777777" w:rsidR="004E2F51" w:rsidRPr="004B4498" w:rsidRDefault="004E2F51" w:rsidP="004E2F51">
      <w:pPr>
        <w:jc w:val="both"/>
        <w:rPr>
          <w:rFonts w:ascii="Arial" w:hAnsi="Arial" w:cs="Arial"/>
          <w:color w:val="000000" w:themeColor="text1"/>
          <w:sz w:val="20"/>
          <w:szCs w:val="20"/>
          <w:lang w:val="hr-HR" w:eastAsia="hr-HR"/>
        </w:rPr>
      </w:pPr>
    </w:p>
    <w:p w14:paraId="634B89A1" w14:textId="77777777" w:rsidR="004E2F51" w:rsidRPr="004B4498" w:rsidRDefault="004E2F51" w:rsidP="004E2F51">
      <w:pPr>
        <w:jc w:val="both"/>
        <w:rPr>
          <w:rFonts w:ascii="Arial" w:hAnsi="Arial" w:cs="Arial"/>
          <w:i/>
          <w:iCs/>
          <w:color w:val="000000" w:themeColor="text1"/>
          <w:sz w:val="20"/>
          <w:szCs w:val="20"/>
          <w:u w:val="single"/>
          <w:lang w:val="hr-HR" w:eastAsia="hr-HR"/>
        </w:rPr>
      </w:pPr>
      <w:r w:rsidRPr="004B4498">
        <w:rPr>
          <w:rFonts w:ascii="Arial" w:hAnsi="Arial" w:cs="Arial"/>
          <w:i/>
          <w:iCs/>
          <w:color w:val="000000" w:themeColor="text1"/>
          <w:sz w:val="20"/>
          <w:szCs w:val="20"/>
          <w:u w:val="single"/>
          <w:lang w:val="hr-HR" w:eastAsia="hr-HR"/>
        </w:rPr>
        <w:t>Udjeli u investicijskim fondovima</w:t>
      </w:r>
    </w:p>
    <w:p w14:paraId="63EBD49B"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Udjeli u investicijskim fondovima odnose se na udjele u novčanim ili obvezničkim UCITS otvorenim investicijskim fondovima i udjele u PE/VC alternativnim investicijskim fondovima rizičnog kapitala.</w:t>
      </w:r>
    </w:p>
    <w:p w14:paraId="69482675" w14:textId="77777777" w:rsidR="004E2F51" w:rsidRPr="004B4498" w:rsidRDefault="004E2F51" w:rsidP="004E2F51">
      <w:pPr>
        <w:jc w:val="both"/>
        <w:rPr>
          <w:rFonts w:ascii="Arial" w:hAnsi="Arial" w:cs="Arial"/>
          <w:color w:val="000000" w:themeColor="text1"/>
          <w:sz w:val="20"/>
          <w:szCs w:val="20"/>
          <w:lang w:val="hr-HR" w:eastAsia="hr-HR"/>
        </w:rPr>
      </w:pPr>
    </w:p>
    <w:p w14:paraId="0FF842C7"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Udjeli u investicijskim fondovima prema uvjetima u Metodologiji za klasifikaciju i mjerenje financijskih instrumenata, ne prolaze SPPI test. Sukladno navedenom, klasificiraju se u imovinu koja se naknadno mjeri po fer vrijednosti kroz dobit ili gubitak.</w:t>
      </w:r>
    </w:p>
    <w:p w14:paraId="422691D4" w14:textId="77777777" w:rsidR="004E2F51" w:rsidRPr="004B4498" w:rsidRDefault="004E2F51" w:rsidP="004E2F51">
      <w:pPr>
        <w:jc w:val="both"/>
        <w:rPr>
          <w:rFonts w:ascii="Arial" w:hAnsi="Arial" w:cs="Arial"/>
          <w:color w:val="000000" w:themeColor="text1"/>
          <w:sz w:val="20"/>
          <w:szCs w:val="20"/>
          <w:lang w:val="hr-HR" w:eastAsia="hr-HR"/>
        </w:rPr>
      </w:pPr>
    </w:p>
    <w:p w14:paraId="5CB53B12"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Fer vrijednost udjela u investicijskim fondovima utvrđuje sukladno internim aktima koji uređuju metode vrednovanja financijskih instrumenata (Metodologija vrednovanja financijskih instrumenata) do prestanka priznavanja financijskog instrumenta, a u poslovnima knjigama priznaje se po fer vrijednosti kroz dobit ili gubitak.</w:t>
      </w:r>
    </w:p>
    <w:p w14:paraId="2FA7FF33" w14:textId="77777777" w:rsidR="004E2F51" w:rsidRPr="004B4498" w:rsidRDefault="004E2F51" w:rsidP="004E2F51">
      <w:pPr>
        <w:jc w:val="both"/>
        <w:rPr>
          <w:rFonts w:ascii="Arial" w:hAnsi="Arial" w:cs="Arial"/>
          <w:color w:val="000000" w:themeColor="text1"/>
          <w:sz w:val="20"/>
          <w:szCs w:val="20"/>
          <w:lang w:val="hr-HR" w:eastAsia="hr-HR"/>
        </w:rPr>
      </w:pPr>
    </w:p>
    <w:p w14:paraId="5AF62350" w14:textId="77777777" w:rsidR="004E2F51" w:rsidRPr="004B4498" w:rsidRDefault="004E2F51" w:rsidP="004E2F51">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Derivatni financijski instrumenti</w:t>
      </w:r>
    </w:p>
    <w:p w14:paraId="2FB5A176"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Derivatna financijska imovina odnosi se na FX Forward i FX Swap instrumente ugovorene za potrebe upravljanja valutnim rizikom i rizikom likvidnosti.</w:t>
      </w:r>
    </w:p>
    <w:p w14:paraId="65FFE6D5" w14:textId="77777777" w:rsidR="004E2F51" w:rsidRPr="004B4498" w:rsidRDefault="004E2F51" w:rsidP="004E2F51">
      <w:pPr>
        <w:jc w:val="both"/>
        <w:rPr>
          <w:rFonts w:ascii="Arial" w:hAnsi="Arial" w:cs="Arial"/>
          <w:color w:val="000000" w:themeColor="text1"/>
          <w:sz w:val="20"/>
          <w:szCs w:val="20"/>
          <w:lang w:val="hr-HR" w:eastAsia="hr-HR"/>
        </w:rPr>
      </w:pPr>
    </w:p>
    <w:p w14:paraId="254777B6" w14:textId="77777777" w:rsidR="004E2F51" w:rsidRPr="004B4498" w:rsidRDefault="004E2F51" w:rsidP="004E2F51">
      <w:pPr>
        <w:jc w:val="both"/>
        <w:rPr>
          <w:rFonts w:ascii="Arial" w:hAnsi="Arial" w:cs="Arial"/>
          <w:color w:val="000000" w:themeColor="text1"/>
          <w:sz w:val="20"/>
          <w:szCs w:val="20"/>
          <w:lang w:val="hr-HR" w:eastAsia="hr-HR"/>
        </w:rPr>
      </w:pPr>
      <w:bookmarkStart w:id="676" w:name="_Hlk64987636"/>
      <w:r w:rsidRPr="004B4498">
        <w:rPr>
          <w:rFonts w:ascii="Arial" w:hAnsi="Arial" w:cs="Arial"/>
          <w:color w:val="000000" w:themeColor="text1"/>
          <w:sz w:val="20"/>
          <w:szCs w:val="20"/>
          <w:lang w:val="hr-HR" w:eastAsia="hr-HR"/>
        </w:rPr>
        <w:t>Derivativna financijska imovina alocirana je u poslovni model unutar kojeg se financijska imovina mjeri po fer vrijednosti kroz dobiti ili gubitak</w:t>
      </w:r>
      <w:r w:rsidRPr="004B4498">
        <w:rPr>
          <w:rFonts w:ascii="Arial" w:hAnsi="Arial" w:cs="Arial"/>
          <w:sz w:val="20"/>
          <w:szCs w:val="20"/>
          <w:lang w:val="hr-HR"/>
        </w:rPr>
        <w:t xml:space="preserve"> te, prema uvjetima u Metodologiji za klasifikaciju i mjerenje financijskih instrumenata, ne prolazi SPPI test. Sukladno navedenom, klasificira se u imovinu/obveze koja se naknadno mjeri po fer vrijednosti kroz račun dobiti i gubitka te se vrednuje kao imovina kada je njezina fer vrijednost pozitivna, odnosno, kao obveze kada je negativna.</w:t>
      </w:r>
    </w:p>
    <w:bookmarkEnd w:id="676"/>
    <w:p w14:paraId="41C83E09" w14:textId="77777777" w:rsidR="004E2F51" w:rsidRPr="004B4498" w:rsidRDefault="004E2F51" w:rsidP="004E2F51">
      <w:pPr>
        <w:jc w:val="both"/>
        <w:rPr>
          <w:rFonts w:ascii="Arial" w:hAnsi="Arial" w:cs="Arial"/>
          <w:color w:val="000000" w:themeColor="text1"/>
          <w:sz w:val="20"/>
          <w:szCs w:val="20"/>
          <w:lang w:val="hr-HR" w:eastAsia="hr-HR"/>
        </w:rPr>
        <w:sectPr w:rsidR="004E2F51" w:rsidRPr="004B4498" w:rsidSect="00623DBA">
          <w:footerReference w:type="default" r:id="rId105"/>
          <w:pgSz w:w="11907" w:h="16840" w:code="9"/>
          <w:pgMar w:top="1418" w:right="1134" w:bottom="1134" w:left="1418" w:header="851" w:footer="851" w:gutter="0"/>
          <w:cols w:space="720"/>
          <w:noEndnote/>
        </w:sectPr>
      </w:pPr>
    </w:p>
    <w:p w14:paraId="3A00AC99" w14:textId="77777777" w:rsidR="004E2F51" w:rsidRPr="004B4498" w:rsidRDefault="004E2F51" w:rsidP="004E2F51">
      <w:pPr>
        <w:jc w:val="both"/>
        <w:rPr>
          <w:rFonts w:ascii="Arial" w:hAnsi="Arial" w:cs="Arial"/>
          <w:color w:val="000000" w:themeColor="text1"/>
          <w:sz w:val="20"/>
          <w:szCs w:val="20"/>
          <w:lang w:val="hr-HR" w:eastAsia="hr-HR"/>
        </w:rPr>
      </w:pPr>
    </w:p>
    <w:p w14:paraId="46EA2E71"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21047C1F"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441A6749"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43F933EF" w14:textId="77777777" w:rsidR="004E2F51" w:rsidRPr="004B4498" w:rsidRDefault="004E2F51" w:rsidP="004E2F51">
      <w:pPr>
        <w:jc w:val="both"/>
        <w:rPr>
          <w:rFonts w:ascii="Arial" w:hAnsi="Arial" w:cs="Arial"/>
          <w:b/>
          <w:color w:val="000000" w:themeColor="text1"/>
          <w:sz w:val="20"/>
          <w:szCs w:val="20"/>
          <w:lang w:val="hr-HR"/>
        </w:rPr>
      </w:pPr>
    </w:p>
    <w:p w14:paraId="4A4A3E8D"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1D4E8230" w14:textId="77777777" w:rsidR="004E2F51" w:rsidRPr="004B4498" w:rsidRDefault="004E2F51" w:rsidP="004E2F51">
      <w:pPr>
        <w:jc w:val="both"/>
        <w:rPr>
          <w:rFonts w:ascii="Arial" w:hAnsi="Arial" w:cs="Arial"/>
          <w:b/>
          <w:i/>
          <w:color w:val="000000" w:themeColor="text1"/>
          <w:sz w:val="20"/>
          <w:szCs w:val="20"/>
          <w:lang w:val="hr-HR"/>
        </w:rPr>
      </w:pPr>
    </w:p>
    <w:p w14:paraId="67E5328B" w14:textId="77777777" w:rsidR="004E2F51" w:rsidRPr="004B4498" w:rsidRDefault="004E2F51" w:rsidP="004E2F51">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5ED0E6CB" w14:textId="77777777" w:rsidR="004E2F51" w:rsidRPr="004B4498" w:rsidRDefault="004E2F51" w:rsidP="004E2F51">
      <w:pPr>
        <w:jc w:val="both"/>
        <w:rPr>
          <w:rFonts w:ascii="Arial" w:hAnsi="Arial" w:cs="Arial"/>
          <w:i/>
          <w:iCs/>
          <w:color w:val="000000" w:themeColor="text1"/>
          <w:sz w:val="20"/>
          <w:szCs w:val="20"/>
          <w:lang w:val="hr-HR" w:eastAsia="hr-HR"/>
        </w:rPr>
      </w:pPr>
    </w:p>
    <w:p w14:paraId="0F32F3F5" w14:textId="77777777" w:rsidR="004E2F51" w:rsidRPr="004B4498" w:rsidRDefault="004E2F51" w:rsidP="004E2F51">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Derivatni financijski instrumenti (nastavak)</w:t>
      </w:r>
    </w:p>
    <w:p w14:paraId="30C5BB4C" w14:textId="77777777" w:rsidR="004E2F51" w:rsidRPr="004B4498" w:rsidRDefault="004E2F51" w:rsidP="004E2F51">
      <w:pPr>
        <w:jc w:val="both"/>
        <w:rPr>
          <w:rFonts w:ascii="Arial" w:hAnsi="Arial" w:cs="Arial"/>
          <w:color w:val="000000" w:themeColor="text1"/>
          <w:sz w:val="20"/>
          <w:szCs w:val="20"/>
          <w:lang w:val="hr-HR" w:eastAsia="hr-HR"/>
        </w:rPr>
      </w:pPr>
    </w:p>
    <w:p w14:paraId="2CAF1C6A"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Na datum ugovora na računima izvanbilančne evidencije početno se iskazuje ugovorena vrijednost derivatnih financijskih instrumenata, uz istovremeno priznavanje promjene fer vrijednosti u izvještaju o financijskom položaju i dobiti ili gubitku od promjene fer vrijednosti u računu dobiti i gubitka sve do prestanka priznavanja.</w:t>
      </w:r>
    </w:p>
    <w:p w14:paraId="54E1E520" w14:textId="77777777" w:rsidR="004E2F51" w:rsidRPr="004B4498" w:rsidRDefault="004E2F51" w:rsidP="004E2F51">
      <w:pPr>
        <w:jc w:val="both"/>
        <w:rPr>
          <w:rFonts w:ascii="Arial" w:hAnsi="Arial" w:cs="Arial"/>
          <w:color w:val="000000" w:themeColor="text1"/>
          <w:sz w:val="20"/>
          <w:szCs w:val="20"/>
          <w:lang w:val="hr-HR" w:eastAsia="hr-HR"/>
        </w:rPr>
      </w:pPr>
    </w:p>
    <w:p w14:paraId="791FD590"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Fer vrijednost derivatne financijske imovine utvrđuje se kao sadašnja vrijednost svih budućih novčanih tokova koja se utvrđuje metodologijom propisanom internim aktima koji uređuju metode vrednovanja financijskih instrumenata (Metodologija vrednovanja financijskih instrumenata). </w:t>
      </w:r>
    </w:p>
    <w:p w14:paraId="5550E674" w14:textId="77777777" w:rsidR="004E2F51" w:rsidRPr="004B4498" w:rsidRDefault="004E2F51" w:rsidP="004E2F51">
      <w:pPr>
        <w:jc w:val="both"/>
        <w:rPr>
          <w:rFonts w:ascii="Arial" w:hAnsi="Arial" w:cs="Arial"/>
          <w:color w:val="000000" w:themeColor="text1"/>
          <w:sz w:val="20"/>
          <w:szCs w:val="20"/>
          <w:lang w:val="hr-HR" w:eastAsia="hr-HR"/>
        </w:rPr>
      </w:pPr>
    </w:p>
    <w:p w14:paraId="1BA5D4C6" w14:textId="77777777" w:rsidR="004E2F51" w:rsidRPr="004B4498" w:rsidRDefault="004E2F51" w:rsidP="004E2F51">
      <w:pPr>
        <w:pStyle w:val="T1"/>
        <w:spacing w:before="0" w:after="0" w:line="240" w:lineRule="auto"/>
        <w:rPr>
          <w:rFonts w:cs="Arial"/>
          <w:b w:val="0"/>
          <w:bCs w:val="0"/>
          <w:sz w:val="20"/>
        </w:rPr>
      </w:pPr>
      <w:r w:rsidRPr="004B4498">
        <w:rPr>
          <w:rFonts w:cs="Arial"/>
          <w:b w:val="0"/>
          <w:bCs w:val="0"/>
          <w:sz w:val="20"/>
        </w:rPr>
        <w:t>HBOR ne drži ili izdaje izvedene financijske instrumente u spekulativne svrhe.</w:t>
      </w:r>
    </w:p>
    <w:p w14:paraId="43E0613C"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11FF0235"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Niti jedan od tih instrumenata ne ispunjava uvjete instrumenta zaštite sukladno MSFI-ju 9.</w:t>
      </w:r>
    </w:p>
    <w:p w14:paraId="7F0462B3" w14:textId="77777777" w:rsidR="004E2F51" w:rsidRPr="004B4498" w:rsidRDefault="004E2F51" w:rsidP="004E2F51">
      <w:pPr>
        <w:pStyle w:val="accountingpolicytitle"/>
        <w:rPr>
          <w:rFonts w:cs="Arial"/>
          <w:b w:val="0"/>
          <w:color w:val="000000" w:themeColor="text1"/>
          <w:sz w:val="20"/>
          <w:lang w:val="hr-HR"/>
        </w:rPr>
      </w:pPr>
    </w:p>
    <w:p w14:paraId="664B56C0" w14:textId="77777777" w:rsidR="004E2F51" w:rsidRPr="004B4498" w:rsidRDefault="004E2F51" w:rsidP="004E2F51">
      <w:pPr>
        <w:pStyle w:val="accountingpolicytitle"/>
        <w:rPr>
          <w:rFonts w:cs="Arial"/>
          <w:b w:val="0"/>
          <w:color w:val="000000" w:themeColor="text1"/>
          <w:sz w:val="20"/>
          <w:lang w:val="hr-HR"/>
        </w:rPr>
      </w:pPr>
      <w:bookmarkStart w:id="677" w:name="_Hlk64987744"/>
      <w:r w:rsidRPr="004B4498">
        <w:rPr>
          <w:rFonts w:cs="Arial"/>
          <w:b w:val="0"/>
          <w:color w:val="000000" w:themeColor="text1"/>
          <w:sz w:val="20"/>
          <w:lang w:val="hr-HR"/>
        </w:rPr>
        <w:t>Derivativni financijski instrumenti – pozitivna fer vrijednost iskazuju se u bilješci Financijska imovina po fer vrijednosti kroz dobit ili gubitak, dok se derivativni financijski instrumenti – negativna fer vrijednost iskazuju u bilješci Ostale obveze, zbog nematerijalnog iznosa.</w:t>
      </w:r>
    </w:p>
    <w:bookmarkEnd w:id="677"/>
    <w:p w14:paraId="734BE8FA" w14:textId="77777777" w:rsidR="004E2F51" w:rsidRPr="004B4498" w:rsidRDefault="004E2F51" w:rsidP="004E2F51">
      <w:pPr>
        <w:jc w:val="both"/>
        <w:rPr>
          <w:rFonts w:ascii="Arial" w:hAnsi="Arial" w:cs="Arial"/>
          <w:color w:val="000000" w:themeColor="text1"/>
          <w:sz w:val="20"/>
          <w:szCs w:val="20"/>
          <w:lang w:val="hr-HR" w:eastAsia="hr-HR"/>
        </w:rPr>
      </w:pPr>
    </w:p>
    <w:p w14:paraId="4235A7DF" w14:textId="77777777" w:rsidR="004E2F51" w:rsidRPr="004B4498" w:rsidRDefault="004E2F51" w:rsidP="004E2F51">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Ostala potraživanja</w:t>
      </w:r>
    </w:p>
    <w:p w14:paraId="1F75E2F7"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Ostala potraživanja uključuju dospjela i nedospjela potraživanja po obračunatim nekamatnim prihodima s temelja provizija i naknada te ostala potraživanja koja nisu uključena u ostale pozicije: dani predujmovi za kratkotrajnu imovinu dobavljačima, potraživanja od kupaca, pojedine preplate i sredstva u obračunu. </w:t>
      </w:r>
    </w:p>
    <w:p w14:paraId="0890E61D" w14:textId="77777777" w:rsidR="004E2F51" w:rsidRPr="004B4498" w:rsidRDefault="004E2F51" w:rsidP="004E2F51">
      <w:pPr>
        <w:jc w:val="both"/>
        <w:rPr>
          <w:rFonts w:ascii="Arial" w:hAnsi="Arial" w:cs="Arial"/>
          <w:color w:val="000000" w:themeColor="text1"/>
          <w:sz w:val="20"/>
          <w:szCs w:val="20"/>
          <w:lang w:val="hr-HR" w:eastAsia="hr-HR"/>
        </w:rPr>
      </w:pPr>
    </w:p>
    <w:p w14:paraId="39D8ABD8"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Potraživanjima po osnovi naknada koja imaju karakter nekamatnih prihoda smatraju se naknade za izdane garancije, naknade za upravljanje zajmovima u ime i za račun drugih osoba, naknade za obavljanje usluga platnog prometa, ostale naknade koje imaju nekamatni karakter.</w:t>
      </w:r>
    </w:p>
    <w:p w14:paraId="484557FB" w14:textId="77777777" w:rsidR="004E2F51" w:rsidRPr="004B4498" w:rsidRDefault="004E2F51" w:rsidP="004E2F51">
      <w:pPr>
        <w:jc w:val="both"/>
        <w:rPr>
          <w:rFonts w:ascii="Arial" w:hAnsi="Arial" w:cs="Arial"/>
          <w:color w:val="000000" w:themeColor="text1"/>
          <w:sz w:val="20"/>
          <w:szCs w:val="20"/>
          <w:lang w:val="hr-HR" w:eastAsia="hr-HR"/>
        </w:rPr>
      </w:pPr>
    </w:p>
    <w:p w14:paraId="274D2235"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Ostala potraživanja dospijevaju u roku od godine dana i kraće te se smatraju kratkoročnim potraživanjima koja se priznaju u Izvještaju o financijskom položaju kao nedospjelo potraživanje ili na dan dospijeća po načelu fakturirane realizacije.</w:t>
      </w:r>
    </w:p>
    <w:p w14:paraId="552625EB" w14:textId="77777777" w:rsidR="004E2F51" w:rsidRPr="004B4498" w:rsidRDefault="004E2F51" w:rsidP="004E2F51">
      <w:pPr>
        <w:jc w:val="both"/>
        <w:rPr>
          <w:rFonts w:ascii="Arial" w:hAnsi="Arial" w:cs="Arial"/>
          <w:color w:val="000000" w:themeColor="text1"/>
          <w:sz w:val="20"/>
          <w:szCs w:val="20"/>
          <w:lang w:val="hr-HR" w:eastAsia="hr-HR"/>
        </w:rPr>
      </w:pPr>
    </w:p>
    <w:p w14:paraId="338979F8"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Ostala potraživanja alocirana su u poslovni model čiji je cilj držanje imovine radi naplate ugovorenih novčanih tokova te, prema uvjetima u Metodologiji za klasifikaciju i mjerenje financijskih instrumenata, prolaze SPPI test. Sukladno navedenom, ostala potraživanja klasificiraju se u imovinu koja se naknadno mjeri po amortiziranom trošku.</w:t>
      </w:r>
    </w:p>
    <w:p w14:paraId="3C18F184" w14:textId="77777777" w:rsidR="004E2F51" w:rsidRPr="004B4498" w:rsidRDefault="004E2F51" w:rsidP="004E2F51">
      <w:pPr>
        <w:jc w:val="both"/>
        <w:rPr>
          <w:rFonts w:ascii="Arial" w:hAnsi="Arial" w:cs="Arial"/>
          <w:color w:val="000000" w:themeColor="text1"/>
          <w:sz w:val="20"/>
          <w:szCs w:val="20"/>
          <w:lang w:val="hr-HR" w:eastAsia="hr-HR"/>
        </w:rPr>
      </w:pPr>
    </w:p>
    <w:p w14:paraId="23F6274D" w14:textId="77777777" w:rsidR="004E2F51" w:rsidRPr="004B4498" w:rsidRDefault="004E2F51" w:rsidP="004E2F51">
      <w:pPr>
        <w:jc w:val="both"/>
        <w:rPr>
          <w:rFonts w:ascii="Arial" w:hAnsi="Arial" w:cs="Arial"/>
          <w:color w:val="000000" w:themeColor="text1"/>
          <w:sz w:val="20"/>
          <w:szCs w:val="20"/>
          <w:lang w:val="hr-HR" w:eastAsia="hr-HR"/>
        </w:rPr>
        <w:sectPr w:rsidR="004E2F51" w:rsidRPr="004B4498" w:rsidSect="00623DBA">
          <w:footerReference w:type="default" r:id="rId106"/>
          <w:pgSz w:w="11907" w:h="16840" w:code="9"/>
          <w:pgMar w:top="1418" w:right="1134" w:bottom="1134" w:left="1418" w:header="851" w:footer="851" w:gutter="0"/>
          <w:cols w:space="720"/>
          <w:noEndnote/>
        </w:sectPr>
      </w:pPr>
      <w:r w:rsidRPr="004B4498">
        <w:rPr>
          <w:rFonts w:ascii="Arial" w:hAnsi="Arial" w:cs="Arial"/>
          <w:color w:val="000000" w:themeColor="text1"/>
          <w:sz w:val="20"/>
          <w:szCs w:val="20"/>
          <w:lang w:val="hr-HR" w:eastAsia="hr-HR"/>
        </w:rPr>
        <w:t xml:space="preserve">Umanjenje vrijednosti ostalih potraživanja utvrđuje se u visini očekivanih kreditnih gubitaka, ali se ne diskontira na sadašnju vrijednost u skladu sa kratkoročnim karakterom ove financijske imovine.  </w:t>
      </w:r>
    </w:p>
    <w:p w14:paraId="354E805A" w14:textId="77777777" w:rsidR="004E2F51" w:rsidRPr="004B4498" w:rsidRDefault="004E2F51" w:rsidP="004E2F51">
      <w:pPr>
        <w:jc w:val="both"/>
        <w:rPr>
          <w:rFonts w:ascii="Arial" w:hAnsi="Arial" w:cs="Arial"/>
          <w:color w:val="000000" w:themeColor="text1"/>
          <w:sz w:val="20"/>
          <w:szCs w:val="20"/>
          <w:lang w:val="hr-HR" w:eastAsia="hr-HR"/>
        </w:rPr>
      </w:pPr>
    </w:p>
    <w:p w14:paraId="1F9ECC32"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2A0C694A"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39300E88"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03AA384C" w14:textId="77777777" w:rsidR="004E2F51" w:rsidRPr="004B4498" w:rsidRDefault="004E2F51" w:rsidP="004E2F51">
      <w:pPr>
        <w:jc w:val="both"/>
        <w:rPr>
          <w:rFonts w:ascii="Arial" w:hAnsi="Arial" w:cs="Arial"/>
          <w:b/>
          <w:color w:val="000000" w:themeColor="text1"/>
          <w:sz w:val="20"/>
          <w:szCs w:val="20"/>
          <w:lang w:val="hr-HR"/>
        </w:rPr>
      </w:pPr>
    </w:p>
    <w:p w14:paraId="343E7AA0"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G. Financijska imovina i financijske obveze (nastavak)</w:t>
      </w:r>
    </w:p>
    <w:p w14:paraId="5BF31CBF" w14:textId="77777777" w:rsidR="004E2F51" w:rsidRPr="004B4498" w:rsidRDefault="004E2F51" w:rsidP="004E2F51">
      <w:pPr>
        <w:jc w:val="both"/>
        <w:rPr>
          <w:rFonts w:ascii="Arial" w:hAnsi="Arial" w:cs="Arial"/>
          <w:b/>
          <w:i/>
          <w:color w:val="000000" w:themeColor="text1"/>
          <w:sz w:val="20"/>
          <w:szCs w:val="20"/>
          <w:lang w:val="hr-HR"/>
        </w:rPr>
      </w:pPr>
    </w:p>
    <w:p w14:paraId="18A2B650" w14:textId="77777777" w:rsidR="004E2F51" w:rsidRPr="004B4498" w:rsidRDefault="004E2F51" w:rsidP="004E2F51">
      <w:pPr>
        <w:jc w:val="both"/>
        <w:rPr>
          <w:rFonts w:ascii="Arial" w:hAnsi="Arial" w:cs="Arial"/>
          <w:b/>
          <w:i/>
          <w:color w:val="000000" w:themeColor="text1"/>
          <w:sz w:val="20"/>
          <w:szCs w:val="20"/>
          <w:lang w:val="hr-HR"/>
        </w:rPr>
      </w:pPr>
      <w:r w:rsidRPr="004B4498">
        <w:rPr>
          <w:rFonts w:ascii="Arial" w:hAnsi="Arial" w:cs="Arial"/>
          <w:b/>
          <w:i/>
          <w:color w:val="000000" w:themeColor="text1"/>
          <w:sz w:val="20"/>
          <w:szCs w:val="20"/>
          <w:lang w:val="hr-HR"/>
        </w:rPr>
        <w:t>x. Financijska imovina – kategorije (nastavak)</w:t>
      </w:r>
    </w:p>
    <w:p w14:paraId="3538D642" w14:textId="77777777" w:rsidR="004E2F51" w:rsidRPr="004B4498" w:rsidRDefault="004E2F51" w:rsidP="004E2F51">
      <w:pPr>
        <w:jc w:val="both"/>
        <w:rPr>
          <w:rFonts w:ascii="Arial" w:hAnsi="Arial" w:cs="Arial"/>
          <w:i/>
          <w:color w:val="000000" w:themeColor="text1"/>
          <w:sz w:val="20"/>
          <w:szCs w:val="20"/>
          <w:lang w:val="hr-HR"/>
        </w:rPr>
      </w:pPr>
    </w:p>
    <w:p w14:paraId="6080687C" w14:textId="77777777" w:rsidR="004E2F51" w:rsidRPr="004B4498" w:rsidRDefault="004E2F51" w:rsidP="004E2F51">
      <w:pPr>
        <w:jc w:val="both"/>
        <w:rPr>
          <w:rFonts w:ascii="Arial" w:hAnsi="Arial" w:cs="Arial"/>
          <w:i/>
          <w:iCs/>
          <w:color w:val="000000" w:themeColor="text1"/>
          <w:sz w:val="20"/>
          <w:szCs w:val="20"/>
          <w:lang w:val="hr-HR" w:eastAsia="hr-HR"/>
        </w:rPr>
      </w:pPr>
      <w:r w:rsidRPr="004B4498">
        <w:rPr>
          <w:rFonts w:ascii="Arial" w:hAnsi="Arial" w:cs="Arial"/>
          <w:i/>
          <w:iCs/>
          <w:color w:val="000000" w:themeColor="text1"/>
          <w:sz w:val="20"/>
          <w:szCs w:val="20"/>
          <w:lang w:val="hr-HR" w:eastAsia="hr-HR"/>
        </w:rPr>
        <w:t>Ostala potraživanja (nastavak)</w:t>
      </w:r>
    </w:p>
    <w:p w14:paraId="393533F7"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Umanjenje vrijednosti provodi se primjenom pojednostavljenog pristupa umanjenja vrijednosti (</w:t>
      </w:r>
      <w:r w:rsidRPr="00A873BB">
        <w:rPr>
          <w:rFonts w:ascii="Arial" w:hAnsi="Arial" w:cs="Arial"/>
          <w:color w:val="000000" w:themeColor="text1"/>
          <w:sz w:val="20"/>
          <w:szCs w:val="20"/>
          <w:lang w:val="hr-HR" w:eastAsia="hr-HR"/>
        </w:rPr>
        <w:t>vidi G.ix.</w:t>
      </w:r>
      <w:r w:rsidRPr="004B4498">
        <w:rPr>
          <w:rFonts w:ascii="Arial" w:hAnsi="Arial" w:cs="Arial"/>
          <w:color w:val="000000" w:themeColor="text1"/>
          <w:sz w:val="20"/>
          <w:szCs w:val="20"/>
          <w:lang w:val="hr-HR" w:eastAsia="hr-HR"/>
        </w:rPr>
        <w:t xml:space="preserve"> Umanjenje vrijednosti – pojednostavljeni pristup).</w:t>
      </w:r>
    </w:p>
    <w:p w14:paraId="4917592E" w14:textId="77777777" w:rsidR="004E2F51" w:rsidRPr="004B4498" w:rsidRDefault="004E2F51" w:rsidP="004E2F51">
      <w:pPr>
        <w:jc w:val="both"/>
        <w:rPr>
          <w:rFonts w:ascii="Arial" w:hAnsi="Arial" w:cs="Arial"/>
          <w:color w:val="000000" w:themeColor="text1"/>
          <w:sz w:val="20"/>
          <w:szCs w:val="20"/>
          <w:lang w:val="hr-HR" w:eastAsia="hr-HR"/>
        </w:rPr>
      </w:pPr>
    </w:p>
    <w:p w14:paraId="1FC51A5F" w14:textId="77777777" w:rsidR="004E2F51" w:rsidRPr="004B4498" w:rsidRDefault="004E2F51" w:rsidP="004E2F51">
      <w:pPr>
        <w:jc w:val="both"/>
        <w:rPr>
          <w:rFonts w:ascii="Arial" w:hAnsi="Arial" w:cs="Arial"/>
          <w:color w:val="000000" w:themeColor="text1"/>
          <w:sz w:val="20"/>
          <w:szCs w:val="20"/>
          <w:lang w:val="hr-HR" w:eastAsia="hr-HR"/>
        </w:rPr>
      </w:pPr>
      <w:r w:rsidRPr="004B4498">
        <w:rPr>
          <w:rFonts w:ascii="Arial" w:hAnsi="Arial" w:cs="Arial"/>
          <w:color w:val="000000" w:themeColor="text1"/>
          <w:sz w:val="20"/>
          <w:szCs w:val="20"/>
          <w:lang w:val="hr-HR" w:eastAsia="hr-HR"/>
        </w:rPr>
        <w:t xml:space="preserve">Na dospjela nenaplaćena potraživanja po ostalim potraživanjima obračunava se ugovorena zatezna kamata, a u slučaju da ista nije ugovorena, obračunava se zakonska zatezna kamata. </w:t>
      </w:r>
    </w:p>
    <w:p w14:paraId="67916E20" w14:textId="77777777" w:rsidR="004E2F51" w:rsidRPr="004B4498" w:rsidRDefault="004E2F51" w:rsidP="004E2F51">
      <w:pPr>
        <w:jc w:val="both"/>
        <w:rPr>
          <w:rFonts w:ascii="Arial" w:hAnsi="Arial" w:cs="Arial"/>
          <w:color w:val="000000" w:themeColor="text1"/>
          <w:sz w:val="20"/>
          <w:szCs w:val="20"/>
          <w:lang w:val="hr-HR" w:eastAsia="hr-HR"/>
        </w:rPr>
      </w:pPr>
    </w:p>
    <w:p w14:paraId="513AA3A1" w14:textId="77777777" w:rsidR="004E2F51" w:rsidRPr="004B4498" w:rsidRDefault="004E2F51" w:rsidP="004E2F51">
      <w:pPr>
        <w:pStyle w:val="accountingpolicytitle"/>
        <w:rPr>
          <w:rFonts w:cs="Arial"/>
          <w:color w:val="000000" w:themeColor="text1"/>
          <w:sz w:val="20"/>
          <w:lang w:val="hr-HR"/>
        </w:rPr>
      </w:pPr>
      <w:r w:rsidRPr="004B4498">
        <w:rPr>
          <w:rFonts w:cs="Arial"/>
          <w:color w:val="000000" w:themeColor="text1"/>
          <w:sz w:val="20"/>
          <w:lang w:val="hr-HR"/>
        </w:rPr>
        <w:t>H. Nekretnine, postrojenja i oprema i nematerijalna imovina</w:t>
      </w:r>
    </w:p>
    <w:p w14:paraId="51A447CE"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26638E64" w14:textId="77777777" w:rsidR="004E2F51" w:rsidRPr="004B4498" w:rsidRDefault="004E2F51" w:rsidP="004E2F51">
      <w:pPr>
        <w:pStyle w:val="HTMLPreformatted"/>
        <w:jc w:val="both"/>
        <w:rPr>
          <w:rFonts w:ascii="Arial" w:hAnsi="Arial" w:cs="Arial"/>
          <w:color w:val="000000" w:themeColor="text1"/>
        </w:rPr>
      </w:pPr>
      <w:r w:rsidRPr="004B4498">
        <w:rPr>
          <w:rFonts w:ascii="Arial" w:hAnsi="Arial" w:cs="Arial"/>
          <w:color w:val="000000" w:themeColor="text1"/>
        </w:rPr>
        <w:t>Nekretnine i oprema iskazuju se po trošku nabave umanjenom za akumuliranu amortizaciju i akumulirane gubitke od umanjenja vrijednosti.</w:t>
      </w:r>
    </w:p>
    <w:p w14:paraId="545A6306" w14:textId="77777777" w:rsidR="004E2F51" w:rsidRPr="004B4498" w:rsidRDefault="004E2F51" w:rsidP="004E2F51">
      <w:pPr>
        <w:pStyle w:val="HTMLPreformatted"/>
        <w:jc w:val="both"/>
        <w:rPr>
          <w:rFonts w:ascii="Arial" w:hAnsi="Arial" w:cs="Arial"/>
          <w:color w:val="000000" w:themeColor="text1"/>
        </w:rPr>
      </w:pPr>
    </w:p>
    <w:p w14:paraId="2A95CF13" w14:textId="77777777" w:rsidR="004E2F51" w:rsidRPr="004B4498" w:rsidRDefault="004E2F51" w:rsidP="004E2F51">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Kupljeni softver koji je sastavni dio funkcionalnosti povezane opreme kapitalizira se kao dio te opreme.</w:t>
      </w:r>
    </w:p>
    <w:p w14:paraId="5035C2F9"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3985B7B4" w14:textId="77777777" w:rsidR="004E2F51" w:rsidRPr="004B4498" w:rsidRDefault="004E2F51" w:rsidP="004E2F51">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Ako značajni dijelovi nekretnina ili opreme imaju različiti korisni vijek trajanja, tada se iskazuju kao zasebne stavke (glavne komponente) nekretnina i opreme.</w:t>
      </w:r>
    </w:p>
    <w:p w14:paraId="59E547C9"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4BFFCA3A"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color w:val="000000" w:themeColor="text1"/>
          <w:sz w:val="20"/>
          <w:lang w:val="hr-HR"/>
        </w:rPr>
        <w:t>Svaki dobitak ili gubitak od prodaje nekretnina i opreme priznaje se u okviru ostalih prihoda u dobiti ili gubitku. Naknadni izdaci kapitaliziraju se samo kada je vjerojatno da će nastati buduće ekonomske koristi od rashoda za Grupu. Tekući popravci i održavanje se priznaju kao trošak u trenutku nastanka.</w:t>
      </w:r>
    </w:p>
    <w:p w14:paraId="2EFDF59A"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5FC3E950" w14:textId="77777777" w:rsidR="004E2F51" w:rsidRPr="004B4498" w:rsidRDefault="004E2F51" w:rsidP="004E2F51">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Amortizacija se obračunava tako da se trošak nabave nekretnina i opreme umanjuje za procijenjenu rezidualnu vrijednost primjenom linearne metode tijekom njihovog procijenjenog korisnog vijeka trajanja i priznaje se u dobiti ili gubitak.</w:t>
      </w:r>
    </w:p>
    <w:p w14:paraId="79DA9021"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50D83BAC" w14:textId="77777777" w:rsidR="004E2F51" w:rsidRPr="004B4498" w:rsidRDefault="004E2F51" w:rsidP="004E2F51">
      <w:pPr>
        <w:pStyle w:val="HTMLPreformatted"/>
        <w:rPr>
          <w:rFonts w:ascii="Arial" w:hAnsi="Arial" w:cs="Arial"/>
          <w:color w:val="000000" w:themeColor="text1"/>
        </w:rPr>
      </w:pPr>
      <w:r w:rsidRPr="004B4498">
        <w:rPr>
          <w:rFonts w:ascii="Arial" w:hAnsi="Arial" w:cs="Arial"/>
          <w:color w:val="000000" w:themeColor="text1"/>
        </w:rPr>
        <w:t>Zemljište se ne amortizira.</w:t>
      </w:r>
    </w:p>
    <w:p w14:paraId="12760EBA" w14:textId="77777777" w:rsidR="004E2F51" w:rsidRPr="004B4498" w:rsidRDefault="004E2F51" w:rsidP="004E2F51">
      <w:pPr>
        <w:pStyle w:val="T1"/>
        <w:spacing w:before="0" w:after="0" w:line="240" w:lineRule="auto"/>
        <w:rPr>
          <w:rFonts w:cs="Arial"/>
          <w:b w:val="0"/>
          <w:bCs w:val="0"/>
          <w:color w:val="222222"/>
          <w:sz w:val="20"/>
          <w:lang w:val="hr-HR"/>
        </w:rPr>
      </w:pPr>
    </w:p>
    <w:p w14:paraId="561FB5DC" w14:textId="77777777" w:rsidR="004E2F51" w:rsidRPr="004B4498" w:rsidRDefault="004E2F51" w:rsidP="004E2F51">
      <w:pPr>
        <w:pStyle w:val="T1"/>
        <w:spacing w:before="0" w:after="0" w:line="240" w:lineRule="auto"/>
        <w:rPr>
          <w:rFonts w:cs="Arial"/>
          <w:b w:val="0"/>
          <w:sz w:val="20"/>
          <w:lang w:val="hr-HR"/>
        </w:rPr>
      </w:pPr>
      <w:r w:rsidRPr="004B4498">
        <w:rPr>
          <w:rFonts w:cs="Arial"/>
          <w:b w:val="0"/>
          <w:bCs w:val="0"/>
          <w:color w:val="222222"/>
          <w:sz w:val="20"/>
          <w:lang w:val="hr-HR"/>
        </w:rPr>
        <w:t>Procijenjeni korisni vijek trajanja je sljedeći:</w:t>
      </w:r>
    </w:p>
    <w:p w14:paraId="19908CEB" w14:textId="77777777" w:rsidR="004E2F51" w:rsidRPr="004B4498" w:rsidRDefault="004E2F51" w:rsidP="004E2F51">
      <w:pPr>
        <w:pStyle w:val="HTMLPreformatted"/>
        <w:rPr>
          <w:rFonts w:ascii="Arial" w:hAnsi="Arial" w:cs="Arial"/>
          <w:color w:val="000000" w:themeColor="text1"/>
        </w:rPr>
      </w:pPr>
    </w:p>
    <w:tbl>
      <w:tblPr>
        <w:tblW w:w="5000" w:type="pct"/>
        <w:tblLayout w:type="fixed"/>
        <w:tblLook w:val="0000" w:firstRow="0" w:lastRow="0" w:firstColumn="0" w:lastColumn="0" w:noHBand="0" w:noVBand="0"/>
      </w:tblPr>
      <w:tblGrid>
        <w:gridCol w:w="3873"/>
        <w:gridCol w:w="1371"/>
        <w:gridCol w:w="1370"/>
        <w:gridCol w:w="1371"/>
        <w:gridCol w:w="1370"/>
      </w:tblGrid>
      <w:tr w:rsidR="004E2F51" w:rsidRPr="00C25BBA" w14:paraId="2746F61E" w14:textId="77777777" w:rsidTr="00E032FC">
        <w:tc>
          <w:tcPr>
            <w:tcW w:w="2070" w:type="pct"/>
          </w:tcPr>
          <w:p w14:paraId="597ADE99" w14:textId="77777777" w:rsidR="004E2F51" w:rsidRPr="004B4498" w:rsidRDefault="004E2F51" w:rsidP="00E032FC">
            <w:pPr>
              <w:pStyle w:val="TT"/>
              <w:spacing w:line="240" w:lineRule="auto"/>
              <w:jc w:val="both"/>
              <w:rPr>
                <w:rFonts w:cs="Arial"/>
                <w:sz w:val="20"/>
                <w:lang w:val="hr-HR"/>
              </w:rPr>
            </w:pPr>
          </w:p>
        </w:tc>
        <w:tc>
          <w:tcPr>
            <w:tcW w:w="1465" w:type="pct"/>
            <w:gridSpan w:val="2"/>
            <w:vAlign w:val="bottom"/>
          </w:tcPr>
          <w:p w14:paraId="59BA7B82" w14:textId="77777777" w:rsidR="004E2F51" w:rsidRPr="004B4498" w:rsidRDefault="004E2F51" w:rsidP="00E032FC">
            <w:pPr>
              <w:pStyle w:val="TT"/>
              <w:spacing w:line="240" w:lineRule="auto"/>
              <w:jc w:val="right"/>
              <w:rPr>
                <w:rFonts w:cs="Arial"/>
                <w:b/>
                <w:sz w:val="20"/>
                <w:lang w:val="hr-HR"/>
              </w:rPr>
            </w:pPr>
            <w:r w:rsidRPr="004B4498">
              <w:rPr>
                <w:rFonts w:cs="Arial"/>
                <w:b/>
                <w:sz w:val="20"/>
                <w:lang w:val="hr-HR"/>
              </w:rPr>
              <w:t>202</w:t>
            </w:r>
            <w:r>
              <w:rPr>
                <w:rFonts w:cs="Arial"/>
                <w:b/>
                <w:sz w:val="20"/>
                <w:lang w:val="hr-HR"/>
              </w:rPr>
              <w:t>2</w:t>
            </w:r>
            <w:r w:rsidRPr="004B4498">
              <w:rPr>
                <w:rFonts w:cs="Arial"/>
                <w:b/>
                <w:sz w:val="20"/>
                <w:lang w:val="hr-HR"/>
              </w:rPr>
              <w:t>.</w:t>
            </w:r>
          </w:p>
        </w:tc>
        <w:tc>
          <w:tcPr>
            <w:tcW w:w="1465" w:type="pct"/>
            <w:gridSpan w:val="2"/>
            <w:vAlign w:val="bottom"/>
          </w:tcPr>
          <w:p w14:paraId="62210197" w14:textId="77777777" w:rsidR="004E2F51" w:rsidRPr="004B4498" w:rsidRDefault="004E2F51" w:rsidP="00E032FC">
            <w:pPr>
              <w:pStyle w:val="TT"/>
              <w:spacing w:line="240" w:lineRule="auto"/>
              <w:jc w:val="right"/>
              <w:rPr>
                <w:rFonts w:cs="Arial"/>
                <w:b/>
                <w:sz w:val="20"/>
                <w:lang w:val="hr-HR"/>
              </w:rPr>
            </w:pPr>
            <w:bookmarkStart w:id="678" w:name="_Toc67327355"/>
            <w:bookmarkStart w:id="679" w:name="_Toc67327356"/>
            <w:r w:rsidRPr="004B4498">
              <w:rPr>
                <w:rFonts w:cs="Arial"/>
                <w:b/>
                <w:sz w:val="20"/>
                <w:lang w:val="hr-HR"/>
              </w:rPr>
              <w:t>202</w:t>
            </w:r>
            <w:r>
              <w:rPr>
                <w:rFonts w:cs="Arial"/>
                <w:b/>
                <w:sz w:val="20"/>
                <w:lang w:val="hr-HR"/>
              </w:rPr>
              <w:t>1</w:t>
            </w:r>
            <w:r w:rsidRPr="004B4498">
              <w:rPr>
                <w:rFonts w:cs="Arial"/>
                <w:b/>
                <w:sz w:val="20"/>
                <w:lang w:val="hr-HR"/>
              </w:rPr>
              <w:t>.</w:t>
            </w:r>
            <w:bookmarkEnd w:id="678"/>
            <w:bookmarkEnd w:id="679"/>
          </w:p>
        </w:tc>
      </w:tr>
      <w:tr w:rsidR="004E2F51" w:rsidRPr="00C25BBA" w14:paraId="2B617757" w14:textId="77777777" w:rsidTr="00E032FC">
        <w:trPr>
          <w:trHeight w:val="293"/>
        </w:trPr>
        <w:tc>
          <w:tcPr>
            <w:tcW w:w="2070" w:type="pct"/>
          </w:tcPr>
          <w:p w14:paraId="685CA4D4" w14:textId="77777777" w:rsidR="004E2F51" w:rsidRPr="004B4498" w:rsidRDefault="004E2F51" w:rsidP="00E032FC">
            <w:pPr>
              <w:pStyle w:val="TT"/>
              <w:spacing w:line="240" w:lineRule="auto"/>
              <w:jc w:val="both"/>
              <w:rPr>
                <w:rFonts w:cs="Arial"/>
                <w:sz w:val="20"/>
                <w:lang w:val="hr-HR"/>
              </w:rPr>
            </w:pPr>
          </w:p>
        </w:tc>
        <w:tc>
          <w:tcPr>
            <w:tcW w:w="733" w:type="pct"/>
            <w:vAlign w:val="bottom"/>
          </w:tcPr>
          <w:p w14:paraId="452C413E" w14:textId="77777777" w:rsidR="004E2F51" w:rsidRPr="004B4498" w:rsidRDefault="004E2F51" w:rsidP="00E032FC">
            <w:pPr>
              <w:pStyle w:val="TT"/>
              <w:spacing w:line="240" w:lineRule="auto"/>
              <w:jc w:val="right"/>
              <w:rPr>
                <w:rFonts w:cs="Arial"/>
                <w:sz w:val="20"/>
                <w:lang w:val="hr-HR"/>
              </w:rPr>
            </w:pPr>
            <w:bookmarkStart w:id="680" w:name="_Toc67327357"/>
            <w:r w:rsidRPr="004B4498">
              <w:rPr>
                <w:rFonts w:cs="Arial"/>
                <w:sz w:val="20"/>
                <w:lang w:val="hr-HR"/>
              </w:rPr>
              <w:t>Korisni vijek trajanja izražen u godinama</w:t>
            </w:r>
            <w:bookmarkEnd w:id="680"/>
          </w:p>
        </w:tc>
        <w:tc>
          <w:tcPr>
            <w:tcW w:w="732" w:type="pct"/>
          </w:tcPr>
          <w:p w14:paraId="4DCFB466" w14:textId="77777777" w:rsidR="004E2F51" w:rsidRPr="004B4498" w:rsidRDefault="004E2F51" w:rsidP="00E032FC">
            <w:pPr>
              <w:pStyle w:val="TT"/>
              <w:spacing w:line="240" w:lineRule="auto"/>
              <w:jc w:val="right"/>
              <w:rPr>
                <w:rFonts w:cs="Arial"/>
                <w:sz w:val="20"/>
                <w:lang w:val="hr-HR"/>
              </w:rPr>
            </w:pPr>
            <w:bookmarkStart w:id="681" w:name="_Toc67327358"/>
            <w:r w:rsidRPr="004B4498">
              <w:rPr>
                <w:rFonts w:cs="Arial"/>
                <w:sz w:val="20"/>
                <w:lang w:val="hr-HR"/>
              </w:rPr>
              <w:t>Godišnje stope amortizacije</w:t>
            </w:r>
            <w:bookmarkEnd w:id="681"/>
          </w:p>
        </w:tc>
        <w:tc>
          <w:tcPr>
            <w:tcW w:w="733" w:type="pct"/>
            <w:vAlign w:val="bottom"/>
          </w:tcPr>
          <w:p w14:paraId="344894D5" w14:textId="77777777" w:rsidR="004E2F51" w:rsidRPr="004B4498" w:rsidRDefault="004E2F51" w:rsidP="00E032FC">
            <w:pPr>
              <w:pStyle w:val="TT"/>
              <w:spacing w:line="240" w:lineRule="auto"/>
              <w:jc w:val="right"/>
              <w:rPr>
                <w:rFonts w:cs="Arial"/>
                <w:sz w:val="20"/>
                <w:lang w:val="hr-HR"/>
              </w:rPr>
            </w:pPr>
            <w:bookmarkStart w:id="682" w:name="_Toc67327359"/>
            <w:r w:rsidRPr="004B4498">
              <w:rPr>
                <w:rFonts w:cs="Arial"/>
                <w:sz w:val="20"/>
                <w:lang w:val="hr-HR"/>
              </w:rPr>
              <w:t>Korisni vijek trajanja izražen u godinama</w:t>
            </w:r>
            <w:bookmarkEnd w:id="682"/>
          </w:p>
        </w:tc>
        <w:tc>
          <w:tcPr>
            <w:tcW w:w="732" w:type="pct"/>
          </w:tcPr>
          <w:p w14:paraId="5F8278CF" w14:textId="77777777" w:rsidR="004E2F51" w:rsidRPr="004B4498" w:rsidRDefault="004E2F51" w:rsidP="00E032FC">
            <w:pPr>
              <w:pStyle w:val="TT"/>
              <w:spacing w:line="240" w:lineRule="auto"/>
              <w:jc w:val="right"/>
              <w:rPr>
                <w:rFonts w:cs="Arial"/>
                <w:sz w:val="20"/>
                <w:lang w:val="hr-HR"/>
              </w:rPr>
            </w:pPr>
            <w:bookmarkStart w:id="683" w:name="_Toc67327360"/>
            <w:r w:rsidRPr="004B4498">
              <w:rPr>
                <w:rFonts w:cs="Arial"/>
                <w:sz w:val="20"/>
                <w:lang w:val="hr-HR"/>
              </w:rPr>
              <w:t>Godišnje stope amortizacije</w:t>
            </w:r>
            <w:bookmarkEnd w:id="683"/>
          </w:p>
        </w:tc>
      </w:tr>
      <w:tr w:rsidR="004E2F51" w:rsidRPr="00C25BBA" w14:paraId="5597A8B6" w14:textId="77777777" w:rsidTr="00E032FC">
        <w:tc>
          <w:tcPr>
            <w:tcW w:w="2070" w:type="pct"/>
          </w:tcPr>
          <w:p w14:paraId="552C0BC9" w14:textId="77777777" w:rsidR="004E2F51" w:rsidRPr="004B4498" w:rsidRDefault="004E2F51" w:rsidP="00E032FC">
            <w:pPr>
              <w:pStyle w:val="TT"/>
              <w:spacing w:line="240" w:lineRule="auto"/>
              <w:jc w:val="both"/>
              <w:rPr>
                <w:rFonts w:cs="Arial"/>
                <w:sz w:val="20"/>
                <w:lang w:val="hr-HR"/>
              </w:rPr>
            </w:pPr>
            <w:bookmarkStart w:id="684" w:name="_Toc67327361"/>
            <w:r w:rsidRPr="004B4498">
              <w:rPr>
                <w:rFonts w:cs="Arial"/>
                <w:sz w:val="20"/>
                <w:lang w:val="hr-HR"/>
              </w:rPr>
              <w:t>Građevinski objekti</w:t>
            </w:r>
            <w:bookmarkEnd w:id="684"/>
          </w:p>
        </w:tc>
        <w:tc>
          <w:tcPr>
            <w:tcW w:w="733" w:type="pct"/>
            <w:vAlign w:val="bottom"/>
          </w:tcPr>
          <w:p w14:paraId="15CD0D4A" w14:textId="77777777" w:rsidR="004E2F51" w:rsidRPr="009A6A40" w:rsidRDefault="004E2F51" w:rsidP="00E032FC">
            <w:pPr>
              <w:pStyle w:val="TT"/>
              <w:spacing w:line="240" w:lineRule="auto"/>
              <w:jc w:val="right"/>
              <w:rPr>
                <w:rFonts w:cs="Arial"/>
                <w:sz w:val="20"/>
                <w:lang w:val="hr-HR"/>
              </w:rPr>
            </w:pPr>
            <w:bookmarkStart w:id="685" w:name="_Toc67327362"/>
            <w:r w:rsidRPr="009A6A40">
              <w:rPr>
                <w:rFonts w:cs="Arial"/>
                <w:sz w:val="20"/>
                <w:lang w:val="hr-HR"/>
              </w:rPr>
              <w:t>20</w:t>
            </w:r>
            <w:bookmarkEnd w:id="685"/>
          </w:p>
        </w:tc>
        <w:tc>
          <w:tcPr>
            <w:tcW w:w="732" w:type="pct"/>
          </w:tcPr>
          <w:p w14:paraId="76839F9A" w14:textId="77777777" w:rsidR="004E2F51" w:rsidRPr="009A6A40" w:rsidRDefault="004E2F51" w:rsidP="00E032FC">
            <w:pPr>
              <w:pStyle w:val="TT"/>
              <w:spacing w:line="240" w:lineRule="auto"/>
              <w:jc w:val="right"/>
              <w:rPr>
                <w:rFonts w:cs="Arial"/>
                <w:sz w:val="20"/>
                <w:lang w:val="hr-HR"/>
              </w:rPr>
            </w:pPr>
            <w:bookmarkStart w:id="686" w:name="_Toc67327363"/>
            <w:r w:rsidRPr="009A6A40">
              <w:rPr>
                <w:rFonts w:cs="Arial"/>
                <w:sz w:val="20"/>
                <w:lang w:val="hr-HR"/>
              </w:rPr>
              <w:t>5%</w:t>
            </w:r>
            <w:bookmarkEnd w:id="686"/>
          </w:p>
        </w:tc>
        <w:tc>
          <w:tcPr>
            <w:tcW w:w="733" w:type="pct"/>
            <w:vAlign w:val="bottom"/>
          </w:tcPr>
          <w:p w14:paraId="328EE157" w14:textId="77777777" w:rsidR="004E2F51" w:rsidRPr="004B4498" w:rsidRDefault="004E2F51" w:rsidP="00E032FC">
            <w:pPr>
              <w:pStyle w:val="TT"/>
              <w:spacing w:line="240" w:lineRule="auto"/>
              <w:jc w:val="right"/>
              <w:rPr>
                <w:rFonts w:cs="Arial"/>
                <w:sz w:val="20"/>
                <w:lang w:val="hr-HR"/>
              </w:rPr>
            </w:pPr>
            <w:bookmarkStart w:id="687" w:name="_Toc67327364"/>
            <w:r w:rsidRPr="0046584E">
              <w:rPr>
                <w:rFonts w:cs="Arial"/>
                <w:sz w:val="20"/>
                <w:lang w:val="hr-HR"/>
              </w:rPr>
              <w:t>20</w:t>
            </w:r>
            <w:bookmarkEnd w:id="687"/>
          </w:p>
        </w:tc>
        <w:tc>
          <w:tcPr>
            <w:tcW w:w="732" w:type="pct"/>
          </w:tcPr>
          <w:p w14:paraId="2E678CF7" w14:textId="77777777" w:rsidR="004E2F51" w:rsidRPr="004B4498" w:rsidRDefault="004E2F51" w:rsidP="00E032FC">
            <w:pPr>
              <w:pStyle w:val="TT"/>
              <w:spacing w:line="240" w:lineRule="auto"/>
              <w:jc w:val="right"/>
              <w:rPr>
                <w:rFonts w:cs="Arial"/>
                <w:sz w:val="20"/>
                <w:lang w:val="hr-HR"/>
              </w:rPr>
            </w:pPr>
            <w:bookmarkStart w:id="688" w:name="_Toc67327365"/>
            <w:r w:rsidRPr="0046584E">
              <w:rPr>
                <w:rFonts w:cs="Arial"/>
                <w:sz w:val="20"/>
                <w:lang w:val="hr-HR"/>
              </w:rPr>
              <w:t>5%</w:t>
            </w:r>
            <w:bookmarkEnd w:id="688"/>
          </w:p>
        </w:tc>
      </w:tr>
      <w:tr w:rsidR="004E2F51" w:rsidRPr="00C25BBA" w14:paraId="50512E83" w14:textId="77777777" w:rsidTr="00E032FC">
        <w:tc>
          <w:tcPr>
            <w:tcW w:w="2070" w:type="pct"/>
          </w:tcPr>
          <w:p w14:paraId="363024CF" w14:textId="77777777" w:rsidR="004E2F51" w:rsidRPr="004B4498" w:rsidRDefault="004E2F51" w:rsidP="00E032FC">
            <w:pPr>
              <w:pStyle w:val="TT"/>
              <w:spacing w:line="240" w:lineRule="auto"/>
              <w:jc w:val="both"/>
              <w:rPr>
                <w:rFonts w:cs="Arial"/>
                <w:sz w:val="20"/>
                <w:lang w:val="hr-HR"/>
              </w:rPr>
            </w:pPr>
            <w:bookmarkStart w:id="689" w:name="_Toc67327366"/>
            <w:r w:rsidRPr="004B4498">
              <w:rPr>
                <w:rFonts w:cs="Arial"/>
                <w:sz w:val="20"/>
                <w:lang w:val="hr-HR"/>
              </w:rPr>
              <w:t>Računala</w:t>
            </w:r>
            <w:bookmarkEnd w:id="689"/>
          </w:p>
        </w:tc>
        <w:tc>
          <w:tcPr>
            <w:tcW w:w="733" w:type="pct"/>
            <w:vAlign w:val="bottom"/>
          </w:tcPr>
          <w:p w14:paraId="7000F91B" w14:textId="77777777" w:rsidR="004E2F51" w:rsidRPr="009A6A40" w:rsidRDefault="004E2F51" w:rsidP="00E032FC">
            <w:pPr>
              <w:pStyle w:val="TT"/>
              <w:spacing w:line="240" w:lineRule="auto"/>
              <w:jc w:val="right"/>
              <w:rPr>
                <w:rFonts w:cs="Arial"/>
                <w:sz w:val="20"/>
                <w:lang w:val="hr-HR"/>
              </w:rPr>
            </w:pPr>
            <w:bookmarkStart w:id="690" w:name="_Toc67327367"/>
            <w:r w:rsidRPr="009A6A40">
              <w:rPr>
                <w:rFonts w:cs="Arial"/>
                <w:sz w:val="20"/>
                <w:lang w:val="hr-HR"/>
              </w:rPr>
              <w:t>2</w:t>
            </w:r>
            <w:bookmarkEnd w:id="690"/>
          </w:p>
        </w:tc>
        <w:tc>
          <w:tcPr>
            <w:tcW w:w="732" w:type="pct"/>
          </w:tcPr>
          <w:p w14:paraId="70616DD4" w14:textId="77777777" w:rsidR="004E2F51" w:rsidRPr="009A6A40" w:rsidRDefault="004E2F51" w:rsidP="00E032FC">
            <w:pPr>
              <w:pStyle w:val="TT"/>
              <w:spacing w:line="240" w:lineRule="auto"/>
              <w:jc w:val="right"/>
              <w:rPr>
                <w:rFonts w:cs="Arial"/>
                <w:sz w:val="20"/>
                <w:lang w:val="hr-HR"/>
              </w:rPr>
            </w:pPr>
            <w:bookmarkStart w:id="691" w:name="_Toc67327368"/>
            <w:r w:rsidRPr="009A6A40">
              <w:rPr>
                <w:rFonts w:cs="Arial"/>
                <w:sz w:val="20"/>
                <w:lang w:val="hr-HR"/>
              </w:rPr>
              <w:t>50%</w:t>
            </w:r>
            <w:bookmarkEnd w:id="691"/>
          </w:p>
        </w:tc>
        <w:tc>
          <w:tcPr>
            <w:tcW w:w="733" w:type="pct"/>
            <w:vAlign w:val="bottom"/>
          </w:tcPr>
          <w:p w14:paraId="64BF42F1" w14:textId="77777777" w:rsidR="004E2F51" w:rsidRPr="004B4498" w:rsidRDefault="004E2F51" w:rsidP="00E032FC">
            <w:pPr>
              <w:pStyle w:val="TT"/>
              <w:spacing w:line="240" w:lineRule="auto"/>
              <w:jc w:val="right"/>
              <w:rPr>
                <w:rFonts w:cs="Arial"/>
                <w:sz w:val="20"/>
                <w:lang w:val="hr-HR"/>
              </w:rPr>
            </w:pPr>
            <w:bookmarkStart w:id="692" w:name="_Toc67327369"/>
            <w:r w:rsidRPr="0046584E">
              <w:rPr>
                <w:rFonts w:cs="Arial"/>
                <w:sz w:val="20"/>
                <w:lang w:val="hr-HR"/>
              </w:rPr>
              <w:t>2</w:t>
            </w:r>
            <w:bookmarkEnd w:id="692"/>
          </w:p>
        </w:tc>
        <w:tc>
          <w:tcPr>
            <w:tcW w:w="732" w:type="pct"/>
          </w:tcPr>
          <w:p w14:paraId="18780B2B" w14:textId="77777777" w:rsidR="004E2F51" w:rsidRPr="004B4498" w:rsidRDefault="004E2F51" w:rsidP="00E032FC">
            <w:pPr>
              <w:pStyle w:val="TT"/>
              <w:spacing w:line="240" w:lineRule="auto"/>
              <w:jc w:val="right"/>
              <w:rPr>
                <w:rFonts w:cs="Arial"/>
                <w:sz w:val="20"/>
                <w:lang w:val="hr-HR"/>
              </w:rPr>
            </w:pPr>
            <w:bookmarkStart w:id="693" w:name="_Toc67327370"/>
            <w:r w:rsidRPr="0046584E">
              <w:rPr>
                <w:rFonts w:cs="Arial"/>
                <w:sz w:val="20"/>
                <w:lang w:val="hr-HR"/>
              </w:rPr>
              <w:t>50%</w:t>
            </w:r>
            <w:bookmarkEnd w:id="693"/>
          </w:p>
        </w:tc>
      </w:tr>
      <w:tr w:rsidR="004E2F51" w:rsidRPr="00C25BBA" w14:paraId="72554B28" w14:textId="77777777" w:rsidTr="00E032FC">
        <w:tc>
          <w:tcPr>
            <w:tcW w:w="2070" w:type="pct"/>
          </w:tcPr>
          <w:p w14:paraId="557232C7" w14:textId="77777777" w:rsidR="004E2F51" w:rsidRPr="004B4498" w:rsidRDefault="004E2F51" w:rsidP="00E032FC">
            <w:pPr>
              <w:pStyle w:val="TT"/>
              <w:spacing w:line="240" w:lineRule="auto"/>
              <w:jc w:val="both"/>
              <w:rPr>
                <w:rFonts w:cs="Arial"/>
                <w:sz w:val="20"/>
                <w:lang w:val="hr-HR"/>
              </w:rPr>
            </w:pPr>
            <w:bookmarkStart w:id="694" w:name="_Toc67327371"/>
            <w:r w:rsidRPr="004B4498">
              <w:rPr>
                <w:rFonts w:cs="Arial"/>
                <w:sz w:val="20"/>
                <w:lang w:val="hr-HR"/>
              </w:rPr>
              <w:t>Namještaj i oprema</w:t>
            </w:r>
            <w:bookmarkEnd w:id="694"/>
          </w:p>
        </w:tc>
        <w:tc>
          <w:tcPr>
            <w:tcW w:w="733" w:type="pct"/>
            <w:vAlign w:val="bottom"/>
          </w:tcPr>
          <w:p w14:paraId="1912D84F" w14:textId="77777777" w:rsidR="004E2F51" w:rsidRPr="009A6A40" w:rsidRDefault="004E2F51" w:rsidP="00E032FC">
            <w:pPr>
              <w:pStyle w:val="TT"/>
              <w:spacing w:line="240" w:lineRule="auto"/>
              <w:jc w:val="right"/>
              <w:rPr>
                <w:rFonts w:cs="Arial"/>
                <w:sz w:val="20"/>
                <w:lang w:val="hr-HR"/>
              </w:rPr>
            </w:pPr>
            <w:bookmarkStart w:id="695" w:name="_Toc67327372"/>
            <w:r w:rsidRPr="009A6A40">
              <w:rPr>
                <w:rFonts w:cs="Arial"/>
                <w:sz w:val="20"/>
                <w:lang w:val="hr-HR"/>
              </w:rPr>
              <w:t>4</w:t>
            </w:r>
            <w:bookmarkEnd w:id="695"/>
          </w:p>
        </w:tc>
        <w:tc>
          <w:tcPr>
            <w:tcW w:w="732" w:type="pct"/>
          </w:tcPr>
          <w:p w14:paraId="03010447" w14:textId="77777777" w:rsidR="004E2F51" w:rsidRPr="009A6A40" w:rsidRDefault="004E2F51" w:rsidP="00E032FC">
            <w:pPr>
              <w:pStyle w:val="TT"/>
              <w:spacing w:line="240" w:lineRule="auto"/>
              <w:jc w:val="right"/>
              <w:rPr>
                <w:rFonts w:cs="Arial"/>
                <w:sz w:val="20"/>
                <w:lang w:val="hr-HR"/>
              </w:rPr>
            </w:pPr>
            <w:bookmarkStart w:id="696" w:name="_Toc67327373"/>
            <w:r w:rsidRPr="009A6A40">
              <w:rPr>
                <w:rFonts w:cs="Arial"/>
                <w:sz w:val="20"/>
                <w:lang w:val="hr-HR"/>
              </w:rPr>
              <w:t>25%</w:t>
            </w:r>
            <w:bookmarkEnd w:id="696"/>
          </w:p>
        </w:tc>
        <w:tc>
          <w:tcPr>
            <w:tcW w:w="733" w:type="pct"/>
            <w:vAlign w:val="bottom"/>
          </w:tcPr>
          <w:p w14:paraId="590DC666" w14:textId="77777777" w:rsidR="004E2F51" w:rsidRPr="004B4498" w:rsidRDefault="004E2F51" w:rsidP="00E032FC">
            <w:pPr>
              <w:pStyle w:val="TT"/>
              <w:spacing w:line="240" w:lineRule="auto"/>
              <w:jc w:val="right"/>
              <w:rPr>
                <w:rFonts w:cs="Arial"/>
                <w:sz w:val="20"/>
                <w:lang w:val="hr-HR"/>
              </w:rPr>
            </w:pPr>
            <w:bookmarkStart w:id="697" w:name="_Toc67327374"/>
            <w:r w:rsidRPr="0046584E">
              <w:rPr>
                <w:rFonts w:cs="Arial"/>
                <w:sz w:val="20"/>
                <w:lang w:val="hr-HR"/>
              </w:rPr>
              <w:t>4</w:t>
            </w:r>
            <w:bookmarkEnd w:id="697"/>
          </w:p>
        </w:tc>
        <w:tc>
          <w:tcPr>
            <w:tcW w:w="732" w:type="pct"/>
          </w:tcPr>
          <w:p w14:paraId="00811027" w14:textId="77777777" w:rsidR="004E2F51" w:rsidRPr="004B4498" w:rsidRDefault="004E2F51" w:rsidP="00E032FC">
            <w:pPr>
              <w:pStyle w:val="TT"/>
              <w:spacing w:line="240" w:lineRule="auto"/>
              <w:jc w:val="right"/>
              <w:rPr>
                <w:rFonts w:cs="Arial"/>
                <w:sz w:val="20"/>
                <w:lang w:val="hr-HR"/>
              </w:rPr>
            </w:pPr>
            <w:bookmarkStart w:id="698" w:name="_Toc67327375"/>
            <w:r w:rsidRPr="0046584E">
              <w:rPr>
                <w:rFonts w:cs="Arial"/>
                <w:sz w:val="20"/>
                <w:lang w:val="hr-HR"/>
              </w:rPr>
              <w:t>25%</w:t>
            </w:r>
            <w:bookmarkEnd w:id="698"/>
          </w:p>
        </w:tc>
      </w:tr>
      <w:tr w:rsidR="004E2F51" w:rsidRPr="00C25BBA" w14:paraId="5CD14BFC" w14:textId="77777777" w:rsidTr="00E032FC">
        <w:tc>
          <w:tcPr>
            <w:tcW w:w="2070" w:type="pct"/>
          </w:tcPr>
          <w:p w14:paraId="4D313711" w14:textId="77777777" w:rsidR="004E2F51" w:rsidRPr="004B4498" w:rsidRDefault="004E2F51" w:rsidP="00E032FC">
            <w:pPr>
              <w:pStyle w:val="TT"/>
              <w:spacing w:line="240" w:lineRule="auto"/>
              <w:jc w:val="both"/>
              <w:rPr>
                <w:rFonts w:cs="Arial"/>
                <w:sz w:val="20"/>
                <w:lang w:val="hr-HR"/>
              </w:rPr>
            </w:pPr>
            <w:bookmarkStart w:id="699" w:name="_Toc67327376"/>
            <w:r w:rsidRPr="004B4498">
              <w:rPr>
                <w:rFonts w:cs="Arial"/>
                <w:sz w:val="20"/>
                <w:lang w:val="hr-HR"/>
              </w:rPr>
              <w:t>Motorna vozila</w:t>
            </w:r>
            <w:bookmarkEnd w:id="699"/>
          </w:p>
        </w:tc>
        <w:tc>
          <w:tcPr>
            <w:tcW w:w="733" w:type="pct"/>
            <w:vAlign w:val="bottom"/>
          </w:tcPr>
          <w:p w14:paraId="741A5E04" w14:textId="77777777" w:rsidR="004E2F51" w:rsidRPr="009A6A40" w:rsidRDefault="004E2F51" w:rsidP="00E032FC">
            <w:pPr>
              <w:pStyle w:val="TT"/>
              <w:spacing w:line="240" w:lineRule="auto"/>
              <w:jc w:val="right"/>
              <w:rPr>
                <w:rFonts w:cs="Arial"/>
                <w:sz w:val="20"/>
                <w:lang w:val="hr-HR"/>
              </w:rPr>
            </w:pPr>
            <w:bookmarkStart w:id="700" w:name="_Toc67327377"/>
            <w:r w:rsidRPr="009A6A40">
              <w:rPr>
                <w:rFonts w:cs="Arial"/>
                <w:sz w:val="20"/>
                <w:lang w:val="hr-HR"/>
              </w:rPr>
              <w:t>5</w:t>
            </w:r>
            <w:bookmarkEnd w:id="700"/>
          </w:p>
        </w:tc>
        <w:tc>
          <w:tcPr>
            <w:tcW w:w="732" w:type="pct"/>
          </w:tcPr>
          <w:p w14:paraId="3295AD4D" w14:textId="77777777" w:rsidR="004E2F51" w:rsidRPr="009A6A40" w:rsidRDefault="004E2F51" w:rsidP="00E032FC">
            <w:pPr>
              <w:pStyle w:val="TT"/>
              <w:spacing w:line="240" w:lineRule="auto"/>
              <w:jc w:val="right"/>
              <w:rPr>
                <w:rFonts w:cs="Arial"/>
                <w:sz w:val="20"/>
                <w:lang w:val="hr-HR"/>
              </w:rPr>
            </w:pPr>
            <w:bookmarkStart w:id="701" w:name="_Toc67327378"/>
            <w:r w:rsidRPr="009A6A40">
              <w:rPr>
                <w:rFonts w:cs="Arial"/>
                <w:sz w:val="20"/>
                <w:lang w:val="hr-HR"/>
              </w:rPr>
              <w:t>20%</w:t>
            </w:r>
            <w:bookmarkEnd w:id="701"/>
          </w:p>
        </w:tc>
        <w:tc>
          <w:tcPr>
            <w:tcW w:w="733" w:type="pct"/>
            <w:vAlign w:val="bottom"/>
          </w:tcPr>
          <w:p w14:paraId="3326218A" w14:textId="77777777" w:rsidR="004E2F51" w:rsidRPr="004B4498" w:rsidRDefault="004E2F51" w:rsidP="00E032FC">
            <w:pPr>
              <w:pStyle w:val="TT"/>
              <w:spacing w:line="240" w:lineRule="auto"/>
              <w:jc w:val="right"/>
              <w:rPr>
                <w:rFonts w:cs="Arial"/>
                <w:sz w:val="20"/>
                <w:lang w:val="hr-HR"/>
              </w:rPr>
            </w:pPr>
            <w:bookmarkStart w:id="702" w:name="_Toc67327379"/>
            <w:r w:rsidRPr="0046584E">
              <w:rPr>
                <w:rFonts w:cs="Arial"/>
                <w:sz w:val="20"/>
                <w:lang w:val="hr-HR"/>
              </w:rPr>
              <w:t>5</w:t>
            </w:r>
            <w:bookmarkEnd w:id="702"/>
          </w:p>
        </w:tc>
        <w:tc>
          <w:tcPr>
            <w:tcW w:w="732" w:type="pct"/>
          </w:tcPr>
          <w:p w14:paraId="58E1784F" w14:textId="77777777" w:rsidR="004E2F51" w:rsidRPr="004B4498" w:rsidRDefault="004E2F51" w:rsidP="00E032FC">
            <w:pPr>
              <w:pStyle w:val="TT"/>
              <w:spacing w:line="240" w:lineRule="auto"/>
              <w:jc w:val="right"/>
              <w:rPr>
                <w:rFonts w:cs="Arial"/>
                <w:sz w:val="20"/>
                <w:lang w:val="hr-HR"/>
              </w:rPr>
            </w:pPr>
            <w:bookmarkStart w:id="703" w:name="_Toc67327380"/>
            <w:r w:rsidRPr="0046584E">
              <w:rPr>
                <w:rFonts w:cs="Arial"/>
                <w:sz w:val="20"/>
                <w:lang w:val="hr-HR"/>
              </w:rPr>
              <w:t>20%</w:t>
            </w:r>
            <w:bookmarkEnd w:id="703"/>
          </w:p>
        </w:tc>
      </w:tr>
      <w:tr w:rsidR="004E2F51" w:rsidRPr="00C25BBA" w14:paraId="0C9FD333" w14:textId="77777777" w:rsidTr="00E032FC">
        <w:tc>
          <w:tcPr>
            <w:tcW w:w="2070" w:type="pct"/>
          </w:tcPr>
          <w:p w14:paraId="645CE1DB" w14:textId="77777777" w:rsidR="004E2F51" w:rsidRPr="004B4498" w:rsidRDefault="004E2F51" w:rsidP="00E032FC">
            <w:pPr>
              <w:pStyle w:val="TT"/>
              <w:spacing w:line="240" w:lineRule="auto"/>
              <w:jc w:val="both"/>
              <w:rPr>
                <w:rFonts w:cs="Arial"/>
                <w:sz w:val="20"/>
                <w:lang w:val="hr-HR"/>
              </w:rPr>
            </w:pPr>
            <w:bookmarkStart w:id="704" w:name="_Toc67327381"/>
            <w:r w:rsidRPr="004B4498">
              <w:rPr>
                <w:rFonts w:cs="Arial"/>
                <w:sz w:val="20"/>
                <w:lang w:val="hr-HR"/>
              </w:rPr>
              <w:t>Ostala nespomenuta imovina i ulaganja</w:t>
            </w:r>
            <w:bookmarkEnd w:id="704"/>
          </w:p>
        </w:tc>
        <w:tc>
          <w:tcPr>
            <w:tcW w:w="733" w:type="pct"/>
            <w:vAlign w:val="bottom"/>
          </w:tcPr>
          <w:p w14:paraId="5A516A32" w14:textId="77777777" w:rsidR="004E2F51" w:rsidRPr="009A6A40" w:rsidRDefault="004E2F51" w:rsidP="00E032FC">
            <w:pPr>
              <w:pStyle w:val="TT"/>
              <w:spacing w:line="240" w:lineRule="auto"/>
              <w:jc w:val="right"/>
              <w:rPr>
                <w:rFonts w:cs="Arial"/>
                <w:sz w:val="20"/>
                <w:lang w:val="hr-HR"/>
              </w:rPr>
            </w:pPr>
            <w:bookmarkStart w:id="705" w:name="_Toc67327382"/>
            <w:r w:rsidRPr="009A6A40">
              <w:rPr>
                <w:rFonts w:cs="Arial"/>
                <w:sz w:val="20"/>
                <w:lang w:val="hr-HR"/>
              </w:rPr>
              <w:t>10</w:t>
            </w:r>
            <w:bookmarkEnd w:id="705"/>
          </w:p>
        </w:tc>
        <w:tc>
          <w:tcPr>
            <w:tcW w:w="732" w:type="pct"/>
          </w:tcPr>
          <w:p w14:paraId="0063DFA0" w14:textId="77777777" w:rsidR="004E2F51" w:rsidRPr="009A6A40" w:rsidRDefault="004E2F51" w:rsidP="00E032FC">
            <w:pPr>
              <w:pStyle w:val="TT"/>
              <w:spacing w:line="240" w:lineRule="auto"/>
              <w:jc w:val="right"/>
              <w:rPr>
                <w:rFonts w:cs="Arial"/>
                <w:sz w:val="20"/>
                <w:lang w:val="hr-HR"/>
              </w:rPr>
            </w:pPr>
            <w:bookmarkStart w:id="706" w:name="_Toc67327383"/>
            <w:r w:rsidRPr="009A6A40">
              <w:rPr>
                <w:rFonts w:cs="Arial"/>
                <w:sz w:val="20"/>
                <w:lang w:val="hr-HR"/>
              </w:rPr>
              <w:t>10%</w:t>
            </w:r>
            <w:bookmarkEnd w:id="706"/>
          </w:p>
        </w:tc>
        <w:tc>
          <w:tcPr>
            <w:tcW w:w="733" w:type="pct"/>
            <w:vAlign w:val="bottom"/>
          </w:tcPr>
          <w:p w14:paraId="1286C057" w14:textId="77777777" w:rsidR="004E2F51" w:rsidRPr="004B4498" w:rsidRDefault="004E2F51" w:rsidP="00E032FC">
            <w:pPr>
              <w:pStyle w:val="TT"/>
              <w:spacing w:line="240" w:lineRule="auto"/>
              <w:jc w:val="right"/>
              <w:rPr>
                <w:rFonts w:cs="Arial"/>
                <w:sz w:val="20"/>
                <w:lang w:val="hr-HR"/>
              </w:rPr>
            </w:pPr>
            <w:bookmarkStart w:id="707" w:name="_Toc67327384"/>
            <w:r w:rsidRPr="0046584E">
              <w:rPr>
                <w:rFonts w:cs="Arial"/>
                <w:sz w:val="20"/>
                <w:lang w:val="hr-HR"/>
              </w:rPr>
              <w:t>10</w:t>
            </w:r>
            <w:bookmarkEnd w:id="707"/>
          </w:p>
        </w:tc>
        <w:tc>
          <w:tcPr>
            <w:tcW w:w="732" w:type="pct"/>
          </w:tcPr>
          <w:p w14:paraId="568D7A76" w14:textId="77777777" w:rsidR="004E2F51" w:rsidRPr="004B4498" w:rsidRDefault="004E2F51" w:rsidP="00E032FC">
            <w:pPr>
              <w:pStyle w:val="TT"/>
              <w:spacing w:line="240" w:lineRule="auto"/>
              <w:jc w:val="right"/>
              <w:rPr>
                <w:rFonts w:cs="Arial"/>
                <w:sz w:val="20"/>
                <w:lang w:val="hr-HR"/>
              </w:rPr>
            </w:pPr>
            <w:bookmarkStart w:id="708" w:name="_Toc67327385"/>
            <w:r w:rsidRPr="0046584E">
              <w:rPr>
                <w:rFonts w:cs="Arial"/>
                <w:sz w:val="20"/>
                <w:lang w:val="hr-HR"/>
              </w:rPr>
              <w:t>10%</w:t>
            </w:r>
            <w:bookmarkEnd w:id="708"/>
          </w:p>
        </w:tc>
      </w:tr>
      <w:tr w:rsidR="004E2F51" w:rsidRPr="00C25BBA" w14:paraId="4464C52A" w14:textId="77777777" w:rsidTr="00E032FC">
        <w:tc>
          <w:tcPr>
            <w:tcW w:w="2070" w:type="pct"/>
          </w:tcPr>
          <w:p w14:paraId="6A75F868" w14:textId="77777777" w:rsidR="004E2F51" w:rsidRPr="004B4498" w:rsidRDefault="004E2F51" w:rsidP="00E032FC">
            <w:pPr>
              <w:pStyle w:val="TT"/>
              <w:spacing w:line="240" w:lineRule="auto"/>
              <w:jc w:val="both"/>
              <w:rPr>
                <w:rFonts w:cs="Arial"/>
                <w:sz w:val="20"/>
                <w:lang w:val="hr-HR"/>
              </w:rPr>
            </w:pPr>
            <w:bookmarkStart w:id="709" w:name="_Toc67327386"/>
            <w:r w:rsidRPr="004B4498">
              <w:rPr>
                <w:rFonts w:cs="Arial"/>
                <w:sz w:val="20"/>
                <w:lang w:val="hr-HR"/>
              </w:rPr>
              <w:t>Nematerijalna imovina</w:t>
            </w:r>
            <w:bookmarkEnd w:id="709"/>
          </w:p>
        </w:tc>
        <w:tc>
          <w:tcPr>
            <w:tcW w:w="733" w:type="pct"/>
            <w:vAlign w:val="bottom"/>
          </w:tcPr>
          <w:p w14:paraId="4AC7A66A" w14:textId="77777777" w:rsidR="004E2F51" w:rsidRPr="009A6A40" w:rsidRDefault="004E2F51" w:rsidP="00E032FC">
            <w:pPr>
              <w:pStyle w:val="TT"/>
              <w:spacing w:line="240" w:lineRule="auto"/>
              <w:jc w:val="right"/>
              <w:rPr>
                <w:rFonts w:cs="Arial"/>
                <w:sz w:val="20"/>
                <w:lang w:val="hr-HR"/>
              </w:rPr>
            </w:pPr>
            <w:bookmarkStart w:id="710" w:name="_Toc67327387"/>
            <w:r w:rsidRPr="009A6A40">
              <w:rPr>
                <w:rFonts w:cs="Arial"/>
                <w:sz w:val="20"/>
                <w:lang w:val="hr-HR"/>
              </w:rPr>
              <w:t>4</w:t>
            </w:r>
            <w:bookmarkEnd w:id="710"/>
          </w:p>
        </w:tc>
        <w:tc>
          <w:tcPr>
            <w:tcW w:w="732" w:type="pct"/>
          </w:tcPr>
          <w:p w14:paraId="68481B47" w14:textId="77777777" w:rsidR="004E2F51" w:rsidRPr="009A6A40" w:rsidRDefault="004E2F51" w:rsidP="00E032FC">
            <w:pPr>
              <w:pStyle w:val="TT"/>
              <w:spacing w:line="240" w:lineRule="auto"/>
              <w:jc w:val="right"/>
              <w:rPr>
                <w:rFonts w:cs="Arial"/>
                <w:sz w:val="20"/>
                <w:lang w:val="hr-HR"/>
              </w:rPr>
            </w:pPr>
            <w:bookmarkStart w:id="711" w:name="_Toc67327388"/>
            <w:r w:rsidRPr="009A6A40">
              <w:rPr>
                <w:rFonts w:cs="Arial"/>
                <w:sz w:val="20"/>
                <w:lang w:val="hr-HR"/>
              </w:rPr>
              <w:t>25%</w:t>
            </w:r>
            <w:bookmarkEnd w:id="711"/>
          </w:p>
        </w:tc>
        <w:tc>
          <w:tcPr>
            <w:tcW w:w="733" w:type="pct"/>
            <w:vAlign w:val="bottom"/>
          </w:tcPr>
          <w:p w14:paraId="314B6CC7" w14:textId="77777777" w:rsidR="004E2F51" w:rsidRPr="004B4498" w:rsidRDefault="004E2F51" w:rsidP="00E032FC">
            <w:pPr>
              <w:pStyle w:val="TT"/>
              <w:spacing w:line="240" w:lineRule="auto"/>
              <w:jc w:val="right"/>
              <w:rPr>
                <w:rFonts w:cs="Arial"/>
                <w:sz w:val="20"/>
                <w:lang w:val="hr-HR"/>
              </w:rPr>
            </w:pPr>
            <w:bookmarkStart w:id="712" w:name="_Toc67327389"/>
            <w:r w:rsidRPr="0046584E">
              <w:rPr>
                <w:rFonts w:cs="Arial"/>
                <w:sz w:val="20"/>
                <w:lang w:val="hr-HR"/>
              </w:rPr>
              <w:t>4</w:t>
            </w:r>
            <w:bookmarkEnd w:id="712"/>
          </w:p>
        </w:tc>
        <w:tc>
          <w:tcPr>
            <w:tcW w:w="732" w:type="pct"/>
          </w:tcPr>
          <w:p w14:paraId="3598DD0B" w14:textId="77777777" w:rsidR="004E2F51" w:rsidRPr="004B4498" w:rsidRDefault="004E2F51" w:rsidP="00E032FC">
            <w:pPr>
              <w:pStyle w:val="TT"/>
              <w:spacing w:line="240" w:lineRule="auto"/>
              <w:jc w:val="right"/>
              <w:rPr>
                <w:rFonts w:cs="Arial"/>
                <w:sz w:val="20"/>
                <w:lang w:val="hr-HR"/>
              </w:rPr>
            </w:pPr>
            <w:bookmarkStart w:id="713" w:name="_Toc67327390"/>
            <w:r w:rsidRPr="0046584E">
              <w:rPr>
                <w:rFonts w:cs="Arial"/>
                <w:sz w:val="20"/>
                <w:lang w:val="hr-HR"/>
              </w:rPr>
              <w:t>25%</w:t>
            </w:r>
            <w:bookmarkEnd w:id="713"/>
          </w:p>
        </w:tc>
      </w:tr>
    </w:tbl>
    <w:p w14:paraId="68ECB1C0" w14:textId="77777777" w:rsidR="004E2F51" w:rsidRPr="004B4498" w:rsidRDefault="004E2F51" w:rsidP="004E2F51">
      <w:pPr>
        <w:pStyle w:val="HTMLPreformatted"/>
        <w:rPr>
          <w:rFonts w:ascii="Arial" w:hAnsi="Arial" w:cs="Arial"/>
          <w:color w:val="000000" w:themeColor="text1"/>
        </w:rPr>
        <w:sectPr w:rsidR="004E2F51" w:rsidRPr="004B4498" w:rsidSect="00623DBA">
          <w:footerReference w:type="default" r:id="rId107"/>
          <w:pgSz w:w="11907" w:h="16840" w:code="9"/>
          <w:pgMar w:top="1418" w:right="1134" w:bottom="1134" w:left="1418" w:header="851" w:footer="851" w:gutter="0"/>
          <w:cols w:space="720"/>
          <w:noEndnote/>
        </w:sectPr>
      </w:pPr>
    </w:p>
    <w:p w14:paraId="5B6BF641" w14:textId="77777777" w:rsidR="004E2F51" w:rsidRPr="004B4498" w:rsidRDefault="004E2F51" w:rsidP="004E2F51">
      <w:pPr>
        <w:jc w:val="both"/>
        <w:rPr>
          <w:rFonts w:ascii="Arial" w:hAnsi="Arial" w:cs="Arial"/>
          <w:color w:val="000000" w:themeColor="text1"/>
          <w:sz w:val="20"/>
          <w:szCs w:val="20"/>
          <w:lang w:val="hr-HR" w:eastAsia="hr-HR"/>
        </w:rPr>
      </w:pPr>
    </w:p>
    <w:p w14:paraId="57D2FDD8"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54612654"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2E083CB5"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0D0DBD94" w14:textId="77777777" w:rsidR="004E2F51" w:rsidRPr="004B4498" w:rsidRDefault="004E2F51" w:rsidP="004E2F51">
      <w:pPr>
        <w:jc w:val="both"/>
        <w:rPr>
          <w:rFonts w:ascii="Arial" w:hAnsi="Arial" w:cs="Arial"/>
          <w:b/>
          <w:color w:val="000000" w:themeColor="text1"/>
          <w:sz w:val="20"/>
          <w:szCs w:val="20"/>
          <w:lang w:val="hr-HR"/>
        </w:rPr>
      </w:pPr>
    </w:p>
    <w:p w14:paraId="632E97BA" w14:textId="77777777" w:rsidR="004E2F51" w:rsidRPr="004B4498" w:rsidRDefault="004E2F51" w:rsidP="004E2F51">
      <w:pPr>
        <w:pStyle w:val="accountingpolicytitle"/>
        <w:rPr>
          <w:rFonts w:cs="Arial"/>
          <w:color w:val="000000" w:themeColor="text1"/>
          <w:sz w:val="20"/>
          <w:lang w:val="hr-HR"/>
        </w:rPr>
      </w:pPr>
      <w:r w:rsidRPr="004B4498">
        <w:rPr>
          <w:rFonts w:cs="Arial"/>
          <w:color w:val="000000" w:themeColor="text1"/>
          <w:sz w:val="20"/>
          <w:lang w:val="hr-HR"/>
        </w:rPr>
        <w:t>H. Nekretnine, postrojenja i oprema i nematerijalna imovina (nastavak)</w:t>
      </w:r>
    </w:p>
    <w:p w14:paraId="0D7FA6EC" w14:textId="77777777" w:rsidR="004E2F51" w:rsidRPr="004B4498" w:rsidRDefault="004E2F51" w:rsidP="004E2F51">
      <w:pPr>
        <w:jc w:val="both"/>
        <w:rPr>
          <w:rFonts w:ascii="Arial" w:hAnsi="Arial" w:cs="Arial"/>
          <w:b/>
          <w:color w:val="000000" w:themeColor="text1"/>
          <w:sz w:val="20"/>
          <w:szCs w:val="20"/>
          <w:lang w:val="hr-HR"/>
        </w:rPr>
      </w:pPr>
    </w:p>
    <w:p w14:paraId="753351DF" w14:textId="77777777" w:rsidR="004E2F51" w:rsidRPr="004B4498" w:rsidRDefault="004E2F51" w:rsidP="004E2F51">
      <w:pPr>
        <w:pStyle w:val="T1"/>
        <w:tabs>
          <w:tab w:val="left" w:pos="567"/>
        </w:tabs>
        <w:spacing w:before="0" w:after="0" w:line="240" w:lineRule="auto"/>
        <w:rPr>
          <w:rFonts w:cs="Arial"/>
          <w:b w:val="0"/>
          <w:sz w:val="20"/>
          <w:lang w:val="hr-HR"/>
        </w:rPr>
      </w:pPr>
      <w:r w:rsidRPr="004B4498">
        <w:rPr>
          <w:rFonts w:cs="Arial"/>
          <w:b w:val="0"/>
          <w:color w:val="222222"/>
          <w:sz w:val="20"/>
          <w:lang w:val="hr-HR"/>
        </w:rPr>
        <w:t>Metode amortizacije, korisni vijek trajanja i ostatak vrijednosti pregledavaju se na svaki datum izvještavanja i po potrebi usklađuju.</w:t>
      </w:r>
    </w:p>
    <w:p w14:paraId="4CD8C34F"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p>
    <w:p w14:paraId="32C98BBC"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I. Ulaganja u nekretnine</w:t>
      </w:r>
    </w:p>
    <w:p w14:paraId="7902838F" w14:textId="77777777" w:rsidR="004E2F51" w:rsidRPr="004B4498" w:rsidRDefault="004E2F51" w:rsidP="004E2F51">
      <w:pPr>
        <w:pStyle w:val="accountingpolicytitle"/>
        <w:rPr>
          <w:rFonts w:cs="Arial"/>
          <w:b w:val="0"/>
          <w:color w:val="000000" w:themeColor="text1"/>
          <w:sz w:val="20"/>
          <w:lang w:val="hr-HR"/>
        </w:rPr>
      </w:pPr>
    </w:p>
    <w:p w14:paraId="707E041A" w14:textId="77777777" w:rsidR="004E2F51" w:rsidRPr="004B4498" w:rsidRDefault="004E2F51" w:rsidP="004E2F51">
      <w:pPr>
        <w:pStyle w:val="T1"/>
        <w:keepNext w:val="0"/>
        <w:spacing w:before="0" w:after="0" w:line="240" w:lineRule="auto"/>
        <w:rPr>
          <w:rFonts w:cs="Arial"/>
          <w:b w:val="0"/>
          <w:color w:val="000000" w:themeColor="text1"/>
          <w:sz w:val="20"/>
          <w:lang w:val="hr-HR"/>
        </w:rPr>
      </w:pPr>
      <w:r w:rsidRPr="004B4498">
        <w:rPr>
          <w:rFonts w:cs="Arial"/>
          <w:b w:val="0"/>
          <w:color w:val="000000" w:themeColor="text1"/>
          <w:sz w:val="20"/>
          <w:lang w:val="hr-HR"/>
        </w:rPr>
        <w:t>Ulaganja u nekretnine koje Grupa drži radi ostvarivanja zarade od najamnine ili zbog povećanja tržišne vrijednosti početno se mjeri po trošku nabave, a naknadno umanjuje za akumuliranu amortizaciju i gubitke od umanjenja vrijednosti.</w:t>
      </w:r>
    </w:p>
    <w:p w14:paraId="2D703CBA" w14:textId="77777777" w:rsidR="004E2F51" w:rsidRPr="004B4498" w:rsidRDefault="004E2F51" w:rsidP="004E2F51">
      <w:pPr>
        <w:pStyle w:val="MACNormal"/>
        <w:numPr>
          <w:ilvl w:val="12"/>
          <w:numId w:val="0"/>
        </w:numPr>
        <w:tabs>
          <w:tab w:val="left" w:pos="800"/>
          <w:tab w:val="left" w:pos="2240"/>
          <w:tab w:val="right" w:pos="4220"/>
          <w:tab w:val="right" w:pos="5660"/>
          <w:tab w:val="decimal" w:pos="7100"/>
          <w:tab w:val="decimal" w:pos="8540"/>
        </w:tabs>
        <w:rPr>
          <w:rFonts w:ascii="Arial" w:hAnsi="Arial" w:cs="Arial"/>
          <w:color w:val="000000" w:themeColor="text1"/>
          <w:lang w:val="hr-HR"/>
        </w:rPr>
      </w:pPr>
    </w:p>
    <w:p w14:paraId="45D678F9" w14:textId="77777777" w:rsidR="004E2F51" w:rsidRPr="004B4498" w:rsidRDefault="004E2F51" w:rsidP="004E2F51">
      <w:pPr>
        <w:pStyle w:val="accountingpolicytitle"/>
        <w:rPr>
          <w:rFonts w:cs="Arial"/>
          <w:b w:val="0"/>
          <w:color w:val="000000" w:themeColor="text1"/>
          <w:sz w:val="20"/>
          <w:lang w:val="hr-HR"/>
        </w:rPr>
      </w:pPr>
      <w:r w:rsidRPr="004B4498">
        <w:rPr>
          <w:rFonts w:cs="Arial"/>
          <w:b w:val="0"/>
          <w:color w:val="000000" w:themeColor="text1"/>
          <w:sz w:val="20"/>
          <w:lang w:val="hr-HR"/>
        </w:rPr>
        <w:t>Naknadni troškovi zamjene dijela postojećeg sredstva priznaju se u knjigovodstvenu vrijednost ulaganja u nekretnine u trenutku nastanka troška, kada je vjerojatno da će buduće ekonomske koristi povezane s tom stavkom pritjecati u Grupu i trošak stavke može se pouzdano izmjeriti. Svi ostali troškovi popravaka i održavanja priznaju se kao trošak u razdoblju u kojem su nastali.</w:t>
      </w:r>
    </w:p>
    <w:p w14:paraId="4FEBB449" w14:textId="77777777" w:rsidR="004E2F51" w:rsidRPr="004B4498" w:rsidRDefault="004E2F51" w:rsidP="004E2F51">
      <w:pPr>
        <w:pStyle w:val="accountingpolicytitle"/>
        <w:rPr>
          <w:rFonts w:cs="Arial"/>
          <w:b w:val="0"/>
          <w:color w:val="000000" w:themeColor="text1"/>
          <w:sz w:val="20"/>
          <w:lang w:val="hr-HR"/>
        </w:rPr>
      </w:pPr>
    </w:p>
    <w:p w14:paraId="20702778" w14:textId="77777777" w:rsidR="004E2F51" w:rsidRPr="004B4498" w:rsidRDefault="004E2F51" w:rsidP="004E2F51">
      <w:pPr>
        <w:pStyle w:val="accountingpolicytitle"/>
        <w:rPr>
          <w:rFonts w:cs="Arial"/>
          <w:b w:val="0"/>
          <w:color w:val="000000" w:themeColor="text1"/>
          <w:sz w:val="20"/>
          <w:lang w:val="hr-HR"/>
        </w:rPr>
      </w:pPr>
      <w:r w:rsidRPr="004B4498">
        <w:rPr>
          <w:rFonts w:cs="Arial"/>
          <w:b w:val="0"/>
          <w:color w:val="000000" w:themeColor="text1"/>
          <w:sz w:val="20"/>
          <w:lang w:val="hr-HR"/>
        </w:rPr>
        <w:t>Zemljište se ne amortizira. Amortizacija se obračunava na ostala ulaganja u nekretnine po linearnoj metodi po propisanim stopama kako bi se trošak imovine otpisao tijekom procijenjenog korisnog vijeka trajanja imovine.</w:t>
      </w:r>
    </w:p>
    <w:p w14:paraId="09A6DCFF" w14:textId="77777777" w:rsidR="004E2F51" w:rsidRPr="004B4498" w:rsidRDefault="004E2F51" w:rsidP="004E2F51">
      <w:pPr>
        <w:pStyle w:val="accountingpolicytitle"/>
        <w:rPr>
          <w:rFonts w:cs="Arial"/>
          <w:b w:val="0"/>
          <w:color w:val="000000" w:themeColor="text1"/>
          <w:sz w:val="20"/>
          <w:lang w:val="hr-HR"/>
        </w:rPr>
      </w:pPr>
    </w:p>
    <w:tbl>
      <w:tblPr>
        <w:tblW w:w="5076" w:type="pct"/>
        <w:tblInd w:w="-142" w:type="dxa"/>
        <w:tblLayout w:type="fixed"/>
        <w:tblLook w:val="0000" w:firstRow="0" w:lastRow="0" w:firstColumn="0" w:lastColumn="0" w:noHBand="0" w:noVBand="0"/>
      </w:tblPr>
      <w:tblGrid>
        <w:gridCol w:w="6236"/>
        <w:gridCol w:w="1643"/>
        <w:gridCol w:w="1618"/>
      </w:tblGrid>
      <w:tr w:rsidR="004E2F51" w:rsidRPr="00C25BBA" w14:paraId="210A64DC" w14:textId="77777777" w:rsidTr="00E032FC">
        <w:trPr>
          <w:trHeight w:val="239"/>
        </w:trPr>
        <w:tc>
          <w:tcPr>
            <w:tcW w:w="3283" w:type="pct"/>
          </w:tcPr>
          <w:p w14:paraId="6178D12A" w14:textId="77777777" w:rsidR="004E2F51" w:rsidRPr="004B4498" w:rsidRDefault="004E2F51" w:rsidP="00E032FC">
            <w:pPr>
              <w:pStyle w:val="Tabletext"/>
              <w:ind w:left="37" w:firstLine="0"/>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Procijenjeni vijek trajanja imovine izražen u godinama je kako slijedi:   </w:t>
            </w:r>
          </w:p>
        </w:tc>
        <w:tc>
          <w:tcPr>
            <w:tcW w:w="865" w:type="pct"/>
            <w:vAlign w:val="bottom"/>
          </w:tcPr>
          <w:p w14:paraId="72FD30BD" w14:textId="77777777" w:rsidR="004E2F51" w:rsidRPr="004B4498" w:rsidRDefault="004E2F51" w:rsidP="00E032FC">
            <w:pPr>
              <w:pStyle w:val="Tabletext"/>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202</w:t>
            </w:r>
            <w:r>
              <w:rPr>
                <w:rFonts w:ascii="Arial" w:hAnsi="Arial" w:cs="Arial"/>
                <w:b/>
                <w:color w:val="000000" w:themeColor="text1"/>
                <w:sz w:val="20"/>
                <w:szCs w:val="20"/>
                <w:lang w:val="hr-HR"/>
              </w:rPr>
              <w:t>2</w:t>
            </w:r>
            <w:r w:rsidRPr="004B4498">
              <w:rPr>
                <w:rFonts w:ascii="Arial" w:hAnsi="Arial" w:cs="Arial"/>
                <w:b/>
                <w:color w:val="000000" w:themeColor="text1"/>
                <w:sz w:val="20"/>
                <w:szCs w:val="20"/>
                <w:lang w:val="hr-HR"/>
              </w:rPr>
              <w:t>.</w:t>
            </w:r>
          </w:p>
        </w:tc>
        <w:tc>
          <w:tcPr>
            <w:tcW w:w="852" w:type="pct"/>
            <w:vAlign w:val="bottom"/>
          </w:tcPr>
          <w:p w14:paraId="7643C5DB" w14:textId="77777777" w:rsidR="004E2F51" w:rsidRPr="004B4498" w:rsidRDefault="004E2F51" w:rsidP="00E032FC">
            <w:pPr>
              <w:pStyle w:val="Tabletext"/>
              <w:jc w:val="right"/>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202</w:t>
            </w:r>
            <w:r>
              <w:rPr>
                <w:rFonts w:ascii="Arial" w:hAnsi="Arial" w:cs="Arial"/>
                <w:b/>
                <w:color w:val="000000" w:themeColor="text1"/>
                <w:sz w:val="20"/>
                <w:szCs w:val="20"/>
                <w:lang w:val="hr-HR"/>
              </w:rPr>
              <w:t>1</w:t>
            </w:r>
            <w:r w:rsidRPr="004B4498">
              <w:rPr>
                <w:rFonts w:ascii="Arial" w:hAnsi="Arial" w:cs="Arial"/>
                <w:b/>
                <w:color w:val="000000" w:themeColor="text1"/>
                <w:sz w:val="20"/>
                <w:szCs w:val="20"/>
                <w:lang w:val="hr-HR"/>
              </w:rPr>
              <w:t>.</w:t>
            </w:r>
          </w:p>
        </w:tc>
      </w:tr>
      <w:tr w:rsidR="004E2F51" w:rsidRPr="00C25BBA" w14:paraId="064F4370" w14:textId="77777777" w:rsidTr="00E032FC">
        <w:trPr>
          <w:trHeight w:val="211"/>
        </w:trPr>
        <w:tc>
          <w:tcPr>
            <w:tcW w:w="3283" w:type="pct"/>
          </w:tcPr>
          <w:p w14:paraId="26CC20F8" w14:textId="77777777" w:rsidR="004E2F51" w:rsidRPr="004B4498" w:rsidRDefault="004E2F51" w:rsidP="00E032FC">
            <w:pPr>
              <w:pStyle w:val="Tabletext"/>
              <w:rPr>
                <w:rFonts w:ascii="Arial" w:hAnsi="Arial" w:cs="Arial"/>
                <w:color w:val="000000" w:themeColor="text1"/>
                <w:sz w:val="20"/>
                <w:szCs w:val="20"/>
                <w:lang w:val="hr-HR"/>
              </w:rPr>
            </w:pPr>
          </w:p>
        </w:tc>
        <w:tc>
          <w:tcPr>
            <w:tcW w:w="865" w:type="pct"/>
            <w:vAlign w:val="bottom"/>
          </w:tcPr>
          <w:p w14:paraId="001983CB" w14:textId="77777777" w:rsidR="004E2F51" w:rsidRPr="004B4498" w:rsidRDefault="004E2F51" w:rsidP="00E032FC">
            <w:pPr>
              <w:pStyle w:val="Tabletext"/>
              <w:jc w:val="right"/>
              <w:rPr>
                <w:rFonts w:ascii="Arial" w:hAnsi="Arial" w:cs="Arial"/>
                <w:color w:val="000000" w:themeColor="text1"/>
                <w:sz w:val="20"/>
                <w:szCs w:val="20"/>
                <w:lang w:val="hr-HR"/>
              </w:rPr>
            </w:pPr>
            <w:r w:rsidRPr="004B4498">
              <w:rPr>
                <w:rFonts w:ascii="Arial" w:hAnsi="Arial" w:cs="Arial"/>
                <w:color w:val="000000" w:themeColor="text1"/>
                <w:sz w:val="20"/>
                <w:szCs w:val="20"/>
                <w:lang w:val="hr-HR"/>
              </w:rPr>
              <w:t>godine</w:t>
            </w:r>
          </w:p>
        </w:tc>
        <w:tc>
          <w:tcPr>
            <w:tcW w:w="852" w:type="pct"/>
            <w:vAlign w:val="bottom"/>
          </w:tcPr>
          <w:p w14:paraId="6DE1B0F9" w14:textId="77777777" w:rsidR="004E2F51" w:rsidRPr="004B4498" w:rsidRDefault="004E2F51" w:rsidP="00E032FC">
            <w:pPr>
              <w:pStyle w:val="Tabletext"/>
              <w:jc w:val="right"/>
              <w:rPr>
                <w:rFonts w:ascii="Arial" w:hAnsi="Arial" w:cs="Arial"/>
                <w:color w:val="000000" w:themeColor="text1"/>
                <w:sz w:val="20"/>
                <w:szCs w:val="20"/>
                <w:lang w:val="hr-HR"/>
              </w:rPr>
            </w:pPr>
            <w:r w:rsidRPr="004B4498">
              <w:rPr>
                <w:rFonts w:ascii="Arial" w:hAnsi="Arial" w:cs="Arial"/>
                <w:color w:val="000000" w:themeColor="text1"/>
                <w:sz w:val="20"/>
                <w:szCs w:val="20"/>
                <w:lang w:val="hr-HR"/>
              </w:rPr>
              <w:t>godine</w:t>
            </w:r>
          </w:p>
        </w:tc>
      </w:tr>
      <w:tr w:rsidR="004E2F51" w:rsidRPr="00C25BBA" w14:paraId="3FC4DDA2" w14:textId="77777777" w:rsidTr="00E032FC">
        <w:trPr>
          <w:trHeight w:val="284"/>
        </w:trPr>
        <w:tc>
          <w:tcPr>
            <w:tcW w:w="3283" w:type="pct"/>
            <w:vAlign w:val="bottom"/>
          </w:tcPr>
          <w:p w14:paraId="29DACE12" w14:textId="77777777" w:rsidR="004E2F51" w:rsidRPr="004B4498" w:rsidRDefault="004E2F51" w:rsidP="00E032FC">
            <w:pPr>
              <w:pStyle w:val="Tabletext"/>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 Najam nekretnine</w:t>
            </w:r>
          </w:p>
        </w:tc>
        <w:tc>
          <w:tcPr>
            <w:tcW w:w="865" w:type="pct"/>
            <w:vAlign w:val="bottom"/>
          </w:tcPr>
          <w:p w14:paraId="4A204CB9" w14:textId="77777777" w:rsidR="004E2F51" w:rsidRPr="004B4498" w:rsidRDefault="004E2F51" w:rsidP="00E032FC">
            <w:pPr>
              <w:pStyle w:val="Tabletext"/>
              <w:jc w:val="right"/>
              <w:rPr>
                <w:rFonts w:ascii="Arial" w:hAnsi="Arial" w:cs="Arial"/>
                <w:color w:val="000000" w:themeColor="text1"/>
                <w:sz w:val="20"/>
                <w:szCs w:val="20"/>
                <w:lang w:val="hr-HR"/>
              </w:rPr>
            </w:pPr>
            <w:r w:rsidRPr="00DA5F05">
              <w:rPr>
                <w:rFonts w:ascii="Arial" w:hAnsi="Arial" w:cs="Arial"/>
                <w:color w:val="000000" w:themeColor="text1"/>
                <w:sz w:val="20"/>
                <w:szCs w:val="20"/>
                <w:lang w:val="hr-HR"/>
              </w:rPr>
              <w:t>20</w:t>
            </w:r>
          </w:p>
        </w:tc>
        <w:tc>
          <w:tcPr>
            <w:tcW w:w="852" w:type="pct"/>
            <w:vAlign w:val="bottom"/>
          </w:tcPr>
          <w:p w14:paraId="542C3A49" w14:textId="77777777" w:rsidR="004E2F51" w:rsidRPr="004B4498" w:rsidRDefault="004E2F51" w:rsidP="00E032FC">
            <w:pPr>
              <w:pStyle w:val="Tabletext"/>
              <w:jc w:val="right"/>
              <w:rPr>
                <w:rFonts w:ascii="Arial" w:hAnsi="Arial" w:cs="Arial"/>
                <w:color w:val="000000" w:themeColor="text1"/>
                <w:sz w:val="20"/>
                <w:szCs w:val="20"/>
                <w:lang w:val="hr-HR"/>
              </w:rPr>
            </w:pPr>
            <w:r w:rsidRPr="004B4498">
              <w:rPr>
                <w:rFonts w:ascii="Arial" w:hAnsi="Arial" w:cs="Arial"/>
                <w:color w:val="000000" w:themeColor="text1"/>
                <w:sz w:val="20"/>
                <w:szCs w:val="20"/>
                <w:lang w:val="hr-HR"/>
              </w:rPr>
              <w:t>20</w:t>
            </w:r>
          </w:p>
        </w:tc>
      </w:tr>
    </w:tbl>
    <w:p w14:paraId="7E7764E4" w14:textId="77777777" w:rsidR="004E2F51" w:rsidRPr="004B4498" w:rsidRDefault="004E2F51" w:rsidP="004E2F51">
      <w:pPr>
        <w:pStyle w:val="accountingpolicytitle"/>
        <w:rPr>
          <w:rFonts w:cs="Arial"/>
          <w:b w:val="0"/>
          <w:color w:val="000000" w:themeColor="text1"/>
          <w:sz w:val="20"/>
          <w:lang w:val="hr-HR"/>
        </w:rPr>
      </w:pPr>
    </w:p>
    <w:p w14:paraId="45668540" w14:textId="77777777" w:rsidR="004E2F51" w:rsidRPr="004B4498" w:rsidRDefault="004E2F51" w:rsidP="004E2F51">
      <w:pPr>
        <w:pStyle w:val="accountingpolicytitle"/>
        <w:rPr>
          <w:rFonts w:cs="Arial"/>
          <w:b w:val="0"/>
          <w:color w:val="000000" w:themeColor="text1"/>
          <w:sz w:val="20"/>
          <w:lang w:val="hr-HR"/>
        </w:rPr>
      </w:pPr>
      <w:r w:rsidRPr="004B4498">
        <w:rPr>
          <w:rFonts w:cs="Arial"/>
          <w:b w:val="0"/>
          <w:color w:val="000000" w:themeColor="text1"/>
          <w:sz w:val="20"/>
          <w:lang w:val="hr-HR"/>
        </w:rPr>
        <w:t>Preostala vrijednost, metode amortizacije i procijenjeni vijek uporabe periodički se pregledavaju i usklađuju, ako je potrebno, na svaki datum izvještavanja o financijskom položaju. Ako se utvrdi da je knjigovodstvena vrijednost imovine veća od procijenjenog nadoknadivog iznosa, odmah se otpisuje do nadoknadivog iznosa. Dobici i gubici od otuđenja procjenjuju se usporedbom prihoda od prodaje s knjigovodstvenim iznosom i evidentiraju se u sveobuhvatnoj dobiti.</w:t>
      </w:r>
    </w:p>
    <w:p w14:paraId="0912BCFF" w14:textId="77777777" w:rsidR="004E2F51" w:rsidRPr="004B4498" w:rsidRDefault="004E2F51" w:rsidP="004E2F51">
      <w:pPr>
        <w:pStyle w:val="accountingpolicytitle"/>
        <w:rPr>
          <w:rFonts w:cs="Arial"/>
          <w:b w:val="0"/>
          <w:color w:val="000000" w:themeColor="text1"/>
          <w:sz w:val="20"/>
          <w:lang w:val="hr-HR"/>
        </w:rPr>
      </w:pPr>
    </w:p>
    <w:p w14:paraId="2EE946D3" w14:textId="77777777" w:rsidR="004E2F51" w:rsidRPr="004B4498" w:rsidRDefault="004E2F51" w:rsidP="004E2F51">
      <w:pPr>
        <w:pStyle w:val="accountingpolicytitle"/>
        <w:rPr>
          <w:rFonts w:cs="Arial"/>
          <w:b w:val="0"/>
          <w:color w:val="000000" w:themeColor="text1"/>
          <w:sz w:val="20"/>
          <w:lang w:val="hr-HR"/>
        </w:rPr>
      </w:pPr>
      <w:r w:rsidRPr="004B4498">
        <w:rPr>
          <w:rFonts w:cs="Arial"/>
          <w:b w:val="0"/>
          <w:color w:val="000000" w:themeColor="text1"/>
          <w:sz w:val="20"/>
          <w:lang w:val="hr-HR"/>
        </w:rPr>
        <w:t xml:space="preserve">Ulaganja u nekretnine iskazana su u </w:t>
      </w:r>
      <w:r w:rsidRPr="00A873BB">
        <w:rPr>
          <w:rFonts w:cs="Arial"/>
          <w:b w:val="0"/>
          <w:color w:val="000000" w:themeColor="text1"/>
          <w:sz w:val="20"/>
          <w:lang w:val="hr-HR"/>
        </w:rPr>
        <w:t>bilješci 21.</w:t>
      </w:r>
      <w:r w:rsidRPr="004B4498">
        <w:rPr>
          <w:rFonts w:cs="Arial"/>
          <w:b w:val="0"/>
          <w:color w:val="000000" w:themeColor="text1"/>
          <w:sz w:val="20"/>
          <w:lang w:val="hr-HR"/>
        </w:rPr>
        <w:t xml:space="preserve"> Ostala imovina zbog nematerijalnog iznosa.</w:t>
      </w:r>
    </w:p>
    <w:p w14:paraId="464ECB5E" w14:textId="77777777" w:rsidR="004E2F51" w:rsidRPr="004B4498" w:rsidRDefault="004E2F51" w:rsidP="004E2F51">
      <w:pPr>
        <w:pStyle w:val="accountingpolicytitle"/>
        <w:rPr>
          <w:rFonts w:cs="Arial"/>
          <w:b w:val="0"/>
          <w:color w:val="000000" w:themeColor="text1"/>
          <w:sz w:val="20"/>
          <w:lang w:val="hr-HR"/>
        </w:rPr>
      </w:pPr>
    </w:p>
    <w:p w14:paraId="57DCB043" w14:textId="77777777" w:rsidR="004E2F51" w:rsidRPr="004B4498" w:rsidRDefault="004E2F51" w:rsidP="004E2F51">
      <w:pPr>
        <w:pStyle w:val="accountingpolicytitle"/>
        <w:rPr>
          <w:rFonts w:cs="Arial"/>
          <w:color w:val="000000" w:themeColor="text1"/>
          <w:sz w:val="20"/>
          <w:lang w:val="hr-HR"/>
        </w:rPr>
      </w:pPr>
      <w:r w:rsidRPr="004B4498">
        <w:rPr>
          <w:rFonts w:cs="Arial"/>
          <w:color w:val="000000" w:themeColor="text1"/>
          <w:sz w:val="20"/>
          <w:lang w:val="hr-HR"/>
        </w:rPr>
        <w:t>J. Preuzeta imovina</w:t>
      </w:r>
    </w:p>
    <w:p w14:paraId="4862CF62" w14:textId="77777777" w:rsidR="004E2F51" w:rsidRPr="004B4498" w:rsidRDefault="004E2F51" w:rsidP="004E2F51">
      <w:pPr>
        <w:pStyle w:val="accountingpolicytitle"/>
        <w:rPr>
          <w:rFonts w:cs="Arial"/>
          <w:color w:val="000000" w:themeColor="text1"/>
          <w:sz w:val="20"/>
          <w:lang w:val="hr-HR"/>
        </w:rPr>
      </w:pPr>
    </w:p>
    <w:p w14:paraId="11BAC2AA" w14:textId="77777777" w:rsidR="004E2F51" w:rsidRPr="004B4498" w:rsidRDefault="004E2F51" w:rsidP="004E2F51">
      <w:pPr>
        <w:pStyle w:val="T1"/>
        <w:keepNext w:val="0"/>
        <w:tabs>
          <w:tab w:val="right" w:pos="9781"/>
        </w:tabs>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Preuzeta imovina obuhvaća nekretnine, postrojenja i opremu koju je Grupa preuzela u zamjenu za nenaplaćena potraživanja. Grupa očekuje da će tako preuzeta imovina biti nadoknađena prvenstveno putem prodaje, a ne daljnjim korištenjem.</w:t>
      </w:r>
    </w:p>
    <w:p w14:paraId="44CAA1FD" w14:textId="77777777" w:rsidR="004E2F51" w:rsidRPr="004B4498" w:rsidRDefault="004E2F51" w:rsidP="004E2F51">
      <w:pPr>
        <w:pStyle w:val="T1"/>
        <w:keepNext w:val="0"/>
        <w:tabs>
          <w:tab w:val="right" w:pos="9781"/>
        </w:tabs>
        <w:spacing w:before="0" w:after="0" w:line="240" w:lineRule="auto"/>
        <w:rPr>
          <w:rFonts w:cs="Arial"/>
          <w:b w:val="0"/>
          <w:bCs w:val="0"/>
          <w:color w:val="000000" w:themeColor="text1"/>
          <w:sz w:val="20"/>
          <w:lang w:val="hr-HR"/>
        </w:rPr>
      </w:pPr>
    </w:p>
    <w:p w14:paraId="2CB54386" w14:textId="77777777" w:rsidR="004E2F51" w:rsidRPr="004B4498" w:rsidRDefault="004E2F51" w:rsidP="004E2F51">
      <w:pPr>
        <w:pStyle w:val="T1"/>
        <w:keepNext w:val="0"/>
        <w:tabs>
          <w:tab w:val="right" w:pos="9781"/>
        </w:tabs>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Grupa vrednuje ovu imovinu po knjigovodstvenoj vrijednosti ili fer vrijednosti (utvrđenoj od strane neovisnog procjenitelja) umanjenoj za procijenjene očekivane troškove otuđenja, ovisno što je niže. </w:t>
      </w:r>
    </w:p>
    <w:p w14:paraId="40EC32A3" w14:textId="77777777" w:rsidR="004E2F51" w:rsidRPr="004B4498" w:rsidRDefault="004E2F51" w:rsidP="004E2F51">
      <w:pPr>
        <w:pStyle w:val="T1"/>
        <w:keepNext w:val="0"/>
        <w:tabs>
          <w:tab w:val="right" w:pos="9781"/>
        </w:tabs>
        <w:spacing w:before="0" w:after="0" w:line="240" w:lineRule="auto"/>
        <w:rPr>
          <w:rFonts w:cs="Arial"/>
          <w:b w:val="0"/>
          <w:bCs w:val="0"/>
          <w:color w:val="000000" w:themeColor="text1"/>
          <w:sz w:val="20"/>
          <w:lang w:val="hr-HR"/>
        </w:rPr>
      </w:pPr>
    </w:p>
    <w:p w14:paraId="405F7194" w14:textId="77777777" w:rsidR="004E2F51" w:rsidRPr="004B4498" w:rsidRDefault="004E2F51" w:rsidP="004E2F51">
      <w:pPr>
        <w:pStyle w:val="T1"/>
        <w:keepNext w:val="0"/>
        <w:tabs>
          <w:tab w:val="right" w:pos="9781"/>
        </w:tabs>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Amortizacija navedene imovine se ne obračunava.</w:t>
      </w:r>
    </w:p>
    <w:p w14:paraId="289516DB" w14:textId="77777777" w:rsidR="004E2F51" w:rsidRPr="004B4498" w:rsidRDefault="004E2F51" w:rsidP="004E2F51">
      <w:pPr>
        <w:pStyle w:val="T1"/>
        <w:keepNext w:val="0"/>
        <w:tabs>
          <w:tab w:val="right" w:pos="9781"/>
        </w:tabs>
        <w:spacing w:before="0" w:after="0" w:line="240" w:lineRule="auto"/>
        <w:rPr>
          <w:rFonts w:cs="Arial"/>
          <w:b w:val="0"/>
          <w:bCs w:val="0"/>
          <w:color w:val="000000" w:themeColor="text1"/>
          <w:sz w:val="20"/>
          <w:lang w:val="hr-HR"/>
        </w:rPr>
        <w:sectPr w:rsidR="004E2F51" w:rsidRPr="004B4498" w:rsidSect="00F625B3">
          <w:footerReference w:type="default" r:id="rId108"/>
          <w:pgSz w:w="11907" w:h="16840" w:code="9"/>
          <w:pgMar w:top="1418" w:right="1134" w:bottom="1134" w:left="1418" w:header="851" w:footer="851" w:gutter="0"/>
          <w:cols w:space="720"/>
          <w:noEndnote/>
        </w:sectPr>
      </w:pPr>
    </w:p>
    <w:p w14:paraId="7A9A8C19" w14:textId="77777777" w:rsidR="004E2F51" w:rsidRPr="004B4498" w:rsidRDefault="004E2F51" w:rsidP="004E2F51">
      <w:pPr>
        <w:pStyle w:val="T1"/>
        <w:keepNext w:val="0"/>
        <w:tabs>
          <w:tab w:val="right" w:pos="9781"/>
        </w:tabs>
        <w:spacing w:before="0" w:after="0" w:line="240" w:lineRule="auto"/>
        <w:rPr>
          <w:rFonts w:cs="Arial"/>
          <w:b w:val="0"/>
          <w:bCs w:val="0"/>
          <w:color w:val="000000" w:themeColor="text1"/>
          <w:sz w:val="20"/>
          <w:lang w:val="hr-HR"/>
        </w:rPr>
      </w:pPr>
    </w:p>
    <w:p w14:paraId="15FD924C"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3BE220C9"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D109B2E"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311E1D96"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6B61D04B" w14:textId="77777777" w:rsidR="004E2F51" w:rsidRPr="004B4498" w:rsidRDefault="004E2F51" w:rsidP="004E2F51">
      <w:pPr>
        <w:pStyle w:val="accountingpolicytitle"/>
        <w:rPr>
          <w:rFonts w:cs="Arial"/>
          <w:color w:val="000000" w:themeColor="text1"/>
          <w:sz w:val="20"/>
          <w:lang w:val="hr-HR"/>
        </w:rPr>
      </w:pPr>
      <w:r w:rsidRPr="004B4498">
        <w:rPr>
          <w:rFonts w:cs="Arial"/>
          <w:color w:val="000000" w:themeColor="text1"/>
          <w:sz w:val="20"/>
          <w:lang w:val="hr-HR"/>
        </w:rPr>
        <w:t>J. Preuzeta imovina (nastavak)</w:t>
      </w:r>
    </w:p>
    <w:p w14:paraId="2280AE0E" w14:textId="77777777" w:rsidR="004E2F51" w:rsidRPr="004B4498" w:rsidRDefault="004E2F51" w:rsidP="004E2F51">
      <w:pPr>
        <w:pStyle w:val="T1"/>
        <w:keepNext w:val="0"/>
        <w:tabs>
          <w:tab w:val="right" w:pos="9781"/>
        </w:tabs>
        <w:spacing w:before="0" w:after="0" w:line="240" w:lineRule="auto"/>
        <w:rPr>
          <w:rFonts w:cs="Arial"/>
          <w:b w:val="0"/>
          <w:bCs w:val="0"/>
          <w:color w:val="000000" w:themeColor="text1"/>
          <w:sz w:val="20"/>
          <w:lang w:val="hr-HR"/>
        </w:rPr>
      </w:pPr>
    </w:p>
    <w:p w14:paraId="3DA21CA3" w14:textId="77777777" w:rsidR="004E2F51" w:rsidRPr="004B4498" w:rsidRDefault="004E2F51" w:rsidP="004E2F51">
      <w:pPr>
        <w:pStyle w:val="T1"/>
        <w:keepNext w:val="0"/>
        <w:tabs>
          <w:tab w:val="right" w:pos="9781"/>
        </w:tabs>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Grupa priznaje gubitak od umanjenja za bilo koji početni ili naknadni djelomični otpis ove imovine do fer vrijednosti umanjene za troškove otuđenja, i priznaje dobitak za bilo koje naknadno povećanje fer vrijednosti umanjenoj za troškove otuđenja imovine, do visine kumulativnog gubitka od umanjenja koji je bio priznat.</w:t>
      </w:r>
    </w:p>
    <w:p w14:paraId="0F3172FB" w14:textId="77777777" w:rsidR="004E2F51" w:rsidRPr="004B4498" w:rsidRDefault="004E2F51" w:rsidP="004E2F51">
      <w:pPr>
        <w:pStyle w:val="accountingpolicytitle"/>
        <w:rPr>
          <w:rFonts w:cs="Arial"/>
          <w:b w:val="0"/>
          <w:color w:val="000000" w:themeColor="text1"/>
          <w:sz w:val="20"/>
          <w:lang w:val="hr-HR"/>
        </w:rPr>
      </w:pPr>
    </w:p>
    <w:p w14:paraId="7714D1E2"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Rezervacije za umanjenje vrijednosti priznaju se u dobiti ili gubitku, kao dobici/gubici nakon naknadnog mjerenja i prodaje preuzete imovine.</w:t>
      </w:r>
    </w:p>
    <w:p w14:paraId="74C4CEF9"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3D451AAC" w14:textId="77777777" w:rsidR="004E2F51" w:rsidRPr="004B4498" w:rsidRDefault="004E2F51" w:rsidP="004E2F51">
      <w:pPr>
        <w:pStyle w:val="accountingpolicytitle"/>
        <w:rPr>
          <w:rFonts w:cs="Arial"/>
          <w:color w:val="000000" w:themeColor="text1"/>
          <w:sz w:val="20"/>
          <w:lang w:val="hr-HR"/>
        </w:rPr>
      </w:pPr>
      <w:r w:rsidRPr="004B4498">
        <w:rPr>
          <w:rFonts w:cs="Arial"/>
          <w:color w:val="000000" w:themeColor="text1"/>
          <w:sz w:val="20"/>
          <w:lang w:val="hr-HR"/>
        </w:rPr>
        <w:t>K. Depoziti, obveze po kreditima i obveze za izdane dugoročne vrijednosne papire</w:t>
      </w:r>
    </w:p>
    <w:p w14:paraId="1F1D07D6" w14:textId="77777777" w:rsidR="004E2F51" w:rsidRPr="004B4498" w:rsidRDefault="004E2F51" w:rsidP="004E2F51">
      <w:pPr>
        <w:pStyle w:val="T1"/>
        <w:spacing w:before="0" w:after="0" w:line="240" w:lineRule="auto"/>
        <w:rPr>
          <w:rFonts w:cs="Arial"/>
          <w:color w:val="000000" w:themeColor="text1"/>
          <w:sz w:val="20"/>
          <w:lang w:val="hr-HR"/>
        </w:rPr>
      </w:pPr>
    </w:p>
    <w:p w14:paraId="37C25DEE" w14:textId="77777777" w:rsidR="004E2F51" w:rsidRPr="004B4498" w:rsidRDefault="004E2F51" w:rsidP="004E2F51">
      <w:pPr>
        <w:pStyle w:val="accountingpolicytitle"/>
        <w:rPr>
          <w:rFonts w:cs="Arial"/>
          <w:b w:val="0"/>
          <w:color w:val="000000" w:themeColor="text1"/>
          <w:sz w:val="20"/>
          <w:lang w:val="hr-HR"/>
        </w:rPr>
      </w:pPr>
      <w:r w:rsidRPr="004B4498">
        <w:rPr>
          <w:rFonts w:cs="Arial"/>
          <w:b w:val="0"/>
          <w:color w:val="000000" w:themeColor="text1"/>
          <w:sz w:val="20"/>
          <w:lang w:val="hr-HR"/>
        </w:rPr>
        <w:t xml:space="preserve">Izdani dužnički vrijednosni papiri i zaduženja su izvori financiranja Grupe.  </w:t>
      </w:r>
    </w:p>
    <w:p w14:paraId="369A4E5A" w14:textId="77777777" w:rsidR="004E2F51" w:rsidRPr="004B4498" w:rsidRDefault="004E2F51" w:rsidP="004E2F51">
      <w:pPr>
        <w:pStyle w:val="accountingpolicytitle"/>
        <w:rPr>
          <w:rFonts w:cs="Arial"/>
          <w:b w:val="0"/>
          <w:color w:val="000000" w:themeColor="text1"/>
          <w:sz w:val="20"/>
          <w:lang w:val="hr-HR"/>
        </w:rPr>
      </w:pPr>
    </w:p>
    <w:p w14:paraId="58BC92D5" w14:textId="77777777" w:rsidR="004E2F51" w:rsidRPr="004B4498" w:rsidRDefault="004E2F51" w:rsidP="004E2F51">
      <w:pPr>
        <w:pStyle w:val="accountingpolicytitle"/>
        <w:rPr>
          <w:rFonts w:cs="Arial"/>
          <w:b w:val="0"/>
          <w:color w:val="000000" w:themeColor="text1"/>
          <w:sz w:val="20"/>
          <w:lang w:val="hr-HR"/>
        </w:rPr>
      </w:pPr>
      <w:r w:rsidRPr="004B4498">
        <w:rPr>
          <w:rFonts w:cs="Arial"/>
          <w:b w:val="0"/>
          <w:color w:val="000000" w:themeColor="text1"/>
          <w:sz w:val="20"/>
          <w:lang w:val="hr-HR"/>
        </w:rPr>
        <w:t>Depoziti, obveze za izdane dugoročne vrijednosne papire i obveze po kreditima početno se mjere po fer vrijednosti umanjenoj za dodatne izravne transakcijske troškove te se naknadno mjere po amortiziranom trošku primjenom metode efektivne kamatne stope, osim ako Grupa ne odredi obveze po fer vrijednosti kroz dobit ili gubitak.</w:t>
      </w:r>
    </w:p>
    <w:p w14:paraId="5559E1CD" w14:textId="77777777" w:rsidR="004E2F51" w:rsidRPr="004B4498" w:rsidRDefault="004E2F51" w:rsidP="004E2F51">
      <w:pPr>
        <w:pStyle w:val="T1"/>
        <w:keepNext w:val="0"/>
        <w:spacing w:before="0" w:after="0" w:line="240" w:lineRule="auto"/>
        <w:rPr>
          <w:rFonts w:cs="Arial"/>
          <w:bCs w:val="0"/>
          <w:color w:val="000000" w:themeColor="text1"/>
          <w:sz w:val="20"/>
          <w:lang w:val="hr-HR"/>
        </w:rPr>
      </w:pPr>
    </w:p>
    <w:p w14:paraId="743848F1" w14:textId="77777777" w:rsidR="004E2F51" w:rsidRPr="004B4498" w:rsidRDefault="004E2F51" w:rsidP="004E2F51">
      <w:pPr>
        <w:pStyle w:val="accountingpolicytitle"/>
        <w:rPr>
          <w:rFonts w:cs="Arial"/>
          <w:b w:val="0"/>
          <w:color w:val="000000" w:themeColor="text1"/>
          <w:sz w:val="20"/>
          <w:lang w:val="hr-HR"/>
        </w:rPr>
      </w:pPr>
      <w:r w:rsidRPr="004B4498">
        <w:rPr>
          <w:rFonts w:cs="Arial"/>
          <w:b w:val="0"/>
          <w:color w:val="000000" w:themeColor="text1"/>
          <w:sz w:val="20"/>
          <w:lang w:val="hr-HR"/>
        </w:rPr>
        <w:t>Financijske obveze se iskazuju u ugovorenoj valuti preračunatoj u kune po srednjem tečaju HNB-a, ugovornom tečaju ili po utvrđenoj svoti koja potječe iz poslovnih i financijskih transakcija temeljenih na dokumentaciji.</w:t>
      </w:r>
    </w:p>
    <w:p w14:paraId="2E532CBA" w14:textId="77777777" w:rsidR="004E2F51" w:rsidRPr="004B4498" w:rsidRDefault="004E2F51" w:rsidP="004E2F51">
      <w:pPr>
        <w:pStyle w:val="T1"/>
        <w:keepNext w:val="0"/>
        <w:spacing w:before="0" w:after="0" w:line="240" w:lineRule="auto"/>
        <w:rPr>
          <w:rFonts w:cs="Arial"/>
          <w:bCs w:val="0"/>
          <w:color w:val="000000" w:themeColor="text1"/>
          <w:sz w:val="20"/>
          <w:lang w:val="hr-HR"/>
        </w:rPr>
      </w:pPr>
    </w:p>
    <w:p w14:paraId="47E7BA0E" w14:textId="77777777" w:rsidR="004E2F51" w:rsidRPr="004B4498" w:rsidRDefault="004E2F51" w:rsidP="004E2F51">
      <w:pPr>
        <w:pStyle w:val="accountingpolicytitle"/>
        <w:rPr>
          <w:rFonts w:cs="Arial"/>
          <w:b w:val="0"/>
          <w:bCs/>
          <w:color w:val="000000" w:themeColor="text1"/>
          <w:sz w:val="20"/>
          <w:lang w:val="hr-HR"/>
        </w:rPr>
      </w:pPr>
      <w:r w:rsidRPr="004B4498">
        <w:rPr>
          <w:rFonts w:cs="Arial"/>
          <w:b w:val="0"/>
          <w:color w:val="000000" w:themeColor="text1"/>
          <w:sz w:val="20"/>
          <w:lang w:val="hr-HR"/>
        </w:rPr>
        <w:t>Kada Grupa proda financijsku imovinu i istovremeno zaključi ugovor o ponovnoj kupnji te imovine (ili slične imovine) po fiksnoj cijeni na budući datum (ugovor o prodaji i ponovnoj kupnji), aranžman se obračunava kao zajmovi uzeti od financijskih institucija koji su osigurani instrumentima osiguranja, a predmetna imovina i nadalje se priznaje u financijskim izvještajima Grupe.</w:t>
      </w:r>
    </w:p>
    <w:p w14:paraId="1FD986CD" w14:textId="77777777" w:rsidR="004E2F51" w:rsidRPr="004B4498" w:rsidRDefault="004E2F51" w:rsidP="004E2F51">
      <w:pPr>
        <w:pStyle w:val="T1"/>
        <w:keepNext w:val="0"/>
        <w:spacing w:before="0" w:after="0" w:line="240" w:lineRule="auto"/>
        <w:rPr>
          <w:rFonts w:cs="Arial"/>
          <w:bCs w:val="0"/>
          <w:color w:val="000000" w:themeColor="text1"/>
          <w:sz w:val="20"/>
          <w:lang w:val="hr-HR"/>
        </w:rPr>
      </w:pPr>
    </w:p>
    <w:p w14:paraId="77152689" w14:textId="77777777" w:rsidR="004E2F51" w:rsidRPr="004B4498" w:rsidRDefault="004E2F51" w:rsidP="004E2F51">
      <w:pPr>
        <w:pStyle w:val="T1"/>
        <w:keepNext w:val="0"/>
        <w:spacing w:before="0" w:after="0" w:line="240" w:lineRule="auto"/>
        <w:rPr>
          <w:rFonts w:cs="Arial"/>
          <w:bCs w:val="0"/>
          <w:color w:val="000000" w:themeColor="text1"/>
          <w:sz w:val="20"/>
          <w:lang w:val="hr-HR"/>
        </w:rPr>
      </w:pPr>
      <w:r w:rsidRPr="004B4498">
        <w:rPr>
          <w:rFonts w:cs="Arial"/>
          <w:bCs w:val="0"/>
          <w:color w:val="000000" w:themeColor="text1"/>
          <w:sz w:val="20"/>
          <w:lang w:val="hr-HR"/>
        </w:rPr>
        <w:t>L. Državne potpore</w:t>
      </w:r>
    </w:p>
    <w:p w14:paraId="01743B3A"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p>
    <w:p w14:paraId="6310D172" w14:textId="77777777" w:rsidR="004E2F51" w:rsidRPr="004B4498" w:rsidRDefault="004E2F51" w:rsidP="004E2F51">
      <w:pPr>
        <w:pStyle w:val="accountingpolicytitle"/>
        <w:rPr>
          <w:rFonts w:cs="Arial"/>
          <w:b w:val="0"/>
          <w:color w:val="000000" w:themeColor="text1"/>
          <w:sz w:val="20"/>
          <w:lang w:val="hr-HR"/>
        </w:rPr>
      </w:pPr>
      <w:bookmarkStart w:id="714" w:name="_Hlk96939794"/>
      <w:bookmarkStart w:id="715" w:name="_Hlk65749537"/>
      <w:r w:rsidRPr="009946AF">
        <w:rPr>
          <w:rFonts w:cs="Arial"/>
          <w:b w:val="0"/>
          <w:color w:val="000000" w:themeColor="text1"/>
          <w:sz w:val="20"/>
          <w:lang w:val="hr-HR"/>
        </w:rPr>
        <w:t>Korisnicima koji ostvaruju pravo na subvenciju kamatne stope po Programu povlaštenog financiranja po kreditnim programima HBOR-a kamatna stopa je subvencionirana za cijelo vrijeme trajanja otplate kredita od strane Republike Hrvatske – Ministarstva financija, po Programu Obrtna sredstva Mjera COVID-19 za MSP poduzetnike u turističkim djelatnostima, po programu NPOO – Fond subvencija kamata za MSP, po programu NPOO – Fond subvencija kamata za MIDCAP i Velike poduzetnike, po programu NPOO – Fond subvencija kamata za Javni sektor</w:t>
      </w:r>
      <w:r w:rsidRPr="004B4498">
        <w:rPr>
          <w:rFonts w:cs="Arial"/>
          <w:b w:val="0"/>
          <w:color w:val="000000" w:themeColor="text1"/>
          <w:sz w:val="20"/>
          <w:lang w:val="hr-HR"/>
        </w:rPr>
        <w:t>.</w:t>
      </w:r>
    </w:p>
    <w:bookmarkEnd w:id="714"/>
    <w:bookmarkEnd w:id="715"/>
    <w:p w14:paraId="173FF728" w14:textId="77777777" w:rsidR="004E2F51" w:rsidRPr="004B4498" w:rsidRDefault="004E2F51" w:rsidP="004E2F51">
      <w:pPr>
        <w:pStyle w:val="TT"/>
        <w:tabs>
          <w:tab w:val="clear" w:pos="1202"/>
        </w:tabs>
        <w:spacing w:line="240" w:lineRule="auto"/>
        <w:jc w:val="both"/>
        <w:outlineLvl w:val="9"/>
        <w:rPr>
          <w:rFonts w:cs="Arial"/>
          <w:bCs/>
          <w:color w:val="000000" w:themeColor="text1"/>
          <w:sz w:val="20"/>
          <w:lang w:val="hr-HR"/>
        </w:rPr>
      </w:pPr>
    </w:p>
    <w:p w14:paraId="0BF97853" w14:textId="77777777" w:rsidR="004E2F51" w:rsidRPr="004B4498" w:rsidRDefault="004E2F51" w:rsidP="004E2F51">
      <w:pPr>
        <w:pStyle w:val="TT"/>
        <w:tabs>
          <w:tab w:val="clear" w:pos="1202"/>
        </w:tabs>
        <w:spacing w:line="240" w:lineRule="auto"/>
        <w:jc w:val="both"/>
        <w:outlineLvl w:val="9"/>
        <w:rPr>
          <w:rFonts w:cs="Arial"/>
          <w:bCs/>
          <w:color w:val="000000" w:themeColor="text1"/>
          <w:sz w:val="20"/>
          <w:lang w:val="hr-HR"/>
        </w:rPr>
      </w:pPr>
      <w:r w:rsidRPr="004B4498">
        <w:rPr>
          <w:rFonts w:cs="Arial"/>
          <w:bCs/>
          <w:color w:val="000000" w:themeColor="text1"/>
          <w:sz w:val="20"/>
          <w:lang w:val="hr-HR"/>
        </w:rPr>
        <w:t>Diskontirani iznos subvencionirane kamate za krajnjeg korisnika iskazan je kao odgođeno priznavanje kamatnih prihoda u ostalim obvezama i priznaje se u računu dobiti i gubitka na vremenskoj osnovi tijekom razdoblja otplate kredita. Sukladno tome krediti su iskazani po amortiziranom trošku, korištenjem kamatne stope bez uvažavanja efekata subvencija uplaćenih od države.</w:t>
      </w:r>
    </w:p>
    <w:p w14:paraId="7C89C3DE"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sectPr w:rsidR="004E2F51" w:rsidRPr="004B4498" w:rsidSect="00F625B3">
          <w:footerReference w:type="default" r:id="rId109"/>
          <w:pgSz w:w="11907" w:h="16840" w:code="9"/>
          <w:pgMar w:top="1418" w:right="1134" w:bottom="1134" w:left="1418" w:header="851" w:footer="851" w:gutter="0"/>
          <w:cols w:space="720"/>
          <w:noEndnote/>
        </w:sectPr>
      </w:pPr>
    </w:p>
    <w:p w14:paraId="4C2C12EF"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51DF3B42"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7BF1240C" w14:textId="77777777" w:rsidR="004E2F51" w:rsidRPr="004B4498" w:rsidRDefault="004E2F51" w:rsidP="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p>
    <w:p w14:paraId="6D00CEBA" w14:textId="77777777" w:rsidR="004E2F51" w:rsidRPr="004B4498" w:rsidRDefault="004E2F51" w:rsidP="004E2F5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5307A4D7"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p>
    <w:p w14:paraId="674B9BE7" w14:textId="77777777" w:rsidR="004E2F51" w:rsidRPr="004B4498" w:rsidRDefault="004E2F51" w:rsidP="004E2F51">
      <w:pPr>
        <w:pStyle w:val="accountingpolicytitle"/>
        <w:rPr>
          <w:rFonts w:cs="Arial"/>
          <w:color w:val="000000" w:themeColor="text1"/>
          <w:sz w:val="20"/>
          <w:lang w:val="hr-HR"/>
        </w:rPr>
      </w:pPr>
      <w:r w:rsidRPr="004B4498">
        <w:rPr>
          <w:rFonts w:cs="Arial"/>
          <w:color w:val="000000" w:themeColor="text1"/>
          <w:sz w:val="20"/>
          <w:lang w:val="hr-HR"/>
        </w:rPr>
        <w:t>M. Preuzete obveze po kreditima</w:t>
      </w:r>
    </w:p>
    <w:p w14:paraId="5AA8D7EA" w14:textId="77777777" w:rsidR="004E2F51" w:rsidRPr="004B4498" w:rsidRDefault="004E2F51" w:rsidP="004E2F51">
      <w:pPr>
        <w:pStyle w:val="accountingpolicytitle"/>
        <w:rPr>
          <w:rFonts w:cs="Arial"/>
          <w:color w:val="000000" w:themeColor="text1"/>
          <w:sz w:val="20"/>
          <w:lang w:val="hr-HR"/>
        </w:rPr>
      </w:pPr>
    </w:p>
    <w:p w14:paraId="1A701489" w14:textId="77777777" w:rsidR="004E2F51" w:rsidRPr="004B4498" w:rsidRDefault="004E2F51" w:rsidP="004E2F51">
      <w:pPr>
        <w:pStyle w:val="accountingpolicytitle"/>
        <w:rPr>
          <w:rFonts w:cs="Arial"/>
          <w:b w:val="0"/>
          <w:color w:val="000000" w:themeColor="text1"/>
          <w:sz w:val="20"/>
          <w:lang w:val="hr-HR"/>
        </w:rPr>
      </w:pPr>
      <w:r w:rsidRPr="004B4498">
        <w:rPr>
          <w:rFonts w:cs="Arial"/>
          <w:b w:val="0"/>
          <w:color w:val="000000" w:themeColor="text1"/>
          <w:sz w:val="20"/>
          <w:lang w:val="hr-HR"/>
        </w:rPr>
        <w:t>Grupa nema preuzetih obveza po kreditima koje se mjere po fer vrijednosti kroz dobit ili gubitak.</w:t>
      </w:r>
    </w:p>
    <w:p w14:paraId="58D08E28" w14:textId="77777777" w:rsidR="004E2F51" w:rsidRPr="004B4498" w:rsidRDefault="004E2F51" w:rsidP="004E2F51">
      <w:pPr>
        <w:pStyle w:val="accountingpolicytitle"/>
        <w:rPr>
          <w:rFonts w:cs="Arial"/>
          <w:color w:val="000000" w:themeColor="text1"/>
          <w:sz w:val="20"/>
          <w:lang w:val="hr-HR"/>
        </w:rPr>
      </w:pPr>
    </w:p>
    <w:p w14:paraId="53EA6BD2" w14:textId="77777777" w:rsidR="004E2F51" w:rsidRPr="004B4498" w:rsidRDefault="004E2F51" w:rsidP="004E2F51">
      <w:pPr>
        <w:pStyle w:val="HTMLPreformatted"/>
        <w:jc w:val="both"/>
        <w:rPr>
          <w:rFonts w:ascii="Arial" w:hAnsi="Arial" w:cs="Arial"/>
          <w:color w:val="000000" w:themeColor="text1"/>
        </w:rPr>
      </w:pPr>
      <w:r w:rsidRPr="004B4498">
        <w:rPr>
          <w:rFonts w:ascii="Arial" w:hAnsi="Arial" w:cs="Arial"/>
          <w:color w:val="000000" w:themeColor="text1"/>
        </w:rPr>
        <w:t>Za ostale preuzete obveze po kreditima:</w:t>
      </w:r>
    </w:p>
    <w:p w14:paraId="63374894" w14:textId="77777777" w:rsidR="004E2F51" w:rsidRPr="004B4498" w:rsidRDefault="004E2F51" w:rsidP="004E2F51">
      <w:pPr>
        <w:pStyle w:val="HTMLPreformatted"/>
        <w:jc w:val="both"/>
        <w:rPr>
          <w:rFonts w:ascii="Arial" w:hAnsi="Arial" w:cs="Arial"/>
          <w:color w:val="000000" w:themeColor="text1"/>
        </w:rPr>
      </w:pPr>
    </w:p>
    <w:p w14:paraId="5AE8482E" w14:textId="77777777" w:rsidR="004E2F51" w:rsidRPr="004B4498" w:rsidRDefault="004E2F51">
      <w:pPr>
        <w:pStyle w:val="ListParagraph"/>
        <w:numPr>
          <w:ilvl w:val="0"/>
          <w:numId w:val="57"/>
        </w:numPr>
        <w:suppressAutoHyphens w:val="0"/>
        <w:autoSpaceDE w:val="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od 1. siječnja 2018.: Grupa priznaje rezerviranja za gubitke; </w:t>
      </w:r>
    </w:p>
    <w:p w14:paraId="1C25F490" w14:textId="77777777" w:rsidR="004E2F51" w:rsidRPr="004B4498" w:rsidRDefault="004E2F51">
      <w:pPr>
        <w:pStyle w:val="ListParagraph"/>
        <w:numPr>
          <w:ilvl w:val="0"/>
          <w:numId w:val="57"/>
        </w:numPr>
        <w:suppressAutoHyphens w:val="0"/>
        <w:autoSpaceDE w:val="0"/>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prije 1. siječnja 2018.: Grupa je priznala rezerviranja u skladu s MRS-om 37 ako se ugovor smatrao štetnim. </w:t>
      </w:r>
    </w:p>
    <w:p w14:paraId="772408B5" w14:textId="77777777" w:rsidR="004E2F51" w:rsidRPr="004B4498" w:rsidRDefault="004E2F51" w:rsidP="004E2F51">
      <w:pPr>
        <w:pStyle w:val="HTMLPreformatted"/>
        <w:jc w:val="both"/>
        <w:rPr>
          <w:rFonts w:ascii="Arial" w:hAnsi="Arial" w:cs="Arial"/>
          <w:color w:val="000000" w:themeColor="text1"/>
        </w:rPr>
      </w:pPr>
    </w:p>
    <w:p w14:paraId="3C6F0423" w14:textId="77777777" w:rsidR="004E2F51" w:rsidRPr="004B4498" w:rsidRDefault="004E2F51" w:rsidP="004E2F51">
      <w:pPr>
        <w:pStyle w:val="accountingpolicytitle"/>
        <w:rPr>
          <w:rFonts w:cs="Arial"/>
          <w:b w:val="0"/>
          <w:color w:val="000000" w:themeColor="text1"/>
          <w:sz w:val="20"/>
          <w:lang w:val="hr-HR"/>
        </w:rPr>
      </w:pPr>
      <w:r w:rsidRPr="004B4498">
        <w:rPr>
          <w:rFonts w:cs="Arial"/>
          <w:b w:val="0"/>
          <w:color w:val="000000" w:themeColor="text1"/>
          <w:sz w:val="20"/>
          <w:lang w:val="hr-HR"/>
        </w:rPr>
        <w:t>Obveze koje proizlaze iz obveza po preuzetim kreditima uključene su u rezerviranja.</w:t>
      </w:r>
    </w:p>
    <w:p w14:paraId="09FE7A46" w14:textId="77777777" w:rsidR="004E2F51" w:rsidRPr="004B4498" w:rsidRDefault="004E2F51" w:rsidP="004E2F51">
      <w:pPr>
        <w:pStyle w:val="accountingpolicytitle"/>
        <w:rPr>
          <w:rFonts w:cs="Arial"/>
          <w:color w:val="000000" w:themeColor="text1"/>
          <w:sz w:val="20"/>
          <w:lang w:val="hr-HR"/>
        </w:rPr>
      </w:pPr>
    </w:p>
    <w:p w14:paraId="02A594D1" w14:textId="77777777" w:rsidR="004E2F51" w:rsidRPr="004B4498" w:rsidRDefault="004E2F51" w:rsidP="004E2F51">
      <w:pPr>
        <w:pStyle w:val="accountingpolicytitle"/>
        <w:rPr>
          <w:rFonts w:cs="Arial"/>
          <w:color w:val="000000" w:themeColor="text1"/>
          <w:sz w:val="20"/>
          <w:lang w:val="hr-HR"/>
        </w:rPr>
      </w:pPr>
      <w:r w:rsidRPr="004B4498">
        <w:rPr>
          <w:rFonts w:cs="Arial"/>
          <w:color w:val="000000" w:themeColor="text1"/>
          <w:sz w:val="20"/>
          <w:lang w:val="hr-HR"/>
        </w:rPr>
        <w:t xml:space="preserve">N. Primanja zaposlenih </w:t>
      </w:r>
    </w:p>
    <w:p w14:paraId="254AD10C" w14:textId="77777777" w:rsidR="004E2F51" w:rsidRPr="004B4498" w:rsidRDefault="004E2F51" w:rsidP="004E2F51">
      <w:pPr>
        <w:pStyle w:val="accountingpolicytitle"/>
        <w:rPr>
          <w:rFonts w:cs="Arial"/>
          <w:color w:val="000000" w:themeColor="text1"/>
          <w:sz w:val="20"/>
          <w:lang w:val="hr-HR"/>
        </w:rPr>
      </w:pPr>
    </w:p>
    <w:p w14:paraId="424278E7"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Grupa plaća doprinose u obvezne mirovinske planove na obveznoj, ugovornoj osnovi. Grupa nema daljnjih obveza plaćanja nakon uplate doprinosa. Doprinosi se priznaju kao rashodi za naknade zaposlenima kada dospijevaju.</w:t>
      </w:r>
    </w:p>
    <w:p w14:paraId="0B250199" w14:textId="77777777" w:rsidR="004E2F51" w:rsidRPr="004B4498" w:rsidRDefault="004E2F51" w:rsidP="004E2F51">
      <w:pPr>
        <w:jc w:val="both"/>
        <w:rPr>
          <w:rFonts w:ascii="Arial" w:hAnsi="Arial" w:cs="Arial"/>
          <w:color w:val="000000" w:themeColor="text1"/>
          <w:sz w:val="20"/>
          <w:szCs w:val="20"/>
          <w:lang w:val="hr-HR"/>
        </w:rPr>
      </w:pPr>
    </w:p>
    <w:p w14:paraId="25BB0F98" w14:textId="77777777" w:rsidR="004E2F51" w:rsidRPr="004B4498" w:rsidRDefault="004E2F51" w:rsidP="004E2F51">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Grupa priznaje rezerviranje za druge obveze prema zaposlenicima kada postoji ugovorna obveza ili praksa iz prošlosti na temelju koje je nastala izvedena obveza. Nadalje, Grupa priznaje obvezu za akumulirane naknade za odsustvo s posla temeljem neiskorištenih dana godišnjeg odmora na datum financijskih izvještaja.</w:t>
      </w:r>
    </w:p>
    <w:p w14:paraId="1451F8DD" w14:textId="77777777" w:rsidR="004E2F51" w:rsidRPr="004B4498" w:rsidRDefault="004E2F51" w:rsidP="004E2F51">
      <w:pPr>
        <w:pStyle w:val="accountingpolicytitle"/>
        <w:rPr>
          <w:rFonts w:cs="Arial"/>
          <w:color w:val="000000" w:themeColor="text1"/>
          <w:sz w:val="20"/>
          <w:lang w:val="hr-HR"/>
        </w:rPr>
      </w:pPr>
    </w:p>
    <w:p w14:paraId="27C4E411" w14:textId="77777777" w:rsidR="004E2F51" w:rsidRPr="004B4498" w:rsidRDefault="004E2F51" w:rsidP="004E2F51">
      <w:pPr>
        <w:pStyle w:val="accountingpolicytitle"/>
        <w:rPr>
          <w:rFonts w:cs="Arial"/>
          <w:bCs/>
          <w:color w:val="000000" w:themeColor="text1"/>
          <w:sz w:val="20"/>
          <w:lang w:val="hr-HR"/>
        </w:rPr>
      </w:pPr>
      <w:r w:rsidRPr="004B4498">
        <w:rPr>
          <w:rFonts w:cs="Arial"/>
          <w:color w:val="000000" w:themeColor="text1"/>
          <w:sz w:val="20"/>
          <w:lang w:val="hr-HR"/>
        </w:rPr>
        <w:t xml:space="preserve">O. </w:t>
      </w:r>
      <w:r w:rsidRPr="004B4498">
        <w:rPr>
          <w:rFonts w:cs="Arial"/>
          <w:bCs/>
          <w:color w:val="000000" w:themeColor="text1"/>
          <w:sz w:val="20"/>
          <w:lang w:val="hr-HR"/>
        </w:rPr>
        <w:t>Izvještavanje po segmentima</w:t>
      </w:r>
    </w:p>
    <w:p w14:paraId="476E3957" w14:textId="77777777" w:rsidR="004E2F51" w:rsidRPr="004B4498" w:rsidRDefault="004E2F51" w:rsidP="004E2F51">
      <w:pPr>
        <w:pStyle w:val="accountingpolicytitle"/>
        <w:rPr>
          <w:rFonts w:cs="Arial"/>
          <w:bCs/>
          <w:color w:val="000000" w:themeColor="text1"/>
          <w:sz w:val="20"/>
          <w:lang w:val="hr-HR"/>
        </w:rPr>
      </w:pPr>
    </w:p>
    <w:p w14:paraId="6A9A9E49"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Segment je prepoznatljiva komponenta Grupe koja se bavi ili pružanjem proizvoda ili usluga (poslovni segment), ili pružanjem proizvoda ili usluga unutar određenog gospodarskog okruženja (zemljopisnog segmenta), koji su podložni rizicima i koristima različitima od onih u drugim segmentima. Informacije o ograničenom segmentu prikazane su u odnosu na poslovne segmente Grupe. Primarni format poslovnih segmenata temelji se na Bančinoj strukturi menadžmenta i strukturi internog izvještavanja.</w:t>
      </w:r>
    </w:p>
    <w:p w14:paraId="48B75500" w14:textId="77777777" w:rsidR="004E2F51" w:rsidRPr="004B4498" w:rsidRDefault="004E2F51" w:rsidP="004E2F51">
      <w:pPr>
        <w:jc w:val="both"/>
        <w:rPr>
          <w:rFonts w:ascii="Arial" w:hAnsi="Arial" w:cs="Arial"/>
          <w:color w:val="000000" w:themeColor="text1"/>
          <w:sz w:val="20"/>
          <w:szCs w:val="20"/>
          <w:lang w:val="hr-HR"/>
        </w:rPr>
      </w:pPr>
    </w:p>
    <w:p w14:paraId="3C44ABDB"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Grupa je identificirala tri glavna segmenta: bankarske aktivnosti, osiguravateljske aktivnosti i ostale aktivnosti.</w:t>
      </w:r>
    </w:p>
    <w:p w14:paraId="3181B5A5" w14:textId="77777777" w:rsidR="004E2F51" w:rsidRPr="004B4498" w:rsidRDefault="004E2F51" w:rsidP="004E2F51">
      <w:pPr>
        <w:jc w:val="both"/>
        <w:rPr>
          <w:rFonts w:ascii="Arial" w:hAnsi="Arial" w:cs="Arial"/>
          <w:color w:val="000000" w:themeColor="text1"/>
          <w:sz w:val="20"/>
          <w:szCs w:val="20"/>
          <w:lang w:val="hr-HR"/>
        </w:rPr>
      </w:pPr>
    </w:p>
    <w:p w14:paraId="5822408C"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Kako Grupa većinom posluje u Hrvatskoj ne postoje sekundarni (zemljopisni) segmenti.</w:t>
      </w:r>
    </w:p>
    <w:p w14:paraId="3513313F" w14:textId="77777777" w:rsidR="004E2F51" w:rsidRPr="004B4498" w:rsidRDefault="004E2F51" w:rsidP="004E2F51">
      <w:pPr>
        <w:pStyle w:val="accountingpolicytitle"/>
        <w:rPr>
          <w:rFonts w:cs="Arial"/>
          <w:bCs/>
          <w:color w:val="000000" w:themeColor="text1"/>
          <w:sz w:val="20"/>
          <w:lang w:val="hr-HR"/>
        </w:rPr>
      </w:pPr>
    </w:p>
    <w:p w14:paraId="3C55176D" w14:textId="77777777" w:rsidR="004E2F51" w:rsidRPr="004B4498" w:rsidRDefault="004E2F51" w:rsidP="004E2F51">
      <w:pPr>
        <w:pStyle w:val="accountingpolicytitle"/>
        <w:rPr>
          <w:rFonts w:cs="Arial"/>
          <w:color w:val="000000" w:themeColor="text1"/>
          <w:sz w:val="20"/>
          <w:lang w:val="hr-HR"/>
        </w:rPr>
      </w:pPr>
      <w:r w:rsidRPr="004B4498">
        <w:rPr>
          <w:rFonts w:cs="Arial"/>
          <w:bCs/>
          <w:color w:val="000000" w:themeColor="text1"/>
          <w:sz w:val="20"/>
          <w:lang w:val="hr-HR"/>
        </w:rPr>
        <w:t>P. Poslovi u ime i za račun trećih strana</w:t>
      </w:r>
    </w:p>
    <w:p w14:paraId="27708CC3" w14:textId="77777777" w:rsidR="004E2F51" w:rsidRPr="004B4498" w:rsidRDefault="004E2F51" w:rsidP="004E2F51">
      <w:pPr>
        <w:pStyle w:val="T1"/>
        <w:keepNext w:val="0"/>
        <w:spacing w:before="0" w:after="0" w:line="240" w:lineRule="auto"/>
        <w:rPr>
          <w:rFonts w:cs="Arial"/>
          <w:b w:val="0"/>
          <w:color w:val="000000" w:themeColor="text1"/>
          <w:sz w:val="20"/>
          <w:lang w:val="hr-HR"/>
        </w:rPr>
      </w:pPr>
    </w:p>
    <w:p w14:paraId="23D4D85A" w14:textId="77777777" w:rsidR="004E2F51" w:rsidRPr="004B4498" w:rsidRDefault="004E2F51" w:rsidP="004E2F51">
      <w:pPr>
        <w:pStyle w:val="T1"/>
        <w:keepNext w:val="0"/>
        <w:spacing w:before="0" w:after="0" w:line="240" w:lineRule="auto"/>
        <w:rPr>
          <w:rFonts w:cs="Arial"/>
          <w:b w:val="0"/>
          <w:color w:val="000000" w:themeColor="text1"/>
          <w:sz w:val="20"/>
          <w:lang w:val="hr-HR"/>
        </w:rPr>
        <w:sectPr w:rsidR="004E2F51" w:rsidRPr="004B4498" w:rsidSect="00F625B3">
          <w:footerReference w:type="default" r:id="rId110"/>
          <w:pgSz w:w="11907" w:h="16840" w:code="9"/>
          <w:pgMar w:top="1418" w:right="1134" w:bottom="1134" w:left="1418" w:header="851" w:footer="851" w:gutter="0"/>
          <w:cols w:space="720"/>
          <w:noEndnote/>
        </w:sectPr>
      </w:pPr>
      <w:r w:rsidRPr="004B4498">
        <w:rPr>
          <w:rFonts w:cs="Arial"/>
          <w:b w:val="0"/>
          <w:color w:val="000000" w:themeColor="text1"/>
          <w:sz w:val="20"/>
          <w:lang w:val="hr-HR"/>
        </w:rPr>
        <w:t xml:space="preserve">Banka upravlja značajnim sredstvima u ime i za račun Ministarstva financija, Ministarstva gospodarstva i održivog razvoja, Ministarstva mora, prometa i infrastrukture, Ministarstva poljoprivrede, Ministarstva regionalnoga razvoja i fondova Europske unije, Vodovoda i kanalizacije d.o.o., Split, Hrvatske agencije za malo gospodarstvo, inovacije i investicije (HAMAG-BICRO) te poslovnih banaka koja se uglavnom koriste za kreditiranje programa obnove i razvitka. </w:t>
      </w:r>
    </w:p>
    <w:p w14:paraId="377CC16C" w14:textId="77777777" w:rsidR="004E2F51" w:rsidRPr="004B4498" w:rsidRDefault="004E2F51" w:rsidP="004E2F51">
      <w:pPr>
        <w:pStyle w:val="T1"/>
        <w:keepNext w:val="0"/>
        <w:spacing w:before="0" w:after="0" w:line="240" w:lineRule="auto"/>
        <w:rPr>
          <w:rFonts w:cs="Arial"/>
          <w:b w:val="0"/>
          <w:color w:val="000000" w:themeColor="text1"/>
          <w:sz w:val="20"/>
          <w:lang w:val="hr-HR"/>
        </w:rPr>
      </w:pPr>
    </w:p>
    <w:p w14:paraId="48152613" w14:textId="77777777" w:rsidR="004E2F51" w:rsidRPr="004B4498" w:rsidRDefault="004E2F51" w:rsidP="004E2F5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6E627892" w14:textId="77777777" w:rsidR="004E2F51" w:rsidRPr="004B4498" w:rsidRDefault="004E2F51" w:rsidP="004E2F51">
      <w:pPr>
        <w:pStyle w:val="T1"/>
        <w:keepNext w:val="0"/>
        <w:tabs>
          <w:tab w:val="left" w:pos="426"/>
        </w:tabs>
        <w:spacing w:before="0" w:after="0" w:line="240" w:lineRule="auto"/>
        <w:rPr>
          <w:rFonts w:cs="Arial"/>
          <w:b w:val="0"/>
          <w:bCs w:val="0"/>
          <w:color w:val="000000" w:themeColor="text1"/>
          <w:sz w:val="20"/>
          <w:lang w:val="hr-HR"/>
        </w:rPr>
      </w:pPr>
    </w:p>
    <w:p w14:paraId="52B878CA" w14:textId="77777777" w:rsidR="004E2F51" w:rsidRPr="004B4498" w:rsidRDefault="004E2F51" w:rsidP="004E2F5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eastAsia="hr-HR"/>
        </w:rPr>
      </w:pPr>
      <w:r w:rsidRPr="004B4498">
        <w:rPr>
          <w:rFonts w:ascii="Arial" w:hAnsi="Arial" w:cs="Arial"/>
          <w:b/>
          <w:color w:val="000000" w:themeColor="text1"/>
          <w:sz w:val="20"/>
          <w:szCs w:val="20"/>
          <w:lang w:val="hr-HR" w:eastAsia="hr-HR"/>
        </w:rPr>
        <w:t>4.1.</w:t>
      </w:r>
      <w:r w:rsidRPr="004B4498">
        <w:rPr>
          <w:rFonts w:ascii="Arial" w:hAnsi="Arial" w:cs="Arial"/>
          <w:b/>
          <w:color w:val="000000" w:themeColor="text1"/>
          <w:sz w:val="20"/>
          <w:szCs w:val="20"/>
          <w:lang w:val="hr-HR" w:eastAsia="hr-HR"/>
        </w:rPr>
        <w:tab/>
        <w:t>Značajne računovodstvene politike (nastavak)</w:t>
      </w:r>
    </w:p>
    <w:p w14:paraId="09FED20D"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p>
    <w:p w14:paraId="0FCCE915" w14:textId="77777777" w:rsidR="004E2F51" w:rsidRPr="004B4498" w:rsidRDefault="004E2F51" w:rsidP="004E2F51">
      <w:pPr>
        <w:pStyle w:val="accountingpolicytitle"/>
        <w:rPr>
          <w:rFonts w:cs="Arial"/>
          <w:color w:val="000000" w:themeColor="text1"/>
          <w:sz w:val="20"/>
          <w:lang w:val="hr-HR"/>
        </w:rPr>
      </w:pPr>
      <w:r w:rsidRPr="004B4498">
        <w:rPr>
          <w:rFonts w:cs="Arial"/>
          <w:bCs/>
          <w:color w:val="000000" w:themeColor="text1"/>
          <w:sz w:val="20"/>
          <w:lang w:val="hr-HR"/>
        </w:rPr>
        <w:t>P. Poslovi u ime i za račun trećih strana (nastavak)</w:t>
      </w:r>
    </w:p>
    <w:p w14:paraId="4316927C"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p>
    <w:p w14:paraId="53FE804E" w14:textId="77777777" w:rsidR="004E2F51" w:rsidRPr="004B4498" w:rsidRDefault="004E2F51" w:rsidP="004E2F51">
      <w:pPr>
        <w:pStyle w:val="accountingpolicytitle"/>
        <w:rPr>
          <w:rFonts w:cs="Arial"/>
          <w:b w:val="0"/>
          <w:color w:val="000000" w:themeColor="text1"/>
          <w:sz w:val="20"/>
          <w:lang w:val="hr-HR"/>
        </w:rPr>
      </w:pPr>
      <w:r w:rsidRPr="004B4498">
        <w:rPr>
          <w:rFonts w:cs="Arial"/>
          <w:b w:val="0"/>
          <w:color w:val="000000" w:themeColor="text1"/>
          <w:sz w:val="20"/>
          <w:lang w:val="hr-HR"/>
        </w:rPr>
        <w:t>Ti iznosi ne predstavljaju imovinu Banke te su isključeni iz Izvještaja o financijskom položaju i vode se odvojeno od poslovanja Banke.</w:t>
      </w:r>
    </w:p>
    <w:p w14:paraId="658D0155" w14:textId="77777777" w:rsidR="004E2F51" w:rsidRPr="004B4498" w:rsidRDefault="004E2F51" w:rsidP="004E2F51">
      <w:pPr>
        <w:pStyle w:val="accountingpolicytitle"/>
        <w:rPr>
          <w:rFonts w:cs="Arial"/>
          <w:bCs/>
          <w:color w:val="000000" w:themeColor="text1"/>
          <w:sz w:val="20"/>
          <w:lang w:val="hr-HR"/>
        </w:rPr>
      </w:pPr>
    </w:p>
    <w:p w14:paraId="6D790147"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color w:val="000000" w:themeColor="text1"/>
          <w:sz w:val="20"/>
          <w:lang w:val="hr-HR"/>
        </w:rPr>
        <w:t>Prihodi i rashodi po tom poslovanju terete nalogodavca, a Banka po tim poslovima ne snosi druge obveze i rizike. Za svoje usluge Banka po određenim programima naplaćuje naknadu, dok određene programe vodi bez naknade</w:t>
      </w:r>
      <w:r w:rsidRPr="004B4498">
        <w:rPr>
          <w:rFonts w:cs="Arial"/>
          <w:b w:val="0"/>
          <w:bCs w:val="0"/>
          <w:color w:val="000000" w:themeColor="text1"/>
          <w:sz w:val="20"/>
          <w:lang w:val="hr-HR"/>
        </w:rPr>
        <w:t xml:space="preserve"> (vidi bilješku </w:t>
      </w:r>
      <w:r>
        <w:rPr>
          <w:rFonts w:cs="Arial"/>
          <w:b w:val="0"/>
          <w:bCs w:val="0"/>
          <w:color w:val="000000" w:themeColor="text1"/>
          <w:sz w:val="20"/>
          <w:lang w:val="hr-HR"/>
        </w:rPr>
        <w:t>29</w:t>
      </w:r>
      <w:r w:rsidRPr="004B4498">
        <w:rPr>
          <w:rFonts w:cs="Arial"/>
          <w:b w:val="0"/>
          <w:bCs w:val="0"/>
          <w:color w:val="000000" w:themeColor="text1"/>
          <w:sz w:val="20"/>
          <w:lang w:val="hr-HR"/>
        </w:rPr>
        <w:t>.).</w:t>
      </w:r>
    </w:p>
    <w:p w14:paraId="5632F41B" w14:textId="77777777" w:rsidR="004E2F51" w:rsidRPr="004B4498" w:rsidRDefault="004E2F51" w:rsidP="004E2F51">
      <w:pPr>
        <w:pStyle w:val="T1"/>
        <w:keepNext w:val="0"/>
        <w:spacing w:before="0" w:after="0" w:line="240" w:lineRule="auto"/>
        <w:rPr>
          <w:rFonts w:cs="Arial"/>
          <w:color w:val="000000" w:themeColor="text1"/>
          <w:sz w:val="20"/>
          <w:lang w:val="hr-HR"/>
        </w:rPr>
      </w:pPr>
    </w:p>
    <w:p w14:paraId="7BCB9EA0" w14:textId="77777777" w:rsidR="004E2F51" w:rsidRPr="004B4498" w:rsidRDefault="004E2F51" w:rsidP="004E2F51">
      <w:pPr>
        <w:ind w:left="567" w:hanging="567"/>
        <w:jc w:val="both"/>
        <w:rPr>
          <w:rFonts w:ascii="Arial" w:hAnsi="Arial" w:cs="Arial"/>
          <w:b/>
          <w:color w:val="000000" w:themeColor="text1"/>
          <w:sz w:val="20"/>
          <w:szCs w:val="20"/>
          <w:lang w:val="hr-HR"/>
        </w:rPr>
      </w:pPr>
      <w:bookmarkStart w:id="716" w:name="_Hlk99022739"/>
      <w:r w:rsidRPr="004B4498">
        <w:rPr>
          <w:rFonts w:ascii="Arial" w:hAnsi="Arial" w:cs="Arial"/>
          <w:b/>
          <w:color w:val="000000" w:themeColor="text1"/>
          <w:sz w:val="20"/>
          <w:szCs w:val="20"/>
          <w:lang w:val="hr-HR"/>
        </w:rPr>
        <w:t>4.2.</w:t>
      </w:r>
      <w:r w:rsidRPr="004B4498">
        <w:rPr>
          <w:rFonts w:ascii="Arial" w:hAnsi="Arial" w:cs="Arial"/>
          <w:b/>
          <w:color w:val="000000" w:themeColor="text1"/>
          <w:sz w:val="20"/>
          <w:szCs w:val="20"/>
          <w:lang w:val="hr-HR"/>
        </w:rPr>
        <w:tab/>
        <w:t>Usvajanje novih i izm</w:t>
      </w:r>
      <w:r>
        <w:rPr>
          <w:rFonts w:ascii="Arial" w:hAnsi="Arial" w:cs="Arial"/>
          <w:b/>
          <w:color w:val="000000" w:themeColor="text1"/>
          <w:sz w:val="20"/>
          <w:szCs w:val="20"/>
          <w:lang w:val="hr-HR"/>
        </w:rPr>
        <w:t>i</w:t>
      </w:r>
      <w:r w:rsidRPr="004B4498">
        <w:rPr>
          <w:rFonts w:ascii="Arial" w:hAnsi="Arial" w:cs="Arial"/>
          <w:b/>
          <w:color w:val="000000" w:themeColor="text1"/>
          <w:sz w:val="20"/>
          <w:szCs w:val="20"/>
          <w:lang w:val="hr-HR"/>
        </w:rPr>
        <w:t>jenjenih Međunarodnih standarda financijskog izvještavanja („MSFI“) i tumačenj</w:t>
      </w:r>
      <w:bookmarkEnd w:id="716"/>
      <w:r w:rsidRPr="004B4498">
        <w:rPr>
          <w:rFonts w:ascii="Arial" w:hAnsi="Arial" w:cs="Arial"/>
          <w:b/>
          <w:color w:val="000000" w:themeColor="text1"/>
          <w:sz w:val="20"/>
          <w:szCs w:val="20"/>
          <w:lang w:val="hr-HR"/>
        </w:rPr>
        <w:t>a</w:t>
      </w:r>
    </w:p>
    <w:p w14:paraId="4D9152C4" w14:textId="77777777" w:rsidR="004E2F51" w:rsidRPr="004B4498" w:rsidRDefault="004E2F51" w:rsidP="004E2F51">
      <w:pPr>
        <w:ind w:left="426" w:hanging="426"/>
        <w:jc w:val="both"/>
        <w:rPr>
          <w:rFonts w:ascii="Arial" w:hAnsi="Arial" w:cs="Arial"/>
          <w:b/>
          <w:color w:val="000000" w:themeColor="text1"/>
          <w:sz w:val="20"/>
          <w:szCs w:val="20"/>
          <w:lang w:val="hr-HR"/>
        </w:rPr>
      </w:pPr>
    </w:p>
    <w:p w14:paraId="5B20FFBE" w14:textId="77777777" w:rsidR="004E2F51" w:rsidRPr="004B4498" w:rsidRDefault="004E2F51" w:rsidP="004E2F51">
      <w:pPr>
        <w:keepNext/>
        <w:tabs>
          <w:tab w:val="left" w:pos="284"/>
        </w:tabs>
        <w:spacing w:line="360" w:lineRule="auto"/>
        <w:jc w:val="both"/>
        <w:outlineLvl w:val="1"/>
        <w:rPr>
          <w:rFonts w:ascii="Arial" w:hAnsi="Arial" w:cs="Arial"/>
          <w:b/>
          <w:sz w:val="20"/>
          <w:szCs w:val="20"/>
          <w:lang w:val="hr-HR"/>
        </w:rPr>
      </w:pPr>
      <w:r w:rsidRPr="004B4498">
        <w:rPr>
          <w:rFonts w:ascii="Arial" w:hAnsi="Arial" w:cs="Arial"/>
          <w:b/>
          <w:i/>
          <w:sz w:val="20"/>
          <w:szCs w:val="20"/>
          <w:lang w:val="hr-HR"/>
        </w:rPr>
        <w:t>Prva primjena novih i izmjena postojećih standarda na snazi za tekuće izvještajno razdoblje</w:t>
      </w:r>
    </w:p>
    <w:p w14:paraId="1C00145C" w14:textId="77777777" w:rsidR="004E2F51" w:rsidRPr="004B4498" w:rsidRDefault="004E2F51" w:rsidP="004E2F51">
      <w:pPr>
        <w:pStyle w:val="HTMLPreformatted"/>
        <w:jc w:val="both"/>
        <w:rPr>
          <w:rFonts w:ascii="Arial" w:hAnsi="Arial" w:cs="Arial"/>
          <w:color w:val="000000" w:themeColor="text1"/>
        </w:rPr>
      </w:pPr>
      <w:r w:rsidRPr="004B4498">
        <w:rPr>
          <w:rFonts w:ascii="Arial" w:hAnsi="Arial" w:cs="Arial"/>
          <w:color w:val="000000" w:themeColor="text1"/>
        </w:rPr>
        <w:t>U tekućem izvještajnom razdoblju na snazi su sljedeće izmjene postojećih standarda koje je objavio Odbor za Međunarodne računovodstvene standarde („OMRS”) i usvojila Europska unija:</w:t>
      </w:r>
    </w:p>
    <w:p w14:paraId="4A19DC52" w14:textId="77777777" w:rsidR="004E2F51" w:rsidRDefault="004E2F51">
      <w:pPr>
        <w:pStyle w:val="HTMLPreformatted"/>
        <w:numPr>
          <w:ilvl w:val="0"/>
          <w:numId w:val="33"/>
        </w:numPr>
        <w:tabs>
          <w:tab w:val="clear" w:pos="840"/>
          <w:tab w:val="clear" w:pos="916"/>
          <w:tab w:val="left" w:pos="851"/>
        </w:tabs>
        <w:spacing w:after="60"/>
        <w:ind w:left="709" w:hanging="284"/>
        <w:jc w:val="both"/>
        <w:rPr>
          <w:rFonts w:ascii="Arial" w:hAnsi="Arial" w:cs="Arial"/>
          <w:color w:val="000000" w:themeColor="text1"/>
        </w:rPr>
      </w:pPr>
      <w:r w:rsidRPr="001A347B">
        <w:rPr>
          <w:rFonts w:ascii="Arial" w:hAnsi="Arial" w:cs="Arial"/>
          <w:color w:val="000000" w:themeColor="text1"/>
        </w:rPr>
        <w:t>Godišnja poboljšanja MSFI iz ciklusa 2018.–2020 – (na snazi za godišnja razdoblja koja počinju na dan ili nakon 1. siječnja 2022.);</w:t>
      </w:r>
    </w:p>
    <w:p w14:paraId="5D2619E4" w14:textId="77777777" w:rsidR="004E2F51" w:rsidRDefault="004E2F51">
      <w:pPr>
        <w:pStyle w:val="HTMLPreformatted"/>
        <w:numPr>
          <w:ilvl w:val="0"/>
          <w:numId w:val="33"/>
        </w:numPr>
        <w:tabs>
          <w:tab w:val="clear" w:pos="840"/>
          <w:tab w:val="clear" w:pos="916"/>
          <w:tab w:val="left" w:pos="851"/>
        </w:tabs>
        <w:spacing w:after="60"/>
        <w:ind w:left="709" w:hanging="284"/>
        <w:jc w:val="both"/>
        <w:rPr>
          <w:rFonts w:ascii="Arial" w:hAnsi="Arial" w:cs="Arial"/>
          <w:color w:val="000000" w:themeColor="text1"/>
        </w:rPr>
      </w:pPr>
      <w:r w:rsidRPr="001A347B">
        <w:rPr>
          <w:rFonts w:ascii="Arial" w:hAnsi="Arial" w:cs="Arial"/>
          <w:color w:val="000000" w:themeColor="text1"/>
        </w:rPr>
        <w:t>MRS 37 Rezerviranja, nepredviđene obveze i nepredviđena imovina (izmjena – Štetni ugovori – trošak izvršenja ugovora): Izmjene definiraju koji troškovi trebaju biti uključeni u subjektovu procjenu štetnosti ugovora (na snazi za godišnja razdoblja koja počinju na dan ili nakon 1. siječnja 2022.);</w:t>
      </w:r>
    </w:p>
    <w:p w14:paraId="19BC3372" w14:textId="77777777" w:rsidR="004E2F51" w:rsidRDefault="004E2F51">
      <w:pPr>
        <w:pStyle w:val="HTMLPreformatted"/>
        <w:numPr>
          <w:ilvl w:val="0"/>
          <w:numId w:val="33"/>
        </w:numPr>
        <w:tabs>
          <w:tab w:val="clear" w:pos="840"/>
          <w:tab w:val="clear" w:pos="916"/>
          <w:tab w:val="left" w:pos="851"/>
        </w:tabs>
        <w:spacing w:after="60"/>
        <w:ind w:left="709" w:hanging="284"/>
        <w:jc w:val="both"/>
        <w:rPr>
          <w:rFonts w:ascii="Arial" w:hAnsi="Arial" w:cs="Arial"/>
          <w:color w:val="000000" w:themeColor="text1"/>
        </w:rPr>
      </w:pPr>
      <w:r w:rsidRPr="001A347B">
        <w:rPr>
          <w:rFonts w:ascii="Arial" w:hAnsi="Arial" w:cs="Arial"/>
          <w:color w:val="000000" w:themeColor="text1"/>
        </w:rPr>
        <w:t>MRS 16 Nekretnine, postrojenja i oprema (izmjena - Prihodi prije namjeravane uporabe): Izmjenom se zabranjuje smanjenje troškova nabave za ostvarene primitke prodanih učinaka proizvedenih pri dovođenju postrojenja i opreme u radno stanje za namjeravanu uporabu. Umjesto dosadašnje prakse, subjekt će priznati i prihode i rashode ostvarenih probnim radom kroz račun dobiti ili gubitka (na snazi za godišnja razdoblja koja počinju na dan ili nakon 1. siječnja 2022.);</w:t>
      </w:r>
    </w:p>
    <w:p w14:paraId="640E5A4E" w14:textId="77777777" w:rsidR="004E2F51" w:rsidRPr="004B4498" w:rsidRDefault="004E2F51">
      <w:pPr>
        <w:pStyle w:val="HTMLPreformatted"/>
        <w:numPr>
          <w:ilvl w:val="0"/>
          <w:numId w:val="33"/>
        </w:numPr>
        <w:tabs>
          <w:tab w:val="clear" w:pos="840"/>
          <w:tab w:val="clear" w:pos="916"/>
          <w:tab w:val="left" w:pos="851"/>
        </w:tabs>
        <w:spacing w:after="60"/>
        <w:ind w:left="709" w:hanging="284"/>
        <w:jc w:val="both"/>
        <w:rPr>
          <w:rFonts w:ascii="Arial" w:hAnsi="Arial" w:cs="Arial"/>
          <w:color w:val="000000" w:themeColor="text1"/>
        </w:rPr>
      </w:pPr>
      <w:r w:rsidRPr="001A347B">
        <w:rPr>
          <w:rFonts w:ascii="Arial" w:hAnsi="Arial" w:cs="Arial"/>
          <w:color w:val="000000" w:themeColor="text1"/>
        </w:rPr>
        <w:t>MSFI 3 „Poslovne kombinacije“ - veza sa konceptualnim okvirom izvještavanja (na snazi za godišnja razdoblja koji počinju na dan ili nakon 1. siječnja 2022. godine</w:t>
      </w:r>
      <w:r w:rsidRPr="004B4498">
        <w:rPr>
          <w:rFonts w:ascii="Arial" w:hAnsi="Arial" w:cs="Arial"/>
          <w:color w:val="000000" w:themeColor="text1"/>
        </w:rPr>
        <w:t>.</w:t>
      </w:r>
    </w:p>
    <w:p w14:paraId="15AB3D87" w14:textId="77777777" w:rsidR="004E2F51" w:rsidRPr="004B4498" w:rsidRDefault="004E2F51" w:rsidP="004E2F51">
      <w:pPr>
        <w:pStyle w:val="HTMLPreformatted"/>
        <w:jc w:val="both"/>
        <w:rPr>
          <w:rFonts w:ascii="Arial" w:hAnsi="Arial" w:cs="Arial"/>
          <w:color w:val="000000" w:themeColor="text1"/>
        </w:rPr>
      </w:pPr>
    </w:p>
    <w:p w14:paraId="656419B1" w14:textId="77777777" w:rsidR="004E2F51" w:rsidRPr="004B4498" w:rsidRDefault="004E2F51" w:rsidP="004E2F51">
      <w:pPr>
        <w:pStyle w:val="HTMLPreformatted"/>
        <w:jc w:val="both"/>
        <w:rPr>
          <w:rFonts w:ascii="Arial" w:hAnsi="Arial" w:cs="Arial"/>
          <w:color w:val="000000" w:themeColor="text1"/>
        </w:rPr>
      </w:pPr>
      <w:r w:rsidRPr="004B4498">
        <w:rPr>
          <w:rFonts w:ascii="Arial" w:hAnsi="Arial" w:cs="Arial"/>
          <w:color w:val="000000" w:themeColor="text1"/>
        </w:rPr>
        <w:t xml:space="preserve">Usvajanje navedenih izmjena postojećih standarda nije dovelo do značajnih promjena u financijskim izvještajima Grupe. </w:t>
      </w:r>
    </w:p>
    <w:p w14:paraId="4C3A773D" w14:textId="77777777" w:rsidR="004E2F51" w:rsidRPr="004B4498" w:rsidRDefault="004E2F51" w:rsidP="004E2F51">
      <w:pPr>
        <w:pStyle w:val="HTMLPreformatted"/>
        <w:tabs>
          <w:tab w:val="clear" w:pos="916"/>
          <w:tab w:val="left" w:pos="851"/>
        </w:tabs>
        <w:ind w:left="426"/>
        <w:jc w:val="both"/>
        <w:rPr>
          <w:rFonts w:ascii="Arial" w:hAnsi="Arial" w:cs="Arial"/>
          <w:color w:val="000000"/>
        </w:rPr>
      </w:pPr>
    </w:p>
    <w:p w14:paraId="79FD3420" w14:textId="77777777" w:rsidR="004E2F51" w:rsidRPr="004B4498" w:rsidRDefault="004E2F51" w:rsidP="004E2F51">
      <w:pPr>
        <w:keepNext/>
        <w:tabs>
          <w:tab w:val="left" w:pos="284"/>
        </w:tabs>
        <w:spacing w:line="276" w:lineRule="auto"/>
        <w:jc w:val="both"/>
        <w:outlineLvl w:val="1"/>
        <w:rPr>
          <w:rFonts w:ascii="Arial" w:hAnsi="Arial" w:cs="Arial"/>
          <w:b/>
          <w:i/>
          <w:sz w:val="20"/>
          <w:szCs w:val="20"/>
          <w:lang w:val="hr-HR"/>
        </w:rPr>
      </w:pPr>
      <w:bookmarkStart w:id="717" w:name="_Toc45030949"/>
      <w:r w:rsidRPr="004B4498">
        <w:rPr>
          <w:rFonts w:ascii="Arial" w:hAnsi="Arial" w:cs="Arial"/>
          <w:b/>
          <w:i/>
          <w:sz w:val="20"/>
          <w:szCs w:val="20"/>
          <w:lang w:val="hr-HR"/>
        </w:rPr>
        <w:t>Standardi i izmjene postojećih standarda koje je objavio OMRS i usvojeni su u Europskoj uniji, ali još nisu na snazi</w:t>
      </w:r>
      <w:bookmarkEnd w:id="717"/>
    </w:p>
    <w:p w14:paraId="01C5AF15" w14:textId="77777777" w:rsidR="004E2F51" w:rsidRPr="004B4498" w:rsidRDefault="004E2F51" w:rsidP="004E2F51">
      <w:pPr>
        <w:pStyle w:val="HTMLPreformatted"/>
        <w:tabs>
          <w:tab w:val="clear" w:pos="916"/>
          <w:tab w:val="left" w:pos="851"/>
        </w:tabs>
        <w:jc w:val="both"/>
        <w:rPr>
          <w:rFonts w:ascii="Arial" w:hAnsi="Arial" w:cs="Arial"/>
          <w:color w:val="000000"/>
        </w:rPr>
      </w:pPr>
    </w:p>
    <w:p w14:paraId="17DA6B0F" w14:textId="77777777" w:rsidR="004E2F51" w:rsidRDefault="004E2F51" w:rsidP="004E2F51">
      <w:pPr>
        <w:pStyle w:val="HTMLPreformatted"/>
        <w:tabs>
          <w:tab w:val="left" w:pos="851"/>
        </w:tabs>
        <w:jc w:val="both"/>
        <w:rPr>
          <w:rFonts w:ascii="Arial" w:hAnsi="Arial" w:cs="Arial"/>
          <w:color w:val="000000"/>
        </w:rPr>
      </w:pPr>
      <w:r w:rsidRPr="004B4498">
        <w:rPr>
          <w:rFonts w:ascii="Arial" w:hAnsi="Arial" w:cs="Arial"/>
          <w:color w:val="000000"/>
        </w:rPr>
        <w:t>Na datum odobrenja ovih financijskih izvještaja bile su objavljene, ali ne i na snazi, sljedeće izmjene postojećih standarda koje je objavio OMRS i usvojene su u Europskoj uniji:</w:t>
      </w:r>
    </w:p>
    <w:p w14:paraId="3149DB4B" w14:textId="77777777" w:rsidR="004E2F51" w:rsidRPr="004B4498" w:rsidRDefault="004E2F51" w:rsidP="004E2F51">
      <w:pPr>
        <w:pStyle w:val="HTMLPreformatted"/>
        <w:tabs>
          <w:tab w:val="left" w:pos="851"/>
        </w:tabs>
        <w:jc w:val="both"/>
        <w:rPr>
          <w:rFonts w:ascii="Arial" w:hAnsi="Arial" w:cs="Arial"/>
          <w:color w:val="000000"/>
        </w:rPr>
      </w:pPr>
    </w:p>
    <w:p w14:paraId="796EA99B" w14:textId="77777777" w:rsidR="004E2F51" w:rsidRDefault="004E2F51">
      <w:pPr>
        <w:pStyle w:val="HTMLPreformatted"/>
        <w:numPr>
          <w:ilvl w:val="0"/>
          <w:numId w:val="33"/>
        </w:numPr>
        <w:tabs>
          <w:tab w:val="clear" w:pos="840"/>
          <w:tab w:val="clear" w:pos="916"/>
          <w:tab w:val="left" w:pos="851"/>
        </w:tabs>
        <w:ind w:left="709" w:hanging="283"/>
        <w:jc w:val="both"/>
        <w:rPr>
          <w:rFonts w:ascii="Arial" w:hAnsi="Arial" w:cs="Arial"/>
          <w:color w:val="000000" w:themeColor="text1"/>
        </w:rPr>
      </w:pPr>
      <w:r w:rsidRPr="00116905">
        <w:rPr>
          <w:rFonts w:ascii="Arial" w:hAnsi="Arial" w:cs="Arial"/>
          <w:color w:val="000000" w:themeColor="text1"/>
        </w:rPr>
        <w:t>MRS 1 Prezentacija financijskih izvještaja i MSFI Izjava o praksi 2 (izmjena – Objavljivanje računovodstvenih politika) (na snazi za godišnja razdoblja koja počinju na dan ili nakon 1. siječnja 2023. godine);</w:t>
      </w:r>
    </w:p>
    <w:p w14:paraId="256D8596" w14:textId="77777777" w:rsidR="004E2F51" w:rsidRDefault="004E2F51">
      <w:pPr>
        <w:pStyle w:val="HTMLPreformatted"/>
        <w:numPr>
          <w:ilvl w:val="0"/>
          <w:numId w:val="33"/>
        </w:numPr>
        <w:tabs>
          <w:tab w:val="clear" w:pos="840"/>
          <w:tab w:val="clear" w:pos="916"/>
          <w:tab w:val="left" w:pos="851"/>
        </w:tabs>
        <w:ind w:left="709" w:hanging="283"/>
        <w:jc w:val="both"/>
        <w:rPr>
          <w:rFonts w:ascii="Arial" w:hAnsi="Arial" w:cs="Arial"/>
          <w:color w:val="000000" w:themeColor="text1"/>
        </w:rPr>
      </w:pPr>
      <w:r w:rsidRPr="00116905">
        <w:rPr>
          <w:rFonts w:ascii="Arial" w:hAnsi="Arial" w:cs="Arial"/>
          <w:color w:val="000000" w:themeColor="text1"/>
        </w:rPr>
        <w:t>MRS 8 Računovodstvene politike, Promjene računovodstvenih procjena i pogreške (izmjena - Definicija računovodstvenih procjena) (na snazi za godišnja razdoblja koja počinju na dan ili nakon 1. siječnja 2023. godine);</w:t>
      </w:r>
    </w:p>
    <w:p w14:paraId="75AAA315" w14:textId="77777777" w:rsidR="004E2F51" w:rsidRDefault="004E2F51">
      <w:pPr>
        <w:pStyle w:val="HTMLPreformatted"/>
        <w:numPr>
          <w:ilvl w:val="0"/>
          <w:numId w:val="33"/>
        </w:numPr>
        <w:tabs>
          <w:tab w:val="clear" w:pos="840"/>
          <w:tab w:val="clear" w:pos="916"/>
          <w:tab w:val="left" w:pos="851"/>
        </w:tabs>
        <w:ind w:left="709" w:hanging="283"/>
        <w:jc w:val="both"/>
        <w:rPr>
          <w:rFonts w:ascii="Arial" w:hAnsi="Arial" w:cs="Arial"/>
          <w:color w:val="000000" w:themeColor="text1"/>
        </w:rPr>
      </w:pPr>
      <w:r w:rsidRPr="00116905">
        <w:rPr>
          <w:rFonts w:ascii="Arial" w:hAnsi="Arial" w:cs="Arial"/>
          <w:color w:val="000000" w:themeColor="text1"/>
        </w:rPr>
        <w:t xml:space="preserve">MSFI 17 – Ugovori o osiguranju i izmjene MSFI 17 (na snazi za godišnja razdoblja koja počinju na dan ili nakon 1. siječnja 2023. godine); </w:t>
      </w:r>
    </w:p>
    <w:p w14:paraId="2E3F436F" w14:textId="77777777" w:rsidR="004E2F51" w:rsidRDefault="004E2F51">
      <w:pPr>
        <w:pStyle w:val="HTMLPreformatted"/>
        <w:numPr>
          <w:ilvl w:val="0"/>
          <w:numId w:val="33"/>
        </w:numPr>
        <w:tabs>
          <w:tab w:val="clear" w:pos="840"/>
          <w:tab w:val="clear" w:pos="916"/>
          <w:tab w:val="left" w:pos="851"/>
        </w:tabs>
        <w:ind w:left="709" w:hanging="283"/>
        <w:jc w:val="both"/>
        <w:rPr>
          <w:rFonts w:ascii="Arial" w:hAnsi="Arial" w:cs="Arial"/>
          <w:color w:val="000000" w:themeColor="text1"/>
        </w:rPr>
      </w:pPr>
      <w:r w:rsidRPr="00116905">
        <w:rPr>
          <w:rFonts w:ascii="Arial" w:hAnsi="Arial" w:cs="Arial"/>
          <w:color w:val="000000" w:themeColor="text1"/>
        </w:rPr>
        <w:t xml:space="preserve">MRS 12 Porez na dobit (izmjena – Odgođeni porez koji se odnosi na imovinu i obveze koje proizlaze iz jedne transakcije) (na snazi za godišnja razdoblja koja počinju na dan ili nakon 1. siječnja 2023. godine); </w:t>
      </w:r>
    </w:p>
    <w:p w14:paraId="4C0AB4E4" w14:textId="77777777" w:rsidR="004E2F51" w:rsidRPr="00116905" w:rsidRDefault="004E2F51">
      <w:pPr>
        <w:pStyle w:val="HTMLPreformatted"/>
        <w:numPr>
          <w:ilvl w:val="0"/>
          <w:numId w:val="33"/>
        </w:numPr>
        <w:tabs>
          <w:tab w:val="clear" w:pos="840"/>
          <w:tab w:val="clear" w:pos="916"/>
          <w:tab w:val="left" w:pos="851"/>
        </w:tabs>
        <w:ind w:left="709" w:hanging="283"/>
        <w:jc w:val="both"/>
        <w:rPr>
          <w:rFonts w:ascii="Arial" w:hAnsi="Arial" w:cs="Arial"/>
          <w:color w:val="000000" w:themeColor="text1"/>
        </w:rPr>
      </w:pPr>
      <w:r w:rsidRPr="00116905">
        <w:rPr>
          <w:rFonts w:ascii="Arial" w:hAnsi="Arial" w:cs="Arial"/>
          <w:color w:val="000000" w:themeColor="text1"/>
        </w:rPr>
        <w:t>Izmjene MSFI-ja 17 Ugovori o osiguranju: Početna primjena MSFI-ja 17 i MSFI 9 – Usporedne informacije (na snazi za godišnja razdoblja koja počinju na dan ili nakon 1. siječnja 2023. godine).</w:t>
      </w:r>
    </w:p>
    <w:p w14:paraId="51CA782D" w14:textId="77777777" w:rsidR="004E2F51" w:rsidRDefault="004E2F51" w:rsidP="004E2F51">
      <w:pPr>
        <w:pStyle w:val="HTMLPreformatted"/>
        <w:tabs>
          <w:tab w:val="clear" w:pos="916"/>
          <w:tab w:val="left" w:pos="851"/>
        </w:tabs>
        <w:jc w:val="both"/>
        <w:rPr>
          <w:rFonts w:ascii="Arial" w:hAnsi="Arial" w:cs="Arial"/>
          <w:color w:val="000000" w:themeColor="text1"/>
        </w:rPr>
      </w:pPr>
    </w:p>
    <w:p w14:paraId="5F713F05" w14:textId="77777777" w:rsidR="004E2F51" w:rsidRDefault="004E2F51" w:rsidP="004E2F51">
      <w:pPr>
        <w:pStyle w:val="HTMLPreformatted"/>
        <w:tabs>
          <w:tab w:val="clear" w:pos="916"/>
          <w:tab w:val="left" w:pos="851"/>
        </w:tabs>
        <w:jc w:val="both"/>
        <w:rPr>
          <w:rFonts w:ascii="Arial" w:hAnsi="Arial" w:cs="Arial"/>
          <w:color w:val="000000" w:themeColor="text1"/>
        </w:rPr>
        <w:sectPr w:rsidR="004E2F51" w:rsidSect="00623DBA">
          <w:footerReference w:type="default" r:id="rId111"/>
          <w:pgSz w:w="11907" w:h="16840" w:code="9"/>
          <w:pgMar w:top="1418" w:right="1134" w:bottom="1134" w:left="1418" w:header="851" w:footer="851" w:gutter="0"/>
          <w:cols w:space="720"/>
          <w:noEndnote/>
        </w:sectPr>
      </w:pPr>
    </w:p>
    <w:p w14:paraId="168B9981" w14:textId="77777777" w:rsidR="004E2F51" w:rsidRDefault="004E2F51" w:rsidP="004E2F51">
      <w:pPr>
        <w:pStyle w:val="HTMLPreformatted"/>
        <w:tabs>
          <w:tab w:val="left" w:pos="851"/>
        </w:tabs>
        <w:jc w:val="both"/>
        <w:rPr>
          <w:rFonts w:ascii="Arial" w:hAnsi="Arial" w:cs="Arial"/>
          <w:color w:val="000000" w:themeColor="text1"/>
        </w:rPr>
      </w:pPr>
    </w:p>
    <w:p w14:paraId="048CB8EB" w14:textId="77777777" w:rsidR="004E2F51" w:rsidRPr="004B4498" w:rsidRDefault="004E2F51" w:rsidP="004E2F5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4.</w:t>
      </w:r>
      <w:r w:rsidRPr="004B4498">
        <w:rPr>
          <w:rFonts w:ascii="Arial" w:hAnsi="Arial" w:cs="Arial"/>
          <w:b/>
          <w:color w:val="000000" w:themeColor="text1"/>
          <w:sz w:val="20"/>
          <w:szCs w:val="20"/>
          <w:lang w:val="hr-HR"/>
        </w:rPr>
        <w:tab/>
        <w:t>Sažetak značajnih računovodstvenih politika (nastavak)</w:t>
      </w:r>
    </w:p>
    <w:p w14:paraId="259EB4B0" w14:textId="77777777" w:rsidR="004E2F51" w:rsidRPr="004B4498" w:rsidRDefault="004E2F51" w:rsidP="004E2F51">
      <w:pPr>
        <w:pStyle w:val="HTMLPreformatted"/>
        <w:tabs>
          <w:tab w:val="left" w:pos="851"/>
        </w:tabs>
        <w:jc w:val="both"/>
        <w:rPr>
          <w:rFonts w:ascii="Arial" w:hAnsi="Arial" w:cs="Arial"/>
          <w:b/>
          <w:bCs/>
        </w:rPr>
      </w:pPr>
    </w:p>
    <w:p w14:paraId="548688F2" w14:textId="77777777" w:rsidR="004E2F51" w:rsidRDefault="004E2F51" w:rsidP="004E2F51">
      <w:pPr>
        <w:pStyle w:val="HTMLPreformatted"/>
        <w:tabs>
          <w:tab w:val="left" w:pos="851"/>
        </w:tabs>
        <w:jc w:val="both"/>
        <w:rPr>
          <w:rFonts w:ascii="Arial" w:hAnsi="Arial" w:cs="Arial"/>
          <w:b/>
          <w:color w:val="000000" w:themeColor="text1"/>
          <w:lang w:eastAsia="en-US"/>
        </w:rPr>
      </w:pPr>
      <w:bookmarkStart w:id="718" w:name="_Hlk99022735"/>
      <w:r w:rsidRPr="004B4498">
        <w:rPr>
          <w:rFonts w:ascii="Arial" w:hAnsi="Arial" w:cs="Arial"/>
          <w:b/>
          <w:color w:val="000000" w:themeColor="text1"/>
          <w:lang w:eastAsia="en-US"/>
        </w:rPr>
        <w:t>4.2.</w:t>
      </w:r>
      <w:r w:rsidRPr="004B4498">
        <w:rPr>
          <w:rFonts w:ascii="Arial" w:hAnsi="Arial" w:cs="Arial"/>
          <w:b/>
          <w:color w:val="000000" w:themeColor="text1"/>
          <w:lang w:eastAsia="en-US"/>
        </w:rPr>
        <w:tab/>
        <w:t>Usvajanje novih i izm</w:t>
      </w:r>
      <w:r>
        <w:rPr>
          <w:rFonts w:ascii="Arial" w:hAnsi="Arial" w:cs="Arial"/>
          <w:b/>
          <w:color w:val="000000" w:themeColor="text1"/>
          <w:lang w:eastAsia="en-US"/>
        </w:rPr>
        <w:t>i</w:t>
      </w:r>
      <w:r w:rsidRPr="004B4498">
        <w:rPr>
          <w:rFonts w:ascii="Arial" w:hAnsi="Arial" w:cs="Arial"/>
          <w:b/>
          <w:color w:val="000000" w:themeColor="text1"/>
          <w:lang w:eastAsia="en-US"/>
        </w:rPr>
        <w:t>jenjenih Međunarodnih standarda financijskog izvještavanja („MSFI“) i tumačenja (nastavak)</w:t>
      </w:r>
    </w:p>
    <w:p w14:paraId="484090EB" w14:textId="77777777" w:rsidR="004E2F51" w:rsidRPr="00116905" w:rsidRDefault="004E2F51" w:rsidP="004E2F51">
      <w:pPr>
        <w:spacing w:line="276" w:lineRule="auto"/>
        <w:contextualSpacing/>
        <w:jc w:val="both"/>
        <w:rPr>
          <w:rFonts w:ascii="Arial" w:hAnsi="Arial" w:cs="Arial"/>
          <w:sz w:val="20"/>
          <w:szCs w:val="20"/>
          <w:lang w:val="hr-HR"/>
        </w:rPr>
      </w:pPr>
    </w:p>
    <w:p w14:paraId="70045B83" w14:textId="77777777" w:rsidR="004E2F51" w:rsidRPr="00116905" w:rsidRDefault="004E2F51" w:rsidP="004E2F51">
      <w:pPr>
        <w:spacing w:line="276" w:lineRule="auto"/>
        <w:contextualSpacing/>
        <w:jc w:val="both"/>
        <w:rPr>
          <w:rFonts w:ascii="Arial" w:hAnsi="Arial" w:cs="Arial"/>
          <w:sz w:val="20"/>
          <w:szCs w:val="20"/>
          <w:lang w:val="hr-HR"/>
        </w:rPr>
      </w:pPr>
      <w:r w:rsidRPr="00116905">
        <w:rPr>
          <w:rFonts w:ascii="Arial" w:hAnsi="Arial" w:cs="Arial"/>
          <w:sz w:val="20"/>
          <w:szCs w:val="20"/>
          <w:lang w:val="hr-HR"/>
        </w:rPr>
        <w:t xml:space="preserve">U tijeku su pripreme Grupe HBOR za primjenu MSFI 17 Ugovori o osiguranju, uključujući izmjene MSFI-ja 17 te početnu primjenu MSFI-ja 17 i MSFI 9 – usporedne informacije (na snazi u EU od 1. siječnja 2023.). </w:t>
      </w:r>
    </w:p>
    <w:p w14:paraId="7237B01D" w14:textId="77777777" w:rsidR="004E2F51" w:rsidRPr="00116905" w:rsidRDefault="004E2F51" w:rsidP="004E2F51">
      <w:pPr>
        <w:spacing w:line="276" w:lineRule="auto"/>
        <w:contextualSpacing/>
        <w:jc w:val="both"/>
        <w:rPr>
          <w:rFonts w:ascii="Arial" w:hAnsi="Arial" w:cs="Arial"/>
          <w:sz w:val="20"/>
          <w:szCs w:val="20"/>
          <w:lang w:val="hr-HR"/>
        </w:rPr>
      </w:pPr>
    </w:p>
    <w:p w14:paraId="5D6C4EBB" w14:textId="77777777" w:rsidR="004E2F51" w:rsidRPr="00116905" w:rsidRDefault="004E2F51" w:rsidP="004E2F51">
      <w:pPr>
        <w:spacing w:line="276" w:lineRule="auto"/>
        <w:contextualSpacing/>
        <w:jc w:val="both"/>
        <w:rPr>
          <w:rFonts w:ascii="Arial" w:hAnsi="Arial" w:cs="Arial"/>
          <w:sz w:val="20"/>
          <w:szCs w:val="20"/>
          <w:lang w:val="hr-HR"/>
        </w:rPr>
      </w:pPr>
      <w:r w:rsidRPr="00116905">
        <w:rPr>
          <w:rFonts w:ascii="Arial" w:hAnsi="Arial" w:cs="Arial"/>
          <w:sz w:val="20"/>
          <w:szCs w:val="20"/>
          <w:lang w:val="hr-HR"/>
        </w:rPr>
        <w:t>Primjena novih standarda na ovisno društvo će prema procjeni imati učinak na blago povećanje dobiti ovisnog društva, što će biti priznato u zadržanoj dobiti i rezervama na dan 1. siječnja 2023. godine i neće imati značajan utjecaj na rezultat Grupe HBOR zbog nematerijalnog utjecaja ovisnog društva.</w:t>
      </w:r>
    </w:p>
    <w:p w14:paraId="1F154210" w14:textId="77777777" w:rsidR="004E2F51" w:rsidRPr="00116905" w:rsidRDefault="004E2F51" w:rsidP="004E2F51">
      <w:pPr>
        <w:spacing w:line="276" w:lineRule="auto"/>
        <w:contextualSpacing/>
        <w:jc w:val="both"/>
        <w:rPr>
          <w:rFonts w:ascii="Arial" w:hAnsi="Arial" w:cs="Arial"/>
          <w:sz w:val="20"/>
          <w:szCs w:val="20"/>
          <w:lang w:val="hr-HR"/>
        </w:rPr>
      </w:pPr>
    </w:p>
    <w:p w14:paraId="0D942965" w14:textId="77777777" w:rsidR="004E2F51" w:rsidRDefault="004E2F51" w:rsidP="004E2F51">
      <w:pPr>
        <w:keepNext/>
        <w:tabs>
          <w:tab w:val="left" w:pos="284"/>
        </w:tabs>
        <w:spacing w:line="276" w:lineRule="auto"/>
        <w:jc w:val="both"/>
        <w:outlineLvl w:val="1"/>
        <w:rPr>
          <w:rFonts w:ascii="Arial" w:hAnsi="Arial" w:cs="Arial"/>
          <w:b/>
          <w:i/>
          <w:sz w:val="20"/>
          <w:szCs w:val="20"/>
          <w:lang w:val="hr-HR"/>
        </w:rPr>
      </w:pPr>
      <w:bookmarkStart w:id="719" w:name="_Toc45030950"/>
      <w:r w:rsidRPr="004B4498">
        <w:rPr>
          <w:rFonts w:ascii="Arial" w:hAnsi="Arial" w:cs="Arial"/>
          <w:b/>
          <w:i/>
          <w:sz w:val="20"/>
          <w:szCs w:val="20"/>
          <w:lang w:val="hr-HR"/>
        </w:rPr>
        <w:t>Novi standardi i izmjene postojećih standarda koje je objavio OMRS, ali još nisu usvojeni u Europskoj uniji</w:t>
      </w:r>
      <w:bookmarkEnd w:id="719"/>
    </w:p>
    <w:p w14:paraId="0804C968" w14:textId="77777777" w:rsidR="004E2F51" w:rsidRPr="004B4498" w:rsidRDefault="004E2F51" w:rsidP="004E2F51">
      <w:pPr>
        <w:keepNext/>
        <w:tabs>
          <w:tab w:val="left" w:pos="284"/>
        </w:tabs>
        <w:spacing w:line="276" w:lineRule="auto"/>
        <w:jc w:val="both"/>
        <w:outlineLvl w:val="1"/>
        <w:rPr>
          <w:rFonts w:ascii="Arial" w:hAnsi="Arial" w:cs="Arial"/>
          <w:b/>
          <w:i/>
          <w:sz w:val="20"/>
          <w:szCs w:val="20"/>
          <w:lang w:val="hr-HR"/>
        </w:rPr>
      </w:pPr>
    </w:p>
    <w:p w14:paraId="3AAF59B9" w14:textId="77777777" w:rsidR="004E2F51" w:rsidRPr="004B4498" w:rsidRDefault="004E2F51" w:rsidP="004E2F51">
      <w:pPr>
        <w:spacing w:line="276" w:lineRule="auto"/>
        <w:contextualSpacing/>
        <w:jc w:val="both"/>
        <w:rPr>
          <w:rFonts w:ascii="Arial" w:hAnsi="Arial" w:cs="Arial"/>
          <w:sz w:val="20"/>
          <w:szCs w:val="20"/>
          <w:lang w:val="hr-HR"/>
        </w:rPr>
      </w:pPr>
      <w:r w:rsidRPr="004B4498">
        <w:rPr>
          <w:rFonts w:ascii="Arial" w:hAnsi="Arial" w:cs="Arial"/>
          <w:sz w:val="20"/>
          <w:szCs w:val="20"/>
          <w:lang w:val="hr-HR"/>
        </w:rPr>
        <w:t>MSFI-jevi trenutačno usvojeni u Europskoj uniji ne razlikuju se značajno od propisa koje je donio Odbor za Međunarodne računovodstvene standarde (OMRS), izuzev sljedećih novih standarda i izmjena postojećih standarda, o čijem usvajanju Europska unija dana 31. prosinca 202</w:t>
      </w:r>
      <w:r>
        <w:rPr>
          <w:rFonts w:ascii="Arial" w:hAnsi="Arial" w:cs="Arial"/>
          <w:sz w:val="20"/>
          <w:szCs w:val="20"/>
          <w:lang w:val="hr-HR"/>
        </w:rPr>
        <w:t>2</w:t>
      </w:r>
      <w:r w:rsidRPr="004B4498">
        <w:rPr>
          <w:rFonts w:ascii="Arial" w:hAnsi="Arial" w:cs="Arial"/>
          <w:sz w:val="20"/>
          <w:szCs w:val="20"/>
          <w:lang w:val="hr-HR"/>
        </w:rPr>
        <w:t>.</w:t>
      </w:r>
      <w:r w:rsidRPr="004B4498">
        <w:rPr>
          <w:rFonts w:ascii="Arial" w:hAnsi="Arial" w:cs="Arial"/>
          <w:color w:val="FF0000"/>
          <w:sz w:val="20"/>
          <w:szCs w:val="20"/>
          <w:lang w:val="hr-HR"/>
        </w:rPr>
        <w:t xml:space="preserve"> </w:t>
      </w:r>
      <w:r w:rsidRPr="004B4498">
        <w:rPr>
          <w:rFonts w:ascii="Arial" w:hAnsi="Arial" w:cs="Arial"/>
          <w:sz w:val="20"/>
          <w:szCs w:val="20"/>
          <w:lang w:val="hr-HR"/>
        </w:rPr>
        <w:t xml:space="preserve">još nije donijela odluku (datumi stupanja na snagu navedeni u nastavku odnose se na MSFI-jeve koje je izdao OMRS): </w:t>
      </w:r>
    </w:p>
    <w:p w14:paraId="7411D7DC" w14:textId="77777777" w:rsidR="004E2F51" w:rsidRPr="00116905" w:rsidRDefault="004E2F51">
      <w:pPr>
        <w:pStyle w:val="HTMLPreformatted"/>
        <w:numPr>
          <w:ilvl w:val="0"/>
          <w:numId w:val="33"/>
        </w:numPr>
        <w:tabs>
          <w:tab w:val="clear" w:pos="840"/>
          <w:tab w:val="clear" w:pos="916"/>
          <w:tab w:val="left" w:pos="851"/>
        </w:tabs>
        <w:ind w:left="709" w:hanging="283"/>
        <w:jc w:val="both"/>
        <w:rPr>
          <w:rFonts w:ascii="Arial" w:hAnsi="Arial" w:cs="Arial"/>
          <w:color w:val="000000" w:themeColor="text1"/>
        </w:rPr>
      </w:pPr>
      <w:r w:rsidRPr="00116905">
        <w:rPr>
          <w:rFonts w:ascii="Arial" w:hAnsi="Arial" w:cs="Arial"/>
          <w:color w:val="000000" w:themeColor="text1"/>
        </w:rPr>
        <w:t>Izmjene i dopune MSFI-ja 16 Najmovi: Obveza po najmu kod prodaje s povratnim najmom (na snazi za godišnja razdoblja koja počinju na dan ili nakon 1. siječnja 2024. godine);MSFI 17 – Ugovori o osiguranju i izmjene MSFI 17 (na snazi za godišnja razdoblja počinju na dan ili nakon 1. siječnja 2023. godine);</w:t>
      </w:r>
    </w:p>
    <w:p w14:paraId="6B9301F7" w14:textId="77777777" w:rsidR="004E2F51" w:rsidRPr="00116905" w:rsidRDefault="004E2F51">
      <w:pPr>
        <w:pStyle w:val="HTMLPreformatted"/>
        <w:numPr>
          <w:ilvl w:val="0"/>
          <w:numId w:val="33"/>
        </w:numPr>
        <w:tabs>
          <w:tab w:val="clear" w:pos="840"/>
          <w:tab w:val="clear" w:pos="916"/>
          <w:tab w:val="left" w:pos="851"/>
        </w:tabs>
        <w:ind w:left="709" w:hanging="283"/>
        <w:jc w:val="both"/>
        <w:rPr>
          <w:rFonts w:ascii="Arial" w:hAnsi="Arial" w:cs="Arial"/>
          <w:color w:val="000000" w:themeColor="text1"/>
        </w:rPr>
      </w:pPr>
      <w:r>
        <w:rPr>
          <w:rFonts w:ascii="Arial" w:hAnsi="Arial" w:cs="Arial"/>
          <w:color w:val="000000" w:themeColor="text1"/>
        </w:rPr>
        <w:t>I</w:t>
      </w:r>
      <w:r w:rsidRPr="00116905">
        <w:rPr>
          <w:rFonts w:ascii="Arial" w:hAnsi="Arial" w:cs="Arial"/>
          <w:color w:val="000000" w:themeColor="text1"/>
        </w:rPr>
        <w:t>zmjene i dopune MRS-a 1 Prezentacija financijskih izvještaja (izmjena – Klasifikacija obveza na kratkoročne i dugoročne) (na snazi za godišnja razdoblja koja počinju na dan ili nakon 1. siječnja 2024. godine);</w:t>
      </w:r>
    </w:p>
    <w:p w14:paraId="01BF4211" w14:textId="77777777" w:rsidR="004E2F51" w:rsidRDefault="004E2F51">
      <w:pPr>
        <w:pStyle w:val="HTMLPreformatted"/>
        <w:numPr>
          <w:ilvl w:val="0"/>
          <w:numId w:val="33"/>
        </w:numPr>
        <w:tabs>
          <w:tab w:val="clear" w:pos="840"/>
          <w:tab w:val="clear" w:pos="916"/>
          <w:tab w:val="left" w:pos="851"/>
        </w:tabs>
        <w:ind w:left="709" w:hanging="283"/>
        <w:jc w:val="both"/>
        <w:rPr>
          <w:rFonts w:ascii="Arial" w:hAnsi="Arial" w:cs="Arial"/>
          <w:color w:val="000000" w:themeColor="text1"/>
        </w:rPr>
      </w:pPr>
      <w:r w:rsidRPr="00116905">
        <w:rPr>
          <w:rFonts w:ascii="Arial" w:hAnsi="Arial" w:cs="Arial"/>
          <w:color w:val="000000" w:themeColor="text1"/>
        </w:rPr>
        <w:t xml:space="preserve">Izmjene i dopune MRS-a 1 Prezentacija financijskih izvještaja (izmjena – Dugoročne obveze s </w:t>
      </w:r>
      <w:r>
        <w:rPr>
          <w:rFonts w:ascii="Arial" w:hAnsi="Arial" w:cs="Arial"/>
          <w:color w:val="000000" w:themeColor="text1"/>
        </w:rPr>
        <w:t>kovenantama)</w:t>
      </w:r>
      <w:r w:rsidRPr="00116905">
        <w:rPr>
          <w:rFonts w:ascii="Arial" w:hAnsi="Arial" w:cs="Arial"/>
          <w:color w:val="000000" w:themeColor="text1"/>
        </w:rPr>
        <w:t xml:space="preserve"> (na snazi za godišnja razdoblja koja počinju na dan ili nakon 1. siječnja 2024. godine).</w:t>
      </w:r>
    </w:p>
    <w:p w14:paraId="215637DB" w14:textId="77777777" w:rsidR="004E2F51" w:rsidRDefault="004E2F51" w:rsidP="004E2F51">
      <w:pPr>
        <w:pStyle w:val="HTMLPreformatted"/>
        <w:tabs>
          <w:tab w:val="clear" w:pos="916"/>
          <w:tab w:val="left" w:pos="851"/>
        </w:tabs>
        <w:jc w:val="both"/>
        <w:rPr>
          <w:rFonts w:ascii="Arial" w:hAnsi="Arial" w:cs="Arial"/>
          <w:color w:val="000000" w:themeColor="text1"/>
        </w:rPr>
      </w:pPr>
    </w:p>
    <w:p w14:paraId="03A99073" w14:textId="77777777" w:rsidR="004E2F51" w:rsidRPr="00116905" w:rsidRDefault="004E2F51" w:rsidP="004E2F51">
      <w:pPr>
        <w:pStyle w:val="HTMLPreformatted"/>
        <w:tabs>
          <w:tab w:val="clear" w:pos="916"/>
          <w:tab w:val="left" w:pos="851"/>
        </w:tabs>
        <w:jc w:val="both"/>
        <w:rPr>
          <w:rFonts w:ascii="Arial" w:hAnsi="Arial" w:cs="Arial"/>
          <w:color w:val="000000" w:themeColor="text1"/>
        </w:rPr>
      </w:pPr>
      <w:r w:rsidRPr="00116905">
        <w:rPr>
          <w:rFonts w:ascii="Arial" w:hAnsi="Arial" w:cs="Arial"/>
          <w:color w:val="000000" w:themeColor="text1"/>
        </w:rPr>
        <w:t>Grupa očekuje da usvajanje izmjena i dopuna postojećih standarda neće dovesti do značajnih promjena u financijskim izvještajima Grupe.</w:t>
      </w:r>
    </w:p>
    <w:p w14:paraId="1B1745A0" w14:textId="337AC5D8" w:rsidR="004E2F51" w:rsidRPr="004B4498" w:rsidRDefault="004E2F51" w:rsidP="004E2F51">
      <w:pPr>
        <w:spacing w:before="100" w:beforeAutospacing="1" w:after="100" w:afterAutospacing="1" w:line="276" w:lineRule="auto"/>
        <w:jc w:val="both"/>
        <w:rPr>
          <w:rFonts w:ascii="Arial" w:hAnsi="Arial" w:cs="Arial"/>
          <w:sz w:val="20"/>
          <w:szCs w:val="20"/>
          <w:lang w:val="hr-HR" w:eastAsia="hr-HR"/>
        </w:rPr>
      </w:pPr>
    </w:p>
    <w:p w14:paraId="66D6C74A" w14:textId="77777777" w:rsidR="004E2F51" w:rsidRPr="004B4498" w:rsidRDefault="004E2F51" w:rsidP="004E2F51">
      <w:pPr>
        <w:jc w:val="both"/>
        <w:rPr>
          <w:rFonts w:ascii="Arial" w:hAnsi="Arial" w:cs="Arial"/>
          <w:sz w:val="20"/>
          <w:szCs w:val="20"/>
          <w:lang w:val="hr-HR"/>
        </w:rPr>
      </w:pPr>
      <w:bookmarkStart w:id="720" w:name="_Hlk99022736"/>
      <w:bookmarkEnd w:id="718"/>
    </w:p>
    <w:bookmarkEnd w:id="720"/>
    <w:p w14:paraId="58A85C9D" w14:textId="77777777" w:rsidR="004E2F51" w:rsidRPr="00B91D09" w:rsidRDefault="004E2F51" w:rsidP="004E2F51">
      <w:pPr>
        <w:pStyle w:val="accountingpolicytitle"/>
        <w:spacing w:before="120" w:line="300" w:lineRule="exact"/>
        <w:rPr>
          <w:rFonts w:cs="Arial"/>
          <w:b w:val="0"/>
          <w:color w:val="000000" w:themeColor="text1"/>
          <w:sz w:val="22"/>
          <w:szCs w:val="22"/>
          <w:lang w:val="hr-HR"/>
        </w:rPr>
        <w:sectPr w:rsidR="004E2F51" w:rsidRPr="00B91D09" w:rsidSect="00623DBA">
          <w:footerReference w:type="default" r:id="rId112"/>
          <w:pgSz w:w="11907" w:h="16840" w:code="9"/>
          <w:pgMar w:top="1418" w:right="1134" w:bottom="1134" w:left="1418" w:header="851" w:footer="851" w:gutter="0"/>
          <w:cols w:space="720"/>
          <w:noEndnote/>
        </w:sectPr>
      </w:pPr>
    </w:p>
    <w:p w14:paraId="4DF5E11B" w14:textId="77777777" w:rsidR="004E2F51" w:rsidRPr="004B4498" w:rsidRDefault="004E2F51" w:rsidP="004E2F51">
      <w:pPr>
        <w:pStyle w:val="T1"/>
        <w:tabs>
          <w:tab w:val="left" w:pos="142"/>
          <w:tab w:val="left" w:pos="567"/>
        </w:tabs>
        <w:spacing w:before="0" w:after="0" w:line="240" w:lineRule="auto"/>
        <w:rPr>
          <w:rFonts w:cs="Arial"/>
          <w:color w:val="000000" w:themeColor="text1"/>
          <w:sz w:val="20"/>
          <w:lang w:val="hr-HR"/>
        </w:rPr>
      </w:pPr>
    </w:p>
    <w:p w14:paraId="6CC99C20" w14:textId="77777777" w:rsidR="004E2F51" w:rsidRPr="004B4498" w:rsidRDefault="004E2F51" w:rsidP="004E2F51">
      <w:pPr>
        <w:pStyle w:val="T1"/>
        <w:tabs>
          <w:tab w:val="left" w:pos="142"/>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5.</w:t>
      </w:r>
      <w:r w:rsidRPr="004B4498">
        <w:rPr>
          <w:rFonts w:cs="Arial"/>
          <w:color w:val="000000" w:themeColor="text1"/>
          <w:sz w:val="20"/>
          <w:lang w:val="hr-HR"/>
        </w:rPr>
        <w:tab/>
        <w:t>Prihodi od kamata izračunati metodom efektivne kamatne stope</w:t>
      </w:r>
    </w:p>
    <w:p w14:paraId="0D77773B"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3B25D2CC"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Prihodi od kamata po korisnicima:</w:t>
      </w:r>
    </w:p>
    <w:tbl>
      <w:tblPr>
        <w:tblW w:w="5000" w:type="pct"/>
        <w:tblLayout w:type="fixed"/>
        <w:tblCellMar>
          <w:right w:w="113" w:type="dxa"/>
        </w:tblCellMar>
        <w:tblLook w:val="0000" w:firstRow="0" w:lastRow="0" w:firstColumn="0" w:lastColumn="0" w:noHBand="0" w:noVBand="0"/>
      </w:tblPr>
      <w:tblGrid>
        <w:gridCol w:w="3827"/>
        <w:gridCol w:w="1381"/>
        <w:gridCol w:w="1383"/>
        <w:gridCol w:w="1383"/>
        <w:gridCol w:w="1381"/>
      </w:tblGrid>
      <w:tr w:rsidR="004E2F51" w:rsidRPr="00BE169A" w14:paraId="1A7C5464" w14:textId="77777777" w:rsidTr="00E032FC">
        <w:trPr>
          <w:trHeight w:val="225"/>
        </w:trPr>
        <w:tc>
          <w:tcPr>
            <w:tcW w:w="2045" w:type="pct"/>
          </w:tcPr>
          <w:p w14:paraId="3514B713" w14:textId="77777777" w:rsidR="004E2F51" w:rsidRPr="004B4498" w:rsidRDefault="004E2F51" w:rsidP="00E032FC">
            <w:pPr>
              <w:tabs>
                <w:tab w:val="left" w:pos="-720"/>
              </w:tabs>
              <w:ind w:right="4144"/>
              <w:jc w:val="right"/>
              <w:rPr>
                <w:rFonts w:ascii="Arial" w:hAnsi="Arial" w:cs="Arial"/>
                <w:color w:val="000000" w:themeColor="text1"/>
                <w:sz w:val="20"/>
                <w:szCs w:val="20"/>
                <w:lang w:val="hr-HR"/>
              </w:rPr>
            </w:pPr>
          </w:p>
        </w:tc>
        <w:tc>
          <w:tcPr>
            <w:tcW w:w="1477" w:type="pct"/>
            <w:gridSpan w:val="2"/>
          </w:tcPr>
          <w:p w14:paraId="76C01B02" w14:textId="77777777" w:rsidR="004E2F51" w:rsidRPr="004B4498" w:rsidRDefault="004E2F51" w:rsidP="00E032FC">
            <w:pPr>
              <w:pStyle w:val="TH"/>
              <w:spacing w:line="240" w:lineRule="auto"/>
              <w:jc w:val="right"/>
              <w:rPr>
                <w:rFonts w:cs="Arial"/>
                <w:color w:val="000000" w:themeColor="text1"/>
                <w:sz w:val="20"/>
                <w:lang w:val="hr-HR"/>
              </w:rPr>
            </w:pPr>
            <w:bookmarkStart w:id="721" w:name="_Toc67327391"/>
            <w:r w:rsidRPr="004B4498">
              <w:rPr>
                <w:rFonts w:cs="Arial"/>
                <w:color w:val="000000" w:themeColor="text1"/>
                <w:sz w:val="20"/>
                <w:lang w:val="hr-HR"/>
              </w:rPr>
              <w:t>Grupa</w:t>
            </w:r>
            <w:bookmarkEnd w:id="721"/>
          </w:p>
        </w:tc>
        <w:tc>
          <w:tcPr>
            <w:tcW w:w="1477" w:type="pct"/>
            <w:gridSpan w:val="2"/>
            <w:vAlign w:val="bottom"/>
          </w:tcPr>
          <w:p w14:paraId="42D90407" w14:textId="77777777" w:rsidR="004E2F51" w:rsidRPr="004B4498" w:rsidRDefault="004E2F51" w:rsidP="00E032FC">
            <w:pPr>
              <w:pStyle w:val="TH"/>
              <w:spacing w:line="240" w:lineRule="auto"/>
              <w:jc w:val="right"/>
              <w:rPr>
                <w:rFonts w:cs="Arial"/>
                <w:color w:val="000000" w:themeColor="text1"/>
                <w:sz w:val="20"/>
                <w:lang w:val="hr-HR"/>
              </w:rPr>
            </w:pPr>
            <w:bookmarkStart w:id="722" w:name="_Toc67327392"/>
            <w:r w:rsidRPr="004B4498">
              <w:rPr>
                <w:rFonts w:cs="Arial"/>
                <w:color w:val="000000" w:themeColor="text1"/>
                <w:sz w:val="20"/>
                <w:lang w:val="hr-HR"/>
              </w:rPr>
              <w:t>Banka</w:t>
            </w:r>
            <w:bookmarkEnd w:id="722"/>
          </w:p>
        </w:tc>
      </w:tr>
      <w:tr w:rsidR="004E2F51" w:rsidRPr="00BE169A" w14:paraId="61D56F75" w14:textId="77777777" w:rsidTr="00E032FC">
        <w:trPr>
          <w:trHeight w:val="225"/>
        </w:trPr>
        <w:tc>
          <w:tcPr>
            <w:tcW w:w="2045" w:type="pct"/>
          </w:tcPr>
          <w:p w14:paraId="2EBE3D9F" w14:textId="77777777" w:rsidR="004E2F51" w:rsidRPr="004B4498" w:rsidRDefault="004E2F51" w:rsidP="00E032FC">
            <w:pPr>
              <w:tabs>
                <w:tab w:val="left" w:pos="-720"/>
              </w:tabs>
              <w:ind w:right="4144"/>
              <w:jc w:val="right"/>
              <w:rPr>
                <w:rFonts w:ascii="Arial" w:hAnsi="Arial" w:cs="Arial"/>
                <w:color w:val="000000" w:themeColor="text1"/>
                <w:sz w:val="20"/>
                <w:szCs w:val="20"/>
                <w:lang w:val="hr-HR"/>
              </w:rPr>
            </w:pPr>
          </w:p>
        </w:tc>
        <w:tc>
          <w:tcPr>
            <w:tcW w:w="738" w:type="pct"/>
            <w:vAlign w:val="bottom"/>
          </w:tcPr>
          <w:p w14:paraId="534EC691" w14:textId="77777777" w:rsidR="004E2F51" w:rsidRPr="004B4498" w:rsidRDefault="004E2F51" w:rsidP="00E032FC">
            <w:pPr>
              <w:pStyle w:val="TH"/>
              <w:spacing w:line="240" w:lineRule="auto"/>
              <w:jc w:val="right"/>
              <w:rPr>
                <w:rFonts w:cs="Arial"/>
                <w:color w:val="000000" w:themeColor="text1"/>
                <w:sz w:val="20"/>
                <w:lang w:val="hr-HR"/>
              </w:rPr>
            </w:pPr>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p>
        </w:tc>
        <w:tc>
          <w:tcPr>
            <w:tcW w:w="739" w:type="pct"/>
            <w:vAlign w:val="bottom"/>
          </w:tcPr>
          <w:p w14:paraId="10247F4C" w14:textId="77777777" w:rsidR="004E2F51" w:rsidRPr="004B4498" w:rsidRDefault="004E2F51" w:rsidP="00E032FC">
            <w:pPr>
              <w:pStyle w:val="TH"/>
              <w:spacing w:line="240" w:lineRule="auto"/>
              <w:jc w:val="right"/>
              <w:rPr>
                <w:rFonts w:cs="Arial"/>
                <w:color w:val="000000" w:themeColor="text1"/>
                <w:sz w:val="20"/>
                <w:lang w:val="hr-HR"/>
              </w:rPr>
            </w:pPr>
            <w:bookmarkStart w:id="723" w:name="_Toc67327393"/>
            <w:bookmarkStart w:id="724" w:name="_Toc67327394"/>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723"/>
            <w:bookmarkEnd w:id="724"/>
          </w:p>
        </w:tc>
        <w:tc>
          <w:tcPr>
            <w:tcW w:w="739" w:type="pct"/>
            <w:vAlign w:val="bottom"/>
          </w:tcPr>
          <w:p w14:paraId="6334392F" w14:textId="77777777" w:rsidR="004E2F51" w:rsidRPr="004B4498" w:rsidRDefault="004E2F51" w:rsidP="00E032FC">
            <w:pPr>
              <w:pStyle w:val="TH"/>
              <w:spacing w:line="240" w:lineRule="auto"/>
              <w:jc w:val="right"/>
              <w:rPr>
                <w:rFonts w:cs="Arial"/>
                <w:color w:val="000000" w:themeColor="text1"/>
                <w:sz w:val="20"/>
                <w:lang w:val="hr-HR"/>
              </w:rPr>
            </w:pPr>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p>
        </w:tc>
        <w:tc>
          <w:tcPr>
            <w:tcW w:w="738" w:type="pct"/>
            <w:vAlign w:val="bottom"/>
          </w:tcPr>
          <w:p w14:paraId="6582B137" w14:textId="77777777" w:rsidR="004E2F51" w:rsidRPr="004B4498" w:rsidRDefault="004E2F51" w:rsidP="00E032FC">
            <w:pPr>
              <w:pStyle w:val="TH"/>
              <w:spacing w:line="240" w:lineRule="auto"/>
              <w:jc w:val="right"/>
              <w:rPr>
                <w:rFonts w:cs="Arial"/>
                <w:color w:val="000000" w:themeColor="text1"/>
                <w:sz w:val="20"/>
                <w:lang w:val="hr-HR"/>
              </w:rPr>
            </w:pPr>
            <w:bookmarkStart w:id="725" w:name="_Toc67327395"/>
            <w:bookmarkStart w:id="726" w:name="_Toc67327396"/>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725"/>
            <w:bookmarkEnd w:id="726"/>
          </w:p>
        </w:tc>
      </w:tr>
      <w:tr w:rsidR="004E2F51" w:rsidRPr="00BE169A" w14:paraId="1A3116B0" w14:textId="77777777" w:rsidTr="00E032FC">
        <w:trPr>
          <w:trHeight w:val="187"/>
        </w:trPr>
        <w:tc>
          <w:tcPr>
            <w:tcW w:w="2045" w:type="pct"/>
          </w:tcPr>
          <w:p w14:paraId="5421CB99" w14:textId="77777777" w:rsidR="004E2F51" w:rsidRPr="004B4498" w:rsidRDefault="004E2F51" w:rsidP="00E032FC">
            <w:pPr>
              <w:tabs>
                <w:tab w:val="left" w:pos="-720"/>
              </w:tabs>
              <w:ind w:right="4144"/>
              <w:jc w:val="right"/>
              <w:rPr>
                <w:rFonts w:ascii="Arial" w:hAnsi="Arial" w:cs="Arial"/>
                <w:color w:val="000000" w:themeColor="text1"/>
                <w:sz w:val="20"/>
                <w:szCs w:val="20"/>
                <w:lang w:val="hr-HR"/>
              </w:rPr>
            </w:pPr>
          </w:p>
        </w:tc>
        <w:tc>
          <w:tcPr>
            <w:tcW w:w="738" w:type="pct"/>
          </w:tcPr>
          <w:p w14:paraId="2F8C7C3B" w14:textId="77777777" w:rsidR="004E2F51" w:rsidRPr="004B4498" w:rsidRDefault="004E2F51" w:rsidP="00E032FC">
            <w:pPr>
              <w:pStyle w:val="TH"/>
              <w:spacing w:line="240" w:lineRule="auto"/>
              <w:jc w:val="right"/>
              <w:rPr>
                <w:rFonts w:cs="Arial"/>
                <w:color w:val="000000" w:themeColor="text1"/>
                <w:sz w:val="20"/>
                <w:lang w:val="hr-HR"/>
              </w:rPr>
            </w:pPr>
            <w:bookmarkStart w:id="727" w:name="_Toc67327397"/>
            <w:r w:rsidRPr="004B4498">
              <w:rPr>
                <w:rFonts w:cs="Arial"/>
                <w:color w:val="000000" w:themeColor="text1"/>
                <w:sz w:val="20"/>
                <w:lang w:val="hr-HR"/>
              </w:rPr>
              <w:t>000 kuna</w:t>
            </w:r>
            <w:bookmarkEnd w:id="727"/>
          </w:p>
        </w:tc>
        <w:tc>
          <w:tcPr>
            <w:tcW w:w="739" w:type="pct"/>
          </w:tcPr>
          <w:p w14:paraId="3B86C07F" w14:textId="77777777" w:rsidR="004E2F51" w:rsidRPr="004B4498" w:rsidRDefault="004E2F51" w:rsidP="00E032FC">
            <w:pPr>
              <w:pStyle w:val="TH"/>
              <w:spacing w:line="240" w:lineRule="auto"/>
              <w:jc w:val="right"/>
              <w:rPr>
                <w:rFonts w:cs="Arial"/>
                <w:color w:val="000000" w:themeColor="text1"/>
                <w:sz w:val="20"/>
                <w:lang w:val="hr-HR"/>
              </w:rPr>
            </w:pPr>
            <w:bookmarkStart w:id="728" w:name="_Toc67327398"/>
            <w:r w:rsidRPr="004B4498">
              <w:rPr>
                <w:rFonts w:cs="Arial"/>
                <w:color w:val="000000" w:themeColor="text1"/>
                <w:sz w:val="20"/>
                <w:lang w:val="hr-HR"/>
              </w:rPr>
              <w:t>000 kuna</w:t>
            </w:r>
            <w:bookmarkEnd w:id="728"/>
          </w:p>
        </w:tc>
        <w:tc>
          <w:tcPr>
            <w:tcW w:w="739" w:type="pct"/>
          </w:tcPr>
          <w:p w14:paraId="3B93928B" w14:textId="77777777" w:rsidR="004E2F51" w:rsidRPr="004B4498" w:rsidRDefault="004E2F51" w:rsidP="00E032FC">
            <w:pPr>
              <w:pStyle w:val="TH"/>
              <w:spacing w:line="240" w:lineRule="auto"/>
              <w:jc w:val="right"/>
              <w:rPr>
                <w:rFonts w:cs="Arial"/>
                <w:color w:val="000000" w:themeColor="text1"/>
                <w:sz w:val="20"/>
                <w:lang w:val="hr-HR"/>
              </w:rPr>
            </w:pPr>
            <w:bookmarkStart w:id="729" w:name="_Toc67327399"/>
            <w:r w:rsidRPr="004B4498">
              <w:rPr>
                <w:rFonts w:cs="Arial"/>
                <w:color w:val="000000" w:themeColor="text1"/>
                <w:sz w:val="20"/>
                <w:lang w:val="hr-HR"/>
              </w:rPr>
              <w:t>000 kuna</w:t>
            </w:r>
            <w:bookmarkEnd w:id="729"/>
          </w:p>
        </w:tc>
        <w:tc>
          <w:tcPr>
            <w:tcW w:w="738" w:type="pct"/>
          </w:tcPr>
          <w:p w14:paraId="2769A023" w14:textId="77777777" w:rsidR="004E2F51" w:rsidRPr="004B4498" w:rsidRDefault="004E2F51" w:rsidP="00E032FC">
            <w:pPr>
              <w:pStyle w:val="TH"/>
              <w:spacing w:line="240" w:lineRule="auto"/>
              <w:jc w:val="right"/>
              <w:rPr>
                <w:rFonts w:cs="Arial"/>
                <w:color w:val="000000" w:themeColor="text1"/>
                <w:sz w:val="20"/>
                <w:lang w:val="hr-HR"/>
              </w:rPr>
            </w:pPr>
            <w:bookmarkStart w:id="730" w:name="_Toc67327400"/>
            <w:r w:rsidRPr="004B4498">
              <w:rPr>
                <w:rFonts w:cs="Arial"/>
                <w:color w:val="000000" w:themeColor="text1"/>
                <w:sz w:val="20"/>
                <w:lang w:val="hr-HR"/>
              </w:rPr>
              <w:t>000 kuna</w:t>
            </w:r>
            <w:bookmarkEnd w:id="730"/>
          </w:p>
        </w:tc>
      </w:tr>
      <w:tr w:rsidR="004E2F51" w:rsidRPr="00BE169A" w14:paraId="736F7482" w14:textId="77777777" w:rsidTr="00E032FC">
        <w:trPr>
          <w:trHeight w:val="187"/>
        </w:trPr>
        <w:tc>
          <w:tcPr>
            <w:tcW w:w="2045" w:type="pct"/>
          </w:tcPr>
          <w:p w14:paraId="68402BB6" w14:textId="77777777" w:rsidR="004E2F51" w:rsidRPr="004B4498" w:rsidRDefault="004E2F51" w:rsidP="00E032FC">
            <w:pPr>
              <w:tabs>
                <w:tab w:val="left" w:pos="-720"/>
              </w:tabs>
              <w:ind w:right="4144"/>
              <w:jc w:val="right"/>
              <w:rPr>
                <w:rFonts w:ascii="Arial" w:hAnsi="Arial" w:cs="Arial"/>
                <w:color w:val="000000" w:themeColor="text1"/>
                <w:sz w:val="20"/>
                <w:szCs w:val="20"/>
                <w:lang w:val="hr-HR"/>
              </w:rPr>
            </w:pPr>
          </w:p>
        </w:tc>
        <w:tc>
          <w:tcPr>
            <w:tcW w:w="738" w:type="pct"/>
          </w:tcPr>
          <w:p w14:paraId="00D9D3CA" w14:textId="77777777" w:rsidR="004E2F51" w:rsidRPr="004B4498" w:rsidRDefault="004E2F51" w:rsidP="00E032FC">
            <w:pPr>
              <w:jc w:val="right"/>
              <w:rPr>
                <w:rFonts w:ascii="Arial" w:hAnsi="Arial" w:cs="Arial"/>
                <w:b/>
                <w:color w:val="000000" w:themeColor="text1"/>
                <w:sz w:val="20"/>
                <w:szCs w:val="20"/>
                <w:lang w:val="hr-HR"/>
              </w:rPr>
            </w:pPr>
          </w:p>
        </w:tc>
        <w:tc>
          <w:tcPr>
            <w:tcW w:w="739" w:type="pct"/>
          </w:tcPr>
          <w:p w14:paraId="3F9EAAB9" w14:textId="77777777" w:rsidR="004E2F51" w:rsidRPr="004B4498" w:rsidRDefault="004E2F51" w:rsidP="00E032FC">
            <w:pPr>
              <w:jc w:val="right"/>
              <w:rPr>
                <w:rFonts w:ascii="Arial" w:hAnsi="Arial" w:cs="Arial"/>
                <w:b/>
                <w:color w:val="000000" w:themeColor="text1"/>
                <w:sz w:val="20"/>
                <w:szCs w:val="20"/>
                <w:lang w:val="hr-HR"/>
              </w:rPr>
            </w:pPr>
          </w:p>
        </w:tc>
        <w:tc>
          <w:tcPr>
            <w:tcW w:w="739" w:type="pct"/>
          </w:tcPr>
          <w:p w14:paraId="450859D8" w14:textId="77777777" w:rsidR="004E2F51" w:rsidRPr="004B4498" w:rsidRDefault="004E2F51" w:rsidP="00E032FC">
            <w:pPr>
              <w:jc w:val="right"/>
              <w:rPr>
                <w:rFonts w:ascii="Arial" w:hAnsi="Arial" w:cs="Arial"/>
                <w:b/>
                <w:color w:val="000000" w:themeColor="text1"/>
                <w:sz w:val="20"/>
                <w:szCs w:val="20"/>
                <w:lang w:val="hr-HR"/>
              </w:rPr>
            </w:pPr>
          </w:p>
        </w:tc>
        <w:tc>
          <w:tcPr>
            <w:tcW w:w="738" w:type="pct"/>
          </w:tcPr>
          <w:p w14:paraId="6C6B8237" w14:textId="77777777" w:rsidR="004E2F51" w:rsidRPr="004B4498" w:rsidRDefault="004E2F51" w:rsidP="00E032FC">
            <w:pPr>
              <w:jc w:val="right"/>
              <w:rPr>
                <w:rFonts w:ascii="Arial" w:hAnsi="Arial" w:cs="Arial"/>
                <w:b/>
                <w:color w:val="000000" w:themeColor="text1"/>
                <w:sz w:val="20"/>
                <w:szCs w:val="20"/>
                <w:lang w:val="hr-HR"/>
              </w:rPr>
            </w:pPr>
          </w:p>
        </w:tc>
      </w:tr>
      <w:tr w:rsidR="004E2F51" w:rsidRPr="00BE169A" w14:paraId="703B8A72" w14:textId="77777777" w:rsidTr="00E032FC">
        <w:tc>
          <w:tcPr>
            <w:tcW w:w="2045" w:type="pct"/>
            <w:vAlign w:val="bottom"/>
          </w:tcPr>
          <w:p w14:paraId="15D59B3C" w14:textId="77777777" w:rsidR="004E2F51" w:rsidRPr="004B4498" w:rsidRDefault="004E2F51" w:rsidP="00E032FC">
            <w:pPr>
              <w:pStyle w:val="TT"/>
              <w:spacing w:line="240" w:lineRule="auto"/>
              <w:rPr>
                <w:rFonts w:cs="Arial"/>
                <w:color w:val="000000" w:themeColor="text1"/>
                <w:sz w:val="20"/>
                <w:lang w:val="hr-HR"/>
              </w:rPr>
            </w:pPr>
            <w:bookmarkStart w:id="731" w:name="_Toc67327401"/>
            <w:r w:rsidRPr="004B4498">
              <w:rPr>
                <w:rFonts w:cs="Arial"/>
                <w:color w:val="000000" w:themeColor="text1"/>
                <w:sz w:val="20"/>
                <w:lang w:val="hr-HR"/>
              </w:rPr>
              <w:t>Javni sektor</w:t>
            </w:r>
            <w:bookmarkEnd w:id="731"/>
          </w:p>
        </w:tc>
        <w:tc>
          <w:tcPr>
            <w:tcW w:w="738" w:type="pct"/>
            <w:tcBorders>
              <w:top w:val="nil"/>
              <w:left w:val="nil"/>
              <w:bottom w:val="nil"/>
              <w:right w:val="nil"/>
            </w:tcBorders>
            <w:shd w:val="clear" w:color="auto" w:fill="auto"/>
            <w:vAlign w:val="bottom"/>
          </w:tcPr>
          <w:p w14:paraId="3EB117F3"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141.094 </w:t>
            </w:r>
          </w:p>
        </w:tc>
        <w:tc>
          <w:tcPr>
            <w:tcW w:w="739" w:type="pct"/>
            <w:tcBorders>
              <w:top w:val="nil"/>
              <w:left w:val="nil"/>
              <w:bottom w:val="nil"/>
              <w:right w:val="nil"/>
            </w:tcBorders>
            <w:shd w:val="clear" w:color="auto" w:fill="auto"/>
            <w:vAlign w:val="bottom"/>
          </w:tcPr>
          <w:p w14:paraId="2AF0A63C"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143.012</w:t>
            </w:r>
          </w:p>
        </w:tc>
        <w:tc>
          <w:tcPr>
            <w:tcW w:w="739" w:type="pct"/>
            <w:tcBorders>
              <w:top w:val="nil"/>
              <w:left w:val="nil"/>
              <w:bottom w:val="nil"/>
              <w:right w:val="nil"/>
            </w:tcBorders>
            <w:shd w:val="clear" w:color="auto" w:fill="auto"/>
            <w:vAlign w:val="bottom"/>
          </w:tcPr>
          <w:p w14:paraId="6D262748"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139.792 </w:t>
            </w:r>
          </w:p>
        </w:tc>
        <w:tc>
          <w:tcPr>
            <w:tcW w:w="738" w:type="pct"/>
            <w:tcBorders>
              <w:top w:val="nil"/>
              <w:left w:val="nil"/>
              <w:bottom w:val="nil"/>
              <w:right w:val="nil"/>
            </w:tcBorders>
            <w:shd w:val="clear" w:color="auto" w:fill="auto"/>
            <w:vAlign w:val="bottom"/>
          </w:tcPr>
          <w:p w14:paraId="6BBDED0A"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141.742</w:t>
            </w:r>
          </w:p>
        </w:tc>
      </w:tr>
      <w:tr w:rsidR="004E2F51" w:rsidRPr="00BE169A" w14:paraId="5904A58B" w14:textId="77777777" w:rsidTr="00E032FC">
        <w:tc>
          <w:tcPr>
            <w:tcW w:w="2045" w:type="pct"/>
            <w:vAlign w:val="bottom"/>
          </w:tcPr>
          <w:p w14:paraId="373B3452" w14:textId="77777777" w:rsidR="004E2F51" w:rsidRPr="004B4498" w:rsidRDefault="004E2F51" w:rsidP="00E032FC">
            <w:pPr>
              <w:pStyle w:val="TT"/>
              <w:spacing w:line="240" w:lineRule="auto"/>
              <w:rPr>
                <w:rFonts w:cs="Arial"/>
                <w:color w:val="000000" w:themeColor="text1"/>
                <w:sz w:val="20"/>
                <w:lang w:val="hr-HR"/>
              </w:rPr>
            </w:pPr>
            <w:bookmarkStart w:id="732" w:name="_Toc67327406"/>
            <w:r w:rsidRPr="004B4498">
              <w:rPr>
                <w:rFonts w:cs="Arial"/>
                <w:color w:val="000000" w:themeColor="text1"/>
                <w:sz w:val="20"/>
                <w:lang w:val="hr-HR"/>
              </w:rPr>
              <w:t>Državna trgovačka društva</w:t>
            </w:r>
            <w:bookmarkEnd w:id="732"/>
          </w:p>
        </w:tc>
        <w:tc>
          <w:tcPr>
            <w:tcW w:w="738" w:type="pct"/>
            <w:tcBorders>
              <w:top w:val="nil"/>
              <w:left w:val="nil"/>
              <w:bottom w:val="nil"/>
              <w:right w:val="nil"/>
            </w:tcBorders>
            <w:shd w:val="clear" w:color="auto" w:fill="auto"/>
            <w:vAlign w:val="bottom"/>
          </w:tcPr>
          <w:p w14:paraId="7552FFD5"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28.605 </w:t>
            </w:r>
          </w:p>
        </w:tc>
        <w:tc>
          <w:tcPr>
            <w:tcW w:w="739" w:type="pct"/>
            <w:tcBorders>
              <w:top w:val="nil"/>
              <w:left w:val="nil"/>
              <w:bottom w:val="nil"/>
              <w:right w:val="nil"/>
            </w:tcBorders>
            <w:shd w:val="clear" w:color="auto" w:fill="auto"/>
            <w:vAlign w:val="bottom"/>
          </w:tcPr>
          <w:p w14:paraId="0C2D8A9D"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26.068</w:t>
            </w:r>
          </w:p>
        </w:tc>
        <w:tc>
          <w:tcPr>
            <w:tcW w:w="739" w:type="pct"/>
            <w:tcBorders>
              <w:top w:val="nil"/>
              <w:left w:val="nil"/>
              <w:bottom w:val="nil"/>
              <w:right w:val="nil"/>
            </w:tcBorders>
            <w:shd w:val="clear" w:color="auto" w:fill="auto"/>
            <w:vAlign w:val="bottom"/>
          </w:tcPr>
          <w:p w14:paraId="4A2B62CE"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28.605 </w:t>
            </w:r>
          </w:p>
        </w:tc>
        <w:tc>
          <w:tcPr>
            <w:tcW w:w="738" w:type="pct"/>
            <w:tcBorders>
              <w:top w:val="nil"/>
              <w:left w:val="nil"/>
              <w:bottom w:val="nil"/>
              <w:right w:val="nil"/>
            </w:tcBorders>
            <w:shd w:val="clear" w:color="auto" w:fill="auto"/>
            <w:vAlign w:val="bottom"/>
          </w:tcPr>
          <w:p w14:paraId="7D7A5465"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26.068</w:t>
            </w:r>
          </w:p>
        </w:tc>
      </w:tr>
      <w:tr w:rsidR="004E2F51" w:rsidRPr="00BE169A" w14:paraId="76CB24CF" w14:textId="77777777" w:rsidTr="00E032FC">
        <w:tc>
          <w:tcPr>
            <w:tcW w:w="2045" w:type="pct"/>
            <w:vAlign w:val="bottom"/>
          </w:tcPr>
          <w:p w14:paraId="224FB345" w14:textId="77777777" w:rsidR="004E2F51" w:rsidRPr="004B4498" w:rsidRDefault="004E2F51" w:rsidP="00E032FC">
            <w:pPr>
              <w:pStyle w:val="TT"/>
              <w:spacing w:line="240" w:lineRule="auto"/>
              <w:rPr>
                <w:rFonts w:cs="Arial"/>
                <w:color w:val="000000" w:themeColor="text1"/>
                <w:sz w:val="20"/>
                <w:lang w:val="hr-HR"/>
              </w:rPr>
            </w:pPr>
            <w:bookmarkStart w:id="733" w:name="_Toc67327411"/>
            <w:r w:rsidRPr="004B4498">
              <w:rPr>
                <w:rFonts w:cs="Arial"/>
                <w:color w:val="000000" w:themeColor="text1"/>
                <w:sz w:val="20"/>
                <w:lang w:val="hr-HR"/>
              </w:rPr>
              <w:t>Strane pravne osobe</w:t>
            </w:r>
            <w:bookmarkEnd w:id="733"/>
          </w:p>
        </w:tc>
        <w:tc>
          <w:tcPr>
            <w:tcW w:w="738" w:type="pct"/>
            <w:tcBorders>
              <w:top w:val="nil"/>
              <w:left w:val="nil"/>
              <w:bottom w:val="nil"/>
              <w:right w:val="nil"/>
            </w:tcBorders>
            <w:shd w:val="clear" w:color="auto" w:fill="auto"/>
            <w:vAlign w:val="bottom"/>
          </w:tcPr>
          <w:p w14:paraId="669D1583"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9.761 </w:t>
            </w:r>
          </w:p>
        </w:tc>
        <w:tc>
          <w:tcPr>
            <w:tcW w:w="739" w:type="pct"/>
            <w:tcBorders>
              <w:top w:val="nil"/>
              <w:left w:val="nil"/>
              <w:bottom w:val="nil"/>
              <w:right w:val="nil"/>
            </w:tcBorders>
            <w:shd w:val="clear" w:color="auto" w:fill="auto"/>
            <w:vAlign w:val="bottom"/>
          </w:tcPr>
          <w:p w14:paraId="334F2C51"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18.671</w:t>
            </w:r>
          </w:p>
        </w:tc>
        <w:tc>
          <w:tcPr>
            <w:tcW w:w="739" w:type="pct"/>
            <w:tcBorders>
              <w:top w:val="nil"/>
              <w:left w:val="nil"/>
              <w:bottom w:val="nil"/>
              <w:right w:val="nil"/>
            </w:tcBorders>
            <w:shd w:val="clear" w:color="auto" w:fill="auto"/>
            <w:vAlign w:val="bottom"/>
          </w:tcPr>
          <w:p w14:paraId="7F63DE36"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9.761 </w:t>
            </w:r>
          </w:p>
        </w:tc>
        <w:tc>
          <w:tcPr>
            <w:tcW w:w="738" w:type="pct"/>
            <w:tcBorders>
              <w:top w:val="nil"/>
              <w:left w:val="nil"/>
              <w:bottom w:val="nil"/>
              <w:right w:val="nil"/>
            </w:tcBorders>
            <w:shd w:val="clear" w:color="auto" w:fill="auto"/>
            <w:vAlign w:val="bottom"/>
          </w:tcPr>
          <w:p w14:paraId="3550C610"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18.671</w:t>
            </w:r>
          </w:p>
        </w:tc>
      </w:tr>
      <w:tr w:rsidR="004E2F51" w:rsidRPr="00BE169A" w14:paraId="6AF49B53" w14:textId="77777777" w:rsidTr="00E032FC">
        <w:tc>
          <w:tcPr>
            <w:tcW w:w="2045" w:type="pct"/>
            <w:vAlign w:val="bottom"/>
          </w:tcPr>
          <w:p w14:paraId="6A500099" w14:textId="77777777" w:rsidR="004E2F51" w:rsidRPr="004B4498" w:rsidRDefault="004E2F51" w:rsidP="00E032FC">
            <w:pPr>
              <w:pStyle w:val="TT"/>
              <w:spacing w:line="240" w:lineRule="auto"/>
              <w:rPr>
                <w:rFonts w:cs="Arial"/>
                <w:color w:val="000000" w:themeColor="text1"/>
                <w:sz w:val="20"/>
                <w:lang w:val="hr-HR"/>
              </w:rPr>
            </w:pPr>
            <w:bookmarkStart w:id="734" w:name="_Toc67327416"/>
            <w:r w:rsidRPr="004B4498">
              <w:rPr>
                <w:rFonts w:cs="Arial"/>
                <w:color w:val="000000" w:themeColor="text1"/>
                <w:sz w:val="20"/>
                <w:lang w:val="hr-HR"/>
              </w:rPr>
              <w:t>Domaća trgovačka društva</w:t>
            </w:r>
            <w:bookmarkEnd w:id="734"/>
          </w:p>
        </w:tc>
        <w:tc>
          <w:tcPr>
            <w:tcW w:w="738" w:type="pct"/>
            <w:tcBorders>
              <w:top w:val="nil"/>
              <w:left w:val="nil"/>
              <w:bottom w:val="nil"/>
              <w:right w:val="nil"/>
            </w:tcBorders>
            <w:shd w:val="clear" w:color="auto" w:fill="auto"/>
            <w:vAlign w:val="bottom"/>
          </w:tcPr>
          <w:p w14:paraId="1A33E0E6"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317.539 </w:t>
            </w:r>
          </w:p>
        </w:tc>
        <w:tc>
          <w:tcPr>
            <w:tcW w:w="739" w:type="pct"/>
            <w:tcBorders>
              <w:top w:val="nil"/>
              <w:left w:val="nil"/>
              <w:bottom w:val="nil"/>
              <w:right w:val="nil"/>
            </w:tcBorders>
            <w:shd w:val="clear" w:color="auto" w:fill="auto"/>
            <w:vAlign w:val="bottom"/>
          </w:tcPr>
          <w:p w14:paraId="53479FEF"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312.150</w:t>
            </w:r>
          </w:p>
        </w:tc>
        <w:tc>
          <w:tcPr>
            <w:tcW w:w="739" w:type="pct"/>
            <w:tcBorders>
              <w:top w:val="nil"/>
              <w:left w:val="nil"/>
              <w:bottom w:val="nil"/>
              <w:right w:val="nil"/>
            </w:tcBorders>
            <w:shd w:val="clear" w:color="auto" w:fill="auto"/>
            <w:vAlign w:val="bottom"/>
          </w:tcPr>
          <w:p w14:paraId="7DCF7F7E"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317.539 </w:t>
            </w:r>
          </w:p>
        </w:tc>
        <w:tc>
          <w:tcPr>
            <w:tcW w:w="738" w:type="pct"/>
            <w:tcBorders>
              <w:top w:val="nil"/>
              <w:left w:val="nil"/>
              <w:bottom w:val="nil"/>
              <w:right w:val="nil"/>
            </w:tcBorders>
            <w:shd w:val="clear" w:color="auto" w:fill="auto"/>
            <w:vAlign w:val="bottom"/>
          </w:tcPr>
          <w:p w14:paraId="1C5B05A7"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312.150</w:t>
            </w:r>
          </w:p>
        </w:tc>
      </w:tr>
      <w:tr w:rsidR="004E2F51" w:rsidRPr="00BE169A" w14:paraId="584C52BD" w14:textId="77777777" w:rsidTr="00E032FC">
        <w:tc>
          <w:tcPr>
            <w:tcW w:w="2045" w:type="pct"/>
            <w:vAlign w:val="bottom"/>
          </w:tcPr>
          <w:p w14:paraId="44F7C02E" w14:textId="77777777" w:rsidR="004E2F51" w:rsidRPr="004B4498" w:rsidRDefault="004E2F51" w:rsidP="00E032FC">
            <w:pPr>
              <w:pStyle w:val="TT"/>
              <w:spacing w:line="240" w:lineRule="auto"/>
              <w:rPr>
                <w:rFonts w:cs="Arial"/>
                <w:color w:val="000000" w:themeColor="text1"/>
                <w:sz w:val="20"/>
                <w:lang w:val="hr-HR"/>
              </w:rPr>
            </w:pPr>
            <w:bookmarkStart w:id="735" w:name="_Toc67327421"/>
            <w:r w:rsidRPr="004B4498">
              <w:rPr>
                <w:rFonts w:cs="Arial"/>
                <w:color w:val="000000" w:themeColor="text1"/>
                <w:sz w:val="20"/>
                <w:lang w:val="hr-HR"/>
              </w:rPr>
              <w:t>Domaće financijske institucije</w:t>
            </w:r>
            <w:bookmarkEnd w:id="735"/>
          </w:p>
        </w:tc>
        <w:tc>
          <w:tcPr>
            <w:tcW w:w="738" w:type="pct"/>
            <w:tcBorders>
              <w:top w:val="nil"/>
              <w:left w:val="nil"/>
              <w:bottom w:val="nil"/>
              <w:right w:val="nil"/>
            </w:tcBorders>
            <w:shd w:val="clear" w:color="auto" w:fill="auto"/>
            <w:vAlign w:val="bottom"/>
          </w:tcPr>
          <w:p w14:paraId="6F947675"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82.211 </w:t>
            </w:r>
          </w:p>
        </w:tc>
        <w:tc>
          <w:tcPr>
            <w:tcW w:w="739" w:type="pct"/>
            <w:tcBorders>
              <w:top w:val="nil"/>
              <w:left w:val="nil"/>
              <w:bottom w:val="nil"/>
              <w:right w:val="nil"/>
            </w:tcBorders>
            <w:shd w:val="clear" w:color="auto" w:fill="auto"/>
            <w:vAlign w:val="bottom"/>
          </w:tcPr>
          <w:p w14:paraId="2D9146DD"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116.437</w:t>
            </w:r>
          </w:p>
        </w:tc>
        <w:tc>
          <w:tcPr>
            <w:tcW w:w="739" w:type="pct"/>
            <w:tcBorders>
              <w:top w:val="nil"/>
              <w:left w:val="nil"/>
              <w:bottom w:val="nil"/>
              <w:right w:val="nil"/>
            </w:tcBorders>
            <w:shd w:val="clear" w:color="auto" w:fill="auto"/>
            <w:vAlign w:val="bottom"/>
          </w:tcPr>
          <w:p w14:paraId="3958568A"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82.201 </w:t>
            </w:r>
          </w:p>
        </w:tc>
        <w:tc>
          <w:tcPr>
            <w:tcW w:w="738" w:type="pct"/>
            <w:tcBorders>
              <w:top w:val="nil"/>
              <w:left w:val="nil"/>
              <w:bottom w:val="nil"/>
              <w:right w:val="nil"/>
            </w:tcBorders>
            <w:shd w:val="clear" w:color="auto" w:fill="auto"/>
            <w:vAlign w:val="bottom"/>
          </w:tcPr>
          <w:p w14:paraId="0CFCC633"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116.437</w:t>
            </w:r>
          </w:p>
        </w:tc>
      </w:tr>
      <w:tr w:rsidR="004E2F51" w:rsidRPr="00BE169A" w14:paraId="572AAEED" w14:textId="77777777" w:rsidTr="00E032FC">
        <w:tc>
          <w:tcPr>
            <w:tcW w:w="2045" w:type="pct"/>
            <w:vAlign w:val="bottom"/>
          </w:tcPr>
          <w:p w14:paraId="030F100E" w14:textId="77777777" w:rsidR="004E2F51" w:rsidRPr="004B4498" w:rsidRDefault="004E2F51" w:rsidP="00E032FC">
            <w:pPr>
              <w:pStyle w:val="TT"/>
              <w:spacing w:line="240" w:lineRule="auto"/>
              <w:rPr>
                <w:rFonts w:cs="Arial"/>
                <w:color w:val="000000" w:themeColor="text1"/>
                <w:sz w:val="20"/>
                <w:lang w:val="hr-HR"/>
              </w:rPr>
            </w:pPr>
            <w:bookmarkStart w:id="736" w:name="_Toc67327426"/>
            <w:r w:rsidRPr="004B4498">
              <w:rPr>
                <w:rFonts w:cs="Arial"/>
                <w:color w:val="000000" w:themeColor="text1"/>
                <w:sz w:val="20"/>
                <w:lang w:val="hr-HR"/>
              </w:rPr>
              <w:t>Inozemne financijske institucije</w:t>
            </w:r>
            <w:bookmarkEnd w:id="736"/>
          </w:p>
        </w:tc>
        <w:tc>
          <w:tcPr>
            <w:tcW w:w="738" w:type="pct"/>
            <w:tcBorders>
              <w:top w:val="nil"/>
              <w:left w:val="nil"/>
              <w:bottom w:val="nil"/>
              <w:right w:val="nil"/>
            </w:tcBorders>
            <w:shd w:val="clear" w:color="auto" w:fill="auto"/>
            <w:vAlign w:val="bottom"/>
          </w:tcPr>
          <w:p w14:paraId="73E79212"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366 </w:t>
            </w:r>
          </w:p>
        </w:tc>
        <w:tc>
          <w:tcPr>
            <w:tcW w:w="739" w:type="pct"/>
            <w:tcBorders>
              <w:top w:val="nil"/>
              <w:left w:val="nil"/>
              <w:bottom w:val="nil"/>
              <w:right w:val="nil"/>
            </w:tcBorders>
            <w:shd w:val="clear" w:color="auto" w:fill="auto"/>
            <w:vAlign w:val="bottom"/>
          </w:tcPr>
          <w:p w14:paraId="15DBA418"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1.817</w:t>
            </w:r>
          </w:p>
        </w:tc>
        <w:tc>
          <w:tcPr>
            <w:tcW w:w="739" w:type="pct"/>
            <w:tcBorders>
              <w:top w:val="nil"/>
              <w:left w:val="nil"/>
              <w:bottom w:val="nil"/>
              <w:right w:val="nil"/>
            </w:tcBorders>
            <w:shd w:val="clear" w:color="auto" w:fill="auto"/>
            <w:vAlign w:val="bottom"/>
          </w:tcPr>
          <w:p w14:paraId="2632F853"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366 </w:t>
            </w:r>
          </w:p>
        </w:tc>
        <w:tc>
          <w:tcPr>
            <w:tcW w:w="738" w:type="pct"/>
            <w:tcBorders>
              <w:top w:val="nil"/>
              <w:left w:val="nil"/>
              <w:bottom w:val="nil"/>
              <w:right w:val="nil"/>
            </w:tcBorders>
            <w:shd w:val="clear" w:color="auto" w:fill="auto"/>
            <w:vAlign w:val="bottom"/>
          </w:tcPr>
          <w:p w14:paraId="0C6D4632"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1.817</w:t>
            </w:r>
          </w:p>
        </w:tc>
      </w:tr>
      <w:tr w:rsidR="004E2F51" w:rsidRPr="00BE169A" w14:paraId="056EFEC6" w14:textId="77777777" w:rsidTr="00E032FC">
        <w:tc>
          <w:tcPr>
            <w:tcW w:w="2045" w:type="pct"/>
            <w:vAlign w:val="bottom"/>
          </w:tcPr>
          <w:p w14:paraId="1B858DDF" w14:textId="77777777" w:rsidR="004E2F51" w:rsidRPr="004B4498" w:rsidRDefault="004E2F51" w:rsidP="00E032FC">
            <w:pPr>
              <w:pStyle w:val="TT"/>
              <w:spacing w:line="240" w:lineRule="auto"/>
              <w:rPr>
                <w:rFonts w:cs="Arial"/>
                <w:color w:val="000000" w:themeColor="text1"/>
                <w:sz w:val="20"/>
                <w:lang w:val="hr-HR"/>
              </w:rPr>
            </w:pPr>
            <w:bookmarkStart w:id="737" w:name="_Toc67327431"/>
            <w:r w:rsidRPr="004B4498">
              <w:rPr>
                <w:rFonts w:cs="Arial"/>
                <w:color w:val="000000" w:themeColor="text1"/>
                <w:sz w:val="20"/>
                <w:lang w:val="hr-HR"/>
              </w:rPr>
              <w:t>Zatezne kamate</w:t>
            </w:r>
            <w:bookmarkEnd w:id="737"/>
          </w:p>
        </w:tc>
        <w:tc>
          <w:tcPr>
            <w:tcW w:w="738" w:type="pct"/>
            <w:tcBorders>
              <w:top w:val="nil"/>
              <w:left w:val="nil"/>
              <w:bottom w:val="nil"/>
              <w:right w:val="nil"/>
            </w:tcBorders>
            <w:shd w:val="clear" w:color="auto" w:fill="auto"/>
            <w:vAlign w:val="bottom"/>
          </w:tcPr>
          <w:p w14:paraId="6DA05A55"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35.742 </w:t>
            </w:r>
          </w:p>
        </w:tc>
        <w:tc>
          <w:tcPr>
            <w:tcW w:w="739" w:type="pct"/>
            <w:tcBorders>
              <w:top w:val="nil"/>
              <w:left w:val="nil"/>
              <w:bottom w:val="nil"/>
              <w:right w:val="nil"/>
            </w:tcBorders>
            <w:shd w:val="clear" w:color="auto" w:fill="auto"/>
            <w:vAlign w:val="bottom"/>
          </w:tcPr>
          <w:p w14:paraId="3BB6632B"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42.576</w:t>
            </w:r>
          </w:p>
        </w:tc>
        <w:tc>
          <w:tcPr>
            <w:tcW w:w="739" w:type="pct"/>
            <w:tcBorders>
              <w:top w:val="nil"/>
              <w:left w:val="nil"/>
              <w:bottom w:val="nil"/>
              <w:right w:val="nil"/>
            </w:tcBorders>
            <w:shd w:val="clear" w:color="auto" w:fill="auto"/>
            <w:vAlign w:val="bottom"/>
          </w:tcPr>
          <w:p w14:paraId="5F073EDD"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35.742 </w:t>
            </w:r>
          </w:p>
        </w:tc>
        <w:tc>
          <w:tcPr>
            <w:tcW w:w="738" w:type="pct"/>
            <w:tcBorders>
              <w:top w:val="nil"/>
              <w:left w:val="nil"/>
              <w:bottom w:val="nil"/>
              <w:right w:val="nil"/>
            </w:tcBorders>
            <w:shd w:val="clear" w:color="auto" w:fill="auto"/>
            <w:vAlign w:val="bottom"/>
          </w:tcPr>
          <w:p w14:paraId="340380BF"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42.576</w:t>
            </w:r>
          </w:p>
        </w:tc>
      </w:tr>
      <w:tr w:rsidR="004E2F51" w:rsidRPr="00BE169A" w14:paraId="01D6DE20" w14:textId="77777777" w:rsidTr="00E032FC">
        <w:trPr>
          <w:trHeight w:val="293"/>
        </w:trPr>
        <w:tc>
          <w:tcPr>
            <w:tcW w:w="2045" w:type="pct"/>
            <w:vAlign w:val="bottom"/>
          </w:tcPr>
          <w:p w14:paraId="0E30AE2D" w14:textId="77777777" w:rsidR="004E2F51" w:rsidRPr="004B4498" w:rsidRDefault="004E2F51" w:rsidP="00E032FC">
            <w:pPr>
              <w:pStyle w:val="TT"/>
              <w:spacing w:line="240" w:lineRule="auto"/>
              <w:rPr>
                <w:rFonts w:cs="Arial"/>
                <w:color w:val="000000" w:themeColor="text1"/>
                <w:sz w:val="20"/>
                <w:lang w:val="hr-HR"/>
              </w:rPr>
            </w:pPr>
            <w:bookmarkStart w:id="738" w:name="_Toc67327436"/>
            <w:r w:rsidRPr="004B4498">
              <w:rPr>
                <w:rFonts w:cs="Arial"/>
                <w:color w:val="000000" w:themeColor="text1"/>
                <w:sz w:val="20"/>
                <w:lang w:val="hr-HR"/>
              </w:rPr>
              <w:t>Ostalo</w:t>
            </w:r>
            <w:bookmarkEnd w:id="738"/>
          </w:p>
        </w:tc>
        <w:tc>
          <w:tcPr>
            <w:tcW w:w="738" w:type="pct"/>
            <w:tcBorders>
              <w:top w:val="nil"/>
              <w:left w:val="nil"/>
              <w:bottom w:val="single" w:sz="4" w:space="0" w:color="auto"/>
              <w:right w:val="nil"/>
            </w:tcBorders>
            <w:shd w:val="clear" w:color="auto" w:fill="auto"/>
            <w:vAlign w:val="bottom"/>
          </w:tcPr>
          <w:p w14:paraId="7C96A952"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13.875 </w:t>
            </w:r>
          </w:p>
        </w:tc>
        <w:tc>
          <w:tcPr>
            <w:tcW w:w="739" w:type="pct"/>
            <w:tcBorders>
              <w:top w:val="nil"/>
              <w:left w:val="nil"/>
              <w:bottom w:val="single" w:sz="4" w:space="0" w:color="auto"/>
              <w:right w:val="nil"/>
            </w:tcBorders>
            <w:shd w:val="clear" w:color="auto" w:fill="auto"/>
            <w:vAlign w:val="bottom"/>
          </w:tcPr>
          <w:p w14:paraId="3AEA98BD"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16.706</w:t>
            </w:r>
          </w:p>
        </w:tc>
        <w:tc>
          <w:tcPr>
            <w:tcW w:w="739" w:type="pct"/>
            <w:tcBorders>
              <w:top w:val="nil"/>
              <w:left w:val="nil"/>
              <w:bottom w:val="single" w:sz="4" w:space="0" w:color="auto"/>
              <w:right w:val="nil"/>
            </w:tcBorders>
            <w:shd w:val="clear" w:color="auto" w:fill="auto"/>
            <w:vAlign w:val="bottom"/>
          </w:tcPr>
          <w:p w14:paraId="54F25E81"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13.875 </w:t>
            </w:r>
          </w:p>
        </w:tc>
        <w:tc>
          <w:tcPr>
            <w:tcW w:w="738" w:type="pct"/>
            <w:tcBorders>
              <w:top w:val="nil"/>
              <w:left w:val="nil"/>
              <w:bottom w:val="single" w:sz="4" w:space="0" w:color="auto"/>
              <w:right w:val="nil"/>
            </w:tcBorders>
            <w:shd w:val="clear" w:color="auto" w:fill="auto"/>
            <w:vAlign w:val="bottom"/>
          </w:tcPr>
          <w:p w14:paraId="71205E84"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16.706</w:t>
            </w:r>
          </w:p>
        </w:tc>
      </w:tr>
      <w:tr w:rsidR="004E2F51" w:rsidRPr="00BE169A" w14:paraId="6FAA9A40" w14:textId="77777777" w:rsidTr="00E032FC">
        <w:tc>
          <w:tcPr>
            <w:tcW w:w="2045" w:type="pct"/>
          </w:tcPr>
          <w:p w14:paraId="2B1421F5" w14:textId="77777777" w:rsidR="004E2F51" w:rsidRPr="004B4498" w:rsidRDefault="004E2F51" w:rsidP="00E032FC">
            <w:pPr>
              <w:pStyle w:val="Tot"/>
              <w:spacing w:line="240" w:lineRule="auto"/>
              <w:rPr>
                <w:rFonts w:cs="Arial"/>
                <w:b/>
                <w:bCs/>
                <w:color w:val="000000" w:themeColor="text1"/>
                <w:sz w:val="20"/>
                <w:lang w:val="hr-HR"/>
              </w:rPr>
            </w:pPr>
          </w:p>
        </w:tc>
        <w:tc>
          <w:tcPr>
            <w:tcW w:w="738" w:type="pct"/>
            <w:tcBorders>
              <w:top w:val="single" w:sz="4" w:space="0" w:color="auto"/>
              <w:bottom w:val="single" w:sz="12" w:space="0" w:color="auto"/>
            </w:tcBorders>
          </w:tcPr>
          <w:p w14:paraId="3E676D8D" w14:textId="77777777" w:rsidR="004E2F51" w:rsidRPr="004B4498" w:rsidRDefault="004E2F51" w:rsidP="00E032FC">
            <w:pPr>
              <w:pStyle w:val="Tot"/>
              <w:spacing w:line="240" w:lineRule="auto"/>
              <w:jc w:val="right"/>
              <w:rPr>
                <w:rFonts w:cs="Arial"/>
                <w:b/>
                <w:bCs/>
                <w:color w:val="000000" w:themeColor="text1"/>
                <w:sz w:val="20"/>
                <w:lang w:val="hr-HR"/>
              </w:rPr>
            </w:pPr>
            <w:r w:rsidRPr="00116905">
              <w:rPr>
                <w:rFonts w:cs="Arial"/>
                <w:b/>
                <w:bCs/>
                <w:color w:val="000000" w:themeColor="text1"/>
                <w:sz w:val="20"/>
                <w:lang w:val="hr-HR"/>
              </w:rPr>
              <w:t>629.193</w:t>
            </w:r>
          </w:p>
        </w:tc>
        <w:tc>
          <w:tcPr>
            <w:tcW w:w="739" w:type="pct"/>
            <w:tcBorders>
              <w:top w:val="single" w:sz="4" w:space="0" w:color="auto"/>
              <w:bottom w:val="single" w:sz="12" w:space="0" w:color="auto"/>
            </w:tcBorders>
          </w:tcPr>
          <w:p w14:paraId="20E297E3" w14:textId="77777777" w:rsidR="004E2F51" w:rsidRPr="004B4498" w:rsidRDefault="004E2F51" w:rsidP="00E032FC">
            <w:pPr>
              <w:pStyle w:val="Tot"/>
              <w:spacing w:line="240" w:lineRule="auto"/>
              <w:jc w:val="right"/>
              <w:rPr>
                <w:rFonts w:cs="Arial"/>
                <w:b/>
                <w:bCs/>
                <w:color w:val="000000" w:themeColor="text1"/>
                <w:sz w:val="20"/>
                <w:lang w:val="hr-HR"/>
              </w:rPr>
            </w:pPr>
            <w:r w:rsidRPr="0046584E">
              <w:rPr>
                <w:rFonts w:cs="Arial"/>
                <w:b/>
                <w:bCs/>
                <w:color w:val="000000" w:themeColor="text1"/>
                <w:sz w:val="20"/>
                <w:lang w:val="hr-HR"/>
              </w:rPr>
              <w:t>677.437</w:t>
            </w:r>
          </w:p>
        </w:tc>
        <w:tc>
          <w:tcPr>
            <w:tcW w:w="739" w:type="pct"/>
            <w:tcBorders>
              <w:top w:val="single" w:sz="4" w:space="0" w:color="auto"/>
              <w:bottom w:val="single" w:sz="12" w:space="0" w:color="auto"/>
            </w:tcBorders>
          </w:tcPr>
          <w:p w14:paraId="2FE994E4" w14:textId="77777777" w:rsidR="004E2F51" w:rsidRPr="004B4498" w:rsidRDefault="004E2F51" w:rsidP="00E032FC">
            <w:pPr>
              <w:pStyle w:val="Tot"/>
              <w:spacing w:line="240" w:lineRule="auto"/>
              <w:jc w:val="right"/>
              <w:rPr>
                <w:rFonts w:cs="Arial"/>
                <w:b/>
                <w:bCs/>
                <w:color w:val="000000" w:themeColor="text1"/>
                <w:sz w:val="20"/>
                <w:lang w:val="hr-HR"/>
              </w:rPr>
            </w:pPr>
            <w:r w:rsidRPr="00116905">
              <w:rPr>
                <w:rFonts w:cs="Arial"/>
                <w:b/>
                <w:bCs/>
                <w:color w:val="000000" w:themeColor="text1"/>
                <w:sz w:val="20"/>
                <w:lang w:val="hr-HR"/>
              </w:rPr>
              <w:t>627.881</w:t>
            </w:r>
          </w:p>
        </w:tc>
        <w:tc>
          <w:tcPr>
            <w:tcW w:w="738" w:type="pct"/>
            <w:tcBorders>
              <w:top w:val="single" w:sz="4" w:space="0" w:color="auto"/>
              <w:bottom w:val="single" w:sz="12" w:space="0" w:color="auto"/>
            </w:tcBorders>
          </w:tcPr>
          <w:p w14:paraId="2F01B5DD" w14:textId="77777777" w:rsidR="004E2F51" w:rsidRPr="004B4498" w:rsidRDefault="004E2F51" w:rsidP="00E032FC">
            <w:pPr>
              <w:pStyle w:val="Tot"/>
              <w:spacing w:line="240" w:lineRule="auto"/>
              <w:jc w:val="right"/>
              <w:rPr>
                <w:rFonts w:cs="Arial"/>
                <w:b/>
                <w:bCs/>
                <w:color w:val="000000" w:themeColor="text1"/>
                <w:sz w:val="20"/>
                <w:lang w:val="hr-HR"/>
              </w:rPr>
            </w:pPr>
            <w:r w:rsidRPr="0046584E">
              <w:rPr>
                <w:rFonts w:cs="Arial"/>
                <w:b/>
                <w:bCs/>
                <w:color w:val="000000" w:themeColor="text1"/>
                <w:sz w:val="20"/>
                <w:lang w:val="hr-HR"/>
              </w:rPr>
              <w:t>676.167</w:t>
            </w:r>
          </w:p>
        </w:tc>
      </w:tr>
    </w:tbl>
    <w:p w14:paraId="7EEC8793"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531A1C32"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Prihodi od kamata po vrstama plasmana:</w:t>
      </w:r>
    </w:p>
    <w:tbl>
      <w:tblPr>
        <w:tblW w:w="5000" w:type="pct"/>
        <w:tblLayout w:type="fixed"/>
        <w:tblCellMar>
          <w:left w:w="122" w:type="dxa"/>
          <w:right w:w="122" w:type="dxa"/>
        </w:tblCellMar>
        <w:tblLook w:val="0000" w:firstRow="0" w:lastRow="0" w:firstColumn="0" w:lastColumn="0" w:noHBand="0" w:noVBand="0"/>
      </w:tblPr>
      <w:tblGrid>
        <w:gridCol w:w="3827"/>
        <w:gridCol w:w="1381"/>
        <w:gridCol w:w="1383"/>
        <w:gridCol w:w="1383"/>
        <w:gridCol w:w="1381"/>
      </w:tblGrid>
      <w:tr w:rsidR="004E2F51" w:rsidRPr="00BE169A" w14:paraId="72B1DBAC" w14:textId="77777777" w:rsidTr="00E032FC">
        <w:trPr>
          <w:trHeight w:val="300"/>
        </w:trPr>
        <w:tc>
          <w:tcPr>
            <w:tcW w:w="2045" w:type="pct"/>
          </w:tcPr>
          <w:p w14:paraId="2BB88581" w14:textId="77777777" w:rsidR="004E2F51" w:rsidRPr="004B4498" w:rsidRDefault="004E2F51" w:rsidP="00E032FC">
            <w:pPr>
              <w:pStyle w:val="TH"/>
              <w:spacing w:line="240" w:lineRule="auto"/>
              <w:jc w:val="right"/>
              <w:rPr>
                <w:rFonts w:cs="Arial"/>
                <w:color w:val="000000" w:themeColor="text1"/>
                <w:sz w:val="20"/>
                <w:lang w:val="hr-HR"/>
              </w:rPr>
            </w:pPr>
          </w:p>
        </w:tc>
        <w:tc>
          <w:tcPr>
            <w:tcW w:w="1477" w:type="pct"/>
            <w:gridSpan w:val="2"/>
            <w:vAlign w:val="bottom"/>
          </w:tcPr>
          <w:p w14:paraId="60E66972" w14:textId="77777777" w:rsidR="004E2F51" w:rsidRPr="004B4498" w:rsidRDefault="004E2F51" w:rsidP="00E032FC">
            <w:pPr>
              <w:pStyle w:val="TH"/>
              <w:spacing w:line="240" w:lineRule="auto"/>
              <w:jc w:val="right"/>
              <w:rPr>
                <w:rFonts w:cs="Arial"/>
                <w:color w:val="000000" w:themeColor="text1"/>
                <w:sz w:val="20"/>
                <w:lang w:val="hr-HR"/>
              </w:rPr>
            </w:pPr>
            <w:bookmarkStart w:id="739" w:name="_Toc67327445"/>
            <w:r w:rsidRPr="004B4498">
              <w:rPr>
                <w:rFonts w:cs="Arial"/>
                <w:color w:val="000000" w:themeColor="text1"/>
                <w:sz w:val="20"/>
                <w:lang w:val="hr-HR"/>
              </w:rPr>
              <w:t>Grupa</w:t>
            </w:r>
            <w:bookmarkEnd w:id="739"/>
          </w:p>
        </w:tc>
        <w:tc>
          <w:tcPr>
            <w:tcW w:w="1477" w:type="pct"/>
            <w:gridSpan w:val="2"/>
            <w:vAlign w:val="bottom"/>
          </w:tcPr>
          <w:p w14:paraId="0268347A" w14:textId="77777777" w:rsidR="004E2F51" w:rsidRPr="004B4498" w:rsidRDefault="004E2F51" w:rsidP="00E032FC">
            <w:pPr>
              <w:pStyle w:val="TH"/>
              <w:spacing w:line="240" w:lineRule="auto"/>
              <w:jc w:val="right"/>
              <w:rPr>
                <w:rFonts w:cs="Arial"/>
                <w:color w:val="000000" w:themeColor="text1"/>
                <w:sz w:val="20"/>
                <w:lang w:val="hr-HR"/>
              </w:rPr>
            </w:pPr>
            <w:bookmarkStart w:id="740" w:name="_Toc67327446"/>
            <w:r w:rsidRPr="004B4498">
              <w:rPr>
                <w:rFonts w:cs="Arial"/>
                <w:color w:val="000000" w:themeColor="text1"/>
                <w:sz w:val="20"/>
                <w:lang w:val="hr-HR"/>
              </w:rPr>
              <w:t>Banka</w:t>
            </w:r>
            <w:bookmarkEnd w:id="740"/>
          </w:p>
        </w:tc>
      </w:tr>
      <w:tr w:rsidR="004E2F51" w:rsidRPr="00BE169A" w14:paraId="3B70A0F4" w14:textId="77777777" w:rsidTr="00E032FC">
        <w:trPr>
          <w:trHeight w:val="300"/>
        </w:trPr>
        <w:tc>
          <w:tcPr>
            <w:tcW w:w="2045" w:type="pct"/>
          </w:tcPr>
          <w:p w14:paraId="2C454DE6" w14:textId="77777777" w:rsidR="004E2F51" w:rsidRPr="004B4498" w:rsidRDefault="004E2F51" w:rsidP="00E032FC">
            <w:pPr>
              <w:pStyle w:val="TH"/>
              <w:spacing w:line="240" w:lineRule="auto"/>
              <w:jc w:val="right"/>
              <w:rPr>
                <w:rFonts w:cs="Arial"/>
                <w:color w:val="000000" w:themeColor="text1"/>
                <w:sz w:val="20"/>
                <w:lang w:val="hr-HR"/>
              </w:rPr>
            </w:pPr>
          </w:p>
        </w:tc>
        <w:tc>
          <w:tcPr>
            <w:tcW w:w="738" w:type="pct"/>
            <w:vAlign w:val="bottom"/>
          </w:tcPr>
          <w:p w14:paraId="79CA370F" w14:textId="77777777" w:rsidR="004E2F51" w:rsidRPr="004B4498" w:rsidRDefault="004E2F51" w:rsidP="00E032FC">
            <w:pPr>
              <w:pStyle w:val="TH"/>
              <w:spacing w:line="240" w:lineRule="auto"/>
              <w:jc w:val="right"/>
              <w:rPr>
                <w:rFonts w:cs="Arial"/>
                <w:color w:val="000000" w:themeColor="text1"/>
                <w:sz w:val="20"/>
                <w:lang w:val="hr-HR"/>
              </w:rPr>
            </w:pPr>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p>
        </w:tc>
        <w:tc>
          <w:tcPr>
            <w:tcW w:w="739" w:type="pct"/>
            <w:vAlign w:val="bottom"/>
          </w:tcPr>
          <w:p w14:paraId="5DAF37BA" w14:textId="77777777" w:rsidR="004E2F51" w:rsidRPr="004B4498" w:rsidRDefault="004E2F51" w:rsidP="00E032FC">
            <w:pPr>
              <w:pStyle w:val="TH"/>
              <w:spacing w:line="240" w:lineRule="auto"/>
              <w:jc w:val="right"/>
              <w:rPr>
                <w:rFonts w:cs="Arial"/>
                <w:color w:val="000000" w:themeColor="text1"/>
                <w:sz w:val="20"/>
                <w:lang w:val="hr-HR"/>
              </w:rPr>
            </w:pPr>
            <w:bookmarkStart w:id="741" w:name="_Toc67327448"/>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741"/>
          </w:p>
        </w:tc>
        <w:tc>
          <w:tcPr>
            <w:tcW w:w="739" w:type="pct"/>
            <w:vAlign w:val="bottom"/>
          </w:tcPr>
          <w:p w14:paraId="25F9CF63" w14:textId="77777777" w:rsidR="004E2F51" w:rsidRPr="004B4498" w:rsidRDefault="004E2F51" w:rsidP="00E032FC">
            <w:pPr>
              <w:pStyle w:val="TH"/>
              <w:spacing w:line="240" w:lineRule="auto"/>
              <w:jc w:val="right"/>
              <w:rPr>
                <w:rFonts w:cs="Arial"/>
                <w:color w:val="000000" w:themeColor="text1"/>
                <w:sz w:val="20"/>
                <w:lang w:val="hr-HR"/>
              </w:rPr>
            </w:pPr>
            <w:bookmarkStart w:id="742" w:name="_Toc67327449"/>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742"/>
          </w:p>
        </w:tc>
        <w:tc>
          <w:tcPr>
            <w:tcW w:w="738" w:type="pct"/>
            <w:vAlign w:val="bottom"/>
          </w:tcPr>
          <w:p w14:paraId="7B95C341" w14:textId="77777777" w:rsidR="004E2F51" w:rsidRPr="004B4498" w:rsidRDefault="004E2F51" w:rsidP="00E032FC">
            <w:pPr>
              <w:pStyle w:val="TH"/>
              <w:spacing w:line="240" w:lineRule="auto"/>
              <w:jc w:val="right"/>
              <w:rPr>
                <w:rFonts w:cs="Arial"/>
                <w:color w:val="000000" w:themeColor="text1"/>
                <w:sz w:val="20"/>
                <w:lang w:val="hr-HR"/>
              </w:rPr>
            </w:pPr>
            <w:bookmarkStart w:id="743" w:name="_Toc67327450"/>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743"/>
          </w:p>
        </w:tc>
      </w:tr>
      <w:tr w:rsidR="004E2F51" w:rsidRPr="00BE169A" w14:paraId="7ADDFC53" w14:textId="77777777" w:rsidTr="00E032FC">
        <w:tblPrEx>
          <w:tblCellMar>
            <w:left w:w="108" w:type="dxa"/>
            <w:right w:w="108" w:type="dxa"/>
          </w:tblCellMar>
        </w:tblPrEx>
        <w:trPr>
          <w:trHeight w:val="187"/>
        </w:trPr>
        <w:tc>
          <w:tcPr>
            <w:tcW w:w="2045" w:type="pct"/>
          </w:tcPr>
          <w:p w14:paraId="6ADB92B8" w14:textId="77777777" w:rsidR="004E2F51" w:rsidRPr="004B4498" w:rsidRDefault="004E2F51" w:rsidP="00E032FC">
            <w:pPr>
              <w:tabs>
                <w:tab w:val="left" w:pos="-720"/>
              </w:tabs>
              <w:ind w:right="4144"/>
              <w:jc w:val="right"/>
              <w:rPr>
                <w:rFonts w:ascii="Arial" w:hAnsi="Arial" w:cs="Arial"/>
                <w:color w:val="000000" w:themeColor="text1"/>
                <w:sz w:val="20"/>
                <w:szCs w:val="20"/>
                <w:lang w:val="hr-HR"/>
              </w:rPr>
            </w:pPr>
          </w:p>
        </w:tc>
        <w:tc>
          <w:tcPr>
            <w:tcW w:w="738" w:type="pct"/>
          </w:tcPr>
          <w:p w14:paraId="04989422" w14:textId="77777777" w:rsidR="004E2F51" w:rsidRPr="004B4498" w:rsidRDefault="004E2F51" w:rsidP="00E032FC">
            <w:pPr>
              <w:pStyle w:val="TH"/>
              <w:spacing w:line="240" w:lineRule="auto"/>
              <w:jc w:val="right"/>
              <w:rPr>
                <w:rFonts w:cs="Arial"/>
                <w:color w:val="000000" w:themeColor="text1"/>
                <w:sz w:val="20"/>
                <w:lang w:val="hr-HR"/>
              </w:rPr>
            </w:pPr>
            <w:bookmarkStart w:id="744" w:name="_Toc67327451"/>
            <w:r w:rsidRPr="004B4498">
              <w:rPr>
                <w:rFonts w:cs="Arial"/>
                <w:color w:val="000000" w:themeColor="text1"/>
                <w:sz w:val="20"/>
                <w:lang w:val="hr-HR"/>
              </w:rPr>
              <w:t>000 kuna</w:t>
            </w:r>
            <w:bookmarkEnd w:id="744"/>
          </w:p>
        </w:tc>
        <w:tc>
          <w:tcPr>
            <w:tcW w:w="739" w:type="pct"/>
          </w:tcPr>
          <w:p w14:paraId="6C77966B" w14:textId="77777777" w:rsidR="004E2F51" w:rsidRPr="004B4498" w:rsidRDefault="004E2F51" w:rsidP="00E032FC">
            <w:pPr>
              <w:pStyle w:val="TH"/>
              <w:spacing w:line="240" w:lineRule="auto"/>
              <w:jc w:val="right"/>
              <w:rPr>
                <w:rFonts w:cs="Arial"/>
                <w:color w:val="000000" w:themeColor="text1"/>
                <w:sz w:val="20"/>
                <w:lang w:val="hr-HR"/>
              </w:rPr>
            </w:pPr>
            <w:bookmarkStart w:id="745" w:name="_Toc67327452"/>
            <w:r w:rsidRPr="004B4498">
              <w:rPr>
                <w:rFonts w:cs="Arial"/>
                <w:color w:val="000000" w:themeColor="text1"/>
                <w:sz w:val="20"/>
                <w:lang w:val="hr-HR"/>
              </w:rPr>
              <w:t>000 kuna</w:t>
            </w:r>
            <w:bookmarkEnd w:id="745"/>
          </w:p>
        </w:tc>
        <w:tc>
          <w:tcPr>
            <w:tcW w:w="739" w:type="pct"/>
          </w:tcPr>
          <w:p w14:paraId="42D27E4F" w14:textId="77777777" w:rsidR="004E2F51" w:rsidRPr="004B4498" w:rsidRDefault="004E2F51" w:rsidP="00E032FC">
            <w:pPr>
              <w:pStyle w:val="TH"/>
              <w:spacing w:line="240" w:lineRule="auto"/>
              <w:jc w:val="right"/>
              <w:rPr>
                <w:rFonts w:cs="Arial"/>
                <w:color w:val="000000" w:themeColor="text1"/>
                <w:sz w:val="20"/>
                <w:lang w:val="hr-HR"/>
              </w:rPr>
            </w:pPr>
            <w:bookmarkStart w:id="746" w:name="_Toc67327453"/>
            <w:r w:rsidRPr="004B4498">
              <w:rPr>
                <w:rFonts w:cs="Arial"/>
                <w:color w:val="000000" w:themeColor="text1"/>
                <w:sz w:val="20"/>
                <w:lang w:val="hr-HR"/>
              </w:rPr>
              <w:t>000 kuna</w:t>
            </w:r>
            <w:bookmarkEnd w:id="746"/>
          </w:p>
        </w:tc>
        <w:tc>
          <w:tcPr>
            <w:tcW w:w="738" w:type="pct"/>
          </w:tcPr>
          <w:p w14:paraId="204464DC" w14:textId="77777777" w:rsidR="004E2F51" w:rsidRPr="004B4498" w:rsidRDefault="004E2F51" w:rsidP="00E032FC">
            <w:pPr>
              <w:pStyle w:val="TH"/>
              <w:spacing w:line="240" w:lineRule="auto"/>
              <w:jc w:val="right"/>
              <w:rPr>
                <w:rFonts w:cs="Arial"/>
                <w:color w:val="000000" w:themeColor="text1"/>
                <w:sz w:val="20"/>
                <w:lang w:val="hr-HR"/>
              </w:rPr>
            </w:pPr>
            <w:bookmarkStart w:id="747" w:name="_Toc67327454"/>
            <w:r w:rsidRPr="004B4498">
              <w:rPr>
                <w:rFonts w:cs="Arial"/>
                <w:color w:val="000000" w:themeColor="text1"/>
                <w:sz w:val="20"/>
                <w:lang w:val="hr-HR"/>
              </w:rPr>
              <w:t>000 kuna</w:t>
            </w:r>
            <w:bookmarkEnd w:id="747"/>
          </w:p>
        </w:tc>
      </w:tr>
      <w:tr w:rsidR="004E2F51" w:rsidRPr="00BE169A" w14:paraId="5352CA1D" w14:textId="77777777" w:rsidTr="00E032FC">
        <w:trPr>
          <w:trHeight w:val="205"/>
        </w:trPr>
        <w:tc>
          <w:tcPr>
            <w:tcW w:w="2045" w:type="pct"/>
          </w:tcPr>
          <w:p w14:paraId="3125E308" w14:textId="77777777" w:rsidR="004E2F51" w:rsidRPr="004B4498" w:rsidRDefault="004E2F51" w:rsidP="00E032FC">
            <w:pPr>
              <w:pStyle w:val="TT"/>
              <w:spacing w:line="240" w:lineRule="auto"/>
              <w:rPr>
                <w:rFonts w:cs="Arial"/>
                <w:color w:val="000000" w:themeColor="text1"/>
                <w:sz w:val="20"/>
                <w:lang w:val="hr-HR"/>
              </w:rPr>
            </w:pPr>
            <w:bookmarkStart w:id="748" w:name="_Toc67327455"/>
            <w:r w:rsidRPr="004B4498">
              <w:rPr>
                <w:rFonts w:cs="Arial"/>
                <w:color w:val="000000" w:themeColor="text1"/>
                <w:sz w:val="20"/>
                <w:lang w:val="hr-HR"/>
              </w:rPr>
              <w:t>Kamate po kreditima</w:t>
            </w:r>
            <w:bookmarkEnd w:id="748"/>
          </w:p>
        </w:tc>
        <w:tc>
          <w:tcPr>
            <w:tcW w:w="738" w:type="pct"/>
          </w:tcPr>
          <w:p w14:paraId="15836C85" w14:textId="77777777" w:rsidR="004E2F51" w:rsidRPr="004B4498" w:rsidRDefault="004E2F51" w:rsidP="00E032FC">
            <w:pPr>
              <w:pStyle w:val="TT"/>
              <w:spacing w:line="240" w:lineRule="auto"/>
              <w:jc w:val="right"/>
              <w:rPr>
                <w:rFonts w:cs="Arial"/>
                <w:color w:val="000000" w:themeColor="text1"/>
                <w:spacing w:val="-2"/>
                <w:sz w:val="20"/>
                <w:lang w:val="hr-HR"/>
              </w:rPr>
            </w:pPr>
          </w:p>
        </w:tc>
        <w:tc>
          <w:tcPr>
            <w:tcW w:w="739" w:type="pct"/>
          </w:tcPr>
          <w:p w14:paraId="6DE6F026" w14:textId="77777777" w:rsidR="004E2F51" w:rsidRPr="004B4498" w:rsidRDefault="004E2F51" w:rsidP="00E032FC">
            <w:pPr>
              <w:pStyle w:val="TT"/>
              <w:spacing w:line="240" w:lineRule="auto"/>
              <w:jc w:val="right"/>
              <w:rPr>
                <w:rFonts w:cs="Arial"/>
                <w:color w:val="000000" w:themeColor="text1"/>
                <w:spacing w:val="-2"/>
                <w:sz w:val="20"/>
                <w:lang w:val="hr-HR"/>
              </w:rPr>
            </w:pPr>
          </w:p>
        </w:tc>
        <w:tc>
          <w:tcPr>
            <w:tcW w:w="739" w:type="pct"/>
            <w:vAlign w:val="bottom"/>
          </w:tcPr>
          <w:p w14:paraId="4F97C6BC" w14:textId="77777777" w:rsidR="004E2F51" w:rsidRPr="004B4498" w:rsidRDefault="004E2F51" w:rsidP="00E032FC">
            <w:pPr>
              <w:pStyle w:val="TT"/>
              <w:spacing w:line="240" w:lineRule="auto"/>
              <w:jc w:val="right"/>
              <w:rPr>
                <w:rFonts w:cs="Arial"/>
                <w:color w:val="000000" w:themeColor="text1"/>
                <w:spacing w:val="-2"/>
                <w:sz w:val="20"/>
                <w:lang w:val="hr-HR"/>
              </w:rPr>
            </w:pPr>
          </w:p>
        </w:tc>
        <w:tc>
          <w:tcPr>
            <w:tcW w:w="738" w:type="pct"/>
            <w:vAlign w:val="bottom"/>
          </w:tcPr>
          <w:p w14:paraId="0CAFE78D" w14:textId="77777777" w:rsidR="004E2F51" w:rsidRPr="004B4498" w:rsidRDefault="004E2F51" w:rsidP="00E032FC">
            <w:pPr>
              <w:pStyle w:val="TT"/>
              <w:spacing w:line="240" w:lineRule="auto"/>
              <w:jc w:val="right"/>
              <w:rPr>
                <w:rFonts w:cs="Arial"/>
                <w:color w:val="000000" w:themeColor="text1"/>
                <w:spacing w:val="-2"/>
                <w:sz w:val="20"/>
                <w:lang w:val="hr-HR"/>
              </w:rPr>
            </w:pPr>
          </w:p>
        </w:tc>
      </w:tr>
      <w:tr w:rsidR="004E2F51" w:rsidRPr="00BE169A" w14:paraId="1AEC8633" w14:textId="77777777" w:rsidTr="00E032FC">
        <w:tc>
          <w:tcPr>
            <w:tcW w:w="2045" w:type="pct"/>
          </w:tcPr>
          <w:p w14:paraId="2A2095B9" w14:textId="77777777" w:rsidR="004E2F51" w:rsidRPr="004B4498" w:rsidRDefault="004E2F51" w:rsidP="00E032FC">
            <w:pPr>
              <w:pStyle w:val="TT"/>
              <w:spacing w:line="240" w:lineRule="auto"/>
              <w:rPr>
                <w:rFonts w:cs="Arial"/>
                <w:color w:val="000000" w:themeColor="text1"/>
                <w:sz w:val="20"/>
                <w:lang w:val="hr-HR"/>
              </w:rPr>
            </w:pPr>
            <w:bookmarkStart w:id="749" w:name="_Toc67327456"/>
            <w:r w:rsidRPr="004B4498">
              <w:rPr>
                <w:rFonts w:cs="Arial"/>
                <w:color w:val="000000" w:themeColor="text1"/>
                <w:sz w:val="20"/>
                <w:lang w:val="hr-HR"/>
              </w:rPr>
              <w:t>- financijskim institucijama</w:t>
            </w:r>
            <w:bookmarkEnd w:id="749"/>
            <w:r w:rsidRPr="004B4498">
              <w:rPr>
                <w:rFonts w:cs="Arial"/>
                <w:color w:val="000000" w:themeColor="text1"/>
                <w:sz w:val="20"/>
                <w:lang w:val="hr-HR"/>
              </w:rPr>
              <w:t xml:space="preserve"> </w:t>
            </w:r>
          </w:p>
        </w:tc>
        <w:tc>
          <w:tcPr>
            <w:tcW w:w="738" w:type="pct"/>
            <w:tcBorders>
              <w:top w:val="nil"/>
              <w:left w:val="nil"/>
              <w:bottom w:val="nil"/>
              <w:right w:val="nil"/>
            </w:tcBorders>
            <w:shd w:val="clear" w:color="auto" w:fill="auto"/>
          </w:tcPr>
          <w:p w14:paraId="3F1CB638"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82.203</w:t>
            </w:r>
          </w:p>
        </w:tc>
        <w:tc>
          <w:tcPr>
            <w:tcW w:w="739" w:type="pct"/>
            <w:tcBorders>
              <w:top w:val="nil"/>
              <w:left w:val="nil"/>
              <w:bottom w:val="nil"/>
              <w:right w:val="nil"/>
            </w:tcBorders>
            <w:shd w:val="clear" w:color="auto" w:fill="auto"/>
          </w:tcPr>
          <w:p w14:paraId="4B875E48" w14:textId="77777777" w:rsidR="004E2F51" w:rsidRPr="004B4498" w:rsidRDefault="004E2F51" w:rsidP="00E032FC">
            <w:pPr>
              <w:pStyle w:val="TT"/>
              <w:spacing w:line="240" w:lineRule="auto"/>
              <w:jc w:val="right"/>
              <w:rPr>
                <w:rFonts w:cs="Arial"/>
                <w:color w:val="000000" w:themeColor="text1"/>
                <w:spacing w:val="-2"/>
                <w:sz w:val="20"/>
                <w:lang w:val="hr-HR"/>
              </w:rPr>
            </w:pPr>
            <w:r w:rsidRPr="0046584E">
              <w:rPr>
                <w:rFonts w:cs="Arial"/>
                <w:color w:val="000000" w:themeColor="text1"/>
                <w:sz w:val="20"/>
                <w:lang w:val="hr-HR"/>
              </w:rPr>
              <w:t>116.440</w:t>
            </w:r>
          </w:p>
        </w:tc>
        <w:tc>
          <w:tcPr>
            <w:tcW w:w="739" w:type="pct"/>
            <w:tcBorders>
              <w:top w:val="nil"/>
              <w:left w:val="nil"/>
              <w:bottom w:val="nil"/>
              <w:right w:val="nil"/>
            </w:tcBorders>
            <w:shd w:val="clear" w:color="auto" w:fill="auto"/>
          </w:tcPr>
          <w:p w14:paraId="2338C521"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82.203</w:t>
            </w:r>
          </w:p>
        </w:tc>
        <w:tc>
          <w:tcPr>
            <w:tcW w:w="738" w:type="pct"/>
            <w:tcBorders>
              <w:top w:val="nil"/>
              <w:left w:val="nil"/>
              <w:bottom w:val="nil"/>
              <w:right w:val="nil"/>
            </w:tcBorders>
            <w:shd w:val="clear" w:color="auto" w:fill="auto"/>
          </w:tcPr>
          <w:p w14:paraId="53EF35B7" w14:textId="77777777" w:rsidR="004E2F51" w:rsidRPr="004B4498" w:rsidRDefault="004E2F51" w:rsidP="00E032FC">
            <w:pPr>
              <w:pStyle w:val="TT"/>
              <w:spacing w:line="240" w:lineRule="auto"/>
              <w:jc w:val="right"/>
              <w:rPr>
                <w:rFonts w:cs="Arial"/>
                <w:color w:val="000000" w:themeColor="text1"/>
                <w:spacing w:val="-2"/>
                <w:sz w:val="20"/>
                <w:lang w:val="hr-HR"/>
              </w:rPr>
            </w:pPr>
            <w:r w:rsidRPr="0046584E">
              <w:rPr>
                <w:rFonts w:cs="Arial"/>
                <w:color w:val="000000" w:themeColor="text1"/>
                <w:sz w:val="20"/>
                <w:lang w:val="hr-HR"/>
              </w:rPr>
              <w:t>116.440</w:t>
            </w:r>
          </w:p>
        </w:tc>
      </w:tr>
      <w:tr w:rsidR="004E2F51" w:rsidRPr="00BE169A" w14:paraId="70DA3D57" w14:textId="77777777" w:rsidTr="00E032FC">
        <w:tc>
          <w:tcPr>
            <w:tcW w:w="2045" w:type="pct"/>
          </w:tcPr>
          <w:p w14:paraId="7EE50866" w14:textId="77777777" w:rsidR="004E2F51" w:rsidRPr="004B4498" w:rsidRDefault="004E2F51" w:rsidP="00E032FC">
            <w:pPr>
              <w:pStyle w:val="TT"/>
              <w:spacing w:line="240" w:lineRule="auto"/>
              <w:rPr>
                <w:rFonts w:cs="Arial"/>
                <w:color w:val="000000" w:themeColor="text1"/>
                <w:sz w:val="20"/>
                <w:lang w:val="hr-HR"/>
              </w:rPr>
            </w:pPr>
            <w:bookmarkStart w:id="750" w:name="_Toc67327461"/>
            <w:r w:rsidRPr="004B4498">
              <w:rPr>
                <w:rFonts w:cs="Arial"/>
                <w:color w:val="000000" w:themeColor="text1"/>
                <w:sz w:val="20"/>
                <w:lang w:val="hr-HR"/>
              </w:rPr>
              <w:t>- ostalim korisnicima</w:t>
            </w:r>
            <w:bookmarkEnd w:id="750"/>
            <w:r w:rsidRPr="004B4498">
              <w:rPr>
                <w:rFonts w:cs="Arial"/>
                <w:color w:val="000000" w:themeColor="text1"/>
                <w:sz w:val="20"/>
                <w:lang w:val="hr-HR"/>
              </w:rPr>
              <w:t xml:space="preserve"> </w:t>
            </w:r>
          </w:p>
        </w:tc>
        <w:tc>
          <w:tcPr>
            <w:tcW w:w="738" w:type="pct"/>
            <w:tcBorders>
              <w:top w:val="nil"/>
              <w:left w:val="nil"/>
              <w:bottom w:val="nil"/>
              <w:right w:val="nil"/>
            </w:tcBorders>
            <w:shd w:val="clear" w:color="auto" w:fill="auto"/>
          </w:tcPr>
          <w:p w14:paraId="338021E6"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524.889</w:t>
            </w:r>
          </w:p>
        </w:tc>
        <w:tc>
          <w:tcPr>
            <w:tcW w:w="739" w:type="pct"/>
            <w:tcBorders>
              <w:top w:val="nil"/>
              <w:left w:val="nil"/>
              <w:bottom w:val="nil"/>
              <w:right w:val="nil"/>
            </w:tcBorders>
            <w:shd w:val="clear" w:color="auto" w:fill="auto"/>
          </w:tcPr>
          <w:p w14:paraId="55A13D4F" w14:textId="77777777" w:rsidR="004E2F51" w:rsidRPr="004B4498" w:rsidRDefault="004E2F51" w:rsidP="00E032FC">
            <w:pPr>
              <w:pStyle w:val="TT"/>
              <w:spacing w:line="240" w:lineRule="auto"/>
              <w:jc w:val="right"/>
              <w:rPr>
                <w:rFonts w:cs="Arial"/>
                <w:color w:val="000000" w:themeColor="text1"/>
                <w:spacing w:val="-2"/>
                <w:sz w:val="20"/>
                <w:lang w:val="hr-HR"/>
              </w:rPr>
            </w:pPr>
            <w:r w:rsidRPr="0046584E">
              <w:rPr>
                <w:rFonts w:cs="Arial"/>
                <w:color w:val="000000" w:themeColor="text1"/>
                <w:sz w:val="20"/>
                <w:lang w:val="hr-HR"/>
              </w:rPr>
              <w:t>530.259</w:t>
            </w:r>
          </w:p>
        </w:tc>
        <w:tc>
          <w:tcPr>
            <w:tcW w:w="739" w:type="pct"/>
            <w:tcBorders>
              <w:top w:val="nil"/>
              <w:left w:val="nil"/>
              <w:bottom w:val="nil"/>
              <w:right w:val="nil"/>
            </w:tcBorders>
            <w:shd w:val="clear" w:color="auto" w:fill="auto"/>
          </w:tcPr>
          <w:p w14:paraId="25B9E7DA"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524.889</w:t>
            </w:r>
          </w:p>
        </w:tc>
        <w:tc>
          <w:tcPr>
            <w:tcW w:w="738" w:type="pct"/>
            <w:tcBorders>
              <w:top w:val="nil"/>
              <w:left w:val="nil"/>
              <w:bottom w:val="nil"/>
              <w:right w:val="nil"/>
            </w:tcBorders>
            <w:shd w:val="clear" w:color="auto" w:fill="auto"/>
          </w:tcPr>
          <w:p w14:paraId="68005C1A" w14:textId="77777777" w:rsidR="004E2F51" w:rsidRPr="004B4498" w:rsidRDefault="004E2F51" w:rsidP="00E032FC">
            <w:pPr>
              <w:pStyle w:val="TT"/>
              <w:spacing w:line="240" w:lineRule="auto"/>
              <w:jc w:val="right"/>
              <w:rPr>
                <w:rFonts w:cs="Arial"/>
                <w:color w:val="000000" w:themeColor="text1"/>
                <w:spacing w:val="-2"/>
                <w:sz w:val="20"/>
                <w:lang w:val="hr-HR"/>
              </w:rPr>
            </w:pPr>
            <w:r w:rsidRPr="0046584E">
              <w:rPr>
                <w:rFonts w:cs="Arial"/>
                <w:color w:val="000000" w:themeColor="text1"/>
                <w:sz w:val="20"/>
                <w:lang w:val="hr-HR"/>
              </w:rPr>
              <w:t>530.259</w:t>
            </w:r>
          </w:p>
        </w:tc>
      </w:tr>
      <w:tr w:rsidR="004E2F51" w:rsidRPr="00BE169A" w14:paraId="05AF9F2D" w14:textId="77777777" w:rsidTr="00E032FC">
        <w:tc>
          <w:tcPr>
            <w:tcW w:w="2045" w:type="pct"/>
          </w:tcPr>
          <w:p w14:paraId="7F702205" w14:textId="77777777" w:rsidR="004E2F51" w:rsidRPr="004B4498" w:rsidRDefault="004E2F51" w:rsidP="00E032FC">
            <w:pPr>
              <w:pStyle w:val="Tot"/>
              <w:spacing w:line="240" w:lineRule="auto"/>
              <w:rPr>
                <w:rFonts w:cs="Arial"/>
                <w:color w:val="000000" w:themeColor="text1"/>
                <w:sz w:val="20"/>
                <w:lang w:val="hr-HR"/>
              </w:rPr>
            </w:pPr>
          </w:p>
        </w:tc>
        <w:tc>
          <w:tcPr>
            <w:tcW w:w="738" w:type="pct"/>
            <w:tcBorders>
              <w:top w:val="single" w:sz="4" w:space="0" w:color="auto"/>
              <w:bottom w:val="single" w:sz="4" w:space="0" w:color="auto"/>
            </w:tcBorders>
          </w:tcPr>
          <w:p w14:paraId="0BD61DEB"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607.092</w:t>
            </w:r>
          </w:p>
        </w:tc>
        <w:tc>
          <w:tcPr>
            <w:tcW w:w="739" w:type="pct"/>
            <w:tcBorders>
              <w:top w:val="single" w:sz="4" w:space="0" w:color="auto"/>
              <w:bottom w:val="single" w:sz="4" w:space="0" w:color="auto"/>
            </w:tcBorders>
          </w:tcPr>
          <w:p w14:paraId="30467CD7" w14:textId="77777777" w:rsidR="004E2F51" w:rsidRPr="004B4498" w:rsidRDefault="004E2F51" w:rsidP="00E032FC">
            <w:pPr>
              <w:pStyle w:val="Tot"/>
              <w:spacing w:line="240" w:lineRule="auto"/>
              <w:jc w:val="right"/>
              <w:rPr>
                <w:rFonts w:cs="Arial"/>
                <w:color w:val="000000" w:themeColor="text1"/>
                <w:spacing w:val="-2"/>
                <w:sz w:val="20"/>
                <w:lang w:val="hr-HR"/>
              </w:rPr>
            </w:pPr>
            <w:r w:rsidRPr="0046584E">
              <w:rPr>
                <w:rFonts w:cs="Arial"/>
                <w:color w:val="000000" w:themeColor="text1"/>
                <w:sz w:val="20"/>
                <w:lang w:val="hr-HR"/>
              </w:rPr>
              <w:t>646.699</w:t>
            </w:r>
          </w:p>
        </w:tc>
        <w:tc>
          <w:tcPr>
            <w:tcW w:w="739" w:type="pct"/>
            <w:tcBorders>
              <w:top w:val="single" w:sz="4" w:space="0" w:color="auto"/>
              <w:bottom w:val="single" w:sz="4" w:space="0" w:color="auto"/>
            </w:tcBorders>
          </w:tcPr>
          <w:p w14:paraId="1B300DFD"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607.092</w:t>
            </w:r>
          </w:p>
        </w:tc>
        <w:tc>
          <w:tcPr>
            <w:tcW w:w="738" w:type="pct"/>
            <w:tcBorders>
              <w:top w:val="single" w:sz="4" w:space="0" w:color="auto"/>
              <w:bottom w:val="single" w:sz="4" w:space="0" w:color="auto"/>
            </w:tcBorders>
          </w:tcPr>
          <w:p w14:paraId="1D955A22" w14:textId="77777777" w:rsidR="004E2F51" w:rsidRPr="004B4498" w:rsidRDefault="004E2F51" w:rsidP="00E032FC">
            <w:pPr>
              <w:pStyle w:val="Tot"/>
              <w:spacing w:line="240" w:lineRule="auto"/>
              <w:jc w:val="right"/>
              <w:rPr>
                <w:rFonts w:cs="Arial"/>
                <w:color w:val="000000" w:themeColor="text1"/>
                <w:spacing w:val="-2"/>
                <w:sz w:val="20"/>
                <w:lang w:val="hr-HR"/>
              </w:rPr>
            </w:pPr>
            <w:r w:rsidRPr="0046584E">
              <w:rPr>
                <w:rFonts w:cs="Arial"/>
                <w:color w:val="000000" w:themeColor="text1"/>
                <w:sz w:val="20"/>
                <w:lang w:val="hr-HR"/>
              </w:rPr>
              <w:t>646.699</w:t>
            </w:r>
          </w:p>
        </w:tc>
      </w:tr>
      <w:tr w:rsidR="004E2F51" w:rsidRPr="00BE169A" w14:paraId="126896AF" w14:textId="77777777" w:rsidTr="00E032FC">
        <w:tblPrEx>
          <w:tblCellMar>
            <w:left w:w="119" w:type="dxa"/>
            <w:right w:w="119" w:type="dxa"/>
          </w:tblCellMar>
        </w:tblPrEx>
        <w:tc>
          <w:tcPr>
            <w:tcW w:w="2045" w:type="pct"/>
          </w:tcPr>
          <w:p w14:paraId="3D7A2623" w14:textId="77777777" w:rsidR="004E2F51" w:rsidRPr="004B4498" w:rsidRDefault="004E2F51" w:rsidP="00E032FC">
            <w:pPr>
              <w:pStyle w:val="TT"/>
              <w:spacing w:line="240" w:lineRule="auto"/>
              <w:rPr>
                <w:rFonts w:cs="Arial"/>
                <w:color w:val="000000" w:themeColor="text1"/>
                <w:sz w:val="20"/>
                <w:lang w:val="hr-HR"/>
              </w:rPr>
            </w:pPr>
          </w:p>
        </w:tc>
        <w:tc>
          <w:tcPr>
            <w:tcW w:w="738" w:type="pct"/>
            <w:tcBorders>
              <w:top w:val="single" w:sz="4" w:space="0" w:color="auto"/>
            </w:tcBorders>
          </w:tcPr>
          <w:p w14:paraId="1215EDAD" w14:textId="77777777" w:rsidR="004E2F51" w:rsidRPr="004B4498" w:rsidRDefault="004E2F51" w:rsidP="00E032FC">
            <w:pPr>
              <w:pStyle w:val="TT"/>
              <w:spacing w:line="240" w:lineRule="auto"/>
              <w:rPr>
                <w:rFonts w:cs="Arial"/>
                <w:color w:val="000000" w:themeColor="text1"/>
                <w:sz w:val="20"/>
                <w:lang w:val="hr-HR"/>
              </w:rPr>
            </w:pPr>
          </w:p>
        </w:tc>
        <w:tc>
          <w:tcPr>
            <w:tcW w:w="739" w:type="pct"/>
            <w:tcBorders>
              <w:top w:val="single" w:sz="4" w:space="0" w:color="auto"/>
            </w:tcBorders>
          </w:tcPr>
          <w:p w14:paraId="6E4BBAF8" w14:textId="77777777" w:rsidR="004E2F51" w:rsidRPr="004B4498" w:rsidRDefault="004E2F51" w:rsidP="00E032FC">
            <w:pPr>
              <w:pStyle w:val="TT"/>
              <w:spacing w:line="240" w:lineRule="auto"/>
              <w:rPr>
                <w:rFonts w:cs="Arial"/>
                <w:color w:val="000000" w:themeColor="text1"/>
                <w:sz w:val="20"/>
                <w:lang w:val="hr-HR"/>
              </w:rPr>
            </w:pPr>
          </w:p>
        </w:tc>
        <w:tc>
          <w:tcPr>
            <w:tcW w:w="739" w:type="pct"/>
            <w:tcBorders>
              <w:top w:val="single" w:sz="4" w:space="0" w:color="auto"/>
            </w:tcBorders>
          </w:tcPr>
          <w:p w14:paraId="6A50B3FA" w14:textId="77777777" w:rsidR="004E2F51" w:rsidRPr="004B4498" w:rsidRDefault="004E2F51" w:rsidP="00E032FC">
            <w:pPr>
              <w:pStyle w:val="TT"/>
              <w:spacing w:line="240" w:lineRule="auto"/>
              <w:rPr>
                <w:rFonts w:cs="Arial"/>
                <w:color w:val="000000" w:themeColor="text1"/>
                <w:sz w:val="20"/>
                <w:lang w:val="hr-HR"/>
              </w:rPr>
            </w:pPr>
          </w:p>
        </w:tc>
        <w:tc>
          <w:tcPr>
            <w:tcW w:w="738" w:type="pct"/>
            <w:tcBorders>
              <w:top w:val="single" w:sz="4" w:space="0" w:color="auto"/>
            </w:tcBorders>
          </w:tcPr>
          <w:p w14:paraId="35156FA3" w14:textId="77777777" w:rsidR="004E2F51" w:rsidRPr="004B4498" w:rsidRDefault="004E2F51" w:rsidP="00E032FC">
            <w:pPr>
              <w:pStyle w:val="TT"/>
              <w:spacing w:line="240" w:lineRule="auto"/>
              <w:rPr>
                <w:rFonts w:cs="Arial"/>
                <w:color w:val="000000" w:themeColor="text1"/>
                <w:sz w:val="20"/>
                <w:lang w:val="hr-HR"/>
              </w:rPr>
            </w:pPr>
          </w:p>
        </w:tc>
      </w:tr>
      <w:tr w:rsidR="004E2F51" w:rsidRPr="00BE169A" w14:paraId="03DB6C68" w14:textId="77777777" w:rsidTr="00E032FC">
        <w:tc>
          <w:tcPr>
            <w:tcW w:w="2045" w:type="pct"/>
          </w:tcPr>
          <w:p w14:paraId="51698294" w14:textId="77777777" w:rsidR="004E2F51" w:rsidRPr="004B4498" w:rsidRDefault="004E2F51" w:rsidP="00E032FC">
            <w:pPr>
              <w:pStyle w:val="TT"/>
              <w:spacing w:line="240" w:lineRule="auto"/>
              <w:rPr>
                <w:rFonts w:cs="Arial"/>
                <w:color w:val="000000" w:themeColor="text1"/>
                <w:sz w:val="20"/>
                <w:lang w:val="hr-HR"/>
              </w:rPr>
            </w:pPr>
            <w:bookmarkStart w:id="751" w:name="_Toc67327470"/>
            <w:r w:rsidRPr="004B4498">
              <w:rPr>
                <w:rFonts w:cs="Arial"/>
                <w:color w:val="000000" w:themeColor="text1"/>
                <w:sz w:val="20"/>
                <w:lang w:val="hr-HR"/>
              </w:rPr>
              <w:t>Plasmani u vrijednosne papire</w:t>
            </w:r>
            <w:bookmarkEnd w:id="751"/>
          </w:p>
        </w:tc>
        <w:tc>
          <w:tcPr>
            <w:tcW w:w="738" w:type="pct"/>
            <w:tcBorders>
              <w:top w:val="nil"/>
              <w:left w:val="nil"/>
              <w:bottom w:val="nil"/>
              <w:right w:val="nil"/>
            </w:tcBorders>
            <w:shd w:val="clear" w:color="auto" w:fill="auto"/>
            <w:vAlign w:val="bottom"/>
          </w:tcPr>
          <w:p w14:paraId="57C33AC9"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21.724 </w:t>
            </w:r>
          </w:p>
        </w:tc>
        <w:tc>
          <w:tcPr>
            <w:tcW w:w="739" w:type="pct"/>
            <w:tcBorders>
              <w:top w:val="nil"/>
              <w:left w:val="nil"/>
              <w:bottom w:val="nil"/>
              <w:right w:val="nil"/>
            </w:tcBorders>
            <w:shd w:val="clear" w:color="auto" w:fill="auto"/>
            <w:vAlign w:val="bottom"/>
          </w:tcPr>
          <w:p w14:paraId="77B314BF"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28.911</w:t>
            </w:r>
          </w:p>
        </w:tc>
        <w:tc>
          <w:tcPr>
            <w:tcW w:w="739" w:type="pct"/>
            <w:tcBorders>
              <w:top w:val="nil"/>
              <w:left w:val="nil"/>
              <w:bottom w:val="nil"/>
              <w:right w:val="nil"/>
            </w:tcBorders>
            <w:shd w:val="clear" w:color="auto" w:fill="auto"/>
            <w:vAlign w:val="bottom"/>
          </w:tcPr>
          <w:p w14:paraId="2C2FDA86"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20.422 </w:t>
            </w:r>
          </w:p>
        </w:tc>
        <w:tc>
          <w:tcPr>
            <w:tcW w:w="738" w:type="pct"/>
            <w:tcBorders>
              <w:top w:val="nil"/>
              <w:left w:val="nil"/>
              <w:bottom w:val="nil"/>
              <w:right w:val="nil"/>
            </w:tcBorders>
            <w:shd w:val="clear" w:color="auto" w:fill="auto"/>
          </w:tcPr>
          <w:p w14:paraId="42DF1953"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27.641</w:t>
            </w:r>
          </w:p>
        </w:tc>
      </w:tr>
      <w:tr w:rsidR="004E2F51" w:rsidRPr="00BE169A" w14:paraId="1AE60AB3" w14:textId="77777777" w:rsidTr="00E032FC">
        <w:tc>
          <w:tcPr>
            <w:tcW w:w="2045" w:type="pct"/>
            <w:tcBorders>
              <w:top w:val="nil"/>
              <w:left w:val="nil"/>
              <w:bottom w:val="nil"/>
              <w:right w:val="nil"/>
            </w:tcBorders>
            <w:shd w:val="clear" w:color="auto" w:fill="auto"/>
            <w:vAlign w:val="bottom"/>
          </w:tcPr>
          <w:p w14:paraId="13DA90CD" w14:textId="77777777" w:rsidR="004E2F51" w:rsidRPr="004B4498" w:rsidRDefault="004E2F51" w:rsidP="00E032FC">
            <w:pPr>
              <w:pStyle w:val="TT"/>
              <w:spacing w:line="240" w:lineRule="auto"/>
              <w:rPr>
                <w:rFonts w:cs="Arial"/>
                <w:color w:val="000000" w:themeColor="text1"/>
                <w:sz w:val="20"/>
                <w:lang w:val="hr-HR"/>
              </w:rPr>
            </w:pPr>
            <w:bookmarkStart w:id="752" w:name="_Toc67327475"/>
            <w:r w:rsidRPr="004B4498">
              <w:rPr>
                <w:rFonts w:cs="Arial"/>
                <w:i/>
                <w:iCs/>
                <w:color w:val="000000" w:themeColor="text1"/>
                <w:sz w:val="20"/>
                <w:lang w:val="hr-HR"/>
              </w:rPr>
              <w:t>- obveznice Republike Hrvatske</w:t>
            </w:r>
            <w:bookmarkEnd w:id="752"/>
          </w:p>
        </w:tc>
        <w:tc>
          <w:tcPr>
            <w:tcW w:w="738" w:type="pct"/>
            <w:tcBorders>
              <w:top w:val="nil"/>
              <w:left w:val="nil"/>
              <w:bottom w:val="nil"/>
              <w:right w:val="nil"/>
            </w:tcBorders>
            <w:shd w:val="clear" w:color="auto" w:fill="auto"/>
            <w:vAlign w:val="bottom"/>
          </w:tcPr>
          <w:p w14:paraId="42F1B2BB" w14:textId="77777777" w:rsidR="004E2F51" w:rsidRPr="004B4498" w:rsidRDefault="004E2F51" w:rsidP="00E032FC">
            <w:pPr>
              <w:pStyle w:val="TT"/>
              <w:spacing w:line="240" w:lineRule="auto"/>
              <w:jc w:val="right"/>
              <w:rPr>
                <w:rFonts w:cs="Arial"/>
                <w:i/>
                <w:iCs/>
                <w:color w:val="000000" w:themeColor="text1"/>
                <w:sz w:val="20"/>
                <w:lang w:val="hr-HR"/>
              </w:rPr>
            </w:pPr>
            <w:r w:rsidRPr="00116905">
              <w:rPr>
                <w:rFonts w:cs="Arial"/>
                <w:i/>
                <w:iCs/>
                <w:color w:val="000000" w:themeColor="text1"/>
                <w:sz w:val="20"/>
                <w:lang w:val="hr-HR"/>
              </w:rPr>
              <w:t xml:space="preserve"> 20.993 </w:t>
            </w:r>
          </w:p>
        </w:tc>
        <w:tc>
          <w:tcPr>
            <w:tcW w:w="739" w:type="pct"/>
            <w:tcBorders>
              <w:top w:val="nil"/>
              <w:left w:val="nil"/>
              <w:bottom w:val="nil"/>
              <w:right w:val="nil"/>
            </w:tcBorders>
            <w:shd w:val="clear" w:color="auto" w:fill="auto"/>
            <w:vAlign w:val="bottom"/>
          </w:tcPr>
          <w:p w14:paraId="4D629ADB" w14:textId="77777777" w:rsidR="004E2F51" w:rsidRPr="004B4498" w:rsidRDefault="004E2F51" w:rsidP="00E032FC">
            <w:pPr>
              <w:pStyle w:val="TT"/>
              <w:spacing w:line="240" w:lineRule="auto"/>
              <w:jc w:val="right"/>
              <w:rPr>
                <w:rFonts w:cs="Arial"/>
                <w:i/>
                <w:iCs/>
                <w:color w:val="000000" w:themeColor="text1"/>
                <w:sz w:val="20"/>
                <w:lang w:val="hr-HR"/>
              </w:rPr>
            </w:pPr>
            <w:r w:rsidRPr="0046584E">
              <w:rPr>
                <w:rFonts w:cs="Arial"/>
                <w:i/>
                <w:iCs/>
                <w:color w:val="000000" w:themeColor="text1"/>
                <w:sz w:val="20"/>
                <w:lang w:val="hr-HR"/>
              </w:rPr>
              <w:t>28.138</w:t>
            </w:r>
          </w:p>
        </w:tc>
        <w:tc>
          <w:tcPr>
            <w:tcW w:w="739" w:type="pct"/>
            <w:tcBorders>
              <w:top w:val="nil"/>
              <w:left w:val="nil"/>
              <w:bottom w:val="nil"/>
              <w:right w:val="nil"/>
            </w:tcBorders>
            <w:shd w:val="clear" w:color="auto" w:fill="auto"/>
            <w:vAlign w:val="bottom"/>
          </w:tcPr>
          <w:p w14:paraId="5ADBA51D" w14:textId="77777777" w:rsidR="004E2F51" w:rsidRPr="004B4498" w:rsidRDefault="004E2F51" w:rsidP="00E032FC">
            <w:pPr>
              <w:pStyle w:val="TT"/>
              <w:spacing w:line="240" w:lineRule="auto"/>
              <w:jc w:val="right"/>
              <w:rPr>
                <w:rFonts w:cs="Arial"/>
                <w:i/>
                <w:iCs/>
                <w:color w:val="000000" w:themeColor="text1"/>
                <w:sz w:val="20"/>
                <w:lang w:val="hr-HR"/>
              </w:rPr>
            </w:pPr>
            <w:r w:rsidRPr="00116905">
              <w:rPr>
                <w:rFonts w:cs="Arial"/>
                <w:i/>
                <w:iCs/>
                <w:color w:val="000000" w:themeColor="text1"/>
                <w:sz w:val="20"/>
                <w:lang w:val="hr-HR"/>
              </w:rPr>
              <w:t xml:space="preserve"> 19.722 </w:t>
            </w:r>
          </w:p>
        </w:tc>
        <w:tc>
          <w:tcPr>
            <w:tcW w:w="738" w:type="pct"/>
            <w:tcBorders>
              <w:top w:val="nil"/>
              <w:left w:val="nil"/>
              <w:bottom w:val="nil"/>
              <w:right w:val="nil"/>
            </w:tcBorders>
            <w:shd w:val="clear" w:color="auto" w:fill="auto"/>
          </w:tcPr>
          <w:p w14:paraId="375A3668" w14:textId="77777777" w:rsidR="004E2F51" w:rsidRPr="004B4498" w:rsidRDefault="004E2F51" w:rsidP="00E032FC">
            <w:pPr>
              <w:pStyle w:val="TT"/>
              <w:spacing w:line="240" w:lineRule="auto"/>
              <w:jc w:val="right"/>
              <w:rPr>
                <w:rFonts w:cs="Arial"/>
                <w:i/>
                <w:iCs/>
                <w:color w:val="000000" w:themeColor="text1"/>
                <w:sz w:val="20"/>
                <w:lang w:val="hr-HR"/>
              </w:rPr>
            </w:pPr>
            <w:r w:rsidRPr="0046584E">
              <w:rPr>
                <w:rFonts w:cs="Arial"/>
                <w:i/>
                <w:iCs/>
                <w:color w:val="000000" w:themeColor="text1"/>
                <w:sz w:val="20"/>
                <w:lang w:val="hr-HR"/>
              </w:rPr>
              <w:t>26.899</w:t>
            </w:r>
          </w:p>
        </w:tc>
      </w:tr>
      <w:tr w:rsidR="004E2F51" w:rsidRPr="00BE169A" w14:paraId="3ECD46C0" w14:textId="77777777" w:rsidTr="00E032FC">
        <w:tc>
          <w:tcPr>
            <w:tcW w:w="2045" w:type="pct"/>
            <w:tcBorders>
              <w:top w:val="nil"/>
              <w:left w:val="nil"/>
              <w:bottom w:val="nil"/>
              <w:right w:val="nil"/>
            </w:tcBorders>
            <w:shd w:val="clear" w:color="auto" w:fill="auto"/>
            <w:vAlign w:val="bottom"/>
          </w:tcPr>
          <w:p w14:paraId="0635437B" w14:textId="77777777" w:rsidR="004E2F51" w:rsidRPr="004B4498" w:rsidRDefault="004E2F51" w:rsidP="00E032FC">
            <w:pPr>
              <w:pStyle w:val="TT"/>
              <w:spacing w:line="240" w:lineRule="auto"/>
              <w:rPr>
                <w:rFonts w:cs="Arial"/>
                <w:color w:val="000000" w:themeColor="text1"/>
                <w:sz w:val="20"/>
                <w:lang w:val="hr-HR"/>
              </w:rPr>
            </w:pPr>
            <w:bookmarkStart w:id="753" w:name="_Toc67327480"/>
            <w:r w:rsidRPr="004B4498">
              <w:rPr>
                <w:rFonts w:cs="Arial"/>
                <w:i/>
                <w:iCs/>
                <w:color w:val="000000" w:themeColor="text1"/>
                <w:sz w:val="20"/>
                <w:lang w:val="hr-HR"/>
              </w:rPr>
              <w:t>- obveznice trgovačkih društava</w:t>
            </w:r>
            <w:bookmarkEnd w:id="753"/>
          </w:p>
        </w:tc>
        <w:tc>
          <w:tcPr>
            <w:tcW w:w="738" w:type="pct"/>
            <w:tcBorders>
              <w:top w:val="nil"/>
              <w:left w:val="nil"/>
              <w:bottom w:val="nil"/>
              <w:right w:val="nil"/>
            </w:tcBorders>
            <w:shd w:val="clear" w:color="auto" w:fill="auto"/>
            <w:vAlign w:val="bottom"/>
          </w:tcPr>
          <w:p w14:paraId="446A7FFA" w14:textId="77777777" w:rsidR="004E2F51" w:rsidRPr="004B4498" w:rsidRDefault="004E2F51" w:rsidP="00E032FC">
            <w:pPr>
              <w:pStyle w:val="TT"/>
              <w:spacing w:line="240" w:lineRule="auto"/>
              <w:jc w:val="right"/>
              <w:rPr>
                <w:rFonts w:cs="Arial"/>
                <w:i/>
                <w:iCs/>
                <w:color w:val="000000" w:themeColor="text1"/>
                <w:sz w:val="20"/>
                <w:lang w:val="hr-HR"/>
              </w:rPr>
            </w:pPr>
            <w:r w:rsidRPr="00116905">
              <w:rPr>
                <w:rFonts w:cs="Arial"/>
                <w:i/>
                <w:iCs/>
                <w:color w:val="000000" w:themeColor="text1"/>
                <w:sz w:val="20"/>
                <w:lang w:val="hr-HR"/>
              </w:rPr>
              <w:t xml:space="preserve"> 100 </w:t>
            </w:r>
          </w:p>
        </w:tc>
        <w:tc>
          <w:tcPr>
            <w:tcW w:w="739" w:type="pct"/>
            <w:tcBorders>
              <w:top w:val="nil"/>
              <w:left w:val="nil"/>
              <w:bottom w:val="nil"/>
              <w:right w:val="nil"/>
            </w:tcBorders>
            <w:shd w:val="clear" w:color="auto" w:fill="auto"/>
            <w:vAlign w:val="bottom"/>
          </w:tcPr>
          <w:p w14:paraId="44BC7FCC" w14:textId="77777777" w:rsidR="004E2F51" w:rsidRPr="004B4498" w:rsidRDefault="004E2F51" w:rsidP="00E032FC">
            <w:pPr>
              <w:pStyle w:val="TT"/>
              <w:spacing w:line="240" w:lineRule="auto"/>
              <w:jc w:val="right"/>
              <w:rPr>
                <w:rFonts w:cs="Arial"/>
                <w:i/>
                <w:iCs/>
                <w:color w:val="000000" w:themeColor="text1"/>
                <w:sz w:val="20"/>
                <w:lang w:val="hr-HR"/>
              </w:rPr>
            </w:pPr>
            <w:r w:rsidRPr="0046584E">
              <w:rPr>
                <w:rFonts w:cs="Arial"/>
                <w:i/>
                <w:iCs/>
                <w:color w:val="000000" w:themeColor="text1"/>
                <w:sz w:val="20"/>
                <w:lang w:val="hr-HR"/>
              </w:rPr>
              <w:t>195</w:t>
            </w:r>
          </w:p>
        </w:tc>
        <w:tc>
          <w:tcPr>
            <w:tcW w:w="739" w:type="pct"/>
            <w:tcBorders>
              <w:top w:val="nil"/>
              <w:left w:val="nil"/>
              <w:bottom w:val="nil"/>
              <w:right w:val="nil"/>
            </w:tcBorders>
            <w:shd w:val="clear" w:color="auto" w:fill="auto"/>
            <w:vAlign w:val="bottom"/>
          </w:tcPr>
          <w:p w14:paraId="0E7F971E" w14:textId="77777777" w:rsidR="004E2F51" w:rsidRPr="004B4498" w:rsidRDefault="004E2F51" w:rsidP="00E032FC">
            <w:pPr>
              <w:pStyle w:val="TT"/>
              <w:spacing w:line="240" w:lineRule="auto"/>
              <w:jc w:val="right"/>
              <w:rPr>
                <w:rFonts w:cs="Arial"/>
                <w:i/>
                <w:iCs/>
                <w:color w:val="000000" w:themeColor="text1"/>
                <w:sz w:val="20"/>
                <w:lang w:val="hr-HR"/>
              </w:rPr>
            </w:pPr>
            <w:r w:rsidRPr="00116905">
              <w:rPr>
                <w:rFonts w:cs="Arial"/>
                <w:i/>
                <w:iCs/>
                <w:color w:val="000000" w:themeColor="text1"/>
                <w:sz w:val="20"/>
                <w:lang w:val="hr-HR"/>
              </w:rPr>
              <w:t xml:space="preserve"> 69 </w:t>
            </w:r>
          </w:p>
        </w:tc>
        <w:tc>
          <w:tcPr>
            <w:tcW w:w="738" w:type="pct"/>
            <w:tcBorders>
              <w:top w:val="nil"/>
              <w:left w:val="nil"/>
              <w:bottom w:val="nil"/>
              <w:right w:val="nil"/>
            </w:tcBorders>
            <w:shd w:val="clear" w:color="auto" w:fill="auto"/>
          </w:tcPr>
          <w:p w14:paraId="4FD523DA" w14:textId="77777777" w:rsidR="004E2F51" w:rsidRPr="004B4498" w:rsidRDefault="004E2F51" w:rsidP="00E032FC">
            <w:pPr>
              <w:pStyle w:val="TT"/>
              <w:spacing w:line="240" w:lineRule="auto"/>
              <w:jc w:val="right"/>
              <w:rPr>
                <w:rFonts w:cs="Arial"/>
                <w:i/>
                <w:iCs/>
                <w:color w:val="000000" w:themeColor="text1"/>
                <w:sz w:val="20"/>
                <w:lang w:val="hr-HR"/>
              </w:rPr>
            </w:pPr>
            <w:r w:rsidRPr="0046584E">
              <w:rPr>
                <w:rFonts w:cs="Arial"/>
                <w:i/>
                <w:iCs/>
                <w:color w:val="000000" w:themeColor="text1"/>
                <w:sz w:val="20"/>
                <w:lang w:val="hr-HR"/>
              </w:rPr>
              <w:t>164</w:t>
            </w:r>
          </w:p>
        </w:tc>
      </w:tr>
      <w:tr w:rsidR="004E2F51" w:rsidRPr="00BE169A" w14:paraId="2BE98B37" w14:textId="77777777" w:rsidTr="00E032FC">
        <w:tc>
          <w:tcPr>
            <w:tcW w:w="2045" w:type="pct"/>
            <w:tcBorders>
              <w:top w:val="nil"/>
              <w:left w:val="nil"/>
              <w:bottom w:val="nil"/>
              <w:right w:val="nil"/>
            </w:tcBorders>
            <w:shd w:val="clear" w:color="auto" w:fill="auto"/>
            <w:vAlign w:val="bottom"/>
          </w:tcPr>
          <w:p w14:paraId="64200472" w14:textId="77777777" w:rsidR="004E2F51" w:rsidRPr="004B4498" w:rsidRDefault="004E2F51" w:rsidP="00E032FC">
            <w:pPr>
              <w:pStyle w:val="TT"/>
              <w:spacing w:line="240" w:lineRule="auto"/>
              <w:rPr>
                <w:rFonts w:cs="Arial"/>
                <w:color w:val="000000" w:themeColor="text1"/>
                <w:sz w:val="20"/>
                <w:lang w:val="hr-HR"/>
              </w:rPr>
            </w:pPr>
            <w:bookmarkStart w:id="754" w:name="_Toc67327485"/>
            <w:r w:rsidRPr="004B4498">
              <w:rPr>
                <w:rFonts w:cs="Arial"/>
                <w:i/>
                <w:iCs/>
                <w:color w:val="000000" w:themeColor="text1"/>
                <w:sz w:val="20"/>
                <w:lang w:val="hr-HR"/>
              </w:rPr>
              <w:t>- trezorski zapisi Ministarstva financija</w:t>
            </w:r>
            <w:bookmarkEnd w:id="754"/>
          </w:p>
        </w:tc>
        <w:tc>
          <w:tcPr>
            <w:tcW w:w="738" w:type="pct"/>
            <w:tcBorders>
              <w:top w:val="nil"/>
              <w:left w:val="nil"/>
              <w:bottom w:val="nil"/>
              <w:right w:val="nil"/>
            </w:tcBorders>
            <w:shd w:val="clear" w:color="auto" w:fill="auto"/>
            <w:vAlign w:val="bottom"/>
          </w:tcPr>
          <w:p w14:paraId="3B577B4E" w14:textId="77777777" w:rsidR="004E2F51" w:rsidRPr="004B4498" w:rsidRDefault="004E2F51" w:rsidP="00E032FC">
            <w:pPr>
              <w:pStyle w:val="TT"/>
              <w:spacing w:line="240" w:lineRule="auto"/>
              <w:jc w:val="right"/>
              <w:rPr>
                <w:rFonts w:cs="Arial"/>
                <w:i/>
                <w:iCs/>
                <w:color w:val="000000" w:themeColor="text1"/>
                <w:sz w:val="20"/>
                <w:lang w:val="hr-HR"/>
              </w:rPr>
            </w:pPr>
            <w:r w:rsidRPr="00116905">
              <w:rPr>
                <w:rFonts w:cs="Arial"/>
                <w:i/>
                <w:iCs/>
                <w:color w:val="000000" w:themeColor="text1"/>
                <w:sz w:val="20"/>
                <w:lang w:val="hr-HR"/>
              </w:rPr>
              <w:t xml:space="preserve"> 631 </w:t>
            </w:r>
          </w:p>
        </w:tc>
        <w:tc>
          <w:tcPr>
            <w:tcW w:w="739" w:type="pct"/>
            <w:tcBorders>
              <w:top w:val="nil"/>
              <w:left w:val="nil"/>
              <w:bottom w:val="nil"/>
              <w:right w:val="nil"/>
            </w:tcBorders>
            <w:shd w:val="clear" w:color="auto" w:fill="auto"/>
            <w:vAlign w:val="bottom"/>
          </w:tcPr>
          <w:p w14:paraId="26223CC6" w14:textId="77777777" w:rsidR="004E2F51" w:rsidRPr="004B4498" w:rsidRDefault="004E2F51" w:rsidP="00E032FC">
            <w:pPr>
              <w:pStyle w:val="TT"/>
              <w:spacing w:line="240" w:lineRule="auto"/>
              <w:jc w:val="right"/>
              <w:rPr>
                <w:rFonts w:cs="Arial"/>
                <w:i/>
                <w:iCs/>
                <w:color w:val="000000" w:themeColor="text1"/>
                <w:sz w:val="20"/>
                <w:lang w:val="hr-HR"/>
              </w:rPr>
            </w:pPr>
            <w:r w:rsidRPr="0046584E">
              <w:rPr>
                <w:rFonts w:cs="Arial"/>
                <w:i/>
                <w:iCs/>
                <w:color w:val="000000" w:themeColor="text1"/>
                <w:sz w:val="20"/>
                <w:lang w:val="hr-HR"/>
              </w:rPr>
              <w:t>578</w:t>
            </w:r>
          </w:p>
        </w:tc>
        <w:tc>
          <w:tcPr>
            <w:tcW w:w="739" w:type="pct"/>
            <w:tcBorders>
              <w:top w:val="nil"/>
              <w:left w:val="nil"/>
              <w:bottom w:val="nil"/>
              <w:right w:val="nil"/>
            </w:tcBorders>
            <w:shd w:val="clear" w:color="auto" w:fill="auto"/>
            <w:vAlign w:val="bottom"/>
          </w:tcPr>
          <w:p w14:paraId="0A823ED1" w14:textId="77777777" w:rsidR="004E2F51" w:rsidRPr="004B4498" w:rsidRDefault="004E2F51" w:rsidP="00E032FC">
            <w:pPr>
              <w:pStyle w:val="TT"/>
              <w:spacing w:line="240" w:lineRule="auto"/>
              <w:jc w:val="right"/>
              <w:rPr>
                <w:rFonts w:cs="Arial"/>
                <w:i/>
                <w:iCs/>
                <w:color w:val="000000" w:themeColor="text1"/>
                <w:sz w:val="20"/>
                <w:lang w:val="hr-HR"/>
              </w:rPr>
            </w:pPr>
            <w:r w:rsidRPr="00116905">
              <w:rPr>
                <w:rFonts w:cs="Arial"/>
                <w:i/>
                <w:iCs/>
                <w:color w:val="000000" w:themeColor="text1"/>
                <w:sz w:val="20"/>
                <w:lang w:val="hr-HR"/>
              </w:rPr>
              <w:t xml:space="preserve"> 631 </w:t>
            </w:r>
          </w:p>
        </w:tc>
        <w:tc>
          <w:tcPr>
            <w:tcW w:w="738" w:type="pct"/>
            <w:tcBorders>
              <w:top w:val="nil"/>
              <w:left w:val="nil"/>
              <w:bottom w:val="nil"/>
              <w:right w:val="nil"/>
            </w:tcBorders>
            <w:shd w:val="clear" w:color="auto" w:fill="auto"/>
          </w:tcPr>
          <w:p w14:paraId="41B084F5" w14:textId="77777777" w:rsidR="004E2F51" w:rsidRPr="004B4498" w:rsidRDefault="004E2F51" w:rsidP="00E032FC">
            <w:pPr>
              <w:pStyle w:val="TT"/>
              <w:spacing w:line="240" w:lineRule="auto"/>
              <w:jc w:val="right"/>
              <w:rPr>
                <w:rFonts w:cs="Arial"/>
                <w:i/>
                <w:iCs/>
                <w:color w:val="000000" w:themeColor="text1"/>
                <w:sz w:val="20"/>
                <w:lang w:val="hr-HR"/>
              </w:rPr>
            </w:pPr>
            <w:r w:rsidRPr="0046584E">
              <w:rPr>
                <w:rFonts w:cs="Arial"/>
                <w:i/>
                <w:iCs/>
                <w:color w:val="000000" w:themeColor="text1"/>
                <w:sz w:val="20"/>
                <w:lang w:val="hr-HR"/>
              </w:rPr>
              <w:t>578</w:t>
            </w:r>
          </w:p>
        </w:tc>
      </w:tr>
      <w:tr w:rsidR="004E2F51" w:rsidRPr="00BE169A" w14:paraId="33AC4E78" w14:textId="77777777" w:rsidTr="00E032FC">
        <w:tc>
          <w:tcPr>
            <w:tcW w:w="2045" w:type="pct"/>
          </w:tcPr>
          <w:p w14:paraId="398E7926" w14:textId="77777777" w:rsidR="004E2F51" w:rsidRPr="004B4498" w:rsidRDefault="004E2F51" w:rsidP="00E032FC">
            <w:pPr>
              <w:pStyle w:val="TT"/>
              <w:spacing w:line="240" w:lineRule="auto"/>
              <w:rPr>
                <w:rFonts w:cs="Arial"/>
                <w:color w:val="000000" w:themeColor="text1"/>
                <w:sz w:val="20"/>
                <w:lang w:val="hr-HR"/>
              </w:rPr>
            </w:pPr>
            <w:bookmarkStart w:id="755" w:name="_Toc67327490"/>
            <w:r w:rsidRPr="004B4498">
              <w:rPr>
                <w:rFonts w:cs="Arial"/>
                <w:color w:val="000000" w:themeColor="text1"/>
                <w:sz w:val="20"/>
                <w:lang w:val="hr-HR"/>
              </w:rPr>
              <w:t>Depoziti</w:t>
            </w:r>
            <w:bookmarkEnd w:id="755"/>
          </w:p>
        </w:tc>
        <w:tc>
          <w:tcPr>
            <w:tcW w:w="738" w:type="pct"/>
            <w:tcBorders>
              <w:top w:val="nil"/>
              <w:left w:val="nil"/>
              <w:bottom w:val="nil"/>
              <w:right w:val="nil"/>
            </w:tcBorders>
            <w:shd w:val="clear" w:color="auto" w:fill="auto"/>
            <w:vAlign w:val="bottom"/>
          </w:tcPr>
          <w:p w14:paraId="29CA7B2D"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377 </w:t>
            </w:r>
          </w:p>
        </w:tc>
        <w:tc>
          <w:tcPr>
            <w:tcW w:w="739" w:type="pct"/>
            <w:tcBorders>
              <w:top w:val="nil"/>
              <w:left w:val="nil"/>
              <w:bottom w:val="nil"/>
              <w:right w:val="nil"/>
            </w:tcBorders>
            <w:shd w:val="clear" w:color="auto" w:fill="auto"/>
            <w:vAlign w:val="bottom"/>
          </w:tcPr>
          <w:p w14:paraId="57E4350E"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1.827</w:t>
            </w:r>
          </w:p>
        </w:tc>
        <w:tc>
          <w:tcPr>
            <w:tcW w:w="739" w:type="pct"/>
            <w:tcBorders>
              <w:top w:val="nil"/>
              <w:left w:val="nil"/>
              <w:bottom w:val="nil"/>
              <w:right w:val="nil"/>
            </w:tcBorders>
            <w:shd w:val="clear" w:color="auto" w:fill="auto"/>
            <w:vAlign w:val="bottom"/>
          </w:tcPr>
          <w:p w14:paraId="68D42D67"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367 </w:t>
            </w:r>
          </w:p>
        </w:tc>
        <w:tc>
          <w:tcPr>
            <w:tcW w:w="738" w:type="pct"/>
            <w:tcBorders>
              <w:top w:val="nil"/>
              <w:left w:val="nil"/>
              <w:bottom w:val="nil"/>
              <w:right w:val="nil"/>
            </w:tcBorders>
            <w:shd w:val="clear" w:color="auto" w:fill="auto"/>
          </w:tcPr>
          <w:p w14:paraId="2EDEC806"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1.827</w:t>
            </w:r>
          </w:p>
        </w:tc>
      </w:tr>
      <w:tr w:rsidR="004E2F51" w:rsidRPr="00BE169A" w14:paraId="6394C45C" w14:textId="77777777" w:rsidTr="00E032FC">
        <w:trPr>
          <w:trHeight w:val="300"/>
        </w:trPr>
        <w:tc>
          <w:tcPr>
            <w:tcW w:w="2045" w:type="pct"/>
          </w:tcPr>
          <w:p w14:paraId="744B2596" w14:textId="77777777" w:rsidR="004E2F51" w:rsidRPr="004B4498" w:rsidRDefault="004E2F51" w:rsidP="00E032FC">
            <w:pPr>
              <w:pStyle w:val="Tot"/>
              <w:spacing w:line="240" w:lineRule="auto"/>
              <w:jc w:val="right"/>
              <w:rPr>
                <w:rFonts w:cs="Arial"/>
                <w:b/>
                <w:bCs/>
                <w:color w:val="000000" w:themeColor="text1"/>
                <w:spacing w:val="-2"/>
                <w:sz w:val="20"/>
                <w:lang w:val="hr-HR"/>
              </w:rPr>
            </w:pPr>
          </w:p>
        </w:tc>
        <w:tc>
          <w:tcPr>
            <w:tcW w:w="738" w:type="pct"/>
            <w:tcBorders>
              <w:top w:val="single" w:sz="4" w:space="0" w:color="auto"/>
              <w:bottom w:val="single" w:sz="12" w:space="0" w:color="auto"/>
            </w:tcBorders>
            <w:vAlign w:val="bottom"/>
          </w:tcPr>
          <w:p w14:paraId="01EDDD16" w14:textId="77777777" w:rsidR="004E2F51" w:rsidRPr="004B4498" w:rsidRDefault="004E2F51" w:rsidP="00E032FC">
            <w:pPr>
              <w:pStyle w:val="Tot"/>
              <w:spacing w:line="240" w:lineRule="auto"/>
              <w:jc w:val="right"/>
              <w:rPr>
                <w:rFonts w:cs="Arial"/>
                <w:b/>
                <w:bCs/>
                <w:color w:val="000000" w:themeColor="text1"/>
                <w:spacing w:val="-2"/>
                <w:sz w:val="20"/>
                <w:lang w:val="hr-HR"/>
              </w:rPr>
            </w:pPr>
            <w:r w:rsidRPr="00116905">
              <w:rPr>
                <w:rFonts w:cs="Arial"/>
                <w:b/>
                <w:bCs/>
                <w:color w:val="000000" w:themeColor="text1"/>
                <w:spacing w:val="-2"/>
                <w:sz w:val="20"/>
                <w:lang w:val="hr-HR"/>
              </w:rPr>
              <w:t>629.193</w:t>
            </w:r>
          </w:p>
        </w:tc>
        <w:tc>
          <w:tcPr>
            <w:tcW w:w="739" w:type="pct"/>
            <w:tcBorders>
              <w:top w:val="single" w:sz="4" w:space="0" w:color="auto"/>
              <w:bottom w:val="single" w:sz="12" w:space="0" w:color="auto"/>
            </w:tcBorders>
            <w:vAlign w:val="bottom"/>
          </w:tcPr>
          <w:p w14:paraId="1D47568F" w14:textId="77777777" w:rsidR="004E2F51" w:rsidRPr="004B4498" w:rsidRDefault="004E2F51" w:rsidP="00E032FC">
            <w:pPr>
              <w:pStyle w:val="Tot"/>
              <w:spacing w:line="240" w:lineRule="auto"/>
              <w:jc w:val="right"/>
              <w:rPr>
                <w:rFonts w:cs="Arial"/>
                <w:b/>
                <w:bCs/>
                <w:color w:val="000000" w:themeColor="text1"/>
                <w:spacing w:val="-2"/>
                <w:sz w:val="20"/>
                <w:lang w:val="hr-HR"/>
              </w:rPr>
            </w:pPr>
            <w:r w:rsidRPr="0046584E">
              <w:rPr>
                <w:rFonts w:cs="Arial"/>
                <w:b/>
                <w:bCs/>
                <w:color w:val="000000" w:themeColor="text1"/>
                <w:spacing w:val="-2"/>
                <w:sz w:val="20"/>
                <w:lang w:val="hr-HR"/>
              </w:rPr>
              <w:t>677.437</w:t>
            </w:r>
          </w:p>
        </w:tc>
        <w:tc>
          <w:tcPr>
            <w:tcW w:w="739" w:type="pct"/>
            <w:tcBorders>
              <w:top w:val="single" w:sz="4" w:space="0" w:color="auto"/>
              <w:bottom w:val="single" w:sz="12" w:space="0" w:color="auto"/>
            </w:tcBorders>
            <w:vAlign w:val="bottom"/>
          </w:tcPr>
          <w:p w14:paraId="54D05CF4" w14:textId="77777777" w:rsidR="004E2F51" w:rsidRPr="004B4498" w:rsidRDefault="004E2F51" w:rsidP="00E032FC">
            <w:pPr>
              <w:jc w:val="right"/>
              <w:rPr>
                <w:rFonts w:ascii="Arial" w:hAnsi="Arial" w:cs="Arial"/>
                <w:b/>
                <w:bCs/>
                <w:color w:val="000000" w:themeColor="text1"/>
                <w:sz w:val="20"/>
                <w:szCs w:val="20"/>
                <w:lang w:val="hr-HR"/>
              </w:rPr>
            </w:pPr>
            <w:r w:rsidRPr="00116905">
              <w:rPr>
                <w:rFonts w:ascii="Arial" w:hAnsi="Arial" w:cs="Arial"/>
                <w:b/>
                <w:bCs/>
                <w:color w:val="000000" w:themeColor="text1"/>
                <w:sz w:val="20"/>
                <w:szCs w:val="20"/>
                <w:lang w:val="hr-HR"/>
              </w:rPr>
              <w:t>627.881</w:t>
            </w:r>
          </w:p>
        </w:tc>
        <w:tc>
          <w:tcPr>
            <w:tcW w:w="738" w:type="pct"/>
            <w:tcBorders>
              <w:top w:val="single" w:sz="4" w:space="0" w:color="auto"/>
              <w:bottom w:val="single" w:sz="12" w:space="0" w:color="auto"/>
            </w:tcBorders>
            <w:vAlign w:val="bottom"/>
          </w:tcPr>
          <w:p w14:paraId="588AE58A" w14:textId="77777777" w:rsidR="004E2F51" w:rsidRPr="004B4498" w:rsidRDefault="004E2F51" w:rsidP="00E032FC">
            <w:pPr>
              <w:jc w:val="right"/>
              <w:rPr>
                <w:rFonts w:ascii="Arial" w:hAnsi="Arial" w:cs="Arial"/>
                <w:b/>
                <w:bCs/>
                <w:color w:val="000000" w:themeColor="text1"/>
                <w:sz w:val="20"/>
                <w:szCs w:val="20"/>
                <w:lang w:val="hr-HR"/>
              </w:rPr>
            </w:pPr>
            <w:r w:rsidRPr="0046584E">
              <w:rPr>
                <w:rFonts w:ascii="Arial" w:hAnsi="Arial" w:cs="Arial"/>
                <w:b/>
                <w:bCs/>
                <w:color w:val="000000" w:themeColor="text1"/>
                <w:sz w:val="20"/>
                <w:szCs w:val="20"/>
                <w:lang w:val="hr-HR"/>
              </w:rPr>
              <w:t>676.167</w:t>
            </w:r>
          </w:p>
        </w:tc>
      </w:tr>
    </w:tbl>
    <w:p w14:paraId="5D3DE678" w14:textId="77777777" w:rsidR="004E2F51" w:rsidRPr="004B4498" w:rsidRDefault="004E2F51" w:rsidP="004E2F51">
      <w:pPr>
        <w:pStyle w:val="T1"/>
        <w:keepNext w:val="0"/>
        <w:spacing w:before="0" w:after="0" w:line="240" w:lineRule="auto"/>
        <w:rPr>
          <w:rFonts w:cs="Arial"/>
          <w:b w:val="0"/>
          <w:color w:val="000000" w:themeColor="text1"/>
          <w:sz w:val="20"/>
          <w:lang w:val="hr-HR"/>
        </w:rPr>
      </w:pPr>
    </w:p>
    <w:p w14:paraId="2ABF7CC3" w14:textId="77777777" w:rsidR="004E2F51" w:rsidRPr="004B4498" w:rsidRDefault="004E2F51" w:rsidP="004E2F51">
      <w:pPr>
        <w:pStyle w:val="T1"/>
        <w:keepNext w:val="0"/>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Glavna razlika između prihoda od kamata i primljenog odnosno naplaćenog iznosa kamatnih prihoda (vidi Izvještaj o novčanim tokovima) najvećim se dijelom odnosi na prihode s osnova subvencionirane kamatne stope čiji se tok novca bilježi u trenutku uplate. </w:t>
      </w:r>
      <w:r w:rsidRPr="004B4498">
        <w:rPr>
          <w:rFonts w:cs="Arial"/>
          <w:b w:val="0"/>
          <w:bCs w:val="0"/>
          <w:color w:val="000000" w:themeColor="text1"/>
          <w:sz w:val="20"/>
          <w:lang w:val="hr-HR"/>
        </w:rPr>
        <w:t xml:space="preserve">Diskontirani iznos subvencionirane kamate za krajnjeg korisnika iskazan je kao odgođeno priznavanje kamatnih prihoda </w:t>
      </w:r>
      <w:r w:rsidRPr="004B4498">
        <w:rPr>
          <w:rFonts w:cs="Arial"/>
          <w:b w:val="0"/>
          <w:color w:val="000000" w:themeColor="text1"/>
          <w:sz w:val="20"/>
          <w:lang w:val="hr-HR"/>
        </w:rPr>
        <w:t xml:space="preserve">(veza bilješka </w:t>
      </w:r>
      <w:r w:rsidRPr="00A873BB">
        <w:rPr>
          <w:rFonts w:cs="Arial"/>
          <w:b w:val="0"/>
          <w:color w:val="000000" w:themeColor="text1"/>
          <w:sz w:val="20"/>
          <w:lang w:val="hr-HR"/>
        </w:rPr>
        <w:t>25.</w:t>
      </w:r>
      <w:r w:rsidRPr="004B4498">
        <w:rPr>
          <w:rFonts w:cs="Arial"/>
          <w:b w:val="0"/>
          <w:color w:val="000000" w:themeColor="text1"/>
          <w:sz w:val="20"/>
          <w:lang w:val="hr-HR"/>
        </w:rPr>
        <w:t xml:space="preserve"> Ostale obveze) </w:t>
      </w:r>
      <w:r w:rsidRPr="004B4498">
        <w:rPr>
          <w:rFonts w:cs="Arial"/>
          <w:b w:val="0"/>
          <w:bCs w:val="0"/>
          <w:color w:val="000000" w:themeColor="text1"/>
          <w:sz w:val="20"/>
          <w:lang w:val="hr-HR"/>
        </w:rPr>
        <w:t>i priznaje se u računu dobiti i gubitka na vremenskoj osnovi tijekom razdoblja otplate kredita.</w:t>
      </w:r>
      <w:r w:rsidRPr="004B4498">
        <w:rPr>
          <w:rFonts w:cs="Arial"/>
          <w:b w:val="0"/>
          <w:color w:val="000000" w:themeColor="text1"/>
          <w:sz w:val="20"/>
          <w:lang w:val="hr-HR"/>
        </w:rPr>
        <w:t xml:space="preserve"> Prihod od subvencionirane kamate u 202</w:t>
      </w:r>
      <w:r>
        <w:rPr>
          <w:rFonts w:cs="Arial"/>
          <w:b w:val="0"/>
          <w:color w:val="000000" w:themeColor="text1"/>
          <w:sz w:val="20"/>
          <w:lang w:val="hr-HR"/>
        </w:rPr>
        <w:t>2</w:t>
      </w:r>
      <w:r w:rsidRPr="004B4498">
        <w:rPr>
          <w:rFonts w:cs="Arial"/>
          <w:b w:val="0"/>
          <w:color w:val="000000" w:themeColor="text1"/>
          <w:sz w:val="20"/>
          <w:lang w:val="hr-HR"/>
        </w:rPr>
        <w:t xml:space="preserve">. godini iznosi </w:t>
      </w:r>
      <w:r w:rsidRPr="005A1C64">
        <w:rPr>
          <w:rFonts w:cs="Arial"/>
          <w:b w:val="0"/>
          <w:color w:val="000000" w:themeColor="text1"/>
          <w:sz w:val="20"/>
          <w:lang w:val="hr-HR"/>
        </w:rPr>
        <w:t>58.896</w:t>
      </w:r>
      <w:r>
        <w:rPr>
          <w:rFonts w:cs="Arial"/>
          <w:b w:val="0"/>
          <w:color w:val="000000" w:themeColor="text1"/>
          <w:sz w:val="20"/>
          <w:lang w:val="hr-HR"/>
        </w:rPr>
        <w:t xml:space="preserve"> </w:t>
      </w:r>
      <w:r w:rsidRPr="004B4498">
        <w:rPr>
          <w:rFonts w:cs="Arial"/>
          <w:b w:val="0"/>
          <w:color w:val="000000" w:themeColor="text1"/>
          <w:sz w:val="20"/>
          <w:lang w:val="hr-HR"/>
        </w:rPr>
        <w:t>tisuća kuna (31. prosinca 202</w:t>
      </w:r>
      <w:r>
        <w:rPr>
          <w:rFonts w:cs="Arial"/>
          <w:b w:val="0"/>
          <w:color w:val="000000" w:themeColor="text1"/>
          <w:sz w:val="20"/>
          <w:lang w:val="hr-HR"/>
        </w:rPr>
        <w:t>1</w:t>
      </w:r>
      <w:r w:rsidRPr="004B4498">
        <w:rPr>
          <w:rFonts w:cs="Arial"/>
          <w:b w:val="0"/>
          <w:color w:val="000000" w:themeColor="text1"/>
          <w:sz w:val="20"/>
          <w:lang w:val="hr-HR"/>
        </w:rPr>
        <w:t xml:space="preserve">.: </w:t>
      </w:r>
      <w:r w:rsidRPr="00634C56">
        <w:rPr>
          <w:rFonts w:cs="Arial"/>
          <w:b w:val="0"/>
          <w:color w:val="000000" w:themeColor="text1"/>
          <w:sz w:val="20"/>
          <w:lang w:val="hr-HR"/>
        </w:rPr>
        <w:t xml:space="preserve">48.331 </w:t>
      </w:r>
      <w:r w:rsidRPr="004B4498">
        <w:rPr>
          <w:rFonts w:cs="Arial"/>
          <w:b w:val="0"/>
          <w:color w:val="000000" w:themeColor="text1"/>
          <w:sz w:val="20"/>
          <w:lang w:val="hr-HR"/>
        </w:rPr>
        <w:t>tisuća kuna).</w:t>
      </w:r>
    </w:p>
    <w:p w14:paraId="0F21FF4A" w14:textId="77777777" w:rsidR="004E2F51" w:rsidRPr="00B91D09" w:rsidRDefault="004E2F51" w:rsidP="004E2F51">
      <w:pPr>
        <w:pStyle w:val="T1"/>
        <w:keepNext w:val="0"/>
        <w:spacing w:before="0" w:after="0" w:line="240" w:lineRule="auto"/>
        <w:rPr>
          <w:rFonts w:cs="Arial"/>
          <w:b w:val="0"/>
          <w:color w:val="000000" w:themeColor="text1"/>
          <w:sz w:val="22"/>
          <w:szCs w:val="22"/>
          <w:lang w:val="hr-HR"/>
        </w:rPr>
      </w:pPr>
    </w:p>
    <w:p w14:paraId="264B6112" w14:textId="77777777" w:rsidR="004E2F51" w:rsidRPr="00B91D09" w:rsidRDefault="004E2F51" w:rsidP="004E2F51">
      <w:pPr>
        <w:jc w:val="both"/>
        <w:rPr>
          <w:rFonts w:ascii="Arial" w:hAnsi="Arial" w:cs="Arial"/>
          <w:color w:val="000000" w:themeColor="text1"/>
          <w:sz w:val="22"/>
          <w:szCs w:val="22"/>
          <w:lang w:val="hr-HR"/>
        </w:rPr>
      </w:pPr>
    </w:p>
    <w:p w14:paraId="34D7C94E" w14:textId="77777777" w:rsidR="004E2F51" w:rsidRPr="00B91D09" w:rsidRDefault="004E2F51" w:rsidP="004E2F51">
      <w:pPr>
        <w:jc w:val="both"/>
        <w:rPr>
          <w:rFonts w:ascii="Arial" w:hAnsi="Arial" w:cs="Arial"/>
          <w:color w:val="000000" w:themeColor="text1"/>
          <w:sz w:val="22"/>
          <w:szCs w:val="22"/>
          <w:lang w:val="hr-HR"/>
        </w:rPr>
        <w:sectPr w:rsidR="004E2F51" w:rsidRPr="00B91D09" w:rsidSect="00623DBA">
          <w:footerReference w:type="default" r:id="rId113"/>
          <w:pgSz w:w="11907" w:h="16840" w:code="9"/>
          <w:pgMar w:top="1418" w:right="1134" w:bottom="1134" w:left="1418" w:header="851" w:footer="851" w:gutter="0"/>
          <w:cols w:space="720"/>
          <w:noEndnote/>
        </w:sectPr>
      </w:pPr>
    </w:p>
    <w:p w14:paraId="5552800A" w14:textId="77777777" w:rsidR="004E2F51" w:rsidRPr="00B91D09" w:rsidRDefault="004E2F51" w:rsidP="004E2F51">
      <w:pPr>
        <w:pStyle w:val="T1"/>
        <w:keepNext w:val="0"/>
        <w:spacing w:before="0" w:after="0" w:line="240" w:lineRule="auto"/>
        <w:rPr>
          <w:rFonts w:cs="Arial"/>
          <w:b w:val="0"/>
          <w:color w:val="000000" w:themeColor="text1"/>
          <w:sz w:val="20"/>
          <w:szCs w:val="22"/>
          <w:lang w:val="hr-HR"/>
        </w:rPr>
      </w:pPr>
    </w:p>
    <w:p w14:paraId="5906DD24" w14:textId="77777777" w:rsidR="004E2F51" w:rsidRPr="004B4498" w:rsidRDefault="004E2F51" w:rsidP="004E2F51">
      <w:pPr>
        <w:pStyle w:val="T1"/>
        <w:tabs>
          <w:tab w:val="left" w:pos="567"/>
        </w:tabs>
        <w:spacing w:before="0" w:after="0" w:line="240" w:lineRule="auto"/>
        <w:rPr>
          <w:rFonts w:cs="Arial"/>
          <w:bCs w:val="0"/>
          <w:color w:val="000000" w:themeColor="text1"/>
          <w:sz w:val="20"/>
          <w:lang w:val="hr-HR"/>
        </w:rPr>
      </w:pPr>
      <w:r w:rsidRPr="004B4498">
        <w:rPr>
          <w:rFonts w:cs="Arial"/>
          <w:bCs w:val="0"/>
          <w:color w:val="000000" w:themeColor="text1"/>
          <w:sz w:val="20"/>
          <w:lang w:val="hr-HR"/>
        </w:rPr>
        <w:t>6.</w:t>
      </w:r>
      <w:r w:rsidRPr="004B4498">
        <w:rPr>
          <w:rFonts w:cs="Arial"/>
          <w:bCs w:val="0"/>
          <w:color w:val="000000" w:themeColor="text1"/>
          <w:sz w:val="20"/>
          <w:lang w:val="hr-HR"/>
        </w:rPr>
        <w:tab/>
        <w:t>Rashodi od kamata</w:t>
      </w:r>
    </w:p>
    <w:p w14:paraId="775EA24A" w14:textId="77777777" w:rsidR="004E2F51" w:rsidRPr="00EA1BFF" w:rsidRDefault="004E2F51" w:rsidP="004E2F51">
      <w:pPr>
        <w:pStyle w:val="T1"/>
        <w:spacing w:before="0" w:after="0" w:line="240" w:lineRule="auto"/>
        <w:rPr>
          <w:rFonts w:cs="Arial"/>
          <w:bCs w:val="0"/>
          <w:color w:val="000000" w:themeColor="text1"/>
          <w:sz w:val="20"/>
          <w:lang w:val="hr-HR"/>
        </w:rPr>
      </w:pPr>
    </w:p>
    <w:p w14:paraId="0484E686"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Rashodi od kamata prema primateljima:</w:t>
      </w:r>
    </w:p>
    <w:tbl>
      <w:tblPr>
        <w:tblW w:w="5000" w:type="pct"/>
        <w:tblLayout w:type="fixed"/>
        <w:tblCellMar>
          <w:left w:w="122" w:type="dxa"/>
          <w:right w:w="122" w:type="dxa"/>
        </w:tblCellMar>
        <w:tblLook w:val="0000" w:firstRow="0" w:lastRow="0" w:firstColumn="0" w:lastColumn="0" w:noHBand="0" w:noVBand="0"/>
      </w:tblPr>
      <w:tblGrid>
        <w:gridCol w:w="4259"/>
        <w:gridCol w:w="1278"/>
        <w:gridCol w:w="1274"/>
        <w:gridCol w:w="1274"/>
        <w:gridCol w:w="1270"/>
      </w:tblGrid>
      <w:tr w:rsidR="004E2F51" w:rsidRPr="00EA1BFF" w14:paraId="6BA4BCC6" w14:textId="77777777" w:rsidTr="00E032FC">
        <w:trPr>
          <w:trHeight w:val="300"/>
        </w:trPr>
        <w:tc>
          <w:tcPr>
            <w:tcW w:w="2276" w:type="pct"/>
          </w:tcPr>
          <w:p w14:paraId="798C5D0C" w14:textId="77777777" w:rsidR="004E2F51" w:rsidRPr="004B4498" w:rsidRDefault="004E2F51" w:rsidP="00E032FC">
            <w:pPr>
              <w:tabs>
                <w:tab w:val="left" w:pos="-720"/>
              </w:tabs>
              <w:jc w:val="right"/>
              <w:rPr>
                <w:rFonts w:ascii="Arial" w:hAnsi="Arial" w:cs="Arial"/>
                <w:color w:val="000000" w:themeColor="text1"/>
                <w:spacing w:val="-3"/>
                <w:sz w:val="20"/>
                <w:szCs w:val="20"/>
                <w:lang w:val="hr-HR"/>
              </w:rPr>
            </w:pPr>
          </w:p>
        </w:tc>
        <w:tc>
          <w:tcPr>
            <w:tcW w:w="1364" w:type="pct"/>
            <w:gridSpan w:val="2"/>
            <w:vAlign w:val="bottom"/>
          </w:tcPr>
          <w:p w14:paraId="18DA824F" w14:textId="77777777" w:rsidR="004E2F51" w:rsidRPr="004B4498" w:rsidRDefault="004E2F51" w:rsidP="00E032FC">
            <w:pPr>
              <w:pStyle w:val="TH"/>
              <w:spacing w:line="240" w:lineRule="auto"/>
              <w:jc w:val="right"/>
              <w:rPr>
                <w:rFonts w:cs="Arial"/>
                <w:color w:val="000000" w:themeColor="text1"/>
                <w:sz w:val="20"/>
                <w:lang w:val="hr-HR"/>
              </w:rPr>
            </w:pPr>
            <w:bookmarkStart w:id="756" w:name="_Toc67327497"/>
            <w:r w:rsidRPr="004B4498">
              <w:rPr>
                <w:rFonts w:cs="Arial"/>
                <w:color w:val="000000" w:themeColor="text1"/>
                <w:sz w:val="20"/>
                <w:lang w:val="hr-HR"/>
              </w:rPr>
              <w:t>Grupa</w:t>
            </w:r>
            <w:bookmarkEnd w:id="756"/>
            <w:r w:rsidRPr="004B4498" w:rsidDel="00833713">
              <w:rPr>
                <w:rFonts w:cs="Arial"/>
                <w:color w:val="000000" w:themeColor="text1"/>
                <w:sz w:val="20"/>
                <w:lang w:val="hr-HR"/>
              </w:rPr>
              <w:t xml:space="preserve"> </w:t>
            </w:r>
          </w:p>
        </w:tc>
        <w:tc>
          <w:tcPr>
            <w:tcW w:w="1360" w:type="pct"/>
            <w:gridSpan w:val="2"/>
            <w:vAlign w:val="bottom"/>
          </w:tcPr>
          <w:p w14:paraId="11C5C860" w14:textId="77777777" w:rsidR="004E2F51" w:rsidRPr="004B4498" w:rsidRDefault="004E2F51" w:rsidP="00E032FC">
            <w:pPr>
              <w:pStyle w:val="TH"/>
              <w:spacing w:line="240" w:lineRule="auto"/>
              <w:jc w:val="right"/>
              <w:rPr>
                <w:rFonts w:cs="Arial"/>
                <w:color w:val="000000" w:themeColor="text1"/>
                <w:sz w:val="20"/>
                <w:lang w:val="hr-HR"/>
              </w:rPr>
            </w:pPr>
            <w:bookmarkStart w:id="757" w:name="_Toc67327498"/>
            <w:r w:rsidRPr="004B4498">
              <w:rPr>
                <w:rFonts w:cs="Arial"/>
                <w:color w:val="000000" w:themeColor="text1"/>
                <w:sz w:val="20"/>
                <w:lang w:val="hr-HR"/>
              </w:rPr>
              <w:t>Banka</w:t>
            </w:r>
            <w:bookmarkEnd w:id="757"/>
            <w:r w:rsidRPr="004B4498" w:rsidDel="00833713">
              <w:rPr>
                <w:rFonts w:cs="Arial"/>
                <w:color w:val="000000" w:themeColor="text1"/>
                <w:sz w:val="20"/>
                <w:lang w:val="hr-HR"/>
              </w:rPr>
              <w:t xml:space="preserve"> </w:t>
            </w:r>
          </w:p>
        </w:tc>
      </w:tr>
      <w:tr w:rsidR="004E2F51" w:rsidRPr="00EA1BFF" w14:paraId="1444B309" w14:textId="77777777" w:rsidTr="00E032FC">
        <w:trPr>
          <w:trHeight w:val="300"/>
        </w:trPr>
        <w:tc>
          <w:tcPr>
            <w:tcW w:w="2276" w:type="pct"/>
          </w:tcPr>
          <w:p w14:paraId="29EAF716" w14:textId="77777777" w:rsidR="004E2F51" w:rsidRPr="004B4498" w:rsidRDefault="004E2F51" w:rsidP="00E032FC">
            <w:pPr>
              <w:tabs>
                <w:tab w:val="left" w:pos="-720"/>
              </w:tabs>
              <w:jc w:val="right"/>
              <w:rPr>
                <w:rFonts w:ascii="Arial" w:hAnsi="Arial" w:cs="Arial"/>
                <w:color w:val="000000" w:themeColor="text1"/>
                <w:spacing w:val="-3"/>
                <w:sz w:val="20"/>
                <w:szCs w:val="20"/>
                <w:lang w:val="hr-HR"/>
              </w:rPr>
            </w:pPr>
          </w:p>
        </w:tc>
        <w:tc>
          <w:tcPr>
            <w:tcW w:w="683" w:type="pct"/>
            <w:vAlign w:val="bottom"/>
          </w:tcPr>
          <w:p w14:paraId="3615C3E9" w14:textId="77777777" w:rsidR="004E2F51" w:rsidRPr="004B4498" w:rsidRDefault="004E2F51" w:rsidP="00E032FC">
            <w:pPr>
              <w:pStyle w:val="TH"/>
              <w:spacing w:line="240" w:lineRule="auto"/>
              <w:jc w:val="right"/>
              <w:rPr>
                <w:rFonts w:cs="Arial"/>
                <w:color w:val="000000" w:themeColor="text1"/>
                <w:sz w:val="20"/>
                <w:lang w:val="hr-HR"/>
              </w:rPr>
            </w:pPr>
            <w:bookmarkStart w:id="758" w:name="_Toc67327499"/>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758"/>
          </w:p>
        </w:tc>
        <w:tc>
          <w:tcPr>
            <w:tcW w:w="681" w:type="pct"/>
            <w:vAlign w:val="bottom"/>
          </w:tcPr>
          <w:p w14:paraId="7C098EF8" w14:textId="77777777" w:rsidR="004E2F51" w:rsidRPr="004B4498" w:rsidRDefault="004E2F51" w:rsidP="00E032FC">
            <w:pPr>
              <w:pStyle w:val="TH"/>
              <w:spacing w:line="240" w:lineRule="auto"/>
              <w:jc w:val="right"/>
              <w:rPr>
                <w:rFonts w:cs="Arial"/>
                <w:color w:val="000000" w:themeColor="text1"/>
                <w:sz w:val="20"/>
                <w:lang w:val="hr-HR"/>
              </w:rPr>
            </w:pPr>
            <w:bookmarkStart w:id="759" w:name="_Toc67327500"/>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759"/>
          </w:p>
        </w:tc>
        <w:tc>
          <w:tcPr>
            <w:tcW w:w="681" w:type="pct"/>
            <w:vAlign w:val="bottom"/>
          </w:tcPr>
          <w:p w14:paraId="15BEAB52" w14:textId="77777777" w:rsidR="004E2F51" w:rsidRPr="004B4498" w:rsidRDefault="004E2F51" w:rsidP="00E032FC">
            <w:pPr>
              <w:pStyle w:val="TH"/>
              <w:spacing w:line="240" w:lineRule="auto"/>
              <w:jc w:val="right"/>
              <w:rPr>
                <w:rFonts w:cs="Arial"/>
                <w:color w:val="000000" w:themeColor="text1"/>
                <w:sz w:val="20"/>
                <w:lang w:val="hr-HR"/>
              </w:rPr>
            </w:pPr>
            <w:bookmarkStart w:id="760" w:name="_Toc67327501"/>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760"/>
          </w:p>
        </w:tc>
        <w:tc>
          <w:tcPr>
            <w:tcW w:w="679" w:type="pct"/>
            <w:vAlign w:val="bottom"/>
          </w:tcPr>
          <w:p w14:paraId="4EBF1991" w14:textId="77777777" w:rsidR="004E2F51" w:rsidRPr="004B4498" w:rsidRDefault="004E2F51" w:rsidP="00E032FC">
            <w:pPr>
              <w:pStyle w:val="TH"/>
              <w:spacing w:line="240" w:lineRule="auto"/>
              <w:jc w:val="right"/>
              <w:rPr>
                <w:rFonts w:cs="Arial"/>
                <w:color w:val="000000" w:themeColor="text1"/>
                <w:sz w:val="20"/>
                <w:lang w:val="hr-HR"/>
              </w:rPr>
            </w:pPr>
            <w:bookmarkStart w:id="761" w:name="_Toc67327502"/>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761"/>
          </w:p>
        </w:tc>
      </w:tr>
      <w:tr w:rsidR="004E2F51" w:rsidRPr="00EA1BFF" w14:paraId="412229C1" w14:textId="77777777" w:rsidTr="00E032FC">
        <w:tblPrEx>
          <w:tblCellMar>
            <w:left w:w="108" w:type="dxa"/>
            <w:right w:w="108" w:type="dxa"/>
          </w:tblCellMar>
        </w:tblPrEx>
        <w:trPr>
          <w:trHeight w:val="187"/>
        </w:trPr>
        <w:tc>
          <w:tcPr>
            <w:tcW w:w="2276" w:type="pct"/>
          </w:tcPr>
          <w:p w14:paraId="2A950E34" w14:textId="77777777" w:rsidR="004E2F51" w:rsidRPr="004B4498" w:rsidRDefault="004E2F51" w:rsidP="00E032FC">
            <w:pPr>
              <w:tabs>
                <w:tab w:val="left" w:pos="-720"/>
              </w:tabs>
              <w:ind w:right="4144"/>
              <w:jc w:val="right"/>
              <w:rPr>
                <w:rFonts w:ascii="Arial" w:hAnsi="Arial" w:cs="Arial"/>
                <w:color w:val="000000" w:themeColor="text1"/>
                <w:sz w:val="20"/>
                <w:szCs w:val="20"/>
                <w:lang w:val="hr-HR"/>
              </w:rPr>
            </w:pPr>
          </w:p>
        </w:tc>
        <w:tc>
          <w:tcPr>
            <w:tcW w:w="683" w:type="pct"/>
          </w:tcPr>
          <w:p w14:paraId="334EA1A1" w14:textId="77777777" w:rsidR="004E2F51" w:rsidRPr="004B4498" w:rsidRDefault="004E2F51" w:rsidP="00E032FC">
            <w:pPr>
              <w:pStyle w:val="TH"/>
              <w:spacing w:line="240" w:lineRule="auto"/>
              <w:jc w:val="right"/>
              <w:rPr>
                <w:rFonts w:cs="Arial"/>
                <w:color w:val="000000" w:themeColor="text1"/>
                <w:sz w:val="20"/>
                <w:lang w:val="hr-HR"/>
              </w:rPr>
            </w:pPr>
            <w:bookmarkStart w:id="762" w:name="_Toc67327503"/>
            <w:r w:rsidRPr="004B4498">
              <w:rPr>
                <w:rFonts w:cs="Arial"/>
                <w:color w:val="000000" w:themeColor="text1"/>
                <w:sz w:val="20"/>
                <w:lang w:val="hr-HR"/>
              </w:rPr>
              <w:t>000 kuna</w:t>
            </w:r>
            <w:bookmarkEnd w:id="762"/>
          </w:p>
        </w:tc>
        <w:tc>
          <w:tcPr>
            <w:tcW w:w="681" w:type="pct"/>
          </w:tcPr>
          <w:p w14:paraId="6A9B74ED" w14:textId="77777777" w:rsidR="004E2F51" w:rsidRPr="004B4498" w:rsidRDefault="004E2F51" w:rsidP="00E032FC">
            <w:pPr>
              <w:pStyle w:val="TH"/>
              <w:spacing w:line="240" w:lineRule="auto"/>
              <w:jc w:val="right"/>
              <w:rPr>
                <w:rFonts w:cs="Arial"/>
                <w:color w:val="000000" w:themeColor="text1"/>
                <w:sz w:val="20"/>
                <w:lang w:val="hr-HR"/>
              </w:rPr>
            </w:pPr>
            <w:bookmarkStart w:id="763" w:name="_Toc67327504"/>
            <w:r w:rsidRPr="004B4498">
              <w:rPr>
                <w:rFonts w:cs="Arial"/>
                <w:color w:val="000000" w:themeColor="text1"/>
                <w:sz w:val="20"/>
                <w:lang w:val="hr-HR"/>
              </w:rPr>
              <w:t>000 kuna</w:t>
            </w:r>
            <w:bookmarkEnd w:id="763"/>
          </w:p>
        </w:tc>
        <w:tc>
          <w:tcPr>
            <w:tcW w:w="681" w:type="pct"/>
          </w:tcPr>
          <w:p w14:paraId="68E1A753" w14:textId="77777777" w:rsidR="004E2F51" w:rsidRPr="004B4498" w:rsidRDefault="004E2F51" w:rsidP="00E032FC">
            <w:pPr>
              <w:pStyle w:val="TH"/>
              <w:spacing w:line="240" w:lineRule="auto"/>
              <w:jc w:val="right"/>
              <w:rPr>
                <w:rFonts w:cs="Arial"/>
                <w:color w:val="000000" w:themeColor="text1"/>
                <w:sz w:val="20"/>
                <w:lang w:val="hr-HR"/>
              </w:rPr>
            </w:pPr>
            <w:bookmarkStart w:id="764" w:name="_Toc67327505"/>
            <w:r w:rsidRPr="004B4498">
              <w:rPr>
                <w:rFonts w:cs="Arial"/>
                <w:color w:val="000000" w:themeColor="text1"/>
                <w:sz w:val="20"/>
                <w:lang w:val="hr-HR"/>
              </w:rPr>
              <w:t>000 kuna</w:t>
            </w:r>
            <w:bookmarkEnd w:id="764"/>
          </w:p>
        </w:tc>
        <w:tc>
          <w:tcPr>
            <w:tcW w:w="679" w:type="pct"/>
          </w:tcPr>
          <w:p w14:paraId="33DD0554" w14:textId="77777777" w:rsidR="004E2F51" w:rsidRPr="004B4498" w:rsidRDefault="004E2F51" w:rsidP="00E032FC">
            <w:pPr>
              <w:pStyle w:val="TH"/>
              <w:spacing w:line="240" w:lineRule="auto"/>
              <w:jc w:val="right"/>
              <w:rPr>
                <w:rFonts w:cs="Arial"/>
                <w:color w:val="000000" w:themeColor="text1"/>
                <w:sz w:val="20"/>
                <w:lang w:val="hr-HR"/>
              </w:rPr>
            </w:pPr>
            <w:bookmarkStart w:id="765" w:name="_Toc67327506"/>
            <w:r w:rsidRPr="004B4498">
              <w:rPr>
                <w:rFonts w:cs="Arial"/>
                <w:color w:val="000000" w:themeColor="text1"/>
                <w:sz w:val="20"/>
                <w:lang w:val="hr-HR"/>
              </w:rPr>
              <w:t>000 kuna</w:t>
            </w:r>
            <w:bookmarkEnd w:id="765"/>
          </w:p>
        </w:tc>
      </w:tr>
      <w:tr w:rsidR="004E2F51" w:rsidRPr="00EA1BFF" w14:paraId="6303E97A" w14:textId="77777777" w:rsidTr="00E032FC">
        <w:tblPrEx>
          <w:tblCellMar>
            <w:left w:w="108" w:type="dxa"/>
            <w:right w:w="108" w:type="dxa"/>
          </w:tblCellMar>
        </w:tblPrEx>
        <w:tc>
          <w:tcPr>
            <w:tcW w:w="2276" w:type="pct"/>
          </w:tcPr>
          <w:p w14:paraId="56A89A78" w14:textId="77777777" w:rsidR="004E2F51" w:rsidRPr="004B4498" w:rsidRDefault="004E2F51" w:rsidP="00E032FC">
            <w:pPr>
              <w:tabs>
                <w:tab w:val="left" w:pos="-720"/>
              </w:tabs>
              <w:rPr>
                <w:rFonts w:ascii="Arial" w:hAnsi="Arial" w:cs="Arial"/>
                <w:color w:val="000000" w:themeColor="text1"/>
                <w:spacing w:val="-3"/>
                <w:sz w:val="20"/>
                <w:szCs w:val="20"/>
                <w:lang w:val="hr-HR"/>
              </w:rPr>
            </w:pPr>
          </w:p>
        </w:tc>
        <w:tc>
          <w:tcPr>
            <w:tcW w:w="683" w:type="pct"/>
          </w:tcPr>
          <w:p w14:paraId="1D3AC0C4"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c>
          <w:tcPr>
            <w:tcW w:w="681" w:type="pct"/>
          </w:tcPr>
          <w:p w14:paraId="7201EA81"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c>
          <w:tcPr>
            <w:tcW w:w="681" w:type="pct"/>
          </w:tcPr>
          <w:p w14:paraId="4E8E45C2"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c>
          <w:tcPr>
            <w:tcW w:w="679" w:type="pct"/>
          </w:tcPr>
          <w:p w14:paraId="4316F6B9"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r>
      <w:tr w:rsidR="004E2F51" w:rsidRPr="00EA1BFF" w14:paraId="471B82D1" w14:textId="77777777" w:rsidTr="00E032FC">
        <w:tc>
          <w:tcPr>
            <w:tcW w:w="2276" w:type="pct"/>
            <w:vAlign w:val="bottom"/>
          </w:tcPr>
          <w:p w14:paraId="2820D818" w14:textId="77777777" w:rsidR="004E2F51" w:rsidRPr="004B4498" w:rsidRDefault="004E2F51" w:rsidP="00E032FC">
            <w:pPr>
              <w:pStyle w:val="TT"/>
              <w:spacing w:line="240" w:lineRule="auto"/>
              <w:rPr>
                <w:rFonts w:cs="Arial"/>
                <w:color w:val="000000" w:themeColor="text1"/>
                <w:sz w:val="20"/>
                <w:lang w:val="hr-HR"/>
              </w:rPr>
            </w:pPr>
            <w:bookmarkStart w:id="766" w:name="_Toc67327507"/>
            <w:r w:rsidRPr="004B4498">
              <w:rPr>
                <w:rFonts w:cs="Arial"/>
                <w:color w:val="000000" w:themeColor="text1"/>
                <w:sz w:val="20"/>
                <w:lang w:val="hr-HR"/>
              </w:rPr>
              <w:t>Domaće financijske institucije</w:t>
            </w:r>
            <w:bookmarkEnd w:id="766"/>
          </w:p>
        </w:tc>
        <w:tc>
          <w:tcPr>
            <w:tcW w:w="683" w:type="pct"/>
            <w:tcBorders>
              <w:top w:val="nil"/>
              <w:left w:val="nil"/>
              <w:bottom w:val="nil"/>
              <w:right w:val="nil"/>
            </w:tcBorders>
            <w:shd w:val="clear" w:color="auto" w:fill="auto"/>
          </w:tcPr>
          <w:p w14:paraId="0F0EE458"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609 </w:t>
            </w:r>
          </w:p>
        </w:tc>
        <w:tc>
          <w:tcPr>
            <w:tcW w:w="681" w:type="pct"/>
            <w:tcBorders>
              <w:top w:val="nil"/>
              <w:left w:val="nil"/>
              <w:bottom w:val="nil"/>
              <w:right w:val="nil"/>
            </w:tcBorders>
            <w:shd w:val="clear" w:color="auto" w:fill="auto"/>
            <w:vAlign w:val="bottom"/>
          </w:tcPr>
          <w:p w14:paraId="495AAC5B"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6</w:t>
            </w:r>
          </w:p>
        </w:tc>
        <w:tc>
          <w:tcPr>
            <w:tcW w:w="681" w:type="pct"/>
            <w:tcBorders>
              <w:top w:val="nil"/>
              <w:left w:val="nil"/>
              <w:bottom w:val="nil"/>
              <w:right w:val="nil"/>
            </w:tcBorders>
            <w:shd w:val="clear" w:color="auto" w:fill="auto"/>
          </w:tcPr>
          <w:p w14:paraId="3692F53A"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609 </w:t>
            </w:r>
          </w:p>
        </w:tc>
        <w:tc>
          <w:tcPr>
            <w:tcW w:w="679" w:type="pct"/>
            <w:tcBorders>
              <w:top w:val="nil"/>
              <w:left w:val="nil"/>
              <w:bottom w:val="nil"/>
              <w:right w:val="nil"/>
            </w:tcBorders>
            <w:shd w:val="clear" w:color="auto" w:fill="auto"/>
            <w:vAlign w:val="bottom"/>
          </w:tcPr>
          <w:p w14:paraId="3ED68790"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6</w:t>
            </w:r>
          </w:p>
        </w:tc>
      </w:tr>
      <w:tr w:rsidR="004E2F51" w:rsidRPr="00EA1BFF" w14:paraId="7AA9610D" w14:textId="77777777" w:rsidTr="00E032FC">
        <w:tc>
          <w:tcPr>
            <w:tcW w:w="2276" w:type="pct"/>
            <w:vAlign w:val="bottom"/>
          </w:tcPr>
          <w:p w14:paraId="05766E29" w14:textId="77777777" w:rsidR="004E2F51" w:rsidRPr="004B4498" w:rsidRDefault="004E2F51" w:rsidP="00E032FC">
            <w:pPr>
              <w:pStyle w:val="TT"/>
              <w:spacing w:line="240" w:lineRule="auto"/>
              <w:rPr>
                <w:rFonts w:cs="Arial"/>
                <w:color w:val="000000" w:themeColor="text1"/>
                <w:sz w:val="20"/>
                <w:lang w:val="hr-HR"/>
              </w:rPr>
            </w:pPr>
            <w:bookmarkStart w:id="767" w:name="_Toc67327512"/>
            <w:r w:rsidRPr="004B4498">
              <w:rPr>
                <w:rFonts w:cs="Arial"/>
                <w:color w:val="000000" w:themeColor="text1"/>
                <w:sz w:val="20"/>
                <w:lang w:val="hr-HR"/>
              </w:rPr>
              <w:t>Inozemne financijske institucije</w:t>
            </w:r>
            <w:bookmarkEnd w:id="767"/>
          </w:p>
        </w:tc>
        <w:tc>
          <w:tcPr>
            <w:tcW w:w="683" w:type="pct"/>
            <w:tcBorders>
              <w:top w:val="nil"/>
              <w:left w:val="nil"/>
              <w:bottom w:val="nil"/>
              <w:right w:val="nil"/>
            </w:tcBorders>
            <w:shd w:val="clear" w:color="auto" w:fill="auto"/>
          </w:tcPr>
          <w:p w14:paraId="2B6CD364"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143.613 </w:t>
            </w:r>
          </w:p>
        </w:tc>
        <w:tc>
          <w:tcPr>
            <w:tcW w:w="681" w:type="pct"/>
            <w:tcBorders>
              <w:top w:val="nil"/>
              <w:left w:val="nil"/>
              <w:bottom w:val="nil"/>
              <w:right w:val="nil"/>
            </w:tcBorders>
            <w:shd w:val="clear" w:color="auto" w:fill="auto"/>
            <w:vAlign w:val="bottom"/>
          </w:tcPr>
          <w:p w14:paraId="08F67B86"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170.811</w:t>
            </w:r>
          </w:p>
        </w:tc>
        <w:tc>
          <w:tcPr>
            <w:tcW w:w="681" w:type="pct"/>
            <w:tcBorders>
              <w:top w:val="nil"/>
              <w:left w:val="nil"/>
              <w:bottom w:val="nil"/>
              <w:right w:val="nil"/>
            </w:tcBorders>
            <w:shd w:val="clear" w:color="auto" w:fill="auto"/>
          </w:tcPr>
          <w:p w14:paraId="72ED6F23"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143.613 </w:t>
            </w:r>
          </w:p>
        </w:tc>
        <w:tc>
          <w:tcPr>
            <w:tcW w:w="679" w:type="pct"/>
            <w:tcBorders>
              <w:top w:val="nil"/>
              <w:left w:val="nil"/>
              <w:bottom w:val="nil"/>
              <w:right w:val="nil"/>
            </w:tcBorders>
            <w:shd w:val="clear" w:color="auto" w:fill="auto"/>
            <w:vAlign w:val="bottom"/>
          </w:tcPr>
          <w:p w14:paraId="19CD790B"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170.811</w:t>
            </w:r>
          </w:p>
        </w:tc>
      </w:tr>
      <w:tr w:rsidR="004E2F51" w:rsidRPr="00EA1BFF" w14:paraId="3056D71B" w14:textId="77777777" w:rsidTr="00E032FC">
        <w:tc>
          <w:tcPr>
            <w:tcW w:w="2276" w:type="pct"/>
            <w:vAlign w:val="bottom"/>
          </w:tcPr>
          <w:p w14:paraId="4EFD298E" w14:textId="77777777" w:rsidR="004E2F51" w:rsidRPr="004B4498" w:rsidRDefault="004E2F51" w:rsidP="00E032FC">
            <w:pPr>
              <w:pStyle w:val="TT"/>
              <w:spacing w:line="240" w:lineRule="auto"/>
              <w:rPr>
                <w:rFonts w:cs="Arial"/>
                <w:color w:val="000000" w:themeColor="text1"/>
                <w:sz w:val="20"/>
                <w:lang w:val="hr-HR"/>
              </w:rPr>
            </w:pPr>
            <w:bookmarkStart w:id="768" w:name="_Toc67327517"/>
            <w:r w:rsidRPr="004B4498">
              <w:rPr>
                <w:rFonts w:cs="Arial"/>
                <w:color w:val="000000" w:themeColor="text1"/>
                <w:sz w:val="20"/>
                <w:lang w:val="hr-HR"/>
              </w:rPr>
              <w:t>Državne jedinice</w:t>
            </w:r>
            <w:bookmarkEnd w:id="768"/>
          </w:p>
        </w:tc>
        <w:tc>
          <w:tcPr>
            <w:tcW w:w="683" w:type="pct"/>
            <w:tcBorders>
              <w:top w:val="nil"/>
              <w:left w:val="nil"/>
              <w:bottom w:val="nil"/>
              <w:right w:val="nil"/>
            </w:tcBorders>
            <w:shd w:val="clear" w:color="auto" w:fill="auto"/>
          </w:tcPr>
          <w:p w14:paraId="613013E9" w14:textId="77777777" w:rsidR="004E2F51" w:rsidRPr="00116905"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14.101 </w:t>
            </w:r>
          </w:p>
        </w:tc>
        <w:tc>
          <w:tcPr>
            <w:tcW w:w="681" w:type="pct"/>
            <w:tcBorders>
              <w:top w:val="nil"/>
              <w:left w:val="nil"/>
              <w:bottom w:val="nil"/>
              <w:right w:val="nil"/>
            </w:tcBorders>
            <w:shd w:val="clear" w:color="auto" w:fill="auto"/>
            <w:vAlign w:val="bottom"/>
          </w:tcPr>
          <w:p w14:paraId="0C78BDFF"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sz w:val="20"/>
              </w:rPr>
              <w:t>13.737</w:t>
            </w:r>
          </w:p>
        </w:tc>
        <w:tc>
          <w:tcPr>
            <w:tcW w:w="681" w:type="pct"/>
            <w:tcBorders>
              <w:top w:val="nil"/>
              <w:left w:val="nil"/>
              <w:bottom w:val="nil"/>
              <w:right w:val="nil"/>
            </w:tcBorders>
            <w:shd w:val="clear" w:color="auto" w:fill="auto"/>
          </w:tcPr>
          <w:p w14:paraId="0F1D85C7" w14:textId="77777777" w:rsidR="004E2F51" w:rsidRPr="004B4498" w:rsidDel="00D241F2"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14.101 </w:t>
            </w:r>
          </w:p>
        </w:tc>
        <w:tc>
          <w:tcPr>
            <w:tcW w:w="679" w:type="pct"/>
            <w:tcBorders>
              <w:top w:val="nil"/>
              <w:left w:val="nil"/>
              <w:bottom w:val="nil"/>
              <w:right w:val="nil"/>
            </w:tcBorders>
            <w:shd w:val="clear" w:color="auto" w:fill="auto"/>
            <w:vAlign w:val="bottom"/>
          </w:tcPr>
          <w:p w14:paraId="7AA1E839"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13.737</w:t>
            </w:r>
          </w:p>
        </w:tc>
      </w:tr>
      <w:tr w:rsidR="004E2F51" w:rsidRPr="00EA1BFF" w14:paraId="51EEA672" w14:textId="77777777" w:rsidTr="00E032FC">
        <w:tc>
          <w:tcPr>
            <w:tcW w:w="2276" w:type="pct"/>
            <w:vAlign w:val="bottom"/>
          </w:tcPr>
          <w:p w14:paraId="0E86FF27" w14:textId="77777777" w:rsidR="004E2F51" w:rsidRPr="004B4498" w:rsidRDefault="004E2F51" w:rsidP="00E032FC">
            <w:pPr>
              <w:pStyle w:val="TT"/>
              <w:spacing w:line="240" w:lineRule="auto"/>
              <w:rPr>
                <w:rFonts w:cs="Arial"/>
                <w:color w:val="000000" w:themeColor="text1"/>
                <w:sz w:val="20"/>
                <w:lang w:val="hr-HR"/>
              </w:rPr>
            </w:pPr>
            <w:bookmarkStart w:id="769" w:name="_Toc67327522"/>
            <w:r w:rsidRPr="004B4498">
              <w:rPr>
                <w:rFonts w:cs="Arial"/>
                <w:color w:val="000000" w:themeColor="text1"/>
                <w:sz w:val="20"/>
                <w:lang w:val="hr-HR"/>
              </w:rPr>
              <w:t>Ostalo</w:t>
            </w:r>
            <w:bookmarkEnd w:id="769"/>
          </w:p>
        </w:tc>
        <w:tc>
          <w:tcPr>
            <w:tcW w:w="683" w:type="pct"/>
            <w:tcBorders>
              <w:top w:val="nil"/>
              <w:left w:val="nil"/>
              <w:bottom w:val="nil"/>
              <w:right w:val="nil"/>
            </w:tcBorders>
            <w:shd w:val="clear" w:color="auto" w:fill="auto"/>
          </w:tcPr>
          <w:p w14:paraId="6BF73490" w14:textId="77777777" w:rsidR="004E2F51" w:rsidRPr="004B4498" w:rsidDel="00D241F2"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93 </w:t>
            </w:r>
          </w:p>
        </w:tc>
        <w:tc>
          <w:tcPr>
            <w:tcW w:w="681" w:type="pct"/>
            <w:tcBorders>
              <w:top w:val="nil"/>
              <w:left w:val="nil"/>
              <w:bottom w:val="nil"/>
              <w:right w:val="nil"/>
            </w:tcBorders>
            <w:shd w:val="clear" w:color="auto" w:fill="auto"/>
            <w:vAlign w:val="bottom"/>
          </w:tcPr>
          <w:p w14:paraId="05A85767"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72</w:t>
            </w:r>
          </w:p>
        </w:tc>
        <w:tc>
          <w:tcPr>
            <w:tcW w:w="681" w:type="pct"/>
            <w:tcBorders>
              <w:top w:val="nil"/>
              <w:left w:val="nil"/>
              <w:bottom w:val="nil"/>
              <w:right w:val="nil"/>
            </w:tcBorders>
            <w:shd w:val="clear" w:color="auto" w:fill="auto"/>
          </w:tcPr>
          <w:p w14:paraId="262DAADD" w14:textId="77777777" w:rsidR="004E2F51" w:rsidRPr="004B4498" w:rsidDel="00D241F2"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83 </w:t>
            </w:r>
          </w:p>
        </w:tc>
        <w:tc>
          <w:tcPr>
            <w:tcW w:w="679" w:type="pct"/>
            <w:tcBorders>
              <w:top w:val="nil"/>
              <w:left w:val="nil"/>
              <w:bottom w:val="nil"/>
              <w:right w:val="nil"/>
            </w:tcBorders>
            <w:shd w:val="clear" w:color="auto" w:fill="auto"/>
            <w:vAlign w:val="bottom"/>
          </w:tcPr>
          <w:p w14:paraId="4100ACB6"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56</w:t>
            </w:r>
          </w:p>
        </w:tc>
      </w:tr>
      <w:tr w:rsidR="004E2F51" w:rsidRPr="00EA1BFF" w14:paraId="1C7968CC" w14:textId="77777777" w:rsidTr="00E032FC">
        <w:tc>
          <w:tcPr>
            <w:tcW w:w="2276" w:type="pct"/>
            <w:vAlign w:val="bottom"/>
          </w:tcPr>
          <w:p w14:paraId="4B744592" w14:textId="77777777" w:rsidR="004E2F51" w:rsidRPr="004B4498" w:rsidRDefault="004E2F51" w:rsidP="00E032FC">
            <w:pPr>
              <w:pStyle w:val="Tot"/>
              <w:spacing w:line="240" w:lineRule="auto"/>
              <w:rPr>
                <w:rFonts w:cs="Arial"/>
                <w:b/>
                <w:bCs/>
                <w:color w:val="000000" w:themeColor="text1"/>
                <w:sz w:val="20"/>
                <w:lang w:val="hr-HR"/>
              </w:rPr>
            </w:pPr>
          </w:p>
        </w:tc>
        <w:tc>
          <w:tcPr>
            <w:tcW w:w="683" w:type="pct"/>
            <w:tcBorders>
              <w:top w:val="single" w:sz="4" w:space="0" w:color="auto"/>
              <w:bottom w:val="single" w:sz="12" w:space="0" w:color="auto"/>
            </w:tcBorders>
            <w:vAlign w:val="bottom"/>
          </w:tcPr>
          <w:p w14:paraId="469DC9EE" w14:textId="77777777" w:rsidR="004E2F51" w:rsidRPr="004B4498" w:rsidRDefault="004E2F51" w:rsidP="00E032FC">
            <w:pPr>
              <w:pStyle w:val="Tot"/>
              <w:spacing w:line="240" w:lineRule="auto"/>
              <w:jc w:val="right"/>
              <w:rPr>
                <w:rFonts w:cs="Arial"/>
                <w:b/>
                <w:bCs/>
                <w:color w:val="000000" w:themeColor="text1"/>
                <w:sz w:val="20"/>
                <w:lang w:val="hr-HR"/>
              </w:rPr>
            </w:pPr>
            <w:r w:rsidRPr="00116905">
              <w:rPr>
                <w:rFonts w:cs="Arial"/>
                <w:b/>
                <w:bCs/>
                <w:color w:val="000000" w:themeColor="text1"/>
                <w:sz w:val="20"/>
                <w:lang w:val="hr-HR"/>
              </w:rPr>
              <w:t>158.416</w:t>
            </w:r>
          </w:p>
        </w:tc>
        <w:tc>
          <w:tcPr>
            <w:tcW w:w="681" w:type="pct"/>
            <w:tcBorders>
              <w:top w:val="single" w:sz="4" w:space="0" w:color="auto"/>
              <w:bottom w:val="single" w:sz="12" w:space="0" w:color="auto"/>
            </w:tcBorders>
            <w:vAlign w:val="bottom"/>
          </w:tcPr>
          <w:p w14:paraId="2E588BC6" w14:textId="77777777" w:rsidR="004E2F51" w:rsidRPr="004B4498" w:rsidRDefault="004E2F51" w:rsidP="00E032FC">
            <w:pPr>
              <w:pStyle w:val="Tot"/>
              <w:spacing w:line="240" w:lineRule="auto"/>
              <w:jc w:val="right"/>
              <w:rPr>
                <w:rFonts w:cs="Arial"/>
                <w:b/>
                <w:bCs/>
                <w:color w:val="000000" w:themeColor="text1"/>
                <w:sz w:val="20"/>
                <w:lang w:val="hr-HR"/>
              </w:rPr>
            </w:pPr>
            <w:r w:rsidRPr="0046584E">
              <w:rPr>
                <w:rFonts w:cs="Arial"/>
                <w:b/>
                <w:bCs/>
                <w:color w:val="000000" w:themeColor="text1"/>
                <w:sz w:val="20"/>
                <w:lang w:val="hr-HR"/>
              </w:rPr>
              <w:t>184.626</w:t>
            </w:r>
          </w:p>
        </w:tc>
        <w:tc>
          <w:tcPr>
            <w:tcW w:w="681" w:type="pct"/>
            <w:tcBorders>
              <w:top w:val="single" w:sz="4" w:space="0" w:color="auto"/>
              <w:bottom w:val="single" w:sz="12" w:space="0" w:color="auto"/>
            </w:tcBorders>
            <w:vAlign w:val="bottom"/>
          </w:tcPr>
          <w:p w14:paraId="15F6FC61" w14:textId="77777777" w:rsidR="004E2F51" w:rsidRPr="004B4498" w:rsidRDefault="004E2F51" w:rsidP="00E032FC">
            <w:pPr>
              <w:jc w:val="right"/>
              <w:rPr>
                <w:rFonts w:ascii="Arial" w:hAnsi="Arial" w:cs="Arial"/>
                <w:b/>
                <w:bCs/>
                <w:color w:val="000000" w:themeColor="text1"/>
                <w:sz w:val="20"/>
                <w:szCs w:val="20"/>
                <w:lang w:val="hr-HR"/>
              </w:rPr>
            </w:pPr>
            <w:r w:rsidRPr="00116905">
              <w:rPr>
                <w:rFonts w:ascii="Arial" w:hAnsi="Arial" w:cs="Arial"/>
                <w:b/>
                <w:bCs/>
                <w:color w:val="000000" w:themeColor="text1"/>
                <w:sz w:val="20"/>
                <w:szCs w:val="20"/>
                <w:lang w:val="hr-HR"/>
              </w:rPr>
              <w:t>158.406</w:t>
            </w:r>
          </w:p>
        </w:tc>
        <w:tc>
          <w:tcPr>
            <w:tcW w:w="679" w:type="pct"/>
            <w:tcBorders>
              <w:top w:val="single" w:sz="4" w:space="0" w:color="auto"/>
              <w:bottom w:val="single" w:sz="12" w:space="0" w:color="auto"/>
            </w:tcBorders>
            <w:vAlign w:val="bottom"/>
          </w:tcPr>
          <w:p w14:paraId="3F3CD9B9" w14:textId="77777777" w:rsidR="004E2F51" w:rsidRPr="004B4498" w:rsidRDefault="004E2F51" w:rsidP="00E032FC">
            <w:pPr>
              <w:jc w:val="right"/>
              <w:rPr>
                <w:rFonts w:ascii="Arial" w:hAnsi="Arial" w:cs="Arial"/>
                <w:b/>
                <w:bCs/>
                <w:color w:val="000000" w:themeColor="text1"/>
                <w:sz w:val="20"/>
                <w:szCs w:val="20"/>
                <w:lang w:val="hr-HR"/>
              </w:rPr>
            </w:pPr>
            <w:r w:rsidRPr="0046584E">
              <w:rPr>
                <w:rFonts w:ascii="Arial" w:hAnsi="Arial" w:cs="Arial"/>
                <w:b/>
                <w:bCs/>
                <w:color w:val="000000" w:themeColor="text1"/>
                <w:sz w:val="20"/>
                <w:szCs w:val="20"/>
                <w:lang w:val="hr-HR"/>
              </w:rPr>
              <w:t>184.610</w:t>
            </w:r>
          </w:p>
        </w:tc>
      </w:tr>
    </w:tbl>
    <w:p w14:paraId="78B624BC"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Rashodi od kamata prema vrstama obveza:</w:t>
      </w:r>
    </w:p>
    <w:tbl>
      <w:tblPr>
        <w:tblW w:w="5000" w:type="pct"/>
        <w:tblLayout w:type="fixed"/>
        <w:tblCellMar>
          <w:left w:w="122" w:type="dxa"/>
          <w:right w:w="122" w:type="dxa"/>
        </w:tblCellMar>
        <w:tblLook w:val="0000" w:firstRow="0" w:lastRow="0" w:firstColumn="0" w:lastColumn="0" w:noHBand="0" w:noVBand="0"/>
      </w:tblPr>
      <w:tblGrid>
        <w:gridCol w:w="4259"/>
        <w:gridCol w:w="1274"/>
        <w:gridCol w:w="1276"/>
        <w:gridCol w:w="1274"/>
        <w:gridCol w:w="1272"/>
      </w:tblGrid>
      <w:tr w:rsidR="004E2F51" w:rsidRPr="00EA1BFF" w14:paraId="6899FEF0" w14:textId="77777777" w:rsidTr="00E032FC">
        <w:trPr>
          <w:trHeight w:val="300"/>
        </w:trPr>
        <w:tc>
          <w:tcPr>
            <w:tcW w:w="2276" w:type="pct"/>
          </w:tcPr>
          <w:p w14:paraId="7EAC3D33" w14:textId="77777777" w:rsidR="004E2F51" w:rsidRPr="004B4498" w:rsidRDefault="004E2F51" w:rsidP="00E032FC">
            <w:pPr>
              <w:tabs>
                <w:tab w:val="left" w:pos="-720"/>
              </w:tabs>
              <w:jc w:val="right"/>
              <w:rPr>
                <w:rFonts w:ascii="Arial" w:hAnsi="Arial" w:cs="Arial"/>
                <w:color w:val="000000" w:themeColor="text1"/>
                <w:spacing w:val="-3"/>
                <w:sz w:val="20"/>
                <w:szCs w:val="20"/>
                <w:lang w:val="hr-HR"/>
              </w:rPr>
            </w:pPr>
            <w:r w:rsidRPr="004B4498">
              <w:rPr>
                <w:rFonts w:ascii="Arial" w:hAnsi="Arial" w:cs="Arial"/>
                <w:color w:val="000000" w:themeColor="text1"/>
                <w:spacing w:val="-3"/>
                <w:sz w:val="20"/>
                <w:szCs w:val="20"/>
                <w:lang w:val="hr-HR"/>
              </w:rPr>
              <w:t xml:space="preserve">         </w:t>
            </w:r>
          </w:p>
        </w:tc>
        <w:tc>
          <w:tcPr>
            <w:tcW w:w="1363" w:type="pct"/>
            <w:gridSpan w:val="2"/>
            <w:vAlign w:val="bottom"/>
          </w:tcPr>
          <w:p w14:paraId="30B4C5F0" w14:textId="77777777" w:rsidR="004E2F51" w:rsidRPr="004B4498" w:rsidRDefault="004E2F51" w:rsidP="00E032FC">
            <w:pPr>
              <w:pStyle w:val="TH"/>
              <w:spacing w:line="240" w:lineRule="auto"/>
              <w:jc w:val="right"/>
              <w:rPr>
                <w:rFonts w:cs="Arial"/>
                <w:color w:val="000000" w:themeColor="text1"/>
                <w:sz w:val="20"/>
                <w:lang w:val="hr-HR"/>
              </w:rPr>
            </w:pPr>
            <w:bookmarkStart w:id="770" w:name="_Toc67327529"/>
            <w:r w:rsidRPr="004B4498">
              <w:rPr>
                <w:rFonts w:cs="Arial"/>
                <w:color w:val="000000" w:themeColor="text1"/>
                <w:sz w:val="20"/>
                <w:lang w:val="hr-HR"/>
              </w:rPr>
              <w:t>Grupa</w:t>
            </w:r>
            <w:bookmarkEnd w:id="770"/>
            <w:r w:rsidRPr="004B4498" w:rsidDel="00833713">
              <w:rPr>
                <w:rFonts w:cs="Arial"/>
                <w:color w:val="000000" w:themeColor="text1"/>
                <w:sz w:val="20"/>
                <w:lang w:val="hr-HR"/>
              </w:rPr>
              <w:t xml:space="preserve"> </w:t>
            </w:r>
          </w:p>
        </w:tc>
        <w:tc>
          <w:tcPr>
            <w:tcW w:w="1361" w:type="pct"/>
            <w:gridSpan w:val="2"/>
            <w:vAlign w:val="bottom"/>
          </w:tcPr>
          <w:p w14:paraId="221A5E22" w14:textId="77777777" w:rsidR="004E2F51" w:rsidRPr="004B4498" w:rsidRDefault="004E2F51" w:rsidP="00E032FC">
            <w:pPr>
              <w:pStyle w:val="TH"/>
              <w:spacing w:line="240" w:lineRule="auto"/>
              <w:jc w:val="right"/>
              <w:rPr>
                <w:rFonts w:cs="Arial"/>
                <w:color w:val="000000" w:themeColor="text1"/>
                <w:sz w:val="20"/>
                <w:lang w:val="hr-HR"/>
              </w:rPr>
            </w:pPr>
            <w:bookmarkStart w:id="771" w:name="_Toc67327530"/>
            <w:r w:rsidRPr="004B4498">
              <w:rPr>
                <w:rFonts w:cs="Arial"/>
                <w:color w:val="000000" w:themeColor="text1"/>
                <w:sz w:val="20"/>
                <w:lang w:val="hr-HR"/>
              </w:rPr>
              <w:t>Banka</w:t>
            </w:r>
            <w:bookmarkEnd w:id="771"/>
            <w:r w:rsidRPr="004B4498" w:rsidDel="00833713">
              <w:rPr>
                <w:rFonts w:cs="Arial"/>
                <w:color w:val="000000" w:themeColor="text1"/>
                <w:sz w:val="20"/>
                <w:lang w:val="hr-HR"/>
              </w:rPr>
              <w:t xml:space="preserve"> </w:t>
            </w:r>
          </w:p>
        </w:tc>
      </w:tr>
      <w:tr w:rsidR="004E2F51" w:rsidRPr="00EA1BFF" w14:paraId="2DAB40FC" w14:textId="77777777" w:rsidTr="00E032FC">
        <w:trPr>
          <w:trHeight w:val="300"/>
        </w:trPr>
        <w:tc>
          <w:tcPr>
            <w:tcW w:w="2276" w:type="pct"/>
          </w:tcPr>
          <w:p w14:paraId="76D62D0D" w14:textId="77777777" w:rsidR="004E2F51" w:rsidRPr="004B4498" w:rsidRDefault="004E2F51" w:rsidP="00E032FC">
            <w:pPr>
              <w:tabs>
                <w:tab w:val="left" w:pos="-720"/>
              </w:tabs>
              <w:jc w:val="right"/>
              <w:rPr>
                <w:rFonts w:ascii="Arial" w:hAnsi="Arial" w:cs="Arial"/>
                <w:color w:val="000000" w:themeColor="text1"/>
                <w:spacing w:val="-3"/>
                <w:sz w:val="20"/>
                <w:szCs w:val="20"/>
                <w:lang w:val="hr-HR"/>
              </w:rPr>
            </w:pPr>
          </w:p>
        </w:tc>
        <w:tc>
          <w:tcPr>
            <w:tcW w:w="681" w:type="pct"/>
            <w:vAlign w:val="bottom"/>
          </w:tcPr>
          <w:p w14:paraId="118B5332" w14:textId="77777777" w:rsidR="004E2F51" w:rsidRPr="004B4498" w:rsidRDefault="004E2F51" w:rsidP="00E032FC">
            <w:pPr>
              <w:pStyle w:val="TH"/>
              <w:spacing w:line="240" w:lineRule="auto"/>
              <w:jc w:val="right"/>
              <w:rPr>
                <w:rFonts w:cs="Arial"/>
                <w:color w:val="000000" w:themeColor="text1"/>
                <w:sz w:val="20"/>
                <w:lang w:val="hr-HR"/>
              </w:rPr>
            </w:pPr>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p>
        </w:tc>
        <w:tc>
          <w:tcPr>
            <w:tcW w:w="682" w:type="pct"/>
            <w:vAlign w:val="bottom"/>
          </w:tcPr>
          <w:p w14:paraId="2903683A" w14:textId="77777777" w:rsidR="004E2F51" w:rsidRPr="004B4498" w:rsidRDefault="004E2F51" w:rsidP="00E032FC">
            <w:pPr>
              <w:pStyle w:val="TH"/>
              <w:spacing w:line="240" w:lineRule="auto"/>
              <w:jc w:val="right"/>
              <w:rPr>
                <w:rFonts w:cs="Arial"/>
                <w:color w:val="000000" w:themeColor="text1"/>
                <w:sz w:val="20"/>
                <w:lang w:val="hr-HR"/>
              </w:rPr>
            </w:pPr>
            <w:bookmarkStart w:id="772" w:name="_Toc67327532"/>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772"/>
          </w:p>
        </w:tc>
        <w:tc>
          <w:tcPr>
            <w:tcW w:w="681" w:type="pct"/>
            <w:vAlign w:val="bottom"/>
          </w:tcPr>
          <w:p w14:paraId="02C2425B" w14:textId="77777777" w:rsidR="004E2F51" w:rsidRPr="004B4498" w:rsidRDefault="004E2F51" w:rsidP="00E032FC">
            <w:pPr>
              <w:pStyle w:val="TH"/>
              <w:spacing w:line="240" w:lineRule="auto"/>
              <w:jc w:val="right"/>
              <w:rPr>
                <w:rFonts w:cs="Arial"/>
                <w:color w:val="000000" w:themeColor="text1"/>
                <w:sz w:val="20"/>
                <w:lang w:val="hr-HR"/>
              </w:rPr>
            </w:pPr>
            <w:bookmarkStart w:id="773" w:name="_Toc67327533"/>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773"/>
          </w:p>
        </w:tc>
        <w:tc>
          <w:tcPr>
            <w:tcW w:w="680" w:type="pct"/>
            <w:vAlign w:val="bottom"/>
          </w:tcPr>
          <w:p w14:paraId="717842E5" w14:textId="77777777" w:rsidR="004E2F51" w:rsidRPr="004B4498" w:rsidRDefault="004E2F51" w:rsidP="00E032FC">
            <w:pPr>
              <w:pStyle w:val="TH"/>
              <w:spacing w:line="240" w:lineRule="auto"/>
              <w:jc w:val="right"/>
              <w:rPr>
                <w:rFonts w:cs="Arial"/>
                <w:color w:val="000000" w:themeColor="text1"/>
                <w:sz w:val="20"/>
                <w:lang w:val="hr-HR"/>
              </w:rPr>
            </w:pPr>
            <w:bookmarkStart w:id="774" w:name="_Toc67327534"/>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774"/>
          </w:p>
        </w:tc>
      </w:tr>
      <w:tr w:rsidR="004E2F51" w:rsidRPr="00EA1BFF" w14:paraId="3D0C9ED3" w14:textId="77777777" w:rsidTr="00E032FC">
        <w:tblPrEx>
          <w:tblCellMar>
            <w:left w:w="108" w:type="dxa"/>
            <w:right w:w="108" w:type="dxa"/>
          </w:tblCellMar>
        </w:tblPrEx>
        <w:trPr>
          <w:trHeight w:val="187"/>
        </w:trPr>
        <w:tc>
          <w:tcPr>
            <w:tcW w:w="2276" w:type="pct"/>
          </w:tcPr>
          <w:p w14:paraId="1DE8BC6B" w14:textId="77777777" w:rsidR="004E2F51" w:rsidRPr="004B4498" w:rsidRDefault="004E2F51" w:rsidP="00E032FC">
            <w:pPr>
              <w:tabs>
                <w:tab w:val="left" w:pos="-720"/>
              </w:tabs>
              <w:ind w:right="4144"/>
              <w:jc w:val="right"/>
              <w:rPr>
                <w:rFonts w:ascii="Arial" w:hAnsi="Arial" w:cs="Arial"/>
                <w:color w:val="000000" w:themeColor="text1"/>
                <w:sz w:val="20"/>
                <w:szCs w:val="20"/>
                <w:lang w:val="hr-HR"/>
              </w:rPr>
            </w:pPr>
          </w:p>
        </w:tc>
        <w:tc>
          <w:tcPr>
            <w:tcW w:w="681" w:type="pct"/>
          </w:tcPr>
          <w:p w14:paraId="0491298B" w14:textId="77777777" w:rsidR="004E2F51" w:rsidRPr="004B4498" w:rsidRDefault="004E2F51" w:rsidP="00E032FC">
            <w:pPr>
              <w:pStyle w:val="TH"/>
              <w:spacing w:line="240" w:lineRule="auto"/>
              <w:jc w:val="right"/>
              <w:rPr>
                <w:rFonts w:cs="Arial"/>
                <w:color w:val="000000" w:themeColor="text1"/>
                <w:sz w:val="20"/>
                <w:lang w:val="hr-HR"/>
              </w:rPr>
            </w:pPr>
            <w:bookmarkStart w:id="775" w:name="_Toc67327535"/>
            <w:r w:rsidRPr="004B4498">
              <w:rPr>
                <w:rFonts w:cs="Arial"/>
                <w:color w:val="000000" w:themeColor="text1"/>
                <w:sz w:val="20"/>
                <w:lang w:val="hr-HR"/>
              </w:rPr>
              <w:t>000 kuna</w:t>
            </w:r>
            <w:bookmarkEnd w:id="775"/>
          </w:p>
        </w:tc>
        <w:tc>
          <w:tcPr>
            <w:tcW w:w="682" w:type="pct"/>
          </w:tcPr>
          <w:p w14:paraId="4FF376B6" w14:textId="77777777" w:rsidR="004E2F51" w:rsidRPr="004B4498" w:rsidRDefault="004E2F51" w:rsidP="00E032FC">
            <w:pPr>
              <w:pStyle w:val="TH"/>
              <w:spacing w:line="240" w:lineRule="auto"/>
              <w:jc w:val="right"/>
              <w:rPr>
                <w:rFonts w:cs="Arial"/>
                <w:color w:val="000000" w:themeColor="text1"/>
                <w:sz w:val="20"/>
                <w:lang w:val="hr-HR"/>
              </w:rPr>
            </w:pPr>
            <w:bookmarkStart w:id="776" w:name="_Toc67327536"/>
            <w:r w:rsidRPr="004B4498">
              <w:rPr>
                <w:rFonts w:cs="Arial"/>
                <w:color w:val="000000" w:themeColor="text1"/>
                <w:sz w:val="20"/>
                <w:lang w:val="hr-HR"/>
              </w:rPr>
              <w:t>000 kuna</w:t>
            </w:r>
            <w:bookmarkEnd w:id="776"/>
          </w:p>
        </w:tc>
        <w:tc>
          <w:tcPr>
            <w:tcW w:w="681" w:type="pct"/>
          </w:tcPr>
          <w:p w14:paraId="4A1E0D51" w14:textId="77777777" w:rsidR="004E2F51" w:rsidRPr="004B4498" w:rsidRDefault="004E2F51" w:rsidP="00E032FC">
            <w:pPr>
              <w:pStyle w:val="TH"/>
              <w:spacing w:line="240" w:lineRule="auto"/>
              <w:jc w:val="right"/>
              <w:rPr>
                <w:rFonts w:cs="Arial"/>
                <w:color w:val="000000" w:themeColor="text1"/>
                <w:sz w:val="20"/>
                <w:lang w:val="hr-HR"/>
              </w:rPr>
            </w:pPr>
            <w:bookmarkStart w:id="777" w:name="_Toc67327537"/>
            <w:r w:rsidRPr="004B4498">
              <w:rPr>
                <w:rFonts w:cs="Arial"/>
                <w:color w:val="000000" w:themeColor="text1"/>
                <w:sz w:val="20"/>
                <w:lang w:val="hr-HR"/>
              </w:rPr>
              <w:t>000 kuna</w:t>
            </w:r>
            <w:bookmarkEnd w:id="777"/>
          </w:p>
        </w:tc>
        <w:tc>
          <w:tcPr>
            <w:tcW w:w="680" w:type="pct"/>
          </w:tcPr>
          <w:p w14:paraId="7DF1B729" w14:textId="77777777" w:rsidR="004E2F51" w:rsidRPr="004B4498" w:rsidRDefault="004E2F51" w:rsidP="00E032FC">
            <w:pPr>
              <w:pStyle w:val="TH"/>
              <w:spacing w:line="240" w:lineRule="auto"/>
              <w:jc w:val="right"/>
              <w:rPr>
                <w:rFonts w:cs="Arial"/>
                <w:color w:val="000000" w:themeColor="text1"/>
                <w:sz w:val="20"/>
                <w:lang w:val="hr-HR"/>
              </w:rPr>
            </w:pPr>
            <w:bookmarkStart w:id="778" w:name="_Toc67327538"/>
            <w:r w:rsidRPr="004B4498">
              <w:rPr>
                <w:rFonts w:cs="Arial"/>
                <w:color w:val="000000" w:themeColor="text1"/>
                <w:sz w:val="20"/>
                <w:lang w:val="hr-HR"/>
              </w:rPr>
              <w:t>000 kuna</w:t>
            </w:r>
            <w:bookmarkEnd w:id="778"/>
          </w:p>
        </w:tc>
      </w:tr>
      <w:tr w:rsidR="004E2F51" w:rsidRPr="00EA1BFF" w14:paraId="618BBDDF" w14:textId="77777777" w:rsidTr="00E032FC">
        <w:trPr>
          <w:trHeight w:val="74"/>
        </w:trPr>
        <w:tc>
          <w:tcPr>
            <w:tcW w:w="2276" w:type="pct"/>
          </w:tcPr>
          <w:p w14:paraId="2835D31B" w14:textId="77777777" w:rsidR="004E2F51" w:rsidRPr="004B4498" w:rsidRDefault="004E2F51" w:rsidP="00E032FC">
            <w:pPr>
              <w:tabs>
                <w:tab w:val="left" w:pos="-720"/>
              </w:tabs>
              <w:rPr>
                <w:rFonts w:ascii="Arial" w:hAnsi="Arial" w:cs="Arial"/>
                <w:b/>
                <w:color w:val="000000" w:themeColor="text1"/>
                <w:spacing w:val="-3"/>
                <w:sz w:val="20"/>
                <w:szCs w:val="20"/>
                <w:lang w:val="hr-HR"/>
              </w:rPr>
            </w:pPr>
          </w:p>
        </w:tc>
        <w:tc>
          <w:tcPr>
            <w:tcW w:w="681" w:type="pct"/>
          </w:tcPr>
          <w:p w14:paraId="33F06D1B"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c>
          <w:tcPr>
            <w:tcW w:w="682" w:type="pct"/>
          </w:tcPr>
          <w:p w14:paraId="2996646D"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c>
          <w:tcPr>
            <w:tcW w:w="681" w:type="pct"/>
          </w:tcPr>
          <w:p w14:paraId="0997653F"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c>
          <w:tcPr>
            <w:tcW w:w="680" w:type="pct"/>
          </w:tcPr>
          <w:p w14:paraId="1013C57B"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r>
      <w:tr w:rsidR="004E2F51" w:rsidRPr="00EA1BFF" w14:paraId="34ED2D6A" w14:textId="77777777" w:rsidTr="00E032FC">
        <w:trPr>
          <w:trHeight w:val="120"/>
        </w:trPr>
        <w:tc>
          <w:tcPr>
            <w:tcW w:w="2276" w:type="pct"/>
            <w:vAlign w:val="bottom"/>
          </w:tcPr>
          <w:p w14:paraId="49000B13" w14:textId="77777777" w:rsidR="004E2F51" w:rsidRPr="004B4498" w:rsidRDefault="004E2F51" w:rsidP="00E032FC">
            <w:pPr>
              <w:pStyle w:val="TT"/>
              <w:spacing w:line="240" w:lineRule="auto"/>
              <w:rPr>
                <w:rFonts w:cs="Arial"/>
                <w:b/>
                <w:color w:val="000000" w:themeColor="text1"/>
                <w:sz w:val="20"/>
                <w:lang w:val="hr-HR"/>
              </w:rPr>
            </w:pPr>
            <w:bookmarkStart w:id="779" w:name="_Toc67327539"/>
            <w:r w:rsidRPr="004B4498">
              <w:rPr>
                <w:rFonts w:cs="Arial"/>
                <w:color w:val="000000" w:themeColor="text1"/>
                <w:sz w:val="20"/>
                <w:lang w:val="hr-HR"/>
              </w:rPr>
              <w:t>Obveze po kreditima</w:t>
            </w:r>
            <w:bookmarkEnd w:id="779"/>
            <w:r w:rsidRPr="004B4498">
              <w:rPr>
                <w:rFonts w:cs="Arial"/>
                <w:color w:val="000000" w:themeColor="text1"/>
                <w:sz w:val="20"/>
                <w:lang w:val="hr-HR"/>
              </w:rPr>
              <w:t xml:space="preserve"> </w:t>
            </w:r>
          </w:p>
        </w:tc>
        <w:tc>
          <w:tcPr>
            <w:tcW w:w="681" w:type="pct"/>
            <w:tcBorders>
              <w:top w:val="nil"/>
              <w:left w:val="nil"/>
              <w:bottom w:val="nil"/>
              <w:right w:val="nil"/>
            </w:tcBorders>
            <w:shd w:val="clear" w:color="auto" w:fill="auto"/>
            <w:vAlign w:val="bottom"/>
          </w:tcPr>
          <w:p w14:paraId="21B5A36F"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156.894 </w:t>
            </w:r>
          </w:p>
        </w:tc>
        <w:tc>
          <w:tcPr>
            <w:tcW w:w="682" w:type="pct"/>
            <w:tcBorders>
              <w:top w:val="nil"/>
              <w:left w:val="nil"/>
              <w:bottom w:val="nil"/>
              <w:right w:val="nil"/>
            </w:tcBorders>
            <w:shd w:val="clear" w:color="auto" w:fill="auto"/>
            <w:vAlign w:val="bottom"/>
          </w:tcPr>
          <w:p w14:paraId="504B9065" w14:textId="77777777" w:rsidR="004E2F51" w:rsidRPr="004B4498" w:rsidRDefault="004E2F51" w:rsidP="00E032FC">
            <w:pPr>
              <w:pStyle w:val="TT"/>
              <w:spacing w:line="240" w:lineRule="auto"/>
              <w:ind w:left="65"/>
              <w:jc w:val="right"/>
              <w:rPr>
                <w:rFonts w:cs="Arial"/>
                <w:color w:val="000000" w:themeColor="text1"/>
                <w:sz w:val="20"/>
                <w:lang w:val="hr-HR"/>
              </w:rPr>
            </w:pPr>
            <w:r w:rsidRPr="0046584E">
              <w:rPr>
                <w:rFonts w:cs="Arial"/>
                <w:color w:val="000000" w:themeColor="text1"/>
                <w:sz w:val="20"/>
                <w:lang w:val="hr-HR"/>
              </w:rPr>
              <w:t>183.973</w:t>
            </w:r>
          </w:p>
        </w:tc>
        <w:tc>
          <w:tcPr>
            <w:tcW w:w="681" w:type="pct"/>
            <w:tcBorders>
              <w:top w:val="nil"/>
              <w:left w:val="nil"/>
              <w:bottom w:val="nil"/>
              <w:right w:val="nil"/>
            </w:tcBorders>
            <w:shd w:val="clear" w:color="auto" w:fill="auto"/>
            <w:vAlign w:val="bottom"/>
          </w:tcPr>
          <w:p w14:paraId="7DEF5FEF"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156.894 </w:t>
            </w:r>
          </w:p>
        </w:tc>
        <w:tc>
          <w:tcPr>
            <w:tcW w:w="680" w:type="pct"/>
            <w:tcBorders>
              <w:top w:val="nil"/>
              <w:left w:val="nil"/>
              <w:bottom w:val="nil"/>
              <w:right w:val="nil"/>
            </w:tcBorders>
            <w:shd w:val="clear" w:color="auto" w:fill="auto"/>
            <w:vAlign w:val="bottom"/>
          </w:tcPr>
          <w:p w14:paraId="63404D95"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183.973</w:t>
            </w:r>
          </w:p>
        </w:tc>
      </w:tr>
      <w:tr w:rsidR="004E2F51" w:rsidRPr="00EA1BFF" w14:paraId="1B059767" w14:textId="77777777" w:rsidTr="00E032FC">
        <w:trPr>
          <w:trHeight w:val="120"/>
        </w:trPr>
        <w:tc>
          <w:tcPr>
            <w:tcW w:w="2276" w:type="pct"/>
            <w:vAlign w:val="bottom"/>
          </w:tcPr>
          <w:p w14:paraId="09F3FEA6" w14:textId="77777777" w:rsidR="004E2F51" w:rsidRPr="004B4498" w:rsidRDefault="004E2F51" w:rsidP="00E032FC">
            <w:pPr>
              <w:pStyle w:val="TT"/>
              <w:spacing w:line="240" w:lineRule="auto"/>
              <w:rPr>
                <w:rFonts w:cs="Arial"/>
                <w:b/>
                <w:color w:val="000000" w:themeColor="text1"/>
                <w:sz w:val="20"/>
                <w:lang w:val="hr-HR"/>
              </w:rPr>
            </w:pPr>
            <w:bookmarkStart w:id="780" w:name="_Toc67327544"/>
            <w:r w:rsidRPr="004B4498">
              <w:rPr>
                <w:rFonts w:cs="Arial"/>
                <w:color w:val="000000" w:themeColor="text1"/>
                <w:sz w:val="20"/>
                <w:lang w:val="hr-HR"/>
              </w:rPr>
              <w:t>Dužnički vrijednosni papiri</w:t>
            </w:r>
            <w:bookmarkEnd w:id="780"/>
            <w:r w:rsidRPr="004B4498">
              <w:rPr>
                <w:rFonts w:cs="Arial"/>
                <w:color w:val="000000" w:themeColor="text1"/>
                <w:sz w:val="20"/>
                <w:lang w:val="hr-HR"/>
              </w:rPr>
              <w:t xml:space="preserve"> </w:t>
            </w:r>
          </w:p>
        </w:tc>
        <w:tc>
          <w:tcPr>
            <w:tcW w:w="681" w:type="pct"/>
            <w:tcBorders>
              <w:top w:val="nil"/>
              <w:left w:val="nil"/>
              <w:bottom w:val="nil"/>
              <w:right w:val="nil"/>
            </w:tcBorders>
            <w:shd w:val="clear" w:color="auto" w:fill="auto"/>
            <w:vAlign w:val="bottom"/>
          </w:tcPr>
          <w:p w14:paraId="707CD030"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26 </w:t>
            </w:r>
          </w:p>
        </w:tc>
        <w:tc>
          <w:tcPr>
            <w:tcW w:w="682" w:type="pct"/>
            <w:tcBorders>
              <w:top w:val="nil"/>
              <w:left w:val="nil"/>
              <w:bottom w:val="nil"/>
              <w:right w:val="nil"/>
            </w:tcBorders>
            <w:shd w:val="clear" w:color="auto" w:fill="auto"/>
            <w:vAlign w:val="bottom"/>
          </w:tcPr>
          <w:p w14:paraId="7F4BAFE1"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49</w:t>
            </w:r>
          </w:p>
        </w:tc>
        <w:tc>
          <w:tcPr>
            <w:tcW w:w="681" w:type="pct"/>
            <w:tcBorders>
              <w:top w:val="nil"/>
              <w:left w:val="nil"/>
              <w:bottom w:val="nil"/>
              <w:right w:val="nil"/>
            </w:tcBorders>
            <w:shd w:val="clear" w:color="auto" w:fill="auto"/>
            <w:vAlign w:val="bottom"/>
          </w:tcPr>
          <w:p w14:paraId="15A7410E"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26 </w:t>
            </w:r>
          </w:p>
        </w:tc>
        <w:tc>
          <w:tcPr>
            <w:tcW w:w="680" w:type="pct"/>
            <w:tcBorders>
              <w:top w:val="nil"/>
              <w:left w:val="nil"/>
              <w:bottom w:val="nil"/>
              <w:right w:val="nil"/>
            </w:tcBorders>
            <w:shd w:val="clear" w:color="auto" w:fill="auto"/>
            <w:vAlign w:val="bottom"/>
          </w:tcPr>
          <w:p w14:paraId="4C77625E"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49</w:t>
            </w:r>
          </w:p>
        </w:tc>
      </w:tr>
      <w:tr w:rsidR="004E2F51" w:rsidRPr="00EA1BFF" w14:paraId="2B6E6D9B" w14:textId="77777777" w:rsidTr="00E032FC">
        <w:trPr>
          <w:trHeight w:val="120"/>
        </w:trPr>
        <w:tc>
          <w:tcPr>
            <w:tcW w:w="2276" w:type="pct"/>
            <w:vAlign w:val="bottom"/>
          </w:tcPr>
          <w:p w14:paraId="408E096F" w14:textId="77777777" w:rsidR="004E2F51" w:rsidRPr="004B4498" w:rsidRDefault="004E2F51" w:rsidP="00E032FC">
            <w:pPr>
              <w:pStyle w:val="TT"/>
              <w:spacing w:line="240" w:lineRule="auto"/>
              <w:rPr>
                <w:rFonts w:cs="Arial"/>
                <w:color w:val="000000" w:themeColor="text1"/>
                <w:sz w:val="20"/>
                <w:lang w:val="hr-HR"/>
              </w:rPr>
            </w:pPr>
            <w:bookmarkStart w:id="781" w:name="_Toc67327549"/>
            <w:r w:rsidRPr="004B4498">
              <w:rPr>
                <w:rFonts w:cs="Arial"/>
                <w:color w:val="000000" w:themeColor="text1"/>
                <w:sz w:val="20"/>
                <w:lang w:val="hr-HR"/>
              </w:rPr>
              <w:t>Depoziti</w:t>
            </w:r>
            <w:bookmarkEnd w:id="781"/>
          </w:p>
        </w:tc>
        <w:tc>
          <w:tcPr>
            <w:tcW w:w="681" w:type="pct"/>
            <w:tcBorders>
              <w:top w:val="nil"/>
              <w:left w:val="nil"/>
              <w:bottom w:val="nil"/>
              <w:right w:val="nil"/>
            </w:tcBorders>
            <w:shd w:val="clear" w:color="auto" w:fill="auto"/>
            <w:vAlign w:val="bottom"/>
          </w:tcPr>
          <w:p w14:paraId="240CB7F3"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1.403 </w:t>
            </w:r>
          </w:p>
        </w:tc>
        <w:tc>
          <w:tcPr>
            <w:tcW w:w="682" w:type="pct"/>
            <w:tcBorders>
              <w:top w:val="nil"/>
              <w:left w:val="nil"/>
              <w:bottom w:val="nil"/>
              <w:right w:val="nil"/>
            </w:tcBorders>
            <w:shd w:val="clear" w:color="auto" w:fill="auto"/>
            <w:vAlign w:val="bottom"/>
          </w:tcPr>
          <w:p w14:paraId="16F9A9D7"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532</w:t>
            </w:r>
          </w:p>
        </w:tc>
        <w:tc>
          <w:tcPr>
            <w:tcW w:w="681" w:type="pct"/>
            <w:tcBorders>
              <w:top w:val="nil"/>
              <w:left w:val="nil"/>
              <w:bottom w:val="nil"/>
              <w:right w:val="nil"/>
            </w:tcBorders>
            <w:shd w:val="clear" w:color="auto" w:fill="auto"/>
            <w:vAlign w:val="bottom"/>
          </w:tcPr>
          <w:p w14:paraId="02F5584E" w14:textId="77777777" w:rsidR="004E2F51" w:rsidRPr="004B4498"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1.403 </w:t>
            </w:r>
          </w:p>
        </w:tc>
        <w:tc>
          <w:tcPr>
            <w:tcW w:w="680" w:type="pct"/>
            <w:tcBorders>
              <w:top w:val="nil"/>
              <w:left w:val="nil"/>
              <w:bottom w:val="nil"/>
              <w:right w:val="nil"/>
            </w:tcBorders>
            <w:shd w:val="clear" w:color="auto" w:fill="auto"/>
            <w:vAlign w:val="bottom"/>
          </w:tcPr>
          <w:p w14:paraId="1949487C"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532</w:t>
            </w:r>
          </w:p>
        </w:tc>
      </w:tr>
      <w:tr w:rsidR="004E2F51" w:rsidRPr="00EA1BFF" w14:paraId="751FDB95" w14:textId="77777777" w:rsidTr="00E032FC">
        <w:trPr>
          <w:trHeight w:val="120"/>
        </w:trPr>
        <w:tc>
          <w:tcPr>
            <w:tcW w:w="2276" w:type="pct"/>
            <w:vAlign w:val="bottom"/>
          </w:tcPr>
          <w:p w14:paraId="466F9266" w14:textId="77777777" w:rsidR="004E2F51" w:rsidRPr="004B4498" w:rsidRDefault="004E2F51" w:rsidP="00E032FC">
            <w:pPr>
              <w:pStyle w:val="TT"/>
              <w:spacing w:line="240" w:lineRule="auto"/>
              <w:rPr>
                <w:rFonts w:cs="Arial"/>
                <w:color w:val="000000" w:themeColor="text1"/>
                <w:sz w:val="20"/>
                <w:lang w:val="hr-HR"/>
              </w:rPr>
            </w:pPr>
            <w:bookmarkStart w:id="782" w:name="_Toc67327554"/>
            <w:r w:rsidRPr="004B4498">
              <w:rPr>
                <w:rFonts w:cs="Arial"/>
                <w:color w:val="000000" w:themeColor="text1"/>
                <w:sz w:val="20"/>
                <w:lang w:val="hr-HR"/>
              </w:rPr>
              <w:t>Najmovi – kamatni troškovi na dugoročne ugovore</w:t>
            </w:r>
            <w:bookmarkEnd w:id="782"/>
          </w:p>
        </w:tc>
        <w:tc>
          <w:tcPr>
            <w:tcW w:w="681" w:type="pct"/>
            <w:tcBorders>
              <w:top w:val="nil"/>
              <w:left w:val="nil"/>
              <w:bottom w:val="nil"/>
              <w:right w:val="nil"/>
            </w:tcBorders>
            <w:shd w:val="clear" w:color="auto" w:fill="auto"/>
            <w:vAlign w:val="bottom"/>
          </w:tcPr>
          <w:p w14:paraId="41502AA5" w14:textId="77777777" w:rsidR="004E2F51" w:rsidRPr="004B4498" w:rsidDel="00D241F2"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93 </w:t>
            </w:r>
          </w:p>
        </w:tc>
        <w:tc>
          <w:tcPr>
            <w:tcW w:w="682" w:type="pct"/>
            <w:tcBorders>
              <w:top w:val="nil"/>
              <w:left w:val="nil"/>
              <w:bottom w:val="nil"/>
              <w:right w:val="nil"/>
            </w:tcBorders>
            <w:shd w:val="clear" w:color="auto" w:fill="auto"/>
            <w:vAlign w:val="bottom"/>
          </w:tcPr>
          <w:p w14:paraId="3B80E2BE"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72</w:t>
            </w:r>
          </w:p>
        </w:tc>
        <w:tc>
          <w:tcPr>
            <w:tcW w:w="681" w:type="pct"/>
            <w:tcBorders>
              <w:top w:val="nil"/>
              <w:left w:val="nil"/>
              <w:bottom w:val="nil"/>
              <w:right w:val="nil"/>
            </w:tcBorders>
            <w:shd w:val="clear" w:color="auto" w:fill="auto"/>
            <w:vAlign w:val="bottom"/>
          </w:tcPr>
          <w:p w14:paraId="5A8774F4" w14:textId="77777777" w:rsidR="004E2F51" w:rsidRPr="004B4498" w:rsidDel="00D241F2" w:rsidRDefault="004E2F51" w:rsidP="00E032FC">
            <w:pPr>
              <w:pStyle w:val="TT"/>
              <w:spacing w:line="240" w:lineRule="auto"/>
              <w:jc w:val="right"/>
              <w:rPr>
                <w:rFonts w:cs="Arial"/>
                <w:color w:val="000000" w:themeColor="text1"/>
                <w:sz w:val="20"/>
                <w:lang w:val="hr-HR"/>
              </w:rPr>
            </w:pPr>
            <w:r w:rsidRPr="00116905">
              <w:rPr>
                <w:rFonts w:cs="Arial"/>
                <w:color w:val="000000" w:themeColor="text1"/>
                <w:sz w:val="20"/>
                <w:lang w:val="hr-HR"/>
              </w:rPr>
              <w:t xml:space="preserve"> 83 </w:t>
            </w:r>
          </w:p>
        </w:tc>
        <w:tc>
          <w:tcPr>
            <w:tcW w:w="680" w:type="pct"/>
            <w:tcBorders>
              <w:top w:val="nil"/>
              <w:left w:val="nil"/>
              <w:bottom w:val="nil"/>
              <w:right w:val="nil"/>
            </w:tcBorders>
            <w:shd w:val="clear" w:color="auto" w:fill="auto"/>
            <w:vAlign w:val="bottom"/>
          </w:tcPr>
          <w:p w14:paraId="199E9DFE"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56</w:t>
            </w:r>
          </w:p>
        </w:tc>
      </w:tr>
      <w:tr w:rsidR="004E2F51" w:rsidRPr="00EA1BFF" w14:paraId="0416A595" w14:textId="77777777" w:rsidTr="00E032FC">
        <w:trPr>
          <w:trHeight w:val="120"/>
        </w:trPr>
        <w:tc>
          <w:tcPr>
            <w:tcW w:w="2276" w:type="pct"/>
            <w:vAlign w:val="bottom"/>
          </w:tcPr>
          <w:p w14:paraId="6237D9D0" w14:textId="77777777" w:rsidR="004E2F51" w:rsidRPr="004B4498" w:rsidRDefault="004E2F51" w:rsidP="00E032FC">
            <w:pPr>
              <w:pStyle w:val="Tot"/>
              <w:spacing w:line="240" w:lineRule="auto"/>
              <w:rPr>
                <w:rFonts w:cs="Arial"/>
                <w:b/>
                <w:bCs/>
                <w:color w:val="000000" w:themeColor="text1"/>
                <w:sz w:val="20"/>
                <w:lang w:val="hr-HR"/>
              </w:rPr>
            </w:pPr>
          </w:p>
        </w:tc>
        <w:tc>
          <w:tcPr>
            <w:tcW w:w="681" w:type="pct"/>
            <w:tcBorders>
              <w:top w:val="single" w:sz="4" w:space="0" w:color="auto"/>
              <w:bottom w:val="single" w:sz="12" w:space="0" w:color="auto"/>
            </w:tcBorders>
            <w:vAlign w:val="bottom"/>
          </w:tcPr>
          <w:p w14:paraId="13ABF5FA" w14:textId="77777777" w:rsidR="004E2F51" w:rsidRPr="004B4498" w:rsidRDefault="004E2F51" w:rsidP="00E032FC">
            <w:pPr>
              <w:pStyle w:val="Tot"/>
              <w:spacing w:line="240" w:lineRule="auto"/>
              <w:jc w:val="right"/>
              <w:rPr>
                <w:rFonts w:cs="Arial"/>
                <w:b/>
                <w:bCs/>
                <w:color w:val="000000" w:themeColor="text1"/>
                <w:sz w:val="20"/>
                <w:lang w:val="hr-HR"/>
              </w:rPr>
            </w:pPr>
            <w:r w:rsidRPr="00116905">
              <w:rPr>
                <w:rFonts w:cs="Arial"/>
                <w:b/>
                <w:bCs/>
                <w:color w:val="000000" w:themeColor="text1"/>
                <w:sz w:val="20"/>
                <w:lang w:val="hr-HR"/>
              </w:rPr>
              <w:t>158.416</w:t>
            </w:r>
          </w:p>
        </w:tc>
        <w:tc>
          <w:tcPr>
            <w:tcW w:w="682" w:type="pct"/>
            <w:tcBorders>
              <w:top w:val="single" w:sz="4" w:space="0" w:color="auto"/>
              <w:bottom w:val="single" w:sz="12" w:space="0" w:color="auto"/>
            </w:tcBorders>
            <w:vAlign w:val="bottom"/>
          </w:tcPr>
          <w:p w14:paraId="4708437F" w14:textId="77777777" w:rsidR="004E2F51" w:rsidRPr="004B4498" w:rsidRDefault="004E2F51" w:rsidP="00E032FC">
            <w:pPr>
              <w:pStyle w:val="Tot"/>
              <w:spacing w:line="240" w:lineRule="auto"/>
              <w:jc w:val="right"/>
              <w:rPr>
                <w:rFonts w:cs="Arial"/>
                <w:b/>
                <w:bCs/>
                <w:color w:val="000000" w:themeColor="text1"/>
                <w:sz w:val="20"/>
                <w:lang w:val="hr-HR"/>
              </w:rPr>
            </w:pPr>
            <w:r w:rsidRPr="0046584E">
              <w:rPr>
                <w:rFonts w:cs="Arial"/>
                <w:b/>
                <w:bCs/>
                <w:color w:val="000000" w:themeColor="text1"/>
                <w:sz w:val="20"/>
                <w:lang w:val="hr-HR"/>
              </w:rPr>
              <w:t>184.626</w:t>
            </w:r>
          </w:p>
        </w:tc>
        <w:tc>
          <w:tcPr>
            <w:tcW w:w="681" w:type="pct"/>
            <w:tcBorders>
              <w:top w:val="single" w:sz="4" w:space="0" w:color="auto"/>
              <w:bottom w:val="single" w:sz="12" w:space="0" w:color="auto"/>
            </w:tcBorders>
            <w:vAlign w:val="bottom"/>
          </w:tcPr>
          <w:p w14:paraId="23124A83" w14:textId="77777777" w:rsidR="004E2F51" w:rsidRPr="004B4498" w:rsidRDefault="004E2F51" w:rsidP="00E032FC">
            <w:pPr>
              <w:pStyle w:val="Tot"/>
              <w:spacing w:line="240" w:lineRule="auto"/>
              <w:jc w:val="right"/>
              <w:rPr>
                <w:rFonts w:cs="Arial"/>
                <w:b/>
                <w:bCs/>
                <w:color w:val="000000" w:themeColor="text1"/>
                <w:sz w:val="20"/>
                <w:lang w:val="hr-HR"/>
              </w:rPr>
            </w:pPr>
            <w:r w:rsidRPr="00116905">
              <w:rPr>
                <w:rFonts w:cs="Arial"/>
                <w:b/>
                <w:bCs/>
                <w:color w:val="000000" w:themeColor="text1"/>
                <w:sz w:val="20"/>
                <w:lang w:val="hr-HR"/>
              </w:rPr>
              <w:t>158.406</w:t>
            </w:r>
          </w:p>
        </w:tc>
        <w:tc>
          <w:tcPr>
            <w:tcW w:w="680" w:type="pct"/>
            <w:tcBorders>
              <w:top w:val="single" w:sz="4" w:space="0" w:color="auto"/>
              <w:bottom w:val="single" w:sz="12" w:space="0" w:color="auto"/>
            </w:tcBorders>
            <w:vAlign w:val="bottom"/>
          </w:tcPr>
          <w:p w14:paraId="0FC1423C" w14:textId="77777777" w:rsidR="004E2F51" w:rsidRPr="004B4498" w:rsidRDefault="004E2F51" w:rsidP="00E032FC">
            <w:pPr>
              <w:pStyle w:val="Tot"/>
              <w:spacing w:line="240" w:lineRule="auto"/>
              <w:jc w:val="right"/>
              <w:rPr>
                <w:rFonts w:cs="Arial"/>
                <w:b/>
                <w:bCs/>
                <w:color w:val="000000" w:themeColor="text1"/>
                <w:sz w:val="20"/>
                <w:lang w:val="hr-HR"/>
              </w:rPr>
            </w:pPr>
            <w:r w:rsidRPr="0046584E">
              <w:rPr>
                <w:rFonts w:cs="Arial"/>
                <w:b/>
                <w:bCs/>
                <w:color w:val="000000" w:themeColor="text1"/>
                <w:sz w:val="20"/>
                <w:lang w:val="hr-HR"/>
              </w:rPr>
              <w:t>184.610</w:t>
            </w:r>
          </w:p>
        </w:tc>
      </w:tr>
    </w:tbl>
    <w:p w14:paraId="73DAF7ED" w14:textId="77777777" w:rsidR="004E2F51" w:rsidRPr="00EA1BFF" w:rsidRDefault="004E2F51" w:rsidP="004E2F51">
      <w:pPr>
        <w:pStyle w:val="T1"/>
        <w:spacing w:before="0" w:after="0" w:line="240" w:lineRule="auto"/>
        <w:rPr>
          <w:rFonts w:cs="Arial"/>
          <w:b w:val="0"/>
          <w:bCs w:val="0"/>
          <w:color w:val="000000" w:themeColor="text1"/>
          <w:sz w:val="20"/>
          <w:lang w:val="hr-HR"/>
        </w:rPr>
      </w:pPr>
    </w:p>
    <w:p w14:paraId="32664525"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Razlika između rashoda od kamata i plaćenih kamata (vidi Izvještaj o novčanim tokovima) najvećim se dijelom odnosi na promjenu iznosa nedospjele kamate u odnosu na prethodnu godinu kao i na amortizaciju diskonta po izdanim dužničkim vrijednosnim papirima.</w:t>
      </w:r>
    </w:p>
    <w:p w14:paraId="187774A2"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39C23CAD" w14:textId="77777777" w:rsidR="004E2F51" w:rsidRDefault="004E2F51" w:rsidP="004E2F51">
      <w:pPr>
        <w:pStyle w:val="T1"/>
        <w:tabs>
          <w:tab w:val="left" w:pos="567"/>
        </w:tabs>
        <w:spacing w:before="0" w:after="0" w:line="240" w:lineRule="auto"/>
        <w:rPr>
          <w:rFonts w:cs="Arial"/>
          <w:bCs w:val="0"/>
          <w:color w:val="000000" w:themeColor="text1"/>
          <w:sz w:val="20"/>
          <w:lang w:val="hr-HR"/>
        </w:rPr>
      </w:pPr>
      <w:r w:rsidRPr="004B4498">
        <w:rPr>
          <w:rFonts w:cs="Arial"/>
          <w:bCs w:val="0"/>
          <w:color w:val="000000" w:themeColor="text1"/>
          <w:sz w:val="20"/>
          <w:lang w:val="hr-HR"/>
        </w:rPr>
        <w:t>7.</w:t>
      </w:r>
      <w:r w:rsidRPr="004B4498">
        <w:rPr>
          <w:rFonts w:cs="Arial"/>
          <w:bCs w:val="0"/>
          <w:color w:val="000000" w:themeColor="text1"/>
          <w:sz w:val="20"/>
          <w:lang w:val="hr-HR"/>
        </w:rPr>
        <w:tab/>
        <w:t>Neto prihodi od naknada i provizija</w:t>
      </w:r>
    </w:p>
    <w:p w14:paraId="6B9E79CF" w14:textId="77777777" w:rsidR="004E2F51" w:rsidRPr="004B4498" w:rsidRDefault="004E2F51" w:rsidP="004E2F51">
      <w:pPr>
        <w:pStyle w:val="T1"/>
        <w:tabs>
          <w:tab w:val="left" w:pos="567"/>
        </w:tabs>
        <w:spacing w:before="0" w:after="0" w:line="240" w:lineRule="auto"/>
        <w:rPr>
          <w:rFonts w:cs="Arial"/>
          <w:bCs w:val="0"/>
          <w:color w:val="000000" w:themeColor="text1"/>
          <w:sz w:val="20"/>
          <w:lang w:val="hr-HR"/>
        </w:rPr>
      </w:pPr>
    </w:p>
    <w:tbl>
      <w:tblPr>
        <w:tblW w:w="5000" w:type="pct"/>
        <w:tblLayout w:type="fixed"/>
        <w:tblCellMar>
          <w:left w:w="122" w:type="dxa"/>
          <w:right w:w="122" w:type="dxa"/>
        </w:tblCellMar>
        <w:tblLook w:val="0000" w:firstRow="0" w:lastRow="0" w:firstColumn="0" w:lastColumn="0" w:noHBand="0" w:noVBand="0"/>
      </w:tblPr>
      <w:tblGrid>
        <w:gridCol w:w="4259"/>
        <w:gridCol w:w="1274"/>
        <w:gridCol w:w="1276"/>
        <w:gridCol w:w="1274"/>
        <w:gridCol w:w="1272"/>
      </w:tblGrid>
      <w:tr w:rsidR="004E2F51" w:rsidRPr="00EA1BFF" w14:paraId="3BC465A9" w14:textId="77777777" w:rsidTr="00E032FC">
        <w:trPr>
          <w:trHeight w:val="300"/>
        </w:trPr>
        <w:tc>
          <w:tcPr>
            <w:tcW w:w="2276" w:type="pct"/>
          </w:tcPr>
          <w:p w14:paraId="39B3E68C" w14:textId="77777777" w:rsidR="004E2F51" w:rsidRPr="004B4498" w:rsidRDefault="004E2F51" w:rsidP="00E032FC">
            <w:pPr>
              <w:tabs>
                <w:tab w:val="left" w:pos="-720"/>
              </w:tabs>
              <w:jc w:val="right"/>
              <w:rPr>
                <w:rFonts w:ascii="Arial" w:hAnsi="Arial" w:cs="Arial"/>
                <w:color w:val="000000" w:themeColor="text1"/>
                <w:spacing w:val="-3"/>
                <w:sz w:val="20"/>
                <w:szCs w:val="20"/>
                <w:lang w:val="hr-HR"/>
              </w:rPr>
            </w:pPr>
          </w:p>
        </w:tc>
        <w:tc>
          <w:tcPr>
            <w:tcW w:w="1363" w:type="pct"/>
            <w:gridSpan w:val="2"/>
            <w:vAlign w:val="bottom"/>
          </w:tcPr>
          <w:p w14:paraId="45A05583" w14:textId="77777777" w:rsidR="004E2F51" w:rsidRPr="004B4498" w:rsidRDefault="004E2F51" w:rsidP="00E032FC">
            <w:pPr>
              <w:pStyle w:val="TH"/>
              <w:spacing w:line="240" w:lineRule="auto"/>
              <w:jc w:val="right"/>
              <w:rPr>
                <w:rFonts w:cs="Arial"/>
                <w:color w:val="000000" w:themeColor="text1"/>
                <w:sz w:val="20"/>
                <w:lang w:val="hr-HR"/>
              </w:rPr>
            </w:pPr>
            <w:bookmarkStart w:id="783" w:name="_Toc67327563"/>
            <w:r w:rsidRPr="004B4498">
              <w:rPr>
                <w:rFonts w:cs="Arial"/>
                <w:color w:val="000000" w:themeColor="text1"/>
                <w:sz w:val="20"/>
                <w:lang w:val="hr-HR"/>
              </w:rPr>
              <w:t>Grupa</w:t>
            </w:r>
            <w:bookmarkEnd w:id="783"/>
            <w:r w:rsidRPr="004B4498" w:rsidDel="00833713">
              <w:rPr>
                <w:rFonts w:cs="Arial"/>
                <w:color w:val="000000" w:themeColor="text1"/>
                <w:sz w:val="20"/>
                <w:lang w:val="hr-HR"/>
              </w:rPr>
              <w:t xml:space="preserve"> </w:t>
            </w:r>
          </w:p>
        </w:tc>
        <w:tc>
          <w:tcPr>
            <w:tcW w:w="1361" w:type="pct"/>
            <w:gridSpan w:val="2"/>
            <w:vAlign w:val="bottom"/>
          </w:tcPr>
          <w:p w14:paraId="32FD5576" w14:textId="77777777" w:rsidR="004E2F51" w:rsidRPr="004B4498" w:rsidRDefault="004E2F51" w:rsidP="00E032FC">
            <w:pPr>
              <w:pStyle w:val="TH"/>
              <w:spacing w:line="240" w:lineRule="auto"/>
              <w:jc w:val="right"/>
              <w:rPr>
                <w:rFonts w:cs="Arial"/>
                <w:color w:val="000000" w:themeColor="text1"/>
                <w:sz w:val="20"/>
                <w:lang w:val="hr-HR"/>
              </w:rPr>
            </w:pPr>
            <w:bookmarkStart w:id="784" w:name="_Toc67327564"/>
            <w:r w:rsidRPr="004B4498">
              <w:rPr>
                <w:rFonts w:cs="Arial"/>
                <w:color w:val="000000" w:themeColor="text1"/>
                <w:sz w:val="20"/>
                <w:lang w:val="hr-HR"/>
              </w:rPr>
              <w:t>Banka</w:t>
            </w:r>
            <w:bookmarkEnd w:id="784"/>
            <w:r w:rsidRPr="004B4498" w:rsidDel="00833713">
              <w:rPr>
                <w:rFonts w:cs="Arial"/>
                <w:color w:val="000000" w:themeColor="text1"/>
                <w:sz w:val="20"/>
                <w:lang w:val="hr-HR"/>
              </w:rPr>
              <w:t xml:space="preserve"> </w:t>
            </w:r>
          </w:p>
        </w:tc>
      </w:tr>
      <w:tr w:rsidR="004E2F51" w:rsidRPr="00EA1BFF" w14:paraId="4BD932C8" w14:textId="77777777" w:rsidTr="00E032FC">
        <w:trPr>
          <w:trHeight w:val="300"/>
        </w:trPr>
        <w:tc>
          <w:tcPr>
            <w:tcW w:w="2276" w:type="pct"/>
          </w:tcPr>
          <w:p w14:paraId="787CDD68" w14:textId="77777777" w:rsidR="004E2F51" w:rsidRPr="004B4498" w:rsidRDefault="004E2F51" w:rsidP="00E032FC">
            <w:pPr>
              <w:tabs>
                <w:tab w:val="left" w:pos="-720"/>
              </w:tabs>
              <w:jc w:val="right"/>
              <w:rPr>
                <w:rFonts w:ascii="Arial" w:hAnsi="Arial" w:cs="Arial"/>
                <w:color w:val="000000" w:themeColor="text1"/>
                <w:spacing w:val="-3"/>
                <w:sz w:val="20"/>
                <w:szCs w:val="20"/>
                <w:lang w:val="hr-HR"/>
              </w:rPr>
            </w:pPr>
          </w:p>
        </w:tc>
        <w:tc>
          <w:tcPr>
            <w:tcW w:w="681" w:type="pct"/>
            <w:vAlign w:val="bottom"/>
          </w:tcPr>
          <w:p w14:paraId="6946D6E4" w14:textId="77777777" w:rsidR="004E2F51" w:rsidRPr="004B4498" w:rsidRDefault="004E2F51" w:rsidP="00E032FC">
            <w:pPr>
              <w:pStyle w:val="TH"/>
              <w:spacing w:line="240" w:lineRule="auto"/>
              <w:jc w:val="right"/>
              <w:rPr>
                <w:rFonts w:cs="Arial"/>
                <w:color w:val="000000" w:themeColor="text1"/>
                <w:sz w:val="20"/>
                <w:lang w:val="hr-HR"/>
              </w:rPr>
            </w:pPr>
            <w:bookmarkStart w:id="785" w:name="_Toc67327565"/>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785"/>
          </w:p>
        </w:tc>
        <w:tc>
          <w:tcPr>
            <w:tcW w:w="682" w:type="pct"/>
            <w:vAlign w:val="bottom"/>
          </w:tcPr>
          <w:p w14:paraId="5DAEC942" w14:textId="77777777" w:rsidR="004E2F51" w:rsidRPr="004B4498" w:rsidRDefault="004E2F51" w:rsidP="00E032FC">
            <w:pPr>
              <w:pStyle w:val="TH"/>
              <w:spacing w:line="240" w:lineRule="auto"/>
              <w:jc w:val="right"/>
              <w:rPr>
                <w:rFonts w:cs="Arial"/>
                <w:color w:val="000000" w:themeColor="text1"/>
                <w:sz w:val="20"/>
                <w:lang w:val="hr-HR"/>
              </w:rPr>
            </w:pPr>
            <w:bookmarkStart w:id="786" w:name="_Toc67327566"/>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786"/>
          </w:p>
        </w:tc>
        <w:tc>
          <w:tcPr>
            <w:tcW w:w="681" w:type="pct"/>
            <w:vAlign w:val="bottom"/>
          </w:tcPr>
          <w:p w14:paraId="156BE06A" w14:textId="77777777" w:rsidR="004E2F51" w:rsidRPr="004B4498" w:rsidRDefault="004E2F51" w:rsidP="00E032FC">
            <w:pPr>
              <w:pStyle w:val="TH"/>
              <w:spacing w:line="240" w:lineRule="auto"/>
              <w:jc w:val="right"/>
              <w:rPr>
                <w:rFonts w:cs="Arial"/>
                <w:color w:val="000000" w:themeColor="text1"/>
                <w:sz w:val="20"/>
                <w:lang w:val="hr-HR"/>
              </w:rPr>
            </w:pPr>
            <w:bookmarkStart w:id="787" w:name="_Toc67327567"/>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787"/>
          </w:p>
        </w:tc>
        <w:tc>
          <w:tcPr>
            <w:tcW w:w="680" w:type="pct"/>
            <w:vAlign w:val="bottom"/>
          </w:tcPr>
          <w:p w14:paraId="668D0A83" w14:textId="77777777" w:rsidR="004E2F51" w:rsidRPr="004B4498" w:rsidRDefault="004E2F51" w:rsidP="00E032FC">
            <w:pPr>
              <w:pStyle w:val="TH"/>
              <w:spacing w:line="240" w:lineRule="auto"/>
              <w:jc w:val="right"/>
              <w:rPr>
                <w:rFonts w:cs="Arial"/>
                <w:color w:val="000000" w:themeColor="text1"/>
                <w:sz w:val="20"/>
                <w:lang w:val="hr-HR"/>
              </w:rPr>
            </w:pPr>
            <w:bookmarkStart w:id="788" w:name="_Toc67327568"/>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788"/>
          </w:p>
        </w:tc>
      </w:tr>
      <w:tr w:rsidR="004E2F51" w:rsidRPr="00EA1BFF" w14:paraId="74303415" w14:textId="77777777" w:rsidTr="00E032FC">
        <w:tblPrEx>
          <w:tblCellMar>
            <w:left w:w="108" w:type="dxa"/>
            <w:right w:w="108" w:type="dxa"/>
          </w:tblCellMar>
        </w:tblPrEx>
        <w:trPr>
          <w:trHeight w:val="187"/>
        </w:trPr>
        <w:tc>
          <w:tcPr>
            <w:tcW w:w="2276" w:type="pct"/>
          </w:tcPr>
          <w:p w14:paraId="667E11C6" w14:textId="77777777" w:rsidR="004E2F51" w:rsidRPr="004B4498" w:rsidRDefault="004E2F51" w:rsidP="00E032FC">
            <w:pPr>
              <w:tabs>
                <w:tab w:val="left" w:pos="-720"/>
              </w:tabs>
              <w:ind w:right="4144"/>
              <w:jc w:val="right"/>
              <w:rPr>
                <w:rFonts w:ascii="Arial" w:hAnsi="Arial" w:cs="Arial"/>
                <w:color w:val="000000" w:themeColor="text1"/>
                <w:sz w:val="20"/>
                <w:szCs w:val="20"/>
                <w:lang w:val="hr-HR"/>
              </w:rPr>
            </w:pPr>
          </w:p>
        </w:tc>
        <w:tc>
          <w:tcPr>
            <w:tcW w:w="681" w:type="pct"/>
          </w:tcPr>
          <w:p w14:paraId="0D7CC115" w14:textId="77777777" w:rsidR="004E2F51" w:rsidRPr="004B4498" w:rsidRDefault="004E2F51" w:rsidP="00E032FC">
            <w:pPr>
              <w:pStyle w:val="TH"/>
              <w:spacing w:line="240" w:lineRule="auto"/>
              <w:jc w:val="right"/>
              <w:rPr>
                <w:rFonts w:cs="Arial"/>
                <w:color w:val="000000" w:themeColor="text1"/>
                <w:sz w:val="20"/>
                <w:lang w:val="hr-HR"/>
              </w:rPr>
            </w:pPr>
            <w:bookmarkStart w:id="789" w:name="_Toc67327569"/>
            <w:r w:rsidRPr="004B4498">
              <w:rPr>
                <w:rFonts w:cs="Arial"/>
                <w:color w:val="000000" w:themeColor="text1"/>
                <w:sz w:val="20"/>
                <w:lang w:val="hr-HR"/>
              </w:rPr>
              <w:t>000 kuna</w:t>
            </w:r>
            <w:bookmarkEnd w:id="789"/>
          </w:p>
        </w:tc>
        <w:tc>
          <w:tcPr>
            <w:tcW w:w="682" w:type="pct"/>
          </w:tcPr>
          <w:p w14:paraId="0608088A" w14:textId="77777777" w:rsidR="004E2F51" w:rsidRPr="004B4498" w:rsidRDefault="004E2F51" w:rsidP="00E032FC">
            <w:pPr>
              <w:pStyle w:val="TH"/>
              <w:spacing w:line="240" w:lineRule="auto"/>
              <w:jc w:val="right"/>
              <w:rPr>
                <w:rFonts w:cs="Arial"/>
                <w:color w:val="000000" w:themeColor="text1"/>
                <w:sz w:val="20"/>
                <w:lang w:val="hr-HR"/>
              </w:rPr>
            </w:pPr>
            <w:bookmarkStart w:id="790" w:name="_Toc67327570"/>
            <w:r w:rsidRPr="004B4498">
              <w:rPr>
                <w:rFonts w:cs="Arial"/>
                <w:color w:val="000000" w:themeColor="text1"/>
                <w:sz w:val="20"/>
                <w:lang w:val="hr-HR"/>
              </w:rPr>
              <w:t>000 kuna</w:t>
            </w:r>
            <w:bookmarkEnd w:id="790"/>
          </w:p>
        </w:tc>
        <w:tc>
          <w:tcPr>
            <w:tcW w:w="681" w:type="pct"/>
          </w:tcPr>
          <w:p w14:paraId="7D3C5BAA" w14:textId="77777777" w:rsidR="004E2F51" w:rsidRPr="004B4498" w:rsidRDefault="004E2F51" w:rsidP="00E032FC">
            <w:pPr>
              <w:pStyle w:val="TH"/>
              <w:spacing w:line="240" w:lineRule="auto"/>
              <w:jc w:val="right"/>
              <w:rPr>
                <w:rFonts w:cs="Arial"/>
                <w:color w:val="000000" w:themeColor="text1"/>
                <w:sz w:val="20"/>
                <w:lang w:val="hr-HR"/>
              </w:rPr>
            </w:pPr>
            <w:bookmarkStart w:id="791" w:name="_Toc67327571"/>
            <w:r w:rsidRPr="004B4498">
              <w:rPr>
                <w:rFonts w:cs="Arial"/>
                <w:color w:val="000000" w:themeColor="text1"/>
                <w:sz w:val="20"/>
                <w:lang w:val="hr-HR"/>
              </w:rPr>
              <w:t>000 kuna</w:t>
            </w:r>
            <w:bookmarkEnd w:id="791"/>
          </w:p>
        </w:tc>
        <w:tc>
          <w:tcPr>
            <w:tcW w:w="680" w:type="pct"/>
          </w:tcPr>
          <w:p w14:paraId="0F95782E" w14:textId="77777777" w:rsidR="004E2F51" w:rsidRPr="004B4498" w:rsidRDefault="004E2F51" w:rsidP="00E032FC">
            <w:pPr>
              <w:pStyle w:val="TH"/>
              <w:spacing w:line="240" w:lineRule="auto"/>
              <w:jc w:val="right"/>
              <w:rPr>
                <w:rFonts w:cs="Arial"/>
                <w:color w:val="000000" w:themeColor="text1"/>
                <w:sz w:val="20"/>
                <w:lang w:val="hr-HR"/>
              </w:rPr>
            </w:pPr>
            <w:bookmarkStart w:id="792" w:name="_Toc67327572"/>
            <w:r w:rsidRPr="004B4498">
              <w:rPr>
                <w:rFonts w:cs="Arial"/>
                <w:color w:val="000000" w:themeColor="text1"/>
                <w:sz w:val="20"/>
                <w:lang w:val="hr-HR"/>
              </w:rPr>
              <w:t>000 kuna</w:t>
            </w:r>
            <w:bookmarkEnd w:id="792"/>
          </w:p>
        </w:tc>
      </w:tr>
      <w:tr w:rsidR="004E2F51" w:rsidRPr="006E538D" w14:paraId="73AA2DCB" w14:textId="77777777" w:rsidTr="00E032FC">
        <w:trPr>
          <w:trHeight w:val="443"/>
        </w:trPr>
        <w:tc>
          <w:tcPr>
            <w:tcW w:w="2276" w:type="pct"/>
          </w:tcPr>
          <w:p w14:paraId="784AEC62" w14:textId="77777777" w:rsidR="004E2F51" w:rsidRPr="004B4498" w:rsidRDefault="004E2F51" w:rsidP="00E032FC">
            <w:pPr>
              <w:tabs>
                <w:tab w:val="left" w:pos="-720"/>
              </w:tabs>
              <w:rPr>
                <w:rFonts w:ascii="Arial" w:hAnsi="Arial" w:cs="Arial"/>
                <w:b/>
                <w:color w:val="000000" w:themeColor="text1"/>
                <w:spacing w:val="-3"/>
                <w:sz w:val="20"/>
                <w:szCs w:val="20"/>
                <w:lang w:val="hr-HR"/>
              </w:rPr>
            </w:pPr>
            <w:r w:rsidRPr="004B4498">
              <w:rPr>
                <w:rFonts w:ascii="Arial" w:hAnsi="Arial" w:cs="Arial"/>
                <w:b/>
                <w:color w:val="000000" w:themeColor="text1"/>
                <w:spacing w:val="-3"/>
                <w:sz w:val="20"/>
                <w:szCs w:val="20"/>
                <w:lang w:val="hr-HR"/>
              </w:rPr>
              <w:t>Prihodi od naknada i provizija iz ugovora s kupcima:</w:t>
            </w:r>
          </w:p>
        </w:tc>
        <w:tc>
          <w:tcPr>
            <w:tcW w:w="681" w:type="pct"/>
          </w:tcPr>
          <w:p w14:paraId="6D5B5506"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c>
          <w:tcPr>
            <w:tcW w:w="682" w:type="pct"/>
          </w:tcPr>
          <w:p w14:paraId="63D9B6E5"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c>
          <w:tcPr>
            <w:tcW w:w="681" w:type="pct"/>
          </w:tcPr>
          <w:p w14:paraId="324A68CD"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c>
          <w:tcPr>
            <w:tcW w:w="680" w:type="pct"/>
          </w:tcPr>
          <w:p w14:paraId="6BA352BE"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r>
      <w:tr w:rsidR="004E2F51" w:rsidRPr="00EA1BFF" w14:paraId="411006E2" w14:textId="77777777" w:rsidTr="00E032FC">
        <w:tc>
          <w:tcPr>
            <w:tcW w:w="2276" w:type="pct"/>
            <w:vAlign w:val="bottom"/>
          </w:tcPr>
          <w:p w14:paraId="62ABBECD" w14:textId="77777777" w:rsidR="004E2F51" w:rsidRPr="004B4498" w:rsidRDefault="004E2F51" w:rsidP="00E032FC">
            <w:pPr>
              <w:pStyle w:val="TT"/>
              <w:spacing w:line="240" w:lineRule="auto"/>
              <w:rPr>
                <w:rFonts w:cs="Arial"/>
                <w:color w:val="000000" w:themeColor="text1"/>
                <w:sz w:val="20"/>
                <w:lang w:val="hr-HR"/>
              </w:rPr>
            </w:pPr>
            <w:bookmarkStart w:id="793" w:name="_Toc67327573"/>
            <w:r w:rsidRPr="004B4498">
              <w:rPr>
                <w:rFonts w:cs="Arial"/>
                <w:color w:val="000000" w:themeColor="text1"/>
                <w:sz w:val="20"/>
                <w:lang w:val="hr-HR"/>
              </w:rPr>
              <w:t>Upravljanje imovinom - po poslovima u ime i za račun</w:t>
            </w:r>
            <w:bookmarkEnd w:id="793"/>
          </w:p>
        </w:tc>
        <w:tc>
          <w:tcPr>
            <w:tcW w:w="681" w:type="pct"/>
            <w:tcBorders>
              <w:top w:val="nil"/>
              <w:left w:val="nil"/>
              <w:bottom w:val="nil"/>
              <w:right w:val="nil"/>
            </w:tcBorders>
            <w:shd w:val="clear" w:color="auto" w:fill="auto"/>
            <w:vAlign w:val="bottom"/>
          </w:tcPr>
          <w:p w14:paraId="71C3BAA0" w14:textId="77777777" w:rsidR="004E2F51" w:rsidRPr="004B4498" w:rsidRDefault="004E2F51" w:rsidP="00E032FC">
            <w:pPr>
              <w:pStyle w:val="TT"/>
              <w:spacing w:line="240" w:lineRule="auto"/>
              <w:jc w:val="right"/>
              <w:rPr>
                <w:rFonts w:cs="Arial"/>
                <w:color w:val="000000" w:themeColor="text1"/>
                <w:sz w:val="20"/>
                <w:lang w:val="hr-HR"/>
              </w:rPr>
            </w:pPr>
            <w:r w:rsidRPr="005A1C64">
              <w:rPr>
                <w:rFonts w:cs="Arial"/>
                <w:color w:val="000000" w:themeColor="text1"/>
                <w:sz w:val="20"/>
                <w:lang w:val="hr-HR"/>
              </w:rPr>
              <w:t xml:space="preserve"> 17.554 </w:t>
            </w:r>
          </w:p>
        </w:tc>
        <w:tc>
          <w:tcPr>
            <w:tcW w:w="682" w:type="pct"/>
            <w:tcBorders>
              <w:top w:val="nil"/>
              <w:left w:val="nil"/>
              <w:bottom w:val="nil"/>
              <w:right w:val="nil"/>
            </w:tcBorders>
            <w:shd w:val="clear" w:color="auto" w:fill="auto"/>
            <w:vAlign w:val="bottom"/>
          </w:tcPr>
          <w:p w14:paraId="7CDB8B80"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22.079</w:t>
            </w:r>
          </w:p>
        </w:tc>
        <w:tc>
          <w:tcPr>
            <w:tcW w:w="681" w:type="pct"/>
            <w:tcBorders>
              <w:top w:val="nil"/>
              <w:left w:val="nil"/>
              <w:bottom w:val="nil"/>
              <w:right w:val="nil"/>
            </w:tcBorders>
            <w:shd w:val="clear" w:color="auto" w:fill="auto"/>
            <w:vAlign w:val="bottom"/>
          </w:tcPr>
          <w:p w14:paraId="0D83A59D" w14:textId="77777777" w:rsidR="004E2F51" w:rsidRPr="004B4498" w:rsidRDefault="004E2F51" w:rsidP="00E032FC">
            <w:pPr>
              <w:pStyle w:val="TT"/>
              <w:spacing w:line="240" w:lineRule="auto"/>
              <w:jc w:val="right"/>
              <w:rPr>
                <w:rFonts w:cs="Arial"/>
                <w:color w:val="000000" w:themeColor="text1"/>
                <w:sz w:val="20"/>
                <w:lang w:val="hr-HR"/>
              </w:rPr>
            </w:pPr>
            <w:r w:rsidRPr="005A1C64">
              <w:rPr>
                <w:rFonts w:cs="Arial"/>
                <w:color w:val="000000" w:themeColor="text1"/>
                <w:sz w:val="20"/>
                <w:lang w:val="hr-HR"/>
              </w:rPr>
              <w:t xml:space="preserve"> 17.554 </w:t>
            </w:r>
          </w:p>
        </w:tc>
        <w:tc>
          <w:tcPr>
            <w:tcW w:w="680" w:type="pct"/>
            <w:tcBorders>
              <w:top w:val="nil"/>
              <w:left w:val="nil"/>
              <w:bottom w:val="nil"/>
              <w:right w:val="nil"/>
            </w:tcBorders>
            <w:shd w:val="clear" w:color="auto" w:fill="auto"/>
            <w:vAlign w:val="bottom"/>
          </w:tcPr>
          <w:p w14:paraId="0E75321C"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22.079</w:t>
            </w:r>
          </w:p>
        </w:tc>
      </w:tr>
      <w:tr w:rsidR="004E2F51" w:rsidRPr="00EA1BFF" w14:paraId="3BDD9D63" w14:textId="77777777" w:rsidTr="00E032FC">
        <w:tc>
          <w:tcPr>
            <w:tcW w:w="2276" w:type="pct"/>
            <w:vAlign w:val="bottom"/>
          </w:tcPr>
          <w:p w14:paraId="1EE4D41C" w14:textId="77777777" w:rsidR="004E2F51" w:rsidRPr="004B4498" w:rsidRDefault="004E2F51" w:rsidP="00E032FC">
            <w:pPr>
              <w:pStyle w:val="TT"/>
              <w:spacing w:line="240" w:lineRule="auto"/>
              <w:rPr>
                <w:rFonts w:cs="Arial"/>
                <w:color w:val="000000" w:themeColor="text1"/>
                <w:sz w:val="20"/>
                <w:lang w:val="hr-HR"/>
              </w:rPr>
            </w:pPr>
            <w:bookmarkStart w:id="794" w:name="_Toc67327578"/>
            <w:r w:rsidRPr="004B4498">
              <w:rPr>
                <w:rFonts w:cs="Arial"/>
                <w:color w:val="000000" w:themeColor="text1"/>
                <w:sz w:val="20"/>
                <w:lang w:val="hr-HR"/>
              </w:rPr>
              <w:t>Po osnovi platnog prometa</w:t>
            </w:r>
            <w:bookmarkEnd w:id="794"/>
          </w:p>
        </w:tc>
        <w:tc>
          <w:tcPr>
            <w:tcW w:w="681" w:type="pct"/>
            <w:tcBorders>
              <w:top w:val="nil"/>
              <w:left w:val="nil"/>
              <w:bottom w:val="nil"/>
              <w:right w:val="nil"/>
            </w:tcBorders>
            <w:shd w:val="clear" w:color="auto" w:fill="auto"/>
            <w:vAlign w:val="bottom"/>
          </w:tcPr>
          <w:p w14:paraId="4BA9FF00" w14:textId="77777777" w:rsidR="004E2F51" w:rsidRPr="004B4498" w:rsidRDefault="004E2F51" w:rsidP="00E032FC">
            <w:pPr>
              <w:pStyle w:val="TT"/>
              <w:spacing w:line="240" w:lineRule="auto"/>
              <w:jc w:val="right"/>
              <w:rPr>
                <w:rFonts w:cs="Arial"/>
                <w:color w:val="000000" w:themeColor="text1"/>
                <w:sz w:val="20"/>
                <w:lang w:val="hr-HR"/>
              </w:rPr>
            </w:pPr>
            <w:r w:rsidRPr="005A1C64">
              <w:rPr>
                <w:rFonts w:cs="Arial"/>
                <w:color w:val="000000" w:themeColor="text1"/>
                <w:sz w:val="20"/>
                <w:lang w:val="hr-HR"/>
              </w:rPr>
              <w:t xml:space="preserve"> 244 </w:t>
            </w:r>
          </w:p>
        </w:tc>
        <w:tc>
          <w:tcPr>
            <w:tcW w:w="682" w:type="pct"/>
            <w:tcBorders>
              <w:top w:val="nil"/>
              <w:left w:val="nil"/>
              <w:bottom w:val="nil"/>
              <w:right w:val="nil"/>
            </w:tcBorders>
            <w:shd w:val="clear" w:color="auto" w:fill="auto"/>
            <w:vAlign w:val="bottom"/>
          </w:tcPr>
          <w:p w14:paraId="53A8921E"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164</w:t>
            </w:r>
          </w:p>
        </w:tc>
        <w:tc>
          <w:tcPr>
            <w:tcW w:w="681" w:type="pct"/>
            <w:tcBorders>
              <w:top w:val="nil"/>
              <w:left w:val="nil"/>
              <w:bottom w:val="nil"/>
              <w:right w:val="nil"/>
            </w:tcBorders>
            <w:shd w:val="clear" w:color="auto" w:fill="auto"/>
            <w:vAlign w:val="bottom"/>
          </w:tcPr>
          <w:p w14:paraId="04FA710D" w14:textId="77777777" w:rsidR="004E2F51" w:rsidRPr="004B4498" w:rsidRDefault="004E2F51" w:rsidP="00E032FC">
            <w:pPr>
              <w:pStyle w:val="TT"/>
              <w:spacing w:line="240" w:lineRule="auto"/>
              <w:jc w:val="right"/>
              <w:rPr>
                <w:rFonts w:cs="Arial"/>
                <w:color w:val="000000" w:themeColor="text1"/>
                <w:sz w:val="20"/>
                <w:lang w:val="hr-HR"/>
              </w:rPr>
            </w:pPr>
            <w:r w:rsidRPr="005A1C64">
              <w:rPr>
                <w:rFonts w:cs="Arial"/>
                <w:color w:val="000000" w:themeColor="text1"/>
                <w:sz w:val="20"/>
                <w:lang w:val="hr-HR"/>
              </w:rPr>
              <w:t xml:space="preserve"> 244 </w:t>
            </w:r>
          </w:p>
        </w:tc>
        <w:tc>
          <w:tcPr>
            <w:tcW w:w="680" w:type="pct"/>
            <w:tcBorders>
              <w:top w:val="nil"/>
              <w:left w:val="nil"/>
              <w:bottom w:val="nil"/>
              <w:right w:val="nil"/>
            </w:tcBorders>
            <w:shd w:val="clear" w:color="auto" w:fill="auto"/>
            <w:vAlign w:val="bottom"/>
          </w:tcPr>
          <w:p w14:paraId="16CFC5A2"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164</w:t>
            </w:r>
          </w:p>
        </w:tc>
      </w:tr>
      <w:tr w:rsidR="004E2F51" w:rsidRPr="00EA1BFF" w14:paraId="36D6C8AC" w14:textId="77777777" w:rsidTr="00E032FC">
        <w:tc>
          <w:tcPr>
            <w:tcW w:w="2276" w:type="pct"/>
            <w:vAlign w:val="bottom"/>
          </w:tcPr>
          <w:p w14:paraId="3FEBA805" w14:textId="77777777" w:rsidR="004E2F51" w:rsidRPr="004B4498" w:rsidRDefault="004E2F51" w:rsidP="00E032FC">
            <w:pPr>
              <w:pStyle w:val="TT"/>
              <w:spacing w:line="240" w:lineRule="auto"/>
              <w:rPr>
                <w:rFonts w:cs="Arial"/>
                <w:color w:val="000000" w:themeColor="text1"/>
                <w:sz w:val="20"/>
                <w:lang w:val="hr-HR"/>
              </w:rPr>
            </w:pPr>
            <w:bookmarkStart w:id="795" w:name="_Toc67327583"/>
            <w:r w:rsidRPr="004B4498">
              <w:rPr>
                <w:rFonts w:cs="Arial"/>
                <w:color w:val="000000" w:themeColor="text1"/>
                <w:sz w:val="20"/>
                <w:lang w:val="hr-HR"/>
              </w:rPr>
              <w:t>Ostalo</w:t>
            </w:r>
            <w:bookmarkEnd w:id="795"/>
          </w:p>
        </w:tc>
        <w:tc>
          <w:tcPr>
            <w:tcW w:w="681" w:type="pct"/>
            <w:tcBorders>
              <w:top w:val="nil"/>
              <w:left w:val="nil"/>
              <w:bottom w:val="nil"/>
              <w:right w:val="nil"/>
            </w:tcBorders>
            <w:shd w:val="clear" w:color="auto" w:fill="auto"/>
            <w:vAlign w:val="bottom"/>
          </w:tcPr>
          <w:p w14:paraId="4E99A57A" w14:textId="77777777" w:rsidR="004E2F51" w:rsidRPr="004B4498" w:rsidRDefault="004E2F51" w:rsidP="00E032FC">
            <w:pPr>
              <w:pStyle w:val="TT"/>
              <w:spacing w:line="240" w:lineRule="auto"/>
              <w:jc w:val="right"/>
              <w:rPr>
                <w:rFonts w:cs="Arial"/>
                <w:color w:val="000000" w:themeColor="text1"/>
                <w:sz w:val="20"/>
                <w:lang w:val="hr-HR"/>
              </w:rPr>
            </w:pPr>
            <w:r w:rsidRPr="005A1C64">
              <w:rPr>
                <w:rFonts w:cs="Arial"/>
                <w:color w:val="000000" w:themeColor="text1"/>
                <w:sz w:val="20"/>
                <w:lang w:val="hr-HR"/>
              </w:rPr>
              <w:t xml:space="preserve"> 33 </w:t>
            </w:r>
          </w:p>
        </w:tc>
        <w:tc>
          <w:tcPr>
            <w:tcW w:w="682" w:type="pct"/>
            <w:tcBorders>
              <w:top w:val="nil"/>
              <w:left w:val="nil"/>
              <w:bottom w:val="nil"/>
              <w:right w:val="nil"/>
            </w:tcBorders>
            <w:shd w:val="clear" w:color="auto" w:fill="auto"/>
            <w:vAlign w:val="bottom"/>
          </w:tcPr>
          <w:p w14:paraId="776E151B"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36</w:t>
            </w:r>
          </w:p>
        </w:tc>
        <w:tc>
          <w:tcPr>
            <w:tcW w:w="681" w:type="pct"/>
            <w:tcBorders>
              <w:top w:val="nil"/>
              <w:left w:val="nil"/>
              <w:bottom w:val="nil"/>
              <w:right w:val="nil"/>
            </w:tcBorders>
            <w:shd w:val="clear" w:color="auto" w:fill="auto"/>
            <w:vAlign w:val="bottom"/>
          </w:tcPr>
          <w:p w14:paraId="552C9A34" w14:textId="77777777" w:rsidR="004E2F51" w:rsidRPr="004B4498" w:rsidRDefault="004E2F51" w:rsidP="00E032FC">
            <w:pPr>
              <w:pStyle w:val="TT"/>
              <w:spacing w:line="240" w:lineRule="auto"/>
              <w:jc w:val="right"/>
              <w:rPr>
                <w:rFonts w:cs="Arial"/>
                <w:color w:val="000000" w:themeColor="text1"/>
                <w:sz w:val="20"/>
                <w:lang w:val="hr-HR"/>
              </w:rPr>
            </w:pPr>
            <w:r w:rsidRPr="005A1C64">
              <w:rPr>
                <w:rFonts w:cs="Arial"/>
                <w:color w:val="000000" w:themeColor="text1"/>
                <w:sz w:val="20"/>
                <w:lang w:val="hr-HR"/>
              </w:rPr>
              <w:t xml:space="preserve"> 33 </w:t>
            </w:r>
          </w:p>
        </w:tc>
        <w:tc>
          <w:tcPr>
            <w:tcW w:w="680" w:type="pct"/>
            <w:tcBorders>
              <w:top w:val="nil"/>
              <w:left w:val="nil"/>
              <w:bottom w:val="nil"/>
              <w:right w:val="nil"/>
            </w:tcBorders>
            <w:shd w:val="clear" w:color="auto" w:fill="auto"/>
            <w:vAlign w:val="bottom"/>
          </w:tcPr>
          <w:p w14:paraId="2B249E39"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36</w:t>
            </w:r>
          </w:p>
        </w:tc>
      </w:tr>
      <w:tr w:rsidR="004E2F51" w:rsidRPr="00EA1BFF" w14:paraId="5113CC0E" w14:textId="77777777" w:rsidTr="00E032FC">
        <w:tc>
          <w:tcPr>
            <w:tcW w:w="2276" w:type="pct"/>
            <w:vAlign w:val="bottom"/>
          </w:tcPr>
          <w:p w14:paraId="68DD51C3" w14:textId="77777777" w:rsidR="004E2F51" w:rsidRPr="004B4498" w:rsidRDefault="004E2F51" w:rsidP="00E032FC">
            <w:pPr>
              <w:pStyle w:val="Tot"/>
              <w:spacing w:line="240" w:lineRule="auto"/>
              <w:rPr>
                <w:rFonts w:cs="Arial"/>
                <w:b/>
                <w:bCs/>
                <w:color w:val="000000" w:themeColor="text1"/>
                <w:sz w:val="20"/>
                <w:lang w:val="hr-HR"/>
              </w:rPr>
            </w:pPr>
            <w:bookmarkStart w:id="796" w:name="_Toc67327586"/>
            <w:r w:rsidRPr="004B4498">
              <w:rPr>
                <w:rFonts w:cs="Arial"/>
                <w:b/>
                <w:bCs/>
                <w:color w:val="000000" w:themeColor="text1"/>
                <w:sz w:val="20"/>
                <w:lang w:val="hr-HR"/>
              </w:rPr>
              <w:t>Ukupne naknade i provizije iz ugovora s kupcima</w:t>
            </w:r>
            <w:bookmarkEnd w:id="796"/>
          </w:p>
        </w:tc>
        <w:tc>
          <w:tcPr>
            <w:tcW w:w="681" w:type="pct"/>
            <w:tcBorders>
              <w:top w:val="single" w:sz="4" w:space="0" w:color="auto"/>
              <w:bottom w:val="single" w:sz="12" w:space="0" w:color="auto"/>
            </w:tcBorders>
            <w:vAlign w:val="bottom"/>
          </w:tcPr>
          <w:p w14:paraId="0D969988" w14:textId="77777777" w:rsidR="004E2F51" w:rsidRPr="004B4498" w:rsidRDefault="004E2F51" w:rsidP="00E032FC">
            <w:pPr>
              <w:jc w:val="right"/>
              <w:rPr>
                <w:rFonts w:ascii="Arial" w:hAnsi="Arial" w:cs="Arial"/>
                <w:b/>
                <w:bCs/>
                <w:color w:val="000000" w:themeColor="text1"/>
                <w:sz w:val="20"/>
                <w:szCs w:val="20"/>
              </w:rPr>
            </w:pPr>
            <w:r w:rsidRPr="005A1C64">
              <w:rPr>
                <w:rFonts w:ascii="Arial" w:hAnsi="Arial" w:cs="Arial"/>
                <w:b/>
                <w:bCs/>
                <w:color w:val="000000" w:themeColor="text1"/>
                <w:sz w:val="20"/>
                <w:szCs w:val="20"/>
              </w:rPr>
              <w:t>17.831</w:t>
            </w:r>
          </w:p>
        </w:tc>
        <w:tc>
          <w:tcPr>
            <w:tcW w:w="682" w:type="pct"/>
            <w:tcBorders>
              <w:top w:val="single" w:sz="4" w:space="0" w:color="auto"/>
              <w:bottom w:val="single" w:sz="12" w:space="0" w:color="auto"/>
            </w:tcBorders>
            <w:vAlign w:val="bottom"/>
          </w:tcPr>
          <w:p w14:paraId="658CBB43" w14:textId="77777777" w:rsidR="004E2F51" w:rsidRPr="004B4498" w:rsidRDefault="004E2F51" w:rsidP="00E032FC">
            <w:pPr>
              <w:jc w:val="right"/>
              <w:rPr>
                <w:rFonts w:ascii="Arial" w:hAnsi="Arial" w:cs="Arial"/>
                <w:b/>
                <w:bCs/>
                <w:color w:val="000000" w:themeColor="text1"/>
                <w:sz w:val="20"/>
                <w:szCs w:val="20"/>
              </w:rPr>
            </w:pPr>
            <w:r w:rsidRPr="0046584E">
              <w:rPr>
                <w:rFonts w:ascii="Arial" w:hAnsi="Arial" w:cs="Arial"/>
                <w:b/>
                <w:bCs/>
                <w:color w:val="000000" w:themeColor="text1"/>
                <w:sz w:val="20"/>
                <w:szCs w:val="20"/>
              </w:rPr>
              <w:t>22.279</w:t>
            </w:r>
          </w:p>
        </w:tc>
        <w:tc>
          <w:tcPr>
            <w:tcW w:w="681" w:type="pct"/>
            <w:tcBorders>
              <w:top w:val="single" w:sz="4" w:space="0" w:color="auto"/>
              <w:bottom w:val="single" w:sz="12" w:space="0" w:color="auto"/>
            </w:tcBorders>
            <w:vAlign w:val="bottom"/>
          </w:tcPr>
          <w:p w14:paraId="62F8F6C5" w14:textId="77777777" w:rsidR="004E2F51" w:rsidRPr="004B4498" w:rsidRDefault="004E2F51" w:rsidP="00E032FC">
            <w:pPr>
              <w:jc w:val="right"/>
              <w:rPr>
                <w:rFonts w:ascii="Arial" w:hAnsi="Arial" w:cs="Arial"/>
                <w:b/>
                <w:bCs/>
                <w:color w:val="000000" w:themeColor="text1"/>
                <w:sz w:val="20"/>
                <w:szCs w:val="20"/>
              </w:rPr>
            </w:pPr>
            <w:r w:rsidRPr="005A1C64">
              <w:rPr>
                <w:rFonts w:ascii="Arial" w:hAnsi="Arial" w:cs="Arial"/>
                <w:b/>
                <w:bCs/>
                <w:color w:val="000000" w:themeColor="text1"/>
                <w:sz w:val="20"/>
                <w:szCs w:val="20"/>
              </w:rPr>
              <w:t>17.831</w:t>
            </w:r>
          </w:p>
        </w:tc>
        <w:tc>
          <w:tcPr>
            <w:tcW w:w="680" w:type="pct"/>
            <w:tcBorders>
              <w:top w:val="single" w:sz="4" w:space="0" w:color="auto"/>
              <w:bottom w:val="single" w:sz="12" w:space="0" w:color="auto"/>
            </w:tcBorders>
            <w:vAlign w:val="bottom"/>
          </w:tcPr>
          <w:p w14:paraId="041FBFF5" w14:textId="77777777" w:rsidR="004E2F51" w:rsidRPr="004B4498" w:rsidRDefault="004E2F51" w:rsidP="00E032FC">
            <w:pPr>
              <w:jc w:val="right"/>
              <w:rPr>
                <w:rFonts w:ascii="Arial" w:hAnsi="Arial" w:cs="Arial"/>
                <w:b/>
                <w:bCs/>
                <w:color w:val="000000" w:themeColor="text1"/>
                <w:sz w:val="20"/>
                <w:szCs w:val="20"/>
              </w:rPr>
            </w:pPr>
            <w:r w:rsidRPr="0046584E">
              <w:rPr>
                <w:rFonts w:ascii="Arial" w:hAnsi="Arial" w:cs="Arial"/>
                <w:b/>
                <w:bCs/>
                <w:color w:val="000000" w:themeColor="text1"/>
                <w:sz w:val="20"/>
                <w:szCs w:val="20"/>
              </w:rPr>
              <w:t>22.279</w:t>
            </w:r>
          </w:p>
        </w:tc>
      </w:tr>
      <w:tr w:rsidR="004E2F51" w:rsidRPr="00EA1BFF" w14:paraId="56AB66BA" w14:textId="77777777" w:rsidTr="00E032FC">
        <w:tc>
          <w:tcPr>
            <w:tcW w:w="2276" w:type="pct"/>
            <w:vAlign w:val="bottom"/>
          </w:tcPr>
          <w:p w14:paraId="7F881BCF" w14:textId="77777777" w:rsidR="004E2F51" w:rsidRPr="004B4498" w:rsidRDefault="004E2F51" w:rsidP="00E032FC">
            <w:pPr>
              <w:pStyle w:val="Tot"/>
              <w:spacing w:line="240" w:lineRule="auto"/>
              <w:rPr>
                <w:rFonts w:cs="Arial"/>
                <w:bCs/>
                <w:color w:val="000000" w:themeColor="text1"/>
                <w:sz w:val="20"/>
                <w:lang w:val="hr-HR"/>
              </w:rPr>
            </w:pPr>
            <w:bookmarkStart w:id="797" w:name="_Toc67327587"/>
            <w:r w:rsidRPr="004B4498">
              <w:rPr>
                <w:rFonts w:cs="Arial"/>
                <w:bCs/>
                <w:color w:val="000000" w:themeColor="text1"/>
                <w:sz w:val="20"/>
                <w:lang w:val="hr-HR"/>
              </w:rPr>
              <w:t>Po izdanim garancijama</w:t>
            </w:r>
            <w:bookmarkEnd w:id="797"/>
          </w:p>
        </w:tc>
        <w:tc>
          <w:tcPr>
            <w:tcW w:w="681" w:type="pct"/>
            <w:tcBorders>
              <w:top w:val="single" w:sz="4" w:space="0" w:color="auto"/>
            </w:tcBorders>
            <w:vAlign w:val="bottom"/>
          </w:tcPr>
          <w:p w14:paraId="239FD587" w14:textId="77777777" w:rsidR="004E2F51" w:rsidRPr="004B4498" w:rsidRDefault="004E2F51" w:rsidP="00E032FC">
            <w:pPr>
              <w:pStyle w:val="Tot"/>
              <w:spacing w:line="240" w:lineRule="auto"/>
              <w:jc w:val="right"/>
              <w:rPr>
                <w:rFonts w:cs="Arial"/>
                <w:color w:val="000000" w:themeColor="text1"/>
                <w:sz w:val="20"/>
                <w:lang w:val="hr-HR"/>
              </w:rPr>
            </w:pPr>
            <w:r w:rsidRPr="005A1C64">
              <w:rPr>
                <w:rFonts w:cs="Arial"/>
                <w:color w:val="000000" w:themeColor="text1"/>
                <w:sz w:val="20"/>
                <w:lang w:val="hr-HR"/>
              </w:rPr>
              <w:t>5.471</w:t>
            </w:r>
          </w:p>
        </w:tc>
        <w:tc>
          <w:tcPr>
            <w:tcW w:w="682" w:type="pct"/>
            <w:tcBorders>
              <w:top w:val="single" w:sz="4" w:space="0" w:color="auto"/>
            </w:tcBorders>
            <w:vAlign w:val="bottom"/>
          </w:tcPr>
          <w:p w14:paraId="45CF634D" w14:textId="77777777" w:rsidR="004E2F51" w:rsidRPr="004B4498" w:rsidRDefault="004E2F51" w:rsidP="00E032FC">
            <w:pPr>
              <w:pStyle w:val="Tot"/>
              <w:spacing w:line="240" w:lineRule="auto"/>
              <w:jc w:val="right"/>
              <w:rPr>
                <w:rFonts w:cs="Arial"/>
                <w:color w:val="000000" w:themeColor="text1"/>
                <w:sz w:val="20"/>
                <w:lang w:val="hr-HR"/>
              </w:rPr>
            </w:pPr>
            <w:r w:rsidRPr="0046584E">
              <w:rPr>
                <w:rFonts w:cs="Arial"/>
                <w:color w:val="000000" w:themeColor="text1"/>
                <w:sz w:val="20"/>
                <w:lang w:val="hr-HR"/>
              </w:rPr>
              <w:t>6.225</w:t>
            </w:r>
          </w:p>
        </w:tc>
        <w:tc>
          <w:tcPr>
            <w:tcW w:w="681" w:type="pct"/>
            <w:tcBorders>
              <w:top w:val="single" w:sz="4" w:space="0" w:color="auto"/>
            </w:tcBorders>
            <w:vAlign w:val="bottom"/>
          </w:tcPr>
          <w:p w14:paraId="402150D9" w14:textId="77777777" w:rsidR="004E2F51" w:rsidRPr="004B4498" w:rsidRDefault="004E2F51" w:rsidP="00E032FC">
            <w:pPr>
              <w:jc w:val="right"/>
              <w:rPr>
                <w:rFonts w:ascii="Arial" w:hAnsi="Arial" w:cs="Arial"/>
                <w:color w:val="000000" w:themeColor="text1"/>
                <w:sz w:val="20"/>
                <w:szCs w:val="20"/>
                <w:lang w:val="hr-HR"/>
              </w:rPr>
            </w:pPr>
            <w:r w:rsidRPr="005A1C64">
              <w:rPr>
                <w:rFonts w:ascii="Arial" w:hAnsi="Arial" w:cs="Arial"/>
                <w:color w:val="000000" w:themeColor="text1"/>
                <w:sz w:val="20"/>
                <w:szCs w:val="20"/>
                <w:lang w:val="hr-HR"/>
              </w:rPr>
              <w:t>5.471</w:t>
            </w:r>
          </w:p>
        </w:tc>
        <w:tc>
          <w:tcPr>
            <w:tcW w:w="680" w:type="pct"/>
            <w:tcBorders>
              <w:top w:val="single" w:sz="4" w:space="0" w:color="auto"/>
            </w:tcBorders>
            <w:vAlign w:val="bottom"/>
          </w:tcPr>
          <w:p w14:paraId="5927606F"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6.225</w:t>
            </w:r>
          </w:p>
        </w:tc>
      </w:tr>
      <w:tr w:rsidR="004E2F51" w:rsidRPr="00EA1BFF" w14:paraId="01B0FE21" w14:textId="77777777" w:rsidTr="00E032FC">
        <w:tc>
          <w:tcPr>
            <w:tcW w:w="2276" w:type="pct"/>
            <w:vAlign w:val="bottom"/>
          </w:tcPr>
          <w:p w14:paraId="0890D6B3" w14:textId="77777777" w:rsidR="004E2F51" w:rsidRPr="004B4498" w:rsidRDefault="004E2F51" w:rsidP="00E032FC">
            <w:pPr>
              <w:pStyle w:val="TT"/>
              <w:spacing w:line="240" w:lineRule="auto"/>
              <w:rPr>
                <w:rFonts w:cs="Arial"/>
                <w:color w:val="000000" w:themeColor="text1"/>
                <w:sz w:val="20"/>
                <w:lang w:val="hr-HR"/>
              </w:rPr>
            </w:pPr>
            <w:bookmarkStart w:id="798" w:name="_Toc67327590"/>
            <w:r w:rsidRPr="004B4498">
              <w:rPr>
                <w:rFonts w:cs="Arial"/>
                <w:color w:val="000000" w:themeColor="text1"/>
                <w:sz w:val="20"/>
                <w:lang w:val="hr-HR"/>
              </w:rPr>
              <w:t>Prihodi od provizija po reosiguranju</w:t>
            </w:r>
            <w:bookmarkEnd w:id="798"/>
          </w:p>
        </w:tc>
        <w:tc>
          <w:tcPr>
            <w:tcW w:w="681" w:type="pct"/>
            <w:tcBorders>
              <w:top w:val="nil"/>
              <w:left w:val="nil"/>
              <w:bottom w:val="nil"/>
              <w:right w:val="nil"/>
            </w:tcBorders>
            <w:shd w:val="clear" w:color="auto" w:fill="auto"/>
            <w:vAlign w:val="bottom"/>
          </w:tcPr>
          <w:p w14:paraId="37893E6F" w14:textId="77777777" w:rsidR="004E2F51" w:rsidRPr="004B4498" w:rsidRDefault="004E2F51" w:rsidP="00E032FC">
            <w:pPr>
              <w:pStyle w:val="TT"/>
              <w:spacing w:line="240" w:lineRule="auto"/>
              <w:jc w:val="right"/>
              <w:rPr>
                <w:rFonts w:cs="Arial"/>
                <w:color w:val="000000" w:themeColor="text1"/>
                <w:sz w:val="20"/>
                <w:lang w:val="hr-HR"/>
              </w:rPr>
            </w:pPr>
            <w:r w:rsidRPr="005A1C64">
              <w:rPr>
                <w:rFonts w:cs="Arial"/>
                <w:color w:val="000000" w:themeColor="text1"/>
                <w:sz w:val="20"/>
                <w:lang w:val="hr-HR"/>
              </w:rPr>
              <w:t>3.877</w:t>
            </w:r>
          </w:p>
        </w:tc>
        <w:tc>
          <w:tcPr>
            <w:tcW w:w="682" w:type="pct"/>
            <w:tcBorders>
              <w:top w:val="nil"/>
              <w:left w:val="nil"/>
              <w:bottom w:val="nil"/>
              <w:right w:val="nil"/>
            </w:tcBorders>
            <w:shd w:val="clear" w:color="auto" w:fill="auto"/>
            <w:vAlign w:val="bottom"/>
          </w:tcPr>
          <w:p w14:paraId="272D0503"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3.318</w:t>
            </w:r>
          </w:p>
        </w:tc>
        <w:tc>
          <w:tcPr>
            <w:tcW w:w="681" w:type="pct"/>
            <w:tcBorders>
              <w:top w:val="nil"/>
              <w:left w:val="nil"/>
              <w:bottom w:val="nil"/>
              <w:right w:val="nil"/>
            </w:tcBorders>
            <w:shd w:val="clear" w:color="auto" w:fill="auto"/>
            <w:vAlign w:val="bottom"/>
          </w:tcPr>
          <w:p w14:paraId="05261205" w14:textId="77777777" w:rsidR="004E2F51" w:rsidRPr="004B4498" w:rsidRDefault="004E2F51" w:rsidP="00E032FC">
            <w:pPr>
              <w:pStyle w:val="TT"/>
              <w:spacing w:line="240" w:lineRule="auto"/>
              <w:jc w:val="right"/>
              <w:rPr>
                <w:rFonts w:cs="Arial"/>
                <w:color w:val="000000" w:themeColor="text1"/>
                <w:sz w:val="20"/>
                <w:lang w:val="hr-HR"/>
              </w:rPr>
            </w:pPr>
            <w:r>
              <w:rPr>
                <w:rFonts w:cs="Arial"/>
                <w:color w:val="000000" w:themeColor="text1"/>
                <w:sz w:val="20"/>
                <w:lang w:val="hr-HR"/>
              </w:rPr>
              <w:t>-</w:t>
            </w:r>
          </w:p>
        </w:tc>
        <w:tc>
          <w:tcPr>
            <w:tcW w:w="680" w:type="pct"/>
            <w:tcBorders>
              <w:top w:val="nil"/>
              <w:left w:val="nil"/>
              <w:bottom w:val="nil"/>
              <w:right w:val="nil"/>
            </w:tcBorders>
            <w:shd w:val="clear" w:color="auto" w:fill="auto"/>
            <w:vAlign w:val="bottom"/>
          </w:tcPr>
          <w:p w14:paraId="208DF9B3"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w:t>
            </w:r>
          </w:p>
        </w:tc>
      </w:tr>
      <w:tr w:rsidR="004E2F51" w:rsidRPr="00EA1BFF" w14:paraId="6425EB84" w14:textId="77777777" w:rsidTr="00E032FC">
        <w:tc>
          <w:tcPr>
            <w:tcW w:w="2276" w:type="pct"/>
            <w:vAlign w:val="bottom"/>
          </w:tcPr>
          <w:p w14:paraId="7E11F101" w14:textId="77777777" w:rsidR="004E2F51" w:rsidRPr="004B4498" w:rsidRDefault="004E2F51" w:rsidP="00E032FC">
            <w:pPr>
              <w:pStyle w:val="Tot"/>
              <w:spacing w:line="240" w:lineRule="auto"/>
              <w:rPr>
                <w:rFonts w:cs="Arial"/>
                <w:b/>
                <w:bCs/>
                <w:color w:val="000000" w:themeColor="text1"/>
                <w:sz w:val="20"/>
                <w:lang w:val="hr-HR"/>
              </w:rPr>
            </w:pPr>
            <w:bookmarkStart w:id="799" w:name="_Toc67327595"/>
            <w:r w:rsidRPr="004B4498">
              <w:rPr>
                <w:rFonts w:cs="Arial"/>
                <w:b/>
                <w:bCs/>
                <w:color w:val="000000" w:themeColor="text1"/>
                <w:sz w:val="20"/>
                <w:lang w:val="hr-HR"/>
              </w:rPr>
              <w:t>Prihodi od naknada i provizija</w:t>
            </w:r>
            <w:bookmarkEnd w:id="799"/>
          </w:p>
        </w:tc>
        <w:tc>
          <w:tcPr>
            <w:tcW w:w="681" w:type="pct"/>
            <w:tcBorders>
              <w:top w:val="single" w:sz="4" w:space="0" w:color="auto"/>
            </w:tcBorders>
            <w:vAlign w:val="bottom"/>
          </w:tcPr>
          <w:p w14:paraId="1157BC56" w14:textId="77777777" w:rsidR="004E2F51" w:rsidRPr="004B4498" w:rsidRDefault="004E2F51" w:rsidP="00E032FC">
            <w:pPr>
              <w:pStyle w:val="Tot"/>
              <w:spacing w:line="240" w:lineRule="auto"/>
              <w:jc w:val="right"/>
              <w:rPr>
                <w:rFonts w:cs="Arial"/>
                <w:b/>
                <w:bCs/>
                <w:color w:val="000000" w:themeColor="text1"/>
                <w:sz w:val="20"/>
                <w:lang w:val="hr-HR"/>
              </w:rPr>
            </w:pPr>
            <w:r w:rsidRPr="005A1C64">
              <w:rPr>
                <w:rFonts w:cs="Arial"/>
                <w:b/>
                <w:bCs/>
                <w:color w:val="000000" w:themeColor="text1"/>
                <w:sz w:val="20"/>
                <w:lang w:val="hr-HR"/>
              </w:rPr>
              <w:t>27.179</w:t>
            </w:r>
          </w:p>
        </w:tc>
        <w:tc>
          <w:tcPr>
            <w:tcW w:w="682" w:type="pct"/>
            <w:tcBorders>
              <w:top w:val="single" w:sz="4" w:space="0" w:color="auto"/>
            </w:tcBorders>
            <w:vAlign w:val="bottom"/>
          </w:tcPr>
          <w:p w14:paraId="6DE0FB4B" w14:textId="77777777" w:rsidR="004E2F51" w:rsidRPr="004B4498" w:rsidRDefault="004E2F51" w:rsidP="00E032FC">
            <w:pPr>
              <w:pStyle w:val="Tot"/>
              <w:spacing w:line="240" w:lineRule="auto"/>
              <w:jc w:val="right"/>
              <w:rPr>
                <w:rFonts w:cs="Arial"/>
                <w:b/>
                <w:bCs/>
                <w:color w:val="000000" w:themeColor="text1"/>
                <w:sz w:val="20"/>
                <w:lang w:val="hr-HR"/>
              </w:rPr>
            </w:pPr>
            <w:r w:rsidRPr="0046584E">
              <w:rPr>
                <w:rFonts w:cs="Arial"/>
                <w:b/>
                <w:bCs/>
                <w:color w:val="000000" w:themeColor="text1"/>
                <w:sz w:val="20"/>
                <w:lang w:val="hr-HR"/>
              </w:rPr>
              <w:t>31.822</w:t>
            </w:r>
          </w:p>
        </w:tc>
        <w:tc>
          <w:tcPr>
            <w:tcW w:w="681" w:type="pct"/>
            <w:tcBorders>
              <w:top w:val="single" w:sz="4" w:space="0" w:color="auto"/>
            </w:tcBorders>
            <w:vAlign w:val="bottom"/>
          </w:tcPr>
          <w:p w14:paraId="6B155418" w14:textId="77777777" w:rsidR="004E2F51" w:rsidRPr="004B4498" w:rsidRDefault="004E2F51" w:rsidP="00E032FC">
            <w:pPr>
              <w:jc w:val="right"/>
              <w:rPr>
                <w:rFonts w:ascii="Arial" w:hAnsi="Arial" w:cs="Arial"/>
                <w:b/>
                <w:bCs/>
                <w:color w:val="000000" w:themeColor="text1"/>
                <w:sz w:val="20"/>
                <w:szCs w:val="20"/>
                <w:lang w:val="hr-HR"/>
              </w:rPr>
            </w:pPr>
            <w:r w:rsidRPr="005A1C64">
              <w:rPr>
                <w:rFonts w:ascii="Arial" w:hAnsi="Arial" w:cs="Arial"/>
                <w:b/>
                <w:bCs/>
                <w:color w:val="000000" w:themeColor="text1"/>
                <w:sz w:val="20"/>
                <w:szCs w:val="20"/>
                <w:lang w:val="hr-HR"/>
              </w:rPr>
              <w:t>23.302</w:t>
            </w:r>
          </w:p>
        </w:tc>
        <w:tc>
          <w:tcPr>
            <w:tcW w:w="680" w:type="pct"/>
            <w:tcBorders>
              <w:top w:val="single" w:sz="4" w:space="0" w:color="auto"/>
            </w:tcBorders>
            <w:vAlign w:val="bottom"/>
          </w:tcPr>
          <w:p w14:paraId="2C4813A2" w14:textId="77777777" w:rsidR="004E2F51" w:rsidRPr="004B4498" w:rsidRDefault="004E2F51" w:rsidP="00E032FC">
            <w:pPr>
              <w:jc w:val="right"/>
              <w:rPr>
                <w:rFonts w:ascii="Arial" w:hAnsi="Arial" w:cs="Arial"/>
                <w:b/>
                <w:color w:val="000000" w:themeColor="text1"/>
                <w:sz w:val="20"/>
                <w:szCs w:val="20"/>
                <w:lang w:val="hr-HR"/>
              </w:rPr>
            </w:pPr>
            <w:r w:rsidRPr="0046584E">
              <w:rPr>
                <w:rFonts w:ascii="Arial" w:hAnsi="Arial" w:cs="Arial"/>
                <w:b/>
                <w:bCs/>
                <w:color w:val="000000" w:themeColor="text1"/>
                <w:sz w:val="20"/>
                <w:szCs w:val="20"/>
                <w:lang w:val="hr-HR"/>
              </w:rPr>
              <w:t>28.504</w:t>
            </w:r>
          </w:p>
        </w:tc>
      </w:tr>
      <w:tr w:rsidR="004E2F51" w:rsidRPr="00EA1BFF" w14:paraId="1E445E75" w14:textId="77777777" w:rsidTr="00E032FC">
        <w:tblPrEx>
          <w:tblCellMar>
            <w:left w:w="119" w:type="dxa"/>
            <w:right w:w="119" w:type="dxa"/>
          </w:tblCellMar>
        </w:tblPrEx>
        <w:trPr>
          <w:trHeight w:hRule="exact" w:val="284"/>
        </w:trPr>
        <w:tc>
          <w:tcPr>
            <w:tcW w:w="2276" w:type="pct"/>
            <w:vAlign w:val="bottom"/>
          </w:tcPr>
          <w:p w14:paraId="1DC9139A" w14:textId="77777777" w:rsidR="004E2F51" w:rsidRPr="004B4498" w:rsidRDefault="004E2F51" w:rsidP="00E032FC">
            <w:pPr>
              <w:pStyle w:val="TT"/>
              <w:spacing w:line="240" w:lineRule="auto"/>
              <w:rPr>
                <w:rFonts w:cs="Arial"/>
                <w:color w:val="000000" w:themeColor="text1"/>
                <w:sz w:val="20"/>
                <w:lang w:val="hr-HR"/>
              </w:rPr>
            </w:pPr>
            <w:bookmarkStart w:id="800" w:name="_Toc67327598"/>
            <w:r w:rsidRPr="004B4498">
              <w:rPr>
                <w:rFonts w:cs="Arial"/>
                <w:color w:val="000000" w:themeColor="text1"/>
                <w:sz w:val="20"/>
                <w:lang w:val="hr-HR"/>
              </w:rPr>
              <w:t>Rashodi od naknada i provizija</w:t>
            </w:r>
            <w:bookmarkEnd w:id="800"/>
          </w:p>
        </w:tc>
        <w:tc>
          <w:tcPr>
            <w:tcW w:w="681" w:type="pct"/>
            <w:tcBorders>
              <w:bottom w:val="single" w:sz="4" w:space="0" w:color="auto"/>
            </w:tcBorders>
            <w:vAlign w:val="bottom"/>
          </w:tcPr>
          <w:p w14:paraId="4601BCF5" w14:textId="77777777" w:rsidR="004E2F51" w:rsidRPr="004B4498" w:rsidRDefault="004E2F51" w:rsidP="00E032FC">
            <w:pPr>
              <w:pStyle w:val="TT"/>
              <w:spacing w:line="240" w:lineRule="auto"/>
              <w:jc w:val="right"/>
              <w:rPr>
                <w:rFonts w:cs="Arial"/>
                <w:color w:val="000000" w:themeColor="text1"/>
                <w:sz w:val="20"/>
                <w:lang w:val="hr-HR"/>
              </w:rPr>
            </w:pPr>
            <w:r w:rsidRPr="005A1C64">
              <w:rPr>
                <w:rFonts w:cs="Arial"/>
                <w:color w:val="000000" w:themeColor="text1"/>
                <w:sz w:val="20"/>
                <w:lang w:val="hr-HR"/>
              </w:rPr>
              <w:t>(3.910)</w:t>
            </w:r>
          </w:p>
        </w:tc>
        <w:tc>
          <w:tcPr>
            <w:tcW w:w="682" w:type="pct"/>
            <w:tcBorders>
              <w:bottom w:val="single" w:sz="4" w:space="0" w:color="auto"/>
            </w:tcBorders>
            <w:vAlign w:val="bottom"/>
          </w:tcPr>
          <w:p w14:paraId="4BBADDD1"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(5.056)</w:t>
            </w:r>
          </w:p>
        </w:tc>
        <w:tc>
          <w:tcPr>
            <w:tcW w:w="681" w:type="pct"/>
            <w:tcBorders>
              <w:bottom w:val="single" w:sz="4" w:space="0" w:color="auto"/>
            </w:tcBorders>
            <w:vAlign w:val="bottom"/>
          </w:tcPr>
          <w:p w14:paraId="5ADC7A75" w14:textId="77777777" w:rsidR="004E2F51" w:rsidRPr="004B4498" w:rsidRDefault="004E2F51" w:rsidP="00E032FC">
            <w:pPr>
              <w:jc w:val="right"/>
              <w:rPr>
                <w:rFonts w:ascii="Arial" w:hAnsi="Arial" w:cs="Arial"/>
                <w:bCs/>
                <w:color w:val="000000" w:themeColor="text1"/>
                <w:sz w:val="20"/>
                <w:szCs w:val="20"/>
                <w:lang w:val="hr-HR"/>
              </w:rPr>
            </w:pPr>
            <w:r w:rsidRPr="005A1C64">
              <w:rPr>
                <w:rFonts w:ascii="Arial" w:hAnsi="Arial" w:cs="Arial"/>
                <w:bCs/>
                <w:color w:val="000000" w:themeColor="text1"/>
                <w:sz w:val="20"/>
                <w:szCs w:val="20"/>
                <w:lang w:val="hr-HR"/>
              </w:rPr>
              <w:t>(3.910)</w:t>
            </w:r>
          </w:p>
        </w:tc>
        <w:tc>
          <w:tcPr>
            <w:tcW w:w="680" w:type="pct"/>
            <w:tcBorders>
              <w:bottom w:val="single" w:sz="4" w:space="0" w:color="auto"/>
            </w:tcBorders>
            <w:vAlign w:val="bottom"/>
          </w:tcPr>
          <w:p w14:paraId="5752CB0C" w14:textId="77777777" w:rsidR="004E2F51" w:rsidRPr="004B4498" w:rsidRDefault="004E2F51" w:rsidP="00E032FC">
            <w:pPr>
              <w:jc w:val="right"/>
              <w:rPr>
                <w:rFonts w:ascii="Arial" w:hAnsi="Arial" w:cs="Arial"/>
                <w:bCs/>
                <w:color w:val="000000" w:themeColor="text1"/>
                <w:sz w:val="20"/>
                <w:szCs w:val="20"/>
                <w:lang w:val="hr-HR"/>
              </w:rPr>
            </w:pPr>
            <w:r w:rsidRPr="0046584E">
              <w:rPr>
                <w:rFonts w:ascii="Arial" w:hAnsi="Arial" w:cs="Arial"/>
                <w:bCs/>
                <w:color w:val="000000" w:themeColor="text1"/>
                <w:sz w:val="20"/>
                <w:szCs w:val="20"/>
                <w:lang w:val="hr-HR"/>
              </w:rPr>
              <w:t>(5.056)</w:t>
            </w:r>
          </w:p>
        </w:tc>
      </w:tr>
      <w:tr w:rsidR="004E2F51" w:rsidRPr="00EA1BFF" w14:paraId="24EDD7D4" w14:textId="77777777" w:rsidTr="00E032FC">
        <w:tblPrEx>
          <w:tblCellMar>
            <w:left w:w="119" w:type="dxa"/>
            <w:right w:w="119" w:type="dxa"/>
          </w:tblCellMar>
        </w:tblPrEx>
        <w:trPr>
          <w:trHeight w:hRule="exact" w:val="340"/>
        </w:trPr>
        <w:tc>
          <w:tcPr>
            <w:tcW w:w="2276" w:type="pct"/>
            <w:vAlign w:val="bottom"/>
          </w:tcPr>
          <w:p w14:paraId="3FE872D7"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b/>
                <w:color w:val="000000" w:themeColor="text1"/>
                <w:sz w:val="20"/>
                <w:szCs w:val="20"/>
                <w:lang w:val="hr-HR"/>
              </w:rPr>
              <w:t>Neto prihodi od naknada i provizija</w:t>
            </w:r>
          </w:p>
        </w:tc>
        <w:tc>
          <w:tcPr>
            <w:tcW w:w="681" w:type="pct"/>
            <w:tcBorders>
              <w:top w:val="single" w:sz="4" w:space="0" w:color="auto"/>
              <w:bottom w:val="single" w:sz="12" w:space="0" w:color="auto"/>
            </w:tcBorders>
            <w:vAlign w:val="bottom"/>
          </w:tcPr>
          <w:p w14:paraId="538A6EC2" w14:textId="77777777" w:rsidR="004E2F51" w:rsidRPr="004B4498" w:rsidRDefault="004E2F51" w:rsidP="00E032FC">
            <w:pPr>
              <w:pStyle w:val="Tot"/>
              <w:spacing w:line="240" w:lineRule="auto"/>
              <w:jc w:val="right"/>
              <w:rPr>
                <w:rFonts w:cs="Arial"/>
                <w:b/>
                <w:bCs/>
                <w:color w:val="000000" w:themeColor="text1"/>
                <w:sz w:val="20"/>
                <w:lang w:val="hr-HR"/>
              </w:rPr>
            </w:pPr>
            <w:r w:rsidRPr="005A1C64">
              <w:rPr>
                <w:rFonts w:cs="Arial"/>
                <w:b/>
                <w:bCs/>
                <w:color w:val="000000" w:themeColor="text1"/>
                <w:sz w:val="20"/>
                <w:lang w:val="hr-HR"/>
              </w:rPr>
              <w:t>23.269</w:t>
            </w:r>
          </w:p>
        </w:tc>
        <w:tc>
          <w:tcPr>
            <w:tcW w:w="682" w:type="pct"/>
            <w:tcBorders>
              <w:top w:val="single" w:sz="4" w:space="0" w:color="auto"/>
              <w:bottom w:val="single" w:sz="12" w:space="0" w:color="auto"/>
            </w:tcBorders>
            <w:vAlign w:val="bottom"/>
          </w:tcPr>
          <w:p w14:paraId="00C7DB5A" w14:textId="77777777" w:rsidR="004E2F51" w:rsidRPr="004B4498" w:rsidRDefault="004E2F51" w:rsidP="00E032FC">
            <w:pPr>
              <w:pStyle w:val="Tot"/>
              <w:spacing w:line="240" w:lineRule="auto"/>
              <w:jc w:val="right"/>
              <w:rPr>
                <w:rFonts w:cs="Arial"/>
                <w:b/>
                <w:bCs/>
                <w:color w:val="000000" w:themeColor="text1"/>
                <w:sz w:val="20"/>
                <w:lang w:val="hr-HR"/>
              </w:rPr>
            </w:pPr>
            <w:r w:rsidRPr="0046584E">
              <w:rPr>
                <w:rFonts w:cs="Arial"/>
                <w:b/>
                <w:bCs/>
                <w:color w:val="000000" w:themeColor="text1"/>
                <w:sz w:val="20"/>
                <w:lang w:val="hr-HR"/>
              </w:rPr>
              <w:t>26.766</w:t>
            </w:r>
          </w:p>
        </w:tc>
        <w:tc>
          <w:tcPr>
            <w:tcW w:w="681" w:type="pct"/>
            <w:tcBorders>
              <w:top w:val="single" w:sz="4" w:space="0" w:color="auto"/>
              <w:bottom w:val="single" w:sz="12" w:space="0" w:color="auto"/>
            </w:tcBorders>
            <w:vAlign w:val="bottom"/>
          </w:tcPr>
          <w:p w14:paraId="0E36BB21" w14:textId="77777777" w:rsidR="004E2F51" w:rsidRPr="004B4498" w:rsidRDefault="004E2F51" w:rsidP="00E032FC">
            <w:pPr>
              <w:jc w:val="right"/>
              <w:rPr>
                <w:rFonts w:ascii="Arial" w:hAnsi="Arial" w:cs="Arial"/>
                <w:b/>
                <w:bCs/>
                <w:color w:val="000000" w:themeColor="text1"/>
                <w:sz w:val="20"/>
                <w:szCs w:val="20"/>
                <w:lang w:val="hr-HR"/>
              </w:rPr>
            </w:pPr>
            <w:r w:rsidRPr="005A1C64">
              <w:rPr>
                <w:rFonts w:ascii="Arial" w:hAnsi="Arial" w:cs="Arial"/>
                <w:b/>
                <w:bCs/>
                <w:color w:val="000000" w:themeColor="text1"/>
                <w:sz w:val="20"/>
                <w:szCs w:val="20"/>
                <w:lang w:val="hr-HR"/>
              </w:rPr>
              <w:t>19.392</w:t>
            </w:r>
          </w:p>
        </w:tc>
        <w:tc>
          <w:tcPr>
            <w:tcW w:w="680" w:type="pct"/>
            <w:tcBorders>
              <w:top w:val="single" w:sz="4" w:space="0" w:color="auto"/>
              <w:bottom w:val="single" w:sz="12" w:space="0" w:color="auto"/>
            </w:tcBorders>
            <w:vAlign w:val="bottom"/>
          </w:tcPr>
          <w:p w14:paraId="64B593A4" w14:textId="77777777" w:rsidR="004E2F51" w:rsidRPr="004B4498" w:rsidRDefault="004E2F51" w:rsidP="00E032FC">
            <w:pPr>
              <w:jc w:val="right"/>
              <w:rPr>
                <w:rFonts w:ascii="Arial" w:hAnsi="Arial" w:cs="Arial"/>
                <w:b/>
                <w:bCs/>
                <w:color w:val="000000" w:themeColor="text1"/>
                <w:sz w:val="20"/>
                <w:szCs w:val="20"/>
                <w:lang w:val="hr-HR"/>
              </w:rPr>
            </w:pPr>
            <w:r w:rsidRPr="0046584E">
              <w:rPr>
                <w:rFonts w:ascii="Arial" w:hAnsi="Arial" w:cs="Arial"/>
                <w:b/>
                <w:bCs/>
                <w:color w:val="000000" w:themeColor="text1"/>
                <w:sz w:val="20"/>
                <w:szCs w:val="20"/>
                <w:lang w:val="hr-HR"/>
              </w:rPr>
              <w:t>23.448</w:t>
            </w:r>
          </w:p>
        </w:tc>
      </w:tr>
    </w:tbl>
    <w:p w14:paraId="537DA8B2" w14:textId="77777777" w:rsidR="004E2F51" w:rsidRPr="004B4498" w:rsidRDefault="004E2F51" w:rsidP="004E2F51">
      <w:pPr>
        <w:jc w:val="both"/>
        <w:rPr>
          <w:rFonts w:ascii="Arial" w:hAnsi="Arial" w:cs="Arial"/>
          <w:bCs/>
          <w:color w:val="000000" w:themeColor="text1"/>
          <w:sz w:val="20"/>
          <w:szCs w:val="20"/>
          <w:lang w:val="hr-HR"/>
        </w:rPr>
        <w:sectPr w:rsidR="004E2F51" w:rsidRPr="004B4498" w:rsidSect="00623DBA">
          <w:footerReference w:type="default" r:id="rId114"/>
          <w:pgSz w:w="11907" w:h="16840" w:code="9"/>
          <w:pgMar w:top="1418" w:right="1134" w:bottom="1134" w:left="1418" w:header="851" w:footer="851" w:gutter="0"/>
          <w:cols w:space="720"/>
          <w:noEndnote/>
        </w:sectPr>
      </w:pPr>
    </w:p>
    <w:p w14:paraId="16BD95D9" w14:textId="77777777" w:rsidR="004E2F51" w:rsidRPr="004B4498" w:rsidRDefault="004E2F51" w:rsidP="004E2F51">
      <w:pPr>
        <w:pStyle w:val="T1"/>
        <w:spacing w:before="0" w:after="0" w:line="240" w:lineRule="auto"/>
        <w:rPr>
          <w:rFonts w:cs="Arial"/>
          <w:bCs w:val="0"/>
          <w:color w:val="000000" w:themeColor="text1"/>
          <w:sz w:val="20"/>
          <w:lang w:val="hr-HR"/>
        </w:rPr>
      </w:pPr>
    </w:p>
    <w:p w14:paraId="022A6FDE" w14:textId="77777777" w:rsidR="004E2F51" w:rsidRPr="004B4498" w:rsidRDefault="004E2F51" w:rsidP="004E2F51">
      <w:pPr>
        <w:pStyle w:val="T1"/>
        <w:tabs>
          <w:tab w:val="left" w:pos="567"/>
        </w:tabs>
        <w:spacing w:before="0" w:after="0" w:line="240" w:lineRule="auto"/>
        <w:rPr>
          <w:rFonts w:cs="Arial"/>
          <w:bCs w:val="0"/>
          <w:color w:val="000000" w:themeColor="text1"/>
          <w:sz w:val="20"/>
          <w:lang w:val="hr-HR"/>
        </w:rPr>
      </w:pPr>
      <w:r w:rsidRPr="004B4498">
        <w:rPr>
          <w:rFonts w:cs="Arial"/>
          <w:bCs w:val="0"/>
          <w:color w:val="000000" w:themeColor="text1"/>
          <w:sz w:val="20"/>
          <w:lang w:val="hr-HR"/>
        </w:rPr>
        <w:t>8.</w:t>
      </w:r>
      <w:r w:rsidRPr="004B4498">
        <w:rPr>
          <w:rFonts w:cs="Arial"/>
          <w:bCs w:val="0"/>
          <w:color w:val="000000" w:themeColor="text1"/>
          <w:sz w:val="20"/>
          <w:lang w:val="hr-HR"/>
        </w:rPr>
        <w:tab/>
        <w:t>Neto prihodi/(rashodi) od financijskih aktivnosti</w:t>
      </w:r>
    </w:p>
    <w:p w14:paraId="31123672" w14:textId="77777777" w:rsidR="004E2F51" w:rsidRPr="004B4498" w:rsidRDefault="004E2F51" w:rsidP="004E2F51">
      <w:pPr>
        <w:pStyle w:val="Thin"/>
        <w:rPr>
          <w:rFonts w:cs="Arial"/>
          <w:color w:val="000000" w:themeColor="text1"/>
          <w:sz w:val="20"/>
          <w:lang w:val="hr-HR"/>
        </w:rPr>
      </w:pPr>
    </w:p>
    <w:tbl>
      <w:tblPr>
        <w:tblpPr w:leftFromText="181" w:rightFromText="181" w:vertAnchor="text" w:horzAnchor="margin" w:tblpX="-142" w:tblpY="63"/>
        <w:tblW w:w="5217" w:type="pct"/>
        <w:tblLayout w:type="fixed"/>
        <w:tblCellMar>
          <w:left w:w="122" w:type="dxa"/>
          <w:right w:w="122" w:type="dxa"/>
        </w:tblCellMar>
        <w:tblLook w:val="0000" w:firstRow="0" w:lastRow="0" w:firstColumn="0" w:lastColumn="0" w:noHBand="0" w:noVBand="0"/>
      </w:tblPr>
      <w:tblGrid>
        <w:gridCol w:w="4827"/>
        <w:gridCol w:w="1234"/>
        <w:gridCol w:w="1236"/>
        <w:gridCol w:w="1234"/>
        <w:gridCol w:w="1230"/>
      </w:tblGrid>
      <w:tr w:rsidR="004E2F51" w:rsidRPr="008B361C" w14:paraId="19864E6B" w14:textId="77777777" w:rsidTr="00E032FC">
        <w:trPr>
          <w:trHeight w:val="288"/>
        </w:trPr>
        <w:tc>
          <w:tcPr>
            <w:tcW w:w="2473" w:type="pct"/>
          </w:tcPr>
          <w:p w14:paraId="22BF7FFF" w14:textId="77777777" w:rsidR="004E2F51" w:rsidRPr="004B4498" w:rsidRDefault="004E2F51" w:rsidP="00E032FC">
            <w:pPr>
              <w:pStyle w:val="TH"/>
              <w:rPr>
                <w:rFonts w:cs="Arial"/>
                <w:color w:val="000000" w:themeColor="text1"/>
                <w:sz w:val="20"/>
                <w:lang w:val="hr-HR"/>
              </w:rPr>
            </w:pPr>
          </w:p>
        </w:tc>
        <w:tc>
          <w:tcPr>
            <w:tcW w:w="1265" w:type="pct"/>
            <w:gridSpan w:val="2"/>
            <w:vAlign w:val="bottom"/>
          </w:tcPr>
          <w:p w14:paraId="279E162E" w14:textId="77777777" w:rsidR="004E2F51" w:rsidRPr="004B4498" w:rsidRDefault="004E2F51" w:rsidP="00E032FC">
            <w:pPr>
              <w:pStyle w:val="TH"/>
              <w:jc w:val="right"/>
              <w:rPr>
                <w:rFonts w:cs="Arial"/>
                <w:color w:val="000000" w:themeColor="text1"/>
                <w:sz w:val="20"/>
                <w:lang w:val="hr-HR"/>
              </w:rPr>
            </w:pPr>
            <w:bookmarkStart w:id="801" w:name="_Toc67327603"/>
            <w:r w:rsidRPr="004B4498">
              <w:rPr>
                <w:rFonts w:cs="Arial"/>
                <w:color w:val="000000" w:themeColor="text1"/>
                <w:sz w:val="20"/>
                <w:lang w:val="hr-HR"/>
              </w:rPr>
              <w:t>Grupa</w:t>
            </w:r>
            <w:bookmarkEnd w:id="801"/>
          </w:p>
        </w:tc>
        <w:tc>
          <w:tcPr>
            <w:tcW w:w="1262" w:type="pct"/>
            <w:gridSpan w:val="2"/>
            <w:vAlign w:val="bottom"/>
          </w:tcPr>
          <w:p w14:paraId="76C5B38E" w14:textId="77777777" w:rsidR="004E2F51" w:rsidRPr="004B4498" w:rsidRDefault="004E2F51" w:rsidP="00E032FC">
            <w:pPr>
              <w:pStyle w:val="TH"/>
              <w:jc w:val="right"/>
              <w:rPr>
                <w:rFonts w:cs="Arial"/>
                <w:color w:val="000000" w:themeColor="text1"/>
                <w:sz w:val="20"/>
                <w:lang w:val="hr-HR"/>
              </w:rPr>
            </w:pPr>
            <w:bookmarkStart w:id="802" w:name="_Toc67327604"/>
            <w:r w:rsidRPr="004B4498">
              <w:rPr>
                <w:rFonts w:cs="Arial"/>
                <w:color w:val="000000" w:themeColor="text1"/>
                <w:sz w:val="20"/>
                <w:lang w:val="hr-HR"/>
              </w:rPr>
              <w:t>Banka</w:t>
            </w:r>
            <w:bookmarkEnd w:id="802"/>
          </w:p>
        </w:tc>
      </w:tr>
      <w:tr w:rsidR="004E2F51" w:rsidRPr="008B361C" w14:paraId="5A4B9F03" w14:textId="77777777" w:rsidTr="00E032FC">
        <w:trPr>
          <w:trHeight w:val="120"/>
        </w:trPr>
        <w:tc>
          <w:tcPr>
            <w:tcW w:w="2473" w:type="pct"/>
          </w:tcPr>
          <w:p w14:paraId="507B0DDA" w14:textId="77777777" w:rsidR="004E2F51" w:rsidRPr="004B4498" w:rsidRDefault="004E2F51" w:rsidP="00E032FC">
            <w:pPr>
              <w:pStyle w:val="TH"/>
              <w:rPr>
                <w:rFonts w:cs="Arial"/>
                <w:color w:val="000000" w:themeColor="text1"/>
                <w:sz w:val="20"/>
                <w:lang w:val="hr-HR"/>
              </w:rPr>
            </w:pPr>
          </w:p>
        </w:tc>
        <w:tc>
          <w:tcPr>
            <w:tcW w:w="632" w:type="pct"/>
            <w:vAlign w:val="bottom"/>
          </w:tcPr>
          <w:p w14:paraId="1BCF39C4" w14:textId="77777777" w:rsidR="004E2F51" w:rsidRPr="004B4498" w:rsidRDefault="004E2F51" w:rsidP="00E032FC">
            <w:pPr>
              <w:pStyle w:val="TH"/>
              <w:spacing w:line="240" w:lineRule="auto"/>
              <w:jc w:val="right"/>
              <w:rPr>
                <w:rFonts w:cs="Arial"/>
                <w:color w:val="000000" w:themeColor="text1"/>
                <w:sz w:val="20"/>
                <w:lang w:val="hr-HR"/>
              </w:rPr>
            </w:pPr>
            <w:bookmarkStart w:id="803" w:name="_Toc67327605"/>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803"/>
          </w:p>
        </w:tc>
        <w:tc>
          <w:tcPr>
            <w:tcW w:w="633" w:type="pct"/>
            <w:vAlign w:val="bottom"/>
          </w:tcPr>
          <w:p w14:paraId="77E7D84F" w14:textId="77777777" w:rsidR="004E2F51" w:rsidRPr="004B4498" w:rsidRDefault="004E2F51" w:rsidP="00E032FC">
            <w:pPr>
              <w:pStyle w:val="TH"/>
              <w:spacing w:line="240" w:lineRule="auto"/>
              <w:jc w:val="right"/>
              <w:rPr>
                <w:rFonts w:cs="Arial"/>
                <w:color w:val="000000" w:themeColor="text1"/>
                <w:sz w:val="20"/>
                <w:lang w:val="hr-HR"/>
              </w:rPr>
            </w:pPr>
            <w:bookmarkStart w:id="804" w:name="_Toc67327606"/>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804"/>
          </w:p>
        </w:tc>
        <w:tc>
          <w:tcPr>
            <w:tcW w:w="632" w:type="pct"/>
            <w:vAlign w:val="bottom"/>
          </w:tcPr>
          <w:p w14:paraId="1462532D" w14:textId="77777777" w:rsidR="004E2F51" w:rsidRPr="004B4498" w:rsidRDefault="004E2F51" w:rsidP="00E032FC">
            <w:pPr>
              <w:pStyle w:val="TH"/>
              <w:spacing w:line="240" w:lineRule="auto"/>
              <w:jc w:val="right"/>
              <w:rPr>
                <w:rFonts w:cs="Arial"/>
                <w:color w:val="000000" w:themeColor="text1"/>
                <w:sz w:val="20"/>
                <w:lang w:val="hr-HR"/>
              </w:rPr>
            </w:pPr>
            <w:bookmarkStart w:id="805" w:name="_Toc67327607"/>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805"/>
          </w:p>
        </w:tc>
        <w:tc>
          <w:tcPr>
            <w:tcW w:w="630" w:type="pct"/>
            <w:vAlign w:val="bottom"/>
          </w:tcPr>
          <w:p w14:paraId="1B1D9E39" w14:textId="77777777" w:rsidR="004E2F51" w:rsidRPr="004B4498" w:rsidRDefault="004E2F51" w:rsidP="00E032FC">
            <w:pPr>
              <w:pStyle w:val="TH"/>
              <w:spacing w:line="240" w:lineRule="auto"/>
              <w:jc w:val="right"/>
              <w:rPr>
                <w:rFonts w:cs="Arial"/>
                <w:color w:val="000000" w:themeColor="text1"/>
                <w:sz w:val="20"/>
                <w:lang w:val="hr-HR"/>
              </w:rPr>
            </w:pPr>
            <w:bookmarkStart w:id="806" w:name="_Toc67327608"/>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806"/>
          </w:p>
        </w:tc>
      </w:tr>
      <w:tr w:rsidR="004E2F51" w:rsidRPr="008B361C" w14:paraId="066F762F" w14:textId="77777777" w:rsidTr="00E032FC">
        <w:trPr>
          <w:trHeight w:val="120"/>
        </w:trPr>
        <w:tc>
          <w:tcPr>
            <w:tcW w:w="2473" w:type="pct"/>
          </w:tcPr>
          <w:p w14:paraId="222019AC" w14:textId="77777777" w:rsidR="004E2F51" w:rsidRPr="004B4498" w:rsidRDefault="004E2F51" w:rsidP="00E032FC">
            <w:pPr>
              <w:pStyle w:val="TH"/>
              <w:rPr>
                <w:rFonts w:cs="Arial"/>
                <w:color w:val="000000" w:themeColor="text1"/>
                <w:sz w:val="20"/>
                <w:lang w:val="hr-HR"/>
              </w:rPr>
            </w:pPr>
          </w:p>
        </w:tc>
        <w:tc>
          <w:tcPr>
            <w:tcW w:w="632" w:type="pct"/>
          </w:tcPr>
          <w:p w14:paraId="44859E52" w14:textId="77777777" w:rsidR="004E2F51" w:rsidRPr="004B4498" w:rsidRDefault="004E2F51" w:rsidP="00E032FC">
            <w:pPr>
              <w:pStyle w:val="TH"/>
              <w:jc w:val="right"/>
              <w:rPr>
                <w:rFonts w:cs="Arial"/>
                <w:color w:val="000000" w:themeColor="text1"/>
                <w:sz w:val="20"/>
                <w:lang w:val="hr-HR"/>
              </w:rPr>
            </w:pPr>
            <w:bookmarkStart w:id="807" w:name="_Toc67327609"/>
            <w:r w:rsidRPr="004B4498">
              <w:rPr>
                <w:rFonts w:cs="Arial"/>
                <w:color w:val="000000" w:themeColor="text1"/>
                <w:sz w:val="20"/>
                <w:lang w:val="hr-HR"/>
              </w:rPr>
              <w:t>000 kuna</w:t>
            </w:r>
            <w:bookmarkEnd w:id="807"/>
          </w:p>
        </w:tc>
        <w:tc>
          <w:tcPr>
            <w:tcW w:w="633" w:type="pct"/>
          </w:tcPr>
          <w:p w14:paraId="55178A87" w14:textId="77777777" w:rsidR="004E2F51" w:rsidRPr="004B4498" w:rsidRDefault="004E2F51" w:rsidP="00E032FC">
            <w:pPr>
              <w:pStyle w:val="TH"/>
              <w:jc w:val="right"/>
              <w:rPr>
                <w:rFonts w:cs="Arial"/>
                <w:color w:val="000000" w:themeColor="text1"/>
                <w:sz w:val="20"/>
                <w:lang w:val="hr-HR"/>
              </w:rPr>
            </w:pPr>
            <w:bookmarkStart w:id="808" w:name="_Toc67327610"/>
            <w:r w:rsidRPr="004B4498">
              <w:rPr>
                <w:rFonts w:cs="Arial"/>
                <w:color w:val="000000" w:themeColor="text1"/>
                <w:sz w:val="20"/>
                <w:lang w:val="hr-HR"/>
              </w:rPr>
              <w:t>000 kuna</w:t>
            </w:r>
            <w:bookmarkEnd w:id="808"/>
          </w:p>
        </w:tc>
        <w:tc>
          <w:tcPr>
            <w:tcW w:w="632" w:type="pct"/>
          </w:tcPr>
          <w:p w14:paraId="032A359D" w14:textId="77777777" w:rsidR="004E2F51" w:rsidRPr="004B4498" w:rsidRDefault="004E2F51" w:rsidP="00E032FC">
            <w:pPr>
              <w:pStyle w:val="TH"/>
              <w:jc w:val="right"/>
              <w:rPr>
                <w:rFonts w:cs="Arial"/>
                <w:color w:val="000000" w:themeColor="text1"/>
                <w:sz w:val="20"/>
                <w:lang w:val="hr-HR"/>
              </w:rPr>
            </w:pPr>
            <w:bookmarkStart w:id="809" w:name="_Toc67327611"/>
            <w:r w:rsidRPr="004B4498">
              <w:rPr>
                <w:rFonts w:cs="Arial"/>
                <w:color w:val="000000" w:themeColor="text1"/>
                <w:sz w:val="20"/>
                <w:lang w:val="hr-HR"/>
              </w:rPr>
              <w:t>000 kuna</w:t>
            </w:r>
            <w:bookmarkEnd w:id="809"/>
          </w:p>
        </w:tc>
        <w:tc>
          <w:tcPr>
            <w:tcW w:w="630" w:type="pct"/>
          </w:tcPr>
          <w:p w14:paraId="05576FFA" w14:textId="77777777" w:rsidR="004E2F51" w:rsidRPr="004B4498" w:rsidRDefault="004E2F51" w:rsidP="00E032FC">
            <w:pPr>
              <w:pStyle w:val="TH"/>
              <w:jc w:val="right"/>
              <w:rPr>
                <w:rFonts w:cs="Arial"/>
                <w:color w:val="000000" w:themeColor="text1"/>
                <w:sz w:val="20"/>
                <w:lang w:val="hr-HR"/>
              </w:rPr>
            </w:pPr>
            <w:bookmarkStart w:id="810" w:name="_Toc67327612"/>
            <w:r w:rsidRPr="004B4498">
              <w:rPr>
                <w:rFonts w:cs="Arial"/>
                <w:color w:val="000000" w:themeColor="text1"/>
                <w:sz w:val="20"/>
                <w:lang w:val="hr-HR"/>
              </w:rPr>
              <w:t>000 kuna</w:t>
            </w:r>
            <w:bookmarkEnd w:id="810"/>
          </w:p>
        </w:tc>
      </w:tr>
      <w:tr w:rsidR="004E2F51" w:rsidRPr="006E538D" w14:paraId="584BB3EF" w14:textId="77777777" w:rsidTr="00E032FC">
        <w:trPr>
          <w:trHeight w:val="57"/>
        </w:trPr>
        <w:tc>
          <w:tcPr>
            <w:tcW w:w="2473" w:type="pct"/>
          </w:tcPr>
          <w:p w14:paraId="7D15A18F" w14:textId="77777777" w:rsidR="004E2F51" w:rsidRPr="004B4498" w:rsidRDefault="004E2F51" w:rsidP="00E032FC">
            <w:pPr>
              <w:pStyle w:val="TT"/>
              <w:rPr>
                <w:rFonts w:cs="Arial"/>
                <w:color w:val="000000" w:themeColor="text1"/>
                <w:sz w:val="20"/>
                <w:lang w:val="hr-HR"/>
              </w:rPr>
            </w:pPr>
            <w:bookmarkStart w:id="811" w:name="_Toc67327613"/>
            <w:r w:rsidRPr="004B4498">
              <w:rPr>
                <w:rFonts w:cs="Arial"/>
                <w:color w:val="000000" w:themeColor="text1"/>
                <w:sz w:val="20"/>
                <w:lang w:val="hr-HR"/>
              </w:rPr>
              <w:t>Neto dobit/(gubitak) od tečajnih razlika s osnova imovine nominirane u stranoj valuti:</w:t>
            </w:r>
            <w:bookmarkEnd w:id="811"/>
          </w:p>
        </w:tc>
        <w:tc>
          <w:tcPr>
            <w:tcW w:w="632" w:type="pct"/>
          </w:tcPr>
          <w:p w14:paraId="41E3DA3F" w14:textId="77777777" w:rsidR="004E2F51" w:rsidRPr="004B4498" w:rsidRDefault="004E2F51" w:rsidP="00E032FC">
            <w:pPr>
              <w:jc w:val="right"/>
              <w:rPr>
                <w:rFonts w:ascii="Arial" w:hAnsi="Arial" w:cs="Arial"/>
                <w:bCs/>
                <w:color w:val="000000" w:themeColor="text1"/>
                <w:sz w:val="20"/>
                <w:szCs w:val="20"/>
                <w:lang w:val="hr-HR"/>
              </w:rPr>
            </w:pPr>
          </w:p>
        </w:tc>
        <w:tc>
          <w:tcPr>
            <w:tcW w:w="633" w:type="pct"/>
          </w:tcPr>
          <w:p w14:paraId="5D387A07" w14:textId="77777777" w:rsidR="004E2F51" w:rsidRPr="004B4498" w:rsidRDefault="004E2F51" w:rsidP="00E032FC">
            <w:pPr>
              <w:jc w:val="right"/>
              <w:rPr>
                <w:rFonts w:ascii="Arial" w:hAnsi="Arial" w:cs="Arial"/>
                <w:bCs/>
                <w:color w:val="000000" w:themeColor="text1"/>
                <w:sz w:val="20"/>
                <w:szCs w:val="20"/>
                <w:lang w:val="hr-HR"/>
              </w:rPr>
            </w:pPr>
          </w:p>
        </w:tc>
        <w:tc>
          <w:tcPr>
            <w:tcW w:w="632" w:type="pct"/>
            <w:vAlign w:val="bottom"/>
          </w:tcPr>
          <w:p w14:paraId="5AAE41E6" w14:textId="77777777" w:rsidR="004E2F51" w:rsidRPr="004B4498" w:rsidRDefault="004E2F51" w:rsidP="00E032FC">
            <w:pPr>
              <w:jc w:val="right"/>
              <w:rPr>
                <w:rFonts w:ascii="Arial" w:hAnsi="Arial" w:cs="Arial"/>
                <w:bCs/>
                <w:color w:val="000000" w:themeColor="text1"/>
                <w:sz w:val="20"/>
                <w:szCs w:val="20"/>
                <w:lang w:val="hr-HR"/>
              </w:rPr>
            </w:pPr>
          </w:p>
        </w:tc>
        <w:tc>
          <w:tcPr>
            <w:tcW w:w="630" w:type="pct"/>
            <w:vAlign w:val="bottom"/>
          </w:tcPr>
          <w:p w14:paraId="6A22E8D9" w14:textId="77777777" w:rsidR="004E2F51" w:rsidRPr="004B4498" w:rsidRDefault="004E2F51" w:rsidP="00E032FC">
            <w:pPr>
              <w:jc w:val="right"/>
              <w:rPr>
                <w:rFonts w:ascii="Arial" w:hAnsi="Arial" w:cs="Arial"/>
                <w:bCs/>
                <w:color w:val="000000" w:themeColor="text1"/>
                <w:sz w:val="20"/>
                <w:szCs w:val="20"/>
                <w:lang w:val="hr-HR"/>
              </w:rPr>
            </w:pPr>
          </w:p>
        </w:tc>
      </w:tr>
      <w:tr w:rsidR="004E2F51" w:rsidRPr="008B361C" w14:paraId="7835F4AD" w14:textId="77777777" w:rsidTr="00E032FC">
        <w:trPr>
          <w:trHeight w:val="280"/>
        </w:trPr>
        <w:tc>
          <w:tcPr>
            <w:tcW w:w="2473" w:type="pct"/>
            <w:vAlign w:val="center"/>
          </w:tcPr>
          <w:p w14:paraId="6B42AF43" w14:textId="77777777" w:rsidR="004E2F51" w:rsidRPr="004B4498" w:rsidRDefault="004E2F51" w:rsidP="00E032FC">
            <w:pPr>
              <w:pStyle w:val="TT"/>
              <w:rPr>
                <w:rFonts w:cs="Arial"/>
                <w:color w:val="000000" w:themeColor="text1"/>
                <w:sz w:val="20"/>
                <w:lang w:val="hr-HR"/>
              </w:rPr>
            </w:pPr>
            <w:r w:rsidRPr="004B4498">
              <w:rPr>
                <w:rFonts w:cs="Arial"/>
                <w:color w:val="000000" w:themeColor="text1"/>
                <w:sz w:val="20"/>
                <w:lang w:val="hr-HR"/>
              </w:rPr>
              <w:t xml:space="preserve">   </w:t>
            </w:r>
            <w:bookmarkStart w:id="812" w:name="_Toc67327614"/>
            <w:r w:rsidRPr="004B4498">
              <w:rPr>
                <w:rFonts w:cs="Arial"/>
                <w:color w:val="000000" w:themeColor="text1"/>
                <w:sz w:val="20"/>
                <w:lang w:val="hr-HR"/>
              </w:rPr>
              <w:t>Novčana sredstva, računi i depoziti kod banaka</w:t>
            </w:r>
            <w:bookmarkEnd w:id="812"/>
          </w:p>
        </w:tc>
        <w:tc>
          <w:tcPr>
            <w:tcW w:w="632" w:type="pct"/>
            <w:tcBorders>
              <w:top w:val="nil"/>
              <w:left w:val="nil"/>
              <w:bottom w:val="nil"/>
              <w:right w:val="nil"/>
            </w:tcBorders>
            <w:shd w:val="clear" w:color="auto" w:fill="auto"/>
            <w:vAlign w:val="bottom"/>
          </w:tcPr>
          <w:p w14:paraId="784A9C91" w14:textId="77777777" w:rsidR="004E2F51" w:rsidRPr="004B4498" w:rsidRDefault="004E2F51" w:rsidP="00E032FC">
            <w:pPr>
              <w:jc w:val="right"/>
              <w:rPr>
                <w:rFonts w:ascii="Arial" w:hAnsi="Arial" w:cs="Arial"/>
                <w:color w:val="000000" w:themeColor="text1"/>
                <w:sz w:val="20"/>
                <w:szCs w:val="20"/>
                <w:lang w:val="hr-HR"/>
              </w:rPr>
            </w:pPr>
            <w:r w:rsidRPr="005A1C64">
              <w:rPr>
                <w:rFonts w:ascii="Arial" w:hAnsi="Arial" w:cs="Arial"/>
                <w:color w:val="000000" w:themeColor="text1"/>
                <w:sz w:val="20"/>
                <w:szCs w:val="20"/>
                <w:lang w:val="hr-HR"/>
              </w:rPr>
              <w:t xml:space="preserve"> 5.670 </w:t>
            </w:r>
          </w:p>
        </w:tc>
        <w:tc>
          <w:tcPr>
            <w:tcW w:w="633" w:type="pct"/>
            <w:tcBorders>
              <w:top w:val="nil"/>
              <w:left w:val="nil"/>
              <w:bottom w:val="nil"/>
              <w:right w:val="nil"/>
            </w:tcBorders>
            <w:shd w:val="clear" w:color="auto" w:fill="auto"/>
            <w:vAlign w:val="bottom"/>
          </w:tcPr>
          <w:p w14:paraId="616550FF"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(1.976)</w:t>
            </w:r>
          </w:p>
        </w:tc>
        <w:tc>
          <w:tcPr>
            <w:tcW w:w="632" w:type="pct"/>
            <w:tcBorders>
              <w:top w:val="nil"/>
              <w:left w:val="nil"/>
              <w:bottom w:val="nil"/>
              <w:right w:val="nil"/>
            </w:tcBorders>
            <w:shd w:val="clear" w:color="auto" w:fill="auto"/>
            <w:vAlign w:val="bottom"/>
          </w:tcPr>
          <w:p w14:paraId="06E13D41" w14:textId="77777777" w:rsidR="004E2F51" w:rsidRPr="004B4498" w:rsidRDefault="004E2F51" w:rsidP="00E032FC">
            <w:pPr>
              <w:jc w:val="right"/>
              <w:rPr>
                <w:rFonts w:ascii="Arial" w:hAnsi="Arial" w:cs="Arial"/>
                <w:bCs/>
                <w:color w:val="000000" w:themeColor="text1"/>
                <w:sz w:val="20"/>
                <w:szCs w:val="20"/>
                <w:lang w:val="hr-HR"/>
              </w:rPr>
            </w:pPr>
            <w:r w:rsidRPr="005A1C64">
              <w:rPr>
                <w:rFonts w:ascii="Arial" w:hAnsi="Arial" w:cs="Arial"/>
                <w:bCs/>
                <w:color w:val="000000" w:themeColor="text1"/>
                <w:sz w:val="20"/>
                <w:szCs w:val="20"/>
                <w:lang w:val="hr-HR"/>
              </w:rPr>
              <w:t xml:space="preserve"> 5.698 </w:t>
            </w:r>
          </w:p>
        </w:tc>
        <w:tc>
          <w:tcPr>
            <w:tcW w:w="630" w:type="pct"/>
            <w:tcBorders>
              <w:top w:val="nil"/>
              <w:left w:val="nil"/>
              <w:bottom w:val="nil"/>
              <w:right w:val="nil"/>
            </w:tcBorders>
            <w:shd w:val="clear" w:color="auto" w:fill="auto"/>
            <w:vAlign w:val="bottom"/>
          </w:tcPr>
          <w:p w14:paraId="09F78856" w14:textId="77777777" w:rsidR="004E2F51" w:rsidRPr="004B4498" w:rsidRDefault="004E2F51" w:rsidP="00E032FC">
            <w:pPr>
              <w:jc w:val="right"/>
              <w:rPr>
                <w:rFonts w:ascii="Arial" w:hAnsi="Arial" w:cs="Arial"/>
                <w:bCs/>
                <w:color w:val="000000" w:themeColor="text1"/>
                <w:sz w:val="20"/>
                <w:szCs w:val="20"/>
                <w:lang w:val="hr-HR"/>
              </w:rPr>
            </w:pPr>
            <w:r w:rsidRPr="0046584E">
              <w:rPr>
                <w:rFonts w:ascii="Arial" w:hAnsi="Arial" w:cs="Arial"/>
                <w:bCs/>
                <w:color w:val="000000" w:themeColor="text1"/>
                <w:sz w:val="20"/>
                <w:szCs w:val="20"/>
                <w:lang w:val="hr-HR"/>
              </w:rPr>
              <w:t>(1.976)</w:t>
            </w:r>
          </w:p>
        </w:tc>
      </w:tr>
      <w:tr w:rsidR="004E2F51" w:rsidRPr="008B361C" w14:paraId="7062B6F3" w14:textId="77777777" w:rsidTr="00E032FC">
        <w:trPr>
          <w:trHeight w:val="20"/>
        </w:trPr>
        <w:tc>
          <w:tcPr>
            <w:tcW w:w="2473" w:type="pct"/>
            <w:vAlign w:val="center"/>
          </w:tcPr>
          <w:p w14:paraId="48F87BD8" w14:textId="77777777" w:rsidR="004E2F51" w:rsidRDefault="004E2F51" w:rsidP="00E032FC">
            <w:pPr>
              <w:pStyle w:val="TT"/>
              <w:ind w:left="142" w:hanging="142"/>
              <w:rPr>
                <w:rFonts w:cs="Arial"/>
                <w:color w:val="000000" w:themeColor="text1"/>
                <w:sz w:val="20"/>
                <w:lang w:val="hr-HR"/>
              </w:rPr>
            </w:pPr>
            <w:r w:rsidRPr="004B4498">
              <w:rPr>
                <w:rFonts w:cs="Arial"/>
                <w:color w:val="000000" w:themeColor="text1"/>
                <w:sz w:val="20"/>
                <w:lang w:val="hr-HR"/>
              </w:rPr>
              <w:t xml:space="preserve">  </w:t>
            </w:r>
            <w:r>
              <w:rPr>
                <w:rFonts w:cs="Arial"/>
                <w:color w:val="000000" w:themeColor="text1"/>
                <w:sz w:val="20"/>
                <w:lang w:val="hr-HR"/>
              </w:rPr>
              <w:t xml:space="preserve"> </w:t>
            </w:r>
            <w:bookmarkStart w:id="813" w:name="_Toc67327615"/>
            <w:r w:rsidRPr="004B4498">
              <w:rPr>
                <w:rFonts w:cs="Arial"/>
                <w:color w:val="000000" w:themeColor="text1"/>
                <w:sz w:val="20"/>
                <w:lang w:val="hr-HR"/>
              </w:rPr>
              <w:t xml:space="preserve">Krediti financijskim institucijama i ostalim </w:t>
            </w:r>
            <w:r>
              <w:rPr>
                <w:rFonts w:cs="Arial"/>
                <w:color w:val="000000" w:themeColor="text1"/>
                <w:sz w:val="20"/>
                <w:lang w:val="hr-HR"/>
              </w:rPr>
              <w:t xml:space="preserve">  </w:t>
            </w:r>
          </w:p>
          <w:p w14:paraId="7FB3F5FD" w14:textId="77777777" w:rsidR="004E2F51" w:rsidRPr="004B4498" w:rsidRDefault="004E2F51" w:rsidP="00E032FC">
            <w:pPr>
              <w:pStyle w:val="TT"/>
              <w:ind w:left="142" w:hanging="142"/>
              <w:rPr>
                <w:rFonts w:cs="Arial"/>
                <w:color w:val="000000" w:themeColor="text1"/>
                <w:sz w:val="20"/>
                <w:lang w:val="hr-HR"/>
              </w:rPr>
            </w:pPr>
            <w:r>
              <w:rPr>
                <w:rFonts w:cs="Arial"/>
                <w:color w:val="000000" w:themeColor="text1"/>
                <w:sz w:val="20"/>
                <w:lang w:val="hr-HR"/>
              </w:rPr>
              <w:t xml:space="preserve">   </w:t>
            </w:r>
            <w:r w:rsidRPr="004B4498">
              <w:rPr>
                <w:rFonts w:cs="Arial"/>
                <w:color w:val="000000" w:themeColor="text1"/>
                <w:sz w:val="20"/>
                <w:lang w:val="hr-HR"/>
              </w:rPr>
              <w:t>korisnicima</w:t>
            </w:r>
            <w:bookmarkEnd w:id="813"/>
          </w:p>
        </w:tc>
        <w:tc>
          <w:tcPr>
            <w:tcW w:w="632" w:type="pct"/>
            <w:tcBorders>
              <w:top w:val="nil"/>
              <w:left w:val="nil"/>
              <w:bottom w:val="nil"/>
              <w:right w:val="nil"/>
            </w:tcBorders>
            <w:shd w:val="clear" w:color="auto" w:fill="auto"/>
            <w:vAlign w:val="bottom"/>
          </w:tcPr>
          <w:p w14:paraId="35F0FA06" w14:textId="77777777" w:rsidR="004E2F51" w:rsidRPr="005A1C64" w:rsidRDefault="004E2F51" w:rsidP="00E032FC">
            <w:pPr>
              <w:jc w:val="right"/>
              <w:rPr>
                <w:rFonts w:ascii="Arial" w:hAnsi="Arial" w:cs="Arial"/>
                <w:color w:val="000000" w:themeColor="text1"/>
                <w:sz w:val="20"/>
                <w:szCs w:val="20"/>
                <w:lang w:val="hr-HR"/>
              </w:rPr>
            </w:pPr>
            <w:r w:rsidRPr="005A1C64">
              <w:rPr>
                <w:rFonts w:ascii="Arial" w:hAnsi="Arial" w:cs="Arial"/>
                <w:color w:val="000000" w:themeColor="text1"/>
                <w:sz w:val="20"/>
                <w:szCs w:val="20"/>
                <w:lang w:val="hr-HR"/>
              </w:rPr>
              <w:t xml:space="preserve"> 27.891 </w:t>
            </w:r>
          </w:p>
        </w:tc>
        <w:tc>
          <w:tcPr>
            <w:tcW w:w="633" w:type="pct"/>
            <w:tcBorders>
              <w:top w:val="nil"/>
              <w:left w:val="nil"/>
              <w:bottom w:val="nil"/>
              <w:right w:val="nil"/>
            </w:tcBorders>
            <w:shd w:val="clear" w:color="auto" w:fill="auto"/>
            <w:vAlign w:val="bottom"/>
          </w:tcPr>
          <w:p w14:paraId="78B48F9E" w14:textId="77777777" w:rsidR="004E2F51" w:rsidRPr="004B4498" w:rsidRDefault="004E2F51" w:rsidP="00E032FC">
            <w:pPr>
              <w:jc w:val="right"/>
              <w:rPr>
                <w:rFonts w:ascii="Arial" w:hAnsi="Arial" w:cs="Arial"/>
                <w:bCs/>
                <w:color w:val="000000" w:themeColor="text1"/>
                <w:sz w:val="20"/>
                <w:szCs w:val="20"/>
                <w:lang w:val="hr-HR"/>
              </w:rPr>
            </w:pPr>
            <w:r w:rsidRPr="0046584E">
              <w:rPr>
                <w:rFonts w:ascii="Arial" w:hAnsi="Arial" w:cs="Arial"/>
                <w:bCs/>
                <w:color w:val="000000" w:themeColor="text1"/>
                <w:sz w:val="20"/>
                <w:szCs w:val="20"/>
                <w:lang w:val="hr-HR"/>
              </w:rPr>
              <w:t>(20.858)</w:t>
            </w:r>
          </w:p>
        </w:tc>
        <w:tc>
          <w:tcPr>
            <w:tcW w:w="632" w:type="pct"/>
            <w:tcBorders>
              <w:top w:val="nil"/>
              <w:left w:val="nil"/>
              <w:bottom w:val="nil"/>
              <w:right w:val="nil"/>
            </w:tcBorders>
            <w:shd w:val="clear" w:color="auto" w:fill="auto"/>
            <w:vAlign w:val="bottom"/>
          </w:tcPr>
          <w:p w14:paraId="41F69FA0" w14:textId="77777777" w:rsidR="004E2F51" w:rsidRPr="004B4498" w:rsidRDefault="004E2F51" w:rsidP="00E032FC">
            <w:pPr>
              <w:jc w:val="right"/>
              <w:rPr>
                <w:rFonts w:ascii="Arial" w:hAnsi="Arial" w:cs="Arial"/>
                <w:bCs/>
                <w:color w:val="000000" w:themeColor="text1"/>
                <w:sz w:val="20"/>
                <w:szCs w:val="20"/>
                <w:lang w:val="hr-HR"/>
              </w:rPr>
            </w:pPr>
            <w:r w:rsidRPr="005A1C64">
              <w:rPr>
                <w:rFonts w:ascii="Arial" w:hAnsi="Arial" w:cs="Arial"/>
                <w:bCs/>
                <w:color w:val="000000" w:themeColor="text1"/>
                <w:sz w:val="20"/>
                <w:szCs w:val="20"/>
                <w:lang w:val="hr-HR"/>
              </w:rPr>
              <w:t xml:space="preserve"> 27.891 </w:t>
            </w:r>
          </w:p>
        </w:tc>
        <w:tc>
          <w:tcPr>
            <w:tcW w:w="630" w:type="pct"/>
            <w:tcBorders>
              <w:top w:val="nil"/>
              <w:left w:val="nil"/>
              <w:bottom w:val="nil"/>
              <w:right w:val="nil"/>
            </w:tcBorders>
            <w:shd w:val="clear" w:color="auto" w:fill="auto"/>
            <w:vAlign w:val="bottom"/>
          </w:tcPr>
          <w:p w14:paraId="2D56A773" w14:textId="77777777" w:rsidR="004E2F51" w:rsidRPr="004B4498" w:rsidRDefault="004E2F51" w:rsidP="00E032FC">
            <w:pPr>
              <w:jc w:val="right"/>
              <w:rPr>
                <w:rFonts w:ascii="Arial" w:hAnsi="Arial" w:cs="Arial"/>
                <w:bCs/>
                <w:color w:val="000000" w:themeColor="text1"/>
                <w:sz w:val="20"/>
                <w:szCs w:val="20"/>
                <w:lang w:val="hr-HR"/>
              </w:rPr>
            </w:pPr>
            <w:r w:rsidRPr="0046584E">
              <w:rPr>
                <w:rFonts w:ascii="Arial" w:hAnsi="Arial" w:cs="Arial"/>
                <w:bCs/>
                <w:color w:val="000000" w:themeColor="text1"/>
                <w:sz w:val="20"/>
                <w:szCs w:val="20"/>
                <w:lang w:val="hr-HR"/>
              </w:rPr>
              <w:t>(20.858)</w:t>
            </w:r>
          </w:p>
        </w:tc>
      </w:tr>
      <w:tr w:rsidR="004E2F51" w:rsidRPr="008B361C" w14:paraId="1DFADC45" w14:textId="77777777" w:rsidTr="00E032FC">
        <w:trPr>
          <w:trHeight w:val="20"/>
        </w:trPr>
        <w:tc>
          <w:tcPr>
            <w:tcW w:w="2473" w:type="pct"/>
            <w:vAlign w:val="center"/>
          </w:tcPr>
          <w:p w14:paraId="16116FC2" w14:textId="77777777" w:rsidR="004E2F51" w:rsidRPr="004B4498" w:rsidRDefault="004E2F51" w:rsidP="00E032FC">
            <w:pPr>
              <w:pStyle w:val="TT"/>
              <w:rPr>
                <w:rFonts w:cs="Arial"/>
                <w:color w:val="000000" w:themeColor="text1"/>
                <w:sz w:val="20"/>
                <w:lang w:val="hr-HR"/>
              </w:rPr>
            </w:pPr>
            <w:r w:rsidRPr="004B4498">
              <w:rPr>
                <w:rFonts w:cs="Arial"/>
                <w:color w:val="000000" w:themeColor="text1"/>
                <w:sz w:val="20"/>
                <w:lang w:val="hr-HR"/>
              </w:rPr>
              <w:t xml:space="preserve">   </w:t>
            </w:r>
            <w:bookmarkStart w:id="814" w:name="_Toc67327616"/>
            <w:r w:rsidRPr="004B4498">
              <w:rPr>
                <w:rFonts w:cs="Arial"/>
                <w:color w:val="000000" w:themeColor="text1"/>
                <w:sz w:val="20"/>
                <w:lang w:val="hr-HR"/>
              </w:rPr>
              <w:t>Financijska imovina po fer vrijednosti kroz dobit</w:t>
            </w:r>
            <w:bookmarkEnd w:id="814"/>
            <w:r w:rsidRPr="004B4498">
              <w:rPr>
                <w:rFonts w:cs="Arial"/>
                <w:color w:val="000000" w:themeColor="text1"/>
                <w:sz w:val="20"/>
                <w:lang w:val="hr-HR"/>
              </w:rPr>
              <w:t xml:space="preserve">             </w:t>
            </w:r>
          </w:p>
          <w:p w14:paraId="35F9131C" w14:textId="77777777" w:rsidR="004E2F51" w:rsidRPr="004B4498" w:rsidRDefault="004E2F51" w:rsidP="00E032FC">
            <w:pPr>
              <w:pStyle w:val="TT"/>
              <w:rPr>
                <w:rFonts w:cs="Arial"/>
                <w:color w:val="000000" w:themeColor="text1"/>
                <w:sz w:val="20"/>
                <w:lang w:val="hr-HR"/>
              </w:rPr>
            </w:pPr>
            <w:r w:rsidRPr="004B4498">
              <w:rPr>
                <w:rFonts w:cs="Arial"/>
                <w:color w:val="000000" w:themeColor="text1"/>
                <w:sz w:val="20"/>
                <w:lang w:val="hr-HR"/>
              </w:rPr>
              <w:t xml:space="preserve">   </w:t>
            </w:r>
            <w:bookmarkStart w:id="815" w:name="_Toc67327617"/>
            <w:r w:rsidRPr="004B4498">
              <w:rPr>
                <w:rFonts w:cs="Arial"/>
                <w:color w:val="000000" w:themeColor="text1"/>
                <w:sz w:val="20"/>
                <w:lang w:val="hr-HR"/>
              </w:rPr>
              <w:t>ili gubitak</w:t>
            </w:r>
            <w:bookmarkEnd w:id="815"/>
          </w:p>
        </w:tc>
        <w:tc>
          <w:tcPr>
            <w:tcW w:w="632" w:type="pct"/>
            <w:tcBorders>
              <w:top w:val="nil"/>
              <w:left w:val="nil"/>
              <w:bottom w:val="nil"/>
              <w:right w:val="nil"/>
            </w:tcBorders>
            <w:shd w:val="clear" w:color="auto" w:fill="auto"/>
            <w:vAlign w:val="bottom"/>
          </w:tcPr>
          <w:p w14:paraId="2F5EE467" w14:textId="77777777" w:rsidR="004E2F51" w:rsidRPr="005A1C64" w:rsidRDefault="004E2F51" w:rsidP="00E032FC">
            <w:pPr>
              <w:jc w:val="right"/>
              <w:rPr>
                <w:rFonts w:ascii="Arial" w:hAnsi="Arial" w:cs="Arial"/>
                <w:color w:val="000000" w:themeColor="text1"/>
                <w:sz w:val="20"/>
                <w:szCs w:val="20"/>
                <w:lang w:val="hr-HR"/>
              </w:rPr>
            </w:pPr>
            <w:r w:rsidRPr="005A1C64">
              <w:rPr>
                <w:rFonts w:ascii="Arial" w:hAnsi="Arial" w:cs="Arial"/>
                <w:color w:val="000000" w:themeColor="text1"/>
                <w:sz w:val="20"/>
                <w:szCs w:val="20"/>
                <w:lang w:val="hr-HR"/>
              </w:rPr>
              <w:t xml:space="preserve"> 2.035 </w:t>
            </w:r>
          </w:p>
        </w:tc>
        <w:tc>
          <w:tcPr>
            <w:tcW w:w="633" w:type="pct"/>
            <w:tcBorders>
              <w:top w:val="nil"/>
              <w:left w:val="nil"/>
              <w:bottom w:val="nil"/>
              <w:right w:val="nil"/>
            </w:tcBorders>
            <w:shd w:val="clear" w:color="auto" w:fill="auto"/>
            <w:vAlign w:val="bottom"/>
          </w:tcPr>
          <w:p w14:paraId="666D04FA" w14:textId="77777777" w:rsidR="004E2F51" w:rsidRPr="004B4498" w:rsidRDefault="004E2F51" w:rsidP="00E032FC">
            <w:pPr>
              <w:jc w:val="right"/>
              <w:rPr>
                <w:rFonts w:ascii="Arial" w:hAnsi="Arial" w:cs="Arial"/>
                <w:bCs/>
                <w:color w:val="000000" w:themeColor="text1"/>
                <w:sz w:val="20"/>
                <w:szCs w:val="20"/>
                <w:lang w:val="hr-HR"/>
              </w:rPr>
            </w:pPr>
            <w:r w:rsidRPr="0046584E">
              <w:rPr>
                <w:rFonts w:ascii="Arial" w:hAnsi="Arial" w:cs="Arial"/>
                <w:bCs/>
                <w:color w:val="000000" w:themeColor="text1"/>
                <w:sz w:val="20"/>
                <w:szCs w:val="20"/>
                <w:lang w:val="hr-HR"/>
              </w:rPr>
              <w:t>853</w:t>
            </w:r>
          </w:p>
        </w:tc>
        <w:tc>
          <w:tcPr>
            <w:tcW w:w="632" w:type="pct"/>
            <w:tcBorders>
              <w:top w:val="nil"/>
              <w:left w:val="nil"/>
              <w:bottom w:val="nil"/>
              <w:right w:val="nil"/>
            </w:tcBorders>
            <w:shd w:val="clear" w:color="auto" w:fill="auto"/>
            <w:vAlign w:val="bottom"/>
          </w:tcPr>
          <w:p w14:paraId="7F64E88C" w14:textId="77777777" w:rsidR="004E2F51" w:rsidRPr="004B4498" w:rsidRDefault="004E2F51" w:rsidP="00E032FC">
            <w:pPr>
              <w:jc w:val="right"/>
              <w:rPr>
                <w:rFonts w:ascii="Arial" w:hAnsi="Arial" w:cs="Arial"/>
                <w:bCs/>
                <w:color w:val="000000" w:themeColor="text1"/>
                <w:sz w:val="20"/>
                <w:szCs w:val="20"/>
                <w:lang w:val="hr-HR"/>
              </w:rPr>
            </w:pPr>
            <w:r w:rsidRPr="005A1C64">
              <w:rPr>
                <w:rFonts w:ascii="Arial" w:hAnsi="Arial" w:cs="Arial"/>
                <w:bCs/>
                <w:color w:val="000000" w:themeColor="text1"/>
                <w:sz w:val="20"/>
                <w:szCs w:val="20"/>
                <w:lang w:val="hr-HR"/>
              </w:rPr>
              <w:t xml:space="preserve"> 2.035 </w:t>
            </w:r>
          </w:p>
        </w:tc>
        <w:tc>
          <w:tcPr>
            <w:tcW w:w="630" w:type="pct"/>
            <w:tcBorders>
              <w:top w:val="nil"/>
              <w:left w:val="nil"/>
              <w:bottom w:val="nil"/>
              <w:right w:val="nil"/>
            </w:tcBorders>
            <w:shd w:val="clear" w:color="auto" w:fill="auto"/>
            <w:vAlign w:val="bottom"/>
          </w:tcPr>
          <w:p w14:paraId="5D3A3B1E" w14:textId="77777777" w:rsidR="004E2F51" w:rsidRPr="004B4498" w:rsidRDefault="004E2F51" w:rsidP="00E032FC">
            <w:pPr>
              <w:jc w:val="right"/>
              <w:rPr>
                <w:rFonts w:ascii="Arial" w:hAnsi="Arial" w:cs="Arial"/>
                <w:bCs/>
                <w:color w:val="000000" w:themeColor="text1"/>
                <w:sz w:val="20"/>
                <w:szCs w:val="20"/>
                <w:lang w:val="hr-HR"/>
              </w:rPr>
            </w:pPr>
            <w:r w:rsidRPr="0046584E">
              <w:rPr>
                <w:rFonts w:ascii="Arial" w:hAnsi="Arial" w:cs="Arial"/>
                <w:bCs/>
                <w:color w:val="000000" w:themeColor="text1"/>
                <w:sz w:val="20"/>
                <w:szCs w:val="20"/>
                <w:lang w:val="hr-HR"/>
              </w:rPr>
              <w:t>853</w:t>
            </w:r>
          </w:p>
        </w:tc>
      </w:tr>
      <w:tr w:rsidR="004E2F51" w:rsidRPr="008B361C" w14:paraId="2D6CF7D7" w14:textId="77777777" w:rsidTr="00E032FC">
        <w:trPr>
          <w:trHeight w:val="20"/>
        </w:trPr>
        <w:tc>
          <w:tcPr>
            <w:tcW w:w="2473" w:type="pct"/>
            <w:vAlign w:val="center"/>
          </w:tcPr>
          <w:p w14:paraId="3BE10BE6" w14:textId="77777777" w:rsidR="004E2F51" w:rsidRPr="004B4498" w:rsidRDefault="004E2F51" w:rsidP="00E032FC">
            <w:pPr>
              <w:pStyle w:val="TT"/>
              <w:rPr>
                <w:rFonts w:cs="Arial"/>
                <w:color w:val="000000" w:themeColor="text1"/>
                <w:sz w:val="20"/>
                <w:lang w:val="hr-HR"/>
              </w:rPr>
            </w:pPr>
            <w:r w:rsidRPr="004B4498">
              <w:rPr>
                <w:rFonts w:cs="Arial"/>
                <w:color w:val="000000" w:themeColor="text1"/>
                <w:sz w:val="20"/>
                <w:lang w:val="hr-HR"/>
              </w:rPr>
              <w:t xml:space="preserve">   </w:t>
            </w:r>
            <w:bookmarkStart w:id="816" w:name="_Toc67327620"/>
            <w:r w:rsidRPr="004B4498">
              <w:rPr>
                <w:rFonts w:cs="Arial"/>
                <w:color w:val="000000" w:themeColor="text1"/>
                <w:sz w:val="20"/>
                <w:lang w:val="hr-HR"/>
              </w:rPr>
              <w:t>Financijska imovina po fer vrijednosti kroz</w:t>
            </w:r>
            <w:bookmarkEnd w:id="816"/>
          </w:p>
          <w:p w14:paraId="43923F4F" w14:textId="77777777" w:rsidR="004E2F51" w:rsidRPr="004B4498" w:rsidRDefault="004E2F51" w:rsidP="00E032FC">
            <w:pPr>
              <w:pStyle w:val="TT"/>
              <w:rPr>
                <w:rFonts w:cs="Arial"/>
                <w:color w:val="000000" w:themeColor="text1"/>
                <w:sz w:val="20"/>
                <w:lang w:val="hr-HR"/>
              </w:rPr>
            </w:pPr>
            <w:r w:rsidRPr="004B4498">
              <w:rPr>
                <w:rFonts w:cs="Arial"/>
                <w:color w:val="000000" w:themeColor="text1"/>
                <w:sz w:val="20"/>
                <w:lang w:val="hr-HR"/>
              </w:rPr>
              <w:t xml:space="preserve">   </w:t>
            </w:r>
            <w:bookmarkStart w:id="817" w:name="_Toc67327621"/>
            <w:r w:rsidRPr="004B4498">
              <w:rPr>
                <w:rFonts w:cs="Arial"/>
                <w:color w:val="000000" w:themeColor="text1"/>
                <w:sz w:val="20"/>
                <w:lang w:val="hr-HR"/>
              </w:rPr>
              <w:t>ostalu sveobuhvatnu dobit</w:t>
            </w:r>
            <w:bookmarkEnd w:id="817"/>
          </w:p>
        </w:tc>
        <w:tc>
          <w:tcPr>
            <w:tcW w:w="632" w:type="pct"/>
            <w:tcBorders>
              <w:top w:val="nil"/>
              <w:left w:val="nil"/>
              <w:bottom w:val="nil"/>
              <w:right w:val="nil"/>
            </w:tcBorders>
            <w:shd w:val="clear" w:color="auto" w:fill="auto"/>
            <w:vAlign w:val="bottom"/>
          </w:tcPr>
          <w:p w14:paraId="5C93A1D9" w14:textId="77777777" w:rsidR="004E2F51" w:rsidRPr="005A1C64" w:rsidRDefault="004E2F51" w:rsidP="00E032FC">
            <w:pPr>
              <w:jc w:val="right"/>
              <w:rPr>
                <w:rFonts w:ascii="Arial" w:hAnsi="Arial" w:cs="Arial"/>
                <w:color w:val="000000" w:themeColor="text1"/>
                <w:sz w:val="20"/>
                <w:szCs w:val="20"/>
                <w:lang w:val="hr-HR"/>
              </w:rPr>
            </w:pPr>
            <w:r w:rsidRPr="005A1C64">
              <w:rPr>
                <w:rFonts w:ascii="Arial" w:hAnsi="Arial" w:cs="Arial"/>
                <w:color w:val="000000" w:themeColor="text1"/>
                <w:sz w:val="20"/>
                <w:szCs w:val="20"/>
                <w:lang w:val="hr-HR"/>
              </w:rPr>
              <w:t xml:space="preserve"> 805 </w:t>
            </w:r>
          </w:p>
        </w:tc>
        <w:tc>
          <w:tcPr>
            <w:tcW w:w="633" w:type="pct"/>
            <w:tcBorders>
              <w:top w:val="nil"/>
              <w:left w:val="nil"/>
              <w:bottom w:val="nil"/>
              <w:right w:val="nil"/>
            </w:tcBorders>
            <w:shd w:val="clear" w:color="auto" w:fill="auto"/>
            <w:vAlign w:val="bottom"/>
          </w:tcPr>
          <w:p w14:paraId="26B4EE1B" w14:textId="77777777" w:rsidR="004E2F51" w:rsidRPr="004B4498" w:rsidRDefault="004E2F51" w:rsidP="00E032FC">
            <w:pPr>
              <w:jc w:val="right"/>
              <w:rPr>
                <w:rFonts w:ascii="Arial" w:hAnsi="Arial" w:cs="Arial"/>
                <w:bCs/>
                <w:color w:val="000000" w:themeColor="text1"/>
                <w:sz w:val="20"/>
                <w:szCs w:val="20"/>
                <w:lang w:val="hr-HR"/>
              </w:rPr>
            </w:pPr>
            <w:r w:rsidRPr="0046584E">
              <w:rPr>
                <w:rFonts w:ascii="Arial" w:hAnsi="Arial" w:cs="Arial"/>
                <w:bCs/>
                <w:color w:val="000000" w:themeColor="text1"/>
                <w:sz w:val="20"/>
                <w:szCs w:val="20"/>
                <w:lang w:val="hr-HR"/>
              </w:rPr>
              <w:t>(1.953)</w:t>
            </w:r>
          </w:p>
        </w:tc>
        <w:tc>
          <w:tcPr>
            <w:tcW w:w="632" w:type="pct"/>
            <w:tcBorders>
              <w:top w:val="nil"/>
              <w:left w:val="nil"/>
              <w:bottom w:val="nil"/>
              <w:right w:val="nil"/>
            </w:tcBorders>
            <w:shd w:val="clear" w:color="auto" w:fill="auto"/>
            <w:vAlign w:val="bottom"/>
          </w:tcPr>
          <w:p w14:paraId="061F4759" w14:textId="77777777" w:rsidR="004E2F51" w:rsidRPr="004B4498" w:rsidRDefault="004E2F51" w:rsidP="00E032FC">
            <w:pPr>
              <w:jc w:val="right"/>
              <w:rPr>
                <w:rFonts w:ascii="Arial" w:hAnsi="Arial" w:cs="Arial"/>
                <w:bCs/>
                <w:color w:val="000000" w:themeColor="text1"/>
                <w:sz w:val="20"/>
                <w:szCs w:val="20"/>
                <w:lang w:val="hr-HR"/>
              </w:rPr>
            </w:pPr>
            <w:r w:rsidRPr="005A1C64">
              <w:rPr>
                <w:rFonts w:ascii="Arial" w:hAnsi="Arial" w:cs="Arial"/>
                <w:bCs/>
                <w:color w:val="000000" w:themeColor="text1"/>
                <w:sz w:val="20"/>
                <w:szCs w:val="20"/>
                <w:lang w:val="hr-HR"/>
              </w:rPr>
              <w:t xml:space="preserve"> 741 </w:t>
            </w:r>
          </w:p>
        </w:tc>
        <w:tc>
          <w:tcPr>
            <w:tcW w:w="630" w:type="pct"/>
            <w:tcBorders>
              <w:top w:val="nil"/>
              <w:left w:val="nil"/>
              <w:bottom w:val="nil"/>
              <w:right w:val="nil"/>
            </w:tcBorders>
            <w:shd w:val="clear" w:color="auto" w:fill="auto"/>
            <w:vAlign w:val="bottom"/>
          </w:tcPr>
          <w:p w14:paraId="7900C405" w14:textId="77777777" w:rsidR="004E2F51" w:rsidRPr="004B4498" w:rsidRDefault="004E2F51" w:rsidP="00E032FC">
            <w:pPr>
              <w:jc w:val="right"/>
              <w:rPr>
                <w:rFonts w:ascii="Arial" w:hAnsi="Arial" w:cs="Arial"/>
                <w:bCs/>
                <w:color w:val="000000" w:themeColor="text1"/>
                <w:sz w:val="20"/>
                <w:szCs w:val="20"/>
                <w:lang w:val="hr-HR"/>
              </w:rPr>
            </w:pPr>
            <w:r w:rsidRPr="0046584E">
              <w:rPr>
                <w:rFonts w:ascii="Arial" w:hAnsi="Arial" w:cs="Arial"/>
                <w:bCs/>
                <w:color w:val="000000" w:themeColor="text1"/>
                <w:sz w:val="20"/>
                <w:szCs w:val="20"/>
                <w:lang w:val="hr-HR"/>
              </w:rPr>
              <w:t>(1.905)</w:t>
            </w:r>
          </w:p>
        </w:tc>
      </w:tr>
      <w:tr w:rsidR="004E2F51" w:rsidRPr="008B361C" w14:paraId="7A42BA6C" w14:textId="77777777" w:rsidTr="00E032FC">
        <w:trPr>
          <w:trHeight w:val="20"/>
        </w:trPr>
        <w:tc>
          <w:tcPr>
            <w:tcW w:w="2473" w:type="pct"/>
            <w:vAlign w:val="center"/>
          </w:tcPr>
          <w:p w14:paraId="486CCF0B" w14:textId="77777777" w:rsidR="004E2F51" w:rsidRPr="004B4498" w:rsidRDefault="004E2F51" w:rsidP="00E032FC">
            <w:pPr>
              <w:pStyle w:val="TT"/>
              <w:rPr>
                <w:rFonts w:cs="Arial"/>
                <w:color w:val="000000" w:themeColor="text1"/>
                <w:sz w:val="20"/>
                <w:lang w:val="hr-HR"/>
              </w:rPr>
            </w:pPr>
            <w:r w:rsidRPr="004B4498">
              <w:rPr>
                <w:rFonts w:cs="Arial"/>
                <w:color w:val="000000" w:themeColor="text1"/>
                <w:sz w:val="20"/>
                <w:lang w:val="hr-HR"/>
              </w:rPr>
              <w:t xml:space="preserve">   </w:t>
            </w:r>
            <w:bookmarkStart w:id="818" w:name="_Toc67327622"/>
            <w:r w:rsidRPr="004B4498">
              <w:rPr>
                <w:rFonts w:cs="Arial"/>
                <w:color w:val="000000" w:themeColor="text1"/>
                <w:sz w:val="20"/>
                <w:lang w:val="hr-HR"/>
              </w:rPr>
              <w:t>Ostalo</w:t>
            </w:r>
            <w:bookmarkEnd w:id="818"/>
          </w:p>
        </w:tc>
        <w:tc>
          <w:tcPr>
            <w:tcW w:w="632" w:type="pct"/>
            <w:tcBorders>
              <w:top w:val="nil"/>
              <w:left w:val="nil"/>
              <w:bottom w:val="single" w:sz="4" w:space="0" w:color="auto"/>
              <w:right w:val="nil"/>
            </w:tcBorders>
            <w:shd w:val="clear" w:color="auto" w:fill="auto"/>
            <w:vAlign w:val="bottom"/>
          </w:tcPr>
          <w:p w14:paraId="114FADF8" w14:textId="77777777" w:rsidR="004E2F51" w:rsidRPr="005A1C64" w:rsidRDefault="004E2F51" w:rsidP="00E032FC">
            <w:pPr>
              <w:jc w:val="right"/>
              <w:rPr>
                <w:rFonts w:ascii="Arial" w:hAnsi="Arial" w:cs="Arial"/>
                <w:color w:val="000000" w:themeColor="text1"/>
                <w:sz w:val="20"/>
                <w:szCs w:val="20"/>
                <w:lang w:val="hr-HR"/>
              </w:rPr>
            </w:pPr>
            <w:r w:rsidRPr="005A1C64">
              <w:rPr>
                <w:rFonts w:ascii="Arial" w:hAnsi="Arial" w:cs="Arial"/>
                <w:color w:val="000000" w:themeColor="text1"/>
                <w:sz w:val="20"/>
                <w:szCs w:val="20"/>
                <w:lang w:val="hr-HR"/>
              </w:rPr>
              <w:t xml:space="preserve">  7.817</w:t>
            </w:r>
          </w:p>
        </w:tc>
        <w:tc>
          <w:tcPr>
            <w:tcW w:w="633" w:type="pct"/>
            <w:tcBorders>
              <w:top w:val="nil"/>
              <w:left w:val="nil"/>
              <w:bottom w:val="single" w:sz="4" w:space="0" w:color="auto"/>
              <w:right w:val="nil"/>
            </w:tcBorders>
            <w:shd w:val="clear" w:color="auto" w:fill="auto"/>
            <w:vAlign w:val="bottom"/>
          </w:tcPr>
          <w:p w14:paraId="38D1B5D2" w14:textId="77777777" w:rsidR="004E2F51" w:rsidRPr="004B4498" w:rsidRDefault="004E2F51" w:rsidP="00E032FC">
            <w:pPr>
              <w:jc w:val="right"/>
              <w:rPr>
                <w:rFonts w:ascii="Arial" w:hAnsi="Arial" w:cs="Arial"/>
                <w:bCs/>
                <w:color w:val="000000" w:themeColor="text1"/>
                <w:sz w:val="20"/>
                <w:szCs w:val="20"/>
                <w:lang w:val="hr-HR"/>
              </w:rPr>
            </w:pPr>
            <w:r w:rsidRPr="0046584E">
              <w:rPr>
                <w:rFonts w:ascii="Arial" w:hAnsi="Arial" w:cs="Arial"/>
                <w:bCs/>
                <w:color w:val="000000" w:themeColor="text1"/>
                <w:sz w:val="20"/>
                <w:szCs w:val="20"/>
                <w:lang w:val="hr-HR"/>
              </w:rPr>
              <w:t>4.606</w:t>
            </w:r>
          </w:p>
        </w:tc>
        <w:tc>
          <w:tcPr>
            <w:tcW w:w="632" w:type="pct"/>
            <w:tcBorders>
              <w:top w:val="nil"/>
              <w:left w:val="nil"/>
              <w:bottom w:val="single" w:sz="4" w:space="0" w:color="auto"/>
              <w:right w:val="nil"/>
            </w:tcBorders>
            <w:shd w:val="clear" w:color="auto" w:fill="auto"/>
            <w:vAlign w:val="bottom"/>
          </w:tcPr>
          <w:p w14:paraId="60391201" w14:textId="77777777" w:rsidR="004E2F51" w:rsidRPr="004B4498" w:rsidRDefault="004E2F51" w:rsidP="00E032FC">
            <w:pPr>
              <w:jc w:val="right"/>
              <w:rPr>
                <w:rFonts w:ascii="Arial" w:hAnsi="Arial" w:cs="Arial"/>
                <w:bCs/>
                <w:color w:val="000000" w:themeColor="text1"/>
                <w:sz w:val="20"/>
                <w:szCs w:val="20"/>
                <w:lang w:val="hr-HR"/>
              </w:rPr>
            </w:pPr>
            <w:r w:rsidRPr="005A1C64">
              <w:rPr>
                <w:rFonts w:ascii="Arial" w:hAnsi="Arial" w:cs="Arial"/>
                <w:bCs/>
                <w:color w:val="000000" w:themeColor="text1"/>
                <w:sz w:val="20"/>
                <w:szCs w:val="20"/>
                <w:lang w:val="hr-HR"/>
              </w:rPr>
              <w:t xml:space="preserve"> 7.817 </w:t>
            </w:r>
          </w:p>
        </w:tc>
        <w:tc>
          <w:tcPr>
            <w:tcW w:w="630" w:type="pct"/>
            <w:tcBorders>
              <w:top w:val="nil"/>
              <w:left w:val="nil"/>
              <w:bottom w:val="single" w:sz="4" w:space="0" w:color="auto"/>
              <w:right w:val="nil"/>
            </w:tcBorders>
            <w:shd w:val="clear" w:color="auto" w:fill="auto"/>
            <w:vAlign w:val="bottom"/>
          </w:tcPr>
          <w:p w14:paraId="08748C9B" w14:textId="77777777" w:rsidR="004E2F51" w:rsidRPr="004B4498" w:rsidRDefault="004E2F51" w:rsidP="00E032FC">
            <w:pPr>
              <w:jc w:val="right"/>
              <w:rPr>
                <w:rFonts w:ascii="Arial" w:hAnsi="Arial" w:cs="Arial"/>
                <w:bCs/>
                <w:color w:val="000000" w:themeColor="text1"/>
                <w:sz w:val="20"/>
                <w:szCs w:val="20"/>
                <w:lang w:val="hr-HR"/>
              </w:rPr>
            </w:pPr>
            <w:r w:rsidRPr="0046584E">
              <w:rPr>
                <w:rFonts w:ascii="Arial" w:hAnsi="Arial" w:cs="Arial"/>
                <w:bCs/>
                <w:color w:val="000000" w:themeColor="text1"/>
                <w:sz w:val="20"/>
                <w:szCs w:val="20"/>
                <w:lang w:val="hr-HR"/>
              </w:rPr>
              <w:t>4.606</w:t>
            </w:r>
          </w:p>
        </w:tc>
      </w:tr>
      <w:tr w:rsidR="004E2F51" w:rsidRPr="008B361C" w14:paraId="5C0854C8" w14:textId="77777777" w:rsidTr="00E032FC">
        <w:trPr>
          <w:trHeight w:val="118"/>
        </w:trPr>
        <w:tc>
          <w:tcPr>
            <w:tcW w:w="2473" w:type="pct"/>
          </w:tcPr>
          <w:p w14:paraId="6CF6B033" w14:textId="77777777" w:rsidR="004E2F51" w:rsidRPr="004B4498" w:rsidRDefault="004E2F51" w:rsidP="00E032FC">
            <w:pPr>
              <w:pStyle w:val="TT"/>
              <w:spacing w:line="360" w:lineRule="auto"/>
              <w:rPr>
                <w:rFonts w:cs="Arial"/>
                <w:color w:val="000000" w:themeColor="text1"/>
                <w:sz w:val="20"/>
                <w:lang w:val="hr-HR"/>
              </w:rPr>
            </w:pPr>
          </w:p>
        </w:tc>
        <w:tc>
          <w:tcPr>
            <w:tcW w:w="632" w:type="pct"/>
            <w:tcBorders>
              <w:top w:val="single" w:sz="4" w:space="0" w:color="auto"/>
              <w:bottom w:val="single" w:sz="4" w:space="0" w:color="auto"/>
            </w:tcBorders>
            <w:vAlign w:val="bottom"/>
          </w:tcPr>
          <w:p w14:paraId="4ED2952E" w14:textId="77777777" w:rsidR="004E2F51" w:rsidRPr="004B4498" w:rsidRDefault="004E2F51" w:rsidP="00E032FC">
            <w:pPr>
              <w:jc w:val="right"/>
              <w:rPr>
                <w:rFonts w:ascii="Arial" w:hAnsi="Arial" w:cs="Arial"/>
                <w:bCs/>
                <w:color w:val="000000" w:themeColor="text1"/>
                <w:sz w:val="20"/>
                <w:szCs w:val="20"/>
                <w:lang w:val="hr-HR"/>
              </w:rPr>
            </w:pPr>
            <w:r w:rsidRPr="005A1C64">
              <w:rPr>
                <w:rFonts w:ascii="Arial" w:hAnsi="Arial" w:cs="Arial"/>
                <w:bCs/>
                <w:color w:val="000000" w:themeColor="text1"/>
                <w:sz w:val="20"/>
                <w:szCs w:val="20"/>
                <w:lang w:val="hr-HR"/>
              </w:rPr>
              <w:t>44.218</w:t>
            </w:r>
          </w:p>
        </w:tc>
        <w:tc>
          <w:tcPr>
            <w:tcW w:w="633" w:type="pct"/>
            <w:tcBorders>
              <w:top w:val="single" w:sz="4" w:space="0" w:color="auto"/>
              <w:bottom w:val="single" w:sz="4" w:space="0" w:color="auto"/>
            </w:tcBorders>
            <w:vAlign w:val="bottom"/>
          </w:tcPr>
          <w:p w14:paraId="7FB1DAE7" w14:textId="77777777" w:rsidR="004E2F51" w:rsidRPr="004B4498" w:rsidRDefault="004E2F51" w:rsidP="00E032FC">
            <w:pPr>
              <w:jc w:val="right"/>
              <w:rPr>
                <w:rFonts w:ascii="Arial" w:hAnsi="Arial" w:cs="Arial"/>
                <w:bCs/>
                <w:color w:val="000000" w:themeColor="text1"/>
                <w:sz w:val="20"/>
                <w:szCs w:val="20"/>
                <w:lang w:val="hr-HR"/>
              </w:rPr>
            </w:pPr>
            <w:r w:rsidRPr="0046584E">
              <w:rPr>
                <w:rFonts w:ascii="Arial" w:hAnsi="Arial" w:cs="Arial"/>
                <w:bCs/>
                <w:color w:val="000000" w:themeColor="text1"/>
                <w:sz w:val="20"/>
                <w:szCs w:val="20"/>
                <w:lang w:val="hr-HR"/>
              </w:rPr>
              <w:t>(19.328)</w:t>
            </w:r>
          </w:p>
        </w:tc>
        <w:tc>
          <w:tcPr>
            <w:tcW w:w="632" w:type="pct"/>
            <w:tcBorders>
              <w:top w:val="single" w:sz="4" w:space="0" w:color="auto"/>
              <w:bottom w:val="single" w:sz="4" w:space="0" w:color="auto"/>
            </w:tcBorders>
            <w:vAlign w:val="bottom"/>
          </w:tcPr>
          <w:p w14:paraId="6527BDE9" w14:textId="77777777" w:rsidR="004E2F51" w:rsidRPr="004B4498" w:rsidRDefault="004E2F51" w:rsidP="00E032FC">
            <w:pPr>
              <w:jc w:val="right"/>
              <w:rPr>
                <w:rFonts w:ascii="Arial" w:hAnsi="Arial" w:cs="Arial"/>
                <w:bCs/>
                <w:color w:val="000000" w:themeColor="text1"/>
                <w:sz w:val="20"/>
                <w:szCs w:val="20"/>
                <w:lang w:val="hr-HR"/>
              </w:rPr>
            </w:pPr>
            <w:r w:rsidRPr="005A1C64">
              <w:rPr>
                <w:rFonts w:ascii="Arial" w:hAnsi="Arial" w:cs="Arial"/>
                <w:bCs/>
                <w:color w:val="000000" w:themeColor="text1"/>
                <w:sz w:val="20"/>
                <w:szCs w:val="20"/>
                <w:lang w:val="hr-HR"/>
              </w:rPr>
              <w:t>44.182</w:t>
            </w:r>
          </w:p>
        </w:tc>
        <w:tc>
          <w:tcPr>
            <w:tcW w:w="630" w:type="pct"/>
            <w:tcBorders>
              <w:top w:val="single" w:sz="4" w:space="0" w:color="auto"/>
              <w:bottom w:val="single" w:sz="4" w:space="0" w:color="auto"/>
            </w:tcBorders>
            <w:vAlign w:val="bottom"/>
          </w:tcPr>
          <w:p w14:paraId="40AD865C" w14:textId="77777777" w:rsidR="004E2F51" w:rsidRPr="004B4498" w:rsidRDefault="004E2F51" w:rsidP="00E032FC">
            <w:pPr>
              <w:jc w:val="right"/>
              <w:rPr>
                <w:rFonts w:ascii="Arial" w:hAnsi="Arial" w:cs="Arial"/>
                <w:bCs/>
                <w:color w:val="000000" w:themeColor="text1"/>
                <w:sz w:val="20"/>
                <w:szCs w:val="20"/>
                <w:lang w:val="hr-HR"/>
              </w:rPr>
            </w:pPr>
            <w:r w:rsidRPr="0046584E">
              <w:rPr>
                <w:rFonts w:ascii="Arial" w:hAnsi="Arial" w:cs="Arial"/>
                <w:bCs/>
                <w:color w:val="000000" w:themeColor="text1"/>
                <w:sz w:val="20"/>
                <w:szCs w:val="20"/>
                <w:lang w:val="hr-HR"/>
              </w:rPr>
              <w:t>(19.280)</w:t>
            </w:r>
          </w:p>
        </w:tc>
      </w:tr>
      <w:tr w:rsidR="004E2F51" w:rsidRPr="008B361C" w14:paraId="0D8E18F1" w14:textId="77777777" w:rsidTr="00E032FC">
        <w:trPr>
          <w:trHeight w:val="20"/>
        </w:trPr>
        <w:tc>
          <w:tcPr>
            <w:tcW w:w="2473" w:type="pct"/>
          </w:tcPr>
          <w:p w14:paraId="46A962EF" w14:textId="77777777" w:rsidR="004E2F51" w:rsidRPr="004B4498" w:rsidRDefault="004E2F51" w:rsidP="00E032FC">
            <w:pPr>
              <w:pStyle w:val="TT"/>
              <w:rPr>
                <w:rFonts w:cs="Arial"/>
                <w:color w:val="000000" w:themeColor="text1"/>
                <w:sz w:val="20"/>
                <w:lang w:val="hr-HR"/>
              </w:rPr>
            </w:pPr>
            <w:bookmarkStart w:id="819" w:name="_Toc67327623"/>
            <w:r w:rsidRPr="004B4498">
              <w:rPr>
                <w:rFonts w:cs="Arial"/>
                <w:color w:val="000000" w:themeColor="text1"/>
                <w:sz w:val="20"/>
                <w:lang w:val="hr-HR"/>
              </w:rPr>
              <w:t>Neto dobit/(gubitak) od tečajnih razlika s osnova obveza nominiranih u stranoj valuti:</w:t>
            </w:r>
            <w:bookmarkEnd w:id="819"/>
          </w:p>
        </w:tc>
        <w:tc>
          <w:tcPr>
            <w:tcW w:w="632" w:type="pct"/>
            <w:tcBorders>
              <w:top w:val="single" w:sz="4" w:space="0" w:color="auto"/>
            </w:tcBorders>
            <w:vAlign w:val="bottom"/>
          </w:tcPr>
          <w:p w14:paraId="6B454257" w14:textId="77777777" w:rsidR="004E2F51" w:rsidRPr="004B4498" w:rsidRDefault="004E2F51" w:rsidP="00E032FC">
            <w:pPr>
              <w:jc w:val="right"/>
              <w:rPr>
                <w:rFonts w:ascii="Arial" w:hAnsi="Arial" w:cs="Arial"/>
                <w:bCs/>
                <w:color w:val="000000" w:themeColor="text1"/>
                <w:sz w:val="20"/>
                <w:szCs w:val="20"/>
                <w:lang w:val="hr-HR"/>
              </w:rPr>
            </w:pPr>
          </w:p>
        </w:tc>
        <w:tc>
          <w:tcPr>
            <w:tcW w:w="633" w:type="pct"/>
            <w:tcBorders>
              <w:top w:val="single" w:sz="4" w:space="0" w:color="auto"/>
            </w:tcBorders>
            <w:vAlign w:val="bottom"/>
          </w:tcPr>
          <w:p w14:paraId="5B0EE370" w14:textId="77777777" w:rsidR="004E2F51" w:rsidRPr="004B4498" w:rsidRDefault="004E2F51" w:rsidP="00E032FC">
            <w:pPr>
              <w:jc w:val="right"/>
              <w:rPr>
                <w:rFonts w:ascii="Arial" w:hAnsi="Arial" w:cs="Arial"/>
                <w:bCs/>
                <w:color w:val="000000" w:themeColor="text1"/>
                <w:sz w:val="20"/>
                <w:szCs w:val="20"/>
                <w:lang w:val="hr-HR"/>
              </w:rPr>
            </w:pPr>
          </w:p>
        </w:tc>
        <w:tc>
          <w:tcPr>
            <w:tcW w:w="632" w:type="pct"/>
            <w:tcBorders>
              <w:top w:val="single" w:sz="4" w:space="0" w:color="auto"/>
            </w:tcBorders>
            <w:vAlign w:val="bottom"/>
          </w:tcPr>
          <w:p w14:paraId="653825D0" w14:textId="77777777" w:rsidR="004E2F51" w:rsidRPr="004B4498" w:rsidRDefault="004E2F51" w:rsidP="00E032FC">
            <w:pPr>
              <w:jc w:val="right"/>
              <w:rPr>
                <w:rFonts w:ascii="Arial" w:hAnsi="Arial" w:cs="Arial"/>
                <w:bCs/>
                <w:color w:val="000000" w:themeColor="text1"/>
                <w:sz w:val="20"/>
                <w:szCs w:val="20"/>
                <w:lang w:val="hr-HR"/>
              </w:rPr>
            </w:pPr>
          </w:p>
        </w:tc>
        <w:tc>
          <w:tcPr>
            <w:tcW w:w="630" w:type="pct"/>
            <w:tcBorders>
              <w:top w:val="single" w:sz="4" w:space="0" w:color="auto"/>
            </w:tcBorders>
            <w:vAlign w:val="bottom"/>
          </w:tcPr>
          <w:p w14:paraId="360F8C82" w14:textId="77777777" w:rsidR="004E2F51" w:rsidRPr="004B4498" w:rsidRDefault="004E2F51" w:rsidP="00E032FC">
            <w:pPr>
              <w:jc w:val="right"/>
              <w:rPr>
                <w:rFonts w:ascii="Arial" w:hAnsi="Arial" w:cs="Arial"/>
                <w:bCs/>
                <w:color w:val="000000" w:themeColor="text1"/>
                <w:sz w:val="20"/>
                <w:szCs w:val="20"/>
                <w:lang w:val="hr-HR"/>
              </w:rPr>
            </w:pPr>
          </w:p>
        </w:tc>
      </w:tr>
      <w:tr w:rsidR="004E2F51" w:rsidRPr="008B361C" w14:paraId="404EF12C" w14:textId="77777777" w:rsidTr="00E032FC">
        <w:trPr>
          <w:trHeight w:val="151"/>
        </w:trPr>
        <w:tc>
          <w:tcPr>
            <w:tcW w:w="2473" w:type="pct"/>
          </w:tcPr>
          <w:p w14:paraId="1F5F947E" w14:textId="77777777" w:rsidR="004E2F51" w:rsidRPr="004B4498" w:rsidRDefault="004E2F51" w:rsidP="00E032FC">
            <w:pPr>
              <w:pStyle w:val="TT"/>
              <w:rPr>
                <w:rFonts w:cs="Arial"/>
                <w:color w:val="000000" w:themeColor="text1"/>
                <w:sz w:val="20"/>
                <w:lang w:val="hr-HR"/>
              </w:rPr>
            </w:pPr>
            <w:r w:rsidRPr="004B4498">
              <w:rPr>
                <w:rFonts w:cs="Arial"/>
                <w:color w:val="000000" w:themeColor="text1"/>
                <w:sz w:val="20"/>
                <w:lang w:val="hr-HR"/>
              </w:rPr>
              <w:t xml:space="preserve">   </w:t>
            </w:r>
            <w:bookmarkStart w:id="820" w:name="_Toc67327624"/>
            <w:r w:rsidRPr="004B4498">
              <w:rPr>
                <w:rFonts w:cs="Arial"/>
                <w:color w:val="000000" w:themeColor="text1"/>
                <w:sz w:val="20"/>
                <w:lang w:val="hr-HR"/>
              </w:rPr>
              <w:t>Obveze po depozitima</w:t>
            </w:r>
            <w:bookmarkEnd w:id="820"/>
          </w:p>
        </w:tc>
        <w:tc>
          <w:tcPr>
            <w:tcW w:w="632" w:type="pct"/>
            <w:tcBorders>
              <w:top w:val="nil"/>
              <w:left w:val="nil"/>
              <w:bottom w:val="nil"/>
              <w:right w:val="nil"/>
            </w:tcBorders>
            <w:shd w:val="clear" w:color="auto" w:fill="auto"/>
            <w:vAlign w:val="bottom"/>
          </w:tcPr>
          <w:p w14:paraId="30D06F6E" w14:textId="77777777" w:rsidR="004E2F51" w:rsidRPr="004B4498" w:rsidRDefault="004E2F51" w:rsidP="00E032FC">
            <w:pPr>
              <w:jc w:val="right"/>
              <w:rPr>
                <w:rFonts w:ascii="Arial" w:hAnsi="Arial" w:cs="Arial"/>
                <w:bCs/>
                <w:color w:val="000000" w:themeColor="text1"/>
                <w:sz w:val="20"/>
                <w:szCs w:val="20"/>
                <w:lang w:val="hr-HR"/>
              </w:rPr>
            </w:pPr>
            <w:r w:rsidRPr="005A1C64">
              <w:rPr>
                <w:rFonts w:ascii="Arial" w:hAnsi="Arial" w:cs="Arial"/>
                <w:bCs/>
                <w:color w:val="000000" w:themeColor="text1"/>
                <w:sz w:val="20"/>
                <w:szCs w:val="20"/>
                <w:lang w:val="hr-HR"/>
              </w:rPr>
              <w:t xml:space="preserve"> (5.677)</w:t>
            </w:r>
          </w:p>
        </w:tc>
        <w:tc>
          <w:tcPr>
            <w:tcW w:w="633" w:type="pct"/>
            <w:tcBorders>
              <w:top w:val="nil"/>
              <w:left w:val="nil"/>
              <w:bottom w:val="nil"/>
              <w:right w:val="nil"/>
            </w:tcBorders>
            <w:shd w:val="clear" w:color="auto" w:fill="auto"/>
            <w:vAlign w:val="bottom"/>
          </w:tcPr>
          <w:p w14:paraId="474F97A4" w14:textId="77777777" w:rsidR="004E2F51" w:rsidRPr="004B4498" w:rsidRDefault="004E2F51" w:rsidP="00E032FC">
            <w:pPr>
              <w:jc w:val="right"/>
              <w:rPr>
                <w:rFonts w:ascii="Arial" w:hAnsi="Arial" w:cs="Arial"/>
                <w:bCs/>
                <w:color w:val="000000" w:themeColor="text1"/>
                <w:sz w:val="20"/>
                <w:szCs w:val="20"/>
                <w:lang w:val="hr-HR"/>
              </w:rPr>
            </w:pPr>
            <w:r w:rsidRPr="0046584E">
              <w:rPr>
                <w:rFonts w:ascii="Arial" w:hAnsi="Arial" w:cs="Arial"/>
                <w:bCs/>
                <w:color w:val="000000" w:themeColor="text1"/>
                <w:sz w:val="20"/>
                <w:szCs w:val="20"/>
                <w:lang w:val="hr-HR"/>
              </w:rPr>
              <w:t>(3.468)</w:t>
            </w:r>
          </w:p>
        </w:tc>
        <w:tc>
          <w:tcPr>
            <w:tcW w:w="632" w:type="pct"/>
            <w:tcBorders>
              <w:top w:val="nil"/>
              <w:left w:val="nil"/>
              <w:bottom w:val="nil"/>
              <w:right w:val="nil"/>
            </w:tcBorders>
            <w:shd w:val="clear" w:color="auto" w:fill="auto"/>
            <w:vAlign w:val="bottom"/>
          </w:tcPr>
          <w:p w14:paraId="53794FC2" w14:textId="77777777" w:rsidR="004E2F51" w:rsidRPr="004B4498" w:rsidRDefault="004E2F51" w:rsidP="00E032FC">
            <w:pPr>
              <w:jc w:val="right"/>
              <w:rPr>
                <w:rFonts w:ascii="Arial" w:hAnsi="Arial" w:cs="Arial"/>
                <w:bCs/>
                <w:color w:val="000000" w:themeColor="text1"/>
                <w:sz w:val="20"/>
                <w:szCs w:val="20"/>
                <w:lang w:val="hr-HR"/>
              </w:rPr>
            </w:pPr>
            <w:r w:rsidRPr="005A1C64">
              <w:rPr>
                <w:rFonts w:ascii="Arial" w:hAnsi="Arial" w:cs="Arial"/>
                <w:bCs/>
                <w:color w:val="000000" w:themeColor="text1"/>
                <w:sz w:val="20"/>
                <w:szCs w:val="20"/>
                <w:lang w:val="hr-HR"/>
              </w:rPr>
              <w:t xml:space="preserve"> (5.677)</w:t>
            </w:r>
          </w:p>
        </w:tc>
        <w:tc>
          <w:tcPr>
            <w:tcW w:w="630" w:type="pct"/>
            <w:tcBorders>
              <w:top w:val="nil"/>
              <w:left w:val="nil"/>
              <w:bottom w:val="nil"/>
              <w:right w:val="nil"/>
            </w:tcBorders>
            <w:shd w:val="clear" w:color="auto" w:fill="auto"/>
            <w:vAlign w:val="bottom"/>
          </w:tcPr>
          <w:p w14:paraId="6FF5B5DE" w14:textId="77777777" w:rsidR="004E2F51" w:rsidRPr="004B4498" w:rsidRDefault="004E2F51" w:rsidP="00E032FC">
            <w:pPr>
              <w:jc w:val="right"/>
              <w:rPr>
                <w:rFonts w:ascii="Arial" w:hAnsi="Arial" w:cs="Arial"/>
                <w:bCs/>
                <w:color w:val="000000" w:themeColor="text1"/>
                <w:sz w:val="20"/>
                <w:szCs w:val="20"/>
                <w:lang w:val="hr-HR"/>
              </w:rPr>
            </w:pPr>
            <w:r w:rsidRPr="0046584E">
              <w:rPr>
                <w:rFonts w:ascii="Arial" w:hAnsi="Arial" w:cs="Arial"/>
                <w:bCs/>
                <w:color w:val="000000" w:themeColor="text1"/>
                <w:sz w:val="20"/>
                <w:szCs w:val="20"/>
                <w:lang w:val="hr-HR"/>
              </w:rPr>
              <w:t>(3.468)</w:t>
            </w:r>
          </w:p>
        </w:tc>
      </w:tr>
      <w:tr w:rsidR="004E2F51" w:rsidRPr="008B361C" w14:paraId="0094D2D1" w14:textId="77777777" w:rsidTr="00E032FC">
        <w:trPr>
          <w:trHeight w:val="20"/>
        </w:trPr>
        <w:tc>
          <w:tcPr>
            <w:tcW w:w="2473" w:type="pct"/>
          </w:tcPr>
          <w:p w14:paraId="2F86F1A3" w14:textId="77777777" w:rsidR="004E2F51" w:rsidRPr="004B4498" w:rsidRDefault="004E2F51" w:rsidP="00E032FC">
            <w:pPr>
              <w:pStyle w:val="TT"/>
              <w:ind w:left="142" w:hanging="142"/>
              <w:rPr>
                <w:rFonts w:cs="Arial"/>
                <w:color w:val="000000" w:themeColor="text1"/>
                <w:sz w:val="20"/>
                <w:lang w:val="hr-HR"/>
              </w:rPr>
            </w:pPr>
            <w:r w:rsidRPr="004B4498">
              <w:rPr>
                <w:rFonts w:cs="Arial"/>
                <w:color w:val="000000" w:themeColor="text1"/>
                <w:sz w:val="20"/>
                <w:lang w:val="hr-HR"/>
              </w:rPr>
              <w:t xml:space="preserve">   </w:t>
            </w:r>
            <w:bookmarkStart w:id="821" w:name="_Toc67327625"/>
            <w:r w:rsidRPr="004B4498">
              <w:rPr>
                <w:rFonts w:cs="Arial"/>
                <w:color w:val="000000" w:themeColor="text1"/>
                <w:sz w:val="20"/>
                <w:lang w:val="hr-HR"/>
              </w:rPr>
              <w:t>Obveze po kreditima i izdanim dugoročnim  vrijednosnim papirima</w:t>
            </w:r>
            <w:bookmarkEnd w:id="821"/>
          </w:p>
        </w:tc>
        <w:tc>
          <w:tcPr>
            <w:tcW w:w="632" w:type="pct"/>
            <w:tcBorders>
              <w:top w:val="nil"/>
              <w:left w:val="nil"/>
              <w:right w:val="nil"/>
            </w:tcBorders>
            <w:shd w:val="clear" w:color="auto" w:fill="auto"/>
            <w:vAlign w:val="bottom"/>
          </w:tcPr>
          <w:p w14:paraId="66F0CD15" w14:textId="77777777" w:rsidR="004E2F51" w:rsidRPr="004B4498" w:rsidRDefault="004E2F51" w:rsidP="00E032FC">
            <w:pPr>
              <w:jc w:val="right"/>
              <w:rPr>
                <w:rFonts w:ascii="Arial" w:hAnsi="Arial" w:cs="Arial"/>
                <w:bCs/>
                <w:color w:val="000000" w:themeColor="text1"/>
                <w:sz w:val="20"/>
                <w:szCs w:val="20"/>
                <w:lang w:val="hr-HR"/>
              </w:rPr>
            </w:pPr>
            <w:r w:rsidRPr="005A1C64">
              <w:rPr>
                <w:rFonts w:ascii="Arial" w:hAnsi="Arial" w:cs="Arial"/>
                <w:bCs/>
                <w:color w:val="000000" w:themeColor="text1"/>
                <w:sz w:val="20"/>
                <w:szCs w:val="20"/>
                <w:lang w:val="hr-HR"/>
              </w:rPr>
              <w:t xml:space="preserve"> (45.905)</w:t>
            </w:r>
          </w:p>
        </w:tc>
        <w:tc>
          <w:tcPr>
            <w:tcW w:w="633" w:type="pct"/>
            <w:tcBorders>
              <w:top w:val="nil"/>
              <w:left w:val="nil"/>
              <w:right w:val="nil"/>
            </w:tcBorders>
            <w:shd w:val="clear" w:color="auto" w:fill="auto"/>
            <w:vAlign w:val="bottom"/>
          </w:tcPr>
          <w:p w14:paraId="3EF89AC9" w14:textId="77777777" w:rsidR="004E2F51" w:rsidRPr="004B4498" w:rsidRDefault="004E2F51" w:rsidP="00E032FC">
            <w:pPr>
              <w:jc w:val="right"/>
              <w:rPr>
                <w:rFonts w:ascii="Arial" w:hAnsi="Arial" w:cs="Arial"/>
                <w:bCs/>
                <w:color w:val="000000" w:themeColor="text1"/>
                <w:sz w:val="20"/>
                <w:szCs w:val="20"/>
                <w:lang w:val="hr-HR"/>
              </w:rPr>
            </w:pPr>
            <w:r w:rsidRPr="0046584E">
              <w:rPr>
                <w:rFonts w:ascii="Arial" w:hAnsi="Arial" w:cs="Arial"/>
                <w:bCs/>
                <w:color w:val="000000" w:themeColor="text1"/>
                <w:sz w:val="20"/>
                <w:szCs w:val="20"/>
                <w:lang w:val="hr-HR"/>
              </w:rPr>
              <w:t>25.402</w:t>
            </w:r>
          </w:p>
        </w:tc>
        <w:tc>
          <w:tcPr>
            <w:tcW w:w="632" w:type="pct"/>
            <w:tcBorders>
              <w:top w:val="nil"/>
              <w:left w:val="nil"/>
              <w:right w:val="nil"/>
            </w:tcBorders>
            <w:shd w:val="clear" w:color="auto" w:fill="auto"/>
            <w:vAlign w:val="bottom"/>
          </w:tcPr>
          <w:p w14:paraId="6256EA08" w14:textId="77777777" w:rsidR="004E2F51" w:rsidRPr="004B4498" w:rsidRDefault="004E2F51" w:rsidP="00E032FC">
            <w:pPr>
              <w:jc w:val="right"/>
              <w:rPr>
                <w:rFonts w:ascii="Arial" w:hAnsi="Arial" w:cs="Arial"/>
                <w:bCs/>
                <w:color w:val="000000" w:themeColor="text1"/>
                <w:sz w:val="20"/>
                <w:szCs w:val="20"/>
                <w:lang w:val="hr-HR"/>
              </w:rPr>
            </w:pPr>
            <w:r w:rsidRPr="005A1C64">
              <w:rPr>
                <w:rFonts w:ascii="Arial" w:hAnsi="Arial" w:cs="Arial"/>
                <w:bCs/>
                <w:color w:val="000000" w:themeColor="text1"/>
                <w:sz w:val="20"/>
                <w:szCs w:val="20"/>
                <w:lang w:val="hr-HR"/>
              </w:rPr>
              <w:t xml:space="preserve"> (45.905)</w:t>
            </w:r>
          </w:p>
        </w:tc>
        <w:tc>
          <w:tcPr>
            <w:tcW w:w="630" w:type="pct"/>
            <w:tcBorders>
              <w:top w:val="nil"/>
              <w:left w:val="nil"/>
              <w:right w:val="nil"/>
            </w:tcBorders>
            <w:shd w:val="clear" w:color="auto" w:fill="auto"/>
            <w:vAlign w:val="bottom"/>
          </w:tcPr>
          <w:p w14:paraId="3B5D2D04" w14:textId="77777777" w:rsidR="004E2F51" w:rsidRPr="004B4498" w:rsidRDefault="004E2F51" w:rsidP="00E032FC">
            <w:pPr>
              <w:jc w:val="right"/>
              <w:rPr>
                <w:rFonts w:ascii="Arial" w:hAnsi="Arial" w:cs="Arial"/>
                <w:bCs/>
                <w:color w:val="000000" w:themeColor="text1"/>
                <w:sz w:val="20"/>
                <w:szCs w:val="20"/>
                <w:lang w:val="hr-HR"/>
              </w:rPr>
            </w:pPr>
            <w:r w:rsidRPr="0046584E">
              <w:rPr>
                <w:rFonts w:ascii="Arial" w:hAnsi="Arial" w:cs="Arial"/>
                <w:bCs/>
                <w:color w:val="000000" w:themeColor="text1"/>
                <w:sz w:val="20"/>
                <w:szCs w:val="20"/>
                <w:lang w:val="hr-HR"/>
              </w:rPr>
              <w:t>25.402</w:t>
            </w:r>
          </w:p>
        </w:tc>
      </w:tr>
      <w:tr w:rsidR="004E2F51" w:rsidRPr="008B361C" w14:paraId="576AA067" w14:textId="77777777" w:rsidTr="00E032FC">
        <w:trPr>
          <w:trHeight w:val="120"/>
        </w:trPr>
        <w:tc>
          <w:tcPr>
            <w:tcW w:w="2473" w:type="pct"/>
          </w:tcPr>
          <w:p w14:paraId="68683FAA" w14:textId="77777777" w:rsidR="004E2F51" w:rsidRPr="004B4498" w:rsidRDefault="004E2F51" w:rsidP="00E032FC">
            <w:pPr>
              <w:pStyle w:val="TT"/>
              <w:rPr>
                <w:rFonts w:cs="Arial"/>
                <w:color w:val="000000" w:themeColor="text1"/>
                <w:sz w:val="20"/>
                <w:lang w:val="hr-HR"/>
              </w:rPr>
            </w:pPr>
            <w:r w:rsidRPr="004B4498">
              <w:rPr>
                <w:rFonts w:cs="Arial"/>
                <w:color w:val="000000" w:themeColor="text1"/>
                <w:sz w:val="20"/>
                <w:lang w:val="hr-HR"/>
              </w:rPr>
              <w:t xml:space="preserve">   </w:t>
            </w:r>
            <w:bookmarkStart w:id="822" w:name="_Toc67327626"/>
            <w:r w:rsidRPr="004B4498">
              <w:rPr>
                <w:rFonts w:cs="Arial"/>
                <w:color w:val="000000" w:themeColor="text1"/>
                <w:sz w:val="20"/>
                <w:lang w:val="hr-HR"/>
              </w:rPr>
              <w:t>Ostalo</w:t>
            </w:r>
            <w:bookmarkEnd w:id="822"/>
          </w:p>
        </w:tc>
        <w:tc>
          <w:tcPr>
            <w:tcW w:w="632" w:type="pct"/>
            <w:tcBorders>
              <w:top w:val="nil"/>
              <w:left w:val="nil"/>
              <w:bottom w:val="single" w:sz="4" w:space="0" w:color="auto"/>
              <w:right w:val="nil"/>
            </w:tcBorders>
            <w:shd w:val="clear" w:color="auto" w:fill="auto"/>
            <w:vAlign w:val="bottom"/>
          </w:tcPr>
          <w:p w14:paraId="025F4F41" w14:textId="77777777" w:rsidR="004E2F51" w:rsidRPr="004B4498" w:rsidRDefault="004E2F51" w:rsidP="00E032FC">
            <w:pPr>
              <w:jc w:val="right"/>
              <w:rPr>
                <w:rFonts w:ascii="Arial" w:hAnsi="Arial" w:cs="Arial"/>
                <w:bCs/>
                <w:color w:val="000000" w:themeColor="text1"/>
                <w:sz w:val="20"/>
                <w:szCs w:val="20"/>
                <w:lang w:val="hr-HR"/>
              </w:rPr>
            </w:pPr>
            <w:r w:rsidRPr="005A1C64">
              <w:rPr>
                <w:rFonts w:ascii="Arial" w:hAnsi="Arial" w:cs="Arial"/>
                <w:bCs/>
                <w:color w:val="000000" w:themeColor="text1"/>
                <w:sz w:val="20"/>
                <w:szCs w:val="20"/>
                <w:lang w:val="hr-HR"/>
              </w:rPr>
              <w:t xml:space="preserve"> 2.095 </w:t>
            </w:r>
          </w:p>
        </w:tc>
        <w:tc>
          <w:tcPr>
            <w:tcW w:w="633" w:type="pct"/>
            <w:tcBorders>
              <w:top w:val="nil"/>
              <w:left w:val="nil"/>
              <w:bottom w:val="single" w:sz="4" w:space="0" w:color="auto"/>
              <w:right w:val="nil"/>
            </w:tcBorders>
            <w:shd w:val="clear" w:color="auto" w:fill="auto"/>
            <w:vAlign w:val="bottom"/>
          </w:tcPr>
          <w:p w14:paraId="1D701E2C" w14:textId="77777777" w:rsidR="004E2F51" w:rsidRPr="004B4498" w:rsidRDefault="004E2F51" w:rsidP="00E032FC">
            <w:pPr>
              <w:jc w:val="right"/>
              <w:rPr>
                <w:rFonts w:ascii="Arial" w:hAnsi="Arial" w:cs="Arial"/>
                <w:bCs/>
                <w:color w:val="000000" w:themeColor="text1"/>
                <w:sz w:val="20"/>
                <w:szCs w:val="20"/>
                <w:lang w:val="hr-HR"/>
              </w:rPr>
            </w:pPr>
            <w:r w:rsidRPr="0046584E">
              <w:rPr>
                <w:rFonts w:ascii="Arial" w:hAnsi="Arial" w:cs="Arial"/>
                <w:bCs/>
                <w:color w:val="000000" w:themeColor="text1"/>
                <w:sz w:val="20"/>
                <w:szCs w:val="20"/>
                <w:lang w:val="hr-HR"/>
              </w:rPr>
              <w:t>(1.626)</w:t>
            </w:r>
          </w:p>
        </w:tc>
        <w:tc>
          <w:tcPr>
            <w:tcW w:w="632" w:type="pct"/>
            <w:tcBorders>
              <w:top w:val="nil"/>
              <w:left w:val="nil"/>
              <w:bottom w:val="single" w:sz="4" w:space="0" w:color="auto"/>
              <w:right w:val="nil"/>
            </w:tcBorders>
            <w:shd w:val="clear" w:color="auto" w:fill="auto"/>
            <w:vAlign w:val="bottom"/>
          </w:tcPr>
          <w:p w14:paraId="7142423E" w14:textId="77777777" w:rsidR="004E2F51" w:rsidRPr="004B4498" w:rsidRDefault="004E2F51" w:rsidP="00E032FC">
            <w:pPr>
              <w:jc w:val="right"/>
              <w:rPr>
                <w:rFonts w:ascii="Arial" w:hAnsi="Arial" w:cs="Arial"/>
                <w:bCs/>
                <w:color w:val="000000" w:themeColor="text1"/>
                <w:sz w:val="20"/>
                <w:szCs w:val="20"/>
                <w:lang w:val="hr-HR"/>
              </w:rPr>
            </w:pPr>
            <w:r w:rsidRPr="005A1C64">
              <w:rPr>
                <w:rFonts w:ascii="Arial" w:hAnsi="Arial" w:cs="Arial"/>
                <w:bCs/>
                <w:color w:val="000000" w:themeColor="text1"/>
                <w:sz w:val="20"/>
                <w:szCs w:val="20"/>
                <w:lang w:val="hr-HR"/>
              </w:rPr>
              <w:t xml:space="preserve"> 2.088 </w:t>
            </w:r>
          </w:p>
        </w:tc>
        <w:tc>
          <w:tcPr>
            <w:tcW w:w="630" w:type="pct"/>
            <w:tcBorders>
              <w:top w:val="nil"/>
              <w:left w:val="nil"/>
              <w:bottom w:val="single" w:sz="4" w:space="0" w:color="auto"/>
              <w:right w:val="nil"/>
            </w:tcBorders>
            <w:shd w:val="clear" w:color="auto" w:fill="auto"/>
            <w:vAlign w:val="bottom"/>
          </w:tcPr>
          <w:p w14:paraId="15F44793" w14:textId="77777777" w:rsidR="004E2F51" w:rsidRPr="004B4498" w:rsidRDefault="004E2F51" w:rsidP="00E032FC">
            <w:pPr>
              <w:jc w:val="right"/>
              <w:rPr>
                <w:rFonts w:ascii="Arial" w:hAnsi="Arial" w:cs="Arial"/>
                <w:bCs/>
                <w:color w:val="000000" w:themeColor="text1"/>
                <w:sz w:val="20"/>
                <w:szCs w:val="20"/>
                <w:lang w:val="hr-HR"/>
              </w:rPr>
            </w:pPr>
            <w:r w:rsidRPr="0046584E">
              <w:rPr>
                <w:rFonts w:ascii="Arial" w:hAnsi="Arial" w:cs="Arial"/>
                <w:bCs/>
                <w:color w:val="000000" w:themeColor="text1"/>
                <w:sz w:val="20"/>
                <w:szCs w:val="20"/>
                <w:lang w:val="hr-HR"/>
              </w:rPr>
              <w:t>(1.618)</w:t>
            </w:r>
          </w:p>
        </w:tc>
      </w:tr>
      <w:tr w:rsidR="004E2F51" w:rsidRPr="008B361C" w14:paraId="4E97A1E5" w14:textId="77777777" w:rsidTr="00E032FC">
        <w:trPr>
          <w:trHeight w:val="121"/>
        </w:trPr>
        <w:tc>
          <w:tcPr>
            <w:tcW w:w="2473" w:type="pct"/>
          </w:tcPr>
          <w:p w14:paraId="30986CA1" w14:textId="77777777" w:rsidR="004E2F51" w:rsidRPr="004B4498" w:rsidRDefault="004E2F51" w:rsidP="00E032FC">
            <w:pPr>
              <w:pStyle w:val="TT"/>
              <w:spacing w:line="360" w:lineRule="auto"/>
              <w:rPr>
                <w:rFonts w:cs="Arial"/>
                <w:i/>
                <w:color w:val="000000" w:themeColor="text1"/>
                <w:sz w:val="20"/>
                <w:lang w:val="hr-HR"/>
              </w:rPr>
            </w:pPr>
          </w:p>
        </w:tc>
        <w:tc>
          <w:tcPr>
            <w:tcW w:w="632" w:type="pct"/>
            <w:tcBorders>
              <w:top w:val="single" w:sz="4" w:space="0" w:color="auto"/>
              <w:left w:val="nil"/>
              <w:bottom w:val="single" w:sz="4" w:space="0" w:color="auto"/>
              <w:right w:val="nil"/>
            </w:tcBorders>
            <w:shd w:val="clear" w:color="auto" w:fill="auto"/>
            <w:vAlign w:val="bottom"/>
          </w:tcPr>
          <w:p w14:paraId="628C34D4" w14:textId="77777777" w:rsidR="004E2F51" w:rsidRPr="004B4498" w:rsidRDefault="004E2F51" w:rsidP="00E032FC">
            <w:pPr>
              <w:jc w:val="right"/>
              <w:rPr>
                <w:rFonts w:ascii="Arial" w:hAnsi="Arial" w:cs="Arial"/>
                <w:bCs/>
                <w:noProof/>
                <w:color w:val="000000" w:themeColor="text1"/>
                <w:sz w:val="20"/>
                <w:szCs w:val="20"/>
                <w:lang w:val="hr-HR" w:eastAsia="hr-HR"/>
              </w:rPr>
            </w:pPr>
            <w:r w:rsidRPr="005A1C64">
              <w:rPr>
                <w:rFonts w:ascii="Arial" w:hAnsi="Arial" w:cs="Arial"/>
                <w:bCs/>
                <w:noProof/>
                <w:color w:val="000000" w:themeColor="text1"/>
                <w:sz w:val="20"/>
                <w:szCs w:val="20"/>
                <w:lang w:val="hr-HR" w:eastAsia="hr-HR"/>
              </w:rPr>
              <w:t>(49.487)</w:t>
            </w:r>
          </w:p>
        </w:tc>
        <w:tc>
          <w:tcPr>
            <w:tcW w:w="633" w:type="pct"/>
            <w:tcBorders>
              <w:top w:val="single" w:sz="4" w:space="0" w:color="auto"/>
              <w:left w:val="nil"/>
              <w:bottom w:val="single" w:sz="4" w:space="0" w:color="auto"/>
              <w:right w:val="nil"/>
            </w:tcBorders>
            <w:shd w:val="clear" w:color="auto" w:fill="auto"/>
            <w:vAlign w:val="bottom"/>
          </w:tcPr>
          <w:p w14:paraId="37D388C6" w14:textId="77777777" w:rsidR="004E2F51" w:rsidRPr="004B4498" w:rsidRDefault="004E2F51" w:rsidP="00E032FC">
            <w:pPr>
              <w:jc w:val="right"/>
              <w:rPr>
                <w:rFonts w:ascii="Arial" w:hAnsi="Arial" w:cs="Arial"/>
                <w:bCs/>
                <w:noProof/>
                <w:color w:val="000000" w:themeColor="text1"/>
                <w:sz w:val="20"/>
                <w:szCs w:val="20"/>
                <w:lang w:val="hr-HR" w:eastAsia="hr-HR"/>
              </w:rPr>
            </w:pPr>
            <w:r w:rsidRPr="0046584E">
              <w:rPr>
                <w:rFonts w:ascii="Arial" w:hAnsi="Arial" w:cs="Arial"/>
                <w:bCs/>
                <w:noProof/>
                <w:color w:val="000000" w:themeColor="text1"/>
                <w:sz w:val="20"/>
                <w:szCs w:val="20"/>
                <w:lang w:val="hr-HR" w:eastAsia="hr-HR"/>
              </w:rPr>
              <w:t>20.308</w:t>
            </w:r>
          </w:p>
        </w:tc>
        <w:tc>
          <w:tcPr>
            <w:tcW w:w="632" w:type="pct"/>
            <w:tcBorders>
              <w:top w:val="single" w:sz="4" w:space="0" w:color="auto"/>
              <w:left w:val="nil"/>
              <w:bottom w:val="single" w:sz="4" w:space="0" w:color="auto"/>
              <w:right w:val="nil"/>
            </w:tcBorders>
            <w:shd w:val="clear" w:color="auto" w:fill="auto"/>
            <w:vAlign w:val="bottom"/>
          </w:tcPr>
          <w:p w14:paraId="4932F303" w14:textId="77777777" w:rsidR="004E2F51" w:rsidRPr="004B4498" w:rsidRDefault="004E2F51" w:rsidP="00E032FC">
            <w:pPr>
              <w:jc w:val="right"/>
              <w:rPr>
                <w:rFonts w:ascii="Arial" w:hAnsi="Arial" w:cs="Arial"/>
                <w:bCs/>
                <w:noProof/>
                <w:color w:val="000000" w:themeColor="text1"/>
                <w:sz w:val="20"/>
                <w:szCs w:val="20"/>
                <w:lang w:val="hr-HR" w:eastAsia="hr-HR"/>
              </w:rPr>
            </w:pPr>
            <w:r w:rsidRPr="005A1C64">
              <w:rPr>
                <w:rFonts w:ascii="Arial" w:hAnsi="Arial" w:cs="Arial"/>
                <w:bCs/>
                <w:noProof/>
                <w:color w:val="000000" w:themeColor="text1"/>
                <w:sz w:val="20"/>
                <w:szCs w:val="20"/>
                <w:lang w:val="hr-HR" w:eastAsia="hr-HR"/>
              </w:rPr>
              <w:t>(49.494)</w:t>
            </w:r>
          </w:p>
        </w:tc>
        <w:tc>
          <w:tcPr>
            <w:tcW w:w="630" w:type="pct"/>
            <w:tcBorders>
              <w:top w:val="single" w:sz="4" w:space="0" w:color="auto"/>
              <w:left w:val="nil"/>
              <w:bottom w:val="single" w:sz="4" w:space="0" w:color="auto"/>
              <w:right w:val="nil"/>
            </w:tcBorders>
            <w:shd w:val="clear" w:color="auto" w:fill="auto"/>
            <w:vAlign w:val="bottom"/>
          </w:tcPr>
          <w:p w14:paraId="42A1A730" w14:textId="77777777" w:rsidR="004E2F51" w:rsidRPr="004B4498" w:rsidRDefault="004E2F51" w:rsidP="00E032FC">
            <w:pPr>
              <w:jc w:val="right"/>
              <w:rPr>
                <w:rFonts w:ascii="Arial" w:hAnsi="Arial" w:cs="Arial"/>
                <w:bCs/>
                <w:noProof/>
                <w:color w:val="000000" w:themeColor="text1"/>
                <w:sz w:val="20"/>
                <w:szCs w:val="20"/>
                <w:lang w:val="hr-HR" w:eastAsia="hr-HR"/>
              </w:rPr>
            </w:pPr>
            <w:r w:rsidRPr="0046584E">
              <w:rPr>
                <w:rFonts w:ascii="Arial" w:hAnsi="Arial" w:cs="Arial"/>
                <w:bCs/>
                <w:noProof/>
                <w:color w:val="000000" w:themeColor="text1"/>
                <w:sz w:val="20"/>
                <w:szCs w:val="20"/>
                <w:lang w:val="hr-HR" w:eastAsia="hr-HR"/>
              </w:rPr>
              <w:t>20.316</w:t>
            </w:r>
          </w:p>
        </w:tc>
      </w:tr>
      <w:tr w:rsidR="004E2F51" w:rsidRPr="008B361C" w14:paraId="1D973B0A" w14:textId="77777777" w:rsidTr="00E032FC">
        <w:trPr>
          <w:trHeight w:val="120"/>
        </w:trPr>
        <w:tc>
          <w:tcPr>
            <w:tcW w:w="2473" w:type="pct"/>
          </w:tcPr>
          <w:p w14:paraId="2A2AB6A5" w14:textId="77777777" w:rsidR="004E2F51" w:rsidRPr="004B4498" w:rsidRDefault="004E2F51" w:rsidP="00E032FC">
            <w:pPr>
              <w:pStyle w:val="TT"/>
              <w:rPr>
                <w:rFonts w:cs="Arial"/>
                <w:b/>
                <w:color w:val="000000" w:themeColor="text1"/>
                <w:sz w:val="20"/>
                <w:lang w:val="hr-HR"/>
              </w:rPr>
            </w:pPr>
            <w:bookmarkStart w:id="823" w:name="_Toc67327627"/>
            <w:r w:rsidRPr="004B4498">
              <w:rPr>
                <w:rFonts w:cs="Arial"/>
                <w:b/>
                <w:color w:val="000000" w:themeColor="text1"/>
                <w:sz w:val="20"/>
                <w:lang w:val="hr-HR"/>
              </w:rPr>
              <w:t>Neto dobit/(gubitak) od tečajnih razlika s osnova imovine i obveza nominiranih u stranoj valuti</w:t>
            </w:r>
            <w:bookmarkEnd w:id="823"/>
          </w:p>
        </w:tc>
        <w:tc>
          <w:tcPr>
            <w:tcW w:w="632" w:type="pct"/>
            <w:tcBorders>
              <w:top w:val="single" w:sz="4" w:space="0" w:color="auto"/>
              <w:left w:val="nil"/>
              <w:bottom w:val="single" w:sz="12" w:space="0" w:color="auto"/>
              <w:right w:val="nil"/>
            </w:tcBorders>
            <w:shd w:val="clear" w:color="auto" w:fill="auto"/>
            <w:vAlign w:val="bottom"/>
          </w:tcPr>
          <w:p w14:paraId="43AD935C" w14:textId="77777777" w:rsidR="004E2F51" w:rsidRPr="004B4498" w:rsidRDefault="004E2F51" w:rsidP="00E032FC">
            <w:pPr>
              <w:jc w:val="right"/>
              <w:rPr>
                <w:rFonts w:ascii="Arial" w:hAnsi="Arial" w:cs="Arial"/>
                <w:b/>
                <w:bCs/>
                <w:color w:val="000000" w:themeColor="text1"/>
                <w:sz w:val="20"/>
                <w:szCs w:val="20"/>
                <w:lang w:val="hr-HR"/>
              </w:rPr>
            </w:pPr>
            <w:r w:rsidRPr="005A1C64">
              <w:rPr>
                <w:rFonts w:ascii="Arial" w:hAnsi="Arial" w:cs="Arial"/>
                <w:b/>
                <w:bCs/>
                <w:color w:val="000000" w:themeColor="text1"/>
                <w:sz w:val="20"/>
                <w:szCs w:val="20"/>
                <w:lang w:val="hr-HR"/>
              </w:rPr>
              <w:t>(5.269)</w:t>
            </w:r>
          </w:p>
        </w:tc>
        <w:tc>
          <w:tcPr>
            <w:tcW w:w="633" w:type="pct"/>
            <w:tcBorders>
              <w:top w:val="single" w:sz="4" w:space="0" w:color="auto"/>
              <w:left w:val="nil"/>
              <w:bottom w:val="single" w:sz="12" w:space="0" w:color="auto"/>
              <w:right w:val="nil"/>
            </w:tcBorders>
            <w:shd w:val="clear" w:color="auto" w:fill="auto"/>
            <w:vAlign w:val="bottom"/>
          </w:tcPr>
          <w:p w14:paraId="74FB0BD5" w14:textId="77777777" w:rsidR="004E2F51" w:rsidRPr="004B4498" w:rsidRDefault="004E2F51" w:rsidP="00E032FC">
            <w:pPr>
              <w:jc w:val="right"/>
              <w:rPr>
                <w:rFonts w:ascii="Arial" w:hAnsi="Arial" w:cs="Arial"/>
                <w:b/>
                <w:bCs/>
                <w:color w:val="000000" w:themeColor="text1"/>
                <w:sz w:val="20"/>
                <w:szCs w:val="20"/>
                <w:lang w:val="hr-HR"/>
              </w:rPr>
            </w:pPr>
            <w:r w:rsidRPr="0046584E">
              <w:rPr>
                <w:rFonts w:ascii="Arial" w:hAnsi="Arial" w:cs="Arial"/>
                <w:b/>
                <w:bCs/>
                <w:color w:val="000000" w:themeColor="text1"/>
                <w:sz w:val="20"/>
                <w:szCs w:val="20"/>
                <w:lang w:val="hr-HR"/>
              </w:rPr>
              <w:t>980</w:t>
            </w:r>
          </w:p>
        </w:tc>
        <w:tc>
          <w:tcPr>
            <w:tcW w:w="632" w:type="pct"/>
            <w:tcBorders>
              <w:top w:val="single" w:sz="4" w:space="0" w:color="auto"/>
              <w:left w:val="nil"/>
              <w:bottom w:val="single" w:sz="12" w:space="0" w:color="auto"/>
              <w:right w:val="nil"/>
            </w:tcBorders>
            <w:shd w:val="clear" w:color="auto" w:fill="auto"/>
            <w:vAlign w:val="bottom"/>
          </w:tcPr>
          <w:p w14:paraId="5E01DB4B" w14:textId="77777777" w:rsidR="004E2F51" w:rsidRPr="004B4498" w:rsidRDefault="004E2F51" w:rsidP="00E032FC">
            <w:pPr>
              <w:jc w:val="right"/>
              <w:rPr>
                <w:rFonts w:ascii="Arial" w:hAnsi="Arial" w:cs="Arial"/>
                <w:b/>
                <w:bCs/>
                <w:color w:val="000000" w:themeColor="text1"/>
                <w:sz w:val="20"/>
                <w:szCs w:val="20"/>
                <w:lang w:val="hr-HR"/>
              </w:rPr>
            </w:pPr>
            <w:r w:rsidRPr="005A1C64">
              <w:rPr>
                <w:rFonts w:ascii="Arial" w:hAnsi="Arial" w:cs="Arial"/>
                <w:b/>
                <w:bCs/>
                <w:color w:val="000000" w:themeColor="text1"/>
                <w:sz w:val="20"/>
                <w:szCs w:val="20"/>
                <w:lang w:val="hr-HR"/>
              </w:rPr>
              <w:t>(5.312)</w:t>
            </w:r>
          </w:p>
        </w:tc>
        <w:tc>
          <w:tcPr>
            <w:tcW w:w="630" w:type="pct"/>
            <w:tcBorders>
              <w:top w:val="single" w:sz="4" w:space="0" w:color="auto"/>
              <w:left w:val="nil"/>
              <w:bottom w:val="single" w:sz="12" w:space="0" w:color="auto"/>
              <w:right w:val="nil"/>
            </w:tcBorders>
            <w:shd w:val="clear" w:color="auto" w:fill="auto"/>
            <w:vAlign w:val="bottom"/>
          </w:tcPr>
          <w:p w14:paraId="0846C243" w14:textId="77777777" w:rsidR="004E2F51" w:rsidRPr="004B4498" w:rsidRDefault="004E2F51" w:rsidP="00E032FC">
            <w:pPr>
              <w:jc w:val="right"/>
              <w:rPr>
                <w:rFonts w:ascii="Arial" w:hAnsi="Arial" w:cs="Arial"/>
                <w:b/>
                <w:bCs/>
                <w:color w:val="000000" w:themeColor="text1"/>
                <w:sz w:val="20"/>
                <w:szCs w:val="20"/>
                <w:lang w:val="hr-HR"/>
              </w:rPr>
            </w:pPr>
            <w:r w:rsidRPr="0046584E">
              <w:rPr>
                <w:rFonts w:ascii="Arial" w:hAnsi="Arial" w:cs="Arial"/>
                <w:b/>
                <w:bCs/>
                <w:color w:val="000000" w:themeColor="text1"/>
                <w:sz w:val="20"/>
                <w:szCs w:val="20"/>
                <w:lang w:val="hr-HR"/>
              </w:rPr>
              <w:t>1.036</w:t>
            </w:r>
          </w:p>
        </w:tc>
      </w:tr>
      <w:tr w:rsidR="004E2F51" w:rsidRPr="008B361C" w14:paraId="1348FC31" w14:textId="77777777" w:rsidTr="00E032FC">
        <w:trPr>
          <w:trHeight w:val="120"/>
        </w:trPr>
        <w:tc>
          <w:tcPr>
            <w:tcW w:w="2473" w:type="pct"/>
          </w:tcPr>
          <w:p w14:paraId="4DC0B909" w14:textId="77777777" w:rsidR="004E2F51" w:rsidRPr="004B4498" w:rsidRDefault="004E2F51" w:rsidP="00E032FC">
            <w:pPr>
              <w:pStyle w:val="TT"/>
              <w:rPr>
                <w:rFonts w:cs="Arial"/>
                <w:color w:val="000000" w:themeColor="text1"/>
                <w:sz w:val="20"/>
                <w:lang w:val="hr-HR"/>
              </w:rPr>
            </w:pPr>
            <w:bookmarkStart w:id="824" w:name="_Toc67327628"/>
            <w:r w:rsidRPr="004B4498">
              <w:rPr>
                <w:rFonts w:cs="Arial"/>
                <w:color w:val="000000" w:themeColor="text1"/>
                <w:sz w:val="20"/>
                <w:lang w:val="hr-HR"/>
              </w:rPr>
              <w:t>Dobitak/(gubitak) od financijske imovine koja se iskazuje po fer vrijednosti kroz dobit ili gubitak</w:t>
            </w:r>
            <w:bookmarkEnd w:id="824"/>
          </w:p>
        </w:tc>
        <w:tc>
          <w:tcPr>
            <w:tcW w:w="632" w:type="pct"/>
            <w:tcBorders>
              <w:top w:val="single" w:sz="12" w:space="0" w:color="auto"/>
              <w:left w:val="nil"/>
              <w:right w:val="nil"/>
            </w:tcBorders>
            <w:shd w:val="clear" w:color="auto" w:fill="auto"/>
            <w:vAlign w:val="bottom"/>
          </w:tcPr>
          <w:p w14:paraId="75877644" w14:textId="77777777" w:rsidR="004E2F51" w:rsidRPr="004B4498" w:rsidRDefault="004E2F51" w:rsidP="00E032FC">
            <w:pPr>
              <w:jc w:val="right"/>
              <w:rPr>
                <w:rFonts w:ascii="Arial" w:eastAsia="Arial Unicode MS" w:hAnsi="Arial" w:cs="Arial"/>
                <w:color w:val="000000" w:themeColor="text1"/>
                <w:sz w:val="20"/>
                <w:szCs w:val="20"/>
                <w:lang w:val="hr-HR"/>
              </w:rPr>
            </w:pPr>
            <w:r w:rsidRPr="005A1C64">
              <w:rPr>
                <w:rFonts w:ascii="Arial" w:eastAsia="Arial Unicode MS" w:hAnsi="Arial" w:cs="Arial"/>
                <w:color w:val="000000" w:themeColor="text1"/>
                <w:sz w:val="20"/>
                <w:szCs w:val="20"/>
                <w:lang w:val="hr-HR"/>
              </w:rPr>
              <w:t>17.018</w:t>
            </w:r>
          </w:p>
        </w:tc>
        <w:tc>
          <w:tcPr>
            <w:tcW w:w="633" w:type="pct"/>
            <w:tcBorders>
              <w:top w:val="single" w:sz="12" w:space="0" w:color="auto"/>
              <w:left w:val="nil"/>
              <w:right w:val="nil"/>
            </w:tcBorders>
            <w:shd w:val="clear" w:color="auto" w:fill="auto"/>
            <w:vAlign w:val="bottom"/>
          </w:tcPr>
          <w:p w14:paraId="68D11366" w14:textId="77777777" w:rsidR="004E2F51" w:rsidRPr="004B4498" w:rsidRDefault="004E2F51" w:rsidP="00E032FC">
            <w:pPr>
              <w:jc w:val="right"/>
              <w:rPr>
                <w:rFonts w:ascii="Arial" w:eastAsia="Arial Unicode MS" w:hAnsi="Arial" w:cs="Arial"/>
                <w:color w:val="000000" w:themeColor="text1"/>
                <w:sz w:val="20"/>
                <w:szCs w:val="20"/>
                <w:lang w:val="hr-HR"/>
              </w:rPr>
            </w:pPr>
            <w:r w:rsidRPr="0046584E">
              <w:rPr>
                <w:rFonts w:ascii="Arial" w:eastAsia="Arial Unicode MS" w:hAnsi="Arial" w:cs="Arial"/>
                <w:color w:val="000000" w:themeColor="text1"/>
                <w:sz w:val="20"/>
                <w:szCs w:val="20"/>
                <w:lang w:val="hr-HR"/>
              </w:rPr>
              <w:t>(7.758)</w:t>
            </w:r>
          </w:p>
        </w:tc>
        <w:tc>
          <w:tcPr>
            <w:tcW w:w="632" w:type="pct"/>
            <w:tcBorders>
              <w:top w:val="single" w:sz="12" w:space="0" w:color="auto"/>
              <w:left w:val="nil"/>
              <w:right w:val="nil"/>
            </w:tcBorders>
            <w:shd w:val="clear" w:color="auto" w:fill="auto"/>
            <w:vAlign w:val="bottom"/>
          </w:tcPr>
          <w:p w14:paraId="37E22445" w14:textId="77777777" w:rsidR="004E2F51" w:rsidRPr="004B4498" w:rsidRDefault="004E2F51" w:rsidP="00E032FC">
            <w:pPr>
              <w:jc w:val="right"/>
              <w:rPr>
                <w:rFonts w:ascii="Arial" w:eastAsia="Arial Unicode MS" w:hAnsi="Arial" w:cs="Arial"/>
                <w:color w:val="000000" w:themeColor="text1"/>
                <w:sz w:val="20"/>
                <w:szCs w:val="20"/>
                <w:lang w:val="hr-HR"/>
              </w:rPr>
            </w:pPr>
            <w:r w:rsidRPr="005A1C64">
              <w:rPr>
                <w:rFonts w:ascii="Arial" w:eastAsia="Arial Unicode MS" w:hAnsi="Arial" w:cs="Arial"/>
                <w:color w:val="000000" w:themeColor="text1"/>
                <w:sz w:val="20"/>
                <w:szCs w:val="20"/>
                <w:lang w:val="hr-HR"/>
              </w:rPr>
              <w:t>17.018</w:t>
            </w:r>
          </w:p>
        </w:tc>
        <w:tc>
          <w:tcPr>
            <w:tcW w:w="630" w:type="pct"/>
            <w:tcBorders>
              <w:top w:val="single" w:sz="12" w:space="0" w:color="auto"/>
              <w:left w:val="nil"/>
              <w:right w:val="nil"/>
            </w:tcBorders>
            <w:shd w:val="clear" w:color="auto" w:fill="auto"/>
            <w:vAlign w:val="bottom"/>
          </w:tcPr>
          <w:p w14:paraId="79963A56" w14:textId="77777777" w:rsidR="004E2F51" w:rsidRPr="004B4498" w:rsidRDefault="004E2F51" w:rsidP="00E032FC">
            <w:pPr>
              <w:jc w:val="right"/>
              <w:rPr>
                <w:rFonts w:ascii="Arial" w:eastAsia="Arial Unicode MS" w:hAnsi="Arial" w:cs="Arial"/>
                <w:color w:val="000000" w:themeColor="text1"/>
                <w:sz w:val="20"/>
                <w:szCs w:val="20"/>
                <w:lang w:val="hr-HR"/>
              </w:rPr>
            </w:pPr>
            <w:r w:rsidRPr="0046584E">
              <w:rPr>
                <w:rFonts w:ascii="Arial" w:eastAsia="Arial Unicode MS" w:hAnsi="Arial" w:cs="Arial"/>
                <w:color w:val="000000" w:themeColor="text1"/>
                <w:sz w:val="20"/>
                <w:szCs w:val="20"/>
                <w:lang w:val="hr-HR"/>
              </w:rPr>
              <w:t>(7.758)</w:t>
            </w:r>
          </w:p>
        </w:tc>
      </w:tr>
      <w:tr w:rsidR="004E2F51" w:rsidRPr="008B361C" w14:paraId="2D94BAF3" w14:textId="77777777" w:rsidTr="00E032FC">
        <w:trPr>
          <w:trHeight w:val="120"/>
        </w:trPr>
        <w:tc>
          <w:tcPr>
            <w:tcW w:w="2473" w:type="pct"/>
          </w:tcPr>
          <w:p w14:paraId="71FF9C85" w14:textId="77777777" w:rsidR="004E2F51" w:rsidRPr="004B4498" w:rsidRDefault="004E2F51" w:rsidP="00E032FC">
            <w:pPr>
              <w:pStyle w:val="TT"/>
              <w:rPr>
                <w:rFonts w:cs="Arial"/>
                <w:color w:val="000000" w:themeColor="text1"/>
                <w:sz w:val="20"/>
                <w:lang w:val="hr-HR"/>
              </w:rPr>
            </w:pPr>
            <w:bookmarkStart w:id="825" w:name="_Toc67327629"/>
            <w:r w:rsidRPr="004B4498">
              <w:rPr>
                <w:rFonts w:cs="Arial"/>
                <w:color w:val="000000" w:themeColor="text1"/>
                <w:sz w:val="20"/>
                <w:lang w:val="hr-HR"/>
              </w:rPr>
              <w:t>Dobitak/(gubitak) od trgovanja derivatima</w:t>
            </w:r>
            <w:bookmarkEnd w:id="825"/>
          </w:p>
        </w:tc>
        <w:tc>
          <w:tcPr>
            <w:tcW w:w="632" w:type="pct"/>
            <w:tcBorders>
              <w:left w:val="nil"/>
              <w:right w:val="nil"/>
            </w:tcBorders>
            <w:shd w:val="clear" w:color="auto" w:fill="auto"/>
            <w:vAlign w:val="bottom"/>
          </w:tcPr>
          <w:p w14:paraId="76248769" w14:textId="77777777" w:rsidR="004E2F51" w:rsidRPr="004B4498" w:rsidRDefault="004E2F51" w:rsidP="00E032FC">
            <w:pPr>
              <w:jc w:val="right"/>
              <w:rPr>
                <w:rFonts w:ascii="Arial" w:hAnsi="Arial" w:cs="Arial"/>
                <w:color w:val="000000" w:themeColor="text1"/>
                <w:sz w:val="20"/>
                <w:szCs w:val="20"/>
                <w:lang w:val="hr-HR"/>
              </w:rPr>
            </w:pPr>
            <w:r w:rsidRPr="005A1C64">
              <w:rPr>
                <w:rFonts w:ascii="Arial" w:hAnsi="Arial" w:cs="Arial"/>
                <w:color w:val="000000" w:themeColor="text1"/>
                <w:sz w:val="20"/>
                <w:szCs w:val="20"/>
                <w:lang w:val="hr-HR"/>
              </w:rPr>
              <w:t>5.304</w:t>
            </w:r>
          </w:p>
        </w:tc>
        <w:tc>
          <w:tcPr>
            <w:tcW w:w="633" w:type="pct"/>
            <w:tcBorders>
              <w:left w:val="nil"/>
              <w:right w:val="nil"/>
            </w:tcBorders>
            <w:shd w:val="clear" w:color="auto" w:fill="auto"/>
            <w:vAlign w:val="bottom"/>
          </w:tcPr>
          <w:p w14:paraId="726BB2F7"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(5.115)</w:t>
            </w:r>
          </w:p>
        </w:tc>
        <w:tc>
          <w:tcPr>
            <w:tcW w:w="632" w:type="pct"/>
            <w:tcBorders>
              <w:left w:val="nil"/>
              <w:right w:val="nil"/>
            </w:tcBorders>
            <w:shd w:val="clear" w:color="auto" w:fill="auto"/>
            <w:vAlign w:val="bottom"/>
          </w:tcPr>
          <w:p w14:paraId="28BD9642" w14:textId="77777777" w:rsidR="004E2F51" w:rsidRPr="004B4498" w:rsidRDefault="004E2F51" w:rsidP="00E032FC">
            <w:pPr>
              <w:jc w:val="right"/>
              <w:rPr>
                <w:rFonts w:ascii="Arial" w:hAnsi="Arial" w:cs="Arial"/>
                <w:color w:val="000000" w:themeColor="text1"/>
                <w:sz w:val="20"/>
                <w:szCs w:val="20"/>
                <w:lang w:val="hr-HR"/>
              </w:rPr>
            </w:pPr>
            <w:r w:rsidRPr="005A1C64">
              <w:rPr>
                <w:rFonts w:ascii="Arial" w:hAnsi="Arial" w:cs="Arial"/>
                <w:color w:val="000000" w:themeColor="text1"/>
                <w:sz w:val="20"/>
                <w:szCs w:val="20"/>
                <w:lang w:val="hr-HR"/>
              </w:rPr>
              <w:t>5.304</w:t>
            </w:r>
          </w:p>
        </w:tc>
        <w:tc>
          <w:tcPr>
            <w:tcW w:w="630" w:type="pct"/>
            <w:tcBorders>
              <w:left w:val="nil"/>
              <w:right w:val="nil"/>
            </w:tcBorders>
            <w:shd w:val="clear" w:color="auto" w:fill="auto"/>
            <w:vAlign w:val="bottom"/>
          </w:tcPr>
          <w:p w14:paraId="0C3A2471"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(5.115)</w:t>
            </w:r>
          </w:p>
        </w:tc>
      </w:tr>
      <w:tr w:rsidR="004E2F51" w:rsidRPr="008B361C" w14:paraId="3997945C" w14:textId="77777777" w:rsidTr="00E032FC">
        <w:trPr>
          <w:trHeight w:val="120"/>
        </w:trPr>
        <w:tc>
          <w:tcPr>
            <w:tcW w:w="2473" w:type="pct"/>
          </w:tcPr>
          <w:p w14:paraId="3DD4C316" w14:textId="77777777" w:rsidR="004E2F51" w:rsidRPr="004B4498" w:rsidRDefault="004E2F51" w:rsidP="00E032FC">
            <w:pPr>
              <w:pStyle w:val="TT"/>
              <w:rPr>
                <w:rFonts w:cs="Arial"/>
                <w:color w:val="000000" w:themeColor="text1"/>
                <w:sz w:val="20"/>
                <w:lang w:val="hr-HR"/>
              </w:rPr>
            </w:pPr>
            <w:bookmarkStart w:id="826" w:name="_Toc67327630"/>
            <w:bookmarkStart w:id="827" w:name="_Hlk4513216"/>
            <w:r w:rsidRPr="004B4498">
              <w:rPr>
                <w:rFonts w:cs="Arial"/>
                <w:color w:val="000000" w:themeColor="text1"/>
                <w:sz w:val="20"/>
                <w:lang w:val="hr-HR"/>
              </w:rPr>
              <w:t>Realizirani (gubitak)</w:t>
            </w:r>
            <w:r>
              <w:rPr>
                <w:rFonts w:cs="Arial"/>
                <w:color w:val="000000" w:themeColor="text1"/>
                <w:sz w:val="20"/>
                <w:lang w:val="hr-HR"/>
              </w:rPr>
              <w:t xml:space="preserve"> </w:t>
            </w:r>
            <w:r w:rsidRPr="004B4498">
              <w:rPr>
                <w:rFonts w:cs="Arial"/>
                <w:color w:val="000000" w:themeColor="text1"/>
                <w:sz w:val="20"/>
                <w:lang w:val="hr-HR"/>
              </w:rPr>
              <w:t>od financijske imovine po fer vrijednosti kroz ostalu sveobuhvatnu dobit</w:t>
            </w:r>
            <w:bookmarkEnd w:id="826"/>
          </w:p>
        </w:tc>
        <w:tc>
          <w:tcPr>
            <w:tcW w:w="632" w:type="pct"/>
            <w:tcBorders>
              <w:left w:val="nil"/>
              <w:right w:val="nil"/>
            </w:tcBorders>
            <w:shd w:val="clear" w:color="auto" w:fill="auto"/>
            <w:vAlign w:val="bottom"/>
          </w:tcPr>
          <w:p w14:paraId="264CEF6C" w14:textId="77777777" w:rsidR="004E2F51" w:rsidRPr="004B4498" w:rsidRDefault="004E2F51" w:rsidP="00E032FC">
            <w:pPr>
              <w:jc w:val="right"/>
              <w:rPr>
                <w:rFonts w:ascii="Arial" w:hAnsi="Arial" w:cs="Arial"/>
                <w:color w:val="000000" w:themeColor="text1"/>
                <w:sz w:val="20"/>
                <w:szCs w:val="20"/>
                <w:lang w:val="hr-HR"/>
              </w:rPr>
            </w:pPr>
            <w:r w:rsidRPr="005A1C64">
              <w:rPr>
                <w:rFonts w:ascii="Arial" w:hAnsi="Arial" w:cs="Arial"/>
                <w:color w:val="000000" w:themeColor="text1"/>
                <w:sz w:val="20"/>
                <w:szCs w:val="20"/>
                <w:lang w:val="hr-HR"/>
              </w:rPr>
              <w:t>(285)</w:t>
            </w:r>
          </w:p>
        </w:tc>
        <w:tc>
          <w:tcPr>
            <w:tcW w:w="633" w:type="pct"/>
            <w:tcBorders>
              <w:left w:val="nil"/>
              <w:right w:val="nil"/>
            </w:tcBorders>
            <w:shd w:val="clear" w:color="auto" w:fill="auto"/>
            <w:vAlign w:val="bottom"/>
          </w:tcPr>
          <w:p w14:paraId="7089C033"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 xml:space="preserve">-   </w:t>
            </w:r>
          </w:p>
        </w:tc>
        <w:tc>
          <w:tcPr>
            <w:tcW w:w="632" w:type="pct"/>
            <w:tcBorders>
              <w:left w:val="nil"/>
              <w:right w:val="nil"/>
            </w:tcBorders>
            <w:shd w:val="clear" w:color="auto" w:fill="auto"/>
            <w:vAlign w:val="bottom"/>
          </w:tcPr>
          <w:p w14:paraId="6F9F46AE" w14:textId="77777777" w:rsidR="004E2F51" w:rsidRPr="004B4498" w:rsidRDefault="004E2F51" w:rsidP="00E032FC">
            <w:pPr>
              <w:jc w:val="right"/>
              <w:rPr>
                <w:rFonts w:ascii="Arial" w:hAnsi="Arial" w:cs="Arial"/>
                <w:color w:val="000000" w:themeColor="text1"/>
                <w:sz w:val="20"/>
                <w:szCs w:val="20"/>
                <w:lang w:val="hr-HR"/>
              </w:rPr>
            </w:pPr>
            <w:r w:rsidRPr="005A1C64">
              <w:rPr>
                <w:rFonts w:ascii="Arial" w:hAnsi="Arial" w:cs="Arial"/>
                <w:color w:val="000000" w:themeColor="text1"/>
                <w:sz w:val="20"/>
                <w:szCs w:val="20"/>
                <w:lang w:val="hr-HR"/>
              </w:rPr>
              <w:t>(285)</w:t>
            </w:r>
          </w:p>
        </w:tc>
        <w:tc>
          <w:tcPr>
            <w:tcW w:w="630" w:type="pct"/>
            <w:tcBorders>
              <w:left w:val="nil"/>
              <w:right w:val="nil"/>
            </w:tcBorders>
            <w:shd w:val="clear" w:color="auto" w:fill="auto"/>
            <w:vAlign w:val="bottom"/>
          </w:tcPr>
          <w:p w14:paraId="4C677F9D"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w:t>
            </w:r>
          </w:p>
        </w:tc>
      </w:tr>
      <w:tr w:rsidR="004E2F51" w:rsidRPr="008B361C" w14:paraId="2FFA0B1A" w14:textId="77777777" w:rsidTr="00E032FC">
        <w:trPr>
          <w:trHeight w:val="120"/>
        </w:trPr>
        <w:tc>
          <w:tcPr>
            <w:tcW w:w="2473" w:type="pct"/>
            <w:vAlign w:val="bottom"/>
          </w:tcPr>
          <w:p w14:paraId="07235D99" w14:textId="77777777" w:rsidR="004E2F51" w:rsidRPr="004B4498" w:rsidRDefault="004E2F51" w:rsidP="00E032FC">
            <w:pPr>
              <w:pStyle w:val="Tot"/>
              <w:rPr>
                <w:rFonts w:cs="Arial"/>
                <w:b/>
                <w:bCs/>
                <w:color w:val="000000" w:themeColor="text1"/>
                <w:sz w:val="20"/>
                <w:lang w:val="hr-HR"/>
              </w:rPr>
            </w:pPr>
            <w:bookmarkStart w:id="828" w:name="_Toc67327631"/>
            <w:bookmarkEnd w:id="827"/>
            <w:r w:rsidRPr="004B4498">
              <w:rPr>
                <w:rFonts w:cs="Arial"/>
                <w:b/>
                <w:bCs/>
                <w:color w:val="000000" w:themeColor="text1"/>
                <w:sz w:val="20"/>
                <w:lang w:val="hr-HR"/>
              </w:rPr>
              <w:t>Neto prihodi</w:t>
            </w:r>
            <w:r>
              <w:rPr>
                <w:rFonts w:cs="Arial"/>
                <w:b/>
                <w:bCs/>
                <w:color w:val="000000" w:themeColor="text1"/>
                <w:sz w:val="20"/>
                <w:lang w:val="hr-HR"/>
              </w:rPr>
              <w:t>/</w:t>
            </w:r>
            <w:r w:rsidRPr="004B4498">
              <w:rPr>
                <w:rFonts w:cs="Arial"/>
                <w:b/>
                <w:bCs/>
                <w:color w:val="000000" w:themeColor="text1"/>
                <w:sz w:val="20"/>
                <w:lang w:val="hr-HR"/>
              </w:rPr>
              <w:t>(rashodi) od financijskih aktivnosti</w:t>
            </w:r>
            <w:bookmarkEnd w:id="828"/>
            <w:r w:rsidRPr="004B4498">
              <w:rPr>
                <w:rFonts w:cs="Arial"/>
                <w:b/>
                <w:bCs/>
                <w:color w:val="000000" w:themeColor="text1"/>
                <w:sz w:val="20"/>
                <w:lang w:val="hr-HR"/>
              </w:rPr>
              <w:t xml:space="preserve"> </w:t>
            </w:r>
          </w:p>
        </w:tc>
        <w:tc>
          <w:tcPr>
            <w:tcW w:w="632" w:type="pct"/>
            <w:tcBorders>
              <w:top w:val="single" w:sz="4" w:space="0" w:color="auto"/>
              <w:bottom w:val="single" w:sz="12" w:space="0" w:color="auto"/>
            </w:tcBorders>
            <w:vAlign w:val="bottom"/>
          </w:tcPr>
          <w:p w14:paraId="72CA77B1" w14:textId="77777777" w:rsidR="004E2F51" w:rsidRPr="004B4498" w:rsidRDefault="004E2F51" w:rsidP="00E032FC">
            <w:pPr>
              <w:pStyle w:val="Tot"/>
              <w:spacing w:line="240" w:lineRule="auto"/>
              <w:jc w:val="right"/>
              <w:rPr>
                <w:rFonts w:cs="Arial"/>
                <w:b/>
                <w:bCs/>
                <w:color w:val="000000" w:themeColor="text1"/>
                <w:sz w:val="20"/>
                <w:lang w:val="hr-HR"/>
              </w:rPr>
            </w:pPr>
            <w:r w:rsidRPr="005A1C64">
              <w:rPr>
                <w:rFonts w:cs="Arial"/>
                <w:b/>
                <w:bCs/>
                <w:color w:val="000000" w:themeColor="text1"/>
                <w:sz w:val="20"/>
                <w:lang w:val="hr-HR"/>
              </w:rPr>
              <w:t>16.768</w:t>
            </w:r>
          </w:p>
        </w:tc>
        <w:tc>
          <w:tcPr>
            <w:tcW w:w="633" w:type="pct"/>
            <w:tcBorders>
              <w:top w:val="single" w:sz="4" w:space="0" w:color="auto"/>
              <w:bottom w:val="single" w:sz="12" w:space="0" w:color="auto"/>
            </w:tcBorders>
            <w:vAlign w:val="bottom"/>
          </w:tcPr>
          <w:p w14:paraId="5C5EBB95" w14:textId="77777777" w:rsidR="004E2F51" w:rsidRPr="004B4498" w:rsidRDefault="004E2F51" w:rsidP="00E032FC">
            <w:pPr>
              <w:pStyle w:val="Tot"/>
              <w:spacing w:line="240" w:lineRule="auto"/>
              <w:jc w:val="right"/>
              <w:rPr>
                <w:rFonts w:cs="Arial"/>
                <w:b/>
                <w:bCs/>
                <w:color w:val="000000" w:themeColor="text1"/>
                <w:sz w:val="20"/>
                <w:lang w:val="hr-HR"/>
              </w:rPr>
            </w:pPr>
            <w:bookmarkStart w:id="829" w:name="_Toc67327632"/>
            <w:r w:rsidRPr="0046584E">
              <w:rPr>
                <w:rFonts w:cs="Arial"/>
                <w:b/>
                <w:bCs/>
                <w:color w:val="000000" w:themeColor="text1"/>
                <w:sz w:val="20"/>
                <w:lang w:val="hr-HR"/>
              </w:rPr>
              <w:t>(11.893)</w:t>
            </w:r>
            <w:bookmarkEnd w:id="829"/>
          </w:p>
        </w:tc>
        <w:tc>
          <w:tcPr>
            <w:tcW w:w="632" w:type="pct"/>
            <w:tcBorders>
              <w:top w:val="single" w:sz="4" w:space="0" w:color="auto"/>
              <w:bottom w:val="single" w:sz="12" w:space="0" w:color="auto"/>
            </w:tcBorders>
            <w:vAlign w:val="bottom"/>
          </w:tcPr>
          <w:p w14:paraId="394F2DC1" w14:textId="77777777" w:rsidR="004E2F51" w:rsidRPr="004B4498" w:rsidRDefault="004E2F51" w:rsidP="00E032FC">
            <w:pPr>
              <w:pStyle w:val="Tot"/>
              <w:spacing w:line="240" w:lineRule="auto"/>
              <w:jc w:val="right"/>
              <w:rPr>
                <w:rFonts w:cs="Arial"/>
                <w:b/>
                <w:bCs/>
                <w:color w:val="000000" w:themeColor="text1"/>
                <w:sz w:val="20"/>
                <w:lang w:val="hr-HR"/>
              </w:rPr>
            </w:pPr>
            <w:r w:rsidRPr="005A1C64">
              <w:rPr>
                <w:rFonts w:cs="Arial"/>
                <w:b/>
                <w:bCs/>
                <w:color w:val="000000" w:themeColor="text1"/>
                <w:sz w:val="20"/>
                <w:lang w:val="hr-HR"/>
              </w:rPr>
              <w:t>16.725</w:t>
            </w:r>
          </w:p>
        </w:tc>
        <w:tc>
          <w:tcPr>
            <w:tcW w:w="630" w:type="pct"/>
            <w:tcBorders>
              <w:top w:val="single" w:sz="4" w:space="0" w:color="auto"/>
              <w:bottom w:val="single" w:sz="12" w:space="0" w:color="auto"/>
            </w:tcBorders>
            <w:vAlign w:val="bottom"/>
          </w:tcPr>
          <w:p w14:paraId="2D9B0ACC" w14:textId="77777777" w:rsidR="004E2F51" w:rsidRPr="004B4498" w:rsidRDefault="004E2F51" w:rsidP="00E032FC">
            <w:pPr>
              <w:pStyle w:val="Tot"/>
              <w:spacing w:line="240" w:lineRule="auto"/>
              <w:jc w:val="right"/>
              <w:rPr>
                <w:rFonts w:cs="Arial"/>
                <w:b/>
                <w:bCs/>
                <w:color w:val="000000" w:themeColor="text1"/>
                <w:sz w:val="20"/>
                <w:lang w:val="hr-HR"/>
              </w:rPr>
            </w:pPr>
            <w:r w:rsidRPr="0046584E">
              <w:rPr>
                <w:rFonts w:cs="Arial"/>
                <w:b/>
                <w:bCs/>
                <w:color w:val="000000" w:themeColor="text1"/>
                <w:sz w:val="20"/>
                <w:lang w:val="hr-HR"/>
              </w:rPr>
              <w:t>(11.837)</w:t>
            </w:r>
          </w:p>
        </w:tc>
      </w:tr>
    </w:tbl>
    <w:p w14:paraId="2688B9DE" w14:textId="77777777" w:rsidR="004E2F51" w:rsidRPr="004B4498" w:rsidRDefault="004E2F51" w:rsidP="004E2F51">
      <w:pPr>
        <w:pStyle w:val="T1"/>
        <w:spacing w:after="0"/>
        <w:rPr>
          <w:rFonts w:cs="Arial"/>
          <w:color w:val="000000" w:themeColor="text1"/>
          <w:sz w:val="20"/>
          <w:lang w:val="hr-HR"/>
        </w:rPr>
      </w:pPr>
    </w:p>
    <w:p w14:paraId="664F2FD2" w14:textId="77777777" w:rsidR="004E2F51" w:rsidRPr="00B91D09" w:rsidRDefault="004E2F51" w:rsidP="004E2F51">
      <w:pPr>
        <w:pStyle w:val="T1"/>
        <w:spacing w:after="0"/>
        <w:rPr>
          <w:rFonts w:cs="Arial"/>
          <w:color w:val="000000" w:themeColor="text1"/>
          <w:sz w:val="22"/>
          <w:szCs w:val="22"/>
          <w:lang w:val="hr-HR"/>
        </w:rPr>
        <w:sectPr w:rsidR="004E2F51" w:rsidRPr="00B91D09" w:rsidSect="00623DBA">
          <w:footerReference w:type="default" r:id="rId115"/>
          <w:pgSz w:w="11907" w:h="16840" w:code="9"/>
          <w:pgMar w:top="1418" w:right="1134" w:bottom="1134" w:left="1418" w:header="851" w:footer="851" w:gutter="0"/>
          <w:cols w:space="720"/>
          <w:noEndnote/>
        </w:sectPr>
      </w:pPr>
    </w:p>
    <w:p w14:paraId="06EA71A5" w14:textId="77777777" w:rsidR="004E2F51" w:rsidRPr="00B91D09" w:rsidRDefault="004E2F51" w:rsidP="004E2F51">
      <w:pPr>
        <w:pStyle w:val="T1"/>
        <w:spacing w:before="0" w:after="0" w:line="240" w:lineRule="auto"/>
        <w:rPr>
          <w:rFonts w:cs="Arial"/>
          <w:color w:val="000000" w:themeColor="text1"/>
          <w:sz w:val="18"/>
          <w:szCs w:val="18"/>
          <w:lang w:val="hr-HR"/>
        </w:rPr>
      </w:pPr>
    </w:p>
    <w:p w14:paraId="6B167F0F"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bookmarkStart w:id="830" w:name="_Hlk2175999"/>
      <w:bookmarkStart w:id="831" w:name="_Hlk2179190"/>
      <w:r w:rsidRPr="004B4498">
        <w:rPr>
          <w:rFonts w:cs="Arial"/>
          <w:color w:val="000000" w:themeColor="text1"/>
          <w:sz w:val="20"/>
          <w:lang w:val="hr-HR"/>
        </w:rPr>
        <w:t>9.</w:t>
      </w:r>
      <w:r w:rsidRPr="004B4498">
        <w:rPr>
          <w:rFonts w:cs="Arial"/>
          <w:color w:val="000000" w:themeColor="text1"/>
          <w:sz w:val="20"/>
          <w:lang w:val="hr-HR"/>
        </w:rPr>
        <w:tab/>
        <w:t>Operativni troškovi</w:t>
      </w:r>
    </w:p>
    <w:p w14:paraId="59156486" w14:textId="77777777" w:rsidR="004E2F51" w:rsidRPr="004B4498" w:rsidRDefault="004E2F51" w:rsidP="004E2F51">
      <w:pPr>
        <w:pStyle w:val="TT"/>
        <w:tabs>
          <w:tab w:val="clear" w:pos="1202"/>
          <w:tab w:val="left" w:pos="-720"/>
          <w:tab w:val="left" w:pos="9600"/>
        </w:tabs>
        <w:spacing w:line="240" w:lineRule="auto"/>
        <w:outlineLvl w:val="9"/>
        <w:rPr>
          <w:rFonts w:cs="Arial"/>
          <w:color w:val="000000" w:themeColor="text1"/>
          <w:spacing w:val="-3"/>
          <w:sz w:val="20"/>
          <w:lang w:val="hr-HR"/>
        </w:rPr>
      </w:pPr>
    </w:p>
    <w:p w14:paraId="24BE4F1C" w14:textId="77777777" w:rsidR="004E2F51" w:rsidRPr="004B4498" w:rsidRDefault="004E2F51" w:rsidP="004E2F51">
      <w:pPr>
        <w:pStyle w:val="TT"/>
        <w:tabs>
          <w:tab w:val="clear" w:pos="1202"/>
          <w:tab w:val="left" w:pos="-720"/>
          <w:tab w:val="left" w:pos="9600"/>
        </w:tabs>
        <w:spacing w:line="240" w:lineRule="auto"/>
        <w:outlineLvl w:val="9"/>
        <w:rPr>
          <w:rFonts w:cs="Arial"/>
          <w:color w:val="000000" w:themeColor="text1"/>
          <w:spacing w:val="-3"/>
          <w:sz w:val="20"/>
          <w:lang w:val="hr-HR"/>
        </w:rPr>
      </w:pPr>
      <w:r w:rsidRPr="004B4498">
        <w:rPr>
          <w:rFonts w:cs="Arial"/>
          <w:color w:val="000000" w:themeColor="text1"/>
          <w:spacing w:val="-3"/>
          <w:sz w:val="20"/>
          <w:lang w:val="hr-HR"/>
        </w:rPr>
        <w:t>Operativni troškovi mogu se prikazati kako slijedi:</w:t>
      </w:r>
    </w:p>
    <w:p w14:paraId="33EDA443" w14:textId="77777777" w:rsidR="004E2F51" w:rsidRPr="004B4498" w:rsidRDefault="004E2F51" w:rsidP="004E2F51">
      <w:pPr>
        <w:pStyle w:val="TT"/>
        <w:tabs>
          <w:tab w:val="clear" w:pos="1202"/>
          <w:tab w:val="left" w:pos="-720"/>
          <w:tab w:val="left" w:pos="9600"/>
        </w:tabs>
        <w:spacing w:line="240" w:lineRule="auto"/>
        <w:outlineLvl w:val="9"/>
        <w:rPr>
          <w:rFonts w:cs="Arial"/>
          <w:color w:val="000000" w:themeColor="text1"/>
          <w:spacing w:val="-3"/>
          <w:sz w:val="20"/>
          <w:lang w:val="hr-HR"/>
        </w:rPr>
      </w:pPr>
    </w:p>
    <w:tbl>
      <w:tblPr>
        <w:tblW w:w="5002" w:type="pct"/>
        <w:tblLayout w:type="fixed"/>
        <w:tblCellMar>
          <w:left w:w="122" w:type="dxa"/>
          <w:right w:w="122" w:type="dxa"/>
        </w:tblCellMar>
        <w:tblLook w:val="0000" w:firstRow="0" w:lastRow="0" w:firstColumn="0" w:lastColumn="0" w:noHBand="0" w:noVBand="0"/>
      </w:tblPr>
      <w:tblGrid>
        <w:gridCol w:w="4111"/>
        <w:gridCol w:w="1419"/>
        <w:gridCol w:w="1336"/>
        <w:gridCol w:w="1245"/>
        <w:gridCol w:w="1248"/>
      </w:tblGrid>
      <w:tr w:rsidR="004E2F51" w:rsidRPr="004F3522" w14:paraId="18DB1E7E" w14:textId="77777777" w:rsidTr="00E032FC">
        <w:trPr>
          <w:trHeight w:val="57"/>
        </w:trPr>
        <w:tc>
          <w:tcPr>
            <w:tcW w:w="2196" w:type="pct"/>
          </w:tcPr>
          <w:p w14:paraId="3EC375EE" w14:textId="77777777" w:rsidR="004E2F51" w:rsidRPr="004B4498" w:rsidRDefault="004E2F51" w:rsidP="00E032FC">
            <w:pPr>
              <w:tabs>
                <w:tab w:val="left" w:pos="-720"/>
              </w:tabs>
              <w:jc w:val="right"/>
              <w:rPr>
                <w:rFonts w:ascii="Arial" w:hAnsi="Arial" w:cs="Arial"/>
                <w:color w:val="000000" w:themeColor="text1"/>
                <w:spacing w:val="-3"/>
                <w:sz w:val="20"/>
                <w:szCs w:val="20"/>
                <w:lang w:val="hr-HR"/>
              </w:rPr>
            </w:pPr>
            <w:bookmarkStart w:id="832" w:name="_Hlk2176042"/>
          </w:p>
        </w:tc>
        <w:tc>
          <w:tcPr>
            <w:tcW w:w="1472" w:type="pct"/>
            <w:gridSpan w:val="2"/>
            <w:vAlign w:val="bottom"/>
          </w:tcPr>
          <w:p w14:paraId="6B901243" w14:textId="77777777" w:rsidR="004E2F51" w:rsidRPr="004B4498" w:rsidRDefault="004E2F51" w:rsidP="00E032FC">
            <w:pPr>
              <w:pStyle w:val="TH"/>
              <w:jc w:val="right"/>
              <w:rPr>
                <w:rFonts w:cs="Arial"/>
                <w:color w:val="000000" w:themeColor="text1"/>
                <w:sz w:val="20"/>
                <w:lang w:val="hr-HR"/>
              </w:rPr>
            </w:pPr>
            <w:bookmarkStart w:id="833" w:name="_Toc67327636"/>
            <w:r w:rsidRPr="004B4498">
              <w:rPr>
                <w:rFonts w:cs="Arial"/>
                <w:color w:val="000000" w:themeColor="text1"/>
                <w:sz w:val="20"/>
                <w:lang w:val="hr-HR"/>
              </w:rPr>
              <w:t>Grupa</w:t>
            </w:r>
            <w:bookmarkEnd w:id="833"/>
          </w:p>
        </w:tc>
        <w:tc>
          <w:tcPr>
            <w:tcW w:w="1332" w:type="pct"/>
            <w:gridSpan w:val="2"/>
            <w:vAlign w:val="bottom"/>
          </w:tcPr>
          <w:p w14:paraId="11197646" w14:textId="77777777" w:rsidR="004E2F51" w:rsidRPr="004B4498" w:rsidRDefault="004E2F51" w:rsidP="00E032FC">
            <w:pPr>
              <w:pStyle w:val="TH"/>
              <w:jc w:val="right"/>
              <w:rPr>
                <w:rFonts w:cs="Arial"/>
                <w:color w:val="000000" w:themeColor="text1"/>
                <w:sz w:val="20"/>
                <w:lang w:val="hr-HR"/>
              </w:rPr>
            </w:pPr>
            <w:bookmarkStart w:id="834" w:name="_Toc67327637"/>
            <w:r w:rsidRPr="004B4498">
              <w:rPr>
                <w:rFonts w:cs="Arial"/>
                <w:color w:val="000000" w:themeColor="text1"/>
                <w:sz w:val="20"/>
                <w:lang w:val="hr-HR"/>
              </w:rPr>
              <w:t>Banka</w:t>
            </w:r>
            <w:bookmarkEnd w:id="834"/>
          </w:p>
        </w:tc>
      </w:tr>
      <w:tr w:rsidR="004E2F51" w:rsidRPr="004F3522" w14:paraId="34B81D08" w14:textId="77777777" w:rsidTr="00E032FC">
        <w:trPr>
          <w:trHeight w:val="57"/>
        </w:trPr>
        <w:tc>
          <w:tcPr>
            <w:tcW w:w="2196" w:type="pct"/>
          </w:tcPr>
          <w:p w14:paraId="292D910E" w14:textId="77777777" w:rsidR="004E2F51" w:rsidRPr="004B4498" w:rsidRDefault="004E2F51" w:rsidP="00E032FC">
            <w:pPr>
              <w:tabs>
                <w:tab w:val="left" w:pos="-720"/>
              </w:tabs>
              <w:jc w:val="right"/>
              <w:rPr>
                <w:rFonts w:ascii="Arial" w:hAnsi="Arial" w:cs="Arial"/>
                <w:color w:val="000000" w:themeColor="text1"/>
                <w:spacing w:val="-3"/>
                <w:sz w:val="20"/>
                <w:szCs w:val="20"/>
                <w:lang w:val="hr-HR"/>
              </w:rPr>
            </w:pPr>
          </w:p>
        </w:tc>
        <w:tc>
          <w:tcPr>
            <w:tcW w:w="758" w:type="pct"/>
            <w:vAlign w:val="bottom"/>
          </w:tcPr>
          <w:p w14:paraId="54229249" w14:textId="77777777" w:rsidR="004E2F51" w:rsidRPr="004B4498" w:rsidRDefault="004E2F51" w:rsidP="00E032FC">
            <w:pPr>
              <w:pStyle w:val="TH"/>
              <w:spacing w:line="240" w:lineRule="auto"/>
              <w:jc w:val="right"/>
              <w:rPr>
                <w:rFonts w:cs="Arial"/>
                <w:color w:val="000000" w:themeColor="text1"/>
                <w:sz w:val="20"/>
                <w:lang w:val="hr-HR"/>
              </w:rPr>
            </w:pPr>
            <w:bookmarkStart w:id="835" w:name="_Toc67327638"/>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835"/>
          </w:p>
        </w:tc>
        <w:tc>
          <w:tcPr>
            <w:tcW w:w="714" w:type="pct"/>
            <w:vAlign w:val="bottom"/>
          </w:tcPr>
          <w:p w14:paraId="4D52F04E" w14:textId="77777777" w:rsidR="004E2F51" w:rsidRPr="004B4498" w:rsidRDefault="004E2F51" w:rsidP="00E032FC">
            <w:pPr>
              <w:pStyle w:val="TH"/>
              <w:spacing w:line="240" w:lineRule="auto"/>
              <w:jc w:val="right"/>
              <w:rPr>
                <w:rFonts w:cs="Arial"/>
                <w:color w:val="000000" w:themeColor="text1"/>
                <w:sz w:val="20"/>
                <w:lang w:val="hr-HR"/>
              </w:rPr>
            </w:pPr>
            <w:bookmarkStart w:id="836" w:name="_Toc67327639"/>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836"/>
          </w:p>
        </w:tc>
        <w:tc>
          <w:tcPr>
            <w:tcW w:w="665" w:type="pct"/>
            <w:vAlign w:val="bottom"/>
          </w:tcPr>
          <w:p w14:paraId="01D9CEDC" w14:textId="77777777" w:rsidR="004E2F51" w:rsidRPr="004B4498" w:rsidRDefault="004E2F51" w:rsidP="00E032FC">
            <w:pPr>
              <w:pStyle w:val="TH"/>
              <w:spacing w:line="240" w:lineRule="auto"/>
              <w:jc w:val="right"/>
              <w:rPr>
                <w:rFonts w:cs="Arial"/>
                <w:color w:val="000000" w:themeColor="text1"/>
                <w:sz w:val="20"/>
                <w:lang w:val="hr-HR"/>
              </w:rPr>
            </w:pPr>
            <w:bookmarkStart w:id="837" w:name="_Toc67327640"/>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837"/>
          </w:p>
        </w:tc>
        <w:tc>
          <w:tcPr>
            <w:tcW w:w="667" w:type="pct"/>
            <w:vAlign w:val="bottom"/>
          </w:tcPr>
          <w:p w14:paraId="1BE17E54" w14:textId="77777777" w:rsidR="004E2F51" w:rsidRPr="004B4498" w:rsidRDefault="004E2F51" w:rsidP="00E032FC">
            <w:pPr>
              <w:pStyle w:val="TH"/>
              <w:spacing w:line="240" w:lineRule="auto"/>
              <w:jc w:val="right"/>
              <w:rPr>
                <w:rFonts w:cs="Arial"/>
                <w:color w:val="000000" w:themeColor="text1"/>
                <w:sz w:val="20"/>
                <w:lang w:val="hr-HR"/>
              </w:rPr>
            </w:pPr>
            <w:bookmarkStart w:id="838" w:name="_Toc67327641"/>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838"/>
          </w:p>
        </w:tc>
      </w:tr>
      <w:tr w:rsidR="004E2F51" w:rsidRPr="004F3522" w14:paraId="7EC43917" w14:textId="77777777" w:rsidTr="00E032FC">
        <w:tblPrEx>
          <w:tblCellMar>
            <w:left w:w="108" w:type="dxa"/>
            <w:right w:w="108" w:type="dxa"/>
          </w:tblCellMar>
        </w:tblPrEx>
        <w:trPr>
          <w:trHeight w:val="57"/>
        </w:trPr>
        <w:tc>
          <w:tcPr>
            <w:tcW w:w="2196" w:type="pct"/>
          </w:tcPr>
          <w:p w14:paraId="163E9573" w14:textId="77777777" w:rsidR="004E2F51" w:rsidRPr="004B4498" w:rsidRDefault="004E2F51" w:rsidP="00E032FC">
            <w:pPr>
              <w:tabs>
                <w:tab w:val="left" w:pos="-720"/>
              </w:tabs>
              <w:ind w:right="4144"/>
              <w:jc w:val="right"/>
              <w:rPr>
                <w:rFonts w:ascii="Arial" w:hAnsi="Arial" w:cs="Arial"/>
                <w:color w:val="000000" w:themeColor="text1"/>
                <w:sz w:val="20"/>
                <w:szCs w:val="20"/>
                <w:lang w:val="hr-HR"/>
              </w:rPr>
            </w:pPr>
          </w:p>
        </w:tc>
        <w:tc>
          <w:tcPr>
            <w:tcW w:w="758" w:type="pct"/>
          </w:tcPr>
          <w:p w14:paraId="79F81293" w14:textId="77777777" w:rsidR="004E2F51" w:rsidRPr="004B4498" w:rsidRDefault="004E2F51" w:rsidP="00E032FC">
            <w:pPr>
              <w:pStyle w:val="TH"/>
              <w:tabs>
                <w:tab w:val="clear" w:pos="1202"/>
              </w:tabs>
              <w:jc w:val="right"/>
              <w:rPr>
                <w:rFonts w:cs="Arial"/>
                <w:color w:val="000000" w:themeColor="text1"/>
                <w:sz w:val="20"/>
                <w:lang w:val="hr-HR"/>
              </w:rPr>
            </w:pPr>
            <w:bookmarkStart w:id="839" w:name="_Toc67327642"/>
            <w:r w:rsidRPr="004B4498">
              <w:rPr>
                <w:rFonts w:cs="Arial"/>
                <w:color w:val="000000" w:themeColor="text1"/>
                <w:sz w:val="20"/>
                <w:lang w:val="hr-HR"/>
              </w:rPr>
              <w:t>000 kuna</w:t>
            </w:r>
            <w:bookmarkEnd w:id="839"/>
          </w:p>
        </w:tc>
        <w:tc>
          <w:tcPr>
            <w:tcW w:w="714" w:type="pct"/>
          </w:tcPr>
          <w:p w14:paraId="3CED7B47" w14:textId="77777777" w:rsidR="004E2F51" w:rsidRPr="004B4498" w:rsidRDefault="004E2F51" w:rsidP="00E032FC">
            <w:pPr>
              <w:pStyle w:val="TH"/>
              <w:tabs>
                <w:tab w:val="clear" w:pos="1202"/>
              </w:tabs>
              <w:jc w:val="right"/>
              <w:rPr>
                <w:rFonts w:cs="Arial"/>
                <w:color w:val="000000" w:themeColor="text1"/>
                <w:sz w:val="20"/>
                <w:lang w:val="hr-HR"/>
              </w:rPr>
            </w:pPr>
            <w:bookmarkStart w:id="840" w:name="_Toc67327643"/>
            <w:r w:rsidRPr="004B4498">
              <w:rPr>
                <w:rFonts w:cs="Arial"/>
                <w:color w:val="000000" w:themeColor="text1"/>
                <w:sz w:val="20"/>
                <w:lang w:val="hr-HR"/>
              </w:rPr>
              <w:t>000 kuna</w:t>
            </w:r>
            <w:bookmarkEnd w:id="840"/>
          </w:p>
        </w:tc>
        <w:tc>
          <w:tcPr>
            <w:tcW w:w="665" w:type="pct"/>
          </w:tcPr>
          <w:p w14:paraId="7D9F1F97" w14:textId="77777777" w:rsidR="004E2F51" w:rsidRPr="004B4498" w:rsidRDefault="004E2F51" w:rsidP="00E032FC">
            <w:pPr>
              <w:pStyle w:val="TH"/>
              <w:tabs>
                <w:tab w:val="clear" w:pos="1202"/>
              </w:tabs>
              <w:jc w:val="right"/>
              <w:rPr>
                <w:rFonts w:cs="Arial"/>
                <w:color w:val="000000" w:themeColor="text1"/>
                <w:sz w:val="20"/>
                <w:lang w:val="hr-HR"/>
              </w:rPr>
            </w:pPr>
            <w:bookmarkStart w:id="841" w:name="_Toc67327644"/>
            <w:r w:rsidRPr="004B4498">
              <w:rPr>
                <w:rFonts w:cs="Arial"/>
                <w:color w:val="000000" w:themeColor="text1"/>
                <w:sz w:val="20"/>
                <w:lang w:val="hr-HR"/>
              </w:rPr>
              <w:t>000 kuna</w:t>
            </w:r>
            <w:bookmarkEnd w:id="841"/>
          </w:p>
        </w:tc>
        <w:tc>
          <w:tcPr>
            <w:tcW w:w="667" w:type="pct"/>
          </w:tcPr>
          <w:p w14:paraId="5C8BEB06" w14:textId="77777777" w:rsidR="004E2F51" w:rsidRPr="004B4498" w:rsidRDefault="004E2F51" w:rsidP="00E032FC">
            <w:pPr>
              <w:pStyle w:val="TH"/>
              <w:tabs>
                <w:tab w:val="clear" w:pos="1202"/>
              </w:tabs>
              <w:jc w:val="right"/>
              <w:rPr>
                <w:rFonts w:cs="Arial"/>
                <w:color w:val="000000" w:themeColor="text1"/>
                <w:sz w:val="20"/>
                <w:lang w:val="hr-HR"/>
              </w:rPr>
            </w:pPr>
            <w:bookmarkStart w:id="842" w:name="_Toc67327645"/>
            <w:r w:rsidRPr="004B4498">
              <w:rPr>
                <w:rFonts w:cs="Arial"/>
                <w:color w:val="000000" w:themeColor="text1"/>
                <w:sz w:val="20"/>
                <w:lang w:val="hr-HR"/>
              </w:rPr>
              <w:t>000 kuna</w:t>
            </w:r>
            <w:bookmarkEnd w:id="842"/>
          </w:p>
        </w:tc>
      </w:tr>
      <w:tr w:rsidR="004E2F51" w:rsidRPr="004F3522" w14:paraId="5D3E0439" w14:textId="77777777" w:rsidTr="00E032FC">
        <w:trPr>
          <w:trHeight w:hRule="exact" w:val="171"/>
        </w:trPr>
        <w:tc>
          <w:tcPr>
            <w:tcW w:w="2196" w:type="pct"/>
          </w:tcPr>
          <w:p w14:paraId="48CF277C" w14:textId="77777777" w:rsidR="004E2F51" w:rsidRPr="004B4498" w:rsidRDefault="004E2F51" w:rsidP="00E032FC">
            <w:pPr>
              <w:pStyle w:val="PH1"/>
              <w:tabs>
                <w:tab w:val="left" w:pos="-720"/>
              </w:tabs>
              <w:spacing w:line="240" w:lineRule="auto"/>
              <w:rPr>
                <w:rFonts w:cs="Arial"/>
                <w:bCs/>
                <w:color w:val="000000" w:themeColor="text1"/>
                <w:spacing w:val="-3"/>
                <w:sz w:val="20"/>
                <w:lang w:val="hr-HR"/>
              </w:rPr>
            </w:pPr>
          </w:p>
        </w:tc>
        <w:tc>
          <w:tcPr>
            <w:tcW w:w="758" w:type="pct"/>
          </w:tcPr>
          <w:p w14:paraId="4E2A8AE6"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c>
          <w:tcPr>
            <w:tcW w:w="714" w:type="pct"/>
          </w:tcPr>
          <w:p w14:paraId="511F8500"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c>
          <w:tcPr>
            <w:tcW w:w="665" w:type="pct"/>
          </w:tcPr>
          <w:p w14:paraId="413E3CF9"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c>
          <w:tcPr>
            <w:tcW w:w="667" w:type="pct"/>
          </w:tcPr>
          <w:p w14:paraId="0BB5EC7C"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r>
      <w:tr w:rsidR="004E2F51" w:rsidRPr="004F3522" w14:paraId="5FD958DD" w14:textId="77777777" w:rsidTr="00E032FC">
        <w:trPr>
          <w:trHeight w:val="20"/>
        </w:trPr>
        <w:tc>
          <w:tcPr>
            <w:tcW w:w="2196" w:type="pct"/>
          </w:tcPr>
          <w:p w14:paraId="2F34DADF" w14:textId="77777777" w:rsidR="004E2F51" w:rsidRPr="004B4498" w:rsidRDefault="004E2F51" w:rsidP="00E032FC">
            <w:pPr>
              <w:pStyle w:val="TT"/>
              <w:rPr>
                <w:rFonts w:cs="Arial"/>
                <w:color w:val="000000" w:themeColor="text1"/>
                <w:sz w:val="20"/>
                <w:lang w:val="hr-HR"/>
              </w:rPr>
            </w:pPr>
            <w:bookmarkStart w:id="843" w:name="_Toc67327646"/>
            <w:r w:rsidRPr="004B4498">
              <w:rPr>
                <w:rFonts w:cs="Arial"/>
                <w:color w:val="000000" w:themeColor="text1"/>
                <w:sz w:val="20"/>
                <w:lang w:val="hr-HR"/>
              </w:rPr>
              <w:t>9. a) Troškovi osoblja</w:t>
            </w:r>
            <w:bookmarkEnd w:id="843"/>
          </w:p>
        </w:tc>
        <w:tc>
          <w:tcPr>
            <w:tcW w:w="758" w:type="pct"/>
            <w:tcBorders>
              <w:top w:val="nil"/>
              <w:left w:val="nil"/>
              <w:bottom w:val="nil"/>
              <w:right w:val="nil"/>
            </w:tcBorders>
            <w:shd w:val="clear" w:color="auto" w:fill="auto"/>
            <w:vAlign w:val="bottom"/>
          </w:tcPr>
          <w:p w14:paraId="19BD6086" w14:textId="77777777" w:rsidR="004E2F51" w:rsidRPr="004B4498" w:rsidRDefault="004E2F51" w:rsidP="00E032FC">
            <w:pPr>
              <w:pStyle w:val="TT"/>
              <w:jc w:val="right"/>
              <w:rPr>
                <w:rFonts w:cs="Arial"/>
                <w:color w:val="000000" w:themeColor="text1"/>
                <w:spacing w:val="-3"/>
                <w:sz w:val="20"/>
                <w:lang w:val="hr-HR"/>
              </w:rPr>
            </w:pPr>
            <w:r w:rsidRPr="005A1C64">
              <w:rPr>
                <w:rFonts w:cs="Arial"/>
                <w:color w:val="000000" w:themeColor="text1"/>
                <w:spacing w:val="-3"/>
                <w:sz w:val="20"/>
                <w:lang w:val="hr-HR"/>
              </w:rPr>
              <w:t xml:space="preserve"> 105.193 </w:t>
            </w:r>
          </w:p>
        </w:tc>
        <w:tc>
          <w:tcPr>
            <w:tcW w:w="714" w:type="pct"/>
            <w:tcBorders>
              <w:top w:val="nil"/>
              <w:left w:val="nil"/>
              <w:bottom w:val="nil"/>
              <w:right w:val="nil"/>
            </w:tcBorders>
            <w:shd w:val="clear" w:color="auto" w:fill="auto"/>
            <w:vAlign w:val="bottom"/>
          </w:tcPr>
          <w:p w14:paraId="112CC169" w14:textId="77777777" w:rsidR="004E2F51" w:rsidRPr="004B4498" w:rsidRDefault="004E2F51" w:rsidP="00E032FC">
            <w:pPr>
              <w:pStyle w:val="TT"/>
              <w:jc w:val="right"/>
              <w:rPr>
                <w:rFonts w:cs="Arial"/>
                <w:color w:val="000000" w:themeColor="text1"/>
                <w:spacing w:val="-3"/>
                <w:sz w:val="20"/>
                <w:lang w:val="hr-HR"/>
              </w:rPr>
            </w:pPr>
            <w:r w:rsidRPr="0046584E">
              <w:rPr>
                <w:rFonts w:cs="Arial"/>
                <w:color w:val="000000" w:themeColor="text1"/>
                <w:spacing w:val="-3"/>
                <w:sz w:val="20"/>
                <w:lang w:val="hr-HR"/>
              </w:rPr>
              <w:t>100.095</w:t>
            </w:r>
          </w:p>
        </w:tc>
        <w:tc>
          <w:tcPr>
            <w:tcW w:w="665" w:type="pct"/>
            <w:tcBorders>
              <w:top w:val="nil"/>
              <w:left w:val="nil"/>
              <w:bottom w:val="nil"/>
              <w:right w:val="nil"/>
            </w:tcBorders>
            <w:shd w:val="clear" w:color="auto" w:fill="auto"/>
            <w:vAlign w:val="bottom"/>
          </w:tcPr>
          <w:p w14:paraId="7D048C9E" w14:textId="77777777" w:rsidR="004E2F51" w:rsidRPr="004B4498" w:rsidRDefault="004E2F51" w:rsidP="00E032FC">
            <w:pPr>
              <w:pStyle w:val="TT"/>
              <w:jc w:val="right"/>
              <w:rPr>
                <w:rFonts w:cs="Arial"/>
                <w:color w:val="000000" w:themeColor="text1"/>
                <w:spacing w:val="-3"/>
                <w:sz w:val="20"/>
                <w:lang w:val="hr-HR"/>
              </w:rPr>
            </w:pPr>
            <w:r w:rsidRPr="005A1C64">
              <w:rPr>
                <w:rFonts w:cs="Arial"/>
                <w:color w:val="000000" w:themeColor="text1"/>
                <w:spacing w:val="-3"/>
                <w:sz w:val="20"/>
                <w:lang w:val="hr-HR"/>
              </w:rPr>
              <w:t>100.254</w:t>
            </w:r>
          </w:p>
        </w:tc>
        <w:tc>
          <w:tcPr>
            <w:tcW w:w="667" w:type="pct"/>
            <w:tcBorders>
              <w:top w:val="nil"/>
              <w:left w:val="nil"/>
              <w:bottom w:val="nil"/>
              <w:right w:val="nil"/>
            </w:tcBorders>
            <w:shd w:val="clear" w:color="auto" w:fill="auto"/>
            <w:vAlign w:val="bottom"/>
          </w:tcPr>
          <w:p w14:paraId="3293816F" w14:textId="77777777" w:rsidR="004E2F51" w:rsidRPr="004B4498" w:rsidRDefault="004E2F51" w:rsidP="00E032FC">
            <w:pPr>
              <w:pStyle w:val="TT"/>
              <w:jc w:val="right"/>
              <w:rPr>
                <w:rFonts w:cs="Arial"/>
                <w:color w:val="000000" w:themeColor="text1"/>
                <w:spacing w:val="-3"/>
                <w:sz w:val="20"/>
                <w:lang w:val="hr-HR"/>
              </w:rPr>
            </w:pPr>
            <w:r w:rsidRPr="0046584E">
              <w:rPr>
                <w:rFonts w:cs="Arial"/>
                <w:color w:val="000000" w:themeColor="text1"/>
                <w:spacing w:val="-3"/>
                <w:sz w:val="20"/>
                <w:lang w:val="hr-HR"/>
              </w:rPr>
              <w:t>95.219</w:t>
            </w:r>
          </w:p>
        </w:tc>
      </w:tr>
      <w:tr w:rsidR="004E2F51" w:rsidRPr="004F3522" w14:paraId="7F00BC99" w14:textId="77777777" w:rsidTr="00E032FC">
        <w:trPr>
          <w:trHeight w:val="20"/>
        </w:trPr>
        <w:tc>
          <w:tcPr>
            <w:tcW w:w="2196" w:type="pct"/>
          </w:tcPr>
          <w:p w14:paraId="3032F273" w14:textId="77777777" w:rsidR="004E2F51" w:rsidRPr="004B4498" w:rsidRDefault="004E2F51" w:rsidP="00E032FC">
            <w:pPr>
              <w:pStyle w:val="TT"/>
              <w:rPr>
                <w:rFonts w:cs="Arial"/>
                <w:color w:val="000000" w:themeColor="text1"/>
                <w:sz w:val="20"/>
                <w:lang w:val="hr-HR"/>
              </w:rPr>
            </w:pPr>
          </w:p>
        </w:tc>
        <w:tc>
          <w:tcPr>
            <w:tcW w:w="758" w:type="pct"/>
            <w:tcBorders>
              <w:top w:val="nil"/>
              <w:left w:val="nil"/>
              <w:bottom w:val="nil"/>
              <w:right w:val="nil"/>
            </w:tcBorders>
            <w:shd w:val="clear" w:color="auto" w:fill="auto"/>
            <w:vAlign w:val="bottom"/>
          </w:tcPr>
          <w:p w14:paraId="2D8BE94A" w14:textId="77777777" w:rsidR="004E2F51" w:rsidRPr="005A1C64" w:rsidRDefault="004E2F51" w:rsidP="00E032FC">
            <w:pPr>
              <w:pStyle w:val="TT"/>
              <w:jc w:val="right"/>
              <w:rPr>
                <w:rFonts w:cs="Arial"/>
                <w:color w:val="000000" w:themeColor="text1"/>
                <w:spacing w:val="-3"/>
                <w:sz w:val="20"/>
                <w:lang w:val="hr-HR"/>
              </w:rPr>
            </w:pPr>
          </w:p>
        </w:tc>
        <w:tc>
          <w:tcPr>
            <w:tcW w:w="714" w:type="pct"/>
            <w:tcBorders>
              <w:top w:val="nil"/>
              <w:left w:val="nil"/>
              <w:bottom w:val="nil"/>
              <w:right w:val="nil"/>
            </w:tcBorders>
            <w:shd w:val="clear" w:color="auto" w:fill="auto"/>
            <w:vAlign w:val="bottom"/>
          </w:tcPr>
          <w:p w14:paraId="6B81889B" w14:textId="77777777" w:rsidR="004E2F51" w:rsidRPr="005A1C64" w:rsidRDefault="004E2F51" w:rsidP="00E032FC">
            <w:pPr>
              <w:pStyle w:val="TT"/>
              <w:jc w:val="right"/>
              <w:rPr>
                <w:rFonts w:cs="Arial"/>
                <w:color w:val="000000" w:themeColor="text1"/>
                <w:spacing w:val="-3"/>
                <w:sz w:val="20"/>
                <w:lang w:val="hr-HR"/>
              </w:rPr>
            </w:pPr>
          </w:p>
        </w:tc>
        <w:tc>
          <w:tcPr>
            <w:tcW w:w="665" w:type="pct"/>
            <w:tcBorders>
              <w:top w:val="nil"/>
              <w:left w:val="nil"/>
              <w:bottom w:val="nil"/>
              <w:right w:val="nil"/>
            </w:tcBorders>
            <w:shd w:val="clear" w:color="auto" w:fill="auto"/>
            <w:vAlign w:val="bottom"/>
          </w:tcPr>
          <w:p w14:paraId="6362A282" w14:textId="77777777" w:rsidR="004E2F51" w:rsidRPr="005A1C64" w:rsidRDefault="004E2F51" w:rsidP="00E032FC">
            <w:pPr>
              <w:pStyle w:val="TT"/>
              <w:jc w:val="right"/>
              <w:rPr>
                <w:rFonts w:cs="Arial"/>
                <w:color w:val="000000" w:themeColor="text1"/>
                <w:spacing w:val="-3"/>
                <w:sz w:val="20"/>
                <w:lang w:val="hr-HR"/>
              </w:rPr>
            </w:pPr>
          </w:p>
        </w:tc>
        <w:tc>
          <w:tcPr>
            <w:tcW w:w="667" w:type="pct"/>
            <w:tcBorders>
              <w:top w:val="nil"/>
              <w:left w:val="nil"/>
              <w:bottom w:val="nil"/>
              <w:right w:val="nil"/>
            </w:tcBorders>
            <w:shd w:val="clear" w:color="auto" w:fill="auto"/>
            <w:vAlign w:val="bottom"/>
          </w:tcPr>
          <w:p w14:paraId="5A014D56" w14:textId="77777777" w:rsidR="004E2F51" w:rsidRPr="004B4498" w:rsidRDefault="004E2F51" w:rsidP="00E032FC">
            <w:pPr>
              <w:pStyle w:val="TT"/>
              <w:jc w:val="right"/>
              <w:rPr>
                <w:rFonts w:cs="Arial"/>
                <w:color w:val="000000" w:themeColor="text1"/>
                <w:sz w:val="20"/>
                <w:lang w:val="hr-HR"/>
              </w:rPr>
            </w:pPr>
          </w:p>
        </w:tc>
      </w:tr>
      <w:tr w:rsidR="004E2F51" w:rsidRPr="004F3522" w14:paraId="566D051A" w14:textId="77777777" w:rsidTr="00E032FC">
        <w:trPr>
          <w:trHeight w:val="20"/>
        </w:trPr>
        <w:tc>
          <w:tcPr>
            <w:tcW w:w="2196" w:type="pct"/>
          </w:tcPr>
          <w:p w14:paraId="5A502A0C" w14:textId="77777777" w:rsidR="004E2F51" w:rsidRPr="004B4498" w:rsidRDefault="004E2F51" w:rsidP="00E032FC">
            <w:pPr>
              <w:pStyle w:val="TT"/>
              <w:rPr>
                <w:rFonts w:cs="Arial"/>
                <w:color w:val="000000" w:themeColor="text1"/>
                <w:sz w:val="20"/>
                <w:lang w:val="hr-HR"/>
              </w:rPr>
            </w:pPr>
            <w:bookmarkStart w:id="844" w:name="_Toc67327651"/>
            <w:r w:rsidRPr="004B4498">
              <w:rPr>
                <w:rFonts w:cs="Arial"/>
                <w:color w:val="000000" w:themeColor="text1"/>
                <w:sz w:val="20"/>
                <w:lang w:val="hr-HR"/>
              </w:rPr>
              <w:t>9. b) Amortizacija</w:t>
            </w:r>
            <w:bookmarkEnd w:id="844"/>
          </w:p>
        </w:tc>
        <w:tc>
          <w:tcPr>
            <w:tcW w:w="758" w:type="pct"/>
            <w:tcBorders>
              <w:top w:val="nil"/>
              <w:left w:val="nil"/>
              <w:bottom w:val="nil"/>
              <w:right w:val="nil"/>
            </w:tcBorders>
            <w:shd w:val="clear" w:color="auto" w:fill="auto"/>
            <w:vAlign w:val="bottom"/>
          </w:tcPr>
          <w:p w14:paraId="506A00ED" w14:textId="77777777" w:rsidR="004E2F51" w:rsidRPr="004B4498" w:rsidRDefault="004E2F51" w:rsidP="00E032FC">
            <w:pPr>
              <w:pStyle w:val="TT"/>
              <w:jc w:val="right"/>
              <w:rPr>
                <w:rFonts w:cs="Arial"/>
                <w:color w:val="000000" w:themeColor="text1"/>
                <w:spacing w:val="-3"/>
                <w:sz w:val="20"/>
                <w:lang w:val="hr-HR"/>
              </w:rPr>
            </w:pPr>
            <w:r w:rsidRPr="005A1C64">
              <w:rPr>
                <w:rFonts w:cs="Arial"/>
                <w:color w:val="000000" w:themeColor="text1"/>
                <w:spacing w:val="-3"/>
                <w:sz w:val="20"/>
                <w:lang w:val="hr-HR"/>
              </w:rPr>
              <w:t xml:space="preserve"> 11.600 </w:t>
            </w:r>
          </w:p>
        </w:tc>
        <w:tc>
          <w:tcPr>
            <w:tcW w:w="714" w:type="pct"/>
            <w:tcBorders>
              <w:top w:val="nil"/>
              <w:left w:val="nil"/>
              <w:bottom w:val="nil"/>
              <w:right w:val="nil"/>
            </w:tcBorders>
            <w:shd w:val="clear" w:color="auto" w:fill="auto"/>
            <w:vAlign w:val="bottom"/>
          </w:tcPr>
          <w:p w14:paraId="0DB25386" w14:textId="77777777" w:rsidR="004E2F51" w:rsidRPr="004B4498" w:rsidRDefault="004E2F51" w:rsidP="00E032FC">
            <w:pPr>
              <w:pStyle w:val="TT"/>
              <w:jc w:val="right"/>
              <w:rPr>
                <w:rFonts w:cs="Arial"/>
                <w:color w:val="000000" w:themeColor="text1"/>
                <w:spacing w:val="-3"/>
                <w:sz w:val="20"/>
                <w:lang w:val="hr-HR"/>
              </w:rPr>
            </w:pPr>
            <w:r w:rsidRPr="0046584E">
              <w:rPr>
                <w:rFonts w:cs="Arial"/>
                <w:color w:val="000000" w:themeColor="text1"/>
                <w:spacing w:val="-3"/>
                <w:sz w:val="20"/>
                <w:lang w:val="hr-HR"/>
              </w:rPr>
              <w:t>11.304</w:t>
            </w:r>
          </w:p>
        </w:tc>
        <w:tc>
          <w:tcPr>
            <w:tcW w:w="665" w:type="pct"/>
            <w:tcBorders>
              <w:top w:val="nil"/>
              <w:left w:val="nil"/>
              <w:bottom w:val="nil"/>
              <w:right w:val="nil"/>
            </w:tcBorders>
            <w:shd w:val="clear" w:color="auto" w:fill="auto"/>
            <w:vAlign w:val="bottom"/>
          </w:tcPr>
          <w:p w14:paraId="0D3B03D7" w14:textId="77777777" w:rsidR="004E2F51" w:rsidRPr="004B4498" w:rsidRDefault="004E2F51" w:rsidP="00E032FC">
            <w:pPr>
              <w:pStyle w:val="TT"/>
              <w:jc w:val="right"/>
              <w:rPr>
                <w:rFonts w:cs="Arial"/>
                <w:color w:val="000000" w:themeColor="text1"/>
                <w:spacing w:val="-3"/>
                <w:sz w:val="20"/>
                <w:lang w:val="hr-HR"/>
              </w:rPr>
            </w:pPr>
            <w:r w:rsidRPr="005A1C64">
              <w:rPr>
                <w:rFonts w:cs="Arial"/>
                <w:color w:val="000000" w:themeColor="text1"/>
                <w:spacing w:val="-3"/>
                <w:sz w:val="20"/>
                <w:lang w:val="hr-HR"/>
              </w:rPr>
              <w:t>11.248</w:t>
            </w:r>
          </w:p>
        </w:tc>
        <w:tc>
          <w:tcPr>
            <w:tcW w:w="667" w:type="pct"/>
            <w:tcBorders>
              <w:top w:val="nil"/>
              <w:left w:val="nil"/>
              <w:bottom w:val="nil"/>
              <w:right w:val="nil"/>
            </w:tcBorders>
            <w:shd w:val="clear" w:color="auto" w:fill="auto"/>
            <w:vAlign w:val="bottom"/>
          </w:tcPr>
          <w:p w14:paraId="2C0EFF83" w14:textId="77777777" w:rsidR="004E2F51" w:rsidRPr="004B4498" w:rsidRDefault="004E2F51" w:rsidP="00E032FC">
            <w:pPr>
              <w:pStyle w:val="TT"/>
              <w:jc w:val="right"/>
              <w:rPr>
                <w:rFonts w:cs="Arial"/>
                <w:color w:val="000000" w:themeColor="text1"/>
                <w:spacing w:val="-3"/>
                <w:sz w:val="20"/>
                <w:lang w:val="hr-HR"/>
              </w:rPr>
            </w:pPr>
            <w:r w:rsidRPr="0046584E">
              <w:rPr>
                <w:rFonts w:cs="Arial"/>
                <w:color w:val="000000" w:themeColor="text1"/>
                <w:spacing w:val="-3"/>
                <w:sz w:val="20"/>
                <w:lang w:val="hr-HR"/>
              </w:rPr>
              <w:t>10.990</w:t>
            </w:r>
          </w:p>
        </w:tc>
      </w:tr>
      <w:tr w:rsidR="004E2F51" w:rsidRPr="004F3522" w14:paraId="3E672514" w14:textId="77777777" w:rsidTr="00E032FC">
        <w:trPr>
          <w:trHeight w:val="20"/>
        </w:trPr>
        <w:tc>
          <w:tcPr>
            <w:tcW w:w="2196" w:type="pct"/>
          </w:tcPr>
          <w:p w14:paraId="2F699F59" w14:textId="77777777" w:rsidR="004E2F51" w:rsidRPr="004B4498" w:rsidRDefault="004E2F51" w:rsidP="00E032FC">
            <w:pPr>
              <w:pStyle w:val="TT"/>
              <w:rPr>
                <w:rFonts w:cs="Arial"/>
                <w:color w:val="000000" w:themeColor="text1"/>
                <w:sz w:val="20"/>
                <w:lang w:val="hr-HR"/>
              </w:rPr>
            </w:pPr>
          </w:p>
        </w:tc>
        <w:tc>
          <w:tcPr>
            <w:tcW w:w="758" w:type="pct"/>
            <w:tcBorders>
              <w:top w:val="nil"/>
              <w:left w:val="nil"/>
              <w:bottom w:val="nil"/>
              <w:right w:val="nil"/>
            </w:tcBorders>
            <w:shd w:val="clear" w:color="auto" w:fill="auto"/>
            <w:vAlign w:val="bottom"/>
          </w:tcPr>
          <w:p w14:paraId="0212D833" w14:textId="77777777" w:rsidR="004E2F51" w:rsidRPr="005A1C64" w:rsidRDefault="004E2F51" w:rsidP="00E032FC">
            <w:pPr>
              <w:pStyle w:val="TT"/>
              <w:jc w:val="right"/>
              <w:rPr>
                <w:rFonts w:cs="Arial"/>
                <w:color w:val="000000" w:themeColor="text1"/>
                <w:spacing w:val="-3"/>
                <w:sz w:val="20"/>
                <w:lang w:val="hr-HR"/>
              </w:rPr>
            </w:pPr>
          </w:p>
        </w:tc>
        <w:tc>
          <w:tcPr>
            <w:tcW w:w="714" w:type="pct"/>
            <w:tcBorders>
              <w:top w:val="nil"/>
              <w:left w:val="nil"/>
              <w:bottom w:val="nil"/>
              <w:right w:val="nil"/>
            </w:tcBorders>
            <w:shd w:val="clear" w:color="auto" w:fill="auto"/>
            <w:vAlign w:val="bottom"/>
          </w:tcPr>
          <w:p w14:paraId="27FCDF37" w14:textId="77777777" w:rsidR="004E2F51" w:rsidRPr="005A1C64" w:rsidRDefault="004E2F51" w:rsidP="00E032FC">
            <w:pPr>
              <w:pStyle w:val="TT"/>
              <w:jc w:val="right"/>
              <w:rPr>
                <w:rFonts w:cs="Arial"/>
                <w:color w:val="000000" w:themeColor="text1"/>
                <w:spacing w:val="-3"/>
                <w:sz w:val="20"/>
                <w:lang w:val="hr-HR"/>
              </w:rPr>
            </w:pPr>
          </w:p>
        </w:tc>
        <w:tc>
          <w:tcPr>
            <w:tcW w:w="665" w:type="pct"/>
            <w:tcBorders>
              <w:top w:val="nil"/>
              <w:left w:val="nil"/>
              <w:bottom w:val="nil"/>
              <w:right w:val="nil"/>
            </w:tcBorders>
            <w:shd w:val="clear" w:color="auto" w:fill="auto"/>
            <w:vAlign w:val="bottom"/>
          </w:tcPr>
          <w:p w14:paraId="2B0C0DC9" w14:textId="77777777" w:rsidR="004E2F51" w:rsidRPr="005A1C64" w:rsidRDefault="004E2F51" w:rsidP="00E032FC">
            <w:pPr>
              <w:pStyle w:val="TT"/>
              <w:jc w:val="right"/>
              <w:rPr>
                <w:rFonts w:cs="Arial"/>
                <w:color w:val="000000" w:themeColor="text1"/>
                <w:spacing w:val="-3"/>
                <w:sz w:val="20"/>
                <w:lang w:val="hr-HR"/>
              </w:rPr>
            </w:pPr>
          </w:p>
        </w:tc>
        <w:tc>
          <w:tcPr>
            <w:tcW w:w="667" w:type="pct"/>
            <w:tcBorders>
              <w:top w:val="nil"/>
              <w:left w:val="nil"/>
              <w:bottom w:val="nil"/>
              <w:right w:val="nil"/>
            </w:tcBorders>
            <w:shd w:val="clear" w:color="auto" w:fill="auto"/>
            <w:vAlign w:val="bottom"/>
          </w:tcPr>
          <w:p w14:paraId="0879A978" w14:textId="77777777" w:rsidR="004E2F51" w:rsidRPr="004B4498" w:rsidRDefault="004E2F51" w:rsidP="00E032FC">
            <w:pPr>
              <w:pStyle w:val="TT"/>
              <w:jc w:val="right"/>
              <w:rPr>
                <w:rFonts w:cs="Arial"/>
                <w:color w:val="000000" w:themeColor="text1"/>
                <w:sz w:val="20"/>
                <w:lang w:val="hr-HR"/>
              </w:rPr>
            </w:pPr>
          </w:p>
        </w:tc>
      </w:tr>
      <w:tr w:rsidR="004E2F51" w:rsidRPr="004F3522" w14:paraId="6CF30110" w14:textId="77777777" w:rsidTr="00E032FC">
        <w:trPr>
          <w:trHeight w:val="20"/>
        </w:trPr>
        <w:tc>
          <w:tcPr>
            <w:tcW w:w="2196" w:type="pct"/>
          </w:tcPr>
          <w:p w14:paraId="16064ADB" w14:textId="77777777" w:rsidR="004E2F51" w:rsidRPr="004B4498" w:rsidRDefault="004E2F51" w:rsidP="00E032FC">
            <w:pPr>
              <w:pStyle w:val="TT"/>
              <w:rPr>
                <w:rFonts w:cs="Arial"/>
                <w:color w:val="000000" w:themeColor="text1"/>
                <w:sz w:val="20"/>
                <w:lang w:val="hr-HR"/>
              </w:rPr>
            </w:pPr>
            <w:bookmarkStart w:id="845" w:name="_Toc67327656"/>
            <w:r w:rsidRPr="004B4498">
              <w:rPr>
                <w:rFonts w:cs="Arial"/>
                <w:color w:val="000000" w:themeColor="text1"/>
                <w:sz w:val="20"/>
                <w:lang w:val="hr-HR"/>
              </w:rPr>
              <w:t>9. c) Ostali troškovi</w:t>
            </w:r>
            <w:bookmarkEnd w:id="845"/>
          </w:p>
        </w:tc>
        <w:tc>
          <w:tcPr>
            <w:tcW w:w="758" w:type="pct"/>
            <w:tcBorders>
              <w:top w:val="nil"/>
              <w:left w:val="nil"/>
              <w:bottom w:val="nil"/>
              <w:right w:val="nil"/>
            </w:tcBorders>
            <w:shd w:val="clear" w:color="auto" w:fill="auto"/>
            <w:vAlign w:val="bottom"/>
          </w:tcPr>
          <w:p w14:paraId="0A727E31" w14:textId="77777777" w:rsidR="004E2F51" w:rsidRPr="005A1C64" w:rsidRDefault="004E2F51" w:rsidP="00E032FC">
            <w:pPr>
              <w:pStyle w:val="TT"/>
              <w:jc w:val="right"/>
              <w:rPr>
                <w:rFonts w:cs="Arial"/>
                <w:color w:val="000000" w:themeColor="text1"/>
                <w:spacing w:val="-3"/>
                <w:sz w:val="20"/>
                <w:lang w:val="hr-HR"/>
              </w:rPr>
            </w:pPr>
            <w:r w:rsidRPr="005A1C64">
              <w:rPr>
                <w:rFonts w:cs="Arial"/>
                <w:color w:val="000000" w:themeColor="text1"/>
                <w:spacing w:val="-3"/>
                <w:sz w:val="20"/>
                <w:lang w:val="hr-HR"/>
              </w:rPr>
              <w:t xml:space="preserve"> 84.779 </w:t>
            </w:r>
          </w:p>
        </w:tc>
        <w:tc>
          <w:tcPr>
            <w:tcW w:w="714" w:type="pct"/>
            <w:tcBorders>
              <w:top w:val="nil"/>
              <w:left w:val="nil"/>
              <w:bottom w:val="nil"/>
              <w:right w:val="nil"/>
            </w:tcBorders>
            <w:shd w:val="clear" w:color="auto" w:fill="auto"/>
            <w:vAlign w:val="bottom"/>
          </w:tcPr>
          <w:p w14:paraId="655FCDFA" w14:textId="77777777" w:rsidR="004E2F51" w:rsidRPr="005A1C64" w:rsidRDefault="004E2F51" w:rsidP="00E032FC">
            <w:pPr>
              <w:pStyle w:val="TT"/>
              <w:jc w:val="right"/>
              <w:rPr>
                <w:rFonts w:cs="Arial"/>
                <w:color w:val="000000" w:themeColor="text1"/>
                <w:spacing w:val="-3"/>
                <w:sz w:val="20"/>
                <w:lang w:val="hr-HR"/>
              </w:rPr>
            </w:pPr>
            <w:r w:rsidRPr="005A1C64">
              <w:rPr>
                <w:rFonts w:cs="Arial"/>
                <w:color w:val="000000" w:themeColor="text1"/>
                <w:spacing w:val="-3"/>
                <w:sz w:val="20"/>
                <w:lang w:val="hr-HR"/>
              </w:rPr>
              <w:t>76.903</w:t>
            </w:r>
          </w:p>
        </w:tc>
        <w:tc>
          <w:tcPr>
            <w:tcW w:w="665" w:type="pct"/>
            <w:tcBorders>
              <w:top w:val="nil"/>
              <w:left w:val="nil"/>
              <w:bottom w:val="nil"/>
              <w:right w:val="nil"/>
            </w:tcBorders>
            <w:shd w:val="clear" w:color="auto" w:fill="auto"/>
            <w:vAlign w:val="bottom"/>
          </w:tcPr>
          <w:p w14:paraId="276DE828" w14:textId="77777777" w:rsidR="004E2F51" w:rsidRPr="005A1C64" w:rsidRDefault="004E2F51" w:rsidP="00E032FC">
            <w:pPr>
              <w:pStyle w:val="TT"/>
              <w:jc w:val="right"/>
              <w:rPr>
                <w:rFonts w:cs="Arial"/>
                <w:color w:val="000000" w:themeColor="text1"/>
                <w:spacing w:val="-3"/>
                <w:sz w:val="20"/>
                <w:lang w:val="hr-HR"/>
              </w:rPr>
            </w:pPr>
            <w:r w:rsidRPr="005A1C64">
              <w:rPr>
                <w:rFonts w:cs="Arial"/>
                <w:color w:val="000000" w:themeColor="text1"/>
                <w:spacing w:val="-3"/>
                <w:sz w:val="20"/>
                <w:lang w:val="hr-HR"/>
              </w:rPr>
              <w:t>77.646</w:t>
            </w:r>
          </w:p>
        </w:tc>
        <w:tc>
          <w:tcPr>
            <w:tcW w:w="667" w:type="pct"/>
            <w:tcBorders>
              <w:top w:val="nil"/>
              <w:left w:val="nil"/>
              <w:bottom w:val="nil"/>
              <w:right w:val="nil"/>
            </w:tcBorders>
            <w:shd w:val="clear" w:color="auto" w:fill="auto"/>
            <w:vAlign w:val="bottom"/>
          </w:tcPr>
          <w:p w14:paraId="3E70156E"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70.845</w:t>
            </w:r>
          </w:p>
        </w:tc>
      </w:tr>
      <w:tr w:rsidR="004E2F51" w:rsidRPr="004F3522" w14:paraId="31505ECC" w14:textId="77777777" w:rsidTr="00E032FC">
        <w:trPr>
          <w:trHeight w:hRule="exact" w:val="114"/>
        </w:trPr>
        <w:tc>
          <w:tcPr>
            <w:tcW w:w="2196" w:type="pct"/>
          </w:tcPr>
          <w:p w14:paraId="417CB66D" w14:textId="77777777" w:rsidR="004E2F51" w:rsidRPr="004B4498" w:rsidRDefault="004E2F51" w:rsidP="00E032FC">
            <w:pPr>
              <w:pStyle w:val="TT"/>
              <w:rPr>
                <w:rFonts w:cs="Arial"/>
                <w:color w:val="000000" w:themeColor="text1"/>
                <w:sz w:val="20"/>
                <w:lang w:val="hr-HR"/>
              </w:rPr>
            </w:pPr>
          </w:p>
        </w:tc>
        <w:tc>
          <w:tcPr>
            <w:tcW w:w="758" w:type="pct"/>
            <w:tcBorders>
              <w:top w:val="nil"/>
              <w:left w:val="nil"/>
              <w:bottom w:val="nil"/>
              <w:right w:val="nil"/>
            </w:tcBorders>
            <w:shd w:val="clear" w:color="auto" w:fill="auto"/>
            <w:vAlign w:val="bottom"/>
          </w:tcPr>
          <w:p w14:paraId="686F57ED" w14:textId="77777777" w:rsidR="004E2F51" w:rsidRPr="004B4498" w:rsidRDefault="004E2F51" w:rsidP="00E032FC">
            <w:pPr>
              <w:pStyle w:val="TT"/>
              <w:jc w:val="right"/>
              <w:rPr>
                <w:rFonts w:cs="Arial"/>
                <w:color w:val="000000" w:themeColor="text1"/>
                <w:sz w:val="20"/>
                <w:lang w:val="hr-HR"/>
              </w:rPr>
            </w:pPr>
          </w:p>
        </w:tc>
        <w:tc>
          <w:tcPr>
            <w:tcW w:w="714" w:type="pct"/>
            <w:tcBorders>
              <w:top w:val="nil"/>
              <w:left w:val="nil"/>
              <w:bottom w:val="nil"/>
              <w:right w:val="nil"/>
            </w:tcBorders>
            <w:shd w:val="clear" w:color="auto" w:fill="auto"/>
            <w:vAlign w:val="bottom"/>
          </w:tcPr>
          <w:p w14:paraId="128D0142" w14:textId="77777777" w:rsidR="004E2F51" w:rsidRPr="004B4498" w:rsidRDefault="004E2F51" w:rsidP="00E032FC">
            <w:pPr>
              <w:pStyle w:val="TT"/>
              <w:jc w:val="right"/>
              <w:rPr>
                <w:rFonts w:cs="Arial"/>
                <w:color w:val="000000" w:themeColor="text1"/>
                <w:sz w:val="20"/>
                <w:lang w:val="hr-HR"/>
              </w:rPr>
            </w:pPr>
          </w:p>
        </w:tc>
        <w:tc>
          <w:tcPr>
            <w:tcW w:w="665" w:type="pct"/>
            <w:tcBorders>
              <w:top w:val="nil"/>
              <w:left w:val="nil"/>
              <w:bottom w:val="nil"/>
              <w:right w:val="nil"/>
            </w:tcBorders>
            <w:shd w:val="clear" w:color="auto" w:fill="auto"/>
            <w:vAlign w:val="bottom"/>
          </w:tcPr>
          <w:p w14:paraId="4675F281" w14:textId="77777777" w:rsidR="004E2F51" w:rsidRPr="004B4498" w:rsidRDefault="004E2F51" w:rsidP="00E032FC">
            <w:pPr>
              <w:pStyle w:val="TT"/>
              <w:jc w:val="right"/>
              <w:rPr>
                <w:rFonts w:cs="Arial"/>
                <w:color w:val="000000" w:themeColor="text1"/>
                <w:sz w:val="20"/>
                <w:lang w:val="hr-HR"/>
              </w:rPr>
            </w:pPr>
          </w:p>
        </w:tc>
        <w:tc>
          <w:tcPr>
            <w:tcW w:w="667" w:type="pct"/>
            <w:tcBorders>
              <w:top w:val="nil"/>
              <w:left w:val="nil"/>
              <w:bottom w:val="nil"/>
              <w:right w:val="nil"/>
            </w:tcBorders>
            <w:shd w:val="clear" w:color="auto" w:fill="auto"/>
            <w:vAlign w:val="bottom"/>
          </w:tcPr>
          <w:p w14:paraId="35E51B2D" w14:textId="77777777" w:rsidR="004E2F51" w:rsidRPr="004B4498" w:rsidRDefault="004E2F51" w:rsidP="00E032FC">
            <w:pPr>
              <w:pStyle w:val="TT"/>
              <w:jc w:val="right"/>
              <w:rPr>
                <w:rFonts w:cs="Arial"/>
                <w:color w:val="000000" w:themeColor="text1"/>
                <w:sz w:val="20"/>
                <w:lang w:val="hr-HR"/>
              </w:rPr>
            </w:pPr>
          </w:p>
        </w:tc>
      </w:tr>
      <w:tr w:rsidR="004E2F51" w:rsidRPr="004F3522" w14:paraId="56AC5AD6" w14:textId="77777777" w:rsidTr="00E032FC">
        <w:trPr>
          <w:trHeight w:val="20"/>
        </w:trPr>
        <w:tc>
          <w:tcPr>
            <w:tcW w:w="2196" w:type="pct"/>
          </w:tcPr>
          <w:p w14:paraId="73517C97" w14:textId="77777777" w:rsidR="004E2F51" w:rsidRPr="004B4498" w:rsidRDefault="004E2F51" w:rsidP="00E032FC">
            <w:pPr>
              <w:pStyle w:val="TT"/>
              <w:rPr>
                <w:rFonts w:cs="Arial"/>
                <w:color w:val="000000" w:themeColor="text1"/>
                <w:sz w:val="20"/>
                <w:lang w:val="hr-HR"/>
              </w:rPr>
            </w:pPr>
            <w:bookmarkStart w:id="846" w:name="_Toc67327661"/>
            <w:r w:rsidRPr="004B4498">
              <w:rPr>
                <w:rFonts w:cs="Arial"/>
                <w:color w:val="000000" w:themeColor="text1"/>
                <w:sz w:val="20"/>
                <w:lang w:val="hr-HR"/>
              </w:rPr>
              <w:t>Od čega:</w:t>
            </w:r>
            <w:bookmarkEnd w:id="846"/>
          </w:p>
        </w:tc>
        <w:tc>
          <w:tcPr>
            <w:tcW w:w="758" w:type="pct"/>
            <w:tcBorders>
              <w:top w:val="nil"/>
              <w:left w:val="nil"/>
              <w:bottom w:val="nil"/>
              <w:right w:val="nil"/>
            </w:tcBorders>
            <w:shd w:val="clear" w:color="auto" w:fill="auto"/>
            <w:vAlign w:val="bottom"/>
          </w:tcPr>
          <w:p w14:paraId="1825ADCF" w14:textId="77777777" w:rsidR="004E2F51" w:rsidRPr="004B4498" w:rsidRDefault="004E2F51" w:rsidP="00E032FC">
            <w:pPr>
              <w:pStyle w:val="TT"/>
              <w:jc w:val="right"/>
              <w:rPr>
                <w:rFonts w:cs="Arial"/>
                <w:color w:val="000000" w:themeColor="text1"/>
                <w:sz w:val="20"/>
                <w:lang w:val="hr-HR"/>
              </w:rPr>
            </w:pPr>
          </w:p>
        </w:tc>
        <w:tc>
          <w:tcPr>
            <w:tcW w:w="714" w:type="pct"/>
            <w:tcBorders>
              <w:top w:val="nil"/>
              <w:left w:val="nil"/>
              <w:bottom w:val="nil"/>
              <w:right w:val="nil"/>
            </w:tcBorders>
            <w:shd w:val="clear" w:color="auto" w:fill="auto"/>
            <w:vAlign w:val="bottom"/>
          </w:tcPr>
          <w:p w14:paraId="7889A8E6" w14:textId="77777777" w:rsidR="004E2F51" w:rsidRPr="004B4498" w:rsidRDefault="004E2F51" w:rsidP="00E032FC">
            <w:pPr>
              <w:pStyle w:val="TT"/>
              <w:jc w:val="right"/>
              <w:rPr>
                <w:rFonts w:cs="Arial"/>
                <w:color w:val="000000" w:themeColor="text1"/>
                <w:sz w:val="20"/>
                <w:lang w:val="hr-HR"/>
              </w:rPr>
            </w:pPr>
          </w:p>
        </w:tc>
        <w:tc>
          <w:tcPr>
            <w:tcW w:w="665" w:type="pct"/>
            <w:tcBorders>
              <w:top w:val="nil"/>
              <w:left w:val="nil"/>
              <w:bottom w:val="nil"/>
              <w:right w:val="nil"/>
            </w:tcBorders>
            <w:shd w:val="clear" w:color="auto" w:fill="auto"/>
            <w:vAlign w:val="bottom"/>
          </w:tcPr>
          <w:p w14:paraId="5421836D" w14:textId="77777777" w:rsidR="004E2F51" w:rsidRPr="004B4498" w:rsidRDefault="004E2F51" w:rsidP="00E032FC">
            <w:pPr>
              <w:pStyle w:val="TT"/>
              <w:jc w:val="right"/>
              <w:rPr>
                <w:rFonts w:cs="Arial"/>
                <w:color w:val="000000" w:themeColor="text1"/>
                <w:sz w:val="20"/>
                <w:lang w:val="hr-HR"/>
              </w:rPr>
            </w:pPr>
          </w:p>
        </w:tc>
        <w:tc>
          <w:tcPr>
            <w:tcW w:w="667" w:type="pct"/>
            <w:tcBorders>
              <w:top w:val="nil"/>
              <w:left w:val="nil"/>
              <w:bottom w:val="nil"/>
              <w:right w:val="nil"/>
            </w:tcBorders>
            <w:shd w:val="clear" w:color="auto" w:fill="auto"/>
            <w:vAlign w:val="bottom"/>
          </w:tcPr>
          <w:p w14:paraId="24BBE0D0" w14:textId="77777777" w:rsidR="004E2F51" w:rsidRPr="004B4498" w:rsidRDefault="004E2F51" w:rsidP="00E032FC">
            <w:pPr>
              <w:pStyle w:val="TT"/>
              <w:jc w:val="right"/>
              <w:rPr>
                <w:rFonts w:cs="Arial"/>
                <w:color w:val="000000" w:themeColor="text1"/>
                <w:sz w:val="20"/>
                <w:lang w:val="hr-HR"/>
              </w:rPr>
            </w:pPr>
          </w:p>
        </w:tc>
      </w:tr>
      <w:tr w:rsidR="004E2F51" w:rsidRPr="004F3522" w14:paraId="2D21C987" w14:textId="77777777" w:rsidTr="00E032FC">
        <w:trPr>
          <w:trHeight w:val="20"/>
        </w:trPr>
        <w:tc>
          <w:tcPr>
            <w:tcW w:w="2196" w:type="pct"/>
          </w:tcPr>
          <w:p w14:paraId="2D25A454" w14:textId="77777777" w:rsidR="004E2F51" w:rsidRPr="004B4498" w:rsidRDefault="004E2F51" w:rsidP="00E032FC">
            <w:pPr>
              <w:pStyle w:val="TT"/>
              <w:rPr>
                <w:rFonts w:cs="Arial"/>
                <w:i/>
                <w:color w:val="000000" w:themeColor="text1"/>
                <w:sz w:val="20"/>
                <w:lang w:val="hr-HR"/>
              </w:rPr>
            </w:pPr>
            <w:bookmarkStart w:id="847" w:name="_Toc67327662"/>
            <w:r w:rsidRPr="004B4498">
              <w:rPr>
                <w:rFonts w:cs="Arial"/>
                <w:i/>
                <w:color w:val="000000" w:themeColor="text1"/>
                <w:sz w:val="20"/>
                <w:lang w:val="hr-HR"/>
              </w:rPr>
              <w:t>Troškovi administracije</w:t>
            </w:r>
            <w:bookmarkEnd w:id="847"/>
            <w:r w:rsidRPr="004B4498">
              <w:rPr>
                <w:rFonts w:cs="Arial"/>
                <w:i/>
                <w:color w:val="000000" w:themeColor="text1"/>
                <w:sz w:val="20"/>
                <w:lang w:val="hr-HR"/>
              </w:rPr>
              <w:t xml:space="preserve"> </w:t>
            </w:r>
          </w:p>
        </w:tc>
        <w:tc>
          <w:tcPr>
            <w:tcW w:w="758" w:type="pct"/>
            <w:tcBorders>
              <w:top w:val="nil"/>
              <w:left w:val="nil"/>
              <w:bottom w:val="nil"/>
              <w:right w:val="nil"/>
            </w:tcBorders>
            <w:shd w:val="clear" w:color="auto" w:fill="auto"/>
            <w:vAlign w:val="bottom"/>
          </w:tcPr>
          <w:p w14:paraId="181DE32A" w14:textId="77777777" w:rsidR="004E2F51" w:rsidRPr="004B4498" w:rsidRDefault="004E2F51" w:rsidP="00E032FC">
            <w:pPr>
              <w:pStyle w:val="TT"/>
              <w:spacing w:line="240" w:lineRule="auto"/>
              <w:jc w:val="right"/>
              <w:rPr>
                <w:rFonts w:cs="Arial"/>
                <w:i/>
                <w:color w:val="000000" w:themeColor="text1"/>
                <w:sz w:val="20"/>
                <w:lang w:val="hr-HR"/>
              </w:rPr>
            </w:pPr>
            <w:r w:rsidRPr="005A1C64">
              <w:rPr>
                <w:rFonts w:cs="Arial"/>
                <w:i/>
                <w:color w:val="000000" w:themeColor="text1"/>
                <w:sz w:val="20"/>
                <w:lang w:val="hr-HR"/>
              </w:rPr>
              <w:t xml:space="preserve"> 16.541 </w:t>
            </w:r>
          </w:p>
        </w:tc>
        <w:tc>
          <w:tcPr>
            <w:tcW w:w="714" w:type="pct"/>
            <w:tcBorders>
              <w:top w:val="nil"/>
              <w:left w:val="nil"/>
              <w:bottom w:val="nil"/>
              <w:right w:val="nil"/>
            </w:tcBorders>
            <w:shd w:val="clear" w:color="auto" w:fill="auto"/>
            <w:vAlign w:val="bottom"/>
          </w:tcPr>
          <w:p w14:paraId="4DA08205" w14:textId="77777777" w:rsidR="004E2F51" w:rsidRPr="004B4498" w:rsidRDefault="004E2F51" w:rsidP="00E032FC">
            <w:pPr>
              <w:pStyle w:val="TT"/>
              <w:spacing w:line="240" w:lineRule="auto"/>
              <w:jc w:val="right"/>
              <w:rPr>
                <w:rFonts w:cs="Arial"/>
                <w:i/>
                <w:color w:val="000000" w:themeColor="text1"/>
                <w:sz w:val="20"/>
                <w:lang w:val="hr-HR"/>
              </w:rPr>
            </w:pPr>
            <w:r w:rsidRPr="0046584E">
              <w:rPr>
                <w:rFonts w:cs="Arial"/>
                <w:i/>
                <w:color w:val="000000" w:themeColor="text1"/>
                <w:sz w:val="20"/>
                <w:lang w:val="hr-HR"/>
              </w:rPr>
              <w:t>20.883</w:t>
            </w:r>
          </w:p>
        </w:tc>
        <w:tc>
          <w:tcPr>
            <w:tcW w:w="665" w:type="pct"/>
            <w:tcBorders>
              <w:top w:val="nil"/>
              <w:left w:val="nil"/>
              <w:bottom w:val="nil"/>
              <w:right w:val="nil"/>
            </w:tcBorders>
            <w:shd w:val="clear" w:color="auto" w:fill="auto"/>
            <w:vAlign w:val="bottom"/>
          </w:tcPr>
          <w:p w14:paraId="21A8E9C3" w14:textId="77777777" w:rsidR="004E2F51" w:rsidRPr="004B4498" w:rsidRDefault="004E2F51" w:rsidP="00E032FC">
            <w:pPr>
              <w:pStyle w:val="TT"/>
              <w:spacing w:line="240" w:lineRule="auto"/>
              <w:jc w:val="right"/>
              <w:rPr>
                <w:rFonts w:cs="Arial"/>
                <w:i/>
                <w:color w:val="000000" w:themeColor="text1"/>
                <w:sz w:val="20"/>
                <w:lang w:val="hr-HR"/>
              </w:rPr>
            </w:pPr>
            <w:r w:rsidRPr="005A1C64">
              <w:rPr>
                <w:rFonts w:cs="Arial"/>
                <w:i/>
                <w:color w:val="000000" w:themeColor="text1"/>
                <w:sz w:val="20"/>
                <w:lang w:val="hr-HR"/>
              </w:rPr>
              <w:t xml:space="preserve"> 15.828 </w:t>
            </w:r>
          </w:p>
        </w:tc>
        <w:tc>
          <w:tcPr>
            <w:tcW w:w="667" w:type="pct"/>
            <w:tcBorders>
              <w:top w:val="nil"/>
              <w:left w:val="nil"/>
              <w:bottom w:val="nil"/>
              <w:right w:val="nil"/>
            </w:tcBorders>
            <w:shd w:val="clear" w:color="auto" w:fill="auto"/>
            <w:vAlign w:val="bottom"/>
          </w:tcPr>
          <w:p w14:paraId="681C9F8D" w14:textId="77777777" w:rsidR="004E2F51" w:rsidRPr="004B4498" w:rsidRDefault="004E2F51" w:rsidP="00E032FC">
            <w:pPr>
              <w:pStyle w:val="TT"/>
              <w:spacing w:line="240" w:lineRule="auto"/>
              <w:jc w:val="right"/>
              <w:rPr>
                <w:rFonts w:cs="Arial"/>
                <w:i/>
                <w:color w:val="000000" w:themeColor="text1"/>
                <w:sz w:val="20"/>
                <w:lang w:val="hr-HR"/>
              </w:rPr>
            </w:pPr>
            <w:r w:rsidRPr="0046584E">
              <w:rPr>
                <w:rFonts w:cs="Arial"/>
                <w:i/>
                <w:color w:val="000000" w:themeColor="text1"/>
                <w:sz w:val="20"/>
                <w:lang w:val="hr-HR"/>
              </w:rPr>
              <w:t>20.354</w:t>
            </w:r>
          </w:p>
        </w:tc>
      </w:tr>
      <w:tr w:rsidR="004E2F51" w:rsidRPr="004F3522" w14:paraId="0C426F72" w14:textId="77777777" w:rsidTr="00E032FC">
        <w:trPr>
          <w:trHeight w:val="20"/>
        </w:trPr>
        <w:tc>
          <w:tcPr>
            <w:tcW w:w="2196" w:type="pct"/>
          </w:tcPr>
          <w:p w14:paraId="043D09B4" w14:textId="77777777" w:rsidR="004E2F51" w:rsidRPr="004B4498" w:rsidRDefault="004E2F51" w:rsidP="00E032FC">
            <w:pPr>
              <w:pStyle w:val="TT"/>
              <w:rPr>
                <w:rFonts w:cs="Arial"/>
                <w:i/>
                <w:color w:val="000000" w:themeColor="text1"/>
                <w:sz w:val="20"/>
                <w:lang w:val="hr-HR"/>
              </w:rPr>
            </w:pPr>
            <w:bookmarkStart w:id="848" w:name="_Toc67327667"/>
            <w:r w:rsidRPr="004B4498">
              <w:rPr>
                <w:rFonts w:cs="Arial"/>
                <w:i/>
                <w:color w:val="000000" w:themeColor="text1"/>
                <w:sz w:val="20"/>
                <w:lang w:val="hr-HR"/>
              </w:rPr>
              <w:t>Utrošeni materijal i usluge</w:t>
            </w:r>
            <w:bookmarkEnd w:id="848"/>
          </w:p>
        </w:tc>
        <w:tc>
          <w:tcPr>
            <w:tcW w:w="758" w:type="pct"/>
            <w:tcBorders>
              <w:top w:val="nil"/>
              <w:left w:val="nil"/>
              <w:bottom w:val="nil"/>
              <w:right w:val="nil"/>
            </w:tcBorders>
            <w:shd w:val="clear" w:color="auto" w:fill="auto"/>
            <w:vAlign w:val="bottom"/>
          </w:tcPr>
          <w:p w14:paraId="34A9E0B5" w14:textId="77777777" w:rsidR="004E2F51" w:rsidRPr="004B4498" w:rsidRDefault="004E2F51" w:rsidP="00E032FC">
            <w:pPr>
              <w:pStyle w:val="TT"/>
              <w:spacing w:line="240" w:lineRule="auto"/>
              <w:jc w:val="right"/>
              <w:rPr>
                <w:rFonts w:cs="Arial"/>
                <w:i/>
                <w:color w:val="000000" w:themeColor="text1"/>
                <w:sz w:val="20"/>
                <w:lang w:val="hr-HR"/>
              </w:rPr>
            </w:pPr>
            <w:r w:rsidRPr="005A1C64">
              <w:rPr>
                <w:rFonts w:cs="Arial"/>
                <w:i/>
                <w:color w:val="000000" w:themeColor="text1"/>
                <w:sz w:val="20"/>
                <w:lang w:val="hr-HR"/>
              </w:rPr>
              <w:t xml:space="preserve"> 34.440 </w:t>
            </w:r>
          </w:p>
        </w:tc>
        <w:tc>
          <w:tcPr>
            <w:tcW w:w="714" w:type="pct"/>
            <w:tcBorders>
              <w:top w:val="nil"/>
              <w:left w:val="nil"/>
              <w:bottom w:val="nil"/>
              <w:right w:val="nil"/>
            </w:tcBorders>
            <w:shd w:val="clear" w:color="auto" w:fill="auto"/>
            <w:vAlign w:val="bottom"/>
          </w:tcPr>
          <w:p w14:paraId="741E60EF" w14:textId="77777777" w:rsidR="004E2F51" w:rsidRPr="004B4498" w:rsidRDefault="004E2F51" w:rsidP="00E032FC">
            <w:pPr>
              <w:pStyle w:val="TT"/>
              <w:spacing w:line="240" w:lineRule="auto"/>
              <w:jc w:val="right"/>
              <w:rPr>
                <w:rFonts w:cs="Arial"/>
                <w:i/>
                <w:color w:val="000000" w:themeColor="text1"/>
                <w:sz w:val="20"/>
                <w:lang w:val="hr-HR"/>
              </w:rPr>
            </w:pPr>
            <w:r w:rsidRPr="0046584E">
              <w:rPr>
                <w:rFonts w:cs="Arial"/>
                <w:i/>
                <w:color w:val="000000" w:themeColor="text1"/>
                <w:sz w:val="20"/>
                <w:lang w:val="hr-HR"/>
              </w:rPr>
              <w:t>31.373</w:t>
            </w:r>
          </w:p>
        </w:tc>
        <w:tc>
          <w:tcPr>
            <w:tcW w:w="665" w:type="pct"/>
            <w:tcBorders>
              <w:top w:val="nil"/>
              <w:left w:val="nil"/>
              <w:bottom w:val="nil"/>
              <w:right w:val="nil"/>
            </w:tcBorders>
            <w:shd w:val="clear" w:color="auto" w:fill="auto"/>
            <w:vAlign w:val="bottom"/>
          </w:tcPr>
          <w:p w14:paraId="4C79A137" w14:textId="77777777" w:rsidR="004E2F51" w:rsidRPr="004B4498" w:rsidRDefault="004E2F51" w:rsidP="00E032FC">
            <w:pPr>
              <w:pStyle w:val="TT"/>
              <w:spacing w:line="240" w:lineRule="auto"/>
              <w:jc w:val="right"/>
              <w:rPr>
                <w:rFonts w:cs="Arial"/>
                <w:i/>
                <w:color w:val="000000" w:themeColor="text1"/>
                <w:sz w:val="20"/>
                <w:lang w:val="hr-HR"/>
              </w:rPr>
            </w:pPr>
            <w:r w:rsidRPr="005A1C64">
              <w:rPr>
                <w:rFonts w:cs="Arial"/>
                <w:i/>
                <w:color w:val="000000" w:themeColor="text1"/>
                <w:sz w:val="20"/>
                <w:lang w:val="hr-HR"/>
              </w:rPr>
              <w:t xml:space="preserve"> 32.544 </w:t>
            </w:r>
          </w:p>
        </w:tc>
        <w:tc>
          <w:tcPr>
            <w:tcW w:w="667" w:type="pct"/>
            <w:tcBorders>
              <w:top w:val="nil"/>
              <w:left w:val="nil"/>
              <w:bottom w:val="nil"/>
              <w:right w:val="nil"/>
            </w:tcBorders>
            <w:shd w:val="clear" w:color="auto" w:fill="auto"/>
            <w:vAlign w:val="bottom"/>
          </w:tcPr>
          <w:p w14:paraId="712AA680" w14:textId="77777777" w:rsidR="004E2F51" w:rsidRPr="004B4498" w:rsidRDefault="004E2F51" w:rsidP="00E032FC">
            <w:pPr>
              <w:pStyle w:val="TT"/>
              <w:spacing w:line="240" w:lineRule="auto"/>
              <w:jc w:val="right"/>
              <w:rPr>
                <w:rFonts w:cs="Arial"/>
                <w:i/>
                <w:color w:val="000000" w:themeColor="text1"/>
                <w:sz w:val="20"/>
                <w:lang w:val="hr-HR"/>
              </w:rPr>
            </w:pPr>
            <w:r w:rsidRPr="0046584E">
              <w:rPr>
                <w:rFonts w:cs="Arial"/>
                <w:i/>
                <w:color w:val="000000" w:themeColor="text1"/>
                <w:sz w:val="20"/>
                <w:lang w:val="hr-HR"/>
              </w:rPr>
              <w:t>29.643</w:t>
            </w:r>
          </w:p>
        </w:tc>
      </w:tr>
      <w:tr w:rsidR="004E2F51" w:rsidRPr="004F3522" w14:paraId="1B33C0B5" w14:textId="77777777" w:rsidTr="00E032FC">
        <w:trPr>
          <w:trHeight w:val="20"/>
        </w:trPr>
        <w:tc>
          <w:tcPr>
            <w:tcW w:w="2196" w:type="pct"/>
          </w:tcPr>
          <w:p w14:paraId="6BBA0E1A" w14:textId="77777777" w:rsidR="004E2F51" w:rsidRPr="004B4498" w:rsidRDefault="004E2F51" w:rsidP="00E032FC">
            <w:pPr>
              <w:pStyle w:val="TT"/>
              <w:rPr>
                <w:rFonts w:cs="Arial"/>
                <w:i/>
                <w:color w:val="000000" w:themeColor="text1"/>
                <w:sz w:val="20"/>
                <w:lang w:val="hr-HR"/>
              </w:rPr>
            </w:pPr>
            <w:bookmarkStart w:id="849" w:name="_Toc67327672"/>
            <w:r w:rsidRPr="004B4498">
              <w:rPr>
                <w:rFonts w:cs="Arial"/>
                <w:i/>
                <w:color w:val="000000" w:themeColor="text1"/>
                <w:sz w:val="20"/>
                <w:lang w:val="hr-HR"/>
              </w:rPr>
              <w:t>Ostali rashodi</w:t>
            </w:r>
            <w:bookmarkEnd w:id="849"/>
          </w:p>
        </w:tc>
        <w:tc>
          <w:tcPr>
            <w:tcW w:w="758" w:type="pct"/>
            <w:tcBorders>
              <w:top w:val="nil"/>
              <w:left w:val="nil"/>
              <w:bottom w:val="nil"/>
              <w:right w:val="nil"/>
            </w:tcBorders>
            <w:shd w:val="clear" w:color="auto" w:fill="auto"/>
            <w:vAlign w:val="bottom"/>
          </w:tcPr>
          <w:p w14:paraId="5BBBE34B" w14:textId="77777777" w:rsidR="004E2F51" w:rsidRPr="004B4498" w:rsidRDefault="004E2F51" w:rsidP="00E032FC">
            <w:pPr>
              <w:pStyle w:val="TT"/>
              <w:spacing w:line="240" w:lineRule="auto"/>
              <w:jc w:val="right"/>
              <w:rPr>
                <w:rFonts w:cs="Arial"/>
                <w:i/>
                <w:color w:val="000000" w:themeColor="text1"/>
                <w:sz w:val="20"/>
                <w:lang w:val="hr-HR"/>
              </w:rPr>
            </w:pPr>
            <w:r w:rsidRPr="005A1C64">
              <w:rPr>
                <w:rFonts w:cs="Arial"/>
                <w:i/>
                <w:color w:val="000000" w:themeColor="text1"/>
                <w:sz w:val="20"/>
                <w:lang w:val="hr-HR"/>
              </w:rPr>
              <w:t xml:space="preserve"> 33.798 </w:t>
            </w:r>
          </w:p>
        </w:tc>
        <w:tc>
          <w:tcPr>
            <w:tcW w:w="714" w:type="pct"/>
            <w:tcBorders>
              <w:top w:val="nil"/>
              <w:left w:val="nil"/>
              <w:bottom w:val="nil"/>
              <w:right w:val="nil"/>
            </w:tcBorders>
            <w:shd w:val="clear" w:color="auto" w:fill="auto"/>
            <w:vAlign w:val="bottom"/>
          </w:tcPr>
          <w:p w14:paraId="520BAB28" w14:textId="77777777" w:rsidR="004E2F51" w:rsidRPr="004B4498" w:rsidRDefault="004E2F51" w:rsidP="00E032FC">
            <w:pPr>
              <w:pStyle w:val="TT"/>
              <w:spacing w:line="240" w:lineRule="auto"/>
              <w:jc w:val="right"/>
              <w:rPr>
                <w:rFonts w:cs="Arial"/>
                <w:i/>
                <w:color w:val="000000" w:themeColor="text1"/>
                <w:sz w:val="20"/>
                <w:lang w:val="hr-HR"/>
              </w:rPr>
            </w:pPr>
            <w:r w:rsidRPr="0046584E">
              <w:rPr>
                <w:rFonts w:cs="Arial"/>
                <w:i/>
                <w:color w:val="000000" w:themeColor="text1"/>
                <w:sz w:val="20"/>
                <w:lang w:val="hr-HR"/>
              </w:rPr>
              <w:t>24.647</w:t>
            </w:r>
          </w:p>
        </w:tc>
        <w:tc>
          <w:tcPr>
            <w:tcW w:w="665" w:type="pct"/>
            <w:tcBorders>
              <w:top w:val="nil"/>
              <w:left w:val="nil"/>
              <w:bottom w:val="nil"/>
              <w:right w:val="nil"/>
            </w:tcBorders>
            <w:shd w:val="clear" w:color="auto" w:fill="auto"/>
            <w:vAlign w:val="bottom"/>
          </w:tcPr>
          <w:p w14:paraId="24B2017D" w14:textId="77777777" w:rsidR="004E2F51" w:rsidRPr="004B4498" w:rsidRDefault="004E2F51" w:rsidP="00E032FC">
            <w:pPr>
              <w:pStyle w:val="TT"/>
              <w:spacing w:line="240" w:lineRule="auto"/>
              <w:jc w:val="right"/>
              <w:rPr>
                <w:rFonts w:cs="Arial"/>
                <w:i/>
                <w:color w:val="000000" w:themeColor="text1"/>
                <w:sz w:val="20"/>
                <w:lang w:val="hr-HR"/>
              </w:rPr>
            </w:pPr>
            <w:r w:rsidRPr="005A1C64">
              <w:rPr>
                <w:rFonts w:cs="Arial"/>
                <w:i/>
                <w:color w:val="000000" w:themeColor="text1"/>
                <w:sz w:val="20"/>
                <w:lang w:val="hr-HR"/>
              </w:rPr>
              <w:t xml:space="preserve"> 29.274 </w:t>
            </w:r>
          </w:p>
        </w:tc>
        <w:tc>
          <w:tcPr>
            <w:tcW w:w="667" w:type="pct"/>
            <w:tcBorders>
              <w:top w:val="nil"/>
              <w:left w:val="nil"/>
              <w:bottom w:val="nil"/>
              <w:right w:val="nil"/>
            </w:tcBorders>
            <w:shd w:val="clear" w:color="auto" w:fill="auto"/>
            <w:vAlign w:val="bottom"/>
          </w:tcPr>
          <w:p w14:paraId="5BEFD7B9" w14:textId="77777777" w:rsidR="004E2F51" w:rsidRPr="004B4498" w:rsidRDefault="004E2F51" w:rsidP="00E032FC">
            <w:pPr>
              <w:pStyle w:val="TT"/>
              <w:spacing w:line="240" w:lineRule="auto"/>
              <w:jc w:val="right"/>
              <w:rPr>
                <w:rFonts w:cs="Arial"/>
                <w:i/>
                <w:color w:val="000000" w:themeColor="text1"/>
                <w:sz w:val="20"/>
                <w:lang w:val="hr-HR"/>
              </w:rPr>
            </w:pPr>
            <w:r w:rsidRPr="0046584E">
              <w:rPr>
                <w:rFonts w:cs="Arial"/>
                <w:i/>
                <w:color w:val="000000" w:themeColor="text1"/>
                <w:sz w:val="20"/>
                <w:lang w:val="hr-HR"/>
              </w:rPr>
              <w:t>20.848</w:t>
            </w:r>
          </w:p>
        </w:tc>
      </w:tr>
      <w:tr w:rsidR="004E2F51" w:rsidRPr="004F3522" w14:paraId="04B3ADF5" w14:textId="77777777" w:rsidTr="00E032FC">
        <w:trPr>
          <w:trHeight w:val="20"/>
        </w:trPr>
        <w:tc>
          <w:tcPr>
            <w:tcW w:w="2196" w:type="pct"/>
          </w:tcPr>
          <w:p w14:paraId="2B7493D5" w14:textId="77777777" w:rsidR="004E2F51" w:rsidRPr="004B4498" w:rsidRDefault="004E2F51" w:rsidP="00E032FC">
            <w:pPr>
              <w:pStyle w:val="TT"/>
              <w:rPr>
                <w:rFonts w:cs="Arial"/>
                <w:color w:val="000000" w:themeColor="text1"/>
                <w:sz w:val="20"/>
                <w:lang w:val="hr-HR"/>
              </w:rPr>
            </w:pPr>
          </w:p>
        </w:tc>
        <w:tc>
          <w:tcPr>
            <w:tcW w:w="758" w:type="pct"/>
            <w:tcBorders>
              <w:top w:val="single" w:sz="4" w:space="0" w:color="auto"/>
              <w:left w:val="nil"/>
              <w:bottom w:val="single" w:sz="12" w:space="0" w:color="auto"/>
              <w:right w:val="nil"/>
            </w:tcBorders>
            <w:shd w:val="clear" w:color="auto" w:fill="auto"/>
            <w:vAlign w:val="bottom"/>
          </w:tcPr>
          <w:p w14:paraId="32580F12" w14:textId="77777777" w:rsidR="004E2F51" w:rsidRPr="004B4498" w:rsidRDefault="004E2F51" w:rsidP="00E032FC">
            <w:pPr>
              <w:pStyle w:val="TT"/>
              <w:jc w:val="right"/>
              <w:rPr>
                <w:rFonts w:cs="Arial"/>
                <w:b/>
                <w:bCs/>
                <w:color w:val="000000" w:themeColor="text1"/>
                <w:sz w:val="20"/>
                <w:lang w:val="hr-HR"/>
              </w:rPr>
            </w:pPr>
            <w:r w:rsidRPr="005A1C64">
              <w:rPr>
                <w:rFonts w:cs="Arial"/>
                <w:b/>
                <w:bCs/>
                <w:color w:val="000000" w:themeColor="text1"/>
                <w:sz w:val="20"/>
                <w:lang w:val="hr-HR"/>
              </w:rPr>
              <w:t>201.572</w:t>
            </w:r>
          </w:p>
        </w:tc>
        <w:tc>
          <w:tcPr>
            <w:tcW w:w="714" w:type="pct"/>
            <w:tcBorders>
              <w:top w:val="single" w:sz="4" w:space="0" w:color="auto"/>
              <w:left w:val="nil"/>
              <w:bottom w:val="single" w:sz="12" w:space="0" w:color="auto"/>
              <w:right w:val="nil"/>
            </w:tcBorders>
            <w:shd w:val="clear" w:color="auto" w:fill="auto"/>
            <w:vAlign w:val="bottom"/>
          </w:tcPr>
          <w:p w14:paraId="77470452" w14:textId="77777777" w:rsidR="004E2F51" w:rsidRPr="004B4498" w:rsidRDefault="004E2F51" w:rsidP="00E032FC">
            <w:pPr>
              <w:pStyle w:val="TT"/>
              <w:jc w:val="right"/>
              <w:rPr>
                <w:rFonts w:cs="Arial"/>
                <w:b/>
                <w:bCs/>
                <w:color w:val="000000" w:themeColor="text1"/>
                <w:sz w:val="20"/>
                <w:lang w:val="hr-HR"/>
              </w:rPr>
            </w:pPr>
            <w:r w:rsidRPr="0046584E">
              <w:rPr>
                <w:rFonts w:cs="Arial"/>
                <w:b/>
                <w:bCs/>
                <w:color w:val="000000" w:themeColor="text1"/>
                <w:sz w:val="20"/>
                <w:lang w:val="hr-HR"/>
              </w:rPr>
              <w:t>188.302</w:t>
            </w:r>
          </w:p>
        </w:tc>
        <w:tc>
          <w:tcPr>
            <w:tcW w:w="665" w:type="pct"/>
            <w:tcBorders>
              <w:top w:val="single" w:sz="4" w:space="0" w:color="auto"/>
              <w:left w:val="nil"/>
              <w:bottom w:val="single" w:sz="12" w:space="0" w:color="auto"/>
              <w:right w:val="nil"/>
            </w:tcBorders>
            <w:shd w:val="clear" w:color="auto" w:fill="auto"/>
            <w:vAlign w:val="bottom"/>
          </w:tcPr>
          <w:p w14:paraId="7A7DB55F" w14:textId="77777777" w:rsidR="004E2F51" w:rsidRPr="005A1C64" w:rsidRDefault="004E2F51" w:rsidP="00E032FC">
            <w:pPr>
              <w:pStyle w:val="TT"/>
              <w:jc w:val="right"/>
              <w:rPr>
                <w:rFonts w:cs="Arial"/>
                <w:b/>
                <w:bCs/>
                <w:color w:val="000000" w:themeColor="text1"/>
                <w:sz w:val="20"/>
                <w:lang w:val="hr-HR"/>
              </w:rPr>
            </w:pPr>
            <w:r w:rsidRPr="005A1C64">
              <w:rPr>
                <w:rFonts w:cs="Arial"/>
                <w:b/>
                <w:bCs/>
                <w:color w:val="000000" w:themeColor="text1"/>
                <w:sz w:val="20"/>
                <w:lang w:val="hr-HR"/>
              </w:rPr>
              <w:t>189.148</w:t>
            </w:r>
          </w:p>
        </w:tc>
        <w:tc>
          <w:tcPr>
            <w:tcW w:w="667" w:type="pct"/>
            <w:tcBorders>
              <w:top w:val="single" w:sz="4" w:space="0" w:color="auto"/>
              <w:left w:val="nil"/>
              <w:bottom w:val="single" w:sz="12" w:space="0" w:color="auto"/>
              <w:right w:val="nil"/>
            </w:tcBorders>
            <w:shd w:val="clear" w:color="auto" w:fill="auto"/>
            <w:vAlign w:val="bottom"/>
          </w:tcPr>
          <w:p w14:paraId="43A3F9D1" w14:textId="77777777" w:rsidR="004E2F51" w:rsidRPr="005A1C64" w:rsidRDefault="004E2F51" w:rsidP="00E032FC">
            <w:pPr>
              <w:pStyle w:val="TT"/>
              <w:jc w:val="right"/>
              <w:rPr>
                <w:rFonts w:cs="Arial"/>
                <w:b/>
                <w:bCs/>
                <w:color w:val="000000" w:themeColor="text1"/>
                <w:sz w:val="20"/>
                <w:lang w:val="hr-HR"/>
              </w:rPr>
            </w:pPr>
            <w:r w:rsidRPr="0046584E">
              <w:rPr>
                <w:rFonts w:cs="Arial"/>
                <w:b/>
                <w:bCs/>
                <w:color w:val="000000" w:themeColor="text1"/>
                <w:sz w:val="20"/>
                <w:lang w:val="hr-HR"/>
              </w:rPr>
              <w:t>177.054</w:t>
            </w:r>
          </w:p>
        </w:tc>
      </w:tr>
      <w:bookmarkEnd w:id="830"/>
      <w:bookmarkEnd w:id="832"/>
    </w:tbl>
    <w:p w14:paraId="7C253A1C" w14:textId="77777777" w:rsidR="004E2F51" w:rsidRPr="004B4498" w:rsidRDefault="004E2F51" w:rsidP="004E2F51">
      <w:pPr>
        <w:rPr>
          <w:rFonts w:ascii="Arial" w:hAnsi="Arial" w:cs="Arial"/>
          <w:color w:val="000000" w:themeColor="text1"/>
          <w:sz w:val="20"/>
          <w:szCs w:val="20"/>
          <w:lang w:val="hr-HR"/>
        </w:rPr>
      </w:pPr>
    </w:p>
    <w:p w14:paraId="3B334786" w14:textId="77777777" w:rsidR="004E2F51" w:rsidRPr="004B4498" w:rsidRDefault="004E2F51" w:rsidP="004E2F51">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Utrošeni materijal i usluge sadržava troškove revizije, kako slijedi:</w:t>
      </w:r>
    </w:p>
    <w:p w14:paraId="394BA331" w14:textId="77777777" w:rsidR="004E2F51" w:rsidRPr="004B4498" w:rsidRDefault="004E2F51" w:rsidP="004E2F51">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 </w:t>
      </w:r>
    </w:p>
    <w:tbl>
      <w:tblPr>
        <w:tblW w:w="5000" w:type="pct"/>
        <w:jc w:val="right"/>
        <w:tblCellMar>
          <w:left w:w="122" w:type="dxa"/>
          <w:right w:w="122" w:type="dxa"/>
        </w:tblCellMar>
        <w:tblLook w:val="0000" w:firstRow="0" w:lastRow="0" w:firstColumn="0" w:lastColumn="0" w:noHBand="0" w:noVBand="0"/>
      </w:tblPr>
      <w:tblGrid>
        <w:gridCol w:w="4095"/>
        <w:gridCol w:w="1544"/>
        <w:gridCol w:w="1261"/>
        <w:gridCol w:w="1196"/>
        <w:gridCol w:w="1259"/>
      </w:tblGrid>
      <w:tr w:rsidR="004E2F51" w:rsidRPr="004F3522" w14:paraId="12B09352" w14:textId="77777777" w:rsidTr="00E032FC">
        <w:trPr>
          <w:trHeight w:val="57"/>
          <w:jc w:val="right"/>
        </w:trPr>
        <w:tc>
          <w:tcPr>
            <w:tcW w:w="2189" w:type="pct"/>
          </w:tcPr>
          <w:p w14:paraId="25C05B87" w14:textId="77777777" w:rsidR="004E2F51" w:rsidRPr="004B4498" w:rsidRDefault="004E2F51" w:rsidP="00E032FC">
            <w:pPr>
              <w:tabs>
                <w:tab w:val="left" w:pos="-720"/>
              </w:tabs>
              <w:jc w:val="right"/>
              <w:rPr>
                <w:rFonts w:ascii="Arial" w:hAnsi="Arial" w:cs="Arial"/>
                <w:color w:val="000000" w:themeColor="text1"/>
                <w:spacing w:val="-3"/>
                <w:sz w:val="20"/>
                <w:szCs w:val="20"/>
                <w:lang w:val="hr-HR"/>
              </w:rPr>
            </w:pPr>
          </w:p>
        </w:tc>
        <w:tc>
          <w:tcPr>
            <w:tcW w:w="1499" w:type="pct"/>
            <w:gridSpan w:val="2"/>
            <w:vAlign w:val="bottom"/>
          </w:tcPr>
          <w:p w14:paraId="5F8423E1" w14:textId="77777777" w:rsidR="004E2F51" w:rsidRPr="004B4498" w:rsidRDefault="004E2F51" w:rsidP="00E032FC">
            <w:pPr>
              <w:pStyle w:val="TH"/>
              <w:jc w:val="right"/>
              <w:rPr>
                <w:rFonts w:cs="Arial"/>
                <w:color w:val="000000" w:themeColor="text1"/>
                <w:sz w:val="20"/>
                <w:lang w:val="hr-HR"/>
              </w:rPr>
            </w:pPr>
            <w:bookmarkStart w:id="850" w:name="_Toc67327681"/>
            <w:r w:rsidRPr="004B4498">
              <w:rPr>
                <w:rFonts w:cs="Arial"/>
                <w:color w:val="000000" w:themeColor="text1"/>
                <w:sz w:val="20"/>
                <w:lang w:val="hr-HR"/>
              </w:rPr>
              <w:t>Grupa</w:t>
            </w:r>
            <w:bookmarkEnd w:id="850"/>
          </w:p>
        </w:tc>
        <w:tc>
          <w:tcPr>
            <w:tcW w:w="1312" w:type="pct"/>
            <w:gridSpan w:val="2"/>
            <w:vAlign w:val="bottom"/>
          </w:tcPr>
          <w:p w14:paraId="6B6166C5" w14:textId="77777777" w:rsidR="004E2F51" w:rsidRPr="004B4498" w:rsidRDefault="004E2F51" w:rsidP="00E032FC">
            <w:pPr>
              <w:pStyle w:val="TH"/>
              <w:jc w:val="right"/>
              <w:rPr>
                <w:rFonts w:cs="Arial"/>
                <w:color w:val="000000" w:themeColor="text1"/>
                <w:sz w:val="20"/>
                <w:lang w:val="hr-HR"/>
              </w:rPr>
            </w:pPr>
            <w:bookmarkStart w:id="851" w:name="_Toc67327682"/>
            <w:r w:rsidRPr="004B4498">
              <w:rPr>
                <w:rFonts w:cs="Arial"/>
                <w:color w:val="000000" w:themeColor="text1"/>
                <w:sz w:val="20"/>
                <w:lang w:val="hr-HR"/>
              </w:rPr>
              <w:t>Banka</w:t>
            </w:r>
            <w:bookmarkEnd w:id="851"/>
          </w:p>
        </w:tc>
      </w:tr>
      <w:tr w:rsidR="004E2F51" w:rsidRPr="004F3522" w14:paraId="1E644877" w14:textId="77777777" w:rsidTr="00E032FC">
        <w:trPr>
          <w:trHeight w:val="57"/>
          <w:jc w:val="right"/>
        </w:trPr>
        <w:tc>
          <w:tcPr>
            <w:tcW w:w="2189" w:type="pct"/>
          </w:tcPr>
          <w:p w14:paraId="1B107F17" w14:textId="77777777" w:rsidR="004E2F51" w:rsidRPr="004B4498" w:rsidRDefault="004E2F51" w:rsidP="00E032FC">
            <w:pPr>
              <w:tabs>
                <w:tab w:val="left" w:pos="-720"/>
              </w:tabs>
              <w:jc w:val="right"/>
              <w:rPr>
                <w:rFonts w:ascii="Arial" w:hAnsi="Arial" w:cs="Arial"/>
                <w:color w:val="000000" w:themeColor="text1"/>
                <w:spacing w:val="-3"/>
                <w:sz w:val="20"/>
                <w:szCs w:val="20"/>
                <w:lang w:val="hr-HR"/>
              </w:rPr>
            </w:pPr>
          </w:p>
        </w:tc>
        <w:tc>
          <w:tcPr>
            <w:tcW w:w="825" w:type="pct"/>
            <w:vAlign w:val="bottom"/>
          </w:tcPr>
          <w:p w14:paraId="62E86813" w14:textId="77777777" w:rsidR="004E2F51" w:rsidRPr="004B4498" w:rsidRDefault="004E2F51" w:rsidP="00E032FC">
            <w:pPr>
              <w:pStyle w:val="TH"/>
              <w:spacing w:line="240" w:lineRule="auto"/>
              <w:jc w:val="right"/>
              <w:rPr>
                <w:rFonts w:cs="Arial"/>
                <w:color w:val="000000" w:themeColor="text1"/>
                <w:sz w:val="20"/>
                <w:lang w:val="hr-HR"/>
              </w:rPr>
            </w:pPr>
            <w:bookmarkStart w:id="852" w:name="_Toc67327683"/>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852"/>
          </w:p>
        </w:tc>
        <w:tc>
          <w:tcPr>
            <w:tcW w:w="674" w:type="pct"/>
            <w:vAlign w:val="bottom"/>
          </w:tcPr>
          <w:p w14:paraId="08ED8F20" w14:textId="77777777" w:rsidR="004E2F51" w:rsidRPr="004B4498" w:rsidRDefault="004E2F51" w:rsidP="00E032FC">
            <w:pPr>
              <w:pStyle w:val="TH"/>
              <w:spacing w:line="240" w:lineRule="auto"/>
              <w:jc w:val="right"/>
              <w:rPr>
                <w:rFonts w:cs="Arial"/>
                <w:color w:val="000000" w:themeColor="text1"/>
                <w:sz w:val="20"/>
                <w:lang w:val="hr-HR"/>
              </w:rPr>
            </w:pPr>
            <w:bookmarkStart w:id="853" w:name="_Toc67327684"/>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853"/>
          </w:p>
        </w:tc>
        <w:tc>
          <w:tcPr>
            <w:tcW w:w="639" w:type="pct"/>
            <w:vAlign w:val="bottom"/>
          </w:tcPr>
          <w:p w14:paraId="1C987985" w14:textId="77777777" w:rsidR="004E2F51" w:rsidRPr="004B4498" w:rsidRDefault="004E2F51" w:rsidP="00E032FC">
            <w:pPr>
              <w:pStyle w:val="TH"/>
              <w:spacing w:line="240" w:lineRule="auto"/>
              <w:jc w:val="right"/>
              <w:rPr>
                <w:rFonts w:cs="Arial"/>
                <w:color w:val="000000" w:themeColor="text1"/>
                <w:sz w:val="20"/>
                <w:lang w:val="hr-HR"/>
              </w:rPr>
            </w:pPr>
            <w:bookmarkStart w:id="854" w:name="_Toc67327685"/>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854"/>
          </w:p>
        </w:tc>
        <w:tc>
          <w:tcPr>
            <w:tcW w:w="673" w:type="pct"/>
            <w:vAlign w:val="bottom"/>
          </w:tcPr>
          <w:p w14:paraId="207AB451" w14:textId="77777777" w:rsidR="004E2F51" w:rsidRPr="004B4498" w:rsidRDefault="004E2F51" w:rsidP="00E032FC">
            <w:pPr>
              <w:pStyle w:val="TH"/>
              <w:spacing w:line="240" w:lineRule="auto"/>
              <w:jc w:val="right"/>
              <w:rPr>
                <w:rFonts w:cs="Arial"/>
                <w:color w:val="000000" w:themeColor="text1"/>
                <w:sz w:val="20"/>
                <w:lang w:val="hr-HR"/>
              </w:rPr>
            </w:pPr>
            <w:bookmarkStart w:id="855" w:name="_Toc67327686"/>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855"/>
          </w:p>
        </w:tc>
      </w:tr>
      <w:tr w:rsidR="004E2F51" w:rsidRPr="004F3522" w14:paraId="472754D6" w14:textId="77777777" w:rsidTr="00E032FC">
        <w:tblPrEx>
          <w:tblCellMar>
            <w:left w:w="108" w:type="dxa"/>
            <w:right w:w="108" w:type="dxa"/>
          </w:tblCellMar>
        </w:tblPrEx>
        <w:trPr>
          <w:trHeight w:val="57"/>
          <w:jc w:val="right"/>
        </w:trPr>
        <w:tc>
          <w:tcPr>
            <w:tcW w:w="2189" w:type="pct"/>
          </w:tcPr>
          <w:p w14:paraId="083CCA30" w14:textId="77777777" w:rsidR="004E2F51" w:rsidRPr="004B4498" w:rsidRDefault="004E2F51" w:rsidP="00E032FC">
            <w:pPr>
              <w:tabs>
                <w:tab w:val="left" w:pos="-720"/>
              </w:tabs>
              <w:ind w:right="4144"/>
              <w:jc w:val="right"/>
              <w:rPr>
                <w:rFonts w:ascii="Arial" w:hAnsi="Arial" w:cs="Arial"/>
                <w:color w:val="000000" w:themeColor="text1"/>
                <w:sz w:val="20"/>
                <w:szCs w:val="20"/>
                <w:lang w:val="hr-HR"/>
              </w:rPr>
            </w:pPr>
          </w:p>
        </w:tc>
        <w:tc>
          <w:tcPr>
            <w:tcW w:w="825" w:type="pct"/>
          </w:tcPr>
          <w:p w14:paraId="1F253575" w14:textId="77777777" w:rsidR="004E2F51" w:rsidRPr="004B4498" w:rsidRDefault="004E2F51" w:rsidP="00E032FC">
            <w:pPr>
              <w:pStyle w:val="TH"/>
              <w:tabs>
                <w:tab w:val="clear" w:pos="1202"/>
              </w:tabs>
              <w:jc w:val="right"/>
              <w:rPr>
                <w:rFonts w:cs="Arial"/>
                <w:color w:val="000000" w:themeColor="text1"/>
                <w:sz w:val="20"/>
                <w:lang w:val="hr-HR"/>
              </w:rPr>
            </w:pPr>
            <w:bookmarkStart w:id="856" w:name="_Toc67327687"/>
            <w:r w:rsidRPr="004B4498">
              <w:rPr>
                <w:rFonts w:cs="Arial"/>
                <w:color w:val="000000" w:themeColor="text1"/>
                <w:sz w:val="20"/>
                <w:lang w:val="hr-HR"/>
              </w:rPr>
              <w:t>000 kuna</w:t>
            </w:r>
            <w:bookmarkEnd w:id="856"/>
          </w:p>
        </w:tc>
        <w:tc>
          <w:tcPr>
            <w:tcW w:w="674" w:type="pct"/>
          </w:tcPr>
          <w:p w14:paraId="71808ECF" w14:textId="77777777" w:rsidR="004E2F51" w:rsidRPr="004B4498" w:rsidRDefault="004E2F51" w:rsidP="00E032FC">
            <w:pPr>
              <w:pStyle w:val="TH"/>
              <w:tabs>
                <w:tab w:val="clear" w:pos="1202"/>
              </w:tabs>
              <w:jc w:val="right"/>
              <w:rPr>
                <w:rFonts w:cs="Arial"/>
                <w:color w:val="000000" w:themeColor="text1"/>
                <w:sz w:val="20"/>
                <w:lang w:val="hr-HR"/>
              </w:rPr>
            </w:pPr>
            <w:bookmarkStart w:id="857" w:name="_Toc67327688"/>
            <w:r w:rsidRPr="004B4498">
              <w:rPr>
                <w:rFonts w:cs="Arial"/>
                <w:color w:val="000000" w:themeColor="text1"/>
                <w:sz w:val="20"/>
                <w:lang w:val="hr-HR"/>
              </w:rPr>
              <w:t>000 kuna</w:t>
            </w:r>
            <w:bookmarkEnd w:id="857"/>
          </w:p>
        </w:tc>
        <w:tc>
          <w:tcPr>
            <w:tcW w:w="639" w:type="pct"/>
          </w:tcPr>
          <w:p w14:paraId="6BF39C13" w14:textId="77777777" w:rsidR="004E2F51" w:rsidRPr="004B4498" w:rsidRDefault="004E2F51" w:rsidP="00E032FC">
            <w:pPr>
              <w:pStyle w:val="TH"/>
              <w:tabs>
                <w:tab w:val="clear" w:pos="1202"/>
              </w:tabs>
              <w:jc w:val="right"/>
              <w:rPr>
                <w:rFonts w:cs="Arial"/>
                <w:color w:val="000000" w:themeColor="text1"/>
                <w:sz w:val="20"/>
                <w:lang w:val="hr-HR"/>
              </w:rPr>
            </w:pPr>
            <w:bookmarkStart w:id="858" w:name="_Toc67327689"/>
            <w:r w:rsidRPr="004B4498">
              <w:rPr>
                <w:rFonts w:cs="Arial"/>
                <w:color w:val="000000" w:themeColor="text1"/>
                <w:sz w:val="20"/>
                <w:lang w:val="hr-HR"/>
              </w:rPr>
              <w:t>000 kuna</w:t>
            </w:r>
            <w:bookmarkEnd w:id="858"/>
          </w:p>
        </w:tc>
        <w:tc>
          <w:tcPr>
            <w:tcW w:w="673" w:type="pct"/>
          </w:tcPr>
          <w:p w14:paraId="7BB76EEC" w14:textId="77777777" w:rsidR="004E2F51" w:rsidRPr="004B4498" w:rsidRDefault="004E2F51" w:rsidP="00E032FC">
            <w:pPr>
              <w:pStyle w:val="TH"/>
              <w:tabs>
                <w:tab w:val="clear" w:pos="1202"/>
              </w:tabs>
              <w:jc w:val="right"/>
              <w:rPr>
                <w:rFonts w:cs="Arial"/>
                <w:color w:val="000000" w:themeColor="text1"/>
                <w:sz w:val="20"/>
                <w:lang w:val="hr-HR"/>
              </w:rPr>
            </w:pPr>
            <w:bookmarkStart w:id="859" w:name="_Toc67327690"/>
            <w:r w:rsidRPr="004B4498">
              <w:rPr>
                <w:rFonts w:cs="Arial"/>
                <w:color w:val="000000" w:themeColor="text1"/>
                <w:sz w:val="20"/>
                <w:lang w:val="hr-HR"/>
              </w:rPr>
              <w:t>000 kuna</w:t>
            </w:r>
            <w:bookmarkEnd w:id="859"/>
          </w:p>
        </w:tc>
      </w:tr>
      <w:tr w:rsidR="004E2F51" w:rsidRPr="004F3522" w14:paraId="7BEC7F71" w14:textId="77777777" w:rsidTr="00E032FC">
        <w:trPr>
          <w:trHeight w:val="57"/>
          <w:jc w:val="right"/>
        </w:trPr>
        <w:tc>
          <w:tcPr>
            <w:tcW w:w="2189" w:type="pct"/>
            <w:vAlign w:val="bottom"/>
          </w:tcPr>
          <w:p w14:paraId="4AEE6E62" w14:textId="77777777" w:rsidR="004E2F51" w:rsidRPr="004B4498" w:rsidRDefault="004E2F51" w:rsidP="00E032FC">
            <w:pPr>
              <w:pStyle w:val="TT"/>
              <w:rPr>
                <w:rFonts w:cs="Arial"/>
                <w:color w:val="000000" w:themeColor="text1"/>
                <w:spacing w:val="-3"/>
                <w:sz w:val="20"/>
                <w:lang w:val="hr-HR"/>
              </w:rPr>
            </w:pPr>
            <w:bookmarkStart w:id="860" w:name="_Toc67327691"/>
            <w:r w:rsidRPr="004B4498">
              <w:rPr>
                <w:rFonts w:cs="Arial"/>
                <w:color w:val="000000" w:themeColor="text1"/>
                <w:sz w:val="20"/>
                <w:lang w:val="hr-HR"/>
              </w:rPr>
              <w:t>Revizijske usluge</w:t>
            </w:r>
            <w:bookmarkEnd w:id="860"/>
            <w:r w:rsidRPr="004B4498">
              <w:rPr>
                <w:rFonts w:cs="Arial"/>
                <w:color w:val="000000" w:themeColor="text1"/>
                <w:sz w:val="20"/>
                <w:lang w:val="hr-HR"/>
              </w:rPr>
              <w:t xml:space="preserve"> </w:t>
            </w:r>
          </w:p>
        </w:tc>
        <w:tc>
          <w:tcPr>
            <w:tcW w:w="825" w:type="pct"/>
            <w:tcBorders>
              <w:top w:val="nil"/>
              <w:left w:val="nil"/>
              <w:bottom w:val="nil"/>
              <w:right w:val="nil"/>
            </w:tcBorders>
            <w:shd w:val="clear" w:color="auto" w:fill="auto"/>
          </w:tcPr>
          <w:p w14:paraId="380D7ADF" w14:textId="77777777" w:rsidR="004E2F51" w:rsidRPr="004B4498" w:rsidRDefault="004E2F51" w:rsidP="00E032FC">
            <w:pPr>
              <w:pStyle w:val="TT"/>
              <w:jc w:val="right"/>
              <w:rPr>
                <w:rFonts w:cs="Arial"/>
                <w:color w:val="000000" w:themeColor="text1"/>
                <w:spacing w:val="-3"/>
                <w:sz w:val="20"/>
                <w:lang w:val="hr-HR"/>
              </w:rPr>
            </w:pPr>
            <w:r>
              <w:rPr>
                <w:rFonts w:cs="Arial"/>
                <w:color w:val="000000" w:themeColor="text1"/>
                <w:spacing w:val="-3"/>
                <w:sz w:val="20"/>
                <w:lang w:val="hr-HR"/>
              </w:rPr>
              <w:t>706</w:t>
            </w:r>
          </w:p>
        </w:tc>
        <w:tc>
          <w:tcPr>
            <w:tcW w:w="674" w:type="pct"/>
            <w:tcBorders>
              <w:top w:val="nil"/>
              <w:left w:val="nil"/>
              <w:bottom w:val="nil"/>
              <w:right w:val="nil"/>
            </w:tcBorders>
            <w:shd w:val="clear" w:color="auto" w:fill="auto"/>
          </w:tcPr>
          <w:p w14:paraId="782F8B9C" w14:textId="77777777" w:rsidR="004E2F51" w:rsidRPr="004B4498" w:rsidRDefault="004E2F51" w:rsidP="00E032FC">
            <w:pPr>
              <w:pStyle w:val="TT"/>
              <w:jc w:val="right"/>
              <w:rPr>
                <w:rFonts w:cs="Arial"/>
                <w:color w:val="000000" w:themeColor="text1"/>
                <w:spacing w:val="-3"/>
                <w:sz w:val="20"/>
                <w:lang w:val="hr-HR"/>
              </w:rPr>
            </w:pPr>
            <w:bookmarkStart w:id="861" w:name="_Toc67327692"/>
            <w:r w:rsidRPr="0046584E">
              <w:rPr>
                <w:rFonts w:cs="Arial"/>
                <w:color w:val="000000" w:themeColor="text1"/>
                <w:spacing w:val="-3"/>
                <w:sz w:val="20"/>
                <w:lang w:val="hr-HR"/>
              </w:rPr>
              <w:t>701</w:t>
            </w:r>
            <w:bookmarkEnd w:id="861"/>
          </w:p>
        </w:tc>
        <w:tc>
          <w:tcPr>
            <w:tcW w:w="639" w:type="pct"/>
            <w:tcBorders>
              <w:top w:val="nil"/>
              <w:left w:val="nil"/>
              <w:bottom w:val="nil"/>
              <w:right w:val="nil"/>
            </w:tcBorders>
            <w:shd w:val="clear" w:color="auto" w:fill="auto"/>
          </w:tcPr>
          <w:p w14:paraId="530BCE44" w14:textId="77777777" w:rsidR="004E2F51" w:rsidRPr="004B4498" w:rsidRDefault="004E2F51" w:rsidP="00E032FC">
            <w:pPr>
              <w:pStyle w:val="TT"/>
              <w:jc w:val="right"/>
              <w:rPr>
                <w:rFonts w:cs="Arial"/>
                <w:color w:val="000000" w:themeColor="text1"/>
                <w:spacing w:val="-3"/>
                <w:sz w:val="20"/>
                <w:lang w:val="hr-HR"/>
              </w:rPr>
            </w:pPr>
            <w:r>
              <w:rPr>
                <w:rFonts w:cs="Arial"/>
                <w:color w:val="000000" w:themeColor="text1"/>
                <w:spacing w:val="-3"/>
                <w:sz w:val="20"/>
                <w:lang w:val="hr-HR"/>
              </w:rPr>
              <w:t>563</w:t>
            </w:r>
          </w:p>
        </w:tc>
        <w:tc>
          <w:tcPr>
            <w:tcW w:w="673" w:type="pct"/>
            <w:tcBorders>
              <w:top w:val="nil"/>
              <w:left w:val="nil"/>
              <w:bottom w:val="nil"/>
              <w:right w:val="nil"/>
            </w:tcBorders>
            <w:shd w:val="clear" w:color="auto" w:fill="auto"/>
          </w:tcPr>
          <w:p w14:paraId="06F4E471" w14:textId="77777777" w:rsidR="004E2F51" w:rsidRPr="004B4498" w:rsidRDefault="004E2F51" w:rsidP="00E032FC">
            <w:pPr>
              <w:pStyle w:val="TT"/>
              <w:jc w:val="right"/>
              <w:rPr>
                <w:rFonts w:cs="Arial"/>
                <w:color w:val="000000" w:themeColor="text1"/>
                <w:spacing w:val="-3"/>
                <w:sz w:val="20"/>
                <w:lang w:val="hr-HR"/>
              </w:rPr>
            </w:pPr>
            <w:bookmarkStart w:id="862" w:name="_Toc67327694"/>
            <w:r w:rsidRPr="0046584E">
              <w:rPr>
                <w:rFonts w:cs="Arial"/>
                <w:color w:val="000000" w:themeColor="text1"/>
                <w:spacing w:val="-3"/>
                <w:sz w:val="20"/>
                <w:lang w:val="hr-HR"/>
              </w:rPr>
              <w:t>563</w:t>
            </w:r>
            <w:bookmarkEnd w:id="862"/>
          </w:p>
        </w:tc>
      </w:tr>
      <w:tr w:rsidR="004E2F51" w:rsidRPr="004F3522" w14:paraId="4BA1752E" w14:textId="77777777" w:rsidTr="00E032FC">
        <w:trPr>
          <w:trHeight w:val="57"/>
          <w:jc w:val="right"/>
        </w:trPr>
        <w:tc>
          <w:tcPr>
            <w:tcW w:w="2189" w:type="pct"/>
            <w:vAlign w:val="bottom"/>
          </w:tcPr>
          <w:p w14:paraId="3AE1FB53" w14:textId="77777777" w:rsidR="004E2F51" w:rsidRPr="004B4498" w:rsidRDefault="004E2F51" w:rsidP="00E032FC">
            <w:pPr>
              <w:pStyle w:val="TT"/>
              <w:rPr>
                <w:rFonts w:cs="Arial"/>
                <w:color w:val="000000" w:themeColor="text1"/>
                <w:spacing w:val="-3"/>
                <w:sz w:val="20"/>
                <w:lang w:val="hr-HR"/>
              </w:rPr>
            </w:pPr>
            <w:bookmarkStart w:id="863" w:name="_Toc67327696"/>
            <w:r w:rsidRPr="004B4498">
              <w:rPr>
                <w:rFonts w:cs="Arial"/>
                <w:color w:val="000000" w:themeColor="text1"/>
                <w:sz w:val="20"/>
                <w:lang w:val="hr-HR"/>
              </w:rPr>
              <w:t>Nerevizijske usluge</w:t>
            </w:r>
            <w:bookmarkEnd w:id="863"/>
          </w:p>
        </w:tc>
        <w:tc>
          <w:tcPr>
            <w:tcW w:w="825" w:type="pct"/>
            <w:tcBorders>
              <w:top w:val="nil"/>
              <w:left w:val="nil"/>
              <w:bottom w:val="nil"/>
              <w:right w:val="nil"/>
            </w:tcBorders>
            <w:shd w:val="clear" w:color="auto" w:fill="auto"/>
          </w:tcPr>
          <w:p w14:paraId="0A7380F0" w14:textId="77777777" w:rsidR="004E2F51" w:rsidRPr="004B4498" w:rsidRDefault="004E2F51" w:rsidP="00E032FC">
            <w:pPr>
              <w:pStyle w:val="TT"/>
              <w:jc w:val="right"/>
              <w:rPr>
                <w:rFonts w:cs="Arial"/>
                <w:color w:val="000000" w:themeColor="text1"/>
                <w:spacing w:val="-3"/>
                <w:sz w:val="20"/>
                <w:lang w:val="hr-HR"/>
              </w:rPr>
            </w:pPr>
            <w:r>
              <w:rPr>
                <w:rFonts w:cs="Arial"/>
                <w:color w:val="000000" w:themeColor="text1"/>
                <w:spacing w:val="-3"/>
                <w:sz w:val="20"/>
                <w:lang w:val="hr-HR"/>
              </w:rPr>
              <w:t>-</w:t>
            </w:r>
          </w:p>
        </w:tc>
        <w:tc>
          <w:tcPr>
            <w:tcW w:w="674" w:type="pct"/>
            <w:tcBorders>
              <w:top w:val="nil"/>
              <w:left w:val="nil"/>
              <w:bottom w:val="nil"/>
              <w:right w:val="nil"/>
            </w:tcBorders>
            <w:shd w:val="clear" w:color="auto" w:fill="auto"/>
          </w:tcPr>
          <w:p w14:paraId="0C262C3D" w14:textId="77777777" w:rsidR="004E2F51" w:rsidRPr="004B4498" w:rsidRDefault="004E2F51" w:rsidP="00E032FC">
            <w:pPr>
              <w:pStyle w:val="TT"/>
              <w:jc w:val="right"/>
              <w:rPr>
                <w:rFonts w:cs="Arial"/>
                <w:color w:val="000000" w:themeColor="text1"/>
                <w:spacing w:val="-3"/>
                <w:sz w:val="20"/>
                <w:lang w:val="hr-HR"/>
              </w:rPr>
            </w:pPr>
            <w:bookmarkStart w:id="864" w:name="_Toc67327697"/>
            <w:r w:rsidRPr="0046584E">
              <w:rPr>
                <w:rFonts w:cs="Arial"/>
                <w:color w:val="000000" w:themeColor="text1"/>
                <w:spacing w:val="-3"/>
                <w:sz w:val="20"/>
                <w:lang w:val="hr-HR"/>
              </w:rPr>
              <w:t>-</w:t>
            </w:r>
            <w:bookmarkEnd w:id="864"/>
          </w:p>
        </w:tc>
        <w:tc>
          <w:tcPr>
            <w:tcW w:w="639" w:type="pct"/>
            <w:tcBorders>
              <w:top w:val="nil"/>
              <w:left w:val="nil"/>
              <w:bottom w:val="nil"/>
              <w:right w:val="nil"/>
            </w:tcBorders>
            <w:shd w:val="clear" w:color="auto" w:fill="auto"/>
          </w:tcPr>
          <w:p w14:paraId="2F7BEAB7" w14:textId="77777777" w:rsidR="004E2F51" w:rsidRPr="004B4498" w:rsidRDefault="004E2F51" w:rsidP="00E032FC">
            <w:pPr>
              <w:pStyle w:val="TT"/>
              <w:jc w:val="right"/>
              <w:rPr>
                <w:rFonts w:cs="Arial"/>
                <w:color w:val="000000" w:themeColor="text1"/>
                <w:spacing w:val="-3"/>
                <w:sz w:val="20"/>
                <w:lang w:val="hr-HR"/>
              </w:rPr>
            </w:pPr>
            <w:r>
              <w:rPr>
                <w:rFonts w:cs="Arial"/>
                <w:color w:val="000000" w:themeColor="text1"/>
                <w:spacing w:val="-3"/>
                <w:sz w:val="20"/>
                <w:lang w:val="hr-HR"/>
              </w:rPr>
              <w:t>-</w:t>
            </w:r>
          </w:p>
        </w:tc>
        <w:tc>
          <w:tcPr>
            <w:tcW w:w="673" w:type="pct"/>
            <w:tcBorders>
              <w:top w:val="nil"/>
              <w:left w:val="nil"/>
              <w:bottom w:val="nil"/>
              <w:right w:val="nil"/>
            </w:tcBorders>
            <w:shd w:val="clear" w:color="auto" w:fill="auto"/>
          </w:tcPr>
          <w:p w14:paraId="3FE83E0E" w14:textId="77777777" w:rsidR="004E2F51" w:rsidRPr="004B4498" w:rsidRDefault="004E2F51" w:rsidP="00E032FC">
            <w:pPr>
              <w:pStyle w:val="TT"/>
              <w:jc w:val="right"/>
              <w:rPr>
                <w:rFonts w:cs="Arial"/>
                <w:color w:val="000000" w:themeColor="text1"/>
                <w:spacing w:val="-3"/>
                <w:sz w:val="20"/>
                <w:lang w:val="hr-HR"/>
              </w:rPr>
            </w:pPr>
            <w:bookmarkStart w:id="865" w:name="_Toc67327699"/>
            <w:r w:rsidRPr="0046584E">
              <w:rPr>
                <w:rFonts w:cs="Arial"/>
                <w:color w:val="000000" w:themeColor="text1"/>
                <w:spacing w:val="-3"/>
                <w:sz w:val="20"/>
                <w:lang w:val="hr-HR"/>
              </w:rPr>
              <w:t>-</w:t>
            </w:r>
            <w:bookmarkEnd w:id="865"/>
          </w:p>
        </w:tc>
      </w:tr>
      <w:tr w:rsidR="004E2F51" w:rsidRPr="004F3522" w14:paraId="65EBDFAA" w14:textId="77777777" w:rsidTr="00E032FC">
        <w:trPr>
          <w:trHeight w:val="57"/>
          <w:jc w:val="right"/>
        </w:trPr>
        <w:tc>
          <w:tcPr>
            <w:tcW w:w="2189" w:type="pct"/>
            <w:vAlign w:val="bottom"/>
          </w:tcPr>
          <w:p w14:paraId="0C19343D" w14:textId="77777777" w:rsidR="004E2F51" w:rsidRPr="004B4498" w:rsidRDefault="004E2F51" w:rsidP="00E032FC">
            <w:pPr>
              <w:pStyle w:val="Tot"/>
              <w:rPr>
                <w:rFonts w:cs="Arial"/>
                <w:b/>
                <w:bCs/>
                <w:color w:val="000000" w:themeColor="text1"/>
                <w:sz w:val="20"/>
                <w:lang w:val="hr-HR"/>
              </w:rPr>
            </w:pPr>
            <w:r w:rsidRPr="004B4498">
              <w:rPr>
                <w:rFonts w:cs="Arial"/>
                <w:b/>
                <w:bCs/>
                <w:color w:val="000000" w:themeColor="text1"/>
                <w:sz w:val="20"/>
                <w:lang w:val="hr-HR"/>
              </w:rPr>
              <w:t>Troškovi revizije</w:t>
            </w:r>
          </w:p>
        </w:tc>
        <w:tc>
          <w:tcPr>
            <w:tcW w:w="825" w:type="pct"/>
            <w:tcBorders>
              <w:top w:val="single" w:sz="4" w:space="0" w:color="auto"/>
              <w:bottom w:val="single" w:sz="12" w:space="0" w:color="auto"/>
            </w:tcBorders>
            <w:vAlign w:val="bottom"/>
          </w:tcPr>
          <w:p w14:paraId="3DF5C96C" w14:textId="77777777" w:rsidR="004E2F51" w:rsidRPr="004B4498" w:rsidRDefault="004E2F51" w:rsidP="00E032FC">
            <w:pPr>
              <w:pStyle w:val="TT"/>
              <w:jc w:val="right"/>
              <w:rPr>
                <w:rFonts w:cs="Arial"/>
                <w:b/>
                <w:bCs/>
                <w:color w:val="000000" w:themeColor="text1"/>
                <w:sz w:val="20"/>
                <w:lang w:val="hr-HR"/>
              </w:rPr>
            </w:pPr>
            <w:r>
              <w:rPr>
                <w:rFonts w:cs="Arial"/>
                <w:b/>
                <w:bCs/>
                <w:color w:val="000000" w:themeColor="text1"/>
                <w:sz w:val="20"/>
                <w:lang w:val="hr-HR"/>
              </w:rPr>
              <w:t>706</w:t>
            </w:r>
          </w:p>
        </w:tc>
        <w:tc>
          <w:tcPr>
            <w:tcW w:w="674" w:type="pct"/>
            <w:tcBorders>
              <w:top w:val="single" w:sz="4" w:space="0" w:color="auto"/>
              <w:bottom w:val="single" w:sz="12" w:space="0" w:color="auto"/>
            </w:tcBorders>
            <w:vAlign w:val="bottom"/>
          </w:tcPr>
          <w:p w14:paraId="193D1618" w14:textId="77777777" w:rsidR="004E2F51" w:rsidRPr="004B4498" w:rsidRDefault="004E2F51" w:rsidP="00E032FC">
            <w:pPr>
              <w:pStyle w:val="TT"/>
              <w:jc w:val="right"/>
              <w:rPr>
                <w:rFonts w:cs="Arial"/>
                <w:b/>
                <w:bCs/>
                <w:color w:val="000000" w:themeColor="text1"/>
                <w:sz w:val="20"/>
                <w:lang w:val="hr-HR"/>
              </w:rPr>
            </w:pPr>
            <w:bookmarkStart w:id="866" w:name="_Toc67327701"/>
            <w:r w:rsidRPr="0046584E">
              <w:rPr>
                <w:rFonts w:cs="Arial"/>
                <w:b/>
                <w:bCs/>
                <w:color w:val="000000" w:themeColor="text1"/>
                <w:sz w:val="20"/>
                <w:lang w:val="hr-HR"/>
              </w:rPr>
              <w:t>701</w:t>
            </w:r>
            <w:bookmarkEnd w:id="866"/>
          </w:p>
        </w:tc>
        <w:tc>
          <w:tcPr>
            <w:tcW w:w="639" w:type="pct"/>
            <w:tcBorders>
              <w:top w:val="single" w:sz="4" w:space="0" w:color="auto"/>
              <w:bottom w:val="single" w:sz="12" w:space="0" w:color="auto"/>
            </w:tcBorders>
            <w:vAlign w:val="bottom"/>
          </w:tcPr>
          <w:p w14:paraId="578552BC" w14:textId="77777777" w:rsidR="004E2F51" w:rsidRPr="004B4498" w:rsidRDefault="004E2F51" w:rsidP="00E032FC">
            <w:pPr>
              <w:pStyle w:val="TT"/>
              <w:jc w:val="right"/>
              <w:rPr>
                <w:rFonts w:cs="Arial"/>
                <w:b/>
                <w:bCs/>
                <w:color w:val="000000" w:themeColor="text1"/>
                <w:sz w:val="20"/>
                <w:lang w:val="hr-HR"/>
              </w:rPr>
            </w:pPr>
            <w:r>
              <w:rPr>
                <w:rFonts w:cs="Arial"/>
                <w:b/>
                <w:bCs/>
                <w:color w:val="000000" w:themeColor="text1"/>
                <w:sz w:val="20"/>
                <w:lang w:val="hr-HR"/>
              </w:rPr>
              <w:t>563</w:t>
            </w:r>
          </w:p>
        </w:tc>
        <w:tc>
          <w:tcPr>
            <w:tcW w:w="673" w:type="pct"/>
            <w:tcBorders>
              <w:top w:val="single" w:sz="4" w:space="0" w:color="auto"/>
              <w:bottom w:val="single" w:sz="12" w:space="0" w:color="auto"/>
            </w:tcBorders>
            <w:vAlign w:val="bottom"/>
          </w:tcPr>
          <w:p w14:paraId="30C3E318" w14:textId="77777777" w:rsidR="004E2F51" w:rsidRPr="004B4498" w:rsidRDefault="004E2F51" w:rsidP="00E032FC">
            <w:pPr>
              <w:pStyle w:val="TT"/>
              <w:jc w:val="right"/>
              <w:rPr>
                <w:rFonts w:cs="Arial"/>
                <w:b/>
                <w:bCs/>
                <w:color w:val="000000" w:themeColor="text1"/>
                <w:sz w:val="20"/>
                <w:lang w:val="hr-HR"/>
              </w:rPr>
            </w:pPr>
            <w:bookmarkStart w:id="867" w:name="_Toc67327703"/>
            <w:r w:rsidRPr="0046584E">
              <w:rPr>
                <w:rFonts w:cs="Arial"/>
                <w:b/>
                <w:bCs/>
                <w:color w:val="000000" w:themeColor="text1"/>
                <w:sz w:val="20"/>
                <w:lang w:val="hr-HR"/>
              </w:rPr>
              <w:t>563</w:t>
            </w:r>
            <w:bookmarkEnd w:id="867"/>
          </w:p>
        </w:tc>
      </w:tr>
    </w:tbl>
    <w:p w14:paraId="24F075B2" w14:textId="77777777" w:rsidR="004E2F51" w:rsidRPr="004B4498" w:rsidRDefault="004E2F51" w:rsidP="004E2F51">
      <w:pPr>
        <w:rPr>
          <w:rFonts w:ascii="Arial" w:hAnsi="Arial" w:cs="Arial"/>
          <w:color w:val="000000" w:themeColor="text1"/>
          <w:sz w:val="20"/>
          <w:szCs w:val="20"/>
          <w:lang w:val="hr-HR"/>
        </w:rPr>
      </w:pPr>
    </w:p>
    <w:p w14:paraId="37DFE796" w14:textId="77777777" w:rsidR="004E2F51" w:rsidRPr="004B4498" w:rsidRDefault="004E2F51" w:rsidP="004E2F51">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Iskazani ostali rashodi Grupe sadrže promjene tehničkih pričuva:</w:t>
      </w:r>
    </w:p>
    <w:p w14:paraId="23C428A1" w14:textId="77777777" w:rsidR="004E2F51" w:rsidRPr="004B4498" w:rsidRDefault="004E2F51" w:rsidP="004E2F51">
      <w:pPr>
        <w:rPr>
          <w:rFonts w:ascii="Arial" w:hAnsi="Arial" w:cs="Arial"/>
          <w:color w:val="000000" w:themeColor="text1"/>
          <w:sz w:val="20"/>
          <w:szCs w:val="20"/>
          <w:lang w:val="hr-HR"/>
        </w:rPr>
      </w:pPr>
    </w:p>
    <w:tbl>
      <w:tblPr>
        <w:tblW w:w="5000" w:type="pct"/>
        <w:tblCellMar>
          <w:left w:w="122" w:type="dxa"/>
          <w:right w:w="122" w:type="dxa"/>
        </w:tblCellMar>
        <w:tblLook w:val="0000" w:firstRow="0" w:lastRow="0" w:firstColumn="0" w:lastColumn="0" w:noHBand="0" w:noVBand="0"/>
      </w:tblPr>
      <w:tblGrid>
        <w:gridCol w:w="4096"/>
        <w:gridCol w:w="1545"/>
        <w:gridCol w:w="1259"/>
        <w:gridCol w:w="1196"/>
        <w:gridCol w:w="1259"/>
      </w:tblGrid>
      <w:tr w:rsidR="004E2F51" w:rsidRPr="004F3522" w14:paraId="7DC84D49" w14:textId="77777777" w:rsidTr="00E032FC">
        <w:trPr>
          <w:trHeight w:val="300"/>
        </w:trPr>
        <w:tc>
          <w:tcPr>
            <w:tcW w:w="2189" w:type="pct"/>
            <w:shd w:val="clear" w:color="auto" w:fill="auto"/>
          </w:tcPr>
          <w:p w14:paraId="375778BD" w14:textId="77777777" w:rsidR="004E2F51" w:rsidRPr="004B4498" w:rsidRDefault="004E2F51" w:rsidP="00E032FC">
            <w:pPr>
              <w:tabs>
                <w:tab w:val="left" w:pos="-720"/>
              </w:tabs>
              <w:jc w:val="right"/>
              <w:rPr>
                <w:rFonts w:ascii="Arial" w:hAnsi="Arial" w:cs="Arial"/>
                <w:color w:val="000000" w:themeColor="text1"/>
                <w:spacing w:val="-3"/>
                <w:sz w:val="20"/>
                <w:szCs w:val="20"/>
                <w:lang w:val="hr-HR"/>
              </w:rPr>
            </w:pPr>
            <w:r w:rsidRPr="004B4498">
              <w:rPr>
                <w:rFonts w:ascii="Arial" w:hAnsi="Arial" w:cs="Arial"/>
                <w:color w:val="000000" w:themeColor="text1"/>
                <w:spacing w:val="-3"/>
                <w:sz w:val="20"/>
                <w:szCs w:val="20"/>
                <w:lang w:val="hr-HR"/>
              </w:rPr>
              <w:t xml:space="preserve">         </w:t>
            </w:r>
          </w:p>
        </w:tc>
        <w:tc>
          <w:tcPr>
            <w:tcW w:w="1499" w:type="pct"/>
            <w:gridSpan w:val="2"/>
            <w:vAlign w:val="bottom"/>
          </w:tcPr>
          <w:p w14:paraId="31BFB2BE" w14:textId="77777777" w:rsidR="004E2F51" w:rsidRPr="004B4498" w:rsidRDefault="004E2F51" w:rsidP="00E032FC">
            <w:pPr>
              <w:pStyle w:val="TH"/>
              <w:jc w:val="right"/>
              <w:rPr>
                <w:rFonts w:cs="Arial"/>
                <w:color w:val="000000" w:themeColor="text1"/>
                <w:sz w:val="20"/>
                <w:lang w:val="hr-HR"/>
              </w:rPr>
            </w:pPr>
            <w:bookmarkStart w:id="868" w:name="_Toc67327705"/>
            <w:r w:rsidRPr="004B4498">
              <w:rPr>
                <w:rFonts w:cs="Arial"/>
                <w:color w:val="000000" w:themeColor="text1"/>
                <w:sz w:val="20"/>
                <w:lang w:val="hr-HR"/>
              </w:rPr>
              <w:t>Grupa</w:t>
            </w:r>
            <w:bookmarkEnd w:id="868"/>
          </w:p>
        </w:tc>
        <w:tc>
          <w:tcPr>
            <w:tcW w:w="1312" w:type="pct"/>
            <w:gridSpan w:val="2"/>
            <w:shd w:val="clear" w:color="auto" w:fill="auto"/>
            <w:vAlign w:val="bottom"/>
          </w:tcPr>
          <w:p w14:paraId="2238F2D3" w14:textId="77777777" w:rsidR="004E2F51" w:rsidRPr="004B4498" w:rsidRDefault="004E2F51" w:rsidP="00E032FC">
            <w:pPr>
              <w:pStyle w:val="TH"/>
              <w:jc w:val="right"/>
              <w:rPr>
                <w:rFonts w:cs="Arial"/>
                <w:color w:val="000000" w:themeColor="text1"/>
                <w:sz w:val="20"/>
                <w:lang w:val="hr-HR"/>
              </w:rPr>
            </w:pPr>
            <w:bookmarkStart w:id="869" w:name="_Toc67327706"/>
            <w:r w:rsidRPr="004B4498">
              <w:rPr>
                <w:rFonts w:cs="Arial"/>
                <w:color w:val="000000" w:themeColor="text1"/>
                <w:sz w:val="20"/>
                <w:lang w:val="hr-HR"/>
              </w:rPr>
              <w:t>Banka</w:t>
            </w:r>
            <w:bookmarkEnd w:id="869"/>
          </w:p>
        </w:tc>
      </w:tr>
      <w:tr w:rsidR="004E2F51" w:rsidRPr="004F3522" w14:paraId="4E917235" w14:textId="77777777" w:rsidTr="00E032FC">
        <w:trPr>
          <w:trHeight w:val="300"/>
        </w:trPr>
        <w:tc>
          <w:tcPr>
            <w:tcW w:w="2189" w:type="pct"/>
            <w:shd w:val="clear" w:color="auto" w:fill="auto"/>
          </w:tcPr>
          <w:p w14:paraId="0849D20C" w14:textId="77777777" w:rsidR="004E2F51" w:rsidRPr="004B4498" w:rsidRDefault="004E2F51" w:rsidP="00E032FC">
            <w:pPr>
              <w:tabs>
                <w:tab w:val="left" w:pos="-720"/>
              </w:tabs>
              <w:jc w:val="right"/>
              <w:rPr>
                <w:rFonts w:ascii="Arial" w:hAnsi="Arial" w:cs="Arial"/>
                <w:color w:val="000000" w:themeColor="text1"/>
                <w:spacing w:val="-3"/>
                <w:sz w:val="20"/>
                <w:szCs w:val="20"/>
                <w:lang w:val="hr-HR"/>
              </w:rPr>
            </w:pPr>
          </w:p>
        </w:tc>
        <w:tc>
          <w:tcPr>
            <w:tcW w:w="826" w:type="pct"/>
            <w:vAlign w:val="bottom"/>
          </w:tcPr>
          <w:p w14:paraId="130BD8D3" w14:textId="77777777" w:rsidR="004E2F51" w:rsidRPr="004B4498" w:rsidRDefault="004E2F51" w:rsidP="00E032FC">
            <w:pPr>
              <w:pStyle w:val="TH"/>
              <w:spacing w:line="240" w:lineRule="auto"/>
              <w:jc w:val="right"/>
              <w:rPr>
                <w:rFonts w:cs="Arial"/>
                <w:color w:val="000000" w:themeColor="text1"/>
                <w:sz w:val="20"/>
                <w:lang w:val="hr-HR"/>
              </w:rPr>
            </w:pPr>
            <w:bookmarkStart w:id="870" w:name="_Toc67327707"/>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870"/>
          </w:p>
        </w:tc>
        <w:tc>
          <w:tcPr>
            <w:tcW w:w="673" w:type="pct"/>
            <w:vAlign w:val="bottom"/>
          </w:tcPr>
          <w:p w14:paraId="4889CE8C" w14:textId="77777777" w:rsidR="004E2F51" w:rsidRPr="004B4498" w:rsidRDefault="004E2F51" w:rsidP="00E032FC">
            <w:pPr>
              <w:pStyle w:val="TH"/>
              <w:spacing w:line="240" w:lineRule="auto"/>
              <w:jc w:val="right"/>
              <w:rPr>
                <w:rFonts w:cs="Arial"/>
                <w:color w:val="000000" w:themeColor="text1"/>
                <w:sz w:val="20"/>
                <w:lang w:val="hr-HR"/>
              </w:rPr>
            </w:pPr>
            <w:bookmarkStart w:id="871" w:name="_Toc67327708"/>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871"/>
          </w:p>
        </w:tc>
        <w:tc>
          <w:tcPr>
            <w:tcW w:w="639" w:type="pct"/>
            <w:vAlign w:val="bottom"/>
          </w:tcPr>
          <w:p w14:paraId="69C5BE07" w14:textId="77777777" w:rsidR="004E2F51" w:rsidRPr="004B4498" w:rsidRDefault="004E2F51" w:rsidP="00E032FC">
            <w:pPr>
              <w:pStyle w:val="TH"/>
              <w:spacing w:line="240" w:lineRule="auto"/>
              <w:jc w:val="right"/>
              <w:rPr>
                <w:rFonts w:cs="Arial"/>
                <w:color w:val="000000" w:themeColor="text1"/>
                <w:sz w:val="20"/>
                <w:lang w:val="hr-HR"/>
              </w:rPr>
            </w:pPr>
            <w:bookmarkStart w:id="872" w:name="_Toc67327709"/>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872"/>
          </w:p>
        </w:tc>
        <w:tc>
          <w:tcPr>
            <w:tcW w:w="673" w:type="pct"/>
            <w:vAlign w:val="bottom"/>
          </w:tcPr>
          <w:p w14:paraId="62180555" w14:textId="77777777" w:rsidR="004E2F51" w:rsidRPr="004B4498" w:rsidRDefault="004E2F51" w:rsidP="00E032FC">
            <w:pPr>
              <w:pStyle w:val="TH"/>
              <w:spacing w:line="240" w:lineRule="auto"/>
              <w:jc w:val="right"/>
              <w:rPr>
                <w:rFonts w:cs="Arial"/>
                <w:color w:val="000000" w:themeColor="text1"/>
                <w:sz w:val="20"/>
                <w:lang w:val="hr-HR"/>
              </w:rPr>
            </w:pPr>
            <w:bookmarkStart w:id="873" w:name="_Toc67327710"/>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873"/>
          </w:p>
        </w:tc>
      </w:tr>
      <w:tr w:rsidR="004E2F51" w:rsidRPr="004F3522" w14:paraId="4E3CBEFD" w14:textId="77777777" w:rsidTr="00E032FC">
        <w:tblPrEx>
          <w:tblCellMar>
            <w:left w:w="108" w:type="dxa"/>
            <w:right w:w="108" w:type="dxa"/>
          </w:tblCellMar>
        </w:tblPrEx>
        <w:trPr>
          <w:trHeight w:val="187"/>
        </w:trPr>
        <w:tc>
          <w:tcPr>
            <w:tcW w:w="2189" w:type="pct"/>
            <w:shd w:val="clear" w:color="auto" w:fill="auto"/>
          </w:tcPr>
          <w:p w14:paraId="3CD73D69" w14:textId="77777777" w:rsidR="004E2F51" w:rsidRPr="004B4498" w:rsidRDefault="004E2F51" w:rsidP="00E032FC">
            <w:pPr>
              <w:tabs>
                <w:tab w:val="left" w:pos="-720"/>
              </w:tabs>
              <w:ind w:right="4144"/>
              <w:jc w:val="right"/>
              <w:rPr>
                <w:rFonts w:ascii="Arial" w:hAnsi="Arial" w:cs="Arial"/>
                <w:color w:val="000000" w:themeColor="text1"/>
                <w:sz w:val="20"/>
                <w:szCs w:val="20"/>
                <w:lang w:val="hr-HR"/>
              </w:rPr>
            </w:pPr>
          </w:p>
        </w:tc>
        <w:tc>
          <w:tcPr>
            <w:tcW w:w="826" w:type="pct"/>
          </w:tcPr>
          <w:p w14:paraId="285BBD0A" w14:textId="77777777" w:rsidR="004E2F51" w:rsidRPr="004B4498" w:rsidRDefault="004E2F51" w:rsidP="00E032FC">
            <w:pPr>
              <w:pStyle w:val="TH"/>
              <w:jc w:val="right"/>
              <w:rPr>
                <w:rFonts w:cs="Arial"/>
                <w:color w:val="000000" w:themeColor="text1"/>
                <w:sz w:val="20"/>
                <w:lang w:val="hr-HR"/>
              </w:rPr>
            </w:pPr>
            <w:bookmarkStart w:id="874" w:name="_Toc67327711"/>
            <w:r w:rsidRPr="004B4498">
              <w:rPr>
                <w:rFonts w:cs="Arial"/>
                <w:color w:val="000000" w:themeColor="text1"/>
                <w:sz w:val="20"/>
                <w:lang w:val="hr-HR"/>
              </w:rPr>
              <w:t>000 kuna</w:t>
            </w:r>
            <w:bookmarkEnd w:id="874"/>
          </w:p>
        </w:tc>
        <w:tc>
          <w:tcPr>
            <w:tcW w:w="673" w:type="pct"/>
          </w:tcPr>
          <w:p w14:paraId="626FDE94" w14:textId="77777777" w:rsidR="004E2F51" w:rsidRPr="004B4498" w:rsidRDefault="004E2F51" w:rsidP="00E032FC">
            <w:pPr>
              <w:pStyle w:val="TH"/>
              <w:jc w:val="right"/>
              <w:rPr>
                <w:rFonts w:cs="Arial"/>
                <w:color w:val="000000" w:themeColor="text1"/>
                <w:sz w:val="20"/>
                <w:lang w:val="hr-HR"/>
              </w:rPr>
            </w:pPr>
            <w:bookmarkStart w:id="875" w:name="_Toc67327712"/>
            <w:r w:rsidRPr="004B4498">
              <w:rPr>
                <w:rFonts w:cs="Arial"/>
                <w:color w:val="000000" w:themeColor="text1"/>
                <w:sz w:val="20"/>
                <w:lang w:val="hr-HR"/>
              </w:rPr>
              <w:t>000 kuna</w:t>
            </w:r>
            <w:bookmarkEnd w:id="875"/>
          </w:p>
        </w:tc>
        <w:tc>
          <w:tcPr>
            <w:tcW w:w="639" w:type="pct"/>
            <w:shd w:val="clear" w:color="auto" w:fill="auto"/>
          </w:tcPr>
          <w:p w14:paraId="78BACB93" w14:textId="77777777" w:rsidR="004E2F51" w:rsidRPr="004B4498" w:rsidRDefault="004E2F51" w:rsidP="00E032FC">
            <w:pPr>
              <w:pStyle w:val="TH"/>
              <w:jc w:val="right"/>
              <w:rPr>
                <w:rFonts w:cs="Arial"/>
                <w:color w:val="000000" w:themeColor="text1"/>
                <w:sz w:val="20"/>
                <w:lang w:val="hr-HR"/>
              </w:rPr>
            </w:pPr>
            <w:bookmarkStart w:id="876" w:name="_Toc67327713"/>
            <w:r w:rsidRPr="004B4498">
              <w:rPr>
                <w:rFonts w:cs="Arial"/>
                <w:color w:val="000000" w:themeColor="text1"/>
                <w:sz w:val="20"/>
                <w:lang w:val="hr-HR"/>
              </w:rPr>
              <w:t>000 kuna</w:t>
            </w:r>
            <w:bookmarkEnd w:id="876"/>
          </w:p>
        </w:tc>
        <w:tc>
          <w:tcPr>
            <w:tcW w:w="673" w:type="pct"/>
            <w:shd w:val="clear" w:color="auto" w:fill="auto"/>
          </w:tcPr>
          <w:p w14:paraId="3120B140" w14:textId="77777777" w:rsidR="004E2F51" w:rsidRPr="004B4498" w:rsidRDefault="004E2F51" w:rsidP="00E032FC">
            <w:pPr>
              <w:pStyle w:val="TH"/>
              <w:jc w:val="right"/>
              <w:rPr>
                <w:rFonts w:cs="Arial"/>
                <w:color w:val="000000" w:themeColor="text1"/>
                <w:sz w:val="20"/>
                <w:lang w:val="hr-HR"/>
              </w:rPr>
            </w:pPr>
            <w:bookmarkStart w:id="877" w:name="_Toc67327714"/>
            <w:r w:rsidRPr="004B4498">
              <w:rPr>
                <w:rFonts w:cs="Arial"/>
                <w:color w:val="000000" w:themeColor="text1"/>
                <w:sz w:val="20"/>
                <w:lang w:val="hr-HR"/>
              </w:rPr>
              <w:t>000 kuna</w:t>
            </w:r>
            <w:bookmarkEnd w:id="877"/>
          </w:p>
        </w:tc>
      </w:tr>
      <w:tr w:rsidR="004E2F51" w:rsidRPr="004F3522" w14:paraId="05204A59" w14:textId="77777777" w:rsidTr="00E032FC">
        <w:trPr>
          <w:trHeight w:val="245"/>
        </w:trPr>
        <w:tc>
          <w:tcPr>
            <w:tcW w:w="2189" w:type="pct"/>
            <w:shd w:val="clear" w:color="auto" w:fill="auto"/>
          </w:tcPr>
          <w:p w14:paraId="0B77C87B" w14:textId="77777777" w:rsidR="004E2F51" w:rsidRPr="004B4498" w:rsidRDefault="004E2F51" w:rsidP="00E032FC">
            <w:pPr>
              <w:pStyle w:val="TT"/>
              <w:rPr>
                <w:rFonts w:cs="Arial"/>
                <w:b/>
                <w:color w:val="000000" w:themeColor="text1"/>
                <w:sz w:val="20"/>
                <w:lang w:val="hr-HR"/>
              </w:rPr>
            </w:pPr>
            <w:bookmarkStart w:id="878" w:name="_Toc67327715"/>
            <w:r w:rsidRPr="004B4498">
              <w:rPr>
                <w:rFonts w:cs="Arial"/>
                <w:color w:val="000000" w:themeColor="text1"/>
                <w:sz w:val="20"/>
                <w:lang w:val="hr-HR"/>
              </w:rPr>
              <w:t>Promjena pričuva za štete</w:t>
            </w:r>
            <w:bookmarkEnd w:id="878"/>
          </w:p>
        </w:tc>
        <w:tc>
          <w:tcPr>
            <w:tcW w:w="826" w:type="pct"/>
            <w:tcBorders>
              <w:top w:val="nil"/>
              <w:left w:val="nil"/>
              <w:bottom w:val="nil"/>
              <w:right w:val="nil"/>
            </w:tcBorders>
            <w:shd w:val="clear" w:color="auto" w:fill="auto"/>
          </w:tcPr>
          <w:p w14:paraId="0D52BEA0" w14:textId="77777777" w:rsidR="004E2F51" w:rsidRPr="004B4498" w:rsidRDefault="004E2F51" w:rsidP="00E032FC">
            <w:pPr>
              <w:pStyle w:val="TT"/>
              <w:ind w:left="65"/>
              <w:jc w:val="right"/>
              <w:rPr>
                <w:rFonts w:cs="Arial"/>
                <w:color w:val="000000" w:themeColor="text1"/>
                <w:sz w:val="20"/>
                <w:lang w:val="hr-HR"/>
              </w:rPr>
            </w:pPr>
            <w:r w:rsidRPr="005A1C64">
              <w:rPr>
                <w:rFonts w:cs="Arial"/>
                <w:color w:val="000000" w:themeColor="text1"/>
                <w:sz w:val="20"/>
                <w:lang w:val="hr-HR"/>
              </w:rPr>
              <w:t>(2.195)</w:t>
            </w:r>
          </w:p>
        </w:tc>
        <w:tc>
          <w:tcPr>
            <w:tcW w:w="673" w:type="pct"/>
            <w:tcBorders>
              <w:top w:val="nil"/>
              <w:left w:val="nil"/>
              <w:bottom w:val="nil"/>
              <w:right w:val="nil"/>
            </w:tcBorders>
            <w:shd w:val="clear" w:color="auto" w:fill="auto"/>
          </w:tcPr>
          <w:p w14:paraId="3A67AC7C" w14:textId="77777777" w:rsidR="004E2F51" w:rsidRPr="004B4498" w:rsidRDefault="004E2F51" w:rsidP="00E032FC">
            <w:pPr>
              <w:pStyle w:val="TT"/>
              <w:ind w:left="65"/>
              <w:jc w:val="right"/>
              <w:rPr>
                <w:rFonts w:cs="Arial"/>
                <w:color w:val="000000" w:themeColor="text1"/>
                <w:sz w:val="20"/>
                <w:lang w:val="hr-HR"/>
              </w:rPr>
            </w:pPr>
            <w:r w:rsidRPr="0046584E">
              <w:rPr>
                <w:rFonts w:cs="Arial"/>
                <w:color w:val="000000" w:themeColor="text1"/>
                <w:sz w:val="20"/>
                <w:lang w:val="hr-HR"/>
              </w:rPr>
              <w:t>1.610</w:t>
            </w:r>
          </w:p>
        </w:tc>
        <w:tc>
          <w:tcPr>
            <w:tcW w:w="639" w:type="pct"/>
            <w:shd w:val="clear" w:color="auto" w:fill="auto"/>
            <w:vAlign w:val="bottom"/>
          </w:tcPr>
          <w:p w14:paraId="3650D8E7" w14:textId="77777777" w:rsidR="004E2F51" w:rsidRPr="004B4498" w:rsidRDefault="004E2F51" w:rsidP="00E032FC">
            <w:pPr>
              <w:pStyle w:val="TT"/>
              <w:jc w:val="right"/>
              <w:rPr>
                <w:rFonts w:cs="Arial"/>
                <w:color w:val="000000" w:themeColor="text1"/>
                <w:sz w:val="20"/>
                <w:lang w:val="hr-HR"/>
              </w:rPr>
            </w:pPr>
            <w:bookmarkStart w:id="879" w:name="_Toc67327718"/>
            <w:r w:rsidRPr="004B4498">
              <w:rPr>
                <w:rFonts w:cs="Arial"/>
                <w:color w:val="000000" w:themeColor="text1"/>
                <w:sz w:val="20"/>
                <w:lang w:val="hr-HR"/>
              </w:rPr>
              <w:t>-</w:t>
            </w:r>
            <w:bookmarkEnd w:id="879"/>
          </w:p>
        </w:tc>
        <w:tc>
          <w:tcPr>
            <w:tcW w:w="673" w:type="pct"/>
            <w:shd w:val="clear" w:color="auto" w:fill="auto"/>
            <w:vAlign w:val="bottom"/>
          </w:tcPr>
          <w:p w14:paraId="569DF72D" w14:textId="77777777" w:rsidR="004E2F51" w:rsidRPr="004B4498" w:rsidRDefault="004E2F51" w:rsidP="00E032FC">
            <w:pPr>
              <w:pStyle w:val="TT"/>
              <w:jc w:val="right"/>
              <w:rPr>
                <w:rFonts w:cs="Arial"/>
                <w:color w:val="000000" w:themeColor="text1"/>
                <w:sz w:val="20"/>
                <w:lang w:val="hr-HR"/>
              </w:rPr>
            </w:pPr>
            <w:bookmarkStart w:id="880" w:name="_Toc67327719"/>
            <w:r w:rsidRPr="004B4498">
              <w:rPr>
                <w:rFonts w:cs="Arial"/>
                <w:color w:val="000000" w:themeColor="text1"/>
                <w:sz w:val="20"/>
                <w:lang w:val="hr-HR"/>
              </w:rPr>
              <w:t>-</w:t>
            </w:r>
            <w:bookmarkEnd w:id="880"/>
          </w:p>
        </w:tc>
      </w:tr>
      <w:tr w:rsidR="004E2F51" w:rsidRPr="004F3522" w14:paraId="2BF47594" w14:textId="77777777" w:rsidTr="00E032FC">
        <w:trPr>
          <w:trHeight w:val="120"/>
        </w:trPr>
        <w:tc>
          <w:tcPr>
            <w:tcW w:w="2189" w:type="pct"/>
            <w:shd w:val="clear" w:color="auto" w:fill="auto"/>
          </w:tcPr>
          <w:p w14:paraId="42D0F95F" w14:textId="77777777" w:rsidR="004E2F51" w:rsidRPr="004B4498" w:rsidRDefault="004E2F51" w:rsidP="00E032FC">
            <w:pPr>
              <w:pStyle w:val="TT"/>
              <w:rPr>
                <w:rFonts w:cs="Arial"/>
                <w:b/>
                <w:color w:val="000000" w:themeColor="text1"/>
                <w:sz w:val="20"/>
                <w:lang w:val="hr-HR"/>
              </w:rPr>
            </w:pPr>
            <w:bookmarkStart w:id="881" w:name="_Toc67327720"/>
            <w:r w:rsidRPr="004B4498">
              <w:rPr>
                <w:rFonts w:cs="Arial"/>
                <w:color w:val="000000" w:themeColor="text1"/>
                <w:sz w:val="20"/>
                <w:lang w:val="hr-HR"/>
              </w:rPr>
              <w:t>Promjena pričuva za štete, udio reosiguranje</w:t>
            </w:r>
            <w:bookmarkEnd w:id="881"/>
          </w:p>
        </w:tc>
        <w:tc>
          <w:tcPr>
            <w:tcW w:w="826" w:type="pct"/>
            <w:tcBorders>
              <w:top w:val="nil"/>
              <w:left w:val="nil"/>
              <w:bottom w:val="nil"/>
              <w:right w:val="nil"/>
            </w:tcBorders>
            <w:shd w:val="clear" w:color="auto" w:fill="auto"/>
            <w:vAlign w:val="bottom"/>
          </w:tcPr>
          <w:p w14:paraId="65FB7E76" w14:textId="77777777" w:rsidR="004E2F51" w:rsidRPr="004B4498" w:rsidRDefault="004E2F51" w:rsidP="00E032FC">
            <w:pPr>
              <w:pStyle w:val="TT"/>
              <w:jc w:val="right"/>
              <w:rPr>
                <w:rFonts w:cs="Arial"/>
                <w:color w:val="000000" w:themeColor="text1"/>
                <w:sz w:val="20"/>
                <w:lang w:val="hr-HR"/>
              </w:rPr>
            </w:pPr>
            <w:r>
              <w:rPr>
                <w:rFonts w:cs="Arial"/>
                <w:color w:val="000000" w:themeColor="text1"/>
                <w:sz w:val="20"/>
                <w:lang w:val="hr-HR"/>
              </w:rPr>
              <w:t>754</w:t>
            </w:r>
          </w:p>
        </w:tc>
        <w:tc>
          <w:tcPr>
            <w:tcW w:w="673" w:type="pct"/>
            <w:tcBorders>
              <w:top w:val="nil"/>
              <w:left w:val="nil"/>
              <w:bottom w:val="nil"/>
              <w:right w:val="nil"/>
            </w:tcBorders>
            <w:shd w:val="clear" w:color="auto" w:fill="auto"/>
            <w:vAlign w:val="bottom"/>
          </w:tcPr>
          <w:p w14:paraId="7C2F639C"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(61)</w:t>
            </w:r>
          </w:p>
        </w:tc>
        <w:tc>
          <w:tcPr>
            <w:tcW w:w="639" w:type="pct"/>
            <w:tcBorders>
              <w:bottom w:val="single" w:sz="4" w:space="0" w:color="auto"/>
            </w:tcBorders>
            <w:shd w:val="clear" w:color="auto" w:fill="auto"/>
            <w:vAlign w:val="bottom"/>
          </w:tcPr>
          <w:p w14:paraId="410D4358" w14:textId="77777777" w:rsidR="004E2F51" w:rsidRPr="004B4498" w:rsidRDefault="004E2F51" w:rsidP="00E032FC">
            <w:pPr>
              <w:pStyle w:val="TT"/>
              <w:jc w:val="right"/>
              <w:rPr>
                <w:rFonts w:cs="Arial"/>
                <w:color w:val="000000" w:themeColor="text1"/>
                <w:sz w:val="20"/>
                <w:lang w:val="hr-HR"/>
              </w:rPr>
            </w:pPr>
            <w:bookmarkStart w:id="882" w:name="_Toc67327723"/>
            <w:r w:rsidRPr="004B4498">
              <w:rPr>
                <w:rFonts w:cs="Arial"/>
                <w:color w:val="000000" w:themeColor="text1"/>
                <w:sz w:val="20"/>
                <w:lang w:val="hr-HR"/>
              </w:rPr>
              <w:t>-</w:t>
            </w:r>
            <w:bookmarkEnd w:id="882"/>
          </w:p>
        </w:tc>
        <w:tc>
          <w:tcPr>
            <w:tcW w:w="673" w:type="pct"/>
            <w:tcBorders>
              <w:bottom w:val="single" w:sz="4" w:space="0" w:color="auto"/>
            </w:tcBorders>
            <w:shd w:val="clear" w:color="auto" w:fill="auto"/>
            <w:vAlign w:val="bottom"/>
          </w:tcPr>
          <w:p w14:paraId="34DD618F" w14:textId="77777777" w:rsidR="004E2F51" w:rsidRPr="004B4498" w:rsidRDefault="004E2F51" w:rsidP="00E032FC">
            <w:pPr>
              <w:pStyle w:val="TT"/>
              <w:jc w:val="right"/>
              <w:rPr>
                <w:rFonts w:cs="Arial"/>
                <w:color w:val="000000" w:themeColor="text1"/>
                <w:sz w:val="20"/>
                <w:lang w:val="hr-HR"/>
              </w:rPr>
            </w:pPr>
            <w:bookmarkStart w:id="883" w:name="_Toc67327724"/>
            <w:r w:rsidRPr="004B4498">
              <w:rPr>
                <w:rFonts w:cs="Arial"/>
                <w:color w:val="000000" w:themeColor="text1"/>
                <w:sz w:val="20"/>
                <w:lang w:val="hr-HR"/>
              </w:rPr>
              <w:t>-</w:t>
            </w:r>
            <w:bookmarkEnd w:id="883"/>
          </w:p>
        </w:tc>
      </w:tr>
      <w:tr w:rsidR="004E2F51" w:rsidRPr="004F3522" w14:paraId="6C5C2A81" w14:textId="77777777" w:rsidTr="00E032FC">
        <w:trPr>
          <w:trHeight w:val="120"/>
        </w:trPr>
        <w:tc>
          <w:tcPr>
            <w:tcW w:w="2189" w:type="pct"/>
            <w:shd w:val="clear" w:color="auto" w:fill="auto"/>
          </w:tcPr>
          <w:p w14:paraId="5C4F854E" w14:textId="77777777" w:rsidR="004E2F51" w:rsidRPr="004B4498" w:rsidRDefault="004E2F51" w:rsidP="00E032FC">
            <w:pPr>
              <w:pStyle w:val="Tot"/>
              <w:rPr>
                <w:rFonts w:cs="Arial"/>
                <w:b/>
                <w:bCs/>
                <w:color w:val="000000" w:themeColor="text1"/>
                <w:sz w:val="20"/>
                <w:lang w:val="hr-HR"/>
              </w:rPr>
            </w:pPr>
            <w:bookmarkStart w:id="884" w:name="_Toc67327725"/>
            <w:r w:rsidRPr="004B4498">
              <w:rPr>
                <w:rFonts w:cs="Arial"/>
                <w:b/>
                <w:color w:val="000000" w:themeColor="text1"/>
                <w:sz w:val="20"/>
                <w:lang w:val="hr-HR"/>
              </w:rPr>
              <w:t>Troškovi osiguravateljne djelatnosti</w:t>
            </w:r>
            <w:bookmarkEnd w:id="884"/>
          </w:p>
        </w:tc>
        <w:tc>
          <w:tcPr>
            <w:tcW w:w="826" w:type="pct"/>
            <w:tcBorders>
              <w:top w:val="single" w:sz="4" w:space="0" w:color="auto"/>
              <w:bottom w:val="single" w:sz="12" w:space="0" w:color="auto"/>
            </w:tcBorders>
          </w:tcPr>
          <w:p w14:paraId="71B9F9AB" w14:textId="77777777" w:rsidR="004E2F51" w:rsidRPr="004B4498" w:rsidRDefault="004E2F51" w:rsidP="00E032FC">
            <w:pPr>
              <w:pStyle w:val="Tot"/>
              <w:jc w:val="right"/>
              <w:rPr>
                <w:rFonts w:cs="Arial"/>
                <w:b/>
                <w:bCs/>
                <w:color w:val="000000" w:themeColor="text1"/>
                <w:sz w:val="20"/>
                <w:lang w:val="hr-HR"/>
              </w:rPr>
            </w:pPr>
            <w:r w:rsidRPr="005A1C64">
              <w:rPr>
                <w:rFonts w:cs="Arial"/>
                <w:b/>
                <w:bCs/>
                <w:color w:val="000000" w:themeColor="text1"/>
                <w:sz w:val="20"/>
                <w:lang w:val="hr-HR"/>
              </w:rPr>
              <w:t>(1.441)</w:t>
            </w:r>
          </w:p>
        </w:tc>
        <w:tc>
          <w:tcPr>
            <w:tcW w:w="673" w:type="pct"/>
            <w:tcBorders>
              <w:top w:val="single" w:sz="4" w:space="0" w:color="auto"/>
              <w:bottom w:val="single" w:sz="12" w:space="0" w:color="auto"/>
            </w:tcBorders>
          </w:tcPr>
          <w:p w14:paraId="06AC0A63" w14:textId="77777777" w:rsidR="004E2F51" w:rsidRPr="004B4498" w:rsidRDefault="004E2F51" w:rsidP="00E032FC">
            <w:pPr>
              <w:pStyle w:val="Tot"/>
              <w:jc w:val="right"/>
              <w:rPr>
                <w:rFonts w:cs="Arial"/>
                <w:b/>
                <w:bCs/>
                <w:color w:val="000000" w:themeColor="text1"/>
                <w:sz w:val="20"/>
                <w:lang w:val="hr-HR"/>
              </w:rPr>
            </w:pPr>
            <w:r w:rsidRPr="0046584E">
              <w:rPr>
                <w:rFonts w:cs="Arial"/>
                <w:b/>
                <w:bCs/>
                <w:color w:val="000000" w:themeColor="text1"/>
                <w:sz w:val="20"/>
                <w:lang w:val="hr-HR"/>
              </w:rPr>
              <w:t>1.549</w:t>
            </w:r>
          </w:p>
        </w:tc>
        <w:tc>
          <w:tcPr>
            <w:tcW w:w="639" w:type="pct"/>
            <w:tcBorders>
              <w:top w:val="single" w:sz="4" w:space="0" w:color="auto"/>
              <w:bottom w:val="single" w:sz="12" w:space="0" w:color="auto"/>
            </w:tcBorders>
            <w:shd w:val="clear" w:color="auto" w:fill="auto"/>
            <w:vAlign w:val="bottom"/>
          </w:tcPr>
          <w:p w14:paraId="111735C9" w14:textId="77777777" w:rsidR="004E2F51" w:rsidRPr="004B4498" w:rsidRDefault="004E2F51" w:rsidP="00E032FC">
            <w:pPr>
              <w:pStyle w:val="Tot"/>
              <w:jc w:val="right"/>
              <w:rPr>
                <w:rFonts w:cs="Arial"/>
                <w:b/>
                <w:bCs/>
                <w:color w:val="000000" w:themeColor="text1"/>
                <w:sz w:val="20"/>
                <w:lang w:val="hr-HR"/>
              </w:rPr>
            </w:pPr>
            <w:bookmarkStart w:id="885" w:name="_Toc67327728"/>
            <w:r w:rsidRPr="004B4498">
              <w:rPr>
                <w:rFonts w:cs="Arial"/>
                <w:b/>
                <w:bCs/>
                <w:color w:val="000000" w:themeColor="text1"/>
                <w:sz w:val="20"/>
                <w:lang w:val="hr-HR"/>
              </w:rPr>
              <w:t>-</w:t>
            </w:r>
            <w:bookmarkEnd w:id="885"/>
          </w:p>
        </w:tc>
        <w:tc>
          <w:tcPr>
            <w:tcW w:w="673" w:type="pct"/>
            <w:tcBorders>
              <w:top w:val="single" w:sz="4" w:space="0" w:color="auto"/>
              <w:bottom w:val="single" w:sz="12" w:space="0" w:color="auto"/>
            </w:tcBorders>
            <w:shd w:val="clear" w:color="auto" w:fill="auto"/>
            <w:vAlign w:val="bottom"/>
          </w:tcPr>
          <w:p w14:paraId="42770DE0" w14:textId="77777777" w:rsidR="004E2F51" w:rsidRPr="004B4498" w:rsidRDefault="004E2F51" w:rsidP="00E032FC">
            <w:pPr>
              <w:pStyle w:val="Tot"/>
              <w:jc w:val="right"/>
              <w:rPr>
                <w:rFonts w:cs="Arial"/>
                <w:b/>
                <w:bCs/>
                <w:color w:val="000000" w:themeColor="text1"/>
                <w:sz w:val="20"/>
                <w:lang w:val="hr-HR"/>
              </w:rPr>
            </w:pPr>
            <w:bookmarkStart w:id="886" w:name="_Toc67327729"/>
            <w:r w:rsidRPr="004B4498">
              <w:rPr>
                <w:rFonts w:cs="Arial"/>
                <w:b/>
                <w:bCs/>
                <w:color w:val="000000" w:themeColor="text1"/>
                <w:sz w:val="20"/>
                <w:lang w:val="hr-HR"/>
              </w:rPr>
              <w:t>-</w:t>
            </w:r>
            <w:bookmarkEnd w:id="886"/>
          </w:p>
        </w:tc>
      </w:tr>
    </w:tbl>
    <w:p w14:paraId="26D798CA" w14:textId="77777777" w:rsidR="004E2F51" w:rsidRPr="004B4498" w:rsidRDefault="004E2F51" w:rsidP="004E2F51">
      <w:pPr>
        <w:pStyle w:val="Thick"/>
        <w:rPr>
          <w:rFonts w:cs="Arial"/>
          <w:color w:val="000000" w:themeColor="text1"/>
          <w:sz w:val="20"/>
          <w:lang w:val="hr-HR"/>
        </w:rPr>
      </w:pPr>
    </w:p>
    <w:p w14:paraId="380D5606" w14:textId="77777777" w:rsidR="004E2F51" w:rsidRPr="004B4498" w:rsidRDefault="004E2F51" w:rsidP="004E2F51">
      <w:pPr>
        <w:jc w:val="both"/>
        <w:rPr>
          <w:rFonts w:ascii="Arial" w:hAnsi="Arial" w:cs="Arial"/>
          <w:bCs/>
          <w:iCs/>
          <w:color w:val="000000" w:themeColor="text1"/>
          <w:sz w:val="20"/>
          <w:szCs w:val="20"/>
          <w:lang w:val="hr-HR"/>
        </w:rPr>
      </w:pPr>
    </w:p>
    <w:p w14:paraId="72A9F972" w14:textId="77777777" w:rsidR="004E2F51" w:rsidRPr="004B4498" w:rsidRDefault="004E2F51" w:rsidP="004E2F51">
      <w:pPr>
        <w:jc w:val="both"/>
        <w:rPr>
          <w:rFonts w:ascii="Arial" w:hAnsi="Arial" w:cs="Arial"/>
          <w:bCs/>
          <w:color w:val="000000" w:themeColor="text1"/>
          <w:sz w:val="20"/>
          <w:szCs w:val="20"/>
          <w:lang w:val="hr-HR"/>
        </w:rPr>
        <w:sectPr w:rsidR="004E2F51" w:rsidRPr="004B4498" w:rsidSect="00623DBA">
          <w:footerReference w:type="default" r:id="rId116"/>
          <w:pgSz w:w="11907" w:h="16840" w:code="9"/>
          <w:pgMar w:top="1418" w:right="1134" w:bottom="1134" w:left="1418" w:header="851" w:footer="851" w:gutter="0"/>
          <w:cols w:space="720"/>
          <w:noEndnote/>
        </w:sectPr>
      </w:pPr>
      <w:r w:rsidRPr="004B4498">
        <w:rPr>
          <w:rFonts w:ascii="Arial" w:hAnsi="Arial" w:cs="Arial"/>
          <w:bCs/>
          <w:iCs/>
          <w:color w:val="000000" w:themeColor="text1"/>
          <w:sz w:val="20"/>
          <w:szCs w:val="20"/>
          <w:lang w:val="hr-HR"/>
        </w:rPr>
        <w:t>Pričuve šteta na dan 31. prosinca 202</w:t>
      </w:r>
      <w:r>
        <w:rPr>
          <w:rFonts w:ascii="Arial" w:hAnsi="Arial" w:cs="Arial"/>
          <w:bCs/>
          <w:iCs/>
          <w:color w:val="000000" w:themeColor="text1"/>
          <w:sz w:val="20"/>
          <w:szCs w:val="20"/>
          <w:lang w:val="hr-HR"/>
        </w:rPr>
        <w:t>2</w:t>
      </w:r>
      <w:r w:rsidRPr="004B4498">
        <w:rPr>
          <w:rFonts w:ascii="Arial" w:hAnsi="Arial" w:cs="Arial"/>
          <w:bCs/>
          <w:iCs/>
          <w:color w:val="000000" w:themeColor="text1"/>
          <w:sz w:val="20"/>
          <w:szCs w:val="20"/>
          <w:lang w:val="hr-HR"/>
        </w:rPr>
        <w:t xml:space="preserve">. sastoje se od prijavljenih i neprijavljenih šteta u okvirnom omjeru </w:t>
      </w:r>
      <w:r w:rsidRPr="00276333">
        <w:rPr>
          <w:rFonts w:ascii="Arial" w:hAnsi="Arial" w:cs="Arial"/>
          <w:bCs/>
          <w:iCs/>
          <w:color w:val="000000" w:themeColor="text1"/>
          <w:sz w:val="20"/>
          <w:szCs w:val="20"/>
          <w:lang w:val="hr-HR"/>
        </w:rPr>
        <w:t>25:</w:t>
      </w:r>
      <w:r>
        <w:rPr>
          <w:rFonts w:ascii="Arial" w:hAnsi="Arial" w:cs="Arial"/>
          <w:bCs/>
          <w:iCs/>
          <w:color w:val="000000" w:themeColor="text1"/>
          <w:sz w:val="20"/>
          <w:szCs w:val="20"/>
          <w:lang w:val="hr-HR"/>
        </w:rPr>
        <w:t>75</w:t>
      </w:r>
      <w:r w:rsidRPr="004B4498">
        <w:rPr>
          <w:rFonts w:ascii="Arial" w:hAnsi="Arial" w:cs="Arial"/>
          <w:bCs/>
          <w:iCs/>
          <w:color w:val="000000" w:themeColor="text1"/>
          <w:sz w:val="20"/>
          <w:szCs w:val="20"/>
          <w:lang w:val="hr-HR"/>
        </w:rPr>
        <w:t>. Na kraju 202</w:t>
      </w:r>
      <w:r>
        <w:rPr>
          <w:rFonts w:ascii="Arial" w:hAnsi="Arial" w:cs="Arial"/>
          <w:bCs/>
          <w:iCs/>
          <w:color w:val="000000" w:themeColor="text1"/>
          <w:sz w:val="20"/>
          <w:szCs w:val="20"/>
          <w:lang w:val="hr-HR"/>
        </w:rPr>
        <w:t>2</w:t>
      </w:r>
      <w:r w:rsidRPr="004B4498">
        <w:rPr>
          <w:rFonts w:ascii="Arial" w:hAnsi="Arial" w:cs="Arial"/>
          <w:bCs/>
          <w:iCs/>
          <w:color w:val="000000" w:themeColor="text1"/>
          <w:sz w:val="20"/>
          <w:szCs w:val="20"/>
          <w:lang w:val="hr-HR"/>
        </w:rPr>
        <w:t xml:space="preserve">. godine, ukupne pričuve su </w:t>
      </w:r>
      <w:r>
        <w:rPr>
          <w:rFonts w:ascii="Arial" w:hAnsi="Arial" w:cs="Arial"/>
          <w:bCs/>
          <w:iCs/>
          <w:color w:val="000000" w:themeColor="text1"/>
          <w:sz w:val="20"/>
          <w:szCs w:val="20"/>
          <w:lang w:val="hr-HR"/>
        </w:rPr>
        <w:t>niže</w:t>
      </w:r>
      <w:r w:rsidRPr="004B4498">
        <w:rPr>
          <w:rFonts w:ascii="Arial" w:hAnsi="Arial" w:cs="Arial"/>
          <w:bCs/>
          <w:iCs/>
          <w:color w:val="000000" w:themeColor="text1"/>
          <w:sz w:val="20"/>
          <w:szCs w:val="20"/>
          <w:lang w:val="hr-HR"/>
        </w:rPr>
        <w:t xml:space="preserve"> u odnosu na kraj 202</w:t>
      </w:r>
      <w:r>
        <w:rPr>
          <w:rFonts w:ascii="Arial" w:hAnsi="Arial" w:cs="Arial"/>
          <w:bCs/>
          <w:iCs/>
          <w:color w:val="000000" w:themeColor="text1"/>
          <w:sz w:val="20"/>
          <w:szCs w:val="20"/>
          <w:lang w:val="hr-HR"/>
        </w:rPr>
        <w:t>1</w:t>
      </w:r>
      <w:r w:rsidRPr="004B4498">
        <w:rPr>
          <w:rFonts w:ascii="Arial" w:hAnsi="Arial" w:cs="Arial"/>
          <w:bCs/>
          <w:iCs/>
          <w:color w:val="000000" w:themeColor="text1"/>
          <w:sz w:val="20"/>
          <w:szCs w:val="20"/>
          <w:lang w:val="hr-HR"/>
        </w:rPr>
        <w:t xml:space="preserve">. godine za </w:t>
      </w:r>
      <w:r>
        <w:rPr>
          <w:rFonts w:ascii="Arial" w:hAnsi="Arial" w:cs="Arial"/>
          <w:bCs/>
          <w:iCs/>
          <w:color w:val="000000" w:themeColor="text1"/>
          <w:sz w:val="20"/>
          <w:szCs w:val="20"/>
          <w:lang w:val="hr-HR"/>
        </w:rPr>
        <w:t>26,0</w:t>
      </w:r>
      <w:r w:rsidRPr="004B4498">
        <w:rPr>
          <w:rFonts w:ascii="Arial" w:hAnsi="Arial" w:cs="Arial"/>
          <w:bCs/>
          <w:iCs/>
          <w:color w:val="000000" w:themeColor="text1"/>
          <w:sz w:val="20"/>
          <w:szCs w:val="20"/>
          <w:lang w:val="hr-HR"/>
        </w:rPr>
        <w:t>%. Korištena je Bornhuetter-Ferguson metoda za bruto iznos pričuve za neprijavljene štete, a za prijavljene štete je uzet iznos sukladno stvarnim podacima o nastalim štetama. Udio reosiguranja određen je u skladu s važećim uvjetima ugovora o reosiguranju.</w:t>
      </w:r>
      <w:bookmarkEnd w:id="831"/>
    </w:p>
    <w:p w14:paraId="7DD37F60" w14:textId="77777777" w:rsidR="004E2F51" w:rsidRPr="00B91D09" w:rsidRDefault="004E2F51" w:rsidP="004E2F51">
      <w:pPr>
        <w:pStyle w:val="T1"/>
        <w:spacing w:before="0" w:after="0" w:line="240" w:lineRule="auto"/>
        <w:rPr>
          <w:rFonts w:cs="Arial"/>
          <w:bCs w:val="0"/>
          <w:color w:val="000000" w:themeColor="text1"/>
          <w:sz w:val="22"/>
          <w:szCs w:val="22"/>
          <w:lang w:val="hr-HR"/>
        </w:rPr>
      </w:pPr>
    </w:p>
    <w:p w14:paraId="35CA748C"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10.</w:t>
      </w:r>
      <w:r w:rsidRPr="004B4498">
        <w:rPr>
          <w:rFonts w:cs="Arial"/>
          <w:color w:val="000000" w:themeColor="text1"/>
          <w:sz w:val="20"/>
          <w:lang w:val="hr-HR"/>
        </w:rPr>
        <w:tab/>
        <w:t>Gubitak od umanjenja vrijednosti i rezerviranja</w:t>
      </w:r>
    </w:p>
    <w:p w14:paraId="32E5DD47" w14:textId="77777777" w:rsidR="004E2F51" w:rsidRPr="004B4498" w:rsidRDefault="004E2F51" w:rsidP="004E2F51">
      <w:pPr>
        <w:pStyle w:val="T1"/>
        <w:spacing w:before="0" w:after="0" w:line="240" w:lineRule="auto"/>
        <w:rPr>
          <w:rFonts w:cs="Arial"/>
          <w:color w:val="000000" w:themeColor="text1"/>
          <w:sz w:val="20"/>
          <w:lang w:val="hr-HR"/>
        </w:rPr>
      </w:pPr>
    </w:p>
    <w:p w14:paraId="3766AC09"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Rezerviranja za gubitke po plasmanima mogu se prikazati kako slijedi:</w:t>
      </w:r>
    </w:p>
    <w:p w14:paraId="78E2946E" w14:textId="77777777" w:rsidR="004E2F51" w:rsidRPr="004B4498" w:rsidRDefault="004E2F51" w:rsidP="004E2F51">
      <w:pPr>
        <w:pStyle w:val="T1"/>
        <w:spacing w:before="0" w:after="0" w:line="240" w:lineRule="auto"/>
        <w:rPr>
          <w:rFonts w:cs="Arial"/>
          <w:bCs w:val="0"/>
          <w:color w:val="000000" w:themeColor="text1"/>
          <w:sz w:val="20"/>
          <w:lang w:val="hr-HR"/>
        </w:rPr>
      </w:pPr>
    </w:p>
    <w:p w14:paraId="276544E3" w14:textId="77777777" w:rsidR="004E2F51" w:rsidRPr="004B4498" w:rsidRDefault="004E2F51" w:rsidP="004E2F51">
      <w:pPr>
        <w:pStyle w:val="T1"/>
        <w:spacing w:before="0" w:after="0" w:line="240" w:lineRule="auto"/>
        <w:rPr>
          <w:rFonts w:cs="Arial"/>
          <w:bCs w:val="0"/>
          <w:color w:val="000000" w:themeColor="text1"/>
          <w:sz w:val="20"/>
          <w:lang w:val="hr-HR"/>
        </w:rPr>
      </w:pPr>
      <w:r w:rsidRPr="004B4498">
        <w:rPr>
          <w:rFonts w:cs="Arial"/>
          <w:bCs w:val="0"/>
          <w:color w:val="000000" w:themeColor="text1"/>
          <w:sz w:val="20"/>
          <w:lang w:val="hr-HR"/>
        </w:rPr>
        <w:t>a) Gubitak od umanjenja vrijednosti i rezerviranja financijskih instrumenata po MSFI-ju 9</w:t>
      </w:r>
    </w:p>
    <w:p w14:paraId="731074EE" w14:textId="77777777" w:rsidR="004E2F51" w:rsidRPr="004B4498" w:rsidRDefault="004E2F51" w:rsidP="004E2F51">
      <w:pPr>
        <w:pStyle w:val="T1"/>
        <w:spacing w:before="0" w:after="0" w:line="240" w:lineRule="auto"/>
        <w:rPr>
          <w:rFonts w:cs="Arial"/>
          <w:color w:val="000000" w:themeColor="text1"/>
          <w:sz w:val="20"/>
          <w:lang w:val="hr-HR"/>
        </w:rPr>
      </w:pPr>
    </w:p>
    <w:tbl>
      <w:tblPr>
        <w:tblW w:w="5129" w:type="pct"/>
        <w:tblLayout w:type="fixed"/>
        <w:tblCellMar>
          <w:left w:w="120" w:type="dxa"/>
          <w:right w:w="120" w:type="dxa"/>
        </w:tblCellMar>
        <w:tblLook w:val="0000" w:firstRow="0" w:lastRow="0" w:firstColumn="0" w:lastColumn="0" w:noHBand="0" w:noVBand="0"/>
      </w:tblPr>
      <w:tblGrid>
        <w:gridCol w:w="4836"/>
        <w:gridCol w:w="1196"/>
        <w:gridCol w:w="1194"/>
        <w:gridCol w:w="1194"/>
        <w:gridCol w:w="1176"/>
      </w:tblGrid>
      <w:tr w:rsidR="004E2F51" w:rsidRPr="00BF71FE" w14:paraId="32BC2D83" w14:textId="77777777" w:rsidTr="00E032FC">
        <w:trPr>
          <w:trHeight w:val="156"/>
        </w:trPr>
        <w:tc>
          <w:tcPr>
            <w:tcW w:w="2520" w:type="pct"/>
          </w:tcPr>
          <w:p w14:paraId="5962BEB4" w14:textId="77777777" w:rsidR="004E2F51" w:rsidRPr="004B4498" w:rsidRDefault="004E2F51" w:rsidP="00E032FC">
            <w:pPr>
              <w:pStyle w:val="TH"/>
              <w:rPr>
                <w:rFonts w:cs="Arial"/>
                <w:color w:val="000000" w:themeColor="text1"/>
                <w:sz w:val="20"/>
                <w:lang w:val="hr-HR"/>
              </w:rPr>
            </w:pPr>
          </w:p>
        </w:tc>
        <w:tc>
          <w:tcPr>
            <w:tcW w:w="1245" w:type="pct"/>
            <w:gridSpan w:val="2"/>
            <w:vAlign w:val="bottom"/>
          </w:tcPr>
          <w:p w14:paraId="3C3ADD20" w14:textId="77777777" w:rsidR="004E2F51" w:rsidRPr="004B4498" w:rsidRDefault="004E2F51" w:rsidP="00E032FC">
            <w:pPr>
              <w:pStyle w:val="TH"/>
              <w:jc w:val="right"/>
              <w:rPr>
                <w:rFonts w:cs="Arial"/>
                <w:color w:val="000000" w:themeColor="text1"/>
                <w:sz w:val="20"/>
                <w:lang w:val="hr-HR"/>
              </w:rPr>
            </w:pPr>
            <w:bookmarkStart w:id="887" w:name="_Toc67327730"/>
            <w:r w:rsidRPr="004B4498">
              <w:rPr>
                <w:rFonts w:cs="Arial"/>
                <w:color w:val="000000" w:themeColor="text1"/>
                <w:sz w:val="20"/>
                <w:lang w:val="hr-HR"/>
              </w:rPr>
              <w:t>Grupa</w:t>
            </w:r>
            <w:bookmarkEnd w:id="887"/>
          </w:p>
        </w:tc>
        <w:tc>
          <w:tcPr>
            <w:tcW w:w="1235" w:type="pct"/>
            <w:gridSpan w:val="2"/>
            <w:vAlign w:val="bottom"/>
          </w:tcPr>
          <w:p w14:paraId="3941F762" w14:textId="77777777" w:rsidR="004E2F51" w:rsidRPr="004B4498" w:rsidRDefault="004E2F51" w:rsidP="00E032FC">
            <w:pPr>
              <w:pStyle w:val="TH"/>
              <w:jc w:val="right"/>
              <w:rPr>
                <w:rFonts w:cs="Arial"/>
                <w:color w:val="000000" w:themeColor="text1"/>
                <w:sz w:val="20"/>
                <w:lang w:val="hr-HR"/>
              </w:rPr>
            </w:pPr>
            <w:bookmarkStart w:id="888" w:name="_Toc67327731"/>
            <w:r w:rsidRPr="004B4498">
              <w:rPr>
                <w:rFonts w:cs="Arial"/>
                <w:color w:val="000000" w:themeColor="text1"/>
                <w:sz w:val="20"/>
                <w:lang w:val="hr-HR"/>
              </w:rPr>
              <w:t>Banka</w:t>
            </w:r>
            <w:bookmarkEnd w:id="888"/>
          </w:p>
        </w:tc>
      </w:tr>
      <w:tr w:rsidR="004E2F51" w:rsidRPr="00BF71FE" w14:paraId="17052839" w14:textId="77777777" w:rsidTr="00E032FC">
        <w:trPr>
          <w:trHeight w:val="156"/>
        </w:trPr>
        <w:tc>
          <w:tcPr>
            <w:tcW w:w="2520" w:type="pct"/>
          </w:tcPr>
          <w:p w14:paraId="782ADC4B" w14:textId="77777777" w:rsidR="004E2F51" w:rsidRPr="004B4498" w:rsidRDefault="004E2F51" w:rsidP="00E032FC">
            <w:pPr>
              <w:pStyle w:val="TH"/>
              <w:rPr>
                <w:rFonts w:cs="Arial"/>
                <w:color w:val="000000" w:themeColor="text1"/>
                <w:sz w:val="20"/>
                <w:lang w:val="hr-HR"/>
              </w:rPr>
            </w:pPr>
          </w:p>
        </w:tc>
        <w:tc>
          <w:tcPr>
            <w:tcW w:w="623" w:type="pct"/>
            <w:vAlign w:val="bottom"/>
          </w:tcPr>
          <w:p w14:paraId="1F52240E" w14:textId="77777777" w:rsidR="004E2F51" w:rsidRPr="004B4498" w:rsidRDefault="004E2F51" w:rsidP="00E032FC">
            <w:pPr>
              <w:pStyle w:val="TH"/>
              <w:spacing w:line="240" w:lineRule="auto"/>
              <w:jc w:val="right"/>
              <w:rPr>
                <w:rFonts w:cs="Arial"/>
                <w:color w:val="000000" w:themeColor="text1"/>
                <w:sz w:val="20"/>
                <w:lang w:val="hr-HR"/>
              </w:rPr>
            </w:pPr>
            <w:bookmarkStart w:id="889" w:name="_Toc67327732"/>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889"/>
          </w:p>
        </w:tc>
        <w:tc>
          <w:tcPr>
            <w:tcW w:w="622" w:type="pct"/>
            <w:vAlign w:val="bottom"/>
          </w:tcPr>
          <w:p w14:paraId="2D3DFBD6" w14:textId="77777777" w:rsidR="004E2F51" w:rsidRPr="004B4498" w:rsidRDefault="004E2F51" w:rsidP="00E032FC">
            <w:pPr>
              <w:pStyle w:val="TH"/>
              <w:spacing w:line="240" w:lineRule="auto"/>
              <w:jc w:val="right"/>
              <w:rPr>
                <w:rFonts w:cs="Arial"/>
                <w:color w:val="000000" w:themeColor="text1"/>
                <w:sz w:val="20"/>
                <w:lang w:val="hr-HR"/>
              </w:rPr>
            </w:pPr>
            <w:bookmarkStart w:id="890" w:name="_Toc67327733"/>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890"/>
          </w:p>
        </w:tc>
        <w:tc>
          <w:tcPr>
            <w:tcW w:w="622" w:type="pct"/>
            <w:vAlign w:val="bottom"/>
          </w:tcPr>
          <w:p w14:paraId="3DF316E9" w14:textId="77777777" w:rsidR="004E2F51" w:rsidRPr="004B4498" w:rsidRDefault="004E2F51" w:rsidP="00E032FC">
            <w:pPr>
              <w:pStyle w:val="TH"/>
              <w:spacing w:line="240" w:lineRule="auto"/>
              <w:jc w:val="right"/>
              <w:rPr>
                <w:rFonts w:cs="Arial"/>
                <w:color w:val="000000" w:themeColor="text1"/>
                <w:sz w:val="20"/>
                <w:lang w:val="hr-HR"/>
              </w:rPr>
            </w:pPr>
            <w:bookmarkStart w:id="891" w:name="_Toc67327734"/>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891"/>
          </w:p>
        </w:tc>
        <w:tc>
          <w:tcPr>
            <w:tcW w:w="613" w:type="pct"/>
            <w:vAlign w:val="bottom"/>
          </w:tcPr>
          <w:p w14:paraId="31C2BE24" w14:textId="77777777" w:rsidR="004E2F51" w:rsidRPr="004B4498" w:rsidRDefault="004E2F51" w:rsidP="00E032FC">
            <w:pPr>
              <w:pStyle w:val="TH"/>
              <w:spacing w:line="240" w:lineRule="auto"/>
              <w:jc w:val="right"/>
              <w:rPr>
                <w:rFonts w:cs="Arial"/>
                <w:color w:val="000000" w:themeColor="text1"/>
                <w:sz w:val="20"/>
                <w:lang w:val="hr-HR"/>
              </w:rPr>
            </w:pPr>
            <w:bookmarkStart w:id="892" w:name="_Toc67327735"/>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892"/>
          </w:p>
        </w:tc>
      </w:tr>
      <w:tr w:rsidR="004E2F51" w:rsidRPr="00BF71FE" w14:paraId="2161380A" w14:textId="77777777" w:rsidTr="00E032FC">
        <w:trPr>
          <w:trHeight w:val="156"/>
        </w:trPr>
        <w:tc>
          <w:tcPr>
            <w:tcW w:w="2520" w:type="pct"/>
          </w:tcPr>
          <w:p w14:paraId="3BE4CE93" w14:textId="77777777" w:rsidR="004E2F51" w:rsidRPr="004B4498" w:rsidRDefault="004E2F51" w:rsidP="00E032FC">
            <w:pPr>
              <w:pStyle w:val="TH"/>
              <w:rPr>
                <w:rFonts w:cs="Arial"/>
                <w:color w:val="000000" w:themeColor="text1"/>
                <w:sz w:val="20"/>
                <w:lang w:val="hr-HR"/>
              </w:rPr>
            </w:pPr>
          </w:p>
        </w:tc>
        <w:tc>
          <w:tcPr>
            <w:tcW w:w="623" w:type="pct"/>
          </w:tcPr>
          <w:p w14:paraId="53D5BC43" w14:textId="77777777" w:rsidR="004E2F51" w:rsidRPr="004B4498" w:rsidRDefault="004E2F51" w:rsidP="00E032FC">
            <w:pPr>
              <w:pStyle w:val="TH"/>
              <w:jc w:val="right"/>
              <w:rPr>
                <w:rFonts w:cs="Arial"/>
                <w:color w:val="000000" w:themeColor="text1"/>
                <w:sz w:val="20"/>
                <w:lang w:val="hr-HR"/>
              </w:rPr>
            </w:pPr>
            <w:bookmarkStart w:id="893" w:name="_Toc67327736"/>
            <w:r w:rsidRPr="004B4498">
              <w:rPr>
                <w:rFonts w:cs="Arial"/>
                <w:color w:val="000000" w:themeColor="text1"/>
                <w:sz w:val="20"/>
                <w:lang w:val="hr-HR"/>
              </w:rPr>
              <w:t>000 kuna</w:t>
            </w:r>
            <w:bookmarkEnd w:id="893"/>
          </w:p>
        </w:tc>
        <w:tc>
          <w:tcPr>
            <w:tcW w:w="622" w:type="pct"/>
          </w:tcPr>
          <w:p w14:paraId="49A42E88" w14:textId="77777777" w:rsidR="004E2F51" w:rsidRPr="004B4498" w:rsidRDefault="004E2F51" w:rsidP="00E032FC">
            <w:pPr>
              <w:pStyle w:val="TH"/>
              <w:jc w:val="right"/>
              <w:rPr>
                <w:rFonts w:cs="Arial"/>
                <w:color w:val="000000" w:themeColor="text1"/>
                <w:sz w:val="20"/>
                <w:lang w:val="hr-HR"/>
              </w:rPr>
            </w:pPr>
            <w:bookmarkStart w:id="894" w:name="_Toc67327737"/>
            <w:r w:rsidRPr="004B4498">
              <w:rPr>
                <w:rFonts w:cs="Arial"/>
                <w:color w:val="000000" w:themeColor="text1"/>
                <w:sz w:val="20"/>
                <w:lang w:val="hr-HR"/>
              </w:rPr>
              <w:t>000 kuna</w:t>
            </w:r>
            <w:bookmarkEnd w:id="894"/>
          </w:p>
        </w:tc>
        <w:tc>
          <w:tcPr>
            <w:tcW w:w="622" w:type="pct"/>
          </w:tcPr>
          <w:p w14:paraId="3A99E93B" w14:textId="77777777" w:rsidR="004E2F51" w:rsidRPr="004B4498" w:rsidRDefault="004E2F51" w:rsidP="00E032FC">
            <w:pPr>
              <w:pStyle w:val="TH"/>
              <w:jc w:val="right"/>
              <w:rPr>
                <w:rFonts w:cs="Arial"/>
                <w:color w:val="000000" w:themeColor="text1"/>
                <w:sz w:val="20"/>
                <w:lang w:val="hr-HR"/>
              </w:rPr>
            </w:pPr>
            <w:bookmarkStart w:id="895" w:name="_Toc67327738"/>
            <w:r w:rsidRPr="004B4498">
              <w:rPr>
                <w:rFonts w:cs="Arial"/>
                <w:color w:val="000000" w:themeColor="text1"/>
                <w:sz w:val="20"/>
                <w:lang w:val="hr-HR"/>
              </w:rPr>
              <w:t>000 kuna</w:t>
            </w:r>
            <w:bookmarkEnd w:id="895"/>
          </w:p>
        </w:tc>
        <w:tc>
          <w:tcPr>
            <w:tcW w:w="613" w:type="pct"/>
          </w:tcPr>
          <w:p w14:paraId="3D953D66" w14:textId="77777777" w:rsidR="004E2F51" w:rsidRPr="004B4498" w:rsidRDefault="004E2F51" w:rsidP="00E032FC">
            <w:pPr>
              <w:pStyle w:val="TH"/>
              <w:jc w:val="right"/>
              <w:rPr>
                <w:rFonts w:cs="Arial"/>
                <w:color w:val="000000" w:themeColor="text1"/>
                <w:sz w:val="20"/>
                <w:lang w:val="hr-HR"/>
              </w:rPr>
            </w:pPr>
            <w:bookmarkStart w:id="896" w:name="_Toc67327739"/>
            <w:r w:rsidRPr="004B4498">
              <w:rPr>
                <w:rFonts w:cs="Arial"/>
                <w:color w:val="000000" w:themeColor="text1"/>
                <w:sz w:val="20"/>
                <w:lang w:val="hr-HR"/>
              </w:rPr>
              <w:t>000 kuna</w:t>
            </w:r>
            <w:bookmarkEnd w:id="896"/>
          </w:p>
        </w:tc>
      </w:tr>
      <w:tr w:rsidR="004E2F51" w:rsidRPr="00BF71FE" w14:paraId="7D7B98AD" w14:textId="77777777" w:rsidTr="00E032FC">
        <w:trPr>
          <w:trHeight w:hRule="exact" w:val="113"/>
        </w:trPr>
        <w:tc>
          <w:tcPr>
            <w:tcW w:w="2520" w:type="pct"/>
          </w:tcPr>
          <w:p w14:paraId="29AFA423" w14:textId="77777777" w:rsidR="004E2F51" w:rsidRPr="004B4498" w:rsidRDefault="004E2F51" w:rsidP="00E032FC">
            <w:pPr>
              <w:pStyle w:val="TH"/>
              <w:rPr>
                <w:rFonts w:cs="Arial"/>
                <w:color w:val="000000" w:themeColor="text1"/>
                <w:sz w:val="20"/>
                <w:lang w:val="hr-HR"/>
              </w:rPr>
            </w:pPr>
          </w:p>
        </w:tc>
        <w:tc>
          <w:tcPr>
            <w:tcW w:w="623" w:type="pct"/>
          </w:tcPr>
          <w:p w14:paraId="523897A6" w14:textId="77777777" w:rsidR="004E2F51" w:rsidRPr="004B4498" w:rsidRDefault="004E2F51" w:rsidP="00E032FC">
            <w:pPr>
              <w:pStyle w:val="TH"/>
              <w:jc w:val="right"/>
              <w:rPr>
                <w:rFonts w:cs="Arial"/>
                <w:color w:val="000000" w:themeColor="text1"/>
                <w:sz w:val="20"/>
                <w:lang w:val="hr-HR"/>
              </w:rPr>
            </w:pPr>
          </w:p>
        </w:tc>
        <w:tc>
          <w:tcPr>
            <w:tcW w:w="622" w:type="pct"/>
          </w:tcPr>
          <w:p w14:paraId="601E9957" w14:textId="77777777" w:rsidR="004E2F51" w:rsidRPr="004B4498" w:rsidRDefault="004E2F51" w:rsidP="00E032FC">
            <w:pPr>
              <w:pStyle w:val="TH"/>
              <w:jc w:val="right"/>
              <w:rPr>
                <w:rFonts w:cs="Arial"/>
                <w:color w:val="000000" w:themeColor="text1"/>
                <w:sz w:val="20"/>
                <w:lang w:val="hr-HR"/>
              </w:rPr>
            </w:pPr>
          </w:p>
        </w:tc>
        <w:tc>
          <w:tcPr>
            <w:tcW w:w="622" w:type="pct"/>
            <w:vAlign w:val="bottom"/>
          </w:tcPr>
          <w:p w14:paraId="10ED76E0" w14:textId="77777777" w:rsidR="004E2F51" w:rsidRPr="004B4498" w:rsidRDefault="004E2F51" w:rsidP="00E032FC">
            <w:pPr>
              <w:pStyle w:val="TH"/>
              <w:jc w:val="right"/>
              <w:rPr>
                <w:rFonts w:cs="Arial"/>
                <w:color w:val="000000" w:themeColor="text1"/>
                <w:sz w:val="20"/>
                <w:lang w:val="hr-HR"/>
              </w:rPr>
            </w:pPr>
          </w:p>
        </w:tc>
        <w:tc>
          <w:tcPr>
            <w:tcW w:w="613" w:type="pct"/>
            <w:vAlign w:val="bottom"/>
          </w:tcPr>
          <w:p w14:paraId="00F621CE" w14:textId="77777777" w:rsidR="004E2F51" w:rsidRPr="004B4498" w:rsidRDefault="004E2F51" w:rsidP="00E032FC">
            <w:pPr>
              <w:pStyle w:val="TH"/>
              <w:jc w:val="right"/>
              <w:rPr>
                <w:rFonts w:cs="Arial"/>
                <w:color w:val="000000" w:themeColor="text1"/>
                <w:sz w:val="20"/>
                <w:lang w:val="hr-HR"/>
              </w:rPr>
            </w:pPr>
          </w:p>
        </w:tc>
      </w:tr>
      <w:tr w:rsidR="004E2F51" w:rsidRPr="00BF71FE" w14:paraId="22694090" w14:textId="77777777" w:rsidTr="00E032FC">
        <w:trPr>
          <w:trHeight w:val="293"/>
        </w:trPr>
        <w:tc>
          <w:tcPr>
            <w:tcW w:w="2520" w:type="pct"/>
            <w:vAlign w:val="bottom"/>
          </w:tcPr>
          <w:p w14:paraId="099D1193" w14:textId="77777777" w:rsidR="004E2F51" w:rsidRPr="004B4498" w:rsidRDefault="004E2F51" w:rsidP="00E032FC">
            <w:pPr>
              <w:pStyle w:val="TT"/>
              <w:rPr>
                <w:rFonts w:cs="Arial"/>
                <w:color w:val="000000" w:themeColor="text1"/>
                <w:spacing w:val="-2"/>
                <w:sz w:val="20"/>
                <w:lang w:val="hr-HR"/>
              </w:rPr>
            </w:pPr>
            <w:bookmarkStart w:id="897" w:name="_Toc67327740"/>
            <w:r w:rsidRPr="004B4498">
              <w:rPr>
                <w:rFonts w:cs="Arial"/>
                <w:color w:val="000000" w:themeColor="text1"/>
                <w:sz w:val="20"/>
                <w:lang w:val="hr-HR"/>
              </w:rPr>
              <w:t>Rezerviranja za gubitke po računima kod financijskih institucija</w:t>
            </w:r>
            <w:bookmarkEnd w:id="897"/>
          </w:p>
        </w:tc>
        <w:tc>
          <w:tcPr>
            <w:tcW w:w="623" w:type="pct"/>
            <w:tcBorders>
              <w:top w:val="nil"/>
              <w:left w:val="nil"/>
              <w:bottom w:val="nil"/>
              <w:right w:val="nil"/>
            </w:tcBorders>
            <w:shd w:val="clear" w:color="auto" w:fill="auto"/>
            <w:vAlign w:val="bottom"/>
          </w:tcPr>
          <w:p w14:paraId="69B7E2A2"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4.250 </w:t>
            </w:r>
          </w:p>
        </w:tc>
        <w:tc>
          <w:tcPr>
            <w:tcW w:w="622" w:type="pct"/>
            <w:tcBorders>
              <w:top w:val="nil"/>
              <w:left w:val="nil"/>
              <w:bottom w:val="nil"/>
              <w:right w:val="nil"/>
            </w:tcBorders>
            <w:shd w:val="clear" w:color="auto" w:fill="auto"/>
            <w:vAlign w:val="bottom"/>
          </w:tcPr>
          <w:p w14:paraId="4E7E3D76"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156</w:t>
            </w:r>
          </w:p>
        </w:tc>
        <w:tc>
          <w:tcPr>
            <w:tcW w:w="622" w:type="pct"/>
            <w:tcBorders>
              <w:top w:val="nil"/>
              <w:left w:val="nil"/>
              <w:bottom w:val="nil"/>
              <w:right w:val="nil"/>
            </w:tcBorders>
            <w:shd w:val="clear" w:color="auto" w:fill="auto"/>
            <w:vAlign w:val="bottom"/>
          </w:tcPr>
          <w:p w14:paraId="5C08C530"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4.250 </w:t>
            </w:r>
          </w:p>
        </w:tc>
        <w:tc>
          <w:tcPr>
            <w:tcW w:w="613" w:type="pct"/>
            <w:tcBorders>
              <w:top w:val="nil"/>
              <w:left w:val="nil"/>
              <w:bottom w:val="nil"/>
              <w:right w:val="nil"/>
            </w:tcBorders>
            <w:shd w:val="clear" w:color="auto" w:fill="auto"/>
            <w:vAlign w:val="bottom"/>
          </w:tcPr>
          <w:p w14:paraId="57819CCD"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160</w:t>
            </w:r>
          </w:p>
        </w:tc>
      </w:tr>
      <w:tr w:rsidR="004E2F51" w:rsidRPr="00BF71FE" w14:paraId="16B9A2B2" w14:textId="77777777" w:rsidTr="00E032FC">
        <w:trPr>
          <w:trHeight w:val="387"/>
        </w:trPr>
        <w:tc>
          <w:tcPr>
            <w:tcW w:w="2520" w:type="pct"/>
            <w:vAlign w:val="bottom"/>
          </w:tcPr>
          <w:p w14:paraId="3ADE90DB" w14:textId="77777777" w:rsidR="004E2F51" w:rsidRPr="004B4498" w:rsidRDefault="004E2F51" w:rsidP="00E032FC">
            <w:pPr>
              <w:pStyle w:val="TT"/>
              <w:rPr>
                <w:rFonts w:cs="Arial"/>
                <w:color w:val="000000" w:themeColor="text1"/>
                <w:spacing w:val="-2"/>
                <w:sz w:val="20"/>
                <w:lang w:val="hr-HR"/>
              </w:rPr>
            </w:pPr>
            <w:bookmarkStart w:id="898" w:name="_Toc67327745"/>
            <w:r w:rsidRPr="004B4498">
              <w:rPr>
                <w:rFonts w:cs="Arial"/>
                <w:color w:val="000000" w:themeColor="text1"/>
                <w:sz w:val="20"/>
                <w:lang w:val="hr-HR"/>
              </w:rPr>
              <w:t>Rezerviranja za gubitke po depozitima kod drugih banaka</w:t>
            </w:r>
            <w:bookmarkEnd w:id="898"/>
          </w:p>
        </w:tc>
        <w:tc>
          <w:tcPr>
            <w:tcW w:w="623" w:type="pct"/>
            <w:tcBorders>
              <w:top w:val="nil"/>
              <w:left w:val="nil"/>
              <w:bottom w:val="nil"/>
              <w:right w:val="nil"/>
            </w:tcBorders>
            <w:shd w:val="clear" w:color="auto" w:fill="auto"/>
            <w:vAlign w:val="bottom"/>
          </w:tcPr>
          <w:p w14:paraId="0767F269"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28 </w:t>
            </w:r>
          </w:p>
        </w:tc>
        <w:tc>
          <w:tcPr>
            <w:tcW w:w="622" w:type="pct"/>
            <w:tcBorders>
              <w:top w:val="nil"/>
              <w:left w:val="nil"/>
              <w:bottom w:val="nil"/>
              <w:right w:val="nil"/>
            </w:tcBorders>
            <w:shd w:val="clear" w:color="auto" w:fill="auto"/>
            <w:vAlign w:val="bottom"/>
          </w:tcPr>
          <w:p w14:paraId="39CB593F"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(1)</w:t>
            </w:r>
          </w:p>
        </w:tc>
        <w:tc>
          <w:tcPr>
            <w:tcW w:w="622" w:type="pct"/>
            <w:tcBorders>
              <w:top w:val="nil"/>
              <w:left w:val="nil"/>
              <w:bottom w:val="nil"/>
              <w:right w:val="nil"/>
            </w:tcBorders>
            <w:shd w:val="clear" w:color="auto" w:fill="auto"/>
            <w:vAlign w:val="bottom"/>
          </w:tcPr>
          <w:p w14:paraId="492B9B14"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(2)</w:t>
            </w:r>
          </w:p>
        </w:tc>
        <w:tc>
          <w:tcPr>
            <w:tcW w:w="613" w:type="pct"/>
            <w:tcBorders>
              <w:top w:val="nil"/>
              <w:left w:val="nil"/>
              <w:bottom w:val="nil"/>
              <w:right w:val="nil"/>
            </w:tcBorders>
            <w:shd w:val="clear" w:color="auto" w:fill="auto"/>
            <w:vAlign w:val="bottom"/>
          </w:tcPr>
          <w:p w14:paraId="28E93C43"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(1)</w:t>
            </w:r>
          </w:p>
        </w:tc>
      </w:tr>
      <w:tr w:rsidR="004E2F51" w:rsidRPr="00BF71FE" w14:paraId="686980EF" w14:textId="77777777" w:rsidTr="00E032FC">
        <w:trPr>
          <w:trHeight w:val="387"/>
        </w:trPr>
        <w:tc>
          <w:tcPr>
            <w:tcW w:w="2520" w:type="pct"/>
            <w:vAlign w:val="bottom"/>
          </w:tcPr>
          <w:p w14:paraId="6AA33DA9" w14:textId="77777777" w:rsidR="004E2F51" w:rsidRPr="004B4498" w:rsidRDefault="004E2F51" w:rsidP="00E032FC">
            <w:pPr>
              <w:pStyle w:val="TT"/>
              <w:rPr>
                <w:rFonts w:cs="Arial"/>
                <w:color w:val="000000" w:themeColor="text1"/>
                <w:spacing w:val="-2"/>
                <w:sz w:val="20"/>
                <w:lang w:val="hr-HR"/>
              </w:rPr>
            </w:pPr>
            <w:bookmarkStart w:id="899" w:name="_Toc67327750"/>
            <w:r w:rsidRPr="004B4498">
              <w:rPr>
                <w:rFonts w:cs="Arial"/>
                <w:color w:val="000000" w:themeColor="text1"/>
                <w:sz w:val="20"/>
                <w:lang w:val="hr-HR"/>
              </w:rPr>
              <w:t>Rezerviranja za gubitke po kreditima financijskim institucijama</w:t>
            </w:r>
            <w:bookmarkEnd w:id="899"/>
          </w:p>
        </w:tc>
        <w:tc>
          <w:tcPr>
            <w:tcW w:w="623" w:type="pct"/>
            <w:tcBorders>
              <w:top w:val="nil"/>
              <w:left w:val="nil"/>
              <w:bottom w:val="nil"/>
              <w:right w:val="nil"/>
            </w:tcBorders>
            <w:shd w:val="clear" w:color="auto" w:fill="auto"/>
            <w:vAlign w:val="bottom"/>
          </w:tcPr>
          <w:p w14:paraId="138162AD"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1.906 </w:t>
            </w:r>
          </w:p>
        </w:tc>
        <w:tc>
          <w:tcPr>
            <w:tcW w:w="622" w:type="pct"/>
            <w:tcBorders>
              <w:top w:val="nil"/>
              <w:left w:val="nil"/>
              <w:bottom w:val="nil"/>
              <w:right w:val="nil"/>
            </w:tcBorders>
            <w:shd w:val="clear" w:color="auto" w:fill="auto"/>
            <w:vAlign w:val="bottom"/>
          </w:tcPr>
          <w:p w14:paraId="65B33800"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(23.698)</w:t>
            </w:r>
          </w:p>
        </w:tc>
        <w:tc>
          <w:tcPr>
            <w:tcW w:w="622" w:type="pct"/>
            <w:tcBorders>
              <w:top w:val="nil"/>
              <w:left w:val="nil"/>
              <w:bottom w:val="nil"/>
              <w:right w:val="nil"/>
            </w:tcBorders>
            <w:shd w:val="clear" w:color="auto" w:fill="auto"/>
            <w:vAlign w:val="bottom"/>
          </w:tcPr>
          <w:p w14:paraId="277837D6"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1.906 </w:t>
            </w:r>
          </w:p>
        </w:tc>
        <w:tc>
          <w:tcPr>
            <w:tcW w:w="613" w:type="pct"/>
            <w:tcBorders>
              <w:top w:val="nil"/>
              <w:left w:val="nil"/>
              <w:bottom w:val="nil"/>
              <w:right w:val="nil"/>
            </w:tcBorders>
            <w:shd w:val="clear" w:color="auto" w:fill="auto"/>
            <w:vAlign w:val="bottom"/>
          </w:tcPr>
          <w:p w14:paraId="4A02CC6E"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(23.698)</w:t>
            </w:r>
          </w:p>
        </w:tc>
      </w:tr>
      <w:tr w:rsidR="004E2F51" w:rsidRPr="00BF71FE" w14:paraId="24765478" w14:textId="77777777" w:rsidTr="00E032FC">
        <w:trPr>
          <w:trHeight w:val="387"/>
        </w:trPr>
        <w:tc>
          <w:tcPr>
            <w:tcW w:w="2520" w:type="pct"/>
            <w:vAlign w:val="bottom"/>
          </w:tcPr>
          <w:p w14:paraId="32843D06" w14:textId="77777777" w:rsidR="004E2F51" w:rsidRPr="004B4498" w:rsidRDefault="004E2F51" w:rsidP="00E032FC">
            <w:pPr>
              <w:pStyle w:val="TT"/>
              <w:rPr>
                <w:rFonts w:cs="Arial"/>
                <w:color w:val="000000" w:themeColor="text1"/>
                <w:sz w:val="20"/>
                <w:lang w:val="hr-HR"/>
              </w:rPr>
            </w:pPr>
            <w:bookmarkStart w:id="900" w:name="_Toc67327755"/>
            <w:r w:rsidRPr="004B4498">
              <w:rPr>
                <w:rFonts w:cs="Arial"/>
                <w:color w:val="000000" w:themeColor="text1"/>
                <w:sz w:val="20"/>
                <w:lang w:val="hr-HR"/>
              </w:rPr>
              <w:t>Rezerviranja za gubitke po kreditima ostalim korisnicima i kamatama</w:t>
            </w:r>
            <w:bookmarkEnd w:id="900"/>
          </w:p>
        </w:tc>
        <w:tc>
          <w:tcPr>
            <w:tcW w:w="623" w:type="pct"/>
            <w:tcBorders>
              <w:top w:val="nil"/>
              <w:left w:val="nil"/>
              <w:bottom w:val="nil"/>
              <w:right w:val="nil"/>
            </w:tcBorders>
            <w:shd w:val="clear" w:color="auto" w:fill="auto"/>
            <w:vAlign w:val="bottom"/>
          </w:tcPr>
          <w:p w14:paraId="1625CDBF"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129.990 </w:t>
            </w:r>
          </w:p>
        </w:tc>
        <w:tc>
          <w:tcPr>
            <w:tcW w:w="622" w:type="pct"/>
            <w:tcBorders>
              <w:top w:val="nil"/>
              <w:left w:val="nil"/>
              <w:bottom w:val="nil"/>
              <w:right w:val="nil"/>
            </w:tcBorders>
            <w:shd w:val="clear" w:color="auto" w:fill="auto"/>
            <w:vAlign w:val="bottom"/>
          </w:tcPr>
          <w:p w14:paraId="4352E590"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78.124</w:t>
            </w:r>
          </w:p>
        </w:tc>
        <w:tc>
          <w:tcPr>
            <w:tcW w:w="622" w:type="pct"/>
            <w:tcBorders>
              <w:top w:val="nil"/>
              <w:left w:val="nil"/>
              <w:bottom w:val="nil"/>
              <w:right w:val="nil"/>
            </w:tcBorders>
            <w:shd w:val="clear" w:color="auto" w:fill="auto"/>
            <w:vAlign w:val="bottom"/>
          </w:tcPr>
          <w:p w14:paraId="5E3DA299"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129.990 </w:t>
            </w:r>
          </w:p>
        </w:tc>
        <w:tc>
          <w:tcPr>
            <w:tcW w:w="613" w:type="pct"/>
            <w:tcBorders>
              <w:top w:val="nil"/>
              <w:left w:val="nil"/>
              <w:bottom w:val="nil"/>
              <w:right w:val="nil"/>
            </w:tcBorders>
            <w:shd w:val="clear" w:color="auto" w:fill="auto"/>
            <w:vAlign w:val="bottom"/>
          </w:tcPr>
          <w:p w14:paraId="7D93A6E3"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78.124</w:t>
            </w:r>
          </w:p>
        </w:tc>
      </w:tr>
      <w:tr w:rsidR="004E2F51" w:rsidRPr="00BF71FE" w14:paraId="67BB518E" w14:textId="77777777" w:rsidTr="00E032FC">
        <w:trPr>
          <w:trHeight w:val="387"/>
        </w:trPr>
        <w:tc>
          <w:tcPr>
            <w:tcW w:w="2520" w:type="pct"/>
            <w:vAlign w:val="bottom"/>
          </w:tcPr>
          <w:p w14:paraId="6A9338C3" w14:textId="77777777" w:rsidR="004E2F51" w:rsidRPr="004B4498" w:rsidRDefault="004E2F51" w:rsidP="00E032FC">
            <w:pPr>
              <w:pStyle w:val="TT"/>
              <w:rPr>
                <w:rFonts w:cs="Arial"/>
                <w:color w:val="000000" w:themeColor="text1"/>
                <w:sz w:val="20"/>
                <w:lang w:val="hr-HR"/>
              </w:rPr>
            </w:pPr>
            <w:bookmarkStart w:id="901" w:name="_Toc67327760"/>
            <w:r w:rsidRPr="004B4498">
              <w:rPr>
                <w:rFonts w:cs="Arial"/>
                <w:color w:val="000000" w:themeColor="text1"/>
                <w:sz w:val="20"/>
                <w:lang w:val="hr-HR"/>
              </w:rPr>
              <w:t>Modifikacijski (dobitak)/gubitak po kreditima banaka</w:t>
            </w:r>
            <w:bookmarkEnd w:id="901"/>
          </w:p>
        </w:tc>
        <w:tc>
          <w:tcPr>
            <w:tcW w:w="623" w:type="pct"/>
            <w:tcBorders>
              <w:top w:val="nil"/>
              <w:left w:val="nil"/>
              <w:bottom w:val="nil"/>
              <w:right w:val="nil"/>
            </w:tcBorders>
            <w:shd w:val="clear" w:color="auto" w:fill="auto"/>
            <w:vAlign w:val="bottom"/>
          </w:tcPr>
          <w:p w14:paraId="2CF58162"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(1.170)</w:t>
            </w:r>
          </w:p>
        </w:tc>
        <w:tc>
          <w:tcPr>
            <w:tcW w:w="622" w:type="pct"/>
            <w:tcBorders>
              <w:top w:val="nil"/>
              <w:left w:val="nil"/>
              <w:bottom w:val="nil"/>
              <w:right w:val="nil"/>
            </w:tcBorders>
            <w:shd w:val="clear" w:color="auto" w:fill="auto"/>
            <w:vAlign w:val="bottom"/>
          </w:tcPr>
          <w:p w14:paraId="61715FB2"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(611)</w:t>
            </w:r>
          </w:p>
        </w:tc>
        <w:tc>
          <w:tcPr>
            <w:tcW w:w="622" w:type="pct"/>
            <w:tcBorders>
              <w:top w:val="nil"/>
              <w:left w:val="nil"/>
              <w:bottom w:val="nil"/>
              <w:right w:val="nil"/>
            </w:tcBorders>
            <w:shd w:val="clear" w:color="auto" w:fill="auto"/>
            <w:vAlign w:val="bottom"/>
          </w:tcPr>
          <w:p w14:paraId="55711A5C"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(1.170)</w:t>
            </w:r>
          </w:p>
        </w:tc>
        <w:tc>
          <w:tcPr>
            <w:tcW w:w="613" w:type="pct"/>
            <w:tcBorders>
              <w:top w:val="nil"/>
              <w:left w:val="nil"/>
              <w:bottom w:val="nil"/>
              <w:right w:val="nil"/>
            </w:tcBorders>
            <w:shd w:val="clear" w:color="auto" w:fill="auto"/>
            <w:vAlign w:val="bottom"/>
          </w:tcPr>
          <w:p w14:paraId="6F0D2E6F"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(611)</w:t>
            </w:r>
          </w:p>
        </w:tc>
      </w:tr>
      <w:tr w:rsidR="004E2F51" w:rsidRPr="00BF71FE" w14:paraId="717214E0" w14:textId="77777777" w:rsidTr="00E032FC">
        <w:trPr>
          <w:trHeight w:val="387"/>
        </w:trPr>
        <w:tc>
          <w:tcPr>
            <w:tcW w:w="2520" w:type="pct"/>
            <w:vAlign w:val="bottom"/>
          </w:tcPr>
          <w:p w14:paraId="1834B0E5" w14:textId="77777777" w:rsidR="004E2F51" w:rsidRPr="004B4498" w:rsidRDefault="004E2F51" w:rsidP="00E032FC">
            <w:pPr>
              <w:pStyle w:val="TT"/>
              <w:rPr>
                <w:rFonts w:cs="Arial"/>
                <w:color w:val="000000" w:themeColor="text1"/>
                <w:sz w:val="20"/>
                <w:lang w:val="hr-HR"/>
              </w:rPr>
            </w:pPr>
            <w:bookmarkStart w:id="902" w:name="_Toc67327765"/>
            <w:r w:rsidRPr="004B4498">
              <w:rPr>
                <w:rFonts w:cs="Arial"/>
                <w:color w:val="000000" w:themeColor="text1"/>
                <w:sz w:val="20"/>
                <w:lang w:val="hr-HR"/>
              </w:rPr>
              <w:t>Modifikacijski (dobitak)/gubitak po kreditima ostalim korisnicima</w:t>
            </w:r>
            <w:bookmarkEnd w:id="902"/>
          </w:p>
        </w:tc>
        <w:tc>
          <w:tcPr>
            <w:tcW w:w="623" w:type="pct"/>
            <w:tcBorders>
              <w:top w:val="nil"/>
              <w:left w:val="nil"/>
              <w:bottom w:val="nil"/>
              <w:right w:val="nil"/>
            </w:tcBorders>
            <w:shd w:val="clear" w:color="auto" w:fill="auto"/>
            <w:vAlign w:val="bottom"/>
          </w:tcPr>
          <w:p w14:paraId="387301C8"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22.020 </w:t>
            </w:r>
          </w:p>
        </w:tc>
        <w:tc>
          <w:tcPr>
            <w:tcW w:w="622" w:type="pct"/>
            <w:tcBorders>
              <w:top w:val="nil"/>
              <w:left w:val="nil"/>
              <w:bottom w:val="nil"/>
              <w:right w:val="nil"/>
            </w:tcBorders>
            <w:shd w:val="clear" w:color="auto" w:fill="auto"/>
            <w:vAlign w:val="bottom"/>
          </w:tcPr>
          <w:p w14:paraId="2F181F2A"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(14.231)</w:t>
            </w:r>
          </w:p>
        </w:tc>
        <w:tc>
          <w:tcPr>
            <w:tcW w:w="622" w:type="pct"/>
            <w:tcBorders>
              <w:top w:val="nil"/>
              <w:left w:val="nil"/>
              <w:bottom w:val="nil"/>
              <w:right w:val="nil"/>
            </w:tcBorders>
            <w:shd w:val="clear" w:color="auto" w:fill="auto"/>
            <w:vAlign w:val="bottom"/>
          </w:tcPr>
          <w:p w14:paraId="4B704900"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22.020 </w:t>
            </w:r>
          </w:p>
        </w:tc>
        <w:tc>
          <w:tcPr>
            <w:tcW w:w="613" w:type="pct"/>
            <w:tcBorders>
              <w:top w:val="nil"/>
              <w:left w:val="nil"/>
              <w:bottom w:val="nil"/>
              <w:right w:val="nil"/>
            </w:tcBorders>
            <w:shd w:val="clear" w:color="auto" w:fill="auto"/>
            <w:vAlign w:val="bottom"/>
          </w:tcPr>
          <w:p w14:paraId="2DAD6E6D"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(14.231)</w:t>
            </w:r>
          </w:p>
        </w:tc>
      </w:tr>
      <w:tr w:rsidR="004E2F51" w:rsidRPr="00BF71FE" w14:paraId="774D8549" w14:textId="77777777" w:rsidTr="00E032FC">
        <w:trPr>
          <w:trHeight w:val="281"/>
        </w:trPr>
        <w:tc>
          <w:tcPr>
            <w:tcW w:w="2520" w:type="pct"/>
            <w:vAlign w:val="bottom"/>
          </w:tcPr>
          <w:p w14:paraId="4097C7F1" w14:textId="77777777" w:rsidR="004E2F51" w:rsidRPr="004B4498" w:rsidRDefault="004E2F51" w:rsidP="00E032FC">
            <w:pPr>
              <w:pStyle w:val="TT"/>
              <w:rPr>
                <w:rFonts w:cs="Arial"/>
                <w:color w:val="000000" w:themeColor="text1"/>
                <w:sz w:val="20"/>
                <w:lang w:val="hr-HR"/>
              </w:rPr>
            </w:pPr>
            <w:bookmarkStart w:id="903" w:name="_Toc67327770"/>
            <w:r w:rsidRPr="004B4498">
              <w:rPr>
                <w:rFonts w:cs="Arial"/>
                <w:color w:val="000000" w:themeColor="text1"/>
                <w:sz w:val="20"/>
                <w:lang w:val="hr-HR"/>
              </w:rPr>
              <w:t>POCI imovina – usklađenje fer vrijednosti kod inicijalnog priznavanja</w:t>
            </w:r>
            <w:bookmarkEnd w:id="903"/>
          </w:p>
        </w:tc>
        <w:tc>
          <w:tcPr>
            <w:tcW w:w="623" w:type="pct"/>
            <w:tcBorders>
              <w:top w:val="nil"/>
              <w:left w:val="nil"/>
              <w:bottom w:val="nil"/>
              <w:right w:val="nil"/>
            </w:tcBorders>
            <w:shd w:val="clear" w:color="auto" w:fill="auto"/>
            <w:vAlign w:val="bottom"/>
          </w:tcPr>
          <w:p w14:paraId="19DE380D"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29.139 </w:t>
            </w:r>
          </w:p>
        </w:tc>
        <w:tc>
          <w:tcPr>
            <w:tcW w:w="622" w:type="pct"/>
            <w:tcBorders>
              <w:top w:val="nil"/>
              <w:left w:val="nil"/>
              <w:bottom w:val="nil"/>
              <w:right w:val="nil"/>
            </w:tcBorders>
            <w:shd w:val="clear" w:color="auto" w:fill="auto"/>
            <w:vAlign w:val="bottom"/>
          </w:tcPr>
          <w:p w14:paraId="7D1919D8"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45.151</w:t>
            </w:r>
          </w:p>
        </w:tc>
        <w:tc>
          <w:tcPr>
            <w:tcW w:w="622" w:type="pct"/>
            <w:tcBorders>
              <w:top w:val="nil"/>
              <w:left w:val="nil"/>
              <w:bottom w:val="nil"/>
              <w:right w:val="nil"/>
            </w:tcBorders>
            <w:shd w:val="clear" w:color="auto" w:fill="auto"/>
            <w:vAlign w:val="bottom"/>
          </w:tcPr>
          <w:p w14:paraId="47016C7A"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29.139 </w:t>
            </w:r>
          </w:p>
        </w:tc>
        <w:tc>
          <w:tcPr>
            <w:tcW w:w="613" w:type="pct"/>
            <w:tcBorders>
              <w:top w:val="nil"/>
              <w:left w:val="nil"/>
              <w:bottom w:val="nil"/>
              <w:right w:val="nil"/>
            </w:tcBorders>
            <w:shd w:val="clear" w:color="auto" w:fill="auto"/>
            <w:vAlign w:val="bottom"/>
          </w:tcPr>
          <w:p w14:paraId="1CAB6BA6"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45.151</w:t>
            </w:r>
          </w:p>
        </w:tc>
      </w:tr>
      <w:tr w:rsidR="004E2F51" w:rsidRPr="00BF71FE" w14:paraId="0C804B81" w14:textId="77777777" w:rsidTr="00E032FC">
        <w:trPr>
          <w:trHeight w:val="387"/>
        </w:trPr>
        <w:tc>
          <w:tcPr>
            <w:tcW w:w="2520" w:type="pct"/>
            <w:vAlign w:val="bottom"/>
          </w:tcPr>
          <w:p w14:paraId="73FF3462" w14:textId="77777777" w:rsidR="004E2F51" w:rsidRPr="004B4498" w:rsidRDefault="004E2F51" w:rsidP="00E032FC">
            <w:pPr>
              <w:pStyle w:val="TT"/>
              <w:rPr>
                <w:rFonts w:cs="Arial"/>
                <w:color w:val="000000" w:themeColor="text1"/>
                <w:sz w:val="20"/>
                <w:lang w:val="hr-HR"/>
              </w:rPr>
            </w:pPr>
            <w:bookmarkStart w:id="904" w:name="_Toc67327775"/>
            <w:r w:rsidRPr="004B4498">
              <w:rPr>
                <w:rFonts w:cs="Arial"/>
                <w:color w:val="000000" w:themeColor="text1"/>
                <w:sz w:val="20"/>
                <w:lang w:val="hr-HR"/>
              </w:rPr>
              <w:t>Rezerviranja za gubitke financijske imovine po fer vrijednosti kroz ostalu sveobuhvatnu dobit</w:t>
            </w:r>
            <w:bookmarkEnd w:id="904"/>
          </w:p>
        </w:tc>
        <w:tc>
          <w:tcPr>
            <w:tcW w:w="623" w:type="pct"/>
            <w:tcBorders>
              <w:top w:val="nil"/>
              <w:left w:val="nil"/>
              <w:bottom w:val="nil"/>
              <w:right w:val="nil"/>
            </w:tcBorders>
            <w:shd w:val="clear" w:color="auto" w:fill="auto"/>
            <w:vAlign w:val="bottom"/>
          </w:tcPr>
          <w:p w14:paraId="20897EFA"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104 </w:t>
            </w:r>
          </w:p>
        </w:tc>
        <w:tc>
          <w:tcPr>
            <w:tcW w:w="622" w:type="pct"/>
            <w:tcBorders>
              <w:top w:val="nil"/>
              <w:left w:val="nil"/>
              <w:bottom w:val="nil"/>
              <w:right w:val="nil"/>
            </w:tcBorders>
            <w:shd w:val="clear" w:color="auto" w:fill="auto"/>
            <w:vAlign w:val="bottom"/>
          </w:tcPr>
          <w:p w14:paraId="55D8FB89"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(29)</w:t>
            </w:r>
          </w:p>
        </w:tc>
        <w:tc>
          <w:tcPr>
            <w:tcW w:w="622" w:type="pct"/>
            <w:tcBorders>
              <w:top w:val="nil"/>
              <w:left w:val="nil"/>
              <w:bottom w:val="nil"/>
              <w:right w:val="nil"/>
            </w:tcBorders>
            <w:shd w:val="clear" w:color="auto" w:fill="auto"/>
            <w:vAlign w:val="bottom"/>
          </w:tcPr>
          <w:p w14:paraId="003691E3"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107 </w:t>
            </w:r>
          </w:p>
        </w:tc>
        <w:tc>
          <w:tcPr>
            <w:tcW w:w="613" w:type="pct"/>
            <w:tcBorders>
              <w:top w:val="nil"/>
              <w:left w:val="nil"/>
              <w:bottom w:val="nil"/>
              <w:right w:val="nil"/>
            </w:tcBorders>
            <w:shd w:val="clear" w:color="auto" w:fill="auto"/>
            <w:vAlign w:val="bottom"/>
          </w:tcPr>
          <w:p w14:paraId="48876025"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(36)</w:t>
            </w:r>
          </w:p>
        </w:tc>
      </w:tr>
      <w:tr w:rsidR="004E2F51" w:rsidRPr="00BF71FE" w14:paraId="2F78C722" w14:textId="77777777" w:rsidTr="00E032FC">
        <w:trPr>
          <w:trHeight w:val="387"/>
        </w:trPr>
        <w:tc>
          <w:tcPr>
            <w:tcW w:w="2520" w:type="pct"/>
            <w:vAlign w:val="bottom"/>
          </w:tcPr>
          <w:p w14:paraId="30DD507B" w14:textId="77777777" w:rsidR="004E2F51" w:rsidRPr="004B4498" w:rsidRDefault="004E2F51" w:rsidP="00E032FC">
            <w:pPr>
              <w:pStyle w:val="TT"/>
              <w:rPr>
                <w:rFonts w:cs="Arial"/>
                <w:color w:val="000000" w:themeColor="text1"/>
                <w:spacing w:val="-2"/>
                <w:sz w:val="20"/>
                <w:lang w:val="hr-HR"/>
              </w:rPr>
            </w:pPr>
            <w:bookmarkStart w:id="905" w:name="_Toc67327785"/>
            <w:r w:rsidRPr="004B4498">
              <w:rPr>
                <w:rFonts w:cs="Arial"/>
                <w:color w:val="000000" w:themeColor="text1"/>
                <w:sz w:val="20"/>
                <w:lang w:val="hr-HR"/>
              </w:rPr>
              <w:t>Rezerviranja za gubitke po ostaloj imovini</w:t>
            </w:r>
            <w:bookmarkEnd w:id="905"/>
          </w:p>
        </w:tc>
        <w:tc>
          <w:tcPr>
            <w:tcW w:w="623" w:type="pct"/>
            <w:tcBorders>
              <w:top w:val="nil"/>
              <w:left w:val="nil"/>
              <w:bottom w:val="nil"/>
              <w:right w:val="nil"/>
            </w:tcBorders>
            <w:shd w:val="clear" w:color="auto" w:fill="auto"/>
            <w:vAlign w:val="bottom"/>
          </w:tcPr>
          <w:p w14:paraId="35655680"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3.764 </w:t>
            </w:r>
          </w:p>
        </w:tc>
        <w:tc>
          <w:tcPr>
            <w:tcW w:w="622" w:type="pct"/>
            <w:tcBorders>
              <w:top w:val="nil"/>
              <w:left w:val="nil"/>
              <w:bottom w:val="nil"/>
              <w:right w:val="nil"/>
            </w:tcBorders>
            <w:shd w:val="clear" w:color="auto" w:fill="auto"/>
            <w:vAlign w:val="bottom"/>
          </w:tcPr>
          <w:p w14:paraId="0BB441D9" w14:textId="77777777" w:rsidR="004E2F51" w:rsidRPr="004B4498" w:rsidRDefault="004E2F51" w:rsidP="00E032FC">
            <w:pPr>
              <w:pStyle w:val="TT"/>
              <w:jc w:val="right"/>
              <w:rPr>
                <w:rFonts w:cs="Arial"/>
                <w:color w:val="000000" w:themeColor="text1"/>
                <w:sz w:val="20"/>
                <w:lang w:val="hr-HR"/>
              </w:rPr>
            </w:pPr>
            <w:r w:rsidRPr="00A24227">
              <w:rPr>
                <w:rFonts w:cs="Arial"/>
                <w:sz w:val="20"/>
              </w:rPr>
              <w:t>(2.542)</w:t>
            </w:r>
          </w:p>
        </w:tc>
        <w:tc>
          <w:tcPr>
            <w:tcW w:w="622" w:type="pct"/>
            <w:tcBorders>
              <w:top w:val="nil"/>
              <w:left w:val="nil"/>
              <w:bottom w:val="nil"/>
              <w:right w:val="nil"/>
            </w:tcBorders>
            <w:shd w:val="clear" w:color="auto" w:fill="auto"/>
            <w:vAlign w:val="bottom"/>
          </w:tcPr>
          <w:p w14:paraId="1D4ED10A"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3.731 </w:t>
            </w:r>
          </w:p>
        </w:tc>
        <w:tc>
          <w:tcPr>
            <w:tcW w:w="613" w:type="pct"/>
            <w:tcBorders>
              <w:top w:val="nil"/>
              <w:left w:val="nil"/>
              <w:bottom w:val="nil"/>
              <w:right w:val="nil"/>
            </w:tcBorders>
            <w:shd w:val="clear" w:color="auto" w:fill="auto"/>
            <w:vAlign w:val="bottom"/>
          </w:tcPr>
          <w:p w14:paraId="73B630BD"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(2.551)</w:t>
            </w:r>
          </w:p>
        </w:tc>
      </w:tr>
      <w:tr w:rsidR="004E2F51" w:rsidRPr="00BF71FE" w14:paraId="2D6168B5" w14:textId="77777777" w:rsidTr="00E032FC">
        <w:trPr>
          <w:trHeight w:val="387"/>
        </w:trPr>
        <w:tc>
          <w:tcPr>
            <w:tcW w:w="2520" w:type="pct"/>
            <w:vAlign w:val="bottom"/>
          </w:tcPr>
          <w:p w14:paraId="477C4296" w14:textId="77777777" w:rsidR="004E2F51" w:rsidRPr="004B4498" w:rsidRDefault="004E2F51" w:rsidP="00E032FC">
            <w:pPr>
              <w:pStyle w:val="TT"/>
              <w:rPr>
                <w:rFonts w:cs="Arial"/>
                <w:color w:val="000000" w:themeColor="text1"/>
                <w:spacing w:val="-2"/>
                <w:sz w:val="20"/>
                <w:lang w:val="hr-HR"/>
              </w:rPr>
            </w:pPr>
            <w:bookmarkStart w:id="906" w:name="_Toc67327790"/>
            <w:r w:rsidRPr="004B4498">
              <w:rPr>
                <w:rFonts w:cs="Arial"/>
                <w:color w:val="000000" w:themeColor="text1"/>
                <w:sz w:val="20"/>
                <w:lang w:val="hr-HR"/>
              </w:rPr>
              <w:t>Rezerviranja za gubitke po preuzetim obvezama po kreditima</w:t>
            </w:r>
            <w:bookmarkEnd w:id="906"/>
          </w:p>
        </w:tc>
        <w:tc>
          <w:tcPr>
            <w:tcW w:w="623" w:type="pct"/>
            <w:tcBorders>
              <w:top w:val="nil"/>
              <w:left w:val="nil"/>
              <w:right w:val="nil"/>
            </w:tcBorders>
            <w:shd w:val="clear" w:color="auto" w:fill="auto"/>
            <w:vAlign w:val="bottom"/>
          </w:tcPr>
          <w:p w14:paraId="0513492A"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(14.440)</w:t>
            </w:r>
          </w:p>
        </w:tc>
        <w:tc>
          <w:tcPr>
            <w:tcW w:w="622" w:type="pct"/>
            <w:tcBorders>
              <w:top w:val="nil"/>
              <w:left w:val="nil"/>
              <w:right w:val="nil"/>
            </w:tcBorders>
            <w:shd w:val="clear" w:color="auto" w:fill="auto"/>
            <w:vAlign w:val="bottom"/>
          </w:tcPr>
          <w:p w14:paraId="4FEA8D79"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7.503</w:t>
            </w:r>
          </w:p>
        </w:tc>
        <w:tc>
          <w:tcPr>
            <w:tcW w:w="622" w:type="pct"/>
            <w:tcBorders>
              <w:top w:val="nil"/>
              <w:left w:val="nil"/>
              <w:right w:val="nil"/>
            </w:tcBorders>
            <w:shd w:val="clear" w:color="auto" w:fill="auto"/>
            <w:vAlign w:val="bottom"/>
          </w:tcPr>
          <w:p w14:paraId="74424427"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(14.440)</w:t>
            </w:r>
          </w:p>
        </w:tc>
        <w:tc>
          <w:tcPr>
            <w:tcW w:w="613" w:type="pct"/>
            <w:tcBorders>
              <w:top w:val="nil"/>
              <w:left w:val="nil"/>
              <w:right w:val="nil"/>
            </w:tcBorders>
            <w:shd w:val="clear" w:color="auto" w:fill="auto"/>
            <w:vAlign w:val="bottom"/>
          </w:tcPr>
          <w:p w14:paraId="2D3D8D45"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7.503</w:t>
            </w:r>
          </w:p>
        </w:tc>
      </w:tr>
      <w:tr w:rsidR="004E2F51" w:rsidRPr="00BF71FE" w14:paraId="749EDD6D" w14:textId="77777777" w:rsidTr="00E032FC">
        <w:trPr>
          <w:trHeight w:val="387"/>
        </w:trPr>
        <w:tc>
          <w:tcPr>
            <w:tcW w:w="2520" w:type="pct"/>
            <w:vAlign w:val="bottom"/>
          </w:tcPr>
          <w:p w14:paraId="0CFABD07" w14:textId="77777777" w:rsidR="004E2F51" w:rsidRPr="004B4498" w:rsidRDefault="004E2F51" w:rsidP="00E032FC">
            <w:pPr>
              <w:pStyle w:val="TT"/>
              <w:rPr>
                <w:rFonts w:cs="Arial"/>
                <w:color w:val="000000" w:themeColor="text1"/>
                <w:sz w:val="20"/>
                <w:lang w:val="hr-HR"/>
              </w:rPr>
            </w:pPr>
            <w:bookmarkStart w:id="907" w:name="_Toc67327795"/>
            <w:r w:rsidRPr="004B4498">
              <w:rPr>
                <w:rFonts w:cs="Arial"/>
                <w:color w:val="000000" w:themeColor="text1"/>
                <w:sz w:val="20"/>
                <w:lang w:val="hr-HR"/>
              </w:rPr>
              <w:t>Rezerviranja za gubitke po garancijama</w:t>
            </w:r>
            <w:bookmarkEnd w:id="907"/>
          </w:p>
        </w:tc>
        <w:tc>
          <w:tcPr>
            <w:tcW w:w="623" w:type="pct"/>
            <w:tcBorders>
              <w:top w:val="nil"/>
              <w:left w:val="nil"/>
              <w:bottom w:val="nil"/>
              <w:right w:val="nil"/>
            </w:tcBorders>
            <w:shd w:val="clear" w:color="auto" w:fill="auto"/>
            <w:vAlign w:val="bottom"/>
          </w:tcPr>
          <w:p w14:paraId="0A325DC8"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(33.742)</w:t>
            </w:r>
          </w:p>
        </w:tc>
        <w:tc>
          <w:tcPr>
            <w:tcW w:w="622" w:type="pct"/>
            <w:tcBorders>
              <w:top w:val="nil"/>
              <w:left w:val="nil"/>
              <w:bottom w:val="nil"/>
              <w:right w:val="nil"/>
            </w:tcBorders>
            <w:shd w:val="clear" w:color="auto" w:fill="auto"/>
            <w:vAlign w:val="bottom"/>
          </w:tcPr>
          <w:p w14:paraId="494489E3"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74.799</w:t>
            </w:r>
          </w:p>
        </w:tc>
        <w:tc>
          <w:tcPr>
            <w:tcW w:w="622" w:type="pct"/>
            <w:tcBorders>
              <w:top w:val="nil"/>
              <w:left w:val="nil"/>
              <w:bottom w:val="nil"/>
              <w:right w:val="nil"/>
            </w:tcBorders>
            <w:shd w:val="clear" w:color="auto" w:fill="auto"/>
            <w:vAlign w:val="bottom"/>
          </w:tcPr>
          <w:p w14:paraId="656AA733"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 xml:space="preserve"> (33.742)</w:t>
            </w:r>
          </w:p>
        </w:tc>
        <w:tc>
          <w:tcPr>
            <w:tcW w:w="613" w:type="pct"/>
            <w:tcBorders>
              <w:top w:val="nil"/>
              <w:left w:val="nil"/>
              <w:bottom w:val="nil"/>
              <w:right w:val="nil"/>
            </w:tcBorders>
            <w:shd w:val="clear" w:color="auto" w:fill="auto"/>
            <w:vAlign w:val="bottom"/>
          </w:tcPr>
          <w:p w14:paraId="479D3248"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74.799</w:t>
            </w:r>
          </w:p>
        </w:tc>
      </w:tr>
      <w:tr w:rsidR="004E2F51" w:rsidRPr="00BF71FE" w14:paraId="5AE1F5F7" w14:textId="77777777" w:rsidTr="00E032FC">
        <w:trPr>
          <w:trHeight w:val="387"/>
        </w:trPr>
        <w:tc>
          <w:tcPr>
            <w:tcW w:w="2520" w:type="pct"/>
            <w:vAlign w:val="bottom"/>
          </w:tcPr>
          <w:p w14:paraId="0DA1A6AC" w14:textId="77777777" w:rsidR="004E2F51" w:rsidRPr="004B4498" w:rsidRDefault="004E2F51" w:rsidP="00E032FC">
            <w:pPr>
              <w:pStyle w:val="TT"/>
              <w:rPr>
                <w:rFonts w:cs="Arial"/>
                <w:b/>
                <w:color w:val="000000" w:themeColor="text1"/>
                <w:sz w:val="20"/>
                <w:lang w:val="hr-HR"/>
              </w:rPr>
            </w:pPr>
            <w:bookmarkStart w:id="908" w:name="_Toc67327800"/>
            <w:r w:rsidRPr="004B4498">
              <w:rPr>
                <w:rFonts w:cs="Arial"/>
                <w:b/>
                <w:color w:val="000000" w:themeColor="text1"/>
                <w:sz w:val="20"/>
                <w:lang w:val="hr-HR"/>
              </w:rPr>
              <w:t>Ukupno</w:t>
            </w:r>
            <w:bookmarkEnd w:id="908"/>
          </w:p>
        </w:tc>
        <w:tc>
          <w:tcPr>
            <w:tcW w:w="623" w:type="pct"/>
            <w:tcBorders>
              <w:top w:val="single" w:sz="6" w:space="0" w:color="auto"/>
              <w:left w:val="nil"/>
              <w:bottom w:val="single" w:sz="12" w:space="0" w:color="auto"/>
              <w:right w:val="nil"/>
            </w:tcBorders>
            <w:shd w:val="clear" w:color="auto" w:fill="auto"/>
            <w:vAlign w:val="bottom"/>
          </w:tcPr>
          <w:p w14:paraId="0D83C292" w14:textId="77777777" w:rsidR="004E2F51" w:rsidRPr="004B4498" w:rsidRDefault="004E2F51" w:rsidP="00E032FC">
            <w:pPr>
              <w:pStyle w:val="TT"/>
              <w:jc w:val="right"/>
              <w:rPr>
                <w:rFonts w:cs="Arial"/>
                <w:b/>
                <w:bCs/>
                <w:color w:val="000000" w:themeColor="text1"/>
                <w:sz w:val="20"/>
                <w:lang w:val="hr-HR"/>
              </w:rPr>
            </w:pPr>
            <w:r w:rsidRPr="00276333">
              <w:rPr>
                <w:rFonts w:cs="Arial"/>
                <w:b/>
                <w:bCs/>
                <w:color w:val="000000" w:themeColor="text1"/>
                <w:sz w:val="20"/>
                <w:lang w:val="hr-HR"/>
              </w:rPr>
              <w:t>141.849</w:t>
            </w:r>
          </w:p>
        </w:tc>
        <w:tc>
          <w:tcPr>
            <w:tcW w:w="622" w:type="pct"/>
            <w:tcBorders>
              <w:top w:val="single" w:sz="6" w:space="0" w:color="auto"/>
              <w:left w:val="nil"/>
              <w:bottom w:val="single" w:sz="12" w:space="0" w:color="auto"/>
              <w:right w:val="nil"/>
            </w:tcBorders>
            <w:shd w:val="clear" w:color="auto" w:fill="auto"/>
            <w:vAlign w:val="bottom"/>
          </w:tcPr>
          <w:p w14:paraId="12CC035B" w14:textId="77777777" w:rsidR="004E2F51" w:rsidRPr="004B4498" w:rsidRDefault="004E2F51" w:rsidP="00E032FC">
            <w:pPr>
              <w:pStyle w:val="TT"/>
              <w:jc w:val="right"/>
              <w:rPr>
                <w:rFonts w:cs="Arial"/>
                <w:b/>
                <w:bCs/>
                <w:color w:val="000000" w:themeColor="text1"/>
                <w:sz w:val="20"/>
                <w:lang w:val="hr-HR"/>
              </w:rPr>
            </w:pPr>
            <w:r w:rsidRPr="0046584E">
              <w:rPr>
                <w:rFonts w:cs="Arial"/>
                <w:b/>
                <w:bCs/>
                <w:color w:val="000000" w:themeColor="text1"/>
                <w:sz w:val="20"/>
                <w:lang w:val="hr-HR"/>
              </w:rPr>
              <w:t>164.621</w:t>
            </w:r>
          </w:p>
        </w:tc>
        <w:tc>
          <w:tcPr>
            <w:tcW w:w="622" w:type="pct"/>
            <w:tcBorders>
              <w:top w:val="single" w:sz="6" w:space="0" w:color="auto"/>
              <w:left w:val="nil"/>
              <w:bottom w:val="single" w:sz="12" w:space="0" w:color="auto"/>
              <w:right w:val="nil"/>
            </w:tcBorders>
            <w:shd w:val="clear" w:color="auto" w:fill="auto"/>
            <w:vAlign w:val="bottom"/>
          </w:tcPr>
          <w:p w14:paraId="37A962E5" w14:textId="77777777" w:rsidR="004E2F51" w:rsidRPr="004B4498" w:rsidRDefault="004E2F51" w:rsidP="00E032FC">
            <w:pPr>
              <w:pStyle w:val="TT"/>
              <w:jc w:val="right"/>
              <w:rPr>
                <w:rFonts w:cs="Arial"/>
                <w:b/>
                <w:bCs/>
                <w:color w:val="000000" w:themeColor="text1"/>
                <w:sz w:val="20"/>
                <w:lang w:val="hr-HR"/>
              </w:rPr>
            </w:pPr>
            <w:r w:rsidRPr="00276333">
              <w:rPr>
                <w:rFonts w:cs="Arial"/>
                <w:b/>
                <w:bCs/>
                <w:color w:val="000000" w:themeColor="text1"/>
                <w:sz w:val="20"/>
                <w:lang w:val="hr-HR"/>
              </w:rPr>
              <w:t>141.789</w:t>
            </w:r>
          </w:p>
        </w:tc>
        <w:tc>
          <w:tcPr>
            <w:tcW w:w="613" w:type="pct"/>
            <w:tcBorders>
              <w:top w:val="single" w:sz="6" w:space="0" w:color="auto"/>
              <w:left w:val="nil"/>
              <w:bottom w:val="single" w:sz="12" w:space="0" w:color="auto"/>
              <w:right w:val="nil"/>
            </w:tcBorders>
            <w:shd w:val="clear" w:color="auto" w:fill="auto"/>
            <w:vAlign w:val="bottom"/>
          </w:tcPr>
          <w:p w14:paraId="7843C4CD" w14:textId="77777777" w:rsidR="004E2F51" w:rsidRPr="004B4498" w:rsidRDefault="004E2F51" w:rsidP="00E032FC">
            <w:pPr>
              <w:pStyle w:val="TT"/>
              <w:jc w:val="right"/>
              <w:rPr>
                <w:rFonts w:cs="Arial"/>
                <w:b/>
                <w:color w:val="000000" w:themeColor="text1"/>
                <w:sz w:val="20"/>
                <w:lang w:val="hr-HR"/>
              </w:rPr>
            </w:pPr>
            <w:r w:rsidRPr="0046584E">
              <w:rPr>
                <w:rFonts w:cs="Arial"/>
                <w:b/>
                <w:bCs/>
                <w:color w:val="000000" w:themeColor="text1"/>
                <w:sz w:val="20"/>
                <w:lang w:val="hr-HR"/>
              </w:rPr>
              <w:t>164.609</w:t>
            </w:r>
          </w:p>
        </w:tc>
      </w:tr>
    </w:tbl>
    <w:p w14:paraId="29A5EA8F" w14:textId="77777777" w:rsidR="004E2F51" w:rsidRPr="004B4498" w:rsidRDefault="004E2F51" w:rsidP="004E2F51">
      <w:pPr>
        <w:rPr>
          <w:rFonts w:ascii="Arial" w:hAnsi="Arial" w:cs="Arial"/>
          <w:color w:val="000000" w:themeColor="text1"/>
          <w:sz w:val="20"/>
          <w:szCs w:val="20"/>
          <w:lang w:val="hr-HR"/>
        </w:rPr>
      </w:pPr>
    </w:p>
    <w:p w14:paraId="5D244404" w14:textId="77777777" w:rsidR="004E2F51" w:rsidRPr="004B4498" w:rsidRDefault="004E2F51" w:rsidP="004E2F51">
      <w:pPr>
        <w:rPr>
          <w:rFonts w:ascii="Arial" w:hAnsi="Arial" w:cs="Arial"/>
          <w:b/>
          <w:color w:val="000000" w:themeColor="text1"/>
          <w:sz w:val="20"/>
          <w:szCs w:val="20"/>
          <w:lang w:val="hr-HR"/>
        </w:rPr>
      </w:pPr>
      <w:r w:rsidRPr="004B4498">
        <w:rPr>
          <w:rFonts w:ascii="Arial" w:hAnsi="Arial" w:cs="Arial"/>
          <w:b/>
          <w:color w:val="000000" w:themeColor="text1"/>
          <w:sz w:val="20"/>
          <w:szCs w:val="20"/>
          <w:lang w:val="hr-HR"/>
        </w:rPr>
        <w:t>b) Ostala umanjenja vrijednosti i rezerviranja</w:t>
      </w:r>
    </w:p>
    <w:tbl>
      <w:tblPr>
        <w:tblW w:w="5128" w:type="pct"/>
        <w:tblLayout w:type="fixed"/>
        <w:tblCellMar>
          <w:left w:w="120" w:type="dxa"/>
          <w:right w:w="120" w:type="dxa"/>
        </w:tblCellMar>
        <w:tblLook w:val="0000" w:firstRow="0" w:lastRow="0" w:firstColumn="0" w:lastColumn="0" w:noHBand="0" w:noVBand="0"/>
      </w:tblPr>
      <w:tblGrid>
        <w:gridCol w:w="4834"/>
        <w:gridCol w:w="1194"/>
        <w:gridCol w:w="1193"/>
        <w:gridCol w:w="1193"/>
        <w:gridCol w:w="1180"/>
      </w:tblGrid>
      <w:tr w:rsidR="004E2F51" w:rsidRPr="00BF71FE" w14:paraId="54840B33" w14:textId="77777777" w:rsidTr="00E032FC">
        <w:trPr>
          <w:trHeight w:val="295"/>
        </w:trPr>
        <w:tc>
          <w:tcPr>
            <w:tcW w:w="2519" w:type="pct"/>
          </w:tcPr>
          <w:p w14:paraId="53524603" w14:textId="77777777" w:rsidR="004E2F51" w:rsidRPr="004B4498" w:rsidRDefault="004E2F51" w:rsidP="00E032FC">
            <w:pPr>
              <w:pStyle w:val="TT"/>
              <w:rPr>
                <w:rFonts w:cs="Arial"/>
                <w:color w:val="000000" w:themeColor="text1"/>
                <w:sz w:val="20"/>
                <w:lang w:val="hr-HR"/>
              </w:rPr>
            </w:pPr>
          </w:p>
        </w:tc>
        <w:tc>
          <w:tcPr>
            <w:tcW w:w="1244" w:type="pct"/>
            <w:gridSpan w:val="2"/>
            <w:tcBorders>
              <w:top w:val="nil"/>
              <w:left w:val="nil"/>
              <w:bottom w:val="nil"/>
              <w:right w:val="nil"/>
            </w:tcBorders>
            <w:shd w:val="clear" w:color="auto" w:fill="auto"/>
            <w:vAlign w:val="bottom"/>
          </w:tcPr>
          <w:p w14:paraId="1654C4E6" w14:textId="77777777" w:rsidR="004E2F51" w:rsidRPr="004B4498" w:rsidRDefault="004E2F51" w:rsidP="00E032FC">
            <w:pPr>
              <w:pStyle w:val="TH"/>
              <w:jc w:val="right"/>
              <w:rPr>
                <w:rFonts w:cs="Arial"/>
                <w:color w:val="000000" w:themeColor="text1"/>
                <w:sz w:val="20"/>
                <w:lang w:val="hr-HR"/>
              </w:rPr>
            </w:pPr>
            <w:bookmarkStart w:id="909" w:name="_Toc67327805"/>
            <w:r w:rsidRPr="004B4498">
              <w:rPr>
                <w:rFonts w:cs="Arial"/>
                <w:color w:val="000000" w:themeColor="text1"/>
                <w:sz w:val="20"/>
                <w:lang w:val="hr-HR"/>
              </w:rPr>
              <w:t>Grupa</w:t>
            </w:r>
            <w:bookmarkEnd w:id="909"/>
          </w:p>
        </w:tc>
        <w:tc>
          <w:tcPr>
            <w:tcW w:w="1237" w:type="pct"/>
            <w:gridSpan w:val="2"/>
            <w:tcBorders>
              <w:top w:val="nil"/>
              <w:left w:val="nil"/>
              <w:bottom w:val="nil"/>
              <w:right w:val="nil"/>
            </w:tcBorders>
            <w:shd w:val="clear" w:color="auto" w:fill="auto"/>
            <w:vAlign w:val="bottom"/>
          </w:tcPr>
          <w:p w14:paraId="4D125CEF" w14:textId="77777777" w:rsidR="004E2F51" w:rsidRPr="004B4498" w:rsidRDefault="004E2F51" w:rsidP="00E032FC">
            <w:pPr>
              <w:pStyle w:val="TT"/>
              <w:jc w:val="right"/>
              <w:rPr>
                <w:rFonts w:cs="Arial"/>
                <w:b/>
                <w:color w:val="000000" w:themeColor="text1"/>
                <w:sz w:val="20"/>
                <w:lang w:val="hr-HR"/>
              </w:rPr>
            </w:pPr>
            <w:bookmarkStart w:id="910" w:name="_Toc67327806"/>
            <w:r w:rsidRPr="004B4498">
              <w:rPr>
                <w:rFonts w:cs="Arial"/>
                <w:b/>
                <w:color w:val="000000" w:themeColor="text1"/>
                <w:sz w:val="20"/>
                <w:lang w:val="hr-HR"/>
              </w:rPr>
              <w:t>Banka</w:t>
            </w:r>
            <w:bookmarkEnd w:id="910"/>
          </w:p>
        </w:tc>
      </w:tr>
      <w:tr w:rsidR="004E2F51" w:rsidRPr="00BF71FE" w14:paraId="6E0E8736" w14:textId="77777777" w:rsidTr="00E032FC">
        <w:trPr>
          <w:trHeight w:hRule="exact" w:val="284"/>
        </w:trPr>
        <w:tc>
          <w:tcPr>
            <w:tcW w:w="2519" w:type="pct"/>
            <w:vAlign w:val="bottom"/>
          </w:tcPr>
          <w:p w14:paraId="68AE7D37" w14:textId="77777777" w:rsidR="004E2F51" w:rsidRPr="004B4498" w:rsidRDefault="004E2F51" w:rsidP="00E032FC">
            <w:pPr>
              <w:pStyle w:val="TT"/>
              <w:rPr>
                <w:rFonts w:cs="Arial"/>
                <w:color w:val="000000" w:themeColor="text1"/>
                <w:sz w:val="20"/>
                <w:lang w:val="hr-HR"/>
              </w:rPr>
            </w:pPr>
          </w:p>
        </w:tc>
        <w:tc>
          <w:tcPr>
            <w:tcW w:w="622" w:type="pct"/>
            <w:vAlign w:val="bottom"/>
          </w:tcPr>
          <w:p w14:paraId="09069115" w14:textId="77777777" w:rsidR="004E2F51" w:rsidRPr="004B4498" w:rsidRDefault="004E2F51" w:rsidP="00E032FC">
            <w:pPr>
              <w:pStyle w:val="TH"/>
              <w:spacing w:line="240" w:lineRule="auto"/>
              <w:jc w:val="right"/>
              <w:rPr>
                <w:rFonts w:cs="Arial"/>
                <w:color w:val="000000" w:themeColor="text1"/>
                <w:sz w:val="20"/>
                <w:lang w:val="hr-HR"/>
              </w:rPr>
            </w:pPr>
            <w:bookmarkStart w:id="911" w:name="_Toc67327807"/>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911"/>
          </w:p>
        </w:tc>
        <w:tc>
          <w:tcPr>
            <w:tcW w:w="622" w:type="pct"/>
            <w:vAlign w:val="bottom"/>
          </w:tcPr>
          <w:p w14:paraId="5BF88DE5" w14:textId="77777777" w:rsidR="004E2F51" w:rsidRPr="004B4498" w:rsidRDefault="004E2F51" w:rsidP="00E032FC">
            <w:pPr>
              <w:pStyle w:val="TH"/>
              <w:spacing w:line="240" w:lineRule="auto"/>
              <w:jc w:val="right"/>
              <w:rPr>
                <w:rFonts w:cs="Arial"/>
                <w:color w:val="000000" w:themeColor="text1"/>
                <w:sz w:val="20"/>
                <w:lang w:val="hr-HR"/>
              </w:rPr>
            </w:pPr>
            <w:bookmarkStart w:id="912" w:name="_Toc67327808"/>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912"/>
          </w:p>
        </w:tc>
        <w:tc>
          <w:tcPr>
            <w:tcW w:w="622" w:type="pct"/>
            <w:vAlign w:val="bottom"/>
          </w:tcPr>
          <w:p w14:paraId="69687E07" w14:textId="77777777" w:rsidR="004E2F51" w:rsidRPr="004B4498" w:rsidRDefault="004E2F51" w:rsidP="00E032FC">
            <w:pPr>
              <w:pStyle w:val="TH"/>
              <w:spacing w:line="240" w:lineRule="auto"/>
              <w:jc w:val="right"/>
              <w:rPr>
                <w:rFonts w:cs="Arial"/>
                <w:color w:val="000000" w:themeColor="text1"/>
                <w:sz w:val="20"/>
                <w:lang w:val="hr-HR"/>
              </w:rPr>
            </w:pPr>
            <w:bookmarkStart w:id="913" w:name="_Toc67327809"/>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913"/>
          </w:p>
        </w:tc>
        <w:tc>
          <w:tcPr>
            <w:tcW w:w="615" w:type="pct"/>
            <w:vAlign w:val="bottom"/>
          </w:tcPr>
          <w:p w14:paraId="68B7CBB3" w14:textId="77777777" w:rsidR="004E2F51" w:rsidRPr="004B4498" w:rsidRDefault="004E2F51" w:rsidP="00E032FC">
            <w:pPr>
              <w:pStyle w:val="TH"/>
              <w:spacing w:line="240" w:lineRule="auto"/>
              <w:jc w:val="right"/>
              <w:rPr>
                <w:rFonts w:cs="Arial"/>
                <w:color w:val="000000" w:themeColor="text1"/>
                <w:sz w:val="20"/>
                <w:lang w:val="hr-HR"/>
              </w:rPr>
            </w:pPr>
            <w:bookmarkStart w:id="914" w:name="_Toc67327810"/>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914"/>
          </w:p>
        </w:tc>
      </w:tr>
      <w:tr w:rsidR="004E2F51" w:rsidRPr="00BF71FE" w14:paraId="74F99473" w14:textId="77777777" w:rsidTr="00E032FC">
        <w:trPr>
          <w:trHeight w:hRule="exact" w:val="284"/>
        </w:trPr>
        <w:tc>
          <w:tcPr>
            <w:tcW w:w="2519" w:type="pct"/>
            <w:vAlign w:val="bottom"/>
          </w:tcPr>
          <w:p w14:paraId="3E66261E" w14:textId="77777777" w:rsidR="004E2F51" w:rsidRPr="004B4498" w:rsidRDefault="004E2F51" w:rsidP="00E032FC">
            <w:pPr>
              <w:pStyle w:val="TT"/>
              <w:rPr>
                <w:rFonts w:cs="Arial"/>
                <w:color w:val="000000" w:themeColor="text1"/>
                <w:sz w:val="20"/>
                <w:lang w:val="hr-HR"/>
              </w:rPr>
            </w:pPr>
          </w:p>
        </w:tc>
        <w:tc>
          <w:tcPr>
            <w:tcW w:w="622" w:type="pct"/>
            <w:vAlign w:val="bottom"/>
          </w:tcPr>
          <w:p w14:paraId="6FD11E58" w14:textId="77777777" w:rsidR="004E2F51" w:rsidRPr="004B4498" w:rsidRDefault="004E2F51" w:rsidP="00E032FC">
            <w:pPr>
              <w:pStyle w:val="TH"/>
              <w:jc w:val="right"/>
              <w:rPr>
                <w:rFonts w:cs="Arial"/>
                <w:color w:val="000000" w:themeColor="text1"/>
                <w:sz w:val="20"/>
                <w:lang w:val="hr-HR"/>
              </w:rPr>
            </w:pPr>
            <w:bookmarkStart w:id="915" w:name="_Toc67327811"/>
            <w:r w:rsidRPr="004B4498">
              <w:rPr>
                <w:rFonts w:cs="Arial"/>
                <w:color w:val="000000" w:themeColor="text1"/>
                <w:sz w:val="20"/>
                <w:lang w:val="hr-HR"/>
              </w:rPr>
              <w:t>000 kuna</w:t>
            </w:r>
            <w:bookmarkEnd w:id="915"/>
          </w:p>
        </w:tc>
        <w:tc>
          <w:tcPr>
            <w:tcW w:w="622" w:type="pct"/>
            <w:vAlign w:val="bottom"/>
          </w:tcPr>
          <w:p w14:paraId="448600D1" w14:textId="77777777" w:rsidR="004E2F51" w:rsidRPr="004B4498" w:rsidRDefault="004E2F51" w:rsidP="00E032FC">
            <w:pPr>
              <w:pStyle w:val="TH"/>
              <w:jc w:val="right"/>
              <w:rPr>
                <w:rFonts w:cs="Arial"/>
                <w:color w:val="000000" w:themeColor="text1"/>
                <w:sz w:val="20"/>
                <w:lang w:val="hr-HR"/>
              </w:rPr>
            </w:pPr>
            <w:bookmarkStart w:id="916" w:name="_Toc67327812"/>
            <w:r w:rsidRPr="004B4498">
              <w:rPr>
                <w:rFonts w:cs="Arial"/>
                <w:color w:val="000000" w:themeColor="text1"/>
                <w:sz w:val="20"/>
                <w:lang w:val="hr-HR"/>
              </w:rPr>
              <w:t>000 kuna</w:t>
            </w:r>
            <w:bookmarkEnd w:id="916"/>
          </w:p>
        </w:tc>
        <w:tc>
          <w:tcPr>
            <w:tcW w:w="622" w:type="pct"/>
            <w:vAlign w:val="bottom"/>
          </w:tcPr>
          <w:p w14:paraId="63DA2CA9" w14:textId="77777777" w:rsidR="004E2F51" w:rsidRPr="004B4498" w:rsidRDefault="004E2F51" w:rsidP="00E032FC">
            <w:pPr>
              <w:pStyle w:val="TH"/>
              <w:jc w:val="right"/>
              <w:rPr>
                <w:rFonts w:cs="Arial"/>
                <w:color w:val="000000" w:themeColor="text1"/>
                <w:sz w:val="20"/>
                <w:lang w:val="hr-HR"/>
              </w:rPr>
            </w:pPr>
            <w:bookmarkStart w:id="917" w:name="_Toc67327813"/>
            <w:r w:rsidRPr="004B4498">
              <w:rPr>
                <w:rFonts w:cs="Arial"/>
                <w:color w:val="000000" w:themeColor="text1"/>
                <w:sz w:val="20"/>
                <w:lang w:val="hr-HR"/>
              </w:rPr>
              <w:t>000 kuna</w:t>
            </w:r>
            <w:bookmarkEnd w:id="917"/>
          </w:p>
        </w:tc>
        <w:tc>
          <w:tcPr>
            <w:tcW w:w="615" w:type="pct"/>
            <w:vAlign w:val="bottom"/>
          </w:tcPr>
          <w:p w14:paraId="43F04E53" w14:textId="77777777" w:rsidR="004E2F51" w:rsidRPr="004B4498" w:rsidRDefault="004E2F51" w:rsidP="00E032FC">
            <w:pPr>
              <w:pStyle w:val="TH"/>
              <w:jc w:val="right"/>
              <w:rPr>
                <w:rFonts w:cs="Arial"/>
                <w:color w:val="000000" w:themeColor="text1"/>
                <w:sz w:val="20"/>
                <w:lang w:val="hr-HR"/>
              </w:rPr>
            </w:pPr>
            <w:bookmarkStart w:id="918" w:name="_Toc67327814"/>
            <w:r w:rsidRPr="004B4498">
              <w:rPr>
                <w:rFonts w:cs="Arial"/>
                <w:color w:val="000000" w:themeColor="text1"/>
                <w:sz w:val="20"/>
                <w:lang w:val="hr-HR"/>
              </w:rPr>
              <w:t>000 kuna</w:t>
            </w:r>
            <w:bookmarkEnd w:id="918"/>
          </w:p>
        </w:tc>
      </w:tr>
      <w:tr w:rsidR="004E2F51" w:rsidRPr="00BF71FE" w14:paraId="433C23EA" w14:textId="77777777" w:rsidTr="00E032FC">
        <w:trPr>
          <w:trHeight w:val="245"/>
        </w:trPr>
        <w:tc>
          <w:tcPr>
            <w:tcW w:w="2519" w:type="pct"/>
            <w:vAlign w:val="bottom"/>
          </w:tcPr>
          <w:p w14:paraId="25C0F8DD" w14:textId="77777777" w:rsidR="004E2F51" w:rsidRPr="004B4498" w:rsidRDefault="004E2F51" w:rsidP="00E032FC">
            <w:pPr>
              <w:pStyle w:val="TT"/>
              <w:rPr>
                <w:rFonts w:cs="Arial"/>
                <w:color w:val="000000" w:themeColor="text1"/>
                <w:sz w:val="20"/>
                <w:lang w:val="hr-HR"/>
              </w:rPr>
            </w:pPr>
            <w:bookmarkStart w:id="919" w:name="_Toc67327815"/>
            <w:r w:rsidRPr="004B4498">
              <w:rPr>
                <w:rFonts w:cs="Arial"/>
                <w:color w:val="000000" w:themeColor="text1"/>
                <w:sz w:val="20"/>
                <w:lang w:val="hr-HR"/>
              </w:rPr>
              <w:t>Usklađenje vrijednosti preuzete imovine</w:t>
            </w:r>
            <w:bookmarkEnd w:id="919"/>
            <w:r w:rsidRPr="004B4498">
              <w:rPr>
                <w:rFonts w:cs="Arial"/>
                <w:color w:val="000000" w:themeColor="text1"/>
                <w:sz w:val="20"/>
                <w:lang w:val="hr-HR"/>
              </w:rPr>
              <w:t xml:space="preserve"> </w:t>
            </w:r>
          </w:p>
        </w:tc>
        <w:tc>
          <w:tcPr>
            <w:tcW w:w="622" w:type="pct"/>
            <w:tcBorders>
              <w:top w:val="nil"/>
              <w:left w:val="nil"/>
              <w:bottom w:val="nil"/>
              <w:right w:val="nil"/>
            </w:tcBorders>
            <w:shd w:val="clear" w:color="auto" w:fill="auto"/>
            <w:vAlign w:val="bottom"/>
          </w:tcPr>
          <w:p w14:paraId="7717FE23"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2.171</w:t>
            </w:r>
          </w:p>
        </w:tc>
        <w:tc>
          <w:tcPr>
            <w:tcW w:w="622" w:type="pct"/>
            <w:tcBorders>
              <w:top w:val="nil"/>
              <w:left w:val="nil"/>
              <w:bottom w:val="nil"/>
              <w:right w:val="nil"/>
            </w:tcBorders>
            <w:shd w:val="clear" w:color="auto" w:fill="auto"/>
            <w:vAlign w:val="bottom"/>
          </w:tcPr>
          <w:p w14:paraId="6E7D8C55"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750</w:t>
            </w:r>
          </w:p>
        </w:tc>
        <w:tc>
          <w:tcPr>
            <w:tcW w:w="622" w:type="pct"/>
            <w:tcBorders>
              <w:top w:val="nil"/>
              <w:left w:val="nil"/>
              <w:bottom w:val="nil"/>
              <w:right w:val="nil"/>
            </w:tcBorders>
            <w:shd w:val="clear" w:color="auto" w:fill="auto"/>
            <w:vAlign w:val="bottom"/>
          </w:tcPr>
          <w:p w14:paraId="617D9063"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2.171</w:t>
            </w:r>
          </w:p>
        </w:tc>
        <w:tc>
          <w:tcPr>
            <w:tcW w:w="615" w:type="pct"/>
            <w:tcBorders>
              <w:top w:val="nil"/>
              <w:left w:val="nil"/>
              <w:bottom w:val="nil"/>
              <w:right w:val="nil"/>
            </w:tcBorders>
            <w:shd w:val="clear" w:color="auto" w:fill="auto"/>
            <w:vAlign w:val="bottom"/>
          </w:tcPr>
          <w:p w14:paraId="29191B61"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750</w:t>
            </w:r>
          </w:p>
        </w:tc>
      </w:tr>
      <w:tr w:rsidR="004E2F51" w:rsidRPr="00BF71FE" w14:paraId="3B7C0EC0" w14:textId="77777777" w:rsidTr="00E032FC">
        <w:trPr>
          <w:trHeight w:val="327"/>
        </w:trPr>
        <w:tc>
          <w:tcPr>
            <w:tcW w:w="2519" w:type="pct"/>
          </w:tcPr>
          <w:p w14:paraId="753AB361" w14:textId="77777777" w:rsidR="004E2F51" w:rsidRPr="004B4498" w:rsidRDefault="004E2F51" w:rsidP="00E032FC">
            <w:pPr>
              <w:pStyle w:val="TT"/>
              <w:rPr>
                <w:rFonts w:cs="Arial"/>
                <w:color w:val="000000" w:themeColor="text1"/>
                <w:sz w:val="20"/>
                <w:lang w:val="hr-HR"/>
              </w:rPr>
            </w:pPr>
            <w:bookmarkStart w:id="920" w:name="_Toc67327825"/>
            <w:r w:rsidRPr="004B4498">
              <w:rPr>
                <w:rFonts w:cs="Arial"/>
                <w:color w:val="000000" w:themeColor="text1"/>
                <w:sz w:val="20"/>
                <w:lang w:val="hr-HR"/>
              </w:rPr>
              <w:t>Rezerviranja za ostale obveze</w:t>
            </w:r>
            <w:bookmarkEnd w:id="920"/>
          </w:p>
        </w:tc>
        <w:tc>
          <w:tcPr>
            <w:tcW w:w="622" w:type="pct"/>
            <w:tcBorders>
              <w:top w:val="nil"/>
              <w:left w:val="nil"/>
              <w:bottom w:val="nil"/>
              <w:right w:val="nil"/>
            </w:tcBorders>
            <w:shd w:val="clear" w:color="auto" w:fill="auto"/>
            <w:vAlign w:val="bottom"/>
          </w:tcPr>
          <w:p w14:paraId="6800753D" w14:textId="77777777" w:rsidR="004E2F51" w:rsidRPr="004B4498" w:rsidRDefault="004E2F51" w:rsidP="00E032FC">
            <w:pPr>
              <w:pStyle w:val="TT"/>
              <w:jc w:val="right"/>
              <w:rPr>
                <w:rFonts w:cs="Arial"/>
                <w:color w:val="000000" w:themeColor="text1"/>
                <w:spacing w:val="-2"/>
                <w:sz w:val="20"/>
                <w:lang w:val="hr-HR"/>
              </w:rPr>
            </w:pPr>
            <w:r w:rsidRPr="00276333">
              <w:rPr>
                <w:rFonts w:cs="Arial"/>
                <w:color w:val="000000" w:themeColor="text1"/>
                <w:spacing w:val="-2"/>
                <w:sz w:val="20"/>
                <w:lang w:val="hr-HR"/>
              </w:rPr>
              <w:t>257</w:t>
            </w:r>
          </w:p>
        </w:tc>
        <w:tc>
          <w:tcPr>
            <w:tcW w:w="622" w:type="pct"/>
            <w:tcBorders>
              <w:top w:val="nil"/>
              <w:left w:val="nil"/>
              <w:bottom w:val="nil"/>
              <w:right w:val="nil"/>
            </w:tcBorders>
            <w:shd w:val="clear" w:color="auto" w:fill="auto"/>
            <w:vAlign w:val="bottom"/>
          </w:tcPr>
          <w:p w14:paraId="749E9FAA" w14:textId="77777777" w:rsidR="004E2F51" w:rsidRPr="004B4498" w:rsidRDefault="004E2F51" w:rsidP="00E032FC">
            <w:pPr>
              <w:pStyle w:val="TT"/>
              <w:jc w:val="right"/>
              <w:rPr>
                <w:rFonts w:cs="Arial"/>
                <w:color w:val="000000" w:themeColor="text1"/>
                <w:spacing w:val="-2"/>
                <w:sz w:val="20"/>
                <w:lang w:val="hr-HR"/>
              </w:rPr>
            </w:pPr>
            <w:r w:rsidRPr="0046584E">
              <w:rPr>
                <w:rFonts w:cs="Arial"/>
                <w:color w:val="000000" w:themeColor="text1"/>
                <w:spacing w:val="-2"/>
                <w:sz w:val="20"/>
                <w:lang w:val="hr-HR"/>
              </w:rPr>
              <w:t>(2.358)</w:t>
            </w:r>
          </w:p>
        </w:tc>
        <w:tc>
          <w:tcPr>
            <w:tcW w:w="622" w:type="pct"/>
            <w:tcBorders>
              <w:top w:val="nil"/>
              <w:left w:val="nil"/>
              <w:bottom w:val="nil"/>
              <w:right w:val="nil"/>
            </w:tcBorders>
            <w:shd w:val="clear" w:color="auto" w:fill="auto"/>
            <w:vAlign w:val="bottom"/>
          </w:tcPr>
          <w:p w14:paraId="04603C4A" w14:textId="77777777" w:rsidR="004E2F51" w:rsidRPr="004B4498" w:rsidRDefault="004E2F51" w:rsidP="00E032FC">
            <w:pPr>
              <w:pStyle w:val="TT"/>
              <w:jc w:val="right"/>
              <w:rPr>
                <w:rFonts w:cs="Arial"/>
                <w:color w:val="000000" w:themeColor="text1"/>
                <w:spacing w:val="-2"/>
                <w:sz w:val="20"/>
                <w:lang w:val="hr-HR"/>
              </w:rPr>
            </w:pPr>
            <w:r w:rsidRPr="00276333">
              <w:rPr>
                <w:rFonts w:cs="Arial"/>
                <w:color w:val="000000" w:themeColor="text1"/>
                <w:spacing w:val="-2"/>
                <w:sz w:val="20"/>
                <w:lang w:val="hr-HR"/>
              </w:rPr>
              <w:t>474</w:t>
            </w:r>
          </w:p>
        </w:tc>
        <w:tc>
          <w:tcPr>
            <w:tcW w:w="615" w:type="pct"/>
            <w:tcBorders>
              <w:top w:val="nil"/>
              <w:left w:val="nil"/>
              <w:bottom w:val="nil"/>
              <w:right w:val="nil"/>
            </w:tcBorders>
            <w:shd w:val="clear" w:color="auto" w:fill="auto"/>
            <w:vAlign w:val="bottom"/>
          </w:tcPr>
          <w:p w14:paraId="7AF59C59" w14:textId="77777777" w:rsidR="004E2F51" w:rsidRPr="004B4498" w:rsidRDefault="004E2F51" w:rsidP="00E032FC">
            <w:pPr>
              <w:pStyle w:val="TT"/>
              <w:jc w:val="right"/>
              <w:rPr>
                <w:rFonts w:cs="Arial"/>
                <w:color w:val="000000" w:themeColor="text1"/>
                <w:spacing w:val="-2"/>
                <w:sz w:val="20"/>
                <w:lang w:val="hr-HR"/>
              </w:rPr>
            </w:pPr>
            <w:r w:rsidRPr="0046584E">
              <w:rPr>
                <w:rFonts w:cs="Arial"/>
                <w:color w:val="000000" w:themeColor="text1"/>
                <w:spacing w:val="-2"/>
                <w:sz w:val="20"/>
                <w:lang w:val="hr-HR"/>
              </w:rPr>
              <w:t>(2.355)</w:t>
            </w:r>
          </w:p>
        </w:tc>
      </w:tr>
      <w:tr w:rsidR="004E2F51" w:rsidRPr="00BF71FE" w14:paraId="292E769E" w14:textId="77777777" w:rsidTr="00E032FC">
        <w:trPr>
          <w:trHeight w:hRule="exact" w:val="340"/>
        </w:trPr>
        <w:tc>
          <w:tcPr>
            <w:tcW w:w="2519" w:type="pct"/>
            <w:vAlign w:val="bottom"/>
          </w:tcPr>
          <w:p w14:paraId="214E9E83" w14:textId="77777777" w:rsidR="004E2F51" w:rsidRPr="004B4498" w:rsidRDefault="004E2F51" w:rsidP="00E032FC">
            <w:pPr>
              <w:pStyle w:val="Tot"/>
              <w:rPr>
                <w:rFonts w:cs="Arial"/>
                <w:b/>
                <w:color w:val="000000" w:themeColor="text1"/>
                <w:sz w:val="20"/>
                <w:lang w:val="hr-HR"/>
              </w:rPr>
            </w:pPr>
            <w:bookmarkStart w:id="921" w:name="_Toc67327830"/>
            <w:r w:rsidRPr="004B4498">
              <w:rPr>
                <w:rFonts w:cs="Arial"/>
                <w:b/>
                <w:color w:val="000000" w:themeColor="text1"/>
                <w:sz w:val="20"/>
                <w:lang w:val="hr-HR"/>
              </w:rPr>
              <w:t>Ukupno</w:t>
            </w:r>
            <w:bookmarkEnd w:id="921"/>
          </w:p>
        </w:tc>
        <w:tc>
          <w:tcPr>
            <w:tcW w:w="622" w:type="pct"/>
            <w:tcBorders>
              <w:top w:val="single" w:sz="4" w:space="0" w:color="auto"/>
              <w:bottom w:val="single" w:sz="12" w:space="0" w:color="auto"/>
            </w:tcBorders>
            <w:vAlign w:val="bottom"/>
          </w:tcPr>
          <w:p w14:paraId="6023DB5C" w14:textId="77777777" w:rsidR="004E2F51" w:rsidRPr="004B4498" w:rsidRDefault="004E2F51" w:rsidP="00E032FC">
            <w:pPr>
              <w:pStyle w:val="TT"/>
              <w:jc w:val="right"/>
              <w:rPr>
                <w:rFonts w:cs="Arial"/>
                <w:b/>
                <w:bCs/>
                <w:color w:val="000000" w:themeColor="text1"/>
                <w:spacing w:val="-2"/>
                <w:sz w:val="20"/>
                <w:lang w:val="hr-HR"/>
              </w:rPr>
            </w:pPr>
            <w:r w:rsidRPr="00276333">
              <w:rPr>
                <w:rFonts w:cs="Arial"/>
                <w:b/>
                <w:bCs/>
                <w:color w:val="000000" w:themeColor="text1"/>
                <w:spacing w:val="-2"/>
                <w:sz w:val="20"/>
                <w:lang w:val="hr-HR"/>
              </w:rPr>
              <w:t>2.428</w:t>
            </w:r>
          </w:p>
        </w:tc>
        <w:tc>
          <w:tcPr>
            <w:tcW w:w="622" w:type="pct"/>
            <w:tcBorders>
              <w:top w:val="single" w:sz="4" w:space="0" w:color="auto"/>
              <w:bottom w:val="single" w:sz="12" w:space="0" w:color="auto"/>
            </w:tcBorders>
            <w:vAlign w:val="bottom"/>
          </w:tcPr>
          <w:p w14:paraId="5AA3351B" w14:textId="77777777" w:rsidR="004E2F51" w:rsidRPr="004B4498" w:rsidRDefault="004E2F51" w:rsidP="00E032FC">
            <w:pPr>
              <w:pStyle w:val="TT"/>
              <w:jc w:val="right"/>
              <w:rPr>
                <w:rFonts w:cs="Arial"/>
                <w:b/>
                <w:bCs/>
                <w:color w:val="000000" w:themeColor="text1"/>
                <w:spacing w:val="-2"/>
                <w:sz w:val="20"/>
                <w:lang w:val="hr-HR"/>
              </w:rPr>
            </w:pPr>
            <w:r w:rsidRPr="0046584E">
              <w:rPr>
                <w:rFonts w:cs="Arial"/>
                <w:b/>
                <w:bCs/>
                <w:color w:val="000000" w:themeColor="text1"/>
                <w:spacing w:val="-2"/>
                <w:sz w:val="20"/>
                <w:lang w:val="hr-HR"/>
              </w:rPr>
              <w:t>(1.608)</w:t>
            </w:r>
          </w:p>
        </w:tc>
        <w:tc>
          <w:tcPr>
            <w:tcW w:w="622" w:type="pct"/>
            <w:tcBorders>
              <w:top w:val="single" w:sz="4" w:space="0" w:color="auto"/>
              <w:bottom w:val="single" w:sz="12" w:space="0" w:color="auto"/>
            </w:tcBorders>
            <w:vAlign w:val="bottom"/>
          </w:tcPr>
          <w:p w14:paraId="42394119" w14:textId="77777777" w:rsidR="004E2F51" w:rsidRPr="004B4498" w:rsidRDefault="004E2F51" w:rsidP="00E032FC">
            <w:pPr>
              <w:pStyle w:val="TT"/>
              <w:jc w:val="right"/>
              <w:rPr>
                <w:rFonts w:cs="Arial"/>
                <w:b/>
                <w:bCs/>
                <w:color w:val="000000" w:themeColor="text1"/>
                <w:spacing w:val="-2"/>
                <w:sz w:val="20"/>
                <w:lang w:val="hr-HR"/>
              </w:rPr>
            </w:pPr>
            <w:r w:rsidRPr="00276333">
              <w:rPr>
                <w:rFonts w:cs="Arial"/>
                <w:b/>
                <w:bCs/>
                <w:color w:val="000000" w:themeColor="text1"/>
                <w:spacing w:val="-2"/>
                <w:sz w:val="20"/>
                <w:lang w:val="hr-HR"/>
              </w:rPr>
              <w:t>2.645</w:t>
            </w:r>
          </w:p>
        </w:tc>
        <w:tc>
          <w:tcPr>
            <w:tcW w:w="615" w:type="pct"/>
            <w:tcBorders>
              <w:top w:val="single" w:sz="4" w:space="0" w:color="auto"/>
              <w:bottom w:val="single" w:sz="12" w:space="0" w:color="auto"/>
            </w:tcBorders>
            <w:vAlign w:val="bottom"/>
          </w:tcPr>
          <w:p w14:paraId="29833254" w14:textId="77777777" w:rsidR="004E2F51" w:rsidRPr="004B4498" w:rsidRDefault="004E2F51" w:rsidP="00E032FC">
            <w:pPr>
              <w:pStyle w:val="TT"/>
              <w:jc w:val="right"/>
              <w:rPr>
                <w:rFonts w:cs="Arial"/>
                <w:b/>
                <w:color w:val="000000" w:themeColor="text1"/>
                <w:spacing w:val="-2"/>
                <w:sz w:val="20"/>
                <w:lang w:val="hr-HR"/>
              </w:rPr>
            </w:pPr>
            <w:r w:rsidRPr="0046584E">
              <w:rPr>
                <w:rFonts w:cs="Arial"/>
                <w:b/>
                <w:bCs/>
                <w:color w:val="000000" w:themeColor="text1"/>
                <w:spacing w:val="-2"/>
                <w:sz w:val="20"/>
                <w:lang w:val="hr-HR"/>
              </w:rPr>
              <w:t>(1.605)</w:t>
            </w:r>
          </w:p>
        </w:tc>
      </w:tr>
      <w:tr w:rsidR="004E2F51" w:rsidRPr="00BF71FE" w14:paraId="6E670174" w14:textId="77777777" w:rsidTr="00E032FC">
        <w:trPr>
          <w:trHeight w:hRule="exact" w:val="399"/>
        </w:trPr>
        <w:tc>
          <w:tcPr>
            <w:tcW w:w="2519" w:type="pct"/>
            <w:vAlign w:val="bottom"/>
          </w:tcPr>
          <w:p w14:paraId="7689446A" w14:textId="77777777" w:rsidR="004E2F51" w:rsidRPr="004B4498" w:rsidRDefault="004E2F51" w:rsidP="00E032FC">
            <w:pPr>
              <w:pStyle w:val="Tot"/>
              <w:spacing w:line="240" w:lineRule="auto"/>
              <w:rPr>
                <w:rFonts w:cs="Arial"/>
                <w:b/>
                <w:bCs/>
                <w:color w:val="000000" w:themeColor="text1"/>
                <w:spacing w:val="-2"/>
                <w:sz w:val="20"/>
                <w:lang w:val="hr-HR"/>
              </w:rPr>
            </w:pPr>
            <w:bookmarkStart w:id="922" w:name="_Toc67327835"/>
            <w:r w:rsidRPr="004B4498">
              <w:rPr>
                <w:rFonts w:cs="Arial"/>
                <w:b/>
                <w:bCs/>
                <w:color w:val="000000" w:themeColor="text1"/>
                <w:spacing w:val="-2"/>
                <w:sz w:val="20"/>
                <w:lang w:val="hr-HR"/>
              </w:rPr>
              <w:t>Sveukupno</w:t>
            </w:r>
            <w:bookmarkEnd w:id="922"/>
          </w:p>
        </w:tc>
        <w:tc>
          <w:tcPr>
            <w:tcW w:w="622" w:type="pct"/>
            <w:tcBorders>
              <w:bottom w:val="single" w:sz="12" w:space="0" w:color="auto"/>
            </w:tcBorders>
            <w:vAlign w:val="bottom"/>
          </w:tcPr>
          <w:p w14:paraId="0B129F7B" w14:textId="77777777" w:rsidR="004E2F51" w:rsidRPr="004B4498" w:rsidRDefault="004E2F51" w:rsidP="00E032FC">
            <w:pPr>
              <w:pStyle w:val="Tot"/>
              <w:spacing w:line="240" w:lineRule="auto"/>
              <w:jc w:val="right"/>
              <w:rPr>
                <w:rFonts w:cs="Arial"/>
                <w:b/>
                <w:bCs/>
                <w:color w:val="000000" w:themeColor="text1"/>
                <w:spacing w:val="-2"/>
                <w:sz w:val="20"/>
                <w:lang w:val="hr-HR"/>
              </w:rPr>
            </w:pPr>
            <w:r w:rsidRPr="00276333">
              <w:rPr>
                <w:rFonts w:cs="Arial"/>
                <w:b/>
                <w:bCs/>
                <w:color w:val="000000" w:themeColor="text1"/>
                <w:spacing w:val="-2"/>
                <w:sz w:val="20"/>
                <w:lang w:val="hr-HR"/>
              </w:rPr>
              <w:t>144.277</w:t>
            </w:r>
          </w:p>
        </w:tc>
        <w:tc>
          <w:tcPr>
            <w:tcW w:w="622" w:type="pct"/>
            <w:tcBorders>
              <w:bottom w:val="single" w:sz="12" w:space="0" w:color="auto"/>
            </w:tcBorders>
            <w:vAlign w:val="bottom"/>
          </w:tcPr>
          <w:p w14:paraId="647CE6A8" w14:textId="77777777" w:rsidR="004E2F51" w:rsidRPr="004B4498" w:rsidRDefault="004E2F51" w:rsidP="00E032FC">
            <w:pPr>
              <w:pStyle w:val="Tot"/>
              <w:spacing w:line="240" w:lineRule="auto"/>
              <w:jc w:val="right"/>
              <w:rPr>
                <w:rFonts w:cs="Arial"/>
                <w:b/>
                <w:bCs/>
                <w:color w:val="000000" w:themeColor="text1"/>
                <w:spacing w:val="-2"/>
                <w:sz w:val="20"/>
                <w:lang w:val="hr-HR"/>
              </w:rPr>
            </w:pPr>
            <w:r w:rsidRPr="0046584E">
              <w:rPr>
                <w:rFonts w:cs="Arial"/>
                <w:b/>
                <w:bCs/>
                <w:color w:val="000000" w:themeColor="text1"/>
                <w:spacing w:val="-2"/>
                <w:sz w:val="20"/>
                <w:lang w:val="hr-HR"/>
              </w:rPr>
              <w:t>163.013</w:t>
            </w:r>
          </w:p>
        </w:tc>
        <w:tc>
          <w:tcPr>
            <w:tcW w:w="622" w:type="pct"/>
            <w:tcBorders>
              <w:bottom w:val="single" w:sz="12" w:space="0" w:color="auto"/>
            </w:tcBorders>
            <w:vAlign w:val="bottom"/>
          </w:tcPr>
          <w:p w14:paraId="26A9A4FB" w14:textId="77777777" w:rsidR="004E2F51" w:rsidRPr="004B4498" w:rsidRDefault="004E2F51" w:rsidP="00E032FC">
            <w:pPr>
              <w:pStyle w:val="Tot"/>
              <w:spacing w:line="240" w:lineRule="auto"/>
              <w:jc w:val="right"/>
              <w:rPr>
                <w:rFonts w:cs="Arial"/>
                <w:b/>
                <w:bCs/>
                <w:color w:val="000000" w:themeColor="text1"/>
                <w:spacing w:val="-2"/>
                <w:sz w:val="20"/>
                <w:lang w:val="hr-HR"/>
              </w:rPr>
            </w:pPr>
            <w:r w:rsidRPr="00276333">
              <w:rPr>
                <w:rFonts w:cs="Arial"/>
                <w:b/>
                <w:bCs/>
                <w:color w:val="000000" w:themeColor="text1"/>
                <w:spacing w:val="-2"/>
                <w:sz w:val="20"/>
                <w:lang w:val="hr-HR"/>
              </w:rPr>
              <w:t>144.434</w:t>
            </w:r>
          </w:p>
        </w:tc>
        <w:tc>
          <w:tcPr>
            <w:tcW w:w="615" w:type="pct"/>
            <w:tcBorders>
              <w:bottom w:val="single" w:sz="12" w:space="0" w:color="auto"/>
            </w:tcBorders>
            <w:vAlign w:val="bottom"/>
          </w:tcPr>
          <w:p w14:paraId="552B04E1" w14:textId="77777777" w:rsidR="004E2F51" w:rsidRPr="004B4498" w:rsidRDefault="004E2F51" w:rsidP="00E032FC">
            <w:pPr>
              <w:pStyle w:val="Tot"/>
              <w:spacing w:line="240" w:lineRule="auto"/>
              <w:jc w:val="right"/>
              <w:rPr>
                <w:rFonts w:cs="Arial"/>
                <w:b/>
                <w:bCs/>
                <w:color w:val="000000" w:themeColor="text1"/>
                <w:spacing w:val="-2"/>
                <w:sz w:val="20"/>
                <w:lang w:val="hr-HR"/>
              </w:rPr>
            </w:pPr>
            <w:bookmarkStart w:id="923" w:name="_Toc67327838"/>
            <w:r w:rsidRPr="0046584E">
              <w:rPr>
                <w:rFonts w:cs="Arial"/>
                <w:b/>
                <w:bCs/>
                <w:color w:val="000000" w:themeColor="text1"/>
                <w:spacing w:val="-2"/>
                <w:sz w:val="20"/>
                <w:lang w:val="hr-HR"/>
              </w:rPr>
              <w:t>163.004</w:t>
            </w:r>
            <w:bookmarkEnd w:id="923"/>
          </w:p>
        </w:tc>
      </w:tr>
    </w:tbl>
    <w:p w14:paraId="00AFB78E" w14:textId="77777777" w:rsidR="004E2F51" w:rsidRPr="004B4498" w:rsidRDefault="004E2F51" w:rsidP="004E2F51">
      <w:pPr>
        <w:pStyle w:val="T1"/>
        <w:keepNext w:val="0"/>
        <w:rPr>
          <w:rFonts w:cs="Arial"/>
          <w:color w:val="000000" w:themeColor="text1"/>
          <w:sz w:val="20"/>
          <w:lang w:val="hr-HR"/>
        </w:rPr>
        <w:sectPr w:rsidR="004E2F51" w:rsidRPr="004B4498" w:rsidSect="00623DBA">
          <w:footerReference w:type="default" r:id="rId117"/>
          <w:pgSz w:w="11907" w:h="16840" w:code="9"/>
          <w:pgMar w:top="1418" w:right="1134" w:bottom="1134" w:left="1418" w:header="851" w:footer="851" w:gutter="0"/>
          <w:cols w:space="720"/>
          <w:noEndnote/>
        </w:sectPr>
      </w:pPr>
    </w:p>
    <w:p w14:paraId="7021722A" w14:textId="77777777" w:rsidR="004E2F51" w:rsidRPr="004B4498" w:rsidRDefault="004E2F51" w:rsidP="004E2F51">
      <w:pPr>
        <w:pStyle w:val="T1"/>
        <w:spacing w:before="0" w:after="0" w:line="240" w:lineRule="auto"/>
        <w:rPr>
          <w:rFonts w:cs="Arial"/>
          <w:color w:val="000000" w:themeColor="text1"/>
          <w:sz w:val="20"/>
          <w:lang w:val="hr-HR"/>
        </w:rPr>
      </w:pPr>
    </w:p>
    <w:p w14:paraId="4E259C36"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 xml:space="preserve">11. </w:t>
      </w:r>
      <w:r w:rsidRPr="004B4498">
        <w:rPr>
          <w:rFonts w:cs="Arial"/>
          <w:color w:val="000000" w:themeColor="text1"/>
          <w:sz w:val="20"/>
          <w:lang w:val="hr-HR"/>
        </w:rPr>
        <w:tab/>
        <w:t>Porez na dobit</w:t>
      </w:r>
    </w:p>
    <w:p w14:paraId="13E698AA" w14:textId="77777777" w:rsidR="004E2F51" w:rsidRPr="004B4498" w:rsidRDefault="004E2F51" w:rsidP="004E2F51">
      <w:pPr>
        <w:pStyle w:val="T1"/>
        <w:spacing w:before="0" w:after="0" w:line="240" w:lineRule="auto"/>
        <w:rPr>
          <w:rFonts w:cs="Arial"/>
          <w:color w:val="000000" w:themeColor="text1"/>
          <w:sz w:val="20"/>
          <w:lang w:val="hr-HR"/>
        </w:rPr>
      </w:pPr>
    </w:p>
    <w:p w14:paraId="107B6B75" w14:textId="77777777" w:rsidR="004E2F51" w:rsidRPr="004B4498" w:rsidRDefault="004E2F51" w:rsidP="004E2F51">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U skladu sa člankom 9. Zakona o HBOR-u, Banka nije obveznik poreza na dobit, te se porez na dobit Grupe odnosi na ovisna društva Banke.</w:t>
      </w:r>
    </w:p>
    <w:tbl>
      <w:tblPr>
        <w:tblW w:w="5000" w:type="pct"/>
        <w:tblCellMar>
          <w:left w:w="122" w:type="dxa"/>
          <w:right w:w="122" w:type="dxa"/>
        </w:tblCellMar>
        <w:tblLook w:val="0000" w:firstRow="0" w:lastRow="0" w:firstColumn="0" w:lastColumn="0" w:noHBand="0" w:noVBand="0"/>
      </w:tblPr>
      <w:tblGrid>
        <w:gridCol w:w="5953"/>
        <w:gridCol w:w="1843"/>
        <w:gridCol w:w="1559"/>
      </w:tblGrid>
      <w:tr w:rsidR="004E2F51" w:rsidRPr="006C1A22" w14:paraId="61DF169A" w14:textId="77777777" w:rsidTr="00E032FC">
        <w:trPr>
          <w:trHeight w:val="300"/>
        </w:trPr>
        <w:tc>
          <w:tcPr>
            <w:tcW w:w="3182" w:type="pct"/>
          </w:tcPr>
          <w:p w14:paraId="69D615BC" w14:textId="77777777" w:rsidR="004E2F51" w:rsidRPr="004B4498" w:rsidRDefault="004E2F51" w:rsidP="00E032FC">
            <w:pPr>
              <w:tabs>
                <w:tab w:val="left" w:pos="-720"/>
              </w:tabs>
              <w:jc w:val="right"/>
              <w:rPr>
                <w:rFonts w:ascii="Arial" w:hAnsi="Arial" w:cs="Arial"/>
                <w:color w:val="000000" w:themeColor="text1"/>
                <w:spacing w:val="-3"/>
                <w:sz w:val="20"/>
                <w:szCs w:val="20"/>
                <w:lang w:val="hr-HR"/>
              </w:rPr>
            </w:pPr>
            <w:bookmarkStart w:id="924" w:name="_Hlk33631698"/>
          </w:p>
        </w:tc>
        <w:tc>
          <w:tcPr>
            <w:tcW w:w="1818" w:type="pct"/>
            <w:gridSpan w:val="2"/>
            <w:vAlign w:val="bottom"/>
          </w:tcPr>
          <w:p w14:paraId="550CA9E8" w14:textId="77777777" w:rsidR="004E2F51" w:rsidRPr="004B4498" w:rsidRDefault="004E2F51" w:rsidP="00E032FC">
            <w:pPr>
              <w:pStyle w:val="TH"/>
              <w:jc w:val="right"/>
              <w:rPr>
                <w:rFonts w:cs="Arial"/>
                <w:color w:val="000000" w:themeColor="text1"/>
                <w:sz w:val="20"/>
                <w:lang w:val="hr-HR"/>
              </w:rPr>
            </w:pPr>
            <w:bookmarkStart w:id="925" w:name="_Toc67327840"/>
            <w:r w:rsidRPr="004B4498">
              <w:rPr>
                <w:rFonts w:cs="Arial"/>
                <w:color w:val="000000" w:themeColor="text1"/>
                <w:sz w:val="20"/>
                <w:lang w:val="hr-HR"/>
              </w:rPr>
              <w:t>Grupa</w:t>
            </w:r>
            <w:bookmarkEnd w:id="925"/>
          </w:p>
        </w:tc>
      </w:tr>
      <w:tr w:rsidR="004E2F51" w:rsidRPr="006C1A22" w14:paraId="58620FF2" w14:textId="77777777" w:rsidTr="00E032FC">
        <w:trPr>
          <w:trHeight w:val="300"/>
        </w:trPr>
        <w:tc>
          <w:tcPr>
            <w:tcW w:w="3182" w:type="pct"/>
          </w:tcPr>
          <w:p w14:paraId="4672EC4F" w14:textId="77777777" w:rsidR="004E2F51" w:rsidRPr="004B4498" w:rsidRDefault="004E2F51" w:rsidP="00E032FC">
            <w:pPr>
              <w:tabs>
                <w:tab w:val="left" w:pos="-720"/>
              </w:tabs>
              <w:jc w:val="right"/>
              <w:rPr>
                <w:rFonts w:ascii="Arial" w:hAnsi="Arial" w:cs="Arial"/>
                <w:color w:val="000000" w:themeColor="text1"/>
                <w:spacing w:val="-3"/>
                <w:sz w:val="20"/>
                <w:szCs w:val="20"/>
                <w:lang w:val="hr-HR"/>
              </w:rPr>
            </w:pPr>
          </w:p>
        </w:tc>
        <w:tc>
          <w:tcPr>
            <w:tcW w:w="985" w:type="pct"/>
            <w:vAlign w:val="bottom"/>
          </w:tcPr>
          <w:p w14:paraId="41E06EC9" w14:textId="77777777" w:rsidR="004E2F51" w:rsidRPr="004B4498" w:rsidRDefault="004E2F51" w:rsidP="00E032FC">
            <w:pPr>
              <w:pStyle w:val="TH"/>
              <w:jc w:val="right"/>
              <w:rPr>
                <w:rFonts w:cs="Arial"/>
                <w:color w:val="000000" w:themeColor="text1"/>
                <w:sz w:val="20"/>
                <w:lang w:val="hr-HR"/>
              </w:rPr>
            </w:pPr>
            <w:bookmarkStart w:id="926" w:name="_Toc67327841"/>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926"/>
          </w:p>
        </w:tc>
        <w:tc>
          <w:tcPr>
            <w:tcW w:w="833" w:type="pct"/>
            <w:vAlign w:val="bottom"/>
          </w:tcPr>
          <w:p w14:paraId="5A06F7EC" w14:textId="77777777" w:rsidR="004E2F51" w:rsidRPr="004B4498" w:rsidRDefault="004E2F51" w:rsidP="00E032FC">
            <w:pPr>
              <w:pStyle w:val="TH"/>
              <w:jc w:val="right"/>
              <w:rPr>
                <w:rFonts w:cs="Arial"/>
                <w:color w:val="000000" w:themeColor="text1"/>
                <w:sz w:val="20"/>
                <w:lang w:val="hr-HR"/>
              </w:rPr>
            </w:pPr>
            <w:bookmarkStart w:id="927" w:name="_Toc67327842"/>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927"/>
          </w:p>
        </w:tc>
      </w:tr>
      <w:tr w:rsidR="004E2F51" w:rsidRPr="006C1A22" w14:paraId="3B0E465B" w14:textId="77777777" w:rsidTr="00E032FC">
        <w:trPr>
          <w:trHeight w:val="187"/>
        </w:trPr>
        <w:tc>
          <w:tcPr>
            <w:tcW w:w="3182" w:type="pct"/>
          </w:tcPr>
          <w:p w14:paraId="450A9061" w14:textId="77777777" w:rsidR="004E2F51" w:rsidRPr="004B4498" w:rsidRDefault="004E2F51" w:rsidP="00E032FC">
            <w:pPr>
              <w:tabs>
                <w:tab w:val="left" w:pos="-720"/>
              </w:tabs>
              <w:ind w:right="4144"/>
              <w:jc w:val="right"/>
              <w:rPr>
                <w:rFonts w:ascii="Arial" w:hAnsi="Arial" w:cs="Arial"/>
                <w:color w:val="000000" w:themeColor="text1"/>
                <w:sz w:val="20"/>
                <w:szCs w:val="20"/>
                <w:lang w:val="hr-HR"/>
              </w:rPr>
            </w:pPr>
          </w:p>
        </w:tc>
        <w:tc>
          <w:tcPr>
            <w:tcW w:w="985" w:type="pct"/>
          </w:tcPr>
          <w:p w14:paraId="4151AE6F" w14:textId="77777777" w:rsidR="004E2F51" w:rsidRPr="004B4498" w:rsidRDefault="004E2F51" w:rsidP="00E032FC">
            <w:pPr>
              <w:pStyle w:val="TH"/>
              <w:jc w:val="right"/>
              <w:rPr>
                <w:rFonts w:cs="Arial"/>
                <w:color w:val="000000" w:themeColor="text1"/>
                <w:sz w:val="20"/>
                <w:lang w:val="hr-HR"/>
              </w:rPr>
            </w:pPr>
            <w:bookmarkStart w:id="928" w:name="_Toc67327843"/>
            <w:r w:rsidRPr="004B4498">
              <w:rPr>
                <w:rFonts w:cs="Arial"/>
                <w:color w:val="000000" w:themeColor="text1"/>
                <w:sz w:val="20"/>
                <w:lang w:val="hr-HR"/>
              </w:rPr>
              <w:t>000 kuna</w:t>
            </w:r>
            <w:bookmarkEnd w:id="928"/>
          </w:p>
        </w:tc>
        <w:tc>
          <w:tcPr>
            <w:tcW w:w="833" w:type="pct"/>
          </w:tcPr>
          <w:p w14:paraId="759D9FF4" w14:textId="77777777" w:rsidR="004E2F51" w:rsidRPr="004B4498" w:rsidRDefault="004E2F51" w:rsidP="00E032FC">
            <w:pPr>
              <w:pStyle w:val="TH"/>
              <w:jc w:val="right"/>
              <w:rPr>
                <w:rFonts w:cs="Arial"/>
                <w:color w:val="000000" w:themeColor="text1"/>
                <w:sz w:val="20"/>
                <w:lang w:val="hr-HR"/>
              </w:rPr>
            </w:pPr>
            <w:bookmarkStart w:id="929" w:name="_Toc67327844"/>
            <w:r w:rsidRPr="004B4498">
              <w:rPr>
                <w:rFonts w:cs="Arial"/>
                <w:color w:val="000000" w:themeColor="text1"/>
                <w:sz w:val="20"/>
                <w:lang w:val="hr-HR"/>
              </w:rPr>
              <w:t>000 kuna</w:t>
            </w:r>
            <w:bookmarkEnd w:id="929"/>
          </w:p>
        </w:tc>
      </w:tr>
      <w:tr w:rsidR="004E2F51" w:rsidRPr="006E538D" w14:paraId="1BF78BD4" w14:textId="77777777" w:rsidTr="00E032FC">
        <w:tc>
          <w:tcPr>
            <w:tcW w:w="3182" w:type="pct"/>
          </w:tcPr>
          <w:p w14:paraId="2DADEE7F" w14:textId="77777777" w:rsidR="004E2F51" w:rsidRPr="004B4498" w:rsidRDefault="004E2F51" w:rsidP="00E032FC">
            <w:pPr>
              <w:tabs>
                <w:tab w:val="left" w:pos="-720"/>
              </w:tabs>
              <w:spacing w:line="300" w:lineRule="exact"/>
              <w:rPr>
                <w:rFonts w:ascii="Arial" w:hAnsi="Arial" w:cs="Arial"/>
                <w:b/>
                <w:color w:val="000000" w:themeColor="text1"/>
                <w:spacing w:val="-3"/>
                <w:sz w:val="20"/>
                <w:szCs w:val="20"/>
                <w:lang w:val="hr-HR"/>
              </w:rPr>
            </w:pPr>
            <w:r w:rsidRPr="004B4498">
              <w:rPr>
                <w:rFonts w:ascii="Arial" w:hAnsi="Arial" w:cs="Arial"/>
                <w:b/>
                <w:color w:val="000000" w:themeColor="text1"/>
                <w:spacing w:val="-3"/>
                <w:sz w:val="20"/>
                <w:szCs w:val="20"/>
                <w:lang w:val="hr-HR"/>
              </w:rPr>
              <w:t>Priznato u Računu dobiti i gubitka</w:t>
            </w:r>
          </w:p>
        </w:tc>
        <w:tc>
          <w:tcPr>
            <w:tcW w:w="985" w:type="pct"/>
          </w:tcPr>
          <w:p w14:paraId="04A34506"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c>
          <w:tcPr>
            <w:tcW w:w="833" w:type="pct"/>
          </w:tcPr>
          <w:p w14:paraId="069BA437"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r>
      <w:tr w:rsidR="004E2F51" w:rsidRPr="006C1A22" w14:paraId="20A1EF95" w14:textId="77777777" w:rsidTr="00E032FC">
        <w:tc>
          <w:tcPr>
            <w:tcW w:w="3182" w:type="pct"/>
          </w:tcPr>
          <w:p w14:paraId="02BC0030" w14:textId="77777777" w:rsidR="004E2F51" w:rsidRPr="004B4498" w:rsidRDefault="004E2F51" w:rsidP="00E032FC">
            <w:pPr>
              <w:pStyle w:val="TT"/>
              <w:spacing w:line="300" w:lineRule="exact"/>
              <w:rPr>
                <w:rFonts w:cs="Arial"/>
                <w:color w:val="000000" w:themeColor="text1"/>
                <w:sz w:val="20"/>
                <w:lang w:val="hr-HR"/>
              </w:rPr>
            </w:pPr>
            <w:bookmarkStart w:id="930" w:name="_Toc67327845"/>
            <w:r w:rsidRPr="004B4498">
              <w:rPr>
                <w:rFonts w:cs="Arial"/>
                <w:color w:val="000000" w:themeColor="text1"/>
                <w:sz w:val="20"/>
                <w:lang w:val="hr-HR"/>
              </w:rPr>
              <w:t>Tekući porez - priznato u Računu dobiti i gubitka</w:t>
            </w:r>
            <w:bookmarkEnd w:id="930"/>
          </w:p>
        </w:tc>
        <w:tc>
          <w:tcPr>
            <w:tcW w:w="985" w:type="pct"/>
            <w:tcBorders>
              <w:top w:val="nil"/>
              <w:left w:val="nil"/>
              <w:bottom w:val="single" w:sz="4" w:space="0" w:color="auto"/>
              <w:right w:val="nil"/>
            </w:tcBorders>
            <w:shd w:val="clear" w:color="auto" w:fill="auto"/>
            <w:vAlign w:val="bottom"/>
          </w:tcPr>
          <w:p w14:paraId="015FDF73"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(672)</w:t>
            </w:r>
          </w:p>
        </w:tc>
        <w:tc>
          <w:tcPr>
            <w:tcW w:w="833" w:type="pct"/>
            <w:tcBorders>
              <w:top w:val="nil"/>
              <w:left w:val="nil"/>
              <w:bottom w:val="single" w:sz="4" w:space="0" w:color="auto"/>
              <w:right w:val="nil"/>
            </w:tcBorders>
            <w:shd w:val="clear" w:color="auto" w:fill="auto"/>
            <w:vAlign w:val="bottom"/>
          </w:tcPr>
          <w:p w14:paraId="560BE01F" w14:textId="77777777" w:rsidR="004E2F51" w:rsidRPr="004B4498" w:rsidRDefault="004E2F51" w:rsidP="00E032FC">
            <w:pPr>
              <w:pStyle w:val="TT"/>
              <w:jc w:val="right"/>
              <w:rPr>
                <w:rFonts w:cs="Arial"/>
                <w:color w:val="000000" w:themeColor="text1"/>
                <w:sz w:val="20"/>
                <w:lang w:val="hr-HR"/>
              </w:rPr>
            </w:pPr>
            <w:bookmarkStart w:id="931" w:name="_Toc67327846"/>
            <w:r w:rsidRPr="0046584E">
              <w:rPr>
                <w:rFonts w:cs="Arial"/>
                <w:color w:val="000000" w:themeColor="text1"/>
                <w:sz w:val="20"/>
                <w:lang w:val="hr-HR"/>
              </w:rPr>
              <w:t>(214)</w:t>
            </w:r>
            <w:bookmarkEnd w:id="931"/>
          </w:p>
        </w:tc>
      </w:tr>
      <w:tr w:rsidR="004E2F51" w:rsidRPr="006C1A22" w14:paraId="16197253" w14:textId="77777777" w:rsidTr="00E032FC">
        <w:trPr>
          <w:trHeight w:val="329"/>
        </w:trPr>
        <w:tc>
          <w:tcPr>
            <w:tcW w:w="3182" w:type="pct"/>
          </w:tcPr>
          <w:p w14:paraId="7F70E431" w14:textId="77777777" w:rsidR="004E2F51" w:rsidRPr="004B4498" w:rsidRDefault="004E2F51" w:rsidP="00E032FC">
            <w:pPr>
              <w:pStyle w:val="TT"/>
              <w:spacing w:line="300" w:lineRule="exact"/>
              <w:rPr>
                <w:rFonts w:cs="Arial"/>
                <w:b/>
                <w:color w:val="000000" w:themeColor="text1"/>
                <w:sz w:val="20"/>
                <w:lang w:val="hr-HR"/>
              </w:rPr>
            </w:pPr>
            <w:bookmarkStart w:id="932" w:name="_Toc67327848"/>
            <w:r w:rsidRPr="004B4498">
              <w:rPr>
                <w:rFonts w:cs="Arial"/>
                <w:b/>
                <w:color w:val="000000" w:themeColor="text1"/>
                <w:sz w:val="20"/>
                <w:lang w:val="hr-HR"/>
              </w:rPr>
              <w:t>Porez na dobit</w:t>
            </w:r>
            <w:bookmarkEnd w:id="932"/>
          </w:p>
        </w:tc>
        <w:tc>
          <w:tcPr>
            <w:tcW w:w="985" w:type="pct"/>
            <w:tcBorders>
              <w:top w:val="single" w:sz="4" w:space="0" w:color="auto"/>
              <w:left w:val="nil"/>
              <w:bottom w:val="single" w:sz="4" w:space="0" w:color="auto"/>
              <w:right w:val="nil"/>
            </w:tcBorders>
            <w:shd w:val="clear" w:color="auto" w:fill="auto"/>
            <w:vAlign w:val="bottom"/>
          </w:tcPr>
          <w:p w14:paraId="28EF2D6E" w14:textId="77777777" w:rsidR="004E2F51" w:rsidRPr="004B4498" w:rsidRDefault="004E2F51" w:rsidP="00E032FC">
            <w:pPr>
              <w:pStyle w:val="TT"/>
              <w:jc w:val="right"/>
              <w:rPr>
                <w:rFonts w:cs="Arial"/>
                <w:b/>
                <w:color w:val="000000" w:themeColor="text1"/>
                <w:sz w:val="20"/>
                <w:lang w:val="hr-HR"/>
              </w:rPr>
            </w:pPr>
            <w:r w:rsidRPr="00276333">
              <w:rPr>
                <w:rFonts w:cs="Arial"/>
                <w:b/>
                <w:color w:val="000000" w:themeColor="text1"/>
                <w:sz w:val="20"/>
                <w:lang w:val="hr-HR"/>
              </w:rPr>
              <w:t>(672)</w:t>
            </w:r>
          </w:p>
        </w:tc>
        <w:tc>
          <w:tcPr>
            <w:tcW w:w="833" w:type="pct"/>
            <w:tcBorders>
              <w:top w:val="single" w:sz="4" w:space="0" w:color="auto"/>
              <w:left w:val="nil"/>
              <w:bottom w:val="single" w:sz="4" w:space="0" w:color="auto"/>
              <w:right w:val="nil"/>
            </w:tcBorders>
            <w:shd w:val="clear" w:color="auto" w:fill="auto"/>
            <w:vAlign w:val="bottom"/>
          </w:tcPr>
          <w:p w14:paraId="7AAE91B9" w14:textId="77777777" w:rsidR="004E2F51" w:rsidRPr="004B4498" w:rsidRDefault="004E2F51" w:rsidP="00E032FC">
            <w:pPr>
              <w:pStyle w:val="TT"/>
              <w:jc w:val="right"/>
              <w:rPr>
                <w:rFonts w:cs="Arial"/>
                <w:b/>
                <w:color w:val="000000" w:themeColor="text1"/>
                <w:sz w:val="20"/>
                <w:lang w:val="hr-HR"/>
              </w:rPr>
            </w:pPr>
            <w:bookmarkStart w:id="933" w:name="_Toc67327849"/>
            <w:r w:rsidRPr="0046584E">
              <w:rPr>
                <w:rFonts w:cs="Arial"/>
                <w:b/>
                <w:color w:val="000000" w:themeColor="text1"/>
                <w:sz w:val="20"/>
                <w:lang w:val="hr-HR"/>
              </w:rPr>
              <w:t>(214)</w:t>
            </w:r>
            <w:bookmarkEnd w:id="933"/>
          </w:p>
        </w:tc>
      </w:tr>
      <w:tr w:rsidR="004E2F51" w:rsidRPr="006C1A22" w14:paraId="61638D7F" w14:textId="77777777" w:rsidTr="00E032FC">
        <w:tc>
          <w:tcPr>
            <w:tcW w:w="3182" w:type="pct"/>
            <w:vAlign w:val="bottom"/>
          </w:tcPr>
          <w:p w14:paraId="6943A767" w14:textId="77777777" w:rsidR="004E2F51" w:rsidRPr="004B4498" w:rsidRDefault="004E2F51" w:rsidP="00E032FC">
            <w:pPr>
              <w:pStyle w:val="TT"/>
              <w:spacing w:line="300" w:lineRule="exact"/>
              <w:rPr>
                <w:rFonts w:cs="Arial"/>
                <w:b/>
                <w:color w:val="000000" w:themeColor="text1"/>
                <w:sz w:val="20"/>
                <w:lang w:val="hr-HR"/>
              </w:rPr>
            </w:pPr>
          </w:p>
        </w:tc>
        <w:tc>
          <w:tcPr>
            <w:tcW w:w="985" w:type="pct"/>
            <w:tcBorders>
              <w:top w:val="single" w:sz="4" w:space="0" w:color="auto"/>
              <w:left w:val="nil"/>
              <w:bottom w:val="nil"/>
              <w:right w:val="nil"/>
            </w:tcBorders>
            <w:shd w:val="clear" w:color="auto" w:fill="auto"/>
            <w:vAlign w:val="bottom"/>
          </w:tcPr>
          <w:p w14:paraId="6379FEAC" w14:textId="77777777" w:rsidR="004E2F51" w:rsidRPr="004B4498" w:rsidRDefault="004E2F51" w:rsidP="00E032FC">
            <w:pPr>
              <w:pStyle w:val="TT"/>
              <w:jc w:val="right"/>
              <w:rPr>
                <w:rFonts w:cs="Arial"/>
                <w:color w:val="000000" w:themeColor="text1"/>
                <w:sz w:val="20"/>
                <w:lang w:val="hr-HR"/>
              </w:rPr>
            </w:pPr>
          </w:p>
        </w:tc>
        <w:tc>
          <w:tcPr>
            <w:tcW w:w="833" w:type="pct"/>
            <w:tcBorders>
              <w:top w:val="single" w:sz="4" w:space="0" w:color="auto"/>
              <w:left w:val="nil"/>
              <w:bottom w:val="nil"/>
              <w:right w:val="nil"/>
            </w:tcBorders>
            <w:shd w:val="clear" w:color="auto" w:fill="auto"/>
            <w:vAlign w:val="bottom"/>
          </w:tcPr>
          <w:p w14:paraId="5A2BE7AC" w14:textId="77777777" w:rsidR="004E2F51" w:rsidRPr="004B4498" w:rsidRDefault="004E2F51" w:rsidP="00E032FC">
            <w:pPr>
              <w:pStyle w:val="TT"/>
              <w:jc w:val="right"/>
              <w:rPr>
                <w:rFonts w:cs="Arial"/>
                <w:color w:val="000000" w:themeColor="text1"/>
                <w:sz w:val="20"/>
                <w:lang w:val="hr-HR"/>
              </w:rPr>
            </w:pPr>
          </w:p>
        </w:tc>
      </w:tr>
      <w:tr w:rsidR="004E2F51" w:rsidRPr="006C1A22" w14:paraId="4BBFD829" w14:textId="77777777" w:rsidTr="00E032FC">
        <w:tc>
          <w:tcPr>
            <w:tcW w:w="3182" w:type="pct"/>
            <w:vAlign w:val="bottom"/>
          </w:tcPr>
          <w:p w14:paraId="43381D13" w14:textId="77777777" w:rsidR="004E2F51" w:rsidRPr="004B4498" w:rsidRDefault="004E2F51" w:rsidP="00E032FC">
            <w:pPr>
              <w:pStyle w:val="TT"/>
              <w:spacing w:line="300" w:lineRule="exact"/>
              <w:rPr>
                <w:rFonts w:cs="Arial"/>
                <w:b/>
                <w:color w:val="000000" w:themeColor="text1"/>
                <w:sz w:val="20"/>
                <w:lang w:val="hr-HR"/>
              </w:rPr>
            </w:pPr>
          </w:p>
        </w:tc>
        <w:tc>
          <w:tcPr>
            <w:tcW w:w="985" w:type="pct"/>
            <w:tcBorders>
              <w:top w:val="nil"/>
              <w:left w:val="nil"/>
              <w:bottom w:val="nil"/>
              <w:right w:val="nil"/>
            </w:tcBorders>
            <w:shd w:val="clear" w:color="auto" w:fill="auto"/>
            <w:vAlign w:val="bottom"/>
          </w:tcPr>
          <w:p w14:paraId="5AC036DF" w14:textId="77777777" w:rsidR="004E2F51" w:rsidRPr="004B4498" w:rsidRDefault="004E2F51" w:rsidP="00E032FC">
            <w:pPr>
              <w:pStyle w:val="TT"/>
              <w:jc w:val="right"/>
              <w:rPr>
                <w:rFonts w:cs="Arial"/>
                <w:color w:val="000000" w:themeColor="text1"/>
                <w:sz w:val="20"/>
                <w:lang w:val="hr-HR"/>
              </w:rPr>
            </w:pPr>
          </w:p>
        </w:tc>
        <w:tc>
          <w:tcPr>
            <w:tcW w:w="833" w:type="pct"/>
            <w:tcBorders>
              <w:top w:val="nil"/>
              <w:left w:val="nil"/>
              <w:bottom w:val="nil"/>
              <w:right w:val="nil"/>
            </w:tcBorders>
            <w:shd w:val="clear" w:color="auto" w:fill="auto"/>
            <w:vAlign w:val="bottom"/>
          </w:tcPr>
          <w:p w14:paraId="1B05E21B" w14:textId="77777777" w:rsidR="004E2F51" w:rsidRPr="004B4498" w:rsidRDefault="004E2F51" w:rsidP="00E032FC">
            <w:pPr>
              <w:pStyle w:val="TT"/>
              <w:jc w:val="right"/>
              <w:rPr>
                <w:rFonts w:cs="Arial"/>
                <w:color w:val="000000" w:themeColor="text1"/>
                <w:sz w:val="20"/>
                <w:lang w:val="hr-HR"/>
              </w:rPr>
            </w:pPr>
          </w:p>
        </w:tc>
      </w:tr>
      <w:tr w:rsidR="004E2F51" w:rsidRPr="006C1A22" w14:paraId="6A9473C2" w14:textId="77777777" w:rsidTr="00E032FC">
        <w:tc>
          <w:tcPr>
            <w:tcW w:w="3182" w:type="pct"/>
            <w:vAlign w:val="bottom"/>
          </w:tcPr>
          <w:p w14:paraId="19D47922" w14:textId="77777777" w:rsidR="004E2F51" w:rsidRPr="004B4498" w:rsidRDefault="004E2F51" w:rsidP="00E032FC">
            <w:pPr>
              <w:pStyle w:val="TT"/>
              <w:spacing w:line="300" w:lineRule="exact"/>
              <w:rPr>
                <w:rFonts w:cs="Arial"/>
                <w:b/>
                <w:color w:val="000000" w:themeColor="text1"/>
                <w:sz w:val="20"/>
                <w:lang w:val="hr-HR"/>
              </w:rPr>
            </w:pPr>
            <w:bookmarkStart w:id="934" w:name="_Toc67327851"/>
            <w:r w:rsidRPr="004B4498">
              <w:rPr>
                <w:rFonts w:cs="Arial"/>
                <w:b/>
                <w:color w:val="000000" w:themeColor="text1"/>
                <w:sz w:val="20"/>
                <w:lang w:val="hr-HR"/>
              </w:rPr>
              <w:t>Usklađenje poreza na dobit</w:t>
            </w:r>
            <w:bookmarkEnd w:id="934"/>
          </w:p>
        </w:tc>
        <w:tc>
          <w:tcPr>
            <w:tcW w:w="985" w:type="pct"/>
            <w:tcBorders>
              <w:top w:val="nil"/>
              <w:left w:val="nil"/>
              <w:right w:val="nil"/>
            </w:tcBorders>
            <w:shd w:val="clear" w:color="auto" w:fill="auto"/>
            <w:vAlign w:val="bottom"/>
          </w:tcPr>
          <w:p w14:paraId="0737D7D6" w14:textId="77777777" w:rsidR="004E2F51" w:rsidRPr="004B4498" w:rsidRDefault="004E2F51" w:rsidP="00E032FC">
            <w:pPr>
              <w:pStyle w:val="TT"/>
              <w:jc w:val="right"/>
              <w:rPr>
                <w:rFonts w:cs="Arial"/>
                <w:color w:val="000000" w:themeColor="text1"/>
                <w:sz w:val="20"/>
                <w:lang w:val="hr-HR"/>
              </w:rPr>
            </w:pPr>
          </w:p>
        </w:tc>
        <w:tc>
          <w:tcPr>
            <w:tcW w:w="833" w:type="pct"/>
            <w:tcBorders>
              <w:top w:val="nil"/>
              <w:left w:val="nil"/>
              <w:right w:val="nil"/>
            </w:tcBorders>
            <w:shd w:val="clear" w:color="auto" w:fill="auto"/>
            <w:vAlign w:val="bottom"/>
          </w:tcPr>
          <w:p w14:paraId="045FCEFD" w14:textId="77777777" w:rsidR="004E2F51" w:rsidRPr="004B4498" w:rsidRDefault="004E2F51" w:rsidP="00E032FC">
            <w:pPr>
              <w:pStyle w:val="TT"/>
              <w:jc w:val="right"/>
              <w:rPr>
                <w:rFonts w:cs="Arial"/>
                <w:color w:val="000000" w:themeColor="text1"/>
                <w:sz w:val="20"/>
                <w:lang w:val="hr-HR"/>
              </w:rPr>
            </w:pPr>
          </w:p>
        </w:tc>
      </w:tr>
      <w:tr w:rsidR="004E2F51" w:rsidRPr="006C1A22" w14:paraId="64F78C5D" w14:textId="77777777" w:rsidTr="00E032FC">
        <w:tc>
          <w:tcPr>
            <w:tcW w:w="3182" w:type="pct"/>
          </w:tcPr>
          <w:p w14:paraId="5C29CDFD" w14:textId="77777777" w:rsidR="004E2F51" w:rsidRPr="004B4498" w:rsidRDefault="004E2F51" w:rsidP="00E032FC">
            <w:pPr>
              <w:pStyle w:val="TT"/>
              <w:spacing w:line="300" w:lineRule="exact"/>
              <w:rPr>
                <w:rFonts w:cs="Arial"/>
                <w:b/>
                <w:color w:val="000000" w:themeColor="text1"/>
                <w:sz w:val="20"/>
                <w:lang w:val="hr-HR"/>
              </w:rPr>
            </w:pPr>
            <w:bookmarkStart w:id="935" w:name="_Toc67327852"/>
            <w:r w:rsidRPr="004B4498">
              <w:rPr>
                <w:rFonts w:cs="Arial"/>
                <w:b/>
                <w:color w:val="000000" w:themeColor="text1"/>
                <w:sz w:val="20"/>
                <w:lang w:val="hr-HR"/>
              </w:rPr>
              <w:t>Dobit prije oporezivanja</w:t>
            </w:r>
            <w:bookmarkEnd w:id="935"/>
            <w:r w:rsidRPr="004B4498">
              <w:rPr>
                <w:rFonts w:cs="Arial"/>
                <w:b/>
                <w:color w:val="000000" w:themeColor="text1"/>
                <w:sz w:val="20"/>
                <w:lang w:val="hr-HR"/>
              </w:rPr>
              <w:t xml:space="preserve"> </w:t>
            </w:r>
          </w:p>
        </w:tc>
        <w:tc>
          <w:tcPr>
            <w:tcW w:w="985" w:type="pct"/>
            <w:tcBorders>
              <w:top w:val="nil"/>
              <w:left w:val="nil"/>
              <w:right w:val="nil"/>
            </w:tcBorders>
            <w:shd w:val="clear" w:color="auto" w:fill="auto"/>
            <w:vAlign w:val="bottom"/>
          </w:tcPr>
          <w:p w14:paraId="4AD04E0F" w14:textId="77777777" w:rsidR="004E2F51" w:rsidRPr="004B4498" w:rsidRDefault="004E2F51" w:rsidP="00E032FC">
            <w:pPr>
              <w:pStyle w:val="TT"/>
              <w:jc w:val="right"/>
              <w:rPr>
                <w:rFonts w:cs="Arial"/>
                <w:b/>
                <w:color w:val="000000" w:themeColor="text1"/>
                <w:sz w:val="20"/>
                <w:lang w:val="hr-HR"/>
              </w:rPr>
            </w:pPr>
            <w:r w:rsidRPr="00276333">
              <w:rPr>
                <w:rFonts w:cs="Arial"/>
                <w:b/>
                <w:color w:val="000000" w:themeColor="text1"/>
                <w:sz w:val="20"/>
                <w:lang w:val="hr-HR"/>
              </w:rPr>
              <w:t>190.130</w:t>
            </w:r>
          </w:p>
        </w:tc>
        <w:tc>
          <w:tcPr>
            <w:tcW w:w="833" w:type="pct"/>
            <w:tcBorders>
              <w:top w:val="nil"/>
              <w:left w:val="nil"/>
              <w:right w:val="nil"/>
            </w:tcBorders>
            <w:shd w:val="clear" w:color="auto" w:fill="auto"/>
            <w:vAlign w:val="bottom"/>
          </w:tcPr>
          <w:p w14:paraId="344F658C" w14:textId="77777777" w:rsidR="004E2F51" w:rsidRPr="004B4498" w:rsidRDefault="004E2F51" w:rsidP="00E032FC">
            <w:pPr>
              <w:pStyle w:val="TT"/>
              <w:jc w:val="right"/>
              <w:rPr>
                <w:rFonts w:cs="Arial"/>
                <w:b/>
                <w:color w:val="000000" w:themeColor="text1"/>
                <w:sz w:val="20"/>
                <w:lang w:val="hr-HR"/>
              </w:rPr>
            </w:pPr>
            <w:bookmarkStart w:id="936" w:name="_Toc67327853"/>
            <w:r w:rsidRPr="0046584E">
              <w:rPr>
                <w:rFonts w:cs="Arial"/>
                <w:b/>
                <w:color w:val="000000" w:themeColor="text1"/>
                <w:sz w:val="20"/>
                <w:lang w:val="hr-HR"/>
              </w:rPr>
              <w:t>188.399</w:t>
            </w:r>
            <w:bookmarkEnd w:id="936"/>
          </w:p>
        </w:tc>
      </w:tr>
      <w:tr w:rsidR="004E2F51" w:rsidRPr="006C1A22" w14:paraId="4AFE5AC0" w14:textId="77777777" w:rsidTr="00E032FC">
        <w:tc>
          <w:tcPr>
            <w:tcW w:w="3182" w:type="pct"/>
          </w:tcPr>
          <w:p w14:paraId="07D0CA31" w14:textId="77777777" w:rsidR="004E2F51" w:rsidRPr="004B4498" w:rsidRDefault="004E2F51" w:rsidP="00E032FC">
            <w:pPr>
              <w:pStyle w:val="TT"/>
              <w:spacing w:line="300" w:lineRule="exact"/>
              <w:rPr>
                <w:rFonts w:cs="Arial"/>
                <w:color w:val="000000" w:themeColor="text1"/>
                <w:sz w:val="20"/>
                <w:lang w:val="hr-HR"/>
              </w:rPr>
            </w:pPr>
            <w:bookmarkStart w:id="937" w:name="_Toc67327855"/>
            <w:r w:rsidRPr="004B4498">
              <w:rPr>
                <w:rFonts w:cs="Arial"/>
                <w:color w:val="000000" w:themeColor="text1"/>
                <w:sz w:val="20"/>
                <w:lang w:val="hr-HR"/>
              </w:rPr>
              <w:t>Dobit Banke koja nije obveznik poreza na dobit</w:t>
            </w:r>
            <w:bookmarkEnd w:id="937"/>
          </w:p>
        </w:tc>
        <w:tc>
          <w:tcPr>
            <w:tcW w:w="985" w:type="pct"/>
            <w:tcBorders>
              <w:left w:val="nil"/>
              <w:bottom w:val="single" w:sz="4" w:space="0" w:color="auto"/>
              <w:right w:val="nil"/>
            </w:tcBorders>
            <w:shd w:val="clear" w:color="auto" w:fill="auto"/>
            <w:vAlign w:val="bottom"/>
          </w:tcPr>
          <w:p w14:paraId="6FE97DAF" w14:textId="77777777" w:rsidR="004E2F51" w:rsidRPr="004B4498" w:rsidRDefault="004E2F51" w:rsidP="00E032FC">
            <w:pPr>
              <w:pStyle w:val="TT"/>
              <w:jc w:val="right"/>
              <w:rPr>
                <w:rFonts w:cs="Arial"/>
                <w:color w:val="000000" w:themeColor="text1"/>
                <w:sz w:val="20"/>
                <w:lang w:val="hr-HR"/>
              </w:rPr>
            </w:pPr>
            <w:r w:rsidRPr="00276333">
              <w:rPr>
                <w:rFonts w:cs="Arial"/>
                <w:color w:val="000000" w:themeColor="text1"/>
                <w:sz w:val="20"/>
                <w:lang w:val="hr-HR"/>
              </w:rPr>
              <w:t>(186.173)</w:t>
            </w:r>
          </w:p>
        </w:tc>
        <w:tc>
          <w:tcPr>
            <w:tcW w:w="833" w:type="pct"/>
            <w:tcBorders>
              <w:left w:val="nil"/>
              <w:bottom w:val="single" w:sz="4" w:space="0" w:color="auto"/>
              <w:right w:val="nil"/>
            </w:tcBorders>
            <w:shd w:val="clear" w:color="auto" w:fill="auto"/>
            <w:vAlign w:val="bottom"/>
          </w:tcPr>
          <w:p w14:paraId="6B879224" w14:textId="77777777" w:rsidR="004E2F51" w:rsidRPr="004B4498" w:rsidRDefault="004E2F51" w:rsidP="00E032FC">
            <w:pPr>
              <w:pStyle w:val="TT"/>
              <w:jc w:val="right"/>
              <w:rPr>
                <w:rFonts w:cs="Arial"/>
                <w:color w:val="000000" w:themeColor="text1"/>
                <w:sz w:val="20"/>
                <w:lang w:val="hr-HR"/>
              </w:rPr>
            </w:pPr>
            <w:bookmarkStart w:id="938" w:name="_Toc67327856"/>
            <w:r w:rsidRPr="0046584E">
              <w:rPr>
                <w:rFonts w:cs="Arial"/>
                <w:color w:val="000000" w:themeColor="text1"/>
                <w:sz w:val="20"/>
                <w:lang w:val="hr-HR"/>
              </w:rPr>
              <w:t>(187.082)</w:t>
            </w:r>
            <w:bookmarkEnd w:id="938"/>
          </w:p>
        </w:tc>
      </w:tr>
      <w:tr w:rsidR="004E2F51" w:rsidRPr="006C1A22" w14:paraId="70F8EDA6" w14:textId="77777777" w:rsidTr="00E032FC">
        <w:tc>
          <w:tcPr>
            <w:tcW w:w="3182" w:type="pct"/>
          </w:tcPr>
          <w:p w14:paraId="1AEC5257" w14:textId="77777777" w:rsidR="004E2F51" w:rsidRPr="004B4498" w:rsidRDefault="004E2F51" w:rsidP="00E032FC">
            <w:pPr>
              <w:pStyle w:val="TT"/>
              <w:spacing w:line="300" w:lineRule="exact"/>
              <w:rPr>
                <w:rFonts w:cs="Arial"/>
                <w:b/>
                <w:color w:val="000000" w:themeColor="text1"/>
                <w:sz w:val="20"/>
                <w:lang w:val="hr-HR"/>
              </w:rPr>
            </w:pPr>
            <w:bookmarkStart w:id="939" w:name="_Toc67327858"/>
            <w:r w:rsidRPr="004B4498">
              <w:rPr>
                <w:rFonts w:cs="Arial"/>
                <w:b/>
                <w:color w:val="000000" w:themeColor="text1"/>
                <w:sz w:val="20"/>
                <w:lang w:val="hr-HR"/>
              </w:rPr>
              <w:t>Dobit prije oporezivanja obveznika poreza na dobit</w:t>
            </w:r>
            <w:bookmarkEnd w:id="939"/>
          </w:p>
        </w:tc>
        <w:tc>
          <w:tcPr>
            <w:tcW w:w="985" w:type="pct"/>
            <w:tcBorders>
              <w:top w:val="single" w:sz="4" w:space="0" w:color="auto"/>
              <w:left w:val="nil"/>
              <w:bottom w:val="nil"/>
              <w:right w:val="nil"/>
            </w:tcBorders>
            <w:shd w:val="clear" w:color="auto" w:fill="auto"/>
            <w:vAlign w:val="bottom"/>
          </w:tcPr>
          <w:p w14:paraId="771F9E3B" w14:textId="77777777" w:rsidR="004E2F51" w:rsidRPr="004B4498" w:rsidRDefault="004E2F51" w:rsidP="00E032FC">
            <w:pPr>
              <w:pStyle w:val="TT"/>
              <w:jc w:val="right"/>
              <w:rPr>
                <w:rFonts w:cs="Arial"/>
                <w:b/>
                <w:color w:val="000000" w:themeColor="text1"/>
                <w:sz w:val="20"/>
                <w:lang w:val="hr-HR"/>
              </w:rPr>
            </w:pPr>
            <w:r w:rsidRPr="00276333">
              <w:rPr>
                <w:rFonts w:cs="Arial"/>
                <w:b/>
                <w:color w:val="000000" w:themeColor="text1"/>
                <w:sz w:val="20"/>
                <w:lang w:val="hr-HR"/>
              </w:rPr>
              <w:t>3.957</w:t>
            </w:r>
          </w:p>
        </w:tc>
        <w:tc>
          <w:tcPr>
            <w:tcW w:w="833" w:type="pct"/>
            <w:tcBorders>
              <w:top w:val="single" w:sz="4" w:space="0" w:color="auto"/>
              <w:left w:val="nil"/>
              <w:bottom w:val="nil"/>
              <w:right w:val="nil"/>
            </w:tcBorders>
            <w:shd w:val="clear" w:color="auto" w:fill="auto"/>
            <w:vAlign w:val="bottom"/>
          </w:tcPr>
          <w:p w14:paraId="13063A58" w14:textId="77777777" w:rsidR="004E2F51" w:rsidRPr="004B4498" w:rsidRDefault="004E2F51" w:rsidP="00E032FC">
            <w:pPr>
              <w:pStyle w:val="TT"/>
              <w:jc w:val="right"/>
              <w:rPr>
                <w:rFonts w:cs="Arial"/>
                <w:b/>
                <w:color w:val="000000" w:themeColor="text1"/>
                <w:sz w:val="20"/>
                <w:lang w:val="hr-HR"/>
              </w:rPr>
            </w:pPr>
            <w:bookmarkStart w:id="940" w:name="_Toc67327859"/>
            <w:r w:rsidRPr="0046584E">
              <w:rPr>
                <w:rFonts w:cs="Arial"/>
                <w:b/>
                <w:color w:val="000000" w:themeColor="text1"/>
                <w:sz w:val="20"/>
                <w:lang w:val="hr-HR"/>
              </w:rPr>
              <w:t>1.317</w:t>
            </w:r>
            <w:bookmarkEnd w:id="940"/>
          </w:p>
        </w:tc>
      </w:tr>
      <w:tr w:rsidR="004E2F51" w:rsidRPr="006C1A22" w14:paraId="48CAE42C" w14:textId="77777777" w:rsidTr="00E032FC">
        <w:tc>
          <w:tcPr>
            <w:tcW w:w="3182" w:type="pct"/>
          </w:tcPr>
          <w:p w14:paraId="18C1F58A" w14:textId="77777777" w:rsidR="004E2F51" w:rsidRPr="004B4498" w:rsidRDefault="004E2F51" w:rsidP="00E032FC">
            <w:pPr>
              <w:pStyle w:val="Tot"/>
              <w:spacing w:line="300" w:lineRule="exact"/>
              <w:rPr>
                <w:rFonts w:cs="Arial"/>
                <w:bCs/>
                <w:color w:val="000000" w:themeColor="text1"/>
                <w:sz w:val="20"/>
                <w:lang w:val="hr-HR"/>
              </w:rPr>
            </w:pPr>
            <w:bookmarkStart w:id="941" w:name="_Toc67327861"/>
            <w:r w:rsidRPr="004B4498">
              <w:rPr>
                <w:rFonts w:cs="Arial"/>
                <w:color w:val="000000" w:themeColor="text1"/>
                <w:sz w:val="20"/>
                <w:lang w:val="hr-HR"/>
              </w:rPr>
              <w:t>Porez na dobit po stopi 18%</w:t>
            </w:r>
            <w:bookmarkEnd w:id="941"/>
          </w:p>
        </w:tc>
        <w:tc>
          <w:tcPr>
            <w:tcW w:w="985" w:type="pct"/>
            <w:tcBorders>
              <w:top w:val="nil"/>
              <w:left w:val="nil"/>
              <w:bottom w:val="nil"/>
              <w:right w:val="nil"/>
            </w:tcBorders>
            <w:shd w:val="clear" w:color="auto" w:fill="auto"/>
            <w:vAlign w:val="bottom"/>
          </w:tcPr>
          <w:p w14:paraId="63F568E7" w14:textId="77777777" w:rsidR="004E2F51" w:rsidRPr="004B4498" w:rsidRDefault="004E2F51" w:rsidP="00E032FC">
            <w:pPr>
              <w:pStyle w:val="Tot"/>
              <w:jc w:val="right"/>
              <w:rPr>
                <w:rFonts w:cs="Arial"/>
                <w:bCs/>
                <w:color w:val="000000" w:themeColor="text1"/>
                <w:sz w:val="20"/>
                <w:lang w:val="hr-HR"/>
              </w:rPr>
            </w:pPr>
            <w:r w:rsidRPr="00276333">
              <w:rPr>
                <w:rFonts w:cs="Arial"/>
                <w:bCs/>
                <w:color w:val="000000" w:themeColor="text1"/>
                <w:sz w:val="20"/>
                <w:lang w:val="hr-HR"/>
              </w:rPr>
              <w:t>(628)</w:t>
            </w:r>
          </w:p>
        </w:tc>
        <w:tc>
          <w:tcPr>
            <w:tcW w:w="833" w:type="pct"/>
            <w:tcBorders>
              <w:top w:val="nil"/>
              <w:left w:val="nil"/>
              <w:bottom w:val="nil"/>
              <w:right w:val="nil"/>
            </w:tcBorders>
            <w:shd w:val="clear" w:color="auto" w:fill="auto"/>
            <w:vAlign w:val="bottom"/>
          </w:tcPr>
          <w:p w14:paraId="58C6417B" w14:textId="77777777" w:rsidR="004E2F51" w:rsidRPr="004B4498" w:rsidRDefault="004E2F51" w:rsidP="00E032FC">
            <w:pPr>
              <w:pStyle w:val="Tot"/>
              <w:jc w:val="right"/>
              <w:rPr>
                <w:rFonts w:cs="Arial"/>
                <w:color w:val="000000" w:themeColor="text1"/>
                <w:sz w:val="20"/>
                <w:lang w:val="hr-HR"/>
              </w:rPr>
            </w:pPr>
            <w:bookmarkStart w:id="942" w:name="_Toc67327862"/>
            <w:r w:rsidRPr="0046584E">
              <w:rPr>
                <w:rFonts w:cs="Arial"/>
                <w:bCs/>
                <w:color w:val="000000" w:themeColor="text1"/>
                <w:sz w:val="20"/>
                <w:lang w:val="hr-HR"/>
              </w:rPr>
              <w:t>(174)</w:t>
            </w:r>
            <w:bookmarkEnd w:id="942"/>
          </w:p>
        </w:tc>
      </w:tr>
      <w:tr w:rsidR="004E2F51" w:rsidRPr="006C1A22" w14:paraId="3CC37674" w14:textId="77777777" w:rsidTr="00E032FC">
        <w:trPr>
          <w:trHeight w:val="70"/>
        </w:trPr>
        <w:tc>
          <w:tcPr>
            <w:tcW w:w="3182" w:type="pct"/>
          </w:tcPr>
          <w:p w14:paraId="2AA059AE" w14:textId="77777777" w:rsidR="004E2F51" w:rsidRPr="004B4498" w:rsidRDefault="004E2F51" w:rsidP="00E032FC">
            <w:pPr>
              <w:pStyle w:val="Tot"/>
              <w:spacing w:line="300" w:lineRule="exact"/>
              <w:rPr>
                <w:rFonts w:cs="Arial"/>
                <w:bCs/>
                <w:color w:val="000000" w:themeColor="text1"/>
                <w:sz w:val="20"/>
                <w:lang w:val="hr-HR"/>
              </w:rPr>
            </w:pPr>
            <w:r w:rsidRPr="004B4498">
              <w:rPr>
                <w:rFonts w:cs="Arial"/>
                <w:color w:val="000000" w:themeColor="text1"/>
                <w:sz w:val="20"/>
                <w:lang w:val="hr-HR"/>
              </w:rPr>
              <w:t xml:space="preserve">Porez na dobit po stopi </w:t>
            </w:r>
            <w:r w:rsidRPr="00276333">
              <w:rPr>
                <w:rFonts w:cs="Arial"/>
                <w:color w:val="000000" w:themeColor="text1"/>
                <w:sz w:val="20"/>
                <w:lang w:val="hr-HR"/>
              </w:rPr>
              <w:t>10%</w:t>
            </w:r>
          </w:p>
        </w:tc>
        <w:tc>
          <w:tcPr>
            <w:tcW w:w="985" w:type="pct"/>
            <w:tcBorders>
              <w:top w:val="nil"/>
              <w:left w:val="nil"/>
              <w:bottom w:val="nil"/>
              <w:right w:val="nil"/>
            </w:tcBorders>
            <w:shd w:val="clear" w:color="auto" w:fill="auto"/>
            <w:vAlign w:val="bottom"/>
          </w:tcPr>
          <w:p w14:paraId="649D3F0D" w14:textId="77777777" w:rsidR="004E2F51" w:rsidRPr="004B4498" w:rsidRDefault="004E2F51" w:rsidP="00E032FC">
            <w:pPr>
              <w:pStyle w:val="Tot"/>
              <w:jc w:val="right"/>
              <w:rPr>
                <w:rFonts w:cs="Arial"/>
                <w:bCs/>
                <w:color w:val="000000" w:themeColor="text1"/>
                <w:sz w:val="20"/>
                <w:lang w:val="hr-HR"/>
              </w:rPr>
            </w:pPr>
            <w:r w:rsidRPr="00276333">
              <w:rPr>
                <w:rFonts w:cs="Arial"/>
                <w:bCs/>
                <w:color w:val="000000" w:themeColor="text1"/>
                <w:sz w:val="20"/>
                <w:lang w:val="hr-HR"/>
              </w:rPr>
              <w:t>(47)</w:t>
            </w:r>
          </w:p>
        </w:tc>
        <w:tc>
          <w:tcPr>
            <w:tcW w:w="833" w:type="pct"/>
            <w:tcBorders>
              <w:top w:val="nil"/>
              <w:left w:val="nil"/>
              <w:bottom w:val="nil"/>
              <w:right w:val="nil"/>
            </w:tcBorders>
            <w:shd w:val="clear" w:color="auto" w:fill="auto"/>
            <w:vAlign w:val="bottom"/>
          </w:tcPr>
          <w:p w14:paraId="7F88C390" w14:textId="77777777" w:rsidR="004E2F51" w:rsidRPr="004B4498" w:rsidRDefault="004E2F51" w:rsidP="00E032FC">
            <w:pPr>
              <w:pStyle w:val="Tot"/>
              <w:jc w:val="right"/>
              <w:rPr>
                <w:rFonts w:cs="Arial"/>
                <w:color w:val="000000" w:themeColor="text1"/>
                <w:sz w:val="20"/>
                <w:lang w:val="hr-HR"/>
              </w:rPr>
            </w:pPr>
            <w:bookmarkStart w:id="943" w:name="_Toc67327865"/>
            <w:r w:rsidRPr="0046584E">
              <w:rPr>
                <w:rFonts w:cs="Arial"/>
                <w:bCs/>
                <w:color w:val="000000" w:themeColor="text1"/>
                <w:sz w:val="20"/>
                <w:lang w:val="hr-HR"/>
              </w:rPr>
              <w:t>(35)</w:t>
            </w:r>
            <w:bookmarkEnd w:id="943"/>
          </w:p>
        </w:tc>
      </w:tr>
      <w:tr w:rsidR="004E2F51" w:rsidRPr="006C1A22" w14:paraId="39A8558B" w14:textId="77777777" w:rsidTr="00E032FC">
        <w:tc>
          <w:tcPr>
            <w:tcW w:w="3182" w:type="pct"/>
          </w:tcPr>
          <w:p w14:paraId="31A425D2" w14:textId="77777777" w:rsidR="004E2F51" w:rsidRPr="004B4498" w:rsidRDefault="004E2F51" w:rsidP="00E032FC">
            <w:pPr>
              <w:pStyle w:val="Tot"/>
              <w:spacing w:line="300" w:lineRule="exact"/>
              <w:rPr>
                <w:rFonts w:cs="Arial"/>
                <w:bCs/>
                <w:color w:val="000000" w:themeColor="text1"/>
                <w:sz w:val="20"/>
                <w:lang w:val="hr-HR"/>
              </w:rPr>
            </w:pPr>
            <w:bookmarkStart w:id="944" w:name="_Toc67327867"/>
            <w:r w:rsidRPr="004B4498">
              <w:rPr>
                <w:rFonts w:cs="Arial"/>
                <w:bCs/>
                <w:color w:val="000000" w:themeColor="text1"/>
                <w:sz w:val="20"/>
                <w:lang w:val="hr-HR"/>
              </w:rPr>
              <w:t>Porezno nepriznati troškovi</w:t>
            </w:r>
            <w:bookmarkEnd w:id="944"/>
          </w:p>
        </w:tc>
        <w:tc>
          <w:tcPr>
            <w:tcW w:w="985" w:type="pct"/>
            <w:tcBorders>
              <w:top w:val="nil"/>
              <w:left w:val="nil"/>
              <w:bottom w:val="nil"/>
              <w:right w:val="nil"/>
            </w:tcBorders>
            <w:shd w:val="clear" w:color="auto" w:fill="auto"/>
            <w:vAlign w:val="bottom"/>
          </w:tcPr>
          <w:p w14:paraId="014BAF6D" w14:textId="77777777" w:rsidR="004E2F51" w:rsidRPr="004B4498" w:rsidRDefault="004E2F51" w:rsidP="00E032FC">
            <w:pPr>
              <w:pStyle w:val="Tot"/>
              <w:jc w:val="right"/>
              <w:rPr>
                <w:rFonts w:cs="Arial"/>
                <w:bCs/>
                <w:color w:val="000000" w:themeColor="text1"/>
                <w:sz w:val="20"/>
                <w:lang w:val="hr-HR"/>
              </w:rPr>
            </w:pPr>
            <w:r>
              <w:rPr>
                <w:rFonts w:cs="Arial"/>
                <w:bCs/>
                <w:color w:val="000000" w:themeColor="text1"/>
                <w:sz w:val="20"/>
                <w:lang w:val="hr-HR"/>
              </w:rPr>
              <w:t>3</w:t>
            </w:r>
          </w:p>
        </w:tc>
        <w:tc>
          <w:tcPr>
            <w:tcW w:w="833" w:type="pct"/>
            <w:tcBorders>
              <w:top w:val="nil"/>
              <w:left w:val="nil"/>
              <w:bottom w:val="nil"/>
              <w:right w:val="nil"/>
            </w:tcBorders>
            <w:shd w:val="clear" w:color="auto" w:fill="auto"/>
            <w:vAlign w:val="bottom"/>
          </w:tcPr>
          <w:p w14:paraId="4F959CAC" w14:textId="77777777" w:rsidR="004E2F51" w:rsidRPr="004B4498" w:rsidRDefault="004E2F51" w:rsidP="00E032FC">
            <w:pPr>
              <w:pStyle w:val="Tot"/>
              <w:jc w:val="right"/>
              <w:rPr>
                <w:rFonts w:cs="Arial"/>
                <w:bCs/>
                <w:color w:val="000000" w:themeColor="text1"/>
                <w:sz w:val="20"/>
                <w:lang w:val="hr-HR"/>
              </w:rPr>
            </w:pPr>
            <w:bookmarkStart w:id="945" w:name="_Toc67327868"/>
            <w:r w:rsidRPr="0046584E">
              <w:rPr>
                <w:rFonts w:cs="Arial"/>
                <w:bCs/>
                <w:color w:val="000000" w:themeColor="text1"/>
                <w:sz w:val="20"/>
                <w:lang w:val="hr-HR"/>
              </w:rPr>
              <w:t>(5)</w:t>
            </w:r>
            <w:bookmarkEnd w:id="945"/>
          </w:p>
        </w:tc>
      </w:tr>
      <w:tr w:rsidR="004E2F51" w:rsidRPr="006C1A22" w14:paraId="0D336CDF" w14:textId="77777777" w:rsidTr="00E032FC">
        <w:tblPrEx>
          <w:tblCellMar>
            <w:left w:w="119" w:type="dxa"/>
            <w:right w:w="119" w:type="dxa"/>
          </w:tblCellMar>
        </w:tblPrEx>
        <w:tc>
          <w:tcPr>
            <w:tcW w:w="3182" w:type="pct"/>
            <w:vAlign w:val="bottom"/>
          </w:tcPr>
          <w:p w14:paraId="09E67962" w14:textId="77777777" w:rsidR="004E2F51" w:rsidRPr="004B4498" w:rsidRDefault="004E2F51" w:rsidP="00E032FC">
            <w:pPr>
              <w:pStyle w:val="Thick"/>
              <w:keepNext w:val="0"/>
              <w:keepLines w:val="0"/>
              <w:spacing w:line="300" w:lineRule="exact"/>
              <w:rPr>
                <w:rFonts w:cs="Arial"/>
                <w:color w:val="000000" w:themeColor="text1"/>
                <w:sz w:val="20"/>
                <w:u w:val="none"/>
                <w:lang w:val="hr-HR"/>
              </w:rPr>
            </w:pPr>
            <w:r w:rsidRPr="004B4498">
              <w:rPr>
                <w:rFonts w:cs="Arial"/>
                <w:color w:val="000000" w:themeColor="text1"/>
                <w:sz w:val="20"/>
                <w:u w:val="none"/>
                <w:lang w:val="hr-HR"/>
              </w:rPr>
              <w:t>Ukupan porez na dobit</w:t>
            </w:r>
          </w:p>
        </w:tc>
        <w:tc>
          <w:tcPr>
            <w:tcW w:w="985" w:type="pct"/>
            <w:tcBorders>
              <w:top w:val="single" w:sz="4" w:space="0" w:color="auto"/>
              <w:left w:val="nil"/>
              <w:bottom w:val="single" w:sz="12" w:space="0" w:color="auto"/>
              <w:right w:val="nil"/>
            </w:tcBorders>
            <w:shd w:val="clear" w:color="auto" w:fill="auto"/>
            <w:vAlign w:val="bottom"/>
          </w:tcPr>
          <w:p w14:paraId="69CB6DCE" w14:textId="77777777" w:rsidR="004E2F51" w:rsidRPr="004B4498" w:rsidRDefault="004E2F51" w:rsidP="00E032FC">
            <w:pPr>
              <w:pStyle w:val="TT"/>
              <w:jc w:val="right"/>
              <w:rPr>
                <w:rFonts w:cs="Arial"/>
                <w:b/>
                <w:color w:val="000000" w:themeColor="text1"/>
                <w:sz w:val="20"/>
                <w:lang w:val="hr-HR"/>
              </w:rPr>
            </w:pPr>
            <w:r>
              <w:rPr>
                <w:rFonts w:cs="Arial"/>
                <w:b/>
                <w:color w:val="000000" w:themeColor="text1"/>
                <w:sz w:val="20"/>
                <w:lang w:val="hr-HR"/>
              </w:rPr>
              <w:t>(672)</w:t>
            </w:r>
          </w:p>
        </w:tc>
        <w:tc>
          <w:tcPr>
            <w:tcW w:w="833" w:type="pct"/>
            <w:tcBorders>
              <w:top w:val="single" w:sz="4" w:space="0" w:color="auto"/>
              <w:left w:val="nil"/>
              <w:bottom w:val="single" w:sz="12" w:space="0" w:color="auto"/>
              <w:right w:val="nil"/>
            </w:tcBorders>
            <w:shd w:val="clear" w:color="auto" w:fill="auto"/>
            <w:vAlign w:val="bottom"/>
          </w:tcPr>
          <w:p w14:paraId="3C40636F" w14:textId="77777777" w:rsidR="004E2F51" w:rsidRPr="004B4498" w:rsidRDefault="004E2F51" w:rsidP="00E032FC">
            <w:pPr>
              <w:pStyle w:val="TT"/>
              <w:jc w:val="right"/>
              <w:rPr>
                <w:rFonts w:cs="Arial"/>
                <w:b/>
                <w:color w:val="000000" w:themeColor="text1"/>
                <w:sz w:val="20"/>
                <w:lang w:val="hr-HR"/>
              </w:rPr>
            </w:pPr>
            <w:bookmarkStart w:id="946" w:name="_Toc67327870"/>
            <w:r w:rsidRPr="0046584E">
              <w:rPr>
                <w:rFonts w:cs="Arial"/>
                <w:b/>
                <w:color w:val="000000" w:themeColor="text1"/>
                <w:sz w:val="20"/>
                <w:lang w:val="hr-HR"/>
              </w:rPr>
              <w:t>(214)</w:t>
            </w:r>
            <w:bookmarkEnd w:id="946"/>
          </w:p>
        </w:tc>
      </w:tr>
      <w:bookmarkEnd w:id="924"/>
    </w:tbl>
    <w:p w14:paraId="08E46ECC" w14:textId="77777777" w:rsidR="004E2F51" w:rsidRPr="004B4498" w:rsidRDefault="004E2F51" w:rsidP="004E2F51">
      <w:pPr>
        <w:pStyle w:val="T1"/>
        <w:spacing w:before="0" w:after="0" w:line="240" w:lineRule="auto"/>
        <w:rPr>
          <w:rFonts w:cs="Arial"/>
          <w:b w:val="0"/>
          <w:color w:val="000000" w:themeColor="text1"/>
          <w:sz w:val="20"/>
          <w:lang w:val="hr-HR"/>
        </w:rPr>
      </w:pPr>
    </w:p>
    <w:p w14:paraId="3E7B3C09" w14:textId="77777777" w:rsidR="004E2F51" w:rsidRPr="004B4498" w:rsidRDefault="004E2F51" w:rsidP="004E2F51">
      <w:pPr>
        <w:pStyle w:val="T1"/>
        <w:spacing w:before="0" w:after="0" w:line="240" w:lineRule="auto"/>
        <w:rPr>
          <w:rFonts w:cs="Arial"/>
          <w:b w:val="0"/>
          <w:color w:val="000000" w:themeColor="text1"/>
          <w:sz w:val="20"/>
          <w:lang w:val="hr-HR"/>
        </w:rPr>
      </w:pPr>
    </w:p>
    <w:p w14:paraId="18BAFA64" w14:textId="77777777" w:rsidR="004E2F51" w:rsidRPr="004B4498" w:rsidRDefault="004E2F51" w:rsidP="004E2F51">
      <w:pPr>
        <w:pStyle w:val="T1"/>
        <w:spacing w:before="0" w:after="0" w:line="240" w:lineRule="auto"/>
        <w:rPr>
          <w:rFonts w:cs="Arial"/>
          <w:b w:val="0"/>
          <w:color w:val="000000" w:themeColor="text1"/>
          <w:sz w:val="20"/>
          <w:lang w:val="hr-HR"/>
        </w:rPr>
        <w:sectPr w:rsidR="004E2F51" w:rsidRPr="004B4498" w:rsidSect="00623DBA">
          <w:footerReference w:type="default" r:id="rId118"/>
          <w:pgSz w:w="11907" w:h="16840" w:code="9"/>
          <w:pgMar w:top="1418" w:right="1134" w:bottom="1134" w:left="1418" w:header="851" w:footer="851" w:gutter="0"/>
          <w:cols w:space="720"/>
          <w:noEndnote/>
        </w:sectPr>
      </w:pPr>
      <w:bookmarkStart w:id="947" w:name="_Hlk99018854"/>
      <w:r w:rsidRPr="004B4498">
        <w:rPr>
          <w:rFonts w:cs="Arial"/>
          <w:b w:val="0"/>
          <w:color w:val="000000" w:themeColor="text1"/>
          <w:sz w:val="20"/>
          <w:lang w:val="hr-HR"/>
        </w:rPr>
        <w:t xml:space="preserve">Utvrđena porezna obveza podložna je različitom tumačenju u pogledu ocjene prihvatljivosti troškova i obuhvata prihoda za potrebe oporezivanja. Grupa je poduzela niz aktivnosti kako bi utvrđena tekuća porezna obveza bila u cijelosti usklađena </w:t>
      </w:r>
      <w:bookmarkStart w:id="948" w:name="_Hlk99018748"/>
      <w:r w:rsidRPr="004B4498">
        <w:rPr>
          <w:rFonts w:cs="Arial"/>
          <w:b w:val="0"/>
          <w:color w:val="000000" w:themeColor="text1"/>
          <w:sz w:val="20"/>
          <w:lang w:val="hr-HR"/>
        </w:rPr>
        <w:t>s Zakonom o porezu na dobit</w:t>
      </w:r>
      <w:bookmarkEnd w:id="948"/>
      <w:r w:rsidRPr="004B4498">
        <w:rPr>
          <w:rFonts w:cs="Arial"/>
          <w:b w:val="0"/>
          <w:color w:val="000000" w:themeColor="text1"/>
          <w:sz w:val="20"/>
          <w:lang w:val="hr-HR"/>
        </w:rPr>
        <w:t>.</w:t>
      </w:r>
    </w:p>
    <w:bookmarkEnd w:id="947"/>
    <w:p w14:paraId="58248EFD" w14:textId="77777777" w:rsidR="004E2F51" w:rsidRPr="004B4498" w:rsidRDefault="004E2F51" w:rsidP="004E2F51">
      <w:pPr>
        <w:pStyle w:val="T1"/>
        <w:spacing w:before="0" w:after="0" w:line="240" w:lineRule="auto"/>
        <w:rPr>
          <w:rFonts w:cs="Arial"/>
          <w:color w:val="000000" w:themeColor="text1"/>
          <w:sz w:val="20"/>
          <w:lang w:val="hr-HR"/>
        </w:rPr>
      </w:pPr>
    </w:p>
    <w:p w14:paraId="0D8E76C0" w14:textId="77777777" w:rsidR="004E2F51" w:rsidRPr="004B4498" w:rsidRDefault="004E2F51" w:rsidP="004E2F51">
      <w:pPr>
        <w:pStyle w:val="T1"/>
        <w:tabs>
          <w:tab w:val="left" w:pos="426"/>
        </w:tabs>
        <w:spacing w:before="0" w:after="0" w:line="240" w:lineRule="auto"/>
        <w:rPr>
          <w:rFonts w:cs="Arial"/>
          <w:color w:val="000000" w:themeColor="text1"/>
          <w:sz w:val="20"/>
          <w:lang w:val="hr-HR"/>
        </w:rPr>
      </w:pPr>
      <w:r w:rsidRPr="004B4498">
        <w:rPr>
          <w:rFonts w:cs="Arial"/>
          <w:color w:val="000000" w:themeColor="text1"/>
          <w:sz w:val="20"/>
          <w:lang w:val="hr-HR"/>
        </w:rPr>
        <w:t>12.</w:t>
      </w:r>
      <w:r w:rsidRPr="004B4498">
        <w:rPr>
          <w:rFonts w:cs="Arial"/>
          <w:color w:val="000000" w:themeColor="text1"/>
          <w:sz w:val="20"/>
          <w:lang w:val="hr-HR"/>
        </w:rPr>
        <w:tab/>
        <w:t>Novčana sredstva i računi kod banaka</w:t>
      </w:r>
    </w:p>
    <w:p w14:paraId="2D6E5A60" w14:textId="77777777" w:rsidR="004E2F51" w:rsidRPr="004B4498" w:rsidRDefault="004E2F51" w:rsidP="004E2F51">
      <w:pPr>
        <w:pStyle w:val="T1"/>
        <w:spacing w:before="0" w:after="0" w:line="240" w:lineRule="auto"/>
        <w:rPr>
          <w:rFonts w:cs="Arial"/>
          <w:color w:val="000000" w:themeColor="text1"/>
          <w:sz w:val="20"/>
          <w:lang w:val="hr-HR"/>
        </w:rPr>
      </w:pPr>
    </w:p>
    <w:tbl>
      <w:tblPr>
        <w:tblW w:w="5076" w:type="pct"/>
        <w:tblInd w:w="-142" w:type="dxa"/>
        <w:tblLayout w:type="fixed"/>
        <w:tblLook w:val="0000" w:firstRow="0" w:lastRow="0" w:firstColumn="0" w:lastColumn="0" w:noHBand="0" w:noVBand="0"/>
      </w:tblPr>
      <w:tblGrid>
        <w:gridCol w:w="3495"/>
        <w:gridCol w:w="1609"/>
        <w:gridCol w:w="1582"/>
        <w:gridCol w:w="1394"/>
        <w:gridCol w:w="1417"/>
      </w:tblGrid>
      <w:tr w:rsidR="004E2F51" w:rsidRPr="00B44A61" w14:paraId="2728106B" w14:textId="77777777" w:rsidTr="00E032FC">
        <w:trPr>
          <w:trHeight w:val="341"/>
        </w:trPr>
        <w:tc>
          <w:tcPr>
            <w:tcW w:w="1840" w:type="pct"/>
          </w:tcPr>
          <w:p w14:paraId="7D8DD84F" w14:textId="77777777" w:rsidR="004E2F51" w:rsidRPr="00B44A61" w:rsidRDefault="004E2F51" w:rsidP="00E032FC">
            <w:pPr>
              <w:tabs>
                <w:tab w:val="left" w:pos="-720"/>
              </w:tabs>
              <w:rPr>
                <w:rFonts w:ascii="Arial" w:hAnsi="Arial" w:cs="Arial"/>
                <w:color w:val="000000" w:themeColor="text1"/>
                <w:sz w:val="20"/>
                <w:szCs w:val="20"/>
                <w:lang w:val="hr-HR"/>
              </w:rPr>
            </w:pPr>
          </w:p>
        </w:tc>
        <w:tc>
          <w:tcPr>
            <w:tcW w:w="1680" w:type="pct"/>
            <w:gridSpan w:val="2"/>
            <w:vAlign w:val="bottom"/>
          </w:tcPr>
          <w:p w14:paraId="45B03AD2" w14:textId="77777777" w:rsidR="004E2F51" w:rsidRPr="00B44A61" w:rsidRDefault="004E2F51" w:rsidP="00E032FC">
            <w:pPr>
              <w:pStyle w:val="TH"/>
              <w:spacing w:line="220" w:lineRule="exact"/>
              <w:jc w:val="right"/>
              <w:rPr>
                <w:rFonts w:cs="Arial"/>
                <w:color w:val="000000" w:themeColor="text1"/>
                <w:sz w:val="20"/>
                <w:lang w:val="hr-HR"/>
              </w:rPr>
            </w:pPr>
            <w:bookmarkStart w:id="949" w:name="_Toc67327872"/>
            <w:r w:rsidRPr="00B44A61">
              <w:rPr>
                <w:rFonts w:cs="Arial"/>
                <w:color w:val="000000" w:themeColor="text1"/>
                <w:sz w:val="20"/>
                <w:lang w:val="hr-HR"/>
              </w:rPr>
              <w:t>Grupa</w:t>
            </w:r>
            <w:bookmarkEnd w:id="949"/>
          </w:p>
        </w:tc>
        <w:tc>
          <w:tcPr>
            <w:tcW w:w="1480" w:type="pct"/>
            <w:gridSpan w:val="2"/>
            <w:vAlign w:val="bottom"/>
          </w:tcPr>
          <w:p w14:paraId="14CD6854" w14:textId="77777777" w:rsidR="004E2F51" w:rsidRPr="00B44A61" w:rsidRDefault="004E2F51" w:rsidP="00E032FC">
            <w:pPr>
              <w:pStyle w:val="TH"/>
              <w:spacing w:line="220" w:lineRule="exact"/>
              <w:jc w:val="right"/>
              <w:rPr>
                <w:rFonts w:cs="Arial"/>
                <w:color w:val="000000" w:themeColor="text1"/>
                <w:sz w:val="20"/>
                <w:lang w:val="hr-HR"/>
              </w:rPr>
            </w:pPr>
            <w:bookmarkStart w:id="950" w:name="_Toc67327873"/>
            <w:r w:rsidRPr="00B44A61">
              <w:rPr>
                <w:rFonts w:cs="Arial"/>
                <w:color w:val="000000" w:themeColor="text1"/>
                <w:sz w:val="20"/>
                <w:lang w:val="hr-HR"/>
              </w:rPr>
              <w:t>Banka</w:t>
            </w:r>
            <w:bookmarkEnd w:id="950"/>
          </w:p>
        </w:tc>
      </w:tr>
      <w:tr w:rsidR="004E2F51" w:rsidRPr="00B44A61" w14:paraId="37C54DFA" w14:textId="77777777" w:rsidTr="00E032FC">
        <w:tc>
          <w:tcPr>
            <w:tcW w:w="1840" w:type="pct"/>
          </w:tcPr>
          <w:p w14:paraId="470AB1A9" w14:textId="77777777" w:rsidR="004E2F51" w:rsidRPr="00B44A61" w:rsidRDefault="004E2F51" w:rsidP="00E032FC">
            <w:pPr>
              <w:tabs>
                <w:tab w:val="left" w:pos="-720"/>
              </w:tabs>
              <w:rPr>
                <w:rFonts w:ascii="Arial" w:hAnsi="Arial" w:cs="Arial"/>
                <w:color w:val="000000" w:themeColor="text1"/>
                <w:sz w:val="20"/>
                <w:szCs w:val="20"/>
                <w:lang w:val="hr-HR"/>
              </w:rPr>
            </w:pPr>
          </w:p>
        </w:tc>
        <w:tc>
          <w:tcPr>
            <w:tcW w:w="847" w:type="pct"/>
            <w:vAlign w:val="bottom"/>
          </w:tcPr>
          <w:p w14:paraId="004E839B" w14:textId="77777777" w:rsidR="004E2F51" w:rsidRPr="00B44A61" w:rsidRDefault="004E2F51" w:rsidP="00E032FC">
            <w:pPr>
              <w:pStyle w:val="TH"/>
              <w:jc w:val="right"/>
              <w:rPr>
                <w:rFonts w:cs="Arial"/>
                <w:color w:val="000000" w:themeColor="text1"/>
                <w:sz w:val="20"/>
                <w:lang w:val="hr-HR"/>
              </w:rPr>
            </w:pPr>
            <w:bookmarkStart w:id="951" w:name="_Toc67327874"/>
            <w:r w:rsidRPr="00B44A61">
              <w:rPr>
                <w:rFonts w:cs="Arial"/>
                <w:color w:val="000000" w:themeColor="text1"/>
                <w:sz w:val="20"/>
                <w:lang w:val="hr-HR"/>
              </w:rPr>
              <w:t>31. prosinca 2022.</w:t>
            </w:r>
            <w:bookmarkEnd w:id="951"/>
          </w:p>
        </w:tc>
        <w:tc>
          <w:tcPr>
            <w:tcW w:w="833" w:type="pct"/>
            <w:vAlign w:val="bottom"/>
          </w:tcPr>
          <w:p w14:paraId="5F1B714D" w14:textId="77777777" w:rsidR="004E2F51" w:rsidRPr="00B44A61" w:rsidRDefault="004E2F51" w:rsidP="00E032FC">
            <w:pPr>
              <w:pStyle w:val="TH"/>
              <w:jc w:val="right"/>
              <w:rPr>
                <w:rFonts w:cs="Arial"/>
                <w:color w:val="000000" w:themeColor="text1"/>
                <w:sz w:val="20"/>
                <w:lang w:val="hr-HR"/>
              </w:rPr>
            </w:pPr>
            <w:bookmarkStart w:id="952" w:name="_Toc67327875"/>
            <w:r w:rsidRPr="00B44A61">
              <w:rPr>
                <w:rFonts w:cs="Arial"/>
                <w:color w:val="000000" w:themeColor="text1"/>
                <w:sz w:val="20"/>
                <w:lang w:val="hr-HR"/>
              </w:rPr>
              <w:t>31. prosinca 2021.</w:t>
            </w:r>
            <w:bookmarkEnd w:id="952"/>
          </w:p>
        </w:tc>
        <w:tc>
          <w:tcPr>
            <w:tcW w:w="734" w:type="pct"/>
            <w:vAlign w:val="bottom"/>
          </w:tcPr>
          <w:p w14:paraId="3AD68651" w14:textId="77777777" w:rsidR="004E2F51" w:rsidRPr="00B44A61" w:rsidRDefault="004E2F51" w:rsidP="00E032FC">
            <w:pPr>
              <w:pStyle w:val="TH"/>
              <w:jc w:val="right"/>
              <w:rPr>
                <w:rFonts w:cs="Arial"/>
                <w:color w:val="000000" w:themeColor="text1"/>
                <w:sz w:val="20"/>
                <w:lang w:val="hr-HR"/>
              </w:rPr>
            </w:pPr>
            <w:bookmarkStart w:id="953" w:name="_Toc67327876"/>
            <w:r w:rsidRPr="00B44A61">
              <w:rPr>
                <w:rFonts w:cs="Arial"/>
                <w:color w:val="000000" w:themeColor="text1"/>
                <w:sz w:val="20"/>
                <w:lang w:val="hr-HR"/>
              </w:rPr>
              <w:t>31. prosinca 2022.</w:t>
            </w:r>
            <w:bookmarkEnd w:id="953"/>
          </w:p>
        </w:tc>
        <w:tc>
          <w:tcPr>
            <w:tcW w:w="746" w:type="pct"/>
            <w:vAlign w:val="bottom"/>
          </w:tcPr>
          <w:p w14:paraId="52EBB681" w14:textId="77777777" w:rsidR="004E2F51" w:rsidRPr="00B44A61" w:rsidRDefault="004E2F51" w:rsidP="00E032FC">
            <w:pPr>
              <w:pStyle w:val="TH"/>
              <w:jc w:val="right"/>
              <w:rPr>
                <w:rFonts w:cs="Arial"/>
                <w:color w:val="000000" w:themeColor="text1"/>
                <w:sz w:val="20"/>
                <w:lang w:val="hr-HR"/>
              </w:rPr>
            </w:pPr>
            <w:bookmarkStart w:id="954" w:name="_Toc67327877"/>
            <w:r w:rsidRPr="00B44A61">
              <w:rPr>
                <w:rFonts w:cs="Arial"/>
                <w:color w:val="000000" w:themeColor="text1"/>
                <w:sz w:val="20"/>
                <w:lang w:val="hr-HR"/>
              </w:rPr>
              <w:t>31. prosinca 2021.</w:t>
            </w:r>
            <w:bookmarkEnd w:id="954"/>
          </w:p>
        </w:tc>
      </w:tr>
      <w:tr w:rsidR="004E2F51" w:rsidRPr="00B44A61" w14:paraId="624E8873" w14:textId="77777777" w:rsidTr="00E032FC">
        <w:tc>
          <w:tcPr>
            <w:tcW w:w="1840" w:type="pct"/>
          </w:tcPr>
          <w:p w14:paraId="274D44DE" w14:textId="77777777" w:rsidR="004E2F51" w:rsidRPr="00B44A61" w:rsidRDefault="004E2F51" w:rsidP="00E032FC">
            <w:pPr>
              <w:tabs>
                <w:tab w:val="left" w:pos="-720"/>
              </w:tabs>
              <w:rPr>
                <w:rFonts w:ascii="Arial" w:hAnsi="Arial" w:cs="Arial"/>
                <w:color w:val="000000" w:themeColor="text1"/>
                <w:sz w:val="20"/>
                <w:szCs w:val="20"/>
                <w:lang w:val="hr-HR"/>
              </w:rPr>
            </w:pPr>
          </w:p>
        </w:tc>
        <w:tc>
          <w:tcPr>
            <w:tcW w:w="847" w:type="pct"/>
          </w:tcPr>
          <w:p w14:paraId="5A57B258" w14:textId="77777777" w:rsidR="004E2F51" w:rsidRPr="00B44A61" w:rsidRDefault="004E2F51" w:rsidP="00E032FC">
            <w:pPr>
              <w:pStyle w:val="TH"/>
              <w:spacing w:line="220" w:lineRule="exact"/>
              <w:jc w:val="right"/>
              <w:rPr>
                <w:rFonts w:cs="Arial"/>
                <w:color w:val="000000" w:themeColor="text1"/>
                <w:sz w:val="20"/>
                <w:lang w:val="hr-HR"/>
              </w:rPr>
            </w:pPr>
            <w:bookmarkStart w:id="955" w:name="_Toc67327878"/>
            <w:r w:rsidRPr="00B44A61">
              <w:rPr>
                <w:rFonts w:cs="Arial"/>
                <w:color w:val="000000" w:themeColor="text1"/>
                <w:sz w:val="20"/>
                <w:lang w:val="hr-HR"/>
              </w:rPr>
              <w:t>000 kuna</w:t>
            </w:r>
            <w:bookmarkEnd w:id="955"/>
          </w:p>
        </w:tc>
        <w:tc>
          <w:tcPr>
            <w:tcW w:w="833" w:type="pct"/>
          </w:tcPr>
          <w:p w14:paraId="7161AE8F" w14:textId="77777777" w:rsidR="004E2F51" w:rsidRPr="00B44A61" w:rsidRDefault="004E2F51" w:rsidP="00E032FC">
            <w:pPr>
              <w:pStyle w:val="TH"/>
              <w:spacing w:line="220" w:lineRule="exact"/>
              <w:jc w:val="right"/>
              <w:rPr>
                <w:rFonts w:cs="Arial"/>
                <w:color w:val="000000" w:themeColor="text1"/>
                <w:sz w:val="20"/>
                <w:lang w:val="hr-HR"/>
              </w:rPr>
            </w:pPr>
            <w:bookmarkStart w:id="956" w:name="_Toc67327879"/>
            <w:r w:rsidRPr="00B44A61">
              <w:rPr>
                <w:rFonts w:cs="Arial"/>
                <w:color w:val="000000" w:themeColor="text1"/>
                <w:sz w:val="20"/>
                <w:lang w:val="hr-HR"/>
              </w:rPr>
              <w:t>000 kuna</w:t>
            </w:r>
            <w:bookmarkEnd w:id="956"/>
          </w:p>
        </w:tc>
        <w:tc>
          <w:tcPr>
            <w:tcW w:w="734" w:type="pct"/>
          </w:tcPr>
          <w:p w14:paraId="4B72A6EC" w14:textId="77777777" w:rsidR="004E2F51" w:rsidRPr="00B44A61" w:rsidRDefault="004E2F51" w:rsidP="00E032FC">
            <w:pPr>
              <w:pStyle w:val="TH"/>
              <w:spacing w:line="220" w:lineRule="exact"/>
              <w:jc w:val="right"/>
              <w:rPr>
                <w:rFonts w:cs="Arial"/>
                <w:color w:val="000000" w:themeColor="text1"/>
                <w:sz w:val="20"/>
                <w:lang w:val="hr-HR"/>
              </w:rPr>
            </w:pPr>
            <w:bookmarkStart w:id="957" w:name="_Toc67327880"/>
            <w:r w:rsidRPr="00B44A61">
              <w:rPr>
                <w:rFonts w:cs="Arial"/>
                <w:color w:val="000000" w:themeColor="text1"/>
                <w:sz w:val="20"/>
                <w:lang w:val="hr-HR"/>
              </w:rPr>
              <w:t>000 kuna</w:t>
            </w:r>
            <w:bookmarkEnd w:id="957"/>
          </w:p>
        </w:tc>
        <w:tc>
          <w:tcPr>
            <w:tcW w:w="746" w:type="pct"/>
          </w:tcPr>
          <w:p w14:paraId="087A990F" w14:textId="77777777" w:rsidR="004E2F51" w:rsidRPr="00B44A61" w:rsidRDefault="004E2F51" w:rsidP="00E032FC">
            <w:pPr>
              <w:pStyle w:val="TH"/>
              <w:spacing w:line="220" w:lineRule="exact"/>
              <w:jc w:val="right"/>
              <w:rPr>
                <w:rFonts w:cs="Arial"/>
                <w:color w:val="000000" w:themeColor="text1"/>
                <w:sz w:val="20"/>
                <w:lang w:val="hr-HR"/>
              </w:rPr>
            </w:pPr>
            <w:bookmarkStart w:id="958" w:name="_Toc67327881"/>
            <w:r w:rsidRPr="00B44A61">
              <w:rPr>
                <w:rFonts w:cs="Arial"/>
                <w:color w:val="000000" w:themeColor="text1"/>
                <w:sz w:val="20"/>
                <w:lang w:val="hr-HR"/>
              </w:rPr>
              <w:t>000 kuna</w:t>
            </w:r>
            <w:bookmarkEnd w:id="958"/>
          </w:p>
        </w:tc>
      </w:tr>
      <w:tr w:rsidR="004E2F51" w:rsidRPr="00B44A61" w14:paraId="6BA11F78" w14:textId="77777777" w:rsidTr="00E032FC">
        <w:trPr>
          <w:trHeight w:val="550"/>
        </w:trPr>
        <w:tc>
          <w:tcPr>
            <w:tcW w:w="1840" w:type="pct"/>
            <w:vAlign w:val="bottom"/>
          </w:tcPr>
          <w:p w14:paraId="79D57FDC" w14:textId="77777777" w:rsidR="004E2F51" w:rsidRPr="00B44A61" w:rsidRDefault="004E2F51" w:rsidP="00E032FC">
            <w:pPr>
              <w:pStyle w:val="TT"/>
              <w:spacing w:line="240" w:lineRule="exact"/>
              <w:rPr>
                <w:rFonts w:cs="Arial"/>
                <w:color w:val="000000" w:themeColor="text1"/>
                <w:sz w:val="20"/>
                <w:lang w:val="hr-HR"/>
              </w:rPr>
            </w:pPr>
            <w:bookmarkStart w:id="959" w:name="_Toc67327882"/>
            <w:r w:rsidRPr="00B44A61">
              <w:rPr>
                <w:rFonts w:cs="Arial"/>
                <w:color w:val="000000" w:themeColor="text1"/>
                <w:sz w:val="20"/>
                <w:lang w:val="hr-HR"/>
              </w:rPr>
              <w:t>Sredstva izdvojena na računu kod Hrvatske narodne banke</w:t>
            </w:r>
            <w:bookmarkEnd w:id="959"/>
          </w:p>
        </w:tc>
        <w:tc>
          <w:tcPr>
            <w:tcW w:w="847" w:type="pct"/>
            <w:tcBorders>
              <w:top w:val="nil"/>
              <w:left w:val="nil"/>
              <w:bottom w:val="nil"/>
              <w:right w:val="nil"/>
            </w:tcBorders>
            <w:shd w:val="clear" w:color="auto" w:fill="auto"/>
            <w:vAlign w:val="bottom"/>
          </w:tcPr>
          <w:p w14:paraId="0E972432" w14:textId="77777777" w:rsidR="004E2F51" w:rsidRPr="00B44A61" w:rsidRDefault="004E2F51" w:rsidP="00E032FC">
            <w:pPr>
              <w:pStyle w:val="TT"/>
              <w:spacing w:line="240" w:lineRule="exact"/>
              <w:jc w:val="right"/>
              <w:rPr>
                <w:rFonts w:cs="Arial"/>
                <w:color w:val="000000" w:themeColor="text1"/>
                <w:sz w:val="20"/>
                <w:lang w:val="hr-HR"/>
              </w:rPr>
            </w:pPr>
            <w:r w:rsidRPr="00276333">
              <w:rPr>
                <w:rFonts w:cs="Arial"/>
                <w:color w:val="000000" w:themeColor="text1"/>
                <w:sz w:val="20"/>
                <w:lang w:val="hr-HR"/>
              </w:rPr>
              <w:t>2.100</w:t>
            </w:r>
          </w:p>
        </w:tc>
        <w:tc>
          <w:tcPr>
            <w:tcW w:w="833" w:type="pct"/>
            <w:tcBorders>
              <w:top w:val="nil"/>
              <w:left w:val="nil"/>
              <w:bottom w:val="nil"/>
              <w:right w:val="nil"/>
            </w:tcBorders>
            <w:shd w:val="clear" w:color="auto" w:fill="auto"/>
            <w:vAlign w:val="bottom"/>
          </w:tcPr>
          <w:p w14:paraId="57543CA6" w14:textId="77777777" w:rsidR="004E2F51" w:rsidRPr="00B44A61" w:rsidRDefault="004E2F51" w:rsidP="00E032FC">
            <w:pPr>
              <w:pStyle w:val="TT"/>
              <w:spacing w:line="240" w:lineRule="exact"/>
              <w:jc w:val="right"/>
              <w:rPr>
                <w:rFonts w:cs="Arial"/>
                <w:color w:val="000000" w:themeColor="text1"/>
                <w:sz w:val="20"/>
                <w:lang w:val="hr-HR"/>
              </w:rPr>
            </w:pPr>
            <w:r w:rsidRPr="00B44A61">
              <w:rPr>
                <w:rFonts w:cs="Arial"/>
                <w:color w:val="000000" w:themeColor="text1"/>
                <w:sz w:val="20"/>
                <w:lang w:val="hr-HR"/>
              </w:rPr>
              <w:t>1.879.493</w:t>
            </w:r>
          </w:p>
        </w:tc>
        <w:tc>
          <w:tcPr>
            <w:tcW w:w="734" w:type="pct"/>
            <w:tcBorders>
              <w:top w:val="nil"/>
              <w:left w:val="nil"/>
              <w:bottom w:val="nil"/>
              <w:right w:val="nil"/>
            </w:tcBorders>
            <w:shd w:val="clear" w:color="auto" w:fill="auto"/>
            <w:vAlign w:val="bottom"/>
          </w:tcPr>
          <w:p w14:paraId="55A785C5" w14:textId="77777777" w:rsidR="004E2F51" w:rsidRPr="00B44A61" w:rsidRDefault="004E2F51" w:rsidP="00E032FC">
            <w:pPr>
              <w:pStyle w:val="TT"/>
              <w:spacing w:line="240" w:lineRule="exact"/>
              <w:jc w:val="right"/>
              <w:rPr>
                <w:rFonts w:cs="Arial"/>
                <w:color w:val="000000" w:themeColor="text1"/>
                <w:sz w:val="20"/>
                <w:lang w:val="hr-HR"/>
              </w:rPr>
            </w:pPr>
            <w:r w:rsidRPr="00276333">
              <w:rPr>
                <w:rFonts w:cs="Arial"/>
                <w:color w:val="000000" w:themeColor="text1"/>
                <w:sz w:val="20"/>
                <w:lang w:val="hr-HR"/>
              </w:rPr>
              <w:t>2.100</w:t>
            </w:r>
          </w:p>
        </w:tc>
        <w:tc>
          <w:tcPr>
            <w:tcW w:w="746" w:type="pct"/>
            <w:tcBorders>
              <w:top w:val="nil"/>
              <w:left w:val="nil"/>
              <w:bottom w:val="nil"/>
              <w:right w:val="nil"/>
            </w:tcBorders>
            <w:shd w:val="clear" w:color="auto" w:fill="auto"/>
            <w:vAlign w:val="bottom"/>
          </w:tcPr>
          <w:p w14:paraId="16C3ABC3" w14:textId="77777777" w:rsidR="004E2F51" w:rsidRPr="00B44A61" w:rsidRDefault="004E2F51" w:rsidP="00E032FC">
            <w:pPr>
              <w:pStyle w:val="TT"/>
              <w:spacing w:line="240" w:lineRule="exact"/>
              <w:jc w:val="right"/>
              <w:rPr>
                <w:rFonts w:cs="Arial"/>
                <w:color w:val="000000" w:themeColor="text1"/>
                <w:sz w:val="20"/>
                <w:lang w:val="hr-HR"/>
              </w:rPr>
            </w:pPr>
            <w:r w:rsidRPr="00B44A61">
              <w:rPr>
                <w:rFonts w:cs="Arial"/>
                <w:color w:val="000000" w:themeColor="text1"/>
                <w:sz w:val="20"/>
                <w:lang w:val="hr-HR"/>
              </w:rPr>
              <w:t>1.879.493</w:t>
            </w:r>
          </w:p>
        </w:tc>
      </w:tr>
      <w:tr w:rsidR="004E2F51" w:rsidRPr="00B44A61" w14:paraId="5042B413" w14:textId="77777777" w:rsidTr="00E032FC">
        <w:trPr>
          <w:trHeight w:val="550"/>
        </w:trPr>
        <w:tc>
          <w:tcPr>
            <w:tcW w:w="1840" w:type="pct"/>
            <w:vAlign w:val="bottom"/>
          </w:tcPr>
          <w:p w14:paraId="1F413150" w14:textId="77777777" w:rsidR="004E2F51" w:rsidRPr="00B44A61" w:rsidRDefault="004E2F51" w:rsidP="00E032FC">
            <w:pPr>
              <w:pStyle w:val="TT"/>
              <w:spacing w:line="240" w:lineRule="exact"/>
              <w:rPr>
                <w:rFonts w:cs="Arial"/>
                <w:color w:val="000000" w:themeColor="text1"/>
                <w:sz w:val="20"/>
                <w:lang w:val="hr-HR"/>
              </w:rPr>
            </w:pPr>
            <w:r w:rsidRPr="00276333">
              <w:rPr>
                <w:rFonts w:cs="Arial"/>
                <w:color w:val="000000" w:themeColor="text1"/>
                <w:sz w:val="20"/>
                <w:lang w:val="hr-HR"/>
              </w:rPr>
              <w:t>Sredstva izdvojena na računima domaćih banaka</w:t>
            </w:r>
          </w:p>
        </w:tc>
        <w:tc>
          <w:tcPr>
            <w:tcW w:w="847" w:type="pct"/>
            <w:tcBorders>
              <w:top w:val="nil"/>
              <w:left w:val="nil"/>
              <w:bottom w:val="nil"/>
              <w:right w:val="nil"/>
            </w:tcBorders>
            <w:shd w:val="clear" w:color="auto" w:fill="auto"/>
            <w:vAlign w:val="bottom"/>
          </w:tcPr>
          <w:p w14:paraId="230D8123" w14:textId="77777777" w:rsidR="004E2F51" w:rsidRPr="00B44A61" w:rsidRDefault="004E2F51" w:rsidP="00E032FC">
            <w:pPr>
              <w:pStyle w:val="TT"/>
              <w:spacing w:line="240" w:lineRule="exact"/>
              <w:jc w:val="right"/>
              <w:rPr>
                <w:rFonts w:cs="Arial"/>
                <w:color w:val="000000" w:themeColor="text1"/>
                <w:sz w:val="20"/>
                <w:lang w:val="hr-HR"/>
              </w:rPr>
            </w:pPr>
            <w:r w:rsidRPr="00276333">
              <w:rPr>
                <w:rFonts w:cs="Arial"/>
                <w:color w:val="000000" w:themeColor="text1"/>
                <w:sz w:val="20"/>
                <w:lang w:val="hr-HR"/>
              </w:rPr>
              <w:t>1.620.336</w:t>
            </w:r>
          </w:p>
        </w:tc>
        <w:tc>
          <w:tcPr>
            <w:tcW w:w="833" w:type="pct"/>
            <w:tcBorders>
              <w:top w:val="nil"/>
              <w:left w:val="nil"/>
              <w:bottom w:val="nil"/>
              <w:right w:val="nil"/>
            </w:tcBorders>
            <w:shd w:val="clear" w:color="auto" w:fill="auto"/>
            <w:vAlign w:val="bottom"/>
          </w:tcPr>
          <w:p w14:paraId="581FE299" w14:textId="77777777" w:rsidR="004E2F51" w:rsidRPr="00B44A61" w:rsidRDefault="004E2F51" w:rsidP="00E032FC">
            <w:pPr>
              <w:pStyle w:val="TT"/>
              <w:spacing w:line="240" w:lineRule="exact"/>
              <w:jc w:val="right"/>
              <w:rPr>
                <w:rFonts w:cs="Arial"/>
                <w:color w:val="000000" w:themeColor="text1"/>
                <w:sz w:val="20"/>
                <w:lang w:val="hr-HR"/>
              </w:rPr>
            </w:pPr>
            <w:r>
              <w:rPr>
                <w:rFonts w:cs="Arial"/>
                <w:color w:val="000000" w:themeColor="text1"/>
                <w:sz w:val="20"/>
                <w:lang w:val="hr-HR"/>
              </w:rPr>
              <w:t>-</w:t>
            </w:r>
          </w:p>
        </w:tc>
        <w:tc>
          <w:tcPr>
            <w:tcW w:w="734" w:type="pct"/>
            <w:tcBorders>
              <w:top w:val="nil"/>
              <w:left w:val="nil"/>
              <w:bottom w:val="nil"/>
              <w:right w:val="nil"/>
            </w:tcBorders>
            <w:shd w:val="clear" w:color="auto" w:fill="auto"/>
            <w:vAlign w:val="bottom"/>
          </w:tcPr>
          <w:p w14:paraId="5A44DAFA" w14:textId="77777777" w:rsidR="004E2F51" w:rsidRPr="00276333" w:rsidRDefault="004E2F51" w:rsidP="00E032FC">
            <w:pPr>
              <w:pStyle w:val="TT"/>
              <w:spacing w:line="240" w:lineRule="exact"/>
              <w:jc w:val="right"/>
              <w:rPr>
                <w:rFonts w:cs="Arial"/>
                <w:color w:val="000000" w:themeColor="text1"/>
                <w:sz w:val="20"/>
                <w:lang w:val="hr-HR"/>
              </w:rPr>
            </w:pPr>
            <w:r w:rsidRPr="00276333">
              <w:rPr>
                <w:rFonts w:cs="Arial"/>
                <w:color w:val="000000" w:themeColor="text1"/>
                <w:sz w:val="20"/>
                <w:lang w:val="hr-HR"/>
              </w:rPr>
              <w:t>1.620.336</w:t>
            </w:r>
          </w:p>
        </w:tc>
        <w:tc>
          <w:tcPr>
            <w:tcW w:w="746" w:type="pct"/>
            <w:tcBorders>
              <w:top w:val="nil"/>
              <w:left w:val="nil"/>
              <w:bottom w:val="nil"/>
              <w:right w:val="nil"/>
            </w:tcBorders>
            <w:shd w:val="clear" w:color="auto" w:fill="auto"/>
            <w:vAlign w:val="bottom"/>
          </w:tcPr>
          <w:p w14:paraId="1E918908" w14:textId="77777777" w:rsidR="004E2F51" w:rsidRPr="00B44A61" w:rsidRDefault="004E2F51" w:rsidP="00E032FC">
            <w:pPr>
              <w:pStyle w:val="TT"/>
              <w:spacing w:line="240" w:lineRule="exact"/>
              <w:jc w:val="right"/>
              <w:rPr>
                <w:rFonts w:cs="Arial"/>
                <w:color w:val="000000" w:themeColor="text1"/>
                <w:sz w:val="20"/>
                <w:lang w:val="hr-HR"/>
              </w:rPr>
            </w:pPr>
            <w:r>
              <w:rPr>
                <w:rFonts w:cs="Arial"/>
                <w:color w:val="000000" w:themeColor="text1"/>
                <w:sz w:val="20"/>
                <w:lang w:val="hr-HR"/>
              </w:rPr>
              <w:t>-</w:t>
            </w:r>
          </w:p>
        </w:tc>
      </w:tr>
      <w:tr w:rsidR="004E2F51" w:rsidRPr="00B44A61" w14:paraId="14E676BC" w14:textId="77777777" w:rsidTr="00E032FC">
        <w:trPr>
          <w:trHeight w:val="377"/>
        </w:trPr>
        <w:tc>
          <w:tcPr>
            <w:tcW w:w="1840" w:type="pct"/>
            <w:vAlign w:val="bottom"/>
          </w:tcPr>
          <w:p w14:paraId="2A031146" w14:textId="77777777" w:rsidR="004E2F51" w:rsidRPr="00B44A61" w:rsidRDefault="004E2F51" w:rsidP="00E032FC">
            <w:pPr>
              <w:pStyle w:val="TT"/>
              <w:spacing w:line="240" w:lineRule="exact"/>
              <w:rPr>
                <w:rFonts w:cs="Arial"/>
                <w:color w:val="000000" w:themeColor="text1"/>
                <w:sz w:val="20"/>
                <w:lang w:val="hr-HR"/>
              </w:rPr>
            </w:pPr>
            <w:bookmarkStart w:id="960" w:name="_Toc67327887"/>
            <w:r w:rsidRPr="00B44A61">
              <w:rPr>
                <w:rFonts w:cs="Arial"/>
                <w:color w:val="000000" w:themeColor="text1"/>
                <w:sz w:val="20"/>
                <w:lang w:val="hr-HR"/>
              </w:rPr>
              <w:t>Blagajna</w:t>
            </w:r>
            <w:bookmarkEnd w:id="960"/>
          </w:p>
        </w:tc>
        <w:tc>
          <w:tcPr>
            <w:tcW w:w="847" w:type="pct"/>
            <w:tcBorders>
              <w:top w:val="nil"/>
              <w:left w:val="nil"/>
              <w:bottom w:val="nil"/>
              <w:right w:val="nil"/>
            </w:tcBorders>
            <w:shd w:val="clear" w:color="auto" w:fill="auto"/>
            <w:vAlign w:val="bottom"/>
          </w:tcPr>
          <w:p w14:paraId="52BA7223" w14:textId="77777777" w:rsidR="004E2F51" w:rsidRPr="00B44A61" w:rsidRDefault="004E2F51" w:rsidP="00E032FC">
            <w:pPr>
              <w:pStyle w:val="TT"/>
              <w:spacing w:line="240" w:lineRule="exact"/>
              <w:jc w:val="right"/>
              <w:rPr>
                <w:rFonts w:cs="Arial"/>
                <w:color w:val="000000" w:themeColor="text1"/>
                <w:sz w:val="20"/>
                <w:lang w:val="hr-HR"/>
              </w:rPr>
            </w:pPr>
            <w:r>
              <w:rPr>
                <w:rFonts w:cs="Arial"/>
                <w:color w:val="000000" w:themeColor="text1"/>
                <w:sz w:val="20"/>
                <w:lang w:val="hr-HR"/>
              </w:rPr>
              <w:t>-</w:t>
            </w:r>
          </w:p>
        </w:tc>
        <w:tc>
          <w:tcPr>
            <w:tcW w:w="833" w:type="pct"/>
            <w:tcBorders>
              <w:top w:val="nil"/>
              <w:left w:val="nil"/>
              <w:bottom w:val="nil"/>
              <w:right w:val="nil"/>
            </w:tcBorders>
            <w:shd w:val="clear" w:color="auto" w:fill="auto"/>
            <w:vAlign w:val="bottom"/>
          </w:tcPr>
          <w:p w14:paraId="55B97C09" w14:textId="77777777" w:rsidR="004E2F51" w:rsidRPr="00B44A61" w:rsidRDefault="004E2F51" w:rsidP="00E032FC">
            <w:pPr>
              <w:pStyle w:val="TT"/>
              <w:spacing w:line="240" w:lineRule="exact"/>
              <w:jc w:val="right"/>
              <w:rPr>
                <w:rFonts w:cs="Arial"/>
                <w:color w:val="000000" w:themeColor="text1"/>
                <w:sz w:val="20"/>
                <w:lang w:val="hr-HR"/>
              </w:rPr>
            </w:pPr>
            <w:r w:rsidRPr="00B44A61">
              <w:rPr>
                <w:rFonts w:cs="Arial"/>
                <w:color w:val="000000" w:themeColor="text1"/>
                <w:sz w:val="20"/>
                <w:lang w:val="hr-HR"/>
              </w:rPr>
              <w:t>1</w:t>
            </w:r>
          </w:p>
        </w:tc>
        <w:tc>
          <w:tcPr>
            <w:tcW w:w="734" w:type="pct"/>
            <w:tcBorders>
              <w:top w:val="nil"/>
              <w:left w:val="nil"/>
              <w:bottom w:val="nil"/>
              <w:right w:val="nil"/>
            </w:tcBorders>
            <w:shd w:val="clear" w:color="auto" w:fill="auto"/>
            <w:vAlign w:val="bottom"/>
          </w:tcPr>
          <w:p w14:paraId="47D83E82" w14:textId="77777777" w:rsidR="004E2F51" w:rsidRPr="00B44A61" w:rsidRDefault="004E2F51" w:rsidP="00E032FC">
            <w:pPr>
              <w:pStyle w:val="TT"/>
              <w:spacing w:line="240" w:lineRule="exact"/>
              <w:jc w:val="right"/>
              <w:rPr>
                <w:rFonts w:cs="Arial"/>
                <w:color w:val="000000" w:themeColor="text1"/>
                <w:sz w:val="20"/>
                <w:lang w:val="hr-HR"/>
              </w:rPr>
            </w:pPr>
            <w:r>
              <w:rPr>
                <w:rFonts w:cs="Arial"/>
                <w:color w:val="000000" w:themeColor="text1"/>
                <w:sz w:val="20"/>
                <w:lang w:val="hr-HR"/>
              </w:rPr>
              <w:t>-</w:t>
            </w:r>
          </w:p>
        </w:tc>
        <w:tc>
          <w:tcPr>
            <w:tcW w:w="746" w:type="pct"/>
            <w:tcBorders>
              <w:top w:val="nil"/>
              <w:left w:val="nil"/>
              <w:bottom w:val="nil"/>
              <w:right w:val="nil"/>
            </w:tcBorders>
            <w:shd w:val="clear" w:color="auto" w:fill="auto"/>
            <w:vAlign w:val="bottom"/>
          </w:tcPr>
          <w:p w14:paraId="4DE2E7E1" w14:textId="77777777" w:rsidR="004E2F51" w:rsidRPr="00B44A61" w:rsidRDefault="004E2F51" w:rsidP="00E032FC">
            <w:pPr>
              <w:pStyle w:val="TT"/>
              <w:spacing w:line="240" w:lineRule="exact"/>
              <w:jc w:val="right"/>
              <w:rPr>
                <w:rFonts w:cs="Arial"/>
                <w:color w:val="000000" w:themeColor="text1"/>
                <w:sz w:val="20"/>
                <w:lang w:val="hr-HR"/>
              </w:rPr>
            </w:pPr>
            <w:r w:rsidRPr="00B44A61">
              <w:rPr>
                <w:rFonts w:cs="Arial"/>
                <w:color w:val="000000" w:themeColor="text1"/>
                <w:sz w:val="20"/>
                <w:lang w:val="hr-HR"/>
              </w:rPr>
              <w:t>1</w:t>
            </w:r>
          </w:p>
        </w:tc>
      </w:tr>
      <w:tr w:rsidR="004E2F51" w:rsidRPr="00B44A61" w14:paraId="2421C686" w14:textId="77777777" w:rsidTr="00E032FC">
        <w:trPr>
          <w:trHeight w:val="377"/>
        </w:trPr>
        <w:tc>
          <w:tcPr>
            <w:tcW w:w="1840" w:type="pct"/>
            <w:vAlign w:val="bottom"/>
          </w:tcPr>
          <w:p w14:paraId="6865D586" w14:textId="77777777" w:rsidR="004E2F51" w:rsidRPr="00B44A61" w:rsidRDefault="004E2F51" w:rsidP="00E032FC">
            <w:pPr>
              <w:pStyle w:val="TT"/>
              <w:spacing w:line="240" w:lineRule="exact"/>
              <w:rPr>
                <w:rFonts w:cs="Arial"/>
                <w:color w:val="000000" w:themeColor="text1"/>
                <w:sz w:val="20"/>
                <w:lang w:val="hr-HR"/>
              </w:rPr>
            </w:pPr>
            <w:bookmarkStart w:id="961" w:name="_Toc67327892"/>
            <w:r w:rsidRPr="00B44A61">
              <w:rPr>
                <w:rFonts w:cs="Arial"/>
                <w:color w:val="000000" w:themeColor="text1"/>
                <w:sz w:val="20"/>
                <w:lang w:val="hr-HR"/>
              </w:rPr>
              <w:t>Devizni tekući računi - domaće banke</w:t>
            </w:r>
            <w:bookmarkEnd w:id="961"/>
          </w:p>
        </w:tc>
        <w:tc>
          <w:tcPr>
            <w:tcW w:w="847" w:type="pct"/>
            <w:tcBorders>
              <w:top w:val="nil"/>
              <w:left w:val="nil"/>
              <w:bottom w:val="nil"/>
              <w:right w:val="nil"/>
            </w:tcBorders>
            <w:shd w:val="clear" w:color="auto" w:fill="auto"/>
            <w:vAlign w:val="bottom"/>
          </w:tcPr>
          <w:p w14:paraId="25BD5D9B" w14:textId="77777777" w:rsidR="004E2F51" w:rsidRPr="00B44A61" w:rsidRDefault="004E2F51" w:rsidP="00E032FC">
            <w:pPr>
              <w:pStyle w:val="TT"/>
              <w:spacing w:line="240" w:lineRule="exact"/>
              <w:jc w:val="right"/>
              <w:rPr>
                <w:rFonts w:cs="Arial"/>
                <w:color w:val="000000" w:themeColor="text1"/>
                <w:sz w:val="20"/>
                <w:lang w:val="hr-HR"/>
              </w:rPr>
            </w:pPr>
            <w:r w:rsidRPr="00276333">
              <w:rPr>
                <w:rFonts w:cs="Arial"/>
                <w:color w:val="000000" w:themeColor="text1"/>
                <w:sz w:val="20"/>
                <w:lang w:val="hr-HR"/>
              </w:rPr>
              <w:t xml:space="preserve"> 11 </w:t>
            </w:r>
          </w:p>
        </w:tc>
        <w:tc>
          <w:tcPr>
            <w:tcW w:w="833" w:type="pct"/>
            <w:tcBorders>
              <w:top w:val="nil"/>
              <w:left w:val="nil"/>
              <w:bottom w:val="nil"/>
              <w:right w:val="nil"/>
            </w:tcBorders>
            <w:shd w:val="clear" w:color="auto" w:fill="auto"/>
            <w:vAlign w:val="bottom"/>
          </w:tcPr>
          <w:p w14:paraId="6CBCDAAC" w14:textId="77777777" w:rsidR="004E2F51" w:rsidRPr="00B44A61" w:rsidRDefault="004E2F51" w:rsidP="00E032FC">
            <w:pPr>
              <w:pStyle w:val="TT"/>
              <w:spacing w:line="240" w:lineRule="exact"/>
              <w:jc w:val="right"/>
              <w:rPr>
                <w:rFonts w:cs="Arial"/>
                <w:color w:val="000000" w:themeColor="text1"/>
                <w:sz w:val="20"/>
                <w:lang w:val="hr-HR"/>
              </w:rPr>
            </w:pPr>
            <w:r w:rsidRPr="00B44A61">
              <w:rPr>
                <w:rFonts w:cs="Arial"/>
                <w:color w:val="000000" w:themeColor="text1"/>
                <w:sz w:val="20"/>
                <w:lang w:val="hr-HR"/>
              </w:rPr>
              <w:t>9</w:t>
            </w:r>
          </w:p>
        </w:tc>
        <w:tc>
          <w:tcPr>
            <w:tcW w:w="734" w:type="pct"/>
            <w:tcBorders>
              <w:top w:val="nil"/>
              <w:left w:val="nil"/>
              <w:bottom w:val="nil"/>
              <w:right w:val="nil"/>
            </w:tcBorders>
            <w:shd w:val="clear" w:color="auto" w:fill="auto"/>
            <w:vAlign w:val="bottom"/>
          </w:tcPr>
          <w:p w14:paraId="241DF0BF" w14:textId="77777777" w:rsidR="004E2F51" w:rsidRPr="00B44A61" w:rsidRDefault="004E2F51" w:rsidP="00E032FC">
            <w:pPr>
              <w:pStyle w:val="TT"/>
              <w:spacing w:line="240" w:lineRule="exact"/>
              <w:jc w:val="right"/>
              <w:rPr>
                <w:rFonts w:cs="Arial"/>
                <w:color w:val="000000" w:themeColor="text1"/>
                <w:sz w:val="20"/>
                <w:lang w:val="hr-HR"/>
              </w:rPr>
            </w:pPr>
            <w:r>
              <w:rPr>
                <w:rFonts w:cs="Arial"/>
                <w:color w:val="000000" w:themeColor="text1"/>
                <w:sz w:val="20"/>
                <w:lang w:val="hr-HR"/>
              </w:rPr>
              <w:t>-</w:t>
            </w:r>
          </w:p>
        </w:tc>
        <w:tc>
          <w:tcPr>
            <w:tcW w:w="746" w:type="pct"/>
            <w:tcBorders>
              <w:top w:val="nil"/>
              <w:left w:val="nil"/>
              <w:bottom w:val="nil"/>
              <w:right w:val="nil"/>
            </w:tcBorders>
            <w:shd w:val="clear" w:color="auto" w:fill="auto"/>
            <w:vAlign w:val="bottom"/>
          </w:tcPr>
          <w:p w14:paraId="2BA99765" w14:textId="77777777" w:rsidR="004E2F51" w:rsidRPr="00B44A61" w:rsidRDefault="004E2F51" w:rsidP="00E032FC">
            <w:pPr>
              <w:pStyle w:val="TT"/>
              <w:spacing w:line="240" w:lineRule="exact"/>
              <w:jc w:val="right"/>
              <w:rPr>
                <w:rFonts w:cs="Arial"/>
                <w:color w:val="000000" w:themeColor="text1"/>
                <w:sz w:val="20"/>
                <w:lang w:val="hr-HR"/>
              </w:rPr>
            </w:pPr>
            <w:r w:rsidRPr="00B44A61">
              <w:rPr>
                <w:rFonts w:cs="Arial"/>
                <w:color w:val="000000" w:themeColor="text1"/>
                <w:sz w:val="20"/>
                <w:lang w:val="hr-HR"/>
              </w:rPr>
              <w:t xml:space="preserve">-    </w:t>
            </w:r>
          </w:p>
        </w:tc>
      </w:tr>
      <w:tr w:rsidR="004E2F51" w:rsidRPr="00B44A61" w14:paraId="68813177" w14:textId="77777777" w:rsidTr="00E032FC">
        <w:trPr>
          <w:trHeight w:val="377"/>
        </w:trPr>
        <w:tc>
          <w:tcPr>
            <w:tcW w:w="1840" w:type="pct"/>
            <w:vAlign w:val="bottom"/>
          </w:tcPr>
          <w:p w14:paraId="3EC9CB6F" w14:textId="77777777" w:rsidR="004E2F51" w:rsidRPr="00B44A61" w:rsidRDefault="004E2F51" w:rsidP="00E032FC">
            <w:pPr>
              <w:pStyle w:val="TT"/>
              <w:spacing w:line="240" w:lineRule="exact"/>
              <w:rPr>
                <w:rFonts w:cs="Arial"/>
                <w:color w:val="000000" w:themeColor="text1"/>
                <w:sz w:val="20"/>
                <w:lang w:val="hr-HR"/>
              </w:rPr>
            </w:pPr>
            <w:bookmarkStart w:id="962" w:name="_Toc67327897"/>
            <w:r w:rsidRPr="00B44A61">
              <w:rPr>
                <w:rFonts w:cs="Arial"/>
                <w:color w:val="000000" w:themeColor="text1"/>
                <w:sz w:val="20"/>
                <w:lang w:val="hr-HR"/>
              </w:rPr>
              <w:t>Devizni tekući računi - inozemne banke</w:t>
            </w:r>
            <w:bookmarkEnd w:id="962"/>
          </w:p>
        </w:tc>
        <w:tc>
          <w:tcPr>
            <w:tcW w:w="847" w:type="pct"/>
            <w:tcBorders>
              <w:top w:val="nil"/>
              <w:left w:val="nil"/>
              <w:bottom w:val="nil"/>
              <w:right w:val="nil"/>
            </w:tcBorders>
            <w:shd w:val="clear" w:color="auto" w:fill="auto"/>
            <w:vAlign w:val="bottom"/>
          </w:tcPr>
          <w:p w14:paraId="5E8E4979" w14:textId="77777777" w:rsidR="004E2F51" w:rsidRPr="00B44A61" w:rsidRDefault="004E2F51" w:rsidP="00E032FC">
            <w:pPr>
              <w:pStyle w:val="TT"/>
              <w:spacing w:line="240" w:lineRule="exact"/>
              <w:jc w:val="right"/>
              <w:rPr>
                <w:rFonts w:cs="Arial"/>
                <w:color w:val="000000" w:themeColor="text1"/>
                <w:sz w:val="20"/>
                <w:lang w:val="hr-HR"/>
              </w:rPr>
            </w:pPr>
            <w:r w:rsidRPr="00276333">
              <w:rPr>
                <w:rFonts w:cs="Arial"/>
                <w:color w:val="000000" w:themeColor="text1"/>
                <w:sz w:val="20"/>
                <w:lang w:val="hr-HR"/>
              </w:rPr>
              <w:t xml:space="preserve"> 100.145 </w:t>
            </w:r>
          </w:p>
        </w:tc>
        <w:tc>
          <w:tcPr>
            <w:tcW w:w="833" w:type="pct"/>
            <w:tcBorders>
              <w:top w:val="nil"/>
              <w:left w:val="nil"/>
              <w:bottom w:val="nil"/>
              <w:right w:val="nil"/>
            </w:tcBorders>
            <w:shd w:val="clear" w:color="auto" w:fill="auto"/>
            <w:vAlign w:val="bottom"/>
          </w:tcPr>
          <w:p w14:paraId="13A5933B" w14:textId="77777777" w:rsidR="004E2F51" w:rsidRPr="00B44A61" w:rsidRDefault="004E2F51" w:rsidP="00E032FC">
            <w:pPr>
              <w:pStyle w:val="TT"/>
              <w:spacing w:line="240" w:lineRule="exact"/>
              <w:jc w:val="right"/>
              <w:rPr>
                <w:rFonts w:cs="Arial"/>
                <w:color w:val="000000" w:themeColor="text1"/>
                <w:sz w:val="20"/>
                <w:lang w:val="hr-HR"/>
              </w:rPr>
            </w:pPr>
            <w:r w:rsidRPr="00B44A61">
              <w:rPr>
                <w:rFonts w:cs="Arial"/>
                <w:color w:val="000000" w:themeColor="text1"/>
                <w:sz w:val="20"/>
                <w:lang w:val="hr-HR"/>
              </w:rPr>
              <w:t>80.938</w:t>
            </w:r>
          </w:p>
        </w:tc>
        <w:tc>
          <w:tcPr>
            <w:tcW w:w="734" w:type="pct"/>
            <w:tcBorders>
              <w:top w:val="nil"/>
              <w:left w:val="nil"/>
              <w:bottom w:val="nil"/>
              <w:right w:val="nil"/>
            </w:tcBorders>
            <w:shd w:val="clear" w:color="auto" w:fill="auto"/>
            <w:vAlign w:val="bottom"/>
          </w:tcPr>
          <w:p w14:paraId="520E03F7" w14:textId="77777777" w:rsidR="004E2F51" w:rsidRPr="00B44A61" w:rsidRDefault="004E2F51" w:rsidP="00E032FC">
            <w:pPr>
              <w:pStyle w:val="TT"/>
              <w:spacing w:line="240" w:lineRule="exact"/>
              <w:jc w:val="right"/>
              <w:rPr>
                <w:rFonts w:cs="Arial"/>
                <w:color w:val="000000" w:themeColor="text1"/>
                <w:sz w:val="20"/>
                <w:lang w:val="hr-HR"/>
              </w:rPr>
            </w:pPr>
            <w:r w:rsidRPr="00276333">
              <w:rPr>
                <w:rFonts w:cs="Arial"/>
                <w:color w:val="000000" w:themeColor="text1"/>
                <w:sz w:val="20"/>
                <w:lang w:val="hr-HR"/>
              </w:rPr>
              <w:t>100.142</w:t>
            </w:r>
          </w:p>
        </w:tc>
        <w:tc>
          <w:tcPr>
            <w:tcW w:w="746" w:type="pct"/>
            <w:tcBorders>
              <w:top w:val="nil"/>
              <w:left w:val="nil"/>
              <w:bottom w:val="nil"/>
              <w:right w:val="nil"/>
            </w:tcBorders>
            <w:shd w:val="clear" w:color="auto" w:fill="auto"/>
            <w:vAlign w:val="bottom"/>
          </w:tcPr>
          <w:p w14:paraId="7EBB0A25" w14:textId="77777777" w:rsidR="004E2F51" w:rsidRPr="00B44A61" w:rsidRDefault="004E2F51" w:rsidP="00E032FC">
            <w:pPr>
              <w:pStyle w:val="TT"/>
              <w:spacing w:line="240" w:lineRule="exact"/>
              <w:jc w:val="right"/>
              <w:rPr>
                <w:rFonts w:cs="Arial"/>
                <w:color w:val="000000" w:themeColor="text1"/>
                <w:sz w:val="20"/>
                <w:lang w:val="hr-HR"/>
              </w:rPr>
            </w:pPr>
            <w:r w:rsidRPr="00B44A61">
              <w:rPr>
                <w:rFonts w:cs="Arial"/>
                <w:color w:val="000000" w:themeColor="text1"/>
                <w:sz w:val="20"/>
                <w:lang w:val="hr-HR"/>
              </w:rPr>
              <w:t>80.930</w:t>
            </w:r>
          </w:p>
        </w:tc>
      </w:tr>
      <w:tr w:rsidR="004E2F51" w:rsidRPr="00B44A61" w14:paraId="1FE7973D" w14:textId="77777777" w:rsidTr="00E032FC">
        <w:trPr>
          <w:trHeight w:val="377"/>
        </w:trPr>
        <w:tc>
          <w:tcPr>
            <w:tcW w:w="1840" w:type="pct"/>
            <w:vAlign w:val="bottom"/>
          </w:tcPr>
          <w:p w14:paraId="3F537E2B" w14:textId="77777777" w:rsidR="004E2F51" w:rsidRPr="00B44A61" w:rsidRDefault="004E2F51" w:rsidP="00E032FC">
            <w:pPr>
              <w:pStyle w:val="TT"/>
              <w:spacing w:line="240" w:lineRule="exact"/>
              <w:rPr>
                <w:rFonts w:cs="Arial"/>
                <w:color w:val="000000" w:themeColor="text1"/>
                <w:sz w:val="20"/>
                <w:lang w:val="hr-HR"/>
              </w:rPr>
            </w:pPr>
            <w:bookmarkStart w:id="963" w:name="_Toc67327902"/>
            <w:r w:rsidRPr="00B44A61">
              <w:rPr>
                <w:rFonts w:cs="Arial"/>
                <w:color w:val="000000" w:themeColor="text1"/>
                <w:sz w:val="20"/>
                <w:lang w:val="hr-HR"/>
              </w:rPr>
              <w:t>Kunski tekući računi - domaće banke</w:t>
            </w:r>
            <w:bookmarkEnd w:id="963"/>
          </w:p>
        </w:tc>
        <w:tc>
          <w:tcPr>
            <w:tcW w:w="847" w:type="pct"/>
            <w:tcBorders>
              <w:top w:val="nil"/>
              <w:left w:val="nil"/>
              <w:bottom w:val="nil"/>
              <w:right w:val="nil"/>
            </w:tcBorders>
            <w:shd w:val="clear" w:color="auto" w:fill="auto"/>
            <w:vAlign w:val="bottom"/>
          </w:tcPr>
          <w:p w14:paraId="011C0C98" w14:textId="77777777" w:rsidR="004E2F51" w:rsidRPr="00B44A61" w:rsidRDefault="004E2F51" w:rsidP="00E032FC">
            <w:pPr>
              <w:pStyle w:val="TT"/>
              <w:spacing w:line="240" w:lineRule="exact"/>
              <w:jc w:val="right"/>
              <w:rPr>
                <w:rFonts w:cs="Arial"/>
                <w:color w:val="000000" w:themeColor="text1"/>
                <w:sz w:val="20"/>
                <w:lang w:val="hr-HR"/>
              </w:rPr>
            </w:pPr>
            <w:r w:rsidRPr="00276333">
              <w:rPr>
                <w:rFonts w:cs="Arial"/>
                <w:color w:val="000000" w:themeColor="text1"/>
                <w:sz w:val="20"/>
                <w:lang w:val="hr-HR"/>
              </w:rPr>
              <w:t xml:space="preserve"> 5.391 </w:t>
            </w:r>
          </w:p>
        </w:tc>
        <w:tc>
          <w:tcPr>
            <w:tcW w:w="833" w:type="pct"/>
            <w:tcBorders>
              <w:top w:val="nil"/>
              <w:left w:val="nil"/>
              <w:bottom w:val="nil"/>
              <w:right w:val="nil"/>
            </w:tcBorders>
            <w:shd w:val="clear" w:color="auto" w:fill="auto"/>
            <w:vAlign w:val="bottom"/>
          </w:tcPr>
          <w:p w14:paraId="2C1BD5F2" w14:textId="77777777" w:rsidR="004E2F51" w:rsidRPr="00B44A61" w:rsidRDefault="004E2F51" w:rsidP="00E032FC">
            <w:pPr>
              <w:pStyle w:val="TT"/>
              <w:spacing w:line="240" w:lineRule="exact"/>
              <w:jc w:val="right"/>
              <w:rPr>
                <w:rFonts w:cs="Arial"/>
                <w:color w:val="000000" w:themeColor="text1"/>
                <w:sz w:val="20"/>
                <w:lang w:val="hr-HR"/>
              </w:rPr>
            </w:pPr>
            <w:r w:rsidRPr="00B44A61">
              <w:rPr>
                <w:rFonts w:cs="Arial"/>
                <w:color w:val="000000" w:themeColor="text1"/>
                <w:sz w:val="20"/>
                <w:lang w:val="hr-HR"/>
              </w:rPr>
              <w:t>3.354</w:t>
            </w:r>
          </w:p>
        </w:tc>
        <w:tc>
          <w:tcPr>
            <w:tcW w:w="734" w:type="pct"/>
            <w:tcBorders>
              <w:top w:val="nil"/>
              <w:left w:val="nil"/>
              <w:bottom w:val="nil"/>
              <w:right w:val="nil"/>
            </w:tcBorders>
            <w:shd w:val="clear" w:color="auto" w:fill="auto"/>
            <w:vAlign w:val="bottom"/>
          </w:tcPr>
          <w:p w14:paraId="42EB7DA1" w14:textId="77777777" w:rsidR="004E2F51" w:rsidRPr="00B44A61" w:rsidRDefault="004E2F51" w:rsidP="00E032FC">
            <w:pPr>
              <w:pStyle w:val="TT"/>
              <w:spacing w:line="240" w:lineRule="exact"/>
              <w:jc w:val="right"/>
              <w:rPr>
                <w:rFonts w:cs="Arial"/>
                <w:color w:val="000000" w:themeColor="text1"/>
                <w:sz w:val="20"/>
                <w:lang w:val="hr-HR"/>
              </w:rPr>
            </w:pPr>
            <w:r>
              <w:rPr>
                <w:rFonts w:cs="Arial"/>
                <w:color w:val="000000" w:themeColor="text1"/>
                <w:sz w:val="20"/>
                <w:lang w:val="hr-HR"/>
              </w:rPr>
              <w:t>-</w:t>
            </w:r>
          </w:p>
        </w:tc>
        <w:tc>
          <w:tcPr>
            <w:tcW w:w="746" w:type="pct"/>
            <w:tcBorders>
              <w:top w:val="nil"/>
              <w:left w:val="nil"/>
              <w:bottom w:val="nil"/>
              <w:right w:val="nil"/>
            </w:tcBorders>
            <w:shd w:val="clear" w:color="auto" w:fill="auto"/>
            <w:vAlign w:val="bottom"/>
          </w:tcPr>
          <w:p w14:paraId="5F3F713A" w14:textId="77777777" w:rsidR="004E2F51" w:rsidRPr="00B44A61" w:rsidRDefault="004E2F51" w:rsidP="00E032FC">
            <w:pPr>
              <w:pStyle w:val="TT"/>
              <w:spacing w:line="240" w:lineRule="exact"/>
              <w:jc w:val="right"/>
              <w:rPr>
                <w:rFonts w:cs="Arial"/>
                <w:color w:val="000000" w:themeColor="text1"/>
                <w:sz w:val="20"/>
                <w:lang w:val="hr-HR"/>
              </w:rPr>
            </w:pPr>
            <w:r w:rsidRPr="00B44A61">
              <w:rPr>
                <w:rFonts w:cs="Arial"/>
                <w:color w:val="000000" w:themeColor="text1"/>
                <w:sz w:val="20"/>
                <w:lang w:val="hr-HR"/>
              </w:rPr>
              <w:t>-</w:t>
            </w:r>
          </w:p>
        </w:tc>
      </w:tr>
      <w:tr w:rsidR="004E2F51" w:rsidRPr="00B44A61" w14:paraId="39306C9C" w14:textId="77777777" w:rsidTr="00E032FC">
        <w:trPr>
          <w:trHeight w:val="265"/>
        </w:trPr>
        <w:tc>
          <w:tcPr>
            <w:tcW w:w="1840" w:type="pct"/>
            <w:vAlign w:val="bottom"/>
          </w:tcPr>
          <w:p w14:paraId="12A1B87C" w14:textId="77777777" w:rsidR="004E2F51" w:rsidRPr="00B44A61" w:rsidRDefault="004E2F51" w:rsidP="00E032FC">
            <w:pPr>
              <w:pStyle w:val="TT"/>
              <w:spacing w:line="240" w:lineRule="exact"/>
              <w:rPr>
                <w:rFonts w:cs="Arial"/>
                <w:iCs/>
                <w:color w:val="000000" w:themeColor="text1"/>
                <w:sz w:val="20"/>
                <w:lang w:val="hr-HR"/>
              </w:rPr>
            </w:pPr>
          </w:p>
        </w:tc>
        <w:tc>
          <w:tcPr>
            <w:tcW w:w="847" w:type="pct"/>
            <w:tcBorders>
              <w:top w:val="single" w:sz="4" w:space="0" w:color="auto"/>
              <w:bottom w:val="single" w:sz="4" w:space="0" w:color="auto"/>
            </w:tcBorders>
            <w:vAlign w:val="bottom"/>
          </w:tcPr>
          <w:p w14:paraId="612F1ECC" w14:textId="77777777" w:rsidR="004E2F51" w:rsidRPr="00B44A61" w:rsidRDefault="004E2F51" w:rsidP="00E032FC">
            <w:pPr>
              <w:pStyle w:val="Tot"/>
              <w:spacing w:line="240" w:lineRule="exact"/>
              <w:jc w:val="right"/>
              <w:rPr>
                <w:rFonts w:cs="Arial"/>
                <w:color w:val="000000" w:themeColor="text1"/>
                <w:sz w:val="20"/>
                <w:lang w:val="hr-HR"/>
              </w:rPr>
            </w:pPr>
            <w:r w:rsidRPr="00276333">
              <w:rPr>
                <w:rFonts w:cs="Arial"/>
                <w:color w:val="000000" w:themeColor="text1"/>
                <w:sz w:val="20"/>
                <w:lang w:val="hr-HR"/>
              </w:rPr>
              <w:t>1.727.983</w:t>
            </w:r>
          </w:p>
        </w:tc>
        <w:tc>
          <w:tcPr>
            <w:tcW w:w="833" w:type="pct"/>
            <w:tcBorders>
              <w:top w:val="single" w:sz="4" w:space="0" w:color="auto"/>
              <w:bottom w:val="single" w:sz="4" w:space="0" w:color="auto"/>
            </w:tcBorders>
            <w:vAlign w:val="bottom"/>
          </w:tcPr>
          <w:p w14:paraId="67BD6953" w14:textId="77777777" w:rsidR="004E2F51" w:rsidRPr="00B44A61" w:rsidRDefault="004E2F51" w:rsidP="00E032FC">
            <w:pPr>
              <w:pStyle w:val="Tot"/>
              <w:spacing w:line="240" w:lineRule="exact"/>
              <w:jc w:val="right"/>
              <w:rPr>
                <w:rFonts w:cs="Arial"/>
                <w:color w:val="000000" w:themeColor="text1"/>
                <w:sz w:val="20"/>
                <w:lang w:val="hr-HR"/>
              </w:rPr>
            </w:pPr>
            <w:r w:rsidRPr="00B44A61">
              <w:rPr>
                <w:rFonts w:cs="Arial"/>
                <w:color w:val="000000" w:themeColor="text1"/>
                <w:sz w:val="20"/>
                <w:lang w:val="hr-HR"/>
              </w:rPr>
              <w:t>1.963.795</w:t>
            </w:r>
          </w:p>
        </w:tc>
        <w:tc>
          <w:tcPr>
            <w:tcW w:w="734" w:type="pct"/>
            <w:tcBorders>
              <w:top w:val="single" w:sz="4" w:space="0" w:color="auto"/>
              <w:bottom w:val="single" w:sz="4" w:space="0" w:color="auto"/>
            </w:tcBorders>
            <w:vAlign w:val="bottom"/>
          </w:tcPr>
          <w:p w14:paraId="687E8099" w14:textId="77777777" w:rsidR="004E2F51" w:rsidRPr="00B44A61" w:rsidRDefault="004E2F51" w:rsidP="00E032FC">
            <w:pPr>
              <w:pStyle w:val="Tot"/>
              <w:spacing w:line="240" w:lineRule="exact"/>
              <w:jc w:val="right"/>
              <w:rPr>
                <w:rFonts w:cs="Arial"/>
                <w:color w:val="000000" w:themeColor="text1"/>
                <w:sz w:val="20"/>
                <w:lang w:val="hr-HR"/>
              </w:rPr>
            </w:pPr>
            <w:r w:rsidRPr="00276333">
              <w:rPr>
                <w:rFonts w:cs="Arial"/>
                <w:color w:val="000000" w:themeColor="text1"/>
                <w:sz w:val="20"/>
                <w:lang w:val="hr-HR"/>
              </w:rPr>
              <w:t>1.722.578</w:t>
            </w:r>
          </w:p>
        </w:tc>
        <w:tc>
          <w:tcPr>
            <w:tcW w:w="746" w:type="pct"/>
            <w:tcBorders>
              <w:top w:val="single" w:sz="4" w:space="0" w:color="auto"/>
              <w:bottom w:val="single" w:sz="4" w:space="0" w:color="auto"/>
            </w:tcBorders>
            <w:vAlign w:val="bottom"/>
          </w:tcPr>
          <w:p w14:paraId="5818598D" w14:textId="77777777" w:rsidR="004E2F51" w:rsidRPr="00B44A61" w:rsidRDefault="004E2F51" w:rsidP="00E032FC">
            <w:pPr>
              <w:pStyle w:val="Tot"/>
              <w:spacing w:line="240" w:lineRule="exact"/>
              <w:jc w:val="right"/>
              <w:rPr>
                <w:rFonts w:cs="Arial"/>
                <w:color w:val="000000" w:themeColor="text1"/>
                <w:sz w:val="20"/>
                <w:lang w:val="hr-HR"/>
              </w:rPr>
            </w:pPr>
            <w:r w:rsidRPr="00B44A61">
              <w:rPr>
                <w:rFonts w:cs="Arial"/>
                <w:color w:val="000000" w:themeColor="text1"/>
                <w:sz w:val="20"/>
                <w:lang w:val="hr-HR"/>
              </w:rPr>
              <w:t>1.960.424</w:t>
            </w:r>
          </w:p>
        </w:tc>
      </w:tr>
      <w:tr w:rsidR="004E2F51" w:rsidRPr="00B44A61" w14:paraId="08C9D4A9" w14:textId="77777777" w:rsidTr="00E032FC">
        <w:trPr>
          <w:trHeight w:val="347"/>
        </w:trPr>
        <w:tc>
          <w:tcPr>
            <w:tcW w:w="1840" w:type="pct"/>
            <w:vAlign w:val="bottom"/>
          </w:tcPr>
          <w:p w14:paraId="11C37637" w14:textId="77777777" w:rsidR="004E2F51" w:rsidRPr="00B44A61" w:rsidRDefault="004E2F51" w:rsidP="00E032FC">
            <w:pPr>
              <w:pStyle w:val="TT"/>
              <w:spacing w:line="240" w:lineRule="exact"/>
              <w:rPr>
                <w:rFonts w:cs="Arial"/>
                <w:color w:val="000000" w:themeColor="text1"/>
                <w:sz w:val="20"/>
                <w:lang w:val="hr-HR"/>
              </w:rPr>
            </w:pPr>
            <w:bookmarkStart w:id="964" w:name="_Toc67327911"/>
            <w:r w:rsidRPr="00B44A61">
              <w:rPr>
                <w:rFonts w:cs="Arial"/>
                <w:color w:val="000000" w:themeColor="text1"/>
                <w:sz w:val="20"/>
                <w:lang w:val="hr-HR"/>
              </w:rPr>
              <w:t>Rezerviranja za očekivane gubitke</w:t>
            </w:r>
            <w:bookmarkEnd w:id="964"/>
            <w:r w:rsidRPr="00B44A61">
              <w:rPr>
                <w:rFonts w:cs="Arial"/>
                <w:color w:val="000000" w:themeColor="text1"/>
                <w:sz w:val="20"/>
                <w:lang w:val="hr-HR"/>
              </w:rPr>
              <w:t xml:space="preserve"> </w:t>
            </w:r>
          </w:p>
        </w:tc>
        <w:tc>
          <w:tcPr>
            <w:tcW w:w="847" w:type="pct"/>
            <w:tcBorders>
              <w:top w:val="single" w:sz="4" w:space="0" w:color="auto"/>
              <w:bottom w:val="single" w:sz="4" w:space="0" w:color="auto"/>
            </w:tcBorders>
            <w:vAlign w:val="bottom"/>
          </w:tcPr>
          <w:p w14:paraId="129AD1C8" w14:textId="77777777" w:rsidR="004E2F51" w:rsidRPr="00B44A61" w:rsidRDefault="004E2F51" w:rsidP="00E032FC">
            <w:pPr>
              <w:pStyle w:val="TT"/>
              <w:spacing w:line="240" w:lineRule="exact"/>
              <w:jc w:val="right"/>
              <w:rPr>
                <w:rFonts w:cs="Arial"/>
                <w:color w:val="000000" w:themeColor="text1"/>
                <w:sz w:val="20"/>
                <w:lang w:val="hr-HR"/>
              </w:rPr>
            </w:pPr>
            <w:r w:rsidRPr="00276333">
              <w:rPr>
                <w:rFonts w:cs="Arial"/>
                <w:color w:val="000000" w:themeColor="text1"/>
                <w:sz w:val="20"/>
                <w:lang w:val="hr-HR"/>
              </w:rPr>
              <w:t>(6.064)</w:t>
            </w:r>
          </w:p>
        </w:tc>
        <w:tc>
          <w:tcPr>
            <w:tcW w:w="833" w:type="pct"/>
            <w:tcBorders>
              <w:top w:val="single" w:sz="4" w:space="0" w:color="auto"/>
              <w:bottom w:val="single" w:sz="4" w:space="0" w:color="auto"/>
            </w:tcBorders>
            <w:vAlign w:val="bottom"/>
          </w:tcPr>
          <w:p w14:paraId="586EA92A" w14:textId="77777777" w:rsidR="004E2F51" w:rsidRPr="00B44A61" w:rsidRDefault="004E2F51" w:rsidP="00E032FC">
            <w:pPr>
              <w:pStyle w:val="TT"/>
              <w:spacing w:line="240" w:lineRule="exact"/>
              <w:jc w:val="right"/>
              <w:rPr>
                <w:rFonts w:cs="Arial"/>
                <w:color w:val="000000" w:themeColor="text1"/>
                <w:sz w:val="20"/>
                <w:lang w:val="hr-HR"/>
              </w:rPr>
            </w:pPr>
            <w:r w:rsidRPr="00B44A61">
              <w:rPr>
                <w:rFonts w:cs="Arial"/>
                <w:color w:val="000000" w:themeColor="text1"/>
                <w:sz w:val="20"/>
                <w:lang w:val="hr-HR"/>
              </w:rPr>
              <w:t>(1.809)</w:t>
            </w:r>
          </w:p>
        </w:tc>
        <w:tc>
          <w:tcPr>
            <w:tcW w:w="734" w:type="pct"/>
            <w:tcBorders>
              <w:top w:val="single" w:sz="4" w:space="0" w:color="auto"/>
              <w:bottom w:val="single" w:sz="4" w:space="0" w:color="auto"/>
            </w:tcBorders>
            <w:vAlign w:val="bottom"/>
          </w:tcPr>
          <w:p w14:paraId="285CA359" w14:textId="77777777" w:rsidR="004E2F51" w:rsidRPr="00B44A61" w:rsidRDefault="004E2F51" w:rsidP="00E032FC">
            <w:pPr>
              <w:pStyle w:val="TT"/>
              <w:spacing w:line="240" w:lineRule="exact"/>
              <w:jc w:val="right"/>
              <w:rPr>
                <w:rFonts w:cs="Arial"/>
                <w:color w:val="000000" w:themeColor="text1"/>
                <w:sz w:val="20"/>
                <w:lang w:val="hr-HR"/>
              </w:rPr>
            </w:pPr>
            <w:r w:rsidRPr="00276333">
              <w:rPr>
                <w:rFonts w:cs="Arial"/>
                <w:color w:val="000000" w:themeColor="text1"/>
                <w:sz w:val="20"/>
                <w:lang w:val="hr-HR"/>
              </w:rPr>
              <w:t>(6.059)</w:t>
            </w:r>
          </w:p>
        </w:tc>
        <w:tc>
          <w:tcPr>
            <w:tcW w:w="746" w:type="pct"/>
            <w:tcBorders>
              <w:top w:val="single" w:sz="4" w:space="0" w:color="auto"/>
              <w:bottom w:val="single" w:sz="4" w:space="0" w:color="auto"/>
            </w:tcBorders>
            <w:vAlign w:val="bottom"/>
          </w:tcPr>
          <w:p w14:paraId="04F3672D" w14:textId="77777777" w:rsidR="004E2F51" w:rsidRPr="00B44A61" w:rsidRDefault="004E2F51" w:rsidP="00E032FC">
            <w:pPr>
              <w:pStyle w:val="TT"/>
              <w:spacing w:line="240" w:lineRule="exact"/>
              <w:jc w:val="right"/>
              <w:rPr>
                <w:rFonts w:cs="Arial"/>
                <w:color w:val="000000" w:themeColor="text1"/>
                <w:sz w:val="20"/>
                <w:lang w:val="hr-HR"/>
              </w:rPr>
            </w:pPr>
            <w:r w:rsidRPr="00B44A61">
              <w:rPr>
                <w:rFonts w:cs="Arial"/>
                <w:color w:val="000000" w:themeColor="text1"/>
                <w:sz w:val="20"/>
                <w:lang w:val="hr-HR"/>
              </w:rPr>
              <w:t>(1.804)</w:t>
            </w:r>
          </w:p>
        </w:tc>
      </w:tr>
      <w:tr w:rsidR="004E2F51" w:rsidRPr="00B44A61" w14:paraId="00BE3818" w14:textId="77777777" w:rsidTr="00E032FC">
        <w:trPr>
          <w:trHeight w:val="345"/>
        </w:trPr>
        <w:tc>
          <w:tcPr>
            <w:tcW w:w="1840" w:type="pct"/>
            <w:vAlign w:val="bottom"/>
          </w:tcPr>
          <w:p w14:paraId="41F00A6C" w14:textId="77777777" w:rsidR="004E2F51" w:rsidRPr="00B44A61" w:rsidRDefault="004E2F51" w:rsidP="00E032FC">
            <w:pPr>
              <w:pStyle w:val="TT"/>
              <w:spacing w:line="240" w:lineRule="exact"/>
              <w:rPr>
                <w:rFonts w:cs="Arial"/>
                <w:b/>
                <w:color w:val="000000" w:themeColor="text1"/>
                <w:sz w:val="20"/>
                <w:lang w:val="hr-HR"/>
              </w:rPr>
            </w:pPr>
          </w:p>
        </w:tc>
        <w:tc>
          <w:tcPr>
            <w:tcW w:w="847" w:type="pct"/>
            <w:tcBorders>
              <w:top w:val="single" w:sz="4" w:space="0" w:color="auto"/>
              <w:bottom w:val="single" w:sz="12" w:space="0" w:color="auto"/>
            </w:tcBorders>
            <w:vAlign w:val="bottom"/>
          </w:tcPr>
          <w:p w14:paraId="30CC9F76" w14:textId="77777777" w:rsidR="004E2F51" w:rsidRPr="00B44A61" w:rsidRDefault="004E2F51" w:rsidP="00E032FC">
            <w:pPr>
              <w:pStyle w:val="Tot"/>
              <w:spacing w:line="240" w:lineRule="exact"/>
              <w:jc w:val="right"/>
              <w:rPr>
                <w:rFonts w:cs="Arial"/>
                <w:b/>
                <w:color w:val="000000" w:themeColor="text1"/>
                <w:sz w:val="20"/>
                <w:lang w:val="hr-HR"/>
              </w:rPr>
            </w:pPr>
            <w:r w:rsidRPr="00276333">
              <w:rPr>
                <w:rFonts w:cs="Arial"/>
                <w:b/>
                <w:color w:val="000000" w:themeColor="text1"/>
                <w:sz w:val="20"/>
                <w:lang w:val="hr-HR"/>
              </w:rPr>
              <w:t>1.721.919</w:t>
            </w:r>
          </w:p>
        </w:tc>
        <w:tc>
          <w:tcPr>
            <w:tcW w:w="833" w:type="pct"/>
            <w:tcBorders>
              <w:top w:val="single" w:sz="4" w:space="0" w:color="auto"/>
              <w:bottom w:val="single" w:sz="12" w:space="0" w:color="auto"/>
            </w:tcBorders>
            <w:vAlign w:val="bottom"/>
          </w:tcPr>
          <w:p w14:paraId="350E3D9F" w14:textId="77777777" w:rsidR="004E2F51" w:rsidRPr="00B44A61" w:rsidRDefault="004E2F51" w:rsidP="00E032FC">
            <w:pPr>
              <w:pStyle w:val="Tot"/>
              <w:spacing w:line="240" w:lineRule="exact"/>
              <w:jc w:val="right"/>
              <w:rPr>
                <w:rFonts w:cs="Arial"/>
                <w:b/>
                <w:color w:val="000000" w:themeColor="text1"/>
                <w:sz w:val="20"/>
                <w:lang w:val="hr-HR"/>
              </w:rPr>
            </w:pPr>
            <w:r w:rsidRPr="00B44A61">
              <w:rPr>
                <w:rFonts w:cs="Arial"/>
                <w:b/>
                <w:color w:val="000000" w:themeColor="text1"/>
                <w:sz w:val="20"/>
                <w:lang w:val="hr-HR"/>
              </w:rPr>
              <w:t>1.961.986</w:t>
            </w:r>
          </w:p>
        </w:tc>
        <w:tc>
          <w:tcPr>
            <w:tcW w:w="734" w:type="pct"/>
            <w:tcBorders>
              <w:top w:val="single" w:sz="4" w:space="0" w:color="auto"/>
              <w:bottom w:val="single" w:sz="12" w:space="0" w:color="auto"/>
            </w:tcBorders>
            <w:vAlign w:val="bottom"/>
          </w:tcPr>
          <w:p w14:paraId="7E5EC8BC" w14:textId="77777777" w:rsidR="004E2F51" w:rsidRPr="00B44A61" w:rsidRDefault="004E2F51" w:rsidP="00E032FC">
            <w:pPr>
              <w:pStyle w:val="Tot"/>
              <w:spacing w:line="240" w:lineRule="exact"/>
              <w:jc w:val="right"/>
              <w:rPr>
                <w:rFonts w:cs="Arial"/>
                <w:b/>
                <w:color w:val="000000" w:themeColor="text1"/>
                <w:sz w:val="20"/>
                <w:lang w:val="hr-HR"/>
              </w:rPr>
            </w:pPr>
            <w:r w:rsidRPr="00276333">
              <w:rPr>
                <w:rFonts w:cs="Arial"/>
                <w:b/>
                <w:color w:val="000000" w:themeColor="text1"/>
                <w:sz w:val="20"/>
                <w:lang w:val="hr-HR"/>
              </w:rPr>
              <w:t>1.716.519</w:t>
            </w:r>
          </w:p>
        </w:tc>
        <w:tc>
          <w:tcPr>
            <w:tcW w:w="746" w:type="pct"/>
            <w:tcBorders>
              <w:top w:val="single" w:sz="4" w:space="0" w:color="auto"/>
              <w:bottom w:val="single" w:sz="12" w:space="0" w:color="auto"/>
            </w:tcBorders>
            <w:vAlign w:val="bottom"/>
          </w:tcPr>
          <w:p w14:paraId="1547DB8C" w14:textId="77777777" w:rsidR="004E2F51" w:rsidRPr="00B44A61" w:rsidRDefault="004E2F51" w:rsidP="00E032FC">
            <w:pPr>
              <w:pStyle w:val="Tot"/>
              <w:spacing w:line="240" w:lineRule="exact"/>
              <w:jc w:val="right"/>
              <w:rPr>
                <w:rFonts w:cs="Arial"/>
                <w:b/>
                <w:color w:val="000000" w:themeColor="text1"/>
                <w:sz w:val="20"/>
                <w:lang w:val="hr-HR"/>
              </w:rPr>
            </w:pPr>
            <w:r w:rsidRPr="00B44A61">
              <w:rPr>
                <w:rFonts w:cs="Arial"/>
                <w:b/>
                <w:color w:val="000000" w:themeColor="text1"/>
                <w:sz w:val="20"/>
                <w:lang w:val="hr-HR"/>
              </w:rPr>
              <w:t>1.958.620</w:t>
            </w:r>
          </w:p>
        </w:tc>
      </w:tr>
    </w:tbl>
    <w:p w14:paraId="1C7AA6F8" w14:textId="77777777" w:rsidR="004E2F51" w:rsidRPr="004B4498" w:rsidRDefault="004E2F51" w:rsidP="004E2F51">
      <w:pPr>
        <w:pStyle w:val="T1"/>
        <w:spacing w:before="0" w:after="0" w:line="240" w:lineRule="auto"/>
        <w:rPr>
          <w:rFonts w:cs="Arial"/>
          <w:bCs w:val="0"/>
          <w:color w:val="000000" w:themeColor="text1"/>
          <w:sz w:val="20"/>
          <w:lang w:val="hr-HR"/>
        </w:rPr>
      </w:pPr>
    </w:p>
    <w:p w14:paraId="28643F0E" w14:textId="77777777" w:rsidR="004E2F51" w:rsidRPr="004B4498" w:rsidRDefault="004E2F51" w:rsidP="004E2F51">
      <w:pPr>
        <w:pStyle w:val="T1"/>
        <w:spacing w:before="0" w:after="0" w:line="240" w:lineRule="auto"/>
        <w:rPr>
          <w:rFonts w:cs="Arial"/>
          <w:b w:val="0"/>
          <w:color w:val="000000" w:themeColor="text1"/>
          <w:sz w:val="20"/>
          <w:lang w:val="hr-HR"/>
        </w:rPr>
      </w:pPr>
      <w:bookmarkStart w:id="965" w:name="_Hlk506307924"/>
    </w:p>
    <w:p w14:paraId="28D3BB97" w14:textId="77777777" w:rsidR="004E2F51" w:rsidRPr="004B4498" w:rsidRDefault="004E2F51" w:rsidP="004E2F51">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Sljedeće tablice prikazuju informacije o kreditnoj kvaliteti financijske imovine koja se mjeri po amortiziranom trošku. Iznosi u tablici predstavljaju bruto knjigovodstvene iznose:</w:t>
      </w:r>
    </w:p>
    <w:p w14:paraId="5DD0543A" w14:textId="77777777" w:rsidR="004E2F51" w:rsidRPr="004B4498" w:rsidRDefault="004E2F51" w:rsidP="004E2F51">
      <w:pPr>
        <w:pStyle w:val="T1"/>
        <w:spacing w:before="0" w:after="0" w:line="240" w:lineRule="auto"/>
        <w:rPr>
          <w:rFonts w:cs="Arial"/>
          <w:b w:val="0"/>
          <w:color w:val="000000" w:themeColor="text1"/>
          <w:sz w:val="20"/>
          <w:lang w:val="hr-HR"/>
        </w:rPr>
      </w:pPr>
    </w:p>
    <w:tbl>
      <w:tblPr>
        <w:tblW w:w="10235" w:type="dxa"/>
        <w:tblInd w:w="-567" w:type="dxa"/>
        <w:tblLayout w:type="fixed"/>
        <w:tblLook w:val="04A0" w:firstRow="1" w:lastRow="0" w:firstColumn="1" w:lastColumn="0" w:noHBand="0" w:noVBand="1"/>
      </w:tblPr>
      <w:tblGrid>
        <w:gridCol w:w="1843"/>
        <w:gridCol w:w="1049"/>
        <w:gridCol w:w="1049"/>
        <w:gridCol w:w="1049"/>
        <w:gridCol w:w="1049"/>
        <w:gridCol w:w="1049"/>
        <w:gridCol w:w="1049"/>
        <w:gridCol w:w="1049"/>
        <w:gridCol w:w="1049"/>
      </w:tblGrid>
      <w:tr w:rsidR="004E2F51" w:rsidRPr="00B44A61" w14:paraId="32DF51F8" w14:textId="77777777" w:rsidTr="00E032FC">
        <w:trPr>
          <w:trHeight w:val="178"/>
        </w:trPr>
        <w:tc>
          <w:tcPr>
            <w:tcW w:w="1843" w:type="dxa"/>
            <w:tcBorders>
              <w:top w:val="nil"/>
              <w:left w:val="nil"/>
              <w:bottom w:val="nil"/>
              <w:right w:val="nil"/>
            </w:tcBorders>
            <w:shd w:val="clear" w:color="auto" w:fill="auto"/>
            <w:noWrap/>
            <w:vAlign w:val="bottom"/>
            <w:hideMark/>
          </w:tcPr>
          <w:p w14:paraId="1C3C1864" w14:textId="77777777" w:rsidR="004E2F51" w:rsidRPr="004B4498" w:rsidRDefault="004E2F51" w:rsidP="00E032FC">
            <w:pPr>
              <w:rPr>
                <w:rFonts w:ascii="Arial" w:hAnsi="Arial" w:cs="Arial"/>
                <w:b/>
                <w:color w:val="000000" w:themeColor="text1"/>
                <w:sz w:val="17"/>
                <w:szCs w:val="17"/>
                <w:lang w:val="hr-HR"/>
              </w:rPr>
            </w:pPr>
            <w:r w:rsidRPr="004B4498">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2</w:t>
            </w:r>
            <w:r w:rsidRPr="004B4498">
              <w:rPr>
                <w:rFonts w:ascii="Arial" w:hAnsi="Arial" w:cs="Arial"/>
                <w:b/>
                <w:color w:val="000000" w:themeColor="text1"/>
                <w:sz w:val="17"/>
                <w:szCs w:val="17"/>
                <w:lang w:val="hr-HR"/>
              </w:rPr>
              <w:t>.</w:t>
            </w:r>
          </w:p>
        </w:tc>
        <w:tc>
          <w:tcPr>
            <w:tcW w:w="1049" w:type="dxa"/>
            <w:tcBorders>
              <w:top w:val="nil"/>
              <w:left w:val="nil"/>
              <w:bottom w:val="nil"/>
              <w:right w:val="nil"/>
            </w:tcBorders>
            <w:shd w:val="clear" w:color="auto" w:fill="auto"/>
            <w:noWrap/>
            <w:vAlign w:val="bottom"/>
            <w:hideMark/>
          </w:tcPr>
          <w:p w14:paraId="488071EB" w14:textId="77777777" w:rsidR="004E2F51" w:rsidRPr="004B4498" w:rsidRDefault="004E2F51" w:rsidP="00E032FC">
            <w:pPr>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029F2A0E" w14:textId="77777777" w:rsidR="004E2F51" w:rsidRPr="004B4498" w:rsidRDefault="004E2F51" w:rsidP="00E032FC">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2F1CFADB" w14:textId="77777777" w:rsidR="004E2F51" w:rsidRPr="004B4498" w:rsidRDefault="004E2F51" w:rsidP="00E032FC">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05D07E01"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Grupa</w:t>
            </w:r>
          </w:p>
        </w:tc>
        <w:tc>
          <w:tcPr>
            <w:tcW w:w="1049" w:type="dxa"/>
            <w:tcBorders>
              <w:top w:val="nil"/>
              <w:left w:val="nil"/>
              <w:bottom w:val="nil"/>
              <w:right w:val="nil"/>
            </w:tcBorders>
            <w:shd w:val="clear" w:color="auto" w:fill="auto"/>
            <w:noWrap/>
            <w:vAlign w:val="bottom"/>
            <w:hideMark/>
          </w:tcPr>
          <w:p w14:paraId="2A7E99B2"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55DB1762" w14:textId="77777777" w:rsidR="004E2F51" w:rsidRPr="004B4498" w:rsidRDefault="004E2F51" w:rsidP="00E032FC">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511CDCA6" w14:textId="77777777" w:rsidR="004E2F51" w:rsidRPr="004B4498" w:rsidRDefault="004E2F51" w:rsidP="00E032FC">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5B49A22C"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Banka</w:t>
            </w:r>
          </w:p>
        </w:tc>
      </w:tr>
      <w:tr w:rsidR="004E2F51" w:rsidRPr="00B44A61" w14:paraId="17ED2FE3" w14:textId="77777777" w:rsidTr="00E032FC">
        <w:trPr>
          <w:trHeight w:val="310"/>
        </w:trPr>
        <w:tc>
          <w:tcPr>
            <w:tcW w:w="1843" w:type="dxa"/>
            <w:tcBorders>
              <w:top w:val="nil"/>
              <w:left w:val="nil"/>
              <w:bottom w:val="nil"/>
              <w:right w:val="nil"/>
            </w:tcBorders>
            <w:shd w:val="clear" w:color="auto" w:fill="auto"/>
            <w:noWrap/>
            <w:vAlign w:val="bottom"/>
            <w:hideMark/>
          </w:tcPr>
          <w:p w14:paraId="3C5864B8"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261CC794"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1049" w:type="dxa"/>
            <w:tcBorders>
              <w:top w:val="nil"/>
              <w:left w:val="nil"/>
              <w:bottom w:val="nil"/>
              <w:right w:val="nil"/>
            </w:tcBorders>
            <w:shd w:val="clear" w:color="auto" w:fill="auto"/>
            <w:noWrap/>
            <w:vAlign w:val="bottom"/>
            <w:hideMark/>
          </w:tcPr>
          <w:p w14:paraId="39213F59"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1049" w:type="dxa"/>
            <w:tcBorders>
              <w:top w:val="nil"/>
              <w:left w:val="nil"/>
              <w:bottom w:val="nil"/>
              <w:right w:val="nil"/>
            </w:tcBorders>
            <w:shd w:val="clear" w:color="auto" w:fill="auto"/>
            <w:noWrap/>
            <w:vAlign w:val="bottom"/>
            <w:hideMark/>
          </w:tcPr>
          <w:p w14:paraId="4B881738"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1049" w:type="dxa"/>
            <w:tcBorders>
              <w:top w:val="nil"/>
              <w:left w:val="nil"/>
              <w:bottom w:val="nil"/>
              <w:right w:val="nil"/>
            </w:tcBorders>
            <w:shd w:val="clear" w:color="auto" w:fill="auto"/>
            <w:noWrap/>
            <w:vAlign w:val="bottom"/>
            <w:hideMark/>
          </w:tcPr>
          <w:p w14:paraId="3EEF89AC"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c>
          <w:tcPr>
            <w:tcW w:w="1049" w:type="dxa"/>
            <w:tcBorders>
              <w:top w:val="nil"/>
              <w:left w:val="nil"/>
              <w:bottom w:val="nil"/>
              <w:right w:val="nil"/>
            </w:tcBorders>
            <w:shd w:val="clear" w:color="auto" w:fill="auto"/>
            <w:noWrap/>
            <w:vAlign w:val="bottom"/>
            <w:hideMark/>
          </w:tcPr>
          <w:p w14:paraId="06816C85"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1049" w:type="dxa"/>
            <w:tcBorders>
              <w:top w:val="nil"/>
              <w:left w:val="nil"/>
              <w:bottom w:val="nil"/>
              <w:right w:val="nil"/>
            </w:tcBorders>
            <w:shd w:val="clear" w:color="auto" w:fill="auto"/>
            <w:noWrap/>
            <w:vAlign w:val="bottom"/>
            <w:hideMark/>
          </w:tcPr>
          <w:p w14:paraId="2E2CE669"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1049" w:type="dxa"/>
            <w:tcBorders>
              <w:top w:val="nil"/>
              <w:left w:val="nil"/>
              <w:bottom w:val="nil"/>
              <w:right w:val="nil"/>
            </w:tcBorders>
            <w:shd w:val="clear" w:color="auto" w:fill="auto"/>
            <w:noWrap/>
            <w:vAlign w:val="bottom"/>
            <w:hideMark/>
          </w:tcPr>
          <w:p w14:paraId="0B90178D"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1049" w:type="dxa"/>
            <w:tcBorders>
              <w:top w:val="nil"/>
              <w:left w:val="nil"/>
              <w:bottom w:val="nil"/>
              <w:right w:val="nil"/>
            </w:tcBorders>
            <w:shd w:val="clear" w:color="auto" w:fill="auto"/>
            <w:noWrap/>
            <w:vAlign w:val="bottom"/>
            <w:hideMark/>
          </w:tcPr>
          <w:p w14:paraId="31E421B0"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r>
      <w:tr w:rsidR="004E2F51" w:rsidRPr="00B44A61" w14:paraId="0CE78CF9" w14:textId="77777777" w:rsidTr="00E032FC">
        <w:trPr>
          <w:trHeight w:val="314"/>
        </w:trPr>
        <w:tc>
          <w:tcPr>
            <w:tcW w:w="1843" w:type="dxa"/>
            <w:tcBorders>
              <w:top w:val="nil"/>
              <w:left w:val="nil"/>
              <w:bottom w:val="nil"/>
              <w:right w:val="nil"/>
            </w:tcBorders>
            <w:shd w:val="clear" w:color="auto" w:fill="auto"/>
            <w:noWrap/>
            <w:vAlign w:val="bottom"/>
            <w:hideMark/>
          </w:tcPr>
          <w:p w14:paraId="0152CDDE"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60B06C2D"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1049" w:type="dxa"/>
            <w:tcBorders>
              <w:top w:val="nil"/>
              <w:left w:val="nil"/>
              <w:bottom w:val="nil"/>
              <w:right w:val="nil"/>
            </w:tcBorders>
            <w:shd w:val="clear" w:color="auto" w:fill="auto"/>
            <w:noWrap/>
            <w:vAlign w:val="bottom"/>
            <w:hideMark/>
          </w:tcPr>
          <w:p w14:paraId="6B32F2D5"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1049" w:type="dxa"/>
            <w:tcBorders>
              <w:top w:val="nil"/>
              <w:left w:val="nil"/>
              <w:bottom w:val="nil"/>
              <w:right w:val="nil"/>
            </w:tcBorders>
            <w:shd w:val="clear" w:color="auto" w:fill="auto"/>
            <w:noWrap/>
            <w:vAlign w:val="bottom"/>
            <w:hideMark/>
          </w:tcPr>
          <w:p w14:paraId="1C9ABDAE"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1049" w:type="dxa"/>
            <w:tcBorders>
              <w:top w:val="nil"/>
              <w:left w:val="nil"/>
              <w:bottom w:val="nil"/>
              <w:right w:val="nil"/>
            </w:tcBorders>
            <w:shd w:val="clear" w:color="auto" w:fill="auto"/>
            <w:noWrap/>
            <w:vAlign w:val="bottom"/>
            <w:hideMark/>
          </w:tcPr>
          <w:p w14:paraId="776B900D"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1049" w:type="dxa"/>
            <w:tcBorders>
              <w:top w:val="nil"/>
              <w:left w:val="nil"/>
              <w:bottom w:val="nil"/>
              <w:right w:val="nil"/>
            </w:tcBorders>
            <w:shd w:val="clear" w:color="auto" w:fill="auto"/>
            <w:noWrap/>
            <w:vAlign w:val="bottom"/>
            <w:hideMark/>
          </w:tcPr>
          <w:p w14:paraId="74824CBD"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1049" w:type="dxa"/>
            <w:tcBorders>
              <w:top w:val="nil"/>
              <w:left w:val="nil"/>
              <w:bottom w:val="nil"/>
              <w:right w:val="nil"/>
            </w:tcBorders>
            <w:shd w:val="clear" w:color="auto" w:fill="auto"/>
            <w:noWrap/>
            <w:vAlign w:val="bottom"/>
            <w:hideMark/>
          </w:tcPr>
          <w:p w14:paraId="45C6DEFA"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1049" w:type="dxa"/>
            <w:tcBorders>
              <w:top w:val="nil"/>
              <w:left w:val="nil"/>
              <w:bottom w:val="nil"/>
              <w:right w:val="nil"/>
            </w:tcBorders>
            <w:shd w:val="clear" w:color="auto" w:fill="auto"/>
            <w:noWrap/>
            <w:vAlign w:val="bottom"/>
            <w:hideMark/>
          </w:tcPr>
          <w:p w14:paraId="79650172"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1049" w:type="dxa"/>
            <w:tcBorders>
              <w:top w:val="nil"/>
              <w:left w:val="nil"/>
              <w:bottom w:val="nil"/>
              <w:right w:val="nil"/>
            </w:tcBorders>
            <w:shd w:val="clear" w:color="auto" w:fill="auto"/>
            <w:noWrap/>
            <w:vAlign w:val="bottom"/>
            <w:hideMark/>
          </w:tcPr>
          <w:p w14:paraId="32F57072"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r>
      <w:tr w:rsidR="004E2F51" w:rsidRPr="00B44A61" w14:paraId="2C757A26" w14:textId="77777777" w:rsidTr="00E032FC">
        <w:trPr>
          <w:trHeight w:val="184"/>
        </w:trPr>
        <w:tc>
          <w:tcPr>
            <w:tcW w:w="1843" w:type="dxa"/>
            <w:tcBorders>
              <w:top w:val="nil"/>
              <w:left w:val="nil"/>
              <w:bottom w:val="nil"/>
              <w:right w:val="nil"/>
            </w:tcBorders>
            <w:shd w:val="clear" w:color="auto" w:fill="auto"/>
            <w:noWrap/>
            <w:vAlign w:val="bottom"/>
          </w:tcPr>
          <w:p w14:paraId="2A17F1D8"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73A5A696"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34F4AE65"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29D333BB"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26745B03"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58D43FE8"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61A47B80"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7E22BDA1"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15D1CB6B" w14:textId="77777777" w:rsidR="004E2F51" w:rsidRPr="004B4498" w:rsidRDefault="004E2F51" w:rsidP="00E032FC">
            <w:pPr>
              <w:jc w:val="right"/>
              <w:rPr>
                <w:rFonts w:ascii="Arial" w:hAnsi="Arial" w:cs="Arial"/>
                <w:b/>
                <w:bCs/>
                <w:color w:val="000000" w:themeColor="text1"/>
                <w:sz w:val="17"/>
                <w:szCs w:val="17"/>
                <w:lang w:val="hr-HR"/>
              </w:rPr>
            </w:pPr>
          </w:p>
        </w:tc>
      </w:tr>
      <w:tr w:rsidR="004E2F51" w:rsidRPr="00B44A61" w14:paraId="058DAD1E" w14:textId="77777777" w:rsidTr="00E032FC">
        <w:trPr>
          <w:trHeight w:val="319"/>
        </w:trPr>
        <w:tc>
          <w:tcPr>
            <w:tcW w:w="1843" w:type="dxa"/>
            <w:tcBorders>
              <w:top w:val="nil"/>
              <w:left w:val="nil"/>
              <w:bottom w:val="nil"/>
              <w:right w:val="nil"/>
            </w:tcBorders>
            <w:shd w:val="clear" w:color="auto" w:fill="auto"/>
            <w:noWrap/>
            <w:vAlign w:val="bottom"/>
            <w:hideMark/>
          </w:tcPr>
          <w:p w14:paraId="31DBD913" w14:textId="77777777" w:rsidR="004E2F51" w:rsidRPr="004B4498" w:rsidRDefault="004E2F51" w:rsidP="00E032FC">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Bruto iznos</w:t>
            </w:r>
          </w:p>
        </w:tc>
        <w:tc>
          <w:tcPr>
            <w:tcW w:w="1049" w:type="dxa"/>
            <w:tcBorders>
              <w:top w:val="nil"/>
              <w:left w:val="nil"/>
              <w:bottom w:val="nil"/>
              <w:right w:val="nil"/>
            </w:tcBorders>
            <w:shd w:val="clear" w:color="auto" w:fill="auto"/>
            <w:noWrap/>
            <w:vAlign w:val="bottom"/>
          </w:tcPr>
          <w:p w14:paraId="5A237C80" w14:textId="77777777" w:rsidR="004E2F51" w:rsidRPr="004B4498" w:rsidRDefault="004E2F51" w:rsidP="00E032FC">
            <w:pPr>
              <w:jc w:val="right"/>
              <w:rPr>
                <w:rFonts w:ascii="Arial" w:hAnsi="Arial" w:cs="Arial"/>
                <w:color w:val="000000" w:themeColor="text1"/>
                <w:sz w:val="17"/>
                <w:szCs w:val="17"/>
                <w:lang w:val="hr-HR"/>
              </w:rPr>
            </w:pPr>
            <w:r w:rsidRPr="00276333">
              <w:rPr>
                <w:rFonts w:ascii="Arial" w:hAnsi="Arial" w:cs="Arial"/>
                <w:color w:val="000000" w:themeColor="text1"/>
                <w:sz w:val="17"/>
                <w:szCs w:val="17"/>
                <w:lang w:val="hr-HR"/>
              </w:rPr>
              <w:t>1.727.983</w:t>
            </w:r>
          </w:p>
        </w:tc>
        <w:tc>
          <w:tcPr>
            <w:tcW w:w="1049" w:type="dxa"/>
            <w:tcBorders>
              <w:top w:val="nil"/>
              <w:left w:val="nil"/>
              <w:bottom w:val="nil"/>
              <w:right w:val="nil"/>
            </w:tcBorders>
            <w:shd w:val="clear" w:color="auto" w:fill="auto"/>
            <w:noWrap/>
            <w:vAlign w:val="bottom"/>
          </w:tcPr>
          <w:p w14:paraId="1E6C2919" w14:textId="77777777" w:rsidR="004E2F51" w:rsidRPr="004B4498" w:rsidRDefault="004E2F51" w:rsidP="00E032FC">
            <w:pPr>
              <w:jc w:val="right"/>
              <w:rPr>
                <w:rFonts w:ascii="Arial" w:hAnsi="Arial" w:cs="Arial"/>
                <w:color w:val="000000" w:themeColor="text1"/>
                <w:sz w:val="17"/>
                <w:szCs w:val="17"/>
                <w:lang w:val="hr-HR"/>
              </w:rPr>
            </w:pPr>
            <w:r w:rsidRPr="004B4498">
              <w:rPr>
                <w:rFonts w:ascii="Arial" w:hAnsi="Arial" w:cs="Arial"/>
                <w:sz w:val="17"/>
                <w:szCs w:val="17"/>
              </w:rPr>
              <w:t xml:space="preserve"> - </w:t>
            </w:r>
          </w:p>
        </w:tc>
        <w:tc>
          <w:tcPr>
            <w:tcW w:w="1049" w:type="dxa"/>
            <w:tcBorders>
              <w:top w:val="nil"/>
              <w:left w:val="nil"/>
              <w:bottom w:val="nil"/>
              <w:right w:val="nil"/>
            </w:tcBorders>
            <w:shd w:val="clear" w:color="auto" w:fill="auto"/>
            <w:noWrap/>
            <w:vAlign w:val="bottom"/>
          </w:tcPr>
          <w:p w14:paraId="36715B74" w14:textId="77777777" w:rsidR="004E2F51" w:rsidRPr="004B4498" w:rsidRDefault="004E2F51" w:rsidP="00E032FC">
            <w:pPr>
              <w:jc w:val="right"/>
              <w:rPr>
                <w:rFonts w:ascii="Arial" w:hAnsi="Arial" w:cs="Arial"/>
                <w:color w:val="000000" w:themeColor="text1"/>
                <w:sz w:val="17"/>
                <w:szCs w:val="17"/>
                <w:lang w:val="hr-HR"/>
              </w:rPr>
            </w:pPr>
            <w:r w:rsidRPr="004B4498">
              <w:rPr>
                <w:rFonts w:ascii="Arial" w:hAnsi="Arial" w:cs="Arial"/>
                <w:sz w:val="17"/>
                <w:szCs w:val="17"/>
              </w:rPr>
              <w:t xml:space="preserve"> - </w:t>
            </w:r>
          </w:p>
        </w:tc>
        <w:tc>
          <w:tcPr>
            <w:tcW w:w="1049" w:type="dxa"/>
            <w:tcBorders>
              <w:top w:val="nil"/>
              <w:left w:val="nil"/>
              <w:bottom w:val="nil"/>
              <w:right w:val="nil"/>
            </w:tcBorders>
            <w:shd w:val="clear" w:color="auto" w:fill="auto"/>
            <w:noWrap/>
            <w:vAlign w:val="bottom"/>
          </w:tcPr>
          <w:p w14:paraId="35CE53E6" w14:textId="77777777" w:rsidR="004E2F51" w:rsidRPr="00A3731F" w:rsidRDefault="004E2F51" w:rsidP="00E032FC">
            <w:pPr>
              <w:jc w:val="right"/>
              <w:rPr>
                <w:rFonts w:ascii="Arial" w:hAnsi="Arial" w:cs="Arial"/>
                <w:b/>
                <w:bCs/>
                <w:color w:val="000000" w:themeColor="text1"/>
                <w:sz w:val="17"/>
                <w:szCs w:val="17"/>
                <w:lang w:val="hr-HR"/>
              </w:rPr>
            </w:pPr>
            <w:r w:rsidRPr="00A3731F">
              <w:rPr>
                <w:rFonts w:ascii="Arial" w:hAnsi="Arial" w:cs="Arial"/>
                <w:b/>
                <w:bCs/>
                <w:color w:val="000000" w:themeColor="text1"/>
                <w:sz w:val="17"/>
                <w:szCs w:val="17"/>
                <w:lang w:val="hr-HR"/>
              </w:rPr>
              <w:t>1.727.983</w:t>
            </w:r>
          </w:p>
        </w:tc>
        <w:tc>
          <w:tcPr>
            <w:tcW w:w="1049" w:type="dxa"/>
            <w:tcBorders>
              <w:top w:val="nil"/>
              <w:left w:val="nil"/>
              <w:bottom w:val="nil"/>
              <w:right w:val="nil"/>
            </w:tcBorders>
            <w:shd w:val="clear" w:color="auto" w:fill="auto"/>
            <w:noWrap/>
            <w:vAlign w:val="bottom"/>
          </w:tcPr>
          <w:p w14:paraId="47756177" w14:textId="77777777" w:rsidR="004E2F51" w:rsidRPr="004B4498" w:rsidRDefault="004E2F51" w:rsidP="00E032FC">
            <w:pPr>
              <w:jc w:val="right"/>
              <w:rPr>
                <w:rFonts w:ascii="Arial" w:hAnsi="Arial" w:cs="Arial"/>
                <w:color w:val="000000" w:themeColor="text1"/>
                <w:sz w:val="17"/>
                <w:szCs w:val="17"/>
                <w:lang w:val="hr-HR"/>
              </w:rPr>
            </w:pPr>
            <w:r w:rsidRPr="00276333">
              <w:rPr>
                <w:rFonts w:ascii="Arial" w:hAnsi="Arial" w:cs="Arial"/>
                <w:color w:val="000000" w:themeColor="text1"/>
                <w:sz w:val="17"/>
                <w:szCs w:val="17"/>
                <w:lang w:val="hr-HR"/>
              </w:rPr>
              <w:t>1.722.578</w:t>
            </w:r>
          </w:p>
        </w:tc>
        <w:tc>
          <w:tcPr>
            <w:tcW w:w="1049" w:type="dxa"/>
            <w:tcBorders>
              <w:top w:val="nil"/>
              <w:left w:val="nil"/>
              <w:bottom w:val="nil"/>
              <w:right w:val="nil"/>
            </w:tcBorders>
            <w:shd w:val="clear" w:color="auto" w:fill="auto"/>
            <w:noWrap/>
            <w:vAlign w:val="bottom"/>
          </w:tcPr>
          <w:p w14:paraId="7D28F3EF" w14:textId="77777777" w:rsidR="004E2F51" w:rsidRPr="004B4498" w:rsidRDefault="004E2F51" w:rsidP="00E032FC">
            <w:pPr>
              <w:jc w:val="right"/>
              <w:rPr>
                <w:rFonts w:ascii="Arial" w:hAnsi="Arial" w:cs="Arial"/>
                <w:color w:val="000000" w:themeColor="text1"/>
                <w:sz w:val="17"/>
                <w:szCs w:val="17"/>
                <w:lang w:val="hr-HR"/>
              </w:rPr>
            </w:pPr>
            <w:r w:rsidRPr="004B4498">
              <w:rPr>
                <w:rFonts w:ascii="Arial" w:hAnsi="Arial" w:cs="Arial"/>
                <w:sz w:val="17"/>
                <w:szCs w:val="17"/>
              </w:rPr>
              <w:t xml:space="preserve"> - </w:t>
            </w:r>
          </w:p>
        </w:tc>
        <w:tc>
          <w:tcPr>
            <w:tcW w:w="1049" w:type="dxa"/>
            <w:tcBorders>
              <w:top w:val="nil"/>
              <w:left w:val="nil"/>
              <w:bottom w:val="nil"/>
              <w:right w:val="nil"/>
            </w:tcBorders>
            <w:shd w:val="clear" w:color="auto" w:fill="auto"/>
            <w:noWrap/>
            <w:vAlign w:val="bottom"/>
          </w:tcPr>
          <w:p w14:paraId="272312A2" w14:textId="77777777" w:rsidR="004E2F51" w:rsidRPr="004B4498" w:rsidRDefault="004E2F51" w:rsidP="00E032FC">
            <w:pPr>
              <w:jc w:val="right"/>
              <w:rPr>
                <w:rFonts w:ascii="Arial" w:hAnsi="Arial" w:cs="Arial"/>
                <w:color w:val="000000" w:themeColor="text1"/>
                <w:sz w:val="17"/>
                <w:szCs w:val="17"/>
                <w:lang w:val="hr-HR"/>
              </w:rPr>
            </w:pPr>
            <w:r w:rsidRPr="004B4498">
              <w:rPr>
                <w:rFonts w:ascii="Arial" w:hAnsi="Arial" w:cs="Arial"/>
                <w:sz w:val="17"/>
                <w:szCs w:val="17"/>
              </w:rPr>
              <w:t xml:space="preserve"> - </w:t>
            </w:r>
          </w:p>
        </w:tc>
        <w:tc>
          <w:tcPr>
            <w:tcW w:w="1049" w:type="dxa"/>
            <w:tcBorders>
              <w:top w:val="nil"/>
              <w:left w:val="nil"/>
              <w:bottom w:val="nil"/>
              <w:right w:val="nil"/>
            </w:tcBorders>
            <w:shd w:val="clear" w:color="auto" w:fill="auto"/>
            <w:noWrap/>
            <w:vAlign w:val="bottom"/>
          </w:tcPr>
          <w:p w14:paraId="078E9F9B" w14:textId="77777777" w:rsidR="004E2F51" w:rsidRPr="00A3731F" w:rsidRDefault="004E2F51" w:rsidP="00E032FC">
            <w:pPr>
              <w:jc w:val="right"/>
              <w:rPr>
                <w:rFonts w:ascii="Arial" w:hAnsi="Arial" w:cs="Arial"/>
                <w:b/>
                <w:bCs/>
                <w:color w:val="000000" w:themeColor="text1"/>
                <w:sz w:val="17"/>
                <w:szCs w:val="17"/>
                <w:lang w:val="hr-HR"/>
              </w:rPr>
            </w:pPr>
            <w:r w:rsidRPr="00A3731F">
              <w:rPr>
                <w:rFonts w:ascii="Arial" w:hAnsi="Arial" w:cs="Arial"/>
                <w:b/>
                <w:bCs/>
                <w:color w:val="000000" w:themeColor="text1"/>
                <w:sz w:val="17"/>
                <w:szCs w:val="17"/>
                <w:lang w:val="hr-HR"/>
              </w:rPr>
              <w:t>1.722.578</w:t>
            </w:r>
          </w:p>
        </w:tc>
      </w:tr>
      <w:tr w:rsidR="004E2F51" w:rsidRPr="00B44A61" w14:paraId="48138EFA" w14:textId="77777777" w:rsidTr="00E032FC">
        <w:trPr>
          <w:trHeight w:val="324"/>
        </w:trPr>
        <w:tc>
          <w:tcPr>
            <w:tcW w:w="1843" w:type="dxa"/>
            <w:tcBorders>
              <w:top w:val="nil"/>
              <w:left w:val="nil"/>
              <w:bottom w:val="nil"/>
              <w:right w:val="nil"/>
            </w:tcBorders>
            <w:shd w:val="clear" w:color="auto" w:fill="auto"/>
            <w:noWrap/>
            <w:vAlign w:val="bottom"/>
            <w:hideMark/>
          </w:tcPr>
          <w:p w14:paraId="27370708" w14:textId="77777777" w:rsidR="004E2F51" w:rsidRPr="004B4498" w:rsidRDefault="004E2F51" w:rsidP="00E032FC">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Rezerviranja</w:t>
            </w:r>
          </w:p>
        </w:tc>
        <w:tc>
          <w:tcPr>
            <w:tcW w:w="1049" w:type="dxa"/>
            <w:tcBorders>
              <w:top w:val="nil"/>
              <w:left w:val="nil"/>
              <w:bottom w:val="nil"/>
              <w:right w:val="nil"/>
            </w:tcBorders>
            <w:shd w:val="clear" w:color="auto" w:fill="auto"/>
            <w:noWrap/>
            <w:vAlign w:val="bottom"/>
          </w:tcPr>
          <w:p w14:paraId="05157B0D" w14:textId="77777777" w:rsidR="004E2F51" w:rsidRPr="004B4498" w:rsidRDefault="004E2F51" w:rsidP="00E032FC">
            <w:pPr>
              <w:jc w:val="right"/>
              <w:rPr>
                <w:rFonts w:ascii="Arial" w:hAnsi="Arial" w:cs="Arial"/>
                <w:color w:val="000000" w:themeColor="text1"/>
                <w:sz w:val="17"/>
                <w:szCs w:val="17"/>
                <w:lang w:val="hr-HR"/>
              </w:rPr>
            </w:pPr>
            <w:r w:rsidRPr="00276333">
              <w:rPr>
                <w:rFonts w:ascii="Arial" w:hAnsi="Arial" w:cs="Arial"/>
                <w:color w:val="000000" w:themeColor="text1"/>
                <w:sz w:val="17"/>
                <w:szCs w:val="17"/>
                <w:lang w:val="hr-HR"/>
              </w:rPr>
              <w:t>(6.064)</w:t>
            </w:r>
          </w:p>
        </w:tc>
        <w:tc>
          <w:tcPr>
            <w:tcW w:w="1049" w:type="dxa"/>
            <w:tcBorders>
              <w:top w:val="nil"/>
              <w:left w:val="nil"/>
              <w:bottom w:val="nil"/>
              <w:right w:val="nil"/>
            </w:tcBorders>
            <w:shd w:val="clear" w:color="auto" w:fill="auto"/>
            <w:noWrap/>
            <w:vAlign w:val="bottom"/>
          </w:tcPr>
          <w:p w14:paraId="241E5D98" w14:textId="77777777" w:rsidR="004E2F51" w:rsidRPr="004B4498" w:rsidRDefault="004E2F51" w:rsidP="00E032FC">
            <w:pPr>
              <w:jc w:val="right"/>
              <w:rPr>
                <w:rFonts w:ascii="Arial" w:hAnsi="Arial" w:cs="Arial"/>
                <w:color w:val="000000" w:themeColor="text1"/>
                <w:sz w:val="17"/>
                <w:szCs w:val="17"/>
                <w:lang w:val="hr-HR"/>
              </w:rPr>
            </w:pPr>
            <w:r w:rsidRPr="004B4498">
              <w:rPr>
                <w:rFonts w:ascii="Arial" w:hAnsi="Arial" w:cs="Arial"/>
                <w:sz w:val="17"/>
                <w:szCs w:val="17"/>
              </w:rPr>
              <w:t xml:space="preserve"> - </w:t>
            </w:r>
          </w:p>
        </w:tc>
        <w:tc>
          <w:tcPr>
            <w:tcW w:w="1049" w:type="dxa"/>
            <w:tcBorders>
              <w:top w:val="nil"/>
              <w:left w:val="nil"/>
              <w:bottom w:val="nil"/>
              <w:right w:val="nil"/>
            </w:tcBorders>
            <w:shd w:val="clear" w:color="auto" w:fill="auto"/>
            <w:noWrap/>
            <w:vAlign w:val="bottom"/>
          </w:tcPr>
          <w:p w14:paraId="3BF948B7" w14:textId="77777777" w:rsidR="004E2F51" w:rsidRPr="004B4498" w:rsidRDefault="004E2F51" w:rsidP="00E032FC">
            <w:pPr>
              <w:jc w:val="right"/>
              <w:rPr>
                <w:rFonts w:ascii="Arial" w:hAnsi="Arial" w:cs="Arial"/>
                <w:color w:val="000000" w:themeColor="text1"/>
                <w:sz w:val="17"/>
                <w:szCs w:val="17"/>
                <w:lang w:val="hr-HR"/>
              </w:rPr>
            </w:pPr>
            <w:r w:rsidRPr="004B4498">
              <w:rPr>
                <w:rFonts w:ascii="Arial" w:hAnsi="Arial" w:cs="Arial"/>
                <w:sz w:val="17"/>
                <w:szCs w:val="17"/>
              </w:rPr>
              <w:t xml:space="preserve"> - </w:t>
            </w:r>
          </w:p>
        </w:tc>
        <w:tc>
          <w:tcPr>
            <w:tcW w:w="1049" w:type="dxa"/>
            <w:tcBorders>
              <w:top w:val="nil"/>
              <w:left w:val="nil"/>
              <w:bottom w:val="nil"/>
              <w:right w:val="nil"/>
            </w:tcBorders>
            <w:shd w:val="clear" w:color="auto" w:fill="auto"/>
            <w:noWrap/>
            <w:vAlign w:val="bottom"/>
          </w:tcPr>
          <w:p w14:paraId="65676CAB" w14:textId="77777777" w:rsidR="004E2F51" w:rsidRPr="00A3731F" w:rsidRDefault="004E2F51" w:rsidP="00E032FC">
            <w:pPr>
              <w:jc w:val="right"/>
              <w:rPr>
                <w:rFonts w:ascii="Arial" w:hAnsi="Arial" w:cs="Arial"/>
                <w:b/>
                <w:bCs/>
                <w:color w:val="000000" w:themeColor="text1"/>
                <w:sz w:val="17"/>
                <w:szCs w:val="17"/>
                <w:lang w:val="hr-HR"/>
              </w:rPr>
            </w:pPr>
            <w:r w:rsidRPr="00A3731F">
              <w:rPr>
                <w:rFonts w:ascii="Arial" w:hAnsi="Arial" w:cs="Arial"/>
                <w:b/>
                <w:bCs/>
                <w:color w:val="000000" w:themeColor="text1"/>
                <w:sz w:val="17"/>
                <w:szCs w:val="17"/>
                <w:lang w:val="hr-HR"/>
              </w:rPr>
              <w:t>(6.064)</w:t>
            </w:r>
          </w:p>
        </w:tc>
        <w:tc>
          <w:tcPr>
            <w:tcW w:w="1049" w:type="dxa"/>
            <w:tcBorders>
              <w:top w:val="nil"/>
              <w:left w:val="nil"/>
              <w:bottom w:val="nil"/>
              <w:right w:val="nil"/>
            </w:tcBorders>
            <w:shd w:val="clear" w:color="auto" w:fill="auto"/>
            <w:noWrap/>
            <w:vAlign w:val="bottom"/>
          </w:tcPr>
          <w:p w14:paraId="4BC0D44E" w14:textId="77777777" w:rsidR="004E2F51" w:rsidRPr="004B4498" w:rsidRDefault="004E2F51" w:rsidP="00E032FC">
            <w:pPr>
              <w:jc w:val="right"/>
              <w:rPr>
                <w:rFonts w:ascii="Arial" w:hAnsi="Arial" w:cs="Arial"/>
                <w:color w:val="000000" w:themeColor="text1"/>
                <w:sz w:val="17"/>
                <w:szCs w:val="17"/>
                <w:lang w:val="hr-HR"/>
              </w:rPr>
            </w:pPr>
            <w:r w:rsidRPr="00276333">
              <w:rPr>
                <w:rFonts w:ascii="Arial" w:hAnsi="Arial" w:cs="Arial"/>
                <w:color w:val="000000" w:themeColor="text1"/>
                <w:sz w:val="17"/>
                <w:szCs w:val="17"/>
                <w:lang w:val="hr-HR"/>
              </w:rPr>
              <w:t>(6.059)</w:t>
            </w:r>
          </w:p>
        </w:tc>
        <w:tc>
          <w:tcPr>
            <w:tcW w:w="1049" w:type="dxa"/>
            <w:tcBorders>
              <w:top w:val="nil"/>
              <w:left w:val="nil"/>
              <w:bottom w:val="nil"/>
              <w:right w:val="nil"/>
            </w:tcBorders>
            <w:shd w:val="clear" w:color="auto" w:fill="auto"/>
            <w:noWrap/>
            <w:vAlign w:val="bottom"/>
          </w:tcPr>
          <w:p w14:paraId="3F9D9BAA" w14:textId="77777777" w:rsidR="004E2F51" w:rsidRPr="004B4498" w:rsidRDefault="004E2F51" w:rsidP="00E032FC">
            <w:pPr>
              <w:jc w:val="right"/>
              <w:rPr>
                <w:rFonts w:ascii="Arial" w:hAnsi="Arial" w:cs="Arial"/>
                <w:color w:val="000000" w:themeColor="text1"/>
                <w:sz w:val="17"/>
                <w:szCs w:val="17"/>
                <w:lang w:val="hr-HR"/>
              </w:rPr>
            </w:pPr>
            <w:r w:rsidRPr="004B4498">
              <w:rPr>
                <w:rFonts w:ascii="Arial" w:hAnsi="Arial" w:cs="Arial"/>
                <w:sz w:val="17"/>
                <w:szCs w:val="17"/>
              </w:rPr>
              <w:t xml:space="preserve"> - </w:t>
            </w:r>
          </w:p>
        </w:tc>
        <w:tc>
          <w:tcPr>
            <w:tcW w:w="1049" w:type="dxa"/>
            <w:tcBorders>
              <w:top w:val="nil"/>
              <w:left w:val="nil"/>
              <w:bottom w:val="nil"/>
              <w:right w:val="nil"/>
            </w:tcBorders>
            <w:shd w:val="clear" w:color="auto" w:fill="auto"/>
            <w:noWrap/>
            <w:vAlign w:val="bottom"/>
          </w:tcPr>
          <w:p w14:paraId="1C698EBE" w14:textId="77777777" w:rsidR="004E2F51" w:rsidRPr="004B4498" w:rsidRDefault="004E2F51" w:rsidP="00E032FC">
            <w:pPr>
              <w:jc w:val="right"/>
              <w:rPr>
                <w:rFonts w:ascii="Arial" w:hAnsi="Arial" w:cs="Arial"/>
                <w:color w:val="000000" w:themeColor="text1"/>
                <w:sz w:val="17"/>
                <w:szCs w:val="17"/>
                <w:lang w:val="hr-HR"/>
              </w:rPr>
            </w:pPr>
            <w:r w:rsidRPr="004B4498">
              <w:rPr>
                <w:rFonts w:ascii="Arial" w:hAnsi="Arial" w:cs="Arial"/>
                <w:sz w:val="17"/>
                <w:szCs w:val="17"/>
              </w:rPr>
              <w:t xml:space="preserve"> - </w:t>
            </w:r>
          </w:p>
        </w:tc>
        <w:tc>
          <w:tcPr>
            <w:tcW w:w="1049" w:type="dxa"/>
            <w:tcBorders>
              <w:top w:val="nil"/>
              <w:left w:val="nil"/>
              <w:bottom w:val="nil"/>
              <w:right w:val="nil"/>
            </w:tcBorders>
            <w:shd w:val="clear" w:color="auto" w:fill="auto"/>
            <w:noWrap/>
            <w:vAlign w:val="bottom"/>
          </w:tcPr>
          <w:p w14:paraId="1895DB87" w14:textId="77777777" w:rsidR="004E2F51" w:rsidRPr="00A3731F" w:rsidRDefault="004E2F51" w:rsidP="00E032FC">
            <w:pPr>
              <w:jc w:val="right"/>
              <w:rPr>
                <w:rFonts w:ascii="Arial" w:hAnsi="Arial" w:cs="Arial"/>
                <w:b/>
                <w:bCs/>
                <w:color w:val="000000" w:themeColor="text1"/>
                <w:sz w:val="17"/>
                <w:szCs w:val="17"/>
                <w:lang w:val="hr-HR"/>
              </w:rPr>
            </w:pPr>
            <w:r w:rsidRPr="00A3731F">
              <w:rPr>
                <w:rFonts w:ascii="Arial" w:hAnsi="Arial" w:cs="Arial"/>
                <w:b/>
                <w:bCs/>
                <w:color w:val="000000" w:themeColor="text1"/>
                <w:sz w:val="17"/>
                <w:szCs w:val="17"/>
                <w:lang w:val="hr-HR"/>
              </w:rPr>
              <w:t>(6.059)</w:t>
            </w:r>
          </w:p>
        </w:tc>
      </w:tr>
      <w:tr w:rsidR="004E2F51" w:rsidRPr="00B44A61" w14:paraId="39F7766C" w14:textId="77777777" w:rsidTr="00E032FC">
        <w:trPr>
          <w:trHeight w:val="548"/>
        </w:trPr>
        <w:tc>
          <w:tcPr>
            <w:tcW w:w="1843" w:type="dxa"/>
            <w:tcBorders>
              <w:top w:val="nil"/>
              <w:left w:val="nil"/>
              <w:bottom w:val="nil"/>
              <w:right w:val="nil"/>
            </w:tcBorders>
            <w:shd w:val="clear" w:color="auto" w:fill="auto"/>
            <w:noWrap/>
            <w:vAlign w:val="bottom"/>
            <w:hideMark/>
          </w:tcPr>
          <w:p w14:paraId="3160EADB" w14:textId="77777777" w:rsidR="004E2F51" w:rsidRPr="004B4498" w:rsidRDefault="004E2F51" w:rsidP="00E032FC">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Stanje na dan </w:t>
            </w:r>
          </w:p>
          <w:p w14:paraId="6E1EABD2" w14:textId="77777777" w:rsidR="004E2F51" w:rsidRPr="004B4498" w:rsidRDefault="004E2F51" w:rsidP="00E032FC">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31. prosinca 202</w:t>
            </w:r>
            <w:r>
              <w:rPr>
                <w:rFonts w:ascii="Arial" w:hAnsi="Arial" w:cs="Arial"/>
                <w:b/>
                <w:bCs/>
                <w:color w:val="000000" w:themeColor="text1"/>
                <w:sz w:val="17"/>
                <w:szCs w:val="17"/>
                <w:lang w:val="hr-HR"/>
              </w:rPr>
              <w:t>2</w:t>
            </w:r>
            <w:r w:rsidRPr="004B4498">
              <w:rPr>
                <w:rFonts w:ascii="Arial" w:hAnsi="Arial" w:cs="Arial"/>
                <w:b/>
                <w:bCs/>
                <w:color w:val="000000" w:themeColor="text1"/>
                <w:sz w:val="17"/>
                <w:szCs w:val="17"/>
                <w:lang w:val="hr-HR"/>
              </w:rPr>
              <w:t xml:space="preserve">.   </w:t>
            </w:r>
          </w:p>
        </w:tc>
        <w:tc>
          <w:tcPr>
            <w:tcW w:w="1049" w:type="dxa"/>
            <w:tcBorders>
              <w:top w:val="single" w:sz="4" w:space="0" w:color="auto"/>
              <w:left w:val="nil"/>
              <w:bottom w:val="single" w:sz="12" w:space="0" w:color="auto"/>
              <w:right w:val="nil"/>
            </w:tcBorders>
            <w:shd w:val="clear" w:color="auto" w:fill="auto"/>
            <w:noWrap/>
            <w:vAlign w:val="bottom"/>
          </w:tcPr>
          <w:p w14:paraId="29B29672" w14:textId="77777777" w:rsidR="004E2F51" w:rsidRPr="004B4498" w:rsidRDefault="004E2F51" w:rsidP="00E032FC">
            <w:pPr>
              <w:jc w:val="right"/>
              <w:rPr>
                <w:rFonts w:ascii="Arial" w:hAnsi="Arial" w:cs="Arial"/>
                <w:b/>
                <w:bCs/>
                <w:color w:val="000000" w:themeColor="text1"/>
                <w:sz w:val="17"/>
                <w:szCs w:val="17"/>
                <w:lang w:val="hr-HR"/>
              </w:rPr>
            </w:pPr>
            <w:r w:rsidRPr="00276333">
              <w:rPr>
                <w:rFonts w:ascii="Arial" w:hAnsi="Arial" w:cs="Arial"/>
                <w:b/>
                <w:bCs/>
                <w:color w:val="000000" w:themeColor="text1"/>
                <w:sz w:val="17"/>
                <w:szCs w:val="17"/>
                <w:lang w:val="hr-HR"/>
              </w:rPr>
              <w:t xml:space="preserve">1.721.919 </w:t>
            </w:r>
          </w:p>
        </w:tc>
        <w:tc>
          <w:tcPr>
            <w:tcW w:w="1049" w:type="dxa"/>
            <w:tcBorders>
              <w:top w:val="single" w:sz="4" w:space="0" w:color="auto"/>
              <w:left w:val="nil"/>
              <w:bottom w:val="single" w:sz="12" w:space="0" w:color="auto"/>
              <w:right w:val="nil"/>
            </w:tcBorders>
            <w:shd w:val="clear" w:color="auto" w:fill="auto"/>
            <w:noWrap/>
            <w:vAlign w:val="bottom"/>
          </w:tcPr>
          <w:p w14:paraId="43425055"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sz w:val="17"/>
                <w:szCs w:val="17"/>
              </w:rPr>
              <w:t xml:space="preserve"> - </w:t>
            </w:r>
          </w:p>
        </w:tc>
        <w:tc>
          <w:tcPr>
            <w:tcW w:w="1049" w:type="dxa"/>
            <w:tcBorders>
              <w:top w:val="single" w:sz="4" w:space="0" w:color="auto"/>
              <w:left w:val="nil"/>
              <w:bottom w:val="single" w:sz="12" w:space="0" w:color="auto"/>
              <w:right w:val="nil"/>
            </w:tcBorders>
            <w:shd w:val="clear" w:color="auto" w:fill="auto"/>
            <w:noWrap/>
            <w:vAlign w:val="bottom"/>
          </w:tcPr>
          <w:p w14:paraId="62109A34"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sz w:val="17"/>
                <w:szCs w:val="17"/>
              </w:rPr>
              <w:t xml:space="preserve"> - </w:t>
            </w:r>
          </w:p>
        </w:tc>
        <w:tc>
          <w:tcPr>
            <w:tcW w:w="1049" w:type="dxa"/>
            <w:tcBorders>
              <w:top w:val="single" w:sz="4" w:space="0" w:color="auto"/>
              <w:left w:val="nil"/>
              <w:bottom w:val="single" w:sz="12" w:space="0" w:color="auto"/>
              <w:right w:val="nil"/>
            </w:tcBorders>
            <w:shd w:val="clear" w:color="auto" w:fill="auto"/>
            <w:noWrap/>
            <w:vAlign w:val="bottom"/>
          </w:tcPr>
          <w:p w14:paraId="31F8A81D" w14:textId="77777777" w:rsidR="004E2F51" w:rsidRPr="00A3731F" w:rsidRDefault="004E2F51" w:rsidP="00E032FC">
            <w:pPr>
              <w:jc w:val="right"/>
              <w:rPr>
                <w:rFonts w:ascii="Arial" w:hAnsi="Arial" w:cs="Arial"/>
                <w:b/>
                <w:bCs/>
                <w:color w:val="000000" w:themeColor="text1"/>
                <w:sz w:val="17"/>
                <w:szCs w:val="17"/>
                <w:lang w:val="hr-HR"/>
              </w:rPr>
            </w:pPr>
            <w:r w:rsidRPr="00A3731F">
              <w:rPr>
                <w:rFonts w:ascii="Arial" w:hAnsi="Arial" w:cs="Arial"/>
                <w:b/>
                <w:bCs/>
                <w:color w:val="000000" w:themeColor="text1"/>
                <w:sz w:val="17"/>
                <w:szCs w:val="17"/>
                <w:lang w:val="hr-HR"/>
              </w:rPr>
              <w:t xml:space="preserve">1.721.919 </w:t>
            </w:r>
          </w:p>
        </w:tc>
        <w:tc>
          <w:tcPr>
            <w:tcW w:w="1049" w:type="dxa"/>
            <w:tcBorders>
              <w:top w:val="single" w:sz="4" w:space="0" w:color="auto"/>
              <w:left w:val="nil"/>
              <w:bottom w:val="single" w:sz="12" w:space="0" w:color="auto"/>
              <w:right w:val="nil"/>
            </w:tcBorders>
            <w:shd w:val="clear" w:color="auto" w:fill="auto"/>
            <w:noWrap/>
            <w:vAlign w:val="bottom"/>
          </w:tcPr>
          <w:p w14:paraId="2B56379A" w14:textId="77777777" w:rsidR="004E2F51" w:rsidRPr="004B4498" w:rsidRDefault="004E2F51" w:rsidP="00E032FC">
            <w:pPr>
              <w:jc w:val="right"/>
              <w:rPr>
                <w:rFonts w:ascii="Arial" w:hAnsi="Arial" w:cs="Arial"/>
                <w:b/>
                <w:bCs/>
                <w:color w:val="000000" w:themeColor="text1"/>
                <w:sz w:val="17"/>
                <w:szCs w:val="17"/>
                <w:lang w:val="hr-HR"/>
              </w:rPr>
            </w:pPr>
            <w:r w:rsidRPr="00276333">
              <w:rPr>
                <w:rFonts w:ascii="Arial" w:hAnsi="Arial" w:cs="Arial"/>
                <w:b/>
                <w:bCs/>
                <w:color w:val="000000" w:themeColor="text1"/>
                <w:sz w:val="17"/>
                <w:szCs w:val="17"/>
                <w:lang w:val="hr-HR"/>
              </w:rPr>
              <w:t xml:space="preserve">1.716.519 </w:t>
            </w:r>
          </w:p>
        </w:tc>
        <w:tc>
          <w:tcPr>
            <w:tcW w:w="1049" w:type="dxa"/>
            <w:tcBorders>
              <w:top w:val="single" w:sz="4" w:space="0" w:color="auto"/>
              <w:left w:val="nil"/>
              <w:bottom w:val="single" w:sz="12" w:space="0" w:color="auto"/>
              <w:right w:val="nil"/>
            </w:tcBorders>
            <w:shd w:val="clear" w:color="auto" w:fill="auto"/>
            <w:noWrap/>
            <w:vAlign w:val="bottom"/>
          </w:tcPr>
          <w:p w14:paraId="259FEB55"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sz w:val="17"/>
                <w:szCs w:val="17"/>
              </w:rPr>
              <w:t xml:space="preserve"> - </w:t>
            </w:r>
          </w:p>
        </w:tc>
        <w:tc>
          <w:tcPr>
            <w:tcW w:w="1049" w:type="dxa"/>
            <w:tcBorders>
              <w:top w:val="single" w:sz="4" w:space="0" w:color="auto"/>
              <w:left w:val="nil"/>
              <w:bottom w:val="single" w:sz="12" w:space="0" w:color="auto"/>
              <w:right w:val="nil"/>
            </w:tcBorders>
            <w:shd w:val="clear" w:color="auto" w:fill="auto"/>
            <w:noWrap/>
            <w:vAlign w:val="bottom"/>
          </w:tcPr>
          <w:p w14:paraId="0313F44C"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sz w:val="17"/>
                <w:szCs w:val="17"/>
              </w:rPr>
              <w:t xml:space="preserve"> - </w:t>
            </w:r>
          </w:p>
        </w:tc>
        <w:tc>
          <w:tcPr>
            <w:tcW w:w="1049" w:type="dxa"/>
            <w:tcBorders>
              <w:top w:val="single" w:sz="4" w:space="0" w:color="auto"/>
              <w:left w:val="nil"/>
              <w:bottom w:val="single" w:sz="12" w:space="0" w:color="auto"/>
              <w:right w:val="nil"/>
            </w:tcBorders>
            <w:shd w:val="clear" w:color="auto" w:fill="auto"/>
            <w:noWrap/>
            <w:vAlign w:val="bottom"/>
          </w:tcPr>
          <w:p w14:paraId="2F8FC7F9" w14:textId="77777777" w:rsidR="004E2F51" w:rsidRPr="00A3731F" w:rsidRDefault="004E2F51" w:rsidP="00E032FC">
            <w:pPr>
              <w:jc w:val="right"/>
              <w:rPr>
                <w:rFonts w:ascii="Arial" w:hAnsi="Arial" w:cs="Arial"/>
                <w:b/>
                <w:bCs/>
                <w:color w:val="000000" w:themeColor="text1"/>
                <w:sz w:val="17"/>
                <w:szCs w:val="17"/>
                <w:lang w:val="hr-HR"/>
              </w:rPr>
            </w:pPr>
            <w:r w:rsidRPr="00A3731F">
              <w:rPr>
                <w:rFonts w:ascii="Arial" w:hAnsi="Arial" w:cs="Arial"/>
                <w:b/>
                <w:bCs/>
                <w:color w:val="000000" w:themeColor="text1"/>
                <w:sz w:val="17"/>
                <w:szCs w:val="17"/>
                <w:lang w:val="hr-HR"/>
              </w:rPr>
              <w:t xml:space="preserve">1.716.519 </w:t>
            </w:r>
          </w:p>
        </w:tc>
      </w:tr>
    </w:tbl>
    <w:p w14:paraId="6586EB58" w14:textId="77777777" w:rsidR="004E2F51" w:rsidRPr="004B4498" w:rsidRDefault="004E2F51" w:rsidP="004E2F51">
      <w:pPr>
        <w:pStyle w:val="T1"/>
        <w:spacing w:before="0" w:after="0" w:line="240" w:lineRule="auto"/>
        <w:rPr>
          <w:rFonts w:cs="Arial"/>
          <w:b w:val="0"/>
          <w:color w:val="000000" w:themeColor="text1"/>
          <w:sz w:val="20"/>
          <w:lang w:val="hr-HR"/>
        </w:rPr>
      </w:pPr>
    </w:p>
    <w:bookmarkEnd w:id="965"/>
    <w:p w14:paraId="03FF6E35" w14:textId="77777777" w:rsidR="004E2F51" w:rsidRPr="004B4498" w:rsidRDefault="004E2F51" w:rsidP="004E2F51">
      <w:pPr>
        <w:pStyle w:val="T1"/>
        <w:spacing w:before="0" w:after="0" w:line="240" w:lineRule="auto"/>
        <w:rPr>
          <w:rFonts w:cs="Arial"/>
          <w:b w:val="0"/>
          <w:color w:val="000000" w:themeColor="text1"/>
          <w:sz w:val="20"/>
          <w:lang w:val="hr-HR"/>
        </w:rPr>
      </w:pPr>
    </w:p>
    <w:tbl>
      <w:tblPr>
        <w:tblW w:w="10235" w:type="dxa"/>
        <w:tblInd w:w="-567" w:type="dxa"/>
        <w:tblLayout w:type="fixed"/>
        <w:tblLook w:val="04A0" w:firstRow="1" w:lastRow="0" w:firstColumn="1" w:lastColumn="0" w:noHBand="0" w:noVBand="1"/>
      </w:tblPr>
      <w:tblGrid>
        <w:gridCol w:w="1843"/>
        <w:gridCol w:w="1049"/>
        <w:gridCol w:w="1049"/>
        <w:gridCol w:w="1049"/>
        <w:gridCol w:w="1049"/>
        <w:gridCol w:w="1049"/>
        <w:gridCol w:w="1049"/>
        <w:gridCol w:w="1049"/>
        <w:gridCol w:w="1049"/>
      </w:tblGrid>
      <w:tr w:rsidR="004E2F51" w:rsidRPr="00B44A61" w14:paraId="7CEB5178" w14:textId="77777777" w:rsidTr="00E032FC">
        <w:trPr>
          <w:trHeight w:val="178"/>
        </w:trPr>
        <w:tc>
          <w:tcPr>
            <w:tcW w:w="1843" w:type="dxa"/>
            <w:tcBorders>
              <w:top w:val="nil"/>
              <w:left w:val="nil"/>
              <w:bottom w:val="nil"/>
              <w:right w:val="nil"/>
            </w:tcBorders>
            <w:shd w:val="clear" w:color="auto" w:fill="auto"/>
            <w:noWrap/>
            <w:vAlign w:val="bottom"/>
            <w:hideMark/>
          </w:tcPr>
          <w:p w14:paraId="7933958E" w14:textId="77777777" w:rsidR="004E2F51" w:rsidRPr="004B4498" w:rsidRDefault="004E2F51" w:rsidP="00E032FC">
            <w:pPr>
              <w:rPr>
                <w:rFonts w:ascii="Arial" w:hAnsi="Arial" w:cs="Arial"/>
                <w:b/>
                <w:color w:val="000000" w:themeColor="text1"/>
                <w:sz w:val="17"/>
                <w:szCs w:val="17"/>
                <w:lang w:val="hr-HR"/>
              </w:rPr>
            </w:pPr>
            <w:r w:rsidRPr="0046584E">
              <w:rPr>
                <w:rFonts w:ascii="Arial" w:hAnsi="Arial" w:cs="Arial"/>
                <w:b/>
                <w:color w:val="000000" w:themeColor="text1"/>
                <w:sz w:val="17"/>
                <w:szCs w:val="17"/>
                <w:lang w:val="hr-HR"/>
              </w:rPr>
              <w:t>31. prosinca 2021.</w:t>
            </w:r>
          </w:p>
        </w:tc>
        <w:tc>
          <w:tcPr>
            <w:tcW w:w="1049" w:type="dxa"/>
            <w:tcBorders>
              <w:top w:val="nil"/>
              <w:left w:val="nil"/>
              <w:bottom w:val="nil"/>
              <w:right w:val="nil"/>
            </w:tcBorders>
            <w:shd w:val="clear" w:color="auto" w:fill="auto"/>
            <w:noWrap/>
            <w:vAlign w:val="bottom"/>
            <w:hideMark/>
          </w:tcPr>
          <w:p w14:paraId="4AFD7287" w14:textId="77777777" w:rsidR="004E2F51" w:rsidRPr="004B4498" w:rsidRDefault="004E2F51" w:rsidP="00E032FC">
            <w:pPr>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781F8E50" w14:textId="77777777" w:rsidR="004E2F51" w:rsidRPr="004B4498" w:rsidRDefault="004E2F51" w:rsidP="00E032FC">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6DA39B21" w14:textId="77777777" w:rsidR="004E2F51" w:rsidRPr="004B4498" w:rsidRDefault="004E2F51" w:rsidP="00E032FC">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38833BCC"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Grupa</w:t>
            </w:r>
          </w:p>
        </w:tc>
        <w:tc>
          <w:tcPr>
            <w:tcW w:w="1049" w:type="dxa"/>
            <w:tcBorders>
              <w:top w:val="nil"/>
              <w:left w:val="nil"/>
              <w:bottom w:val="nil"/>
              <w:right w:val="nil"/>
            </w:tcBorders>
            <w:shd w:val="clear" w:color="auto" w:fill="auto"/>
            <w:noWrap/>
            <w:vAlign w:val="bottom"/>
            <w:hideMark/>
          </w:tcPr>
          <w:p w14:paraId="1D99CFDD"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30C80117" w14:textId="77777777" w:rsidR="004E2F51" w:rsidRPr="004B4498" w:rsidRDefault="004E2F51" w:rsidP="00E032FC">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03DEA4DA" w14:textId="77777777" w:rsidR="004E2F51" w:rsidRPr="004B4498" w:rsidRDefault="004E2F51" w:rsidP="00E032FC">
            <w:pPr>
              <w:jc w:val="right"/>
              <w:rPr>
                <w:rFonts w:ascii="Arial" w:hAnsi="Arial" w:cs="Arial"/>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0F66FC57"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Banka</w:t>
            </w:r>
          </w:p>
        </w:tc>
      </w:tr>
      <w:tr w:rsidR="004E2F51" w:rsidRPr="00B44A61" w14:paraId="4D646DF3" w14:textId="77777777" w:rsidTr="00E032FC">
        <w:trPr>
          <w:trHeight w:val="310"/>
        </w:trPr>
        <w:tc>
          <w:tcPr>
            <w:tcW w:w="1843" w:type="dxa"/>
            <w:tcBorders>
              <w:top w:val="nil"/>
              <w:left w:val="nil"/>
              <w:bottom w:val="nil"/>
              <w:right w:val="nil"/>
            </w:tcBorders>
            <w:shd w:val="clear" w:color="auto" w:fill="auto"/>
            <w:noWrap/>
            <w:vAlign w:val="bottom"/>
            <w:hideMark/>
          </w:tcPr>
          <w:p w14:paraId="6AA16DD0"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4DFEC344"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Stupanj 1</w:t>
            </w:r>
          </w:p>
        </w:tc>
        <w:tc>
          <w:tcPr>
            <w:tcW w:w="1049" w:type="dxa"/>
            <w:tcBorders>
              <w:top w:val="nil"/>
              <w:left w:val="nil"/>
              <w:bottom w:val="nil"/>
              <w:right w:val="nil"/>
            </w:tcBorders>
            <w:shd w:val="clear" w:color="auto" w:fill="auto"/>
            <w:noWrap/>
            <w:vAlign w:val="bottom"/>
            <w:hideMark/>
          </w:tcPr>
          <w:p w14:paraId="4195E776"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Stupanj 2</w:t>
            </w:r>
          </w:p>
        </w:tc>
        <w:tc>
          <w:tcPr>
            <w:tcW w:w="1049" w:type="dxa"/>
            <w:tcBorders>
              <w:top w:val="nil"/>
              <w:left w:val="nil"/>
              <w:bottom w:val="nil"/>
              <w:right w:val="nil"/>
            </w:tcBorders>
            <w:shd w:val="clear" w:color="auto" w:fill="auto"/>
            <w:noWrap/>
            <w:vAlign w:val="bottom"/>
            <w:hideMark/>
          </w:tcPr>
          <w:p w14:paraId="2EDD78F4"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Stupanj 3</w:t>
            </w:r>
          </w:p>
        </w:tc>
        <w:tc>
          <w:tcPr>
            <w:tcW w:w="1049" w:type="dxa"/>
            <w:tcBorders>
              <w:top w:val="nil"/>
              <w:left w:val="nil"/>
              <w:bottom w:val="nil"/>
              <w:right w:val="nil"/>
            </w:tcBorders>
            <w:shd w:val="clear" w:color="auto" w:fill="auto"/>
            <w:noWrap/>
            <w:vAlign w:val="bottom"/>
            <w:hideMark/>
          </w:tcPr>
          <w:p w14:paraId="0175EF61"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Ukupno</w:t>
            </w:r>
          </w:p>
        </w:tc>
        <w:tc>
          <w:tcPr>
            <w:tcW w:w="1049" w:type="dxa"/>
            <w:tcBorders>
              <w:top w:val="nil"/>
              <w:left w:val="nil"/>
              <w:bottom w:val="nil"/>
              <w:right w:val="nil"/>
            </w:tcBorders>
            <w:shd w:val="clear" w:color="auto" w:fill="auto"/>
            <w:noWrap/>
            <w:vAlign w:val="bottom"/>
            <w:hideMark/>
          </w:tcPr>
          <w:p w14:paraId="246CFB56"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Stupanj 1</w:t>
            </w:r>
          </w:p>
        </w:tc>
        <w:tc>
          <w:tcPr>
            <w:tcW w:w="1049" w:type="dxa"/>
            <w:tcBorders>
              <w:top w:val="nil"/>
              <w:left w:val="nil"/>
              <w:bottom w:val="nil"/>
              <w:right w:val="nil"/>
            </w:tcBorders>
            <w:shd w:val="clear" w:color="auto" w:fill="auto"/>
            <w:noWrap/>
            <w:vAlign w:val="bottom"/>
            <w:hideMark/>
          </w:tcPr>
          <w:p w14:paraId="03F2D456"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Stupanj 2</w:t>
            </w:r>
          </w:p>
        </w:tc>
        <w:tc>
          <w:tcPr>
            <w:tcW w:w="1049" w:type="dxa"/>
            <w:tcBorders>
              <w:top w:val="nil"/>
              <w:left w:val="nil"/>
              <w:bottom w:val="nil"/>
              <w:right w:val="nil"/>
            </w:tcBorders>
            <w:shd w:val="clear" w:color="auto" w:fill="auto"/>
            <w:noWrap/>
            <w:vAlign w:val="bottom"/>
            <w:hideMark/>
          </w:tcPr>
          <w:p w14:paraId="15C887CD"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Stupanj 3</w:t>
            </w:r>
          </w:p>
        </w:tc>
        <w:tc>
          <w:tcPr>
            <w:tcW w:w="1049" w:type="dxa"/>
            <w:tcBorders>
              <w:top w:val="nil"/>
              <w:left w:val="nil"/>
              <w:bottom w:val="nil"/>
              <w:right w:val="nil"/>
            </w:tcBorders>
            <w:shd w:val="clear" w:color="auto" w:fill="auto"/>
            <w:noWrap/>
            <w:vAlign w:val="bottom"/>
            <w:hideMark/>
          </w:tcPr>
          <w:p w14:paraId="490E872C"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Ukupno</w:t>
            </w:r>
          </w:p>
        </w:tc>
      </w:tr>
      <w:tr w:rsidR="004E2F51" w:rsidRPr="00B44A61" w14:paraId="5C3C28E6" w14:textId="77777777" w:rsidTr="00E032FC">
        <w:trPr>
          <w:trHeight w:val="314"/>
        </w:trPr>
        <w:tc>
          <w:tcPr>
            <w:tcW w:w="1843" w:type="dxa"/>
            <w:tcBorders>
              <w:top w:val="nil"/>
              <w:left w:val="nil"/>
              <w:bottom w:val="nil"/>
              <w:right w:val="nil"/>
            </w:tcBorders>
            <w:shd w:val="clear" w:color="auto" w:fill="auto"/>
            <w:noWrap/>
            <w:vAlign w:val="bottom"/>
            <w:hideMark/>
          </w:tcPr>
          <w:p w14:paraId="20DAE609"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hideMark/>
          </w:tcPr>
          <w:p w14:paraId="08B7AA2F"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000 kuna</w:t>
            </w:r>
          </w:p>
        </w:tc>
        <w:tc>
          <w:tcPr>
            <w:tcW w:w="1049" w:type="dxa"/>
            <w:tcBorders>
              <w:top w:val="nil"/>
              <w:left w:val="nil"/>
              <w:bottom w:val="nil"/>
              <w:right w:val="nil"/>
            </w:tcBorders>
            <w:shd w:val="clear" w:color="auto" w:fill="auto"/>
            <w:noWrap/>
            <w:vAlign w:val="bottom"/>
            <w:hideMark/>
          </w:tcPr>
          <w:p w14:paraId="0908886C"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000 kuna</w:t>
            </w:r>
          </w:p>
        </w:tc>
        <w:tc>
          <w:tcPr>
            <w:tcW w:w="1049" w:type="dxa"/>
            <w:tcBorders>
              <w:top w:val="nil"/>
              <w:left w:val="nil"/>
              <w:bottom w:val="nil"/>
              <w:right w:val="nil"/>
            </w:tcBorders>
            <w:shd w:val="clear" w:color="auto" w:fill="auto"/>
            <w:noWrap/>
            <w:vAlign w:val="bottom"/>
            <w:hideMark/>
          </w:tcPr>
          <w:p w14:paraId="27664551"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000 kuna</w:t>
            </w:r>
          </w:p>
        </w:tc>
        <w:tc>
          <w:tcPr>
            <w:tcW w:w="1049" w:type="dxa"/>
            <w:tcBorders>
              <w:top w:val="nil"/>
              <w:left w:val="nil"/>
              <w:bottom w:val="nil"/>
              <w:right w:val="nil"/>
            </w:tcBorders>
            <w:shd w:val="clear" w:color="auto" w:fill="auto"/>
            <w:noWrap/>
            <w:vAlign w:val="bottom"/>
            <w:hideMark/>
          </w:tcPr>
          <w:p w14:paraId="197E031A"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000 kuna</w:t>
            </w:r>
          </w:p>
        </w:tc>
        <w:tc>
          <w:tcPr>
            <w:tcW w:w="1049" w:type="dxa"/>
            <w:tcBorders>
              <w:top w:val="nil"/>
              <w:left w:val="nil"/>
              <w:bottom w:val="nil"/>
              <w:right w:val="nil"/>
            </w:tcBorders>
            <w:shd w:val="clear" w:color="auto" w:fill="auto"/>
            <w:noWrap/>
            <w:vAlign w:val="bottom"/>
            <w:hideMark/>
          </w:tcPr>
          <w:p w14:paraId="1249CBA6"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000 kuna</w:t>
            </w:r>
          </w:p>
        </w:tc>
        <w:tc>
          <w:tcPr>
            <w:tcW w:w="1049" w:type="dxa"/>
            <w:tcBorders>
              <w:top w:val="nil"/>
              <w:left w:val="nil"/>
              <w:bottom w:val="nil"/>
              <w:right w:val="nil"/>
            </w:tcBorders>
            <w:shd w:val="clear" w:color="auto" w:fill="auto"/>
            <w:noWrap/>
            <w:vAlign w:val="bottom"/>
            <w:hideMark/>
          </w:tcPr>
          <w:p w14:paraId="3416528F"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000 kuna</w:t>
            </w:r>
          </w:p>
        </w:tc>
        <w:tc>
          <w:tcPr>
            <w:tcW w:w="1049" w:type="dxa"/>
            <w:tcBorders>
              <w:top w:val="nil"/>
              <w:left w:val="nil"/>
              <w:bottom w:val="nil"/>
              <w:right w:val="nil"/>
            </w:tcBorders>
            <w:shd w:val="clear" w:color="auto" w:fill="auto"/>
            <w:noWrap/>
            <w:vAlign w:val="bottom"/>
            <w:hideMark/>
          </w:tcPr>
          <w:p w14:paraId="5769F4B7"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000 kuna</w:t>
            </w:r>
          </w:p>
        </w:tc>
        <w:tc>
          <w:tcPr>
            <w:tcW w:w="1049" w:type="dxa"/>
            <w:tcBorders>
              <w:top w:val="nil"/>
              <w:left w:val="nil"/>
              <w:bottom w:val="nil"/>
              <w:right w:val="nil"/>
            </w:tcBorders>
            <w:shd w:val="clear" w:color="auto" w:fill="auto"/>
            <w:noWrap/>
            <w:vAlign w:val="bottom"/>
            <w:hideMark/>
          </w:tcPr>
          <w:p w14:paraId="16DDF63C"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000 kuna</w:t>
            </w:r>
          </w:p>
        </w:tc>
      </w:tr>
      <w:tr w:rsidR="004E2F51" w:rsidRPr="00B44A61" w14:paraId="2DEDE8A6" w14:textId="77777777" w:rsidTr="00E032FC">
        <w:trPr>
          <w:trHeight w:val="184"/>
        </w:trPr>
        <w:tc>
          <w:tcPr>
            <w:tcW w:w="1843" w:type="dxa"/>
            <w:tcBorders>
              <w:top w:val="nil"/>
              <w:left w:val="nil"/>
              <w:bottom w:val="nil"/>
              <w:right w:val="nil"/>
            </w:tcBorders>
            <w:shd w:val="clear" w:color="auto" w:fill="auto"/>
            <w:noWrap/>
            <w:vAlign w:val="bottom"/>
          </w:tcPr>
          <w:p w14:paraId="0AF9D5E0"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2D8EAF71"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55ED5D50"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0E21A90C"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3C5EE2D0"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1F301AE8"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13850BDA"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72246E4D" w14:textId="77777777" w:rsidR="004E2F51" w:rsidRPr="004B4498" w:rsidRDefault="004E2F51" w:rsidP="00E032FC">
            <w:pPr>
              <w:jc w:val="right"/>
              <w:rPr>
                <w:rFonts w:ascii="Arial" w:hAnsi="Arial" w:cs="Arial"/>
                <w:b/>
                <w:bCs/>
                <w:color w:val="000000" w:themeColor="text1"/>
                <w:sz w:val="17"/>
                <w:szCs w:val="17"/>
                <w:lang w:val="hr-HR"/>
              </w:rPr>
            </w:pPr>
          </w:p>
        </w:tc>
        <w:tc>
          <w:tcPr>
            <w:tcW w:w="1049" w:type="dxa"/>
            <w:tcBorders>
              <w:top w:val="nil"/>
              <w:left w:val="nil"/>
              <w:bottom w:val="nil"/>
              <w:right w:val="nil"/>
            </w:tcBorders>
            <w:shd w:val="clear" w:color="auto" w:fill="auto"/>
            <w:noWrap/>
            <w:vAlign w:val="bottom"/>
          </w:tcPr>
          <w:p w14:paraId="7AA88471" w14:textId="77777777" w:rsidR="004E2F51" w:rsidRPr="004B4498" w:rsidRDefault="004E2F51" w:rsidP="00E032FC">
            <w:pPr>
              <w:jc w:val="right"/>
              <w:rPr>
                <w:rFonts w:ascii="Arial" w:hAnsi="Arial" w:cs="Arial"/>
                <w:b/>
                <w:bCs/>
                <w:color w:val="000000" w:themeColor="text1"/>
                <w:sz w:val="17"/>
                <w:szCs w:val="17"/>
                <w:lang w:val="hr-HR"/>
              </w:rPr>
            </w:pPr>
          </w:p>
        </w:tc>
      </w:tr>
      <w:tr w:rsidR="004E2F51" w:rsidRPr="00B44A61" w14:paraId="1869A8D3" w14:textId="77777777" w:rsidTr="00E032FC">
        <w:trPr>
          <w:trHeight w:val="319"/>
        </w:trPr>
        <w:tc>
          <w:tcPr>
            <w:tcW w:w="1843" w:type="dxa"/>
            <w:tcBorders>
              <w:top w:val="nil"/>
              <w:left w:val="nil"/>
              <w:bottom w:val="nil"/>
              <w:right w:val="nil"/>
            </w:tcBorders>
            <w:shd w:val="clear" w:color="auto" w:fill="auto"/>
            <w:noWrap/>
            <w:vAlign w:val="bottom"/>
            <w:hideMark/>
          </w:tcPr>
          <w:p w14:paraId="1B02FD0D" w14:textId="77777777" w:rsidR="004E2F51" w:rsidRPr="004B4498" w:rsidRDefault="004E2F51" w:rsidP="00E032FC">
            <w:pPr>
              <w:rPr>
                <w:rFonts w:ascii="Arial" w:hAnsi="Arial" w:cs="Arial"/>
                <w:color w:val="000000" w:themeColor="text1"/>
                <w:sz w:val="17"/>
                <w:szCs w:val="17"/>
                <w:lang w:val="hr-HR"/>
              </w:rPr>
            </w:pPr>
            <w:r w:rsidRPr="0046584E">
              <w:rPr>
                <w:rFonts w:ascii="Arial" w:hAnsi="Arial" w:cs="Arial"/>
                <w:color w:val="000000" w:themeColor="text1"/>
                <w:sz w:val="17"/>
                <w:szCs w:val="17"/>
                <w:lang w:val="hr-HR"/>
              </w:rPr>
              <w:t>Bruto iznos</w:t>
            </w:r>
          </w:p>
        </w:tc>
        <w:tc>
          <w:tcPr>
            <w:tcW w:w="1049" w:type="dxa"/>
            <w:tcBorders>
              <w:top w:val="nil"/>
              <w:left w:val="nil"/>
              <w:bottom w:val="nil"/>
              <w:right w:val="nil"/>
            </w:tcBorders>
            <w:shd w:val="clear" w:color="auto" w:fill="auto"/>
            <w:noWrap/>
            <w:vAlign w:val="bottom"/>
          </w:tcPr>
          <w:p w14:paraId="5CB29FE8" w14:textId="77777777" w:rsidR="004E2F51" w:rsidRPr="004B4498" w:rsidRDefault="004E2F51" w:rsidP="00E032FC">
            <w:pPr>
              <w:jc w:val="right"/>
              <w:rPr>
                <w:rFonts w:ascii="Arial" w:hAnsi="Arial" w:cs="Arial"/>
                <w:color w:val="000000" w:themeColor="text1"/>
                <w:sz w:val="17"/>
                <w:szCs w:val="17"/>
                <w:lang w:val="hr-HR"/>
              </w:rPr>
            </w:pPr>
            <w:r w:rsidRPr="0046584E">
              <w:rPr>
                <w:rFonts w:ascii="Arial" w:hAnsi="Arial" w:cs="Arial"/>
                <w:sz w:val="17"/>
                <w:szCs w:val="17"/>
              </w:rPr>
              <w:t xml:space="preserve">1.963.794 </w:t>
            </w:r>
          </w:p>
        </w:tc>
        <w:tc>
          <w:tcPr>
            <w:tcW w:w="1049" w:type="dxa"/>
            <w:tcBorders>
              <w:top w:val="nil"/>
              <w:left w:val="nil"/>
              <w:bottom w:val="nil"/>
              <w:right w:val="nil"/>
            </w:tcBorders>
            <w:shd w:val="clear" w:color="auto" w:fill="auto"/>
            <w:noWrap/>
            <w:vAlign w:val="bottom"/>
          </w:tcPr>
          <w:p w14:paraId="4BAD6C5C" w14:textId="77777777" w:rsidR="004E2F51" w:rsidRPr="004B4498" w:rsidRDefault="004E2F51" w:rsidP="00E032FC">
            <w:pPr>
              <w:jc w:val="right"/>
              <w:rPr>
                <w:rFonts w:ascii="Arial" w:hAnsi="Arial" w:cs="Arial"/>
                <w:color w:val="000000" w:themeColor="text1"/>
                <w:sz w:val="17"/>
                <w:szCs w:val="17"/>
                <w:lang w:val="hr-HR"/>
              </w:rPr>
            </w:pPr>
            <w:r w:rsidRPr="0046584E">
              <w:rPr>
                <w:rFonts w:ascii="Arial" w:hAnsi="Arial" w:cs="Arial"/>
                <w:sz w:val="17"/>
                <w:szCs w:val="17"/>
              </w:rPr>
              <w:t xml:space="preserve"> - </w:t>
            </w:r>
          </w:p>
        </w:tc>
        <w:tc>
          <w:tcPr>
            <w:tcW w:w="1049" w:type="dxa"/>
            <w:tcBorders>
              <w:top w:val="nil"/>
              <w:left w:val="nil"/>
              <w:bottom w:val="nil"/>
              <w:right w:val="nil"/>
            </w:tcBorders>
            <w:shd w:val="clear" w:color="auto" w:fill="auto"/>
            <w:noWrap/>
            <w:vAlign w:val="bottom"/>
          </w:tcPr>
          <w:p w14:paraId="5722E089" w14:textId="77777777" w:rsidR="004E2F51" w:rsidRPr="004B4498" w:rsidRDefault="004E2F51" w:rsidP="00E032FC">
            <w:pPr>
              <w:jc w:val="right"/>
              <w:rPr>
                <w:rFonts w:ascii="Arial" w:hAnsi="Arial" w:cs="Arial"/>
                <w:color w:val="000000" w:themeColor="text1"/>
                <w:sz w:val="17"/>
                <w:szCs w:val="17"/>
                <w:lang w:val="hr-HR"/>
              </w:rPr>
            </w:pPr>
            <w:r w:rsidRPr="0046584E">
              <w:rPr>
                <w:rFonts w:ascii="Arial" w:hAnsi="Arial" w:cs="Arial"/>
                <w:sz w:val="17"/>
                <w:szCs w:val="17"/>
              </w:rPr>
              <w:t xml:space="preserve"> - </w:t>
            </w:r>
          </w:p>
        </w:tc>
        <w:tc>
          <w:tcPr>
            <w:tcW w:w="1049" w:type="dxa"/>
            <w:tcBorders>
              <w:top w:val="nil"/>
              <w:left w:val="nil"/>
              <w:bottom w:val="nil"/>
              <w:right w:val="nil"/>
            </w:tcBorders>
            <w:shd w:val="clear" w:color="auto" w:fill="auto"/>
            <w:noWrap/>
            <w:vAlign w:val="bottom"/>
          </w:tcPr>
          <w:p w14:paraId="700CBCCF"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1.963.794 </w:t>
            </w:r>
          </w:p>
        </w:tc>
        <w:tc>
          <w:tcPr>
            <w:tcW w:w="1049" w:type="dxa"/>
            <w:tcBorders>
              <w:top w:val="nil"/>
              <w:left w:val="nil"/>
              <w:bottom w:val="nil"/>
              <w:right w:val="nil"/>
            </w:tcBorders>
            <w:shd w:val="clear" w:color="auto" w:fill="auto"/>
            <w:noWrap/>
            <w:vAlign w:val="bottom"/>
          </w:tcPr>
          <w:p w14:paraId="33B4579F" w14:textId="77777777" w:rsidR="004E2F51" w:rsidRPr="004B4498" w:rsidRDefault="004E2F51" w:rsidP="00E032FC">
            <w:pPr>
              <w:jc w:val="right"/>
              <w:rPr>
                <w:rFonts w:ascii="Arial" w:hAnsi="Arial" w:cs="Arial"/>
                <w:color w:val="000000" w:themeColor="text1"/>
                <w:sz w:val="17"/>
                <w:szCs w:val="17"/>
                <w:lang w:val="hr-HR"/>
              </w:rPr>
            </w:pPr>
            <w:r w:rsidRPr="0046584E">
              <w:rPr>
                <w:rFonts w:ascii="Arial" w:hAnsi="Arial" w:cs="Arial"/>
                <w:sz w:val="17"/>
                <w:szCs w:val="17"/>
              </w:rPr>
              <w:t xml:space="preserve">1.960.423 </w:t>
            </w:r>
          </w:p>
        </w:tc>
        <w:tc>
          <w:tcPr>
            <w:tcW w:w="1049" w:type="dxa"/>
            <w:tcBorders>
              <w:top w:val="nil"/>
              <w:left w:val="nil"/>
              <w:bottom w:val="nil"/>
              <w:right w:val="nil"/>
            </w:tcBorders>
            <w:shd w:val="clear" w:color="auto" w:fill="auto"/>
            <w:noWrap/>
            <w:vAlign w:val="bottom"/>
          </w:tcPr>
          <w:p w14:paraId="28924382" w14:textId="77777777" w:rsidR="004E2F51" w:rsidRPr="004B4498" w:rsidRDefault="004E2F51" w:rsidP="00E032FC">
            <w:pPr>
              <w:jc w:val="right"/>
              <w:rPr>
                <w:rFonts w:ascii="Arial" w:hAnsi="Arial" w:cs="Arial"/>
                <w:color w:val="000000" w:themeColor="text1"/>
                <w:sz w:val="17"/>
                <w:szCs w:val="17"/>
                <w:lang w:val="hr-HR"/>
              </w:rPr>
            </w:pPr>
            <w:r w:rsidRPr="0046584E">
              <w:rPr>
                <w:rFonts w:ascii="Arial" w:hAnsi="Arial" w:cs="Arial"/>
                <w:sz w:val="17"/>
                <w:szCs w:val="17"/>
              </w:rPr>
              <w:t xml:space="preserve"> - </w:t>
            </w:r>
          </w:p>
        </w:tc>
        <w:tc>
          <w:tcPr>
            <w:tcW w:w="1049" w:type="dxa"/>
            <w:tcBorders>
              <w:top w:val="nil"/>
              <w:left w:val="nil"/>
              <w:bottom w:val="nil"/>
              <w:right w:val="nil"/>
            </w:tcBorders>
            <w:shd w:val="clear" w:color="auto" w:fill="auto"/>
            <w:noWrap/>
            <w:vAlign w:val="bottom"/>
          </w:tcPr>
          <w:p w14:paraId="0E34966A" w14:textId="77777777" w:rsidR="004E2F51" w:rsidRPr="004B4498" w:rsidRDefault="004E2F51" w:rsidP="00E032FC">
            <w:pPr>
              <w:jc w:val="right"/>
              <w:rPr>
                <w:rFonts w:ascii="Arial" w:hAnsi="Arial" w:cs="Arial"/>
                <w:color w:val="000000" w:themeColor="text1"/>
                <w:sz w:val="17"/>
                <w:szCs w:val="17"/>
                <w:lang w:val="hr-HR"/>
              </w:rPr>
            </w:pPr>
            <w:r w:rsidRPr="0046584E">
              <w:rPr>
                <w:rFonts w:ascii="Arial" w:hAnsi="Arial" w:cs="Arial"/>
                <w:sz w:val="17"/>
                <w:szCs w:val="17"/>
              </w:rPr>
              <w:t xml:space="preserve"> - </w:t>
            </w:r>
          </w:p>
        </w:tc>
        <w:tc>
          <w:tcPr>
            <w:tcW w:w="1049" w:type="dxa"/>
            <w:tcBorders>
              <w:top w:val="nil"/>
              <w:left w:val="nil"/>
              <w:bottom w:val="nil"/>
              <w:right w:val="nil"/>
            </w:tcBorders>
            <w:shd w:val="clear" w:color="auto" w:fill="auto"/>
            <w:noWrap/>
            <w:vAlign w:val="bottom"/>
          </w:tcPr>
          <w:p w14:paraId="127B1F3A"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1.960.423 </w:t>
            </w:r>
          </w:p>
        </w:tc>
      </w:tr>
      <w:tr w:rsidR="004E2F51" w:rsidRPr="00B44A61" w14:paraId="538BD05D" w14:textId="77777777" w:rsidTr="00E032FC">
        <w:trPr>
          <w:trHeight w:val="324"/>
        </w:trPr>
        <w:tc>
          <w:tcPr>
            <w:tcW w:w="1843" w:type="dxa"/>
            <w:tcBorders>
              <w:top w:val="nil"/>
              <w:left w:val="nil"/>
              <w:bottom w:val="nil"/>
              <w:right w:val="nil"/>
            </w:tcBorders>
            <w:shd w:val="clear" w:color="auto" w:fill="auto"/>
            <w:noWrap/>
            <w:vAlign w:val="bottom"/>
            <w:hideMark/>
          </w:tcPr>
          <w:p w14:paraId="287E5556" w14:textId="77777777" w:rsidR="004E2F51" w:rsidRPr="004B4498" w:rsidRDefault="004E2F51" w:rsidP="00E032FC">
            <w:pPr>
              <w:rPr>
                <w:rFonts w:ascii="Arial" w:hAnsi="Arial" w:cs="Arial"/>
                <w:color w:val="000000" w:themeColor="text1"/>
                <w:sz w:val="17"/>
                <w:szCs w:val="17"/>
                <w:lang w:val="hr-HR"/>
              </w:rPr>
            </w:pPr>
            <w:r w:rsidRPr="0046584E">
              <w:rPr>
                <w:rFonts w:ascii="Arial" w:hAnsi="Arial" w:cs="Arial"/>
                <w:color w:val="000000" w:themeColor="text1"/>
                <w:sz w:val="17"/>
                <w:szCs w:val="17"/>
                <w:lang w:val="hr-HR"/>
              </w:rPr>
              <w:t>Rezerviranja</w:t>
            </w:r>
          </w:p>
        </w:tc>
        <w:tc>
          <w:tcPr>
            <w:tcW w:w="1049" w:type="dxa"/>
            <w:tcBorders>
              <w:top w:val="nil"/>
              <w:left w:val="nil"/>
              <w:bottom w:val="nil"/>
              <w:right w:val="nil"/>
            </w:tcBorders>
            <w:shd w:val="clear" w:color="auto" w:fill="auto"/>
            <w:noWrap/>
            <w:vAlign w:val="bottom"/>
          </w:tcPr>
          <w:p w14:paraId="119C7DF1" w14:textId="77777777" w:rsidR="004E2F51" w:rsidRPr="004B4498" w:rsidRDefault="004E2F51" w:rsidP="00E032FC">
            <w:pPr>
              <w:jc w:val="right"/>
              <w:rPr>
                <w:rFonts w:ascii="Arial" w:hAnsi="Arial" w:cs="Arial"/>
                <w:color w:val="000000" w:themeColor="text1"/>
                <w:sz w:val="17"/>
                <w:szCs w:val="17"/>
                <w:lang w:val="hr-HR"/>
              </w:rPr>
            </w:pPr>
            <w:r w:rsidRPr="0046584E">
              <w:rPr>
                <w:rFonts w:ascii="Arial" w:hAnsi="Arial" w:cs="Arial"/>
                <w:sz w:val="17"/>
                <w:szCs w:val="17"/>
              </w:rPr>
              <w:t xml:space="preserve"> (1.809)</w:t>
            </w:r>
          </w:p>
        </w:tc>
        <w:tc>
          <w:tcPr>
            <w:tcW w:w="1049" w:type="dxa"/>
            <w:tcBorders>
              <w:top w:val="nil"/>
              <w:left w:val="nil"/>
              <w:bottom w:val="nil"/>
              <w:right w:val="nil"/>
            </w:tcBorders>
            <w:shd w:val="clear" w:color="auto" w:fill="auto"/>
            <w:noWrap/>
            <w:vAlign w:val="bottom"/>
          </w:tcPr>
          <w:p w14:paraId="3B9834C8" w14:textId="77777777" w:rsidR="004E2F51" w:rsidRPr="004B4498" w:rsidRDefault="004E2F51" w:rsidP="00E032FC">
            <w:pPr>
              <w:jc w:val="right"/>
              <w:rPr>
                <w:rFonts w:ascii="Arial" w:hAnsi="Arial" w:cs="Arial"/>
                <w:color w:val="000000" w:themeColor="text1"/>
                <w:sz w:val="17"/>
                <w:szCs w:val="17"/>
                <w:lang w:val="hr-HR"/>
              </w:rPr>
            </w:pPr>
            <w:r w:rsidRPr="0046584E">
              <w:rPr>
                <w:rFonts w:ascii="Arial" w:hAnsi="Arial" w:cs="Arial"/>
                <w:sz w:val="17"/>
                <w:szCs w:val="17"/>
              </w:rPr>
              <w:t xml:space="preserve"> - </w:t>
            </w:r>
          </w:p>
        </w:tc>
        <w:tc>
          <w:tcPr>
            <w:tcW w:w="1049" w:type="dxa"/>
            <w:tcBorders>
              <w:top w:val="nil"/>
              <w:left w:val="nil"/>
              <w:bottom w:val="nil"/>
              <w:right w:val="nil"/>
            </w:tcBorders>
            <w:shd w:val="clear" w:color="auto" w:fill="auto"/>
            <w:noWrap/>
            <w:vAlign w:val="bottom"/>
          </w:tcPr>
          <w:p w14:paraId="592DB944" w14:textId="77777777" w:rsidR="004E2F51" w:rsidRPr="004B4498" w:rsidRDefault="004E2F51" w:rsidP="00E032FC">
            <w:pPr>
              <w:jc w:val="right"/>
              <w:rPr>
                <w:rFonts w:ascii="Arial" w:hAnsi="Arial" w:cs="Arial"/>
                <w:color w:val="000000" w:themeColor="text1"/>
                <w:sz w:val="17"/>
                <w:szCs w:val="17"/>
                <w:lang w:val="hr-HR"/>
              </w:rPr>
            </w:pPr>
            <w:r w:rsidRPr="0046584E">
              <w:rPr>
                <w:rFonts w:ascii="Arial" w:hAnsi="Arial" w:cs="Arial"/>
                <w:sz w:val="17"/>
                <w:szCs w:val="17"/>
              </w:rPr>
              <w:t xml:space="preserve"> - </w:t>
            </w:r>
          </w:p>
        </w:tc>
        <w:tc>
          <w:tcPr>
            <w:tcW w:w="1049" w:type="dxa"/>
            <w:tcBorders>
              <w:top w:val="nil"/>
              <w:left w:val="nil"/>
              <w:bottom w:val="nil"/>
              <w:right w:val="nil"/>
            </w:tcBorders>
            <w:shd w:val="clear" w:color="auto" w:fill="auto"/>
            <w:noWrap/>
            <w:vAlign w:val="bottom"/>
          </w:tcPr>
          <w:p w14:paraId="4A295306"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 (1.809)</w:t>
            </w:r>
          </w:p>
        </w:tc>
        <w:tc>
          <w:tcPr>
            <w:tcW w:w="1049" w:type="dxa"/>
            <w:tcBorders>
              <w:top w:val="nil"/>
              <w:left w:val="nil"/>
              <w:bottom w:val="nil"/>
              <w:right w:val="nil"/>
            </w:tcBorders>
            <w:shd w:val="clear" w:color="auto" w:fill="auto"/>
            <w:noWrap/>
            <w:vAlign w:val="bottom"/>
          </w:tcPr>
          <w:p w14:paraId="2E62E78B" w14:textId="77777777" w:rsidR="004E2F51" w:rsidRPr="004B4498" w:rsidRDefault="004E2F51" w:rsidP="00E032FC">
            <w:pPr>
              <w:jc w:val="right"/>
              <w:rPr>
                <w:rFonts w:ascii="Arial" w:hAnsi="Arial" w:cs="Arial"/>
                <w:color w:val="000000" w:themeColor="text1"/>
                <w:sz w:val="17"/>
                <w:szCs w:val="17"/>
                <w:lang w:val="hr-HR"/>
              </w:rPr>
            </w:pPr>
            <w:r w:rsidRPr="0046584E">
              <w:rPr>
                <w:rFonts w:ascii="Arial" w:hAnsi="Arial" w:cs="Arial"/>
                <w:sz w:val="17"/>
                <w:szCs w:val="17"/>
              </w:rPr>
              <w:t xml:space="preserve"> (1.804)</w:t>
            </w:r>
          </w:p>
        </w:tc>
        <w:tc>
          <w:tcPr>
            <w:tcW w:w="1049" w:type="dxa"/>
            <w:tcBorders>
              <w:top w:val="nil"/>
              <w:left w:val="nil"/>
              <w:bottom w:val="nil"/>
              <w:right w:val="nil"/>
            </w:tcBorders>
            <w:shd w:val="clear" w:color="auto" w:fill="auto"/>
            <w:noWrap/>
            <w:vAlign w:val="bottom"/>
          </w:tcPr>
          <w:p w14:paraId="23599B96" w14:textId="77777777" w:rsidR="004E2F51" w:rsidRPr="004B4498" w:rsidRDefault="004E2F51" w:rsidP="00E032FC">
            <w:pPr>
              <w:jc w:val="right"/>
              <w:rPr>
                <w:rFonts w:ascii="Arial" w:hAnsi="Arial" w:cs="Arial"/>
                <w:color w:val="000000" w:themeColor="text1"/>
                <w:sz w:val="17"/>
                <w:szCs w:val="17"/>
                <w:lang w:val="hr-HR"/>
              </w:rPr>
            </w:pPr>
            <w:r w:rsidRPr="0046584E">
              <w:rPr>
                <w:rFonts w:ascii="Arial" w:hAnsi="Arial" w:cs="Arial"/>
                <w:sz w:val="17"/>
                <w:szCs w:val="17"/>
              </w:rPr>
              <w:t xml:space="preserve"> - </w:t>
            </w:r>
          </w:p>
        </w:tc>
        <w:tc>
          <w:tcPr>
            <w:tcW w:w="1049" w:type="dxa"/>
            <w:tcBorders>
              <w:top w:val="nil"/>
              <w:left w:val="nil"/>
              <w:bottom w:val="nil"/>
              <w:right w:val="nil"/>
            </w:tcBorders>
            <w:shd w:val="clear" w:color="auto" w:fill="auto"/>
            <w:noWrap/>
            <w:vAlign w:val="bottom"/>
          </w:tcPr>
          <w:p w14:paraId="3FB28609" w14:textId="77777777" w:rsidR="004E2F51" w:rsidRPr="004B4498" w:rsidRDefault="004E2F51" w:rsidP="00E032FC">
            <w:pPr>
              <w:jc w:val="right"/>
              <w:rPr>
                <w:rFonts w:ascii="Arial" w:hAnsi="Arial" w:cs="Arial"/>
                <w:color w:val="000000" w:themeColor="text1"/>
                <w:sz w:val="17"/>
                <w:szCs w:val="17"/>
                <w:lang w:val="hr-HR"/>
              </w:rPr>
            </w:pPr>
            <w:r w:rsidRPr="0046584E">
              <w:rPr>
                <w:rFonts w:ascii="Arial" w:hAnsi="Arial" w:cs="Arial"/>
                <w:sz w:val="17"/>
                <w:szCs w:val="17"/>
              </w:rPr>
              <w:t xml:space="preserve"> - </w:t>
            </w:r>
          </w:p>
        </w:tc>
        <w:tc>
          <w:tcPr>
            <w:tcW w:w="1049" w:type="dxa"/>
            <w:tcBorders>
              <w:top w:val="nil"/>
              <w:left w:val="nil"/>
              <w:bottom w:val="nil"/>
              <w:right w:val="nil"/>
            </w:tcBorders>
            <w:shd w:val="clear" w:color="auto" w:fill="auto"/>
            <w:noWrap/>
            <w:vAlign w:val="bottom"/>
          </w:tcPr>
          <w:p w14:paraId="3ECCD81E"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 (1.804)</w:t>
            </w:r>
          </w:p>
        </w:tc>
      </w:tr>
      <w:tr w:rsidR="004E2F51" w:rsidRPr="00B44A61" w14:paraId="52F2071F" w14:textId="77777777" w:rsidTr="00E032FC">
        <w:trPr>
          <w:trHeight w:val="548"/>
        </w:trPr>
        <w:tc>
          <w:tcPr>
            <w:tcW w:w="1843" w:type="dxa"/>
            <w:tcBorders>
              <w:top w:val="nil"/>
              <w:left w:val="nil"/>
              <w:bottom w:val="nil"/>
              <w:right w:val="nil"/>
            </w:tcBorders>
            <w:shd w:val="clear" w:color="auto" w:fill="auto"/>
            <w:noWrap/>
            <w:vAlign w:val="bottom"/>
            <w:hideMark/>
          </w:tcPr>
          <w:p w14:paraId="35C554FB" w14:textId="77777777" w:rsidR="004E2F51" w:rsidRPr="0046584E" w:rsidRDefault="004E2F51" w:rsidP="00E032FC">
            <w:pPr>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 xml:space="preserve">Stanje na dan </w:t>
            </w:r>
          </w:p>
          <w:p w14:paraId="6E59E8D0" w14:textId="77777777" w:rsidR="004E2F51" w:rsidRPr="004B4498" w:rsidRDefault="004E2F51" w:rsidP="00E032FC">
            <w:pPr>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 xml:space="preserve">31. prosinca 2021.   </w:t>
            </w:r>
          </w:p>
        </w:tc>
        <w:tc>
          <w:tcPr>
            <w:tcW w:w="1049" w:type="dxa"/>
            <w:tcBorders>
              <w:top w:val="single" w:sz="4" w:space="0" w:color="auto"/>
              <w:left w:val="nil"/>
              <w:bottom w:val="single" w:sz="12" w:space="0" w:color="auto"/>
              <w:right w:val="nil"/>
            </w:tcBorders>
            <w:shd w:val="clear" w:color="auto" w:fill="auto"/>
            <w:noWrap/>
            <w:vAlign w:val="bottom"/>
          </w:tcPr>
          <w:p w14:paraId="0A456648"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1.961.985 </w:t>
            </w:r>
          </w:p>
        </w:tc>
        <w:tc>
          <w:tcPr>
            <w:tcW w:w="1049" w:type="dxa"/>
            <w:tcBorders>
              <w:top w:val="single" w:sz="4" w:space="0" w:color="auto"/>
              <w:left w:val="nil"/>
              <w:bottom w:val="single" w:sz="12" w:space="0" w:color="auto"/>
              <w:right w:val="nil"/>
            </w:tcBorders>
            <w:shd w:val="clear" w:color="auto" w:fill="auto"/>
            <w:noWrap/>
            <w:vAlign w:val="bottom"/>
          </w:tcPr>
          <w:p w14:paraId="23718F3B"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 - </w:t>
            </w:r>
          </w:p>
        </w:tc>
        <w:tc>
          <w:tcPr>
            <w:tcW w:w="1049" w:type="dxa"/>
            <w:tcBorders>
              <w:top w:val="single" w:sz="4" w:space="0" w:color="auto"/>
              <w:left w:val="nil"/>
              <w:bottom w:val="single" w:sz="12" w:space="0" w:color="auto"/>
              <w:right w:val="nil"/>
            </w:tcBorders>
            <w:shd w:val="clear" w:color="auto" w:fill="auto"/>
            <w:noWrap/>
            <w:vAlign w:val="bottom"/>
          </w:tcPr>
          <w:p w14:paraId="56909151"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 - </w:t>
            </w:r>
          </w:p>
        </w:tc>
        <w:tc>
          <w:tcPr>
            <w:tcW w:w="1049" w:type="dxa"/>
            <w:tcBorders>
              <w:top w:val="single" w:sz="4" w:space="0" w:color="auto"/>
              <w:left w:val="nil"/>
              <w:bottom w:val="single" w:sz="12" w:space="0" w:color="auto"/>
              <w:right w:val="nil"/>
            </w:tcBorders>
            <w:shd w:val="clear" w:color="auto" w:fill="auto"/>
            <w:noWrap/>
            <w:vAlign w:val="bottom"/>
          </w:tcPr>
          <w:p w14:paraId="0323A3D3"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1.961.985 </w:t>
            </w:r>
          </w:p>
        </w:tc>
        <w:tc>
          <w:tcPr>
            <w:tcW w:w="1049" w:type="dxa"/>
            <w:tcBorders>
              <w:top w:val="single" w:sz="4" w:space="0" w:color="auto"/>
              <w:left w:val="nil"/>
              <w:bottom w:val="single" w:sz="12" w:space="0" w:color="auto"/>
              <w:right w:val="nil"/>
            </w:tcBorders>
            <w:shd w:val="clear" w:color="auto" w:fill="auto"/>
            <w:noWrap/>
            <w:vAlign w:val="bottom"/>
          </w:tcPr>
          <w:p w14:paraId="09508F80"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1.958.619 </w:t>
            </w:r>
          </w:p>
        </w:tc>
        <w:tc>
          <w:tcPr>
            <w:tcW w:w="1049" w:type="dxa"/>
            <w:tcBorders>
              <w:top w:val="single" w:sz="4" w:space="0" w:color="auto"/>
              <w:left w:val="nil"/>
              <w:bottom w:val="single" w:sz="12" w:space="0" w:color="auto"/>
              <w:right w:val="nil"/>
            </w:tcBorders>
            <w:shd w:val="clear" w:color="auto" w:fill="auto"/>
            <w:noWrap/>
            <w:vAlign w:val="bottom"/>
          </w:tcPr>
          <w:p w14:paraId="729DDDAB"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 - </w:t>
            </w:r>
          </w:p>
        </w:tc>
        <w:tc>
          <w:tcPr>
            <w:tcW w:w="1049" w:type="dxa"/>
            <w:tcBorders>
              <w:top w:val="single" w:sz="4" w:space="0" w:color="auto"/>
              <w:left w:val="nil"/>
              <w:bottom w:val="single" w:sz="12" w:space="0" w:color="auto"/>
              <w:right w:val="nil"/>
            </w:tcBorders>
            <w:shd w:val="clear" w:color="auto" w:fill="auto"/>
            <w:noWrap/>
            <w:vAlign w:val="bottom"/>
          </w:tcPr>
          <w:p w14:paraId="2D4DD47C"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 - </w:t>
            </w:r>
          </w:p>
        </w:tc>
        <w:tc>
          <w:tcPr>
            <w:tcW w:w="1049" w:type="dxa"/>
            <w:tcBorders>
              <w:top w:val="single" w:sz="4" w:space="0" w:color="auto"/>
              <w:left w:val="nil"/>
              <w:bottom w:val="single" w:sz="12" w:space="0" w:color="auto"/>
              <w:right w:val="nil"/>
            </w:tcBorders>
            <w:shd w:val="clear" w:color="auto" w:fill="auto"/>
            <w:noWrap/>
            <w:vAlign w:val="bottom"/>
          </w:tcPr>
          <w:p w14:paraId="1DDD6ED8"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1.958.619 </w:t>
            </w:r>
          </w:p>
        </w:tc>
      </w:tr>
    </w:tbl>
    <w:p w14:paraId="2A080203" w14:textId="77777777" w:rsidR="004E2F51" w:rsidRPr="004B4498" w:rsidRDefault="004E2F51" w:rsidP="004E2F51">
      <w:pPr>
        <w:pStyle w:val="T1"/>
        <w:spacing w:before="0" w:after="0" w:line="240" w:lineRule="auto"/>
        <w:rPr>
          <w:rFonts w:cs="Arial"/>
          <w:b w:val="0"/>
          <w:color w:val="000000" w:themeColor="text1"/>
          <w:sz w:val="20"/>
          <w:lang w:val="hr-HR"/>
        </w:rPr>
      </w:pPr>
    </w:p>
    <w:p w14:paraId="1041E716" w14:textId="77777777" w:rsidR="004E2F51" w:rsidRPr="004B4498" w:rsidRDefault="004E2F51" w:rsidP="004E2F51">
      <w:pPr>
        <w:pStyle w:val="T1"/>
        <w:spacing w:before="0" w:after="0" w:line="240" w:lineRule="auto"/>
        <w:rPr>
          <w:rFonts w:cs="Arial"/>
          <w:b w:val="0"/>
          <w:color w:val="000000" w:themeColor="text1"/>
          <w:sz w:val="20"/>
          <w:lang w:val="hr-HR"/>
        </w:rPr>
      </w:pPr>
      <w:bookmarkStart w:id="966" w:name="_Hlk99026890"/>
      <w:r w:rsidRPr="004B4498">
        <w:rPr>
          <w:rFonts w:cs="Arial"/>
          <w:b w:val="0"/>
          <w:color w:val="000000" w:themeColor="text1"/>
          <w:sz w:val="20"/>
          <w:lang w:val="hr-HR"/>
        </w:rPr>
        <w:t>Razlika u odnosu na ukupno bruto i neto stanje Novčanih sredstava i računa kod banaka odnosi se na stanje sredstava u blagajni koja ne predstavljaju kreditni rizik.</w:t>
      </w:r>
    </w:p>
    <w:bookmarkEnd w:id="966"/>
    <w:p w14:paraId="4B4B0119" w14:textId="77777777" w:rsidR="004E2F51" w:rsidRPr="00B91D09" w:rsidRDefault="004E2F51" w:rsidP="004E2F51">
      <w:pPr>
        <w:rPr>
          <w:rFonts w:ascii="Arial" w:hAnsi="Arial" w:cs="Arial"/>
          <w:bCs/>
          <w:color w:val="000000" w:themeColor="text1"/>
          <w:sz w:val="22"/>
          <w:szCs w:val="22"/>
          <w:lang w:val="hr-HR"/>
        </w:rPr>
        <w:sectPr w:rsidR="004E2F51" w:rsidRPr="00B91D09" w:rsidSect="00623DBA">
          <w:footerReference w:type="default" r:id="rId119"/>
          <w:pgSz w:w="11907" w:h="16840" w:code="9"/>
          <w:pgMar w:top="1418" w:right="1134" w:bottom="1134" w:left="1418" w:header="851" w:footer="851" w:gutter="0"/>
          <w:cols w:space="720"/>
          <w:noEndnote/>
        </w:sectPr>
      </w:pPr>
    </w:p>
    <w:p w14:paraId="1775E836" w14:textId="77777777" w:rsidR="004E2F51" w:rsidRPr="00B91D09" w:rsidRDefault="004E2F51" w:rsidP="004E2F51">
      <w:pPr>
        <w:rPr>
          <w:rFonts w:ascii="Arial" w:hAnsi="Arial" w:cs="Arial"/>
          <w:bCs/>
          <w:color w:val="000000" w:themeColor="text1"/>
          <w:sz w:val="22"/>
          <w:szCs w:val="22"/>
          <w:lang w:val="hr-HR"/>
        </w:rPr>
      </w:pPr>
    </w:p>
    <w:p w14:paraId="215A2813"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12.</w:t>
      </w:r>
      <w:r w:rsidRPr="004B4498">
        <w:rPr>
          <w:rFonts w:cs="Arial"/>
          <w:color w:val="000000" w:themeColor="text1"/>
          <w:sz w:val="20"/>
          <w:lang w:val="hr-HR"/>
        </w:rPr>
        <w:tab/>
        <w:t>Novčana sredstva i računi kod banaka (nastavak)</w:t>
      </w:r>
    </w:p>
    <w:p w14:paraId="1AC02D2F" w14:textId="77777777" w:rsidR="004E2F51" w:rsidRPr="004B4498" w:rsidRDefault="004E2F51" w:rsidP="004E2F51">
      <w:pPr>
        <w:pStyle w:val="T1"/>
        <w:spacing w:before="0" w:after="0" w:line="240" w:lineRule="auto"/>
        <w:rPr>
          <w:rFonts w:cs="Arial"/>
          <w:b w:val="0"/>
          <w:color w:val="000000" w:themeColor="text1"/>
          <w:sz w:val="20"/>
          <w:lang w:val="hr-HR"/>
        </w:rPr>
      </w:pPr>
    </w:p>
    <w:p w14:paraId="5992141A"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Promjene na rezerviranjima za očekivane</w:t>
      </w:r>
      <w:r w:rsidRPr="004B4498" w:rsidDel="00640BE0">
        <w:rPr>
          <w:rFonts w:cs="Arial"/>
          <w:b w:val="0"/>
          <w:bCs w:val="0"/>
          <w:color w:val="000000" w:themeColor="text1"/>
          <w:sz w:val="20"/>
          <w:lang w:val="hr-HR"/>
        </w:rPr>
        <w:t xml:space="preserve"> </w:t>
      </w:r>
      <w:r w:rsidRPr="004B4498">
        <w:rPr>
          <w:rFonts w:cs="Arial"/>
          <w:b w:val="0"/>
          <w:bCs w:val="0"/>
          <w:color w:val="000000" w:themeColor="text1"/>
          <w:sz w:val="20"/>
          <w:lang w:val="hr-HR"/>
        </w:rPr>
        <w:t>gubitke po računima kod banaka mogu se prikazati kako slijedi:</w:t>
      </w:r>
    </w:p>
    <w:p w14:paraId="541A13D8" w14:textId="77777777" w:rsidR="004E2F51" w:rsidRPr="004B4498" w:rsidRDefault="004E2F51" w:rsidP="004E2F51">
      <w:pPr>
        <w:pStyle w:val="T1"/>
        <w:spacing w:before="0" w:after="0" w:line="240" w:lineRule="auto"/>
        <w:rPr>
          <w:rFonts w:cs="Arial"/>
          <w:b w:val="0"/>
          <w:bCs w:val="0"/>
          <w:color w:val="000000" w:themeColor="text1"/>
          <w:sz w:val="20"/>
          <w:lang w:val="hr-HR"/>
        </w:rPr>
      </w:pPr>
    </w:p>
    <w:tbl>
      <w:tblPr>
        <w:tblW w:w="5121" w:type="pct"/>
        <w:tblInd w:w="-142" w:type="dxa"/>
        <w:tblLook w:val="04A0" w:firstRow="1" w:lastRow="0" w:firstColumn="1" w:lastColumn="0" w:noHBand="0" w:noVBand="1"/>
      </w:tblPr>
      <w:tblGrid>
        <w:gridCol w:w="4871"/>
        <w:gridCol w:w="1134"/>
        <w:gridCol w:w="1224"/>
        <w:gridCol w:w="1219"/>
        <w:gridCol w:w="1133"/>
      </w:tblGrid>
      <w:tr w:rsidR="004E2F51" w:rsidRPr="00B44A61" w14:paraId="5F5D48D8" w14:textId="77777777" w:rsidTr="00E032FC">
        <w:trPr>
          <w:trHeight w:val="237"/>
        </w:trPr>
        <w:tc>
          <w:tcPr>
            <w:tcW w:w="4871" w:type="dxa"/>
            <w:tcBorders>
              <w:top w:val="nil"/>
              <w:left w:val="nil"/>
              <w:bottom w:val="nil"/>
              <w:right w:val="nil"/>
            </w:tcBorders>
            <w:shd w:val="clear" w:color="auto" w:fill="auto"/>
            <w:noWrap/>
            <w:vAlign w:val="bottom"/>
            <w:hideMark/>
          </w:tcPr>
          <w:p w14:paraId="07781C9D" w14:textId="77777777" w:rsidR="004E2F51" w:rsidRPr="004B4498" w:rsidRDefault="004E2F51" w:rsidP="00E032FC">
            <w:pPr>
              <w:rPr>
                <w:rFonts w:ascii="Arial" w:hAnsi="Arial" w:cs="Arial"/>
                <w:color w:val="000000" w:themeColor="text1"/>
                <w:sz w:val="18"/>
                <w:szCs w:val="18"/>
                <w:lang w:val="hr-HR"/>
              </w:rPr>
            </w:pPr>
          </w:p>
        </w:tc>
        <w:tc>
          <w:tcPr>
            <w:tcW w:w="2358" w:type="dxa"/>
            <w:gridSpan w:val="2"/>
            <w:tcBorders>
              <w:top w:val="nil"/>
              <w:left w:val="nil"/>
              <w:bottom w:val="nil"/>
              <w:right w:val="nil"/>
            </w:tcBorders>
            <w:shd w:val="clear" w:color="auto" w:fill="auto"/>
            <w:vAlign w:val="center"/>
            <w:hideMark/>
          </w:tcPr>
          <w:p w14:paraId="25EE7007" w14:textId="77777777" w:rsidR="004E2F51" w:rsidRPr="004B4498" w:rsidRDefault="004E2F51" w:rsidP="00E032FC">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Grupa</w:t>
            </w:r>
          </w:p>
        </w:tc>
        <w:tc>
          <w:tcPr>
            <w:tcW w:w="2352" w:type="dxa"/>
            <w:gridSpan w:val="2"/>
            <w:tcBorders>
              <w:top w:val="nil"/>
              <w:left w:val="nil"/>
              <w:bottom w:val="nil"/>
              <w:right w:val="nil"/>
            </w:tcBorders>
            <w:shd w:val="clear" w:color="auto" w:fill="auto"/>
            <w:vAlign w:val="center"/>
            <w:hideMark/>
          </w:tcPr>
          <w:p w14:paraId="474C90D6" w14:textId="77777777" w:rsidR="004E2F51" w:rsidRPr="004B4498" w:rsidRDefault="004E2F51" w:rsidP="00E032FC">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Banka</w:t>
            </w:r>
          </w:p>
        </w:tc>
      </w:tr>
      <w:tr w:rsidR="004E2F51" w:rsidRPr="00B44A61" w14:paraId="0FBCB199" w14:textId="77777777" w:rsidTr="00E032FC">
        <w:trPr>
          <w:trHeight w:val="237"/>
        </w:trPr>
        <w:tc>
          <w:tcPr>
            <w:tcW w:w="4871" w:type="dxa"/>
            <w:tcBorders>
              <w:top w:val="nil"/>
              <w:left w:val="nil"/>
              <w:bottom w:val="nil"/>
              <w:right w:val="nil"/>
            </w:tcBorders>
            <w:shd w:val="clear" w:color="auto" w:fill="auto"/>
            <w:noWrap/>
            <w:vAlign w:val="bottom"/>
          </w:tcPr>
          <w:p w14:paraId="18C05DEA" w14:textId="77777777" w:rsidR="004E2F51" w:rsidRPr="004B4498" w:rsidRDefault="004E2F51" w:rsidP="00E032FC">
            <w:pPr>
              <w:rPr>
                <w:rFonts w:ascii="Arial" w:hAnsi="Arial" w:cs="Arial"/>
                <w:color w:val="000000" w:themeColor="text1"/>
                <w:sz w:val="18"/>
                <w:szCs w:val="18"/>
              </w:rPr>
            </w:pPr>
          </w:p>
        </w:tc>
        <w:tc>
          <w:tcPr>
            <w:tcW w:w="1134" w:type="dxa"/>
            <w:vAlign w:val="bottom"/>
          </w:tcPr>
          <w:p w14:paraId="26DF8C83" w14:textId="77777777" w:rsidR="004E2F51" w:rsidRPr="004B4498" w:rsidRDefault="004E2F51" w:rsidP="00E032FC">
            <w:pPr>
              <w:pStyle w:val="TH"/>
              <w:spacing w:line="240" w:lineRule="auto"/>
              <w:jc w:val="right"/>
              <w:rPr>
                <w:rFonts w:cs="Arial"/>
                <w:color w:val="000000" w:themeColor="text1"/>
                <w:sz w:val="18"/>
                <w:szCs w:val="18"/>
                <w:lang w:val="hr-HR"/>
              </w:rPr>
            </w:pPr>
            <w:bookmarkStart w:id="967" w:name="_Toc67327920"/>
            <w:r w:rsidRPr="004B4498">
              <w:rPr>
                <w:rFonts w:cs="Arial"/>
                <w:color w:val="000000" w:themeColor="text1"/>
                <w:sz w:val="18"/>
                <w:szCs w:val="18"/>
                <w:lang w:val="hr-HR"/>
              </w:rPr>
              <w:t>1.1.-31.12.</w:t>
            </w:r>
            <w:bookmarkEnd w:id="967"/>
          </w:p>
          <w:p w14:paraId="691E4166" w14:textId="77777777" w:rsidR="004E2F51" w:rsidRPr="004B4498" w:rsidRDefault="004E2F51" w:rsidP="00E032FC">
            <w:pPr>
              <w:pStyle w:val="TH"/>
              <w:spacing w:line="240" w:lineRule="auto"/>
              <w:jc w:val="right"/>
              <w:rPr>
                <w:rFonts w:cs="Arial"/>
                <w:color w:val="000000" w:themeColor="text1"/>
                <w:sz w:val="18"/>
                <w:szCs w:val="18"/>
                <w:lang w:val="hr-HR"/>
              </w:rPr>
            </w:pPr>
            <w:bookmarkStart w:id="968" w:name="_Toc67327921"/>
            <w:r w:rsidRPr="004B4498">
              <w:rPr>
                <w:rFonts w:cs="Arial"/>
                <w:color w:val="000000" w:themeColor="text1"/>
                <w:sz w:val="18"/>
                <w:szCs w:val="18"/>
                <w:lang w:val="hr-HR"/>
              </w:rPr>
              <w:t>202</w:t>
            </w:r>
            <w:r>
              <w:rPr>
                <w:rFonts w:cs="Arial"/>
                <w:color w:val="000000" w:themeColor="text1"/>
                <w:sz w:val="18"/>
                <w:szCs w:val="18"/>
                <w:lang w:val="hr-HR"/>
              </w:rPr>
              <w:t>2</w:t>
            </w:r>
            <w:r w:rsidRPr="004B4498">
              <w:rPr>
                <w:rFonts w:cs="Arial"/>
                <w:color w:val="000000" w:themeColor="text1"/>
                <w:sz w:val="18"/>
                <w:szCs w:val="18"/>
                <w:lang w:val="hr-HR"/>
              </w:rPr>
              <w:t>.</w:t>
            </w:r>
            <w:bookmarkEnd w:id="968"/>
          </w:p>
        </w:tc>
        <w:tc>
          <w:tcPr>
            <w:tcW w:w="1224" w:type="dxa"/>
            <w:vAlign w:val="bottom"/>
          </w:tcPr>
          <w:p w14:paraId="48BFCEA8" w14:textId="77777777" w:rsidR="004E2F51" w:rsidRPr="004B4498" w:rsidRDefault="004E2F51" w:rsidP="00E032FC">
            <w:pPr>
              <w:pStyle w:val="TH"/>
              <w:spacing w:line="240" w:lineRule="auto"/>
              <w:jc w:val="right"/>
              <w:rPr>
                <w:rFonts w:cs="Arial"/>
                <w:color w:val="000000" w:themeColor="text1"/>
                <w:sz w:val="18"/>
                <w:szCs w:val="18"/>
                <w:lang w:val="hr-HR"/>
              </w:rPr>
            </w:pPr>
            <w:bookmarkStart w:id="969" w:name="_Toc67327922"/>
            <w:r w:rsidRPr="004B4498">
              <w:rPr>
                <w:rFonts w:cs="Arial"/>
                <w:color w:val="000000" w:themeColor="text1"/>
                <w:sz w:val="18"/>
                <w:szCs w:val="18"/>
                <w:lang w:val="hr-HR"/>
              </w:rPr>
              <w:t>1.1.-31.12.</w:t>
            </w:r>
            <w:bookmarkEnd w:id="969"/>
          </w:p>
          <w:p w14:paraId="0167CC64" w14:textId="77777777" w:rsidR="004E2F51" w:rsidRPr="004B4498" w:rsidRDefault="004E2F51" w:rsidP="00E032FC">
            <w:pPr>
              <w:pStyle w:val="TH"/>
              <w:spacing w:line="240" w:lineRule="auto"/>
              <w:jc w:val="right"/>
              <w:rPr>
                <w:rFonts w:cs="Arial"/>
                <w:color w:val="000000" w:themeColor="text1"/>
                <w:sz w:val="18"/>
                <w:szCs w:val="18"/>
                <w:lang w:val="hr-HR"/>
              </w:rPr>
            </w:pPr>
            <w:bookmarkStart w:id="970" w:name="_Toc67327923"/>
            <w:r w:rsidRPr="004B4498">
              <w:rPr>
                <w:rFonts w:cs="Arial"/>
                <w:color w:val="000000" w:themeColor="text1"/>
                <w:sz w:val="18"/>
                <w:szCs w:val="18"/>
                <w:lang w:val="hr-HR"/>
              </w:rPr>
              <w:t>202</w:t>
            </w:r>
            <w:r>
              <w:rPr>
                <w:rFonts w:cs="Arial"/>
                <w:color w:val="000000" w:themeColor="text1"/>
                <w:sz w:val="18"/>
                <w:szCs w:val="18"/>
                <w:lang w:val="hr-HR"/>
              </w:rPr>
              <w:t>1</w:t>
            </w:r>
            <w:r w:rsidRPr="004B4498">
              <w:rPr>
                <w:rFonts w:cs="Arial"/>
                <w:color w:val="000000" w:themeColor="text1"/>
                <w:sz w:val="18"/>
                <w:szCs w:val="18"/>
                <w:lang w:val="hr-HR"/>
              </w:rPr>
              <w:t>.</w:t>
            </w:r>
            <w:bookmarkEnd w:id="970"/>
          </w:p>
        </w:tc>
        <w:tc>
          <w:tcPr>
            <w:tcW w:w="1219" w:type="dxa"/>
            <w:vAlign w:val="bottom"/>
          </w:tcPr>
          <w:p w14:paraId="0618C524" w14:textId="77777777" w:rsidR="004E2F51" w:rsidRPr="004B4498" w:rsidRDefault="004E2F51" w:rsidP="00E032FC">
            <w:pPr>
              <w:pStyle w:val="TH"/>
              <w:spacing w:line="240" w:lineRule="auto"/>
              <w:jc w:val="right"/>
              <w:rPr>
                <w:rFonts w:cs="Arial"/>
                <w:color w:val="000000" w:themeColor="text1"/>
                <w:sz w:val="18"/>
                <w:szCs w:val="18"/>
                <w:lang w:val="hr-HR"/>
              </w:rPr>
            </w:pPr>
            <w:bookmarkStart w:id="971" w:name="_Toc67327924"/>
            <w:r w:rsidRPr="004B4498">
              <w:rPr>
                <w:rFonts w:cs="Arial"/>
                <w:color w:val="000000" w:themeColor="text1"/>
                <w:sz w:val="18"/>
                <w:szCs w:val="18"/>
                <w:lang w:val="hr-HR"/>
              </w:rPr>
              <w:t>1.1.-31.12.</w:t>
            </w:r>
            <w:bookmarkEnd w:id="971"/>
          </w:p>
          <w:p w14:paraId="7F4F9B04" w14:textId="77777777" w:rsidR="004E2F51" w:rsidRPr="004B4498" w:rsidRDefault="004E2F51" w:rsidP="00E032FC">
            <w:pPr>
              <w:pStyle w:val="TH"/>
              <w:spacing w:line="240" w:lineRule="auto"/>
              <w:jc w:val="right"/>
              <w:rPr>
                <w:rFonts w:cs="Arial"/>
                <w:color w:val="000000" w:themeColor="text1"/>
                <w:sz w:val="18"/>
                <w:szCs w:val="18"/>
                <w:lang w:val="hr-HR"/>
              </w:rPr>
            </w:pPr>
            <w:bookmarkStart w:id="972" w:name="_Toc67327925"/>
            <w:r w:rsidRPr="004B4498">
              <w:rPr>
                <w:rFonts w:cs="Arial"/>
                <w:color w:val="000000" w:themeColor="text1"/>
                <w:sz w:val="18"/>
                <w:szCs w:val="18"/>
                <w:lang w:val="hr-HR"/>
              </w:rPr>
              <w:t>202</w:t>
            </w:r>
            <w:r>
              <w:rPr>
                <w:rFonts w:cs="Arial"/>
                <w:color w:val="000000" w:themeColor="text1"/>
                <w:sz w:val="18"/>
                <w:szCs w:val="18"/>
                <w:lang w:val="hr-HR"/>
              </w:rPr>
              <w:t>2</w:t>
            </w:r>
            <w:r w:rsidRPr="004B4498">
              <w:rPr>
                <w:rFonts w:cs="Arial"/>
                <w:color w:val="000000" w:themeColor="text1"/>
                <w:sz w:val="18"/>
                <w:szCs w:val="18"/>
                <w:lang w:val="hr-HR"/>
              </w:rPr>
              <w:t>.</w:t>
            </w:r>
            <w:bookmarkEnd w:id="972"/>
          </w:p>
        </w:tc>
        <w:tc>
          <w:tcPr>
            <w:tcW w:w="1133" w:type="dxa"/>
            <w:vAlign w:val="bottom"/>
          </w:tcPr>
          <w:p w14:paraId="2BFAE2D8" w14:textId="77777777" w:rsidR="004E2F51" w:rsidRPr="004B4498" w:rsidRDefault="004E2F51" w:rsidP="00E032FC">
            <w:pPr>
              <w:pStyle w:val="TH"/>
              <w:spacing w:line="240" w:lineRule="auto"/>
              <w:jc w:val="right"/>
              <w:rPr>
                <w:rFonts w:cs="Arial"/>
                <w:color w:val="000000" w:themeColor="text1"/>
                <w:sz w:val="18"/>
                <w:szCs w:val="18"/>
                <w:lang w:val="hr-HR"/>
              </w:rPr>
            </w:pPr>
            <w:bookmarkStart w:id="973" w:name="_Toc67327926"/>
            <w:r w:rsidRPr="004B4498">
              <w:rPr>
                <w:rFonts w:cs="Arial"/>
                <w:color w:val="000000" w:themeColor="text1"/>
                <w:sz w:val="18"/>
                <w:szCs w:val="18"/>
                <w:lang w:val="hr-HR"/>
              </w:rPr>
              <w:t>1.1.-31.12.</w:t>
            </w:r>
            <w:bookmarkEnd w:id="973"/>
          </w:p>
          <w:p w14:paraId="52DD52C2" w14:textId="77777777" w:rsidR="004E2F51" w:rsidRPr="004B4498" w:rsidRDefault="004E2F51" w:rsidP="00E032FC">
            <w:pPr>
              <w:pStyle w:val="TH"/>
              <w:spacing w:line="240" w:lineRule="auto"/>
              <w:jc w:val="right"/>
              <w:rPr>
                <w:rFonts w:cs="Arial"/>
                <w:color w:val="000000" w:themeColor="text1"/>
                <w:sz w:val="18"/>
                <w:szCs w:val="18"/>
                <w:lang w:val="hr-HR"/>
              </w:rPr>
            </w:pPr>
            <w:bookmarkStart w:id="974" w:name="_Toc67327927"/>
            <w:r w:rsidRPr="004B4498">
              <w:rPr>
                <w:rFonts w:cs="Arial"/>
                <w:color w:val="000000" w:themeColor="text1"/>
                <w:sz w:val="18"/>
                <w:szCs w:val="18"/>
                <w:lang w:val="hr-HR"/>
              </w:rPr>
              <w:t>202</w:t>
            </w:r>
            <w:r>
              <w:rPr>
                <w:rFonts w:cs="Arial"/>
                <w:color w:val="000000" w:themeColor="text1"/>
                <w:sz w:val="18"/>
                <w:szCs w:val="18"/>
                <w:lang w:val="hr-HR"/>
              </w:rPr>
              <w:t>1</w:t>
            </w:r>
            <w:r w:rsidRPr="004B4498">
              <w:rPr>
                <w:rFonts w:cs="Arial"/>
                <w:color w:val="000000" w:themeColor="text1"/>
                <w:sz w:val="18"/>
                <w:szCs w:val="18"/>
                <w:lang w:val="hr-HR"/>
              </w:rPr>
              <w:t>.</w:t>
            </w:r>
            <w:bookmarkEnd w:id="974"/>
          </w:p>
        </w:tc>
      </w:tr>
      <w:tr w:rsidR="004E2F51" w:rsidRPr="00B44A61" w14:paraId="71A2C650" w14:textId="77777777" w:rsidTr="00E032FC">
        <w:trPr>
          <w:trHeight w:val="226"/>
        </w:trPr>
        <w:tc>
          <w:tcPr>
            <w:tcW w:w="4871" w:type="dxa"/>
            <w:tcBorders>
              <w:top w:val="nil"/>
              <w:left w:val="nil"/>
              <w:bottom w:val="nil"/>
              <w:right w:val="nil"/>
            </w:tcBorders>
            <w:shd w:val="clear" w:color="auto" w:fill="auto"/>
            <w:vAlign w:val="center"/>
            <w:hideMark/>
          </w:tcPr>
          <w:p w14:paraId="54F5FB3F" w14:textId="77777777" w:rsidR="004E2F51" w:rsidRPr="004B4498" w:rsidRDefault="004E2F51" w:rsidP="00E032FC">
            <w:pPr>
              <w:jc w:val="right"/>
              <w:rPr>
                <w:rFonts w:ascii="Arial" w:hAnsi="Arial" w:cs="Arial"/>
                <w:b/>
                <w:bCs/>
                <w:color w:val="000000" w:themeColor="text1"/>
                <w:sz w:val="18"/>
                <w:szCs w:val="18"/>
              </w:rPr>
            </w:pPr>
          </w:p>
        </w:tc>
        <w:tc>
          <w:tcPr>
            <w:tcW w:w="1134" w:type="dxa"/>
            <w:tcBorders>
              <w:top w:val="nil"/>
              <w:left w:val="nil"/>
              <w:bottom w:val="nil"/>
              <w:right w:val="nil"/>
            </w:tcBorders>
            <w:shd w:val="clear" w:color="auto" w:fill="auto"/>
            <w:vAlign w:val="center"/>
            <w:hideMark/>
          </w:tcPr>
          <w:p w14:paraId="7BB4705B" w14:textId="77777777" w:rsidR="004E2F51" w:rsidRPr="004B4498" w:rsidRDefault="004E2F51" w:rsidP="00E032FC">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 xml:space="preserve">000 </w:t>
            </w:r>
            <w:proofErr w:type="spellStart"/>
            <w:r w:rsidRPr="004B4498">
              <w:rPr>
                <w:rFonts w:ascii="Arial" w:hAnsi="Arial" w:cs="Arial"/>
                <w:b/>
                <w:bCs/>
                <w:color w:val="000000" w:themeColor="text1"/>
                <w:sz w:val="18"/>
                <w:szCs w:val="18"/>
              </w:rPr>
              <w:t>kuna</w:t>
            </w:r>
            <w:proofErr w:type="spellEnd"/>
          </w:p>
        </w:tc>
        <w:tc>
          <w:tcPr>
            <w:tcW w:w="1224" w:type="dxa"/>
            <w:tcBorders>
              <w:top w:val="nil"/>
              <w:left w:val="nil"/>
              <w:bottom w:val="nil"/>
              <w:right w:val="nil"/>
            </w:tcBorders>
            <w:shd w:val="clear" w:color="auto" w:fill="auto"/>
            <w:vAlign w:val="center"/>
          </w:tcPr>
          <w:p w14:paraId="54475668" w14:textId="77777777" w:rsidR="004E2F51" w:rsidRPr="004B4498" w:rsidRDefault="004E2F51" w:rsidP="00E032FC">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 xml:space="preserve">000 </w:t>
            </w:r>
            <w:proofErr w:type="spellStart"/>
            <w:r w:rsidRPr="004B4498">
              <w:rPr>
                <w:rFonts w:ascii="Arial" w:hAnsi="Arial" w:cs="Arial"/>
                <w:b/>
                <w:bCs/>
                <w:color w:val="000000" w:themeColor="text1"/>
                <w:sz w:val="18"/>
                <w:szCs w:val="18"/>
              </w:rPr>
              <w:t>kuna</w:t>
            </w:r>
            <w:proofErr w:type="spellEnd"/>
          </w:p>
        </w:tc>
        <w:tc>
          <w:tcPr>
            <w:tcW w:w="1219" w:type="dxa"/>
            <w:tcBorders>
              <w:top w:val="nil"/>
              <w:left w:val="nil"/>
              <w:bottom w:val="nil"/>
              <w:right w:val="nil"/>
            </w:tcBorders>
            <w:shd w:val="clear" w:color="auto" w:fill="auto"/>
            <w:vAlign w:val="center"/>
            <w:hideMark/>
          </w:tcPr>
          <w:p w14:paraId="4FCABDA7" w14:textId="77777777" w:rsidR="004E2F51" w:rsidRPr="004B4498" w:rsidRDefault="004E2F51" w:rsidP="00E032FC">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 xml:space="preserve">000 </w:t>
            </w:r>
            <w:proofErr w:type="spellStart"/>
            <w:r w:rsidRPr="004B4498">
              <w:rPr>
                <w:rFonts w:ascii="Arial" w:hAnsi="Arial" w:cs="Arial"/>
                <w:b/>
                <w:bCs/>
                <w:color w:val="000000" w:themeColor="text1"/>
                <w:sz w:val="18"/>
                <w:szCs w:val="18"/>
              </w:rPr>
              <w:t>kuna</w:t>
            </w:r>
            <w:proofErr w:type="spellEnd"/>
          </w:p>
        </w:tc>
        <w:tc>
          <w:tcPr>
            <w:tcW w:w="1133" w:type="dxa"/>
            <w:tcBorders>
              <w:top w:val="nil"/>
              <w:left w:val="nil"/>
              <w:bottom w:val="nil"/>
              <w:right w:val="nil"/>
            </w:tcBorders>
            <w:shd w:val="clear" w:color="auto" w:fill="auto"/>
            <w:vAlign w:val="center"/>
          </w:tcPr>
          <w:p w14:paraId="2FDAA2C2" w14:textId="77777777" w:rsidR="004E2F51" w:rsidRPr="004B4498" w:rsidRDefault="004E2F51" w:rsidP="00E032FC">
            <w:pPr>
              <w:jc w:val="right"/>
              <w:rPr>
                <w:rFonts w:ascii="Arial" w:hAnsi="Arial" w:cs="Arial"/>
                <w:b/>
                <w:bCs/>
                <w:color w:val="000000" w:themeColor="text1"/>
                <w:sz w:val="18"/>
                <w:szCs w:val="18"/>
              </w:rPr>
            </w:pPr>
            <w:r w:rsidRPr="004B4498">
              <w:rPr>
                <w:rFonts w:ascii="Arial" w:hAnsi="Arial" w:cs="Arial"/>
                <w:b/>
                <w:bCs/>
                <w:color w:val="000000" w:themeColor="text1"/>
                <w:sz w:val="18"/>
                <w:szCs w:val="18"/>
              </w:rPr>
              <w:t xml:space="preserve">000 </w:t>
            </w:r>
            <w:proofErr w:type="spellStart"/>
            <w:r w:rsidRPr="004B4498">
              <w:rPr>
                <w:rFonts w:ascii="Arial" w:hAnsi="Arial" w:cs="Arial"/>
                <w:b/>
                <w:bCs/>
                <w:color w:val="000000" w:themeColor="text1"/>
                <w:sz w:val="18"/>
                <w:szCs w:val="18"/>
              </w:rPr>
              <w:t>kuna</w:t>
            </w:r>
            <w:proofErr w:type="spellEnd"/>
          </w:p>
        </w:tc>
      </w:tr>
      <w:tr w:rsidR="004E2F51" w:rsidRPr="00B44A61" w14:paraId="2733C4C4" w14:textId="77777777" w:rsidTr="00E032FC">
        <w:trPr>
          <w:trHeight w:val="371"/>
        </w:trPr>
        <w:tc>
          <w:tcPr>
            <w:tcW w:w="4871" w:type="dxa"/>
            <w:tcBorders>
              <w:top w:val="nil"/>
              <w:left w:val="nil"/>
              <w:bottom w:val="nil"/>
              <w:right w:val="nil"/>
            </w:tcBorders>
            <w:shd w:val="clear" w:color="auto" w:fill="auto"/>
            <w:vAlign w:val="bottom"/>
          </w:tcPr>
          <w:p w14:paraId="0C9EE31A" w14:textId="77777777" w:rsidR="004E2F51" w:rsidRPr="004B4498" w:rsidRDefault="004E2F51" w:rsidP="00E032FC">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Stanje 1. siječnja</w:t>
            </w:r>
          </w:p>
        </w:tc>
        <w:tc>
          <w:tcPr>
            <w:tcW w:w="1134" w:type="dxa"/>
            <w:tcBorders>
              <w:top w:val="nil"/>
              <w:left w:val="nil"/>
              <w:bottom w:val="nil"/>
              <w:right w:val="nil"/>
            </w:tcBorders>
            <w:shd w:val="clear" w:color="auto" w:fill="auto"/>
            <w:noWrap/>
            <w:vAlign w:val="bottom"/>
          </w:tcPr>
          <w:p w14:paraId="467B0F9F" w14:textId="77777777" w:rsidR="004E2F51" w:rsidRPr="004B4498" w:rsidRDefault="004E2F51" w:rsidP="00E032FC">
            <w:pPr>
              <w:jc w:val="right"/>
              <w:rPr>
                <w:rFonts w:ascii="Arial" w:hAnsi="Arial" w:cs="Arial"/>
                <w:color w:val="000000" w:themeColor="text1"/>
                <w:sz w:val="18"/>
                <w:szCs w:val="18"/>
              </w:rPr>
            </w:pPr>
            <w:r w:rsidRPr="00A3731F">
              <w:rPr>
                <w:rFonts w:ascii="Arial" w:hAnsi="Arial" w:cs="Arial"/>
                <w:color w:val="000000" w:themeColor="text1"/>
                <w:sz w:val="18"/>
                <w:szCs w:val="18"/>
              </w:rPr>
              <w:t>1.809</w:t>
            </w:r>
          </w:p>
        </w:tc>
        <w:tc>
          <w:tcPr>
            <w:tcW w:w="1224" w:type="dxa"/>
            <w:tcBorders>
              <w:top w:val="nil"/>
              <w:left w:val="nil"/>
              <w:bottom w:val="nil"/>
              <w:right w:val="nil"/>
            </w:tcBorders>
            <w:shd w:val="clear" w:color="auto" w:fill="auto"/>
            <w:vAlign w:val="bottom"/>
          </w:tcPr>
          <w:p w14:paraId="7A1322EC" w14:textId="77777777" w:rsidR="004E2F51" w:rsidRPr="004B4498" w:rsidRDefault="004E2F51" w:rsidP="00E032FC">
            <w:pPr>
              <w:jc w:val="right"/>
              <w:rPr>
                <w:rFonts w:ascii="Arial" w:hAnsi="Arial" w:cs="Arial"/>
                <w:color w:val="000000" w:themeColor="text1"/>
                <w:sz w:val="18"/>
                <w:szCs w:val="18"/>
              </w:rPr>
            </w:pPr>
            <w:r w:rsidRPr="0046584E">
              <w:rPr>
                <w:rFonts w:ascii="Arial" w:hAnsi="Arial" w:cs="Arial"/>
                <w:color w:val="000000" w:themeColor="text1"/>
                <w:sz w:val="18"/>
                <w:szCs w:val="18"/>
              </w:rPr>
              <w:t>1.652</w:t>
            </w:r>
          </w:p>
        </w:tc>
        <w:tc>
          <w:tcPr>
            <w:tcW w:w="1219" w:type="dxa"/>
            <w:tcBorders>
              <w:top w:val="nil"/>
              <w:left w:val="nil"/>
              <w:bottom w:val="nil"/>
              <w:right w:val="nil"/>
            </w:tcBorders>
            <w:shd w:val="clear" w:color="auto" w:fill="auto"/>
            <w:vAlign w:val="bottom"/>
          </w:tcPr>
          <w:p w14:paraId="4B2FA19C" w14:textId="77777777" w:rsidR="004E2F51" w:rsidRPr="004B4498" w:rsidRDefault="004E2F51" w:rsidP="00E032FC">
            <w:pPr>
              <w:jc w:val="right"/>
              <w:rPr>
                <w:rFonts w:ascii="Arial" w:hAnsi="Arial" w:cs="Arial"/>
                <w:color w:val="000000" w:themeColor="text1"/>
                <w:sz w:val="18"/>
                <w:szCs w:val="18"/>
              </w:rPr>
            </w:pPr>
            <w:r w:rsidRPr="00A3731F">
              <w:rPr>
                <w:rFonts w:ascii="Arial" w:hAnsi="Arial" w:cs="Arial"/>
                <w:color w:val="000000" w:themeColor="text1"/>
                <w:sz w:val="18"/>
                <w:szCs w:val="18"/>
              </w:rPr>
              <w:t>1.804</w:t>
            </w:r>
          </w:p>
        </w:tc>
        <w:tc>
          <w:tcPr>
            <w:tcW w:w="1133" w:type="dxa"/>
            <w:tcBorders>
              <w:top w:val="nil"/>
              <w:left w:val="nil"/>
              <w:bottom w:val="nil"/>
              <w:right w:val="nil"/>
            </w:tcBorders>
            <w:shd w:val="clear" w:color="auto" w:fill="auto"/>
            <w:vAlign w:val="bottom"/>
          </w:tcPr>
          <w:p w14:paraId="7D57AA78" w14:textId="77777777" w:rsidR="004E2F51" w:rsidRPr="004B4498" w:rsidRDefault="004E2F51" w:rsidP="00E032FC">
            <w:pPr>
              <w:jc w:val="right"/>
              <w:rPr>
                <w:rFonts w:ascii="Arial" w:hAnsi="Arial" w:cs="Arial"/>
                <w:color w:val="000000" w:themeColor="text1"/>
                <w:sz w:val="18"/>
                <w:szCs w:val="18"/>
              </w:rPr>
            </w:pPr>
            <w:r w:rsidRPr="0046584E">
              <w:rPr>
                <w:rFonts w:ascii="Arial" w:hAnsi="Arial" w:cs="Arial"/>
                <w:color w:val="000000" w:themeColor="text1"/>
                <w:sz w:val="18"/>
                <w:szCs w:val="18"/>
              </w:rPr>
              <w:t>1.643</w:t>
            </w:r>
          </w:p>
        </w:tc>
      </w:tr>
      <w:tr w:rsidR="004E2F51" w:rsidRPr="00B44A61" w14:paraId="59E2896C" w14:textId="77777777" w:rsidTr="00E032FC">
        <w:trPr>
          <w:trHeight w:val="371"/>
        </w:trPr>
        <w:tc>
          <w:tcPr>
            <w:tcW w:w="4871" w:type="dxa"/>
            <w:tcBorders>
              <w:top w:val="nil"/>
              <w:left w:val="nil"/>
              <w:bottom w:val="nil"/>
              <w:right w:val="nil"/>
            </w:tcBorders>
            <w:shd w:val="clear" w:color="auto" w:fill="auto"/>
            <w:vAlign w:val="bottom"/>
          </w:tcPr>
          <w:p w14:paraId="081060C2" w14:textId="77777777" w:rsidR="004E2F51" w:rsidRPr="004B4498" w:rsidRDefault="004E2F51" w:rsidP="00E032FC">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 xml:space="preserve">Neto </w:t>
            </w:r>
            <w:r w:rsidRPr="00A3731F">
              <w:rPr>
                <w:rFonts w:ascii="Arial" w:hAnsi="Arial" w:cs="Arial"/>
                <w:color w:val="000000" w:themeColor="text1"/>
                <w:sz w:val="18"/>
                <w:szCs w:val="18"/>
                <w:lang w:val="hr-HR"/>
              </w:rPr>
              <w:t>povećanje</w:t>
            </w:r>
            <w:r w:rsidRPr="004B4498">
              <w:rPr>
                <w:rFonts w:ascii="Arial" w:hAnsi="Arial" w:cs="Arial"/>
                <w:color w:val="000000" w:themeColor="text1"/>
                <w:sz w:val="18"/>
                <w:szCs w:val="18"/>
                <w:lang w:val="hr-HR"/>
              </w:rPr>
              <w:t xml:space="preserve"> rezerviranja za očekivane gubitke po računima kod banaka</w:t>
            </w:r>
          </w:p>
        </w:tc>
        <w:tc>
          <w:tcPr>
            <w:tcW w:w="1134" w:type="dxa"/>
            <w:tcBorders>
              <w:top w:val="nil"/>
              <w:left w:val="nil"/>
              <w:right w:val="nil"/>
            </w:tcBorders>
            <w:shd w:val="clear" w:color="auto" w:fill="auto"/>
            <w:vAlign w:val="bottom"/>
          </w:tcPr>
          <w:p w14:paraId="775CA5E0" w14:textId="77777777" w:rsidR="004E2F51" w:rsidRPr="004B4498" w:rsidRDefault="004E2F51" w:rsidP="00E032FC">
            <w:pPr>
              <w:jc w:val="right"/>
              <w:rPr>
                <w:rFonts w:ascii="Arial" w:hAnsi="Arial" w:cs="Arial"/>
                <w:color w:val="000000" w:themeColor="text1"/>
                <w:sz w:val="18"/>
                <w:szCs w:val="18"/>
              </w:rPr>
            </w:pPr>
            <w:r w:rsidRPr="00A3731F">
              <w:rPr>
                <w:rFonts w:ascii="Arial" w:hAnsi="Arial" w:cs="Arial"/>
                <w:color w:val="000000" w:themeColor="text1"/>
                <w:sz w:val="18"/>
                <w:szCs w:val="18"/>
              </w:rPr>
              <w:t>4.250</w:t>
            </w:r>
          </w:p>
        </w:tc>
        <w:tc>
          <w:tcPr>
            <w:tcW w:w="1224" w:type="dxa"/>
            <w:tcBorders>
              <w:top w:val="nil"/>
              <w:left w:val="nil"/>
              <w:right w:val="nil"/>
            </w:tcBorders>
            <w:shd w:val="clear" w:color="auto" w:fill="auto"/>
            <w:vAlign w:val="bottom"/>
          </w:tcPr>
          <w:p w14:paraId="38547371" w14:textId="77777777" w:rsidR="004E2F51" w:rsidRPr="004B4498" w:rsidRDefault="004E2F51" w:rsidP="00E032FC">
            <w:pPr>
              <w:jc w:val="right"/>
              <w:rPr>
                <w:rFonts w:ascii="Arial" w:hAnsi="Arial" w:cs="Arial"/>
                <w:color w:val="000000" w:themeColor="text1"/>
                <w:sz w:val="18"/>
                <w:szCs w:val="18"/>
              </w:rPr>
            </w:pPr>
            <w:r w:rsidRPr="0046584E">
              <w:rPr>
                <w:rFonts w:ascii="Arial" w:hAnsi="Arial" w:cs="Arial"/>
                <w:color w:val="000000" w:themeColor="text1"/>
                <w:sz w:val="18"/>
                <w:szCs w:val="18"/>
              </w:rPr>
              <w:t>156</w:t>
            </w:r>
          </w:p>
        </w:tc>
        <w:tc>
          <w:tcPr>
            <w:tcW w:w="1219" w:type="dxa"/>
            <w:tcBorders>
              <w:top w:val="nil"/>
              <w:left w:val="nil"/>
              <w:right w:val="nil"/>
            </w:tcBorders>
            <w:shd w:val="clear" w:color="auto" w:fill="auto"/>
            <w:vAlign w:val="bottom"/>
          </w:tcPr>
          <w:p w14:paraId="1ADD93A4" w14:textId="77777777" w:rsidR="004E2F51" w:rsidRPr="004B4498" w:rsidRDefault="004E2F51" w:rsidP="00E032FC">
            <w:pPr>
              <w:jc w:val="right"/>
              <w:rPr>
                <w:rFonts w:ascii="Arial" w:hAnsi="Arial" w:cs="Arial"/>
                <w:color w:val="000000" w:themeColor="text1"/>
                <w:sz w:val="18"/>
                <w:szCs w:val="18"/>
              </w:rPr>
            </w:pPr>
            <w:r w:rsidRPr="00A3731F">
              <w:rPr>
                <w:rFonts w:ascii="Arial" w:hAnsi="Arial" w:cs="Arial"/>
                <w:color w:val="000000" w:themeColor="text1"/>
                <w:sz w:val="18"/>
                <w:szCs w:val="18"/>
              </w:rPr>
              <w:t>4.250</w:t>
            </w:r>
          </w:p>
        </w:tc>
        <w:tc>
          <w:tcPr>
            <w:tcW w:w="1133" w:type="dxa"/>
            <w:tcBorders>
              <w:top w:val="nil"/>
              <w:left w:val="nil"/>
              <w:bottom w:val="nil"/>
              <w:right w:val="nil"/>
            </w:tcBorders>
            <w:shd w:val="clear" w:color="auto" w:fill="auto"/>
            <w:vAlign w:val="bottom"/>
          </w:tcPr>
          <w:p w14:paraId="4175A909" w14:textId="77777777" w:rsidR="004E2F51" w:rsidRPr="004B4498" w:rsidRDefault="004E2F51" w:rsidP="00E032FC">
            <w:pPr>
              <w:jc w:val="right"/>
              <w:rPr>
                <w:rFonts w:ascii="Arial" w:hAnsi="Arial" w:cs="Arial"/>
                <w:color w:val="000000" w:themeColor="text1"/>
                <w:sz w:val="18"/>
                <w:szCs w:val="18"/>
              </w:rPr>
            </w:pPr>
            <w:r w:rsidRPr="0046584E">
              <w:rPr>
                <w:rFonts w:ascii="Arial" w:hAnsi="Arial" w:cs="Arial"/>
                <w:color w:val="000000" w:themeColor="text1"/>
                <w:sz w:val="18"/>
                <w:szCs w:val="18"/>
              </w:rPr>
              <w:t>160</w:t>
            </w:r>
          </w:p>
        </w:tc>
      </w:tr>
      <w:tr w:rsidR="004E2F51" w:rsidRPr="00B44A61" w14:paraId="293384B5" w14:textId="77777777" w:rsidTr="00E032FC">
        <w:trPr>
          <w:trHeight w:val="371"/>
        </w:trPr>
        <w:tc>
          <w:tcPr>
            <w:tcW w:w="4871" w:type="dxa"/>
            <w:tcBorders>
              <w:top w:val="nil"/>
              <w:left w:val="nil"/>
              <w:bottom w:val="nil"/>
              <w:right w:val="nil"/>
            </w:tcBorders>
            <w:shd w:val="clear" w:color="auto" w:fill="auto"/>
            <w:vAlign w:val="bottom"/>
          </w:tcPr>
          <w:p w14:paraId="62BED531" w14:textId="77777777" w:rsidR="004E2F51" w:rsidRPr="004B4498" w:rsidRDefault="004E2F51" w:rsidP="00E032FC">
            <w:pPr>
              <w:rPr>
                <w:rFonts w:ascii="Arial" w:hAnsi="Arial" w:cs="Arial"/>
                <w:i/>
                <w:iCs/>
                <w:color w:val="000000" w:themeColor="text1"/>
                <w:sz w:val="18"/>
                <w:szCs w:val="18"/>
                <w:lang w:val="hr-HR"/>
              </w:rPr>
            </w:pPr>
            <w:r w:rsidRPr="004B4498">
              <w:rPr>
                <w:rFonts w:ascii="Arial" w:hAnsi="Arial" w:cs="Arial"/>
                <w:i/>
                <w:iCs/>
                <w:color w:val="000000" w:themeColor="text1"/>
                <w:sz w:val="18"/>
                <w:szCs w:val="18"/>
                <w:lang w:val="hr-HR"/>
              </w:rPr>
              <w:t>Ukupno kroz dobit ili gubitak (</w:t>
            </w:r>
            <w:r w:rsidRPr="00A873BB">
              <w:rPr>
                <w:rFonts w:ascii="Arial" w:hAnsi="Arial" w:cs="Arial"/>
                <w:i/>
                <w:iCs/>
                <w:color w:val="000000" w:themeColor="text1"/>
                <w:sz w:val="18"/>
                <w:szCs w:val="18"/>
                <w:lang w:val="hr-HR"/>
              </w:rPr>
              <w:t>bilješka 10)</w:t>
            </w:r>
          </w:p>
        </w:tc>
        <w:tc>
          <w:tcPr>
            <w:tcW w:w="1134" w:type="dxa"/>
            <w:tcBorders>
              <w:top w:val="single" w:sz="4" w:space="0" w:color="auto"/>
              <w:left w:val="nil"/>
              <w:bottom w:val="single" w:sz="4" w:space="0" w:color="auto"/>
              <w:right w:val="nil"/>
            </w:tcBorders>
            <w:shd w:val="clear" w:color="auto" w:fill="auto"/>
            <w:vAlign w:val="bottom"/>
          </w:tcPr>
          <w:p w14:paraId="4E05944A" w14:textId="77777777" w:rsidR="004E2F51" w:rsidRPr="004B4498" w:rsidRDefault="004E2F51" w:rsidP="00E032FC">
            <w:pPr>
              <w:jc w:val="right"/>
              <w:rPr>
                <w:rFonts w:ascii="Arial" w:hAnsi="Arial" w:cs="Arial"/>
                <w:bCs/>
                <w:i/>
                <w:color w:val="000000" w:themeColor="text1"/>
                <w:sz w:val="18"/>
                <w:szCs w:val="18"/>
              </w:rPr>
            </w:pPr>
            <w:r w:rsidRPr="00A3731F">
              <w:rPr>
                <w:rFonts w:ascii="Arial" w:hAnsi="Arial" w:cs="Arial"/>
                <w:bCs/>
                <w:i/>
                <w:color w:val="000000" w:themeColor="text1"/>
                <w:sz w:val="18"/>
                <w:szCs w:val="18"/>
              </w:rPr>
              <w:t>4.250</w:t>
            </w:r>
          </w:p>
        </w:tc>
        <w:tc>
          <w:tcPr>
            <w:tcW w:w="1224" w:type="dxa"/>
            <w:tcBorders>
              <w:top w:val="single" w:sz="4" w:space="0" w:color="auto"/>
              <w:left w:val="nil"/>
              <w:bottom w:val="single" w:sz="4" w:space="0" w:color="auto"/>
              <w:right w:val="nil"/>
            </w:tcBorders>
            <w:shd w:val="clear" w:color="auto" w:fill="auto"/>
            <w:vAlign w:val="bottom"/>
          </w:tcPr>
          <w:p w14:paraId="4716AC68" w14:textId="77777777" w:rsidR="004E2F51" w:rsidRPr="004B4498" w:rsidRDefault="004E2F51" w:rsidP="00E032FC">
            <w:pPr>
              <w:jc w:val="right"/>
              <w:rPr>
                <w:rFonts w:ascii="Arial" w:hAnsi="Arial" w:cs="Arial"/>
                <w:bCs/>
                <w:i/>
                <w:color w:val="000000" w:themeColor="text1"/>
                <w:sz w:val="18"/>
                <w:szCs w:val="18"/>
              </w:rPr>
            </w:pPr>
            <w:r w:rsidRPr="0046584E">
              <w:rPr>
                <w:rFonts w:ascii="Arial" w:hAnsi="Arial" w:cs="Arial"/>
                <w:bCs/>
                <w:i/>
                <w:color w:val="000000" w:themeColor="text1"/>
                <w:sz w:val="18"/>
                <w:szCs w:val="18"/>
              </w:rPr>
              <w:t>156</w:t>
            </w:r>
          </w:p>
        </w:tc>
        <w:tc>
          <w:tcPr>
            <w:tcW w:w="1219" w:type="dxa"/>
            <w:tcBorders>
              <w:top w:val="single" w:sz="4" w:space="0" w:color="auto"/>
              <w:left w:val="nil"/>
              <w:bottom w:val="single" w:sz="4" w:space="0" w:color="auto"/>
              <w:right w:val="nil"/>
            </w:tcBorders>
            <w:shd w:val="clear" w:color="auto" w:fill="auto"/>
            <w:vAlign w:val="bottom"/>
          </w:tcPr>
          <w:p w14:paraId="4BE0DD3C" w14:textId="77777777" w:rsidR="004E2F51" w:rsidRPr="004B4498" w:rsidRDefault="004E2F51" w:rsidP="00E032FC">
            <w:pPr>
              <w:jc w:val="right"/>
              <w:rPr>
                <w:rFonts w:ascii="Arial" w:hAnsi="Arial" w:cs="Arial"/>
                <w:bCs/>
                <w:i/>
                <w:color w:val="000000" w:themeColor="text1"/>
                <w:sz w:val="18"/>
                <w:szCs w:val="18"/>
              </w:rPr>
            </w:pPr>
            <w:r w:rsidRPr="00A3731F">
              <w:rPr>
                <w:rFonts w:ascii="Arial" w:hAnsi="Arial" w:cs="Arial"/>
                <w:bCs/>
                <w:i/>
                <w:color w:val="000000" w:themeColor="text1"/>
                <w:sz w:val="18"/>
                <w:szCs w:val="18"/>
              </w:rPr>
              <w:t>4.250</w:t>
            </w:r>
          </w:p>
        </w:tc>
        <w:tc>
          <w:tcPr>
            <w:tcW w:w="1133" w:type="dxa"/>
            <w:tcBorders>
              <w:top w:val="single" w:sz="4" w:space="0" w:color="auto"/>
              <w:left w:val="nil"/>
              <w:bottom w:val="single" w:sz="4" w:space="0" w:color="auto"/>
              <w:right w:val="nil"/>
            </w:tcBorders>
            <w:vAlign w:val="bottom"/>
          </w:tcPr>
          <w:p w14:paraId="0C941D45" w14:textId="77777777" w:rsidR="004E2F51" w:rsidRPr="004B4498" w:rsidRDefault="004E2F51" w:rsidP="00E032FC">
            <w:pPr>
              <w:jc w:val="right"/>
              <w:rPr>
                <w:rFonts w:ascii="Arial" w:hAnsi="Arial" w:cs="Arial"/>
                <w:bCs/>
                <w:i/>
                <w:color w:val="000000" w:themeColor="text1"/>
                <w:sz w:val="18"/>
                <w:szCs w:val="18"/>
              </w:rPr>
            </w:pPr>
            <w:r w:rsidRPr="0046584E">
              <w:rPr>
                <w:rFonts w:ascii="Arial" w:hAnsi="Arial" w:cs="Arial"/>
                <w:bCs/>
                <w:i/>
                <w:color w:val="000000" w:themeColor="text1"/>
                <w:sz w:val="18"/>
                <w:szCs w:val="18"/>
              </w:rPr>
              <w:t>160</w:t>
            </w:r>
          </w:p>
        </w:tc>
      </w:tr>
      <w:tr w:rsidR="004E2F51" w:rsidRPr="00B44A61" w14:paraId="52E7D93D" w14:textId="77777777" w:rsidTr="00E032FC">
        <w:trPr>
          <w:trHeight w:val="371"/>
        </w:trPr>
        <w:tc>
          <w:tcPr>
            <w:tcW w:w="4871" w:type="dxa"/>
            <w:tcBorders>
              <w:top w:val="nil"/>
              <w:left w:val="nil"/>
              <w:bottom w:val="nil"/>
              <w:right w:val="nil"/>
            </w:tcBorders>
            <w:shd w:val="clear" w:color="auto" w:fill="auto"/>
            <w:vAlign w:val="bottom"/>
          </w:tcPr>
          <w:p w14:paraId="3876E6C6" w14:textId="77777777" w:rsidR="004E2F51" w:rsidRPr="004B4498" w:rsidRDefault="004E2F51" w:rsidP="00E032FC">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 xml:space="preserve">Neto dobit/gubitak od tečajnih razlika po rezerviranjima za očekivane gubitke </w:t>
            </w:r>
          </w:p>
        </w:tc>
        <w:tc>
          <w:tcPr>
            <w:tcW w:w="1134" w:type="dxa"/>
            <w:tcBorders>
              <w:top w:val="single" w:sz="4" w:space="0" w:color="auto"/>
              <w:left w:val="nil"/>
              <w:bottom w:val="single" w:sz="4" w:space="0" w:color="auto"/>
              <w:right w:val="nil"/>
            </w:tcBorders>
            <w:shd w:val="clear" w:color="auto" w:fill="auto"/>
            <w:vAlign w:val="bottom"/>
          </w:tcPr>
          <w:p w14:paraId="44801DA9" w14:textId="77777777" w:rsidR="004E2F51" w:rsidRPr="004B4498" w:rsidRDefault="004E2F51" w:rsidP="00E032FC">
            <w:pPr>
              <w:jc w:val="right"/>
              <w:rPr>
                <w:rFonts w:ascii="Arial" w:hAnsi="Arial" w:cs="Arial"/>
                <w:color w:val="000000" w:themeColor="text1"/>
                <w:sz w:val="18"/>
                <w:szCs w:val="18"/>
              </w:rPr>
            </w:pPr>
            <w:r>
              <w:rPr>
                <w:rFonts w:ascii="Arial" w:hAnsi="Arial" w:cs="Arial"/>
                <w:color w:val="000000" w:themeColor="text1"/>
                <w:sz w:val="18"/>
                <w:szCs w:val="18"/>
              </w:rPr>
              <w:t>5</w:t>
            </w:r>
          </w:p>
        </w:tc>
        <w:tc>
          <w:tcPr>
            <w:tcW w:w="1224" w:type="dxa"/>
            <w:tcBorders>
              <w:top w:val="single" w:sz="4" w:space="0" w:color="auto"/>
              <w:left w:val="nil"/>
              <w:bottom w:val="single" w:sz="4" w:space="0" w:color="auto"/>
              <w:right w:val="nil"/>
            </w:tcBorders>
            <w:shd w:val="clear" w:color="auto" w:fill="auto"/>
            <w:vAlign w:val="bottom"/>
          </w:tcPr>
          <w:p w14:paraId="01FEAD2C" w14:textId="77777777" w:rsidR="004E2F51" w:rsidRPr="004B4498" w:rsidRDefault="004E2F51" w:rsidP="00E032FC">
            <w:pPr>
              <w:jc w:val="right"/>
              <w:rPr>
                <w:rFonts w:ascii="Arial" w:hAnsi="Arial" w:cs="Arial"/>
                <w:color w:val="000000" w:themeColor="text1"/>
                <w:sz w:val="18"/>
                <w:szCs w:val="18"/>
              </w:rPr>
            </w:pPr>
            <w:r w:rsidRPr="0046584E">
              <w:rPr>
                <w:rFonts w:ascii="Arial" w:hAnsi="Arial" w:cs="Arial"/>
                <w:color w:val="000000" w:themeColor="text1"/>
                <w:sz w:val="18"/>
                <w:szCs w:val="18"/>
              </w:rPr>
              <w:t>1</w:t>
            </w:r>
          </w:p>
        </w:tc>
        <w:tc>
          <w:tcPr>
            <w:tcW w:w="1219" w:type="dxa"/>
            <w:tcBorders>
              <w:top w:val="single" w:sz="4" w:space="0" w:color="auto"/>
              <w:left w:val="nil"/>
              <w:bottom w:val="single" w:sz="4" w:space="0" w:color="auto"/>
              <w:right w:val="nil"/>
            </w:tcBorders>
            <w:shd w:val="clear" w:color="auto" w:fill="auto"/>
            <w:vAlign w:val="bottom"/>
          </w:tcPr>
          <w:p w14:paraId="22461D1F" w14:textId="77777777" w:rsidR="004E2F51" w:rsidRPr="004B4498" w:rsidRDefault="004E2F51" w:rsidP="00E032FC">
            <w:pPr>
              <w:jc w:val="right"/>
              <w:rPr>
                <w:rFonts w:ascii="Arial" w:hAnsi="Arial" w:cs="Arial"/>
                <w:color w:val="000000" w:themeColor="text1"/>
                <w:sz w:val="18"/>
                <w:szCs w:val="18"/>
              </w:rPr>
            </w:pPr>
            <w:r w:rsidRPr="00A3731F">
              <w:rPr>
                <w:rFonts w:ascii="Arial" w:hAnsi="Arial" w:cs="Arial"/>
                <w:color w:val="000000" w:themeColor="text1"/>
                <w:sz w:val="18"/>
                <w:szCs w:val="18"/>
              </w:rPr>
              <w:t>5</w:t>
            </w:r>
          </w:p>
        </w:tc>
        <w:tc>
          <w:tcPr>
            <w:tcW w:w="1133" w:type="dxa"/>
            <w:tcBorders>
              <w:top w:val="single" w:sz="4" w:space="0" w:color="auto"/>
              <w:left w:val="nil"/>
              <w:bottom w:val="single" w:sz="4" w:space="0" w:color="auto"/>
              <w:right w:val="nil"/>
            </w:tcBorders>
            <w:vAlign w:val="bottom"/>
          </w:tcPr>
          <w:p w14:paraId="76D7E136" w14:textId="77777777" w:rsidR="004E2F51" w:rsidRPr="004B4498" w:rsidRDefault="004E2F51" w:rsidP="00E032FC">
            <w:pPr>
              <w:jc w:val="right"/>
              <w:rPr>
                <w:rFonts w:ascii="Arial" w:hAnsi="Arial" w:cs="Arial"/>
                <w:color w:val="000000" w:themeColor="text1"/>
                <w:sz w:val="18"/>
                <w:szCs w:val="18"/>
              </w:rPr>
            </w:pPr>
            <w:r w:rsidRPr="0046584E">
              <w:rPr>
                <w:rFonts w:ascii="Arial" w:hAnsi="Arial" w:cs="Arial"/>
                <w:color w:val="000000" w:themeColor="text1"/>
                <w:sz w:val="18"/>
                <w:szCs w:val="18"/>
              </w:rPr>
              <w:t>1</w:t>
            </w:r>
          </w:p>
        </w:tc>
      </w:tr>
      <w:tr w:rsidR="004E2F51" w:rsidRPr="00B44A61" w14:paraId="79103FAD" w14:textId="77777777" w:rsidTr="00E032FC">
        <w:trPr>
          <w:trHeight w:val="371"/>
        </w:trPr>
        <w:tc>
          <w:tcPr>
            <w:tcW w:w="4871" w:type="dxa"/>
            <w:tcBorders>
              <w:top w:val="nil"/>
              <w:left w:val="nil"/>
              <w:bottom w:val="nil"/>
              <w:right w:val="nil"/>
            </w:tcBorders>
            <w:shd w:val="clear" w:color="auto" w:fill="auto"/>
            <w:vAlign w:val="bottom"/>
          </w:tcPr>
          <w:p w14:paraId="2385E67C" w14:textId="77777777" w:rsidR="004E2F51" w:rsidRPr="004B4498" w:rsidRDefault="004E2F51" w:rsidP="00E032FC">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Stanje na kraju izvještajnog razdoblja</w:t>
            </w:r>
          </w:p>
        </w:tc>
        <w:tc>
          <w:tcPr>
            <w:tcW w:w="1134" w:type="dxa"/>
            <w:tcBorders>
              <w:top w:val="single" w:sz="4" w:space="0" w:color="auto"/>
              <w:left w:val="nil"/>
              <w:bottom w:val="single" w:sz="12" w:space="0" w:color="auto"/>
              <w:right w:val="nil"/>
            </w:tcBorders>
            <w:shd w:val="clear" w:color="auto" w:fill="auto"/>
            <w:noWrap/>
            <w:vAlign w:val="bottom"/>
          </w:tcPr>
          <w:p w14:paraId="62E7D70C" w14:textId="77777777" w:rsidR="004E2F51" w:rsidRPr="004B4498" w:rsidRDefault="004E2F51" w:rsidP="00E032FC">
            <w:pPr>
              <w:jc w:val="right"/>
              <w:rPr>
                <w:rFonts w:ascii="Arial" w:hAnsi="Arial" w:cs="Arial"/>
                <w:b/>
                <w:color w:val="000000" w:themeColor="text1"/>
                <w:sz w:val="18"/>
                <w:szCs w:val="18"/>
              </w:rPr>
            </w:pPr>
            <w:r w:rsidRPr="00A3731F">
              <w:rPr>
                <w:rFonts w:ascii="Arial" w:hAnsi="Arial" w:cs="Arial"/>
                <w:b/>
                <w:color w:val="000000" w:themeColor="text1"/>
                <w:sz w:val="18"/>
                <w:szCs w:val="18"/>
              </w:rPr>
              <w:t>6.064</w:t>
            </w:r>
          </w:p>
        </w:tc>
        <w:tc>
          <w:tcPr>
            <w:tcW w:w="1224" w:type="dxa"/>
            <w:tcBorders>
              <w:top w:val="single" w:sz="4" w:space="0" w:color="auto"/>
              <w:left w:val="nil"/>
              <w:bottom w:val="single" w:sz="12" w:space="0" w:color="auto"/>
              <w:right w:val="nil"/>
            </w:tcBorders>
            <w:shd w:val="clear" w:color="auto" w:fill="auto"/>
            <w:vAlign w:val="bottom"/>
          </w:tcPr>
          <w:p w14:paraId="7331C372" w14:textId="77777777" w:rsidR="004E2F51" w:rsidRPr="004B4498" w:rsidRDefault="004E2F51" w:rsidP="00E032FC">
            <w:pPr>
              <w:jc w:val="right"/>
              <w:rPr>
                <w:rFonts w:ascii="Arial" w:hAnsi="Arial" w:cs="Arial"/>
                <w:b/>
                <w:color w:val="000000" w:themeColor="text1"/>
                <w:sz w:val="18"/>
                <w:szCs w:val="18"/>
              </w:rPr>
            </w:pPr>
            <w:r w:rsidRPr="0046584E">
              <w:rPr>
                <w:rFonts w:ascii="Arial" w:hAnsi="Arial" w:cs="Arial"/>
                <w:b/>
                <w:color w:val="000000" w:themeColor="text1"/>
                <w:sz w:val="18"/>
                <w:szCs w:val="18"/>
              </w:rPr>
              <w:t>1.809</w:t>
            </w:r>
          </w:p>
        </w:tc>
        <w:tc>
          <w:tcPr>
            <w:tcW w:w="1219" w:type="dxa"/>
            <w:tcBorders>
              <w:top w:val="single" w:sz="4" w:space="0" w:color="auto"/>
              <w:left w:val="nil"/>
              <w:bottom w:val="single" w:sz="12" w:space="0" w:color="auto"/>
              <w:right w:val="nil"/>
            </w:tcBorders>
            <w:shd w:val="clear" w:color="auto" w:fill="auto"/>
            <w:vAlign w:val="bottom"/>
          </w:tcPr>
          <w:p w14:paraId="5723CF51" w14:textId="77777777" w:rsidR="004E2F51" w:rsidRPr="004B4498" w:rsidRDefault="004E2F51" w:rsidP="00E032FC">
            <w:pPr>
              <w:jc w:val="right"/>
              <w:rPr>
                <w:rFonts w:ascii="Arial" w:hAnsi="Arial" w:cs="Arial"/>
                <w:b/>
                <w:color w:val="000000" w:themeColor="text1"/>
                <w:sz w:val="18"/>
                <w:szCs w:val="18"/>
              </w:rPr>
            </w:pPr>
            <w:r w:rsidRPr="00A3731F">
              <w:rPr>
                <w:rFonts w:ascii="Arial" w:hAnsi="Arial" w:cs="Arial"/>
                <w:b/>
                <w:color w:val="000000" w:themeColor="text1"/>
                <w:sz w:val="18"/>
                <w:szCs w:val="18"/>
              </w:rPr>
              <w:t>6.059</w:t>
            </w:r>
          </w:p>
        </w:tc>
        <w:tc>
          <w:tcPr>
            <w:tcW w:w="1133" w:type="dxa"/>
            <w:tcBorders>
              <w:top w:val="single" w:sz="4" w:space="0" w:color="auto"/>
              <w:left w:val="nil"/>
              <w:bottom w:val="single" w:sz="12" w:space="0" w:color="auto"/>
              <w:right w:val="nil"/>
            </w:tcBorders>
            <w:vAlign w:val="bottom"/>
          </w:tcPr>
          <w:p w14:paraId="13D54DA4" w14:textId="77777777" w:rsidR="004E2F51" w:rsidRPr="004B4498" w:rsidRDefault="004E2F51" w:rsidP="00E032FC">
            <w:pPr>
              <w:jc w:val="right"/>
              <w:rPr>
                <w:rFonts w:ascii="Arial" w:hAnsi="Arial" w:cs="Arial"/>
                <w:b/>
                <w:color w:val="000000" w:themeColor="text1"/>
                <w:sz w:val="18"/>
                <w:szCs w:val="18"/>
              </w:rPr>
            </w:pPr>
            <w:r w:rsidRPr="0046584E">
              <w:rPr>
                <w:rFonts w:ascii="Arial" w:hAnsi="Arial" w:cs="Arial"/>
                <w:b/>
                <w:color w:val="000000" w:themeColor="text1"/>
                <w:sz w:val="18"/>
                <w:szCs w:val="18"/>
              </w:rPr>
              <w:t>1.804</w:t>
            </w:r>
          </w:p>
        </w:tc>
      </w:tr>
    </w:tbl>
    <w:p w14:paraId="7F67CB67" w14:textId="77777777" w:rsidR="004E2F51" w:rsidRPr="004B4498" w:rsidRDefault="004E2F51" w:rsidP="004E2F51">
      <w:pPr>
        <w:pStyle w:val="T1"/>
        <w:spacing w:before="0" w:after="0" w:line="240" w:lineRule="auto"/>
        <w:rPr>
          <w:rFonts w:cs="Arial"/>
          <w:color w:val="000000" w:themeColor="text1"/>
          <w:sz w:val="20"/>
          <w:lang w:val="hr-HR"/>
        </w:rPr>
      </w:pPr>
    </w:p>
    <w:p w14:paraId="4BF31C7D" w14:textId="77777777" w:rsidR="004E2F51" w:rsidRPr="004B4498" w:rsidRDefault="004E2F51" w:rsidP="004E2F51">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Neto dobit/gubitak dobit od tečajnih razlika po rezerviranjima za očekivane gubitke prikazan je unutar Neto prihoda/(rashoda) od financijskih aktivnosti u Računu dobiti i gubitka.</w:t>
      </w:r>
    </w:p>
    <w:p w14:paraId="4898BACE" w14:textId="77777777" w:rsidR="004E2F51" w:rsidRPr="00B91D09" w:rsidRDefault="004E2F51" w:rsidP="004E2F51">
      <w:pPr>
        <w:pStyle w:val="T1"/>
        <w:spacing w:before="0" w:after="0" w:line="240" w:lineRule="auto"/>
        <w:rPr>
          <w:rFonts w:cs="Arial"/>
          <w:b w:val="0"/>
          <w:color w:val="000000" w:themeColor="text1"/>
          <w:sz w:val="22"/>
          <w:szCs w:val="22"/>
          <w:lang w:val="hr-HR"/>
        </w:rPr>
      </w:pPr>
    </w:p>
    <w:p w14:paraId="2643510C" w14:textId="77777777" w:rsidR="004E2F51" w:rsidRPr="00B91D09" w:rsidRDefault="004E2F51" w:rsidP="004E2F51">
      <w:pPr>
        <w:pStyle w:val="T1"/>
        <w:spacing w:before="0" w:after="0" w:line="240" w:lineRule="auto"/>
        <w:rPr>
          <w:rFonts w:cs="Arial"/>
          <w:b w:val="0"/>
          <w:color w:val="000000" w:themeColor="text1"/>
          <w:sz w:val="22"/>
          <w:szCs w:val="22"/>
          <w:lang w:val="hr-HR"/>
        </w:rPr>
      </w:pPr>
    </w:p>
    <w:p w14:paraId="7F88F586" w14:textId="77777777" w:rsidR="004E2F51" w:rsidRPr="00B91D09" w:rsidRDefault="004E2F51" w:rsidP="004E2F51">
      <w:pPr>
        <w:pStyle w:val="T1"/>
        <w:spacing w:before="0" w:after="0" w:line="240" w:lineRule="auto"/>
        <w:rPr>
          <w:rFonts w:cs="Arial"/>
          <w:b w:val="0"/>
          <w:color w:val="000000" w:themeColor="text1"/>
          <w:sz w:val="22"/>
          <w:szCs w:val="22"/>
          <w:lang w:val="hr-HR"/>
        </w:rPr>
      </w:pPr>
    </w:p>
    <w:p w14:paraId="4440106A" w14:textId="77777777" w:rsidR="004E2F51" w:rsidRPr="00B91D09" w:rsidRDefault="004E2F51" w:rsidP="004E2F51">
      <w:pPr>
        <w:pStyle w:val="T1"/>
        <w:spacing w:before="0" w:after="0" w:line="240" w:lineRule="auto"/>
        <w:rPr>
          <w:rFonts w:cs="Arial"/>
          <w:b w:val="0"/>
          <w:color w:val="000000" w:themeColor="text1"/>
          <w:sz w:val="22"/>
          <w:szCs w:val="22"/>
          <w:lang w:val="hr-HR"/>
        </w:rPr>
        <w:sectPr w:rsidR="004E2F51" w:rsidRPr="00B91D09" w:rsidSect="00623DBA">
          <w:footerReference w:type="default" r:id="rId120"/>
          <w:pgSz w:w="11907" w:h="16840" w:code="9"/>
          <w:pgMar w:top="1418" w:right="1134" w:bottom="1134" w:left="1418" w:header="851" w:footer="851" w:gutter="0"/>
          <w:cols w:space="720"/>
          <w:noEndnote/>
        </w:sectPr>
      </w:pPr>
    </w:p>
    <w:p w14:paraId="68C27A5D" w14:textId="77777777" w:rsidR="004E2F51" w:rsidRPr="00B91D09" w:rsidRDefault="004E2F51" w:rsidP="004E2F51">
      <w:pPr>
        <w:pStyle w:val="T1"/>
        <w:spacing w:before="0" w:after="0" w:line="240" w:lineRule="auto"/>
        <w:rPr>
          <w:rFonts w:cs="Arial"/>
          <w:color w:val="000000" w:themeColor="text1"/>
          <w:sz w:val="22"/>
          <w:szCs w:val="22"/>
          <w:lang w:val="hr-HR"/>
        </w:rPr>
      </w:pPr>
    </w:p>
    <w:p w14:paraId="07DD230C"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13.</w:t>
      </w:r>
      <w:r w:rsidRPr="004B4498">
        <w:rPr>
          <w:rFonts w:cs="Arial"/>
          <w:color w:val="000000" w:themeColor="text1"/>
          <w:sz w:val="20"/>
          <w:lang w:val="hr-HR"/>
        </w:rPr>
        <w:tab/>
        <w:t>Depoziti kod drugih banaka</w:t>
      </w:r>
    </w:p>
    <w:p w14:paraId="49962DFE" w14:textId="77777777" w:rsidR="004E2F51" w:rsidRPr="004B4498" w:rsidRDefault="004E2F51" w:rsidP="004E2F51">
      <w:pPr>
        <w:tabs>
          <w:tab w:val="left" w:pos="-720"/>
        </w:tabs>
        <w:rPr>
          <w:rFonts w:ascii="Arial" w:hAnsi="Arial" w:cs="Arial"/>
          <w:color w:val="000000" w:themeColor="text1"/>
          <w:sz w:val="20"/>
          <w:szCs w:val="20"/>
          <w:lang w:val="hr-HR"/>
        </w:rPr>
      </w:pPr>
    </w:p>
    <w:tbl>
      <w:tblPr>
        <w:tblW w:w="4901" w:type="pct"/>
        <w:tblCellMar>
          <w:left w:w="122" w:type="dxa"/>
          <w:right w:w="122" w:type="dxa"/>
        </w:tblCellMar>
        <w:tblLook w:val="0000" w:firstRow="0" w:lastRow="0" w:firstColumn="0" w:lastColumn="0" w:noHBand="0" w:noVBand="0"/>
      </w:tblPr>
      <w:tblGrid>
        <w:gridCol w:w="3498"/>
        <w:gridCol w:w="1418"/>
        <w:gridCol w:w="1418"/>
        <w:gridCol w:w="1418"/>
        <w:gridCol w:w="1418"/>
      </w:tblGrid>
      <w:tr w:rsidR="004E2F51" w:rsidRPr="00B44A61" w14:paraId="6BA3E7DD" w14:textId="77777777" w:rsidTr="00E032FC">
        <w:trPr>
          <w:trHeight w:val="112"/>
        </w:trPr>
        <w:tc>
          <w:tcPr>
            <w:tcW w:w="1907" w:type="pct"/>
          </w:tcPr>
          <w:p w14:paraId="216F50AD" w14:textId="77777777" w:rsidR="004E2F51" w:rsidRPr="00B44A61" w:rsidRDefault="004E2F51" w:rsidP="00E032FC">
            <w:pPr>
              <w:tabs>
                <w:tab w:val="left" w:pos="-720"/>
              </w:tabs>
              <w:rPr>
                <w:rFonts w:ascii="Arial" w:hAnsi="Arial" w:cs="Arial"/>
                <w:b/>
                <w:color w:val="000000" w:themeColor="text1"/>
                <w:sz w:val="20"/>
                <w:szCs w:val="20"/>
                <w:lang w:val="hr-HR"/>
              </w:rPr>
            </w:pPr>
          </w:p>
        </w:tc>
        <w:tc>
          <w:tcPr>
            <w:tcW w:w="1546" w:type="pct"/>
            <w:gridSpan w:val="2"/>
            <w:vAlign w:val="bottom"/>
          </w:tcPr>
          <w:p w14:paraId="4676C9CD" w14:textId="77777777" w:rsidR="004E2F51" w:rsidRPr="00B44A61" w:rsidRDefault="004E2F51" w:rsidP="00E032FC">
            <w:pPr>
              <w:pStyle w:val="TH"/>
              <w:jc w:val="right"/>
              <w:rPr>
                <w:rFonts w:cs="Arial"/>
                <w:color w:val="000000" w:themeColor="text1"/>
                <w:sz w:val="20"/>
                <w:lang w:val="hr-HR"/>
              </w:rPr>
            </w:pPr>
            <w:r w:rsidRPr="00B44A61">
              <w:rPr>
                <w:rFonts w:cs="Arial"/>
                <w:color w:val="000000" w:themeColor="text1"/>
                <w:sz w:val="20"/>
                <w:lang w:val="hr-HR"/>
              </w:rPr>
              <w:t xml:space="preserve">Grupa </w:t>
            </w:r>
          </w:p>
        </w:tc>
        <w:tc>
          <w:tcPr>
            <w:tcW w:w="1546" w:type="pct"/>
            <w:gridSpan w:val="2"/>
            <w:vAlign w:val="bottom"/>
          </w:tcPr>
          <w:p w14:paraId="562885DA" w14:textId="77777777" w:rsidR="004E2F51" w:rsidRPr="00B44A61" w:rsidRDefault="004E2F51" w:rsidP="00E032FC">
            <w:pPr>
              <w:pStyle w:val="TH"/>
              <w:jc w:val="right"/>
              <w:rPr>
                <w:rFonts w:cs="Arial"/>
                <w:color w:val="000000" w:themeColor="text1"/>
                <w:sz w:val="20"/>
                <w:lang w:val="hr-HR"/>
              </w:rPr>
            </w:pPr>
            <w:bookmarkStart w:id="975" w:name="_Toc67327929"/>
            <w:r w:rsidRPr="00B44A61">
              <w:rPr>
                <w:rFonts w:cs="Arial"/>
                <w:color w:val="000000" w:themeColor="text1"/>
                <w:sz w:val="20"/>
                <w:lang w:val="hr-HR"/>
              </w:rPr>
              <w:t>Banka</w:t>
            </w:r>
            <w:bookmarkEnd w:id="975"/>
          </w:p>
        </w:tc>
      </w:tr>
      <w:tr w:rsidR="004E2F51" w:rsidRPr="00B44A61" w14:paraId="7B8046D7" w14:textId="77777777" w:rsidTr="00E032FC">
        <w:trPr>
          <w:trHeight w:val="112"/>
        </w:trPr>
        <w:tc>
          <w:tcPr>
            <w:tcW w:w="1907" w:type="pct"/>
          </w:tcPr>
          <w:p w14:paraId="0A030A2A" w14:textId="77777777" w:rsidR="004E2F51" w:rsidRPr="00B44A61" w:rsidRDefault="004E2F51" w:rsidP="00E032FC">
            <w:pPr>
              <w:tabs>
                <w:tab w:val="left" w:pos="-720"/>
              </w:tabs>
              <w:rPr>
                <w:rFonts w:ascii="Arial" w:hAnsi="Arial" w:cs="Arial"/>
                <w:b/>
                <w:color w:val="000000" w:themeColor="text1"/>
                <w:sz w:val="20"/>
                <w:szCs w:val="20"/>
                <w:lang w:val="hr-HR"/>
              </w:rPr>
            </w:pPr>
          </w:p>
        </w:tc>
        <w:tc>
          <w:tcPr>
            <w:tcW w:w="773" w:type="pct"/>
            <w:vAlign w:val="bottom"/>
          </w:tcPr>
          <w:p w14:paraId="31A9B0EB" w14:textId="77777777" w:rsidR="004E2F51" w:rsidRPr="00B44A61" w:rsidRDefault="004E2F51" w:rsidP="00E032FC">
            <w:pPr>
              <w:pStyle w:val="TH"/>
              <w:jc w:val="right"/>
              <w:rPr>
                <w:rFonts w:cs="Arial"/>
                <w:color w:val="000000" w:themeColor="text1"/>
                <w:sz w:val="20"/>
                <w:lang w:val="hr-HR"/>
              </w:rPr>
            </w:pPr>
            <w:r w:rsidRPr="00B44A61">
              <w:rPr>
                <w:rFonts w:cs="Arial"/>
                <w:color w:val="000000" w:themeColor="text1"/>
                <w:sz w:val="20"/>
                <w:lang w:val="hr-HR"/>
              </w:rPr>
              <w:t>31. prosinca 202</w:t>
            </w:r>
            <w:r>
              <w:rPr>
                <w:rFonts w:cs="Arial"/>
                <w:color w:val="000000" w:themeColor="text1"/>
                <w:sz w:val="20"/>
                <w:lang w:val="hr-HR"/>
              </w:rPr>
              <w:t>2</w:t>
            </w:r>
            <w:r w:rsidRPr="00B44A61">
              <w:rPr>
                <w:rFonts w:cs="Arial"/>
                <w:color w:val="000000" w:themeColor="text1"/>
                <w:sz w:val="20"/>
                <w:lang w:val="hr-HR"/>
              </w:rPr>
              <w:t>.</w:t>
            </w:r>
          </w:p>
        </w:tc>
        <w:tc>
          <w:tcPr>
            <w:tcW w:w="773" w:type="pct"/>
            <w:vAlign w:val="bottom"/>
          </w:tcPr>
          <w:p w14:paraId="55F50209" w14:textId="77777777" w:rsidR="004E2F51" w:rsidRPr="00B44A61" w:rsidRDefault="004E2F51" w:rsidP="00E032FC">
            <w:pPr>
              <w:pStyle w:val="TH"/>
              <w:jc w:val="right"/>
              <w:rPr>
                <w:rFonts w:cs="Arial"/>
                <w:color w:val="000000" w:themeColor="text1"/>
                <w:sz w:val="20"/>
                <w:lang w:val="hr-HR"/>
              </w:rPr>
            </w:pPr>
            <w:r w:rsidRPr="00B44A61">
              <w:rPr>
                <w:rFonts w:cs="Arial"/>
                <w:color w:val="000000" w:themeColor="text1"/>
                <w:sz w:val="20"/>
                <w:lang w:val="hr-HR"/>
              </w:rPr>
              <w:t>31. prosinca 202</w:t>
            </w:r>
            <w:r>
              <w:rPr>
                <w:rFonts w:cs="Arial"/>
                <w:color w:val="000000" w:themeColor="text1"/>
                <w:sz w:val="20"/>
                <w:lang w:val="hr-HR"/>
              </w:rPr>
              <w:t>2</w:t>
            </w:r>
            <w:r w:rsidRPr="00B44A61">
              <w:rPr>
                <w:rFonts w:cs="Arial"/>
                <w:color w:val="000000" w:themeColor="text1"/>
                <w:sz w:val="20"/>
                <w:lang w:val="hr-HR"/>
              </w:rPr>
              <w:t>.</w:t>
            </w:r>
          </w:p>
        </w:tc>
        <w:tc>
          <w:tcPr>
            <w:tcW w:w="773" w:type="pct"/>
            <w:vAlign w:val="bottom"/>
          </w:tcPr>
          <w:p w14:paraId="335BE4DE" w14:textId="77777777" w:rsidR="004E2F51" w:rsidRPr="00B44A61" w:rsidRDefault="004E2F51" w:rsidP="00E032FC">
            <w:pPr>
              <w:pStyle w:val="TH"/>
              <w:jc w:val="right"/>
              <w:rPr>
                <w:rFonts w:cs="Arial"/>
                <w:color w:val="000000" w:themeColor="text1"/>
                <w:sz w:val="20"/>
                <w:lang w:val="hr-HR"/>
              </w:rPr>
            </w:pPr>
            <w:bookmarkStart w:id="976" w:name="_Toc67327932"/>
            <w:r w:rsidRPr="00B44A61">
              <w:rPr>
                <w:rFonts w:cs="Arial"/>
                <w:color w:val="000000" w:themeColor="text1"/>
                <w:sz w:val="20"/>
                <w:lang w:val="hr-HR"/>
              </w:rPr>
              <w:t>31. prosinca 202</w:t>
            </w:r>
            <w:r>
              <w:rPr>
                <w:rFonts w:cs="Arial"/>
                <w:color w:val="000000" w:themeColor="text1"/>
                <w:sz w:val="20"/>
                <w:lang w:val="hr-HR"/>
              </w:rPr>
              <w:t>2</w:t>
            </w:r>
            <w:r w:rsidRPr="00B44A61">
              <w:rPr>
                <w:rFonts w:cs="Arial"/>
                <w:color w:val="000000" w:themeColor="text1"/>
                <w:sz w:val="20"/>
                <w:lang w:val="hr-HR"/>
              </w:rPr>
              <w:t>.</w:t>
            </w:r>
            <w:bookmarkEnd w:id="976"/>
          </w:p>
        </w:tc>
        <w:tc>
          <w:tcPr>
            <w:tcW w:w="773" w:type="pct"/>
            <w:vAlign w:val="bottom"/>
          </w:tcPr>
          <w:p w14:paraId="6767EB11" w14:textId="77777777" w:rsidR="004E2F51" w:rsidRPr="00B44A61" w:rsidRDefault="004E2F51" w:rsidP="00E032FC">
            <w:pPr>
              <w:pStyle w:val="TH"/>
              <w:jc w:val="right"/>
              <w:rPr>
                <w:rFonts w:cs="Arial"/>
                <w:color w:val="000000" w:themeColor="text1"/>
                <w:sz w:val="20"/>
                <w:lang w:val="hr-HR"/>
              </w:rPr>
            </w:pPr>
            <w:bookmarkStart w:id="977" w:name="_Toc67327933"/>
            <w:r w:rsidRPr="00B44A61">
              <w:rPr>
                <w:rFonts w:cs="Arial"/>
                <w:color w:val="000000" w:themeColor="text1"/>
                <w:sz w:val="20"/>
                <w:lang w:val="hr-HR"/>
              </w:rPr>
              <w:t>31. prosinca</w:t>
            </w:r>
          </w:p>
          <w:p w14:paraId="18B1E3E3" w14:textId="77777777" w:rsidR="004E2F51" w:rsidRPr="00B44A61" w:rsidRDefault="004E2F51" w:rsidP="00E032FC">
            <w:pPr>
              <w:pStyle w:val="TH"/>
              <w:jc w:val="right"/>
              <w:rPr>
                <w:rFonts w:cs="Arial"/>
                <w:color w:val="000000" w:themeColor="text1"/>
                <w:sz w:val="20"/>
                <w:lang w:val="hr-HR"/>
              </w:rPr>
            </w:pPr>
            <w:r w:rsidRPr="00B44A61">
              <w:rPr>
                <w:rFonts w:cs="Arial"/>
                <w:color w:val="000000" w:themeColor="text1"/>
                <w:sz w:val="20"/>
                <w:lang w:val="hr-HR"/>
              </w:rPr>
              <w:t xml:space="preserve"> 202</w:t>
            </w:r>
            <w:r>
              <w:rPr>
                <w:rFonts w:cs="Arial"/>
                <w:color w:val="000000" w:themeColor="text1"/>
                <w:sz w:val="20"/>
                <w:lang w:val="hr-HR"/>
              </w:rPr>
              <w:t>1</w:t>
            </w:r>
            <w:r w:rsidRPr="00B44A61">
              <w:rPr>
                <w:rFonts w:cs="Arial"/>
                <w:color w:val="000000" w:themeColor="text1"/>
                <w:sz w:val="20"/>
                <w:lang w:val="hr-HR"/>
              </w:rPr>
              <w:t>.</w:t>
            </w:r>
            <w:bookmarkEnd w:id="977"/>
          </w:p>
        </w:tc>
      </w:tr>
      <w:tr w:rsidR="004E2F51" w:rsidRPr="00B44A61" w14:paraId="74A37298" w14:textId="77777777" w:rsidTr="00E032FC">
        <w:trPr>
          <w:trHeight w:val="229"/>
        </w:trPr>
        <w:tc>
          <w:tcPr>
            <w:tcW w:w="1907" w:type="pct"/>
          </w:tcPr>
          <w:p w14:paraId="032A9BF9" w14:textId="77777777" w:rsidR="004E2F51" w:rsidRPr="00B44A61" w:rsidRDefault="004E2F51" w:rsidP="00E032FC">
            <w:pPr>
              <w:tabs>
                <w:tab w:val="left" w:pos="-720"/>
              </w:tabs>
              <w:rPr>
                <w:rFonts w:ascii="Arial" w:hAnsi="Arial" w:cs="Arial"/>
                <w:b/>
                <w:color w:val="000000" w:themeColor="text1"/>
                <w:sz w:val="20"/>
                <w:szCs w:val="20"/>
                <w:lang w:val="hr-HR"/>
              </w:rPr>
            </w:pPr>
          </w:p>
        </w:tc>
        <w:tc>
          <w:tcPr>
            <w:tcW w:w="773" w:type="pct"/>
          </w:tcPr>
          <w:p w14:paraId="14AE484C" w14:textId="77777777" w:rsidR="004E2F51" w:rsidRPr="00B44A61" w:rsidRDefault="004E2F51" w:rsidP="00E032FC">
            <w:pPr>
              <w:pStyle w:val="TH"/>
              <w:jc w:val="right"/>
              <w:rPr>
                <w:rFonts w:cs="Arial"/>
                <w:color w:val="000000" w:themeColor="text1"/>
                <w:sz w:val="20"/>
                <w:lang w:val="hr-HR"/>
              </w:rPr>
            </w:pPr>
            <w:r w:rsidRPr="00B44A61">
              <w:rPr>
                <w:rFonts w:cs="Arial"/>
                <w:color w:val="000000" w:themeColor="text1"/>
                <w:sz w:val="20"/>
                <w:lang w:val="hr-HR"/>
              </w:rPr>
              <w:t>000 kuna</w:t>
            </w:r>
          </w:p>
        </w:tc>
        <w:tc>
          <w:tcPr>
            <w:tcW w:w="773" w:type="pct"/>
          </w:tcPr>
          <w:p w14:paraId="7D183EDC" w14:textId="77777777" w:rsidR="004E2F51" w:rsidRPr="00B44A61" w:rsidRDefault="004E2F51" w:rsidP="00E032FC">
            <w:pPr>
              <w:pStyle w:val="TH"/>
              <w:jc w:val="right"/>
              <w:rPr>
                <w:rFonts w:cs="Arial"/>
                <w:color w:val="000000" w:themeColor="text1"/>
                <w:sz w:val="20"/>
                <w:lang w:val="hr-HR"/>
              </w:rPr>
            </w:pPr>
            <w:r w:rsidRPr="00B44A61">
              <w:rPr>
                <w:rFonts w:cs="Arial"/>
                <w:color w:val="000000" w:themeColor="text1"/>
                <w:sz w:val="20"/>
                <w:lang w:val="hr-HR"/>
              </w:rPr>
              <w:t>000 kuna</w:t>
            </w:r>
          </w:p>
        </w:tc>
        <w:tc>
          <w:tcPr>
            <w:tcW w:w="773" w:type="pct"/>
          </w:tcPr>
          <w:p w14:paraId="2630780F" w14:textId="77777777" w:rsidR="004E2F51" w:rsidRPr="00B44A61" w:rsidRDefault="004E2F51" w:rsidP="00E032FC">
            <w:pPr>
              <w:pStyle w:val="TH"/>
              <w:jc w:val="right"/>
              <w:rPr>
                <w:rFonts w:cs="Arial"/>
                <w:color w:val="000000" w:themeColor="text1"/>
                <w:sz w:val="20"/>
                <w:lang w:val="hr-HR"/>
              </w:rPr>
            </w:pPr>
            <w:bookmarkStart w:id="978" w:name="_Toc67327936"/>
            <w:r w:rsidRPr="00B44A61">
              <w:rPr>
                <w:rFonts w:cs="Arial"/>
                <w:color w:val="000000" w:themeColor="text1"/>
                <w:sz w:val="20"/>
                <w:lang w:val="hr-HR"/>
              </w:rPr>
              <w:t>000 kuna</w:t>
            </w:r>
            <w:bookmarkEnd w:id="978"/>
          </w:p>
        </w:tc>
        <w:tc>
          <w:tcPr>
            <w:tcW w:w="773" w:type="pct"/>
          </w:tcPr>
          <w:p w14:paraId="2C7A8DEC" w14:textId="77777777" w:rsidR="004E2F51" w:rsidRPr="00B44A61" w:rsidRDefault="004E2F51" w:rsidP="00E032FC">
            <w:pPr>
              <w:pStyle w:val="TH"/>
              <w:jc w:val="right"/>
              <w:rPr>
                <w:rFonts w:cs="Arial"/>
                <w:color w:val="000000" w:themeColor="text1"/>
                <w:sz w:val="20"/>
                <w:lang w:val="hr-HR"/>
              </w:rPr>
            </w:pPr>
            <w:bookmarkStart w:id="979" w:name="_Toc67327937"/>
            <w:r w:rsidRPr="00B44A61">
              <w:rPr>
                <w:rFonts w:cs="Arial"/>
                <w:color w:val="000000" w:themeColor="text1"/>
                <w:sz w:val="20"/>
                <w:lang w:val="hr-HR"/>
              </w:rPr>
              <w:t>000 kuna</w:t>
            </w:r>
            <w:bookmarkEnd w:id="979"/>
          </w:p>
        </w:tc>
      </w:tr>
      <w:tr w:rsidR="004E2F51" w:rsidRPr="00B44A61" w14:paraId="7D709223" w14:textId="77777777" w:rsidTr="00E032FC">
        <w:tc>
          <w:tcPr>
            <w:tcW w:w="1907" w:type="pct"/>
          </w:tcPr>
          <w:p w14:paraId="3D702595" w14:textId="77777777" w:rsidR="004E2F51" w:rsidRPr="00B44A61" w:rsidRDefault="004E2F51" w:rsidP="00E032FC">
            <w:pPr>
              <w:tabs>
                <w:tab w:val="left" w:pos="-720"/>
              </w:tabs>
              <w:rPr>
                <w:rFonts w:ascii="Arial" w:hAnsi="Arial" w:cs="Arial"/>
                <w:color w:val="000000" w:themeColor="text1"/>
                <w:sz w:val="20"/>
                <w:szCs w:val="20"/>
                <w:lang w:val="hr-HR"/>
              </w:rPr>
            </w:pPr>
          </w:p>
        </w:tc>
        <w:tc>
          <w:tcPr>
            <w:tcW w:w="773" w:type="pct"/>
            <w:vAlign w:val="bottom"/>
          </w:tcPr>
          <w:p w14:paraId="125EA26B" w14:textId="77777777" w:rsidR="004E2F51" w:rsidRPr="00B44A61" w:rsidRDefault="004E2F51" w:rsidP="00E032FC">
            <w:pPr>
              <w:tabs>
                <w:tab w:val="left" w:pos="-720"/>
              </w:tabs>
              <w:jc w:val="right"/>
              <w:rPr>
                <w:rFonts w:ascii="Arial" w:hAnsi="Arial" w:cs="Arial"/>
                <w:color w:val="000000" w:themeColor="text1"/>
                <w:sz w:val="20"/>
                <w:szCs w:val="20"/>
                <w:lang w:val="hr-HR"/>
              </w:rPr>
            </w:pPr>
          </w:p>
        </w:tc>
        <w:tc>
          <w:tcPr>
            <w:tcW w:w="773" w:type="pct"/>
            <w:vAlign w:val="bottom"/>
          </w:tcPr>
          <w:p w14:paraId="53899BD1" w14:textId="77777777" w:rsidR="004E2F51" w:rsidRPr="00B44A61" w:rsidRDefault="004E2F51" w:rsidP="00E032FC">
            <w:pPr>
              <w:tabs>
                <w:tab w:val="left" w:pos="-720"/>
              </w:tabs>
              <w:jc w:val="right"/>
              <w:rPr>
                <w:rFonts w:ascii="Arial" w:hAnsi="Arial" w:cs="Arial"/>
                <w:color w:val="000000" w:themeColor="text1"/>
                <w:sz w:val="20"/>
                <w:szCs w:val="20"/>
                <w:lang w:val="hr-HR"/>
              </w:rPr>
            </w:pPr>
          </w:p>
        </w:tc>
        <w:tc>
          <w:tcPr>
            <w:tcW w:w="773" w:type="pct"/>
            <w:vAlign w:val="bottom"/>
          </w:tcPr>
          <w:p w14:paraId="612B7C90" w14:textId="77777777" w:rsidR="004E2F51" w:rsidRPr="00B44A61" w:rsidRDefault="004E2F51" w:rsidP="00E032FC">
            <w:pPr>
              <w:tabs>
                <w:tab w:val="left" w:pos="-720"/>
              </w:tabs>
              <w:jc w:val="right"/>
              <w:rPr>
                <w:rFonts w:ascii="Arial" w:hAnsi="Arial" w:cs="Arial"/>
                <w:color w:val="000000" w:themeColor="text1"/>
                <w:sz w:val="20"/>
                <w:szCs w:val="20"/>
                <w:lang w:val="hr-HR"/>
              </w:rPr>
            </w:pPr>
          </w:p>
        </w:tc>
        <w:tc>
          <w:tcPr>
            <w:tcW w:w="773" w:type="pct"/>
            <w:vAlign w:val="bottom"/>
          </w:tcPr>
          <w:p w14:paraId="5C567FC5" w14:textId="77777777" w:rsidR="004E2F51" w:rsidRPr="00B44A61" w:rsidRDefault="004E2F51" w:rsidP="00E032FC">
            <w:pPr>
              <w:tabs>
                <w:tab w:val="left" w:pos="-720"/>
              </w:tabs>
              <w:jc w:val="right"/>
              <w:rPr>
                <w:rFonts w:ascii="Arial" w:hAnsi="Arial" w:cs="Arial"/>
                <w:color w:val="000000" w:themeColor="text1"/>
                <w:sz w:val="20"/>
                <w:szCs w:val="20"/>
                <w:lang w:val="hr-HR"/>
              </w:rPr>
            </w:pPr>
          </w:p>
        </w:tc>
      </w:tr>
      <w:tr w:rsidR="004E2F51" w:rsidRPr="00B44A61" w14:paraId="6CD1E4D6" w14:textId="77777777" w:rsidTr="00E032FC">
        <w:tc>
          <w:tcPr>
            <w:tcW w:w="1907" w:type="pct"/>
          </w:tcPr>
          <w:p w14:paraId="62A3464B" w14:textId="77777777" w:rsidR="004E2F51" w:rsidRPr="00B44A61" w:rsidRDefault="004E2F51" w:rsidP="00E032FC">
            <w:pPr>
              <w:tabs>
                <w:tab w:val="left" w:pos="-720"/>
              </w:tabs>
              <w:rPr>
                <w:rFonts w:ascii="Arial" w:hAnsi="Arial" w:cs="Arial"/>
                <w:color w:val="000000" w:themeColor="text1"/>
                <w:sz w:val="20"/>
                <w:szCs w:val="20"/>
                <w:lang w:val="hr-HR"/>
              </w:rPr>
            </w:pPr>
            <w:r w:rsidRPr="00B44A61">
              <w:rPr>
                <w:rFonts w:ascii="Arial" w:hAnsi="Arial" w:cs="Arial"/>
                <w:color w:val="000000" w:themeColor="text1"/>
                <w:sz w:val="20"/>
                <w:szCs w:val="20"/>
                <w:lang w:val="hr-HR"/>
              </w:rPr>
              <w:t>Depoziti kod stranih banaka</w:t>
            </w:r>
          </w:p>
        </w:tc>
        <w:tc>
          <w:tcPr>
            <w:tcW w:w="773" w:type="pct"/>
            <w:tcBorders>
              <w:top w:val="nil"/>
              <w:left w:val="nil"/>
              <w:bottom w:val="nil"/>
              <w:right w:val="nil"/>
            </w:tcBorders>
            <w:shd w:val="clear" w:color="auto" w:fill="auto"/>
            <w:vAlign w:val="bottom"/>
          </w:tcPr>
          <w:p w14:paraId="2CCC9592" w14:textId="77777777" w:rsidR="004E2F51" w:rsidRPr="00B44A61" w:rsidRDefault="004E2F51" w:rsidP="00E032FC">
            <w:pPr>
              <w:tabs>
                <w:tab w:val="left" w:pos="-720"/>
              </w:tabs>
              <w:jc w:val="right"/>
              <w:rPr>
                <w:rFonts w:ascii="Arial" w:hAnsi="Arial" w:cs="Arial"/>
                <w:color w:val="000000" w:themeColor="text1"/>
                <w:sz w:val="20"/>
                <w:szCs w:val="20"/>
                <w:lang w:val="hr-HR"/>
              </w:rPr>
            </w:pPr>
            <w:r w:rsidRPr="00A3731F">
              <w:rPr>
                <w:rFonts w:ascii="Arial" w:hAnsi="Arial" w:cs="Arial"/>
                <w:color w:val="000000" w:themeColor="text1"/>
                <w:sz w:val="20"/>
                <w:szCs w:val="20"/>
                <w:lang w:val="hr-HR"/>
              </w:rPr>
              <w:t>10.597</w:t>
            </w:r>
          </w:p>
        </w:tc>
        <w:tc>
          <w:tcPr>
            <w:tcW w:w="773" w:type="pct"/>
            <w:tcBorders>
              <w:top w:val="nil"/>
              <w:left w:val="nil"/>
              <w:bottom w:val="nil"/>
              <w:right w:val="nil"/>
            </w:tcBorders>
            <w:shd w:val="clear" w:color="auto" w:fill="auto"/>
            <w:vAlign w:val="bottom"/>
          </w:tcPr>
          <w:p w14:paraId="3F92D236" w14:textId="77777777" w:rsidR="004E2F51" w:rsidRPr="00B44A61" w:rsidRDefault="004E2F51" w:rsidP="00E032FC">
            <w:pPr>
              <w:tabs>
                <w:tab w:val="left" w:pos="-720"/>
              </w:tabs>
              <w:jc w:val="right"/>
              <w:rPr>
                <w:rFonts w:ascii="Arial" w:hAnsi="Arial" w:cs="Arial"/>
                <w:color w:val="000000" w:themeColor="text1"/>
                <w:sz w:val="20"/>
                <w:szCs w:val="20"/>
                <w:lang w:val="hr-HR"/>
              </w:rPr>
            </w:pPr>
            <w:r w:rsidRPr="00B44A61">
              <w:rPr>
                <w:rFonts w:ascii="Arial" w:hAnsi="Arial" w:cs="Arial"/>
                <w:color w:val="000000" w:themeColor="text1"/>
                <w:sz w:val="20"/>
                <w:szCs w:val="20"/>
                <w:lang w:val="hr-HR"/>
              </w:rPr>
              <w:t>7.501</w:t>
            </w:r>
          </w:p>
        </w:tc>
        <w:tc>
          <w:tcPr>
            <w:tcW w:w="773" w:type="pct"/>
            <w:tcBorders>
              <w:top w:val="nil"/>
              <w:left w:val="nil"/>
              <w:bottom w:val="nil"/>
              <w:right w:val="nil"/>
            </w:tcBorders>
            <w:shd w:val="clear" w:color="auto" w:fill="auto"/>
            <w:vAlign w:val="bottom"/>
          </w:tcPr>
          <w:p w14:paraId="7E974917" w14:textId="77777777" w:rsidR="004E2F51" w:rsidRPr="00B44A61" w:rsidRDefault="004E2F51" w:rsidP="00E032FC">
            <w:pPr>
              <w:tabs>
                <w:tab w:val="left" w:pos="-720"/>
              </w:tabs>
              <w:jc w:val="right"/>
              <w:rPr>
                <w:rFonts w:ascii="Arial" w:hAnsi="Arial" w:cs="Arial"/>
                <w:color w:val="000000" w:themeColor="text1"/>
                <w:sz w:val="20"/>
                <w:szCs w:val="20"/>
                <w:lang w:val="hr-HR"/>
              </w:rPr>
            </w:pPr>
            <w:r w:rsidRPr="00A3731F">
              <w:rPr>
                <w:rFonts w:ascii="Arial" w:hAnsi="Arial" w:cs="Arial"/>
                <w:color w:val="000000" w:themeColor="text1"/>
                <w:sz w:val="20"/>
                <w:szCs w:val="20"/>
                <w:lang w:val="hr-HR"/>
              </w:rPr>
              <w:t>10.597</w:t>
            </w:r>
          </w:p>
        </w:tc>
        <w:tc>
          <w:tcPr>
            <w:tcW w:w="773" w:type="pct"/>
            <w:tcBorders>
              <w:top w:val="nil"/>
              <w:left w:val="nil"/>
              <w:bottom w:val="nil"/>
              <w:right w:val="nil"/>
            </w:tcBorders>
            <w:shd w:val="clear" w:color="auto" w:fill="auto"/>
            <w:vAlign w:val="bottom"/>
          </w:tcPr>
          <w:p w14:paraId="0CDBF1A4" w14:textId="77777777" w:rsidR="004E2F51" w:rsidRPr="00B44A61" w:rsidRDefault="004E2F51" w:rsidP="00E032FC">
            <w:pPr>
              <w:tabs>
                <w:tab w:val="left" w:pos="-720"/>
              </w:tabs>
              <w:jc w:val="right"/>
              <w:rPr>
                <w:rFonts w:ascii="Arial" w:hAnsi="Arial" w:cs="Arial"/>
                <w:color w:val="000000" w:themeColor="text1"/>
                <w:sz w:val="20"/>
                <w:szCs w:val="20"/>
                <w:lang w:val="hr-HR"/>
              </w:rPr>
            </w:pPr>
            <w:r w:rsidRPr="00B44A61">
              <w:rPr>
                <w:rFonts w:ascii="Arial" w:hAnsi="Arial" w:cs="Arial"/>
                <w:color w:val="000000" w:themeColor="text1"/>
                <w:sz w:val="20"/>
                <w:szCs w:val="20"/>
                <w:lang w:val="hr-HR"/>
              </w:rPr>
              <w:t>7.501</w:t>
            </w:r>
          </w:p>
        </w:tc>
      </w:tr>
      <w:tr w:rsidR="004E2F51" w:rsidRPr="00B44A61" w14:paraId="5B4BEEF3" w14:textId="77777777" w:rsidTr="00E032FC">
        <w:tc>
          <w:tcPr>
            <w:tcW w:w="1907" w:type="pct"/>
          </w:tcPr>
          <w:p w14:paraId="4B44D1CA" w14:textId="77777777" w:rsidR="004E2F51" w:rsidRPr="00B44A61" w:rsidRDefault="004E2F51" w:rsidP="00E032FC">
            <w:pPr>
              <w:tabs>
                <w:tab w:val="left" w:pos="-720"/>
              </w:tabs>
              <w:rPr>
                <w:rFonts w:ascii="Arial" w:hAnsi="Arial" w:cs="Arial"/>
                <w:color w:val="000000" w:themeColor="text1"/>
                <w:sz w:val="20"/>
                <w:szCs w:val="20"/>
                <w:lang w:val="hr-HR"/>
              </w:rPr>
            </w:pPr>
            <w:r w:rsidRPr="00A3731F">
              <w:rPr>
                <w:rFonts w:ascii="Arial" w:hAnsi="Arial" w:cs="Arial"/>
                <w:color w:val="000000" w:themeColor="text1"/>
                <w:sz w:val="20"/>
                <w:szCs w:val="20"/>
                <w:lang w:val="hr-HR"/>
              </w:rPr>
              <w:t>Depoziti kod domaćih banaka</w:t>
            </w:r>
          </w:p>
        </w:tc>
        <w:tc>
          <w:tcPr>
            <w:tcW w:w="773" w:type="pct"/>
            <w:tcBorders>
              <w:top w:val="nil"/>
              <w:left w:val="nil"/>
              <w:bottom w:val="nil"/>
              <w:right w:val="nil"/>
            </w:tcBorders>
            <w:shd w:val="clear" w:color="auto" w:fill="auto"/>
            <w:vAlign w:val="bottom"/>
          </w:tcPr>
          <w:p w14:paraId="2A310987" w14:textId="77777777" w:rsidR="004E2F51" w:rsidRPr="00B44A61" w:rsidRDefault="004E2F51" w:rsidP="00E032FC">
            <w:pPr>
              <w:tabs>
                <w:tab w:val="left" w:pos="-720"/>
              </w:tabs>
              <w:jc w:val="right"/>
              <w:rPr>
                <w:rFonts w:ascii="Arial" w:hAnsi="Arial" w:cs="Arial"/>
                <w:color w:val="000000" w:themeColor="text1"/>
                <w:sz w:val="20"/>
                <w:szCs w:val="20"/>
                <w:lang w:val="hr-HR"/>
              </w:rPr>
            </w:pPr>
            <w:r w:rsidRPr="00A3731F">
              <w:rPr>
                <w:rFonts w:ascii="Arial" w:hAnsi="Arial" w:cs="Arial"/>
                <w:color w:val="000000" w:themeColor="text1"/>
                <w:sz w:val="20"/>
                <w:szCs w:val="20"/>
                <w:lang w:val="hr-HR"/>
              </w:rPr>
              <w:t>22.604</w:t>
            </w:r>
          </w:p>
        </w:tc>
        <w:tc>
          <w:tcPr>
            <w:tcW w:w="773" w:type="pct"/>
            <w:tcBorders>
              <w:top w:val="nil"/>
              <w:left w:val="nil"/>
              <w:bottom w:val="nil"/>
              <w:right w:val="nil"/>
            </w:tcBorders>
            <w:shd w:val="clear" w:color="auto" w:fill="auto"/>
            <w:vAlign w:val="bottom"/>
          </w:tcPr>
          <w:p w14:paraId="36473D09" w14:textId="77777777" w:rsidR="004E2F51" w:rsidRPr="00B44A61" w:rsidRDefault="004E2F51" w:rsidP="00E032FC">
            <w:pPr>
              <w:tabs>
                <w:tab w:val="left" w:pos="-720"/>
              </w:tabs>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c>
          <w:tcPr>
            <w:tcW w:w="773" w:type="pct"/>
            <w:tcBorders>
              <w:top w:val="nil"/>
              <w:left w:val="nil"/>
              <w:bottom w:val="nil"/>
              <w:right w:val="nil"/>
            </w:tcBorders>
            <w:shd w:val="clear" w:color="auto" w:fill="auto"/>
            <w:vAlign w:val="bottom"/>
          </w:tcPr>
          <w:p w14:paraId="65FD5690" w14:textId="77777777" w:rsidR="004E2F51" w:rsidRPr="00B44A61" w:rsidRDefault="004E2F51" w:rsidP="00E032FC">
            <w:pPr>
              <w:tabs>
                <w:tab w:val="left" w:pos="-720"/>
              </w:tabs>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c>
          <w:tcPr>
            <w:tcW w:w="773" w:type="pct"/>
            <w:tcBorders>
              <w:top w:val="nil"/>
              <w:left w:val="nil"/>
              <w:bottom w:val="nil"/>
              <w:right w:val="nil"/>
            </w:tcBorders>
            <w:shd w:val="clear" w:color="auto" w:fill="auto"/>
            <w:vAlign w:val="bottom"/>
          </w:tcPr>
          <w:p w14:paraId="42EEB96A" w14:textId="77777777" w:rsidR="004E2F51" w:rsidRPr="00B44A61" w:rsidRDefault="004E2F51" w:rsidP="00E032FC">
            <w:pPr>
              <w:tabs>
                <w:tab w:val="left" w:pos="-720"/>
              </w:tabs>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r>
      <w:tr w:rsidR="004E2F51" w:rsidRPr="00B44A61" w14:paraId="36FAE4FF" w14:textId="77777777" w:rsidTr="00E032FC">
        <w:tc>
          <w:tcPr>
            <w:tcW w:w="1907" w:type="pct"/>
            <w:vAlign w:val="bottom"/>
          </w:tcPr>
          <w:p w14:paraId="0B1AB925" w14:textId="77777777" w:rsidR="004E2F51" w:rsidRPr="00B44A61" w:rsidRDefault="004E2F51" w:rsidP="00E032FC">
            <w:pPr>
              <w:pStyle w:val="TT"/>
              <w:rPr>
                <w:rFonts w:cs="Arial"/>
                <w:color w:val="000000" w:themeColor="text1"/>
                <w:sz w:val="20"/>
                <w:lang w:val="hr-HR"/>
              </w:rPr>
            </w:pPr>
            <w:bookmarkStart w:id="980" w:name="_Toc67327943"/>
            <w:r w:rsidRPr="00B44A61">
              <w:rPr>
                <w:rFonts w:cs="Arial"/>
                <w:color w:val="000000" w:themeColor="text1"/>
                <w:sz w:val="20"/>
                <w:lang w:val="hr-HR"/>
              </w:rPr>
              <w:t>Obračunata kamata</w:t>
            </w:r>
            <w:bookmarkEnd w:id="980"/>
          </w:p>
        </w:tc>
        <w:tc>
          <w:tcPr>
            <w:tcW w:w="773" w:type="pct"/>
            <w:tcBorders>
              <w:top w:val="nil"/>
              <w:left w:val="nil"/>
              <w:bottom w:val="single" w:sz="4" w:space="0" w:color="auto"/>
              <w:right w:val="nil"/>
            </w:tcBorders>
            <w:shd w:val="clear" w:color="auto" w:fill="auto"/>
            <w:vAlign w:val="bottom"/>
          </w:tcPr>
          <w:p w14:paraId="1B3D8441" w14:textId="77777777" w:rsidR="004E2F51" w:rsidRPr="00B44A61" w:rsidRDefault="004E2F51" w:rsidP="00E032FC">
            <w:pPr>
              <w:pStyle w:val="TT"/>
              <w:jc w:val="right"/>
              <w:rPr>
                <w:rFonts w:cs="Arial"/>
                <w:color w:val="000000" w:themeColor="text1"/>
                <w:sz w:val="20"/>
                <w:lang w:val="hr-HR"/>
              </w:rPr>
            </w:pPr>
            <w:r>
              <w:rPr>
                <w:rFonts w:cs="Arial"/>
                <w:color w:val="000000" w:themeColor="text1"/>
                <w:sz w:val="20"/>
                <w:lang w:val="hr-HR"/>
              </w:rPr>
              <w:t>10</w:t>
            </w:r>
          </w:p>
        </w:tc>
        <w:tc>
          <w:tcPr>
            <w:tcW w:w="773" w:type="pct"/>
            <w:tcBorders>
              <w:top w:val="nil"/>
              <w:left w:val="nil"/>
              <w:bottom w:val="single" w:sz="4" w:space="0" w:color="auto"/>
              <w:right w:val="nil"/>
            </w:tcBorders>
            <w:shd w:val="clear" w:color="auto" w:fill="auto"/>
            <w:vAlign w:val="bottom"/>
          </w:tcPr>
          <w:p w14:paraId="220773DA" w14:textId="77777777" w:rsidR="004E2F51" w:rsidRPr="00B44A61" w:rsidRDefault="004E2F51" w:rsidP="00E032FC">
            <w:pPr>
              <w:pStyle w:val="TT"/>
              <w:jc w:val="right"/>
              <w:rPr>
                <w:rFonts w:cs="Arial"/>
                <w:color w:val="000000" w:themeColor="text1"/>
                <w:sz w:val="20"/>
                <w:lang w:val="hr-HR"/>
              </w:rPr>
            </w:pPr>
            <w:r w:rsidRPr="00B44A61">
              <w:rPr>
                <w:rFonts w:cs="Arial"/>
                <w:color w:val="000000" w:themeColor="text1"/>
                <w:sz w:val="20"/>
                <w:lang w:val="hr-HR"/>
              </w:rPr>
              <w:t>-</w:t>
            </w:r>
          </w:p>
        </w:tc>
        <w:tc>
          <w:tcPr>
            <w:tcW w:w="773" w:type="pct"/>
            <w:tcBorders>
              <w:top w:val="nil"/>
              <w:left w:val="nil"/>
              <w:bottom w:val="single" w:sz="4" w:space="0" w:color="auto"/>
              <w:right w:val="nil"/>
            </w:tcBorders>
            <w:shd w:val="clear" w:color="auto" w:fill="auto"/>
            <w:vAlign w:val="bottom"/>
          </w:tcPr>
          <w:p w14:paraId="12F43B8E" w14:textId="77777777" w:rsidR="004E2F51" w:rsidRPr="00B44A61" w:rsidRDefault="004E2F51" w:rsidP="00E032FC">
            <w:pPr>
              <w:pStyle w:val="TT"/>
              <w:jc w:val="right"/>
              <w:rPr>
                <w:rFonts w:cs="Arial"/>
                <w:color w:val="000000" w:themeColor="text1"/>
                <w:sz w:val="20"/>
                <w:lang w:val="hr-HR"/>
              </w:rPr>
            </w:pPr>
            <w:r>
              <w:rPr>
                <w:rFonts w:cs="Arial"/>
                <w:color w:val="000000" w:themeColor="text1"/>
                <w:sz w:val="20"/>
                <w:lang w:val="hr-HR"/>
              </w:rPr>
              <w:t>-</w:t>
            </w:r>
          </w:p>
        </w:tc>
        <w:tc>
          <w:tcPr>
            <w:tcW w:w="773" w:type="pct"/>
            <w:tcBorders>
              <w:top w:val="nil"/>
              <w:left w:val="nil"/>
              <w:bottom w:val="single" w:sz="4" w:space="0" w:color="auto"/>
              <w:right w:val="nil"/>
            </w:tcBorders>
            <w:shd w:val="clear" w:color="auto" w:fill="auto"/>
            <w:vAlign w:val="bottom"/>
          </w:tcPr>
          <w:p w14:paraId="3E9D6365" w14:textId="77777777" w:rsidR="004E2F51" w:rsidRPr="00B44A61" w:rsidRDefault="004E2F51" w:rsidP="00E032FC">
            <w:pPr>
              <w:pStyle w:val="TT"/>
              <w:jc w:val="right"/>
              <w:rPr>
                <w:rFonts w:cs="Arial"/>
                <w:color w:val="000000" w:themeColor="text1"/>
                <w:sz w:val="20"/>
                <w:lang w:val="hr-HR"/>
              </w:rPr>
            </w:pPr>
            <w:r w:rsidRPr="00B44A61">
              <w:rPr>
                <w:rFonts w:cs="Arial"/>
                <w:color w:val="000000" w:themeColor="text1"/>
                <w:sz w:val="20"/>
                <w:lang w:val="hr-HR"/>
              </w:rPr>
              <w:t>-</w:t>
            </w:r>
          </w:p>
        </w:tc>
      </w:tr>
      <w:tr w:rsidR="004E2F51" w:rsidRPr="00B44A61" w14:paraId="1021B291" w14:textId="77777777" w:rsidTr="00E032FC">
        <w:tc>
          <w:tcPr>
            <w:tcW w:w="1907" w:type="pct"/>
          </w:tcPr>
          <w:p w14:paraId="522FD32B" w14:textId="77777777" w:rsidR="004E2F51" w:rsidRPr="00B44A61" w:rsidRDefault="004E2F51" w:rsidP="00E032FC">
            <w:pPr>
              <w:pStyle w:val="Tot"/>
              <w:rPr>
                <w:rFonts w:cs="Arial"/>
                <w:color w:val="000000" w:themeColor="text1"/>
                <w:sz w:val="20"/>
                <w:lang w:val="hr-HR"/>
              </w:rPr>
            </w:pPr>
          </w:p>
        </w:tc>
        <w:tc>
          <w:tcPr>
            <w:tcW w:w="773" w:type="pct"/>
            <w:tcBorders>
              <w:top w:val="single" w:sz="4" w:space="0" w:color="auto"/>
              <w:left w:val="nil"/>
              <w:bottom w:val="single" w:sz="12" w:space="0" w:color="auto"/>
              <w:right w:val="nil"/>
            </w:tcBorders>
            <w:shd w:val="clear" w:color="auto" w:fill="auto"/>
            <w:vAlign w:val="bottom"/>
          </w:tcPr>
          <w:p w14:paraId="0FC4EBDF" w14:textId="77777777" w:rsidR="004E2F51" w:rsidRPr="00B44A61" w:rsidRDefault="004E2F51" w:rsidP="00E032FC">
            <w:pPr>
              <w:pStyle w:val="Tot"/>
              <w:jc w:val="right"/>
              <w:rPr>
                <w:rFonts w:cs="Arial"/>
                <w:b/>
                <w:color w:val="000000" w:themeColor="text1"/>
                <w:sz w:val="20"/>
                <w:lang w:val="hr-HR"/>
              </w:rPr>
            </w:pPr>
            <w:r w:rsidRPr="00A3731F">
              <w:rPr>
                <w:rFonts w:cs="Arial"/>
                <w:b/>
                <w:color w:val="000000" w:themeColor="text1"/>
                <w:sz w:val="20"/>
                <w:lang w:val="hr-HR"/>
              </w:rPr>
              <w:t>33.211</w:t>
            </w:r>
          </w:p>
        </w:tc>
        <w:tc>
          <w:tcPr>
            <w:tcW w:w="773" w:type="pct"/>
            <w:tcBorders>
              <w:top w:val="single" w:sz="4" w:space="0" w:color="auto"/>
              <w:left w:val="nil"/>
              <w:bottom w:val="single" w:sz="12" w:space="0" w:color="auto"/>
              <w:right w:val="nil"/>
            </w:tcBorders>
            <w:shd w:val="clear" w:color="auto" w:fill="auto"/>
            <w:vAlign w:val="bottom"/>
          </w:tcPr>
          <w:p w14:paraId="109975EC" w14:textId="77777777" w:rsidR="004E2F51" w:rsidRPr="00B44A61" w:rsidRDefault="004E2F51" w:rsidP="00E032FC">
            <w:pPr>
              <w:pStyle w:val="Tot"/>
              <w:jc w:val="right"/>
              <w:rPr>
                <w:rFonts w:cs="Arial"/>
                <w:b/>
                <w:color w:val="000000" w:themeColor="text1"/>
                <w:sz w:val="20"/>
                <w:lang w:val="hr-HR"/>
              </w:rPr>
            </w:pPr>
            <w:r w:rsidRPr="00B44A61">
              <w:rPr>
                <w:rFonts w:cs="Arial"/>
                <w:b/>
                <w:color w:val="000000" w:themeColor="text1"/>
                <w:sz w:val="20"/>
                <w:lang w:val="hr-HR"/>
              </w:rPr>
              <w:t>7.501</w:t>
            </w:r>
          </w:p>
        </w:tc>
        <w:tc>
          <w:tcPr>
            <w:tcW w:w="773" w:type="pct"/>
            <w:tcBorders>
              <w:top w:val="single" w:sz="4" w:space="0" w:color="auto"/>
              <w:left w:val="nil"/>
              <w:bottom w:val="single" w:sz="12" w:space="0" w:color="auto"/>
              <w:right w:val="nil"/>
            </w:tcBorders>
            <w:shd w:val="clear" w:color="auto" w:fill="auto"/>
            <w:vAlign w:val="bottom"/>
          </w:tcPr>
          <w:p w14:paraId="6A4DA324" w14:textId="77777777" w:rsidR="004E2F51" w:rsidRPr="00B44A61" w:rsidRDefault="004E2F51" w:rsidP="00E032FC">
            <w:pPr>
              <w:pStyle w:val="Tot"/>
              <w:jc w:val="right"/>
              <w:rPr>
                <w:rFonts w:cs="Arial"/>
                <w:b/>
                <w:color w:val="000000" w:themeColor="text1"/>
                <w:sz w:val="20"/>
                <w:lang w:val="hr-HR"/>
              </w:rPr>
            </w:pPr>
            <w:r w:rsidRPr="00A3731F">
              <w:rPr>
                <w:rFonts w:cs="Arial"/>
                <w:b/>
                <w:color w:val="000000" w:themeColor="text1"/>
                <w:sz w:val="20"/>
                <w:lang w:val="hr-HR"/>
              </w:rPr>
              <w:t>10.597</w:t>
            </w:r>
          </w:p>
        </w:tc>
        <w:tc>
          <w:tcPr>
            <w:tcW w:w="773" w:type="pct"/>
            <w:tcBorders>
              <w:top w:val="single" w:sz="4" w:space="0" w:color="auto"/>
              <w:left w:val="nil"/>
              <w:bottom w:val="single" w:sz="12" w:space="0" w:color="auto"/>
              <w:right w:val="nil"/>
            </w:tcBorders>
            <w:shd w:val="clear" w:color="auto" w:fill="auto"/>
            <w:vAlign w:val="bottom"/>
          </w:tcPr>
          <w:p w14:paraId="3F789610" w14:textId="77777777" w:rsidR="004E2F51" w:rsidRPr="00B44A61" w:rsidRDefault="004E2F51" w:rsidP="00E032FC">
            <w:pPr>
              <w:pStyle w:val="Tot"/>
              <w:jc w:val="right"/>
              <w:rPr>
                <w:rFonts w:cs="Arial"/>
                <w:b/>
                <w:color w:val="000000" w:themeColor="text1"/>
                <w:sz w:val="20"/>
                <w:lang w:val="hr-HR"/>
              </w:rPr>
            </w:pPr>
            <w:r w:rsidRPr="00B44A61">
              <w:rPr>
                <w:rFonts w:cs="Arial"/>
                <w:b/>
                <w:color w:val="000000" w:themeColor="text1"/>
                <w:sz w:val="20"/>
                <w:lang w:val="hr-HR"/>
              </w:rPr>
              <w:t>7.501</w:t>
            </w:r>
          </w:p>
        </w:tc>
      </w:tr>
      <w:tr w:rsidR="004E2F51" w:rsidRPr="00B44A61" w14:paraId="0E8CE0CB" w14:textId="77777777" w:rsidTr="00E032FC">
        <w:tc>
          <w:tcPr>
            <w:tcW w:w="1907" w:type="pct"/>
          </w:tcPr>
          <w:p w14:paraId="77CC147A" w14:textId="77777777" w:rsidR="004E2F51" w:rsidRPr="00B44A61" w:rsidRDefault="004E2F51" w:rsidP="00E032FC">
            <w:pPr>
              <w:tabs>
                <w:tab w:val="left" w:pos="-720"/>
              </w:tabs>
              <w:rPr>
                <w:rFonts w:ascii="Arial" w:hAnsi="Arial" w:cs="Arial"/>
                <w:color w:val="000000" w:themeColor="text1"/>
                <w:spacing w:val="-2"/>
                <w:sz w:val="20"/>
                <w:szCs w:val="20"/>
                <w:lang w:val="hr-HR"/>
              </w:rPr>
            </w:pPr>
          </w:p>
        </w:tc>
        <w:tc>
          <w:tcPr>
            <w:tcW w:w="773" w:type="pct"/>
            <w:tcBorders>
              <w:top w:val="nil"/>
              <w:left w:val="nil"/>
              <w:right w:val="nil"/>
            </w:tcBorders>
            <w:shd w:val="clear" w:color="auto" w:fill="auto"/>
            <w:vAlign w:val="bottom"/>
          </w:tcPr>
          <w:p w14:paraId="6B3A882D" w14:textId="77777777" w:rsidR="004E2F51" w:rsidRPr="00B44A61" w:rsidRDefault="004E2F51" w:rsidP="00E032FC">
            <w:pPr>
              <w:jc w:val="right"/>
              <w:rPr>
                <w:rFonts w:ascii="Arial" w:hAnsi="Arial" w:cs="Arial"/>
                <w:color w:val="000000" w:themeColor="text1"/>
                <w:spacing w:val="-2"/>
                <w:sz w:val="20"/>
                <w:szCs w:val="20"/>
                <w:lang w:val="hr-HR"/>
              </w:rPr>
            </w:pPr>
          </w:p>
        </w:tc>
        <w:tc>
          <w:tcPr>
            <w:tcW w:w="773" w:type="pct"/>
            <w:tcBorders>
              <w:top w:val="nil"/>
              <w:left w:val="nil"/>
              <w:right w:val="nil"/>
            </w:tcBorders>
            <w:shd w:val="clear" w:color="auto" w:fill="auto"/>
            <w:vAlign w:val="bottom"/>
          </w:tcPr>
          <w:p w14:paraId="3F8709ED" w14:textId="77777777" w:rsidR="004E2F51" w:rsidRPr="00B44A61" w:rsidRDefault="004E2F51" w:rsidP="00E032FC">
            <w:pPr>
              <w:jc w:val="right"/>
              <w:rPr>
                <w:rFonts w:ascii="Arial" w:hAnsi="Arial" w:cs="Arial"/>
                <w:color w:val="000000" w:themeColor="text1"/>
                <w:spacing w:val="-2"/>
                <w:sz w:val="20"/>
                <w:szCs w:val="20"/>
                <w:lang w:val="hr-HR"/>
              </w:rPr>
            </w:pPr>
          </w:p>
        </w:tc>
        <w:tc>
          <w:tcPr>
            <w:tcW w:w="773" w:type="pct"/>
            <w:tcBorders>
              <w:top w:val="nil"/>
              <w:left w:val="nil"/>
              <w:right w:val="nil"/>
            </w:tcBorders>
            <w:shd w:val="clear" w:color="auto" w:fill="auto"/>
            <w:vAlign w:val="bottom"/>
          </w:tcPr>
          <w:p w14:paraId="3A94B25F" w14:textId="77777777" w:rsidR="004E2F51" w:rsidRPr="00B44A61" w:rsidRDefault="004E2F51" w:rsidP="00E032FC">
            <w:pPr>
              <w:jc w:val="right"/>
              <w:rPr>
                <w:rFonts w:ascii="Arial" w:hAnsi="Arial" w:cs="Arial"/>
                <w:color w:val="000000" w:themeColor="text1"/>
                <w:spacing w:val="-2"/>
                <w:sz w:val="20"/>
                <w:szCs w:val="20"/>
                <w:lang w:val="hr-HR"/>
              </w:rPr>
            </w:pPr>
          </w:p>
        </w:tc>
        <w:tc>
          <w:tcPr>
            <w:tcW w:w="773" w:type="pct"/>
            <w:tcBorders>
              <w:top w:val="nil"/>
              <w:left w:val="nil"/>
              <w:right w:val="nil"/>
            </w:tcBorders>
            <w:shd w:val="clear" w:color="auto" w:fill="auto"/>
            <w:vAlign w:val="bottom"/>
          </w:tcPr>
          <w:p w14:paraId="758BC837" w14:textId="77777777" w:rsidR="004E2F51" w:rsidRPr="00B44A61" w:rsidRDefault="004E2F51" w:rsidP="00E032FC">
            <w:pPr>
              <w:jc w:val="right"/>
              <w:rPr>
                <w:rFonts w:ascii="Arial" w:hAnsi="Arial" w:cs="Arial"/>
                <w:color w:val="000000" w:themeColor="text1"/>
                <w:spacing w:val="-2"/>
                <w:sz w:val="20"/>
                <w:szCs w:val="20"/>
                <w:lang w:val="hr-HR"/>
              </w:rPr>
            </w:pPr>
          </w:p>
        </w:tc>
      </w:tr>
      <w:tr w:rsidR="004E2F51" w:rsidRPr="00B44A61" w14:paraId="35DD5483" w14:textId="77777777" w:rsidTr="00E032FC">
        <w:tc>
          <w:tcPr>
            <w:tcW w:w="1907" w:type="pct"/>
          </w:tcPr>
          <w:p w14:paraId="4D987422" w14:textId="77777777" w:rsidR="004E2F51" w:rsidRPr="00B44A61" w:rsidRDefault="004E2F51" w:rsidP="00E032FC">
            <w:pPr>
              <w:pStyle w:val="TT"/>
              <w:rPr>
                <w:rFonts w:cs="Arial"/>
                <w:color w:val="000000" w:themeColor="text1"/>
                <w:sz w:val="20"/>
                <w:lang w:val="hr-HR"/>
              </w:rPr>
            </w:pPr>
            <w:bookmarkStart w:id="981" w:name="_Toc67327952"/>
            <w:r w:rsidRPr="00B44A61">
              <w:rPr>
                <w:rFonts w:cs="Arial"/>
                <w:color w:val="000000" w:themeColor="text1"/>
                <w:sz w:val="20"/>
                <w:lang w:val="hr-HR"/>
              </w:rPr>
              <w:t>Rezerviranja za očekivane gubitke</w:t>
            </w:r>
            <w:bookmarkEnd w:id="981"/>
          </w:p>
        </w:tc>
        <w:tc>
          <w:tcPr>
            <w:tcW w:w="773" w:type="pct"/>
            <w:tcBorders>
              <w:top w:val="nil"/>
              <w:left w:val="nil"/>
              <w:bottom w:val="single" w:sz="4" w:space="0" w:color="auto"/>
              <w:right w:val="nil"/>
            </w:tcBorders>
            <w:shd w:val="clear" w:color="auto" w:fill="auto"/>
            <w:vAlign w:val="bottom"/>
          </w:tcPr>
          <w:p w14:paraId="6CAC1284" w14:textId="77777777" w:rsidR="004E2F51" w:rsidRPr="00B44A61" w:rsidRDefault="004E2F51" w:rsidP="00E032FC">
            <w:pPr>
              <w:pStyle w:val="TT"/>
              <w:tabs>
                <w:tab w:val="clear" w:pos="1202"/>
              </w:tabs>
              <w:jc w:val="right"/>
              <w:rPr>
                <w:rFonts w:cs="Arial"/>
                <w:color w:val="000000" w:themeColor="text1"/>
                <w:sz w:val="20"/>
                <w:lang w:val="hr-HR"/>
              </w:rPr>
            </w:pPr>
            <w:r w:rsidRPr="00A3731F">
              <w:rPr>
                <w:rFonts w:cs="Arial"/>
                <w:color w:val="000000" w:themeColor="text1"/>
                <w:sz w:val="20"/>
                <w:lang w:val="hr-HR"/>
              </w:rPr>
              <w:t>(31)</w:t>
            </w:r>
          </w:p>
        </w:tc>
        <w:tc>
          <w:tcPr>
            <w:tcW w:w="773" w:type="pct"/>
            <w:tcBorders>
              <w:top w:val="nil"/>
              <w:left w:val="nil"/>
              <w:bottom w:val="single" w:sz="4" w:space="0" w:color="auto"/>
              <w:right w:val="nil"/>
            </w:tcBorders>
            <w:shd w:val="clear" w:color="auto" w:fill="auto"/>
            <w:vAlign w:val="bottom"/>
          </w:tcPr>
          <w:p w14:paraId="204F4DD0" w14:textId="77777777" w:rsidR="004E2F51" w:rsidRPr="00B44A61" w:rsidRDefault="004E2F51" w:rsidP="00E032FC">
            <w:pPr>
              <w:pStyle w:val="TT"/>
              <w:tabs>
                <w:tab w:val="clear" w:pos="1202"/>
              </w:tabs>
              <w:jc w:val="right"/>
              <w:rPr>
                <w:rFonts w:cs="Arial"/>
                <w:color w:val="000000" w:themeColor="text1"/>
                <w:sz w:val="20"/>
                <w:lang w:val="hr-HR"/>
              </w:rPr>
            </w:pPr>
            <w:r w:rsidRPr="00B44A61">
              <w:rPr>
                <w:rFonts w:cs="Arial"/>
                <w:color w:val="000000" w:themeColor="text1"/>
                <w:sz w:val="20"/>
                <w:lang w:val="hr-HR"/>
              </w:rPr>
              <w:t xml:space="preserve">   (1)</w:t>
            </w:r>
          </w:p>
        </w:tc>
        <w:tc>
          <w:tcPr>
            <w:tcW w:w="773" w:type="pct"/>
            <w:tcBorders>
              <w:top w:val="nil"/>
              <w:left w:val="nil"/>
              <w:bottom w:val="single" w:sz="4" w:space="0" w:color="auto"/>
              <w:right w:val="nil"/>
            </w:tcBorders>
            <w:shd w:val="clear" w:color="auto" w:fill="auto"/>
            <w:vAlign w:val="bottom"/>
          </w:tcPr>
          <w:p w14:paraId="1D68E1C8" w14:textId="77777777" w:rsidR="004E2F51" w:rsidRPr="00B44A61" w:rsidRDefault="004E2F51" w:rsidP="00E032FC">
            <w:pPr>
              <w:pStyle w:val="TT"/>
              <w:tabs>
                <w:tab w:val="clear" w:pos="1202"/>
              </w:tabs>
              <w:jc w:val="right"/>
              <w:rPr>
                <w:rFonts w:cs="Arial"/>
                <w:color w:val="000000" w:themeColor="text1"/>
                <w:sz w:val="20"/>
                <w:lang w:val="hr-HR"/>
              </w:rPr>
            </w:pPr>
            <w:r w:rsidRPr="00A3731F">
              <w:rPr>
                <w:rFonts w:cs="Arial"/>
                <w:color w:val="000000" w:themeColor="text1"/>
                <w:sz w:val="20"/>
                <w:lang w:val="hr-HR"/>
              </w:rPr>
              <w:t xml:space="preserve">   (1)</w:t>
            </w:r>
          </w:p>
        </w:tc>
        <w:tc>
          <w:tcPr>
            <w:tcW w:w="773" w:type="pct"/>
            <w:tcBorders>
              <w:top w:val="nil"/>
              <w:left w:val="nil"/>
              <w:bottom w:val="single" w:sz="4" w:space="0" w:color="auto"/>
              <w:right w:val="nil"/>
            </w:tcBorders>
            <w:shd w:val="clear" w:color="auto" w:fill="auto"/>
            <w:vAlign w:val="bottom"/>
          </w:tcPr>
          <w:p w14:paraId="5BAA787E" w14:textId="77777777" w:rsidR="004E2F51" w:rsidRPr="00B44A61" w:rsidRDefault="004E2F51" w:rsidP="00E032FC">
            <w:pPr>
              <w:pStyle w:val="TT"/>
              <w:tabs>
                <w:tab w:val="clear" w:pos="1202"/>
              </w:tabs>
              <w:jc w:val="right"/>
              <w:rPr>
                <w:rFonts w:cs="Arial"/>
                <w:color w:val="000000" w:themeColor="text1"/>
                <w:sz w:val="20"/>
                <w:lang w:val="hr-HR"/>
              </w:rPr>
            </w:pPr>
            <w:r w:rsidRPr="00B44A61">
              <w:rPr>
                <w:rFonts w:cs="Arial"/>
                <w:color w:val="000000" w:themeColor="text1"/>
                <w:sz w:val="20"/>
                <w:lang w:val="hr-HR"/>
              </w:rPr>
              <w:t xml:space="preserve">   (1)</w:t>
            </w:r>
          </w:p>
        </w:tc>
      </w:tr>
      <w:tr w:rsidR="004E2F51" w:rsidRPr="00B44A61" w14:paraId="13E9C495" w14:textId="77777777" w:rsidTr="00E032FC">
        <w:tc>
          <w:tcPr>
            <w:tcW w:w="1907" w:type="pct"/>
          </w:tcPr>
          <w:p w14:paraId="06FFFE29" w14:textId="77777777" w:rsidR="004E2F51" w:rsidRPr="00B44A61" w:rsidRDefault="004E2F51" w:rsidP="00E032FC">
            <w:pPr>
              <w:tabs>
                <w:tab w:val="left" w:pos="-720"/>
              </w:tabs>
              <w:rPr>
                <w:rFonts w:ascii="Arial" w:hAnsi="Arial" w:cs="Arial"/>
                <w:b/>
                <w:bCs/>
                <w:color w:val="000000" w:themeColor="text1"/>
                <w:spacing w:val="-2"/>
                <w:sz w:val="20"/>
                <w:szCs w:val="20"/>
                <w:lang w:val="hr-HR"/>
              </w:rPr>
            </w:pPr>
          </w:p>
        </w:tc>
        <w:tc>
          <w:tcPr>
            <w:tcW w:w="773" w:type="pct"/>
            <w:tcBorders>
              <w:top w:val="single" w:sz="4" w:space="0" w:color="auto"/>
              <w:left w:val="nil"/>
              <w:bottom w:val="single" w:sz="12" w:space="0" w:color="auto"/>
              <w:right w:val="nil"/>
            </w:tcBorders>
            <w:shd w:val="clear" w:color="auto" w:fill="auto"/>
            <w:vAlign w:val="bottom"/>
          </w:tcPr>
          <w:p w14:paraId="25C612D5" w14:textId="77777777" w:rsidR="004E2F51" w:rsidRPr="00B44A61" w:rsidRDefault="004E2F51" w:rsidP="00E032FC">
            <w:pPr>
              <w:pStyle w:val="TT"/>
              <w:tabs>
                <w:tab w:val="clear" w:pos="1202"/>
              </w:tabs>
              <w:jc w:val="right"/>
              <w:rPr>
                <w:rFonts w:cs="Arial"/>
                <w:b/>
                <w:bCs/>
                <w:color w:val="000000" w:themeColor="text1"/>
                <w:sz w:val="20"/>
                <w:lang w:val="hr-HR"/>
              </w:rPr>
            </w:pPr>
            <w:r w:rsidRPr="00A3731F">
              <w:rPr>
                <w:rFonts w:cs="Arial"/>
                <w:b/>
                <w:bCs/>
                <w:color w:val="000000" w:themeColor="text1"/>
                <w:sz w:val="20"/>
                <w:lang w:val="hr-HR"/>
              </w:rPr>
              <w:t>33.180</w:t>
            </w:r>
          </w:p>
        </w:tc>
        <w:tc>
          <w:tcPr>
            <w:tcW w:w="773" w:type="pct"/>
            <w:tcBorders>
              <w:top w:val="single" w:sz="4" w:space="0" w:color="auto"/>
              <w:left w:val="nil"/>
              <w:bottom w:val="single" w:sz="12" w:space="0" w:color="auto"/>
              <w:right w:val="nil"/>
            </w:tcBorders>
            <w:shd w:val="clear" w:color="auto" w:fill="auto"/>
            <w:vAlign w:val="bottom"/>
          </w:tcPr>
          <w:p w14:paraId="3ACD481A" w14:textId="77777777" w:rsidR="004E2F51" w:rsidRPr="00B44A61" w:rsidRDefault="004E2F51" w:rsidP="00E032FC">
            <w:pPr>
              <w:pStyle w:val="TT"/>
              <w:tabs>
                <w:tab w:val="clear" w:pos="1202"/>
              </w:tabs>
              <w:jc w:val="right"/>
              <w:rPr>
                <w:rFonts w:cs="Arial"/>
                <w:b/>
                <w:bCs/>
                <w:color w:val="000000" w:themeColor="text1"/>
                <w:sz w:val="20"/>
                <w:lang w:val="hr-HR"/>
              </w:rPr>
            </w:pPr>
            <w:r w:rsidRPr="00B44A61">
              <w:rPr>
                <w:rFonts w:cs="Arial"/>
                <w:b/>
                <w:bCs/>
                <w:color w:val="000000" w:themeColor="text1"/>
                <w:sz w:val="20"/>
                <w:lang w:val="hr-HR"/>
              </w:rPr>
              <w:t>7.500</w:t>
            </w:r>
          </w:p>
        </w:tc>
        <w:tc>
          <w:tcPr>
            <w:tcW w:w="773" w:type="pct"/>
            <w:tcBorders>
              <w:top w:val="single" w:sz="4" w:space="0" w:color="auto"/>
              <w:left w:val="nil"/>
              <w:bottom w:val="single" w:sz="12" w:space="0" w:color="auto"/>
              <w:right w:val="nil"/>
            </w:tcBorders>
            <w:shd w:val="clear" w:color="auto" w:fill="auto"/>
            <w:vAlign w:val="bottom"/>
          </w:tcPr>
          <w:p w14:paraId="7053D54D" w14:textId="77777777" w:rsidR="004E2F51" w:rsidRPr="00B44A61" w:rsidRDefault="004E2F51" w:rsidP="00E032FC">
            <w:pPr>
              <w:pStyle w:val="TT"/>
              <w:tabs>
                <w:tab w:val="clear" w:pos="1202"/>
              </w:tabs>
              <w:jc w:val="right"/>
              <w:rPr>
                <w:rFonts w:cs="Arial"/>
                <w:b/>
                <w:bCs/>
                <w:color w:val="000000" w:themeColor="text1"/>
                <w:sz w:val="20"/>
                <w:lang w:val="hr-HR"/>
              </w:rPr>
            </w:pPr>
            <w:r w:rsidRPr="00A3731F">
              <w:rPr>
                <w:rFonts w:cs="Arial"/>
                <w:b/>
                <w:bCs/>
                <w:color w:val="000000" w:themeColor="text1"/>
                <w:sz w:val="20"/>
                <w:lang w:val="hr-HR"/>
              </w:rPr>
              <w:t>10.596</w:t>
            </w:r>
          </w:p>
        </w:tc>
        <w:tc>
          <w:tcPr>
            <w:tcW w:w="773" w:type="pct"/>
            <w:tcBorders>
              <w:top w:val="single" w:sz="4" w:space="0" w:color="auto"/>
              <w:left w:val="nil"/>
              <w:bottom w:val="single" w:sz="12" w:space="0" w:color="auto"/>
              <w:right w:val="nil"/>
            </w:tcBorders>
            <w:shd w:val="clear" w:color="auto" w:fill="auto"/>
            <w:vAlign w:val="bottom"/>
          </w:tcPr>
          <w:p w14:paraId="5B2ACC3A" w14:textId="77777777" w:rsidR="004E2F51" w:rsidRPr="00B44A61" w:rsidRDefault="004E2F51" w:rsidP="00E032FC">
            <w:pPr>
              <w:pStyle w:val="TT"/>
              <w:tabs>
                <w:tab w:val="clear" w:pos="1202"/>
              </w:tabs>
              <w:jc w:val="right"/>
              <w:rPr>
                <w:rFonts w:cs="Arial"/>
                <w:b/>
                <w:bCs/>
                <w:color w:val="000000" w:themeColor="text1"/>
                <w:sz w:val="20"/>
                <w:lang w:val="hr-HR"/>
              </w:rPr>
            </w:pPr>
            <w:r w:rsidRPr="00B44A61">
              <w:rPr>
                <w:rFonts w:cs="Arial"/>
                <w:b/>
                <w:bCs/>
                <w:color w:val="000000" w:themeColor="text1"/>
                <w:sz w:val="20"/>
                <w:lang w:val="hr-HR"/>
              </w:rPr>
              <w:t>7.500</w:t>
            </w:r>
          </w:p>
        </w:tc>
      </w:tr>
    </w:tbl>
    <w:p w14:paraId="0A27571B" w14:textId="77777777" w:rsidR="004E2F51" w:rsidRPr="004B4498" w:rsidRDefault="004E2F51" w:rsidP="004E2F51">
      <w:pPr>
        <w:rPr>
          <w:rFonts w:ascii="Arial" w:hAnsi="Arial" w:cs="Arial"/>
          <w:i/>
          <w:color w:val="000000" w:themeColor="text1"/>
          <w:sz w:val="20"/>
          <w:szCs w:val="20"/>
          <w:lang w:val="hr-HR"/>
        </w:rPr>
      </w:pPr>
    </w:p>
    <w:p w14:paraId="22456B85" w14:textId="77777777" w:rsidR="004E2F51" w:rsidRPr="004B4498" w:rsidRDefault="004E2F51" w:rsidP="004E2F51">
      <w:pPr>
        <w:jc w:val="both"/>
        <w:rPr>
          <w:rFonts w:ascii="Arial" w:hAnsi="Arial" w:cs="Arial"/>
          <w:color w:val="000000" w:themeColor="text1"/>
          <w:sz w:val="20"/>
          <w:szCs w:val="20"/>
          <w:lang w:val="hr-HR"/>
        </w:rPr>
      </w:pPr>
    </w:p>
    <w:p w14:paraId="5C3A9672" w14:textId="77777777" w:rsidR="004E2F51" w:rsidRPr="004B4498" w:rsidRDefault="004E2F51" w:rsidP="004E2F51">
      <w:pPr>
        <w:pStyle w:val="T1"/>
        <w:spacing w:before="0" w:after="0" w:line="240" w:lineRule="auto"/>
        <w:rPr>
          <w:rFonts w:cs="Arial"/>
          <w:b w:val="0"/>
          <w:color w:val="000000" w:themeColor="text1"/>
          <w:sz w:val="20"/>
          <w:lang w:val="hr-HR"/>
        </w:rPr>
      </w:pPr>
    </w:p>
    <w:p w14:paraId="4EAA780B" w14:textId="77777777" w:rsidR="004E2F51" w:rsidRPr="004B4498" w:rsidRDefault="004E2F51" w:rsidP="004E2F51">
      <w:pPr>
        <w:pStyle w:val="T1"/>
        <w:spacing w:before="0" w:after="0" w:line="240" w:lineRule="auto"/>
        <w:rPr>
          <w:rFonts w:cs="Arial"/>
          <w:b w:val="0"/>
          <w:color w:val="000000" w:themeColor="text1"/>
          <w:sz w:val="20"/>
          <w:lang w:val="hr-HR"/>
        </w:rPr>
      </w:pPr>
      <w:bookmarkStart w:id="982" w:name="_Hlk1476286"/>
      <w:r w:rsidRPr="004B4498">
        <w:rPr>
          <w:rFonts w:cs="Arial"/>
          <w:b w:val="0"/>
          <w:color w:val="000000" w:themeColor="text1"/>
          <w:sz w:val="20"/>
          <w:lang w:val="hr-HR"/>
        </w:rPr>
        <w:t>Sljedeće tablice prikazuju informacije o kreditnoj kvaliteti financijske imovine koja se mjeri po amortiziranom trošku. Iznosi u tablici predstavljaju bruto knjigovodstvene iznose:</w:t>
      </w:r>
      <w:bookmarkEnd w:id="982"/>
    </w:p>
    <w:p w14:paraId="7CCC15A9" w14:textId="77777777" w:rsidR="004E2F51" w:rsidRPr="004B4498" w:rsidRDefault="004E2F51" w:rsidP="004E2F51">
      <w:pPr>
        <w:spacing w:after="120"/>
        <w:jc w:val="both"/>
        <w:rPr>
          <w:rFonts w:ascii="Arial" w:hAnsi="Arial" w:cs="Arial"/>
          <w:color w:val="000000" w:themeColor="text1"/>
          <w:sz w:val="20"/>
          <w:szCs w:val="20"/>
          <w:lang w:val="hr-HR"/>
        </w:rPr>
      </w:pPr>
    </w:p>
    <w:tbl>
      <w:tblPr>
        <w:tblW w:w="9779" w:type="dxa"/>
        <w:tblLayout w:type="fixed"/>
        <w:tblLook w:val="04A0" w:firstRow="1" w:lastRow="0" w:firstColumn="1" w:lastColumn="0" w:noHBand="0" w:noVBand="1"/>
      </w:tblPr>
      <w:tblGrid>
        <w:gridCol w:w="1843"/>
        <w:gridCol w:w="992"/>
        <w:gridCol w:w="992"/>
        <w:gridCol w:w="992"/>
        <w:gridCol w:w="992"/>
        <w:gridCol w:w="992"/>
        <w:gridCol w:w="992"/>
        <w:gridCol w:w="992"/>
        <w:gridCol w:w="992"/>
      </w:tblGrid>
      <w:tr w:rsidR="004E2F51" w:rsidRPr="00B44A61" w14:paraId="0F95043C" w14:textId="77777777" w:rsidTr="00E032FC">
        <w:trPr>
          <w:trHeight w:val="178"/>
        </w:trPr>
        <w:tc>
          <w:tcPr>
            <w:tcW w:w="1843" w:type="dxa"/>
            <w:tcBorders>
              <w:top w:val="nil"/>
              <w:left w:val="nil"/>
              <w:bottom w:val="nil"/>
              <w:right w:val="nil"/>
            </w:tcBorders>
            <w:shd w:val="clear" w:color="auto" w:fill="auto"/>
            <w:noWrap/>
            <w:vAlign w:val="bottom"/>
            <w:hideMark/>
          </w:tcPr>
          <w:p w14:paraId="3C67E22A" w14:textId="77777777" w:rsidR="004E2F51" w:rsidRPr="004B4498" w:rsidRDefault="004E2F51" w:rsidP="00E032FC">
            <w:pPr>
              <w:rPr>
                <w:rFonts w:ascii="Arial" w:hAnsi="Arial" w:cs="Arial"/>
                <w:b/>
                <w:color w:val="000000" w:themeColor="text1"/>
                <w:sz w:val="17"/>
                <w:szCs w:val="17"/>
                <w:lang w:val="hr-HR"/>
              </w:rPr>
            </w:pPr>
            <w:r w:rsidRPr="004B4498">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2</w:t>
            </w:r>
            <w:r w:rsidRPr="004B4498">
              <w:rPr>
                <w:rFonts w:ascii="Arial" w:hAnsi="Arial" w:cs="Arial"/>
                <w:b/>
                <w:color w:val="000000" w:themeColor="text1"/>
                <w:sz w:val="17"/>
                <w:szCs w:val="17"/>
                <w:lang w:val="hr-HR"/>
              </w:rPr>
              <w:t>.</w:t>
            </w:r>
          </w:p>
        </w:tc>
        <w:tc>
          <w:tcPr>
            <w:tcW w:w="992" w:type="dxa"/>
            <w:tcBorders>
              <w:top w:val="nil"/>
              <w:left w:val="nil"/>
              <w:bottom w:val="nil"/>
              <w:right w:val="nil"/>
            </w:tcBorders>
            <w:shd w:val="clear" w:color="auto" w:fill="auto"/>
            <w:noWrap/>
            <w:vAlign w:val="bottom"/>
            <w:hideMark/>
          </w:tcPr>
          <w:p w14:paraId="785C4324" w14:textId="77777777" w:rsidR="004E2F51" w:rsidRPr="004B4498" w:rsidRDefault="004E2F51" w:rsidP="00E032FC">
            <w:pPr>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0688ACC6" w14:textId="77777777" w:rsidR="004E2F51" w:rsidRPr="004B4498" w:rsidRDefault="004E2F51" w:rsidP="00E032FC">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4458E299" w14:textId="77777777" w:rsidR="004E2F51" w:rsidRPr="004B4498" w:rsidRDefault="004E2F51" w:rsidP="00E032FC">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20F9EA0A"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Grupa</w:t>
            </w:r>
          </w:p>
        </w:tc>
        <w:tc>
          <w:tcPr>
            <w:tcW w:w="992" w:type="dxa"/>
            <w:tcBorders>
              <w:top w:val="nil"/>
              <w:left w:val="nil"/>
              <w:bottom w:val="nil"/>
              <w:right w:val="nil"/>
            </w:tcBorders>
            <w:shd w:val="clear" w:color="auto" w:fill="auto"/>
            <w:noWrap/>
            <w:vAlign w:val="bottom"/>
            <w:hideMark/>
          </w:tcPr>
          <w:p w14:paraId="2E944F09"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0AA8D81A" w14:textId="77777777" w:rsidR="004E2F51" w:rsidRPr="004B4498" w:rsidRDefault="004E2F51" w:rsidP="00E032FC">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0A770A08" w14:textId="77777777" w:rsidR="004E2F51" w:rsidRPr="004B4498" w:rsidRDefault="004E2F51" w:rsidP="00E032FC">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13C88B4F"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Banka</w:t>
            </w:r>
          </w:p>
        </w:tc>
      </w:tr>
      <w:tr w:rsidR="004E2F51" w:rsidRPr="00B44A61" w14:paraId="3AF4D2E4" w14:textId="77777777" w:rsidTr="00E032FC">
        <w:trPr>
          <w:trHeight w:val="310"/>
        </w:trPr>
        <w:tc>
          <w:tcPr>
            <w:tcW w:w="1843" w:type="dxa"/>
            <w:tcBorders>
              <w:top w:val="nil"/>
              <w:left w:val="nil"/>
              <w:bottom w:val="nil"/>
              <w:right w:val="nil"/>
            </w:tcBorders>
            <w:shd w:val="clear" w:color="auto" w:fill="auto"/>
            <w:noWrap/>
            <w:vAlign w:val="bottom"/>
            <w:hideMark/>
          </w:tcPr>
          <w:p w14:paraId="62D01D8E"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650AAD6C"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2" w:type="dxa"/>
            <w:tcBorders>
              <w:top w:val="nil"/>
              <w:left w:val="nil"/>
              <w:bottom w:val="nil"/>
              <w:right w:val="nil"/>
            </w:tcBorders>
            <w:shd w:val="clear" w:color="auto" w:fill="auto"/>
            <w:noWrap/>
            <w:vAlign w:val="bottom"/>
            <w:hideMark/>
          </w:tcPr>
          <w:p w14:paraId="65ABE418"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2" w:type="dxa"/>
            <w:tcBorders>
              <w:top w:val="nil"/>
              <w:left w:val="nil"/>
              <w:bottom w:val="nil"/>
              <w:right w:val="nil"/>
            </w:tcBorders>
            <w:shd w:val="clear" w:color="auto" w:fill="auto"/>
            <w:noWrap/>
            <w:vAlign w:val="bottom"/>
            <w:hideMark/>
          </w:tcPr>
          <w:p w14:paraId="0E5A6116"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2" w:type="dxa"/>
            <w:tcBorders>
              <w:top w:val="nil"/>
              <w:left w:val="nil"/>
              <w:bottom w:val="nil"/>
              <w:right w:val="nil"/>
            </w:tcBorders>
            <w:shd w:val="clear" w:color="auto" w:fill="auto"/>
            <w:noWrap/>
            <w:vAlign w:val="bottom"/>
            <w:hideMark/>
          </w:tcPr>
          <w:p w14:paraId="3C4B3FD7"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c>
          <w:tcPr>
            <w:tcW w:w="992" w:type="dxa"/>
            <w:tcBorders>
              <w:top w:val="nil"/>
              <w:left w:val="nil"/>
              <w:bottom w:val="nil"/>
              <w:right w:val="nil"/>
            </w:tcBorders>
            <w:shd w:val="clear" w:color="auto" w:fill="auto"/>
            <w:noWrap/>
            <w:vAlign w:val="bottom"/>
            <w:hideMark/>
          </w:tcPr>
          <w:p w14:paraId="2DDCF373"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2" w:type="dxa"/>
            <w:tcBorders>
              <w:top w:val="nil"/>
              <w:left w:val="nil"/>
              <w:bottom w:val="nil"/>
              <w:right w:val="nil"/>
            </w:tcBorders>
            <w:shd w:val="clear" w:color="auto" w:fill="auto"/>
            <w:noWrap/>
            <w:vAlign w:val="bottom"/>
            <w:hideMark/>
          </w:tcPr>
          <w:p w14:paraId="10743C2D"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2" w:type="dxa"/>
            <w:tcBorders>
              <w:top w:val="nil"/>
              <w:left w:val="nil"/>
              <w:bottom w:val="nil"/>
              <w:right w:val="nil"/>
            </w:tcBorders>
            <w:shd w:val="clear" w:color="auto" w:fill="auto"/>
            <w:noWrap/>
            <w:vAlign w:val="bottom"/>
            <w:hideMark/>
          </w:tcPr>
          <w:p w14:paraId="56354311"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2" w:type="dxa"/>
            <w:tcBorders>
              <w:top w:val="nil"/>
              <w:left w:val="nil"/>
              <w:bottom w:val="nil"/>
              <w:right w:val="nil"/>
            </w:tcBorders>
            <w:shd w:val="clear" w:color="auto" w:fill="auto"/>
            <w:noWrap/>
            <w:vAlign w:val="bottom"/>
            <w:hideMark/>
          </w:tcPr>
          <w:p w14:paraId="545AD045"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r>
      <w:tr w:rsidR="004E2F51" w:rsidRPr="00B44A61" w14:paraId="00061379" w14:textId="77777777" w:rsidTr="00E032FC">
        <w:trPr>
          <w:trHeight w:val="314"/>
        </w:trPr>
        <w:tc>
          <w:tcPr>
            <w:tcW w:w="1843" w:type="dxa"/>
            <w:tcBorders>
              <w:top w:val="nil"/>
              <w:left w:val="nil"/>
              <w:bottom w:val="nil"/>
              <w:right w:val="nil"/>
            </w:tcBorders>
            <w:shd w:val="clear" w:color="auto" w:fill="auto"/>
            <w:noWrap/>
            <w:vAlign w:val="bottom"/>
            <w:hideMark/>
          </w:tcPr>
          <w:p w14:paraId="5D4B36EA"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298690CA"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2" w:type="dxa"/>
            <w:tcBorders>
              <w:top w:val="nil"/>
              <w:left w:val="nil"/>
              <w:bottom w:val="nil"/>
              <w:right w:val="nil"/>
            </w:tcBorders>
            <w:shd w:val="clear" w:color="auto" w:fill="auto"/>
            <w:noWrap/>
            <w:vAlign w:val="bottom"/>
            <w:hideMark/>
          </w:tcPr>
          <w:p w14:paraId="2A6D70CC"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2" w:type="dxa"/>
            <w:tcBorders>
              <w:top w:val="nil"/>
              <w:left w:val="nil"/>
              <w:bottom w:val="nil"/>
              <w:right w:val="nil"/>
            </w:tcBorders>
            <w:shd w:val="clear" w:color="auto" w:fill="auto"/>
            <w:noWrap/>
            <w:vAlign w:val="bottom"/>
            <w:hideMark/>
          </w:tcPr>
          <w:p w14:paraId="438D0CAA"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2" w:type="dxa"/>
            <w:tcBorders>
              <w:top w:val="nil"/>
              <w:left w:val="nil"/>
              <w:bottom w:val="nil"/>
              <w:right w:val="nil"/>
            </w:tcBorders>
            <w:shd w:val="clear" w:color="auto" w:fill="auto"/>
            <w:noWrap/>
            <w:vAlign w:val="bottom"/>
            <w:hideMark/>
          </w:tcPr>
          <w:p w14:paraId="152BA556"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2" w:type="dxa"/>
            <w:tcBorders>
              <w:top w:val="nil"/>
              <w:left w:val="nil"/>
              <w:bottom w:val="nil"/>
              <w:right w:val="nil"/>
            </w:tcBorders>
            <w:shd w:val="clear" w:color="auto" w:fill="auto"/>
            <w:noWrap/>
            <w:vAlign w:val="bottom"/>
            <w:hideMark/>
          </w:tcPr>
          <w:p w14:paraId="467283F9"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2" w:type="dxa"/>
            <w:tcBorders>
              <w:top w:val="nil"/>
              <w:left w:val="nil"/>
              <w:bottom w:val="nil"/>
              <w:right w:val="nil"/>
            </w:tcBorders>
            <w:shd w:val="clear" w:color="auto" w:fill="auto"/>
            <w:noWrap/>
            <w:vAlign w:val="bottom"/>
            <w:hideMark/>
          </w:tcPr>
          <w:p w14:paraId="323DB5FC"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2" w:type="dxa"/>
            <w:tcBorders>
              <w:top w:val="nil"/>
              <w:left w:val="nil"/>
              <w:bottom w:val="nil"/>
              <w:right w:val="nil"/>
            </w:tcBorders>
            <w:shd w:val="clear" w:color="auto" w:fill="auto"/>
            <w:noWrap/>
            <w:vAlign w:val="bottom"/>
            <w:hideMark/>
          </w:tcPr>
          <w:p w14:paraId="047B45D0"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2" w:type="dxa"/>
            <w:tcBorders>
              <w:top w:val="nil"/>
              <w:left w:val="nil"/>
              <w:bottom w:val="nil"/>
              <w:right w:val="nil"/>
            </w:tcBorders>
            <w:shd w:val="clear" w:color="auto" w:fill="auto"/>
            <w:noWrap/>
            <w:vAlign w:val="bottom"/>
            <w:hideMark/>
          </w:tcPr>
          <w:p w14:paraId="0831F80F"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r>
      <w:tr w:rsidR="004E2F51" w:rsidRPr="00B44A61" w14:paraId="29360B04" w14:textId="77777777" w:rsidTr="00E032FC">
        <w:trPr>
          <w:trHeight w:val="184"/>
        </w:trPr>
        <w:tc>
          <w:tcPr>
            <w:tcW w:w="1843" w:type="dxa"/>
            <w:tcBorders>
              <w:top w:val="nil"/>
              <w:left w:val="nil"/>
              <w:bottom w:val="nil"/>
              <w:right w:val="nil"/>
            </w:tcBorders>
            <w:shd w:val="clear" w:color="auto" w:fill="auto"/>
            <w:noWrap/>
            <w:vAlign w:val="bottom"/>
          </w:tcPr>
          <w:p w14:paraId="0425A908"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33D2417E"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24275F01"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15745DAB"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2C3A145B"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4B2BB97B"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67777607"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6CF7DC48"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7BCAAC04" w14:textId="77777777" w:rsidR="004E2F51" w:rsidRPr="004B4498" w:rsidRDefault="004E2F51" w:rsidP="00E032FC">
            <w:pPr>
              <w:jc w:val="right"/>
              <w:rPr>
                <w:rFonts w:ascii="Arial" w:hAnsi="Arial" w:cs="Arial"/>
                <w:b/>
                <w:bCs/>
                <w:color w:val="000000" w:themeColor="text1"/>
                <w:sz w:val="17"/>
                <w:szCs w:val="17"/>
                <w:lang w:val="hr-HR"/>
              </w:rPr>
            </w:pPr>
          </w:p>
        </w:tc>
      </w:tr>
      <w:tr w:rsidR="004E2F51" w:rsidRPr="00B44A61" w14:paraId="73811DD8" w14:textId="77777777" w:rsidTr="00E032FC">
        <w:trPr>
          <w:trHeight w:val="319"/>
        </w:trPr>
        <w:tc>
          <w:tcPr>
            <w:tcW w:w="1843" w:type="dxa"/>
            <w:tcBorders>
              <w:top w:val="nil"/>
              <w:left w:val="nil"/>
              <w:bottom w:val="nil"/>
              <w:right w:val="nil"/>
            </w:tcBorders>
            <w:shd w:val="clear" w:color="auto" w:fill="auto"/>
            <w:noWrap/>
            <w:vAlign w:val="bottom"/>
            <w:hideMark/>
          </w:tcPr>
          <w:p w14:paraId="19517225" w14:textId="77777777" w:rsidR="004E2F51" w:rsidRPr="004B4498" w:rsidRDefault="004E2F51" w:rsidP="00E032FC">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Bruto iznos</w:t>
            </w:r>
          </w:p>
        </w:tc>
        <w:tc>
          <w:tcPr>
            <w:tcW w:w="992" w:type="dxa"/>
            <w:tcBorders>
              <w:top w:val="nil"/>
              <w:left w:val="nil"/>
              <w:bottom w:val="nil"/>
              <w:right w:val="nil"/>
            </w:tcBorders>
            <w:shd w:val="clear" w:color="auto" w:fill="auto"/>
            <w:noWrap/>
            <w:vAlign w:val="bottom"/>
          </w:tcPr>
          <w:p w14:paraId="6494B92D" w14:textId="77777777" w:rsidR="004E2F51" w:rsidRPr="004B4498" w:rsidRDefault="004E2F51" w:rsidP="00E032FC">
            <w:pPr>
              <w:jc w:val="right"/>
              <w:rPr>
                <w:rFonts w:ascii="Arial" w:hAnsi="Arial" w:cs="Arial"/>
                <w:color w:val="000000" w:themeColor="text1"/>
                <w:sz w:val="17"/>
                <w:szCs w:val="17"/>
                <w:lang w:val="hr-HR"/>
              </w:rPr>
            </w:pPr>
            <w:r w:rsidRPr="00A3731F">
              <w:rPr>
                <w:rFonts w:ascii="Arial" w:hAnsi="Arial" w:cs="Arial"/>
                <w:color w:val="000000" w:themeColor="text1"/>
                <w:sz w:val="17"/>
                <w:szCs w:val="17"/>
                <w:lang w:val="hr-HR"/>
              </w:rPr>
              <w:t xml:space="preserve"> 33.211 </w:t>
            </w:r>
          </w:p>
        </w:tc>
        <w:tc>
          <w:tcPr>
            <w:tcW w:w="992" w:type="dxa"/>
            <w:tcBorders>
              <w:top w:val="nil"/>
              <w:left w:val="nil"/>
              <w:bottom w:val="nil"/>
              <w:right w:val="nil"/>
            </w:tcBorders>
            <w:shd w:val="clear" w:color="auto" w:fill="auto"/>
            <w:noWrap/>
            <w:vAlign w:val="bottom"/>
          </w:tcPr>
          <w:p w14:paraId="3890D4FB" w14:textId="77777777" w:rsidR="004E2F51" w:rsidRPr="004B4498" w:rsidRDefault="004E2F51" w:rsidP="00E032FC">
            <w:pPr>
              <w:jc w:val="right"/>
              <w:rPr>
                <w:rFonts w:ascii="Arial" w:hAnsi="Arial" w:cs="Arial"/>
                <w:color w:val="000000" w:themeColor="text1"/>
                <w:sz w:val="17"/>
                <w:szCs w:val="17"/>
                <w:lang w:val="hr-HR"/>
              </w:rPr>
            </w:pPr>
            <w:r w:rsidRPr="004B4498">
              <w:rPr>
                <w:rFonts w:ascii="Arial" w:hAnsi="Arial" w:cs="Arial"/>
                <w:sz w:val="17"/>
                <w:szCs w:val="17"/>
              </w:rPr>
              <w:t xml:space="preserve"> - </w:t>
            </w:r>
          </w:p>
        </w:tc>
        <w:tc>
          <w:tcPr>
            <w:tcW w:w="992" w:type="dxa"/>
            <w:tcBorders>
              <w:top w:val="nil"/>
              <w:left w:val="nil"/>
              <w:bottom w:val="nil"/>
              <w:right w:val="nil"/>
            </w:tcBorders>
            <w:shd w:val="clear" w:color="auto" w:fill="auto"/>
            <w:noWrap/>
            <w:vAlign w:val="bottom"/>
          </w:tcPr>
          <w:p w14:paraId="27476EA9" w14:textId="77777777" w:rsidR="004E2F51" w:rsidRPr="004B4498" w:rsidRDefault="004E2F51" w:rsidP="00E032FC">
            <w:pPr>
              <w:jc w:val="right"/>
              <w:rPr>
                <w:rFonts w:ascii="Arial" w:hAnsi="Arial" w:cs="Arial"/>
                <w:color w:val="000000" w:themeColor="text1"/>
                <w:sz w:val="17"/>
                <w:szCs w:val="17"/>
                <w:lang w:val="hr-HR"/>
              </w:rPr>
            </w:pPr>
            <w:r w:rsidRPr="004B4498">
              <w:rPr>
                <w:rFonts w:ascii="Arial" w:hAnsi="Arial" w:cs="Arial"/>
                <w:sz w:val="17"/>
                <w:szCs w:val="17"/>
              </w:rPr>
              <w:t xml:space="preserve"> - </w:t>
            </w:r>
          </w:p>
        </w:tc>
        <w:tc>
          <w:tcPr>
            <w:tcW w:w="992" w:type="dxa"/>
            <w:tcBorders>
              <w:top w:val="nil"/>
              <w:left w:val="nil"/>
              <w:bottom w:val="nil"/>
              <w:right w:val="nil"/>
            </w:tcBorders>
            <w:shd w:val="clear" w:color="auto" w:fill="auto"/>
            <w:noWrap/>
            <w:vAlign w:val="bottom"/>
          </w:tcPr>
          <w:p w14:paraId="7A6D1C30" w14:textId="77777777" w:rsidR="004E2F51" w:rsidRPr="00C855D7" w:rsidRDefault="004E2F51" w:rsidP="00E032FC">
            <w:pPr>
              <w:jc w:val="right"/>
              <w:rPr>
                <w:rFonts w:ascii="Arial" w:hAnsi="Arial" w:cs="Arial"/>
                <w:b/>
                <w:bCs/>
                <w:color w:val="000000" w:themeColor="text1"/>
                <w:sz w:val="17"/>
                <w:szCs w:val="17"/>
                <w:lang w:val="hr-HR"/>
              </w:rPr>
            </w:pPr>
            <w:r w:rsidRPr="00C855D7">
              <w:rPr>
                <w:rFonts w:ascii="Arial" w:hAnsi="Arial" w:cs="Arial"/>
                <w:b/>
                <w:bCs/>
                <w:color w:val="000000" w:themeColor="text1"/>
                <w:sz w:val="17"/>
                <w:szCs w:val="17"/>
                <w:lang w:val="hr-HR"/>
              </w:rPr>
              <w:t xml:space="preserve"> 33.211 </w:t>
            </w:r>
          </w:p>
        </w:tc>
        <w:tc>
          <w:tcPr>
            <w:tcW w:w="992" w:type="dxa"/>
            <w:tcBorders>
              <w:top w:val="nil"/>
              <w:left w:val="nil"/>
              <w:bottom w:val="nil"/>
              <w:right w:val="nil"/>
            </w:tcBorders>
            <w:shd w:val="clear" w:color="auto" w:fill="auto"/>
            <w:noWrap/>
            <w:vAlign w:val="bottom"/>
          </w:tcPr>
          <w:p w14:paraId="46DF52A0" w14:textId="77777777" w:rsidR="004E2F51" w:rsidRPr="004B4498" w:rsidRDefault="004E2F51" w:rsidP="00E032FC">
            <w:pPr>
              <w:jc w:val="right"/>
              <w:rPr>
                <w:rFonts w:ascii="Arial" w:hAnsi="Arial" w:cs="Arial"/>
                <w:color w:val="000000" w:themeColor="text1"/>
                <w:sz w:val="17"/>
                <w:szCs w:val="17"/>
                <w:lang w:val="hr-HR"/>
              </w:rPr>
            </w:pPr>
            <w:r w:rsidRPr="00A3731F">
              <w:rPr>
                <w:rFonts w:ascii="Arial" w:hAnsi="Arial" w:cs="Arial"/>
                <w:color w:val="000000" w:themeColor="text1"/>
                <w:sz w:val="17"/>
                <w:szCs w:val="17"/>
                <w:lang w:val="hr-HR"/>
              </w:rPr>
              <w:t>10.597</w:t>
            </w:r>
          </w:p>
        </w:tc>
        <w:tc>
          <w:tcPr>
            <w:tcW w:w="992" w:type="dxa"/>
            <w:tcBorders>
              <w:top w:val="nil"/>
              <w:left w:val="nil"/>
              <w:bottom w:val="nil"/>
              <w:right w:val="nil"/>
            </w:tcBorders>
            <w:shd w:val="clear" w:color="auto" w:fill="auto"/>
            <w:noWrap/>
            <w:vAlign w:val="bottom"/>
          </w:tcPr>
          <w:p w14:paraId="0071A144" w14:textId="77777777" w:rsidR="004E2F51" w:rsidRPr="004B4498" w:rsidRDefault="004E2F51" w:rsidP="00E032FC">
            <w:pPr>
              <w:jc w:val="right"/>
              <w:rPr>
                <w:rFonts w:ascii="Arial" w:hAnsi="Arial" w:cs="Arial"/>
                <w:color w:val="000000" w:themeColor="text1"/>
                <w:sz w:val="17"/>
                <w:szCs w:val="17"/>
                <w:lang w:val="hr-HR"/>
              </w:rPr>
            </w:pPr>
            <w:r w:rsidRPr="004B4498">
              <w:rPr>
                <w:rFonts w:ascii="Arial" w:hAnsi="Arial" w:cs="Arial"/>
                <w:sz w:val="17"/>
                <w:szCs w:val="17"/>
              </w:rPr>
              <w:t xml:space="preserve"> - </w:t>
            </w:r>
          </w:p>
        </w:tc>
        <w:tc>
          <w:tcPr>
            <w:tcW w:w="992" w:type="dxa"/>
            <w:tcBorders>
              <w:top w:val="nil"/>
              <w:left w:val="nil"/>
              <w:bottom w:val="nil"/>
              <w:right w:val="nil"/>
            </w:tcBorders>
            <w:shd w:val="clear" w:color="auto" w:fill="auto"/>
            <w:noWrap/>
            <w:vAlign w:val="bottom"/>
          </w:tcPr>
          <w:p w14:paraId="224458B7" w14:textId="77777777" w:rsidR="004E2F51" w:rsidRPr="004B4498" w:rsidRDefault="004E2F51" w:rsidP="00E032FC">
            <w:pPr>
              <w:jc w:val="right"/>
              <w:rPr>
                <w:rFonts w:ascii="Arial" w:hAnsi="Arial" w:cs="Arial"/>
                <w:color w:val="000000" w:themeColor="text1"/>
                <w:sz w:val="17"/>
                <w:szCs w:val="17"/>
                <w:lang w:val="hr-HR"/>
              </w:rPr>
            </w:pPr>
            <w:r w:rsidRPr="004B4498">
              <w:rPr>
                <w:rFonts w:ascii="Arial" w:hAnsi="Arial" w:cs="Arial"/>
                <w:sz w:val="17"/>
                <w:szCs w:val="17"/>
              </w:rPr>
              <w:t xml:space="preserve"> - </w:t>
            </w:r>
          </w:p>
        </w:tc>
        <w:tc>
          <w:tcPr>
            <w:tcW w:w="992" w:type="dxa"/>
            <w:tcBorders>
              <w:top w:val="nil"/>
              <w:left w:val="nil"/>
              <w:bottom w:val="nil"/>
              <w:right w:val="nil"/>
            </w:tcBorders>
            <w:shd w:val="clear" w:color="auto" w:fill="auto"/>
            <w:noWrap/>
            <w:vAlign w:val="bottom"/>
          </w:tcPr>
          <w:p w14:paraId="330C2200" w14:textId="77777777" w:rsidR="004E2F51" w:rsidRPr="00A3731F" w:rsidRDefault="004E2F51" w:rsidP="00E032FC">
            <w:pPr>
              <w:jc w:val="right"/>
              <w:rPr>
                <w:rFonts w:ascii="Arial" w:hAnsi="Arial" w:cs="Arial"/>
                <w:b/>
                <w:bCs/>
                <w:color w:val="000000" w:themeColor="text1"/>
                <w:sz w:val="17"/>
                <w:szCs w:val="17"/>
                <w:lang w:val="hr-HR"/>
              </w:rPr>
            </w:pPr>
            <w:r w:rsidRPr="00A3731F">
              <w:rPr>
                <w:rFonts w:ascii="Arial" w:hAnsi="Arial" w:cs="Arial"/>
                <w:b/>
                <w:bCs/>
                <w:color w:val="000000" w:themeColor="text1"/>
                <w:sz w:val="17"/>
                <w:szCs w:val="17"/>
                <w:lang w:val="hr-HR"/>
              </w:rPr>
              <w:t>10.597</w:t>
            </w:r>
          </w:p>
        </w:tc>
      </w:tr>
      <w:tr w:rsidR="004E2F51" w:rsidRPr="00B44A61" w14:paraId="012F9EBE" w14:textId="77777777" w:rsidTr="00E032FC">
        <w:trPr>
          <w:trHeight w:val="324"/>
        </w:trPr>
        <w:tc>
          <w:tcPr>
            <w:tcW w:w="1843" w:type="dxa"/>
            <w:tcBorders>
              <w:top w:val="nil"/>
              <w:left w:val="nil"/>
              <w:bottom w:val="nil"/>
              <w:right w:val="nil"/>
            </w:tcBorders>
            <w:shd w:val="clear" w:color="auto" w:fill="auto"/>
            <w:noWrap/>
            <w:vAlign w:val="bottom"/>
            <w:hideMark/>
          </w:tcPr>
          <w:p w14:paraId="3B62E6BC" w14:textId="77777777" w:rsidR="004E2F51" w:rsidRPr="004B4498" w:rsidRDefault="004E2F51" w:rsidP="00E032FC">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Rezerviranja</w:t>
            </w:r>
          </w:p>
        </w:tc>
        <w:tc>
          <w:tcPr>
            <w:tcW w:w="992" w:type="dxa"/>
            <w:tcBorders>
              <w:top w:val="nil"/>
              <w:left w:val="nil"/>
              <w:bottom w:val="nil"/>
              <w:right w:val="nil"/>
            </w:tcBorders>
            <w:shd w:val="clear" w:color="auto" w:fill="auto"/>
            <w:noWrap/>
            <w:vAlign w:val="bottom"/>
          </w:tcPr>
          <w:p w14:paraId="5C3A94E2" w14:textId="77777777" w:rsidR="004E2F51" w:rsidRPr="004B4498" w:rsidRDefault="004E2F51" w:rsidP="00E032FC">
            <w:pPr>
              <w:jc w:val="right"/>
              <w:rPr>
                <w:rFonts w:ascii="Arial" w:hAnsi="Arial" w:cs="Arial"/>
                <w:color w:val="000000" w:themeColor="text1"/>
                <w:sz w:val="17"/>
                <w:szCs w:val="17"/>
                <w:lang w:val="hr-HR"/>
              </w:rPr>
            </w:pPr>
            <w:r w:rsidRPr="00A3731F">
              <w:rPr>
                <w:rFonts w:ascii="Arial" w:hAnsi="Arial" w:cs="Arial"/>
                <w:color w:val="000000" w:themeColor="text1"/>
                <w:sz w:val="17"/>
                <w:szCs w:val="17"/>
                <w:lang w:val="hr-HR"/>
              </w:rPr>
              <w:t xml:space="preserve"> (31)</w:t>
            </w:r>
          </w:p>
        </w:tc>
        <w:tc>
          <w:tcPr>
            <w:tcW w:w="992" w:type="dxa"/>
            <w:tcBorders>
              <w:top w:val="nil"/>
              <w:left w:val="nil"/>
              <w:bottom w:val="nil"/>
              <w:right w:val="nil"/>
            </w:tcBorders>
            <w:shd w:val="clear" w:color="auto" w:fill="auto"/>
            <w:noWrap/>
            <w:vAlign w:val="bottom"/>
          </w:tcPr>
          <w:p w14:paraId="4E6E9318" w14:textId="77777777" w:rsidR="004E2F51" w:rsidRPr="004B4498" w:rsidRDefault="004E2F51" w:rsidP="00E032FC">
            <w:pPr>
              <w:jc w:val="right"/>
              <w:rPr>
                <w:rFonts w:ascii="Arial" w:hAnsi="Arial" w:cs="Arial"/>
                <w:color w:val="000000" w:themeColor="text1"/>
                <w:sz w:val="17"/>
                <w:szCs w:val="17"/>
                <w:lang w:val="hr-HR"/>
              </w:rPr>
            </w:pPr>
            <w:r w:rsidRPr="004B4498">
              <w:rPr>
                <w:rFonts w:ascii="Arial" w:hAnsi="Arial" w:cs="Arial"/>
                <w:sz w:val="17"/>
                <w:szCs w:val="17"/>
              </w:rPr>
              <w:t xml:space="preserve"> - </w:t>
            </w:r>
          </w:p>
        </w:tc>
        <w:tc>
          <w:tcPr>
            <w:tcW w:w="992" w:type="dxa"/>
            <w:tcBorders>
              <w:top w:val="nil"/>
              <w:left w:val="nil"/>
              <w:bottom w:val="nil"/>
              <w:right w:val="nil"/>
            </w:tcBorders>
            <w:shd w:val="clear" w:color="auto" w:fill="auto"/>
            <w:noWrap/>
            <w:vAlign w:val="bottom"/>
          </w:tcPr>
          <w:p w14:paraId="030DD644" w14:textId="77777777" w:rsidR="004E2F51" w:rsidRPr="004B4498" w:rsidRDefault="004E2F51" w:rsidP="00E032FC">
            <w:pPr>
              <w:jc w:val="right"/>
              <w:rPr>
                <w:rFonts w:ascii="Arial" w:hAnsi="Arial" w:cs="Arial"/>
                <w:color w:val="000000" w:themeColor="text1"/>
                <w:sz w:val="17"/>
                <w:szCs w:val="17"/>
                <w:lang w:val="hr-HR"/>
              </w:rPr>
            </w:pPr>
            <w:r w:rsidRPr="004B4498">
              <w:rPr>
                <w:rFonts w:ascii="Arial" w:hAnsi="Arial" w:cs="Arial"/>
                <w:sz w:val="17"/>
                <w:szCs w:val="17"/>
              </w:rPr>
              <w:t xml:space="preserve"> - </w:t>
            </w:r>
          </w:p>
        </w:tc>
        <w:tc>
          <w:tcPr>
            <w:tcW w:w="992" w:type="dxa"/>
            <w:tcBorders>
              <w:top w:val="nil"/>
              <w:left w:val="nil"/>
              <w:bottom w:val="nil"/>
              <w:right w:val="nil"/>
            </w:tcBorders>
            <w:shd w:val="clear" w:color="auto" w:fill="auto"/>
            <w:noWrap/>
            <w:vAlign w:val="bottom"/>
          </w:tcPr>
          <w:p w14:paraId="44E19A50" w14:textId="77777777" w:rsidR="004E2F51" w:rsidRPr="00C855D7" w:rsidRDefault="004E2F51" w:rsidP="00E032FC">
            <w:pPr>
              <w:jc w:val="right"/>
              <w:rPr>
                <w:rFonts w:ascii="Arial" w:hAnsi="Arial" w:cs="Arial"/>
                <w:b/>
                <w:bCs/>
                <w:color w:val="000000" w:themeColor="text1"/>
                <w:sz w:val="17"/>
                <w:szCs w:val="17"/>
                <w:lang w:val="hr-HR"/>
              </w:rPr>
            </w:pPr>
            <w:r w:rsidRPr="00C855D7">
              <w:rPr>
                <w:rFonts w:ascii="Arial" w:hAnsi="Arial" w:cs="Arial"/>
                <w:b/>
                <w:bCs/>
                <w:color w:val="000000" w:themeColor="text1"/>
                <w:sz w:val="17"/>
                <w:szCs w:val="17"/>
                <w:lang w:val="hr-HR"/>
              </w:rPr>
              <w:t xml:space="preserve"> (31)</w:t>
            </w:r>
          </w:p>
        </w:tc>
        <w:tc>
          <w:tcPr>
            <w:tcW w:w="992" w:type="dxa"/>
            <w:tcBorders>
              <w:top w:val="nil"/>
              <w:left w:val="nil"/>
              <w:bottom w:val="nil"/>
              <w:right w:val="nil"/>
            </w:tcBorders>
            <w:shd w:val="clear" w:color="auto" w:fill="auto"/>
            <w:noWrap/>
            <w:vAlign w:val="bottom"/>
          </w:tcPr>
          <w:p w14:paraId="1DE9BDF7" w14:textId="77777777" w:rsidR="004E2F51" w:rsidRPr="004B4498" w:rsidRDefault="004E2F51" w:rsidP="00E032FC">
            <w:pPr>
              <w:jc w:val="right"/>
              <w:rPr>
                <w:rFonts w:ascii="Arial" w:hAnsi="Arial" w:cs="Arial"/>
                <w:color w:val="000000" w:themeColor="text1"/>
                <w:sz w:val="17"/>
                <w:szCs w:val="17"/>
                <w:lang w:val="hr-HR"/>
              </w:rPr>
            </w:pPr>
            <w:r w:rsidRPr="00A3731F">
              <w:rPr>
                <w:rFonts w:ascii="Arial" w:hAnsi="Arial" w:cs="Arial"/>
                <w:color w:val="000000" w:themeColor="text1"/>
                <w:sz w:val="17"/>
                <w:szCs w:val="17"/>
                <w:lang w:val="hr-HR"/>
              </w:rPr>
              <w:t>(1)</w:t>
            </w:r>
          </w:p>
        </w:tc>
        <w:tc>
          <w:tcPr>
            <w:tcW w:w="992" w:type="dxa"/>
            <w:tcBorders>
              <w:top w:val="nil"/>
              <w:left w:val="nil"/>
              <w:bottom w:val="nil"/>
              <w:right w:val="nil"/>
            </w:tcBorders>
            <w:shd w:val="clear" w:color="auto" w:fill="auto"/>
            <w:noWrap/>
            <w:vAlign w:val="bottom"/>
          </w:tcPr>
          <w:p w14:paraId="2B29817A" w14:textId="77777777" w:rsidR="004E2F51" w:rsidRPr="004B4498" w:rsidRDefault="004E2F51" w:rsidP="00E032FC">
            <w:pPr>
              <w:jc w:val="right"/>
              <w:rPr>
                <w:rFonts w:ascii="Arial" w:hAnsi="Arial" w:cs="Arial"/>
                <w:color w:val="000000" w:themeColor="text1"/>
                <w:sz w:val="17"/>
                <w:szCs w:val="17"/>
                <w:lang w:val="hr-HR"/>
              </w:rPr>
            </w:pPr>
            <w:r w:rsidRPr="004B4498">
              <w:rPr>
                <w:rFonts w:ascii="Arial" w:hAnsi="Arial" w:cs="Arial"/>
                <w:sz w:val="17"/>
                <w:szCs w:val="17"/>
              </w:rPr>
              <w:t xml:space="preserve"> - </w:t>
            </w:r>
          </w:p>
        </w:tc>
        <w:tc>
          <w:tcPr>
            <w:tcW w:w="992" w:type="dxa"/>
            <w:tcBorders>
              <w:top w:val="nil"/>
              <w:left w:val="nil"/>
              <w:bottom w:val="nil"/>
              <w:right w:val="nil"/>
            </w:tcBorders>
            <w:shd w:val="clear" w:color="auto" w:fill="auto"/>
            <w:noWrap/>
            <w:vAlign w:val="bottom"/>
          </w:tcPr>
          <w:p w14:paraId="7258E981" w14:textId="77777777" w:rsidR="004E2F51" w:rsidRPr="004B4498" w:rsidRDefault="004E2F51" w:rsidP="00E032FC">
            <w:pPr>
              <w:jc w:val="right"/>
              <w:rPr>
                <w:rFonts w:ascii="Arial" w:hAnsi="Arial" w:cs="Arial"/>
                <w:color w:val="000000" w:themeColor="text1"/>
                <w:sz w:val="17"/>
                <w:szCs w:val="17"/>
                <w:lang w:val="hr-HR"/>
              </w:rPr>
            </w:pPr>
            <w:r w:rsidRPr="004B4498">
              <w:rPr>
                <w:rFonts w:ascii="Arial" w:hAnsi="Arial" w:cs="Arial"/>
                <w:sz w:val="17"/>
                <w:szCs w:val="17"/>
              </w:rPr>
              <w:t xml:space="preserve"> - </w:t>
            </w:r>
          </w:p>
        </w:tc>
        <w:tc>
          <w:tcPr>
            <w:tcW w:w="992" w:type="dxa"/>
            <w:tcBorders>
              <w:top w:val="nil"/>
              <w:left w:val="nil"/>
              <w:bottom w:val="nil"/>
              <w:right w:val="nil"/>
            </w:tcBorders>
            <w:shd w:val="clear" w:color="auto" w:fill="auto"/>
            <w:noWrap/>
            <w:vAlign w:val="bottom"/>
          </w:tcPr>
          <w:p w14:paraId="5802DEF1" w14:textId="77777777" w:rsidR="004E2F51" w:rsidRPr="00A3731F" w:rsidRDefault="004E2F51" w:rsidP="00E032FC">
            <w:pPr>
              <w:jc w:val="right"/>
              <w:rPr>
                <w:rFonts w:ascii="Arial" w:hAnsi="Arial" w:cs="Arial"/>
                <w:b/>
                <w:bCs/>
                <w:color w:val="000000" w:themeColor="text1"/>
                <w:sz w:val="17"/>
                <w:szCs w:val="17"/>
                <w:lang w:val="hr-HR"/>
              </w:rPr>
            </w:pPr>
            <w:r w:rsidRPr="00A3731F">
              <w:rPr>
                <w:rFonts w:ascii="Arial" w:hAnsi="Arial" w:cs="Arial"/>
                <w:b/>
                <w:bCs/>
                <w:color w:val="000000" w:themeColor="text1"/>
                <w:sz w:val="17"/>
                <w:szCs w:val="17"/>
                <w:lang w:val="hr-HR"/>
              </w:rPr>
              <w:t>(1)</w:t>
            </w:r>
          </w:p>
        </w:tc>
      </w:tr>
      <w:tr w:rsidR="004E2F51" w:rsidRPr="00B44A61" w14:paraId="3DBC102F" w14:textId="77777777" w:rsidTr="00E032FC">
        <w:trPr>
          <w:trHeight w:val="548"/>
        </w:trPr>
        <w:tc>
          <w:tcPr>
            <w:tcW w:w="1843" w:type="dxa"/>
            <w:tcBorders>
              <w:top w:val="nil"/>
              <w:left w:val="nil"/>
              <w:bottom w:val="nil"/>
              <w:right w:val="nil"/>
            </w:tcBorders>
            <w:shd w:val="clear" w:color="auto" w:fill="auto"/>
            <w:noWrap/>
            <w:vAlign w:val="bottom"/>
            <w:hideMark/>
          </w:tcPr>
          <w:p w14:paraId="1AE994AD" w14:textId="77777777" w:rsidR="004E2F51" w:rsidRPr="004B4498" w:rsidRDefault="004E2F51" w:rsidP="00E032FC">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Stanje na dan </w:t>
            </w:r>
          </w:p>
          <w:p w14:paraId="0DF9666D" w14:textId="77777777" w:rsidR="004E2F51" w:rsidRPr="004B4498" w:rsidRDefault="004E2F51" w:rsidP="00E032FC">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31. prosinca 202</w:t>
            </w:r>
            <w:r>
              <w:rPr>
                <w:rFonts w:ascii="Arial" w:hAnsi="Arial" w:cs="Arial"/>
                <w:b/>
                <w:bCs/>
                <w:color w:val="000000" w:themeColor="text1"/>
                <w:sz w:val="17"/>
                <w:szCs w:val="17"/>
                <w:lang w:val="hr-HR"/>
              </w:rPr>
              <w:t>2</w:t>
            </w:r>
            <w:r w:rsidRPr="004B4498">
              <w:rPr>
                <w:rFonts w:ascii="Arial" w:hAnsi="Arial" w:cs="Arial"/>
                <w:b/>
                <w:bCs/>
                <w:color w:val="000000" w:themeColor="text1"/>
                <w:sz w:val="17"/>
                <w:szCs w:val="17"/>
                <w:lang w:val="hr-HR"/>
              </w:rPr>
              <w:t xml:space="preserve">.   </w:t>
            </w:r>
          </w:p>
        </w:tc>
        <w:tc>
          <w:tcPr>
            <w:tcW w:w="992" w:type="dxa"/>
            <w:tcBorders>
              <w:top w:val="single" w:sz="4" w:space="0" w:color="auto"/>
              <w:left w:val="nil"/>
              <w:bottom w:val="single" w:sz="12" w:space="0" w:color="auto"/>
              <w:right w:val="nil"/>
            </w:tcBorders>
            <w:shd w:val="clear" w:color="auto" w:fill="auto"/>
            <w:noWrap/>
            <w:vAlign w:val="bottom"/>
          </w:tcPr>
          <w:p w14:paraId="33DB1DB5" w14:textId="77777777" w:rsidR="004E2F51" w:rsidRPr="00A3731F" w:rsidRDefault="004E2F51" w:rsidP="00E032FC">
            <w:pPr>
              <w:jc w:val="right"/>
              <w:rPr>
                <w:rFonts w:ascii="Arial" w:hAnsi="Arial" w:cs="Arial"/>
                <w:b/>
                <w:bCs/>
                <w:color w:val="000000" w:themeColor="text1"/>
                <w:sz w:val="17"/>
                <w:szCs w:val="17"/>
                <w:lang w:val="hr-HR"/>
              </w:rPr>
            </w:pPr>
            <w:r w:rsidRPr="00A3731F">
              <w:rPr>
                <w:rFonts w:ascii="Arial" w:hAnsi="Arial" w:cs="Arial"/>
                <w:b/>
                <w:bCs/>
                <w:color w:val="000000" w:themeColor="text1"/>
                <w:sz w:val="17"/>
                <w:szCs w:val="17"/>
                <w:lang w:val="hr-HR"/>
              </w:rPr>
              <w:t xml:space="preserve"> 33.180 </w:t>
            </w:r>
          </w:p>
        </w:tc>
        <w:tc>
          <w:tcPr>
            <w:tcW w:w="992" w:type="dxa"/>
            <w:tcBorders>
              <w:top w:val="single" w:sz="4" w:space="0" w:color="auto"/>
              <w:left w:val="nil"/>
              <w:bottom w:val="single" w:sz="12" w:space="0" w:color="auto"/>
              <w:right w:val="nil"/>
            </w:tcBorders>
            <w:shd w:val="clear" w:color="auto" w:fill="auto"/>
            <w:noWrap/>
            <w:vAlign w:val="bottom"/>
          </w:tcPr>
          <w:p w14:paraId="780F6A20"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sz w:val="17"/>
                <w:szCs w:val="17"/>
              </w:rPr>
              <w:t xml:space="preserve"> - </w:t>
            </w:r>
          </w:p>
        </w:tc>
        <w:tc>
          <w:tcPr>
            <w:tcW w:w="992" w:type="dxa"/>
            <w:tcBorders>
              <w:top w:val="single" w:sz="4" w:space="0" w:color="auto"/>
              <w:left w:val="nil"/>
              <w:bottom w:val="single" w:sz="12" w:space="0" w:color="auto"/>
              <w:right w:val="nil"/>
            </w:tcBorders>
            <w:shd w:val="clear" w:color="auto" w:fill="auto"/>
            <w:noWrap/>
            <w:vAlign w:val="bottom"/>
          </w:tcPr>
          <w:p w14:paraId="02674D1F"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sz w:val="17"/>
                <w:szCs w:val="17"/>
              </w:rPr>
              <w:t xml:space="preserve"> - </w:t>
            </w:r>
          </w:p>
        </w:tc>
        <w:tc>
          <w:tcPr>
            <w:tcW w:w="992" w:type="dxa"/>
            <w:tcBorders>
              <w:top w:val="single" w:sz="4" w:space="0" w:color="auto"/>
              <w:left w:val="nil"/>
              <w:bottom w:val="single" w:sz="12" w:space="0" w:color="auto"/>
              <w:right w:val="nil"/>
            </w:tcBorders>
            <w:shd w:val="clear" w:color="auto" w:fill="auto"/>
            <w:noWrap/>
            <w:vAlign w:val="bottom"/>
          </w:tcPr>
          <w:p w14:paraId="500640F4" w14:textId="77777777" w:rsidR="004E2F51" w:rsidRPr="00C855D7" w:rsidRDefault="004E2F51" w:rsidP="00E032FC">
            <w:pPr>
              <w:jc w:val="right"/>
              <w:rPr>
                <w:rFonts w:ascii="Arial" w:hAnsi="Arial" w:cs="Arial"/>
                <w:b/>
                <w:bCs/>
                <w:color w:val="000000" w:themeColor="text1"/>
                <w:sz w:val="17"/>
                <w:szCs w:val="17"/>
                <w:lang w:val="hr-HR"/>
              </w:rPr>
            </w:pPr>
            <w:r w:rsidRPr="00C855D7">
              <w:rPr>
                <w:rFonts w:ascii="Arial" w:hAnsi="Arial" w:cs="Arial"/>
                <w:b/>
                <w:bCs/>
                <w:color w:val="000000" w:themeColor="text1"/>
                <w:sz w:val="17"/>
                <w:szCs w:val="17"/>
                <w:lang w:val="hr-HR"/>
              </w:rPr>
              <w:t xml:space="preserve"> 33.180 </w:t>
            </w:r>
          </w:p>
        </w:tc>
        <w:tc>
          <w:tcPr>
            <w:tcW w:w="992" w:type="dxa"/>
            <w:tcBorders>
              <w:top w:val="single" w:sz="4" w:space="0" w:color="auto"/>
              <w:left w:val="nil"/>
              <w:bottom w:val="single" w:sz="12" w:space="0" w:color="auto"/>
              <w:right w:val="nil"/>
            </w:tcBorders>
            <w:shd w:val="clear" w:color="auto" w:fill="auto"/>
            <w:noWrap/>
            <w:vAlign w:val="bottom"/>
          </w:tcPr>
          <w:p w14:paraId="1AF6AE4E" w14:textId="77777777" w:rsidR="004E2F51" w:rsidRPr="004B4498" w:rsidRDefault="004E2F51" w:rsidP="00E032FC">
            <w:pPr>
              <w:jc w:val="right"/>
              <w:rPr>
                <w:rFonts w:ascii="Arial" w:hAnsi="Arial" w:cs="Arial"/>
                <w:b/>
                <w:bCs/>
                <w:color w:val="000000" w:themeColor="text1"/>
                <w:sz w:val="17"/>
                <w:szCs w:val="17"/>
                <w:lang w:val="hr-HR"/>
              </w:rPr>
            </w:pPr>
            <w:r w:rsidRPr="00A3731F">
              <w:rPr>
                <w:rFonts w:ascii="Arial" w:hAnsi="Arial" w:cs="Arial"/>
                <w:b/>
                <w:bCs/>
                <w:color w:val="000000" w:themeColor="text1"/>
                <w:sz w:val="17"/>
                <w:szCs w:val="17"/>
                <w:lang w:val="hr-HR"/>
              </w:rPr>
              <w:t xml:space="preserve">10.596 </w:t>
            </w:r>
          </w:p>
        </w:tc>
        <w:tc>
          <w:tcPr>
            <w:tcW w:w="992" w:type="dxa"/>
            <w:tcBorders>
              <w:top w:val="single" w:sz="4" w:space="0" w:color="auto"/>
              <w:left w:val="nil"/>
              <w:bottom w:val="single" w:sz="12" w:space="0" w:color="auto"/>
              <w:right w:val="nil"/>
            </w:tcBorders>
            <w:shd w:val="clear" w:color="auto" w:fill="auto"/>
            <w:noWrap/>
            <w:vAlign w:val="bottom"/>
          </w:tcPr>
          <w:p w14:paraId="0489B2C4"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sz w:val="17"/>
                <w:szCs w:val="17"/>
              </w:rPr>
              <w:t xml:space="preserve"> - </w:t>
            </w:r>
          </w:p>
        </w:tc>
        <w:tc>
          <w:tcPr>
            <w:tcW w:w="992" w:type="dxa"/>
            <w:tcBorders>
              <w:top w:val="single" w:sz="4" w:space="0" w:color="auto"/>
              <w:left w:val="nil"/>
              <w:bottom w:val="single" w:sz="12" w:space="0" w:color="auto"/>
              <w:right w:val="nil"/>
            </w:tcBorders>
            <w:shd w:val="clear" w:color="auto" w:fill="auto"/>
            <w:noWrap/>
            <w:vAlign w:val="bottom"/>
          </w:tcPr>
          <w:p w14:paraId="319BC72C"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sz w:val="17"/>
                <w:szCs w:val="17"/>
              </w:rPr>
              <w:t xml:space="preserve"> - </w:t>
            </w:r>
          </w:p>
        </w:tc>
        <w:tc>
          <w:tcPr>
            <w:tcW w:w="992" w:type="dxa"/>
            <w:tcBorders>
              <w:top w:val="single" w:sz="4" w:space="0" w:color="auto"/>
              <w:left w:val="nil"/>
              <w:bottom w:val="single" w:sz="12" w:space="0" w:color="auto"/>
              <w:right w:val="nil"/>
            </w:tcBorders>
            <w:shd w:val="clear" w:color="auto" w:fill="auto"/>
            <w:noWrap/>
            <w:vAlign w:val="bottom"/>
          </w:tcPr>
          <w:p w14:paraId="40349EC7" w14:textId="77777777" w:rsidR="004E2F51" w:rsidRPr="00A3731F" w:rsidRDefault="004E2F51" w:rsidP="00E032FC">
            <w:pPr>
              <w:jc w:val="right"/>
              <w:rPr>
                <w:rFonts w:ascii="Arial" w:hAnsi="Arial" w:cs="Arial"/>
                <w:b/>
                <w:bCs/>
                <w:color w:val="000000" w:themeColor="text1"/>
                <w:sz w:val="17"/>
                <w:szCs w:val="17"/>
                <w:lang w:val="hr-HR"/>
              </w:rPr>
            </w:pPr>
            <w:r w:rsidRPr="00A3731F">
              <w:rPr>
                <w:rFonts w:ascii="Arial" w:hAnsi="Arial" w:cs="Arial"/>
                <w:b/>
                <w:bCs/>
                <w:color w:val="000000" w:themeColor="text1"/>
                <w:sz w:val="17"/>
                <w:szCs w:val="17"/>
                <w:lang w:val="hr-HR"/>
              </w:rPr>
              <w:t xml:space="preserve">10.596 </w:t>
            </w:r>
          </w:p>
        </w:tc>
      </w:tr>
    </w:tbl>
    <w:p w14:paraId="72C5B762" w14:textId="77777777" w:rsidR="004E2F51" w:rsidRDefault="004E2F51" w:rsidP="004E2F51">
      <w:pPr>
        <w:pStyle w:val="T1"/>
        <w:spacing w:before="0" w:after="0" w:line="240" w:lineRule="auto"/>
        <w:rPr>
          <w:rFonts w:cs="Arial"/>
          <w:color w:val="000000" w:themeColor="text1"/>
          <w:sz w:val="20"/>
          <w:lang w:val="hr-HR"/>
        </w:rPr>
      </w:pPr>
    </w:p>
    <w:p w14:paraId="2619226A" w14:textId="77777777" w:rsidR="004E2F51" w:rsidRPr="004B4498" w:rsidRDefault="004E2F51" w:rsidP="004E2F51">
      <w:pPr>
        <w:pStyle w:val="T1"/>
        <w:spacing w:before="0" w:after="0" w:line="240" w:lineRule="auto"/>
        <w:rPr>
          <w:rFonts w:cs="Arial"/>
          <w:color w:val="000000" w:themeColor="text1"/>
          <w:sz w:val="20"/>
          <w:lang w:val="hr-HR"/>
        </w:rPr>
      </w:pPr>
    </w:p>
    <w:p w14:paraId="2D4A0112" w14:textId="77777777" w:rsidR="004E2F51" w:rsidRDefault="004E2F51" w:rsidP="004E2F51">
      <w:pPr>
        <w:pStyle w:val="T1"/>
        <w:spacing w:before="0" w:after="0" w:line="240" w:lineRule="auto"/>
        <w:rPr>
          <w:rFonts w:cs="Arial"/>
          <w:color w:val="000000" w:themeColor="text1"/>
          <w:sz w:val="20"/>
          <w:lang w:val="hr-HR"/>
        </w:rPr>
      </w:pPr>
    </w:p>
    <w:tbl>
      <w:tblPr>
        <w:tblW w:w="9779" w:type="dxa"/>
        <w:tblLayout w:type="fixed"/>
        <w:tblLook w:val="04A0" w:firstRow="1" w:lastRow="0" w:firstColumn="1" w:lastColumn="0" w:noHBand="0" w:noVBand="1"/>
      </w:tblPr>
      <w:tblGrid>
        <w:gridCol w:w="1843"/>
        <w:gridCol w:w="992"/>
        <w:gridCol w:w="992"/>
        <w:gridCol w:w="992"/>
        <w:gridCol w:w="992"/>
        <w:gridCol w:w="992"/>
        <w:gridCol w:w="992"/>
        <w:gridCol w:w="992"/>
        <w:gridCol w:w="992"/>
      </w:tblGrid>
      <w:tr w:rsidR="004E2F51" w:rsidRPr="00B44A61" w14:paraId="2A1E32BF" w14:textId="77777777" w:rsidTr="00E032FC">
        <w:trPr>
          <w:trHeight w:val="178"/>
        </w:trPr>
        <w:tc>
          <w:tcPr>
            <w:tcW w:w="1843" w:type="dxa"/>
            <w:tcBorders>
              <w:top w:val="nil"/>
              <w:left w:val="nil"/>
              <w:bottom w:val="nil"/>
              <w:right w:val="nil"/>
            </w:tcBorders>
            <w:shd w:val="clear" w:color="auto" w:fill="auto"/>
            <w:noWrap/>
            <w:vAlign w:val="bottom"/>
            <w:hideMark/>
          </w:tcPr>
          <w:p w14:paraId="0B17CABC" w14:textId="77777777" w:rsidR="004E2F51" w:rsidRPr="004B4498" w:rsidRDefault="004E2F51" w:rsidP="00E032FC">
            <w:pPr>
              <w:rPr>
                <w:rFonts w:ascii="Arial" w:hAnsi="Arial" w:cs="Arial"/>
                <w:b/>
                <w:color w:val="000000" w:themeColor="text1"/>
                <w:sz w:val="17"/>
                <w:szCs w:val="17"/>
                <w:lang w:val="hr-HR"/>
              </w:rPr>
            </w:pPr>
            <w:r w:rsidRPr="004B4498">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1</w:t>
            </w:r>
            <w:r w:rsidRPr="004B4498">
              <w:rPr>
                <w:rFonts w:ascii="Arial" w:hAnsi="Arial" w:cs="Arial"/>
                <w:b/>
                <w:color w:val="000000" w:themeColor="text1"/>
                <w:sz w:val="17"/>
                <w:szCs w:val="17"/>
                <w:lang w:val="hr-HR"/>
              </w:rPr>
              <w:t>.</w:t>
            </w:r>
          </w:p>
        </w:tc>
        <w:tc>
          <w:tcPr>
            <w:tcW w:w="992" w:type="dxa"/>
            <w:tcBorders>
              <w:top w:val="nil"/>
              <w:left w:val="nil"/>
              <w:bottom w:val="nil"/>
              <w:right w:val="nil"/>
            </w:tcBorders>
            <w:shd w:val="clear" w:color="auto" w:fill="auto"/>
            <w:noWrap/>
            <w:vAlign w:val="bottom"/>
            <w:hideMark/>
          </w:tcPr>
          <w:p w14:paraId="2AC954CE" w14:textId="77777777" w:rsidR="004E2F51" w:rsidRPr="004B4498" w:rsidRDefault="004E2F51" w:rsidP="00E032FC">
            <w:pPr>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08C739C2" w14:textId="77777777" w:rsidR="004E2F51" w:rsidRPr="004B4498" w:rsidRDefault="004E2F51" w:rsidP="00E032FC">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5DFF6F90" w14:textId="77777777" w:rsidR="004E2F51" w:rsidRPr="004B4498" w:rsidRDefault="004E2F51" w:rsidP="00E032FC">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2B67C7F9"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Grupa</w:t>
            </w:r>
          </w:p>
        </w:tc>
        <w:tc>
          <w:tcPr>
            <w:tcW w:w="992" w:type="dxa"/>
            <w:tcBorders>
              <w:top w:val="nil"/>
              <w:left w:val="nil"/>
              <w:bottom w:val="nil"/>
              <w:right w:val="nil"/>
            </w:tcBorders>
            <w:shd w:val="clear" w:color="auto" w:fill="auto"/>
            <w:noWrap/>
            <w:vAlign w:val="bottom"/>
            <w:hideMark/>
          </w:tcPr>
          <w:p w14:paraId="476F5B12"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1605A38C" w14:textId="77777777" w:rsidR="004E2F51" w:rsidRPr="004B4498" w:rsidRDefault="004E2F51" w:rsidP="00E032FC">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715FFBD0" w14:textId="77777777" w:rsidR="004E2F51" w:rsidRPr="004B4498" w:rsidRDefault="004E2F51" w:rsidP="00E032FC">
            <w:pPr>
              <w:jc w:val="right"/>
              <w:rPr>
                <w:rFonts w:ascii="Arial" w:hAnsi="Arial" w:cs="Arial"/>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0A4C3F1F"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Banka</w:t>
            </w:r>
          </w:p>
        </w:tc>
      </w:tr>
      <w:tr w:rsidR="004E2F51" w:rsidRPr="00B44A61" w14:paraId="08E4799F" w14:textId="77777777" w:rsidTr="00E032FC">
        <w:trPr>
          <w:trHeight w:val="310"/>
        </w:trPr>
        <w:tc>
          <w:tcPr>
            <w:tcW w:w="1843" w:type="dxa"/>
            <w:tcBorders>
              <w:top w:val="nil"/>
              <w:left w:val="nil"/>
              <w:bottom w:val="nil"/>
              <w:right w:val="nil"/>
            </w:tcBorders>
            <w:shd w:val="clear" w:color="auto" w:fill="auto"/>
            <w:noWrap/>
            <w:vAlign w:val="bottom"/>
            <w:hideMark/>
          </w:tcPr>
          <w:p w14:paraId="638DA2D9"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4BAD5A63"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2" w:type="dxa"/>
            <w:tcBorders>
              <w:top w:val="nil"/>
              <w:left w:val="nil"/>
              <w:bottom w:val="nil"/>
              <w:right w:val="nil"/>
            </w:tcBorders>
            <w:shd w:val="clear" w:color="auto" w:fill="auto"/>
            <w:noWrap/>
            <w:vAlign w:val="bottom"/>
            <w:hideMark/>
          </w:tcPr>
          <w:p w14:paraId="547175F5"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2" w:type="dxa"/>
            <w:tcBorders>
              <w:top w:val="nil"/>
              <w:left w:val="nil"/>
              <w:bottom w:val="nil"/>
              <w:right w:val="nil"/>
            </w:tcBorders>
            <w:shd w:val="clear" w:color="auto" w:fill="auto"/>
            <w:noWrap/>
            <w:vAlign w:val="bottom"/>
            <w:hideMark/>
          </w:tcPr>
          <w:p w14:paraId="1FC72AB9"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2" w:type="dxa"/>
            <w:tcBorders>
              <w:top w:val="nil"/>
              <w:left w:val="nil"/>
              <w:bottom w:val="nil"/>
              <w:right w:val="nil"/>
            </w:tcBorders>
            <w:shd w:val="clear" w:color="auto" w:fill="auto"/>
            <w:noWrap/>
            <w:vAlign w:val="bottom"/>
            <w:hideMark/>
          </w:tcPr>
          <w:p w14:paraId="36BEB235"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c>
          <w:tcPr>
            <w:tcW w:w="992" w:type="dxa"/>
            <w:tcBorders>
              <w:top w:val="nil"/>
              <w:left w:val="nil"/>
              <w:bottom w:val="nil"/>
              <w:right w:val="nil"/>
            </w:tcBorders>
            <w:shd w:val="clear" w:color="auto" w:fill="auto"/>
            <w:noWrap/>
            <w:vAlign w:val="bottom"/>
            <w:hideMark/>
          </w:tcPr>
          <w:p w14:paraId="4CC75B2B"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2" w:type="dxa"/>
            <w:tcBorders>
              <w:top w:val="nil"/>
              <w:left w:val="nil"/>
              <w:bottom w:val="nil"/>
              <w:right w:val="nil"/>
            </w:tcBorders>
            <w:shd w:val="clear" w:color="auto" w:fill="auto"/>
            <w:noWrap/>
            <w:vAlign w:val="bottom"/>
            <w:hideMark/>
          </w:tcPr>
          <w:p w14:paraId="17015824"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2" w:type="dxa"/>
            <w:tcBorders>
              <w:top w:val="nil"/>
              <w:left w:val="nil"/>
              <w:bottom w:val="nil"/>
              <w:right w:val="nil"/>
            </w:tcBorders>
            <w:shd w:val="clear" w:color="auto" w:fill="auto"/>
            <w:noWrap/>
            <w:vAlign w:val="bottom"/>
            <w:hideMark/>
          </w:tcPr>
          <w:p w14:paraId="299F168D"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2" w:type="dxa"/>
            <w:tcBorders>
              <w:top w:val="nil"/>
              <w:left w:val="nil"/>
              <w:bottom w:val="nil"/>
              <w:right w:val="nil"/>
            </w:tcBorders>
            <w:shd w:val="clear" w:color="auto" w:fill="auto"/>
            <w:noWrap/>
            <w:vAlign w:val="bottom"/>
            <w:hideMark/>
          </w:tcPr>
          <w:p w14:paraId="5730DEE9"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r>
      <w:tr w:rsidR="004E2F51" w:rsidRPr="00B44A61" w14:paraId="1F8AE6F1" w14:textId="77777777" w:rsidTr="00E032FC">
        <w:trPr>
          <w:trHeight w:val="314"/>
        </w:trPr>
        <w:tc>
          <w:tcPr>
            <w:tcW w:w="1843" w:type="dxa"/>
            <w:tcBorders>
              <w:top w:val="nil"/>
              <w:left w:val="nil"/>
              <w:bottom w:val="nil"/>
              <w:right w:val="nil"/>
            </w:tcBorders>
            <w:shd w:val="clear" w:color="auto" w:fill="auto"/>
            <w:noWrap/>
            <w:vAlign w:val="bottom"/>
            <w:hideMark/>
          </w:tcPr>
          <w:p w14:paraId="401A8E98"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hideMark/>
          </w:tcPr>
          <w:p w14:paraId="55DD4225"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2" w:type="dxa"/>
            <w:tcBorders>
              <w:top w:val="nil"/>
              <w:left w:val="nil"/>
              <w:bottom w:val="nil"/>
              <w:right w:val="nil"/>
            </w:tcBorders>
            <w:shd w:val="clear" w:color="auto" w:fill="auto"/>
            <w:noWrap/>
            <w:vAlign w:val="bottom"/>
            <w:hideMark/>
          </w:tcPr>
          <w:p w14:paraId="243F78FC"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2" w:type="dxa"/>
            <w:tcBorders>
              <w:top w:val="nil"/>
              <w:left w:val="nil"/>
              <w:bottom w:val="nil"/>
              <w:right w:val="nil"/>
            </w:tcBorders>
            <w:shd w:val="clear" w:color="auto" w:fill="auto"/>
            <w:noWrap/>
            <w:vAlign w:val="bottom"/>
            <w:hideMark/>
          </w:tcPr>
          <w:p w14:paraId="32111278"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2" w:type="dxa"/>
            <w:tcBorders>
              <w:top w:val="nil"/>
              <w:left w:val="nil"/>
              <w:bottom w:val="nil"/>
              <w:right w:val="nil"/>
            </w:tcBorders>
            <w:shd w:val="clear" w:color="auto" w:fill="auto"/>
            <w:noWrap/>
            <w:vAlign w:val="bottom"/>
            <w:hideMark/>
          </w:tcPr>
          <w:p w14:paraId="53FE64E7"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2" w:type="dxa"/>
            <w:tcBorders>
              <w:top w:val="nil"/>
              <w:left w:val="nil"/>
              <w:bottom w:val="nil"/>
              <w:right w:val="nil"/>
            </w:tcBorders>
            <w:shd w:val="clear" w:color="auto" w:fill="auto"/>
            <w:noWrap/>
            <w:vAlign w:val="bottom"/>
            <w:hideMark/>
          </w:tcPr>
          <w:p w14:paraId="6171CD8E"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2" w:type="dxa"/>
            <w:tcBorders>
              <w:top w:val="nil"/>
              <w:left w:val="nil"/>
              <w:bottom w:val="nil"/>
              <w:right w:val="nil"/>
            </w:tcBorders>
            <w:shd w:val="clear" w:color="auto" w:fill="auto"/>
            <w:noWrap/>
            <w:vAlign w:val="bottom"/>
            <w:hideMark/>
          </w:tcPr>
          <w:p w14:paraId="65E7A00B"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2" w:type="dxa"/>
            <w:tcBorders>
              <w:top w:val="nil"/>
              <w:left w:val="nil"/>
              <w:bottom w:val="nil"/>
              <w:right w:val="nil"/>
            </w:tcBorders>
            <w:shd w:val="clear" w:color="auto" w:fill="auto"/>
            <w:noWrap/>
            <w:vAlign w:val="bottom"/>
            <w:hideMark/>
          </w:tcPr>
          <w:p w14:paraId="01F3AF93"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2" w:type="dxa"/>
            <w:tcBorders>
              <w:top w:val="nil"/>
              <w:left w:val="nil"/>
              <w:bottom w:val="nil"/>
              <w:right w:val="nil"/>
            </w:tcBorders>
            <w:shd w:val="clear" w:color="auto" w:fill="auto"/>
            <w:noWrap/>
            <w:vAlign w:val="bottom"/>
            <w:hideMark/>
          </w:tcPr>
          <w:p w14:paraId="7CA34B41"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r>
      <w:tr w:rsidR="004E2F51" w:rsidRPr="00B44A61" w14:paraId="09754BFB" w14:textId="77777777" w:rsidTr="00E032FC">
        <w:trPr>
          <w:trHeight w:val="184"/>
        </w:trPr>
        <w:tc>
          <w:tcPr>
            <w:tcW w:w="1843" w:type="dxa"/>
            <w:tcBorders>
              <w:top w:val="nil"/>
              <w:left w:val="nil"/>
              <w:bottom w:val="nil"/>
              <w:right w:val="nil"/>
            </w:tcBorders>
            <w:shd w:val="clear" w:color="auto" w:fill="auto"/>
            <w:noWrap/>
            <w:vAlign w:val="bottom"/>
          </w:tcPr>
          <w:p w14:paraId="2ECA6C5D"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26AC0A32"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310FF4E9"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4C3352D4"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67FD7417"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015B97D6"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31DC9B6C"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77435E4A" w14:textId="77777777" w:rsidR="004E2F51" w:rsidRPr="004B4498" w:rsidRDefault="004E2F51" w:rsidP="00E032FC">
            <w:pPr>
              <w:jc w:val="right"/>
              <w:rPr>
                <w:rFonts w:ascii="Arial" w:hAnsi="Arial" w:cs="Arial"/>
                <w:b/>
                <w:bCs/>
                <w:color w:val="000000" w:themeColor="text1"/>
                <w:sz w:val="17"/>
                <w:szCs w:val="17"/>
                <w:lang w:val="hr-HR"/>
              </w:rPr>
            </w:pPr>
          </w:p>
        </w:tc>
        <w:tc>
          <w:tcPr>
            <w:tcW w:w="992" w:type="dxa"/>
            <w:tcBorders>
              <w:top w:val="nil"/>
              <w:left w:val="nil"/>
              <w:bottom w:val="nil"/>
              <w:right w:val="nil"/>
            </w:tcBorders>
            <w:shd w:val="clear" w:color="auto" w:fill="auto"/>
            <w:noWrap/>
            <w:vAlign w:val="bottom"/>
          </w:tcPr>
          <w:p w14:paraId="6E854357" w14:textId="77777777" w:rsidR="004E2F51" w:rsidRPr="004B4498" w:rsidRDefault="004E2F51" w:rsidP="00E032FC">
            <w:pPr>
              <w:jc w:val="right"/>
              <w:rPr>
                <w:rFonts w:ascii="Arial" w:hAnsi="Arial" w:cs="Arial"/>
                <w:b/>
                <w:bCs/>
                <w:color w:val="000000" w:themeColor="text1"/>
                <w:sz w:val="17"/>
                <w:szCs w:val="17"/>
                <w:lang w:val="hr-HR"/>
              </w:rPr>
            </w:pPr>
          </w:p>
        </w:tc>
      </w:tr>
      <w:tr w:rsidR="004E2F51" w:rsidRPr="00B44A61" w14:paraId="29C261AA" w14:textId="77777777" w:rsidTr="00E032FC">
        <w:trPr>
          <w:trHeight w:val="319"/>
        </w:trPr>
        <w:tc>
          <w:tcPr>
            <w:tcW w:w="1843" w:type="dxa"/>
            <w:tcBorders>
              <w:top w:val="nil"/>
              <w:left w:val="nil"/>
              <w:bottom w:val="nil"/>
              <w:right w:val="nil"/>
            </w:tcBorders>
            <w:shd w:val="clear" w:color="auto" w:fill="auto"/>
            <w:noWrap/>
            <w:vAlign w:val="bottom"/>
            <w:hideMark/>
          </w:tcPr>
          <w:p w14:paraId="73F09AE5" w14:textId="77777777" w:rsidR="004E2F51" w:rsidRPr="004B4498" w:rsidRDefault="004E2F51" w:rsidP="00E032FC">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Bruto iznos</w:t>
            </w:r>
          </w:p>
        </w:tc>
        <w:tc>
          <w:tcPr>
            <w:tcW w:w="992" w:type="dxa"/>
            <w:tcBorders>
              <w:top w:val="nil"/>
              <w:left w:val="nil"/>
              <w:bottom w:val="nil"/>
              <w:right w:val="nil"/>
            </w:tcBorders>
            <w:shd w:val="clear" w:color="auto" w:fill="auto"/>
            <w:noWrap/>
            <w:vAlign w:val="bottom"/>
          </w:tcPr>
          <w:p w14:paraId="707344AA" w14:textId="77777777" w:rsidR="004E2F51" w:rsidRPr="00A3731F" w:rsidRDefault="004E2F51" w:rsidP="00E032FC">
            <w:pPr>
              <w:jc w:val="right"/>
              <w:rPr>
                <w:rFonts w:ascii="Arial" w:hAnsi="Arial" w:cs="Arial"/>
                <w:color w:val="000000" w:themeColor="text1"/>
                <w:sz w:val="17"/>
                <w:szCs w:val="17"/>
                <w:lang w:val="hr-HR"/>
              </w:rPr>
            </w:pPr>
            <w:r w:rsidRPr="00A3731F">
              <w:rPr>
                <w:rFonts w:ascii="Arial" w:hAnsi="Arial" w:cs="Arial"/>
                <w:sz w:val="17"/>
                <w:szCs w:val="17"/>
              </w:rPr>
              <w:t xml:space="preserve"> 7.501 </w:t>
            </w:r>
          </w:p>
        </w:tc>
        <w:tc>
          <w:tcPr>
            <w:tcW w:w="992" w:type="dxa"/>
            <w:tcBorders>
              <w:top w:val="nil"/>
              <w:left w:val="nil"/>
              <w:bottom w:val="nil"/>
              <w:right w:val="nil"/>
            </w:tcBorders>
            <w:shd w:val="clear" w:color="auto" w:fill="auto"/>
            <w:noWrap/>
            <w:vAlign w:val="bottom"/>
          </w:tcPr>
          <w:p w14:paraId="111E292B" w14:textId="77777777" w:rsidR="004E2F51" w:rsidRPr="00A3731F" w:rsidRDefault="004E2F51" w:rsidP="00E032FC">
            <w:pPr>
              <w:jc w:val="right"/>
              <w:rPr>
                <w:rFonts w:ascii="Arial" w:hAnsi="Arial" w:cs="Arial"/>
                <w:color w:val="000000" w:themeColor="text1"/>
                <w:sz w:val="17"/>
                <w:szCs w:val="17"/>
                <w:lang w:val="hr-HR"/>
              </w:rPr>
            </w:pPr>
            <w:r w:rsidRPr="00A3731F">
              <w:rPr>
                <w:rFonts w:ascii="Arial" w:hAnsi="Arial" w:cs="Arial"/>
                <w:sz w:val="17"/>
                <w:szCs w:val="17"/>
              </w:rPr>
              <w:t xml:space="preserve"> - </w:t>
            </w:r>
          </w:p>
        </w:tc>
        <w:tc>
          <w:tcPr>
            <w:tcW w:w="992" w:type="dxa"/>
            <w:tcBorders>
              <w:top w:val="nil"/>
              <w:left w:val="nil"/>
              <w:bottom w:val="nil"/>
              <w:right w:val="nil"/>
            </w:tcBorders>
            <w:shd w:val="clear" w:color="auto" w:fill="auto"/>
            <w:noWrap/>
            <w:vAlign w:val="bottom"/>
          </w:tcPr>
          <w:p w14:paraId="4D1E1064" w14:textId="77777777" w:rsidR="004E2F51" w:rsidRPr="00A3731F" w:rsidRDefault="004E2F51" w:rsidP="00E032FC">
            <w:pPr>
              <w:jc w:val="right"/>
              <w:rPr>
                <w:rFonts w:ascii="Arial" w:hAnsi="Arial" w:cs="Arial"/>
                <w:color w:val="000000" w:themeColor="text1"/>
                <w:sz w:val="17"/>
                <w:szCs w:val="17"/>
                <w:lang w:val="hr-HR"/>
              </w:rPr>
            </w:pPr>
            <w:r w:rsidRPr="00A3731F">
              <w:rPr>
                <w:rFonts w:ascii="Arial" w:hAnsi="Arial" w:cs="Arial"/>
                <w:sz w:val="17"/>
                <w:szCs w:val="17"/>
              </w:rPr>
              <w:t xml:space="preserve"> - </w:t>
            </w:r>
          </w:p>
        </w:tc>
        <w:tc>
          <w:tcPr>
            <w:tcW w:w="992" w:type="dxa"/>
            <w:tcBorders>
              <w:top w:val="nil"/>
              <w:left w:val="nil"/>
              <w:bottom w:val="nil"/>
              <w:right w:val="nil"/>
            </w:tcBorders>
            <w:shd w:val="clear" w:color="auto" w:fill="auto"/>
            <w:noWrap/>
            <w:vAlign w:val="bottom"/>
          </w:tcPr>
          <w:p w14:paraId="1567A7E5" w14:textId="77777777" w:rsidR="004E2F51" w:rsidRPr="00A3731F" w:rsidRDefault="004E2F51" w:rsidP="00E032FC">
            <w:pPr>
              <w:jc w:val="right"/>
              <w:rPr>
                <w:rFonts w:ascii="Arial" w:hAnsi="Arial" w:cs="Arial"/>
                <w:b/>
                <w:bCs/>
                <w:color w:val="000000" w:themeColor="text1"/>
                <w:sz w:val="17"/>
                <w:szCs w:val="17"/>
                <w:lang w:val="hr-HR"/>
              </w:rPr>
            </w:pPr>
            <w:r w:rsidRPr="00A3731F">
              <w:rPr>
                <w:rFonts w:ascii="Arial" w:hAnsi="Arial" w:cs="Arial"/>
                <w:b/>
                <w:bCs/>
                <w:sz w:val="17"/>
                <w:szCs w:val="17"/>
              </w:rPr>
              <w:t xml:space="preserve"> 7.501 </w:t>
            </w:r>
          </w:p>
        </w:tc>
        <w:tc>
          <w:tcPr>
            <w:tcW w:w="992" w:type="dxa"/>
            <w:tcBorders>
              <w:top w:val="nil"/>
              <w:left w:val="nil"/>
              <w:bottom w:val="nil"/>
              <w:right w:val="nil"/>
            </w:tcBorders>
            <w:shd w:val="clear" w:color="auto" w:fill="auto"/>
            <w:noWrap/>
            <w:vAlign w:val="bottom"/>
          </w:tcPr>
          <w:p w14:paraId="44A0AE52" w14:textId="77777777" w:rsidR="004E2F51" w:rsidRPr="00A3731F" w:rsidRDefault="004E2F51" w:rsidP="00E032FC">
            <w:pPr>
              <w:jc w:val="right"/>
              <w:rPr>
                <w:rFonts w:ascii="Arial" w:hAnsi="Arial" w:cs="Arial"/>
                <w:color w:val="000000" w:themeColor="text1"/>
                <w:sz w:val="17"/>
                <w:szCs w:val="17"/>
                <w:lang w:val="hr-HR"/>
              </w:rPr>
            </w:pPr>
            <w:r w:rsidRPr="00A3731F">
              <w:rPr>
                <w:rFonts w:ascii="Arial" w:hAnsi="Arial" w:cs="Arial"/>
                <w:sz w:val="17"/>
                <w:szCs w:val="17"/>
              </w:rPr>
              <w:t xml:space="preserve"> 7.501 </w:t>
            </w:r>
          </w:p>
        </w:tc>
        <w:tc>
          <w:tcPr>
            <w:tcW w:w="992" w:type="dxa"/>
            <w:tcBorders>
              <w:top w:val="nil"/>
              <w:left w:val="nil"/>
              <w:bottom w:val="nil"/>
              <w:right w:val="nil"/>
            </w:tcBorders>
            <w:shd w:val="clear" w:color="auto" w:fill="auto"/>
            <w:noWrap/>
            <w:vAlign w:val="bottom"/>
          </w:tcPr>
          <w:p w14:paraId="634C471E" w14:textId="77777777" w:rsidR="004E2F51" w:rsidRPr="00A3731F" w:rsidRDefault="004E2F51" w:rsidP="00E032FC">
            <w:pPr>
              <w:jc w:val="right"/>
              <w:rPr>
                <w:rFonts w:ascii="Arial" w:hAnsi="Arial" w:cs="Arial"/>
                <w:color w:val="000000" w:themeColor="text1"/>
                <w:sz w:val="17"/>
                <w:szCs w:val="17"/>
                <w:lang w:val="hr-HR"/>
              </w:rPr>
            </w:pPr>
            <w:r w:rsidRPr="00A3731F">
              <w:rPr>
                <w:rFonts w:ascii="Arial" w:hAnsi="Arial" w:cs="Arial"/>
                <w:sz w:val="17"/>
                <w:szCs w:val="17"/>
              </w:rPr>
              <w:t xml:space="preserve"> - </w:t>
            </w:r>
          </w:p>
        </w:tc>
        <w:tc>
          <w:tcPr>
            <w:tcW w:w="992" w:type="dxa"/>
            <w:tcBorders>
              <w:top w:val="nil"/>
              <w:left w:val="nil"/>
              <w:bottom w:val="nil"/>
              <w:right w:val="nil"/>
            </w:tcBorders>
            <w:shd w:val="clear" w:color="auto" w:fill="auto"/>
            <w:noWrap/>
            <w:vAlign w:val="bottom"/>
          </w:tcPr>
          <w:p w14:paraId="0051471C" w14:textId="77777777" w:rsidR="004E2F51" w:rsidRPr="00A3731F" w:rsidRDefault="004E2F51" w:rsidP="00E032FC">
            <w:pPr>
              <w:jc w:val="right"/>
              <w:rPr>
                <w:rFonts w:ascii="Arial" w:hAnsi="Arial" w:cs="Arial"/>
                <w:color w:val="000000" w:themeColor="text1"/>
                <w:sz w:val="17"/>
                <w:szCs w:val="17"/>
                <w:lang w:val="hr-HR"/>
              </w:rPr>
            </w:pPr>
            <w:r w:rsidRPr="00A3731F">
              <w:rPr>
                <w:rFonts w:ascii="Arial" w:hAnsi="Arial" w:cs="Arial"/>
                <w:sz w:val="17"/>
                <w:szCs w:val="17"/>
              </w:rPr>
              <w:t xml:space="preserve"> - </w:t>
            </w:r>
          </w:p>
        </w:tc>
        <w:tc>
          <w:tcPr>
            <w:tcW w:w="992" w:type="dxa"/>
            <w:tcBorders>
              <w:top w:val="nil"/>
              <w:left w:val="nil"/>
              <w:bottom w:val="nil"/>
              <w:right w:val="nil"/>
            </w:tcBorders>
            <w:shd w:val="clear" w:color="auto" w:fill="auto"/>
            <w:noWrap/>
            <w:vAlign w:val="bottom"/>
          </w:tcPr>
          <w:p w14:paraId="49219E4A" w14:textId="77777777" w:rsidR="004E2F51" w:rsidRPr="00A3731F" w:rsidRDefault="004E2F51" w:rsidP="00E032FC">
            <w:pPr>
              <w:jc w:val="right"/>
              <w:rPr>
                <w:rFonts w:ascii="Arial" w:hAnsi="Arial" w:cs="Arial"/>
                <w:b/>
                <w:bCs/>
                <w:color w:val="000000" w:themeColor="text1"/>
                <w:sz w:val="17"/>
                <w:szCs w:val="17"/>
                <w:lang w:val="hr-HR"/>
              </w:rPr>
            </w:pPr>
            <w:r w:rsidRPr="00A3731F">
              <w:rPr>
                <w:rFonts w:ascii="Arial" w:hAnsi="Arial" w:cs="Arial"/>
                <w:b/>
                <w:bCs/>
                <w:sz w:val="17"/>
                <w:szCs w:val="17"/>
              </w:rPr>
              <w:t xml:space="preserve"> 7.501 </w:t>
            </w:r>
          </w:p>
        </w:tc>
      </w:tr>
      <w:tr w:rsidR="004E2F51" w:rsidRPr="00B44A61" w14:paraId="75F0E617" w14:textId="77777777" w:rsidTr="00E032FC">
        <w:trPr>
          <w:trHeight w:val="324"/>
        </w:trPr>
        <w:tc>
          <w:tcPr>
            <w:tcW w:w="1843" w:type="dxa"/>
            <w:tcBorders>
              <w:top w:val="nil"/>
              <w:left w:val="nil"/>
              <w:bottom w:val="nil"/>
              <w:right w:val="nil"/>
            </w:tcBorders>
            <w:shd w:val="clear" w:color="auto" w:fill="auto"/>
            <w:noWrap/>
            <w:vAlign w:val="bottom"/>
            <w:hideMark/>
          </w:tcPr>
          <w:p w14:paraId="21298463" w14:textId="77777777" w:rsidR="004E2F51" w:rsidRPr="004B4498" w:rsidRDefault="004E2F51" w:rsidP="00E032FC">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Rezerviranja</w:t>
            </w:r>
          </w:p>
        </w:tc>
        <w:tc>
          <w:tcPr>
            <w:tcW w:w="992" w:type="dxa"/>
            <w:tcBorders>
              <w:top w:val="nil"/>
              <w:left w:val="nil"/>
              <w:bottom w:val="nil"/>
              <w:right w:val="nil"/>
            </w:tcBorders>
            <w:shd w:val="clear" w:color="auto" w:fill="auto"/>
            <w:noWrap/>
            <w:vAlign w:val="bottom"/>
          </w:tcPr>
          <w:p w14:paraId="50C88455" w14:textId="77777777" w:rsidR="004E2F51" w:rsidRPr="00A3731F" w:rsidRDefault="004E2F51" w:rsidP="00E032FC">
            <w:pPr>
              <w:jc w:val="right"/>
              <w:rPr>
                <w:rFonts w:ascii="Arial" w:hAnsi="Arial" w:cs="Arial"/>
                <w:color w:val="000000" w:themeColor="text1"/>
                <w:sz w:val="17"/>
                <w:szCs w:val="17"/>
                <w:lang w:val="hr-HR"/>
              </w:rPr>
            </w:pPr>
            <w:r w:rsidRPr="00A3731F">
              <w:rPr>
                <w:rFonts w:ascii="Arial" w:hAnsi="Arial" w:cs="Arial"/>
                <w:sz w:val="17"/>
                <w:szCs w:val="17"/>
              </w:rPr>
              <w:t xml:space="preserve"> (1)</w:t>
            </w:r>
          </w:p>
        </w:tc>
        <w:tc>
          <w:tcPr>
            <w:tcW w:w="992" w:type="dxa"/>
            <w:tcBorders>
              <w:top w:val="nil"/>
              <w:left w:val="nil"/>
              <w:bottom w:val="nil"/>
              <w:right w:val="nil"/>
            </w:tcBorders>
            <w:shd w:val="clear" w:color="auto" w:fill="auto"/>
            <w:noWrap/>
            <w:vAlign w:val="bottom"/>
          </w:tcPr>
          <w:p w14:paraId="37899DD3" w14:textId="77777777" w:rsidR="004E2F51" w:rsidRPr="00A3731F" w:rsidRDefault="004E2F51" w:rsidP="00E032FC">
            <w:pPr>
              <w:jc w:val="right"/>
              <w:rPr>
                <w:rFonts w:ascii="Arial" w:hAnsi="Arial" w:cs="Arial"/>
                <w:color w:val="000000" w:themeColor="text1"/>
                <w:sz w:val="17"/>
                <w:szCs w:val="17"/>
                <w:lang w:val="hr-HR"/>
              </w:rPr>
            </w:pPr>
            <w:r w:rsidRPr="00A3731F">
              <w:rPr>
                <w:rFonts w:ascii="Arial" w:hAnsi="Arial" w:cs="Arial"/>
                <w:sz w:val="17"/>
                <w:szCs w:val="17"/>
              </w:rPr>
              <w:t xml:space="preserve"> - </w:t>
            </w:r>
          </w:p>
        </w:tc>
        <w:tc>
          <w:tcPr>
            <w:tcW w:w="992" w:type="dxa"/>
            <w:tcBorders>
              <w:top w:val="nil"/>
              <w:left w:val="nil"/>
              <w:bottom w:val="nil"/>
              <w:right w:val="nil"/>
            </w:tcBorders>
            <w:shd w:val="clear" w:color="auto" w:fill="auto"/>
            <w:noWrap/>
            <w:vAlign w:val="bottom"/>
          </w:tcPr>
          <w:p w14:paraId="3578858A" w14:textId="77777777" w:rsidR="004E2F51" w:rsidRPr="00A3731F" w:rsidRDefault="004E2F51" w:rsidP="00E032FC">
            <w:pPr>
              <w:jc w:val="right"/>
              <w:rPr>
                <w:rFonts w:ascii="Arial" w:hAnsi="Arial" w:cs="Arial"/>
                <w:color w:val="000000" w:themeColor="text1"/>
                <w:sz w:val="17"/>
                <w:szCs w:val="17"/>
                <w:lang w:val="hr-HR"/>
              </w:rPr>
            </w:pPr>
            <w:r w:rsidRPr="00A3731F">
              <w:rPr>
                <w:rFonts w:ascii="Arial" w:hAnsi="Arial" w:cs="Arial"/>
                <w:sz w:val="17"/>
                <w:szCs w:val="17"/>
              </w:rPr>
              <w:t xml:space="preserve"> - </w:t>
            </w:r>
          </w:p>
        </w:tc>
        <w:tc>
          <w:tcPr>
            <w:tcW w:w="992" w:type="dxa"/>
            <w:tcBorders>
              <w:top w:val="nil"/>
              <w:left w:val="nil"/>
              <w:bottom w:val="nil"/>
              <w:right w:val="nil"/>
            </w:tcBorders>
            <w:shd w:val="clear" w:color="auto" w:fill="auto"/>
            <w:noWrap/>
            <w:vAlign w:val="bottom"/>
          </w:tcPr>
          <w:p w14:paraId="6BA7C976" w14:textId="77777777" w:rsidR="004E2F51" w:rsidRPr="00A3731F" w:rsidRDefault="004E2F51" w:rsidP="00E032FC">
            <w:pPr>
              <w:jc w:val="right"/>
              <w:rPr>
                <w:rFonts w:ascii="Arial" w:hAnsi="Arial" w:cs="Arial"/>
                <w:b/>
                <w:bCs/>
                <w:color w:val="000000" w:themeColor="text1"/>
                <w:sz w:val="17"/>
                <w:szCs w:val="17"/>
                <w:lang w:val="hr-HR"/>
              </w:rPr>
            </w:pPr>
            <w:r w:rsidRPr="00A3731F">
              <w:rPr>
                <w:rFonts w:ascii="Arial" w:hAnsi="Arial" w:cs="Arial"/>
                <w:b/>
                <w:bCs/>
                <w:sz w:val="17"/>
                <w:szCs w:val="17"/>
              </w:rPr>
              <w:t xml:space="preserve"> (1)</w:t>
            </w:r>
          </w:p>
        </w:tc>
        <w:tc>
          <w:tcPr>
            <w:tcW w:w="992" w:type="dxa"/>
            <w:tcBorders>
              <w:top w:val="nil"/>
              <w:left w:val="nil"/>
              <w:bottom w:val="nil"/>
              <w:right w:val="nil"/>
            </w:tcBorders>
            <w:shd w:val="clear" w:color="auto" w:fill="auto"/>
            <w:noWrap/>
            <w:vAlign w:val="bottom"/>
          </w:tcPr>
          <w:p w14:paraId="1EE894E7" w14:textId="77777777" w:rsidR="004E2F51" w:rsidRPr="00A3731F" w:rsidRDefault="004E2F51" w:rsidP="00E032FC">
            <w:pPr>
              <w:jc w:val="right"/>
              <w:rPr>
                <w:rFonts w:ascii="Arial" w:hAnsi="Arial" w:cs="Arial"/>
                <w:color w:val="000000" w:themeColor="text1"/>
                <w:sz w:val="17"/>
                <w:szCs w:val="17"/>
                <w:lang w:val="hr-HR"/>
              </w:rPr>
            </w:pPr>
            <w:r w:rsidRPr="00A3731F">
              <w:rPr>
                <w:rFonts w:ascii="Arial" w:hAnsi="Arial" w:cs="Arial"/>
                <w:sz w:val="17"/>
                <w:szCs w:val="17"/>
              </w:rPr>
              <w:t xml:space="preserve"> (1)</w:t>
            </w:r>
          </w:p>
        </w:tc>
        <w:tc>
          <w:tcPr>
            <w:tcW w:w="992" w:type="dxa"/>
            <w:tcBorders>
              <w:top w:val="nil"/>
              <w:left w:val="nil"/>
              <w:bottom w:val="nil"/>
              <w:right w:val="nil"/>
            </w:tcBorders>
            <w:shd w:val="clear" w:color="auto" w:fill="auto"/>
            <w:noWrap/>
            <w:vAlign w:val="bottom"/>
          </w:tcPr>
          <w:p w14:paraId="5BA51E16" w14:textId="77777777" w:rsidR="004E2F51" w:rsidRPr="00A3731F" w:rsidRDefault="004E2F51" w:rsidP="00E032FC">
            <w:pPr>
              <w:jc w:val="right"/>
              <w:rPr>
                <w:rFonts w:ascii="Arial" w:hAnsi="Arial" w:cs="Arial"/>
                <w:color w:val="000000" w:themeColor="text1"/>
                <w:sz w:val="17"/>
                <w:szCs w:val="17"/>
                <w:lang w:val="hr-HR"/>
              </w:rPr>
            </w:pPr>
            <w:r w:rsidRPr="00A3731F">
              <w:rPr>
                <w:rFonts w:ascii="Arial" w:hAnsi="Arial" w:cs="Arial"/>
                <w:sz w:val="17"/>
                <w:szCs w:val="17"/>
              </w:rPr>
              <w:t xml:space="preserve"> - </w:t>
            </w:r>
          </w:p>
        </w:tc>
        <w:tc>
          <w:tcPr>
            <w:tcW w:w="992" w:type="dxa"/>
            <w:tcBorders>
              <w:top w:val="nil"/>
              <w:left w:val="nil"/>
              <w:bottom w:val="nil"/>
              <w:right w:val="nil"/>
            </w:tcBorders>
            <w:shd w:val="clear" w:color="auto" w:fill="auto"/>
            <w:noWrap/>
            <w:vAlign w:val="bottom"/>
          </w:tcPr>
          <w:p w14:paraId="6880065C" w14:textId="77777777" w:rsidR="004E2F51" w:rsidRPr="00A3731F" w:rsidRDefault="004E2F51" w:rsidP="00E032FC">
            <w:pPr>
              <w:jc w:val="right"/>
              <w:rPr>
                <w:rFonts w:ascii="Arial" w:hAnsi="Arial" w:cs="Arial"/>
                <w:color w:val="000000" w:themeColor="text1"/>
                <w:sz w:val="17"/>
                <w:szCs w:val="17"/>
                <w:lang w:val="hr-HR"/>
              </w:rPr>
            </w:pPr>
            <w:r w:rsidRPr="00A3731F">
              <w:rPr>
                <w:rFonts w:ascii="Arial" w:hAnsi="Arial" w:cs="Arial"/>
                <w:sz w:val="17"/>
                <w:szCs w:val="17"/>
              </w:rPr>
              <w:t xml:space="preserve"> - </w:t>
            </w:r>
          </w:p>
        </w:tc>
        <w:tc>
          <w:tcPr>
            <w:tcW w:w="992" w:type="dxa"/>
            <w:tcBorders>
              <w:top w:val="nil"/>
              <w:left w:val="nil"/>
              <w:bottom w:val="nil"/>
              <w:right w:val="nil"/>
            </w:tcBorders>
            <w:shd w:val="clear" w:color="auto" w:fill="auto"/>
            <w:noWrap/>
            <w:vAlign w:val="bottom"/>
          </w:tcPr>
          <w:p w14:paraId="1280E57F" w14:textId="77777777" w:rsidR="004E2F51" w:rsidRPr="00A3731F" w:rsidRDefault="004E2F51" w:rsidP="00E032FC">
            <w:pPr>
              <w:jc w:val="right"/>
              <w:rPr>
                <w:rFonts w:ascii="Arial" w:hAnsi="Arial" w:cs="Arial"/>
                <w:b/>
                <w:bCs/>
                <w:color w:val="000000" w:themeColor="text1"/>
                <w:sz w:val="17"/>
                <w:szCs w:val="17"/>
                <w:lang w:val="hr-HR"/>
              </w:rPr>
            </w:pPr>
            <w:r w:rsidRPr="00A3731F">
              <w:rPr>
                <w:rFonts w:ascii="Arial" w:hAnsi="Arial" w:cs="Arial"/>
                <w:b/>
                <w:bCs/>
                <w:sz w:val="17"/>
                <w:szCs w:val="17"/>
              </w:rPr>
              <w:t xml:space="preserve"> (1)</w:t>
            </w:r>
          </w:p>
        </w:tc>
      </w:tr>
      <w:tr w:rsidR="004E2F51" w:rsidRPr="00B44A61" w14:paraId="1BEBA0C4" w14:textId="77777777" w:rsidTr="00E032FC">
        <w:trPr>
          <w:trHeight w:val="548"/>
        </w:trPr>
        <w:tc>
          <w:tcPr>
            <w:tcW w:w="1843" w:type="dxa"/>
            <w:tcBorders>
              <w:top w:val="nil"/>
              <w:left w:val="nil"/>
              <w:bottom w:val="nil"/>
              <w:right w:val="nil"/>
            </w:tcBorders>
            <w:shd w:val="clear" w:color="auto" w:fill="auto"/>
            <w:noWrap/>
            <w:vAlign w:val="bottom"/>
            <w:hideMark/>
          </w:tcPr>
          <w:p w14:paraId="35B7FFF6" w14:textId="77777777" w:rsidR="004E2F51" w:rsidRPr="004B4498" w:rsidRDefault="004E2F51" w:rsidP="00E032FC">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Stanje na dan </w:t>
            </w:r>
          </w:p>
          <w:p w14:paraId="6EE340BA" w14:textId="77777777" w:rsidR="004E2F51" w:rsidRPr="004B4498" w:rsidRDefault="004E2F51" w:rsidP="00E032FC">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31. prosinca 202</w:t>
            </w:r>
            <w:r>
              <w:rPr>
                <w:rFonts w:ascii="Arial" w:hAnsi="Arial" w:cs="Arial"/>
                <w:b/>
                <w:bCs/>
                <w:color w:val="000000" w:themeColor="text1"/>
                <w:sz w:val="17"/>
                <w:szCs w:val="17"/>
                <w:lang w:val="hr-HR"/>
              </w:rPr>
              <w:t>1</w:t>
            </w:r>
            <w:r w:rsidRPr="004B4498">
              <w:rPr>
                <w:rFonts w:ascii="Arial" w:hAnsi="Arial" w:cs="Arial"/>
                <w:b/>
                <w:bCs/>
                <w:color w:val="000000" w:themeColor="text1"/>
                <w:sz w:val="17"/>
                <w:szCs w:val="17"/>
                <w:lang w:val="hr-HR"/>
              </w:rPr>
              <w:t xml:space="preserve">.   </w:t>
            </w:r>
          </w:p>
        </w:tc>
        <w:tc>
          <w:tcPr>
            <w:tcW w:w="992" w:type="dxa"/>
            <w:tcBorders>
              <w:top w:val="single" w:sz="4" w:space="0" w:color="auto"/>
              <w:left w:val="nil"/>
              <w:bottom w:val="single" w:sz="12" w:space="0" w:color="auto"/>
              <w:right w:val="nil"/>
            </w:tcBorders>
            <w:shd w:val="clear" w:color="auto" w:fill="auto"/>
            <w:noWrap/>
            <w:vAlign w:val="bottom"/>
          </w:tcPr>
          <w:p w14:paraId="1F3720E6" w14:textId="77777777" w:rsidR="004E2F51" w:rsidRPr="009905B5" w:rsidRDefault="004E2F51" w:rsidP="00E032FC">
            <w:pPr>
              <w:jc w:val="right"/>
              <w:rPr>
                <w:rFonts w:ascii="Arial" w:hAnsi="Arial" w:cs="Arial"/>
                <w:b/>
                <w:bCs/>
                <w:color w:val="000000" w:themeColor="text1"/>
                <w:sz w:val="17"/>
                <w:szCs w:val="17"/>
                <w:lang w:val="hr-HR"/>
              </w:rPr>
            </w:pPr>
            <w:r w:rsidRPr="009905B5">
              <w:rPr>
                <w:rFonts w:ascii="Arial" w:hAnsi="Arial" w:cs="Arial"/>
                <w:b/>
                <w:bCs/>
                <w:sz w:val="17"/>
                <w:szCs w:val="17"/>
              </w:rPr>
              <w:t xml:space="preserve"> 7.500 </w:t>
            </w:r>
          </w:p>
        </w:tc>
        <w:tc>
          <w:tcPr>
            <w:tcW w:w="992" w:type="dxa"/>
            <w:tcBorders>
              <w:top w:val="single" w:sz="4" w:space="0" w:color="auto"/>
              <w:left w:val="nil"/>
              <w:bottom w:val="single" w:sz="12" w:space="0" w:color="auto"/>
              <w:right w:val="nil"/>
            </w:tcBorders>
            <w:shd w:val="clear" w:color="auto" w:fill="auto"/>
            <w:noWrap/>
            <w:vAlign w:val="bottom"/>
          </w:tcPr>
          <w:p w14:paraId="20F5DED0" w14:textId="77777777" w:rsidR="004E2F51" w:rsidRPr="009905B5" w:rsidRDefault="004E2F51" w:rsidP="00E032FC">
            <w:pPr>
              <w:jc w:val="right"/>
              <w:rPr>
                <w:rFonts w:ascii="Arial" w:hAnsi="Arial" w:cs="Arial"/>
                <w:b/>
                <w:bCs/>
                <w:color w:val="000000" w:themeColor="text1"/>
                <w:sz w:val="17"/>
                <w:szCs w:val="17"/>
                <w:lang w:val="hr-HR"/>
              </w:rPr>
            </w:pPr>
            <w:r w:rsidRPr="009905B5">
              <w:rPr>
                <w:rFonts w:ascii="Arial" w:hAnsi="Arial" w:cs="Arial"/>
                <w:b/>
                <w:bCs/>
                <w:sz w:val="17"/>
                <w:szCs w:val="17"/>
              </w:rPr>
              <w:t xml:space="preserve"> - </w:t>
            </w:r>
          </w:p>
        </w:tc>
        <w:tc>
          <w:tcPr>
            <w:tcW w:w="992" w:type="dxa"/>
            <w:tcBorders>
              <w:top w:val="single" w:sz="4" w:space="0" w:color="auto"/>
              <w:left w:val="nil"/>
              <w:bottom w:val="single" w:sz="12" w:space="0" w:color="auto"/>
              <w:right w:val="nil"/>
            </w:tcBorders>
            <w:shd w:val="clear" w:color="auto" w:fill="auto"/>
            <w:noWrap/>
            <w:vAlign w:val="bottom"/>
          </w:tcPr>
          <w:p w14:paraId="1371A170" w14:textId="77777777" w:rsidR="004E2F51" w:rsidRPr="009905B5" w:rsidRDefault="004E2F51" w:rsidP="00E032FC">
            <w:pPr>
              <w:jc w:val="right"/>
              <w:rPr>
                <w:rFonts w:ascii="Arial" w:hAnsi="Arial" w:cs="Arial"/>
                <w:b/>
                <w:bCs/>
                <w:color w:val="000000" w:themeColor="text1"/>
                <w:sz w:val="17"/>
                <w:szCs w:val="17"/>
                <w:lang w:val="hr-HR"/>
              </w:rPr>
            </w:pPr>
            <w:r w:rsidRPr="009905B5">
              <w:rPr>
                <w:rFonts w:ascii="Arial" w:hAnsi="Arial" w:cs="Arial"/>
                <w:b/>
                <w:bCs/>
                <w:sz w:val="17"/>
                <w:szCs w:val="17"/>
              </w:rPr>
              <w:t xml:space="preserve"> - </w:t>
            </w:r>
          </w:p>
        </w:tc>
        <w:tc>
          <w:tcPr>
            <w:tcW w:w="992" w:type="dxa"/>
            <w:tcBorders>
              <w:top w:val="single" w:sz="4" w:space="0" w:color="auto"/>
              <w:left w:val="nil"/>
              <w:bottom w:val="single" w:sz="12" w:space="0" w:color="auto"/>
              <w:right w:val="nil"/>
            </w:tcBorders>
            <w:shd w:val="clear" w:color="auto" w:fill="auto"/>
            <w:noWrap/>
            <w:vAlign w:val="bottom"/>
          </w:tcPr>
          <w:p w14:paraId="094B114B" w14:textId="77777777" w:rsidR="004E2F51" w:rsidRPr="009905B5" w:rsidRDefault="004E2F51" w:rsidP="00E032FC">
            <w:pPr>
              <w:jc w:val="right"/>
              <w:rPr>
                <w:rFonts w:ascii="Arial" w:hAnsi="Arial" w:cs="Arial"/>
                <w:b/>
                <w:bCs/>
                <w:color w:val="000000" w:themeColor="text1"/>
                <w:sz w:val="17"/>
                <w:szCs w:val="17"/>
                <w:lang w:val="hr-HR"/>
              </w:rPr>
            </w:pPr>
            <w:r w:rsidRPr="009905B5">
              <w:rPr>
                <w:rFonts w:ascii="Arial" w:hAnsi="Arial" w:cs="Arial"/>
                <w:b/>
                <w:bCs/>
                <w:sz w:val="17"/>
                <w:szCs w:val="17"/>
              </w:rPr>
              <w:t xml:space="preserve"> 7.500 </w:t>
            </w:r>
          </w:p>
        </w:tc>
        <w:tc>
          <w:tcPr>
            <w:tcW w:w="992" w:type="dxa"/>
            <w:tcBorders>
              <w:top w:val="single" w:sz="4" w:space="0" w:color="auto"/>
              <w:left w:val="nil"/>
              <w:bottom w:val="single" w:sz="12" w:space="0" w:color="auto"/>
              <w:right w:val="nil"/>
            </w:tcBorders>
            <w:shd w:val="clear" w:color="auto" w:fill="auto"/>
            <w:noWrap/>
            <w:vAlign w:val="bottom"/>
          </w:tcPr>
          <w:p w14:paraId="1FE3284A" w14:textId="77777777" w:rsidR="004E2F51" w:rsidRPr="009905B5" w:rsidRDefault="004E2F51" w:rsidP="00E032FC">
            <w:pPr>
              <w:jc w:val="right"/>
              <w:rPr>
                <w:rFonts w:ascii="Arial" w:hAnsi="Arial" w:cs="Arial"/>
                <w:b/>
                <w:bCs/>
                <w:color w:val="000000" w:themeColor="text1"/>
                <w:sz w:val="17"/>
                <w:szCs w:val="17"/>
                <w:lang w:val="hr-HR"/>
              </w:rPr>
            </w:pPr>
            <w:r w:rsidRPr="009905B5">
              <w:rPr>
                <w:rFonts w:ascii="Arial" w:hAnsi="Arial" w:cs="Arial"/>
                <w:b/>
                <w:bCs/>
                <w:sz w:val="17"/>
                <w:szCs w:val="17"/>
              </w:rPr>
              <w:t xml:space="preserve"> 7.500 </w:t>
            </w:r>
          </w:p>
        </w:tc>
        <w:tc>
          <w:tcPr>
            <w:tcW w:w="992" w:type="dxa"/>
            <w:tcBorders>
              <w:top w:val="single" w:sz="4" w:space="0" w:color="auto"/>
              <w:left w:val="nil"/>
              <w:bottom w:val="single" w:sz="12" w:space="0" w:color="auto"/>
              <w:right w:val="nil"/>
            </w:tcBorders>
            <w:shd w:val="clear" w:color="auto" w:fill="auto"/>
            <w:noWrap/>
            <w:vAlign w:val="bottom"/>
          </w:tcPr>
          <w:p w14:paraId="688D61A4" w14:textId="77777777" w:rsidR="004E2F51" w:rsidRPr="009905B5" w:rsidRDefault="004E2F51" w:rsidP="00E032FC">
            <w:pPr>
              <w:jc w:val="right"/>
              <w:rPr>
                <w:rFonts w:ascii="Arial" w:hAnsi="Arial" w:cs="Arial"/>
                <w:b/>
                <w:bCs/>
                <w:color w:val="000000" w:themeColor="text1"/>
                <w:sz w:val="17"/>
                <w:szCs w:val="17"/>
                <w:lang w:val="hr-HR"/>
              </w:rPr>
            </w:pPr>
            <w:r w:rsidRPr="009905B5">
              <w:rPr>
                <w:rFonts w:ascii="Arial" w:hAnsi="Arial" w:cs="Arial"/>
                <w:b/>
                <w:bCs/>
                <w:sz w:val="17"/>
                <w:szCs w:val="17"/>
              </w:rPr>
              <w:t xml:space="preserve"> - </w:t>
            </w:r>
          </w:p>
        </w:tc>
        <w:tc>
          <w:tcPr>
            <w:tcW w:w="992" w:type="dxa"/>
            <w:tcBorders>
              <w:top w:val="single" w:sz="4" w:space="0" w:color="auto"/>
              <w:left w:val="nil"/>
              <w:bottom w:val="single" w:sz="12" w:space="0" w:color="auto"/>
              <w:right w:val="nil"/>
            </w:tcBorders>
            <w:shd w:val="clear" w:color="auto" w:fill="auto"/>
            <w:noWrap/>
            <w:vAlign w:val="bottom"/>
          </w:tcPr>
          <w:p w14:paraId="12E7CAB7" w14:textId="77777777" w:rsidR="004E2F51" w:rsidRPr="009905B5" w:rsidRDefault="004E2F51" w:rsidP="00E032FC">
            <w:pPr>
              <w:jc w:val="right"/>
              <w:rPr>
                <w:rFonts w:ascii="Arial" w:hAnsi="Arial" w:cs="Arial"/>
                <w:b/>
                <w:bCs/>
                <w:color w:val="000000" w:themeColor="text1"/>
                <w:sz w:val="17"/>
                <w:szCs w:val="17"/>
                <w:lang w:val="hr-HR"/>
              </w:rPr>
            </w:pPr>
            <w:r w:rsidRPr="009905B5">
              <w:rPr>
                <w:rFonts w:ascii="Arial" w:hAnsi="Arial" w:cs="Arial"/>
                <w:b/>
                <w:bCs/>
                <w:sz w:val="17"/>
                <w:szCs w:val="17"/>
              </w:rPr>
              <w:t xml:space="preserve"> - </w:t>
            </w:r>
          </w:p>
        </w:tc>
        <w:tc>
          <w:tcPr>
            <w:tcW w:w="992" w:type="dxa"/>
            <w:tcBorders>
              <w:top w:val="single" w:sz="4" w:space="0" w:color="auto"/>
              <w:left w:val="nil"/>
              <w:bottom w:val="single" w:sz="12" w:space="0" w:color="auto"/>
              <w:right w:val="nil"/>
            </w:tcBorders>
            <w:shd w:val="clear" w:color="auto" w:fill="auto"/>
            <w:noWrap/>
            <w:vAlign w:val="bottom"/>
          </w:tcPr>
          <w:p w14:paraId="615884CD" w14:textId="77777777" w:rsidR="004E2F51" w:rsidRPr="009905B5" w:rsidRDefault="004E2F51" w:rsidP="00E032FC">
            <w:pPr>
              <w:jc w:val="right"/>
              <w:rPr>
                <w:rFonts w:ascii="Arial" w:hAnsi="Arial" w:cs="Arial"/>
                <w:b/>
                <w:bCs/>
                <w:color w:val="000000" w:themeColor="text1"/>
                <w:sz w:val="17"/>
                <w:szCs w:val="17"/>
                <w:lang w:val="hr-HR"/>
              </w:rPr>
            </w:pPr>
            <w:r w:rsidRPr="009905B5">
              <w:rPr>
                <w:rFonts w:ascii="Arial" w:hAnsi="Arial" w:cs="Arial"/>
                <w:b/>
                <w:bCs/>
                <w:sz w:val="17"/>
                <w:szCs w:val="17"/>
              </w:rPr>
              <w:t xml:space="preserve"> 7.500 </w:t>
            </w:r>
          </w:p>
        </w:tc>
      </w:tr>
    </w:tbl>
    <w:p w14:paraId="39832F15" w14:textId="77777777" w:rsidR="004E2F51" w:rsidRDefault="004E2F51" w:rsidP="004E2F51">
      <w:pPr>
        <w:pStyle w:val="T1"/>
        <w:spacing w:before="0" w:after="0" w:line="240" w:lineRule="auto"/>
        <w:rPr>
          <w:rFonts w:cs="Arial"/>
          <w:color w:val="000000" w:themeColor="text1"/>
          <w:sz w:val="20"/>
          <w:lang w:val="hr-HR"/>
        </w:rPr>
      </w:pPr>
    </w:p>
    <w:p w14:paraId="78B21516" w14:textId="77777777" w:rsidR="004E2F51" w:rsidRPr="004B4498" w:rsidRDefault="004E2F51" w:rsidP="004E2F51">
      <w:pPr>
        <w:pStyle w:val="T1"/>
        <w:spacing w:before="0" w:after="0" w:line="240" w:lineRule="auto"/>
        <w:rPr>
          <w:rFonts w:cs="Arial"/>
          <w:color w:val="000000" w:themeColor="text1"/>
          <w:sz w:val="20"/>
          <w:lang w:val="hr-HR"/>
        </w:rPr>
      </w:pPr>
    </w:p>
    <w:p w14:paraId="62DFF2BD" w14:textId="77777777" w:rsidR="004E2F51" w:rsidRPr="004B4498" w:rsidRDefault="004E2F51" w:rsidP="004E2F51">
      <w:pPr>
        <w:pStyle w:val="T1"/>
        <w:spacing w:before="0" w:after="0" w:line="240" w:lineRule="auto"/>
        <w:rPr>
          <w:rFonts w:cs="Arial"/>
          <w:color w:val="000000" w:themeColor="text1"/>
          <w:sz w:val="20"/>
          <w:lang w:val="hr-HR"/>
        </w:rPr>
      </w:pPr>
    </w:p>
    <w:p w14:paraId="44701F57" w14:textId="77777777" w:rsidR="004E2F51" w:rsidRPr="00B91D09" w:rsidRDefault="004E2F51" w:rsidP="004E2F51">
      <w:pPr>
        <w:pStyle w:val="T1"/>
        <w:spacing w:before="0" w:after="0" w:line="240" w:lineRule="auto"/>
        <w:rPr>
          <w:rFonts w:cs="Arial"/>
          <w:color w:val="000000" w:themeColor="text1"/>
          <w:sz w:val="22"/>
          <w:szCs w:val="22"/>
          <w:lang w:val="hr-HR"/>
        </w:rPr>
      </w:pPr>
    </w:p>
    <w:p w14:paraId="1C6F2EEA" w14:textId="77777777" w:rsidR="004E2F51" w:rsidRPr="00B91D09" w:rsidRDefault="004E2F51" w:rsidP="004E2F51">
      <w:pPr>
        <w:pStyle w:val="T1"/>
        <w:spacing w:before="0" w:after="0" w:line="240" w:lineRule="auto"/>
        <w:rPr>
          <w:rFonts w:cs="Arial"/>
          <w:color w:val="000000" w:themeColor="text1"/>
          <w:sz w:val="22"/>
          <w:szCs w:val="22"/>
          <w:lang w:val="hr-HR"/>
        </w:rPr>
        <w:sectPr w:rsidR="004E2F51" w:rsidRPr="00B91D09" w:rsidSect="00623DBA">
          <w:footerReference w:type="default" r:id="rId121"/>
          <w:pgSz w:w="11907" w:h="16840" w:code="9"/>
          <w:pgMar w:top="1418" w:right="1134" w:bottom="1134" w:left="1418" w:header="851" w:footer="851" w:gutter="0"/>
          <w:cols w:space="720"/>
          <w:noEndnote/>
        </w:sectPr>
      </w:pPr>
    </w:p>
    <w:p w14:paraId="70678678" w14:textId="77777777" w:rsidR="004E2F51" w:rsidRPr="00B91D09" w:rsidRDefault="004E2F51" w:rsidP="004E2F51">
      <w:pPr>
        <w:pStyle w:val="T1"/>
        <w:spacing w:before="0" w:after="0" w:line="240" w:lineRule="auto"/>
        <w:rPr>
          <w:rFonts w:cs="Arial"/>
          <w:color w:val="000000" w:themeColor="text1"/>
          <w:sz w:val="22"/>
          <w:szCs w:val="22"/>
          <w:lang w:val="hr-HR"/>
        </w:rPr>
      </w:pPr>
    </w:p>
    <w:p w14:paraId="4E9EA407"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13.</w:t>
      </w:r>
      <w:r w:rsidRPr="004B4498">
        <w:rPr>
          <w:rFonts w:cs="Arial"/>
          <w:color w:val="000000" w:themeColor="text1"/>
          <w:sz w:val="20"/>
          <w:lang w:val="hr-HR"/>
        </w:rPr>
        <w:tab/>
        <w:t>Depoziti kod drugih banaka (nastavak)</w:t>
      </w:r>
    </w:p>
    <w:p w14:paraId="370772E4" w14:textId="77777777" w:rsidR="004E2F51" w:rsidRPr="004B4498" w:rsidRDefault="004E2F51" w:rsidP="004E2F51">
      <w:pPr>
        <w:pStyle w:val="T1"/>
        <w:spacing w:before="0" w:after="0" w:line="240" w:lineRule="auto"/>
        <w:rPr>
          <w:rFonts w:cs="Arial"/>
          <w:color w:val="000000" w:themeColor="text1"/>
          <w:sz w:val="20"/>
          <w:lang w:val="hr-HR"/>
        </w:rPr>
      </w:pPr>
    </w:p>
    <w:p w14:paraId="33CF6035" w14:textId="77777777" w:rsidR="004E2F51" w:rsidRPr="004B4498" w:rsidRDefault="004E2F51" w:rsidP="004E2F51">
      <w:pPr>
        <w:pStyle w:val="T1"/>
        <w:spacing w:before="0" w:line="240" w:lineRule="auto"/>
        <w:rPr>
          <w:rFonts w:cs="Arial"/>
          <w:b w:val="0"/>
          <w:bCs w:val="0"/>
          <w:color w:val="000000" w:themeColor="text1"/>
          <w:sz w:val="20"/>
          <w:lang w:val="hr-HR"/>
        </w:rPr>
      </w:pPr>
      <w:r w:rsidRPr="004B4498">
        <w:rPr>
          <w:rFonts w:cs="Arial"/>
          <w:b w:val="0"/>
          <w:bCs w:val="0"/>
          <w:color w:val="000000" w:themeColor="text1"/>
          <w:sz w:val="20"/>
          <w:lang w:val="hr-HR"/>
        </w:rPr>
        <w:t>Promjene na rezerviranjima za očekivane gubitke po depozitima kod drugih banaka mogu se prikazati kako slijedi:</w:t>
      </w:r>
    </w:p>
    <w:tbl>
      <w:tblPr>
        <w:tblW w:w="5008" w:type="pct"/>
        <w:tblInd w:w="-142" w:type="dxa"/>
        <w:tblLook w:val="04A0" w:firstRow="1" w:lastRow="0" w:firstColumn="1" w:lastColumn="0" w:noHBand="0" w:noVBand="1"/>
      </w:tblPr>
      <w:tblGrid>
        <w:gridCol w:w="4537"/>
        <w:gridCol w:w="1134"/>
        <w:gridCol w:w="1431"/>
        <w:gridCol w:w="1127"/>
        <w:gridCol w:w="1126"/>
        <w:gridCol w:w="15"/>
      </w:tblGrid>
      <w:tr w:rsidR="004E2F51" w:rsidRPr="00EF5D3C" w14:paraId="37CF6C3E" w14:textId="77777777" w:rsidTr="00E032FC">
        <w:trPr>
          <w:trHeight w:val="243"/>
        </w:trPr>
        <w:tc>
          <w:tcPr>
            <w:tcW w:w="4537" w:type="dxa"/>
            <w:tcBorders>
              <w:top w:val="nil"/>
              <w:left w:val="nil"/>
              <w:bottom w:val="nil"/>
              <w:right w:val="nil"/>
            </w:tcBorders>
            <w:shd w:val="clear" w:color="auto" w:fill="auto"/>
            <w:noWrap/>
            <w:vAlign w:val="bottom"/>
            <w:hideMark/>
          </w:tcPr>
          <w:p w14:paraId="35AAA0C1" w14:textId="77777777" w:rsidR="004E2F51" w:rsidRPr="004B4498" w:rsidRDefault="004E2F51" w:rsidP="00E032FC">
            <w:pPr>
              <w:rPr>
                <w:rFonts w:ascii="Arial" w:hAnsi="Arial" w:cs="Arial"/>
                <w:color w:val="000000" w:themeColor="text1"/>
                <w:sz w:val="19"/>
                <w:szCs w:val="19"/>
                <w:lang w:val="hr-HR"/>
              </w:rPr>
            </w:pPr>
          </w:p>
        </w:tc>
        <w:tc>
          <w:tcPr>
            <w:tcW w:w="1134" w:type="dxa"/>
            <w:tcBorders>
              <w:top w:val="nil"/>
              <w:left w:val="nil"/>
              <w:bottom w:val="nil"/>
              <w:right w:val="nil"/>
            </w:tcBorders>
          </w:tcPr>
          <w:p w14:paraId="6DE5DB3C" w14:textId="77777777" w:rsidR="004E2F51" w:rsidRPr="0002282A" w:rsidRDefault="004E2F51" w:rsidP="00E032FC">
            <w:pPr>
              <w:jc w:val="right"/>
              <w:rPr>
                <w:rFonts w:ascii="Arial" w:hAnsi="Arial" w:cs="Arial"/>
                <w:b/>
                <w:bCs/>
                <w:color w:val="000000" w:themeColor="text1"/>
                <w:sz w:val="19"/>
                <w:szCs w:val="19"/>
                <w:lang w:val="hr-HR"/>
              </w:rPr>
            </w:pPr>
          </w:p>
        </w:tc>
        <w:tc>
          <w:tcPr>
            <w:tcW w:w="1431" w:type="dxa"/>
            <w:tcBorders>
              <w:top w:val="nil"/>
              <w:left w:val="nil"/>
              <w:bottom w:val="nil"/>
              <w:right w:val="nil"/>
            </w:tcBorders>
            <w:vAlign w:val="center"/>
          </w:tcPr>
          <w:p w14:paraId="261885CF" w14:textId="77777777" w:rsidR="004E2F51" w:rsidRPr="004B4498" w:rsidRDefault="004E2F51" w:rsidP="00E032FC">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Grupa</w:t>
            </w:r>
          </w:p>
        </w:tc>
        <w:tc>
          <w:tcPr>
            <w:tcW w:w="2268" w:type="dxa"/>
            <w:gridSpan w:val="3"/>
            <w:tcBorders>
              <w:top w:val="nil"/>
              <w:left w:val="nil"/>
              <w:bottom w:val="nil"/>
              <w:right w:val="nil"/>
            </w:tcBorders>
            <w:shd w:val="clear" w:color="auto" w:fill="auto"/>
            <w:vAlign w:val="center"/>
          </w:tcPr>
          <w:p w14:paraId="15D2172A" w14:textId="77777777" w:rsidR="004E2F51" w:rsidRPr="004B4498" w:rsidRDefault="004E2F51" w:rsidP="00E032FC">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Banka</w:t>
            </w:r>
          </w:p>
        </w:tc>
      </w:tr>
      <w:tr w:rsidR="004E2F51" w:rsidRPr="00EF5D3C" w14:paraId="11076D8B" w14:textId="77777777" w:rsidTr="00E032FC">
        <w:trPr>
          <w:gridAfter w:val="1"/>
          <w:wAfter w:w="15" w:type="dxa"/>
          <w:trHeight w:val="243"/>
        </w:trPr>
        <w:tc>
          <w:tcPr>
            <w:tcW w:w="4537" w:type="dxa"/>
            <w:tcBorders>
              <w:top w:val="nil"/>
              <w:left w:val="nil"/>
              <w:bottom w:val="nil"/>
              <w:right w:val="nil"/>
            </w:tcBorders>
            <w:shd w:val="clear" w:color="auto" w:fill="auto"/>
            <w:noWrap/>
            <w:vAlign w:val="bottom"/>
          </w:tcPr>
          <w:p w14:paraId="2B785307" w14:textId="77777777" w:rsidR="004E2F51" w:rsidRPr="004B4498" w:rsidRDefault="004E2F51" w:rsidP="00E032FC">
            <w:pPr>
              <w:rPr>
                <w:rFonts w:ascii="Arial" w:hAnsi="Arial" w:cs="Arial"/>
                <w:color w:val="000000" w:themeColor="text1"/>
                <w:sz w:val="19"/>
                <w:szCs w:val="19"/>
              </w:rPr>
            </w:pPr>
          </w:p>
        </w:tc>
        <w:tc>
          <w:tcPr>
            <w:tcW w:w="1134" w:type="dxa"/>
            <w:vAlign w:val="bottom"/>
          </w:tcPr>
          <w:p w14:paraId="4215F87A" w14:textId="77777777" w:rsidR="004E2F51" w:rsidRPr="004B4498" w:rsidRDefault="004E2F51" w:rsidP="00E032FC">
            <w:pPr>
              <w:pStyle w:val="TH"/>
              <w:spacing w:line="240" w:lineRule="auto"/>
              <w:jc w:val="right"/>
              <w:rPr>
                <w:rFonts w:cs="Arial"/>
                <w:color w:val="000000" w:themeColor="text1"/>
                <w:szCs w:val="19"/>
                <w:lang w:val="hr-HR"/>
              </w:rPr>
            </w:pPr>
            <w:r w:rsidRPr="004B4498">
              <w:rPr>
                <w:rFonts w:cs="Arial"/>
                <w:color w:val="000000" w:themeColor="text1"/>
                <w:szCs w:val="19"/>
                <w:lang w:val="hr-HR"/>
              </w:rPr>
              <w:t>1.1.-31.12.</w:t>
            </w:r>
          </w:p>
          <w:p w14:paraId="5FEA3E5B" w14:textId="77777777" w:rsidR="004E2F51" w:rsidRPr="004B4498" w:rsidRDefault="004E2F51" w:rsidP="00E032FC">
            <w:pPr>
              <w:pStyle w:val="TH"/>
              <w:spacing w:line="240" w:lineRule="auto"/>
              <w:jc w:val="right"/>
              <w:rPr>
                <w:rFonts w:cs="Arial"/>
                <w:color w:val="000000" w:themeColor="text1"/>
                <w:szCs w:val="19"/>
                <w:lang w:val="hr-HR"/>
              </w:rPr>
            </w:pPr>
            <w:r w:rsidRPr="004B4498">
              <w:rPr>
                <w:rFonts w:cs="Arial"/>
                <w:color w:val="000000" w:themeColor="text1"/>
                <w:szCs w:val="19"/>
                <w:lang w:val="hr-HR"/>
              </w:rPr>
              <w:t>202</w:t>
            </w:r>
            <w:r>
              <w:rPr>
                <w:rFonts w:cs="Arial"/>
                <w:color w:val="000000" w:themeColor="text1"/>
                <w:szCs w:val="19"/>
                <w:lang w:val="hr-HR"/>
              </w:rPr>
              <w:t>2</w:t>
            </w:r>
            <w:r w:rsidRPr="004B4498">
              <w:rPr>
                <w:rFonts w:cs="Arial"/>
                <w:color w:val="000000" w:themeColor="text1"/>
                <w:szCs w:val="19"/>
                <w:lang w:val="hr-HR"/>
              </w:rPr>
              <w:t>.</w:t>
            </w:r>
          </w:p>
        </w:tc>
        <w:tc>
          <w:tcPr>
            <w:tcW w:w="1431" w:type="dxa"/>
            <w:vAlign w:val="bottom"/>
          </w:tcPr>
          <w:p w14:paraId="38670153" w14:textId="77777777" w:rsidR="004E2F51" w:rsidRPr="004B4498" w:rsidRDefault="004E2F51" w:rsidP="00E032FC">
            <w:pPr>
              <w:pStyle w:val="TH"/>
              <w:spacing w:line="240" w:lineRule="auto"/>
              <w:jc w:val="right"/>
              <w:rPr>
                <w:rFonts w:cs="Arial"/>
                <w:color w:val="000000" w:themeColor="text1"/>
                <w:szCs w:val="19"/>
                <w:lang w:val="hr-HR"/>
              </w:rPr>
            </w:pPr>
            <w:r w:rsidRPr="004B4498">
              <w:rPr>
                <w:rFonts w:cs="Arial"/>
                <w:color w:val="000000" w:themeColor="text1"/>
                <w:szCs w:val="19"/>
                <w:lang w:val="hr-HR"/>
              </w:rPr>
              <w:t>1.1.-31.12.</w:t>
            </w:r>
          </w:p>
          <w:p w14:paraId="62AAA5F1" w14:textId="77777777" w:rsidR="004E2F51" w:rsidRPr="004B4498" w:rsidRDefault="004E2F51" w:rsidP="00E032FC">
            <w:pPr>
              <w:pStyle w:val="TH"/>
              <w:spacing w:line="240" w:lineRule="auto"/>
              <w:jc w:val="right"/>
              <w:rPr>
                <w:rFonts w:cs="Arial"/>
                <w:color w:val="000000" w:themeColor="text1"/>
                <w:szCs w:val="19"/>
                <w:lang w:val="hr-HR"/>
              </w:rPr>
            </w:pPr>
            <w:r w:rsidRPr="004B4498">
              <w:rPr>
                <w:rFonts w:cs="Arial"/>
                <w:color w:val="000000" w:themeColor="text1"/>
                <w:szCs w:val="19"/>
                <w:lang w:val="hr-HR"/>
              </w:rPr>
              <w:t>202</w:t>
            </w:r>
            <w:r>
              <w:rPr>
                <w:rFonts w:cs="Arial"/>
                <w:color w:val="000000" w:themeColor="text1"/>
                <w:szCs w:val="19"/>
                <w:lang w:val="hr-HR"/>
              </w:rPr>
              <w:t>1</w:t>
            </w:r>
            <w:r w:rsidRPr="004B4498">
              <w:rPr>
                <w:rFonts w:cs="Arial"/>
                <w:color w:val="000000" w:themeColor="text1"/>
                <w:szCs w:val="19"/>
                <w:lang w:val="hr-HR"/>
              </w:rPr>
              <w:t>.</w:t>
            </w:r>
          </w:p>
        </w:tc>
        <w:tc>
          <w:tcPr>
            <w:tcW w:w="1127" w:type="dxa"/>
            <w:vAlign w:val="bottom"/>
          </w:tcPr>
          <w:p w14:paraId="47ACF1C1" w14:textId="77777777" w:rsidR="004E2F51" w:rsidRPr="004B4498" w:rsidRDefault="004E2F51" w:rsidP="00E032FC">
            <w:pPr>
              <w:pStyle w:val="TH"/>
              <w:spacing w:line="240" w:lineRule="auto"/>
              <w:jc w:val="right"/>
              <w:rPr>
                <w:rFonts w:cs="Arial"/>
                <w:color w:val="000000" w:themeColor="text1"/>
                <w:szCs w:val="19"/>
                <w:lang w:val="hr-HR"/>
              </w:rPr>
            </w:pPr>
            <w:bookmarkStart w:id="983" w:name="_Toc67327965"/>
            <w:r w:rsidRPr="004B4498">
              <w:rPr>
                <w:rFonts w:cs="Arial"/>
                <w:color w:val="000000" w:themeColor="text1"/>
                <w:szCs w:val="19"/>
                <w:lang w:val="hr-HR"/>
              </w:rPr>
              <w:t>1.1.-31.12.</w:t>
            </w:r>
            <w:bookmarkEnd w:id="983"/>
          </w:p>
          <w:p w14:paraId="50C365D5" w14:textId="77777777" w:rsidR="004E2F51" w:rsidRPr="004B4498" w:rsidRDefault="004E2F51" w:rsidP="00E032FC">
            <w:pPr>
              <w:pStyle w:val="TH"/>
              <w:spacing w:line="240" w:lineRule="auto"/>
              <w:jc w:val="right"/>
              <w:rPr>
                <w:rFonts w:cs="Arial"/>
                <w:color w:val="000000" w:themeColor="text1"/>
                <w:szCs w:val="19"/>
                <w:lang w:val="hr-HR"/>
              </w:rPr>
            </w:pPr>
            <w:bookmarkStart w:id="984" w:name="_Toc67327966"/>
            <w:r w:rsidRPr="004B4498">
              <w:rPr>
                <w:rFonts w:cs="Arial"/>
                <w:color w:val="000000" w:themeColor="text1"/>
                <w:szCs w:val="19"/>
                <w:lang w:val="hr-HR"/>
              </w:rPr>
              <w:t>202</w:t>
            </w:r>
            <w:r>
              <w:rPr>
                <w:rFonts w:cs="Arial"/>
                <w:color w:val="000000" w:themeColor="text1"/>
                <w:szCs w:val="19"/>
                <w:lang w:val="hr-HR"/>
              </w:rPr>
              <w:t>2</w:t>
            </w:r>
            <w:r w:rsidRPr="004B4498">
              <w:rPr>
                <w:rFonts w:cs="Arial"/>
                <w:color w:val="000000" w:themeColor="text1"/>
                <w:szCs w:val="19"/>
                <w:lang w:val="hr-HR"/>
              </w:rPr>
              <w:t>.</w:t>
            </w:r>
            <w:bookmarkEnd w:id="984"/>
          </w:p>
        </w:tc>
        <w:tc>
          <w:tcPr>
            <w:tcW w:w="1126" w:type="dxa"/>
            <w:vAlign w:val="bottom"/>
          </w:tcPr>
          <w:p w14:paraId="73268BB8" w14:textId="77777777" w:rsidR="004E2F51" w:rsidRPr="004B4498" w:rsidRDefault="004E2F51" w:rsidP="00E032FC">
            <w:pPr>
              <w:pStyle w:val="TH"/>
              <w:spacing w:line="240" w:lineRule="auto"/>
              <w:jc w:val="right"/>
              <w:rPr>
                <w:rFonts w:cs="Arial"/>
                <w:color w:val="000000" w:themeColor="text1"/>
                <w:szCs w:val="19"/>
                <w:lang w:val="hr-HR"/>
              </w:rPr>
            </w:pPr>
            <w:bookmarkStart w:id="985" w:name="_Toc67327967"/>
            <w:r w:rsidRPr="004B4498">
              <w:rPr>
                <w:rFonts w:cs="Arial"/>
                <w:color w:val="000000" w:themeColor="text1"/>
                <w:szCs w:val="19"/>
                <w:lang w:val="hr-HR"/>
              </w:rPr>
              <w:t>1.1.-31.12.</w:t>
            </w:r>
            <w:bookmarkEnd w:id="985"/>
          </w:p>
          <w:p w14:paraId="28CB0EE7" w14:textId="77777777" w:rsidR="004E2F51" w:rsidRPr="004B4498" w:rsidRDefault="004E2F51" w:rsidP="00E032FC">
            <w:pPr>
              <w:pStyle w:val="TH"/>
              <w:spacing w:line="240" w:lineRule="auto"/>
              <w:jc w:val="right"/>
              <w:rPr>
                <w:rFonts w:cs="Arial"/>
                <w:color w:val="000000" w:themeColor="text1"/>
                <w:szCs w:val="19"/>
                <w:lang w:val="hr-HR"/>
              </w:rPr>
            </w:pPr>
            <w:bookmarkStart w:id="986" w:name="_Toc67327968"/>
            <w:r w:rsidRPr="004B4498">
              <w:rPr>
                <w:rFonts w:cs="Arial"/>
                <w:color w:val="000000" w:themeColor="text1"/>
                <w:szCs w:val="19"/>
                <w:lang w:val="hr-HR"/>
              </w:rPr>
              <w:t>202</w:t>
            </w:r>
            <w:r>
              <w:rPr>
                <w:rFonts w:cs="Arial"/>
                <w:color w:val="000000" w:themeColor="text1"/>
                <w:szCs w:val="19"/>
                <w:lang w:val="hr-HR"/>
              </w:rPr>
              <w:t>1</w:t>
            </w:r>
            <w:r w:rsidRPr="004B4498">
              <w:rPr>
                <w:rFonts w:cs="Arial"/>
                <w:color w:val="000000" w:themeColor="text1"/>
                <w:szCs w:val="19"/>
                <w:lang w:val="hr-HR"/>
              </w:rPr>
              <w:t>.</w:t>
            </w:r>
            <w:bookmarkEnd w:id="986"/>
          </w:p>
        </w:tc>
      </w:tr>
      <w:tr w:rsidR="004E2F51" w:rsidRPr="00EF5D3C" w14:paraId="79AF9DA4" w14:textId="77777777" w:rsidTr="00E032FC">
        <w:trPr>
          <w:gridAfter w:val="1"/>
          <w:wAfter w:w="15" w:type="dxa"/>
          <w:trHeight w:val="231"/>
        </w:trPr>
        <w:tc>
          <w:tcPr>
            <w:tcW w:w="4537" w:type="dxa"/>
            <w:tcBorders>
              <w:top w:val="nil"/>
              <w:left w:val="nil"/>
              <w:bottom w:val="nil"/>
              <w:right w:val="nil"/>
            </w:tcBorders>
            <w:shd w:val="clear" w:color="auto" w:fill="auto"/>
            <w:vAlign w:val="center"/>
            <w:hideMark/>
          </w:tcPr>
          <w:p w14:paraId="650214C2" w14:textId="77777777" w:rsidR="004E2F51" w:rsidRPr="004B4498" w:rsidRDefault="004E2F51" w:rsidP="00E032FC">
            <w:pPr>
              <w:jc w:val="right"/>
              <w:rPr>
                <w:rFonts w:ascii="Arial" w:hAnsi="Arial" w:cs="Arial"/>
                <w:b/>
                <w:bCs/>
                <w:color w:val="000000" w:themeColor="text1"/>
                <w:sz w:val="19"/>
                <w:szCs w:val="19"/>
              </w:rPr>
            </w:pPr>
          </w:p>
        </w:tc>
        <w:tc>
          <w:tcPr>
            <w:tcW w:w="1134" w:type="dxa"/>
            <w:tcBorders>
              <w:top w:val="nil"/>
              <w:left w:val="nil"/>
              <w:bottom w:val="nil"/>
              <w:right w:val="nil"/>
            </w:tcBorders>
            <w:shd w:val="clear" w:color="auto" w:fill="auto"/>
            <w:vAlign w:val="center"/>
          </w:tcPr>
          <w:p w14:paraId="1BE33736" w14:textId="77777777" w:rsidR="004E2F51" w:rsidRPr="004B4498" w:rsidRDefault="004E2F51" w:rsidP="00E032FC">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 xml:space="preserve">000 </w:t>
            </w:r>
            <w:proofErr w:type="spellStart"/>
            <w:r w:rsidRPr="004B4498">
              <w:rPr>
                <w:rFonts w:ascii="Arial" w:hAnsi="Arial" w:cs="Arial"/>
                <w:b/>
                <w:bCs/>
                <w:color w:val="000000" w:themeColor="text1"/>
                <w:sz w:val="19"/>
                <w:szCs w:val="19"/>
              </w:rPr>
              <w:t>kuna</w:t>
            </w:r>
            <w:proofErr w:type="spellEnd"/>
          </w:p>
        </w:tc>
        <w:tc>
          <w:tcPr>
            <w:tcW w:w="1431" w:type="dxa"/>
            <w:tcBorders>
              <w:top w:val="nil"/>
              <w:left w:val="nil"/>
              <w:bottom w:val="nil"/>
              <w:right w:val="nil"/>
            </w:tcBorders>
            <w:shd w:val="clear" w:color="auto" w:fill="auto"/>
            <w:vAlign w:val="center"/>
          </w:tcPr>
          <w:p w14:paraId="76C9D932" w14:textId="77777777" w:rsidR="004E2F51" w:rsidRPr="004B4498" w:rsidRDefault="004E2F51" w:rsidP="00E032FC">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 xml:space="preserve">000 </w:t>
            </w:r>
            <w:proofErr w:type="spellStart"/>
            <w:r w:rsidRPr="004B4498">
              <w:rPr>
                <w:rFonts w:ascii="Arial" w:hAnsi="Arial" w:cs="Arial"/>
                <w:b/>
                <w:bCs/>
                <w:color w:val="000000" w:themeColor="text1"/>
                <w:sz w:val="19"/>
                <w:szCs w:val="19"/>
              </w:rPr>
              <w:t>kuna</w:t>
            </w:r>
            <w:proofErr w:type="spellEnd"/>
          </w:p>
        </w:tc>
        <w:tc>
          <w:tcPr>
            <w:tcW w:w="1127" w:type="dxa"/>
            <w:tcBorders>
              <w:top w:val="nil"/>
              <w:left w:val="nil"/>
              <w:bottom w:val="nil"/>
              <w:right w:val="nil"/>
            </w:tcBorders>
            <w:shd w:val="clear" w:color="auto" w:fill="auto"/>
            <w:vAlign w:val="center"/>
            <w:hideMark/>
          </w:tcPr>
          <w:p w14:paraId="389E576A" w14:textId="77777777" w:rsidR="004E2F51" w:rsidRPr="004B4498" w:rsidRDefault="004E2F51" w:rsidP="00E032FC">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 xml:space="preserve">000 </w:t>
            </w:r>
            <w:proofErr w:type="spellStart"/>
            <w:r w:rsidRPr="004B4498">
              <w:rPr>
                <w:rFonts w:ascii="Arial" w:hAnsi="Arial" w:cs="Arial"/>
                <w:b/>
                <w:bCs/>
                <w:color w:val="000000" w:themeColor="text1"/>
                <w:sz w:val="19"/>
                <w:szCs w:val="19"/>
              </w:rPr>
              <w:t>kuna</w:t>
            </w:r>
            <w:proofErr w:type="spellEnd"/>
          </w:p>
        </w:tc>
        <w:tc>
          <w:tcPr>
            <w:tcW w:w="1126" w:type="dxa"/>
            <w:tcBorders>
              <w:top w:val="nil"/>
              <w:left w:val="nil"/>
              <w:bottom w:val="nil"/>
              <w:right w:val="nil"/>
            </w:tcBorders>
            <w:shd w:val="clear" w:color="auto" w:fill="auto"/>
            <w:vAlign w:val="center"/>
          </w:tcPr>
          <w:p w14:paraId="2D8C47EA" w14:textId="77777777" w:rsidR="004E2F51" w:rsidRPr="004B4498" w:rsidRDefault="004E2F51" w:rsidP="00E032FC">
            <w:pPr>
              <w:jc w:val="right"/>
              <w:rPr>
                <w:rFonts w:ascii="Arial" w:hAnsi="Arial" w:cs="Arial"/>
                <w:b/>
                <w:bCs/>
                <w:color w:val="000000" w:themeColor="text1"/>
                <w:sz w:val="19"/>
                <w:szCs w:val="19"/>
              </w:rPr>
            </w:pPr>
            <w:r w:rsidRPr="004B4498">
              <w:rPr>
                <w:rFonts w:ascii="Arial" w:hAnsi="Arial" w:cs="Arial"/>
                <w:b/>
                <w:bCs/>
                <w:color w:val="000000" w:themeColor="text1"/>
                <w:sz w:val="19"/>
                <w:szCs w:val="19"/>
              </w:rPr>
              <w:t xml:space="preserve">000 </w:t>
            </w:r>
            <w:proofErr w:type="spellStart"/>
            <w:r w:rsidRPr="004B4498">
              <w:rPr>
                <w:rFonts w:ascii="Arial" w:hAnsi="Arial" w:cs="Arial"/>
                <w:b/>
                <w:bCs/>
                <w:color w:val="000000" w:themeColor="text1"/>
                <w:sz w:val="19"/>
                <w:szCs w:val="19"/>
              </w:rPr>
              <w:t>kuna</w:t>
            </w:r>
            <w:proofErr w:type="spellEnd"/>
          </w:p>
        </w:tc>
      </w:tr>
      <w:tr w:rsidR="004E2F51" w:rsidRPr="00EF5D3C" w14:paraId="72EB7FEA" w14:textId="77777777" w:rsidTr="00E032FC">
        <w:trPr>
          <w:gridAfter w:val="1"/>
          <w:wAfter w:w="15" w:type="dxa"/>
          <w:trHeight w:val="379"/>
        </w:trPr>
        <w:tc>
          <w:tcPr>
            <w:tcW w:w="4537" w:type="dxa"/>
            <w:tcBorders>
              <w:top w:val="nil"/>
              <w:left w:val="nil"/>
              <w:bottom w:val="nil"/>
              <w:right w:val="nil"/>
            </w:tcBorders>
            <w:shd w:val="clear" w:color="auto" w:fill="auto"/>
            <w:vAlign w:val="bottom"/>
          </w:tcPr>
          <w:p w14:paraId="613FA146" w14:textId="77777777" w:rsidR="004E2F51" w:rsidRPr="004B4498" w:rsidRDefault="004E2F51" w:rsidP="00E032FC">
            <w:pPr>
              <w:rPr>
                <w:rFonts w:ascii="Arial" w:hAnsi="Arial" w:cs="Arial"/>
                <w:color w:val="000000" w:themeColor="text1"/>
                <w:sz w:val="19"/>
                <w:szCs w:val="19"/>
                <w:lang w:val="hr-HR"/>
              </w:rPr>
            </w:pPr>
            <w:r w:rsidRPr="004B4498">
              <w:rPr>
                <w:rFonts w:ascii="Arial" w:hAnsi="Arial" w:cs="Arial"/>
                <w:color w:val="000000" w:themeColor="text1"/>
                <w:sz w:val="19"/>
                <w:szCs w:val="19"/>
                <w:lang w:val="hr-HR"/>
              </w:rPr>
              <w:t>Stanje 1. siječnja</w:t>
            </w:r>
          </w:p>
        </w:tc>
        <w:tc>
          <w:tcPr>
            <w:tcW w:w="1134" w:type="dxa"/>
            <w:tcBorders>
              <w:top w:val="nil"/>
              <w:left w:val="nil"/>
              <w:bottom w:val="nil"/>
              <w:right w:val="nil"/>
            </w:tcBorders>
            <w:shd w:val="clear" w:color="auto" w:fill="auto"/>
            <w:vAlign w:val="bottom"/>
          </w:tcPr>
          <w:p w14:paraId="611AEEA4" w14:textId="77777777" w:rsidR="004E2F51" w:rsidRPr="004B4498" w:rsidRDefault="004E2F51" w:rsidP="00E032FC">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1</w:t>
            </w:r>
          </w:p>
        </w:tc>
        <w:tc>
          <w:tcPr>
            <w:tcW w:w="1431" w:type="dxa"/>
            <w:tcBorders>
              <w:top w:val="nil"/>
              <w:left w:val="nil"/>
              <w:bottom w:val="nil"/>
              <w:right w:val="nil"/>
            </w:tcBorders>
            <w:shd w:val="clear" w:color="auto" w:fill="auto"/>
            <w:vAlign w:val="bottom"/>
          </w:tcPr>
          <w:p w14:paraId="6141FF37" w14:textId="77777777" w:rsidR="004E2F51" w:rsidRPr="004B4498" w:rsidRDefault="004E2F51" w:rsidP="00E032FC">
            <w:pPr>
              <w:jc w:val="right"/>
              <w:rPr>
                <w:rFonts w:ascii="Arial" w:hAnsi="Arial" w:cs="Arial"/>
                <w:color w:val="000000" w:themeColor="text1"/>
                <w:sz w:val="19"/>
                <w:szCs w:val="19"/>
                <w:lang w:val="hr-HR"/>
              </w:rPr>
            </w:pPr>
            <w:r w:rsidRPr="0046584E">
              <w:rPr>
                <w:rFonts w:ascii="Arial" w:hAnsi="Arial" w:cs="Arial"/>
                <w:color w:val="000000" w:themeColor="text1"/>
                <w:sz w:val="19"/>
                <w:szCs w:val="19"/>
                <w:lang w:val="hr-HR"/>
              </w:rPr>
              <w:t>1</w:t>
            </w:r>
          </w:p>
        </w:tc>
        <w:tc>
          <w:tcPr>
            <w:tcW w:w="1127" w:type="dxa"/>
            <w:tcBorders>
              <w:top w:val="nil"/>
              <w:left w:val="nil"/>
              <w:bottom w:val="nil"/>
              <w:right w:val="nil"/>
            </w:tcBorders>
            <w:shd w:val="clear" w:color="auto" w:fill="auto"/>
            <w:vAlign w:val="bottom"/>
          </w:tcPr>
          <w:p w14:paraId="3BE8C190" w14:textId="77777777" w:rsidR="004E2F51" w:rsidRPr="004B4498" w:rsidRDefault="004E2F51" w:rsidP="00E032FC">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1</w:t>
            </w:r>
          </w:p>
        </w:tc>
        <w:tc>
          <w:tcPr>
            <w:tcW w:w="1126" w:type="dxa"/>
            <w:tcBorders>
              <w:top w:val="nil"/>
              <w:left w:val="nil"/>
              <w:bottom w:val="nil"/>
              <w:right w:val="nil"/>
            </w:tcBorders>
            <w:shd w:val="clear" w:color="auto" w:fill="auto"/>
            <w:vAlign w:val="bottom"/>
          </w:tcPr>
          <w:p w14:paraId="6B569052" w14:textId="77777777" w:rsidR="004E2F51" w:rsidRPr="004B4498" w:rsidRDefault="004E2F51" w:rsidP="00E032FC">
            <w:pPr>
              <w:jc w:val="right"/>
              <w:rPr>
                <w:rFonts w:ascii="Arial" w:hAnsi="Arial" w:cs="Arial"/>
                <w:color w:val="000000" w:themeColor="text1"/>
                <w:sz w:val="19"/>
                <w:szCs w:val="19"/>
                <w:lang w:val="hr-HR"/>
              </w:rPr>
            </w:pPr>
            <w:r w:rsidRPr="0046584E">
              <w:rPr>
                <w:rFonts w:ascii="Arial" w:hAnsi="Arial" w:cs="Arial"/>
                <w:color w:val="000000" w:themeColor="text1"/>
                <w:sz w:val="19"/>
                <w:szCs w:val="19"/>
                <w:lang w:val="hr-HR"/>
              </w:rPr>
              <w:t>1</w:t>
            </w:r>
          </w:p>
        </w:tc>
      </w:tr>
      <w:tr w:rsidR="004E2F51" w:rsidRPr="00EF5D3C" w14:paraId="164B0A3B" w14:textId="77777777" w:rsidTr="00E032FC">
        <w:trPr>
          <w:gridAfter w:val="1"/>
          <w:wAfter w:w="15" w:type="dxa"/>
          <w:trHeight w:val="379"/>
        </w:trPr>
        <w:tc>
          <w:tcPr>
            <w:tcW w:w="4537" w:type="dxa"/>
            <w:tcBorders>
              <w:top w:val="nil"/>
              <w:left w:val="nil"/>
              <w:bottom w:val="nil"/>
              <w:right w:val="nil"/>
            </w:tcBorders>
            <w:shd w:val="clear" w:color="auto" w:fill="auto"/>
            <w:vAlign w:val="bottom"/>
          </w:tcPr>
          <w:p w14:paraId="4F972406" w14:textId="77777777" w:rsidR="004E2F51" w:rsidRPr="004B4498" w:rsidRDefault="004E2F51" w:rsidP="00E032FC">
            <w:pPr>
              <w:rPr>
                <w:rFonts w:ascii="Arial" w:hAnsi="Arial" w:cs="Arial"/>
                <w:color w:val="000000" w:themeColor="text1"/>
                <w:sz w:val="19"/>
                <w:szCs w:val="19"/>
                <w:lang w:val="hr-HR"/>
              </w:rPr>
            </w:pPr>
            <w:r w:rsidRPr="004B4498">
              <w:rPr>
                <w:rFonts w:ascii="Arial" w:hAnsi="Arial" w:cs="Arial"/>
                <w:color w:val="000000" w:themeColor="text1"/>
                <w:sz w:val="19"/>
                <w:szCs w:val="19"/>
                <w:lang w:val="hr-HR"/>
              </w:rPr>
              <w:t xml:space="preserve">Neto </w:t>
            </w:r>
            <w:r w:rsidRPr="009112C0">
              <w:rPr>
                <w:rFonts w:ascii="Arial" w:hAnsi="Arial" w:cs="Arial"/>
                <w:color w:val="000000" w:themeColor="text1"/>
                <w:sz w:val="19"/>
                <w:szCs w:val="19"/>
                <w:lang w:val="hr-HR"/>
              </w:rPr>
              <w:t>povećanje/(smanjenje)</w:t>
            </w:r>
            <w:r w:rsidRPr="004B4498">
              <w:rPr>
                <w:rFonts w:ascii="Arial" w:hAnsi="Arial" w:cs="Arial"/>
                <w:color w:val="000000" w:themeColor="text1"/>
                <w:sz w:val="19"/>
                <w:szCs w:val="19"/>
                <w:lang w:val="hr-HR"/>
              </w:rPr>
              <w:t xml:space="preserve"> rezerviranja za očekivane gubitke po depozitima kod drugih banaka</w:t>
            </w:r>
          </w:p>
        </w:tc>
        <w:tc>
          <w:tcPr>
            <w:tcW w:w="1134" w:type="dxa"/>
            <w:tcBorders>
              <w:top w:val="nil"/>
              <w:left w:val="nil"/>
              <w:bottom w:val="nil"/>
              <w:right w:val="nil"/>
            </w:tcBorders>
            <w:shd w:val="clear" w:color="auto" w:fill="auto"/>
            <w:vAlign w:val="bottom"/>
          </w:tcPr>
          <w:p w14:paraId="744DE94C" w14:textId="77777777" w:rsidR="004E2F51" w:rsidRPr="004B4498" w:rsidRDefault="004E2F51" w:rsidP="00E032FC">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28</w:t>
            </w:r>
          </w:p>
        </w:tc>
        <w:tc>
          <w:tcPr>
            <w:tcW w:w="1431" w:type="dxa"/>
            <w:tcBorders>
              <w:top w:val="nil"/>
              <w:left w:val="nil"/>
              <w:bottom w:val="nil"/>
              <w:right w:val="nil"/>
            </w:tcBorders>
            <w:shd w:val="clear" w:color="auto" w:fill="auto"/>
            <w:vAlign w:val="bottom"/>
          </w:tcPr>
          <w:p w14:paraId="6BFBF0C2" w14:textId="77777777" w:rsidR="004E2F51" w:rsidRPr="004B4498" w:rsidRDefault="004E2F51" w:rsidP="00E032FC">
            <w:pPr>
              <w:jc w:val="right"/>
              <w:rPr>
                <w:rFonts w:ascii="Arial" w:hAnsi="Arial" w:cs="Arial"/>
                <w:color w:val="000000" w:themeColor="text1"/>
                <w:sz w:val="19"/>
                <w:szCs w:val="19"/>
                <w:lang w:val="hr-HR"/>
              </w:rPr>
            </w:pPr>
            <w:r w:rsidRPr="0046584E">
              <w:rPr>
                <w:rFonts w:ascii="Arial" w:hAnsi="Arial" w:cs="Arial"/>
                <w:color w:val="000000" w:themeColor="text1"/>
                <w:sz w:val="19"/>
                <w:szCs w:val="19"/>
                <w:lang w:val="hr-HR"/>
              </w:rPr>
              <w:t>(1)</w:t>
            </w:r>
          </w:p>
        </w:tc>
        <w:tc>
          <w:tcPr>
            <w:tcW w:w="1127" w:type="dxa"/>
            <w:tcBorders>
              <w:top w:val="nil"/>
              <w:left w:val="nil"/>
              <w:bottom w:val="nil"/>
              <w:right w:val="nil"/>
            </w:tcBorders>
            <w:shd w:val="clear" w:color="auto" w:fill="auto"/>
            <w:vAlign w:val="bottom"/>
          </w:tcPr>
          <w:p w14:paraId="3B502EE6" w14:textId="77777777" w:rsidR="004E2F51" w:rsidRPr="004B4498" w:rsidRDefault="004E2F51" w:rsidP="00E032FC">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(2)</w:t>
            </w:r>
          </w:p>
        </w:tc>
        <w:tc>
          <w:tcPr>
            <w:tcW w:w="1126" w:type="dxa"/>
            <w:tcBorders>
              <w:top w:val="nil"/>
              <w:left w:val="nil"/>
              <w:bottom w:val="nil"/>
              <w:right w:val="nil"/>
            </w:tcBorders>
            <w:shd w:val="clear" w:color="auto" w:fill="auto"/>
            <w:vAlign w:val="bottom"/>
          </w:tcPr>
          <w:p w14:paraId="0E24011A" w14:textId="77777777" w:rsidR="004E2F51" w:rsidRPr="004B4498" w:rsidRDefault="004E2F51" w:rsidP="00E032FC">
            <w:pPr>
              <w:jc w:val="right"/>
              <w:rPr>
                <w:rFonts w:ascii="Arial" w:hAnsi="Arial" w:cs="Arial"/>
                <w:color w:val="000000" w:themeColor="text1"/>
                <w:sz w:val="19"/>
                <w:szCs w:val="19"/>
                <w:lang w:val="hr-HR"/>
              </w:rPr>
            </w:pPr>
            <w:r w:rsidRPr="0046584E">
              <w:rPr>
                <w:rFonts w:ascii="Arial" w:hAnsi="Arial" w:cs="Arial"/>
                <w:color w:val="000000" w:themeColor="text1"/>
                <w:sz w:val="19"/>
                <w:szCs w:val="19"/>
                <w:lang w:val="hr-HR"/>
              </w:rPr>
              <w:t>(1)</w:t>
            </w:r>
          </w:p>
        </w:tc>
      </w:tr>
      <w:tr w:rsidR="004E2F51" w:rsidRPr="00EF5D3C" w14:paraId="62FAAE72" w14:textId="77777777" w:rsidTr="00E032FC">
        <w:trPr>
          <w:gridAfter w:val="1"/>
          <w:wAfter w:w="15" w:type="dxa"/>
          <w:trHeight w:val="379"/>
        </w:trPr>
        <w:tc>
          <w:tcPr>
            <w:tcW w:w="4537" w:type="dxa"/>
            <w:tcBorders>
              <w:top w:val="nil"/>
              <w:left w:val="nil"/>
              <w:bottom w:val="nil"/>
              <w:right w:val="nil"/>
            </w:tcBorders>
            <w:shd w:val="clear" w:color="auto" w:fill="auto"/>
            <w:vAlign w:val="bottom"/>
          </w:tcPr>
          <w:p w14:paraId="57D42D5C" w14:textId="77777777" w:rsidR="004E2F51" w:rsidRPr="004B4498" w:rsidRDefault="004E2F51" w:rsidP="00E032FC">
            <w:pPr>
              <w:rPr>
                <w:rFonts w:ascii="Arial" w:hAnsi="Arial" w:cs="Arial"/>
                <w:i/>
                <w:iCs/>
                <w:color w:val="000000" w:themeColor="text1"/>
                <w:sz w:val="19"/>
                <w:szCs w:val="19"/>
                <w:lang w:val="hr-HR"/>
              </w:rPr>
            </w:pPr>
            <w:r w:rsidRPr="004B4498">
              <w:rPr>
                <w:rFonts w:ascii="Arial" w:hAnsi="Arial" w:cs="Arial"/>
                <w:i/>
                <w:iCs/>
                <w:color w:val="000000" w:themeColor="text1"/>
                <w:sz w:val="19"/>
                <w:szCs w:val="19"/>
                <w:lang w:val="hr-HR"/>
              </w:rPr>
              <w:t xml:space="preserve">Ukupno kroz dobit ili gubitak </w:t>
            </w:r>
            <w:r w:rsidRPr="00A873BB">
              <w:rPr>
                <w:rFonts w:ascii="Arial" w:hAnsi="Arial" w:cs="Arial"/>
                <w:i/>
                <w:iCs/>
                <w:color w:val="000000" w:themeColor="text1"/>
                <w:sz w:val="19"/>
                <w:szCs w:val="19"/>
                <w:lang w:val="hr-HR"/>
              </w:rPr>
              <w:t>(bilješka 10)</w:t>
            </w:r>
          </w:p>
        </w:tc>
        <w:tc>
          <w:tcPr>
            <w:tcW w:w="1134" w:type="dxa"/>
            <w:tcBorders>
              <w:top w:val="single" w:sz="4" w:space="0" w:color="auto"/>
              <w:left w:val="nil"/>
              <w:bottom w:val="single" w:sz="4" w:space="0" w:color="auto"/>
              <w:right w:val="nil"/>
            </w:tcBorders>
            <w:shd w:val="clear" w:color="auto" w:fill="auto"/>
            <w:vAlign w:val="bottom"/>
          </w:tcPr>
          <w:p w14:paraId="01DCF78B" w14:textId="77777777" w:rsidR="004E2F51" w:rsidRPr="004B4498" w:rsidRDefault="004E2F51" w:rsidP="00E032FC">
            <w:pPr>
              <w:jc w:val="right"/>
              <w:rPr>
                <w:rFonts w:ascii="Arial" w:hAnsi="Arial" w:cs="Arial"/>
                <w:bCs/>
                <w:i/>
                <w:color w:val="000000" w:themeColor="text1"/>
                <w:sz w:val="19"/>
                <w:szCs w:val="19"/>
                <w:lang w:val="hr-HR"/>
              </w:rPr>
            </w:pPr>
            <w:r>
              <w:rPr>
                <w:rFonts w:ascii="Arial" w:hAnsi="Arial" w:cs="Arial"/>
                <w:bCs/>
                <w:i/>
                <w:color w:val="000000" w:themeColor="text1"/>
                <w:sz w:val="19"/>
                <w:szCs w:val="19"/>
                <w:lang w:val="hr-HR"/>
              </w:rPr>
              <w:t>28</w:t>
            </w:r>
          </w:p>
        </w:tc>
        <w:tc>
          <w:tcPr>
            <w:tcW w:w="1431" w:type="dxa"/>
            <w:tcBorders>
              <w:top w:val="single" w:sz="4" w:space="0" w:color="auto"/>
              <w:left w:val="nil"/>
              <w:bottom w:val="single" w:sz="4" w:space="0" w:color="auto"/>
              <w:right w:val="nil"/>
            </w:tcBorders>
            <w:shd w:val="clear" w:color="auto" w:fill="auto"/>
            <w:vAlign w:val="bottom"/>
          </w:tcPr>
          <w:p w14:paraId="1511502A" w14:textId="77777777" w:rsidR="004E2F51" w:rsidRPr="004B4498" w:rsidRDefault="004E2F51" w:rsidP="00E032FC">
            <w:pPr>
              <w:jc w:val="right"/>
              <w:rPr>
                <w:rFonts w:ascii="Arial" w:hAnsi="Arial" w:cs="Arial"/>
                <w:bCs/>
                <w:i/>
                <w:color w:val="000000" w:themeColor="text1"/>
                <w:sz w:val="19"/>
                <w:szCs w:val="19"/>
                <w:lang w:val="hr-HR"/>
              </w:rPr>
            </w:pPr>
            <w:r w:rsidRPr="0046584E">
              <w:rPr>
                <w:rFonts w:ascii="Arial" w:hAnsi="Arial" w:cs="Arial"/>
                <w:bCs/>
                <w:i/>
                <w:color w:val="000000" w:themeColor="text1"/>
                <w:sz w:val="19"/>
                <w:szCs w:val="19"/>
                <w:lang w:val="hr-HR"/>
              </w:rPr>
              <w:t>(1)</w:t>
            </w:r>
          </w:p>
        </w:tc>
        <w:tc>
          <w:tcPr>
            <w:tcW w:w="1127" w:type="dxa"/>
            <w:tcBorders>
              <w:top w:val="single" w:sz="4" w:space="0" w:color="auto"/>
              <w:left w:val="nil"/>
              <w:bottom w:val="single" w:sz="4" w:space="0" w:color="auto"/>
              <w:right w:val="nil"/>
            </w:tcBorders>
            <w:shd w:val="clear" w:color="auto" w:fill="auto"/>
            <w:vAlign w:val="bottom"/>
          </w:tcPr>
          <w:p w14:paraId="543D055E" w14:textId="77777777" w:rsidR="004E2F51" w:rsidRPr="004B4498" w:rsidRDefault="004E2F51" w:rsidP="00E032FC">
            <w:pPr>
              <w:jc w:val="right"/>
              <w:rPr>
                <w:rFonts w:ascii="Arial" w:hAnsi="Arial" w:cs="Arial"/>
                <w:bCs/>
                <w:i/>
                <w:color w:val="000000" w:themeColor="text1"/>
                <w:sz w:val="19"/>
                <w:szCs w:val="19"/>
                <w:lang w:val="hr-HR"/>
              </w:rPr>
            </w:pPr>
            <w:r>
              <w:rPr>
                <w:rFonts w:ascii="Arial" w:hAnsi="Arial" w:cs="Arial"/>
                <w:bCs/>
                <w:i/>
                <w:color w:val="000000" w:themeColor="text1"/>
                <w:sz w:val="19"/>
                <w:szCs w:val="19"/>
                <w:lang w:val="hr-HR"/>
              </w:rPr>
              <w:t>(2)</w:t>
            </w:r>
          </w:p>
        </w:tc>
        <w:tc>
          <w:tcPr>
            <w:tcW w:w="1126" w:type="dxa"/>
            <w:tcBorders>
              <w:top w:val="single" w:sz="4" w:space="0" w:color="auto"/>
              <w:left w:val="nil"/>
              <w:bottom w:val="single" w:sz="4" w:space="0" w:color="auto"/>
              <w:right w:val="nil"/>
            </w:tcBorders>
            <w:shd w:val="clear" w:color="auto" w:fill="auto"/>
            <w:vAlign w:val="bottom"/>
          </w:tcPr>
          <w:p w14:paraId="4403DB23" w14:textId="77777777" w:rsidR="004E2F51" w:rsidRPr="004B4498" w:rsidRDefault="004E2F51" w:rsidP="00E032FC">
            <w:pPr>
              <w:jc w:val="right"/>
              <w:rPr>
                <w:rFonts w:ascii="Arial" w:hAnsi="Arial" w:cs="Arial"/>
                <w:i/>
                <w:color w:val="000000" w:themeColor="text1"/>
                <w:sz w:val="19"/>
                <w:szCs w:val="19"/>
                <w:lang w:val="hr-HR"/>
              </w:rPr>
            </w:pPr>
            <w:r w:rsidRPr="0046584E">
              <w:rPr>
                <w:rFonts w:ascii="Arial" w:hAnsi="Arial" w:cs="Arial"/>
                <w:bCs/>
                <w:i/>
                <w:color w:val="000000" w:themeColor="text1"/>
                <w:sz w:val="19"/>
                <w:szCs w:val="19"/>
                <w:lang w:val="hr-HR"/>
              </w:rPr>
              <w:t>(1)</w:t>
            </w:r>
          </w:p>
        </w:tc>
      </w:tr>
      <w:tr w:rsidR="004E2F51" w:rsidRPr="00EF5D3C" w14:paraId="6EABD352" w14:textId="77777777" w:rsidTr="00E032FC">
        <w:trPr>
          <w:gridAfter w:val="1"/>
          <w:wAfter w:w="15" w:type="dxa"/>
          <w:trHeight w:val="379"/>
        </w:trPr>
        <w:tc>
          <w:tcPr>
            <w:tcW w:w="4537" w:type="dxa"/>
            <w:tcBorders>
              <w:top w:val="nil"/>
              <w:left w:val="nil"/>
              <w:bottom w:val="nil"/>
              <w:right w:val="nil"/>
            </w:tcBorders>
            <w:shd w:val="clear" w:color="auto" w:fill="auto"/>
            <w:vAlign w:val="bottom"/>
          </w:tcPr>
          <w:p w14:paraId="4603385C" w14:textId="77777777" w:rsidR="004E2F51" w:rsidRPr="004B4498" w:rsidRDefault="004E2F51" w:rsidP="00E032FC">
            <w:pPr>
              <w:rPr>
                <w:rFonts w:ascii="Arial" w:hAnsi="Arial" w:cs="Arial"/>
                <w:color w:val="000000" w:themeColor="text1"/>
                <w:sz w:val="19"/>
                <w:szCs w:val="19"/>
                <w:lang w:val="hr-HR"/>
              </w:rPr>
            </w:pPr>
            <w:r w:rsidRPr="004B4498">
              <w:rPr>
                <w:rFonts w:ascii="Arial" w:hAnsi="Arial" w:cs="Arial"/>
                <w:color w:val="000000" w:themeColor="text1"/>
                <w:sz w:val="19"/>
                <w:szCs w:val="19"/>
                <w:lang w:val="hr-HR"/>
              </w:rPr>
              <w:t xml:space="preserve">Neto dobit/gubitak od tečajnih razlika po rezerviranjima za očekivane gubitke </w:t>
            </w:r>
          </w:p>
        </w:tc>
        <w:tc>
          <w:tcPr>
            <w:tcW w:w="1134" w:type="dxa"/>
            <w:tcBorders>
              <w:top w:val="single" w:sz="4" w:space="0" w:color="auto"/>
              <w:left w:val="nil"/>
              <w:bottom w:val="single" w:sz="4" w:space="0" w:color="auto"/>
              <w:right w:val="nil"/>
            </w:tcBorders>
            <w:vAlign w:val="bottom"/>
          </w:tcPr>
          <w:p w14:paraId="0495FF50" w14:textId="77777777" w:rsidR="004E2F51" w:rsidRPr="004B4498" w:rsidRDefault="004E2F51" w:rsidP="00E032FC">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2</w:t>
            </w:r>
          </w:p>
        </w:tc>
        <w:tc>
          <w:tcPr>
            <w:tcW w:w="1431" w:type="dxa"/>
            <w:tcBorders>
              <w:top w:val="single" w:sz="4" w:space="0" w:color="auto"/>
              <w:left w:val="nil"/>
              <w:bottom w:val="single" w:sz="4" w:space="0" w:color="auto"/>
              <w:right w:val="nil"/>
            </w:tcBorders>
            <w:vAlign w:val="bottom"/>
          </w:tcPr>
          <w:p w14:paraId="09704408" w14:textId="77777777" w:rsidR="004E2F51" w:rsidRPr="004B4498" w:rsidRDefault="004E2F51" w:rsidP="00E032FC">
            <w:pPr>
              <w:jc w:val="right"/>
              <w:rPr>
                <w:rFonts w:ascii="Arial" w:hAnsi="Arial" w:cs="Arial"/>
                <w:color w:val="000000" w:themeColor="text1"/>
                <w:sz w:val="19"/>
                <w:szCs w:val="19"/>
                <w:lang w:val="hr-HR"/>
              </w:rPr>
            </w:pPr>
            <w:r w:rsidRPr="0046584E">
              <w:rPr>
                <w:rFonts w:ascii="Arial" w:hAnsi="Arial" w:cs="Arial"/>
                <w:color w:val="000000" w:themeColor="text1"/>
                <w:sz w:val="19"/>
                <w:szCs w:val="19"/>
                <w:lang w:val="hr-HR"/>
              </w:rPr>
              <w:t>1</w:t>
            </w:r>
          </w:p>
        </w:tc>
        <w:tc>
          <w:tcPr>
            <w:tcW w:w="1127" w:type="dxa"/>
            <w:tcBorders>
              <w:top w:val="single" w:sz="4" w:space="0" w:color="auto"/>
              <w:left w:val="nil"/>
              <w:bottom w:val="single" w:sz="4" w:space="0" w:color="auto"/>
              <w:right w:val="nil"/>
            </w:tcBorders>
            <w:vAlign w:val="bottom"/>
          </w:tcPr>
          <w:p w14:paraId="32EEA194" w14:textId="77777777" w:rsidR="004E2F51" w:rsidRPr="004B4498" w:rsidRDefault="004E2F51" w:rsidP="00E032FC">
            <w:pPr>
              <w:jc w:val="right"/>
              <w:rPr>
                <w:rFonts w:ascii="Arial" w:hAnsi="Arial" w:cs="Arial"/>
                <w:color w:val="000000" w:themeColor="text1"/>
                <w:sz w:val="19"/>
                <w:szCs w:val="19"/>
                <w:lang w:val="hr-HR"/>
              </w:rPr>
            </w:pPr>
            <w:r>
              <w:rPr>
                <w:rFonts w:ascii="Arial" w:hAnsi="Arial" w:cs="Arial"/>
                <w:color w:val="000000" w:themeColor="text1"/>
                <w:sz w:val="19"/>
                <w:szCs w:val="19"/>
                <w:lang w:val="hr-HR"/>
              </w:rPr>
              <w:t>2</w:t>
            </w:r>
          </w:p>
        </w:tc>
        <w:tc>
          <w:tcPr>
            <w:tcW w:w="1126" w:type="dxa"/>
            <w:tcBorders>
              <w:top w:val="single" w:sz="4" w:space="0" w:color="auto"/>
              <w:left w:val="nil"/>
              <w:bottom w:val="single" w:sz="4" w:space="0" w:color="auto"/>
              <w:right w:val="nil"/>
            </w:tcBorders>
            <w:vAlign w:val="bottom"/>
          </w:tcPr>
          <w:p w14:paraId="07B966DD" w14:textId="77777777" w:rsidR="004E2F51" w:rsidRPr="004B4498" w:rsidRDefault="004E2F51" w:rsidP="00E032FC">
            <w:pPr>
              <w:jc w:val="right"/>
              <w:rPr>
                <w:rFonts w:ascii="Arial" w:hAnsi="Arial" w:cs="Arial"/>
                <w:color w:val="000000" w:themeColor="text1"/>
                <w:sz w:val="19"/>
                <w:szCs w:val="19"/>
                <w:lang w:val="hr-HR"/>
              </w:rPr>
            </w:pPr>
            <w:r w:rsidRPr="0046584E">
              <w:rPr>
                <w:rFonts w:ascii="Arial" w:hAnsi="Arial" w:cs="Arial"/>
                <w:color w:val="000000" w:themeColor="text1"/>
                <w:sz w:val="19"/>
                <w:szCs w:val="19"/>
                <w:lang w:val="hr-HR"/>
              </w:rPr>
              <w:t>1</w:t>
            </w:r>
          </w:p>
        </w:tc>
      </w:tr>
      <w:tr w:rsidR="004E2F51" w:rsidRPr="00EF5D3C" w14:paraId="7544B8A5" w14:textId="77777777" w:rsidTr="00E032FC">
        <w:trPr>
          <w:gridAfter w:val="1"/>
          <w:wAfter w:w="15" w:type="dxa"/>
          <w:trHeight w:val="379"/>
        </w:trPr>
        <w:tc>
          <w:tcPr>
            <w:tcW w:w="4537" w:type="dxa"/>
            <w:tcBorders>
              <w:top w:val="nil"/>
              <w:left w:val="nil"/>
              <w:bottom w:val="nil"/>
              <w:right w:val="nil"/>
            </w:tcBorders>
            <w:shd w:val="clear" w:color="auto" w:fill="auto"/>
            <w:vAlign w:val="bottom"/>
          </w:tcPr>
          <w:p w14:paraId="50D6E2FB" w14:textId="77777777" w:rsidR="004E2F51" w:rsidRPr="004B4498" w:rsidRDefault="004E2F51" w:rsidP="00E032FC">
            <w:pPr>
              <w:rPr>
                <w:rFonts w:ascii="Arial" w:hAnsi="Arial" w:cs="Arial"/>
                <w:b/>
                <w:bCs/>
                <w:color w:val="000000" w:themeColor="text1"/>
                <w:sz w:val="19"/>
                <w:szCs w:val="19"/>
                <w:lang w:val="hr-HR"/>
              </w:rPr>
            </w:pPr>
            <w:r w:rsidRPr="004B4498">
              <w:rPr>
                <w:rFonts w:ascii="Arial" w:hAnsi="Arial" w:cs="Arial"/>
                <w:b/>
                <w:bCs/>
                <w:color w:val="000000" w:themeColor="text1"/>
                <w:sz w:val="19"/>
                <w:szCs w:val="19"/>
                <w:lang w:val="hr-HR"/>
              </w:rPr>
              <w:t>Stanje na kraju izvještajnog razdoblja</w:t>
            </w:r>
          </w:p>
        </w:tc>
        <w:tc>
          <w:tcPr>
            <w:tcW w:w="1134" w:type="dxa"/>
            <w:tcBorders>
              <w:top w:val="single" w:sz="4" w:space="0" w:color="auto"/>
              <w:left w:val="nil"/>
              <w:bottom w:val="single" w:sz="12" w:space="0" w:color="auto"/>
              <w:right w:val="nil"/>
            </w:tcBorders>
            <w:vAlign w:val="bottom"/>
          </w:tcPr>
          <w:p w14:paraId="5ECE8A21" w14:textId="77777777" w:rsidR="004E2F51" w:rsidRPr="004B4498" w:rsidRDefault="004E2F51" w:rsidP="00E032FC">
            <w:pPr>
              <w:jc w:val="right"/>
              <w:rPr>
                <w:rFonts w:ascii="Arial" w:hAnsi="Arial" w:cs="Arial"/>
                <w:b/>
                <w:color w:val="000000" w:themeColor="text1"/>
                <w:sz w:val="19"/>
                <w:szCs w:val="19"/>
                <w:lang w:val="hr-HR"/>
              </w:rPr>
            </w:pPr>
            <w:r>
              <w:rPr>
                <w:rFonts w:ascii="Arial" w:hAnsi="Arial" w:cs="Arial"/>
                <w:b/>
                <w:color w:val="000000" w:themeColor="text1"/>
                <w:sz w:val="19"/>
                <w:szCs w:val="19"/>
                <w:lang w:val="hr-HR"/>
              </w:rPr>
              <w:t>31</w:t>
            </w:r>
          </w:p>
        </w:tc>
        <w:tc>
          <w:tcPr>
            <w:tcW w:w="1431" w:type="dxa"/>
            <w:tcBorders>
              <w:top w:val="single" w:sz="4" w:space="0" w:color="auto"/>
              <w:left w:val="nil"/>
              <w:bottom w:val="single" w:sz="12" w:space="0" w:color="auto"/>
              <w:right w:val="nil"/>
            </w:tcBorders>
            <w:vAlign w:val="bottom"/>
          </w:tcPr>
          <w:p w14:paraId="3495F0C0" w14:textId="77777777" w:rsidR="004E2F51" w:rsidRPr="004B4498" w:rsidRDefault="004E2F51" w:rsidP="00E032FC">
            <w:pPr>
              <w:jc w:val="right"/>
              <w:rPr>
                <w:rFonts w:ascii="Arial" w:hAnsi="Arial" w:cs="Arial"/>
                <w:b/>
                <w:color w:val="000000" w:themeColor="text1"/>
                <w:sz w:val="19"/>
                <w:szCs w:val="19"/>
                <w:lang w:val="hr-HR"/>
              </w:rPr>
            </w:pPr>
            <w:r w:rsidRPr="0046584E">
              <w:rPr>
                <w:rFonts w:ascii="Arial" w:hAnsi="Arial" w:cs="Arial"/>
                <w:b/>
                <w:color w:val="000000" w:themeColor="text1"/>
                <w:sz w:val="19"/>
                <w:szCs w:val="19"/>
                <w:lang w:val="hr-HR"/>
              </w:rPr>
              <w:t>1</w:t>
            </w:r>
          </w:p>
        </w:tc>
        <w:tc>
          <w:tcPr>
            <w:tcW w:w="1127" w:type="dxa"/>
            <w:tcBorders>
              <w:top w:val="single" w:sz="4" w:space="0" w:color="auto"/>
              <w:left w:val="nil"/>
              <w:bottom w:val="single" w:sz="12" w:space="0" w:color="auto"/>
              <w:right w:val="nil"/>
            </w:tcBorders>
            <w:vAlign w:val="bottom"/>
          </w:tcPr>
          <w:p w14:paraId="7741CAA4" w14:textId="77777777" w:rsidR="004E2F51" w:rsidRPr="004B4498" w:rsidRDefault="004E2F51" w:rsidP="00E032FC">
            <w:pPr>
              <w:jc w:val="right"/>
              <w:rPr>
                <w:rFonts w:ascii="Arial" w:hAnsi="Arial" w:cs="Arial"/>
                <w:b/>
                <w:color w:val="000000" w:themeColor="text1"/>
                <w:sz w:val="19"/>
                <w:szCs w:val="19"/>
                <w:lang w:val="hr-HR"/>
              </w:rPr>
            </w:pPr>
            <w:r>
              <w:rPr>
                <w:rFonts w:ascii="Arial" w:hAnsi="Arial" w:cs="Arial"/>
                <w:b/>
                <w:color w:val="000000" w:themeColor="text1"/>
                <w:sz w:val="19"/>
                <w:szCs w:val="19"/>
                <w:lang w:val="hr-HR"/>
              </w:rPr>
              <w:t>1</w:t>
            </w:r>
          </w:p>
        </w:tc>
        <w:tc>
          <w:tcPr>
            <w:tcW w:w="1126" w:type="dxa"/>
            <w:tcBorders>
              <w:top w:val="single" w:sz="4" w:space="0" w:color="auto"/>
              <w:left w:val="nil"/>
              <w:bottom w:val="single" w:sz="12" w:space="0" w:color="auto"/>
              <w:right w:val="nil"/>
            </w:tcBorders>
            <w:vAlign w:val="bottom"/>
          </w:tcPr>
          <w:p w14:paraId="3207EE10" w14:textId="77777777" w:rsidR="004E2F51" w:rsidRPr="004B4498" w:rsidRDefault="004E2F51" w:rsidP="00E032FC">
            <w:pPr>
              <w:jc w:val="right"/>
              <w:rPr>
                <w:rFonts w:ascii="Arial" w:hAnsi="Arial" w:cs="Arial"/>
                <w:b/>
                <w:color w:val="000000" w:themeColor="text1"/>
                <w:sz w:val="19"/>
                <w:szCs w:val="19"/>
                <w:lang w:val="hr-HR"/>
              </w:rPr>
            </w:pPr>
            <w:r w:rsidRPr="0046584E">
              <w:rPr>
                <w:rFonts w:ascii="Arial" w:hAnsi="Arial" w:cs="Arial"/>
                <w:b/>
                <w:color w:val="000000" w:themeColor="text1"/>
                <w:sz w:val="19"/>
                <w:szCs w:val="19"/>
                <w:lang w:val="hr-HR"/>
              </w:rPr>
              <w:t>1</w:t>
            </w:r>
          </w:p>
        </w:tc>
      </w:tr>
    </w:tbl>
    <w:p w14:paraId="686C942A" w14:textId="77777777" w:rsidR="004E2F51" w:rsidRPr="004B4498" w:rsidRDefault="004E2F51" w:rsidP="004E2F51">
      <w:pPr>
        <w:pStyle w:val="T1"/>
        <w:spacing w:after="0" w:line="240" w:lineRule="auto"/>
        <w:rPr>
          <w:rFonts w:cs="Arial"/>
          <w:b w:val="0"/>
          <w:color w:val="000000" w:themeColor="text1"/>
          <w:sz w:val="20"/>
          <w:lang w:val="hr-HR"/>
        </w:rPr>
      </w:pPr>
      <w:r w:rsidRPr="004B4498">
        <w:rPr>
          <w:rFonts w:cs="Arial"/>
          <w:b w:val="0"/>
          <w:color w:val="000000" w:themeColor="text1"/>
          <w:sz w:val="20"/>
          <w:lang w:val="hr-HR"/>
        </w:rPr>
        <w:t>Neto dobit/gubitak</w:t>
      </w:r>
      <w:r>
        <w:rPr>
          <w:rFonts w:cs="Arial"/>
          <w:b w:val="0"/>
          <w:color w:val="000000" w:themeColor="text1"/>
          <w:sz w:val="20"/>
          <w:lang w:val="hr-HR"/>
        </w:rPr>
        <w:t xml:space="preserve"> </w:t>
      </w:r>
      <w:r w:rsidRPr="004B4498">
        <w:rPr>
          <w:rFonts w:cs="Arial"/>
          <w:b w:val="0"/>
          <w:color w:val="000000" w:themeColor="text1"/>
          <w:sz w:val="20"/>
          <w:lang w:val="hr-HR"/>
        </w:rPr>
        <w:t>od tečajnih razlika po rezerviranjima za očekivane gubitke prikazan je unutar Neto prihoda/(rashoda) od financijskih aktivnosti u Računu dobiti i gubitka.</w:t>
      </w:r>
    </w:p>
    <w:p w14:paraId="287D03C6" w14:textId="77777777" w:rsidR="004E2F51" w:rsidRPr="00B91D09" w:rsidRDefault="004E2F51" w:rsidP="004E2F51">
      <w:pPr>
        <w:pStyle w:val="T1"/>
        <w:keepNext w:val="0"/>
        <w:rPr>
          <w:rFonts w:cs="Arial"/>
          <w:color w:val="000000" w:themeColor="text1"/>
          <w:sz w:val="22"/>
          <w:szCs w:val="22"/>
          <w:lang w:val="hr-HR"/>
        </w:rPr>
        <w:sectPr w:rsidR="004E2F51" w:rsidRPr="00B91D09" w:rsidSect="00623DBA">
          <w:footerReference w:type="default" r:id="rId122"/>
          <w:pgSz w:w="11907" w:h="16840" w:code="9"/>
          <w:pgMar w:top="1418" w:right="1134" w:bottom="1134" w:left="1418" w:header="851" w:footer="851" w:gutter="0"/>
          <w:cols w:space="720"/>
          <w:noEndnote/>
        </w:sectPr>
      </w:pPr>
    </w:p>
    <w:p w14:paraId="5F0687B6" w14:textId="77777777" w:rsidR="004E2F51" w:rsidRPr="004B4498" w:rsidRDefault="004E2F51" w:rsidP="004E2F51">
      <w:pPr>
        <w:pStyle w:val="T1"/>
        <w:spacing w:before="0" w:after="0" w:line="240" w:lineRule="auto"/>
        <w:rPr>
          <w:rFonts w:cs="Arial"/>
          <w:color w:val="000000" w:themeColor="text1"/>
          <w:sz w:val="20"/>
          <w:lang w:val="hr-HR"/>
        </w:rPr>
      </w:pPr>
    </w:p>
    <w:p w14:paraId="18914795"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14.</w:t>
      </w:r>
      <w:r w:rsidRPr="004B4498">
        <w:rPr>
          <w:rFonts w:cs="Arial"/>
          <w:color w:val="000000" w:themeColor="text1"/>
          <w:sz w:val="20"/>
          <w:lang w:val="hr-HR"/>
        </w:rPr>
        <w:tab/>
        <w:t>Krediti financijskim institucijama</w:t>
      </w:r>
    </w:p>
    <w:p w14:paraId="1873D947" w14:textId="77777777" w:rsidR="004E2F51" w:rsidRPr="004B4498" w:rsidRDefault="004E2F51" w:rsidP="004E2F51">
      <w:pPr>
        <w:tabs>
          <w:tab w:val="left" w:pos="-720"/>
        </w:tabs>
        <w:rPr>
          <w:rFonts w:ascii="Arial" w:hAnsi="Arial" w:cs="Arial"/>
          <w:color w:val="000000" w:themeColor="text1"/>
          <w:sz w:val="20"/>
          <w:szCs w:val="20"/>
          <w:lang w:val="hr-HR"/>
        </w:rPr>
      </w:pPr>
    </w:p>
    <w:tbl>
      <w:tblPr>
        <w:tblW w:w="4789" w:type="pct"/>
        <w:tblLayout w:type="fixed"/>
        <w:tblCellMar>
          <w:left w:w="119" w:type="dxa"/>
          <w:right w:w="119" w:type="dxa"/>
        </w:tblCellMar>
        <w:tblLook w:val="0000" w:firstRow="0" w:lastRow="0" w:firstColumn="0" w:lastColumn="0" w:noHBand="0" w:noVBand="0"/>
      </w:tblPr>
      <w:tblGrid>
        <w:gridCol w:w="5577"/>
        <w:gridCol w:w="1690"/>
        <w:gridCol w:w="1693"/>
      </w:tblGrid>
      <w:tr w:rsidR="004E2F51" w:rsidRPr="007E675A" w14:paraId="4C4252AC" w14:textId="77777777" w:rsidTr="00E032FC">
        <w:trPr>
          <w:trHeight w:val="249"/>
        </w:trPr>
        <w:tc>
          <w:tcPr>
            <w:tcW w:w="3112" w:type="pct"/>
            <w:vAlign w:val="bottom"/>
          </w:tcPr>
          <w:p w14:paraId="2F632A79" w14:textId="77777777" w:rsidR="004E2F51" w:rsidRPr="004B4498" w:rsidRDefault="004E2F51" w:rsidP="00E032FC">
            <w:pPr>
              <w:tabs>
                <w:tab w:val="left" w:pos="-720"/>
              </w:tabs>
              <w:jc w:val="right"/>
              <w:rPr>
                <w:rFonts w:ascii="Arial" w:hAnsi="Arial" w:cs="Arial"/>
                <w:color w:val="000000" w:themeColor="text1"/>
                <w:spacing w:val="-3"/>
                <w:sz w:val="20"/>
                <w:szCs w:val="20"/>
                <w:lang w:val="hr-HR"/>
              </w:rPr>
            </w:pPr>
          </w:p>
        </w:tc>
        <w:tc>
          <w:tcPr>
            <w:tcW w:w="1888" w:type="pct"/>
            <w:gridSpan w:val="2"/>
            <w:vAlign w:val="bottom"/>
          </w:tcPr>
          <w:p w14:paraId="0A6127D8" w14:textId="77777777" w:rsidR="004E2F51" w:rsidRPr="004B4498" w:rsidRDefault="004E2F51" w:rsidP="00E032FC">
            <w:pPr>
              <w:pStyle w:val="TH"/>
              <w:jc w:val="right"/>
              <w:rPr>
                <w:rFonts w:cs="Arial"/>
                <w:color w:val="000000" w:themeColor="text1"/>
                <w:sz w:val="20"/>
                <w:lang w:val="hr-HR"/>
              </w:rPr>
            </w:pPr>
            <w:bookmarkStart w:id="987" w:name="_Toc67327969"/>
            <w:r w:rsidRPr="004B4498">
              <w:rPr>
                <w:rFonts w:cs="Arial"/>
                <w:color w:val="000000" w:themeColor="text1"/>
                <w:sz w:val="20"/>
                <w:lang w:val="hr-HR"/>
              </w:rPr>
              <w:t>Grupa i Banka</w:t>
            </w:r>
            <w:bookmarkEnd w:id="987"/>
          </w:p>
        </w:tc>
      </w:tr>
      <w:tr w:rsidR="004E2F51" w:rsidRPr="007E675A" w14:paraId="52616747" w14:textId="77777777" w:rsidTr="00E032FC">
        <w:trPr>
          <w:trHeight w:val="152"/>
        </w:trPr>
        <w:tc>
          <w:tcPr>
            <w:tcW w:w="3112" w:type="pct"/>
            <w:vAlign w:val="bottom"/>
          </w:tcPr>
          <w:p w14:paraId="276A7C15" w14:textId="77777777" w:rsidR="004E2F51" w:rsidRPr="004B4498" w:rsidRDefault="004E2F51" w:rsidP="00E032FC">
            <w:pPr>
              <w:tabs>
                <w:tab w:val="left" w:pos="-720"/>
              </w:tabs>
              <w:jc w:val="right"/>
              <w:rPr>
                <w:rFonts w:ascii="Arial" w:hAnsi="Arial" w:cs="Arial"/>
                <w:color w:val="000000" w:themeColor="text1"/>
                <w:spacing w:val="-3"/>
                <w:sz w:val="20"/>
                <w:szCs w:val="20"/>
                <w:lang w:val="hr-HR"/>
              </w:rPr>
            </w:pPr>
          </w:p>
        </w:tc>
        <w:tc>
          <w:tcPr>
            <w:tcW w:w="943" w:type="pct"/>
            <w:vAlign w:val="bottom"/>
          </w:tcPr>
          <w:p w14:paraId="3B27052D" w14:textId="77777777" w:rsidR="004E2F51" w:rsidRPr="004B4498" w:rsidRDefault="004E2F51" w:rsidP="00E032FC">
            <w:pPr>
              <w:pStyle w:val="TH"/>
              <w:jc w:val="right"/>
              <w:rPr>
                <w:rFonts w:cs="Arial"/>
                <w:color w:val="000000" w:themeColor="text1"/>
                <w:sz w:val="20"/>
                <w:lang w:val="hr-HR"/>
              </w:rPr>
            </w:pPr>
            <w:bookmarkStart w:id="988" w:name="_Toc67327970"/>
            <w:r w:rsidRPr="004B4498">
              <w:rPr>
                <w:rFonts w:cs="Arial"/>
                <w:color w:val="000000" w:themeColor="text1"/>
                <w:sz w:val="20"/>
                <w:lang w:val="hr-HR"/>
              </w:rPr>
              <w:t>31. prosinca 202</w:t>
            </w:r>
            <w:r>
              <w:rPr>
                <w:rFonts w:cs="Arial"/>
                <w:color w:val="000000" w:themeColor="text1"/>
                <w:sz w:val="20"/>
                <w:lang w:val="hr-HR"/>
              </w:rPr>
              <w:t>2</w:t>
            </w:r>
            <w:r w:rsidRPr="004B4498">
              <w:rPr>
                <w:rFonts w:cs="Arial"/>
                <w:color w:val="000000" w:themeColor="text1"/>
                <w:sz w:val="20"/>
                <w:lang w:val="hr-HR"/>
              </w:rPr>
              <w:t>.</w:t>
            </w:r>
            <w:bookmarkEnd w:id="988"/>
          </w:p>
        </w:tc>
        <w:tc>
          <w:tcPr>
            <w:tcW w:w="945" w:type="pct"/>
            <w:vAlign w:val="bottom"/>
          </w:tcPr>
          <w:p w14:paraId="62FE5721" w14:textId="77777777" w:rsidR="004E2F51" w:rsidRPr="004B4498" w:rsidRDefault="004E2F51" w:rsidP="00E032FC">
            <w:pPr>
              <w:pStyle w:val="TH"/>
              <w:jc w:val="right"/>
              <w:rPr>
                <w:rFonts w:cs="Arial"/>
                <w:color w:val="000000" w:themeColor="text1"/>
                <w:sz w:val="20"/>
                <w:lang w:val="hr-HR"/>
              </w:rPr>
            </w:pPr>
            <w:bookmarkStart w:id="989" w:name="_Toc67327971"/>
            <w:r w:rsidRPr="004B4498">
              <w:rPr>
                <w:rFonts w:cs="Arial"/>
                <w:color w:val="000000" w:themeColor="text1"/>
                <w:sz w:val="20"/>
                <w:lang w:val="hr-HR"/>
              </w:rPr>
              <w:t>31. prosinca 202</w:t>
            </w:r>
            <w:r>
              <w:rPr>
                <w:rFonts w:cs="Arial"/>
                <w:color w:val="000000" w:themeColor="text1"/>
                <w:sz w:val="20"/>
                <w:lang w:val="hr-HR"/>
              </w:rPr>
              <w:t>1</w:t>
            </w:r>
            <w:r w:rsidRPr="004B4498">
              <w:rPr>
                <w:rFonts w:cs="Arial"/>
                <w:color w:val="000000" w:themeColor="text1"/>
                <w:sz w:val="20"/>
                <w:lang w:val="hr-HR"/>
              </w:rPr>
              <w:t>.</w:t>
            </w:r>
            <w:bookmarkEnd w:id="989"/>
          </w:p>
        </w:tc>
      </w:tr>
      <w:tr w:rsidR="004E2F51" w:rsidRPr="007E675A" w14:paraId="5E8079DC" w14:textId="77777777" w:rsidTr="00E032FC">
        <w:trPr>
          <w:trHeight w:val="249"/>
        </w:trPr>
        <w:tc>
          <w:tcPr>
            <w:tcW w:w="3112" w:type="pct"/>
            <w:vAlign w:val="bottom"/>
          </w:tcPr>
          <w:p w14:paraId="7DC3E3E8" w14:textId="77777777" w:rsidR="004E2F51" w:rsidRPr="004B4498" w:rsidRDefault="004E2F51" w:rsidP="00E032FC">
            <w:pPr>
              <w:tabs>
                <w:tab w:val="left" w:pos="-720"/>
              </w:tabs>
              <w:jc w:val="right"/>
              <w:rPr>
                <w:rFonts w:ascii="Arial" w:hAnsi="Arial" w:cs="Arial"/>
                <w:color w:val="000000" w:themeColor="text1"/>
                <w:spacing w:val="-3"/>
                <w:sz w:val="20"/>
                <w:szCs w:val="20"/>
                <w:lang w:val="hr-HR"/>
              </w:rPr>
            </w:pPr>
          </w:p>
        </w:tc>
        <w:tc>
          <w:tcPr>
            <w:tcW w:w="943" w:type="pct"/>
            <w:vAlign w:val="bottom"/>
          </w:tcPr>
          <w:p w14:paraId="5F0B48AB" w14:textId="77777777" w:rsidR="004E2F51" w:rsidRPr="004B4498" w:rsidRDefault="004E2F51" w:rsidP="00E032FC">
            <w:pPr>
              <w:pStyle w:val="TH"/>
              <w:jc w:val="right"/>
              <w:rPr>
                <w:rFonts w:cs="Arial"/>
                <w:color w:val="000000" w:themeColor="text1"/>
                <w:sz w:val="20"/>
                <w:lang w:val="hr-HR"/>
              </w:rPr>
            </w:pPr>
            <w:bookmarkStart w:id="990" w:name="_Toc67327972"/>
            <w:r w:rsidRPr="004B4498">
              <w:rPr>
                <w:rFonts w:cs="Arial"/>
                <w:color w:val="000000" w:themeColor="text1"/>
                <w:sz w:val="20"/>
                <w:lang w:val="hr-HR"/>
              </w:rPr>
              <w:t>000 kuna</w:t>
            </w:r>
            <w:bookmarkEnd w:id="990"/>
          </w:p>
        </w:tc>
        <w:tc>
          <w:tcPr>
            <w:tcW w:w="945" w:type="pct"/>
            <w:vAlign w:val="bottom"/>
          </w:tcPr>
          <w:p w14:paraId="4EEFBF08" w14:textId="77777777" w:rsidR="004E2F51" w:rsidRPr="004B4498" w:rsidRDefault="004E2F51" w:rsidP="00E032FC">
            <w:pPr>
              <w:pStyle w:val="TH"/>
              <w:jc w:val="right"/>
              <w:rPr>
                <w:rFonts w:cs="Arial"/>
                <w:color w:val="000000" w:themeColor="text1"/>
                <w:sz w:val="20"/>
                <w:lang w:val="hr-HR"/>
              </w:rPr>
            </w:pPr>
            <w:bookmarkStart w:id="991" w:name="_Toc67327973"/>
            <w:r w:rsidRPr="004B4498">
              <w:rPr>
                <w:rFonts w:cs="Arial"/>
                <w:color w:val="000000" w:themeColor="text1"/>
                <w:sz w:val="20"/>
                <w:lang w:val="hr-HR"/>
              </w:rPr>
              <w:t>000 kuna</w:t>
            </w:r>
            <w:bookmarkEnd w:id="991"/>
          </w:p>
        </w:tc>
      </w:tr>
      <w:tr w:rsidR="004E2F51" w:rsidRPr="007E675A" w14:paraId="32570C73" w14:textId="77777777" w:rsidTr="00E032FC">
        <w:trPr>
          <w:trHeight w:val="288"/>
        </w:trPr>
        <w:tc>
          <w:tcPr>
            <w:tcW w:w="3112" w:type="pct"/>
            <w:vAlign w:val="bottom"/>
          </w:tcPr>
          <w:p w14:paraId="01CFD29B" w14:textId="77777777" w:rsidR="004E2F51" w:rsidRPr="004B4498" w:rsidRDefault="004E2F51" w:rsidP="00E032FC">
            <w:pPr>
              <w:tabs>
                <w:tab w:val="left" w:pos="-720"/>
              </w:tabs>
              <w:rPr>
                <w:rFonts w:ascii="Arial" w:hAnsi="Arial" w:cs="Arial"/>
                <w:color w:val="000000" w:themeColor="text1"/>
                <w:spacing w:val="-2"/>
                <w:sz w:val="20"/>
                <w:szCs w:val="20"/>
                <w:lang w:val="hr-HR"/>
              </w:rPr>
            </w:pPr>
          </w:p>
        </w:tc>
        <w:tc>
          <w:tcPr>
            <w:tcW w:w="943" w:type="pct"/>
            <w:vAlign w:val="bottom"/>
          </w:tcPr>
          <w:p w14:paraId="1CCF2415" w14:textId="77777777" w:rsidR="004E2F51" w:rsidRPr="004B4498" w:rsidRDefault="004E2F51" w:rsidP="00E032FC">
            <w:pPr>
              <w:tabs>
                <w:tab w:val="left" w:pos="-720"/>
              </w:tabs>
              <w:jc w:val="right"/>
              <w:rPr>
                <w:rFonts w:ascii="Arial" w:hAnsi="Arial" w:cs="Arial"/>
                <w:color w:val="000000" w:themeColor="text1"/>
                <w:spacing w:val="-2"/>
                <w:sz w:val="20"/>
                <w:szCs w:val="20"/>
                <w:lang w:val="hr-HR"/>
              </w:rPr>
            </w:pPr>
          </w:p>
        </w:tc>
        <w:tc>
          <w:tcPr>
            <w:tcW w:w="945" w:type="pct"/>
            <w:vAlign w:val="bottom"/>
          </w:tcPr>
          <w:p w14:paraId="51A7EDB5" w14:textId="77777777" w:rsidR="004E2F51" w:rsidRPr="004B4498" w:rsidRDefault="004E2F51" w:rsidP="00E032FC">
            <w:pPr>
              <w:tabs>
                <w:tab w:val="left" w:pos="-720"/>
              </w:tabs>
              <w:jc w:val="right"/>
              <w:rPr>
                <w:rFonts w:ascii="Arial" w:hAnsi="Arial" w:cs="Arial"/>
                <w:color w:val="000000" w:themeColor="text1"/>
                <w:spacing w:val="-2"/>
                <w:sz w:val="20"/>
                <w:szCs w:val="20"/>
                <w:lang w:val="hr-HR"/>
              </w:rPr>
            </w:pPr>
          </w:p>
        </w:tc>
      </w:tr>
      <w:tr w:rsidR="004E2F51" w:rsidRPr="007E675A" w14:paraId="0160A88A" w14:textId="77777777" w:rsidTr="00E032FC">
        <w:trPr>
          <w:trHeight w:val="259"/>
        </w:trPr>
        <w:tc>
          <w:tcPr>
            <w:tcW w:w="3112" w:type="pct"/>
            <w:vAlign w:val="bottom"/>
          </w:tcPr>
          <w:p w14:paraId="50856D7F" w14:textId="77777777" w:rsidR="004E2F51" w:rsidRPr="004B4498" w:rsidRDefault="004E2F51" w:rsidP="00E032FC">
            <w:pPr>
              <w:pStyle w:val="TT"/>
              <w:rPr>
                <w:rFonts w:cs="Arial"/>
                <w:color w:val="000000" w:themeColor="text1"/>
                <w:sz w:val="20"/>
                <w:lang w:val="hr-HR"/>
              </w:rPr>
            </w:pPr>
            <w:bookmarkStart w:id="992" w:name="_Toc67327974"/>
            <w:r w:rsidRPr="004B4498">
              <w:rPr>
                <w:rFonts w:cs="Arial"/>
                <w:color w:val="000000" w:themeColor="text1"/>
                <w:sz w:val="20"/>
                <w:lang w:val="hr-HR"/>
              </w:rPr>
              <w:t>Dugoročni krediti po kreditnim programima</w:t>
            </w:r>
            <w:bookmarkEnd w:id="992"/>
          </w:p>
        </w:tc>
        <w:tc>
          <w:tcPr>
            <w:tcW w:w="943" w:type="pct"/>
            <w:tcBorders>
              <w:top w:val="nil"/>
              <w:left w:val="nil"/>
              <w:bottom w:val="nil"/>
              <w:right w:val="nil"/>
            </w:tcBorders>
            <w:shd w:val="clear" w:color="auto" w:fill="auto"/>
            <w:vAlign w:val="bottom"/>
          </w:tcPr>
          <w:p w14:paraId="29C6732F" w14:textId="77777777" w:rsidR="004E2F51" w:rsidRPr="004B4498" w:rsidRDefault="004E2F51" w:rsidP="00E032FC">
            <w:pPr>
              <w:pStyle w:val="TT"/>
              <w:jc w:val="right"/>
              <w:rPr>
                <w:rFonts w:cs="Arial"/>
                <w:color w:val="000000" w:themeColor="text1"/>
                <w:sz w:val="20"/>
                <w:lang w:val="hr-HR"/>
              </w:rPr>
            </w:pPr>
            <w:r w:rsidRPr="009112C0">
              <w:rPr>
                <w:rFonts w:cs="Arial"/>
                <w:color w:val="000000" w:themeColor="text1"/>
                <w:sz w:val="20"/>
                <w:lang w:val="hr-HR"/>
              </w:rPr>
              <w:t xml:space="preserve"> 6.937.011 </w:t>
            </w:r>
          </w:p>
        </w:tc>
        <w:tc>
          <w:tcPr>
            <w:tcW w:w="945" w:type="pct"/>
            <w:tcBorders>
              <w:top w:val="nil"/>
              <w:left w:val="nil"/>
              <w:bottom w:val="nil"/>
              <w:right w:val="nil"/>
            </w:tcBorders>
            <w:shd w:val="clear" w:color="auto" w:fill="auto"/>
            <w:vAlign w:val="bottom"/>
          </w:tcPr>
          <w:p w14:paraId="3D3DA7F1" w14:textId="77777777" w:rsidR="004E2F51" w:rsidRPr="004B4498" w:rsidRDefault="004E2F51" w:rsidP="00E032FC">
            <w:pPr>
              <w:pStyle w:val="TT"/>
              <w:jc w:val="right"/>
              <w:rPr>
                <w:rFonts w:cs="Arial"/>
                <w:color w:val="000000" w:themeColor="text1"/>
                <w:sz w:val="20"/>
                <w:lang w:val="hr-HR"/>
              </w:rPr>
            </w:pPr>
            <w:bookmarkStart w:id="993" w:name="_Toc67327975"/>
            <w:r w:rsidRPr="0046584E">
              <w:rPr>
                <w:rFonts w:cs="Arial"/>
                <w:color w:val="000000" w:themeColor="text1"/>
                <w:sz w:val="20"/>
                <w:lang w:val="hr-HR"/>
              </w:rPr>
              <w:t>7.043.581</w:t>
            </w:r>
            <w:bookmarkEnd w:id="993"/>
          </w:p>
        </w:tc>
      </w:tr>
      <w:tr w:rsidR="004E2F51" w:rsidRPr="007E675A" w14:paraId="2151A68E" w14:textId="77777777" w:rsidTr="00E032FC">
        <w:trPr>
          <w:trHeight w:val="248"/>
        </w:trPr>
        <w:tc>
          <w:tcPr>
            <w:tcW w:w="3112" w:type="pct"/>
            <w:vAlign w:val="bottom"/>
          </w:tcPr>
          <w:p w14:paraId="742E5D64" w14:textId="77777777" w:rsidR="004E2F51" w:rsidRPr="004B4498" w:rsidRDefault="004E2F51" w:rsidP="00E032FC">
            <w:pPr>
              <w:pStyle w:val="TT"/>
              <w:rPr>
                <w:rFonts w:cs="Arial"/>
                <w:color w:val="000000" w:themeColor="text1"/>
                <w:sz w:val="20"/>
                <w:lang w:val="hr-HR"/>
              </w:rPr>
            </w:pPr>
            <w:bookmarkStart w:id="994" w:name="_Toc67327977"/>
            <w:r w:rsidRPr="004B4498">
              <w:rPr>
                <w:rFonts w:cs="Arial"/>
                <w:color w:val="000000" w:themeColor="text1"/>
                <w:sz w:val="20"/>
                <w:lang w:val="hr-HR"/>
              </w:rPr>
              <w:t>Kratkoročni plasmani i obrnuti repo poslovi</w:t>
            </w:r>
            <w:bookmarkEnd w:id="994"/>
          </w:p>
        </w:tc>
        <w:tc>
          <w:tcPr>
            <w:tcW w:w="943" w:type="pct"/>
            <w:tcBorders>
              <w:top w:val="nil"/>
              <w:left w:val="nil"/>
              <w:bottom w:val="nil"/>
              <w:right w:val="nil"/>
            </w:tcBorders>
            <w:shd w:val="clear" w:color="auto" w:fill="auto"/>
            <w:vAlign w:val="bottom"/>
          </w:tcPr>
          <w:p w14:paraId="31C1CC6D" w14:textId="77777777" w:rsidR="004E2F51" w:rsidRPr="004B4498" w:rsidRDefault="004E2F51" w:rsidP="00E032FC">
            <w:pPr>
              <w:pStyle w:val="TT"/>
              <w:jc w:val="right"/>
              <w:rPr>
                <w:rFonts w:cs="Arial"/>
                <w:color w:val="000000" w:themeColor="text1"/>
                <w:sz w:val="20"/>
                <w:lang w:val="hr-HR"/>
              </w:rPr>
            </w:pPr>
            <w:r w:rsidRPr="009112C0">
              <w:rPr>
                <w:rFonts w:cs="Arial"/>
                <w:color w:val="000000" w:themeColor="text1"/>
                <w:sz w:val="20"/>
                <w:lang w:val="hr-HR"/>
              </w:rPr>
              <w:t xml:space="preserve"> 120.000 </w:t>
            </w:r>
          </w:p>
        </w:tc>
        <w:tc>
          <w:tcPr>
            <w:tcW w:w="945" w:type="pct"/>
            <w:tcBorders>
              <w:top w:val="nil"/>
              <w:left w:val="nil"/>
              <w:bottom w:val="nil"/>
              <w:right w:val="nil"/>
            </w:tcBorders>
            <w:shd w:val="clear" w:color="auto" w:fill="auto"/>
            <w:vAlign w:val="bottom"/>
          </w:tcPr>
          <w:p w14:paraId="72CC43CB" w14:textId="77777777" w:rsidR="004E2F51" w:rsidRPr="004B4498" w:rsidRDefault="004E2F51" w:rsidP="00E032FC">
            <w:pPr>
              <w:pStyle w:val="TT"/>
              <w:jc w:val="right"/>
              <w:rPr>
                <w:rFonts w:cs="Arial"/>
                <w:color w:val="000000" w:themeColor="text1"/>
                <w:sz w:val="20"/>
                <w:lang w:val="hr-HR"/>
              </w:rPr>
            </w:pPr>
            <w:bookmarkStart w:id="995" w:name="_Toc67327978"/>
            <w:r w:rsidRPr="0046584E">
              <w:rPr>
                <w:rFonts w:cs="Arial"/>
                <w:color w:val="000000" w:themeColor="text1"/>
                <w:sz w:val="20"/>
                <w:lang w:val="hr-HR"/>
              </w:rPr>
              <w:t>83.239</w:t>
            </w:r>
            <w:bookmarkEnd w:id="995"/>
          </w:p>
        </w:tc>
      </w:tr>
      <w:tr w:rsidR="004E2F51" w:rsidRPr="007E675A" w14:paraId="0945633D" w14:textId="77777777" w:rsidTr="00E032FC">
        <w:trPr>
          <w:trHeight w:val="248"/>
        </w:trPr>
        <w:tc>
          <w:tcPr>
            <w:tcW w:w="3112" w:type="pct"/>
            <w:vAlign w:val="bottom"/>
          </w:tcPr>
          <w:p w14:paraId="546F46F6" w14:textId="77777777" w:rsidR="004E2F51" w:rsidRPr="004B4498" w:rsidRDefault="004E2F51" w:rsidP="00E032FC">
            <w:pPr>
              <w:pStyle w:val="TT"/>
              <w:rPr>
                <w:rFonts w:cs="Arial"/>
                <w:color w:val="000000" w:themeColor="text1"/>
                <w:sz w:val="20"/>
                <w:lang w:val="hr-HR"/>
              </w:rPr>
            </w:pPr>
            <w:bookmarkStart w:id="996" w:name="_Toc67327980"/>
            <w:r w:rsidRPr="004B4498">
              <w:rPr>
                <w:rFonts w:cs="Arial"/>
                <w:color w:val="000000" w:themeColor="text1"/>
                <w:sz w:val="20"/>
                <w:lang w:val="hr-HR"/>
              </w:rPr>
              <w:t>Obračunata kamata</w:t>
            </w:r>
            <w:bookmarkEnd w:id="996"/>
          </w:p>
        </w:tc>
        <w:tc>
          <w:tcPr>
            <w:tcW w:w="943" w:type="pct"/>
            <w:tcBorders>
              <w:top w:val="nil"/>
              <w:left w:val="nil"/>
              <w:bottom w:val="nil"/>
              <w:right w:val="nil"/>
            </w:tcBorders>
            <w:shd w:val="clear" w:color="auto" w:fill="auto"/>
            <w:vAlign w:val="bottom"/>
          </w:tcPr>
          <w:p w14:paraId="4C02401B" w14:textId="77777777" w:rsidR="004E2F51" w:rsidRPr="004B4498" w:rsidRDefault="004E2F51" w:rsidP="00E032FC">
            <w:pPr>
              <w:pStyle w:val="TT"/>
              <w:jc w:val="right"/>
              <w:rPr>
                <w:rFonts w:cs="Arial"/>
                <w:color w:val="000000" w:themeColor="text1"/>
                <w:sz w:val="20"/>
                <w:lang w:val="hr-HR"/>
              </w:rPr>
            </w:pPr>
            <w:r w:rsidRPr="009112C0">
              <w:rPr>
                <w:rFonts w:cs="Arial"/>
                <w:color w:val="000000" w:themeColor="text1"/>
                <w:sz w:val="20"/>
                <w:lang w:val="hr-HR"/>
              </w:rPr>
              <w:t xml:space="preserve"> 7.016 </w:t>
            </w:r>
          </w:p>
        </w:tc>
        <w:tc>
          <w:tcPr>
            <w:tcW w:w="945" w:type="pct"/>
            <w:tcBorders>
              <w:top w:val="nil"/>
              <w:left w:val="nil"/>
              <w:bottom w:val="nil"/>
              <w:right w:val="nil"/>
            </w:tcBorders>
            <w:shd w:val="clear" w:color="auto" w:fill="auto"/>
            <w:vAlign w:val="bottom"/>
          </w:tcPr>
          <w:p w14:paraId="0D622580"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3.418</w:t>
            </w:r>
          </w:p>
        </w:tc>
      </w:tr>
      <w:tr w:rsidR="004E2F51" w:rsidRPr="007E675A" w14:paraId="00E631E0" w14:textId="77777777" w:rsidTr="00E032FC">
        <w:trPr>
          <w:trHeight w:val="152"/>
        </w:trPr>
        <w:tc>
          <w:tcPr>
            <w:tcW w:w="3112" w:type="pct"/>
            <w:vAlign w:val="bottom"/>
          </w:tcPr>
          <w:p w14:paraId="45FCD66E" w14:textId="77777777" w:rsidR="004E2F51" w:rsidRPr="004B4498" w:rsidRDefault="004E2F51" w:rsidP="00E032FC">
            <w:pPr>
              <w:pStyle w:val="TT"/>
              <w:rPr>
                <w:rFonts w:cs="Arial"/>
                <w:color w:val="000000" w:themeColor="text1"/>
                <w:sz w:val="20"/>
                <w:lang w:val="hr-HR"/>
              </w:rPr>
            </w:pPr>
            <w:bookmarkStart w:id="997" w:name="_Toc67327983"/>
            <w:r w:rsidRPr="004B4498">
              <w:rPr>
                <w:rFonts w:cs="Arial"/>
                <w:color w:val="000000" w:themeColor="text1"/>
                <w:sz w:val="20"/>
                <w:lang w:val="hr-HR"/>
              </w:rPr>
              <w:t>Odgođena naknada po kreditima</w:t>
            </w:r>
            <w:bookmarkEnd w:id="997"/>
          </w:p>
        </w:tc>
        <w:tc>
          <w:tcPr>
            <w:tcW w:w="943" w:type="pct"/>
            <w:tcBorders>
              <w:top w:val="nil"/>
              <w:left w:val="nil"/>
              <w:right w:val="nil"/>
            </w:tcBorders>
            <w:shd w:val="clear" w:color="auto" w:fill="auto"/>
            <w:vAlign w:val="bottom"/>
          </w:tcPr>
          <w:p w14:paraId="0FBB0771" w14:textId="77777777" w:rsidR="004E2F51" w:rsidRPr="004B4498" w:rsidRDefault="004E2F51" w:rsidP="00E032FC">
            <w:pPr>
              <w:pStyle w:val="TT"/>
              <w:jc w:val="right"/>
              <w:rPr>
                <w:rFonts w:cs="Arial"/>
                <w:color w:val="000000" w:themeColor="text1"/>
                <w:sz w:val="20"/>
                <w:lang w:val="hr-HR"/>
              </w:rPr>
            </w:pPr>
            <w:r w:rsidRPr="009112C0">
              <w:rPr>
                <w:rFonts w:cs="Arial"/>
                <w:color w:val="000000" w:themeColor="text1"/>
                <w:sz w:val="20"/>
                <w:lang w:val="hr-HR"/>
              </w:rPr>
              <w:t xml:space="preserve"> (18.453)</w:t>
            </w:r>
          </w:p>
        </w:tc>
        <w:tc>
          <w:tcPr>
            <w:tcW w:w="945" w:type="pct"/>
            <w:tcBorders>
              <w:top w:val="nil"/>
              <w:left w:val="nil"/>
              <w:right w:val="nil"/>
            </w:tcBorders>
            <w:shd w:val="clear" w:color="auto" w:fill="auto"/>
            <w:vAlign w:val="bottom"/>
          </w:tcPr>
          <w:p w14:paraId="1519267C"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(21.195)</w:t>
            </w:r>
          </w:p>
        </w:tc>
      </w:tr>
      <w:tr w:rsidR="004E2F51" w:rsidRPr="007E675A" w14:paraId="0808E9EF" w14:textId="77777777" w:rsidTr="00E032FC">
        <w:trPr>
          <w:trHeight w:val="282"/>
        </w:trPr>
        <w:tc>
          <w:tcPr>
            <w:tcW w:w="3112" w:type="pct"/>
            <w:vAlign w:val="bottom"/>
          </w:tcPr>
          <w:p w14:paraId="1A141526" w14:textId="77777777" w:rsidR="004E2F51" w:rsidRPr="004B4498" w:rsidRDefault="004E2F51" w:rsidP="00E032FC">
            <w:pPr>
              <w:tabs>
                <w:tab w:val="left" w:pos="-720"/>
              </w:tabs>
              <w:rPr>
                <w:rFonts w:ascii="Arial" w:hAnsi="Arial" w:cs="Arial"/>
                <w:iCs/>
                <w:color w:val="000000" w:themeColor="text1"/>
                <w:spacing w:val="-2"/>
                <w:sz w:val="20"/>
                <w:szCs w:val="20"/>
                <w:lang w:val="hr-HR"/>
              </w:rPr>
            </w:pPr>
          </w:p>
        </w:tc>
        <w:tc>
          <w:tcPr>
            <w:tcW w:w="943" w:type="pct"/>
            <w:tcBorders>
              <w:top w:val="single" w:sz="4" w:space="0" w:color="auto"/>
              <w:bottom w:val="single" w:sz="4" w:space="0" w:color="auto"/>
            </w:tcBorders>
            <w:vAlign w:val="bottom"/>
          </w:tcPr>
          <w:p w14:paraId="0F7C242E" w14:textId="77777777" w:rsidR="004E2F51" w:rsidRPr="004B4498" w:rsidRDefault="004E2F51" w:rsidP="00E032FC">
            <w:pPr>
              <w:pStyle w:val="Tot"/>
              <w:jc w:val="right"/>
              <w:rPr>
                <w:rFonts w:cs="Arial"/>
                <w:color w:val="000000" w:themeColor="text1"/>
                <w:sz w:val="20"/>
                <w:lang w:val="hr-HR"/>
              </w:rPr>
            </w:pPr>
            <w:r w:rsidRPr="009112C0">
              <w:rPr>
                <w:rFonts w:cs="Arial"/>
                <w:color w:val="000000" w:themeColor="text1"/>
                <w:sz w:val="20"/>
                <w:lang w:val="hr-HR"/>
              </w:rPr>
              <w:t>7.045.574</w:t>
            </w:r>
          </w:p>
        </w:tc>
        <w:tc>
          <w:tcPr>
            <w:tcW w:w="945" w:type="pct"/>
            <w:tcBorders>
              <w:top w:val="single" w:sz="4" w:space="0" w:color="auto"/>
              <w:bottom w:val="single" w:sz="4" w:space="0" w:color="auto"/>
            </w:tcBorders>
            <w:vAlign w:val="bottom"/>
          </w:tcPr>
          <w:p w14:paraId="2884C1BB" w14:textId="77777777" w:rsidR="004E2F51" w:rsidRPr="004B4498" w:rsidRDefault="004E2F51" w:rsidP="00E032FC">
            <w:pPr>
              <w:pStyle w:val="Tot"/>
              <w:jc w:val="right"/>
              <w:rPr>
                <w:rFonts w:cs="Arial"/>
                <w:color w:val="000000" w:themeColor="text1"/>
                <w:sz w:val="20"/>
                <w:lang w:val="hr-HR"/>
              </w:rPr>
            </w:pPr>
            <w:r w:rsidRPr="0046584E">
              <w:rPr>
                <w:rFonts w:cs="Arial"/>
                <w:color w:val="000000" w:themeColor="text1"/>
                <w:sz w:val="20"/>
                <w:lang w:val="hr-HR"/>
              </w:rPr>
              <w:t>7.109.043</w:t>
            </w:r>
          </w:p>
        </w:tc>
      </w:tr>
      <w:tr w:rsidR="004E2F51" w:rsidRPr="007E675A" w14:paraId="5619511C" w14:textId="77777777" w:rsidTr="00E032FC">
        <w:trPr>
          <w:trHeight w:val="112"/>
        </w:trPr>
        <w:tc>
          <w:tcPr>
            <w:tcW w:w="3112" w:type="pct"/>
            <w:vAlign w:val="bottom"/>
          </w:tcPr>
          <w:p w14:paraId="59031A20" w14:textId="77777777" w:rsidR="004E2F51" w:rsidRPr="004B4498" w:rsidRDefault="004E2F51" w:rsidP="00E032FC">
            <w:pPr>
              <w:tabs>
                <w:tab w:val="left" w:pos="-720"/>
              </w:tabs>
              <w:rPr>
                <w:rFonts w:ascii="Arial" w:hAnsi="Arial" w:cs="Arial"/>
                <w:iCs/>
                <w:color w:val="000000" w:themeColor="text1"/>
                <w:spacing w:val="-2"/>
                <w:sz w:val="20"/>
                <w:szCs w:val="20"/>
                <w:lang w:val="hr-HR"/>
              </w:rPr>
            </w:pPr>
          </w:p>
        </w:tc>
        <w:tc>
          <w:tcPr>
            <w:tcW w:w="943" w:type="pct"/>
            <w:tcBorders>
              <w:top w:val="single" w:sz="4" w:space="0" w:color="auto"/>
            </w:tcBorders>
            <w:vAlign w:val="bottom"/>
          </w:tcPr>
          <w:p w14:paraId="670E2AD5" w14:textId="77777777" w:rsidR="004E2F51" w:rsidRPr="004B4498" w:rsidRDefault="004E2F51" w:rsidP="00E032FC">
            <w:pPr>
              <w:jc w:val="right"/>
              <w:rPr>
                <w:rFonts w:ascii="Arial" w:hAnsi="Arial" w:cs="Arial"/>
                <w:iCs/>
                <w:color w:val="000000" w:themeColor="text1"/>
                <w:spacing w:val="-2"/>
                <w:sz w:val="20"/>
                <w:szCs w:val="20"/>
                <w:lang w:val="hr-HR"/>
              </w:rPr>
            </w:pPr>
          </w:p>
        </w:tc>
        <w:tc>
          <w:tcPr>
            <w:tcW w:w="945" w:type="pct"/>
            <w:tcBorders>
              <w:top w:val="single" w:sz="4" w:space="0" w:color="auto"/>
            </w:tcBorders>
            <w:vAlign w:val="bottom"/>
          </w:tcPr>
          <w:p w14:paraId="258E1070" w14:textId="77777777" w:rsidR="004E2F51" w:rsidRPr="004B4498" w:rsidRDefault="004E2F51" w:rsidP="00E032FC">
            <w:pPr>
              <w:jc w:val="right"/>
              <w:rPr>
                <w:rFonts w:ascii="Arial" w:hAnsi="Arial" w:cs="Arial"/>
                <w:iCs/>
                <w:color w:val="000000" w:themeColor="text1"/>
                <w:spacing w:val="-2"/>
                <w:sz w:val="20"/>
                <w:szCs w:val="20"/>
                <w:lang w:val="hr-HR"/>
              </w:rPr>
            </w:pPr>
          </w:p>
        </w:tc>
      </w:tr>
      <w:tr w:rsidR="004E2F51" w:rsidRPr="007E675A" w14:paraId="5857E957" w14:textId="77777777" w:rsidTr="00E032FC">
        <w:trPr>
          <w:trHeight w:val="248"/>
        </w:trPr>
        <w:tc>
          <w:tcPr>
            <w:tcW w:w="3112" w:type="pct"/>
            <w:vAlign w:val="bottom"/>
          </w:tcPr>
          <w:p w14:paraId="24497065" w14:textId="77777777" w:rsidR="004E2F51" w:rsidRPr="004B4498" w:rsidRDefault="004E2F51" w:rsidP="00E032FC">
            <w:pPr>
              <w:pStyle w:val="TT"/>
              <w:rPr>
                <w:rFonts w:cs="Arial"/>
                <w:color w:val="000000" w:themeColor="text1"/>
                <w:sz w:val="20"/>
                <w:lang w:val="hr-HR"/>
              </w:rPr>
            </w:pPr>
            <w:bookmarkStart w:id="998" w:name="_Toc67327988"/>
            <w:r w:rsidRPr="004B4498">
              <w:rPr>
                <w:rFonts w:cs="Arial"/>
                <w:color w:val="000000" w:themeColor="text1"/>
                <w:sz w:val="20"/>
                <w:lang w:val="hr-HR"/>
              </w:rPr>
              <w:t>Rezerviranja za očekivane gubitke</w:t>
            </w:r>
            <w:bookmarkEnd w:id="998"/>
          </w:p>
        </w:tc>
        <w:tc>
          <w:tcPr>
            <w:tcW w:w="943" w:type="pct"/>
            <w:tcBorders>
              <w:bottom w:val="single" w:sz="4" w:space="0" w:color="auto"/>
            </w:tcBorders>
            <w:vAlign w:val="bottom"/>
          </w:tcPr>
          <w:p w14:paraId="3069A8A3" w14:textId="77777777" w:rsidR="004E2F51" w:rsidRPr="004B4498" w:rsidRDefault="004E2F51" w:rsidP="00E032FC">
            <w:pPr>
              <w:tabs>
                <w:tab w:val="left" w:pos="-720"/>
              </w:tabs>
              <w:jc w:val="right"/>
              <w:rPr>
                <w:rFonts w:ascii="Arial" w:hAnsi="Arial" w:cs="Arial"/>
                <w:color w:val="000000" w:themeColor="text1"/>
                <w:sz w:val="20"/>
                <w:szCs w:val="20"/>
                <w:lang w:val="hr-HR"/>
              </w:rPr>
            </w:pPr>
            <w:r w:rsidRPr="009112C0">
              <w:rPr>
                <w:rFonts w:ascii="Arial" w:hAnsi="Arial" w:cs="Arial"/>
                <w:color w:val="000000" w:themeColor="text1"/>
                <w:sz w:val="20"/>
                <w:szCs w:val="20"/>
                <w:lang w:val="hr-HR"/>
              </w:rPr>
              <w:t>(60.862)</w:t>
            </w:r>
          </w:p>
        </w:tc>
        <w:tc>
          <w:tcPr>
            <w:tcW w:w="945" w:type="pct"/>
            <w:tcBorders>
              <w:bottom w:val="single" w:sz="4" w:space="0" w:color="auto"/>
            </w:tcBorders>
            <w:vAlign w:val="bottom"/>
          </w:tcPr>
          <w:p w14:paraId="607735CD" w14:textId="77777777" w:rsidR="004E2F51" w:rsidRPr="004B4498" w:rsidRDefault="004E2F51" w:rsidP="00E032FC">
            <w:pPr>
              <w:tabs>
                <w:tab w:val="left" w:pos="-720"/>
              </w:tabs>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(58.900)</w:t>
            </w:r>
          </w:p>
        </w:tc>
      </w:tr>
      <w:tr w:rsidR="004E2F51" w:rsidRPr="007E675A" w14:paraId="44C4597F" w14:textId="77777777" w:rsidTr="00E032FC">
        <w:trPr>
          <w:trHeight w:val="288"/>
        </w:trPr>
        <w:tc>
          <w:tcPr>
            <w:tcW w:w="3112" w:type="pct"/>
            <w:vAlign w:val="bottom"/>
          </w:tcPr>
          <w:p w14:paraId="3F9F8FB6" w14:textId="77777777" w:rsidR="004E2F51" w:rsidRPr="004B4498" w:rsidRDefault="004E2F51" w:rsidP="00E032FC">
            <w:pPr>
              <w:tabs>
                <w:tab w:val="left" w:pos="-720"/>
              </w:tabs>
              <w:rPr>
                <w:rFonts w:ascii="Arial" w:hAnsi="Arial" w:cs="Arial"/>
                <w:b/>
                <w:bCs/>
                <w:color w:val="000000" w:themeColor="text1"/>
                <w:sz w:val="20"/>
                <w:szCs w:val="20"/>
                <w:lang w:val="hr-HR"/>
              </w:rPr>
            </w:pPr>
          </w:p>
        </w:tc>
        <w:tc>
          <w:tcPr>
            <w:tcW w:w="943" w:type="pct"/>
            <w:tcBorders>
              <w:top w:val="single" w:sz="4" w:space="0" w:color="auto"/>
              <w:bottom w:val="single" w:sz="12" w:space="0" w:color="auto"/>
            </w:tcBorders>
            <w:vAlign w:val="bottom"/>
          </w:tcPr>
          <w:p w14:paraId="6759228A" w14:textId="77777777" w:rsidR="004E2F51" w:rsidRPr="004B4498" w:rsidRDefault="004E2F51" w:rsidP="00E032FC">
            <w:pPr>
              <w:pStyle w:val="Tot"/>
              <w:jc w:val="right"/>
              <w:rPr>
                <w:rFonts w:cs="Arial"/>
                <w:b/>
                <w:bCs/>
                <w:color w:val="000000" w:themeColor="text1"/>
                <w:sz w:val="20"/>
                <w:lang w:val="hr-HR"/>
              </w:rPr>
            </w:pPr>
            <w:r w:rsidRPr="009112C0">
              <w:rPr>
                <w:rFonts w:cs="Arial"/>
                <w:b/>
                <w:bCs/>
                <w:color w:val="000000" w:themeColor="text1"/>
                <w:sz w:val="20"/>
                <w:lang w:val="hr-HR"/>
              </w:rPr>
              <w:t>6.984.712</w:t>
            </w:r>
          </w:p>
        </w:tc>
        <w:tc>
          <w:tcPr>
            <w:tcW w:w="945" w:type="pct"/>
            <w:tcBorders>
              <w:top w:val="single" w:sz="4" w:space="0" w:color="auto"/>
              <w:bottom w:val="single" w:sz="12" w:space="0" w:color="auto"/>
            </w:tcBorders>
            <w:vAlign w:val="bottom"/>
          </w:tcPr>
          <w:p w14:paraId="618EF7C6" w14:textId="77777777" w:rsidR="004E2F51" w:rsidRPr="004B4498" w:rsidRDefault="004E2F51" w:rsidP="00E032FC">
            <w:pPr>
              <w:pStyle w:val="Tot"/>
              <w:jc w:val="right"/>
              <w:rPr>
                <w:rFonts w:cs="Arial"/>
                <w:b/>
                <w:bCs/>
                <w:color w:val="000000" w:themeColor="text1"/>
                <w:sz w:val="20"/>
                <w:lang w:val="hr-HR"/>
              </w:rPr>
            </w:pPr>
            <w:r w:rsidRPr="0046584E">
              <w:rPr>
                <w:rFonts w:cs="Arial"/>
                <w:b/>
                <w:bCs/>
                <w:color w:val="000000" w:themeColor="text1"/>
                <w:sz w:val="20"/>
                <w:lang w:val="hr-HR"/>
              </w:rPr>
              <w:t>7.050.143</w:t>
            </w:r>
          </w:p>
        </w:tc>
      </w:tr>
    </w:tbl>
    <w:p w14:paraId="3BAA2C90" w14:textId="77777777" w:rsidR="004E2F51" w:rsidRPr="004B4498" w:rsidRDefault="004E2F51" w:rsidP="004E2F51">
      <w:pPr>
        <w:jc w:val="both"/>
        <w:rPr>
          <w:rFonts w:ascii="Arial" w:hAnsi="Arial" w:cs="Arial"/>
          <w:color w:val="000000" w:themeColor="text1"/>
          <w:sz w:val="20"/>
          <w:szCs w:val="20"/>
          <w:lang w:val="hr-HR"/>
        </w:rPr>
      </w:pPr>
    </w:p>
    <w:p w14:paraId="0A7C5879" w14:textId="77777777" w:rsidR="004E2F51" w:rsidRPr="004B4498" w:rsidRDefault="004E2F51" w:rsidP="004E2F51">
      <w:pPr>
        <w:jc w:val="both"/>
        <w:rPr>
          <w:rFonts w:ascii="Arial" w:hAnsi="Arial" w:cs="Arial"/>
          <w:color w:val="000000" w:themeColor="text1"/>
          <w:sz w:val="20"/>
          <w:szCs w:val="20"/>
          <w:lang w:val="hr-HR"/>
        </w:rPr>
      </w:pPr>
    </w:p>
    <w:p w14:paraId="5F5ACA5C" w14:textId="77777777" w:rsidR="004E2F51" w:rsidRPr="004B4498" w:rsidRDefault="004E2F51" w:rsidP="004E2F51">
      <w:pPr>
        <w:jc w:val="both"/>
        <w:rPr>
          <w:rFonts w:ascii="Arial" w:hAnsi="Arial" w:cs="Arial"/>
          <w:color w:val="000000" w:themeColor="text1"/>
          <w:sz w:val="20"/>
          <w:szCs w:val="20"/>
          <w:lang w:val="hr-HR"/>
        </w:rPr>
      </w:pPr>
      <w:bookmarkStart w:id="999" w:name="_Hlk1479686"/>
      <w:r w:rsidRPr="004B4498">
        <w:rPr>
          <w:rFonts w:ascii="Arial" w:hAnsi="Arial" w:cs="Arial"/>
          <w:color w:val="000000" w:themeColor="text1"/>
          <w:sz w:val="20"/>
          <w:szCs w:val="20"/>
          <w:lang w:val="hr-HR"/>
        </w:rPr>
        <w:t>Sljedeće tablice prikazuju informacije o kreditnoj kvaliteti financijske imovine koja se mjeri po amortiziranom trošku. Iznosi u tablici predstavljaju bruto knjigovodstvene iznose:</w:t>
      </w:r>
    </w:p>
    <w:p w14:paraId="3912124D" w14:textId="77777777" w:rsidR="004E2F51" w:rsidRPr="004B4498" w:rsidRDefault="004E2F51" w:rsidP="004E2F51">
      <w:pPr>
        <w:jc w:val="both"/>
        <w:rPr>
          <w:rFonts w:ascii="Arial" w:hAnsi="Arial" w:cs="Arial"/>
          <w:color w:val="000000" w:themeColor="text1"/>
          <w:sz w:val="20"/>
          <w:szCs w:val="20"/>
          <w:lang w:val="hr-HR"/>
        </w:rPr>
      </w:pPr>
    </w:p>
    <w:tbl>
      <w:tblPr>
        <w:tblpPr w:leftFromText="180" w:rightFromText="180" w:vertAnchor="text" w:horzAnchor="margin" w:tblpY="53"/>
        <w:tblW w:w="8976" w:type="dxa"/>
        <w:tblLayout w:type="fixed"/>
        <w:tblLook w:val="04A0" w:firstRow="1" w:lastRow="0" w:firstColumn="1" w:lastColumn="0" w:noHBand="0" w:noVBand="1"/>
      </w:tblPr>
      <w:tblGrid>
        <w:gridCol w:w="2671"/>
        <w:gridCol w:w="1623"/>
        <w:gridCol w:w="1521"/>
        <w:gridCol w:w="1521"/>
        <w:gridCol w:w="1640"/>
      </w:tblGrid>
      <w:tr w:rsidR="004E2F51" w:rsidRPr="007E675A" w14:paraId="2AC596AA" w14:textId="77777777" w:rsidTr="00E032FC">
        <w:trPr>
          <w:trHeight w:val="323"/>
        </w:trPr>
        <w:tc>
          <w:tcPr>
            <w:tcW w:w="2671" w:type="dxa"/>
            <w:tcBorders>
              <w:top w:val="nil"/>
              <w:left w:val="nil"/>
              <w:bottom w:val="nil"/>
              <w:right w:val="nil"/>
            </w:tcBorders>
            <w:shd w:val="clear" w:color="auto" w:fill="auto"/>
            <w:noWrap/>
            <w:vAlign w:val="bottom"/>
            <w:hideMark/>
          </w:tcPr>
          <w:p w14:paraId="0554D683" w14:textId="77777777" w:rsidR="004E2F51" w:rsidRPr="004B4498" w:rsidRDefault="004E2F51" w:rsidP="00E032FC">
            <w:pPr>
              <w:rPr>
                <w:rFonts w:ascii="Arial" w:hAnsi="Arial" w:cs="Arial"/>
                <w:b/>
                <w:color w:val="000000" w:themeColor="text1"/>
                <w:sz w:val="18"/>
                <w:szCs w:val="18"/>
                <w:lang w:val="hr-HR"/>
              </w:rPr>
            </w:pPr>
            <w:r w:rsidRPr="004B4498">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2</w:t>
            </w:r>
            <w:r w:rsidRPr="004B4498">
              <w:rPr>
                <w:rFonts w:ascii="Arial" w:hAnsi="Arial" w:cs="Arial"/>
                <w:b/>
                <w:color w:val="000000" w:themeColor="text1"/>
                <w:sz w:val="18"/>
                <w:szCs w:val="18"/>
                <w:lang w:val="hr-HR"/>
              </w:rPr>
              <w:t xml:space="preserve">.    </w:t>
            </w:r>
          </w:p>
        </w:tc>
        <w:tc>
          <w:tcPr>
            <w:tcW w:w="1623" w:type="dxa"/>
            <w:tcBorders>
              <w:top w:val="nil"/>
              <w:left w:val="nil"/>
              <w:bottom w:val="nil"/>
              <w:right w:val="nil"/>
            </w:tcBorders>
            <w:shd w:val="clear" w:color="auto" w:fill="auto"/>
            <w:noWrap/>
            <w:vAlign w:val="bottom"/>
            <w:hideMark/>
          </w:tcPr>
          <w:p w14:paraId="22B61E75" w14:textId="77777777" w:rsidR="004E2F51" w:rsidRPr="004B4498" w:rsidRDefault="004E2F51" w:rsidP="00E032FC">
            <w:pPr>
              <w:rPr>
                <w:rFonts w:ascii="Arial" w:hAnsi="Arial" w:cs="Arial"/>
                <w:color w:val="000000" w:themeColor="text1"/>
                <w:sz w:val="18"/>
                <w:szCs w:val="18"/>
                <w:lang w:val="hr-HR"/>
              </w:rPr>
            </w:pPr>
          </w:p>
        </w:tc>
        <w:tc>
          <w:tcPr>
            <w:tcW w:w="1521" w:type="dxa"/>
            <w:tcBorders>
              <w:top w:val="nil"/>
              <w:left w:val="nil"/>
              <w:bottom w:val="nil"/>
              <w:right w:val="nil"/>
            </w:tcBorders>
            <w:shd w:val="clear" w:color="auto" w:fill="auto"/>
            <w:noWrap/>
            <w:vAlign w:val="bottom"/>
            <w:hideMark/>
          </w:tcPr>
          <w:p w14:paraId="3FBB3131" w14:textId="77777777" w:rsidR="004E2F51" w:rsidRPr="004B4498" w:rsidRDefault="004E2F51" w:rsidP="00E032FC">
            <w:pPr>
              <w:jc w:val="right"/>
              <w:rPr>
                <w:rFonts w:ascii="Arial" w:hAnsi="Arial" w:cs="Arial"/>
                <w:color w:val="000000" w:themeColor="text1"/>
                <w:sz w:val="18"/>
                <w:szCs w:val="18"/>
                <w:lang w:val="hr-HR"/>
              </w:rPr>
            </w:pPr>
          </w:p>
        </w:tc>
        <w:tc>
          <w:tcPr>
            <w:tcW w:w="1521" w:type="dxa"/>
            <w:tcBorders>
              <w:top w:val="nil"/>
              <w:left w:val="nil"/>
              <w:bottom w:val="nil"/>
              <w:right w:val="nil"/>
            </w:tcBorders>
            <w:shd w:val="clear" w:color="auto" w:fill="auto"/>
            <w:noWrap/>
            <w:vAlign w:val="bottom"/>
            <w:hideMark/>
          </w:tcPr>
          <w:p w14:paraId="0B5AF19B" w14:textId="77777777" w:rsidR="004E2F51" w:rsidRPr="004B4498" w:rsidRDefault="004E2F51" w:rsidP="00E032FC">
            <w:pPr>
              <w:jc w:val="right"/>
              <w:rPr>
                <w:rFonts w:ascii="Arial" w:hAnsi="Arial" w:cs="Arial"/>
                <w:color w:val="000000" w:themeColor="text1"/>
                <w:sz w:val="18"/>
                <w:szCs w:val="18"/>
                <w:lang w:val="hr-HR"/>
              </w:rPr>
            </w:pPr>
          </w:p>
        </w:tc>
        <w:tc>
          <w:tcPr>
            <w:tcW w:w="1640" w:type="dxa"/>
            <w:tcBorders>
              <w:top w:val="nil"/>
              <w:left w:val="nil"/>
              <w:bottom w:val="nil"/>
              <w:right w:val="nil"/>
            </w:tcBorders>
            <w:shd w:val="clear" w:color="auto" w:fill="auto"/>
            <w:noWrap/>
            <w:vAlign w:val="bottom"/>
            <w:hideMark/>
          </w:tcPr>
          <w:p w14:paraId="3AF381C1"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Grupa i Banka</w:t>
            </w:r>
          </w:p>
        </w:tc>
      </w:tr>
      <w:tr w:rsidR="004E2F51" w:rsidRPr="007E675A" w14:paraId="304B68F2" w14:textId="77777777" w:rsidTr="00E032FC">
        <w:trPr>
          <w:trHeight w:val="323"/>
        </w:trPr>
        <w:tc>
          <w:tcPr>
            <w:tcW w:w="2671" w:type="dxa"/>
            <w:tcBorders>
              <w:top w:val="nil"/>
              <w:left w:val="nil"/>
              <w:bottom w:val="nil"/>
              <w:right w:val="nil"/>
            </w:tcBorders>
            <w:shd w:val="clear" w:color="auto" w:fill="auto"/>
            <w:noWrap/>
            <w:vAlign w:val="bottom"/>
            <w:hideMark/>
          </w:tcPr>
          <w:p w14:paraId="7931D185" w14:textId="77777777" w:rsidR="004E2F51" w:rsidRPr="004B4498" w:rsidRDefault="004E2F51" w:rsidP="00E032FC">
            <w:pPr>
              <w:jc w:val="right"/>
              <w:rPr>
                <w:rFonts w:ascii="Arial" w:hAnsi="Arial" w:cs="Arial"/>
                <w:b/>
                <w:bCs/>
                <w:color w:val="000000" w:themeColor="text1"/>
                <w:sz w:val="18"/>
                <w:szCs w:val="18"/>
                <w:lang w:val="hr-HR"/>
              </w:rPr>
            </w:pPr>
          </w:p>
        </w:tc>
        <w:tc>
          <w:tcPr>
            <w:tcW w:w="1623" w:type="dxa"/>
            <w:tcBorders>
              <w:top w:val="nil"/>
              <w:left w:val="nil"/>
              <w:bottom w:val="nil"/>
              <w:right w:val="nil"/>
            </w:tcBorders>
            <w:shd w:val="clear" w:color="auto" w:fill="auto"/>
            <w:noWrap/>
            <w:vAlign w:val="bottom"/>
            <w:hideMark/>
          </w:tcPr>
          <w:p w14:paraId="073FCC63"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1</w:t>
            </w:r>
          </w:p>
        </w:tc>
        <w:tc>
          <w:tcPr>
            <w:tcW w:w="1521" w:type="dxa"/>
            <w:tcBorders>
              <w:top w:val="nil"/>
              <w:left w:val="nil"/>
              <w:bottom w:val="nil"/>
              <w:right w:val="nil"/>
            </w:tcBorders>
            <w:shd w:val="clear" w:color="auto" w:fill="auto"/>
            <w:noWrap/>
            <w:vAlign w:val="bottom"/>
            <w:hideMark/>
          </w:tcPr>
          <w:p w14:paraId="3590A930"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2</w:t>
            </w:r>
          </w:p>
        </w:tc>
        <w:tc>
          <w:tcPr>
            <w:tcW w:w="1521" w:type="dxa"/>
            <w:tcBorders>
              <w:top w:val="nil"/>
              <w:left w:val="nil"/>
              <w:bottom w:val="nil"/>
              <w:right w:val="nil"/>
            </w:tcBorders>
            <w:shd w:val="clear" w:color="auto" w:fill="auto"/>
            <w:noWrap/>
            <w:vAlign w:val="bottom"/>
            <w:hideMark/>
          </w:tcPr>
          <w:p w14:paraId="09B76B43"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3</w:t>
            </w:r>
          </w:p>
        </w:tc>
        <w:tc>
          <w:tcPr>
            <w:tcW w:w="1640" w:type="dxa"/>
            <w:tcBorders>
              <w:top w:val="nil"/>
              <w:left w:val="nil"/>
              <w:bottom w:val="nil"/>
              <w:right w:val="nil"/>
            </w:tcBorders>
            <w:shd w:val="clear" w:color="auto" w:fill="auto"/>
            <w:noWrap/>
            <w:vAlign w:val="bottom"/>
            <w:hideMark/>
          </w:tcPr>
          <w:p w14:paraId="5C9A8E21"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Ukupno</w:t>
            </w:r>
          </w:p>
        </w:tc>
      </w:tr>
      <w:tr w:rsidR="004E2F51" w:rsidRPr="007E675A" w14:paraId="00CC6E63" w14:textId="77777777" w:rsidTr="00E032FC">
        <w:trPr>
          <w:trHeight w:val="323"/>
        </w:trPr>
        <w:tc>
          <w:tcPr>
            <w:tcW w:w="2671" w:type="dxa"/>
            <w:tcBorders>
              <w:top w:val="nil"/>
              <w:left w:val="nil"/>
              <w:bottom w:val="nil"/>
              <w:right w:val="nil"/>
            </w:tcBorders>
            <w:shd w:val="clear" w:color="auto" w:fill="auto"/>
            <w:noWrap/>
            <w:vAlign w:val="bottom"/>
            <w:hideMark/>
          </w:tcPr>
          <w:p w14:paraId="5805E766" w14:textId="77777777" w:rsidR="004E2F51" w:rsidRPr="004B4498" w:rsidRDefault="004E2F51" w:rsidP="00E032FC">
            <w:pPr>
              <w:jc w:val="right"/>
              <w:rPr>
                <w:rFonts w:ascii="Arial" w:hAnsi="Arial" w:cs="Arial"/>
                <w:b/>
                <w:bCs/>
                <w:color w:val="000000" w:themeColor="text1"/>
                <w:sz w:val="18"/>
                <w:szCs w:val="18"/>
                <w:lang w:val="hr-HR"/>
              </w:rPr>
            </w:pPr>
          </w:p>
        </w:tc>
        <w:tc>
          <w:tcPr>
            <w:tcW w:w="1623" w:type="dxa"/>
            <w:tcBorders>
              <w:top w:val="nil"/>
              <w:left w:val="nil"/>
              <w:bottom w:val="nil"/>
              <w:right w:val="nil"/>
            </w:tcBorders>
            <w:shd w:val="clear" w:color="auto" w:fill="auto"/>
            <w:noWrap/>
            <w:vAlign w:val="bottom"/>
            <w:hideMark/>
          </w:tcPr>
          <w:p w14:paraId="758B2BF0"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c>
          <w:tcPr>
            <w:tcW w:w="1521" w:type="dxa"/>
            <w:tcBorders>
              <w:top w:val="nil"/>
              <w:left w:val="nil"/>
              <w:bottom w:val="nil"/>
              <w:right w:val="nil"/>
            </w:tcBorders>
            <w:shd w:val="clear" w:color="auto" w:fill="auto"/>
            <w:noWrap/>
            <w:vAlign w:val="bottom"/>
            <w:hideMark/>
          </w:tcPr>
          <w:p w14:paraId="77218800"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c>
          <w:tcPr>
            <w:tcW w:w="1521" w:type="dxa"/>
            <w:tcBorders>
              <w:top w:val="nil"/>
              <w:left w:val="nil"/>
              <w:bottom w:val="nil"/>
              <w:right w:val="nil"/>
            </w:tcBorders>
            <w:shd w:val="clear" w:color="auto" w:fill="auto"/>
            <w:noWrap/>
            <w:vAlign w:val="bottom"/>
            <w:hideMark/>
          </w:tcPr>
          <w:p w14:paraId="5C6B64E7"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c>
          <w:tcPr>
            <w:tcW w:w="1640" w:type="dxa"/>
            <w:tcBorders>
              <w:top w:val="nil"/>
              <w:left w:val="nil"/>
              <w:bottom w:val="nil"/>
              <w:right w:val="nil"/>
            </w:tcBorders>
            <w:shd w:val="clear" w:color="auto" w:fill="auto"/>
            <w:noWrap/>
            <w:vAlign w:val="bottom"/>
            <w:hideMark/>
          </w:tcPr>
          <w:p w14:paraId="1F0AEA54"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r>
      <w:tr w:rsidR="004E2F51" w:rsidRPr="007E675A" w14:paraId="474B49F8" w14:textId="77777777" w:rsidTr="00E032FC">
        <w:trPr>
          <w:trHeight w:val="210"/>
        </w:trPr>
        <w:tc>
          <w:tcPr>
            <w:tcW w:w="2671" w:type="dxa"/>
            <w:tcBorders>
              <w:top w:val="nil"/>
              <w:left w:val="nil"/>
              <w:bottom w:val="nil"/>
              <w:right w:val="nil"/>
            </w:tcBorders>
            <w:shd w:val="clear" w:color="auto" w:fill="auto"/>
            <w:noWrap/>
            <w:vAlign w:val="bottom"/>
          </w:tcPr>
          <w:p w14:paraId="3DB38596" w14:textId="77777777" w:rsidR="004E2F51" w:rsidRPr="004B4498" w:rsidRDefault="004E2F51" w:rsidP="00E032FC">
            <w:pPr>
              <w:jc w:val="right"/>
              <w:rPr>
                <w:rFonts w:ascii="Arial" w:hAnsi="Arial" w:cs="Arial"/>
                <w:b/>
                <w:bCs/>
                <w:color w:val="000000" w:themeColor="text1"/>
                <w:sz w:val="18"/>
                <w:szCs w:val="18"/>
                <w:lang w:val="hr-HR"/>
              </w:rPr>
            </w:pPr>
          </w:p>
        </w:tc>
        <w:tc>
          <w:tcPr>
            <w:tcW w:w="1623" w:type="dxa"/>
            <w:tcBorders>
              <w:top w:val="nil"/>
              <w:left w:val="nil"/>
              <w:bottom w:val="nil"/>
              <w:right w:val="nil"/>
            </w:tcBorders>
            <w:shd w:val="clear" w:color="auto" w:fill="auto"/>
            <w:noWrap/>
            <w:vAlign w:val="bottom"/>
          </w:tcPr>
          <w:p w14:paraId="2B18991F" w14:textId="77777777" w:rsidR="004E2F51" w:rsidRPr="004B4498" w:rsidRDefault="004E2F51" w:rsidP="00E032FC">
            <w:pPr>
              <w:jc w:val="right"/>
              <w:rPr>
                <w:rFonts w:ascii="Arial" w:hAnsi="Arial" w:cs="Arial"/>
                <w:b/>
                <w:bCs/>
                <w:color w:val="000000" w:themeColor="text1"/>
                <w:sz w:val="18"/>
                <w:szCs w:val="18"/>
                <w:lang w:val="hr-HR"/>
              </w:rPr>
            </w:pPr>
          </w:p>
        </w:tc>
        <w:tc>
          <w:tcPr>
            <w:tcW w:w="1521" w:type="dxa"/>
            <w:tcBorders>
              <w:top w:val="nil"/>
              <w:left w:val="nil"/>
              <w:bottom w:val="nil"/>
              <w:right w:val="nil"/>
            </w:tcBorders>
            <w:shd w:val="clear" w:color="auto" w:fill="auto"/>
            <w:noWrap/>
            <w:vAlign w:val="bottom"/>
          </w:tcPr>
          <w:p w14:paraId="69B70018" w14:textId="77777777" w:rsidR="004E2F51" w:rsidRPr="004B4498" w:rsidRDefault="004E2F51" w:rsidP="00E032FC">
            <w:pPr>
              <w:jc w:val="right"/>
              <w:rPr>
                <w:rFonts w:ascii="Arial" w:hAnsi="Arial" w:cs="Arial"/>
                <w:b/>
                <w:bCs/>
                <w:color w:val="000000" w:themeColor="text1"/>
                <w:sz w:val="18"/>
                <w:szCs w:val="18"/>
                <w:lang w:val="hr-HR"/>
              </w:rPr>
            </w:pPr>
          </w:p>
        </w:tc>
        <w:tc>
          <w:tcPr>
            <w:tcW w:w="1521" w:type="dxa"/>
            <w:tcBorders>
              <w:top w:val="nil"/>
              <w:left w:val="nil"/>
              <w:bottom w:val="nil"/>
              <w:right w:val="nil"/>
            </w:tcBorders>
            <w:shd w:val="clear" w:color="auto" w:fill="auto"/>
            <w:noWrap/>
            <w:vAlign w:val="bottom"/>
          </w:tcPr>
          <w:p w14:paraId="2C8B7DA6" w14:textId="77777777" w:rsidR="004E2F51" w:rsidRPr="004B4498" w:rsidRDefault="004E2F51" w:rsidP="00E032FC">
            <w:pPr>
              <w:jc w:val="right"/>
              <w:rPr>
                <w:rFonts w:ascii="Arial" w:hAnsi="Arial" w:cs="Arial"/>
                <w:b/>
                <w:bCs/>
                <w:color w:val="000000" w:themeColor="text1"/>
                <w:sz w:val="18"/>
                <w:szCs w:val="18"/>
                <w:lang w:val="hr-HR"/>
              </w:rPr>
            </w:pPr>
          </w:p>
        </w:tc>
        <w:tc>
          <w:tcPr>
            <w:tcW w:w="1640" w:type="dxa"/>
            <w:tcBorders>
              <w:top w:val="nil"/>
              <w:left w:val="nil"/>
              <w:bottom w:val="nil"/>
              <w:right w:val="nil"/>
            </w:tcBorders>
            <w:shd w:val="clear" w:color="auto" w:fill="auto"/>
            <w:noWrap/>
            <w:vAlign w:val="bottom"/>
          </w:tcPr>
          <w:p w14:paraId="7E60167A" w14:textId="77777777" w:rsidR="004E2F51" w:rsidRPr="004B4498" w:rsidRDefault="004E2F51" w:rsidP="00E032FC">
            <w:pPr>
              <w:jc w:val="right"/>
              <w:rPr>
                <w:rFonts w:ascii="Arial" w:hAnsi="Arial" w:cs="Arial"/>
                <w:b/>
                <w:bCs/>
                <w:color w:val="000000" w:themeColor="text1"/>
                <w:sz w:val="18"/>
                <w:szCs w:val="18"/>
                <w:lang w:val="hr-HR"/>
              </w:rPr>
            </w:pPr>
          </w:p>
        </w:tc>
      </w:tr>
      <w:tr w:rsidR="004E2F51" w:rsidRPr="007E675A" w14:paraId="0B81DF2F" w14:textId="77777777" w:rsidTr="00E032FC">
        <w:trPr>
          <w:trHeight w:val="323"/>
        </w:trPr>
        <w:tc>
          <w:tcPr>
            <w:tcW w:w="2671" w:type="dxa"/>
            <w:tcBorders>
              <w:top w:val="nil"/>
              <w:left w:val="nil"/>
              <w:bottom w:val="nil"/>
              <w:right w:val="nil"/>
            </w:tcBorders>
            <w:shd w:val="clear" w:color="auto" w:fill="auto"/>
            <w:noWrap/>
            <w:vAlign w:val="bottom"/>
            <w:hideMark/>
          </w:tcPr>
          <w:p w14:paraId="2E618E7B" w14:textId="77777777" w:rsidR="004E2F51" w:rsidRPr="004B4498" w:rsidRDefault="004E2F51" w:rsidP="00E032FC">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Bruto iznos</w:t>
            </w:r>
          </w:p>
        </w:tc>
        <w:tc>
          <w:tcPr>
            <w:tcW w:w="1623" w:type="dxa"/>
            <w:tcBorders>
              <w:top w:val="nil"/>
              <w:left w:val="nil"/>
              <w:bottom w:val="nil"/>
              <w:right w:val="nil"/>
            </w:tcBorders>
            <w:shd w:val="clear" w:color="auto" w:fill="auto"/>
            <w:noWrap/>
            <w:vAlign w:val="bottom"/>
          </w:tcPr>
          <w:p w14:paraId="6FA3C0EC" w14:textId="77777777" w:rsidR="004E2F51" w:rsidRPr="009112C0" w:rsidRDefault="004E2F51" w:rsidP="00E032FC">
            <w:pPr>
              <w:jc w:val="right"/>
              <w:rPr>
                <w:rFonts w:ascii="Arial" w:hAnsi="Arial" w:cs="Arial"/>
                <w:sz w:val="18"/>
                <w:szCs w:val="18"/>
              </w:rPr>
            </w:pPr>
            <w:r w:rsidRPr="009112C0">
              <w:rPr>
                <w:rFonts w:ascii="Arial" w:hAnsi="Arial" w:cs="Arial"/>
                <w:sz w:val="18"/>
                <w:szCs w:val="18"/>
              </w:rPr>
              <w:t>6.733.206</w:t>
            </w:r>
          </w:p>
        </w:tc>
        <w:tc>
          <w:tcPr>
            <w:tcW w:w="1521" w:type="dxa"/>
            <w:tcBorders>
              <w:top w:val="nil"/>
              <w:left w:val="nil"/>
              <w:bottom w:val="nil"/>
              <w:right w:val="nil"/>
            </w:tcBorders>
            <w:shd w:val="clear" w:color="auto" w:fill="auto"/>
            <w:noWrap/>
            <w:vAlign w:val="bottom"/>
          </w:tcPr>
          <w:p w14:paraId="782D1F6F" w14:textId="77777777" w:rsidR="004E2F51" w:rsidRPr="009112C0" w:rsidRDefault="004E2F51" w:rsidP="00E032FC">
            <w:pPr>
              <w:jc w:val="right"/>
              <w:rPr>
                <w:rFonts w:ascii="Arial" w:hAnsi="Arial" w:cs="Arial"/>
                <w:sz w:val="18"/>
                <w:szCs w:val="18"/>
              </w:rPr>
            </w:pPr>
            <w:r w:rsidRPr="009112C0">
              <w:rPr>
                <w:rFonts w:ascii="Arial" w:hAnsi="Arial" w:cs="Arial"/>
                <w:sz w:val="18"/>
                <w:szCs w:val="18"/>
              </w:rPr>
              <w:t>303.254</w:t>
            </w:r>
          </w:p>
        </w:tc>
        <w:tc>
          <w:tcPr>
            <w:tcW w:w="1521" w:type="dxa"/>
            <w:tcBorders>
              <w:top w:val="nil"/>
              <w:left w:val="nil"/>
              <w:bottom w:val="nil"/>
              <w:right w:val="nil"/>
            </w:tcBorders>
            <w:shd w:val="clear" w:color="auto" w:fill="auto"/>
            <w:noWrap/>
            <w:vAlign w:val="bottom"/>
          </w:tcPr>
          <w:p w14:paraId="761BCF58" w14:textId="77777777" w:rsidR="004E2F51" w:rsidRPr="009112C0" w:rsidRDefault="004E2F51" w:rsidP="00E032FC">
            <w:pPr>
              <w:jc w:val="right"/>
              <w:rPr>
                <w:rFonts w:ascii="Arial" w:hAnsi="Arial" w:cs="Arial"/>
                <w:sz w:val="18"/>
                <w:szCs w:val="18"/>
              </w:rPr>
            </w:pPr>
            <w:r w:rsidRPr="009112C0">
              <w:rPr>
                <w:rFonts w:ascii="Arial" w:hAnsi="Arial" w:cs="Arial"/>
                <w:sz w:val="18"/>
                <w:szCs w:val="18"/>
              </w:rPr>
              <w:t>9.114</w:t>
            </w:r>
          </w:p>
        </w:tc>
        <w:tc>
          <w:tcPr>
            <w:tcW w:w="1640" w:type="dxa"/>
            <w:tcBorders>
              <w:top w:val="nil"/>
              <w:left w:val="nil"/>
              <w:bottom w:val="nil"/>
              <w:right w:val="nil"/>
            </w:tcBorders>
            <w:shd w:val="clear" w:color="auto" w:fill="auto"/>
            <w:noWrap/>
            <w:vAlign w:val="bottom"/>
          </w:tcPr>
          <w:p w14:paraId="23EE6412" w14:textId="77777777" w:rsidR="004E2F51" w:rsidRPr="009112C0" w:rsidRDefault="004E2F51" w:rsidP="00E032FC">
            <w:pPr>
              <w:jc w:val="right"/>
              <w:rPr>
                <w:rFonts w:ascii="Arial" w:hAnsi="Arial" w:cs="Arial"/>
                <w:b/>
                <w:bCs/>
                <w:sz w:val="18"/>
                <w:szCs w:val="18"/>
              </w:rPr>
            </w:pPr>
            <w:r w:rsidRPr="009112C0">
              <w:rPr>
                <w:rFonts w:ascii="Arial" w:hAnsi="Arial" w:cs="Arial"/>
                <w:b/>
                <w:bCs/>
                <w:sz w:val="18"/>
                <w:szCs w:val="18"/>
              </w:rPr>
              <w:t xml:space="preserve"> 7.045.574 </w:t>
            </w:r>
          </w:p>
        </w:tc>
      </w:tr>
      <w:tr w:rsidR="004E2F51" w:rsidRPr="007E675A" w14:paraId="7EE9BF3E" w14:textId="77777777" w:rsidTr="00E032FC">
        <w:trPr>
          <w:trHeight w:val="281"/>
        </w:trPr>
        <w:tc>
          <w:tcPr>
            <w:tcW w:w="2671" w:type="dxa"/>
            <w:tcBorders>
              <w:top w:val="nil"/>
              <w:left w:val="nil"/>
              <w:bottom w:val="nil"/>
              <w:right w:val="nil"/>
            </w:tcBorders>
            <w:shd w:val="clear" w:color="auto" w:fill="auto"/>
            <w:noWrap/>
            <w:vAlign w:val="bottom"/>
            <w:hideMark/>
          </w:tcPr>
          <w:p w14:paraId="105BBCFC" w14:textId="77777777" w:rsidR="004E2F51" w:rsidRPr="004B4498" w:rsidRDefault="004E2F51" w:rsidP="00E032FC">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Rezerviranja</w:t>
            </w:r>
          </w:p>
        </w:tc>
        <w:tc>
          <w:tcPr>
            <w:tcW w:w="1623" w:type="dxa"/>
            <w:tcBorders>
              <w:top w:val="nil"/>
              <w:left w:val="nil"/>
              <w:bottom w:val="nil"/>
              <w:right w:val="nil"/>
            </w:tcBorders>
            <w:shd w:val="clear" w:color="auto" w:fill="auto"/>
            <w:noWrap/>
            <w:vAlign w:val="bottom"/>
          </w:tcPr>
          <w:p w14:paraId="2A6DB7C9" w14:textId="77777777" w:rsidR="004E2F51" w:rsidRPr="009112C0" w:rsidRDefault="004E2F51" w:rsidP="00E032FC">
            <w:pPr>
              <w:jc w:val="right"/>
              <w:rPr>
                <w:rFonts w:ascii="Arial" w:hAnsi="Arial" w:cs="Arial"/>
                <w:sz w:val="18"/>
                <w:szCs w:val="18"/>
              </w:rPr>
            </w:pPr>
            <w:r w:rsidRPr="009112C0">
              <w:rPr>
                <w:rFonts w:ascii="Arial" w:hAnsi="Arial" w:cs="Arial"/>
                <w:sz w:val="18"/>
                <w:szCs w:val="18"/>
              </w:rPr>
              <w:t xml:space="preserve"> (26.699)</w:t>
            </w:r>
          </w:p>
        </w:tc>
        <w:tc>
          <w:tcPr>
            <w:tcW w:w="1521" w:type="dxa"/>
            <w:tcBorders>
              <w:top w:val="nil"/>
              <w:left w:val="nil"/>
              <w:bottom w:val="nil"/>
              <w:right w:val="nil"/>
            </w:tcBorders>
            <w:shd w:val="clear" w:color="auto" w:fill="auto"/>
            <w:noWrap/>
            <w:vAlign w:val="bottom"/>
          </w:tcPr>
          <w:p w14:paraId="4E306240" w14:textId="77777777" w:rsidR="004E2F51" w:rsidRPr="009112C0" w:rsidRDefault="004E2F51" w:rsidP="00E032FC">
            <w:pPr>
              <w:jc w:val="right"/>
              <w:rPr>
                <w:rFonts w:ascii="Arial" w:hAnsi="Arial" w:cs="Arial"/>
                <w:sz w:val="18"/>
                <w:szCs w:val="18"/>
              </w:rPr>
            </w:pPr>
            <w:r w:rsidRPr="009112C0">
              <w:rPr>
                <w:rFonts w:ascii="Arial" w:hAnsi="Arial" w:cs="Arial"/>
                <w:sz w:val="18"/>
                <w:szCs w:val="18"/>
              </w:rPr>
              <w:t xml:space="preserve"> (27.390)</w:t>
            </w:r>
          </w:p>
        </w:tc>
        <w:tc>
          <w:tcPr>
            <w:tcW w:w="1521" w:type="dxa"/>
            <w:tcBorders>
              <w:top w:val="nil"/>
              <w:left w:val="nil"/>
              <w:bottom w:val="nil"/>
              <w:right w:val="nil"/>
            </w:tcBorders>
            <w:shd w:val="clear" w:color="auto" w:fill="auto"/>
            <w:noWrap/>
            <w:vAlign w:val="bottom"/>
          </w:tcPr>
          <w:p w14:paraId="31360EFD" w14:textId="77777777" w:rsidR="004E2F51" w:rsidRPr="009112C0" w:rsidRDefault="004E2F51" w:rsidP="00E032FC">
            <w:pPr>
              <w:jc w:val="right"/>
              <w:rPr>
                <w:rFonts w:ascii="Arial" w:hAnsi="Arial" w:cs="Arial"/>
                <w:sz w:val="18"/>
                <w:szCs w:val="18"/>
              </w:rPr>
            </w:pPr>
            <w:r w:rsidRPr="009112C0">
              <w:rPr>
                <w:rFonts w:ascii="Arial" w:hAnsi="Arial" w:cs="Arial"/>
                <w:sz w:val="18"/>
                <w:szCs w:val="18"/>
              </w:rPr>
              <w:t xml:space="preserve"> (6.773)</w:t>
            </w:r>
          </w:p>
        </w:tc>
        <w:tc>
          <w:tcPr>
            <w:tcW w:w="1640" w:type="dxa"/>
            <w:tcBorders>
              <w:top w:val="nil"/>
              <w:left w:val="nil"/>
              <w:bottom w:val="nil"/>
              <w:right w:val="nil"/>
            </w:tcBorders>
            <w:shd w:val="clear" w:color="auto" w:fill="auto"/>
            <w:noWrap/>
            <w:vAlign w:val="bottom"/>
          </w:tcPr>
          <w:p w14:paraId="01E9BC4E" w14:textId="77777777" w:rsidR="004E2F51" w:rsidRPr="009112C0" w:rsidRDefault="004E2F51" w:rsidP="00E032FC">
            <w:pPr>
              <w:jc w:val="right"/>
              <w:rPr>
                <w:rFonts w:ascii="Arial" w:hAnsi="Arial" w:cs="Arial"/>
                <w:b/>
                <w:bCs/>
                <w:sz w:val="18"/>
                <w:szCs w:val="18"/>
              </w:rPr>
            </w:pPr>
            <w:r w:rsidRPr="009112C0">
              <w:rPr>
                <w:rFonts w:ascii="Arial" w:hAnsi="Arial" w:cs="Arial"/>
                <w:b/>
                <w:bCs/>
                <w:sz w:val="18"/>
                <w:szCs w:val="18"/>
              </w:rPr>
              <w:t xml:space="preserve"> (60.862)</w:t>
            </w:r>
          </w:p>
        </w:tc>
      </w:tr>
      <w:tr w:rsidR="004E2F51" w:rsidRPr="007E675A" w14:paraId="209B0F39" w14:textId="77777777" w:rsidTr="00E032FC">
        <w:trPr>
          <w:trHeight w:val="607"/>
        </w:trPr>
        <w:tc>
          <w:tcPr>
            <w:tcW w:w="2671" w:type="dxa"/>
            <w:tcBorders>
              <w:top w:val="nil"/>
              <w:left w:val="nil"/>
              <w:bottom w:val="nil"/>
              <w:right w:val="nil"/>
            </w:tcBorders>
            <w:shd w:val="clear" w:color="auto" w:fill="auto"/>
            <w:noWrap/>
            <w:vAlign w:val="bottom"/>
            <w:hideMark/>
          </w:tcPr>
          <w:p w14:paraId="685AB598" w14:textId="77777777" w:rsidR="004E2F51" w:rsidRPr="004B4498" w:rsidRDefault="004E2F51" w:rsidP="00E032FC">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Stanje na dan </w:t>
            </w:r>
          </w:p>
          <w:p w14:paraId="7AF573BD" w14:textId="77777777" w:rsidR="004E2F51" w:rsidRPr="004B4498" w:rsidRDefault="004E2F51" w:rsidP="00E032FC">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31. prosinca 202</w:t>
            </w:r>
            <w:r>
              <w:rPr>
                <w:rFonts w:ascii="Arial" w:hAnsi="Arial" w:cs="Arial"/>
                <w:b/>
                <w:bCs/>
                <w:color w:val="000000" w:themeColor="text1"/>
                <w:sz w:val="18"/>
                <w:szCs w:val="18"/>
                <w:lang w:val="hr-HR"/>
              </w:rPr>
              <w:t>2</w:t>
            </w:r>
            <w:r w:rsidRPr="004B4498">
              <w:rPr>
                <w:rFonts w:ascii="Arial" w:hAnsi="Arial" w:cs="Arial"/>
                <w:b/>
                <w:bCs/>
                <w:color w:val="000000" w:themeColor="text1"/>
                <w:sz w:val="18"/>
                <w:szCs w:val="18"/>
                <w:lang w:val="hr-HR"/>
              </w:rPr>
              <w:t xml:space="preserve">.    </w:t>
            </w:r>
          </w:p>
        </w:tc>
        <w:tc>
          <w:tcPr>
            <w:tcW w:w="1623" w:type="dxa"/>
            <w:tcBorders>
              <w:top w:val="single" w:sz="8" w:space="0" w:color="auto"/>
              <w:left w:val="nil"/>
              <w:bottom w:val="single" w:sz="12" w:space="0" w:color="000000"/>
              <w:right w:val="nil"/>
            </w:tcBorders>
            <w:shd w:val="clear" w:color="auto" w:fill="auto"/>
            <w:noWrap/>
            <w:vAlign w:val="bottom"/>
          </w:tcPr>
          <w:p w14:paraId="35660C9A" w14:textId="77777777" w:rsidR="004E2F51" w:rsidRPr="009112C0" w:rsidRDefault="004E2F51" w:rsidP="00E032FC">
            <w:pPr>
              <w:jc w:val="right"/>
              <w:rPr>
                <w:rFonts w:ascii="Arial" w:hAnsi="Arial" w:cs="Arial"/>
                <w:b/>
                <w:bCs/>
                <w:sz w:val="18"/>
                <w:szCs w:val="18"/>
              </w:rPr>
            </w:pPr>
            <w:r w:rsidRPr="009112C0">
              <w:rPr>
                <w:rFonts w:ascii="Arial" w:hAnsi="Arial" w:cs="Arial"/>
                <w:b/>
                <w:bCs/>
                <w:sz w:val="18"/>
                <w:szCs w:val="18"/>
              </w:rPr>
              <w:t xml:space="preserve"> 6.706.507 </w:t>
            </w:r>
          </w:p>
        </w:tc>
        <w:tc>
          <w:tcPr>
            <w:tcW w:w="1521" w:type="dxa"/>
            <w:tcBorders>
              <w:top w:val="single" w:sz="8" w:space="0" w:color="auto"/>
              <w:left w:val="nil"/>
              <w:bottom w:val="single" w:sz="12" w:space="0" w:color="000000"/>
              <w:right w:val="nil"/>
            </w:tcBorders>
            <w:shd w:val="clear" w:color="auto" w:fill="auto"/>
            <w:noWrap/>
            <w:vAlign w:val="bottom"/>
          </w:tcPr>
          <w:p w14:paraId="26FE3C00" w14:textId="77777777" w:rsidR="004E2F51" w:rsidRPr="009112C0" w:rsidRDefault="004E2F51" w:rsidP="00E032FC">
            <w:pPr>
              <w:jc w:val="right"/>
              <w:rPr>
                <w:rFonts w:ascii="Arial" w:hAnsi="Arial" w:cs="Arial"/>
                <w:b/>
                <w:bCs/>
                <w:sz w:val="18"/>
                <w:szCs w:val="18"/>
              </w:rPr>
            </w:pPr>
            <w:r w:rsidRPr="009112C0">
              <w:rPr>
                <w:rFonts w:ascii="Arial" w:hAnsi="Arial" w:cs="Arial"/>
                <w:b/>
                <w:bCs/>
                <w:sz w:val="18"/>
                <w:szCs w:val="18"/>
              </w:rPr>
              <w:t xml:space="preserve"> 275.864 </w:t>
            </w:r>
          </w:p>
        </w:tc>
        <w:tc>
          <w:tcPr>
            <w:tcW w:w="1521" w:type="dxa"/>
            <w:tcBorders>
              <w:top w:val="single" w:sz="8" w:space="0" w:color="auto"/>
              <w:left w:val="nil"/>
              <w:bottom w:val="single" w:sz="12" w:space="0" w:color="000000"/>
              <w:right w:val="nil"/>
            </w:tcBorders>
            <w:shd w:val="clear" w:color="auto" w:fill="auto"/>
            <w:noWrap/>
            <w:vAlign w:val="bottom"/>
          </w:tcPr>
          <w:p w14:paraId="02508D7E" w14:textId="77777777" w:rsidR="004E2F51" w:rsidRPr="009112C0" w:rsidRDefault="004E2F51" w:rsidP="00E032FC">
            <w:pPr>
              <w:jc w:val="right"/>
              <w:rPr>
                <w:rFonts w:ascii="Arial" w:hAnsi="Arial" w:cs="Arial"/>
                <w:b/>
                <w:bCs/>
                <w:sz w:val="18"/>
                <w:szCs w:val="18"/>
              </w:rPr>
            </w:pPr>
            <w:r w:rsidRPr="009112C0">
              <w:rPr>
                <w:rFonts w:ascii="Arial" w:hAnsi="Arial" w:cs="Arial"/>
                <w:b/>
                <w:bCs/>
                <w:sz w:val="18"/>
                <w:szCs w:val="18"/>
              </w:rPr>
              <w:t xml:space="preserve"> 2.341 </w:t>
            </w:r>
          </w:p>
        </w:tc>
        <w:tc>
          <w:tcPr>
            <w:tcW w:w="1640" w:type="dxa"/>
            <w:tcBorders>
              <w:top w:val="single" w:sz="8" w:space="0" w:color="auto"/>
              <w:left w:val="nil"/>
              <w:bottom w:val="single" w:sz="12" w:space="0" w:color="000000"/>
              <w:right w:val="nil"/>
            </w:tcBorders>
            <w:shd w:val="clear" w:color="auto" w:fill="auto"/>
            <w:noWrap/>
            <w:vAlign w:val="bottom"/>
          </w:tcPr>
          <w:p w14:paraId="6750C4CE" w14:textId="77777777" w:rsidR="004E2F51" w:rsidRPr="009112C0" w:rsidRDefault="004E2F51" w:rsidP="00E032FC">
            <w:pPr>
              <w:jc w:val="right"/>
              <w:rPr>
                <w:rFonts w:ascii="Arial" w:hAnsi="Arial" w:cs="Arial"/>
                <w:b/>
                <w:bCs/>
                <w:sz w:val="18"/>
                <w:szCs w:val="18"/>
              </w:rPr>
            </w:pPr>
            <w:r w:rsidRPr="009112C0">
              <w:rPr>
                <w:rFonts w:ascii="Arial" w:hAnsi="Arial" w:cs="Arial"/>
                <w:b/>
                <w:bCs/>
                <w:sz w:val="18"/>
                <w:szCs w:val="18"/>
              </w:rPr>
              <w:t xml:space="preserve"> 6.984.712 </w:t>
            </w:r>
          </w:p>
        </w:tc>
      </w:tr>
    </w:tbl>
    <w:p w14:paraId="77A3B5E6" w14:textId="77777777" w:rsidR="004E2F51" w:rsidRPr="004B4498" w:rsidRDefault="004E2F51" w:rsidP="004E2F51">
      <w:pPr>
        <w:pStyle w:val="T1"/>
        <w:tabs>
          <w:tab w:val="left" w:pos="1134"/>
        </w:tabs>
        <w:spacing w:before="0" w:after="0" w:line="240" w:lineRule="auto"/>
        <w:rPr>
          <w:rFonts w:cs="Arial"/>
          <w:b w:val="0"/>
          <w:bCs w:val="0"/>
          <w:color w:val="000000" w:themeColor="text1"/>
          <w:sz w:val="20"/>
          <w:lang w:val="hr-HR"/>
        </w:rPr>
      </w:pPr>
    </w:p>
    <w:p w14:paraId="5E864199" w14:textId="77777777" w:rsidR="004E2F51" w:rsidRPr="004B4498" w:rsidRDefault="004E2F51" w:rsidP="004E2F51">
      <w:pPr>
        <w:pStyle w:val="T1"/>
        <w:tabs>
          <w:tab w:val="left" w:pos="1134"/>
        </w:tabs>
        <w:spacing w:before="0" w:after="0" w:line="240" w:lineRule="auto"/>
        <w:rPr>
          <w:rFonts w:cs="Arial"/>
          <w:b w:val="0"/>
          <w:bCs w:val="0"/>
          <w:color w:val="000000" w:themeColor="text1"/>
          <w:sz w:val="20"/>
          <w:lang w:val="hr-HR"/>
        </w:rPr>
      </w:pPr>
    </w:p>
    <w:tbl>
      <w:tblPr>
        <w:tblpPr w:leftFromText="180" w:rightFromText="180" w:vertAnchor="text" w:horzAnchor="margin" w:tblpY="53"/>
        <w:tblW w:w="8976" w:type="dxa"/>
        <w:tblLayout w:type="fixed"/>
        <w:tblLook w:val="04A0" w:firstRow="1" w:lastRow="0" w:firstColumn="1" w:lastColumn="0" w:noHBand="0" w:noVBand="1"/>
      </w:tblPr>
      <w:tblGrid>
        <w:gridCol w:w="2671"/>
        <w:gridCol w:w="1623"/>
        <w:gridCol w:w="1521"/>
        <w:gridCol w:w="1521"/>
        <w:gridCol w:w="1640"/>
      </w:tblGrid>
      <w:tr w:rsidR="004E2F51" w:rsidRPr="007E675A" w14:paraId="0DCD0854" w14:textId="77777777" w:rsidTr="00E032FC">
        <w:trPr>
          <w:trHeight w:val="323"/>
        </w:trPr>
        <w:tc>
          <w:tcPr>
            <w:tcW w:w="2671" w:type="dxa"/>
            <w:tcBorders>
              <w:top w:val="nil"/>
              <w:left w:val="nil"/>
              <w:bottom w:val="nil"/>
              <w:right w:val="nil"/>
            </w:tcBorders>
            <w:shd w:val="clear" w:color="auto" w:fill="auto"/>
            <w:noWrap/>
            <w:vAlign w:val="bottom"/>
            <w:hideMark/>
          </w:tcPr>
          <w:p w14:paraId="5F8F6CF6" w14:textId="77777777" w:rsidR="004E2F51" w:rsidRPr="004B4498" w:rsidRDefault="004E2F51" w:rsidP="00E032FC">
            <w:pPr>
              <w:rPr>
                <w:rFonts w:ascii="Arial" w:hAnsi="Arial" w:cs="Arial"/>
                <w:b/>
                <w:color w:val="000000" w:themeColor="text1"/>
                <w:sz w:val="18"/>
                <w:szCs w:val="18"/>
                <w:lang w:val="hr-HR"/>
              </w:rPr>
            </w:pPr>
            <w:r w:rsidRPr="004B4498">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1</w:t>
            </w:r>
            <w:r w:rsidRPr="004B4498">
              <w:rPr>
                <w:rFonts w:ascii="Arial" w:hAnsi="Arial" w:cs="Arial"/>
                <w:b/>
                <w:color w:val="000000" w:themeColor="text1"/>
                <w:sz w:val="18"/>
                <w:szCs w:val="18"/>
                <w:lang w:val="hr-HR"/>
              </w:rPr>
              <w:t xml:space="preserve">.    </w:t>
            </w:r>
          </w:p>
        </w:tc>
        <w:tc>
          <w:tcPr>
            <w:tcW w:w="1623" w:type="dxa"/>
            <w:tcBorders>
              <w:top w:val="nil"/>
              <w:left w:val="nil"/>
              <w:bottom w:val="nil"/>
              <w:right w:val="nil"/>
            </w:tcBorders>
            <w:shd w:val="clear" w:color="auto" w:fill="auto"/>
            <w:noWrap/>
            <w:vAlign w:val="bottom"/>
            <w:hideMark/>
          </w:tcPr>
          <w:p w14:paraId="1C54062A" w14:textId="77777777" w:rsidR="004E2F51" w:rsidRPr="004B4498" w:rsidRDefault="004E2F51" w:rsidP="00E032FC">
            <w:pPr>
              <w:rPr>
                <w:rFonts w:ascii="Arial" w:hAnsi="Arial" w:cs="Arial"/>
                <w:color w:val="000000" w:themeColor="text1"/>
                <w:sz w:val="18"/>
                <w:szCs w:val="18"/>
                <w:lang w:val="hr-HR"/>
              </w:rPr>
            </w:pPr>
          </w:p>
        </w:tc>
        <w:tc>
          <w:tcPr>
            <w:tcW w:w="1521" w:type="dxa"/>
            <w:tcBorders>
              <w:top w:val="nil"/>
              <w:left w:val="nil"/>
              <w:bottom w:val="nil"/>
              <w:right w:val="nil"/>
            </w:tcBorders>
            <w:shd w:val="clear" w:color="auto" w:fill="auto"/>
            <w:noWrap/>
            <w:vAlign w:val="bottom"/>
            <w:hideMark/>
          </w:tcPr>
          <w:p w14:paraId="5E7D4934" w14:textId="77777777" w:rsidR="004E2F51" w:rsidRPr="004B4498" w:rsidRDefault="004E2F51" w:rsidP="00E032FC">
            <w:pPr>
              <w:jc w:val="right"/>
              <w:rPr>
                <w:rFonts w:ascii="Arial" w:hAnsi="Arial" w:cs="Arial"/>
                <w:color w:val="000000" w:themeColor="text1"/>
                <w:sz w:val="18"/>
                <w:szCs w:val="18"/>
                <w:lang w:val="hr-HR"/>
              </w:rPr>
            </w:pPr>
          </w:p>
        </w:tc>
        <w:tc>
          <w:tcPr>
            <w:tcW w:w="1521" w:type="dxa"/>
            <w:tcBorders>
              <w:top w:val="nil"/>
              <w:left w:val="nil"/>
              <w:bottom w:val="nil"/>
              <w:right w:val="nil"/>
            </w:tcBorders>
            <w:shd w:val="clear" w:color="auto" w:fill="auto"/>
            <w:noWrap/>
            <w:vAlign w:val="bottom"/>
            <w:hideMark/>
          </w:tcPr>
          <w:p w14:paraId="076E48D4" w14:textId="77777777" w:rsidR="004E2F51" w:rsidRPr="004B4498" w:rsidRDefault="004E2F51" w:rsidP="00E032FC">
            <w:pPr>
              <w:jc w:val="right"/>
              <w:rPr>
                <w:rFonts w:ascii="Arial" w:hAnsi="Arial" w:cs="Arial"/>
                <w:color w:val="000000" w:themeColor="text1"/>
                <w:sz w:val="18"/>
                <w:szCs w:val="18"/>
                <w:lang w:val="hr-HR"/>
              </w:rPr>
            </w:pPr>
          </w:p>
        </w:tc>
        <w:tc>
          <w:tcPr>
            <w:tcW w:w="1640" w:type="dxa"/>
            <w:tcBorders>
              <w:top w:val="nil"/>
              <w:left w:val="nil"/>
              <w:bottom w:val="nil"/>
              <w:right w:val="nil"/>
            </w:tcBorders>
            <w:shd w:val="clear" w:color="auto" w:fill="auto"/>
            <w:noWrap/>
            <w:vAlign w:val="bottom"/>
            <w:hideMark/>
          </w:tcPr>
          <w:p w14:paraId="2CECA6F0"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Grupa i Banka</w:t>
            </w:r>
          </w:p>
        </w:tc>
      </w:tr>
      <w:tr w:rsidR="004E2F51" w:rsidRPr="007E675A" w14:paraId="33245121" w14:textId="77777777" w:rsidTr="00E032FC">
        <w:trPr>
          <w:trHeight w:val="323"/>
        </w:trPr>
        <w:tc>
          <w:tcPr>
            <w:tcW w:w="2671" w:type="dxa"/>
            <w:tcBorders>
              <w:top w:val="nil"/>
              <w:left w:val="nil"/>
              <w:bottom w:val="nil"/>
              <w:right w:val="nil"/>
            </w:tcBorders>
            <w:shd w:val="clear" w:color="auto" w:fill="auto"/>
            <w:noWrap/>
            <w:vAlign w:val="bottom"/>
            <w:hideMark/>
          </w:tcPr>
          <w:p w14:paraId="0DC52867" w14:textId="77777777" w:rsidR="004E2F51" w:rsidRPr="004B4498" w:rsidRDefault="004E2F51" w:rsidP="00E032FC">
            <w:pPr>
              <w:jc w:val="right"/>
              <w:rPr>
                <w:rFonts w:ascii="Arial" w:hAnsi="Arial" w:cs="Arial"/>
                <w:b/>
                <w:bCs/>
                <w:color w:val="000000" w:themeColor="text1"/>
                <w:sz w:val="18"/>
                <w:szCs w:val="18"/>
                <w:lang w:val="hr-HR"/>
              </w:rPr>
            </w:pPr>
          </w:p>
        </w:tc>
        <w:tc>
          <w:tcPr>
            <w:tcW w:w="1623" w:type="dxa"/>
            <w:tcBorders>
              <w:top w:val="nil"/>
              <w:left w:val="nil"/>
              <w:bottom w:val="nil"/>
              <w:right w:val="nil"/>
            </w:tcBorders>
            <w:shd w:val="clear" w:color="auto" w:fill="auto"/>
            <w:noWrap/>
            <w:vAlign w:val="bottom"/>
            <w:hideMark/>
          </w:tcPr>
          <w:p w14:paraId="5FABBF7F"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1</w:t>
            </w:r>
          </w:p>
        </w:tc>
        <w:tc>
          <w:tcPr>
            <w:tcW w:w="1521" w:type="dxa"/>
            <w:tcBorders>
              <w:top w:val="nil"/>
              <w:left w:val="nil"/>
              <w:bottom w:val="nil"/>
              <w:right w:val="nil"/>
            </w:tcBorders>
            <w:shd w:val="clear" w:color="auto" w:fill="auto"/>
            <w:noWrap/>
            <w:vAlign w:val="bottom"/>
            <w:hideMark/>
          </w:tcPr>
          <w:p w14:paraId="5ADE614C"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2</w:t>
            </w:r>
          </w:p>
        </w:tc>
        <w:tc>
          <w:tcPr>
            <w:tcW w:w="1521" w:type="dxa"/>
            <w:tcBorders>
              <w:top w:val="nil"/>
              <w:left w:val="nil"/>
              <w:bottom w:val="nil"/>
              <w:right w:val="nil"/>
            </w:tcBorders>
            <w:shd w:val="clear" w:color="auto" w:fill="auto"/>
            <w:noWrap/>
            <w:vAlign w:val="bottom"/>
            <w:hideMark/>
          </w:tcPr>
          <w:p w14:paraId="20478B9C"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3</w:t>
            </w:r>
          </w:p>
        </w:tc>
        <w:tc>
          <w:tcPr>
            <w:tcW w:w="1640" w:type="dxa"/>
            <w:tcBorders>
              <w:top w:val="nil"/>
              <w:left w:val="nil"/>
              <w:bottom w:val="nil"/>
              <w:right w:val="nil"/>
            </w:tcBorders>
            <w:shd w:val="clear" w:color="auto" w:fill="auto"/>
            <w:noWrap/>
            <w:vAlign w:val="bottom"/>
            <w:hideMark/>
          </w:tcPr>
          <w:p w14:paraId="73C3A1D5"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Ukupno</w:t>
            </w:r>
          </w:p>
        </w:tc>
      </w:tr>
      <w:tr w:rsidR="004E2F51" w:rsidRPr="007E675A" w14:paraId="53774E27" w14:textId="77777777" w:rsidTr="00E032FC">
        <w:trPr>
          <w:trHeight w:val="323"/>
        </w:trPr>
        <w:tc>
          <w:tcPr>
            <w:tcW w:w="2671" w:type="dxa"/>
            <w:tcBorders>
              <w:top w:val="nil"/>
              <w:left w:val="nil"/>
              <w:bottom w:val="nil"/>
              <w:right w:val="nil"/>
            </w:tcBorders>
            <w:shd w:val="clear" w:color="auto" w:fill="auto"/>
            <w:noWrap/>
            <w:vAlign w:val="bottom"/>
            <w:hideMark/>
          </w:tcPr>
          <w:p w14:paraId="1349366F" w14:textId="77777777" w:rsidR="004E2F51" w:rsidRPr="004B4498" w:rsidRDefault="004E2F51" w:rsidP="00E032FC">
            <w:pPr>
              <w:jc w:val="right"/>
              <w:rPr>
                <w:rFonts w:ascii="Arial" w:hAnsi="Arial" w:cs="Arial"/>
                <w:b/>
                <w:bCs/>
                <w:color w:val="000000" w:themeColor="text1"/>
                <w:sz w:val="18"/>
                <w:szCs w:val="18"/>
                <w:lang w:val="hr-HR"/>
              </w:rPr>
            </w:pPr>
          </w:p>
        </w:tc>
        <w:tc>
          <w:tcPr>
            <w:tcW w:w="1623" w:type="dxa"/>
            <w:tcBorders>
              <w:top w:val="nil"/>
              <w:left w:val="nil"/>
              <w:bottom w:val="nil"/>
              <w:right w:val="nil"/>
            </w:tcBorders>
            <w:shd w:val="clear" w:color="auto" w:fill="auto"/>
            <w:noWrap/>
            <w:vAlign w:val="bottom"/>
            <w:hideMark/>
          </w:tcPr>
          <w:p w14:paraId="7AB9F2D3"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c>
          <w:tcPr>
            <w:tcW w:w="1521" w:type="dxa"/>
            <w:tcBorders>
              <w:top w:val="nil"/>
              <w:left w:val="nil"/>
              <w:bottom w:val="nil"/>
              <w:right w:val="nil"/>
            </w:tcBorders>
            <w:shd w:val="clear" w:color="auto" w:fill="auto"/>
            <w:noWrap/>
            <w:vAlign w:val="bottom"/>
            <w:hideMark/>
          </w:tcPr>
          <w:p w14:paraId="4AA572D3"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c>
          <w:tcPr>
            <w:tcW w:w="1521" w:type="dxa"/>
            <w:tcBorders>
              <w:top w:val="nil"/>
              <w:left w:val="nil"/>
              <w:bottom w:val="nil"/>
              <w:right w:val="nil"/>
            </w:tcBorders>
            <w:shd w:val="clear" w:color="auto" w:fill="auto"/>
            <w:noWrap/>
            <w:vAlign w:val="bottom"/>
            <w:hideMark/>
          </w:tcPr>
          <w:p w14:paraId="4832F154"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c>
          <w:tcPr>
            <w:tcW w:w="1640" w:type="dxa"/>
            <w:tcBorders>
              <w:top w:val="nil"/>
              <w:left w:val="nil"/>
              <w:bottom w:val="nil"/>
              <w:right w:val="nil"/>
            </w:tcBorders>
            <w:shd w:val="clear" w:color="auto" w:fill="auto"/>
            <w:noWrap/>
            <w:vAlign w:val="bottom"/>
            <w:hideMark/>
          </w:tcPr>
          <w:p w14:paraId="6560F3D6"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r>
      <w:tr w:rsidR="004E2F51" w:rsidRPr="007E675A" w14:paraId="1CCD4D1A" w14:textId="77777777" w:rsidTr="00E032FC">
        <w:trPr>
          <w:trHeight w:val="210"/>
        </w:trPr>
        <w:tc>
          <w:tcPr>
            <w:tcW w:w="2671" w:type="dxa"/>
            <w:tcBorders>
              <w:top w:val="nil"/>
              <w:left w:val="nil"/>
              <w:bottom w:val="nil"/>
              <w:right w:val="nil"/>
            </w:tcBorders>
            <w:shd w:val="clear" w:color="auto" w:fill="auto"/>
            <w:noWrap/>
            <w:vAlign w:val="bottom"/>
          </w:tcPr>
          <w:p w14:paraId="22FE2036" w14:textId="77777777" w:rsidR="004E2F51" w:rsidRPr="004B4498" w:rsidRDefault="004E2F51" w:rsidP="00E032FC">
            <w:pPr>
              <w:jc w:val="right"/>
              <w:rPr>
                <w:rFonts w:ascii="Arial" w:hAnsi="Arial" w:cs="Arial"/>
                <w:b/>
                <w:bCs/>
                <w:color w:val="000000" w:themeColor="text1"/>
                <w:sz w:val="18"/>
                <w:szCs w:val="18"/>
                <w:lang w:val="hr-HR"/>
              </w:rPr>
            </w:pPr>
          </w:p>
        </w:tc>
        <w:tc>
          <w:tcPr>
            <w:tcW w:w="1623" w:type="dxa"/>
            <w:tcBorders>
              <w:top w:val="nil"/>
              <w:left w:val="nil"/>
              <w:bottom w:val="nil"/>
              <w:right w:val="nil"/>
            </w:tcBorders>
            <w:shd w:val="clear" w:color="auto" w:fill="auto"/>
            <w:noWrap/>
            <w:vAlign w:val="bottom"/>
          </w:tcPr>
          <w:p w14:paraId="0A267CA1" w14:textId="77777777" w:rsidR="004E2F51" w:rsidRPr="004B4498" w:rsidRDefault="004E2F51" w:rsidP="00E032FC">
            <w:pPr>
              <w:jc w:val="right"/>
              <w:rPr>
                <w:rFonts w:ascii="Arial" w:hAnsi="Arial" w:cs="Arial"/>
                <w:b/>
                <w:bCs/>
                <w:color w:val="000000" w:themeColor="text1"/>
                <w:sz w:val="18"/>
                <w:szCs w:val="18"/>
                <w:lang w:val="hr-HR"/>
              </w:rPr>
            </w:pPr>
          </w:p>
        </w:tc>
        <w:tc>
          <w:tcPr>
            <w:tcW w:w="1521" w:type="dxa"/>
            <w:tcBorders>
              <w:top w:val="nil"/>
              <w:left w:val="nil"/>
              <w:bottom w:val="nil"/>
              <w:right w:val="nil"/>
            </w:tcBorders>
            <w:shd w:val="clear" w:color="auto" w:fill="auto"/>
            <w:noWrap/>
            <w:vAlign w:val="bottom"/>
          </w:tcPr>
          <w:p w14:paraId="0187EB22" w14:textId="77777777" w:rsidR="004E2F51" w:rsidRPr="004B4498" w:rsidRDefault="004E2F51" w:rsidP="00E032FC">
            <w:pPr>
              <w:jc w:val="right"/>
              <w:rPr>
                <w:rFonts w:ascii="Arial" w:hAnsi="Arial" w:cs="Arial"/>
                <w:b/>
                <w:bCs/>
                <w:color w:val="000000" w:themeColor="text1"/>
                <w:sz w:val="18"/>
                <w:szCs w:val="18"/>
                <w:lang w:val="hr-HR"/>
              </w:rPr>
            </w:pPr>
          </w:p>
        </w:tc>
        <w:tc>
          <w:tcPr>
            <w:tcW w:w="1521" w:type="dxa"/>
            <w:tcBorders>
              <w:top w:val="nil"/>
              <w:left w:val="nil"/>
              <w:bottom w:val="nil"/>
              <w:right w:val="nil"/>
            </w:tcBorders>
            <w:shd w:val="clear" w:color="auto" w:fill="auto"/>
            <w:noWrap/>
            <w:vAlign w:val="bottom"/>
          </w:tcPr>
          <w:p w14:paraId="56542522" w14:textId="77777777" w:rsidR="004E2F51" w:rsidRPr="004B4498" w:rsidRDefault="004E2F51" w:rsidP="00E032FC">
            <w:pPr>
              <w:jc w:val="right"/>
              <w:rPr>
                <w:rFonts w:ascii="Arial" w:hAnsi="Arial" w:cs="Arial"/>
                <w:b/>
                <w:bCs/>
                <w:color w:val="000000" w:themeColor="text1"/>
                <w:sz w:val="18"/>
                <w:szCs w:val="18"/>
                <w:lang w:val="hr-HR"/>
              </w:rPr>
            </w:pPr>
          </w:p>
        </w:tc>
        <w:tc>
          <w:tcPr>
            <w:tcW w:w="1640" w:type="dxa"/>
            <w:tcBorders>
              <w:top w:val="nil"/>
              <w:left w:val="nil"/>
              <w:bottom w:val="nil"/>
              <w:right w:val="nil"/>
            </w:tcBorders>
            <w:shd w:val="clear" w:color="auto" w:fill="auto"/>
            <w:noWrap/>
            <w:vAlign w:val="bottom"/>
          </w:tcPr>
          <w:p w14:paraId="75216284" w14:textId="77777777" w:rsidR="004E2F51" w:rsidRPr="004B4498" w:rsidRDefault="004E2F51" w:rsidP="00E032FC">
            <w:pPr>
              <w:jc w:val="right"/>
              <w:rPr>
                <w:rFonts w:ascii="Arial" w:hAnsi="Arial" w:cs="Arial"/>
                <w:b/>
                <w:bCs/>
                <w:color w:val="000000" w:themeColor="text1"/>
                <w:sz w:val="18"/>
                <w:szCs w:val="18"/>
                <w:lang w:val="hr-HR"/>
              </w:rPr>
            </w:pPr>
          </w:p>
        </w:tc>
      </w:tr>
      <w:tr w:rsidR="004E2F51" w:rsidRPr="007E675A" w14:paraId="316FB890" w14:textId="77777777" w:rsidTr="00E032FC">
        <w:trPr>
          <w:trHeight w:val="323"/>
        </w:trPr>
        <w:tc>
          <w:tcPr>
            <w:tcW w:w="2671" w:type="dxa"/>
            <w:tcBorders>
              <w:top w:val="nil"/>
              <w:left w:val="nil"/>
              <w:bottom w:val="nil"/>
              <w:right w:val="nil"/>
            </w:tcBorders>
            <w:shd w:val="clear" w:color="auto" w:fill="auto"/>
            <w:noWrap/>
            <w:vAlign w:val="bottom"/>
            <w:hideMark/>
          </w:tcPr>
          <w:p w14:paraId="0B13AEB2" w14:textId="77777777" w:rsidR="004E2F51" w:rsidRPr="004B4498" w:rsidRDefault="004E2F51" w:rsidP="00E032FC">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Bruto iznos</w:t>
            </w:r>
          </w:p>
        </w:tc>
        <w:tc>
          <w:tcPr>
            <w:tcW w:w="1623" w:type="dxa"/>
            <w:tcBorders>
              <w:top w:val="nil"/>
              <w:left w:val="nil"/>
              <w:bottom w:val="nil"/>
              <w:right w:val="nil"/>
            </w:tcBorders>
            <w:shd w:val="clear" w:color="auto" w:fill="auto"/>
            <w:noWrap/>
            <w:vAlign w:val="bottom"/>
          </w:tcPr>
          <w:p w14:paraId="0D21AAC0" w14:textId="77777777" w:rsidR="004E2F51" w:rsidRPr="004B4498" w:rsidRDefault="004E2F51" w:rsidP="00E032FC">
            <w:pPr>
              <w:jc w:val="right"/>
              <w:rPr>
                <w:rFonts w:ascii="Arial" w:hAnsi="Arial" w:cs="Arial"/>
                <w:color w:val="000000" w:themeColor="text1"/>
                <w:sz w:val="18"/>
                <w:szCs w:val="18"/>
                <w:lang w:val="hr-HR"/>
              </w:rPr>
            </w:pPr>
            <w:r w:rsidRPr="0046584E">
              <w:rPr>
                <w:rFonts w:ascii="Arial" w:hAnsi="Arial" w:cs="Arial"/>
                <w:sz w:val="18"/>
                <w:szCs w:val="18"/>
              </w:rPr>
              <w:t>6.895.375</w:t>
            </w:r>
          </w:p>
        </w:tc>
        <w:tc>
          <w:tcPr>
            <w:tcW w:w="1521" w:type="dxa"/>
            <w:tcBorders>
              <w:top w:val="nil"/>
              <w:left w:val="nil"/>
              <w:bottom w:val="nil"/>
              <w:right w:val="nil"/>
            </w:tcBorders>
            <w:shd w:val="clear" w:color="auto" w:fill="auto"/>
            <w:noWrap/>
            <w:vAlign w:val="bottom"/>
          </w:tcPr>
          <w:p w14:paraId="5FA0312F" w14:textId="77777777" w:rsidR="004E2F51" w:rsidRPr="004B4498" w:rsidRDefault="004E2F51" w:rsidP="00E032FC">
            <w:pPr>
              <w:jc w:val="right"/>
              <w:rPr>
                <w:rFonts w:ascii="Arial" w:hAnsi="Arial" w:cs="Arial"/>
                <w:color w:val="000000" w:themeColor="text1"/>
                <w:sz w:val="18"/>
                <w:szCs w:val="18"/>
                <w:lang w:val="hr-HR"/>
              </w:rPr>
            </w:pPr>
            <w:r w:rsidRPr="0046584E">
              <w:rPr>
                <w:rFonts w:ascii="Arial" w:hAnsi="Arial" w:cs="Arial"/>
                <w:sz w:val="18"/>
                <w:szCs w:val="18"/>
              </w:rPr>
              <w:t>203.944</w:t>
            </w:r>
          </w:p>
        </w:tc>
        <w:tc>
          <w:tcPr>
            <w:tcW w:w="1521" w:type="dxa"/>
            <w:tcBorders>
              <w:top w:val="nil"/>
              <w:left w:val="nil"/>
              <w:bottom w:val="nil"/>
              <w:right w:val="nil"/>
            </w:tcBorders>
            <w:shd w:val="clear" w:color="auto" w:fill="auto"/>
            <w:noWrap/>
            <w:vAlign w:val="bottom"/>
          </w:tcPr>
          <w:p w14:paraId="1F8BC313" w14:textId="77777777" w:rsidR="004E2F51" w:rsidRPr="004B4498" w:rsidRDefault="004E2F51" w:rsidP="00E032FC">
            <w:pPr>
              <w:jc w:val="right"/>
              <w:rPr>
                <w:rFonts w:ascii="Arial" w:hAnsi="Arial" w:cs="Arial"/>
                <w:color w:val="000000" w:themeColor="text1"/>
                <w:sz w:val="18"/>
                <w:szCs w:val="18"/>
                <w:lang w:val="hr-HR"/>
              </w:rPr>
            </w:pPr>
            <w:r w:rsidRPr="0046584E">
              <w:rPr>
                <w:rFonts w:ascii="Arial" w:hAnsi="Arial" w:cs="Arial"/>
                <w:sz w:val="18"/>
                <w:szCs w:val="18"/>
              </w:rPr>
              <w:t>9.724</w:t>
            </w:r>
          </w:p>
        </w:tc>
        <w:tc>
          <w:tcPr>
            <w:tcW w:w="1640" w:type="dxa"/>
            <w:tcBorders>
              <w:top w:val="nil"/>
              <w:left w:val="nil"/>
              <w:bottom w:val="nil"/>
              <w:right w:val="nil"/>
            </w:tcBorders>
            <w:shd w:val="clear" w:color="auto" w:fill="auto"/>
            <w:noWrap/>
            <w:vAlign w:val="bottom"/>
          </w:tcPr>
          <w:p w14:paraId="4FC77210" w14:textId="77777777" w:rsidR="004E2F51" w:rsidRPr="004B4498" w:rsidRDefault="004E2F51" w:rsidP="00E032FC">
            <w:pPr>
              <w:jc w:val="right"/>
              <w:rPr>
                <w:rFonts w:ascii="Arial" w:hAnsi="Arial" w:cs="Arial"/>
                <w:b/>
                <w:bCs/>
                <w:color w:val="000000" w:themeColor="text1"/>
                <w:sz w:val="18"/>
                <w:szCs w:val="18"/>
                <w:lang w:val="hr-HR"/>
              </w:rPr>
            </w:pPr>
            <w:r w:rsidRPr="0046584E">
              <w:rPr>
                <w:rFonts w:ascii="Arial" w:hAnsi="Arial" w:cs="Arial"/>
                <w:b/>
                <w:bCs/>
                <w:sz w:val="18"/>
                <w:szCs w:val="18"/>
              </w:rPr>
              <w:t xml:space="preserve"> 7.109.043 </w:t>
            </w:r>
          </w:p>
        </w:tc>
      </w:tr>
      <w:tr w:rsidR="004E2F51" w:rsidRPr="007E675A" w14:paraId="1E76A84B" w14:textId="77777777" w:rsidTr="00E032FC">
        <w:trPr>
          <w:trHeight w:val="281"/>
        </w:trPr>
        <w:tc>
          <w:tcPr>
            <w:tcW w:w="2671" w:type="dxa"/>
            <w:tcBorders>
              <w:top w:val="nil"/>
              <w:left w:val="nil"/>
              <w:bottom w:val="nil"/>
              <w:right w:val="nil"/>
            </w:tcBorders>
            <w:shd w:val="clear" w:color="auto" w:fill="auto"/>
            <w:noWrap/>
            <w:vAlign w:val="bottom"/>
            <w:hideMark/>
          </w:tcPr>
          <w:p w14:paraId="2608439B" w14:textId="77777777" w:rsidR="004E2F51" w:rsidRPr="004B4498" w:rsidRDefault="004E2F51" w:rsidP="00E032FC">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Rezerviranja</w:t>
            </w:r>
          </w:p>
        </w:tc>
        <w:tc>
          <w:tcPr>
            <w:tcW w:w="1623" w:type="dxa"/>
            <w:tcBorders>
              <w:top w:val="nil"/>
              <w:left w:val="nil"/>
              <w:bottom w:val="nil"/>
              <w:right w:val="nil"/>
            </w:tcBorders>
            <w:shd w:val="clear" w:color="auto" w:fill="auto"/>
            <w:noWrap/>
            <w:vAlign w:val="bottom"/>
          </w:tcPr>
          <w:p w14:paraId="26165C3D" w14:textId="77777777" w:rsidR="004E2F51" w:rsidRPr="004B4498" w:rsidRDefault="004E2F51" w:rsidP="00E032FC">
            <w:pPr>
              <w:jc w:val="right"/>
              <w:rPr>
                <w:rFonts w:ascii="Arial" w:hAnsi="Arial" w:cs="Arial"/>
                <w:color w:val="000000" w:themeColor="text1"/>
                <w:sz w:val="18"/>
                <w:szCs w:val="18"/>
                <w:lang w:val="hr-HR"/>
              </w:rPr>
            </w:pPr>
            <w:r w:rsidRPr="0046584E">
              <w:rPr>
                <w:rFonts w:ascii="Arial" w:hAnsi="Arial" w:cs="Arial"/>
                <w:sz w:val="18"/>
                <w:szCs w:val="18"/>
              </w:rPr>
              <w:t xml:space="preserve"> (29.554)</w:t>
            </w:r>
          </w:p>
        </w:tc>
        <w:tc>
          <w:tcPr>
            <w:tcW w:w="1521" w:type="dxa"/>
            <w:tcBorders>
              <w:top w:val="nil"/>
              <w:left w:val="nil"/>
              <w:bottom w:val="nil"/>
              <w:right w:val="nil"/>
            </w:tcBorders>
            <w:shd w:val="clear" w:color="auto" w:fill="auto"/>
            <w:noWrap/>
            <w:vAlign w:val="bottom"/>
          </w:tcPr>
          <w:p w14:paraId="42DD5C36" w14:textId="77777777" w:rsidR="004E2F51" w:rsidRPr="004B4498" w:rsidRDefault="004E2F51" w:rsidP="00E032FC">
            <w:pPr>
              <w:ind w:left="425" w:hanging="425"/>
              <w:jc w:val="right"/>
              <w:rPr>
                <w:rFonts w:ascii="Arial" w:hAnsi="Arial" w:cs="Arial"/>
                <w:color w:val="000000" w:themeColor="text1"/>
                <w:sz w:val="18"/>
                <w:szCs w:val="18"/>
                <w:lang w:val="hr-HR"/>
              </w:rPr>
            </w:pPr>
            <w:r w:rsidRPr="0046584E">
              <w:rPr>
                <w:rFonts w:ascii="Arial" w:hAnsi="Arial" w:cs="Arial"/>
                <w:sz w:val="18"/>
                <w:szCs w:val="18"/>
              </w:rPr>
              <w:t xml:space="preserve"> (23.184)</w:t>
            </w:r>
          </w:p>
        </w:tc>
        <w:tc>
          <w:tcPr>
            <w:tcW w:w="1521" w:type="dxa"/>
            <w:tcBorders>
              <w:top w:val="nil"/>
              <w:left w:val="nil"/>
              <w:bottom w:val="nil"/>
              <w:right w:val="nil"/>
            </w:tcBorders>
            <w:shd w:val="clear" w:color="auto" w:fill="auto"/>
            <w:noWrap/>
            <w:vAlign w:val="bottom"/>
          </w:tcPr>
          <w:p w14:paraId="41276B78" w14:textId="77777777" w:rsidR="004E2F51" w:rsidRPr="004B4498" w:rsidRDefault="004E2F51" w:rsidP="00E032FC">
            <w:pPr>
              <w:jc w:val="right"/>
              <w:rPr>
                <w:rFonts w:ascii="Arial" w:hAnsi="Arial" w:cs="Arial"/>
                <w:color w:val="000000" w:themeColor="text1"/>
                <w:sz w:val="18"/>
                <w:szCs w:val="18"/>
                <w:lang w:val="hr-HR"/>
              </w:rPr>
            </w:pPr>
            <w:r w:rsidRPr="0046584E">
              <w:rPr>
                <w:rFonts w:ascii="Arial" w:hAnsi="Arial" w:cs="Arial"/>
                <w:sz w:val="18"/>
                <w:szCs w:val="18"/>
              </w:rPr>
              <w:t xml:space="preserve"> (6.162)</w:t>
            </w:r>
          </w:p>
        </w:tc>
        <w:tc>
          <w:tcPr>
            <w:tcW w:w="1640" w:type="dxa"/>
            <w:tcBorders>
              <w:top w:val="nil"/>
              <w:left w:val="nil"/>
              <w:bottom w:val="nil"/>
              <w:right w:val="nil"/>
            </w:tcBorders>
            <w:shd w:val="clear" w:color="auto" w:fill="auto"/>
            <w:noWrap/>
            <w:vAlign w:val="bottom"/>
          </w:tcPr>
          <w:p w14:paraId="2052AAFE" w14:textId="77777777" w:rsidR="004E2F51" w:rsidRPr="004B4498" w:rsidRDefault="004E2F51" w:rsidP="00E032FC">
            <w:pPr>
              <w:jc w:val="right"/>
              <w:rPr>
                <w:rFonts w:ascii="Arial" w:hAnsi="Arial" w:cs="Arial"/>
                <w:b/>
                <w:bCs/>
                <w:color w:val="000000" w:themeColor="text1"/>
                <w:sz w:val="18"/>
                <w:szCs w:val="18"/>
                <w:lang w:val="hr-HR"/>
              </w:rPr>
            </w:pPr>
            <w:r w:rsidRPr="0046584E">
              <w:rPr>
                <w:rFonts w:ascii="Arial" w:hAnsi="Arial" w:cs="Arial"/>
                <w:b/>
                <w:bCs/>
                <w:sz w:val="18"/>
                <w:szCs w:val="18"/>
              </w:rPr>
              <w:t xml:space="preserve"> (58.900)</w:t>
            </w:r>
          </w:p>
        </w:tc>
      </w:tr>
      <w:tr w:rsidR="004E2F51" w:rsidRPr="007E675A" w14:paraId="3829CBB5" w14:textId="77777777" w:rsidTr="00E032FC">
        <w:trPr>
          <w:trHeight w:val="607"/>
        </w:trPr>
        <w:tc>
          <w:tcPr>
            <w:tcW w:w="2671" w:type="dxa"/>
            <w:tcBorders>
              <w:top w:val="nil"/>
              <w:left w:val="nil"/>
              <w:bottom w:val="nil"/>
              <w:right w:val="nil"/>
            </w:tcBorders>
            <w:shd w:val="clear" w:color="auto" w:fill="auto"/>
            <w:noWrap/>
            <w:vAlign w:val="bottom"/>
            <w:hideMark/>
          </w:tcPr>
          <w:p w14:paraId="49230CCD" w14:textId="77777777" w:rsidR="004E2F51" w:rsidRPr="004B4498" w:rsidRDefault="004E2F51" w:rsidP="00E032FC">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Stanje na dan </w:t>
            </w:r>
          </w:p>
          <w:p w14:paraId="60AF0038" w14:textId="77777777" w:rsidR="004E2F51" w:rsidRPr="004B4498" w:rsidRDefault="004E2F51" w:rsidP="00E032FC">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31. prosinca 202</w:t>
            </w:r>
            <w:r>
              <w:rPr>
                <w:rFonts w:ascii="Arial" w:hAnsi="Arial" w:cs="Arial"/>
                <w:b/>
                <w:bCs/>
                <w:color w:val="000000" w:themeColor="text1"/>
                <w:sz w:val="18"/>
                <w:szCs w:val="18"/>
                <w:lang w:val="hr-HR"/>
              </w:rPr>
              <w:t>1</w:t>
            </w:r>
            <w:r w:rsidRPr="004B4498">
              <w:rPr>
                <w:rFonts w:ascii="Arial" w:hAnsi="Arial" w:cs="Arial"/>
                <w:b/>
                <w:bCs/>
                <w:color w:val="000000" w:themeColor="text1"/>
                <w:sz w:val="18"/>
                <w:szCs w:val="18"/>
                <w:lang w:val="hr-HR"/>
              </w:rPr>
              <w:t xml:space="preserve">.    </w:t>
            </w:r>
          </w:p>
        </w:tc>
        <w:tc>
          <w:tcPr>
            <w:tcW w:w="1623" w:type="dxa"/>
            <w:tcBorders>
              <w:top w:val="single" w:sz="8" w:space="0" w:color="auto"/>
              <w:left w:val="nil"/>
              <w:bottom w:val="single" w:sz="12" w:space="0" w:color="000000"/>
              <w:right w:val="nil"/>
            </w:tcBorders>
            <w:shd w:val="clear" w:color="auto" w:fill="auto"/>
            <w:noWrap/>
            <w:vAlign w:val="bottom"/>
          </w:tcPr>
          <w:p w14:paraId="34A845D4" w14:textId="77777777" w:rsidR="004E2F51" w:rsidRPr="004B4498" w:rsidRDefault="004E2F51" w:rsidP="00E032FC">
            <w:pPr>
              <w:jc w:val="right"/>
              <w:rPr>
                <w:rFonts w:ascii="Arial" w:hAnsi="Arial" w:cs="Arial"/>
                <w:b/>
                <w:bCs/>
                <w:color w:val="000000" w:themeColor="text1"/>
                <w:sz w:val="18"/>
                <w:szCs w:val="18"/>
                <w:lang w:val="hr-HR"/>
              </w:rPr>
            </w:pPr>
            <w:r w:rsidRPr="0046584E">
              <w:rPr>
                <w:rFonts w:ascii="Arial" w:hAnsi="Arial" w:cs="Arial"/>
                <w:b/>
                <w:bCs/>
                <w:sz w:val="18"/>
                <w:szCs w:val="18"/>
              </w:rPr>
              <w:t xml:space="preserve"> 6.865.821 </w:t>
            </w:r>
          </w:p>
        </w:tc>
        <w:tc>
          <w:tcPr>
            <w:tcW w:w="1521" w:type="dxa"/>
            <w:tcBorders>
              <w:top w:val="single" w:sz="8" w:space="0" w:color="auto"/>
              <w:left w:val="nil"/>
              <w:bottom w:val="single" w:sz="12" w:space="0" w:color="000000"/>
              <w:right w:val="nil"/>
            </w:tcBorders>
            <w:shd w:val="clear" w:color="auto" w:fill="auto"/>
            <w:noWrap/>
            <w:vAlign w:val="bottom"/>
          </w:tcPr>
          <w:p w14:paraId="368B958E" w14:textId="77777777" w:rsidR="004E2F51" w:rsidRPr="004B4498" w:rsidRDefault="004E2F51" w:rsidP="00E032FC">
            <w:pPr>
              <w:jc w:val="right"/>
              <w:rPr>
                <w:rFonts w:ascii="Arial" w:hAnsi="Arial" w:cs="Arial"/>
                <w:b/>
                <w:bCs/>
                <w:color w:val="000000" w:themeColor="text1"/>
                <w:sz w:val="18"/>
                <w:szCs w:val="18"/>
                <w:lang w:val="hr-HR"/>
              </w:rPr>
            </w:pPr>
            <w:r w:rsidRPr="0046584E">
              <w:rPr>
                <w:rFonts w:ascii="Arial" w:hAnsi="Arial" w:cs="Arial"/>
                <w:b/>
                <w:bCs/>
                <w:sz w:val="18"/>
                <w:szCs w:val="18"/>
              </w:rPr>
              <w:t xml:space="preserve"> 180.760 </w:t>
            </w:r>
          </w:p>
        </w:tc>
        <w:tc>
          <w:tcPr>
            <w:tcW w:w="1521" w:type="dxa"/>
            <w:tcBorders>
              <w:top w:val="single" w:sz="8" w:space="0" w:color="auto"/>
              <w:left w:val="nil"/>
              <w:bottom w:val="single" w:sz="12" w:space="0" w:color="000000"/>
              <w:right w:val="nil"/>
            </w:tcBorders>
            <w:shd w:val="clear" w:color="auto" w:fill="auto"/>
            <w:noWrap/>
            <w:vAlign w:val="bottom"/>
          </w:tcPr>
          <w:p w14:paraId="23F543A0" w14:textId="77777777" w:rsidR="004E2F51" w:rsidRPr="004B4498" w:rsidRDefault="004E2F51" w:rsidP="00E032FC">
            <w:pPr>
              <w:jc w:val="right"/>
              <w:rPr>
                <w:rFonts w:ascii="Arial" w:hAnsi="Arial" w:cs="Arial"/>
                <w:b/>
                <w:bCs/>
                <w:color w:val="000000" w:themeColor="text1"/>
                <w:sz w:val="18"/>
                <w:szCs w:val="18"/>
                <w:lang w:val="hr-HR"/>
              </w:rPr>
            </w:pPr>
            <w:r w:rsidRPr="0046584E">
              <w:rPr>
                <w:rFonts w:ascii="Arial" w:hAnsi="Arial" w:cs="Arial"/>
                <w:b/>
                <w:bCs/>
                <w:sz w:val="18"/>
                <w:szCs w:val="18"/>
              </w:rPr>
              <w:t xml:space="preserve"> 3.562 </w:t>
            </w:r>
          </w:p>
        </w:tc>
        <w:tc>
          <w:tcPr>
            <w:tcW w:w="1640" w:type="dxa"/>
            <w:tcBorders>
              <w:top w:val="single" w:sz="8" w:space="0" w:color="auto"/>
              <w:left w:val="nil"/>
              <w:bottom w:val="single" w:sz="12" w:space="0" w:color="000000"/>
              <w:right w:val="nil"/>
            </w:tcBorders>
            <w:shd w:val="clear" w:color="auto" w:fill="auto"/>
            <w:noWrap/>
            <w:vAlign w:val="bottom"/>
          </w:tcPr>
          <w:p w14:paraId="13301F34" w14:textId="77777777" w:rsidR="004E2F51" w:rsidRPr="004B4498" w:rsidRDefault="004E2F51" w:rsidP="00E032FC">
            <w:pPr>
              <w:jc w:val="right"/>
              <w:rPr>
                <w:rFonts w:ascii="Arial" w:hAnsi="Arial" w:cs="Arial"/>
                <w:b/>
                <w:bCs/>
                <w:color w:val="000000" w:themeColor="text1"/>
                <w:sz w:val="18"/>
                <w:szCs w:val="18"/>
                <w:lang w:val="hr-HR"/>
              </w:rPr>
            </w:pPr>
            <w:r w:rsidRPr="0046584E">
              <w:rPr>
                <w:rFonts w:ascii="Arial" w:hAnsi="Arial" w:cs="Arial"/>
                <w:b/>
                <w:bCs/>
                <w:sz w:val="18"/>
                <w:szCs w:val="18"/>
              </w:rPr>
              <w:t xml:space="preserve"> 7.050.143 </w:t>
            </w:r>
          </w:p>
        </w:tc>
      </w:tr>
    </w:tbl>
    <w:p w14:paraId="3678B2F9" w14:textId="77777777" w:rsidR="004E2F51" w:rsidRPr="004B4498" w:rsidRDefault="004E2F51" w:rsidP="004E2F51">
      <w:pPr>
        <w:pStyle w:val="T1"/>
        <w:tabs>
          <w:tab w:val="left" w:pos="1134"/>
        </w:tabs>
        <w:spacing w:before="0" w:after="0" w:line="240" w:lineRule="auto"/>
        <w:rPr>
          <w:rFonts w:cs="Arial"/>
          <w:b w:val="0"/>
          <w:bCs w:val="0"/>
          <w:color w:val="000000" w:themeColor="text1"/>
          <w:sz w:val="20"/>
          <w:lang w:val="hr-HR"/>
        </w:rPr>
        <w:sectPr w:rsidR="004E2F51" w:rsidRPr="004B4498" w:rsidSect="00623DBA">
          <w:footerReference w:type="default" r:id="rId123"/>
          <w:pgSz w:w="11907" w:h="16840" w:code="9"/>
          <w:pgMar w:top="1418" w:right="1134" w:bottom="1134" w:left="1418" w:header="851" w:footer="851" w:gutter="0"/>
          <w:cols w:space="720"/>
          <w:noEndnote/>
        </w:sectPr>
      </w:pPr>
    </w:p>
    <w:bookmarkEnd w:id="999"/>
    <w:p w14:paraId="4F76DA97" w14:textId="77777777" w:rsidR="004E2F51" w:rsidRPr="00B91D09" w:rsidRDefault="004E2F51" w:rsidP="004E2F51">
      <w:pPr>
        <w:pStyle w:val="T1"/>
        <w:tabs>
          <w:tab w:val="left" w:pos="1134"/>
        </w:tabs>
        <w:spacing w:before="0" w:after="0" w:line="240" w:lineRule="auto"/>
        <w:rPr>
          <w:rFonts w:cs="Arial"/>
          <w:b w:val="0"/>
          <w:bCs w:val="0"/>
          <w:color w:val="000000" w:themeColor="text1"/>
          <w:sz w:val="22"/>
          <w:szCs w:val="22"/>
          <w:lang w:val="hr-HR"/>
        </w:rPr>
      </w:pPr>
    </w:p>
    <w:p w14:paraId="1DACAE6C"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14.</w:t>
      </w:r>
      <w:r w:rsidRPr="004B4498">
        <w:rPr>
          <w:rFonts w:cs="Arial"/>
          <w:color w:val="000000" w:themeColor="text1"/>
          <w:sz w:val="20"/>
          <w:lang w:val="hr-HR"/>
        </w:rPr>
        <w:tab/>
        <w:t>Krediti financijskim institucijama (nastavak)</w:t>
      </w:r>
    </w:p>
    <w:p w14:paraId="04AC175E" w14:textId="77777777" w:rsidR="004E2F51" w:rsidRPr="004B4498" w:rsidRDefault="004E2F51" w:rsidP="004E2F51">
      <w:pPr>
        <w:pStyle w:val="T1"/>
        <w:tabs>
          <w:tab w:val="left" w:pos="1134"/>
        </w:tabs>
        <w:spacing w:before="0" w:after="0" w:line="240" w:lineRule="auto"/>
        <w:rPr>
          <w:rFonts w:cs="Arial"/>
          <w:b w:val="0"/>
          <w:bCs w:val="0"/>
          <w:color w:val="000000" w:themeColor="text1"/>
          <w:sz w:val="20"/>
          <w:lang w:val="hr-HR"/>
        </w:rPr>
      </w:pPr>
    </w:p>
    <w:p w14:paraId="5909121E" w14:textId="77777777" w:rsidR="004E2F51" w:rsidRPr="004B4498" w:rsidRDefault="004E2F51" w:rsidP="004E2F51">
      <w:pPr>
        <w:pStyle w:val="T1"/>
        <w:tabs>
          <w:tab w:val="left" w:pos="1134"/>
        </w:tabs>
        <w:spacing w:before="0" w:after="0" w:line="240" w:lineRule="auto"/>
        <w:rPr>
          <w:rFonts w:cs="Arial"/>
          <w:color w:val="000000" w:themeColor="text1"/>
          <w:sz w:val="20"/>
          <w:lang w:val="hr-HR"/>
        </w:rPr>
      </w:pPr>
      <w:r w:rsidRPr="004B4498">
        <w:rPr>
          <w:rFonts w:cs="Arial"/>
          <w:b w:val="0"/>
          <w:bCs w:val="0"/>
          <w:color w:val="000000" w:themeColor="text1"/>
          <w:sz w:val="20"/>
          <w:lang w:val="hr-HR"/>
        </w:rPr>
        <w:t>Promjene na rezerviranjima za očekivane gubitke po kreditima financijskim institucijama mogu se prikazati kako slijedi:</w:t>
      </w:r>
    </w:p>
    <w:p w14:paraId="4C08DFBD" w14:textId="77777777" w:rsidR="004E2F51" w:rsidRPr="004B4498" w:rsidRDefault="004E2F51" w:rsidP="004E2F51">
      <w:pPr>
        <w:tabs>
          <w:tab w:val="left" w:pos="-720"/>
        </w:tabs>
        <w:rPr>
          <w:rFonts w:ascii="Arial" w:hAnsi="Arial" w:cs="Arial"/>
          <w:color w:val="000000" w:themeColor="text1"/>
          <w:sz w:val="20"/>
          <w:szCs w:val="20"/>
          <w:lang w:val="hr-HR"/>
        </w:rPr>
      </w:pPr>
    </w:p>
    <w:tbl>
      <w:tblPr>
        <w:tblW w:w="9212" w:type="dxa"/>
        <w:tblLayout w:type="fixed"/>
        <w:tblLook w:val="04A0" w:firstRow="1" w:lastRow="0" w:firstColumn="1" w:lastColumn="0" w:noHBand="0" w:noVBand="1"/>
      </w:tblPr>
      <w:tblGrid>
        <w:gridCol w:w="6382"/>
        <w:gridCol w:w="1371"/>
        <w:gridCol w:w="1459"/>
      </w:tblGrid>
      <w:tr w:rsidR="004E2F51" w:rsidRPr="00A73588" w14:paraId="7D57C92D" w14:textId="77777777" w:rsidTr="00E032FC">
        <w:trPr>
          <w:trHeight w:val="234"/>
        </w:trPr>
        <w:tc>
          <w:tcPr>
            <w:tcW w:w="6382" w:type="dxa"/>
            <w:tcBorders>
              <w:top w:val="nil"/>
              <w:left w:val="nil"/>
              <w:bottom w:val="nil"/>
              <w:right w:val="nil"/>
            </w:tcBorders>
            <w:shd w:val="clear" w:color="auto" w:fill="auto"/>
            <w:noWrap/>
            <w:vAlign w:val="bottom"/>
            <w:hideMark/>
          </w:tcPr>
          <w:p w14:paraId="0B7C4382" w14:textId="77777777" w:rsidR="004E2F51" w:rsidRPr="004B4498" w:rsidRDefault="004E2F51" w:rsidP="00E032FC">
            <w:pPr>
              <w:rPr>
                <w:rFonts w:ascii="Arial" w:hAnsi="Arial" w:cs="Arial"/>
                <w:color w:val="000000" w:themeColor="text1"/>
                <w:sz w:val="20"/>
                <w:szCs w:val="20"/>
                <w:lang w:val="hr-HR"/>
              </w:rPr>
            </w:pPr>
          </w:p>
        </w:tc>
        <w:tc>
          <w:tcPr>
            <w:tcW w:w="2830" w:type="dxa"/>
            <w:gridSpan w:val="2"/>
            <w:tcBorders>
              <w:top w:val="nil"/>
              <w:left w:val="nil"/>
              <w:bottom w:val="nil"/>
              <w:right w:val="nil"/>
            </w:tcBorders>
            <w:shd w:val="clear" w:color="auto" w:fill="auto"/>
            <w:vAlign w:val="center"/>
            <w:hideMark/>
          </w:tcPr>
          <w:p w14:paraId="393690A4" w14:textId="77777777" w:rsidR="004E2F51" w:rsidRPr="004B4498" w:rsidRDefault="004E2F51" w:rsidP="00E032FC">
            <w:pPr>
              <w:jc w:val="right"/>
              <w:rPr>
                <w:rFonts w:ascii="Arial" w:hAnsi="Arial" w:cs="Arial"/>
                <w:b/>
                <w:bCs/>
                <w:color w:val="000000" w:themeColor="text1"/>
                <w:sz w:val="20"/>
                <w:szCs w:val="20"/>
              </w:rPr>
            </w:pPr>
            <w:r w:rsidRPr="004B4498">
              <w:rPr>
                <w:rFonts w:ascii="Arial" w:hAnsi="Arial" w:cs="Arial"/>
                <w:b/>
                <w:bCs/>
                <w:color w:val="000000" w:themeColor="text1"/>
                <w:sz w:val="20"/>
                <w:szCs w:val="20"/>
              </w:rPr>
              <w:t>Grupa i Banka</w:t>
            </w:r>
          </w:p>
        </w:tc>
      </w:tr>
      <w:tr w:rsidR="004E2F51" w:rsidRPr="00A73588" w14:paraId="6240072F" w14:textId="77777777" w:rsidTr="00E032FC">
        <w:trPr>
          <w:trHeight w:val="234"/>
        </w:trPr>
        <w:tc>
          <w:tcPr>
            <w:tcW w:w="6382" w:type="dxa"/>
            <w:tcBorders>
              <w:top w:val="nil"/>
              <w:left w:val="nil"/>
              <w:bottom w:val="nil"/>
              <w:right w:val="nil"/>
            </w:tcBorders>
            <w:shd w:val="clear" w:color="auto" w:fill="auto"/>
            <w:noWrap/>
            <w:vAlign w:val="bottom"/>
          </w:tcPr>
          <w:p w14:paraId="2BCDCF3E" w14:textId="77777777" w:rsidR="004E2F51" w:rsidRPr="004B4498" w:rsidRDefault="004E2F51" w:rsidP="00E032FC">
            <w:pPr>
              <w:rPr>
                <w:rFonts w:ascii="Arial" w:hAnsi="Arial" w:cs="Arial"/>
                <w:color w:val="000000" w:themeColor="text1"/>
                <w:sz w:val="20"/>
                <w:szCs w:val="20"/>
              </w:rPr>
            </w:pPr>
          </w:p>
        </w:tc>
        <w:tc>
          <w:tcPr>
            <w:tcW w:w="1371" w:type="dxa"/>
            <w:vAlign w:val="bottom"/>
          </w:tcPr>
          <w:p w14:paraId="119435CC" w14:textId="77777777" w:rsidR="004E2F51" w:rsidRPr="004B4498" w:rsidRDefault="004E2F51" w:rsidP="00E032FC">
            <w:pPr>
              <w:pStyle w:val="TH"/>
              <w:spacing w:line="240" w:lineRule="auto"/>
              <w:jc w:val="right"/>
              <w:rPr>
                <w:rFonts w:cs="Arial"/>
                <w:color w:val="000000" w:themeColor="text1"/>
                <w:sz w:val="20"/>
                <w:lang w:val="hr-HR"/>
              </w:rPr>
            </w:pPr>
            <w:bookmarkStart w:id="1000" w:name="_Toc67327991"/>
            <w:r w:rsidRPr="004B4498">
              <w:rPr>
                <w:rFonts w:cs="Arial"/>
                <w:color w:val="000000" w:themeColor="text1"/>
                <w:sz w:val="20"/>
                <w:lang w:val="hr-HR"/>
              </w:rPr>
              <w:t>1.1.-31.12.</w:t>
            </w:r>
            <w:bookmarkEnd w:id="1000"/>
          </w:p>
          <w:p w14:paraId="7DE09664" w14:textId="77777777" w:rsidR="004E2F51" w:rsidRPr="004B4498" w:rsidRDefault="004E2F51" w:rsidP="00E032FC">
            <w:pPr>
              <w:pStyle w:val="TH"/>
              <w:spacing w:line="240" w:lineRule="auto"/>
              <w:jc w:val="right"/>
              <w:rPr>
                <w:rFonts w:cs="Arial"/>
                <w:color w:val="000000" w:themeColor="text1"/>
                <w:sz w:val="20"/>
                <w:lang w:val="hr-HR"/>
              </w:rPr>
            </w:pPr>
            <w:bookmarkStart w:id="1001" w:name="_Toc67327992"/>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1001"/>
          </w:p>
        </w:tc>
        <w:tc>
          <w:tcPr>
            <w:tcW w:w="1459" w:type="dxa"/>
            <w:vAlign w:val="bottom"/>
          </w:tcPr>
          <w:p w14:paraId="2BF67EE1" w14:textId="77777777" w:rsidR="004E2F51" w:rsidRPr="004B4498" w:rsidRDefault="004E2F51" w:rsidP="00E032FC">
            <w:pPr>
              <w:pStyle w:val="TH"/>
              <w:spacing w:line="240" w:lineRule="auto"/>
              <w:jc w:val="right"/>
              <w:rPr>
                <w:rFonts w:cs="Arial"/>
                <w:color w:val="000000" w:themeColor="text1"/>
                <w:sz w:val="20"/>
                <w:lang w:val="hr-HR"/>
              </w:rPr>
            </w:pPr>
            <w:bookmarkStart w:id="1002" w:name="_Toc67327993"/>
            <w:r w:rsidRPr="004B4498">
              <w:rPr>
                <w:rFonts w:cs="Arial"/>
                <w:color w:val="000000" w:themeColor="text1"/>
                <w:sz w:val="20"/>
                <w:lang w:val="hr-HR"/>
              </w:rPr>
              <w:t>1.1.-31.12.</w:t>
            </w:r>
            <w:bookmarkEnd w:id="1002"/>
          </w:p>
          <w:p w14:paraId="2A6E3DA7" w14:textId="77777777" w:rsidR="004E2F51" w:rsidRPr="004B4498" w:rsidRDefault="004E2F51" w:rsidP="00E032FC">
            <w:pPr>
              <w:pStyle w:val="TH"/>
              <w:spacing w:line="240" w:lineRule="auto"/>
              <w:jc w:val="right"/>
              <w:rPr>
                <w:rFonts w:cs="Arial"/>
                <w:color w:val="000000" w:themeColor="text1"/>
                <w:sz w:val="20"/>
                <w:lang w:val="hr-HR"/>
              </w:rPr>
            </w:pPr>
            <w:bookmarkStart w:id="1003" w:name="_Toc67327994"/>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1003"/>
          </w:p>
        </w:tc>
      </w:tr>
      <w:tr w:rsidR="004E2F51" w:rsidRPr="00A73588" w14:paraId="6E354B64" w14:textId="77777777" w:rsidTr="00E032FC">
        <w:trPr>
          <w:trHeight w:val="223"/>
        </w:trPr>
        <w:tc>
          <w:tcPr>
            <w:tcW w:w="6382" w:type="dxa"/>
            <w:tcBorders>
              <w:top w:val="nil"/>
              <w:left w:val="nil"/>
              <w:bottom w:val="nil"/>
              <w:right w:val="nil"/>
            </w:tcBorders>
            <w:shd w:val="clear" w:color="auto" w:fill="auto"/>
            <w:vAlign w:val="center"/>
            <w:hideMark/>
          </w:tcPr>
          <w:p w14:paraId="4D6075E8" w14:textId="77777777" w:rsidR="004E2F51" w:rsidRPr="004B4498" w:rsidRDefault="004E2F51" w:rsidP="00E032FC">
            <w:pPr>
              <w:jc w:val="right"/>
              <w:rPr>
                <w:rFonts w:ascii="Arial" w:hAnsi="Arial" w:cs="Arial"/>
                <w:b/>
                <w:bCs/>
                <w:color w:val="000000" w:themeColor="text1"/>
                <w:sz w:val="20"/>
                <w:szCs w:val="20"/>
              </w:rPr>
            </w:pPr>
          </w:p>
        </w:tc>
        <w:tc>
          <w:tcPr>
            <w:tcW w:w="1371" w:type="dxa"/>
            <w:tcBorders>
              <w:top w:val="nil"/>
              <w:left w:val="nil"/>
              <w:bottom w:val="nil"/>
              <w:right w:val="nil"/>
            </w:tcBorders>
            <w:shd w:val="clear" w:color="auto" w:fill="auto"/>
            <w:vAlign w:val="center"/>
            <w:hideMark/>
          </w:tcPr>
          <w:p w14:paraId="08982B56" w14:textId="77777777" w:rsidR="004E2F51" w:rsidRPr="004B4498" w:rsidRDefault="004E2F51" w:rsidP="00E032FC">
            <w:pPr>
              <w:jc w:val="right"/>
              <w:rPr>
                <w:rFonts w:ascii="Arial" w:hAnsi="Arial" w:cs="Arial"/>
                <w:b/>
                <w:bCs/>
                <w:color w:val="000000" w:themeColor="text1"/>
                <w:sz w:val="20"/>
                <w:szCs w:val="20"/>
              </w:rPr>
            </w:pPr>
            <w:r w:rsidRPr="004B4498">
              <w:rPr>
                <w:rFonts w:ascii="Arial" w:hAnsi="Arial" w:cs="Arial"/>
                <w:b/>
                <w:bCs/>
                <w:color w:val="000000" w:themeColor="text1"/>
                <w:sz w:val="20"/>
                <w:szCs w:val="20"/>
              </w:rPr>
              <w:t xml:space="preserve">000 </w:t>
            </w:r>
            <w:proofErr w:type="spellStart"/>
            <w:r w:rsidRPr="004B4498">
              <w:rPr>
                <w:rFonts w:ascii="Arial" w:hAnsi="Arial" w:cs="Arial"/>
                <w:b/>
                <w:bCs/>
                <w:color w:val="000000" w:themeColor="text1"/>
                <w:sz w:val="20"/>
                <w:szCs w:val="20"/>
              </w:rPr>
              <w:t>kuna</w:t>
            </w:r>
            <w:proofErr w:type="spellEnd"/>
          </w:p>
        </w:tc>
        <w:tc>
          <w:tcPr>
            <w:tcW w:w="1459" w:type="dxa"/>
            <w:tcBorders>
              <w:top w:val="nil"/>
              <w:left w:val="nil"/>
              <w:bottom w:val="nil"/>
              <w:right w:val="nil"/>
            </w:tcBorders>
            <w:shd w:val="clear" w:color="auto" w:fill="auto"/>
            <w:vAlign w:val="center"/>
          </w:tcPr>
          <w:p w14:paraId="50C344DA" w14:textId="77777777" w:rsidR="004E2F51" w:rsidRPr="004B4498" w:rsidRDefault="004E2F51" w:rsidP="00E032FC">
            <w:pPr>
              <w:jc w:val="right"/>
              <w:rPr>
                <w:rFonts w:ascii="Arial" w:hAnsi="Arial" w:cs="Arial"/>
                <w:b/>
                <w:bCs/>
                <w:color w:val="000000" w:themeColor="text1"/>
                <w:sz w:val="20"/>
                <w:szCs w:val="20"/>
              </w:rPr>
            </w:pPr>
            <w:r w:rsidRPr="004B4498">
              <w:rPr>
                <w:rFonts w:ascii="Arial" w:hAnsi="Arial" w:cs="Arial"/>
                <w:b/>
                <w:bCs/>
                <w:color w:val="000000" w:themeColor="text1"/>
                <w:sz w:val="20"/>
                <w:szCs w:val="20"/>
              </w:rPr>
              <w:t xml:space="preserve">000 </w:t>
            </w:r>
            <w:proofErr w:type="spellStart"/>
            <w:r w:rsidRPr="004B4498">
              <w:rPr>
                <w:rFonts w:ascii="Arial" w:hAnsi="Arial" w:cs="Arial"/>
                <w:b/>
                <w:bCs/>
                <w:color w:val="000000" w:themeColor="text1"/>
                <w:sz w:val="20"/>
                <w:szCs w:val="20"/>
              </w:rPr>
              <w:t>kuna</w:t>
            </w:r>
            <w:proofErr w:type="spellEnd"/>
          </w:p>
        </w:tc>
      </w:tr>
      <w:tr w:rsidR="004E2F51" w:rsidRPr="00A73588" w14:paraId="478F057D" w14:textId="77777777" w:rsidTr="00E032FC">
        <w:trPr>
          <w:trHeight w:val="365"/>
        </w:trPr>
        <w:tc>
          <w:tcPr>
            <w:tcW w:w="6382" w:type="dxa"/>
            <w:tcBorders>
              <w:top w:val="nil"/>
              <w:left w:val="nil"/>
              <w:bottom w:val="nil"/>
              <w:right w:val="nil"/>
            </w:tcBorders>
            <w:shd w:val="clear" w:color="auto" w:fill="auto"/>
            <w:vAlign w:val="bottom"/>
          </w:tcPr>
          <w:p w14:paraId="0D9A2043"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Stanje 1. siječnja</w:t>
            </w:r>
          </w:p>
        </w:tc>
        <w:tc>
          <w:tcPr>
            <w:tcW w:w="1371" w:type="dxa"/>
            <w:tcBorders>
              <w:top w:val="nil"/>
              <w:left w:val="nil"/>
              <w:right w:val="nil"/>
            </w:tcBorders>
            <w:shd w:val="clear" w:color="auto" w:fill="auto"/>
            <w:vAlign w:val="bottom"/>
          </w:tcPr>
          <w:p w14:paraId="6CD4513A" w14:textId="77777777" w:rsidR="004E2F51" w:rsidRPr="004B4498" w:rsidRDefault="004E2F51" w:rsidP="00E032FC">
            <w:pPr>
              <w:jc w:val="right"/>
              <w:rPr>
                <w:rFonts w:ascii="Arial" w:hAnsi="Arial" w:cs="Arial"/>
                <w:color w:val="000000" w:themeColor="text1"/>
                <w:sz w:val="20"/>
                <w:szCs w:val="20"/>
                <w:lang w:val="hr-HR"/>
              </w:rPr>
            </w:pPr>
            <w:r w:rsidRPr="009112C0">
              <w:rPr>
                <w:rFonts w:ascii="Arial" w:hAnsi="Arial" w:cs="Arial"/>
                <w:color w:val="000000" w:themeColor="text1"/>
                <w:sz w:val="20"/>
                <w:szCs w:val="20"/>
                <w:lang w:val="hr-HR"/>
              </w:rPr>
              <w:t>58.900</w:t>
            </w:r>
          </w:p>
        </w:tc>
        <w:tc>
          <w:tcPr>
            <w:tcW w:w="1459" w:type="dxa"/>
            <w:tcBorders>
              <w:top w:val="nil"/>
              <w:left w:val="nil"/>
              <w:right w:val="nil"/>
            </w:tcBorders>
            <w:shd w:val="clear" w:color="auto" w:fill="auto"/>
            <w:vAlign w:val="bottom"/>
          </w:tcPr>
          <w:p w14:paraId="283D0253"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82.797</w:t>
            </w:r>
          </w:p>
        </w:tc>
      </w:tr>
      <w:tr w:rsidR="004E2F51" w:rsidRPr="00A73588" w14:paraId="6A029671" w14:textId="77777777" w:rsidTr="00E032FC">
        <w:trPr>
          <w:trHeight w:val="365"/>
        </w:trPr>
        <w:tc>
          <w:tcPr>
            <w:tcW w:w="6382" w:type="dxa"/>
            <w:tcBorders>
              <w:top w:val="nil"/>
              <w:left w:val="nil"/>
              <w:bottom w:val="nil"/>
              <w:right w:val="nil"/>
            </w:tcBorders>
            <w:shd w:val="clear" w:color="auto" w:fill="auto"/>
            <w:vAlign w:val="bottom"/>
          </w:tcPr>
          <w:p w14:paraId="54D2765C"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Neto </w:t>
            </w:r>
            <w:r w:rsidRPr="009112C0">
              <w:rPr>
                <w:rFonts w:ascii="Arial" w:hAnsi="Arial" w:cs="Arial"/>
                <w:color w:val="000000" w:themeColor="text1"/>
                <w:sz w:val="20"/>
                <w:szCs w:val="20"/>
                <w:lang w:val="hr-HR"/>
              </w:rPr>
              <w:t>povećanje/(smanjenje)</w:t>
            </w:r>
            <w:r>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rezerviranja za očekivane gubitke po kreditima financijskim institucijama</w:t>
            </w:r>
          </w:p>
        </w:tc>
        <w:tc>
          <w:tcPr>
            <w:tcW w:w="1371" w:type="dxa"/>
            <w:tcBorders>
              <w:left w:val="nil"/>
              <w:bottom w:val="single" w:sz="4" w:space="0" w:color="auto"/>
              <w:right w:val="nil"/>
            </w:tcBorders>
            <w:shd w:val="clear" w:color="auto" w:fill="auto"/>
            <w:vAlign w:val="bottom"/>
          </w:tcPr>
          <w:p w14:paraId="29137B1E" w14:textId="77777777" w:rsidR="004E2F51" w:rsidRPr="004B4498" w:rsidRDefault="004E2F51" w:rsidP="00E032FC">
            <w:pPr>
              <w:jc w:val="right"/>
              <w:rPr>
                <w:rFonts w:ascii="Arial" w:hAnsi="Arial" w:cs="Arial"/>
                <w:color w:val="000000" w:themeColor="text1"/>
                <w:sz w:val="20"/>
                <w:szCs w:val="20"/>
                <w:lang w:val="hr-HR"/>
              </w:rPr>
            </w:pPr>
            <w:r w:rsidRPr="009112C0">
              <w:rPr>
                <w:rFonts w:ascii="Arial" w:hAnsi="Arial" w:cs="Arial"/>
                <w:color w:val="000000" w:themeColor="text1"/>
                <w:sz w:val="20"/>
                <w:szCs w:val="20"/>
                <w:lang w:val="hr-HR"/>
              </w:rPr>
              <w:t>1.906</w:t>
            </w:r>
          </w:p>
        </w:tc>
        <w:tc>
          <w:tcPr>
            <w:tcW w:w="1459" w:type="dxa"/>
            <w:tcBorders>
              <w:left w:val="nil"/>
              <w:bottom w:val="single" w:sz="4" w:space="0" w:color="auto"/>
              <w:right w:val="nil"/>
            </w:tcBorders>
            <w:shd w:val="clear" w:color="auto" w:fill="auto"/>
            <w:vAlign w:val="bottom"/>
          </w:tcPr>
          <w:p w14:paraId="6B67039D"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(23.698)</w:t>
            </w:r>
          </w:p>
        </w:tc>
      </w:tr>
      <w:tr w:rsidR="004E2F51" w:rsidRPr="00A73588" w14:paraId="2A36E9CA" w14:textId="77777777" w:rsidTr="00E032FC">
        <w:trPr>
          <w:trHeight w:val="365"/>
        </w:trPr>
        <w:tc>
          <w:tcPr>
            <w:tcW w:w="6382" w:type="dxa"/>
            <w:tcBorders>
              <w:top w:val="nil"/>
              <w:left w:val="nil"/>
              <w:bottom w:val="nil"/>
              <w:right w:val="nil"/>
            </w:tcBorders>
            <w:shd w:val="clear" w:color="auto" w:fill="auto"/>
            <w:vAlign w:val="bottom"/>
          </w:tcPr>
          <w:p w14:paraId="0052695C" w14:textId="77777777" w:rsidR="004E2F51" w:rsidRPr="004B4498" w:rsidRDefault="004E2F51" w:rsidP="00E032FC">
            <w:pPr>
              <w:rPr>
                <w:rFonts w:ascii="Arial" w:hAnsi="Arial" w:cs="Arial"/>
                <w:i/>
                <w:iCs/>
                <w:color w:val="000000" w:themeColor="text1"/>
                <w:sz w:val="20"/>
                <w:szCs w:val="20"/>
                <w:lang w:val="hr-HR"/>
              </w:rPr>
            </w:pPr>
            <w:r w:rsidRPr="004B4498">
              <w:rPr>
                <w:rFonts w:ascii="Arial" w:hAnsi="Arial" w:cs="Arial"/>
                <w:i/>
                <w:iCs/>
                <w:color w:val="000000" w:themeColor="text1"/>
                <w:sz w:val="20"/>
                <w:szCs w:val="20"/>
                <w:lang w:val="hr-HR"/>
              </w:rPr>
              <w:t xml:space="preserve">Ukupno kroz dobit ili gubitak </w:t>
            </w:r>
            <w:r w:rsidRPr="00A873BB">
              <w:rPr>
                <w:rFonts w:ascii="Arial" w:hAnsi="Arial" w:cs="Arial"/>
                <w:i/>
                <w:iCs/>
                <w:color w:val="000000" w:themeColor="text1"/>
                <w:sz w:val="20"/>
                <w:szCs w:val="20"/>
                <w:lang w:val="hr-HR"/>
              </w:rPr>
              <w:t>(bilješka 10)</w:t>
            </w:r>
          </w:p>
        </w:tc>
        <w:tc>
          <w:tcPr>
            <w:tcW w:w="1371" w:type="dxa"/>
            <w:tcBorders>
              <w:top w:val="single" w:sz="4" w:space="0" w:color="auto"/>
              <w:left w:val="nil"/>
              <w:bottom w:val="single" w:sz="4" w:space="0" w:color="auto"/>
              <w:right w:val="nil"/>
            </w:tcBorders>
            <w:shd w:val="clear" w:color="auto" w:fill="auto"/>
            <w:vAlign w:val="bottom"/>
          </w:tcPr>
          <w:p w14:paraId="74A0AF02" w14:textId="77777777" w:rsidR="004E2F51" w:rsidRPr="004B4498" w:rsidRDefault="004E2F51" w:rsidP="00E032FC">
            <w:pPr>
              <w:jc w:val="right"/>
              <w:rPr>
                <w:rFonts w:ascii="Arial" w:hAnsi="Arial" w:cs="Arial"/>
                <w:bCs/>
                <w:i/>
                <w:color w:val="000000" w:themeColor="text1"/>
                <w:sz w:val="20"/>
                <w:szCs w:val="20"/>
                <w:lang w:val="hr-HR"/>
              </w:rPr>
            </w:pPr>
            <w:r w:rsidRPr="009112C0">
              <w:rPr>
                <w:rFonts w:ascii="Arial" w:hAnsi="Arial" w:cs="Arial"/>
                <w:bCs/>
                <w:i/>
                <w:color w:val="000000" w:themeColor="text1"/>
                <w:sz w:val="20"/>
                <w:szCs w:val="20"/>
                <w:lang w:val="hr-HR"/>
              </w:rPr>
              <w:t>1.906</w:t>
            </w:r>
          </w:p>
        </w:tc>
        <w:tc>
          <w:tcPr>
            <w:tcW w:w="1459" w:type="dxa"/>
            <w:tcBorders>
              <w:top w:val="single" w:sz="4" w:space="0" w:color="auto"/>
              <w:left w:val="nil"/>
              <w:bottom w:val="single" w:sz="4" w:space="0" w:color="auto"/>
              <w:right w:val="nil"/>
            </w:tcBorders>
            <w:shd w:val="clear" w:color="auto" w:fill="auto"/>
            <w:vAlign w:val="bottom"/>
          </w:tcPr>
          <w:p w14:paraId="5366CF98" w14:textId="77777777" w:rsidR="004E2F51" w:rsidRPr="004B4498" w:rsidRDefault="004E2F51" w:rsidP="00E032FC">
            <w:pPr>
              <w:jc w:val="right"/>
              <w:rPr>
                <w:rFonts w:ascii="Arial" w:hAnsi="Arial" w:cs="Arial"/>
                <w:i/>
                <w:color w:val="000000" w:themeColor="text1"/>
                <w:sz w:val="20"/>
                <w:szCs w:val="20"/>
                <w:lang w:val="hr-HR"/>
              </w:rPr>
            </w:pPr>
            <w:r w:rsidRPr="0046584E">
              <w:rPr>
                <w:rFonts w:ascii="Arial" w:hAnsi="Arial" w:cs="Arial"/>
                <w:bCs/>
                <w:i/>
                <w:color w:val="000000" w:themeColor="text1"/>
                <w:sz w:val="20"/>
                <w:szCs w:val="20"/>
                <w:lang w:val="hr-HR"/>
              </w:rPr>
              <w:t>(23.698)</w:t>
            </w:r>
          </w:p>
        </w:tc>
      </w:tr>
      <w:tr w:rsidR="004E2F51" w:rsidRPr="00A73588" w14:paraId="19FD70F5" w14:textId="77777777" w:rsidTr="00E032FC">
        <w:trPr>
          <w:trHeight w:val="365"/>
        </w:trPr>
        <w:tc>
          <w:tcPr>
            <w:tcW w:w="6382" w:type="dxa"/>
            <w:tcBorders>
              <w:top w:val="nil"/>
              <w:left w:val="nil"/>
              <w:bottom w:val="nil"/>
              <w:right w:val="nil"/>
            </w:tcBorders>
            <w:shd w:val="clear" w:color="auto" w:fill="auto"/>
            <w:vAlign w:val="bottom"/>
          </w:tcPr>
          <w:p w14:paraId="17B3AF9F"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Neto dobit/gubitak od tečajnih razlika po rezerviranjima za očekivane gubitke </w:t>
            </w:r>
          </w:p>
        </w:tc>
        <w:tc>
          <w:tcPr>
            <w:tcW w:w="1371" w:type="dxa"/>
            <w:tcBorders>
              <w:top w:val="single" w:sz="4" w:space="0" w:color="auto"/>
              <w:left w:val="nil"/>
              <w:right w:val="nil"/>
            </w:tcBorders>
            <w:shd w:val="clear" w:color="auto" w:fill="auto"/>
            <w:vAlign w:val="bottom"/>
          </w:tcPr>
          <w:p w14:paraId="636513F1" w14:textId="77777777" w:rsidR="004E2F51" w:rsidRPr="004B4498" w:rsidRDefault="004E2F51" w:rsidP="00E032FC">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61</w:t>
            </w:r>
          </w:p>
        </w:tc>
        <w:tc>
          <w:tcPr>
            <w:tcW w:w="1459" w:type="dxa"/>
            <w:tcBorders>
              <w:top w:val="single" w:sz="4" w:space="0" w:color="auto"/>
              <w:left w:val="nil"/>
              <w:right w:val="nil"/>
            </w:tcBorders>
            <w:shd w:val="clear" w:color="auto" w:fill="auto"/>
            <w:vAlign w:val="bottom"/>
          </w:tcPr>
          <w:p w14:paraId="37BAF2B2"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(97)</w:t>
            </w:r>
          </w:p>
        </w:tc>
      </w:tr>
      <w:tr w:rsidR="004E2F51" w:rsidRPr="00A73588" w14:paraId="60E61B3A" w14:textId="77777777" w:rsidTr="00E032FC">
        <w:trPr>
          <w:trHeight w:val="365"/>
        </w:trPr>
        <w:tc>
          <w:tcPr>
            <w:tcW w:w="6382" w:type="dxa"/>
            <w:tcBorders>
              <w:top w:val="nil"/>
              <w:left w:val="nil"/>
              <w:bottom w:val="nil"/>
              <w:right w:val="nil"/>
            </w:tcBorders>
            <w:shd w:val="clear" w:color="auto" w:fill="auto"/>
            <w:vAlign w:val="bottom"/>
          </w:tcPr>
          <w:p w14:paraId="2AE315C3"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Prijenos na kredite ostalim korisnicima</w:t>
            </w:r>
          </w:p>
        </w:tc>
        <w:tc>
          <w:tcPr>
            <w:tcW w:w="1371" w:type="dxa"/>
            <w:tcBorders>
              <w:left w:val="nil"/>
              <w:right w:val="nil"/>
            </w:tcBorders>
            <w:shd w:val="clear" w:color="auto" w:fill="auto"/>
            <w:vAlign w:val="bottom"/>
          </w:tcPr>
          <w:p w14:paraId="64C69A80" w14:textId="77777777" w:rsidR="004E2F51" w:rsidRPr="004B4498" w:rsidRDefault="004E2F51" w:rsidP="00E032FC">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w:t>
            </w:r>
          </w:p>
        </w:tc>
        <w:tc>
          <w:tcPr>
            <w:tcW w:w="1459" w:type="dxa"/>
            <w:tcBorders>
              <w:left w:val="nil"/>
              <w:right w:val="nil"/>
            </w:tcBorders>
            <w:shd w:val="clear" w:color="auto" w:fill="auto"/>
            <w:vAlign w:val="bottom"/>
          </w:tcPr>
          <w:p w14:paraId="32221756"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(16)</w:t>
            </w:r>
          </w:p>
        </w:tc>
      </w:tr>
      <w:tr w:rsidR="004E2F51" w:rsidRPr="00A73588" w14:paraId="6B64A035" w14:textId="77777777" w:rsidTr="00E032FC">
        <w:trPr>
          <w:trHeight w:val="365"/>
        </w:trPr>
        <w:tc>
          <w:tcPr>
            <w:tcW w:w="6382" w:type="dxa"/>
            <w:tcBorders>
              <w:top w:val="nil"/>
              <w:left w:val="nil"/>
              <w:bottom w:val="nil"/>
              <w:right w:val="nil"/>
            </w:tcBorders>
            <w:shd w:val="clear" w:color="auto" w:fill="auto"/>
            <w:vAlign w:val="bottom"/>
          </w:tcPr>
          <w:p w14:paraId="76AF69DE"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Unwinding – promjena uslijed proteka vremena</w:t>
            </w:r>
          </w:p>
        </w:tc>
        <w:tc>
          <w:tcPr>
            <w:tcW w:w="1371" w:type="dxa"/>
            <w:tcBorders>
              <w:left w:val="nil"/>
              <w:bottom w:val="single" w:sz="4" w:space="0" w:color="auto"/>
              <w:right w:val="nil"/>
            </w:tcBorders>
            <w:shd w:val="clear" w:color="auto" w:fill="auto"/>
            <w:vAlign w:val="bottom"/>
          </w:tcPr>
          <w:p w14:paraId="427D55C5" w14:textId="77777777" w:rsidR="004E2F51" w:rsidRPr="004B4498" w:rsidRDefault="004E2F51" w:rsidP="00E032FC">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(5)</w:t>
            </w:r>
          </w:p>
        </w:tc>
        <w:tc>
          <w:tcPr>
            <w:tcW w:w="1459" w:type="dxa"/>
            <w:tcBorders>
              <w:left w:val="nil"/>
              <w:bottom w:val="single" w:sz="4" w:space="0" w:color="auto"/>
              <w:right w:val="nil"/>
            </w:tcBorders>
            <w:shd w:val="clear" w:color="auto" w:fill="auto"/>
            <w:vAlign w:val="bottom"/>
          </w:tcPr>
          <w:p w14:paraId="5D50449A"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(86)</w:t>
            </w:r>
          </w:p>
        </w:tc>
      </w:tr>
      <w:tr w:rsidR="004E2F51" w:rsidRPr="00A73588" w14:paraId="234901F0" w14:textId="77777777" w:rsidTr="00E032FC">
        <w:trPr>
          <w:trHeight w:val="365"/>
        </w:trPr>
        <w:tc>
          <w:tcPr>
            <w:tcW w:w="6382" w:type="dxa"/>
            <w:tcBorders>
              <w:top w:val="nil"/>
              <w:left w:val="nil"/>
              <w:bottom w:val="nil"/>
              <w:right w:val="nil"/>
            </w:tcBorders>
            <w:shd w:val="clear" w:color="auto" w:fill="auto"/>
            <w:vAlign w:val="bottom"/>
          </w:tcPr>
          <w:p w14:paraId="0E631069" w14:textId="77777777" w:rsidR="004E2F51" w:rsidRPr="004B4498" w:rsidRDefault="004E2F51" w:rsidP="00E032FC">
            <w:pPr>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Stanje na kraju izvještajnog razdoblja</w:t>
            </w:r>
          </w:p>
        </w:tc>
        <w:tc>
          <w:tcPr>
            <w:tcW w:w="1371" w:type="dxa"/>
            <w:tcBorders>
              <w:top w:val="single" w:sz="4" w:space="0" w:color="auto"/>
              <w:left w:val="nil"/>
              <w:bottom w:val="single" w:sz="12" w:space="0" w:color="auto"/>
              <w:right w:val="nil"/>
            </w:tcBorders>
            <w:shd w:val="clear" w:color="auto" w:fill="auto"/>
            <w:vAlign w:val="bottom"/>
          </w:tcPr>
          <w:p w14:paraId="09794911" w14:textId="77777777" w:rsidR="004E2F51" w:rsidRPr="004B4498" w:rsidRDefault="004E2F51" w:rsidP="00E032FC">
            <w:pPr>
              <w:jc w:val="right"/>
              <w:rPr>
                <w:rFonts w:ascii="Arial" w:hAnsi="Arial" w:cs="Arial"/>
                <w:b/>
                <w:color w:val="000000" w:themeColor="text1"/>
                <w:sz w:val="20"/>
                <w:szCs w:val="20"/>
                <w:lang w:val="hr-HR"/>
              </w:rPr>
            </w:pPr>
            <w:r w:rsidRPr="009112C0">
              <w:rPr>
                <w:rFonts w:ascii="Arial" w:hAnsi="Arial" w:cs="Arial"/>
                <w:b/>
                <w:color w:val="000000" w:themeColor="text1"/>
                <w:sz w:val="20"/>
                <w:szCs w:val="20"/>
                <w:lang w:val="hr-HR"/>
              </w:rPr>
              <w:t>60.862</w:t>
            </w:r>
          </w:p>
        </w:tc>
        <w:tc>
          <w:tcPr>
            <w:tcW w:w="1459" w:type="dxa"/>
            <w:tcBorders>
              <w:top w:val="single" w:sz="4" w:space="0" w:color="auto"/>
              <w:left w:val="nil"/>
              <w:bottom w:val="single" w:sz="12" w:space="0" w:color="auto"/>
              <w:right w:val="nil"/>
            </w:tcBorders>
            <w:shd w:val="clear" w:color="auto" w:fill="auto"/>
            <w:vAlign w:val="bottom"/>
          </w:tcPr>
          <w:p w14:paraId="0CF4B824" w14:textId="77777777" w:rsidR="004E2F51" w:rsidRPr="004B4498" w:rsidRDefault="004E2F51" w:rsidP="00E032FC">
            <w:pPr>
              <w:jc w:val="right"/>
              <w:rPr>
                <w:rFonts w:ascii="Arial" w:hAnsi="Arial" w:cs="Arial"/>
                <w:b/>
                <w:color w:val="000000" w:themeColor="text1"/>
                <w:sz w:val="20"/>
                <w:szCs w:val="20"/>
                <w:lang w:val="hr-HR"/>
              </w:rPr>
            </w:pPr>
            <w:r w:rsidRPr="0046584E">
              <w:rPr>
                <w:rFonts w:ascii="Arial" w:hAnsi="Arial" w:cs="Arial"/>
                <w:b/>
                <w:color w:val="000000" w:themeColor="text1"/>
                <w:sz w:val="20"/>
                <w:szCs w:val="20"/>
                <w:lang w:val="hr-HR"/>
              </w:rPr>
              <w:t>58.900</w:t>
            </w:r>
          </w:p>
        </w:tc>
      </w:tr>
    </w:tbl>
    <w:p w14:paraId="42DC2B41" w14:textId="77777777" w:rsidR="004E2F51" w:rsidRPr="004B4498" w:rsidRDefault="004E2F51" w:rsidP="004E2F51">
      <w:pPr>
        <w:tabs>
          <w:tab w:val="left" w:pos="-720"/>
        </w:tabs>
        <w:rPr>
          <w:rFonts w:ascii="Arial" w:hAnsi="Arial" w:cs="Arial"/>
          <w:color w:val="000000" w:themeColor="text1"/>
          <w:sz w:val="20"/>
          <w:szCs w:val="20"/>
          <w:lang w:val="hr-HR"/>
        </w:rPr>
      </w:pPr>
    </w:p>
    <w:p w14:paraId="13743901" w14:textId="77777777" w:rsidR="004E2F51" w:rsidRPr="004B4498" w:rsidRDefault="004E2F51" w:rsidP="004E2F51">
      <w:pPr>
        <w:tabs>
          <w:tab w:val="left" w:pos="-720"/>
        </w:tabs>
        <w:rPr>
          <w:rFonts w:ascii="Arial" w:hAnsi="Arial" w:cs="Arial"/>
          <w:color w:val="000000" w:themeColor="text1"/>
          <w:sz w:val="20"/>
          <w:szCs w:val="20"/>
          <w:lang w:val="hr-HR"/>
        </w:rPr>
      </w:pPr>
    </w:p>
    <w:p w14:paraId="6CBB8D6A" w14:textId="77777777" w:rsidR="004E2F51" w:rsidRPr="00B91D09" w:rsidRDefault="004E2F51" w:rsidP="004E2F51">
      <w:pPr>
        <w:tabs>
          <w:tab w:val="left" w:pos="-720"/>
        </w:tabs>
        <w:jc w:val="both"/>
        <w:rPr>
          <w:rFonts w:ascii="Arial" w:hAnsi="Arial" w:cs="Arial"/>
          <w:color w:val="000000" w:themeColor="text1"/>
          <w:sz w:val="22"/>
          <w:szCs w:val="22"/>
          <w:lang w:val="hr-HR"/>
        </w:rPr>
      </w:pPr>
      <w:r w:rsidRPr="004B4498">
        <w:rPr>
          <w:rFonts w:ascii="Arial" w:hAnsi="Arial" w:cs="Arial"/>
          <w:color w:val="000000" w:themeColor="text1"/>
          <w:sz w:val="20"/>
          <w:szCs w:val="20"/>
          <w:lang w:val="hr-HR"/>
        </w:rPr>
        <w:t>Neto dobit/gubitak od tečajnih razlika po rezerviranjima za očekivane gubitke prikazan je unutar Neto prihoda/(rashoda) od financijskih aktivnosti u Računu dobiti i gubitka</w:t>
      </w:r>
      <w:r w:rsidRPr="00B91D09">
        <w:rPr>
          <w:rFonts w:ascii="Arial" w:hAnsi="Arial" w:cs="Arial"/>
          <w:color w:val="000000" w:themeColor="text1"/>
          <w:sz w:val="22"/>
          <w:szCs w:val="22"/>
          <w:lang w:val="hr-HR"/>
        </w:rPr>
        <w:t>.</w:t>
      </w:r>
    </w:p>
    <w:p w14:paraId="722D023B" w14:textId="77777777" w:rsidR="004E2F51" w:rsidRPr="00B91D09" w:rsidRDefault="004E2F51" w:rsidP="004E2F51">
      <w:pPr>
        <w:pStyle w:val="T1"/>
        <w:rPr>
          <w:rFonts w:cs="Arial"/>
          <w:color w:val="000000" w:themeColor="text1"/>
          <w:sz w:val="22"/>
          <w:szCs w:val="22"/>
          <w:lang w:val="hr-HR"/>
        </w:rPr>
        <w:sectPr w:rsidR="004E2F51" w:rsidRPr="00B91D09" w:rsidSect="00623DBA">
          <w:footerReference w:type="default" r:id="rId124"/>
          <w:pgSz w:w="11907" w:h="16840" w:code="9"/>
          <w:pgMar w:top="1418" w:right="1134" w:bottom="1134" w:left="1418" w:header="851" w:footer="851" w:gutter="0"/>
          <w:cols w:space="720"/>
          <w:noEndnote/>
        </w:sectPr>
      </w:pPr>
    </w:p>
    <w:p w14:paraId="43BB92D6" w14:textId="77777777" w:rsidR="004E2F51" w:rsidRPr="00B91D09" w:rsidRDefault="004E2F51" w:rsidP="004E2F51">
      <w:pPr>
        <w:pStyle w:val="T1"/>
        <w:spacing w:before="0" w:after="0" w:line="240" w:lineRule="auto"/>
        <w:rPr>
          <w:rFonts w:cs="Arial"/>
          <w:color w:val="000000" w:themeColor="text1"/>
          <w:sz w:val="22"/>
          <w:szCs w:val="22"/>
          <w:lang w:val="hr-HR"/>
        </w:rPr>
      </w:pPr>
    </w:p>
    <w:p w14:paraId="0DFCE9E5"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14.</w:t>
      </w:r>
      <w:r w:rsidRPr="004B4498">
        <w:rPr>
          <w:rFonts w:cs="Arial"/>
          <w:color w:val="000000" w:themeColor="text1"/>
          <w:sz w:val="20"/>
          <w:lang w:val="hr-HR"/>
        </w:rPr>
        <w:tab/>
        <w:t>Krediti financijskim institucijama (nastavak)</w:t>
      </w:r>
    </w:p>
    <w:p w14:paraId="3AA5BAFA"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0302D8EC"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Krediti financijskim institucijama, umanjeni za rezerviranja za očekivane gubitke, prema namjeni kreditnih programa dani su kako slijedi:</w:t>
      </w:r>
    </w:p>
    <w:tbl>
      <w:tblPr>
        <w:tblW w:w="5029" w:type="pct"/>
        <w:tblLayout w:type="fixed"/>
        <w:tblCellMar>
          <w:left w:w="107" w:type="dxa"/>
          <w:right w:w="107" w:type="dxa"/>
        </w:tblCellMar>
        <w:tblLook w:val="0000" w:firstRow="0" w:lastRow="0" w:firstColumn="0" w:lastColumn="0" w:noHBand="0" w:noVBand="0"/>
      </w:tblPr>
      <w:tblGrid>
        <w:gridCol w:w="5983"/>
        <w:gridCol w:w="1712"/>
        <w:gridCol w:w="1714"/>
      </w:tblGrid>
      <w:tr w:rsidR="004E2F51" w:rsidRPr="00A73588" w14:paraId="36DA0D8C" w14:textId="77777777" w:rsidTr="00E032FC">
        <w:trPr>
          <w:trHeight w:val="111"/>
        </w:trPr>
        <w:tc>
          <w:tcPr>
            <w:tcW w:w="3179" w:type="pct"/>
          </w:tcPr>
          <w:p w14:paraId="1F488FE2" w14:textId="77777777" w:rsidR="004E2F51" w:rsidRPr="004B4498" w:rsidRDefault="004E2F51" w:rsidP="00E032FC">
            <w:pPr>
              <w:tabs>
                <w:tab w:val="left" w:pos="-720"/>
              </w:tabs>
              <w:ind w:firstLine="35"/>
              <w:rPr>
                <w:rFonts w:ascii="Arial" w:hAnsi="Arial" w:cs="Arial"/>
                <w:color w:val="000000" w:themeColor="text1"/>
                <w:spacing w:val="-3"/>
                <w:sz w:val="20"/>
                <w:szCs w:val="20"/>
                <w:lang w:val="hr-HR"/>
              </w:rPr>
            </w:pPr>
          </w:p>
        </w:tc>
        <w:tc>
          <w:tcPr>
            <w:tcW w:w="1821" w:type="pct"/>
            <w:gridSpan w:val="2"/>
            <w:vAlign w:val="bottom"/>
          </w:tcPr>
          <w:p w14:paraId="3DC482C8" w14:textId="77777777" w:rsidR="004E2F51" w:rsidRPr="004B4498" w:rsidRDefault="004E2F51" w:rsidP="00E032FC">
            <w:pPr>
              <w:pStyle w:val="TH"/>
              <w:jc w:val="right"/>
              <w:rPr>
                <w:rFonts w:cs="Arial"/>
                <w:color w:val="000000" w:themeColor="text1"/>
                <w:sz w:val="20"/>
                <w:lang w:val="hr-HR"/>
              </w:rPr>
            </w:pPr>
            <w:bookmarkStart w:id="1004" w:name="_Toc67327995"/>
            <w:r w:rsidRPr="004B4498">
              <w:rPr>
                <w:rFonts w:cs="Arial"/>
                <w:color w:val="000000" w:themeColor="text1"/>
                <w:sz w:val="20"/>
                <w:lang w:val="hr-HR"/>
              </w:rPr>
              <w:t>Grupa i Banka</w:t>
            </w:r>
            <w:bookmarkEnd w:id="1004"/>
          </w:p>
        </w:tc>
      </w:tr>
      <w:tr w:rsidR="004E2F51" w:rsidRPr="00A73588" w14:paraId="378B628C" w14:textId="77777777" w:rsidTr="00E032FC">
        <w:trPr>
          <w:trHeight w:val="111"/>
        </w:trPr>
        <w:tc>
          <w:tcPr>
            <w:tcW w:w="3179" w:type="pct"/>
          </w:tcPr>
          <w:p w14:paraId="664673FF" w14:textId="77777777" w:rsidR="004E2F51" w:rsidRPr="004B4498" w:rsidRDefault="004E2F51" w:rsidP="00E032FC">
            <w:pPr>
              <w:tabs>
                <w:tab w:val="left" w:pos="-720"/>
              </w:tabs>
              <w:ind w:firstLine="35"/>
              <w:rPr>
                <w:rFonts w:ascii="Arial" w:hAnsi="Arial" w:cs="Arial"/>
                <w:color w:val="000000" w:themeColor="text1"/>
                <w:spacing w:val="-3"/>
                <w:sz w:val="20"/>
                <w:szCs w:val="20"/>
                <w:lang w:val="hr-HR"/>
              </w:rPr>
            </w:pPr>
          </w:p>
        </w:tc>
        <w:tc>
          <w:tcPr>
            <w:tcW w:w="910" w:type="pct"/>
            <w:vAlign w:val="bottom"/>
          </w:tcPr>
          <w:p w14:paraId="37DCEA0F" w14:textId="77777777" w:rsidR="004E2F51" w:rsidRPr="004B4498" w:rsidRDefault="004E2F51" w:rsidP="00E032FC">
            <w:pPr>
              <w:pStyle w:val="TH"/>
              <w:jc w:val="right"/>
              <w:rPr>
                <w:rFonts w:cs="Arial"/>
                <w:color w:val="000000" w:themeColor="text1"/>
                <w:sz w:val="20"/>
                <w:lang w:val="hr-HR"/>
              </w:rPr>
            </w:pPr>
            <w:bookmarkStart w:id="1005" w:name="_Toc67327996"/>
            <w:r w:rsidRPr="004B4498">
              <w:rPr>
                <w:rFonts w:cs="Arial"/>
                <w:color w:val="000000" w:themeColor="text1"/>
                <w:sz w:val="20"/>
                <w:lang w:val="hr-HR"/>
              </w:rPr>
              <w:t>31. prosinca 202</w:t>
            </w:r>
            <w:r>
              <w:rPr>
                <w:rFonts w:cs="Arial"/>
                <w:color w:val="000000" w:themeColor="text1"/>
                <w:sz w:val="20"/>
                <w:lang w:val="hr-HR"/>
              </w:rPr>
              <w:t>2</w:t>
            </w:r>
            <w:r w:rsidRPr="004B4498">
              <w:rPr>
                <w:rFonts w:cs="Arial"/>
                <w:color w:val="000000" w:themeColor="text1"/>
                <w:sz w:val="20"/>
                <w:lang w:val="hr-HR"/>
              </w:rPr>
              <w:t>.</w:t>
            </w:r>
            <w:bookmarkEnd w:id="1005"/>
          </w:p>
        </w:tc>
        <w:tc>
          <w:tcPr>
            <w:tcW w:w="911" w:type="pct"/>
            <w:vAlign w:val="bottom"/>
          </w:tcPr>
          <w:p w14:paraId="310C14EC" w14:textId="77777777" w:rsidR="004E2F51" w:rsidRPr="004B4498" w:rsidRDefault="004E2F51" w:rsidP="00E032FC">
            <w:pPr>
              <w:pStyle w:val="TH"/>
              <w:jc w:val="right"/>
              <w:rPr>
                <w:rFonts w:cs="Arial"/>
                <w:color w:val="000000" w:themeColor="text1"/>
                <w:sz w:val="20"/>
                <w:lang w:val="hr-HR"/>
              </w:rPr>
            </w:pPr>
            <w:bookmarkStart w:id="1006" w:name="_Toc67327997"/>
            <w:r w:rsidRPr="0046584E">
              <w:rPr>
                <w:rFonts w:cs="Arial"/>
                <w:color w:val="000000" w:themeColor="text1"/>
                <w:sz w:val="20"/>
                <w:lang w:val="hr-HR"/>
              </w:rPr>
              <w:t>31. prosinca 2021.</w:t>
            </w:r>
            <w:bookmarkEnd w:id="1006"/>
          </w:p>
        </w:tc>
      </w:tr>
      <w:tr w:rsidR="004E2F51" w:rsidRPr="00A73588" w14:paraId="75F63955" w14:textId="77777777" w:rsidTr="00E032FC">
        <w:trPr>
          <w:trHeight w:val="104"/>
        </w:trPr>
        <w:tc>
          <w:tcPr>
            <w:tcW w:w="3179" w:type="pct"/>
          </w:tcPr>
          <w:p w14:paraId="79507344" w14:textId="77777777" w:rsidR="004E2F51" w:rsidRPr="004B4498" w:rsidRDefault="004E2F51" w:rsidP="00E032FC">
            <w:pPr>
              <w:tabs>
                <w:tab w:val="left" w:pos="-720"/>
              </w:tabs>
              <w:ind w:firstLine="35"/>
              <w:rPr>
                <w:rFonts w:ascii="Arial" w:hAnsi="Arial" w:cs="Arial"/>
                <w:color w:val="000000" w:themeColor="text1"/>
                <w:spacing w:val="-3"/>
                <w:sz w:val="20"/>
                <w:szCs w:val="20"/>
                <w:lang w:val="hr-HR"/>
              </w:rPr>
            </w:pPr>
          </w:p>
        </w:tc>
        <w:tc>
          <w:tcPr>
            <w:tcW w:w="910" w:type="pct"/>
          </w:tcPr>
          <w:p w14:paraId="1E62F2D0" w14:textId="77777777" w:rsidR="004E2F51" w:rsidRPr="004B4498" w:rsidRDefault="004E2F51" w:rsidP="00E032FC">
            <w:pPr>
              <w:pStyle w:val="TH"/>
              <w:jc w:val="right"/>
              <w:rPr>
                <w:rFonts w:cs="Arial"/>
                <w:color w:val="000000" w:themeColor="text1"/>
                <w:sz w:val="20"/>
                <w:lang w:val="hr-HR"/>
              </w:rPr>
            </w:pPr>
            <w:bookmarkStart w:id="1007" w:name="_Toc67327998"/>
            <w:r w:rsidRPr="004B4498">
              <w:rPr>
                <w:rFonts w:cs="Arial"/>
                <w:color w:val="000000" w:themeColor="text1"/>
                <w:sz w:val="20"/>
                <w:lang w:val="hr-HR"/>
              </w:rPr>
              <w:t>000 kuna</w:t>
            </w:r>
            <w:bookmarkEnd w:id="1007"/>
          </w:p>
        </w:tc>
        <w:tc>
          <w:tcPr>
            <w:tcW w:w="911" w:type="pct"/>
          </w:tcPr>
          <w:p w14:paraId="5509D9D2" w14:textId="77777777" w:rsidR="004E2F51" w:rsidRPr="004B4498" w:rsidRDefault="004E2F51" w:rsidP="00E032FC">
            <w:pPr>
              <w:pStyle w:val="TH"/>
              <w:jc w:val="right"/>
              <w:rPr>
                <w:rFonts w:cs="Arial"/>
                <w:color w:val="000000" w:themeColor="text1"/>
                <w:sz w:val="20"/>
                <w:lang w:val="hr-HR"/>
              </w:rPr>
            </w:pPr>
            <w:bookmarkStart w:id="1008" w:name="_Toc67327999"/>
            <w:r w:rsidRPr="0046584E">
              <w:rPr>
                <w:rFonts w:cs="Arial"/>
                <w:color w:val="000000" w:themeColor="text1"/>
                <w:sz w:val="20"/>
                <w:lang w:val="hr-HR"/>
              </w:rPr>
              <w:t>000 kuna</w:t>
            </w:r>
            <w:bookmarkEnd w:id="1008"/>
          </w:p>
        </w:tc>
      </w:tr>
      <w:tr w:rsidR="004E2F51" w:rsidRPr="00A73588" w14:paraId="3D9B7733" w14:textId="77777777" w:rsidTr="00E032FC">
        <w:trPr>
          <w:trHeight w:val="87"/>
        </w:trPr>
        <w:tc>
          <w:tcPr>
            <w:tcW w:w="3179" w:type="pct"/>
          </w:tcPr>
          <w:p w14:paraId="02026F3D" w14:textId="77777777" w:rsidR="004E2F51" w:rsidRPr="004B4498" w:rsidRDefault="004E2F51" w:rsidP="00E032FC">
            <w:pPr>
              <w:tabs>
                <w:tab w:val="left" w:pos="-720"/>
              </w:tabs>
              <w:ind w:firstLine="35"/>
              <w:rPr>
                <w:rFonts w:ascii="Arial" w:hAnsi="Arial" w:cs="Arial"/>
                <w:color w:val="000000" w:themeColor="text1"/>
                <w:spacing w:val="-3"/>
                <w:sz w:val="20"/>
                <w:szCs w:val="20"/>
                <w:lang w:val="hr-HR"/>
              </w:rPr>
            </w:pPr>
          </w:p>
        </w:tc>
        <w:tc>
          <w:tcPr>
            <w:tcW w:w="910" w:type="pct"/>
          </w:tcPr>
          <w:p w14:paraId="3272264B"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c>
          <w:tcPr>
            <w:tcW w:w="911" w:type="pct"/>
          </w:tcPr>
          <w:p w14:paraId="6033C863" w14:textId="77777777" w:rsidR="004E2F51" w:rsidRPr="004B4498" w:rsidRDefault="004E2F51" w:rsidP="00E032FC">
            <w:pPr>
              <w:tabs>
                <w:tab w:val="left" w:pos="-720"/>
              </w:tabs>
              <w:jc w:val="right"/>
              <w:rPr>
                <w:rFonts w:ascii="Arial" w:hAnsi="Arial" w:cs="Arial"/>
                <w:b/>
                <w:color w:val="000000" w:themeColor="text1"/>
                <w:spacing w:val="-3"/>
                <w:sz w:val="20"/>
                <w:szCs w:val="20"/>
                <w:lang w:val="hr-HR"/>
              </w:rPr>
            </w:pPr>
          </w:p>
        </w:tc>
      </w:tr>
      <w:tr w:rsidR="004E2F51" w:rsidRPr="00A73588" w14:paraId="767B5F7C" w14:textId="77777777" w:rsidTr="00E032FC">
        <w:trPr>
          <w:trHeight w:val="387"/>
        </w:trPr>
        <w:tc>
          <w:tcPr>
            <w:tcW w:w="3179" w:type="pct"/>
            <w:vAlign w:val="bottom"/>
          </w:tcPr>
          <w:p w14:paraId="1038B553" w14:textId="77777777" w:rsidR="004E2F51" w:rsidRPr="004B4498" w:rsidRDefault="004E2F51" w:rsidP="00E032FC">
            <w:pPr>
              <w:pStyle w:val="TT"/>
              <w:rPr>
                <w:rFonts w:cs="Arial"/>
                <w:color w:val="000000" w:themeColor="text1"/>
                <w:sz w:val="20"/>
                <w:lang w:val="hr-HR"/>
              </w:rPr>
            </w:pPr>
            <w:bookmarkStart w:id="1009" w:name="_Toc67328000"/>
            <w:r w:rsidRPr="004B4498">
              <w:rPr>
                <w:rFonts w:cs="Arial"/>
                <w:color w:val="000000" w:themeColor="text1"/>
                <w:spacing w:val="-3"/>
                <w:sz w:val="20"/>
                <w:lang w:val="hr-HR"/>
              </w:rPr>
              <w:t>EU projekti</w:t>
            </w:r>
            <w:bookmarkEnd w:id="1009"/>
          </w:p>
        </w:tc>
        <w:tc>
          <w:tcPr>
            <w:tcW w:w="910" w:type="pct"/>
            <w:tcBorders>
              <w:top w:val="nil"/>
              <w:left w:val="nil"/>
              <w:bottom w:val="nil"/>
              <w:right w:val="nil"/>
            </w:tcBorders>
            <w:shd w:val="clear" w:color="auto" w:fill="auto"/>
            <w:vAlign w:val="bottom"/>
          </w:tcPr>
          <w:p w14:paraId="6A90E3CD" w14:textId="77777777" w:rsidR="004E2F51" w:rsidRPr="004B4498" w:rsidRDefault="004E2F51" w:rsidP="00E032FC">
            <w:pPr>
              <w:pStyle w:val="TT"/>
              <w:jc w:val="right"/>
              <w:rPr>
                <w:rFonts w:cs="Arial"/>
                <w:color w:val="000000" w:themeColor="text1"/>
                <w:sz w:val="20"/>
                <w:lang w:val="hr-HR"/>
              </w:rPr>
            </w:pPr>
            <w:r w:rsidRPr="00DA3A0E">
              <w:rPr>
                <w:rFonts w:cs="Arial"/>
                <w:color w:val="000000" w:themeColor="text1"/>
                <w:sz w:val="20"/>
                <w:lang w:val="hr-HR"/>
              </w:rPr>
              <w:t xml:space="preserve"> 252.822 </w:t>
            </w:r>
          </w:p>
        </w:tc>
        <w:tc>
          <w:tcPr>
            <w:tcW w:w="911" w:type="pct"/>
            <w:tcBorders>
              <w:top w:val="nil"/>
              <w:left w:val="nil"/>
              <w:bottom w:val="nil"/>
              <w:right w:val="nil"/>
            </w:tcBorders>
            <w:shd w:val="clear" w:color="auto" w:fill="auto"/>
            <w:vAlign w:val="bottom"/>
          </w:tcPr>
          <w:p w14:paraId="53802795"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205.630</w:t>
            </w:r>
          </w:p>
        </w:tc>
      </w:tr>
      <w:tr w:rsidR="004E2F51" w:rsidRPr="00A73588" w14:paraId="05C63409" w14:textId="77777777" w:rsidTr="00E032FC">
        <w:trPr>
          <w:trHeight w:val="387"/>
        </w:trPr>
        <w:tc>
          <w:tcPr>
            <w:tcW w:w="3179" w:type="pct"/>
            <w:vAlign w:val="bottom"/>
          </w:tcPr>
          <w:p w14:paraId="760B0883" w14:textId="77777777" w:rsidR="004E2F51" w:rsidRPr="004B4498" w:rsidRDefault="004E2F51" w:rsidP="00E032FC">
            <w:pPr>
              <w:pStyle w:val="TT"/>
              <w:rPr>
                <w:rFonts w:cs="Arial"/>
                <w:color w:val="000000" w:themeColor="text1"/>
                <w:sz w:val="20"/>
                <w:lang w:val="hr-HR"/>
              </w:rPr>
            </w:pPr>
            <w:bookmarkStart w:id="1010" w:name="_Toc67328003"/>
            <w:r w:rsidRPr="004B4498">
              <w:rPr>
                <w:rFonts w:cs="Arial"/>
                <w:color w:val="000000" w:themeColor="text1"/>
                <w:spacing w:val="-3"/>
                <w:sz w:val="20"/>
                <w:lang w:val="hr-HR"/>
              </w:rPr>
              <w:t>Financijsko restrukturiranje</w:t>
            </w:r>
            <w:bookmarkEnd w:id="1010"/>
          </w:p>
        </w:tc>
        <w:tc>
          <w:tcPr>
            <w:tcW w:w="910" w:type="pct"/>
            <w:tcBorders>
              <w:top w:val="nil"/>
              <w:left w:val="nil"/>
              <w:bottom w:val="nil"/>
              <w:right w:val="nil"/>
            </w:tcBorders>
            <w:shd w:val="clear" w:color="auto" w:fill="auto"/>
            <w:vAlign w:val="bottom"/>
          </w:tcPr>
          <w:p w14:paraId="20527C28" w14:textId="77777777" w:rsidR="004E2F51" w:rsidRPr="004B4498" w:rsidRDefault="004E2F51" w:rsidP="00E032FC">
            <w:pPr>
              <w:pStyle w:val="TT"/>
              <w:jc w:val="right"/>
              <w:rPr>
                <w:rFonts w:cs="Arial"/>
                <w:color w:val="000000" w:themeColor="text1"/>
                <w:sz w:val="20"/>
                <w:lang w:val="hr-HR"/>
              </w:rPr>
            </w:pPr>
            <w:r w:rsidRPr="00DA3A0E">
              <w:rPr>
                <w:rFonts w:cs="Arial"/>
                <w:color w:val="000000" w:themeColor="text1"/>
                <w:sz w:val="20"/>
                <w:lang w:val="hr-HR"/>
              </w:rPr>
              <w:t xml:space="preserve"> 28.953 </w:t>
            </w:r>
          </w:p>
        </w:tc>
        <w:tc>
          <w:tcPr>
            <w:tcW w:w="911" w:type="pct"/>
            <w:tcBorders>
              <w:top w:val="nil"/>
              <w:left w:val="nil"/>
              <w:bottom w:val="nil"/>
              <w:right w:val="nil"/>
            </w:tcBorders>
            <w:shd w:val="clear" w:color="auto" w:fill="auto"/>
            <w:vAlign w:val="bottom"/>
          </w:tcPr>
          <w:p w14:paraId="1771DA08"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23.247</w:t>
            </w:r>
          </w:p>
        </w:tc>
      </w:tr>
      <w:tr w:rsidR="004E2F51" w:rsidRPr="00A73588" w14:paraId="05F413DE" w14:textId="77777777" w:rsidTr="00E032FC">
        <w:trPr>
          <w:trHeight w:val="387"/>
        </w:trPr>
        <w:tc>
          <w:tcPr>
            <w:tcW w:w="3179" w:type="pct"/>
            <w:vAlign w:val="bottom"/>
          </w:tcPr>
          <w:p w14:paraId="1FC6E98E" w14:textId="77777777" w:rsidR="004E2F51" w:rsidRPr="004B4498" w:rsidRDefault="004E2F51" w:rsidP="00E032FC">
            <w:pPr>
              <w:pStyle w:val="TT"/>
              <w:rPr>
                <w:rFonts w:cs="Arial"/>
                <w:color w:val="000000" w:themeColor="text1"/>
                <w:sz w:val="20"/>
                <w:lang w:val="hr-HR"/>
              </w:rPr>
            </w:pPr>
            <w:bookmarkStart w:id="1011" w:name="_Toc67328006"/>
            <w:r w:rsidRPr="004B4498">
              <w:rPr>
                <w:rFonts w:cs="Arial"/>
                <w:color w:val="000000" w:themeColor="text1"/>
                <w:spacing w:val="-3"/>
                <w:sz w:val="20"/>
                <w:lang w:val="hr-HR"/>
              </w:rPr>
              <w:t>Priprema izvoza</w:t>
            </w:r>
            <w:bookmarkEnd w:id="1011"/>
          </w:p>
        </w:tc>
        <w:tc>
          <w:tcPr>
            <w:tcW w:w="910" w:type="pct"/>
            <w:tcBorders>
              <w:top w:val="nil"/>
              <w:left w:val="nil"/>
              <w:bottom w:val="nil"/>
              <w:right w:val="nil"/>
            </w:tcBorders>
            <w:shd w:val="clear" w:color="auto" w:fill="auto"/>
            <w:vAlign w:val="bottom"/>
          </w:tcPr>
          <w:p w14:paraId="2CFAAD7A" w14:textId="77777777" w:rsidR="004E2F51" w:rsidRPr="004B4498" w:rsidRDefault="004E2F51" w:rsidP="00E032FC">
            <w:pPr>
              <w:pStyle w:val="TT"/>
              <w:jc w:val="right"/>
              <w:rPr>
                <w:rFonts w:cs="Arial"/>
                <w:color w:val="000000" w:themeColor="text1"/>
                <w:sz w:val="20"/>
                <w:lang w:val="hr-HR"/>
              </w:rPr>
            </w:pPr>
            <w:r w:rsidRPr="00DA3A0E">
              <w:rPr>
                <w:rFonts w:cs="Arial"/>
                <w:color w:val="000000" w:themeColor="text1"/>
                <w:sz w:val="20"/>
                <w:lang w:val="hr-HR"/>
              </w:rPr>
              <w:t xml:space="preserve"> 1.015 </w:t>
            </w:r>
          </w:p>
        </w:tc>
        <w:tc>
          <w:tcPr>
            <w:tcW w:w="911" w:type="pct"/>
            <w:tcBorders>
              <w:top w:val="nil"/>
              <w:left w:val="nil"/>
              <w:bottom w:val="nil"/>
              <w:right w:val="nil"/>
            </w:tcBorders>
            <w:shd w:val="clear" w:color="auto" w:fill="auto"/>
            <w:vAlign w:val="bottom"/>
          </w:tcPr>
          <w:p w14:paraId="27DDE056"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1.013</w:t>
            </w:r>
          </w:p>
        </w:tc>
      </w:tr>
      <w:tr w:rsidR="004E2F51" w:rsidRPr="00A73588" w14:paraId="2A31C533" w14:textId="77777777" w:rsidTr="00E032FC">
        <w:trPr>
          <w:trHeight w:val="387"/>
        </w:trPr>
        <w:tc>
          <w:tcPr>
            <w:tcW w:w="3179" w:type="pct"/>
            <w:vAlign w:val="bottom"/>
          </w:tcPr>
          <w:p w14:paraId="7FAAF034" w14:textId="77777777" w:rsidR="004E2F51" w:rsidRPr="004B4498" w:rsidRDefault="004E2F51" w:rsidP="00E032FC">
            <w:pPr>
              <w:pStyle w:val="TT"/>
              <w:rPr>
                <w:rFonts w:cs="Arial"/>
                <w:color w:val="000000" w:themeColor="text1"/>
                <w:sz w:val="20"/>
                <w:lang w:val="hr-HR"/>
              </w:rPr>
            </w:pPr>
            <w:bookmarkStart w:id="1012" w:name="_Toc67328009"/>
            <w:r w:rsidRPr="004B4498">
              <w:rPr>
                <w:rFonts w:cs="Arial"/>
                <w:color w:val="000000" w:themeColor="text1"/>
                <w:spacing w:val="-3"/>
                <w:sz w:val="20"/>
                <w:lang w:val="hr-HR"/>
              </w:rPr>
              <w:t>Investicije javnog sektora</w:t>
            </w:r>
            <w:bookmarkEnd w:id="1012"/>
          </w:p>
        </w:tc>
        <w:tc>
          <w:tcPr>
            <w:tcW w:w="910" w:type="pct"/>
            <w:tcBorders>
              <w:top w:val="nil"/>
              <w:left w:val="nil"/>
              <w:bottom w:val="nil"/>
              <w:right w:val="nil"/>
            </w:tcBorders>
            <w:shd w:val="clear" w:color="auto" w:fill="auto"/>
            <w:vAlign w:val="bottom"/>
          </w:tcPr>
          <w:p w14:paraId="5BCE02CF" w14:textId="77777777" w:rsidR="004E2F51" w:rsidRPr="004B4498" w:rsidRDefault="004E2F51" w:rsidP="00E032FC">
            <w:pPr>
              <w:pStyle w:val="TT"/>
              <w:jc w:val="right"/>
              <w:rPr>
                <w:rFonts w:cs="Arial"/>
                <w:color w:val="000000" w:themeColor="text1"/>
                <w:sz w:val="20"/>
                <w:lang w:val="hr-HR"/>
              </w:rPr>
            </w:pPr>
            <w:r w:rsidRPr="00DA3A0E">
              <w:rPr>
                <w:rFonts w:cs="Arial"/>
                <w:color w:val="000000" w:themeColor="text1"/>
                <w:sz w:val="20"/>
                <w:lang w:val="hr-HR"/>
              </w:rPr>
              <w:t xml:space="preserve"> 912.570 </w:t>
            </w:r>
          </w:p>
        </w:tc>
        <w:tc>
          <w:tcPr>
            <w:tcW w:w="911" w:type="pct"/>
            <w:tcBorders>
              <w:top w:val="nil"/>
              <w:left w:val="nil"/>
              <w:bottom w:val="nil"/>
              <w:right w:val="nil"/>
            </w:tcBorders>
            <w:shd w:val="clear" w:color="auto" w:fill="auto"/>
            <w:vAlign w:val="bottom"/>
          </w:tcPr>
          <w:p w14:paraId="094EAC39"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826.013</w:t>
            </w:r>
          </w:p>
        </w:tc>
      </w:tr>
      <w:tr w:rsidR="004E2F51" w:rsidRPr="00A73588" w14:paraId="2891E350" w14:textId="77777777" w:rsidTr="00E032FC">
        <w:trPr>
          <w:trHeight w:val="387"/>
        </w:trPr>
        <w:tc>
          <w:tcPr>
            <w:tcW w:w="3179" w:type="pct"/>
            <w:vAlign w:val="bottom"/>
          </w:tcPr>
          <w:p w14:paraId="5266FBBC" w14:textId="77777777" w:rsidR="004E2F51" w:rsidRPr="004B4498" w:rsidRDefault="004E2F51" w:rsidP="00E032FC">
            <w:pPr>
              <w:pStyle w:val="TT"/>
              <w:rPr>
                <w:rFonts w:cs="Arial"/>
                <w:color w:val="000000" w:themeColor="text1"/>
                <w:sz w:val="20"/>
                <w:lang w:val="hr-HR"/>
              </w:rPr>
            </w:pPr>
            <w:bookmarkStart w:id="1013" w:name="_Toc67328012"/>
            <w:r w:rsidRPr="004B4498">
              <w:rPr>
                <w:rFonts w:cs="Arial"/>
                <w:color w:val="000000" w:themeColor="text1"/>
                <w:spacing w:val="-3"/>
                <w:sz w:val="20"/>
                <w:lang w:val="hr-HR"/>
              </w:rPr>
              <w:t>Investicije privatnog sektora</w:t>
            </w:r>
            <w:bookmarkEnd w:id="1013"/>
          </w:p>
        </w:tc>
        <w:tc>
          <w:tcPr>
            <w:tcW w:w="910" w:type="pct"/>
            <w:tcBorders>
              <w:top w:val="nil"/>
              <w:left w:val="nil"/>
              <w:bottom w:val="nil"/>
              <w:right w:val="nil"/>
            </w:tcBorders>
            <w:shd w:val="clear" w:color="auto" w:fill="auto"/>
            <w:vAlign w:val="bottom"/>
          </w:tcPr>
          <w:p w14:paraId="53D43CB4" w14:textId="77777777" w:rsidR="004E2F51" w:rsidRPr="004B4498" w:rsidRDefault="004E2F51" w:rsidP="00E032FC">
            <w:pPr>
              <w:pStyle w:val="TT"/>
              <w:jc w:val="right"/>
              <w:rPr>
                <w:rFonts w:cs="Arial"/>
                <w:color w:val="000000" w:themeColor="text1"/>
                <w:sz w:val="20"/>
                <w:lang w:val="hr-HR"/>
              </w:rPr>
            </w:pPr>
            <w:r w:rsidRPr="00DA3A0E">
              <w:rPr>
                <w:rFonts w:cs="Arial"/>
                <w:color w:val="000000" w:themeColor="text1"/>
                <w:sz w:val="20"/>
                <w:lang w:val="hr-HR"/>
              </w:rPr>
              <w:t xml:space="preserve"> 260.251 </w:t>
            </w:r>
          </w:p>
        </w:tc>
        <w:tc>
          <w:tcPr>
            <w:tcW w:w="911" w:type="pct"/>
            <w:tcBorders>
              <w:top w:val="nil"/>
              <w:left w:val="nil"/>
              <w:bottom w:val="nil"/>
              <w:right w:val="nil"/>
            </w:tcBorders>
            <w:shd w:val="clear" w:color="auto" w:fill="auto"/>
            <w:vAlign w:val="bottom"/>
          </w:tcPr>
          <w:p w14:paraId="1029A454"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201.419</w:t>
            </w:r>
          </w:p>
        </w:tc>
      </w:tr>
      <w:tr w:rsidR="004E2F51" w:rsidRPr="00A73588" w14:paraId="55177843" w14:textId="77777777" w:rsidTr="00E032FC">
        <w:trPr>
          <w:trHeight w:val="387"/>
        </w:trPr>
        <w:tc>
          <w:tcPr>
            <w:tcW w:w="3179" w:type="pct"/>
            <w:vAlign w:val="bottom"/>
          </w:tcPr>
          <w:p w14:paraId="7FCA41C2" w14:textId="77777777" w:rsidR="004E2F51" w:rsidRPr="004B4498" w:rsidRDefault="004E2F51" w:rsidP="00E032FC">
            <w:pPr>
              <w:pStyle w:val="TT"/>
              <w:rPr>
                <w:rFonts w:cs="Arial"/>
                <w:color w:val="000000" w:themeColor="text1"/>
                <w:sz w:val="20"/>
                <w:lang w:val="hr-HR"/>
              </w:rPr>
            </w:pPr>
            <w:bookmarkStart w:id="1014" w:name="_Toc67328015"/>
            <w:r w:rsidRPr="004B4498">
              <w:rPr>
                <w:rFonts w:cs="Arial"/>
                <w:color w:val="000000" w:themeColor="text1"/>
                <w:spacing w:val="-3"/>
                <w:sz w:val="20"/>
                <w:lang w:val="hr-HR"/>
              </w:rPr>
              <w:t>Poduzetništvo mladih, žena i početnika</w:t>
            </w:r>
            <w:bookmarkEnd w:id="1014"/>
          </w:p>
        </w:tc>
        <w:tc>
          <w:tcPr>
            <w:tcW w:w="910" w:type="pct"/>
            <w:tcBorders>
              <w:top w:val="nil"/>
              <w:left w:val="nil"/>
              <w:bottom w:val="nil"/>
              <w:right w:val="nil"/>
            </w:tcBorders>
            <w:shd w:val="clear" w:color="auto" w:fill="auto"/>
            <w:vAlign w:val="bottom"/>
          </w:tcPr>
          <w:p w14:paraId="0D49BD8B" w14:textId="77777777" w:rsidR="004E2F51" w:rsidRPr="004B4498" w:rsidRDefault="004E2F51" w:rsidP="00E032FC">
            <w:pPr>
              <w:pStyle w:val="TT"/>
              <w:jc w:val="right"/>
              <w:rPr>
                <w:rFonts w:cs="Arial"/>
                <w:color w:val="000000" w:themeColor="text1"/>
                <w:sz w:val="20"/>
                <w:lang w:val="hr-HR"/>
              </w:rPr>
            </w:pPr>
            <w:r w:rsidRPr="00DA3A0E">
              <w:rPr>
                <w:rFonts w:cs="Arial"/>
                <w:color w:val="000000" w:themeColor="text1"/>
                <w:sz w:val="20"/>
                <w:lang w:val="hr-HR"/>
              </w:rPr>
              <w:t xml:space="preserve"> 77.736 </w:t>
            </w:r>
          </w:p>
        </w:tc>
        <w:tc>
          <w:tcPr>
            <w:tcW w:w="911" w:type="pct"/>
            <w:tcBorders>
              <w:top w:val="nil"/>
              <w:left w:val="nil"/>
              <w:bottom w:val="nil"/>
              <w:right w:val="nil"/>
            </w:tcBorders>
            <w:shd w:val="clear" w:color="auto" w:fill="auto"/>
            <w:vAlign w:val="bottom"/>
          </w:tcPr>
          <w:p w14:paraId="60F93FF5"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57.234</w:t>
            </w:r>
          </w:p>
        </w:tc>
      </w:tr>
      <w:tr w:rsidR="004E2F51" w:rsidRPr="00A73588" w14:paraId="3627784F" w14:textId="77777777" w:rsidTr="00E032FC">
        <w:trPr>
          <w:trHeight w:val="387"/>
        </w:trPr>
        <w:tc>
          <w:tcPr>
            <w:tcW w:w="3179" w:type="pct"/>
            <w:vAlign w:val="bottom"/>
          </w:tcPr>
          <w:p w14:paraId="006D8F84" w14:textId="77777777" w:rsidR="004E2F51" w:rsidRPr="004B4498" w:rsidRDefault="004E2F51" w:rsidP="00E032FC">
            <w:pPr>
              <w:pStyle w:val="TT"/>
              <w:rPr>
                <w:rFonts w:cs="Arial"/>
                <w:color w:val="000000" w:themeColor="text1"/>
                <w:sz w:val="20"/>
                <w:lang w:val="hr-HR"/>
              </w:rPr>
            </w:pPr>
            <w:bookmarkStart w:id="1015" w:name="_Toc67328018"/>
            <w:r w:rsidRPr="004B4498">
              <w:rPr>
                <w:rFonts w:cs="Arial"/>
                <w:color w:val="000000" w:themeColor="text1"/>
                <w:spacing w:val="-3"/>
                <w:sz w:val="20"/>
                <w:lang w:val="hr-HR"/>
              </w:rPr>
              <w:t>Obrtna sredstva</w:t>
            </w:r>
            <w:bookmarkEnd w:id="1015"/>
          </w:p>
        </w:tc>
        <w:tc>
          <w:tcPr>
            <w:tcW w:w="910" w:type="pct"/>
            <w:tcBorders>
              <w:top w:val="nil"/>
              <w:left w:val="nil"/>
              <w:bottom w:val="nil"/>
              <w:right w:val="nil"/>
            </w:tcBorders>
            <w:shd w:val="clear" w:color="auto" w:fill="auto"/>
            <w:vAlign w:val="bottom"/>
          </w:tcPr>
          <w:p w14:paraId="06276105" w14:textId="77777777" w:rsidR="004E2F51" w:rsidRPr="004B4498" w:rsidRDefault="004E2F51" w:rsidP="00E032FC">
            <w:pPr>
              <w:pStyle w:val="TT"/>
              <w:jc w:val="right"/>
              <w:rPr>
                <w:rFonts w:cs="Arial"/>
                <w:color w:val="000000" w:themeColor="text1"/>
                <w:sz w:val="20"/>
                <w:lang w:val="hr-HR"/>
              </w:rPr>
            </w:pPr>
            <w:r w:rsidRPr="00DA3A0E">
              <w:rPr>
                <w:rFonts w:cs="Arial"/>
                <w:color w:val="000000" w:themeColor="text1"/>
                <w:sz w:val="20"/>
                <w:lang w:val="hr-HR"/>
              </w:rPr>
              <w:t xml:space="preserve"> 17.230 </w:t>
            </w:r>
          </w:p>
        </w:tc>
        <w:tc>
          <w:tcPr>
            <w:tcW w:w="911" w:type="pct"/>
            <w:tcBorders>
              <w:top w:val="nil"/>
              <w:left w:val="nil"/>
              <w:bottom w:val="nil"/>
              <w:right w:val="nil"/>
            </w:tcBorders>
            <w:shd w:val="clear" w:color="auto" w:fill="auto"/>
            <w:vAlign w:val="bottom"/>
          </w:tcPr>
          <w:p w14:paraId="2FC1BAC9"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12.556</w:t>
            </w:r>
          </w:p>
        </w:tc>
      </w:tr>
      <w:tr w:rsidR="004E2F51" w:rsidRPr="00A73588" w14:paraId="0E95D0EE" w14:textId="77777777" w:rsidTr="00E032FC">
        <w:trPr>
          <w:trHeight w:val="387"/>
        </w:trPr>
        <w:tc>
          <w:tcPr>
            <w:tcW w:w="3179" w:type="pct"/>
            <w:vAlign w:val="bottom"/>
          </w:tcPr>
          <w:p w14:paraId="233F4D99" w14:textId="77777777" w:rsidR="004E2F51" w:rsidRPr="00DA3A0E" w:rsidRDefault="004E2F51" w:rsidP="00E032FC">
            <w:pPr>
              <w:pStyle w:val="TT"/>
              <w:rPr>
                <w:rFonts w:cs="Arial"/>
                <w:color w:val="000000" w:themeColor="text1"/>
                <w:sz w:val="20"/>
                <w:lang w:val="hr-HR"/>
              </w:rPr>
            </w:pPr>
            <w:bookmarkStart w:id="1016" w:name="_Toc67328021"/>
            <w:r w:rsidRPr="00E77B21">
              <w:rPr>
                <w:rFonts w:cs="Arial"/>
                <w:color w:val="000000" w:themeColor="text1"/>
                <w:sz w:val="20"/>
                <w:lang w:val="hr-HR"/>
              </w:rPr>
              <w:t>Obrtna sredstva – Mjere COVID 19</w:t>
            </w:r>
            <w:bookmarkEnd w:id="1016"/>
            <w:r w:rsidRPr="00E77B21">
              <w:rPr>
                <w:rFonts w:cs="Arial"/>
                <w:color w:val="000000" w:themeColor="text1"/>
                <w:sz w:val="20"/>
                <w:lang w:val="hr-HR"/>
              </w:rPr>
              <w:t xml:space="preserve"> i Kriza 2022</w:t>
            </w:r>
            <w:r w:rsidRPr="00E77B21">
              <w:rPr>
                <w:rStyle w:val="FootnoteReference"/>
                <w:rFonts w:cs="Arial"/>
                <w:color w:val="000000" w:themeColor="text1"/>
                <w:sz w:val="20"/>
                <w:lang w:val="hr-HR"/>
              </w:rPr>
              <w:footnoteReference w:id="2"/>
            </w:r>
          </w:p>
        </w:tc>
        <w:tc>
          <w:tcPr>
            <w:tcW w:w="910" w:type="pct"/>
            <w:tcBorders>
              <w:top w:val="nil"/>
              <w:left w:val="nil"/>
              <w:bottom w:val="nil"/>
              <w:right w:val="nil"/>
            </w:tcBorders>
            <w:shd w:val="clear" w:color="auto" w:fill="auto"/>
            <w:vAlign w:val="bottom"/>
          </w:tcPr>
          <w:p w14:paraId="4E90AF1D" w14:textId="77777777" w:rsidR="004E2F51" w:rsidRPr="00DA3A0E" w:rsidRDefault="004E2F51" w:rsidP="00E032FC">
            <w:pPr>
              <w:pStyle w:val="TT"/>
              <w:jc w:val="right"/>
              <w:rPr>
                <w:rFonts w:cs="Arial"/>
                <w:color w:val="000000" w:themeColor="text1"/>
                <w:sz w:val="20"/>
                <w:lang w:val="hr-HR"/>
              </w:rPr>
            </w:pPr>
            <w:r w:rsidRPr="00DA3A0E">
              <w:rPr>
                <w:rFonts w:cs="Arial"/>
                <w:color w:val="000000" w:themeColor="text1"/>
                <w:sz w:val="20"/>
                <w:lang w:val="hr-HR"/>
              </w:rPr>
              <w:t>59.228</w:t>
            </w:r>
          </w:p>
        </w:tc>
        <w:tc>
          <w:tcPr>
            <w:tcW w:w="911" w:type="pct"/>
            <w:tcBorders>
              <w:top w:val="nil"/>
              <w:left w:val="nil"/>
              <w:bottom w:val="nil"/>
              <w:right w:val="nil"/>
            </w:tcBorders>
            <w:shd w:val="clear" w:color="auto" w:fill="auto"/>
            <w:vAlign w:val="bottom"/>
          </w:tcPr>
          <w:p w14:paraId="1F9ABEC8" w14:textId="77777777" w:rsidR="004E2F51" w:rsidRPr="004B4498" w:rsidRDefault="004E2F51" w:rsidP="00E032FC">
            <w:pPr>
              <w:pStyle w:val="TT"/>
              <w:jc w:val="right"/>
              <w:rPr>
                <w:rFonts w:cs="Arial"/>
                <w:color w:val="000000" w:themeColor="text1"/>
                <w:sz w:val="20"/>
                <w:lang w:val="hr-HR"/>
              </w:rPr>
            </w:pPr>
            <w:bookmarkStart w:id="1017" w:name="_Toc67328022"/>
            <w:r w:rsidRPr="0046584E">
              <w:rPr>
                <w:rFonts w:cs="Arial"/>
                <w:color w:val="000000" w:themeColor="text1"/>
                <w:sz w:val="20"/>
                <w:lang w:val="hr-HR"/>
              </w:rPr>
              <w:t>72.067</w:t>
            </w:r>
            <w:bookmarkEnd w:id="1017"/>
          </w:p>
        </w:tc>
      </w:tr>
      <w:tr w:rsidR="004E2F51" w:rsidRPr="00A73588" w14:paraId="6CB02F1C" w14:textId="77777777" w:rsidTr="00E032FC">
        <w:trPr>
          <w:trHeight w:val="387"/>
        </w:trPr>
        <w:tc>
          <w:tcPr>
            <w:tcW w:w="3179" w:type="pct"/>
            <w:vAlign w:val="bottom"/>
          </w:tcPr>
          <w:p w14:paraId="247CFEDF" w14:textId="77777777" w:rsidR="004E2F51" w:rsidRPr="004B4498" w:rsidRDefault="004E2F51" w:rsidP="00E032FC">
            <w:pPr>
              <w:pStyle w:val="TT"/>
              <w:rPr>
                <w:rFonts w:cs="Arial"/>
                <w:color w:val="000000" w:themeColor="text1"/>
                <w:sz w:val="20"/>
                <w:lang w:val="hr-HR"/>
              </w:rPr>
            </w:pPr>
            <w:bookmarkStart w:id="1018" w:name="_Toc67328024"/>
            <w:r w:rsidRPr="004B4498">
              <w:rPr>
                <w:rFonts w:cs="Arial"/>
                <w:color w:val="000000" w:themeColor="text1"/>
                <w:sz w:val="20"/>
                <w:lang w:val="hr-HR"/>
              </w:rPr>
              <w:t>Program kreditiranja obnove i razvitka gospodarskih djelatnosti</w:t>
            </w:r>
            <w:bookmarkEnd w:id="1018"/>
          </w:p>
        </w:tc>
        <w:tc>
          <w:tcPr>
            <w:tcW w:w="910" w:type="pct"/>
            <w:tcBorders>
              <w:top w:val="nil"/>
              <w:left w:val="nil"/>
              <w:bottom w:val="nil"/>
              <w:right w:val="nil"/>
            </w:tcBorders>
            <w:shd w:val="clear" w:color="auto" w:fill="auto"/>
            <w:vAlign w:val="bottom"/>
          </w:tcPr>
          <w:p w14:paraId="6A4A84A1" w14:textId="77777777" w:rsidR="004E2F51" w:rsidRPr="004B4498" w:rsidRDefault="004E2F51" w:rsidP="00E032FC">
            <w:pPr>
              <w:pStyle w:val="TT"/>
              <w:jc w:val="right"/>
              <w:rPr>
                <w:rFonts w:cs="Arial"/>
                <w:color w:val="000000" w:themeColor="text1"/>
                <w:sz w:val="20"/>
                <w:lang w:val="hr-HR"/>
              </w:rPr>
            </w:pPr>
            <w:r w:rsidRPr="00DA3A0E">
              <w:rPr>
                <w:rFonts w:cs="Arial"/>
                <w:color w:val="000000" w:themeColor="text1"/>
                <w:sz w:val="20"/>
                <w:lang w:val="hr-HR"/>
              </w:rPr>
              <w:t xml:space="preserve"> 720.790 </w:t>
            </w:r>
          </w:p>
        </w:tc>
        <w:tc>
          <w:tcPr>
            <w:tcW w:w="911" w:type="pct"/>
            <w:tcBorders>
              <w:top w:val="nil"/>
              <w:left w:val="nil"/>
              <w:bottom w:val="nil"/>
              <w:right w:val="nil"/>
            </w:tcBorders>
            <w:shd w:val="clear" w:color="auto" w:fill="auto"/>
            <w:vAlign w:val="bottom"/>
          </w:tcPr>
          <w:p w14:paraId="47CF099A"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926.987</w:t>
            </w:r>
          </w:p>
        </w:tc>
      </w:tr>
      <w:tr w:rsidR="004E2F51" w:rsidRPr="00A73588" w14:paraId="7FB9D49A" w14:textId="77777777" w:rsidTr="00E032FC">
        <w:trPr>
          <w:trHeight w:val="387"/>
        </w:trPr>
        <w:tc>
          <w:tcPr>
            <w:tcW w:w="3179" w:type="pct"/>
            <w:vAlign w:val="bottom"/>
          </w:tcPr>
          <w:p w14:paraId="3E0C4107" w14:textId="77777777" w:rsidR="004E2F51" w:rsidRPr="004B4498" w:rsidRDefault="004E2F51" w:rsidP="00E032FC">
            <w:pPr>
              <w:pStyle w:val="TT"/>
              <w:rPr>
                <w:rFonts w:cs="Arial"/>
                <w:color w:val="000000" w:themeColor="text1"/>
                <w:sz w:val="20"/>
                <w:lang w:val="hr-HR"/>
              </w:rPr>
            </w:pPr>
            <w:bookmarkStart w:id="1019" w:name="_Toc67328027"/>
            <w:r w:rsidRPr="004B4498">
              <w:rPr>
                <w:rFonts w:cs="Arial"/>
                <w:color w:val="000000" w:themeColor="text1"/>
                <w:sz w:val="20"/>
                <w:lang w:val="hr-HR"/>
              </w:rPr>
              <w:t>Financiranje izvoza</w:t>
            </w:r>
            <w:bookmarkEnd w:id="1019"/>
          </w:p>
        </w:tc>
        <w:tc>
          <w:tcPr>
            <w:tcW w:w="910" w:type="pct"/>
            <w:tcBorders>
              <w:top w:val="nil"/>
              <w:left w:val="nil"/>
              <w:bottom w:val="nil"/>
              <w:right w:val="nil"/>
            </w:tcBorders>
            <w:shd w:val="clear" w:color="auto" w:fill="auto"/>
            <w:vAlign w:val="bottom"/>
          </w:tcPr>
          <w:p w14:paraId="77278D1F" w14:textId="77777777" w:rsidR="004E2F51" w:rsidRPr="004B4498" w:rsidRDefault="004E2F51" w:rsidP="00E032FC">
            <w:pPr>
              <w:pStyle w:val="TT"/>
              <w:jc w:val="right"/>
              <w:rPr>
                <w:rFonts w:cs="Arial"/>
                <w:color w:val="000000" w:themeColor="text1"/>
                <w:sz w:val="20"/>
                <w:lang w:val="hr-HR"/>
              </w:rPr>
            </w:pPr>
            <w:r w:rsidRPr="00DA3A0E">
              <w:rPr>
                <w:rFonts w:cs="Arial"/>
                <w:color w:val="000000" w:themeColor="text1"/>
                <w:sz w:val="20"/>
                <w:lang w:val="hr-HR"/>
              </w:rPr>
              <w:t xml:space="preserve"> 1.261.944 </w:t>
            </w:r>
          </w:p>
        </w:tc>
        <w:tc>
          <w:tcPr>
            <w:tcW w:w="911" w:type="pct"/>
            <w:tcBorders>
              <w:top w:val="nil"/>
              <w:left w:val="nil"/>
              <w:bottom w:val="nil"/>
              <w:right w:val="nil"/>
            </w:tcBorders>
            <w:shd w:val="clear" w:color="auto" w:fill="auto"/>
            <w:vAlign w:val="bottom"/>
          </w:tcPr>
          <w:p w14:paraId="435DC776"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1.459.505</w:t>
            </w:r>
          </w:p>
        </w:tc>
      </w:tr>
      <w:tr w:rsidR="004E2F51" w:rsidRPr="00A73588" w14:paraId="206EE4D4" w14:textId="77777777" w:rsidTr="00E032FC">
        <w:trPr>
          <w:trHeight w:val="387"/>
        </w:trPr>
        <w:tc>
          <w:tcPr>
            <w:tcW w:w="3179" w:type="pct"/>
            <w:vAlign w:val="bottom"/>
          </w:tcPr>
          <w:p w14:paraId="171E16E0" w14:textId="77777777" w:rsidR="004E2F51" w:rsidRPr="004B4498" w:rsidRDefault="004E2F51" w:rsidP="00E032FC">
            <w:pPr>
              <w:pStyle w:val="TT"/>
              <w:rPr>
                <w:rFonts w:cs="Arial"/>
                <w:color w:val="000000" w:themeColor="text1"/>
                <w:sz w:val="20"/>
                <w:lang w:val="hr-HR"/>
              </w:rPr>
            </w:pPr>
            <w:bookmarkStart w:id="1020" w:name="_Toc67328030"/>
            <w:r w:rsidRPr="004B4498">
              <w:rPr>
                <w:rFonts w:cs="Arial"/>
                <w:color w:val="000000" w:themeColor="text1"/>
                <w:sz w:val="20"/>
                <w:lang w:val="hr-HR"/>
              </w:rPr>
              <w:t>Program obnove i razvitka infrastrukture u Republici Hrvatskoj</w:t>
            </w:r>
            <w:bookmarkEnd w:id="1020"/>
          </w:p>
        </w:tc>
        <w:tc>
          <w:tcPr>
            <w:tcW w:w="910" w:type="pct"/>
            <w:tcBorders>
              <w:top w:val="nil"/>
              <w:left w:val="nil"/>
              <w:bottom w:val="nil"/>
              <w:right w:val="nil"/>
            </w:tcBorders>
            <w:shd w:val="clear" w:color="auto" w:fill="auto"/>
            <w:vAlign w:val="bottom"/>
          </w:tcPr>
          <w:p w14:paraId="78605DD2" w14:textId="77777777" w:rsidR="004E2F51" w:rsidRPr="004B4498" w:rsidRDefault="004E2F51" w:rsidP="00E032FC">
            <w:pPr>
              <w:pStyle w:val="TT"/>
              <w:jc w:val="right"/>
              <w:rPr>
                <w:rFonts w:cs="Arial"/>
                <w:color w:val="000000" w:themeColor="text1"/>
                <w:sz w:val="20"/>
                <w:lang w:val="hr-HR"/>
              </w:rPr>
            </w:pPr>
            <w:r w:rsidRPr="00DA3A0E">
              <w:rPr>
                <w:rFonts w:cs="Arial"/>
                <w:color w:val="000000" w:themeColor="text1"/>
                <w:sz w:val="20"/>
                <w:lang w:val="hr-HR"/>
              </w:rPr>
              <w:t xml:space="preserve"> 809.354 </w:t>
            </w:r>
          </w:p>
        </w:tc>
        <w:tc>
          <w:tcPr>
            <w:tcW w:w="911" w:type="pct"/>
            <w:tcBorders>
              <w:top w:val="nil"/>
              <w:left w:val="nil"/>
              <w:bottom w:val="nil"/>
              <w:right w:val="nil"/>
            </w:tcBorders>
            <w:shd w:val="clear" w:color="auto" w:fill="auto"/>
            <w:vAlign w:val="bottom"/>
          </w:tcPr>
          <w:p w14:paraId="23FC4850"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968.724</w:t>
            </w:r>
          </w:p>
        </w:tc>
      </w:tr>
      <w:tr w:rsidR="004E2F51" w:rsidRPr="00A73588" w14:paraId="393C95E1" w14:textId="77777777" w:rsidTr="00E032FC">
        <w:trPr>
          <w:trHeight w:val="387"/>
        </w:trPr>
        <w:tc>
          <w:tcPr>
            <w:tcW w:w="3179" w:type="pct"/>
            <w:vAlign w:val="bottom"/>
          </w:tcPr>
          <w:p w14:paraId="594D6298" w14:textId="77777777" w:rsidR="004E2F51" w:rsidRPr="004B4498" w:rsidRDefault="004E2F51" w:rsidP="00E032FC">
            <w:pPr>
              <w:pStyle w:val="TT"/>
              <w:rPr>
                <w:rFonts w:cs="Arial"/>
                <w:color w:val="000000" w:themeColor="text1"/>
                <w:sz w:val="20"/>
                <w:lang w:val="hr-HR"/>
              </w:rPr>
            </w:pPr>
            <w:bookmarkStart w:id="1021" w:name="_Toc67328033"/>
            <w:r w:rsidRPr="004B4498">
              <w:rPr>
                <w:rFonts w:cs="Arial"/>
                <w:color w:val="000000" w:themeColor="text1"/>
                <w:sz w:val="20"/>
                <w:lang w:val="hr-HR"/>
              </w:rPr>
              <w:t>Program kreditiranja malog i srednjeg poduzetništva</w:t>
            </w:r>
            <w:bookmarkEnd w:id="1021"/>
          </w:p>
        </w:tc>
        <w:tc>
          <w:tcPr>
            <w:tcW w:w="910" w:type="pct"/>
            <w:tcBorders>
              <w:top w:val="nil"/>
              <w:left w:val="nil"/>
              <w:bottom w:val="nil"/>
              <w:right w:val="nil"/>
            </w:tcBorders>
            <w:shd w:val="clear" w:color="auto" w:fill="auto"/>
            <w:vAlign w:val="bottom"/>
          </w:tcPr>
          <w:p w14:paraId="08CC494C" w14:textId="77777777" w:rsidR="004E2F51" w:rsidRPr="004B4498" w:rsidRDefault="004E2F51" w:rsidP="00E032FC">
            <w:pPr>
              <w:pStyle w:val="TT"/>
              <w:jc w:val="right"/>
              <w:rPr>
                <w:rFonts w:cs="Arial"/>
                <w:color w:val="000000" w:themeColor="text1"/>
                <w:sz w:val="20"/>
                <w:lang w:val="hr-HR"/>
              </w:rPr>
            </w:pPr>
            <w:r w:rsidRPr="00DA3A0E">
              <w:rPr>
                <w:rFonts w:cs="Arial"/>
                <w:color w:val="000000" w:themeColor="text1"/>
                <w:sz w:val="20"/>
                <w:lang w:val="hr-HR"/>
              </w:rPr>
              <w:t xml:space="preserve"> 2.532.328 </w:t>
            </w:r>
          </w:p>
        </w:tc>
        <w:tc>
          <w:tcPr>
            <w:tcW w:w="911" w:type="pct"/>
            <w:tcBorders>
              <w:top w:val="nil"/>
              <w:left w:val="nil"/>
              <w:bottom w:val="nil"/>
              <w:right w:val="nil"/>
            </w:tcBorders>
            <w:shd w:val="clear" w:color="auto" w:fill="auto"/>
            <w:vAlign w:val="bottom"/>
          </w:tcPr>
          <w:p w14:paraId="2024A78D"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2.285.623</w:t>
            </w:r>
          </w:p>
        </w:tc>
      </w:tr>
      <w:tr w:rsidR="004E2F51" w:rsidRPr="00A73588" w14:paraId="73F29A0E" w14:textId="77777777" w:rsidTr="00E032FC">
        <w:trPr>
          <w:trHeight w:val="411"/>
        </w:trPr>
        <w:tc>
          <w:tcPr>
            <w:tcW w:w="3179" w:type="pct"/>
            <w:vAlign w:val="bottom"/>
          </w:tcPr>
          <w:p w14:paraId="644EA16B" w14:textId="77777777" w:rsidR="004E2F51" w:rsidRPr="004B4498" w:rsidRDefault="004E2F51" w:rsidP="00E032FC">
            <w:pPr>
              <w:pStyle w:val="TT"/>
              <w:rPr>
                <w:rFonts w:cs="Arial"/>
                <w:color w:val="000000" w:themeColor="text1"/>
                <w:sz w:val="20"/>
                <w:lang w:val="hr-HR"/>
              </w:rPr>
            </w:pPr>
            <w:bookmarkStart w:id="1022" w:name="_Toc67328036"/>
            <w:r w:rsidRPr="004B4498">
              <w:rPr>
                <w:rFonts w:cs="Arial"/>
                <w:color w:val="000000" w:themeColor="text1"/>
                <w:sz w:val="20"/>
                <w:lang w:val="hr-HR"/>
              </w:rPr>
              <w:t>Program kreditiranja ratom oštećenih i razrušenih stambenih i gospodarskih objekata</w:t>
            </w:r>
            <w:bookmarkEnd w:id="1022"/>
          </w:p>
        </w:tc>
        <w:tc>
          <w:tcPr>
            <w:tcW w:w="910" w:type="pct"/>
            <w:tcBorders>
              <w:top w:val="nil"/>
              <w:left w:val="nil"/>
              <w:bottom w:val="nil"/>
              <w:right w:val="nil"/>
            </w:tcBorders>
            <w:shd w:val="clear" w:color="auto" w:fill="auto"/>
            <w:vAlign w:val="bottom"/>
          </w:tcPr>
          <w:p w14:paraId="3793670E" w14:textId="77777777" w:rsidR="004E2F51" w:rsidRPr="004B4498" w:rsidRDefault="004E2F51" w:rsidP="00E032FC">
            <w:pPr>
              <w:pStyle w:val="TT"/>
              <w:jc w:val="right"/>
              <w:rPr>
                <w:rFonts w:cs="Arial"/>
                <w:color w:val="000000" w:themeColor="text1"/>
                <w:sz w:val="20"/>
                <w:lang w:val="hr-HR"/>
              </w:rPr>
            </w:pPr>
            <w:r w:rsidRPr="00DA3A0E">
              <w:rPr>
                <w:rFonts w:cs="Arial"/>
                <w:color w:val="000000" w:themeColor="text1"/>
                <w:sz w:val="20"/>
                <w:lang w:val="hr-HR"/>
              </w:rPr>
              <w:t xml:space="preserve"> 2.790 </w:t>
            </w:r>
          </w:p>
        </w:tc>
        <w:tc>
          <w:tcPr>
            <w:tcW w:w="911" w:type="pct"/>
            <w:tcBorders>
              <w:top w:val="nil"/>
              <w:left w:val="nil"/>
              <w:bottom w:val="nil"/>
              <w:right w:val="nil"/>
            </w:tcBorders>
            <w:shd w:val="clear" w:color="auto" w:fill="auto"/>
            <w:vAlign w:val="bottom"/>
          </w:tcPr>
          <w:p w14:paraId="2CE54E1E" w14:textId="77777777" w:rsidR="004E2F51" w:rsidRPr="004B4498" w:rsidRDefault="004E2F51" w:rsidP="00E032FC">
            <w:pPr>
              <w:pStyle w:val="TT"/>
              <w:jc w:val="right"/>
              <w:rPr>
                <w:rFonts w:cs="Arial"/>
                <w:color w:val="000000" w:themeColor="text1"/>
                <w:sz w:val="20"/>
                <w:lang w:val="hr-HR"/>
              </w:rPr>
            </w:pPr>
            <w:bookmarkStart w:id="1023" w:name="_Toc67328037"/>
            <w:r w:rsidRPr="0046584E">
              <w:rPr>
                <w:rFonts w:cs="Arial"/>
                <w:color w:val="000000" w:themeColor="text1"/>
                <w:sz w:val="20"/>
                <w:lang w:val="hr-HR"/>
              </w:rPr>
              <w:t>3.563</w:t>
            </w:r>
            <w:bookmarkEnd w:id="1023"/>
          </w:p>
        </w:tc>
      </w:tr>
      <w:tr w:rsidR="004E2F51" w:rsidRPr="00A73588" w14:paraId="1307A3F1" w14:textId="77777777" w:rsidTr="00E032FC">
        <w:trPr>
          <w:trHeight w:val="340"/>
        </w:trPr>
        <w:tc>
          <w:tcPr>
            <w:tcW w:w="3179" w:type="pct"/>
            <w:vAlign w:val="bottom"/>
          </w:tcPr>
          <w:p w14:paraId="3D0CFE07" w14:textId="77777777" w:rsidR="004E2F51" w:rsidRPr="004B4498" w:rsidRDefault="004E2F51" w:rsidP="00E032FC">
            <w:pPr>
              <w:pStyle w:val="TT"/>
              <w:rPr>
                <w:rFonts w:cs="Arial"/>
                <w:color w:val="000000" w:themeColor="text1"/>
                <w:sz w:val="20"/>
                <w:lang w:val="hr-HR"/>
              </w:rPr>
            </w:pPr>
            <w:bookmarkStart w:id="1024" w:name="_Toc67328039"/>
            <w:r w:rsidRPr="004B4498">
              <w:rPr>
                <w:rFonts w:cs="Arial"/>
                <w:color w:val="000000" w:themeColor="text1"/>
                <w:sz w:val="20"/>
                <w:lang w:val="hr-HR"/>
              </w:rPr>
              <w:t>Ostalo</w:t>
            </w:r>
            <w:bookmarkEnd w:id="1024"/>
          </w:p>
        </w:tc>
        <w:tc>
          <w:tcPr>
            <w:tcW w:w="910" w:type="pct"/>
            <w:tcBorders>
              <w:top w:val="nil"/>
              <w:left w:val="nil"/>
              <w:bottom w:val="nil"/>
              <w:right w:val="nil"/>
            </w:tcBorders>
            <w:shd w:val="clear" w:color="auto" w:fill="auto"/>
            <w:vAlign w:val="bottom"/>
          </w:tcPr>
          <w:p w14:paraId="367A1E99" w14:textId="77777777" w:rsidR="004E2F51" w:rsidRPr="004B4498" w:rsidRDefault="004E2F51" w:rsidP="00E032FC">
            <w:pPr>
              <w:pStyle w:val="TT"/>
              <w:jc w:val="right"/>
              <w:rPr>
                <w:rFonts w:cs="Arial"/>
                <w:color w:val="000000" w:themeColor="text1"/>
                <w:sz w:val="20"/>
                <w:lang w:val="hr-HR"/>
              </w:rPr>
            </w:pPr>
            <w:r w:rsidRPr="00DA3A0E">
              <w:rPr>
                <w:rFonts w:cs="Arial"/>
                <w:color w:val="000000" w:themeColor="text1"/>
                <w:sz w:val="20"/>
                <w:lang w:val="hr-HR"/>
              </w:rPr>
              <w:t xml:space="preserve"> 120.000 </w:t>
            </w:r>
          </w:p>
        </w:tc>
        <w:tc>
          <w:tcPr>
            <w:tcW w:w="911" w:type="pct"/>
            <w:tcBorders>
              <w:top w:val="nil"/>
              <w:left w:val="nil"/>
              <w:bottom w:val="nil"/>
              <w:right w:val="nil"/>
            </w:tcBorders>
            <w:shd w:val="clear" w:color="auto" w:fill="auto"/>
            <w:vAlign w:val="bottom"/>
          </w:tcPr>
          <w:p w14:paraId="05F49513" w14:textId="77777777" w:rsidR="004E2F51" w:rsidRPr="004B4498" w:rsidRDefault="004E2F51" w:rsidP="00E032FC">
            <w:pPr>
              <w:pStyle w:val="TT"/>
              <w:jc w:val="right"/>
              <w:rPr>
                <w:rFonts w:cs="Arial"/>
                <w:color w:val="000000" w:themeColor="text1"/>
                <w:sz w:val="20"/>
                <w:lang w:val="hr-HR"/>
              </w:rPr>
            </w:pPr>
            <w:bookmarkStart w:id="1025" w:name="_Toc67328040"/>
            <w:r w:rsidRPr="0046584E">
              <w:rPr>
                <w:rFonts w:cs="Arial"/>
                <w:color w:val="000000" w:themeColor="text1"/>
                <w:sz w:val="20"/>
                <w:lang w:val="hr-HR"/>
              </w:rPr>
              <w:t>83.239</w:t>
            </w:r>
            <w:bookmarkEnd w:id="1025"/>
          </w:p>
        </w:tc>
      </w:tr>
      <w:tr w:rsidR="004E2F51" w:rsidRPr="00A73588" w14:paraId="71D0E18B" w14:textId="77777777" w:rsidTr="00E032FC">
        <w:trPr>
          <w:trHeight w:val="340"/>
        </w:trPr>
        <w:tc>
          <w:tcPr>
            <w:tcW w:w="3179" w:type="pct"/>
            <w:vAlign w:val="bottom"/>
          </w:tcPr>
          <w:p w14:paraId="27290435" w14:textId="77777777" w:rsidR="004E2F51" w:rsidRPr="004B4498" w:rsidRDefault="004E2F51" w:rsidP="00E032FC">
            <w:pPr>
              <w:pStyle w:val="TT"/>
              <w:rPr>
                <w:rFonts w:cs="Arial"/>
                <w:color w:val="000000" w:themeColor="text1"/>
                <w:sz w:val="20"/>
                <w:lang w:val="hr-HR"/>
              </w:rPr>
            </w:pPr>
            <w:bookmarkStart w:id="1026" w:name="_Toc67328042"/>
            <w:r w:rsidRPr="004B4498">
              <w:rPr>
                <w:rFonts w:cs="Arial"/>
                <w:color w:val="000000" w:themeColor="text1"/>
                <w:sz w:val="20"/>
                <w:lang w:val="hr-HR"/>
              </w:rPr>
              <w:t>Obračunata kamata</w:t>
            </w:r>
            <w:bookmarkEnd w:id="1026"/>
          </w:p>
        </w:tc>
        <w:tc>
          <w:tcPr>
            <w:tcW w:w="910" w:type="pct"/>
            <w:tcBorders>
              <w:top w:val="nil"/>
              <w:left w:val="nil"/>
              <w:bottom w:val="nil"/>
              <w:right w:val="nil"/>
            </w:tcBorders>
            <w:shd w:val="clear" w:color="auto" w:fill="auto"/>
            <w:vAlign w:val="bottom"/>
          </w:tcPr>
          <w:p w14:paraId="6B932CCF" w14:textId="77777777" w:rsidR="004E2F51" w:rsidRPr="004B4498" w:rsidRDefault="004E2F51" w:rsidP="00E032FC">
            <w:pPr>
              <w:pStyle w:val="TT"/>
              <w:jc w:val="right"/>
              <w:rPr>
                <w:rFonts w:cs="Arial"/>
                <w:color w:val="000000" w:themeColor="text1"/>
                <w:sz w:val="20"/>
                <w:lang w:val="hr-HR"/>
              </w:rPr>
            </w:pPr>
            <w:r w:rsidRPr="00DA3A0E">
              <w:rPr>
                <w:rFonts w:cs="Arial"/>
                <w:color w:val="000000" w:themeColor="text1"/>
                <w:sz w:val="20"/>
                <w:lang w:val="hr-HR"/>
              </w:rPr>
              <w:t xml:space="preserve"> 7.016 </w:t>
            </w:r>
          </w:p>
        </w:tc>
        <w:tc>
          <w:tcPr>
            <w:tcW w:w="911" w:type="pct"/>
            <w:tcBorders>
              <w:top w:val="nil"/>
              <w:left w:val="nil"/>
              <w:bottom w:val="nil"/>
              <w:right w:val="nil"/>
            </w:tcBorders>
            <w:shd w:val="clear" w:color="auto" w:fill="auto"/>
            <w:vAlign w:val="bottom"/>
          </w:tcPr>
          <w:p w14:paraId="082AECF3"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3.418</w:t>
            </w:r>
          </w:p>
        </w:tc>
      </w:tr>
      <w:tr w:rsidR="004E2F51" w:rsidRPr="00A73588" w14:paraId="51F9EE5E" w14:textId="77777777" w:rsidTr="00E032FC">
        <w:trPr>
          <w:trHeight w:val="340"/>
        </w:trPr>
        <w:tc>
          <w:tcPr>
            <w:tcW w:w="3179" w:type="pct"/>
            <w:vAlign w:val="bottom"/>
          </w:tcPr>
          <w:p w14:paraId="75698555" w14:textId="77777777" w:rsidR="004E2F51" w:rsidRPr="004B4498" w:rsidRDefault="004E2F51" w:rsidP="00E032FC">
            <w:pPr>
              <w:pStyle w:val="TT"/>
              <w:rPr>
                <w:rFonts w:cs="Arial"/>
                <w:color w:val="000000" w:themeColor="text1"/>
                <w:sz w:val="20"/>
                <w:lang w:val="hr-HR"/>
              </w:rPr>
            </w:pPr>
            <w:bookmarkStart w:id="1027" w:name="_Toc67328045"/>
            <w:r w:rsidRPr="004B4498">
              <w:rPr>
                <w:rFonts w:cs="Arial"/>
                <w:color w:val="000000" w:themeColor="text1"/>
                <w:sz w:val="20"/>
                <w:lang w:val="hr-HR"/>
              </w:rPr>
              <w:t>Odgođena naknada po kreditima</w:t>
            </w:r>
            <w:bookmarkEnd w:id="1027"/>
          </w:p>
        </w:tc>
        <w:tc>
          <w:tcPr>
            <w:tcW w:w="910" w:type="pct"/>
            <w:tcBorders>
              <w:top w:val="nil"/>
              <w:left w:val="nil"/>
              <w:bottom w:val="nil"/>
              <w:right w:val="nil"/>
            </w:tcBorders>
            <w:shd w:val="clear" w:color="auto" w:fill="auto"/>
            <w:vAlign w:val="bottom"/>
          </w:tcPr>
          <w:p w14:paraId="6C2D072F" w14:textId="77777777" w:rsidR="004E2F51" w:rsidRPr="004B4498" w:rsidRDefault="004E2F51" w:rsidP="00E032FC">
            <w:pPr>
              <w:pStyle w:val="TT"/>
              <w:jc w:val="right"/>
              <w:rPr>
                <w:rFonts w:cs="Arial"/>
                <w:color w:val="000000" w:themeColor="text1"/>
                <w:sz w:val="20"/>
                <w:lang w:val="hr-HR"/>
              </w:rPr>
            </w:pPr>
            <w:r w:rsidRPr="00DA3A0E">
              <w:rPr>
                <w:rFonts w:cs="Arial"/>
                <w:color w:val="000000" w:themeColor="text1"/>
                <w:sz w:val="20"/>
                <w:lang w:val="hr-HR"/>
              </w:rPr>
              <w:t xml:space="preserve"> (18.453)</w:t>
            </w:r>
          </w:p>
        </w:tc>
        <w:tc>
          <w:tcPr>
            <w:tcW w:w="911" w:type="pct"/>
            <w:tcBorders>
              <w:top w:val="nil"/>
              <w:left w:val="nil"/>
              <w:bottom w:val="nil"/>
              <w:right w:val="nil"/>
            </w:tcBorders>
            <w:shd w:val="clear" w:color="auto" w:fill="auto"/>
            <w:vAlign w:val="bottom"/>
          </w:tcPr>
          <w:p w14:paraId="16799947"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(21.195)</w:t>
            </w:r>
          </w:p>
        </w:tc>
      </w:tr>
      <w:tr w:rsidR="004E2F51" w:rsidRPr="00A73588" w14:paraId="7828643B" w14:textId="77777777" w:rsidTr="00E032FC">
        <w:trPr>
          <w:trHeight w:val="196"/>
        </w:trPr>
        <w:tc>
          <w:tcPr>
            <w:tcW w:w="3179" w:type="pct"/>
            <w:vAlign w:val="bottom"/>
          </w:tcPr>
          <w:p w14:paraId="7C3A611D" w14:textId="77777777" w:rsidR="004E2F51" w:rsidRPr="004B4498" w:rsidRDefault="004E2F51" w:rsidP="00E032FC">
            <w:pPr>
              <w:pStyle w:val="Tot"/>
              <w:rPr>
                <w:rFonts w:cs="Arial"/>
                <w:color w:val="000000" w:themeColor="text1"/>
                <w:sz w:val="20"/>
                <w:lang w:val="hr-HR"/>
              </w:rPr>
            </w:pPr>
          </w:p>
        </w:tc>
        <w:tc>
          <w:tcPr>
            <w:tcW w:w="910" w:type="pct"/>
            <w:tcBorders>
              <w:top w:val="single" w:sz="4" w:space="0" w:color="auto"/>
              <w:bottom w:val="single" w:sz="4" w:space="0" w:color="auto"/>
            </w:tcBorders>
            <w:vAlign w:val="bottom"/>
          </w:tcPr>
          <w:p w14:paraId="66AC94FC" w14:textId="77777777" w:rsidR="004E2F51" w:rsidRPr="004B4498" w:rsidRDefault="004E2F51" w:rsidP="00E032FC">
            <w:pPr>
              <w:pStyle w:val="Tot"/>
              <w:jc w:val="right"/>
              <w:rPr>
                <w:rFonts w:cs="Arial"/>
                <w:color w:val="000000" w:themeColor="text1"/>
                <w:sz w:val="20"/>
                <w:lang w:val="hr-HR"/>
              </w:rPr>
            </w:pPr>
            <w:r w:rsidRPr="00DA3A0E">
              <w:rPr>
                <w:rFonts w:cs="Arial"/>
                <w:color w:val="000000" w:themeColor="text1"/>
                <w:sz w:val="20"/>
                <w:lang w:val="hr-HR"/>
              </w:rPr>
              <w:t>7.045.574</w:t>
            </w:r>
          </w:p>
        </w:tc>
        <w:tc>
          <w:tcPr>
            <w:tcW w:w="911" w:type="pct"/>
            <w:tcBorders>
              <w:top w:val="single" w:sz="4" w:space="0" w:color="auto"/>
              <w:bottom w:val="single" w:sz="4" w:space="0" w:color="auto"/>
            </w:tcBorders>
            <w:vAlign w:val="bottom"/>
          </w:tcPr>
          <w:p w14:paraId="05DC86B4" w14:textId="77777777" w:rsidR="004E2F51" w:rsidRPr="004B4498" w:rsidRDefault="004E2F51" w:rsidP="00E032FC">
            <w:pPr>
              <w:pStyle w:val="Tot"/>
              <w:jc w:val="right"/>
              <w:rPr>
                <w:rFonts w:cs="Arial"/>
                <w:color w:val="000000" w:themeColor="text1"/>
                <w:sz w:val="20"/>
                <w:lang w:val="hr-HR"/>
              </w:rPr>
            </w:pPr>
            <w:r w:rsidRPr="0046584E">
              <w:rPr>
                <w:rFonts w:cs="Arial"/>
                <w:color w:val="000000" w:themeColor="text1"/>
                <w:sz w:val="20"/>
                <w:lang w:val="hr-HR"/>
              </w:rPr>
              <w:t>7.109.043</w:t>
            </w:r>
          </w:p>
        </w:tc>
      </w:tr>
      <w:tr w:rsidR="004E2F51" w:rsidRPr="00A73588" w14:paraId="3B65631B" w14:textId="77777777" w:rsidTr="00E032FC">
        <w:trPr>
          <w:trHeight w:val="205"/>
        </w:trPr>
        <w:tc>
          <w:tcPr>
            <w:tcW w:w="3179" w:type="pct"/>
            <w:vAlign w:val="bottom"/>
          </w:tcPr>
          <w:p w14:paraId="409A1828" w14:textId="77777777" w:rsidR="004E2F51" w:rsidRPr="004B4498" w:rsidRDefault="004E2F51" w:rsidP="00E032FC">
            <w:pPr>
              <w:pStyle w:val="TT"/>
              <w:rPr>
                <w:rFonts w:cs="Arial"/>
                <w:color w:val="000000" w:themeColor="text1"/>
                <w:sz w:val="20"/>
                <w:lang w:val="hr-HR"/>
              </w:rPr>
            </w:pPr>
            <w:bookmarkStart w:id="1028" w:name="_Toc67328050"/>
            <w:r w:rsidRPr="004B4498">
              <w:rPr>
                <w:rFonts w:cs="Arial"/>
                <w:color w:val="000000" w:themeColor="text1"/>
                <w:sz w:val="20"/>
                <w:lang w:val="hr-HR"/>
              </w:rPr>
              <w:t>Rezerviranja za očekivane gubitke</w:t>
            </w:r>
            <w:bookmarkEnd w:id="1028"/>
          </w:p>
        </w:tc>
        <w:tc>
          <w:tcPr>
            <w:tcW w:w="910" w:type="pct"/>
            <w:tcBorders>
              <w:top w:val="single" w:sz="4" w:space="0" w:color="auto"/>
              <w:bottom w:val="single" w:sz="4" w:space="0" w:color="auto"/>
            </w:tcBorders>
            <w:vAlign w:val="bottom"/>
          </w:tcPr>
          <w:p w14:paraId="729D7F95" w14:textId="77777777" w:rsidR="004E2F51" w:rsidRPr="004B4498" w:rsidRDefault="004E2F51" w:rsidP="00E032FC">
            <w:pPr>
              <w:pStyle w:val="TT"/>
              <w:jc w:val="right"/>
              <w:rPr>
                <w:rFonts w:cs="Arial"/>
                <w:color w:val="000000" w:themeColor="text1"/>
                <w:sz w:val="20"/>
                <w:lang w:val="hr-HR"/>
              </w:rPr>
            </w:pPr>
            <w:r w:rsidRPr="00DA3A0E">
              <w:rPr>
                <w:rFonts w:cs="Arial"/>
                <w:color w:val="000000" w:themeColor="text1"/>
                <w:sz w:val="20"/>
                <w:lang w:val="hr-HR"/>
              </w:rPr>
              <w:t>(60.862)</w:t>
            </w:r>
          </w:p>
        </w:tc>
        <w:tc>
          <w:tcPr>
            <w:tcW w:w="911" w:type="pct"/>
            <w:tcBorders>
              <w:top w:val="single" w:sz="4" w:space="0" w:color="auto"/>
              <w:bottom w:val="single" w:sz="4" w:space="0" w:color="auto"/>
            </w:tcBorders>
            <w:vAlign w:val="bottom"/>
          </w:tcPr>
          <w:p w14:paraId="1F347B28"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(58.900)</w:t>
            </w:r>
          </w:p>
        </w:tc>
      </w:tr>
      <w:tr w:rsidR="004E2F51" w:rsidRPr="00A73588" w14:paraId="72F7DDA9" w14:textId="77777777" w:rsidTr="00E032FC">
        <w:trPr>
          <w:trHeight w:val="235"/>
        </w:trPr>
        <w:tc>
          <w:tcPr>
            <w:tcW w:w="3179" w:type="pct"/>
            <w:vAlign w:val="bottom"/>
          </w:tcPr>
          <w:p w14:paraId="3B97D7C7" w14:textId="77777777" w:rsidR="004E2F51" w:rsidRPr="004B4498" w:rsidRDefault="004E2F51" w:rsidP="00E032FC">
            <w:pPr>
              <w:pStyle w:val="Tot"/>
              <w:rPr>
                <w:rFonts w:cs="Arial"/>
                <w:b/>
                <w:bCs/>
                <w:color w:val="000000" w:themeColor="text1"/>
                <w:sz w:val="20"/>
                <w:lang w:val="hr-HR"/>
              </w:rPr>
            </w:pPr>
          </w:p>
        </w:tc>
        <w:tc>
          <w:tcPr>
            <w:tcW w:w="910" w:type="pct"/>
            <w:tcBorders>
              <w:top w:val="single" w:sz="4" w:space="0" w:color="auto"/>
              <w:bottom w:val="single" w:sz="12" w:space="0" w:color="auto"/>
            </w:tcBorders>
            <w:vAlign w:val="bottom"/>
          </w:tcPr>
          <w:p w14:paraId="4B3DC662" w14:textId="77777777" w:rsidR="004E2F51" w:rsidRPr="004B4498" w:rsidRDefault="004E2F51" w:rsidP="00E032FC">
            <w:pPr>
              <w:pStyle w:val="Tot"/>
              <w:jc w:val="right"/>
              <w:rPr>
                <w:rFonts w:cs="Arial"/>
                <w:b/>
                <w:bCs/>
                <w:color w:val="000000" w:themeColor="text1"/>
                <w:sz w:val="20"/>
                <w:lang w:val="hr-HR"/>
              </w:rPr>
            </w:pPr>
            <w:r w:rsidRPr="00DA3A0E">
              <w:rPr>
                <w:rFonts w:cs="Arial"/>
                <w:b/>
                <w:bCs/>
                <w:color w:val="000000" w:themeColor="text1"/>
                <w:sz w:val="20"/>
                <w:lang w:val="hr-HR"/>
              </w:rPr>
              <w:t>6.984.712</w:t>
            </w:r>
          </w:p>
        </w:tc>
        <w:tc>
          <w:tcPr>
            <w:tcW w:w="911" w:type="pct"/>
            <w:tcBorders>
              <w:top w:val="single" w:sz="4" w:space="0" w:color="auto"/>
              <w:bottom w:val="single" w:sz="12" w:space="0" w:color="auto"/>
            </w:tcBorders>
            <w:vAlign w:val="bottom"/>
          </w:tcPr>
          <w:p w14:paraId="1BF07652" w14:textId="77777777" w:rsidR="004E2F51" w:rsidRPr="004B4498" w:rsidRDefault="004E2F51" w:rsidP="00E032FC">
            <w:pPr>
              <w:pStyle w:val="Tot"/>
              <w:jc w:val="right"/>
              <w:rPr>
                <w:rFonts w:cs="Arial"/>
                <w:b/>
                <w:bCs/>
                <w:color w:val="000000" w:themeColor="text1"/>
                <w:sz w:val="20"/>
                <w:lang w:val="hr-HR"/>
              </w:rPr>
            </w:pPr>
            <w:r w:rsidRPr="0046584E">
              <w:rPr>
                <w:rFonts w:cs="Arial"/>
                <w:b/>
                <w:bCs/>
                <w:color w:val="000000" w:themeColor="text1"/>
                <w:sz w:val="20"/>
                <w:lang w:val="hr-HR"/>
              </w:rPr>
              <w:t>7.050.143</w:t>
            </w:r>
          </w:p>
        </w:tc>
      </w:tr>
    </w:tbl>
    <w:p w14:paraId="29FF8D3D"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p>
    <w:p w14:paraId="4BDA25EA"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Prosječne kamatne stope na ukupne kredite financijskim institucijama iskazane su u visini od 0,</w:t>
      </w:r>
      <w:r>
        <w:rPr>
          <w:rFonts w:cs="Arial"/>
          <w:b w:val="0"/>
          <w:bCs w:val="0"/>
          <w:color w:val="000000" w:themeColor="text1"/>
          <w:sz w:val="20"/>
          <w:lang w:val="hr-HR"/>
        </w:rPr>
        <w:t>28</w:t>
      </w:r>
      <w:r w:rsidRPr="004B4498">
        <w:rPr>
          <w:rFonts w:cs="Arial"/>
          <w:b w:val="0"/>
          <w:bCs w:val="0"/>
          <w:color w:val="000000" w:themeColor="text1"/>
          <w:sz w:val="20"/>
          <w:lang w:val="hr-HR"/>
        </w:rPr>
        <w:t>% (31. prosinca 202</w:t>
      </w:r>
      <w:r>
        <w:rPr>
          <w:rFonts w:cs="Arial"/>
          <w:b w:val="0"/>
          <w:bCs w:val="0"/>
          <w:color w:val="000000" w:themeColor="text1"/>
          <w:sz w:val="20"/>
          <w:lang w:val="hr-HR"/>
        </w:rPr>
        <w:t>1</w:t>
      </w:r>
      <w:r w:rsidRPr="004B4498">
        <w:rPr>
          <w:rFonts w:cs="Arial"/>
          <w:b w:val="0"/>
          <w:bCs w:val="0"/>
          <w:color w:val="000000" w:themeColor="text1"/>
          <w:sz w:val="20"/>
          <w:lang w:val="hr-HR"/>
        </w:rPr>
        <w:t>.: 0,4</w:t>
      </w:r>
      <w:r>
        <w:rPr>
          <w:rFonts w:cs="Arial"/>
          <w:b w:val="0"/>
          <w:bCs w:val="0"/>
          <w:color w:val="000000" w:themeColor="text1"/>
          <w:sz w:val="20"/>
          <w:lang w:val="hr-HR"/>
        </w:rPr>
        <w:t>1</w:t>
      </w:r>
      <w:r w:rsidRPr="004B4498">
        <w:rPr>
          <w:rFonts w:cs="Arial"/>
          <w:b w:val="0"/>
          <w:bCs w:val="0"/>
          <w:color w:val="000000" w:themeColor="text1"/>
          <w:sz w:val="20"/>
          <w:lang w:val="hr-HR"/>
        </w:rPr>
        <w:t>%) te su jednake prosječnim kamatnim stopama na kredite po kreditnim programima HBOR-a bez rezerve likvidnosti.</w:t>
      </w:r>
    </w:p>
    <w:p w14:paraId="0AED6A29" w14:textId="77777777" w:rsidR="004E2F51" w:rsidRPr="004B4498" w:rsidRDefault="004E2F51" w:rsidP="004E2F51">
      <w:pPr>
        <w:pStyle w:val="T1"/>
        <w:keepNext w:val="0"/>
        <w:spacing w:before="0" w:after="0" w:line="240" w:lineRule="auto"/>
        <w:rPr>
          <w:rFonts w:cs="Arial"/>
          <w:b w:val="0"/>
          <w:bCs w:val="0"/>
          <w:color w:val="000000" w:themeColor="text1"/>
          <w:sz w:val="20"/>
          <w:highlight w:val="yellow"/>
          <w:lang w:val="hr-HR"/>
        </w:rPr>
      </w:pPr>
    </w:p>
    <w:p w14:paraId="510E6CCD"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Prosječne kamatne stope odražavaju omjer kamatnih prihoda na navedene plasmane i prosječne imovine.</w:t>
      </w:r>
    </w:p>
    <w:p w14:paraId="3170E05F" w14:textId="77777777" w:rsidR="004E2F51" w:rsidRPr="004B4498" w:rsidRDefault="004E2F51" w:rsidP="004E2F51">
      <w:pPr>
        <w:pStyle w:val="T1"/>
        <w:keepNext w:val="0"/>
        <w:spacing w:before="0" w:after="0" w:line="240" w:lineRule="auto"/>
        <w:rPr>
          <w:rFonts w:cs="Arial"/>
          <w:b w:val="0"/>
          <w:bCs w:val="0"/>
          <w:color w:val="000000" w:themeColor="text1"/>
          <w:sz w:val="20"/>
          <w:highlight w:val="yellow"/>
          <w:lang w:val="hr-HR"/>
        </w:rPr>
      </w:pPr>
    </w:p>
    <w:p w14:paraId="525C6591" w14:textId="77777777" w:rsidR="004E2F51" w:rsidRPr="004B4498" w:rsidRDefault="004E2F51" w:rsidP="004E2F51">
      <w:pPr>
        <w:pStyle w:val="T1"/>
        <w:keepNext w:val="0"/>
        <w:spacing w:before="0" w:after="0" w:line="240" w:lineRule="auto"/>
        <w:rPr>
          <w:rFonts w:cs="Arial"/>
          <w:b w:val="0"/>
          <w:color w:val="000000" w:themeColor="text1"/>
          <w:sz w:val="20"/>
          <w:lang w:val="hr-HR"/>
        </w:rPr>
      </w:pPr>
      <w:r w:rsidRPr="004B4498">
        <w:rPr>
          <w:rFonts w:cs="Arial"/>
          <w:b w:val="0"/>
          <w:bCs w:val="0"/>
          <w:color w:val="000000" w:themeColor="text1"/>
          <w:sz w:val="20"/>
          <w:lang w:val="hr-HR"/>
        </w:rPr>
        <w:t xml:space="preserve">Stavka „Ostalo“ sadrži obrnute repo plasmane u ukupnom iznosu </w:t>
      </w:r>
      <w:r>
        <w:rPr>
          <w:rFonts w:cs="Arial"/>
          <w:b w:val="0"/>
          <w:bCs w:val="0"/>
          <w:color w:val="000000" w:themeColor="text1"/>
          <w:sz w:val="20"/>
          <w:lang w:val="hr-HR"/>
        </w:rPr>
        <w:t>0</w:t>
      </w:r>
      <w:r w:rsidRPr="004B4498">
        <w:rPr>
          <w:rFonts w:cs="Arial"/>
          <w:b w:val="0"/>
          <w:bCs w:val="0"/>
          <w:color w:val="000000" w:themeColor="text1"/>
          <w:sz w:val="20"/>
          <w:lang w:val="hr-HR"/>
        </w:rPr>
        <w:t xml:space="preserve"> tisuća kuna (31. prosinca 202</w:t>
      </w:r>
      <w:r>
        <w:rPr>
          <w:rFonts w:cs="Arial"/>
          <w:b w:val="0"/>
          <w:bCs w:val="0"/>
          <w:color w:val="000000" w:themeColor="text1"/>
          <w:sz w:val="20"/>
          <w:lang w:val="hr-HR"/>
        </w:rPr>
        <w:t>1</w:t>
      </w:r>
      <w:r w:rsidRPr="004B4498">
        <w:rPr>
          <w:rFonts w:cs="Arial"/>
          <w:b w:val="0"/>
          <w:bCs w:val="0"/>
          <w:color w:val="000000" w:themeColor="text1"/>
          <w:sz w:val="20"/>
          <w:lang w:val="hr-HR"/>
        </w:rPr>
        <w:t xml:space="preserve">.: </w:t>
      </w:r>
      <w:r>
        <w:rPr>
          <w:rFonts w:cs="Arial"/>
          <w:b w:val="0"/>
          <w:bCs w:val="0"/>
          <w:color w:val="000000" w:themeColor="text1"/>
          <w:sz w:val="20"/>
          <w:lang w:val="hr-HR"/>
        </w:rPr>
        <w:t>8.239</w:t>
      </w:r>
      <w:r w:rsidRPr="004B4498">
        <w:rPr>
          <w:rFonts w:cs="Arial"/>
          <w:b w:val="0"/>
          <w:bCs w:val="0"/>
          <w:color w:val="000000" w:themeColor="text1"/>
          <w:sz w:val="20"/>
          <w:lang w:val="hr-HR"/>
        </w:rPr>
        <w:t xml:space="preserve"> tisuća kuna). Ovi su plasmani osigurani vrijednosnim papirima u</w:t>
      </w:r>
      <w:r w:rsidRPr="004B4498">
        <w:rPr>
          <w:rFonts w:cs="Arial"/>
          <w:b w:val="0"/>
          <w:color w:val="000000" w:themeColor="text1"/>
          <w:sz w:val="20"/>
          <w:lang w:val="hr-HR"/>
        </w:rPr>
        <w:t xml:space="preserve"> iznosu od </w:t>
      </w:r>
      <w:r>
        <w:rPr>
          <w:rFonts w:cs="Arial"/>
          <w:b w:val="0"/>
          <w:color w:val="000000" w:themeColor="text1"/>
          <w:sz w:val="20"/>
          <w:lang w:val="hr-HR"/>
        </w:rPr>
        <w:t>0</w:t>
      </w:r>
      <w:r w:rsidRPr="004B4498">
        <w:rPr>
          <w:rFonts w:cs="Arial"/>
          <w:b w:val="0"/>
          <w:color w:val="000000" w:themeColor="text1"/>
          <w:sz w:val="20"/>
          <w:lang w:val="hr-HR"/>
        </w:rPr>
        <w:t xml:space="preserve"> tisuća kuna (31. prosinca 202</w:t>
      </w:r>
      <w:r>
        <w:rPr>
          <w:rFonts w:cs="Arial"/>
          <w:b w:val="0"/>
          <w:color w:val="000000" w:themeColor="text1"/>
          <w:sz w:val="20"/>
          <w:lang w:val="hr-HR"/>
        </w:rPr>
        <w:t>1</w:t>
      </w:r>
      <w:r w:rsidRPr="004B4498">
        <w:rPr>
          <w:rFonts w:cs="Arial"/>
          <w:b w:val="0"/>
          <w:color w:val="000000" w:themeColor="text1"/>
          <w:sz w:val="20"/>
          <w:lang w:val="hr-HR"/>
        </w:rPr>
        <w:t>.: 8.</w:t>
      </w:r>
      <w:r>
        <w:rPr>
          <w:rFonts w:cs="Arial"/>
          <w:b w:val="0"/>
          <w:color w:val="000000" w:themeColor="text1"/>
          <w:sz w:val="20"/>
          <w:lang w:val="hr-HR"/>
        </w:rPr>
        <w:t>660</w:t>
      </w:r>
      <w:r w:rsidRPr="004B4498">
        <w:rPr>
          <w:rFonts w:cs="Arial"/>
          <w:b w:val="0"/>
          <w:color w:val="000000" w:themeColor="text1"/>
          <w:sz w:val="20"/>
          <w:lang w:val="hr-HR"/>
        </w:rPr>
        <w:t xml:space="preserve"> tisuća kuna).</w:t>
      </w:r>
    </w:p>
    <w:p w14:paraId="3DB14956" w14:textId="77777777" w:rsidR="004E2F51" w:rsidRPr="004B4498" w:rsidRDefault="004E2F51" w:rsidP="004E2F51">
      <w:pPr>
        <w:pStyle w:val="T1"/>
        <w:keepNext w:val="0"/>
        <w:spacing w:before="0" w:after="0" w:line="240" w:lineRule="auto"/>
        <w:rPr>
          <w:rFonts w:cs="Arial"/>
          <w:b w:val="0"/>
          <w:color w:val="000000" w:themeColor="text1"/>
          <w:sz w:val="20"/>
          <w:lang w:val="hr-HR"/>
        </w:rPr>
      </w:pPr>
    </w:p>
    <w:p w14:paraId="55574407"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p>
    <w:p w14:paraId="0FD9ADF1" w14:textId="77777777" w:rsidR="004E2F51" w:rsidRPr="00B91D09" w:rsidRDefault="004E2F51" w:rsidP="004E2F51">
      <w:pPr>
        <w:pStyle w:val="T1"/>
        <w:spacing w:before="0" w:after="0" w:line="240" w:lineRule="auto"/>
        <w:rPr>
          <w:rFonts w:cs="Arial"/>
          <w:b w:val="0"/>
          <w:bCs w:val="0"/>
          <w:color w:val="000000" w:themeColor="text1"/>
          <w:sz w:val="22"/>
          <w:szCs w:val="22"/>
          <w:lang w:val="hr-HR"/>
        </w:rPr>
        <w:sectPr w:rsidR="004E2F51" w:rsidRPr="00B91D09" w:rsidSect="00623DBA">
          <w:footerReference w:type="default" r:id="rId125"/>
          <w:pgSz w:w="11907" w:h="16840" w:code="9"/>
          <w:pgMar w:top="1418" w:right="1134" w:bottom="1134" w:left="1418" w:header="851" w:footer="851" w:gutter="0"/>
          <w:cols w:space="720"/>
          <w:noEndnote/>
        </w:sectPr>
      </w:pPr>
    </w:p>
    <w:p w14:paraId="2CF2B185" w14:textId="77777777" w:rsidR="004E2F51" w:rsidRPr="00B91D09" w:rsidRDefault="004E2F51" w:rsidP="004E2F51">
      <w:pPr>
        <w:pStyle w:val="T1"/>
        <w:spacing w:before="0" w:after="0" w:line="240" w:lineRule="auto"/>
        <w:rPr>
          <w:rFonts w:cs="Arial"/>
          <w:color w:val="000000" w:themeColor="text1"/>
          <w:sz w:val="18"/>
          <w:szCs w:val="18"/>
          <w:lang w:val="hr-HR"/>
        </w:rPr>
      </w:pPr>
    </w:p>
    <w:p w14:paraId="75911347"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15.</w:t>
      </w:r>
      <w:r w:rsidRPr="004B4498">
        <w:rPr>
          <w:rFonts w:cs="Arial"/>
          <w:color w:val="000000" w:themeColor="text1"/>
          <w:sz w:val="20"/>
          <w:lang w:val="hr-HR"/>
        </w:rPr>
        <w:tab/>
        <w:t xml:space="preserve">Krediti ostalim korisnicima </w:t>
      </w:r>
    </w:p>
    <w:p w14:paraId="599D946F"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0D545A18"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Krediti ostalim korisnicima umanjeni za rezerviranja za očekivane gubitke mogu se prikazati po sektorizaciji kako slijedi:</w:t>
      </w:r>
    </w:p>
    <w:p w14:paraId="7810F02E" w14:textId="77777777" w:rsidR="004E2F51" w:rsidRPr="004B4498" w:rsidRDefault="004E2F51" w:rsidP="004E2F51">
      <w:pPr>
        <w:pStyle w:val="T1"/>
        <w:spacing w:before="0" w:after="0" w:line="240" w:lineRule="auto"/>
        <w:rPr>
          <w:rFonts w:cs="Arial"/>
          <w:b w:val="0"/>
          <w:bCs w:val="0"/>
          <w:color w:val="000000" w:themeColor="text1"/>
          <w:sz w:val="20"/>
          <w:lang w:val="hr-HR"/>
        </w:rPr>
      </w:pPr>
    </w:p>
    <w:tbl>
      <w:tblPr>
        <w:tblW w:w="4927" w:type="pct"/>
        <w:tblLayout w:type="fixed"/>
        <w:tblCellMar>
          <w:left w:w="119" w:type="dxa"/>
          <w:right w:w="119" w:type="dxa"/>
        </w:tblCellMar>
        <w:tblLook w:val="0000" w:firstRow="0" w:lastRow="0" w:firstColumn="0" w:lastColumn="0" w:noHBand="0" w:noVBand="0"/>
      </w:tblPr>
      <w:tblGrid>
        <w:gridCol w:w="5757"/>
        <w:gridCol w:w="1785"/>
        <w:gridCol w:w="1676"/>
      </w:tblGrid>
      <w:tr w:rsidR="004E2F51" w:rsidRPr="00BB3F2C" w14:paraId="67938C87" w14:textId="77777777" w:rsidTr="00E032FC">
        <w:trPr>
          <w:trHeight w:val="314"/>
        </w:trPr>
        <w:tc>
          <w:tcPr>
            <w:tcW w:w="3123" w:type="pct"/>
          </w:tcPr>
          <w:p w14:paraId="3CDB0E05" w14:textId="77777777" w:rsidR="004E2F51" w:rsidRPr="004B4498" w:rsidRDefault="004E2F51" w:rsidP="00E032FC">
            <w:pPr>
              <w:tabs>
                <w:tab w:val="left" w:pos="-720"/>
              </w:tabs>
              <w:spacing w:line="200" w:lineRule="exact"/>
              <w:rPr>
                <w:rFonts w:ascii="Arial" w:hAnsi="Arial" w:cs="Arial"/>
                <w:color w:val="000000" w:themeColor="text1"/>
                <w:spacing w:val="-2"/>
                <w:sz w:val="20"/>
                <w:szCs w:val="20"/>
                <w:lang w:val="hr-HR"/>
              </w:rPr>
            </w:pPr>
          </w:p>
        </w:tc>
        <w:tc>
          <w:tcPr>
            <w:tcW w:w="1877" w:type="pct"/>
            <w:gridSpan w:val="2"/>
            <w:vAlign w:val="bottom"/>
          </w:tcPr>
          <w:p w14:paraId="3AB5B2A7" w14:textId="77777777" w:rsidR="004E2F51" w:rsidRPr="004B4498" w:rsidRDefault="004E2F51" w:rsidP="00E032FC">
            <w:pPr>
              <w:pStyle w:val="TH"/>
              <w:spacing w:line="200" w:lineRule="exact"/>
              <w:jc w:val="right"/>
              <w:rPr>
                <w:rFonts w:cs="Arial"/>
                <w:color w:val="000000" w:themeColor="text1"/>
                <w:sz w:val="20"/>
                <w:lang w:val="hr-HR"/>
              </w:rPr>
            </w:pPr>
            <w:bookmarkStart w:id="1029" w:name="_Toc67328055"/>
            <w:r w:rsidRPr="004B4498">
              <w:rPr>
                <w:rFonts w:cs="Arial"/>
                <w:color w:val="000000" w:themeColor="text1"/>
                <w:sz w:val="20"/>
                <w:lang w:val="hr-HR"/>
              </w:rPr>
              <w:t>Grupa i Banka</w:t>
            </w:r>
            <w:bookmarkEnd w:id="1029"/>
          </w:p>
        </w:tc>
      </w:tr>
      <w:tr w:rsidR="004E2F51" w:rsidRPr="00BB3F2C" w14:paraId="00B967CC" w14:textId="77777777" w:rsidTr="00E032FC">
        <w:trPr>
          <w:trHeight w:val="314"/>
        </w:trPr>
        <w:tc>
          <w:tcPr>
            <w:tcW w:w="3123" w:type="pct"/>
          </w:tcPr>
          <w:p w14:paraId="22830B69" w14:textId="77777777" w:rsidR="004E2F51" w:rsidRPr="004B4498" w:rsidRDefault="004E2F51" w:rsidP="00E032FC">
            <w:pPr>
              <w:tabs>
                <w:tab w:val="left" w:pos="-720"/>
              </w:tabs>
              <w:spacing w:line="200" w:lineRule="exact"/>
              <w:rPr>
                <w:rFonts w:ascii="Arial" w:hAnsi="Arial" w:cs="Arial"/>
                <w:color w:val="000000" w:themeColor="text1"/>
                <w:spacing w:val="-2"/>
                <w:sz w:val="20"/>
                <w:szCs w:val="20"/>
                <w:lang w:val="hr-HR"/>
              </w:rPr>
            </w:pPr>
          </w:p>
        </w:tc>
        <w:tc>
          <w:tcPr>
            <w:tcW w:w="968" w:type="pct"/>
            <w:vAlign w:val="bottom"/>
          </w:tcPr>
          <w:p w14:paraId="185971FF" w14:textId="77777777" w:rsidR="004E2F51" w:rsidRPr="004B4498" w:rsidRDefault="004E2F51" w:rsidP="00E032FC">
            <w:pPr>
              <w:pStyle w:val="TH"/>
              <w:jc w:val="right"/>
              <w:rPr>
                <w:rFonts w:cs="Arial"/>
                <w:color w:val="000000" w:themeColor="text1"/>
                <w:sz w:val="20"/>
                <w:lang w:val="hr-HR"/>
              </w:rPr>
            </w:pPr>
            <w:bookmarkStart w:id="1030" w:name="_Toc67328056"/>
            <w:r w:rsidRPr="004B4498">
              <w:rPr>
                <w:rFonts w:cs="Arial"/>
                <w:color w:val="000000" w:themeColor="text1"/>
                <w:sz w:val="20"/>
                <w:lang w:val="hr-HR"/>
              </w:rPr>
              <w:t>31. prosinca 2022.</w:t>
            </w:r>
            <w:bookmarkEnd w:id="1030"/>
          </w:p>
        </w:tc>
        <w:tc>
          <w:tcPr>
            <w:tcW w:w="909" w:type="pct"/>
            <w:vAlign w:val="bottom"/>
          </w:tcPr>
          <w:p w14:paraId="3A76F59D" w14:textId="77777777" w:rsidR="004E2F51" w:rsidRPr="004B4498" w:rsidRDefault="004E2F51" w:rsidP="00E032FC">
            <w:pPr>
              <w:pStyle w:val="TH"/>
              <w:jc w:val="right"/>
              <w:rPr>
                <w:rFonts w:cs="Arial"/>
                <w:color w:val="000000" w:themeColor="text1"/>
                <w:sz w:val="20"/>
                <w:lang w:val="hr-HR"/>
              </w:rPr>
            </w:pPr>
            <w:bookmarkStart w:id="1031" w:name="_Toc67328057"/>
            <w:r w:rsidRPr="004B4498">
              <w:rPr>
                <w:rFonts w:cs="Arial"/>
                <w:color w:val="000000" w:themeColor="text1"/>
                <w:sz w:val="20"/>
                <w:lang w:val="hr-HR"/>
              </w:rPr>
              <w:t>31. prosinca 2021.</w:t>
            </w:r>
            <w:bookmarkEnd w:id="1031"/>
          </w:p>
        </w:tc>
      </w:tr>
      <w:tr w:rsidR="004E2F51" w:rsidRPr="00BB3F2C" w14:paraId="076898F1" w14:textId="77777777" w:rsidTr="00E032FC">
        <w:trPr>
          <w:trHeight w:val="314"/>
        </w:trPr>
        <w:tc>
          <w:tcPr>
            <w:tcW w:w="3123" w:type="pct"/>
          </w:tcPr>
          <w:p w14:paraId="63CFB5D4" w14:textId="77777777" w:rsidR="004E2F51" w:rsidRPr="004B4498" w:rsidRDefault="004E2F51" w:rsidP="00E032FC">
            <w:pPr>
              <w:tabs>
                <w:tab w:val="left" w:pos="-720"/>
              </w:tabs>
              <w:spacing w:line="200" w:lineRule="exact"/>
              <w:rPr>
                <w:rFonts w:ascii="Arial" w:hAnsi="Arial" w:cs="Arial"/>
                <w:color w:val="000000" w:themeColor="text1"/>
                <w:spacing w:val="-2"/>
                <w:sz w:val="20"/>
                <w:szCs w:val="20"/>
                <w:lang w:val="hr-HR"/>
              </w:rPr>
            </w:pPr>
          </w:p>
        </w:tc>
        <w:tc>
          <w:tcPr>
            <w:tcW w:w="968" w:type="pct"/>
            <w:vAlign w:val="center"/>
          </w:tcPr>
          <w:p w14:paraId="327F731D" w14:textId="77777777" w:rsidR="004E2F51" w:rsidRPr="004B4498" w:rsidRDefault="004E2F51" w:rsidP="00E032FC">
            <w:pPr>
              <w:pStyle w:val="TH"/>
              <w:spacing w:line="200" w:lineRule="exact"/>
              <w:jc w:val="right"/>
              <w:rPr>
                <w:rFonts w:cs="Arial"/>
                <w:color w:val="000000" w:themeColor="text1"/>
                <w:sz w:val="20"/>
                <w:lang w:val="hr-HR"/>
              </w:rPr>
            </w:pPr>
            <w:bookmarkStart w:id="1032" w:name="_Toc67328058"/>
            <w:r w:rsidRPr="004B4498">
              <w:rPr>
                <w:rFonts w:cs="Arial"/>
                <w:color w:val="000000" w:themeColor="text1"/>
                <w:sz w:val="20"/>
                <w:lang w:val="hr-HR"/>
              </w:rPr>
              <w:t>000 kuna</w:t>
            </w:r>
            <w:bookmarkEnd w:id="1032"/>
          </w:p>
        </w:tc>
        <w:tc>
          <w:tcPr>
            <w:tcW w:w="909" w:type="pct"/>
            <w:vAlign w:val="center"/>
          </w:tcPr>
          <w:p w14:paraId="5E6FF075" w14:textId="77777777" w:rsidR="004E2F51" w:rsidRPr="004B4498" w:rsidRDefault="004E2F51" w:rsidP="00E032FC">
            <w:pPr>
              <w:pStyle w:val="TH"/>
              <w:spacing w:line="200" w:lineRule="exact"/>
              <w:jc w:val="right"/>
              <w:rPr>
                <w:rFonts w:cs="Arial"/>
                <w:color w:val="000000" w:themeColor="text1"/>
                <w:sz w:val="20"/>
                <w:lang w:val="hr-HR"/>
              </w:rPr>
            </w:pPr>
            <w:bookmarkStart w:id="1033" w:name="_Toc67328059"/>
            <w:r w:rsidRPr="004B4498">
              <w:rPr>
                <w:rFonts w:cs="Arial"/>
                <w:color w:val="000000" w:themeColor="text1"/>
                <w:sz w:val="20"/>
                <w:lang w:val="hr-HR"/>
              </w:rPr>
              <w:t>000 kuna</w:t>
            </w:r>
            <w:bookmarkEnd w:id="1033"/>
          </w:p>
        </w:tc>
      </w:tr>
      <w:tr w:rsidR="004E2F51" w:rsidRPr="00BB3F2C" w14:paraId="3DDF3903" w14:textId="77777777" w:rsidTr="00E032FC">
        <w:trPr>
          <w:trHeight w:hRule="exact" w:val="187"/>
        </w:trPr>
        <w:tc>
          <w:tcPr>
            <w:tcW w:w="3123" w:type="pct"/>
            <w:vAlign w:val="bottom"/>
          </w:tcPr>
          <w:p w14:paraId="52C00042" w14:textId="77777777" w:rsidR="004E2F51" w:rsidRPr="004B4498" w:rsidRDefault="004E2F51" w:rsidP="00E032FC">
            <w:pPr>
              <w:tabs>
                <w:tab w:val="left" w:pos="-720"/>
              </w:tabs>
              <w:spacing w:line="200" w:lineRule="exact"/>
              <w:jc w:val="right"/>
              <w:rPr>
                <w:rFonts w:ascii="Arial" w:hAnsi="Arial" w:cs="Arial"/>
                <w:color w:val="000000" w:themeColor="text1"/>
                <w:spacing w:val="-2"/>
                <w:sz w:val="20"/>
                <w:szCs w:val="20"/>
                <w:lang w:val="hr-HR"/>
              </w:rPr>
            </w:pPr>
          </w:p>
        </w:tc>
        <w:tc>
          <w:tcPr>
            <w:tcW w:w="968" w:type="pct"/>
            <w:vAlign w:val="bottom"/>
          </w:tcPr>
          <w:p w14:paraId="2AD6D259" w14:textId="77777777" w:rsidR="004E2F51" w:rsidRPr="004B4498" w:rsidRDefault="004E2F51" w:rsidP="00E032FC">
            <w:pPr>
              <w:tabs>
                <w:tab w:val="left" w:pos="-720"/>
              </w:tabs>
              <w:spacing w:line="200" w:lineRule="exact"/>
              <w:rPr>
                <w:rFonts w:ascii="Arial" w:hAnsi="Arial" w:cs="Arial"/>
                <w:b/>
                <w:color w:val="000000" w:themeColor="text1"/>
                <w:spacing w:val="-2"/>
                <w:sz w:val="20"/>
                <w:szCs w:val="20"/>
                <w:lang w:val="hr-HR"/>
              </w:rPr>
            </w:pPr>
          </w:p>
        </w:tc>
        <w:tc>
          <w:tcPr>
            <w:tcW w:w="909" w:type="pct"/>
            <w:vAlign w:val="bottom"/>
          </w:tcPr>
          <w:p w14:paraId="0E50692A" w14:textId="77777777" w:rsidR="004E2F51" w:rsidRPr="004B4498" w:rsidRDefault="004E2F51" w:rsidP="00E032FC">
            <w:pPr>
              <w:tabs>
                <w:tab w:val="left" w:pos="-720"/>
              </w:tabs>
              <w:spacing w:line="200" w:lineRule="exact"/>
              <w:jc w:val="right"/>
              <w:rPr>
                <w:rFonts w:ascii="Arial" w:hAnsi="Arial" w:cs="Arial"/>
                <w:b/>
                <w:color w:val="000000" w:themeColor="text1"/>
                <w:spacing w:val="-2"/>
                <w:sz w:val="20"/>
                <w:szCs w:val="20"/>
                <w:lang w:val="hr-HR"/>
              </w:rPr>
            </w:pPr>
          </w:p>
        </w:tc>
      </w:tr>
      <w:tr w:rsidR="004E2F51" w:rsidRPr="00BB3F2C" w14:paraId="3AD00BFA" w14:textId="77777777" w:rsidTr="00E032FC">
        <w:trPr>
          <w:trHeight w:val="283"/>
        </w:trPr>
        <w:tc>
          <w:tcPr>
            <w:tcW w:w="3123" w:type="pct"/>
            <w:vAlign w:val="bottom"/>
          </w:tcPr>
          <w:p w14:paraId="379B103E" w14:textId="77777777" w:rsidR="004E2F51" w:rsidRPr="004B4498" w:rsidRDefault="004E2F51" w:rsidP="00E032FC">
            <w:pPr>
              <w:pStyle w:val="TT"/>
              <w:rPr>
                <w:rFonts w:cs="Arial"/>
                <w:sz w:val="20"/>
                <w:lang w:val="hr-HR"/>
              </w:rPr>
            </w:pPr>
            <w:bookmarkStart w:id="1034" w:name="_Toc67328060"/>
            <w:r w:rsidRPr="004B4498">
              <w:rPr>
                <w:rFonts w:cs="Arial"/>
                <w:sz w:val="20"/>
                <w:lang w:val="hr-HR"/>
              </w:rPr>
              <w:t>Domaća trgovačka društva</w:t>
            </w:r>
            <w:bookmarkEnd w:id="1034"/>
          </w:p>
        </w:tc>
        <w:tc>
          <w:tcPr>
            <w:tcW w:w="968" w:type="pct"/>
            <w:tcBorders>
              <w:top w:val="nil"/>
              <w:left w:val="nil"/>
              <w:bottom w:val="nil"/>
              <w:right w:val="nil"/>
            </w:tcBorders>
            <w:shd w:val="clear" w:color="auto" w:fill="auto"/>
            <w:vAlign w:val="bottom"/>
          </w:tcPr>
          <w:p w14:paraId="52CAE06E" w14:textId="77777777" w:rsidR="004E2F51" w:rsidRPr="004B4498" w:rsidRDefault="004E2F51" w:rsidP="00E032FC">
            <w:pPr>
              <w:pStyle w:val="TT"/>
              <w:jc w:val="right"/>
              <w:rPr>
                <w:rFonts w:cs="Arial"/>
                <w:sz w:val="20"/>
                <w:lang w:val="en-US"/>
              </w:rPr>
            </w:pPr>
            <w:r w:rsidRPr="00DA3A0E">
              <w:rPr>
                <w:rFonts w:cs="Arial"/>
                <w:sz w:val="20"/>
                <w:lang w:val="en-US"/>
              </w:rPr>
              <w:t xml:space="preserve"> 12.524.118 </w:t>
            </w:r>
          </w:p>
        </w:tc>
        <w:tc>
          <w:tcPr>
            <w:tcW w:w="909" w:type="pct"/>
            <w:tcBorders>
              <w:top w:val="nil"/>
              <w:left w:val="nil"/>
              <w:bottom w:val="nil"/>
              <w:right w:val="nil"/>
            </w:tcBorders>
            <w:shd w:val="clear" w:color="auto" w:fill="auto"/>
            <w:vAlign w:val="bottom"/>
          </w:tcPr>
          <w:p w14:paraId="4C10C7DB" w14:textId="77777777" w:rsidR="004E2F51" w:rsidRPr="004B4498" w:rsidRDefault="004E2F51" w:rsidP="00E032FC">
            <w:pPr>
              <w:pStyle w:val="TT"/>
              <w:jc w:val="right"/>
              <w:rPr>
                <w:rFonts w:cs="Arial"/>
                <w:sz w:val="20"/>
                <w:lang w:val="en-US"/>
              </w:rPr>
            </w:pPr>
            <w:r w:rsidRPr="004B4498">
              <w:rPr>
                <w:rFonts w:cs="Arial"/>
                <w:sz w:val="20"/>
                <w:lang w:val="en-US"/>
              </w:rPr>
              <w:t>11.570.002</w:t>
            </w:r>
          </w:p>
        </w:tc>
      </w:tr>
      <w:tr w:rsidR="004E2F51" w:rsidRPr="00BB3F2C" w14:paraId="54F1CC3E" w14:textId="77777777" w:rsidTr="00E032FC">
        <w:trPr>
          <w:trHeight w:val="283"/>
        </w:trPr>
        <w:tc>
          <w:tcPr>
            <w:tcW w:w="3123" w:type="pct"/>
            <w:vAlign w:val="bottom"/>
          </w:tcPr>
          <w:p w14:paraId="5A68537B" w14:textId="77777777" w:rsidR="004E2F51" w:rsidRPr="004B4498" w:rsidRDefault="004E2F51" w:rsidP="00E032FC">
            <w:pPr>
              <w:pStyle w:val="TT"/>
              <w:rPr>
                <w:rFonts w:cs="Arial"/>
                <w:sz w:val="20"/>
                <w:lang w:val="hr-HR"/>
              </w:rPr>
            </w:pPr>
            <w:bookmarkStart w:id="1035" w:name="_Toc67328063"/>
            <w:r w:rsidRPr="004B4498">
              <w:rPr>
                <w:rFonts w:cs="Arial"/>
                <w:sz w:val="20"/>
                <w:lang w:val="hr-HR"/>
              </w:rPr>
              <w:t>Državna trgovačka društva</w:t>
            </w:r>
            <w:bookmarkEnd w:id="1035"/>
          </w:p>
        </w:tc>
        <w:tc>
          <w:tcPr>
            <w:tcW w:w="968" w:type="pct"/>
            <w:tcBorders>
              <w:top w:val="nil"/>
              <w:left w:val="nil"/>
              <w:bottom w:val="nil"/>
              <w:right w:val="nil"/>
            </w:tcBorders>
            <w:shd w:val="clear" w:color="auto" w:fill="auto"/>
            <w:vAlign w:val="bottom"/>
          </w:tcPr>
          <w:p w14:paraId="6F577178" w14:textId="77777777" w:rsidR="004E2F51" w:rsidRPr="004B4498" w:rsidRDefault="004E2F51" w:rsidP="00E032FC">
            <w:pPr>
              <w:pStyle w:val="TT"/>
              <w:jc w:val="right"/>
              <w:rPr>
                <w:rFonts w:cs="Arial"/>
                <w:sz w:val="20"/>
                <w:lang w:val="en-US"/>
              </w:rPr>
            </w:pPr>
            <w:r w:rsidRPr="00DA3A0E">
              <w:rPr>
                <w:rFonts w:cs="Arial"/>
                <w:sz w:val="20"/>
                <w:lang w:val="en-US"/>
              </w:rPr>
              <w:t xml:space="preserve"> 1.575.527 </w:t>
            </w:r>
          </w:p>
        </w:tc>
        <w:tc>
          <w:tcPr>
            <w:tcW w:w="909" w:type="pct"/>
            <w:tcBorders>
              <w:top w:val="nil"/>
              <w:left w:val="nil"/>
              <w:bottom w:val="nil"/>
              <w:right w:val="nil"/>
            </w:tcBorders>
            <w:shd w:val="clear" w:color="auto" w:fill="auto"/>
            <w:vAlign w:val="bottom"/>
          </w:tcPr>
          <w:p w14:paraId="08A8F5FE" w14:textId="77777777" w:rsidR="004E2F51" w:rsidRPr="004B4498" w:rsidRDefault="004E2F51" w:rsidP="00E032FC">
            <w:pPr>
              <w:pStyle w:val="TT"/>
              <w:jc w:val="right"/>
              <w:rPr>
                <w:rFonts w:cs="Arial"/>
                <w:sz w:val="20"/>
                <w:lang w:val="en-US"/>
              </w:rPr>
            </w:pPr>
            <w:r w:rsidRPr="004B4498">
              <w:rPr>
                <w:rFonts w:cs="Arial"/>
                <w:sz w:val="20"/>
                <w:lang w:val="en-US"/>
              </w:rPr>
              <w:t>917.403</w:t>
            </w:r>
          </w:p>
        </w:tc>
      </w:tr>
      <w:tr w:rsidR="004E2F51" w:rsidRPr="00BB3F2C" w14:paraId="4EB35059" w14:textId="77777777" w:rsidTr="00E032FC">
        <w:trPr>
          <w:trHeight w:val="283"/>
        </w:trPr>
        <w:tc>
          <w:tcPr>
            <w:tcW w:w="3123" w:type="pct"/>
            <w:vAlign w:val="bottom"/>
          </w:tcPr>
          <w:p w14:paraId="5B353E7D" w14:textId="77777777" w:rsidR="004E2F51" w:rsidRPr="004B4498" w:rsidRDefault="004E2F51" w:rsidP="00E032FC">
            <w:pPr>
              <w:pStyle w:val="TT"/>
              <w:rPr>
                <w:rFonts w:cs="Arial"/>
                <w:sz w:val="20"/>
                <w:lang w:val="hr-HR"/>
              </w:rPr>
            </w:pPr>
            <w:bookmarkStart w:id="1036" w:name="_Toc67328066"/>
            <w:r w:rsidRPr="004B4498">
              <w:rPr>
                <w:rFonts w:cs="Arial"/>
                <w:sz w:val="20"/>
                <w:lang w:val="hr-HR"/>
              </w:rPr>
              <w:t>Javni sektor</w:t>
            </w:r>
            <w:bookmarkEnd w:id="1036"/>
          </w:p>
        </w:tc>
        <w:tc>
          <w:tcPr>
            <w:tcW w:w="968" w:type="pct"/>
            <w:tcBorders>
              <w:top w:val="nil"/>
              <w:left w:val="nil"/>
              <w:bottom w:val="nil"/>
              <w:right w:val="nil"/>
            </w:tcBorders>
            <w:shd w:val="clear" w:color="auto" w:fill="auto"/>
            <w:vAlign w:val="bottom"/>
          </w:tcPr>
          <w:p w14:paraId="24AB24B1" w14:textId="77777777" w:rsidR="004E2F51" w:rsidRPr="004B4498" w:rsidRDefault="004E2F51" w:rsidP="00E032FC">
            <w:pPr>
              <w:pStyle w:val="TT"/>
              <w:jc w:val="right"/>
              <w:rPr>
                <w:rFonts w:cs="Arial"/>
                <w:sz w:val="20"/>
                <w:lang w:val="en-US"/>
              </w:rPr>
            </w:pPr>
            <w:r w:rsidRPr="00DA3A0E">
              <w:rPr>
                <w:rFonts w:cs="Arial"/>
                <w:sz w:val="20"/>
                <w:lang w:val="en-US"/>
              </w:rPr>
              <w:t xml:space="preserve"> 5.940.309 </w:t>
            </w:r>
          </w:p>
        </w:tc>
        <w:tc>
          <w:tcPr>
            <w:tcW w:w="909" w:type="pct"/>
            <w:tcBorders>
              <w:top w:val="nil"/>
              <w:left w:val="nil"/>
              <w:bottom w:val="nil"/>
              <w:right w:val="nil"/>
            </w:tcBorders>
            <w:shd w:val="clear" w:color="auto" w:fill="auto"/>
            <w:vAlign w:val="bottom"/>
          </w:tcPr>
          <w:p w14:paraId="54AB67A0" w14:textId="77777777" w:rsidR="004E2F51" w:rsidRPr="004B4498" w:rsidRDefault="004E2F51" w:rsidP="00E032FC">
            <w:pPr>
              <w:pStyle w:val="TT"/>
              <w:jc w:val="right"/>
              <w:rPr>
                <w:rFonts w:cs="Arial"/>
                <w:sz w:val="20"/>
                <w:lang w:val="en-US"/>
              </w:rPr>
            </w:pPr>
            <w:r w:rsidRPr="004B4498">
              <w:rPr>
                <w:rFonts w:cs="Arial"/>
                <w:sz w:val="20"/>
                <w:lang w:val="en-US"/>
              </w:rPr>
              <w:t>5.545.114</w:t>
            </w:r>
          </w:p>
        </w:tc>
      </w:tr>
      <w:tr w:rsidR="004E2F51" w:rsidRPr="00BB3F2C" w14:paraId="032344F6" w14:textId="77777777" w:rsidTr="00E032FC">
        <w:trPr>
          <w:trHeight w:val="283"/>
        </w:trPr>
        <w:tc>
          <w:tcPr>
            <w:tcW w:w="3123" w:type="pct"/>
            <w:vAlign w:val="bottom"/>
          </w:tcPr>
          <w:p w14:paraId="501E3D66" w14:textId="77777777" w:rsidR="004E2F51" w:rsidRPr="004B4498" w:rsidRDefault="004E2F51" w:rsidP="00E032FC">
            <w:pPr>
              <w:pStyle w:val="TT"/>
              <w:rPr>
                <w:rFonts w:cs="Arial"/>
                <w:sz w:val="20"/>
                <w:lang w:val="hr-HR"/>
              </w:rPr>
            </w:pPr>
            <w:bookmarkStart w:id="1037" w:name="_Toc67328069"/>
            <w:r w:rsidRPr="004B4498">
              <w:rPr>
                <w:rFonts w:cs="Arial"/>
                <w:sz w:val="20"/>
                <w:lang w:val="hr-HR"/>
              </w:rPr>
              <w:t>Strane pravne osobe</w:t>
            </w:r>
            <w:bookmarkEnd w:id="1037"/>
          </w:p>
        </w:tc>
        <w:tc>
          <w:tcPr>
            <w:tcW w:w="968" w:type="pct"/>
            <w:tcBorders>
              <w:top w:val="nil"/>
              <w:left w:val="nil"/>
              <w:bottom w:val="nil"/>
              <w:right w:val="nil"/>
            </w:tcBorders>
            <w:shd w:val="clear" w:color="auto" w:fill="auto"/>
            <w:vAlign w:val="bottom"/>
          </w:tcPr>
          <w:p w14:paraId="33264E71" w14:textId="77777777" w:rsidR="004E2F51" w:rsidRPr="004B4498" w:rsidRDefault="004E2F51" w:rsidP="00E032FC">
            <w:pPr>
              <w:pStyle w:val="TT"/>
              <w:jc w:val="right"/>
              <w:rPr>
                <w:rFonts w:cs="Arial"/>
                <w:sz w:val="20"/>
                <w:lang w:val="en-US"/>
              </w:rPr>
            </w:pPr>
            <w:r w:rsidRPr="00DA3A0E">
              <w:rPr>
                <w:rFonts w:cs="Arial"/>
                <w:sz w:val="20"/>
                <w:lang w:val="en-US"/>
              </w:rPr>
              <w:t xml:space="preserve"> 96.453 </w:t>
            </w:r>
          </w:p>
        </w:tc>
        <w:tc>
          <w:tcPr>
            <w:tcW w:w="909" w:type="pct"/>
            <w:tcBorders>
              <w:top w:val="nil"/>
              <w:left w:val="nil"/>
              <w:bottom w:val="nil"/>
              <w:right w:val="nil"/>
            </w:tcBorders>
            <w:shd w:val="clear" w:color="auto" w:fill="auto"/>
            <w:vAlign w:val="bottom"/>
          </w:tcPr>
          <w:p w14:paraId="5F9C1D77" w14:textId="77777777" w:rsidR="004E2F51" w:rsidRPr="004B4498" w:rsidRDefault="004E2F51" w:rsidP="00E032FC">
            <w:pPr>
              <w:pStyle w:val="TT"/>
              <w:jc w:val="right"/>
              <w:rPr>
                <w:rFonts w:cs="Arial"/>
                <w:sz w:val="20"/>
                <w:lang w:val="en-US"/>
              </w:rPr>
            </w:pPr>
            <w:r w:rsidRPr="004B4498">
              <w:rPr>
                <w:rFonts w:cs="Arial"/>
                <w:sz w:val="20"/>
                <w:lang w:val="en-US"/>
              </w:rPr>
              <w:t>377.281</w:t>
            </w:r>
          </w:p>
        </w:tc>
      </w:tr>
      <w:tr w:rsidR="004E2F51" w:rsidRPr="00BB3F2C" w14:paraId="0E677F29" w14:textId="77777777" w:rsidTr="00E032FC">
        <w:trPr>
          <w:trHeight w:val="283"/>
        </w:trPr>
        <w:tc>
          <w:tcPr>
            <w:tcW w:w="3123" w:type="pct"/>
            <w:vAlign w:val="bottom"/>
          </w:tcPr>
          <w:p w14:paraId="7B1945F7" w14:textId="77777777" w:rsidR="004E2F51" w:rsidRPr="004B4498" w:rsidRDefault="004E2F51" w:rsidP="00E032FC">
            <w:pPr>
              <w:pStyle w:val="TT"/>
              <w:rPr>
                <w:rFonts w:cs="Arial"/>
                <w:sz w:val="20"/>
                <w:lang w:val="hr-HR"/>
              </w:rPr>
            </w:pPr>
            <w:bookmarkStart w:id="1038" w:name="_Toc67328075"/>
            <w:r w:rsidRPr="004B4498">
              <w:rPr>
                <w:rFonts w:cs="Arial"/>
                <w:sz w:val="20"/>
                <w:lang w:val="hr-HR"/>
              </w:rPr>
              <w:t>Ostali</w:t>
            </w:r>
            <w:bookmarkEnd w:id="1038"/>
          </w:p>
        </w:tc>
        <w:tc>
          <w:tcPr>
            <w:tcW w:w="968" w:type="pct"/>
            <w:tcBorders>
              <w:top w:val="nil"/>
              <w:left w:val="nil"/>
              <w:bottom w:val="nil"/>
              <w:right w:val="nil"/>
            </w:tcBorders>
            <w:shd w:val="clear" w:color="auto" w:fill="auto"/>
            <w:vAlign w:val="bottom"/>
          </w:tcPr>
          <w:p w14:paraId="139E0235" w14:textId="77777777" w:rsidR="004E2F51" w:rsidRPr="004B4498" w:rsidRDefault="004E2F51" w:rsidP="00E032FC">
            <w:pPr>
              <w:pStyle w:val="TT"/>
              <w:jc w:val="right"/>
              <w:rPr>
                <w:rFonts w:cs="Arial"/>
                <w:sz w:val="20"/>
                <w:lang w:val="en-US"/>
              </w:rPr>
            </w:pPr>
            <w:r w:rsidRPr="00DA3A0E">
              <w:rPr>
                <w:rFonts w:cs="Arial"/>
                <w:sz w:val="20"/>
                <w:lang w:val="en-US"/>
              </w:rPr>
              <w:t xml:space="preserve"> 469.801 </w:t>
            </w:r>
          </w:p>
        </w:tc>
        <w:tc>
          <w:tcPr>
            <w:tcW w:w="909" w:type="pct"/>
            <w:tcBorders>
              <w:top w:val="nil"/>
              <w:left w:val="nil"/>
              <w:bottom w:val="nil"/>
              <w:right w:val="nil"/>
            </w:tcBorders>
            <w:shd w:val="clear" w:color="auto" w:fill="auto"/>
            <w:vAlign w:val="bottom"/>
          </w:tcPr>
          <w:p w14:paraId="2FC75DD5" w14:textId="77777777" w:rsidR="004E2F51" w:rsidRPr="004B4498" w:rsidRDefault="004E2F51" w:rsidP="00E032FC">
            <w:pPr>
              <w:pStyle w:val="TT"/>
              <w:jc w:val="right"/>
              <w:rPr>
                <w:rFonts w:cs="Arial"/>
                <w:sz w:val="20"/>
                <w:lang w:val="en-US"/>
              </w:rPr>
            </w:pPr>
            <w:r w:rsidRPr="004B4498">
              <w:rPr>
                <w:rFonts w:cs="Arial"/>
                <w:sz w:val="20"/>
                <w:lang w:val="en-US"/>
              </w:rPr>
              <w:t>498.027</w:t>
            </w:r>
          </w:p>
        </w:tc>
      </w:tr>
      <w:tr w:rsidR="004E2F51" w:rsidRPr="00BB3F2C" w14:paraId="7BCED93F" w14:textId="77777777" w:rsidTr="00E032FC">
        <w:trPr>
          <w:trHeight w:val="283"/>
        </w:trPr>
        <w:tc>
          <w:tcPr>
            <w:tcW w:w="3123" w:type="pct"/>
            <w:vAlign w:val="bottom"/>
          </w:tcPr>
          <w:p w14:paraId="33860603" w14:textId="77777777" w:rsidR="004E2F51" w:rsidRPr="004B4498" w:rsidRDefault="004E2F51" w:rsidP="00E032FC">
            <w:pPr>
              <w:pStyle w:val="TT"/>
              <w:rPr>
                <w:rFonts w:cs="Arial"/>
                <w:sz w:val="20"/>
                <w:lang w:val="hr-HR"/>
              </w:rPr>
            </w:pPr>
            <w:bookmarkStart w:id="1039" w:name="_Toc67328078"/>
            <w:r w:rsidRPr="004B4498">
              <w:rPr>
                <w:rFonts w:cs="Arial"/>
                <w:sz w:val="20"/>
                <w:lang w:val="hr-HR"/>
              </w:rPr>
              <w:t>Obračunata kamata</w:t>
            </w:r>
            <w:bookmarkEnd w:id="1039"/>
          </w:p>
        </w:tc>
        <w:tc>
          <w:tcPr>
            <w:tcW w:w="968" w:type="pct"/>
            <w:tcBorders>
              <w:top w:val="nil"/>
              <w:left w:val="nil"/>
              <w:bottom w:val="nil"/>
              <w:right w:val="nil"/>
            </w:tcBorders>
            <w:shd w:val="clear" w:color="auto" w:fill="auto"/>
            <w:vAlign w:val="bottom"/>
          </w:tcPr>
          <w:p w14:paraId="37A16AD2" w14:textId="77777777" w:rsidR="004E2F51" w:rsidRPr="004B4498" w:rsidRDefault="004E2F51" w:rsidP="00E032FC">
            <w:pPr>
              <w:pStyle w:val="TT"/>
              <w:jc w:val="right"/>
              <w:rPr>
                <w:rFonts w:cs="Arial"/>
                <w:sz w:val="20"/>
                <w:lang w:val="en-US"/>
              </w:rPr>
            </w:pPr>
            <w:r w:rsidRPr="00DA3A0E">
              <w:rPr>
                <w:rFonts w:cs="Arial"/>
                <w:sz w:val="20"/>
                <w:lang w:val="en-US"/>
              </w:rPr>
              <w:t xml:space="preserve"> 326.389 </w:t>
            </w:r>
          </w:p>
        </w:tc>
        <w:tc>
          <w:tcPr>
            <w:tcW w:w="909" w:type="pct"/>
            <w:tcBorders>
              <w:top w:val="nil"/>
              <w:left w:val="nil"/>
              <w:bottom w:val="nil"/>
              <w:right w:val="nil"/>
            </w:tcBorders>
            <w:shd w:val="clear" w:color="auto" w:fill="auto"/>
            <w:vAlign w:val="bottom"/>
          </w:tcPr>
          <w:p w14:paraId="468BC9F0" w14:textId="77777777" w:rsidR="004E2F51" w:rsidRPr="004B4498" w:rsidRDefault="004E2F51" w:rsidP="00E032FC">
            <w:pPr>
              <w:pStyle w:val="TT"/>
              <w:jc w:val="right"/>
              <w:rPr>
                <w:rFonts w:cs="Arial"/>
                <w:sz w:val="20"/>
                <w:lang w:val="en-US"/>
              </w:rPr>
            </w:pPr>
            <w:r w:rsidRPr="004B4498">
              <w:rPr>
                <w:rFonts w:cs="Arial"/>
                <w:sz w:val="20"/>
                <w:lang w:val="en-US"/>
              </w:rPr>
              <w:t>393.345</w:t>
            </w:r>
          </w:p>
        </w:tc>
      </w:tr>
      <w:tr w:rsidR="004E2F51" w:rsidRPr="00BB3F2C" w14:paraId="63F8722B" w14:textId="77777777" w:rsidTr="00E032FC">
        <w:trPr>
          <w:trHeight w:val="283"/>
        </w:trPr>
        <w:tc>
          <w:tcPr>
            <w:tcW w:w="3123" w:type="pct"/>
            <w:vAlign w:val="bottom"/>
          </w:tcPr>
          <w:p w14:paraId="497136A7" w14:textId="77777777" w:rsidR="004E2F51" w:rsidRPr="004B4498" w:rsidRDefault="004E2F51" w:rsidP="00E032FC">
            <w:pPr>
              <w:pStyle w:val="TT"/>
              <w:rPr>
                <w:rFonts w:cs="Arial"/>
                <w:sz w:val="20"/>
                <w:lang w:val="hr-HR"/>
              </w:rPr>
            </w:pPr>
            <w:bookmarkStart w:id="1040" w:name="_Toc67328081"/>
            <w:r w:rsidRPr="004B4498">
              <w:rPr>
                <w:rFonts w:cs="Arial"/>
                <w:sz w:val="20"/>
                <w:lang w:val="hr-HR"/>
              </w:rPr>
              <w:t>Odgođena naknada po kreditima</w:t>
            </w:r>
            <w:bookmarkEnd w:id="1040"/>
          </w:p>
        </w:tc>
        <w:tc>
          <w:tcPr>
            <w:tcW w:w="968" w:type="pct"/>
            <w:tcBorders>
              <w:top w:val="nil"/>
              <w:left w:val="nil"/>
              <w:right w:val="nil"/>
            </w:tcBorders>
            <w:shd w:val="clear" w:color="auto" w:fill="auto"/>
            <w:vAlign w:val="bottom"/>
          </w:tcPr>
          <w:p w14:paraId="174A8CBF" w14:textId="77777777" w:rsidR="004E2F51" w:rsidRPr="004B4498" w:rsidRDefault="004E2F51" w:rsidP="00E032FC">
            <w:pPr>
              <w:pStyle w:val="TT"/>
              <w:jc w:val="right"/>
              <w:rPr>
                <w:rFonts w:cs="Arial"/>
                <w:sz w:val="20"/>
                <w:lang w:val="en-US"/>
              </w:rPr>
            </w:pPr>
            <w:r w:rsidRPr="00DA3A0E">
              <w:rPr>
                <w:rFonts w:cs="Arial"/>
                <w:sz w:val="20"/>
                <w:lang w:val="en-US"/>
              </w:rPr>
              <w:t xml:space="preserve"> (74.906)</w:t>
            </w:r>
          </w:p>
        </w:tc>
        <w:tc>
          <w:tcPr>
            <w:tcW w:w="909" w:type="pct"/>
            <w:tcBorders>
              <w:top w:val="nil"/>
              <w:left w:val="nil"/>
              <w:right w:val="nil"/>
            </w:tcBorders>
            <w:shd w:val="clear" w:color="auto" w:fill="auto"/>
            <w:vAlign w:val="bottom"/>
          </w:tcPr>
          <w:p w14:paraId="22063A54" w14:textId="77777777" w:rsidR="004E2F51" w:rsidRPr="004B4498" w:rsidRDefault="004E2F51" w:rsidP="00E032FC">
            <w:pPr>
              <w:pStyle w:val="TT"/>
              <w:jc w:val="right"/>
              <w:rPr>
                <w:rFonts w:cs="Arial"/>
                <w:sz w:val="20"/>
                <w:lang w:val="en-US"/>
              </w:rPr>
            </w:pPr>
            <w:r w:rsidRPr="004B4498">
              <w:rPr>
                <w:rFonts w:cs="Arial"/>
                <w:sz w:val="20"/>
                <w:lang w:val="en-US"/>
              </w:rPr>
              <w:t>(80.880)</w:t>
            </w:r>
          </w:p>
        </w:tc>
      </w:tr>
      <w:tr w:rsidR="004E2F51" w:rsidRPr="00BB3F2C" w14:paraId="23D3A04A" w14:textId="77777777" w:rsidTr="00E032FC">
        <w:trPr>
          <w:trHeight w:val="283"/>
        </w:trPr>
        <w:tc>
          <w:tcPr>
            <w:tcW w:w="3123" w:type="pct"/>
            <w:vAlign w:val="bottom"/>
          </w:tcPr>
          <w:p w14:paraId="4D40CAAA" w14:textId="77777777" w:rsidR="004E2F51" w:rsidRPr="004B4498" w:rsidRDefault="004E2F51" w:rsidP="00E032FC">
            <w:pPr>
              <w:pStyle w:val="Tot"/>
              <w:spacing w:line="200" w:lineRule="exact"/>
              <w:rPr>
                <w:rFonts w:cs="Arial"/>
                <w:color w:val="000000" w:themeColor="text1"/>
                <w:spacing w:val="-3"/>
                <w:sz w:val="20"/>
                <w:lang w:val="hr-HR"/>
              </w:rPr>
            </w:pPr>
          </w:p>
        </w:tc>
        <w:tc>
          <w:tcPr>
            <w:tcW w:w="968" w:type="pct"/>
            <w:tcBorders>
              <w:top w:val="single" w:sz="4" w:space="0" w:color="auto"/>
              <w:bottom w:val="single" w:sz="4" w:space="0" w:color="auto"/>
            </w:tcBorders>
            <w:vAlign w:val="bottom"/>
          </w:tcPr>
          <w:p w14:paraId="49ABBCF1" w14:textId="77777777" w:rsidR="004E2F51" w:rsidRPr="004B4498" w:rsidRDefault="004E2F51" w:rsidP="00E032FC">
            <w:pPr>
              <w:pStyle w:val="TT"/>
              <w:jc w:val="right"/>
              <w:rPr>
                <w:rFonts w:cs="Arial"/>
                <w:sz w:val="20"/>
                <w:lang w:val="en-US"/>
              </w:rPr>
            </w:pPr>
            <w:r w:rsidRPr="00DA3A0E">
              <w:rPr>
                <w:rFonts w:cs="Arial"/>
                <w:sz w:val="20"/>
                <w:lang w:val="en-US"/>
              </w:rPr>
              <w:t>20.857.691</w:t>
            </w:r>
          </w:p>
        </w:tc>
        <w:tc>
          <w:tcPr>
            <w:tcW w:w="909" w:type="pct"/>
            <w:tcBorders>
              <w:top w:val="single" w:sz="4" w:space="0" w:color="auto"/>
              <w:bottom w:val="single" w:sz="4" w:space="0" w:color="auto"/>
            </w:tcBorders>
            <w:vAlign w:val="bottom"/>
          </w:tcPr>
          <w:p w14:paraId="5C7C3394" w14:textId="77777777" w:rsidR="004E2F51" w:rsidRPr="004B4498" w:rsidRDefault="004E2F51" w:rsidP="00E032FC">
            <w:pPr>
              <w:pStyle w:val="TT"/>
              <w:jc w:val="right"/>
              <w:rPr>
                <w:rFonts w:cs="Arial"/>
                <w:sz w:val="20"/>
                <w:lang w:val="en-US"/>
              </w:rPr>
            </w:pPr>
            <w:r w:rsidRPr="004B4498">
              <w:rPr>
                <w:rFonts w:cs="Arial"/>
                <w:sz w:val="20"/>
                <w:lang w:val="en-US"/>
              </w:rPr>
              <w:t>19.220.292</w:t>
            </w:r>
          </w:p>
        </w:tc>
      </w:tr>
      <w:tr w:rsidR="004E2F51" w:rsidRPr="00BB3F2C" w14:paraId="4392A353" w14:textId="77777777" w:rsidTr="00E032FC">
        <w:trPr>
          <w:trHeight w:val="283"/>
        </w:trPr>
        <w:tc>
          <w:tcPr>
            <w:tcW w:w="3123" w:type="pct"/>
            <w:vAlign w:val="bottom"/>
          </w:tcPr>
          <w:p w14:paraId="08B90377" w14:textId="77777777" w:rsidR="004E2F51" w:rsidRPr="004B4498" w:rsidRDefault="004E2F51" w:rsidP="00E032FC">
            <w:pPr>
              <w:pStyle w:val="TT"/>
              <w:spacing w:line="200" w:lineRule="exact"/>
              <w:rPr>
                <w:rFonts w:cs="Arial"/>
                <w:color w:val="000000" w:themeColor="text1"/>
                <w:sz w:val="20"/>
                <w:lang w:val="hr-HR"/>
              </w:rPr>
            </w:pPr>
            <w:bookmarkStart w:id="1041" w:name="_Toc67328086"/>
            <w:r w:rsidRPr="004B4498">
              <w:rPr>
                <w:rFonts w:cs="Arial"/>
                <w:color w:val="000000" w:themeColor="text1"/>
                <w:sz w:val="20"/>
                <w:lang w:val="hr-HR"/>
              </w:rPr>
              <w:t>Rezerviranja za očekivane gubitke</w:t>
            </w:r>
            <w:bookmarkEnd w:id="1041"/>
          </w:p>
        </w:tc>
        <w:tc>
          <w:tcPr>
            <w:tcW w:w="968" w:type="pct"/>
            <w:tcBorders>
              <w:top w:val="single" w:sz="4" w:space="0" w:color="auto"/>
              <w:bottom w:val="single" w:sz="4" w:space="0" w:color="auto"/>
            </w:tcBorders>
            <w:vAlign w:val="bottom"/>
          </w:tcPr>
          <w:p w14:paraId="3CC691C5" w14:textId="77777777" w:rsidR="004E2F51" w:rsidRPr="004B4498" w:rsidRDefault="004E2F51" w:rsidP="00E032FC">
            <w:pPr>
              <w:pStyle w:val="TT"/>
              <w:jc w:val="right"/>
              <w:rPr>
                <w:rFonts w:cs="Arial"/>
                <w:sz w:val="20"/>
                <w:lang w:val="en-US"/>
              </w:rPr>
            </w:pPr>
            <w:r w:rsidRPr="00DA3A0E">
              <w:rPr>
                <w:rFonts w:cs="Arial"/>
                <w:sz w:val="20"/>
                <w:lang w:val="en-US"/>
              </w:rPr>
              <w:t>(3.455.025)</w:t>
            </w:r>
          </w:p>
        </w:tc>
        <w:tc>
          <w:tcPr>
            <w:tcW w:w="909" w:type="pct"/>
            <w:tcBorders>
              <w:top w:val="single" w:sz="4" w:space="0" w:color="auto"/>
              <w:bottom w:val="single" w:sz="4" w:space="0" w:color="auto"/>
            </w:tcBorders>
            <w:vAlign w:val="bottom"/>
          </w:tcPr>
          <w:p w14:paraId="28D30C7B" w14:textId="77777777" w:rsidR="004E2F51" w:rsidRPr="004B4498" w:rsidRDefault="004E2F51" w:rsidP="00E032FC">
            <w:pPr>
              <w:pStyle w:val="TT"/>
              <w:jc w:val="right"/>
              <w:rPr>
                <w:rFonts w:cs="Arial"/>
                <w:sz w:val="20"/>
                <w:lang w:val="en-US"/>
              </w:rPr>
            </w:pPr>
            <w:r w:rsidRPr="004B4498">
              <w:rPr>
                <w:rFonts w:cs="Arial"/>
                <w:sz w:val="20"/>
                <w:lang w:val="en-US"/>
              </w:rPr>
              <w:t>(3.255.916)</w:t>
            </w:r>
          </w:p>
        </w:tc>
      </w:tr>
      <w:tr w:rsidR="004E2F51" w:rsidRPr="00BB3F2C" w14:paraId="44F3F410" w14:textId="77777777" w:rsidTr="00E032FC">
        <w:trPr>
          <w:trHeight w:val="340"/>
        </w:trPr>
        <w:tc>
          <w:tcPr>
            <w:tcW w:w="3123" w:type="pct"/>
            <w:vAlign w:val="bottom"/>
          </w:tcPr>
          <w:p w14:paraId="6B907C6B" w14:textId="77777777" w:rsidR="004E2F51" w:rsidRPr="004B4498" w:rsidRDefault="004E2F51" w:rsidP="00E032FC">
            <w:pPr>
              <w:pStyle w:val="Tot"/>
              <w:spacing w:line="200" w:lineRule="exact"/>
              <w:rPr>
                <w:rFonts w:cs="Arial"/>
                <w:b/>
                <w:bCs/>
                <w:color w:val="000000" w:themeColor="text1"/>
                <w:sz w:val="20"/>
                <w:lang w:val="hr-HR"/>
              </w:rPr>
            </w:pPr>
          </w:p>
        </w:tc>
        <w:tc>
          <w:tcPr>
            <w:tcW w:w="968" w:type="pct"/>
            <w:tcBorders>
              <w:top w:val="single" w:sz="4" w:space="0" w:color="auto"/>
              <w:bottom w:val="single" w:sz="12" w:space="0" w:color="auto"/>
            </w:tcBorders>
            <w:vAlign w:val="bottom"/>
          </w:tcPr>
          <w:p w14:paraId="210209D6" w14:textId="77777777" w:rsidR="004E2F51" w:rsidRPr="004B4498" w:rsidRDefault="004E2F51" w:rsidP="00E032FC">
            <w:pPr>
              <w:pStyle w:val="TT"/>
              <w:jc w:val="right"/>
              <w:rPr>
                <w:rFonts w:cs="Arial"/>
                <w:b/>
                <w:bCs/>
                <w:sz w:val="20"/>
                <w:lang w:val="en-US"/>
              </w:rPr>
            </w:pPr>
            <w:r w:rsidRPr="00DA3A0E">
              <w:rPr>
                <w:rFonts w:cs="Arial"/>
                <w:b/>
                <w:bCs/>
                <w:sz w:val="20"/>
                <w:lang w:val="en-US"/>
              </w:rPr>
              <w:t>17.402.666</w:t>
            </w:r>
          </w:p>
        </w:tc>
        <w:tc>
          <w:tcPr>
            <w:tcW w:w="909" w:type="pct"/>
            <w:tcBorders>
              <w:top w:val="single" w:sz="4" w:space="0" w:color="auto"/>
              <w:bottom w:val="single" w:sz="12" w:space="0" w:color="auto"/>
            </w:tcBorders>
            <w:vAlign w:val="bottom"/>
          </w:tcPr>
          <w:p w14:paraId="66401F0C" w14:textId="77777777" w:rsidR="004E2F51" w:rsidRPr="004B4498" w:rsidRDefault="004E2F51" w:rsidP="00E032FC">
            <w:pPr>
              <w:pStyle w:val="TT"/>
              <w:jc w:val="right"/>
              <w:rPr>
                <w:rFonts w:cs="Arial"/>
                <w:b/>
                <w:bCs/>
                <w:sz w:val="20"/>
                <w:lang w:val="en-US"/>
              </w:rPr>
            </w:pPr>
            <w:r w:rsidRPr="004B4498">
              <w:rPr>
                <w:rFonts w:cs="Arial"/>
                <w:b/>
                <w:bCs/>
                <w:sz w:val="20"/>
                <w:lang w:val="en-US"/>
              </w:rPr>
              <w:t>15.964.376</w:t>
            </w:r>
          </w:p>
        </w:tc>
      </w:tr>
    </w:tbl>
    <w:p w14:paraId="5DE6E872"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7E70470F"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34630F00" w14:textId="77777777" w:rsidR="004E2F51" w:rsidRPr="004B4498" w:rsidRDefault="004E2F51" w:rsidP="004E2F51">
      <w:pPr>
        <w:jc w:val="both"/>
        <w:rPr>
          <w:rFonts w:ascii="Arial" w:hAnsi="Arial" w:cs="Arial"/>
          <w:color w:val="000000" w:themeColor="text1"/>
          <w:sz w:val="20"/>
          <w:szCs w:val="20"/>
          <w:lang w:val="hr-HR"/>
        </w:rPr>
      </w:pPr>
      <w:bookmarkStart w:id="1042" w:name="_Hlk1482692"/>
      <w:r w:rsidRPr="004B4498">
        <w:rPr>
          <w:rFonts w:ascii="Arial" w:hAnsi="Arial" w:cs="Arial"/>
          <w:color w:val="000000" w:themeColor="text1"/>
          <w:sz w:val="20"/>
          <w:szCs w:val="20"/>
          <w:lang w:val="hr-HR"/>
        </w:rPr>
        <w:t>Sljedeće tablice prikazuju informacije o kreditnoj kvaliteti financijske imovine koja se mjeri po amortiziranom trošku. Iznosi u tablici predstavljaju bruto knjigovodstvene iznose:</w:t>
      </w:r>
      <w:bookmarkEnd w:id="1042"/>
    </w:p>
    <w:p w14:paraId="574332EA" w14:textId="77777777" w:rsidR="004E2F51" w:rsidRPr="004B4498" w:rsidRDefault="004E2F51" w:rsidP="004E2F51">
      <w:pPr>
        <w:jc w:val="both"/>
        <w:rPr>
          <w:rFonts w:ascii="Arial" w:hAnsi="Arial" w:cs="Arial"/>
          <w:color w:val="000000" w:themeColor="text1"/>
          <w:sz w:val="20"/>
          <w:szCs w:val="20"/>
          <w:lang w:val="hr-HR"/>
        </w:rPr>
      </w:pPr>
    </w:p>
    <w:tbl>
      <w:tblPr>
        <w:tblpPr w:leftFromText="180" w:rightFromText="180" w:vertAnchor="text" w:horzAnchor="margin" w:tblpY="23"/>
        <w:tblW w:w="9312" w:type="dxa"/>
        <w:tblLayout w:type="fixed"/>
        <w:tblLook w:val="04A0" w:firstRow="1" w:lastRow="0" w:firstColumn="1" w:lastColumn="0" w:noHBand="0" w:noVBand="1"/>
      </w:tblPr>
      <w:tblGrid>
        <w:gridCol w:w="2680"/>
        <w:gridCol w:w="1325"/>
        <w:gridCol w:w="1325"/>
        <w:gridCol w:w="1326"/>
        <w:gridCol w:w="1325"/>
        <w:gridCol w:w="1331"/>
      </w:tblGrid>
      <w:tr w:rsidR="004E2F51" w:rsidRPr="00C51439" w14:paraId="12964DA5" w14:textId="77777777" w:rsidTr="00E032FC">
        <w:trPr>
          <w:trHeight w:val="50"/>
        </w:trPr>
        <w:tc>
          <w:tcPr>
            <w:tcW w:w="2680" w:type="dxa"/>
            <w:tcBorders>
              <w:top w:val="nil"/>
              <w:left w:val="nil"/>
              <w:bottom w:val="nil"/>
              <w:right w:val="nil"/>
            </w:tcBorders>
            <w:shd w:val="clear" w:color="auto" w:fill="auto"/>
            <w:noWrap/>
            <w:vAlign w:val="bottom"/>
            <w:hideMark/>
          </w:tcPr>
          <w:p w14:paraId="48051286" w14:textId="77777777" w:rsidR="004E2F51" w:rsidRPr="00C51439" w:rsidRDefault="004E2F51" w:rsidP="00E032FC">
            <w:pPr>
              <w:rPr>
                <w:rFonts w:ascii="Arial" w:hAnsi="Arial" w:cs="Arial"/>
                <w:b/>
                <w:color w:val="000000" w:themeColor="text1"/>
                <w:sz w:val="18"/>
                <w:szCs w:val="18"/>
                <w:lang w:val="hr-HR"/>
              </w:rPr>
            </w:pPr>
            <w:r w:rsidRPr="00C51439">
              <w:rPr>
                <w:rFonts w:ascii="Arial" w:hAnsi="Arial" w:cs="Arial"/>
                <w:b/>
                <w:color w:val="000000" w:themeColor="text1"/>
                <w:sz w:val="18"/>
                <w:szCs w:val="18"/>
                <w:lang w:val="hr-HR"/>
              </w:rPr>
              <w:t xml:space="preserve">31. prosinca 2022.    </w:t>
            </w:r>
          </w:p>
        </w:tc>
        <w:tc>
          <w:tcPr>
            <w:tcW w:w="6632" w:type="dxa"/>
            <w:gridSpan w:val="5"/>
            <w:tcBorders>
              <w:top w:val="nil"/>
              <w:left w:val="nil"/>
              <w:bottom w:val="nil"/>
              <w:right w:val="nil"/>
            </w:tcBorders>
            <w:shd w:val="clear" w:color="auto" w:fill="auto"/>
            <w:noWrap/>
            <w:vAlign w:val="bottom"/>
            <w:hideMark/>
          </w:tcPr>
          <w:p w14:paraId="05A47E84"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Grupa i Banka</w:t>
            </w:r>
          </w:p>
        </w:tc>
      </w:tr>
      <w:tr w:rsidR="004E2F51" w:rsidRPr="00C51439" w14:paraId="5E6F97E5" w14:textId="77777777" w:rsidTr="00E032FC">
        <w:trPr>
          <w:trHeight w:val="50"/>
        </w:trPr>
        <w:tc>
          <w:tcPr>
            <w:tcW w:w="2680" w:type="dxa"/>
            <w:tcBorders>
              <w:top w:val="nil"/>
              <w:left w:val="nil"/>
              <w:bottom w:val="nil"/>
              <w:right w:val="nil"/>
            </w:tcBorders>
            <w:shd w:val="clear" w:color="auto" w:fill="auto"/>
            <w:noWrap/>
            <w:vAlign w:val="bottom"/>
            <w:hideMark/>
          </w:tcPr>
          <w:p w14:paraId="2B2D758E" w14:textId="77777777" w:rsidR="004E2F51" w:rsidRPr="00C51439" w:rsidRDefault="004E2F51" w:rsidP="00E032FC">
            <w:pPr>
              <w:jc w:val="right"/>
              <w:rPr>
                <w:rFonts w:ascii="Arial" w:hAnsi="Arial" w:cs="Arial"/>
                <w:b/>
                <w:bCs/>
                <w:color w:val="000000" w:themeColor="text1"/>
                <w:sz w:val="18"/>
                <w:szCs w:val="18"/>
                <w:lang w:val="hr-HR"/>
              </w:rPr>
            </w:pPr>
          </w:p>
        </w:tc>
        <w:tc>
          <w:tcPr>
            <w:tcW w:w="1325" w:type="dxa"/>
            <w:tcBorders>
              <w:top w:val="nil"/>
              <w:left w:val="nil"/>
              <w:bottom w:val="nil"/>
              <w:right w:val="nil"/>
            </w:tcBorders>
            <w:shd w:val="clear" w:color="auto" w:fill="auto"/>
            <w:noWrap/>
            <w:vAlign w:val="bottom"/>
            <w:hideMark/>
          </w:tcPr>
          <w:p w14:paraId="0A038E6C"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1</w:t>
            </w:r>
          </w:p>
        </w:tc>
        <w:tc>
          <w:tcPr>
            <w:tcW w:w="1325" w:type="dxa"/>
            <w:tcBorders>
              <w:top w:val="nil"/>
              <w:left w:val="nil"/>
              <w:bottom w:val="nil"/>
              <w:right w:val="nil"/>
            </w:tcBorders>
            <w:shd w:val="clear" w:color="auto" w:fill="auto"/>
            <w:noWrap/>
            <w:vAlign w:val="bottom"/>
            <w:hideMark/>
          </w:tcPr>
          <w:p w14:paraId="457B83CD"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2</w:t>
            </w:r>
          </w:p>
        </w:tc>
        <w:tc>
          <w:tcPr>
            <w:tcW w:w="1326" w:type="dxa"/>
            <w:tcBorders>
              <w:top w:val="nil"/>
              <w:left w:val="nil"/>
              <w:bottom w:val="nil"/>
              <w:right w:val="nil"/>
            </w:tcBorders>
            <w:shd w:val="clear" w:color="auto" w:fill="auto"/>
            <w:noWrap/>
            <w:vAlign w:val="bottom"/>
            <w:hideMark/>
          </w:tcPr>
          <w:p w14:paraId="2E7C1CA6"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3</w:t>
            </w:r>
          </w:p>
        </w:tc>
        <w:tc>
          <w:tcPr>
            <w:tcW w:w="1325" w:type="dxa"/>
            <w:tcBorders>
              <w:top w:val="nil"/>
              <w:left w:val="nil"/>
              <w:bottom w:val="nil"/>
              <w:right w:val="nil"/>
            </w:tcBorders>
          </w:tcPr>
          <w:p w14:paraId="6A63E997"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POCI</w:t>
            </w:r>
          </w:p>
        </w:tc>
        <w:tc>
          <w:tcPr>
            <w:tcW w:w="1331" w:type="dxa"/>
            <w:tcBorders>
              <w:top w:val="nil"/>
              <w:left w:val="nil"/>
              <w:bottom w:val="nil"/>
              <w:right w:val="nil"/>
            </w:tcBorders>
            <w:shd w:val="clear" w:color="auto" w:fill="auto"/>
            <w:noWrap/>
            <w:vAlign w:val="bottom"/>
            <w:hideMark/>
          </w:tcPr>
          <w:p w14:paraId="1605252B"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Ukupno</w:t>
            </w:r>
          </w:p>
        </w:tc>
      </w:tr>
      <w:tr w:rsidR="004E2F51" w:rsidRPr="00C51439" w14:paraId="260241FB" w14:textId="77777777" w:rsidTr="00E032FC">
        <w:trPr>
          <w:trHeight w:val="50"/>
        </w:trPr>
        <w:tc>
          <w:tcPr>
            <w:tcW w:w="2680" w:type="dxa"/>
            <w:tcBorders>
              <w:top w:val="nil"/>
              <w:left w:val="nil"/>
              <w:bottom w:val="nil"/>
              <w:right w:val="nil"/>
            </w:tcBorders>
            <w:shd w:val="clear" w:color="auto" w:fill="auto"/>
            <w:noWrap/>
            <w:vAlign w:val="bottom"/>
            <w:hideMark/>
          </w:tcPr>
          <w:p w14:paraId="7A230BA6" w14:textId="77777777" w:rsidR="004E2F51" w:rsidRPr="00C51439" w:rsidRDefault="004E2F51" w:rsidP="00E032FC">
            <w:pPr>
              <w:jc w:val="right"/>
              <w:rPr>
                <w:rFonts w:ascii="Arial" w:hAnsi="Arial" w:cs="Arial"/>
                <w:b/>
                <w:bCs/>
                <w:color w:val="000000" w:themeColor="text1"/>
                <w:sz w:val="18"/>
                <w:szCs w:val="18"/>
                <w:lang w:val="hr-HR"/>
              </w:rPr>
            </w:pPr>
          </w:p>
        </w:tc>
        <w:tc>
          <w:tcPr>
            <w:tcW w:w="1325" w:type="dxa"/>
            <w:tcBorders>
              <w:top w:val="nil"/>
              <w:left w:val="nil"/>
              <w:bottom w:val="nil"/>
              <w:right w:val="nil"/>
            </w:tcBorders>
            <w:shd w:val="clear" w:color="auto" w:fill="auto"/>
            <w:noWrap/>
            <w:vAlign w:val="bottom"/>
            <w:hideMark/>
          </w:tcPr>
          <w:p w14:paraId="2D82C8E1"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000 kuna</w:t>
            </w:r>
          </w:p>
        </w:tc>
        <w:tc>
          <w:tcPr>
            <w:tcW w:w="1325" w:type="dxa"/>
            <w:tcBorders>
              <w:top w:val="nil"/>
              <w:left w:val="nil"/>
              <w:bottom w:val="nil"/>
              <w:right w:val="nil"/>
            </w:tcBorders>
            <w:shd w:val="clear" w:color="auto" w:fill="auto"/>
            <w:noWrap/>
            <w:vAlign w:val="bottom"/>
            <w:hideMark/>
          </w:tcPr>
          <w:p w14:paraId="0D613708"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000 kuna</w:t>
            </w:r>
          </w:p>
        </w:tc>
        <w:tc>
          <w:tcPr>
            <w:tcW w:w="1326" w:type="dxa"/>
            <w:tcBorders>
              <w:top w:val="nil"/>
              <w:left w:val="nil"/>
              <w:bottom w:val="nil"/>
              <w:right w:val="nil"/>
            </w:tcBorders>
            <w:shd w:val="clear" w:color="auto" w:fill="auto"/>
            <w:noWrap/>
            <w:vAlign w:val="bottom"/>
            <w:hideMark/>
          </w:tcPr>
          <w:p w14:paraId="6588F8D5"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000 kuna</w:t>
            </w:r>
          </w:p>
        </w:tc>
        <w:tc>
          <w:tcPr>
            <w:tcW w:w="1325" w:type="dxa"/>
            <w:tcBorders>
              <w:top w:val="nil"/>
              <w:left w:val="nil"/>
              <w:bottom w:val="nil"/>
              <w:right w:val="nil"/>
            </w:tcBorders>
          </w:tcPr>
          <w:p w14:paraId="52BEF5CB"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000 kuna</w:t>
            </w:r>
          </w:p>
        </w:tc>
        <w:tc>
          <w:tcPr>
            <w:tcW w:w="1331" w:type="dxa"/>
            <w:tcBorders>
              <w:top w:val="nil"/>
              <w:left w:val="nil"/>
              <w:bottom w:val="nil"/>
              <w:right w:val="nil"/>
            </w:tcBorders>
            <w:shd w:val="clear" w:color="auto" w:fill="auto"/>
            <w:noWrap/>
            <w:vAlign w:val="bottom"/>
            <w:hideMark/>
          </w:tcPr>
          <w:p w14:paraId="02E8549A"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000 kuna</w:t>
            </w:r>
          </w:p>
        </w:tc>
      </w:tr>
      <w:tr w:rsidR="004E2F51" w:rsidRPr="00C51439" w14:paraId="01E48B54" w14:textId="77777777" w:rsidTr="00E032FC">
        <w:trPr>
          <w:trHeight w:val="155"/>
        </w:trPr>
        <w:tc>
          <w:tcPr>
            <w:tcW w:w="2680" w:type="dxa"/>
            <w:tcBorders>
              <w:top w:val="nil"/>
              <w:left w:val="nil"/>
              <w:bottom w:val="nil"/>
              <w:right w:val="nil"/>
            </w:tcBorders>
            <w:shd w:val="clear" w:color="auto" w:fill="auto"/>
            <w:noWrap/>
            <w:vAlign w:val="bottom"/>
          </w:tcPr>
          <w:p w14:paraId="3FAA1034" w14:textId="77777777" w:rsidR="004E2F51" w:rsidRPr="00C51439" w:rsidRDefault="004E2F51" w:rsidP="00E032FC">
            <w:pPr>
              <w:jc w:val="right"/>
              <w:rPr>
                <w:rFonts w:ascii="Arial" w:hAnsi="Arial" w:cs="Arial"/>
                <w:b/>
                <w:bCs/>
                <w:color w:val="000000" w:themeColor="text1"/>
                <w:sz w:val="18"/>
                <w:szCs w:val="18"/>
                <w:lang w:val="hr-HR"/>
              </w:rPr>
            </w:pPr>
          </w:p>
        </w:tc>
        <w:tc>
          <w:tcPr>
            <w:tcW w:w="1325" w:type="dxa"/>
            <w:tcBorders>
              <w:top w:val="nil"/>
              <w:left w:val="nil"/>
              <w:bottom w:val="nil"/>
              <w:right w:val="nil"/>
            </w:tcBorders>
            <w:shd w:val="clear" w:color="auto" w:fill="auto"/>
            <w:noWrap/>
            <w:vAlign w:val="bottom"/>
          </w:tcPr>
          <w:p w14:paraId="7A3C7972" w14:textId="77777777" w:rsidR="004E2F51" w:rsidRPr="00C51439" w:rsidRDefault="004E2F51" w:rsidP="00E032FC">
            <w:pPr>
              <w:jc w:val="right"/>
              <w:rPr>
                <w:rFonts w:ascii="Arial" w:hAnsi="Arial" w:cs="Arial"/>
                <w:b/>
                <w:bCs/>
                <w:color w:val="000000" w:themeColor="text1"/>
                <w:sz w:val="18"/>
                <w:szCs w:val="18"/>
                <w:lang w:val="hr-HR"/>
              </w:rPr>
            </w:pPr>
          </w:p>
        </w:tc>
        <w:tc>
          <w:tcPr>
            <w:tcW w:w="1325" w:type="dxa"/>
            <w:tcBorders>
              <w:top w:val="nil"/>
              <w:left w:val="nil"/>
              <w:bottom w:val="nil"/>
              <w:right w:val="nil"/>
            </w:tcBorders>
            <w:shd w:val="clear" w:color="auto" w:fill="auto"/>
            <w:noWrap/>
            <w:vAlign w:val="bottom"/>
          </w:tcPr>
          <w:p w14:paraId="7D0C1374" w14:textId="77777777" w:rsidR="004E2F51" w:rsidRPr="00C51439" w:rsidRDefault="004E2F51" w:rsidP="00E032FC">
            <w:pPr>
              <w:jc w:val="right"/>
              <w:rPr>
                <w:rFonts w:ascii="Arial" w:hAnsi="Arial" w:cs="Arial"/>
                <w:b/>
                <w:bCs/>
                <w:color w:val="000000" w:themeColor="text1"/>
                <w:sz w:val="18"/>
                <w:szCs w:val="18"/>
                <w:lang w:val="hr-HR"/>
              </w:rPr>
            </w:pPr>
          </w:p>
        </w:tc>
        <w:tc>
          <w:tcPr>
            <w:tcW w:w="1326" w:type="dxa"/>
            <w:tcBorders>
              <w:top w:val="nil"/>
              <w:left w:val="nil"/>
              <w:bottom w:val="nil"/>
              <w:right w:val="nil"/>
            </w:tcBorders>
            <w:shd w:val="clear" w:color="auto" w:fill="auto"/>
            <w:noWrap/>
            <w:vAlign w:val="bottom"/>
          </w:tcPr>
          <w:p w14:paraId="535351E2" w14:textId="77777777" w:rsidR="004E2F51" w:rsidRPr="00C51439" w:rsidRDefault="004E2F51" w:rsidP="00E032FC">
            <w:pPr>
              <w:jc w:val="right"/>
              <w:rPr>
                <w:rFonts w:ascii="Arial" w:hAnsi="Arial" w:cs="Arial"/>
                <w:b/>
                <w:bCs/>
                <w:color w:val="000000" w:themeColor="text1"/>
                <w:sz w:val="18"/>
                <w:szCs w:val="18"/>
                <w:lang w:val="hr-HR"/>
              </w:rPr>
            </w:pPr>
          </w:p>
        </w:tc>
        <w:tc>
          <w:tcPr>
            <w:tcW w:w="1325" w:type="dxa"/>
            <w:tcBorders>
              <w:top w:val="nil"/>
              <w:left w:val="nil"/>
              <w:bottom w:val="nil"/>
              <w:right w:val="nil"/>
            </w:tcBorders>
          </w:tcPr>
          <w:p w14:paraId="3E7937F9" w14:textId="77777777" w:rsidR="004E2F51" w:rsidRPr="00C51439" w:rsidRDefault="004E2F51" w:rsidP="00E032FC">
            <w:pPr>
              <w:jc w:val="right"/>
              <w:rPr>
                <w:rFonts w:ascii="Arial" w:hAnsi="Arial" w:cs="Arial"/>
                <w:b/>
                <w:bCs/>
                <w:color w:val="000000" w:themeColor="text1"/>
                <w:sz w:val="18"/>
                <w:szCs w:val="18"/>
                <w:lang w:val="hr-HR"/>
              </w:rPr>
            </w:pPr>
          </w:p>
        </w:tc>
        <w:tc>
          <w:tcPr>
            <w:tcW w:w="1331" w:type="dxa"/>
            <w:tcBorders>
              <w:top w:val="nil"/>
              <w:left w:val="nil"/>
              <w:bottom w:val="nil"/>
              <w:right w:val="nil"/>
            </w:tcBorders>
            <w:shd w:val="clear" w:color="auto" w:fill="auto"/>
            <w:noWrap/>
            <w:vAlign w:val="bottom"/>
          </w:tcPr>
          <w:p w14:paraId="4B652260" w14:textId="77777777" w:rsidR="004E2F51" w:rsidRPr="00C51439" w:rsidRDefault="004E2F51" w:rsidP="00E032FC">
            <w:pPr>
              <w:jc w:val="right"/>
              <w:rPr>
                <w:rFonts w:ascii="Arial" w:hAnsi="Arial" w:cs="Arial"/>
                <w:b/>
                <w:bCs/>
                <w:color w:val="000000" w:themeColor="text1"/>
                <w:sz w:val="18"/>
                <w:szCs w:val="18"/>
                <w:lang w:val="hr-HR"/>
              </w:rPr>
            </w:pPr>
          </w:p>
        </w:tc>
      </w:tr>
      <w:tr w:rsidR="004E2F51" w:rsidRPr="00C51439" w14:paraId="18469D64" w14:textId="77777777" w:rsidTr="00E032FC">
        <w:trPr>
          <w:trHeight w:val="340"/>
        </w:trPr>
        <w:tc>
          <w:tcPr>
            <w:tcW w:w="2680" w:type="dxa"/>
            <w:tcBorders>
              <w:top w:val="nil"/>
              <w:left w:val="nil"/>
              <w:bottom w:val="nil"/>
              <w:right w:val="nil"/>
            </w:tcBorders>
            <w:shd w:val="clear" w:color="auto" w:fill="auto"/>
            <w:noWrap/>
            <w:vAlign w:val="bottom"/>
            <w:hideMark/>
          </w:tcPr>
          <w:p w14:paraId="37C1CFD0" w14:textId="77777777" w:rsidR="004E2F51" w:rsidRPr="00C51439" w:rsidRDefault="004E2F51" w:rsidP="00E032FC">
            <w:pPr>
              <w:rPr>
                <w:rFonts w:ascii="Arial" w:hAnsi="Arial" w:cs="Arial"/>
                <w:color w:val="000000" w:themeColor="text1"/>
                <w:sz w:val="18"/>
                <w:szCs w:val="18"/>
                <w:lang w:val="hr-HR"/>
              </w:rPr>
            </w:pPr>
            <w:r w:rsidRPr="00C51439">
              <w:rPr>
                <w:rFonts w:ascii="Arial" w:hAnsi="Arial" w:cs="Arial"/>
                <w:color w:val="000000" w:themeColor="text1"/>
                <w:sz w:val="18"/>
                <w:szCs w:val="18"/>
                <w:lang w:val="hr-HR"/>
              </w:rPr>
              <w:t>Bruto iznos</w:t>
            </w:r>
          </w:p>
        </w:tc>
        <w:tc>
          <w:tcPr>
            <w:tcW w:w="1325" w:type="dxa"/>
            <w:tcBorders>
              <w:top w:val="nil"/>
              <w:left w:val="nil"/>
              <w:bottom w:val="nil"/>
              <w:right w:val="nil"/>
            </w:tcBorders>
            <w:shd w:val="clear" w:color="auto" w:fill="auto"/>
            <w:noWrap/>
            <w:vAlign w:val="bottom"/>
          </w:tcPr>
          <w:p w14:paraId="214E1E2E" w14:textId="77777777" w:rsidR="004E2F51" w:rsidRPr="00DA3A0E" w:rsidRDefault="004E2F51" w:rsidP="00E032FC">
            <w:pPr>
              <w:jc w:val="right"/>
              <w:rPr>
                <w:rFonts w:ascii="Arial" w:hAnsi="Arial" w:cs="Arial"/>
                <w:sz w:val="18"/>
                <w:szCs w:val="18"/>
              </w:rPr>
            </w:pPr>
            <w:r w:rsidRPr="00DA3A0E">
              <w:rPr>
                <w:rFonts w:ascii="Arial" w:hAnsi="Arial" w:cs="Arial"/>
                <w:sz w:val="18"/>
                <w:szCs w:val="18"/>
              </w:rPr>
              <w:t>13.994.014</w:t>
            </w:r>
          </w:p>
        </w:tc>
        <w:tc>
          <w:tcPr>
            <w:tcW w:w="1325" w:type="dxa"/>
            <w:tcBorders>
              <w:top w:val="nil"/>
              <w:left w:val="nil"/>
              <w:bottom w:val="nil"/>
              <w:right w:val="nil"/>
            </w:tcBorders>
            <w:shd w:val="clear" w:color="auto" w:fill="auto"/>
            <w:noWrap/>
            <w:vAlign w:val="bottom"/>
          </w:tcPr>
          <w:p w14:paraId="4CE89D5B" w14:textId="77777777" w:rsidR="004E2F51" w:rsidRPr="00DA3A0E" w:rsidRDefault="004E2F51" w:rsidP="00E032FC">
            <w:pPr>
              <w:jc w:val="right"/>
              <w:rPr>
                <w:rFonts w:ascii="Arial" w:hAnsi="Arial" w:cs="Arial"/>
                <w:sz w:val="18"/>
                <w:szCs w:val="18"/>
              </w:rPr>
            </w:pPr>
            <w:r w:rsidRPr="00DA3A0E">
              <w:rPr>
                <w:rFonts w:ascii="Arial" w:hAnsi="Arial" w:cs="Arial"/>
                <w:sz w:val="18"/>
                <w:szCs w:val="18"/>
              </w:rPr>
              <w:t>2.218.779</w:t>
            </w:r>
          </w:p>
        </w:tc>
        <w:tc>
          <w:tcPr>
            <w:tcW w:w="1326" w:type="dxa"/>
            <w:tcBorders>
              <w:top w:val="nil"/>
              <w:left w:val="nil"/>
              <w:bottom w:val="nil"/>
              <w:right w:val="nil"/>
            </w:tcBorders>
            <w:shd w:val="clear" w:color="auto" w:fill="auto"/>
            <w:noWrap/>
            <w:vAlign w:val="bottom"/>
          </w:tcPr>
          <w:p w14:paraId="12E99350" w14:textId="77777777" w:rsidR="004E2F51" w:rsidRPr="00DA3A0E" w:rsidRDefault="004E2F51" w:rsidP="00E032FC">
            <w:pPr>
              <w:jc w:val="right"/>
              <w:rPr>
                <w:rFonts w:ascii="Arial" w:hAnsi="Arial" w:cs="Arial"/>
                <w:sz w:val="18"/>
                <w:szCs w:val="18"/>
              </w:rPr>
            </w:pPr>
            <w:r w:rsidRPr="00DA3A0E">
              <w:rPr>
                <w:rFonts w:ascii="Arial" w:hAnsi="Arial" w:cs="Arial"/>
                <w:sz w:val="18"/>
                <w:szCs w:val="18"/>
              </w:rPr>
              <w:t>3.237.261</w:t>
            </w:r>
          </w:p>
        </w:tc>
        <w:tc>
          <w:tcPr>
            <w:tcW w:w="1325" w:type="dxa"/>
            <w:tcBorders>
              <w:top w:val="nil"/>
              <w:left w:val="nil"/>
              <w:bottom w:val="nil"/>
              <w:right w:val="nil"/>
            </w:tcBorders>
            <w:shd w:val="clear" w:color="auto" w:fill="auto"/>
            <w:vAlign w:val="bottom"/>
          </w:tcPr>
          <w:p w14:paraId="25C52314" w14:textId="77777777" w:rsidR="004E2F51" w:rsidRPr="00DA3A0E" w:rsidRDefault="004E2F51" w:rsidP="00E032FC">
            <w:pPr>
              <w:jc w:val="right"/>
              <w:rPr>
                <w:rFonts w:ascii="Arial" w:hAnsi="Arial" w:cs="Arial"/>
                <w:sz w:val="18"/>
                <w:szCs w:val="18"/>
              </w:rPr>
            </w:pPr>
            <w:r w:rsidRPr="00DA3A0E">
              <w:rPr>
                <w:rFonts w:ascii="Arial" w:hAnsi="Arial" w:cs="Arial"/>
                <w:sz w:val="18"/>
                <w:szCs w:val="18"/>
              </w:rPr>
              <w:t>1.407.637</w:t>
            </w:r>
          </w:p>
        </w:tc>
        <w:tc>
          <w:tcPr>
            <w:tcW w:w="1331" w:type="dxa"/>
            <w:tcBorders>
              <w:top w:val="nil"/>
              <w:left w:val="nil"/>
              <w:bottom w:val="nil"/>
              <w:right w:val="nil"/>
            </w:tcBorders>
            <w:shd w:val="clear" w:color="auto" w:fill="auto"/>
            <w:noWrap/>
            <w:vAlign w:val="bottom"/>
          </w:tcPr>
          <w:p w14:paraId="16DF86E4" w14:textId="77777777" w:rsidR="004E2F51" w:rsidRPr="00C855D7" w:rsidRDefault="004E2F51" w:rsidP="00E032FC">
            <w:pPr>
              <w:jc w:val="right"/>
              <w:rPr>
                <w:rFonts w:ascii="Arial" w:hAnsi="Arial" w:cs="Arial"/>
                <w:b/>
                <w:bCs/>
                <w:sz w:val="18"/>
                <w:szCs w:val="18"/>
              </w:rPr>
            </w:pPr>
            <w:r w:rsidRPr="00C855D7">
              <w:rPr>
                <w:rFonts w:ascii="Arial" w:hAnsi="Arial" w:cs="Arial"/>
                <w:b/>
                <w:bCs/>
                <w:sz w:val="18"/>
                <w:szCs w:val="18"/>
              </w:rPr>
              <w:t xml:space="preserve"> 20.857.691 </w:t>
            </w:r>
          </w:p>
        </w:tc>
      </w:tr>
      <w:tr w:rsidR="004E2F51" w:rsidRPr="00C51439" w14:paraId="1BFBC446" w14:textId="77777777" w:rsidTr="00E032FC">
        <w:trPr>
          <w:trHeight w:val="340"/>
        </w:trPr>
        <w:tc>
          <w:tcPr>
            <w:tcW w:w="2680" w:type="dxa"/>
            <w:tcBorders>
              <w:top w:val="nil"/>
              <w:left w:val="nil"/>
              <w:bottom w:val="nil"/>
              <w:right w:val="nil"/>
            </w:tcBorders>
            <w:shd w:val="clear" w:color="auto" w:fill="auto"/>
            <w:noWrap/>
            <w:vAlign w:val="bottom"/>
            <w:hideMark/>
          </w:tcPr>
          <w:p w14:paraId="6810C085" w14:textId="77777777" w:rsidR="004E2F51" w:rsidRPr="00C51439" w:rsidRDefault="004E2F51" w:rsidP="00E032FC">
            <w:pPr>
              <w:rPr>
                <w:rFonts w:ascii="Arial" w:hAnsi="Arial" w:cs="Arial"/>
                <w:color w:val="000000" w:themeColor="text1"/>
                <w:sz w:val="18"/>
                <w:szCs w:val="18"/>
                <w:lang w:val="hr-HR"/>
              </w:rPr>
            </w:pPr>
            <w:r w:rsidRPr="00C51439">
              <w:rPr>
                <w:rFonts w:ascii="Arial" w:hAnsi="Arial" w:cs="Arial"/>
                <w:color w:val="000000" w:themeColor="text1"/>
                <w:sz w:val="18"/>
                <w:szCs w:val="18"/>
                <w:lang w:val="hr-HR"/>
              </w:rPr>
              <w:t>Rezerviranja</w:t>
            </w:r>
          </w:p>
        </w:tc>
        <w:tc>
          <w:tcPr>
            <w:tcW w:w="1325" w:type="dxa"/>
            <w:tcBorders>
              <w:top w:val="nil"/>
              <w:left w:val="nil"/>
              <w:bottom w:val="nil"/>
              <w:right w:val="nil"/>
            </w:tcBorders>
            <w:shd w:val="clear" w:color="auto" w:fill="auto"/>
            <w:noWrap/>
            <w:vAlign w:val="bottom"/>
          </w:tcPr>
          <w:p w14:paraId="65B69B2F" w14:textId="77777777" w:rsidR="004E2F51" w:rsidRPr="00DA3A0E" w:rsidRDefault="004E2F51" w:rsidP="00E032FC">
            <w:pPr>
              <w:jc w:val="right"/>
              <w:rPr>
                <w:rFonts w:ascii="Arial" w:hAnsi="Arial" w:cs="Arial"/>
                <w:sz w:val="18"/>
                <w:szCs w:val="18"/>
              </w:rPr>
            </w:pPr>
            <w:r w:rsidRPr="00DA3A0E">
              <w:rPr>
                <w:rFonts w:ascii="Arial" w:hAnsi="Arial" w:cs="Arial"/>
                <w:sz w:val="18"/>
                <w:szCs w:val="18"/>
              </w:rPr>
              <w:t xml:space="preserve"> (356.231)</w:t>
            </w:r>
          </w:p>
        </w:tc>
        <w:tc>
          <w:tcPr>
            <w:tcW w:w="1325" w:type="dxa"/>
            <w:tcBorders>
              <w:top w:val="nil"/>
              <w:left w:val="nil"/>
              <w:bottom w:val="nil"/>
              <w:right w:val="nil"/>
            </w:tcBorders>
            <w:shd w:val="clear" w:color="auto" w:fill="auto"/>
            <w:noWrap/>
            <w:vAlign w:val="bottom"/>
          </w:tcPr>
          <w:p w14:paraId="296C575B" w14:textId="77777777" w:rsidR="004E2F51" w:rsidRPr="00DA3A0E" w:rsidRDefault="004E2F51" w:rsidP="00E032FC">
            <w:pPr>
              <w:jc w:val="right"/>
              <w:rPr>
                <w:rFonts w:ascii="Arial" w:hAnsi="Arial" w:cs="Arial"/>
                <w:sz w:val="18"/>
                <w:szCs w:val="18"/>
              </w:rPr>
            </w:pPr>
            <w:r w:rsidRPr="00DA3A0E">
              <w:rPr>
                <w:rFonts w:ascii="Arial" w:hAnsi="Arial" w:cs="Arial"/>
                <w:sz w:val="18"/>
                <w:szCs w:val="18"/>
              </w:rPr>
              <w:t xml:space="preserve"> (784.089)</w:t>
            </w:r>
          </w:p>
        </w:tc>
        <w:tc>
          <w:tcPr>
            <w:tcW w:w="1326" w:type="dxa"/>
            <w:tcBorders>
              <w:top w:val="nil"/>
              <w:left w:val="nil"/>
              <w:bottom w:val="nil"/>
              <w:right w:val="nil"/>
            </w:tcBorders>
            <w:shd w:val="clear" w:color="auto" w:fill="auto"/>
            <w:noWrap/>
            <w:vAlign w:val="bottom"/>
          </w:tcPr>
          <w:p w14:paraId="3C600C82" w14:textId="77777777" w:rsidR="004E2F51" w:rsidRPr="00DA3A0E" w:rsidRDefault="004E2F51" w:rsidP="00E032FC">
            <w:pPr>
              <w:jc w:val="right"/>
              <w:rPr>
                <w:rFonts w:ascii="Arial" w:hAnsi="Arial" w:cs="Arial"/>
                <w:sz w:val="18"/>
                <w:szCs w:val="18"/>
              </w:rPr>
            </w:pPr>
            <w:r w:rsidRPr="00DA3A0E">
              <w:rPr>
                <w:rFonts w:ascii="Arial" w:hAnsi="Arial" w:cs="Arial"/>
                <w:sz w:val="18"/>
                <w:szCs w:val="18"/>
              </w:rPr>
              <w:t xml:space="preserve"> (2.091.863)</w:t>
            </w:r>
          </w:p>
        </w:tc>
        <w:tc>
          <w:tcPr>
            <w:tcW w:w="1325" w:type="dxa"/>
            <w:tcBorders>
              <w:top w:val="nil"/>
              <w:left w:val="nil"/>
              <w:bottom w:val="nil"/>
              <w:right w:val="nil"/>
            </w:tcBorders>
            <w:shd w:val="clear" w:color="auto" w:fill="auto"/>
            <w:vAlign w:val="bottom"/>
          </w:tcPr>
          <w:p w14:paraId="4BCCB7E2" w14:textId="77777777" w:rsidR="004E2F51" w:rsidRPr="00DA3A0E" w:rsidRDefault="004E2F51" w:rsidP="00E032FC">
            <w:pPr>
              <w:jc w:val="right"/>
              <w:rPr>
                <w:rFonts w:ascii="Arial" w:hAnsi="Arial" w:cs="Arial"/>
                <w:sz w:val="18"/>
                <w:szCs w:val="18"/>
              </w:rPr>
            </w:pPr>
            <w:r w:rsidRPr="00DA3A0E">
              <w:rPr>
                <w:rFonts w:ascii="Arial" w:hAnsi="Arial" w:cs="Arial"/>
                <w:sz w:val="18"/>
                <w:szCs w:val="18"/>
              </w:rPr>
              <w:t xml:space="preserve"> (222.842)</w:t>
            </w:r>
          </w:p>
        </w:tc>
        <w:tc>
          <w:tcPr>
            <w:tcW w:w="1331" w:type="dxa"/>
            <w:tcBorders>
              <w:top w:val="nil"/>
              <w:left w:val="nil"/>
              <w:bottom w:val="nil"/>
              <w:right w:val="nil"/>
            </w:tcBorders>
            <w:shd w:val="clear" w:color="auto" w:fill="auto"/>
            <w:noWrap/>
            <w:vAlign w:val="bottom"/>
          </w:tcPr>
          <w:p w14:paraId="07B73F15" w14:textId="77777777" w:rsidR="004E2F51" w:rsidRPr="00C855D7" w:rsidRDefault="004E2F51" w:rsidP="00E032FC">
            <w:pPr>
              <w:jc w:val="right"/>
              <w:rPr>
                <w:rFonts w:ascii="Arial" w:hAnsi="Arial" w:cs="Arial"/>
                <w:b/>
                <w:bCs/>
                <w:sz w:val="18"/>
                <w:szCs w:val="18"/>
              </w:rPr>
            </w:pPr>
            <w:r w:rsidRPr="00C855D7">
              <w:rPr>
                <w:rFonts w:ascii="Arial" w:hAnsi="Arial" w:cs="Arial"/>
                <w:b/>
                <w:bCs/>
                <w:sz w:val="18"/>
                <w:szCs w:val="18"/>
              </w:rPr>
              <w:t xml:space="preserve"> (3.455.025)</w:t>
            </w:r>
          </w:p>
        </w:tc>
      </w:tr>
      <w:tr w:rsidR="004E2F51" w:rsidRPr="00C51439" w14:paraId="7EA488BC" w14:textId="77777777" w:rsidTr="00E032FC">
        <w:trPr>
          <w:trHeight w:val="510"/>
        </w:trPr>
        <w:tc>
          <w:tcPr>
            <w:tcW w:w="2680" w:type="dxa"/>
            <w:tcBorders>
              <w:top w:val="nil"/>
              <w:left w:val="nil"/>
              <w:bottom w:val="nil"/>
              <w:right w:val="nil"/>
            </w:tcBorders>
            <w:shd w:val="clear" w:color="auto" w:fill="auto"/>
            <w:noWrap/>
            <w:vAlign w:val="bottom"/>
            <w:hideMark/>
          </w:tcPr>
          <w:p w14:paraId="24A57B63" w14:textId="77777777" w:rsidR="004E2F51" w:rsidRPr="00C51439" w:rsidRDefault="004E2F51" w:rsidP="00E032FC">
            <w:pPr>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Stanje na dan </w:t>
            </w:r>
          </w:p>
          <w:p w14:paraId="7B7B4327" w14:textId="77777777" w:rsidR="004E2F51" w:rsidRPr="00C51439" w:rsidRDefault="004E2F51" w:rsidP="00E032FC">
            <w:pPr>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31. prosinca 2022.    </w:t>
            </w:r>
          </w:p>
        </w:tc>
        <w:tc>
          <w:tcPr>
            <w:tcW w:w="1325" w:type="dxa"/>
            <w:tcBorders>
              <w:top w:val="single" w:sz="8" w:space="0" w:color="auto"/>
              <w:left w:val="nil"/>
              <w:bottom w:val="single" w:sz="12" w:space="0" w:color="000000"/>
              <w:right w:val="nil"/>
            </w:tcBorders>
            <w:shd w:val="clear" w:color="auto" w:fill="auto"/>
            <w:noWrap/>
            <w:vAlign w:val="bottom"/>
          </w:tcPr>
          <w:p w14:paraId="42CC263B" w14:textId="77777777" w:rsidR="004E2F51" w:rsidRPr="00DA3A0E" w:rsidRDefault="004E2F51" w:rsidP="00E032FC">
            <w:pPr>
              <w:jc w:val="right"/>
              <w:rPr>
                <w:rFonts w:ascii="Arial" w:hAnsi="Arial" w:cs="Arial"/>
                <w:b/>
                <w:bCs/>
                <w:sz w:val="18"/>
                <w:szCs w:val="18"/>
              </w:rPr>
            </w:pPr>
            <w:r w:rsidRPr="00DA3A0E">
              <w:rPr>
                <w:rFonts w:ascii="Arial" w:hAnsi="Arial" w:cs="Arial"/>
                <w:b/>
                <w:bCs/>
                <w:sz w:val="18"/>
                <w:szCs w:val="18"/>
              </w:rPr>
              <w:t xml:space="preserve"> 13.637.783 </w:t>
            </w:r>
          </w:p>
        </w:tc>
        <w:tc>
          <w:tcPr>
            <w:tcW w:w="1325" w:type="dxa"/>
            <w:tcBorders>
              <w:top w:val="single" w:sz="8" w:space="0" w:color="auto"/>
              <w:left w:val="nil"/>
              <w:bottom w:val="single" w:sz="12" w:space="0" w:color="000000"/>
              <w:right w:val="nil"/>
            </w:tcBorders>
            <w:shd w:val="clear" w:color="auto" w:fill="auto"/>
            <w:noWrap/>
            <w:vAlign w:val="bottom"/>
          </w:tcPr>
          <w:p w14:paraId="2CE3710A" w14:textId="77777777" w:rsidR="004E2F51" w:rsidRPr="00DA3A0E" w:rsidRDefault="004E2F51" w:rsidP="00E032FC">
            <w:pPr>
              <w:jc w:val="right"/>
              <w:rPr>
                <w:rFonts w:ascii="Arial" w:hAnsi="Arial" w:cs="Arial"/>
                <w:b/>
                <w:bCs/>
                <w:sz w:val="18"/>
                <w:szCs w:val="18"/>
              </w:rPr>
            </w:pPr>
            <w:r w:rsidRPr="00DA3A0E">
              <w:rPr>
                <w:rFonts w:ascii="Arial" w:hAnsi="Arial" w:cs="Arial"/>
                <w:b/>
                <w:bCs/>
                <w:sz w:val="18"/>
                <w:szCs w:val="18"/>
              </w:rPr>
              <w:t xml:space="preserve"> 1.434.690 </w:t>
            </w:r>
          </w:p>
        </w:tc>
        <w:tc>
          <w:tcPr>
            <w:tcW w:w="1326" w:type="dxa"/>
            <w:tcBorders>
              <w:top w:val="single" w:sz="8" w:space="0" w:color="auto"/>
              <w:left w:val="nil"/>
              <w:bottom w:val="single" w:sz="12" w:space="0" w:color="000000"/>
              <w:right w:val="nil"/>
            </w:tcBorders>
            <w:shd w:val="clear" w:color="auto" w:fill="auto"/>
            <w:noWrap/>
            <w:vAlign w:val="bottom"/>
          </w:tcPr>
          <w:p w14:paraId="2C744AAD" w14:textId="77777777" w:rsidR="004E2F51" w:rsidRPr="00DA3A0E" w:rsidRDefault="004E2F51" w:rsidP="00E032FC">
            <w:pPr>
              <w:jc w:val="right"/>
              <w:rPr>
                <w:rFonts w:ascii="Arial" w:hAnsi="Arial" w:cs="Arial"/>
                <w:b/>
                <w:bCs/>
                <w:sz w:val="18"/>
                <w:szCs w:val="18"/>
              </w:rPr>
            </w:pPr>
            <w:r w:rsidRPr="00DA3A0E">
              <w:rPr>
                <w:rFonts w:ascii="Arial" w:hAnsi="Arial" w:cs="Arial"/>
                <w:b/>
                <w:bCs/>
                <w:sz w:val="18"/>
                <w:szCs w:val="18"/>
              </w:rPr>
              <w:t xml:space="preserve"> 1.145.398 </w:t>
            </w:r>
          </w:p>
        </w:tc>
        <w:tc>
          <w:tcPr>
            <w:tcW w:w="1325" w:type="dxa"/>
            <w:tcBorders>
              <w:top w:val="single" w:sz="8" w:space="0" w:color="auto"/>
              <w:left w:val="nil"/>
              <w:bottom w:val="single" w:sz="12" w:space="0" w:color="000000"/>
              <w:right w:val="nil"/>
            </w:tcBorders>
            <w:shd w:val="clear" w:color="auto" w:fill="auto"/>
            <w:vAlign w:val="bottom"/>
          </w:tcPr>
          <w:p w14:paraId="0461919D" w14:textId="77777777" w:rsidR="004E2F51" w:rsidRPr="00DA3A0E" w:rsidRDefault="004E2F51" w:rsidP="00E032FC">
            <w:pPr>
              <w:jc w:val="right"/>
              <w:rPr>
                <w:rFonts w:ascii="Arial" w:hAnsi="Arial" w:cs="Arial"/>
                <w:b/>
                <w:bCs/>
                <w:sz w:val="18"/>
                <w:szCs w:val="18"/>
              </w:rPr>
            </w:pPr>
            <w:r w:rsidRPr="00DA3A0E">
              <w:rPr>
                <w:rFonts w:ascii="Arial" w:hAnsi="Arial" w:cs="Arial"/>
                <w:b/>
                <w:bCs/>
                <w:sz w:val="18"/>
                <w:szCs w:val="18"/>
              </w:rPr>
              <w:t xml:space="preserve"> 1.184.795 </w:t>
            </w:r>
          </w:p>
        </w:tc>
        <w:tc>
          <w:tcPr>
            <w:tcW w:w="1331" w:type="dxa"/>
            <w:tcBorders>
              <w:top w:val="single" w:sz="8" w:space="0" w:color="auto"/>
              <w:left w:val="nil"/>
              <w:bottom w:val="single" w:sz="12" w:space="0" w:color="000000"/>
              <w:right w:val="nil"/>
            </w:tcBorders>
            <w:shd w:val="clear" w:color="auto" w:fill="auto"/>
            <w:noWrap/>
            <w:vAlign w:val="bottom"/>
          </w:tcPr>
          <w:p w14:paraId="2E1BE171" w14:textId="77777777" w:rsidR="004E2F51" w:rsidRPr="00C855D7" w:rsidRDefault="004E2F51" w:rsidP="00E032FC">
            <w:pPr>
              <w:jc w:val="right"/>
              <w:rPr>
                <w:rFonts w:ascii="Arial" w:hAnsi="Arial" w:cs="Arial"/>
                <w:b/>
                <w:bCs/>
                <w:sz w:val="18"/>
                <w:szCs w:val="18"/>
              </w:rPr>
            </w:pPr>
            <w:r w:rsidRPr="00C855D7">
              <w:rPr>
                <w:rFonts w:ascii="Arial" w:hAnsi="Arial" w:cs="Arial"/>
                <w:b/>
                <w:bCs/>
                <w:sz w:val="18"/>
                <w:szCs w:val="18"/>
              </w:rPr>
              <w:t xml:space="preserve"> 17.402.666 </w:t>
            </w:r>
          </w:p>
        </w:tc>
      </w:tr>
    </w:tbl>
    <w:p w14:paraId="091E8897" w14:textId="77777777" w:rsidR="004E2F51" w:rsidRPr="004B4498" w:rsidRDefault="004E2F51" w:rsidP="004E2F51">
      <w:pPr>
        <w:jc w:val="both"/>
        <w:rPr>
          <w:rFonts w:ascii="Arial" w:hAnsi="Arial" w:cs="Arial"/>
          <w:color w:val="000000" w:themeColor="text1"/>
          <w:sz w:val="20"/>
          <w:szCs w:val="20"/>
          <w:lang w:val="hr-HR"/>
        </w:rPr>
      </w:pPr>
    </w:p>
    <w:p w14:paraId="736AB8BB" w14:textId="77777777" w:rsidR="004E2F51" w:rsidRPr="004B4498" w:rsidRDefault="004E2F51" w:rsidP="004E2F51">
      <w:pPr>
        <w:jc w:val="both"/>
        <w:rPr>
          <w:rFonts w:ascii="Arial" w:hAnsi="Arial" w:cs="Arial"/>
          <w:color w:val="000000" w:themeColor="text1"/>
          <w:sz w:val="20"/>
          <w:szCs w:val="20"/>
          <w:lang w:val="hr-HR"/>
        </w:rPr>
      </w:pPr>
    </w:p>
    <w:tbl>
      <w:tblPr>
        <w:tblpPr w:leftFromText="180" w:rightFromText="180" w:vertAnchor="text" w:horzAnchor="margin" w:tblpY="23"/>
        <w:tblW w:w="9312" w:type="dxa"/>
        <w:tblLayout w:type="fixed"/>
        <w:tblLook w:val="04A0" w:firstRow="1" w:lastRow="0" w:firstColumn="1" w:lastColumn="0" w:noHBand="0" w:noVBand="1"/>
      </w:tblPr>
      <w:tblGrid>
        <w:gridCol w:w="2680"/>
        <w:gridCol w:w="1325"/>
        <w:gridCol w:w="1325"/>
        <w:gridCol w:w="1326"/>
        <w:gridCol w:w="1325"/>
        <w:gridCol w:w="1331"/>
      </w:tblGrid>
      <w:tr w:rsidR="004E2F51" w:rsidRPr="00C51439" w14:paraId="122B0746" w14:textId="77777777" w:rsidTr="00E032FC">
        <w:trPr>
          <w:trHeight w:val="50"/>
        </w:trPr>
        <w:tc>
          <w:tcPr>
            <w:tcW w:w="2680" w:type="dxa"/>
            <w:tcBorders>
              <w:top w:val="nil"/>
              <w:left w:val="nil"/>
              <w:bottom w:val="nil"/>
              <w:right w:val="nil"/>
            </w:tcBorders>
            <w:shd w:val="clear" w:color="auto" w:fill="auto"/>
            <w:noWrap/>
            <w:vAlign w:val="bottom"/>
            <w:hideMark/>
          </w:tcPr>
          <w:p w14:paraId="603DE0C2" w14:textId="77777777" w:rsidR="004E2F51" w:rsidRPr="00C51439" w:rsidRDefault="004E2F51" w:rsidP="00E032FC">
            <w:pPr>
              <w:rPr>
                <w:rFonts w:ascii="Arial" w:hAnsi="Arial" w:cs="Arial"/>
                <w:b/>
                <w:color w:val="000000" w:themeColor="text1"/>
                <w:sz w:val="18"/>
                <w:szCs w:val="18"/>
                <w:lang w:val="hr-HR"/>
              </w:rPr>
            </w:pPr>
            <w:r w:rsidRPr="00C51439">
              <w:rPr>
                <w:rFonts w:ascii="Arial" w:hAnsi="Arial" w:cs="Arial"/>
                <w:b/>
                <w:color w:val="000000" w:themeColor="text1"/>
                <w:sz w:val="18"/>
                <w:szCs w:val="18"/>
                <w:lang w:val="hr-HR"/>
              </w:rPr>
              <w:t xml:space="preserve">31. prosinca 2021.    </w:t>
            </w:r>
          </w:p>
        </w:tc>
        <w:tc>
          <w:tcPr>
            <w:tcW w:w="6632" w:type="dxa"/>
            <w:gridSpan w:val="5"/>
            <w:tcBorders>
              <w:top w:val="nil"/>
              <w:left w:val="nil"/>
              <w:bottom w:val="nil"/>
              <w:right w:val="nil"/>
            </w:tcBorders>
            <w:shd w:val="clear" w:color="auto" w:fill="auto"/>
            <w:noWrap/>
            <w:vAlign w:val="bottom"/>
            <w:hideMark/>
          </w:tcPr>
          <w:p w14:paraId="40E45203"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Grupa i Banka</w:t>
            </w:r>
          </w:p>
        </w:tc>
      </w:tr>
      <w:tr w:rsidR="004E2F51" w:rsidRPr="00C51439" w14:paraId="70C053FF" w14:textId="77777777" w:rsidTr="00E032FC">
        <w:trPr>
          <w:trHeight w:val="50"/>
        </w:trPr>
        <w:tc>
          <w:tcPr>
            <w:tcW w:w="2680" w:type="dxa"/>
            <w:tcBorders>
              <w:top w:val="nil"/>
              <w:left w:val="nil"/>
              <w:bottom w:val="nil"/>
              <w:right w:val="nil"/>
            </w:tcBorders>
            <w:shd w:val="clear" w:color="auto" w:fill="auto"/>
            <w:noWrap/>
            <w:vAlign w:val="bottom"/>
            <w:hideMark/>
          </w:tcPr>
          <w:p w14:paraId="17C2B52A" w14:textId="77777777" w:rsidR="004E2F51" w:rsidRPr="00C51439" w:rsidRDefault="004E2F51" w:rsidP="00E032FC">
            <w:pPr>
              <w:jc w:val="right"/>
              <w:rPr>
                <w:rFonts w:ascii="Arial" w:hAnsi="Arial" w:cs="Arial"/>
                <w:b/>
                <w:bCs/>
                <w:color w:val="000000" w:themeColor="text1"/>
                <w:sz w:val="18"/>
                <w:szCs w:val="18"/>
                <w:lang w:val="hr-HR"/>
              </w:rPr>
            </w:pPr>
          </w:p>
        </w:tc>
        <w:tc>
          <w:tcPr>
            <w:tcW w:w="1325" w:type="dxa"/>
            <w:tcBorders>
              <w:top w:val="nil"/>
              <w:left w:val="nil"/>
              <w:bottom w:val="nil"/>
              <w:right w:val="nil"/>
            </w:tcBorders>
            <w:shd w:val="clear" w:color="auto" w:fill="auto"/>
            <w:noWrap/>
            <w:vAlign w:val="bottom"/>
            <w:hideMark/>
          </w:tcPr>
          <w:p w14:paraId="23ACD098"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1</w:t>
            </w:r>
          </w:p>
        </w:tc>
        <w:tc>
          <w:tcPr>
            <w:tcW w:w="1325" w:type="dxa"/>
            <w:tcBorders>
              <w:top w:val="nil"/>
              <w:left w:val="nil"/>
              <w:bottom w:val="nil"/>
              <w:right w:val="nil"/>
            </w:tcBorders>
            <w:shd w:val="clear" w:color="auto" w:fill="auto"/>
            <w:noWrap/>
            <w:vAlign w:val="bottom"/>
            <w:hideMark/>
          </w:tcPr>
          <w:p w14:paraId="37CB23DF"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2</w:t>
            </w:r>
          </w:p>
        </w:tc>
        <w:tc>
          <w:tcPr>
            <w:tcW w:w="1326" w:type="dxa"/>
            <w:tcBorders>
              <w:top w:val="nil"/>
              <w:left w:val="nil"/>
              <w:bottom w:val="nil"/>
              <w:right w:val="nil"/>
            </w:tcBorders>
            <w:shd w:val="clear" w:color="auto" w:fill="auto"/>
            <w:noWrap/>
            <w:vAlign w:val="bottom"/>
            <w:hideMark/>
          </w:tcPr>
          <w:p w14:paraId="072BF4E3"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Stupanj 3</w:t>
            </w:r>
          </w:p>
        </w:tc>
        <w:tc>
          <w:tcPr>
            <w:tcW w:w="1325" w:type="dxa"/>
            <w:tcBorders>
              <w:top w:val="nil"/>
              <w:left w:val="nil"/>
              <w:bottom w:val="nil"/>
              <w:right w:val="nil"/>
            </w:tcBorders>
          </w:tcPr>
          <w:p w14:paraId="3C5E57E5"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POCI</w:t>
            </w:r>
          </w:p>
        </w:tc>
        <w:tc>
          <w:tcPr>
            <w:tcW w:w="1331" w:type="dxa"/>
            <w:tcBorders>
              <w:top w:val="nil"/>
              <w:left w:val="nil"/>
              <w:bottom w:val="nil"/>
              <w:right w:val="nil"/>
            </w:tcBorders>
            <w:shd w:val="clear" w:color="auto" w:fill="auto"/>
            <w:noWrap/>
            <w:vAlign w:val="bottom"/>
            <w:hideMark/>
          </w:tcPr>
          <w:p w14:paraId="0A5EC536"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Ukupno</w:t>
            </w:r>
          </w:p>
        </w:tc>
      </w:tr>
      <w:tr w:rsidR="004E2F51" w:rsidRPr="00C51439" w14:paraId="2E9BFF41" w14:textId="77777777" w:rsidTr="00E032FC">
        <w:trPr>
          <w:trHeight w:val="50"/>
        </w:trPr>
        <w:tc>
          <w:tcPr>
            <w:tcW w:w="2680" w:type="dxa"/>
            <w:tcBorders>
              <w:top w:val="nil"/>
              <w:left w:val="nil"/>
              <w:bottom w:val="nil"/>
              <w:right w:val="nil"/>
            </w:tcBorders>
            <w:shd w:val="clear" w:color="auto" w:fill="auto"/>
            <w:noWrap/>
            <w:vAlign w:val="bottom"/>
            <w:hideMark/>
          </w:tcPr>
          <w:p w14:paraId="1D63645C" w14:textId="77777777" w:rsidR="004E2F51" w:rsidRPr="00C51439" w:rsidRDefault="004E2F51" w:rsidP="00E032FC">
            <w:pPr>
              <w:jc w:val="right"/>
              <w:rPr>
                <w:rFonts w:ascii="Arial" w:hAnsi="Arial" w:cs="Arial"/>
                <w:b/>
                <w:bCs/>
                <w:color w:val="000000" w:themeColor="text1"/>
                <w:sz w:val="18"/>
                <w:szCs w:val="18"/>
                <w:lang w:val="hr-HR"/>
              </w:rPr>
            </w:pPr>
          </w:p>
        </w:tc>
        <w:tc>
          <w:tcPr>
            <w:tcW w:w="1325" w:type="dxa"/>
            <w:tcBorders>
              <w:top w:val="nil"/>
              <w:left w:val="nil"/>
              <w:bottom w:val="nil"/>
              <w:right w:val="nil"/>
            </w:tcBorders>
            <w:shd w:val="clear" w:color="auto" w:fill="auto"/>
            <w:noWrap/>
            <w:vAlign w:val="bottom"/>
            <w:hideMark/>
          </w:tcPr>
          <w:p w14:paraId="090DE7AE"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000 kuna</w:t>
            </w:r>
          </w:p>
        </w:tc>
        <w:tc>
          <w:tcPr>
            <w:tcW w:w="1325" w:type="dxa"/>
            <w:tcBorders>
              <w:top w:val="nil"/>
              <w:left w:val="nil"/>
              <w:bottom w:val="nil"/>
              <w:right w:val="nil"/>
            </w:tcBorders>
            <w:shd w:val="clear" w:color="auto" w:fill="auto"/>
            <w:noWrap/>
            <w:vAlign w:val="bottom"/>
            <w:hideMark/>
          </w:tcPr>
          <w:p w14:paraId="757DB1E9"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000 kuna</w:t>
            </w:r>
          </w:p>
        </w:tc>
        <w:tc>
          <w:tcPr>
            <w:tcW w:w="1326" w:type="dxa"/>
            <w:tcBorders>
              <w:top w:val="nil"/>
              <w:left w:val="nil"/>
              <w:bottom w:val="nil"/>
              <w:right w:val="nil"/>
            </w:tcBorders>
            <w:shd w:val="clear" w:color="auto" w:fill="auto"/>
            <w:noWrap/>
            <w:vAlign w:val="bottom"/>
            <w:hideMark/>
          </w:tcPr>
          <w:p w14:paraId="721F1E38"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000 kuna</w:t>
            </w:r>
          </w:p>
        </w:tc>
        <w:tc>
          <w:tcPr>
            <w:tcW w:w="1325" w:type="dxa"/>
            <w:tcBorders>
              <w:top w:val="nil"/>
              <w:left w:val="nil"/>
              <w:bottom w:val="nil"/>
              <w:right w:val="nil"/>
            </w:tcBorders>
          </w:tcPr>
          <w:p w14:paraId="2ED73DCF"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000 kuna</w:t>
            </w:r>
          </w:p>
        </w:tc>
        <w:tc>
          <w:tcPr>
            <w:tcW w:w="1331" w:type="dxa"/>
            <w:tcBorders>
              <w:top w:val="nil"/>
              <w:left w:val="nil"/>
              <w:bottom w:val="nil"/>
              <w:right w:val="nil"/>
            </w:tcBorders>
            <w:shd w:val="clear" w:color="auto" w:fill="auto"/>
            <w:noWrap/>
            <w:vAlign w:val="bottom"/>
            <w:hideMark/>
          </w:tcPr>
          <w:p w14:paraId="126B0498"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000 kuna</w:t>
            </w:r>
          </w:p>
        </w:tc>
      </w:tr>
      <w:tr w:rsidR="004E2F51" w:rsidRPr="00C51439" w14:paraId="72EC0F17" w14:textId="77777777" w:rsidTr="00E032FC">
        <w:trPr>
          <w:trHeight w:val="155"/>
        </w:trPr>
        <w:tc>
          <w:tcPr>
            <w:tcW w:w="2680" w:type="dxa"/>
            <w:tcBorders>
              <w:top w:val="nil"/>
              <w:left w:val="nil"/>
              <w:bottom w:val="nil"/>
              <w:right w:val="nil"/>
            </w:tcBorders>
            <w:shd w:val="clear" w:color="auto" w:fill="auto"/>
            <w:noWrap/>
            <w:vAlign w:val="bottom"/>
          </w:tcPr>
          <w:p w14:paraId="319C37C2" w14:textId="77777777" w:rsidR="004E2F51" w:rsidRPr="00C51439" w:rsidRDefault="004E2F51" w:rsidP="00E032FC">
            <w:pPr>
              <w:jc w:val="right"/>
              <w:rPr>
                <w:rFonts w:ascii="Arial" w:hAnsi="Arial" w:cs="Arial"/>
                <w:b/>
                <w:bCs/>
                <w:color w:val="000000" w:themeColor="text1"/>
                <w:sz w:val="18"/>
                <w:szCs w:val="18"/>
                <w:lang w:val="hr-HR"/>
              </w:rPr>
            </w:pPr>
          </w:p>
        </w:tc>
        <w:tc>
          <w:tcPr>
            <w:tcW w:w="1325" w:type="dxa"/>
            <w:tcBorders>
              <w:top w:val="nil"/>
              <w:left w:val="nil"/>
              <w:bottom w:val="nil"/>
              <w:right w:val="nil"/>
            </w:tcBorders>
            <w:shd w:val="clear" w:color="auto" w:fill="auto"/>
            <w:noWrap/>
            <w:vAlign w:val="bottom"/>
          </w:tcPr>
          <w:p w14:paraId="5113CA78" w14:textId="77777777" w:rsidR="004E2F51" w:rsidRPr="00C51439" w:rsidRDefault="004E2F51" w:rsidP="00E032FC">
            <w:pPr>
              <w:jc w:val="right"/>
              <w:rPr>
                <w:rFonts w:ascii="Arial" w:hAnsi="Arial" w:cs="Arial"/>
                <w:b/>
                <w:bCs/>
                <w:color w:val="000000" w:themeColor="text1"/>
                <w:sz w:val="18"/>
                <w:szCs w:val="18"/>
                <w:lang w:val="hr-HR"/>
              </w:rPr>
            </w:pPr>
          </w:p>
        </w:tc>
        <w:tc>
          <w:tcPr>
            <w:tcW w:w="1325" w:type="dxa"/>
            <w:tcBorders>
              <w:top w:val="nil"/>
              <w:left w:val="nil"/>
              <w:bottom w:val="nil"/>
              <w:right w:val="nil"/>
            </w:tcBorders>
            <w:shd w:val="clear" w:color="auto" w:fill="auto"/>
            <w:noWrap/>
            <w:vAlign w:val="bottom"/>
          </w:tcPr>
          <w:p w14:paraId="7F4B31E2" w14:textId="77777777" w:rsidR="004E2F51" w:rsidRPr="00C51439" w:rsidRDefault="004E2F51" w:rsidP="00E032FC">
            <w:pPr>
              <w:jc w:val="right"/>
              <w:rPr>
                <w:rFonts w:ascii="Arial" w:hAnsi="Arial" w:cs="Arial"/>
                <w:b/>
                <w:bCs/>
                <w:color w:val="000000" w:themeColor="text1"/>
                <w:sz w:val="18"/>
                <w:szCs w:val="18"/>
                <w:lang w:val="hr-HR"/>
              </w:rPr>
            </w:pPr>
          </w:p>
        </w:tc>
        <w:tc>
          <w:tcPr>
            <w:tcW w:w="1326" w:type="dxa"/>
            <w:tcBorders>
              <w:top w:val="nil"/>
              <w:left w:val="nil"/>
              <w:bottom w:val="nil"/>
              <w:right w:val="nil"/>
            </w:tcBorders>
            <w:shd w:val="clear" w:color="auto" w:fill="auto"/>
            <w:noWrap/>
            <w:vAlign w:val="bottom"/>
          </w:tcPr>
          <w:p w14:paraId="02C5B892" w14:textId="77777777" w:rsidR="004E2F51" w:rsidRPr="00C51439" w:rsidRDefault="004E2F51" w:rsidP="00E032FC">
            <w:pPr>
              <w:jc w:val="right"/>
              <w:rPr>
                <w:rFonts w:ascii="Arial" w:hAnsi="Arial" w:cs="Arial"/>
                <w:b/>
                <w:bCs/>
                <w:color w:val="000000" w:themeColor="text1"/>
                <w:sz w:val="18"/>
                <w:szCs w:val="18"/>
                <w:lang w:val="hr-HR"/>
              </w:rPr>
            </w:pPr>
          </w:p>
        </w:tc>
        <w:tc>
          <w:tcPr>
            <w:tcW w:w="1325" w:type="dxa"/>
            <w:tcBorders>
              <w:top w:val="nil"/>
              <w:left w:val="nil"/>
              <w:bottom w:val="nil"/>
              <w:right w:val="nil"/>
            </w:tcBorders>
          </w:tcPr>
          <w:p w14:paraId="76466A1D" w14:textId="77777777" w:rsidR="004E2F51" w:rsidRPr="00C51439" w:rsidRDefault="004E2F51" w:rsidP="00E032FC">
            <w:pPr>
              <w:jc w:val="right"/>
              <w:rPr>
                <w:rFonts w:ascii="Arial" w:hAnsi="Arial" w:cs="Arial"/>
                <w:b/>
                <w:bCs/>
                <w:color w:val="000000" w:themeColor="text1"/>
                <w:sz w:val="18"/>
                <w:szCs w:val="18"/>
                <w:lang w:val="hr-HR"/>
              </w:rPr>
            </w:pPr>
          </w:p>
        </w:tc>
        <w:tc>
          <w:tcPr>
            <w:tcW w:w="1331" w:type="dxa"/>
            <w:tcBorders>
              <w:top w:val="nil"/>
              <w:left w:val="nil"/>
              <w:bottom w:val="nil"/>
              <w:right w:val="nil"/>
            </w:tcBorders>
            <w:shd w:val="clear" w:color="auto" w:fill="auto"/>
            <w:noWrap/>
            <w:vAlign w:val="bottom"/>
          </w:tcPr>
          <w:p w14:paraId="0661D9C5" w14:textId="77777777" w:rsidR="004E2F51" w:rsidRPr="00C51439" w:rsidRDefault="004E2F51" w:rsidP="00E032FC">
            <w:pPr>
              <w:jc w:val="right"/>
              <w:rPr>
                <w:rFonts w:ascii="Arial" w:hAnsi="Arial" w:cs="Arial"/>
                <w:b/>
                <w:bCs/>
                <w:color w:val="000000" w:themeColor="text1"/>
                <w:sz w:val="18"/>
                <w:szCs w:val="18"/>
                <w:lang w:val="hr-HR"/>
              </w:rPr>
            </w:pPr>
          </w:p>
        </w:tc>
      </w:tr>
      <w:tr w:rsidR="004E2F51" w:rsidRPr="00C51439" w14:paraId="02FE2E3C" w14:textId="77777777" w:rsidTr="00E032FC">
        <w:trPr>
          <w:trHeight w:val="340"/>
        </w:trPr>
        <w:tc>
          <w:tcPr>
            <w:tcW w:w="2680" w:type="dxa"/>
            <w:tcBorders>
              <w:top w:val="nil"/>
              <w:left w:val="nil"/>
              <w:bottom w:val="nil"/>
              <w:right w:val="nil"/>
            </w:tcBorders>
            <w:shd w:val="clear" w:color="auto" w:fill="auto"/>
            <w:noWrap/>
            <w:vAlign w:val="bottom"/>
            <w:hideMark/>
          </w:tcPr>
          <w:p w14:paraId="650BCBDB" w14:textId="77777777" w:rsidR="004E2F51" w:rsidRPr="00C51439" w:rsidRDefault="004E2F51" w:rsidP="00E032FC">
            <w:pPr>
              <w:rPr>
                <w:rFonts w:ascii="Arial" w:hAnsi="Arial" w:cs="Arial"/>
                <w:color w:val="000000" w:themeColor="text1"/>
                <w:sz w:val="18"/>
                <w:szCs w:val="18"/>
                <w:lang w:val="hr-HR"/>
              </w:rPr>
            </w:pPr>
            <w:r w:rsidRPr="00C51439">
              <w:rPr>
                <w:rFonts w:ascii="Arial" w:hAnsi="Arial" w:cs="Arial"/>
                <w:color w:val="000000" w:themeColor="text1"/>
                <w:sz w:val="18"/>
                <w:szCs w:val="18"/>
                <w:lang w:val="hr-HR"/>
              </w:rPr>
              <w:t>Bruto iznos</w:t>
            </w:r>
          </w:p>
        </w:tc>
        <w:tc>
          <w:tcPr>
            <w:tcW w:w="1325" w:type="dxa"/>
            <w:tcBorders>
              <w:top w:val="nil"/>
              <w:left w:val="nil"/>
              <w:bottom w:val="nil"/>
              <w:right w:val="nil"/>
            </w:tcBorders>
            <w:shd w:val="clear" w:color="auto" w:fill="auto"/>
            <w:noWrap/>
            <w:vAlign w:val="bottom"/>
          </w:tcPr>
          <w:p w14:paraId="10987CFC" w14:textId="77777777" w:rsidR="004E2F51" w:rsidRPr="00C51439" w:rsidRDefault="004E2F51" w:rsidP="00E032FC">
            <w:pPr>
              <w:jc w:val="right"/>
              <w:rPr>
                <w:rFonts w:ascii="Arial" w:hAnsi="Arial" w:cs="Arial"/>
                <w:color w:val="000000" w:themeColor="text1"/>
                <w:sz w:val="18"/>
                <w:szCs w:val="18"/>
                <w:lang w:val="hr-HR"/>
              </w:rPr>
            </w:pPr>
            <w:r w:rsidRPr="00C51439">
              <w:rPr>
                <w:rFonts w:ascii="Arial" w:hAnsi="Arial" w:cs="Arial"/>
                <w:sz w:val="18"/>
                <w:szCs w:val="18"/>
              </w:rPr>
              <w:t>13.160.690</w:t>
            </w:r>
          </w:p>
        </w:tc>
        <w:tc>
          <w:tcPr>
            <w:tcW w:w="1325" w:type="dxa"/>
            <w:tcBorders>
              <w:top w:val="nil"/>
              <w:left w:val="nil"/>
              <w:bottom w:val="nil"/>
              <w:right w:val="nil"/>
            </w:tcBorders>
            <w:shd w:val="clear" w:color="auto" w:fill="auto"/>
            <w:noWrap/>
            <w:vAlign w:val="bottom"/>
          </w:tcPr>
          <w:p w14:paraId="44FF7CA7" w14:textId="77777777" w:rsidR="004E2F51" w:rsidRPr="00C51439" w:rsidRDefault="004E2F51" w:rsidP="00E032FC">
            <w:pPr>
              <w:jc w:val="right"/>
              <w:rPr>
                <w:rFonts w:ascii="Arial" w:hAnsi="Arial" w:cs="Arial"/>
                <w:color w:val="000000" w:themeColor="text1"/>
                <w:sz w:val="18"/>
                <w:szCs w:val="18"/>
                <w:lang w:val="hr-HR"/>
              </w:rPr>
            </w:pPr>
            <w:r w:rsidRPr="00C51439">
              <w:rPr>
                <w:rFonts w:ascii="Arial" w:hAnsi="Arial" w:cs="Arial"/>
                <w:sz w:val="18"/>
                <w:szCs w:val="18"/>
              </w:rPr>
              <w:t>1.383.772</w:t>
            </w:r>
          </w:p>
        </w:tc>
        <w:tc>
          <w:tcPr>
            <w:tcW w:w="1326" w:type="dxa"/>
            <w:tcBorders>
              <w:top w:val="nil"/>
              <w:left w:val="nil"/>
              <w:bottom w:val="nil"/>
              <w:right w:val="nil"/>
            </w:tcBorders>
            <w:shd w:val="clear" w:color="auto" w:fill="auto"/>
            <w:noWrap/>
            <w:vAlign w:val="bottom"/>
          </w:tcPr>
          <w:p w14:paraId="185DF9D9" w14:textId="77777777" w:rsidR="004E2F51" w:rsidRPr="00C51439" w:rsidRDefault="004E2F51" w:rsidP="00E032FC">
            <w:pPr>
              <w:jc w:val="right"/>
              <w:rPr>
                <w:rFonts w:ascii="Arial" w:hAnsi="Arial" w:cs="Arial"/>
                <w:color w:val="000000" w:themeColor="text1"/>
                <w:sz w:val="18"/>
                <w:szCs w:val="18"/>
                <w:lang w:val="hr-HR"/>
              </w:rPr>
            </w:pPr>
            <w:r w:rsidRPr="00C51439">
              <w:rPr>
                <w:rFonts w:ascii="Arial" w:hAnsi="Arial" w:cs="Arial"/>
                <w:sz w:val="18"/>
                <w:szCs w:val="18"/>
              </w:rPr>
              <w:t>3.262.835</w:t>
            </w:r>
          </w:p>
        </w:tc>
        <w:tc>
          <w:tcPr>
            <w:tcW w:w="1325" w:type="dxa"/>
            <w:tcBorders>
              <w:top w:val="nil"/>
              <w:left w:val="nil"/>
              <w:bottom w:val="nil"/>
              <w:right w:val="nil"/>
            </w:tcBorders>
            <w:shd w:val="clear" w:color="auto" w:fill="auto"/>
            <w:vAlign w:val="bottom"/>
          </w:tcPr>
          <w:p w14:paraId="6846B1E0" w14:textId="77777777" w:rsidR="004E2F51" w:rsidRPr="00C51439" w:rsidRDefault="004E2F51" w:rsidP="00E032FC">
            <w:pPr>
              <w:jc w:val="right"/>
              <w:rPr>
                <w:rFonts w:ascii="Arial" w:hAnsi="Arial" w:cs="Arial"/>
                <w:bCs/>
                <w:color w:val="000000" w:themeColor="text1"/>
                <w:sz w:val="18"/>
                <w:szCs w:val="18"/>
                <w:lang w:val="hr-HR"/>
              </w:rPr>
            </w:pPr>
            <w:r w:rsidRPr="00C51439">
              <w:rPr>
                <w:rFonts w:ascii="Arial" w:hAnsi="Arial" w:cs="Arial"/>
                <w:sz w:val="18"/>
                <w:szCs w:val="18"/>
              </w:rPr>
              <w:t>1.412.995</w:t>
            </w:r>
          </w:p>
        </w:tc>
        <w:tc>
          <w:tcPr>
            <w:tcW w:w="1331" w:type="dxa"/>
            <w:tcBorders>
              <w:top w:val="nil"/>
              <w:left w:val="nil"/>
              <w:bottom w:val="nil"/>
              <w:right w:val="nil"/>
            </w:tcBorders>
            <w:shd w:val="clear" w:color="auto" w:fill="auto"/>
            <w:noWrap/>
            <w:vAlign w:val="bottom"/>
          </w:tcPr>
          <w:p w14:paraId="7B22D97B"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sz w:val="18"/>
                <w:szCs w:val="18"/>
              </w:rPr>
              <w:t xml:space="preserve"> 19.220.292 </w:t>
            </w:r>
          </w:p>
        </w:tc>
      </w:tr>
      <w:tr w:rsidR="004E2F51" w:rsidRPr="00C51439" w14:paraId="1285836A" w14:textId="77777777" w:rsidTr="00E032FC">
        <w:trPr>
          <w:trHeight w:val="340"/>
        </w:trPr>
        <w:tc>
          <w:tcPr>
            <w:tcW w:w="2680" w:type="dxa"/>
            <w:tcBorders>
              <w:top w:val="nil"/>
              <w:left w:val="nil"/>
              <w:bottom w:val="nil"/>
              <w:right w:val="nil"/>
            </w:tcBorders>
            <w:shd w:val="clear" w:color="auto" w:fill="auto"/>
            <w:noWrap/>
            <w:vAlign w:val="bottom"/>
            <w:hideMark/>
          </w:tcPr>
          <w:p w14:paraId="6C4072A9" w14:textId="77777777" w:rsidR="004E2F51" w:rsidRPr="00C51439" w:rsidRDefault="004E2F51" w:rsidP="00E032FC">
            <w:pPr>
              <w:rPr>
                <w:rFonts w:ascii="Arial" w:hAnsi="Arial" w:cs="Arial"/>
                <w:color w:val="000000" w:themeColor="text1"/>
                <w:sz w:val="18"/>
                <w:szCs w:val="18"/>
                <w:lang w:val="hr-HR"/>
              </w:rPr>
            </w:pPr>
            <w:r w:rsidRPr="00C51439">
              <w:rPr>
                <w:rFonts w:ascii="Arial" w:hAnsi="Arial" w:cs="Arial"/>
                <w:color w:val="000000" w:themeColor="text1"/>
                <w:sz w:val="18"/>
                <w:szCs w:val="18"/>
                <w:lang w:val="hr-HR"/>
              </w:rPr>
              <w:t>Rezerviranja</w:t>
            </w:r>
          </w:p>
        </w:tc>
        <w:tc>
          <w:tcPr>
            <w:tcW w:w="1325" w:type="dxa"/>
            <w:tcBorders>
              <w:top w:val="nil"/>
              <w:left w:val="nil"/>
              <w:bottom w:val="nil"/>
              <w:right w:val="nil"/>
            </w:tcBorders>
            <w:shd w:val="clear" w:color="auto" w:fill="auto"/>
            <w:noWrap/>
            <w:vAlign w:val="bottom"/>
          </w:tcPr>
          <w:p w14:paraId="7F7BA671" w14:textId="77777777" w:rsidR="004E2F51" w:rsidRPr="00C51439" w:rsidRDefault="004E2F51" w:rsidP="00E032FC">
            <w:pPr>
              <w:jc w:val="right"/>
              <w:rPr>
                <w:rFonts w:ascii="Arial" w:hAnsi="Arial" w:cs="Arial"/>
                <w:color w:val="000000" w:themeColor="text1"/>
                <w:sz w:val="18"/>
                <w:szCs w:val="18"/>
                <w:lang w:val="hr-HR"/>
              </w:rPr>
            </w:pPr>
            <w:r w:rsidRPr="00C51439">
              <w:rPr>
                <w:rFonts w:ascii="Arial" w:hAnsi="Arial" w:cs="Arial"/>
                <w:sz w:val="18"/>
                <w:szCs w:val="18"/>
              </w:rPr>
              <w:t xml:space="preserve"> (381.609)</w:t>
            </w:r>
          </w:p>
        </w:tc>
        <w:tc>
          <w:tcPr>
            <w:tcW w:w="1325" w:type="dxa"/>
            <w:tcBorders>
              <w:top w:val="nil"/>
              <w:left w:val="nil"/>
              <w:bottom w:val="nil"/>
              <w:right w:val="nil"/>
            </w:tcBorders>
            <w:shd w:val="clear" w:color="auto" w:fill="auto"/>
            <w:noWrap/>
            <w:vAlign w:val="bottom"/>
          </w:tcPr>
          <w:p w14:paraId="45AD474B" w14:textId="77777777" w:rsidR="004E2F51" w:rsidRPr="00C51439" w:rsidRDefault="004E2F51" w:rsidP="00E032FC">
            <w:pPr>
              <w:jc w:val="right"/>
              <w:rPr>
                <w:rFonts w:ascii="Arial" w:hAnsi="Arial" w:cs="Arial"/>
                <w:color w:val="000000" w:themeColor="text1"/>
                <w:sz w:val="18"/>
                <w:szCs w:val="18"/>
                <w:lang w:val="hr-HR"/>
              </w:rPr>
            </w:pPr>
            <w:r w:rsidRPr="00C51439">
              <w:rPr>
                <w:rFonts w:ascii="Arial" w:hAnsi="Arial" w:cs="Arial"/>
                <w:sz w:val="18"/>
                <w:szCs w:val="18"/>
              </w:rPr>
              <w:t xml:space="preserve"> (555.807)</w:t>
            </w:r>
          </w:p>
        </w:tc>
        <w:tc>
          <w:tcPr>
            <w:tcW w:w="1326" w:type="dxa"/>
            <w:tcBorders>
              <w:top w:val="nil"/>
              <w:left w:val="nil"/>
              <w:bottom w:val="nil"/>
              <w:right w:val="nil"/>
            </w:tcBorders>
            <w:shd w:val="clear" w:color="auto" w:fill="auto"/>
            <w:noWrap/>
            <w:vAlign w:val="bottom"/>
          </w:tcPr>
          <w:p w14:paraId="2394E708" w14:textId="77777777" w:rsidR="004E2F51" w:rsidRPr="00C51439" w:rsidRDefault="004E2F51" w:rsidP="00E032FC">
            <w:pPr>
              <w:jc w:val="right"/>
              <w:rPr>
                <w:rFonts w:ascii="Arial" w:hAnsi="Arial" w:cs="Arial"/>
                <w:color w:val="000000" w:themeColor="text1"/>
                <w:sz w:val="18"/>
                <w:szCs w:val="18"/>
                <w:lang w:val="hr-HR"/>
              </w:rPr>
            </w:pPr>
            <w:r w:rsidRPr="00C51439">
              <w:rPr>
                <w:rFonts w:ascii="Arial" w:hAnsi="Arial" w:cs="Arial"/>
                <w:sz w:val="18"/>
                <w:szCs w:val="18"/>
              </w:rPr>
              <w:t xml:space="preserve"> (2.099.064)</w:t>
            </w:r>
          </w:p>
        </w:tc>
        <w:tc>
          <w:tcPr>
            <w:tcW w:w="1325" w:type="dxa"/>
            <w:tcBorders>
              <w:top w:val="nil"/>
              <w:left w:val="nil"/>
              <w:bottom w:val="nil"/>
              <w:right w:val="nil"/>
            </w:tcBorders>
            <w:shd w:val="clear" w:color="auto" w:fill="auto"/>
            <w:vAlign w:val="bottom"/>
          </w:tcPr>
          <w:p w14:paraId="226FEF21" w14:textId="77777777" w:rsidR="004E2F51" w:rsidRPr="00C51439" w:rsidRDefault="004E2F51" w:rsidP="00E032FC">
            <w:pPr>
              <w:jc w:val="right"/>
              <w:rPr>
                <w:rFonts w:ascii="Arial" w:hAnsi="Arial" w:cs="Arial"/>
                <w:bCs/>
                <w:color w:val="000000" w:themeColor="text1"/>
                <w:sz w:val="18"/>
                <w:szCs w:val="18"/>
                <w:lang w:val="hr-HR"/>
              </w:rPr>
            </w:pPr>
            <w:r w:rsidRPr="00C51439">
              <w:rPr>
                <w:rFonts w:ascii="Arial" w:hAnsi="Arial" w:cs="Arial"/>
                <w:sz w:val="18"/>
                <w:szCs w:val="18"/>
              </w:rPr>
              <w:t xml:space="preserve"> (219.436)</w:t>
            </w:r>
          </w:p>
        </w:tc>
        <w:tc>
          <w:tcPr>
            <w:tcW w:w="1331" w:type="dxa"/>
            <w:tcBorders>
              <w:top w:val="nil"/>
              <w:left w:val="nil"/>
              <w:bottom w:val="nil"/>
              <w:right w:val="nil"/>
            </w:tcBorders>
            <w:shd w:val="clear" w:color="auto" w:fill="auto"/>
            <w:noWrap/>
            <w:vAlign w:val="bottom"/>
          </w:tcPr>
          <w:p w14:paraId="3B359AEF"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sz w:val="18"/>
                <w:szCs w:val="18"/>
              </w:rPr>
              <w:t xml:space="preserve"> (3.255.916)</w:t>
            </w:r>
          </w:p>
        </w:tc>
      </w:tr>
      <w:tr w:rsidR="004E2F51" w:rsidRPr="00C51439" w14:paraId="4B113978" w14:textId="77777777" w:rsidTr="00E032FC">
        <w:trPr>
          <w:trHeight w:val="510"/>
        </w:trPr>
        <w:tc>
          <w:tcPr>
            <w:tcW w:w="2680" w:type="dxa"/>
            <w:tcBorders>
              <w:top w:val="nil"/>
              <w:left w:val="nil"/>
              <w:bottom w:val="nil"/>
              <w:right w:val="nil"/>
            </w:tcBorders>
            <w:shd w:val="clear" w:color="auto" w:fill="auto"/>
            <w:noWrap/>
            <w:vAlign w:val="bottom"/>
            <w:hideMark/>
          </w:tcPr>
          <w:p w14:paraId="270F4304" w14:textId="77777777" w:rsidR="004E2F51" w:rsidRPr="00C51439" w:rsidRDefault="004E2F51" w:rsidP="00E032FC">
            <w:pPr>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Stanje na dan </w:t>
            </w:r>
          </w:p>
          <w:p w14:paraId="0F8AAB33" w14:textId="77777777" w:rsidR="004E2F51" w:rsidRPr="00C51439" w:rsidRDefault="004E2F51" w:rsidP="00E032FC">
            <w:pPr>
              <w:rPr>
                <w:rFonts w:ascii="Arial" w:hAnsi="Arial" w:cs="Arial"/>
                <w:b/>
                <w:bCs/>
                <w:color w:val="000000" w:themeColor="text1"/>
                <w:sz w:val="18"/>
                <w:szCs w:val="18"/>
                <w:lang w:val="hr-HR"/>
              </w:rPr>
            </w:pPr>
            <w:r w:rsidRPr="00C51439">
              <w:rPr>
                <w:rFonts w:ascii="Arial" w:hAnsi="Arial" w:cs="Arial"/>
                <w:b/>
                <w:bCs/>
                <w:color w:val="000000" w:themeColor="text1"/>
                <w:sz w:val="18"/>
                <w:szCs w:val="18"/>
                <w:lang w:val="hr-HR"/>
              </w:rPr>
              <w:t xml:space="preserve">31. prosinca 2021.    </w:t>
            </w:r>
          </w:p>
        </w:tc>
        <w:tc>
          <w:tcPr>
            <w:tcW w:w="1325" w:type="dxa"/>
            <w:tcBorders>
              <w:top w:val="single" w:sz="8" w:space="0" w:color="auto"/>
              <w:left w:val="nil"/>
              <w:bottom w:val="single" w:sz="12" w:space="0" w:color="000000"/>
              <w:right w:val="nil"/>
            </w:tcBorders>
            <w:shd w:val="clear" w:color="auto" w:fill="auto"/>
            <w:noWrap/>
            <w:vAlign w:val="bottom"/>
          </w:tcPr>
          <w:p w14:paraId="55D68696"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sz w:val="18"/>
                <w:szCs w:val="18"/>
              </w:rPr>
              <w:t xml:space="preserve"> 12.779.081 </w:t>
            </w:r>
          </w:p>
        </w:tc>
        <w:tc>
          <w:tcPr>
            <w:tcW w:w="1325" w:type="dxa"/>
            <w:tcBorders>
              <w:top w:val="single" w:sz="8" w:space="0" w:color="auto"/>
              <w:left w:val="nil"/>
              <w:bottom w:val="single" w:sz="12" w:space="0" w:color="000000"/>
              <w:right w:val="nil"/>
            </w:tcBorders>
            <w:shd w:val="clear" w:color="auto" w:fill="auto"/>
            <w:noWrap/>
            <w:vAlign w:val="bottom"/>
          </w:tcPr>
          <w:p w14:paraId="21F61823"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sz w:val="18"/>
                <w:szCs w:val="18"/>
              </w:rPr>
              <w:t xml:space="preserve"> 827.965 </w:t>
            </w:r>
          </w:p>
        </w:tc>
        <w:tc>
          <w:tcPr>
            <w:tcW w:w="1326" w:type="dxa"/>
            <w:tcBorders>
              <w:top w:val="single" w:sz="8" w:space="0" w:color="auto"/>
              <w:left w:val="nil"/>
              <w:bottom w:val="single" w:sz="12" w:space="0" w:color="000000"/>
              <w:right w:val="nil"/>
            </w:tcBorders>
            <w:shd w:val="clear" w:color="auto" w:fill="auto"/>
            <w:noWrap/>
            <w:vAlign w:val="bottom"/>
          </w:tcPr>
          <w:p w14:paraId="7908C2EA"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sz w:val="18"/>
                <w:szCs w:val="18"/>
              </w:rPr>
              <w:t xml:space="preserve"> 1.163.771 </w:t>
            </w:r>
          </w:p>
        </w:tc>
        <w:tc>
          <w:tcPr>
            <w:tcW w:w="1325" w:type="dxa"/>
            <w:tcBorders>
              <w:top w:val="single" w:sz="8" w:space="0" w:color="auto"/>
              <w:left w:val="nil"/>
              <w:bottom w:val="single" w:sz="12" w:space="0" w:color="000000"/>
              <w:right w:val="nil"/>
            </w:tcBorders>
            <w:shd w:val="clear" w:color="auto" w:fill="auto"/>
            <w:vAlign w:val="bottom"/>
          </w:tcPr>
          <w:p w14:paraId="602A80CB"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sz w:val="18"/>
                <w:szCs w:val="18"/>
              </w:rPr>
              <w:t xml:space="preserve"> 1.193.559 </w:t>
            </w:r>
          </w:p>
        </w:tc>
        <w:tc>
          <w:tcPr>
            <w:tcW w:w="1331" w:type="dxa"/>
            <w:tcBorders>
              <w:top w:val="single" w:sz="8" w:space="0" w:color="auto"/>
              <w:left w:val="nil"/>
              <w:bottom w:val="single" w:sz="12" w:space="0" w:color="000000"/>
              <w:right w:val="nil"/>
            </w:tcBorders>
            <w:shd w:val="clear" w:color="auto" w:fill="auto"/>
            <w:noWrap/>
            <w:vAlign w:val="bottom"/>
          </w:tcPr>
          <w:p w14:paraId="599BDA44" w14:textId="77777777" w:rsidR="004E2F51" w:rsidRPr="00C51439" w:rsidRDefault="004E2F51" w:rsidP="00E032FC">
            <w:pPr>
              <w:jc w:val="right"/>
              <w:rPr>
                <w:rFonts w:ascii="Arial" w:hAnsi="Arial" w:cs="Arial"/>
                <w:b/>
                <w:bCs/>
                <w:color w:val="000000" w:themeColor="text1"/>
                <w:sz w:val="18"/>
                <w:szCs w:val="18"/>
                <w:lang w:val="hr-HR"/>
              </w:rPr>
            </w:pPr>
            <w:r w:rsidRPr="00C51439">
              <w:rPr>
                <w:rFonts w:ascii="Arial" w:hAnsi="Arial" w:cs="Arial"/>
                <w:b/>
                <w:bCs/>
                <w:sz w:val="18"/>
                <w:szCs w:val="18"/>
              </w:rPr>
              <w:t xml:space="preserve"> 15.964.376 </w:t>
            </w:r>
          </w:p>
        </w:tc>
      </w:tr>
    </w:tbl>
    <w:p w14:paraId="6ED69778" w14:textId="77777777" w:rsidR="004E2F51" w:rsidRPr="00B91D09" w:rsidRDefault="004E2F51" w:rsidP="004E2F51">
      <w:pPr>
        <w:pStyle w:val="T1"/>
        <w:tabs>
          <w:tab w:val="left" w:pos="1134"/>
        </w:tabs>
        <w:spacing w:before="0" w:after="0" w:line="240" w:lineRule="auto"/>
        <w:rPr>
          <w:rFonts w:cs="Arial"/>
          <w:b w:val="0"/>
          <w:bCs w:val="0"/>
          <w:color w:val="000000" w:themeColor="text1"/>
          <w:sz w:val="22"/>
          <w:szCs w:val="22"/>
          <w:lang w:val="hr-HR"/>
        </w:rPr>
        <w:sectPr w:rsidR="004E2F51" w:rsidRPr="00B91D09" w:rsidSect="00623DBA">
          <w:footerReference w:type="default" r:id="rId126"/>
          <w:pgSz w:w="11907" w:h="16840" w:code="9"/>
          <w:pgMar w:top="1418" w:right="1134" w:bottom="1134" w:left="1418" w:header="851" w:footer="851" w:gutter="0"/>
          <w:cols w:space="720"/>
          <w:noEndnote/>
          <w:docGrid w:linePitch="326"/>
        </w:sectPr>
      </w:pPr>
    </w:p>
    <w:p w14:paraId="397DBF7E" w14:textId="77777777" w:rsidR="004E2F51" w:rsidRPr="00B91D09" w:rsidRDefault="004E2F51" w:rsidP="004E2F51">
      <w:pPr>
        <w:pStyle w:val="T1"/>
        <w:tabs>
          <w:tab w:val="left" w:pos="567"/>
        </w:tabs>
        <w:spacing w:before="0" w:after="0" w:line="240" w:lineRule="auto"/>
        <w:rPr>
          <w:rFonts w:cs="Arial"/>
          <w:b w:val="0"/>
          <w:bCs w:val="0"/>
          <w:color w:val="000000" w:themeColor="text1"/>
          <w:sz w:val="22"/>
          <w:szCs w:val="22"/>
          <w:lang w:val="hr-HR"/>
        </w:rPr>
      </w:pPr>
    </w:p>
    <w:p w14:paraId="28282A01"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15.</w:t>
      </w:r>
      <w:r w:rsidRPr="004B4498">
        <w:rPr>
          <w:rFonts w:cs="Arial"/>
          <w:color w:val="000000" w:themeColor="text1"/>
          <w:sz w:val="20"/>
          <w:lang w:val="hr-HR"/>
        </w:rPr>
        <w:tab/>
        <w:t>Krediti ostalim korisnicima (nastavak)</w:t>
      </w:r>
    </w:p>
    <w:p w14:paraId="27E02B0D"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5DE05E86"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Promjene na rezerviranjima za očekivane gubitke po kreditima ostalim korisnicima i kamatama mogu se prikazati kako slijedi:</w:t>
      </w:r>
    </w:p>
    <w:p w14:paraId="03971B7E" w14:textId="77777777" w:rsidR="004E2F51" w:rsidRPr="004B4498" w:rsidRDefault="004E2F51" w:rsidP="004E2F51">
      <w:pPr>
        <w:pStyle w:val="T1"/>
        <w:spacing w:before="0" w:after="0" w:line="240" w:lineRule="auto"/>
        <w:rPr>
          <w:rFonts w:cs="Arial"/>
          <w:b w:val="0"/>
          <w:bCs w:val="0"/>
          <w:color w:val="000000" w:themeColor="text1"/>
          <w:sz w:val="20"/>
          <w:lang w:val="hr-HR"/>
        </w:rPr>
      </w:pPr>
    </w:p>
    <w:tbl>
      <w:tblPr>
        <w:tblW w:w="4953" w:type="pct"/>
        <w:tblLayout w:type="fixed"/>
        <w:tblLook w:val="04A0" w:firstRow="1" w:lastRow="0" w:firstColumn="1" w:lastColumn="0" w:noHBand="0" w:noVBand="1"/>
      </w:tblPr>
      <w:tblGrid>
        <w:gridCol w:w="5566"/>
        <w:gridCol w:w="1948"/>
        <w:gridCol w:w="1753"/>
      </w:tblGrid>
      <w:tr w:rsidR="004E2F51" w:rsidRPr="00BB3F2C" w14:paraId="4880AD0E" w14:textId="77777777" w:rsidTr="00E032FC">
        <w:trPr>
          <w:trHeight w:val="216"/>
        </w:trPr>
        <w:tc>
          <w:tcPr>
            <w:tcW w:w="3003" w:type="pct"/>
            <w:tcBorders>
              <w:top w:val="nil"/>
              <w:left w:val="nil"/>
              <w:bottom w:val="nil"/>
              <w:right w:val="nil"/>
            </w:tcBorders>
            <w:shd w:val="clear" w:color="auto" w:fill="auto"/>
            <w:noWrap/>
            <w:vAlign w:val="bottom"/>
            <w:hideMark/>
          </w:tcPr>
          <w:p w14:paraId="570657F6" w14:textId="77777777" w:rsidR="004E2F51" w:rsidRPr="004B4498" w:rsidRDefault="004E2F51" w:rsidP="00E032FC">
            <w:pPr>
              <w:rPr>
                <w:rFonts w:ascii="Arial" w:hAnsi="Arial" w:cs="Arial"/>
                <w:color w:val="000000" w:themeColor="text1"/>
                <w:sz w:val="20"/>
                <w:szCs w:val="20"/>
                <w:lang w:val="hr-HR"/>
              </w:rPr>
            </w:pPr>
            <w:bookmarkStart w:id="1043" w:name="_Hlk28355762"/>
          </w:p>
        </w:tc>
        <w:tc>
          <w:tcPr>
            <w:tcW w:w="1997" w:type="pct"/>
            <w:gridSpan w:val="2"/>
            <w:tcBorders>
              <w:top w:val="nil"/>
              <w:left w:val="nil"/>
              <w:bottom w:val="nil"/>
              <w:right w:val="nil"/>
            </w:tcBorders>
            <w:shd w:val="clear" w:color="auto" w:fill="auto"/>
            <w:vAlign w:val="center"/>
            <w:hideMark/>
          </w:tcPr>
          <w:p w14:paraId="29695222" w14:textId="77777777" w:rsidR="004E2F51" w:rsidRPr="004B4498" w:rsidRDefault="004E2F51" w:rsidP="00E032FC">
            <w:pPr>
              <w:jc w:val="right"/>
              <w:rPr>
                <w:rFonts w:ascii="Arial" w:hAnsi="Arial" w:cs="Arial"/>
                <w:b/>
                <w:bCs/>
                <w:color w:val="000000" w:themeColor="text1"/>
                <w:sz w:val="20"/>
                <w:szCs w:val="20"/>
              </w:rPr>
            </w:pPr>
            <w:r w:rsidRPr="004B4498">
              <w:rPr>
                <w:rFonts w:ascii="Arial" w:hAnsi="Arial" w:cs="Arial"/>
                <w:b/>
                <w:bCs/>
                <w:color w:val="000000" w:themeColor="text1"/>
                <w:sz w:val="20"/>
                <w:szCs w:val="20"/>
              </w:rPr>
              <w:t>Grupa i Banka</w:t>
            </w:r>
          </w:p>
        </w:tc>
      </w:tr>
      <w:tr w:rsidR="004E2F51" w:rsidRPr="00BB3F2C" w14:paraId="0C6299D5" w14:textId="77777777" w:rsidTr="00E032FC">
        <w:trPr>
          <w:trHeight w:val="216"/>
        </w:trPr>
        <w:tc>
          <w:tcPr>
            <w:tcW w:w="3003" w:type="pct"/>
            <w:tcBorders>
              <w:top w:val="nil"/>
              <w:left w:val="nil"/>
              <w:bottom w:val="nil"/>
              <w:right w:val="nil"/>
            </w:tcBorders>
            <w:shd w:val="clear" w:color="auto" w:fill="auto"/>
            <w:noWrap/>
            <w:vAlign w:val="bottom"/>
          </w:tcPr>
          <w:p w14:paraId="0B7BCF9A" w14:textId="77777777" w:rsidR="004E2F51" w:rsidRPr="004B4498" w:rsidRDefault="004E2F51" w:rsidP="00E032FC">
            <w:pPr>
              <w:rPr>
                <w:rFonts w:ascii="Arial" w:hAnsi="Arial" w:cs="Arial"/>
                <w:color w:val="000000" w:themeColor="text1"/>
                <w:sz w:val="20"/>
                <w:szCs w:val="20"/>
              </w:rPr>
            </w:pPr>
          </w:p>
        </w:tc>
        <w:tc>
          <w:tcPr>
            <w:tcW w:w="1051" w:type="pct"/>
            <w:vAlign w:val="bottom"/>
          </w:tcPr>
          <w:p w14:paraId="27D7EE6F" w14:textId="77777777" w:rsidR="004E2F51" w:rsidRPr="004B4498" w:rsidRDefault="004E2F51" w:rsidP="00E032FC">
            <w:pPr>
              <w:pStyle w:val="TH"/>
              <w:spacing w:line="240" w:lineRule="auto"/>
              <w:jc w:val="right"/>
              <w:rPr>
                <w:rFonts w:cs="Arial"/>
                <w:color w:val="000000" w:themeColor="text1"/>
                <w:sz w:val="20"/>
                <w:lang w:val="hr-HR"/>
              </w:rPr>
            </w:pPr>
            <w:bookmarkStart w:id="1044" w:name="_Toc67328091"/>
            <w:r w:rsidRPr="004B4498">
              <w:rPr>
                <w:rFonts w:cs="Arial"/>
                <w:color w:val="000000" w:themeColor="text1"/>
                <w:sz w:val="20"/>
                <w:lang w:val="hr-HR"/>
              </w:rPr>
              <w:t>1.1.-31.12.</w:t>
            </w:r>
            <w:bookmarkEnd w:id="1044"/>
          </w:p>
          <w:p w14:paraId="21E2E79A" w14:textId="77777777" w:rsidR="004E2F51" w:rsidRPr="004B4498" w:rsidRDefault="004E2F51" w:rsidP="00E032FC">
            <w:pPr>
              <w:pStyle w:val="TH"/>
              <w:spacing w:line="240" w:lineRule="auto"/>
              <w:jc w:val="right"/>
              <w:rPr>
                <w:rFonts w:cs="Arial"/>
                <w:color w:val="000000" w:themeColor="text1"/>
                <w:sz w:val="20"/>
                <w:lang w:val="hr-HR"/>
              </w:rPr>
            </w:pPr>
            <w:bookmarkStart w:id="1045" w:name="_Toc67328092"/>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1045"/>
          </w:p>
        </w:tc>
        <w:tc>
          <w:tcPr>
            <w:tcW w:w="946" w:type="pct"/>
            <w:vAlign w:val="bottom"/>
          </w:tcPr>
          <w:p w14:paraId="18DBB92B" w14:textId="77777777" w:rsidR="004E2F51" w:rsidRPr="004B4498" w:rsidRDefault="004E2F51" w:rsidP="00E032FC">
            <w:pPr>
              <w:pStyle w:val="TH"/>
              <w:spacing w:line="240" w:lineRule="auto"/>
              <w:jc w:val="right"/>
              <w:rPr>
                <w:rFonts w:cs="Arial"/>
                <w:color w:val="000000" w:themeColor="text1"/>
                <w:sz w:val="20"/>
                <w:lang w:val="hr-HR"/>
              </w:rPr>
            </w:pPr>
            <w:bookmarkStart w:id="1046" w:name="_Toc67328093"/>
            <w:r w:rsidRPr="004B4498">
              <w:rPr>
                <w:rFonts w:cs="Arial"/>
                <w:color w:val="000000" w:themeColor="text1"/>
                <w:sz w:val="20"/>
                <w:lang w:val="hr-HR"/>
              </w:rPr>
              <w:t>1.1.-31.12.</w:t>
            </w:r>
            <w:bookmarkEnd w:id="1046"/>
          </w:p>
          <w:p w14:paraId="405B5F44" w14:textId="77777777" w:rsidR="004E2F51" w:rsidRPr="004B4498" w:rsidRDefault="004E2F51" w:rsidP="00E032FC">
            <w:pPr>
              <w:pStyle w:val="TH"/>
              <w:spacing w:line="240" w:lineRule="auto"/>
              <w:jc w:val="right"/>
              <w:rPr>
                <w:rFonts w:cs="Arial"/>
                <w:color w:val="000000" w:themeColor="text1"/>
                <w:sz w:val="20"/>
                <w:lang w:val="hr-HR"/>
              </w:rPr>
            </w:pPr>
            <w:bookmarkStart w:id="1047" w:name="_Toc67328094"/>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1047"/>
          </w:p>
        </w:tc>
      </w:tr>
      <w:tr w:rsidR="004E2F51" w:rsidRPr="00BB3F2C" w14:paraId="21A6C2B2" w14:textId="77777777" w:rsidTr="00E032FC">
        <w:trPr>
          <w:trHeight w:val="206"/>
        </w:trPr>
        <w:tc>
          <w:tcPr>
            <w:tcW w:w="3003" w:type="pct"/>
            <w:tcBorders>
              <w:top w:val="nil"/>
              <w:left w:val="nil"/>
              <w:bottom w:val="nil"/>
              <w:right w:val="nil"/>
            </w:tcBorders>
            <w:shd w:val="clear" w:color="auto" w:fill="auto"/>
            <w:vAlign w:val="center"/>
            <w:hideMark/>
          </w:tcPr>
          <w:p w14:paraId="3DB449F5" w14:textId="77777777" w:rsidR="004E2F51" w:rsidRPr="004B4498" w:rsidRDefault="004E2F51" w:rsidP="00E032FC">
            <w:pPr>
              <w:jc w:val="right"/>
              <w:rPr>
                <w:rFonts w:ascii="Arial" w:hAnsi="Arial" w:cs="Arial"/>
                <w:b/>
                <w:bCs/>
                <w:color w:val="000000" w:themeColor="text1"/>
                <w:sz w:val="20"/>
                <w:szCs w:val="20"/>
              </w:rPr>
            </w:pPr>
          </w:p>
        </w:tc>
        <w:tc>
          <w:tcPr>
            <w:tcW w:w="1051" w:type="pct"/>
            <w:tcBorders>
              <w:top w:val="nil"/>
              <w:left w:val="nil"/>
              <w:bottom w:val="nil"/>
              <w:right w:val="nil"/>
            </w:tcBorders>
            <w:shd w:val="clear" w:color="auto" w:fill="auto"/>
            <w:vAlign w:val="center"/>
            <w:hideMark/>
          </w:tcPr>
          <w:p w14:paraId="48862414" w14:textId="77777777" w:rsidR="004E2F51" w:rsidRPr="004B4498" w:rsidRDefault="004E2F51" w:rsidP="00E032FC">
            <w:pPr>
              <w:jc w:val="right"/>
              <w:rPr>
                <w:rFonts w:ascii="Arial" w:hAnsi="Arial" w:cs="Arial"/>
                <w:b/>
                <w:bCs/>
                <w:color w:val="000000" w:themeColor="text1"/>
                <w:sz w:val="20"/>
                <w:szCs w:val="20"/>
              </w:rPr>
            </w:pPr>
            <w:r w:rsidRPr="004B4498">
              <w:rPr>
                <w:rFonts w:ascii="Arial" w:hAnsi="Arial" w:cs="Arial"/>
                <w:b/>
                <w:bCs/>
                <w:color w:val="000000" w:themeColor="text1"/>
                <w:sz w:val="20"/>
                <w:szCs w:val="20"/>
              </w:rPr>
              <w:t xml:space="preserve">000 </w:t>
            </w:r>
            <w:proofErr w:type="spellStart"/>
            <w:r w:rsidRPr="004B4498">
              <w:rPr>
                <w:rFonts w:ascii="Arial" w:hAnsi="Arial" w:cs="Arial"/>
                <w:b/>
                <w:bCs/>
                <w:color w:val="000000" w:themeColor="text1"/>
                <w:sz w:val="20"/>
                <w:szCs w:val="20"/>
              </w:rPr>
              <w:t>kuna</w:t>
            </w:r>
            <w:proofErr w:type="spellEnd"/>
          </w:p>
        </w:tc>
        <w:tc>
          <w:tcPr>
            <w:tcW w:w="946" w:type="pct"/>
            <w:tcBorders>
              <w:top w:val="nil"/>
              <w:left w:val="nil"/>
              <w:right w:val="nil"/>
            </w:tcBorders>
            <w:shd w:val="clear" w:color="auto" w:fill="auto"/>
            <w:vAlign w:val="center"/>
          </w:tcPr>
          <w:p w14:paraId="5D22F891" w14:textId="77777777" w:rsidR="004E2F51" w:rsidRPr="004B4498" w:rsidRDefault="004E2F51" w:rsidP="00E032FC">
            <w:pPr>
              <w:jc w:val="right"/>
              <w:rPr>
                <w:rFonts w:ascii="Arial" w:hAnsi="Arial" w:cs="Arial"/>
                <w:b/>
                <w:bCs/>
                <w:color w:val="000000" w:themeColor="text1"/>
                <w:sz w:val="20"/>
                <w:szCs w:val="20"/>
              </w:rPr>
            </w:pPr>
            <w:r w:rsidRPr="004B4498">
              <w:rPr>
                <w:rFonts w:ascii="Arial" w:hAnsi="Arial" w:cs="Arial"/>
                <w:b/>
                <w:bCs/>
                <w:color w:val="000000" w:themeColor="text1"/>
                <w:sz w:val="20"/>
                <w:szCs w:val="20"/>
              </w:rPr>
              <w:t xml:space="preserve">000 </w:t>
            </w:r>
            <w:proofErr w:type="spellStart"/>
            <w:r w:rsidRPr="004B4498">
              <w:rPr>
                <w:rFonts w:ascii="Arial" w:hAnsi="Arial" w:cs="Arial"/>
                <w:b/>
                <w:bCs/>
                <w:color w:val="000000" w:themeColor="text1"/>
                <w:sz w:val="20"/>
                <w:szCs w:val="20"/>
              </w:rPr>
              <w:t>kuna</w:t>
            </w:r>
            <w:proofErr w:type="spellEnd"/>
          </w:p>
        </w:tc>
      </w:tr>
      <w:tr w:rsidR="004E2F51" w:rsidRPr="00BB3F2C" w14:paraId="054947B1" w14:textId="77777777" w:rsidTr="00E032FC">
        <w:trPr>
          <w:trHeight w:val="503"/>
        </w:trPr>
        <w:tc>
          <w:tcPr>
            <w:tcW w:w="3003" w:type="pct"/>
            <w:tcBorders>
              <w:top w:val="nil"/>
              <w:left w:val="nil"/>
              <w:bottom w:val="nil"/>
              <w:right w:val="nil"/>
            </w:tcBorders>
            <w:shd w:val="clear" w:color="auto" w:fill="auto"/>
            <w:vAlign w:val="bottom"/>
          </w:tcPr>
          <w:p w14:paraId="1587EF59"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Stanje 1. siječnja</w:t>
            </w:r>
          </w:p>
        </w:tc>
        <w:tc>
          <w:tcPr>
            <w:tcW w:w="1051" w:type="pct"/>
            <w:tcBorders>
              <w:top w:val="nil"/>
              <w:left w:val="nil"/>
              <w:right w:val="nil"/>
            </w:tcBorders>
            <w:shd w:val="clear" w:color="auto" w:fill="auto"/>
            <w:noWrap/>
            <w:vAlign w:val="bottom"/>
          </w:tcPr>
          <w:p w14:paraId="1AF5E427" w14:textId="77777777" w:rsidR="004E2F51" w:rsidRPr="004B4498" w:rsidRDefault="004E2F51" w:rsidP="00E032FC">
            <w:pPr>
              <w:jc w:val="right"/>
              <w:rPr>
                <w:rFonts w:ascii="Arial" w:hAnsi="Arial" w:cs="Arial"/>
                <w:color w:val="000000" w:themeColor="text1"/>
                <w:sz w:val="20"/>
                <w:szCs w:val="20"/>
              </w:rPr>
            </w:pPr>
            <w:r w:rsidRPr="00DA3A0E">
              <w:rPr>
                <w:rFonts w:ascii="Arial" w:hAnsi="Arial" w:cs="Arial"/>
                <w:color w:val="000000" w:themeColor="text1"/>
                <w:sz w:val="20"/>
                <w:szCs w:val="20"/>
              </w:rPr>
              <w:t>3.255.916</w:t>
            </w:r>
          </w:p>
        </w:tc>
        <w:tc>
          <w:tcPr>
            <w:tcW w:w="946" w:type="pct"/>
            <w:tcBorders>
              <w:top w:val="nil"/>
              <w:left w:val="nil"/>
              <w:right w:val="nil"/>
            </w:tcBorders>
            <w:shd w:val="clear" w:color="auto" w:fill="auto"/>
            <w:vAlign w:val="bottom"/>
          </w:tcPr>
          <w:p w14:paraId="663E7632" w14:textId="77777777" w:rsidR="004E2F51" w:rsidRPr="004B4498" w:rsidRDefault="004E2F51" w:rsidP="00E032FC">
            <w:pPr>
              <w:jc w:val="right"/>
              <w:rPr>
                <w:rFonts w:ascii="Arial" w:hAnsi="Arial" w:cs="Arial"/>
                <w:color w:val="000000" w:themeColor="text1"/>
                <w:sz w:val="20"/>
                <w:szCs w:val="20"/>
              </w:rPr>
            </w:pPr>
            <w:r w:rsidRPr="0046584E">
              <w:rPr>
                <w:rFonts w:ascii="Arial" w:hAnsi="Arial" w:cs="Arial"/>
                <w:color w:val="000000" w:themeColor="text1"/>
                <w:sz w:val="20"/>
                <w:szCs w:val="20"/>
              </w:rPr>
              <w:t>3.475.730</w:t>
            </w:r>
          </w:p>
        </w:tc>
      </w:tr>
      <w:tr w:rsidR="004E2F51" w:rsidRPr="00BB3F2C" w14:paraId="5ABA5799" w14:textId="77777777" w:rsidTr="00E032FC">
        <w:trPr>
          <w:trHeight w:val="337"/>
        </w:trPr>
        <w:tc>
          <w:tcPr>
            <w:tcW w:w="3003" w:type="pct"/>
            <w:tcBorders>
              <w:top w:val="nil"/>
              <w:left w:val="nil"/>
              <w:bottom w:val="nil"/>
              <w:right w:val="nil"/>
            </w:tcBorders>
            <w:shd w:val="clear" w:color="auto" w:fill="auto"/>
            <w:vAlign w:val="bottom"/>
          </w:tcPr>
          <w:p w14:paraId="674FF783"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Neto </w:t>
            </w:r>
            <w:r w:rsidRPr="00DA3A0E">
              <w:rPr>
                <w:rFonts w:ascii="Arial" w:hAnsi="Arial" w:cs="Arial"/>
                <w:color w:val="000000" w:themeColor="text1"/>
                <w:sz w:val="20"/>
                <w:szCs w:val="20"/>
                <w:lang w:val="hr-HR"/>
              </w:rPr>
              <w:t>povećanje</w:t>
            </w:r>
            <w:r w:rsidRPr="004B4498">
              <w:rPr>
                <w:rFonts w:ascii="Arial" w:hAnsi="Arial" w:cs="Arial"/>
                <w:color w:val="000000" w:themeColor="text1"/>
                <w:sz w:val="20"/>
                <w:szCs w:val="20"/>
                <w:lang w:val="hr-HR"/>
              </w:rPr>
              <w:t xml:space="preserve"> rezerviranja za očekivane gubitke po kreditima ostalim korisnicima i kamatama</w:t>
            </w:r>
          </w:p>
        </w:tc>
        <w:tc>
          <w:tcPr>
            <w:tcW w:w="1051" w:type="pct"/>
            <w:tcBorders>
              <w:left w:val="nil"/>
              <w:bottom w:val="single" w:sz="4" w:space="0" w:color="auto"/>
              <w:right w:val="nil"/>
            </w:tcBorders>
            <w:shd w:val="clear" w:color="auto" w:fill="auto"/>
            <w:vAlign w:val="bottom"/>
          </w:tcPr>
          <w:p w14:paraId="01D74EDC" w14:textId="77777777" w:rsidR="004E2F51" w:rsidRPr="004B4498" w:rsidRDefault="004E2F51" w:rsidP="00E032FC">
            <w:pPr>
              <w:jc w:val="right"/>
              <w:rPr>
                <w:rFonts w:ascii="Arial" w:hAnsi="Arial" w:cs="Arial"/>
                <w:color w:val="000000" w:themeColor="text1"/>
                <w:sz w:val="20"/>
                <w:szCs w:val="20"/>
              </w:rPr>
            </w:pPr>
            <w:r w:rsidRPr="00DA3A0E">
              <w:rPr>
                <w:rFonts w:ascii="Arial" w:hAnsi="Arial" w:cs="Arial"/>
                <w:color w:val="000000" w:themeColor="text1"/>
                <w:sz w:val="20"/>
                <w:szCs w:val="20"/>
              </w:rPr>
              <w:t>129.990</w:t>
            </w:r>
          </w:p>
        </w:tc>
        <w:tc>
          <w:tcPr>
            <w:tcW w:w="946" w:type="pct"/>
            <w:tcBorders>
              <w:left w:val="nil"/>
              <w:bottom w:val="single" w:sz="4" w:space="0" w:color="auto"/>
              <w:right w:val="nil"/>
            </w:tcBorders>
            <w:shd w:val="clear" w:color="auto" w:fill="auto"/>
            <w:vAlign w:val="bottom"/>
          </w:tcPr>
          <w:p w14:paraId="3BF90179" w14:textId="77777777" w:rsidR="004E2F51" w:rsidRPr="004B4498" w:rsidRDefault="004E2F51" w:rsidP="00E032FC">
            <w:pPr>
              <w:jc w:val="right"/>
              <w:rPr>
                <w:rFonts w:ascii="Arial" w:hAnsi="Arial" w:cs="Arial"/>
                <w:color w:val="000000" w:themeColor="text1"/>
                <w:sz w:val="20"/>
                <w:szCs w:val="20"/>
              </w:rPr>
            </w:pPr>
            <w:r w:rsidRPr="0046584E">
              <w:rPr>
                <w:rFonts w:ascii="Arial" w:hAnsi="Arial" w:cs="Arial"/>
                <w:color w:val="000000" w:themeColor="text1"/>
                <w:sz w:val="20"/>
                <w:szCs w:val="20"/>
              </w:rPr>
              <w:t>78.124</w:t>
            </w:r>
          </w:p>
        </w:tc>
      </w:tr>
      <w:tr w:rsidR="004E2F51" w:rsidRPr="00BB3F2C" w14:paraId="56279997" w14:textId="77777777" w:rsidTr="00E032FC">
        <w:trPr>
          <w:trHeight w:val="337"/>
        </w:trPr>
        <w:tc>
          <w:tcPr>
            <w:tcW w:w="3003" w:type="pct"/>
            <w:tcBorders>
              <w:top w:val="nil"/>
              <w:left w:val="nil"/>
              <w:bottom w:val="nil"/>
              <w:right w:val="nil"/>
            </w:tcBorders>
            <w:shd w:val="clear" w:color="auto" w:fill="auto"/>
            <w:vAlign w:val="bottom"/>
          </w:tcPr>
          <w:p w14:paraId="39BF74DB" w14:textId="77777777" w:rsidR="004E2F51" w:rsidRPr="004B4498" w:rsidRDefault="004E2F51" w:rsidP="00E032FC">
            <w:pPr>
              <w:rPr>
                <w:rFonts w:ascii="Arial" w:hAnsi="Arial" w:cs="Arial"/>
                <w:i/>
                <w:iCs/>
                <w:color w:val="000000" w:themeColor="text1"/>
                <w:sz w:val="20"/>
                <w:szCs w:val="20"/>
                <w:lang w:val="hr-HR"/>
              </w:rPr>
            </w:pPr>
            <w:r w:rsidRPr="004B4498">
              <w:rPr>
                <w:rFonts w:ascii="Arial" w:hAnsi="Arial" w:cs="Arial"/>
                <w:i/>
                <w:iCs/>
                <w:color w:val="000000" w:themeColor="text1"/>
                <w:sz w:val="20"/>
                <w:szCs w:val="20"/>
                <w:lang w:val="hr-HR"/>
              </w:rPr>
              <w:t xml:space="preserve">Ukupno kroz dobit ili </w:t>
            </w:r>
            <w:r w:rsidRPr="00A873BB">
              <w:rPr>
                <w:rFonts w:ascii="Arial" w:hAnsi="Arial" w:cs="Arial"/>
                <w:i/>
                <w:iCs/>
                <w:color w:val="000000" w:themeColor="text1"/>
                <w:sz w:val="20"/>
                <w:szCs w:val="20"/>
                <w:lang w:val="hr-HR"/>
              </w:rPr>
              <w:t>gubitak (bilješka 10)</w:t>
            </w:r>
          </w:p>
        </w:tc>
        <w:tc>
          <w:tcPr>
            <w:tcW w:w="1051" w:type="pct"/>
            <w:tcBorders>
              <w:top w:val="single" w:sz="4" w:space="0" w:color="auto"/>
              <w:left w:val="nil"/>
              <w:bottom w:val="single" w:sz="4" w:space="0" w:color="auto"/>
              <w:right w:val="nil"/>
            </w:tcBorders>
            <w:shd w:val="clear" w:color="auto" w:fill="auto"/>
            <w:vAlign w:val="bottom"/>
          </w:tcPr>
          <w:p w14:paraId="00F2BB19" w14:textId="77777777" w:rsidR="004E2F51" w:rsidRPr="004B4498" w:rsidRDefault="004E2F51" w:rsidP="00E032FC">
            <w:pPr>
              <w:jc w:val="right"/>
              <w:rPr>
                <w:rFonts w:ascii="Arial" w:hAnsi="Arial" w:cs="Arial"/>
                <w:bCs/>
                <w:i/>
                <w:color w:val="000000" w:themeColor="text1"/>
                <w:sz w:val="20"/>
                <w:szCs w:val="20"/>
              </w:rPr>
            </w:pPr>
            <w:r w:rsidRPr="00DA3A0E">
              <w:rPr>
                <w:rFonts w:ascii="Arial" w:hAnsi="Arial" w:cs="Arial"/>
                <w:bCs/>
                <w:i/>
                <w:color w:val="000000" w:themeColor="text1"/>
                <w:sz w:val="20"/>
                <w:szCs w:val="20"/>
              </w:rPr>
              <w:t>129.990</w:t>
            </w:r>
          </w:p>
        </w:tc>
        <w:tc>
          <w:tcPr>
            <w:tcW w:w="946" w:type="pct"/>
            <w:tcBorders>
              <w:top w:val="single" w:sz="4" w:space="0" w:color="auto"/>
              <w:left w:val="nil"/>
              <w:bottom w:val="single" w:sz="4" w:space="0" w:color="auto"/>
              <w:right w:val="nil"/>
            </w:tcBorders>
            <w:shd w:val="clear" w:color="auto" w:fill="auto"/>
            <w:vAlign w:val="bottom"/>
          </w:tcPr>
          <w:p w14:paraId="7B0050C5" w14:textId="77777777" w:rsidR="004E2F51" w:rsidRPr="004B4498" w:rsidRDefault="004E2F51" w:rsidP="00E032FC">
            <w:pPr>
              <w:jc w:val="right"/>
              <w:rPr>
                <w:rFonts w:ascii="Arial" w:hAnsi="Arial" w:cs="Arial"/>
                <w:i/>
                <w:color w:val="000000" w:themeColor="text1"/>
                <w:sz w:val="20"/>
                <w:szCs w:val="20"/>
              </w:rPr>
            </w:pPr>
            <w:r w:rsidRPr="0046584E">
              <w:rPr>
                <w:rFonts w:ascii="Arial" w:hAnsi="Arial" w:cs="Arial"/>
                <w:bCs/>
                <w:i/>
                <w:color w:val="000000" w:themeColor="text1"/>
                <w:sz w:val="20"/>
                <w:szCs w:val="20"/>
              </w:rPr>
              <w:t>78.124</w:t>
            </w:r>
          </w:p>
        </w:tc>
      </w:tr>
      <w:tr w:rsidR="004E2F51" w:rsidRPr="00BB3F2C" w14:paraId="44FAFE93" w14:textId="77777777" w:rsidTr="00E032FC">
        <w:trPr>
          <w:trHeight w:val="337"/>
        </w:trPr>
        <w:tc>
          <w:tcPr>
            <w:tcW w:w="3003" w:type="pct"/>
            <w:tcBorders>
              <w:top w:val="nil"/>
              <w:left w:val="nil"/>
              <w:bottom w:val="nil"/>
              <w:right w:val="nil"/>
            </w:tcBorders>
            <w:shd w:val="clear" w:color="auto" w:fill="auto"/>
            <w:vAlign w:val="bottom"/>
          </w:tcPr>
          <w:p w14:paraId="483C1D2E"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Neto dobit/gubitak od tečajnih razlika po rezerviranjima za očekivane gubitke </w:t>
            </w:r>
          </w:p>
        </w:tc>
        <w:tc>
          <w:tcPr>
            <w:tcW w:w="1051" w:type="pct"/>
            <w:tcBorders>
              <w:top w:val="single" w:sz="4" w:space="0" w:color="auto"/>
              <w:left w:val="nil"/>
              <w:right w:val="nil"/>
            </w:tcBorders>
            <w:shd w:val="clear" w:color="auto" w:fill="auto"/>
            <w:vAlign w:val="bottom"/>
          </w:tcPr>
          <w:p w14:paraId="45385A0F" w14:textId="77777777" w:rsidR="004E2F51" w:rsidRPr="004B4498" w:rsidRDefault="004E2F51" w:rsidP="00E032FC">
            <w:pPr>
              <w:jc w:val="right"/>
              <w:rPr>
                <w:rFonts w:ascii="Arial" w:hAnsi="Arial" w:cs="Arial"/>
                <w:color w:val="000000" w:themeColor="text1"/>
                <w:sz w:val="20"/>
                <w:szCs w:val="20"/>
              </w:rPr>
            </w:pPr>
            <w:r w:rsidRPr="00DA3A0E">
              <w:rPr>
                <w:rFonts w:ascii="Arial" w:hAnsi="Arial" w:cs="Arial"/>
                <w:color w:val="000000" w:themeColor="text1"/>
                <w:sz w:val="20"/>
                <w:szCs w:val="20"/>
              </w:rPr>
              <w:t xml:space="preserve"> 10.178 </w:t>
            </w:r>
          </w:p>
        </w:tc>
        <w:tc>
          <w:tcPr>
            <w:tcW w:w="946" w:type="pct"/>
            <w:tcBorders>
              <w:top w:val="single" w:sz="4" w:space="0" w:color="auto"/>
              <w:left w:val="nil"/>
              <w:right w:val="nil"/>
            </w:tcBorders>
            <w:shd w:val="clear" w:color="auto" w:fill="auto"/>
            <w:vAlign w:val="bottom"/>
          </w:tcPr>
          <w:p w14:paraId="1DE3BDF4" w14:textId="77777777" w:rsidR="004E2F51" w:rsidRPr="004B4498" w:rsidRDefault="004E2F51" w:rsidP="00E032FC">
            <w:pPr>
              <w:jc w:val="right"/>
              <w:rPr>
                <w:rFonts w:ascii="Arial" w:hAnsi="Arial" w:cs="Arial"/>
                <w:color w:val="000000" w:themeColor="text1"/>
                <w:sz w:val="20"/>
                <w:szCs w:val="20"/>
              </w:rPr>
            </w:pPr>
            <w:r w:rsidRPr="0046584E">
              <w:rPr>
                <w:rFonts w:ascii="Arial" w:hAnsi="Arial" w:cs="Arial"/>
                <w:color w:val="000000" w:themeColor="text1"/>
                <w:sz w:val="20"/>
                <w:szCs w:val="20"/>
              </w:rPr>
              <w:t>10.478</w:t>
            </w:r>
          </w:p>
        </w:tc>
      </w:tr>
      <w:tr w:rsidR="004E2F51" w:rsidRPr="00BB3F2C" w14:paraId="71C0BAE8" w14:textId="77777777" w:rsidTr="00E032FC">
        <w:trPr>
          <w:trHeight w:val="337"/>
        </w:trPr>
        <w:tc>
          <w:tcPr>
            <w:tcW w:w="3003" w:type="pct"/>
            <w:tcBorders>
              <w:top w:val="nil"/>
              <w:left w:val="nil"/>
              <w:bottom w:val="nil"/>
              <w:right w:val="nil"/>
            </w:tcBorders>
            <w:shd w:val="clear" w:color="auto" w:fill="auto"/>
            <w:vAlign w:val="bottom"/>
          </w:tcPr>
          <w:p w14:paraId="6C052B6F"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Otpis</w:t>
            </w:r>
          </w:p>
        </w:tc>
        <w:tc>
          <w:tcPr>
            <w:tcW w:w="1051" w:type="pct"/>
            <w:tcBorders>
              <w:left w:val="nil"/>
              <w:right w:val="nil"/>
            </w:tcBorders>
            <w:shd w:val="clear" w:color="auto" w:fill="auto"/>
            <w:vAlign w:val="bottom"/>
          </w:tcPr>
          <w:p w14:paraId="1D603FF5" w14:textId="77777777" w:rsidR="004E2F51" w:rsidRPr="004B4498" w:rsidRDefault="004E2F51" w:rsidP="00E032FC">
            <w:pPr>
              <w:jc w:val="right"/>
              <w:rPr>
                <w:rFonts w:ascii="Arial" w:hAnsi="Arial" w:cs="Arial"/>
                <w:color w:val="000000" w:themeColor="text1"/>
                <w:sz w:val="20"/>
                <w:szCs w:val="20"/>
              </w:rPr>
            </w:pPr>
            <w:r w:rsidRPr="00DA3A0E">
              <w:rPr>
                <w:rFonts w:ascii="Arial" w:hAnsi="Arial" w:cs="Arial"/>
                <w:color w:val="000000" w:themeColor="text1"/>
                <w:sz w:val="20"/>
                <w:szCs w:val="20"/>
              </w:rPr>
              <w:t xml:space="preserve"> (28.183)</w:t>
            </w:r>
          </w:p>
        </w:tc>
        <w:tc>
          <w:tcPr>
            <w:tcW w:w="946" w:type="pct"/>
            <w:tcBorders>
              <w:left w:val="nil"/>
              <w:right w:val="nil"/>
            </w:tcBorders>
            <w:shd w:val="clear" w:color="auto" w:fill="auto"/>
            <w:vAlign w:val="bottom"/>
          </w:tcPr>
          <w:p w14:paraId="10824C95" w14:textId="77777777" w:rsidR="004E2F51" w:rsidRPr="004B4498" w:rsidRDefault="004E2F51" w:rsidP="00E032FC">
            <w:pPr>
              <w:jc w:val="right"/>
              <w:rPr>
                <w:rFonts w:ascii="Arial" w:hAnsi="Arial" w:cs="Arial"/>
                <w:color w:val="000000" w:themeColor="text1"/>
                <w:sz w:val="20"/>
                <w:szCs w:val="20"/>
              </w:rPr>
            </w:pPr>
            <w:r w:rsidRPr="0046584E">
              <w:rPr>
                <w:rFonts w:ascii="Arial" w:hAnsi="Arial" w:cs="Arial"/>
                <w:color w:val="000000" w:themeColor="text1"/>
                <w:sz w:val="20"/>
                <w:szCs w:val="20"/>
              </w:rPr>
              <w:t>(35.053)</w:t>
            </w:r>
          </w:p>
        </w:tc>
      </w:tr>
      <w:tr w:rsidR="004E2F51" w:rsidRPr="00BB3F2C" w14:paraId="44F94AE4" w14:textId="77777777" w:rsidTr="00E032FC">
        <w:trPr>
          <w:trHeight w:val="337"/>
        </w:trPr>
        <w:tc>
          <w:tcPr>
            <w:tcW w:w="3003" w:type="pct"/>
            <w:tcBorders>
              <w:top w:val="nil"/>
              <w:left w:val="nil"/>
              <w:bottom w:val="nil"/>
              <w:right w:val="nil"/>
            </w:tcBorders>
            <w:shd w:val="clear" w:color="auto" w:fill="auto"/>
            <w:vAlign w:val="bottom"/>
          </w:tcPr>
          <w:p w14:paraId="09CF3AC4"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Prijenos u izvanbilančnu evidenciju</w:t>
            </w:r>
          </w:p>
        </w:tc>
        <w:tc>
          <w:tcPr>
            <w:tcW w:w="1051" w:type="pct"/>
            <w:tcBorders>
              <w:left w:val="nil"/>
              <w:right w:val="nil"/>
            </w:tcBorders>
            <w:shd w:val="clear" w:color="auto" w:fill="auto"/>
            <w:vAlign w:val="bottom"/>
          </w:tcPr>
          <w:p w14:paraId="6E0E14A4" w14:textId="77777777" w:rsidR="004E2F51" w:rsidRPr="004B4498" w:rsidRDefault="004E2F51" w:rsidP="00E032FC">
            <w:pPr>
              <w:jc w:val="right"/>
              <w:rPr>
                <w:rFonts w:ascii="Arial" w:hAnsi="Arial" w:cs="Arial"/>
                <w:color w:val="000000" w:themeColor="text1"/>
                <w:sz w:val="20"/>
                <w:szCs w:val="20"/>
              </w:rPr>
            </w:pPr>
            <w:r w:rsidRPr="00DA3A0E">
              <w:rPr>
                <w:rFonts w:ascii="Arial" w:hAnsi="Arial" w:cs="Arial"/>
                <w:color w:val="000000" w:themeColor="text1"/>
                <w:sz w:val="20"/>
                <w:szCs w:val="20"/>
              </w:rPr>
              <w:t xml:space="preserve"> (20.121)</w:t>
            </w:r>
          </w:p>
        </w:tc>
        <w:tc>
          <w:tcPr>
            <w:tcW w:w="946" w:type="pct"/>
            <w:tcBorders>
              <w:left w:val="nil"/>
              <w:right w:val="nil"/>
            </w:tcBorders>
            <w:shd w:val="clear" w:color="auto" w:fill="auto"/>
            <w:vAlign w:val="bottom"/>
          </w:tcPr>
          <w:p w14:paraId="2D3AD48F" w14:textId="77777777" w:rsidR="004E2F51" w:rsidRPr="004B4498" w:rsidRDefault="004E2F51" w:rsidP="00E032FC">
            <w:pPr>
              <w:jc w:val="right"/>
              <w:rPr>
                <w:rFonts w:ascii="Arial" w:hAnsi="Arial" w:cs="Arial"/>
                <w:color w:val="000000" w:themeColor="text1"/>
                <w:sz w:val="20"/>
                <w:szCs w:val="20"/>
              </w:rPr>
            </w:pPr>
            <w:r w:rsidRPr="0046584E">
              <w:rPr>
                <w:rFonts w:ascii="Arial" w:hAnsi="Arial" w:cs="Arial"/>
                <w:color w:val="000000" w:themeColor="text1"/>
                <w:sz w:val="20"/>
                <w:szCs w:val="20"/>
              </w:rPr>
              <w:t>(271.036)</w:t>
            </w:r>
          </w:p>
        </w:tc>
      </w:tr>
      <w:tr w:rsidR="004E2F51" w:rsidRPr="00BB3F2C" w14:paraId="3C0F5C2F" w14:textId="77777777" w:rsidTr="00E032FC">
        <w:trPr>
          <w:trHeight w:val="337"/>
        </w:trPr>
        <w:tc>
          <w:tcPr>
            <w:tcW w:w="3003" w:type="pct"/>
            <w:tcBorders>
              <w:top w:val="nil"/>
              <w:left w:val="nil"/>
              <w:bottom w:val="nil"/>
              <w:right w:val="nil"/>
            </w:tcBorders>
            <w:shd w:val="clear" w:color="auto" w:fill="auto"/>
            <w:vAlign w:val="bottom"/>
          </w:tcPr>
          <w:p w14:paraId="2ABAD79C" w14:textId="77777777" w:rsidR="004E2F51" w:rsidRPr="004B4498" w:rsidRDefault="004E2F51" w:rsidP="00E032FC">
            <w:pPr>
              <w:rPr>
                <w:rFonts w:ascii="Arial" w:hAnsi="Arial" w:cs="Arial"/>
                <w:color w:val="000000" w:themeColor="text1"/>
                <w:sz w:val="20"/>
                <w:szCs w:val="20"/>
                <w:lang w:val="hr-HR"/>
              </w:rPr>
            </w:pPr>
            <w:bookmarkStart w:id="1048" w:name="_Hlk99019419"/>
            <w:r w:rsidRPr="004B4498">
              <w:rPr>
                <w:rFonts w:ascii="Arial" w:hAnsi="Arial" w:cs="Arial"/>
                <w:color w:val="000000" w:themeColor="text1"/>
                <w:sz w:val="20"/>
                <w:szCs w:val="20"/>
                <w:lang w:val="hr-HR"/>
              </w:rPr>
              <w:t>Ukidanje zbog svođenja na fer vrijednost uslijed prijenosa u portfelj financijske imovine po FVRDG</w:t>
            </w:r>
            <w:bookmarkEnd w:id="1048"/>
          </w:p>
        </w:tc>
        <w:tc>
          <w:tcPr>
            <w:tcW w:w="1051" w:type="pct"/>
            <w:tcBorders>
              <w:left w:val="nil"/>
              <w:right w:val="nil"/>
            </w:tcBorders>
            <w:shd w:val="clear" w:color="auto" w:fill="auto"/>
            <w:vAlign w:val="bottom"/>
          </w:tcPr>
          <w:p w14:paraId="5CEE39C9" w14:textId="77777777" w:rsidR="004E2F51" w:rsidRPr="004B4498" w:rsidRDefault="004E2F51" w:rsidP="00E032FC">
            <w:pPr>
              <w:jc w:val="right"/>
              <w:rPr>
                <w:rFonts w:ascii="Arial" w:hAnsi="Arial" w:cs="Arial"/>
                <w:color w:val="000000" w:themeColor="text1"/>
                <w:sz w:val="20"/>
                <w:szCs w:val="20"/>
              </w:rPr>
            </w:pPr>
            <w:r>
              <w:rPr>
                <w:rFonts w:ascii="Arial" w:hAnsi="Arial" w:cs="Arial"/>
                <w:color w:val="000000" w:themeColor="text1"/>
                <w:sz w:val="20"/>
                <w:szCs w:val="20"/>
              </w:rPr>
              <w:t>-</w:t>
            </w:r>
          </w:p>
        </w:tc>
        <w:tc>
          <w:tcPr>
            <w:tcW w:w="946" w:type="pct"/>
            <w:tcBorders>
              <w:left w:val="nil"/>
              <w:right w:val="nil"/>
            </w:tcBorders>
            <w:shd w:val="clear" w:color="auto" w:fill="auto"/>
            <w:vAlign w:val="bottom"/>
          </w:tcPr>
          <w:p w14:paraId="3A2BC41D" w14:textId="77777777" w:rsidR="004E2F51" w:rsidRPr="004B4498" w:rsidRDefault="004E2F51" w:rsidP="00E032FC">
            <w:pPr>
              <w:jc w:val="right"/>
              <w:rPr>
                <w:rFonts w:ascii="Arial" w:hAnsi="Arial" w:cs="Arial"/>
                <w:color w:val="000000" w:themeColor="text1"/>
                <w:sz w:val="20"/>
                <w:szCs w:val="20"/>
              </w:rPr>
            </w:pPr>
            <w:r w:rsidRPr="0046584E">
              <w:rPr>
                <w:rFonts w:ascii="Arial" w:hAnsi="Arial" w:cs="Arial"/>
                <w:color w:val="000000" w:themeColor="text1"/>
                <w:sz w:val="20"/>
                <w:szCs w:val="20"/>
              </w:rPr>
              <w:t>(48.019)</w:t>
            </w:r>
          </w:p>
        </w:tc>
      </w:tr>
      <w:tr w:rsidR="004E2F51" w:rsidRPr="00BB3F2C" w14:paraId="51A518E3" w14:textId="77777777" w:rsidTr="00E032FC">
        <w:trPr>
          <w:trHeight w:val="337"/>
        </w:trPr>
        <w:tc>
          <w:tcPr>
            <w:tcW w:w="3003" w:type="pct"/>
            <w:tcBorders>
              <w:top w:val="nil"/>
              <w:left w:val="nil"/>
              <w:bottom w:val="nil"/>
              <w:right w:val="nil"/>
            </w:tcBorders>
            <w:shd w:val="clear" w:color="auto" w:fill="auto"/>
            <w:vAlign w:val="bottom"/>
          </w:tcPr>
          <w:p w14:paraId="34505423"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Isknjiženje zbog prodaje potraživanja</w:t>
            </w:r>
          </w:p>
        </w:tc>
        <w:tc>
          <w:tcPr>
            <w:tcW w:w="1051" w:type="pct"/>
            <w:tcBorders>
              <w:left w:val="nil"/>
              <w:right w:val="nil"/>
            </w:tcBorders>
            <w:shd w:val="clear" w:color="auto" w:fill="auto"/>
            <w:vAlign w:val="bottom"/>
          </w:tcPr>
          <w:p w14:paraId="08B88D1F" w14:textId="77777777" w:rsidR="004E2F51" w:rsidRPr="004B4498" w:rsidRDefault="004E2F51" w:rsidP="00E032FC">
            <w:pPr>
              <w:jc w:val="right"/>
              <w:rPr>
                <w:rFonts w:ascii="Arial" w:hAnsi="Arial" w:cs="Arial"/>
                <w:color w:val="000000" w:themeColor="text1"/>
                <w:sz w:val="20"/>
                <w:szCs w:val="20"/>
              </w:rPr>
            </w:pPr>
            <w:r>
              <w:rPr>
                <w:rFonts w:ascii="Arial" w:hAnsi="Arial" w:cs="Arial"/>
                <w:color w:val="000000" w:themeColor="text1"/>
                <w:sz w:val="20"/>
                <w:szCs w:val="20"/>
              </w:rPr>
              <w:t>-</w:t>
            </w:r>
          </w:p>
        </w:tc>
        <w:tc>
          <w:tcPr>
            <w:tcW w:w="946" w:type="pct"/>
            <w:tcBorders>
              <w:left w:val="nil"/>
              <w:right w:val="nil"/>
            </w:tcBorders>
            <w:shd w:val="clear" w:color="auto" w:fill="auto"/>
            <w:vAlign w:val="bottom"/>
          </w:tcPr>
          <w:p w14:paraId="2B0A9FE7" w14:textId="77777777" w:rsidR="004E2F51" w:rsidRPr="004B4498" w:rsidRDefault="004E2F51" w:rsidP="00E032FC">
            <w:pPr>
              <w:jc w:val="right"/>
              <w:rPr>
                <w:rFonts w:ascii="Arial" w:hAnsi="Arial" w:cs="Arial"/>
                <w:color w:val="000000" w:themeColor="text1"/>
                <w:sz w:val="20"/>
                <w:szCs w:val="20"/>
              </w:rPr>
            </w:pPr>
            <w:r w:rsidRPr="0046584E">
              <w:rPr>
                <w:rFonts w:ascii="Arial" w:hAnsi="Arial" w:cs="Arial"/>
                <w:color w:val="000000" w:themeColor="text1"/>
                <w:sz w:val="20"/>
                <w:szCs w:val="20"/>
              </w:rPr>
              <w:t>(737)</w:t>
            </w:r>
          </w:p>
        </w:tc>
      </w:tr>
      <w:tr w:rsidR="004E2F51" w:rsidRPr="00BB3F2C" w14:paraId="7821124B" w14:textId="77777777" w:rsidTr="00E032FC">
        <w:trPr>
          <w:trHeight w:val="337"/>
        </w:trPr>
        <w:tc>
          <w:tcPr>
            <w:tcW w:w="3003" w:type="pct"/>
            <w:tcBorders>
              <w:top w:val="nil"/>
              <w:left w:val="nil"/>
              <w:bottom w:val="nil"/>
              <w:right w:val="nil"/>
            </w:tcBorders>
            <w:shd w:val="clear" w:color="auto" w:fill="auto"/>
            <w:vAlign w:val="bottom"/>
          </w:tcPr>
          <w:p w14:paraId="45B8B09B"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Donos sa kredita financijskim institucijama</w:t>
            </w:r>
          </w:p>
        </w:tc>
        <w:tc>
          <w:tcPr>
            <w:tcW w:w="1051" w:type="pct"/>
            <w:tcBorders>
              <w:left w:val="nil"/>
              <w:right w:val="nil"/>
            </w:tcBorders>
            <w:shd w:val="clear" w:color="auto" w:fill="auto"/>
            <w:vAlign w:val="bottom"/>
          </w:tcPr>
          <w:p w14:paraId="595BF29D" w14:textId="77777777" w:rsidR="004E2F51" w:rsidRPr="004B4498" w:rsidRDefault="004E2F51" w:rsidP="00E032FC">
            <w:pPr>
              <w:jc w:val="right"/>
              <w:rPr>
                <w:rFonts w:ascii="Arial" w:hAnsi="Arial" w:cs="Arial"/>
                <w:color w:val="000000" w:themeColor="text1"/>
                <w:sz w:val="20"/>
                <w:szCs w:val="20"/>
              </w:rPr>
            </w:pPr>
            <w:r>
              <w:rPr>
                <w:rFonts w:ascii="Arial" w:hAnsi="Arial" w:cs="Arial"/>
                <w:color w:val="000000" w:themeColor="text1"/>
                <w:sz w:val="20"/>
                <w:szCs w:val="20"/>
              </w:rPr>
              <w:t>-</w:t>
            </w:r>
          </w:p>
        </w:tc>
        <w:tc>
          <w:tcPr>
            <w:tcW w:w="946" w:type="pct"/>
            <w:tcBorders>
              <w:left w:val="nil"/>
              <w:right w:val="nil"/>
            </w:tcBorders>
            <w:shd w:val="clear" w:color="auto" w:fill="auto"/>
            <w:vAlign w:val="bottom"/>
          </w:tcPr>
          <w:p w14:paraId="377755BD" w14:textId="77777777" w:rsidR="004E2F51" w:rsidRPr="004B4498" w:rsidRDefault="004E2F51" w:rsidP="00E032FC">
            <w:pPr>
              <w:jc w:val="right"/>
              <w:rPr>
                <w:rFonts w:ascii="Arial" w:hAnsi="Arial" w:cs="Arial"/>
                <w:color w:val="000000" w:themeColor="text1"/>
                <w:sz w:val="20"/>
                <w:szCs w:val="20"/>
              </w:rPr>
            </w:pPr>
            <w:r w:rsidRPr="0046584E">
              <w:rPr>
                <w:rFonts w:ascii="Arial" w:hAnsi="Arial" w:cs="Arial"/>
                <w:color w:val="000000" w:themeColor="text1"/>
                <w:sz w:val="20"/>
                <w:szCs w:val="20"/>
              </w:rPr>
              <w:t>16</w:t>
            </w:r>
          </w:p>
        </w:tc>
      </w:tr>
      <w:tr w:rsidR="004E2F51" w:rsidRPr="00BB3F2C" w14:paraId="74817F98" w14:textId="77777777" w:rsidTr="00E032FC">
        <w:trPr>
          <w:trHeight w:val="337"/>
        </w:trPr>
        <w:tc>
          <w:tcPr>
            <w:tcW w:w="3003" w:type="pct"/>
            <w:tcBorders>
              <w:top w:val="nil"/>
              <w:left w:val="nil"/>
              <w:bottom w:val="nil"/>
              <w:right w:val="nil"/>
            </w:tcBorders>
            <w:shd w:val="clear" w:color="auto" w:fill="auto"/>
            <w:vAlign w:val="bottom"/>
          </w:tcPr>
          <w:p w14:paraId="27C7B0E6"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Unwinding – promjena uslijed proteka vremena</w:t>
            </w:r>
          </w:p>
        </w:tc>
        <w:tc>
          <w:tcPr>
            <w:tcW w:w="1051" w:type="pct"/>
            <w:tcBorders>
              <w:left w:val="nil"/>
              <w:right w:val="nil"/>
            </w:tcBorders>
            <w:shd w:val="clear" w:color="auto" w:fill="auto"/>
            <w:vAlign w:val="bottom"/>
          </w:tcPr>
          <w:p w14:paraId="32DA1F87" w14:textId="77777777" w:rsidR="004E2F51" w:rsidRPr="004B4498" w:rsidRDefault="004E2F51" w:rsidP="00E032FC">
            <w:pPr>
              <w:jc w:val="right"/>
              <w:rPr>
                <w:rFonts w:ascii="Arial" w:hAnsi="Arial" w:cs="Arial"/>
                <w:color w:val="000000" w:themeColor="text1"/>
                <w:sz w:val="20"/>
                <w:szCs w:val="20"/>
              </w:rPr>
            </w:pPr>
            <w:r w:rsidRPr="00DA3A0E">
              <w:rPr>
                <w:rFonts w:ascii="Arial" w:hAnsi="Arial" w:cs="Arial"/>
                <w:color w:val="000000" w:themeColor="text1"/>
                <w:sz w:val="20"/>
                <w:szCs w:val="20"/>
              </w:rPr>
              <w:t>13.859</w:t>
            </w:r>
          </w:p>
        </w:tc>
        <w:tc>
          <w:tcPr>
            <w:tcW w:w="946" w:type="pct"/>
            <w:tcBorders>
              <w:left w:val="nil"/>
              <w:right w:val="nil"/>
            </w:tcBorders>
            <w:shd w:val="clear" w:color="auto" w:fill="auto"/>
            <w:vAlign w:val="bottom"/>
          </w:tcPr>
          <w:p w14:paraId="74F84BD1" w14:textId="77777777" w:rsidR="004E2F51" w:rsidRPr="004B4498" w:rsidRDefault="004E2F51" w:rsidP="00E032FC">
            <w:pPr>
              <w:jc w:val="right"/>
              <w:rPr>
                <w:rFonts w:ascii="Arial" w:hAnsi="Arial" w:cs="Arial"/>
                <w:color w:val="000000" w:themeColor="text1"/>
                <w:sz w:val="20"/>
                <w:szCs w:val="20"/>
              </w:rPr>
            </w:pPr>
            <w:r w:rsidRPr="0046584E">
              <w:rPr>
                <w:rFonts w:ascii="Arial" w:hAnsi="Arial" w:cs="Arial"/>
                <w:color w:val="000000" w:themeColor="text1"/>
                <w:sz w:val="20"/>
                <w:szCs w:val="20"/>
              </w:rPr>
              <w:t>25.087</w:t>
            </w:r>
          </w:p>
        </w:tc>
      </w:tr>
      <w:tr w:rsidR="004E2F51" w:rsidRPr="00BB3F2C" w14:paraId="0EADEF64" w14:textId="77777777" w:rsidTr="00E032FC">
        <w:trPr>
          <w:trHeight w:val="337"/>
        </w:trPr>
        <w:tc>
          <w:tcPr>
            <w:tcW w:w="3003" w:type="pct"/>
            <w:tcBorders>
              <w:top w:val="nil"/>
              <w:left w:val="nil"/>
              <w:bottom w:val="nil"/>
              <w:right w:val="nil"/>
            </w:tcBorders>
            <w:shd w:val="clear" w:color="auto" w:fill="auto"/>
            <w:vAlign w:val="bottom"/>
          </w:tcPr>
          <w:p w14:paraId="2708CF00"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Preuzimanje nekretnine</w:t>
            </w:r>
          </w:p>
        </w:tc>
        <w:tc>
          <w:tcPr>
            <w:tcW w:w="1051" w:type="pct"/>
            <w:tcBorders>
              <w:left w:val="nil"/>
              <w:right w:val="nil"/>
            </w:tcBorders>
            <w:shd w:val="clear" w:color="auto" w:fill="auto"/>
            <w:vAlign w:val="bottom"/>
          </w:tcPr>
          <w:p w14:paraId="17F9F251" w14:textId="77777777" w:rsidR="004E2F51" w:rsidRPr="004B4498" w:rsidRDefault="004E2F51" w:rsidP="00E032FC">
            <w:pPr>
              <w:jc w:val="right"/>
              <w:rPr>
                <w:rFonts w:ascii="Arial" w:hAnsi="Arial" w:cs="Arial"/>
                <w:color w:val="000000" w:themeColor="text1"/>
                <w:sz w:val="20"/>
                <w:szCs w:val="20"/>
              </w:rPr>
            </w:pPr>
            <w:r>
              <w:rPr>
                <w:rFonts w:ascii="Arial" w:hAnsi="Arial" w:cs="Arial"/>
                <w:color w:val="000000" w:themeColor="text1"/>
                <w:sz w:val="20"/>
                <w:szCs w:val="20"/>
              </w:rPr>
              <w:t>-</w:t>
            </w:r>
          </w:p>
        </w:tc>
        <w:tc>
          <w:tcPr>
            <w:tcW w:w="946" w:type="pct"/>
            <w:tcBorders>
              <w:left w:val="nil"/>
              <w:right w:val="nil"/>
            </w:tcBorders>
            <w:shd w:val="clear" w:color="auto" w:fill="auto"/>
            <w:vAlign w:val="bottom"/>
          </w:tcPr>
          <w:p w14:paraId="6AD1D38E" w14:textId="77777777" w:rsidR="004E2F51" w:rsidRPr="004B4498" w:rsidRDefault="004E2F51" w:rsidP="00E032FC">
            <w:pPr>
              <w:jc w:val="right"/>
              <w:rPr>
                <w:rFonts w:ascii="Arial" w:hAnsi="Arial" w:cs="Arial"/>
                <w:color w:val="000000" w:themeColor="text1"/>
                <w:sz w:val="20"/>
                <w:szCs w:val="20"/>
              </w:rPr>
            </w:pPr>
            <w:r w:rsidRPr="0046584E">
              <w:rPr>
                <w:rFonts w:ascii="Arial" w:hAnsi="Arial" w:cs="Arial"/>
                <w:color w:val="000000" w:themeColor="text1"/>
                <w:sz w:val="20"/>
                <w:szCs w:val="20"/>
              </w:rPr>
              <w:t>-</w:t>
            </w:r>
          </w:p>
        </w:tc>
      </w:tr>
      <w:tr w:rsidR="004E2F51" w:rsidRPr="00BB3F2C" w14:paraId="7DFA92C3" w14:textId="77777777" w:rsidTr="00E032FC">
        <w:trPr>
          <w:trHeight w:val="337"/>
        </w:trPr>
        <w:tc>
          <w:tcPr>
            <w:tcW w:w="3003" w:type="pct"/>
            <w:tcBorders>
              <w:top w:val="nil"/>
              <w:left w:val="nil"/>
              <w:bottom w:val="nil"/>
              <w:right w:val="nil"/>
            </w:tcBorders>
            <w:shd w:val="clear" w:color="auto" w:fill="auto"/>
            <w:vAlign w:val="bottom"/>
          </w:tcPr>
          <w:p w14:paraId="41C58C18"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Donos isključenih kamata i ostalo</w:t>
            </w:r>
          </w:p>
        </w:tc>
        <w:tc>
          <w:tcPr>
            <w:tcW w:w="1051" w:type="pct"/>
            <w:tcBorders>
              <w:left w:val="nil"/>
              <w:bottom w:val="single" w:sz="4" w:space="0" w:color="auto"/>
              <w:right w:val="nil"/>
            </w:tcBorders>
            <w:shd w:val="clear" w:color="auto" w:fill="auto"/>
            <w:vAlign w:val="bottom"/>
          </w:tcPr>
          <w:p w14:paraId="529C5A78" w14:textId="77777777" w:rsidR="004E2F51" w:rsidRPr="004B4498" w:rsidRDefault="004E2F51" w:rsidP="00E032FC">
            <w:pPr>
              <w:jc w:val="right"/>
              <w:rPr>
                <w:rFonts w:ascii="Arial" w:hAnsi="Arial" w:cs="Arial"/>
                <w:color w:val="000000" w:themeColor="text1"/>
                <w:sz w:val="20"/>
                <w:szCs w:val="20"/>
              </w:rPr>
            </w:pPr>
            <w:r w:rsidRPr="00DA3A0E">
              <w:rPr>
                <w:rFonts w:ascii="Arial" w:hAnsi="Arial" w:cs="Arial"/>
                <w:color w:val="000000" w:themeColor="text1"/>
                <w:sz w:val="20"/>
                <w:szCs w:val="20"/>
              </w:rPr>
              <w:t>93.386</w:t>
            </w:r>
          </w:p>
        </w:tc>
        <w:tc>
          <w:tcPr>
            <w:tcW w:w="946" w:type="pct"/>
            <w:tcBorders>
              <w:left w:val="nil"/>
              <w:bottom w:val="single" w:sz="4" w:space="0" w:color="auto"/>
              <w:right w:val="nil"/>
            </w:tcBorders>
            <w:shd w:val="clear" w:color="auto" w:fill="auto"/>
            <w:vAlign w:val="bottom"/>
          </w:tcPr>
          <w:p w14:paraId="5347A10F" w14:textId="77777777" w:rsidR="004E2F51" w:rsidRPr="004B4498" w:rsidRDefault="004E2F51" w:rsidP="00E032FC">
            <w:pPr>
              <w:jc w:val="right"/>
              <w:rPr>
                <w:rFonts w:ascii="Arial" w:hAnsi="Arial" w:cs="Arial"/>
                <w:color w:val="000000" w:themeColor="text1"/>
                <w:sz w:val="20"/>
                <w:szCs w:val="20"/>
              </w:rPr>
            </w:pPr>
            <w:r w:rsidRPr="0046584E">
              <w:rPr>
                <w:rFonts w:ascii="Arial" w:hAnsi="Arial" w:cs="Arial"/>
                <w:color w:val="000000" w:themeColor="text1"/>
                <w:sz w:val="20"/>
                <w:szCs w:val="20"/>
              </w:rPr>
              <w:t>21.326</w:t>
            </w:r>
          </w:p>
        </w:tc>
      </w:tr>
      <w:tr w:rsidR="004E2F51" w:rsidRPr="00BB3F2C" w14:paraId="615FA6A8" w14:textId="77777777" w:rsidTr="00E032FC">
        <w:trPr>
          <w:trHeight w:val="337"/>
        </w:trPr>
        <w:tc>
          <w:tcPr>
            <w:tcW w:w="3003" w:type="pct"/>
            <w:tcBorders>
              <w:top w:val="nil"/>
              <w:left w:val="nil"/>
              <w:bottom w:val="nil"/>
              <w:right w:val="nil"/>
            </w:tcBorders>
            <w:shd w:val="clear" w:color="auto" w:fill="auto"/>
            <w:vAlign w:val="bottom"/>
          </w:tcPr>
          <w:p w14:paraId="10DD4CA3" w14:textId="77777777" w:rsidR="004E2F51" w:rsidRPr="004B4498" w:rsidRDefault="004E2F51" w:rsidP="00E032FC">
            <w:pPr>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Stanje na kraju izvještajnog razdoblja</w:t>
            </w:r>
          </w:p>
        </w:tc>
        <w:tc>
          <w:tcPr>
            <w:tcW w:w="1051" w:type="pct"/>
            <w:tcBorders>
              <w:top w:val="single" w:sz="4" w:space="0" w:color="auto"/>
              <w:left w:val="nil"/>
              <w:bottom w:val="single" w:sz="12" w:space="0" w:color="auto"/>
              <w:right w:val="nil"/>
            </w:tcBorders>
            <w:shd w:val="clear" w:color="auto" w:fill="auto"/>
            <w:noWrap/>
            <w:vAlign w:val="bottom"/>
          </w:tcPr>
          <w:p w14:paraId="14D1BE31" w14:textId="77777777" w:rsidR="004E2F51" w:rsidRPr="004B4498" w:rsidRDefault="004E2F51" w:rsidP="00E032FC">
            <w:pPr>
              <w:jc w:val="right"/>
              <w:rPr>
                <w:rFonts w:ascii="Arial" w:hAnsi="Arial" w:cs="Arial"/>
                <w:b/>
                <w:color w:val="000000" w:themeColor="text1"/>
                <w:sz w:val="20"/>
                <w:szCs w:val="20"/>
              </w:rPr>
            </w:pPr>
            <w:r w:rsidRPr="00DA3A0E">
              <w:rPr>
                <w:rFonts w:ascii="Arial" w:hAnsi="Arial" w:cs="Arial"/>
                <w:b/>
                <w:color w:val="000000" w:themeColor="text1"/>
                <w:sz w:val="20"/>
                <w:szCs w:val="20"/>
              </w:rPr>
              <w:t>3.455.025</w:t>
            </w:r>
          </w:p>
        </w:tc>
        <w:tc>
          <w:tcPr>
            <w:tcW w:w="946" w:type="pct"/>
            <w:tcBorders>
              <w:top w:val="single" w:sz="4" w:space="0" w:color="auto"/>
              <w:left w:val="nil"/>
              <w:bottom w:val="single" w:sz="12" w:space="0" w:color="auto"/>
              <w:right w:val="nil"/>
            </w:tcBorders>
            <w:shd w:val="clear" w:color="auto" w:fill="auto"/>
            <w:vAlign w:val="bottom"/>
          </w:tcPr>
          <w:p w14:paraId="4D7A2163" w14:textId="77777777" w:rsidR="004E2F51" w:rsidRPr="004B4498" w:rsidRDefault="004E2F51" w:rsidP="00E032FC">
            <w:pPr>
              <w:jc w:val="right"/>
              <w:rPr>
                <w:rFonts w:ascii="Arial" w:hAnsi="Arial" w:cs="Arial"/>
                <w:b/>
                <w:color w:val="000000" w:themeColor="text1"/>
                <w:sz w:val="20"/>
                <w:szCs w:val="20"/>
              </w:rPr>
            </w:pPr>
            <w:r w:rsidRPr="0046584E">
              <w:rPr>
                <w:rFonts w:ascii="Arial" w:hAnsi="Arial" w:cs="Arial"/>
                <w:b/>
                <w:color w:val="000000" w:themeColor="text1"/>
                <w:sz w:val="20"/>
                <w:szCs w:val="20"/>
              </w:rPr>
              <w:t>3.255.916</w:t>
            </w:r>
          </w:p>
        </w:tc>
      </w:tr>
      <w:bookmarkEnd w:id="1043"/>
    </w:tbl>
    <w:p w14:paraId="2D89771D"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0DAB6596"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0364DB00"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Neto dobit/gubitak od tečajnih razlika po rezerviranjima za očekivane gubitke prikazan je unutar Neto prihoda/(rashoda) od financijskih aktivnosti u Računu dobiti i gubitka.</w:t>
      </w:r>
    </w:p>
    <w:p w14:paraId="4F32489F" w14:textId="77777777" w:rsidR="004E2F51" w:rsidRPr="004B4498" w:rsidRDefault="004E2F51" w:rsidP="004E2F51">
      <w:pPr>
        <w:jc w:val="both"/>
        <w:rPr>
          <w:rFonts w:ascii="Arial" w:hAnsi="Arial" w:cs="Arial"/>
          <w:color w:val="000000" w:themeColor="text1"/>
          <w:sz w:val="20"/>
          <w:szCs w:val="20"/>
          <w:lang w:val="hr-HR"/>
        </w:rPr>
      </w:pPr>
    </w:p>
    <w:p w14:paraId="5718C963"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Otpis potraživanja u iznosu od </w:t>
      </w:r>
      <w:r>
        <w:rPr>
          <w:rFonts w:ascii="Arial" w:hAnsi="Arial" w:cs="Arial"/>
          <w:color w:val="000000" w:themeColor="text1"/>
          <w:sz w:val="20"/>
          <w:szCs w:val="20"/>
          <w:lang w:val="hr-HR"/>
        </w:rPr>
        <w:t>28.183</w:t>
      </w:r>
      <w:r w:rsidRPr="004B4498">
        <w:rPr>
          <w:rFonts w:ascii="Arial" w:hAnsi="Arial" w:cs="Arial"/>
          <w:color w:val="000000" w:themeColor="text1"/>
          <w:sz w:val="20"/>
          <w:szCs w:val="20"/>
          <w:lang w:val="hr-HR"/>
        </w:rPr>
        <w:t xml:space="preserve"> tisuća kuna najvećim se dijelom odnosi na trajno isknjiženje iz poslovnih knjiga zbog prodaje potraživanja, zbog stečajnih postupaka dužnika i prestanka poslovanja te zbog predstečajne nagodbe.</w:t>
      </w:r>
    </w:p>
    <w:p w14:paraId="6CF2BBB2" w14:textId="77777777" w:rsidR="004E2F51" w:rsidRPr="004B4498" w:rsidRDefault="004E2F51" w:rsidP="004E2F51">
      <w:pPr>
        <w:jc w:val="both"/>
        <w:rPr>
          <w:rFonts w:ascii="Arial" w:hAnsi="Arial" w:cs="Arial"/>
          <w:color w:val="000000" w:themeColor="text1"/>
          <w:sz w:val="20"/>
          <w:szCs w:val="20"/>
          <w:lang w:val="hr-HR"/>
        </w:rPr>
      </w:pPr>
    </w:p>
    <w:p w14:paraId="3717889C"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Prijenos u izvanbilančnu evidenciju u visini od </w:t>
      </w:r>
      <w:r w:rsidRPr="003E136D">
        <w:rPr>
          <w:rFonts w:ascii="Arial" w:hAnsi="Arial" w:cs="Arial"/>
          <w:color w:val="000000" w:themeColor="text1"/>
          <w:sz w:val="20"/>
          <w:szCs w:val="20"/>
          <w:lang w:val="hr-HR"/>
        </w:rPr>
        <w:t>20.121</w:t>
      </w:r>
      <w:r>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tisuća kuna proveden je temeljem propisanih kriterija u Metodologiji otpisa potraživanja.</w:t>
      </w:r>
    </w:p>
    <w:p w14:paraId="1CE0A6B6" w14:textId="77777777" w:rsidR="004E2F51" w:rsidRPr="004B4498" w:rsidRDefault="004E2F51" w:rsidP="004E2F51">
      <w:pPr>
        <w:jc w:val="both"/>
        <w:rPr>
          <w:rFonts w:ascii="Arial" w:hAnsi="Arial" w:cs="Arial"/>
          <w:color w:val="000000" w:themeColor="text1"/>
          <w:sz w:val="20"/>
          <w:szCs w:val="20"/>
          <w:lang w:val="hr-HR"/>
        </w:rPr>
      </w:pPr>
    </w:p>
    <w:p w14:paraId="71684604" w14:textId="77777777" w:rsidR="004E2F51" w:rsidRPr="004B4498" w:rsidRDefault="004E2F51" w:rsidP="004E2F51">
      <w:pPr>
        <w:jc w:val="both"/>
        <w:rPr>
          <w:rFonts w:ascii="Arial" w:hAnsi="Arial" w:cs="Arial"/>
          <w:color w:val="000000" w:themeColor="text1"/>
          <w:sz w:val="20"/>
          <w:szCs w:val="20"/>
          <w:lang w:val="hr-HR"/>
        </w:rPr>
      </w:pPr>
      <w:r>
        <w:rPr>
          <w:rFonts w:ascii="Arial" w:hAnsi="Arial" w:cs="Arial"/>
          <w:color w:val="000000" w:themeColor="text1"/>
          <w:sz w:val="20"/>
          <w:szCs w:val="20"/>
          <w:lang w:val="hr-HR"/>
        </w:rPr>
        <w:t>U 2021. u</w:t>
      </w:r>
      <w:r w:rsidRPr="004B4498">
        <w:rPr>
          <w:rFonts w:ascii="Arial" w:hAnsi="Arial" w:cs="Arial"/>
          <w:color w:val="000000" w:themeColor="text1"/>
          <w:sz w:val="20"/>
          <w:szCs w:val="20"/>
          <w:lang w:val="hr-HR"/>
        </w:rPr>
        <w:t xml:space="preserve">kidanje rezerviranja zbog svođenja na fer vrijednost u iznosu </w:t>
      </w:r>
      <w:r w:rsidRPr="003E136D">
        <w:rPr>
          <w:rFonts w:ascii="Arial" w:hAnsi="Arial" w:cs="Arial"/>
          <w:color w:val="000000" w:themeColor="text1"/>
          <w:sz w:val="20"/>
          <w:szCs w:val="20"/>
          <w:lang w:val="hr-HR"/>
        </w:rPr>
        <w:t>od 48.019</w:t>
      </w:r>
      <w:r w:rsidRPr="004B4498">
        <w:rPr>
          <w:rFonts w:ascii="Arial" w:hAnsi="Arial" w:cs="Arial"/>
          <w:color w:val="000000" w:themeColor="text1"/>
          <w:sz w:val="20"/>
          <w:szCs w:val="20"/>
          <w:lang w:val="hr-HR"/>
        </w:rPr>
        <w:t xml:space="preserve"> tisuća kuna provedeno je nakon predstečajne nagodbe dužnika, temeljem koje je 50% duga pretvoren u senior dug, a 50% u mezzanine dug. Pri svođenju mezzanine duga na fer vrijednost, ukinuta su prethodno formirana rezerviranja.</w:t>
      </w:r>
    </w:p>
    <w:p w14:paraId="4853069B" w14:textId="77777777" w:rsidR="004E2F51" w:rsidRPr="00B91D09" w:rsidRDefault="004E2F51" w:rsidP="004E2F51">
      <w:pPr>
        <w:jc w:val="both"/>
        <w:rPr>
          <w:rFonts w:ascii="Arial" w:hAnsi="Arial" w:cs="Arial"/>
          <w:color w:val="000000" w:themeColor="text1"/>
          <w:sz w:val="16"/>
          <w:szCs w:val="16"/>
          <w:lang w:val="hr-HR"/>
        </w:rPr>
      </w:pPr>
    </w:p>
    <w:p w14:paraId="34314B97" w14:textId="77777777" w:rsidR="004E2F51" w:rsidRPr="00B91D09" w:rsidRDefault="004E2F51" w:rsidP="004E2F51">
      <w:pPr>
        <w:jc w:val="both"/>
        <w:rPr>
          <w:rFonts w:ascii="Arial" w:hAnsi="Arial" w:cs="Arial"/>
          <w:color w:val="000000" w:themeColor="text1"/>
          <w:sz w:val="16"/>
          <w:szCs w:val="16"/>
          <w:lang w:val="hr-HR"/>
        </w:rPr>
        <w:sectPr w:rsidR="004E2F51" w:rsidRPr="00B91D09" w:rsidSect="00623DBA">
          <w:footerReference w:type="default" r:id="rId127"/>
          <w:pgSz w:w="11907" w:h="16840" w:code="9"/>
          <w:pgMar w:top="1418" w:right="1134" w:bottom="1134" w:left="1418" w:header="851" w:footer="851" w:gutter="0"/>
          <w:cols w:space="720"/>
          <w:noEndnote/>
        </w:sectPr>
      </w:pPr>
    </w:p>
    <w:p w14:paraId="622DAD2E" w14:textId="77777777" w:rsidR="004E2F51" w:rsidRPr="004B4498" w:rsidRDefault="004E2F51" w:rsidP="004E2F51">
      <w:pPr>
        <w:pStyle w:val="T1"/>
        <w:spacing w:before="0" w:after="0" w:line="240" w:lineRule="auto"/>
        <w:rPr>
          <w:rFonts w:cs="Arial"/>
          <w:color w:val="000000" w:themeColor="text1"/>
          <w:sz w:val="20"/>
          <w:lang w:val="hr-HR"/>
        </w:rPr>
      </w:pPr>
    </w:p>
    <w:p w14:paraId="0D59A8F0"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15.</w:t>
      </w:r>
      <w:r w:rsidRPr="004B4498">
        <w:rPr>
          <w:rFonts w:cs="Arial"/>
          <w:color w:val="000000" w:themeColor="text1"/>
          <w:sz w:val="20"/>
          <w:lang w:val="hr-HR"/>
        </w:rPr>
        <w:tab/>
        <w:t>Krediti ostalim korisnicima (nastavak)</w:t>
      </w:r>
    </w:p>
    <w:p w14:paraId="43B2AFE4"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39129A37"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Krediti ostalim korisnicima, umanjeni za rezerviranja za očekivane gubitke, prema namjeni kreditnih programa dani su kako slijedi:</w:t>
      </w:r>
    </w:p>
    <w:p w14:paraId="19B30866" w14:textId="77777777" w:rsidR="004E2F51" w:rsidRPr="004B4498" w:rsidRDefault="004E2F51" w:rsidP="004E2F51">
      <w:pPr>
        <w:pStyle w:val="T1"/>
        <w:spacing w:before="0" w:after="0" w:line="240" w:lineRule="auto"/>
        <w:rPr>
          <w:rFonts w:cs="Arial"/>
          <w:color w:val="000000" w:themeColor="text1"/>
          <w:sz w:val="20"/>
          <w:lang w:val="hr-HR"/>
        </w:rPr>
      </w:pPr>
    </w:p>
    <w:tbl>
      <w:tblPr>
        <w:tblW w:w="5000" w:type="pct"/>
        <w:tblLayout w:type="fixed"/>
        <w:tblCellMar>
          <w:left w:w="107" w:type="dxa"/>
          <w:right w:w="107" w:type="dxa"/>
        </w:tblCellMar>
        <w:tblLook w:val="0000" w:firstRow="0" w:lastRow="0" w:firstColumn="0" w:lastColumn="0" w:noHBand="0" w:noVBand="0"/>
      </w:tblPr>
      <w:tblGrid>
        <w:gridCol w:w="6191"/>
        <w:gridCol w:w="1583"/>
        <w:gridCol w:w="1581"/>
      </w:tblGrid>
      <w:tr w:rsidR="004E2F51" w:rsidRPr="00BB3F2C" w14:paraId="67C488D9" w14:textId="77777777" w:rsidTr="00E032FC">
        <w:trPr>
          <w:trHeight w:val="124"/>
        </w:trPr>
        <w:tc>
          <w:tcPr>
            <w:tcW w:w="3309" w:type="pct"/>
          </w:tcPr>
          <w:p w14:paraId="0455F16C" w14:textId="77777777" w:rsidR="004E2F51" w:rsidRPr="004B4498" w:rsidRDefault="004E2F51" w:rsidP="00E032FC">
            <w:pPr>
              <w:tabs>
                <w:tab w:val="left" w:pos="-720"/>
              </w:tabs>
              <w:rPr>
                <w:rFonts w:ascii="Arial" w:hAnsi="Arial" w:cs="Arial"/>
                <w:color w:val="000000" w:themeColor="text1"/>
                <w:spacing w:val="-3"/>
                <w:sz w:val="20"/>
                <w:szCs w:val="20"/>
                <w:lang w:val="hr-HR"/>
              </w:rPr>
            </w:pPr>
          </w:p>
        </w:tc>
        <w:tc>
          <w:tcPr>
            <w:tcW w:w="1691" w:type="pct"/>
            <w:gridSpan w:val="2"/>
            <w:vAlign w:val="bottom"/>
          </w:tcPr>
          <w:p w14:paraId="701B70D5" w14:textId="77777777" w:rsidR="004E2F51" w:rsidRPr="004B4498" w:rsidRDefault="004E2F51" w:rsidP="00E032FC">
            <w:pPr>
              <w:pStyle w:val="TH"/>
              <w:jc w:val="right"/>
              <w:rPr>
                <w:rFonts w:cs="Arial"/>
                <w:color w:val="000000" w:themeColor="text1"/>
                <w:sz w:val="20"/>
                <w:lang w:val="hr-HR"/>
              </w:rPr>
            </w:pPr>
            <w:bookmarkStart w:id="1049" w:name="_Toc67328095"/>
            <w:r w:rsidRPr="004B4498">
              <w:rPr>
                <w:rFonts w:cs="Arial"/>
                <w:color w:val="000000" w:themeColor="text1"/>
                <w:sz w:val="20"/>
                <w:lang w:val="hr-HR"/>
              </w:rPr>
              <w:t>Grupa i Banka</w:t>
            </w:r>
            <w:bookmarkEnd w:id="1049"/>
          </w:p>
        </w:tc>
      </w:tr>
      <w:tr w:rsidR="004E2F51" w:rsidRPr="00BB3F2C" w14:paraId="31CA444C" w14:textId="77777777" w:rsidTr="00E032FC">
        <w:trPr>
          <w:trHeight w:val="124"/>
        </w:trPr>
        <w:tc>
          <w:tcPr>
            <w:tcW w:w="3309" w:type="pct"/>
          </w:tcPr>
          <w:p w14:paraId="79C2D534" w14:textId="77777777" w:rsidR="004E2F51" w:rsidRPr="004B4498" w:rsidRDefault="004E2F51" w:rsidP="00E032FC">
            <w:pPr>
              <w:tabs>
                <w:tab w:val="left" w:pos="-720"/>
              </w:tabs>
              <w:rPr>
                <w:rFonts w:ascii="Arial" w:hAnsi="Arial" w:cs="Arial"/>
                <w:color w:val="000000" w:themeColor="text1"/>
                <w:spacing w:val="-3"/>
                <w:sz w:val="20"/>
                <w:szCs w:val="20"/>
                <w:lang w:val="hr-HR"/>
              </w:rPr>
            </w:pPr>
          </w:p>
        </w:tc>
        <w:tc>
          <w:tcPr>
            <w:tcW w:w="846" w:type="pct"/>
            <w:vAlign w:val="bottom"/>
          </w:tcPr>
          <w:p w14:paraId="427A2D11" w14:textId="77777777" w:rsidR="004E2F51" w:rsidRPr="004B4498" w:rsidRDefault="004E2F51" w:rsidP="00E032FC">
            <w:pPr>
              <w:pStyle w:val="TH"/>
              <w:jc w:val="right"/>
              <w:rPr>
                <w:rFonts w:cs="Arial"/>
                <w:color w:val="000000" w:themeColor="text1"/>
                <w:sz w:val="20"/>
                <w:lang w:val="hr-HR"/>
              </w:rPr>
            </w:pPr>
            <w:bookmarkStart w:id="1050" w:name="_Toc67328096"/>
            <w:r w:rsidRPr="004B4498">
              <w:rPr>
                <w:rFonts w:cs="Arial"/>
                <w:color w:val="000000" w:themeColor="text1"/>
                <w:sz w:val="20"/>
                <w:lang w:val="hr-HR"/>
              </w:rPr>
              <w:t>31. prosinca 202</w:t>
            </w:r>
            <w:r>
              <w:rPr>
                <w:rFonts w:cs="Arial"/>
                <w:color w:val="000000" w:themeColor="text1"/>
                <w:sz w:val="20"/>
                <w:lang w:val="hr-HR"/>
              </w:rPr>
              <w:t>2</w:t>
            </w:r>
            <w:r w:rsidRPr="004B4498">
              <w:rPr>
                <w:rFonts w:cs="Arial"/>
                <w:color w:val="000000" w:themeColor="text1"/>
                <w:sz w:val="20"/>
                <w:lang w:val="hr-HR"/>
              </w:rPr>
              <w:t>.</w:t>
            </w:r>
            <w:bookmarkEnd w:id="1050"/>
          </w:p>
        </w:tc>
        <w:tc>
          <w:tcPr>
            <w:tcW w:w="845" w:type="pct"/>
            <w:vAlign w:val="bottom"/>
          </w:tcPr>
          <w:p w14:paraId="641FC4B5" w14:textId="77777777" w:rsidR="004E2F51" w:rsidRPr="004B4498" w:rsidRDefault="004E2F51" w:rsidP="00E032FC">
            <w:pPr>
              <w:pStyle w:val="TH"/>
              <w:jc w:val="right"/>
              <w:rPr>
                <w:rFonts w:cs="Arial"/>
                <w:color w:val="000000" w:themeColor="text1"/>
                <w:sz w:val="20"/>
                <w:lang w:val="hr-HR"/>
              </w:rPr>
            </w:pPr>
            <w:bookmarkStart w:id="1051" w:name="_Toc67328097"/>
            <w:r w:rsidRPr="004B4498">
              <w:rPr>
                <w:rFonts w:cs="Arial"/>
                <w:color w:val="000000" w:themeColor="text1"/>
                <w:sz w:val="20"/>
                <w:lang w:val="hr-HR"/>
              </w:rPr>
              <w:t>31. prosinca 202</w:t>
            </w:r>
            <w:r>
              <w:rPr>
                <w:rFonts w:cs="Arial"/>
                <w:color w:val="000000" w:themeColor="text1"/>
                <w:sz w:val="20"/>
                <w:lang w:val="hr-HR"/>
              </w:rPr>
              <w:t>1</w:t>
            </w:r>
            <w:r w:rsidRPr="004B4498">
              <w:rPr>
                <w:rFonts w:cs="Arial"/>
                <w:color w:val="000000" w:themeColor="text1"/>
                <w:sz w:val="20"/>
                <w:lang w:val="hr-HR"/>
              </w:rPr>
              <w:t>.</w:t>
            </w:r>
            <w:bookmarkEnd w:id="1051"/>
          </w:p>
        </w:tc>
      </w:tr>
      <w:tr w:rsidR="004E2F51" w:rsidRPr="00BB3F2C" w14:paraId="361A9899" w14:textId="77777777" w:rsidTr="00E032FC">
        <w:trPr>
          <w:trHeight w:val="99"/>
        </w:trPr>
        <w:tc>
          <w:tcPr>
            <w:tcW w:w="3309" w:type="pct"/>
          </w:tcPr>
          <w:p w14:paraId="37AAEAB5" w14:textId="77777777" w:rsidR="004E2F51" w:rsidRPr="004B4498" w:rsidRDefault="004E2F51" w:rsidP="00E032FC">
            <w:pPr>
              <w:tabs>
                <w:tab w:val="left" w:pos="-720"/>
              </w:tabs>
              <w:rPr>
                <w:rFonts w:ascii="Arial" w:hAnsi="Arial" w:cs="Arial"/>
                <w:color w:val="000000" w:themeColor="text1"/>
                <w:spacing w:val="-3"/>
                <w:sz w:val="20"/>
                <w:szCs w:val="20"/>
                <w:lang w:val="hr-HR"/>
              </w:rPr>
            </w:pPr>
          </w:p>
        </w:tc>
        <w:tc>
          <w:tcPr>
            <w:tcW w:w="846" w:type="pct"/>
          </w:tcPr>
          <w:p w14:paraId="32FAE617" w14:textId="77777777" w:rsidR="004E2F51" w:rsidRPr="004B4498" w:rsidRDefault="004E2F51" w:rsidP="00E032FC">
            <w:pPr>
              <w:pStyle w:val="TH"/>
              <w:jc w:val="right"/>
              <w:rPr>
                <w:rFonts w:cs="Arial"/>
                <w:color w:val="000000" w:themeColor="text1"/>
                <w:sz w:val="20"/>
                <w:lang w:val="hr-HR"/>
              </w:rPr>
            </w:pPr>
            <w:bookmarkStart w:id="1052" w:name="_Toc67328098"/>
            <w:r w:rsidRPr="004B4498">
              <w:rPr>
                <w:rFonts w:cs="Arial"/>
                <w:color w:val="000000" w:themeColor="text1"/>
                <w:sz w:val="20"/>
                <w:lang w:val="hr-HR"/>
              </w:rPr>
              <w:t>000 kuna</w:t>
            </w:r>
            <w:bookmarkEnd w:id="1052"/>
          </w:p>
        </w:tc>
        <w:tc>
          <w:tcPr>
            <w:tcW w:w="845" w:type="pct"/>
          </w:tcPr>
          <w:p w14:paraId="5E59CD01" w14:textId="77777777" w:rsidR="004E2F51" w:rsidRPr="004B4498" w:rsidRDefault="004E2F51" w:rsidP="00E032FC">
            <w:pPr>
              <w:pStyle w:val="TH"/>
              <w:jc w:val="right"/>
              <w:rPr>
                <w:rFonts w:cs="Arial"/>
                <w:color w:val="000000" w:themeColor="text1"/>
                <w:sz w:val="20"/>
                <w:lang w:val="hr-HR"/>
              </w:rPr>
            </w:pPr>
            <w:bookmarkStart w:id="1053" w:name="_Toc67328099"/>
            <w:r w:rsidRPr="004B4498">
              <w:rPr>
                <w:rFonts w:cs="Arial"/>
                <w:color w:val="000000" w:themeColor="text1"/>
                <w:sz w:val="20"/>
                <w:lang w:val="hr-HR"/>
              </w:rPr>
              <w:t>000 kuna</w:t>
            </w:r>
            <w:bookmarkEnd w:id="1053"/>
          </w:p>
        </w:tc>
      </w:tr>
      <w:tr w:rsidR="004E2F51" w:rsidRPr="00BB3F2C" w14:paraId="6C75ADC2" w14:textId="77777777" w:rsidTr="00E032FC">
        <w:trPr>
          <w:trHeight w:hRule="exact" w:val="166"/>
        </w:trPr>
        <w:tc>
          <w:tcPr>
            <w:tcW w:w="3309" w:type="pct"/>
          </w:tcPr>
          <w:p w14:paraId="355CFB60" w14:textId="77777777" w:rsidR="004E2F51" w:rsidRPr="004B4498" w:rsidRDefault="004E2F51" w:rsidP="00E032FC">
            <w:pPr>
              <w:tabs>
                <w:tab w:val="left" w:pos="-720"/>
              </w:tabs>
              <w:rPr>
                <w:rFonts w:ascii="Arial" w:hAnsi="Arial" w:cs="Arial"/>
                <w:color w:val="000000" w:themeColor="text1"/>
                <w:spacing w:val="-3"/>
                <w:sz w:val="20"/>
                <w:szCs w:val="20"/>
                <w:lang w:val="hr-HR"/>
              </w:rPr>
            </w:pPr>
          </w:p>
        </w:tc>
        <w:tc>
          <w:tcPr>
            <w:tcW w:w="846" w:type="pct"/>
          </w:tcPr>
          <w:p w14:paraId="4B246AE4" w14:textId="77777777" w:rsidR="004E2F51" w:rsidRPr="004B4498" w:rsidRDefault="004E2F51" w:rsidP="00E032FC">
            <w:pPr>
              <w:jc w:val="right"/>
              <w:rPr>
                <w:rFonts w:ascii="Arial" w:hAnsi="Arial" w:cs="Arial"/>
                <w:b/>
                <w:color w:val="000000" w:themeColor="text1"/>
                <w:spacing w:val="-3"/>
                <w:sz w:val="20"/>
                <w:szCs w:val="20"/>
                <w:lang w:val="hr-HR"/>
              </w:rPr>
            </w:pPr>
          </w:p>
        </w:tc>
        <w:tc>
          <w:tcPr>
            <w:tcW w:w="845" w:type="pct"/>
          </w:tcPr>
          <w:p w14:paraId="4F257E93" w14:textId="77777777" w:rsidR="004E2F51" w:rsidRPr="004B4498" w:rsidRDefault="004E2F51" w:rsidP="00E032FC">
            <w:pPr>
              <w:jc w:val="right"/>
              <w:rPr>
                <w:rFonts w:ascii="Arial" w:hAnsi="Arial" w:cs="Arial"/>
                <w:b/>
                <w:color w:val="000000" w:themeColor="text1"/>
                <w:spacing w:val="-3"/>
                <w:sz w:val="20"/>
                <w:szCs w:val="20"/>
                <w:lang w:val="hr-HR"/>
              </w:rPr>
            </w:pPr>
          </w:p>
        </w:tc>
      </w:tr>
      <w:tr w:rsidR="004E2F51" w:rsidRPr="00BB3F2C" w14:paraId="085E452F" w14:textId="77777777" w:rsidTr="00E032FC">
        <w:trPr>
          <w:trHeight w:val="329"/>
        </w:trPr>
        <w:tc>
          <w:tcPr>
            <w:tcW w:w="3309" w:type="pct"/>
            <w:vAlign w:val="bottom"/>
          </w:tcPr>
          <w:p w14:paraId="7997DBF1" w14:textId="77777777" w:rsidR="004E2F51" w:rsidRPr="004B4498" w:rsidRDefault="004E2F51" w:rsidP="00E032FC">
            <w:pPr>
              <w:pStyle w:val="TT"/>
              <w:rPr>
                <w:rFonts w:cs="Arial"/>
                <w:color w:val="000000" w:themeColor="text1"/>
                <w:sz w:val="20"/>
                <w:lang w:val="hr-HR"/>
              </w:rPr>
            </w:pPr>
            <w:bookmarkStart w:id="1054" w:name="_Toc67328100"/>
            <w:r w:rsidRPr="004B4498">
              <w:rPr>
                <w:rFonts w:cs="Arial"/>
                <w:color w:val="000000" w:themeColor="text1"/>
                <w:sz w:val="20"/>
                <w:lang w:val="hr-HR"/>
              </w:rPr>
              <w:t>EU projekti</w:t>
            </w:r>
            <w:bookmarkEnd w:id="1054"/>
          </w:p>
        </w:tc>
        <w:tc>
          <w:tcPr>
            <w:tcW w:w="846" w:type="pct"/>
            <w:tcBorders>
              <w:top w:val="nil"/>
              <w:left w:val="nil"/>
              <w:bottom w:val="nil"/>
              <w:right w:val="nil"/>
            </w:tcBorders>
            <w:shd w:val="clear" w:color="auto" w:fill="auto"/>
            <w:vAlign w:val="bottom"/>
          </w:tcPr>
          <w:p w14:paraId="51DD9F1E" w14:textId="77777777" w:rsidR="004E2F51" w:rsidRPr="004B4498" w:rsidRDefault="004E2F51" w:rsidP="00E032FC">
            <w:pPr>
              <w:pStyle w:val="TT"/>
              <w:jc w:val="right"/>
              <w:rPr>
                <w:rFonts w:cs="Arial"/>
                <w:color w:val="000000" w:themeColor="text1"/>
                <w:sz w:val="20"/>
                <w:lang w:val="hr-HR"/>
              </w:rPr>
            </w:pPr>
            <w:r w:rsidRPr="003E136D">
              <w:rPr>
                <w:rFonts w:cs="Arial"/>
                <w:color w:val="000000" w:themeColor="text1"/>
                <w:sz w:val="20"/>
                <w:lang w:val="hr-HR"/>
              </w:rPr>
              <w:t>412.237</w:t>
            </w:r>
          </w:p>
        </w:tc>
        <w:tc>
          <w:tcPr>
            <w:tcW w:w="845" w:type="pct"/>
            <w:tcBorders>
              <w:top w:val="nil"/>
              <w:left w:val="nil"/>
              <w:bottom w:val="nil"/>
              <w:right w:val="nil"/>
            </w:tcBorders>
            <w:shd w:val="clear" w:color="auto" w:fill="auto"/>
            <w:vAlign w:val="bottom"/>
          </w:tcPr>
          <w:p w14:paraId="3E2E1166" w14:textId="77777777" w:rsidR="004E2F51" w:rsidRPr="004B4498" w:rsidRDefault="004E2F51" w:rsidP="00E032FC">
            <w:pPr>
              <w:pStyle w:val="TT"/>
              <w:jc w:val="right"/>
              <w:rPr>
                <w:rFonts w:cs="Arial"/>
                <w:color w:val="000000" w:themeColor="text1"/>
                <w:sz w:val="20"/>
                <w:lang w:val="hr-HR"/>
              </w:rPr>
            </w:pPr>
            <w:bookmarkStart w:id="1055" w:name="_Toc67328101"/>
            <w:r w:rsidRPr="0046584E">
              <w:rPr>
                <w:rFonts w:cs="Arial"/>
                <w:color w:val="000000" w:themeColor="text1"/>
                <w:sz w:val="20"/>
                <w:lang w:val="hr-HR"/>
              </w:rPr>
              <w:t>308.294</w:t>
            </w:r>
            <w:bookmarkEnd w:id="1055"/>
          </w:p>
        </w:tc>
      </w:tr>
      <w:tr w:rsidR="004E2F51" w:rsidRPr="00BB3F2C" w14:paraId="1AC05DE4" w14:textId="77777777" w:rsidTr="00E032FC">
        <w:trPr>
          <w:trHeight w:val="329"/>
        </w:trPr>
        <w:tc>
          <w:tcPr>
            <w:tcW w:w="3309" w:type="pct"/>
            <w:vAlign w:val="bottom"/>
          </w:tcPr>
          <w:p w14:paraId="2390C85C" w14:textId="77777777" w:rsidR="004E2F51" w:rsidRPr="004B4498" w:rsidRDefault="004E2F51" w:rsidP="00E032FC">
            <w:pPr>
              <w:pStyle w:val="TT"/>
              <w:rPr>
                <w:rFonts w:cs="Arial"/>
                <w:color w:val="000000" w:themeColor="text1"/>
                <w:sz w:val="20"/>
                <w:lang w:val="hr-HR"/>
              </w:rPr>
            </w:pPr>
            <w:bookmarkStart w:id="1056" w:name="_Toc67328103"/>
            <w:r w:rsidRPr="004B4498">
              <w:rPr>
                <w:rFonts w:cs="Arial"/>
                <w:color w:val="000000" w:themeColor="text1"/>
                <w:sz w:val="20"/>
                <w:lang w:val="hr-HR"/>
              </w:rPr>
              <w:t>Financijsko restrukturiranje</w:t>
            </w:r>
            <w:bookmarkEnd w:id="1056"/>
          </w:p>
        </w:tc>
        <w:tc>
          <w:tcPr>
            <w:tcW w:w="846" w:type="pct"/>
            <w:tcBorders>
              <w:top w:val="nil"/>
              <w:left w:val="nil"/>
              <w:bottom w:val="nil"/>
              <w:right w:val="nil"/>
            </w:tcBorders>
            <w:shd w:val="clear" w:color="auto" w:fill="auto"/>
            <w:vAlign w:val="bottom"/>
          </w:tcPr>
          <w:p w14:paraId="04633250" w14:textId="77777777" w:rsidR="004E2F51" w:rsidRPr="004B4498" w:rsidRDefault="004E2F51" w:rsidP="00E032FC">
            <w:pPr>
              <w:pStyle w:val="TT"/>
              <w:jc w:val="right"/>
              <w:rPr>
                <w:rFonts w:cs="Arial"/>
                <w:color w:val="000000" w:themeColor="text1"/>
                <w:sz w:val="20"/>
                <w:lang w:val="hr-HR"/>
              </w:rPr>
            </w:pPr>
            <w:r w:rsidRPr="003E136D">
              <w:rPr>
                <w:rFonts w:cs="Arial"/>
                <w:color w:val="000000" w:themeColor="text1"/>
                <w:sz w:val="20"/>
                <w:lang w:val="hr-HR"/>
              </w:rPr>
              <w:t>1.203.663</w:t>
            </w:r>
          </w:p>
        </w:tc>
        <w:tc>
          <w:tcPr>
            <w:tcW w:w="845" w:type="pct"/>
            <w:tcBorders>
              <w:top w:val="nil"/>
              <w:left w:val="nil"/>
              <w:bottom w:val="nil"/>
              <w:right w:val="nil"/>
            </w:tcBorders>
            <w:shd w:val="clear" w:color="auto" w:fill="auto"/>
            <w:vAlign w:val="bottom"/>
          </w:tcPr>
          <w:p w14:paraId="6C8DE613" w14:textId="77777777" w:rsidR="004E2F51" w:rsidRPr="004B4498" w:rsidRDefault="004E2F51" w:rsidP="00E032FC">
            <w:pPr>
              <w:pStyle w:val="TT"/>
              <w:jc w:val="right"/>
              <w:rPr>
                <w:rFonts w:cs="Arial"/>
                <w:color w:val="000000" w:themeColor="text1"/>
                <w:sz w:val="20"/>
                <w:lang w:val="hr-HR"/>
              </w:rPr>
            </w:pPr>
            <w:bookmarkStart w:id="1057" w:name="_Toc67328104"/>
            <w:r w:rsidRPr="0046584E">
              <w:rPr>
                <w:rFonts w:cs="Arial"/>
                <w:color w:val="000000" w:themeColor="text1"/>
                <w:sz w:val="20"/>
                <w:lang w:val="hr-HR"/>
              </w:rPr>
              <w:t>1.186.514</w:t>
            </w:r>
            <w:bookmarkEnd w:id="1057"/>
          </w:p>
        </w:tc>
      </w:tr>
      <w:tr w:rsidR="004E2F51" w:rsidRPr="00BB3F2C" w14:paraId="2A7CDE5B" w14:textId="77777777" w:rsidTr="00E032FC">
        <w:trPr>
          <w:trHeight w:val="329"/>
        </w:trPr>
        <w:tc>
          <w:tcPr>
            <w:tcW w:w="3309" w:type="pct"/>
            <w:vAlign w:val="bottom"/>
          </w:tcPr>
          <w:p w14:paraId="60DEB863" w14:textId="77777777" w:rsidR="004E2F51" w:rsidRPr="004B4498" w:rsidRDefault="004E2F51" w:rsidP="00E032FC">
            <w:pPr>
              <w:pStyle w:val="TT"/>
              <w:rPr>
                <w:rFonts w:cs="Arial"/>
                <w:color w:val="000000" w:themeColor="text1"/>
                <w:sz w:val="20"/>
                <w:lang w:val="hr-HR"/>
              </w:rPr>
            </w:pPr>
            <w:bookmarkStart w:id="1058" w:name="_Toc67328106"/>
            <w:r w:rsidRPr="004B4498">
              <w:rPr>
                <w:rFonts w:cs="Arial"/>
                <w:color w:val="000000" w:themeColor="text1"/>
                <w:sz w:val="20"/>
                <w:lang w:val="hr-HR"/>
              </w:rPr>
              <w:t>Priprema izvoza</w:t>
            </w:r>
            <w:bookmarkEnd w:id="1058"/>
          </w:p>
        </w:tc>
        <w:tc>
          <w:tcPr>
            <w:tcW w:w="846" w:type="pct"/>
            <w:tcBorders>
              <w:top w:val="nil"/>
              <w:left w:val="nil"/>
              <w:bottom w:val="nil"/>
              <w:right w:val="nil"/>
            </w:tcBorders>
            <w:shd w:val="clear" w:color="auto" w:fill="auto"/>
            <w:vAlign w:val="bottom"/>
          </w:tcPr>
          <w:p w14:paraId="5B548F85" w14:textId="77777777" w:rsidR="004E2F51" w:rsidRPr="004B4498" w:rsidRDefault="004E2F51" w:rsidP="00E032FC">
            <w:pPr>
              <w:pStyle w:val="TT"/>
              <w:jc w:val="right"/>
              <w:rPr>
                <w:rFonts w:cs="Arial"/>
                <w:color w:val="000000" w:themeColor="text1"/>
                <w:sz w:val="20"/>
                <w:lang w:val="hr-HR"/>
              </w:rPr>
            </w:pPr>
            <w:r w:rsidRPr="003E136D">
              <w:rPr>
                <w:rFonts w:cs="Arial"/>
                <w:color w:val="000000" w:themeColor="text1"/>
                <w:sz w:val="20"/>
                <w:lang w:val="hr-HR"/>
              </w:rPr>
              <w:t>134.084</w:t>
            </w:r>
          </w:p>
        </w:tc>
        <w:tc>
          <w:tcPr>
            <w:tcW w:w="845" w:type="pct"/>
            <w:tcBorders>
              <w:top w:val="nil"/>
              <w:left w:val="nil"/>
              <w:bottom w:val="nil"/>
              <w:right w:val="nil"/>
            </w:tcBorders>
            <w:shd w:val="clear" w:color="auto" w:fill="auto"/>
            <w:vAlign w:val="bottom"/>
          </w:tcPr>
          <w:p w14:paraId="5612CE30" w14:textId="77777777" w:rsidR="004E2F51" w:rsidRPr="004B4498" w:rsidRDefault="004E2F51" w:rsidP="00E032FC">
            <w:pPr>
              <w:pStyle w:val="TT"/>
              <w:jc w:val="right"/>
              <w:rPr>
                <w:rFonts w:cs="Arial"/>
                <w:color w:val="000000" w:themeColor="text1"/>
                <w:sz w:val="20"/>
                <w:lang w:val="hr-HR"/>
              </w:rPr>
            </w:pPr>
            <w:bookmarkStart w:id="1059" w:name="_Toc67328107"/>
            <w:r w:rsidRPr="0046584E">
              <w:rPr>
                <w:rFonts w:cs="Arial"/>
                <w:color w:val="000000" w:themeColor="text1"/>
                <w:sz w:val="20"/>
                <w:lang w:val="hr-HR"/>
              </w:rPr>
              <w:t>96.193</w:t>
            </w:r>
            <w:bookmarkEnd w:id="1059"/>
          </w:p>
        </w:tc>
      </w:tr>
      <w:tr w:rsidR="004E2F51" w:rsidRPr="00BB3F2C" w14:paraId="00CAFB47" w14:textId="77777777" w:rsidTr="00E032FC">
        <w:trPr>
          <w:trHeight w:val="329"/>
        </w:trPr>
        <w:tc>
          <w:tcPr>
            <w:tcW w:w="3309" w:type="pct"/>
            <w:vAlign w:val="bottom"/>
          </w:tcPr>
          <w:p w14:paraId="136B1783" w14:textId="77777777" w:rsidR="004E2F51" w:rsidRPr="004B4498" w:rsidRDefault="004E2F51" w:rsidP="00E032FC">
            <w:pPr>
              <w:pStyle w:val="TT"/>
              <w:rPr>
                <w:rFonts w:cs="Arial"/>
                <w:color w:val="000000" w:themeColor="text1"/>
                <w:sz w:val="20"/>
                <w:lang w:val="hr-HR"/>
              </w:rPr>
            </w:pPr>
            <w:bookmarkStart w:id="1060" w:name="_Toc67328109"/>
            <w:r w:rsidRPr="004B4498">
              <w:rPr>
                <w:rFonts w:cs="Arial"/>
                <w:color w:val="000000" w:themeColor="text1"/>
                <w:sz w:val="20"/>
                <w:lang w:val="hr-HR"/>
              </w:rPr>
              <w:t>Investicije javnog sektora</w:t>
            </w:r>
            <w:bookmarkEnd w:id="1060"/>
          </w:p>
        </w:tc>
        <w:tc>
          <w:tcPr>
            <w:tcW w:w="846" w:type="pct"/>
            <w:tcBorders>
              <w:top w:val="nil"/>
              <w:left w:val="nil"/>
              <w:bottom w:val="nil"/>
              <w:right w:val="nil"/>
            </w:tcBorders>
            <w:shd w:val="clear" w:color="auto" w:fill="auto"/>
            <w:vAlign w:val="bottom"/>
          </w:tcPr>
          <w:p w14:paraId="0E71B6E3" w14:textId="77777777" w:rsidR="004E2F51" w:rsidRPr="004B4498" w:rsidRDefault="004E2F51" w:rsidP="00E032FC">
            <w:pPr>
              <w:pStyle w:val="TT"/>
              <w:jc w:val="right"/>
              <w:rPr>
                <w:rFonts w:cs="Arial"/>
                <w:color w:val="000000" w:themeColor="text1"/>
                <w:sz w:val="20"/>
                <w:lang w:val="hr-HR"/>
              </w:rPr>
            </w:pPr>
            <w:r w:rsidRPr="003E136D">
              <w:rPr>
                <w:rFonts w:cs="Arial"/>
                <w:color w:val="000000" w:themeColor="text1"/>
                <w:sz w:val="20"/>
                <w:lang w:val="hr-HR"/>
              </w:rPr>
              <w:t>2.142.558</w:t>
            </w:r>
          </w:p>
        </w:tc>
        <w:tc>
          <w:tcPr>
            <w:tcW w:w="845" w:type="pct"/>
            <w:tcBorders>
              <w:top w:val="nil"/>
              <w:left w:val="nil"/>
              <w:bottom w:val="nil"/>
              <w:right w:val="nil"/>
            </w:tcBorders>
            <w:shd w:val="clear" w:color="auto" w:fill="auto"/>
            <w:vAlign w:val="bottom"/>
          </w:tcPr>
          <w:p w14:paraId="3B81E214" w14:textId="77777777" w:rsidR="004E2F51" w:rsidRPr="004B4498" w:rsidRDefault="004E2F51" w:rsidP="00E032FC">
            <w:pPr>
              <w:pStyle w:val="TT"/>
              <w:jc w:val="right"/>
              <w:rPr>
                <w:rFonts w:cs="Arial"/>
                <w:color w:val="000000" w:themeColor="text1"/>
                <w:sz w:val="20"/>
                <w:lang w:val="hr-HR"/>
              </w:rPr>
            </w:pPr>
            <w:bookmarkStart w:id="1061" w:name="_Toc67328110"/>
            <w:r w:rsidRPr="0046584E">
              <w:rPr>
                <w:rFonts w:cs="Arial"/>
                <w:color w:val="000000" w:themeColor="text1"/>
                <w:sz w:val="20"/>
                <w:lang w:val="hr-HR"/>
              </w:rPr>
              <w:t>1.478.380</w:t>
            </w:r>
            <w:bookmarkEnd w:id="1061"/>
          </w:p>
        </w:tc>
      </w:tr>
      <w:tr w:rsidR="004E2F51" w:rsidRPr="00BB3F2C" w14:paraId="3AE9661B" w14:textId="77777777" w:rsidTr="00E032FC">
        <w:trPr>
          <w:trHeight w:val="329"/>
        </w:trPr>
        <w:tc>
          <w:tcPr>
            <w:tcW w:w="3309" w:type="pct"/>
            <w:vAlign w:val="bottom"/>
          </w:tcPr>
          <w:p w14:paraId="06167663" w14:textId="77777777" w:rsidR="004E2F51" w:rsidRPr="004B4498" w:rsidRDefault="004E2F51" w:rsidP="00E032FC">
            <w:pPr>
              <w:pStyle w:val="TT"/>
              <w:rPr>
                <w:rFonts w:cs="Arial"/>
                <w:color w:val="000000" w:themeColor="text1"/>
                <w:sz w:val="20"/>
                <w:lang w:val="hr-HR"/>
              </w:rPr>
            </w:pPr>
            <w:bookmarkStart w:id="1062" w:name="_Toc67328112"/>
            <w:r w:rsidRPr="004B4498">
              <w:rPr>
                <w:rFonts w:cs="Arial"/>
                <w:color w:val="000000" w:themeColor="text1"/>
                <w:sz w:val="20"/>
                <w:lang w:val="hr-HR"/>
              </w:rPr>
              <w:t>Investicije privatnog sektora</w:t>
            </w:r>
            <w:bookmarkEnd w:id="1062"/>
          </w:p>
        </w:tc>
        <w:tc>
          <w:tcPr>
            <w:tcW w:w="846" w:type="pct"/>
            <w:tcBorders>
              <w:top w:val="nil"/>
              <w:left w:val="nil"/>
              <w:bottom w:val="nil"/>
              <w:right w:val="nil"/>
            </w:tcBorders>
            <w:shd w:val="clear" w:color="auto" w:fill="auto"/>
            <w:vAlign w:val="bottom"/>
          </w:tcPr>
          <w:p w14:paraId="26C87229" w14:textId="77777777" w:rsidR="004E2F51" w:rsidRPr="004B4498" w:rsidRDefault="004E2F51" w:rsidP="00E032FC">
            <w:pPr>
              <w:pStyle w:val="TT"/>
              <w:jc w:val="right"/>
              <w:rPr>
                <w:rFonts w:cs="Arial"/>
                <w:color w:val="000000" w:themeColor="text1"/>
                <w:sz w:val="20"/>
                <w:lang w:val="hr-HR"/>
              </w:rPr>
            </w:pPr>
            <w:r w:rsidRPr="003E136D">
              <w:rPr>
                <w:rFonts w:cs="Arial"/>
                <w:color w:val="000000" w:themeColor="text1"/>
                <w:sz w:val="20"/>
                <w:lang w:val="hr-HR"/>
              </w:rPr>
              <w:t>1.217.719</w:t>
            </w:r>
          </w:p>
        </w:tc>
        <w:tc>
          <w:tcPr>
            <w:tcW w:w="845" w:type="pct"/>
            <w:tcBorders>
              <w:top w:val="nil"/>
              <w:left w:val="nil"/>
              <w:bottom w:val="nil"/>
              <w:right w:val="nil"/>
            </w:tcBorders>
            <w:shd w:val="clear" w:color="auto" w:fill="auto"/>
            <w:vAlign w:val="bottom"/>
          </w:tcPr>
          <w:p w14:paraId="72D044B9" w14:textId="77777777" w:rsidR="004E2F51" w:rsidRPr="004B4498" w:rsidRDefault="004E2F51" w:rsidP="00E032FC">
            <w:pPr>
              <w:pStyle w:val="TT"/>
              <w:jc w:val="right"/>
              <w:rPr>
                <w:rFonts w:cs="Arial"/>
                <w:color w:val="000000" w:themeColor="text1"/>
                <w:sz w:val="20"/>
                <w:lang w:val="hr-HR"/>
              </w:rPr>
            </w:pPr>
            <w:bookmarkStart w:id="1063" w:name="_Toc67328113"/>
            <w:r w:rsidRPr="0046584E">
              <w:rPr>
                <w:rFonts w:cs="Arial"/>
                <w:color w:val="000000" w:themeColor="text1"/>
                <w:sz w:val="20"/>
                <w:lang w:val="hr-HR"/>
              </w:rPr>
              <w:t>730.358</w:t>
            </w:r>
            <w:bookmarkEnd w:id="1063"/>
          </w:p>
        </w:tc>
      </w:tr>
      <w:tr w:rsidR="004E2F51" w:rsidRPr="00BB3F2C" w14:paraId="18F0020C" w14:textId="77777777" w:rsidTr="00E032FC">
        <w:trPr>
          <w:trHeight w:val="329"/>
        </w:trPr>
        <w:tc>
          <w:tcPr>
            <w:tcW w:w="3309" w:type="pct"/>
            <w:vAlign w:val="bottom"/>
          </w:tcPr>
          <w:p w14:paraId="26FEE377" w14:textId="77777777" w:rsidR="004E2F51" w:rsidRPr="004B4498" w:rsidRDefault="004E2F51" w:rsidP="00E032FC">
            <w:pPr>
              <w:pStyle w:val="TT"/>
              <w:rPr>
                <w:rFonts w:cs="Arial"/>
                <w:color w:val="000000" w:themeColor="text1"/>
                <w:sz w:val="20"/>
                <w:lang w:val="hr-HR"/>
              </w:rPr>
            </w:pPr>
            <w:bookmarkStart w:id="1064" w:name="_Toc67328115"/>
            <w:r w:rsidRPr="004B4498">
              <w:rPr>
                <w:rFonts w:cs="Arial"/>
                <w:color w:val="000000" w:themeColor="text1"/>
                <w:sz w:val="20"/>
                <w:lang w:val="hr-HR"/>
              </w:rPr>
              <w:t>Poduzetništvo mladih, žena i početnika</w:t>
            </w:r>
            <w:bookmarkEnd w:id="1064"/>
          </w:p>
        </w:tc>
        <w:tc>
          <w:tcPr>
            <w:tcW w:w="846" w:type="pct"/>
            <w:tcBorders>
              <w:top w:val="nil"/>
              <w:left w:val="nil"/>
              <w:bottom w:val="nil"/>
              <w:right w:val="nil"/>
            </w:tcBorders>
            <w:shd w:val="clear" w:color="auto" w:fill="auto"/>
            <w:vAlign w:val="bottom"/>
          </w:tcPr>
          <w:p w14:paraId="1B6914EA" w14:textId="77777777" w:rsidR="004E2F51" w:rsidRPr="004B4498" w:rsidRDefault="004E2F51" w:rsidP="00E032FC">
            <w:pPr>
              <w:pStyle w:val="TT"/>
              <w:jc w:val="right"/>
              <w:rPr>
                <w:rFonts w:cs="Arial"/>
                <w:color w:val="000000" w:themeColor="text1"/>
                <w:sz w:val="20"/>
                <w:lang w:val="hr-HR"/>
              </w:rPr>
            </w:pPr>
            <w:r w:rsidRPr="003E136D">
              <w:rPr>
                <w:rFonts w:cs="Arial"/>
                <w:color w:val="000000" w:themeColor="text1"/>
                <w:sz w:val="20"/>
                <w:lang w:val="hr-HR"/>
              </w:rPr>
              <w:t>50.564</w:t>
            </w:r>
          </w:p>
        </w:tc>
        <w:tc>
          <w:tcPr>
            <w:tcW w:w="845" w:type="pct"/>
            <w:tcBorders>
              <w:top w:val="nil"/>
              <w:left w:val="nil"/>
              <w:bottom w:val="nil"/>
              <w:right w:val="nil"/>
            </w:tcBorders>
            <w:shd w:val="clear" w:color="auto" w:fill="auto"/>
            <w:vAlign w:val="bottom"/>
          </w:tcPr>
          <w:p w14:paraId="29540FD4" w14:textId="77777777" w:rsidR="004E2F51" w:rsidRPr="004B4498" w:rsidRDefault="004E2F51" w:rsidP="00E032FC">
            <w:pPr>
              <w:pStyle w:val="TT"/>
              <w:jc w:val="right"/>
              <w:rPr>
                <w:rFonts w:cs="Arial"/>
                <w:color w:val="000000" w:themeColor="text1"/>
                <w:sz w:val="20"/>
                <w:lang w:val="hr-HR"/>
              </w:rPr>
            </w:pPr>
            <w:bookmarkStart w:id="1065" w:name="_Toc67328116"/>
            <w:r w:rsidRPr="0046584E">
              <w:rPr>
                <w:rFonts w:cs="Arial"/>
                <w:color w:val="000000" w:themeColor="text1"/>
                <w:sz w:val="20"/>
                <w:lang w:val="hr-HR"/>
              </w:rPr>
              <w:t>31.287</w:t>
            </w:r>
            <w:bookmarkEnd w:id="1065"/>
          </w:p>
        </w:tc>
      </w:tr>
      <w:tr w:rsidR="004E2F51" w:rsidRPr="00BB3F2C" w14:paraId="4DD07CA2" w14:textId="77777777" w:rsidTr="00E032FC">
        <w:trPr>
          <w:trHeight w:val="329"/>
        </w:trPr>
        <w:tc>
          <w:tcPr>
            <w:tcW w:w="3309" w:type="pct"/>
            <w:vAlign w:val="bottom"/>
          </w:tcPr>
          <w:p w14:paraId="4A8B4B85" w14:textId="77777777" w:rsidR="004E2F51" w:rsidRPr="004B4498" w:rsidRDefault="004E2F51" w:rsidP="00E032FC">
            <w:pPr>
              <w:pStyle w:val="TT"/>
              <w:rPr>
                <w:rFonts w:cs="Arial"/>
                <w:color w:val="000000" w:themeColor="text1"/>
                <w:sz w:val="20"/>
                <w:lang w:val="hr-HR"/>
              </w:rPr>
            </w:pPr>
            <w:bookmarkStart w:id="1066" w:name="_Toc67328118"/>
            <w:r w:rsidRPr="004B4498">
              <w:rPr>
                <w:rFonts w:cs="Arial"/>
                <w:color w:val="000000" w:themeColor="text1"/>
                <w:sz w:val="20"/>
                <w:lang w:val="hr-HR"/>
              </w:rPr>
              <w:t>Obrtna sredstva</w:t>
            </w:r>
            <w:bookmarkEnd w:id="1066"/>
          </w:p>
        </w:tc>
        <w:tc>
          <w:tcPr>
            <w:tcW w:w="846" w:type="pct"/>
            <w:tcBorders>
              <w:top w:val="nil"/>
              <w:left w:val="nil"/>
              <w:bottom w:val="nil"/>
              <w:right w:val="nil"/>
            </w:tcBorders>
            <w:shd w:val="clear" w:color="auto" w:fill="auto"/>
            <w:vAlign w:val="bottom"/>
          </w:tcPr>
          <w:p w14:paraId="5CDCF9E4" w14:textId="77777777" w:rsidR="004E2F51" w:rsidRPr="004B4498" w:rsidRDefault="004E2F51" w:rsidP="00E032FC">
            <w:pPr>
              <w:pStyle w:val="TT"/>
              <w:jc w:val="right"/>
              <w:rPr>
                <w:rFonts w:cs="Arial"/>
                <w:color w:val="000000" w:themeColor="text1"/>
                <w:sz w:val="20"/>
                <w:lang w:val="hr-HR"/>
              </w:rPr>
            </w:pPr>
            <w:r w:rsidRPr="003E136D">
              <w:rPr>
                <w:rFonts w:cs="Arial"/>
                <w:color w:val="000000" w:themeColor="text1"/>
                <w:sz w:val="20"/>
                <w:lang w:val="hr-HR"/>
              </w:rPr>
              <w:t>1.919.588</w:t>
            </w:r>
          </w:p>
        </w:tc>
        <w:tc>
          <w:tcPr>
            <w:tcW w:w="845" w:type="pct"/>
            <w:tcBorders>
              <w:top w:val="nil"/>
              <w:left w:val="nil"/>
              <w:bottom w:val="nil"/>
              <w:right w:val="nil"/>
            </w:tcBorders>
            <w:shd w:val="clear" w:color="auto" w:fill="auto"/>
            <w:vAlign w:val="bottom"/>
          </w:tcPr>
          <w:p w14:paraId="246B9219" w14:textId="77777777" w:rsidR="004E2F51" w:rsidRPr="004B4498" w:rsidRDefault="004E2F51" w:rsidP="00E032FC">
            <w:pPr>
              <w:pStyle w:val="TT"/>
              <w:jc w:val="right"/>
              <w:rPr>
                <w:rFonts w:cs="Arial"/>
                <w:color w:val="000000" w:themeColor="text1"/>
                <w:sz w:val="20"/>
                <w:lang w:val="hr-HR"/>
              </w:rPr>
            </w:pPr>
            <w:bookmarkStart w:id="1067" w:name="_Toc67328119"/>
            <w:r w:rsidRPr="0046584E">
              <w:rPr>
                <w:rFonts w:cs="Arial"/>
                <w:color w:val="000000" w:themeColor="text1"/>
                <w:sz w:val="20"/>
                <w:lang w:val="hr-HR"/>
              </w:rPr>
              <w:t>690.681</w:t>
            </w:r>
            <w:bookmarkEnd w:id="1067"/>
          </w:p>
        </w:tc>
      </w:tr>
      <w:tr w:rsidR="004E2F51" w:rsidRPr="00BB3F2C" w14:paraId="51A85FD1" w14:textId="77777777" w:rsidTr="00E032FC">
        <w:trPr>
          <w:trHeight w:val="329"/>
        </w:trPr>
        <w:tc>
          <w:tcPr>
            <w:tcW w:w="3309" w:type="pct"/>
            <w:vAlign w:val="bottom"/>
          </w:tcPr>
          <w:p w14:paraId="524A2B7E" w14:textId="77777777" w:rsidR="004E2F51" w:rsidRPr="004B4498" w:rsidRDefault="004E2F51" w:rsidP="00E032FC">
            <w:pPr>
              <w:pStyle w:val="TT"/>
              <w:rPr>
                <w:rFonts w:cs="Arial"/>
                <w:color w:val="000000" w:themeColor="text1"/>
                <w:sz w:val="20"/>
                <w:lang w:val="hr-HR"/>
              </w:rPr>
            </w:pPr>
            <w:r w:rsidRPr="00E77B21">
              <w:rPr>
                <w:rFonts w:cs="Arial"/>
                <w:color w:val="000000" w:themeColor="text1"/>
                <w:sz w:val="20"/>
                <w:lang w:val="hr-HR"/>
              </w:rPr>
              <w:t>Obrtna sredstva – Mjere COVID 19 i Kriza 2022</w:t>
            </w:r>
            <w:r>
              <w:rPr>
                <w:rStyle w:val="FootnoteReference"/>
                <w:rFonts w:cs="Arial"/>
                <w:color w:val="000000" w:themeColor="text1"/>
                <w:sz w:val="20"/>
                <w:lang w:val="hr-HR"/>
              </w:rPr>
              <w:footnoteReference w:id="3"/>
            </w:r>
          </w:p>
        </w:tc>
        <w:tc>
          <w:tcPr>
            <w:tcW w:w="846" w:type="pct"/>
            <w:tcBorders>
              <w:top w:val="nil"/>
              <w:left w:val="nil"/>
              <w:bottom w:val="nil"/>
              <w:right w:val="nil"/>
            </w:tcBorders>
            <w:shd w:val="clear" w:color="auto" w:fill="auto"/>
            <w:vAlign w:val="bottom"/>
          </w:tcPr>
          <w:p w14:paraId="0273560C" w14:textId="77777777" w:rsidR="004E2F51" w:rsidRPr="004B4498" w:rsidRDefault="004E2F51" w:rsidP="00E032FC">
            <w:pPr>
              <w:pStyle w:val="TT"/>
              <w:jc w:val="right"/>
              <w:rPr>
                <w:rFonts w:cs="Arial"/>
                <w:color w:val="000000" w:themeColor="text1"/>
                <w:sz w:val="20"/>
                <w:lang w:val="hr-HR"/>
              </w:rPr>
            </w:pPr>
            <w:r w:rsidRPr="003E136D">
              <w:rPr>
                <w:rFonts w:cs="Arial"/>
                <w:color w:val="000000" w:themeColor="text1"/>
                <w:sz w:val="20"/>
                <w:lang w:val="hr-HR"/>
              </w:rPr>
              <w:t>2.639.314</w:t>
            </w:r>
          </w:p>
        </w:tc>
        <w:tc>
          <w:tcPr>
            <w:tcW w:w="845" w:type="pct"/>
            <w:tcBorders>
              <w:top w:val="nil"/>
              <w:left w:val="nil"/>
              <w:bottom w:val="nil"/>
              <w:right w:val="nil"/>
            </w:tcBorders>
            <w:shd w:val="clear" w:color="auto" w:fill="auto"/>
            <w:vAlign w:val="bottom"/>
          </w:tcPr>
          <w:p w14:paraId="1DB8B299" w14:textId="77777777" w:rsidR="004E2F51" w:rsidRPr="004B4498" w:rsidRDefault="004E2F51" w:rsidP="00E032FC">
            <w:pPr>
              <w:pStyle w:val="TT"/>
              <w:jc w:val="right"/>
              <w:rPr>
                <w:rFonts w:cs="Arial"/>
                <w:color w:val="000000" w:themeColor="text1"/>
                <w:sz w:val="20"/>
                <w:lang w:val="hr-HR"/>
              </w:rPr>
            </w:pPr>
            <w:bookmarkStart w:id="1068" w:name="_Toc67328122"/>
            <w:r w:rsidRPr="0046584E">
              <w:rPr>
                <w:rFonts w:cs="Arial"/>
                <w:color w:val="000000" w:themeColor="text1"/>
                <w:sz w:val="20"/>
                <w:lang w:val="hr-HR"/>
              </w:rPr>
              <w:t>1.645.736</w:t>
            </w:r>
            <w:bookmarkEnd w:id="1068"/>
          </w:p>
        </w:tc>
      </w:tr>
      <w:tr w:rsidR="004E2F51" w:rsidRPr="00BB3F2C" w14:paraId="72D9D667" w14:textId="77777777" w:rsidTr="00E032FC">
        <w:trPr>
          <w:trHeight w:val="329"/>
        </w:trPr>
        <w:tc>
          <w:tcPr>
            <w:tcW w:w="3309" w:type="pct"/>
            <w:vAlign w:val="bottom"/>
          </w:tcPr>
          <w:p w14:paraId="4370A34D" w14:textId="77777777" w:rsidR="004E2F51" w:rsidRPr="004B4498" w:rsidRDefault="004E2F51" w:rsidP="00E032FC">
            <w:pPr>
              <w:pStyle w:val="TT"/>
              <w:rPr>
                <w:rFonts w:cs="Arial"/>
                <w:color w:val="000000" w:themeColor="text1"/>
                <w:sz w:val="20"/>
                <w:lang w:val="hr-HR"/>
              </w:rPr>
            </w:pPr>
            <w:bookmarkStart w:id="1069" w:name="_Toc67328124"/>
            <w:r w:rsidRPr="004B4498">
              <w:rPr>
                <w:rFonts w:cs="Arial"/>
                <w:color w:val="000000" w:themeColor="text1"/>
                <w:sz w:val="20"/>
                <w:lang w:val="hr-HR"/>
              </w:rPr>
              <w:t>Program kreditiranja obnove i razvitka gospodarskih djelatnosti</w:t>
            </w:r>
            <w:bookmarkEnd w:id="1069"/>
          </w:p>
        </w:tc>
        <w:tc>
          <w:tcPr>
            <w:tcW w:w="846" w:type="pct"/>
            <w:tcBorders>
              <w:top w:val="nil"/>
              <w:left w:val="nil"/>
              <w:bottom w:val="nil"/>
              <w:right w:val="nil"/>
            </w:tcBorders>
            <w:shd w:val="clear" w:color="auto" w:fill="auto"/>
            <w:vAlign w:val="bottom"/>
          </w:tcPr>
          <w:p w14:paraId="53359AA9" w14:textId="77777777" w:rsidR="004E2F51" w:rsidRPr="004B4498" w:rsidRDefault="004E2F51" w:rsidP="00E032FC">
            <w:pPr>
              <w:pStyle w:val="TT"/>
              <w:jc w:val="right"/>
              <w:rPr>
                <w:rFonts w:cs="Arial"/>
                <w:color w:val="000000" w:themeColor="text1"/>
                <w:sz w:val="20"/>
                <w:lang w:val="hr-HR"/>
              </w:rPr>
            </w:pPr>
            <w:r w:rsidRPr="003E136D">
              <w:rPr>
                <w:rFonts w:cs="Arial"/>
                <w:color w:val="000000" w:themeColor="text1"/>
                <w:sz w:val="20"/>
                <w:lang w:val="hr-HR"/>
              </w:rPr>
              <w:t>1.849.921</w:t>
            </w:r>
          </w:p>
        </w:tc>
        <w:tc>
          <w:tcPr>
            <w:tcW w:w="845" w:type="pct"/>
            <w:tcBorders>
              <w:top w:val="nil"/>
              <w:left w:val="nil"/>
              <w:bottom w:val="nil"/>
              <w:right w:val="nil"/>
            </w:tcBorders>
            <w:shd w:val="clear" w:color="auto" w:fill="auto"/>
            <w:vAlign w:val="bottom"/>
          </w:tcPr>
          <w:p w14:paraId="4A7B2F7E" w14:textId="77777777" w:rsidR="004E2F51" w:rsidRPr="004B4498" w:rsidRDefault="004E2F51" w:rsidP="00E032FC">
            <w:pPr>
              <w:pStyle w:val="TT"/>
              <w:jc w:val="right"/>
              <w:rPr>
                <w:rFonts w:cs="Arial"/>
                <w:color w:val="000000" w:themeColor="text1"/>
                <w:sz w:val="20"/>
                <w:lang w:val="hr-HR"/>
              </w:rPr>
            </w:pPr>
            <w:bookmarkStart w:id="1070" w:name="_Toc67328125"/>
            <w:r w:rsidRPr="0046584E">
              <w:rPr>
                <w:rFonts w:cs="Arial"/>
                <w:color w:val="000000" w:themeColor="text1"/>
                <w:sz w:val="20"/>
                <w:lang w:val="hr-HR"/>
              </w:rPr>
              <w:t>2.254.094</w:t>
            </w:r>
            <w:bookmarkEnd w:id="1070"/>
          </w:p>
        </w:tc>
      </w:tr>
      <w:tr w:rsidR="004E2F51" w:rsidRPr="00BB3F2C" w14:paraId="6E4B7A07" w14:textId="77777777" w:rsidTr="00E032FC">
        <w:trPr>
          <w:trHeight w:val="329"/>
        </w:trPr>
        <w:tc>
          <w:tcPr>
            <w:tcW w:w="3309" w:type="pct"/>
            <w:vAlign w:val="bottom"/>
          </w:tcPr>
          <w:p w14:paraId="2A032142" w14:textId="77777777" w:rsidR="004E2F51" w:rsidRPr="004B4498" w:rsidRDefault="004E2F51" w:rsidP="00E032FC">
            <w:pPr>
              <w:pStyle w:val="TT"/>
              <w:rPr>
                <w:rFonts w:cs="Arial"/>
                <w:color w:val="000000" w:themeColor="text1"/>
                <w:sz w:val="20"/>
                <w:lang w:val="hr-HR"/>
              </w:rPr>
            </w:pPr>
            <w:bookmarkStart w:id="1071" w:name="_Toc67328127"/>
            <w:r w:rsidRPr="004B4498">
              <w:rPr>
                <w:rFonts w:cs="Arial"/>
                <w:color w:val="000000" w:themeColor="text1"/>
                <w:sz w:val="20"/>
                <w:lang w:val="hr-HR"/>
              </w:rPr>
              <w:t>Financiranje izvoza</w:t>
            </w:r>
            <w:bookmarkEnd w:id="1071"/>
          </w:p>
        </w:tc>
        <w:tc>
          <w:tcPr>
            <w:tcW w:w="846" w:type="pct"/>
            <w:tcBorders>
              <w:top w:val="nil"/>
              <w:left w:val="nil"/>
              <w:bottom w:val="nil"/>
              <w:right w:val="nil"/>
            </w:tcBorders>
            <w:shd w:val="clear" w:color="auto" w:fill="auto"/>
            <w:vAlign w:val="bottom"/>
          </w:tcPr>
          <w:p w14:paraId="551FB3EC" w14:textId="77777777" w:rsidR="004E2F51" w:rsidRPr="004B4498" w:rsidRDefault="004E2F51" w:rsidP="00E032FC">
            <w:pPr>
              <w:pStyle w:val="TT"/>
              <w:jc w:val="right"/>
              <w:rPr>
                <w:rFonts w:cs="Arial"/>
                <w:color w:val="000000" w:themeColor="text1"/>
                <w:sz w:val="20"/>
                <w:lang w:val="hr-HR"/>
              </w:rPr>
            </w:pPr>
            <w:r w:rsidRPr="003E136D">
              <w:rPr>
                <w:rFonts w:cs="Arial"/>
                <w:color w:val="000000" w:themeColor="text1"/>
                <w:sz w:val="20"/>
                <w:lang w:val="hr-HR"/>
              </w:rPr>
              <w:t xml:space="preserve"> 3.592.053 </w:t>
            </w:r>
          </w:p>
        </w:tc>
        <w:tc>
          <w:tcPr>
            <w:tcW w:w="845" w:type="pct"/>
            <w:tcBorders>
              <w:top w:val="nil"/>
              <w:left w:val="nil"/>
              <w:bottom w:val="nil"/>
              <w:right w:val="nil"/>
            </w:tcBorders>
            <w:shd w:val="clear" w:color="auto" w:fill="auto"/>
            <w:vAlign w:val="bottom"/>
          </w:tcPr>
          <w:p w14:paraId="3C46417F"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4.375.411</w:t>
            </w:r>
          </w:p>
        </w:tc>
      </w:tr>
      <w:tr w:rsidR="004E2F51" w:rsidRPr="00BB3F2C" w14:paraId="22D60873" w14:textId="77777777" w:rsidTr="00E032FC">
        <w:trPr>
          <w:trHeight w:val="329"/>
        </w:trPr>
        <w:tc>
          <w:tcPr>
            <w:tcW w:w="3309" w:type="pct"/>
            <w:vAlign w:val="bottom"/>
          </w:tcPr>
          <w:p w14:paraId="60955707" w14:textId="77777777" w:rsidR="004E2F51" w:rsidRPr="004B4498" w:rsidRDefault="004E2F51" w:rsidP="00E032FC">
            <w:pPr>
              <w:pStyle w:val="TT"/>
              <w:rPr>
                <w:rFonts w:cs="Arial"/>
                <w:color w:val="000000" w:themeColor="text1"/>
                <w:sz w:val="20"/>
                <w:lang w:val="hr-HR"/>
              </w:rPr>
            </w:pPr>
            <w:bookmarkStart w:id="1072" w:name="_Toc67328130"/>
            <w:r w:rsidRPr="004B4498">
              <w:rPr>
                <w:rFonts w:cs="Arial"/>
                <w:color w:val="000000" w:themeColor="text1"/>
                <w:sz w:val="20"/>
                <w:lang w:val="hr-HR"/>
              </w:rPr>
              <w:t>Program obnove i razvitka infrastrukture u Republici Hrvatskoj</w:t>
            </w:r>
            <w:bookmarkEnd w:id="1072"/>
          </w:p>
        </w:tc>
        <w:tc>
          <w:tcPr>
            <w:tcW w:w="846" w:type="pct"/>
            <w:tcBorders>
              <w:top w:val="nil"/>
              <w:left w:val="nil"/>
              <w:bottom w:val="nil"/>
              <w:right w:val="nil"/>
            </w:tcBorders>
            <w:shd w:val="clear" w:color="auto" w:fill="auto"/>
            <w:vAlign w:val="bottom"/>
          </w:tcPr>
          <w:p w14:paraId="5C388461" w14:textId="77777777" w:rsidR="004E2F51" w:rsidRPr="004B4498" w:rsidRDefault="004E2F51" w:rsidP="00E032FC">
            <w:pPr>
              <w:pStyle w:val="TT"/>
              <w:jc w:val="right"/>
              <w:rPr>
                <w:rFonts w:cs="Arial"/>
                <w:color w:val="000000" w:themeColor="text1"/>
                <w:sz w:val="20"/>
                <w:lang w:val="hr-HR"/>
              </w:rPr>
            </w:pPr>
            <w:r w:rsidRPr="003E136D">
              <w:rPr>
                <w:rFonts w:cs="Arial"/>
                <w:color w:val="000000" w:themeColor="text1"/>
                <w:sz w:val="20"/>
                <w:lang w:val="hr-HR"/>
              </w:rPr>
              <w:t xml:space="preserve"> 4.233.452 </w:t>
            </w:r>
          </w:p>
        </w:tc>
        <w:tc>
          <w:tcPr>
            <w:tcW w:w="845" w:type="pct"/>
            <w:tcBorders>
              <w:top w:val="nil"/>
              <w:left w:val="nil"/>
              <w:bottom w:val="nil"/>
              <w:right w:val="nil"/>
            </w:tcBorders>
            <w:shd w:val="clear" w:color="auto" w:fill="auto"/>
            <w:vAlign w:val="bottom"/>
          </w:tcPr>
          <w:p w14:paraId="7F3B5919"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4.713.628</w:t>
            </w:r>
          </w:p>
        </w:tc>
      </w:tr>
      <w:tr w:rsidR="004E2F51" w:rsidRPr="00BB3F2C" w14:paraId="24EBA133" w14:textId="77777777" w:rsidTr="00E032FC">
        <w:trPr>
          <w:trHeight w:val="329"/>
        </w:trPr>
        <w:tc>
          <w:tcPr>
            <w:tcW w:w="3309" w:type="pct"/>
            <w:vAlign w:val="bottom"/>
          </w:tcPr>
          <w:p w14:paraId="080EDAB4" w14:textId="77777777" w:rsidR="004E2F51" w:rsidRPr="004B4498" w:rsidRDefault="004E2F51" w:rsidP="00E032FC">
            <w:pPr>
              <w:pStyle w:val="TT"/>
              <w:rPr>
                <w:rFonts w:cs="Arial"/>
                <w:color w:val="000000" w:themeColor="text1"/>
                <w:sz w:val="20"/>
                <w:lang w:val="hr-HR"/>
              </w:rPr>
            </w:pPr>
            <w:bookmarkStart w:id="1073" w:name="_Toc67328133"/>
            <w:r w:rsidRPr="004B4498">
              <w:rPr>
                <w:rFonts w:cs="Arial"/>
                <w:color w:val="000000" w:themeColor="text1"/>
                <w:sz w:val="20"/>
                <w:lang w:val="hr-HR"/>
              </w:rPr>
              <w:t>Program kreditiranja malog i srednjeg poduzetništva</w:t>
            </w:r>
            <w:bookmarkEnd w:id="1073"/>
          </w:p>
        </w:tc>
        <w:tc>
          <w:tcPr>
            <w:tcW w:w="846" w:type="pct"/>
            <w:tcBorders>
              <w:top w:val="nil"/>
              <w:left w:val="nil"/>
              <w:bottom w:val="nil"/>
              <w:right w:val="nil"/>
            </w:tcBorders>
            <w:shd w:val="clear" w:color="auto" w:fill="auto"/>
            <w:vAlign w:val="bottom"/>
          </w:tcPr>
          <w:p w14:paraId="3CE8E456" w14:textId="77777777" w:rsidR="004E2F51" w:rsidRPr="004B4498" w:rsidRDefault="004E2F51" w:rsidP="00E032FC">
            <w:pPr>
              <w:pStyle w:val="TT"/>
              <w:jc w:val="right"/>
              <w:rPr>
                <w:rFonts w:cs="Arial"/>
                <w:color w:val="000000" w:themeColor="text1"/>
                <w:sz w:val="20"/>
                <w:lang w:val="hr-HR"/>
              </w:rPr>
            </w:pPr>
            <w:r w:rsidRPr="003E136D">
              <w:rPr>
                <w:rFonts w:cs="Arial"/>
                <w:color w:val="000000" w:themeColor="text1"/>
                <w:sz w:val="20"/>
                <w:lang w:val="hr-HR"/>
              </w:rPr>
              <w:t xml:space="preserve"> 923.028 </w:t>
            </w:r>
          </w:p>
        </w:tc>
        <w:tc>
          <w:tcPr>
            <w:tcW w:w="845" w:type="pct"/>
            <w:tcBorders>
              <w:top w:val="nil"/>
              <w:left w:val="nil"/>
              <w:bottom w:val="nil"/>
              <w:right w:val="nil"/>
            </w:tcBorders>
            <w:shd w:val="clear" w:color="auto" w:fill="auto"/>
            <w:vAlign w:val="bottom"/>
          </w:tcPr>
          <w:p w14:paraId="4D8C92E1"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1.140.626</w:t>
            </w:r>
          </w:p>
        </w:tc>
      </w:tr>
      <w:tr w:rsidR="004E2F51" w:rsidRPr="00BB3F2C" w14:paraId="1DE5F734" w14:textId="77777777" w:rsidTr="00E032FC">
        <w:trPr>
          <w:trHeight w:val="329"/>
        </w:trPr>
        <w:tc>
          <w:tcPr>
            <w:tcW w:w="3309" w:type="pct"/>
            <w:vAlign w:val="bottom"/>
          </w:tcPr>
          <w:p w14:paraId="7E93E4BC" w14:textId="77777777" w:rsidR="004E2F51" w:rsidRPr="004B4498" w:rsidRDefault="004E2F51" w:rsidP="00E032FC">
            <w:pPr>
              <w:pStyle w:val="TT"/>
              <w:rPr>
                <w:rFonts w:cs="Arial"/>
                <w:color w:val="000000" w:themeColor="text1"/>
                <w:sz w:val="20"/>
                <w:lang w:val="hr-HR"/>
              </w:rPr>
            </w:pPr>
            <w:bookmarkStart w:id="1074" w:name="_Toc67328136"/>
            <w:r w:rsidRPr="004B4498">
              <w:rPr>
                <w:rFonts w:cs="Arial"/>
                <w:color w:val="000000" w:themeColor="text1"/>
                <w:sz w:val="20"/>
                <w:lang w:val="hr-HR"/>
              </w:rPr>
              <w:t>Ostalo</w:t>
            </w:r>
            <w:bookmarkEnd w:id="1074"/>
          </w:p>
        </w:tc>
        <w:tc>
          <w:tcPr>
            <w:tcW w:w="846" w:type="pct"/>
            <w:tcBorders>
              <w:top w:val="nil"/>
              <w:left w:val="nil"/>
              <w:bottom w:val="nil"/>
              <w:right w:val="nil"/>
            </w:tcBorders>
            <w:shd w:val="clear" w:color="auto" w:fill="auto"/>
            <w:vAlign w:val="bottom"/>
          </w:tcPr>
          <w:p w14:paraId="0ABAFDE1" w14:textId="77777777" w:rsidR="004E2F51" w:rsidRPr="004B4498" w:rsidRDefault="004E2F51" w:rsidP="00E032FC">
            <w:pPr>
              <w:pStyle w:val="TT"/>
              <w:jc w:val="right"/>
              <w:rPr>
                <w:rFonts w:cs="Arial"/>
                <w:color w:val="000000" w:themeColor="text1"/>
                <w:sz w:val="20"/>
                <w:lang w:val="hr-HR"/>
              </w:rPr>
            </w:pPr>
            <w:r w:rsidRPr="003E136D">
              <w:rPr>
                <w:rFonts w:cs="Arial"/>
                <w:color w:val="000000" w:themeColor="text1"/>
                <w:sz w:val="20"/>
                <w:lang w:val="hr-HR"/>
              </w:rPr>
              <w:t xml:space="preserve"> 288.027 </w:t>
            </w:r>
          </w:p>
        </w:tc>
        <w:tc>
          <w:tcPr>
            <w:tcW w:w="845" w:type="pct"/>
            <w:tcBorders>
              <w:top w:val="nil"/>
              <w:left w:val="nil"/>
              <w:bottom w:val="nil"/>
              <w:right w:val="nil"/>
            </w:tcBorders>
            <w:shd w:val="clear" w:color="auto" w:fill="auto"/>
            <w:vAlign w:val="bottom"/>
          </w:tcPr>
          <w:p w14:paraId="42AA64B3"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256.625</w:t>
            </w:r>
          </w:p>
        </w:tc>
      </w:tr>
      <w:tr w:rsidR="004E2F51" w:rsidRPr="00BB3F2C" w14:paraId="1727CF58" w14:textId="77777777" w:rsidTr="00E032FC">
        <w:trPr>
          <w:trHeight w:val="329"/>
        </w:trPr>
        <w:tc>
          <w:tcPr>
            <w:tcW w:w="3309" w:type="pct"/>
            <w:vAlign w:val="bottom"/>
          </w:tcPr>
          <w:p w14:paraId="1A494702" w14:textId="77777777" w:rsidR="004E2F51" w:rsidRPr="004B4498" w:rsidRDefault="004E2F51" w:rsidP="00E032FC">
            <w:pPr>
              <w:pStyle w:val="TT"/>
              <w:rPr>
                <w:rFonts w:cs="Arial"/>
                <w:color w:val="000000" w:themeColor="text1"/>
                <w:sz w:val="20"/>
                <w:lang w:val="hr-HR"/>
              </w:rPr>
            </w:pPr>
            <w:bookmarkStart w:id="1075" w:name="_Toc67328139"/>
            <w:r w:rsidRPr="004B4498">
              <w:rPr>
                <w:rFonts w:cs="Arial"/>
                <w:color w:val="000000" w:themeColor="text1"/>
                <w:sz w:val="20"/>
                <w:lang w:val="hr-HR"/>
              </w:rPr>
              <w:t>Obračunata kamata</w:t>
            </w:r>
            <w:bookmarkEnd w:id="1075"/>
          </w:p>
        </w:tc>
        <w:tc>
          <w:tcPr>
            <w:tcW w:w="846" w:type="pct"/>
            <w:tcBorders>
              <w:top w:val="nil"/>
              <w:left w:val="nil"/>
              <w:bottom w:val="nil"/>
              <w:right w:val="nil"/>
            </w:tcBorders>
            <w:shd w:val="clear" w:color="auto" w:fill="auto"/>
            <w:vAlign w:val="bottom"/>
          </w:tcPr>
          <w:p w14:paraId="0835C549" w14:textId="77777777" w:rsidR="004E2F51" w:rsidRPr="004B4498" w:rsidRDefault="004E2F51" w:rsidP="00E032FC">
            <w:pPr>
              <w:pStyle w:val="TT"/>
              <w:jc w:val="right"/>
              <w:rPr>
                <w:rFonts w:cs="Arial"/>
                <w:color w:val="000000" w:themeColor="text1"/>
                <w:sz w:val="20"/>
                <w:lang w:val="hr-HR"/>
              </w:rPr>
            </w:pPr>
            <w:r w:rsidRPr="003E136D">
              <w:rPr>
                <w:rFonts w:cs="Arial"/>
                <w:color w:val="000000" w:themeColor="text1"/>
                <w:sz w:val="20"/>
                <w:lang w:val="hr-HR"/>
              </w:rPr>
              <w:t xml:space="preserve"> 326.389 </w:t>
            </w:r>
          </w:p>
        </w:tc>
        <w:tc>
          <w:tcPr>
            <w:tcW w:w="845" w:type="pct"/>
            <w:tcBorders>
              <w:top w:val="nil"/>
              <w:left w:val="nil"/>
              <w:bottom w:val="nil"/>
              <w:right w:val="nil"/>
            </w:tcBorders>
            <w:shd w:val="clear" w:color="auto" w:fill="auto"/>
            <w:vAlign w:val="bottom"/>
          </w:tcPr>
          <w:p w14:paraId="11DE45C8"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393.345</w:t>
            </w:r>
          </w:p>
        </w:tc>
      </w:tr>
      <w:tr w:rsidR="004E2F51" w:rsidRPr="00BB3F2C" w14:paraId="34CAD41F" w14:textId="77777777" w:rsidTr="00E032FC">
        <w:trPr>
          <w:trHeight w:val="329"/>
        </w:trPr>
        <w:tc>
          <w:tcPr>
            <w:tcW w:w="3309" w:type="pct"/>
            <w:vAlign w:val="bottom"/>
          </w:tcPr>
          <w:p w14:paraId="6D4A1398" w14:textId="77777777" w:rsidR="004E2F51" w:rsidRPr="004B4498" w:rsidRDefault="004E2F51" w:rsidP="00E032FC">
            <w:pPr>
              <w:pStyle w:val="TT"/>
              <w:rPr>
                <w:rFonts w:cs="Arial"/>
                <w:color w:val="000000" w:themeColor="text1"/>
                <w:sz w:val="20"/>
                <w:lang w:val="hr-HR"/>
              </w:rPr>
            </w:pPr>
            <w:bookmarkStart w:id="1076" w:name="_Toc67328142"/>
            <w:r w:rsidRPr="004B4498">
              <w:rPr>
                <w:rFonts w:cs="Arial"/>
                <w:color w:val="000000" w:themeColor="text1"/>
                <w:sz w:val="20"/>
                <w:lang w:val="hr-HR"/>
              </w:rPr>
              <w:t>Odgođena naknada po kreditima</w:t>
            </w:r>
            <w:bookmarkEnd w:id="1076"/>
          </w:p>
        </w:tc>
        <w:tc>
          <w:tcPr>
            <w:tcW w:w="846" w:type="pct"/>
            <w:tcBorders>
              <w:top w:val="nil"/>
              <w:left w:val="nil"/>
              <w:right w:val="nil"/>
            </w:tcBorders>
            <w:shd w:val="clear" w:color="auto" w:fill="auto"/>
            <w:vAlign w:val="bottom"/>
          </w:tcPr>
          <w:p w14:paraId="4DDEAA00" w14:textId="77777777" w:rsidR="004E2F51" w:rsidRPr="003E136D" w:rsidRDefault="004E2F51" w:rsidP="00E032FC">
            <w:pPr>
              <w:pStyle w:val="TT"/>
              <w:jc w:val="right"/>
              <w:rPr>
                <w:rFonts w:cs="Arial"/>
                <w:color w:val="000000" w:themeColor="text1"/>
                <w:sz w:val="20"/>
                <w:lang w:val="hr-HR"/>
              </w:rPr>
            </w:pPr>
            <w:r w:rsidRPr="003E136D">
              <w:rPr>
                <w:rFonts w:cs="Arial"/>
                <w:color w:val="000000" w:themeColor="text1"/>
                <w:sz w:val="20"/>
                <w:lang w:val="hr-HR"/>
              </w:rPr>
              <w:t xml:space="preserve"> (74.906)</w:t>
            </w:r>
          </w:p>
        </w:tc>
        <w:tc>
          <w:tcPr>
            <w:tcW w:w="845" w:type="pct"/>
            <w:tcBorders>
              <w:top w:val="nil"/>
              <w:left w:val="nil"/>
              <w:right w:val="nil"/>
            </w:tcBorders>
            <w:shd w:val="clear" w:color="auto" w:fill="auto"/>
            <w:vAlign w:val="bottom"/>
          </w:tcPr>
          <w:p w14:paraId="722C9E89" w14:textId="77777777" w:rsidR="004E2F51" w:rsidRPr="004B4498" w:rsidRDefault="004E2F51" w:rsidP="00E032FC">
            <w:pPr>
              <w:pStyle w:val="TT"/>
              <w:jc w:val="right"/>
              <w:rPr>
                <w:rFonts w:cs="Arial"/>
                <w:color w:val="000000" w:themeColor="text1"/>
                <w:spacing w:val="-3"/>
                <w:sz w:val="20"/>
                <w:lang w:val="hr-HR"/>
              </w:rPr>
            </w:pPr>
            <w:r w:rsidRPr="0046584E">
              <w:rPr>
                <w:rFonts w:cs="Arial"/>
                <w:color w:val="000000" w:themeColor="text1"/>
                <w:spacing w:val="-3"/>
                <w:sz w:val="20"/>
                <w:lang w:val="hr-HR"/>
              </w:rPr>
              <w:t>(80.880)</w:t>
            </w:r>
          </w:p>
        </w:tc>
      </w:tr>
      <w:tr w:rsidR="004E2F51" w:rsidRPr="00BB3F2C" w14:paraId="0B362817" w14:textId="77777777" w:rsidTr="00E032FC">
        <w:trPr>
          <w:trHeight w:val="322"/>
        </w:trPr>
        <w:tc>
          <w:tcPr>
            <w:tcW w:w="3309" w:type="pct"/>
            <w:vAlign w:val="bottom"/>
          </w:tcPr>
          <w:p w14:paraId="643887E5" w14:textId="77777777" w:rsidR="004E2F51" w:rsidRPr="004B4498" w:rsidRDefault="004E2F51" w:rsidP="00E032FC">
            <w:pPr>
              <w:pStyle w:val="Tot"/>
              <w:rPr>
                <w:rFonts w:cs="Arial"/>
                <w:color w:val="000000" w:themeColor="text1"/>
                <w:spacing w:val="-3"/>
                <w:sz w:val="20"/>
                <w:lang w:val="hr-HR"/>
              </w:rPr>
            </w:pPr>
          </w:p>
        </w:tc>
        <w:tc>
          <w:tcPr>
            <w:tcW w:w="846" w:type="pct"/>
            <w:tcBorders>
              <w:top w:val="single" w:sz="4" w:space="0" w:color="auto"/>
              <w:left w:val="nil"/>
              <w:bottom w:val="single" w:sz="4" w:space="0" w:color="auto"/>
              <w:right w:val="nil"/>
            </w:tcBorders>
            <w:shd w:val="clear" w:color="auto" w:fill="auto"/>
            <w:vAlign w:val="bottom"/>
          </w:tcPr>
          <w:p w14:paraId="67C245D7" w14:textId="77777777" w:rsidR="004E2F51" w:rsidRPr="004B4498" w:rsidRDefault="004E2F51" w:rsidP="00E032FC">
            <w:pPr>
              <w:pStyle w:val="Tot"/>
              <w:jc w:val="right"/>
              <w:rPr>
                <w:rFonts w:cs="Arial"/>
                <w:color w:val="000000" w:themeColor="text1"/>
                <w:sz w:val="20"/>
                <w:lang w:val="hr-HR"/>
              </w:rPr>
            </w:pPr>
            <w:r w:rsidRPr="003E136D">
              <w:rPr>
                <w:rFonts w:cs="Arial"/>
                <w:color w:val="000000" w:themeColor="text1"/>
                <w:sz w:val="20"/>
                <w:lang w:val="hr-HR"/>
              </w:rPr>
              <w:t>20.857.691</w:t>
            </w:r>
          </w:p>
        </w:tc>
        <w:tc>
          <w:tcPr>
            <w:tcW w:w="845" w:type="pct"/>
            <w:tcBorders>
              <w:top w:val="single" w:sz="4" w:space="0" w:color="auto"/>
              <w:left w:val="nil"/>
              <w:bottom w:val="single" w:sz="4" w:space="0" w:color="auto"/>
              <w:right w:val="nil"/>
            </w:tcBorders>
            <w:shd w:val="clear" w:color="auto" w:fill="auto"/>
            <w:vAlign w:val="bottom"/>
          </w:tcPr>
          <w:p w14:paraId="22FE274B" w14:textId="77777777" w:rsidR="004E2F51" w:rsidRPr="004B4498" w:rsidRDefault="004E2F51" w:rsidP="00E032FC">
            <w:pPr>
              <w:pStyle w:val="Tot"/>
              <w:jc w:val="right"/>
              <w:rPr>
                <w:rFonts w:cs="Arial"/>
                <w:color w:val="000000" w:themeColor="text1"/>
                <w:sz w:val="20"/>
                <w:lang w:val="hr-HR"/>
              </w:rPr>
            </w:pPr>
            <w:r w:rsidRPr="0046584E">
              <w:rPr>
                <w:rFonts w:cs="Arial"/>
                <w:color w:val="000000" w:themeColor="text1"/>
                <w:sz w:val="20"/>
                <w:lang w:val="hr-HR"/>
              </w:rPr>
              <w:t>19.220.292</w:t>
            </w:r>
          </w:p>
        </w:tc>
      </w:tr>
      <w:tr w:rsidR="004E2F51" w:rsidRPr="00BB3F2C" w14:paraId="7DF32FB0" w14:textId="77777777" w:rsidTr="00E032FC">
        <w:trPr>
          <w:trHeight w:val="238"/>
        </w:trPr>
        <w:tc>
          <w:tcPr>
            <w:tcW w:w="3309" w:type="pct"/>
            <w:vAlign w:val="bottom"/>
          </w:tcPr>
          <w:p w14:paraId="37ACA48A" w14:textId="77777777" w:rsidR="004E2F51" w:rsidRPr="004B4498" w:rsidRDefault="004E2F51" w:rsidP="00E032FC">
            <w:pPr>
              <w:pStyle w:val="TT"/>
              <w:rPr>
                <w:rFonts w:cs="Arial"/>
                <w:color w:val="000000" w:themeColor="text1"/>
                <w:sz w:val="20"/>
                <w:lang w:val="hr-HR"/>
              </w:rPr>
            </w:pPr>
            <w:bookmarkStart w:id="1077" w:name="_Toc67328147"/>
            <w:r w:rsidRPr="004B4498">
              <w:rPr>
                <w:rFonts w:cs="Arial"/>
                <w:color w:val="000000" w:themeColor="text1"/>
                <w:sz w:val="20"/>
                <w:lang w:val="hr-HR"/>
              </w:rPr>
              <w:t>Rezerviranja za očekivane gubitke</w:t>
            </w:r>
            <w:bookmarkEnd w:id="1077"/>
            <w:r w:rsidRPr="004B4498">
              <w:rPr>
                <w:rFonts w:cs="Arial"/>
                <w:color w:val="000000" w:themeColor="text1"/>
                <w:sz w:val="20"/>
                <w:lang w:val="hr-HR"/>
              </w:rPr>
              <w:t xml:space="preserve"> </w:t>
            </w:r>
          </w:p>
        </w:tc>
        <w:tc>
          <w:tcPr>
            <w:tcW w:w="846" w:type="pct"/>
            <w:tcBorders>
              <w:top w:val="nil"/>
              <w:left w:val="nil"/>
              <w:bottom w:val="nil"/>
              <w:right w:val="nil"/>
            </w:tcBorders>
            <w:shd w:val="clear" w:color="auto" w:fill="auto"/>
            <w:vAlign w:val="bottom"/>
          </w:tcPr>
          <w:p w14:paraId="75312616" w14:textId="77777777" w:rsidR="004E2F51" w:rsidRPr="004B4498" w:rsidRDefault="004E2F51" w:rsidP="00E032FC">
            <w:pPr>
              <w:pStyle w:val="TT"/>
              <w:jc w:val="right"/>
              <w:rPr>
                <w:rFonts w:cs="Arial"/>
                <w:color w:val="000000" w:themeColor="text1"/>
                <w:sz w:val="20"/>
                <w:lang w:val="hr-HR"/>
              </w:rPr>
            </w:pPr>
            <w:r w:rsidRPr="003E136D">
              <w:rPr>
                <w:rFonts w:cs="Arial"/>
                <w:color w:val="000000" w:themeColor="text1"/>
                <w:sz w:val="20"/>
                <w:lang w:val="hr-HR"/>
              </w:rPr>
              <w:t>(3.455.025)</w:t>
            </w:r>
          </w:p>
        </w:tc>
        <w:tc>
          <w:tcPr>
            <w:tcW w:w="845" w:type="pct"/>
            <w:tcBorders>
              <w:top w:val="nil"/>
              <w:left w:val="nil"/>
              <w:bottom w:val="nil"/>
              <w:right w:val="nil"/>
            </w:tcBorders>
            <w:shd w:val="clear" w:color="auto" w:fill="auto"/>
            <w:vAlign w:val="bottom"/>
          </w:tcPr>
          <w:p w14:paraId="798EFFAB"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(3.255.916)</w:t>
            </w:r>
          </w:p>
        </w:tc>
      </w:tr>
      <w:tr w:rsidR="004E2F51" w:rsidRPr="00BB3F2C" w14:paraId="58DDD9BF" w14:textId="77777777" w:rsidTr="00E032FC">
        <w:trPr>
          <w:trHeight w:val="322"/>
        </w:trPr>
        <w:tc>
          <w:tcPr>
            <w:tcW w:w="3309" w:type="pct"/>
            <w:vAlign w:val="center"/>
          </w:tcPr>
          <w:p w14:paraId="75797AC8" w14:textId="77777777" w:rsidR="004E2F51" w:rsidRPr="004B4498" w:rsidRDefault="004E2F51" w:rsidP="00E032FC">
            <w:pPr>
              <w:pStyle w:val="Tot"/>
              <w:rPr>
                <w:rFonts w:cs="Arial"/>
                <w:b/>
                <w:bCs/>
                <w:color w:val="000000" w:themeColor="text1"/>
                <w:sz w:val="20"/>
                <w:lang w:val="hr-HR"/>
              </w:rPr>
            </w:pPr>
          </w:p>
        </w:tc>
        <w:tc>
          <w:tcPr>
            <w:tcW w:w="846" w:type="pct"/>
            <w:tcBorders>
              <w:top w:val="single" w:sz="4" w:space="0" w:color="auto"/>
              <w:left w:val="nil"/>
              <w:bottom w:val="single" w:sz="12" w:space="0" w:color="auto"/>
              <w:right w:val="nil"/>
            </w:tcBorders>
            <w:shd w:val="clear" w:color="auto" w:fill="auto"/>
            <w:vAlign w:val="bottom"/>
          </w:tcPr>
          <w:p w14:paraId="506830A2" w14:textId="77777777" w:rsidR="004E2F51" w:rsidRPr="004B4498" w:rsidRDefault="004E2F51" w:rsidP="00E032FC">
            <w:pPr>
              <w:pStyle w:val="Tot"/>
              <w:jc w:val="right"/>
              <w:rPr>
                <w:rFonts w:cs="Arial"/>
                <w:b/>
                <w:bCs/>
                <w:color w:val="000000" w:themeColor="text1"/>
                <w:spacing w:val="-2"/>
                <w:sz w:val="20"/>
                <w:lang w:val="hr-HR"/>
              </w:rPr>
            </w:pPr>
            <w:r w:rsidRPr="003E136D">
              <w:rPr>
                <w:rFonts w:cs="Arial"/>
                <w:b/>
                <w:bCs/>
                <w:color w:val="000000" w:themeColor="text1"/>
                <w:spacing w:val="-2"/>
                <w:sz w:val="20"/>
                <w:lang w:val="hr-HR"/>
              </w:rPr>
              <w:t>17.402.666</w:t>
            </w:r>
          </w:p>
        </w:tc>
        <w:tc>
          <w:tcPr>
            <w:tcW w:w="845" w:type="pct"/>
            <w:tcBorders>
              <w:top w:val="single" w:sz="4" w:space="0" w:color="auto"/>
              <w:left w:val="nil"/>
              <w:bottom w:val="single" w:sz="12" w:space="0" w:color="auto"/>
              <w:right w:val="nil"/>
            </w:tcBorders>
            <w:shd w:val="clear" w:color="auto" w:fill="auto"/>
            <w:vAlign w:val="bottom"/>
          </w:tcPr>
          <w:p w14:paraId="481E98EF" w14:textId="77777777" w:rsidR="004E2F51" w:rsidRPr="004B4498" w:rsidRDefault="004E2F51" w:rsidP="00E032FC">
            <w:pPr>
              <w:pStyle w:val="Tot"/>
              <w:jc w:val="right"/>
              <w:rPr>
                <w:rFonts w:cs="Arial"/>
                <w:b/>
                <w:bCs/>
                <w:color w:val="000000" w:themeColor="text1"/>
                <w:spacing w:val="-2"/>
                <w:sz w:val="20"/>
                <w:lang w:val="hr-HR"/>
              </w:rPr>
            </w:pPr>
            <w:r w:rsidRPr="0046584E">
              <w:rPr>
                <w:rFonts w:cs="Arial"/>
                <w:b/>
                <w:bCs/>
                <w:color w:val="000000" w:themeColor="text1"/>
                <w:spacing w:val="-2"/>
                <w:sz w:val="20"/>
                <w:lang w:val="hr-HR"/>
              </w:rPr>
              <w:t>15.964.376</w:t>
            </w:r>
          </w:p>
        </w:tc>
      </w:tr>
    </w:tbl>
    <w:p w14:paraId="51F754D2"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187DCD5D"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2D3C30CB"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Prosječne kamatne stope na kredite ostalim korisnicima iskazane su u visini </w:t>
      </w:r>
      <w:r w:rsidRPr="003E136D">
        <w:rPr>
          <w:rFonts w:cs="Arial"/>
          <w:b w:val="0"/>
          <w:bCs w:val="0"/>
          <w:color w:val="000000" w:themeColor="text1"/>
          <w:sz w:val="20"/>
          <w:lang w:val="hr-HR"/>
        </w:rPr>
        <w:t>od 1,83</w:t>
      </w:r>
      <w:r w:rsidRPr="004B4498">
        <w:rPr>
          <w:rFonts w:cs="Arial"/>
          <w:b w:val="0"/>
          <w:bCs w:val="0"/>
          <w:color w:val="000000" w:themeColor="text1"/>
          <w:sz w:val="20"/>
          <w:lang w:val="hr-HR"/>
        </w:rPr>
        <w:t>% (31. prosinca 202</w:t>
      </w:r>
      <w:r>
        <w:rPr>
          <w:rFonts w:cs="Arial"/>
          <w:b w:val="0"/>
          <w:bCs w:val="0"/>
          <w:color w:val="000000" w:themeColor="text1"/>
          <w:sz w:val="20"/>
          <w:lang w:val="hr-HR"/>
        </w:rPr>
        <w:t>1</w:t>
      </w:r>
      <w:r w:rsidRPr="004B4498">
        <w:rPr>
          <w:rFonts w:cs="Arial"/>
          <w:b w:val="0"/>
          <w:bCs w:val="0"/>
          <w:color w:val="000000" w:themeColor="text1"/>
          <w:sz w:val="20"/>
          <w:lang w:val="hr-HR"/>
        </w:rPr>
        <w:t>.: 1,</w:t>
      </w:r>
      <w:r>
        <w:rPr>
          <w:rFonts w:cs="Arial"/>
          <w:b w:val="0"/>
          <w:bCs w:val="0"/>
          <w:color w:val="000000" w:themeColor="text1"/>
          <w:sz w:val="20"/>
          <w:lang w:val="hr-HR"/>
        </w:rPr>
        <w:t>8</w:t>
      </w:r>
      <w:r w:rsidRPr="004B4498">
        <w:rPr>
          <w:rFonts w:cs="Arial"/>
          <w:b w:val="0"/>
          <w:bCs w:val="0"/>
          <w:color w:val="000000" w:themeColor="text1"/>
          <w:sz w:val="20"/>
          <w:lang w:val="hr-HR"/>
        </w:rPr>
        <w:t xml:space="preserve">6%). </w:t>
      </w:r>
    </w:p>
    <w:p w14:paraId="7928A493"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Prosječne kamatne stope odražavaju omjer kamatnih prihoda na navedene plasmane i prosječne imovine.</w:t>
      </w:r>
    </w:p>
    <w:p w14:paraId="273E8A86" w14:textId="77777777" w:rsidR="004E2F51" w:rsidRPr="00B91D09" w:rsidRDefault="004E2F51" w:rsidP="004E2F51">
      <w:pPr>
        <w:pStyle w:val="T1"/>
        <w:keepNext w:val="0"/>
        <w:spacing w:before="0" w:after="0" w:line="240" w:lineRule="auto"/>
        <w:rPr>
          <w:rFonts w:cs="Arial"/>
          <w:color w:val="000000" w:themeColor="text1"/>
          <w:sz w:val="18"/>
          <w:szCs w:val="18"/>
          <w:lang w:val="hr-HR"/>
        </w:rPr>
      </w:pPr>
    </w:p>
    <w:p w14:paraId="2554F88B" w14:textId="77777777" w:rsidR="004E2F51" w:rsidRPr="00B91D09" w:rsidRDefault="004E2F51" w:rsidP="004E2F51">
      <w:pPr>
        <w:pStyle w:val="T1"/>
        <w:keepNext w:val="0"/>
        <w:spacing w:before="0" w:after="0" w:line="240" w:lineRule="auto"/>
        <w:rPr>
          <w:rFonts w:cs="Arial"/>
          <w:color w:val="000000" w:themeColor="text1"/>
          <w:sz w:val="18"/>
          <w:szCs w:val="18"/>
          <w:lang w:val="hr-HR"/>
        </w:rPr>
        <w:sectPr w:rsidR="004E2F51" w:rsidRPr="00B91D09" w:rsidSect="00623DBA">
          <w:footerReference w:type="default" r:id="rId128"/>
          <w:pgSz w:w="11907" w:h="16840" w:code="9"/>
          <w:pgMar w:top="1418" w:right="1134" w:bottom="1134" w:left="1418" w:header="851" w:footer="851" w:gutter="0"/>
          <w:cols w:space="720"/>
          <w:noEndnote/>
        </w:sectPr>
      </w:pPr>
    </w:p>
    <w:p w14:paraId="47CFB95F" w14:textId="77777777" w:rsidR="004E2F51" w:rsidRPr="00B91D09" w:rsidRDefault="004E2F51" w:rsidP="004E2F51">
      <w:pPr>
        <w:pStyle w:val="T1"/>
        <w:keepNext w:val="0"/>
        <w:spacing w:before="0" w:after="0" w:line="240" w:lineRule="auto"/>
        <w:rPr>
          <w:rFonts w:cs="Arial"/>
          <w:color w:val="000000" w:themeColor="text1"/>
          <w:sz w:val="18"/>
          <w:szCs w:val="18"/>
          <w:lang w:val="hr-HR"/>
        </w:rPr>
      </w:pPr>
    </w:p>
    <w:p w14:paraId="0707594B" w14:textId="77777777" w:rsidR="004E2F51" w:rsidRPr="004B4498" w:rsidRDefault="004E2F51" w:rsidP="004E2F51">
      <w:pPr>
        <w:pStyle w:val="T1"/>
        <w:keepNext w:val="0"/>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 xml:space="preserve">16. </w:t>
      </w:r>
      <w:r w:rsidRPr="004B4498">
        <w:rPr>
          <w:rFonts w:cs="Arial"/>
          <w:color w:val="000000" w:themeColor="text1"/>
          <w:sz w:val="20"/>
          <w:lang w:val="hr-HR"/>
        </w:rPr>
        <w:tab/>
        <w:t>Financijska imovina po fer vrijednosti kroz dobit ili gubitak</w:t>
      </w:r>
    </w:p>
    <w:p w14:paraId="3FF93550" w14:textId="77777777" w:rsidR="004E2F51" w:rsidRPr="004B4498" w:rsidRDefault="004E2F51" w:rsidP="004E2F51">
      <w:pPr>
        <w:pStyle w:val="T1"/>
        <w:keepNext w:val="0"/>
        <w:spacing w:before="0" w:after="0" w:line="240" w:lineRule="auto"/>
        <w:rPr>
          <w:rFonts w:cs="Arial"/>
          <w:color w:val="000000" w:themeColor="text1"/>
          <w:sz w:val="20"/>
          <w:lang w:val="hr-HR"/>
        </w:rPr>
      </w:pPr>
    </w:p>
    <w:tbl>
      <w:tblPr>
        <w:tblW w:w="8647" w:type="dxa"/>
        <w:tblLook w:val="04A0" w:firstRow="1" w:lastRow="0" w:firstColumn="1" w:lastColumn="0" w:noHBand="0" w:noVBand="1"/>
      </w:tblPr>
      <w:tblGrid>
        <w:gridCol w:w="5245"/>
        <w:gridCol w:w="1701"/>
        <w:gridCol w:w="1701"/>
      </w:tblGrid>
      <w:tr w:rsidR="004E2F51" w:rsidRPr="00BB3F2C" w14:paraId="25B683CF" w14:textId="77777777" w:rsidTr="00E032FC">
        <w:trPr>
          <w:trHeight w:val="308"/>
        </w:trPr>
        <w:tc>
          <w:tcPr>
            <w:tcW w:w="5245" w:type="dxa"/>
            <w:tcBorders>
              <w:top w:val="nil"/>
              <w:left w:val="nil"/>
              <w:bottom w:val="nil"/>
              <w:right w:val="nil"/>
            </w:tcBorders>
            <w:shd w:val="clear" w:color="auto" w:fill="auto"/>
            <w:vAlign w:val="center"/>
            <w:hideMark/>
          </w:tcPr>
          <w:p w14:paraId="567F1833" w14:textId="77777777" w:rsidR="004E2F51" w:rsidRPr="004B4498" w:rsidRDefault="004E2F51" w:rsidP="00E032FC">
            <w:pPr>
              <w:rPr>
                <w:rFonts w:ascii="Arial" w:eastAsia="Calibri" w:hAnsi="Arial" w:cs="Arial"/>
                <w:color w:val="000000" w:themeColor="text1"/>
                <w:sz w:val="20"/>
                <w:szCs w:val="20"/>
                <w:lang w:val="hr-HR"/>
              </w:rPr>
            </w:pPr>
            <w:bookmarkStart w:id="1078" w:name="RANGE!A3"/>
            <w:bookmarkEnd w:id="1078"/>
          </w:p>
        </w:tc>
        <w:tc>
          <w:tcPr>
            <w:tcW w:w="3402" w:type="dxa"/>
            <w:gridSpan w:val="2"/>
            <w:tcBorders>
              <w:top w:val="nil"/>
              <w:left w:val="nil"/>
              <w:bottom w:val="nil"/>
              <w:right w:val="nil"/>
            </w:tcBorders>
            <w:shd w:val="clear" w:color="auto" w:fill="auto"/>
            <w:vAlign w:val="center"/>
            <w:hideMark/>
          </w:tcPr>
          <w:p w14:paraId="64D04A12" w14:textId="77777777" w:rsidR="004E2F51" w:rsidRPr="004B4498" w:rsidRDefault="004E2F51" w:rsidP="00E032FC">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Grupa i Banka</w:t>
            </w:r>
          </w:p>
        </w:tc>
      </w:tr>
      <w:tr w:rsidR="004E2F51" w:rsidRPr="00BB3F2C" w14:paraId="4CFE0E6C" w14:textId="77777777" w:rsidTr="00E032FC">
        <w:trPr>
          <w:trHeight w:val="308"/>
        </w:trPr>
        <w:tc>
          <w:tcPr>
            <w:tcW w:w="5245" w:type="dxa"/>
            <w:tcBorders>
              <w:top w:val="nil"/>
              <w:left w:val="nil"/>
              <w:bottom w:val="nil"/>
              <w:right w:val="nil"/>
            </w:tcBorders>
            <w:shd w:val="clear" w:color="auto" w:fill="auto"/>
            <w:vAlign w:val="center"/>
            <w:hideMark/>
          </w:tcPr>
          <w:p w14:paraId="65EB6BEC" w14:textId="77777777" w:rsidR="004E2F51" w:rsidRPr="004B4498" w:rsidRDefault="004E2F51" w:rsidP="00E032FC">
            <w:pPr>
              <w:jc w:val="right"/>
              <w:rPr>
                <w:rFonts w:ascii="Arial" w:eastAsia="Calibri" w:hAnsi="Arial" w:cs="Arial"/>
                <w:b/>
                <w:bCs/>
                <w:color w:val="000000" w:themeColor="text1"/>
                <w:sz w:val="20"/>
                <w:szCs w:val="20"/>
                <w:lang w:val="hr-HR"/>
              </w:rPr>
            </w:pPr>
          </w:p>
        </w:tc>
        <w:tc>
          <w:tcPr>
            <w:tcW w:w="1701" w:type="dxa"/>
            <w:tcBorders>
              <w:top w:val="nil"/>
              <w:left w:val="nil"/>
              <w:bottom w:val="nil"/>
              <w:right w:val="nil"/>
            </w:tcBorders>
            <w:shd w:val="clear" w:color="auto" w:fill="auto"/>
            <w:vAlign w:val="center"/>
            <w:hideMark/>
          </w:tcPr>
          <w:p w14:paraId="139820C4" w14:textId="77777777" w:rsidR="004E2F51" w:rsidRPr="004B4498" w:rsidRDefault="004E2F51" w:rsidP="00E032FC">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31. prosinca 202</w:t>
            </w:r>
            <w:r>
              <w:rPr>
                <w:rFonts w:ascii="Arial" w:eastAsia="Calibri" w:hAnsi="Arial" w:cs="Arial"/>
                <w:b/>
                <w:bCs/>
                <w:color w:val="000000" w:themeColor="text1"/>
                <w:sz w:val="20"/>
                <w:szCs w:val="20"/>
                <w:lang w:val="hr-HR"/>
              </w:rPr>
              <w:t>2</w:t>
            </w:r>
            <w:r w:rsidRPr="004B4498">
              <w:rPr>
                <w:rFonts w:ascii="Arial" w:eastAsia="Calibri" w:hAnsi="Arial" w:cs="Arial"/>
                <w:b/>
                <w:bCs/>
                <w:color w:val="000000" w:themeColor="text1"/>
                <w:sz w:val="20"/>
                <w:szCs w:val="20"/>
                <w:lang w:val="hr-HR"/>
              </w:rPr>
              <w:t>.</w:t>
            </w:r>
          </w:p>
        </w:tc>
        <w:tc>
          <w:tcPr>
            <w:tcW w:w="1701" w:type="dxa"/>
            <w:tcBorders>
              <w:top w:val="nil"/>
              <w:left w:val="nil"/>
              <w:bottom w:val="nil"/>
              <w:right w:val="nil"/>
            </w:tcBorders>
            <w:shd w:val="clear" w:color="auto" w:fill="auto"/>
            <w:vAlign w:val="center"/>
            <w:hideMark/>
          </w:tcPr>
          <w:p w14:paraId="4E2DC57C" w14:textId="77777777" w:rsidR="004E2F51" w:rsidRPr="004B4498" w:rsidRDefault="004E2F51" w:rsidP="00E032FC">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31. prosinca 202</w:t>
            </w:r>
            <w:r>
              <w:rPr>
                <w:rFonts w:ascii="Arial" w:eastAsia="Calibri" w:hAnsi="Arial" w:cs="Arial"/>
                <w:b/>
                <w:bCs/>
                <w:color w:val="000000" w:themeColor="text1"/>
                <w:sz w:val="20"/>
                <w:szCs w:val="20"/>
                <w:lang w:val="hr-HR"/>
              </w:rPr>
              <w:t>1</w:t>
            </w:r>
            <w:r w:rsidRPr="004B4498">
              <w:rPr>
                <w:rFonts w:ascii="Arial" w:eastAsia="Calibri" w:hAnsi="Arial" w:cs="Arial"/>
                <w:b/>
                <w:bCs/>
                <w:color w:val="000000" w:themeColor="text1"/>
                <w:sz w:val="20"/>
                <w:szCs w:val="20"/>
                <w:lang w:val="hr-HR"/>
              </w:rPr>
              <w:t>.</w:t>
            </w:r>
          </w:p>
        </w:tc>
      </w:tr>
      <w:tr w:rsidR="004E2F51" w:rsidRPr="00BB3F2C" w14:paraId="6969C19B" w14:textId="77777777" w:rsidTr="00E032FC">
        <w:trPr>
          <w:trHeight w:val="308"/>
        </w:trPr>
        <w:tc>
          <w:tcPr>
            <w:tcW w:w="5245" w:type="dxa"/>
            <w:tcBorders>
              <w:top w:val="nil"/>
              <w:left w:val="nil"/>
              <w:bottom w:val="nil"/>
              <w:right w:val="nil"/>
            </w:tcBorders>
            <w:shd w:val="clear" w:color="auto" w:fill="auto"/>
            <w:vAlign w:val="center"/>
            <w:hideMark/>
          </w:tcPr>
          <w:p w14:paraId="497C200C" w14:textId="77777777" w:rsidR="004E2F51" w:rsidRPr="004B4498" w:rsidRDefault="004E2F51" w:rsidP="00E032FC">
            <w:pPr>
              <w:jc w:val="right"/>
              <w:rPr>
                <w:rFonts w:ascii="Arial" w:eastAsia="Calibri" w:hAnsi="Arial" w:cs="Arial"/>
                <w:b/>
                <w:bCs/>
                <w:color w:val="000000" w:themeColor="text1"/>
                <w:sz w:val="20"/>
                <w:szCs w:val="20"/>
                <w:lang w:val="hr-HR"/>
              </w:rPr>
            </w:pPr>
          </w:p>
        </w:tc>
        <w:tc>
          <w:tcPr>
            <w:tcW w:w="1701" w:type="dxa"/>
            <w:tcBorders>
              <w:top w:val="nil"/>
              <w:left w:val="nil"/>
              <w:bottom w:val="nil"/>
              <w:right w:val="nil"/>
            </w:tcBorders>
            <w:shd w:val="clear" w:color="auto" w:fill="auto"/>
            <w:vAlign w:val="center"/>
            <w:hideMark/>
          </w:tcPr>
          <w:p w14:paraId="39E64BE5" w14:textId="77777777" w:rsidR="004E2F51" w:rsidRPr="004B4498" w:rsidRDefault="004E2F51" w:rsidP="00E032FC">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000 kuna</w:t>
            </w:r>
          </w:p>
        </w:tc>
        <w:tc>
          <w:tcPr>
            <w:tcW w:w="1701" w:type="dxa"/>
            <w:tcBorders>
              <w:top w:val="nil"/>
              <w:left w:val="nil"/>
              <w:bottom w:val="nil"/>
              <w:right w:val="nil"/>
            </w:tcBorders>
            <w:shd w:val="clear" w:color="auto" w:fill="auto"/>
            <w:vAlign w:val="center"/>
            <w:hideMark/>
          </w:tcPr>
          <w:p w14:paraId="52FA5A5F" w14:textId="77777777" w:rsidR="004E2F51" w:rsidRPr="004B4498" w:rsidRDefault="004E2F51" w:rsidP="00E032FC">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000 kuna</w:t>
            </w:r>
          </w:p>
        </w:tc>
      </w:tr>
      <w:tr w:rsidR="004E2F51" w:rsidRPr="00BB3F2C" w14:paraId="13015EF8" w14:textId="77777777" w:rsidTr="00E032FC">
        <w:trPr>
          <w:trHeight w:val="308"/>
        </w:trPr>
        <w:tc>
          <w:tcPr>
            <w:tcW w:w="5245" w:type="dxa"/>
            <w:tcBorders>
              <w:top w:val="nil"/>
              <w:left w:val="nil"/>
              <w:bottom w:val="nil"/>
              <w:right w:val="nil"/>
            </w:tcBorders>
            <w:shd w:val="clear" w:color="auto" w:fill="auto"/>
            <w:vAlign w:val="center"/>
            <w:hideMark/>
          </w:tcPr>
          <w:p w14:paraId="19354202" w14:textId="77777777" w:rsidR="004E2F51" w:rsidRPr="004B4498" w:rsidRDefault="004E2F51" w:rsidP="00E032FC">
            <w:pPr>
              <w:rPr>
                <w:rFonts w:ascii="Arial" w:eastAsia="Calibri" w:hAnsi="Arial" w:cs="Arial"/>
                <w:b/>
                <w:bCs/>
                <w:i/>
                <w:iCs/>
                <w:color w:val="000000" w:themeColor="text1"/>
                <w:sz w:val="20"/>
                <w:szCs w:val="20"/>
                <w:lang w:val="hr-HR"/>
              </w:rPr>
            </w:pPr>
            <w:r w:rsidRPr="004B4498">
              <w:rPr>
                <w:rFonts w:ascii="Arial" w:eastAsia="Calibri" w:hAnsi="Arial" w:cs="Arial"/>
                <w:b/>
                <w:bCs/>
                <w:i/>
                <w:iCs/>
                <w:color w:val="000000" w:themeColor="text1"/>
                <w:sz w:val="20"/>
                <w:szCs w:val="20"/>
                <w:lang w:val="hr-HR"/>
              </w:rPr>
              <w:t>Krediti po FVRDG:</w:t>
            </w:r>
          </w:p>
        </w:tc>
        <w:tc>
          <w:tcPr>
            <w:tcW w:w="1701" w:type="dxa"/>
            <w:tcBorders>
              <w:top w:val="nil"/>
              <w:left w:val="nil"/>
              <w:bottom w:val="nil"/>
              <w:right w:val="nil"/>
            </w:tcBorders>
            <w:shd w:val="clear" w:color="auto" w:fill="auto"/>
            <w:hideMark/>
          </w:tcPr>
          <w:p w14:paraId="2B321361" w14:textId="77777777" w:rsidR="004E2F51" w:rsidRPr="004B4498" w:rsidRDefault="004E2F51" w:rsidP="00E032FC">
            <w:pPr>
              <w:jc w:val="right"/>
              <w:rPr>
                <w:rFonts w:ascii="Arial" w:eastAsia="Calibri" w:hAnsi="Arial" w:cs="Arial"/>
                <w:color w:val="000000" w:themeColor="text1"/>
                <w:sz w:val="20"/>
                <w:szCs w:val="20"/>
                <w:lang w:val="hr-HR"/>
              </w:rPr>
            </w:pPr>
          </w:p>
        </w:tc>
        <w:tc>
          <w:tcPr>
            <w:tcW w:w="1701" w:type="dxa"/>
            <w:tcBorders>
              <w:top w:val="nil"/>
              <w:left w:val="nil"/>
              <w:bottom w:val="nil"/>
              <w:right w:val="nil"/>
            </w:tcBorders>
            <w:shd w:val="clear" w:color="auto" w:fill="auto"/>
            <w:vAlign w:val="center"/>
            <w:hideMark/>
          </w:tcPr>
          <w:p w14:paraId="3B1E431C" w14:textId="77777777" w:rsidR="004E2F51" w:rsidRPr="004B4498" w:rsidRDefault="004E2F51" w:rsidP="00E032FC">
            <w:pPr>
              <w:jc w:val="right"/>
              <w:rPr>
                <w:rFonts w:ascii="Arial" w:eastAsia="Calibri" w:hAnsi="Arial" w:cs="Arial"/>
                <w:color w:val="000000" w:themeColor="text1"/>
                <w:sz w:val="20"/>
                <w:szCs w:val="20"/>
                <w:lang w:val="hr-HR"/>
              </w:rPr>
            </w:pPr>
          </w:p>
        </w:tc>
      </w:tr>
      <w:tr w:rsidR="004E2F51" w:rsidRPr="00BB3F2C" w14:paraId="773EEB5E" w14:textId="77777777" w:rsidTr="00E032FC">
        <w:trPr>
          <w:trHeight w:val="308"/>
        </w:trPr>
        <w:tc>
          <w:tcPr>
            <w:tcW w:w="5245" w:type="dxa"/>
            <w:tcBorders>
              <w:top w:val="nil"/>
              <w:left w:val="nil"/>
              <w:bottom w:val="nil"/>
              <w:right w:val="nil"/>
            </w:tcBorders>
            <w:shd w:val="clear" w:color="auto" w:fill="auto"/>
            <w:vAlign w:val="center"/>
            <w:hideMark/>
          </w:tcPr>
          <w:p w14:paraId="36A502BF" w14:textId="77777777" w:rsidR="004E2F51" w:rsidRPr="004B4498" w:rsidRDefault="004E2F51" w:rsidP="00E032FC">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Mezzanine krediti</w:t>
            </w:r>
          </w:p>
        </w:tc>
        <w:tc>
          <w:tcPr>
            <w:tcW w:w="1701" w:type="dxa"/>
            <w:tcBorders>
              <w:top w:val="nil"/>
              <w:left w:val="nil"/>
              <w:bottom w:val="nil"/>
              <w:right w:val="nil"/>
            </w:tcBorders>
            <w:shd w:val="clear" w:color="auto" w:fill="auto"/>
            <w:vAlign w:val="center"/>
          </w:tcPr>
          <w:p w14:paraId="73672B21" w14:textId="77777777" w:rsidR="004E2F51" w:rsidRPr="004B4498" w:rsidRDefault="004E2F51" w:rsidP="00E032FC">
            <w:pPr>
              <w:jc w:val="right"/>
              <w:rPr>
                <w:rFonts w:ascii="Arial" w:eastAsia="Calibri" w:hAnsi="Arial" w:cs="Arial"/>
                <w:color w:val="000000" w:themeColor="text1"/>
                <w:sz w:val="20"/>
                <w:szCs w:val="20"/>
                <w:lang w:val="hr-HR"/>
              </w:rPr>
            </w:pPr>
            <w:r w:rsidRPr="003E136D">
              <w:rPr>
                <w:rFonts w:ascii="Arial" w:eastAsia="Calibri" w:hAnsi="Arial" w:cs="Arial"/>
                <w:color w:val="000000" w:themeColor="text1"/>
                <w:sz w:val="20"/>
                <w:szCs w:val="20"/>
                <w:lang w:val="hr-HR"/>
              </w:rPr>
              <w:t>22.831</w:t>
            </w:r>
          </w:p>
        </w:tc>
        <w:tc>
          <w:tcPr>
            <w:tcW w:w="1701" w:type="dxa"/>
            <w:tcBorders>
              <w:top w:val="nil"/>
              <w:left w:val="nil"/>
              <w:bottom w:val="nil"/>
              <w:right w:val="nil"/>
            </w:tcBorders>
            <w:shd w:val="clear" w:color="auto" w:fill="auto"/>
            <w:vAlign w:val="center"/>
          </w:tcPr>
          <w:p w14:paraId="57EE97B5" w14:textId="77777777" w:rsidR="004E2F51" w:rsidRPr="004B4498" w:rsidRDefault="004E2F51" w:rsidP="00E032FC">
            <w:pPr>
              <w:jc w:val="right"/>
              <w:rPr>
                <w:rFonts w:ascii="Arial" w:eastAsia="Calibri" w:hAnsi="Arial" w:cs="Arial"/>
                <w:color w:val="000000" w:themeColor="text1"/>
                <w:sz w:val="20"/>
                <w:szCs w:val="20"/>
                <w:lang w:val="hr-HR"/>
              </w:rPr>
            </w:pPr>
            <w:r w:rsidRPr="0046584E">
              <w:rPr>
                <w:rFonts w:ascii="Arial" w:eastAsia="Calibri" w:hAnsi="Arial" w:cs="Arial"/>
                <w:color w:val="000000" w:themeColor="text1"/>
                <w:sz w:val="20"/>
                <w:szCs w:val="20"/>
                <w:lang w:val="hr-HR"/>
              </w:rPr>
              <w:t>16.375</w:t>
            </w:r>
          </w:p>
        </w:tc>
      </w:tr>
      <w:tr w:rsidR="004E2F51" w:rsidRPr="00BB3F2C" w14:paraId="1CB59AC0" w14:textId="77777777" w:rsidTr="00E032FC">
        <w:trPr>
          <w:trHeight w:val="308"/>
        </w:trPr>
        <w:tc>
          <w:tcPr>
            <w:tcW w:w="5245" w:type="dxa"/>
            <w:tcBorders>
              <w:top w:val="nil"/>
              <w:left w:val="nil"/>
              <w:bottom w:val="nil"/>
              <w:right w:val="nil"/>
            </w:tcBorders>
            <w:shd w:val="clear" w:color="auto" w:fill="auto"/>
            <w:vAlign w:val="center"/>
            <w:hideMark/>
          </w:tcPr>
          <w:p w14:paraId="43D87593" w14:textId="77777777" w:rsidR="004E2F51" w:rsidRPr="004B4498" w:rsidRDefault="004E2F51" w:rsidP="00E032FC">
            <w:pPr>
              <w:jc w:val="right"/>
              <w:rPr>
                <w:rFonts w:ascii="Arial" w:eastAsia="Calibri" w:hAnsi="Arial" w:cs="Arial"/>
                <w:color w:val="000000" w:themeColor="text1"/>
                <w:sz w:val="20"/>
                <w:szCs w:val="20"/>
                <w:lang w:val="hr-HR"/>
              </w:rPr>
            </w:pPr>
          </w:p>
        </w:tc>
        <w:tc>
          <w:tcPr>
            <w:tcW w:w="1701" w:type="dxa"/>
            <w:tcBorders>
              <w:top w:val="single" w:sz="4" w:space="0" w:color="auto"/>
              <w:left w:val="nil"/>
              <w:bottom w:val="single" w:sz="12" w:space="0" w:color="auto"/>
              <w:right w:val="nil"/>
            </w:tcBorders>
            <w:shd w:val="clear" w:color="auto" w:fill="auto"/>
            <w:vAlign w:val="bottom"/>
          </w:tcPr>
          <w:p w14:paraId="62236F21" w14:textId="77777777" w:rsidR="004E2F51" w:rsidRPr="004B4498" w:rsidRDefault="004E2F51" w:rsidP="00E032FC">
            <w:pPr>
              <w:jc w:val="right"/>
              <w:rPr>
                <w:rFonts w:ascii="Arial" w:eastAsia="Calibri" w:hAnsi="Arial" w:cs="Arial"/>
                <w:b/>
                <w:bCs/>
                <w:color w:val="000000" w:themeColor="text1"/>
                <w:sz w:val="20"/>
                <w:szCs w:val="20"/>
                <w:lang w:val="hr-HR"/>
              </w:rPr>
            </w:pPr>
            <w:r w:rsidRPr="003E136D">
              <w:rPr>
                <w:rFonts w:ascii="Arial" w:eastAsia="Calibri" w:hAnsi="Arial" w:cs="Arial"/>
                <w:b/>
                <w:bCs/>
                <w:color w:val="000000" w:themeColor="text1"/>
                <w:sz w:val="20"/>
                <w:szCs w:val="20"/>
                <w:lang w:val="hr-HR"/>
              </w:rPr>
              <w:t>22.831</w:t>
            </w:r>
          </w:p>
        </w:tc>
        <w:tc>
          <w:tcPr>
            <w:tcW w:w="1701" w:type="dxa"/>
            <w:tcBorders>
              <w:top w:val="single" w:sz="4" w:space="0" w:color="auto"/>
              <w:left w:val="nil"/>
              <w:bottom w:val="single" w:sz="12" w:space="0" w:color="auto"/>
              <w:right w:val="nil"/>
            </w:tcBorders>
            <w:shd w:val="clear" w:color="auto" w:fill="auto"/>
            <w:vAlign w:val="bottom"/>
          </w:tcPr>
          <w:p w14:paraId="046B1FF5" w14:textId="77777777" w:rsidR="004E2F51" w:rsidRPr="004B4498" w:rsidRDefault="004E2F51" w:rsidP="00E032FC">
            <w:pPr>
              <w:jc w:val="right"/>
              <w:rPr>
                <w:rFonts w:ascii="Arial" w:eastAsia="Calibri" w:hAnsi="Arial" w:cs="Arial"/>
                <w:b/>
                <w:bCs/>
                <w:color w:val="000000" w:themeColor="text1"/>
                <w:sz w:val="20"/>
                <w:szCs w:val="20"/>
                <w:lang w:val="hr-HR"/>
              </w:rPr>
            </w:pPr>
            <w:r w:rsidRPr="0046584E">
              <w:rPr>
                <w:rFonts w:ascii="Arial" w:eastAsia="Calibri" w:hAnsi="Arial" w:cs="Arial"/>
                <w:b/>
                <w:bCs/>
                <w:color w:val="000000" w:themeColor="text1"/>
                <w:sz w:val="20"/>
                <w:szCs w:val="20"/>
                <w:lang w:val="hr-HR"/>
              </w:rPr>
              <w:t>16.375</w:t>
            </w:r>
          </w:p>
        </w:tc>
      </w:tr>
      <w:tr w:rsidR="004E2F51" w:rsidRPr="00BB3F2C" w14:paraId="2543FABD" w14:textId="77777777" w:rsidTr="00E032FC">
        <w:trPr>
          <w:trHeight w:val="308"/>
        </w:trPr>
        <w:tc>
          <w:tcPr>
            <w:tcW w:w="5245" w:type="dxa"/>
            <w:tcBorders>
              <w:top w:val="nil"/>
              <w:left w:val="nil"/>
              <w:bottom w:val="nil"/>
              <w:right w:val="nil"/>
            </w:tcBorders>
            <w:shd w:val="clear" w:color="auto" w:fill="auto"/>
            <w:vAlign w:val="center"/>
            <w:hideMark/>
          </w:tcPr>
          <w:p w14:paraId="7DFE79AF" w14:textId="77777777" w:rsidR="004E2F51" w:rsidRPr="004B4498" w:rsidRDefault="004E2F51" w:rsidP="00E032FC">
            <w:pPr>
              <w:jc w:val="right"/>
              <w:rPr>
                <w:rFonts w:ascii="Arial" w:eastAsia="Calibri" w:hAnsi="Arial" w:cs="Arial"/>
                <w:b/>
                <w:bCs/>
                <w:color w:val="000000" w:themeColor="text1"/>
                <w:sz w:val="20"/>
                <w:szCs w:val="20"/>
                <w:lang w:val="hr-HR"/>
              </w:rPr>
            </w:pPr>
          </w:p>
        </w:tc>
        <w:tc>
          <w:tcPr>
            <w:tcW w:w="1701" w:type="dxa"/>
            <w:tcBorders>
              <w:top w:val="single" w:sz="12" w:space="0" w:color="auto"/>
              <w:left w:val="nil"/>
              <w:bottom w:val="nil"/>
              <w:right w:val="nil"/>
            </w:tcBorders>
            <w:shd w:val="clear" w:color="auto" w:fill="auto"/>
            <w:vAlign w:val="center"/>
          </w:tcPr>
          <w:p w14:paraId="268F28C9" w14:textId="77777777" w:rsidR="004E2F51" w:rsidRPr="004B4498" w:rsidRDefault="004E2F51" w:rsidP="00E032FC">
            <w:pPr>
              <w:jc w:val="right"/>
              <w:rPr>
                <w:rFonts w:ascii="Arial" w:eastAsia="Calibri" w:hAnsi="Arial" w:cs="Arial"/>
                <w:color w:val="000000" w:themeColor="text1"/>
                <w:sz w:val="20"/>
                <w:szCs w:val="20"/>
                <w:lang w:val="hr-HR"/>
              </w:rPr>
            </w:pPr>
          </w:p>
        </w:tc>
        <w:tc>
          <w:tcPr>
            <w:tcW w:w="1701" w:type="dxa"/>
            <w:tcBorders>
              <w:top w:val="single" w:sz="12" w:space="0" w:color="auto"/>
              <w:left w:val="nil"/>
              <w:bottom w:val="nil"/>
              <w:right w:val="nil"/>
            </w:tcBorders>
            <w:shd w:val="clear" w:color="auto" w:fill="auto"/>
            <w:vAlign w:val="center"/>
          </w:tcPr>
          <w:p w14:paraId="5D1C6462" w14:textId="77777777" w:rsidR="004E2F51" w:rsidRPr="004B4498" w:rsidRDefault="004E2F51" w:rsidP="00E032FC">
            <w:pPr>
              <w:jc w:val="right"/>
              <w:rPr>
                <w:rFonts w:ascii="Arial" w:eastAsia="Calibri" w:hAnsi="Arial" w:cs="Arial"/>
                <w:color w:val="000000" w:themeColor="text1"/>
                <w:sz w:val="20"/>
                <w:szCs w:val="20"/>
                <w:lang w:val="hr-HR"/>
              </w:rPr>
            </w:pPr>
          </w:p>
        </w:tc>
      </w:tr>
      <w:tr w:rsidR="004E2F51" w:rsidRPr="00BB3F2C" w14:paraId="791D803A" w14:textId="77777777" w:rsidTr="00E032FC">
        <w:trPr>
          <w:trHeight w:val="308"/>
        </w:trPr>
        <w:tc>
          <w:tcPr>
            <w:tcW w:w="5245" w:type="dxa"/>
            <w:tcBorders>
              <w:top w:val="nil"/>
              <w:left w:val="nil"/>
              <w:bottom w:val="nil"/>
              <w:right w:val="nil"/>
            </w:tcBorders>
            <w:shd w:val="clear" w:color="auto" w:fill="auto"/>
            <w:vAlign w:val="center"/>
            <w:hideMark/>
          </w:tcPr>
          <w:p w14:paraId="3BF6F728" w14:textId="77777777" w:rsidR="004E2F51" w:rsidRPr="004B4498" w:rsidRDefault="004E2F51" w:rsidP="00E032FC">
            <w:pPr>
              <w:rPr>
                <w:rFonts w:ascii="Arial" w:eastAsia="Calibri" w:hAnsi="Arial" w:cs="Arial"/>
                <w:b/>
                <w:bCs/>
                <w:i/>
                <w:iCs/>
                <w:color w:val="000000" w:themeColor="text1"/>
                <w:sz w:val="20"/>
                <w:szCs w:val="20"/>
                <w:lang w:val="hr-HR"/>
              </w:rPr>
            </w:pPr>
            <w:r w:rsidRPr="004B4498">
              <w:rPr>
                <w:rFonts w:ascii="Arial" w:eastAsia="Calibri" w:hAnsi="Arial" w:cs="Arial"/>
                <w:b/>
                <w:bCs/>
                <w:i/>
                <w:iCs/>
                <w:color w:val="000000" w:themeColor="text1"/>
                <w:sz w:val="20"/>
                <w:szCs w:val="20"/>
                <w:lang w:val="hr-HR"/>
              </w:rPr>
              <w:t>Ulaganja u investicijske fondove:</w:t>
            </w:r>
          </w:p>
        </w:tc>
        <w:tc>
          <w:tcPr>
            <w:tcW w:w="1701" w:type="dxa"/>
            <w:tcBorders>
              <w:top w:val="nil"/>
              <w:left w:val="nil"/>
              <w:bottom w:val="nil"/>
              <w:right w:val="nil"/>
            </w:tcBorders>
            <w:shd w:val="clear" w:color="auto" w:fill="auto"/>
            <w:vAlign w:val="center"/>
          </w:tcPr>
          <w:p w14:paraId="0C7492D9" w14:textId="77777777" w:rsidR="004E2F51" w:rsidRPr="004B4498" w:rsidRDefault="004E2F51" w:rsidP="00E032FC">
            <w:pPr>
              <w:jc w:val="right"/>
              <w:rPr>
                <w:rFonts w:ascii="Arial" w:eastAsia="Calibri" w:hAnsi="Arial" w:cs="Arial"/>
                <w:color w:val="000000" w:themeColor="text1"/>
                <w:sz w:val="20"/>
                <w:szCs w:val="20"/>
                <w:lang w:val="hr-HR"/>
              </w:rPr>
            </w:pPr>
          </w:p>
        </w:tc>
        <w:tc>
          <w:tcPr>
            <w:tcW w:w="1701" w:type="dxa"/>
            <w:tcBorders>
              <w:top w:val="nil"/>
              <w:left w:val="nil"/>
              <w:bottom w:val="nil"/>
              <w:right w:val="nil"/>
            </w:tcBorders>
            <w:shd w:val="clear" w:color="auto" w:fill="auto"/>
            <w:vAlign w:val="center"/>
          </w:tcPr>
          <w:p w14:paraId="6F325616" w14:textId="77777777" w:rsidR="004E2F51" w:rsidRPr="004B4498" w:rsidRDefault="004E2F51" w:rsidP="00E032FC">
            <w:pPr>
              <w:jc w:val="right"/>
              <w:rPr>
                <w:rFonts w:ascii="Arial" w:eastAsia="Calibri" w:hAnsi="Arial" w:cs="Arial"/>
                <w:color w:val="000000" w:themeColor="text1"/>
                <w:sz w:val="20"/>
                <w:szCs w:val="20"/>
                <w:lang w:val="hr-HR"/>
              </w:rPr>
            </w:pPr>
          </w:p>
        </w:tc>
      </w:tr>
      <w:tr w:rsidR="004E2F51" w:rsidRPr="00BB3F2C" w14:paraId="769E459B" w14:textId="77777777" w:rsidTr="00E032FC">
        <w:trPr>
          <w:trHeight w:val="339"/>
        </w:trPr>
        <w:tc>
          <w:tcPr>
            <w:tcW w:w="5245" w:type="dxa"/>
            <w:tcBorders>
              <w:top w:val="nil"/>
              <w:left w:val="nil"/>
              <w:bottom w:val="nil"/>
              <w:right w:val="nil"/>
            </w:tcBorders>
            <w:shd w:val="clear" w:color="auto" w:fill="auto"/>
            <w:vAlign w:val="center"/>
            <w:hideMark/>
          </w:tcPr>
          <w:p w14:paraId="7BCD232F" w14:textId="77777777" w:rsidR="004E2F51" w:rsidRPr="004B4498" w:rsidRDefault="004E2F51" w:rsidP="00E032FC">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Udjeli u investicijskim fondovima po FVRDG</w:t>
            </w:r>
          </w:p>
        </w:tc>
        <w:tc>
          <w:tcPr>
            <w:tcW w:w="1701" w:type="dxa"/>
            <w:tcBorders>
              <w:top w:val="nil"/>
              <w:left w:val="nil"/>
              <w:bottom w:val="nil"/>
              <w:right w:val="nil"/>
            </w:tcBorders>
            <w:shd w:val="clear" w:color="auto" w:fill="auto"/>
            <w:vAlign w:val="bottom"/>
          </w:tcPr>
          <w:p w14:paraId="07CBB47E" w14:textId="77777777" w:rsidR="004E2F51" w:rsidRPr="004B4498" w:rsidRDefault="004E2F51" w:rsidP="00E032FC">
            <w:pPr>
              <w:jc w:val="right"/>
              <w:rPr>
                <w:rFonts w:ascii="Arial" w:eastAsia="Calibri" w:hAnsi="Arial" w:cs="Arial"/>
                <w:color w:val="000000" w:themeColor="text1"/>
                <w:sz w:val="20"/>
                <w:szCs w:val="20"/>
                <w:lang w:val="hr-HR"/>
              </w:rPr>
            </w:pPr>
            <w:r w:rsidRPr="003E136D">
              <w:rPr>
                <w:rFonts w:ascii="Arial" w:eastAsia="Calibri" w:hAnsi="Arial" w:cs="Arial"/>
                <w:color w:val="000000" w:themeColor="text1"/>
                <w:sz w:val="20"/>
                <w:szCs w:val="20"/>
                <w:lang w:val="hr-HR"/>
              </w:rPr>
              <w:t>107.303</w:t>
            </w:r>
          </w:p>
        </w:tc>
        <w:tc>
          <w:tcPr>
            <w:tcW w:w="1701" w:type="dxa"/>
            <w:tcBorders>
              <w:top w:val="nil"/>
              <w:left w:val="nil"/>
              <w:bottom w:val="nil"/>
              <w:right w:val="nil"/>
            </w:tcBorders>
            <w:shd w:val="clear" w:color="auto" w:fill="auto"/>
            <w:vAlign w:val="bottom"/>
          </w:tcPr>
          <w:p w14:paraId="2CD80756" w14:textId="77777777" w:rsidR="004E2F51" w:rsidRPr="004B4498" w:rsidRDefault="004E2F51" w:rsidP="00E032FC">
            <w:pPr>
              <w:jc w:val="right"/>
              <w:rPr>
                <w:rFonts w:ascii="Arial" w:eastAsia="Calibri" w:hAnsi="Arial" w:cs="Arial"/>
                <w:color w:val="000000" w:themeColor="text1"/>
                <w:sz w:val="20"/>
                <w:szCs w:val="20"/>
                <w:lang w:val="hr-HR"/>
              </w:rPr>
            </w:pPr>
            <w:r w:rsidRPr="0046584E">
              <w:rPr>
                <w:rFonts w:ascii="Arial" w:eastAsia="Calibri" w:hAnsi="Arial" w:cs="Arial"/>
                <w:color w:val="000000" w:themeColor="text1"/>
                <w:sz w:val="20"/>
                <w:szCs w:val="20"/>
                <w:lang w:val="hr-HR"/>
              </w:rPr>
              <w:t>202.260</w:t>
            </w:r>
          </w:p>
        </w:tc>
      </w:tr>
      <w:tr w:rsidR="004E2F51" w:rsidRPr="00BB3F2C" w14:paraId="3F38418E" w14:textId="77777777" w:rsidTr="00E032FC">
        <w:trPr>
          <w:trHeight w:val="308"/>
        </w:trPr>
        <w:tc>
          <w:tcPr>
            <w:tcW w:w="5245" w:type="dxa"/>
            <w:tcBorders>
              <w:top w:val="nil"/>
              <w:left w:val="nil"/>
              <w:bottom w:val="nil"/>
              <w:right w:val="nil"/>
            </w:tcBorders>
            <w:shd w:val="clear" w:color="auto" w:fill="auto"/>
            <w:vAlign w:val="center"/>
            <w:hideMark/>
          </w:tcPr>
          <w:p w14:paraId="30E14392" w14:textId="77777777" w:rsidR="004E2F51" w:rsidRPr="004B4498" w:rsidRDefault="004E2F51" w:rsidP="00E032FC">
            <w:pPr>
              <w:jc w:val="right"/>
              <w:rPr>
                <w:rFonts w:ascii="Arial" w:eastAsia="Calibri" w:hAnsi="Arial" w:cs="Arial"/>
                <w:color w:val="000000" w:themeColor="text1"/>
                <w:sz w:val="20"/>
                <w:szCs w:val="20"/>
                <w:lang w:val="hr-HR"/>
              </w:rPr>
            </w:pPr>
          </w:p>
        </w:tc>
        <w:tc>
          <w:tcPr>
            <w:tcW w:w="1701" w:type="dxa"/>
            <w:tcBorders>
              <w:top w:val="single" w:sz="4" w:space="0" w:color="auto"/>
              <w:left w:val="nil"/>
              <w:bottom w:val="single" w:sz="12" w:space="0" w:color="auto"/>
              <w:right w:val="nil"/>
            </w:tcBorders>
            <w:shd w:val="clear" w:color="auto" w:fill="auto"/>
            <w:vAlign w:val="bottom"/>
          </w:tcPr>
          <w:p w14:paraId="4CEA000B" w14:textId="77777777" w:rsidR="004E2F51" w:rsidRPr="004B4498" w:rsidRDefault="004E2F51" w:rsidP="00E032FC">
            <w:pPr>
              <w:jc w:val="right"/>
              <w:rPr>
                <w:rFonts w:ascii="Arial" w:eastAsia="Calibri" w:hAnsi="Arial" w:cs="Arial"/>
                <w:b/>
                <w:bCs/>
                <w:color w:val="000000" w:themeColor="text1"/>
                <w:sz w:val="20"/>
                <w:szCs w:val="20"/>
                <w:lang w:val="hr-HR"/>
              </w:rPr>
            </w:pPr>
            <w:r w:rsidRPr="003E136D">
              <w:rPr>
                <w:rFonts w:ascii="Arial" w:eastAsia="Calibri" w:hAnsi="Arial" w:cs="Arial"/>
                <w:b/>
                <w:bCs/>
                <w:color w:val="000000" w:themeColor="text1"/>
                <w:sz w:val="20"/>
                <w:szCs w:val="20"/>
                <w:lang w:val="hr-HR"/>
              </w:rPr>
              <w:t>107.303</w:t>
            </w:r>
          </w:p>
        </w:tc>
        <w:tc>
          <w:tcPr>
            <w:tcW w:w="1701" w:type="dxa"/>
            <w:tcBorders>
              <w:top w:val="single" w:sz="4" w:space="0" w:color="auto"/>
              <w:left w:val="nil"/>
              <w:bottom w:val="single" w:sz="12" w:space="0" w:color="auto"/>
              <w:right w:val="nil"/>
            </w:tcBorders>
            <w:shd w:val="clear" w:color="auto" w:fill="auto"/>
            <w:vAlign w:val="bottom"/>
          </w:tcPr>
          <w:p w14:paraId="48109531" w14:textId="77777777" w:rsidR="004E2F51" w:rsidRPr="004B4498" w:rsidRDefault="004E2F51" w:rsidP="00E032FC">
            <w:pPr>
              <w:jc w:val="right"/>
              <w:rPr>
                <w:rFonts w:ascii="Arial" w:eastAsia="Calibri" w:hAnsi="Arial" w:cs="Arial"/>
                <w:b/>
                <w:bCs/>
                <w:color w:val="000000" w:themeColor="text1"/>
                <w:sz w:val="20"/>
                <w:szCs w:val="20"/>
                <w:lang w:val="hr-HR"/>
              </w:rPr>
            </w:pPr>
            <w:r w:rsidRPr="0046584E">
              <w:rPr>
                <w:rFonts w:ascii="Arial" w:eastAsia="Calibri" w:hAnsi="Arial" w:cs="Arial"/>
                <w:b/>
                <w:bCs/>
                <w:color w:val="000000" w:themeColor="text1"/>
                <w:sz w:val="20"/>
                <w:szCs w:val="20"/>
                <w:lang w:val="hr-HR"/>
              </w:rPr>
              <w:t>202.260</w:t>
            </w:r>
          </w:p>
        </w:tc>
      </w:tr>
      <w:tr w:rsidR="004E2F51" w:rsidRPr="00BB3F2C" w14:paraId="05D2D255" w14:textId="77777777" w:rsidTr="00E032FC">
        <w:trPr>
          <w:trHeight w:val="308"/>
        </w:trPr>
        <w:tc>
          <w:tcPr>
            <w:tcW w:w="5245" w:type="dxa"/>
            <w:tcBorders>
              <w:top w:val="nil"/>
              <w:left w:val="nil"/>
              <w:bottom w:val="nil"/>
              <w:right w:val="nil"/>
            </w:tcBorders>
            <w:shd w:val="clear" w:color="auto" w:fill="auto"/>
            <w:vAlign w:val="center"/>
            <w:hideMark/>
          </w:tcPr>
          <w:p w14:paraId="6C37CCBC" w14:textId="77777777" w:rsidR="004E2F51" w:rsidRPr="004B4498" w:rsidRDefault="004E2F51" w:rsidP="00E032FC">
            <w:pPr>
              <w:jc w:val="right"/>
              <w:rPr>
                <w:rFonts w:ascii="Arial" w:eastAsia="Calibri" w:hAnsi="Arial" w:cs="Arial"/>
                <w:b/>
                <w:bCs/>
                <w:color w:val="000000" w:themeColor="text1"/>
                <w:sz w:val="20"/>
                <w:szCs w:val="20"/>
                <w:lang w:val="hr-HR"/>
              </w:rPr>
            </w:pPr>
          </w:p>
        </w:tc>
        <w:tc>
          <w:tcPr>
            <w:tcW w:w="1701" w:type="dxa"/>
            <w:tcBorders>
              <w:top w:val="single" w:sz="12" w:space="0" w:color="auto"/>
              <w:left w:val="nil"/>
              <w:right w:val="nil"/>
            </w:tcBorders>
            <w:shd w:val="clear" w:color="auto" w:fill="auto"/>
            <w:vAlign w:val="center"/>
          </w:tcPr>
          <w:p w14:paraId="33B63492" w14:textId="77777777" w:rsidR="004E2F51" w:rsidRPr="004B4498" w:rsidRDefault="004E2F51" w:rsidP="00E032FC">
            <w:pPr>
              <w:jc w:val="right"/>
              <w:rPr>
                <w:rFonts w:ascii="Arial" w:eastAsia="Calibri" w:hAnsi="Arial" w:cs="Arial"/>
                <w:color w:val="000000" w:themeColor="text1"/>
                <w:sz w:val="20"/>
                <w:szCs w:val="20"/>
                <w:lang w:val="hr-HR"/>
              </w:rPr>
            </w:pPr>
          </w:p>
        </w:tc>
        <w:tc>
          <w:tcPr>
            <w:tcW w:w="1701" w:type="dxa"/>
            <w:tcBorders>
              <w:top w:val="single" w:sz="12" w:space="0" w:color="auto"/>
              <w:left w:val="nil"/>
              <w:right w:val="nil"/>
            </w:tcBorders>
            <w:shd w:val="clear" w:color="auto" w:fill="auto"/>
            <w:vAlign w:val="center"/>
          </w:tcPr>
          <w:p w14:paraId="700B8AA5" w14:textId="77777777" w:rsidR="004E2F51" w:rsidRPr="004B4498" w:rsidRDefault="004E2F51" w:rsidP="00E032FC">
            <w:pPr>
              <w:jc w:val="right"/>
              <w:rPr>
                <w:rFonts w:ascii="Arial" w:eastAsia="Calibri" w:hAnsi="Arial" w:cs="Arial"/>
                <w:color w:val="000000" w:themeColor="text1"/>
                <w:sz w:val="20"/>
                <w:szCs w:val="20"/>
                <w:lang w:val="hr-HR"/>
              </w:rPr>
            </w:pPr>
          </w:p>
        </w:tc>
      </w:tr>
      <w:tr w:rsidR="004E2F51" w:rsidRPr="00BB3F2C" w14:paraId="62DEB691" w14:textId="77777777" w:rsidTr="00E032FC">
        <w:trPr>
          <w:trHeight w:val="377"/>
        </w:trPr>
        <w:tc>
          <w:tcPr>
            <w:tcW w:w="5245" w:type="dxa"/>
            <w:tcBorders>
              <w:top w:val="nil"/>
              <w:left w:val="nil"/>
              <w:bottom w:val="nil"/>
              <w:right w:val="nil"/>
            </w:tcBorders>
            <w:shd w:val="clear" w:color="auto" w:fill="auto"/>
            <w:vAlign w:val="center"/>
            <w:hideMark/>
          </w:tcPr>
          <w:p w14:paraId="03DBBA0F" w14:textId="77777777" w:rsidR="004E2F51" w:rsidRPr="004B4498" w:rsidRDefault="004E2F51" w:rsidP="00E032FC">
            <w:pPr>
              <w:rPr>
                <w:rFonts w:ascii="Arial" w:eastAsia="Calibri" w:hAnsi="Arial" w:cs="Arial"/>
                <w:b/>
                <w:bCs/>
                <w:i/>
                <w:iCs/>
                <w:color w:val="000000" w:themeColor="text1"/>
                <w:sz w:val="20"/>
                <w:szCs w:val="20"/>
                <w:lang w:val="hr-HR"/>
              </w:rPr>
            </w:pPr>
            <w:r w:rsidRPr="004B4498">
              <w:rPr>
                <w:rFonts w:ascii="Arial" w:eastAsia="Calibri" w:hAnsi="Arial" w:cs="Arial"/>
                <w:b/>
                <w:bCs/>
                <w:i/>
                <w:iCs/>
                <w:color w:val="000000" w:themeColor="text1"/>
                <w:sz w:val="20"/>
                <w:szCs w:val="20"/>
                <w:lang w:val="hr-HR"/>
              </w:rPr>
              <w:t>Vlasnički vrijednosni papiri koji ne kotiraju:</w:t>
            </w:r>
          </w:p>
        </w:tc>
        <w:tc>
          <w:tcPr>
            <w:tcW w:w="1701" w:type="dxa"/>
            <w:tcBorders>
              <w:top w:val="nil"/>
              <w:left w:val="nil"/>
              <w:bottom w:val="nil"/>
              <w:right w:val="nil"/>
            </w:tcBorders>
            <w:shd w:val="clear" w:color="auto" w:fill="auto"/>
            <w:vAlign w:val="center"/>
          </w:tcPr>
          <w:p w14:paraId="1F7D8740" w14:textId="77777777" w:rsidR="004E2F51" w:rsidRPr="004B4498" w:rsidRDefault="004E2F51" w:rsidP="00E032FC">
            <w:pPr>
              <w:jc w:val="right"/>
              <w:rPr>
                <w:rFonts w:ascii="Arial" w:eastAsia="Calibri" w:hAnsi="Arial" w:cs="Arial"/>
                <w:color w:val="000000" w:themeColor="text1"/>
                <w:sz w:val="20"/>
                <w:szCs w:val="20"/>
                <w:lang w:val="hr-HR"/>
              </w:rPr>
            </w:pPr>
          </w:p>
        </w:tc>
        <w:tc>
          <w:tcPr>
            <w:tcW w:w="1701" w:type="dxa"/>
            <w:tcBorders>
              <w:top w:val="nil"/>
              <w:left w:val="nil"/>
              <w:bottom w:val="nil"/>
              <w:right w:val="nil"/>
            </w:tcBorders>
            <w:shd w:val="clear" w:color="auto" w:fill="auto"/>
            <w:vAlign w:val="center"/>
          </w:tcPr>
          <w:p w14:paraId="2DBA65C3" w14:textId="77777777" w:rsidR="004E2F51" w:rsidRPr="004B4498" w:rsidRDefault="004E2F51" w:rsidP="00E032FC">
            <w:pPr>
              <w:jc w:val="right"/>
              <w:rPr>
                <w:rFonts w:ascii="Arial" w:eastAsia="Calibri" w:hAnsi="Arial" w:cs="Arial"/>
                <w:color w:val="000000" w:themeColor="text1"/>
                <w:sz w:val="20"/>
                <w:szCs w:val="20"/>
                <w:lang w:val="hr-HR"/>
              </w:rPr>
            </w:pPr>
          </w:p>
        </w:tc>
      </w:tr>
      <w:tr w:rsidR="004E2F51" w:rsidRPr="00BB3F2C" w14:paraId="0DB9D842" w14:textId="77777777" w:rsidTr="00E032FC">
        <w:trPr>
          <w:trHeight w:val="377"/>
        </w:trPr>
        <w:tc>
          <w:tcPr>
            <w:tcW w:w="5245" w:type="dxa"/>
            <w:tcBorders>
              <w:top w:val="nil"/>
              <w:left w:val="nil"/>
              <w:bottom w:val="nil"/>
              <w:right w:val="nil"/>
            </w:tcBorders>
            <w:shd w:val="clear" w:color="auto" w:fill="auto"/>
            <w:vAlign w:val="bottom"/>
          </w:tcPr>
          <w:p w14:paraId="150EB285" w14:textId="77777777" w:rsidR="004E2F51" w:rsidRPr="004B4498" w:rsidRDefault="004E2F51" w:rsidP="00E032FC">
            <w:pPr>
              <w:rPr>
                <w:rFonts w:ascii="Arial" w:eastAsia="Calibri" w:hAnsi="Arial" w:cs="Arial"/>
                <w:bCs/>
                <w:iCs/>
                <w:color w:val="000000" w:themeColor="text1"/>
                <w:sz w:val="20"/>
                <w:szCs w:val="20"/>
                <w:lang w:val="hr-HR"/>
              </w:rPr>
            </w:pPr>
            <w:r w:rsidRPr="004B4498">
              <w:rPr>
                <w:rFonts w:ascii="Arial" w:eastAsia="Calibri" w:hAnsi="Arial" w:cs="Arial"/>
                <w:bCs/>
                <w:iCs/>
                <w:color w:val="000000" w:themeColor="text1"/>
                <w:sz w:val="20"/>
                <w:szCs w:val="20"/>
                <w:lang w:val="hr-HR"/>
              </w:rPr>
              <w:t>Dionice trgovačkih društava</w:t>
            </w:r>
          </w:p>
        </w:tc>
        <w:tc>
          <w:tcPr>
            <w:tcW w:w="1701" w:type="dxa"/>
            <w:tcBorders>
              <w:top w:val="nil"/>
              <w:left w:val="nil"/>
              <w:bottom w:val="nil"/>
              <w:right w:val="nil"/>
            </w:tcBorders>
            <w:shd w:val="clear" w:color="auto" w:fill="auto"/>
            <w:vAlign w:val="bottom"/>
          </w:tcPr>
          <w:p w14:paraId="6FE3439F" w14:textId="77777777" w:rsidR="004E2F51" w:rsidRPr="004B4498"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31</w:t>
            </w:r>
          </w:p>
        </w:tc>
        <w:tc>
          <w:tcPr>
            <w:tcW w:w="1701" w:type="dxa"/>
            <w:tcBorders>
              <w:top w:val="nil"/>
              <w:left w:val="nil"/>
              <w:bottom w:val="nil"/>
              <w:right w:val="nil"/>
            </w:tcBorders>
            <w:shd w:val="clear" w:color="auto" w:fill="auto"/>
            <w:vAlign w:val="bottom"/>
          </w:tcPr>
          <w:p w14:paraId="7CA62A83" w14:textId="77777777" w:rsidR="004E2F51" w:rsidRPr="004B4498" w:rsidRDefault="004E2F51" w:rsidP="00E032FC">
            <w:pPr>
              <w:jc w:val="right"/>
              <w:rPr>
                <w:rFonts w:ascii="Arial" w:eastAsia="Calibri" w:hAnsi="Arial" w:cs="Arial"/>
                <w:color w:val="000000" w:themeColor="text1"/>
                <w:sz w:val="20"/>
                <w:szCs w:val="20"/>
                <w:lang w:val="hr-HR"/>
              </w:rPr>
            </w:pPr>
            <w:r w:rsidRPr="0046584E">
              <w:rPr>
                <w:rFonts w:ascii="Arial" w:eastAsia="Calibri" w:hAnsi="Arial" w:cs="Arial"/>
                <w:color w:val="000000" w:themeColor="text1"/>
                <w:sz w:val="20"/>
                <w:szCs w:val="20"/>
                <w:lang w:val="hr-HR"/>
              </w:rPr>
              <w:t>31</w:t>
            </w:r>
          </w:p>
        </w:tc>
      </w:tr>
      <w:tr w:rsidR="004E2F51" w:rsidRPr="00BB3F2C" w14:paraId="0D28B5E2" w14:textId="77777777" w:rsidTr="00E032FC">
        <w:trPr>
          <w:trHeight w:val="377"/>
        </w:trPr>
        <w:tc>
          <w:tcPr>
            <w:tcW w:w="5245" w:type="dxa"/>
            <w:tcBorders>
              <w:top w:val="nil"/>
              <w:left w:val="nil"/>
              <w:bottom w:val="nil"/>
              <w:right w:val="nil"/>
            </w:tcBorders>
            <w:shd w:val="clear" w:color="auto" w:fill="auto"/>
            <w:vAlign w:val="bottom"/>
          </w:tcPr>
          <w:p w14:paraId="2DAA0869" w14:textId="77777777" w:rsidR="004E2F51" w:rsidRPr="004B4498" w:rsidRDefault="004E2F51" w:rsidP="00E032FC">
            <w:pPr>
              <w:rPr>
                <w:rFonts w:ascii="Arial" w:eastAsia="Calibri" w:hAnsi="Arial" w:cs="Arial"/>
                <w:bCs/>
                <w:iCs/>
                <w:color w:val="000000" w:themeColor="text1"/>
                <w:sz w:val="20"/>
                <w:szCs w:val="20"/>
                <w:lang w:val="hr-HR"/>
              </w:rPr>
            </w:pPr>
            <w:r w:rsidRPr="004B4498">
              <w:rPr>
                <w:rFonts w:ascii="Arial" w:eastAsia="Calibri" w:hAnsi="Arial" w:cs="Arial"/>
                <w:bCs/>
                <w:iCs/>
                <w:color w:val="000000" w:themeColor="text1"/>
                <w:sz w:val="20"/>
                <w:szCs w:val="20"/>
                <w:lang w:val="hr-HR"/>
              </w:rPr>
              <w:t>Depozitarne potvrde - DR</w:t>
            </w:r>
          </w:p>
        </w:tc>
        <w:tc>
          <w:tcPr>
            <w:tcW w:w="1701" w:type="dxa"/>
            <w:tcBorders>
              <w:top w:val="nil"/>
              <w:left w:val="nil"/>
              <w:bottom w:val="nil"/>
              <w:right w:val="nil"/>
            </w:tcBorders>
            <w:shd w:val="clear" w:color="auto" w:fill="auto"/>
            <w:vAlign w:val="bottom"/>
          </w:tcPr>
          <w:p w14:paraId="6F1172F7" w14:textId="77777777" w:rsidR="004E2F51" w:rsidRPr="004B4498"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319</w:t>
            </w:r>
          </w:p>
        </w:tc>
        <w:tc>
          <w:tcPr>
            <w:tcW w:w="1701" w:type="dxa"/>
            <w:tcBorders>
              <w:top w:val="nil"/>
              <w:left w:val="nil"/>
              <w:bottom w:val="nil"/>
              <w:right w:val="nil"/>
            </w:tcBorders>
            <w:shd w:val="clear" w:color="auto" w:fill="auto"/>
            <w:vAlign w:val="bottom"/>
          </w:tcPr>
          <w:p w14:paraId="0B74713C" w14:textId="77777777" w:rsidR="004E2F51" w:rsidRPr="004B4498" w:rsidRDefault="004E2F51" w:rsidP="00E032FC">
            <w:pPr>
              <w:jc w:val="right"/>
              <w:rPr>
                <w:rFonts w:ascii="Arial" w:eastAsia="Calibri" w:hAnsi="Arial" w:cs="Arial"/>
                <w:color w:val="000000" w:themeColor="text1"/>
                <w:sz w:val="20"/>
                <w:szCs w:val="20"/>
                <w:lang w:val="hr-HR"/>
              </w:rPr>
            </w:pPr>
            <w:r w:rsidRPr="0046584E">
              <w:rPr>
                <w:rFonts w:ascii="Arial" w:eastAsia="Calibri" w:hAnsi="Arial" w:cs="Arial"/>
                <w:color w:val="000000" w:themeColor="text1"/>
                <w:sz w:val="20"/>
                <w:szCs w:val="20"/>
                <w:lang w:val="hr-HR"/>
              </w:rPr>
              <w:t>318</w:t>
            </w:r>
          </w:p>
        </w:tc>
      </w:tr>
      <w:tr w:rsidR="004E2F51" w:rsidRPr="00BB3F2C" w14:paraId="588A7663" w14:textId="77777777" w:rsidTr="00E032FC">
        <w:trPr>
          <w:trHeight w:val="308"/>
        </w:trPr>
        <w:tc>
          <w:tcPr>
            <w:tcW w:w="5245" w:type="dxa"/>
            <w:tcBorders>
              <w:top w:val="nil"/>
              <w:left w:val="nil"/>
              <w:bottom w:val="nil"/>
              <w:right w:val="nil"/>
            </w:tcBorders>
            <w:shd w:val="clear" w:color="auto" w:fill="auto"/>
            <w:vAlign w:val="center"/>
          </w:tcPr>
          <w:p w14:paraId="6DD66395" w14:textId="77777777" w:rsidR="004E2F51" w:rsidRPr="004B4498" w:rsidRDefault="004E2F51" w:rsidP="00E032FC">
            <w:pPr>
              <w:jc w:val="right"/>
              <w:rPr>
                <w:rFonts w:ascii="Arial" w:eastAsia="Calibri" w:hAnsi="Arial" w:cs="Arial"/>
                <w:color w:val="000000" w:themeColor="text1"/>
                <w:sz w:val="20"/>
                <w:szCs w:val="20"/>
                <w:lang w:val="hr-HR"/>
              </w:rPr>
            </w:pPr>
          </w:p>
        </w:tc>
        <w:tc>
          <w:tcPr>
            <w:tcW w:w="1701" w:type="dxa"/>
            <w:tcBorders>
              <w:top w:val="single" w:sz="4" w:space="0" w:color="auto"/>
              <w:left w:val="nil"/>
              <w:bottom w:val="single" w:sz="12" w:space="0" w:color="auto"/>
              <w:right w:val="nil"/>
            </w:tcBorders>
            <w:shd w:val="clear" w:color="auto" w:fill="auto"/>
            <w:vAlign w:val="bottom"/>
          </w:tcPr>
          <w:p w14:paraId="54B74C14" w14:textId="77777777" w:rsidR="004E2F51" w:rsidRPr="004B4498" w:rsidRDefault="004E2F51" w:rsidP="00E032FC">
            <w:pPr>
              <w:jc w:val="right"/>
              <w:rPr>
                <w:rFonts w:ascii="Arial" w:eastAsia="Calibri" w:hAnsi="Arial" w:cs="Arial"/>
                <w:b/>
                <w:bCs/>
                <w:color w:val="000000" w:themeColor="text1"/>
                <w:sz w:val="20"/>
                <w:szCs w:val="20"/>
                <w:lang w:val="hr-HR"/>
              </w:rPr>
            </w:pPr>
            <w:r>
              <w:rPr>
                <w:rFonts w:ascii="Arial" w:eastAsia="Calibri" w:hAnsi="Arial" w:cs="Arial"/>
                <w:b/>
                <w:bCs/>
                <w:color w:val="000000" w:themeColor="text1"/>
                <w:sz w:val="20"/>
                <w:szCs w:val="20"/>
                <w:lang w:val="hr-HR"/>
              </w:rPr>
              <w:t>350</w:t>
            </w:r>
          </w:p>
        </w:tc>
        <w:tc>
          <w:tcPr>
            <w:tcW w:w="1701" w:type="dxa"/>
            <w:tcBorders>
              <w:top w:val="single" w:sz="4" w:space="0" w:color="auto"/>
              <w:left w:val="nil"/>
              <w:bottom w:val="single" w:sz="12" w:space="0" w:color="auto"/>
              <w:right w:val="nil"/>
            </w:tcBorders>
            <w:shd w:val="clear" w:color="auto" w:fill="auto"/>
            <w:vAlign w:val="bottom"/>
          </w:tcPr>
          <w:p w14:paraId="16EE8C56" w14:textId="77777777" w:rsidR="004E2F51" w:rsidRPr="004B4498" w:rsidRDefault="004E2F51" w:rsidP="00E032FC">
            <w:pPr>
              <w:jc w:val="right"/>
              <w:rPr>
                <w:rFonts w:ascii="Arial" w:eastAsia="Calibri" w:hAnsi="Arial" w:cs="Arial"/>
                <w:b/>
                <w:bCs/>
                <w:color w:val="000000" w:themeColor="text1"/>
                <w:sz w:val="20"/>
                <w:szCs w:val="20"/>
                <w:lang w:val="hr-HR"/>
              </w:rPr>
            </w:pPr>
            <w:r w:rsidRPr="0046584E">
              <w:rPr>
                <w:rFonts w:ascii="Arial" w:eastAsia="Calibri" w:hAnsi="Arial" w:cs="Arial"/>
                <w:b/>
                <w:bCs/>
                <w:color w:val="000000" w:themeColor="text1"/>
                <w:sz w:val="20"/>
                <w:szCs w:val="20"/>
                <w:lang w:val="hr-HR"/>
              </w:rPr>
              <w:t>349</w:t>
            </w:r>
          </w:p>
        </w:tc>
      </w:tr>
      <w:tr w:rsidR="004E2F51" w:rsidRPr="00BB3F2C" w14:paraId="554D37FF" w14:textId="77777777" w:rsidTr="00E032FC">
        <w:trPr>
          <w:trHeight w:val="308"/>
        </w:trPr>
        <w:tc>
          <w:tcPr>
            <w:tcW w:w="5245" w:type="dxa"/>
            <w:tcBorders>
              <w:top w:val="nil"/>
              <w:left w:val="nil"/>
              <w:bottom w:val="nil"/>
              <w:right w:val="nil"/>
            </w:tcBorders>
            <w:shd w:val="clear" w:color="auto" w:fill="auto"/>
            <w:vAlign w:val="center"/>
          </w:tcPr>
          <w:p w14:paraId="52ECA82E" w14:textId="77777777" w:rsidR="004E2F51" w:rsidRPr="004B4498" w:rsidRDefault="004E2F51" w:rsidP="00E032FC">
            <w:pPr>
              <w:jc w:val="right"/>
              <w:rPr>
                <w:rFonts w:ascii="Arial" w:eastAsia="Calibri" w:hAnsi="Arial" w:cs="Arial"/>
                <w:color w:val="000000" w:themeColor="text1"/>
                <w:sz w:val="20"/>
                <w:szCs w:val="20"/>
                <w:lang w:val="hr-HR"/>
              </w:rPr>
            </w:pPr>
          </w:p>
        </w:tc>
        <w:tc>
          <w:tcPr>
            <w:tcW w:w="1701" w:type="dxa"/>
            <w:tcBorders>
              <w:top w:val="single" w:sz="4" w:space="0" w:color="auto"/>
              <w:left w:val="nil"/>
              <w:right w:val="nil"/>
            </w:tcBorders>
            <w:shd w:val="clear" w:color="auto" w:fill="auto"/>
            <w:vAlign w:val="bottom"/>
          </w:tcPr>
          <w:p w14:paraId="5BFCBBFC" w14:textId="77777777" w:rsidR="004E2F51" w:rsidRPr="004B4498" w:rsidRDefault="004E2F51" w:rsidP="00E032FC">
            <w:pPr>
              <w:jc w:val="right"/>
              <w:rPr>
                <w:rFonts w:ascii="Arial" w:eastAsia="Calibri" w:hAnsi="Arial" w:cs="Arial"/>
                <w:b/>
                <w:bCs/>
                <w:color w:val="000000" w:themeColor="text1"/>
                <w:sz w:val="20"/>
                <w:szCs w:val="20"/>
                <w:lang w:val="hr-HR"/>
              </w:rPr>
            </w:pPr>
          </w:p>
        </w:tc>
        <w:tc>
          <w:tcPr>
            <w:tcW w:w="1701" w:type="dxa"/>
            <w:tcBorders>
              <w:top w:val="single" w:sz="4" w:space="0" w:color="auto"/>
              <w:left w:val="nil"/>
              <w:right w:val="nil"/>
            </w:tcBorders>
            <w:shd w:val="clear" w:color="auto" w:fill="auto"/>
            <w:vAlign w:val="bottom"/>
          </w:tcPr>
          <w:p w14:paraId="09C49322" w14:textId="77777777" w:rsidR="004E2F51" w:rsidRPr="004B4498" w:rsidRDefault="004E2F51" w:rsidP="00E032FC">
            <w:pPr>
              <w:jc w:val="right"/>
              <w:rPr>
                <w:rFonts w:ascii="Arial" w:eastAsia="Calibri" w:hAnsi="Arial" w:cs="Arial"/>
                <w:b/>
                <w:bCs/>
                <w:color w:val="000000" w:themeColor="text1"/>
                <w:sz w:val="20"/>
                <w:szCs w:val="20"/>
                <w:lang w:val="hr-HR"/>
              </w:rPr>
            </w:pPr>
          </w:p>
        </w:tc>
      </w:tr>
      <w:tr w:rsidR="004E2F51" w:rsidRPr="00BB3F2C" w14:paraId="41A8263D" w14:textId="77777777" w:rsidTr="00E032FC">
        <w:trPr>
          <w:trHeight w:val="308"/>
        </w:trPr>
        <w:tc>
          <w:tcPr>
            <w:tcW w:w="5245" w:type="dxa"/>
            <w:tcBorders>
              <w:top w:val="nil"/>
              <w:left w:val="nil"/>
              <w:bottom w:val="nil"/>
              <w:right w:val="nil"/>
            </w:tcBorders>
            <w:shd w:val="clear" w:color="auto" w:fill="auto"/>
            <w:vAlign w:val="center"/>
          </w:tcPr>
          <w:p w14:paraId="0E6A17C4" w14:textId="77777777" w:rsidR="004E2F51" w:rsidRPr="004B4498" w:rsidRDefault="004E2F51" w:rsidP="00E032FC">
            <w:pPr>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Derivativna financijska imovina – pozitivna fer vrijednost</w:t>
            </w:r>
          </w:p>
        </w:tc>
        <w:tc>
          <w:tcPr>
            <w:tcW w:w="1701" w:type="dxa"/>
            <w:tcBorders>
              <w:left w:val="nil"/>
              <w:bottom w:val="single" w:sz="12" w:space="0" w:color="auto"/>
              <w:right w:val="nil"/>
            </w:tcBorders>
            <w:shd w:val="clear" w:color="auto" w:fill="auto"/>
            <w:vAlign w:val="bottom"/>
          </w:tcPr>
          <w:p w14:paraId="171E83C9" w14:textId="77777777" w:rsidR="004E2F51" w:rsidRPr="004B4498" w:rsidRDefault="004E2F51" w:rsidP="00E032FC">
            <w:pPr>
              <w:jc w:val="right"/>
              <w:rPr>
                <w:rFonts w:ascii="Arial" w:eastAsia="Calibri" w:hAnsi="Arial" w:cs="Arial"/>
                <w:b/>
                <w:bCs/>
                <w:color w:val="000000" w:themeColor="text1"/>
                <w:sz w:val="20"/>
                <w:szCs w:val="20"/>
                <w:lang w:val="hr-HR"/>
              </w:rPr>
            </w:pPr>
            <w:r>
              <w:rPr>
                <w:rFonts w:ascii="Arial" w:eastAsia="Calibri" w:hAnsi="Arial" w:cs="Arial"/>
                <w:b/>
                <w:bCs/>
                <w:color w:val="000000" w:themeColor="text1"/>
                <w:sz w:val="20"/>
                <w:szCs w:val="20"/>
                <w:lang w:val="hr-HR"/>
              </w:rPr>
              <w:t>1.039</w:t>
            </w:r>
          </w:p>
        </w:tc>
        <w:tc>
          <w:tcPr>
            <w:tcW w:w="1701" w:type="dxa"/>
            <w:tcBorders>
              <w:left w:val="nil"/>
              <w:bottom w:val="single" w:sz="12" w:space="0" w:color="auto"/>
              <w:right w:val="nil"/>
            </w:tcBorders>
            <w:shd w:val="clear" w:color="auto" w:fill="auto"/>
            <w:vAlign w:val="bottom"/>
          </w:tcPr>
          <w:p w14:paraId="08B277BC" w14:textId="77777777" w:rsidR="004E2F51" w:rsidRPr="004B4498" w:rsidRDefault="004E2F51" w:rsidP="00E032FC">
            <w:pPr>
              <w:jc w:val="right"/>
              <w:rPr>
                <w:rFonts w:ascii="Arial" w:eastAsia="Calibri" w:hAnsi="Arial" w:cs="Arial"/>
                <w:b/>
                <w:bCs/>
                <w:color w:val="000000" w:themeColor="text1"/>
                <w:sz w:val="20"/>
                <w:szCs w:val="20"/>
                <w:lang w:val="hr-HR"/>
              </w:rPr>
            </w:pPr>
            <w:r w:rsidRPr="0046584E">
              <w:rPr>
                <w:rFonts w:ascii="Arial" w:eastAsia="Calibri" w:hAnsi="Arial" w:cs="Arial"/>
                <w:b/>
                <w:bCs/>
                <w:color w:val="000000" w:themeColor="text1"/>
                <w:sz w:val="20"/>
                <w:szCs w:val="20"/>
                <w:lang w:val="hr-HR"/>
              </w:rPr>
              <w:t>-</w:t>
            </w:r>
          </w:p>
        </w:tc>
      </w:tr>
      <w:tr w:rsidR="004E2F51" w:rsidRPr="00BB3F2C" w14:paraId="1F3E4B8C" w14:textId="77777777" w:rsidTr="00E032FC">
        <w:trPr>
          <w:trHeight w:val="234"/>
        </w:trPr>
        <w:tc>
          <w:tcPr>
            <w:tcW w:w="5245" w:type="dxa"/>
            <w:tcBorders>
              <w:top w:val="nil"/>
              <w:left w:val="nil"/>
              <w:bottom w:val="nil"/>
              <w:right w:val="nil"/>
            </w:tcBorders>
            <w:shd w:val="clear" w:color="auto" w:fill="auto"/>
            <w:vAlign w:val="center"/>
            <w:hideMark/>
          </w:tcPr>
          <w:p w14:paraId="6ACFBBD0" w14:textId="77777777" w:rsidR="004E2F51" w:rsidRPr="004B4498" w:rsidRDefault="004E2F51" w:rsidP="00E032FC">
            <w:pPr>
              <w:jc w:val="right"/>
              <w:rPr>
                <w:rFonts w:ascii="Arial" w:eastAsia="Calibri" w:hAnsi="Arial" w:cs="Arial"/>
                <w:color w:val="000000" w:themeColor="text1"/>
                <w:sz w:val="20"/>
                <w:szCs w:val="20"/>
                <w:lang w:val="hr-HR"/>
              </w:rPr>
            </w:pPr>
          </w:p>
        </w:tc>
        <w:tc>
          <w:tcPr>
            <w:tcW w:w="1701" w:type="dxa"/>
            <w:tcBorders>
              <w:top w:val="single" w:sz="12" w:space="0" w:color="auto"/>
              <w:left w:val="nil"/>
              <w:bottom w:val="single" w:sz="12" w:space="0" w:color="auto"/>
              <w:right w:val="nil"/>
            </w:tcBorders>
            <w:shd w:val="clear" w:color="auto" w:fill="auto"/>
            <w:vAlign w:val="bottom"/>
          </w:tcPr>
          <w:p w14:paraId="3E65099B" w14:textId="77777777" w:rsidR="004E2F51" w:rsidRPr="004B4498" w:rsidRDefault="004E2F51" w:rsidP="00E032FC">
            <w:pPr>
              <w:jc w:val="right"/>
              <w:rPr>
                <w:rFonts w:ascii="Arial" w:eastAsia="Calibri" w:hAnsi="Arial" w:cs="Arial"/>
                <w:b/>
                <w:bCs/>
                <w:color w:val="000000" w:themeColor="text1"/>
                <w:sz w:val="20"/>
                <w:szCs w:val="20"/>
                <w:lang w:val="hr-HR"/>
              </w:rPr>
            </w:pPr>
            <w:r>
              <w:rPr>
                <w:rFonts w:ascii="Arial" w:eastAsia="Calibri" w:hAnsi="Arial" w:cs="Arial"/>
                <w:b/>
                <w:bCs/>
                <w:color w:val="000000" w:themeColor="text1"/>
                <w:sz w:val="20"/>
                <w:szCs w:val="20"/>
                <w:lang w:val="hr-HR"/>
              </w:rPr>
              <w:t>131.523</w:t>
            </w:r>
          </w:p>
        </w:tc>
        <w:tc>
          <w:tcPr>
            <w:tcW w:w="1701" w:type="dxa"/>
            <w:tcBorders>
              <w:top w:val="single" w:sz="12" w:space="0" w:color="auto"/>
              <w:left w:val="nil"/>
              <w:bottom w:val="single" w:sz="12" w:space="0" w:color="auto"/>
              <w:right w:val="nil"/>
            </w:tcBorders>
            <w:shd w:val="clear" w:color="auto" w:fill="auto"/>
            <w:vAlign w:val="bottom"/>
          </w:tcPr>
          <w:p w14:paraId="452E60A4" w14:textId="77777777" w:rsidR="004E2F51" w:rsidRPr="004B4498" w:rsidRDefault="004E2F51" w:rsidP="00E032FC">
            <w:pPr>
              <w:jc w:val="right"/>
              <w:rPr>
                <w:rFonts w:ascii="Arial" w:eastAsia="Calibri" w:hAnsi="Arial" w:cs="Arial"/>
                <w:b/>
                <w:bCs/>
                <w:color w:val="000000" w:themeColor="text1"/>
                <w:sz w:val="20"/>
                <w:szCs w:val="20"/>
                <w:lang w:val="hr-HR"/>
              </w:rPr>
            </w:pPr>
            <w:r w:rsidRPr="0046584E">
              <w:rPr>
                <w:rFonts w:ascii="Arial" w:eastAsia="Calibri" w:hAnsi="Arial" w:cs="Arial"/>
                <w:b/>
                <w:bCs/>
                <w:color w:val="000000" w:themeColor="text1"/>
                <w:sz w:val="20"/>
                <w:szCs w:val="20"/>
                <w:lang w:val="hr-HR"/>
              </w:rPr>
              <w:t>218.984</w:t>
            </w:r>
          </w:p>
        </w:tc>
      </w:tr>
    </w:tbl>
    <w:p w14:paraId="33E4F6C7" w14:textId="77777777" w:rsidR="004E2F51" w:rsidRPr="004B4498" w:rsidRDefault="004E2F51" w:rsidP="004E2F51">
      <w:pPr>
        <w:pStyle w:val="T1"/>
        <w:keepNext w:val="0"/>
        <w:spacing w:before="0" w:after="0" w:line="240" w:lineRule="auto"/>
        <w:rPr>
          <w:rFonts w:cs="Arial"/>
          <w:color w:val="000000" w:themeColor="text1"/>
          <w:sz w:val="20"/>
          <w:lang w:val="hr-HR"/>
        </w:rPr>
      </w:pPr>
    </w:p>
    <w:p w14:paraId="71DBFD9E" w14:textId="77777777" w:rsidR="004E2F51" w:rsidRPr="004B4498" w:rsidRDefault="004E2F51" w:rsidP="004E2F51">
      <w:pPr>
        <w:tabs>
          <w:tab w:val="left" w:pos="-720"/>
        </w:tabs>
        <w:jc w:val="both"/>
        <w:rPr>
          <w:rFonts w:ascii="Arial" w:eastAsia="Calibri" w:hAnsi="Arial" w:cs="Arial"/>
          <w:spacing w:val="-3"/>
          <w:sz w:val="20"/>
          <w:szCs w:val="20"/>
          <w:lang w:val="hr-HR"/>
        </w:rPr>
      </w:pPr>
      <w:r w:rsidRPr="004B4498">
        <w:rPr>
          <w:rFonts w:ascii="Arial" w:eastAsia="Calibri" w:hAnsi="Arial" w:cs="Arial"/>
          <w:spacing w:val="-3"/>
          <w:sz w:val="20"/>
          <w:szCs w:val="20"/>
          <w:lang w:val="hr-HR"/>
        </w:rPr>
        <w:t xml:space="preserve">Dionice trgovačkih društava koje ne kotiraju u iznosu od </w:t>
      </w:r>
      <w:r w:rsidRPr="001248EB">
        <w:rPr>
          <w:rFonts w:ascii="Arial" w:eastAsia="Calibri" w:hAnsi="Arial" w:cs="Arial"/>
          <w:spacing w:val="-3"/>
          <w:sz w:val="20"/>
          <w:szCs w:val="20"/>
          <w:lang w:val="hr-HR"/>
        </w:rPr>
        <w:t>31</w:t>
      </w:r>
      <w:r w:rsidRPr="004B4498">
        <w:rPr>
          <w:rFonts w:ascii="Arial" w:eastAsia="Calibri" w:hAnsi="Arial" w:cs="Arial"/>
          <w:spacing w:val="-3"/>
          <w:sz w:val="20"/>
          <w:szCs w:val="20"/>
          <w:lang w:val="hr-HR"/>
        </w:rPr>
        <w:t xml:space="preserve"> tisuća kuna (31. prosinca 202</w:t>
      </w:r>
      <w:r>
        <w:rPr>
          <w:rFonts w:ascii="Arial" w:eastAsia="Calibri" w:hAnsi="Arial" w:cs="Arial"/>
          <w:spacing w:val="-3"/>
          <w:sz w:val="20"/>
          <w:szCs w:val="20"/>
          <w:lang w:val="hr-HR"/>
        </w:rPr>
        <w:t>1</w:t>
      </w:r>
      <w:r w:rsidRPr="004B4498">
        <w:rPr>
          <w:rFonts w:ascii="Arial" w:eastAsia="Calibri" w:hAnsi="Arial" w:cs="Arial"/>
          <w:spacing w:val="-3"/>
          <w:sz w:val="20"/>
          <w:szCs w:val="20"/>
          <w:lang w:val="hr-HR"/>
        </w:rPr>
        <w:t>.: 31 tisuća kuna)  (udjel od 0,03%) odnose se na dionice društva Helios Faros d.d., u stečaju, koje je HBOR stekao u zamjenu za dio potraživanja prihvaćanjem stečajnog plana trgovačkog društva.</w:t>
      </w:r>
    </w:p>
    <w:p w14:paraId="1F9D81A0" w14:textId="77777777" w:rsidR="004E2F51" w:rsidRPr="004B4498" w:rsidRDefault="004E2F51" w:rsidP="004E2F51">
      <w:pPr>
        <w:tabs>
          <w:tab w:val="left" w:pos="-720"/>
        </w:tabs>
        <w:jc w:val="both"/>
        <w:rPr>
          <w:rFonts w:ascii="Arial" w:hAnsi="Arial" w:cs="Arial"/>
          <w:b/>
          <w:color w:val="000000" w:themeColor="text1"/>
          <w:sz w:val="20"/>
          <w:szCs w:val="20"/>
          <w:highlight w:val="yellow"/>
          <w:lang w:val="hr-HR"/>
        </w:rPr>
      </w:pPr>
    </w:p>
    <w:p w14:paraId="788287E6" w14:textId="77777777" w:rsidR="004E2F51" w:rsidRPr="004B4498" w:rsidRDefault="004E2F51" w:rsidP="004E2F51">
      <w:pPr>
        <w:jc w:val="both"/>
        <w:rPr>
          <w:rFonts w:ascii="Arial" w:hAnsi="Arial" w:cs="Arial"/>
          <w:sz w:val="20"/>
          <w:szCs w:val="20"/>
          <w:lang w:val="hr-HR"/>
        </w:rPr>
      </w:pPr>
      <w:r w:rsidRPr="004B4498">
        <w:rPr>
          <w:rFonts w:ascii="Arial" w:eastAsia="Calibri" w:hAnsi="Arial" w:cs="Arial"/>
          <w:spacing w:val="-3"/>
          <w:sz w:val="20"/>
          <w:szCs w:val="20"/>
          <w:lang w:val="hr-HR"/>
        </w:rPr>
        <w:t xml:space="preserve">Vlasnički papiri koji ne kotiraju u iznosu od </w:t>
      </w:r>
      <w:r w:rsidRPr="001248EB">
        <w:rPr>
          <w:rFonts w:ascii="Arial" w:eastAsia="Calibri" w:hAnsi="Arial" w:cs="Arial"/>
          <w:spacing w:val="-3"/>
          <w:sz w:val="20"/>
          <w:szCs w:val="20"/>
          <w:lang w:val="hr-HR"/>
        </w:rPr>
        <w:t>319</w:t>
      </w:r>
      <w:r w:rsidRPr="004B4498">
        <w:rPr>
          <w:rFonts w:ascii="Arial" w:eastAsia="Calibri" w:hAnsi="Arial" w:cs="Arial"/>
          <w:spacing w:val="-3"/>
          <w:sz w:val="20"/>
          <w:szCs w:val="20"/>
          <w:lang w:val="hr-HR"/>
        </w:rPr>
        <w:t xml:space="preserve"> tisuća kuna (31. prosinca 202</w:t>
      </w:r>
      <w:r>
        <w:rPr>
          <w:rFonts w:ascii="Arial" w:eastAsia="Calibri" w:hAnsi="Arial" w:cs="Arial"/>
          <w:spacing w:val="-3"/>
          <w:sz w:val="20"/>
          <w:szCs w:val="20"/>
          <w:lang w:val="hr-HR"/>
        </w:rPr>
        <w:t>1</w:t>
      </w:r>
      <w:r w:rsidRPr="004B4498">
        <w:rPr>
          <w:rFonts w:ascii="Arial" w:eastAsia="Calibri" w:hAnsi="Arial" w:cs="Arial"/>
          <w:spacing w:val="-3"/>
          <w:sz w:val="20"/>
          <w:szCs w:val="20"/>
          <w:lang w:val="hr-HR"/>
        </w:rPr>
        <w:t>.: 31</w:t>
      </w:r>
      <w:r>
        <w:rPr>
          <w:rFonts w:ascii="Arial" w:eastAsia="Calibri" w:hAnsi="Arial" w:cs="Arial"/>
          <w:spacing w:val="-3"/>
          <w:sz w:val="20"/>
          <w:szCs w:val="20"/>
          <w:lang w:val="hr-HR"/>
        </w:rPr>
        <w:t>8</w:t>
      </w:r>
      <w:r w:rsidRPr="004B4498">
        <w:rPr>
          <w:rFonts w:ascii="Arial" w:eastAsia="Calibri" w:hAnsi="Arial" w:cs="Arial"/>
          <w:spacing w:val="-3"/>
          <w:sz w:val="20"/>
          <w:szCs w:val="20"/>
          <w:lang w:val="hr-HR"/>
        </w:rPr>
        <w:t xml:space="preserve"> tisuća kuna) odnose se na depozitarne potvrde o vlasništvu (engl. depository receipt – DR) </w:t>
      </w:r>
      <w:r w:rsidRPr="004B4498">
        <w:rPr>
          <w:rFonts w:ascii="Arial" w:hAnsi="Arial" w:cs="Arial"/>
          <w:sz w:val="20"/>
          <w:szCs w:val="20"/>
          <w:lang w:val="hr-HR"/>
        </w:rPr>
        <w:t>Fortenova Group Stak Stichting preuzete Nagodbom u Postupku izvanredne uprave nad Agrokor d.d. i dr.</w:t>
      </w:r>
    </w:p>
    <w:p w14:paraId="42A48C46" w14:textId="77777777" w:rsidR="004E2F51" w:rsidRPr="004B4498" w:rsidRDefault="004E2F51" w:rsidP="004E2F51">
      <w:pPr>
        <w:tabs>
          <w:tab w:val="left" w:pos="-720"/>
        </w:tabs>
        <w:jc w:val="both"/>
        <w:rPr>
          <w:rFonts w:ascii="Arial" w:hAnsi="Arial" w:cs="Arial"/>
          <w:color w:val="000000" w:themeColor="text1"/>
          <w:sz w:val="20"/>
          <w:szCs w:val="20"/>
          <w:highlight w:val="yellow"/>
          <w:lang w:val="hr-HR"/>
        </w:rPr>
      </w:pPr>
    </w:p>
    <w:p w14:paraId="3DA62DE0"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Na dan 31. prosinca 202</w:t>
      </w:r>
      <w:r>
        <w:rPr>
          <w:rFonts w:cs="Arial"/>
          <w:b w:val="0"/>
          <w:bCs w:val="0"/>
          <w:color w:val="000000" w:themeColor="text1"/>
          <w:sz w:val="20"/>
          <w:lang w:val="hr-HR"/>
        </w:rPr>
        <w:t>2</w:t>
      </w:r>
      <w:r w:rsidRPr="004B4498">
        <w:rPr>
          <w:rFonts w:cs="Arial"/>
          <w:b w:val="0"/>
          <w:bCs w:val="0"/>
          <w:color w:val="000000" w:themeColor="text1"/>
          <w:sz w:val="20"/>
          <w:lang w:val="hr-HR"/>
        </w:rPr>
        <w:t xml:space="preserve">. iskazana je pozitivna fer vrijednost derivativnih financijskih instrumenata u visini od </w:t>
      </w:r>
      <w:r>
        <w:rPr>
          <w:rFonts w:cs="Arial"/>
          <w:b w:val="0"/>
          <w:bCs w:val="0"/>
          <w:color w:val="000000" w:themeColor="text1"/>
          <w:sz w:val="20"/>
          <w:lang w:val="hr-HR"/>
        </w:rPr>
        <w:t>1</w:t>
      </w:r>
      <w:r w:rsidRPr="001248EB">
        <w:rPr>
          <w:rFonts w:cs="Arial"/>
          <w:b w:val="0"/>
          <w:bCs w:val="0"/>
          <w:color w:val="000000" w:themeColor="text1"/>
          <w:sz w:val="20"/>
          <w:lang w:val="hr-HR"/>
        </w:rPr>
        <w:t>.039</w:t>
      </w:r>
      <w:r w:rsidRPr="004B4498">
        <w:rPr>
          <w:rFonts w:cs="Arial"/>
          <w:b w:val="0"/>
          <w:bCs w:val="0"/>
          <w:color w:val="000000" w:themeColor="text1"/>
          <w:sz w:val="20"/>
          <w:lang w:val="hr-HR"/>
        </w:rPr>
        <w:t xml:space="preserve"> tisuća kuna (31. prosinca 202</w:t>
      </w:r>
      <w:r>
        <w:rPr>
          <w:rFonts w:cs="Arial"/>
          <w:b w:val="0"/>
          <w:bCs w:val="0"/>
          <w:color w:val="000000" w:themeColor="text1"/>
          <w:sz w:val="20"/>
          <w:lang w:val="hr-HR"/>
        </w:rPr>
        <w:t>1</w:t>
      </w:r>
      <w:r w:rsidRPr="004B4498">
        <w:rPr>
          <w:rFonts w:cs="Arial"/>
          <w:b w:val="0"/>
          <w:bCs w:val="0"/>
          <w:color w:val="000000" w:themeColor="text1"/>
          <w:sz w:val="20"/>
          <w:lang w:val="hr-HR"/>
        </w:rPr>
        <w:t xml:space="preserve">.: </w:t>
      </w:r>
      <w:r>
        <w:rPr>
          <w:rFonts w:cs="Arial"/>
          <w:b w:val="0"/>
          <w:bCs w:val="0"/>
          <w:color w:val="000000" w:themeColor="text1"/>
          <w:sz w:val="20"/>
          <w:lang w:val="hr-HR"/>
        </w:rPr>
        <w:t>0</w:t>
      </w:r>
      <w:r w:rsidRPr="004B4498">
        <w:rPr>
          <w:rFonts w:cs="Arial"/>
          <w:b w:val="0"/>
          <w:bCs w:val="0"/>
          <w:color w:val="000000" w:themeColor="text1"/>
          <w:sz w:val="20"/>
          <w:lang w:val="hr-HR"/>
        </w:rPr>
        <w:t xml:space="preserve"> tisuća kuna).</w:t>
      </w:r>
    </w:p>
    <w:p w14:paraId="2B3AB90D" w14:textId="77777777" w:rsidR="004E2F51" w:rsidRPr="00B91D09" w:rsidRDefault="004E2F51" w:rsidP="004E2F51">
      <w:pPr>
        <w:pStyle w:val="T1"/>
        <w:keepNext w:val="0"/>
        <w:rPr>
          <w:rFonts w:cs="Arial"/>
          <w:color w:val="000000" w:themeColor="text1"/>
          <w:sz w:val="22"/>
          <w:szCs w:val="22"/>
          <w:lang w:val="hr-HR"/>
        </w:rPr>
        <w:sectPr w:rsidR="004E2F51" w:rsidRPr="00B91D09" w:rsidSect="00623DBA">
          <w:footerReference w:type="default" r:id="rId129"/>
          <w:pgSz w:w="11907" w:h="16840" w:code="9"/>
          <w:pgMar w:top="1418" w:right="1134" w:bottom="1134" w:left="1418" w:header="851" w:footer="851" w:gutter="0"/>
          <w:cols w:space="720"/>
          <w:noEndnote/>
        </w:sectPr>
      </w:pPr>
    </w:p>
    <w:p w14:paraId="06D9F6ED" w14:textId="77777777" w:rsidR="004E2F51" w:rsidRPr="00B91D09" w:rsidRDefault="004E2F51" w:rsidP="004E2F51">
      <w:pPr>
        <w:pStyle w:val="T1"/>
        <w:keepNext w:val="0"/>
        <w:spacing w:before="0" w:after="0" w:line="240" w:lineRule="auto"/>
        <w:rPr>
          <w:rFonts w:cs="Arial"/>
          <w:color w:val="000000" w:themeColor="text1"/>
          <w:sz w:val="22"/>
          <w:szCs w:val="22"/>
          <w:lang w:val="hr-HR"/>
        </w:rPr>
      </w:pPr>
    </w:p>
    <w:p w14:paraId="72E29559"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17.</w:t>
      </w:r>
      <w:r w:rsidRPr="004B4498">
        <w:rPr>
          <w:rFonts w:cs="Arial"/>
          <w:color w:val="000000" w:themeColor="text1"/>
          <w:sz w:val="20"/>
          <w:lang w:val="hr-HR"/>
        </w:rPr>
        <w:tab/>
        <w:t>Financijska imovina po fer vrijednosti kroz ostalu sveobuhvatnu dobit</w:t>
      </w:r>
      <w:r w:rsidRPr="004B4498">
        <w:rPr>
          <w:rFonts w:cs="Arial"/>
          <w:color w:val="000000" w:themeColor="text1"/>
          <w:sz w:val="20"/>
          <w:lang w:val="hr-HR"/>
        </w:rPr>
        <w:tab/>
      </w:r>
      <w:r w:rsidRPr="004B4498">
        <w:rPr>
          <w:rFonts w:cs="Arial"/>
          <w:color w:val="000000" w:themeColor="text1"/>
          <w:sz w:val="20"/>
          <w:lang w:val="hr-HR"/>
        </w:rPr>
        <w:tab/>
      </w:r>
      <w:r w:rsidRPr="004B4498">
        <w:rPr>
          <w:rFonts w:cs="Arial"/>
          <w:color w:val="000000" w:themeColor="text1"/>
          <w:sz w:val="20"/>
          <w:lang w:val="hr-HR"/>
        </w:rPr>
        <w:tab/>
      </w:r>
      <w:r w:rsidRPr="004B4498">
        <w:rPr>
          <w:rFonts w:cs="Arial"/>
          <w:color w:val="000000" w:themeColor="text1"/>
          <w:sz w:val="20"/>
          <w:lang w:val="hr-HR"/>
        </w:rPr>
        <w:tab/>
      </w:r>
    </w:p>
    <w:tbl>
      <w:tblPr>
        <w:tblW w:w="9582" w:type="dxa"/>
        <w:tblLook w:val="04A0" w:firstRow="1" w:lastRow="0" w:firstColumn="1" w:lastColumn="0" w:noHBand="0" w:noVBand="1"/>
      </w:tblPr>
      <w:tblGrid>
        <w:gridCol w:w="3912"/>
        <w:gridCol w:w="1417"/>
        <w:gridCol w:w="1418"/>
        <w:gridCol w:w="1417"/>
        <w:gridCol w:w="1418"/>
      </w:tblGrid>
      <w:tr w:rsidR="004E2F51" w:rsidRPr="00BB3F2C" w14:paraId="33C55471" w14:textId="77777777" w:rsidTr="00020AA3">
        <w:trPr>
          <w:trHeight w:val="281"/>
        </w:trPr>
        <w:tc>
          <w:tcPr>
            <w:tcW w:w="3912" w:type="dxa"/>
            <w:tcBorders>
              <w:top w:val="nil"/>
              <w:left w:val="nil"/>
              <w:bottom w:val="nil"/>
              <w:right w:val="nil"/>
            </w:tcBorders>
            <w:shd w:val="clear" w:color="auto" w:fill="auto"/>
            <w:vAlign w:val="center"/>
            <w:hideMark/>
          </w:tcPr>
          <w:p w14:paraId="79885A75" w14:textId="77777777" w:rsidR="004E2F51" w:rsidRPr="00BB3F2C" w:rsidRDefault="004E2F51" w:rsidP="00E032FC">
            <w:pPr>
              <w:rPr>
                <w:rFonts w:ascii="Arial" w:eastAsia="Calibri" w:hAnsi="Arial" w:cs="Arial"/>
                <w:color w:val="000000" w:themeColor="text1"/>
                <w:sz w:val="20"/>
                <w:szCs w:val="20"/>
                <w:lang w:val="hr-HR"/>
              </w:rPr>
            </w:pPr>
          </w:p>
        </w:tc>
        <w:tc>
          <w:tcPr>
            <w:tcW w:w="2835" w:type="dxa"/>
            <w:gridSpan w:val="2"/>
            <w:tcBorders>
              <w:top w:val="nil"/>
              <w:left w:val="nil"/>
              <w:bottom w:val="nil"/>
              <w:right w:val="nil"/>
            </w:tcBorders>
            <w:shd w:val="clear" w:color="auto" w:fill="auto"/>
            <w:vAlign w:val="center"/>
            <w:hideMark/>
          </w:tcPr>
          <w:p w14:paraId="7F0346B1" w14:textId="77777777" w:rsidR="004E2F51" w:rsidRPr="00BB3F2C" w:rsidRDefault="004E2F51" w:rsidP="00E032F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Grupa</w:t>
            </w:r>
          </w:p>
        </w:tc>
        <w:tc>
          <w:tcPr>
            <w:tcW w:w="2835" w:type="dxa"/>
            <w:gridSpan w:val="2"/>
            <w:tcBorders>
              <w:top w:val="nil"/>
              <w:left w:val="nil"/>
              <w:bottom w:val="nil"/>
              <w:right w:val="nil"/>
            </w:tcBorders>
            <w:shd w:val="clear" w:color="auto" w:fill="auto"/>
            <w:vAlign w:val="center"/>
            <w:hideMark/>
          </w:tcPr>
          <w:p w14:paraId="3BBBEECF" w14:textId="77777777" w:rsidR="004E2F51" w:rsidRPr="00BB3F2C" w:rsidRDefault="004E2F51" w:rsidP="00E032F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Banka</w:t>
            </w:r>
          </w:p>
        </w:tc>
      </w:tr>
      <w:tr w:rsidR="004E2F51" w:rsidRPr="00BB3F2C" w14:paraId="5CBF54DB" w14:textId="77777777" w:rsidTr="00020AA3">
        <w:trPr>
          <w:trHeight w:val="281"/>
        </w:trPr>
        <w:tc>
          <w:tcPr>
            <w:tcW w:w="3912" w:type="dxa"/>
            <w:tcBorders>
              <w:top w:val="nil"/>
              <w:left w:val="nil"/>
              <w:bottom w:val="nil"/>
              <w:right w:val="nil"/>
            </w:tcBorders>
            <w:shd w:val="clear" w:color="auto" w:fill="auto"/>
            <w:vAlign w:val="center"/>
            <w:hideMark/>
          </w:tcPr>
          <w:p w14:paraId="34453357" w14:textId="77777777" w:rsidR="004E2F51" w:rsidRPr="00BB3F2C" w:rsidRDefault="004E2F51" w:rsidP="00E032FC">
            <w:pPr>
              <w:jc w:val="right"/>
              <w:rPr>
                <w:rFonts w:ascii="Arial" w:eastAsia="Calibri" w:hAnsi="Arial" w:cs="Arial"/>
                <w:b/>
                <w:bCs/>
                <w:color w:val="000000" w:themeColor="text1"/>
                <w:sz w:val="20"/>
                <w:szCs w:val="20"/>
                <w:lang w:val="hr-HR"/>
              </w:rPr>
            </w:pPr>
          </w:p>
        </w:tc>
        <w:tc>
          <w:tcPr>
            <w:tcW w:w="1417" w:type="dxa"/>
            <w:tcBorders>
              <w:top w:val="nil"/>
              <w:left w:val="nil"/>
              <w:bottom w:val="nil"/>
              <w:right w:val="nil"/>
            </w:tcBorders>
            <w:shd w:val="clear" w:color="auto" w:fill="auto"/>
            <w:vAlign w:val="center"/>
            <w:hideMark/>
          </w:tcPr>
          <w:p w14:paraId="5DCF6499" w14:textId="77777777" w:rsidR="004E2F51" w:rsidRPr="00BB3F2C" w:rsidRDefault="004E2F51" w:rsidP="00E032F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31. prosinca 202</w:t>
            </w:r>
            <w:r>
              <w:rPr>
                <w:rFonts w:ascii="Arial" w:eastAsia="Calibri" w:hAnsi="Arial" w:cs="Arial"/>
                <w:b/>
                <w:bCs/>
                <w:color w:val="000000" w:themeColor="text1"/>
                <w:sz w:val="20"/>
                <w:szCs w:val="20"/>
                <w:lang w:val="hr-HR"/>
              </w:rPr>
              <w:t>2</w:t>
            </w:r>
            <w:r w:rsidRPr="00BB3F2C">
              <w:rPr>
                <w:rFonts w:ascii="Arial" w:eastAsia="Calibri" w:hAnsi="Arial" w:cs="Arial"/>
                <w:b/>
                <w:bCs/>
                <w:color w:val="000000" w:themeColor="text1"/>
                <w:sz w:val="20"/>
                <w:szCs w:val="20"/>
                <w:lang w:val="hr-HR"/>
              </w:rPr>
              <w:t>.</w:t>
            </w:r>
          </w:p>
        </w:tc>
        <w:tc>
          <w:tcPr>
            <w:tcW w:w="1417" w:type="dxa"/>
            <w:tcBorders>
              <w:top w:val="nil"/>
              <w:left w:val="nil"/>
              <w:bottom w:val="nil"/>
              <w:right w:val="nil"/>
            </w:tcBorders>
            <w:shd w:val="clear" w:color="auto" w:fill="auto"/>
            <w:vAlign w:val="center"/>
            <w:hideMark/>
          </w:tcPr>
          <w:p w14:paraId="7853332C" w14:textId="77777777" w:rsidR="004E2F51" w:rsidRPr="00BB3F2C" w:rsidRDefault="004E2F51" w:rsidP="00E032F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31. prosinca 202</w:t>
            </w:r>
            <w:r>
              <w:rPr>
                <w:rFonts w:ascii="Arial" w:eastAsia="Calibri" w:hAnsi="Arial" w:cs="Arial"/>
                <w:b/>
                <w:bCs/>
                <w:color w:val="000000" w:themeColor="text1"/>
                <w:sz w:val="20"/>
                <w:szCs w:val="20"/>
                <w:lang w:val="hr-HR"/>
              </w:rPr>
              <w:t>1</w:t>
            </w:r>
            <w:r w:rsidRPr="00BB3F2C">
              <w:rPr>
                <w:rFonts w:ascii="Arial" w:eastAsia="Calibri" w:hAnsi="Arial" w:cs="Arial"/>
                <w:b/>
                <w:bCs/>
                <w:color w:val="000000" w:themeColor="text1"/>
                <w:sz w:val="20"/>
                <w:szCs w:val="20"/>
                <w:lang w:val="hr-HR"/>
              </w:rPr>
              <w:t>.</w:t>
            </w:r>
          </w:p>
        </w:tc>
        <w:tc>
          <w:tcPr>
            <w:tcW w:w="1417" w:type="dxa"/>
            <w:tcBorders>
              <w:top w:val="nil"/>
              <w:left w:val="nil"/>
              <w:bottom w:val="nil"/>
              <w:right w:val="nil"/>
            </w:tcBorders>
            <w:shd w:val="clear" w:color="auto" w:fill="auto"/>
            <w:vAlign w:val="center"/>
            <w:hideMark/>
          </w:tcPr>
          <w:p w14:paraId="2ADF06E9" w14:textId="77777777" w:rsidR="004E2F51" w:rsidRPr="00BB3F2C" w:rsidRDefault="004E2F51" w:rsidP="00E032F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31. prosinca 202</w:t>
            </w:r>
            <w:r>
              <w:rPr>
                <w:rFonts w:ascii="Arial" w:eastAsia="Calibri" w:hAnsi="Arial" w:cs="Arial"/>
                <w:b/>
                <w:bCs/>
                <w:color w:val="000000" w:themeColor="text1"/>
                <w:sz w:val="20"/>
                <w:szCs w:val="20"/>
                <w:lang w:val="hr-HR"/>
              </w:rPr>
              <w:t>2</w:t>
            </w:r>
            <w:r w:rsidRPr="00BB3F2C">
              <w:rPr>
                <w:rFonts w:ascii="Arial" w:eastAsia="Calibri" w:hAnsi="Arial" w:cs="Arial"/>
                <w:b/>
                <w:bCs/>
                <w:color w:val="000000" w:themeColor="text1"/>
                <w:sz w:val="20"/>
                <w:szCs w:val="20"/>
                <w:lang w:val="hr-HR"/>
              </w:rPr>
              <w:t>.</w:t>
            </w:r>
          </w:p>
        </w:tc>
        <w:tc>
          <w:tcPr>
            <w:tcW w:w="1417" w:type="dxa"/>
            <w:tcBorders>
              <w:top w:val="nil"/>
              <w:left w:val="nil"/>
              <w:bottom w:val="nil"/>
              <w:right w:val="nil"/>
            </w:tcBorders>
            <w:shd w:val="clear" w:color="auto" w:fill="auto"/>
            <w:vAlign w:val="center"/>
            <w:hideMark/>
          </w:tcPr>
          <w:p w14:paraId="4918F016" w14:textId="77777777" w:rsidR="004E2F51" w:rsidRPr="00BB3F2C" w:rsidRDefault="004E2F51" w:rsidP="00E032F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31. prosinca 202</w:t>
            </w:r>
            <w:r>
              <w:rPr>
                <w:rFonts w:ascii="Arial" w:eastAsia="Calibri" w:hAnsi="Arial" w:cs="Arial"/>
                <w:b/>
                <w:bCs/>
                <w:color w:val="000000" w:themeColor="text1"/>
                <w:sz w:val="20"/>
                <w:szCs w:val="20"/>
                <w:lang w:val="hr-HR"/>
              </w:rPr>
              <w:t>1</w:t>
            </w:r>
            <w:r w:rsidRPr="00BB3F2C">
              <w:rPr>
                <w:rFonts w:ascii="Arial" w:eastAsia="Calibri" w:hAnsi="Arial" w:cs="Arial"/>
                <w:b/>
                <w:bCs/>
                <w:color w:val="000000" w:themeColor="text1"/>
                <w:sz w:val="20"/>
                <w:szCs w:val="20"/>
                <w:lang w:val="hr-HR"/>
              </w:rPr>
              <w:t>.</w:t>
            </w:r>
          </w:p>
        </w:tc>
      </w:tr>
      <w:tr w:rsidR="004E2F51" w:rsidRPr="00BB3F2C" w14:paraId="43DAB80A" w14:textId="77777777" w:rsidTr="00020AA3">
        <w:trPr>
          <w:trHeight w:val="281"/>
        </w:trPr>
        <w:tc>
          <w:tcPr>
            <w:tcW w:w="3912" w:type="dxa"/>
            <w:tcBorders>
              <w:top w:val="nil"/>
              <w:left w:val="nil"/>
              <w:bottom w:val="nil"/>
              <w:right w:val="nil"/>
            </w:tcBorders>
            <w:shd w:val="clear" w:color="auto" w:fill="auto"/>
            <w:vAlign w:val="center"/>
            <w:hideMark/>
          </w:tcPr>
          <w:p w14:paraId="33273FBC" w14:textId="77777777" w:rsidR="004E2F51" w:rsidRPr="00BB3F2C" w:rsidRDefault="004E2F51" w:rsidP="00E032FC">
            <w:pPr>
              <w:jc w:val="right"/>
              <w:rPr>
                <w:rFonts w:ascii="Arial" w:eastAsia="Calibri" w:hAnsi="Arial" w:cs="Arial"/>
                <w:b/>
                <w:bCs/>
                <w:color w:val="000000" w:themeColor="text1"/>
                <w:sz w:val="20"/>
                <w:szCs w:val="20"/>
                <w:lang w:val="hr-HR"/>
              </w:rPr>
            </w:pPr>
          </w:p>
        </w:tc>
        <w:tc>
          <w:tcPr>
            <w:tcW w:w="1417" w:type="dxa"/>
            <w:tcBorders>
              <w:top w:val="nil"/>
              <w:left w:val="nil"/>
              <w:bottom w:val="nil"/>
              <w:right w:val="nil"/>
            </w:tcBorders>
            <w:shd w:val="clear" w:color="auto" w:fill="auto"/>
            <w:vAlign w:val="center"/>
            <w:hideMark/>
          </w:tcPr>
          <w:p w14:paraId="03C4D18A" w14:textId="77777777" w:rsidR="004E2F51" w:rsidRPr="00BB3F2C" w:rsidRDefault="004E2F51" w:rsidP="00E032F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000 kuna</w:t>
            </w:r>
          </w:p>
        </w:tc>
        <w:tc>
          <w:tcPr>
            <w:tcW w:w="1417" w:type="dxa"/>
            <w:tcBorders>
              <w:top w:val="nil"/>
              <w:left w:val="nil"/>
              <w:bottom w:val="nil"/>
              <w:right w:val="nil"/>
            </w:tcBorders>
            <w:shd w:val="clear" w:color="auto" w:fill="auto"/>
            <w:vAlign w:val="center"/>
            <w:hideMark/>
          </w:tcPr>
          <w:p w14:paraId="30A73E20" w14:textId="77777777" w:rsidR="004E2F51" w:rsidRPr="00BB3F2C" w:rsidRDefault="004E2F51" w:rsidP="00E032F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000 kuna</w:t>
            </w:r>
          </w:p>
        </w:tc>
        <w:tc>
          <w:tcPr>
            <w:tcW w:w="1417" w:type="dxa"/>
            <w:tcBorders>
              <w:top w:val="nil"/>
              <w:left w:val="nil"/>
              <w:bottom w:val="nil"/>
              <w:right w:val="nil"/>
            </w:tcBorders>
            <w:shd w:val="clear" w:color="auto" w:fill="auto"/>
            <w:vAlign w:val="center"/>
            <w:hideMark/>
          </w:tcPr>
          <w:p w14:paraId="1B0724CC" w14:textId="77777777" w:rsidR="004E2F51" w:rsidRPr="00BB3F2C" w:rsidRDefault="004E2F51" w:rsidP="00E032F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000 kuna</w:t>
            </w:r>
          </w:p>
        </w:tc>
        <w:tc>
          <w:tcPr>
            <w:tcW w:w="1417" w:type="dxa"/>
            <w:tcBorders>
              <w:top w:val="nil"/>
              <w:left w:val="nil"/>
              <w:bottom w:val="nil"/>
              <w:right w:val="nil"/>
            </w:tcBorders>
            <w:shd w:val="clear" w:color="auto" w:fill="auto"/>
            <w:vAlign w:val="center"/>
            <w:hideMark/>
          </w:tcPr>
          <w:p w14:paraId="7C1B7169" w14:textId="77777777" w:rsidR="004E2F51" w:rsidRPr="00BB3F2C" w:rsidRDefault="004E2F51" w:rsidP="00E032F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000 kuna</w:t>
            </w:r>
          </w:p>
        </w:tc>
      </w:tr>
      <w:tr w:rsidR="004E2F51" w:rsidRPr="00BB3F2C" w14:paraId="074C9E43" w14:textId="77777777" w:rsidTr="00020AA3">
        <w:trPr>
          <w:trHeight w:val="281"/>
        </w:trPr>
        <w:tc>
          <w:tcPr>
            <w:tcW w:w="3912" w:type="dxa"/>
            <w:tcBorders>
              <w:top w:val="nil"/>
              <w:left w:val="nil"/>
              <w:bottom w:val="nil"/>
              <w:right w:val="nil"/>
            </w:tcBorders>
            <w:shd w:val="clear" w:color="auto" w:fill="auto"/>
            <w:vAlign w:val="center"/>
            <w:hideMark/>
          </w:tcPr>
          <w:p w14:paraId="38D32AE1" w14:textId="77777777" w:rsidR="004E2F51" w:rsidRPr="00BB3F2C" w:rsidRDefault="004E2F51" w:rsidP="00E032FC">
            <w:pPr>
              <w:rPr>
                <w:rFonts w:ascii="Arial" w:eastAsia="Calibri" w:hAnsi="Arial" w:cs="Arial"/>
                <w:b/>
                <w:bCs/>
                <w:i/>
                <w:iCs/>
                <w:color w:val="000000" w:themeColor="text1"/>
                <w:sz w:val="20"/>
                <w:szCs w:val="20"/>
                <w:lang w:val="hr-HR"/>
              </w:rPr>
            </w:pPr>
            <w:r w:rsidRPr="00BB3F2C">
              <w:rPr>
                <w:rFonts w:ascii="Arial" w:eastAsia="Calibri" w:hAnsi="Arial" w:cs="Arial"/>
                <w:b/>
                <w:bCs/>
                <w:i/>
                <w:iCs/>
                <w:color w:val="000000" w:themeColor="text1"/>
                <w:sz w:val="20"/>
                <w:szCs w:val="20"/>
                <w:lang w:val="hr-HR"/>
              </w:rPr>
              <w:t>Dužnički vrijednosni papiri:</w:t>
            </w:r>
          </w:p>
        </w:tc>
        <w:tc>
          <w:tcPr>
            <w:tcW w:w="1417" w:type="dxa"/>
            <w:tcBorders>
              <w:top w:val="nil"/>
              <w:left w:val="nil"/>
              <w:bottom w:val="nil"/>
              <w:right w:val="nil"/>
            </w:tcBorders>
            <w:shd w:val="clear" w:color="auto" w:fill="auto"/>
            <w:vAlign w:val="center"/>
            <w:hideMark/>
          </w:tcPr>
          <w:p w14:paraId="1820CC03" w14:textId="77777777" w:rsidR="004E2F51" w:rsidRPr="00BB3F2C" w:rsidRDefault="004E2F51" w:rsidP="00E032FC">
            <w:pPr>
              <w:rPr>
                <w:rFonts w:ascii="Arial" w:eastAsia="Calibri" w:hAnsi="Arial" w:cs="Arial"/>
                <w:b/>
                <w:bCs/>
                <w:i/>
                <w:iCs/>
                <w:color w:val="000000" w:themeColor="text1"/>
                <w:sz w:val="20"/>
                <w:szCs w:val="20"/>
                <w:lang w:val="hr-HR"/>
              </w:rPr>
            </w:pPr>
          </w:p>
        </w:tc>
        <w:tc>
          <w:tcPr>
            <w:tcW w:w="1417" w:type="dxa"/>
            <w:tcBorders>
              <w:top w:val="nil"/>
              <w:left w:val="nil"/>
              <w:bottom w:val="nil"/>
              <w:right w:val="nil"/>
            </w:tcBorders>
            <w:shd w:val="clear" w:color="auto" w:fill="auto"/>
            <w:vAlign w:val="center"/>
            <w:hideMark/>
          </w:tcPr>
          <w:p w14:paraId="3D3F5380" w14:textId="77777777" w:rsidR="004E2F51" w:rsidRPr="00BB3F2C" w:rsidRDefault="004E2F51" w:rsidP="00E032FC">
            <w:pPr>
              <w:rPr>
                <w:rFonts w:ascii="Arial" w:eastAsia="Calibri" w:hAnsi="Arial" w:cs="Arial"/>
                <w:b/>
                <w:bCs/>
                <w:i/>
                <w:iCs/>
                <w:color w:val="000000" w:themeColor="text1"/>
                <w:sz w:val="20"/>
                <w:szCs w:val="20"/>
                <w:lang w:val="hr-HR"/>
              </w:rPr>
            </w:pPr>
          </w:p>
        </w:tc>
        <w:tc>
          <w:tcPr>
            <w:tcW w:w="1417" w:type="dxa"/>
            <w:tcBorders>
              <w:top w:val="nil"/>
              <w:left w:val="nil"/>
              <w:bottom w:val="nil"/>
              <w:right w:val="nil"/>
            </w:tcBorders>
            <w:shd w:val="clear" w:color="auto" w:fill="auto"/>
            <w:vAlign w:val="center"/>
            <w:hideMark/>
          </w:tcPr>
          <w:p w14:paraId="4173291F" w14:textId="77777777" w:rsidR="004E2F51" w:rsidRPr="00BB3F2C" w:rsidRDefault="004E2F51" w:rsidP="00E032FC">
            <w:pPr>
              <w:jc w:val="right"/>
              <w:rPr>
                <w:rFonts w:ascii="Arial" w:eastAsia="Calibri" w:hAnsi="Arial" w:cs="Arial"/>
                <w:color w:val="000000" w:themeColor="text1"/>
                <w:sz w:val="20"/>
                <w:szCs w:val="20"/>
                <w:lang w:val="hr-HR"/>
              </w:rPr>
            </w:pPr>
          </w:p>
        </w:tc>
        <w:tc>
          <w:tcPr>
            <w:tcW w:w="1417" w:type="dxa"/>
            <w:tcBorders>
              <w:top w:val="nil"/>
              <w:left w:val="nil"/>
              <w:bottom w:val="nil"/>
              <w:right w:val="nil"/>
            </w:tcBorders>
            <w:shd w:val="clear" w:color="auto" w:fill="auto"/>
            <w:vAlign w:val="center"/>
            <w:hideMark/>
          </w:tcPr>
          <w:p w14:paraId="79FD5902" w14:textId="77777777" w:rsidR="004E2F51" w:rsidRPr="00BB3F2C" w:rsidRDefault="004E2F51" w:rsidP="00E032FC">
            <w:pPr>
              <w:jc w:val="right"/>
              <w:rPr>
                <w:rFonts w:ascii="Arial" w:eastAsia="Calibri" w:hAnsi="Arial" w:cs="Arial"/>
                <w:color w:val="000000" w:themeColor="text1"/>
                <w:sz w:val="20"/>
                <w:szCs w:val="20"/>
                <w:lang w:val="hr-HR"/>
              </w:rPr>
            </w:pPr>
          </w:p>
        </w:tc>
      </w:tr>
      <w:tr w:rsidR="004E2F51" w:rsidRPr="00BB3F2C" w14:paraId="5EA0609F" w14:textId="77777777" w:rsidTr="00020AA3">
        <w:trPr>
          <w:trHeight w:val="281"/>
        </w:trPr>
        <w:tc>
          <w:tcPr>
            <w:tcW w:w="3912" w:type="dxa"/>
            <w:tcBorders>
              <w:top w:val="nil"/>
              <w:left w:val="nil"/>
              <w:bottom w:val="nil"/>
              <w:right w:val="nil"/>
            </w:tcBorders>
            <w:shd w:val="clear" w:color="auto" w:fill="auto"/>
            <w:vAlign w:val="center"/>
            <w:hideMark/>
          </w:tcPr>
          <w:p w14:paraId="21601F9F" w14:textId="77777777" w:rsidR="004E2F51" w:rsidRPr="00BB3F2C" w:rsidRDefault="004E2F51" w:rsidP="00E032FC">
            <w:pPr>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Dužnički vrijednosni papiri koji kotiraju:</w:t>
            </w:r>
          </w:p>
        </w:tc>
        <w:tc>
          <w:tcPr>
            <w:tcW w:w="1417" w:type="dxa"/>
            <w:tcBorders>
              <w:top w:val="nil"/>
              <w:left w:val="nil"/>
              <w:bottom w:val="nil"/>
              <w:right w:val="nil"/>
            </w:tcBorders>
            <w:shd w:val="clear" w:color="auto" w:fill="auto"/>
            <w:vAlign w:val="center"/>
            <w:hideMark/>
          </w:tcPr>
          <w:p w14:paraId="7FA9E1D6" w14:textId="77777777" w:rsidR="004E2F51" w:rsidRPr="00BB3F2C" w:rsidRDefault="004E2F51" w:rsidP="00E032FC">
            <w:pPr>
              <w:rPr>
                <w:rFonts w:ascii="Arial" w:eastAsia="Calibri" w:hAnsi="Arial" w:cs="Arial"/>
                <w:b/>
                <w:bCs/>
                <w:color w:val="000000" w:themeColor="text1"/>
                <w:sz w:val="20"/>
                <w:szCs w:val="20"/>
                <w:lang w:val="hr-HR"/>
              </w:rPr>
            </w:pPr>
          </w:p>
        </w:tc>
        <w:tc>
          <w:tcPr>
            <w:tcW w:w="1417" w:type="dxa"/>
            <w:tcBorders>
              <w:top w:val="nil"/>
              <w:left w:val="nil"/>
              <w:bottom w:val="nil"/>
              <w:right w:val="nil"/>
            </w:tcBorders>
            <w:shd w:val="clear" w:color="auto" w:fill="auto"/>
            <w:vAlign w:val="center"/>
            <w:hideMark/>
          </w:tcPr>
          <w:p w14:paraId="3349CF18" w14:textId="77777777" w:rsidR="004E2F51" w:rsidRPr="00BB3F2C" w:rsidRDefault="004E2F51" w:rsidP="00E032FC">
            <w:pPr>
              <w:rPr>
                <w:rFonts w:ascii="Arial" w:eastAsia="Calibri" w:hAnsi="Arial" w:cs="Arial"/>
                <w:b/>
                <w:bCs/>
                <w:color w:val="000000" w:themeColor="text1"/>
                <w:sz w:val="20"/>
                <w:szCs w:val="20"/>
                <w:lang w:val="hr-HR"/>
              </w:rPr>
            </w:pPr>
          </w:p>
        </w:tc>
        <w:tc>
          <w:tcPr>
            <w:tcW w:w="1417" w:type="dxa"/>
            <w:tcBorders>
              <w:top w:val="nil"/>
              <w:left w:val="nil"/>
              <w:bottom w:val="nil"/>
              <w:right w:val="nil"/>
            </w:tcBorders>
            <w:shd w:val="clear" w:color="auto" w:fill="auto"/>
            <w:vAlign w:val="center"/>
            <w:hideMark/>
          </w:tcPr>
          <w:p w14:paraId="319AAB67" w14:textId="77777777" w:rsidR="004E2F51" w:rsidRPr="00BB3F2C" w:rsidRDefault="004E2F51" w:rsidP="00E032FC">
            <w:pPr>
              <w:jc w:val="right"/>
              <w:rPr>
                <w:rFonts w:ascii="Arial" w:eastAsia="Calibri" w:hAnsi="Arial" w:cs="Arial"/>
                <w:color w:val="000000" w:themeColor="text1"/>
                <w:sz w:val="20"/>
                <w:szCs w:val="20"/>
                <w:lang w:val="hr-HR"/>
              </w:rPr>
            </w:pPr>
          </w:p>
        </w:tc>
        <w:tc>
          <w:tcPr>
            <w:tcW w:w="1417" w:type="dxa"/>
            <w:tcBorders>
              <w:top w:val="nil"/>
              <w:left w:val="nil"/>
              <w:bottom w:val="nil"/>
              <w:right w:val="nil"/>
            </w:tcBorders>
            <w:shd w:val="clear" w:color="auto" w:fill="auto"/>
            <w:vAlign w:val="center"/>
            <w:hideMark/>
          </w:tcPr>
          <w:p w14:paraId="15AE6689" w14:textId="77777777" w:rsidR="004E2F51" w:rsidRPr="00BB3F2C" w:rsidRDefault="004E2F51" w:rsidP="00E032FC">
            <w:pPr>
              <w:jc w:val="right"/>
              <w:rPr>
                <w:rFonts w:ascii="Arial" w:eastAsia="Calibri" w:hAnsi="Arial" w:cs="Arial"/>
                <w:color w:val="000000" w:themeColor="text1"/>
                <w:sz w:val="20"/>
                <w:szCs w:val="20"/>
                <w:lang w:val="hr-HR"/>
              </w:rPr>
            </w:pPr>
          </w:p>
        </w:tc>
      </w:tr>
      <w:tr w:rsidR="004E2F51" w:rsidRPr="00BB3F2C" w14:paraId="68028F96" w14:textId="77777777" w:rsidTr="00020AA3">
        <w:trPr>
          <w:trHeight w:hRule="exact" w:val="227"/>
        </w:trPr>
        <w:tc>
          <w:tcPr>
            <w:tcW w:w="3912" w:type="dxa"/>
            <w:tcBorders>
              <w:top w:val="nil"/>
              <w:left w:val="nil"/>
              <w:bottom w:val="nil"/>
              <w:right w:val="nil"/>
            </w:tcBorders>
            <w:shd w:val="clear" w:color="auto" w:fill="auto"/>
            <w:vAlign w:val="bottom"/>
            <w:hideMark/>
          </w:tcPr>
          <w:p w14:paraId="49A79F35" w14:textId="77777777" w:rsidR="004E2F51" w:rsidRPr="00BB3F2C" w:rsidRDefault="004E2F51" w:rsidP="00E032FC">
            <w:pPr>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Obveznice Republike Hrvatske</w:t>
            </w:r>
          </w:p>
        </w:tc>
        <w:tc>
          <w:tcPr>
            <w:tcW w:w="1417" w:type="dxa"/>
            <w:tcBorders>
              <w:top w:val="nil"/>
              <w:left w:val="nil"/>
              <w:bottom w:val="nil"/>
              <w:right w:val="nil"/>
            </w:tcBorders>
            <w:shd w:val="clear" w:color="auto" w:fill="auto"/>
            <w:vAlign w:val="bottom"/>
          </w:tcPr>
          <w:p w14:paraId="3E93A03A" w14:textId="77777777" w:rsidR="004E2F51" w:rsidRPr="00BB3F2C" w:rsidRDefault="004E2F51" w:rsidP="00E032FC">
            <w:pPr>
              <w:jc w:val="right"/>
              <w:rPr>
                <w:rFonts w:ascii="Arial" w:eastAsia="Calibri" w:hAnsi="Arial" w:cs="Arial"/>
                <w:color w:val="000000" w:themeColor="text1"/>
                <w:sz w:val="20"/>
                <w:szCs w:val="20"/>
                <w:lang w:val="hr-HR"/>
              </w:rPr>
            </w:pPr>
            <w:r w:rsidRPr="001248EB">
              <w:rPr>
                <w:rFonts w:ascii="Arial" w:eastAsia="Calibri" w:hAnsi="Arial" w:cs="Arial"/>
                <w:color w:val="000000" w:themeColor="text1"/>
                <w:sz w:val="20"/>
                <w:szCs w:val="20"/>
                <w:lang w:val="hr-HR"/>
              </w:rPr>
              <w:t xml:space="preserve"> 1.333.611 </w:t>
            </w:r>
          </w:p>
        </w:tc>
        <w:tc>
          <w:tcPr>
            <w:tcW w:w="1417" w:type="dxa"/>
            <w:tcBorders>
              <w:top w:val="nil"/>
              <w:left w:val="nil"/>
              <w:bottom w:val="nil"/>
              <w:right w:val="nil"/>
            </w:tcBorders>
            <w:shd w:val="clear" w:color="auto" w:fill="auto"/>
          </w:tcPr>
          <w:p w14:paraId="4076A118" w14:textId="77777777" w:rsidR="004E2F51" w:rsidRPr="00BB3F2C" w:rsidRDefault="004E2F51" w:rsidP="00E032FC">
            <w:pPr>
              <w:jc w:val="right"/>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1.358.981</w:t>
            </w:r>
          </w:p>
        </w:tc>
        <w:tc>
          <w:tcPr>
            <w:tcW w:w="1417" w:type="dxa"/>
            <w:tcBorders>
              <w:top w:val="nil"/>
              <w:left w:val="nil"/>
              <w:bottom w:val="nil"/>
              <w:right w:val="nil"/>
            </w:tcBorders>
            <w:shd w:val="clear" w:color="auto" w:fill="auto"/>
          </w:tcPr>
          <w:p w14:paraId="220EEF43" w14:textId="77777777" w:rsidR="004E2F51" w:rsidRPr="00BB3F2C" w:rsidRDefault="004E2F51" w:rsidP="00E032FC">
            <w:pPr>
              <w:jc w:val="right"/>
              <w:rPr>
                <w:rFonts w:ascii="Arial" w:eastAsia="Calibri" w:hAnsi="Arial" w:cs="Arial"/>
                <w:color w:val="000000" w:themeColor="text1"/>
                <w:sz w:val="20"/>
                <w:szCs w:val="20"/>
                <w:lang w:val="hr-HR"/>
              </w:rPr>
            </w:pPr>
            <w:r w:rsidRPr="001248EB">
              <w:rPr>
                <w:rFonts w:ascii="Arial" w:eastAsia="Calibri" w:hAnsi="Arial" w:cs="Arial"/>
                <w:color w:val="000000" w:themeColor="text1"/>
                <w:sz w:val="20"/>
                <w:szCs w:val="20"/>
                <w:lang w:val="hr-HR"/>
              </w:rPr>
              <w:t>1.289.066</w:t>
            </w:r>
          </w:p>
        </w:tc>
        <w:tc>
          <w:tcPr>
            <w:tcW w:w="1417" w:type="dxa"/>
            <w:tcBorders>
              <w:top w:val="nil"/>
              <w:left w:val="nil"/>
              <w:bottom w:val="nil"/>
              <w:right w:val="nil"/>
            </w:tcBorders>
            <w:shd w:val="clear" w:color="auto" w:fill="auto"/>
          </w:tcPr>
          <w:p w14:paraId="31FD9324" w14:textId="77777777" w:rsidR="004E2F51" w:rsidRPr="00BB3F2C" w:rsidRDefault="004E2F51" w:rsidP="00E032FC">
            <w:pPr>
              <w:jc w:val="right"/>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1.304.974</w:t>
            </w:r>
          </w:p>
        </w:tc>
      </w:tr>
      <w:tr w:rsidR="004E2F51" w:rsidRPr="00BB3F2C" w14:paraId="086051F4" w14:textId="77777777" w:rsidTr="00020AA3">
        <w:trPr>
          <w:trHeight w:hRule="exact" w:val="227"/>
        </w:trPr>
        <w:tc>
          <w:tcPr>
            <w:tcW w:w="3912" w:type="dxa"/>
            <w:tcBorders>
              <w:top w:val="nil"/>
              <w:left w:val="nil"/>
              <w:bottom w:val="nil"/>
              <w:right w:val="nil"/>
            </w:tcBorders>
            <w:shd w:val="clear" w:color="auto" w:fill="auto"/>
            <w:vAlign w:val="bottom"/>
            <w:hideMark/>
          </w:tcPr>
          <w:p w14:paraId="454B6095" w14:textId="77777777" w:rsidR="004E2F51" w:rsidRPr="00BB3F2C" w:rsidRDefault="004E2F51" w:rsidP="00E032FC">
            <w:pPr>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Obveznice trgovačkih društava</w:t>
            </w:r>
          </w:p>
        </w:tc>
        <w:tc>
          <w:tcPr>
            <w:tcW w:w="1417" w:type="dxa"/>
            <w:tcBorders>
              <w:top w:val="nil"/>
              <w:left w:val="nil"/>
              <w:bottom w:val="nil"/>
              <w:right w:val="nil"/>
            </w:tcBorders>
            <w:shd w:val="clear" w:color="auto" w:fill="auto"/>
            <w:vAlign w:val="bottom"/>
          </w:tcPr>
          <w:p w14:paraId="77C50DF7" w14:textId="77777777" w:rsidR="004E2F51" w:rsidRPr="00BB3F2C" w:rsidRDefault="004E2F51" w:rsidP="00E032FC">
            <w:pPr>
              <w:jc w:val="right"/>
              <w:rPr>
                <w:rFonts w:ascii="Arial" w:eastAsia="Calibri" w:hAnsi="Arial" w:cs="Arial"/>
                <w:color w:val="000000" w:themeColor="text1"/>
                <w:sz w:val="20"/>
                <w:szCs w:val="20"/>
                <w:lang w:val="hr-HR"/>
              </w:rPr>
            </w:pPr>
            <w:r w:rsidRPr="001248EB">
              <w:rPr>
                <w:rFonts w:ascii="Arial" w:eastAsia="Calibri" w:hAnsi="Arial" w:cs="Arial"/>
                <w:color w:val="000000" w:themeColor="text1"/>
                <w:sz w:val="20"/>
                <w:szCs w:val="20"/>
                <w:lang w:val="hr-HR"/>
              </w:rPr>
              <w:t xml:space="preserve"> 2.179 </w:t>
            </w:r>
          </w:p>
        </w:tc>
        <w:tc>
          <w:tcPr>
            <w:tcW w:w="1417" w:type="dxa"/>
            <w:tcBorders>
              <w:top w:val="nil"/>
              <w:left w:val="nil"/>
              <w:bottom w:val="nil"/>
              <w:right w:val="nil"/>
            </w:tcBorders>
            <w:shd w:val="clear" w:color="auto" w:fill="auto"/>
          </w:tcPr>
          <w:p w14:paraId="5DB5B4C4" w14:textId="77777777" w:rsidR="004E2F51" w:rsidRPr="00BB3F2C" w:rsidRDefault="004E2F51" w:rsidP="00E032FC">
            <w:pPr>
              <w:jc w:val="right"/>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2.393</w:t>
            </w:r>
          </w:p>
        </w:tc>
        <w:tc>
          <w:tcPr>
            <w:tcW w:w="1417" w:type="dxa"/>
            <w:tcBorders>
              <w:top w:val="nil"/>
              <w:left w:val="nil"/>
              <w:bottom w:val="nil"/>
              <w:right w:val="nil"/>
            </w:tcBorders>
            <w:shd w:val="clear" w:color="auto" w:fill="auto"/>
          </w:tcPr>
          <w:p w14:paraId="1EE49CBF" w14:textId="77777777" w:rsidR="004E2F51" w:rsidRPr="00BB3F2C"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w:t>
            </w:r>
          </w:p>
        </w:tc>
        <w:tc>
          <w:tcPr>
            <w:tcW w:w="1417" w:type="dxa"/>
            <w:tcBorders>
              <w:top w:val="nil"/>
              <w:left w:val="nil"/>
              <w:bottom w:val="nil"/>
              <w:right w:val="nil"/>
            </w:tcBorders>
            <w:shd w:val="clear" w:color="auto" w:fill="auto"/>
          </w:tcPr>
          <w:p w14:paraId="435E012F" w14:textId="77777777" w:rsidR="004E2F51" w:rsidRPr="00BB3F2C" w:rsidRDefault="004E2F51" w:rsidP="00E032FC">
            <w:pPr>
              <w:jc w:val="right"/>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w:t>
            </w:r>
          </w:p>
        </w:tc>
      </w:tr>
      <w:tr w:rsidR="004E2F51" w:rsidRPr="00BB3F2C" w14:paraId="4FFE895A" w14:textId="77777777" w:rsidTr="00020AA3">
        <w:trPr>
          <w:trHeight w:hRule="exact" w:val="227"/>
        </w:trPr>
        <w:tc>
          <w:tcPr>
            <w:tcW w:w="3912" w:type="dxa"/>
            <w:tcBorders>
              <w:top w:val="nil"/>
              <w:left w:val="nil"/>
              <w:bottom w:val="nil"/>
              <w:right w:val="nil"/>
            </w:tcBorders>
            <w:shd w:val="clear" w:color="auto" w:fill="auto"/>
            <w:vAlign w:val="bottom"/>
            <w:hideMark/>
          </w:tcPr>
          <w:p w14:paraId="7234A400" w14:textId="77777777" w:rsidR="004E2F51" w:rsidRPr="00BB3F2C" w:rsidRDefault="004E2F51" w:rsidP="00E032FC">
            <w:pPr>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Trezorski zapisi Ministarstva financija</w:t>
            </w:r>
          </w:p>
        </w:tc>
        <w:tc>
          <w:tcPr>
            <w:tcW w:w="1417" w:type="dxa"/>
            <w:tcBorders>
              <w:top w:val="nil"/>
              <w:left w:val="nil"/>
              <w:bottom w:val="nil"/>
              <w:right w:val="nil"/>
            </w:tcBorders>
            <w:shd w:val="clear" w:color="auto" w:fill="auto"/>
            <w:vAlign w:val="bottom"/>
          </w:tcPr>
          <w:p w14:paraId="68849433" w14:textId="77777777" w:rsidR="004E2F51" w:rsidRPr="00BB3F2C" w:rsidRDefault="004E2F51" w:rsidP="00E032FC">
            <w:pPr>
              <w:jc w:val="right"/>
              <w:rPr>
                <w:rFonts w:ascii="Arial" w:eastAsia="Calibri" w:hAnsi="Arial" w:cs="Arial"/>
                <w:color w:val="000000" w:themeColor="text1"/>
                <w:sz w:val="20"/>
                <w:szCs w:val="20"/>
                <w:lang w:val="hr-HR"/>
              </w:rPr>
            </w:pPr>
            <w:r w:rsidRPr="001248EB">
              <w:rPr>
                <w:rFonts w:ascii="Arial" w:eastAsia="Calibri" w:hAnsi="Arial" w:cs="Arial"/>
                <w:color w:val="000000" w:themeColor="text1"/>
                <w:sz w:val="20"/>
                <w:szCs w:val="20"/>
                <w:lang w:val="hr-HR"/>
              </w:rPr>
              <w:t xml:space="preserve"> 1.281.368 </w:t>
            </w:r>
          </w:p>
        </w:tc>
        <w:tc>
          <w:tcPr>
            <w:tcW w:w="1417" w:type="dxa"/>
            <w:tcBorders>
              <w:top w:val="nil"/>
              <w:left w:val="nil"/>
              <w:bottom w:val="nil"/>
              <w:right w:val="nil"/>
            </w:tcBorders>
            <w:shd w:val="clear" w:color="auto" w:fill="auto"/>
          </w:tcPr>
          <w:p w14:paraId="413660A3" w14:textId="77777777" w:rsidR="004E2F51" w:rsidRPr="00BB3F2C" w:rsidRDefault="004E2F51" w:rsidP="00E032FC">
            <w:pPr>
              <w:jc w:val="right"/>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1.550.344</w:t>
            </w:r>
          </w:p>
        </w:tc>
        <w:tc>
          <w:tcPr>
            <w:tcW w:w="1417" w:type="dxa"/>
            <w:tcBorders>
              <w:top w:val="nil"/>
              <w:left w:val="nil"/>
              <w:bottom w:val="nil"/>
              <w:right w:val="nil"/>
            </w:tcBorders>
            <w:shd w:val="clear" w:color="auto" w:fill="auto"/>
          </w:tcPr>
          <w:p w14:paraId="5E262D92" w14:textId="77777777" w:rsidR="004E2F51" w:rsidRPr="00BB3F2C" w:rsidRDefault="004E2F51" w:rsidP="00E032FC">
            <w:pPr>
              <w:jc w:val="right"/>
              <w:rPr>
                <w:rFonts w:ascii="Arial" w:eastAsia="Calibri" w:hAnsi="Arial" w:cs="Arial"/>
                <w:color w:val="000000" w:themeColor="text1"/>
                <w:sz w:val="20"/>
                <w:szCs w:val="20"/>
                <w:lang w:val="hr-HR"/>
              </w:rPr>
            </w:pPr>
            <w:r w:rsidRPr="001248EB">
              <w:rPr>
                <w:rFonts w:ascii="Arial" w:eastAsia="Calibri" w:hAnsi="Arial" w:cs="Arial"/>
                <w:color w:val="000000" w:themeColor="text1"/>
                <w:sz w:val="20"/>
                <w:szCs w:val="20"/>
                <w:lang w:val="hr-HR"/>
              </w:rPr>
              <w:t>1.281.368</w:t>
            </w:r>
          </w:p>
        </w:tc>
        <w:tc>
          <w:tcPr>
            <w:tcW w:w="1417" w:type="dxa"/>
            <w:tcBorders>
              <w:top w:val="nil"/>
              <w:left w:val="nil"/>
              <w:bottom w:val="nil"/>
              <w:right w:val="nil"/>
            </w:tcBorders>
            <w:shd w:val="clear" w:color="auto" w:fill="auto"/>
          </w:tcPr>
          <w:p w14:paraId="79AF2A81" w14:textId="77777777" w:rsidR="004E2F51" w:rsidRPr="00BB3F2C" w:rsidRDefault="004E2F51" w:rsidP="00E032FC">
            <w:pPr>
              <w:jc w:val="right"/>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1.550.344</w:t>
            </w:r>
          </w:p>
        </w:tc>
      </w:tr>
      <w:tr w:rsidR="004E2F51" w:rsidRPr="00BB3F2C" w14:paraId="6905DD0B" w14:textId="77777777" w:rsidTr="00020AA3">
        <w:trPr>
          <w:trHeight w:hRule="exact" w:val="227"/>
        </w:trPr>
        <w:tc>
          <w:tcPr>
            <w:tcW w:w="3912" w:type="dxa"/>
            <w:tcBorders>
              <w:top w:val="nil"/>
              <w:left w:val="nil"/>
              <w:bottom w:val="nil"/>
              <w:right w:val="nil"/>
            </w:tcBorders>
            <w:shd w:val="clear" w:color="auto" w:fill="auto"/>
            <w:vAlign w:val="bottom"/>
            <w:hideMark/>
          </w:tcPr>
          <w:p w14:paraId="72E83083" w14:textId="77777777" w:rsidR="004E2F51" w:rsidRPr="00BB3F2C" w:rsidRDefault="004E2F51" w:rsidP="00E032FC">
            <w:pPr>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Obračunata kamata</w:t>
            </w:r>
          </w:p>
        </w:tc>
        <w:tc>
          <w:tcPr>
            <w:tcW w:w="1417" w:type="dxa"/>
            <w:tcBorders>
              <w:top w:val="nil"/>
              <w:left w:val="nil"/>
              <w:bottom w:val="nil"/>
              <w:right w:val="nil"/>
            </w:tcBorders>
            <w:shd w:val="clear" w:color="auto" w:fill="auto"/>
            <w:vAlign w:val="bottom"/>
          </w:tcPr>
          <w:p w14:paraId="509A043B" w14:textId="77777777" w:rsidR="004E2F51" w:rsidRPr="00BB3F2C" w:rsidRDefault="004E2F51" w:rsidP="00E032FC">
            <w:pPr>
              <w:jc w:val="right"/>
              <w:rPr>
                <w:rFonts w:ascii="Arial" w:eastAsia="Calibri" w:hAnsi="Arial" w:cs="Arial"/>
                <w:color w:val="000000" w:themeColor="text1"/>
                <w:sz w:val="20"/>
                <w:szCs w:val="20"/>
                <w:lang w:val="hr-HR"/>
              </w:rPr>
            </w:pPr>
            <w:r w:rsidRPr="001248EB">
              <w:rPr>
                <w:rFonts w:ascii="Arial" w:eastAsia="Calibri" w:hAnsi="Arial" w:cs="Arial"/>
                <w:color w:val="000000" w:themeColor="text1"/>
                <w:sz w:val="20"/>
                <w:szCs w:val="20"/>
                <w:lang w:val="hr-HR"/>
              </w:rPr>
              <w:t xml:space="preserve"> 14.321 </w:t>
            </w:r>
          </w:p>
        </w:tc>
        <w:tc>
          <w:tcPr>
            <w:tcW w:w="1417" w:type="dxa"/>
            <w:tcBorders>
              <w:top w:val="nil"/>
              <w:left w:val="nil"/>
              <w:bottom w:val="nil"/>
              <w:right w:val="nil"/>
            </w:tcBorders>
            <w:shd w:val="clear" w:color="auto" w:fill="auto"/>
          </w:tcPr>
          <w:p w14:paraId="3FA121FA" w14:textId="77777777" w:rsidR="004E2F51" w:rsidRPr="00BB3F2C" w:rsidRDefault="004E2F51" w:rsidP="00E032FC">
            <w:pPr>
              <w:jc w:val="right"/>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15.620</w:t>
            </w:r>
          </w:p>
        </w:tc>
        <w:tc>
          <w:tcPr>
            <w:tcW w:w="1417" w:type="dxa"/>
            <w:tcBorders>
              <w:top w:val="nil"/>
              <w:left w:val="nil"/>
              <w:bottom w:val="nil"/>
              <w:right w:val="nil"/>
            </w:tcBorders>
            <w:shd w:val="clear" w:color="auto" w:fill="auto"/>
          </w:tcPr>
          <w:p w14:paraId="23A145CB" w14:textId="77777777" w:rsidR="004E2F51" w:rsidRPr="00BB3F2C" w:rsidRDefault="004E2F51" w:rsidP="00E032FC">
            <w:pPr>
              <w:jc w:val="right"/>
              <w:rPr>
                <w:rFonts w:ascii="Arial" w:eastAsia="Calibri" w:hAnsi="Arial" w:cs="Arial"/>
                <w:color w:val="000000" w:themeColor="text1"/>
                <w:sz w:val="20"/>
                <w:szCs w:val="20"/>
                <w:lang w:val="hr-HR"/>
              </w:rPr>
            </w:pPr>
            <w:r w:rsidRPr="001248EB">
              <w:rPr>
                <w:rFonts w:ascii="Arial" w:eastAsia="Calibri" w:hAnsi="Arial" w:cs="Arial"/>
                <w:color w:val="000000" w:themeColor="text1"/>
                <w:sz w:val="20"/>
                <w:szCs w:val="20"/>
                <w:lang w:val="hr-HR"/>
              </w:rPr>
              <w:t>13.895</w:t>
            </w:r>
          </w:p>
        </w:tc>
        <w:tc>
          <w:tcPr>
            <w:tcW w:w="1417" w:type="dxa"/>
            <w:tcBorders>
              <w:top w:val="nil"/>
              <w:left w:val="nil"/>
              <w:bottom w:val="nil"/>
              <w:right w:val="nil"/>
            </w:tcBorders>
            <w:shd w:val="clear" w:color="auto" w:fill="auto"/>
          </w:tcPr>
          <w:p w14:paraId="7CFF4BA4" w14:textId="77777777" w:rsidR="004E2F51" w:rsidRPr="00BB3F2C" w:rsidRDefault="004E2F51" w:rsidP="00E032FC">
            <w:pPr>
              <w:jc w:val="right"/>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15.194</w:t>
            </w:r>
          </w:p>
        </w:tc>
      </w:tr>
      <w:tr w:rsidR="004E2F51" w:rsidRPr="00BB3F2C" w14:paraId="68A9F2EF" w14:textId="77777777" w:rsidTr="00020AA3">
        <w:trPr>
          <w:trHeight w:val="281"/>
        </w:trPr>
        <w:tc>
          <w:tcPr>
            <w:tcW w:w="3912" w:type="dxa"/>
            <w:tcBorders>
              <w:top w:val="nil"/>
              <w:left w:val="nil"/>
              <w:bottom w:val="nil"/>
              <w:right w:val="nil"/>
            </w:tcBorders>
            <w:shd w:val="clear" w:color="auto" w:fill="auto"/>
            <w:vAlign w:val="center"/>
            <w:hideMark/>
          </w:tcPr>
          <w:p w14:paraId="20FDE29D" w14:textId="77777777" w:rsidR="004E2F51" w:rsidRPr="00BB3F2C" w:rsidRDefault="004E2F51" w:rsidP="00E032FC">
            <w:pPr>
              <w:jc w:val="right"/>
              <w:rPr>
                <w:rFonts w:ascii="Arial" w:eastAsia="Calibri" w:hAnsi="Arial" w:cs="Arial"/>
                <w:color w:val="000000" w:themeColor="text1"/>
                <w:sz w:val="20"/>
                <w:szCs w:val="20"/>
                <w:lang w:val="hr-HR"/>
              </w:rPr>
            </w:pPr>
          </w:p>
        </w:tc>
        <w:tc>
          <w:tcPr>
            <w:tcW w:w="1417" w:type="dxa"/>
            <w:tcBorders>
              <w:top w:val="single" w:sz="4" w:space="0" w:color="auto"/>
              <w:left w:val="nil"/>
              <w:bottom w:val="single" w:sz="12" w:space="0" w:color="auto"/>
              <w:right w:val="nil"/>
            </w:tcBorders>
            <w:shd w:val="clear" w:color="auto" w:fill="auto"/>
            <w:vAlign w:val="bottom"/>
          </w:tcPr>
          <w:p w14:paraId="46EB5EED" w14:textId="77777777" w:rsidR="004E2F51" w:rsidRPr="00BB3F2C" w:rsidRDefault="004E2F51" w:rsidP="00E032FC">
            <w:pPr>
              <w:jc w:val="right"/>
              <w:rPr>
                <w:rFonts w:ascii="Arial" w:eastAsia="Calibri" w:hAnsi="Arial" w:cs="Arial"/>
                <w:b/>
                <w:bCs/>
                <w:color w:val="000000" w:themeColor="text1"/>
                <w:sz w:val="20"/>
                <w:szCs w:val="20"/>
                <w:lang w:val="hr-HR"/>
              </w:rPr>
            </w:pPr>
            <w:r w:rsidRPr="001248EB">
              <w:rPr>
                <w:rFonts w:ascii="Arial" w:eastAsia="Calibri" w:hAnsi="Arial" w:cs="Arial"/>
                <w:b/>
                <w:bCs/>
                <w:color w:val="000000" w:themeColor="text1"/>
                <w:sz w:val="20"/>
                <w:szCs w:val="20"/>
                <w:lang w:val="hr-HR"/>
              </w:rPr>
              <w:t>2.631.479</w:t>
            </w:r>
          </w:p>
        </w:tc>
        <w:tc>
          <w:tcPr>
            <w:tcW w:w="1417" w:type="dxa"/>
            <w:tcBorders>
              <w:top w:val="single" w:sz="4" w:space="0" w:color="auto"/>
              <w:left w:val="nil"/>
              <w:bottom w:val="single" w:sz="12" w:space="0" w:color="auto"/>
              <w:right w:val="nil"/>
            </w:tcBorders>
            <w:shd w:val="clear" w:color="auto" w:fill="auto"/>
            <w:vAlign w:val="bottom"/>
          </w:tcPr>
          <w:p w14:paraId="4EA58549" w14:textId="77777777" w:rsidR="004E2F51" w:rsidRPr="00BB3F2C" w:rsidRDefault="004E2F51" w:rsidP="00E032F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2.927.338</w:t>
            </w:r>
          </w:p>
        </w:tc>
        <w:tc>
          <w:tcPr>
            <w:tcW w:w="1417" w:type="dxa"/>
            <w:tcBorders>
              <w:top w:val="single" w:sz="4" w:space="0" w:color="auto"/>
              <w:left w:val="nil"/>
              <w:bottom w:val="single" w:sz="12" w:space="0" w:color="auto"/>
              <w:right w:val="nil"/>
            </w:tcBorders>
            <w:shd w:val="clear" w:color="auto" w:fill="auto"/>
            <w:vAlign w:val="bottom"/>
          </w:tcPr>
          <w:p w14:paraId="3EF71D88" w14:textId="77777777" w:rsidR="004E2F51" w:rsidRPr="00BB3F2C" w:rsidRDefault="004E2F51" w:rsidP="00E032FC">
            <w:pPr>
              <w:jc w:val="right"/>
              <w:rPr>
                <w:rFonts w:ascii="Arial" w:eastAsia="Calibri" w:hAnsi="Arial" w:cs="Arial"/>
                <w:b/>
                <w:bCs/>
                <w:color w:val="000000" w:themeColor="text1"/>
                <w:sz w:val="20"/>
                <w:szCs w:val="20"/>
                <w:lang w:val="hr-HR"/>
              </w:rPr>
            </w:pPr>
            <w:r w:rsidRPr="001248EB">
              <w:rPr>
                <w:rFonts w:ascii="Arial" w:eastAsia="Calibri" w:hAnsi="Arial" w:cs="Arial"/>
                <w:b/>
                <w:bCs/>
                <w:color w:val="000000" w:themeColor="text1"/>
                <w:sz w:val="20"/>
                <w:szCs w:val="20"/>
                <w:lang w:val="hr-HR"/>
              </w:rPr>
              <w:t>2.584.329</w:t>
            </w:r>
          </w:p>
        </w:tc>
        <w:tc>
          <w:tcPr>
            <w:tcW w:w="1417" w:type="dxa"/>
            <w:tcBorders>
              <w:top w:val="single" w:sz="4" w:space="0" w:color="auto"/>
              <w:left w:val="nil"/>
              <w:bottom w:val="single" w:sz="12" w:space="0" w:color="auto"/>
              <w:right w:val="nil"/>
            </w:tcBorders>
            <w:shd w:val="clear" w:color="auto" w:fill="auto"/>
            <w:vAlign w:val="bottom"/>
          </w:tcPr>
          <w:p w14:paraId="2934C658" w14:textId="77777777" w:rsidR="004E2F51" w:rsidRPr="00BB3F2C" w:rsidRDefault="004E2F51" w:rsidP="00E032F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2.870.512</w:t>
            </w:r>
          </w:p>
        </w:tc>
      </w:tr>
      <w:tr w:rsidR="004E2F51" w:rsidRPr="00BB3F2C" w14:paraId="5E510B4F" w14:textId="77777777" w:rsidTr="00020AA3">
        <w:trPr>
          <w:trHeight w:hRule="exact" w:val="170"/>
        </w:trPr>
        <w:tc>
          <w:tcPr>
            <w:tcW w:w="3912" w:type="dxa"/>
            <w:tcBorders>
              <w:top w:val="nil"/>
              <w:left w:val="nil"/>
              <w:bottom w:val="nil"/>
              <w:right w:val="nil"/>
            </w:tcBorders>
            <w:shd w:val="clear" w:color="auto" w:fill="auto"/>
            <w:vAlign w:val="center"/>
            <w:hideMark/>
          </w:tcPr>
          <w:p w14:paraId="5AD9BA47" w14:textId="77777777" w:rsidR="004E2F51" w:rsidRPr="00BB3F2C" w:rsidRDefault="004E2F51" w:rsidP="00E032FC">
            <w:pPr>
              <w:jc w:val="right"/>
              <w:rPr>
                <w:rFonts w:ascii="Arial" w:eastAsia="Calibri" w:hAnsi="Arial" w:cs="Arial"/>
                <w:b/>
                <w:bCs/>
                <w:color w:val="000000" w:themeColor="text1"/>
                <w:sz w:val="20"/>
                <w:szCs w:val="20"/>
                <w:lang w:val="hr-HR"/>
              </w:rPr>
            </w:pPr>
          </w:p>
        </w:tc>
        <w:tc>
          <w:tcPr>
            <w:tcW w:w="1417" w:type="dxa"/>
            <w:tcBorders>
              <w:top w:val="single" w:sz="12" w:space="0" w:color="auto"/>
              <w:left w:val="nil"/>
              <w:bottom w:val="nil"/>
              <w:right w:val="nil"/>
            </w:tcBorders>
            <w:shd w:val="clear" w:color="auto" w:fill="auto"/>
            <w:vAlign w:val="bottom"/>
          </w:tcPr>
          <w:p w14:paraId="6DCC0E81" w14:textId="77777777" w:rsidR="004E2F51" w:rsidRPr="00BB3F2C" w:rsidRDefault="004E2F51" w:rsidP="00E032FC">
            <w:pPr>
              <w:rPr>
                <w:rFonts w:ascii="Arial" w:eastAsia="Calibri" w:hAnsi="Arial" w:cs="Arial"/>
                <w:color w:val="000000" w:themeColor="text1"/>
                <w:sz w:val="20"/>
                <w:szCs w:val="20"/>
                <w:lang w:val="hr-HR"/>
              </w:rPr>
            </w:pPr>
          </w:p>
        </w:tc>
        <w:tc>
          <w:tcPr>
            <w:tcW w:w="1417" w:type="dxa"/>
            <w:tcBorders>
              <w:top w:val="single" w:sz="12" w:space="0" w:color="auto"/>
              <w:left w:val="nil"/>
              <w:bottom w:val="nil"/>
              <w:right w:val="nil"/>
            </w:tcBorders>
            <w:shd w:val="clear" w:color="auto" w:fill="auto"/>
            <w:vAlign w:val="bottom"/>
          </w:tcPr>
          <w:p w14:paraId="48556D77" w14:textId="77777777" w:rsidR="004E2F51" w:rsidRPr="00BB3F2C" w:rsidRDefault="004E2F51" w:rsidP="00E032FC">
            <w:pPr>
              <w:rPr>
                <w:rFonts w:ascii="Arial" w:eastAsia="Calibri" w:hAnsi="Arial" w:cs="Arial"/>
                <w:color w:val="000000" w:themeColor="text1"/>
                <w:sz w:val="20"/>
                <w:szCs w:val="20"/>
                <w:lang w:val="hr-HR"/>
              </w:rPr>
            </w:pPr>
          </w:p>
        </w:tc>
        <w:tc>
          <w:tcPr>
            <w:tcW w:w="1417" w:type="dxa"/>
            <w:tcBorders>
              <w:top w:val="single" w:sz="12" w:space="0" w:color="auto"/>
              <w:left w:val="nil"/>
              <w:bottom w:val="nil"/>
              <w:right w:val="nil"/>
            </w:tcBorders>
            <w:shd w:val="clear" w:color="auto" w:fill="auto"/>
            <w:vAlign w:val="bottom"/>
          </w:tcPr>
          <w:p w14:paraId="105538CA" w14:textId="77777777" w:rsidR="004E2F51" w:rsidRPr="00BB3F2C" w:rsidRDefault="004E2F51" w:rsidP="00E032FC">
            <w:pPr>
              <w:jc w:val="right"/>
              <w:rPr>
                <w:rFonts w:ascii="Arial" w:eastAsia="Calibri" w:hAnsi="Arial" w:cs="Arial"/>
                <w:color w:val="000000" w:themeColor="text1"/>
                <w:sz w:val="20"/>
                <w:szCs w:val="20"/>
                <w:lang w:val="hr-HR"/>
              </w:rPr>
            </w:pPr>
          </w:p>
        </w:tc>
        <w:tc>
          <w:tcPr>
            <w:tcW w:w="1417" w:type="dxa"/>
            <w:tcBorders>
              <w:top w:val="single" w:sz="12" w:space="0" w:color="auto"/>
              <w:left w:val="nil"/>
              <w:bottom w:val="nil"/>
              <w:right w:val="nil"/>
            </w:tcBorders>
            <w:shd w:val="clear" w:color="auto" w:fill="auto"/>
            <w:vAlign w:val="bottom"/>
          </w:tcPr>
          <w:p w14:paraId="30704698" w14:textId="77777777" w:rsidR="004E2F51" w:rsidRPr="00BB3F2C" w:rsidRDefault="004E2F51" w:rsidP="00E032FC">
            <w:pPr>
              <w:jc w:val="right"/>
              <w:rPr>
                <w:rFonts w:ascii="Arial" w:eastAsia="Calibri" w:hAnsi="Arial" w:cs="Arial"/>
                <w:color w:val="000000" w:themeColor="text1"/>
                <w:sz w:val="20"/>
                <w:szCs w:val="20"/>
                <w:lang w:val="hr-HR"/>
              </w:rPr>
            </w:pPr>
          </w:p>
        </w:tc>
      </w:tr>
      <w:tr w:rsidR="004E2F51" w:rsidRPr="00BB3F2C" w14:paraId="7ABA08DB" w14:textId="77777777" w:rsidTr="00020AA3">
        <w:trPr>
          <w:trHeight w:val="281"/>
        </w:trPr>
        <w:tc>
          <w:tcPr>
            <w:tcW w:w="3912" w:type="dxa"/>
            <w:tcBorders>
              <w:top w:val="nil"/>
              <w:left w:val="nil"/>
              <w:bottom w:val="nil"/>
              <w:right w:val="nil"/>
            </w:tcBorders>
            <w:shd w:val="clear" w:color="auto" w:fill="auto"/>
            <w:vAlign w:val="center"/>
            <w:hideMark/>
          </w:tcPr>
          <w:p w14:paraId="662BCA96" w14:textId="77777777" w:rsidR="004E2F51" w:rsidRPr="00BB3F2C" w:rsidRDefault="004E2F51" w:rsidP="00E032FC">
            <w:pPr>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Dužnički vrijednosni papiri koji ne kotiraju:</w:t>
            </w:r>
          </w:p>
        </w:tc>
        <w:tc>
          <w:tcPr>
            <w:tcW w:w="1417" w:type="dxa"/>
            <w:tcBorders>
              <w:top w:val="nil"/>
              <w:left w:val="nil"/>
              <w:bottom w:val="nil"/>
              <w:right w:val="nil"/>
            </w:tcBorders>
            <w:shd w:val="clear" w:color="auto" w:fill="auto"/>
            <w:vAlign w:val="bottom"/>
          </w:tcPr>
          <w:p w14:paraId="3907C41E" w14:textId="77777777" w:rsidR="004E2F51" w:rsidRPr="00BB3F2C" w:rsidRDefault="004E2F51" w:rsidP="00E032FC">
            <w:pPr>
              <w:rPr>
                <w:rFonts w:ascii="Arial" w:eastAsia="Calibri" w:hAnsi="Arial" w:cs="Arial"/>
                <w:b/>
                <w:bCs/>
                <w:color w:val="000000" w:themeColor="text1"/>
                <w:sz w:val="20"/>
                <w:szCs w:val="20"/>
                <w:lang w:val="hr-HR"/>
              </w:rPr>
            </w:pPr>
          </w:p>
        </w:tc>
        <w:tc>
          <w:tcPr>
            <w:tcW w:w="1417" w:type="dxa"/>
            <w:tcBorders>
              <w:top w:val="nil"/>
              <w:left w:val="nil"/>
              <w:bottom w:val="nil"/>
              <w:right w:val="nil"/>
            </w:tcBorders>
            <w:shd w:val="clear" w:color="auto" w:fill="auto"/>
            <w:vAlign w:val="bottom"/>
          </w:tcPr>
          <w:p w14:paraId="79FB94C0" w14:textId="77777777" w:rsidR="004E2F51" w:rsidRPr="00BB3F2C" w:rsidRDefault="004E2F51" w:rsidP="00E032FC">
            <w:pPr>
              <w:rPr>
                <w:rFonts w:ascii="Arial" w:eastAsia="Calibri" w:hAnsi="Arial" w:cs="Arial"/>
                <w:b/>
                <w:bCs/>
                <w:color w:val="000000" w:themeColor="text1"/>
                <w:sz w:val="20"/>
                <w:szCs w:val="20"/>
                <w:lang w:val="hr-HR"/>
              </w:rPr>
            </w:pPr>
          </w:p>
        </w:tc>
        <w:tc>
          <w:tcPr>
            <w:tcW w:w="1417" w:type="dxa"/>
            <w:tcBorders>
              <w:top w:val="nil"/>
              <w:left w:val="nil"/>
              <w:bottom w:val="nil"/>
              <w:right w:val="nil"/>
            </w:tcBorders>
            <w:shd w:val="clear" w:color="auto" w:fill="auto"/>
            <w:vAlign w:val="bottom"/>
          </w:tcPr>
          <w:p w14:paraId="4386927F" w14:textId="77777777" w:rsidR="004E2F51" w:rsidRPr="00BB3F2C" w:rsidRDefault="004E2F51" w:rsidP="00E032FC">
            <w:pPr>
              <w:jc w:val="right"/>
              <w:rPr>
                <w:rFonts w:ascii="Arial" w:eastAsia="Calibri" w:hAnsi="Arial" w:cs="Arial"/>
                <w:color w:val="000000" w:themeColor="text1"/>
                <w:sz w:val="20"/>
                <w:szCs w:val="20"/>
                <w:lang w:val="hr-HR"/>
              </w:rPr>
            </w:pPr>
          </w:p>
        </w:tc>
        <w:tc>
          <w:tcPr>
            <w:tcW w:w="1417" w:type="dxa"/>
            <w:tcBorders>
              <w:top w:val="nil"/>
              <w:left w:val="nil"/>
              <w:bottom w:val="nil"/>
              <w:right w:val="nil"/>
            </w:tcBorders>
            <w:shd w:val="clear" w:color="auto" w:fill="auto"/>
            <w:vAlign w:val="bottom"/>
          </w:tcPr>
          <w:p w14:paraId="1CAED8A6" w14:textId="77777777" w:rsidR="004E2F51" w:rsidRPr="00BB3F2C" w:rsidRDefault="004E2F51" w:rsidP="00E032FC">
            <w:pPr>
              <w:jc w:val="right"/>
              <w:rPr>
                <w:rFonts w:ascii="Arial" w:eastAsia="Calibri" w:hAnsi="Arial" w:cs="Arial"/>
                <w:color w:val="000000" w:themeColor="text1"/>
                <w:sz w:val="20"/>
                <w:szCs w:val="20"/>
                <w:lang w:val="hr-HR"/>
              </w:rPr>
            </w:pPr>
          </w:p>
        </w:tc>
      </w:tr>
      <w:tr w:rsidR="004E2F51" w:rsidRPr="00BB3F2C" w14:paraId="737D13E7" w14:textId="77777777" w:rsidTr="00020AA3">
        <w:trPr>
          <w:trHeight w:hRule="exact" w:val="227"/>
        </w:trPr>
        <w:tc>
          <w:tcPr>
            <w:tcW w:w="3912" w:type="dxa"/>
            <w:tcBorders>
              <w:top w:val="nil"/>
              <w:left w:val="nil"/>
              <w:bottom w:val="nil"/>
              <w:right w:val="nil"/>
            </w:tcBorders>
            <w:shd w:val="clear" w:color="auto" w:fill="auto"/>
            <w:vAlign w:val="center"/>
            <w:hideMark/>
          </w:tcPr>
          <w:p w14:paraId="4DF2AE5F" w14:textId="77777777" w:rsidR="004E2F51" w:rsidRPr="00BB3F2C" w:rsidRDefault="004E2F51" w:rsidP="00E032FC">
            <w:pPr>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Obveznice trgovačkih društava</w:t>
            </w:r>
          </w:p>
        </w:tc>
        <w:tc>
          <w:tcPr>
            <w:tcW w:w="1417" w:type="dxa"/>
            <w:tcBorders>
              <w:top w:val="nil"/>
              <w:left w:val="nil"/>
              <w:bottom w:val="nil"/>
              <w:right w:val="nil"/>
            </w:tcBorders>
            <w:shd w:val="clear" w:color="auto" w:fill="auto"/>
          </w:tcPr>
          <w:p w14:paraId="7218533E" w14:textId="77777777" w:rsidR="004E2F51" w:rsidRPr="00BB3F2C"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464</w:t>
            </w:r>
          </w:p>
        </w:tc>
        <w:tc>
          <w:tcPr>
            <w:tcW w:w="1417" w:type="dxa"/>
            <w:tcBorders>
              <w:top w:val="nil"/>
              <w:left w:val="nil"/>
              <w:bottom w:val="nil"/>
              <w:right w:val="nil"/>
            </w:tcBorders>
            <w:shd w:val="clear" w:color="auto" w:fill="auto"/>
          </w:tcPr>
          <w:p w14:paraId="2A3E5E79" w14:textId="77777777" w:rsidR="004E2F51" w:rsidRPr="00BB3F2C" w:rsidRDefault="004E2F51" w:rsidP="00E032FC">
            <w:pPr>
              <w:jc w:val="right"/>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532</w:t>
            </w:r>
          </w:p>
        </w:tc>
        <w:tc>
          <w:tcPr>
            <w:tcW w:w="1417" w:type="dxa"/>
            <w:tcBorders>
              <w:top w:val="nil"/>
              <w:left w:val="nil"/>
              <w:bottom w:val="nil"/>
              <w:right w:val="nil"/>
            </w:tcBorders>
            <w:shd w:val="clear" w:color="auto" w:fill="auto"/>
          </w:tcPr>
          <w:p w14:paraId="35BAFFA1" w14:textId="77777777" w:rsidR="004E2F51" w:rsidRPr="00BB3F2C"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464</w:t>
            </w:r>
          </w:p>
        </w:tc>
        <w:tc>
          <w:tcPr>
            <w:tcW w:w="1417" w:type="dxa"/>
            <w:tcBorders>
              <w:top w:val="nil"/>
              <w:left w:val="nil"/>
              <w:bottom w:val="nil"/>
              <w:right w:val="nil"/>
            </w:tcBorders>
            <w:shd w:val="clear" w:color="auto" w:fill="auto"/>
          </w:tcPr>
          <w:p w14:paraId="61ED9BC1" w14:textId="77777777" w:rsidR="004E2F51" w:rsidRPr="00BB3F2C" w:rsidRDefault="004E2F51" w:rsidP="00E032FC">
            <w:pPr>
              <w:jc w:val="right"/>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532</w:t>
            </w:r>
          </w:p>
        </w:tc>
      </w:tr>
      <w:tr w:rsidR="004E2F51" w:rsidRPr="00BB3F2C" w14:paraId="2BB1D1EA" w14:textId="77777777" w:rsidTr="00020AA3">
        <w:trPr>
          <w:trHeight w:hRule="exact" w:val="227"/>
        </w:trPr>
        <w:tc>
          <w:tcPr>
            <w:tcW w:w="3912" w:type="dxa"/>
            <w:tcBorders>
              <w:top w:val="nil"/>
              <w:left w:val="nil"/>
              <w:bottom w:val="nil"/>
              <w:right w:val="nil"/>
            </w:tcBorders>
            <w:shd w:val="clear" w:color="auto" w:fill="auto"/>
            <w:vAlign w:val="center"/>
          </w:tcPr>
          <w:p w14:paraId="20716820" w14:textId="77777777" w:rsidR="004E2F51" w:rsidRPr="00BB3F2C" w:rsidRDefault="004E2F51" w:rsidP="00E032FC">
            <w:pPr>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Zamjenjive obveznice – CB</w:t>
            </w:r>
          </w:p>
        </w:tc>
        <w:tc>
          <w:tcPr>
            <w:tcW w:w="1417" w:type="dxa"/>
            <w:tcBorders>
              <w:top w:val="nil"/>
              <w:left w:val="nil"/>
              <w:bottom w:val="nil"/>
              <w:right w:val="nil"/>
            </w:tcBorders>
            <w:shd w:val="clear" w:color="auto" w:fill="auto"/>
          </w:tcPr>
          <w:p w14:paraId="39B459FC" w14:textId="77777777" w:rsidR="004E2F51" w:rsidRPr="00BB3F2C"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1.472</w:t>
            </w:r>
          </w:p>
        </w:tc>
        <w:tc>
          <w:tcPr>
            <w:tcW w:w="1417" w:type="dxa"/>
            <w:tcBorders>
              <w:top w:val="nil"/>
              <w:left w:val="nil"/>
              <w:bottom w:val="nil"/>
              <w:right w:val="nil"/>
            </w:tcBorders>
            <w:shd w:val="clear" w:color="auto" w:fill="auto"/>
          </w:tcPr>
          <w:p w14:paraId="56ECE187" w14:textId="77777777" w:rsidR="004E2F51" w:rsidRPr="00BB3F2C" w:rsidRDefault="004E2F51" w:rsidP="00E032FC">
            <w:pPr>
              <w:jc w:val="right"/>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1.397</w:t>
            </w:r>
          </w:p>
        </w:tc>
        <w:tc>
          <w:tcPr>
            <w:tcW w:w="1417" w:type="dxa"/>
            <w:tcBorders>
              <w:top w:val="nil"/>
              <w:left w:val="nil"/>
              <w:bottom w:val="nil"/>
              <w:right w:val="nil"/>
            </w:tcBorders>
            <w:shd w:val="clear" w:color="auto" w:fill="auto"/>
          </w:tcPr>
          <w:p w14:paraId="5894CEBC" w14:textId="77777777" w:rsidR="004E2F51" w:rsidRPr="00BB3F2C"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1.472</w:t>
            </w:r>
          </w:p>
        </w:tc>
        <w:tc>
          <w:tcPr>
            <w:tcW w:w="1417" w:type="dxa"/>
            <w:tcBorders>
              <w:top w:val="nil"/>
              <w:left w:val="nil"/>
              <w:bottom w:val="nil"/>
              <w:right w:val="nil"/>
            </w:tcBorders>
            <w:shd w:val="clear" w:color="auto" w:fill="auto"/>
          </w:tcPr>
          <w:p w14:paraId="5FCBE234" w14:textId="77777777" w:rsidR="004E2F51" w:rsidRPr="00BB3F2C" w:rsidRDefault="004E2F51" w:rsidP="00E032FC">
            <w:pPr>
              <w:jc w:val="right"/>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1.397</w:t>
            </w:r>
          </w:p>
        </w:tc>
      </w:tr>
      <w:tr w:rsidR="004E2F51" w:rsidRPr="00BB3F2C" w14:paraId="0B0DC00D" w14:textId="77777777" w:rsidTr="00020AA3">
        <w:trPr>
          <w:trHeight w:hRule="exact" w:val="227"/>
        </w:trPr>
        <w:tc>
          <w:tcPr>
            <w:tcW w:w="3912" w:type="dxa"/>
            <w:tcBorders>
              <w:top w:val="nil"/>
              <w:left w:val="nil"/>
              <w:bottom w:val="nil"/>
              <w:right w:val="nil"/>
            </w:tcBorders>
            <w:shd w:val="clear" w:color="auto" w:fill="auto"/>
            <w:vAlign w:val="center"/>
            <w:hideMark/>
          </w:tcPr>
          <w:p w14:paraId="5FCEBC7F" w14:textId="77777777" w:rsidR="004E2F51" w:rsidRPr="00BB3F2C" w:rsidRDefault="004E2F51" w:rsidP="00E032FC">
            <w:pPr>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Obračunata kamata</w:t>
            </w:r>
          </w:p>
        </w:tc>
        <w:tc>
          <w:tcPr>
            <w:tcW w:w="1417" w:type="dxa"/>
            <w:tcBorders>
              <w:top w:val="nil"/>
              <w:left w:val="nil"/>
              <w:bottom w:val="nil"/>
              <w:right w:val="nil"/>
            </w:tcBorders>
            <w:shd w:val="clear" w:color="auto" w:fill="auto"/>
          </w:tcPr>
          <w:p w14:paraId="192240B6" w14:textId="77777777" w:rsidR="004E2F51" w:rsidRPr="00BB3F2C"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32</w:t>
            </w:r>
          </w:p>
        </w:tc>
        <w:tc>
          <w:tcPr>
            <w:tcW w:w="1417" w:type="dxa"/>
            <w:tcBorders>
              <w:top w:val="nil"/>
              <w:left w:val="nil"/>
              <w:bottom w:val="nil"/>
              <w:right w:val="nil"/>
            </w:tcBorders>
            <w:shd w:val="clear" w:color="auto" w:fill="auto"/>
          </w:tcPr>
          <w:p w14:paraId="52194129" w14:textId="77777777" w:rsidR="004E2F51" w:rsidRPr="00BB3F2C" w:rsidRDefault="004E2F51" w:rsidP="00E032FC">
            <w:pPr>
              <w:jc w:val="right"/>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247</w:t>
            </w:r>
          </w:p>
        </w:tc>
        <w:tc>
          <w:tcPr>
            <w:tcW w:w="1417" w:type="dxa"/>
            <w:tcBorders>
              <w:top w:val="nil"/>
              <w:left w:val="nil"/>
              <w:bottom w:val="nil"/>
              <w:right w:val="nil"/>
            </w:tcBorders>
            <w:shd w:val="clear" w:color="auto" w:fill="auto"/>
          </w:tcPr>
          <w:p w14:paraId="2DE5A0D5" w14:textId="77777777" w:rsidR="004E2F51" w:rsidRPr="00BB3F2C"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32</w:t>
            </w:r>
          </w:p>
        </w:tc>
        <w:tc>
          <w:tcPr>
            <w:tcW w:w="1417" w:type="dxa"/>
            <w:tcBorders>
              <w:top w:val="nil"/>
              <w:left w:val="nil"/>
              <w:bottom w:val="nil"/>
              <w:right w:val="nil"/>
            </w:tcBorders>
            <w:shd w:val="clear" w:color="auto" w:fill="auto"/>
          </w:tcPr>
          <w:p w14:paraId="5D57C42C" w14:textId="77777777" w:rsidR="004E2F51" w:rsidRPr="00BB3F2C" w:rsidRDefault="004E2F51" w:rsidP="00E032FC">
            <w:pPr>
              <w:jc w:val="right"/>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247</w:t>
            </w:r>
          </w:p>
        </w:tc>
      </w:tr>
      <w:tr w:rsidR="004E2F51" w:rsidRPr="00BB3F2C" w14:paraId="67E15FE9" w14:textId="77777777" w:rsidTr="00020AA3">
        <w:trPr>
          <w:trHeight w:val="281"/>
        </w:trPr>
        <w:tc>
          <w:tcPr>
            <w:tcW w:w="3912" w:type="dxa"/>
            <w:tcBorders>
              <w:top w:val="nil"/>
              <w:left w:val="nil"/>
              <w:bottom w:val="nil"/>
              <w:right w:val="nil"/>
            </w:tcBorders>
            <w:shd w:val="clear" w:color="auto" w:fill="auto"/>
            <w:vAlign w:val="center"/>
            <w:hideMark/>
          </w:tcPr>
          <w:p w14:paraId="298D7410" w14:textId="77777777" w:rsidR="004E2F51" w:rsidRPr="00BB3F2C" w:rsidRDefault="004E2F51" w:rsidP="00E032FC">
            <w:pPr>
              <w:jc w:val="right"/>
              <w:rPr>
                <w:rFonts w:ascii="Arial" w:eastAsia="Calibri" w:hAnsi="Arial" w:cs="Arial"/>
                <w:color w:val="000000" w:themeColor="text1"/>
                <w:sz w:val="20"/>
                <w:szCs w:val="20"/>
                <w:lang w:val="hr-HR"/>
              </w:rPr>
            </w:pPr>
          </w:p>
        </w:tc>
        <w:tc>
          <w:tcPr>
            <w:tcW w:w="1417" w:type="dxa"/>
            <w:tcBorders>
              <w:top w:val="single" w:sz="4" w:space="0" w:color="auto"/>
              <w:left w:val="nil"/>
              <w:bottom w:val="single" w:sz="12" w:space="0" w:color="auto"/>
              <w:right w:val="nil"/>
            </w:tcBorders>
            <w:shd w:val="clear" w:color="auto" w:fill="auto"/>
            <w:vAlign w:val="bottom"/>
          </w:tcPr>
          <w:p w14:paraId="32AA4C46" w14:textId="77777777" w:rsidR="004E2F51" w:rsidRPr="00BB3F2C" w:rsidRDefault="004E2F51" w:rsidP="00E032FC">
            <w:pPr>
              <w:jc w:val="right"/>
              <w:rPr>
                <w:rFonts w:ascii="Arial" w:eastAsia="Calibri" w:hAnsi="Arial" w:cs="Arial"/>
                <w:b/>
                <w:bCs/>
                <w:color w:val="000000" w:themeColor="text1"/>
                <w:sz w:val="20"/>
                <w:szCs w:val="20"/>
                <w:lang w:val="hr-HR"/>
              </w:rPr>
            </w:pPr>
            <w:r>
              <w:rPr>
                <w:rFonts w:ascii="Arial" w:eastAsia="Calibri" w:hAnsi="Arial" w:cs="Arial"/>
                <w:b/>
                <w:bCs/>
                <w:color w:val="000000" w:themeColor="text1"/>
                <w:sz w:val="20"/>
                <w:szCs w:val="20"/>
                <w:lang w:val="hr-HR"/>
              </w:rPr>
              <w:t>1.968</w:t>
            </w:r>
          </w:p>
        </w:tc>
        <w:tc>
          <w:tcPr>
            <w:tcW w:w="1417" w:type="dxa"/>
            <w:tcBorders>
              <w:top w:val="single" w:sz="4" w:space="0" w:color="auto"/>
              <w:left w:val="nil"/>
              <w:bottom w:val="single" w:sz="12" w:space="0" w:color="auto"/>
              <w:right w:val="nil"/>
            </w:tcBorders>
            <w:shd w:val="clear" w:color="auto" w:fill="auto"/>
            <w:vAlign w:val="bottom"/>
          </w:tcPr>
          <w:p w14:paraId="4A3CF7B0" w14:textId="77777777" w:rsidR="004E2F51" w:rsidRPr="00BB3F2C" w:rsidRDefault="004E2F51" w:rsidP="00E032F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2.176</w:t>
            </w:r>
          </w:p>
        </w:tc>
        <w:tc>
          <w:tcPr>
            <w:tcW w:w="1417" w:type="dxa"/>
            <w:tcBorders>
              <w:top w:val="single" w:sz="4" w:space="0" w:color="auto"/>
              <w:left w:val="nil"/>
              <w:bottom w:val="single" w:sz="12" w:space="0" w:color="auto"/>
              <w:right w:val="nil"/>
            </w:tcBorders>
            <w:shd w:val="clear" w:color="auto" w:fill="auto"/>
            <w:vAlign w:val="bottom"/>
          </w:tcPr>
          <w:p w14:paraId="1FF7081C" w14:textId="77777777" w:rsidR="004E2F51" w:rsidRPr="00BB3F2C" w:rsidRDefault="004E2F51" w:rsidP="00E032FC">
            <w:pPr>
              <w:jc w:val="right"/>
              <w:rPr>
                <w:rFonts w:ascii="Arial" w:eastAsia="Calibri" w:hAnsi="Arial" w:cs="Arial"/>
                <w:b/>
                <w:bCs/>
                <w:color w:val="000000" w:themeColor="text1"/>
                <w:sz w:val="20"/>
                <w:szCs w:val="20"/>
                <w:lang w:val="hr-HR"/>
              </w:rPr>
            </w:pPr>
            <w:r w:rsidRPr="001248EB">
              <w:rPr>
                <w:rFonts w:ascii="Arial" w:eastAsia="Calibri" w:hAnsi="Arial" w:cs="Arial"/>
                <w:b/>
                <w:bCs/>
                <w:color w:val="000000" w:themeColor="text1"/>
                <w:sz w:val="20"/>
                <w:szCs w:val="20"/>
                <w:lang w:val="hr-HR"/>
              </w:rPr>
              <w:t>1.968</w:t>
            </w:r>
          </w:p>
        </w:tc>
        <w:tc>
          <w:tcPr>
            <w:tcW w:w="1417" w:type="dxa"/>
            <w:tcBorders>
              <w:top w:val="single" w:sz="4" w:space="0" w:color="auto"/>
              <w:left w:val="nil"/>
              <w:bottom w:val="single" w:sz="12" w:space="0" w:color="auto"/>
              <w:right w:val="nil"/>
            </w:tcBorders>
            <w:shd w:val="clear" w:color="auto" w:fill="auto"/>
            <w:vAlign w:val="bottom"/>
          </w:tcPr>
          <w:p w14:paraId="62FEE699" w14:textId="77777777" w:rsidR="004E2F51" w:rsidRPr="00BB3F2C" w:rsidRDefault="004E2F51" w:rsidP="00E032F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2.176</w:t>
            </w:r>
          </w:p>
        </w:tc>
      </w:tr>
      <w:tr w:rsidR="004E2F51" w:rsidRPr="00BB3F2C" w14:paraId="26B1356B" w14:textId="77777777" w:rsidTr="00020AA3">
        <w:trPr>
          <w:trHeight w:hRule="exact" w:val="170"/>
        </w:trPr>
        <w:tc>
          <w:tcPr>
            <w:tcW w:w="3912" w:type="dxa"/>
            <w:tcBorders>
              <w:top w:val="nil"/>
              <w:left w:val="nil"/>
              <w:bottom w:val="nil"/>
              <w:right w:val="nil"/>
            </w:tcBorders>
            <w:shd w:val="clear" w:color="auto" w:fill="auto"/>
            <w:vAlign w:val="center"/>
            <w:hideMark/>
          </w:tcPr>
          <w:p w14:paraId="4C294FCD" w14:textId="77777777" w:rsidR="004E2F51" w:rsidRPr="00BB3F2C" w:rsidRDefault="004E2F51" w:rsidP="00E032FC">
            <w:pPr>
              <w:jc w:val="right"/>
              <w:rPr>
                <w:rFonts w:ascii="Arial" w:eastAsia="Calibri" w:hAnsi="Arial" w:cs="Arial"/>
                <w:b/>
                <w:bCs/>
                <w:color w:val="000000" w:themeColor="text1"/>
                <w:sz w:val="20"/>
                <w:szCs w:val="20"/>
                <w:lang w:val="hr-HR"/>
              </w:rPr>
            </w:pPr>
          </w:p>
        </w:tc>
        <w:tc>
          <w:tcPr>
            <w:tcW w:w="1417" w:type="dxa"/>
            <w:tcBorders>
              <w:top w:val="single" w:sz="12" w:space="0" w:color="auto"/>
              <w:left w:val="nil"/>
              <w:bottom w:val="nil"/>
              <w:right w:val="nil"/>
            </w:tcBorders>
            <w:shd w:val="clear" w:color="auto" w:fill="auto"/>
            <w:vAlign w:val="bottom"/>
          </w:tcPr>
          <w:p w14:paraId="67E7435D" w14:textId="77777777" w:rsidR="004E2F51" w:rsidRPr="00BB3F2C" w:rsidRDefault="004E2F51" w:rsidP="00E032FC">
            <w:pPr>
              <w:rPr>
                <w:rFonts w:ascii="Arial" w:eastAsia="Calibri" w:hAnsi="Arial" w:cs="Arial"/>
                <w:color w:val="000000" w:themeColor="text1"/>
                <w:sz w:val="20"/>
                <w:szCs w:val="20"/>
                <w:lang w:val="hr-HR"/>
              </w:rPr>
            </w:pPr>
          </w:p>
        </w:tc>
        <w:tc>
          <w:tcPr>
            <w:tcW w:w="1417" w:type="dxa"/>
            <w:tcBorders>
              <w:top w:val="single" w:sz="12" w:space="0" w:color="auto"/>
              <w:left w:val="nil"/>
              <w:bottom w:val="nil"/>
              <w:right w:val="nil"/>
            </w:tcBorders>
            <w:shd w:val="clear" w:color="auto" w:fill="auto"/>
            <w:vAlign w:val="bottom"/>
          </w:tcPr>
          <w:p w14:paraId="2E102319" w14:textId="77777777" w:rsidR="004E2F51" w:rsidRPr="00BB3F2C" w:rsidRDefault="004E2F51" w:rsidP="00E032FC">
            <w:pPr>
              <w:rPr>
                <w:rFonts w:ascii="Arial" w:eastAsia="Calibri" w:hAnsi="Arial" w:cs="Arial"/>
                <w:color w:val="000000" w:themeColor="text1"/>
                <w:sz w:val="20"/>
                <w:szCs w:val="20"/>
                <w:lang w:val="hr-HR"/>
              </w:rPr>
            </w:pPr>
          </w:p>
        </w:tc>
        <w:tc>
          <w:tcPr>
            <w:tcW w:w="1417" w:type="dxa"/>
            <w:tcBorders>
              <w:top w:val="single" w:sz="12" w:space="0" w:color="auto"/>
              <w:left w:val="nil"/>
              <w:bottom w:val="nil"/>
              <w:right w:val="nil"/>
            </w:tcBorders>
            <w:shd w:val="clear" w:color="auto" w:fill="auto"/>
            <w:vAlign w:val="bottom"/>
          </w:tcPr>
          <w:p w14:paraId="3C1F4788" w14:textId="77777777" w:rsidR="004E2F51" w:rsidRPr="00BB3F2C" w:rsidRDefault="004E2F51" w:rsidP="00E032FC">
            <w:pPr>
              <w:jc w:val="right"/>
              <w:rPr>
                <w:rFonts w:ascii="Arial" w:eastAsia="Calibri" w:hAnsi="Arial" w:cs="Arial"/>
                <w:color w:val="000000" w:themeColor="text1"/>
                <w:sz w:val="20"/>
                <w:szCs w:val="20"/>
                <w:lang w:val="hr-HR"/>
              </w:rPr>
            </w:pPr>
          </w:p>
        </w:tc>
        <w:tc>
          <w:tcPr>
            <w:tcW w:w="1417" w:type="dxa"/>
            <w:tcBorders>
              <w:top w:val="single" w:sz="12" w:space="0" w:color="auto"/>
              <w:left w:val="nil"/>
              <w:bottom w:val="nil"/>
              <w:right w:val="nil"/>
            </w:tcBorders>
            <w:shd w:val="clear" w:color="auto" w:fill="auto"/>
            <w:vAlign w:val="bottom"/>
          </w:tcPr>
          <w:p w14:paraId="1707F0E5" w14:textId="77777777" w:rsidR="004E2F51" w:rsidRPr="00BB3F2C" w:rsidRDefault="004E2F51" w:rsidP="00E032FC">
            <w:pPr>
              <w:jc w:val="right"/>
              <w:rPr>
                <w:rFonts w:ascii="Arial" w:eastAsia="Calibri" w:hAnsi="Arial" w:cs="Arial"/>
                <w:color w:val="000000" w:themeColor="text1"/>
                <w:sz w:val="20"/>
                <w:szCs w:val="20"/>
                <w:lang w:val="hr-HR"/>
              </w:rPr>
            </w:pPr>
          </w:p>
        </w:tc>
      </w:tr>
      <w:tr w:rsidR="004E2F51" w:rsidRPr="00BB3F2C" w14:paraId="4F255895" w14:textId="77777777" w:rsidTr="00020AA3">
        <w:trPr>
          <w:trHeight w:val="281"/>
        </w:trPr>
        <w:tc>
          <w:tcPr>
            <w:tcW w:w="3912" w:type="dxa"/>
            <w:tcBorders>
              <w:top w:val="nil"/>
              <w:left w:val="nil"/>
              <w:bottom w:val="nil"/>
              <w:right w:val="nil"/>
            </w:tcBorders>
            <w:shd w:val="clear" w:color="auto" w:fill="auto"/>
            <w:vAlign w:val="center"/>
            <w:hideMark/>
          </w:tcPr>
          <w:p w14:paraId="775B147F" w14:textId="77777777" w:rsidR="004E2F51" w:rsidRPr="00BB3F2C" w:rsidRDefault="004E2F51" w:rsidP="00E032FC">
            <w:pPr>
              <w:rPr>
                <w:rFonts w:ascii="Arial" w:eastAsia="Calibri" w:hAnsi="Arial" w:cs="Arial"/>
                <w:b/>
                <w:bCs/>
                <w:i/>
                <w:iCs/>
                <w:color w:val="000000" w:themeColor="text1"/>
                <w:sz w:val="20"/>
                <w:szCs w:val="20"/>
                <w:lang w:val="hr-HR"/>
              </w:rPr>
            </w:pPr>
            <w:r w:rsidRPr="00BB3F2C">
              <w:rPr>
                <w:rFonts w:ascii="Arial" w:eastAsia="Calibri" w:hAnsi="Arial" w:cs="Arial"/>
                <w:b/>
                <w:bCs/>
                <w:i/>
                <w:iCs/>
                <w:color w:val="000000" w:themeColor="text1"/>
                <w:sz w:val="20"/>
                <w:szCs w:val="20"/>
                <w:lang w:val="hr-HR"/>
              </w:rPr>
              <w:t>Vlasnički vrijednosni papiri:</w:t>
            </w:r>
          </w:p>
        </w:tc>
        <w:tc>
          <w:tcPr>
            <w:tcW w:w="1417" w:type="dxa"/>
            <w:tcBorders>
              <w:top w:val="nil"/>
              <w:left w:val="nil"/>
              <w:bottom w:val="nil"/>
              <w:right w:val="nil"/>
            </w:tcBorders>
            <w:shd w:val="clear" w:color="auto" w:fill="auto"/>
            <w:vAlign w:val="bottom"/>
          </w:tcPr>
          <w:p w14:paraId="7C2E490A" w14:textId="77777777" w:rsidR="004E2F51" w:rsidRPr="00BB3F2C" w:rsidRDefault="004E2F51" w:rsidP="00E032FC">
            <w:pPr>
              <w:rPr>
                <w:rFonts w:ascii="Arial" w:eastAsia="Calibri" w:hAnsi="Arial" w:cs="Arial"/>
                <w:b/>
                <w:bCs/>
                <w:i/>
                <w:iCs/>
                <w:color w:val="000000" w:themeColor="text1"/>
                <w:sz w:val="20"/>
                <w:szCs w:val="20"/>
                <w:lang w:val="hr-HR"/>
              </w:rPr>
            </w:pPr>
          </w:p>
        </w:tc>
        <w:tc>
          <w:tcPr>
            <w:tcW w:w="1417" w:type="dxa"/>
            <w:tcBorders>
              <w:top w:val="nil"/>
              <w:left w:val="nil"/>
              <w:bottom w:val="nil"/>
              <w:right w:val="nil"/>
            </w:tcBorders>
            <w:shd w:val="clear" w:color="auto" w:fill="auto"/>
            <w:vAlign w:val="bottom"/>
          </w:tcPr>
          <w:p w14:paraId="16B4FD0C" w14:textId="77777777" w:rsidR="004E2F51" w:rsidRPr="00BB3F2C" w:rsidRDefault="004E2F51" w:rsidP="00E032FC">
            <w:pPr>
              <w:rPr>
                <w:rFonts w:ascii="Arial" w:eastAsia="Calibri" w:hAnsi="Arial" w:cs="Arial"/>
                <w:b/>
                <w:bCs/>
                <w:i/>
                <w:iCs/>
                <w:color w:val="000000" w:themeColor="text1"/>
                <w:sz w:val="20"/>
                <w:szCs w:val="20"/>
                <w:lang w:val="hr-HR"/>
              </w:rPr>
            </w:pPr>
          </w:p>
        </w:tc>
        <w:tc>
          <w:tcPr>
            <w:tcW w:w="1417" w:type="dxa"/>
            <w:tcBorders>
              <w:top w:val="nil"/>
              <w:left w:val="nil"/>
              <w:bottom w:val="nil"/>
              <w:right w:val="nil"/>
            </w:tcBorders>
            <w:shd w:val="clear" w:color="auto" w:fill="auto"/>
            <w:vAlign w:val="bottom"/>
          </w:tcPr>
          <w:p w14:paraId="385C64F1" w14:textId="77777777" w:rsidR="004E2F51" w:rsidRPr="00BB3F2C" w:rsidRDefault="004E2F51" w:rsidP="00E032FC">
            <w:pPr>
              <w:jc w:val="right"/>
              <w:rPr>
                <w:rFonts w:ascii="Arial" w:eastAsia="Calibri" w:hAnsi="Arial" w:cs="Arial"/>
                <w:color w:val="000000" w:themeColor="text1"/>
                <w:sz w:val="20"/>
                <w:szCs w:val="20"/>
                <w:lang w:val="hr-HR"/>
              </w:rPr>
            </w:pPr>
          </w:p>
        </w:tc>
        <w:tc>
          <w:tcPr>
            <w:tcW w:w="1417" w:type="dxa"/>
            <w:tcBorders>
              <w:top w:val="nil"/>
              <w:left w:val="nil"/>
              <w:bottom w:val="nil"/>
              <w:right w:val="nil"/>
            </w:tcBorders>
            <w:shd w:val="clear" w:color="auto" w:fill="auto"/>
            <w:vAlign w:val="bottom"/>
          </w:tcPr>
          <w:p w14:paraId="4B993223" w14:textId="77777777" w:rsidR="004E2F51" w:rsidRPr="00BB3F2C" w:rsidRDefault="004E2F51" w:rsidP="00E032FC">
            <w:pPr>
              <w:jc w:val="right"/>
              <w:rPr>
                <w:rFonts w:ascii="Arial" w:eastAsia="Calibri" w:hAnsi="Arial" w:cs="Arial"/>
                <w:color w:val="000000" w:themeColor="text1"/>
                <w:sz w:val="20"/>
                <w:szCs w:val="20"/>
                <w:lang w:val="hr-HR"/>
              </w:rPr>
            </w:pPr>
          </w:p>
        </w:tc>
      </w:tr>
      <w:tr w:rsidR="004E2F51" w:rsidRPr="00BB3F2C" w14:paraId="42249586" w14:textId="77777777" w:rsidTr="00020AA3">
        <w:trPr>
          <w:trHeight w:val="281"/>
        </w:trPr>
        <w:tc>
          <w:tcPr>
            <w:tcW w:w="3912" w:type="dxa"/>
            <w:tcBorders>
              <w:top w:val="nil"/>
              <w:left w:val="nil"/>
              <w:bottom w:val="nil"/>
              <w:right w:val="nil"/>
            </w:tcBorders>
            <w:shd w:val="clear" w:color="auto" w:fill="auto"/>
            <w:vAlign w:val="center"/>
          </w:tcPr>
          <w:p w14:paraId="66C42D3C" w14:textId="77777777" w:rsidR="004E2F51" w:rsidRPr="00BB3F2C" w:rsidRDefault="004E2F51" w:rsidP="00E032FC">
            <w:pPr>
              <w:rPr>
                <w:rFonts w:ascii="Arial" w:eastAsia="Calibri" w:hAnsi="Arial" w:cs="Arial"/>
                <w:b/>
                <w:bCs/>
                <w:iCs/>
                <w:color w:val="000000" w:themeColor="text1"/>
                <w:sz w:val="20"/>
                <w:szCs w:val="20"/>
                <w:lang w:val="hr-HR"/>
              </w:rPr>
            </w:pPr>
            <w:r w:rsidRPr="00BB3F2C">
              <w:rPr>
                <w:rFonts w:ascii="Arial" w:eastAsia="Calibri" w:hAnsi="Arial" w:cs="Arial"/>
                <w:b/>
                <w:bCs/>
                <w:iCs/>
                <w:color w:val="000000" w:themeColor="text1"/>
                <w:sz w:val="20"/>
                <w:szCs w:val="20"/>
                <w:lang w:val="hr-HR"/>
              </w:rPr>
              <w:t>Vlasnički vrijednosni papiri koji ne kotiraju:</w:t>
            </w:r>
          </w:p>
        </w:tc>
        <w:tc>
          <w:tcPr>
            <w:tcW w:w="1417" w:type="dxa"/>
            <w:tcBorders>
              <w:top w:val="nil"/>
              <w:left w:val="nil"/>
              <w:bottom w:val="nil"/>
              <w:right w:val="nil"/>
            </w:tcBorders>
            <w:shd w:val="clear" w:color="auto" w:fill="auto"/>
            <w:vAlign w:val="bottom"/>
          </w:tcPr>
          <w:p w14:paraId="0F084039" w14:textId="77777777" w:rsidR="004E2F51" w:rsidRPr="00BB3F2C" w:rsidRDefault="004E2F51" w:rsidP="00E032FC">
            <w:pPr>
              <w:rPr>
                <w:rFonts w:ascii="Arial" w:eastAsia="Calibri" w:hAnsi="Arial" w:cs="Arial"/>
                <w:b/>
                <w:bCs/>
                <w:i/>
                <w:iCs/>
                <w:color w:val="000000" w:themeColor="text1"/>
                <w:sz w:val="20"/>
                <w:szCs w:val="20"/>
                <w:lang w:val="hr-HR"/>
              </w:rPr>
            </w:pPr>
          </w:p>
        </w:tc>
        <w:tc>
          <w:tcPr>
            <w:tcW w:w="1417" w:type="dxa"/>
            <w:tcBorders>
              <w:top w:val="nil"/>
              <w:left w:val="nil"/>
              <w:bottom w:val="nil"/>
              <w:right w:val="nil"/>
            </w:tcBorders>
            <w:shd w:val="clear" w:color="auto" w:fill="auto"/>
            <w:vAlign w:val="bottom"/>
          </w:tcPr>
          <w:p w14:paraId="4A9493FD" w14:textId="77777777" w:rsidR="004E2F51" w:rsidRPr="00BB3F2C" w:rsidRDefault="004E2F51" w:rsidP="00E032FC">
            <w:pPr>
              <w:rPr>
                <w:rFonts w:ascii="Arial" w:eastAsia="Calibri" w:hAnsi="Arial" w:cs="Arial"/>
                <w:b/>
                <w:bCs/>
                <w:i/>
                <w:iCs/>
                <w:color w:val="000000" w:themeColor="text1"/>
                <w:sz w:val="20"/>
                <w:szCs w:val="20"/>
                <w:lang w:val="hr-HR"/>
              </w:rPr>
            </w:pPr>
          </w:p>
        </w:tc>
        <w:tc>
          <w:tcPr>
            <w:tcW w:w="1417" w:type="dxa"/>
            <w:tcBorders>
              <w:top w:val="nil"/>
              <w:left w:val="nil"/>
              <w:bottom w:val="nil"/>
              <w:right w:val="nil"/>
            </w:tcBorders>
            <w:shd w:val="clear" w:color="auto" w:fill="auto"/>
            <w:vAlign w:val="bottom"/>
          </w:tcPr>
          <w:p w14:paraId="40FE1D1D" w14:textId="77777777" w:rsidR="004E2F51" w:rsidRPr="00BB3F2C" w:rsidRDefault="004E2F51" w:rsidP="00E032FC">
            <w:pPr>
              <w:jc w:val="right"/>
              <w:rPr>
                <w:rFonts w:ascii="Arial" w:eastAsia="Calibri" w:hAnsi="Arial" w:cs="Arial"/>
                <w:color w:val="000000" w:themeColor="text1"/>
                <w:sz w:val="20"/>
                <w:szCs w:val="20"/>
                <w:lang w:val="hr-HR"/>
              </w:rPr>
            </w:pPr>
          </w:p>
        </w:tc>
        <w:tc>
          <w:tcPr>
            <w:tcW w:w="1417" w:type="dxa"/>
            <w:tcBorders>
              <w:top w:val="nil"/>
              <w:left w:val="nil"/>
              <w:bottom w:val="nil"/>
              <w:right w:val="nil"/>
            </w:tcBorders>
            <w:shd w:val="clear" w:color="auto" w:fill="auto"/>
            <w:vAlign w:val="bottom"/>
          </w:tcPr>
          <w:p w14:paraId="6FAFB0F5" w14:textId="77777777" w:rsidR="004E2F51" w:rsidRPr="00BB3F2C" w:rsidRDefault="004E2F51" w:rsidP="00E032FC">
            <w:pPr>
              <w:jc w:val="right"/>
              <w:rPr>
                <w:rFonts w:ascii="Arial" w:eastAsia="Calibri" w:hAnsi="Arial" w:cs="Arial"/>
                <w:color w:val="000000" w:themeColor="text1"/>
                <w:sz w:val="20"/>
                <w:szCs w:val="20"/>
                <w:lang w:val="hr-HR"/>
              </w:rPr>
            </w:pPr>
          </w:p>
        </w:tc>
      </w:tr>
      <w:tr w:rsidR="004E2F51" w:rsidRPr="00BB3F2C" w14:paraId="4359D4A3" w14:textId="77777777" w:rsidTr="009620F6">
        <w:trPr>
          <w:trHeight w:hRule="exact" w:val="431"/>
        </w:trPr>
        <w:tc>
          <w:tcPr>
            <w:tcW w:w="3912" w:type="dxa"/>
            <w:tcBorders>
              <w:top w:val="nil"/>
              <w:left w:val="nil"/>
              <w:bottom w:val="nil"/>
              <w:right w:val="nil"/>
            </w:tcBorders>
            <w:shd w:val="clear" w:color="auto" w:fill="auto"/>
            <w:vAlign w:val="center"/>
            <w:hideMark/>
          </w:tcPr>
          <w:p w14:paraId="10890C86" w14:textId="77777777" w:rsidR="004E2F51" w:rsidRPr="00BB3F2C" w:rsidRDefault="004E2F51" w:rsidP="00E032FC">
            <w:pPr>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Dionice inozemnim pravnih osoba - SWIFT</w:t>
            </w:r>
          </w:p>
        </w:tc>
        <w:tc>
          <w:tcPr>
            <w:tcW w:w="1417" w:type="dxa"/>
            <w:tcBorders>
              <w:top w:val="nil"/>
              <w:left w:val="nil"/>
              <w:bottom w:val="nil"/>
              <w:right w:val="nil"/>
            </w:tcBorders>
            <w:shd w:val="clear" w:color="auto" w:fill="auto"/>
            <w:vAlign w:val="bottom"/>
          </w:tcPr>
          <w:p w14:paraId="74B23829" w14:textId="77777777" w:rsidR="004E2F51" w:rsidRPr="00BB3F2C"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55</w:t>
            </w:r>
          </w:p>
        </w:tc>
        <w:tc>
          <w:tcPr>
            <w:tcW w:w="1417" w:type="dxa"/>
            <w:tcBorders>
              <w:top w:val="nil"/>
              <w:left w:val="nil"/>
              <w:bottom w:val="nil"/>
              <w:right w:val="nil"/>
            </w:tcBorders>
            <w:shd w:val="clear" w:color="auto" w:fill="auto"/>
            <w:vAlign w:val="bottom"/>
          </w:tcPr>
          <w:p w14:paraId="742161AC" w14:textId="77777777" w:rsidR="004E2F51" w:rsidRPr="00BB3F2C" w:rsidRDefault="004E2F51" w:rsidP="00E032FC">
            <w:pPr>
              <w:jc w:val="right"/>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45</w:t>
            </w:r>
          </w:p>
        </w:tc>
        <w:tc>
          <w:tcPr>
            <w:tcW w:w="1417" w:type="dxa"/>
            <w:tcBorders>
              <w:top w:val="nil"/>
              <w:left w:val="nil"/>
              <w:bottom w:val="nil"/>
              <w:right w:val="nil"/>
            </w:tcBorders>
            <w:shd w:val="clear" w:color="auto" w:fill="auto"/>
            <w:vAlign w:val="bottom"/>
          </w:tcPr>
          <w:p w14:paraId="3FACE92A" w14:textId="77777777" w:rsidR="004E2F51" w:rsidRPr="00BB3F2C"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55</w:t>
            </w:r>
          </w:p>
        </w:tc>
        <w:tc>
          <w:tcPr>
            <w:tcW w:w="1417" w:type="dxa"/>
            <w:tcBorders>
              <w:top w:val="nil"/>
              <w:left w:val="nil"/>
              <w:bottom w:val="nil"/>
              <w:right w:val="nil"/>
            </w:tcBorders>
            <w:shd w:val="clear" w:color="auto" w:fill="auto"/>
            <w:vAlign w:val="bottom"/>
          </w:tcPr>
          <w:p w14:paraId="6779B677" w14:textId="77777777" w:rsidR="004E2F51" w:rsidRPr="00BB3F2C" w:rsidRDefault="004E2F51" w:rsidP="00E032FC">
            <w:pPr>
              <w:jc w:val="right"/>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45</w:t>
            </w:r>
          </w:p>
        </w:tc>
      </w:tr>
      <w:tr w:rsidR="004E2F51" w:rsidRPr="00BB3F2C" w14:paraId="27C07E9B" w14:textId="77777777" w:rsidTr="00020AA3">
        <w:trPr>
          <w:trHeight w:hRule="exact" w:val="420"/>
        </w:trPr>
        <w:tc>
          <w:tcPr>
            <w:tcW w:w="3912" w:type="dxa"/>
            <w:tcBorders>
              <w:top w:val="nil"/>
              <w:left w:val="nil"/>
              <w:bottom w:val="nil"/>
              <w:right w:val="nil"/>
            </w:tcBorders>
            <w:shd w:val="clear" w:color="auto" w:fill="auto"/>
            <w:vAlign w:val="center"/>
            <w:hideMark/>
          </w:tcPr>
          <w:p w14:paraId="683F5026" w14:textId="77777777" w:rsidR="004E2F51" w:rsidRPr="00BB3F2C" w:rsidRDefault="004E2F51" w:rsidP="00E032FC">
            <w:pPr>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Dionice inozemnih financijskih institucija - EIF</w:t>
            </w:r>
          </w:p>
        </w:tc>
        <w:tc>
          <w:tcPr>
            <w:tcW w:w="1417" w:type="dxa"/>
            <w:tcBorders>
              <w:top w:val="nil"/>
              <w:left w:val="nil"/>
              <w:bottom w:val="nil"/>
              <w:right w:val="nil"/>
            </w:tcBorders>
            <w:shd w:val="clear" w:color="auto" w:fill="auto"/>
            <w:vAlign w:val="bottom"/>
          </w:tcPr>
          <w:p w14:paraId="5FF2A0F6" w14:textId="77777777" w:rsidR="004E2F51" w:rsidRPr="00BB3F2C"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53.120</w:t>
            </w:r>
          </w:p>
        </w:tc>
        <w:tc>
          <w:tcPr>
            <w:tcW w:w="1417" w:type="dxa"/>
            <w:tcBorders>
              <w:top w:val="nil"/>
              <w:left w:val="nil"/>
              <w:bottom w:val="nil"/>
              <w:right w:val="nil"/>
            </w:tcBorders>
            <w:shd w:val="clear" w:color="auto" w:fill="auto"/>
            <w:vAlign w:val="bottom"/>
          </w:tcPr>
          <w:p w14:paraId="7A15F16E" w14:textId="77777777" w:rsidR="004E2F51" w:rsidRPr="00BB3F2C" w:rsidRDefault="004E2F51" w:rsidP="00E032FC">
            <w:pPr>
              <w:jc w:val="right"/>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42.971</w:t>
            </w:r>
          </w:p>
        </w:tc>
        <w:tc>
          <w:tcPr>
            <w:tcW w:w="1417" w:type="dxa"/>
            <w:tcBorders>
              <w:top w:val="nil"/>
              <w:left w:val="nil"/>
              <w:bottom w:val="nil"/>
              <w:right w:val="nil"/>
            </w:tcBorders>
            <w:shd w:val="clear" w:color="auto" w:fill="auto"/>
            <w:vAlign w:val="bottom"/>
          </w:tcPr>
          <w:p w14:paraId="36DBF0AA" w14:textId="77777777" w:rsidR="004E2F51" w:rsidRPr="00BB3F2C"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53.120</w:t>
            </w:r>
          </w:p>
        </w:tc>
        <w:tc>
          <w:tcPr>
            <w:tcW w:w="1417" w:type="dxa"/>
            <w:tcBorders>
              <w:top w:val="nil"/>
              <w:left w:val="nil"/>
              <w:bottom w:val="nil"/>
              <w:right w:val="nil"/>
            </w:tcBorders>
            <w:shd w:val="clear" w:color="auto" w:fill="auto"/>
            <w:vAlign w:val="bottom"/>
          </w:tcPr>
          <w:p w14:paraId="2EAC6C38" w14:textId="77777777" w:rsidR="004E2F51" w:rsidRPr="00BB3F2C" w:rsidRDefault="004E2F51" w:rsidP="00E032FC">
            <w:pPr>
              <w:jc w:val="right"/>
              <w:rPr>
                <w:rFonts w:ascii="Arial" w:eastAsia="Calibri" w:hAnsi="Arial" w:cs="Arial"/>
                <w:color w:val="000000" w:themeColor="text1"/>
                <w:sz w:val="20"/>
                <w:szCs w:val="20"/>
                <w:lang w:val="hr-HR"/>
              </w:rPr>
            </w:pPr>
            <w:r w:rsidRPr="00BB3F2C">
              <w:rPr>
                <w:rFonts w:ascii="Arial" w:eastAsia="Calibri" w:hAnsi="Arial" w:cs="Arial"/>
                <w:color w:val="000000" w:themeColor="text1"/>
                <w:sz w:val="20"/>
                <w:szCs w:val="20"/>
                <w:lang w:val="hr-HR"/>
              </w:rPr>
              <w:t>42.971</w:t>
            </w:r>
          </w:p>
        </w:tc>
      </w:tr>
      <w:tr w:rsidR="004E2F51" w:rsidRPr="00BB3F2C" w14:paraId="3D186FF3" w14:textId="77777777" w:rsidTr="00020AA3">
        <w:trPr>
          <w:trHeight w:val="281"/>
        </w:trPr>
        <w:tc>
          <w:tcPr>
            <w:tcW w:w="3912" w:type="dxa"/>
            <w:tcBorders>
              <w:top w:val="nil"/>
              <w:left w:val="nil"/>
              <w:bottom w:val="nil"/>
              <w:right w:val="nil"/>
            </w:tcBorders>
            <w:shd w:val="clear" w:color="auto" w:fill="auto"/>
            <w:vAlign w:val="center"/>
            <w:hideMark/>
          </w:tcPr>
          <w:p w14:paraId="1EC5C71E" w14:textId="77777777" w:rsidR="004E2F51" w:rsidRPr="00BB3F2C" w:rsidRDefault="004E2F51" w:rsidP="00E032FC">
            <w:pPr>
              <w:jc w:val="right"/>
              <w:rPr>
                <w:rFonts w:ascii="Arial" w:eastAsia="Calibri" w:hAnsi="Arial" w:cs="Arial"/>
                <w:color w:val="000000" w:themeColor="text1"/>
                <w:sz w:val="20"/>
                <w:szCs w:val="20"/>
                <w:lang w:val="hr-HR"/>
              </w:rPr>
            </w:pPr>
          </w:p>
        </w:tc>
        <w:tc>
          <w:tcPr>
            <w:tcW w:w="1417" w:type="dxa"/>
            <w:tcBorders>
              <w:top w:val="single" w:sz="4" w:space="0" w:color="auto"/>
              <w:left w:val="nil"/>
              <w:bottom w:val="single" w:sz="12" w:space="0" w:color="auto"/>
              <w:right w:val="nil"/>
            </w:tcBorders>
            <w:shd w:val="clear" w:color="auto" w:fill="auto"/>
            <w:vAlign w:val="bottom"/>
          </w:tcPr>
          <w:p w14:paraId="24749654" w14:textId="77777777" w:rsidR="004E2F51" w:rsidRPr="00BB3F2C" w:rsidRDefault="004E2F51" w:rsidP="00E032FC">
            <w:pPr>
              <w:jc w:val="right"/>
              <w:rPr>
                <w:rFonts w:ascii="Arial" w:eastAsia="Calibri" w:hAnsi="Arial" w:cs="Arial"/>
                <w:b/>
                <w:bCs/>
                <w:color w:val="000000" w:themeColor="text1"/>
                <w:sz w:val="20"/>
                <w:szCs w:val="20"/>
                <w:lang w:val="hr-HR"/>
              </w:rPr>
            </w:pPr>
            <w:r w:rsidRPr="001248EB">
              <w:rPr>
                <w:rFonts w:ascii="Arial" w:eastAsia="Calibri" w:hAnsi="Arial" w:cs="Arial"/>
                <w:b/>
                <w:bCs/>
                <w:color w:val="000000" w:themeColor="text1"/>
                <w:sz w:val="20"/>
                <w:szCs w:val="20"/>
                <w:lang w:val="hr-HR"/>
              </w:rPr>
              <w:t>53.175</w:t>
            </w:r>
          </w:p>
        </w:tc>
        <w:tc>
          <w:tcPr>
            <w:tcW w:w="1417" w:type="dxa"/>
            <w:tcBorders>
              <w:top w:val="single" w:sz="4" w:space="0" w:color="auto"/>
              <w:left w:val="nil"/>
              <w:bottom w:val="single" w:sz="12" w:space="0" w:color="auto"/>
              <w:right w:val="nil"/>
            </w:tcBorders>
            <w:shd w:val="clear" w:color="auto" w:fill="auto"/>
            <w:vAlign w:val="bottom"/>
          </w:tcPr>
          <w:p w14:paraId="27B7D27C" w14:textId="77777777" w:rsidR="004E2F51" w:rsidRPr="00BB3F2C" w:rsidRDefault="004E2F51" w:rsidP="00E032F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43.016</w:t>
            </w:r>
          </w:p>
        </w:tc>
        <w:tc>
          <w:tcPr>
            <w:tcW w:w="1417" w:type="dxa"/>
            <w:tcBorders>
              <w:top w:val="single" w:sz="4" w:space="0" w:color="auto"/>
              <w:left w:val="nil"/>
              <w:bottom w:val="single" w:sz="12" w:space="0" w:color="auto"/>
              <w:right w:val="nil"/>
            </w:tcBorders>
            <w:shd w:val="clear" w:color="auto" w:fill="auto"/>
            <w:vAlign w:val="bottom"/>
          </w:tcPr>
          <w:p w14:paraId="52129AD7" w14:textId="77777777" w:rsidR="004E2F51" w:rsidRPr="00BB3F2C" w:rsidRDefault="004E2F51" w:rsidP="00E032FC">
            <w:pPr>
              <w:jc w:val="right"/>
              <w:rPr>
                <w:rFonts w:ascii="Arial" w:eastAsia="Calibri" w:hAnsi="Arial" w:cs="Arial"/>
                <w:b/>
                <w:bCs/>
                <w:color w:val="000000" w:themeColor="text1"/>
                <w:sz w:val="20"/>
                <w:szCs w:val="20"/>
                <w:lang w:val="hr-HR"/>
              </w:rPr>
            </w:pPr>
            <w:r w:rsidRPr="001248EB">
              <w:rPr>
                <w:rFonts w:ascii="Arial" w:eastAsia="Calibri" w:hAnsi="Arial" w:cs="Arial"/>
                <w:b/>
                <w:bCs/>
                <w:color w:val="000000" w:themeColor="text1"/>
                <w:sz w:val="20"/>
                <w:szCs w:val="20"/>
                <w:lang w:val="hr-HR"/>
              </w:rPr>
              <w:t>53.175</w:t>
            </w:r>
          </w:p>
        </w:tc>
        <w:tc>
          <w:tcPr>
            <w:tcW w:w="1417" w:type="dxa"/>
            <w:tcBorders>
              <w:top w:val="single" w:sz="4" w:space="0" w:color="auto"/>
              <w:left w:val="nil"/>
              <w:bottom w:val="single" w:sz="12" w:space="0" w:color="auto"/>
              <w:right w:val="nil"/>
            </w:tcBorders>
            <w:shd w:val="clear" w:color="auto" w:fill="auto"/>
            <w:vAlign w:val="bottom"/>
          </w:tcPr>
          <w:p w14:paraId="2ECB01FF" w14:textId="77777777" w:rsidR="004E2F51" w:rsidRPr="00BB3F2C" w:rsidRDefault="004E2F51" w:rsidP="00E032F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43.016</w:t>
            </w:r>
          </w:p>
        </w:tc>
      </w:tr>
      <w:tr w:rsidR="004E2F51" w:rsidRPr="00BB3F2C" w14:paraId="78D5FE67" w14:textId="77777777" w:rsidTr="00020AA3">
        <w:trPr>
          <w:trHeight w:val="295"/>
        </w:trPr>
        <w:tc>
          <w:tcPr>
            <w:tcW w:w="3912" w:type="dxa"/>
            <w:tcBorders>
              <w:top w:val="nil"/>
              <w:left w:val="nil"/>
              <w:bottom w:val="nil"/>
              <w:right w:val="nil"/>
            </w:tcBorders>
            <w:shd w:val="clear" w:color="auto" w:fill="auto"/>
            <w:vAlign w:val="center"/>
            <w:hideMark/>
          </w:tcPr>
          <w:p w14:paraId="6D8B8EB9" w14:textId="77777777" w:rsidR="004E2F51" w:rsidRPr="00BB3F2C" w:rsidRDefault="004E2F51" w:rsidP="00E032FC">
            <w:pPr>
              <w:jc w:val="right"/>
              <w:rPr>
                <w:rFonts w:ascii="Arial" w:eastAsia="Calibri" w:hAnsi="Arial" w:cs="Arial"/>
                <w:b/>
                <w:bCs/>
                <w:color w:val="000000" w:themeColor="text1"/>
                <w:sz w:val="20"/>
                <w:szCs w:val="20"/>
                <w:lang w:val="hr-HR"/>
              </w:rPr>
            </w:pPr>
          </w:p>
        </w:tc>
        <w:tc>
          <w:tcPr>
            <w:tcW w:w="1417" w:type="dxa"/>
            <w:tcBorders>
              <w:top w:val="single" w:sz="12" w:space="0" w:color="auto"/>
              <w:left w:val="nil"/>
              <w:bottom w:val="single" w:sz="12" w:space="0" w:color="auto"/>
              <w:right w:val="nil"/>
            </w:tcBorders>
            <w:shd w:val="clear" w:color="auto" w:fill="auto"/>
            <w:vAlign w:val="bottom"/>
          </w:tcPr>
          <w:p w14:paraId="1DEF3A0F" w14:textId="77777777" w:rsidR="004E2F51" w:rsidRPr="00BB3F2C" w:rsidRDefault="004E2F51" w:rsidP="00E032FC">
            <w:pPr>
              <w:jc w:val="right"/>
              <w:rPr>
                <w:rFonts w:ascii="Arial" w:eastAsia="Calibri" w:hAnsi="Arial" w:cs="Arial"/>
                <w:b/>
                <w:bCs/>
                <w:color w:val="000000" w:themeColor="text1"/>
                <w:sz w:val="20"/>
                <w:szCs w:val="20"/>
                <w:lang w:val="hr-HR"/>
              </w:rPr>
            </w:pPr>
            <w:r w:rsidRPr="001248EB">
              <w:rPr>
                <w:rFonts w:ascii="Arial" w:eastAsia="Calibri" w:hAnsi="Arial" w:cs="Arial"/>
                <w:b/>
                <w:bCs/>
                <w:color w:val="000000" w:themeColor="text1"/>
                <w:sz w:val="20"/>
                <w:szCs w:val="20"/>
                <w:lang w:val="hr-HR"/>
              </w:rPr>
              <w:t>2.686.622</w:t>
            </w:r>
          </w:p>
        </w:tc>
        <w:tc>
          <w:tcPr>
            <w:tcW w:w="1417" w:type="dxa"/>
            <w:tcBorders>
              <w:top w:val="single" w:sz="12" w:space="0" w:color="auto"/>
              <w:left w:val="nil"/>
              <w:bottom w:val="single" w:sz="12" w:space="0" w:color="auto"/>
              <w:right w:val="nil"/>
            </w:tcBorders>
            <w:shd w:val="clear" w:color="auto" w:fill="auto"/>
            <w:vAlign w:val="bottom"/>
          </w:tcPr>
          <w:p w14:paraId="7D9305D2" w14:textId="77777777" w:rsidR="004E2F51" w:rsidRPr="00BB3F2C" w:rsidRDefault="004E2F51" w:rsidP="00E032F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2.972.530</w:t>
            </w:r>
          </w:p>
        </w:tc>
        <w:tc>
          <w:tcPr>
            <w:tcW w:w="1417" w:type="dxa"/>
            <w:tcBorders>
              <w:top w:val="single" w:sz="12" w:space="0" w:color="auto"/>
              <w:left w:val="nil"/>
              <w:bottom w:val="single" w:sz="12" w:space="0" w:color="auto"/>
              <w:right w:val="nil"/>
            </w:tcBorders>
            <w:shd w:val="clear" w:color="auto" w:fill="auto"/>
            <w:vAlign w:val="bottom"/>
          </w:tcPr>
          <w:p w14:paraId="0C534839" w14:textId="77777777" w:rsidR="004E2F51" w:rsidRPr="00BB3F2C" w:rsidRDefault="004E2F51" w:rsidP="00E032FC">
            <w:pPr>
              <w:jc w:val="right"/>
              <w:rPr>
                <w:rFonts w:ascii="Arial" w:eastAsia="Calibri" w:hAnsi="Arial" w:cs="Arial"/>
                <w:b/>
                <w:bCs/>
                <w:color w:val="000000" w:themeColor="text1"/>
                <w:sz w:val="20"/>
                <w:szCs w:val="20"/>
                <w:lang w:val="hr-HR"/>
              </w:rPr>
            </w:pPr>
            <w:r w:rsidRPr="001248EB">
              <w:rPr>
                <w:rFonts w:ascii="Arial" w:eastAsia="Calibri" w:hAnsi="Arial" w:cs="Arial"/>
                <w:b/>
                <w:bCs/>
                <w:color w:val="000000" w:themeColor="text1"/>
                <w:sz w:val="20"/>
                <w:szCs w:val="20"/>
                <w:lang w:val="hr-HR"/>
              </w:rPr>
              <w:t>2.639.472</w:t>
            </w:r>
          </w:p>
        </w:tc>
        <w:tc>
          <w:tcPr>
            <w:tcW w:w="1417" w:type="dxa"/>
            <w:tcBorders>
              <w:top w:val="single" w:sz="12" w:space="0" w:color="auto"/>
              <w:left w:val="nil"/>
              <w:bottom w:val="single" w:sz="12" w:space="0" w:color="auto"/>
              <w:right w:val="nil"/>
            </w:tcBorders>
            <w:shd w:val="clear" w:color="auto" w:fill="auto"/>
            <w:vAlign w:val="bottom"/>
          </w:tcPr>
          <w:p w14:paraId="72065ACA" w14:textId="77777777" w:rsidR="004E2F51" w:rsidRPr="00BB3F2C" w:rsidRDefault="004E2F51" w:rsidP="00E032FC">
            <w:pPr>
              <w:jc w:val="right"/>
              <w:rPr>
                <w:rFonts w:ascii="Arial" w:eastAsia="Calibri" w:hAnsi="Arial" w:cs="Arial"/>
                <w:b/>
                <w:bCs/>
                <w:color w:val="000000" w:themeColor="text1"/>
                <w:sz w:val="20"/>
                <w:szCs w:val="20"/>
                <w:lang w:val="hr-HR"/>
              </w:rPr>
            </w:pPr>
            <w:r w:rsidRPr="00BB3F2C">
              <w:rPr>
                <w:rFonts w:ascii="Arial" w:eastAsia="Calibri" w:hAnsi="Arial" w:cs="Arial"/>
                <w:b/>
                <w:bCs/>
                <w:color w:val="000000" w:themeColor="text1"/>
                <w:sz w:val="20"/>
                <w:szCs w:val="20"/>
                <w:lang w:val="hr-HR"/>
              </w:rPr>
              <w:t>2.915.704</w:t>
            </w:r>
          </w:p>
        </w:tc>
      </w:tr>
    </w:tbl>
    <w:p w14:paraId="448D9B8C" w14:textId="77777777" w:rsidR="004E2F51" w:rsidRPr="004B4498" w:rsidRDefault="004E2F51" w:rsidP="004E2F51">
      <w:pPr>
        <w:pStyle w:val="T1"/>
        <w:spacing w:before="0" w:after="0" w:line="240" w:lineRule="auto"/>
        <w:rPr>
          <w:rFonts w:cs="Arial"/>
          <w:b w:val="0"/>
          <w:color w:val="000000" w:themeColor="text1"/>
          <w:sz w:val="20"/>
          <w:lang w:val="hr-HR"/>
        </w:rPr>
      </w:pPr>
    </w:p>
    <w:p w14:paraId="07951385" w14:textId="77777777" w:rsidR="004E2F51" w:rsidRPr="004B4498" w:rsidRDefault="004E2F51" w:rsidP="004E2F51">
      <w:pPr>
        <w:jc w:val="both"/>
        <w:rPr>
          <w:rFonts w:ascii="Arial" w:hAnsi="Arial" w:cs="Arial"/>
          <w:sz w:val="20"/>
          <w:szCs w:val="20"/>
          <w:lang w:val="hr-HR"/>
        </w:rPr>
      </w:pPr>
      <w:r w:rsidRPr="004B4498">
        <w:rPr>
          <w:rFonts w:ascii="Arial" w:eastAsia="Calibri" w:hAnsi="Arial" w:cs="Arial"/>
          <w:spacing w:val="-3"/>
          <w:sz w:val="20"/>
          <w:szCs w:val="20"/>
          <w:lang w:val="hr-HR"/>
        </w:rPr>
        <w:t xml:space="preserve">Zamjenjive obveznice (engl. convertible bonds – CB) </w:t>
      </w:r>
      <w:r w:rsidRPr="004B4498">
        <w:rPr>
          <w:rFonts w:ascii="Arial" w:hAnsi="Arial" w:cs="Arial"/>
          <w:sz w:val="20"/>
          <w:szCs w:val="20"/>
          <w:lang w:val="hr-HR"/>
        </w:rPr>
        <w:t>Fortenova Group TopCo B.V.,</w:t>
      </w:r>
      <w:r w:rsidRPr="004B4498">
        <w:rPr>
          <w:rFonts w:ascii="Arial" w:eastAsia="Calibri" w:hAnsi="Arial" w:cs="Arial"/>
          <w:spacing w:val="-3"/>
          <w:sz w:val="20"/>
          <w:szCs w:val="20"/>
          <w:lang w:val="hr-HR"/>
        </w:rPr>
        <w:t xml:space="preserve"> koje ne kotiraju,</w:t>
      </w:r>
      <w:r w:rsidRPr="00BB3F2C">
        <w:rPr>
          <w:rFonts w:ascii="Arial" w:hAnsi="Arial" w:cs="Arial"/>
          <w:sz w:val="20"/>
          <w:szCs w:val="20"/>
          <w:lang w:val="hr-HR"/>
        </w:rPr>
        <w:t xml:space="preserve"> </w:t>
      </w:r>
      <w:r w:rsidRPr="004B4498">
        <w:rPr>
          <w:rFonts w:ascii="Arial" w:eastAsia="Calibri" w:hAnsi="Arial" w:cs="Arial"/>
          <w:spacing w:val="-3"/>
          <w:sz w:val="20"/>
          <w:szCs w:val="20"/>
          <w:lang w:val="hr-HR"/>
        </w:rPr>
        <w:t xml:space="preserve">u iznosu </w:t>
      </w:r>
      <w:r w:rsidRPr="001248EB">
        <w:rPr>
          <w:rFonts w:ascii="Arial" w:eastAsia="Calibri" w:hAnsi="Arial" w:cs="Arial"/>
          <w:spacing w:val="-3"/>
          <w:sz w:val="20"/>
          <w:szCs w:val="20"/>
          <w:lang w:val="hr-HR"/>
        </w:rPr>
        <w:t>od 1.472</w:t>
      </w:r>
      <w:r w:rsidRPr="004B4498">
        <w:rPr>
          <w:rFonts w:ascii="Arial" w:eastAsia="Calibri" w:hAnsi="Arial" w:cs="Arial"/>
          <w:spacing w:val="-3"/>
          <w:sz w:val="20"/>
          <w:szCs w:val="20"/>
          <w:lang w:val="hr-HR"/>
        </w:rPr>
        <w:t xml:space="preserve"> tisuća kuna </w:t>
      </w:r>
      <w:r w:rsidRPr="004B4498">
        <w:rPr>
          <w:rFonts w:ascii="Arial" w:hAnsi="Arial" w:cs="Arial"/>
          <w:color w:val="000000" w:themeColor="text1"/>
          <w:sz w:val="20"/>
          <w:szCs w:val="20"/>
          <w:lang w:val="hr-HR"/>
        </w:rPr>
        <w:t>(31. prosinca 202</w:t>
      </w:r>
      <w:r>
        <w:rPr>
          <w:rFonts w:ascii="Arial" w:hAnsi="Arial" w:cs="Arial"/>
          <w:color w:val="000000" w:themeColor="text1"/>
          <w:sz w:val="20"/>
          <w:szCs w:val="20"/>
          <w:lang w:val="hr-HR"/>
        </w:rPr>
        <w:t>1</w:t>
      </w:r>
      <w:r w:rsidRPr="004B4498">
        <w:rPr>
          <w:rFonts w:ascii="Arial" w:hAnsi="Arial" w:cs="Arial"/>
          <w:color w:val="000000" w:themeColor="text1"/>
          <w:sz w:val="20"/>
          <w:szCs w:val="20"/>
          <w:lang w:val="hr-HR"/>
        </w:rPr>
        <w:t>.: 1.3</w:t>
      </w:r>
      <w:r>
        <w:rPr>
          <w:rFonts w:ascii="Arial" w:hAnsi="Arial" w:cs="Arial"/>
          <w:color w:val="000000" w:themeColor="text1"/>
          <w:sz w:val="20"/>
          <w:szCs w:val="20"/>
          <w:lang w:val="hr-HR"/>
        </w:rPr>
        <w:t>9</w:t>
      </w:r>
      <w:r w:rsidRPr="004B4498">
        <w:rPr>
          <w:rFonts w:ascii="Arial" w:hAnsi="Arial" w:cs="Arial"/>
          <w:color w:val="000000" w:themeColor="text1"/>
          <w:sz w:val="20"/>
          <w:szCs w:val="20"/>
          <w:lang w:val="hr-HR"/>
        </w:rPr>
        <w:t xml:space="preserve">7 tisuća kuna) </w:t>
      </w:r>
      <w:r w:rsidRPr="004B4498">
        <w:rPr>
          <w:rFonts w:ascii="Arial" w:eastAsia="Calibri" w:hAnsi="Arial" w:cs="Arial"/>
          <w:spacing w:val="-3"/>
          <w:sz w:val="20"/>
          <w:szCs w:val="20"/>
          <w:lang w:val="hr-HR"/>
        </w:rPr>
        <w:t xml:space="preserve">preuzete su </w:t>
      </w:r>
      <w:r w:rsidRPr="004B4498">
        <w:rPr>
          <w:rFonts w:ascii="Arial" w:hAnsi="Arial" w:cs="Arial"/>
          <w:sz w:val="20"/>
          <w:szCs w:val="20"/>
          <w:lang w:val="hr-HR"/>
        </w:rPr>
        <w:t>Nagodbom u Postupku izvanredne uprave nad Agrokor d.d. i dr.</w:t>
      </w:r>
    </w:p>
    <w:p w14:paraId="7D1A77A1" w14:textId="77777777" w:rsidR="004E2F51" w:rsidRPr="004B4498" w:rsidRDefault="004E2F51" w:rsidP="004E2F51">
      <w:pPr>
        <w:jc w:val="both"/>
        <w:rPr>
          <w:rFonts w:ascii="Arial" w:hAnsi="Arial" w:cs="Arial"/>
          <w:sz w:val="20"/>
          <w:szCs w:val="20"/>
          <w:lang w:val="hr-HR"/>
        </w:rPr>
      </w:pPr>
    </w:p>
    <w:p w14:paraId="7B6C6308" w14:textId="77777777" w:rsidR="004E2F51" w:rsidRPr="00B91D09" w:rsidRDefault="004E2F51" w:rsidP="004E2F51">
      <w:pPr>
        <w:pStyle w:val="T1"/>
        <w:spacing w:before="0" w:after="0" w:line="240" w:lineRule="auto"/>
        <w:rPr>
          <w:rFonts w:cs="Arial"/>
          <w:b w:val="0"/>
          <w:color w:val="000000" w:themeColor="text1"/>
          <w:sz w:val="22"/>
          <w:szCs w:val="22"/>
          <w:lang w:val="hr-HR"/>
        </w:rPr>
        <w:sectPr w:rsidR="004E2F51" w:rsidRPr="00B91D09" w:rsidSect="00623DBA">
          <w:footerReference w:type="default" r:id="rId130"/>
          <w:pgSz w:w="11907" w:h="16840" w:code="9"/>
          <w:pgMar w:top="1418" w:right="1134" w:bottom="1134" w:left="1418" w:header="851" w:footer="851" w:gutter="0"/>
          <w:cols w:space="720"/>
          <w:noEndnote/>
        </w:sectPr>
      </w:pPr>
    </w:p>
    <w:p w14:paraId="08201A61" w14:textId="77777777" w:rsidR="004E2F51" w:rsidRPr="004B4498" w:rsidRDefault="004E2F51" w:rsidP="004E2F51">
      <w:pPr>
        <w:pStyle w:val="T1"/>
        <w:spacing w:before="0" w:after="0" w:line="240" w:lineRule="auto"/>
        <w:rPr>
          <w:rFonts w:cs="Arial"/>
          <w:b w:val="0"/>
          <w:color w:val="000000" w:themeColor="text1"/>
          <w:sz w:val="20"/>
          <w:lang w:val="hr-HR"/>
        </w:rPr>
      </w:pPr>
    </w:p>
    <w:p w14:paraId="52A0A114" w14:textId="77777777" w:rsidR="004E2F51" w:rsidRPr="004B4498" w:rsidRDefault="004E2F51" w:rsidP="004E2F51">
      <w:pPr>
        <w:pStyle w:val="T1"/>
        <w:spacing w:before="0" w:after="0" w:line="240" w:lineRule="auto"/>
        <w:rPr>
          <w:rFonts w:cs="Arial"/>
          <w:b w:val="0"/>
          <w:color w:val="000000" w:themeColor="text1"/>
          <w:sz w:val="20"/>
          <w:lang w:val="hr-HR"/>
        </w:rPr>
      </w:pPr>
      <w:r w:rsidRPr="004B4498">
        <w:rPr>
          <w:rFonts w:cs="Arial"/>
          <w:color w:val="000000" w:themeColor="text1"/>
          <w:sz w:val="20"/>
          <w:lang w:val="hr-HR"/>
        </w:rPr>
        <w:t>17.</w:t>
      </w:r>
      <w:r w:rsidRPr="004B4498">
        <w:rPr>
          <w:rFonts w:cs="Arial"/>
          <w:color w:val="000000" w:themeColor="text1"/>
          <w:sz w:val="20"/>
          <w:lang w:val="hr-HR"/>
        </w:rPr>
        <w:tab/>
        <w:t>Financijska imovina po fer vrijednosti kroz ostalu sveobuhvatnu dobit (nastavak)</w:t>
      </w:r>
      <w:r w:rsidRPr="004B4498">
        <w:rPr>
          <w:rFonts w:cs="Arial"/>
          <w:color w:val="000000" w:themeColor="text1"/>
          <w:sz w:val="20"/>
          <w:lang w:val="hr-HR"/>
        </w:rPr>
        <w:tab/>
      </w:r>
      <w:r w:rsidRPr="004B4498">
        <w:rPr>
          <w:rFonts w:cs="Arial"/>
          <w:color w:val="000000" w:themeColor="text1"/>
          <w:sz w:val="20"/>
          <w:lang w:val="hr-HR"/>
        </w:rPr>
        <w:tab/>
      </w:r>
      <w:r w:rsidRPr="004B4498">
        <w:rPr>
          <w:rFonts w:cs="Arial"/>
          <w:color w:val="000000" w:themeColor="text1"/>
          <w:sz w:val="20"/>
          <w:lang w:val="hr-HR"/>
        </w:rPr>
        <w:tab/>
      </w:r>
    </w:p>
    <w:p w14:paraId="77504BB0" w14:textId="77777777" w:rsidR="004E2F51" w:rsidRPr="004B4498" w:rsidRDefault="004E2F51" w:rsidP="004E2F51">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Sljedeće tablice prikazuju informacije o kreditnoj kvaliteti financijske imovine koja se mjeri po fer vrijednosti kroz ostalu sveobuhvatnu dobit. Iznosi u tablici predstavljaju bruto knjigovodstvene iznose:</w:t>
      </w:r>
    </w:p>
    <w:tbl>
      <w:tblPr>
        <w:tblpPr w:leftFromText="180" w:rightFromText="180" w:vertAnchor="text" w:horzAnchor="margin" w:tblpXSpec="center" w:tblpY="187"/>
        <w:tblW w:w="10075" w:type="dxa"/>
        <w:tblLayout w:type="fixed"/>
        <w:tblLook w:val="04A0" w:firstRow="1" w:lastRow="0" w:firstColumn="1" w:lastColumn="0" w:noHBand="0" w:noVBand="1"/>
      </w:tblPr>
      <w:tblGrid>
        <w:gridCol w:w="2127"/>
        <w:gridCol w:w="993"/>
        <w:gridCol w:w="994"/>
        <w:gridCol w:w="993"/>
        <w:gridCol w:w="994"/>
        <w:gridCol w:w="993"/>
        <w:gridCol w:w="994"/>
        <w:gridCol w:w="993"/>
        <w:gridCol w:w="994"/>
      </w:tblGrid>
      <w:tr w:rsidR="004E2F51" w:rsidRPr="00BB3F2C" w14:paraId="4AD5CEDB" w14:textId="77777777" w:rsidTr="00E032FC">
        <w:trPr>
          <w:trHeight w:val="270"/>
        </w:trPr>
        <w:tc>
          <w:tcPr>
            <w:tcW w:w="2127" w:type="dxa"/>
            <w:tcBorders>
              <w:top w:val="nil"/>
              <w:left w:val="nil"/>
              <w:bottom w:val="nil"/>
              <w:right w:val="nil"/>
            </w:tcBorders>
            <w:shd w:val="clear" w:color="auto" w:fill="auto"/>
            <w:noWrap/>
            <w:vAlign w:val="bottom"/>
            <w:hideMark/>
          </w:tcPr>
          <w:p w14:paraId="5E748D75" w14:textId="77777777" w:rsidR="004E2F51" w:rsidRPr="004B4498" w:rsidRDefault="004E2F51" w:rsidP="00E032FC">
            <w:pPr>
              <w:rPr>
                <w:rFonts w:ascii="Arial" w:hAnsi="Arial" w:cs="Arial"/>
                <w:b/>
                <w:color w:val="000000" w:themeColor="text1"/>
                <w:sz w:val="17"/>
                <w:szCs w:val="17"/>
                <w:lang w:val="hr-HR"/>
              </w:rPr>
            </w:pPr>
            <w:r w:rsidRPr="004B4498">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2</w:t>
            </w:r>
            <w:r w:rsidRPr="004B4498">
              <w:rPr>
                <w:rFonts w:ascii="Arial" w:hAnsi="Arial" w:cs="Arial"/>
                <w:b/>
                <w:color w:val="000000" w:themeColor="text1"/>
                <w:sz w:val="17"/>
                <w:szCs w:val="17"/>
                <w:lang w:val="hr-HR"/>
              </w:rPr>
              <w:t>.</w:t>
            </w:r>
          </w:p>
        </w:tc>
        <w:tc>
          <w:tcPr>
            <w:tcW w:w="993" w:type="dxa"/>
            <w:tcBorders>
              <w:top w:val="nil"/>
              <w:left w:val="nil"/>
              <w:bottom w:val="nil"/>
              <w:right w:val="nil"/>
            </w:tcBorders>
            <w:shd w:val="clear" w:color="auto" w:fill="auto"/>
            <w:noWrap/>
            <w:vAlign w:val="bottom"/>
            <w:hideMark/>
          </w:tcPr>
          <w:p w14:paraId="38639859" w14:textId="77777777" w:rsidR="004E2F51" w:rsidRPr="004B4498" w:rsidRDefault="004E2F51" w:rsidP="00E032FC">
            <w:pPr>
              <w:jc w:val="right"/>
              <w:rPr>
                <w:rFonts w:ascii="Arial" w:hAnsi="Arial" w:cs="Arial"/>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5FD855D0" w14:textId="77777777" w:rsidR="004E2F51" w:rsidRPr="004B4498" w:rsidRDefault="004E2F51" w:rsidP="00E032FC">
            <w:pPr>
              <w:jc w:val="right"/>
              <w:rPr>
                <w:rFonts w:ascii="Arial" w:hAnsi="Arial" w:cs="Arial"/>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0960F158" w14:textId="77777777" w:rsidR="004E2F51" w:rsidRPr="004B4498" w:rsidRDefault="004E2F51" w:rsidP="00E032FC">
            <w:pPr>
              <w:jc w:val="right"/>
              <w:rPr>
                <w:rFonts w:ascii="Arial" w:hAnsi="Arial" w:cs="Arial"/>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67177C35"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Grupa</w:t>
            </w:r>
          </w:p>
        </w:tc>
        <w:tc>
          <w:tcPr>
            <w:tcW w:w="993" w:type="dxa"/>
            <w:tcBorders>
              <w:top w:val="nil"/>
              <w:left w:val="nil"/>
              <w:bottom w:val="nil"/>
              <w:right w:val="nil"/>
            </w:tcBorders>
            <w:shd w:val="clear" w:color="auto" w:fill="auto"/>
            <w:noWrap/>
            <w:vAlign w:val="bottom"/>
            <w:hideMark/>
          </w:tcPr>
          <w:p w14:paraId="0B04E2C9" w14:textId="77777777" w:rsidR="004E2F51" w:rsidRPr="004B4498" w:rsidRDefault="004E2F51" w:rsidP="00E032F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557CF137" w14:textId="77777777" w:rsidR="004E2F51" w:rsidRPr="004B4498" w:rsidRDefault="004E2F51" w:rsidP="00E032FC">
            <w:pPr>
              <w:jc w:val="right"/>
              <w:rPr>
                <w:rFonts w:ascii="Arial" w:hAnsi="Arial" w:cs="Arial"/>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353EADA9" w14:textId="77777777" w:rsidR="004E2F51" w:rsidRPr="004B4498" w:rsidRDefault="004E2F51" w:rsidP="00E032FC">
            <w:pPr>
              <w:jc w:val="right"/>
              <w:rPr>
                <w:rFonts w:ascii="Arial" w:hAnsi="Arial" w:cs="Arial"/>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40990EB3"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Banka</w:t>
            </w:r>
          </w:p>
        </w:tc>
      </w:tr>
      <w:tr w:rsidR="004E2F51" w:rsidRPr="00BB3F2C" w14:paraId="6972419C" w14:textId="77777777" w:rsidTr="00E032FC">
        <w:trPr>
          <w:trHeight w:val="270"/>
        </w:trPr>
        <w:tc>
          <w:tcPr>
            <w:tcW w:w="2127" w:type="dxa"/>
            <w:tcBorders>
              <w:top w:val="nil"/>
              <w:left w:val="nil"/>
              <w:bottom w:val="nil"/>
              <w:right w:val="nil"/>
            </w:tcBorders>
            <w:shd w:val="clear" w:color="auto" w:fill="auto"/>
            <w:noWrap/>
            <w:vAlign w:val="bottom"/>
            <w:hideMark/>
          </w:tcPr>
          <w:p w14:paraId="076D7BA2" w14:textId="77777777" w:rsidR="004E2F51" w:rsidRPr="004B4498" w:rsidRDefault="004E2F51" w:rsidP="00E032F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0E2CA1B0"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4" w:type="dxa"/>
            <w:tcBorders>
              <w:top w:val="nil"/>
              <w:left w:val="nil"/>
              <w:bottom w:val="nil"/>
              <w:right w:val="nil"/>
            </w:tcBorders>
            <w:shd w:val="clear" w:color="auto" w:fill="auto"/>
            <w:noWrap/>
            <w:vAlign w:val="bottom"/>
            <w:hideMark/>
          </w:tcPr>
          <w:p w14:paraId="61439A61"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3" w:type="dxa"/>
            <w:tcBorders>
              <w:top w:val="nil"/>
              <w:left w:val="nil"/>
              <w:bottom w:val="nil"/>
              <w:right w:val="nil"/>
            </w:tcBorders>
            <w:shd w:val="clear" w:color="auto" w:fill="auto"/>
            <w:noWrap/>
            <w:vAlign w:val="bottom"/>
            <w:hideMark/>
          </w:tcPr>
          <w:p w14:paraId="798652FA"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4" w:type="dxa"/>
            <w:tcBorders>
              <w:top w:val="nil"/>
              <w:left w:val="nil"/>
              <w:bottom w:val="nil"/>
              <w:right w:val="nil"/>
            </w:tcBorders>
            <w:shd w:val="clear" w:color="auto" w:fill="auto"/>
            <w:noWrap/>
            <w:vAlign w:val="bottom"/>
            <w:hideMark/>
          </w:tcPr>
          <w:p w14:paraId="312A358F"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c>
          <w:tcPr>
            <w:tcW w:w="993" w:type="dxa"/>
            <w:tcBorders>
              <w:top w:val="nil"/>
              <w:left w:val="nil"/>
              <w:bottom w:val="nil"/>
              <w:right w:val="nil"/>
            </w:tcBorders>
            <w:shd w:val="clear" w:color="auto" w:fill="auto"/>
            <w:noWrap/>
            <w:vAlign w:val="bottom"/>
            <w:hideMark/>
          </w:tcPr>
          <w:p w14:paraId="3B5588CA"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4" w:type="dxa"/>
            <w:tcBorders>
              <w:top w:val="nil"/>
              <w:left w:val="nil"/>
              <w:bottom w:val="nil"/>
              <w:right w:val="nil"/>
            </w:tcBorders>
            <w:shd w:val="clear" w:color="auto" w:fill="auto"/>
            <w:noWrap/>
            <w:vAlign w:val="bottom"/>
            <w:hideMark/>
          </w:tcPr>
          <w:p w14:paraId="5B6D7F0E"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3" w:type="dxa"/>
            <w:tcBorders>
              <w:top w:val="nil"/>
              <w:left w:val="nil"/>
              <w:bottom w:val="nil"/>
              <w:right w:val="nil"/>
            </w:tcBorders>
            <w:shd w:val="clear" w:color="auto" w:fill="auto"/>
            <w:noWrap/>
            <w:vAlign w:val="bottom"/>
            <w:hideMark/>
          </w:tcPr>
          <w:p w14:paraId="12B0157A"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4" w:type="dxa"/>
            <w:tcBorders>
              <w:top w:val="nil"/>
              <w:left w:val="nil"/>
              <w:bottom w:val="nil"/>
              <w:right w:val="nil"/>
            </w:tcBorders>
            <w:shd w:val="clear" w:color="auto" w:fill="auto"/>
            <w:noWrap/>
            <w:vAlign w:val="bottom"/>
            <w:hideMark/>
          </w:tcPr>
          <w:p w14:paraId="0834B78D"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r>
      <w:tr w:rsidR="004E2F51" w:rsidRPr="00BB3F2C" w14:paraId="2ABA71FD" w14:textId="77777777" w:rsidTr="00E032FC">
        <w:trPr>
          <w:trHeight w:val="270"/>
        </w:trPr>
        <w:tc>
          <w:tcPr>
            <w:tcW w:w="2127" w:type="dxa"/>
            <w:tcBorders>
              <w:top w:val="nil"/>
              <w:left w:val="nil"/>
              <w:bottom w:val="nil"/>
              <w:right w:val="nil"/>
            </w:tcBorders>
            <w:shd w:val="clear" w:color="auto" w:fill="auto"/>
            <w:noWrap/>
            <w:vAlign w:val="bottom"/>
            <w:hideMark/>
          </w:tcPr>
          <w:p w14:paraId="5F4BF003" w14:textId="77777777" w:rsidR="004E2F51" w:rsidRPr="004B4498" w:rsidRDefault="004E2F51" w:rsidP="00E032F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7F4383F8"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4" w:type="dxa"/>
            <w:tcBorders>
              <w:top w:val="nil"/>
              <w:left w:val="nil"/>
              <w:bottom w:val="nil"/>
              <w:right w:val="nil"/>
            </w:tcBorders>
            <w:shd w:val="clear" w:color="auto" w:fill="auto"/>
            <w:noWrap/>
            <w:vAlign w:val="bottom"/>
            <w:hideMark/>
          </w:tcPr>
          <w:p w14:paraId="5C2ABBFA"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3" w:type="dxa"/>
            <w:tcBorders>
              <w:top w:val="nil"/>
              <w:left w:val="nil"/>
              <w:bottom w:val="nil"/>
              <w:right w:val="nil"/>
            </w:tcBorders>
            <w:shd w:val="clear" w:color="auto" w:fill="auto"/>
            <w:noWrap/>
            <w:vAlign w:val="bottom"/>
            <w:hideMark/>
          </w:tcPr>
          <w:p w14:paraId="6E7A3B76"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4" w:type="dxa"/>
            <w:tcBorders>
              <w:top w:val="nil"/>
              <w:left w:val="nil"/>
              <w:bottom w:val="nil"/>
              <w:right w:val="nil"/>
            </w:tcBorders>
            <w:shd w:val="clear" w:color="auto" w:fill="auto"/>
            <w:noWrap/>
            <w:vAlign w:val="bottom"/>
            <w:hideMark/>
          </w:tcPr>
          <w:p w14:paraId="62480F4F"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3" w:type="dxa"/>
            <w:tcBorders>
              <w:top w:val="nil"/>
              <w:left w:val="nil"/>
              <w:bottom w:val="nil"/>
              <w:right w:val="nil"/>
            </w:tcBorders>
            <w:shd w:val="clear" w:color="auto" w:fill="auto"/>
            <w:noWrap/>
            <w:vAlign w:val="bottom"/>
            <w:hideMark/>
          </w:tcPr>
          <w:p w14:paraId="018023D8"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4" w:type="dxa"/>
            <w:tcBorders>
              <w:top w:val="nil"/>
              <w:left w:val="nil"/>
              <w:bottom w:val="nil"/>
              <w:right w:val="nil"/>
            </w:tcBorders>
            <w:shd w:val="clear" w:color="auto" w:fill="auto"/>
            <w:noWrap/>
            <w:vAlign w:val="bottom"/>
            <w:hideMark/>
          </w:tcPr>
          <w:p w14:paraId="2BEBB64A"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3" w:type="dxa"/>
            <w:tcBorders>
              <w:top w:val="nil"/>
              <w:left w:val="nil"/>
              <w:bottom w:val="nil"/>
              <w:right w:val="nil"/>
            </w:tcBorders>
            <w:shd w:val="clear" w:color="auto" w:fill="auto"/>
            <w:noWrap/>
            <w:vAlign w:val="bottom"/>
            <w:hideMark/>
          </w:tcPr>
          <w:p w14:paraId="0CBCFDCB"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4" w:type="dxa"/>
            <w:tcBorders>
              <w:top w:val="nil"/>
              <w:left w:val="nil"/>
              <w:bottom w:val="nil"/>
              <w:right w:val="nil"/>
            </w:tcBorders>
            <w:shd w:val="clear" w:color="auto" w:fill="auto"/>
            <w:noWrap/>
            <w:vAlign w:val="bottom"/>
            <w:hideMark/>
          </w:tcPr>
          <w:p w14:paraId="4961099C"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r>
      <w:tr w:rsidR="004E2F51" w:rsidRPr="00BB3F2C" w14:paraId="732C9531" w14:textId="77777777" w:rsidTr="00E032FC">
        <w:trPr>
          <w:trHeight w:hRule="exact" w:val="144"/>
        </w:trPr>
        <w:tc>
          <w:tcPr>
            <w:tcW w:w="2127" w:type="dxa"/>
            <w:tcBorders>
              <w:top w:val="nil"/>
              <w:left w:val="nil"/>
              <w:bottom w:val="nil"/>
              <w:right w:val="nil"/>
            </w:tcBorders>
            <w:shd w:val="clear" w:color="auto" w:fill="auto"/>
            <w:noWrap/>
            <w:vAlign w:val="bottom"/>
          </w:tcPr>
          <w:p w14:paraId="4DB3BDA4" w14:textId="77777777" w:rsidR="004E2F51" w:rsidRPr="004B4498" w:rsidRDefault="004E2F51" w:rsidP="00E032F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037F2867" w14:textId="77777777" w:rsidR="004E2F51" w:rsidRPr="004B4498" w:rsidRDefault="004E2F51" w:rsidP="00E032F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403DB981" w14:textId="77777777" w:rsidR="004E2F51" w:rsidRPr="004B4498" w:rsidRDefault="004E2F51" w:rsidP="00E032F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1B026BA6" w14:textId="77777777" w:rsidR="004E2F51" w:rsidRPr="004B4498" w:rsidRDefault="004E2F51" w:rsidP="00E032F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46E8745B" w14:textId="77777777" w:rsidR="004E2F51" w:rsidRPr="004B4498" w:rsidRDefault="004E2F51" w:rsidP="00E032F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5EC4919C" w14:textId="77777777" w:rsidR="004E2F51" w:rsidRPr="004B4498" w:rsidRDefault="004E2F51" w:rsidP="00E032F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3613039C" w14:textId="77777777" w:rsidR="004E2F51" w:rsidRPr="004B4498" w:rsidRDefault="004E2F51" w:rsidP="00E032F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127E4DC5" w14:textId="77777777" w:rsidR="004E2F51" w:rsidRPr="004B4498" w:rsidRDefault="004E2F51" w:rsidP="00E032F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127A26BB" w14:textId="77777777" w:rsidR="004E2F51" w:rsidRPr="004B4498" w:rsidRDefault="004E2F51" w:rsidP="00E032FC">
            <w:pPr>
              <w:jc w:val="right"/>
              <w:rPr>
                <w:rFonts w:ascii="Arial" w:hAnsi="Arial" w:cs="Arial"/>
                <w:b/>
                <w:bCs/>
                <w:color w:val="000000" w:themeColor="text1"/>
                <w:sz w:val="17"/>
                <w:szCs w:val="17"/>
                <w:lang w:val="hr-HR"/>
              </w:rPr>
            </w:pPr>
          </w:p>
        </w:tc>
      </w:tr>
      <w:tr w:rsidR="004E2F51" w:rsidRPr="00BB3F2C" w14:paraId="19257F09" w14:textId="77777777" w:rsidTr="00E032FC">
        <w:trPr>
          <w:trHeight w:val="461"/>
        </w:trPr>
        <w:tc>
          <w:tcPr>
            <w:tcW w:w="2127" w:type="dxa"/>
            <w:tcBorders>
              <w:top w:val="nil"/>
              <w:left w:val="nil"/>
              <w:bottom w:val="nil"/>
              <w:right w:val="nil"/>
            </w:tcBorders>
            <w:shd w:val="clear" w:color="auto" w:fill="auto"/>
            <w:noWrap/>
            <w:vAlign w:val="bottom"/>
            <w:hideMark/>
          </w:tcPr>
          <w:p w14:paraId="10648106" w14:textId="77777777" w:rsidR="004E2F51" w:rsidRPr="004B4498" w:rsidRDefault="004E2F51" w:rsidP="00E032FC">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Bruto iznos</w:t>
            </w:r>
          </w:p>
        </w:tc>
        <w:tc>
          <w:tcPr>
            <w:tcW w:w="993" w:type="dxa"/>
            <w:tcBorders>
              <w:top w:val="nil"/>
              <w:left w:val="nil"/>
              <w:bottom w:val="nil"/>
              <w:right w:val="nil"/>
            </w:tcBorders>
            <w:shd w:val="clear" w:color="auto" w:fill="auto"/>
            <w:noWrap/>
            <w:vAlign w:val="bottom"/>
          </w:tcPr>
          <w:p w14:paraId="7AB67F58" w14:textId="77777777" w:rsidR="004E2F51" w:rsidRPr="00BF5D37" w:rsidRDefault="004E2F51" w:rsidP="00E032FC">
            <w:pPr>
              <w:jc w:val="right"/>
              <w:rPr>
                <w:rFonts w:ascii="Arial" w:hAnsi="Arial" w:cs="Arial"/>
                <w:sz w:val="17"/>
                <w:szCs w:val="17"/>
              </w:rPr>
            </w:pPr>
            <w:r w:rsidRPr="00BF5D37">
              <w:rPr>
                <w:rFonts w:ascii="Arial" w:hAnsi="Arial" w:cs="Arial"/>
                <w:sz w:val="17"/>
                <w:szCs w:val="17"/>
              </w:rPr>
              <w:t>2.631.47</w:t>
            </w:r>
            <w:r>
              <w:rPr>
                <w:rFonts w:ascii="Arial" w:hAnsi="Arial" w:cs="Arial"/>
                <w:sz w:val="17"/>
                <w:szCs w:val="17"/>
              </w:rPr>
              <w:t>9</w:t>
            </w:r>
            <w:r w:rsidRPr="00BF5D37">
              <w:rPr>
                <w:rFonts w:ascii="Arial" w:hAnsi="Arial" w:cs="Arial"/>
                <w:sz w:val="17"/>
                <w:szCs w:val="17"/>
              </w:rPr>
              <w:t xml:space="preserve"> </w:t>
            </w:r>
          </w:p>
        </w:tc>
        <w:tc>
          <w:tcPr>
            <w:tcW w:w="994" w:type="dxa"/>
            <w:tcBorders>
              <w:top w:val="nil"/>
              <w:left w:val="nil"/>
              <w:bottom w:val="nil"/>
              <w:right w:val="nil"/>
            </w:tcBorders>
            <w:shd w:val="clear" w:color="auto" w:fill="auto"/>
            <w:noWrap/>
            <w:vAlign w:val="bottom"/>
          </w:tcPr>
          <w:p w14:paraId="46404DB4" w14:textId="77777777" w:rsidR="004E2F51" w:rsidRPr="00BF5D37" w:rsidRDefault="004E2F51" w:rsidP="00E032FC">
            <w:pPr>
              <w:jc w:val="right"/>
              <w:rPr>
                <w:rFonts w:ascii="Arial" w:hAnsi="Arial" w:cs="Arial"/>
                <w:sz w:val="17"/>
                <w:szCs w:val="17"/>
              </w:rPr>
            </w:pPr>
            <w:r w:rsidRPr="00BF5D37">
              <w:rPr>
                <w:rFonts w:ascii="Arial" w:hAnsi="Arial" w:cs="Arial"/>
                <w:sz w:val="17"/>
                <w:szCs w:val="17"/>
              </w:rPr>
              <w:t xml:space="preserve"> 496 </w:t>
            </w:r>
          </w:p>
        </w:tc>
        <w:tc>
          <w:tcPr>
            <w:tcW w:w="993" w:type="dxa"/>
            <w:tcBorders>
              <w:top w:val="nil"/>
              <w:left w:val="nil"/>
              <w:bottom w:val="nil"/>
              <w:right w:val="nil"/>
            </w:tcBorders>
            <w:shd w:val="clear" w:color="auto" w:fill="auto"/>
            <w:noWrap/>
            <w:vAlign w:val="bottom"/>
          </w:tcPr>
          <w:p w14:paraId="2BF1BA40" w14:textId="77777777" w:rsidR="004E2F51" w:rsidRPr="00BF5D37" w:rsidRDefault="004E2F51" w:rsidP="00E032FC">
            <w:pPr>
              <w:jc w:val="right"/>
              <w:rPr>
                <w:rFonts w:ascii="Arial" w:hAnsi="Arial" w:cs="Arial"/>
                <w:sz w:val="17"/>
                <w:szCs w:val="17"/>
              </w:rPr>
            </w:pPr>
            <w:r w:rsidRPr="00BF5D37">
              <w:rPr>
                <w:rFonts w:ascii="Arial" w:hAnsi="Arial" w:cs="Arial"/>
                <w:sz w:val="17"/>
                <w:szCs w:val="17"/>
              </w:rPr>
              <w:t xml:space="preserve"> 1.472 </w:t>
            </w:r>
          </w:p>
        </w:tc>
        <w:tc>
          <w:tcPr>
            <w:tcW w:w="994" w:type="dxa"/>
            <w:tcBorders>
              <w:top w:val="nil"/>
              <w:left w:val="nil"/>
              <w:bottom w:val="nil"/>
              <w:right w:val="nil"/>
            </w:tcBorders>
            <w:shd w:val="clear" w:color="auto" w:fill="auto"/>
            <w:noWrap/>
            <w:vAlign w:val="bottom"/>
          </w:tcPr>
          <w:p w14:paraId="7382E424" w14:textId="77777777" w:rsidR="004E2F51" w:rsidRPr="00C855D7" w:rsidRDefault="004E2F51" w:rsidP="00E032FC">
            <w:pPr>
              <w:jc w:val="right"/>
              <w:rPr>
                <w:rFonts w:ascii="Arial" w:hAnsi="Arial" w:cs="Arial"/>
                <w:b/>
                <w:bCs/>
                <w:sz w:val="17"/>
                <w:szCs w:val="17"/>
              </w:rPr>
            </w:pPr>
            <w:r w:rsidRPr="00C855D7">
              <w:rPr>
                <w:rFonts w:ascii="Arial" w:hAnsi="Arial" w:cs="Arial"/>
                <w:b/>
                <w:bCs/>
                <w:sz w:val="17"/>
                <w:szCs w:val="17"/>
              </w:rPr>
              <w:t xml:space="preserve">2.633.447 </w:t>
            </w:r>
          </w:p>
        </w:tc>
        <w:tc>
          <w:tcPr>
            <w:tcW w:w="993" w:type="dxa"/>
            <w:tcBorders>
              <w:top w:val="nil"/>
              <w:left w:val="nil"/>
              <w:bottom w:val="nil"/>
              <w:right w:val="nil"/>
            </w:tcBorders>
            <w:shd w:val="clear" w:color="auto" w:fill="auto"/>
            <w:noWrap/>
            <w:vAlign w:val="bottom"/>
          </w:tcPr>
          <w:p w14:paraId="7F77306F" w14:textId="77777777" w:rsidR="004E2F51" w:rsidRPr="00BF5D37" w:rsidRDefault="004E2F51" w:rsidP="00E032FC">
            <w:pPr>
              <w:jc w:val="right"/>
              <w:rPr>
                <w:rFonts w:ascii="Arial" w:hAnsi="Arial" w:cs="Arial"/>
                <w:sz w:val="17"/>
                <w:szCs w:val="17"/>
              </w:rPr>
            </w:pPr>
            <w:r w:rsidRPr="00BF5D37">
              <w:rPr>
                <w:rFonts w:ascii="Arial" w:hAnsi="Arial" w:cs="Arial"/>
                <w:sz w:val="17"/>
                <w:szCs w:val="17"/>
              </w:rPr>
              <w:t xml:space="preserve">2.584.329 </w:t>
            </w:r>
          </w:p>
        </w:tc>
        <w:tc>
          <w:tcPr>
            <w:tcW w:w="994" w:type="dxa"/>
            <w:tcBorders>
              <w:top w:val="nil"/>
              <w:left w:val="nil"/>
              <w:bottom w:val="nil"/>
              <w:right w:val="nil"/>
            </w:tcBorders>
            <w:shd w:val="clear" w:color="auto" w:fill="auto"/>
            <w:noWrap/>
            <w:vAlign w:val="bottom"/>
          </w:tcPr>
          <w:p w14:paraId="1A8A202B" w14:textId="77777777" w:rsidR="004E2F51" w:rsidRPr="00BF5D37" w:rsidRDefault="004E2F51" w:rsidP="00E032FC">
            <w:pPr>
              <w:jc w:val="right"/>
              <w:rPr>
                <w:rFonts w:ascii="Arial" w:hAnsi="Arial" w:cs="Arial"/>
                <w:sz w:val="17"/>
                <w:szCs w:val="17"/>
              </w:rPr>
            </w:pPr>
            <w:r w:rsidRPr="00BF5D37">
              <w:rPr>
                <w:rFonts w:ascii="Arial" w:hAnsi="Arial" w:cs="Arial"/>
                <w:sz w:val="17"/>
                <w:szCs w:val="17"/>
              </w:rPr>
              <w:t xml:space="preserve"> 496 </w:t>
            </w:r>
          </w:p>
        </w:tc>
        <w:tc>
          <w:tcPr>
            <w:tcW w:w="993" w:type="dxa"/>
            <w:tcBorders>
              <w:top w:val="nil"/>
              <w:left w:val="nil"/>
              <w:bottom w:val="nil"/>
              <w:right w:val="nil"/>
            </w:tcBorders>
            <w:shd w:val="clear" w:color="auto" w:fill="auto"/>
            <w:noWrap/>
            <w:vAlign w:val="bottom"/>
          </w:tcPr>
          <w:p w14:paraId="4000BF41" w14:textId="77777777" w:rsidR="004E2F51" w:rsidRPr="00BF5D37" w:rsidRDefault="004E2F51" w:rsidP="00E032FC">
            <w:pPr>
              <w:jc w:val="right"/>
              <w:rPr>
                <w:rFonts w:ascii="Arial" w:hAnsi="Arial" w:cs="Arial"/>
                <w:sz w:val="17"/>
                <w:szCs w:val="17"/>
              </w:rPr>
            </w:pPr>
            <w:r w:rsidRPr="00BF5D37">
              <w:rPr>
                <w:rFonts w:ascii="Arial" w:hAnsi="Arial" w:cs="Arial"/>
                <w:sz w:val="17"/>
                <w:szCs w:val="17"/>
              </w:rPr>
              <w:t xml:space="preserve"> 1.472 </w:t>
            </w:r>
          </w:p>
        </w:tc>
        <w:tc>
          <w:tcPr>
            <w:tcW w:w="994" w:type="dxa"/>
            <w:tcBorders>
              <w:top w:val="nil"/>
              <w:left w:val="nil"/>
              <w:bottom w:val="nil"/>
              <w:right w:val="nil"/>
            </w:tcBorders>
            <w:shd w:val="clear" w:color="auto" w:fill="auto"/>
            <w:noWrap/>
            <w:vAlign w:val="bottom"/>
          </w:tcPr>
          <w:p w14:paraId="77B5EBD7" w14:textId="77777777" w:rsidR="004E2F51" w:rsidRPr="00C855D7" w:rsidRDefault="004E2F51" w:rsidP="00E032FC">
            <w:pPr>
              <w:jc w:val="right"/>
              <w:rPr>
                <w:rFonts w:ascii="Arial" w:hAnsi="Arial" w:cs="Arial"/>
                <w:b/>
                <w:bCs/>
                <w:sz w:val="17"/>
                <w:szCs w:val="17"/>
              </w:rPr>
            </w:pPr>
            <w:r w:rsidRPr="00C855D7">
              <w:rPr>
                <w:rFonts w:ascii="Arial" w:hAnsi="Arial" w:cs="Arial"/>
                <w:b/>
                <w:bCs/>
                <w:sz w:val="17"/>
                <w:szCs w:val="17"/>
              </w:rPr>
              <w:t xml:space="preserve">2.586.297 </w:t>
            </w:r>
          </w:p>
        </w:tc>
      </w:tr>
      <w:tr w:rsidR="004E2F51" w:rsidRPr="00BB3F2C" w14:paraId="60650CFA" w14:textId="77777777" w:rsidTr="00E032FC">
        <w:trPr>
          <w:trHeight w:val="285"/>
        </w:trPr>
        <w:tc>
          <w:tcPr>
            <w:tcW w:w="2127" w:type="dxa"/>
            <w:tcBorders>
              <w:top w:val="nil"/>
              <w:left w:val="nil"/>
              <w:bottom w:val="nil"/>
              <w:right w:val="nil"/>
            </w:tcBorders>
            <w:shd w:val="clear" w:color="auto" w:fill="auto"/>
            <w:noWrap/>
            <w:vAlign w:val="bottom"/>
            <w:hideMark/>
          </w:tcPr>
          <w:p w14:paraId="4E872D59" w14:textId="77777777" w:rsidR="004E2F51" w:rsidRPr="004B4498" w:rsidRDefault="004E2F51" w:rsidP="00E032FC">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Stanje na dan </w:t>
            </w:r>
          </w:p>
          <w:p w14:paraId="32E38833" w14:textId="77777777" w:rsidR="004E2F51" w:rsidRPr="004B4498" w:rsidRDefault="004E2F51" w:rsidP="00E032FC">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31. prosinca 202</w:t>
            </w:r>
            <w:r>
              <w:rPr>
                <w:rFonts w:ascii="Arial" w:hAnsi="Arial" w:cs="Arial"/>
                <w:b/>
                <w:bCs/>
                <w:color w:val="000000" w:themeColor="text1"/>
                <w:sz w:val="17"/>
                <w:szCs w:val="17"/>
                <w:lang w:val="hr-HR"/>
              </w:rPr>
              <w:t>2</w:t>
            </w:r>
            <w:r w:rsidRPr="004B4498">
              <w:rPr>
                <w:rFonts w:ascii="Arial" w:hAnsi="Arial" w:cs="Arial"/>
                <w:b/>
                <w:bCs/>
                <w:color w:val="000000" w:themeColor="text1"/>
                <w:sz w:val="17"/>
                <w:szCs w:val="17"/>
                <w:lang w:val="hr-HR"/>
              </w:rPr>
              <w:t xml:space="preserve">. </w:t>
            </w:r>
          </w:p>
        </w:tc>
        <w:tc>
          <w:tcPr>
            <w:tcW w:w="993" w:type="dxa"/>
            <w:tcBorders>
              <w:top w:val="single" w:sz="4" w:space="0" w:color="auto"/>
              <w:left w:val="nil"/>
              <w:bottom w:val="single" w:sz="12" w:space="0" w:color="auto"/>
              <w:right w:val="nil"/>
            </w:tcBorders>
            <w:shd w:val="clear" w:color="auto" w:fill="auto"/>
            <w:noWrap/>
            <w:vAlign w:val="bottom"/>
          </w:tcPr>
          <w:p w14:paraId="5DECD056" w14:textId="77777777" w:rsidR="004E2F51" w:rsidRPr="00BF5D37" w:rsidRDefault="004E2F51" w:rsidP="00E032FC">
            <w:pPr>
              <w:jc w:val="right"/>
              <w:rPr>
                <w:rFonts w:ascii="Arial" w:hAnsi="Arial" w:cs="Arial"/>
                <w:b/>
                <w:bCs/>
                <w:sz w:val="17"/>
                <w:szCs w:val="17"/>
              </w:rPr>
            </w:pPr>
            <w:r w:rsidRPr="00BF5D37">
              <w:rPr>
                <w:rFonts w:ascii="Arial" w:hAnsi="Arial" w:cs="Arial"/>
                <w:b/>
                <w:bCs/>
                <w:sz w:val="17"/>
                <w:szCs w:val="17"/>
              </w:rPr>
              <w:t>2.631.47</w:t>
            </w:r>
            <w:r>
              <w:rPr>
                <w:rFonts w:ascii="Arial" w:hAnsi="Arial" w:cs="Arial"/>
                <w:b/>
                <w:bCs/>
                <w:sz w:val="17"/>
                <w:szCs w:val="17"/>
              </w:rPr>
              <w:t>9</w:t>
            </w:r>
            <w:r w:rsidRPr="00BF5D37">
              <w:rPr>
                <w:rFonts w:ascii="Arial" w:hAnsi="Arial" w:cs="Arial"/>
                <w:b/>
                <w:bCs/>
                <w:sz w:val="17"/>
                <w:szCs w:val="17"/>
              </w:rPr>
              <w:t xml:space="preserve"> </w:t>
            </w:r>
          </w:p>
        </w:tc>
        <w:tc>
          <w:tcPr>
            <w:tcW w:w="994" w:type="dxa"/>
            <w:tcBorders>
              <w:top w:val="single" w:sz="4" w:space="0" w:color="auto"/>
              <w:left w:val="nil"/>
              <w:bottom w:val="single" w:sz="12" w:space="0" w:color="auto"/>
              <w:right w:val="nil"/>
            </w:tcBorders>
            <w:shd w:val="clear" w:color="auto" w:fill="auto"/>
            <w:noWrap/>
            <w:vAlign w:val="bottom"/>
          </w:tcPr>
          <w:p w14:paraId="61015BD7" w14:textId="77777777" w:rsidR="004E2F51" w:rsidRPr="00BF5D37" w:rsidRDefault="004E2F51" w:rsidP="00E032FC">
            <w:pPr>
              <w:jc w:val="right"/>
              <w:rPr>
                <w:rFonts w:ascii="Arial" w:hAnsi="Arial" w:cs="Arial"/>
                <w:b/>
                <w:bCs/>
                <w:sz w:val="17"/>
                <w:szCs w:val="17"/>
              </w:rPr>
            </w:pPr>
            <w:r w:rsidRPr="00BF5D37">
              <w:rPr>
                <w:rFonts w:ascii="Arial" w:hAnsi="Arial" w:cs="Arial"/>
                <w:b/>
                <w:bCs/>
                <w:sz w:val="17"/>
                <w:szCs w:val="17"/>
              </w:rPr>
              <w:t xml:space="preserve"> 496 </w:t>
            </w:r>
          </w:p>
        </w:tc>
        <w:tc>
          <w:tcPr>
            <w:tcW w:w="993" w:type="dxa"/>
            <w:tcBorders>
              <w:top w:val="single" w:sz="4" w:space="0" w:color="auto"/>
              <w:left w:val="nil"/>
              <w:bottom w:val="single" w:sz="12" w:space="0" w:color="auto"/>
              <w:right w:val="nil"/>
            </w:tcBorders>
            <w:shd w:val="clear" w:color="auto" w:fill="auto"/>
            <w:noWrap/>
            <w:vAlign w:val="bottom"/>
          </w:tcPr>
          <w:p w14:paraId="0C2D36D4" w14:textId="77777777" w:rsidR="004E2F51" w:rsidRPr="00BF5D37" w:rsidRDefault="004E2F51" w:rsidP="00E032FC">
            <w:pPr>
              <w:jc w:val="right"/>
              <w:rPr>
                <w:rFonts w:ascii="Arial" w:hAnsi="Arial" w:cs="Arial"/>
                <w:b/>
                <w:bCs/>
                <w:sz w:val="17"/>
                <w:szCs w:val="17"/>
              </w:rPr>
            </w:pPr>
            <w:r w:rsidRPr="00BF5D37">
              <w:rPr>
                <w:rFonts w:ascii="Arial" w:hAnsi="Arial" w:cs="Arial"/>
                <w:b/>
                <w:bCs/>
                <w:sz w:val="17"/>
                <w:szCs w:val="17"/>
              </w:rPr>
              <w:t xml:space="preserve"> 1.472 </w:t>
            </w:r>
          </w:p>
        </w:tc>
        <w:tc>
          <w:tcPr>
            <w:tcW w:w="994" w:type="dxa"/>
            <w:tcBorders>
              <w:top w:val="single" w:sz="4" w:space="0" w:color="auto"/>
              <w:left w:val="nil"/>
              <w:bottom w:val="single" w:sz="12" w:space="0" w:color="auto"/>
              <w:right w:val="nil"/>
            </w:tcBorders>
            <w:shd w:val="clear" w:color="auto" w:fill="auto"/>
            <w:noWrap/>
            <w:vAlign w:val="bottom"/>
          </w:tcPr>
          <w:p w14:paraId="3D9D0FD3" w14:textId="77777777" w:rsidR="004E2F51" w:rsidRPr="00C855D7" w:rsidRDefault="004E2F51" w:rsidP="00E032FC">
            <w:pPr>
              <w:jc w:val="right"/>
              <w:rPr>
                <w:rFonts w:ascii="Arial" w:hAnsi="Arial" w:cs="Arial"/>
                <w:b/>
                <w:bCs/>
                <w:sz w:val="17"/>
                <w:szCs w:val="17"/>
              </w:rPr>
            </w:pPr>
            <w:r w:rsidRPr="00C855D7">
              <w:rPr>
                <w:rFonts w:ascii="Arial" w:hAnsi="Arial" w:cs="Arial"/>
                <w:b/>
                <w:bCs/>
                <w:sz w:val="17"/>
                <w:szCs w:val="17"/>
              </w:rPr>
              <w:t xml:space="preserve">2.633.447 </w:t>
            </w:r>
          </w:p>
        </w:tc>
        <w:tc>
          <w:tcPr>
            <w:tcW w:w="993" w:type="dxa"/>
            <w:tcBorders>
              <w:top w:val="single" w:sz="4" w:space="0" w:color="auto"/>
              <w:left w:val="nil"/>
              <w:bottom w:val="single" w:sz="12" w:space="0" w:color="auto"/>
              <w:right w:val="nil"/>
            </w:tcBorders>
            <w:shd w:val="clear" w:color="auto" w:fill="auto"/>
            <w:noWrap/>
            <w:vAlign w:val="bottom"/>
          </w:tcPr>
          <w:p w14:paraId="4D74DCF4" w14:textId="77777777" w:rsidR="004E2F51" w:rsidRPr="00BF5D37" w:rsidRDefault="004E2F51" w:rsidP="00E032FC">
            <w:pPr>
              <w:jc w:val="right"/>
              <w:rPr>
                <w:rFonts w:ascii="Arial" w:hAnsi="Arial" w:cs="Arial"/>
                <w:b/>
                <w:bCs/>
                <w:sz w:val="17"/>
                <w:szCs w:val="17"/>
              </w:rPr>
            </w:pPr>
            <w:r w:rsidRPr="00BF5D37">
              <w:rPr>
                <w:rFonts w:ascii="Arial" w:hAnsi="Arial" w:cs="Arial"/>
                <w:b/>
                <w:bCs/>
                <w:sz w:val="17"/>
                <w:szCs w:val="17"/>
              </w:rPr>
              <w:t xml:space="preserve">2.584.329 </w:t>
            </w:r>
          </w:p>
        </w:tc>
        <w:tc>
          <w:tcPr>
            <w:tcW w:w="994" w:type="dxa"/>
            <w:tcBorders>
              <w:top w:val="single" w:sz="4" w:space="0" w:color="auto"/>
              <w:left w:val="nil"/>
              <w:bottom w:val="single" w:sz="12" w:space="0" w:color="auto"/>
              <w:right w:val="nil"/>
            </w:tcBorders>
            <w:shd w:val="clear" w:color="auto" w:fill="auto"/>
            <w:noWrap/>
            <w:vAlign w:val="bottom"/>
          </w:tcPr>
          <w:p w14:paraId="174D6B8A" w14:textId="77777777" w:rsidR="004E2F51" w:rsidRPr="00BF5D37" w:rsidRDefault="004E2F51" w:rsidP="00E032FC">
            <w:pPr>
              <w:jc w:val="right"/>
              <w:rPr>
                <w:rFonts w:ascii="Arial" w:hAnsi="Arial" w:cs="Arial"/>
                <w:b/>
                <w:bCs/>
                <w:sz w:val="17"/>
                <w:szCs w:val="17"/>
              </w:rPr>
            </w:pPr>
            <w:r w:rsidRPr="00BF5D37">
              <w:rPr>
                <w:rFonts w:ascii="Arial" w:hAnsi="Arial" w:cs="Arial"/>
                <w:b/>
                <w:bCs/>
                <w:sz w:val="17"/>
                <w:szCs w:val="17"/>
              </w:rPr>
              <w:t xml:space="preserve"> 496 </w:t>
            </w:r>
          </w:p>
        </w:tc>
        <w:tc>
          <w:tcPr>
            <w:tcW w:w="993" w:type="dxa"/>
            <w:tcBorders>
              <w:top w:val="single" w:sz="4" w:space="0" w:color="auto"/>
              <w:left w:val="nil"/>
              <w:bottom w:val="single" w:sz="12" w:space="0" w:color="auto"/>
              <w:right w:val="nil"/>
            </w:tcBorders>
            <w:shd w:val="clear" w:color="auto" w:fill="auto"/>
            <w:noWrap/>
            <w:vAlign w:val="bottom"/>
          </w:tcPr>
          <w:p w14:paraId="10233A05" w14:textId="77777777" w:rsidR="004E2F51" w:rsidRPr="00BF5D37" w:rsidRDefault="004E2F51" w:rsidP="00E032FC">
            <w:pPr>
              <w:jc w:val="right"/>
              <w:rPr>
                <w:rFonts w:ascii="Arial" w:hAnsi="Arial" w:cs="Arial"/>
                <w:b/>
                <w:bCs/>
                <w:sz w:val="17"/>
                <w:szCs w:val="17"/>
              </w:rPr>
            </w:pPr>
            <w:r w:rsidRPr="00BF5D37">
              <w:rPr>
                <w:rFonts w:ascii="Arial" w:hAnsi="Arial" w:cs="Arial"/>
                <w:b/>
                <w:bCs/>
                <w:sz w:val="17"/>
                <w:szCs w:val="17"/>
              </w:rPr>
              <w:t xml:space="preserve"> 1.472 </w:t>
            </w:r>
          </w:p>
        </w:tc>
        <w:tc>
          <w:tcPr>
            <w:tcW w:w="994" w:type="dxa"/>
            <w:tcBorders>
              <w:top w:val="single" w:sz="4" w:space="0" w:color="auto"/>
              <w:left w:val="nil"/>
              <w:bottom w:val="single" w:sz="12" w:space="0" w:color="auto"/>
              <w:right w:val="nil"/>
            </w:tcBorders>
            <w:shd w:val="clear" w:color="auto" w:fill="auto"/>
            <w:noWrap/>
            <w:vAlign w:val="bottom"/>
          </w:tcPr>
          <w:p w14:paraId="32757DBA" w14:textId="77777777" w:rsidR="004E2F51" w:rsidRPr="00C855D7" w:rsidRDefault="004E2F51" w:rsidP="00E032FC">
            <w:pPr>
              <w:jc w:val="right"/>
              <w:rPr>
                <w:rFonts w:ascii="Arial" w:hAnsi="Arial" w:cs="Arial"/>
                <w:b/>
                <w:bCs/>
                <w:sz w:val="17"/>
                <w:szCs w:val="17"/>
              </w:rPr>
            </w:pPr>
            <w:r w:rsidRPr="00C855D7">
              <w:rPr>
                <w:rFonts w:ascii="Arial" w:hAnsi="Arial" w:cs="Arial"/>
                <w:b/>
                <w:bCs/>
                <w:sz w:val="17"/>
                <w:szCs w:val="17"/>
              </w:rPr>
              <w:t xml:space="preserve">2.586.297 </w:t>
            </w:r>
          </w:p>
        </w:tc>
      </w:tr>
    </w:tbl>
    <w:p w14:paraId="1FAFCCCE" w14:textId="77777777" w:rsidR="004E2F51" w:rsidRPr="004B4498" w:rsidRDefault="004E2F51" w:rsidP="004E2F51">
      <w:pPr>
        <w:pStyle w:val="T1"/>
        <w:keepNext w:val="0"/>
        <w:spacing w:before="0" w:after="0" w:line="240" w:lineRule="auto"/>
        <w:rPr>
          <w:rFonts w:cs="Arial"/>
          <w:b w:val="0"/>
          <w:color w:val="000000" w:themeColor="text1"/>
          <w:sz w:val="20"/>
          <w:lang w:val="hr-HR"/>
        </w:rPr>
      </w:pPr>
    </w:p>
    <w:p w14:paraId="3650C996" w14:textId="77777777" w:rsidR="004E2F51" w:rsidRPr="004B4498" w:rsidRDefault="004E2F51" w:rsidP="004E2F51">
      <w:pPr>
        <w:pStyle w:val="T1"/>
        <w:keepNext w:val="0"/>
        <w:spacing w:before="0" w:after="0" w:line="240" w:lineRule="auto"/>
        <w:rPr>
          <w:rFonts w:cs="Arial"/>
          <w:b w:val="0"/>
          <w:color w:val="000000" w:themeColor="text1"/>
          <w:sz w:val="20"/>
          <w:lang w:val="hr-HR"/>
        </w:rPr>
      </w:pPr>
    </w:p>
    <w:tbl>
      <w:tblPr>
        <w:tblpPr w:leftFromText="180" w:rightFromText="180" w:vertAnchor="text" w:horzAnchor="margin" w:tblpXSpec="center" w:tblpY="187"/>
        <w:tblW w:w="10075" w:type="dxa"/>
        <w:tblLayout w:type="fixed"/>
        <w:tblLook w:val="04A0" w:firstRow="1" w:lastRow="0" w:firstColumn="1" w:lastColumn="0" w:noHBand="0" w:noVBand="1"/>
      </w:tblPr>
      <w:tblGrid>
        <w:gridCol w:w="2127"/>
        <w:gridCol w:w="993"/>
        <w:gridCol w:w="994"/>
        <w:gridCol w:w="993"/>
        <w:gridCol w:w="994"/>
        <w:gridCol w:w="993"/>
        <w:gridCol w:w="994"/>
        <w:gridCol w:w="993"/>
        <w:gridCol w:w="994"/>
      </w:tblGrid>
      <w:tr w:rsidR="004E2F51" w:rsidRPr="00BB3F2C" w14:paraId="25B347E3" w14:textId="77777777" w:rsidTr="00E032FC">
        <w:trPr>
          <w:trHeight w:val="270"/>
        </w:trPr>
        <w:tc>
          <w:tcPr>
            <w:tcW w:w="2127" w:type="dxa"/>
            <w:tcBorders>
              <w:top w:val="nil"/>
              <w:left w:val="nil"/>
              <w:bottom w:val="nil"/>
              <w:right w:val="nil"/>
            </w:tcBorders>
            <w:shd w:val="clear" w:color="auto" w:fill="auto"/>
            <w:noWrap/>
            <w:vAlign w:val="bottom"/>
            <w:hideMark/>
          </w:tcPr>
          <w:p w14:paraId="545255A9" w14:textId="77777777" w:rsidR="004E2F51" w:rsidRPr="004B4498" w:rsidRDefault="004E2F51" w:rsidP="00E032FC">
            <w:pPr>
              <w:rPr>
                <w:rFonts w:ascii="Arial" w:hAnsi="Arial" w:cs="Arial"/>
                <w:b/>
                <w:color w:val="000000" w:themeColor="text1"/>
                <w:sz w:val="17"/>
                <w:szCs w:val="17"/>
                <w:lang w:val="hr-HR"/>
              </w:rPr>
            </w:pPr>
            <w:r w:rsidRPr="004B4498">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1</w:t>
            </w:r>
            <w:r w:rsidRPr="004B4498">
              <w:rPr>
                <w:rFonts w:ascii="Arial" w:hAnsi="Arial" w:cs="Arial"/>
                <w:b/>
                <w:color w:val="000000" w:themeColor="text1"/>
                <w:sz w:val="17"/>
                <w:szCs w:val="17"/>
                <w:lang w:val="hr-HR"/>
              </w:rPr>
              <w:t>.</w:t>
            </w:r>
          </w:p>
        </w:tc>
        <w:tc>
          <w:tcPr>
            <w:tcW w:w="993" w:type="dxa"/>
            <w:tcBorders>
              <w:top w:val="nil"/>
              <w:left w:val="nil"/>
              <w:bottom w:val="nil"/>
              <w:right w:val="nil"/>
            </w:tcBorders>
            <w:shd w:val="clear" w:color="auto" w:fill="auto"/>
            <w:noWrap/>
            <w:vAlign w:val="bottom"/>
            <w:hideMark/>
          </w:tcPr>
          <w:p w14:paraId="75AD09E2" w14:textId="77777777" w:rsidR="004E2F51" w:rsidRPr="004B4498" w:rsidRDefault="004E2F51" w:rsidP="00E032FC">
            <w:pPr>
              <w:jc w:val="right"/>
              <w:rPr>
                <w:rFonts w:ascii="Arial" w:hAnsi="Arial" w:cs="Arial"/>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0A612CF9" w14:textId="77777777" w:rsidR="004E2F51" w:rsidRPr="004B4498" w:rsidRDefault="004E2F51" w:rsidP="00E032FC">
            <w:pPr>
              <w:jc w:val="right"/>
              <w:rPr>
                <w:rFonts w:ascii="Arial" w:hAnsi="Arial" w:cs="Arial"/>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4D070853" w14:textId="77777777" w:rsidR="004E2F51" w:rsidRPr="004B4498" w:rsidRDefault="004E2F51" w:rsidP="00E032FC">
            <w:pPr>
              <w:jc w:val="right"/>
              <w:rPr>
                <w:rFonts w:ascii="Arial" w:hAnsi="Arial" w:cs="Arial"/>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21D73704"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Grupa</w:t>
            </w:r>
          </w:p>
        </w:tc>
        <w:tc>
          <w:tcPr>
            <w:tcW w:w="993" w:type="dxa"/>
            <w:tcBorders>
              <w:top w:val="nil"/>
              <w:left w:val="nil"/>
              <w:bottom w:val="nil"/>
              <w:right w:val="nil"/>
            </w:tcBorders>
            <w:shd w:val="clear" w:color="auto" w:fill="auto"/>
            <w:noWrap/>
            <w:vAlign w:val="bottom"/>
            <w:hideMark/>
          </w:tcPr>
          <w:p w14:paraId="58664647" w14:textId="77777777" w:rsidR="004E2F51" w:rsidRPr="004B4498" w:rsidRDefault="004E2F51" w:rsidP="00E032F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66A309FA" w14:textId="77777777" w:rsidR="004E2F51" w:rsidRPr="004B4498" w:rsidRDefault="004E2F51" w:rsidP="00E032FC">
            <w:pPr>
              <w:jc w:val="right"/>
              <w:rPr>
                <w:rFonts w:ascii="Arial" w:hAnsi="Arial" w:cs="Arial"/>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17C2A326" w14:textId="77777777" w:rsidR="004E2F51" w:rsidRPr="004B4498" w:rsidRDefault="004E2F51" w:rsidP="00E032FC">
            <w:pPr>
              <w:jc w:val="right"/>
              <w:rPr>
                <w:rFonts w:ascii="Arial" w:hAnsi="Arial" w:cs="Arial"/>
                <w:color w:val="000000" w:themeColor="text1"/>
                <w:sz w:val="17"/>
                <w:szCs w:val="17"/>
                <w:lang w:val="hr-HR"/>
              </w:rPr>
            </w:pPr>
          </w:p>
        </w:tc>
        <w:tc>
          <w:tcPr>
            <w:tcW w:w="994" w:type="dxa"/>
            <w:tcBorders>
              <w:top w:val="nil"/>
              <w:left w:val="nil"/>
              <w:bottom w:val="nil"/>
              <w:right w:val="nil"/>
            </w:tcBorders>
            <w:shd w:val="clear" w:color="auto" w:fill="auto"/>
            <w:noWrap/>
            <w:vAlign w:val="bottom"/>
            <w:hideMark/>
          </w:tcPr>
          <w:p w14:paraId="20F9AECA"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Banka</w:t>
            </w:r>
          </w:p>
        </w:tc>
      </w:tr>
      <w:tr w:rsidR="004E2F51" w:rsidRPr="00BB3F2C" w14:paraId="243A7720" w14:textId="77777777" w:rsidTr="00E032FC">
        <w:trPr>
          <w:trHeight w:val="270"/>
        </w:trPr>
        <w:tc>
          <w:tcPr>
            <w:tcW w:w="2127" w:type="dxa"/>
            <w:tcBorders>
              <w:top w:val="nil"/>
              <w:left w:val="nil"/>
              <w:bottom w:val="nil"/>
              <w:right w:val="nil"/>
            </w:tcBorders>
            <w:shd w:val="clear" w:color="auto" w:fill="auto"/>
            <w:noWrap/>
            <w:vAlign w:val="bottom"/>
            <w:hideMark/>
          </w:tcPr>
          <w:p w14:paraId="69D99466" w14:textId="77777777" w:rsidR="004E2F51" w:rsidRPr="004B4498" w:rsidRDefault="004E2F51" w:rsidP="00E032F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5B1EEB17"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4" w:type="dxa"/>
            <w:tcBorders>
              <w:top w:val="nil"/>
              <w:left w:val="nil"/>
              <w:bottom w:val="nil"/>
              <w:right w:val="nil"/>
            </w:tcBorders>
            <w:shd w:val="clear" w:color="auto" w:fill="auto"/>
            <w:noWrap/>
            <w:vAlign w:val="bottom"/>
            <w:hideMark/>
          </w:tcPr>
          <w:p w14:paraId="4C2DA99F"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3" w:type="dxa"/>
            <w:tcBorders>
              <w:top w:val="nil"/>
              <w:left w:val="nil"/>
              <w:bottom w:val="nil"/>
              <w:right w:val="nil"/>
            </w:tcBorders>
            <w:shd w:val="clear" w:color="auto" w:fill="auto"/>
            <w:noWrap/>
            <w:vAlign w:val="bottom"/>
            <w:hideMark/>
          </w:tcPr>
          <w:p w14:paraId="0ED1118E"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4" w:type="dxa"/>
            <w:tcBorders>
              <w:top w:val="nil"/>
              <w:left w:val="nil"/>
              <w:bottom w:val="nil"/>
              <w:right w:val="nil"/>
            </w:tcBorders>
            <w:shd w:val="clear" w:color="auto" w:fill="auto"/>
            <w:noWrap/>
            <w:vAlign w:val="bottom"/>
            <w:hideMark/>
          </w:tcPr>
          <w:p w14:paraId="059B316E"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c>
          <w:tcPr>
            <w:tcW w:w="993" w:type="dxa"/>
            <w:tcBorders>
              <w:top w:val="nil"/>
              <w:left w:val="nil"/>
              <w:bottom w:val="nil"/>
              <w:right w:val="nil"/>
            </w:tcBorders>
            <w:shd w:val="clear" w:color="auto" w:fill="auto"/>
            <w:noWrap/>
            <w:vAlign w:val="bottom"/>
            <w:hideMark/>
          </w:tcPr>
          <w:p w14:paraId="2DC40F52"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1</w:t>
            </w:r>
          </w:p>
        </w:tc>
        <w:tc>
          <w:tcPr>
            <w:tcW w:w="994" w:type="dxa"/>
            <w:tcBorders>
              <w:top w:val="nil"/>
              <w:left w:val="nil"/>
              <w:bottom w:val="nil"/>
              <w:right w:val="nil"/>
            </w:tcBorders>
            <w:shd w:val="clear" w:color="auto" w:fill="auto"/>
            <w:noWrap/>
            <w:vAlign w:val="bottom"/>
            <w:hideMark/>
          </w:tcPr>
          <w:p w14:paraId="558C85C5"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2</w:t>
            </w:r>
          </w:p>
        </w:tc>
        <w:tc>
          <w:tcPr>
            <w:tcW w:w="993" w:type="dxa"/>
            <w:tcBorders>
              <w:top w:val="nil"/>
              <w:left w:val="nil"/>
              <w:bottom w:val="nil"/>
              <w:right w:val="nil"/>
            </w:tcBorders>
            <w:shd w:val="clear" w:color="auto" w:fill="auto"/>
            <w:noWrap/>
            <w:vAlign w:val="bottom"/>
            <w:hideMark/>
          </w:tcPr>
          <w:p w14:paraId="0AF4AD43"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Stupanj 3</w:t>
            </w:r>
          </w:p>
        </w:tc>
        <w:tc>
          <w:tcPr>
            <w:tcW w:w="994" w:type="dxa"/>
            <w:tcBorders>
              <w:top w:val="nil"/>
              <w:left w:val="nil"/>
              <w:bottom w:val="nil"/>
              <w:right w:val="nil"/>
            </w:tcBorders>
            <w:shd w:val="clear" w:color="auto" w:fill="auto"/>
            <w:noWrap/>
            <w:vAlign w:val="bottom"/>
            <w:hideMark/>
          </w:tcPr>
          <w:p w14:paraId="67A79CE2"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Ukupno</w:t>
            </w:r>
          </w:p>
        </w:tc>
      </w:tr>
      <w:tr w:rsidR="004E2F51" w:rsidRPr="00BB3F2C" w14:paraId="3D099156" w14:textId="77777777" w:rsidTr="00E032FC">
        <w:trPr>
          <w:trHeight w:val="270"/>
        </w:trPr>
        <w:tc>
          <w:tcPr>
            <w:tcW w:w="2127" w:type="dxa"/>
            <w:tcBorders>
              <w:top w:val="nil"/>
              <w:left w:val="nil"/>
              <w:bottom w:val="nil"/>
              <w:right w:val="nil"/>
            </w:tcBorders>
            <w:shd w:val="clear" w:color="auto" w:fill="auto"/>
            <w:noWrap/>
            <w:vAlign w:val="bottom"/>
            <w:hideMark/>
          </w:tcPr>
          <w:p w14:paraId="71F8C51D" w14:textId="77777777" w:rsidR="004E2F51" w:rsidRPr="004B4498" w:rsidRDefault="004E2F51" w:rsidP="00E032F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hideMark/>
          </w:tcPr>
          <w:p w14:paraId="6FAED61B"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4" w:type="dxa"/>
            <w:tcBorders>
              <w:top w:val="nil"/>
              <w:left w:val="nil"/>
              <w:bottom w:val="nil"/>
              <w:right w:val="nil"/>
            </w:tcBorders>
            <w:shd w:val="clear" w:color="auto" w:fill="auto"/>
            <w:noWrap/>
            <w:vAlign w:val="bottom"/>
            <w:hideMark/>
          </w:tcPr>
          <w:p w14:paraId="2158AB4B"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3" w:type="dxa"/>
            <w:tcBorders>
              <w:top w:val="nil"/>
              <w:left w:val="nil"/>
              <w:bottom w:val="nil"/>
              <w:right w:val="nil"/>
            </w:tcBorders>
            <w:shd w:val="clear" w:color="auto" w:fill="auto"/>
            <w:noWrap/>
            <w:vAlign w:val="bottom"/>
            <w:hideMark/>
          </w:tcPr>
          <w:p w14:paraId="61B01BDC"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4" w:type="dxa"/>
            <w:tcBorders>
              <w:top w:val="nil"/>
              <w:left w:val="nil"/>
              <w:bottom w:val="nil"/>
              <w:right w:val="nil"/>
            </w:tcBorders>
            <w:shd w:val="clear" w:color="auto" w:fill="auto"/>
            <w:noWrap/>
            <w:vAlign w:val="bottom"/>
            <w:hideMark/>
          </w:tcPr>
          <w:p w14:paraId="3C29A8EE"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3" w:type="dxa"/>
            <w:tcBorders>
              <w:top w:val="nil"/>
              <w:left w:val="nil"/>
              <w:bottom w:val="nil"/>
              <w:right w:val="nil"/>
            </w:tcBorders>
            <w:shd w:val="clear" w:color="auto" w:fill="auto"/>
            <w:noWrap/>
            <w:vAlign w:val="bottom"/>
            <w:hideMark/>
          </w:tcPr>
          <w:p w14:paraId="25427C6B"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4" w:type="dxa"/>
            <w:tcBorders>
              <w:top w:val="nil"/>
              <w:left w:val="nil"/>
              <w:bottom w:val="nil"/>
              <w:right w:val="nil"/>
            </w:tcBorders>
            <w:shd w:val="clear" w:color="auto" w:fill="auto"/>
            <w:noWrap/>
            <w:vAlign w:val="bottom"/>
            <w:hideMark/>
          </w:tcPr>
          <w:p w14:paraId="02ABD311"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3" w:type="dxa"/>
            <w:tcBorders>
              <w:top w:val="nil"/>
              <w:left w:val="nil"/>
              <w:bottom w:val="nil"/>
              <w:right w:val="nil"/>
            </w:tcBorders>
            <w:shd w:val="clear" w:color="auto" w:fill="auto"/>
            <w:noWrap/>
            <w:vAlign w:val="bottom"/>
            <w:hideMark/>
          </w:tcPr>
          <w:p w14:paraId="14CCDD83"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c>
          <w:tcPr>
            <w:tcW w:w="994" w:type="dxa"/>
            <w:tcBorders>
              <w:top w:val="nil"/>
              <w:left w:val="nil"/>
              <w:bottom w:val="nil"/>
              <w:right w:val="nil"/>
            </w:tcBorders>
            <w:shd w:val="clear" w:color="auto" w:fill="auto"/>
            <w:noWrap/>
            <w:vAlign w:val="bottom"/>
            <w:hideMark/>
          </w:tcPr>
          <w:p w14:paraId="125AB61F" w14:textId="77777777" w:rsidR="004E2F51" w:rsidRPr="004B4498" w:rsidRDefault="004E2F51" w:rsidP="00E032FC">
            <w:pPr>
              <w:jc w:val="right"/>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000 kuna</w:t>
            </w:r>
          </w:p>
        </w:tc>
      </w:tr>
      <w:tr w:rsidR="004E2F51" w:rsidRPr="00BB3F2C" w14:paraId="53BB92B1" w14:textId="77777777" w:rsidTr="00E032FC">
        <w:trPr>
          <w:trHeight w:hRule="exact" w:val="144"/>
        </w:trPr>
        <w:tc>
          <w:tcPr>
            <w:tcW w:w="2127" w:type="dxa"/>
            <w:tcBorders>
              <w:top w:val="nil"/>
              <w:left w:val="nil"/>
              <w:bottom w:val="nil"/>
              <w:right w:val="nil"/>
            </w:tcBorders>
            <w:shd w:val="clear" w:color="auto" w:fill="auto"/>
            <w:noWrap/>
            <w:vAlign w:val="bottom"/>
          </w:tcPr>
          <w:p w14:paraId="3319746C" w14:textId="77777777" w:rsidR="004E2F51" w:rsidRPr="004B4498" w:rsidRDefault="004E2F51" w:rsidP="00E032F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72942773" w14:textId="77777777" w:rsidR="004E2F51" w:rsidRPr="004B4498" w:rsidRDefault="004E2F51" w:rsidP="00E032F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38BA6D46" w14:textId="77777777" w:rsidR="004E2F51" w:rsidRPr="004B4498" w:rsidRDefault="004E2F51" w:rsidP="00E032F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62FEF211" w14:textId="77777777" w:rsidR="004E2F51" w:rsidRPr="004B4498" w:rsidRDefault="004E2F51" w:rsidP="00E032F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699955A2" w14:textId="77777777" w:rsidR="004E2F51" w:rsidRPr="004B4498" w:rsidRDefault="004E2F51" w:rsidP="00E032F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3A77116D" w14:textId="77777777" w:rsidR="004E2F51" w:rsidRPr="004B4498" w:rsidRDefault="004E2F51" w:rsidP="00E032F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04E459D1" w14:textId="77777777" w:rsidR="004E2F51" w:rsidRPr="004B4498" w:rsidRDefault="004E2F51" w:rsidP="00E032FC">
            <w:pPr>
              <w:jc w:val="right"/>
              <w:rPr>
                <w:rFonts w:ascii="Arial" w:hAnsi="Arial" w:cs="Arial"/>
                <w:b/>
                <w:bCs/>
                <w:color w:val="000000" w:themeColor="text1"/>
                <w:sz w:val="17"/>
                <w:szCs w:val="17"/>
                <w:lang w:val="hr-HR"/>
              </w:rPr>
            </w:pPr>
          </w:p>
        </w:tc>
        <w:tc>
          <w:tcPr>
            <w:tcW w:w="993" w:type="dxa"/>
            <w:tcBorders>
              <w:top w:val="nil"/>
              <w:left w:val="nil"/>
              <w:bottom w:val="nil"/>
              <w:right w:val="nil"/>
            </w:tcBorders>
            <w:shd w:val="clear" w:color="auto" w:fill="auto"/>
            <w:noWrap/>
            <w:vAlign w:val="bottom"/>
          </w:tcPr>
          <w:p w14:paraId="47566AE3" w14:textId="77777777" w:rsidR="004E2F51" w:rsidRPr="004B4498" w:rsidRDefault="004E2F51" w:rsidP="00E032FC">
            <w:pPr>
              <w:jc w:val="right"/>
              <w:rPr>
                <w:rFonts w:ascii="Arial" w:hAnsi="Arial" w:cs="Arial"/>
                <w:b/>
                <w:bCs/>
                <w:color w:val="000000" w:themeColor="text1"/>
                <w:sz w:val="17"/>
                <w:szCs w:val="17"/>
                <w:lang w:val="hr-HR"/>
              </w:rPr>
            </w:pPr>
          </w:p>
        </w:tc>
        <w:tc>
          <w:tcPr>
            <w:tcW w:w="994" w:type="dxa"/>
            <w:tcBorders>
              <w:top w:val="nil"/>
              <w:left w:val="nil"/>
              <w:bottom w:val="nil"/>
              <w:right w:val="nil"/>
            </w:tcBorders>
            <w:shd w:val="clear" w:color="auto" w:fill="auto"/>
            <w:noWrap/>
            <w:vAlign w:val="bottom"/>
          </w:tcPr>
          <w:p w14:paraId="594F56A3" w14:textId="77777777" w:rsidR="004E2F51" w:rsidRPr="004B4498" w:rsidRDefault="004E2F51" w:rsidP="00E032FC">
            <w:pPr>
              <w:jc w:val="right"/>
              <w:rPr>
                <w:rFonts w:ascii="Arial" w:hAnsi="Arial" w:cs="Arial"/>
                <w:b/>
                <w:bCs/>
                <w:color w:val="000000" w:themeColor="text1"/>
                <w:sz w:val="17"/>
                <w:szCs w:val="17"/>
                <w:lang w:val="hr-HR"/>
              </w:rPr>
            </w:pPr>
          </w:p>
        </w:tc>
      </w:tr>
      <w:tr w:rsidR="004E2F51" w:rsidRPr="00BB3F2C" w14:paraId="0AD3EF02" w14:textId="77777777" w:rsidTr="00E032FC">
        <w:trPr>
          <w:trHeight w:val="461"/>
        </w:trPr>
        <w:tc>
          <w:tcPr>
            <w:tcW w:w="2127" w:type="dxa"/>
            <w:tcBorders>
              <w:top w:val="nil"/>
              <w:left w:val="nil"/>
              <w:bottom w:val="nil"/>
              <w:right w:val="nil"/>
            </w:tcBorders>
            <w:shd w:val="clear" w:color="auto" w:fill="auto"/>
            <w:noWrap/>
            <w:vAlign w:val="bottom"/>
            <w:hideMark/>
          </w:tcPr>
          <w:p w14:paraId="5DF76438" w14:textId="77777777" w:rsidR="004E2F51" w:rsidRPr="004B4498" w:rsidRDefault="004E2F51" w:rsidP="00E032FC">
            <w:pPr>
              <w:rPr>
                <w:rFonts w:ascii="Arial" w:hAnsi="Arial" w:cs="Arial"/>
                <w:color w:val="000000" w:themeColor="text1"/>
                <w:sz w:val="17"/>
                <w:szCs w:val="17"/>
                <w:lang w:val="hr-HR"/>
              </w:rPr>
            </w:pPr>
            <w:r w:rsidRPr="004B4498">
              <w:rPr>
                <w:rFonts w:ascii="Arial" w:hAnsi="Arial" w:cs="Arial"/>
                <w:color w:val="000000" w:themeColor="text1"/>
                <w:sz w:val="17"/>
                <w:szCs w:val="17"/>
                <w:lang w:val="hr-HR"/>
              </w:rPr>
              <w:t>Bruto iznos</w:t>
            </w:r>
          </w:p>
        </w:tc>
        <w:tc>
          <w:tcPr>
            <w:tcW w:w="993" w:type="dxa"/>
            <w:tcBorders>
              <w:top w:val="nil"/>
              <w:left w:val="nil"/>
              <w:bottom w:val="nil"/>
              <w:right w:val="nil"/>
            </w:tcBorders>
            <w:shd w:val="clear" w:color="auto" w:fill="auto"/>
            <w:noWrap/>
            <w:vAlign w:val="bottom"/>
          </w:tcPr>
          <w:p w14:paraId="76CCA2F7" w14:textId="77777777" w:rsidR="004E2F51" w:rsidRPr="004B4498" w:rsidRDefault="004E2F51" w:rsidP="00E032FC">
            <w:pPr>
              <w:jc w:val="right"/>
              <w:rPr>
                <w:rFonts w:ascii="Arial" w:hAnsi="Arial" w:cs="Arial"/>
                <w:color w:val="000000" w:themeColor="text1"/>
                <w:sz w:val="17"/>
                <w:szCs w:val="17"/>
                <w:lang w:val="hr-HR"/>
              </w:rPr>
            </w:pPr>
            <w:bookmarkStart w:id="1079" w:name="_Hlk68108015"/>
            <w:r w:rsidRPr="0046584E">
              <w:rPr>
                <w:rFonts w:ascii="Arial" w:hAnsi="Arial" w:cs="Arial"/>
                <w:sz w:val="17"/>
                <w:szCs w:val="17"/>
              </w:rPr>
              <w:t xml:space="preserve"> 2.928.045 </w:t>
            </w:r>
            <w:bookmarkEnd w:id="1079"/>
          </w:p>
        </w:tc>
        <w:tc>
          <w:tcPr>
            <w:tcW w:w="994" w:type="dxa"/>
            <w:tcBorders>
              <w:top w:val="nil"/>
              <w:left w:val="nil"/>
              <w:bottom w:val="nil"/>
              <w:right w:val="nil"/>
            </w:tcBorders>
            <w:shd w:val="clear" w:color="auto" w:fill="auto"/>
            <w:noWrap/>
            <w:vAlign w:val="bottom"/>
          </w:tcPr>
          <w:p w14:paraId="2394C9C7" w14:textId="77777777" w:rsidR="004E2F51" w:rsidRPr="004B4498" w:rsidRDefault="004E2F51" w:rsidP="00E032FC">
            <w:pPr>
              <w:jc w:val="right"/>
              <w:rPr>
                <w:rFonts w:ascii="Arial" w:hAnsi="Arial" w:cs="Arial"/>
                <w:color w:val="000000" w:themeColor="text1"/>
                <w:sz w:val="17"/>
                <w:szCs w:val="17"/>
                <w:lang w:val="hr-HR"/>
              </w:rPr>
            </w:pPr>
            <w:r w:rsidRPr="0046584E">
              <w:rPr>
                <w:rFonts w:ascii="Arial" w:hAnsi="Arial" w:cs="Arial"/>
                <w:color w:val="000000" w:themeColor="text1"/>
                <w:sz w:val="17"/>
                <w:szCs w:val="17"/>
                <w:lang w:val="hr-HR"/>
              </w:rPr>
              <w:t>-</w:t>
            </w:r>
          </w:p>
        </w:tc>
        <w:tc>
          <w:tcPr>
            <w:tcW w:w="993" w:type="dxa"/>
            <w:tcBorders>
              <w:top w:val="nil"/>
              <w:left w:val="nil"/>
              <w:bottom w:val="nil"/>
              <w:right w:val="nil"/>
            </w:tcBorders>
            <w:shd w:val="clear" w:color="auto" w:fill="auto"/>
            <w:noWrap/>
            <w:vAlign w:val="bottom"/>
          </w:tcPr>
          <w:p w14:paraId="1E0DAE70" w14:textId="77777777" w:rsidR="004E2F51" w:rsidRPr="004B4498" w:rsidRDefault="004E2F51" w:rsidP="00E032FC">
            <w:pPr>
              <w:jc w:val="right"/>
              <w:rPr>
                <w:rFonts w:ascii="Arial" w:hAnsi="Arial" w:cs="Arial"/>
                <w:color w:val="000000" w:themeColor="text1"/>
                <w:sz w:val="17"/>
                <w:szCs w:val="17"/>
                <w:lang w:val="hr-HR"/>
              </w:rPr>
            </w:pPr>
            <w:r w:rsidRPr="0046584E">
              <w:rPr>
                <w:rFonts w:ascii="Arial" w:hAnsi="Arial" w:cs="Arial"/>
                <w:sz w:val="17"/>
                <w:szCs w:val="17"/>
              </w:rPr>
              <w:t xml:space="preserve"> 1.469 </w:t>
            </w:r>
          </w:p>
        </w:tc>
        <w:tc>
          <w:tcPr>
            <w:tcW w:w="994" w:type="dxa"/>
            <w:tcBorders>
              <w:top w:val="nil"/>
              <w:left w:val="nil"/>
              <w:bottom w:val="nil"/>
              <w:right w:val="nil"/>
            </w:tcBorders>
            <w:shd w:val="clear" w:color="auto" w:fill="auto"/>
            <w:noWrap/>
            <w:vAlign w:val="bottom"/>
          </w:tcPr>
          <w:p w14:paraId="0DE9BBAF"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 2.929.514 </w:t>
            </w:r>
          </w:p>
        </w:tc>
        <w:tc>
          <w:tcPr>
            <w:tcW w:w="993" w:type="dxa"/>
            <w:tcBorders>
              <w:top w:val="nil"/>
              <w:left w:val="nil"/>
              <w:bottom w:val="nil"/>
              <w:right w:val="nil"/>
            </w:tcBorders>
            <w:shd w:val="clear" w:color="auto" w:fill="auto"/>
            <w:noWrap/>
            <w:vAlign w:val="bottom"/>
          </w:tcPr>
          <w:p w14:paraId="5AD1D681" w14:textId="77777777" w:rsidR="004E2F51" w:rsidRPr="004B4498" w:rsidRDefault="004E2F51" w:rsidP="00E032FC">
            <w:pPr>
              <w:jc w:val="right"/>
              <w:rPr>
                <w:rFonts w:ascii="Arial" w:hAnsi="Arial" w:cs="Arial"/>
                <w:color w:val="000000" w:themeColor="text1"/>
                <w:sz w:val="17"/>
                <w:szCs w:val="17"/>
                <w:lang w:val="hr-HR"/>
              </w:rPr>
            </w:pPr>
            <w:r w:rsidRPr="0046584E">
              <w:rPr>
                <w:rFonts w:ascii="Arial" w:hAnsi="Arial" w:cs="Arial"/>
                <w:sz w:val="17"/>
                <w:szCs w:val="17"/>
              </w:rPr>
              <w:t xml:space="preserve"> 2.871.219 </w:t>
            </w:r>
          </w:p>
        </w:tc>
        <w:tc>
          <w:tcPr>
            <w:tcW w:w="994" w:type="dxa"/>
            <w:tcBorders>
              <w:top w:val="nil"/>
              <w:left w:val="nil"/>
              <w:bottom w:val="nil"/>
              <w:right w:val="nil"/>
            </w:tcBorders>
            <w:shd w:val="clear" w:color="auto" w:fill="auto"/>
            <w:noWrap/>
            <w:vAlign w:val="bottom"/>
          </w:tcPr>
          <w:p w14:paraId="3F1EF9F7" w14:textId="77777777" w:rsidR="004E2F51" w:rsidRPr="004B4498" w:rsidRDefault="004E2F51" w:rsidP="00E032FC">
            <w:pPr>
              <w:jc w:val="right"/>
              <w:rPr>
                <w:rFonts w:ascii="Arial" w:hAnsi="Arial" w:cs="Arial"/>
                <w:color w:val="000000" w:themeColor="text1"/>
                <w:sz w:val="17"/>
                <w:szCs w:val="17"/>
                <w:lang w:val="hr-HR"/>
              </w:rPr>
            </w:pPr>
            <w:r w:rsidRPr="0046584E">
              <w:rPr>
                <w:rFonts w:ascii="Arial" w:hAnsi="Arial" w:cs="Arial"/>
                <w:sz w:val="17"/>
                <w:szCs w:val="17"/>
              </w:rPr>
              <w:t xml:space="preserve"> - </w:t>
            </w:r>
          </w:p>
        </w:tc>
        <w:tc>
          <w:tcPr>
            <w:tcW w:w="993" w:type="dxa"/>
            <w:tcBorders>
              <w:top w:val="nil"/>
              <w:left w:val="nil"/>
              <w:bottom w:val="nil"/>
              <w:right w:val="nil"/>
            </w:tcBorders>
            <w:shd w:val="clear" w:color="auto" w:fill="auto"/>
            <w:noWrap/>
            <w:vAlign w:val="bottom"/>
          </w:tcPr>
          <w:p w14:paraId="2268502D" w14:textId="77777777" w:rsidR="004E2F51" w:rsidRPr="004B4498" w:rsidRDefault="004E2F51" w:rsidP="00E032FC">
            <w:pPr>
              <w:jc w:val="right"/>
              <w:rPr>
                <w:rFonts w:ascii="Arial" w:hAnsi="Arial" w:cs="Arial"/>
                <w:color w:val="000000" w:themeColor="text1"/>
                <w:sz w:val="17"/>
                <w:szCs w:val="17"/>
                <w:lang w:val="hr-HR"/>
              </w:rPr>
            </w:pPr>
            <w:r w:rsidRPr="0046584E">
              <w:rPr>
                <w:rFonts w:ascii="Arial" w:hAnsi="Arial" w:cs="Arial"/>
                <w:sz w:val="17"/>
                <w:szCs w:val="17"/>
              </w:rPr>
              <w:t xml:space="preserve"> 1.469 </w:t>
            </w:r>
          </w:p>
        </w:tc>
        <w:tc>
          <w:tcPr>
            <w:tcW w:w="994" w:type="dxa"/>
            <w:tcBorders>
              <w:top w:val="nil"/>
              <w:left w:val="nil"/>
              <w:bottom w:val="nil"/>
              <w:right w:val="nil"/>
            </w:tcBorders>
            <w:shd w:val="clear" w:color="auto" w:fill="auto"/>
            <w:noWrap/>
            <w:vAlign w:val="bottom"/>
          </w:tcPr>
          <w:p w14:paraId="16D880DA"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 2.872.688 </w:t>
            </w:r>
          </w:p>
        </w:tc>
      </w:tr>
      <w:tr w:rsidR="004E2F51" w:rsidRPr="00BB3F2C" w14:paraId="0DCE7BB0" w14:textId="77777777" w:rsidTr="00E032FC">
        <w:trPr>
          <w:trHeight w:val="285"/>
        </w:trPr>
        <w:tc>
          <w:tcPr>
            <w:tcW w:w="2127" w:type="dxa"/>
            <w:tcBorders>
              <w:top w:val="nil"/>
              <w:left w:val="nil"/>
              <w:bottom w:val="nil"/>
              <w:right w:val="nil"/>
            </w:tcBorders>
            <w:shd w:val="clear" w:color="auto" w:fill="auto"/>
            <w:noWrap/>
            <w:vAlign w:val="bottom"/>
            <w:hideMark/>
          </w:tcPr>
          <w:p w14:paraId="7F84E1F6" w14:textId="77777777" w:rsidR="004E2F51" w:rsidRPr="004B4498" w:rsidRDefault="004E2F51" w:rsidP="00E032FC">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 xml:space="preserve">Stanje na dan </w:t>
            </w:r>
          </w:p>
          <w:p w14:paraId="27DD8A16" w14:textId="77777777" w:rsidR="004E2F51" w:rsidRPr="004B4498" w:rsidRDefault="004E2F51" w:rsidP="00E032FC">
            <w:pPr>
              <w:rPr>
                <w:rFonts w:ascii="Arial" w:hAnsi="Arial" w:cs="Arial"/>
                <w:b/>
                <w:bCs/>
                <w:color w:val="000000" w:themeColor="text1"/>
                <w:sz w:val="17"/>
                <w:szCs w:val="17"/>
                <w:lang w:val="hr-HR"/>
              </w:rPr>
            </w:pPr>
            <w:r w:rsidRPr="004B4498">
              <w:rPr>
                <w:rFonts w:ascii="Arial" w:hAnsi="Arial" w:cs="Arial"/>
                <w:b/>
                <w:bCs/>
                <w:color w:val="000000" w:themeColor="text1"/>
                <w:sz w:val="17"/>
                <w:szCs w:val="17"/>
                <w:lang w:val="hr-HR"/>
              </w:rPr>
              <w:t>31. prosinca 202</w:t>
            </w:r>
            <w:r>
              <w:rPr>
                <w:rFonts w:ascii="Arial" w:hAnsi="Arial" w:cs="Arial"/>
                <w:b/>
                <w:bCs/>
                <w:color w:val="000000" w:themeColor="text1"/>
                <w:sz w:val="17"/>
                <w:szCs w:val="17"/>
                <w:lang w:val="hr-HR"/>
              </w:rPr>
              <w:t>1</w:t>
            </w:r>
            <w:r w:rsidRPr="004B4498">
              <w:rPr>
                <w:rFonts w:ascii="Arial" w:hAnsi="Arial" w:cs="Arial"/>
                <w:b/>
                <w:bCs/>
                <w:color w:val="000000" w:themeColor="text1"/>
                <w:sz w:val="17"/>
                <w:szCs w:val="17"/>
                <w:lang w:val="hr-HR"/>
              </w:rPr>
              <w:t xml:space="preserve">. </w:t>
            </w:r>
          </w:p>
        </w:tc>
        <w:tc>
          <w:tcPr>
            <w:tcW w:w="993" w:type="dxa"/>
            <w:tcBorders>
              <w:top w:val="single" w:sz="4" w:space="0" w:color="auto"/>
              <w:left w:val="nil"/>
              <w:bottom w:val="single" w:sz="12" w:space="0" w:color="auto"/>
              <w:right w:val="nil"/>
            </w:tcBorders>
            <w:shd w:val="clear" w:color="auto" w:fill="auto"/>
            <w:noWrap/>
            <w:vAlign w:val="bottom"/>
          </w:tcPr>
          <w:p w14:paraId="7907413C"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 2.928.045 </w:t>
            </w:r>
          </w:p>
        </w:tc>
        <w:tc>
          <w:tcPr>
            <w:tcW w:w="994" w:type="dxa"/>
            <w:tcBorders>
              <w:top w:val="single" w:sz="4" w:space="0" w:color="auto"/>
              <w:left w:val="nil"/>
              <w:bottom w:val="single" w:sz="12" w:space="0" w:color="auto"/>
              <w:right w:val="nil"/>
            </w:tcBorders>
            <w:shd w:val="clear" w:color="auto" w:fill="auto"/>
            <w:noWrap/>
            <w:vAlign w:val="bottom"/>
          </w:tcPr>
          <w:p w14:paraId="265E936F"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color w:val="000000" w:themeColor="text1"/>
                <w:sz w:val="17"/>
                <w:szCs w:val="17"/>
                <w:lang w:val="hr-HR"/>
              </w:rPr>
              <w:t>-</w:t>
            </w:r>
          </w:p>
        </w:tc>
        <w:tc>
          <w:tcPr>
            <w:tcW w:w="993" w:type="dxa"/>
            <w:tcBorders>
              <w:top w:val="single" w:sz="4" w:space="0" w:color="auto"/>
              <w:left w:val="nil"/>
              <w:bottom w:val="single" w:sz="12" w:space="0" w:color="auto"/>
              <w:right w:val="nil"/>
            </w:tcBorders>
            <w:shd w:val="clear" w:color="auto" w:fill="auto"/>
            <w:noWrap/>
            <w:vAlign w:val="bottom"/>
          </w:tcPr>
          <w:p w14:paraId="154ACDE3"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 1.469 </w:t>
            </w:r>
          </w:p>
        </w:tc>
        <w:tc>
          <w:tcPr>
            <w:tcW w:w="994" w:type="dxa"/>
            <w:tcBorders>
              <w:top w:val="single" w:sz="4" w:space="0" w:color="auto"/>
              <w:left w:val="nil"/>
              <w:bottom w:val="single" w:sz="12" w:space="0" w:color="auto"/>
              <w:right w:val="nil"/>
            </w:tcBorders>
            <w:shd w:val="clear" w:color="auto" w:fill="auto"/>
            <w:noWrap/>
            <w:vAlign w:val="bottom"/>
          </w:tcPr>
          <w:p w14:paraId="71C938A8"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 2.929.514 </w:t>
            </w:r>
          </w:p>
        </w:tc>
        <w:tc>
          <w:tcPr>
            <w:tcW w:w="993" w:type="dxa"/>
            <w:tcBorders>
              <w:top w:val="single" w:sz="4" w:space="0" w:color="auto"/>
              <w:left w:val="nil"/>
              <w:bottom w:val="single" w:sz="12" w:space="0" w:color="auto"/>
              <w:right w:val="nil"/>
            </w:tcBorders>
            <w:shd w:val="clear" w:color="auto" w:fill="auto"/>
            <w:noWrap/>
            <w:vAlign w:val="bottom"/>
          </w:tcPr>
          <w:p w14:paraId="4F8F71E7"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 2.871.219 </w:t>
            </w:r>
          </w:p>
        </w:tc>
        <w:tc>
          <w:tcPr>
            <w:tcW w:w="994" w:type="dxa"/>
            <w:tcBorders>
              <w:top w:val="single" w:sz="4" w:space="0" w:color="auto"/>
              <w:left w:val="nil"/>
              <w:bottom w:val="single" w:sz="12" w:space="0" w:color="auto"/>
              <w:right w:val="nil"/>
            </w:tcBorders>
            <w:shd w:val="clear" w:color="auto" w:fill="auto"/>
            <w:noWrap/>
            <w:vAlign w:val="bottom"/>
          </w:tcPr>
          <w:p w14:paraId="4D1181E9"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 - </w:t>
            </w:r>
          </w:p>
        </w:tc>
        <w:tc>
          <w:tcPr>
            <w:tcW w:w="993" w:type="dxa"/>
            <w:tcBorders>
              <w:top w:val="single" w:sz="4" w:space="0" w:color="auto"/>
              <w:left w:val="nil"/>
              <w:bottom w:val="single" w:sz="12" w:space="0" w:color="auto"/>
              <w:right w:val="nil"/>
            </w:tcBorders>
            <w:shd w:val="clear" w:color="auto" w:fill="auto"/>
            <w:noWrap/>
            <w:vAlign w:val="bottom"/>
          </w:tcPr>
          <w:p w14:paraId="33B19D10"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 1.469 </w:t>
            </w:r>
          </w:p>
        </w:tc>
        <w:tc>
          <w:tcPr>
            <w:tcW w:w="994" w:type="dxa"/>
            <w:tcBorders>
              <w:top w:val="single" w:sz="4" w:space="0" w:color="auto"/>
              <w:left w:val="nil"/>
              <w:bottom w:val="single" w:sz="12" w:space="0" w:color="auto"/>
              <w:right w:val="nil"/>
            </w:tcBorders>
            <w:shd w:val="clear" w:color="auto" w:fill="auto"/>
            <w:noWrap/>
            <w:vAlign w:val="bottom"/>
          </w:tcPr>
          <w:p w14:paraId="3FE34B59" w14:textId="77777777" w:rsidR="004E2F51" w:rsidRPr="004B4498" w:rsidRDefault="004E2F51" w:rsidP="00E032FC">
            <w:pPr>
              <w:jc w:val="right"/>
              <w:rPr>
                <w:rFonts w:ascii="Arial" w:hAnsi="Arial" w:cs="Arial"/>
                <w:b/>
                <w:bCs/>
                <w:color w:val="000000" w:themeColor="text1"/>
                <w:sz w:val="17"/>
                <w:szCs w:val="17"/>
                <w:lang w:val="hr-HR"/>
              </w:rPr>
            </w:pPr>
            <w:r w:rsidRPr="0046584E">
              <w:rPr>
                <w:rFonts w:ascii="Arial" w:hAnsi="Arial" w:cs="Arial"/>
                <w:b/>
                <w:bCs/>
                <w:sz w:val="17"/>
                <w:szCs w:val="17"/>
              </w:rPr>
              <w:t xml:space="preserve"> 2.872.688 </w:t>
            </w:r>
          </w:p>
        </w:tc>
      </w:tr>
    </w:tbl>
    <w:p w14:paraId="456BC70F" w14:textId="77777777" w:rsidR="004E2F51" w:rsidRPr="004B4498" w:rsidRDefault="004E2F51" w:rsidP="004E2F51">
      <w:pPr>
        <w:pStyle w:val="T1"/>
        <w:keepNext w:val="0"/>
        <w:spacing w:before="0" w:after="0" w:line="240" w:lineRule="auto"/>
        <w:rPr>
          <w:rFonts w:cs="Arial"/>
          <w:color w:val="000000" w:themeColor="text1"/>
          <w:sz w:val="20"/>
          <w:lang w:val="hr-HR"/>
        </w:rPr>
      </w:pPr>
    </w:p>
    <w:p w14:paraId="52C06629" w14:textId="77777777" w:rsidR="004E2F51" w:rsidRPr="004B4498" w:rsidRDefault="004E2F51" w:rsidP="004E2F51">
      <w:pPr>
        <w:pStyle w:val="T1"/>
        <w:keepNext w:val="0"/>
        <w:spacing w:before="0" w:after="0" w:line="240" w:lineRule="auto"/>
        <w:rPr>
          <w:rFonts w:cs="Arial"/>
          <w:color w:val="000000" w:themeColor="text1"/>
          <w:sz w:val="20"/>
          <w:lang w:val="hr-HR"/>
        </w:rPr>
      </w:pPr>
    </w:p>
    <w:p w14:paraId="3A1C1952" w14:textId="77777777" w:rsidR="004E2F51" w:rsidRPr="004B4498" w:rsidRDefault="004E2F51" w:rsidP="004E2F51">
      <w:pPr>
        <w:pStyle w:val="T1"/>
        <w:keepNext w:val="0"/>
        <w:spacing w:before="0" w:after="0" w:line="240" w:lineRule="auto"/>
        <w:rPr>
          <w:rFonts w:eastAsia="Calibri" w:cs="Arial"/>
          <w:b w:val="0"/>
          <w:color w:val="000000" w:themeColor="text1"/>
          <w:sz w:val="20"/>
          <w:lang w:val="hr-HR"/>
        </w:rPr>
      </w:pPr>
      <w:r w:rsidRPr="004B4498">
        <w:rPr>
          <w:rFonts w:eastAsia="Calibri" w:cs="Arial"/>
          <w:b w:val="0"/>
          <w:color w:val="000000" w:themeColor="text1"/>
          <w:sz w:val="20"/>
          <w:lang w:val="hr-HR"/>
        </w:rPr>
        <w:t>Promjene na rezerviranjima za kreditne gubitke po financijskoj imovini po fer vrijednosti kroz ostalu sveobuhvatnu dobit, a koji ne umanjuju knjigovodstvenu vrijednost imovine, mogu se prikazati kako slijedi:</w:t>
      </w:r>
    </w:p>
    <w:p w14:paraId="6304443D" w14:textId="77777777" w:rsidR="004E2F51" w:rsidRPr="004B4498" w:rsidRDefault="004E2F51" w:rsidP="004E2F51">
      <w:pPr>
        <w:pStyle w:val="T1"/>
        <w:keepNext w:val="0"/>
        <w:spacing w:before="0" w:after="0" w:line="240" w:lineRule="auto"/>
        <w:rPr>
          <w:rFonts w:cs="Arial"/>
          <w:color w:val="000000" w:themeColor="text1"/>
          <w:sz w:val="20"/>
          <w:lang w:val="hr-HR"/>
        </w:rPr>
      </w:pPr>
    </w:p>
    <w:tbl>
      <w:tblPr>
        <w:tblW w:w="9584" w:type="dxa"/>
        <w:tblInd w:w="-142" w:type="dxa"/>
        <w:tblLook w:val="04A0" w:firstRow="1" w:lastRow="0" w:firstColumn="1" w:lastColumn="0" w:noHBand="0" w:noVBand="1"/>
      </w:tblPr>
      <w:tblGrid>
        <w:gridCol w:w="4820"/>
        <w:gridCol w:w="1191"/>
        <w:gridCol w:w="1191"/>
        <w:gridCol w:w="1191"/>
        <w:gridCol w:w="1191"/>
      </w:tblGrid>
      <w:tr w:rsidR="004E2F51" w:rsidRPr="00BB3F2C" w14:paraId="2991B756" w14:textId="77777777" w:rsidTr="00E032FC">
        <w:trPr>
          <w:trHeight w:val="243"/>
        </w:trPr>
        <w:tc>
          <w:tcPr>
            <w:tcW w:w="4820" w:type="dxa"/>
            <w:tcBorders>
              <w:top w:val="nil"/>
              <w:left w:val="nil"/>
              <w:bottom w:val="nil"/>
              <w:right w:val="nil"/>
            </w:tcBorders>
            <w:shd w:val="clear" w:color="auto" w:fill="auto"/>
            <w:noWrap/>
            <w:vAlign w:val="bottom"/>
            <w:hideMark/>
          </w:tcPr>
          <w:p w14:paraId="35BAD61E" w14:textId="77777777" w:rsidR="004E2F51" w:rsidRPr="004B4498" w:rsidRDefault="004E2F51" w:rsidP="00E032FC">
            <w:pPr>
              <w:rPr>
                <w:rFonts w:ascii="Arial" w:eastAsia="Calibri" w:hAnsi="Arial" w:cs="Arial"/>
                <w:color w:val="000000" w:themeColor="text1"/>
                <w:sz w:val="19"/>
                <w:szCs w:val="19"/>
                <w:lang w:val="hr-HR"/>
              </w:rPr>
            </w:pPr>
          </w:p>
        </w:tc>
        <w:tc>
          <w:tcPr>
            <w:tcW w:w="2382" w:type="dxa"/>
            <w:gridSpan w:val="2"/>
            <w:tcBorders>
              <w:top w:val="nil"/>
              <w:left w:val="nil"/>
              <w:bottom w:val="nil"/>
              <w:right w:val="nil"/>
            </w:tcBorders>
            <w:shd w:val="clear" w:color="auto" w:fill="auto"/>
            <w:vAlign w:val="center"/>
            <w:hideMark/>
          </w:tcPr>
          <w:p w14:paraId="5BB4FD56" w14:textId="77777777" w:rsidR="004E2F51" w:rsidRPr="004B4498" w:rsidRDefault="004E2F51" w:rsidP="00E032FC">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Grupa</w:t>
            </w:r>
          </w:p>
        </w:tc>
        <w:tc>
          <w:tcPr>
            <w:tcW w:w="2382" w:type="dxa"/>
            <w:gridSpan w:val="2"/>
            <w:tcBorders>
              <w:top w:val="nil"/>
              <w:left w:val="nil"/>
              <w:bottom w:val="nil"/>
              <w:right w:val="nil"/>
            </w:tcBorders>
            <w:shd w:val="clear" w:color="auto" w:fill="auto"/>
            <w:vAlign w:val="center"/>
            <w:hideMark/>
          </w:tcPr>
          <w:p w14:paraId="4967AE2C" w14:textId="77777777" w:rsidR="004E2F51" w:rsidRPr="004B4498" w:rsidRDefault="004E2F51" w:rsidP="00E032FC">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Banka</w:t>
            </w:r>
          </w:p>
        </w:tc>
      </w:tr>
      <w:tr w:rsidR="004E2F51" w:rsidRPr="00BB3F2C" w14:paraId="1CB05806" w14:textId="77777777" w:rsidTr="00E032FC">
        <w:trPr>
          <w:trHeight w:val="243"/>
        </w:trPr>
        <w:tc>
          <w:tcPr>
            <w:tcW w:w="4820" w:type="dxa"/>
            <w:tcBorders>
              <w:top w:val="nil"/>
              <w:left w:val="nil"/>
              <w:bottom w:val="nil"/>
              <w:right w:val="nil"/>
            </w:tcBorders>
            <w:shd w:val="clear" w:color="auto" w:fill="auto"/>
            <w:noWrap/>
            <w:vAlign w:val="bottom"/>
          </w:tcPr>
          <w:p w14:paraId="5633208D" w14:textId="77777777" w:rsidR="004E2F51" w:rsidRPr="004B4498" w:rsidRDefault="004E2F51" w:rsidP="00E032FC">
            <w:pPr>
              <w:rPr>
                <w:rFonts w:ascii="Arial" w:eastAsia="Calibri" w:hAnsi="Arial" w:cs="Arial"/>
                <w:color w:val="000000" w:themeColor="text1"/>
                <w:sz w:val="19"/>
                <w:szCs w:val="19"/>
                <w:lang w:val="hr-HR"/>
              </w:rPr>
            </w:pPr>
          </w:p>
        </w:tc>
        <w:tc>
          <w:tcPr>
            <w:tcW w:w="1191" w:type="dxa"/>
            <w:vAlign w:val="bottom"/>
          </w:tcPr>
          <w:p w14:paraId="0274B7EA" w14:textId="77777777" w:rsidR="004E2F51" w:rsidRPr="004B4498" w:rsidRDefault="004E2F51" w:rsidP="00E032FC">
            <w:pPr>
              <w:tabs>
                <w:tab w:val="right" w:pos="1202"/>
              </w:tabs>
              <w:jc w:val="right"/>
              <w:outlineLvl w:val="0"/>
              <w:rPr>
                <w:rFonts w:ascii="Arial" w:hAnsi="Arial" w:cs="Arial"/>
                <w:b/>
                <w:color w:val="000000" w:themeColor="text1"/>
                <w:sz w:val="19"/>
                <w:szCs w:val="19"/>
                <w:lang w:val="hr-HR"/>
              </w:rPr>
            </w:pPr>
            <w:bookmarkStart w:id="1080" w:name="_Toc67328152"/>
            <w:r w:rsidRPr="004B4498">
              <w:rPr>
                <w:rFonts w:ascii="Arial" w:hAnsi="Arial" w:cs="Arial"/>
                <w:b/>
                <w:color w:val="000000" w:themeColor="text1"/>
                <w:sz w:val="19"/>
                <w:szCs w:val="19"/>
                <w:lang w:val="hr-HR"/>
              </w:rPr>
              <w:t>1.1.-31.12.</w:t>
            </w:r>
            <w:bookmarkEnd w:id="1080"/>
          </w:p>
          <w:p w14:paraId="52C034B1" w14:textId="77777777" w:rsidR="004E2F51" w:rsidRPr="004B4498" w:rsidRDefault="004E2F51" w:rsidP="00E032FC">
            <w:pPr>
              <w:tabs>
                <w:tab w:val="right" w:pos="1202"/>
              </w:tabs>
              <w:jc w:val="right"/>
              <w:outlineLvl w:val="0"/>
              <w:rPr>
                <w:rFonts w:ascii="Arial" w:hAnsi="Arial" w:cs="Arial"/>
                <w:b/>
                <w:color w:val="000000" w:themeColor="text1"/>
                <w:sz w:val="19"/>
                <w:szCs w:val="19"/>
                <w:lang w:val="hr-HR"/>
              </w:rPr>
            </w:pPr>
            <w:bookmarkStart w:id="1081" w:name="_Toc67328153"/>
            <w:r w:rsidRPr="004B4498">
              <w:rPr>
                <w:rFonts w:ascii="Arial" w:hAnsi="Arial" w:cs="Arial"/>
                <w:b/>
                <w:color w:val="000000" w:themeColor="text1"/>
                <w:sz w:val="19"/>
                <w:szCs w:val="19"/>
                <w:lang w:val="hr-HR"/>
              </w:rPr>
              <w:t>2022.</w:t>
            </w:r>
            <w:bookmarkEnd w:id="1081"/>
          </w:p>
        </w:tc>
        <w:tc>
          <w:tcPr>
            <w:tcW w:w="1191" w:type="dxa"/>
            <w:vAlign w:val="bottom"/>
          </w:tcPr>
          <w:p w14:paraId="32B25C58" w14:textId="77777777" w:rsidR="004E2F51" w:rsidRPr="004B4498" w:rsidRDefault="004E2F51" w:rsidP="00E032FC">
            <w:pPr>
              <w:tabs>
                <w:tab w:val="right" w:pos="1202"/>
              </w:tabs>
              <w:jc w:val="right"/>
              <w:outlineLvl w:val="0"/>
              <w:rPr>
                <w:rFonts w:ascii="Arial" w:hAnsi="Arial" w:cs="Arial"/>
                <w:b/>
                <w:color w:val="000000" w:themeColor="text1"/>
                <w:sz w:val="19"/>
                <w:szCs w:val="19"/>
                <w:lang w:val="hr-HR"/>
              </w:rPr>
            </w:pPr>
            <w:bookmarkStart w:id="1082" w:name="_Toc67328154"/>
            <w:r w:rsidRPr="004B4498">
              <w:rPr>
                <w:rFonts w:ascii="Arial" w:hAnsi="Arial" w:cs="Arial"/>
                <w:b/>
                <w:color w:val="000000" w:themeColor="text1"/>
                <w:sz w:val="19"/>
                <w:szCs w:val="19"/>
                <w:lang w:val="hr-HR"/>
              </w:rPr>
              <w:t>1.1.-31.12.</w:t>
            </w:r>
            <w:bookmarkEnd w:id="1082"/>
          </w:p>
          <w:p w14:paraId="7F8D77FA" w14:textId="77777777" w:rsidR="004E2F51" w:rsidRPr="004B4498" w:rsidRDefault="004E2F51" w:rsidP="00E032FC">
            <w:pPr>
              <w:tabs>
                <w:tab w:val="right" w:pos="1202"/>
              </w:tabs>
              <w:jc w:val="right"/>
              <w:outlineLvl w:val="0"/>
              <w:rPr>
                <w:rFonts w:ascii="Arial" w:hAnsi="Arial" w:cs="Arial"/>
                <w:b/>
                <w:color w:val="000000" w:themeColor="text1"/>
                <w:sz w:val="19"/>
                <w:szCs w:val="19"/>
                <w:lang w:val="hr-HR"/>
              </w:rPr>
            </w:pPr>
            <w:bookmarkStart w:id="1083" w:name="_Toc67328155"/>
            <w:r w:rsidRPr="004B4498">
              <w:rPr>
                <w:rFonts w:ascii="Arial" w:hAnsi="Arial" w:cs="Arial"/>
                <w:b/>
                <w:color w:val="000000" w:themeColor="text1"/>
                <w:sz w:val="19"/>
                <w:szCs w:val="19"/>
                <w:lang w:val="hr-HR"/>
              </w:rPr>
              <w:t>2021.</w:t>
            </w:r>
            <w:bookmarkEnd w:id="1083"/>
          </w:p>
        </w:tc>
        <w:tc>
          <w:tcPr>
            <w:tcW w:w="1191" w:type="dxa"/>
            <w:vAlign w:val="bottom"/>
          </w:tcPr>
          <w:p w14:paraId="7140B41E" w14:textId="77777777" w:rsidR="004E2F51" w:rsidRPr="004B4498" w:rsidRDefault="004E2F51" w:rsidP="00E032FC">
            <w:pPr>
              <w:tabs>
                <w:tab w:val="right" w:pos="1202"/>
              </w:tabs>
              <w:jc w:val="right"/>
              <w:outlineLvl w:val="0"/>
              <w:rPr>
                <w:rFonts w:ascii="Arial" w:hAnsi="Arial" w:cs="Arial"/>
                <w:b/>
                <w:color w:val="000000" w:themeColor="text1"/>
                <w:sz w:val="19"/>
                <w:szCs w:val="19"/>
                <w:lang w:val="hr-HR"/>
              </w:rPr>
            </w:pPr>
            <w:bookmarkStart w:id="1084" w:name="_Toc67328156"/>
            <w:r w:rsidRPr="004B4498">
              <w:rPr>
                <w:rFonts w:ascii="Arial" w:hAnsi="Arial" w:cs="Arial"/>
                <w:b/>
                <w:color w:val="000000" w:themeColor="text1"/>
                <w:sz w:val="19"/>
                <w:szCs w:val="19"/>
                <w:lang w:val="hr-HR"/>
              </w:rPr>
              <w:t>1.1.-31.12.</w:t>
            </w:r>
            <w:bookmarkEnd w:id="1084"/>
          </w:p>
          <w:p w14:paraId="5A4ADE4E" w14:textId="77777777" w:rsidR="004E2F51" w:rsidRPr="004B4498" w:rsidRDefault="004E2F51" w:rsidP="00E032FC">
            <w:pPr>
              <w:tabs>
                <w:tab w:val="right" w:pos="1202"/>
              </w:tabs>
              <w:jc w:val="right"/>
              <w:outlineLvl w:val="0"/>
              <w:rPr>
                <w:rFonts w:ascii="Arial" w:hAnsi="Arial" w:cs="Arial"/>
                <w:b/>
                <w:color w:val="000000" w:themeColor="text1"/>
                <w:sz w:val="19"/>
                <w:szCs w:val="19"/>
                <w:lang w:val="hr-HR"/>
              </w:rPr>
            </w:pPr>
            <w:bookmarkStart w:id="1085" w:name="_Toc67328157"/>
            <w:r w:rsidRPr="004B4498">
              <w:rPr>
                <w:rFonts w:ascii="Arial" w:hAnsi="Arial" w:cs="Arial"/>
                <w:b/>
                <w:color w:val="000000" w:themeColor="text1"/>
                <w:sz w:val="19"/>
                <w:szCs w:val="19"/>
                <w:lang w:val="hr-HR"/>
              </w:rPr>
              <w:t>2022.</w:t>
            </w:r>
            <w:bookmarkEnd w:id="1085"/>
          </w:p>
        </w:tc>
        <w:tc>
          <w:tcPr>
            <w:tcW w:w="1191" w:type="dxa"/>
            <w:vAlign w:val="bottom"/>
          </w:tcPr>
          <w:p w14:paraId="053F3679" w14:textId="77777777" w:rsidR="004E2F51" w:rsidRPr="004B4498" w:rsidRDefault="004E2F51" w:rsidP="00E032FC">
            <w:pPr>
              <w:tabs>
                <w:tab w:val="right" w:pos="1202"/>
              </w:tabs>
              <w:jc w:val="right"/>
              <w:outlineLvl w:val="0"/>
              <w:rPr>
                <w:rFonts w:ascii="Arial" w:hAnsi="Arial" w:cs="Arial"/>
                <w:b/>
                <w:color w:val="000000" w:themeColor="text1"/>
                <w:sz w:val="19"/>
                <w:szCs w:val="19"/>
                <w:lang w:val="hr-HR"/>
              </w:rPr>
            </w:pPr>
            <w:bookmarkStart w:id="1086" w:name="_Toc67328158"/>
            <w:r w:rsidRPr="004B4498">
              <w:rPr>
                <w:rFonts w:ascii="Arial" w:hAnsi="Arial" w:cs="Arial"/>
                <w:b/>
                <w:color w:val="000000" w:themeColor="text1"/>
                <w:sz w:val="19"/>
                <w:szCs w:val="19"/>
                <w:lang w:val="hr-HR"/>
              </w:rPr>
              <w:t>1.1.-31.12.</w:t>
            </w:r>
            <w:bookmarkEnd w:id="1086"/>
          </w:p>
          <w:p w14:paraId="65197527" w14:textId="77777777" w:rsidR="004E2F51" w:rsidRPr="004B4498" w:rsidRDefault="004E2F51" w:rsidP="00E032FC">
            <w:pPr>
              <w:tabs>
                <w:tab w:val="right" w:pos="1202"/>
              </w:tabs>
              <w:jc w:val="right"/>
              <w:outlineLvl w:val="0"/>
              <w:rPr>
                <w:rFonts w:ascii="Arial" w:hAnsi="Arial" w:cs="Arial"/>
                <w:b/>
                <w:color w:val="000000" w:themeColor="text1"/>
                <w:sz w:val="19"/>
                <w:szCs w:val="19"/>
                <w:lang w:val="hr-HR"/>
              </w:rPr>
            </w:pPr>
            <w:bookmarkStart w:id="1087" w:name="_Toc67328159"/>
            <w:r w:rsidRPr="004B4498">
              <w:rPr>
                <w:rFonts w:ascii="Arial" w:hAnsi="Arial" w:cs="Arial"/>
                <w:b/>
                <w:color w:val="000000" w:themeColor="text1"/>
                <w:sz w:val="19"/>
                <w:szCs w:val="19"/>
                <w:lang w:val="hr-HR"/>
              </w:rPr>
              <w:t>2021.</w:t>
            </w:r>
            <w:bookmarkEnd w:id="1087"/>
          </w:p>
        </w:tc>
      </w:tr>
      <w:tr w:rsidR="004E2F51" w:rsidRPr="00BB3F2C" w14:paraId="3C8E6FBE" w14:textId="77777777" w:rsidTr="00E032FC">
        <w:trPr>
          <w:trHeight w:val="231"/>
        </w:trPr>
        <w:tc>
          <w:tcPr>
            <w:tcW w:w="4820" w:type="dxa"/>
            <w:tcBorders>
              <w:top w:val="nil"/>
              <w:left w:val="nil"/>
              <w:bottom w:val="nil"/>
              <w:right w:val="nil"/>
            </w:tcBorders>
            <w:shd w:val="clear" w:color="auto" w:fill="auto"/>
            <w:vAlign w:val="center"/>
            <w:hideMark/>
          </w:tcPr>
          <w:p w14:paraId="342DA583" w14:textId="77777777" w:rsidR="004E2F51" w:rsidRPr="004B4498" w:rsidRDefault="004E2F51" w:rsidP="00E032FC">
            <w:pPr>
              <w:jc w:val="right"/>
              <w:rPr>
                <w:rFonts w:ascii="Arial" w:eastAsia="Calibri" w:hAnsi="Arial" w:cs="Arial"/>
                <w:b/>
                <w:bCs/>
                <w:color w:val="000000" w:themeColor="text1"/>
                <w:sz w:val="19"/>
                <w:szCs w:val="19"/>
                <w:lang w:val="hr-HR"/>
              </w:rPr>
            </w:pPr>
          </w:p>
        </w:tc>
        <w:tc>
          <w:tcPr>
            <w:tcW w:w="1191" w:type="dxa"/>
            <w:tcBorders>
              <w:top w:val="nil"/>
              <w:left w:val="nil"/>
              <w:bottom w:val="nil"/>
              <w:right w:val="nil"/>
            </w:tcBorders>
            <w:shd w:val="clear" w:color="auto" w:fill="auto"/>
            <w:vAlign w:val="center"/>
            <w:hideMark/>
          </w:tcPr>
          <w:p w14:paraId="5633696E" w14:textId="77777777" w:rsidR="004E2F51" w:rsidRPr="004B4498" w:rsidRDefault="004E2F51" w:rsidP="00E032FC">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000 kuna</w:t>
            </w:r>
          </w:p>
        </w:tc>
        <w:tc>
          <w:tcPr>
            <w:tcW w:w="1191" w:type="dxa"/>
            <w:tcBorders>
              <w:top w:val="nil"/>
              <w:left w:val="nil"/>
              <w:bottom w:val="nil"/>
              <w:right w:val="nil"/>
            </w:tcBorders>
            <w:shd w:val="clear" w:color="auto" w:fill="auto"/>
            <w:vAlign w:val="center"/>
          </w:tcPr>
          <w:p w14:paraId="0D608ECF" w14:textId="77777777" w:rsidR="004E2F51" w:rsidRPr="004B4498" w:rsidRDefault="004E2F51" w:rsidP="00E032FC">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000 kuna</w:t>
            </w:r>
          </w:p>
        </w:tc>
        <w:tc>
          <w:tcPr>
            <w:tcW w:w="1191" w:type="dxa"/>
            <w:tcBorders>
              <w:top w:val="nil"/>
              <w:left w:val="nil"/>
              <w:bottom w:val="nil"/>
              <w:right w:val="nil"/>
            </w:tcBorders>
            <w:shd w:val="clear" w:color="auto" w:fill="auto"/>
            <w:vAlign w:val="center"/>
            <w:hideMark/>
          </w:tcPr>
          <w:p w14:paraId="4C53599D" w14:textId="77777777" w:rsidR="004E2F51" w:rsidRPr="004B4498" w:rsidRDefault="004E2F51" w:rsidP="00E032FC">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000 kuna</w:t>
            </w:r>
          </w:p>
        </w:tc>
        <w:tc>
          <w:tcPr>
            <w:tcW w:w="1191" w:type="dxa"/>
            <w:tcBorders>
              <w:top w:val="nil"/>
              <w:left w:val="nil"/>
              <w:bottom w:val="nil"/>
              <w:right w:val="nil"/>
            </w:tcBorders>
            <w:shd w:val="clear" w:color="auto" w:fill="auto"/>
            <w:vAlign w:val="center"/>
          </w:tcPr>
          <w:p w14:paraId="34A1C1A4" w14:textId="77777777" w:rsidR="004E2F51" w:rsidRPr="004B4498" w:rsidRDefault="004E2F51" w:rsidP="00E032FC">
            <w:pPr>
              <w:jc w:val="right"/>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000 kuna</w:t>
            </w:r>
          </w:p>
        </w:tc>
      </w:tr>
      <w:tr w:rsidR="004E2F51" w:rsidRPr="00BB3F2C" w14:paraId="6AF145B5" w14:textId="77777777" w:rsidTr="00E032FC">
        <w:trPr>
          <w:trHeight w:val="379"/>
        </w:trPr>
        <w:tc>
          <w:tcPr>
            <w:tcW w:w="4820" w:type="dxa"/>
            <w:tcBorders>
              <w:top w:val="nil"/>
              <w:left w:val="nil"/>
              <w:bottom w:val="nil"/>
              <w:right w:val="nil"/>
            </w:tcBorders>
            <w:shd w:val="clear" w:color="auto" w:fill="auto"/>
            <w:vAlign w:val="bottom"/>
          </w:tcPr>
          <w:p w14:paraId="3F61AA95" w14:textId="77777777" w:rsidR="004E2F51" w:rsidRPr="004B4498" w:rsidRDefault="004E2F51" w:rsidP="00E032FC">
            <w:pPr>
              <w:rPr>
                <w:rFonts w:ascii="Arial" w:eastAsia="Calibri" w:hAnsi="Arial" w:cs="Arial"/>
                <w:color w:val="000000" w:themeColor="text1"/>
                <w:sz w:val="19"/>
                <w:szCs w:val="19"/>
                <w:lang w:val="hr-HR"/>
              </w:rPr>
            </w:pPr>
            <w:r w:rsidRPr="004B4498">
              <w:rPr>
                <w:rFonts w:ascii="Arial" w:eastAsia="Calibri" w:hAnsi="Arial" w:cs="Arial"/>
                <w:color w:val="000000" w:themeColor="text1"/>
                <w:sz w:val="19"/>
                <w:szCs w:val="19"/>
                <w:lang w:val="hr-HR"/>
              </w:rPr>
              <w:t>Stanje 1. siječnja</w:t>
            </w:r>
          </w:p>
        </w:tc>
        <w:tc>
          <w:tcPr>
            <w:tcW w:w="1191" w:type="dxa"/>
            <w:tcBorders>
              <w:top w:val="nil"/>
              <w:left w:val="nil"/>
              <w:bottom w:val="nil"/>
              <w:right w:val="nil"/>
            </w:tcBorders>
            <w:shd w:val="clear" w:color="auto" w:fill="auto"/>
            <w:noWrap/>
            <w:vAlign w:val="bottom"/>
          </w:tcPr>
          <w:p w14:paraId="20D9F8D0" w14:textId="77777777" w:rsidR="004E2F51" w:rsidRPr="004B4498" w:rsidRDefault="004E2F51" w:rsidP="00E032FC">
            <w:pPr>
              <w:jc w:val="right"/>
              <w:rPr>
                <w:rFonts w:ascii="Arial" w:eastAsia="Calibri" w:hAnsi="Arial" w:cs="Arial"/>
                <w:color w:val="000000" w:themeColor="text1"/>
                <w:sz w:val="19"/>
                <w:szCs w:val="19"/>
                <w:lang w:val="hr-HR"/>
              </w:rPr>
            </w:pPr>
            <w:r w:rsidRPr="00BF5D37">
              <w:rPr>
                <w:rFonts w:ascii="Arial" w:eastAsia="Calibri" w:hAnsi="Arial" w:cs="Arial"/>
                <w:color w:val="000000" w:themeColor="text1"/>
                <w:sz w:val="19"/>
                <w:szCs w:val="19"/>
                <w:lang w:val="hr-HR"/>
              </w:rPr>
              <w:t>4.</w:t>
            </w:r>
            <w:r>
              <w:rPr>
                <w:rFonts w:ascii="Arial" w:eastAsia="Calibri" w:hAnsi="Arial" w:cs="Arial"/>
                <w:color w:val="000000" w:themeColor="text1"/>
                <w:sz w:val="19"/>
                <w:szCs w:val="19"/>
                <w:lang w:val="hr-HR"/>
              </w:rPr>
              <w:t>54</w:t>
            </w:r>
            <w:r w:rsidRPr="00BF5D37">
              <w:rPr>
                <w:rFonts w:ascii="Arial" w:eastAsia="Calibri" w:hAnsi="Arial" w:cs="Arial"/>
                <w:color w:val="000000" w:themeColor="text1"/>
                <w:sz w:val="19"/>
                <w:szCs w:val="19"/>
                <w:lang w:val="hr-HR"/>
              </w:rPr>
              <w:t>5</w:t>
            </w:r>
          </w:p>
        </w:tc>
        <w:tc>
          <w:tcPr>
            <w:tcW w:w="1191" w:type="dxa"/>
            <w:tcBorders>
              <w:top w:val="nil"/>
              <w:left w:val="nil"/>
              <w:bottom w:val="nil"/>
              <w:right w:val="nil"/>
            </w:tcBorders>
            <w:shd w:val="clear" w:color="auto" w:fill="auto"/>
            <w:vAlign w:val="bottom"/>
          </w:tcPr>
          <w:p w14:paraId="652AFF81" w14:textId="77777777" w:rsidR="004E2F51" w:rsidRPr="004B4498" w:rsidRDefault="004E2F51" w:rsidP="00E032FC">
            <w:pPr>
              <w:jc w:val="right"/>
              <w:rPr>
                <w:rFonts w:ascii="Arial" w:eastAsia="Calibri" w:hAnsi="Arial" w:cs="Arial"/>
                <w:color w:val="000000" w:themeColor="text1"/>
                <w:sz w:val="19"/>
                <w:szCs w:val="19"/>
                <w:lang w:val="hr-HR"/>
              </w:rPr>
            </w:pPr>
            <w:r w:rsidRPr="004B4498">
              <w:rPr>
                <w:rFonts w:ascii="Arial" w:eastAsia="Calibri" w:hAnsi="Arial" w:cs="Arial"/>
                <w:color w:val="000000" w:themeColor="text1"/>
                <w:sz w:val="19"/>
                <w:szCs w:val="19"/>
                <w:lang w:val="hr-HR"/>
              </w:rPr>
              <w:t>4.582</w:t>
            </w:r>
          </w:p>
        </w:tc>
        <w:tc>
          <w:tcPr>
            <w:tcW w:w="1191" w:type="dxa"/>
            <w:tcBorders>
              <w:top w:val="nil"/>
              <w:left w:val="nil"/>
              <w:bottom w:val="nil"/>
              <w:right w:val="nil"/>
            </w:tcBorders>
            <w:shd w:val="clear" w:color="auto" w:fill="auto"/>
            <w:vAlign w:val="bottom"/>
          </w:tcPr>
          <w:p w14:paraId="3D98DDB1" w14:textId="77777777" w:rsidR="004E2F51" w:rsidRPr="004B4498" w:rsidRDefault="004E2F51" w:rsidP="00E032FC">
            <w:pPr>
              <w:jc w:val="right"/>
              <w:rPr>
                <w:rFonts w:ascii="Arial" w:eastAsia="Calibri" w:hAnsi="Arial" w:cs="Arial"/>
                <w:color w:val="000000" w:themeColor="text1"/>
                <w:sz w:val="19"/>
                <w:szCs w:val="19"/>
                <w:lang w:val="hr-HR"/>
              </w:rPr>
            </w:pPr>
            <w:r w:rsidRPr="00BF5D37">
              <w:rPr>
                <w:rFonts w:ascii="Arial" w:eastAsia="Calibri" w:hAnsi="Arial" w:cs="Arial"/>
                <w:color w:val="000000" w:themeColor="text1"/>
                <w:sz w:val="19"/>
                <w:szCs w:val="19"/>
                <w:lang w:val="hr-HR"/>
              </w:rPr>
              <w:t>4.455</w:t>
            </w:r>
          </w:p>
        </w:tc>
        <w:tc>
          <w:tcPr>
            <w:tcW w:w="1191" w:type="dxa"/>
            <w:tcBorders>
              <w:top w:val="nil"/>
              <w:left w:val="nil"/>
              <w:bottom w:val="nil"/>
              <w:right w:val="nil"/>
            </w:tcBorders>
            <w:shd w:val="clear" w:color="auto" w:fill="auto"/>
            <w:vAlign w:val="bottom"/>
          </w:tcPr>
          <w:p w14:paraId="2C7DA35F" w14:textId="77777777" w:rsidR="004E2F51" w:rsidRPr="004B4498" w:rsidRDefault="004E2F51" w:rsidP="00E032FC">
            <w:pPr>
              <w:jc w:val="right"/>
              <w:rPr>
                <w:rFonts w:ascii="Arial" w:eastAsia="Calibri" w:hAnsi="Arial" w:cs="Arial"/>
                <w:color w:val="000000" w:themeColor="text1"/>
                <w:sz w:val="19"/>
                <w:szCs w:val="19"/>
                <w:lang w:val="hr-HR"/>
              </w:rPr>
            </w:pPr>
            <w:r w:rsidRPr="004B4498">
              <w:rPr>
                <w:rFonts w:ascii="Arial" w:eastAsia="Calibri" w:hAnsi="Arial" w:cs="Arial"/>
                <w:color w:val="000000" w:themeColor="text1"/>
                <w:sz w:val="19"/>
                <w:szCs w:val="19"/>
                <w:lang w:val="hr-HR"/>
              </w:rPr>
              <w:t>4.499</w:t>
            </w:r>
          </w:p>
        </w:tc>
      </w:tr>
      <w:tr w:rsidR="004E2F51" w:rsidRPr="00BB3F2C" w14:paraId="6646FA0F" w14:textId="77777777" w:rsidTr="00E032FC">
        <w:trPr>
          <w:trHeight w:val="379"/>
        </w:trPr>
        <w:tc>
          <w:tcPr>
            <w:tcW w:w="4820" w:type="dxa"/>
            <w:tcBorders>
              <w:top w:val="nil"/>
              <w:left w:val="nil"/>
              <w:bottom w:val="nil"/>
              <w:right w:val="nil"/>
            </w:tcBorders>
            <w:shd w:val="clear" w:color="auto" w:fill="auto"/>
            <w:vAlign w:val="bottom"/>
          </w:tcPr>
          <w:p w14:paraId="450C148F" w14:textId="77777777" w:rsidR="004E2F51" w:rsidRPr="004B4498" w:rsidRDefault="004E2F51" w:rsidP="00E032FC">
            <w:pPr>
              <w:rPr>
                <w:rFonts w:ascii="Arial" w:eastAsia="Calibri" w:hAnsi="Arial" w:cs="Arial"/>
                <w:color w:val="000000" w:themeColor="text1"/>
                <w:sz w:val="19"/>
                <w:szCs w:val="19"/>
                <w:lang w:val="hr-HR"/>
              </w:rPr>
            </w:pPr>
            <w:r w:rsidRPr="004B4498">
              <w:rPr>
                <w:rFonts w:ascii="Arial" w:eastAsia="Calibri" w:hAnsi="Arial" w:cs="Arial"/>
                <w:color w:val="000000" w:themeColor="text1"/>
                <w:sz w:val="19"/>
                <w:szCs w:val="19"/>
                <w:lang w:val="hr-HR"/>
              </w:rPr>
              <w:t xml:space="preserve">Neto </w:t>
            </w:r>
            <w:r w:rsidRPr="00BF5D37">
              <w:rPr>
                <w:rFonts w:ascii="Arial" w:eastAsia="Calibri" w:hAnsi="Arial" w:cs="Arial"/>
                <w:color w:val="000000" w:themeColor="text1"/>
                <w:sz w:val="19"/>
                <w:szCs w:val="19"/>
                <w:lang w:val="hr-HR"/>
              </w:rPr>
              <w:t>povećanje/(smanjenje)</w:t>
            </w:r>
            <w:r>
              <w:rPr>
                <w:rFonts w:ascii="Arial" w:eastAsia="Calibri" w:hAnsi="Arial" w:cs="Arial"/>
                <w:color w:val="000000" w:themeColor="text1"/>
                <w:sz w:val="19"/>
                <w:szCs w:val="19"/>
                <w:lang w:val="hr-HR"/>
              </w:rPr>
              <w:t xml:space="preserve"> </w:t>
            </w:r>
            <w:r w:rsidRPr="004B4498">
              <w:rPr>
                <w:rFonts w:ascii="Arial" w:eastAsia="Calibri" w:hAnsi="Arial" w:cs="Arial"/>
                <w:color w:val="000000" w:themeColor="text1"/>
                <w:sz w:val="19"/>
                <w:szCs w:val="19"/>
                <w:lang w:val="hr-HR"/>
              </w:rPr>
              <w:t>rezerviranja za očekivane gubitke</w:t>
            </w:r>
          </w:p>
        </w:tc>
        <w:tc>
          <w:tcPr>
            <w:tcW w:w="1191" w:type="dxa"/>
            <w:tcBorders>
              <w:top w:val="nil"/>
              <w:left w:val="nil"/>
              <w:right w:val="nil"/>
            </w:tcBorders>
            <w:shd w:val="clear" w:color="auto" w:fill="auto"/>
            <w:vAlign w:val="bottom"/>
          </w:tcPr>
          <w:p w14:paraId="7B7D89B0" w14:textId="77777777" w:rsidR="004E2F51" w:rsidRPr="004B4498" w:rsidRDefault="004E2F51" w:rsidP="00E032FC">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104</w:t>
            </w:r>
          </w:p>
        </w:tc>
        <w:tc>
          <w:tcPr>
            <w:tcW w:w="1191" w:type="dxa"/>
            <w:tcBorders>
              <w:top w:val="nil"/>
              <w:left w:val="nil"/>
              <w:right w:val="nil"/>
            </w:tcBorders>
            <w:shd w:val="clear" w:color="auto" w:fill="auto"/>
            <w:vAlign w:val="bottom"/>
          </w:tcPr>
          <w:p w14:paraId="1A1819AE" w14:textId="77777777" w:rsidR="004E2F51" w:rsidRPr="004B4498" w:rsidRDefault="004E2F51" w:rsidP="00E032FC">
            <w:pPr>
              <w:jc w:val="right"/>
              <w:rPr>
                <w:rFonts w:ascii="Arial" w:eastAsia="Calibri" w:hAnsi="Arial" w:cs="Arial"/>
                <w:color w:val="000000" w:themeColor="text1"/>
                <w:sz w:val="19"/>
                <w:szCs w:val="19"/>
                <w:lang w:val="hr-HR"/>
              </w:rPr>
            </w:pPr>
            <w:r w:rsidRPr="004B4498">
              <w:rPr>
                <w:rFonts w:ascii="Arial" w:eastAsia="Calibri" w:hAnsi="Arial" w:cs="Arial"/>
                <w:color w:val="000000" w:themeColor="text1"/>
                <w:sz w:val="19"/>
                <w:szCs w:val="19"/>
                <w:lang w:val="hr-HR"/>
              </w:rPr>
              <w:t>(29)</w:t>
            </w:r>
          </w:p>
        </w:tc>
        <w:tc>
          <w:tcPr>
            <w:tcW w:w="1191" w:type="dxa"/>
            <w:tcBorders>
              <w:top w:val="nil"/>
              <w:left w:val="nil"/>
              <w:right w:val="nil"/>
            </w:tcBorders>
            <w:shd w:val="clear" w:color="auto" w:fill="auto"/>
            <w:vAlign w:val="bottom"/>
          </w:tcPr>
          <w:p w14:paraId="299DDBB0" w14:textId="77777777" w:rsidR="004E2F51" w:rsidRPr="004B4498" w:rsidRDefault="004E2F51" w:rsidP="00E032FC">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107</w:t>
            </w:r>
          </w:p>
        </w:tc>
        <w:tc>
          <w:tcPr>
            <w:tcW w:w="1191" w:type="dxa"/>
            <w:tcBorders>
              <w:top w:val="nil"/>
              <w:left w:val="nil"/>
              <w:bottom w:val="nil"/>
              <w:right w:val="nil"/>
            </w:tcBorders>
            <w:shd w:val="clear" w:color="auto" w:fill="auto"/>
            <w:vAlign w:val="bottom"/>
          </w:tcPr>
          <w:p w14:paraId="2801C09C" w14:textId="77777777" w:rsidR="004E2F51" w:rsidRPr="004B4498" w:rsidRDefault="004E2F51" w:rsidP="00E032FC">
            <w:pPr>
              <w:jc w:val="right"/>
              <w:rPr>
                <w:rFonts w:ascii="Arial" w:eastAsia="Calibri" w:hAnsi="Arial" w:cs="Arial"/>
                <w:color w:val="000000" w:themeColor="text1"/>
                <w:sz w:val="19"/>
                <w:szCs w:val="19"/>
                <w:lang w:val="hr-HR"/>
              </w:rPr>
            </w:pPr>
            <w:r w:rsidRPr="004B4498">
              <w:rPr>
                <w:rFonts w:ascii="Arial" w:eastAsia="Calibri" w:hAnsi="Arial" w:cs="Arial"/>
                <w:color w:val="000000" w:themeColor="text1"/>
                <w:sz w:val="19"/>
                <w:szCs w:val="19"/>
                <w:lang w:val="hr-HR"/>
              </w:rPr>
              <w:t>(36)</w:t>
            </w:r>
          </w:p>
        </w:tc>
      </w:tr>
      <w:tr w:rsidR="004E2F51" w:rsidRPr="00BB3F2C" w14:paraId="586B41E4" w14:textId="77777777" w:rsidTr="00E032FC">
        <w:trPr>
          <w:trHeight w:val="379"/>
        </w:trPr>
        <w:tc>
          <w:tcPr>
            <w:tcW w:w="4820" w:type="dxa"/>
            <w:tcBorders>
              <w:top w:val="nil"/>
              <w:left w:val="nil"/>
              <w:bottom w:val="nil"/>
              <w:right w:val="nil"/>
            </w:tcBorders>
            <w:shd w:val="clear" w:color="auto" w:fill="auto"/>
            <w:vAlign w:val="bottom"/>
          </w:tcPr>
          <w:p w14:paraId="4BF4060A" w14:textId="77777777" w:rsidR="004E2F51" w:rsidRPr="004B4498" w:rsidRDefault="004E2F51" w:rsidP="00E032FC">
            <w:pPr>
              <w:rPr>
                <w:rFonts w:ascii="Arial" w:eastAsia="Calibri" w:hAnsi="Arial" w:cs="Arial"/>
                <w:i/>
                <w:iCs/>
                <w:color w:val="000000" w:themeColor="text1"/>
                <w:sz w:val="19"/>
                <w:szCs w:val="19"/>
                <w:lang w:val="hr-HR"/>
              </w:rPr>
            </w:pPr>
            <w:r w:rsidRPr="004B4498">
              <w:rPr>
                <w:rFonts w:ascii="Arial" w:eastAsia="Calibri" w:hAnsi="Arial" w:cs="Arial"/>
                <w:i/>
                <w:iCs/>
                <w:color w:val="000000" w:themeColor="text1"/>
                <w:sz w:val="19"/>
                <w:szCs w:val="19"/>
                <w:lang w:val="hr-HR"/>
              </w:rPr>
              <w:t xml:space="preserve">Ukupno kroz dobit ili gubitak </w:t>
            </w:r>
            <w:r w:rsidRPr="00A873BB">
              <w:rPr>
                <w:rFonts w:ascii="Arial" w:eastAsia="Calibri" w:hAnsi="Arial" w:cs="Arial"/>
                <w:i/>
                <w:iCs/>
                <w:color w:val="000000" w:themeColor="text1"/>
                <w:sz w:val="19"/>
                <w:szCs w:val="19"/>
                <w:lang w:val="hr-HR"/>
              </w:rPr>
              <w:t>(bilješka 10)</w:t>
            </w:r>
          </w:p>
        </w:tc>
        <w:tc>
          <w:tcPr>
            <w:tcW w:w="1191" w:type="dxa"/>
            <w:tcBorders>
              <w:top w:val="single" w:sz="4" w:space="0" w:color="auto"/>
              <w:left w:val="nil"/>
              <w:bottom w:val="single" w:sz="4" w:space="0" w:color="auto"/>
              <w:right w:val="nil"/>
            </w:tcBorders>
            <w:shd w:val="clear" w:color="auto" w:fill="auto"/>
            <w:vAlign w:val="bottom"/>
          </w:tcPr>
          <w:p w14:paraId="6B987962" w14:textId="77777777" w:rsidR="004E2F51" w:rsidRPr="004B4498" w:rsidRDefault="004E2F51" w:rsidP="00E032FC">
            <w:pPr>
              <w:jc w:val="right"/>
              <w:rPr>
                <w:rFonts w:ascii="Arial" w:eastAsia="Calibri" w:hAnsi="Arial" w:cs="Arial"/>
                <w:bCs/>
                <w:i/>
                <w:color w:val="000000" w:themeColor="text1"/>
                <w:sz w:val="19"/>
                <w:szCs w:val="19"/>
                <w:lang w:val="hr-HR"/>
              </w:rPr>
            </w:pPr>
            <w:r>
              <w:rPr>
                <w:rFonts w:ascii="Arial" w:eastAsia="Calibri" w:hAnsi="Arial" w:cs="Arial"/>
                <w:bCs/>
                <w:i/>
                <w:color w:val="000000" w:themeColor="text1"/>
                <w:sz w:val="19"/>
                <w:szCs w:val="19"/>
                <w:lang w:val="hr-HR"/>
              </w:rPr>
              <w:t>104</w:t>
            </w:r>
          </w:p>
        </w:tc>
        <w:tc>
          <w:tcPr>
            <w:tcW w:w="1191" w:type="dxa"/>
            <w:tcBorders>
              <w:top w:val="single" w:sz="4" w:space="0" w:color="auto"/>
              <w:left w:val="nil"/>
              <w:bottom w:val="single" w:sz="4" w:space="0" w:color="auto"/>
              <w:right w:val="nil"/>
            </w:tcBorders>
            <w:shd w:val="clear" w:color="auto" w:fill="auto"/>
            <w:vAlign w:val="bottom"/>
          </w:tcPr>
          <w:p w14:paraId="537596F1" w14:textId="77777777" w:rsidR="004E2F51" w:rsidRPr="004B4498" w:rsidRDefault="004E2F51" w:rsidP="00E032FC">
            <w:pPr>
              <w:jc w:val="right"/>
              <w:rPr>
                <w:rFonts w:ascii="Arial" w:eastAsia="Calibri" w:hAnsi="Arial" w:cs="Arial"/>
                <w:i/>
                <w:color w:val="000000" w:themeColor="text1"/>
                <w:sz w:val="19"/>
                <w:szCs w:val="19"/>
                <w:lang w:val="hr-HR"/>
              </w:rPr>
            </w:pPr>
            <w:r w:rsidRPr="004B4498">
              <w:rPr>
                <w:rFonts w:ascii="Arial" w:eastAsia="Calibri" w:hAnsi="Arial" w:cs="Arial"/>
                <w:bCs/>
                <w:i/>
                <w:color w:val="000000" w:themeColor="text1"/>
                <w:sz w:val="19"/>
                <w:szCs w:val="19"/>
                <w:lang w:val="hr-HR"/>
              </w:rPr>
              <w:t>(29)</w:t>
            </w:r>
          </w:p>
        </w:tc>
        <w:tc>
          <w:tcPr>
            <w:tcW w:w="1191" w:type="dxa"/>
            <w:tcBorders>
              <w:top w:val="single" w:sz="4" w:space="0" w:color="auto"/>
              <w:left w:val="nil"/>
              <w:bottom w:val="single" w:sz="4" w:space="0" w:color="auto"/>
              <w:right w:val="nil"/>
            </w:tcBorders>
            <w:shd w:val="clear" w:color="auto" w:fill="auto"/>
            <w:vAlign w:val="bottom"/>
          </w:tcPr>
          <w:p w14:paraId="612C7C95" w14:textId="77777777" w:rsidR="004E2F51" w:rsidRPr="004B4498" w:rsidRDefault="004E2F51" w:rsidP="00E032FC">
            <w:pPr>
              <w:jc w:val="right"/>
              <w:rPr>
                <w:rFonts w:ascii="Arial" w:eastAsia="Calibri" w:hAnsi="Arial" w:cs="Arial"/>
                <w:bCs/>
                <w:i/>
                <w:color w:val="000000" w:themeColor="text1"/>
                <w:sz w:val="19"/>
                <w:szCs w:val="19"/>
                <w:lang w:val="hr-HR"/>
              </w:rPr>
            </w:pPr>
            <w:r>
              <w:rPr>
                <w:rFonts w:ascii="Arial" w:eastAsia="Calibri" w:hAnsi="Arial" w:cs="Arial"/>
                <w:bCs/>
                <w:i/>
                <w:color w:val="000000" w:themeColor="text1"/>
                <w:sz w:val="19"/>
                <w:szCs w:val="19"/>
                <w:lang w:val="hr-HR"/>
              </w:rPr>
              <w:t>107</w:t>
            </w:r>
          </w:p>
        </w:tc>
        <w:tc>
          <w:tcPr>
            <w:tcW w:w="1191" w:type="dxa"/>
            <w:tcBorders>
              <w:top w:val="single" w:sz="4" w:space="0" w:color="auto"/>
              <w:left w:val="nil"/>
              <w:bottom w:val="single" w:sz="4" w:space="0" w:color="auto"/>
              <w:right w:val="nil"/>
            </w:tcBorders>
            <w:shd w:val="clear" w:color="auto" w:fill="auto"/>
            <w:vAlign w:val="bottom"/>
          </w:tcPr>
          <w:p w14:paraId="02B44297" w14:textId="77777777" w:rsidR="004E2F51" w:rsidRPr="004B4498" w:rsidRDefault="004E2F51" w:rsidP="00E032FC">
            <w:pPr>
              <w:jc w:val="right"/>
              <w:rPr>
                <w:rFonts w:ascii="Arial" w:eastAsia="Calibri" w:hAnsi="Arial" w:cs="Arial"/>
                <w:i/>
                <w:color w:val="000000" w:themeColor="text1"/>
                <w:sz w:val="19"/>
                <w:szCs w:val="19"/>
                <w:lang w:val="hr-HR"/>
              </w:rPr>
            </w:pPr>
            <w:r w:rsidRPr="004B4498">
              <w:rPr>
                <w:rFonts w:ascii="Arial" w:eastAsia="Calibri" w:hAnsi="Arial" w:cs="Arial"/>
                <w:bCs/>
                <w:i/>
                <w:color w:val="000000" w:themeColor="text1"/>
                <w:sz w:val="19"/>
                <w:szCs w:val="19"/>
                <w:lang w:val="hr-HR"/>
              </w:rPr>
              <w:t>(36)</w:t>
            </w:r>
          </w:p>
        </w:tc>
      </w:tr>
      <w:tr w:rsidR="004E2F51" w:rsidRPr="00BB3F2C" w14:paraId="0F896B31" w14:textId="77777777" w:rsidTr="00E032FC">
        <w:trPr>
          <w:trHeight w:val="379"/>
        </w:trPr>
        <w:tc>
          <w:tcPr>
            <w:tcW w:w="4820" w:type="dxa"/>
            <w:tcBorders>
              <w:top w:val="nil"/>
              <w:left w:val="nil"/>
              <w:bottom w:val="nil"/>
              <w:right w:val="nil"/>
            </w:tcBorders>
            <w:shd w:val="clear" w:color="auto" w:fill="auto"/>
            <w:vAlign w:val="bottom"/>
          </w:tcPr>
          <w:p w14:paraId="25CBBA06" w14:textId="77777777" w:rsidR="004E2F51" w:rsidRPr="004B4498" w:rsidRDefault="004E2F51" w:rsidP="00E032FC">
            <w:pPr>
              <w:rPr>
                <w:rFonts w:ascii="Arial" w:eastAsia="Calibri" w:hAnsi="Arial" w:cs="Arial"/>
                <w:color w:val="000000" w:themeColor="text1"/>
                <w:sz w:val="19"/>
                <w:szCs w:val="19"/>
                <w:lang w:val="hr-HR"/>
              </w:rPr>
            </w:pPr>
            <w:r w:rsidRPr="004B4498">
              <w:rPr>
                <w:rFonts w:ascii="Arial" w:eastAsia="Calibri" w:hAnsi="Arial" w:cs="Arial"/>
                <w:color w:val="000000" w:themeColor="text1"/>
                <w:sz w:val="19"/>
                <w:szCs w:val="19"/>
                <w:lang w:val="hr-HR"/>
              </w:rPr>
              <w:t xml:space="preserve">Neto dobit/gubitak od tečajnih razlika po rezerviranjima za očekivane gubitke </w:t>
            </w:r>
          </w:p>
        </w:tc>
        <w:tc>
          <w:tcPr>
            <w:tcW w:w="1191" w:type="dxa"/>
            <w:tcBorders>
              <w:top w:val="single" w:sz="4" w:space="0" w:color="auto"/>
              <w:left w:val="nil"/>
              <w:right w:val="nil"/>
            </w:tcBorders>
            <w:shd w:val="clear" w:color="auto" w:fill="auto"/>
            <w:vAlign w:val="bottom"/>
          </w:tcPr>
          <w:p w14:paraId="13AC3BC5" w14:textId="77777777" w:rsidR="004E2F51" w:rsidRPr="004B4498" w:rsidRDefault="004E2F51" w:rsidP="00E032FC">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4</w:t>
            </w:r>
          </w:p>
        </w:tc>
        <w:tc>
          <w:tcPr>
            <w:tcW w:w="1191" w:type="dxa"/>
            <w:tcBorders>
              <w:top w:val="single" w:sz="4" w:space="0" w:color="auto"/>
              <w:left w:val="nil"/>
              <w:right w:val="nil"/>
            </w:tcBorders>
            <w:shd w:val="clear" w:color="auto" w:fill="auto"/>
            <w:vAlign w:val="bottom"/>
          </w:tcPr>
          <w:p w14:paraId="517DA1E6" w14:textId="77777777" w:rsidR="004E2F51" w:rsidRPr="004B4498" w:rsidRDefault="004E2F51" w:rsidP="00E032FC">
            <w:pPr>
              <w:jc w:val="right"/>
              <w:rPr>
                <w:rFonts w:ascii="Arial" w:eastAsia="Calibri" w:hAnsi="Arial" w:cs="Arial"/>
                <w:color w:val="000000" w:themeColor="text1"/>
                <w:sz w:val="19"/>
                <w:szCs w:val="19"/>
                <w:lang w:val="hr-HR"/>
              </w:rPr>
            </w:pPr>
            <w:r w:rsidRPr="004B4498">
              <w:rPr>
                <w:rFonts w:ascii="Arial" w:eastAsia="Calibri" w:hAnsi="Arial" w:cs="Arial"/>
                <w:color w:val="000000" w:themeColor="text1"/>
                <w:sz w:val="19"/>
                <w:szCs w:val="19"/>
                <w:lang w:val="hr-HR"/>
              </w:rPr>
              <w:t>(8)</w:t>
            </w:r>
          </w:p>
        </w:tc>
        <w:tc>
          <w:tcPr>
            <w:tcW w:w="1191" w:type="dxa"/>
            <w:tcBorders>
              <w:top w:val="single" w:sz="4" w:space="0" w:color="auto"/>
              <w:left w:val="nil"/>
              <w:right w:val="nil"/>
            </w:tcBorders>
            <w:shd w:val="clear" w:color="auto" w:fill="auto"/>
            <w:vAlign w:val="bottom"/>
          </w:tcPr>
          <w:p w14:paraId="5BB8CA45" w14:textId="77777777" w:rsidR="004E2F51" w:rsidRPr="004B4498" w:rsidRDefault="004E2F51" w:rsidP="00E032FC">
            <w:pPr>
              <w:jc w:val="right"/>
              <w:rPr>
                <w:rFonts w:ascii="Arial" w:eastAsia="Calibri" w:hAnsi="Arial" w:cs="Arial"/>
                <w:color w:val="000000" w:themeColor="text1"/>
                <w:sz w:val="19"/>
                <w:szCs w:val="19"/>
                <w:lang w:val="hr-HR"/>
              </w:rPr>
            </w:pPr>
            <w:r>
              <w:rPr>
                <w:rFonts w:ascii="Arial" w:eastAsia="Calibri" w:hAnsi="Arial" w:cs="Arial"/>
                <w:color w:val="000000" w:themeColor="text1"/>
                <w:sz w:val="19"/>
                <w:szCs w:val="19"/>
                <w:lang w:val="hr-HR"/>
              </w:rPr>
              <w:t>4</w:t>
            </w:r>
          </w:p>
        </w:tc>
        <w:tc>
          <w:tcPr>
            <w:tcW w:w="1191" w:type="dxa"/>
            <w:tcBorders>
              <w:top w:val="single" w:sz="4" w:space="0" w:color="auto"/>
              <w:left w:val="nil"/>
              <w:right w:val="nil"/>
            </w:tcBorders>
            <w:vAlign w:val="bottom"/>
          </w:tcPr>
          <w:p w14:paraId="5B34B17A" w14:textId="77777777" w:rsidR="004E2F51" w:rsidRPr="004B4498" w:rsidRDefault="004E2F51" w:rsidP="00E032FC">
            <w:pPr>
              <w:jc w:val="right"/>
              <w:rPr>
                <w:rFonts w:ascii="Arial" w:eastAsia="Calibri" w:hAnsi="Arial" w:cs="Arial"/>
                <w:color w:val="000000" w:themeColor="text1"/>
                <w:sz w:val="19"/>
                <w:szCs w:val="19"/>
                <w:lang w:val="hr-HR"/>
              </w:rPr>
            </w:pPr>
            <w:r w:rsidRPr="004B4498">
              <w:rPr>
                <w:rFonts w:ascii="Arial" w:eastAsia="Calibri" w:hAnsi="Arial" w:cs="Arial"/>
                <w:color w:val="000000" w:themeColor="text1"/>
                <w:sz w:val="19"/>
                <w:szCs w:val="19"/>
                <w:lang w:val="hr-HR"/>
              </w:rPr>
              <w:t>(8)</w:t>
            </w:r>
          </w:p>
        </w:tc>
      </w:tr>
      <w:tr w:rsidR="004E2F51" w:rsidRPr="00BB3F2C" w14:paraId="4B916B10" w14:textId="77777777" w:rsidTr="00E032FC">
        <w:trPr>
          <w:trHeight w:val="379"/>
        </w:trPr>
        <w:tc>
          <w:tcPr>
            <w:tcW w:w="4820" w:type="dxa"/>
            <w:tcBorders>
              <w:top w:val="nil"/>
              <w:left w:val="nil"/>
              <w:bottom w:val="nil"/>
              <w:right w:val="nil"/>
            </w:tcBorders>
            <w:shd w:val="clear" w:color="auto" w:fill="auto"/>
            <w:vAlign w:val="bottom"/>
          </w:tcPr>
          <w:p w14:paraId="25E1F06C" w14:textId="77777777" w:rsidR="004E2F51" w:rsidRPr="004B4498" w:rsidRDefault="004E2F51" w:rsidP="00E032FC">
            <w:pPr>
              <w:rPr>
                <w:rFonts w:ascii="Arial" w:eastAsia="Calibri" w:hAnsi="Arial" w:cs="Arial"/>
                <w:b/>
                <w:bCs/>
                <w:color w:val="000000" w:themeColor="text1"/>
                <w:sz w:val="19"/>
                <w:szCs w:val="19"/>
                <w:lang w:val="hr-HR"/>
              </w:rPr>
            </w:pPr>
            <w:r w:rsidRPr="004B4498">
              <w:rPr>
                <w:rFonts w:ascii="Arial" w:eastAsia="Calibri" w:hAnsi="Arial" w:cs="Arial"/>
                <w:b/>
                <w:bCs/>
                <w:color w:val="000000" w:themeColor="text1"/>
                <w:sz w:val="19"/>
                <w:szCs w:val="19"/>
                <w:lang w:val="hr-HR"/>
              </w:rPr>
              <w:t>Stanje na kraju izvještajnog razdoblja</w:t>
            </w:r>
          </w:p>
        </w:tc>
        <w:tc>
          <w:tcPr>
            <w:tcW w:w="1191" w:type="dxa"/>
            <w:tcBorders>
              <w:top w:val="single" w:sz="4" w:space="0" w:color="auto"/>
              <w:left w:val="nil"/>
              <w:bottom w:val="single" w:sz="12" w:space="0" w:color="auto"/>
              <w:right w:val="nil"/>
            </w:tcBorders>
            <w:shd w:val="clear" w:color="auto" w:fill="auto"/>
            <w:noWrap/>
            <w:vAlign w:val="bottom"/>
          </w:tcPr>
          <w:p w14:paraId="67D12CDC" w14:textId="77777777" w:rsidR="004E2F51" w:rsidRPr="004B4498" w:rsidRDefault="004E2F51" w:rsidP="00E032FC">
            <w:pPr>
              <w:jc w:val="right"/>
              <w:rPr>
                <w:rFonts w:ascii="Arial" w:eastAsia="Calibri" w:hAnsi="Arial" w:cs="Arial"/>
                <w:b/>
                <w:color w:val="000000" w:themeColor="text1"/>
                <w:sz w:val="19"/>
                <w:szCs w:val="19"/>
                <w:lang w:val="hr-HR"/>
              </w:rPr>
            </w:pPr>
            <w:r w:rsidRPr="00BF5D37">
              <w:rPr>
                <w:rFonts w:ascii="Arial" w:eastAsia="Calibri" w:hAnsi="Arial" w:cs="Arial"/>
                <w:b/>
                <w:color w:val="000000" w:themeColor="text1"/>
                <w:sz w:val="19"/>
                <w:szCs w:val="19"/>
                <w:lang w:val="hr-HR"/>
              </w:rPr>
              <w:t>4.653</w:t>
            </w:r>
          </w:p>
        </w:tc>
        <w:tc>
          <w:tcPr>
            <w:tcW w:w="1191" w:type="dxa"/>
            <w:tcBorders>
              <w:top w:val="single" w:sz="4" w:space="0" w:color="auto"/>
              <w:left w:val="nil"/>
              <w:bottom w:val="single" w:sz="12" w:space="0" w:color="auto"/>
              <w:right w:val="nil"/>
            </w:tcBorders>
            <w:shd w:val="clear" w:color="auto" w:fill="auto"/>
            <w:vAlign w:val="bottom"/>
          </w:tcPr>
          <w:p w14:paraId="5EB2D4A7" w14:textId="77777777" w:rsidR="004E2F51" w:rsidRPr="004B4498" w:rsidRDefault="004E2F51" w:rsidP="00E032FC">
            <w:pPr>
              <w:jc w:val="right"/>
              <w:rPr>
                <w:rFonts w:ascii="Arial" w:eastAsia="Calibri" w:hAnsi="Arial" w:cs="Arial"/>
                <w:b/>
                <w:color w:val="000000" w:themeColor="text1"/>
                <w:sz w:val="19"/>
                <w:szCs w:val="19"/>
                <w:lang w:val="hr-HR"/>
              </w:rPr>
            </w:pPr>
            <w:r w:rsidRPr="004B4498">
              <w:rPr>
                <w:rFonts w:ascii="Arial" w:eastAsia="Calibri" w:hAnsi="Arial" w:cs="Arial"/>
                <w:b/>
                <w:color w:val="000000" w:themeColor="text1"/>
                <w:sz w:val="19"/>
                <w:szCs w:val="19"/>
                <w:lang w:val="hr-HR"/>
              </w:rPr>
              <w:t>4.545</w:t>
            </w:r>
          </w:p>
        </w:tc>
        <w:tc>
          <w:tcPr>
            <w:tcW w:w="1191" w:type="dxa"/>
            <w:tcBorders>
              <w:top w:val="single" w:sz="4" w:space="0" w:color="auto"/>
              <w:left w:val="nil"/>
              <w:bottom w:val="single" w:sz="12" w:space="0" w:color="auto"/>
              <w:right w:val="nil"/>
            </w:tcBorders>
            <w:shd w:val="clear" w:color="auto" w:fill="auto"/>
            <w:vAlign w:val="bottom"/>
          </w:tcPr>
          <w:p w14:paraId="0D94F79E" w14:textId="77777777" w:rsidR="004E2F51" w:rsidRPr="004B4498" w:rsidRDefault="004E2F51" w:rsidP="00E032FC">
            <w:pPr>
              <w:jc w:val="right"/>
              <w:rPr>
                <w:rFonts w:ascii="Arial" w:eastAsia="Calibri" w:hAnsi="Arial" w:cs="Arial"/>
                <w:b/>
                <w:color w:val="000000" w:themeColor="text1"/>
                <w:sz w:val="19"/>
                <w:szCs w:val="19"/>
                <w:lang w:val="hr-HR"/>
              </w:rPr>
            </w:pPr>
            <w:r w:rsidRPr="00BF5D37">
              <w:rPr>
                <w:rFonts w:ascii="Arial" w:eastAsia="Calibri" w:hAnsi="Arial" w:cs="Arial"/>
                <w:b/>
                <w:color w:val="000000" w:themeColor="text1"/>
                <w:sz w:val="19"/>
                <w:szCs w:val="19"/>
                <w:lang w:val="hr-HR"/>
              </w:rPr>
              <w:t>4.566</w:t>
            </w:r>
          </w:p>
        </w:tc>
        <w:tc>
          <w:tcPr>
            <w:tcW w:w="1191" w:type="dxa"/>
            <w:tcBorders>
              <w:top w:val="single" w:sz="4" w:space="0" w:color="auto"/>
              <w:left w:val="nil"/>
              <w:bottom w:val="single" w:sz="12" w:space="0" w:color="auto"/>
              <w:right w:val="nil"/>
            </w:tcBorders>
            <w:vAlign w:val="bottom"/>
          </w:tcPr>
          <w:p w14:paraId="26EC1FEC" w14:textId="77777777" w:rsidR="004E2F51" w:rsidRPr="004B4498" w:rsidRDefault="004E2F51" w:rsidP="00E032FC">
            <w:pPr>
              <w:jc w:val="right"/>
              <w:rPr>
                <w:rFonts w:ascii="Arial" w:eastAsia="Calibri" w:hAnsi="Arial" w:cs="Arial"/>
                <w:b/>
                <w:color w:val="000000" w:themeColor="text1"/>
                <w:sz w:val="19"/>
                <w:szCs w:val="19"/>
                <w:lang w:val="hr-HR"/>
              </w:rPr>
            </w:pPr>
            <w:r w:rsidRPr="004B4498">
              <w:rPr>
                <w:rFonts w:ascii="Arial" w:eastAsia="Calibri" w:hAnsi="Arial" w:cs="Arial"/>
                <w:b/>
                <w:color w:val="000000" w:themeColor="text1"/>
                <w:sz w:val="19"/>
                <w:szCs w:val="19"/>
                <w:lang w:val="hr-HR"/>
              </w:rPr>
              <w:t>4.455</w:t>
            </w:r>
          </w:p>
        </w:tc>
      </w:tr>
    </w:tbl>
    <w:p w14:paraId="24C525D9" w14:textId="77777777" w:rsidR="004E2F51" w:rsidRPr="004B4498" w:rsidRDefault="004E2F51" w:rsidP="004E2F51">
      <w:pPr>
        <w:pStyle w:val="T1"/>
        <w:keepNext w:val="0"/>
        <w:spacing w:before="0" w:after="0" w:line="240" w:lineRule="auto"/>
        <w:rPr>
          <w:rFonts w:cs="Arial"/>
          <w:b w:val="0"/>
          <w:color w:val="000000" w:themeColor="text1"/>
          <w:sz w:val="20"/>
          <w:lang w:val="hr-HR"/>
        </w:rPr>
      </w:pPr>
    </w:p>
    <w:p w14:paraId="3A49B1ED" w14:textId="77777777" w:rsidR="004E2F51" w:rsidRPr="004B4498" w:rsidRDefault="004E2F51" w:rsidP="004E2F51">
      <w:pPr>
        <w:pStyle w:val="T1"/>
        <w:keepNext w:val="0"/>
        <w:spacing w:before="0" w:after="0" w:line="240" w:lineRule="auto"/>
        <w:rPr>
          <w:rFonts w:cs="Arial"/>
          <w:b w:val="0"/>
          <w:color w:val="000000" w:themeColor="text1"/>
          <w:sz w:val="20"/>
          <w:lang w:val="hr-HR"/>
        </w:rPr>
      </w:pPr>
    </w:p>
    <w:p w14:paraId="383B9E80" w14:textId="77777777" w:rsidR="004E2F51" w:rsidRPr="004B4498" w:rsidRDefault="004E2F51" w:rsidP="004E2F51">
      <w:pPr>
        <w:pStyle w:val="T1"/>
        <w:keepNext w:val="0"/>
        <w:spacing w:before="0" w:after="0" w:line="240" w:lineRule="auto"/>
        <w:rPr>
          <w:rFonts w:cs="Arial"/>
          <w:b w:val="0"/>
          <w:color w:val="000000" w:themeColor="text1"/>
          <w:sz w:val="20"/>
          <w:lang w:val="hr-HR"/>
        </w:rPr>
      </w:pPr>
      <w:r w:rsidRPr="004B4498">
        <w:rPr>
          <w:rFonts w:cs="Arial"/>
          <w:b w:val="0"/>
          <w:color w:val="000000" w:themeColor="text1"/>
          <w:sz w:val="20"/>
          <w:lang w:val="hr-HR"/>
        </w:rPr>
        <w:t>Neto dobit/gubitak od tečajnih razlika po rezerviranjima za očekivane gubitke prikazane su unutar Neto prihoda/(rashoda) od financijskih aktivnosti u Računu dobiti i gubitku.</w:t>
      </w:r>
    </w:p>
    <w:p w14:paraId="623C6053" w14:textId="77777777" w:rsidR="004E2F51" w:rsidRPr="00B91D09" w:rsidRDefault="004E2F51" w:rsidP="004E2F51">
      <w:pPr>
        <w:pStyle w:val="T1"/>
        <w:keepNext w:val="0"/>
        <w:spacing w:after="0" w:line="300" w:lineRule="exact"/>
        <w:rPr>
          <w:rFonts w:cs="Arial"/>
          <w:color w:val="000000" w:themeColor="text1"/>
          <w:sz w:val="22"/>
          <w:szCs w:val="22"/>
          <w:lang w:val="hr-HR"/>
        </w:rPr>
        <w:sectPr w:rsidR="004E2F51" w:rsidRPr="00B91D09" w:rsidSect="00623DBA">
          <w:footerReference w:type="default" r:id="rId131"/>
          <w:pgSz w:w="11907" w:h="16840" w:code="9"/>
          <w:pgMar w:top="1418" w:right="1134" w:bottom="1134" w:left="1418" w:header="851" w:footer="851" w:gutter="0"/>
          <w:cols w:space="720"/>
          <w:noEndnote/>
        </w:sectPr>
      </w:pPr>
    </w:p>
    <w:p w14:paraId="41484976" w14:textId="77777777" w:rsidR="004E2F51" w:rsidRPr="00B91D09" w:rsidRDefault="004E2F51" w:rsidP="004E2F51">
      <w:pPr>
        <w:pStyle w:val="T1"/>
        <w:keepNext w:val="0"/>
        <w:spacing w:before="0" w:after="0" w:line="240" w:lineRule="auto"/>
        <w:rPr>
          <w:rFonts w:cs="Arial"/>
          <w:color w:val="000000" w:themeColor="text1"/>
          <w:sz w:val="22"/>
          <w:szCs w:val="22"/>
          <w:lang w:val="hr-HR"/>
        </w:rPr>
      </w:pPr>
    </w:p>
    <w:p w14:paraId="0D3710A2" w14:textId="77777777" w:rsidR="004E2F51" w:rsidRPr="00B91D09" w:rsidRDefault="004E2F51" w:rsidP="004E2F51">
      <w:pPr>
        <w:pStyle w:val="T1"/>
        <w:keepNext w:val="0"/>
        <w:tabs>
          <w:tab w:val="left" w:pos="567"/>
        </w:tabs>
        <w:spacing w:before="0" w:after="0" w:line="240" w:lineRule="auto"/>
        <w:rPr>
          <w:rFonts w:cs="Arial"/>
          <w:color w:val="000000" w:themeColor="text1"/>
          <w:sz w:val="22"/>
          <w:szCs w:val="22"/>
          <w:lang w:val="hr-HR"/>
        </w:rPr>
      </w:pPr>
      <w:r w:rsidRPr="00B91D09">
        <w:rPr>
          <w:rFonts w:cs="Arial"/>
          <w:color w:val="000000" w:themeColor="text1"/>
          <w:sz w:val="22"/>
          <w:szCs w:val="22"/>
          <w:lang w:val="hr-HR"/>
        </w:rPr>
        <w:t>17.</w:t>
      </w:r>
      <w:r w:rsidRPr="00B91D09">
        <w:rPr>
          <w:rFonts w:cs="Arial"/>
          <w:color w:val="000000" w:themeColor="text1"/>
          <w:sz w:val="22"/>
          <w:szCs w:val="22"/>
          <w:lang w:val="hr-HR"/>
        </w:rPr>
        <w:tab/>
        <w:t>Financijska imovina po fer vrijednosti kroz ostalu sveobuhvatnu dobit (nastavak)</w:t>
      </w:r>
    </w:p>
    <w:p w14:paraId="1485C563" w14:textId="77777777" w:rsidR="004E2F51" w:rsidRPr="00B91D09" w:rsidRDefault="004E2F51" w:rsidP="004E2F51">
      <w:pPr>
        <w:pStyle w:val="T1"/>
        <w:keepNext w:val="0"/>
        <w:spacing w:before="0" w:after="0" w:line="240" w:lineRule="auto"/>
        <w:rPr>
          <w:rFonts w:cs="Arial"/>
          <w:b w:val="0"/>
          <w:bCs w:val="0"/>
          <w:color w:val="000000" w:themeColor="text1"/>
          <w:sz w:val="18"/>
          <w:szCs w:val="18"/>
          <w:lang w:val="hr-HR"/>
        </w:rPr>
      </w:pPr>
    </w:p>
    <w:p w14:paraId="6AF212B8" w14:textId="77777777" w:rsidR="004E2F51" w:rsidRPr="00B91D09" w:rsidRDefault="004E2F51" w:rsidP="004E2F51">
      <w:pPr>
        <w:tabs>
          <w:tab w:val="left" w:pos="-720"/>
        </w:tabs>
        <w:rPr>
          <w:rFonts w:ascii="Arial" w:hAnsi="Arial" w:cs="Arial"/>
          <w:color w:val="000000" w:themeColor="text1"/>
          <w:spacing w:val="-3"/>
          <w:sz w:val="22"/>
          <w:szCs w:val="22"/>
          <w:lang w:val="hr-HR"/>
        </w:rPr>
      </w:pPr>
      <w:r w:rsidRPr="00B91D09">
        <w:rPr>
          <w:rFonts w:ascii="Arial" w:hAnsi="Arial" w:cs="Arial"/>
          <w:color w:val="000000" w:themeColor="text1"/>
          <w:spacing w:val="-3"/>
          <w:sz w:val="22"/>
          <w:szCs w:val="22"/>
          <w:lang w:val="hr-HR"/>
        </w:rPr>
        <w:t>U nastavku se daje pregled ulaganja:</w:t>
      </w:r>
    </w:p>
    <w:p w14:paraId="63C5200B" w14:textId="77777777" w:rsidR="004E2F51" w:rsidRPr="00B91D09" w:rsidRDefault="004E2F51" w:rsidP="004E2F51">
      <w:pPr>
        <w:rPr>
          <w:rFonts w:ascii="Arial" w:hAnsi="Arial" w:cs="Arial"/>
          <w:color w:val="000000" w:themeColor="text1"/>
          <w:sz w:val="22"/>
          <w:szCs w:val="22"/>
          <w:lang w:val="hr-HR"/>
        </w:rPr>
      </w:pPr>
    </w:p>
    <w:tbl>
      <w:tblPr>
        <w:tblW w:w="10856" w:type="dxa"/>
        <w:tblInd w:w="-851" w:type="dxa"/>
        <w:tblLayout w:type="fixed"/>
        <w:tblLook w:val="04A0" w:firstRow="1" w:lastRow="0" w:firstColumn="1" w:lastColumn="0" w:noHBand="0" w:noVBand="1"/>
      </w:tblPr>
      <w:tblGrid>
        <w:gridCol w:w="2693"/>
        <w:gridCol w:w="1213"/>
        <w:gridCol w:w="6"/>
        <w:gridCol w:w="1123"/>
        <w:gridCol w:w="1197"/>
        <w:gridCol w:w="1156"/>
        <w:gridCol w:w="1156"/>
        <w:gridCol w:w="1156"/>
        <w:gridCol w:w="1156"/>
      </w:tblGrid>
      <w:tr w:rsidR="004E2F51" w:rsidRPr="00B37DA4" w14:paraId="049A0879" w14:textId="77777777" w:rsidTr="00E032FC">
        <w:trPr>
          <w:trHeight w:val="229"/>
        </w:trPr>
        <w:tc>
          <w:tcPr>
            <w:tcW w:w="2693" w:type="dxa"/>
            <w:tcBorders>
              <w:top w:val="nil"/>
              <w:left w:val="nil"/>
              <w:bottom w:val="nil"/>
              <w:right w:val="nil"/>
            </w:tcBorders>
            <w:shd w:val="clear" w:color="auto" w:fill="auto"/>
            <w:noWrap/>
            <w:vAlign w:val="bottom"/>
            <w:hideMark/>
          </w:tcPr>
          <w:p w14:paraId="1C6B21F0" w14:textId="77777777" w:rsidR="004E2F51" w:rsidRPr="00B37DA4" w:rsidRDefault="004E2F51" w:rsidP="00E032FC">
            <w:pPr>
              <w:rPr>
                <w:rFonts w:ascii="Arial" w:eastAsia="Calibri" w:hAnsi="Arial" w:cs="Arial"/>
                <w:color w:val="000000"/>
                <w:sz w:val="16"/>
                <w:szCs w:val="16"/>
                <w:lang w:val="hr-HR"/>
              </w:rPr>
            </w:pPr>
          </w:p>
        </w:tc>
        <w:tc>
          <w:tcPr>
            <w:tcW w:w="1219" w:type="dxa"/>
            <w:gridSpan w:val="2"/>
            <w:tcBorders>
              <w:top w:val="nil"/>
              <w:left w:val="nil"/>
              <w:bottom w:val="nil"/>
              <w:right w:val="nil"/>
            </w:tcBorders>
            <w:shd w:val="clear" w:color="auto" w:fill="auto"/>
            <w:vAlign w:val="center"/>
            <w:hideMark/>
          </w:tcPr>
          <w:p w14:paraId="5501A2CB" w14:textId="77777777" w:rsidR="004E2F51" w:rsidRPr="00B37DA4" w:rsidRDefault="004E2F51" w:rsidP="00E032FC">
            <w:pPr>
              <w:rPr>
                <w:rFonts w:ascii="Arial" w:eastAsia="Calibri" w:hAnsi="Arial" w:cs="Arial"/>
                <w:color w:val="000000"/>
                <w:sz w:val="16"/>
                <w:szCs w:val="16"/>
                <w:lang w:val="hr-HR"/>
              </w:rPr>
            </w:pPr>
          </w:p>
        </w:tc>
        <w:tc>
          <w:tcPr>
            <w:tcW w:w="1123" w:type="dxa"/>
            <w:tcBorders>
              <w:top w:val="nil"/>
              <w:left w:val="nil"/>
              <w:bottom w:val="nil"/>
              <w:right w:val="nil"/>
            </w:tcBorders>
            <w:shd w:val="clear" w:color="auto" w:fill="auto"/>
            <w:vAlign w:val="center"/>
            <w:hideMark/>
          </w:tcPr>
          <w:p w14:paraId="3ACF1ED6" w14:textId="77777777" w:rsidR="004E2F51" w:rsidRPr="00B37DA4" w:rsidRDefault="004E2F51" w:rsidP="00E032FC">
            <w:pPr>
              <w:jc w:val="center"/>
              <w:rPr>
                <w:rFonts w:ascii="Arial" w:eastAsia="Calibri" w:hAnsi="Arial" w:cs="Arial"/>
                <w:color w:val="000000"/>
                <w:sz w:val="16"/>
                <w:szCs w:val="16"/>
                <w:lang w:val="hr-HR"/>
              </w:rPr>
            </w:pPr>
          </w:p>
        </w:tc>
        <w:tc>
          <w:tcPr>
            <w:tcW w:w="1197" w:type="dxa"/>
            <w:tcBorders>
              <w:top w:val="nil"/>
              <w:left w:val="nil"/>
              <w:bottom w:val="nil"/>
              <w:right w:val="nil"/>
            </w:tcBorders>
            <w:shd w:val="clear" w:color="auto" w:fill="auto"/>
            <w:vAlign w:val="center"/>
            <w:hideMark/>
          </w:tcPr>
          <w:p w14:paraId="36DED075" w14:textId="77777777" w:rsidR="004E2F51" w:rsidRPr="00B37DA4" w:rsidRDefault="004E2F51" w:rsidP="00E032FC">
            <w:pPr>
              <w:jc w:val="center"/>
              <w:rPr>
                <w:rFonts w:ascii="Arial" w:eastAsia="Calibri" w:hAnsi="Arial" w:cs="Arial"/>
                <w:color w:val="000000"/>
                <w:sz w:val="16"/>
                <w:szCs w:val="16"/>
                <w:lang w:val="hr-HR"/>
              </w:rPr>
            </w:pPr>
          </w:p>
        </w:tc>
        <w:tc>
          <w:tcPr>
            <w:tcW w:w="2312" w:type="dxa"/>
            <w:gridSpan w:val="2"/>
            <w:tcBorders>
              <w:top w:val="nil"/>
              <w:left w:val="nil"/>
              <w:bottom w:val="nil"/>
              <w:right w:val="nil"/>
            </w:tcBorders>
          </w:tcPr>
          <w:p w14:paraId="1CEFF4BE"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Grupa</w:t>
            </w:r>
          </w:p>
        </w:tc>
        <w:tc>
          <w:tcPr>
            <w:tcW w:w="2312" w:type="dxa"/>
            <w:gridSpan w:val="2"/>
            <w:tcBorders>
              <w:top w:val="nil"/>
              <w:left w:val="nil"/>
              <w:bottom w:val="nil"/>
              <w:right w:val="nil"/>
            </w:tcBorders>
            <w:shd w:val="clear" w:color="auto" w:fill="auto"/>
            <w:vAlign w:val="center"/>
            <w:hideMark/>
          </w:tcPr>
          <w:p w14:paraId="3C8CE781"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Banka</w:t>
            </w:r>
          </w:p>
        </w:tc>
      </w:tr>
      <w:tr w:rsidR="004E2F51" w:rsidRPr="00B37DA4" w14:paraId="3182E3BE" w14:textId="77777777" w:rsidTr="00E032FC">
        <w:trPr>
          <w:trHeight w:val="420"/>
        </w:trPr>
        <w:tc>
          <w:tcPr>
            <w:tcW w:w="2693" w:type="dxa"/>
            <w:tcBorders>
              <w:top w:val="nil"/>
              <w:left w:val="nil"/>
              <w:bottom w:val="nil"/>
              <w:right w:val="nil"/>
            </w:tcBorders>
            <w:shd w:val="clear" w:color="auto" w:fill="auto"/>
            <w:noWrap/>
            <w:vAlign w:val="center"/>
            <w:hideMark/>
          </w:tcPr>
          <w:p w14:paraId="2443BDCF" w14:textId="77777777" w:rsidR="004E2F51" w:rsidRPr="00B37DA4" w:rsidRDefault="004E2F51" w:rsidP="00E032FC">
            <w:pPr>
              <w:jc w:val="right"/>
              <w:rPr>
                <w:rFonts w:ascii="Arial" w:eastAsia="Calibri" w:hAnsi="Arial" w:cs="Arial"/>
                <w:b/>
                <w:bCs/>
                <w:color w:val="000000"/>
                <w:sz w:val="16"/>
                <w:szCs w:val="16"/>
                <w:lang w:val="hr-HR"/>
              </w:rPr>
            </w:pPr>
          </w:p>
        </w:tc>
        <w:tc>
          <w:tcPr>
            <w:tcW w:w="1219" w:type="dxa"/>
            <w:gridSpan w:val="2"/>
            <w:tcBorders>
              <w:top w:val="nil"/>
              <w:left w:val="nil"/>
              <w:bottom w:val="nil"/>
              <w:right w:val="nil"/>
            </w:tcBorders>
            <w:shd w:val="clear" w:color="auto" w:fill="auto"/>
            <w:vAlign w:val="center"/>
            <w:hideMark/>
          </w:tcPr>
          <w:p w14:paraId="55D57C59" w14:textId="77777777" w:rsidR="004E2F51" w:rsidRPr="00B37DA4" w:rsidRDefault="004E2F51" w:rsidP="00E032FC">
            <w:pPr>
              <w:jc w:val="center"/>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Datum izdanja</w:t>
            </w:r>
          </w:p>
        </w:tc>
        <w:tc>
          <w:tcPr>
            <w:tcW w:w="1123" w:type="dxa"/>
            <w:tcBorders>
              <w:top w:val="nil"/>
              <w:left w:val="nil"/>
              <w:bottom w:val="nil"/>
              <w:right w:val="nil"/>
            </w:tcBorders>
            <w:shd w:val="clear" w:color="auto" w:fill="auto"/>
            <w:vAlign w:val="center"/>
            <w:hideMark/>
          </w:tcPr>
          <w:p w14:paraId="7A104D7A" w14:textId="77777777" w:rsidR="004E2F51" w:rsidRPr="00B37DA4" w:rsidRDefault="004E2F51" w:rsidP="00E032FC">
            <w:pPr>
              <w:jc w:val="center"/>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Datum dospijeća</w:t>
            </w:r>
          </w:p>
        </w:tc>
        <w:tc>
          <w:tcPr>
            <w:tcW w:w="1197" w:type="dxa"/>
            <w:tcBorders>
              <w:top w:val="nil"/>
              <w:left w:val="nil"/>
              <w:bottom w:val="nil"/>
              <w:right w:val="nil"/>
            </w:tcBorders>
            <w:shd w:val="clear" w:color="auto" w:fill="auto"/>
            <w:vAlign w:val="center"/>
            <w:hideMark/>
          </w:tcPr>
          <w:p w14:paraId="5E7937C8" w14:textId="77777777" w:rsidR="004E2F51" w:rsidRPr="00B37DA4" w:rsidRDefault="004E2F51" w:rsidP="00E032FC">
            <w:pPr>
              <w:jc w:val="center"/>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Kamatna stopa</w:t>
            </w:r>
            <w:r w:rsidRPr="00B37DA4">
              <w:rPr>
                <w:rFonts w:ascii="Arial" w:eastAsia="Calibri" w:hAnsi="Arial" w:cs="Arial"/>
                <w:b/>
                <w:bCs/>
                <w:color w:val="000000"/>
                <w:sz w:val="16"/>
                <w:szCs w:val="16"/>
                <w:lang w:val="hr-HR"/>
              </w:rPr>
              <w:br/>
              <w:t>(%)</w:t>
            </w:r>
          </w:p>
        </w:tc>
        <w:tc>
          <w:tcPr>
            <w:tcW w:w="1156" w:type="dxa"/>
            <w:tcBorders>
              <w:top w:val="nil"/>
              <w:left w:val="nil"/>
              <w:bottom w:val="nil"/>
              <w:right w:val="nil"/>
            </w:tcBorders>
            <w:vAlign w:val="center"/>
          </w:tcPr>
          <w:p w14:paraId="6B5DD43D"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31. prosinca 2022.</w:t>
            </w:r>
          </w:p>
        </w:tc>
        <w:tc>
          <w:tcPr>
            <w:tcW w:w="1156" w:type="dxa"/>
            <w:tcBorders>
              <w:top w:val="nil"/>
              <w:left w:val="nil"/>
              <w:bottom w:val="nil"/>
              <w:right w:val="nil"/>
            </w:tcBorders>
            <w:vAlign w:val="center"/>
            <w:hideMark/>
          </w:tcPr>
          <w:p w14:paraId="09A4072C"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31. prosinca 2021.</w:t>
            </w:r>
          </w:p>
        </w:tc>
        <w:tc>
          <w:tcPr>
            <w:tcW w:w="1156" w:type="dxa"/>
            <w:tcBorders>
              <w:top w:val="nil"/>
              <w:left w:val="nil"/>
              <w:bottom w:val="nil"/>
              <w:right w:val="nil"/>
            </w:tcBorders>
            <w:shd w:val="clear" w:color="auto" w:fill="auto"/>
            <w:vAlign w:val="center"/>
          </w:tcPr>
          <w:p w14:paraId="74B3E2BF"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31. prosinca 2022.</w:t>
            </w:r>
          </w:p>
        </w:tc>
        <w:tc>
          <w:tcPr>
            <w:tcW w:w="1156" w:type="dxa"/>
            <w:tcBorders>
              <w:top w:val="nil"/>
              <w:left w:val="nil"/>
              <w:bottom w:val="nil"/>
              <w:right w:val="nil"/>
            </w:tcBorders>
            <w:vAlign w:val="center"/>
            <w:hideMark/>
          </w:tcPr>
          <w:p w14:paraId="340EA955"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31. prosinca 2021.</w:t>
            </w:r>
          </w:p>
        </w:tc>
      </w:tr>
      <w:tr w:rsidR="004E2F51" w:rsidRPr="00B37DA4" w14:paraId="60B0E563" w14:textId="77777777" w:rsidTr="00E032FC">
        <w:trPr>
          <w:trHeight w:val="218"/>
        </w:trPr>
        <w:tc>
          <w:tcPr>
            <w:tcW w:w="2693" w:type="dxa"/>
            <w:tcBorders>
              <w:top w:val="nil"/>
              <w:left w:val="nil"/>
              <w:bottom w:val="nil"/>
              <w:right w:val="nil"/>
            </w:tcBorders>
            <w:shd w:val="clear" w:color="auto" w:fill="auto"/>
            <w:noWrap/>
            <w:vAlign w:val="center"/>
          </w:tcPr>
          <w:p w14:paraId="0567BCE7" w14:textId="77777777" w:rsidR="004E2F51" w:rsidRPr="00B37DA4" w:rsidRDefault="004E2F51" w:rsidP="00E032FC">
            <w:pPr>
              <w:jc w:val="right"/>
              <w:rPr>
                <w:rFonts w:ascii="Arial" w:eastAsia="Calibri" w:hAnsi="Arial" w:cs="Arial"/>
                <w:b/>
                <w:bCs/>
                <w:color w:val="000000"/>
                <w:sz w:val="16"/>
                <w:szCs w:val="16"/>
                <w:lang w:val="hr-HR"/>
              </w:rPr>
            </w:pPr>
          </w:p>
        </w:tc>
        <w:tc>
          <w:tcPr>
            <w:tcW w:w="1219" w:type="dxa"/>
            <w:gridSpan w:val="2"/>
            <w:tcBorders>
              <w:top w:val="nil"/>
              <w:left w:val="nil"/>
              <w:bottom w:val="nil"/>
              <w:right w:val="nil"/>
            </w:tcBorders>
            <w:shd w:val="clear" w:color="auto" w:fill="auto"/>
            <w:vAlign w:val="center"/>
          </w:tcPr>
          <w:p w14:paraId="77C6AB54" w14:textId="77777777" w:rsidR="004E2F51" w:rsidRPr="00B37DA4" w:rsidRDefault="004E2F51" w:rsidP="00E032FC">
            <w:pPr>
              <w:jc w:val="center"/>
              <w:rPr>
                <w:rFonts w:ascii="Arial" w:eastAsia="Calibri" w:hAnsi="Arial" w:cs="Arial"/>
                <w:b/>
                <w:bCs/>
                <w:color w:val="000000"/>
                <w:sz w:val="16"/>
                <w:szCs w:val="16"/>
                <w:lang w:val="hr-HR"/>
              </w:rPr>
            </w:pPr>
          </w:p>
        </w:tc>
        <w:tc>
          <w:tcPr>
            <w:tcW w:w="1123" w:type="dxa"/>
            <w:tcBorders>
              <w:top w:val="nil"/>
              <w:left w:val="nil"/>
              <w:bottom w:val="nil"/>
              <w:right w:val="nil"/>
            </w:tcBorders>
            <w:shd w:val="clear" w:color="auto" w:fill="auto"/>
            <w:vAlign w:val="center"/>
          </w:tcPr>
          <w:p w14:paraId="1BA7A550" w14:textId="77777777" w:rsidR="004E2F51" w:rsidRPr="00B37DA4" w:rsidRDefault="004E2F51" w:rsidP="00E032FC">
            <w:pPr>
              <w:jc w:val="center"/>
              <w:rPr>
                <w:rFonts w:ascii="Arial" w:eastAsia="Calibri" w:hAnsi="Arial" w:cs="Arial"/>
                <w:b/>
                <w:bCs/>
                <w:color w:val="000000"/>
                <w:sz w:val="16"/>
                <w:szCs w:val="16"/>
                <w:lang w:val="hr-HR"/>
              </w:rPr>
            </w:pPr>
          </w:p>
        </w:tc>
        <w:tc>
          <w:tcPr>
            <w:tcW w:w="1197" w:type="dxa"/>
            <w:tcBorders>
              <w:top w:val="nil"/>
              <w:left w:val="nil"/>
              <w:bottom w:val="nil"/>
              <w:right w:val="nil"/>
            </w:tcBorders>
            <w:shd w:val="clear" w:color="auto" w:fill="auto"/>
            <w:vAlign w:val="center"/>
          </w:tcPr>
          <w:p w14:paraId="097DA1D7" w14:textId="77777777" w:rsidR="004E2F51" w:rsidRPr="00B37DA4" w:rsidRDefault="004E2F51" w:rsidP="00E032FC">
            <w:pPr>
              <w:jc w:val="center"/>
              <w:rPr>
                <w:rFonts w:ascii="Arial" w:eastAsia="Calibri" w:hAnsi="Arial" w:cs="Arial"/>
                <w:b/>
                <w:bCs/>
                <w:color w:val="000000"/>
                <w:sz w:val="16"/>
                <w:szCs w:val="16"/>
                <w:lang w:val="hr-HR"/>
              </w:rPr>
            </w:pPr>
          </w:p>
        </w:tc>
        <w:tc>
          <w:tcPr>
            <w:tcW w:w="1156" w:type="dxa"/>
            <w:tcBorders>
              <w:top w:val="nil"/>
              <w:left w:val="nil"/>
              <w:bottom w:val="nil"/>
              <w:right w:val="nil"/>
            </w:tcBorders>
            <w:shd w:val="clear" w:color="auto" w:fill="auto"/>
            <w:vAlign w:val="center"/>
          </w:tcPr>
          <w:p w14:paraId="33B67C4A"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000 kuna</w:t>
            </w:r>
          </w:p>
        </w:tc>
        <w:tc>
          <w:tcPr>
            <w:tcW w:w="1156" w:type="dxa"/>
            <w:tcBorders>
              <w:top w:val="nil"/>
              <w:left w:val="nil"/>
              <w:bottom w:val="nil"/>
              <w:right w:val="nil"/>
            </w:tcBorders>
            <w:shd w:val="clear" w:color="auto" w:fill="auto"/>
            <w:vAlign w:val="center"/>
          </w:tcPr>
          <w:p w14:paraId="7ACAEBC9"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000 kuna</w:t>
            </w:r>
          </w:p>
        </w:tc>
        <w:tc>
          <w:tcPr>
            <w:tcW w:w="1156" w:type="dxa"/>
            <w:tcBorders>
              <w:top w:val="nil"/>
              <w:left w:val="nil"/>
              <w:bottom w:val="nil"/>
              <w:right w:val="nil"/>
            </w:tcBorders>
            <w:shd w:val="clear" w:color="auto" w:fill="auto"/>
            <w:vAlign w:val="center"/>
          </w:tcPr>
          <w:p w14:paraId="55C4741B"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000 kuna</w:t>
            </w:r>
          </w:p>
        </w:tc>
        <w:tc>
          <w:tcPr>
            <w:tcW w:w="1156" w:type="dxa"/>
            <w:tcBorders>
              <w:top w:val="nil"/>
              <w:left w:val="nil"/>
              <w:bottom w:val="nil"/>
              <w:right w:val="nil"/>
            </w:tcBorders>
            <w:shd w:val="clear" w:color="auto" w:fill="auto"/>
            <w:vAlign w:val="center"/>
          </w:tcPr>
          <w:p w14:paraId="6CA713D6"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000 kuna</w:t>
            </w:r>
          </w:p>
        </w:tc>
      </w:tr>
      <w:tr w:rsidR="004E2F51" w:rsidRPr="00B37DA4" w14:paraId="16F3D7D2" w14:textId="77777777" w:rsidTr="00E032FC">
        <w:trPr>
          <w:trHeight w:val="271"/>
        </w:trPr>
        <w:tc>
          <w:tcPr>
            <w:tcW w:w="2693" w:type="dxa"/>
            <w:tcBorders>
              <w:top w:val="nil"/>
              <w:left w:val="nil"/>
              <w:bottom w:val="nil"/>
              <w:right w:val="nil"/>
            </w:tcBorders>
            <w:shd w:val="clear" w:color="auto" w:fill="auto"/>
            <w:noWrap/>
            <w:vAlign w:val="center"/>
            <w:hideMark/>
          </w:tcPr>
          <w:p w14:paraId="7D5CEF7D" w14:textId="77777777" w:rsidR="004E2F51" w:rsidRPr="00B37DA4" w:rsidRDefault="004E2F51" w:rsidP="00E032FC">
            <w:pPr>
              <w:jc w:val="both"/>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Dužnički vrijednosni papiri:</w:t>
            </w:r>
          </w:p>
        </w:tc>
        <w:tc>
          <w:tcPr>
            <w:tcW w:w="1219" w:type="dxa"/>
            <w:gridSpan w:val="2"/>
            <w:tcBorders>
              <w:top w:val="nil"/>
              <w:left w:val="nil"/>
              <w:bottom w:val="nil"/>
              <w:right w:val="nil"/>
            </w:tcBorders>
            <w:shd w:val="clear" w:color="auto" w:fill="auto"/>
            <w:noWrap/>
            <w:vAlign w:val="bottom"/>
            <w:hideMark/>
          </w:tcPr>
          <w:p w14:paraId="715C7728" w14:textId="77777777" w:rsidR="004E2F51" w:rsidRPr="00B37DA4" w:rsidRDefault="004E2F51" w:rsidP="00E032FC">
            <w:pPr>
              <w:jc w:val="both"/>
              <w:rPr>
                <w:rFonts w:ascii="Arial" w:eastAsia="Calibri" w:hAnsi="Arial" w:cs="Arial"/>
                <w:b/>
                <w:bCs/>
                <w:color w:val="000000"/>
                <w:sz w:val="16"/>
                <w:szCs w:val="16"/>
                <w:lang w:val="hr-HR"/>
              </w:rPr>
            </w:pPr>
          </w:p>
        </w:tc>
        <w:tc>
          <w:tcPr>
            <w:tcW w:w="1123" w:type="dxa"/>
            <w:tcBorders>
              <w:top w:val="nil"/>
              <w:left w:val="nil"/>
              <w:bottom w:val="nil"/>
              <w:right w:val="nil"/>
            </w:tcBorders>
            <w:shd w:val="clear" w:color="auto" w:fill="auto"/>
            <w:noWrap/>
            <w:vAlign w:val="bottom"/>
            <w:hideMark/>
          </w:tcPr>
          <w:p w14:paraId="03543757" w14:textId="77777777" w:rsidR="004E2F51" w:rsidRPr="00B37DA4" w:rsidRDefault="004E2F51" w:rsidP="00E032FC">
            <w:pPr>
              <w:rPr>
                <w:rFonts w:ascii="Arial" w:eastAsia="Calibri" w:hAnsi="Arial" w:cs="Arial"/>
                <w:color w:val="000000"/>
                <w:sz w:val="16"/>
                <w:szCs w:val="16"/>
                <w:lang w:val="hr-HR"/>
              </w:rPr>
            </w:pPr>
          </w:p>
        </w:tc>
        <w:tc>
          <w:tcPr>
            <w:tcW w:w="1197" w:type="dxa"/>
            <w:tcBorders>
              <w:top w:val="nil"/>
              <w:left w:val="nil"/>
              <w:bottom w:val="nil"/>
              <w:right w:val="nil"/>
            </w:tcBorders>
            <w:shd w:val="clear" w:color="auto" w:fill="auto"/>
            <w:vAlign w:val="bottom"/>
            <w:hideMark/>
          </w:tcPr>
          <w:p w14:paraId="50DBB72E" w14:textId="77777777" w:rsidR="004E2F51" w:rsidRPr="00B37DA4" w:rsidRDefault="004E2F51" w:rsidP="00E032FC">
            <w:pPr>
              <w:rPr>
                <w:rFonts w:ascii="Arial" w:eastAsia="Calibri" w:hAnsi="Arial" w:cs="Arial"/>
                <w:color w:val="000000"/>
                <w:sz w:val="16"/>
                <w:szCs w:val="16"/>
                <w:lang w:val="hr-HR"/>
              </w:rPr>
            </w:pPr>
          </w:p>
        </w:tc>
        <w:tc>
          <w:tcPr>
            <w:tcW w:w="1156" w:type="dxa"/>
            <w:tcBorders>
              <w:top w:val="nil"/>
              <w:left w:val="nil"/>
              <w:bottom w:val="nil"/>
              <w:right w:val="nil"/>
            </w:tcBorders>
          </w:tcPr>
          <w:p w14:paraId="180F50DC" w14:textId="77777777" w:rsidR="004E2F51" w:rsidRPr="00B37DA4" w:rsidRDefault="004E2F51" w:rsidP="00E032FC">
            <w:pPr>
              <w:rPr>
                <w:rFonts w:ascii="Arial" w:eastAsia="Calibri" w:hAnsi="Arial" w:cs="Arial"/>
                <w:color w:val="000000"/>
                <w:sz w:val="16"/>
                <w:szCs w:val="16"/>
                <w:lang w:val="hr-HR"/>
              </w:rPr>
            </w:pPr>
          </w:p>
        </w:tc>
        <w:tc>
          <w:tcPr>
            <w:tcW w:w="1156" w:type="dxa"/>
            <w:tcBorders>
              <w:top w:val="nil"/>
              <w:left w:val="nil"/>
              <w:bottom w:val="nil"/>
              <w:right w:val="nil"/>
            </w:tcBorders>
          </w:tcPr>
          <w:p w14:paraId="1E9DB6AE" w14:textId="77777777" w:rsidR="004E2F51" w:rsidRPr="00B37DA4" w:rsidRDefault="004E2F51" w:rsidP="00E032FC">
            <w:pPr>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center"/>
          </w:tcPr>
          <w:p w14:paraId="2375F1E0" w14:textId="77777777" w:rsidR="004E2F51" w:rsidRPr="00B37DA4" w:rsidRDefault="004E2F51" w:rsidP="00E032FC">
            <w:pPr>
              <w:jc w:val="both"/>
              <w:rPr>
                <w:rFonts w:ascii="Arial" w:eastAsia="Calibri" w:hAnsi="Arial" w:cs="Arial"/>
                <w:color w:val="000000"/>
                <w:sz w:val="16"/>
                <w:szCs w:val="16"/>
                <w:lang w:val="hr-HR"/>
              </w:rPr>
            </w:pPr>
          </w:p>
        </w:tc>
        <w:tc>
          <w:tcPr>
            <w:tcW w:w="1156" w:type="dxa"/>
            <w:tcBorders>
              <w:top w:val="nil"/>
              <w:left w:val="nil"/>
              <w:bottom w:val="nil"/>
              <w:right w:val="nil"/>
            </w:tcBorders>
            <w:hideMark/>
          </w:tcPr>
          <w:p w14:paraId="7ECCEED8" w14:textId="77777777" w:rsidR="004E2F51" w:rsidRPr="00B37DA4" w:rsidRDefault="004E2F51" w:rsidP="00E032FC">
            <w:pPr>
              <w:jc w:val="both"/>
              <w:rPr>
                <w:rFonts w:ascii="Arial" w:eastAsia="Calibri" w:hAnsi="Arial" w:cs="Arial"/>
                <w:color w:val="000000"/>
                <w:sz w:val="16"/>
                <w:szCs w:val="16"/>
                <w:lang w:val="hr-HR"/>
              </w:rPr>
            </w:pPr>
          </w:p>
        </w:tc>
      </w:tr>
      <w:tr w:rsidR="004E2F51" w:rsidRPr="00B37DA4" w14:paraId="2D8EDC66" w14:textId="77777777" w:rsidTr="00E032FC">
        <w:trPr>
          <w:trHeight w:val="229"/>
        </w:trPr>
        <w:tc>
          <w:tcPr>
            <w:tcW w:w="3912" w:type="dxa"/>
            <w:gridSpan w:val="3"/>
            <w:tcBorders>
              <w:top w:val="nil"/>
              <w:left w:val="nil"/>
              <w:bottom w:val="nil"/>
              <w:right w:val="nil"/>
            </w:tcBorders>
            <w:shd w:val="clear" w:color="auto" w:fill="auto"/>
            <w:noWrap/>
            <w:vAlign w:val="bottom"/>
            <w:hideMark/>
          </w:tcPr>
          <w:p w14:paraId="23AB56CD" w14:textId="77777777" w:rsidR="004E2F51" w:rsidRPr="00B37DA4" w:rsidRDefault="004E2F51" w:rsidP="00E032FC">
            <w:pPr>
              <w:jc w:val="both"/>
              <w:rPr>
                <w:rFonts w:ascii="Arial" w:eastAsia="Calibri" w:hAnsi="Arial" w:cs="Arial"/>
                <w:color w:val="000000"/>
                <w:sz w:val="16"/>
                <w:szCs w:val="16"/>
                <w:lang w:val="hr-HR"/>
              </w:rPr>
            </w:pPr>
            <w:r w:rsidRPr="00B37DA4">
              <w:rPr>
                <w:rFonts w:ascii="Arial" w:eastAsia="Calibri" w:hAnsi="Arial" w:cs="Arial"/>
                <w:color w:val="000000"/>
                <w:sz w:val="16"/>
                <w:szCs w:val="16"/>
                <w:lang w:val="hr-HR"/>
              </w:rPr>
              <w:t>Dužnički vrijednosni papiri koji kotiraju:</w:t>
            </w:r>
          </w:p>
        </w:tc>
        <w:tc>
          <w:tcPr>
            <w:tcW w:w="1123" w:type="dxa"/>
            <w:tcBorders>
              <w:top w:val="nil"/>
              <w:left w:val="nil"/>
              <w:bottom w:val="nil"/>
              <w:right w:val="nil"/>
            </w:tcBorders>
            <w:shd w:val="clear" w:color="auto" w:fill="auto"/>
            <w:noWrap/>
            <w:vAlign w:val="bottom"/>
            <w:hideMark/>
          </w:tcPr>
          <w:p w14:paraId="7F2DC332" w14:textId="77777777" w:rsidR="004E2F51" w:rsidRPr="00B37DA4" w:rsidRDefault="004E2F51" w:rsidP="00E032FC">
            <w:pPr>
              <w:jc w:val="center"/>
              <w:rPr>
                <w:rFonts w:ascii="Arial" w:eastAsia="Calibri" w:hAnsi="Arial" w:cs="Arial"/>
                <w:color w:val="000000"/>
                <w:sz w:val="16"/>
                <w:szCs w:val="16"/>
                <w:lang w:val="hr-HR"/>
              </w:rPr>
            </w:pPr>
          </w:p>
        </w:tc>
        <w:tc>
          <w:tcPr>
            <w:tcW w:w="1197" w:type="dxa"/>
            <w:tcBorders>
              <w:top w:val="nil"/>
              <w:left w:val="nil"/>
              <w:bottom w:val="nil"/>
              <w:right w:val="nil"/>
            </w:tcBorders>
            <w:shd w:val="clear" w:color="auto" w:fill="auto"/>
            <w:vAlign w:val="bottom"/>
            <w:hideMark/>
          </w:tcPr>
          <w:p w14:paraId="19A6555E" w14:textId="77777777" w:rsidR="004E2F51" w:rsidRPr="00B37DA4" w:rsidRDefault="004E2F51" w:rsidP="00E032FC">
            <w:pPr>
              <w:jc w:val="both"/>
              <w:rPr>
                <w:rFonts w:ascii="Arial" w:eastAsia="Calibri" w:hAnsi="Arial" w:cs="Arial"/>
                <w:color w:val="000000"/>
                <w:sz w:val="16"/>
                <w:szCs w:val="16"/>
                <w:lang w:val="hr-HR"/>
              </w:rPr>
            </w:pPr>
          </w:p>
        </w:tc>
        <w:tc>
          <w:tcPr>
            <w:tcW w:w="1156" w:type="dxa"/>
            <w:tcBorders>
              <w:top w:val="nil"/>
              <w:left w:val="nil"/>
              <w:bottom w:val="nil"/>
              <w:right w:val="nil"/>
            </w:tcBorders>
          </w:tcPr>
          <w:p w14:paraId="1D25C8E6" w14:textId="77777777" w:rsidR="004E2F51" w:rsidRPr="00B37DA4" w:rsidRDefault="004E2F51" w:rsidP="00E032FC">
            <w:pPr>
              <w:jc w:val="both"/>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4D98D98C" w14:textId="77777777" w:rsidR="004E2F51" w:rsidRPr="00B37DA4" w:rsidRDefault="004E2F51" w:rsidP="00E032FC">
            <w:pPr>
              <w:jc w:val="both"/>
              <w:rPr>
                <w:rFonts w:ascii="Arial" w:eastAsia="Calibri" w:hAnsi="Arial" w:cs="Arial"/>
                <w:color w:val="000000"/>
                <w:sz w:val="16"/>
                <w:szCs w:val="16"/>
                <w:lang w:val="hr-HR"/>
              </w:rPr>
            </w:pPr>
          </w:p>
        </w:tc>
        <w:tc>
          <w:tcPr>
            <w:tcW w:w="1156" w:type="dxa"/>
            <w:tcBorders>
              <w:top w:val="nil"/>
              <w:left w:val="nil"/>
              <w:bottom w:val="nil"/>
              <w:right w:val="nil"/>
            </w:tcBorders>
          </w:tcPr>
          <w:p w14:paraId="7BDEC053" w14:textId="77777777" w:rsidR="004E2F51" w:rsidRPr="00B37DA4" w:rsidRDefault="004E2F51" w:rsidP="00E032FC">
            <w:pPr>
              <w:jc w:val="both"/>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hideMark/>
          </w:tcPr>
          <w:p w14:paraId="2B8522A5" w14:textId="77777777" w:rsidR="004E2F51" w:rsidRPr="00B37DA4" w:rsidRDefault="004E2F51" w:rsidP="00E032FC">
            <w:pPr>
              <w:jc w:val="both"/>
              <w:rPr>
                <w:rFonts w:ascii="Arial" w:eastAsia="Calibri" w:hAnsi="Arial" w:cs="Arial"/>
                <w:color w:val="000000"/>
                <w:sz w:val="16"/>
                <w:szCs w:val="16"/>
                <w:lang w:val="hr-HR"/>
              </w:rPr>
            </w:pPr>
          </w:p>
        </w:tc>
      </w:tr>
      <w:tr w:rsidR="004E2F51" w:rsidRPr="00B37DA4" w14:paraId="7FEAF9EC" w14:textId="77777777" w:rsidTr="00E032FC">
        <w:trPr>
          <w:trHeight w:hRule="exact" w:val="227"/>
        </w:trPr>
        <w:tc>
          <w:tcPr>
            <w:tcW w:w="5035" w:type="dxa"/>
            <w:gridSpan w:val="4"/>
            <w:tcBorders>
              <w:top w:val="nil"/>
              <w:left w:val="nil"/>
              <w:bottom w:val="nil"/>
              <w:right w:val="nil"/>
            </w:tcBorders>
            <w:shd w:val="clear" w:color="auto" w:fill="auto"/>
            <w:noWrap/>
            <w:vAlign w:val="bottom"/>
            <w:hideMark/>
          </w:tcPr>
          <w:p w14:paraId="5CAA0155" w14:textId="77777777" w:rsidR="004E2F51" w:rsidRPr="00B37DA4" w:rsidRDefault="004E2F51" w:rsidP="00E032FC">
            <w:pPr>
              <w:jc w:val="both"/>
              <w:rPr>
                <w:rFonts w:ascii="Arial" w:eastAsia="Calibri" w:hAnsi="Arial" w:cs="Arial"/>
                <w:i/>
                <w:iCs/>
                <w:color w:val="000000"/>
                <w:sz w:val="16"/>
                <w:szCs w:val="16"/>
                <w:lang w:val="hr-HR"/>
              </w:rPr>
            </w:pPr>
            <w:r w:rsidRPr="00B37DA4">
              <w:rPr>
                <w:rFonts w:ascii="Arial" w:eastAsia="Calibri" w:hAnsi="Arial" w:cs="Arial"/>
                <w:i/>
                <w:iCs/>
                <w:color w:val="000000"/>
                <w:sz w:val="16"/>
                <w:szCs w:val="16"/>
                <w:lang w:val="hr-HR"/>
              </w:rPr>
              <w:t>Obveznice Republike Hrvatske s valutnom klauzulom:</w:t>
            </w:r>
          </w:p>
        </w:tc>
        <w:tc>
          <w:tcPr>
            <w:tcW w:w="1197" w:type="dxa"/>
            <w:tcBorders>
              <w:top w:val="nil"/>
              <w:left w:val="nil"/>
              <w:bottom w:val="nil"/>
              <w:right w:val="nil"/>
            </w:tcBorders>
            <w:shd w:val="clear" w:color="auto" w:fill="auto"/>
            <w:noWrap/>
            <w:vAlign w:val="bottom"/>
            <w:hideMark/>
          </w:tcPr>
          <w:p w14:paraId="0101F047" w14:textId="77777777" w:rsidR="004E2F51" w:rsidRPr="00B37DA4" w:rsidRDefault="004E2F51" w:rsidP="00E032FC">
            <w:pPr>
              <w:jc w:val="both"/>
              <w:rPr>
                <w:rFonts w:ascii="Arial" w:eastAsia="Calibri" w:hAnsi="Arial" w:cs="Arial"/>
                <w:i/>
                <w:iCs/>
                <w:color w:val="000000"/>
                <w:sz w:val="16"/>
                <w:szCs w:val="16"/>
                <w:lang w:val="hr-HR"/>
              </w:rPr>
            </w:pPr>
          </w:p>
        </w:tc>
        <w:tc>
          <w:tcPr>
            <w:tcW w:w="1156" w:type="dxa"/>
            <w:tcBorders>
              <w:top w:val="nil"/>
              <w:left w:val="nil"/>
              <w:bottom w:val="nil"/>
              <w:right w:val="nil"/>
            </w:tcBorders>
            <w:vAlign w:val="bottom"/>
          </w:tcPr>
          <w:p w14:paraId="426B7177" w14:textId="77777777" w:rsidR="004E2F51" w:rsidRPr="00B37DA4" w:rsidRDefault="004E2F51" w:rsidP="00E032FC">
            <w:pPr>
              <w:jc w:val="right"/>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2EECB960" w14:textId="77777777" w:rsidR="004E2F51" w:rsidRPr="00B37DA4" w:rsidRDefault="004E2F51" w:rsidP="00E032FC">
            <w:pPr>
              <w:jc w:val="right"/>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4A906055" w14:textId="77777777" w:rsidR="004E2F51" w:rsidRPr="00B37DA4" w:rsidRDefault="004E2F51" w:rsidP="00E032FC">
            <w:pPr>
              <w:jc w:val="right"/>
              <w:rPr>
                <w:rFonts w:ascii="Arial" w:eastAsia="Calibri" w:hAnsi="Arial" w:cs="Arial"/>
                <w:color w:val="000000"/>
                <w:sz w:val="16"/>
                <w:szCs w:val="16"/>
                <w:lang w:val="hr-HR"/>
              </w:rPr>
            </w:pPr>
          </w:p>
        </w:tc>
        <w:tc>
          <w:tcPr>
            <w:tcW w:w="1156" w:type="dxa"/>
            <w:tcBorders>
              <w:top w:val="nil"/>
              <w:left w:val="nil"/>
              <w:bottom w:val="nil"/>
              <w:right w:val="nil"/>
            </w:tcBorders>
            <w:noWrap/>
            <w:vAlign w:val="bottom"/>
            <w:hideMark/>
          </w:tcPr>
          <w:p w14:paraId="1FCC6928" w14:textId="77777777" w:rsidR="004E2F51" w:rsidRPr="00B37DA4" w:rsidRDefault="004E2F51" w:rsidP="00E032FC">
            <w:pPr>
              <w:jc w:val="right"/>
              <w:rPr>
                <w:rFonts w:ascii="Arial" w:eastAsia="Calibri" w:hAnsi="Arial" w:cs="Arial"/>
                <w:color w:val="000000"/>
                <w:sz w:val="16"/>
                <w:szCs w:val="16"/>
                <w:lang w:val="hr-HR"/>
              </w:rPr>
            </w:pPr>
          </w:p>
        </w:tc>
      </w:tr>
      <w:tr w:rsidR="004E2F51" w:rsidRPr="00B37DA4" w14:paraId="45377659" w14:textId="77777777" w:rsidTr="00E032FC">
        <w:trPr>
          <w:trHeight w:val="229"/>
        </w:trPr>
        <w:tc>
          <w:tcPr>
            <w:tcW w:w="2693" w:type="dxa"/>
            <w:tcBorders>
              <w:top w:val="nil"/>
              <w:left w:val="nil"/>
              <w:bottom w:val="nil"/>
              <w:right w:val="nil"/>
            </w:tcBorders>
            <w:shd w:val="clear" w:color="auto" w:fill="auto"/>
            <w:noWrap/>
            <w:vAlign w:val="bottom"/>
            <w:hideMark/>
          </w:tcPr>
          <w:p w14:paraId="7482BD21"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RHMF-O-227E</w:t>
            </w:r>
          </w:p>
        </w:tc>
        <w:tc>
          <w:tcPr>
            <w:tcW w:w="1219" w:type="dxa"/>
            <w:gridSpan w:val="2"/>
            <w:tcBorders>
              <w:top w:val="nil"/>
              <w:left w:val="nil"/>
              <w:bottom w:val="nil"/>
              <w:right w:val="nil"/>
            </w:tcBorders>
            <w:shd w:val="clear" w:color="auto" w:fill="auto"/>
            <w:noWrap/>
            <w:vAlign w:val="bottom"/>
            <w:hideMark/>
          </w:tcPr>
          <w:p w14:paraId="569E987E"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22.7.2011.</w:t>
            </w:r>
          </w:p>
        </w:tc>
        <w:tc>
          <w:tcPr>
            <w:tcW w:w="1123" w:type="dxa"/>
            <w:tcBorders>
              <w:top w:val="nil"/>
              <w:left w:val="nil"/>
              <w:bottom w:val="nil"/>
              <w:right w:val="nil"/>
            </w:tcBorders>
            <w:shd w:val="clear" w:color="auto" w:fill="auto"/>
            <w:noWrap/>
            <w:vAlign w:val="bottom"/>
            <w:hideMark/>
          </w:tcPr>
          <w:p w14:paraId="1D4CFD35"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22.7.2022.</w:t>
            </w:r>
          </w:p>
        </w:tc>
        <w:tc>
          <w:tcPr>
            <w:tcW w:w="1197" w:type="dxa"/>
            <w:tcBorders>
              <w:top w:val="nil"/>
              <w:left w:val="nil"/>
              <w:bottom w:val="nil"/>
              <w:right w:val="nil"/>
            </w:tcBorders>
            <w:shd w:val="clear" w:color="auto" w:fill="auto"/>
            <w:noWrap/>
            <w:vAlign w:val="bottom"/>
            <w:hideMark/>
          </w:tcPr>
          <w:p w14:paraId="2D9A8F28"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6,5</w:t>
            </w:r>
          </w:p>
        </w:tc>
        <w:tc>
          <w:tcPr>
            <w:tcW w:w="1156" w:type="dxa"/>
            <w:tcBorders>
              <w:top w:val="nil"/>
              <w:left w:val="nil"/>
              <w:bottom w:val="nil"/>
              <w:right w:val="nil"/>
            </w:tcBorders>
            <w:vAlign w:val="bottom"/>
          </w:tcPr>
          <w:p w14:paraId="1D72AE27"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w:t>
            </w:r>
          </w:p>
        </w:tc>
        <w:tc>
          <w:tcPr>
            <w:tcW w:w="1156" w:type="dxa"/>
            <w:tcBorders>
              <w:top w:val="nil"/>
              <w:left w:val="nil"/>
              <w:bottom w:val="nil"/>
              <w:right w:val="nil"/>
            </w:tcBorders>
            <w:vAlign w:val="bottom"/>
          </w:tcPr>
          <w:p w14:paraId="538FBF9F"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148.536</w:t>
            </w:r>
          </w:p>
        </w:tc>
        <w:tc>
          <w:tcPr>
            <w:tcW w:w="1156" w:type="dxa"/>
            <w:tcBorders>
              <w:top w:val="nil"/>
              <w:left w:val="nil"/>
              <w:bottom w:val="nil"/>
              <w:right w:val="nil"/>
            </w:tcBorders>
            <w:shd w:val="clear" w:color="auto" w:fill="auto"/>
            <w:vAlign w:val="bottom"/>
          </w:tcPr>
          <w:p w14:paraId="4CB70C1B"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w:t>
            </w:r>
          </w:p>
        </w:tc>
        <w:tc>
          <w:tcPr>
            <w:tcW w:w="1156" w:type="dxa"/>
            <w:tcBorders>
              <w:top w:val="nil"/>
              <w:left w:val="nil"/>
              <w:bottom w:val="nil"/>
              <w:right w:val="nil"/>
            </w:tcBorders>
            <w:vAlign w:val="bottom"/>
          </w:tcPr>
          <w:p w14:paraId="25583D61"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148.536</w:t>
            </w:r>
          </w:p>
        </w:tc>
      </w:tr>
      <w:tr w:rsidR="004E2F51" w:rsidRPr="00B37DA4" w14:paraId="595CB8BA" w14:textId="77777777" w:rsidTr="00E032FC">
        <w:trPr>
          <w:trHeight w:val="229"/>
        </w:trPr>
        <w:tc>
          <w:tcPr>
            <w:tcW w:w="2693" w:type="dxa"/>
            <w:tcBorders>
              <w:top w:val="nil"/>
              <w:left w:val="nil"/>
              <w:bottom w:val="nil"/>
              <w:right w:val="nil"/>
            </w:tcBorders>
            <w:shd w:val="clear" w:color="auto" w:fill="auto"/>
            <w:noWrap/>
            <w:vAlign w:val="bottom"/>
            <w:hideMark/>
          </w:tcPr>
          <w:p w14:paraId="7BC41270"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RHMF-O-247E</w:t>
            </w:r>
          </w:p>
        </w:tc>
        <w:tc>
          <w:tcPr>
            <w:tcW w:w="1219" w:type="dxa"/>
            <w:gridSpan w:val="2"/>
            <w:tcBorders>
              <w:top w:val="nil"/>
              <w:left w:val="nil"/>
              <w:bottom w:val="nil"/>
              <w:right w:val="nil"/>
            </w:tcBorders>
            <w:shd w:val="clear" w:color="auto" w:fill="auto"/>
            <w:noWrap/>
            <w:vAlign w:val="bottom"/>
            <w:hideMark/>
          </w:tcPr>
          <w:p w14:paraId="2C045849"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10.7.2013.</w:t>
            </w:r>
          </w:p>
        </w:tc>
        <w:tc>
          <w:tcPr>
            <w:tcW w:w="1123" w:type="dxa"/>
            <w:tcBorders>
              <w:top w:val="nil"/>
              <w:left w:val="nil"/>
              <w:bottom w:val="nil"/>
              <w:right w:val="nil"/>
            </w:tcBorders>
            <w:shd w:val="clear" w:color="auto" w:fill="auto"/>
            <w:noWrap/>
            <w:vAlign w:val="bottom"/>
            <w:hideMark/>
          </w:tcPr>
          <w:p w14:paraId="3DBBBD44"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10.7.2024.</w:t>
            </w:r>
          </w:p>
        </w:tc>
        <w:tc>
          <w:tcPr>
            <w:tcW w:w="1197" w:type="dxa"/>
            <w:tcBorders>
              <w:top w:val="nil"/>
              <w:left w:val="nil"/>
              <w:bottom w:val="nil"/>
              <w:right w:val="nil"/>
            </w:tcBorders>
            <w:shd w:val="clear" w:color="auto" w:fill="auto"/>
            <w:noWrap/>
            <w:vAlign w:val="bottom"/>
            <w:hideMark/>
          </w:tcPr>
          <w:p w14:paraId="66589DE3"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5,75</w:t>
            </w:r>
          </w:p>
        </w:tc>
        <w:tc>
          <w:tcPr>
            <w:tcW w:w="1156" w:type="dxa"/>
            <w:tcBorders>
              <w:top w:val="nil"/>
              <w:left w:val="nil"/>
              <w:bottom w:val="nil"/>
              <w:right w:val="nil"/>
            </w:tcBorders>
            <w:vAlign w:val="bottom"/>
          </w:tcPr>
          <w:p w14:paraId="70ADF28A"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159.870</w:t>
            </w:r>
          </w:p>
        </w:tc>
        <w:tc>
          <w:tcPr>
            <w:tcW w:w="1156" w:type="dxa"/>
            <w:tcBorders>
              <w:top w:val="nil"/>
              <w:left w:val="nil"/>
              <w:bottom w:val="nil"/>
              <w:right w:val="nil"/>
            </w:tcBorders>
            <w:vAlign w:val="bottom"/>
          </w:tcPr>
          <w:p w14:paraId="5C3E999C"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48.638</w:t>
            </w:r>
          </w:p>
        </w:tc>
        <w:tc>
          <w:tcPr>
            <w:tcW w:w="1156" w:type="dxa"/>
            <w:tcBorders>
              <w:top w:val="nil"/>
              <w:left w:val="nil"/>
              <w:bottom w:val="nil"/>
              <w:right w:val="nil"/>
            </w:tcBorders>
            <w:shd w:val="clear" w:color="auto" w:fill="auto"/>
            <w:vAlign w:val="bottom"/>
          </w:tcPr>
          <w:p w14:paraId="6897CAB7"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155.238</w:t>
            </w:r>
          </w:p>
        </w:tc>
        <w:tc>
          <w:tcPr>
            <w:tcW w:w="1156" w:type="dxa"/>
            <w:tcBorders>
              <w:top w:val="nil"/>
              <w:left w:val="nil"/>
              <w:bottom w:val="nil"/>
              <w:right w:val="nil"/>
            </w:tcBorders>
            <w:vAlign w:val="bottom"/>
          </w:tcPr>
          <w:p w14:paraId="2248AE8A"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43.668</w:t>
            </w:r>
          </w:p>
        </w:tc>
      </w:tr>
      <w:tr w:rsidR="004E2F51" w:rsidRPr="00B37DA4" w14:paraId="288C05FB" w14:textId="77777777" w:rsidTr="00E032FC">
        <w:trPr>
          <w:trHeight w:val="229"/>
        </w:trPr>
        <w:tc>
          <w:tcPr>
            <w:tcW w:w="2693" w:type="dxa"/>
            <w:tcBorders>
              <w:top w:val="nil"/>
              <w:left w:val="nil"/>
              <w:bottom w:val="nil"/>
              <w:right w:val="nil"/>
            </w:tcBorders>
            <w:shd w:val="clear" w:color="auto" w:fill="auto"/>
            <w:noWrap/>
            <w:vAlign w:val="bottom"/>
          </w:tcPr>
          <w:p w14:paraId="5527942E"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eastAsia="hr-HR"/>
              </w:rPr>
              <w:t>RHMF-O222E</w:t>
            </w:r>
          </w:p>
        </w:tc>
        <w:tc>
          <w:tcPr>
            <w:tcW w:w="1219" w:type="dxa"/>
            <w:gridSpan w:val="2"/>
            <w:tcBorders>
              <w:top w:val="nil"/>
              <w:left w:val="nil"/>
              <w:bottom w:val="nil"/>
              <w:right w:val="nil"/>
            </w:tcBorders>
            <w:shd w:val="clear" w:color="auto" w:fill="auto"/>
            <w:noWrap/>
            <w:vAlign w:val="bottom"/>
          </w:tcPr>
          <w:p w14:paraId="6A6C9607"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eastAsia="hr-HR"/>
              </w:rPr>
              <w:t>5.2.2019.</w:t>
            </w:r>
          </w:p>
        </w:tc>
        <w:tc>
          <w:tcPr>
            <w:tcW w:w="1123" w:type="dxa"/>
            <w:tcBorders>
              <w:top w:val="nil"/>
              <w:left w:val="nil"/>
              <w:bottom w:val="nil"/>
              <w:right w:val="nil"/>
            </w:tcBorders>
            <w:shd w:val="clear" w:color="auto" w:fill="auto"/>
            <w:noWrap/>
            <w:vAlign w:val="bottom"/>
          </w:tcPr>
          <w:p w14:paraId="62C48B45"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eastAsia="hr-HR"/>
              </w:rPr>
              <w:t>5.2.2022.</w:t>
            </w:r>
          </w:p>
        </w:tc>
        <w:tc>
          <w:tcPr>
            <w:tcW w:w="1197" w:type="dxa"/>
            <w:tcBorders>
              <w:top w:val="nil"/>
              <w:left w:val="nil"/>
              <w:bottom w:val="nil"/>
              <w:right w:val="nil"/>
            </w:tcBorders>
            <w:shd w:val="clear" w:color="auto" w:fill="auto"/>
            <w:noWrap/>
            <w:vAlign w:val="bottom"/>
          </w:tcPr>
          <w:p w14:paraId="291FB228"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eastAsia="hr-HR"/>
              </w:rPr>
              <w:t>0,5</w:t>
            </w:r>
          </w:p>
        </w:tc>
        <w:tc>
          <w:tcPr>
            <w:tcW w:w="1156" w:type="dxa"/>
            <w:tcBorders>
              <w:top w:val="nil"/>
              <w:left w:val="nil"/>
              <w:bottom w:val="nil"/>
              <w:right w:val="nil"/>
            </w:tcBorders>
            <w:vAlign w:val="bottom"/>
          </w:tcPr>
          <w:p w14:paraId="40026513"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w:t>
            </w:r>
          </w:p>
        </w:tc>
        <w:tc>
          <w:tcPr>
            <w:tcW w:w="1156" w:type="dxa"/>
            <w:tcBorders>
              <w:top w:val="nil"/>
              <w:left w:val="nil"/>
              <w:bottom w:val="nil"/>
              <w:right w:val="nil"/>
            </w:tcBorders>
            <w:vAlign w:val="bottom"/>
          </w:tcPr>
          <w:p w14:paraId="36EC5AC0"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15.032</w:t>
            </w:r>
          </w:p>
        </w:tc>
        <w:tc>
          <w:tcPr>
            <w:tcW w:w="1156" w:type="dxa"/>
            <w:tcBorders>
              <w:top w:val="nil"/>
              <w:left w:val="nil"/>
              <w:bottom w:val="nil"/>
              <w:right w:val="nil"/>
            </w:tcBorders>
            <w:shd w:val="clear" w:color="auto" w:fill="auto"/>
            <w:vAlign w:val="bottom"/>
          </w:tcPr>
          <w:p w14:paraId="24625137"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w:t>
            </w:r>
          </w:p>
        </w:tc>
        <w:tc>
          <w:tcPr>
            <w:tcW w:w="1156" w:type="dxa"/>
            <w:tcBorders>
              <w:top w:val="nil"/>
              <w:left w:val="nil"/>
              <w:bottom w:val="nil"/>
              <w:right w:val="nil"/>
            </w:tcBorders>
            <w:vAlign w:val="bottom"/>
          </w:tcPr>
          <w:p w14:paraId="6AD2802C"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15.032</w:t>
            </w:r>
          </w:p>
        </w:tc>
      </w:tr>
      <w:tr w:rsidR="004E2F51" w:rsidRPr="00B37DA4" w14:paraId="00A19C9D" w14:textId="77777777" w:rsidTr="00E032FC">
        <w:trPr>
          <w:trHeight w:val="229"/>
        </w:trPr>
        <w:tc>
          <w:tcPr>
            <w:tcW w:w="2693" w:type="dxa"/>
            <w:tcBorders>
              <w:top w:val="nil"/>
              <w:left w:val="nil"/>
              <w:bottom w:val="nil"/>
              <w:right w:val="nil"/>
            </w:tcBorders>
            <w:shd w:val="clear" w:color="auto" w:fill="auto"/>
            <w:noWrap/>
            <w:vAlign w:val="bottom"/>
          </w:tcPr>
          <w:p w14:paraId="1ECE3A8A"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RHMF-O-267E</w:t>
            </w:r>
          </w:p>
        </w:tc>
        <w:tc>
          <w:tcPr>
            <w:tcW w:w="1219" w:type="dxa"/>
            <w:gridSpan w:val="2"/>
            <w:tcBorders>
              <w:top w:val="nil"/>
              <w:left w:val="nil"/>
              <w:bottom w:val="nil"/>
              <w:right w:val="nil"/>
            </w:tcBorders>
            <w:shd w:val="clear" w:color="auto" w:fill="auto"/>
            <w:noWrap/>
            <w:vAlign w:val="bottom"/>
          </w:tcPr>
          <w:p w14:paraId="68A87721"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15.7.2022.</w:t>
            </w:r>
          </w:p>
        </w:tc>
        <w:tc>
          <w:tcPr>
            <w:tcW w:w="1123" w:type="dxa"/>
            <w:tcBorders>
              <w:top w:val="nil"/>
              <w:left w:val="nil"/>
              <w:bottom w:val="nil"/>
              <w:right w:val="nil"/>
            </w:tcBorders>
            <w:shd w:val="clear" w:color="auto" w:fill="auto"/>
            <w:noWrap/>
            <w:vAlign w:val="bottom"/>
          </w:tcPr>
          <w:p w14:paraId="21EF1344"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15.7.2026</w:t>
            </w:r>
          </w:p>
        </w:tc>
        <w:tc>
          <w:tcPr>
            <w:tcW w:w="1197" w:type="dxa"/>
            <w:tcBorders>
              <w:top w:val="nil"/>
              <w:left w:val="nil"/>
              <w:bottom w:val="nil"/>
              <w:right w:val="nil"/>
            </w:tcBorders>
            <w:shd w:val="clear" w:color="auto" w:fill="auto"/>
            <w:noWrap/>
            <w:vAlign w:val="bottom"/>
          </w:tcPr>
          <w:p w14:paraId="6BC2EF38" w14:textId="77777777" w:rsidR="004E2F51" w:rsidRPr="00B37DA4" w:rsidRDefault="004E2F51" w:rsidP="00E032FC">
            <w:pPr>
              <w:jc w:val="center"/>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2,13</w:t>
            </w:r>
          </w:p>
        </w:tc>
        <w:tc>
          <w:tcPr>
            <w:tcW w:w="1156" w:type="dxa"/>
            <w:tcBorders>
              <w:top w:val="nil"/>
              <w:left w:val="nil"/>
              <w:bottom w:val="nil"/>
              <w:right w:val="nil"/>
            </w:tcBorders>
            <w:vAlign w:val="bottom"/>
          </w:tcPr>
          <w:p w14:paraId="3060172E"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153.961</w:t>
            </w:r>
          </w:p>
        </w:tc>
        <w:tc>
          <w:tcPr>
            <w:tcW w:w="1156" w:type="dxa"/>
            <w:tcBorders>
              <w:top w:val="nil"/>
              <w:left w:val="nil"/>
              <w:bottom w:val="nil"/>
              <w:right w:val="nil"/>
            </w:tcBorders>
            <w:vAlign w:val="bottom"/>
          </w:tcPr>
          <w:p w14:paraId="7165FF79"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w:t>
            </w:r>
          </w:p>
        </w:tc>
        <w:tc>
          <w:tcPr>
            <w:tcW w:w="1156" w:type="dxa"/>
            <w:tcBorders>
              <w:top w:val="nil"/>
              <w:left w:val="nil"/>
              <w:bottom w:val="nil"/>
              <w:right w:val="nil"/>
            </w:tcBorders>
            <w:shd w:val="clear" w:color="auto" w:fill="auto"/>
            <w:vAlign w:val="bottom"/>
          </w:tcPr>
          <w:p w14:paraId="7106B4E6"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153.961</w:t>
            </w:r>
          </w:p>
        </w:tc>
        <w:tc>
          <w:tcPr>
            <w:tcW w:w="1156" w:type="dxa"/>
            <w:tcBorders>
              <w:top w:val="nil"/>
              <w:left w:val="nil"/>
              <w:bottom w:val="nil"/>
              <w:right w:val="nil"/>
            </w:tcBorders>
            <w:vAlign w:val="bottom"/>
          </w:tcPr>
          <w:p w14:paraId="2956C3C8"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w:t>
            </w:r>
          </w:p>
        </w:tc>
      </w:tr>
      <w:tr w:rsidR="004E2F51" w:rsidRPr="00B37DA4" w14:paraId="6F941CC0" w14:textId="77777777" w:rsidTr="00E032FC">
        <w:trPr>
          <w:trHeight w:val="229"/>
        </w:trPr>
        <w:tc>
          <w:tcPr>
            <w:tcW w:w="3912" w:type="dxa"/>
            <w:gridSpan w:val="3"/>
            <w:tcBorders>
              <w:top w:val="nil"/>
              <w:left w:val="nil"/>
              <w:bottom w:val="nil"/>
              <w:right w:val="nil"/>
            </w:tcBorders>
            <w:shd w:val="clear" w:color="auto" w:fill="auto"/>
            <w:noWrap/>
            <w:vAlign w:val="bottom"/>
            <w:hideMark/>
          </w:tcPr>
          <w:p w14:paraId="5301D50D" w14:textId="77777777" w:rsidR="004E2F51" w:rsidRPr="00B37DA4" w:rsidRDefault="004E2F51" w:rsidP="00E032FC">
            <w:pPr>
              <w:rPr>
                <w:rFonts w:ascii="Arial" w:eastAsia="Calibri" w:hAnsi="Arial" w:cs="Arial"/>
                <w:i/>
                <w:iCs/>
                <w:color w:val="000000"/>
                <w:sz w:val="16"/>
                <w:szCs w:val="16"/>
                <w:lang w:val="hr-HR"/>
              </w:rPr>
            </w:pPr>
            <w:r w:rsidRPr="00B37DA4">
              <w:rPr>
                <w:rFonts w:ascii="Arial" w:eastAsia="Calibri" w:hAnsi="Arial" w:cs="Arial"/>
                <w:i/>
                <w:iCs/>
                <w:color w:val="000000"/>
                <w:sz w:val="16"/>
                <w:szCs w:val="16"/>
                <w:lang w:val="hr-HR"/>
              </w:rPr>
              <w:t>Obveznice Republike Hrvatske u valuti:</w:t>
            </w:r>
          </w:p>
        </w:tc>
        <w:tc>
          <w:tcPr>
            <w:tcW w:w="1123" w:type="dxa"/>
            <w:tcBorders>
              <w:top w:val="nil"/>
              <w:left w:val="nil"/>
              <w:bottom w:val="nil"/>
              <w:right w:val="nil"/>
            </w:tcBorders>
            <w:shd w:val="clear" w:color="auto" w:fill="auto"/>
            <w:noWrap/>
            <w:vAlign w:val="bottom"/>
            <w:hideMark/>
          </w:tcPr>
          <w:p w14:paraId="08573F66" w14:textId="77777777" w:rsidR="004E2F51" w:rsidRPr="00B37DA4" w:rsidRDefault="004E2F51" w:rsidP="00E032FC">
            <w:pPr>
              <w:rPr>
                <w:rFonts w:ascii="Arial" w:eastAsia="Calibri" w:hAnsi="Arial" w:cs="Arial"/>
                <w:i/>
                <w:iCs/>
                <w:color w:val="000000"/>
                <w:sz w:val="16"/>
                <w:szCs w:val="16"/>
                <w:lang w:val="hr-HR"/>
              </w:rPr>
            </w:pPr>
          </w:p>
        </w:tc>
        <w:tc>
          <w:tcPr>
            <w:tcW w:w="1197" w:type="dxa"/>
            <w:tcBorders>
              <w:top w:val="nil"/>
              <w:left w:val="nil"/>
              <w:bottom w:val="nil"/>
              <w:right w:val="nil"/>
            </w:tcBorders>
            <w:shd w:val="clear" w:color="auto" w:fill="auto"/>
            <w:noWrap/>
            <w:vAlign w:val="bottom"/>
            <w:hideMark/>
          </w:tcPr>
          <w:p w14:paraId="1627EBAC" w14:textId="77777777" w:rsidR="004E2F51" w:rsidRPr="00B37DA4" w:rsidRDefault="004E2F51" w:rsidP="00E032FC">
            <w:pPr>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1488E121" w14:textId="77777777" w:rsidR="004E2F51" w:rsidRPr="00B37DA4" w:rsidRDefault="004E2F51" w:rsidP="00E032FC">
            <w:pPr>
              <w:jc w:val="right"/>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623178F1" w14:textId="77777777" w:rsidR="004E2F51" w:rsidRPr="00B37DA4" w:rsidRDefault="004E2F51" w:rsidP="00E032FC">
            <w:pPr>
              <w:jc w:val="right"/>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1EF99A1B" w14:textId="77777777" w:rsidR="004E2F51" w:rsidRPr="00B37DA4" w:rsidRDefault="004E2F51" w:rsidP="00E032FC">
            <w:pPr>
              <w:jc w:val="right"/>
              <w:rPr>
                <w:rFonts w:ascii="Arial" w:eastAsia="Calibri" w:hAnsi="Arial" w:cs="Arial"/>
                <w:color w:val="000000"/>
                <w:sz w:val="16"/>
                <w:szCs w:val="16"/>
                <w:lang w:val="hr-HR" w:eastAsia="hr-HR"/>
              </w:rPr>
            </w:pPr>
          </w:p>
        </w:tc>
        <w:tc>
          <w:tcPr>
            <w:tcW w:w="1156" w:type="dxa"/>
            <w:tcBorders>
              <w:top w:val="nil"/>
              <w:left w:val="nil"/>
              <w:bottom w:val="nil"/>
              <w:right w:val="nil"/>
            </w:tcBorders>
            <w:shd w:val="clear" w:color="auto" w:fill="auto"/>
            <w:vAlign w:val="bottom"/>
          </w:tcPr>
          <w:p w14:paraId="6899CE81" w14:textId="77777777" w:rsidR="004E2F51" w:rsidRPr="00B37DA4" w:rsidRDefault="004E2F51" w:rsidP="00E032FC">
            <w:pPr>
              <w:rPr>
                <w:rFonts w:ascii="Arial" w:eastAsia="Calibri" w:hAnsi="Arial" w:cs="Arial"/>
                <w:color w:val="000000"/>
                <w:sz w:val="16"/>
                <w:szCs w:val="16"/>
                <w:lang w:val="hr-HR"/>
              </w:rPr>
            </w:pPr>
          </w:p>
        </w:tc>
      </w:tr>
      <w:tr w:rsidR="004E2F51" w:rsidRPr="00B37DA4" w14:paraId="1C969219" w14:textId="77777777" w:rsidTr="00E032FC">
        <w:trPr>
          <w:trHeight w:val="229"/>
        </w:trPr>
        <w:tc>
          <w:tcPr>
            <w:tcW w:w="2693" w:type="dxa"/>
            <w:tcBorders>
              <w:top w:val="nil"/>
              <w:left w:val="nil"/>
              <w:bottom w:val="nil"/>
              <w:right w:val="nil"/>
            </w:tcBorders>
            <w:shd w:val="clear" w:color="auto" w:fill="auto"/>
            <w:noWrap/>
            <w:vAlign w:val="bottom"/>
            <w:hideMark/>
          </w:tcPr>
          <w:p w14:paraId="201FF58D"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XS1117298916</w:t>
            </w:r>
          </w:p>
        </w:tc>
        <w:tc>
          <w:tcPr>
            <w:tcW w:w="1219" w:type="dxa"/>
            <w:gridSpan w:val="2"/>
            <w:tcBorders>
              <w:top w:val="nil"/>
              <w:left w:val="nil"/>
              <w:bottom w:val="nil"/>
              <w:right w:val="nil"/>
            </w:tcBorders>
            <w:shd w:val="clear" w:color="auto" w:fill="auto"/>
            <w:noWrap/>
            <w:vAlign w:val="bottom"/>
            <w:hideMark/>
          </w:tcPr>
          <w:p w14:paraId="051BE92F"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11.3.2015.</w:t>
            </w:r>
          </w:p>
        </w:tc>
        <w:tc>
          <w:tcPr>
            <w:tcW w:w="1123" w:type="dxa"/>
            <w:tcBorders>
              <w:top w:val="nil"/>
              <w:left w:val="nil"/>
              <w:bottom w:val="nil"/>
              <w:right w:val="nil"/>
            </w:tcBorders>
            <w:shd w:val="clear" w:color="auto" w:fill="auto"/>
            <w:noWrap/>
            <w:vAlign w:val="bottom"/>
            <w:hideMark/>
          </w:tcPr>
          <w:p w14:paraId="1ACD6414"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11.3.2025.</w:t>
            </w:r>
          </w:p>
        </w:tc>
        <w:tc>
          <w:tcPr>
            <w:tcW w:w="1197" w:type="dxa"/>
            <w:tcBorders>
              <w:top w:val="nil"/>
              <w:left w:val="nil"/>
              <w:bottom w:val="nil"/>
              <w:right w:val="nil"/>
            </w:tcBorders>
            <w:shd w:val="clear" w:color="auto" w:fill="auto"/>
            <w:noWrap/>
            <w:vAlign w:val="bottom"/>
            <w:hideMark/>
          </w:tcPr>
          <w:p w14:paraId="548508FD"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3,0</w:t>
            </w:r>
          </w:p>
        </w:tc>
        <w:tc>
          <w:tcPr>
            <w:tcW w:w="1156" w:type="dxa"/>
            <w:tcBorders>
              <w:top w:val="nil"/>
              <w:left w:val="nil"/>
              <w:bottom w:val="nil"/>
              <w:right w:val="nil"/>
            </w:tcBorders>
            <w:vAlign w:val="bottom"/>
          </w:tcPr>
          <w:p w14:paraId="0EB6B4D2"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285.076</w:t>
            </w:r>
          </w:p>
        </w:tc>
        <w:tc>
          <w:tcPr>
            <w:tcW w:w="1156" w:type="dxa"/>
            <w:tcBorders>
              <w:top w:val="nil"/>
              <w:left w:val="nil"/>
              <w:bottom w:val="nil"/>
              <w:right w:val="nil"/>
            </w:tcBorders>
            <w:vAlign w:val="bottom"/>
          </w:tcPr>
          <w:p w14:paraId="124386C7"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312.397</w:t>
            </w:r>
          </w:p>
        </w:tc>
        <w:tc>
          <w:tcPr>
            <w:tcW w:w="1156" w:type="dxa"/>
            <w:tcBorders>
              <w:top w:val="nil"/>
              <w:left w:val="nil"/>
              <w:bottom w:val="nil"/>
              <w:right w:val="nil"/>
            </w:tcBorders>
            <w:shd w:val="clear" w:color="auto" w:fill="auto"/>
            <w:vAlign w:val="bottom"/>
          </w:tcPr>
          <w:p w14:paraId="43963365"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285.076</w:t>
            </w:r>
          </w:p>
        </w:tc>
        <w:tc>
          <w:tcPr>
            <w:tcW w:w="1156" w:type="dxa"/>
            <w:tcBorders>
              <w:top w:val="nil"/>
              <w:left w:val="nil"/>
              <w:bottom w:val="nil"/>
              <w:right w:val="nil"/>
            </w:tcBorders>
            <w:shd w:val="clear" w:color="auto" w:fill="auto"/>
            <w:vAlign w:val="bottom"/>
          </w:tcPr>
          <w:p w14:paraId="743E7EE2"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eastAsia="hr-HR"/>
              </w:rPr>
              <w:t>312.397</w:t>
            </w:r>
          </w:p>
        </w:tc>
      </w:tr>
      <w:tr w:rsidR="004E2F51" w:rsidRPr="00B37DA4" w14:paraId="7BDDC9E2" w14:textId="77777777" w:rsidTr="00E032FC">
        <w:trPr>
          <w:trHeight w:val="229"/>
        </w:trPr>
        <w:tc>
          <w:tcPr>
            <w:tcW w:w="2693" w:type="dxa"/>
            <w:tcBorders>
              <w:top w:val="nil"/>
              <w:left w:val="nil"/>
              <w:bottom w:val="nil"/>
              <w:right w:val="nil"/>
            </w:tcBorders>
            <w:shd w:val="clear" w:color="auto" w:fill="auto"/>
            <w:noWrap/>
            <w:vAlign w:val="bottom"/>
          </w:tcPr>
          <w:p w14:paraId="576F956F"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XS1843434876</w:t>
            </w:r>
          </w:p>
        </w:tc>
        <w:tc>
          <w:tcPr>
            <w:tcW w:w="1219" w:type="dxa"/>
            <w:gridSpan w:val="2"/>
            <w:tcBorders>
              <w:top w:val="nil"/>
              <w:left w:val="nil"/>
              <w:bottom w:val="nil"/>
              <w:right w:val="nil"/>
            </w:tcBorders>
            <w:shd w:val="clear" w:color="auto" w:fill="auto"/>
            <w:noWrap/>
            <w:vAlign w:val="bottom"/>
          </w:tcPr>
          <w:p w14:paraId="6EC4A0AF"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19.6.2019.</w:t>
            </w:r>
          </w:p>
        </w:tc>
        <w:tc>
          <w:tcPr>
            <w:tcW w:w="1123" w:type="dxa"/>
            <w:tcBorders>
              <w:top w:val="nil"/>
              <w:left w:val="nil"/>
              <w:bottom w:val="nil"/>
              <w:right w:val="nil"/>
            </w:tcBorders>
            <w:shd w:val="clear" w:color="auto" w:fill="auto"/>
            <w:noWrap/>
            <w:vAlign w:val="bottom"/>
          </w:tcPr>
          <w:p w14:paraId="08553FDB"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19.6.2029.</w:t>
            </w:r>
          </w:p>
        </w:tc>
        <w:tc>
          <w:tcPr>
            <w:tcW w:w="1197" w:type="dxa"/>
            <w:tcBorders>
              <w:top w:val="nil"/>
              <w:left w:val="nil"/>
              <w:bottom w:val="nil"/>
              <w:right w:val="nil"/>
            </w:tcBorders>
            <w:shd w:val="clear" w:color="auto" w:fill="auto"/>
            <w:noWrap/>
            <w:vAlign w:val="bottom"/>
          </w:tcPr>
          <w:p w14:paraId="497F65C9"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1,125</w:t>
            </w:r>
          </w:p>
        </w:tc>
        <w:tc>
          <w:tcPr>
            <w:tcW w:w="1156" w:type="dxa"/>
            <w:tcBorders>
              <w:top w:val="nil"/>
              <w:left w:val="nil"/>
              <w:bottom w:val="nil"/>
              <w:right w:val="nil"/>
            </w:tcBorders>
            <w:shd w:val="clear" w:color="auto" w:fill="auto"/>
            <w:vAlign w:val="bottom"/>
          </w:tcPr>
          <w:p w14:paraId="3770B6D2"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12.776</w:t>
            </w:r>
          </w:p>
        </w:tc>
        <w:tc>
          <w:tcPr>
            <w:tcW w:w="1156" w:type="dxa"/>
            <w:tcBorders>
              <w:top w:val="nil"/>
              <w:left w:val="nil"/>
              <w:bottom w:val="nil"/>
              <w:right w:val="nil"/>
            </w:tcBorders>
            <w:vAlign w:val="bottom"/>
          </w:tcPr>
          <w:p w14:paraId="7A227838"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15.301</w:t>
            </w:r>
          </w:p>
        </w:tc>
        <w:tc>
          <w:tcPr>
            <w:tcW w:w="1156" w:type="dxa"/>
            <w:tcBorders>
              <w:top w:val="nil"/>
              <w:left w:val="nil"/>
              <w:bottom w:val="nil"/>
              <w:right w:val="nil"/>
            </w:tcBorders>
            <w:shd w:val="clear" w:color="auto" w:fill="auto"/>
            <w:vAlign w:val="bottom"/>
          </w:tcPr>
          <w:p w14:paraId="176AE5B2"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12.776</w:t>
            </w:r>
          </w:p>
        </w:tc>
        <w:tc>
          <w:tcPr>
            <w:tcW w:w="1156" w:type="dxa"/>
            <w:tcBorders>
              <w:top w:val="nil"/>
              <w:left w:val="nil"/>
              <w:bottom w:val="nil"/>
              <w:right w:val="nil"/>
            </w:tcBorders>
            <w:shd w:val="clear" w:color="auto" w:fill="auto"/>
            <w:vAlign w:val="bottom"/>
          </w:tcPr>
          <w:p w14:paraId="7AFAA01F"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eastAsia="hr-HR"/>
              </w:rPr>
              <w:t>15.301</w:t>
            </w:r>
          </w:p>
        </w:tc>
      </w:tr>
      <w:tr w:rsidR="004E2F51" w:rsidRPr="00B37DA4" w14:paraId="3115D7B8" w14:textId="77777777" w:rsidTr="00E032FC">
        <w:trPr>
          <w:trHeight w:val="229"/>
        </w:trPr>
        <w:tc>
          <w:tcPr>
            <w:tcW w:w="2693" w:type="dxa"/>
            <w:tcBorders>
              <w:top w:val="nil"/>
              <w:left w:val="nil"/>
              <w:bottom w:val="nil"/>
              <w:right w:val="nil"/>
            </w:tcBorders>
            <w:shd w:val="clear" w:color="auto" w:fill="auto"/>
            <w:noWrap/>
            <w:vAlign w:val="bottom"/>
          </w:tcPr>
          <w:p w14:paraId="0696D06D" w14:textId="77777777" w:rsidR="004E2F51" w:rsidRPr="00B37DA4" w:rsidRDefault="004E2F51" w:rsidP="00E032FC">
            <w:pPr>
              <w:jc w:val="right"/>
              <w:rPr>
                <w:rFonts w:ascii="Arial" w:eastAsia="Calibri" w:hAnsi="Arial" w:cs="Arial"/>
                <w:sz w:val="16"/>
                <w:szCs w:val="16"/>
                <w:lang w:val="hr-HR"/>
              </w:rPr>
            </w:pPr>
            <w:r w:rsidRPr="00B37DA4">
              <w:rPr>
                <w:rFonts w:ascii="Arial" w:eastAsia="Calibri" w:hAnsi="Arial" w:cs="Arial"/>
                <w:sz w:val="16"/>
                <w:szCs w:val="16"/>
                <w:lang w:val="hr-HR"/>
              </w:rPr>
              <w:t>XS1028953989</w:t>
            </w:r>
          </w:p>
        </w:tc>
        <w:tc>
          <w:tcPr>
            <w:tcW w:w="1219" w:type="dxa"/>
            <w:gridSpan w:val="2"/>
            <w:tcBorders>
              <w:top w:val="nil"/>
              <w:left w:val="nil"/>
              <w:bottom w:val="nil"/>
              <w:right w:val="nil"/>
            </w:tcBorders>
            <w:shd w:val="clear" w:color="auto" w:fill="auto"/>
            <w:vAlign w:val="bottom"/>
          </w:tcPr>
          <w:p w14:paraId="62C699AC" w14:textId="77777777" w:rsidR="004E2F51" w:rsidRPr="00B37DA4" w:rsidRDefault="004E2F51" w:rsidP="00E032FC">
            <w:pPr>
              <w:jc w:val="right"/>
              <w:rPr>
                <w:rFonts w:ascii="Arial" w:eastAsia="Calibri" w:hAnsi="Arial" w:cs="Arial"/>
                <w:color w:val="FF0000"/>
                <w:sz w:val="16"/>
                <w:szCs w:val="16"/>
                <w:lang w:val="hr-HR"/>
              </w:rPr>
            </w:pPr>
            <w:r w:rsidRPr="00B37DA4">
              <w:rPr>
                <w:rFonts w:ascii="Arial" w:eastAsia="Calibri" w:hAnsi="Arial" w:cs="Arial"/>
                <w:sz w:val="16"/>
                <w:szCs w:val="16"/>
                <w:lang w:val="hr-HR"/>
              </w:rPr>
              <w:t>29.5.2014.</w:t>
            </w:r>
          </w:p>
        </w:tc>
        <w:tc>
          <w:tcPr>
            <w:tcW w:w="1123" w:type="dxa"/>
            <w:tcBorders>
              <w:top w:val="nil"/>
              <w:left w:val="nil"/>
              <w:bottom w:val="nil"/>
              <w:right w:val="nil"/>
            </w:tcBorders>
            <w:shd w:val="clear" w:color="auto" w:fill="auto"/>
            <w:noWrap/>
            <w:vAlign w:val="bottom"/>
          </w:tcPr>
          <w:p w14:paraId="78023E89" w14:textId="77777777" w:rsidR="004E2F51" w:rsidRPr="00B37DA4" w:rsidRDefault="004E2F51" w:rsidP="00E032FC">
            <w:pPr>
              <w:jc w:val="right"/>
              <w:rPr>
                <w:rFonts w:ascii="Arial" w:eastAsia="Calibri" w:hAnsi="Arial" w:cs="Arial"/>
                <w:i/>
                <w:iCs/>
                <w:color w:val="000000"/>
                <w:sz w:val="16"/>
                <w:szCs w:val="16"/>
                <w:lang w:val="hr-HR"/>
              </w:rPr>
            </w:pPr>
            <w:r w:rsidRPr="00B37DA4">
              <w:rPr>
                <w:rFonts w:ascii="Arial" w:eastAsia="Calibri" w:hAnsi="Arial" w:cs="Arial"/>
                <w:sz w:val="16"/>
                <w:szCs w:val="16"/>
                <w:lang w:val="hr-HR"/>
              </w:rPr>
              <w:t>30..5.2022.</w:t>
            </w:r>
          </w:p>
        </w:tc>
        <w:tc>
          <w:tcPr>
            <w:tcW w:w="1197" w:type="dxa"/>
            <w:tcBorders>
              <w:top w:val="nil"/>
              <w:left w:val="nil"/>
              <w:bottom w:val="nil"/>
              <w:right w:val="nil"/>
            </w:tcBorders>
            <w:shd w:val="clear" w:color="auto" w:fill="auto"/>
            <w:noWrap/>
            <w:vAlign w:val="bottom"/>
          </w:tcPr>
          <w:p w14:paraId="092612EC"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sz w:val="16"/>
                <w:szCs w:val="16"/>
                <w:lang w:val="hr-HR"/>
              </w:rPr>
              <w:t>3,875</w:t>
            </w:r>
          </w:p>
        </w:tc>
        <w:tc>
          <w:tcPr>
            <w:tcW w:w="1156" w:type="dxa"/>
            <w:tcBorders>
              <w:top w:val="nil"/>
              <w:left w:val="nil"/>
              <w:bottom w:val="nil"/>
              <w:right w:val="nil"/>
            </w:tcBorders>
            <w:shd w:val="clear" w:color="auto" w:fill="auto"/>
            <w:vAlign w:val="bottom"/>
          </w:tcPr>
          <w:p w14:paraId="14B092AC"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w:t>
            </w:r>
          </w:p>
        </w:tc>
        <w:tc>
          <w:tcPr>
            <w:tcW w:w="1156" w:type="dxa"/>
            <w:tcBorders>
              <w:top w:val="nil"/>
              <w:left w:val="nil"/>
              <w:bottom w:val="nil"/>
              <w:right w:val="nil"/>
            </w:tcBorders>
            <w:vAlign w:val="bottom"/>
          </w:tcPr>
          <w:p w14:paraId="54F78708"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54.241</w:t>
            </w:r>
          </w:p>
        </w:tc>
        <w:tc>
          <w:tcPr>
            <w:tcW w:w="1156" w:type="dxa"/>
            <w:tcBorders>
              <w:top w:val="nil"/>
              <w:left w:val="nil"/>
              <w:bottom w:val="nil"/>
              <w:right w:val="nil"/>
            </w:tcBorders>
            <w:shd w:val="clear" w:color="auto" w:fill="auto"/>
            <w:vAlign w:val="bottom"/>
          </w:tcPr>
          <w:p w14:paraId="370420BD"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w:t>
            </w:r>
          </w:p>
        </w:tc>
        <w:tc>
          <w:tcPr>
            <w:tcW w:w="1156" w:type="dxa"/>
            <w:tcBorders>
              <w:top w:val="nil"/>
              <w:left w:val="nil"/>
              <w:bottom w:val="nil"/>
              <w:right w:val="nil"/>
            </w:tcBorders>
            <w:shd w:val="clear" w:color="auto" w:fill="auto"/>
            <w:vAlign w:val="bottom"/>
          </w:tcPr>
          <w:p w14:paraId="3468BC8A"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eastAsia="hr-HR"/>
              </w:rPr>
              <w:t>54.241</w:t>
            </w:r>
          </w:p>
        </w:tc>
      </w:tr>
      <w:tr w:rsidR="004E2F51" w:rsidRPr="00B37DA4" w14:paraId="52550DEA" w14:textId="77777777" w:rsidTr="00E032FC">
        <w:trPr>
          <w:trHeight w:val="229"/>
        </w:trPr>
        <w:tc>
          <w:tcPr>
            <w:tcW w:w="3912" w:type="dxa"/>
            <w:gridSpan w:val="3"/>
            <w:tcBorders>
              <w:top w:val="nil"/>
              <w:left w:val="nil"/>
              <w:bottom w:val="nil"/>
              <w:right w:val="nil"/>
            </w:tcBorders>
            <w:shd w:val="clear" w:color="auto" w:fill="auto"/>
            <w:noWrap/>
            <w:vAlign w:val="bottom"/>
            <w:hideMark/>
          </w:tcPr>
          <w:p w14:paraId="2E0182AA" w14:textId="77777777" w:rsidR="004E2F51" w:rsidRPr="00B37DA4" w:rsidRDefault="004E2F51" w:rsidP="00E032FC">
            <w:pPr>
              <w:rPr>
                <w:rFonts w:ascii="Arial" w:eastAsia="Calibri" w:hAnsi="Arial" w:cs="Arial"/>
                <w:i/>
                <w:iCs/>
                <w:color w:val="000000"/>
                <w:sz w:val="16"/>
                <w:szCs w:val="16"/>
                <w:lang w:val="hr-HR"/>
              </w:rPr>
            </w:pPr>
            <w:r w:rsidRPr="00B37DA4">
              <w:rPr>
                <w:rFonts w:ascii="Arial" w:eastAsia="Calibri" w:hAnsi="Arial" w:cs="Arial"/>
                <w:i/>
                <w:iCs/>
                <w:color w:val="000000"/>
                <w:sz w:val="16"/>
                <w:szCs w:val="16"/>
                <w:lang w:val="hr-HR"/>
              </w:rPr>
              <w:t>Obveznice Republike Hrvatske u kunama:</w:t>
            </w:r>
          </w:p>
        </w:tc>
        <w:tc>
          <w:tcPr>
            <w:tcW w:w="1123" w:type="dxa"/>
            <w:tcBorders>
              <w:top w:val="nil"/>
              <w:left w:val="nil"/>
              <w:bottom w:val="nil"/>
              <w:right w:val="nil"/>
            </w:tcBorders>
            <w:shd w:val="clear" w:color="auto" w:fill="auto"/>
            <w:noWrap/>
            <w:vAlign w:val="bottom"/>
            <w:hideMark/>
          </w:tcPr>
          <w:p w14:paraId="0AFE7EEA" w14:textId="77777777" w:rsidR="004E2F51" w:rsidRPr="00B37DA4" w:rsidRDefault="004E2F51" w:rsidP="00E032FC">
            <w:pPr>
              <w:rPr>
                <w:rFonts w:ascii="Arial" w:eastAsia="Calibri" w:hAnsi="Arial" w:cs="Arial"/>
                <w:i/>
                <w:iCs/>
                <w:color w:val="000000"/>
                <w:sz w:val="16"/>
                <w:szCs w:val="16"/>
                <w:lang w:val="hr-HR"/>
              </w:rPr>
            </w:pPr>
          </w:p>
        </w:tc>
        <w:tc>
          <w:tcPr>
            <w:tcW w:w="1197" w:type="dxa"/>
            <w:tcBorders>
              <w:top w:val="nil"/>
              <w:left w:val="nil"/>
              <w:bottom w:val="nil"/>
              <w:right w:val="nil"/>
            </w:tcBorders>
            <w:shd w:val="clear" w:color="auto" w:fill="auto"/>
            <w:noWrap/>
            <w:vAlign w:val="bottom"/>
            <w:hideMark/>
          </w:tcPr>
          <w:p w14:paraId="6057919A" w14:textId="77777777" w:rsidR="004E2F51" w:rsidRPr="00B37DA4" w:rsidRDefault="004E2F51" w:rsidP="00E032FC">
            <w:pPr>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1A799C6F" w14:textId="77777777" w:rsidR="004E2F51" w:rsidRPr="00B37DA4" w:rsidRDefault="004E2F51" w:rsidP="00E032FC">
            <w:pPr>
              <w:jc w:val="right"/>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46731FD9" w14:textId="77777777" w:rsidR="004E2F51" w:rsidRPr="00B37DA4" w:rsidRDefault="004E2F51" w:rsidP="00E032FC">
            <w:pPr>
              <w:jc w:val="right"/>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49999349" w14:textId="77777777" w:rsidR="004E2F51" w:rsidRPr="00B37DA4" w:rsidRDefault="004E2F51" w:rsidP="00E032FC">
            <w:pPr>
              <w:jc w:val="right"/>
              <w:rPr>
                <w:rFonts w:ascii="Arial" w:eastAsia="Calibri" w:hAnsi="Arial" w:cs="Arial"/>
                <w:color w:val="000000"/>
                <w:sz w:val="16"/>
                <w:szCs w:val="16"/>
                <w:lang w:val="hr-HR" w:eastAsia="hr-HR"/>
              </w:rPr>
            </w:pPr>
          </w:p>
        </w:tc>
        <w:tc>
          <w:tcPr>
            <w:tcW w:w="1156" w:type="dxa"/>
            <w:tcBorders>
              <w:top w:val="nil"/>
              <w:left w:val="nil"/>
              <w:bottom w:val="nil"/>
              <w:right w:val="nil"/>
            </w:tcBorders>
            <w:shd w:val="clear" w:color="auto" w:fill="auto"/>
            <w:vAlign w:val="bottom"/>
          </w:tcPr>
          <w:p w14:paraId="23B42DFD" w14:textId="77777777" w:rsidR="004E2F51" w:rsidRPr="00B37DA4" w:rsidRDefault="004E2F51" w:rsidP="00E032FC">
            <w:pPr>
              <w:jc w:val="center"/>
              <w:rPr>
                <w:rFonts w:ascii="Arial" w:eastAsia="Calibri" w:hAnsi="Arial" w:cs="Arial"/>
                <w:color w:val="000000"/>
                <w:sz w:val="16"/>
                <w:szCs w:val="16"/>
                <w:lang w:val="hr-HR"/>
              </w:rPr>
            </w:pPr>
          </w:p>
        </w:tc>
      </w:tr>
      <w:tr w:rsidR="004E2F51" w:rsidRPr="00B37DA4" w14:paraId="3AFF385F" w14:textId="77777777" w:rsidTr="00E032FC">
        <w:trPr>
          <w:trHeight w:val="229"/>
        </w:trPr>
        <w:tc>
          <w:tcPr>
            <w:tcW w:w="2693" w:type="dxa"/>
            <w:tcBorders>
              <w:top w:val="nil"/>
              <w:left w:val="nil"/>
              <w:bottom w:val="nil"/>
              <w:right w:val="nil"/>
            </w:tcBorders>
            <w:shd w:val="clear" w:color="auto" w:fill="auto"/>
            <w:noWrap/>
            <w:vAlign w:val="bottom"/>
            <w:hideMark/>
          </w:tcPr>
          <w:p w14:paraId="24039D08"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RHMF-O-257A</w:t>
            </w:r>
          </w:p>
        </w:tc>
        <w:tc>
          <w:tcPr>
            <w:tcW w:w="1219" w:type="dxa"/>
            <w:gridSpan w:val="2"/>
            <w:tcBorders>
              <w:top w:val="nil"/>
              <w:left w:val="nil"/>
              <w:bottom w:val="nil"/>
              <w:right w:val="nil"/>
            </w:tcBorders>
            <w:shd w:val="clear" w:color="auto" w:fill="auto"/>
            <w:noWrap/>
            <w:vAlign w:val="bottom"/>
            <w:hideMark/>
          </w:tcPr>
          <w:p w14:paraId="39ABF946"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9.7.2015.</w:t>
            </w:r>
          </w:p>
        </w:tc>
        <w:tc>
          <w:tcPr>
            <w:tcW w:w="1123" w:type="dxa"/>
            <w:tcBorders>
              <w:top w:val="nil"/>
              <w:left w:val="nil"/>
              <w:bottom w:val="nil"/>
              <w:right w:val="nil"/>
            </w:tcBorders>
            <w:shd w:val="clear" w:color="auto" w:fill="auto"/>
            <w:noWrap/>
            <w:vAlign w:val="bottom"/>
            <w:hideMark/>
          </w:tcPr>
          <w:p w14:paraId="1586C335"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9.7.2025.</w:t>
            </w:r>
          </w:p>
        </w:tc>
        <w:tc>
          <w:tcPr>
            <w:tcW w:w="1197" w:type="dxa"/>
            <w:tcBorders>
              <w:top w:val="nil"/>
              <w:left w:val="nil"/>
              <w:bottom w:val="nil"/>
              <w:right w:val="nil"/>
            </w:tcBorders>
            <w:shd w:val="clear" w:color="auto" w:fill="auto"/>
            <w:noWrap/>
            <w:vAlign w:val="bottom"/>
            <w:hideMark/>
          </w:tcPr>
          <w:p w14:paraId="6DFB7462"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4,5</w:t>
            </w:r>
          </w:p>
        </w:tc>
        <w:tc>
          <w:tcPr>
            <w:tcW w:w="1156" w:type="dxa"/>
            <w:tcBorders>
              <w:top w:val="nil"/>
              <w:left w:val="nil"/>
              <w:bottom w:val="nil"/>
              <w:right w:val="nil"/>
            </w:tcBorders>
            <w:vAlign w:val="bottom"/>
          </w:tcPr>
          <w:p w14:paraId="62ACD347"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8.716</w:t>
            </w:r>
          </w:p>
        </w:tc>
        <w:tc>
          <w:tcPr>
            <w:tcW w:w="1156" w:type="dxa"/>
            <w:tcBorders>
              <w:top w:val="nil"/>
              <w:left w:val="nil"/>
              <w:bottom w:val="nil"/>
              <w:right w:val="nil"/>
            </w:tcBorders>
            <w:vAlign w:val="bottom"/>
          </w:tcPr>
          <w:p w14:paraId="1B32386A"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9.648</w:t>
            </w:r>
          </w:p>
        </w:tc>
        <w:tc>
          <w:tcPr>
            <w:tcW w:w="1156" w:type="dxa"/>
            <w:tcBorders>
              <w:top w:val="nil"/>
              <w:left w:val="nil"/>
              <w:bottom w:val="nil"/>
              <w:right w:val="nil"/>
            </w:tcBorders>
            <w:shd w:val="clear" w:color="auto" w:fill="auto"/>
            <w:vAlign w:val="bottom"/>
          </w:tcPr>
          <w:p w14:paraId="70AB0A61"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w:t>
            </w:r>
          </w:p>
        </w:tc>
        <w:tc>
          <w:tcPr>
            <w:tcW w:w="1156" w:type="dxa"/>
            <w:tcBorders>
              <w:top w:val="nil"/>
              <w:left w:val="nil"/>
              <w:bottom w:val="nil"/>
              <w:right w:val="nil"/>
            </w:tcBorders>
            <w:shd w:val="clear" w:color="auto" w:fill="auto"/>
            <w:vAlign w:val="bottom"/>
          </w:tcPr>
          <w:p w14:paraId="6CBA1D34"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eastAsia="hr-HR"/>
              </w:rPr>
              <w:t>-</w:t>
            </w:r>
          </w:p>
        </w:tc>
      </w:tr>
      <w:tr w:rsidR="004E2F51" w:rsidRPr="00B37DA4" w14:paraId="2AD64533" w14:textId="77777777" w:rsidTr="00E032FC">
        <w:trPr>
          <w:trHeight w:val="229"/>
        </w:trPr>
        <w:tc>
          <w:tcPr>
            <w:tcW w:w="2693" w:type="dxa"/>
            <w:tcBorders>
              <w:top w:val="nil"/>
              <w:left w:val="nil"/>
              <w:bottom w:val="nil"/>
              <w:right w:val="nil"/>
            </w:tcBorders>
            <w:shd w:val="clear" w:color="auto" w:fill="auto"/>
            <w:noWrap/>
            <w:vAlign w:val="bottom"/>
            <w:hideMark/>
          </w:tcPr>
          <w:p w14:paraId="6C225E50"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RHMF-O-26CA</w:t>
            </w:r>
          </w:p>
        </w:tc>
        <w:tc>
          <w:tcPr>
            <w:tcW w:w="1219" w:type="dxa"/>
            <w:gridSpan w:val="2"/>
            <w:tcBorders>
              <w:top w:val="nil"/>
              <w:left w:val="nil"/>
              <w:bottom w:val="nil"/>
              <w:right w:val="nil"/>
            </w:tcBorders>
            <w:shd w:val="clear" w:color="auto" w:fill="auto"/>
            <w:noWrap/>
            <w:vAlign w:val="bottom"/>
            <w:hideMark/>
          </w:tcPr>
          <w:p w14:paraId="7D89200A"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14.12.2015.</w:t>
            </w:r>
          </w:p>
        </w:tc>
        <w:tc>
          <w:tcPr>
            <w:tcW w:w="1123" w:type="dxa"/>
            <w:tcBorders>
              <w:top w:val="nil"/>
              <w:left w:val="nil"/>
              <w:bottom w:val="nil"/>
              <w:right w:val="nil"/>
            </w:tcBorders>
            <w:shd w:val="clear" w:color="auto" w:fill="auto"/>
            <w:noWrap/>
            <w:vAlign w:val="bottom"/>
            <w:hideMark/>
          </w:tcPr>
          <w:p w14:paraId="109F1EF0"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14.12.2026.</w:t>
            </w:r>
          </w:p>
        </w:tc>
        <w:tc>
          <w:tcPr>
            <w:tcW w:w="1197" w:type="dxa"/>
            <w:tcBorders>
              <w:top w:val="nil"/>
              <w:left w:val="nil"/>
              <w:bottom w:val="nil"/>
              <w:right w:val="nil"/>
            </w:tcBorders>
            <w:shd w:val="clear" w:color="auto" w:fill="auto"/>
            <w:noWrap/>
            <w:vAlign w:val="bottom"/>
            <w:hideMark/>
          </w:tcPr>
          <w:p w14:paraId="4372A80A"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4,25</w:t>
            </w:r>
          </w:p>
        </w:tc>
        <w:tc>
          <w:tcPr>
            <w:tcW w:w="1156" w:type="dxa"/>
            <w:tcBorders>
              <w:top w:val="nil"/>
              <w:left w:val="nil"/>
              <w:bottom w:val="nil"/>
              <w:right w:val="nil"/>
            </w:tcBorders>
            <w:vAlign w:val="bottom"/>
          </w:tcPr>
          <w:p w14:paraId="20A57315"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39.294</w:t>
            </w:r>
          </w:p>
        </w:tc>
        <w:tc>
          <w:tcPr>
            <w:tcW w:w="1156" w:type="dxa"/>
            <w:tcBorders>
              <w:top w:val="nil"/>
              <w:left w:val="nil"/>
              <w:bottom w:val="nil"/>
              <w:right w:val="nil"/>
            </w:tcBorders>
            <w:vAlign w:val="bottom"/>
          </w:tcPr>
          <w:p w14:paraId="063CB23E"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45.344</w:t>
            </w:r>
          </w:p>
        </w:tc>
        <w:tc>
          <w:tcPr>
            <w:tcW w:w="1156" w:type="dxa"/>
            <w:tcBorders>
              <w:top w:val="nil"/>
              <w:left w:val="nil"/>
              <w:bottom w:val="nil"/>
              <w:right w:val="nil"/>
            </w:tcBorders>
            <w:shd w:val="clear" w:color="auto" w:fill="auto"/>
            <w:vAlign w:val="bottom"/>
          </w:tcPr>
          <w:p w14:paraId="618E9E2F"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31.041</w:t>
            </w:r>
          </w:p>
        </w:tc>
        <w:tc>
          <w:tcPr>
            <w:tcW w:w="1156" w:type="dxa"/>
            <w:tcBorders>
              <w:top w:val="nil"/>
              <w:left w:val="nil"/>
              <w:bottom w:val="nil"/>
              <w:right w:val="nil"/>
            </w:tcBorders>
            <w:shd w:val="clear" w:color="auto" w:fill="auto"/>
            <w:vAlign w:val="bottom"/>
          </w:tcPr>
          <w:p w14:paraId="37574A9D"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35.815</w:t>
            </w:r>
          </w:p>
        </w:tc>
      </w:tr>
      <w:tr w:rsidR="004E2F51" w:rsidRPr="00B37DA4" w14:paraId="0FAFBECB" w14:textId="77777777" w:rsidTr="00E032FC">
        <w:trPr>
          <w:trHeight w:val="229"/>
        </w:trPr>
        <w:tc>
          <w:tcPr>
            <w:tcW w:w="2693" w:type="dxa"/>
            <w:tcBorders>
              <w:top w:val="nil"/>
              <w:left w:val="nil"/>
              <w:bottom w:val="nil"/>
              <w:right w:val="nil"/>
            </w:tcBorders>
            <w:shd w:val="clear" w:color="auto" w:fill="auto"/>
            <w:noWrap/>
            <w:vAlign w:val="bottom"/>
          </w:tcPr>
          <w:p w14:paraId="79297909"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RHMF-O-222A</w:t>
            </w:r>
          </w:p>
        </w:tc>
        <w:tc>
          <w:tcPr>
            <w:tcW w:w="1219" w:type="dxa"/>
            <w:gridSpan w:val="2"/>
            <w:tcBorders>
              <w:top w:val="nil"/>
              <w:left w:val="nil"/>
              <w:bottom w:val="nil"/>
              <w:right w:val="nil"/>
            </w:tcBorders>
            <w:shd w:val="clear" w:color="auto" w:fill="auto"/>
            <w:noWrap/>
            <w:vAlign w:val="bottom"/>
          </w:tcPr>
          <w:p w14:paraId="4715415C"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7.2.2017.</w:t>
            </w:r>
          </w:p>
        </w:tc>
        <w:tc>
          <w:tcPr>
            <w:tcW w:w="1123" w:type="dxa"/>
            <w:tcBorders>
              <w:top w:val="nil"/>
              <w:left w:val="nil"/>
              <w:bottom w:val="nil"/>
              <w:right w:val="nil"/>
            </w:tcBorders>
            <w:shd w:val="clear" w:color="auto" w:fill="auto"/>
            <w:noWrap/>
            <w:vAlign w:val="bottom"/>
          </w:tcPr>
          <w:p w14:paraId="15794044"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7.2.2022.</w:t>
            </w:r>
          </w:p>
        </w:tc>
        <w:tc>
          <w:tcPr>
            <w:tcW w:w="1197" w:type="dxa"/>
            <w:tcBorders>
              <w:top w:val="nil"/>
              <w:left w:val="nil"/>
              <w:bottom w:val="nil"/>
              <w:right w:val="nil"/>
            </w:tcBorders>
            <w:shd w:val="clear" w:color="auto" w:fill="auto"/>
            <w:noWrap/>
            <w:vAlign w:val="bottom"/>
          </w:tcPr>
          <w:p w14:paraId="67A31C02"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2,25</w:t>
            </w:r>
          </w:p>
        </w:tc>
        <w:tc>
          <w:tcPr>
            <w:tcW w:w="1156" w:type="dxa"/>
            <w:tcBorders>
              <w:top w:val="nil"/>
              <w:left w:val="nil"/>
              <w:bottom w:val="nil"/>
              <w:right w:val="nil"/>
            </w:tcBorders>
            <w:vAlign w:val="bottom"/>
          </w:tcPr>
          <w:p w14:paraId="7776787A"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w:t>
            </w:r>
          </w:p>
        </w:tc>
        <w:tc>
          <w:tcPr>
            <w:tcW w:w="1156" w:type="dxa"/>
            <w:tcBorders>
              <w:top w:val="nil"/>
              <w:left w:val="nil"/>
              <w:bottom w:val="nil"/>
              <w:right w:val="nil"/>
            </w:tcBorders>
            <w:vAlign w:val="bottom"/>
          </w:tcPr>
          <w:p w14:paraId="16F8D4E9"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70.165</w:t>
            </w:r>
          </w:p>
        </w:tc>
        <w:tc>
          <w:tcPr>
            <w:tcW w:w="1156" w:type="dxa"/>
            <w:tcBorders>
              <w:top w:val="nil"/>
              <w:left w:val="nil"/>
              <w:bottom w:val="nil"/>
              <w:right w:val="nil"/>
            </w:tcBorders>
            <w:shd w:val="clear" w:color="auto" w:fill="auto"/>
          </w:tcPr>
          <w:p w14:paraId="630CBA65"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w:t>
            </w:r>
          </w:p>
        </w:tc>
        <w:tc>
          <w:tcPr>
            <w:tcW w:w="1156" w:type="dxa"/>
            <w:tcBorders>
              <w:top w:val="nil"/>
              <w:left w:val="nil"/>
              <w:bottom w:val="nil"/>
              <w:right w:val="nil"/>
            </w:tcBorders>
            <w:shd w:val="clear" w:color="auto" w:fill="auto"/>
            <w:vAlign w:val="bottom"/>
          </w:tcPr>
          <w:p w14:paraId="7A57A707"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70.165</w:t>
            </w:r>
          </w:p>
        </w:tc>
      </w:tr>
      <w:tr w:rsidR="004E2F51" w:rsidRPr="00B37DA4" w14:paraId="1459F1F2" w14:textId="77777777" w:rsidTr="00E032FC">
        <w:trPr>
          <w:trHeight w:val="229"/>
        </w:trPr>
        <w:tc>
          <w:tcPr>
            <w:tcW w:w="2693" w:type="dxa"/>
            <w:tcBorders>
              <w:top w:val="nil"/>
              <w:left w:val="nil"/>
              <w:bottom w:val="nil"/>
              <w:right w:val="nil"/>
            </w:tcBorders>
            <w:shd w:val="clear" w:color="auto" w:fill="auto"/>
            <w:noWrap/>
            <w:vAlign w:val="bottom"/>
          </w:tcPr>
          <w:p w14:paraId="64371FFA"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RHMF-O-282A</w:t>
            </w:r>
          </w:p>
        </w:tc>
        <w:tc>
          <w:tcPr>
            <w:tcW w:w="1219" w:type="dxa"/>
            <w:gridSpan w:val="2"/>
            <w:tcBorders>
              <w:top w:val="nil"/>
              <w:left w:val="nil"/>
              <w:bottom w:val="nil"/>
              <w:right w:val="nil"/>
            </w:tcBorders>
            <w:shd w:val="clear" w:color="auto" w:fill="auto"/>
            <w:noWrap/>
            <w:vAlign w:val="bottom"/>
          </w:tcPr>
          <w:p w14:paraId="31D2966F"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7.2.2017.</w:t>
            </w:r>
          </w:p>
        </w:tc>
        <w:tc>
          <w:tcPr>
            <w:tcW w:w="1123" w:type="dxa"/>
            <w:tcBorders>
              <w:top w:val="nil"/>
              <w:left w:val="nil"/>
              <w:bottom w:val="nil"/>
              <w:right w:val="nil"/>
            </w:tcBorders>
            <w:shd w:val="clear" w:color="auto" w:fill="auto"/>
            <w:noWrap/>
            <w:vAlign w:val="bottom"/>
          </w:tcPr>
          <w:p w14:paraId="76E1E747"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7.2.2028.</w:t>
            </w:r>
          </w:p>
        </w:tc>
        <w:tc>
          <w:tcPr>
            <w:tcW w:w="1197" w:type="dxa"/>
            <w:tcBorders>
              <w:top w:val="nil"/>
              <w:left w:val="nil"/>
              <w:bottom w:val="nil"/>
              <w:right w:val="nil"/>
            </w:tcBorders>
            <w:shd w:val="clear" w:color="auto" w:fill="auto"/>
            <w:noWrap/>
            <w:vAlign w:val="bottom"/>
          </w:tcPr>
          <w:p w14:paraId="53728F85"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2,875</w:t>
            </w:r>
          </w:p>
        </w:tc>
        <w:tc>
          <w:tcPr>
            <w:tcW w:w="1156" w:type="dxa"/>
            <w:tcBorders>
              <w:top w:val="nil"/>
              <w:left w:val="nil"/>
              <w:bottom w:val="nil"/>
              <w:right w:val="nil"/>
            </w:tcBorders>
            <w:vAlign w:val="bottom"/>
          </w:tcPr>
          <w:p w14:paraId="6CF8BD8D"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11.491</w:t>
            </w:r>
          </w:p>
        </w:tc>
        <w:tc>
          <w:tcPr>
            <w:tcW w:w="1156" w:type="dxa"/>
            <w:tcBorders>
              <w:top w:val="nil"/>
              <w:left w:val="nil"/>
              <w:bottom w:val="nil"/>
              <w:right w:val="nil"/>
            </w:tcBorders>
            <w:vAlign w:val="bottom"/>
          </w:tcPr>
          <w:p w14:paraId="1D8CBB11"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13.583</w:t>
            </w:r>
          </w:p>
        </w:tc>
        <w:tc>
          <w:tcPr>
            <w:tcW w:w="1156" w:type="dxa"/>
            <w:tcBorders>
              <w:top w:val="nil"/>
              <w:left w:val="nil"/>
              <w:bottom w:val="nil"/>
              <w:right w:val="nil"/>
            </w:tcBorders>
            <w:shd w:val="clear" w:color="auto" w:fill="auto"/>
            <w:vAlign w:val="bottom"/>
          </w:tcPr>
          <w:p w14:paraId="3AF143EF"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9.640</w:t>
            </w:r>
          </w:p>
        </w:tc>
        <w:tc>
          <w:tcPr>
            <w:tcW w:w="1156" w:type="dxa"/>
            <w:tcBorders>
              <w:top w:val="nil"/>
              <w:left w:val="nil"/>
              <w:bottom w:val="nil"/>
              <w:right w:val="nil"/>
            </w:tcBorders>
            <w:shd w:val="clear" w:color="auto" w:fill="auto"/>
            <w:vAlign w:val="bottom"/>
          </w:tcPr>
          <w:p w14:paraId="54C7E99C"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11.422</w:t>
            </w:r>
          </w:p>
        </w:tc>
      </w:tr>
      <w:tr w:rsidR="004E2F51" w:rsidRPr="00B37DA4" w14:paraId="4BC7ED8E" w14:textId="77777777" w:rsidTr="00E032FC">
        <w:trPr>
          <w:trHeight w:val="229"/>
        </w:trPr>
        <w:tc>
          <w:tcPr>
            <w:tcW w:w="2693" w:type="dxa"/>
            <w:tcBorders>
              <w:top w:val="nil"/>
              <w:left w:val="nil"/>
              <w:bottom w:val="nil"/>
              <w:right w:val="nil"/>
            </w:tcBorders>
            <w:shd w:val="clear" w:color="auto" w:fill="auto"/>
            <w:noWrap/>
            <w:vAlign w:val="bottom"/>
          </w:tcPr>
          <w:p w14:paraId="59A39672"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 xml:space="preserve"> RHMF-O-23BA</w:t>
            </w:r>
          </w:p>
        </w:tc>
        <w:tc>
          <w:tcPr>
            <w:tcW w:w="1219" w:type="dxa"/>
            <w:gridSpan w:val="2"/>
            <w:tcBorders>
              <w:top w:val="nil"/>
              <w:left w:val="nil"/>
              <w:bottom w:val="nil"/>
              <w:right w:val="nil"/>
            </w:tcBorders>
            <w:shd w:val="clear" w:color="auto" w:fill="auto"/>
            <w:noWrap/>
            <w:vAlign w:val="bottom"/>
          </w:tcPr>
          <w:p w14:paraId="73CF82D4"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27.11.2017.</w:t>
            </w:r>
          </w:p>
        </w:tc>
        <w:tc>
          <w:tcPr>
            <w:tcW w:w="1123" w:type="dxa"/>
            <w:tcBorders>
              <w:top w:val="nil"/>
              <w:left w:val="nil"/>
              <w:bottom w:val="nil"/>
              <w:right w:val="nil"/>
            </w:tcBorders>
            <w:shd w:val="clear" w:color="auto" w:fill="auto"/>
            <w:noWrap/>
            <w:vAlign w:val="bottom"/>
          </w:tcPr>
          <w:p w14:paraId="7ADB0309"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27.11.2023.</w:t>
            </w:r>
          </w:p>
        </w:tc>
        <w:tc>
          <w:tcPr>
            <w:tcW w:w="1197" w:type="dxa"/>
            <w:tcBorders>
              <w:top w:val="nil"/>
              <w:left w:val="nil"/>
              <w:bottom w:val="nil"/>
              <w:right w:val="nil"/>
            </w:tcBorders>
            <w:shd w:val="clear" w:color="auto" w:fill="auto"/>
            <w:noWrap/>
            <w:vAlign w:val="bottom"/>
          </w:tcPr>
          <w:p w14:paraId="3F107292"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1,75</w:t>
            </w:r>
          </w:p>
        </w:tc>
        <w:tc>
          <w:tcPr>
            <w:tcW w:w="1156" w:type="dxa"/>
            <w:tcBorders>
              <w:top w:val="nil"/>
              <w:left w:val="nil"/>
              <w:bottom w:val="nil"/>
              <w:right w:val="nil"/>
            </w:tcBorders>
            <w:shd w:val="clear" w:color="auto" w:fill="auto"/>
            <w:vAlign w:val="bottom"/>
          </w:tcPr>
          <w:p w14:paraId="75082014"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556.993</w:t>
            </w:r>
          </w:p>
        </w:tc>
        <w:tc>
          <w:tcPr>
            <w:tcW w:w="1156" w:type="dxa"/>
            <w:tcBorders>
              <w:top w:val="nil"/>
              <w:left w:val="nil"/>
              <w:bottom w:val="nil"/>
              <w:right w:val="nil"/>
            </w:tcBorders>
            <w:vAlign w:val="bottom"/>
          </w:tcPr>
          <w:p w14:paraId="53C3A5B0"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508.648</w:t>
            </w:r>
          </w:p>
        </w:tc>
        <w:tc>
          <w:tcPr>
            <w:tcW w:w="1156" w:type="dxa"/>
            <w:tcBorders>
              <w:top w:val="nil"/>
              <w:left w:val="nil"/>
              <w:bottom w:val="nil"/>
              <w:right w:val="nil"/>
            </w:tcBorders>
            <w:shd w:val="clear" w:color="auto" w:fill="auto"/>
            <w:vAlign w:val="bottom"/>
          </w:tcPr>
          <w:p w14:paraId="13B825AF"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556.993</w:t>
            </w:r>
          </w:p>
        </w:tc>
        <w:tc>
          <w:tcPr>
            <w:tcW w:w="1156" w:type="dxa"/>
            <w:tcBorders>
              <w:top w:val="nil"/>
              <w:left w:val="nil"/>
              <w:bottom w:val="nil"/>
              <w:right w:val="nil"/>
            </w:tcBorders>
            <w:shd w:val="clear" w:color="auto" w:fill="auto"/>
            <w:vAlign w:val="bottom"/>
          </w:tcPr>
          <w:p w14:paraId="1A8A6EC3"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508.648</w:t>
            </w:r>
          </w:p>
        </w:tc>
      </w:tr>
      <w:tr w:rsidR="004E2F51" w:rsidRPr="00B37DA4" w14:paraId="6FE94359" w14:textId="77777777" w:rsidTr="00E032FC">
        <w:trPr>
          <w:trHeight w:val="229"/>
        </w:trPr>
        <w:tc>
          <w:tcPr>
            <w:tcW w:w="2693" w:type="dxa"/>
            <w:tcBorders>
              <w:top w:val="nil"/>
              <w:left w:val="nil"/>
              <w:bottom w:val="nil"/>
              <w:right w:val="nil"/>
            </w:tcBorders>
            <w:shd w:val="clear" w:color="auto" w:fill="auto"/>
            <w:noWrap/>
            <w:vAlign w:val="bottom"/>
          </w:tcPr>
          <w:p w14:paraId="4FF13BB3"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RHMF-O-297A</w:t>
            </w:r>
          </w:p>
        </w:tc>
        <w:tc>
          <w:tcPr>
            <w:tcW w:w="1219" w:type="dxa"/>
            <w:gridSpan w:val="2"/>
            <w:tcBorders>
              <w:top w:val="nil"/>
              <w:left w:val="nil"/>
              <w:bottom w:val="nil"/>
              <w:right w:val="nil"/>
            </w:tcBorders>
            <w:shd w:val="clear" w:color="auto" w:fill="auto"/>
            <w:noWrap/>
            <w:vAlign w:val="bottom"/>
          </w:tcPr>
          <w:p w14:paraId="748C1711"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9.7.2018.</w:t>
            </w:r>
          </w:p>
        </w:tc>
        <w:tc>
          <w:tcPr>
            <w:tcW w:w="1123" w:type="dxa"/>
            <w:tcBorders>
              <w:top w:val="nil"/>
              <w:left w:val="nil"/>
              <w:bottom w:val="nil"/>
              <w:right w:val="nil"/>
            </w:tcBorders>
            <w:shd w:val="clear" w:color="auto" w:fill="auto"/>
            <w:noWrap/>
            <w:vAlign w:val="bottom"/>
          </w:tcPr>
          <w:p w14:paraId="3D5DED99"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9.7.2029.</w:t>
            </w:r>
          </w:p>
        </w:tc>
        <w:tc>
          <w:tcPr>
            <w:tcW w:w="1197" w:type="dxa"/>
            <w:tcBorders>
              <w:top w:val="nil"/>
              <w:left w:val="nil"/>
              <w:bottom w:val="nil"/>
              <w:right w:val="nil"/>
            </w:tcBorders>
            <w:shd w:val="clear" w:color="auto" w:fill="auto"/>
            <w:noWrap/>
            <w:vAlign w:val="bottom"/>
          </w:tcPr>
          <w:p w14:paraId="5770DB53"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2,38</w:t>
            </w:r>
          </w:p>
        </w:tc>
        <w:tc>
          <w:tcPr>
            <w:tcW w:w="1156" w:type="dxa"/>
            <w:tcBorders>
              <w:top w:val="nil"/>
              <w:left w:val="nil"/>
              <w:bottom w:val="nil"/>
              <w:right w:val="nil"/>
            </w:tcBorders>
            <w:vAlign w:val="bottom"/>
          </w:tcPr>
          <w:p w14:paraId="1F9AE9B4"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2.826</w:t>
            </w:r>
          </w:p>
        </w:tc>
        <w:tc>
          <w:tcPr>
            <w:tcW w:w="1156" w:type="dxa"/>
            <w:tcBorders>
              <w:top w:val="nil"/>
              <w:left w:val="nil"/>
              <w:bottom w:val="nil"/>
              <w:right w:val="nil"/>
            </w:tcBorders>
            <w:vAlign w:val="bottom"/>
          </w:tcPr>
          <w:p w14:paraId="15045D1C"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3.456</w:t>
            </w:r>
          </w:p>
        </w:tc>
        <w:tc>
          <w:tcPr>
            <w:tcW w:w="1156" w:type="dxa"/>
            <w:tcBorders>
              <w:top w:val="nil"/>
              <w:left w:val="nil"/>
              <w:bottom w:val="nil"/>
              <w:right w:val="nil"/>
            </w:tcBorders>
            <w:shd w:val="clear" w:color="auto" w:fill="auto"/>
            <w:vAlign w:val="bottom"/>
          </w:tcPr>
          <w:p w14:paraId="6374AFEB"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w:t>
            </w:r>
          </w:p>
        </w:tc>
        <w:tc>
          <w:tcPr>
            <w:tcW w:w="1156" w:type="dxa"/>
            <w:tcBorders>
              <w:top w:val="nil"/>
              <w:left w:val="nil"/>
              <w:bottom w:val="nil"/>
              <w:right w:val="nil"/>
            </w:tcBorders>
            <w:shd w:val="clear" w:color="auto" w:fill="auto"/>
            <w:vAlign w:val="bottom"/>
          </w:tcPr>
          <w:p w14:paraId="0E8DC5C8"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eastAsia="hr-HR"/>
              </w:rPr>
              <w:t>-</w:t>
            </w:r>
          </w:p>
        </w:tc>
      </w:tr>
      <w:tr w:rsidR="004E2F51" w:rsidRPr="00B37DA4" w14:paraId="34DCC08D" w14:textId="77777777" w:rsidTr="00E032FC">
        <w:trPr>
          <w:trHeight w:val="229"/>
        </w:trPr>
        <w:tc>
          <w:tcPr>
            <w:tcW w:w="2693" w:type="dxa"/>
            <w:tcBorders>
              <w:top w:val="nil"/>
              <w:left w:val="nil"/>
              <w:bottom w:val="nil"/>
              <w:right w:val="nil"/>
            </w:tcBorders>
            <w:shd w:val="clear" w:color="auto" w:fill="auto"/>
            <w:noWrap/>
            <w:vAlign w:val="bottom"/>
          </w:tcPr>
          <w:p w14:paraId="62C9A84A"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RHMF-O-34BA</w:t>
            </w:r>
          </w:p>
        </w:tc>
        <w:tc>
          <w:tcPr>
            <w:tcW w:w="1219" w:type="dxa"/>
            <w:gridSpan w:val="2"/>
            <w:tcBorders>
              <w:top w:val="nil"/>
              <w:left w:val="nil"/>
              <w:bottom w:val="nil"/>
              <w:right w:val="nil"/>
            </w:tcBorders>
            <w:shd w:val="clear" w:color="auto" w:fill="auto"/>
            <w:noWrap/>
            <w:vAlign w:val="bottom"/>
          </w:tcPr>
          <w:p w14:paraId="6D49FB91"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27.11.2019.</w:t>
            </w:r>
          </w:p>
        </w:tc>
        <w:tc>
          <w:tcPr>
            <w:tcW w:w="1123" w:type="dxa"/>
            <w:tcBorders>
              <w:top w:val="nil"/>
              <w:left w:val="nil"/>
              <w:bottom w:val="nil"/>
              <w:right w:val="nil"/>
            </w:tcBorders>
            <w:shd w:val="clear" w:color="auto" w:fill="auto"/>
            <w:noWrap/>
            <w:vAlign w:val="bottom"/>
          </w:tcPr>
          <w:p w14:paraId="4A44DDF7"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27.11.2034.</w:t>
            </w:r>
          </w:p>
        </w:tc>
        <w:tc>
          <w:tcPr>
            <w:tcW w:w="1197" w:type="dxa"/>
            <w:tcBorders>
              <w:top w:val="nil"/>
              <w:left w:val="nil"/>
              <w:bottom w:val="nil"/>
              <w:right w:val="nil"/>
            </w:tcBorders>
            <w:shd w:val="clear" w:color="auto" w:fill="auto"/>
            <w:noWrap/>
            <w:vAlign w:val="bottom"/>
          </w:tcPr>
          <w:p w14:paraId="4F0422F9"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1,00</w:t>
            </w:r>
          </w:p>
        </w:tc>
        <w:tc>
          <w:tcPr>
            <w:tcW w:w="1156" w:type="dxa"/>
            <w:tcBorders>
              <w:top w:val="nil"/>
              <w:left w:val="nil"/>
              <w:bottom w:val="nil"/>
              <w:right w:val="nil"/>
            </w:tcBorders>
            <w:vAlign w:val="bottom"/>
          </w:tcPr>
          <w:p w14:paraId="6CBE86EB"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11.885</w:t>
            </w:r>
          </w:p>
        </w:tc>
        <w:tc>
          <w:tcPr>
            <w:tcW w:w="1156" w:type="dxa"/>
            <w:tcBorders>
              <w:top w:val="nil"/>
              <w:left w:val="nil"/>
              <w:bottom w:val="nil"/>
              <w:right w:val="nil"/>
            </w:tcBorders>
            <w:vAlign w:val="bottom"/>
          </w:tcPr>
          <w:p w14:paraId="644AC4C1"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15.743</w:t>
            </w:r>
          </w:p>
        </w:tc>
        <w:tc>
          <w:tcPr>
            <w:tcW w:w="1156" w:type="dxa"/>
            <w:tcBorders>
              <w:top w:val="nil"/>
              <w:left w:val="nil"/>
              <w:bottom w:val="nil"/>
              <w:right w:val="nil"/>
            </w:tcBorders>
            <w:shd w:val="clear" w:color="auto" w:fill="auto"/>
            <w:vAlign w:val="bottom"/>
          </w:tcPr>
          <w:p w14:paraId="236B02CC"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w:t>
            </w:r>
          </w:p>
        </w:tc>
        <w:tc>
          <w:tcPr>
            <w:tcW w:w="1156" w:type="dxa"/>
            <w:tcBorders>
              <w:top w:val="nil"/>
              <w:left w:val="nil"/>
              <w:bottom w:val="nil"/>
              <w:right w:val="nil"/>
            </w:tcBorders>
            <w:shd w:val="clear" w:color="auto" w:fill="auto"/>
            <w:vAlign w:val="bottom"/>
          </w:tcPr>
          <w:p w14:paraId="5B57080D"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w:t>
            </w:r>
          </w:p>
        </w:tc>
      </w:tr>
      <w:tr w:rsidR="004E2F51" w:rsidRPr="00B37DA4" w14:paraId="13D5765B" w14:textId="77777777" w:rsidTr="00E032FC">
        <w:trPr>
          <w:trHeight w:val="229"/>
        </w:trPr>
        <w:tc>
          <w:tcPr>
            <w:tcW w:w="2693" w:type="dxa"/>
            <w:tcBorders>
              <w:top w:val="nil"/>
              <w:left w:val="nil"/>
              <w:bottom w:val="nil"/>
              <w:right w:val="nil"/>
            </w:tcBorders>
            <w:shd w:val="clear" w:color="auto" w:fill="auto"/>
            <w:noWrap/>
            <w:vAlign w:val="bottom"/>
          </w:tcPr>
          <w:p w14:paraId="13D3B54C"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RHMF-O-403E</w:t>
            </w:r>
          </w:p>
        </w:tc>
        <w:tc>
          <w:tcPr>
            <w:tcW w:w="1219" w:type="dxa"/>
            <w:gridSpan w:val="2"/>
            <w:tcBorders>
              <w:top w:val="nil"/>
              <w:left w:val="nil"/>
              <w:bottom w:val="nil"/>
              <w:right w:val="nil"/>
            </w:tcBorders>
            <w:shd w:val="clear" w:color="auto" w:fill="auto"/>
            <w:noWrap/>
            <w:vAlign w:val="bottom"/>
          </w:tcPr>
          <w:p w14:paraId="3BDED071"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3.3.2020.</w:t>
            </w:r>
          </w:p>
        </w:tc>
        <w:tc>
          <w:tcPr>
            <w:tcW w:w="1123" w:type="dxa"/>
            <w:tcBorders>
              <w:top w:val="nil"/>
              <w:left w:val="nil"/>
              <w:bottom w:val="nil"/>
              <w:right w:val="nil"/>
            </w:tcBorders>
            <w:shd w:val="clear" w:color="auto" w:fill="auto"/>
            <w:noWrap/>
            <w:vAlign w:val="bottom"/>
          </w:tcPr>
          <w:p w14:paraId="6DEF62DA"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3.3.2040.</w:t>
            </w:r>
          </w:p>
        </w:tc>
        <w:tc>
          <w:tcPr>
            <w:tcW w:w="1197" w:type="dxa"/>
            <w:tcBorders>
              <w:top w:val="nil"/>
              <w:left w:val="nil"/>
              <w:bottom w:val="nil"/>
              <w:right w:val="nil"/>
            </w:tcBorders>
            <w:shd w:val="clear" w:color="auto" w:fill="auto"/>
            <w:noWrap/>
            <w:vAlign w:val="bottom"/>
          </w:tcPr>
          <w:p w14:paraId="13B0434D"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1,25</w:t>
            </w:r>
          </w:p>
        </w:tc>
        <w:tc>
          <w:tcPr>
            <w:tcW w:w="1156" w:type="dxa"/>
            <w:tcBorders>
              <w:top w:val="nil"/>
              <w:left w:val="nil"/>
              <w:bottom w:val="nil"/>
              <w:right w:val="nil"/>
            </w:tcBorders>
            <w:vAlign w:val="bottom"/>
          </w:tcPr>
          <w:p w14:paraId="6C12AF6C"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6.382</w:t>
            </w:r>
          </w:p>
        </w:tc>
        <w:tc>
          <w:tcPr>
            <w:tcW w:w="1156" w:type="dxa"/>
            <w:tcBorders>
              <w:top w:val="nil"/>
              <w:left w:val="nil"/>
              <w:bottom w:val="nil"/>
              <w:right w:val="nil"/>
            </w:tcBorders>
            <w:vAlign w:val="bottom"/>
          </w:tcPr>
          <w:p w14:paraId="23E0A2E5"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8.500</w:t>
            </w:r>
          </w:p>
        </w:tc>
        <w:tc>
          <w:tcPr>
            <w:tcW w:w="1156" w:type="dxa"/>
            <w:tcBorders>
              <w:top w:val="nil"/>
              <w:left w:val="nil"/>
              <w:bottom w:val="nil"/>
              <w:right w:val="nil"/>
            </w:tcBorders>
            <w:shd w:val="clear" w:color="auto" w:fill="auto"/>
            <w:vAlign w:val="bottom"/>
          </w:tcPr>
          <w:p w14:paraId="7BD5EAF4"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w:t>
            </w:r>
          </w:p>
        </w:tc>
        <w:tc>
          <w:tcPr>
            <w:tcW w:w="1156" w:type="dxa"/>
            <w:tcBorders>
              <w:top w:val="nil"/>
              <w:left w:val="nil"/>
              <w:bottom w:val="nil"/>
              <w:right w:val="nil"/>
            </w:tcBorders>
            <w:shd w:val="clear" w:color="auto" w:fill="auto"/>
            <w:vAlign w:val="bottom"/>
          </w:tcPr>
          <w:p w14:paraId="58A38295"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w:t>
            </w:r>
          </w:p>
        </w:tc>
      </w:tr>
      <w:tr w:rsidR="004E2F51" w:rsidRPr="00B37DA4" w14:paraId="1CA65413" w14:textId="77777777" w:rsidTr="00E032FC">
        <w:trPr>
          <w:trHeight w:val="229"/>
        </w:trPr>
        <w:tc>
          <w:tcPr>
            <w:tcW w:w="2693" w:type="dxa"/>
            <w:tcBorders>
              <w:top w:val="nil"/>
              <w:left w:val="nil"/>
              <w:right w:val="nil"/>
            </w:tcBorders>
            <w:shd w:val="clear" w:color="auto" w:fill="auto"/>
            <w:noWrap/>
            <w:vAlign w:val="bottom"/>
          </w:tcPr>
          <w:p w14:paraId="7F2A4DEE"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RHMF-O-253A</w:t>
            </w:r>
          </w:p>
        </w:tc>
        <w:tc>
          <w:tcPr>
            <w:tcW w:w="1219" w:type="dxa"/>
            <w:gridSpan w:val="2"/>
            <w:tcBorders>
              <w:top w:val="nil"/>
              <w:left w:val="nil"/>
              <w:right w:val="nil"/>
            </w:tcBorders>
            <w:shd w:val="clear" w:color="auto" w:fill="auto"/>
            <w:noWrap/>
            <w:vAlign w:val="bottom"/>
          </w:tcPr>
          <w:p w14:paraId="14FCB19A"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3.3.2020.</w:t>
            </w:r>
          </w:p>
        </w:tc>
        <w:tc>
          <w:tcPr>
            <w:tcW w:w="1123" w:type="dxa"/>
            <w:tcBorders>
              <w:top w:val="nil"/>
              <w:left w:val="nil"/>
              <w:right w:val="nil"/>
            </w:tcBorders>
            <w:shd w:val="clear" w:color="auto" w:fill="auto"/>
            <w:noWrap/>
            <w:vAlign w:val="bottom"/>
          </w:tcPr>
          <w:p w14:paraId="3D362A73"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3.3.2025.</w:t>
            </w:r>
          </w:p>
        </w:tc>
        <w:tc>
          <w:tcPr>
            <w:tcW w:w="1197" w:type="dxa"/>
            <w:tcBorders>
              <w:top w:val="nil"/>
              <w:left w:val="nil"/>
              <w:bottom w:val="nil"/>
              <w:right w:val="nil"/>
            </w:tcBorders>
            <w:shd w:val="clear" w:color="auto" w:fill="auto"/>
            <w:noWrap/>
            <w:vAlign w:val="bottom"/>
          </w:tcPr>
          <w:p w14:paraId="62075EE2"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0,25</w:t>
            </w:r>
          </w:p>
        </w:tc>
        <w:tc>
          <w:tcPr>
            <w:tcW w:w="1156" w:type="dxa"/>
            <w:tcBorders>
              <w:top w:val="nil"/>
              <w:left w:val="nil"/>
              <w:bottom w:val="nil"/>
              <w:right w:val="nil"/>
            </w:tcBorders>
            <w:shd w:val="clear" w:color="auto" w:fill="auto"/>
            <w:vAlign w:val="bottom"/>
          </w:tcPr>
          <w:p w14:paraId="4FCFED86"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75.146</w:t>
            </w:r>
          </w:p>
        </w:tc>
        <w:tc>
          <w:tcPr>
            <w:tcW w:w="1156" w:type="dxa"/>
            <w:tcBorders>
              <w:top w:val="nil"/>
              <w:left w:val="nil"/>
              <w:bottom w:val="nil"/>
              <w:right w:val="nil"/>
            </w:tcBorders>
            <w:vAlign w:val="bottom"/>
          </w:tcPr>
          <w:p w14:paraId="76D81D52"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80.082</w:t>
            </w:r>
          </w:p>
        </w:tc>
        <w:tc>
          <w:tcPr>
            <w:tcW w:w="1156" w:type="dxa"/>
            <w:tcBorders>
              <w:top w:val="nil"/>
              <w:left w:val="nil"/>
              <w:bottom w:val="nil"/>
              <w:right w:val="nil"/>
            </w:tcBorders>
            <w:shd w:val="clear" w:color="auto" w:fill="auto"/>
            <w:vAlign w:val="bottom"/>
          </w:tcPr>
          <w:p w14:paraId="5BE9C55A"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75.146</w:t>
            </w:r>
          </w:p>
        </w:tc>
        <w:tc>
          <w:tcPr>
            <w:tcW w:w="1156" w:type="dxa"/>
            <w:tcBorders>
              <w:top w:val="nil"/>
              <w:left w:val="nil"/>
              <w:bottom w:val="nil"/>
              <w:right w:val="nil"/>
            </w:tcBorders>
            <w:shd w:val="clear" w:color="auto" w:fill="auto"/>
            <w:vAlign w:val="bottom"/>
          </w:tcPr>
          <w:p w14:paraId="3245038F"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80.082</w:t>
            </w:r>
          </w:p>
        </w:tc>
      </w:tr>
      <w:tr w:rsidR="004E2F51" w:rsidRPr="00B37DA4" w14:paraId="1355A588" w14:textId="77777777" w:rsidTr="00E032FC">
        <w:trPr>
          <w:trHeight w:val="229"/>
        </w:trPr>
        <w:tc>
          <w:tcPr>
            <w:tcW w:w="2693" w:type="dxa"/>
            <w:tcBorders>
              <w:top w:val="nil"/>
              <w:left w:val="nil"/>
            </w:tcBorders>
            <w:shd w:val="clear" w:color="auto" w:fill="auto"/>
            <w:noWrap/>
            <w:vAlign w:val="bottom"/>
          </w:tcPr>
          <w:p w14:paraId="33F42F8D" w14:textId="77777777" w:rsidR="004E2F51" w:rsidRPr="00B37DA4" w:rsidRDefault="004E2F51" w:rsidP="00E032FC">
            <w:pPr>
              <w:jc w:val="right"/>
              <w:rPr>
                <w:rFonts w:ascii="Arial" w:eastAsia="Calibri" w:hAnsi="Arial" w:cs="Arial"/>
                <w:iCs/>
                <w:color w:val="000000"/>
                <w:sz w:val="16"/>
                <w:szCs w:val="16"/>
                <w:lang w:val="hr-HR"/>
              </w:rPr>
            </w:pPr>
            <w:r w:rsidRPr="00B37DA4">
              <w:rPr>
                <w:rFonts w:ascii="Arial" w:eastAsia="Calibri" w:hAnsi="Arial" w:cs="Arial"/>
                <w:iCs/>
                <w:noProof/>
                <w:color w:val="000000"/>
                <w:sz w:val="16"/>
                <w:szCs w:val="16"/>
                <w:lang w:val="hr-HR"/>
              </w:rPr>
              <mc:AlternateContent>
                <mc:Choice Requires="aink">
                  <w:drawing>
                    <wp:anchor distT="0" distB="0" distL="114300" distR="114300" simplePos="0" relativeHeight="251663361" behindDoc="0" locked="0" layoutInCell="1" allowOverlap="1" wp14:anchorId="522C5202" wp14:editId="095305B3">
                      <wp:simplePos x="0" y="0"/>
                      <wp:positionH relativeFrom="column">
                        <wp:posOffset>2577149</wp:posOffset>
                      </wp:positionH>
                      <wp:positionV relativeFrom="paragraph">
                        <wp:posOffset>13058</wp:posOffset>
                      </wp:positionV>
                      <wp:extent cx="360" cy="360"/>
                      <wp:effectExtent l="57150" t="38100" r="38100" b="57150"/>
                      <wp:wrapNone/>
                      <wp:docPr id="39" name="Ink 10"/>
                      <wp:cNvGraphicFramePr/>
                      <a:graphic xmlns:a="http://schemas.openxmlformats.org/drawingml/2006/main">
                        <a:graphicData uri="http://schemas.microsoft.com/office/word/2010/wordprocessingInk">
                          <w14:contentPart bwMode="auto" r:id="rId132">
                            <w14:nvContentPartPr>
                              <w14:cNvContentPartPr/>
                            </w14:nvContentPartPr>
                            <w14:xfrm>
                              <a:off x="0" y="0"/>
                              <a:ext cx="360" cy="360"/>
                            </w14:xfrm>
                          </w14:contentPart>
                        </a:graphicData>
                      </a:graphic>
                    </wp:anchor>
                  </w:drawing>
                </mc:Choice>
                <mc:Fallback>
                  <w:drawing>
                    <wp:anchor distT="0" distB="0" distL="114300" distR="114300" simplePos="0" relativeHeight="251663361" behindDoc="0" locked="0" layoutInCell="1" allowOverlap="1" wp14:anchorId="522C5202" wp14:editId="095305B3">
                      <wp:simplePos x="0" y="0"/>
                      <wp:positionH relativeFrom="column">
                        <wp:posOffset>2577149</wp:posOffset>
                      </wp:positionH>
                      <wp:positionV relativeFrom="paragraph">
                        <wp:posOffset>13058</wp:posOffset>
                      </wp:positionV>
                      <wp:extent cx="360" cy="360"/>
                      <wp:effectExtent l="57150" t="38100" r="38100" b="57150"/>
                      <wp:wrapNone/>
                      <wp:docPr id="39" name="Ink 10"/>
                      <wp:cNvGraphicFramePr/>
                      <a:graphic xmlns:a="http://schemas.openxmlformats.org/drawingml/2006/main">
                        <a:graphicData uri="http://schemas.openxmlformats.org/drawingml/2006/picture">
                          <pic:pic xmlns:pic="http://schemas.openxmlformats.org/drawingml/2006/picture">
                            <pic:nvPicPr>
                              <pic:cNvPr id="39" name="Ink 10"/>
                              <pic:cNvPicPr/>
                            </pic:nvPicPr>
                            <pic:blipFill>
                              <a:blip r:embed="rId137"/>
                              <a:stretch>
                                <a:fillRect/>
                              </a:stretch>
                            </pic:blipFill>
                            <pic:spPr>
                              <a:xfrm>
                                <a:off x="0" y="0"/>
                                <a:ext cx="36000" cy="216000"/>
                              </a:xfrm>
                              <a:prstGeom prst="rect">
                                <a:avLst/>
                              </a:prstGeom>
                            </pic:spPr>
                          </pic:pic>
                        </a:graphicData>
                      </a:graphic>
                    </wp:anchor>
                  </w:drawing>
                </mc:Fallback>
              </mc:AlternateContent>
            </w:r>
            <w:r w:rsidRPr="00B37DA4">
              <w:rPr>
                <w:rFonts w:ascii="Arial" w:eastAsia="Calibri" w:hAnsi="Arial" w:cs="Arial"/>
                <w:iCs/>
                <w:noProof/>
                <w:color w:val="000000"/>
                <w:sz w:val="16"/>
                <w:szCs w:val="16"/>
                <w:lang w:val="hr-HR"/>
              </w:rPr>
              <mc:AlternateContent>
                <mc:Choice Requires="aink">
                  <w:drawing>
                    <wp:anchor distT="0" distB="0" distL="114300" distR="114300" simplePos="0" relativeHeight="251662337" behindDoc="0" locked="0" layoutInCell="1" allowOverlap="1" wp14:anchorId="510E57E1" wp14:editId="2E4E20E4">
                      <wp:simplePos x="0" y="0"/>
                      <wp:positionH relativeFrom="column">
                        <wp:posOffset>888389</wp:posOffset>
                      </wp:positionH>
                      <wp:positionV relativeFrom="paragraph">
                        <wp:posOffset>76778</wp:posOffset>
                      </wp:positionV>
                      <wp:extent cx="3600" cy="360"/>
                      <wp:effectExtent l="0" t="0" r="0" b="0"/>
                      <wp:wrapNone/>
                      <wp:docPr id="40" name="Ink 16"/>
                      <wp:cNvGraphicFramePr/>
                      <a:graphic xmlns:a="http://schemas.openxmlformats.org/drawingml/2006/main">
                        <a:graphicData uri="http://schemas.microsoft.com/office/word/2010/wordprocessingInk">
                          <w14:contentPart bwMode="auto" r:id="rId138">
                            <w14:nvContentPartPr>
                              <w14:cNvContentPartPr/>
                            </w14:nvContentPartPr>
                            <w14:xfrm>
                              <a:off x="0" y="0"/>
                              <a:ext cx="3600" cy="360"/>
                            </w14:xfrm>
                          </w14:contentPart>
                        </a:graphicData>
                      </a:graphic>
                    </wp:anchor>
                  </w:drawing>
                </mc:Choice>
                <mc:Fallback>
                  <w:drawing>
                    <wp:anchor distT="0" distB="0" distL="114300" distR="114300" simplePos="0" relativeHeight="251662337" behindDoc="0" locked="0" layoutInCell="1" allowOverlap="1" wp14:anchorId="510E57E1" wp14:editId="2E4E20E4">
                      <wp:simplePos x="0" y="0"/>
                      <wp:positionH relativeFrom="column">
                        <wp:posOffset>888389</wp:posOffset>
                      </wp:positionH>
                      <wp:positionV relativeFrom="paragraph">
                        <wp:posOffset>76778</wp:posOffset>
                      </wp:positionV>
                      <wp:extent cx="3600" cy="360"/>
                      <wp:effectExtent l="0" t="0" r="0" b="0"/>
                      <wp:wrapNone/>
                      <wp:docPr id="40" name="Ink 16"/>
                      <wp:cNvGraphicFramePr/>
                      <a:graphic xmlns:a="http://schemas.openxmlformats.org/drawingml/2006/main">
                        <a:graphicData uri="http://schemas.openxmlformats.org/drawingml/2006/picture">
                          <pic:pic xmlns:pic="http://schemas.openxmlformats.org/drawingml/2006/picture">
                            <pic:nvPicPr>
                              <pic:cNvPr id="40" name="Ink 16"/>
                              <pic:cNvPicPr/>
                            </pic:nvPicPr>
                            <pic:blipFill>
                              <a:blip r:embed="rId139"/>
                              <a:stretch>
                                <a:fillRect/>
                              </a:stretch>
                            </pic:blipFill>
                            <pic:spPr>
                              <a:xfrm>
                                <a:off x="0" y="0"/>
                                <a:ext cx="39240" cy="216000"/>
                              </a:xfrm>
                              <a:prstGeom prst="rect">
                                <a:avLst/>
                              </a:prstGeom>
                            </pic:spPr>
                          </pic:pic>
                        </a:graphicData>
                      </a:graphic>
                    </wp:anchor>
                  </w:drawing>
                </mc:Fallback>
              </mc:AlternateContent>
            </w:r>
            <w:r w:rsidRPr="00B37DA4">
              <w:rPr>
                <w:rFonts w:ascii="Arial" w:eastAsia="Calibri" w:hAnsi="Arial" w:cs="Arial"/>
                <w:iCs/>
                <w:color w:val="000000"/>
                <w:sz w:val="16"/>
                <w:szCs w:val="16"/>
                <w:lang w:val="hr-HR"/>
              </w:rPr>
              <w:t xml:space="preserve">                               RHMF-O-24BA        </w:t>
            </w:r>
          </w:p>
        </w:tc>
        <w:tc>
          <w:tcPr>
            <w:tcW w:w="1219" w:type="dxa"/>
            <w:gridSpan w:val="2"/>
            <w:tcBorders>
              <w:top w:val="nil"/>
            </w:tcBorders>
            <w:shd w:val="clear" w:color="auto" w:fill="auto"/>
            <w:vAlign w:val="bottom"/>
          </w:tcPr>
          <w:p w14:paraId="39D0F51C" w14:textId="77777777" w:rsidR="004E2F51" w:rsidRPr="00B37DA4" w:rsidRDefault="004E2F51" w:rsidP="00E032FC">
            <w:pPr>
              <w:jc w:val="right"/>
              <w:rPr>
                <w:rFonts w:ascii="Arial" w:eastAsia="Calibri" w:hAnsi="Arial" w:cs="Arial"/>
                <w:iCs/>
                <w:color w:val="000000"/>
                <w:sz w:val="16"/>
                <w:szCs w:val="16"/>
                <w:lang w:val="hr-HR"/>
              </w:rPr>
            </w:pPr>
            <w:r w:rsidRPr="00B37DA4">
              <w:rPr>
                <w:rFonts w:ascii="Arial" w:eastAsia="Calibri" w:hAnsi="Arial" w:cs="Arial"/>
                <w:iCs/>
                <w:color w:val="000000"/>
                <w:sz w:val="16"/>
                <w:szCs w:val="16"/>
                <w:lang w:val="hr-HR"/>
              </w:rPr>
              <w:t xml:space="preserve">27.11.2019.     </w:t>
            </w:r>
          </w:p>
        </w:tc>
        <w:tc>
          <w:tcPr>
            <w:tcW w:w="1123" w:type="dxa"/>
            <w:tcBorders>
              <w:top w:val="nil"/>
              <w:right w:val="nil"/>
            </w:tcBorders>
            <w:shd w:val="clear" w:color="auto" w:fill="auto"/>
            <w:vAlign w:val="bottom"/>
          </w:tcPr>
          <w:p w14:paraId="2058188D" w14:textId="77777777" w:rsidR="004E2F51" w:rsidRPr="00B37DA4" w:rsidRDefault="004E2F51" w:rsidP="00E032FC">
            <w:pPr>
              <w:jc w:val="right"/>
              <w:rPr>
                <w:rFonts w:ascii="Arial" w:eastAsia="Calibri" w:hAnsi="Arial" w:cs="Arial"/>
                <w:iCs/>
                <w:color w:val="000000"/>
                <w:sz w:val="16"/>
                <w:szCs w:val="16"/>
                <w:lang w:val="hr-HR"/>
              </w:rPr>
            </w:pPr>
            <w:r w:rsidRPr="00B37DA4">
              <w:rPr>
                <w:rFonts w:ascii="Arial" w:eastAsia="Calibri" w:hAnsi="Arial" w:cs="Arial"/>
                <w:iCs/>
                <w:color w:val="000000"/>
                <w:sz w:val="16"/>
                <w:szCs w:val="16"/>
                <w:lang w:val="hr-HR"/>
              </w:rPr>
              <w:t>27.11.2024.</w:t>
            </w:r>
          </w:p>
        </w:tc>
        <w:tc>
          <w:tcPr>
            <w:tcW w:w="1197" w:type="dxa"/>
            <w:tcBorders>
              <w:top w:val="nil"/>
              <w:left w:val="nil"/>
              <w:bottom w:val="nil"/>
              <w:right w:val="nil"/>
            </w:tcBorders>
            <w:shd w:val="clear" w:color="auto" w:fill="auto"/>
            <w:noWrap/>
            <w:vAlign w:val="bottom"/>
          </w:tcPr>
          <w:p w14:paraId="6EB2A9D8" w14:textId="77777777" w:rsidR="004E2F51" w:rsidRPr="00B37DA4" w:rsidRDefault="004E2F51" w:rsidP="00E032FC">
            <w:pPr>
              <w:rPr>
                <w:rFonts w:ascii="Arial" w:eastAsia="Calibri" w:hAnsi="Arial" w:cs="Arial"/>
                <w:color w:val="000000"/>
                <w:sz w:val="16"/>
                <w:szCs w:val="16"/>
                <w:lang w:val="hr-HR"/>
              </w:rPr>
            </w:pPr>
            <w:r w:rsidRPr="00B37DA4">
              <w:rPr>
                <w:rFonts w:ascii="Arial" w:eastAsia="Calibri" w:hAnsi="Arial" w:cs="Arial"/>
                <w:iCs/>
                <w:color w:val="000000"/>
                <w:sz w:val="16"/>
                <w:szCs w:val="16"/>
                <w:lang w:val="hr-HR"/>
              </w:rPr>
              <w:t xml:space="preserve">        0,25</w:t>
            </w:r>
          </w:p>
        </w:tc>
        <w:tc>
          <w:tcPr>
            <w:tcW w:w="1156" w:type="dxa"/>
            <w:tcBorders>
              <w:top w:val="nil"/>
              <w:left w:val="nil"/>
              <w:bottom w:val="nil"/>
              <w:right w:val="nil"/>
            </w:tcBorders>
            <w:vAlign w:val="bottom"/>
          </w:tcPr>
          <w:p w14:paraId="572AAE64"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9.195</w:t>
            </w:r>
          </w:p>
        </w:tc>
        <w:tc>
          <w:tcPr>
            <w:tcW w:w="1156" w:type="dxa"/>
            <w:tcBorders>
              <w:top w:val="nil"/>
              <w:left w:val="nil"/>
              <w:bottom w:val="nil"/>
              <w:right w:val="nil"/>
            </w:tcBorders>
            <w:shd w:val="clear" w:color="auto" w:fill="auto"/>
            <w:vAlign w:val="bottom"/>
          </w:tcPr>
          <w:p w14:paraId="1B7113F6"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rPr>
              <w:t>9.667</w:t>
            </w:r>
          </w:p>
        </w:tc>
        <w:tc>
          <w:tcPr>
            <w:tcW w:w="1156" w:type="dxa"/>
            <w:tcBorders>
              <w:top w:val="nil"/>
              <w:left w:val="nil"/>
              <w:bottom w:val="nil"/>
              <w:right w:val="nil"/>
            </w:tcBorders>
            <w:vAlign w:val="bottom"/>
          </w:tcPr>
          <w:p w14:paraId="5C1791D7"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9.195</w:t>
            </w:r>
          </w:p>
        </w:tc>
        <w:tc>
          <w:tcPr>
            <w:tcW w:w="1156" w:type="dxa"/>
            <w:tcBorders>
              <w:top w:val="nil"/>
              <w:left w:val="nil"/>
              <w:bottom w:val="nil"/>
              <w:right w:val="nil"/>
            </w:tcBorders>
            <w:vAlign w:val="bottom"/>
          </w:tcPr>
          <w:p w14:paraId="0F42DE45"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eastAsia="hr-HR"/>
              </w:rPr>
              <w:t>9.667</w:t>
            </w:r>
          </w:p>
        </w:tc>
      </w:tr>
      <w:tr w:rsidR="004E2F51" w:rsidRPr="00B37DA4" w14:paraId="0A25899B" w14:textId="77777777" w:rsidTr="00E032FC">
        <w:trPr>
          <w:trHeight w:val="229"/>
        </w:trPr>
        <w:tc>
          <w:tcPr>
            <w:tcW w:w="3906" w:type="dxa"/>
            <w:gridSpan w:val="2"/>
            <w:tcBorders>
              <w:top w:val="nil"/>
              <w:left w:val="nil"/>
              <w:bottom w:val="nil"/>
            </w:tcBorders>
            <w:shd w:val="clear" w:color="auto" w:fill="auto"/>
            <w:noWrap/>
            <w:vAlign w:val="bottom"/>
          </w:tcPr>
          <w:p w14:paraId="57BC092D" w14:textId="77777777" w:rsidR="004E2F51" w:rsidRPr="00B37DA4" w:rsidRDefault="004E2F51" w:rsidP="00E032FC">
            <w:pPr>
              <w:rPr>
                <w:rFonts w:ascii="Arial" w:eastAsia="Calibri" w:hAnsi="Arial" w:cs="Arial"/>
                <w:i/>
                <w:color w:val="000000"/>
                <w:sz w:val="16"/>
                <w:szCs w:val="16"/>
                <w:lang w:val="hr-HR"/>
              </w:rPr>
            </w:pPr>
            <w:r w:rsidRPr="00B37DA4">
              <w:rPr>
                <w:rFonts w:ascii="Arial" w:eastAsia="Calibri" w:hAnsi="Arial" w:cs="Arial"/>
                <w:i/>
                <w:color w:val="000000"/>
                <w:sz w:val="16"/>
                <w:szCs w:val="16"/>
                <w:lang w:val="hr-HR"/>
              </w:rPr>
              <w:t>Obveznice trgovačkih društava u kunama:</w:t>
            </w:r>
          </w:p>
        </w:tc>
        <w:tc>
          <w:tcPr>
            <w:tcW w:w="1129" w:type="dxa"/>
            <w:gridSpan w:val="2"/>
            <w:tcBorders>
              <w:top w:val="nil"/>
              <w:bottom w:val="nil"/>
              <w:right w:val="nil"/>
            </w:tcBorders>
            <w:shd w:val="clear" w:color="auto" w:fill="auto"/>
            <w:vAlign w:val="bottom"/>
          </w:tcPr>
          <w:p w14:paraId="63B8FB15" w14:textId="77777777" w:rsidR="004E2F51" w:rsidRPr="00B37DA4" w:rsidRDefault="004E2F51" w:rsidP="00E032FC">
            <w:pPr>
              <w:rPr>
                <w:rFonts w:ascii="Arial" w:eastAsia="Calibri" w:hAnsi="Arial" w:cs="Arial"/>
                <w:i/>
                <w:color w:val="000000"/>
                <w:sz w:val="16"/>
                <w:szCs w:val="16"/>
                <w:lang w:val="hr-HR"/>
              </w:rPr>
            </w:pPr>
          </w:p>
        </w:tc>
        <w:tc>
          <w:tcPr>
            <w:tcW w:w="1197" w:type="dxa"/>
            <w:tcBorders>
              <w:top w:val="nil"/>
              <w:left w:val="nil"/>
              <w:bottom w:val="nil"/>
              <w:right w:val="nil"/>
            </w:tcBorders>
            <w:shd w:val="clear" w:color="auto" w:fill="auto"/>
            <w:noWrap/>
            <w:vAlign w:val="bottom"/>
          </w:tcPr>
          <w:p w14:paraId="4A853882" w14:textId="77777777" w:rsidR="004E2F51" w:rsidRPr="00B37DA4" w:rsidRDefault="004E2F51" w:rsidP="00E032FC">
            <w:pPr>
              <w:jc w:val="center"/>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73D5B1EF" w14:textId="77777777" w:rsidR="004E2F51" w:rsidRPr="00B37DA4" w:rsidRDefault="004E2F51" w:rsidP="00E032FC">
            <w:pPr>
              <w:jc w:val="right"/>
              <w:rPr>
                <w:rFonts w:ascii="Arial" w:eastAsia="Calibri" w:hAnsi="Arial" w:cs="Arial"/>
                <w:color w:val="000000"/>
                <w:sz w:val="16"/>
                <w:szCs w:val="16"/>
                <w:lang w:val="hr-HR" w:eastAsia="hr-HR"/>
              </w:rPr>
            </w:pPr>
          </w:p>
        </w:tc>
        <w:tc>
          <w:tcPr>
            <w:tcW w:w="1156" w:type="dxa"/>
            <w:tcBorders>
              <w:top w:val="nil"/>
              <w:left w:val="nil"/>
              <w:bottom w:val="nil"/>
              <w:right w:val="nil"/>
            </w:tcBorders>
            <w:shd w:val="clear" w:color="auto" w:fill="auto"/>
            <w:vAlign w:val="bottom"/>
          </w:tcPr>
          <w:p w14:paraId="68180E70" w14:textId="77777777" w:rsidR="004E2F51" w:rsidRPr="00B37DA4" w:rsidRDefault="004E2F51" w:rsidP="00E032FC">
            <w:pPr>
              <w:jc w:val="right"/>
              <w:rPr>
                <w:rFonts w:ascii="Arial" w:eastAsia="Calibri" w:hAnsi="Arial" w:cs="Arial"/>
                <w:color w:val="000000"/>
                <w:sz w:val="16"/>
                <w:szCs w:val="16"/>
                <w:lang w:val="hr-HR" w:eastAsia="hr-HR"/>
              </w:rPr>
            </w:pPr>
          </w:p>
        </w:tc>
        <w:tc>
          <w:tcPr>
            <w:tcW w:w="1156" w:type="dxa"/>
            <w:tcBorders>
              <w:top w:val="nil"/>
              <w:left w:val="nil"/>
              <w:bottom w:val="nil"/>
              <w:right w:val="nil"/>
            </w:tcBorders>
            <w:vAlign w:val="bottom"/>
          </w:tcPr>
          <w:p w14:paraId="7DEEDF30" w14:textId="77777777" w:rsidR="004E2F51" w:rsidRPr="00B37DA4" w:rsidRDefault="004E2F51" w:rsidP="00E032FC">
            <w:pPr>
              <w:jc w:val="right"/>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4FF521FB" w14:textId="77777777" w:rsidR="004E2F51" w:rsidRPr="00B37DA4" w:rsidRDefault="004E2F51" w:rsidP="00E032FC">
            <w:pPr>
              <w:jc w:val="right"/>
              <w:rPr>
                <w:rFonts w:ascii="Arial" w:eastAsia="Calibri" w:hAnsi="Arial" w:cs="Arial"/>
                <w:color w:val="000000"/>
                <w:sz w:val="16"/>
                <w:szCs w:val="16"/>
                <w:lang w:val="hr-HR"/>
              </w:rPr>
            </w:pPr>
          </w:p>
        </w:tc>
      </w:tr>
      <w:tr w:rsidR="004E2F51" w:rsidRPr="00B37DA4" w14:paraId="4BC490F5" w14:textId="77777777" w:rsidTr="00E032FC">
        <w:trPr>
          <w:trHeight w:val="229"/>
        </w:trPr>
        <w:tc>
          <w:tcPr>
            <w:tcW w:w="2693" w:type="dxa"/>
            <w:tcBorders>
              <w:top w:val="nil"/>
              <w:left w:val="nil"/>
              <w:bottom w:val="nil"/>
              <w:right w:val="nil"/>
            </w:tcBorders>
            <w:shd w:val="clear" w:color="auto" w:fill="auto"/>
            <w:noWrap/>
            <w:vAlign w:val="bottom"/>
          </w:tcPr>
          <w:p w14:paraId="5D1CB69B"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JDGL-O-24XA</w:t>
            </w:r>
          </w:p>
        </w:tc>
        <w:tc>
          <w:tcPr>
            <w:tcW w:w="1219" w:type="dxa"/>
            <w:gridSpan w:val="2"/>
            <w:tcBorders>
              <w:top w:val="nil"/>
              <w:left w:val="nil"/>
              <w:bottom w:val="nil"/>
              <w:right w:val="nil"/>
            </w:tcBorders>
            <w:shd w:val="clear" w:color="auto" w:fill="auto"/>
            <w:noWrap/>
            <w:vAlign w:val="bottom"/>
          </w:tcPr>
          <w:p w14:paraId="31963419"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18.12.2019.</w:t>
            </w:r>
          </w:p>
        </w:tc>
        <w:tc>
          <w:tcPr>
            <w:tcW w:w="1123" w:type="dxa"/>
            <w:tcBorders>
              <w:top w:val="nil"/>
              <w:left w:val="nil"/>
              <w:bottom w:val="nil"/>
              <w:right w:val="nil"/>
            </w:tcBorders>
            <w:shd w:val="clear" w:color="auto" w:fill="auto"/>
            <w:noWrap/>
            <w:vAlign w:val="bottom"/>
          </w:tcPr>
          <w:p w14:paraId="6A596A1D"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18.12.2024.</w:t>
            </w:r>
          </w:p>
        </w:tc>
        <w:tc>
          <w:tcPr>
            <w:tcW w:w="1197" w:type="dxa"/>
            <w:tcBorders>
              <w:top w:val="nil"/>
              <w:left w:val="nil"/>
              <w:bottom w:val="nil"/>
              <w:right w:val="nil"/>
            </w:tcBorders>
            <w:shd w:val="clear" w:color="auto" w:fill="auto"/>
            <w:noWrap/>
            <w:vAlign w:val="bottom"/>
          </w:tcPr>
          <w:p w14:paraId="0348BBDF"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1,75</w:t>
            </w:r>
          </w:p>
        </w:tc>
        <w:tc>
          <w:tcPr>
            <w:tcW w:w="1156" w:type="dxa"/>
            <w:tcBorders>
              <w:top w:val="nil"/>
              <w:left w:val="nil"/>
              <w:bottom w:val="nil"/>
              <w:right w:val="nil"/>
            </w:tcBorders>
            <w:vAlign w:val="bottom"/>
          </w:tcPr>
          <w:p w14:paraId="185C0B9E"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801</w:t>
            </w:r>
          </w:p>
        </w:tc>
        <w:tc>
          <w:tcPr>
            <w:tcW w:w="1156" w:type="dxa"/>
            <w:tcBorders>
              <w:top w:val="nil"/>
              <w:left w:val="nil"/>
              <w:bottom w:val="nil"/>
              <w:right w:val="nil"/>
            </w:tcBorders>
            <w:vAlign w:val="bottom"/>
          </w:tcPr>
          <w:p w14:paraId="1E366952"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1.015</w:t>
            </w:r>
          </w:p>
        </w:tc>
        <w:tc>
          <w:tcPr>
            <w:tcW w:w="1156" w:type="dxa"/>
            <w:tcBorders>
              <w:top w:val="nil"/>
              <w:left w:val="nil"/>
              <w:bottom w:val="nil"/>
              <w:right w:val="nil"/>
            </w:tcBorders>
            <w:shd w:val="clear" w:color="auto" w:fill="auto"/>
            <w:vAlign w:val="bottom"/>
          </w:tcPr>
          <w:p w14:paraId="28732CC2"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w:t>
            </w:r>
          </w:p>
        </w:tc>
        <w:tc>
          <w:tcPr>
            <w:tcW w:w="1156" w:type="dxa"/>
            <w:tcBorders>
              <w:top w:val="nil"/>
              <w:left w:val="nil"/>
              <w:bottom w:val="nil"/>
              <w:right w:val="nil"/>
            </w:tcBorders>
            <w:vAlign w:val="bottom"/>
          </w:tcPr>
          <w:p w14:paraId="6588CA44"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w:t>
            </w:r>
          </w:p>
        </w:tc>
      </w:tr>
      <w:tr w:rsidR="004E2F51" w:rsidRPr="00B37DA4" w14:paraId="5DCF49CA" w14:textId="77777777" w:rsidTr="00E032FC">
        <w:trPr>
          <w:trHeight w:val="229"/>
        </w:trPr>
        <w:tc>
          <w:tcPr>
            <w:tcW w:w="2693" w:type="dxa"/>
            <w:tcBorders>
              <w:top w:val="nil"/>
              <w:left w:val="nil"/>
              <w:bottom w:val="nil"/>
              <w:right w:val="nil"/>
            </w:tcBorders>
            <w:shd w:val="clear" w:color="auto" w:fill="auto"/>
            <w:noWrap/>
            <w:vAlign w:val="bottom"/>
          </w:tcPr>
          <w:p w14:paraId="4EF9E351"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rPr>
              <w:t xml:space="preserve">                               HRATGRO25CA5</w:t>
            </w:r>
          </w:p>
        </w:tc>
        <w:tc>
          <w:tcPr>
            <w:tcW w:w="1219" w:type="dxa"/>
            <w:gridSpan w:val="2"/>
            <w:tcBorders>
              <w:top w:val="nil"/>
              <w:left w:val="nil"/>
              <w:bottom w:val="nil"/>
              <w:right w:val="nil"/>
            </w:tcBorders>
            <w:shd w:val="clear" w:color="auto" w:fill="auto"/>
            <w:noWrap/>
            <w:vAlign w:val="bottom"/>
          </w:tcPr>
          <w:p w14:paraId="63926BDF"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rPr>
              <w:t xml:space="preserve">11.12.2020.      </w:t>
            </w:r>
          </w:p>
        </w:tc>
        <w:tc>
          <w:tcPr>
            <w:tcW w:w="1123" w:type="dxa"/>
            <w:tcBorders>
              <w:top w:val="nil"/>
              <w:left w:val="nil"/>
              <w:bottom w:val="nil"/>
              <w:right w:val="nil"/>
            </w:tcBorders>
            <w:shd w:val="clear" w:color="auto" w:fill="auto"/>
            <w:noWrap/>
            <w:vAlign w:val="bottom"/>
          </w:tcPr>
          <w:p w14:paraId="034134DD"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rPr>
              <w:t>11.12.2025.</w:t>
            </w:r>
          </w:p>
        </w:tc>
        <w:tc>
          <w:tcPr>
            <w:tcW w:w="1197" w:type="dxa"/>
            <w:tcBorders>
              <w:top w:val="nil"/>
              <w:left w:val="nil"/>
              <w:bottom w:val="nil"/>
              <w:right w:val="nil"/>
            </w:tcBorders>
            <w:shd w:val="clear" w:color="auto" w:fill="auto"/>
            <w:noWrap/>
            <w:vAlign w:val="bottom"/>
          </w:tcPr>
          <w:p w14:paraId="7795B682"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0,88</w:t>
            </w:r>
          </w:p>
        </w:tc>
        <w:tc>
          <w:tcPr>
            <w:tcW w:w="1156" w:type="dxa"/>
            <w:tcBorders>
              <w:top w:val="nil"/>
              <w:left w:val="nil"/>
              <w:bottom w:val="nil"/>
              <w:right w:val="nil"/>
            </w:tcBorders>
            <w:vAlign w:val="bottom"/>
          </w:tcPr>
          <w:p w14:paraId="45878A39"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1.378</w:t>
            </w:r>
          </w:p>
        </w:tc>
        <w:tc>
          <w:tcPr>
            <w:tcW w:w="1156" w:type="dxa"/>
            <w:tcBorders>
              <w:top w:val="nil"/>
              <w:left w:val="nil"/>
              <w:bottom w:val="nil"/>
              <w:right w:val="nil"/>
            </w:tcBorders>
            <w:vAlign w:val="bottom"/>
          </w:tcPr>
          <w:p w14:paraId="7BCE73F6"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1.378</w:t>
            </w:r>
          </w:p>
        </w:tc>
        <w:tc>
          <w:tcPr>
            <w:tcW w:w="1156" w:type="dxa"/>
            <w:tcBorders>
              <w:top w:val="nil"/>
              <w:left w:val="nil"/>
              <w:bottom w:val="nil"/>
              <w:right w:val="nil"/>
            </w:tcBorders>
            <w:shd w:val="clear" w:color="auto" w:fill="auto"/>
            <w:vAlign w:val="bottom"/>
          </w:tcPr>
          <w:p w14:paraId="3A439A9B"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w:t>
            </w:r>
          </w:p>
        </w:tc>
        <w:tc>
          <w:tcPr>
            <w:tcW w:w="1156" w:type="dxa"/>
            <w:tcBorders>
              <w:top w:val="nil"/>
              <w:left w:val="nil"/>
              <w:bottom w:val="nil"/>
              <w:right w:val="nil"/>
            </w:tcBorders>
            <w:vAlign w:val="bottom"/>
          </w:tcPr>
          <w:p w14:paraId="4E8EF80F"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eastAsia="hr-HR"/>
              </w:rPr>
              <w:t>-</w:t>
            </w:r>
          </w:p>
        </w:tc>
      </w:tr>
      <w:tr w:rsidR="004E2F51" w:rsidRPr="00B37DA4" w14:paraId="7652BBED" w14:textId="77777777" w:rsidTr="00E032FC">
        <w:trPr>
          <w:trHeight w:val="229"/>
        </w:trPr>
        <w:tc>
          <w:tcPr>
            <w:tcW w:w="3912" w:type="dxa"/>
            <w:gridSpan w:val="3"/>
            <w:tcBorders>
              <w:top w:val="nil"/>
              <w:left w:val="nil"/>
              <w:bottom w:val="nil"/>
              <w:right w:val="nil"/>
            </w:tcBorders>
            <w:shd w:val="clear" w:color="auto" w:fill="auto"/>
            <w:noWrap/>
            <w:vAlign w:val="bottom"/>
            <w:hideMark/>
          </w:tcPr>
          <w:p w14:paraId="744EAB43" w14:textId="77777777" w:rsidR="004E2F51" w:rsidRPr="00B37DA4" w:rsidRDefault="004E2F51" w:rsidP="00E032FC">
            <w:pPr>
              <w:rPr>
                <w:rFonts w:ascii="Arial" w:eastAsia="Calibri" w:hAnsi="Arial" w:cs="Arial"/>
                <w:color w:val="000000"/>
                <w:sz w:val="16"/>
                <w:szCs w:val="16"/>
                <w:lang w:val="hr-HR"/>
              </w:rPr>
            </w:pPr>
            <w:r w:rsidRPr="00B37DA4">
              <w:rPr>
                <w:rFonts w:ascii="Arial" w:eastAsia="Calibri" w:hAnsi="Arial" w:cs="Arial"/>
                <w:color w:val="000000"/>
                <w:sz w:val="16"/>
                <w:szCs w:val="16"/>
                <w:lang w:val="hr-HR"/>
              </w:rPr>
              <w:t>Trezorski zapisi, kunski do 364 dana</w:t>
            </w:r>
          </w:p>
        </w:tc>
        <w:tc>
          <w:tcPr>
            <w:tcW w:w="1123" w:type="dxa"/>
            <w:tcBorders>
              <w:top w:val="nil"/>
              <w:left w:val="nil"/>
              <w:bottom w:val="nil"/>
              <w:right w:val="nil"/>
            </w:tcBorders>
            <w:shd w:val="clear" w:color="auto" w:fill="auto"/>
            <w:noWrap/>
            <w:vAlign w:val="bottom"/>
            <w:hideMark/>
          </w:tcPr>
          <w:p w14:paraId="090D243A" w14:textId="77777777" w:rsidR="004E2F51" w:rsidRPr="00B37DA4" w:rsidRDefault="004E2F51" w:rsidP="00E032FC">
            <w:pPr>
              <w:jc w:val="right"/>
              <w:rPr>
                <w:rFonts w:ascii="Arial" w:eastAsia="Calibri" w:hAnsi="Arial" w:cs="Arial"/>
                <w:color w:val="000000"/>
                <w:sz w:val="16"/>
                <w:szCs w:val="16"/>
                <w:lang w:val="hr-HR"/>
              </w:rPr>
            </w:pPr>
          </w:p>
        </w:tc>
        <w:tc>
          <w:tcPr>
            <w:tcW w:w="1197" w:type="dxa"/>
            <w:tcBorders>
              <w:top w:val="nil"/>
              <w:left w:val="nil"/>
              <w:bottom w:val="nil"/>
              <w:right w:val="nil"/>
            </w:tcBorders>
            <w:shd w:val="clear" w:color="auto" w:fill="auto"/>
            <w:noWrap/>
            <w:vAlign w:val="bottom"/>
          </w:tcPr>
          <w:p w14:paraId="58337459"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0,000-0,184</w:t>
            </w:r>
          </w:p>
        </w:tc>
        <w:tc>
          <w:tcPr>
            <w:tcW w:w="1156" w:type="dxa"/>
            <w:tcBorders>
              <w:top w:val="nil"/>
              <w:left w:val="nil"/>
              <w:bottom w:val="nil"/>
              <w:right w:val="nil"/>
            </w:tcBorders>
            <w:vAlign w:val="bottom"/>
          </w:tcPr>
          <w:p w14:paraId="49036BC6"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1.281.368</w:t>
            </w:r>
          </w:p>
        </w:tc>
        <w:tc>
          <w:tcPr>
            <w:tcW w:w="1156" w:type="dxa"/>
            <w:tcBorders>
              <w:top w:val="nil"/>
              <w:left w:val="nil"/>
              <w:bottom w:val="nil"/>
              <w:right w:val="nil"/>
            </w:tcBorders>
            <w:shd w:val="clear" w:color="auto" w:fill="auto"/>
            <w:vAlign w:val="bottom"/>
          </w:tcPr>
          <w:p w14:paraId="234A64EC"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1.400.000</w:t>
            </w:r>
          </w:p>
        </w:tc>
        <w:tc>
          <w:tcPr>
            <w:tcW w:w="1156" w:type="dxa"/>
            <w:tcBorders>
              <w:top w:val="nil"/>
              <w:left w:val="nil"/>
              <w:bottom w:val="nil"/>
              <w:right w:val="nil"/>
            </w:tcBorders>
            <w:vAlign w:val="bottom"/>
          </w:tcPr>
          <w:p w14:paraId="780E6AFA"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1.281.368</w:t>
            </w:r>
          </w:p>
        </w:tc>
        <w:tc>
          <w:tcPr>
            <w:tcW w:w="1156" w:type="dxa"/>
            <w:tcBorders>
              <w:top w:val="nil"/>
              <w:left w:val="nil"/>
              <w:bottom w:val="nil"/>
              <w:right w:val="nil"/>
            </w:tcBorders>
            <w:shd w:val="clear" w:color="auto" w:fill="auto"/>
            <w:vAlign w:val="bottom"/>
          </w:tcPr>
          <w:p w14:paraId="5C2AF054"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1.400.000</w:t>
            </w:r>
          </w:p>
        </w:tc>
      </w:tr>
      <w:tr w:rsidR="004E2F51" w:rsidRPr="00B37DA4" w14:paraId="4FA53B90" w14:textId="77777777" w:rsidTr="00E032FC">
        <w:trPr>
          <w:trHeight w:val="229"/>
        </w:trPr>
        <w:tc>
          <w:tcPr>
            <w:tcW w:w="3912" w:type="dxa"/>
            <w:gridSpan w:val="3"/>
            <w:tcBorders>
              <w:top w:val="nil"/>
              <w:left w:val="nil"/>
              <w:right w:val="nil"/>
            </w:tcBorders>
            <w:shd w:val="clear" w:color="auto" w:fill="auto"/>
            <w:noWrap/>
            <w:vAlign w:val="bottom"/>
          </w:tcPr>
          <w:p w14:paraId="5F006523" w14:textId="77777777" w:rsidR="004E2F51" w:rsidRPr="00B37DA4" w:rsidRDefault="004E2F51" w:rsidP="00E032FC">
            <w:pPr>
              <w:rPr>
                <w:rFonts w:ascii="Arial" w:eastAsia="Calibri" w:hAnsi="Arial" w:cs="Arial"/>
                <w:color w:val="000000"/>
                <w:sz w:val="16"/>
                <w:szCs w:val="16"/>
                <w:lang w:val="hr-HR"/>
              </w:rPr>
            </w:pPr>
            <w:r w:rsidRPr="00B37DA4">
              <w:rPr>
                <w:rFonts w:ascii="Arial" w:eastAsia="Calibri" w:hAnsi="Arial" w:cs="Arial"/>
                <w:color w:val="000000"/>
                <w:sz w:val="16"/>
                <w:szCs w:val="16"/>
                <w:lang w:val="hr-HR"/>
              </w:rPr>
              <w:t>Trezorski zapisi, devizni do 364 dana</w:t>
            </w:r>
          </w:p>
        </w:tc>
        <w:tc>
          <w:tcPr>
            <w:tcW w:w="1123" w:type="dxa"/>
            <w:tcBorders>
              <w:top w:val="nil"/>
              <w:left w:val="nil"/>
              <w:right w:val="nil"/>
            </w:tcBorders>
            <w:shd w:val="clear" w:color="auto" w:fill="auto"/>
            <w:noWrap/>
            <w:vAlign w:val="bottom"/>
          </w:tcPr>
          <w:p w14:paraId="2D34DB3D" w14:textId="77777777" w:rsidR="004E2F51" w:rsidRPr="00B37DA4" w:rsidRDefault="004E2F51" w:rsidP="00E032FC">
            <w:pPr>
              <w:rPr>
                <w:rFonts w:ascii="Arial" w:eastAsia="Calibri" w:hAnsi="Arial" w:cs="Arial"/>
                <w:color w:val="000000"/>
                <w:sz w:val="16"/>
                <w:szCs w:val="16"/>
                <w:lang w:val="hr-HR"/>
              </w:rPr>
            </w:pPr>
          </w:p>
        </w:tc>
        <w:tc>
          <w:tcPr>
            <w:tcW w:w="1197" w:type="dxa"/>
            <w:tcBorders>
              <w:top w:val="nil"/>
              <w:left w:val="nil"/>
              <w:right w:val="nil"/>
            </w:tcBorders>
            <w:shd w:val="clear" w:color="auto" w:fill="auto"/>
            <w:noWrap/>
            <w:vAlign w:val="bottom"/>
          </w:tcPr>
          <w:p w14:paraId="5FCB7FBC"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0,000</w:t>
            </w:r>
          </w:p>
        </w:tc>
        <w:tc>
          <w:tcPr>
            <w:tcW w:w="1156" w:type="dxa"/>
            <w:tcBorders>
              <w:top w:val="nil"/>
              <w:left w:val="nil"/>
              <w:right w:val="nil"/>
            </w:tcBorders>
            <w:vAlign w:val="bottom"/>
          </w:tcPr>
          <w:p w14:paraId="1CF04191"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w:t>
            </w:r>
          </w:p>
        </w:tc>
        <w:tc>
          <w:tcPr>
            <w:tcW w:w="1156" w:type="dxa"/>
            <w:tcBorders>
              <w:top w:val="nil"/>
              <w:left w:val="nil"/>
              <w:right w:val="nil"/>
            </w:tcBorders>
            <w:vAlign w:val="bottom"/>
          </w:tcPr>
          <w:p w14:paraId="48100B3A"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150.344</w:t>
            </w:r>
          </w:p>
        </w:tc>
        <w:tc>
          <w:tcPr>
            <w:tcW w:w="1156" w:type="dxa"/>
            <w:tcBorders>
              <w:top w:val="nil"/>
              <w:left w:val="nil"/>
              <w:right w:val="nil"/>
            </w:tcBorders>
            <w:shd w:val="clear" w:color="auto" w:fill="auto"/>
            <w:vAlign w:val="bottom"/>
          </w:tcPr>
          <w:p w14:paraId="2A8B88B6"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w:t>
            </w:r>
          </w:p>
        </w:tc>
        <w:tc>
          <w:tcPr>
            <w:tcW w:w="1156" w:type="dxa"/>
            <w:tcBorders>
              <w:top w:val="nil"/>
              <w:left w:val="nil"/>
              <w:right w:val="nil"/>
            </w:tcBorders>
            <w:vAlign w:val="bottom"/>
          </w:tcPr>
          <w:p w14:paraId="46088363"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150.344</w:t>
            </w:r>
          </w:p>
        </w:tc>
      </w:tr>
      <w:tr w:rsidR="004E2F51" w:rsidRPr="00B37DA4" w14:paraId="22B2D1D8" w14:textId="77777777" w:rsidTr="00E032FC">
        <w:trPr>
          <w:trHeight w:val="229"/>
        </w:trPr>
        <w:tc>
          <w:tcPr>
            <w:tcW w:w="2693" w:type="dxa"/>
            <w:tcBorders>
              <w:left w:val="nil"/>
              <w:bottom w:val="single" w:sz="4" w:space="0" w:color="auto"/>
              <w:right w:val="nil"/>
            </w:tcBorders>
            <w:shd w:val="clear" w:color="auto" w:fill="auto"/>
            <w:noWrap/>
            <w:vAlign w:val="bottom"/>
            <w:hideMark/>
          </w:tcPr>
          <w:p w14:paraId="10EAF1E9" w14:textId="77777777" w:rsidR="004E2F51" w:rsidRPr="00B37DA4" w:rsidRDefault="004E2F51" w:rsidP="00E032FC">
            <w:pPr>
              <w:rPr>
                <w:rFonts w:ascii="Arial" w:eastAsia="Calibri" w:hAnsi="Arial" w:cs="Arial"/>
                <w:color w:val="000000"/>
                <w:sz w:val="16"/>
                <w:szCs w:val="16"/>
                <w:lang w:val="hr-HR"/>
              </w:rPr>
            </w:pPr>
            <w:r w:rsidRPr="00B37DA4">
              <w:rPr>
                <w:rFonts w:ascii="Arial" w:eastAsia="Calibri" w:hAnsi="Arial" w:cs="Arial"/>
                <w:color w:val="000000"/>
                <w:sz w:val="16"/>
                <w:szCs w:val="16"/>
                <w:lang w:val="hr-HR"/>
              </w:rPr>
              <w:t xml:space="preserve">Obračunata kamata </w:t>
            </w:r>
          </w:p>
        </w:tc>
        <w:tc>
          <w:tcPr>
            <w:tcW w:w="1219" w:type="dxa"/>
            <w:gridSpan w:val="2"/>
            <w:tcBorders>
              <w:left w:val="nil"/>
              <w:bottom w:val="single" w:sz="4" w:space="0" w:color="auto"/>
              <w:right w:val="nil"/>
            </w:tcBorders>
            <w:shd w:val="clear" w:color="auto" w:fill="auto"/>
            <w:noWrap/>
            <w:vAlign w:val="bottom"/>
            <w:hideMark/>
          </w:tcPr>
          <w:p w14:paraId="204F2F05" w14:textId="77777777" w:rsidR="004E2F51" w:rsidRPr="00B37DA4" w:rsidRDefault="004E2F51" w:rsidP="00E032FC">
            <w:pPr>
              <w:rPr>
                <w:rFonts w:ascii="Arial" w:eastAsia="Calibri" w:hAnsi="Arial" w:cs="Arial"/>
                <w:color w:val="000000"/>
                <w:sz w:val="16"/>
                <w:szCs w:val="16"/>
                <w:lang w:val="hr-HR"/>
              </w:rPr>
            </w:pPr>
          </w:p>
        </w:tc>
        <w:tc>
          <w:tcPr>
            <w:tcW w:w="1123" w:type="dxa"/>
            <w:tcBorders>
              <w:left w:val="nil"/>
              <w:bottom w:val="single" w:sz="4" w:space="0" w:color="auto"/>
              <w:right w:val="nil"/>
            </w:tcBorders>
            <w:shd w:val="clear" w:color="auto" w:fill="auto"/>
            <w:noWrap/>
            <w:vAlign w:val="bottom"/>
            <w:hideMark/>
          </w:tcPr>
          <w:p w14:paraId="18CB8F36" w14:textId="77777777" w:rsidR="004E2F51" w:rsidRPr="00B37DA4" w:rsidRDefault="004E2F51" w:rsidP="00E032FC">
            <w:pPr>
              <w:rPr>
                <w:rFonts w:ascii="Arial" w:eastAsia="Calibri" w:hAnsi="Arial" w:cs="Arial"/>
                <w:color w:val="000000"/>
                <w:sz w:val="16"/>
                <w:szCs w:val="16"/>
                <w:lang w:val="hr-HR"/>
              </w:rPr>
            </w:pPr>
          </w:p>
        </w:tc>
        <w:tc>
          <w:tcPr>
            <w:tcW w:w="1197" w:type="dxa"/>
            <w:tcBorders>
              <w:left w:val="nil"/>
              <w:bottom w:val="single" w:sz="4" w:space="0" w:color="auto"/>
              <w:right w:val="nil"/>
            </w:tcBorders>
            <w:shd w:val="clear" w:color="auto" w:fill="auto"/>
            <w:noWrap/>
            <w:vAlign w:val="bottom"/>
            <w:hideMark/>
          </w:tcPr>
          <w:p w14:paraId="5441CD87" w14:textId="77777777" w:rsidR="004E2F51" w:rsidRPr="00B37DA4" w:rsidRDefault="004E2F51" w:rsidP="00E032FC">
            <w:pPr>
              <w:rPr>
                <w:rFonts w:ascii="Arial" w:eastAsia="Calibri" w:hAnsi="Arial" w:cs="Arial"/>
                <w:color w:val="000000"/>
                <w:sz w:val="16"/>
                <w:szCs w:val="16"/>
                <w:lang w:val="hr-HR"/>
              </w:rPr>
            </w:pPr>
          </w:p>
        </w:tc>
        <w:tc>
          <w:tcPr>
            <w:tcW w:w="1156" w:type="dxa"/>
            <w:tcBorders>
              <w:left w:val="nil"/>
              <w:bottom w:val="single" w:sz="4" w:space="0" w:color="auto"/>
              <w:right w:val="nil"/>
            </w:tcBorders>
            <w:vAlign w:val="bottom"/>
          </w:tcPr>
          <w:p w14:paraId="7B7695BF"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14.321</w:t>
            </w:r>
          </w:p>
        </w:tc>
        <w:tc>
          <w:tcPr>
            <w:tcW w:w="1156" w:type="dxa"/>
            <w:tcBorders>
              <w:left w:val="nil"/>
              <w:bottom w:val="single" w:sz="4" w:space="0" w:color="auto"/>
              <w:right w:val="nil"/>
            </w:tcBorders>
            <w:vAlign w:val="bottom"/>
          </w:tcPr>
          <w:p w14:paraId="0F5BBB33" w14:textId="77777777" w:rsidR="004E2F51" w:rsidRPr="00B37DA4" w:rsidRDefault="004E2F51" w:rsidP="00E032FC">
            <w:pPr>
              <w:jc w:val="right"/>
              <w:rPr>
                <w:rFonts w:ascii="Arial" w:eastAsia="Calibri" w:hAnsi="Arial" w:cs="Arial"/>
                <w:color w:val="000000"/>
                <w:sz w:val="16"/>
                <w:szCs w:val="16"/>
                <w:lang w:val="hr-HR" w:eastAsia="hr-HR"/>
              </w:rPr>
            </w:pPr>
            <w:r w:rsidRPr="00B37DA4">
              <w:rPr>
                <w:rFonts w:ascii="Arial" w:eastAsia="Calibri" w:hAnsi="Arial" w:cs="Arial"/>
                <w:color w:val="000000"/>
                <w:sz w:val="16"/>
                <w:szCs w:val="16"/>
                <w:lang w:val="hr-HR" w:eastAsia="hr-HR"/>
              </w:rPr>
              <w:t>15.620</w:t>
            </w:r>
          </w:p>
        </w:tc>
        <w:tc>
          <w:tcPr>
            <w:tcW w:w="1156" w:type="dxa"/>
            <w:tcBorders>
              <w:left w:val="nil"/>
              <w:bottom w:val="single" w:sz="4" w:space="0" w:color="auto"/>
              <w:right w:val="nil"/>
            </w:tcBorders>
            <w:shd w:val="clear" w:color="auto" w:fill="auto"/>
            <w:vAlign w:val="bottom"/>
          </w:tcPr>
          <w:p w14:paraId="4D293BEA"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13.895</w:t>
            </w:r>
          </w:p>
        </w:tc>
        <w:tc>
          <w:tcPr>
            <w:tcW w:w="1156" w:type="dxa"/>
            <w:tcBorders>
              <w:left w:val="nil"/>
              <w:bottom w:val="single" w:sz="4" w:space="0" w:color="auto"/>
              <w:right w:val="nil"/>
            </w:tcBorders>
            <w:vAlign w:val="bottom"/>
          </w:tcPr>
          <w:p w14:paraId="41EC562D"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15.194</w:t>
            </w:r>
          </w:p>
        </w:tc>
      </w:tr>
      <w:tr w:rsidR="004E2F51" w:rsidRPr="00B37DA4" w14:paraId="36E1220B" w14:textId="77777777" w:rsidTr="00E032FC">
        <w:trPr>
          <w:trHeight w:val="245"/>
        </w:trPr>
        <w:tc>
          <w:tcPr>
            <w:tcW w:w="2693" w:type="dxa"/>
            <w:tcBorders>
              <w:top w:val="single" w:sz="4" w:space="0" w:color="auto"/>
              <w:left w:val="nil"/>
              <w:bottom w:val="single" w:sz="12" w:space="0" w:color="auto"/>
              <w:right w:val="nil"/>
            </w:tcBorders>
            <w:shd w:val="clear" w:color="auto" w:fill="auto"/>
            <w:noWrap/>
            <w:vAlign w:val="center"/>
            <w:hideMark/>
          </w:tcPr>
          <w:p w14:paraId="4129089C" w14:textId="77777777" w:rsidR="004E2F51" w:rsidRPr="00B37DA4" w:rsidRDefault="004E2F51" w:rsidP="00E032FC">
            <w:pPr>
              <w:jc w:val="both"/>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 </w:t>
            </w:r>
          </w:p>
        </w:tc>
        <w:tc>
          <w:tcPr>
            <w:tcW w:w="1219" w:type="dxa"/>
            <w:gridSpan w:val="2"/>
            <w:tcBorders>
              <w:top w:val="single" w:sz="4" w:space="0" w:color="auto"/>
              <w:left w:val="nil"/>
              <w:bottom w:val="single" w:sz="12" w:space="0" w:color="auto"/>
              <w:right w:val="nil"/>
            </w:tcBorders>
            <w:shd w:val="clear" w:color="auto" w:fill="auto"/>
            <w:noWrap/>
            <w:vAlign w:val="center"/>
            <w:hideMark/>
          </w:tcPr>
          <w:p w14:paraId="5E3C2AE7"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 </w:t>
            </w:r>
          </w:p>
        </w:tc>
        <w:tc>
          <w:tcPr>
            <w:tcW w:w="1123" w:type="dxa"/>
            <w:tcBorders>
              <w:top w:val="single" w:sz="4" w:space="0" w:color="auto"/>
              <w:left w:val="nil"/>
              <w:bottom w:val="single" w:sz="12" w:space="0" w:color="auto"/>
              <w:right w:val="nil"/>
            </w:tcBorders>
            <w:shd w:val="clear" w:color="auto" w:fill="auto"/>
            <w:noWrap/>
            <w:vAlign w:val="center"/>
            <w:hideMark/>
          </w:tcPr>
          <w:p w14:paraId="4546BEC7"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 </w:t>
            </w:r>
          </w:p>
        </w:tc>
        <w:tc>
          <w:tcPr>
            <w:tcW w:w="1197" w:type="dxa"/>
            <w:tcBorders>
              <w:top w:val="single" w:sz="4" w:space="0" w:color="auto"/>
              <w:left w:val="nil"/>
              <w:bottom w:val="single" w:sz="12" w:space="0" w:color="auto"/>
              <w:right w:val="nil"/>
            </w:tcBorders>
            <w:shd w:val="clear" w:color="auto" w:fill="auto"/>
            <w:noWrap/>
            <w:vAlign w:val="bottom"/>
            <w:hideMark/>
          </w:tcPr>
          <w:p w14:paraId="4611B07C" w14:textId="77777777" w:rsidR="004E2F51" w:rsidRPr="00B37DA4" w:rsidRDefault="004E2F51" w:rsidP="00E032FC">
            <w:pPr>
              <w:jc w:val="both"/>
              <w:rPr>
                <w:rFonts w:ascii="Arial" w:eastAsia="Calibri" w:hAnsi="Arial" w:cs="Arial"/>
                <w:color w:val="000000"/>
                <w:sz w:val="16"/>
                <w:szCs w:val="16"/>
                <w:lang w:val="hr-HR"/>
              </w:rPr>
            </w:pPr>
            <w:r w:rsidRPr="00B37DA4">
              <w:rPr>
                <w:rFonts w:ascii="Arial" w:eastAsia="Calibri" w:hAnsi="Arial" w:cs="Arial"/>
                <w:color w:val="000000"/>
                <w:sz w:val="16"/>
                <w:szCs w:val="16"/>
                <w:lang w:val="hr-HR"/>
              </w:rPr>
              <w:t> </w:t>
            </w:r>
          </w:p>
        </w:tc>
        <w:tc>
          <w:tcPr>
            <w:tcW w:w="1156" w:type="dxa"/>
            <w:tcBorders>
              <w:top w:val="single" w:sz="4" w:space="0" w:color="auto"/>
              <w:left w:val="nil"/>
              <w:bottom w:val="single" w:sz="12" w:space="0" w:color="auto"/>
              <w:right w:val="nil"/>
            </w:tcBorders>
            <w:vAlign w:val="bottom"/>
          </w:tcPr>
          <w:p w14:paraId="2FAC56DF"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2.631.479</w:t>
            </w:r>
          </w:p>
        </w:tc>
        <w:tc>
          <w:tcPr>
            <w:tcW w:w="1156" w:type="dxa"/>
            <w:tcBorders>
              <w:top w:val="single" w:sz="4" w:space="0" w:color="auto"/>
              <w:left w:val="nil"/>
              <w:bottom w:val="single" w:sz="12" w:space="0" w:color="auto"/>
              <w:right w:val="nil"/>
            </w:tcBorders>
            <w:vAlign w:val="bottom"/>
          </w:tcPr>
          <w:p w14:paraId="018D69FB"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2.927.338</w:t>
            </w:r>
          </w:p>
        </w:tc>
        <w:tc>
          <w:tcPr>
            <w:tcW w:w="1156" w:type="dxa"/>
            <w:tcBorders>
              <w:top w:val="single" w:sz="4" w:space="0" w:color="auto"/>
              <w:left w:val="nil"/>
              <w:bottom w:val="single" w:sz="12" w:space="0" w:color="auto"/>
              <w:right w:val="nil"/>
            </w:tcBorders>
            <w:shd w:val="clear" w:color="auto" w:fill="auto"/>
            <w:vAlign w:val="bottom"/>
          </w:tcPr>
          <w:p w14:paraId="292761CE"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2.584.329</w:t>
            </w:r>
          </w:p>
        </w:tc>
        <w:tc>
          <w:tcPr>
            <w:tcW w:w="1156" w:type="dxa"/>
            <w:tcBorders>
              <w:top w:val="single" w:sz="4" w:space="0" w:color="auto"/>
              <w:left w:val="nil"/>
              <w:bottom w:val="single" w:sz="12" w:space="0" w:color="auto"/>
              <w:right w:val="nil"/>
            </w:tcBorders>
            <w:vAlign w:val="bottom"/>
          </w:tcPr>
          <w:p w14:paraId="66DFE856"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2.870.512</w:t>
            </w:r>
          </w:p>
        </w:tc>
      </w:tr>
      <w:tr w:rsidR="004E2F51" w:rsidRPr="00B37DA4" w14:paraId="78777E95" w14:textId="77777777" w:rsidTr="00E032FC">
        <w:trPr>
          <w:trHeight w:hRule="exact" w:val="170"/>
        </w:trPr>
        <w:tc>
          <w:tcPr>
            <w:tcW w:w="2693" w:type="dxa"/>
            <w:tcBorders>
              <w:top w:val="single" w:sz="12" w:space="0" w:color="auto"/>
              <w:left w:val="nil"/>
              <w:right w:val="nil"/>
            </w:tcBorders>
            <w:shd w:val="clear" w:color="auto" w:fill="auto"/>
            <w:noWrap/>
            <w:vAlign w:val="center"/>
          </w:tcPr>
          <w:p w14:paraId="75E3C647" w14:textId="77777777" w:rsidR="004E2F51" w:rsidRPr="00B37DA4" w:rsidRDefault="004E2F51" w:rsidP="00E032FC">
            <w:pPr>
              <w:jc w:val="both"/>
              <w:rPr>
                <w:rFonts w:ascii="Arial" w:eastAsia="Calibri" w:hAnsi="Arial" w:cs="Arial"/>
                <w:b/>
                <w:bCs/>
                <w:color w:val="000000"/>
                <w:sz w:val="16"/>
                <w:szCs w:val="16"/>
                <w:lang w:val="hr-HR"/>
              </w:rPr>
            </w:pPr>
          </w:p>
        </w:tc>
        <w:tc>
          <w:tcPr>
            <w:tcW w:w="1219" w:type="dxa"/>
            <w:gridSpan w:val="2"/>
            <w:tcBorders>
              <w:top w:val="single" w:sz="12" w:space="0" w:color="auto"/>
              <w:left w:val="nil"/>
              <w:right w:val="nil"/>
            </w:tcBorders>
            <w:shd w:val="clear" w:color="auto" w:fill="auto"/>
            <w:noWrap/>
            <w:vAlign w:val="center"/>
          </w:tcPr>
          <w:p w14:paraId="3E3A7A2B" w14:textId="77777777" w:rsidR="004E2F51" w:rsidRPr="00B37DA4" w:rsidRDefault="004E2F51" w:rsidP="00E032FC">
            <w:pPr>
              <w:jc w:val="right"/>
              <w:rPr>
                <w:rFonts w:ascii="Arial" w:eastAsia="Calibri" w:hAnsi="Arial" w:cs="Arial"/>
                <w:color w:val="000000"/>
                <w:sz w:val="16"/>
                <w:szCs w:val="16"/>
                <w:lang w:val="hr-HR"/>
              </w:rPr>
            </w:pPr>
          </w:p>
        </w:tc>
        <w:tc>
          <w:tcPr>
            <w:tcW w:w="1123" w:type="dxa"/>
            <w:tcBorders>
              <w:top w:val="single" w:sz="12" w:space="0" w:color="auto"/>
              <w:left w:val="nil"/>
              <w:right w:val="nil"/>
            </w:tcBorders>
            <w:shd w:val="clear" w:color="auto" w:fill="auto"/>
            <w:noWrap/>
            <w:vAlign w:val="center"/>
          </w:tcPr>
          <w:p w14:paraId="646D9E82" w14:textId="77777777" w:rsidR="004E2F51" w:rsidRPr="00B37DA4" w:rsidRDefault="004E2F51" w:rsidP="00E032FC">
            <w:pPr>
              <w:jc w:val="right"/>
              <w:rPr>
                <w:rFonts w:ascii="Arial" w:eastAsia="Calibri" w:hAnsi="Arial" w:cs="Arial"/>
                <w:color w:val="000000"/>
                <w:sz w:val="16"/>
                <w:szCs w:val="16"/>
                <w:lang w:val="hr-HR"/>
              </w:rPr>
            </w:pPr>
          </w:p>
        </w:tc>
        <w:tc>
          <w:tcPr>
            <w:tcW w:w="1197" w:type="dxa"/>
            <w:tcBorders>
              <w:top w:val="single" w:sz="12" w:space="0" w:color="auto"/>
              <w:left w:val="nil"/>
              <w:right w:val="nil"/>
            </w:tcBorders>
            <w:shd w:val="clear" w:color="auto" w:fill="auto"/>
            <w:noWrap/>
            <w:vAlign w:val="bottom"/>
          </w:tcPr>
          <w:p w14:paraId="5C66C7BA" w14:textId="77777777" w:rsidR="004E2F51" w:rsidRPr="00B37DA4" w:rsidRDefault="004E2F51" w:rsidP="00E032FC">
            <w:pPr>
              <w:jc w:val="both"/>
              <w:rPr>
                <w:rFonts w:ascii="Arial" w:eastAsia="Calibri" w:hAnsi="Arial" w:cs="Arial"/>
                <w:color w:val="000000"/>
                <w:sz w:val="16"/>
                <w:szCs w:val="16"/>
                <w:lang w:val="hr-HR"/>
              </w:rPr>
            </w:pPr>
          </w:p>
        </w:tc>
        <w:tc>
          <w:tcPr>
            <w:tcW w:w="1156" w:type="dxa"/>
            <w:tcBorders>
              <w:top w:val="single" w:sz="12" w:space="0" w:color="auto"/>
              <w:left w:val="nil"/>
              <w:right w:val="nil"/>
            </w:tcBorders>
            <w:vAlign w:val="bottom"/>
          </w:tcPr>
          <w:p w14:paraId="6E0916FD" w14:textId="77777777" w:rsidR="004E2F51" w:rsidRPr="00B37DA4" w:rsidRDefault="004E2F51" w:rsidP="00E032FC">
            <w:pPr>
              <w:jc w:val="right"/>
              <w:rPr>
                <w:rFonts w:ascii="Arial" w:eastAsia="Calibri" w:hAnsi="Arial" w:cs="Arial"/>
                <w:b/>
                <w:bCs/>
                <w:color w:val="000000"/>
                <w:sz w:val="16"/>
                <w:szCs w:val="16"/>
                <w:lang w:val="hr-HR"/>
              </w:rPr>
            </w:pPr>
          </w:p>
        </w:tc>
        <w:tc>
          <w:tcPr>
            <w:tcW w:w="1156" w:type="dxa"/>
            <w:tcBorders>
              <w:top w:val="single" w:sz="12" w:space="0" w:color="auto"/>
              <w:left w:val="nil"/>
              <w:right w:val="nil"/>
            </w:tcBorders>
            <w:vAlign w:val="bottom"/>
          </w:tcPr>
          <w:p w14:paraId="6DC3E1BE" w14:textId="77777777" w:rsidR="004E2F51" w:rsidRPr="00B37DA4" w:rsidRDefault="004E2F51" w:rsidP="00E032FC">
            <w:pPr>
              <w:jc w:val="right"/>
              <w:rPr>
                <w:rFonts w:ascii="Arial" w:eastAsia="Calibri" w:hAnsi="Arial" w:cs="Arial"/>
                <w:b/>
                <w:bCs/>
                <w:color w:val="000000"/>
                <w:sz w:val="16"/>
                <w:szCs w:val="16"/>
                <w:lang w:val="hr-HR"/>
              </w:rPr>
            </w:pPr>
          </w:p>
        </w:tc>
        <w:tc>
          <w:tcPr>
            <w:tcW w:w="1156" w:type="dxa"/>
            <w:tcBorders>
              <w:top w:val="single" w:sz="12" w:space="0" w:color="auto"/>
              <w:left w:val="nil"/>
              <w:right w:val="nil"/>
            </w:tcBorders>
            <w:shd w:val="clear" w:color="auto" w:fill="auto"/>
            <w:vAlign w:val="bottom"/>
          </w:tcPr>
          <w:p w14:paraId="0EB81D5A" w14:textId="77777777" w:rsidR="004E2F51" w:rsidRPr="00B37DA4" w:rsidRDefault="004E2F51" w:rsidP="00E032FC">
            <w:pPr>
              <w:jc w:val="right"/>
              <w:rPr>
                <w:rFonts w:ascii="Arial" w:eastAsia="Calibri" w:hAnsi="Arial" w:cs="Arial"/>
                <w:b/>
                <w:bCs/>
                <w:color w:val="000000"/>
                <w:sz w:val="16"/>
                <w:szCs w:val="16"/>
                <w:lang w:val="hr-HR"/>
              </w:rPr>
            </w:pPr>
          </w:p>
        </w:tc>
        <w:tc>
          <w:tcPr>
            <w:tcW w:w="1156" w:type="dxa"/>
            <w:tcBorders>
              <w:top w:val="single" w:sz="12" w:space="0" w:color="auto"/>
              <w:left w:val="nil"/>
              <w:right w:val="nil"/>
            </w:tcBorders>
            <w:vAlign w:val="bottom"/>
          </w:tcPr>
          <w:p w14:paraId="484ACBC1" w14:textId="77777777" w:rsidR="004E2F51" w:rsidRPr="00B37DA4" w:rsidRDefault="004E2F51" w:rsidP="00E032FC">
            <w:pPr>
              <w:jc w:val="right"/>
              <w:rPr>
                <w:rFonts w:ascii="Arial" w:eastAsia="Calibri" w:hAnsi="Arial" w:cs="Arial"/>
                <w:b/>
                <w:bCs/>
                <w:color w:val="000000"/>
                <w:sz w:val="16"/>
                <w:szCs w:val="16"/>
                <w:lang w:val="hr-HR"/>
              </w:rPr>
            </w:pPr>
          </w:p>
        </w:tc>
      </w:tr>
      <w:tr w:rsidR="004E2F51" w:rsidRPr="00B37DA4" w14:paraId="31A844A5" w14:textId="77777777" w:rsidTr="00E032FC">
        <w:trPr>
          <w:trHeight w:val="75"/>
        </w:trPr>
        <w:tc>
          <w:tcPr>
            <w:tcW w:w="3912" w:type="dxa"/>
            <w:gridSpan w:val="3"/>
            <w:tcBorders>
              <w:top w:val="nil"/>
              <w:left w:val="nil"/>
              <w:bottom w:val="nil"/>
              <w:right w:val="nil"/>
            </w:tcBorders>
            <w:shd w:val="clear" w:color="auto" w:fill="auto"/>
            <w:noWrap/>
            <w:vAlign w:val="center"/>
            <w:hideMark/>
          </w:tcPr>
          <w:p w14:paraId="1B40014F" w14:textId="77777777" w:rsidR="004E2F51" w:rsidRPr="00B37DA4" w:rsidRDefault="004E2F51" w:rsidP="00E032FC">
            <w:pPr>
              <w:rPr>
                <w:rFonts w:ascii="Arial" w:eastAsia="Calibri" w:hAnsi="Arial" w:cs="Arial"/>
                <w:color w:val="000000"/>
                <w:sz w:val="16"/>
                <w:szCs w:val="16"/>
                <w:lang w:val="hr-HR"/>
              </w:rPr>
            </w:pPr>
            <w:r w:rsidRPr="00B37DA4">
              <w:rPr>
                <w:rFonts w:ascii="Arial" w:eastAsia="Calibri" w:hAnsi="Arial" w:cs="Arial"/>
                <w:color w:val="000000"/>
                <w:sz w:val="16"/>
                <w:szCs w:val="16"/>
                <w:lang w:val="hr-HR"/>
              </w:rPr>
              <w:t>Dužnički vrijednosni papiri koji ne kotiraju:</w:t>
            </w:r>
          </w:p>
        </w:tc>
        <w:tc>
          <w:tcPr>
            <w:tcW w:w="1123" w:type="dxa"/>
            <w:tcBorders>
              <w:top w:val="nil"/>
              <w:left w:val="nil"/>
              <w:bottom w:val="nil"/>
              <w:right w:val="nil"/>
            </w:tcBorders>
            <w:shd w:val="clear" w:color="auto" w:fill="auto"/>
            <w:noWrap/>
            <w:vAlign w:val="bottom"/>
            <w:hideMark/>
          </w:tcPr>
          <w:p w14:paraId="017EEBD3" w14:textId="77777777" w:rsidR="004E2F51" w:rsidRPr="00B37DA4" w:rsidRDefault="004E2F51" w:rsidP="00E032FC">
            <w:pPr>
              <w:rPr>
                <w:rFonts w:ascii="Arial" w:eastAsia="Calibri" w:hAnsi="Arial" w:cs="Arial"/>
                <w:color w:val="000000"/>
                <w:sz w:val="16"/>
                <w:szCs w:val="16"/>
                <w:lang w:val="hr-HR"/>
              </w:rPr>
            </w:pPr>
          </w:p>
        </w:tc>
        <w:tc>
          <w:tcPr>
            <w:tcW w:w="1197" w:type="dxa"/>
            <w:tcBorders>
              <w:top w:val="nil"/>
              <w:left w:val="nil"/>
              <w:bottom w:val="nil"/>
              <w:right w:val="nil"/>
            </w:tcBorders>
            <w:shd w:val="clear" w:color="auto" w:fill="auto"/>
            <w:noWrap/>
            <w:vAlign w:val="bottom"/>
            <w:hideMark/>
          </w:tcPr>
          <w:p w14:paraId="7D29B2FF" w14:textId="77777777" w:rsidR="004E2F51" w:rsidRPr="00B37DA4" w:rsidRDefault="004E2F51" w:rsidP="00E032FC">
            <w:pPr>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43C4ED6E" w14:textId="77777777" w:rsidR="004E2F51" w:rsidRPr="00B37DA4" w:rsidRDefault="004E2F51" w:rsidP="00E032FC">
            <w:pPr>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74D55FA9" w14:textId="77777777" w:rsidR="004E2F51" w:rsidRPr="00B37DA4" w:rsidRDefault="004E2F51" w:rsidP="00E032FC">
            <w:pPr>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38C3DA45" w14:textId="77777777" w:rsidR="004E2F51" w:rsidRPr="00B37DA4" w:rsidRDefault="004E2F51" w:rsidP="00E032FC">
            <w:pPr>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4C9956EB" w14:textId="77777777" w:rsidR="004E2F51" w:rsidRPr="00B37DA4" w:rsidRDefault="004E2F51" w:rsidP="00E032FC">
            <w:pPr>
              <w:rPr>
                <w:rFonts w:ascii="Arial" w:eastAsia="Calibri" w:hAnsi="Arial" w:cs="Arial"/>
                <w:color w:val="000000"/>
                <w:sz w:val="16"/>
                <w:szCs w:val="16"/>
                <w:lang w:val="hr-HR"/>
              </w:rPr>
            </w:pPr>
          </w:p>
        </w:tc>
      </w:tr>
      <w:tr w:rsidR="004E2F51" w:rsidRPr="00B37DA4" w14:paraId="49DA68E1" w14:textId="77777777" w:rsidTr="00E032FC">
        <w:trPr>
          <w:trHeight w:val="229"/>
        </w:trPr>
        <w:tc>
          <w:tcPr>
            <w:tcW w:w="5035" w:type="dxa"/>
            <w:gridSpan w:val="4"/>
            <w:tcBorders>
              <w:top w:val="nil"/>
              <w:left w:val="nil"/>
              <w:bottom w:val="nil"/>
              <w:right w:val="nil"/>
            </w:tcBorders>
            <w:shd w:val="clear" w:color="auto" w:fill="auto"/>
            <w:vAlign w:val="center"/>
            <w:hideMark/>
          </w:tcPr>
          <w:p w14:paraId="1F5E4E87" w14:textId="77777777" w:rsidR="004E2F51" w:rsidRPr="00B37DA4" w:rsidRDefault="004E2F51" w:rsidP="00E032FC">
            <w:pPr>
              <w:rPr>
                <w:rFonts w:ascii="Arial" w:eastAsia="Calibri" w:hAnsi="Arial" w:cs="Arial"/>
                <w:i/>
                <w:iCs/>
                <w:color w:val="000000"/>
                <w:sz w:val="16"/>
                <w:szCs w:val="16"/>
                <w:lang w:val="hr-HR"/>
              </w:rPr>
            </w:pPr>
            <w:r w:rsidRPr="00B37DA4">
              <w:rPr>
                <w:rFonts w:ascii="Arial" w:eastAsia="Calibri" w:hAnsi="Arial" w:cs="Arial"/>
                <w:i/>
                <w:iCs/>
                <w:color w:val="000000"/>
                <w:sz w:val="16"/>
                <w:szCs w:val="16"/>
                <w:lang w:val="hr-HR"/>
              </w:rPr>
              <w:t>Obveznice trgovačkih društava s valutnom klauzulom:</w:t>
            </w:r>
          </w:p>
        </w:tc>
        <w:tc>
          <w:tcPr>
            <w:tcW w:w="1197" w:type="dxa"/>
            <w:tcBorders>
              <w:top w:val="nil"/>
              <w:left w:val="nil"/>
              <w:bottom w:val="nil"/>
              <w:right w:val="nil"/>
            </w:tcBorders>
            <w:shd w:val="clear" w:color="auto" w:fill="auto"/>
            <w:noWrap/>
            <w:vAlign w:val="bottom"/>
            <w:hideMark/>
          </w:tcPr>
          <w:p w14:paraId="7FF749AF" w14:textId="77777777" w:rsidR="004E2F51" w:rsidRPr="00B37DA4" w:rsidRDefault="004E2F51" w:rsidP="00E032FC">
            <w:pPr>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4CD2CB10" w14:textId="77777777" w:rsidR="004E2F51" w:rsidRPr="00B37DA4" w:rsidRDefault="004E2F51" w:rsidP="00E032FC">
            <w:pPr>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4DC514D4" w14:textId="77777777" w:rsidR="004E2F51" w:rsidRPr="00B37DA4" w:rsidRDefault="004E2F51" w:rsidP="00E032FC">
            <w:pPr>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1CBCF810" w14:textId="77777777" w:rsidR="004E2F51" w:rsidRPr="00B37DA4" w:rsidRDefault="004E2F51" w:rsidP="00E032FC">
            <w:pPr>
              <w:jc w:val="right"/>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188538A2" w14:textId="77777777" w:rsidR="004E2F51" w:rsidRPr="00B37DA4" w:rsidRDefault="004E2F51" w:rsidP="00E032FC">
            <w:pPr>
              <w:jc w:val="right"/>
              <w:rPr>
                <w:rFonts w:ascii="Arial" w:eastAsia="Calibri" w:hAnsi="Arial" w:cs="Arial"/>
                <w:color w:val="000000"/>
                <w:sz w:val="16"/>
                <w:szCs w:val="16"/>
                <w:lang w:val="hr-HR"/>
              </w:rPr>
            </w:pPr>
          </w:p>
        </w:tc>
      </w:tr>
      <w:tr w:rsidR="004E2F51" w:rsidRPr="00B37DA4" w14:paraId="6132A692" w14:textId="77777777" w:rsidTr="00E032FC">
        <w:trPr>
          <w:trHeight w:val="229"/>
        </w:trPr>
        <w:tc>
          <w:tcPr>
            <w:tcW w:w="2693" w:type="dxa"/>
            <w:tcBorders>
              <w:top w:val="nil"/>
              <w:left w:val="nil"/>
              <w:bottom w:val="nil"/>
              <w:right w:val="nil"/>
            </w:tcBorders>
            <w:shd w:val="clear" w:color="auto" w:fill="auto"/>
            <w:noWrap/>
            <w:vAlign w:val="center"/>
            <w:hideMark/>
          </w:tcPr>
          <w:p w14:paraId="5AF66B42"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LNGU-O-31AE</w:t>
            </w:r>
          </w:p>
        </w:tc>
        <w:tc>
          <w:tcPr>
            <w:tcW w:w="1219" w:type="dxa"/>
            <w:gridSpan w:val="2"/>
            <w:tcBorders>
              <w:top w:val="nil"/>
              <w:left w:val="nil"/>
              <w:bottom w:val="nil"/>
              <w:right w:val="nil"/>
            </w:tcBorders>
            <w:shd w:val="clear" w:color="auto" w:fill="auto"/>
            <w:noWrap/>
            <w:vAlign w:val="center"/>
            <w:hideMark/>
          </w:tcPr>
          <w:p w14:paraId="3A7DB5EB"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24.7.2015.</w:t>
            </w:r>
          </w:p>
        </w:tc>
        <w:tc>
          <w:tcPr>
            <w:tcW w:w="1123" w:type="dxa"/>
            <w:tcBorders>
              <w:top w:val="nil"/>
              <w:left w:val="nil"/>
              <w:bottom w:val="nil"/>
              <w:right w:val="nil"/>
            </w:tcBorders>
            <w:shd w:val="clear" w:color="auto" w:fill="auto"/>
            <w:noWrap/>
            <w:vAlign w:val="center"/>
            <w:hideMark/>
          </w:tcPr>
          <w:p w14:paraId="03B8C447"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15.10.2031.</w:t>
            </w:r>
          </w:p>
        </w:tc>
        <w:tc>
          <w:tcPr>
            <w:tcW w:w="1197" w:type="dxa"/>
            <w:tcBorders>
              <w:top w:val="nil"/>
              <w:left w:val="nil"/>
              <w:bottom w:val="nil"/>
              <w:right w:val="nil"/>
            </w:tcBorders>
            <w:shd w:val="clear" w:color="auto" w:fill="auto"/>
            <w:noWrap/>
            <w:vAlign w:val="bottom"/>
            <w:hideMark/>
          </w:tcPr>
          <w:p w14:paraId="624E8B58"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4,5</w:t>
            </w:r>
          </w:p>
        </w:tc>
        <w:tc>
          <w:tcPr>
            <w:tcW w:w="1156" w:type="dxa"/>
            <w:tcBorders>
              <w:top w:val="nil"/>
              <w:left w:val="nil"/>
              <w:bottom w:val="nil"/>
              <w:right w:val="nil"/>
            </w:tcBorders>
            <w:vAlign w:val="bottom"/>
          </w:tcPr>
          <w:p w14:paraId="7A44879B"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464</w:t>
            </w:r>
          </w:p>
        </w:tc>
        <w:tc>
          <w:tcPr>
            <w:tcW w:w="1156" w:type="dxa"/>
            <w:tcBorders>
              <w:top w:val="nil"/>
              <w:left w:val="nil"/>
              <w:bottom w:val="nil"/>
              <w:right w:val="nil"/>
            </w:tcBorders>
            <w:vAlign w:val="bottom"/>
          </w:tcPr>
          <w:p w14:paraId="321340F1"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532</w:t>
            </w:r>
          </w:p>
        </w:tc>
        <w:tc>
          <w:tcPr>
            <w:tcW w:w="1156" w:type="dxa"/>
            <w:tcBorders>
              <w:top w:val="nil"/>
              <w:left w:val="nil"/>
              <w:bottom w:val="nil"/>
              <w:right w:val="nil"/>
            </w:tcBorders>
            <w:shd w:val="clear" w:color="auto" w:fill="auto"/>
            <w:vAlign w:val="bottom"/>
          </w:tcPr>
          <w:p w14:paraId="27AF2C4D"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464</w:t>
            </w:r>
          </w:p>
        </w:tc>
        <w:tc>
          <w:tcPr>
            <w:tcW w:w="1156" w:type="dxa"/>
            <w:tcBorders>
              <w:top w:val="nil"/>
              <w:left w:val="nil"/>
              <w:bottom w:val="nil"/>
              <w:right w:val="nil"/>
            </w:tcBorders>
            <w:vAlign w:val="bottom"/>
          </w:tcPr>
          <w:p w14:paraId="06435C25"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532</w:t>
            </w:r>
          </w:p>
        </w:tc>
      </w:tr>
      <w:tr w:rsidR="004E2F51" w:rsidRPr="00B37DA4" w14:paraId="055A302F" w14:textId="77777777" w:rsidTr="00E032FC">
        <w:trPr>
          <w:trHeight w:val="229"/>
        </w:trPr>
        <w:tc>
          <w:tcPr>
            <w:tcW w:w="6232" w:type="dxa"/>
            <w:gridSpan w:val="5"/>
            <w:tcBorders>
              <w:top w:val="nil"/>
              <w:left w:val="nil"/>
              <w:bottom w:val="nil"/>
              <w:right w:val="nil"/>
            </w:tcBorders>
            <w:shd w:val="clear" w:color="auto" w:fill="auto"/>
            <w:noWrap/>
            <w:vAlign w:val="bottom"/>
          </w:tcPr>
          <w:p w14:paraId="6F2D128B" w14:textId="77777777" w:rsidR="004E2F51" w:rsidRPr="00B37DA4" w:rsidRDefault="004E2F51" w:rsidP="00E032FC">
            <w:pPr>
              <w:rPr>
                <w:rFonts w:ascii="Arial" w:eastAsia="Calibri" w:hAnsi="Arial" w:cs="Arial"/>
                <w:i/>
                <w:color w:val="000000"/>
                <w:sz w:val="16"/>
                <w:szCs w:val="16"/>
                <w:lang w:val="hr-HR"/>
              </w:rPr>
            </w:pPr>
            <w:r w:rsidRPr="00B37DA4">
              <w:rPr>
                <w:rFonts w:ascii="Arial" w:eastAsia="Calibri" w:hAnsi="Arial" w:cs="Arial"/>
                <w:i/>
                <w:color w:val="000000"/>
                <w:sz w:val="16"/>
                <w:szCs w:val="16"/>
                <w:lang w:val="hr-HR"/>
              </w:rPr>
              <w:t>Obveznice stranih trgovačkih društava u valuti:</w:t>
            </w:r>
            <w:r w:rsidRPr="00B37DA4">
              <w:rPr>
                <w:rFonts w:ascii="Arial" w:eastAsia="Calibri" w:hAnsi="Arial" w:cs="Arial"/>
                <w:i/>
                <w:color w:val="000000"/>
                <w:sz w:val="16"/>
                <w:szCs w:val="16"/>
                <w:lang w:val="hr-HR"/>
              </w:rPr>
              <w:tab/>
            </w:r>
          </w:p>
        </w:tc>
        <w:tc>
          <w:tcPr>
            <w:tcW w:w="1156" w:type="dxa"/>
            <w:tcBorders>
              <w:top w:val="nil"/>
              <w:left w:val="nil"/>
              <w:bottom w:val="nil"/>
              <w:right w:val="nil"/>
            </w:tcBorders>
            <w:vAlign w:val="bottom"/>
          </w:tcPr>
          <w:p w14:paraId="2F2D40BA" w14:textId="77777777" w:rsidR="004E2F51" w:rsidRPr="00B37DA4" w:rsidRDefault="004E2F51" w:rsidP="00E032FC">
            <w:pPr>
              <w:jc w:val="right"/>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7618FE80" w14:textId="77777777" w:rsidR="004E2F51" w:rsidRPr="00B37DA4" w:rsidRDefault="004E2F51" w:rsidP="00E032FC">
            <w:pPr>
              <w:jc w:val="right"/>
              <w:rPr>
                <w:rFonts w:ascii="Arial" w:eastAsia="Calibri" w:hAnsi="Arial" w:cs="Arial"/>
                <w:color w:val="000000"/>
                <w:sz w:val="16"/>
                <w:szCs w:val="16"/>
                <w:lang w:val="hr-HR"/>
              </w:rPr>
            </w:pPr>
          </w:p>
        </w:tc>
        <w:tc>
          <w:tcPr>
            <w:tcW w:w="1156" w:type="dxa"/>
            <w:tcBorders>
              <w:top w:val="nil"/>
              <w:left w:val="nil"/>
              <w:bottom w:val="nil"/>
              <w:right w:val="nil"/>
            </w:tcBorders>
            <w:vAlign w:val="bottom"/>
          </w:tcPr>
          <w:p w14:paraId="37E87A06" w14:textId="77777777" w:rsidR="004E2F51" w:rsidRPr="00B37DA4" w:rsidRDefault="004E2F51" w:rsidP="00E032FC">
            <w:pPr>
              <w:jc w:val="right"/>
              <w:rPr>
                <w:rFonts w:ascii="Arial" w:eastAsia="Calibri" w:hAnsi="Arial" w:cs="Arial"/>
                <w:color w:val="000000"/>
                <w:sz w:val="16"/>
                <w:szCs w:val="16"/>
                <w:lang w:val="hr-HR"/>
              </w:rPr>
            </w:pPr>
          </w:p>
        </w:tc>
        <w:tc>
          <w:tcPr>
            <w:tcW w:w="1156" w:type="dxa"/>
            <w:tcBorders>
              <w:top w:val="nil"/>
              <w:left w:val="nil"/>
              <w:bottom w:val="nil"/>
              <w:right w:val="nil"/>
            </w:tcBorders>
            <w:shd w:val="clear" w:color="auto" w:fill="auto"/>
            <w:vAlign w:val="bottom"/>
          </w:tcPr>
          <w:p w14:paraId="6C9E0607" w14:textId="77777777" w:rsidR="004E2F51" w:rsidRPr="00B37DA4" w:rsidRDefault="004E2F51" w:rsidP="00E032FC">
            <w:pPr>
              <w:jc w:val="right"/>
              <w:rPr>
                <w:rFonts w:ascii="Arial" w:eastAsia="Calibri" w:hAnsi="Arial" w:cs="Arial"/>
                <w:color w:val="000000"/>
                <w:sz w:val="16"/>
                <w:szCs w:val="16"/>
                <w:lang w:val="hr-HR"/>
              </w:rPr>
            </w:pPr>
          </w:p>
        </w:tc>
      </w:tr>
      <w:tr w:rsidR="004E2F51" w:rsidRPr="00B37DA4" w14:paraId="29BD5BB8" w14:textId="77777777" w:rsidTr="00E032FC">
        <w:trPr>
          <w:trHeight w:val="229"/>
        </w:trPr>
        <w:tc>
          <w:tcPr>
            <w:tcW w:w="2693" w:type="dxa"/>
            <w:tcBorders>
              <w:top w:val="nil"/>
              <w:left w:val="nil"/>
              <w:bottom w:val="nil"/>
            </w:tcBorders>
            <w:shd w:val="clear" w:color="auto" w:fill="auto"/>
            <w:noWrap/>
            <w:vAlign w:val="center"/>
          </w:tcPr>
          <w:p w14:paraId="6FF73571"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Fortenova Group TopCo B.V.</w:t>
            </w:r>
          </w:p>
        </w:tc>
        <w:tc>
          <w:tcPr>
            <w:tcW w:w="1219" w:type="dxa"/>
            <w:gridSpan w:val="2"/>
            <w:tcBorders>
              <w:top w:val="nil"/>
              <w:left w:val="nil"/>
              <w:bottom w:val="nil"/>
              <w:right w:val="nil"/>
            </w:tcBorders>
            <w:shd w:val="clear" w:color="auto" w:fill="auto"/>
            <w:vAlign w:val="center"/>
          </w:tcPr>
          <w:p w14:paraId="79CA1CFE"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1.4.2019.</w:t>
            </w:r>
          </w:p>
        </w:tc>
        <w:tc>
          <w:tcPr>
            <w:tcW w:w="1123" w:type="dxa"/>
            <w:tcBorders>
              <w:top w:val="nil"/>
              <w:left w:val="nil"/>
              <w:bottom w:val="nil"/>
              <w:right w:val="nil"/>
            </w:tcBorders>
            <w:shd w:val="clear" w:color="auto" w:fill="auto"/>
            <w:noWrap/>
            <w:vAlign w:val="center"/>
          </w:tcPr>
          <w:p w14:paraId="59C740AC"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1.4.2029.</w:t>
            </w:r>
          </w:p>
        </w:tc>
        <w:tc>
          <w:tcPr>
            <w:tcW w:w="1197" w:type="dxa"/>
            <w:tcBorders>
              <w:top w:val="nil"/>
              <w:left w:val="nil"/>
              <w:bottom w:val="nil"/>
              <w:right w:val="nil"/>
            </w:tcBorders>
            <w:shd w:val="clear" w:color="auto" w:fill="auto"/>
            <w:noWrap/>
            <w:vAlign w:val="bottom"/>
          </w:tcPr>
          <w:p w14:paraId="4C08DED3" w14:textId="77777777" w:rsidR="004E2F51" w:rsidRPr="00B37DA4" w:rsidRDefault="004E2F51" w:rsidP="00E032FC">
            <w:pPr>
              <w:jc w:val="center"/>
              <w:rPr>
                <w:rFonts w:ascii="Arial" w:eastAsia="Calibri" w:hAnsi="Arial" w:cs="Arial"/>
                <w:color w:val="000000"/>
                <w:sz w:val="16"/>
                <w:szCs w:val="16"/>
                <w:lang w:val="hr-HR"/>
              </w:rPr>
            </w:pPr>
            <w:r w:rsidRPr="00B37DA4">
              <w:rPr>
                <w:rFonts w:ascii="Arial" w:eastAsia="Calibri" w:hAnsi="Arial" w:cs="Arial"/>
                <w:color w:val="000000"/>
                <w:sz w:val="16"/>
                <w:szCs w:val="16"/>
                <w:lang w:val="hr-HR"/>
              </w:rPr>
              <w:t>2,5</w:t>
            </w:r>
          </w:p>
        </w:tc>
        <w:tc>
          <w:tcPr>
            <w:tcW w:w="1156" w:type="dxa"/>
            <w:tcBorders>
              <w:top w:val="nil"/>
              <w:left w:val="nil"/>
              <w:bottom w:val="nil"/>
              <w:right w:val="nil"/>
            </w:tcBorders>
            <w:vAlign w:val="bottom"/>
          </w:tcPr>
          <w:p w14:paraId="0B59246A"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1.472</w:t>
            </w:r>
          </w:p>
        </w:tc>
        <w:tc>
          <w:tcPr>
            <w:tcW w:w="1156" w:type="dxa"/>
            <w:tcBorders>
              <w:top w:val="nil"/>
              <w:left w:val="nil"/>
              <w:bottom w:val="nil"/>
              <w:right w:val="nil"/>
            </w:tcBorders>
            <w:vAlign w:val="bottom"/>
          </w:tcPr>
          <w:p w14:paraId="75D6AF3A"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1.397</w:t>
            </w:r>
          </w:p>
        </w:tc>
        <w:tc>
          <w:tcPr>
            <w:tcW w:w="1156" w:type="dxa"/>
            <w:tcBorders>
              <w:top w:val="nil"/>
              <w:left w:val="nil"/>
              <w:bottom w:val="nil"/>
              <w:right w:val="nil"/>
            </w:tcBorders>
            <w:shd w:val="clear" w:color="auto" w:fill="auto"/>
            <w:vAlign w:val="bottom"/>
          </w:tcPr>
          <w:p w14:paraId="480D312A"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1.472</w:t>
            </w:r>
          </w:p>
        </w:tc>
        <w:tc>
          <w:tcPr>
            <w:tcW w:w="1156" w:type="dxa"/>
            <w:tcBorders>
              <w:top w:val="nil"/>
              <w:left w:val="nil"/>
              <w:bottom w:val="nil"/>
              <w:right w:val="nil"/>
            </w:tcBorders>
            <w:vAlign w:val="bottom"/>
          </w:tcPr>
          <w:p w14:paraId="3D240415"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1.397</w:t>
            </w:r>
          </w:p>
        </w:tc>
      </w:tr>
      <w:tr w:rsidR="004E2F51" w:rsidRPr="00B37DA4" w14:paraId="23D7705D" w14:textId="77777777" w:rsidTr="00E032FC">
        <w:trPr>
          <w:trHeight w:val="229"/>
        </w:trPr>
        <w:tc>
          <w:tcPr>
            <w:tcW w:w="2693" w:type="dxa"/>
            <w:tcBorders>
              <w:top w:val="nil"/>
              <w:left w:val="nil"/>
              <w:bottom w:val="single" w:sz="4" w:space="0" w:color="auto"/>
            </w:tcBorders>
            <w:shd w:val="clear" w:color="auto" w:fill="auto"/>
            <w:noWrap/>
            <w:vAlign w:val="center"/>
            <w:hideMark/>
          </w:tcPr>
          <w:p w14:paraId="60745D43" w14:textId="77777777" w:rsidR="004E2F51" w:rsidRPr="00B37DA4" w:rsidRDefault="004E2F51" w:rsidP="00E032FC">
            <w:pPr>
              <w:rPr>
                <w:rFonts w:ascii="Arial" w:eastAsia="Calibri" w:hAnsi="Arial" w:cs="Arial"/>
                <w:color w:val="000000"/>
                <w:sz w:val="16"/>
                <w:szCs w:val="16"/>
                <w:lang w:val="hr-HR"/>
              </w:rPr>
            </w:pPr>
            <w:r w:rsidRPr="00B37DA4">
              <w:rPr>
                <w:rFonts w:ascii="Arial" w:eastAsia="Calibri" w:hAnsi="Arial" w:cs="Arial"/>
                <w:color w:val="000000"/>
                <w:sz w:val="16"/>
                <w:szCs w:val="16"/>
                <w:lang w:val="hr-HR"/>
              </w:rPr>
              <w:t xml:space="preserve">Obračunata kamata </w:t>
            </w:r>
          </w:p>
        </w:tc>
        <w:tc>
          <w:tcPr>
            <w:tcW w:w="1219" w:type="dxa"/>
            <w:gridSpan w:val="2"/>
            <w:tcBorders>
              <w:top w:val="nil"/>
              <w:left w:val="nil"/>
              <w:bottom w:val="single" w:sz="4" w:space="0" w:color="auto"/>
              <w:right w:val="nil"/>
            </w:tcBorders>
            <w:shd w:val="clear" w:color="auto" w:fill="auto"/>
            <w:noWrap/>
            <w:vAlign w:val="bottom"/>
            <w:hideMark/>
          </w:tcPr>
          <w:p w14:paraId="6B2AAEC0" w14:textId="77777777" w:rsidR="004E2F51" w:rsidRPr="00B37DA4" w:rsidRDefault="004E2F51" w:rsidP="00E032FC">
            <w:pPr>
              <w:rPr>
                <w:rFonts w:ascii="Arial" w:eastAsia="Calibri" w:hAnsi="Arial" w:cs="Arial"/>
                <w:color w:val="000000"/>
                <w:sz w:val="16"/>
                <w:szCs w:val="16"/>
                <w:lang w:val="hr-HR"/>
              </w:rPr>
            </w:pPr>
          </w:p>
        </w:tc>
        <w:tc>
          <w:tcPr>
            <w:tcW w:w="1123" w:type="dxa"/>
            <w:tcBorders>
              <w:top w:val="nil"/>
              <w:left w:val="nil"/>
              <w:bottom w:val="single" w:sz="4" w:space="0" w:color="auto"/>
              <w:right w:val="nil"/>
            </w:tcBorders>
            <w:shd w:val="clear" w:color="auto" w:fill="auto"/>
            <w:noWrap/>
            <w:vAlign w:val="bottom"/>
            <w:hideMark/>
          </w:tcPr>
          <w:p w14:paraId="5F7EECAA" w14:textId="77777777" w:rsidR="004E2F51" w:rsidRPr="00B37DA4" w:rsidRDefault="004E2F51" w:rsidP="00E032FC">
            <w:pPr>
              <w:rPr>
                <w:rFonts w:ascii="Arial" w:eastAsia="Calibri" w:hAnsi="Arial" w:cs="Arial"/>
                <w:color w:val="000000"/>
                <w:sz w:val="16"/>
                <w:szCs w:val="16"/>
                <w:lang w:val="hr-HR"/>
              </w:rPr>
            </w:pPr>
          </w:p>
        </w:tc>
        <w:tc>
          <w:tcPr>
            <w:tcW w:w="1197" w:type="dxa"/>
            <w:tcBorders>
              <w:top w:val="nil"/>
              <w:left w:val="nil"/>
              <w:bottom w:val="single" w:sz="4" w:space="0" w:color="auto"/>
              <w:right w:val="nil"/>
            </w:tcBorders>
            <w:shd w:val="clear" w:color="auto" w:fill="auto"/>
            <w:noWrap/>
            <w:vAlign w:val="bottom"/>
            <w:hideMark/>
          </w:tcPr>
          <w:p w14:paraId="234A2BC6" w14:textId="77777777" w:rsidR="004E2F51" w:rsidRPr="00B37DA4" w:rsidRDefault="004E2F51" w:rsidP="00E032FC">
            <w:pPr>
              <w:rPr>
                <w:rFonts w:ascii="Arial" w:eastAsia="Calibri" w:hAnsi="Arial" w:cs="Arial"/>
                <w:color w:val="000000"/>
                <w:sz w:val="16"/>
                <w:szCs w:val="16"/>
                <w:lang w:val="hr-HR"/>
              </w:rPr>
            </w:pPr>
          </w:p>
        </w:tc>
        <w:tc>
          <w:tcPr>
            <w:tcW w:w="1156" w:type="dxa"/>
            <w:tcBorders>
              <w:top w:val="nil"/>
              <w:left w:val="nil"/>
              <w:bottom w:val="single" w:sz="4" w:space="0" w:color="auto"/>
              <w:right w:val="nil"/>
            </w:tcBorders>
            <w:vAlign w:val="bottom"/>
          </w:tcPr>
          <w:p w14:paraId="6F7E01A0"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32</w:t>
            </w:r>
          </w:p>
        </w:tc>
        <w:tc>
          <w:tcPr>
            <w:tcW w:w="1156" w:type="dxa"/>
            <w:tcBorders>
              <w:top w:val="nil"/>
              <w:left w:val="nil"/>
              <w:bottom w:val="single" w:sz="4" w:space="0" w:color="auto"/>
              <w:right w:val="nil"/>
            </w:tcBorders>
            <w:vAlign w:val="bottom"/>
          </w:tcPr>
          <w:p w14:paraId="501147E4"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247</w:t>
            </w:r>
          </w:p>
        </w:tc>
        <w:tc>
          <w:tcPr>
            <w:tcW w:w="1156" w:type="dxa"/>
            <w:tcBorders>
              <w:top w:val="nil"/>
              <w:left w:val="nil"/>
              <w:bottom w:val="single" w:sz="4" w:space="0" w:color="auto"/>
              <w:right w:val="nil"/>
            </w:tcBorders>
            <w:shd w:val="clear" w:color="auto" w:fill="auto"/>
            <w:vAlign w:val="bottom"/>
          </w:tcPr>
          <w:p w14:paraId="41FFDDE7"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32</w:t>
            </w:r>
          </w:p>
        </w:tc>
        <w:tc>
          <w:tcPr>
            <w:tcW w:w="1156" w:type="dxa"/>
            <w:tcBorders>
              <w:top w:val="nil"/>
              <w:left w:val="nil"/>
              <w:bottom w:val="single" w:sz="4" w:space="0" w:color="auto"/>
              <w:right w:val="nil"/>
            </w:tcBorders>
            <w:vAlign w:val="bottom"/>
          </w:tcPr>
          <w:p w14:paraId="0FF0CC39"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247</w:t>
            </w:r>
          </w:p>
        </w:tc>
      </w:tr>
      <w:tr w:rsidR="004E2F51" w:rsidRPr="00B37DA4" w14:paraId="02D352C2" w14:textId="77777777" w:rsidTr="00E032FC">
        <w:trPr>
          <w:trHeight w:val="245"/>
        </w:trPr>
        <w:tc>
          <w:tcPr>
            <w:tcW w:w="2693" w:type="dxa"/>
            <w:tcBorders>
              <w:top w:val="single" w:sz="4" w:space="0" w:color="auto"/>
              <w:left w:val="nil"/>
              <w:bottom w:val="single" w:sz="12" w:space="0" w:color="auto"/>
              <w:right w:val="nil"/>
            </w:tcBorders>
            <w:shd w:val="clear" w:color="auto" w:fill="auto"/>
            <w:noWrap/>
            <w:vAlign w:val="center"/>
            <w:hideMark/>
          </w:tcPr>
          <w:p w14:paraId="1AFE6878" w14:textId="77777777" w:rsidR="004E2F51" w:rsidRPr="00B37DA4" w:rsidRDefault="004E2F51" w:rsidP="00E032FC">
            <w:pPr>
              <w:jc w:val="both"/>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 </w:t>
            </w:r>
          </w:p>
        </w:tc>
        <w:tc>
          <w:tcPr>
            <w:tcW w:w="1219" w:type="dxa"/>
            <w:gridSpan w:val="2"/>
            <w:tcBorders>
              <w:top w:val="single" w:sz="4" w:space="0" w:color="auto"/>
              <w:left w:val="nil"/>
              <w:bottom w:val="single" w:sz="12" w:space="0" w:color="auto"/>
              <w:right w:val="nil"/>
            </w:tcBorders>
            <w:shd w:val="clear" w:color="auto" w:fill="auto"/>
            <w:noWrap/>
            <w:vAlign w:val="center"/>
            <w:hideMark/>
          </w:tcPr>
          <w:p w14:paraId="2CFA7E6A"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 </w:t>
            </w:r>
          </w:p>
        </w:tc>
        <w:tc>
          <w:tcPr>
            <w:tcW w:w="1123" w:type="dxa"/>
            <w:tcBorders>
              <w:top w:val="single" w:sz="4" w:space="0" w:color="auto"/>
              <w:left w:val="nil"/>
              <w:bottom w:val="single" w:sz="12" w:space="0" w:color="auto"/>
              <w:right w:val="nil"/>
            </w:tcBorders>
            <w:shd w:val="clear" w:color="auto" w:fill="auto"/>
            <w:noWrap/>
            <w:vAlign w:val="center"/>
            <w:hideMark/>
          </w:tcPr>
          <w:p w14:paraId="20D0728A" w14:textId="77777777" w:rsidR="004E2F51" w:rsidRPr="00B37DA4" w:rsidRDefault="004E2F51" w:rsidP="00E032FC">
            <w:pPr>
              <w:jc w:val="right"/>
              <w:rPr>
                <w:rFonts w:ascii="Arial" w:eastAsia="Calibri" w:hAnsi="Arial" w:cs="Arial"/>
                <w:color w:val="000000"/>
                <w:sz w:val="16"/>
                <w:szCs w:val="16"/>
                <w:lang w:val="hr-HR"/>
              </w:rPr>
            </w:pPr>
            <w:r w:rsidRPr="00B37DA4">
              <w:rPr>
                <w:rFonts w:ascii="Arial" w:eastAsia="Calibri" w:hAnsi="Arial" w:cs="Arial"/>
                <w:color w:val="000000"/>
                <w:sz w:val="16"/>
                <w:szCs w:val="16"/>
                <w:lang w:val="hr-HR"/>
              </w:rPr>
              <w:t> </w:t>
            </w:r>
          </w:p>
        </w:tc>
        <w:tc>
          <w:tcPr>
            <w:tcW w:w="1197" w:type="dxa"/>
            <w:tcBorders>
              <w:top w:val="single" w:sz="4" w:space="0" w:color="auto"/>
              <w:left w:val="nil"/>
              <w:bottom w:val="single" w:sz="12" w:space="0" w:color="auto"/>
              <w:right w:val="nil"/>
            </w:tcBorders>
            <w:shd w:val="clear" w:color="auto" w:fill="auto"/>
            <w:noWrap/>
            <w:vAlign w:val="bottom"/>
            <w:hideMark/>
          </w:tcPr>
          <w:p w14:paraId="77C6DD4A" w14:textId="77777777" w:rsidR="004E2F51" w:rsidRPr="00B37DA4" w:rsidRDefault="004E2F51" w:rsidP="00E032FC">
            <w:pPr>
              <w:jc w:val="both"/>
              <w:rPr>
                <w:rFonts w:ascii="Arial" w:eastAsia="Calibri" w:hAnsi="Arial" w:cs="Arial"/>
                <w:color w:val="000000"/>
                <w:sz w:val="16"/>
                <w:szCs w:val="16"/>
                <w:lang w:val="hr-HR"/>
              </w:rPr>
            </w:pPr>
            <w:r w:rsidRPr="00B37DA4">
              <w:rPr>
                <w:rFonts w:ascii="Arial" w:eastAsia="Calibri" w:hAnsi="Arial" w:cs="Arial"/>
                <w:color w:val="000000"/>
                <w:sz w:val="16"/>
                <w:szCs w:val="16"/>
                <w:lang w:val="hr-HR"/>
              </w:rPr>
              <w:t> </w:t>
            </w:r>
          </w:p>
        </w:tc>
        <w:tc>
          <w:tcPr>
            <w:tcW w:w="1156" w:type="dxa"/>
            <w:tcBorders>
              <w:top w:val="single" w:sz="4" w:space="0" w:color="auto"/>
              <w:left w:val="nil"/>
              <w:bottom w:val="single" w:sz="12" w:space="0" w:color="auto"/>
              <w:right w:val="nil"/>
            </w:tcBorders>
            <w:vAlign w:val="bottom"/>
          </w:tcPr>
          <w:p w14:paraId="232452D3"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1.968</w:t>
            </w:r>
          </w:p>
        </w:tc>
        <w:tc>
          <w:tcPr>
            <w:tcW w:w="1156" w:type="dxa"/>
            <w:tcBorders>
              <w:top w:val="single" w:sz="4" w:space="0" w:color="auto"/>
              <w:left w:val="nil"/>
              <w:bottom w:val="single" w:sz="12" w:space="0" w:color="auto"/>
              <w:right w:val="nil"/>
            </w:tcBorders>
            <w:vAlign w:val="bottom"/>
          </w:tcPr>
          <w:p w14:paraId="438A34B4"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2.176</w:t>
            </w:r>
          </w:p>
        </w:tc>
        <w:tc>
          <w:tcPr>
            <w:tcW w:w="1156" w:type="dxa"/>
            <w:tcBorders>
              <w:top w:val="single" w:sz="4" w:space="0" w:color="auto"/>
              <w:left w:val="nil"/>
              <w:bottom w:val="single" w:sz="12" w:space="0" w:color="auto"/>
              <w:right w:val="nil"/>
            </w:tcBorders>
            <w:shd w:val="clear" w:color="auto" w:fill="auto"/>
            <w:vAlign w:val="bottom"/>
          </w:tcPr>
          <w:p w14:paraId="2814C53E"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1.968</w:t>
            </w:r>
          </w:p>
        </w:tc>
        <w:tc>
          <w:tcPr>
            <w:tcW w:w="1156" w:type="dxa"/>
            <w:tcBorders>
              <w:top w:val="single" w:sz="4" w:space="0" w:color="auto"/>
              <w:left w:val="nil"/>
              <w:bottom w:val="single" w:sz="12" w:space="0" w:color="auto"/>
              <w:right w:val="nil"/>
            </w:tcBorders>
            <w:vAlign w:val="bottom"/>
          </w:tcPr>
          <w:p w14:paraId="3FDFABEC"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2.176</w:t>
            </w:r>
          </w:p>
        </w:tc>
      </w:tr>
      <w:tr w:rsidR="004E2F51" w:rsidRPr="00B37DA4" w14:paraId="362C0ED5" w14:textId="77777777" w:rsidTr="00E032FC">
        <w:trPr>
          <w:trHeight w:hRule="exact" w:val="170"/>
        </w:trPr>
        <w:tc>
          <w:tcPr>
            <w:tcW w:w="2693" w:type="dxa"/>
            <w:tcBorders>
              <w:top w:val="single" w:sz="12" w:space="0" w:color="auto"/>
              <w:left w:val="nil"/>
              <w:right w:val="nil"/>
            </w:tcBorders>
            <w:shd w:val="clear" w:color="auto" w:fill="auto"/>
            <w:noWrap/>
            <w:vAlign w:val="center"/>
          </w:tcPr>
          <w:p w14:paraId="001A7DAD" w14:textId="77777777" w:rsidR="004E2F51" w:rsidRPr="00B37DA4" w:rsidRDefault="004E2F51" w:rsidP="00E032FC">
            <w:pPr>
              <w:jc w:val="both"/>
              <w:rPr>
                <w:rFonts w:ascii="Arial" w:eastAsia="Calibri" w:hAnsi="Arial" w:cs="Arial"/>
                <w:b/>
                <w:bCs/>
                <w:color w:val="000000"/>
                <w:sz w:val="16"/>
                <w:szCs w:val="16"/>
                <w:lang w:val="hr-HR"/>
              </w:rPr>
            </w:pPr>
          </w:p>
        </w:tc>
        <w:tc>
          <w:tcPr>
            <w:tcW w:w="1219" w:type="dxa"/>
            <w:gridSpan w:val="2"/>
            <w:tcBorders>
              <w:top w:val="single" w:sz="12" w:space="0" w:color="auto"/>
              <w:left w:val="nil"/>
              <w:right w:val="nil"/>
            </w:tcBorders>
            <w:shd w:val="clear" w:color="auto" w:fill="auto"/>
            <w:noWrap/>
            <w:vAlign w:val="center"/>
          </w:tcPr>
          <w:p w14:paraId="1353F4E0" w14:textId="77777777" w:rsidR="004E2F51" w:rsidRPr="00B37DA4" w:rsidRDefault="004E2F51" w:rsidP="00E032FC">
            <w:pPr>
              <w:jc w:val="right"/>
              <w:rPr>
                <w:rFonts w:ascii="Arial" w:eastAsia="Calibri" w:hAnsi="Arial" w:cs="Arial"/>
                <w:color w:val="000000"/>
                <w:sz w:val="16"/>
                <w:szCs w:val="16"/>
                <w:lang w:val="hr-HR"/>
              </w:rPr>
            </w:pPr>
          </w:p>
        </w:tc>
        <w:tc>
          <w:tcPr>
            <w:tcW w:w="1123" w:type="dxa"/>
            <w:tcBorders>
              <w:top w:val="single" w:sz="12" w:space="0" w:color="auto"/>
              <w:left w:val="nil"/>
              <w:right w:val="nil"/>
            </w:tcBorders>
            <w:shd w:val="clear" w:color="auto" w:fill="auto"/>
            <w:noWrap/>
            <w:vAlign w:val="center"/>
          </w:tcPr>
          <w:p w14:paraId="16E5E121" w14:textId="77777777" w:rsidR="004E2F51" w:rsidRPr="00B37DA4" w:rsidRDefault="004E2F51" w:rsidP="00E032FC">
            <w:pPr>
              <w:jc w:val="right"/>
              <w:rPr>
                <w:rFonts w:ascii="Arial" w:eastAsia="Calibri" w:hAnsi="Arial" w:cs="Arial"/>
                <w:color w:val="000000"/>
                <w:sz w:val="16"/>
                <w:szCs w:val="16"/>
                <w:lang w:val="hr-HR"/>
              </w:rPr>
            </w:pPr>
          </w:p>
        </w:tc>
        <w:tc>
          <w:tcPr>
            <w:tcW w:w="1197" w:type="dxa"/>
            <w:tcBorders>
              <w:top w:val="single" w:sz="12" w:space="0" w:color="auto"/>
              <w:left w:val="nil"/>
              <w:right w:val="nil"/>
            </w:tcBorders>
            <w:shd w:val="clear" w:color="auto" w:fill="auto"/>
            <w:noWrap/>
            <w:vAlign w:val="bottom"/>
          </w:tcPr>
          <w:p w14:paraId="0BFA7B92" w14:textId="77777777" w:rsidR="004E2F51" w:rsidRPr="00B37DA4" w:rsidRDefault="004E2F51" w:rsidP="00E032FC">
            <w:pPr>
              <w:jc w:val="both"/>
              <w:rPr>
                <w:rFonts w:ascii="Arial" w:eastAsia="Calibri" w:hAnsi="Arial" w:cs="Arial"/>
                <w:color w:val="000000"/>
                <w:sz w:val="16"/>
                <w:szCs w:val="16"/>
                <w:lang w:val="hr-HR"/>
              </w:rPr>
            </w:pPr>
          </w:p>
        </w:tc>
        <w:tc>
          <w:tcPr>
            <w:tcW w:w="1156" w:type="dxa"/>
            <w:tcBorders>
              <w:top w:val="single" w:sz="12" w:space="0" w:color="auto"/>
              <w:left w:val="nil"/>
              <w:right w:val="nil"/>
            </w:tcBorders>
            <w:vAlign w:val="bottom"/>
          </w:tcPr>
          <w:p w14:paraId="23633595" w14:textId="77777777" w:rsidR="004E2F51" w:rsidRPr="00B37DA4" w:rsidDel="00714EAD" w:rsidRDefault="004E2F51" w:rsidP="00E032FC">
            <w:pPr>
              <w:jc w:val="right"/>
              <w:rPr>
                <w:rFonts w:ascii="Arial" w:eastAsia="Calibri" w:hAnsi="Arial" w:cs="Arial"/>
                <w:b/>
                <w:bCs/>
                <w:color w:val="000000"/>
                <w:sz w:val="16"/>
                <w:szCs w:val="16"/>
                <w:lang w:val="hr-HR"/>
              </w:rPr>
            </w:pPr>
          </w:p>
        </w:tc>
        <w:tc>
          <w:tcPr>
            <w:tcW w:w="1156" w:type="dxa"/>
            <w:tcBorders>
              <w:top w:val="single" w:sz="12" w:space="0" w:color="auto"/>
              <w:left w:val="nil"/>
              <w:right w:val="nil"/>
            </w:tcBorders>
            <w:vAlign w:val="bottom"/>
          </w:tcPr>
          <w:p w14:paraId="300B48AE" w14:textId="77777777" w:rsidR="004E2F51" w:rsidRPr="00B37DA4" w:rsidDel="00714EAD" w:rsidRDefault="004E2F51" w:rsidP="00E032FC">
            <w:pPr>
              <w:jc w:val="right"/>
              <w:rPr>
                <w:rFonts w:ascii="Arial" w:eastAsia="Calibri" w:hAnsi="Arial" w:cs="Arial"/>
                <w:b/>
                <w:bCs/>
                <w:color w:val="000000"/>
                <w:sz w:val="16"/>
                <w:szCs w:val="16"/>
                <w:lang w:val="hr-HR"/>
              </w:rPr>
            </w:pPr>
          </w:p>
        </w:tc>
        <w:tc>
          <w:tcPr>
            <w:tcW w:w="1156" w:type="dxa"/>
            <w:tcBorders>
              <w:top w:val="single" w:sz="12" w:space="0" w:color="auto"/>
              <w:left w:val="nil"/>
              <w:right w:val="nil"/>
            </w:tcBorders>
            <w:shd w:val="clear" w:color="auto" w:fill="auto"/>
            <w:vAlign w:val="bottom"/>
          </w:tcPr>
          <w:p w14:paraId="3BF013DA" w14:textId="77777777" w:rsidR="004E2F51" w:rsidRPr="00B37DA4" w:rsidDel="00714EAD" w:rsidRDefault="004E2F51" w:rsidP="00E032FC">
            <w:pPr>
              <w:jc w:val="right"/>
              <w:rPr>
                <w:rFonts w:ascii="Arial" w:eastAsia="Calibri" w:hAnsi="Arial" w:cs="Arial"/>
                <w:b/>
                <w:bCs/>
                <w:color w:val="000000"/>
                <w:sz w:val="16"/>
                <w:szCs w:val="16"/>
                <w:lang w:val="hr-HR"/>
              </w:rPr>
            </w:pPr>
          </w:p>
        </w:tc>
        <w:tc>
          <w:tcPr>
            <w:tcW w:w="1156" w:type="dxa"/>
            <w:tcBorders>
              <w:top w:val="single" w:sz="12" w:space="0" w:color="auto"/>
              <w:left w:val="nil"/>
              <w:right w:val="nil"/>
            </w:tcBorders>
            <w:vAlign w:val="bottom"/>
          </w:tcPr>
          <w:p w14:paraId="04366778" w14:textId="77777777" w:rsidR="004E2F51" w:rsidRPr="00B37DA4" w:rsidDel="00714EAD" w:rsidRDefault="004E2F51" w:rsidP="00E032FC">
            <w:pPr>
              <w:jc w:val="right"/>
              <w:rPr>
                <w:rFonts w:ascii="Arial" w:eastAsia="Calibri" w:hAnsi="Arial" w:cs="Arial"/>
                <w:b/>
                <w:bCs/>
                <w:color w:val="000000"/>
                <w:sz w:val="16"/>
                <w:szCs w:val="16"/>
                <w:lang w:val="hr-HR"/>
              </w:rPr>
            </w:pPr>
          </w:p>
        </w:tc>
      </w:tr>
      <w:tr w:rsidR="004E2F51" w:rsidRPr="00B37DA4" w14:paraId="7C9DF026" w14:textId="77777777" w:rsidTr="00E032FC">
        <w:trPr>
          <w:trHeight w:val="245"/>
        </w:trPr>
        <w:tc>
          <w:tcPr>
            <w:tcW w:w="2693" w:type="dxa"/>
            <w:tcBorders>
              <w:left w:val="nil"/>
              <w:right w:val="nil"/>
            </w:tcBorders>
            <w:shd w:val="clear" w:color="auto" w:fill="auto"/>
            <w:noWrap/>
            <w:vAlign w:val="center"/>
          </w:tcPr>
          <w:p w14:paraId="5341C99C" w14:textId="77777777" w:rsidR="004E2F51" w:rsidRPr="00B37DA4" w:rsidRDefault="004E2F51" w:rsidP="00E032FC">
            <w:pPr>
              <w:jc w:val="both"/>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Vlasnički vrijednosni papiri:</w:t>
            </w:r>
          </w:p>
        </w:tc>
        <w:tc>
          <w:tcPr>
            <w:tcW w:w="1219" w:type="dxa"/>
            <w:gridSpan w:val="2"/>
            <w:tcBorders>
              <w:left w:val="nil"/>
              <w:right w:val="nil"/>
            </w:tcBorders>
            <w:shd w:val="clear" w:color="auto" w:fill="auto"/>
            <w:noWrap/>
            <w:vAlign w:val="center"/>
          </w:tcPr>
          <w:p w14:paraId="1DE04369" w14:textId="77777777" w:rsidR="004E2F51" w:rsidRPr="00B37DA4" w:rsidRDefault="004E2F51" w:rsidP="00E032FC">
            <w:pPr>
              <w:jc w:val="right"/>
              <w:rPr>
                <w:rFonts w:ascii="Arial" w:eastAsia="Calibri" w:hAnsi="Arial" w:cs="Arial"/>
                <w:color w:val="000000"/>
                <w:sz w:val="16"/>
                <w:szCs w:val="16"/>
                <w:lang w:val="hr-HR"/>
              </w:rPr>
            </w:pPr>
          </w:p>
        </w:tc>
        <w:tc>
          <w:tcPr>
            <w:tcW w:w="1123" w:type="dxa"/>
            <w:tcBorders>
              <w:left w:val="nil"/>
              <w:right w:val="nil"/>
            </w:tcBorders>
            <w:shd w:val="clear" w:color="auto" w:fill="auto"/>
            <w:noWrap/>
            <w:vAlign w:val="center"/>
          </w:tcPr>
          <w:p w14:paraId="3F86CF89" w14:textId="77777777" w:rsidR="004E2F51" w:rsidRPr="00B37DA4" w:rsidRDefault="004E2F51" w:rsidP="00E032FC">
            <w:pPr>
              <w:jc w:val="right"/>
              <w:rPr>
                <w:rFonts w:ascii="Arial" w:eastAsia="Calibri" w:hAnsi="Arial" w:cs="Arial"/>
                <w:color w:val="000000"/>
                <w:sz w:val="16"/>
                <w:szCs w:val="16"/>
                <w:lang w:val="hr-HR"/>
              </w:rPr>
            </w:pPr>
          </w:p>
        </w:tc>
        <w:tc>
          <w:tcPr>
            <w:tcW w:w="1197" w:type="dxa"/>
            <w:tcBorders>
              <w:left w:val="nil"/>
              <w:right w:val="nil"/>
            </w:tcBorders>
            <w:shd w:val="clear" w:color="auto" w:fill="auto"/>
            <w:noWrap/>
            <w:vAlign w:val="bottom"/>
          </w:tcPr>
          <w:p w14:paraId="31D4A40C" w14:textId="77777777" w:rsidR="004E2F51" w:rsidRPr="00B37DA4" w:rsidRDefault="004E2F51" w:rsidP="00E032FC">
            <w:pPr>
              <w:jc w:val="both"/>
              <w:rPr>
                <w:rFonts w:ascii="Arial" w:eastAsia="Calibri" w:hAnsi="Arial" w:cs="Arial"/>
                <w:color w:val="000000"/>
                <w:sz w:val="16"/>
                <w:szCs w:val="16"/>
                <w:lang w:val="hr-HR"/>
              </w:rPr>
            </w:pPr>
          </w:p>
        </w:tc>
        <w:tc>
          <w:tcPr>
            <w:tcW w:w="1156" w:type="dxa"/>
            <w:tcBorders>
              <w:left w:val="nil"/>
              <w:right w:val="nil"/>
            </w:tcBorders>
            <w:vAlign w:val="bottom"/>
          </w:tcPr>
          <w:p w14:paraId="45A61BB4" w14:textId="77777777" w:rsidR="004E2F51" w:rsidRPr="00B37DA4" w:rsidDel="00714EAD" w:rsidRDefault="004E2F51" w:rsidP="00E032FC">
            <w:pPr>
              <w:jc w:val="right"/>
              <w:rPr>
                <w:rFonts w:ascii="Arial" w:eastAsia="Calibri" w:hAnsi="Arial" w:cs="Arial"/>
                <w:b/>
                <w:bCs/>
                <w:color w:val="000000"/>
                <w:sz w:val="16"/>
                <w:szCs w:val="16"/>
                <w:lang w:val="hr-HR"/>
              </w:rPr>
            </w:pPr>
          </w:p>
        </w:tc>
        <w:tc>
          <w:tcPr>
            <w:tcW w:w="1156" w:type="dxa"/>
            <w:tcBorders>
              <w:left w:val="nil"/>
              <w:right w:val="nil"/>
            </w:tcBorders>
            <w:vAlign w:val="bottom"/>
          </w:tcPr>
          <w:p w14:paraId="10819CD7" w14:textId="77777777" w:rsidR="004E2F51" w:rsidRPr="00B37DA4" w:rsidDel="00714EAD" w:rsidRDefault="004E2F51" w:rsidP="00E032FC">
            <w:pPr>
              <w:jc w:val="right"/>
              <w:rPr>
                <w:rFonts w:ascii="Arial" w:eastAsia="Calibri" w:hAnsi="Arial" w:cs="Arial"/>
                <w:b/>
                <w:bCs/>
                <w:color w:val="000000"/>
                <w:sz w:val="16"/>
                <w:szCs w:val="16"/>
                <w:lang w:val="hr-HR"/>
              </w:rPr>
            </w:pPr>
          </w:p>
        </w:tc>
        <w:tc>
          <w:tcPr>
            <w:tcW w:w="1156" w:type="dxa"/>
            <w:tcBorders>
              <w:left w:val="nil"/>
              <w:right w:val="nil"/>
            </w:tcBorders>
            <w:shd w:val="clear" w:color="auto" w:fill="auto"/>
            <w:vAlign w:val="bottom"/>
          </w:tcPr>
          <w:p w14:paraId="576A8C6A" w14:textId="77777777" w:rsidR="004E2F51" w:rsidRPr="00B37DA4" w:rsidDel="00714EAD" w:rsidRDefault="004E2F51" w:rsidP="00E032FC">
            <w:pPr>
              <w:jc w:val="right"/>
              <w:rPr>
                <w:rFonts w:ascii="Arial" w:eastAsia="Calibri" w:hAnsi="Arial" w:cs="Arial"/>
                <w:b/>
                <w:bCs/>
                <w:color w:val="000000"/>
                <w:sz w:val="16"/>
                <w:szCs w:val="16"/>
                <w:lang w:val="hr-HR"/>
              </w:rPr>
            </w:pPr>
          </w:p>
        </w:tc>
        <w:tc>
          <w:tcPr>
            <w:tcW w:w="1156" w:type="dxa"/>
            <w:tcBorders>
              <w:left w:val="nil"/>
              <w:right w:val="nil"/>
            </w:tcBorders>
            <w:vAlign w:val="bottom"/>
          </w:tcPr>
          <w:p w14:paraId="2D99B412" w14:textId="77777777" w:rsidR="004E2F51" w:rsidRPr="00B37DA4" w:rsidDel="00714EAD" w:rsidRDefault="004E2F51" w:rsidP="00E032FC">
            <w:pPr>
              <w:jc w:val="right"/>
              <w:rPr>
                <w:rFonts w:ascii="Arial" w:eastAsia="Calibri" w:hAnsi="Arial" w:cs="Arial"/>
                <w:b/>
                <w:bCs/>
                <w:color w:val="000000"/>
                <w:sz w:val="16"/>
                <w:szCs w:val="16"/>
                <w:lang w:val="hr-HR"/>
              </w:rPr>
            </w:pPr>
          </w:p>
        </w:tc>
      </w:tr>
      <w:tr w:rsidR="004E2F51" w:rsidRPr="00B37DA4" w14:paraId="12E7D858" w14:textId="77777777" w:rsidTr="00185239">
        <w:trPr>
          <w:trHeight w:val="245"/>
        </w:trPr>
        <w:tc>
          <w:tcPr>
            <w:tcW w:w="3912" w:type="dxa"/>
            <w:gridSpan w:val="3"/>
            <w:tcBorders>
              <w:left w:val="nil"/>
              <w:right w:val="nil"/>
            </w:tcBorders>
            <w:shd w:val="clear" w:color="auto" w:fill="auto"/>
            <w:noWrap/>
            <w:vAlign w:val="bottom"/>
          </w:tcPr>
          <w:p w14:paraId="5212EB4C" w14:textId="77777777" w:rsidR="004E2F51" w:rsidRPr="00B37DA4" w:rsidRDefault="004E2F51" w:rsidP="00E032FC">
            <w:pPr>
              <w:rPr>
                <w:rFonts w:ascii="Arial" w:eastAsia="Calibri" w:hAnsi="Arial" w:cs="Arial"/>
                <w:color w:val="000000"/>
                <w:sz w:val="16"/>
                <w:szCs w:val="16"/>
                <w:lang w:val="hr-HR"/>
              </w:rPr>
            </w:pPr>
            <w:r w:rsidRPr="00B37DA4">
              <w:rPr>
                <w:rFonts w:ascii="Arial" w:eastAsia="Calibri" w:hAnsi="Arial" w:cs="Arial"/>
                <w:bCs/>
                <w:color w:val="000000"/>
                <w:sz w:val="16"/>
                <w:szCs w:val="16"/>
                <w:lang w:val="hr-HR"/>
              </w:rPr>
              <w:t>Vlasnički vrijednosni papiri koji ne kotiraju:</w:t>
            </w:r>
          </w:p>
        </w:tc>
        <w:tc>
          <w:tcPr>
            <w:tcW w:w="1123" w:type="dxa"/>
            <w:tcBorders>
              <w:left w:val="nil"/>
              <w:right w:val="nil"/>
            </w:tcBorders>
            <w:shd w:val="clear" w:color="auto" w:fill="auto"/>
            <w:noWrap/>
            <w:vAlign w:val="bottom"/>
          </w:tcPr>
          <w:p w14:paraId="3AD9A870" w14:textId="77777777" w:rsidR="004E2F51" w:rsidRPr="00B37DA4" w:rsidRDefault="004E2F51" w:rsidP="00E032FC">
            <w:pPr>
              <w:jc w:val="right"/>
              <w:rPr>
                <w:rFonts w:ascii="Arial" w:eastAsia="Calibri" w:hAnsi="Arial" w:cs="Arial"/>
                <w:color w:val="000000"/>
                <w:sz w:val="16"/>
                <w:szCs w:val="16"/>
                <w:lang w:val="hr-HR"/>
              </w:rPr>
            </w:pPr>
          </w:p>
        </w:tc>
        <w:tc>
          <w:tcPr>
            <w:tcW w:w="1197" w:type="dxa"/>
            <w:tcBorders>
              <w:left w:val="nil"/>
              <w:right w:val="nil"/>
            </w:tcBorders>
            <w:shd w:val="clear" w:color="auto" w:fill="auto"/>
            <w:noWrap/>
            <w:vAlign w:val="bottom"/>
          </w:tcPr>
          <w:p w14:paraId="4B1FA4C2" w14:textId="77777777" w:rsidR="004E2F51" w:rsidRPr="00B37DA4" w:rsidRDefault="004E2F51" w:rsidP="00E032FC">
            <w:pPr>
              <w:jc w:val="both"/>
              <w:rPr>
                <w:rFonts w:ascii="Arial" w:eastAsia="Calibri" w:hAnsi="Arial" w:cs="Arial"/>
                <w:color w:val="000000"/>
                <w:sz w:val="16"/>
                <w:szCs w:val="16"/>
                <w:lang w:val="hr-HR"/>
              </w:rPr>
            </w:pPr>
          </w:p>
        </w:tc>
        <w:tc>
          <w:tcPr>
            <w:tcW w:w="1156" w:type="dxa"/>
            <w:tcBorders>
              <w:left w:val="nil"/>
              <w:right w:val="nil"/>
            </w:tcBorders>
            <w:vAlign w:val="bottom"/>
          </w:tcPr>
          <w:p w14:paraId="180078AD" w14:textId="77777777" w:rsidR="004E2F51" w:rsidRPr="00B37DA4" w:rsidDel="00714EAD" w:rsidRDefault="004E2F51" w:rsidP="00E032FC">
            <w:pPr>
              <w:jc w:val="right"/>
              <w:rPr>
                <w:rFonts w:ascii="Arial" w:eastAsia="Calibri" w:hAnsi="Arial" w:cs="Arial"/>
                <w:b/>
                <w:bCs/>
                <w:color w:val="000000"/>
                <w:sz w:val="16"/>
                <w:szCs w:val="16"/>
                <w:lang w:val="hr-HR"/>
              </w:rPr>
            </w:pPr>
          </w:p>
        </w:tc>
        <w:tc>
          <w:tcPr>
            <w:tcW w:w="1156" w:type="dxa"/>
            <w:tcBorders>
              <w:left w:val="nil"/>
              <w:right w:val="nil"/>
            </w:tcBorders>
            <w:shd w:val="clear" w:color="auto" w:fill="auto"/>
            <w:vAlign w:val="bottom"/>
          </w:tcPr>
          <w:p w14:paraId="65224249" w14:textId="77777777" w:rsidR="004E2F51" w:rsidRPr="00B37DA4" w:rsidDel="00714EAD" w:rsidRDefault="004E2F51" w:rsidP="00E032FC">
            <w:pPr>
              <w:jc w:val="right"/>
              <w:rPr>
                <w:rFonts w:ascii="Arial" w:eastAsia="Calibri" w:hAnsi="Arial" w:cs="Arial"/>
                <w:b/>
                <w:bCs/>
                <w:color w:val="000000"/>
                <w:sz w:val="16"/>
                <w:szCs w:val="16"/>
                <w:lang w:val="hr-HR"/>
              </w:rPr>
            </w:pPr>
          </w:p>
        </w:tc>
        <w:tc>
          <w:tcPr>
            <w:tcW w:w="1156" w:type="dxa"/>
            <w:tcBorders>
              <w:left w:val="nil"/>
              <w:right w:val="nil"/>
            </w:tcBorders>
            <w:vAlign w:val="bottom"/>
          </w:tcPr>
          <w:p w14:paraId="6E55E89F" w14:textId="77777777" w:rsidR="004E2F51" w:rsidRPr="00B37DA4" w:rsidDel="00714EAD" w:rsidRDefault="004E2F51" w:rsidP="00E032FC">
            <w:pPr>
              <w:jc w:val="right"/>
              <w:rPr>
                <w:rFonts w:ascii="Arial" w:eastAsia="Calibri" w:hAnsi="Arial" w:cs="Arial"/>
                <w:b/>
                <w:bCs/>
                <w:color w:val="000000"/>
                <w:sz w:val="16"/>
                <w:szCs w:val="16"/>
                <w:lang w:val="hr-HR"/>
              </w:rPr>
            </w:pPr>
          </w:p>
        </w:tc>
        <w:tc>
          <w:tcPr>
            <w:tcW w:w="1156" w:type="dxa"/>
            <w:tcBorders>
              <w:left w:val="nil"/>
              <w:right w:val="nil"/>
            </w:tcBorders>
            <w:shd w:val="clear" w:color="auto" w:fill="auto"/>
            <w:vAlign w:val="bottom"/>
          </w:tcPr>
          <w:p w14:paraId="70CA107F" w14:textId="77777777" w:rsidR="004E2F51" w:rsidRPr="00B37DA4" w:rsidDel="00714EAD" w:rsidRDefault="004E2F51" w:rsidP="00E032FC">
            <w:pPr>
              <w:jc w:val="right"/>
              <w:rPr>
                <w:rFonts w:ascii="Arial" w:eastAsia="Calibri" w:hAnsi="Arial" w:cs="Arial"/>
                <w:b/>
                <w:bCs/>
                <w:color w:val="000000"/>
                <w:sz w:val="16"/>
                <w:szCs w:val="16"/>
                <w:lang w:val="hr-HR"/>
              </w:rPr>
            </w:pPr>
          </w:p>
        </w:tc>
      </w:tr>
      <w:tr w:rsidR="004E2F51" w:rsidRPr="00B37DA4" w14:paraId="0B98D5E7" w14:textId="77777777" w:rsidTr="00185239">
        <w:trPr>
          <w:trHeight w:val="245"/>
        </w:trPr>
        <w:tc>
          <w:tcPr>
            <w:tcW w:w="5035" w:type="dxa"/>
            <w:gridSpan w:val="4"/>
            <w:tcBorders>
              <w:left w:val="nil"/>
              <w:right w:val="nil"/>
            </w:tcBorders>
            <w:shd w:val="clear" w:color="auto" w:fill="auto"/>
            <w:noWrap/>
            <w:vAlign w:val="bottom"/>
          </w:tcPr>
          <w:p w14:paraId="6363535A" w14:textId="77777777" w:rsidR="004E2F51" w:rsidRPr="00B37DA4" w:rsidRDefault="004E2F51" w:rsidP="00E032FC">
            <w:pPr>
              <w:rPr>
                <w:rFonts w:ascii="Arial" w:eastAsia="Calibri" w:hAnsi="Arial" w:cs="Arial"/>
                <w:color w:val="000000"/>
                <w:sz w:val="16"/>
                <w:szCs w:val="16"/>
                <w:lang w:val="hr-HR"/>
              </w:rPr>
            </w:pPr>
            <w:r w:rsidRPr="00B37DA4">
              <w:rPr>
                <w:rFonts w:ascii="Arial" w:eastAsia="Calibri" w:hAnsi="Arial" w:cs="Arial"/>
                <w:color w:val="000000"/>
                <w:sz w:val="16"/>
                <w:szCs w:val="16"/>
                <w:lang w:val="hr-HR"/>
              </w:rPr>
              <w:t>Dionice inozemnih pravnih osoba - SWIFT</w:t>
            </w:r>
          </w:p>
        </w:tc>
        <w:tc>
          <w:tcPr>
            <w:tcW w:w="1197" w:type="dxa"/>
            <w:tcBorders>
              <w:left w:val="nil"/>
              <w:right w:val="nil"/>
            </w:tcBorders>
            <w:shd w:val="clear" w:color="auto" w:fill="auto"/>
            <w:noWrap/>
            <w:vAlign w:val="bottom"/>
          </w:tcPr>
          <w:p w14:paraId="7481840D" w14:textId="77777777" w:rsidR="004E2F51" w:rsidRPr="00B37DA4" w:rsidRDefault="004E2F51" w:rsidP="00E032FC">
            <w:pPr>
              <w:jc w:val="both"/>
              <w:rPr>
                <w:rFonts w:ascii="Arial" w:eastAsia="Calibri" w:hAnsi="Arial" w:cs="Arial"/>
                <w:color w:val="000000"/>
                <w:sz w:val="16"/>
                <w:szCs w:val="16"/>
                <w:lang w:val="hr-HR"/>
              </w:rPr>
            </w:pPr>
          </w:p>
        </w:tc>
        <w:tc>
          <w:tcPr>
            <w:tcW w:w="1156" w:type="dxa"/>
            <w:tcBorders>
              <w:left w:val="nil"/>
              <w:right w:val="nil"/>
            </w:tcBorders>
            <w:vAlign w:val="bottom"/>
          </w:tcPr>
          <w:p w14:paraId="27B3D731" w14:textId="77777777" w:rsidR="004E2F51" w:rsidRPr="00B37DA4" w:rsidRDefault="004E2F51" w:rsidP="00E032FC">
            <w:pPr>
              <w:jc w:val="right"/>
              <w:rPr>
                <w:rFonts w:ascii="Arial" w:eastAsia="Calibri" w:hAnsi="Arial" w:cs="Arial"/>
                <w:bCs/>
                <w:color w:val="000000"/>
                <w:sz w:val="16"/>
                <w:szCs w:val="16"/>
                <w:lang w:val="hr-HR"/>
              </w:rPr>
            </w:pPr>
            <w:r w:rsidRPr="00B37DA4">
              <w:rPr>
                <w:rFonts w:ascii="Arial" w:eastAsia="Calibri" w:hAnsi="Arial" w:cs="Arial"/>
                <w:bCs/>
                <w:color w:val="000000"/>
                <w:sz w:val="16"/>
                <w:szCs w:val="16"/>
                <w:lang w:val="hr-HR"/>
              </w:rPr>
              <w:t>55</w:t>
            </w:r>
          </w:p>
        </w:tc>
        <w:tc>
          <w:tcPr>
            <w:tcW w:w="1156" w:type="dxa"/>
            <w:tcBorders>
              <w:top w:val="nil"/>
              <w:left w:val="nil"/>
              <w:bottom w:val="nil"/>
              <w:right w:val="nil"/>
            </w:tcBorders>
            <w:shd w:val="clear" w:color="auto" w:fill="auto"/>
            <w:vAlign w:val="bottom"/>
          </w:tcPr>
          <w:p w14:paraId="39533F01" w14:textId="77777777" w:rsidR="004E2F51" w:rsidRPr="00B37DA4" w:rsidDel="00714EAD" w:rsidRDefault="004E2F51" w:rsidP="00E032FC">
            <w:pPr>
              <w:jc w:val="right"/>
              <w:rPr>
                <w:rFonts w:ascii="Arial" w:eastAsia="Calibri" w:hAnsi="Arial" w:cs="Arial"/>
                <w:bCs/>
                <w:color w:val="000000"/>
                <w:sz w:val="16"/>
                <w:szCs w:val="16"/>
                <w:lang w:val="hr-HR"/>
              </w:rPr>
            </w:pPr>
            <w:r w:rsidRPr="00B37DA4">
              <w:rPr>
                <w:rFonts w:ascii="Arial" w:eastAsia="Calibri" w:hAnsi="Arial" w:cs="Arial"/>
                <w:bCs/>
                <w:color w:val="000000"/>
                <w:sz w:val="16"/>
                <w:szCs w:val="16"/>
                <w:lang w:val="hr-HR"/>
              </w:rPr>
              <w:t>45</w:t>
            </w:r>
          </w:p>
        </w:tc>
        <w:tc>
          <w:tcPr>
            <w:tcW w:w="1156" w:type="dxa"/>
            <w:tcBorders>
              <w:top w:val="nil"/>
              <w:left w:val="nil"/>
              <w:bottom w:val="nil"/>
              <w:right w:val="nil"/>
            </w:tcBorders>
            <w:vAlign w:val="bottom"/>
          </w:tcPr>
          <w:p w14:paraId="49A4D8C9" w14:textId="77777777" w:rsidR="004E2F51" w:rsidRPr="00B37DA4" w:rsidRDefault="004E2F51" w:rsidP="00E032FC">
            <w:pPr>
              <w:jc w:val="right"/>
              <w:rPr>
                <w:rFonts w:ascii="Arial" w:eastAsia="Calibri" w:hAnsi="Arial" w:cs="Arial"/>
                <w:bCs/>
                <w:color w:val="000000"/>
                <w:sz w:val="16"/>
                <w:szCs w:val="16"/>
                <w:lang w:val="hr-HR"/>
              </w:rPr>
            </w:pPr>
            <w:r w:rsidRPr="00B37DA4">
              <w:rPr>
                <w:rFonts w:ascii="Arial" w:eastAsia="Calibri" w:hAnsi="Arial" w:cs="Arial"/>
                <w:bCs/>
                <w:color w:val="000000"/>
                <w:sz w:val="16"/>
                <w:szCs w:val="16"/>
                <w:lang w:val="hr-HR"/>
              </w:rPr>
              <w:t>55</w:t>
            </w:r>
          </w:p>
        </w:tc>
        <w:tc>
          <w:tcPr>
            <w:tcW w:w="1156" w:type="dxa"/>
            <w:tcBorders>
              <w:left w:val="nil"/>
              <w:right w:val="nil"/>
            </w:tcBorders>
            <w:vAlign w:val="bottom"/>
          </w:tcPr>
          <w:p w14:paraId="541D858A" w14:textId="77777777" w:rsidR="004E2F51" w:rsidRPr="00B37DA4" w:rsidDel="00714EAD" w:rsidRDefault="004E2F51" w:rsidP="00E032FC">
            <w:pPr>
              <w:jc w:val="right"/>
              <w:rPr>
                <w:rFonts w:ascii="Arial" w:eastAsia="Calibri" w:hAnsi="Arial" w:cs="Arial"/>
                <w:bCs/>
                <w:color w:val="000000"/>
                <w:sz w:val="16"/>
                <w:szCs w:val="16"/>
                <w:lang w:val="hr-HR"/>
              </w:rPr>
            </w:pPr>
            <w:r w:rsidRPr="00B37DA4">
              <w:rPr>
                <w:rFonts w:ascii="Arial" w:eastAsia="Calibri" w:hAnsi="Arial" w:cs="Arial"/>
                <w:bCs/>
                <w:color w:val="000000"/>
                <w:sz w:val="16"/>
                <w:szCs w:val="16"/>
                <w:lang w:val="hr-HR"/>
              </w:rPr>
              <w:t>45</w:t>
            </w:r>
          </w:p>
        </w:tc>
      </w:tr>
      <w:tr w:rsidR="004E2F51" w:rsidRPr="00B37DA4" w14:paraId="375157D8" w14:textId="77777777" w:rsidTr="00185239">
        <w:trPr>
          <w:trHeight w:val="245"/>
        </w:trPr>
        <w:tc>
          <w:tcPr>
            <w:tcW w:w="5035" w:type="dxa"/>
            <w:gridSpan w:val="4"/>
            <w:tcBorders>
              <w:left w:val="nil"/>
              <w:bottom w:val="single" w:sz="4" w:space="0" w:color="auto"/>
              <w:right w:val="nil"/>
            </w:tcBorders>
            <w:shd w:val="clear" w:color="auto" w:fill="auto"/>
            <w:noWrap/>
            <w:vAlign w:val="bottom"/>
          </w:tcPr>
          <w:p w14:paraId="0152BF6F" w14:textId="77777777" w:rsidR="004E2F51" w:rsidRPr="00B37DA4" w:rsidRDefault="004E2F51" w:rsidP="00E032FC">
            <w:pPr>
              <w:rPr>
                <w:rFonts w:ascii="Arial" w:eastAsia="Calibri" w:hAnsi="Arial" w:cs="Arial"/>
                <w:color w:val="000000"/>
                <w:sz w:val="16"/>
                <w:szCs w:val="16"/>
                <w:lang w:val="hr-HR"/>
              </w:rPr>
            </w:pPr>
            <w:r w:rsidRPr="00B37DA4">
              <w:rPr>
                <w:rFonts w:ascii="Arial" w:eastAsia="Calibri" w:hAnsi="Arial" w:cs="Arial"/>
                <w:color w:val="000000"/>
                <w:sz w:val="16"/>
                <w:szCs w:val="16"/>
                <w:lang w:val="hr-HR"/>
              </w:rPr>
              <w:t>Dionice inozemnih financijskih institucija - EIF</w:t>
            </w:r>
          </w:p>
        </w:tc>
        <w:tc>
          <w:tcPr>
            <w:tcW w:w="1197" w:type="dxa"/>
            <w:tcBorders>
              <w:left w:val="nil"/>
              <w:bottom w:val="single" w:sz="4" w:space="0" w:color="auto"/>
              <w:right w:val="nil"/>
            </w:tcBorders>
            <w:shd w:val="clear" w:color="auto" w:fill="auto"/>
            <w:noWrap/>
            <w:vAlign w:val="bottom"/>
          </w:tcPr>
          <w:p w14:paraId="5E86C7DC" w14:textId="77777777" w:rsidR="004E2F51" w:rsidRPr="00B37DA4" w:rsidRDefault="004E2F51" w:rsidP="00E032FC">
            <w:pPr>
              <w:jc w:val="both"/>
              <w:rPr>
                <w:rFonts w:ascii="Arial" w:eastAsia="Calibri" w:hAnsi="Arial" w:cs="Arial"/>
                <w:color w:val="000000"/>
                <w:sz w:val="16"/>
                <w:szCs w:val="16"/>
                <w:lang w:val="hr-HR"/>
              </w:rPr>
            </w:pPr>
          </w:p>
        </w:tc>
        <w:tc>
          <w:tcPr>
            <w:tcW w:w="1156" w:type="dxa"/>
            <w:tcBorders>
              <w:left w:val="nil"/>
              <w:bottom w:val="single" w:sz="4" w:space="0" w:color="auto"/>
              <w:right w:val="nil"/>
            </w:tcBorders>
            <w:vAlign w:val="bottom"/>
          </w:tcPr>
          <w:p w14:paraId="73AE2826" w14:textId="77777777" w:rsidR="004E2F51" w:rsidRPr="00B37DA4" w:rsidRDefault="004E2F51" w:rsidP="00E032FC">
            <w:pPr>
              <w:jc w:val="right"/>
              <w:rPr>
                <w:rFonts w:ascii="Arial" w:eastAsia="Calibri" w:hAnsi="Arial" w:cs="Arial"/>
                <w:bCs/>
                <w:color w:val="000000"/>
                <w:sz w:val="16"/>
                <w:szCs w:val="16"/>
                <w:lang w:val="hr-HR"/>
              </w:rPr>
            </w:pPr>
            <w:r w:rsidRPr="00B37DA4">
              <w:rPr>
                <w:rFonts w:ascii="Arial" w:eastAsia="Calibri" w:hAnsi="Arial" w:cs="Arial"/>
                <w:bCs/>
                <w:color w:val="000000"/>
                <w:sz w:val="16"/>
                <w:szCs w:val="16"/>
                <w:lang w:val="hr-HR"/>
              </w:rPr>
              <w:t>53.120</w:t>
            </w:r>
          </w:p>
        </w:tc>
        <w:tc>
          <w:tcPr>
            <w:tcW w:w="1156" w:type="dxa"/>
            <w:tcBorders>
              <w:top w:val="nil"/>
              <w:left w:val="nil"/>
              <w:bottom w:val="single" w:sz="4" w:space="0" w:color="auto"/>
              <w:right w:val="nil"/>
            </w:tcBorders>
            <w:shd w:val="clear" w:color="auto" w:fill="auto"/>
            <w:vAlign w:val="bottom"/>
          </w:tcPr>
          <w:p w14:paraId="7B472E51" w14:textId="77777777" w:rsidR="004E2F51" w:rsidRPr="00B37DA4" w:rsidDel="00714EAD" w:rsidRDefault="004E2F51" w:rsidP="00E032FC">
            <w:pPr>
              <w:jc w:val="right"/>
              <w:rPr>
                <w:rFonts w:ascii="Arial" w:eastAsia="Calibri" w:hAnsi="Arial" w:cs="Arial"/>
                <w:bCs/>
                <w:color w:val="000000"/>
                <w:sz w:val="16"/>
                <w:szCs w:val="16"/>
                <w:lang w:val="hr-HR"/>
              </w:rPr>
            </w:pPr>
            <w:r w:rsidRPr="00B37DA4">
              <w:rPr>
                <w:rFonts w:ascii="Arial" w:eastAsia="Calibri" w:hAnsi="Arial" w:cs="Arial"/>
                <w:bCs/>
                <w:color w:val="000000"/>
                <w:sz w:val="16"/>
                <w:szCs w:val="16"/>
                <w:lang w:val="hr-HR"/>
              </w:rPr>
              <w:t>42.971</w:t>
            </w:r>
          </w:p>
        </w:tc>
        <w:tc>
          <w:tcPr>
            <w:tcW w:w="1156" w:type="dxa"/>
            <w:tcBorders>
              <w:top w:val="nil"/>
              <w:left w:val="nil"/>
              <w:bottom w:val="single" w:sz="4" w:space="0" w:color="auto"/>
              <w:right w:val="nil"/>
            </w:tcBorders>
            <w:vAlign w:val="bottom"/>
          </w:tcPr>
          <w:p w14:paraId="74C8C4A5" w14:textId="77777777" w:rsidR="004E2F51" w:rsidRPr="00B37DA4" w:rsidRDefault="004E2F51" w:rsidP="00E032FC">
            <w:pPr>
              <w:jc w:val="right"/>
              <w:rPr>
                <w:rFonts w:ascii="Arial" w:eastAsia="Calibri" w:hAnsi="Arial" w:cs="Arial"/>
                <w:bCs/>
                <w:color w:val="000000"/>
                <w:sz w:val="16"/>
                <w:szCs w:val="16"/>
                <w:lang w:val="hr-HR"/>
              </w:rPr>
            </w:pPr>
            <w:r w:rsidRPr="00B37DA4">
              <w:rPr>
                <w:rFonts w:ascii="Arial" w:eastAsia="Calibri" w:hAnsi="Arial" w:cs="Arial"/>
                <w:bCs/>
                <w:color w:val="000000"/>
                <w:sz w:val="16"/>
                <w:szCs w:val="16"/>
                <w:lang w:val="hr-HR"/>
              </w:rPr>
              <w:t>53.120</w:t>
            </w:r>
          </w:p>
        </w:tc>
        <w:tc>
          <w:tcPr>
            <w:tcW w:w="1156" w:type="dxa"/>
            <w:tcBorders>
              <w:left w:val="nil"/>
              <w:bottom w:val="single" w:sz="4" w:space="0" w:color="auto"/>
              <w:right w:val="nil"/>
            </w:tcBorders>
            <w:vAlign w:val="bottom"/>
          </w:tcPr>
          <w:p w14:paraId="552CEB72" w14:textId="77777777" w:rsidR="004E2F51" w:rsidRPr="00B37DA4" w:rsidDel="00714EAD" w:rsidRDefault="004E2F51" w:rsidP="00E032FC">
            <w:pPr>
              <w:jc w:val="right"/>
              <w:rPr>
                <w:rFonts w:ascii="Arial" w:eastAsia="Calibri" w:hAnsi="Arial" w:cs="Arial"/>
                <w:bCs/>
                <w:color w:val="000000"/>
                <w:sz w:val="16"/>
                <w:szCs w:val="16"/>
                <w:lang w:val="hr-HR"/>
              </w:rPr>
            </w:pPr>
            <w:r w:rsidRPr="00B37DA4">
              <w:rPr>
                <w:rFonts w:ascii="Arial" w:eastAsia="Calibri" w:hAnsi="Arial" w:cs="Arial"/>
                <w:bCs/>
                <w:color w:val="000000"/>
                <w:sz w:val="16"/>
                <w:szCs w:val="16"/>
                <w:lang w:val="hr-HR"/>
              </w:rPr>
              <w:t>42.971</w:t>
            </w:r>
          </w:p>
        </w:tc>
      </w:tr>
      <w:tr w:rsidR="004E2F51" w:rsidRPr="00B37DA4" w14:paraId="6BB95F44" w14:textId="77777777" w:rsidTr="00E032FC">
        <w:trPr>
          <w:trHeight w:val="245"/>
        </w:trPr>
        <w:tc>
          <w:tcPr>
            <w:tcW w:w="2693" w:type="dxa"/>
            <w:tcBorders>
              <w:top w:val="single" w:sz="4" w:space="0" w:color="auto"/>
              <w:left w:val="nil"/>
              <w:bottom w:val="single" w:sz="12" w:space="0" w:color="auto"/>
              <w:right w:val="nil"/>
            </w:tcBorders>
            <w:shd w:val="clear" w:color="auto" w:fill="auto"/>
            <w:noWrap/>
            <w:vAlign w:val="center"/>
          </w:tcPr>
          <w:p w14:paraId="46A3D4BB" w14:textId="77777777" w:rsidR="004E2F51" w:rsidRPr="00B37DA4" w:rsidRDefault="004E2F51" w:rsidP="00E032FC">
            <w:pPr>
              <w:jc w:val="both"/>
              <w:rPr>
                <w:rFonts w:ascii="Arial" w:eastAsia="Calibri" w:hAnsi="Arial" w:cs="Arial"/>
                <w:b/>
                <w:bCs/>
                <w:color w:val="000000"/>
                <w:sz w:val="16"/>
                <w:szCs w:val="16"/>
                <w:lang w:val="hr-HR"/>
              </w:rPr>
            </w:pPr>
          </w:p>
        </w:tc>
        <w:tc>
          <w:tcPr>
            <w:tcW w:w="1219" w:type="dxa"/>
            <w:gridSpan w:val="2"/>
            <w:tcBorders>
              <w:top w:val="single" w:sz="4" w:space="0" w:color="auto"/>
              <w:left w:val="nil"/>
              <w:bottom w:val="single" w:sz="12" w:space="0" w:color="auto"/>
              <w:right w:val="nil"/>
            </w:tcBorders>
            <w:shd w:val="clear" w:color="auto" w:fill="auto"/>
            <w:noWrap/>
            <w:vAlign w:val="center"/>
          </w:tcPr>
          <w:p w14:paraId="1624ECEB" w14:textId="77777777" w:rsidR="004E2F51" w:rsidRPr="00B37DA4" w:rsidRDefault="004E2F51" w:rsidP="00E032FC">
            <w:pPr>
              <w:jc w:val="right"/>
              <w:rPr>
                <w:rFonts w:ascii="Arial" w:eastAsia="Calibri" w:hAnsi="Arial" w:cs="Arial"/>
                <w:color w:val="000000"/>
                <w:sz w:val="16"/>
                <w:szCs w:val="16"/>
                <w:lang w:val="hr-HR"/>
              </w:rPr>
            </w:pPr>
          </w:p>
        </w:tc>
        <w:tc>
          <w:tcPr>
            <w:tcW w:w="1123" w:type="dxa"/>
            <w:tcBorders>
              <w:top w:val="single" w:sz="4" w:space="0" w:color="auto"/>
              <w:left w:val="nil"/>
              <w:bottom w:val="single" w:sz="12" w:space="0" w:color="auto"/>
              <w:right w:val="nil"/>
            </w:tcBorders>
            <w:shd w:val="clear" w:color="auto" w:fill="auto"/>
            <w:noWrap/>
            <w:vAlign w:val="bottom"/>
          </w:tcPr>
          <w:p w14:paraId="21A1A4D3" w14:textId="77777777" w:rsidR="004E2F51" w:rsidRPr="00B37DA4" w:rsidRDefault="004E2F51" w:rsidP="00E032FC">
            <w:pPr>
              <w:jc w:val="right"/>
              <w:rPr>
                <w:rFonts w:ascii="Arial" w:eastAsia="Calibri" w:hAnsi="Arial" w:cs="Arial"/>
                <w:color w:val="000000"/>
                <w:sz w:val="16"/>
                <w:szCs w:val="16"/>
                <w:lang w:val="hr-HR"/>
              </w:rPr>
            </w:pPr>
          </w:p>
        </w:tc>
        <w:tc>
          <w:tcPr>
            <w:tcW w:w="1197" w:type="dxa"/>
            <w:tcBorders>
              <w:top w:val="single" w:sz="4" w:space="0" w:color="auto"/>
              <w:left w:val="nil"/>
              <w:bottom w:val="single" w:sz="12" w:space="0" w:color="auto"/>
              <w:right w:val="nil"/>
            </w:tcBorders>
            <w:shd w:val="clear" w:color="auto" w:fill="auto"/>
            <w:noWrap/>
            <w:vAlign w:val="bottom"/>
          </w:tcPr>
          <w:p w14:paraId="513D07FF" w14:textId="77777777" w:rsidR="004E2F51" w:rsidRPr="00B37DA4" w:rsidRDefault="004E2F51" w:rsidP="00E032FC">
            <w:pPr>
              <w:jc w:val="both"/>
              <w:rPr>
                <w:rFonts w:ascii="Arial" w:eastAsia="Calibri" w:hAnsi="Arial" w:cs="Arial"/>
                <w:color w:val="000000"/>
                <w:sz w:val="16"/>
                <w:szCs w:val="16"/>
                <w:lang w:val="hr-HR"/>
              </w:rPr>
            </w:pPr>
          </w:p>
        </w:tc>
        <w:tc>
          <w:tcPr>
            <w:tcW w:w="1156" w:type="dxa"/>
            <w:tcBorders>
              <w:top w:val="single" w:sz="4" w:space="0" w:color="auto"/>
              <w:left w:val="nil"/>
              <w:bottom w:val="single" w:sz="12" w:space="0" w:color="auto"/>
              <w:right w:val="nil"/>
            </w:tcBorders>
            <w:vAlign w:val="bottom"/>
          </w:tcPr>
          <w:p w14:paraId="2D689735"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53.175</w:t>
            </w:r>
          </w:p>
        </w:tc>
        <w:tc>
          <w:tcPr>
            <w:tcW w:w="1156" w:type="dxa"/>
            <w:tcBorders>
              <w:top w:val="single" w:sz="4" w:space="0" w:color="auto"/>
              <w:left w:val="nil"/>
              <w:bottom w:val="single" w:sz="12" w:space="0" w:color="auto"/>
              <w:right w:val="nil"/>
            </w:tcBorders>
            <w:vAlign w:val="bottom"/>
          </w:tcPr>
          <w:p w14:paraId="207D905E" w14:textId="77777777" w:rsidR="004E2F51" w:rsidRPr="00B37DA4" w:rsidDel="00714EAD"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43.016</w:t>
            </w:r>
          </w:p>
        </w:tc>
        <w:tc>
          <w:tcPr>
            <w:tcW w:w="1156" w:type="dxa"/>
            <w:tcBorders>
              <w:top w:val="single" w:sz="4" w:space="0" w:color="auto"/>
              <w:left w:val="nil"/>
              <w:bottom w:val="single" w:sz="12" w:space="0" w:color="auto"/>
              <w:right w:val="nil"/>
            </w:tcBorders>
            <w:shd w:val="clear" w:color="auto" w:fill="auto"/>
            <w:vAlign w:val="bottom"/>
          </w:tcPr>
          <w:p w14:paraId="0C181DE6" w14:textId="77777777" w:rsidR="004E2F51" w:rsidRPr="00B37DA4"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53.175</w:t>
            </w:r>
          </w:p>
        </w:tc>
        <w:tc>
          <w:tcPr>
            <w:tcW w:w="1156" w:type="dxa"/>
            <w:tcBorders>
              <w:top w:val="single" w:sz="4" w:space="0" w:color="auto"/>
              <w:left w:val="nil"/>
              <w:bottom w:val="single" w:sz="12" w:space="0" w:color="auto"/>
              <w:right w:val="nil"/>
            </w:tcBorders>
            <w:vAlign w:val="bottom"/>
          </w:tcPr>
          <w:p w14:paraId="143FB96E" w14:textId="77777777" w:rsidR="004E2F51" w:rsidRPr="00B37DA4" w:rsidDel="00714EAD" w:rsidRDefault="004E2F51" w:rsidP="00E032FC">
            <w:pPr>
              <w:jc w:val="right"/>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43.016</w:t>
            </w:r>
          </w:p>
        </w:tc>
      </w:tr>
      <w:tr w:rsidR="004E2F51" w:rsidRPr="00B37DA4" w14:paraId="74161AA1" w14:textId="77777777" w:rsidTr="00E032FC">
        <w:trPr>
          <w:trHeight w:val="245"/>
        </w:trPr>
        <w:tc>
          <w:tcPr>
            <w:tcW w:w="2693" w:type="dxa"/>
            <w:tcBorders>
              <w:top w:val="single" w:sz="12" w:space="0" w:color="auto"/>
              <w:left w:val="nil"/>
              <w:bottom w:val="single" w:sz="12" w:space="0" w:color="auto"/>
              <w:right w:val="nil"/>
            </w:tcBorders>
            <w:shd w:val="clear" w:color="auto" w:fill="auto"/>
            <w:noWrap/>
            <w:vAlign w:val="center"/>
          </w:tcPr>
          <w:p w14:paraId="41889748" w14:textId="77777777" w:rsidR="004E2F51" w:rsidRPr="00B37DA4" w:rsidRDefault="004E2F51" w:rsidP="00E032FC">
            <w:pPr>
              <w:jc w:val="both"/>
              <w:rPr>
                <w:rFonts w:ascii="Arial" w:eastAsia="Calibri" w:hAnsi="Arial" w:cs="Arial"/>
                <w:b/>
                <w:bCs/>
                <w:color w:val="000000"/>
                <w:sz w:val="16"/>
                <w:szCs w:val="16"/>
                <w:lang w:val="hr-HR"/>
              </w:rPr>
            </w:pPr>
            <w:r w:rsidRPr="00B37DA4">
              <w:rPr>
                <w:rFonts w:ascii="Arial" w:eastAsia="Calibri" w:hAnsi="Arial" w:cs="Arial"/>
                <w:b/>
                <w:bCs/>
                <w:color w:val="000000"/>
                <w:sz w:val="16"/>
                <w:szCs w:val="16"/>
                <w:lang w:val="hr-HR"/>
              </w:rPr>
              <w:t>Ukupno</w:t>
            </w:r>
          </w:p>
        </w:tc>
        <w:tc>
          <w:tcPr>
            <w:tcW w:w="1219" w:type="dxa"/>
            <w:gridSpan w:val="2"/>
            <w:tcBorders>
              <w:top w:val="single" w:sz="12" w:space="0" w:color="auto"/>
              <w:left w:val="nil"/>
              <w:bottom w:val="single" w:sz="12" w:space="0" w:color="auto"/>
              <w:right w:val="nil"/>
            </w:tcBorders>
            <w:shd w:val="clear" w:color="auto" w:fill="auto"/>
            <w:noWrap/>
            <w:vAlign w:val="center"/>
          </w:tcPr>
          <w:p w14:paraId="30208E6F" w14:textId="77777777" w:rsidR="004E2F51" w:rsidRPr="00B37DA4" w:rsidRDefault="004E2F51" w:rsidP="00E032FC">
            <w:pPr>
              <w:jc w:val="right"/>
              <w:rPr>
                <w:rFonts w:ascii="Arial" w:eastAsia="Calibri" w:hAnsi="Arial" w:cs="Arial"/>
                <w:color w:val="000000"/>
                <w:sz w:val="16"/>
                <w:szCs w:val="16"/>
                <w:lang w:val="hr-HR"/>
              </w:rPr>
            </w:pPr>
          </w:p>
        </w:tc>
        <w:tc>
          <w:tcPr>
            <w:tcW w:w="1123" w:type="dxa"/>
            <w:tcBorders>
              <w:top w:val="single" w:sz="12" w:space="0" w:color="auto"/>
              <w:left w:val="nil"/>
              <w:bottom w:val="single" w:sz="12" w:space="0" w:color="auto"/>
              <w:right w:val="nil"/>
            </w:tcBorders>
            <w:shd w:val="clear" w:color="auto" w:fill="auto"/>
            <w:noWrap/>
            <w:vAlign w:val="center"/>
          </w:tcPr>
          <w:p w14:paraId="6C04F3AA" w14:textId="77777777" w:rsidR="004E2F51" w:rsidRPr="00B37DA4" w:rsidRDefault="004E2F51" w:rsidP="00E032FC">
            <w:pPr>
              <w:jc w:val="right"/>
              <w:rPr>
                <w:rFonts w:ascii="Arial" w:eastAsia="Calibri" w:hAnsi="Arial" w:cs="Arial"/>
                <w:color w:val="000000"/>
                <w:sz w:val="16"/>
                <w:szCs w:val="16"/>
                <w:lang w:val="hr-HR"/>
              </w:rPr>
            </w:pPr>
          </w:p>
        </w:tc>
        <w:tc>
          <w:tcPr>
            <w:tcW w:w="1197" w:type="dxa"/>
            <w:tcBorders>
              <w:top w:val="single" w:sz="12" w:space="0" w:color="auto"/>
              <w:left w:val="nil"/>
              <w:bottom w:val="single" w:sz="12" w:space="0" w:color="auto"/>
              <w:right w:val="nil"/>
            </w:tcBorders>
            <w:shd w:val="clear" w:color="auto" w:fill="auto"/>
            <w:noWrap/>
            <w:vAlign w:val="bottom"/>
          </w:tcPr>
          <w:p w14:paraId="1504BB91" w14:textId="77777777" w:rsidR="004E2F51" w:rsidRPr="00B37DA4" w:rsidRDefault="004E2F51" w:rsidP="00E032FC">
            <w:pPr>
              <w:jc w:val="both"/>
              <w:rPr>
                <w:rFonts w:ascii="Arial" w:eastAsia="Calibri" w:hAnsi="Arial" w:cs="Arial"/>
                <w:color w:val="000000"/>
                <w:sz w:val="16"/>
                <w:szCs w:val="16"/>
                <w:lang w:val="hr-HR"/>
              </w:rPr>
            </w:pPr>
          </w:p>
        </w:tc>
        <w:tc>
          <w:tcPr>
            <w:tcW w:w="1156" w:type="dxa"/>
            <w:tcBorders>
              <w:top w:val="single" w:sz="12" w:space="0" w:color="auto"/>
              <w:left w:val="nil"/>
              <w:bottom w:val="single" w:sz="12" w:space="0" w:color="auto"/>
              <w:right w:val="nil"/>
            </w:tcBorders>
            <w:vAlign w:val="bottom"/>
          </w:tcPr>
          <w:p w14:paraId="719C786C" w14:textId="77777777" w:rsidR="004E2F51" w:rsidRPr="00B37DA4" w:rsidRDefault="004E2F51" w:rsidP="00E032FC">
            <w:pPr>
              <w:jc w:val="right"/>
              <w:rPr>
                <w:rFonts w:ascii="Arial" w:eastAsia="Calibri" w:hAnsi="Arial" w:cs="Arial"/>
                <w:b/>
                <w:color w:val="000000"/>
                <w:sz w:val="16"/>
                <w:szCs w:val="16"/>
                <w:lang w:val="hr-HR"/>
              </w:rPr>
            </w:pPr>
            <w:r w:rsidRPr="00B37DA4">
              <w:rPr>
                <w:rFonts w:ascii="Arial" w:eastAsia="Calibri" w:hAnsi="Arial" w:cs="Arial"/>
                <w:b/>
                <w:color w:val="000000"/>
                <w:sz w:val="16"/>
                <w:szCs w:val="16"/>
                <w:lang w:val="hr-HR"/>
              </w:rPr>
              <w:t>2.686.622</w:t>
            </w:r>
          </w:p>
        </w:tc>
        <w:tc>
          <w:tcPr>
            <w:tcW w:w="1156" w:type="dxa"/>
            <w:tcBorders>
              <w:top w:val="single" w:sz="12" w:space="0" w:color="auto"/>
              <w:left w:val="nil"/>
              <w:bottom w:val="single" w:sz="12" w:space="0" w:color="auto"/>
              <w:right w:val="nil"/>
            </w:tcBorders>
            <w:vAlign w:val="bottom"/>
          </w:tcPr>
          <w:p w14:paraId="1AC4C3C5" w14:textId="77777777" w:rsidR="004E2F51" w:rsidRPr="00B37DA4" w:rsidRDefault="004E2F51" w:rsidP="00E032FC">
            <w:pPr>
              <w:jc w:val="right"/>
              <w:rPr>
                <w:rFonts w:ascii="Arial" w:eastAsia="Calibri" w:hAnsi="Arial" w:cs="Arial"/>
                <w:b/>
                <w:color w:val="000000"/>
                <w:sz w:val="16"/>
                <w:szCs w:val="16"/>
                <w:lang w:val="hr-HR"/>
              </w:rPr>
            </w:pPr>
            <w:r w:rsidRPr="00B37DA4">
              <w:rPr>
                <w:rFonts w:ascii="Arial" w:eastAsia="Calibri" w:hAnsi="Arial" w:cs="Arial"/>
                <w:b/>
                <w:color w:val="000000"/>
                <w:sz w:val="16"/>
                <w:szCs w:val="16"/>
                <w:lang w:val="hr-HR"/>
              </w:rPr>
              <w:t>2.972.530</w:t>
            </w:r>
          </w:p>
        </w:tc>
        <w:tc>
          <w:tcPr>
            <w:tcW w:w="1156" w:type="dxa"/>
            <w:tcBorders>
              <w:top w:val="single" w:sz="12" w:space="0" w:color="auto"/>
              <w:left w:val="nil"/>
              <w:bottom w:val="single" w:sz="12" w:space="0" w:color="auto"/>
              <w:right w:val="nil"/>
            </w:tcBorders>
            <w:shd w:val="clear" w:color="auto" w:fill="auto"/>
            <w:vAlign w:val="bottom"/>
          </w:tcPr>
          <w:p w14:paraId="09970BDA" w14:textId="77777777" w:rsidR="004E2F51" w:rsidRPr="00B37DA4" w:rsidRDefault="004E2F51" w:rsidP="00E032FC">
            <w:pPr>
              <w:jc w:val="right"/>
              <w:rPr>
                <w:rFonts w:ascii="Arial" w:eastAsia="Calibri" w:hAnsi="Arial" w:cs="Arial"/>
                <w:b/>
                <w:color w:val="000000"/>
                <w:sz w:val="16"/>
                <w:szCs w:val="16"/>
                <w:lang w:val="hr-HR"/>
              </w:rPr>
            </w:pPr>
            <w:r w:rsidRPr="00B37DA4">
              <w:rPr>
                <w:rFonts w:ascii="Arial" w:eastAsia="Calibri" w:hAnsi="Arial" w:cs="Arial"/>
                <w:b/>
                <w:color w:val="000000"/>
                <w:sz w:val="16"/>
                <w:szCs w:val="16"/>
                <w:lang w:val="hr-HR"/>
              </w:rPr>
              <w:t>2.639.472</w:t>
            </w:r>
          </w:p>
        </w:tc>
        <w:tc>
          <w:tcPr>
            <w:tcW w:w="1156" w:type="dxa"/>
            <w:tcBorders>
              <w:top w:val="single" w:sz="12" w:space="0" w:color="auto"/>
              <w:left w:val="nil"/>
              <w:bottom w:val="single" w:sz="12" w:space="0" w:color="auto"/>
              <w:right w:val="nil"/>
            </w:tcBorders>
            <w:vAlign w:val="bottom"/>
          </w:tcPr>
          <w:p w14:paraId="02AE4EEA" w14:textId="77777777" w:rsidR="004E2F51" w:rsidRPr="00B37DA4" w:rsidRDefault="004E2F51" w:rsidP="00E032FC">
            <w:pPr>
              <w:jc w:val="right"/>
              <w:rPr>
                <w:rFonts w:ascii="Arial" w:eastAsia="Calibri" w:hAnsi="Arial" w:cs="Arial"/>
                <w:b/>
                <w:color w:val="000000"/>
                <w:sz w:val="16"/>
                <w:szCs w:val="16"/>
                <w:lang w:val="hr-HR"/>
              </w:rPr>
            </w:pPr>
            <w:r w:rsidRPr="00B37DA4">
              <w:rPr>
                <w:rFonts w:ascii="Arial" w:eastAsia="Calibri" w:hAnsi="Arial" w:cs="Arial"/>
                <w:b/>
                <w:color w:val="000000"/>
                <w:sz w:val="16"/>
                <w:szCs w:val="16"/>
                <w:lang w:val="hr-HR"/>
              </w:rPr>
              <w:t>2.915.704</w:t>
            </w:r>
          </w:p>
        </w:tc>
      </w:tr>
    </w:tbl>
    <w:p w14:paraId="0F089877" w14:textId="77777777" w:rsidR="004E2F51" w:rsidRPr="00B91D09" w:rsidRDefault="004E2F51" w:rsidP="004E2F51">
      <w:pPr>
        <w:rPr>
          <w:rFonts w:ascii="Arial" w:hAnsi="Arial" w:cs="Arial"/>
          <w:color w:val="000000" w:themeColor="text1"/>
          <w:sz w:val="22"/>
          <w:szCs w:val="22"/>
          <w:lang w:val="hr-HR"/>
        </w:rPr>
        <w:sectPr w:rsidR="004E2F51" w:rsidRPr="00B91D09" w:rsidSect="00623DBA">
          <w:footerReference w:type="default" r:id="rId140"/>
          <w:pgSz w:w="11907" w:h="16840" w:code="9"/>
          <w:pgMar w:top="1418" w:right="1134" w:bottom="1134" w:left="1418" w:header="851" w:footer="851" w:gutter="0"/>
          <w:cols w:space="720"/>
          <w:noEndnote/>
        </w:sectPr>
      </w:pPr>
    </w:p>
    <w:p w14:paraId="57CDCF17" w14:textId="77777777" w:rsidR="004E2F51" w:rsidRPr="00B91D09" w:rsidRDefault="004E2F51" w:rsidP="004E2F51">
      <w:pPr>
        <w:pStyle w:val="T1"/>
        <w:spacing w:before="0" w:after="0" w:line="240" w:lineRule="auto"/>
        <w:rPr>
          <w:rFonts w:cs="Arial"/>
          <w:color w:val="000000" w:themeColor="text1"/>
          <w:sz w:val="22"/>
          <w:szCs w:val="22"/>
          <w:lang w:val="hr-HR"/>
        </w:rPr>
      </w:pPr>
    </w:p>
    <w:p w14:paraId="0D8E9899"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 xml:space="preserve">18. </w:t>
      </w:r>
      <w:r w:rsidRPr="004B4498">
        <w:rPr>
          <w:rFonts w:cs="Arial"/>
          <w:color w:val="000000" w:themeColor="text1"/>
          <w:sz w:val="20"/>
          <w:lang w:val="hr-HR"/>
        </w:rPr>
        <w:tab/>
        <w:t>Ulaganja u ovisna društva</w:t>
      </w:r>
    </w:p>
    <w:p w14:paraId="3280E6FF" w14:textId="77777777" w:rsidR="004E2F51" w:rsidRPr="004B4498" w:rsidRDefault="004E2F51" w:rsidP="004E2F51">
      <w:pPr>
        <w:pStyle w:val="T1"/>
        <w:spacing w:before="0" w:after="0" w:line="240" w:lineRule="auto"/>
        <w:rPr>
          <w:rFonts w:cs="Arial"/>
          <w:color w:val="000000" w:themeColor="text1"/>
          <w:sz w:val="20"/>
          <w:lang w:val="hr-HR"/>
        </w:rPr>
      </w:pPr>
    </w:p>
    <w:p w14:paraId="162A8E12"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Na dan 31. prosinca 202</w:t>
      </w:r>
      <w:r>
        <w:rPr>
          <w:rFonts w:ascii="Arial" w:hAnsi="Arial" w:cs="Arial"/>
          <w:color w:val="000000" w:themeColor="text1"/>
          <w:sz w:val="20"/>
          <w:szCs w:val="20"/>
          <w:lang w:val="hr-HR"/>
        </w:rPr>
        <w:t>2</w:t>
      </w:r>
      <w:r w:rsidRPr="004B4498">
        <w:rPr>
          <w:rFonts w:ascii="Arial" w:hAnsi="Arial" w:cs="Arial"/>
          <w:color w:val="000000" w:themeColor="text1"/>
          <w:sz w:val="20"/>
          <w:szCs w:val="20"/>
          <w:lang w:val="hr-HR"/>
        </w:rPr>
        <w:t>. ovisna društva Banke su sljedeća:</w:t>
      </w:r>
    </w:p>
    <w:p w14:paraId="7998FC50" w14:textId="77777777" w:rsidR="004E2F51" w:rsidRPr="004B4498" w:rsidRDefault="004E2F51" w:rsidP="004E2F51">
      <w:pPr>
        <w:jc w:val="both"/>
        <w:rPr>
          <w:rFonts w:ascii="Arial" w:hAnsi="Arial" w:cs="Arial"/>
          <w:color w:val="000000" w:themeColor="text1"/>
          <w:sz w:val="20"/>
          <w:szCs w:val="20"/>
          <w:lang w:val="hr-HR"/>
        </w:rPr>
      </w:pPr>
    </w:p>
    <w:tbl>
      <w:tblPr>
        <w:tblW w:w="0" w:type="auto"/>
        <w:jc w:val="center"/>
        <w:tblLook w:val="01E0" w:firstRow="1" w:lastRow="1" w:firstColumn="1" w:lastColumn="1" w:noHBand="0" w:noVBand="0"/>
      </w:tblPr>
      <w:tblGrid>
        <w:gridCol w:w="2268"/>
        <w:gridCol w:w="1701"/>
        <w:gridCol w:w="1346"/>
        <w:gridCol w:w="1347"/>
        <w:gridCol w:w="1346"/>
        <w:gridCol w:w="1347"/>
      </w:tblGrid>
      <w:tr w:rsidR="004E2F51" w:rsidRPr="0030105C" w14:paraId="72EE269B" w14:textId="77777777" w:rsidTr="00E032FC">
        <w:trPr>
          <w:jc w:val="center"/>
        </w:trPr>
        <w:tc>
          <w:tcPr>
            <w:tcW w:w="2268" w:type="dxa"/>
            <w:shd w:val="clear" w:color="auto" w:fill="auto"/>
            <w:vAlign w:val="bottom"/>
          </w:tcPr>
          <w:p w14:paraId="7D14769B" w14:textId="77777777" w:rsidR="004E2F51" w:rsidRPr="004B4498" w:rsidRDefault="004E2F51" w:rsidP="00E032FC">
            <w:pPr>
              <w:spacing w:before="120" w:line="300" w:lineRule="exact"/>
              <w:rPr>
                <w:rFonts w:ascii="Arial" w:hAnsi="Arial" w:cs="Arial"/>
                <w:color w:val="000000" w:themeColor="text1"/>
                <w:sz w:val="19"/>
                <w:szCs w:val="19"/>
                <w:lang w:val="hr-HR"/>
              </w:rPr>
            </w:pPr>
            <w:r w:rsidRPr="004B4498">
              <w:rPr>
                <w:rFonts w:ascii="Arial" w:hAnsi="Arial" w:cs="Arial"/>
                <w:color w:val="000000" w:themeColor="text1"/>
                <w:sz w:val="19"/>
                <w:szCs w:val="19"/>
                <w:lang w:val="hr-HR"/>
              </w:rPr>
              <w:t>Konsolidirano društvo</w:t>
            </w:r>
          </w:p>
        </w:tc>
        <w:tc>
          <w:tcPr>
            <w:tcW w:w="1701" w:type="dxa"/>
            <w:shd w:val="clear" w:color="auto" w:fill="auto"/>
            <w:vAlign w:val="bottom"/>
          </w:tcPr>
          <w:p w14:paraId="151707BB" w14:textId="77777777" w:rsidR="004E2F51" w:rsidRPr="004B4498" w:rsidRDefault="004E2F51" w:rsidP="00E032FC">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Djelatnost</w:t>
            </w:r>
          </w:p>
        </w:tc>
        <w:tc>
          <w:tcPr>
            <w:tcW w:w="1346" w:type="dxa"/>
            <w:shd w:val="clear" w:color="auto" w:fill="auto"/>
            <w:vAlign w:val="bottom"/>
          </w:tcPr>
          <w:p w14:paraId="2F90484F" w14:textId="77777777" w:rsidR="004E2F51" w:rsidRPr="004B4498" w:rsidRDefault="004E2F51" w:rsidP="00E032FC">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Vlasništvo 31. prosinca 202</w:t>
            </w:r>
            <w:r>
              <w:rPr>
                <w:rFonts w:ascii="Arial" w:hAnsi="Arial" w:cs="Arial"/>
                <w:b/>
                <w:color w:val="000000" w:themeColor="text1"/>
                <w:sz w:val="19"/>
                <w:szCs w:val="19"/>
                <w:lang w:val="hr-HR"/>
              </w:rPr>
              <w:t>2</w:t>
            </w:r>
            <w:r w:rsidRPr="004B4498">
              <w:rPr>
                <w:rFonts w:ascii="Arial" w:hAnsi="Arial" w:cs="Arial"/>
                <w:b/>
                <w:color w:val="000000" w:themeColor="text1"/>
                <w:sz w:val="19"/>
                <w:szCs w:val="19"/>
                <w:lang w:val="hr-HR"/>
              </w:rPr>
              <w:t>.</w:t>
            </w:r>
          </w:p>
        </w:tc>
        <w:tc>
          <w:tcPr>
            <w:tcW w:w="1347" w:type="dxa"/>
            <w:shd w:val="clear" w:color="auto" w:fill="auto"/>
            <w:vAlign w:val="bottom"/>
          </w:tcPr>
          <w:p w14:paraId="4D32BB17" w14:textId="77777777" w:rsidR="004E2F51" w:rsidRPr="004B4498" w:rsidRDefault="004E2F51" w:rsidP="00E032FC">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Vlasništvo 31. prosinca 202</w:t>
            </w:r>
            <w:r>
              <w:rPr>
                <w:rFonts w:ascii="Arial" w:hAnsi="Arial" w:cs="Arial"/>
                <w:b/>
                <w:color w:val="000000" w:themeColor="text1"/>
                <w:sz w:val="19"/>
                <w:szCs w:val="19"/>
                <w:lang w:val="hr-HR"/>
              </w:rPr>
              <w:t>1</w:t>
            </w:r>
            <w:r w:rsidRPr="004B4498">
              <w:rPr>
                <w:rFonts w:ascii="Arial" w:hAnsi="Arial" w:cs="Arial"/>
                <w:b/>
                <w:color w:val="000000" w:themeColor="text1"/>
                <w:sz w:val="19"/>
                <w:szCs w:val="19"/>
                <w:lang w:val="hr-HR"/>
              </w:rPr>
              <w:t>.</w:t>
            </w:r>
          </w:p>
        </w:tc>
        <w:tc>
          <w:tcPr>
            <w:tcW w:w="1346" w:type="dxa"/>
            <w:shd w:val="clear" w:color="auto" w:fill="auto"/>
            <w:vAlign w:val="bottom"/>
          </w:tcPr>
          <w:p w14:paraId="2A5E6F14" w14:textId="77777777" w:rsidR="002D6F0B" w:rsidRDefault="004E2F51" w:rsidP="00E032FC">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 xml:space="preserve">Ulaganje </w:t>
            </w:r>
          </w:p>
          <w:p w14:paraId="2E404AA2" w14:textId="3F65403E" w:rsidR="004E2F51" w:rsidRPr="004B4498" w:rsidRDefault="004E2F51" w:rsidP="002D6F0B">
            <w:pPr>
              <w:spacing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31. prosinca 202</w:t>
            </w:r>
            <w:r>
              <w:rPr>
                <w:rFonts w:ascii="Arial" w:hAnsi="Arial" w:cs="Arial"/>
                <w:b/>
                <w:color w:val="000000" w:themeColor="text1"/>
                <w:sz w:val="19"/>
                <w:szCs w:val="19"/>
                <w:lang w:val="hr-HR"/>
              </w:rPr>
              <w:t>2</w:t>
            </w:r>
            <w:r w:rsidRPr="004B4498">
              <w:rPr>
                <w:rFonts w:ascii="Arial" w:hAnsi="Arial" w:cs="Arial"/>
                <w:b/>
                <w:color w:val="000000" w:themeColor="text1"/>
                <w:sz w:val="19"/>
                <w:szCs w:val="19"/>
                <w:lang w:val="hr-HR"/>
              </w:rPr>
              <w:t>.</w:t>
            </w:r>
          </w:p>
        </w:tc>
        <w:tc>
          <w:tcPr>
            <w:tcW w:w="1347" w:type="dxa"/>
            <w:shd w:val="clear" w:color="auto" w:fill="auto"/>
            <w:vAlign w:val="bottom"/>
          </w:tcPr>
          <w:p w14:paraId="20A46669" w14:textId="77777777" w:rsidR="002D6F0B" w:rsidRDefault="004E2F51" w:rsidP="00E032FC">
            <w:pPr>
              <w:spacing w:before="120"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 xml:space="preserve">Ulaganje </w:t>
            </w:r>
          </w:p>
          <w:p w14:paraId="737BE431" w14:textId="4621FAEE" w:rsidR="004E2F51" w:rsidRPr="004B4498" w:rsidRDefault="004E2F51" w:rsidP="002D6F0B">
            <w:pPr>
              <w:spacing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31. prosinca 202</w:t>
            </w:r>
            <w:r>
              <w:rPr>
                <w:rFonts w:ascii="Arial" w:hAnsi="Arial" w:cs="Arial"/>
                <w:b/>
                <w:color w:val="000000" w:themeColor="text1"/>
                <w:sz w:val="19"/>
                <w:szCs w:val="19"/>
                <w:lang w:val="hr-HR"/>
              </w:rPr>
              <w:t>1</w:t>
            </w:r>
            <w:r w:rsidRPr="004B4498">
              <w:rPr>
                <w:rFonts w:ascii="Arial" w:hAnsi="Arial" w:cs="Arial"/>
                <w:b/>
                <w:color w:val="000000" w:themeColor="text1"/>
                <w:sz w:val="19"/>
                <w:szCs w:val="19"/>
                <w:lang w:val="hr-HR"/>
              </w:rPr>
              <w:t>.</w:t>
            </w:r>
          </w:p>
        </w:tc>
      </w:tr>
      <w:tr w:rsidR="004E2F51" w:rsidRPr="0030105C" w14:paraId="05E9C2DA" w14:textId="77777777" w:rsidTr="00E032FC">
        <w:trPr>
          <w:jc w:val="center"/>
        </w:trPr>
        <w:tc>
          <w:tcPr>
            <w:tcW w:w="2268" w:type="dxa"/>
            <w:shd w:val="clear" w:color="auto" w:fill="auto"/>
          </w:tcPr>
          <w:p w14:paraId="354BFD6C" w14:textId="77777777" w:rsidR="004E2F51" w:rsidRPr="004B4498" w:rsidRDefault="004E2F51" w:rsidP="00E032FC">
            <w:pPr>
              <w:spacing w:before="120" w:line="300" w:lineRule="exact"/>
              <w:jc w:val="both"/>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Direktan udio</w:t>
            </w:r>
          </w:p>
        </w:tc>
        <w:tc>
          <w:tcPr>
            <w:tcW w:w="1701" w:type="dxa"/>
            <w:shd w:val="clear" w:color="auto" w:fill="auto"/>
          </w:tcPr>
          <w:p w14:paraId="3F45EE7A" w14:textId="77777777" w:rsidR="004E2F51" w:rsidRPr="004B4498" w:rsidRDefault="004E2F51" w:rsidP="00E032FC">
            <w:pPr>
              <w:spacing w:before="120" w:line="300" w:lineRule="exact"/>
              <w:jc w:val="both"/>
              <w:rPr>
                <w:rFonts w:ascii="Arial" w:hAnsi="Arial" w:cs="Arial"/>
                <w:b/>
                <w:color w:val="000000" w:themeColor="text1"/>
                <w:sz w:val="19"/>
                <w:szCs w:val="19"/>
                <w:lang w:val="hr-HR"/>
              </w:rPr>
            </w:pPr>
          </w:p>
        </w:tc>
        <w:tc>
          <w:tcPr>
            <w:tcW w:w="1346" w:type="dxa"/>
            <w:shd w:val="clear" w:color="auto" w:fill="auto"/>
          </w:tcPr>
          <w:p w14:paraId="78DA9AC7" w14:textId="77777777" w:rsidR="004E2F51" w:rsidRPr="004B4498" w:rsidRDefault="004E2F51" w:rsidP="00E032FC">
            <w:pPr>
              <w:spacing w:before="120" w:line="300" w:lineRule="exact"/>
              <w:jc w:val="both"/>
              <w:rPr>
                <w:rFonts w:ascii="Arial" w:hAnsi="Arial" w:cs="Arial"/>
                <w:b/>
                <w:color w:val="000000" w:themeColor="text1"/>
                <w:sz w:val="19"/>
                <w:szCs w:val="19"/>
                <w:lang w:val="hr-HR"/>
              </w:rPr>
            </w:pPr>
          </w:p>
        </w:tc>
        <w:tc>
          <w:tcPr>
            <w:tcW w:w="1347" w:type="dxa"/>
            <w:shd w:val="clear" w:color="auto" w:fill="auto"/>
          </w:tcPr>
          <w:p w14:paraId="7570CA09" w14:textId="77777777" w:rsidR="004E2F51" w:rsidRPr="004B4498" w:rsidRDefault="004E2F51" w:rsidP="00E032FC">
            <w:pPr>
              <w:spacing w:before="120" w:line="300" w:lineRule="exact"/>
              <w:jc w:val="both"/>
              <w:rPr>
                <w:rFonts w:ascii="Arial" w:hAnsi="Arial" w:cs="Arial"/>
                <w:b/>
                <w:color w:val="000000" w:themeColor="text1"/>
                <w:sz w:val="19"/>
                <w:szCs w:val="19"/>
                <w:lang w:val="hr-HR"/>
              </w:rPr>
            </w:pPr>
          </w:p>
        </w:tc>
        <w:tc>
          <w:tcPr>
            <w:tcW w:w="1346" w:type="dxa"/>
            <w:shd w:val="clear" w:color="auto" w:fill="auto"/>
          </w:tcPr>
          <w:p w14:paraId="0303C451" w14:textId="77777777" w:rsidR="004E2F51" w:rsidRPr="004B4498" w:rsidRDefault="004E2F51" w:rsidP="00E032FC">
            <w:pPr>
              <w:spacing w:before="120" w:line="300" w:lineRule="exact"/>
              <w:jc w:val="both"/>
              <w:rPr>
                <w:rFonts w:ascii="Arial" w:hAnsi="Arial" w:cs="Arial"/>
                <w:b/>
                <w:color w:val="000000" w:themeColor="text1"/>
                <w:sz w:val="19"/>
                <w:szCs w:val="19"/>
                <w:lang w:val="hr-HR"/>
              </w:rPr>
            </w:pPr>
          </w:p>
        </w:tc>
        <w:tc>
          <w:tcPr>
            <w:tcW w:w="1347" w:type="dxa"/>
            <w:shd w:val="clear" w:color="auto" w:fill="auto"/>
          </w:tcPr>
          <w:p w14:paraId="428F1372" w14:textId="77777777" w:rsidR="004E2F51" w:rsidRPr="004B4498" w:rsidRDefault="004E2F51" w:rsidP="00E032FC">
            <w:pPr>
              <w:spacing w:before="120" w:line="300" w:lineRule="exact"/>
              <w:jc w:val="both"/>
              <w:rPr>
                <w:rFonts w:ascii="Arial" w:hAnsi="Arial" w:cs="Arial"/>
                <w:b/>
                <w:color w:val="000000" w:themeColor="text1"/>
                <w:sz w:val="19"/>
                <w:szCs w:val="19"/>
                <w:lang w:val="hr-HR"/>
              </w:rPr>
            </w:pPr>
          </w:p>
        </w:tc>
      </w:tr>
      <w:tr w:rsidR="004E2F51" w:rsidRPr="0030105C" w14:paraId="38642371" w14:textId="77777777" w:rsidTr="00E032FC">
        <w:trPr>
          <w:jc w:val="center"/>
        </w:trPr>
        <w:tc>
          <w:tcPr>
            <w:tcW w:w="2268" w:type="dxa"/>
            <w:shd w:val="clear" w:color="auto" w:fill="auto"/>
          </w:tcPr>
          <w:p w14:paraId="73E4E5C8" w14:textId="77777777" w:rsidR="004E2F51" w:rsidRPr="004B4498" w:rsidRDefault="004E2F51" w:rsidP="00E032FC">
            <w:pPr>
              <w:spacing w:line="240" w:lineRule="exact"/>
              <w:rPr>
                <w:rFonts w:ascii="Arial" w:hAnsi="Arial" w:cs="Arial"/>
                <w:color w:val="000000" w:themeColor="text1"/>
                <w:sz w:val="19"/>
                <w:szCs w:val="19"/>
                <w:lang w:val="hr-HR"/>
              </w:rPr>
            </w:pPr>
            <w:r w:rsidRPr="004B4498">
              <w:rPr>
                <w:rFonts w:ascii="Arial" w:hAnsi="Arial" w:cs="Arial"/>
                <w:color w:val="000000" w:themeColor="text1"/>
                <w:sz w:val="19"/>
                <w:szCs w:val="19"/>
                <w:lang w:val="hr-HR"/>
              </w:rPr>
              <w:t>Hrvatsko kreditno osiguranje d.d. Zagreb, Republika Hrvatska</w:t>
            </w:r>
          </w:p>
        </w:tc>
        <w:tc>
          <w:tcPr>
            <w:tcW w:w="1701" w:type="dxa"/>
            <w:shd w:val="clear" w:color="auto" w:fill="auto"/>
            <w:vAlign w:val="center"/>
          </w:tcPr>
          <w:p w14:paraId="2F501987" w14:textId="77777777" w:rsidR="004E2F51" w:rsidRPr="004B4498" w:rsidRDefault="004E2F51" w:rsidP="00E032FC">
            <w:pPr>
              <w:spacing w:line="240" w:lineRule="exact"/>
              <w:jc w:val="right"/>
              <w:rPr>
                <w:rFonts w:ascii="Arial" w:hAnsi="Arial" w:cs="Arial"/>
                <w:color w:val="000000" w:themeColor="text1"/>
                <w:sz w:val="19"/>
                <w:szCs w:val="19"/>
                <w:lang w:val="hr-HR"/>
              </w:rPr>
            </w:pPr>
            <w:r w:rsidRPr="004B4498">
              <w:rPr>
                <w:rFonts w:ascii="Arial" w:hAnsi="Arial" w:cs="Arial"/>
                <w:color w:val="000000" w:themeColor="text1"/>
                <w:sz w:val="19"/>
                <w:szCs w:val="19"/>
                <w:lang w:val="hr-HR"/>
              </w:rPr>
              <w:t>osiguravanje inozemnih i domaćih kratkoročnih potraživanja poslovnih subjekata vezanih za isporuke roba i usluga</w:t>
            </w:r>
          </w:p>
        </w:tc>
        <w:tc>
          <w:tcPr>
            <w:tcW w:w="1346" w:type="dxa"/>
            <w:shd w:val="clear" w:color="auto" w:fill="auto"/>
            <w:vAlign w:val="center"/>
          </w:tcPr>
          <w:p w14:paraId="2EF00ADD" w14:textId="77777777" w:rsidR="004E2F51" w:rsidRPr="00AE0F5C" w:rsidRDefault="004E2F51" w:rsidP="00E032FC">
            <w:pPr>
              <w:spacing w:line="240" w:lineRule="exact"/>
              <w:jc w:val="right"/>
              <w:rPr>
                <w:rFonts w:ascii="Arial" w:hAnsi="Arial" w:cs="Arial"/>
                <w:color w:val="000000" w:themeColor="text1"/>
                <w:sz w:val="19"/>
                <w:szCs w:val="19"/>
                <w:lang w:val="hr-HR"/>
              </w:rPr>
            </w:pPr>
            <w:r w:rsidRPr="00AE0F5C">
              <w:rPr>
                <w:rFonts w:ascii="Arial" w:hAnsi="Arial" w:cs="Arial"/>
                <w:color w:val="000000" w:themeColor="text1"/>
                <w:sz w:val="19"/>
                <w:szCs w:val="19"/>
                <w:lang w:val="hr-HR"/>
              </w:rPr>
              <w:t>100%</w:t>
            </w:r>
          </w:p>
        </w:tc>
        <w:tc>
          <w:tcPr>
            <w:tcW w:w="1347" w:type="dxa"/>
            <w:shd w:val="clear" w:color="auto" w:fill="auto"/>
            <w:vAlign w:val="center"/>
          </w:tcPr>
          <w:p w14:paraId="49DD8A50" w14:textId="77777777" w:rsidR="004E2F51" w:rsidRPr="00AE0F5C" w:rsidRDefault="004E2F51" w:rsidP="00E032FC">
            <w:pPr>
              <w:spacing w:line="240" w:lineRule="exact"/>
              <w:jc w:val="right"/>
              <w:rPr>
                <w:rFonts w:ascii="Arial" w:hAnsi="Arial" w:cs="Arial"/>
                <w:color w:val="000000" w:themeColor="text1"/>
                <w:sz w:val="19"/>
                <w:szCs w:val="19"/>
                <w:lang w:val="hr-HR"/>
              </w:rPr>
            </w:pPr>
            <w:r w:rsidRPr="00AE0F5C">
              <w:rPr>
                <w:rFonts w:ascii="Arial" w:hAnsi="Arial" w:cs="Arial"/>
                <w:color w:val="000000" w:themeColor="text1"/>
                <w:sz w:val="19"/>
                <w:szCs w:val="19"/>
                <w:lang w:val="hr-HR"/>
              </w:rPr>
              <w:t>100%</w:t>
            </w:r>
          </w:p>
        </w:tc>
        <w:tc>
          <w:tcPr>
            <w:tcW w:w="1346" w:type="dxa"/>
            <w:shd w:val="clear" w:color="auto" w:fill="auto"/>
            <w:vAlign w:val="center"/>
          </w:tcPr>
          <w:p w14:paraId="53100A95" w14:textId="77777777" w:rsidR="004E2F51" w:rsidRPr="00AE0F5C" w:rsidRDefault="004E2F51" w:rsidP="00E032FC">
            <w:pPr>
              <w:spacing w:line="240" w:lineRule="exact"/>
              <w:jc w:val="right"/>
              <w:rPr>
                <w:rFonts w:ascii="Arial" w:hAnsi="Arial" w:cs="Arial"/>
                <w:color w:val="000000" w:themeColor="text1"/>
                <w:sz w:val="19"/>
                <w:szCs w:val="19"/>
                <w:lang w:val="hr-HR"/>
              </w:rPr>
            </w:pPr>
            <w:r w:rsidRPr="00AE0F5C">
              <w:rPr>
                <w:rFonts w:ascii="Arial" w:hAnsi="Arial" w:cs="Arial"/>
                <w:color w:val="000000" w:themeColor="text1"/>
                <w:sz w:val="19"/>
                <w:szCs w:val="19"/>
                <w:lang w:val="hr-HR"/>
              </w:rPr>
              <w:t>56.124</w:t>
            </w:r>
          </w:p>
        </w:tc>
        <w:tc>
          <w:tcPr>
            <w:tcW w:w="1347" w:type="dxa"/>
            <w:shd w:val="clear" w:color="auto" w:fill="auto"/>
            <w:vAlign w:val="center"/>
          </w:tcPr>
          <w:p w14:paraId="2972E912" w14:textId="77777777" w:rsidR="004E2F51" w:rsidRPr="004B4498" w:rsidRDefault="004E2F51" w:rsidP="00E032FC">
            <w:pPr>
              <w:spacing w:line="240" w:lineRule="exact"/>
              <w:jc w:val="right"/>
              <w:rPr>
                <w:rFonts w:ascii="Arial" w:hAnsi="Arial" w:cs="Arial"/>
                <w:color w:val="000000" w:themeColor="text1"/>
                <w:sz w:val="19"/>
                <w:szCs w:val="19"/>
                <w:lang w:val="hr-HR"/>
              </w:rPr>
            </w:pPr>
            <w:r w:rsidRPr="004B4498">
              <w:rPr>
                <w:rFonts w:ascii="Arial" w:hAnsi="Arial" w:cs="Arial"/>
                <w:color w:val="000000" w:themeColor="text1"/>
                <w:sz w:val="19"/>
                <w:szCs w:val="19"/>
                <w:lang w:val="hr-HR"/>
              </w:rPr>
              <w:t>36.124</w:t>
            </w:r>
          </w:p>
        </w:tc>
      </w:tr>
      <w:tr w:rsidR="004E2F51" w:rsidRPr="0030105C" w14:paraId="1C225D0A" w14:textId="77777777" w:rsidTr="00E032FC">
        <w:trPr>
          <w:jc w:val="center"/>
        </w:trPr>
        <w:tc>
          <w:tcPr>
            <w:tcW w:w="2268" w:type="dxa"/>
            <w:shd w:val="clear" w:color="auto" w:fill="auto"/>
          </w:tcPr>
          <w:p w14:paraId="74B07FF6" w14:textId="77777777" w:rsidR="004E2F51" w:rsidRPr="004B4498" w:rsidRDefault="004E2F51" w:rsidP="00E032FC">
            <w:pPr>
              <w:spacing w:line="300" w:lineRule="exac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Ukupno</w:t>
            </w:r>
          </w:p>
        </w:tc>
        <w:tc>
          <w:tcPr>
            <w:tcW w:w="1701" w:type="dxa"/>
            <w:shd w:val="clear" w:color="auto" w:fill="auto"/>
          </w:tcPr>
          <w:p w14:paraId="3229FF5F" w14:textId="77777777" w:rsidR="004E2F51" w:rsidRPr="004B4498" w:rsidRDefault="004E2F51" w:rsidP="00E032FC">
            <w:pPr>
              <w:spacing w:line="300" w:lineRule="exact"/>
              <w:jc w:val="both"/>
              <w:rPr>
                <w:rFonts w:ascii="Arial" w:hAnsi="Arial" w:cs="Arial"/>
                <w:b/>
                <w:color w:val="000000" w:themeColor="text1"/>
                <w:sz w:val="19"/>
                <w:szCs w:val="19"/>
                <w:lang w:val="hr-HR"/>
              </w:rPr>
            </w:pPr>
          </w:p>
        </w:tc>
        <w:tc>
          <w:tcPr>
            <w:tcW w:w="1346" w:type="dxa"/>
            <w:shd w:val="clear" w:color="auto" w:fill="auto"/>
          </w:tcPr>
          <w:p w14:paraId="1036B4DC" w14:textId="77777777" w:rsidR="004E2F51" w:rsidRPr="00AE0F5C" w:rsidRDefault="004E2F51" w:rsidP="00E032FC">
            <w:pPr>
              <w:spacing w:line="300" w:lineRule="exact"/>
              <w:jc w:val="both"/>
              <w:rPr>
                <w:rFonts w:ascii="Arial" w:hAnsi="Arial" w:cs="Arial"/>
                <w:b/>
                <w:color w:val="000000" w:themeColor="text1"/>
                <w:sz w:val="19"/>
                <w:szCs w:val="19"/>
                <w:lang w:val="hr-HR"/>
              </w:rPr>
            </w:pPr>
          </w:p>
        </w:tc>
        <w:tc>
          <w:tcPr>
            <w:tcW w:w="1347" w:type="dxa"/>
            <w:shd w:val="clear" w:color="auto" w:fill="auto"/>
          </w:tcPr>
          <w:p w14:paraId="1DC50B21" w14:textId="77777777" w:rsidR="004E2F51" w:rsidRPr="00AE0F5C" w:rsidRDefault="004E2F51" w:rsidP="00E032FC">
            <w:pPr>
              <w:spacing w:line="300" w:lineRule="exact"/>
              <w:jc w:val="both"/>
              <w:rPr>
                <w:rFonts w:ascii="Arial" w:hAnsi="Arial" w:cs="Arial"/>
                <w:b/>
                <w:color w:val="000000" w:themeColor="text1"/>
                <w:sz w:val="19"/>
                <w:szCs w:val="19"/>
                <w:lang w:val="hr-HR"/>
              </w:rPr>
            </w:pPr>
          </w:p>
        </w:tc>
        <w:tc>
          <w:tcPr>
            <w:tcW w:w="1346" w:type="dxa"/>
            <w:tcBorders>
              <w:top w:val="single" w:sz="4" w:space="0" w:color="auto"/>
              <w:bottom w:val="single" w:sz="12" w:space="0" w:color="auto"/>
            </w:tcBorders>
            <w:shd w:val="clear" w:color="auto" w:fill="auto"/>
          </w:tcPr>
          <w:p w14:paraId="2B48B51A" w14:textId="77777777" w:rsidR="004E2F51" w:rsidRPr="00AE0F5C" w:rsidRDefault="004E2F51" w:rsidP="00E032FC">
            <w:pPr>
              <w:spacing w:line="300" w:lineRule="exact"/>
              <w:jc w:val="right"/>
              <w:rPr>
                <w:rFonts w:ascii="Arial" w:hAnsi="Arial" w:cs="Arial"/>
                <w:b/>
                <w:color w:val="000000" w:themeColor="text1"/>
                <w:sz w:val="19"/>
                <w:szCs w:val="19"/>
                <w:lang w:val="hr-HR"/>
              </w:rPr>
            </w:pPr>
            <w:r>
              <w:rPr>
                <w:rFonts w:ascii="Arial" w:hAnsi="Arial" w:cs="Arial"/>
                <w:b/>
                <w:color w:val="000000" w:themeColor="text1"/>
                <w:sz w:val="19"/>
                <w:szCs w:val="19"/>
                <w:lang w:val="hr-HR"/>
              </w:rPr>
              <w:t>5</w:t>
            </w:r>
            <w:r w:rsidRPr="00AE0F5C">
              <w:rPr>
                <w:rFonts w:ascii="Arial" w:hAnsi="Arial" w:cs="Arial"/>
                <w:b/>
                <w:color w:val="000000" w:themeColor="text1"/>
                <w:sz w:val="19"/>
                <w:szCs w:val="19"/>
                <w:lang w:val="hr-HR"/>
              </w:rPr>
              <w:t>6.124</w:t>
            </w:r>
          </w:p>
        </w:tc>
        <w:tc>
          <w:tcPr>
            <w:tcW w:w="1347" w:type="dxa"/>
            <w:tcBorders>
              <w:top w:val="single" w:sz="4" w:space="0" w:color="auto"/>
              <w:bottom w:val="single" w:sz="12" w:space="0" w:color="auto"/>
            </w:tcBorders>
            <w:shd w:val="clear" w:color="auto" w:fill="auto"/>
          </w:tcPr>
          <w:p w14:paraId="1F585E32" w14:textId="77777777" w:rsidR="004E2F51" w:rsidRPr="004B4498" w:rsidRDefault="004E2F51" w:rsidP="00E032FC">
            <w:pPr>
              <w:spacing w:line="300" w:lineRule="exact"/>
              <w:jc w:val="right"/>
              <w:rPr>
                <w:rFonts w:ascii="Arial" w:hAnsi="Arial" w:cs="Arial"/>
                <w:b/>
                <w:color w:val="000000" w:themeColor="text1"/>
                <w:sz w:val="19"/>
                <w:szCs w:val="19"/>
                <w:lang w:val="hr-HR"/>
              </w:rPr>
            </w:pPr>
            <w:r w:rsidRPr="004B4498">
              <w:rPr>
                <w:rFonts w:ascii="Arial" w:hAnsi="Arial" w:cs="Arial"/>
                <w:b/>
                <w:color w:val="000000" w:themeColor="text1"/>
                <w:sz w:val="19"/>
                <w:szCs w:val="19"/>
                <w:lang w:val="hr-HR"/>
              </w:rPr>
              <w:t>36.124</w:t>
            </w:r>
          </w:p>
        </w:tc>
      </w:tr>
    </w:tbl>
    <w:p w14:paraId="6D57F6F0" w14:textId="77777777" w:rsidR="004E2F51" w:rsidRPr="004B4498" w:rsidRDefault="004E2F51" w:rsidP="004E2F51">
      <w:pPr>
        <w:pStyle w:val="T1"/>
        <w:spacing w:before="0" w:after="0" w:line="240" w:lineRule="auto"/>
        <w:rPr>
          <w:rFonts w:cs="Arial"/>
          <w:color w:val="000000" w:themeColor="text1"/>
          <w:sz w:val="20"/>
          <w:lang w:val="hr-HR"/>
        </w:rPr>
      </w:pPr>
    </w:p>
    <w:p w14:paraId="62A938C4" w14:textId="77777777" w:rsidR="004E2F51" w:rsidRPr="007C5A9C" w:rsidRDefault="004E2F51" w:rsidP="004E2F51">
      <w:pPr>
        <w:pStyle w:val="T1"/>
        <w:spacing w:before="0" w:after="0" w:line="240" w:lineRule="auto"/>
        <w:rPr>
          <w:rFonts w:cs="Arial"/>
          <w:b w:val="0"/>
          <w:color w:val="000000" w:themeColor="text1"/>
          <w:sz w:val="20"/>
          <w:lang w:val="hr-HR"/>
        </w:rPr>
      </w:pPr>
      <w:r w:rsidRPr="007C5A9C">
        <w:rPr>
          <w:rFonts w:cs="Arial"/>
          <w:b w:val="0"/>
          <w:color w:val="000000" w:themeColor="text1"/>
          <w:sz w:val="20"/>
          <w:lang w:val="hr-HR"/>
        </w:rPr>
        <w:t>Odlukom Nadzornog odbora HBOR-a sa 7. sjednice održane 27. rujna 2022. godine, odobrava se uplata u novcu od strane HBOR-a, novih redovnih dionica društva Hrvatsko kreditno osiguranje d.d., Zagreb u iznosu od 20.000 tisuća kuna.</w:t>
      </w:r>
    </w:p>
    <w:p w14:paraId="10F3A07B" w14:textId="77777777" w:rsidR="004E2F51" w:rsidRPr="007C5A9C" w:rsidRDefault="004E2F51" w:rsidP="004E2F51">
      <w:pPr>
        <w:pStyle w:val="T1"/>
        <w:spacing w:before="0" w:after="0" w:line="240" w:lineRule="auto"/>
        <w:rPr>
          <w:rFonts w:cs="Arial"/>
          <w:b w:val="0"/>
          <w:color w:val="000000" w:themeColor="text1"/>
          <w:sz w:val="20"/>
          <w:lang w:val="hr-HR"/>
        </w:rPr>
      </w:pPr>
    </w:p>
    <w:p w14:paraId="6D604A06" w14:textId="77777777" w:rsidR="004E2F51" w:rsidRPr="007C5A9C" w:rsidRDefault="004E2F51" w:rsidP="004E2F51">
      <w:pPr>
        <w:pStyle w:val="T1"/>
        <w:spacing w:before="0" w:after="0" w:line="240" w:lineRule="auto"/>
        <w:rPr>
          <w:rFonts w:cs="Arial"/>
          <w:b w:val="0"/>
          <w:color w:val="000000" w:themeColor="text1"/>
          <w:sz w:val="20"/>
          <w:lang w:val="hr-HR"/>
        </w:rPr>
      </w:pPr>
      <w:r w:rsidRPr="007C5A9C">
        <w:rPr>
          <w:rFonts w:cs="Arial"/>
          <w:b w:val="0"/>
          <w:color w:val="000000" w:themeColor="text1"/>
          <w:sz w:val="20"/>
          <w:lang w:val="hr-HR"/>
        </w:rPr>
        <w:t xml:space="preserve">Glavna skupština HKO-a održana je 29. rujna 2022. godine te je donijeta Odluka o povećanju temeljenog kapitala društva za iznos od 20.000 tisuća kuna koje je HBOR uplatio dana 4. listopada 2022. godine. </w:t>
      </w:r>
    </w:p>
    <w:p w14:paraId="2204C2FD" w14:textId="77777777" w:rsidR="004E2F51" w:rsidRDefault="004E2F51" w:rsidP="004E2F51">
      <w:pPr>
        <w:pStyle w:val="T1"/>
        <w:spacing w:before="0" w:after="0" w:line="240" w:lineRule="auto"/>
        <w:rPr>
          <w:rFonts w:cs="Arial"/>
          <w:b w:val="0"/>
          <w:color w:val="000000" w:themeColor="text1"/>
          <w:sz w:val="20"/>
          <w:lang w:val="hr-HR"/>
        </w:rPr>
      </w:pPr>
      <w:r w:rsidRPr="007C5A9C">
        <w:rPr>
          <w:rFonts w:cs="Arial"/>
          <w:b w:val="0"/>
          <w:color w:val="000000" w:themeColor="text1"/>
          <w:sz w:val="20"/>
          <w:lang w:val="hr-HR"/>
        </w:rPr>
        <w:t>Trgovački sud u Zagrebu je dana 13. listopada 2022. godine donio Rješenje o promjeni Statuta i povećanju temeljnog kapitala društva HKO.</w:t>
      </w:r>
    </w:p>
    <w:p w14:paraId="2BB932A9" w14:textId="77777777" w:rsidR="004E2F51" w:rsidRDefault="004E2F51" w:rsidP="004E2F51">
      <w:pPr>
        <w:pStyle w:val="T1"/>
        <w:spacing w:before="0" w:after="0" w:line="240" w:lineRule="auto"/>
        <w:rPr>
          <w:rFonts w:cs="Arial"/>
          <w:b w:val="0"/>
          <w:color w:val="000000" w:themeColor="text1"/>
          <w:sz w:val="20"/>
          <w:lang w:val="hr-HR"/>
        </w:rPr>
      </w:pPr>
    </w:p>
    <w:p w14:paraId="7AD9538F" w14:textId="77777777" w:rsidR="004E2F51" w:rsidRPr="004B4498" w:rsidRDefault="004E2F51" w:rsidP="004E2F51">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Rezultati povezanog društva daju se u Dodatku uz financijske izvještaje – Financijsko poslovanje Grupe HKO.</w:t>
      </w:r>
    </w:p>
    <w:p w14:paraId="7E6790CD" w14:textId="77777777" w:rsidR="004E2F51" w:rsidRPr="00B91D09" w:rsidRDefault="004E2F51" w:rsidP="004E2F51">
      <w:pPr>
        <w:pStyle w:val="T1"/>
        <w:spacing w:before="0" w:after="0" w:line="240" w:lineRule="auto"/>
        <w:rPr>
          <w:rFonts w:cs="Arial"/>
          <w:color w:val="000000" w:themeColor="text1"/>
          <w:sz w:val="22"/>
          <w:szCs w:val="22"/>
          <w:lang w:val="hr-HR"/>
        </w:rPr>
        <w:sectPr w:rsidR="004E2F51" w:rsidRPr="00B91D09" w:rsidSect="00623DBA">
          <w:footerReference w:type="default" r:id="rId141"/>
          <w:pgSz w:w="11907" w:h="16840" w:code="9"/>
          <w:pgMar w:top="1418" w:right="1134" w:bottom="1134" w:left="1418" w:header="851" w:footer="851" w:gutter="0"/>
          <w:cols w:space="720"/>
          <w:noEndnote/>
        </w:sectPr>
      </w:pPr>
    </w:p>
    <w:p w14:paraId="662B126A" w14:textId="77777777" w:rsidR="004E2F51" w:rsidRPr="00B91D09" w:rsidRDefault="004E2F51" w:rsidP="004E2F51">
      <w:pPr>
        <w:pStyle w:val="T1"/>
        <w:spacing w:before="0" w:after="0" w:line="240" w:lineRule="auto"/>
        <w:rPr>
          <w:rFonts w:cs="Arial"/>
          <w:color w:val="000000" w:themeColor="text1"/>
          <w:sz w:val="22"/>
          <w:szCs w:val="22"/>
          <w:lang w:val="hr-HR"/>
        </w:rPr>
      </w:pPr>
    </w:p>
    <w:p w14:paraId="1D6E55C9" w14:textId="77777777" w:rsidR="004E2F51" w:rsidRPr="00B91D09" w:rsidRDefault="004E2F51" w:rsidP="004E2F51">
      <w:pPr>
        <w:pStyle w:val="T1"/>
        <w:tabs>
          <w:tab w:val="left" w:pos="567"/>
        </w:tabs>
        <w:spacing w:before="0" w:after="0" w:line="240" w:lineRule="auto"/>
        <w:rPr>
          <w:rFonts w:cs="Arial"/>
          <w:color w:val="000000" w:themeColor="text1"/>
          <w:sz w:val="22"/>
          <w:szCs w:val="22"/>
          <w:lang w:val="hr-HR"/>
        </w:rPr>
      </w:pPr>
      <w:r>
        <w:rPr>
          <w:rFonts w:cs="Arial"/>
          <w:color w:val="000000" w:themeColor="text1"/>
          <w:sz w:val="22"/>
          <w:szCs w:val="22"/>
          <w:lang w:val="hr-HR"/>
        </w:rPr>
        <w:t>19</w:t>
      </w:r>
      <w:r w:rsidRPr="00B91D09">
        <w:rPr>
          <w:rFonts w:cs="Arial"/>
          <w:color w:val="000000" w:themeColor="text1"/>
          <w:sz w:val="22"/>
          <w:szCs w:val="22"/>
          <w:lang w:val="hr-HR"/>
        </w:rPr>
        <w:t>.</w:t>
      </w:r>
      <w:r w:rsidRPr="00B91D09">
        <w:rPr>
          <w:rFonts w:cs="Arial"/>
          <w:color w:val="000000" w:themeColor="text1"/>
          <w:sz w:val="22"/>
          <w:szCs w:val="22"/>
          <w:lang w:val="hr-HR"/>
        </w:rPr>
        <w:tab/>
        <w:t xml:space="preserve">Nekretnine, postrojenja i oprema i nematerijalna imovina </w:t>
      </w:r>
    </w:p>
    <w:p w14:paraId="2CDDBB5D" w14:textId="77777777" w:rsidR="004E2F51" w:rsidRPr="00B91D09" w:rsidRDefault="004E2F51" w:rsidP="004E2F51">
      <w:pPr>
        <w:pStyle w:val="T1"/>
        <w:spacing w:before="0" w:after="0" w:line="240" w:lineRule="auto"/>
        <w:rPr>
          <w:rFonts w:cs="Arial"/>
          <w:color w:val="000000" w:themeColor="text1"/>
          <w:sz w:val="22"/>
          <w:szCs w:val="22"/>
          <w:lang w:val="hr-HR"/>
        </w:rPr>
      </w:pPr>
    </w:p>
    <w:tbl>
      <w:tblPr>
        <w:tblW w:w="5424" w:type="pct"/>
        <w:tblInd w:w="-567" w:type="dxa"/>
        <w:tblLayout w:type="fixed"/>
        <w:tblCellMar>
          <w:left w:w="119" w:type="dxa"/>
          <w:right w:w="119" w:type="dxa"/>
        </w:tblCellMar>
        <w:tblLook w:val="0000" w:firstRow="0" w:lastRow="0" w:firstColumn="0" w:lastColumn="0" w:noHBand="0" w:noVBand="0"/>
      </w:tblPr>
      <w:tblGrid>
        <w:gridCol w:w="2039"/>
        <w:gridCol w:w="1189"/>
        <w:gridCol w:w="1151"/>
        <w:gridCol w:w="1151"/>
        <w:gridCol w:w="1151"/>
        <w:gridCol w:w="1151"/>
        <w:gridCol w:w="1362"/>
        <w:gridCol w:w="954"/>
      </w:tblGrid>
      <w:tr w:rsidR="004E2F51" w:rsidRPr="001B647D" w14:paraId="58B3E550" w14:textId="77777777" w:rsidTr="002D6F0B">
        <w:trPr>
          <w:trHeight w:val="1362"/>
        </w:trPr>
        <w:tc>
          <w:tcPr>
            <w:tcW w:w="1005" w:type="pct"/>
            <w:vAlign w:val="bottom"/>
          </w:tcPr>
          <w:p w14:paraId="5169B33B" w14:textId="77777777" w:rsidR="004E2F51" w:rsidRPr="004B4498" w:rsidRDefault="004E2F51" w:rsidP="00E032FC">
            <w:pPr>
              <w:tabs>
                <w:tab w:val="left" w:pos="-1559"/>
              </w:tabs>
              <w:rPr>
                <w:rFonts w:ascii="Arial" w:hAnsi="Arial" w:cs="Arial"/>
                <w:b/>
                <w:color w:val="000000" w:themeColor="text1"/>
                <w:spacing w:val="-2"/>
                <w:sz w:val="16"/>
                <w:szCs w:val="16"/>
                <w:lang w:val="hr-HR"/>
              </w:rPr>
            </w:pPr>
            <w:r w:rsidRPr="004B4498">
              <w:rPr>
                <w:rFonts w:ascii="Arial" w:hAnsi="Arial" w:cs="Arial"/>
                <w:b/>
                <w:color w:val="000000" w:themeColor="text1"/>
                <w:spacing w:val="-2"/>
                <w:sz w:val="16"/>
                <w:szCs w:val="16"/>
                <w:lang w:val="hr-HR"/>
              </w:rPr>
              <w:t>Grupa</w:t>
            </w:r>
          </w:p>
          <w:p w14:paraId="5F0DAD1B" w14:textId="77777777" w:rsidR="004E2F51" w:rsidRPr="004B4498" w:rsidRDefault="004E2F51" w:rsidP="00E032FC">
            <w:pPr>
              <w:tabs>
                <w:tab w:val="left" w:pos="-1559"/>
              </w:tabs>
              <w:rPr>
                <w:rFonts w:ascii="Arial" w:hAnsi="Arial" w:cs="Arial"/>
                <w:b/>
                <w:color w:val="000000" w:themeColor="text1"/>
                <w:spacing w:val="-2"/>
                <w:sz w:val="16"/>
                <w:szCs w:val="16"/>
                <w:lang w:val="hr-HR"/>
              </w:rPr>
            </w:pPr>
          </w:p>
          <w:p w14:paraId="2AB6DA5F" w14:textId="77777777" w:rsidR="004E2F51" w:rsidRPr="004B4498" w:rsidRDefault="004E2F51" w:rsidP="00E032FC">
            <w:pPr>
              <w:tabs>
                <w:tab w:val="left" w:pos="-1559"/>
              </w:tabs>
              <w:rPr>
                <w:rFonts w:ascii="Arial" w:hAnsi="Arial" w:cs="Arial"/>
                <w:b/>
                <w:color w:val="000000" w:themeColor="text1"/>
                <w:spacing w:val="-2"/>
                <w:sz w:val="16"/>
                <w:szCs w:val="16"/>
                <w:lang w:val="hr-HR"/>
              </w:rPr>
            </w:pPr>
          </w:p>
          <w:p w14:paraId="43E44820" w14:textId="77777777" w:rsidR="004E2F51" w:rsidRPr="004B4498" w:rsidRDefault="004E2F51" w:rsidP="00E032FC">
            <w:pPr>
              <w:tabs>
                <w:tab w:val="left" w:pos="-1559"/>
              </w:tabs>
              <w:rPr>
                <w:rFonts w:ascii="Arial" w:hAnsi="Arial" w:cs="Arial"/>
                <w:b/>
                <w:color w:val="000000" w:themeColor="text1"/>
                <w:spacing w:val="-2"/>
                <w:sz w:val="16"/>
                <w:szCs w:val="16"/>
                <w:lang w:val="hr-HR"/>
              </w:rPr>
            </w:pPr>
          </w:p>
          <w:p w14:paraId="27AFD6C2" w14:textId="77777777" w:rsidR="004E2F51" w:rsidRPr="004B4498" w:rsidRDefault="004E2F51" w:rsidP="00E032FC">
            <w:pPr>
              <w:tabs>
                <w:tab w:val="left" w:pos="-1559"/>
              </w:tabs>
              <w:rPr>
                <w:rFonts w:ascii="Arial" w:hAnsi="Arial" w:cs="Arial"/>
                <w:b/>
                <w:color w:val="000000" w:themeColor="text1"/>
                <w:spacing w:val="-2"/>
                <w:sz w:val="16"/>
                <w:szCs w:val="16"/>
                <w:lang w:val="hr-HR"/>
              </w:rPr>
            </w:pPr>
            <w:r w:rsidRPr="004B4498">
              <w:rPr>
                <w:rFonts w:ascii="Arial" w:hAnsi="Arial" w:cs="Arial"/>
                <w:b/>
                <w:color w:val="000000" w:themeColor="text1"/>
                <w:spacing w:val="-2"/>
                <w:sz w:val="16"/>
                <w:szCs w:val="16"/>
                <w:lang w:val="hr-HR"/>
              </w:rPr>
              <w:t>31. prosinca 202</w:t>
            </w:r>
            <w:r>
              <w:rPr>
                <w:rFonts w:ascii="Arial" w:hAnsi="Arial" w:cs="Arial"/>
                <w:b/>
                <w:color w:val="000000" w:themeColor="text1"/>
                <w:spacing w:val="-2"/>
                <w:sz w:val="16"/>
                <w:szCs w:val="16"/>
                <w:lang w:val="hr-HR"/>
              </w:rPr>
              <w:t>2</w:t>
            </w:r>
            <w:r w:rsidRPr="004B4498">
              <w:rPr>
                <w:rFonts w:ascii="Arial" w:hAnsi="Arial" w:cs="Arial"/>
                <w:b/>
                <w:color w:val="000000" w:themeColor="text1"/>
                <w:spacing w:val="-2"/>
                <w:sz w:val="16"/>
                <w:szCs w:val="16"/>
                <w:lang w:val="hr-HR"/>
              </w:rPr>
              <w:t>.</w:t>
            </w:r>
          </w:p>
          <w:p w14:paraId="1FCE8FDE" w14:textId="77777777" w:rsidR="004E2F51" w:rsidRPr="004B4498" w:rsidRDefault="004E2F51" w:rsidP="00E032FC">
            <w:pPr>
              <w:tabs>
                <w:tab w:val="left" w:pos="-1559"/>
              </w:tabs>
              <w:rPr>
                <w:rFonts w:ascii="Arial" w:hAnsi="Arial" w:cs="Arial"/>
                <w:b/>
                <w:color w:val="000000" w:themeColor="text1"/>
                <w:spacing w:val="-2"/>
                <w:sz w:val="16"/>
                <w:szCs w:val="16"/>
                <w:highlight w:val="yellow"/>
                <w:lang w:val="hr-HR"/>
              </w:rPr>
            </w:pPr>
          </w:p>
        </w:tc>
        <w:tc>
          <w:tcPr>
            <w:tcW w:w="586" w:type="pct"/>
          </w:tcPr>
          <w:p w14:paraId="527204C0" w14:textId="77777777" w:rsidR="004E2F51" w:rsidRPr="004B4498" w:rsidRDefault="004E2F51" w:rsidP="00E032FC">
            <w:pPr>
              <w:pStyle w:val="TH"/>
              <w:jc w:val="right"/>
              <w:rPr>
                <w:rFonts w:cs="Arial"/>
                <w:color w:val="000000" w:themeColor="text1"/>
                <w:sz w:val="16"/>
                <w:szCs w:val="16"/>
                <w:lang w:val="hr-HR"/>
              </w:rPr>
            </w:pPr>
            <w:bookmarkStart w:id="1088" w:name="_Toc67328212"/>
            <w:r w:rsidRPr="004B4498">
              <w:rPr>
                <w:rFonts w:cs="Arial"/>
                <w:color w:val="000000" w:themeColor="text1"/>
                <w:sz w:val="16"/>
                <w:szCs w:val="16"/>
                <w:lang w:val="hr-HR"/>
              </w:rPr>
              <w:t>Građevinski objekti</w:t>
            </w:r>
            <w:bookmarkEnd w:id="1088"/>
          </w:p>
        </w:tc>
        <w:tc>
          <w:tcPr>
            <w:tcW w:w="567" w:type="pct"/>
          </w:tcPr>
          <w:p w14:paraId="7B2D1010" w14:textId="77777777" w:rsidR="004E2F51" w:rsidRPr="004B4498" w:rsidRDefault="004E2F51" w:rsidP="00E032FC">
            <w:pPr>
              <w:pStyle w:val="TH"/>
              <w:jc w:val="right"/>
              <w:rPr>
                <w:rFonts w:cs="Arial"/>
                <w:color w:val="000000" w:themeColor="text1"/>
                <w:sz w:val="16"/>
                <w:szCs w:val="16"/>
                <w:lang w:val="hr-HR"/>
              </w:rPr>
            </w:pPr>
            <w:bookmarkStart w:id="1089" w:name="_Toc67328213"/>
            <w:r w:rsidRPr="004B4498">
              <w:rPr>
                <w:rFonts w:cs="Arial"/>
                <w:color w:val="000000" w:themeColor="text1"/>
                <w:sz w:val="16"/>
                <w:szCs w:val="16"/>
                <w:lang w:val="hr-HR"/>
              </w:rPr>
              <w:t>Kompjutori</w:t>
            </w:r>
            <w:bookmarkEnd w:id="1089"/>
          </w:p>
        </w:tc>
        <w:tc>
          <w:tcPr>
            <w:tcW w:w="567" w:type="pct"/>
          </w:tcPr>
          <w:p w14:paraId="0ACE3F9C" w14:textId="77777777" w:rsidR="004E2F51" w:rsidRPr="004B4498" w:rsidRDefault="004E2F51" w:rsidP="00E032FC">
            <w:pPr>
              <w:pStyle w:val="TH"/>
              <w:jc w:val="right"/>
              <w:rPr>
                <w:rFonts w:cs="Arial"/>
                <w:color w:val="000000" w:themeColor="text1"/>
                <w:sz w:val="16"/>
                <w:szCs w:val="16"/>
                <w:lang w:val="hr-HR"/>
              </w:rPr>
            </w:pPr>
            <w:bookmarkStart w:id="1090" w:name="_Toc67328214"/>
            <w:r w:rsidRPr="004B4498">
              <w:rPr>
                <w:rFonts w:cs="Arial"/>
                <w:color w:val="000000" w:themeColor="text1"/>
                <w:sz w:val="16"/>
                <w:szCs w:val="16"/>
                <w:lang w:val="hr-HR"/>
              </w:rPr>
              <w:t>Namještaj, oprema i vozila</w:t>
            </w:r>
            <w:bookmarkEnd w:id="1090"/>
          </w:p>
        </w:tc>
        <w:tc>
          <w:tcPr>
            <w:tcW w:w="567" w:type="pct"/>
          </w:tcPr>
          <w:p w14:paraId="256AF8A6" w14:textId="77777777" w:rsidR="004E2F51" w:rsidRPr="004B4498" w:rsidRDefault="004E2F51" w:rsidP="00E032FC">
            <w:pPr>
              <w:pStyle w:val="TH"/>
              <w:jc w:val="right"/>
              <w:rPr>
                <w:rFonts w:cs="Arial"/>
                <w:color w:val="000000" w:themeColor="text1"/>
                <w:sz w:val="16"/>
                <w:szCs w:val="16"/>
                <w:lang w:val="hr-HR"/>
              </w:rPr>
            </w:pPr>
            <w:bookmarkStart w:id="1091" w:name="_Toc67328215"/>
            <w:r w:rsidRPr="004B4498">
              <w:rPr>
                <w:rFonts w:cs="Arial"/>
                <w:color w:val="000000" w:themeColor="text1"/>
                <w:sz w:val="16"/>
                <w:szCs w:val="16"/>
                <w:lang w:val="hr-HR"/>
              </w:rPr>
              <w:t>Nekretnine i oprema i nematerijalna imovina u pripremi</w:t>
            </w:r>
            <w:bookmarkEnd w:id="1091"/>
          </w:p>
        </w:tc>
        <w:tc>
          <w:tcPr>
            <w:tcW w:w="567" w:type="pct"/>
          </w:tcPr>
          <w:p w14:paraId="13D1BBE5" w14:textId="77777777" w:rsidR="004E2F51" w:rsidRPr="004B4498" w:rsidRDefault="004E2F51" w:rsidP="00E032FC">
            <w:pPr>
              <w:pStyle w:val="TH"/>
              <w:jc w:val="right"/>
              <w:rPr>
                <w:rFonts w:cs="Arial"/>
                <w:color w:val="000000" w:themeColor="text1"/>
                <w:sz w:val="16"/>
                <w:szCs w:val="16"/>
                <w:lang w:val="hr-HR"/>
              </w:rPr>
            </w:pPr>
            <w:bookmarkStart w:id="1092" w:name="_Toc67328216"/>
            <w:r w:rsidRPr="004B4498">
              <w:rPr>
                <w:rFonts w:cs="Arial"/>
                <w:color w:val="000000" w:themeColor="text1"/>
                <w:sz w:val="16"/>
                <w:szCs w:val="16"/>
                <w:lang w:val="hr-HR"/>
              </w:rPr>
              <w:t>Ukupno nekretnine, postrojenja i oprema</w:t>
            </w:r>
            <w:bookmarkEnd w:id="1092"/>
            <w:r w:rsidRPr="004B4498">
              <w:rPr>
                <w:rFonts w:cs="Arial"/>
                <w:color w:val="000000" w:themeColor="text1"/>
                <w:sz w:val="16"/>
                <w:szCs w:val="16"/>
                <w:lang w:val="hr-HR"/>
              </w:rPr>
              <w:t xml:space="preserve"> </w:t>
            </w:r>
          </w:p>
        </w:tc>
        <w:tc>
          <w:tcPr>
            <w:tcW w:w="671" w:type="pct"/>
          </w:tcPr>
          <w:p w14:paraId="7021ED85" w14:textId="62132840" w:rsidR="004E2F51" w:rsidRPr="004B4498" w:rsidRDefault="004E2F51" w:rsidP="00E032FC">
            <w:pPr>
              <w:pStyle w:val="TH"/>
              <w:jc w:val="right"/>
              <w:rPr>
                <w:rFonts w:cs="Arial"/>
                <w:color w:val="000000" w:themeColor="text1"/>
                <w:sz w:val="16"/>
                <w:szCs w:val="16"/>
                <w:lang w:val="hr-HR"/>
              </w:rPr>
            </w:pPr>
            <w:bookmarkStart w:id="1093" w:name="_Toc67328217"/>
            <w:r w:rsidRPr="004B4498">
              <w:rPr>
                <w:rFonts w:cs="Arial"/>
                <w:color w:val="000000" w:themeColor="text1"/>
                <w:sz w:val="16"/>
                <w:szCs w:val="16"/>
                <w:lang w:val="hr-HR"/>
              </w:rPr>
              <w:t>Nematerijalna</w:t>
            </w:r>
            <w:bookmarkEnd w:id="1093"/>
            <w:r w:rsidRPr="004B4498">
              <w:rPr>
                <w:rFonts w:cs="Arial"/>
                <w:color w:val="000000" w:themeColor="text1"/>
                <w:sz w:val="16"/>
                <w:szCs w:val="16"/>
                <w:lang w:val="hr-HR"/>
              </w:rPr>
              <w:t xml:space="preserve"> </w:t>
            </w:r>
          </w:p>
          <w:p w14:paraId="60A20365" w14:textId="77777777" w:rsidR="004E2F51" w:rsidRPr="004B4498" w:rsidRDefault="004E2F51" w:rsidP="00E032FC">
            <w:pPr>
              <w:pStyle w:val="TH"/>
              <w:jc w:val="right"/>
              <w:rPr>
                <w:rFonts w:cs="Arial"/>
                <w:color w:val="000000" w:themeColor="text1"/>
                <w:sz w:val="16"/>
                <w:szCs w:val="16"/>
                <w:lang w:val="hr-HR"/>
              </w:rPr>
            </w:pPr>
            <w:bookmarkStart w:id="1094" w:name="_Toc67328218"/>
            <w:r w:rsidRPr="004B4498">
              <w:rPr>
                <w:rFonts w:cs="Arial"/>
                <w:color w:val="000000" w:themeColor="text1"/>
                <w:sz w:val="16"/>
                <w:szCs w:val="16"/>
                <w:lang w:val="hr-HR"/>
              </w:rPr>
              <w:t>imovina</w:t>
            </w:r>
            <w:bookmarkEnd w:id="1094"/>
          </w:p>
        </w:tc>
        <w:tc>
          <w:tcPr>
            <w:tcW w:w="472" w:type="pct"/>
          </w:tcPr>
          <w:p w14:paraId="4269321A" w14:textId="77777777" w:rsidR="004E2F51" w:rsidRPr="004B4498" w:rsidRDefault="004E2F51" w:rsidP="00E032FC">
            <w:pPr>
              <w:pStyle w:val="TH"/>
              <w:jc w:val="right"/>
              <w:rPr>
                <w:rFonts w:cs="Arial"/>
                <w:color w:val="000000" w:themeColor="text1"/>
                <w:sz w:val="16"/>
                <w:szCs w:val="16"/>
                <w:lang w:val="hr-HR"/>
              </w:rPr>
            </w:pPr>
            <w:bookmarkStart w:id="1095" w:name="_Toc67328219"/>
            <w:r w:rsidRPr="004B4498">
              <w:rPr>
                <w:rFonts w:cs="Arial"/>
                <w:color w:val="000000" w:themeColor="text1"/>
                <w:sz w:val="16"/>
                <w:szCs w:val="16"/>
                <w:lang w:val="hr-HR"/>
              </w:rPr>
              <w:t>Ukupno</w:t>
            </w:r>
            <w:bookmarkEnd w:id="1095"/>
          </w:p>
        </w:tc>
      </w:tr>
      <w:tr w:rsidR="004E2F51" w:rsidRPr="001B647D" w14:paraId="6A42831A" w14:textId="77777777" w:rsidTr="002D6F0B">
        <w:trPr>
          <w:trHeight w:val="246"/>
        </w:trPr>
        <w:tc>
          <w:tcPr>
            <w:tcW w:w="1005" w:type="pct"/>
            <w:vAlign w:val="bottom"/>
          </w:tcPr>
          <w:p w14:paraId="08710E0D" w14:textId="77777777" w:rsidR="004E2F51" w:rsidRPr="004B4498" w:rsidRDefault="004E2F51" w:rsidP="00E032FC">
            <w:pPr>
              <w:tabs>
                <w:tab w:val="left" w:pos="-1559"/>
              </w:tabs>
              <w:rPr>
                <w:rFonts w:ascii="Arial" w:hAnsi="Arial" w:cs="Arial"/>
                <w:b/>
                <w:color w:val="000000" w:themeColor="text1"/>
                <w:spacing w:val="-2"/>
                <w:sz w:val="16"/>
                <w:szCs w:val="16"/>
                <w:highlight w:val="yellow"/>
                <w:lang w:val="hr-HR"/>
              </w:rPr>
            </w:pPr>
          </w:p>
        </w:tc>
        <w:tc>
          <w:tcPr>
            <w:tcW w:w="586" w:type="pct"/>
            <w:vAlign w:val="bottom"/>
          </w:tcPr>
          <w:p w14:paraId="7434AFFB" w14:textId="77777777" w:rsidR="004E2F51" w:rsidRPr="004B4498" w:rsidRDefault="004E2F51" w:rsidP="00E032FC">
            <w:pPr>
              <w:pStyle w:val="TH"/>
              <w:jc w:val="right"/>
              <w:rPr>
                <w:rFonts w:cs="Arial"/>
                <w:color w:val="000000" w:themeColor="text1"/>
                <w:sz w:val="16"/>
                <w:szCs w:val="16"/>
                <w:lang w:val="hr-HR"/>
              </w:rPr>
            </w:pPr>
            <w:bookmarkStart w:id="1096" w:name="_Toc67328220"/>
            <w:r w:rsidRPr="004B4498">
              <w:rPr>
                <w:rFonts w:cs="Arial"/>
                <w:color w:val="000000" w:themeColor="text1"/>
                <w:sz w:val="16"/>
                <w:szCs w:val="16"/>
                <w:lang w:val="hr-HR"/>
              </w:rPr>
              <w:t>000 kuna</w:t>
            </w:r>
            <w:bookmarkEnd w:id="1096"/>
          </w:p>
        </w:tc>
        <w:tc>
          <w:tcPr>
            <w:tcW w:w="567" w:type="pct"/>
            <w:vAlign w:val="bottom"/>
          </w:tcPr>
          <w:p w14:paraId="24503748" w14:textId="77777777" w:rsidR="004E2F51" w:rsidRPr="004B4498" w:rsidRDefault="004E2F51" w:rsidP="00E032FC">
            <w:pPr>
              <w:pStyle w:val="TH"/>
              <w:jc w:val="right"/>
              <w:rPr>
                <w:rFonts w:cs="Arial"/>
                <w:color w:val="000000" w:themeColor="text1"/>
                <w:sz w:val="16"/>
                <w:szCs w:val="16"/>
                <w:lang w:val="hr-HR"/>
              </w:rPr>
            </w:pPr>
            <w:bookmarkStart w:id="1097" w:name="_Toc67328221"/>
            <w:r w:rsidRPr="004B4498">
              <w:rPr>
                <w:rFonts w:cs="Arial"/>
                <w:color w:val="000000" w:themeColor="text1"/>
                <w:sz w:val="16"/>
                <w:szCs w:val="16"/>
                <w:lang w:val="hr-HR"/>
              </w:rPr>
              <w:t>000 kuna</w:t>
            </w:r>
            <w:bookmarkEnd w:id="1097"/>
          </w:p>
        </w:tc>
        <w:tc>
          <w:tcPr>
            <w:tcW w:w="567" w:type="pct"/>
            <w:vAlign w:val="bottom"/>
          </w:tcPr>
          <w:p w14:paraId="34658BD1" w14:textId="77777777" w:rsidR="004E2F51" w:rsidRPr="004B4498" w:rsidRDefault="004E2F51" w:rsidP="00E032FC">
            <w:pPr>
              <w:pStyle w:val="TH"/>
              <w:jc w:val="right"/>
              <w:rPr>
                <w:rFonts w:cs="Arial"/>
                <w:color w:val="000000" w:themeColor="text1"/>
                <w:sz w:val="16"/>
                <w:szCs w:val="16"/>
                <w:lang w:val="hr-HR"/>
              </w:rPr>
            </w:pPr>
            <w:bookmarkStart w:id="1098" w:name="_Toc67328222"/>
            <w:r w:rsidRPr="004B4498">
              <w:rPr>
                <w:rFonts w:cs="Arial"/>
                <w:color w:val="000000" w:themeColor="text1"/>
                <w:sz w:val="16"/>
                <w:szCs w:val="16"/>
                <w:lang w:val="hr-HR"/>
              </w:rPr>
              <w:t>000 kuna</w:t>
            </w:r>
            <w:bookmarkEnd w:id="1098"/>
          </w:p>
        </w:tc>
        <w:tc>
          <w:tcPr>
            <w:tcW w:w="567" w:type="pct"/>
            <w:vAlign w:val="bottom"/>
          </w:tcPr>
          <w:p w14:paraId="36B18F6B" w14:textId="77777777" w:rsidR="004E2F51" w:rsidRPr="004B4498" w:rsidRDefault="004E2F51" w:rsidP="00E032FC">
            <w:pPr>
              <w:pStyle w:val="TH"/>
              <w:jc w:val="right"/>
              <w:rPr>
                <w:rFonts w:cs="Arial"/>
                <w:color w:val="000000" w:themeColor="text1"/>
                <w:sz w:val="16"/>
                <w:szCs w:val="16"/>
                <w:lang w:val="hr-HR"/>
              </w:rPr>
            </w:pPr>
            <w:bookmarkStart w:id="1099" w:name="_Toc67328223"/>
            <w:r w:rsidRPr="004B4498">
              <w:rPr>
                <w:rFonts w:cs="Arial"/>
                <w:color w:val="000000" w:themeColor="text1"/>
                <w:sz w:val="16"/>
                <w:szCs w:val="16"/>
                <w:lang w:val="hr-HR"/>
              </w:rPr>
              <w:t>000 kuna</w:t>
            </w:r>
            <w:bookmarkEnd w:id="1099"/>
          </w:p>
        </w:tc>
        <w:tc>
          <w:tcPr>
            <w:tcW w:w="567" w:type="pct"/>
            <w:vAlign w:val="bottom"/>
          </w:tcPr>
          <w:p w14:paraId="54D7C214" w14:textId="77777777" w:rsidR="004E2F51" w:rsidRPr="004B4498" w:rsidRDefault="004E2F51" w:rsidP="00E032FC">
            <w:pPr>
              <w:pStyle w:val="TH"/>
              <w:jc w:val="right"/>
              <w:rPr>
                <w:rFonts w:cs="Arial"/>
                <w:color w:val="000000" w:themeColor="text1"/>
                <w:sz w:val="16"/>
                <w:szCs w:val="16"/>
                <w:lang w:val="hr-HR"/>
              </w:rPr>
            </w:pPr>
            <w:bookmarkStart w:id="1100" w:name="_Toc67328224"/>
            <w:r w:rsidRPr="004B4498">
              <w:rPr>
                <w:rFonts w:cs="Arial"/>
                <w:color w:val="000000" w:themeColor="text1"/>
                <w:sz w:val="16"/>
                <w:szCs w:val="16"/>
                <w:lang w:val="hr-HR"/>
              </w:rPr>
              <w:t>000 kuna</w:t>
            </w:r>
            <w:bookmarkEnd w:id="1100"/>
          </w:p>
        </w:tc>
        <w:tc>
          <w:tcPr>
            <w:tcW w:w="671" w:type="pct"/>
            <w:vAlign w:val="bottom"/>
          </w:tcPr>
          <w:p w14:paraId="743D5AAB" w14:textId="77777777" w:rsidR="004E2F51" w:rsidRPr="004B4498" w:rsidRDefault="004E2F51" w:rsidP="00E032FC">
            <w:pPr>
              <w:pStyle w:val="TH"/>
              <w:jc w:val="right"/>
              <w:rPr>
                <w:rFonts w:cs="Arial"/>
                <w:color w:val="000000" w:themeColor="text1"/>
                <w:sz w:val="16"/>
                <w:szCs w:val="16"/>
                <w:lang w:val="hr-HR"/>
              </w:rPr>
            </w:pPr>
            <w:bookmarkStart w:id="1101" w:name="_Toc67328225"/>
            <w:r w:rsidRPr="004B4498">
              <w:rPr>
                <w:rFonts w:cs="Arial"/>
                <w:color w:val="000000" w:themeColor="text1"/>
                <w:sz w:val="16"/>
                <w:szCs w:val="16"/>
                <w:lang w:val="hr-HR"/>
              </w:rPr>
              <w:t>000 kuna</w:t>
            </w:r>
            <w:bookmarkEnd w:id="1101"/>
          </w:p>
        </w:tc>
        <w:tc>
          <w:tcPr>
            <w:tcW w:w="472" w:type="pct"/>
            <w:vAlign w:val="bottom"/>
          </w:tcPr>
          <w:p w14:paraId="70CC576A" w14:textId="77777777" w:rsidR="004E2F51" w:rsidRPr="004B4498" w:rsidRDefault="004E2F51" w:rsidP="00E032FC">
            <w:pPr>
              <w:pStyle w:val="TH"/>
              <w:jc w:val="right"/>
              <w:rPr>
                <w:rFonts w:cs="Arial"/>
                <w:color w:val="000000" w:themeColor="text1"/>
                <w:sz w:val="16"/>
                <w:szCs w:val="16"/>
                <w:lang w:val="hr-HR"/>
              </w:rPr>
            </w:pPr>
            <w:bookmarkStart w:id="1102" w:name="_Toc67328226"/>
            <w:r w:rsidRPr="004B4498">
              <w:rPr>
                <w:rFonts w:cs="Arial"/>
                <w:color w:val="000000" w:themeColor="text1"/>
                <w:sz w:val="16"/>
                <w:szCs w:val="16"/>
                <w:lang w:val="hr-HR"/>
              </w:rPr>
              <w:t>000 kuna</w:t>
            </w:r>
            <w:bookmarkEnd w:id="1102"/>
          </w:p>
        </w:tc>
      </w:tr>
      <w:tr w:rsidR="004E2F51" w:rsidRPr="001B647D" w14:paraId="6EBA2E91" w14:textId="77777777" w:rsidTr="002D6F0B">
        <w:trPr>
          <w:trHeight w:val="311"/>
        </w:trPr>
        <w:tc>
          <w:tcPr>
            <w:tcW w:w="1005" w:type="pct"/>
            <w:vAlign w:val="bottom"/>
          </w:tcPr>
          <w:p w14:paraId="14AC778E" w14:textId="77777777" w:rsidR="004E2F51" w:rsidRPr="004B4498" w:rsidRDefault="004E2F51" w:rsidP="00E032FC">
            <w:pPr>
              <w:pStyle w:val="TT"/>
              <w:spacing w:line="240" w:lineRule="exact"/>
              <w:rPr>
                <w:rFonts w:cs="Arial"/>
                <w:b/>
                <w:bCs/>
                <w:color w:val="000000" w:themeColor="text1"/>
                <w:sz w:val="16"/>
                <w:szCs w:val="16"/>
                <w:lang w:val="hr-HR"/>
              </w:rPr>
            </w:pPr>
            <w:bookmarkStart w:id="1103" w:name="_Toc67328227"/>
            <w:r w:rsidRPr="004B4498">
              <w:rPr>
                <w:rFonts w:cs="Arial"/>
                <w:b/>
                <w:bCs/>
                <w:color w:val="000000" w:themeColor="text1"/>
                <w:sz w:val="16"/>
                <w:szCs w:val="16"/>
                <w:lang w:val="hr-HR"/>
              </w:rPr>
              <w:t>Nabavna vrijednost</w:t>
            </w:r>
            <w:bookmarkEnd w:id="1103"/>
          </w:p>
        </w:tc>
        <w:tc>
          <w:tcPr>
            <w:tcW w:w="586" w:type="pct"/>
            <w:vAlign w:val="bottom"/>
          </w:tcPr>
          <w:p w14:paraId="377346C6" w14:textId="77777777" w:rsidR="004E2F51" w:rsidRPr="004B4498" w:rsidRDefault="004E2F51" w:rsidP="00E032FC">
            <w:pPr>
              <w:pStyle w:val="TT"/>
              <w:jc w:val="right"/>
              <w:rPr>
                <w:rFonts w:cs="Arial"/>
                <w:color w:val="000000" w:themeColor="text1"/>
                <w:spacing w:val="-3"/>
                <w:sz w:val="16"/>
                <w:szCs w:val="16"/>
                <w:highlight w:val="yellow"/>
                <w:lang w:val="hr-HR"/>
              </w:rPr>
            </w:pPr>
          </w:p>
        </w:tc>
        <w:tc>
          <w:tcPr>
            <w:tcW w:w="567" w:type="pct"/>
            <w:vAlign w:val="bottom"/>
          </w:tcPr>
          <w:p w14:paraId="5C6ED8A5" w14:textId="77777777" w:rsidR="004E2F51" w:rsidRPr="004B4498" w:rsidRDefault="004E2F51" w:rsidP="00E032FC">
            <w:pPr>
              <w:pStyle w:val="TT"/>
              <w:jc w:val="right"/>
              <w:rPr>
                <w:rFonts w:cs="Arial"/>
                <w:color w:val="000000" w:themeColor="text1"/>
                <w:spacing w:val="-3"/>
                <w:sz w:val="16"/>
                <w:szCs w:val="16"/>
                <w:highlight w:val="yellow"/>
                <w:lang w:val="hr-HR"/>
              </w:rPr>
            </w:pPr>
          </w:p>
        </w:tc>
        <w:tc>
          <w:tcPr>
            <w:tcW w:w="567" w:type="pct"/>
            <w:vAlign w:val="bottom"/>
          </w:tcPr>
          <w:p w14:paraId="237A0D0E" w14:textId="77777777" w:rsidR="004E2F51" w:rsidRPr="004B4498" w:rsidRDefault="004E2F51" w:rsidP="00E032FC">
            <w:pPr>
              <w:pStyle w:val="TT"/>
              <w:jc w:val="right"/>
              <w:rPr>
                <w:rFonts w:cs="Arial"/>
                <w:color w:val="000000" w:themeColor="text1"/>
                <w:spacing w:val="-3"/>
                <w:sz w:val="16"/>
                <w:szCs w:val="16"/>
                <w:highlight w:val="yellow"/>
                <w:lang w:val="hr-HR"/>
              </w:rPr>
            </w:pPr>
          </w:p>
        </w:tc>
        <w:tc>
          <w:tcPr>
            <w:tcW w:w="567" w:type="pct"/>
            <w:vAlign w:val="bottom"/>
          </w:tcPr>
          <w:p w14:paraId="1C53A722" w14:textId="77777777" w:rsidR="004E2F51" w:rsidRPr="004B4498" w:rsidRDefault="004E2F51" w:rsidP="00E032FC">
            <w:pPr>
              <w:pStyle w:val="TT"/>
              <w:jc w:val="right"/>
              <w:rPr>
                <w:rFonts w:cs="Arial"/>
                <w:color w:val="000000" w:themeColor="text1"/>
                <w:spacing w:val="-3"/>
                <w:sz w:val="16"/>
                <w:szCs w:val="16"/>
                <w:highlight w:val="yellow"/>
                <w:lang w:val="hr-HR"/>
              </w:rPr>
            </w:pPr>
          </w:p>
        </w:tc>
        <w:tc>
          <w:tcPr>
            <w:tcW w:w="567" w:type="pct"/>
            <w:vAlign w:val="bottom"/>
          </w:tcPr>
          <w:p w14:paraId="503F7D0C" w14:textId="77777777" w:rsidR="004E2F51" w:rsidRPr="004B4498" w:rsidRDefault="004E2F51" w:rsidP="00E032FC">
            <w:pPr>
              <w:pStyle w:val="TT"/>
              <w:jc w:val="right"/>
              <w:rPr>
                <w:rFonts w:cs="Arial"/>
                <w:color w:val="000000" w:themeColor="text1"/>
                <w:spacing w:val="-3"/>
                <w:sz w:val="16"/>
                <w:szCs w:val="16"/>
                <w:highlight w:val="yellow"/>
                <w:lang w:val="hr-HR"/>
              </w:rPr>
            </w:pPr>
          </w:p>
        </w:tc>
        <w:tc>
          <w:tcPr>
            <w:tcW w:w="671" w:type="pct"/>
            <w:vAlign w:val="bottom"/>
          </w:tcPr>
          <w:p w14:paraId="2EAD09F4" w14:textId="77777777" w:rsidR="004E2F51" w:rsidRPr="004B4498" w:rsidRDefault="004E2F51" w:rsidP="00E032FC">
            <w:pPr>
              <w:pStyle w:val="TT"/>
              <w:jc w:val="right"/>
              <w:rPr>
                <w:rFonts w:cs="Arial"/>
                <w:color w:val="000000" w:themeColor="text1"/>
                <w:spacing w:val="-3"/>
                <w:sz w:val="16"/>
                <w:szCs w:val="16"/>
                <w:highlight w:val="yellow"/>
                <w:lang w:val="hr-HR"/>
              </w:rPr>
            </w:pPr>
          </w:p>
        </w:tc>
        <w:tc>
          <w:tcPr>
            <w:tcW w:w="472" w:type="pct"/>
            <w:vAlign w:val="bottom"/>
          </w:tcPr>
          <w:p w14:paraId="3F63B241" w14:textId="77777777" w:rsidR="004E2F51" w:rsidRPr="004B4498" w:rsidRDefault="004E2F51" w:rsidP="00E032FC">
            <w:pPr>
              <w:pStyle w:val="TT"/>
              <w:jc w:val="right"/>
              <w:rPr>
                <w:rFonts w:cs="Arial"/>
                <w:color w:val="000000" w:themeColor="text1"/>
                <w:spacing w:val="-3"/>
                <w:sz w:val="16"/>
                <w:szCs w:val="16"/>
                <w:highlight w:val="yellow"/>
                <w:lang w:val="hr-HR"/>
              </w:rPr>
            </w:pPr>
          </w:p>
        </w:tc>
      </w:tr>
      <w:tr w:rsidR="004E2F51" w:rsidRPr="001B647D" w14:paraId="414CDA21" w14:textId="77777777" w:rsidTr="002D6F0B">
        <w:trPr>
          <w:trHeight w:val="504"/>
        </w:trPr>
        <w:tc>
          <w:tcPr>
            <w:tcW w:w="1005" w:type="pct"/>
            <w:vAlign w:val="bottom"/>
          </w:tcPr>
          <w:p w14:paraId="77997166" w14:textId="77777777" w:rsidR="004E2F51" w:rsidRPr="004B4498" w:rsidRDefault="004E2F51" w:rsidP="00E032FC">
            <w:pPr>
              <w:pStyle w:val="Tot"/>
              <w:spacing w:line="240" w:lineRule="exact"/>
              <w:rPr>
                <w:rFonts w:cs="Arial"/>
                <w:b/>
                <w:bCs/>
                <w:color w:val="000000" w:themeColor="text1"/>
                <w:sz w:val="16"/>
                <w:szCs w:val="16"/>
                <w:lang w:val="hr-HR"/>
              </w:rPr>
            </w:pPr>
            <w:bookmarkStart w:id="1104" w:name="_Toc67328228"/>
            <w:r w:rsidRPr="004B4498">
              <w:rPr>
                <w:rFonts w:cs="Arial"/>
                <w:b/>
                <w:bCs/>
                <w:color w:val="000000" w:themeColor="text1"/>
                <w:sz w:val="16"/>
                <w:szCs w:val="16"/>
                <w:lang w:val="hr-HR"/>
              </w:rPr>
              <w:t>Stanje</w:t>
            </w:r>
            <w:bookmarkEnd w:id="1104"/>
            <w:r w:rsidRPr="004B4498">
              <w:rPr>
                <w:rFonts w:cs="Arial"/>
                <w:b/>
                <w:bCs/>
                <w:color w:val="000000" w:themeColor="text1"/>
                <w:sz w:val="16"/>
                <w:szCs w:val="16"/>
                <w:lang w:val="hr-HR"/>
              </w:rPr>
              <w:t xml:space="preserve"> </w:t>
            </w:r>
          </w:p>
          <w:p w14:paraId="54A058A7" w14:textId="77777777" w:rsidR="004E2F51" w:rsidRPr="004B4498" w:rsidRDefault="004E2F51" w:rsidP="00E032FC">
            <w:pPr>
              <w:pStyle w:val="Tot"/>
              <w:spacing w:line="240" w:lineRule="exact"/>
              <w:rPr>
                <w:rFonts w:cs="Arial"/>
                <w:b/>
                <w:bCs/>
                <w:color w:val="000000" w:themeColor="text1"/>
                <w:sz w:val="16"/>
                <w:szCs w:val="16"/>
                <w:lang w:val="hr-HR"/>
              </w:rPr>
            </w:pPr>
            <w:bookmarkStart w:id="1105" w:name="_Toc67328229"/>
            <w:r w:rsidRPr="004B4498">
              <w:rPr>
                <w:rFonts w:cs="Arial"/>
                <w:b/>
                <w:bCs/>
                <w:color w:val="000000" w:themeColor="text1"/>
                <w:sz w:val="16"/>
                <w:szCs w:val="16"/>
                <w:lang w:val="hr-HR"/>
              </w:rPr>
              <w:t>31. prosinca 202</w:t>
            </w:r>
            <w:r>
              <w:rPr>
                <w:rFonts w:cs="Arial"/>
                <w:b/>
                <w:bCs/>
                <w:color w:val="000000" w:themeColor="text1"/>
                <w:sz w:val="16"/>
                <w:szCs w:val="16"/>
                <w:lang w:val="hr-HR"/>
              </w:rPr>
              <w:t>1</w:t>
            </w:r>
            <w:r w:rsidRPr="004B4498">
              <w:rPr>
                <w:rFonts w:cs="Arial"/>
                <w:b/>
                <w:bCs/>
                <w:color w:val="000000" w:themeColor="text1"/>
                <w:sz w:val="16"/>
                <w:szCs w:val="16"/>
                <w:lang w:val="hr-HR"/>
              </w:rPr>
              <w:t>.</w:t>
            </w:r>
            <w:bookmarkEnd w:id="1105"/>
          </w:p>
        </w:tc>
        <w:tc>
          <w:tcPr>
            <w:tcW w:w="586" w:type="pct"/>
            <w:tcBorders>
              <w:left w:val="nil"/>
              <w:right w:val="nil"/>
            </w:tcBorders>
            <w:shd w:val="clear" w:color="auto" w:fill="auto"/>
            <w:vAlign w:val="bottom"/>
          </w:tcPr>
          <w:p w14:paraId="2675EF96"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D511C3">
              <w:rPr>
                <w:rFonts w:cs="Arial"/>
                <w:b/>
                <w:bCs/>
                <w:sz w:val="16"/>
                <w:szCs w:val="16"/>
              </w:rPr>
              <w:t xml:space="preserve"> 78.020 </w:t>
            </w:r>
          </w:p>
        </w:tc>
        <w:tc>
          <w:tcPr>
            <w:tcW w:w="567" w:type="pct"/>
            <w:tcBorders>
              <w:left w:val="nil"/>
              <w:right w:val="nil"/>
            </w:tcBorders>
            <w:shd w:val="clear" w:color="auto" w:fill="auto"/>
            <w:vAlign w:val="bottom"/>
          </w:tcPr>
          <w:p w14:paraId="15751D12"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D511C3">
              <w:rPr>
                <w:rFonts w:cs="Arial"/>
                <w:b/>
                <w:bCs/>
                <w:sz w:val="16"/>
                <w:szCs w:val="16"/>
              </w:rPr>
              <w:t xml:space="preserve"> 13.851 </w:t>
            </w:r>
          </w:p>
        </w:tc>
        <w:tc>
          <w:tcPr>
            <w:tcW w:w="567" w:type="pct"/>
            <w:tcBorders>
              <w:left w:val="nil"/>
              <w:right w:val="nil"/>
            </w:tcBorders>
            <w:shd w:val="clear" w:color="auto" w:fill="auto"/>
            <w:vAlign w:val="bottom"/>
          </w:tcPr>
          <w:p w14:paraId="48E8EB45"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D511C3">
              <w:rPr>
                <w:rFonts w:cs="Arial"/>
                <w:b/>
                <w:bCs/>
                <w:sz w:val="16"/>
                <w:szCs w:val="16"/>
              </w:rPr>
              <w:t xml:space="preserve"> 12.929 </w:t>
            </w:r>
          </w:p>
        </w:tc>
        <w:tc>
          <w:tcPr>
            <w:tcW w:w="567" w:type="pct"/>
            <w:tcBorders>
              <w:left w:val="nil"/>
              <w:right w:val="nil"/>
            </w:tcBorders>
            <w:shd w:val="clear" w:color="auto" w:fill="auto"/>
            <w:vAlign w:val="bottom"/>
          </w:tcPr>
          <w:p w14:paraId="2A968498"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D511C3">
              <w:rPr>
                <w:rFonts w:cs="Arial"/>
                <w:b/>
                <w:bCs/>
                <w:sz w:val="16"/>
                <w:szCs w:val="16"/>
              </w:rPr>
              <w:t xml:space="preserve"> 55 </w:t>
            </w:r>
          </w:p>
        </w:tc>
        <w:tc>
          <w:tcPr>
            <w:tcW w:w="567" w:type="pct"/>
            <w:tcBorders>
              <w:left w:val="nil"/>
              <w:right w:val="nil"/>
            </w:tcBorders>
            <w:shd w:val="clear" w:color="auto" w:fill="auto"/>
            <w:vAlign w:val="bottom"/>
          </w:tcPr>
          <w:p w14:paraId="6B697C7B"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D511C3">
              <w:rPr>
                <w:rFonts w:cs="Arial"/>
                <w:b/>
                <w:bCs/>
                <w:sz w:val="16"/>
                <w:szCs w:val="16"/>
              </w:rPr>
              <w:t xml:space="preserve"> 104.855 </w:t>
            </w:r>
          </w:p>
        </w:tc>
        <w:tc>
          <w:tcPr>
            <w:tcW w:w="671" w:type="pct"/>
            <w:tcBorders>
              <w:left w:val="nil"/>
              <w:right w:val="nil"/>
            </w:tcBorders>
            <w:shd w:val="clear" w:color="auto" w:fill="auto"/>
            <w:vAlign w:val="bottom"/>
          </w:tcPr>
          <w:p w14:paraId="48D95C8A"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D511C3">
              <w:rPr>
                <w:rFonts w:cs="Arial"/>
                <w:b/>
                <w:bCs/>
                <w:sz w:val="16"/>
                <w:szCs w:val="16"/>
              </w:rPr>
              <w:t xml:space="preserve"> 35.922 </w:t>
            </w:r>
          </w:p>
        </w:tc>
        <w:tc>
          <w:tcPr>
            <w:tcW w:w="472" w:type="pct"/>
            <w:tcBorders>
              <w:left w:val="nil"/>
              <w:right w:val="nil"/>
            </w:tcBorders>
            <w:shd w:val="clear" w:color="auto" w:fill="auto"/>
            <w:vAlign w:val="bottom"/>
          </w:tcPr>
          <w:p w14:paraId="55BFFCAA"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D511C3">
              <w:rPr>
                <w:rFonts w:cs="Arial"/>
                <w:b/>
                <w:bCs/>
                <w:sz w:val="16"/>
                <w:szCs w:val="16"/>
              </w:rPr>
              <w:t xml:space="preserve"> 140.777 </w:t>
            </w:r>
          </w:p>
        </w:tc>
      </w:tr>
      <w:tr w:rsidR="004E2F51" w:rsidRPr="001B647D" w14:paraId="5B12EB8C" w14:textId="77777777" w:rsidTr="002D6F0B">
        <w:trPr>
          <w:trHeight w:val="246"/>
        </w:trPr>
        <w:tc>
          <w:tcPr>
            <w:tcW w:w="1005" w:type="pct"/>
            <w:vAlign w:val="bottom"/>
          </w:tcPr>
          <w:p w14:paraId="3C58EBB2" w14:textId="77777777" w:rsidR="004E2F51" w:rsidRPr="004B4498" w:rsidRDefault="004E2F51" w:rsidP="00E032FC">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Stjecanje</w:t>
            </w:r>
          </w:p>
        </w:tc>
        <w:tc>
          <w:tcPr>
            <w:tcW w:w="586" w:type="pct"/>
            <w:tcBorders>
              <w:left w:val="nil"/>
              <w:bottom w:val="nil"/>
              <w:right w:val="nil"/>
            </w:tcBorders>
            <w:shd w:val="clear" w:color="auto" w:fill="auto"/>
            <w:vAlign w:val="bottom"/>
          </w:tcPr>
          <w:p w14:paraId="3A56DEFC" w14:textId="77777777" w:rsidR="004E2F51" w:rsidRPr="00272C9F" w:rsidRDefault="004E2F51" w:rsidP="00E032FC">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567" w:type="pct"/>
            <w:tcBorders>
              <w:left w:val="nil"/>
              <w:bottom w:val="nil"/>
              <w:right w:val="nil"/>
            </w:tcBorders>
            <w:shd w:val="clear" w:color="auto" w:fill="auto"/>
            <w:vAlign w:val="bottom"/>
          </w:tcPr>
          <w:p w14:paraId="31B542CA"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24 </w:t>
            </w:r>
          </w:p>
        </w:tc>
        <w:tc>
          <w:tcPr>
            <w:tcW w:w="567" w:type="pct"/>
            <w:tcBorders>
              <w:left w:val="nil"/>
              <w:bottom w:val="nil"/>
              <w:right w:val="nil"/>
            </w:tcBorders>
            <w:shd w:val="clear" w:color="auto" w:fill="auto"/>
            <w:vAlign w:val="bottom"/>
          </w:tcPr>
          <w:p w14:paraId="11CFFFAD"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12 </w:t>
            </w:r>
          </w:p>
        </w:tc>
        <w:tc>
          <w:tcPr>
            <w:tcW w:w="567" w:type="pct"/>
            <w:tcBorders>
              <w:left w:val="nil"/>
              <w:bottom w:val="nil"/>
              <w:right w:val="nil"/>
            </w:tcBorders>
            <w:shd w:val="clear" w:color="auto" w:fill="auto"/>
            <w:vAlign w:val="bottom"/>
          </w:tcPr>
          <w:p w14:paraId="73903D7A"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4.502 </w:t>
            </w:r>
          </w:p>
        </w:tc>
        <w:tc>
          <w:tcPr>
            <w:tcW w:w="567" w:type="pct"/>
            <w:tcBorders>
              <w:left w:val="nil"/>
              <w:bottom w:val="nil"/>
              <w:right w:val="nil"/>
            </w:tcBorders>
            <w:shd w:val="clear" w:color="auto" w:fill="auto"/>
            <w:vAlign w:val="bottom"/>
          </w:tcPr>
          <w:p w14:paraId="7F9362E8"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4.538 </w:t>
            </w:r>
          </w:p>
        </w:tc>
        <w:tc>
          <w:tcPr>
            <w:tcW w:w="671" w:type="pct"/>
            <w:tcBorders>
              <w:left w:val="nil"/>
              <w:bottom w:val="nil"/>
              <w:right w:val="nil"/>
            </w:tcBorders>
            <w:shd w:val="clear" w:color="auto" w:fill="auto"/>
            <w:vAlign w:val="bottom"/>
          </w:tcPr>
          <w:p w14:paraId="54466C92"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45 </w:t>
            </w:r>
          </w:p>
        </w:tc>
        <w:tc>
          <w:tcPr>
            <w:tcW w:w="472" w:type="pct"/>
            <w:tcBorders>
              <w:left w:val="nil"/>
              <w:bottom w:val="nil"/>
              <w:right w:val="nil"/>
            </w:tcBorders>
            <w:shd w:val="clear" w:color="auto" w:fill="auto"/>
            <w:vAlign w:val="bottom"/>
          </w:tcPr>
          <w:p w14:paraId="2CBFF47B"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4.583 </w:t>
            </w:r>
          </w:p>
        </w:tc>
      </w:tr>
      <w:tr w:rsidR="004E2F51" w:rsidRPr="001B647D" w14:paraId="0225AEAB" w14:textId="77777777" w:rsidTr="002D6F0B">
        <w:trPr>
          <w:trHeight w:val="998"/>
        </w:trPr>
        <w:tc>
          <w:tcPr>
            <w:tcW w:w="1005" w:type="pct"/>
            <w:vAlign w:val="bottom"/>
          </w:tcPr>
          <w:p w14:paraId="7FE34407" w14:textId="77777777" w:rsidR="004E2F51" w:rsidRPr="004B4498" w:rsidRDefault="004E2F51" w:rsidP="00E032FC">
            <w:pPr>
              <w:pStyle w:val="TT"/>
              <w:spacing w:line="240" w:lineRule="exact"/>
              <w:rPr>
                <w:rFonts w:cs="Arial"/>
                <w:color w:val="000000" w:themeColor="text1"/>
                <w:sz w:val="16"/>
                <w:szCs w:val="16"/>
                <w:lang w:val="hr-HR"/>
              </w:rPr>
            </w:pPr>
            <w:bookmarkStart w:id="1106" w:name="_Toc67328245"/>
            <w:r w:rsidRPr="004B4498">
              <w:rPr>
                <w:rFonts w:cs="Arial"/>
                <w:color w:val="000000" w:themeColor="text1"/>
                <w:sz w:val="16"/>
                <w:szCs w:val="16"/>
                <w:lang w:val="hr-HR"/>
              </w:rPr>
              <w:t>Prijenos s nekretnina, postrojenja i opreme i nematerijalne imovine u pripremi</w:t>
            </w:r>
            <w:bookmarkEnd w:id="1106"/>
          </w:p>
        </w:tc>
        <w:tc>
          <w:tcPr>
            <w:tcW w:w="586" w:type="pct"/>
            <w:tcBorders>
              <w:top w:val="nil"/>
              <w:left w:val="nil"/>
              <w:right w:val="nil"/>
            </w:tcBorders>
            <w:shd w:val="clear" w:color="auto" w:fill="auto"/>
            <w:vAlign w:val="bottom"/>
          </w:tcPr>
          <w:p w14:paraId="4CB5CF81"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 </w:t>
            </w:r>
          </w:p>
        </w:tc>
        <w:tc>
          <w:tcPr>
            <w:tcW w:w="567" w:type="pct"/>
            <w:tcBorders>
              <w:top w:val="nil"/>
              <w:left w:val="nil"/>
              <w:right w:val="nil"/>
            </w:tcBorders>
            <w:shd w:val="clear" w:color="auto" w:fill="auto"/>
            <w:vAlign w:val="bottom"/>
          </w:tcPr>
          <w:p w14:paraId="75E67794"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466 </w:t>
            </w:r>
          </w:p>
        </w:tc>
        <w:tc>
          <w:tcPr>
            <w:tcW w:w="567" w:type="pct"/>
            <w:tcBorders>
              <w:top w:val="nil"/>
              <w:left w:val="nil"/>
              <w:right w:val="nil"/>
            </w:tcBorders>
            <w:shd w:val="clear" w:color="auto" w:fill="auto"/>
            <w:vAlign w:val="bottom"/>
          </w:tcPr>
          <w:p w14:paraId="2586624D"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1.649 </w:t>
            </w:r>
          </w:p>
        </w:tc>
        <w:tc>
          <w:tcPr>
            <w:tcW w:w="567" w:type="pct"/>
            <w:tcBorders>
              <w:top w:val="nil"/>
              <w:left w:val="nil"/>
              <w:right w:val="nil"/>
            </w:tcBorders>
            <w:shd w:val="clear" w:color="auto" w:fill="auto"/>
            <w:vAlign w:val="bottom"/>
          </w:tcPr>
          <w:p w14:paraId="2F75EF6D"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(4.494)</w:t>
            </w:r>
          </w:p>
        </w:tc>
        <w:tc>
          <w:tcPr>
            <w:tcW w:w="567" w:type="pct"/>
            <w:tcBorders>
              <w:top w:val="nil"/>
              <w:left w:val="nil"/>
              <w:right w:val="nil"/>
            </w:tcBorders>
            <w:shd w:val="clear" w:color="auto" w:fill="auto"/>
            <w:vAlign w:val="bottom"/>
          </w:tcPr>
          <w:p w14:paraId="5A6EFF10"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(2.379)</w:t>
            </w:r>
          </w:p>
        </w:tc>
        <w:tc>
          <w:tcPr>
            <w:tcW w:w="671" w:type="pct"/>
            <w:tcBorders>
              <w:top w:val="nil"/>
              <w:left w:val="nil"/>
              <w:right w:val="nil"/>
            </w:tcBorders>
            <w:shd w:val="clear" w:color="auto" w:fill="auto"/>
            <w:vAlign w:val="bottom"/>
          </w:tcPr>
          <w:p w14:paraId="6F3BFA2D"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2.379 </w:t>
            </w:r>
          </w:p>
        </w:tc>
        <w:tc>
          <w:tcPr>
            <w:tcW w:w="472" w:type="pct"/>
            <w:tcBorders>
              <w:top w:val="nil"/>
              <w:left w:val="nil"/>
              <w:right w:val="nil"/>
            </w:tcBorders>
            <w:shd w:val="clear" w:color="auto" w:fill="auto"/>
            <w:vAlign w:val="bottom"/>
          </w:tcPr>
          <w:p w14:paraId="6AF989BB"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 </w:t>
            </w:r>
          </w:p>
        </w:tc>
      </w:tr>
      <w:tr w:rsidR="004E2F51" w:rsidRPr="001B647D" w14:paraId="412A3CD9" w14:textId="77777777" w:rsidTr="002D6F0B">
        <w:trPr>
          <w:trHeight w:val="214"/>
        </w:trPr>
        <w:tc>
          <w:tcPr>
            <w:tcW w:w="1005" w:type="pct"/>
            <w:vAlign w:val="bottom"/>
          </w:tcPr>
          <w:p w14:paraId="7AAA809A" w14:textId="77777777" w:rsidR="004E2F51" w:rsidRPr="004B4498" w:rsidRDefault="004E2F51" w:rsidP="00E032FC">
            <w:pPr>
              <w:pStyle w:val="TT"/>
              <w:spacing w:line="240" w:lineRule="exact"/>
              <w:rPr>
                <w:rFonts w:cs="Arial"/>
                <w:color w:val="000000" w:themeColor="text1"/>
                <w:sz w:val="16"/>
                <w:szCs w:val="16"/>
                <w:lang w:val="hr-HR"/>
              </w:rPr>
            </w:pPr>
            <w:bookmarkStart w:id="1107" w:name="_Toc67328267"/>
            <w:r w:rsidRPr="004B4498">
              <w:rPr>
                <w:rFonts w:cs="Arial"/>
                <w:color w:val="000000" w:themeColor="text1"/>
                <w:sz w:val="16"/>
                <w:szCs w:val="16"/>
                <w:lang w:val="hr-HR"/>
              </w:rPr>
              <w:t>Rashod i otpis</w:t>
            </w:r>
            <w:bookmarkEnd w:id="1107"/>
          </w:p>
        </w:tc>
        <w:tc>
          <w:tcPr>
            <w:tcW w:w="586" w:type="pct"/>
            <w:tcBorders>
              <w:top w:val="nil"/>
              <w:left w:val="nil"/>
              <w:right w:val="nil"/>
            </w:tcBorders>
            <w:shd w:val="clear" w:color="auto" w:fill="auto"/>
            <w:vAlign w:val="bottom"/>
          </w:tcPr>
          <w:p w14:paraId="7A1493C6"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 </w:t>
            </w:r>
          </w:p>
        </w:tc>
        <w:tc>
          <w:tcPr>
            <w:tcW w:w="567" w:type="pct"/>
            <w:tcBorders>
              <w:top w:val="nil"/>
              <w:left w:val="nil"/>
              <w:right w:val="nil"/>
            </w:tcBorders>
            <w:shd w:val="clear" w:color="auto" w:fill="auto"/>
            <w:vAlign w:val="bottom"/>
          </w:tcPr>
          <w:p w14:paraId="0275FF35"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(3.802)</w:t>
            </w:r>
          </w:p>
        </w:tc>
        <w:tc>
          <w:tcPr>
            <w:tcW w:w="567" w:type="pct"/>
            <w:tcBorders>
              <w:top w:val="nil"/>
              <w:left w:val="nil"/>
              <w:right w:val="nil"/>
            </w:tcBorders>
            <w:shd w:val="clear" w:color="auto" w:fill="auto"/>
            <w:vAlign w:val="bottom"/>
          </w:tcPr>
          <w:p w14:paraId="03CC3381"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(2.808)</w:t>
            </w:r>
          </w:p>
        </w:tc>
        <w:tc>
          <w:tcPr>
            <w:tcW w:w="567" w:type="pct"/>
            <w:tcBorders>
              <w:top w:val="nil"/>
              <w:left w:val="nil"/>
              <w:right w:val="nil"/>
            </w:tcBorders>
            <w:shd w:val="clear" w:color="auto" w:fill="auto"/>
            <w:vAlign w:val="bottom"/>
          </w:tcPr>
          <w:p w14:paraId="4BE08586"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  </w:t>
            </w:r>
          </w:p>
        </w:tc>
        <w:tc>
          <w:tcPr>
            <w:tcW w:w="567" w:type="pct"/>
            <w:tcBorders>
              <w:top w:val="nil"/>
              <w:left w:val="nil"/>
              <w:right w:val="nil"/>
            </w:tcBorders>
            <w:shd w:val="clear" w:color="auto" w:fill="auto"/>
            <w:vAlign w:val="bottom"/>
          </w:tcPr>
          <w:p w14:paraId="7F6F5636"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(6.610)</w:t>
            </w:r>
          </w:p>
        </w:tc>
        <w:tc>
          <w:tcPr>
            <w:tcW w:w="671" w:type="pct"/>
            <w:tcBorders>
              <w:top w:val="nil"/>
              <w:left w:val="nil"/>
              <w:right w:val="nil"/>
            </w:tcBorders>
            <w:shd w:val="clear" w:color="auto" w:fill="auto"/>
            <w:vAlign w:val="bottom"/>
          </w:tcPr>
          <w:p w14:paraId="6D4B3FCA"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(306)</w:t>
            </w:r>
          </w:p>
        </w:tc>
        <w:tc>
          <w:tcPr>
            <w:tcW w:w="472" w:type="pct"/>
            <w:tcBorders>
              <w:top w:val="nil"/>
              <w:left w:val="nil"/>
              <w:right w:val="nil"/>
            </w:tcBorders>
            <w:shd w:val="clear" w:color="auto" w:fill="auto"/>
            <w:vAlign w:val="bottom"/>
          </w:tcPr>
          <w:p w14:paraId="7ADB110E"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(6.916)</w:t>
            </w:r>
          </w:p>
        </w:tc>
      </w:tr>
      <w:tr w:rsidR="004E2F51" w:rsidRPr="001B647D" w14:paraId="45A728E8" w14:textId="77777777" w:rsidTr="002D6F0B">
        <w:trPr>
          <w:trHeight w:val="214"/>
        </w:trPr>
        <w:tc>
          <w:tcPr>
            <w:tcW w:w="1005" w:type="pct"/>
            <w:vAlign w:val="bottom"/>
          </w:tcPr>
          <w:p w14:paraId="0C6D26EE" w14:textId="77777777" w:rsidR="004E2F51" w:rsidRPr="004B4498" w:rsidRDefault="004E2F51" w:rsidP="00E032FC">
            <w:pPr>
              <w:pStyle w:val="TT"/>
              <w:spacing w:line="240" w:lineRule="exact"/>
              <w:rPr>
                <w:rFonts w:cs="Arial"/>
                <w:color w:val="000000" w:themeColor="text1"/>
                <w:sz w:val="16"/>
                <w:szCs w:val="16"/>
                <w:lang w:val="hr-HR"/>
              </w:rPr>
            </w:pPr>
            <w:r>
              <w:rPr>
                <w:rFonts w:cs="Arial"/>
                <w:color w:val="000000" w:themeColor="text1"/>
                <w:sz w:val="16"/>
                <w:szCs w:val="16"/>
                <w:lang w:val="hr-HR"/>
              </w:rPr>
              <w:t>V</w:t>
            </w:r>
            <w:r w:rsidRPr="00272C9F">
              <w:rPr>
                <w:rFonts w:cs="Arial"/>
                <w:color w:val="000000" w:themeColor="text1"/>
                <w:sz w:val="16"/>
                <w:szCs w:val="16"/>
                <w:lang w:val="hr-HR"/>
              </w:rPr>
              <w:t>raćeno u upotrebu</w:t>
            </w:r>
          </w:p>
        </w:tc>
        <w:tc>
          <w:tcPr>
            <w:tcW w:w="586" w:type="pct"/>
            <w:tcBorders>
              <w:top w:val="nil"/>
              <w:left w:val="nil"/>
              <w:right w:val="nil"/>
            </w:tcBorders>
            <w:shd w:val="clear" w:color="auto" w:fill="auto"/>
            <w:vAlign w:val="bottom"/>
          </w:tcPr>
          <w:p w14:paraId="527B209F"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 </w:t>
            </w:r>
          </w:p>
        </w:tc>
        <w:tc>
          <w:tcPr>
            <w:tcW w:w="567" w:type="pct"/>
            <w:tcBorders>
              <w:top w:val="nil"/>
              <w:left w:val="nil"/>
              <w:right w:val="nil"/>
            </w:tcBorders>
            <w:shd w:val="clear" w:color="auto" w:fill="auto"/>
            <w:vAlign w:val="bottom"/>
          </w:tcPr>
          <w:p w14:paraId="589F5B63"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2 </w:t>
            </w:r>
          </w:p>
        </w:tc>
        <w:tc>
          <w:tcPr>
            <w:tcW w:w="567" w:type="pct"/>
            <w:tcBorders>
              <w:top w:val="nil"/>
              <w:left w:val="nil"/>
              <w:right w:val="nil"/>
            </w:tcBorders>
            <w:shd w:val="clear" w:color="auto" w:fill="auto"/>
            <w:vAlign w:val="bottom"/>
          </w:tcPr>
          <w:p w14:paraId="7481C6D1"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25 </w:t>
            </w:r>
          </w:p>
        </w:tc>
        <w:tc>
          <w:tcPr>
            <w:tcW w:w="567" w:type="pct"/>
            <w:tcBorders>
              <w:top w:val="nil"/>
              <w:left w:val="nil"/>
              <w:right w:val="nil"/>
            </w:tcBorders>
            <w:shd w:val="clear" w:color="auto" w:fill="auto"/>
            <w:vAlign w:val="bottom"/>
          </w:tcPr>
          <w:p w14:paraId="31B548AC"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 </w:t>
            </w:r>
          </w:p>
        </w:tc>
        <w:tc>
          <w:tcPr>
            <w:tcW w:w="567" w:type="pct"/>
            <w:tcBorders>
              <w:top w:val="nil"/>
              <w:left w:val="nil"/>
              <w:right w:val="nil"/>
            </w:tcBorders>
            <w:shd w:val="clear" w:color="auto" w:fill="auto"/>
            <w:vAlign w:val="bottom"/>
          </w:tcPr>
          <w:p w14:paraId="12B1B4FF"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27 </w:t>
            </w:r>
          </w:p>
        </w:tc>
        <w:tc>
          <w:tcPr>
            <w:tcW w:w="671" w:type="pct"/>
            <w:tcBorders>
              <w:top w:val="nil"/>
              <w:left w:val="nil"/>
              <w:right w:val="nil"/>
            </w:tcBorders>
            <w:shd w:val="clear" w:color="auto" w:fill="auto"/>
            <w:vAlign w:val="bottom"/>
          </w:tcPr>
          <w:p w14:paraId="46794B31"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 </w:t>
            </w:r>
          </w:p>
        </w:tc>
        <w:tc>
          <w:tcPr>
            <w:tcW w:w="472" w:type="pct"/>
            <w:tcBorders>
              <w:top w:val="nil"/>
              <w:left w:val="nil"/>
              <w:right w:val="nil"/>
            </w:tcBorders>
            <w:shd w:val="clear" w:color="auto" w:fill="auto"/>
            <w:vAlign w:val="bottom"/>
          </w:tcPr>
          <w:p w14:paraId="36466540"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27 </w:t>
            </w:r>
          </w:p>
        </w:tc>
      </w:tr>
      <w:tr w:rsidR="004E2F51" w:rsidRPr="001B647D" w14:paraId="2C897EFC" w14:textId="77777777" w:rsidTr="002D6F0B">
        <w:trPr>
          <w:trHeight w:val="492"/>
        </w:trPr>
        <w:tc>
          <w:tcPr>
            <w:tcW w:w="1005" w:type="pct"/>
            <w:vAlign w:val="bottom"/>
          </w:tcPr>
          <w:p w14:paraId="38D93242" w14:textId="77777777" w:rsidR="004E2F51" w:rsidRPr="004B4498" w:rsidRDefault="004E2F51" w:rsidP="00E032FC">
            <w:pPr>
              <w:pStyle w:val="Tot"/>
              <w:spacing w:line="240" w:lineRule="exact"/>
              <w:rPr>
                <w:rFonts w:cs="Arial"/>
                <w:b/>
                <w:bCs/>
                <w:color w:val="000000" w:themeColor="text1"/>
                <w:sz w:val="16"/>
                <w:szCs w:val="16"/>
                <w:lang w:val="hr-HR"/>
              </w:rPr>
            </w:pPr>
            <w:bookmarkStart w:id="1108" w:name="_Toc67328283"/>
            <w:r w:rsidRPr="004B4498">
              <w:rPr>
                <w:rFonts w:cs="Arial"/>
                <w:b/>
                <w:bCs/>
                <w:color w:val="000000" w:themeColor="text1"/>
                <w:sz w:val="16"/>
                <w:szCs w:val="16"/>
                <w:lang w:val="hr-HR"/>
              </w:rPr>
              <w:t>Stanje</w:t>
            </w:r>
            <w:bookmarkEnd w:id="1108"/>
            <w:r w:rsidRPr="004B4498">
              <w:rPr>
                <w:rFonts w:cs="Arial"/>
                <w:b/>
                <w:bCs/>
                <w:color w:val="000000" w:themeColor="text1"/>
                <w:sz w:val="16"/>
                <w:szCs w:val="16"/>
                <w:lang w:val="hr-HR"/>
              </w:rPr>
              <w:t xml:space="preserve"> </w:t>
            </w:r>
          </w:p>
          <w:p w14:paraId="7F69EFFB" w14:textId="77777777" w:rsidR="004E2F51" w:rsidRPr="004B4498" w:rsidRDefault="004E2F51" w:rsidP="00E032FC">
            <w:pPr>
              <w:pStyle w:val="Tot"/>
              <w:spacing w:line="240" w:lineRule="exact"/>
              <w:rPr>
                <w:rFonts w:cs="Arial"/>
                <w:b/>
                <w:bCs/>
                <w:color w:val="000000" w:themeColor="text1"/>
                <w:sz w:val="16"/>
                <w:szCs w:val="16"/>
                <w:lang w:val="hr-HR"/>
              </w:rPr>
            </w:pPr>
            <w:bookmarkStart w:id="1109" w:name="_Toc67328284"/>
            <w:r w:rsidRPr="004B4498">
              <w:rPr>
                <w:rFonts w:cs="Arial"/>
                <w:b/>
                <w:bCs/>
                <w:color w:val="000000" w:themeColor="text1"/>
                <w:sz w:val="16"/>
                <w:szCs w:val="16"/>
                <w:lang w:val="hr-HR"/>
              </w:rPr>
              <w:t>31. prosinca 202</w:t>
            </w:r>
            <w:r>
              <w:rPr>
                <w:rFonts w:cs="Arial"/>
                <w:b/>
                <w:bCs/>
                <w:color w:val="000000" w:themeColor="text1"/>
                <w:sz w:val="16"/>
                <w:szCs w:val="16"/>
                <w:lang w:val="hr-HR"/>
              </w:rPr>
              <w:t>2</w:t>
            </w:r>
            <w:r w:rsidRPr="004B4498">
              <w:rPr>
                <w:rFonts w:cs="Arial"/>
                <w:b/>
                <w:bCs/>
                <w:color w:val="000000" w:themeColor="text1"/>
                <w:sz w:val="16"/>
                <w:szCs w:val="16"/>
                <w:lang w:val="hr-HR"/>
              </w:rPr>
              <w:t>.</w:t>
            </w:r>
            <w:bookmarkEnd w:id="1109"/>
          </w:p>
        </w:tc>
        <w:tc>
          <w:tcPr>
            <w:tcW w:w="586" w:type="pct"/>
            <w:tcBorders>
              <w:top w:val="single" w:sz="4" w:space="0" w:color="auto"/>
              <w:left w:val="nil"/>
              <w:bottom w:val="single" w:sz="12" w:space="0" w:color="auto"/>
              <w:right w:val="nil"/>
            </w:tcBorders>
            <w:shd w:val="clear" w:color="auto" w:fill="auto"/>
            <w:vAlign w:val="bottom"/>
          </w:tcPr>
          <w:p w14:paraId="1E286081"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78.020 </w:t>
            </w:r>
          </w:p>
        </w:tc>
        <w:tc>
          <w:tcPr>
            <w:tcW w:w="567" w:type="pct"/>
            <w:tcBorders>
              <w:top w:val="single" w:sz="4" w:space="0" w:color="auto"/>
              <w:left w:val="nil"/>
              <w:bottom w:val="single" w:sz="12" w:space="0" w:color="auto"/>
              <w:right w:val="nil"/>
            </w:tcBorders>
            <w:shd w:val="clear" w:color="auto" w:fill="auto"/>
            <w:vAlign w:val="bottom"/>
          </w:tcPr>
          <w:p w14:paraId="0E0AF322"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10.541 </w:t>
            </w:r>
          </w:p>
        </w:tc>
        <w:tc>
          <w:tcPr>
            <w:tcW w:w="567" w:type="pct"/>
            <w:tcBorders>
              <w:top w:val="single" w:sz="4" w:space="0" w:color="auto"/>
              <w:left w:val="nil"/>
              <w:bottom w:val="single" w:sz="12" w:space="0" w:color="auto"/>
              <w:right w:val="nil"/>
            </w:tcBorders>
            <w:shd w:val="clear" w:color="auto" w:fill="auto"/>
            <w:vAlign w:val="bottom"/>
          </w:tcPr>
          <w:p w14:paraId="551E10A7"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11.807 </w:t>
            </w:r>
          </w:p>
        </w:tc>
        <w:tc>
          <w:tcPr>
            <w:tcW w:w="567" w:type="pct"/>
            <w:tcBorders>
              <w:top w:val="single" w:sz="4" w:space="0" w:color="auto"/>
              <w:left w:val="nil"/>
              <w:bottom w:val="single" w:sz="12" w:space="0" w:color="auto"/>
              <w:right w:val="nil"/>
            </w:tcBorders>
            <w:shd w:val="clear" w:color="auto" w:fill="auto"/>
            <w:vAlign w:val="bottom"/>
          </w:tcPr>
          <w:p w14:paraId="7D71C46F"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63 </w:t>
            </w:r>
          </w:p>
        </w:tc>
        <w:tc>
          <w:tcPr>
            <w:tcW w:w="567" w:type="pct"/>
            <w:tcBorders>
              <w:top w:val="single" w:sz="4" w:space="0" w:color="auto"/>
              <w:left w:val="nil"/>
              <w:bottom w:val="single" w:sz="12" w:space="0" w:color="auto"/>
              <w:right w:val="nil"/>
            </w:tcBorders>
            <w:shd w:val="clear" w:color="auto" w:fill="auto"/>
            <w:vAlign w:val="bottom"/>
          </w:tcPr>
          <w:p w14:paraId="1089DA80"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100.431 </w:t>
            </w:r>
          </w:p>
        </w:tc>
        <w:tc>
          <w:tcPr>
            <w:tcW w:w="671" w:type="pct"/>
            <w:tcBorders>
              <w:top w:val="single" w:sz="4" w:space="0" w:color="auto"/>
              <w:left w:val="nil"/>
              <w:bottom w:val="single" w:sz="12" w:space="0" w:color="auto"/>
              <w:right w:val="nil"/>
            </w:tcBorders>
            <w:shd w:val="clear" w:color="auto" w:fill="auto"/>
            <w:vAlign w:val="bottom"/>
          </w:tcPr>
          <w:p w14:paraId="139023DD"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38.040 </w:t>
            </w:r>
          </w:p>
        </w:tc>
        <w:tc>
          <w:tcPr>
            <w:tcW w:w="472" w:type="pct"/>
            <w:tcBorders>
              <w:top w:val="single" w:sz="4" w:space="0" w:color="auto"/>
              <w:left w:val="nil"/>
              <w:bottom w:val="single" w:sz="12" w:space="0" w:color="auto"/>
              <w:right w:val="nil"/>
            </w:tcBorders>
            <w:shd w:val="clear" w:color="auto" w:fill="auto"/>
            <w:vAlign w:val="bottom"/>
          </w:tcPr>
          <w:p w14:paraId="1BBC9414"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138.471 </w:t>
            </w:r>
          </w:p>
        </w:tc>
      </w:tr>
      <w:tr w:rsidR="004E2F51" w:rsidRPr="001B647D" w14:paraId="7BA6818E" w14:textId="77777777" w:rsidTr="002D6F0B">
        <w:trPr>
          <w:trHeight w:val="259"/>
        </w:trPr>
        <w:tc>
          <w:tcPr>
            <w:tcW w:w="1005" w:type="pct"/>
            <w:vAlign w:val="bottom"/>
          </w:tcPr>
          <w:p w14:paraId="31D95A78" w14:textId="77777777" w:rsidR="004E2F51" w:rsidRPr="004B4498" w:rsidRDefault="004E2F51" w:rsidP="00E032FC">
            <w:pPr>
              <w:pStyle w:val="TT"/>
              <w:spacing w:line="240" w:lineRule="exact"/>
              <w:rPr>
                <w:rFonts w:cs="Arial"/>
                <w:b/>
                <w:bCs/>
                <w:color w:val="000000" w:themeColor="text1"/>
                <w:sz w:val="16"/>
                <w:szCs w:val="16"/>
                <w:lang w:val="hr-HR"/>
              </w:rPr>
            </w:pPr>
            <w:bookmarkStart w:id="1110" w:name="_Toc67328292"/>
            <w:r w:rsidRPr="004B4498">
              <w:rPr>
                <w:rFonts w:cs="Arial"/>
                <w:b/>
                <w:bCs/>
                <w:color w:val="000000" w:themeColor="text1"/>
                <w:sz w:val="16"/>
                <w:szCs w:val="16"/>
                <w:lang w:val="hr-HR"/>
              </w:rPr>
              <w:t>Amortizacija i ispravak vrijednosti</w:t>
            </w:r>
            <w:bookmarkEnd w:id="1110"/>
            <w:r w:rsidRPr="004B4498">
              <w:rPr>
                <w:rFonts w:cs="Arial"/>
                <w:b/>
                <w:bCs/>
                <w:color w:val="000000" w:themeColor="text1"/>
                <w:sz w:val="16"/>
                <w:szCs w:val="16"/>
                <w:lang w:val="hr-HR"/>
              </w:rPr>
              <w:t xml:space="preserve"> </w:t>
            </w:r>
          </w:p>
        </w:tc>
        <w:tc>
          <w:tcPr>
            <w:tcW w:w="586" w:type="pct"/>
            <w:tcBorders>
              <w:top w:val="single" w:sz="12" w:space="0" w:color="auto"/>
            </w:tcBorders>
            <w:vAlign w:val="center"/>
          </w:tcPr>
          <w:p w14:paraId="7A708E06" w14:textId="77777777" w:rsidR="004E2F51" w:rsidRPr="004B4498" w:rsidRDefault="004E2F51" w:rsidP="00E032FC">
            <w:pPr>
              <w:pStyle w:val="TT"/>
              <w:tabs>
                <w:tab w:val="clear" w:pos="1202"/>
              </w:tabs>
              <w:jc w:val="right"/>
              <w:rPr>
                <w:rFonts w:cs="Arial"/>
                <w:color w:val="000000" w:themeColor="text1"/>
                <w:sz w:val="16"/>
                <w:szCs w:val="16"/>
                <w:highlight w:val="yellow"/>
                <w:lang w:val="hr-HR"/>
              </w:rPr>
            </w:pPr>
          </w:p>
        </w:tc>
        <w:tc>
          <w:tcPr>
            <w:tcW w:w="567" w:type="pct"/>
            <w:tcBorders>
              <w:top w:val="single" w:sz="12" w:space="0" w:color="auto"/>
            </w:tcBorders>
            <w:vAlign w:val="center"/>
          </w:tcPr>
          <w:p w14:paraId="4B05739D" w14:textId="77777777" w:rsidR="004E2F51" w:rsidRPr="004B4498" w:rsidRDefault="004E2F51" w:rsidP="00E032FC">
            <w:pPr>
              <w:pStyle w:val="TT"/>
              <w:tabs>
                <w:tab w:val="clear" w:pos="1202"/>
              </w:tabs>
              <w:jc w:val="right"/>
              <w:rPr>
                <w:rFonts w:cs="Arial"/>
                <w:color w:val="000000" w:themeColor="text1"/>
                <w:sz w:val="16"/>
                <w:szCs w:val="16"/>
                <w:highlight w:val="yellow"/>
                <w:lang w:val="hr-HR"/>
              </w:rPr>
            </w:pPr>
          </w:p>
        </w:tc>
        <w:tc>
          <w:tcPr>
            <w:tcW w:w="567" w:type="pct"/>
            <w:tcBorders>
              <w:top w:val="single" w:sz="12" w:space="0" w:color="auto"/>
            </w:tcBorders>
            <w:vAlign w:val="center"/>
          </w:tcPr>
          <w:p w14:paraId="2B313C8E" w14:textId="77777777" w:rsidR="004E2F51" w:rsidRPr="004B4498" w:rsidRDefault="004E2F51" w:rsidP="00E032FC">
            <w:pPr>
              <w:pStyle w:val="TT"/>
              <w:tabs>
                <w:tab w:val="clear" w:pos="1202"/>
              </w:tabs>
              <w:jc w:val="right"/>
              <w:rPr>
                <w:rFonts w:cs="Arial"/>
                <w:color w:val="000000" w:themeColor="text1"/>
                <w:sz w:val="16"/>
                <w:szCs w:val="16"/>
                <w:highlight w:val="yellow"/>
                <w:lang w:val="hr-HR"/>
              </w:rPr>
            </w:pPr>
          </w:p>
        </w:tc>
        <w:tc>
          <w:tcPr>
            <w:tcW w:w="567" w:type="pct"/>
            <w:tcBorders>
              <w:top w:val="single" w:sz="12" w:space="0" w:color="auto"/>
            </w:tcBorders>
            <w:vAlign w:val="center"/>
          </w:tcPr>
          <w:p w14:paraId="1AECEA5B" w14:textId="77777777" w:rsidR="004E2F51" w:rsidRPr="004B4498" w:rsidRDefault="004E2F51" w:rsidP="00E032FC">
            <w:pPr>
              <w:pStyle w:val="TT"/>
              <w:tabs>
                <w:tab w:val="clear" w:pos="1202"/>
              </w:tabs>
              <w:jc w:val="right"/>
              <w:rPr>
                <w:rFonts w:cs="Arial"/>
                <w:color w:val="000000" w:themeColor="text1"/>
                <w:sz w:val="16"/>
                <w:szCs w:val="16"/>
                <w:highlight w:val="yellow"/>
                <w:lang w:val="hr-HR"/>
              </w:rPr>
            </w:pPr>
          </w:p>
        </w:tc>
        <w:tc>
          <w:tcPr>
            <w:tcW w:w="567" w:type="pct"/>
            <w:tcBorders>
              <w:top w:val="single" w:sz="12" w:space="0" w:color="auto"/>
            </w:tcBorders>
            <w:vAlign w:val="center"/>
          </w:tcPr>
          <w:p w14:paraId="0DE76593" w14:textId="77777777" w:rsidR="004E2F51" w:rsidRPr="004B4498" w:rsidRDefault="004E2F51" w:rsidP="00E032FC">
            <w:pPr>
              <w:pStyle w:val="TT"/>
              <w:tabs>
                <w:tab w:val="clear" w:pos="1202"/>
              </w:tabs>
              <w:jc w:val="right"/>
              <w:rPr>
                <w:rFonts w:cs="Arial"/>
                <w:color w:val="000000" w:themeColor="text1"/>
                <w:sz w:val="16"/>
                <w:szCs w:val="16"/>
                <w:highlight w:val="yellow"/>
                <w:lang w:val="hr-HR"/>
              </w:rPr>
            </w:pPr>
          </w:p>
        </w:tc>
        <w:tc>
          <w:tcPr>
            <w:tcW w:w="671" w:type="pct"/>
            <w:tcBorders>
              <w:top w:val="single" w:sz="12" w:space="0" w:color="auto"/>
            </w:tcBorders>
            <w:vAlign w:val="center"/>
          </w:tcPr>
          <w:p w14:paraId="01307AF1" w14:textId="77777777" w:rsidR="004E2F51" w:rsidRPr="004B4498" w:rsidRDefault="004E2F51" w:rsidP="00E032FC">
            <w:pPr>
              <w:pStyle w:val="TT"/>
              <w:tabs>
                <w:tab w:val="clear" w:pos="1202"/>
              </w:tabs>
              <w:jc w:val="right"/>
              <w:rPr>
                <w:rFonts w:cs="Arial"/>
                <w:color w:val="000000" w:themeColor="text1"/>
                <w:sz w:val="16"/>
                <w:szCs w:val="16"/>
                <w:highlight w:val="yellow"/>
                <w:lang w:val="hr-HR"/>
              </w:rPr>
            </w:pPr>
          </w:p>
        </w:tc>
        <w:tc>
          <w:tcPr>
            <w:tcW w:w="472" w:type="pct"/>
            <w:tcBorders>
              <w:top w:val="single" w:sz="12" w:space="0" w:color="auto"/>
            </w:tcBorders>
            <w:vAlign w:val="center"/>
          </w:tcPr>
          <w:p w14:paraId="3BE92E6B" w14:textId="77777777" w:rsidR="004E2F51" w:rsidRPr="004B4498" w:rsidRDefault="004E2F51" w:rsidP="00E032FC">
            <w:pPr>
              <w:pStyle w:val="TT"/>
              <w:tabs>
                <w:tab w:val="clear" w:pos="1202"/>
              </w:tabs>
              <w:jc w:val="right"/>
              <w:rPr>
                <w:rFonts w:cs="Arial"/>
                <w:color w:val="000000" w:themeColor="text1"/>
                <w:sz w:val="16"/>
                <w:szCs w:val="16"/>
                <w:highlight w:val="yellow"/>
                <w:lang w:val="hr-HR"/>
              </w:rPr>
            </w:pPr>
          </w:p>
        </w:tc>
      </w:tr>
      <w:tr w:rsidR="004E2F51" w:rsidRPr="001B647D" w14:paraId="4B1C20CA" w14:textId="77777777" w:rsidTr="002D6F0B">
        <w:trPr>
          <w:trHeight w:val="504"/>
        </w:trPr>
        <w:tc>
          <w:tcPr>
            <w:tcW w:w="1005" w:type="pct"/>
            <w:vAlign w:val="bottom"/>
          </w:tcPr>
          <w:p w14:paraId="3DC52337" w14:textId="77777777" w:rsidR="004E2F51" w:rsidRPr="004B4498" w:rsidRDefault="004E2F51" w:rsidP="00E032FC">
            <w:pPr>
              <w:pStyle w:val="Tot"/>
              <w:spacing w:line="240" w:lineRule="exact"/>
              <w:rPr>
                <w:rFonts w:cs="Arial"/>
                <w:b/>
                <w:bCs/>
                <w:color w:val="000000" w:themeColor="text1"/>
                <w:sz w:val="16"/>
                <w:szCs w:val="16"/>
                <w:lang w:val="hr-HR"/>
              </w:rPr>
            </w:pPr>
            <w:bookmarkStart w:id="1111" w:name="_Toc67328293"/>
            <w:r w:rsidRPr="004B4498">
              <w:rPr>
                <w:rFonts w:cs="Arial"/>
                <w:b/>
                <w:bCs/>
                <w:color w:val="000000" w:themeColor="text1"/>
                <w:sz w:val="16"/>
                <w:szCs w:val="16"/>
                <w:lang w:val="hr-HR"/>
              </w:rPr>
              <w:t>Stanje</w:t>
            </w:r>
            <w:bookmarkEnd w:id="1111"/>
            <w:r w:rsidRPr="004B4498">
              <w:rPr>
                <w:rFonts w:cs="Arial"/>
                <w:b/>
                <w:bCs/>
                <w:color w:val="000000" w:themeColor="text1"/>
                <w:sz w:val="16"/>
                <w:szCs w:val="16"/>
                <w:lang w:val="hr-HR"/>
              </w:rPr>
              <w:t xml:space="preserve"> </w:t>
            </w:r>
          </w:p>
          <w:p w14:paraId="4EE4CDEB" w14:textId="77777777" w:rsidR="004E2F51" w:rsidRPr="004B4498" w:rsidRDefault="004E2F51" w:rsidP="00E032FC">
            <w:pPr>
              <w:pStyle w:val="Tot"/>
              <w:spacing w:line="240" w:lineRule="exact"/>
              <w:rPr>
                <w:rFonts w:cs="Arial"/>
                <w:b/>
                <w:bCs/>
                <w:color w:val="000000" w:themeColor="text1"/>
                <w:sz w:val="16"/>
                <w:szCs w:val="16"/>
                <w:lang w:val="hr-HR"/>
              </w:rPr>
            </w:pPr>
            <w:bookmarkStart w:id="1112" w:name="_Toc67328294"/>
            <w:r w:rsidRPr="004B4498">
              <w:rPr>
                <w:rFonts w:cs="Arial"/>
                <w:b/>
                <w:bCs/>
                <w:color w:val="000000" w:themeColor="text1"/>
                <w:sz w:val="16"/>
                <w:szCs w:val="16"/>
                <w:lang w:val="hr-HR"/>
              </w:rPr>
              <w:t>31. prosinca 202</w:t>
            </w:r>
            <w:r>
              <w:rPr>
                <w:rFonts w:cs="Arial"/>
                <w:b/>
                <w:bCs/>
                <w:color w:val="000000" w:themeColor="text1"/>
                <w:sz w:val="16"/>
                <w:szCs w:val="16"/>
                <w:lang w:val="hr-HR"/>
              </w:rPr>
              <w:t>1</w:t>
            </w:r>
            <w:r w:rsidRPr="004B4498">
              <w:rPr>
                <w:rFonts w:cs="Arial"/>
                <w:b/>
                <w:bCs/>
                <w:color w:val="000000" w:themeColor="text1"/>
                <w:sz w:val="16"/>
                <w:szCs w:val="16"/>
                <w:lang w:val="hr-HR"/>
              </w:rPr>
              <w:t>.</w:t>
            </w:r>
            <w:bookmarkEnd w:id="1112"/>
          </w:p>
        </w:tc>
        <w:tc>
          <w:tcPr>
            <w:tcW w:w="586" w:type="pct"/>
            <w:tcBorders>
              <w:left w:val="nil"/>
              <w:right w:val="nil"/>
            </w:tcBorders>
            <w:shd w:val="clear" w:color="auto" w:fill="auto"/>
            <w:vAlign w:val="bottom"/>
          </w:tcPr>
          <w:p w14:paraId="3ABCA183"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D511C3">
              <w:rPr>
                <w:rFonts w:cs="Arial"/>
                <w:b/>
                <w:bCs/>
                <w:sz w:val="16"/>
                <w:szCs w:val="16"/>
              </w:rPr>
              <w:t xml:space="preserve"> 44.971 </w:t>
            </w:r>
          </w:p>
        </w:tc>
        <w:tc>
          <w:tcPr>
            <w:tcW w:w="567" w:type="pct"/>
            <w:tcBorders>
              <w:left w:val="nil"/>
              <w:right w:val="nil"/>
            </w:tcBorders>
            <w:shd w:val="clear" w:color="auto" w:fill="auto"/>
            <w:vAlign w:val="bottom"/>
          </w:tcPr>
          <w:p w14:paraId="718D0311"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D511C3">
              <w:rPr>
                <w:rFonts w:cs="Arial"/>
                <w:b/>
                <w:bCs/>
                <w:sz w:val="16"/>
                <w:szCs w:val="16"/>
              </w:rPr>
              <w:t xml:space="preserve"> 11.525 </w:t>
            </w:r>
          </w:p>
        </w:tc>
        <w:tc>
          <w:tcPr>
            <w:tcW w:w="567" w:type="pct"/>
            <w:tcBorders>
              <w:left w:val="nil"/>
              <w:right w:val="nil"/>
            </w:tcBorders>
            <w:shd w:val="clear" w:color="auto" w:fill="auto"/>
            <w:vAlign w:val="bottom"/>
          </w:tcPr>
          <w:p w14:paraId="49BB9345"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D511C3">
              <w:rPr>
                <w:rFonts w:cs="Arial"/>
                <w:b/>
                <w:bCs/>
                <w:sz w:val="16"/>
                <w:szCs w:val="16"/>
              </w:rPr>
              <w:t xml:space="preserve"> 10.771 </w:t>
            </w:r>
          </w:p>
        </w:tc>
        <w:tc>
          <w:tcPr>
            <w:tcW w:w="567" w:type="pct"/>
            <w:tcBorders>
              <w:left w:val="nil"/>
              <w:right w:val="nil"/>
            </w:tcBorders>
            <w:shd w:val="clear" w:color="auto" w:fill="auto"/>
            <w:vAlign w:val="bottom"/>
          </w:tcPr>
          <w:p w14:paraId="3C0D8DB7"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D511C3">
              <w:rPr>
                <w:rFonts w:cs="Arial"/>
                <w:b/>
                <w:bCs/>
                <w:sz w:val="16"/>
                <w:szCs w:val="16"/>
              </w:rPr>
              <w:t xml:space="preserve"> - </w:t>
            </w:r>
          </w:p>
        </w:tc>
        <w:tc>
          <w:tcPr>
            <w:tcW w:w="567" w:type="pct"/>
            <w:tcBorders>
              <w:left w:val="nil"/>
              <w:right w:val="nil"/>
            </w:tcBorders>
            <w:shd w:val="clear" w:color="auto" w:fill="auto"/>
            <w:vAlign w:val="bottom"/>
          </w:tcPr>
          <w:p w14:paraId="6F02828A"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D511C3">
              <w:rPr>
                <w:rFonts w:cs="Arial"/>
                <w:b/>
                <w:bCs/>
                <w:sz w:val="16"/>
                <w:szCs w:val="16"/>
              </w:rPr>
              <w:t xml:space="preserve"> 67.267 </w:t>
            </w:r>
          </w:p>
        </w:tc>
        <w:tc>
          <w:tcPr>
            <w:tcW w:w="671" w:type="pct"/>
            <w:tcBorders>
              <w:left w:val="nil"/>
              <w:right w:val="nil"/>
            </w:tcBorders>
            <w:shd w:val="clear" w:color="auto" w:fill="auto"/>
            <w:vAlign w:val="bottom"/>
          </w:tcPr>
          <w:p w14:paraId="4E56D8E6"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D511C3">
              <w:rPr>
                <w:rFonts w:cs="Arial"/>
                <w:b/>
                <w:bCs/>
                <w:sz w:val="16"/>
                <w:szCs w:val="16"/>
              </w:rPr>
              <w:t xml:space="preserve"> 29.573 </w:t>
            </w:r>
          </w:p>
        </w:tc>
        <w:tc>
          <w:tcPr>
            <w:tcW w:w="472" w:type="pct"/>
            <w:tcBorders>
              <w:left w:val="nil"/>
              <w:right w:val="nil"/>
            </w:tcBorders>
            <w:shd w:val="clear" w:color="auto" w:fill="auto"/>
            <w:vAlign w:val="bottom"/>
          </w:tcPr>
          <w:p w14:paraId="74CBD7A1"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D511C3">
              <w:rPr>
                <w:rFonts w:cs="Arial"/>
                <w:b/>
                <w:bCs/>
                <w:sz w:val="16"/>
                <w:szCs w:val="16"/>
              </w:rPr>
              <w:t xml:space="preserve"> 96.840 </w:t>
            </w:r>
          </w:p>
        </w:tc>
      </w:tr>
      <w:tr w:rsidR="004E2F51" w:rsidRPr="001B647D" w14:paraId="0C195A48" w14:textId="77777777" w:rsidTr="002D6F0B">
        <w:trPr>
          <w:trHeight w:val="342"/>
        </w:trPr>
        <w:tc>
          <w:tcPr>
            <w:tcW w:w="1005" w:type="pct"/>
            <w:vAlign w:val="bottom"/>
          </w:tcPr>
          <w:p w14:paraId="1122D567" w14:textId="77777777" w:rsidR="004E2F51" w:rsidRPr="004B4498" w:rsidRDefault="004E2F51" w:rsidP="00E032FC">
            <w:pPr>
              <w:pStyle w:val="Tot"/>
              <w:spacing w:line="240" w:lineRule="exact"/>
              <w:rPr>
                <w:rFonts w:cs="Arial"/>
                <w:bCs/>
                <w:color w:val="000000" w:themeColor="text1"/>
                <w:sz w:val="16"/>
                <w:szCs w:val="16"/>
                <w:lang w:val="hr-HR"/>
              </w:rPr>
            </w:pPr>
            <w:bookmarkStart w:id="1113" w:name="_Toc67328302"/>
            <w:r w:rsidRPr="004B4498">
              <w:rPr>
                <w:rFonts w:cs="Arial"/>
                <w:bCs/>
                <w:color w:val="000000" w:themeColor="text1"/>
                <w:sz w:val="16"/>
                <w:szCs w:val="16"/>
                <w:lang w:val="hr-HR"/>
              </w:rPr>
              <w:t>Amortizacija za 202</w:t>
            </w:r>
            <w:r>
              <w:rPr>
                <w:rFonts w:cs="Arial"/>
                <w:bCs/>
                <w:color w:val="000000" w:themeColor="text1"/>
                <w:sz w:val="16"/>
                <w:szCs w:val="16"/>
                <w:lang w:val="hr-HR"/>
              </w:rPr>
              <w:t>2</w:t>
            </w:r>
            <w:r w:rsidRPr="004B4498">
              <w:rPr>
                <w:rFonts w:cs="Arial"/>
                <w:bCs/>
                <w:color w:val="000000" w:themeColor="text1"/>
                <w:sz w:val="16"/>
                <w:szCs w:val="16"/>
                <w:lang w:val="hr-HR"/>
              </w:rPr>
              <w:t>.</w:t>
            </w:r>
            <w:bookmarkEnd w:id="1113"/>
          </w:p>
        </w:tc>
        <w:tc>
          <w:tcPr>
            <w:tcW w:w="586" w:type="pct"/>
            <w:tcBorders>
              <w:left w:val="nil"/>
              <w:bottom w:val="nil"/>
              <w:right w:val="nil"/>
            </w:tcBorders>
            <w:shd w:val="clear" w:color="auto" w:fill="auto"/>
          </w:tcPr>
          <w:p w14:paraId="0061991A"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4.017 </w:t>
            </w:r>
          </w:p>
        </w:tc>
        <w:tc>
          <w:tcPr>
            <w:tcW w:w="567" w:type="pct"/>
            <w:tcBorders>
              <w:left w:val="nil"/>
              <w:bottom w:val="nil"/>
              <w:right w:val="nil"/>
            </w:tcBorders>
            <w:shd w:val="clear" w:color="auto" w:fill="auto"/>
          </w:tcPr>
          <w:p w14:paraId="3B3B3544"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2.110 </w:t>
            </w:r>
          </w:p>
        </w:tc>
        <w:tc>
          <w:tcPr>
            <w:tcW w:w="567" w:type="pct"/>
            <w:tcBorders>
              <w:left w:val="nil"/>
              <w:bottom w:val="nil"/>
              <w:right w:val="nil"/>
            </w:tcBorders>
            <w:shd w:val="clear" w:color="auto" w:fill="auto"/>
          </w:tcPr>
          <w:p w14:paraId="69773BBB"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862 </w:t>
            </w:r>
          </w:p>
        </w:tc>
        <w:tc>
          <w:tcPr>
            <w:tcW w:w="567" w:type="pct"/>
            <w:tcBorders>
              <w:left w:val="nil"/>
              <w:bottom w:val="nil"/>
              <w:right w:val="nil"/>
            </w:tcBorders>
            <w:shd w:val="clear" w:color="auto" w:fill="auto"/>
          </w:tcPr>
          <w:p w14:paraId="1E3B6ED8" w14:textId="77777777" w:rsidR="004E2F51" w:rsidRPr="004B4498" w:rsidRDefault="004E2F51" w:rsidP="00E032FC">
            <w:pPr>
              <w:pStyle w:val="Tot"/>
              <w:tabs>
                <w:tab w:val="clear" w:pos="1202"/>
              </w:tabs>
              <w:jc w:val="right"/>
              <w:rPr>
                <w:rFonts w:cs="Arial"/>
                <w:color w:val="000000" w:themeColor="text1"/>
                <w:sz w:val="16"/>
                <w:szCs w:val="16"/>
                <w:lang w:val="hr-HR"/>
              </w:rPr>
            </w:pPr>
          </w:p>
        </w:tc>
        <w:tc>
          <w:tcPr>
            <w:tcW w:w="567" w:type="pct"/>
            <w:tcBorders>
              <w:left w:val="nil"/>
              <w:bottom w:val="nil"/>
              <w:right w:val="nil"/>
            </w:tcBorders>
            <w:shd w:val="clear" w:color="auto" w:fill="auto"/>
          </w:tcPr>
          <w:p w14:paraId="69181C3F" w14:textId="77777777" w:rsidR="004E2F51" w:rsidRPr="004B4498"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6.989 </w:t>
            </w:r>
          </w:p>
        </w:tc>
        <w:tc>
          <w:tcPr>
            <w:tcW w:w="671" w:type="pct"/>
            <w:tcBorders>
              <w:left w:val="nil"/>
              <w:bottom w:val="nil"/>
              <w:right w:val="nil"/>
            </w:tcBorders>
            <w:shd w:val="clear" w:color="auto" w:fill="auto"/>
          </w:tcPr>
          <w:p w14:paraId="5D009D8A"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2.691 </w:t>
            </w:r>
          </w:p>
        </w:tc>
        <w:tc>
          <w:tcPr>
            <w:tcW w:w="472" w:type="pct"/>
            <w:tcBorders>
              <w:left w:val="nil"/>
              <w:bottom w:val="nil"/>
              <w:right w:val="nil"/>
            </w:tcBorders>
            <w:shd w:val="clear" w:color="auto" w:fill="auto"/>
          </w:tcPr>
          <w:p w14:paraId="7BA88C3F"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9.680 </w:t>
            </w:r>
          </w:p>
        </w:tc>
      </w:tr>
      <w:tr w:rsidR="004E2F51" w:rsidRPr="001B647D" w14:paraId="1BF51A61" w14:textId="77777777" w:rsidTr="002D6F0B">
        <w:trPr>
          <w:trHeight w:val="288"/>
        </w:trPr>
        <w:tc>
          <w:tcPr>
            <w:tcW w:w="1005" w:type="pct"/>
            <w:vAlign w:val="bottom"/>
          </w:tcPr>
          <w:p w14:paraId="43A92657" w14:textId="77777777" w:rsidR="004E2F51" w:rsidRPr="004B4498" w:rsidRDefault="004E2F51" w:rsidP="00E032FC">
            <w:pPr>
              <w:pStyle w:val="TT"/>
              <w:spacing w:line="240" w:lineRule="exact"/>
              <w:rPr>
                <w:rFonts w:cs="Arial"/>
                <w:color w:val="000000" w:themeColor="text1"/>
                <w:sz w:val="16"/>
                <w:szCs w:val="16"/>
                <w:lang w:val="hr-HR"/>
              </w:rPr>
            </w:pPr>
            <w:bookmarkStart w:id="1114" w:name="_Toc67328318"/>
            <w:r w:rsidRPr="004B4498">
              <w:rPr>
                <w:rFonts w:cs="Arial"/>
                <w:color w:val="000000" w:themeColor="text1"/>
                <w:sz w:val="16"/>
                <w:szCs w:val="16"/>
                <w:lang w:val="hr-HR"/>
              </w:rPr>
              <w:t>Rashod i otpis</w:t>
            </w:r>
            <w:bookmarkEnd w:id="1114"/>
          </w:p>
        </w:tc>
        <w:tc>
          <w:tcPr>
            <w:tcW w:w="586" w:type="pct"/>
            <w:tcBorders>
              <w:top w:val="nil"/>
              <w:left w:val="nil"/>
              <w:right w:val="nil"/>
            </w:tcBorders>
            <w:shd w:val="clear" w:color="auto" w:fill="auto"/>
          </w:tcPr>
          <w:p w14:paraId="4B30BB8F"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  </w:t>
            </w:r>
          </w:p>
        </w:tc>
        <w:tc>
          <w:tcPr>
            <w:tcW w:w="567" w:type="pct"/>
            <w:tcBorders>
              <w:top w:val="nil"/>
              <w:left w:val="nil"/>
              <w:right w:val="nil"/>
            </w:tcBorders>
            <w:shd w:val="clear" w:color="auto" w:fill="auto"/>
          </w:tcPr>
          <w:p w14:paraId="279842A1"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(3.802)</w:t>
            </w:r>
          </w:p>
        </w:tc>
        <w:tc>
          <w:tcPr>
            <w:tcW w:w="567" w:type="pct"/>
            <w:tcBorders>
              <w:top w:val="nil"/>
              <w:left w:val="nil"/>
              <w:right w:val="nil"/>
            </w:tcBorders>
            <w:shd w:val="clear" w:color="auto" w:fill="auto"/>
          </w:tcPr>
          <w:p w14:paraId="1740E0A0"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(2.799)</w:t>
            </w:r>
          </w:p>
        </w:tc>
        <w:tc>
          <w:tcPr>
            <w:tcW w:w="567" w:type="pct"/>
            <w:tcBorders>
              <w:top w:val="nil"/>
              <w:left w:val="nil"/>
              <w:right w:val="nil"/>
            </w:tcBorders>
            <w:shd w:val="clear" w:color="auto" w:fill="auto"/>
          </w:tcPr>
          <w:p w14:paraId="2EF60E34" w14:textId="77777777" w:rsidR="004E2F51" w:rsidRPr="004B4498"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  </w:t>
            </w:r>
          </w:p>
        </w:tc>
        <w:tc>
          <w:tcPr>
            <w:tcW w:w="567" w:type="pct"/>
            <w:tcBorders>
              <w:top w:val="nil"/>
              <w:left w:val="nil"/>
              <w:right w:val="nil"/>
            </w:tcBorders>
            <w:shd w:val="clear" w:color="auto" w:fill="auto"/>
          </w:tcPr>
          <w:p w14:paraId="308B9D95"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(6.601)</w:t>
            </w:r>
          </w:p>
        </w:tc>
        <w:tc>
          <w:tcPr>
            <w:tcW w:w="671" w:type="pct"/>
            <w:tcBorders>
              <w:top w:val="nil"/>
              <w:left w:val="nil"/>
              <w:right w:val="nil"/>
            </w:tcBorders>
            <w:shd w:val="clear" w:color="auto" w:fill="auto"/>
          </w:tcPr>
          <w:p w14:paraId="77293BE9"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(306)</w:t>
            </w:r>
          </w:p>
        </w:tc>
        <w:tc>
          <w:tcPr>
            <w:tcW w:w="472" w:type="pct"/>
            <w:tcBorders>
              <w:top w:val="nil"/>
              <w:left w:val="nil"/>
              <w:right w:val="nil"/>
            </w:tcBorders>
            <w:shd w:val="clear" w:color="auto" w:fill="auto"/>
          </w:tcPr>
          <w:p w14:paraId="03EC513C" w14:textId="77777777" w:rsidR="004E2F51" w:rsidRPr="00272C9F" w:rsidRDefault="004E2F51" w:rsidP="00E032FC">
            <w:pPr>
              <w:pStyle w:val="Tot"/>
              <w:tabs>
                <w:tab w:val="clear" w:pos="1202"/>
              </w:tabs>
              <w:jc w:val="right"/>
              <w:rPr>
                <w:rFonts w:cs="Arial"/>
                <w:color w:val="000000" w:themeColor="text1"/>
                <w:sz w:val="16"/>
                <w:szCs w:val="16"/>
                <w:lang w:val="hr-HR"/>
              </w:rPr>
            </w:pPr>
            <w:r w:rsidRPr="004E66A7">
              <w:rPr>
                <w:rFonts w:cs="Arial"/>
                <w:color w:val="000000" w:themeColor="text1"/>
                <w:sz w:val="16"/>
                <w:szCs w:val="16"/>
                <w:lang w:val="hr-HR"/>
              </w:rPr>
              <w:t xml:space="preserve"> (6.907)</w:t>
            </w:r>
          </w:p>
        </w:tc>
      </w:tr>
      <w:tr w:rsidR="004E2F51" w:rsidRPr="001B647D" w14:paraId="3444FB81" w14:textId="77777777" w:rsidTr="002D6F0B">
        <w:trPr>
          <w:trHeight w:val="288"/>
        </w:trPr>
        <w:tc>
          <w:tcPr>
            <w:tcW w:w="1005" w:type="pct"/>
            <w:vAlign w:val="bottom"/>
          </w:tcPr>
          <w:p w14:paraId="2501BBD4" w14:textId="77777777" w:rsidR="004E2F51" w:rsidRPr="004B4498" w:rsidRDefault="004E2F51" w:rsidP="00E032FC">
            <w:pPr>
              <w:pStyle w:val="TT"/>
              <w:spacing w:line="240" w:lineRule="exact"/>
              <w:rPr>
                <w:rFonts w:cs="Arial"/>
                <w:color w:val="000000" w:themeColor="text1"/>
                <w:sz w:val="16"/>
                <w:szCs w:val="16"/>
                <w:lang w:val="hr-HR"/>
              </w:rPr>
            </w:pPr>
            <w:r w:rsidRPr="00451BA6">
              <w:rPr>
                <w:rFonts w:cs="Arial"/>
                <w:color w:val="000000" w:themeColor="text1"/>
                <w:sz w:val="16"/>
                <w:szCs w:val="16"/>
                <w:lang w:val="hr-HR"/>
              </w:rPr>
              <w:t>Vraćeno u upotrebu</w:t>
            </w:r>
          </w:p>
        </w:tc>
        <w:tc>
          <w:tcPr>
            <w:tcW w:w="586" w:type="pct"/>
            <w:tcBorders>
              <w:top w:val="nil"/>
              <w:left w:val="nil"/>
              <w:right w:val="nil"/>
            </w:tcBorders>
            <w:shd w:val="clear" w:color="auto" w:fill="auto"/>
            <w:vAlign w:val="bottom"/>
          </w:tcPr>
          <w:p w14:paraId="4E8F7D85" w14:textId="77777777" w:rsidR="004E2F51" w:rsidRPr="00272C9F" w:rsidRDefault="004E2F51" w:rsidP="00E032FC">
            <w:pPr>
              <w:pStyle w:val="Tot"/>
              <w:tabs>
                <w:tab w:val="clear" w:pos="1202"/>
              </w:tabs>
              <w:jc w:val="right"/>
              <w:rPr>
                <w:rFonts w:cs="Arial"/>
                <w:color w:val="000000" w:themeColor="text1"/>
                <w:sz w:val="16"/>
                <w:szCs w:val="16"/>
                <w:lang w:val="hr-HR"/>
              </w:rPr>
            </w:pPr>
            <w:r w:rsidRPr="00B00EAE">
              <w:rPr>
                <w:rFonts w:cs="Arial"/>
                <w:color w:val="000000" w:themeColor="text1"/>
                <w:sz w:val="16"/>
                <w:szCs w:val="16"/>
                <w:lang w:val="hr-HR"/>
              </w:rPr>
              <w:t xml:space="preserve"> - </w:t>
            </w:r>
          </w:p>
        </w:tc>
        <w:tc>
          <w:tcPr>
            <w:tcW w:w="567" w:type="pct"/>
            <w:tcBorders>
              <w:top w:val="nil"/>
              <w:left w:val="nil"/>
              <w:right w:val="nil"/>
            </w:tcBorders>
            <w:shd w:val="clear" w:color="auto" w:fill="auto"/>
            <w:vAlign w:val="bottom"/>
          </w:tcPr>
          <w:p w14:paraId="71CF386C" w14:textId="77777777" w:rsidR="004E2F51" w:rsidRPr="00272C9F" w:rsidRDefault="004E2F51" w:rsidP="00E032FC">
            <w:pPr>
              <w:pStyle w:val="Tot"/>
              <w:tabs>
                <w:tab w:val="clear" w:pos="1202"/>
              </w:tabs>
              <w:jc w:val="right"/>
              <w:rPr>
                <w:rFonts w:cs="Arial"/>
                <w:color w:val="000000" w:themeColor="text1"/>
                <w:sz w:val="16"/>
                <w:szCs w:val="16"/>
                <w:lang w:val="hr-HR"/>
              </w:rPr>
            </w:pPr>
            <w:r w:rsidRPr="00B00EAE">
              <w:rPr>
                <w:rFonts w:cs="Arial"/>
                <w:color w:val="000000" w:themeColor="text1"/>
                <w:sz w:val="16"/>
                <w:szCs w:val="16"/>
                <w:lang w:val="hr-HR"/>
              </w:rPr>
              <w:t xml:space="preserve"> 2 </w:t>
            </w:r>
          </w:p>
        </w:tc>
        <w:tc>
          <w:tcPr>
            <w:tcW w:w="567" w:type="pct"/>
            <w:tcBorders>
              <w:top w:val="nil"/>
              <w:left w:val="nil"/>
              <w:right w:val="nil"/>
            </w:tcBorders>
            <w:shd w:val="clear" w:color="auto" w:fill="auto"/>
            <w:vAlign w:val="bottom"/>
          </w:tcPr>
          <w:p w14:paraId="35B470A9" w14:textId="77777777" w:rsidR="004E2F51" w:rsidRPr="00272C9F" w:rsidRDefault="004E2F51" w:rsidP="00E032FC">
            <w:pPr>
              <w:pStyle w:val="Tot"/>
              <w:tabs>
                <w:tab w:val="clear" w:pos="1202"/>
              </w:tabs>
              <w:jc w:val="right"/>
              <w:rPr>
                <w:rFonts w:cs="Arial"/>
                <w:color w:val="000000" w:themeColor="text1"/>
                <w:sz w:val="16"/>
                <w:szCs w:val="16"/>
                <w:lang w:val="hr-HR"/>
              </w:rPr>
            </w:pPr>
            <w:r w:rsidRPr="00B00EAE">
              <w:rPr>
                <w:rFonts w:cs="Arial"/>
                <w:color w:val="000000" w:themeColor="text1"/>
                <w:sz w:val="16"/>
                <w:szCs w:val="16"/>
                <w:lang w:val="hr-HR"/>
              </w:rPr>
              <w:t xml:space="preserve"> 25 </w:t>
            </w:r>
          </w:p>
        </w:tc>
        <w:tc>
          <w:tcPr>
            <w:tcW w:w="567" w:type="pct"/>
            <w:tcBorders>
              <w:top w:val="nil"/>
              <w:left w:val="nil"/>
              <w:right w:val="nil"/>
            </w:tcBorders>
            <w:shd w:val="clear" w:color="auto" w:fill="auto"/>
            <w:vAlign w:val="bottom"/>
          </w:tcPr>
          <w:p w14:paraId="6652CCBF" w14:textId="77777777" w:rsidR="004E2F51" w:rsidRPr="004B4498" w:rsidDel="005D4FAD" w:rsidRDefault="004E2F51" w:rsidP="00E032FC">
            <w:pPr>
              <w:pStyle w:val="Tot"/>
              <w:tabs>
                <w:tab w:val="clear" w:pos="1202"/>
              </w:tabs>
              <w:jc w:val="right"/>
              <w:rPr>
                <w:rFonts w:cs="Arial"/>
                <w:color w:val="000000" w:themeColor="text1"/>
                <w:sz w:val="16"/>
                <w:szCs w:val="16"/>
                <w:lang w:val="hr-HR"/>
              </w:rPr>
            </w:pPr>
            <w:r w:rsidRPr="00B00EAE">
              <w:rPr>
                <w:rFonts w:cs="Arial"/>
                <w:color w:val="000000" w:themeColor="text1"/>
                <w:sz w:val="16"/>
                <w:szCs w:val="16"/>
                <w:lang w:val="hr-HR"/>
              </w:rPr>
              <w:t xml:space="preserve"> - </w:t>
            </w:r>
          </w:p>
        </w:tc>
        <w:tc>
          <w:tcPr>
            <w:tcW w:w="567" w:type="pct"/>
            <w:tcBorders>
              <w:top w:val="nil"/>
              <w:left w:val="nil"/>
              <w:right w:val="nil"/>
            </w:tcBorders>
            <w:shd w:val="clear" w:color="auto" w:fill="auto"/>
            <w:vAlign w:val="bottom"/>
          </w:tcPr>
          <w:p w14:paraId="1185B4EC" w14:textId="77777777" w:rsidR="004E2F51" w:rsidRPr="00272C9F" w:rsidRDefault="004E2F51" w:rsidP="00E032FC">
            <w:pPr>
              <w:pStyle w:val="Tot"/>
              <w:tabs>
                <w:tab w:val="clear" w:pos="1202"/>
              </w:tabs>
              <w:jc w:val="right"/>
              <w:rPr>
                <w:rFonts w:cs="Arial"/>
                <w:color w:val="000000" w:themeColor="text1"/>
                <w:sz w:val="16"/>
                <w:szCs w:val="16"/>
                <w:lang w:val="hr-HR"/>
              </w:rPr>
            </w:pPr>
            <w:r w:rsidRPr="00B00EAE">
              <w:rPr>
                <w:rFonts w:cs="Arial"/>
                <w:color w:val="000000" w:themeColor="text1"/>
                <w:sz w:val="16"/>
                <w:szCs w:val="16"/>
                <w:lang w:val="hr-HR"/>
              </w:rPr>
              <w:t xml:space="preserve"> 27 </w:t>
            </w:r>
          </w:p>
        </w:tc>
        <w:tc>
          <w:tcPr>
            <w:tcW w:w="671" w:type="pct"/>
            <w:tcBorders>
              <w:top w:val="nil"/>
              <w:left w:val="nil"/>
              <w:right w:val="nil"/>
            </w:tcBorders>
            <w:shd w:val="clear" w:color="auto" w:fill="auto"/>
            <w:vAlign w:val="bottom"/>
          </w:tcPr>
          <w:p w14:paraId="517A8D09" w14:textId="77777777" w:rsidR="004E2F51" w:rsidRPr="00272C9F" w:rsidRDefault="004E2F51" w:rsidP="00E032FC">
            <w:pPr>
              <w:pStyle w:val="Tot"/>
              <w:tabs>
                <w:tab w:val="clear" w:pos="1202"/>
              </w:tabs>
              <w:jc w:val="right"/>
              <w:rPr>
                <w:rFonts w:cs="Arial"/>
                <w:color w:val="000000" w:themeColor="text1"/>
                <w:sz w:val="16"/>
                <w:szCs w:val="16"/>
                <w:lang w:val="hr-HR"/>
              </w:rPr>
            </w:pPr>
            <w:r>
              <w:rPr>
                <w:rFonts w:cs="Arial"/>
                <w:color w:val="000000" w:themeColor="text1"/>
                <w:sz w:val="16"/>
                <w:szCs w:val="16"/>
                <w:lang w:val="hr-HR"/>
              </w:rPr>
              <w:t>-</w:t>
            </w:r>
          </w:p>
        </w:tc>
        <w:tc>
          <w:tcPr>
            <w:tcW w:w="472" w:type="pct"/>
            <w:tcBorders>
              <w:top w:val="nil"/>
              <w:left w:val="nil"/>
              <w:right w:val="nil"/>
            </w:tcBorders>
            <w:shd w:val="clear" w:color="auto" w:fill="auto"/>
            <w:vAlign w:val="bottom"/>
          </w:tcPr>
          <w:p w14:paraId="65818129" w14:textId="77777777" w:rsidR="004E2F51" w:rsidRPr="00272C9F" w:rsidRDefault="004E2F51" w:rsidP="00E032FC">
            <w:pPr>
              <w:pStyle w:val="Tot"/>
              <w:tabs>
                <w:tab w:val="clear" w:pos="1202"/>
              </w:tabs>
              <w:jc w:val="right"/>
              <w:rPr>
                <w:rFonts w:cs="Arial"/>
                <w:color w:val="000000" w:themeColor="text1"/>
                <w:sz w:val="16"/>
                <w:szCs w:val="16"/>
                <w:lang w:val="hr-HR"/>
              </w:rPr>
            </w:pPr>
            <w:r w:rsidRPr="00B00EAE">
              <w:rPr>
                <w:rFonts w:cs="Arial"/>
                <w:color w:val="000000" w:themeColor="text1"/>
                <w:sz w:val="16"/>
                <w:szCs w:val="16"/>
                <w:lang w:val="hr-HR"/>
              </w:rPr>
              <w:t xml:space="preserve"> 27 </w:t>
            </w:r>
          </w:p>
        </w:tc>
      </w:tr>
      <w:tr w:rsidR="004E2F51" w:rsidRPr="001B647D" w14:paraId="7F61F849" w14:textId="77777777" w:rsidTr="002D6F0B">
        <w:trPr>
          <w:trHeight w:val="504"/>
        </w:trPr>
        <w:tc>
          <w:tcPr>
            <w:tcW w:w="1005" w:type="pct"/>
            <w:vAlign w:val="bottom"/>
          </w:tcPr>
          <w:p w14:paraId="55715622" w14:textId="77777777" w:rsidR="004E2F51" w:rsidRPr="004B4498" w:rsidRDefault="004E2F51" w:rsidP="00E032FC">
            <w:pPr>
              <w:pStyle w:val="Tot"/>
              <w:spacing w:line="240" w:lineRule="exact"/>
              <w:rPr>
                <w:rFonts w:cs="Arial"/>
                <w:b/>
                <w:bCs/>
                <w:color w:val="000000" w:themeColor="text1"/>
                <w:sz w:val="16"/>
                <w:szCs w:val="16"/>
                <w:lang w:val="hr-HR"/>
              </w:rPr>
            </w:pPr>
            <w:bookmarkStart w:id="1115" w:name="_Toc67328334"/>
            <w:r w:rsidRPr="004B4498">
              <w:rPr>
                <w:rFonts w:cs="Arial"/>
                <w:b/>
                <w:bCs/>
                <w:color w:val="000000" w:themeColor="text1"/>
                <w:sz w:val="16"/>
                <w:szCs w:val="16"/>
                <w:lang w:val="hr-HR"/>
              </w:rPr>
              <w:t>Stanje</w:t>
            </w:r>
            <w:bookmarkEnd w:id="1115"/>
            <w:r w:rsidRPr="004B4498">
              <w:rPr>
                <w:rFonts w:cs="Arial"/>
                <w:b/>
                <w:bCs/>
                <w:color w:val="000000" w:themeColor="text1"/>
                <w:sz w:val="16"/>
                <w:szCs w:val="16"/>
                <w:lang w:val="hr-HR"/>
              </w:rPr>
              <w:t xml:space="preserve"> </w:t>
            </w:r>
          </w:p>
          <w:p w14:paraId="7802411F" w14:textId="77777777" w:rsidR="004E2F51" w:rsidRPr="004B4498" w:rsidRDefault="004E2F51" w:rsidP="00E032FC">
            <w:pPr>
              <w:pStyle w:val="Tot"/>
              <w:spacing w:line="240" w:lineRule="exact"/>
              <w:rPr>
                <w:rFonts w:cs="Arial"/>
                <w:b/>
                <w:bCs/>
                <w:color w:val="000000" w:themeColor="text1"/>
                <w:sz w:val="16"/>
                <w:szCs w:val="16"/>
                <w:lang w:val="hr-HR"/>
              </w:rPr>
            </w:pPr>
            <w:bookmarkStart w:id="1116" w:name="_Toc67328335"/>
            <w:r w:rsidRPr="004B4498">
              <w:rPr>
                <w:rFonts w:cs="Arial"/>
                <w:b/>
                <w:bCs/>
                <w:color w:val="000000" w:themeColor="text1"/>
                <w:sz w:val="16"/>
                <w:szCs w:val="16"/>
                <w:lang w:val="hr-HR"/>
              </w:rPr>
              <w:t>31. prosinca 202</w:t>
            </w:r>
            <w:r>
              <w:rPr>
                <w:rFonts w:cs="Arial"/>
                <w:b/>
                <w:bCs/>
                <w:color w:val="000000" w:themeColor="text1"/>
                <w:sz w:val="16"/>
                <w:szCs w:val="16"/>
                <w:lang w:val="hr-HR"/>
              </w:rPr>
              <w:t>2</w:t>
            </w:r>
            <w:r w:rsidRPr="004B4498">
              <w:rPr>
                <w:rFonts w:cs="Arial"/>
                <w:b/>
                <w:bCs/>
                <w:color w:val="000000" w:themeColor="text1"/>
                <w:sz w:val="16"/>
                <w:szCs w:val="16"/>
                <w:lang w:val="hr-HR"/>
              </w:rPr>
              <w:t>.</w:t>
            </w:r>
            <w:bookmarkEnd w:id="1116"/>
          </w:p>
        </w:tc>
        <w:tc>
          <w:tcPr>
            <w:tcW w:w="586" w:type="pct"/>
            <w:tcBorders>
              <w:top w:val="single" w:sz="4" w:space="0" w:color="auto"/>
              <w:left w:val="nil"/>
              <w:bottom w:val="single" w:sz="12" w:space="0" w:color="auto"/>
              <w:right w:val="nil"/>
            </w:tcBorders>
            <w:shd w:val="clear" w:color="auto" w:fill="auto"/>
            <w:vAlign w:val="bottom"/>
          </w:tcPr>
          <w:p w14:paraId="09893C40"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48.988 </w:t>
            </w:r>
          </w:p>
        </w:tc>
        <w:tc>
          <w:tcPr>
            <w:tcW w:w="567" w:type="pct"/>
            <w:tcBorders>
              <w:top w:val="single" w:sz="4" w:space="0" w:color="auto"/>
              <w:left w:val="nil"/>
              <w:bottom w:val="single" w:sz="12" w:space="0" w:color="auto"/>
              <w:right w:val="nil"/>
            </w:tcBorders>
            <w:shd w:val="clear" w:color="auto" w:fill="auto"/>
            <w:vAlign w:val="bottom"/>
          </w:tcPr>
          <w:p w14:paraId="70D90BA2"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9.835 </w:t>
            </w:r>
          </w:p>
        </w:tc>
        <w:tc>
          <w:tcPr>
            <w:tcW w:w="567" w:type="pct"/>
            <w:tcBorders>
              <w:top w:val="single" w:sz="4" w:space="0" w:color="auto"/>
              <w:left w:val="nil"/>
              <w:bottom w:val="single" w:sz="12" w:space="0" w:color="auto"/>
              <w:right w:val="nil"/>
            </w:tcBorders>
            <w:shd w:val="clear" w:color="auto" w:fill="auto"/>
            <w:vAlign w:val="bottom"/>
          </w:tcPr>
          <w:p w14:paraId="51A04262"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8.859 </w:t>
            </w:r>
          </w:p>
        </w:tc>
        <w:tc>
          <w:tcPr>
            <w:tcW w:w="567" w:type="pct"/>
            <w:tcBorders>
              <w:top w:val="single" w:sz="4" w:space="0" w:color="auto"/>
              <w:left w:val="nil"/>
              <w:bottom w:val="single" w:sz="12" w:space="0" w:color="auto"/>
              <w:right w:val="nil"/>
            </w:tcBorders>
            <w:shd w:val="clear" w:color="auto" w:fill="auto"/>
            <w:vAlign w:val="bottom"/>
          </w:tcPr>
          <w:p w14:paraId="0C1F7F40"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 </w:t>
            </w:r>
          </w:p>
        </w:tc>
        <w:tc>
          <w:tcPr>
            <w:tcW w:w="567" w:type="pct"/>
            <w:tcBorders>
              <w:top w:val="single" w:sz="4" w:space="0" w:color="auto"/>
              <w:left w:val="nil"/>
              <w:bottom w:val="single" w:sz="12" w:space="0" w:color="auto"/>
              <w:right w:val="nil"/>
            </w:tcBorders>
            <w:shd w:val="clear" w:color="auto" w:fill="auto"/>
            <w:vAlign w:val="bottom"/>
          </w:tcPr>
          <w:p w14:paraId="2F615EF7"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67.682 </w:t>
            </w:r>
          </w:p>
        </w:tc>
        <w:tc>
          <w:tcPr>
            <w:tcW w:w="671" w:type="pct"/>
            <w:tcBorders>
              <w:top w:val="single" w:sz="4" w:space="0" w:color="auto"/>
              <w:left w:val="nil"/>
              <w:bottom w:val="single" w:sz="12" w:space="0" w:color="auto"/>
              <w:right w:val="nil"/>
            </w:tcBorders>
            <w:shd w:val="clear" w:color="auto" w:fill="auto"/>
            <w:vAlign w:val="bottom"/>
          </w:tcPr>
          <w:p w14:paraId="458503B8"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31.958 </w:t>
            </w:r>
          </w:p>
        </w:tc>
        <w:tc>
          <w:tcPr>
            <w:tcW w:w="472" w:type="pct"/>
            <w:tcBorders>
              <w:top w:val="single" w:sz="4" w:space="0" w:color="auto"/>
              <w:left w:val="nil"/>
              <w:bottom w:val="single" w:sz="12" w:space="0" w:color="auto"/>
              <w:right w:val="nil"/>
            </w:tcBorders>
            <w:shd w:val="clear" w:color="auto" w:fill="auto"/>
            <w:vAlign w:val="bottom"/>
          </w:tcPr>
          <w:p w14:paraId="1AEC8974"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99.640 </w:t>
            </w:r>
          </w:p>
        </w:tc>
      </w:tr>
      <w:tr w:rsidR="004E2F51" w:rsidRPr="001B647D" w14:paraId="1A73F8D4" w14:textId="77777777" w:rsidTr="002D6F0B">
        <w:trPr>
          <w:trHeight w:val="142"/>
        </w:trPr>
        <w:tc>
          <w:tcPr>
            <w:tcW w:w="1005" w:type="pct"/>
            <w:vAlign w:val="bottom"/>
          </w:tcPr>
          <w:p w14:paraId="6C7EFDDB" w14:textId="77777777" w:rsidR="004E2F51" w:rsidRPr="004B4498" w:rsidRDefault="004E2F51" w:rsidP="00E032FC">
            <w:pPr>
              <w:pStyle w:val="Tot"/>
              <w:spacing w:line="140" w:lineRule="exact"/>
              <w:rPr>
                <w:rFonts w:cs="Arial"/>
                <w:b/>
                <w:bCs/>
                <w:color w:val="000000" w:themeColor="text1"/>
                <w:sz w:val="16"/>
                <w:szCs w:val="16"/>
                <w:lang w:val="hr-HR"/>
              </w:rPr>
            </w:pPr>
          </w:p>
        </w:tc>
        <w:tc>
          <w:tcPr>
            <w:tcW w:w="586" w:type="pct"/>
            <w:tcBorders>
              <w:top w:val="single" w:sz="12" w:space="0" w:color="auto"/>
            </w:tcBorders>
            <w:vAlign w:val="bottom"/>
          </w:tcPr>
          <w:p w14:paraId="5EDDA5C8" w14:textId="77777777" w:rsidR="004E2F51" w:rsidRPr="004B4498" w:rsidRDefault="004E2F51" w:rsidP="00E032FC">
            <w:pPr>
              <w:pStyle w:val="Tot"/>
              <w:tabs>
                <w:tab w:val="clear" w:pos="1202"/>
              </w:tabs>
              <w:spacing w:line="140" w:lineRule="exact"/>
              <w:jc w:val="right"/>
              <w:rPr>
                <w:rFonts w:cs="Arial"/>
                <w:b/>
                <w:bCs/>
                <w:color w:val="000000" w:themeColor="text1"/>
                <w:sz w:val="16"/>
                <w:szCs w:val="16"/>
                <w:highlight w:val="yellow"/>
                <w:lang w:val="hr-HR"/>
              </w:rPr>
            </w:pPr>
          </w:p>
        </w:tc>
        <w:tc>
          <w:tcPr>
            <w:tcW w:w="567" w:type="pct"/>
            <w:tcBorders>
              <w:top w:val="single" w:sz="12" w:space="0" w:color="auto"/>
            </w:tcBorders>
            <w:vAlign w:val="bottom"/>
          </w:tcPr>
          <w:p w14:paraId="782DC0CB" w14:textId="77777777" w:rsidR="004E2F51" w:rsidRPr="004B4498" w:rsidRDefault="004E2F51" w:rsidP="00E032FC">
            <w:pPr>
              <w:pStyle w:val="Tot"/>
              <w:tabs>
                <w:tab w:val="clear" w:pos="1202"/>
              </w:tabs>
              <w:spacing w:line="140" w:lineRule="exact"/>
              <w:jc w:val="right"/>
              <w:rPr>
                <w:rFonts w:cs="Arial"/>
                <w:b/>
                <w:bCs/>
                <w:color w:val="000000" w:themeColor="text1"/>
                <w:sz w:val="16"/>
                <w:szCs w:val="16"/>
                <w:highlight w:val="yellow"/>
                <w:lang w:val="hr-HR"/>
              </w:rPr>
            </w:pPr>
          </w:p>
        </w:tc>
        <w:tc>
          <w:tcPr>
            <w:tcW w:w="567" w:type="pct"/>
            <w:tcBorders>
              <w:top w:val="single" w:sz="12" w:space="0" w:color="auto"/>
            </w:tcBorders>
            <w:vAlign w:val="bottom"/>
          </w:tcPr>
          <w:p w14:paraId="0E4A3578" w14:textId="77777777" w:rsidR="004E2F51" w:rsidRPr="004B4498" w:rsidRDefault="004E2F51" w:rsidP="00E032FC">
            <w:pPr>
              <w:pStyle w:val="Tot"/>
              <w:tabs>
                <w:tab w:val="clear" w:pos="1202"/>
              </w:tabs>
              <w:spacing w:line="140" w:lineRule="exact"/>
              <w:jc w:val="right"/>
              <w:rPr>
                <w:rFonts w:cs="Arial"/>
                <w:b/>
                <w:bCs/>
                <w:color w:val="000000" w:themeColor="text1"/>
                <w:sz w:val="16"/>
                <w:szCs w:val="16"/>
                <w:highlight w:val="yellow"/>
                <w:lang w:val="hr-HR"/>
              </w:rPr>
            </w:pPr>
          </w:p>
        </w:tc>
        <w:tc>
          <w:tcPr>
            <w:tcW w:w="567" w:type="pct"/>
            <w:tcBorders>
              <w:top w:val="single" w:sz="12" w:space="0" w:color="auto"/>
            </w:tcBorders>
            <w:vAlign w:val="bottom"/>
          </w:tcPr>
          <w:p w14:paraId="4FF1EAAD" w14:textId="77777777" w:rsidR="004E2F51" w:rsidRPr="004B4498" w:rsidRDefault="004E2F51" w:rsidP="00E032FC">
            <w:pPr>
              <w:pStyle w:val="Tot"/>
              <w:tabs>
                <w:tab w:val="clear" w:pos="1202"/>
              </w:tabs>
              <w:spacing w:line="140" w:lineRule="exact"/>
              <w:jc w:val="right"/>
              <w:rPr>
                <w:rFonts w:cs="Arial"/>
                <w:b/>
                <w:bCs/>
                <w:color w:val="000000" w:themeColor="text1"/>
                <w:sz w:val="16"/>
                <w:szCs w:val="16"/>
                <w:highlight w:val="yellow"/>
                <w:lang w:val="hr-HR"/>
              </w:rPr>
            </w:pPr>
          </w:p>
        </w:tc>
        <w:tc>
          <w:tcPr>
            <w:tcW w:w="567" w:type="pct"/>
            <w:tcBorders>
              <w:top w:val="single" w:sz="12" w:space="0" w:color="auto"/>
            </w:tcBorders>
            <w:vAlign w:val="bottom"/>
          </w:tcPr>
          <w:p w14:paraId="0EC4BD87" w14:textId="77777777" w:rsidR="004E2F51" w:rsidRPr="004B4498" w:rsidRDefault="004E2F51" w:rsidP="00E032FC">
            <w:pPr>
              <w:pStyle w:val="Tot"/>
              <w:tabs>
                <w:tab w:val="clear" w:pos="1202"/>
              </w:tabs>
              <w:spacing w:line="140" w:lineRule="exact"/>
              <w:jc w:val="right"/>
              <w:rPr>
                <w:rFonts w:cs="Arial"/>
                <w:b/>
                <w:bCs/>
                <w:color w:val="000000" w:themeColor="text1"/>
                <w:sz w:val="16"/>
                <w:szCs w:val="16"/>
                <w:highlight w:val="yellow"/>
                <w:lang w:val="hr-HR"/>
              </w:rPr>
            </w:pPr>
          </w:p>
        </w:tc>
        <w:tc>
          <w:tcPr>
            <w:tcW w:w="671" w:type="pct"/>
            <w:tcBorders>
              <w:top w:val="single" w:sz="12" w:space="0" w:color="auto"/>
            </w:tcBorders>
            <w:vAlign w:val="bottom"/>
          </w:tcPr>
          <w:p w14:paraId="2CA78CE1" w14:textId="77777777" w:rsidR="004E2F51" w:rsidRPr="004B4498" w:rsidRDefault="004E2F51" w:rsidP="00E032FC">
            <w:pPr>
              <w:pStyle w:val="Tot"/>
              <w:tabs>
                <w:tab w:val="clear" w:pos="1202"/>
              </w:tabs>
              <w:spacing w:line="140" w:lineRule="exact"/>
              <w:jc w:val="right"/>
              <w:rPr>
                <w:rFonts w:cs="Arial"/>
                <w:b/>
                <w:bCs/>
                <w:color w:val="000000" w:themeColor="text1"/>
                <w:sz w:val="16"/>
                <w:szCs w:val="16"/>
                <w:highlight w:val="yellow"/>
                <w:lang w:val="hr-HR"/>
              </w:rPr>
            </w:pPr>
          </w:p>
        </w:tc>
        <w:tc>
          <w:tcPr>
            <w:tcW w:w="472" w:type="pct"/>
            <w:tcBorders>
              <w:top w:val="single" w:sz="12" w:space="0" w:color="auto"/>
            </w:tcBorders>
            <w:vAlign w:val="bottom"/>
          </w:tcPr>
          <w:p w14:paraId="32D46D5B" w14:textId="77777777" w:rsidR="004E2F51" w:rsidRPr="004B4498" w:rsidRDefault="004E2F51" w:rsidP="00E032FC">
            <w:pPr>
              <w:pStyle w:val="Tot"/>
              <w:tabs>
                <w:tab w:val="clear" w:pos="1202"/>
              </w:tabs>
              <w:spacing w:line="140" w:lineRule="exact"/>
              <w:jc w:val="right"/>
              <w:rPr>
                <w:rFonts w:cs="Arial"/>
                <w:b/>
                <w:bCs/>
                <w:color w:val="000000" w:themeColor="text1"/>
                <w:sz w:val="16"/>
                <w:szCs w:val="16"/>
                <w:highlight w:val="yellow"/>
                <w:lang w:val="hr-HR"/>
              </w:rPr>
            </w:pPr>
          </w:p>
        </w:tc>
      </w:tr>
      <w:tr w:rsidR="004E2F51" w:rsidRPr="001B647D" w14:paraId="77F45B65" w14:textId="77777777" w:rsidTr="002D6F0B">
        <w:trPr>
          <w:trHeight w:val="321"/>
        </w:trPr>
        <w:tc>
          <w:tcPr>
            <w:tcW w:w="1005" w:type="pct"/>
            <w:vAlign w:val="bottom"/>
          </w:tcPr>
          <w:p w14:paraId="6E1D9C67" w14:textId="77777777" w:rsidR="004E2F51" w:rsidRPr="004B4498" w:rsidRDefault="004E2F51" w:rsidP="00E032FC">
            <w:pPr>
              <w:pStyle w:val="Tot"/>
              <w:spacing w:line="240" w:lineRule="exact"/>
              <w:rPr>
                <w:rFonts w:cs="Arial"/>
                <w:b/>
                <w:bCs/>
                <w:color w:val="000000" w:themeColor="text1"/>
                <w:sz w:val="16"/>
                <w:szCs w:val="16"/>
                <w:lang w:val="hr-HR"/>
              </w:rPr>
            </w:pPr>
            <w:bookmarkStart w:id="1117" w:name="_Toc67328343"/>
            <w:r w:rsidRPr="004B4498">
              <w:rPr>
                <w:rFonts w:cs="Arial"/>
                <w:b/>
                <w:bCs/>
                <w:color w:val="000000" w:themeColor="text1"/>
                <w:sz w:val="16"/>
                <w:szCs w:val="16"/>
                <w:lang w:val="hr-HR"/>
              </w:rPr>
              <w:t>Neto knjigovodstvena vrijednost</w:t>
            </w:r>
            <w:bookmarkEnd w:id="1117"/>
            <w:r w:rsidRPr="004B4498">
              <w:rPr>
                <w:rFonts w:cs="Arial"/>
                <w:b/>
                <w:bCs/>
                <w:color w:val="000000" w:themeColor="text1"/>
                <w:sz w:val="16"/>
                <w:szCs w:val="16"/>
                <w:lang w:val="hr-HR"/>
              </w:rPr>
              <w:t xml:space="preserve"> </w:t>
            </w:r>
          </w:p>
          <w:p w14:paraId="01060EE3" w14:textId="77777777" w:rsidR="004E2F51" w:rsidRPr="004B4498" w:rsidRDefault="004E2F51" w:rsidP="00E032FC">
            <w:pPr>
              <w:pStyle w:val="Tot"/>
              <w:spacing w:line="240" w:lineRule="exact"/>
              <w:rPr>
                <w:rFonts w:cs="Arial"/>
                <w:b/>
                <w:bCs/>
                <w:color w:val="000000" w:themeColor="text1"/>
                <w:sz w:val="16"/>
                <w:szCs w:val="16"/>
                <w:lang w:val="hr-HR"/>
              </w:rPr>
            </w:pPr>
            <w:bookmarkStart w:id="1118" w:name="_Toc67328344"/>
            <w:r w:rsidRPr="004B4498">
              <w:rPr>
                <w:rFonts w:cs="Arial"/>
                <w:b/>
                <w:bCs/>
                <w:color w:val="000000" w:themeColor="text1"/>
                <w:sz w:val="16"/>
                <w:szCs w:val="16"/>
                <w:lang w:val="hr-HR"/>
              </w:rPr>
              <w:t>31. prosinca 202</w:t>
            </w:r>
            <w:r>
              <w:rPr>
                <w:rFonts w:cs="Arial"/>
                <w:b/>
                <w:bCs/>
                <w:color w:val="000000" w:themeColor="text1"/>
                <w:sz w:val="16"/>
                <w:szCs w:val="16"/>
                <w:lang w:val="hr-HR"/>
              </w:rPr>
              <w:t>2</w:t>
            </w:r>
            <w:r w:rsidRPr="004B4498">
              <w:rPr>
                <w:rFonts w:cs="Arial"/>
                <w:b/>
                <w:bCs/>
                <w:color w:val="000000" w:themeColor="text1"/>
                <w:sz w:val="16"/>
                <w:szCs w:val="16"/>
                <w:lang w:val="hr-HR"/>
              </w:rPr>
              <w:t>.</w:t>
            </w:r>
            <w:bookmarkEnd w:id="1118"/>
          </w:p>
        </w:tc>
        <w:tc>
          <w:tcPr>
            <w:tcW w:w="586" w:type="pct"/>
            <w:tcBorders>
              <w:top w:val="nil"/>
              <w:left w:val="nil"/>
              <w:bottom w:val="single" w:sz="12" w:space="0" w:color="auto"/>
              <w:right w:val="nil"/>
            </w:tcBorders>
            <w:shd w:val="clear" w:color="auto" w:fill="auto"/>
            <w:vAlign w:val="bottom"/>
          </w:tcPr>
          <w:p w14:paraId="6075CA7E"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29.032 </w:t>
            </w:r>
          </w:p>
        </w:tc>
        <w:tc>
          <w:tcPr>
            <w:tcW w:w="567" w:type="pct"/>
            <w:tcBorders>
              <w:top w:val="nil"/>
              <w:left w:val="nil"/>
              <w:bottom w:val="single" w:sz="12" w:space="0" w:color="auto"/>
              <w:right w:val="nil"/>
            </w:tcBorders>
            <w:shd w:val="clear" w:color="auto" w:fill="auto"/>
            <w:vAlign w:val="bottom"/>
          </w:tcPr>
          <w:p w14:paraId="21E62E2D"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706 </w:t>
            </w:r>
          </w:p>
        </w:tc>
        <w:tc>
          <w:tcPr>
            <w:tcW w:w="567" w:type="pct"/>
            <w:tcBorders>
              <w:top w:val="nil"/>
              <w:left w:val="nil"/>
              <w:bottom w:val="single" w:sz="12" w:space="0" w:color="auto"/>
              <w:right w:val="nil"/>
            </w:tcBorders>
            <w:shd w:val="clear" w:color="auto" w:fill="auto"/>
            <w:vAlign w:val="bottom"/>
          </w:tcPr>
          <w:p w14:paraId="16863098"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2.948 </w:t>
            </w:r>
          </w:p>
        </w:tc>
        <w:tc>
          <w:tcPr>
            <w:tcW w:w="567" w:type="pct"/>
            <w:tcBorders>
              <w:top w:val="nil"/>
              <w:left w:val="nil"/>
              <w:bottom w:val="single" w:sz="12" w:space="0" w:color="auto"/>
              <w:right w:val="nil"/>
            </w:tcBorders>
            <w:shd w:val="clear" w:color="auto" w:fill="auto"/>
            <w:vAlign w:val="bottom"/>
          </w:tcPr>
          <w:p w14:paraId="3502EC32"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63 </w:t>
            </w:r>
          </w:p>
        </w:tc>
        <w:tc>
          <w:tcPr>
            <w:tcW w:w="567" w:type="pct"/>
            <w:tcBorders>
              <w:top w:val="nil"/>
              <w:left w:val="nil"/>
              <w:bottom w:val="single" w:sz="12" w:space="0" w:color="auto"/>
              <w:right w:val="nil"/>
            </w:tcBorders>
            <w:shd w:val="clear" w:color="auto" w:fill="auto"/>
            <w:vAlign w:val="bottom"/>
          </w:tcPr>
          <w:p w14:paraId="4C2BFDC0"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32.749 </w:t>
            </w:r>
          </w:p>
        </w:tc>
        <w:tc>
          <w:tcPr>
            <w:tcW w:w="671" w:type="pct"/>
            <w:tcBorders>
              <w:top w:val="nil"/>
              <w:left w:val="nil"/>
              <w:bottom w:val="single" w:sz="12" w:space="0" w:color="auto"/>
              <w:right w:val="nil"/>
            </w:tcBorders>
            <w:shd w:val="clear" w:color="auto" w:fill="auto"/>
            <w:vAlign w:val="bottom"/>
          </w:tcPr>
          <w:p w14:paraId="4EB28272"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6.082 </w:t>
            </w:r>
          </w:p>
        </w:tc>
        <w:tc>
          <w:tcPr>
            <w:tcW w:w="472" w:type="pct"/>
            <w:tcBorders>
              <w:top w:val="nil"/>
              <w:left w:val="nil"/>
              <w:bottom w:val="single" w:sz="12" w:space="0" w:color="auto"/>
              <w:right w:val="nil"/>
            </w:tcBorders>
            <w:shd w:val="clear" w:color="auto" w:fill="auto"/>
            <w:vAlign w:val="bottom"/>
          </w:tcPr>
          <w:p w14:paraId="31432522" w14:textId="77777777" w:rsidR="004E2F51" w:rsidRPr="004E66A7" w:rsidRDefault="004E2F51" w:rsidP="00E032FC">
            <w:pPr>
              <w:pStyle w:val="Tot"/>
              <w:tabs>
                <w:tab w:val="clear" w:pos="1202"/>
              </w:tabs>
              <w:jc w:val="right"/>
              <w:rPr>
                <w:rFonts w:cs="Arial"/>
                <w:b/>
                <w:bCs/>
                <w:sz w:val="16"/>
                <w:szCs w:val="16"/>
              </w:rPr>
            </w:pPr>
            <w:r w:rsidRPr="004E66A7">
              <w:rPr>
                <w:rFonts w:cs="Arial"/>
                <w:b/>
                <w:bCs/>
                <w:sz w:val="16"/>
                <w:szCs w:val="16"/>
              </w:rPr>
              <w:t xml:space="preserve"> 38.831 </w:t>
            </w:r>
          </w:p>
        </w:tc>
      </w:tr>
      <w:tr w:rsidR="004E2F51" w:rsidRPr="001B647D" w14:paraId="050CCCD1" w14:textId="77777777" w:rsidTr="002D6F0B">
        <w:trPr>
          <w:trHeight w:val="689"/>
        </w:trPr>
        <w:tc>
          <w:tcPr>
            <w:tcW w:w="1005" w:type="pct"/>
            <w:vAlign w:val="bottom"/>
          </w:tcPr>
          <w:p w14:paraId="74632DEB" w14:textId="77777777" w:rsidR="004E2F51" w:rsidRPr="004B4498" w:rsidRDefault="004E2F51" w:rsidP="00E032FC">
            <w:pPr>
              <w:pStyle w:val="Tot"/>
              <w:spacing w:line="240" w:lineRule="exact"/>
              <w:rPr>
                <w:rFonts w:cs="Arial"/>
                <w:b/>
                <w:bCs/>
                <w:color w:val="000000" w:themeColor="text1"/>
                <w:sz w:val="16"/>
                <w:szCs w:val="16"/>
                <w:lang w:val="hr-HR"/>
              </w:rPr>
            </w:pPr>
            <w:bookmarkStart w:id="1119" w:name="_Toc67328352"/>
            <w:r w:rsidRPr="004B4498">
              <w:rPr>
                <w:rFonts w:cs="Arial"/>
                <w:b/>
                <w:bCs/>
                <w:color w:val="000000" w:themeColor="text1"/>
                <w:sz w:val="16"/>
                <w:szCs w:val="16"/>
                <w:lang w:val="hr-HR"/>
              </w:rPr>
              <w:t>Neto knjigovodstvena vrijednost</w:t>
            </w:r>
            <w:bookmarkEnd w:id="1119"/>
            <w:r w:rsidRPr="004B4498">
              <w:rPr>
                <w:rFonts w:cs="Arial"/>
                <w:b/>
                <w:bCs/>
                <w:color w:val="000000" w:themeColor="text1"/>
                <w:sz w:val="16"/>
                <w:szCs w:val="16"/>
                <w:lang w:val="hr-HR"/>
              </w:rPr>
              <w:t xml:space="preserve"> </w:t>
            </w:r>
          </w:p>
          <w:p w14:paraId="1BE596DF" w14:textId="77777777" w:rsidR="004E2F51" w:rsidRPr="004B4498" w:rsidRDefault="004E2F51" w:rsidP="00E032FC">
            <w:pPr>
              <w:pStyle w:val="Tot"/>
              <w:spacing w:line="240" w:lineRule="exact"/>
              <w:rPr>
                <w:rFonts w:cs="Arial"/>
                <w:b/>
                <w:bCs/>
                <w:color w:val="000000" w:themeColor="text1"/>
                <w:sz w:val="16"/>
                <w:szCs w:val="16"/>
                <w:lang w:val="hr-HR"/>
              </w:rPr>
            </w:pPr>
            <w:bookmarkStart w:id="1120" w:name="_Toc67328353"/>
            <w:r w:rsidRPr="004B4498">
              <w:rPr>
                <w:rFonts w:cs="Arial"/>
                <w:b/>
                <w:bCs/>
                <w:color w:val="000000" w:themeColor="text1"/>
                <w:sz w:val="16"/>
                <w:szCs w:val="16"/>
                <w:lang w:val="hr-HR"/>
              </w:rPr>
              <w:t>31. prosinca 202</w:t>
            </w:r>
            <w:r>
              <w:rPr>
                <w:rFonts w:cs="Arial"/>
                <w:b/>
                <w:bCs/>
                <w:color w:val="000000" w:themeColor="text1"/>
                <w:sz w:val="16"/>
                <w:szCs w:val="16"/>
                <w:lang w:val="hr-HR"/>
              </w:rPr>
              <w:t>1</w:t>
            </w:r>
            <w:r w:rsidRPr="004B4498">
              <w:rPr>
                <w:rFonts w:cs="Arial"/>
                <w:b/>
                <w:bCs/>
                <w:color w:val="000000" w:themeColor="text1"/>
                <w:sz w:val="16"/>
                <w:szCs w:val="16"/>
                <w:lang w:val="hr-HR"/>
              </w:rPr>
              <w:t>.</w:t>
            </w:r>
            <w:bookmarkEnd w:id="1120"/>
          </w:p>
        </w:tc>
        <w:tc>
          <w:tcPr>
            <w:tcW w:w="586" w:type="pct"/>
            <w:tcBorders>
              <w:top w:val="nil"/>
              <w:left w:val="nil"/>
              <w:bottom w:val="single" w:sz="12" w:space="0" w:color="auto"/>
              <w:right w:val="nil"/>
            </w:tcBorders>
            <w:shd w:val="clear" w:color="auto" w:fill="auto"/>
            <w:vAlign w:val="bottom"/>
          </w:tcPr>
          <w:p w14:paraId="51D99E49"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33.049 </w:t>
            </w:r>
          </w:p>
        </w:tc>
        <w:tc>
          <w:tcPr>
            <w:tcW w:w="567" w:type="pct"/>
            <w:tcBorders>
              <w:top w:val="nil"/>
              <w:left w:val="nil"/>
              <w:bottom w:val="single" w:sz="12" w:space="0" w:color="auto"/>
              <w:right w:val="nil"/>
            </w:tcBorders>
            <w:shd w:val="clear" w:color="auto" w:fill="auto"/>
            <w:vAlign w:val="bottom"/>
          </w:tcPr>
          <w:p w14:paraId="249A35FB"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2.326 </w:t>
            </w:r>
          </w:p>
        </w:tc>
        <w:tc>
          <w:tcPr>
            <w:tcW w:w="567" w:type="pct"/>
            <w:tcBorders>
              <w:top w:val="nil"/>
              <w:left w:val="nil"/>
              <w:bottom w:val="single" w:sz="12" w:space="0" w:color="auto"/>
              <w:right w:val="nil"/>
            </w:tcBorders>
            <w:shd w:val="clear" w:color="auto" w:fill="auto"/>
            <w:vAlign w:val="bottom"/>
          </w:tcPr>
          <w:p w14:paraId="4B15A165"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2.158 </w:t>
            </w:r>
          </w:p>
        </w:tc>
        <w:tc>
          <w:tcPr>
            <w:tcW w:w="567" w:type="pct"/>
            <w:tcBorders>
              <w:top w:val="nil"/>
              <w:left w:val="nil"/>
              <w:bottom w:val="single" w:sz="12" w:space="0" w:color="auto"/>
              <w:right w:val="nil"/>
            </w:tcBorders>
            <w:shd w:val="clear" w:color="auto" w:fill="auto"/>
            <w:vAlign w:val="bottom"/>
          </w:tcPr>
          <w:p w14:paraId="17DD76E9"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55 </w:t>
            </w:r>
          </w:p>
        </w:tc>
        <w:tc>
          <w:tcPr>
            <w:tcW w:w="567" w:type="pct"/>
            <w:tcBorders>
              <w:top w:val="nil"/>
              <w:left w:val="nil"/>
              <w:bottom w:val="single" w:sz="12" w:space="0" w:color="auto"/>
              <w:right w:val="nil"/>
            </w:tcBorders>
            <w:shd w:val="clear" w:color="auto" w:fill="auto"/>
            <w:vAlign w:val="bottom"/>
          </w:tcPr>
          <w:p w14:paraId="26278C9B"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37.588 </w:t>
            </w:r>
          </w:p>
        </w:tc>
        <w:tc>
          <w:tcPr>
            <w:tcW w:w="671" w:type="pct"/>
            <w:tcBorders>
              <w:top w:val="nil"/>
              <w:left w:val="nil"/>
              <w:bottom w:val="single" w:sz="12" w:space="0" w:color="auto"/>
              <w:right w:val="nil"/>
            </w:tcBorders>
            <w:shd w:val="clear" w:color="auto" w:fill="auto"/>
            <w:vAlign w:val="bottom"/>
          </w:tcPr>
          <w:p w14:paraId="5649E67B"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6.349 </w:t>
            </w:r>
          </w:p>
        </w:tc>
        <w:tc>
          <w:tcPr>
            <w:tcW w:w="472" w:type="pct"/>
            <w:tcBorders>
              <w:top w:val="nil"/>
              <w:left w:val="nil"/>
              <w:bottom w:val="single" w:sz="12" w:space="0" w:color="auto"/>
              <w:right w:val="nil"/>
            </w:tcBorders>
            <w:shd w:val="clear" w:color="auto" w:fill="auto"/>
            <w:vAlign w:val="bottom"/>
          </w:tcPr>
          <w:p w14:paraId="6C1BE428" w14:textId="77777777" w:rsidR="004E2F51" w:rsidRPr="004B4498" w:rsidRDefault="004E2F51" w:rsidP="00E032FC">
            <w:pPr>
              <w:pStyle w:val="Tot"/>
              <w:tabs>
                <w:tab w:val="clear" w:pos="1202"/>
              </w:tabs>
              <w:jc w:val="right"/>
              <w:rPr>
                <w:rFonts w:cs="Arial"/>
                <w:b/>
                <w:bCs/>
                <w:color w:val="000000" w:themeColor="text1"/>
                <w:sz w:val="16"/>
                <w:szCs w:val="16"/>
                <w:lang w:val="hr-HR"/>
              </w:rPr>
            </w:pPr>
            <w:r w:rsidRPr="0046584E">
              <w:rPr>
                <w:rFonts w:cs="Arial"/>
                <w:b/>
                <w:bCs/>
                <w:sz w:val="16"/>
                <w:szCs w:val="16"/>
              </w:rPr>
              <w:t xml:space="preserve"> 43.937 </w:t>
            </w:r>
          </w:p>
        </w:tc>
      </w:tr>
    </w:tbl>
    <w:p w14:paraId="571A322F" w14:textId="77777777" w:rsidR="004E2F51" w:rsidRPr="00B91D09" w:rsidRDefault="004E2F51" w:rsidP="004E2F51">
      <w:pPr>
        <w:pStyle w:val="T1"/>
        <w:spacing w:before="120" w:after="0" w:line="240" w:lineRule="exact"/>
        <w:rPr>
          <w:rFonts w:cs="Arial"/>
          <w:color w:val="000000" w:themeColor="text1"/>
          <w:sz w:val="22"/>
          <w:szCs w:val="22"/>
          <w:lang w:val="hr-HR"/>
        </w:rPr>
      </w:pPr>
    </w:p>
    <w:p w14:paraId="2304211F" w14:textId="77777777" w:rsidR="004E2F51" w:rsidRPr="00B91D09" w:rsidRDefault="004E2F51" w:rsidP="004E2F51">
      <w:pPr>
        <w:pStyle w:val="T1"/>
        <w:spacing w:before="120" w:after="0" w:line="240" w:lineRule="exact"/>
        <w:rPr>
          <w:rFonts w:cs="Arial"/>
          <w:color w:val="000000" w:themeColor="text1"/>
          <w:sz w:val="22"/>
          <w:szCs w:val="22"/>
          <w:lang w:val="hr-HR"/>
        </w:rPr>
      </w:pPr>
    </w:p>
    <w:p w14:paraId="70777940" w14:textId="77777777" w:rsidR="004E2F51" w:rsidRPr="00B91D09" w:rsidRDefault="004E2F51" w:rsidP="004E2F51">
      <w:pPr>
        <w:pStyle w:val="T1"/>
        <w:spacing w:before="120" w:after="0" w:line="240" w:lineRule="exact"/>
        <w:rPr>
          <w:rFonts w:cs="Arial"/>
          <w:color w:val="000000" w:themeColor="text1"/>
          <w:sz w:val="22"/>
          <w:szCs w:val="22"/>
          <w:lang w:val="hr-HR"/>
        </w:rPr>
      </w:pPr>
    </w:p>
    <w:p w14:paraId="32738808" w14:textId="34838795" w:rsidR="004E2F51" w:rsidRPr="00B91D09" w:rsidRDefault="004E2F51" w:rsidP="004E2F51">
      <w:pPr>
        <w:rPr>
          <w:rFonts w:ascii="Arial" w:hAnsi="Arial" w:cs="Arial"/>
          <w:b/>
          <w:bCs/>
          <w:color w:val="000000" w:themeColor="text1"/>
          <w:sz w:val="22"/>
          <w:szCs w:val="22"/>
          <w:lang w:val="hr-HR"/>
        </w:rPr>
        <w:sectPr w:rsidR="004E2F51" w:rsidRPr="00B91D09" w:rsidSect="00623DBA">
          <w:footerReference w:type="default" r:id="rId142"/>
          <w:pgSz w:w="11907" w:h="16840" w:code="9"/>
          <w:pgMar w:top="1418" w:right="1134" w:bottom="1134" w:left="1418" w:header="851" w:footer="851" w:gutter="0"/>
          <w:cols w:space="720"/>
          <w:noEndnote/>
        </w:sectPr>
      </w:pPr>
    </w:p>
    <w:p w14:paraId="15367772" w14:textId="77777777" w:rsidR="004E2F51" w:rsidRPr="00B91D09" w:rsidRDefault="004E2F51" w:rsidP="004E2F51">
      <w:pPr>
        <w:pStyle w:val="T1"/>
        <w:spacing w:before="0" w:after="0" w:line="240" w:lineRule="auto"/>
        <w:rPr>
          <w:rFonts w:cs="Arial"/>
          <w:color w:val="000000" w:themeColor="text1"/>
          <w:sz w:val="22"/>
          <w:szCs w:val="22"/>
          <w:lang w:val="hr-HR"/>
        </w:rPr>
      </w:pPr>
    </w:p>
    <w:p w14:paraId="65911067" w14:textId="77777777" w:rsidR="004E2F51" w:rsidRPr="00B91D09" w:rsidRDefault="004E2F51" w:rsidP="004E2F51">
      <w:pPr>
        <w:pStyle w:val="T1"/>
        <w:tabs>
          <w:tab w:val="left" w:pos="567"/>
        </w:tabs>
        <w:spacing w:before="0" w:after="0" w:line="240" w:lineRule="auto"/>
        <w:rPr>
          <w:rFonts w:cs="Arial"/>
          <w:color w:val="000000" w:themeColor="text1"/>
          <w:sz w:val="22"/>
          <w:szCs w:val="22"/>
          <w:lang w:val="hr-HR"/>
        </w:rPr>
      </w:pPr>
      <w:r>
        <w:rPr>
          <w:rFonts w:cs="Arial"/>
          <w:color w:val="000000" w:themeColor="text1"/>
          <w:sz w:val="22"/>
          <w:szCs w:val="22"/>
          <w:lang w:val="hr-HR"/>
        </w:rPr>
        <w:t>19</w:t>
      </w:r>
      <w:r w:rsidRPr="00B91D09">
        <w:rPr>
          <w:rFonts w:cs="Arial"/>
          <w:color w:val="000000" w:themeColor="text1"/>
          <w:sz w:val="22"/>
          <w:szCs w:val="22"/>
          <w:lang w:val="hr-HR"/>
        </w:rPr>
        <w:t xml:space="preserve">. </w:t>
      </w:r>
      <w:r w:rsidRPr="00B91D09">
        <w:rPr>
          <w:rFonts w:cs="Arial"/>
          <w:color w:val="000000" w:themeColor="text1"/>
          <w:sz w:val="22"/>
          <w:szCs w:val="22"/>
          <w:lang w:val="hr-HR"/>
        </w:rPr>
        <w:tab/>
        <w:t>Nekretnine, postrojenja i oprema i nematerijalna imovina (nastavak)</w:t>
      </w:r>
    </w:p>
    <w:p w14:paraId="092F1DE8" w14:textId="77777777" w:rsidR="004E2F51" w:rsidRPr="00B91D09" w:rsidRDefault="004E2F51" w:rsidP="004E2F51">
      <w:pPr>
        <w:pStyle w:val="T1"/>
        <w:spacing w:before="0" w:after="0" w:line="240" w:lineRule="auto"/>
        <w:rPr>
          <w:rFonts w:cs="Arial"/>
          <w:color w:val="000000" w:themeColor="text1"/>
          <w:sz w:val="22"/>
          <w:szCs w:val="22"/>
          <w:lang w:val="hr-HR"/>
        </w:rPr>
      </w:pPr>
    </w:p>
    <w:tbl>
      <w:tblPr>
        <w:tblW w:w="5424" w:type="pct"/>
        <w:tblInd w:w="-567" w:type="dxa"/>
        <w:tblLayout w:type="fixed"/>
        <w:tblCellMar>
          <w:left w:w="119" w:type="dxa"/>
          <w:right w:w="119" w:type="dxa"/>
        </w:tblCellMar>
        <w:tblLook w:val="0000" w:firstRow="0" w:lastRow="0" w:firstColumn="0" w:lastColumn="0" w:noHBand="0" w:noVBand="0"/>
      </w:tblPr>
      <w:tblGrid>
        <w:gridCol w:w="2039"/>
        <w:gridCol w:w="1189"/>
        <w:gridCol w:w="1151"/>
        <w:gridCol w:w="1151"/>
        <w:gridCol w:w="1151"/>
        <w:gridCol w:w="1151"/>
        <w:gridCol w:w="1362"/>
        <w:gridCol w:w="954"/>
      </w:tblGrid>
      <w:tr w:rsidR="004E2F51" w:rsidRPr="0046584E" w14:paraId="5ED5BBC1" w14:textId="77777777" w:rsidTr="002D6F0B">
        <w:trPr>
          <w:trHeight w:val="1362"/>
        </w:trPr>
        <w:tc>
          <w:tcPr>
            <w:tcW w:w="1005" w:type="pct"/>
            <w:vAlign w:val="bottom"/>
          </w:tcPr>
          <w:p w14:paraId="6F9B02A1" w14:textId="77777777" w:rsidR="004E2F51" w:rsidRPr="0046584E" w:rsidRDefault="004E2F51" w:rsidP="00E032FC">
            <w:pPr>
              <w:tabs>
                <w:tab w:val="left" w:pos="-1559"/>
              </w:tabs>
              <w:rPr>
                <w:rFonts w:ascii="Arial" w:hAnsi="Arial" w:cs="Arial"/>
                <w:b/>
                <w:color w:val="000000" w:themeColor="text1"/>
                <w:spacing w:val="-2"/>
                <w:sz w:val="16"/>
                <w:szCs w:val="16"/>
                <w:lang w:val="hr-HR"/>
              </w:rPr>
            </w:pPr>
            <w:r w:rsidRPr="0046584E">
              <w:rPr>
                <w:rFonts w:ascii="Arial" w:hAnsi="Arial" w:cs="Arial"/>
                <w:b/>
                <w:color w:val="000000" w:themeColor="text1"/>
                <w:spacing w:val="-2"/>
                <w:sz w:val="16"/>
                <w:szCs w:val="16"/>
                <w:lang w:val="hr-HR"/>
              </w:rPr>
              <w:t>Grupa</w:t>
            </w:r>
          </w:p>
          <w:p w14:paraId="28C0C0EB" w14:textId="77777777" w:rsidR="004E2F51" w:rsidRPr="0046584E" w:rsidRDefault="004E2F51" w:rsidP="00E032FC">
            <w:pPr>
              <w:tabs>
                <w:tab w:val="left" w:pos="-1559"/>
              </w:tabs>
              <w:rPr>
                <w:rFonts w:ascii="Arial" w:hAnsi="Arial" w:cs="Arial"/>
                <w:b/>
                <w:color w:val="000000" w:themeColor="text1"/>
                <w:spacing w:val="-2"/>
                <w:sz w:val="16"/>
                <w:szCs w:val="16"/>
                <w:lang w:val="hr-HR"/>
              </w:rPr>
            </w:pPr>
          </w:p>
          <w:p w14:paraId="05B5B68A" w14:textId="77777777" w:rsidR="004E2F51" w:rsidRPr="0046584E" w:rsidRDefault="004E2F51" w:rsidP="00E032FC">
            <w:pPr>
              <w:tabs>
                <w:tab w:val="left" w:pos="-1559"/>
              </w:tabs>
              <w:rPr>
                <w:rFonts w:ascii="Arial" w:hAnsi="Arial" w:cs="Arial"/>
                <w:b/>
                <w:color w:val="000000" w:themeColor="text1"/>
                <w:spacing w:val="-2"/>
                <w:sz w:val="16"/>
                <w:szCs w:val="16"/>
                <w:lang w:val="hr-HR"/>
              </w:rPr>
            </w:pPr>
          </w:p>
          <w:p w14:paraId="27288455" w14:textId="77777777" w:rsidR="004E2F51" w:rsidRPr="0046584E" w:rsidRDefault="004E2F51" w:rsidP="00E032FC">
            <w:pPr>
              <w:tabs>
                <w:tab w:val="left" w:pos="-1559"/>
              </w:tabs>
              <w:rPr>
                <w:rFonts w:ascii="Arial" w:hAnsi="Arial" w:cs="Arial"/>
                <w:b/>
                <w:color w:val="000000" w:themeColor="text1"/>
                <w:spacing w:val="-2"/>
                <w:sz w:val="16"/>
                <w:szCs w:val="16"/>
                <w:lang w:val="hr-HR"/>
              </w:rPr>
            </w:pPr>
          </w:p>
          <w:p w14:paraId="58696D32" w14:textId="77777777" w:rsidR="004E2F51" w:rsidRPr="0046584E" w:rsidRDefault="004E2F51" w:rsidP="00E032FC">
            <w:pPr>
              <w:tabs>
                <w:tab w:val="left" w:pos="-1559"/>
              </w:tabs>
              <w:rPr>
                <w:rFonts w:ascii="Arial" w:hAnsi="Arial" w:cs="Arial"/>
                <w:b/>
                <w:color w:val="000000" w:themeColor="text1"/>
                <w:spacing w:val="-2"/>
                <w:sz w:val="16"/>
                <w:szCs w:val="16"/>
                <w:lang w:val="hr-HR"/>
              </w:rPr>
            </w:pPr>
            <w:r w:rsidRPr="0046584E">
              <w:rPr>
                <w:rFonts w:ascii="Arial" w:hAnsi="Arial" w:cs="Arial"/>
                <w:b/>
                <w:color w:val="000000" w:themeColor="text1"/>
                <w:spacing w:val="-2"/>
                <w:sz w:val="16"/>
                <w:szCs w:val="16"/>
                <w:lang w:val="hr-HR"/>
              </w:rPr>
              <w:t>31. prosinca 2021.</w:t>
            </w:r>
          </w:p>
          <w:p w14:paraId="5F8EF978" w14:textId="77777777" w:rsidR="004E2F51" w:rsidRPr="0046584E" w:rsidRDefault="004E2F51" w:rsidP="00E032FC">
            <w:pPr>
              <w:tabs>
                <w:tab w:val="left" w:pos="-1559"/>
              </w:tabs>
              <w:rPr>
                <w:rFonts w:ascii="Arial" w:hAnsi="Arial" w:cs="Arial"/>
                <w:b/>
                <w:color w:val="000000" w:themeColor="text1"/>
                <w:spacing w:val="-2"/>
                <w:sz w:val="16"/>
                <w:szCs w:val="16"/>
                <w:highlight w:val="yellow"/>
                <w:lang w:val="hr-HR"/>
              </w:rPr>
            </w:pPr>
          </w:p>
        </w:tc>
        <w:tc>
          <w:tcPr>
            <w:tcW w:w="586" w:type="pct"/>
          </w:tcPr>
          <w:p w14:paraId="0B05566D"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Građevinski objekti</w:t>
            </w:r>
          </w:p>
        </w:tc>
        <w:tc>
          <w:tcPr>
            <w:tcW w:w="567" w:type="pct"/>
          </w:tcPr>
          <w:p w14:paraId="66D1414D"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Kompjutori</w:t>
            </w:r>
          </w:p>
        </w:tc>
        <w:tc>
          <w:tcPr>
            <w:tcW w:w="567" w:type="pct"/>
          </w:tcPr>
          <w:p w14:paraId="04C31F89"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Namještaj, oprema i vozila</w:t>
            </w:r>
          </w:p>
        </w:tc>
        <w:tc>
          <w:tcPr>
            <w:tcW w:w="567" w:type="pct"/>
          </w:tcPr>
          <w:p w14:paraId="4C9D8836"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Nekretnine i oprema i nematerijalna imovina u pripremi</w:t>
            </w:r>
          </w:p>
        </w:tc>
        <w:tc>
          <w:tcPr>
            <w:tcW w:w="567" w:type="pct"/>
          </w:tcPr>
          <w:p w14:paraId="527F575B"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 xml:space="preserve">Ukupno nekretnine, postrojenja i oprema </w:t>
            </w:r>
          </w:p>
        </w:tc>
        <w:tc>
          <w:tcPr>
            <w:tcW w:w="671" w:type="pct"/>
          </w:tcPr>
          <w:p w14:paraId="7A4732CB" w14:textId="70477A56"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 xml:space="preserve">Nematerijalna </w:t>
            </w:r>
          </w:p>
          <w:p w14:paraId="187495CD"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imovina</w:t>
            </w:r>
          </w:p>
        </w:tc>
        <w:tc>
          <w:tcPr>
            <w:tcW w:w="472" w:type="pct"/>
          </w:tcPr>
          <w:p w14:paraId="4BA39D48"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Ukupno</w:t>
            </w:r>
          </w:p>
        </w:tc>
      </w:tr>
      <w:tr w:rsidR="004E2F51" w:rsidRPr="0046584E" w14:paraId="30EAD1C0" w14:textId="77777777" w:rsidTr="002D6F0B">
        <w:trPr>
          <w:trHeight w:val="246"/>
        </w:trPr>
        <w:tc>
          <w:tcPr>
            <w:tcW w:w="1005" w:type="pct"/>
            <w:vAlign w:val="bottom"/>
          </w:tcPr>
          <w:p w14:paraId="4890CAD5" w14:textId="77777777" w:rsidR="004E2F51" w:rsidRPr="0046584E" w:rsidRDefault="004E2F51" w:rsidP="00E032FC">
            <w:pPr>
              <w:tabs>
                <w:tab w:val="left" w:pos="-1559"/>
              </w:tabs>
              <w:rPr>
                <w:rFonts w:ascii="Arial" w:hAnsi="Arial" w:cs="Arial"/>
                <w:b/>
                <w:color w:val="000000" w:themeColor="text1"/>
                <w:spacing w:val="-2"/>
                <w:sz w:val="16"/>
                <w:szCs w:val="16"/>
                <w:highlight w:val="yellow"/>
                <w:lang w:val="hr-HR"/>
              </w:rPr>
            </w:pPr>
          </w:p>
        </w:tc>
        <w:tc>
          <w:tcPr>
            <w:tcW w:w="586" w:type="pct"/>
            <w:vAlign w:val="bottom"/>
          </w:tcPr>
          <w:p w14:paraId="75C2208C"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000 kuna</w:t>
            </w:r>
          </w:p>
        </w:tc>
        <w:tc>
          <w:tcPr>
            <w:tcW w:w="567" w:type="pct"/>
            <w:vAlign w:val="bottom"/>
          </w:tcPr>
          <w:p w14:paraId="33678C87"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000 kuna</w:t>
            </w:r>
          </w:p>
        </w:tc>
        <w:tc>
          <w:tcPr>
            <w:tcW w:w="567" w:type="pct"/>
            <w:vAlign w:val="bottom"/>
          </w:tcPr>
          <w:p w14:paraId="2686DFA6"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000 kuna</w:t>
            </w:r>
          </w:p>
        </w:tc>
        <w:tc>
          <w:tcPr>
            <w:tcW w:w="567" w:type="pct"/>
            <w:vAlign w:val="bottom"/>
          </w:tcPr>
          <w:p w14:paraId="1F3EBD85"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000 kuna</w:t>
            </w:r>
          </w:p>
        </w:tc>
        <w:tc>
          <w:tcPr>
            <w:tcW w:w="567" w:type="pct"/>
            <w:vAlign w:val="bottom"/>
          </w:tcPr>
          <w:p w14:paraId="44F96577"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000 kuna</w:t>
            </w:r>
          </w:p>
        </w:tc>
        <w:tc>
          <w:tcPr>
            <w:tcW w:w="671" w:type="pct"/>
            <w:vAlign w:val="bottom"/>
          </w:tcPr>
          <w:p w14:paraId="2EB67161"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000 kuna</w:t>
            </w:r>
          </w:p>
        </w:tc>
        <w:tc>
          <w:tcPr>
            <w:tcW w:w="472" w:type="pct"/>
            <w:vAlign w:val="bottom"/>
          </w:tcPr>
          <w:p w14:paraId="28286657"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000 kuna</w:t>
            </w:r>
          </w:p>
        </w:tc>
      </w:tr>
      <w:tr w:rsidR="004E2F51" w:rsidRPr="0046584E" w14:paraId="27690C3E" w14:textId="77777777" w:rsidTr="002D6F0B">
        <w:trPr>
          <w:trHeight w:val="311"/>
        </w:trPr>
        <w:tc>
          <w:tcPr>
            <w:tcW w:w="1005" w:type="pct"/>
            <w:vAlign w:val="bottom"/>
          </w:tcPr>
          <w:p w14:paraId="3B7D8ACB" w14:textId="77777777" w:rsidR="004E2F51" w:rsidRPr="0046584E" w:rsidRDefault="004E2F51" w:rsidP="00E032FC">
            <w:pPr>
              <w:pStyle w:val="T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Nabavna vrijednost</w:t>
            </w:r>
          </w:p>
        </w:tc>
        <w:tc>
          <w:tcPr>
            <w:tcW w:w="586" w:type="pct"/>
            <w:vAlign w:val="bottom"/>
          </w:tcPr>
          <w:p w14:paraId="5A4251A1" w14:textId="77777777" w:rsidR="004E2F51" w:rsidRPr="0046584E" w:rsidRDefault="004E2F51" w:rsidP="00E032FC">
            <w:pPr>
              <w:pStyle w:val="TT"/>
              <w:jc w:val="right"/>
              <w:rPr>
                <w:rFonts w:cs="Arial"/>
                <w:color w:val="000000" w:themeColor="text1"/>
                <w:spacing w:val="-3"/>
                <w:sz w:val="16"/>
                <w:szCs w:val="16"/>
                <w:highlight w:val="yellow"/>
                <w:lang w:val="hr-HR"/>
              </w:rPr>
            </w:pPr>
          </w:p>
        </w:tc>
        <w:tc>
          <w:tcPr>
            <w:tcW w:w="567" w:type="pct"/>
            <w:vAlign w:val="bottom"/>
          </w:tcPr>
          <w:p w14:paraId="3D427D0F" w14:textId="77777777" w:rsidR="004E2F51" w:rsidRPr="0046584E" w:rsidRDefault="004E2F51" w:rsidP="00E032FC">
            <w:pPr>
              <w:pStyle w:val="TT"/>
              <w:jc w:val="right"/>
              <w:rPr>
                <w:rFonts w:cs="Arial"/>
                <w:color w:val="000000" w:themeColor="text1"/>
                <w:spacing w:val="-3"/>
                <w:sz w:val="16"/>
                <w:szCs w:val="16"/>
                <w:highlight w:val="yellow"/>
                <w:lang w:val="hr-HR"/>
              </w:rPr>
            </w:pPr>
          </w:p>
        </w:tc>
        <w:tc>
          <w:tcPr>
            <w:tcW w:w="567" w:type="pct"/>
            <w:vAlign w:val="bottom"/>
          </w:tcPr>
          <w:p w14:paraId="3AC46DAF" w14:textId="77777777" w:rsidR="004E2F51" w:rsidRPr="0046584E" w:rsidRDefault="004E2F51" w:rsidP="00E032FC">
            <w:pPr>
              <w:pStyle w:val="TT"/>
              <w:jc w:val="right"/>
              <w:rPr>
                <w:rFonts w:cs="Arial"/>
                <w:color w:val="000000" w:themeColor="text1"/>
                <w:spacing w:val="-3"/>
                <w:sz w:val="16"/>
                <w:szCs w:val="16"/>
                <w:highlight w:val="yellow"/>
                <w:lang w:val="hr-HR"/>
              </w:rPr>
            </w:pPr>
          </w:p>
        </w:tc>
        <w:tc>
          <w:tcPr>
            <w:tcW w:w="567" w:type="pct"/>
            <w:vAlign w:val="bottom"/>
          </w:tcPr>
          <w:p w14:paraId="1CB0A61F" w14:textId="77777777" w:rsidR="004E2F51" w:rsidRPr="0046584E" w:rsidRDefault="004E2F51" w:rsidP="00E032FC">
            <w:pPr>
              <w:pStyle w:val="TT"/>
              <w:jc w:val="right"/>
              <w:rPr>
                <w:rFonts w:cs="Arial"/>
                <w:color w:val="000000" w:themeColor="text1"/>
                <w:spacing w:val="-3"/>
                <w:sz w:val="16"/>
                <w:szCs w:val="16"/>
                <w:highlight w:val="yellow"/>
                <w:lang w:val="hr-HR"/>
              </w:rPr>
            </w:pPr>
          </w:p>
        </w:tc>
        <w:tc>
          <w:tcPr>
            <w:tcW w:w="567" w:type="pct"/>
            <w:vAlign w:val="bottom"/>
          </w:tcPr>
          <w:p w14:paraId="3FE1BB0B" w14:textId="77777777" w:rsidR="004E2F51" w:rsidRPr="0046584E" w:rsidRDefault="004E2F51" w:rsidP="00E032FC">
            <w:pPr>
              <w:pStyle w:val="TT"/>
              <w:jc w:val="right"/>
              <w:rPr>
                <w:rFonts w:cs="Arial"/>
                <w:color w:val="000000" w:themeColor="text1"/>
                <w:spacing w:val="-3"/>
                <w:sz w:val="16"/>
                <w:szCs w:val="16"/>
                <w:highlight w:val="yellow"/>
                <w:lang w:val="hr-HR"/>
              </w:rPr>
            </w:pPr>
          </w:p>
        </w:tc>
        <w:tc>
          <w:tcPr>
            <w:tcW w:w="671" w:type="pct"/>
            <w:vAlign w:val="bottom"/>
          </w:tcPr>
          <w:p w14:paraId="51D16F49" w14:textId="77777777" w:rsidR="004E2F51" w:rsidRPr="0046584E" w:rsidRDefault="004E2F51" w:rsidP="00E032FC">
            <w:pPr>
              <w:pStyle w:val="TT"/>
              <w:jc w:val="right"/>
              <w:rPr>
                <w:rFonts w:cs="Arial"/>
                <w:color w:val="000000" w:themeColor="text1"/>
                <w:spacing w:val="-3"/>
                <w:sz w:val="16"/>
                <w:szCs w:val="16"/>
                <w:highlight w:val="yellow"/>
                <w:lang w:val="hr-HR"/>
              </w:rPr>
            </w:pPr>
          </w:p>
        </w:tc>
        <w:tc>
          <w:tcPr>
            <w:tcW w:w="472" w:type="pct"/>
            <w:vAlign w:val="bottom"/>
          </w:tcPr>
          <w:p w14:paraId="6AA718A3" w14:textId="77777777" w:rsidR="004E2F51" w:rsidRPr="0046584E" w:rsidRDefault="004E2F51" w:rsidP="00E032FC">
            <w:pPr>
              <w:pStyle w:val="TT"/>
              <w:jc w:val="right"/>
              <w:rPr>
                <w:rFonts w:cs="Arial"/>
                <w:color w:val="000000" w:themeColor="text1"/>
                <w:spacing w:val="-3"/>
                <w:sz w:val="16"/>
                <w:szCs w:val="16"/>
                <w:highlight w:val="yellow"/>
                <w:lang w:val="hr-HR"/>
              </w:rPr>
            </w:pPr>
          </w:p>
        </w:tc>
      </w:tr>
      <w:tr w:rsidR="004E2F51" w:rsidRPr="0046584E" w14:paraId="166B62D0" w14:textId="77777777" w:rsidTr="002D6F0B">
        <w:trPr>
          <w:trHeight w:val="504"/>
        </w:trPr>
        <w:tc>
          <w:tcPr>
            <w:tcW w:w="1005" w:type="pct"/>
            <w:vAlign w:val="bottom"/>
          </w:tcPr>
          <w:p w14:paraId="04077700"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Stanje </w:t>
            </w:r>
          </w:p>
          <w:p w14:paraId="2D6CF1A0"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2020.</w:t>
            </w:r>
          </w:p>
        </w:tc>
        <w:tc>
          <w:tcPr>
            <w:tcW w:w="586" w:type="pct"/>
            <w:tcBorders>
              <w:left w:val="nil"/>
              <w:right w:val="nil"/>
            </w:tcBorders>
            <w:shd w:val="clear" w:color="auto" w:fill="auto"/>
            <w:vAlign w:val="bottom"/>
          </w:tcPr>
          <w:p w14:paraId="477E4A8F"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78.020 </w:t>
            </w:r>
          </w:p>
        </w:tc>
        <w:tc>
          <w:tcPr>
            <w:tcW w:w="567" w:type="pct"/>
            <w:tcBorders>
              <w:left w:val="nil"/>
              <w:right w:val="nil"/>
            </w:tcBorders>
            <w:shd w:val="clear" w:color="auto" w:fill="auto"/>
            <w:vAlign w:val="bottom"/>
          </w:tcPr>
          <w:p w14:paraId="52FF3C12"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10.037 </w:t>
            </w:r>
          </w:p>
        </w:tc>
        <w:tc>
          <w:tcPr>
            <w:tcW w:w="567" w:type="pct"/>
            <w:tcBorders>
              <w:left w:val="nil"/>
              <w:right w:val="nil"/>
            </w:tcBorders>
            <w:shd w:val="clear" w:color="auto" w:fill="auto"/>
            <w:vAlign w:val="bottom"/>
          </w:tcPr>
          <w:p w14:paraId="24B05C80"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13.788 </w:t>
            </w:r>
          </w:p>
        </w:tc>
        <w:tc>
          <w:tcPr>
            <w:tcW w:w="567" w:type="pct"/>
            <w:tcBorders>
              <w:left w:val="nil"/>
              <w:right w:val="nil"/>
            </w:tcBorders>
            <w:shd w:val="clear" w:color="auto" w:fill="auto"/>
            <w:vAlign w:val="bottom"/>
          </w:tcPr>
          <w:p w14:paraId="1CD96BCD"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49 </w:t>
            </w:r>
          </w:p>
        </w:tc>
        <w:tc>
          <w:tcPr>
            <w:tcW w:w="567" w:type="pct"/>
            <w:tcBorders>
              <w:left w:val="nil"/>
              <w:right w:val="nil"/>
            </w:tcBorders>
            <w:shd w:val="clear" w:color="auto" w:fill="auto"/>
            <w:vAlign w:val="bottom"/>
          </w:tcPr>
          <w:p w14:paraId="5C094E05"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101.894 </w:t>
            </w:r>
          </w:p>
        </w:tc>
        <w:tc>
          <w:tcPr>
            <w:tcW w:w="671" w:type="pct"/>
            <w:tcBorders>
              <w:left w:val="nil"/>
              <w:right w:val="nil"/>
            </w:tcBorders>
            <w:shd w:val="clear" w:color="auto" w:fill="auto"/>
            <w:vAlign w:val="bottom"/>
          </w:tcPr>
          <w:p w14:paraId="6C02F8A5"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37.117 </w:t>
            </w:r>
          </w:p>
        </w:tc>
        <w:tc>
          <w:tcPr>
            <w:tcW w:w="472" w:type="pct"/>
            <w:tcBorders>
              <w:left w:val="nil"/>
              <w:right w:val="nil"/>
            </w:tcBorders>
            <w:shd w:val="clear" w:color="auto" w:fill="auto"/>
            <w:vAlign w:val="bottom"/>
          </w:tcPr>
          <w:p w14:paraId="4909C22F"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139.011 </w:t>
            </w:r>
          </w:p>
        </w:tc>
      </w:tr>
      <w:tr w:rsidR="004E2F51" w:rsidRPr="0046584E" w14:paraId="071A25A9" w14:textId="77777777" w:rsidTr="002D6F0B">
        <w:trPr>
          <w:trHeight w:val="246"/>
        </w:trPr>
        <w:tc>
          <w:tcPr>
            <w:tcW w:w="1005" w:type="pct"/>
            <w:vAlign w:val="bottom"/>
          </w:tcPr>
          <w:p w14:paraId="30BA81F5" w14:textId="77777777" w:rsidR="004E2F51" w:rsidRPr="0046584E" w:rsidRDefault="004E2F51" w:rsidP="00E032FC">
            <w:pPr>
              <w:pStyle w:val="TT"/>
              <w:spacing w:line="240" w:lineRule="exact"/>
              <w:rPr>
                <w:rFonts w:cs="Arial"/>
                <w:color w:val="000000" w:themeColor="text1"/>
                <w:sz w:val="16"/>
                <w:szCs w:val="16"/>
                <w:lang w:val="hr-HR"/>
              </w:rPr>
            </w:pPr>
            <w:r w:rsidRPr="0046584E">
              <w:rPr>
                <w:rFonts w:cs="Arial"/>
                <w:color w:val="000000" w:themeColor="text1"/>
                <w:sz w:val="16"/>
                <w:szCs w:val="16"/>
                <w:lang w:val="hr-HR"/>
              </w:rPr>
              <w:t>Stjecanje</w:t>
            </w:r>
          </w:p>
        </w:tc>
        <w:tc>
          <w:tcPr>
            <w:tcW w:w="586" w:type="pct"/>
            <w:tcBorders>
              <w:left w:val="nil"/>
              <w:bottom w:val="nil"/>
              <w:right w:val="nil"/>
            </w:tcBorders>
            <w:shd w:val="clear" w:color="auto" w:fill="auto"/>
            <w:vAlign w:val="bottom"/>
          </w:tcPr>
          <w:p w14:paraId="7E1856E9"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 </w:t>
            </w:r>
          </w:p>
        </w:tc>
        <w:tc>
          <w:tcPr>
            <w:tcW w:w="567" w:type="pct"/>
            <w:tcBorders>
              <w:left w:val="nil"/>
              <w:bottom w:val="nil"/>
              <w:right w:val="nil"/>
            </w:tcBorders>
            <w:shd w:val="clear" w:color="auto" w:fill="auto"/>
            <w:vAlign w:val="bottom"/>
          </w:tcPr>
          <w:p w14:paraId="06CB30B8"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93 </w:t>
            </w:r>
          </w:p>
        </w:tc>
        <w:tc>
          <w:tcPr>
            <w:tcW w:w="567" w:type="pct"/>
            <w:tcBorders>
              <w:left w:val="nil"/>
              <w:bottom w:val="nil"/>
              <w:right w:val="nil"/>
            </w:tcBorders>
            <w:shd w:val="clear" w:color="auto" w:fill="auto"/>
            <w:vAlign w:val="bottom"/>
          </w:tcPr>
          <w:p w14:paraId="3C18B0ED"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374 </w:t>
            </w:r>
          </w:p>
        </w:tc>
        <w:tc>
          <w:tcPr>
            <w:tcW w:w="567" w:type="pct"/>
            <w:tcBorders>
              <w:left w:val="nil"/>
              <w:bottom w:val="nil"/>
              <w:right w:val="nil"/>
            </w:tcBorders>
            <w:shd w:val="clear" w:color="auto" w:fill="auto"/>
            <w:vAlign w:val="bottom"/>
          </w:tcPr>
          <w:p w14:paraId="1A4842C6"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6.083 </w:t>
            </w:r>
          </w:p>
        </w:tc>
        <w:tc>
          <w:tcPr>
            <w:tcW w:w="567" w:type="pct"/>
            <w:tcBorders>
              <w:left w:val="nil"/>
              <w:bottom w:val="nil"/>
              <w:right w:val="nil"/>
            </w:tcBorders>
            <w:shd w:val="clear" w:color="auto" w:fill="auto"/>
            <w:vAlign w:val="bottom"/>
          </w:tcPr>
          <w:p w14:paraId="61367521"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6.550 </w:t>
            </w:r>
          </w:p>
        </w:tc>
        <w:tc>
          <w:tcPr>
            <w:tcW w:w="671" w:type="pct"/>
            <w:tcBorders>
              <w:left w:val="nil"/>
              <w:bottom w:val="nil"/>
              <w:right w:val="nil"/>
            </w:tcBorders>
            <w:shd w:val="clear" w:color="auto" w:fill="auto"/>
            <w:vAlign w:val="bottom"/>
          </w:tcPr>
          <w:p w14:paraId="01384C9B"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23 </w:t>
            </w:r>
          </w:p>
        </w:tc>
        <w:tc>
          <w:tcPr>
            <w:tcW w:w="472" w:type="pct"/>
            <w:tcBorders>
              <w:left w:val="nil"/>
              <w:bottom w:val="nil"/>
              <w:right w:val="nil"/>
            </w:tcBorders>
            <w:shd w:val="clear" w:color="auto" w:fill="auto"/>
            <w:vAlign w:val="bottom"/>
          </w:tcPr>
          <w:p w14:paraId="67DF9313"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6.573 </w:t>
            </w:r>
          </w:p>
        </w:tc>
      </w:tr>
      <w:tr w:rsidR="004E2F51" w:rsidRPr="0046584E" w14:paraId="3879E47A" w14:textId="77777777" w:rsidTr="002D6F0B">
        <w:trPr>
          <w:trHeight w:val="998"/>
        </w:trPr>
        <w:tc>
          <w:tcPr>
            <w:tcW w:w="1005" w:type="pct"/>
            <w:vAlign w:val="bottom"/>
          </w:tcPr>
          <w:p w14:paraId="1123769A" w14:textId="77777777" w:rsidR="004E2F51" w:rsidRPr="0046584E" w:rsidRDefault="004E2F51" w:rsidP="00E032FC">
            <w:pPr>
              <w:pStyle w:val="TT"/>
              <w:spacing w:line="240" w:lineRule="exact"/>
              <w:rPr>
                <w:rFonts w:cs="Arial"/>
                <w:color w:val="000000" w:themeColor="text1"/>
                <w:sz w:val="16"/>
                <w:szCs w:val="16"/>
                <w:lang w:val="hr-HR"/>
              </w:rPr>
            </w:pPr>
            <w:r w:rsidRPr="0046584E">
              <w:rPr>
                <w:rFonts w:cs="Arial"/>
                <w:color w:val="000000" w:themeColor="text1"/>
                <w:sz w:val="16"/>
                <w:szCs w:val="16"/>
                <w:lang w:val="hr-HR"/>
              </w:rPr>
              <w:t>Prijenos s nekretnina, postrojenja i opreme i nematerijalne imovine u pripremi</w:t>
            </w:r>
          </w:p>
        </w:tc>
        <w:tc>
          <w:tcPr>
            <w:tcW w:w="586" w:type="pct"/>
            <w:tcBorders>
              <w:top w:val="nil"/>
              <w:left w:val="nil"/>
              <w:right w:val="nil"/>
            </w:tcBorders>
            <w:shd w:val="clear" w:color="auto" w:fill="auto"/>
            <w:vAlign w:val="bottom"/>
          </w:tcPr>
          <w:p w14:paraId="188999E3"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lang w:val="it-IT"/>
              </w:rPr>
              <w:t xml:space="preserve"> </w:t>
            </w:r>
            <w:r w:rsidRPr="0046584E">
              <w:rPr>
                <w:rFonts w:cs="Arial"/>
                <w:sz w:val="16"/>
                <w:szCs w:val="16"/>
              </w:rPr>
              <w:t xml:space="preserve">- </w:t>
            </w:r>
          </w:p>
        </w:tc>
        <w:tc>
          <w:tcPr>
            <w:tcW w:w="567" w:type="pct"/>
            <w:tcBorders>
              <w:top w:val="nil"/>
              <w:left w:val="nil"/>
              <w:right w:val="nil"/>
            </w:tcBorders>
            <w:shd w:val="clear" w:color="auto" w:fill="auto"/>
            <w:vAlign w:val="bottom"/>
          </w:tcPr>
          <w:p w14:paraId="71E145D2"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3.919 </w:t>
            </w:r>
          </w:p>
        </w:tc>
        <w:tc>
          <w:tcPr>
            <w:tcW w:w="567" w:type="pct"/>
            <w:tcBorders>
              <w:top w:val="nil"/>
              <w:left w:val="nil"/>
              <w:right w:val="nil"/>
            </w:tcBorders>
            <w:shd w:val="clear" w:color="auto" w:fill="auto"/>
            <w:vAlign w:val="bottom"/>
          </w:tcPr>
          <w:p w14:paraId="6A407782"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40 </w:t>
            </w:r>
          </w:p>
        </w:tc>
        <w:tc>
          <w:tcPr>
            <w:tcW w:w="567" w:type="pct"/>
            <w:tcBorders>
              <w:top w:val="nil"/>
              <w:left w:val="nil"/>
              <w:right w:val="nil"/>
            </w:tcBorders>
            <w:shd w:val="clear" w:color="auto" w:fill="auto"/>
            <w:vAlign w:val="bottom"/>
          </w:tcPr>
          <w:p w14:paraId="4635978F"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(6.077)</w:t>
            </w:r>
          </w:p>
        </w:tc>
        <w:tc>
          <w:tcPr>
            <w:tcW w:w="567" w:type="pct"/>
            <w:tcBorders>
              <w:top w:val="nil"/>
              <w:left w:val="nil"/>
              <w:right w:val="nil"/>
            </w:tcBorders>
            <w:shd w:val="clear" w:color="auto" w:fill="auto"/>
            <w:vAlign w:val="bottom"/>
          </w:tcPr>
          <w:p w14:paraId="110420EB"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(2.118)</w:t>
            </w:r>
          </w:p>
        </w:tc>
        <w:tc>
          <w:tcPr>
            <w:tcW w:w="671" w:type="pct"/>
            <w:tcBorders>
              <w:top w:val="nil"/>
              <w:left w:val="nil"/>
              <w:right w:val="nil"/>
            </w:tcBorders>
            <w:shd w:val="clear" w:color="auto" w:fill="auto"/>
            <w:vAlign w:val="bottom"/>
          </w:tcPr>
          <w:p w14:paraId="666F9449"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2.118 </w:t>
            </w:r>
          </w:p>
        </w:tc>
        <w:tc>
          <w:tcPr>
            <w:tcW w:w="472" w:type="pct"/>
            <w:tcBorders>
              <w:top w:val="nil"/>
              <w:left w:val="nil"/>
              <w:right w:val="nil"/>
            </w:tcBorders>
            <w:shd w:val="clear" w:color="auto" w:fill="auto"/>
            <w:vAlign w:val="bottom"/>
          </w:tcPr>
          <w:p w14:paraId="6198A835"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 </w:t>
            </w:r>
          </w:p>
        </w:tc>
      </w:tr>
      <w:tr w:rsidR="004E2F51" w:rsidRPr="0046584E" w14:paraId="58C2A1B5" w14:textId="77777777" w:rsidTr="002D6F0B">
        <w:trPr>
          <w:trHeight w:val="214"/>
        </w:trPr>
        <w:tc>
          <w:tcPr>
            <w:tcW w:w="1005" w:type="pct"/>
            <w:vAlign w:val="bottom"/>
          </w:tcPr>
          <w:p w14:paraId="373EF363" w14:textId="77777777" w:rsidR="004E2F51" w:rsidRPr="0046584E" w:rsidRDefault="004E2F51" w:rsidP="00E032FC">
            <w:pPr>
              <w:pStyle w:val="TT"/>
              <w:spacing w:line="240" w:lineRule="exact"/>
              <w:rPr>
                <w:rFonts w:cs="Arial"/>
                <w:color w:val="000000" w:themeColor="text1"/>
                <w:sz w:val="16"/>
                <w:szCs w:val="16"/>
                <w:lang w:val="hr-HR"/>
              </w:rPr>
            </w:pPr>
            <w:r w:rsidRPr="0046584E">
              <w:rPr>
                <w:rFonts w:cs="Arial"/>
                <w:color w:val="000000" w:themeColor="text1"/>
                <w:sz w:val="16"/>
                <w:szCs w:val="16"/>
                <w:lang w:val="hr-HR"/>
              </w:rPr>
              <w:t>Rashod i otpis</w:t>
            </w:r>
          </w:p>
        </w:tc>
        <w:tc>
          <w:tcPr>
            <w:tcW w:w="586" w:type="pct"/>
            <w:tcBorders>
              <w:top w:val="nil"/>
              <w:left w:val="nil"/>
              <w:right w:val="nil"/>
            </w:tcBorders>
            <w:shd w:val="clear" w:color="auto" w:fill="auto"/>
            <w:vAlign w:val="bottom"/>
          </w:tcPr>
          <w:p w14:paraId="050BF95B"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color w:val="000000" w:themeColor="text1"/>
                <w:sz w:val="16"/>
                <w:szCs w:val="16"/>
                <w:lang w:val="hr-HR"/>
              </w:rPr>
              <w:t>-</w:t>
            </w:r>
          </w:p>
        </w:tc>
        <w:tc>
          <w:tcPr>
            <w:tcW w:w="567" w:type="pct"/>
            <w:tcBorders>
              <w:top w:val="nil"/>
              <w:left w:val="nil"/>
              <w:right w:val="nil"/>
            </w:tcBorders>
            <w:shd w:val="clear" w:color="auto" w:fill="auto"/>
            <w:vAlign w:val="bottom"/>
          </w:tcPr>
          <w:p w14:paraId="3769CA1D"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(198)</w:t>
            </w:r>
          </w:p>
        </w:tc>
        <w:tc>
          <w:tcPr>
            <w:tcW w:w="567" w:type="pct"/>
            <w:tcBorders>
              <w:top w:val="nil"/>
              <w:left w:val="nil"/>
              <w:right w:val="nil"/>
            </w:tcBorders>
            <w:shd w:val="clear" w:color="auto" w:fill="auto"/>
            <w:vAlign w:val="bottom"/>
          </w:tcPr>
          <w:p w14:paraId="707B7AE5"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(1.273)</w:t>
            </w:r>
          </w:p>
        </w:tc>
        <w:tc>
          <w:tcPr>
            <w:tcW w:w="567" w:type="pct"/>
            <w:tcBorders>
              <w:top w:val="nil"/>
              <w:left w:val="nil"/>
              <w:right w:val="nil"/>
            </w:tcBorders>
            <w:shd w:val="clear" w:color="auto" w:fill="auto"/>
            <w:vAlign w:val="bottom"/>
          </w:tcPr>
          <w:p w14:paraId="4C26A484"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 </w:t>
            </w:r>
          </w:p>
        </w:tc>
        <w:tc>
          <w:tcPr>
            <w:tcW w:w="567" w:type="pct"/>
            <w:tcBorders>
              <w:top w:val="nil"/>
              <w:left w:val="nil"/>
              <w:right w:val="nil"/>
            </w:tcBorders>
            <w:shd w:val="clear" w:color="auto" w:fill="auto"/>
            <w:vAlign w:val="bottom"/>
          </w:tcPr>
          <w:p w14:paraId="01824994"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(1.471)</w:t>
            </w:r>
          </w:p>
        </w:tc>
        <w:tc>
          <w:tcPr>
            <w:tcW w:w="671" w:type="pct"/>
            <w:tcBorders>
              <w:top w:val="nil"/>
              <w:left w:val="nil"/>
              <w:right w:val="nil"/>
            </w:tcBorders>
            <w:shd w:val="clear" w:color="auto" w:fill="auto"/>
            <w:vAlign w:val="bottom"/>
          </w:tcPr>
          <w:p w14:paraId="7E4D5C46"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(3.337)</w:t>
            </w:r>
          </w:p>
        </w:tc>
        <w:tc>
          <w:tcPr>
            <w:tcW w:w="472" w:type="pct"/>
            <w:tcBorders>
              <w:top w:val="nil"/>
              <w:left w:val="nil"/>
              <w:right w:val="nil"/>
            </w:tcBorders>
            <w:shd w:val="clear" w:color="auto" w:fill="auto"/>
            <w:vAlign w:val="bottom"/>
          </w:tcPr>
          <w:p w14:paraId="78D9DB65"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(4.808)</w:t>
            </w:r>
          </w:p>
        </w:tc>
      </w:tr>
      <w:tr w:rsidR="004E2F51" w:rsidRPr="0046584E" w14:paraId="4F2743CE" w14:textId="77777777" w:rsidTr="002D6F0B">
        <w:trPr>
          <w:trHeight w:val="161"/>
        </w:trPr>
        <w:tc>
          <w:tcPr>
            <w:tcW w:w="1005" w:type="pct"/>
            <w:vAlign w:val="bottom"/>
          </w:tcPr>
          <w:p w14:paraId="3DC28BDF" w14:textId="77777777" w:rsidR="004E2F51" w:rsidRPr="0046584E" w:rsidRDefault="004E2F51" w:rsidP="00E032FC">
            <w:pPr>
              <w:pStyle w:val="TT"/>
              <w:spacing w:line="240" w:lineRule="exact"/>
              <w:rPr>
                <w:rFonts w:cs="Arial"/>
                <w:color w:val="000000" w:themeColor="text1"/>
                <w:sz w:val="16"/>
                <w:szCs w:val="16"/>
                <w:lang w:val="hr-HR"/>
              </w:rPr>
            </w:pPr>
            <w:r w:rsidRPr="0046584E">
              <w:rPr>
                <w:rFonts w:cs="Arial"/>
                <w:color w:val="000000" w:themeColor="text1"/>
                <w:sz w:val="16"/>
                <w:szCs w:val="16"/>
                <w:lang w:val="hr-HR"/>
              </w:rPr>
              <w:t>Reklasifikacija (+/-)</w:t>
            </w:r>
          </w:p>
        </w:tc>
        <w:tc>
          <w:tcPr>
            <w:tcW w:w="586" w:type="pct"/>
            <w:tcBorders>
              <w:top w:val="nil"/>
              <w:left w:val="nil"/>
              <w:right w:val="nil"/>
            </w:tcBorders>
            <w:shd w:val="clear" w:color="auto" w:fill="auto"/>
            <w:vAlign w:val="bottom"/>
          </w:tcPr>
          <w:p w14:paraId="6B7CD229" w14:textId="77777777" w:rsidR="004E2F51" w:rsidRPr="0046584E" w:rsidDel="00A27460" w:rsidRDefault="004E2F51" w:rsidP="00E032FC">
            <w:pPr>
              <w:pStyle w:val="Tot"/>
              <w:tabs>
                <w:tab w:val="clear" w:pos="1202"/>
              </w:tabs>
              <w:jc w:val="right"/>
              <w:rPr>
                <w:rFonts w:cs="Arial"/>
                <w:color w:val="000000" w:themeColor="text1"/>
                <w:sz w:val="16"/>
                <w:szCs w:val="16"/>
                <w:lang w:val="hr-HR"/>
              </w:rPr>
            </w:pPr>
            <w:r w:rsidRPr="0046584E">
              <w:rPr>
                <w:rFonts w:cs="Arial"/>
                <w:color w:val="000000" w:themeColor="text1"/>
                <w:sz w:val="16"/>
                <w:szCs w:val="16"/>
                <w:lang w:val="hr-HR"/>
              </w:rPr>
              <w:t>-</w:t>
            </w:r>
          </w:p>
        </w:tc>
        <w:tc>
          <w:tcPr>
            <w:tcW w:w="567" w:type="pct"/>
            <w:tcBorders>
              <w:top w:val="nil"/>
              <w:left w:val="nil"/>
              <w:right w:val="nil"/>
            </w:tcBorders>
            <w:shd w:val="clear" w:color="auto" w:fill="auto"/>
            <w:vAlign w:val="bottom"/>
          </w:tcPr>
          <w:p w14:paraId="2E975B2B" w14:textId="77777777" w:rsidR="004E2F51" w:rsidRPr="0046584E" w:rsidRDefault="004E2F51" w:rsidP="00E032FC">
            <w:pPr>
              <w:pStyle w:val="Tot"/>
              <w:tabs>
                <w:tab w:val="clear" w:pos="1202"/>
              </w:tabs>
              <w:jc w:val="right"/>
              <w:rPr>
                <w:rFonts w:cs="Arial"/>
                <w:sz w:val="16"/>
                <w:szCs w:val="16"/>
              </w:rPr>
            </w:pPr>
            <w:r w:rsidRPr="0046584E">
              <w:rPr>
                <w:rFonts w:cs="Arial"/>
                <w:sz w:val="16"/>
                <w:szCs w:val="16"/>
              </w:rPr>
              <w:t>-</w:t>
            </w:r>
          </w:p>
        </w:tc>
        <w:tc>
          <w:tcPr>
            <w:tcW w:w="567" w:type="pct"/>
            <w:tcBorders>
              <w:top w:val="nil"/>
              <w:left w:val="nil"/>
              <w:right w:val="nil"/>
            </w:tcBorders>
            <w:shd w:val="clear" w:color="auto" w:fill="auto"/>
            <w:vAlign w:val="bottom"/>
          </w:tcPr>
          <w:p w14:paraId="7F91463A" w14:textId="77777777" w:rsidR="004E2F51" w:rsidRPr="0046584E" w:rsidRDefault="004E2F51" w:rsidP="00E032FC">
            <w:pPr>
              <w:pStyle w:val="Tot"/>
              <w:tabs>
                <w:tab w:val="clear" w:pos="1202"/>
              </w:tabs>
              <w:jc w:val="right"/>
              <w:rPr>
                <w:rFonts w:cs="Arial"/>
                <w:sz w:val="16"/>
                <w:szCs w:val="16"/>
              </w:rPr>
            </w:pPr>
            <w:r w:rsidRPr="0046584E">
              <w:rPr>
                <w:rFonts w:cs="Arial"/>
                <w:sz w:val="16"/>
                <w:szCs w:val="16"/>
              </w:rPr>
              <w:t>-</w:t>
            </w:r>
          </w:p>
        </w:tc>
        <w:tc>
          <w:tcPr>
            <w:tcW w:w="567" w:type="pct"/>
            <w:tcBorders>
              <w:top w:val="nil"/>
              <w:left w:val="nil"/>
              <w:right w:val="nil"/>
            </w:tcBorders>
            <w:shd w:val="clear" w:color="auto" w:fill="auto"/>
            <w:vAlign w:val="bottom"/>
          </w:tcPr>
          <w:p w14:paraId="03401576" w14:textId="77777777" w:rsidR="004E2F51" w:rsidRPr="0046584E" w:rsidRDefault="004E2F51" w:rsidP="00E032FC">
            <w:pPr>
              <w:pStyle w:val="Tot"/>
              <w:tabs>
                <w:tab w:val="clear" w:pos="1202"/>
              </w:tabs>
              <w:jc w:val="right"/>
              <w:rPr>
                <w:rFonts w:cs="Arial"/>
                <w:sz w:val="16"/>
                <w:szCs w:val="16"/>
              </w:rPr>
            </w:pPr>
            <w:r w:rsidRPr="0046584E">
              <w:rPr>
                <w:rFonts w:cs="Arial"/>
                <w:sz w:val="16"/>
                <w:szCs w:val="16"/>
              </w:rPr>
              <w:t>-</w:t>
            </w:r>
          </w:p>
        </w:tc>
        <w:tc>
          <w:tcPr>
            <w:tcW w:w="567" w:type="pct"/>
            <w:tcBorders>
              <w:top w:val="nil"/>
              <w:left w:val="nil"/>
              <w:right w:val="nil"/>
            </w:tcBorders>
            <w:shd w:val="clear" w:color="auto" w:fill="auto"/>
            <w:vAlign w:val="bottom"/>
          </w:tcPr>
          <w:p w14:paraId="4C84030B" w14:textId="77777777" w:rsidR="004E2F51" w:rsidRPr="0046584E" w:rsidRDefault="004E2F51" w:rsidP="00E032FC">
            <w:pPr>
              <w:pStyle w:val="Tot"/>
              <w:tabs>
                <w:tab w:val="clear" w:pos="1202"/>
              </w:tabs>
              <w:jc w:val="right"/>
              <w:rPr>
                <w:rFonts w:cs="Arial"/>
                <w:sz w:val="16"/>
                <w:szCs w:val="16"/>
              </w:rPr>
            </w:pPr>
            <w:r w:rsidRPr="0046584E">
              <w:rPr>
                <w:rFonts w:cs="Arial"/>
                <w:sz w:val="16"/>
                <w:szCs w:val="16"/>
              </w:rPr>
              <w:t>-</w:t>
            </w:r>
          </w:p>
        </w:tc>
        <w:tc>
          <w:tcPr>
            <w:tcW w:w="671" w:type="pct"/>
            <w:tcBorders>
              <w:top w:val="nil"/>
              <w:left w:val="nil"/>
              <w:right w:val="nil"/>
            </w:tcBorders>
            <w:shd w:val="clear" w:color="auto" w:fill="auto"/>
            <w:vAlign w:val="bottom"/>
          </w:tcPr>
          <w:p w14:paraId="7F759928" w14:textId="77777777" w:rsidR="004E2F51" w:rsidRPr="0046584E" w:rsidRDefault="004E2F51" w:rsidP="00E032FC">
            <w:pPr>
              <w:pStyle w:val="Tot"/>
              <w:tabs>
                <w:tab w:val="clear" w:pos="1202"/>
              </w:tabs>
              <w:jc w:val="right"/>
              <w:rPr>
                <w:rFonts w:cs="Arial"/>
                <w:sz w:val="16"/>
                <w:szCs w:val="16"/>
              </w:rPr>
            </w:pPr>
            <w:r w:rsidRPr="0046584E">
              <w:rPr>
                <w:rFonts w:cs="Arial"/>
                <w:sz w:val="16"/>
                <w:szCs w:val="16"/>
              </w:rPr>
              <w:t xml:space="preserve"> 1 </w:t>
            </w:r>
          </w:p>
        </w:tc>
        <w:tc>
          <w:tcPr>
            <w:tcW w:w="472" w:type="pct"/>
            <w:tcBorders>
              <w:top w:val="nil"/>
              <w:left w:val="nil"/>
              <w:right w:val="nil"/>
            </w:tcBorders>
            <w:shd w:val="clear" w:color="auto" w:fill="auto"/>
            <w:vAlign w:val="bottom"/>
          </w:tcPr>
          <w:p w14:paraId="5D819468" w14:textId="77777777" w:rsidR="004E2F51" w:rsidRPr="0046584E" w:rsidRDefault="004E2F51" w:rsidP="00E032FC">
            <w:pPr>
              <w:pStyle w:val="Tot"/>
              <w:tabs>
                <w:tab w:val="clear" w:pos="1202"/>
              </w:tabs>
              <w:jc w:val="right"/>
              <w:rPr>
                <w:rFonts w:cs="Arial"/>
                <w:sz w:val="16"/>
                <w:szCs w:val="16"/>
              </w:rPr>
            </w:pPr>
            <w:r w:rsidRPr="0046584E">
              <w:rPr>
                <w:rFonts w:cs="Arial"/>
                <w:sz w:val="16"/>
                <w:szCs w:val="16"/>
              </w:rPr>
              <w:t>1</w:t>
            </w:r>
          </w:p>
        </w:tc>
      </w:tr>
      <w:tr w:rsidR="004E2F51" w:rsidRPr="0046584E" w14:paraId="6FBECD94" w14:textId="77777777" w:rsidTr="002D6F0B">
        <w:trPr>
          <w:trHeight w:val="492"/>
        </w:trPr>
        <w:tc>
          <w:tcPr>
            <w:tcW w:w="1005" w:type="pct"/>
            <w:vAlign w:val="bottom"/>
          </w:tcPr>
          <w:p w14:paraId="30611080"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Stanje </w:t>
            </w:r>
          </w:p>
          <w:p w14:paraId="16C2D01A"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2021.</w:t>
            </w:r>
          </w:p>
        </w:tc>
        <w:tc>
          <w:tcPr>
            <w:tcW w:w="586" w:type="pct"/>
            <w:tcBorders>
              <w:top w:val="single" w:sz="4" w:space="0" w:color="auto"/>
              <w:left w:val="nil"/>
              <w:bottom w:val="single" w:sz="12" w:space="0" w:color="auto"/>
              <w:right w:val="nil"/>
            </w:tcBorders>
            <w:shd w:val="clear" w:color="auto" w:fill="auto"/>
            <w:vAlign w:val="bottom"/>
          </w:tcPr>
          <w:p w14:paraId="4AB62181"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78.020 </w:t>
            </w:r>
          </w:p>
        </w:tc>
        <w:tc>
          <w:tcPr>
            <w:tcW w:w="567" w:type="pct"/>
            <w:tcBorders>
              <w:top w:val="single" w:sz="4" w:space="0" w:color="auto"/>
              <w:left w:val="nil"/>
              <w:bottom w:val="single" w:sz="12" w:space="0" w:color="auto"/>
              <w:right w:val="nil"/>
            </w:tcBorders>
            <w:shd w:val="clear" w:color="auto" w:fill="auto"/>
            <w:vAlign w:val="bottom"/>
          </w:tcPr>
          <w:p w14:paraId="48302436"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13.851 </w:t>
            </w:r>
          </w:p>
        </w:tc>
        <w:tc>
          <w:tcPr>
            <w:tcW w:w="567" w:type="pct"/>
            <w:tcBorders>
              <w:top w:val="single" w:sz="4" w:space="0" w:color="auto"/>
              <w:left w:val="nil"/>
              <w:bottom w:val="single" w:sz="12" w:space="0" w:color="auto"/>
              <w:right w:val="nil"/>
            </w:tcBorders>
            <w:shd w:val="clear" w:color="auto" w:fill="auto"/>
            <w:vAlign w:val="bottom"/>
          </w:tcPr>
          <w:p w14:paraId="79E9F6FE"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12.929 </w:t>
            </w:r>
          </w:p>
        </w:tc>
        <w:tc>
          <w:tcPr>
            <w:tcW w:w="567" w:type="pct"/>
            <w:tcBorders>
              <w:top w:val="single" w:sz="4" w:space="0" w:color="auto"/>
              <w:left w:val="nil"/>
              <w:bottom w:val="single" w:sz="12" w:space="0" w:color="auto"/>
              <w:right w:val="nil"/>
            </w:tcBorders>
            <w:shd w:val="clear" w:color="auto" w:fill="auto"/>
            <w:vAlign w:val="bottom"/>
          </w:tcPr>
          <w:p w14:paraId="1FB56423"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55 </w:t>
            </w:r>
          </w:p>
        </w:tc>
        <w:tc>
          <w:tcPr>
            <w:tcW w:w="567" w:type="pct"/>
            <w:tcBorders>
              <w:top w:val="single" w:sz="4" w:space="0" w:color="auto"/>
              <w:left w:val="nil"/>
              <w:bottom w:val="single" w:sz="12" w:space="0" w:color="auto"/>
              <w:right w:val="nil"/>
            </w:tcBorders>
            <w:shd w:val="clear" w:color="auto" w:fill="auto"/>
            <w:vAlign w:val="bottom"/>
          </w:tcPr>
          <w:p w14:paraId="0CCF61EB"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104.855 </w:t>
            </w:r>
          </w:p>
        </w:tc>
        <w:tc>
          <w:tcPr>
            <w:tcW w:w="671" w:type="pct"/>
            <w:tcBorders>
              <w:top w:val="single" w:sz="4" w:space="0" w:color="auto"/>
              <w:left w:val="nil"/>
              <w:bottom w:val="single" w:sz="12" w:space="0" w:color="auto"/>
              <w:right w:val="nil"/>
            </w:tcBorders>
            <w:shd w:val="clear" w:color="auto" w:fill="auto"/>
            <w:vAlign w:val="bottom"/>
          </w:tcPr>
          <w:p w14:paraId="0AEC27A0"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35.922 </w:t>
            </w:r>
          </w:p>
        </w:tc>
        <w:tc>
          <w:tcPr>
            <w:tcW w:w="472" w:type="pct"/>
            <w:tcBorders>
              <w:top w:val="single" w:sz="4" w:space="0" w:color="auto"/>
              <w:left w:val="nil"/>
              <w:bottom w:val="single" w:sz="12" w:space="0" w:color="auto"/>
              <w:right w:val="nil"/>
            </w:tcBorders>
            <w:shd w:val="clear" w:color="auto" w:fill="auto"/>
            <w:vAlign w:val="bottom"/>
          </w:tcPr>
          <w:p w14:paraId="20B8E1E5"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140.777 </w:t>
            </w:r>
          </w:p>
        </w:tc>
      </w:tr>
      <w:tr w:rsidR="004E2F51" w:rsidRPr="0046584E" w14:paraId="25B66373" w14:textId="77777777" w:rsidTr="002D6F0B">
        <w:trPr>
          <w:trHeight w:val="259"/>
        </w:trPr>
        <w:tc>
          <w:tcPr>
            <w:tcW w:w="1005" w:type="pct"/>
            <w:vAlign w:val="bottom"/>
          </w:tcPr>
          <w:p w14:paraId="05E19A3C" w14:textId="77777777" w:rsidR="004E2F51" w:rsidRPr="0046584E" w:rsidRDefault="004E2F51" w:rsidP="00E032FC">
            <w:pPr>
              <w:pStyle w:val="T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Amortizacija i ispravak vrijednosti </w:t>
            </w:r>
          </w:p>
        </w:tc>
        <w:tc>
          <w:tcPr>
            <w:tcW w:w="586" w:type="pct"/>
            <w:tcBorders>
              <w:top w:val="single" w:sz="12" w:space="0" w:color="auto"/>
            </w:tcBorders>
            <w:vAlign w:val="center"/>
          </w:tcPr>
          <w:p w14:paraId="3AE69FD4" w14:textId="77777777" w:rsidR="004E2F51" w:rsidRPr="0046584E" w:rsidRDefault="004E2F51" w:rsidP="00E032FC">
            <w:pPr>
              <w:pStyle w:val="TT"/>
              <w:tabs>
                <w:tab w:val="clear" w:pos="1202"/>
              </w:tabs>
              <w:jc w:val="right"/>
              <w:rPr>
                <w:rFonts w:cs="Arial"/>
                <w:color w:val="000000" w:themeColor="text1"/>
                <w:sz w:val="16"/>
                <w:szCs w:val="16"/>
                <w:highlight w:val="yellow"/>
                <w:lang w:val="hr-HR"/>
              </w:rPr>
            </w:pPr>
          </w:p>
        </w:tc>
        <w:tc>
          <w:tcPr>
            <w:tcW w:w="567" w:type="pct"/>
            <w:tcBorders>
              <w:top w:val="single" w:sz="12" w:space="0" w:color="auto"/>
            </w:tcBorders>
            <w:vAlign w:val="center"/>
          </w:tcPr>
          <w:p w14:paraId="3C8E4C0D" w14:textId="77777777" w:rsidR="004E2F51" w:rsidRPr="0046584E" w:rsidRDefault="004E2F51" w:rsidP="00E032FC">
            <w:pPr>
              <w:pStyle w:val="TT"/>
              <w:tabs>
                <w:tab w:val="clear" w:pos="1202"/>
              </w:tabs>
              <w:jc w:val="right"/>
              <w:rPr>
                <w:rFonts w:cs="Arial"/>
                <w:color w:val="000000" w:themeColor="text1"/>
                <w:sz w:val="16"/>
                <w:szCs w:val="16"/>
                <w:highlight w:val="yellow"/>
                <w:lang w:val="hr-HR"/>
              </w:rPr>
            </w:pPr>
          </w:p>
        </w:tc>
        <w:tc>
          <w:tcPr>
            <w:tcW w:w="567" w:type="pct"/>
            <w:tcBorders>
              <w:top w:val="single" w:sz="12" w:space="0" w:color="auto"/>
            </w:tcBorders>
            <w:vAlign w:val="center"/>
          </w:tcPr>
          <w:p w14:paraId="3A0865DD" w14:textId="77777777" w:rsidR="004E2F51" w:rsidRPr="0046584E" w:rsidRDefault="004E2F51" w:rsidP="00E032FC">
            <w:pPr>
              <w:pStyle w:val="TT"/>
              <w:tabs>
                <w:tab w:val="clear" w:pos="1202"/>
              </w:tabs>
              <w:jc w:val="right"/>
              <w:rPr>
                <w:rFonts w:cs="Arial"/>
                <w:color w:val="000000" w:themeColor="text1"/>
                <w:sz w:val="16"/>
                <w:szCs w:val="16"/>
                <w:highlight w:val="yellow"/>
                <w:lang w:val="hr-HR"/>
              </w:rPr>
            </w:pPr>
          </w:p>
        </w:tc>
        <w:tc>
          <w:tcPr>
            <w:tcW w:w="567" w:type="pct"/>
            <w:tcBorders>
              <w:top w:val="single" w:sz="12" w:space="0" w:color="auto"/>
            </w:tcBorders>
            <w:vAlign w:val="center"/>
          </w:tcPr>
          <w:p w14:paraId="6F38B2A3" w14:textId="77777777" w:rsidR="004E2F51" w:rsidRPr="0046584E" w:rsidRDefault="004E2F51" w:rsidP="00E032FC">
            <w:pPr>
              <w:pStyle w:val="TT"/>
              <w:tabs>
                <w:tab w:val="clear" w:pos="1202"/>
              </w:tabs>
              <w:jc w:val="right"/>
              <w:rPr>
                <w:rFonts w:cs="Arial"/>
                <w:color w:val="000000" w:themeColor="text1"/>
                <w:sz w:val="16"/>
                <w:szCs w:val="16"/>
                <w:highlight w:val="yellow"/>
                <w:lang w:val="hr-HR"/>
              </w:rPr>
            </w:pPr>
          </w:p>
        </w:tc>
        <w:tc>
          <w:tcPr>
            <w:tcW w:w="567" w:type="pct"/>
            <w:tcBorders>
              <w:top w:val="single" w:sz="12" w:space="0" w:color="auto"/>
            </w:tcBorders>
            <w:vAlign w:val="center"/>
          </w:tcPr>
          <w:p w14:paraId="6D2A11DF" w14:textId="77777777" w:rsidR="004E2F51" w:rsidRPr="0046584E" w:rsidRDefault="004E2F51" w:rsidP="00E032FC">
            <w:pPr>
              <w:pStyle w:val="TT"/>
              <w:tabs>
                <w:tab w:val="clear" w:pos="1202"/>
              </w:tabs>
              <w:jc w:val="right"/>
              <w:rPr>
                <w:rFonts w:cs="Arial"/>
                <w:color w:val="000000" w:themeColor="text1"/>
                <w:sz w:val="16"/>
                <w:szCs w:val="16"/>
                <w:highlight w:val="yellow"/>
                <w:lang w:val="hr-HR"/>
              </w:rPr>
            </w:pPr>
          </w:p>
        </w:tc>
        <w:tc>
          <w:tcPr>
            <w:tcW w:w="671" w:type="pct"/>
            <w:tcBorders>
              <w:top w:val="single" w:sz="12" w:space="0" w:color="auto"/>
            </w:tcBorders>
            <w:vAlign w:val="center"/>
          </w:tcPr>
          <w:p w14:paraId="01FC7F31" w14:textId="77777777" w:rsidR="004E2F51" w:rsidRPr="0046584E" w:rsidRDefault="004E2F51" w:rsidP="00E032FC">
            <w:pPr>
              <w:pStyle w:val="TT"/>
              <w:tabs>
                <w:tab w:val="clear" w:pos="1202"/>
              </w:tabs>
              <w:jc w:val="right"/>
              <w:rPr>
                <w:rFonts w:cs="Arial"/>
                <w:color w:val="000000" w:themeColor="text1"/>
                <w:sz w:val="16"/>
                <w:szCs w:val="16"/>
                <w:highlight w:val="yellow"/>
                <w:lang w:val="hr-HR"/>
              </w:rPr>
            </w:pPr>
          </w:p>
        </w:tc>
        <w:tc>
          <w:tcPr>
            <w:tcW w:w="472" w:type="pct"/>
            <w:tcBorders>
              <w:top w:val="single" w:sz="12" w:space="0" w:color="auto"/>
            </w:tcBorders>
            <w:vAlign w:val="center"/>
          </w:tcPr>
          <w:p w14:paraId="4EA832EC" w14:textId="77777777" w:rsidR="004E2F51" w:rsidRPr="0046584E" w:rsidRDefault="004E2F51" w:rsidP="00E032FC">
            <w:pPr>
              <w:pStyle w:val="TT"/>
              <w:tabs>
                <w:tab w:val="clear" w:pos="1202"/>
              </w:tabs>
              <w:jc w:val="right"/>
              <w:rPr>
                <w:rFonts w:cs="Arial"/>
                <w:color w:val="000000" w:themeColor="text1"/>
                <w:sz w:val="16"/>
                <w:szCs w:val="16"/>
                <w:highlight w:val="yellow"/>
                <w:lang w:val="hr-HR"/>
              </w:rPr>
            </w:pPr>
          </w:p>
        </w:tc>
      </w:tr>
      <w:tr w:rsidR="004E2F51" w:rsidRPr="0046584E" w14:paraId="14580325" w14:textId="77777777" w:rsidTr="002D6F0B">
        <w:trPr>
          <w:trHeight w:val="504"/>
        </w:trPr>
        <w:tc>
          <w:tcPr>
            <w:tcW w:w="1005" w:type="pct"/>
            <w:vAlign w:val="bottom"/>
          </w:tcPr>
          <w:p w14:paraId="611209D8"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Stanje </w:t>
            </w:r>
          </w:p>
          <w:p w14:paraId="0C107FDC"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2020.</w:t>
            </w:r>
          </w:p>
        </w:tc>
        <w:tc>
          <w:tcPr>
            <w:tcW w:w="586" w:type="pct"/>
            <w:tcBorders>
              <w:left w:val="nil"/>
              <w:right w:val="nil"/>
            </w:tcBorders>
            <w:shd w:val="clear" w:color="auto" w:fill="auto"/>
            <w:vAlign w:val="bottom"/>
          </w:tcPr>
          <w:p w14:paraId="7005CCF9"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40.955</w:t>
            </w:r>
          </w:p>
        </w:tc>
        <w:tc>
          <w:tcPr>
            <w:tcW w:w="567" w:type="pct"/>
            <w:tcBorders>
              <w:left w:val="nil"/>
              <w:right w:val="nil"/>
            </w:tcBorders>
            <w:shd w:val="clear" w:color="auto" w:fill="auto"/>
            <w:vAlign w:val="bottom"/>
          </w:tcPr>
          <w:p w14:paraId="2995532F"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9.531</w:t>
            </w:r>
          </w:p>
        </w:tc>
        <w:tc>
          <w:tcPr>
            <w:tcW w:w="567" w:type="pct"/>
            <w:tcBorders>
              <w:left w:val="nil"/>
              <w:right w:val="nil"/>
            </w:tcBorders>
            <w:shd w:val="clear" w:color="auto" w:fill="auto"/>
            <w:vAlign w:val="bottom"/>
          </w:tcPr>
          <w:p w14:paraId="60A50D1C"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11.466</w:t>
            </w:r>
          </w:p>
        </w:tc>
        <w:tc>
          <w:tcPr>
            <w:tcW w:w="567" w:type="pct"/>
            <w:tcBorders>
              <w:left w:val="nil"/>
              <w:right w:val="nil"/>
            </w:tcBorders>
            <w:shd w:val="clear" w:color="auto" w:fill="auto"/>
            <w:vAlign w:val="bottom"/>
          </w:tcPr>
          <w:p w14:paraId="36F4DF9C"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w:t>
            </w:r>
          </w:p>
        </w:tc>
        <w:tc>
          <w:tcPr>
            <w:tcW w:w="567" w:type="pct"/>
            <w:tcBorders>
              <w:left w:val="nil"/>
              <w:right w:val="nil"/>
            </w:tcBorders>
            <w:shd w:val="clear" w:color="auto" w:fill="auto"/>
            <w:vAlign w:val="bottom"/>
          </w:tcPr>
          <w:p w14:paraId="6B3347D9"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61.952</w:t>
            </w:r>
          </w:p>
        </w:tc>
        <w:tc>
          <w:tcPr>
            <w:tcW w:w="671" w:type="pct"/>
            <w:tcBorders>
              <w:left w:val="nil"/>
              <w:right w:val="nil"/>
            </w:tcBorders>
            <w:shd w:val="clear" w:color="auto" w:fill="auto"/>
            <w:vAlign w:val="bottom"/>
          </w:tcPr>
          <w:p w14:paraId="29584A6B"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30.611</w:t>
            </w:r>
          </w:p>
        </w:tc>
        <w:tc>
          <w:tcPr>
            <w:tcW w:w="472" w:type="pct"/>
            <w:tcBorders>
              <w:left w:val="nil"/>
              <w:right w:val="nil"/>
            </w:tcBorders>
            <w:shd w:val="clear" w:color="auto" w:fill="auto"/>
            <w:vAlign w:val="bottom"/>
          </w:tcPr>
          <w:p w14:paraId="3B2BA4A4"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92.563</w:t>
            </w:r>
          </w:p>
        </w:tc>
      </w:tr>
      <w:tr w:rsidR="004E2F51" w:rsidRPr="0046584E" w14:paraId="73556F5F" w14:textId="77777777" w:rsidTr="002D6F0B">
        <w:trPr>
          <w:trHeight w:val="342"/>
        </w:trPr>
        <w:tc>
          <w:tcPr>
            <w:tcW w:w="1005" w:type="pct"/>
            <w:vAlign w:val="bottom"/>
          </w:tcPr>
          <w:p w14:paraId="0F7D5492" w14:textId="77777777" w:rsidR="004E2F51" w:rsidRPr="0046584E" w:rsidRDefault="004E2F51" w:rsidP="00E032FC">
            <w:pPr>
              <w:pStyle w:val="Tot"/>
              <w:spacing w:line="240" w:lineRule="exact"/>
              <w:rPr>
                <w:rFonts w:cs="Arial"/>
                <w:bCs/>
                <w:color w:val="000000" w:themeColor="text1"/>
                <w:sz w:val="16"/>
                <w:szCs w:val="16"/>
                <w:lang w:val="hr-HR"/>
              </w:rPr>
            </w:pPr>
            <w:r w:rsidRPr="0046584E">
              <w:rPr>
                <w:rFonts w:cs="Arial"/>
                <w:bCs/>
                <w:color w:val="000000" w:themeColor="text1"/>
                <w:sz w:val="16"/>
                <w:szCs w:val="16"/>
                <w:lang w:val="hr-HR"/>
              </w:rPr>
              <w:t>Amortizacija za 2021.</w:t>
            </w:r>
          </w:p>
        </w:tc>
        <w:tc>
          <w:tcPr>
            <w:tcW w:w="586" w:type="pct"/>
            <w:tcBorders>
              <w:left w:val="nil"/>
              <w:bottom w:val="nil"/>
              <w:right w:val="nil"/>
            </w:tcBorders>
            <w:shd w:val="clear" w:color="auto" w:fill="auto"/>
            <w:vAlign w:val="bottom"/>
          </w:tcPr>
          <w:p w14:paraId="56222C5F"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4.016 </w:t>
            </w:r>
          </w:p>
        </w:tc>
        <w:tc>
          <w:tcPr>
            <w:tcW w:w="567" w:type="pct"/>
            <w:tcBorders>
              <w:left w:val="nil"/>
              <w:bottom w:val="nil"/>
              <w:right w:val="nil"/>
            </w:tcBorders>
            <w:shd w:val="clear" w:color="auto" w:fill="auto"/>
            <w:vAlign w:val="bottom"/>
          </w:tcPr>
          <w:p w14:paraId="780D0F5A"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2.192 </w:t>
            </w:r>
          </w:p>
        </w:tc>
        <w:tc>
          <w:tcPr>
            <w:tcW w:w="567" w:type="pct"/>
            <w:tcBorders>
              <w:left w:val="nil"/>
              <w:bottom w:val="nil"/>
              <w:right w:val="nil"/>
            </w:tcBorders>
            <w:shd w:val="clear" w:color="auto" w:fill="auto"/>
            <w:vAlign w:val="bottom"/>
          </w:tcPr>
          <w:p w14:paraId="2812DD8B"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599 </w:t>
            </w:r>
          </w:p>
        </w:tc>
        <w:tc>
          <w:tcPr>
            <w:tcW w:w="567" w:type="pct"/>
            <w:tcBorders>
              <w:left w:val="nil"/>
              <w:bottom w:val="nil"/>
              <w:right w:val="nil"/>
            </w:tcBorders>
            <w:shd w:val="clear" w:color="auto" w:fill="auto"/>
            <w:vAlign w:val="bottom"/>
          </w:tcPr>
          <w:p w14:paraId="76C9DC0F" w14:textId="77777777" w:rsidR="004E2F51" w:rsidRPr="0046584E" w:rsidRDefault="004E2F51" w:rsidP="00E032FC">
            <w:pPr>
              <w:pStyle w:val="Tot"/>
              <w:tabs>
                <w:tab w:val="clear" w:pos="1202"/>
              </w:tabs>
              <w:jc w:val="right"/>
              <w:rPr>
                <w:rFonts w:cs="Arial"/>
                <w:color w:val="000000" w:themeColor="text1"/>
                <w:sz w:val="16"/>
                <w:szCs w:val="16"/>
                <w:lang w:val="hr-HR"/>
              </w:rPr>
            </w:pPr>
            <w:r w:rsidRPr="0046584E">
              <w:rPr>
                <w:rFonts w:cs="Arial"/>
                <w:sz w:val="16"/>
                <w:szCs w:val="16"/>
              </w:rPr>
              <w:t xml:space="preserve"> - </w:t>
            </w:r>
          </w:p>
        </w:tc>
        <w:tc>
          <w:tcPr>
            <w:tcW w:w="567" w:type="pct"/>
            <w:tcBorders>
              <w:left w:val="nil"/>
              <w:bottom w:val="nil"/>
              <w:right w:val="nil"/>
            </w:tcBorders>
            <w:shd w:val="clear" w:color="auto" w:fill="auto"/>
            <w:vAlign w:val="bottom"/>
          </w:tcPr>
          <w:p w14:paraId="390C1EFD" w14:textId="77777777" w:rsidR="004E2F51" w:rsidRPr="0046584E" w:rsidRDefault="004E2F51" w:rsidP="00E032FC">
            <w:pPr>
              <w:pStyle w:val="Tot"/>
              <w:tabs>
                <w:tab w:val="clear" w:pos="1202"/>
              </w:tabs>
              <w:jc w:val="right"/>
              <w:rPr>
                <w:rFonts w:cs="Arial"/>
                <w:color w:val="000000" w:themeColor="text1"/>
                <w:sz w:val="16"/>
                <w:szCs w:val="16"/>
                <w:lang w:val="hr-HR"/>
              </w:rPr>
            </w:pPr>
            <w:r w:rsidRPr="0046584E">
              <w:rPr>
                <w:rFonts w:cs="Arial"/>
                <w:sz w:val="16"/>
                <w:szCs w:val="16"/>
              </w:rPr>
              <w:t xml:space="preserve"> 6.807 </w:t>
            </w:r>
          </w:p>
        </w:tc>
        <w:tc>
          <w:tcPr>
            <w:tcW w:w="671" w:type="pct"/>
            <w:tcBorders>
              <w:left w:val="nil"/>
              <w:bottom w:val="nil"/>
              <w:right w:val="nil"/>
            </w:tcBorders>
            <w:shd w:val="clear" w:color="auto" w:fill="auto"/>
            <w:vAlign w:val="bottom"/>
          </w:tcPr>
          <w:p w14:paraId="210DAD59"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2.299 </w:t>
            </w:r>
          </w:p>
        </w:tc>
        <w:tc>
          <w:tcPr>
            <w:tcW w:w="472" w:type="pct"/>
            <w:tcBorders>
              <w:left w:val="nil"/>
              <w:bottom w:val="nil"/>
              <w:right w:val="nil"/>
            </w:tcBorders>
            <w:shd w:val="clear" w:color="auto" w:fill="auto"/>
            <w:vAlign w:val="bottom"/>
          </w:tcPr>
          <w:p w14:paraId="24BFF637"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9.106 </w:t>
            </w:r>
          </w:p>
        </w:tc>
      </w:tr>
      <w:tr w:rsidR="004E2F51" w:rsidRPr="0046584E" w14:paraId="5F92AAE7" w14:textId="77777777" w:rsidTr="002D6F0B">
        <w:trPr>
          <w:trHeight w:val="288"/>
        </w:trPr>
        <w:tc>
          <w:tcPr>
            <w:tcW w:w="1005" w:type="pct"/>
            <w:vAlign w:val="bottom"/>
          </w:tcPr>
          <w:p w14:paraId="2F9E9616" w14:textId="77777777" w:rsidR="004E2F51" w:rsidRPr="0046584E" w:rsidRDefault="004E2F51" w:rsidP="00E032FC">
            <w:pPr>
              <w:pStyle w:val="TT"/>
              <w:spacing w:line="240" w:lineRule="exact"/>
              <w:rPr>
                <w:rFonts w:cs="Arial"/>
                <w:color w:val="000000" w:themeColor="text1"/>
                <w:sz w:val="16"/>
                <w:szCs w:val="16"/>
                <w:lang w:val="hr-HR"/>
              </w:rPr>
            </w:pPr>
            <w:r w:rsidRPr="0046584E">
              <w:rPr>
                <w:rFonts w:cs="Arial"/>
                <w:color w:val="000000" w:themeColor="text1"/>
                <w:sz w:val="16"/>
                <w:szCs w:val="16"/>
                <w:lang w:val="hr-HR"/>
              </w:rPr>
              <w:t>Rashod i otpis</w:t>
            </w:r>
          </w:p>
        </w:tc>
        <w:tc>
          <w:tcPr>
            <w:tcW w:w="586" w:type="pct"/>
            <w:tcBorders>
              <w:top w:val="nil"/>
              <w:left w:val="nil"/>
              <w:right w:val="nil"/>
            </w:tcBorders>
            <w:shd w:val="clear" w:color="auto" w:fill="auto"/>
            <w:vAlign w:val="bottom"/>
          </w:tcPr>
          <w:p w14:paraId="71F08628"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 </w:t>
            </w:r>
          </w:p>
        </w:tc>
        <w:tc>
          <w:tcPr>
            <w:tcW w:w="567" w:type="pct"/>
            <w:tcBorders>
              <w:top w:val="nil"/>
              <w:left w:val="nil"/>
              <w:right w:val="nil"/>
            </w:tcBorders>
            <w:shd w:val="clear" w:color="auto" w:fill="auto"/>
            <w:vAlign w:val="bottom"/>
          </w:tcPr>
          <w:p w14:paraId="3357A744"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(198)</w:t>
            </w:r>
          </w:p>
        </w:tc>
        <w:tc>
          <w:tcPr>
            <w:tcW w:w="567" w:type="pct"/>
            <w:tcBorders>
              <w:top w:val="nil"/>
              <w:left w:val="nil"/>
              <w:right w:val="nil"/>
            </w:tcBorders>
            <w:shd w:val="clear" w:color="auto" w:fill="auto"/>
            <w:vAlign w:val="bottom"/>
          </w:tcPr>
          <w:p w14:paraId="44B8A38F"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(1.273)</w:t>
            </w:r>
          </w:p>
        </w:tc>
        <w:tc>
          <w:tcPr>
            <w:tcW w:w="567" w:type="pct"/>
            <w:tcBorders>
              <w:top w:val="nil"/>
              <w:left w:val="nil"/>
              <w:right w:val="nil"/>
            </w:tcBorders>
            <w:shd w:val="clear" w:color="auto" w:fill="auto"/>
            <w:vAlign w:val="bottom"/>
          </w:tcPr>
          <w:p w14:paraId="7A678634" w14:textId="77777777" w:rsidR="004E2F51" w:rsidRPr="0046584E" w:rsidRDefault="004E2F51" w:rsidP="00E032FC">
            <w:pPr>
              <w:pStyle w:val="Tot"/>
              <w:tabs>
                <w:tab w:val="clear" w:pos="1202"/>
              </w:tabs>
              <w:jc w:val="right"/>
              <w:rPr>
                <w:rFonts w:cs="Arial"/>
                <w:color w:val="000000" w:themeColor="text1"/>
                <w:sz w:val="16"/>
                <w:szCs w:val="16"/>
                <w:lang w:val="hr-HR"/>
              </w:rPr>
            </w:pPr>
            <w:r w:rsidRPr="0046584E">
              <w:rPr>
                <w:rFonts w:cs="Arial"/>
                <w:color w:val="000000" w:themeColor="text1"/>
                <w:sz w:val="16"/>
                <w:szCs w:val="16"/>
                <w:lang w:val="hr-HR"/>
              </w:rPr>
              <w:t>-</w:t>
            </w:r>
          </w:p>
        </w:tc>
        <w:tc>
          <w:tcPr>
            <w:tcW w:w="567" w:type="pct"/>
            <w:tcBorders>
              <w:top w:val="nil"/>
              <w:left w:val="nil"/>
              <w:right w:val="nil"/>
            </w:tcBorders>
            <w:shd w:val="clear" w:color="auto" w:fill="auto"/>
            <w:vAlign w:val="bottom"/>
          </w:tcPr>
          <w:p w14:paraId="70947040"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(1.471)</w:t>
            </w:r>
          </w:p>
        </w:tc>
        <w:tc>
          <w:tcPr>
            <w:tcW w:w="671" w:type="pct"/>
            <w:tcBorders>
              <w:top w:val="nil"/>
              <w:left w:val="nil"/>
              <w:right w:val="nil"/>
            </w:tcBorders>
            <w:shd w:val="clear" w:color="auto" w:fill="auto"/>
            <w:vAlign w:val="bottom"/>
          </w:tcPr>
          <w:p w14:paraId="09A32EBB"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(3.337)</w:t>
            </w:r>
          </w:p>
        </w:tc>
        <w:tc>
          <w:tcPr>
            <w:tcW w:w="472" w:type="pct"/>
            <w:tcBorders>
              <w:top w:val="nil"/>
              <w:left w:val="nil"/>
              <w:right w:val="nil"/>
            </w:tcBorders>
            <w:shd w:val="clear" w:color="auto" w:fill="auto"/>
            <w:vAlign w:val="bottom"/>
          </w:tcPr>
          <w:p w14:paraId="54446990" w14:textId="77777777" w:rsidR="004E2F51" w:rsidRPr="0046584E" w:rsidRDefault="004E2F51" w:rsidP="00E032FC">
            <w:pPr>
              <w:pStyle w:val="Tot"/>
              <w:tabs>
                <w:tab w:val="clear" w:pos="1202"/>
              </w:tabs>
              <w:jc w:val="right"/>
              <w:rPr>
                <w:rFonts w:cs="Arial"/>
                <w:color w:val="000000" w:themeColor="text1"/>
                <w:sz w:val="16"/>
                <w:szCs w:val="16"/>
                <w:highlight w:val="yellow"/>
                <w:lang w:val="hr-HR"/>
              </w:rPr>
            </w:pPr>
            <w:r w:rsidRPr="0046584E">
              <w:rPr>
                <w:rFonts w:cs="Arial"/>
                <w:sz w:val="16"/>
                <w:szCs w:val="16"/>
              </w:rPr>
              <w:t xml:space="preserve"> (4.808)</w:t>
            </w:r>
          </w:p>
        </w:tc>
      </w:tr>
      <w:tr w:rsidR="004E2F51" w:rsidRPr="0046584E" w14:paraId="2974D9A1" w14:textId="77777777" w:rsidTr="002D6F0B">
        <w:trPr>
          <w:trHeight w:val="288"/>
        </w:trPr>
        <w:tc>
          <w:tcPr>
            <w:tcW w:w="1005" w:type="pct"/>
            <w:vAlign w:val="bottom"/>
          </w:tcPr>
          <w:p w14:paraId="18B347D9" w14:textId="77777777" w:rsidR="004E2F51" w:rsidRPr="0046584E" w:rsidRDefault="004E2F51" w:rsidP="00E032FC">
            <w:pPr>
              <w:pStyle w:val="TT"/>
              <w:spacing w:line="240" w:lineRule="exact"/>
              <w:rPr>
                <w:rFonts w:cs="Arial"/>
                <w:color w:val="000000" w:themeColor="text1"/>
                <w:sz w:val="16"/>
                <w:szCs w:val="16"/>
                <w:lang w:val="hr-HR"/>
              </w:rPr>
            </w:pPr>
            <w:r w:rsidRPr="0046584E">
              <w:rPr>
                <w:rFonts w:cs="Arial"/>
                <w:color w:val="000000" w:themeColor="text1"/>
                <w:sz w:val="16"/>
                <w:szCs w:val="16"/>
                <w:lang w:val="hr-HR"/>
              </w:rPr>
              <w:t>Reklasifikacija (+/-)</w:t>
            </w:r>
          </w:p>
        </w:tc>
        <w:tc>
          <w:tcPr>
            <w:tcW w:w="586" w:type="pct"/>
            <w:tcBorders>
              <w:top w:val="nil"/>
              <w:left w:val="nil"/>
              <w:right w:val="nil"/>
            </w:tcBorders>
            <w:shd w:val="clear" w:color="auto" w:fill="auto"/>
            <w:vAlign w:val="bottom"/>
          </w:tcPr>
          <w:p w14:paraId="30D800D6" w14:textId="77777777" w:rsidR="004E2F51" w:rsidRPr="0046584E" w:rsidRDefault="004E2F51" w:rsidP="00E032FC">
            <w:pPr>
              <w:pStyle w:val="Tot"/>
              <w:tabs>
                <w:tab w:val="clear" w:pos="1202"/>
              </w:tabs>
              <w:jc w:val="right"/>
              <w:rPr>
                <w:rFonts w:cs="Arial"/>
                <w:sz w:val="16"/>
                <w:szCs w:val="16"/>
              </w:rPr>
            </w:pPr>
            <w:r w:rsidRPr="0046584E">
              <w:rPr>
                <w:rFonts w:cs="Arial"/>
                <w:sz w:val="16"/>
                <w:szCs w:val="16"/>
              </w:rPr>
              <w:t>-</w:t>
            </w:r>
          </w:p>
        </w:tc>
        <w:tc>
          <w:tcPr>
            <w:tcW w:w="567" w:type="pct"/>
            <w:tcBorders>
              <w:top w:val="nil"/>
              <w:left w:val="nil"/>
              <w:right w:val="nil"/>
            </w:tcBorders>
            <w:shd w:val="clear" w:color="auto" w:fill="auto"/>
            <w:vAlign w:val="bottom"/>
          </w:tcPr>
          <w:p w14:paraId="69A4E3A3" w14:textId="77777777" w:rsidR="004E2F51" w:rsidRPr="0046584E" w:rsidRDefault="004E2F51" w:rsidP="00E032FC">
            <w:pPr>
              <w:pStyle w:val="Tot"/>
              <w:tabs>
                <w:tab w:val="clear" w:pos="1202"/>
              </w:tabs>
              <w:jc w:val="right"/>
              <w:rPr>
                <w:rFonts w:cs="Arial"/>
                <w:sz w:val="16"/>
                <w:szCs w:val="16"/>
              </w:rPr>
            </w:pPr>
            <w:r w:rsidRPr="0046584E">
              <w:rPr>
                <w:rFonts w:cs="Arial"/>
                <w:sz w:val="16"/>
                <w:szCs w:val="16"/>
              </w:rPr>
              <w:t>-</w:t>
            </w:r>
          </w:p>
        </w:tc>
        <w:tc>
          <w:tcPr>
            <w:tcW w:w="567" w:type="pct"/>
            <w:tcBorders>
              <w:top w:val="nil"/>
              <w:left w:val="nil"/>
              <w:right w:val="nil"/>
            </w:tcBorders>
            <w:shd w:val="clear" w:color="auto" w:fill="auto"/>
            <w:vAlign w:val="bottom"/>
          </w:tcPr>
          <w:p w14:paraId="75BDD282" w14:textId="77777777" w:rsidR="004E2F51" w:rsidRPr="0046584E" w:rsidRDefault="004E2F51" w:rsidP="00E032FC">
            <w:pPr>
              <w:pStyle w:val="Tot"/>
              <w:tabs>
                <w:tab w:val="clear" w:pos="1202"/>
              </w:tabs>
              <w:jc w:val="right"/>
              <w:rPr>
                <w:rFonts w:cs="Arial"/>
                <w:sz w:val="16"/>
                <w:szCs w:val="16"/>
              </w:rPr>
            </w:pPr>
            <w:r w:rsidRPr="0046584E">
              <w:rPr>
                <w:rFonts w:cs="Arial"/>
                <w:sz w:val="16"/>
                <w:szCs w:val="16"/>
              </w:rPr>
              <w:t xml:space="preserve"> (21)</w:t>
            </w:r>
          </w:p>
        </w:tc>
        <w:tc>
          <w:tcPr>
            <w:tcW w:w="567" w:type="pct"/>
            <w:tcBorders>
              <w:top w:val="nil"/>
              <w:left w:val="nil"/>
              <w:right w:val="nil"/>
            </w:tcBorders>
            <w:shd w:val="clear" w:color="auto" w:fill="auto"/>
            <w:vAlign w:val="bottom"/>
          </w:tcPr>
          <w:p w14:paraId="0E41AD75" w14:textId="77777777" w:rsidR="004E2F51" w:rsidRPr="0046584E" w:rsidDel="005D4FAD" w:rsidRDefault="004E2F51" w:rsidP="00E032FC">
            <w:pPr>
              <w:pStyle w:val="Tot"/>
              <w:tabs>
                <w:tab w:val="clear" w:pos="1202"/>
              </w:tabs>
              <w:jc w:val="right"/>
              <w:rPr>
                <w:rFonts w:cs="Arial"/>
                <w:color w:val="000000" w:themeColor="text1"/>
                <w:sz w:val="16"/>
                <w:szCs w:val="16"/>
                <w:lang w:val="hr-HR"/>
              </w:rPr>
            </w:pPr>
            <w:r w:rsidRPr="0046584E">
              <w:rPr>
                <w:rFonts w:cs="Arial"/>
                <w:color w:val="000000" w:themeColor="text1"/>
                <w:sz w:val="16"/>
                <w:szCs w:val="16"/>
                <w:lang w:val="hr-HR"/>
              </w:rPr>
              <w:t>-</w:t>
            </w:r>
          </w:p>
        </w:tc>
        <w:tc>
          <w:tcPr>
            <w:tcW w:w="567" w:type="pct"/>
            <w:tcBorders>
              <w:top w:val="nil"/>
              <w:left w:val="nil"/>
              <w:right w:val="nil"/>
            </w:tcBorders>
            <w:shd w:val="clear" w:color="auto" w:fill="auto"/>
            <w:vAlign w:val="bottom"/>
          </w:tcPr>
          <w:p w14:paraId="08A80818" w14:textId="77777777" w:rsidR="004E2F51" w:rsidRPr="0046584E" w:rsidRDefault="004E2F51" w:rsidP="00E032FC">
            <w:pPr>
              <w:pStyle w:val="Tot"/>
              <w:tabs>
                <w:tab w:val="clear" w:pos="1202"/>
              </w:tabs>
              <w:jc w:val="right"/>
              <w:rPr>
                <w:rFonts w:cs="Arial"/>
                <w:sz w:val="16"/>
                <w:szCs w:val="16"/>
              </w:rPr>
            </w:pPr>
            <w:r w:rsidRPr="0046584E">
              <w:rPr>
                <w:rFonts w:cs="Arial"/>
                <w:sz w:val="16"/>
                <w:szCs w:val="16"/>
              </w:rPr>
              <w:t xml:space="preserve"> (21)</w:t>
            </w:r>
          </w:p>
        </w:tc>
        <w:tc>
          <w:tcPr>
            <w:tcW w:w="671" w:type="pct"/>
            <w:tcBorders>
              <w:top w:val="nil"/>
              <w:left w:val="nil"/>
              <w:right w:val="nil"/>
            </w:tcBorders>
            <w:shd w:val="clear" w:color="auto" w:fill="auto"/>
            <w:vAlign w:val="bottom"/>
          </w:tcPr>
          <w:p w14:paraId="314B491A" w14:textId="77777777" w:rsidR="004E2F51" w:rsidRPr="0046584E" w:rsidRDefault="004E2F51" w:rsidP="00E032FC">
            <w:pPr>
              <w:pStyle w:val="Tot"/>
              <w:tabs>
                <w:tab w:val="clear" w:pos="1202"/>
              </w:tabs>
              <w:jc w:val="right"/>
              <w:rPr>
                <w:rFonts w:cs="Arial"/>
                <w:sz w:val="16"/>
                <w:szCs w:val="16"/>
              </w:rPr>
            </w:pPr>
            <w:r w:rsidRPr="0046584E">
              <w:rPr>
                <w:rFonts w:cs="Arial"/>
                <w:sz w:val="16"/>
                <w:szCs w:val="16"/>
              </w:rPr>
              <w:t>-</w:t>
            </w:r>
          </w:p>
        </w:tc>
        <w:tc>
          <w:tcPr>
            <w:tcW w:w="472" w:type="pct"/>
            <w:tcBorders>
              <w:top w:val="nil"/>
              <w:left w:val="nil"/>
              <w:right w:val="nil"/>
            </w:tcBorders>
            <w:shd w:val="clear" w:color="auto" w:fill="auto"/>
            <w:vAlign w:val="bottom"/>
          </w:tcPr>
          <w:p w14:paraId="30402FC1" w14:textId="77777777" w:rsidR="004E2F51" w:rsidRPr="0046584E" w:rsidRDefault="004E2F51" w:rsidP="00E032FC">
            <w:pPr>
              <w:pStyle w:val="Tot"/>
              <w:tabs>
                <w:tab w:val="clear" w:pos="1202"/>
              </w:tabs>
              <w:jc w:val="right"/>
              <w:rPr>
                <w:rFonts w:cs="Arial"/>
                <w:sz w:val="16"/>
                <w:szCs w:val="16"/>
              </w:rPr>
            </w:pPr>
            <w:r w:rsidRPr="0046584E">
              <w:rPr>
                <w:rFonts w:cs="Arial"/>
                <w:sz w:val="16"/>
                <w:szCs w:val="16"/>
              </w:rPr>
              <w:t xml:space="preserve"> (21)</w:t>
            </w:r>
          </w:p>
        </w:tc>
      </w:tr>
      <w:tr w:rsidR="004E2F51" w:rsidRPr="0046584E" w14:paraId="7F135341" w14:textId="77777777" w:rsidTr="002D6F0B">
        <w:trPr>
          <w:trHeight w:val="504"/>
        </w:trPr>
        <w:tc>
          <w:tcPr>
            <w:tcW w:w="1005" w:type="pct"/>
            <w:vAlign w:val="bottom"/>
          </w:tcPr>
          <w:p w14:paraId="02CDB927"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Stanje </w:t>
            </w:r>
          </w:p>
          <w:p w14:paraId="2944C178"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2021.</w:t>
            </w:r>
          </w:p>
        </w:tc>
        <w:tc>
          <w:tcPr>
            <w:tcW w:w="586" w:type="pct"/>
            <w:tcBorders>
              <w:top w:val="single" w:sz="4" w:space="0" w:color="auto"/>
              <w:left w:val="nil"/>
              <w:bottom w:val="single" w:sz="12" w:space="0" w:color="auto"/>
              <w:right w:val="nil"/>
            </w:tcBorders>
            <w:shd w:val="clear" w:color="auto" w:fill="auto"/>
            <w:vAlign w:val="bottom"/>
          </w:tcPr>
          <w:p w14:paraId="4DBEEA31"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44.971 </w:t>
            </w:r>
          </w:p>
        </w:tc>
        <w:tc>
          <w:tcPr>
            <w:tcW w:w="567" w:type="pct"/>
            <w:tcBorders>
              <w:top w:val="single" w:sz="4" w:space="0" w:color="auto"/>
              <w:left w:val="nil"/>
              <w:bottom w:val="single" w:sz="12" w:space="0" w:color="auto"/>
              <w:right w:val="nil"/>
            </w:tcBorders>
            <w:shd w:val="clear" w:color="auto" w:fill="auto"/>
            <w:vAlign w:val="bottom"/>
          </w:tcPr>
          <w:p w14:paraId="302B433A"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11.525 </w:t>
            </w:r>
          </w:p>
        </w:tc>
        <w:tc>
          <w:tcPr>
            <w:tcW w:w="567" w:type="pct"/>
            <w:tcBorders>
              <w:top w:val="single" w:sz="4" w:space="0" w:color="auto"/>
              <w:left w:val="nil"/>
              <w:bottom w:val="single" w:sz="12" w:space="0" w:color="auto"/>
              <w:right w:val="nil"/>
            </w:tcBorders>
            <w:shd w:val="clear" w:color="auto" w:fill="auto"/>
            <w:vAlign w:val="bottom"/>
          </w:tcPr>
          <w:p w14:paraId="06BED15B"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10.771 </w:t>
            </w:r>
          </w:p>
        </w:tc>
        <w:tc>
          <w:tcPr>
            <w:tcW w:w="567" w:type="pct"/>
            <w:tcBorders>
              <w:top w:val="single" w:sz="4" w:space="0" w:color="auto"/>
              <w:left w:val="nil"/>
              <w:bottom w:val="single" w:sz="12" w:space="0" w:color="auto"/>
              <w:right w:val="nil"/>
            </w:tcBorders>
            <w:shd w:val="clear" w:color="auto" w:fill="auto"/>
            <w:vAlign w:val="bottom"/>
          </w:tcPr>
          <w:p w14:paraId="617235E5"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 </w:t>
            </w:r>
          </w:p>
        </w:tc>
        <w:tc>
          <w:tcPr>
            <w:tcW w:w="567" w:type="pct"/>
            <w:tcBorders>
              <w:top w:val="single" w:sz="4" w:space="0" w:color="auto"/>
              <w:left w:val="nil"/>
              <w:bottom w:val="single" w:sz="12" w:space="0" w:color="auto"/>
              <w:right w:val="nil"/>
            </w:tcBorders>
            <w:shd w:val="clear" w:color="auto" w:fill="auto"/>
            <w:vAlign w:val="bottom"/>
          </w:tcPr>
          <w:p w14:paraId="758A87FA"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67.267 </w:t>
            </w:r>
          </w:p>
        </w:tc>
        <w:tc>
          <w:tcPr>
            <w:tcW w:w="671" w:type="pct"/>
            <w:tcBorders>
              <w:top w:val="single" w:sz="4" w:space="0" w:color="auto"/>
              <w:left w:val="nil"/>
              <w:bottom w:val="single" w:sz="12" w:space="0" w:color="auto"/>
              <w:right w:val="nil"/>
            </w:tcBorders>
            <w:shd w:val="clear" w:color="auto" w:fill="auto"/>
            <w:vAlign w:val="bottom"/>
          </w:tcPr>
          <w:p w14:paraId="5E8F7057"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29.573 </w:t>
            </w:r>
          </w:p>
        </w:tc>
        <w:tc>
          <w:tcPr>
            <w:tcW w:w="472" w:type="pct"/>
            <w:tcBorders>
              <w:top w:val="single" w:sz="4" w:space="0" w:color="auto"/>
              <w:left w:val="nil"/>
              <w:bottom w:val="single" w:sz="12" w:space="0" w:color="auto"/>
              <w:right w:val="nil"/>
            </w:tcBorders>
            <w:shd w:val="clear" w:color="auto" w:fill="auto"/>
            <w:vAlign w:val="bottom"/>
          </w:tcPr>
          <w:p w14:paraId="3FD59073"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96.840 </w:t>
            </w:r>
          </w:p>
        </w:tc>
      </w:tr>
      <w:tr w:rsidR="004E2F51" w:rsidRPr="0046584E" w14:paraId="018C96A5" w14:textId="77777777" w:rsidTr="002D6F0B">
        <w:trPr>
          <w:trHeight w:val="142"/>
        </w:trPr>
        <w:tc>
          <w:tcPr>
            <w:tcW w:w="1005" w:type="pct"/>
            <w:vAlign w:val="bottom"/>
          </w:tcPr>
          <w:p w14:paraId="236DEFC2" w14:textId="77777777" w:rsidR="004E2F51" w:rsidRPr="0046584E" w:rsidRDefault="004E2F51" w:rsidP="00E032FC">
            <w:pPr>
              <w:pStyle w:val="Tot"/>
              <w:spacing w:line="140" w:lineRule="exact"/>
              <w:rPr>
                <w:rFonts w:cs="Arial"/>
                <w:b/>
                <w:bCs/>
                <w:color w:val="000000" w:themeColor="text1"/>
                <w:sz w:val="16"/>
                <w:szCs w:val="16"/>
                <w:lang w:val="hr-HR"/>
              </w:rPr>
            </w:pPr>
          </w:p>
        </w:tc>
        <w:tc>
          <w:tcPr>
            <w:tcW w:w="586" w:type="pct"/>
            <w:tcBorders>
              <w:top w:val="single" w:sz="12" w:space="0" w:color="auto"/>
            </w:tcBorders>
            <w:vAlign w:val="bottom"/>
          </w:tcPr>
          <w:p w14:paraId="4B93A4CA" w14:textId="77777777" w:rsidR="004E2F51" w:rsidRPr="0046584E" w:rsidRDefault="004E2F51" w:rsidP="00E032FC">
            <w:pPr>
              <w:pStyle w:val="Tot"/>
              <w:tabs>
                <w:tab w:val="clear" w:pos="1202"/>
              </w:tabs>
              <w:spacing w:line="140" w:lineRule="exact"/>
              <w:jc w:val="right"/>
              <w:rPr>
                <w:rFonts w:cs="Arial"/>
                <w:b/>
                <w:bCs/>
                <w:color w:val="000000" w:themeColor="text1"/>
                <w:sz w:val="16"/>
                <w:szCs w:val="16"/>
                <w:highlight w:val="yellow"/>
                <w:lang w:val="hr-HR"/>
              </w:rPr>
            </w:pPr>
          </w:p>
        </w:tc>
        <w:tc>
          <w:tcPr>
            <w:tcW w:w="567" w:type="pct"/>
            <w:tcBorders>
              <w:top w:val="single" w:sz="12" w:space="0" w:color="auto"/>
            </w:tcBorders>
            <w:vAlign w:val="bottom"/>
          </w:tcPr>
          <w:p w14:paraId="7A25C5E0" w14:textId="77777777" w:rsidR="004E2F51" w:rsidRPr="0046584E" w:rsidRDefault="004E2F51" w:rsidP="00E032FC">
            <w:pPr>
              <w:pStyle w:val="Tot"/>
              <w:tabs>
                <w:tab w:val="clear" w:pos="1202"/>
              </w:tabs>
              <w:spacing w:line="140" w:lineRule="exact"/>
              <w:jc w:val="right"/>
              <w:rPr>
                <w:rFonts w:cs="Arial"/>
                <w:b/>
                <w:bCs/>
                <w:color w:val="000000" w:themeColor="text1"/>
                <w:sz w:val="16"/>
                <w:szCs w:val="16"/>
                <w:highlight w:val="yellow"/>
                <w:lang w:val="hr-HR"/>
              </w:rPr>
            </w:pPr>
          </w:p>
        </w:tc>
        <w:tc>
          <w:tcPr>
            <w:tcW w:w="567" w:type="pct"/>
            <w:tcBorders>
              <w:top w:val="single" w:sz="12" w:space="0" w:color="auto"/>
            </w:tcBorders>
            <w:vAlign w:val="bottom"/>
          </w:tcPr>
          <w:p w14:paraId="1625232E" w14:textId="77777777" w:rsidR="004E2F51" w:rsidRPr="0046584E" w:rsidRDefault="004E2F51" w:rsidP="00E032FC">
            <w:pPr>
              <w:pStyle w:val="Tot"/>
              <w:tabs>
                <w:tab w:val="clear" w:pos="1202"/>
              </w:tabs>
              <w:spacing w:line="140" w:lineRule="exact"/>
              <w:jc w:val="right"/>
              <w:rPr>
                <w:rFonts w:cs="Arial"/>
                <w:b/>
                <w:bCs/>
                <w:color w:val="000000" w:themeColor="text1"/>
                <w:sz w:val="16"/>
                <w:szCs w:val="16"/>
                <w:highlight w:val="yellow"/>
                <w:lang w:val="hr-HR"/>
              </w:rPr>
            </w:pPr>
          </w:p>
        </w:tc>
        <w:tc>
          <w:tcPr>
            <w:tcW w:w="567" w:type="pct"/>
            <w:tcBorders>
              <w:top w:val="single" w:sz="12" w:space="0" w:color="auto"/>
            </w:tcBorders>
            <w:vAlign w:val="bottom"/>
          </w:tcPr>
          <w:p w14:paraId="29C3587B" w14:textId="77777777" w:rsidR="004E2F51" w:rsidRPr="0046584E" w:rsidRDefault="004E2F51" w:rsidP="00E032FC">
            <w:pPr>
              <w:pStyle w:val="Tot"/>
              <w:tabs>
                <w:tab w:val="clear" w:pos="1202"/>
              </w:tabs>
              <w:spacing w:line="140" w:lineRule="exact"/>
              <w:jc w:val="right"/>
              <w:rPr>
                <w:rFonts w:cs="Arial"/>
                <w:b/>
                <w:bCs/>
                <w:color w:val="000000" w:themeColor="text1"/>
                <w:sz w:val="16"/>
                <w:szCs w:val="16"/>
                <w:highlight w:val="yellow"/>
                <w:lang w:val="hr-HR"/>
              </w:rPr>
            </w:pPr>
          </w:p>
        </w:tc>
        <w:tc>
          <w:tcPr>
            <w:tcW w:w="567" w:type="pct"/>
            <w:tcBorders>
              <w:top w:val="single" w:sz="12" w:space="0" w:color="auto"/>
            </w:tcBorders>
            <w:vAlign w:val="bottom"/>
          </w:tcPr>
          <w:p w14:paraId="46262613" w14:textId="77777777" w:rsidR="004E2F51" w:rsidRPr="0046584E" w:rsidRDefault="004E2F51" w:rsidP="00E032FC">
            <w:pPr>
              <w:pStyle w:val="Tot"/>
              <w:tabs>
                <w:tab w:val="clear" w:pos="1202"/>
              </w:tabs>
              <w:spacing w:line="140" w:lineRule="exact"/>
              <w:jc w:val="right"/>
              <w:rPr>
                <w:rFonts w:cs="Arial"/>
                <w:b/>
                <w:bCs/>
                <w:color w:val="000000" w:themeColor="text1"/>
                <w:sz w:val="16"/>
                <w:szCs w:val="16"/>
                <w:highlight w:val="yellow"/>
                <w:lang w:val="hr-HR"/>
              </w:rPr>
            </w:pPr>
          </w:p>
        </w:tc>
        <w:tc>
          <w:tcPr>
            <w:tcW w:w="671" w:type="pct"/>
            <w:tcBorders>
              <w:top w:val="single" w:sz="12" w:space="0" w:color="auto"/>
            </w:tcBorders>
            <w:vAlign w:val="bottom"/>
          </w:tcPr>
          <w:p w14:paraId="408F7401" w14:textId="77777777" w:rsidR="004E2F51" w:rsidRPr="0046584E" w:rsidRDefault="004E2F51" w:rsidP="00E032FC">
            <w:pPr>
              <w:pStyle w:val="Tot"/>
              <w:tabs>
                <w:tab w:val="clear" w:pos="1202"/>
              </w:tabs>
              <w:spacing w:line="140" w:lineRule="exact"/>
              <w:jc w:val="right"/>
              <w:rPr>
                <w:rFonts w:cs="Arial"/>
                <w:b/>
                <w:bCs/>
                <w:color w:val="000000" w:themeColor="text1"/>
                <w:sz w:val="16"/>
                <w:szCs w:val="16"/>
                <w:highlight w:val="yellow"/>
                <w:lang w:val="hr-HR"/>
              </w:rPr>
            </w:pPr>
          </w:p>
        </w:tc>
        <w:tc>
          <w:tcPr>
            <w:tcW w:w="472" w:type="pct"/>
            <w:tcBorders>
              <w:top w:val="single" w:sz="12" w:space="0" w:color="auto"/>
            </w:tcBorders>
            <w:vAlign w:val="bottom"/>
          </w:tcPr>
          <w:p w14:paraId="5A6220AE" w14:textId="77777777" w:rsidR="004E2F51" w:rsidRPr="0046584E" w:rsidRDefault="004E2F51" w:rsidP="00E032FC">
            <w:pPr>
              <w:pStyle w:val="Tot"/>
              <w:tabs>
                <w:tab w:val="clear" w:pos="1202"/>
              </w:tabs>
              <w:spacing w:line="140" w:lineRule="exact"/>
              <w:jc w:val="right"/>
              <w:rPr>
                <w:rFonts w:cs="Arial"/>
                <w:b/>
                <w:bCs/>
                <w:color w:val="000000" w:themeColor="text1"/>
                <w:sz w:val="16"/>
                <w:szCs w:val="16"/>
                <w:highlight w:val="yellow"/>
                <w:lang w:val="hr-HR"/>
              </w:rPr>
            </w:pPr>
          </w:p>
        </w:tc>
      </w:tr>
      <w:tr w:rsidR="004E2F51" w:rsidRPr="0046584E" w14:paraId="4B728929" w14:textId="77777777" w:rsidTr="002D6F0B">
        <w:trPr>
          <w:trHeight w:val="492"/>
        </w:trPr>
        <w:tc>
          <w:tcPr>
            <w:tcW w:w="1005" w:type="pct"/>
            <w:vAlign w:val="bottom"/>
          </w:tcPr>
          <w:p w14:paraId="097BECD8"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Neto knjigovodstvena vrijednost </w:t>
            </w:r>
          </w:p>
          <w:p w14:paraId="7239D716"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2021.</w:t>
            </w:r>
          </w:p>
        </w:tc>
        <w:tc>
          <w:tcPr>
            <w:tcW w:w="586" w:type="pct"/>
            <w:tcBorders>
              <w:top w:val="nil"/>
              <w:left w:val="nil"/>
              <w:bottom w:val="single" w:sz="12" w:space="0" w:color="auto"/>
              <w:right w:val="nil"/>
            </w:tcBorders>
            <w:shd w:val="clear" w:color="auto" w:fill="auto"/>
            <w:vAlign w:val="bottom"/>
          </w:tcPr>
          <w:p w14:paraId="2FFD4A50"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33.049 </w:t>
            </w:r>
          </w:p>
        </w:tc>
        <w:tc>
          <w:tcPr>
            <w:tcW w:w="567" w:type="pct"/>
            <w:tcBorders>
              <w:top w:val="nil"/>
              <w:left w:val="nil"/>
              <w:bottom w:val="single" w:sz="12" w:space="0" w:color="auto"/>
              <w:right w:val="nil"/>
            </w:tcBorders>
            <w:shd w:val="clear" w:color="auto" w:fill="auto"/>
            <w:vAlign w:val="bottom"/>
          </w:tcPr>
          <w:p w14:paraId="23189CBB"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2.326 </w:t>
            </w:r>
          </w:p>
        </w:tc>
        <w:tc>
          <w:tcPr>
            <w:tcW w:w="567" w:type="pct"/>
            <w:tcBorders>
              <w:top w:val="nil"/>
              <w:left w:val="nil"/>
              <w:bottom w:val="single" w:sz="12" w:space="0" w:color="auto"/>
              <w:right w:val="nil"/>
            </w:tcBorders>
            <w:shd w:val="clear" w:color="auto" w:fill="auto"/>
            <w:vAlign w:val="bottom"/>
          </w:tcPr>
          <w:p w14:paraId="02417838"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2.158 </w:t>
            </w:r>
          </w:p>
        </w:tc>
        <w:tc>
          <w:tcPr>
            <w:tcW w:w="567" w:type="pct"/>
            <w:tcBorders>
              <w:top w:val="nil"/>
              <w:left w:val="nil"/>
              <w:bottom w:val="single" w:sz="12" w:space="0" w:color="auto"/>
              <w:right w:val="nil"/>
            </w:tcBorders>
            <w:shd w:val="clear" w:color="auto" w:fill="auto"/>
            <w:vAlign w:val="bottom"/>
          </w:tcPr>
          <w:p w14:paraId="24ADBE5C"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55 </w:t>
            </w:r>
          </w:p>
        </w:tc>
        <w:tc>
          <w:tcPr>
            <w:tcW w:w="567" w:type="pct"/>
            <w:tcBorders>
              <w:top w:val="nil"/>
              <w:left w:val="nil"/>
              <w:bottom w:val="single" w:sz="12" w:space="0" w:color="auto"/>
              <w:right w:val="nil"/>
            </w:tcBorders>
            <w:shd w:val="clear" w:color="auto" w:fill="auto"/>
            <w:vAlign w:val="bottom"/>
          </w:tcPr>
          <w:p w14:paraId="386C83E0"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37.588 </w:t>
            </w:r>
          </w:p>
        </w:tc>
        <w:tc>
          <w:tcPr>
            <w:tcW w:w="671" w:type="pct"/>
            <w:tcBorders>
              <w:top w:val="nil"/>
              <w:left w:val="nil"/>
              <w:bottom w:val="single" w:sz="12" w:space="0" w:color="auto"/>
              <w:right w:val="nil"/>
            </w:tcBorders>
            <w:shd w:val="clear" w:color="auto" w:fill="auto"/>
            <w:vAlign w:val="bottom"/>
          </w:tcPr>
          <w:p w14:paraId="360BF88D"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6.349 </w:t>
            </w:r>
          </w:p>
        </w:tc>
        <w:tc>
          <w:tcPr>
            <w:tcW w:w="472" w:type="pct"/>
            <w:tcBorders>
              <w:top w:val="nil"/>
              <w:left w:val="nil"/>
              <w:bottom w:val="single" w:sz="12" w:space="0" w:color="auto"/>
              <w:right w:val="nil"/>
            </w:tcBorders>
            <w:shd w:val="clear" w:color="auto" w:fill="auto"/>
            <w:vAlign w:val="bottom"/>
          </w:tcPr>
          <w:p w14:paraId="044AFA57"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43.937 </w:t>
            </w:r>
          </w:p>
        </w:tc>
      </w:tr>
      <w:tr w:rsidR="004E2F51" w:rsidRPr="0046584E" w14:paraId="6B1071F6" w14:textId="77777777" w:rsidTr="002D6F0B">
        <w:trPr>
          <w:trHeight w:val="689"/>
        </w:trPr>
        <w:tc>
          <w:tcPr>
            <w:tcW w:w="1005" w:type="pct"/>
            <w:vAlign w:val="bottom"/>
          </w:tcPr>
          <w:p w14:paraId="0404D485"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Neto knjigovodstvena vrijednost </w:t>
            </w:r>
          </w:p>
          <w:p w14:paraId="4859B800"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2020.</w:t>
            </w:r>
          </w:p>
        </w:tc>
        <w:tc>
          <w:tcPr>
            <w:tcW w:w="586" w:type="pct"/>
            <w:tcBorders>
              <w:top w:val="nil"/>
              <w:left w:val="nil"/>
              <w:bottom w:val="single" w:sz="12" w:space="0" w:color="auto"/>
              <w:right w:val="nil"/>
            </w:tcBorders>
            <w:shd w:val="clear" w:color="auto" w:fill="auto"/>
            <w:vAlign w:val="bottom"/>
          </w:tcPr>
          <w:p w14:paraId="34F4AEFE"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37.065 </w:t>
            </w:r>
          </w:p>
        </w:tc>
        <w:tc>
          <w:tcPr>
            <w:tcW w:w="567" w:type="pct"/>
            <w:tcBorders>
              <w:top w:val="nil"/>
              <w:left w:val="nil"/>
              <w:bottom w:val="single" w:sz="12" w:space="0" w:color="auto"/>
              <w:right w:val="nil"/>
            </w:tcBorders>
            <w:shd w:val="clear" w:color="auto" w:fill="auto"/>
            <w:vAlign w:val="bottom"/>
          </w:tcPr>
          <w:p w14:paraId="29EA1BB2"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506 </w:t>
            </w:r>
          </w:p>
        </w:tc>
        <w:tc>
          <w:tcPr>
            <w:tcW w:w="567" w:type="pct"/>
            <w:tcBorders>
              <w:top w:val="nil"/>
              <w:left w:val="nil"/>
              <w:bottom w:val="single" w:sz="12" w:space="0" w:color="auto"/>
              <w:right w:val="nil"/>
            </w:tcBorders>
            <w:shd w:val="clear" w:color="auto" w:fill="auto"/>
            <w:vAlign w:val="bottom"/>
          </w:tcPr>
          <w:p w14:paraId="153531D7"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2.322 </w:t>
            </w:r>
          </w:p>
        </w:tc>
        <w:tc>
          <w:tcPr>
            <w:tcW w:w="567" w:type="pct"/>
            <w:tcBorders>
              <w:top w:val="nil"/>
              <w:left w:val="nil"/>
              <w:bottom w:val="single" w:sz="12" w:space="0" w:color="auto"/>
              <w:right w:val="nil"/>
            </w:tcBorders>
            <w:shd w:val="clear" w:color="auto" w:fill="auto"/>
            <w:vAlign w:val="bottom"/>
          </w:tcPr>
          <w:p w14:paraId="34C5C518"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49 </w:t>
            </w:r>
          </w:p>
        </w:tc>
        <w:tc>
          <w:tcPr>
            <w:tcW w:w="567" w:type="pct"/>
            <w:tcBorders>
              <w:top w:val="nil"/>
              <w:left w:val="nil"/>
              <w:bottom w:val="single" w:sz="12" w:space="0" w:color="auto"/>
              <w:right w:val="nil"/>
            </w:tcBorders>
            <w:shd w:val="clear" w:color="auto" w:fill="auto"/>
            <w:vAlign w:val="bottom"/>
          </w:tcPr>
          <w:p w14:paraId="22270835"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39.942 </w:t>
            </w:r>
          </w:p>
        </w:tc>
        <w:tc>
          <w:tcPr>
            <w:tcW w:w="671" w:type="pct"/>
            <w:tcBorders>
              <w:top w:val="nil"/>
              <w:left w:val="nil"/>
              <w:bottom w:val="single" w:sz="12" w:space="0" w:color="auto"/>
              <w:right w:val="nil"/>
            </w:tcBorders>
            <w:shd w:val="clear" w:color="auto" w:fill="auto"/>
            <w:vAlign w:val="bottom"/>
          </w:tcPr>
          <w:p w14:paraId="4E728E9A"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6.506 </w:t>
            </w:r>
          </w:p>
        </w:tc>
        <w:tc>
          <w:tcPr>
            <w:tcW w:w="472" w:type="pct"/>
            <w:tcBorders>
              <w:top w:val="nil"/>
              <w:left w:val="nil"/>
              <w:bottom w:val="single" w:sz="12" w:space="0" w:color="auto"/>
              <w:right w:val="nil"/>
            </w:tcBorders>
            <w:shd w:val="clear" w:color="auto" w:fill="auto"/>
            <w:vAlign w:val="bottom"/>
          </w:tcPr>
          <w:p w14:paraId="1BD59060" w14:textId="77777777" w:rsidR="004E2F51" w:rsidRPr="0046584E" w:rsidRDefault="004E2F51" w:rsidP="00E032FC">
            <w:pPr>
              <w:pStyle w:val="Tot"/>
              <w:tabs>
                <w:tab w:val="clear" w:pos="1202"/>
              </w:tabs>
              <w:jc w:val="right"/>
              <w:rPr>
                <w:rFonts w:cs="Arial"/>
                <w:b/>
                <w:bCs/>
                <w:color w:val="000000" w:themeColor="text1"/>
                <w:sz w:val="16"/>
                <w:szCs w:val="16"/>
                <w:lang w:val="hr-HR"/>
              </w:rPr>
            </w:pPr>
            <w:r w:rsidRPr="0046584E">
              <w:rPr>
                <w:rFonts w:cs="Arial"/>
                <w:b/>
                <w:bCs/>
                <w:sz w:val="16"/>
                <w:szCs w:val="16"/>
              </w:rPr>
              <w:t xml:space="preserve"> 46.448 </w:t>
            </w:r>
          </w:p>
        </w:tc>
      </w:tr>
    </w:tbl>
    <w:p w14:paraId="70F0E852" w14:textId="77777777" w:rsidR="004E2F51" w:rsidRPr="00B91D09" w:rsidRDefault="004E2F51" w:rsidP="004E2F51">
      <w:pPr>
        <w:pStyle w:val="T1"/>
        <w:spacing w:after="0" w:line="240" w:lineRule="auto"/>
        <w:rPr>
          <w:rFonts w:cs="Arial"/>
          <w:color w:val="000000" w:themeColor="text1"/>
          <w:sz w:val="22"/>
          <w:szCs w:val="22"/>
          <w:lang w:val="hr-HR"/>
        </w:rPr>
        <w:sectPr w:rsidR="004E2F51" w:rsidRPr="00B91D09" w:rsidSect="00623DBA">
          <w:footerReference w:type="default" r:id="rId143"/>
          <w:pgSz w:w="11907" w:h="16840" w:code="9"/>
          <w:pgMar w:top="1418" w:right="1134" w:bottom="1134" w:left="1418" w:header="851" w:footer="851" w:gutter="0"/>
          <w:cols w:space="720"/>
          <w:noEndnote/>
        </w:sectPr>
      </w:pPr>
    </w:p>
    <w:p w14:paraId="650D78AA" w14:textId="77777777" w:rsidR="004E2F51" w:rsidRPr="00B91D09" w:rsidRDefault="004E2F51" w:rsidP="004E2F51">
      <w:pPr>
        <w:pStyle w:val="T1"/>
        <w:spacing w:before="0" w:after="0" w:line="240" w:lineRule="auto"/>
        <w:rPr>
          <w:rFonts w:cs="Arial"/>
          <w:color w:val="000000" w:themeColor="text1"/>
          <w:sz w:val="22"/>
          <w:szCs w:val="22"/>
          <w:lang w:val="hr-HR"/>
        </w:rPr>
      </w:pPr>
    </w:p>
    <w:p w14:paraId="50DAFABB" w14:textId="77777777" w:rsidR="004E2F51" w:rsidRPr="00B91D09" w:rsidRDefault="004E2F51" w:rsidP="004E2F51">
      <w:pPr>
        <w:pStyle w:val="T1"/>
        <w:tabs>
          <w:tab w:val="left" w:pos="567"/>
        </w:tabs>
        <w:spacing w:before="0" w:after="0" w:line="240" w:lineRule="auto"/>
        <w:rPr>
          <w:rFonts w:cs="Arial"/>
          <w:color w:val="000000" w:themeColor="text1"/>
          <w:sz w:val="22"/>
          <w:szCs w:val="22"/>
          <w:lang w:val="hr-HR"/>
        </w:rPr>
      </w:pPr>
      <w:r>
        <w:rPr>
          <w:rFonts w:cs="Arial"/>
          <w:color w:val="000000" w:themeColor="text1"/>
          <w:sz w:val="22"/>
          <w:szCs w:val="22"/>
          <w:lang w:val="hr-HR"/>
        </w:rPr>
        <w:t>19</w:t>
      </w:r>
      <w:r w:rsidRPr="00B91D09">
        <w:rPr>
          <w:rFonts w:cs="Arial"/>
          <w:color w:val="000000" w:themeColor="text1"/>
          <w:sz w:val="22"/>
          <w:szCs w:val="22"/>
          <w:lang w:val="hr-HR"/>
        </w:rPr>
        <w:t xml:space="preserve">. </w:t>
      </w:r>
      <w:r w:rsidRPr="00B91D09">
        <w:rPr>
          <w:rFonts w:cs="Arial"/>
          <w:color w:val="000000" w:themeColor="text1"/>
          <w:sz w:val="22"/>
          <w:szCs w:val="22"/>
          <w:lang w:val="hr-HR"/>
        </w:rPr>
        <w:tab/>
        <w:t>Nekretnine, postrojenja i oprema i nematerijalna imovina (nastavak)</w:t>
      </w:r>
    </w:p>
    <w:p w14:paraId="7BD1C420" w14:textId="77777777" w:rsidR="004E2F51" w:rsidRPr="00B91D09" w:rsidRDefault="004E2F51" w:rsidP="004E2F51">
      <w:pPr>
        <w:pStyle w:val="T1"/>
        <w:spacing w:before="0" w:after="0" w:line="240" w:lineRule="auto"/>
        <w:rPr>
          <w:rFonts w:cs="Arial"/>
          <w:color w:val="000000" w:themeColor="text1"/>
          <w:sz w:val="22"/>
          <w:szCs w:val="22"/>
          <w:lang w:val="hr-HR"/>
        </w:rPr>
      </w:pPr>
    </w:p>
    <w:tbl>
      <w:tblPr>
        <w:tblW w:w="5403" w:type="pct"/>
        <w:tblInd w:w="-284" w:type="dxa"/>
        <w:tblLayout w:type="fixed"/>
        <w:tblCellMar>
          <w:left w:w="119" w:type="dxa"/>
          <w:right w:w="119" w:type="dxa"/>
        </w:tblCellMar>
        <w:tblLook w:val="0000" w:firstRow="0" w:lastRow="0" w:firstColumn="0" w:lastColumn="0" w:noHBand="0" w:noVBand="0"/>
      </w:tblPr>
      <w:tblGrid>
        <w:gridCol w:w="2087"/>
        <w:gridCol w:w="1209"/>
        <w:gridCol w:w="1138"/>
        <w:gridCol w:w="1138"/>
        <w:gridCol w:w="1136"/>
        <w:gridCol w:w="1138"/>
        <w:gridCol w:w="1361"/>
        <w:gridCol w:w="902"/>
      </w:tblGrid>
      <w:tr w:rsidR="002D6F0B" w:rsidRPr="00B91D09" w14:paraId="1269FC0F" w14:textId="77777777" w:rsidTr="002D6F0B">
        <w:trPr>
          <w:trHeight w:val="1209"/>
        </w:trPr>
        <w:tc>
          <w:tcPr>
            <w:tcW w:w="1032" w:type="pct"/>
            <w:shd w:val="clear" w:color="auto" w:fill="auto"/>
            <w:vAlign w:val="bottom"/>
          </w:tcPr>
          <w:p w14:paraId="395E0AEB" w14:textId="77777777" w:rsidR="004E2F51" w:rsidRPr="004B4498" w:rsidRDefault="004E2F51" w:rsidP="00E032FC">
            <w:pPr>
              <w:tabs>
                <w:tab w:val="left" w:pos="-1559"/>
              </w:tabs>
              <w:rPr>
                <w:rFonts w:ascii="Arial" w:hAnsi="Arial" w:cs="Arial"/>
                <w:b/>
                <w:color w:val="000000" w:themeColor="text1"/>
                <w:spacing w:val="-2"/>
                <w:sz w:val="16"/>
                <w:szCs w:val="16"/>
                <w:lang w:val="hr-HR"/>
              </w:rPr>
            </w:pPr>
            <w:r w:rsidRPr="004B4498">
              <w:rPr>
                <w:rFonts w:ascii="Arial" w:hAnsi="Arial" w:cs="Arial"/>
                <w:b/>
                <w:color w:val="000000" w:themeColor="text1"/>
                <w:spacing w:val="-2"/>
                <w:sz w:val="16"/>
                <w:szCs w:val="16"/>
                <w:lang w:val="hr-HR"/>
              </w:rPr>
              <w:t>Banka</w:t>
            </w:r>
          </w:p>
          <w:p w14:paraId="67D5A69F" w14:textId="77777777" w:rsidR="004E2F51" w:rsidRPr="004B4498" w:rsidRDefault="004E2F51" w:rsidP="00E032FC">
            <w:pPr>
              <w:tabs>
                <w:tab w:val="left" w:pos="-1559"/>
              </w:tabs>
              <w:rPr>
                <w:rFonts w:ascii="Arial" w:hAnsi="Arial" w:cs="Arial"/>
                <w:b/>
                <w:color w:val="000000" w:themeColor="text1"/>
                <w:spacing w:val="-2"/>
                <w:sz w:val="16"/>
                <w:szCs w:val="16"/>
                <w:lang w:val="hr-HR"/>
              </w:rPr>
            </w:pPr>
          </w:p>
          <w:p w14:paraId="0A660605" w14:textId="77777777" w:rsidR="004E2F51" w:rsidRPr="004B4498" w:rsidRDefault="004E2F51" w:rsidP="00E032FC">
            <w:pPr>
              <w:tabs>
                <w:tab w:val="left" w:pos="-1559"/>
              </w:tabs>
              <w:rPr>
                <w:rFonts w:ascii="Arial" w:hAnsi="Arial" w:cs="Arial"/>
                <w:b/>
                <w:color w:val="000000" w:themeColor="text1"/>
                <w:spacing w:val="-2"/>
                <w:sz w:val="16"/>
                <w:szCs w:val="16"/>
                <w:lang w:val="hr-HR"/>
              </w:rPr>
            </w:pPr>
          </w:p>
          <w:p w14:paraId="0701A2A5" w14:textId="77777777" w:rsidR="004E2F51" w:rsidRPr="004B4498" w:rsidRDefault="004E2F51" w:rsidP="00E032FC">
            <w:pPr>
              <w:tabs>
                <w:tab w:val="left" w:pos="-1559"/>
              </w:tabs>
              <w:rPr>
                <w:rFonts w:ascii="Arial" w:hAnsi="Arial" w:cs="Arial"/>
                <w:b/>
                <w:color w:val="000000" w:themeColor="text1"/>
                <w:spacing w:val="-2"/>
                <w:sz w:val="16"/>
                <w:szCs w:val="16"/>
                <w:lang w:val="hr-HR"/>
              </w:rPr>
            </w:pPr>
          </w:p>
          <w:p w14:paraId="64C94997" w14:textId="77777777" w:rsidR="004E2F51" w:rsidRPr="004B4498" w:rsidRDefault="004E2F51" w:rsidP="00E032FC">
            <w:pPr>
              <w:tabs>
                <w:tab w:val="left" w:pos="-1559"/>
              </w:tabs>
              <w:rPr>
                <w:rFonts w:ascii="Arial" w:hAnsi="Arial" w:cs="Arial"/>
                <w:color w:val="000000" w:themeColor="text1"/>
                <w:spacing w:val="-2"/>
                <w:sz w:val="16"/>
                <w:szCs w:val="16"/>
                <w:lang w:val="hr-HR"/>
              </w:rPr>
            </w:pPr>
            <w:r w:rsidRPr="004B4498">
              <w:rPr>
                <w:rFonts w:ascii="Arial" w:hAnsi="Arial" w:cs="Arial"/>
                <w:b/>
                <w:color w:val="000000" w:themeColor="text1"/>
                <w:spacing w:val="-2"/>
                <w:sz w:val="16"/>
                <w:szCs w:val="16"/>
                <w:lang w:val="hr-HR"/>
              </w:rPr>
              <w:t>31. prosinca 202</w:t>
            </w:r>
            <w:r>
              <w:rPr>
                <w:rFonts w:ascii="Arial" w:hAnsi="Arial" w:cs="Arial"/>
                <w:b/>
                <w:color w:val="000000" w:themeColor="text1"/>
                <w:spacing w:val="-2"/>
                <w:sz w:val="16"/>
                <w:szCs w:val="16"/>
                <w:lang w:val="hr-HR"/>
              </w:rPr>
              <w:t>2</w:t>
            </w:r>
            <w:r w:rsidRPr="004B4498">
              <w:rPr>
                <w:rFonts w:ascii="Arial" w:hAnsi="Arial" w:cs="Arial"/>
                <w:b/>
                <w:color w:val="000000" w:themeColor="text1"/>
                <w:spacing w:val="-2"/>
                <w:sz w:val="16"/>
                <w:szCs w:val="16"/>
                <w:lang w:val="hr-HR"/>
              </w:rPr>
              <w:t>.</w:t>
            </w:r>
          </w:p>
          <w:p w14:paraId="191901CC" w14:textId="77777777" w:rsidR="004E2F51" w:rsidRPr="004B4498" w:rsidRDefault="004E2F51" w:rsidP="00E032FC">
            <w:pPr>
              <w:tabs>
                <w:tab w:val="left" w:pos="-1559"/>
              </w:tabs>
              <w:rPr>
                <w:rFonts w:ascii="Arial" w:hAnsi="Arial" w:cs="Arial"/>
                <w:color w:val="000000" w:themeColor="text1"/>
                <w:spacing w:val="-2"/>
                <w:sz w:val="16"/>
                <w:szCs w:val="16"/>
                <w:highlight w:val="yellow"/>
                <w:lang w:val="hr-HR"/>
              </w:rPr>
            </w:pPr>
          </w:p>
        </w:tc>
        <w:tc>
          <w:tcPr>
            <w:tcW w:w="598" w:type="pct"/>
            <w:shd w:val="clear" w:color="auto" w:fill="auto"/>
          </w:tcPr>
          <w:p w14:paraId="6F669DB6" w14:textId="77777777" w:rsidR="004E2F51" w:rsidRPr="004B4498" w:rsidRDefault="004E2F51" w:rsidP="00E032FC">
            <w:pPr>
              <w:pStyle w:val="TH"/>
              <w:jc w:val="right"/>
              <w:rPr>
                <w:rFonts w:cs="Arial"/>
                <w:color w:val="000000" w:themeColor="text1"/>
                <w:sz w:val="16"/>
                <w:szCs w:val="16"/>
                <w:lang w:val="hr-HR"/>
              </w:rPr>
            </w:pPr>
            <w:bookmarkStart w:id="1121" w:name="_Toc67328495"/>
            <w:r w:rsidRPr="004B4498">
              <w:rPr>
                <w:rFonts w:cs="Arial"/>
                <w:color w:val="000000" w:themeColor="text1"/>
                <w:sz w:val="16"/>
                <w:szCs w:val="16"/>
                <w:lang w:val="hr-HR"/>
              </w:rPr>
              <w:t>Građevinski objekti</w:t>
            </w:r>
            <w:bookmarkEnd w:id="1121"/>
          </w:p>
        </w:tc>
        <w:tc>
          <w:tcPr>
            <w:tcW w:w="563" w:type="pct"/>
            <w:shd w:val="clear" w:color="auto" w:fill="auto"/>
          </w:tcPr>
          <w:p w14:paraId="4EBD4E92" w14:textId="77777777" w:rsidR="004E2F51" w:rsidRPr="004B4498" w:rsidRDefault="004E2F51" w:rsidP="00E032FC">
            <w:pPr>
              <w:pStyle w:val="TH"/>
              <w:jc w:val="right"/>
              <w:rPr>
                <w:rFonts w:cs="Arial"/>
                <w:color w:val="000000" w:themeColor="text1"/>
                <w:sz w:val="16"/>
                <w:szCs w:val="16"/>
                <w:lang w:val="hr-HR"/>
              </w:rPr>
            </w:pPr>
            <w:bookmarkStart w:id="1122" w:name="_Toc67328496"/>
            <w:r w:rsidRPr="004B4498">
              <w:rPr>
                <w:rFonts w:cs="Arial"/>
                <w:color w:val="000000" w:themeColor="text1"/>
                <w:sz w:val="16"/>
                <w:szCs w:val="16"/>
                <w:lang w:val="hr-HR"/>
              </w:rPr>
              <w:t>Kompjutori</w:t>
            </w:r>
            <w:bookmarkEnd w:id="1122"/>
          </w:p>
        </w:tc>
        <w:tc>
          <w:tcPr>
            <w:tcW w:w="563" w:type="pct"/>
            <w:shd w:val="clear" w:color="auto" w:fill="auto"/>
          </w:tcPr>
          <w:p w14:paraId="4F7C0FD4" w14:textId="77777777" w:rsidR="004E2F51" w:rsidRPr="004B4498" w:rsidRDefault="004E2F51" w:rsidP="00E032FC">
            <w:pPr>
              <w:pStyle w:val="TH"/>
              <w:jc w:val="right"/>
              <w:rPr>
                <w:rFonts w:cs="Arial"/>
                <w:color w:val="000000" w:themeColor="text1"/>
                <w:sz w:val="16"/>
                <w:szCs w:val="16"/>
                <w:lang w:val="hr-HR"/>
              </w:rPr>
            </w:pPr>
            <w:bookmarkStart w:id="1123" w:name="_Toc67328497"/>
            <w:r w:rsidRPr="004B4498">
              <w:rPr>
                <w:rFonts w:cs="Arial"/>
                <w:color w:val="000000" w:themeColor="text1"/>
                <w:sz w:val="16"/>
                <w:szCs w:val="16"/>
                <w:lang w:val="hr-HR"/>
              </w:rPr>
              <w:t>Namještaj, oprema i vozila</w:t>
            </w:r>
            <w:bookmarkEnd w:id="1123"/>
          </w:p>
        </w:tc>
        <w:tc>
          <w:tcPr>
            <w:tcW w:w="562" w:type="pct"/>
            <w:shd w:val="clear" w:color="auto" w:fill="auto"/>
          </w:tcPr>
          <w:p w14:paraId="65781B38" w14:textId="77777777" w:rsidR="004E2F51" w:rsidRPr="004B4498" w:rsidRDefault="004E2F51" w:rsidP="00E032FC">
            <w:pPr>
              <w:pStyle w:val="TH"/>
              <w:jc w:val="right"/>
              <w:rPr>
                <w:rFonts w:cs="Arial"/>
                <w:color w:val="000000" w:themeColor="text1"/>
                <w:sz w:val="16"/>
                <w:szCs w:val="16"/>
                <w:lang w:val="hr-HR"/>
              </w:rPr>
            </w:pPr>
            <w:bookmarkStart w:id="1124" w:name="_Toc67328498"/>
            <w:r w:rsidRPr="004B4498">
              <w:rPr>
                <w:rFonts w:cs="Arial"/>
                <w:color w:val="000000" w:themeColor="text1"/>
                <w:sz w:val="16"/>
                <w:szCs w:val="16"/>
                <w:lang w:val="hr-HR"/>
              </w:rPr>
              <w:t>Nekretnine i oprema i nematerijalna imovina u pripremi</w:t>
            </w:r>
            <w:bookmarkEnd w:id="1124"/>
          </w:p>
        </w:tc>
        <w:tc>
          <w:tcPr>
            <w:tcW w:w="563" w:type="pct"/>
            <w:shd w:val="clear" w:color="auto" w:fill="auto"/>
          </w:tcPr>
          <w:p w14:paraId="4BB92010" w14:textId="77777777" w:rsidR="004E2F51" w:rsidRPr="004B4498" w:rsidRDefault="004E2F51" w:rsidP="00E032FC">
            <w:pPr>
              <w:pStyle w:val="TH"/>
              <w:jc w:val="right"/>
              <w:rPr>
                <w:rFonts w:cs="Arial"/>
                <w:color w:val="000000" w:themeColor="text1"/>
                <w:sz w:val="16"/>
                <w:szCs w:val="16"/>
                <w:lang w:val="hr-HR"/>
              </w:rPr>
            </w:pPr>
            <w:bookmarkStart w:id="1125" w:name="_Toc67328499"/>
            <w:r w:rsidRPr="004B4498">
              <w:rPr>
                <w:rFonts w:cs="Arial"/>
                <w:color w:val="000000" w:themeColor="text1"/>
                <w:sz w:val="16"/>
                <w:szCs w:val="16"/>
                <w:lang w:val="hr-HR"/>
              </w:rPr>
              <w:t>Ukupno nekretnine, postrojenja i oprema</w:t>
            </w:r>
            <w:bookmarkEnd w:id="1125"/>
            <w:r w:rsidRPr="004B4498">
              <w:rPr>
                <w:rFonts w:cs="Arial"/>
                <w:color w:val="000000" w:themeColor="text1"/>
                <w:sz w:val="16"/>
                <w:szCs w:val="16"/>
                <w:lang w:val="hr-HR"/>
              </w:rPr>
              <w:t xml:space="preserve"> </w:t>
            </w:r>
          </w:p>
        </w:tc>
        <w:tc>
          <w:tcPr>
            <w:tcW w:w="673" w:type="pct"/>
            <w:shd w:val="clear" w:color="auto" w:fill="auto"/>
          </w:tcPr>
          <w:p w14:paraId="180FF529" w14:textId="5004BF99" w:rsidR="004E2F51" w:rsidRPr="004B4498" w:rsidRDefault="004E2F51" w:rsidP="002662A2">
            <w:pPr>
              <w:pStyle w:val="TH"/>
              <w:jc w:val="right"/>
              <w:rPr>
                <w:rFonts w:cs="Arial"/>
                <w:color w:val="000000" w:themeColor="text1"/>
                <w:sz w:val="16"/>
                <w:szCs w:val="16"/>
                <w:lang w:val="hr-HR"/>
              </w:rPr>
            </w:pPr>
            <w:bookmarkStart w:id="1126" w:name="_Toc67328500"/>
            <w:r w:rsidRPr="004B4498">
              <w:rPr>
                <w:rFonts w:cs="Arial"/>
                <w:color w:val="000000" w:themeColor="text1"/>
                <w:sz w:val="16"/>
                <w:szCs w:val="16"/>
                <w:lang w:val="hr-HR"/>
              </w:rPr>
              <w:t>Nematerija</w:t>
            </w:r>
            <w:r w:rsidR="002D6F0B">
              <w:rPr>
                <w:rFonts w:cs="Arial"/>
                <w:color w:val="000000" w:themeColor="text1"/>
                <w:sz w:val="16"/>
                <w:szCs w:val="16"/>
                <w:lang w:val="hr-HR"/>
              </w:rPr>
              <w:t>l</w:t>
            </w:r>
            <w:r w:rsidRPr="004B4498">
              <w:rPr>
                <w:rFonts w:cs="Arial"/>
                <w:color w:val="000000" w:themeColor="text1"/>
                <w:sz w:val="16"/>
                <w:szCs w:val="16"/>
                <w:lang w:val="hr-HR"/>
              </w:rPr>
              <w:t>na</w:t>
            </w:r>
            <w:bookmarkEnd w:id="1126"/>
          </w:p>
          <w:p w14:paraId="373CD639" w14:textId="77777777" w:rsidR="004E2F51" w:rsidRPr="004B4498" w:rsidRDefault="004E2F51" w:rsidP="00E032FC">
            <w:pPr>
              <w:pStyle w:val="TH"/>
              <w:jc w:val="right"/>
              <w:rPr>
                <w:rFonts w:cs="Arial"/>
                <w:color w:val="000000" w:themeColor="text1"/>
                <w:sz w:val="16"/>
                <w:szCs w:val="16"/>
                <w:lang w:val="hr-HR"/>
              </w:rPr>
            </w:pPr>
            <w:r w:rsidRPr="004B4498">
              <w:rPr>
                <w:rFonts w:cs="Arial"/>
                <w:color w:val="000000" w:themeColor="text1"/>
                <w:sz w:val="16"/>
                <w:szCs w:val="16"/>
                <w:lang w:val="hr-HR"/>
              </w:rPr>
              <w:t xml:space="preserve"> </w:t>
            </w:r>
            <w:bookmarkStart w:id="1127" w:name="_Toc67328501"/>
            <w:r w:rsidRPr="004B4498">
              <w:rPr>
                <w:rFonts w:cs="Arial"/>
                <w:color w:val="000000" w:themeColor="text1"/>
                <w:sz w:val="16"/>
                <w:szCs w:val="16"/>
                <w:lang w:val="hr-HR"/>
              </w:rPr>
              <w:t>imovina</w:t>
            </w:r>
            <w:bookmarkEnd w:id="1127"/>
          </w:p>
        </w:tc>
        <w:tc>
          <w:tcPr>
            <w:tcW w:w="446" w:type="pct"/>
            <w:shd w:val="clear" w:color="auto" w:fill="auto"/>
          </w:tcPr>
          <w:p w14:paraId="33F3289E" w14:textId="77777777" w:rsidR="004E2F51" w:rsidRPr="004B4498" w:rsidRDefault="004E2F51" w:rsidP="00E032FC">
            <w:pPr>
              <w:pStyle w:val="TH"/>
              <w:jc w:val="right"/>
              <w:rPr>
                <w:rFonts w:cs="Arial"/>
                <w:color w:val="000000" w:themeColor="text1"/>
                <w:sz w:val="16"/>
                <w:szCs w:val="16"/>
                <w:lang w:val="hr-HR"/>
              </w:rPr>
            </w:pPr>
            <w:bookmarkStart w:id="1128" w:name="_Toc67328502"/>
            <w:r w:rsidRPr="004B4498">
              <w:rPr>
                <w:rFonts w:cs="Arial"/>
                <w:color w:val="000000" w:themeColor="text1"/>
                <w:sz w:val="16"/>
                <w:szCs w:val="16"/>
                <w:lang w:val="hr-HR"/>
              </w:rPr>
              <w:t>Ukupno</w:t>
            </w:r>
            <w:bookmarkEnd w:id="1128"/>
          </w:p>
        </w:tc>
      </w:tr>
      <w:tr w:rsidR="002D6F0B" w:rsidRPr="00B91D09" w14:paraId="7A1F243C" w14:textId="77777777" w:rsidTr="002D6F0B">
        <w:trPr>
          <w:trHeight w:val="218"/>
        </w:trPr>
        <w:tc>
          <w:tcPr>
            <w:tcW w:w="1032" w:type="pct"/>
            <w:shd w:val="clear" w:color="auto" w:fill="auto"/>
            <w:vAlign w:val="bottom"/>
          </w:tcPr>
          <w:p w14:paraId="06F789F1" w14:textId="77777777" w:rsidR="004E2F51" w:rsidRPr="004B4498" w:rsidRDefault="004E2F51" w:rsidP="00E032FC">
            <w:pPr>
              <w:tabs>
                <w:tab w:val="left" w:pos="-1559"/>
              </w:tabs>
              <w:rPr>
                <w:rFonts w:ascii="Arial" w:hAnsi="Arial" w:cs="Arial"/>
                <w:b/>
                <w:color w:val="000000" w:themeColor="text1"/>
                <w:spacing w:val="-2"/>
                <w:sz w:val="16"/>
                <w:szCs w:val="16"/>
                <w:highlight w:val="yellow"/>
                <w:lang w:val="hr-HR"/>
              </w:rPr>
            </w:pPr>
          </w:p>
        </w:tc>
        <w:tc>
          <w:tcPr>
            <w:tcW w:w="598" w:type="pct"/>
            <w:shd w:val="clear" w:color="auto" w:fill="auto"/>
            <w:vAlign w:val="bottom"/>
          </w:tcPr>
          <w:p w14:paraId="6173A8C2" w14:textId="77777777" w:rsidR="004E2F51" w:rsidRPr="004B4498" w:rsidRDefault="004E2F51" w:rsidP="00E032FC">
            <w:pPr>
              <w:pStyle w:val="TH"/>
              <w:jc w:val="right"/>
              <w:rPr>
                <w:rFonts w:cs="Arial"/>
                <w:color w:val="000000" w:themeColor="text1"/>
                <w:sz w:val="16"/>
                <w:szCs w:val="16"/>
                <w:lang w:val="hr-HR"/>
              </w:rPr>
            </w:pPr>
            <w:bookmarkStart w:id="1129" w:name="_Toc67328503"/>
            <w:r w:rsidRPr="004B4498">
              <w:rPr>
                <w:rFonts w:cs="Arial"/>
                <w:color w:val="000000" w:themeColor="text1"/>
                <w:sz w:val="16"/>
                <w:szCs w:val="16"/>
                <w:lang w:val="hr-HR"/>
              </w:rPr>
              <w:t>000 kuna</w:t>
            </w:r>
            <w:bookmarkEnd w:id="1129"/>
          </w:p>
        </w:tc>
        <w:tc>
          <w:tcPr>
            <w:tcW w:w="563" w:type="pct"/>
            <w:shd w:val="clear" w:color="auto" w:fill="auto"/>
            <w:vAlign w:val="bottom"/>
          </w:tcPr>
          <w:p w14:paraId="2D1DFBE3" w14:textId="77777777" w:rsidR="004E2F51" w:rsidRPr="004B4498" w:rsidRDefault="004E2F51" w:rsidP="00E032FC">
            <w:pPr>
              <w:pStyle w:val="TH"/>
              <w:jc w:val="right"/>
              <w:rPr>
                <w:rFonts w:cs="Arial"/>
                <w:color w:val="000000" w:themeColor="text1"/>
                <w:sz w:val="16"/>
                <w:szCs w:val="16"/>
                <w:lang w:val="hr-HR"/>
              </w:rPr>
            </w:pPr>
            <w:bookmarkStart w:id="1130" w:name="_Toc67328504"/>
            <w:r w:rsidRPr="004B4498">
              <w:rPr>
                <w:rFonts w:cs="Arial"/>
                <w:color w:val="000000" w:themeColor="text1"/>
                <w:sz w:val="16"/>
                <w:szCs w:val="16"/>
                <w:lang w:val="hr-HR"/>
              </w:rPr>
              <w:t>000 kuna</w:t>
            </w:r>
            <w:bookmarkEnd w:id="1130"/>
          </w:p>
        </w:tc>
        <w:tc>
          <w:tcPr>
            <w:tcW w:w="563" w:type="pct"/>
            <w:shd w:val="clear" w:color="auto" w:fill="auto"/>
            <w:vAlign w:val="bottom"/>
          </w:tcPr>
          <w:p w14:paraId="7254EC08" w14:textId="77777777" w:rsidR="004E2F51" w:rsidRPr="004B4498" w:rsidRDefault="004E2F51" w:rsidP="00E032FC">
            <w:pPr>
              <w:pStyle w:val="TH"/>
              <w:jc w:val="right"/>
              <w:rPr>
                <w:rFonts w:cs="Arial"/>
                <w:color w:val="000000" w:themeColor="text1"/>
                <w:sz w:val="16"/>
                <w:szCs w:val="16"/>
                <w:lang w:val="hr-HR"/>
              </w:rPr>
            </w:pPr>
            <w:bookmarkStart w:id="1131" w:name="_Toc67328505"/>
            <w:r w:rsidRPr="004B4498">
              <w:rPr>
                <w:rFonts w:cs="Arial"/>
                <w:color w:val="000000" w:themeColor="text1"/>
                <w:sz w:val="16"/>
                <w:szCs w:val="16"/>
                <w:lang w:val="hr-HR"/>
              </w:rPr>
              <w:t>000 kuna</w:t>
            </w:r>
            <w:bookmarkEnd w:id="1131"/>
          </w:p>
        </w:tc>
        <w:tc>
          <w:tcPr>
            <w:tcW w:w="562" w:type="pct"/>
            <w:shd w:val="clear" w:color="auto" w:fill="auto"/>
            <w:vAlign w:val="bottom"/>
          </w:tcPr>
          <w:p w14:paraId="3EEFF46E" w14:textId="77777777" w:rsidR="004E2F51" w:rsidRPr="004B4498" w:rsidRDefault="004E2F51" w:rsidP="00E032FC">
            <w:pPr>
              <w:pStyle w:val="TH"/>
              <w:jc w:val="right"/>
              <w:rPr>
                <w:rFonts w:cs="Arial"/>
                <w:color w:val="000000" w:themeColor="text1"/>
                <w:sz w:val="16"/>
                <w:szCs w:val="16"/>
                <w:lang w:val="hr-HR"/>
              </w:rPr>
            </w:pPr>
            <w:bookmarkStart w:id="1132" w:name="_Toc67328506"/>
            <w:r w:rsidRPr="004B4498">
              <w:rPr>
                <w:rFonts w:cs="Arial"/>
                <w:color w:val="000000" w:themeColor="text1"/>
                <w:sz w:val="16"/>
                <w:szCs w:val="16"/>
                <w:lang w:val="hr-HR"/>
              </w:rPr>
              <w:t>000 kuna</w:t>
            </w:r>
            <w:bookmarkEnd w:id="1132"/>
          </w:p>
        </w:tc>
        <w:tc>
          <w:tcPr>
            <w:tcW w:w="563" w:type="pct"/>
            <w:shd w:val="clear" w:color="auto" w:fill="auto"/>
            <w:vAlign w:val="bottom"/>
          </w:tcPr>
          <w:p w14:paraId="1680EDD0" w14:textId="77777777" w:rsidR="004E2F51" w:rsidRPr="004B4498" w:rsidRDefault="004E2F51" w:rsidP="00E032FC">
            <w:pPr>
              <w:pStyle w:val="TH"/>
              <w:jc w:val="right"/>
              <w:rPr>
                <w:rFonts w:cs="Arial"/>
                <w:color w:val="000000" w:themeColor="text1"/>
                <w:sz w:val="16"/>
                <w:szCs w:val="16"/>
                <w:lang w:val="hr-HR"/>
              </w:rPr>
            </w:pPr>
            <w:bookmarkStart w:id="1133" w:name="_Toc67328507"/>
            <w:r w:rsidRPr="004B4498">
              <w:rPr>
                <w:rFonts w:cs="Arial"/>
                <w:color w:val="000000" w:themeColor="text1"/>
                <w:sz w:val="16"/>
                <w:szCs w:val="16"/>
                <w:lang w:val="hr-HR"/>
              </w:rPr>
              <w:t>000 kuna</w:t>
            </w:r>
            <w:bookmarkEnd w:id="1133"/>
          </w:p>
        </w:tc>
        <w:tc>
          <w:tcPr>
            <w:tcW w:w="673" w:type="pct"/>
            <w:shd w:val="clear" w:color="auto" w:fill="auto"/>
            <w:vAlign w:val="bottom"/>
          </w:tcPr>
          <w:p w14:paraId="6B3013D6" w14:textId="77777777" w:rsidR="004E2F51" w:rsidRPr="004B4498" w:rsidRDefault="004E2F51" w:rsidP="00E032FC">
            <w:pPr>
              <w:pStyle w:val="TH"/>
              <w:jc w:val="right"/>
              <w:rPr>
                <w:rFonts w:cs="Arial"/>
                <w:color w:val="000000" w:themeColor="text1"/>
                <w:sz w:val="16"/>
                <w:szCs w:val="16"/>
                <w:lang w:val="hr-HR"/>
              </w:rPr>
            </w:pPr>
            <w:bookmarkStart w:id="1134" w:name="_Toc67328508"/>
            <w:r w:rsidRPr="004B4498">
              <w:rPr>
                <w:rFonts w:cs="Arial"/>
                <w:color w:val="000000" w:themeColor="text1"/>
                <w:sz w:val="16"/>
                <w:szCs w:val="16"/>
                <w:lang w:val="hr-HR"/>
              </w:rPr>
              <w:t>000 kuna</w:t>
            </w:r>
            <w:bookmarkEnd w:id="1134"/>
          </w:p>
        </w:tc>
        <w:tc>
          <w:tcPr>
            <w:tcW w:w="446" w:type="pct"/>
            <w:shd w:val="clear" w:color="auto" w:fill="auto"/>
            <w:vAlign w:val="bottom"/>
          </w:tcPr>
          <w:p w14:paraId="2E75D953" w14:textId="77777777" w:rsidR="004E2F51" w:rsidRPr="004B4498" w:rsidRDefault="004E2F51" w:rsidP="00E032FC">
            <w:pPr>
              <w:pStyle w:val="TH"/>
              <w:jc w:val="right"/>
              <w:rPr>
                <w:rFonts w:cs="Arial"/>
                <w:color w:val="000000" w:themeColor="text1"/>
                <w:sz w:val="16"/>
                <w:szCs w:val="16"/>
                <w:lang w:val="hr-HR"/>
              </w:rPr>
            </w:pPr>
            <w:bookmarkStart w:id="1135" w:name="_Toc67328509"/>
            <w:r w:rsidRPr="004B4498">
              <w:rPr>
                <w:rFonts w:cs="Arial"/>
                <w:color w:val="000000" w:themeColor="text1"/>
                <w:sz w:val="16"/>
                <w:szCs w:val="16"/>
                <w:lang w:val="hr-HR"/>
              </w:rPr>
              <w:t>000 kuna</w:t>
            </w:r>
            <w:bookmarkEnd w:id="1135"/>
          </w:p>
        </w:tc>
      </w:tr>
      <w:tr w:rsidR="002D6F0B" w:rsidRPr="00B91D09" w14:paraId="4A07B5CA" w14:textId="77777777" w:rsidTr="002D6F0B">
        <w:trPr>
          <w:trHeight w:val="276"/>
        </w:trPr>
        <w:tc>
          <w:tcPr>
            <w:tcW w:w="1032" w:type="pct"/>
            <w:shd w:val="clear" w:color="auto" w:fill="auto"/>
            <w:vAlign w:val="bottom"/>
          </w:tcPr>
          <w:p w14:paraId="17BDFEE5" w14:textId="77777777" w:rsidR="004E2F51" w:rsidRPr="004B4498" w:rsidRDefault="004E2F51" w:rsidP="00E032FC">
            <w:pPr>
              <w:pStyle w:val="TT"/>
              <w:spacing w:line="240" w:lineRule="exact"/>
              <w:rPr>
                <w:rFonts w:cs="Arial"/>
                <w:b/>
                <w:bCs/>
                <w:color w:val="000000" w:themeColor="text1"/>
                <w:sz w:val="16"/>
                <w:szCs w:val="16"/>
                <w:lang w:val="hr-HR"/>
              </w:rPr>
            </w:pPr>
            <w:bookmarkStart w:id="1136" w:name="_Toc67328510"/>
            <w:r w:rsidRPr="004B4498">
              <w:rPr>
                <w:rFonts w:cs="Arial"/>
                <w:b/>
                <w:bCs/>
                <w:color w:val="000000" w:themeColor="text1"/>
                <w:sz w:val="16"/>
                <w:szCs w:val="16"/>
                <w:lang w:val="hr-HR"/>
              </w:rPr>
              <w:t>Nabavna vrijednost</w:t>
            </w:r>
            <w:bookmarkEnd w:id="1136"/>
          </w:p>
        </w:tc>
        <w:tc>
          <w:tcPr>
            <w:tcW w:w="598" w:type="pct"/>
            <w:shd w:val="clear" w:color="auto" w:fill="auto"/>
            <w:vAlign w:val="bottom"/>
          </w:tcPr>
          <w:p w14:paraId="6EE85CA6" w14:textId="77777777" w:rsidR="004E2F51" w:rsidRPr="004B4498" w:rsidRDefault="004E2F51" w:rsidP="00E032FC">
            <w:pPr>
              <w:pStyle w:val="TT"/>
              <w:jc w:val="right"/>
              <w:rPr>
                <w:rFonts w:cs="Arial"/>
                <w:color w:val="000000" w:themeColor="text1"/>
                <w:spacing w:val="-3"/>
                <w:sz w:val="16"/>
                <w:szCs w:val="16"/>
                <w:highlight w:val="yellow"/>
                <w:lang w:val="hr-HR"/>
              </w:rPr>
            </w:pPr>
          </w:p>
        </w:tc>
        <w:tc>
          <w:tcPr>
            <w:tcW w:w="563" w:type="pct"/>
            <w:shd w:val="clear" w:color="auto" w:fill="auto"/>
            <w:vAlign w:val="bottom"/>
          </w:tcPr>
          <w:p w14:paraId="633734C1" w14:textId="77777777" w:rsidR="004E2F51" w:rsidRPr="004B4498" w:rsidRDefault="004E2F51" w:rsidP="00E032FC">
            <w:pPr>
              <w:pStyle w:val="TT"/>
              <w:jc w:val="right"/>
              <w:rPr>
                <w:rFonts w:cs="Arial"/>
                <w:color w:val="000000" w:themeColor="text1"/>
                <w:spacing w:val="-3"/>
                <w:sz w:val="16"/>
                <w:szCs w:val="16"/>
                <w:highlight w:val="yellow"/>
                <w:lang w:val="hr-HR"/>
              </w:rPr>
            </w:pPr>
          </w:p>
        </w:tc>
        <w:tc>
          <w:tcPr>
            <w:tcW w:w="563" w:type="pct"/>
            <w:shd w:val="clear" w:color="auto" w:fill="auto"/>
            <w:vAlign w:val="bottom"/>
          </w:tcPr>
          <w:p w14:paraId="57EFB20B" w14:textId="77777777" w:rsidR="004E2F51" w:rsidRPr="004B4498" w:rsidRDefault="004E2F51" w:rsidP="00E032FC">
            <w:pPr>
              <w:pStyle w:val="TT"/>
              <w:jc w:val="right"/>
              <w:rPr>
                <w:rFonts w:cs="Arial"/>
                <w:color w:val="000000" w:themeColor="text1"/>
                <w:spacing w:val="-3"/>
                <w:sz w:val="16"/>
                <w:szCs w:val="16"/>
                <w:highlight w:val="yellow"/>
                <w:lang w:val="hr-HR"/>
              </w:rPr>
            </w:pPr>
          </w:p>
        </w:tc>
        <w:tc>
          <w:tcPr>
            <w:tcW w:w="562" w:type="pct"/>
            <w:shd w:val="clear" w:color="auto" w:fill="auto"/>
            <w:vAlign w:val="bottom"/>
          </w:tcPr>
          <w:p w14:paraId="218E3959" w14:textId="77777777" w:rsidR="004E2F51" w:rsidRPr="004B4498" w:rsidRDefault="004E2F51" w:rsidP="00E032FC">
            <w:pPr>
              <w:pStyle w:val="TT"/>
              <w:jc w:val="right"/>
              <w:rPr>
                <w:rFonts w:cs="Arial"/>
                <w:color w:val="000000" w:themeColor="text1"/>
                <w:spacing w:val="-3"/>
                <w:sz w:val="16"/>
                <w:szCs w:val="16"/>
                <w:highlight w:val="yellow"/>
                <w:lang w:val="hr-HR"/>
              </w:rPr>
            </w:pPr>
          </w:p>
        </w:tc>
        <w:tc>
          <w:tcPr>
            <w:tcW w:w="563" w:type="pct"/>
            <w:shd w:val="clear" w:color="auto" w:fill="auto"/>
            <w:vAlign w:val="bottom"/>
          </w:tcPr>
          <w:p w14:paraId="683ACDA4" w14:textId="77777777" w:rsidR="004E2F51" w:rsidRPr="004B4498" w:rsidRDefault="004E2F51" w:rsidP="00E032FC">
            <w:pPr>
              <w:pStyle w:val="TT"/>
              <w:jc w:val="right"/>
              <w:rPr>
                <w:rFonts w:cs="Arial"/>
                <w:color w:val="000000" w:themeColor="text1"/>
                <w:spacing w:val="-3"/>
                <w:sz w:val="16"/>
                <w:szCs w:val="16"/>
                <w:highlight w:val="yellow"/>
                <w:lang w:val="hr-HR"/>
              </w:rPr>
            </w:pPr>
          </w:p>
        </w:tc>
        <w:tc>
          <w:tcPr>
            <w:tcW w:w="673" w:type="pct"/>
            <w:shd w:val="clear" w:color="auto" w:fill="auto"/>
            <w:vAlign w:val="bottom"/>
          </w:tcPr>
          <w:p w14:paraId="32F00344" w14:textId="77777777" w:rsidR="004E2F51" w:rsidRPr="004B4498" w:rsidRDefault="004E2F51" w:rsidP="00E032FC">
            <w:pPr>
              <w:pStyle w:val="TT"/>
              <w:jc w:val="right"/>
              <w:rPr>
                <w:rFonts w:cs="Arial"/>
                <w:color w:val="000000" w:themeColor="text1"/>
                <w:spacing w:val="-3"/>
                <w:sz w:val="16"/>
                <w:szCs w:val="16"/>
                <w:highlight w:val="yellow"/>
                <w:lang w:val="hr-HR"/>
              </w:rPr>
            </w:pPr>
          </w:p>
        </w:tc>
        <w:tc>
          <w:tcPr>
            <w:tcW w:w="446" w:type="pct"/>
            <w:shd w:val="clear" w:color="auto" w:fill="auto"/>
            <w:vAlign w:val="bottom"/>
          </w:tcPr>
          <w:p w14:paraId="3CBA16C1" w14:textId="77777777" w:rsidR="004E2F51" w:rsidRPr="004B4498" w:rsidRDefault="004E2F51" w:rsidP="00E032FC">
            <w:pPr>
              <w:pStyle w:val="TT"/>
              <w:jc w:val="right"/>
              <w:rPr>
                <w:rFonts w:cs="Arial"/>
                <w:color w:val="000000" w:themeColor="text1"/>
                <w:spacing w:val="-3"/>
                <w:sz w:val="16"/>
                <w:szCs w:val="16"/>
                <w:highlight w:val="yellow"/>
                <w:lang w:val="hr-HR"/>
              </w:rPr>
            </w:pPr>
          </w:p>
        </w:tc>
      </w:tr>
      <w:tr w:rsidR="002D6F0B" w:rsidRPr="00B91D09" w14:paraId="6CD04F7E" w14:textId="77777777" w:rsidTr="002D6F0B">
        <w:trPr>
          <w:trHeight w:val="448"/>
        </w:trPr>
        <w:tc>
          <w:tcPr>
            <w:tcW w:w="1032" w:type="pct"/>
            <w:shd w:val="clear" w:color="auto" w:fill="auto"/>
            <w:vAlign w:val="bottom"/>
          </w:tcPr>
          <w:p w14:paraId="24D5F1C2" w14:textId="77777777" w:rsidR="004E2F51" w:rsidRPr="004B4498" w:rsidRDefault="004E2F51" w:rsidP="00E032FC">
            <w:pPr>
              <w:pStyle w:val="Tot"/>
              <w:spacing w:line="240" w:lineRule="exact"/>
              <w:rPr>
                <w:rFonts w:cs="Arial"/>
                <w:b/>
                <w:bCs/>
                <w:color w:val="000000" w:themeColor="text1"/>
                <w:sz w:val="16"/>
                <w:szCs w:val="16"/>
                <w:lang w:val="hr-HR"/>
              </w:rPr>
            </w:pPr>
            <w:bookmarkStart w:id="1137" w:name="_Toc67328511"/>
            <w:r w:rsidRPr="004B4498">
              <w:rPr>
                <w:rFonts w:cs="Arial"/>
                <w:b/>
                <w:bCs/>
                <w:color w:val="000000" w:themeColor="text1"/>
                <w:sz w:val="16"/>
                <w:szCs w:val="16"/>
                <w:lang w:val="hr-HR"/>
              </w:rPr>
              <w:t>Stanje</w:t>
            </w:r>
            <w:bookmarkEnd w:id="1137"/>
            <w:r w:rsidRPr="004B4498">
              <w:rPr>
                <w:rFonts w:cs="Arial"/>
                <w:b/>
                <w:bCs/>
                <w:color w:val="000000" w:themeColor="text1"/>
                <w:sz w:val="16"/>
                <w:szCs w:val="16"/>
                <w:lang w:val="hr-HR"/>
              </w:rPr>
              <w:t xml:space="preserve"> </w:t>
            </w:r>
          </w:p>
          <w:p w14:paraId="3EA85E1E" w14:textId="77777777" w:rsidR="004E2F51" w:rsidRPr="004B4498" w:rsidRDefault="004E2F51" w:rsidP="00E032FC">
            <w:pPr>
              <w:pStyle w:val="Tot"/>
              <w:spacing w:line="240" w:lineRule="exact"/>
              <w:rPr>
                <w:rFonts w:cs="Arial"/>
                <w:b/>
                <w:bCs/>
                <w:color w:val="000000" w:themeColor="text1"/>
                <w:sz w:val="16"/>
                <w:szCs w:val="16"/>
                <w:lang w:val="hr-HR"/>
              </w:rPr>
            </w:pPr>
            <w:bookmarkStart w:id="1138" w:name="_Toc67328512"/>
            <w:r w:rsidRPr="004B4498">
              <w:rPr>
                <w:rFonts w:cs="Arial"/>
                <w:b/>
                <w:bCs/>
                <w:color w:val="000000" w:themeColor="text1"/>
                <w:sz w:val="16"/>
                <w:szCs w:val="16"/>
                <w:lang w:val="hr-HR"/>
              </w:rPr>
              <w:t>31. prosinca 202</w:t>
            </w:r>
            <w:r>
              <w:rPr>
                <w:rFonts w:cs="Arial"/>
                <w:b/>
                <w:bCs/>
                <w:color w:val="000000" w:themeColor="text1"/>
                <w:sz w:val="16"/>
                <w:szCs w:val="16"/>
                <w:lang w:val="hr-HR"/>
              </w:rPr>
              <w:t>1</w:t>
            </w:r>
            <w:r w:rsidRPr="004B4498">
              <w:rPr>
                <w:rFonts w:cs="Arial"/>
                <w:b/>
                <w:bCs/>
                <w:color w:val="000000" w:themeColor="text1"/>
                <w:sz w:val="16"/>
                <w:szCs w:val="16"/>
                <w:lang w:val="hr-HR"/>
              </w:rPr>
              <w:t>.</w:t>
            </w:r>
            <w:bookmarkEnd w:id="1138"/>
          </w:p>
        </w:tc>
        <w:tc>
          <w:tcPr>
            <w:tcW w:w="598" w:type="pct"/>
            <w:tcBorders>
              <w:top w:val="nil"/>
              <w:left w:val="nil"/>
              <w:bottom w:val="nil"/>
              <w:right w:val="nil"/>
            </w:tcBorders>
            <w:shd w:val="clear" w:color="auto" w:fill="auto"/>
            <w:vAlign w:val="bottom"/>
          </w:tcPr>
          <w:p w14:paraId="5C2F790B" w14:textId="77777777" w:rsidR="004E2F51" w:rsidRPr="004B4498" w:rsidRDefault="004E2F51" w:rsidP="00E032FC">
            <w:pPr>
              <w:pStyle w:val="Tot"/>
              <w:tabs>
                <w:tab w:val="clear" w:pos="1202"/>
              </w:tabs>
              <w:jc w:val="right"/>
              <w:rPr>
                <w:rFonts w:cs="Arial"/>
                <w:b/>
                <w:bCs/>
                <w:sz w:val="16"/>
                <w:szCs w:val="16"/>
              </w:rPr>
            </w:pPr>
            <w:bookmarkStart w:id="1139" w:name="_Toc67328513"/>
            <w:r w:rsidRPr="004B4498">
              <w:rPr>
                <w:rFonts w:cs="Arial"/>
                <w:b/>
                <w:bCs/>
                <w:sz w:val="16"/>
                <w:szCs w:val="16"/>
              </w:rPr>
              <w:t xml:space="preserve"> 77.102 </w:t>
            </w:r>
            <w:bookmarkEnd w:id="1139"/>
          </w:p>
        </w:tc>
        <w:tc>
          <w:tcPr>
            <w:tcW w:w="563" w:type="pct"/>
            <w:tcBorders>
              <w:top w:val="nil"/>
              <w:left w:val="nil"/>
              <w:bottom w:val="nil"/>
              <w:right w:val="nil"/>
            </w:tcBorders>
            <w:shd w:val="clear" w:color="auto" w:fill="auto"/>
            <w:vAlign w:val="bottom"/>
          </w:tcPr>
          <w:p w14:paraId="2443742A" w14:textId="77777777" w:rsidR="004E2F51" w:rsidRPr="004B4498" w:rsidRDefault="004E2F51" w:rsidP="00E032FC">
            <w:pPr>
              <w:pStyle w:val="Tot"/>
              <w:tabs>
                <w:tab w:val="clear" w:pos="1202"/>
              </w:tabs>
              <w:jc w:val="right"/>
              <w:rPr>
                <w:rFonts w:cs="Arial"/>
                <w:b/>
                <w:bCs/>
                <w:sz w:val="16"/>
                <w:szCs w:val="16"/>
              </w:rPr>
            </w:pPr>
            <w:bookmarkStart w:id="1140" w:name="_Toc67328514"/>
            <w:r w:rsidRPr="004B4498">
              <w:rPr>
                <w:rFonts w:cs="Arial"/>
                <w:b/>
                <w:bCs/>
                <w:sz w:val="16"/>
                <w:szCs w:val="16"/>
              </w:rPr>
              <w:t xml:space="preserve"> 13.201 </w:t>
            </w:r>
            <w:bookmarkEnd w:id="1140"/>
          </w:p>
        </w:tc>
        <w:tc>
          <w:tcPr>
            <w:tcW w:w="563" w:type="pct"/>
            <w:tcBorders>
              <w:top w:val="nil"/>
              <w:left w:val="nil"/>
              <w:bottom w:val="nil"/>
              <w:right w:val="nil"/>
            </w:tcBorders>
            <w:shd w:val="clear" w:color="auto" w:fill="auto"/>
            <w:vAlign w:val="bottom"/>
          </w:tcPr>
          <w:p w14:paraId="4ACC2894" w14:textId="77777777" w:rsidR="004E2F51" w:rsidRPr="004B4498" w:rsidRDefault="004E2F51" w:rsidP="00E032FC">
            <w:pPr>
              <w:pStyle w:val="Tot"/>
              <w:tabs>
                <w:tab w:val="clear" w:pos="1202"/>
              </w:tabs>
              <w:jc w:val="right"/>
              <w:rPr>
                <w:rFonts w:cs="Arial"/>
                <w:b/>
                <w:bCs/>
                <w:sz w:val="16"/>
                <w:szCs w:val="16"/>
              </w:rPr>
            </w:pPr>
            <w:bookmarkStart w:id="1141" w:name="_Toc67328515"/>
            <w:r w:rsidRPr="004B4498">
              <w:rPr>
                <w:rFonts w:cs="Arial"/>
                <w:b/>
                <w:bCs/>
                <w:sz w:val="16"/>
                <w:szCs w:val="16"/>
              </w:rPr>
              <w:t xml:space="preserve"> 12.320 </w:t>
            </w:r>
            <w:bookmarkEnd w:id="1141"/>
          </w:p>
        </w:tc>
        <w:tc>
          <w:tcPr>
            <w:tcW w:w="562" w:type="pct"/>
            <w:tcBorders>
              <w:top w:val="nil"/>
              <w:left w:val="nil"/>
              <w:bottom w:val="nil"/>
              <w:right w:val="nil"/>
            </w:tcBorders>
            <w:shd w:val="clear" w:color="auto" w:fill="auto"/>
            <w:vAlign w:val="bottom"/>
          </w:tcPr>
          <w:p w14:paraId="153D8DE2" w14:textId="77777777" w:rsidR="004E2F51" w:rsidRPr="004B4498" w:rsidRDefault="004E2F51" w:rsidP="00E032FC">
            <w:pPr>
              <w:pStyle w:val="Tot"/>
              <w:tabs>
                <w:tab w:val="clear" w:pos="1202"/>
              </w:tabs>
              <w:jc w:val="right"/>
              <w:rPr>
                <w:rFonts w:cs="Arial"/>
                <w:b/>
                <w:bCs/>
                <w:sz w:val="16"/>
                <w:szCs w:val="16"/>
              </w:rPr>
            </w:pPr>
            <w:bookmarkStart w:id="1142" w:name="_Toc67328516"/>
            <w:r w:rsidRPr="004B4498">
              <w:rPr>
                <w:rFonts w:cs="Arial"/>
                <w:b/>
                <w:bCs/>
                <w:sz w:val="16"/>
                <w:szCs w:val="16"/>
              </w:rPr>
              <w:t xml:space="preserve"> 55 </w:t>
            </w:r>
            <w:bookmarkEnd w:id="1142"/>
          </w:p>
        </w:tc>
        <w:tc>
          <w:tcPr>
            <w:tcW w:w="563" w:type="pct"/>
            <w:tcBorders>
              <w:top w:val="nil"/>
              <w:left w:val="nil"/>
              <w:bottom w:val="nil"/>
              <w:right w:val="nil"/>
            </w:tcBorders>
            <w:shd w:val="clear" w:color="auto" w:fill="auto"/>
            <w:vAlign w:val="bottom"/>
          </w:tcPr>
          <w:p w14:paraId="7578E1F4" w14:textId="77777777" w:rsidR="004E2F51" w:rsidRPr="004B4498" w:rsidRDefault="004E2F51" w:rsidP="00E032FC">
            <w:pPr>
              <w:pStyle w:val="Tot"/>
              <w:tabs>
                <w:tab w:val="clear" w:pos="1202"/>
              </w:tabs>
              <w:jc w:val="right"/>
              <w:rPr>
                <w:rFonts w:cs="Arial"/>
                <w:b/>
                <w:bCs/>
                <w:sz w:val="16"/>
                <w:szCs w:val="16"/>
              </w:rPr>
            </w:pPr>
            <w:bookmarkStart w:id="1143" w:name="_Toc67328517"/>
            <w:r w:rsidRPr="004B4498">
              <w:rPr>
                <w:rFonts w:cs="Arial"/>
                <w:b/>
                <w:bCs/>
                <w:sz w:val="16"/>
                <w:szCs w:val="16"/>
              </w:rPr>
              <w:t xml:space="preserve"> 102.678 </w:t>
            </w:r>
            <w:bookmarkEnd w:id="1143"/>
          </w:p>
        </w:tc>
        <w:tc>
          <w:tcPr>
            <w:tcW w:w="673" w:type="pct"/>
            <w:tcBorders>
              <w:top w:val="nil"/>
              <w:left w:val="nil"/>
              <w:bottom w:val="nil"/>
              <w:right w:val="nil"/>
            </w:tcBorders>
            <w:shd w:val="clear" w:color="auto" w:fill="auto"/>
            <w:vAlign w:val="bottom"/>
          </w:tcPr>
          <w:p w14:paraId="39813917" w14:textId="77777777" w:rsidR="004E2F51" w:rsidRPr="004B4498" w:rsidRDefault="004E2F51" w:rsidP="00E032FC">
            <w:pPr>
              <w:pStyle w:val="Tot"/>
              <w:tabs>
                <w:tab w:val="clear" w:pos="1202"/>
              </w:tabs>
              <w:jc w:val="right"/>
              <w:rPr>
                <w:rFonts w:cs="Arial"/>
                <w:b/>
                <w:bCs/>
                <w:sz w:val="16"/>
                <w:szCs w:val="16"/>
              </w:rPr>
            </w:pPr>
            <w:bookmarkStart w:id="1144" w:name="_Toc67328518"/>
            <w:r w:rsidRPr="004B4498">
              <w:rPr>
                <w:rFonts w:cs="Arial"/>
                <w:b/>
                <w:bCs/>
                <w:sz w:val="16"/>
                <w:szCs w:val="16"/>
              </w:rPr>
              <w:t xml:space="preserve"> 34.801 </w:t>
            </w:r>
            <w:bookmarkEnd w:id="1144"/>
          </w:p>
        </w:tc>
        <w:tc>
          <w:tcPr>
            <w:tcW w:w="446" w:type="pct"/>
            <w:tcBorders>
              <w:top w:val="nil"/>
              <w:left w:val="nil"/>
              <w:bottom w:val="nil"/>
              <w:right w:val="nil"/>
            </w:tcBorders>
            <w:shd w:val="clear" w:color="auto" w:fill="auto"/>
            <w:vAlign w:val="bottom"/>
          </w:tcPr>
          <w:p w14:paraId="2D77ED1D" w14:textId="77777777" w:rsidR="004E2F51" w:rsidRPr="004B4498" w:rsidRDefault="004E2F51" w:rsidP="00E032FC">
            <w:pPr>
              <w:pStyle w:val="Tot"/>
              <w:tabs>
                <w:tab w:val="clear" w:pos="1202"/>
              </w:tabs>
              <w:jc w:val="right"/>
              <w:rPr>
                <w:rFonts w:cs="Arial"/>
                <w:b/>
                <w:bCs/>
                <w:sz w:val="16"/>
                <w:szCs w:val="16"/>
              </w:rPr>
            </w:pPr>
            <w:bookmarkStart w:id="1145" w:name="_Toc67328519"/>
            <w:r w:rsidRPr="004B4498">
              <w:rPr>
                <w:rFonts w:cs="Arial"/>
                <w:b/>
                <w:bCs/>
                <w:sz w:val="16"/>
                <w:szCs w:val="16"/>
              </w:rPr>
              <w:t xml:space="preserve"> 137.479 </w:t>
            </w:r>
            <w:bookmarkEnd w:id="1145"/>
          </w:p>
        </w:tc>
      </w:tr>
      <w:tr w:rsidR="002D6F0B" w:rsidRPr="00B91D09" w14:paraId="20FCBDA0" w14:textId="77777777" w:rsidTr="002D6F0B">
        <w:trPr>
          <w:trHeight w:val="218"/>
        </w:trPr>
        <w:tc>
          <w:tcPr>
            <w:tcW w:w="1032" w:type="pct"/>
            <w:shd w:val="clear" w:color="auto" w:fill="auto"/>
            <w:vAlign w:val="bottom"/>
          </w:tcPr>
          <w:p w14:paraId="0E868C70" w14:textId="77777777" w:rsidR="004E2F51" w:rsidRPr="004B4498" w:rsidRDefault="004E2F51" w:rsidP="00E032FC">
            <w:pPr>
              <w:pStyle w:val="TT"/>
              <w:spacing w:line="240" w:lineRule="exact"/>
              <w:rPr>
                <w:rFonts w:cs="Arial"/>
                <w:color w:val="000000" w:themeColor="text1"/>
                <w:sz w:val="16"/>
                <w:szCs w:val="16"/>
                <w:lang w:val="hr-HR"/>
              </w:rPr>
            </w:pPr>
            <w:r w:rsidRPr="004B4498">
              <w:rPr>
                <w:rFonts w:cs="Arial"/>
                <w:color w:val="000000" w:themeColor="text1"/>
                <w:sz w:val="16"/>
                <w:szCs w:val="16"/>
                <w:lang w:val="hr-HR"/>
              </w:rPr>
              <w:t>Stjecanje</w:t>
            </w:r>
          </w:p>
        </w:tc>
        <w:tc>
          <w:tcPr>
            <w:tcW w:w="598" w:type="pct"/>
            <w:tcBorders>
              <w:top w:val="nil"/>
              <w:left w:val="nil"/>
              <w:bottom w:val="nil"/>
              <w:right w:val="nil"/>
            </w:tcBorders>
            <w:shd w:val="clear" w:color="auto" w:fill="auto"/>
            <w:vAlign w:val="bottom"/>
          </w:tcPr>
          <w:p w14:paraId="5AC65B4F"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  </w:t>
            </w:r>
          </w:p>
        </w:tc>
        <w:tc>
          <w:tcPr>
            <w:tcW w:w="563" w:type="pct"/>
            <w:tcBorders>
              <w:top w:val="nil"/>
              <w:left w:val="nil"/>
              <w:bottom w:val="nil"/>
              <w:right w:val="nil"/>
            </w:tcBorders>
            <w:shd w:val="clear" w:color="auto" w:fill="auto"/>
            <w:vAlign w:val="bottom"/>
          </w:tcPr>
          <w:p w14:paraId="06A9CF80"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  </w:t>
            </w:r>
          </w:p>
        </w:tc>
        <w:tc>
          <w:tcPr>
            <w:tcW w:w="563" w:type="pct"/>
            <w:tcBorders>
              <w:top w:val="nil"/>
              <w:left w:val="nil"/>
              <w:bottom w:val="nil"/>
              <w:right w:val="nil"/>
            </w:tcBorders>
            <w:shd w:val="clear" w:color="auto" w:fill="auto"/>
            <w:vAlign w:val="bottom"/>
          </w:tcPr>
          <w:p w14:paraId="3B8A2742"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  </w:t>
            </w:r>
          </w:p>
        </w:tc>
        <w:tc>
          <w:tcPr>
            <w:tcW w:w="562" w:type="pct"/>
            <w:tcBorders>
              <w:top w:val="nil"/>
              <w:left w:val="nil"/>
              <w:bottom w:val="nil"/>
              <w:right w:val="nil"/>
            </w:tcBorders>
            <w:shd w:val="clear" w:color="auto" w:fill="auto"/>
            <w:vAlign w:val="bottom"/>
          </w:tcPr>
          <w:p w14:paraId="3E10ECF0"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4.389 </w:t>
            </w:r>
          </w:p>
        </w:tc>
        <w:tc>
          <w:tcPr>
            <w:tcW w:w="563" w:type="pct"/>
            <w:tcBorders>
              <w:top w:val="nil"/>
              <w:left w:val="nil"/>
              <w:bottom w:val="nil"/>
              <w:right w:val="nil"/>
            </w:tcBorders>
            <w:shd w:val="clear" w:color="auto" w:fill="auto"/>
            <w:vAlign w:val="bottom"/>
          </w:tcPr>
          <w:p w14:paraId="2A5E847D"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4.389 </w:t>
            </w:r>
          </w:p>
        </w:tc>
        <w:tc>
          <w:tcPr>
            <w:tcW w:w="673" w:type="pct"/>
            <w:tcBorders>
              <w:top w:val="nil"/>
              <w:left w:val="nil"/>
              <w:bottom w:val="nil"/>
              <w:right w:val="nil"/>
            </w:tcBorders>
            <w:shd w:val="clear" w:color="auto" w:fill="auto"/>
            <w:vAlign w:val="bottom"/>
          </w:tcPr>
          <w:p w14:paraId="070D65F6"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 </w:t>
            </w:r>
          </w:p>
        </w:tc>
        <w:tc>
          <w:tcPr>
            <w:tcW w:w="446" w:type="pct"/>
            <w:tcBorders>
              <w:top w:val="nil"/>
              <w:left w:val="nil"/>
              <w:bottom w:val="nil"/>
              <w:right w:val="nil"/>
            </w:tcBorders>
            <w:shd w:val="clear" w:color="auto" w:fill="auto"/>
            <w:vAlign w:val="bottom"/>
          </w:tcPr>
          <w:p w14:paraId="280D4AD6"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4.389 </w:t>
            </w:r>
          </w:p>
        </w:tc>
      </w:tr>
      <w:tr w:rsidR="002D6F0B" w:rsidRPr="00B91D09" w14:paraId="3FE7ED0A" w14:textId="77777777" w:rsidTr="002D6F0B">
        <w:trPr>
          <w:trHeight w:val="886"/>
        </w:trPr>
        <w:tc>
          <w:tcPr>
            <w:tcW w:w="1032" w:type="pct"/>
            <w:shd w:val="clear" w:color="auto" w:fill="auto"/>
            <w:vAlign w:val="bottom"/>
          </w:tcPr>
          <w:p w14:paraId="1B035A5A" w14:textId="77777777" w:rsidR="004E2F51" w:rsidRPr="004B4498" w:rsidRDefault="004E2F51" w:rsidP="00E032FC">
            <w:pPr>
              <w:pStyle w:val="TT"/>
              <w:spacing w:line="240" w:lineRule="exact"/>
              <w:rPr>
                <w:rFonts w:cs="Arial"/>
                <w:color w:val="000000" w:themeColor="text1"/>
                <w:sz w:val="16"/>
                <w:szCs w:val="16"/>
                <w:lang w:val="hr-HR"/>
              </w:rPr>
            </w:pPr>
            <w:bookmarkStart w:id="1146" w:name="_Toc67328521"/>
            <w:r w:rsidRPr="004B4498">
              <w:rPr>
                <w:rFonts w:cs="Arial"/>
                <w:color w:val="000000" w:themeColor="text1"/>
                <w:sz w:val="16"/>
                <w:szCs w:val="16"/>
                <w:lang w:val="hr-HR"/>
              </w:rPr>
              <w:t>Prijenos s nekretnina, postrojenja i opreme i nematerijalne imovine u pripremi</w:t>
            </w:r>
            <w:bookmarkEnd w:id="1146"/>
          </w:p>
        </w:tc>
        <w:tc>
          <w:tcPr>
            <w:tcW w:w="598" w:type="pct"/>
            <w:tcBorders>
              <w:top w:val="nil"/>
              <w:left w:val="nil"/>
              <w:right w:val="nil"/>
            </w:tcBorders>
            <w:shd w:val="clear" w:color="auto" w:fill="auto"/>
            <w:vAlign w:val="bottom"/>
          </w:tcPr>
          <w:p w14:paraId="6AADDD26"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  </w:t>
            </w:r>
          </w:p>
        </w:tc>
        <w:tc>
          <w:tcPr>
            <w:tcW w:w="563" w:type="pct"/>
            <w:tcBorders>
              <w:top w:val="nil"/>
              <w:left w:val="nil"/>
              <w:right w:val="nil"/>
            </w:tcBorders>
            <w:shd w:val="clear" w:color="auto" w:fill="auto"/>
            <w:vAlign w:val="bottom"/>
          </w:tcPr>
          <w:p w14:paraId="2B09EC53"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466 </w:t>
            </w:r>
          </w:p>
        </w:tc>
        <w:tc>
          <w:tcPr>
            <w:tcW w:w="563" w:type="pct"/>
            <w:tcBorders>
              <w:top w:val="nil"/>
              <w:left w:val="nil"/>
              <w:right w:val="nil"/>
            </w:tcBorders>
            <w:shd w:val="clear" w:color="auto" w:fill="auto"/>
            <w:vAlign w:val="bottom"/>
          </w:tcPr>
          <w:p w14:paraId="36BBE6BF"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1.649 </w:t>
            </w:r>
          </w:p>
        </w:tc>
        <w:tc>
          <w:tcPr>
            <w:tcW w:w="562" w:type="pct"/>
            <w:tcBorders>
              <w:top w:val="nil"/>
              <w:left w:val="nil"/>
              <w:right w:val="nil"/>
            </w:tcBorders>
            <w:shd w:val="clear" w:color="auto" w:fill="auto"/>
            <w:vAlign w:val="bottom"/>
          </w:tcPr>
          <w:p w14:paraId="619008DF"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(4.381)</w:t>
            </w:r>
          </w:p>
        </w:tc>
        <w:tc>
          <w:tcPr>
            <w:tcW w:w="563" w:type="pct"/>
            <w:tcBorders>
              <w:top w:val="nil"/>
              <w:left w:val="nil"/>
              <w:right w:val="nil"/>
            </w:tcBorders>
            <w:shd w:val="clear" w:color="auto" w:fill="auto"/>
            <w:vAlign w:val="bottom"/>
          </w:tcPr>
          <w:p w14:paraId="6DB14AE5"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(2.266)</w:t>
            </w:r>
          </w:p>
        </w:tc>
        <w:tc>
          <w:tcPr>
            <w:tcW w:w="673" w:type="pct"/>
            <w:tcBorders>
              <w:top w:val="nil"/>
              <w:left w:val="nil"/>
              <w:right w:val="nil"/>
            </w:tcBorders>
            <w:shd w:val="clear" w:color="auto" w:fill="auto"/>
            <w:vAlign w:val="bottom"/>
          </w:tcPr>
          <w:p w14:paraId="45932502"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2.266 </w:t>
            </w:r>
          </w:p>
        </w:tc>
        <w:tc>
          <w:tcPr>
            <w:tcW w:w="446" w:type="pct"/>
            <w:tcBorders>
              <w:top w:val="nil"/>
              <w:left w:val="nil"/>
              <w:right w:val="nil"/>
            </w:tcBorders>
            <w:shd w:val="clear" w:color="auto" w:fill="auto"/>
            <w:vAlign w:val="bottom"/>
          </w:tcPr>
          <w:p w14:paraId="38FF9445"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 </w:t>
            </w:r>
          </w:p>
        </w:tc>
      </w:tr>
      <w:tr w:rsidR="002D6F0B" w:rsidRPr="00B91D09" w14:paraId="429BD794" w14:textId="77777777" w:rsidTr="002D6F0B">
        <w:trPr>
          <w:trHeight w:val="218"/>
        </w:trPr>
        <w:tc>
          <w:tcPr>
            <w:tcW w:w="1032" w:type="pct"/>
            <w:shd w:val="clear" w:color="auto" w:fill="auto"/>
            <w:vAlign w:val="bottom"/>
          </w:tcPr>
          <w:p w14:paraId="3F7D6788" w14:textId="77777777" w:rsidR="004E2F51" w:rsidRPr="004B4498" w:rsidRDefault="004E2F51" w:rsidP="00E032FC">
            <w:pPr>
              <w:pStyle w:val="TT"/>
              <w:spacing w:line="240" w:lineRule="exact"/>
              <w:rPr>
                <w:rFonts w:cs="Arial"/>
                <w:color w:val="000000" w:themeColor="text1"/>
                <w:sz w:val="16"/>
                <w:szCs w:val="16"/>
                <w:lang w:val="hr-HR"/>
              </w:rPr>
            </w:pPr>
            <w:bookmarkStart w:id="1147" w:name="_Toc67328523"/>
            <w:r w:rsidRPr="004B4498">
              <w:rPr>
                <w:rFonts w:cs="Arial"/>
                <w:color w:val="000000" w:themeColor="text1"/>
                <w:sz w:val="16"/>
                <w:szCs w:val="16"/>
                <w:lang w:val="hr-HR"/>
              </w:rPr>
              <w:t>Rashod i otpis</w:t>
            </w:r>
            <w:bookmarkEnd w:id="1147"/>
          </w:p>
        </w:tc>
        <w:tc>
          <w:tcPr>
            <w:tcW w:w="598" w:type="pct"/>
            <w:tcBorders>
              <w:left w:val="nil"/>
              <w:right w:val="nil"/>
            </w:tcBorders>
            <w:shd w:val="clear" w:color="auto" w:fill="auto"/>
            <w:vAlign w:val="bottom"/>
          </w:tcPr>
          <w:p w14:paraId="48F9B083"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  </w:t>
            </w:r>
          </w:p>
        </w:tc>
        <w:tc>
          <w:tcPr>
            <w:tcW w:w="563" w:type="pct"/>
            <w:tcBorders>
              <w:left w:val="nil"/>
              <w:right w:val="nil"/>
            </w:tcBorders>
            <w:shd w:val="clear" w:color="auto" w:fill="auto"/>
            <w:vAlign w:val="bottom"/>
          </w:tcPr>
          <w:p w14:paraId="2DF55ED8"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(3.802)</w:t>
            </w:r>
          </w:p>
        </w:tc>
        <w:tc>
          <w:tcPr>
            <w:tcW w:w="563" w:type="pct"/>
            <w:tcBorders>
              <w:left w:val="nil"/>
              <w:right w:val="nil"/>
            </w:tcBorders>
            <w:shd w:val="clear" w:color="auto" w:fill="auto"/>
            <w:vAlign w:val="bottom"/>
          </w:tcPr>
          <w:p w14:paraId="3944425C"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(2.803)</w:t>
            </w:r>
          </w:p>
        </w:tc>
        <w:tc>
          <w:tcPr>
            <w:tcW w:w="562" w:type="pct"/>
            <w:tcBorders>
              <w:left w:val="nil"/>
              <w:right w:val="nil"/>
            </w:tcBorders>
            <w:shd w:val="clear" w:color="auto" w:fill="auto"/>
            <w:vAlign w:val="bottom"/>
          </w:tcPr>
          <w:p w14:paraId="0AB29E9D"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 </w:t>
            </w:r>
          </w:p>
        </w:tc>
        <w:tc>
          <w:tcPr>
            <w:tcW w:w="563" w:type="pct"/>
            <w:tcBorders>
              <w:left w:val="nil"/>
              <w:right w:val="nil"/>
            </w:tcBorders>
            <w:shd w:val="clear" w:color="auto" w:fill="auto"/>
            <w:vAlign w:val="bottom"/>
          </w:tcPr>
          <w:p w14:paraId="017BA2B0"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(6.605)</w:t>
            </w:r>
          </w:p>
        </w:tc>
        <w:tc>
          <w:tcPr>
            <w:tcW w:w="673" w:type="pct"/>
            <w:tcBorders>
              <w:left w:val="nil"/>
              <w:right w:val="nil"/>
            </w:tcBorders>
            <w:shd w:val="clear" w:color="auto" w:fill="auto"/>
            <w:vAlign w:val="bottom"/>
          </w:tcPr>
          <w:p w14:paraId="7F1CEF82"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(306)</w:t>
            </w:r>
          </w:p>
        </w:tc>
        <w:tc>
          <w:tcPr>
            <w:tcW w:w="446" w:type="pct"/>
            <w:tcBorders>
              <w:left w:val="nil"/>
              <w:right w:val="nil"/>
            </w:tcBorders>
            <w:shd w:val="clear" w:color="auto" w:fill="auto"/>
            <w:vAlign w:val="bottom"/>
          </w:tcPr>
          <w:p w14:paraId="141D4990"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(6.911)</w:t>
            </w:r>
          </w:p>
        </w:tc>
      </w:tr>
      <w:tr w:rsidR="002D6F0B" w:rsidRPr="00B91D09" w14:paraId="09B62234" w14:textId="77777777" w:rsidTr="002D6F0B">
        <w:trPr>
          <w:trHeight w:val="218"/>
        </w:trPr>
        <w:tc>
          <w:tcPr>
            <w:tcW w:w="1032" w:type="pct"/>
            <w:shd w:val="clear" w:color="auto" w:fill="auto"/>
            <w:vAlign w:val="bottom"/>
          </w:tcPr>
          <w:p w14:paraId="6FAA206E" w14:textId="77777777" w:rsidR="004E2F51" w:rsidRPr="004B4498" w:rsidRDefault="004E2F51" w:rsidP="00E032FC">
            <w:pPr>
              <w:pStyle w:val="TT"/>
              <w:spacing w:line="240" w:lineRule="exact"/>
              <w:rPr>
                <w:rFonts w:cs="Arial"/>
                <w:color w:val="000000" w:themeColor="text1"/>
                <w:sz w:val="16"/>
                <w:szCs w:val="16"/>
                <w:lang w:val="hr-HR"/>
              </w:rPr>
            </w:pPr>
            <w:r>
              <w:rPr>
                <w:rFonts w:cs="Arial"/>
                <w:color w:val="000000" w:themeColor="text1"/>
                <w:sz w:val="16"/>
                <w:szCs w:val="16"/>
                <w:lang w:val="hr-HR"/>
              </w:rPr>
              <w:t>V</w:t>
            </w:r>
            <w:r w:rsidRPr="00B16F72">
              <w:rPr>
                <w:rFonts w:cs="Arial"/>
                <w:color w:val="000000" w:themeColor="text1"/>
                <w:sz w:val="16"/>
                <w:szCs w:val="16"/>
                <w:lang w:val="hr-HR"/>
              </w:rPr>
              <w:t>raćeno u upotrebu</w:t>
            </w:r>
          </w:p>
        </w:tc>
        <w:tc>
          <w:tcPr>
            <w:tcW w:w="598" w:type="pct"/>
            <w:tcBorders>
              <w:left w:val="nil"/>
              <w:bottom w:val="single" w:sz="4" w:space="0" w:color="auto"/>
              <w:right w:val="nil"/>
            </w:tcBorders>
            <w:shd w:val="clear" w:color="auto" w:fill="auto"/>
            <w:vAlign w:val="bottom"/>
          </w:tcPr>
          <w:p w14:paraId="6CAB09BA" w14:textId="77777777" w:rsidR="004E2F51" w:rsidRPr="00272C9F" w:rsidRDefault="004E2F51" w:rsidP="00E032FC">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bottom w:val="single" w:sz="4" w:space="0" w:color="auto"/>
              <w:right w:val="nil"/>
            </w:tcBorders>
            <w:shd w:val="clear" w:color="auto" w:fill="auto"/>
            <w:vAlign w:val="bottom"/>
          </w:tcPr>
          <w:p w14:paraId="78A128D1"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2 </w:t>
            </w:r>
          </w:p>
        </w:tc>
        <w:tc>
          <w:tcPr>
            <w:tcW w:w="563" w:type="pct"/>
            <w:tcBorders>
              <w:left w:val="nil"/>
              <w:bottom w:val="single" w:sz="4" w:space="0" w:color="auto"/>
              <w:right w:val="nil"/>
            </w:tcBorders>
            <w:shd w:val="clear" w:color="auto" w:fill="auto"/>
            <w:vAlign w:val="bottom"/>
          </w:tcPr>
          <w:p w14:paraId="59A7CAB1"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25 </w:t>
            </w:r>
          </w:p>
        </w:tc>
        <w:tc>
          <w:tcPr>
            <w:tcW w:w="562" w:type="pct"/>
            <w:tcBorders>
              <w:left w:val="nil"/>
              <w:bottom w:val="single" w:sz="4" w:space="0" w:color="auto"/>
              <w:right w:val="nil"/>
            </w:tcBorders>
            <w:shd w:val="clear" w:color="auto" w:fill="auto"/>
            <w:vAlign w:val="bottom"/>
          </w:tcPr>
          <w:p w14:paraId="1517D061" w14:textId="77777777" w:rsidR="004E2F51" w:rsidRPr="00272C9F" w:rsidRDefault="004E2F51" w:rsidP="00E032FC">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563" w:type="pct"/>
            <w:tcBorders>
              <w:left w:val="nil"/>
              <w:bottom w:val="single" w:sz="4" w:space="0" w:color="auto"/>
              <w:right w:val="nil"/>
            </w:tcBorders>
            <w:shd w:val="clear" w:color="auto" w:fill="auto"/>
            <w:vAlign w:val="bottom"/>
          </w:tcPr>
          <w:p w14:paraId="4DA1D82D"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27 </w:t>
            </w:r>
          </w:p>
        </w:tc>
        <w:tc>
          <w:tcPr>
            <w:tcW w:w="673" w:type="pct"/>
            <w:tcBorders>
              <w:left w:val="nil"/>
              <w:bottom w:val="single" w:sz="4" w:space="0" w:color="auto"/>
              <w:right w:val="nil"/>
            </w:tcBorders>
            <w:shd w:val="clear" w:color="auto" w:fill="auto"/>
            <w:vAlign w:val="bottom"/>
          </w:tcPr>
          <w:p w14:paraId="54EF265D" w14:textId="77777777" w:rsidR="004E2F51" w:rsidRPr="00272C9F" w:rsidRDefault="004E2F51" w:rsidP="00E032FC">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w:t>
            </w:r>
          </w:p>
        </w:tc>
        <w:tc>
          <w:tcPr>
            <w:tcW w:w="446" w:type="pct"/>
            <w:tcBorders>
              <w:left w:val="nil"/>
              <w:bottom w:val="single" w:sz="4" w:space="0" w:color="auto"/>
              <w:right w:val="nil"/>
            </w:tcBorders>
            <w:shd w:val="clear" w:color="auto" w:fill="auto"/>
            <w:vAlign w:val="bottom"/>
          </w:tcPr>
          <w:p w14:paraId="759FACD3" w14:textId="77777777" w:rsidR="004E2F51" w:rsidRPr="00272C9F" w:rsidRDefault="004E2F51" w:rsidP="00E032FC">
            <w:pPr>
              <w:jc w:val="right"/>
              <w:rPr>
                <w:rFonts w:ascii="Arial" w:hAnsi="Arial" w:cs="Arial"/>
                <w:color w:val="000000" w:themeColor="text1"/>
                <w:sz w:val="16"/>
                <w:szCs w:val="16"/>
                <w:lang w:val="hr-HR"/>
              </w:rPr>
            </w:pPr>
            <w:r w:rsidRPr="00272C9F">
              <w:rPr>
                <w:rFonts w:ascii="Arial" w:hAnsi="Arial" w:cs="Arial"/>
                <w:color w:val="000000" w:themeColor="text1"/>
                <w:sz w:val="16"/>
                <w:szCs w:val="16"/>
                <w:lang w:val="hr-HR"/>
              </w:rPr>
              <w:t xml:space="preserve"> 27 </w:t>
            </w:r>
          </w:p>
        </w:tc>
      </w:tr>
      <w:tr w:rsidR="002D6F0B" w:rsidRPr="00B91D09" w14:paraId="5372CEE4" w14:textId="77777777" w:rsidTr="002D6F0B">
        <w:trPr>
          <w:trHeight w:val="437"/>
        </w:trPr>
        <w:tc>
          <w:tcPr>
            <w:tcW w:w="1032" w:type="pct"/>
            <w:shd w:val="clear" w:color="auto" w:fill="auto"/>
            <w:vAlign w:val="bottom"/>
          </w:tcPr>
          <w:p w14:paraId="2B4AC8A2" w14:textId="77777777" w:rsidR="004E2F51" w:rsidRPr="004B4498" w:rsidRDefault="004E2F51" w:rsidP="00E032FC">
            <w:pPr>
              <w:pStyle w:val="Tot"/>
              <w:spacing w:line="240" w:lineRule="exact"/>
              <w:rPr>
                <w:rFonts w:cs="Arial"/>
                <w:b/>
                <w:bCs/>
                <w:color w:val="000000" w:themeColor="text1"/>
                <w:sz w:val="16"/>
                <w:szCs w:val="16"/>
                <w:lang w:val="hr-HR"/>
              </w:rPr>
            </w:pPr>
            <w:bookmarkStart w:id="1148" w:name="_Toc67328524"/>
            <w:r w:rsidRPr="004B4498">
              <w:rPr>
                <w:rFonts w:cs="Arial"/>
                <w:b/>
                <w:bCs/>
                <w:color w:val="000000" w:themeColor="text1"/>
                <w:sz w:val="16"/>
                <w:szCs w:val="16"/>
                <w:lang w:val="hr-HR"/>
              </w:rPr>
              <w:t>Stanje</w:t>
            </w:r>
            <w:bookmarkEnd w:id="1148"/>
            <w:r w:rsidRPr="004B4498">
              <w:rPr>
                <w:rFonts w:cs="Arial"/>
                <w:b/>
                <w:bCs/>
                <w:color w:val="000000" w:themeColor="text1"/>
                <w:sz w:val="16"/>
                <w:szCs w:val="16"/>
                <w:lang w:val="hr-HR"/>
              </w:rPr>
              <w:t xml:space="preserve"> </w:t>
            </w:r>
          </w:p>
          <w:p w14:paraId="6EFFBAFA" w14:textId="77777777" w:rsidR="004E2F51" w:rsidRPr="004B4498" w:rsidRDefault="004E2F51" w:rsidP="00E032FC">
            <w:pPr>
              <w:pStyle w:val="Tot"/>
              <w:spacing w:line="240" w:lineRule="exact"/>
              <w:rPr>
                <w:rFonts w:cs="Arial"/>
                <w:b/>
                <w:bCs/>
                <w:color w:val="000000" w:themeColor="text1"/>
                <w:sz w:val="16"/>
                <w:szCs w:val="16"/>
                <w:lang w:val="hr-HR"/>
              </w:rPr>
            </w:pPr>
            <w:bookmarkStart w:id="1149" w:name="_Toc67328525"/>
            <w:r w:rsidRPr="004B4498">
              <w:rPr>
                <w:rFonts w:cs="Arial"/>
                <w:b/>
                <w:bCs/>
                <w:color w:val="000000" w:themeColor="text1"/>
                <w:sz w:val="16"/>
                <w:szCs w:val="16"/>
                <w:lang w:val="hr-HR"/>
              </w:rPr>
              <w:t>31. prosinca 202</w:t>
            </w:r>
            <w:r>
              <w:rPr>
                <w:rFonts w:cs="Arial"/>
                <w:b/>
                <w:bCs/>
                <w:color w:val="000000" w:themeColor="text1"/>
                <w:sz w:val="16"/>
                <w:szCs w:val="16"/>
                <w:lang w:val="hr-HR"/>
              </w:rPr>
              <w:t>2</w:t>
            </w:r>
            <w:r w:rsidRPr="004B4498">
              <w:rPr>
                <w:rFonts w:cs="Arial"/>
                <w:b/>
                <w:bCs/>
                <w:color w:val="000000" w:themeColor="text1"/>
                <w:sz w:val="16"/>
                <w:szCs w:val="16"/>
                <w:lang w:val="hr-HR"/>
              </w:rPr>
              <w:t>.</w:t>
            </w:r>
            <w:bookmarkEnd w:id="1149"/>
          </w:p>
        </w:tc>
        <w:tc>
          <w:tcPr>
            <w:tcW w:w="598" w:type="pct"/>
            <w:tcBorders>
              <w:top w:val="single" w:sz="4" w:space="0" w:color="auto"/>
              <w:left w:val="nil"/>
              <w:bottom w:val="single" w:sz="12" w:space="0" w:color="auto"/>
              <w:right w:val="nil"/>
            </w:tcBorders>
            <w:shd w:val="clear" w:color="auto" w:fill="auto"/>
            <w:vAlign w:val="bottom"/>
          </w:tcPr>
          <w:p w14:paraId="63B4F7A3" w14:textId="77777777" w:rsidR="004E2F51" w:rsidRPr="00272C9F" w:rsidRDefault="004E2F51" w:rsidP="00E032FC">
            <w:pPr>
              <w:pStyle w:val="Tot"/>
              <w:tabs>
                <w:tab w:val="clear" w:pos="1202"/>
              </w:tabs>
              <w:jc w:val="right"/>
              <w:rPr>
                <w:rFonts w:cs="Arial"/>
                <w:b/>
                <w:bCs/>
                <w:sz w:val="16"/>
                <w:szCs w:val="16"/>
              </w:rPr>
            </w:pPr>
            <w:r w:rsidRPr="00272C9F">
              <w:rPr>
                <w:rFonts w:cs="Arial"/>
                <w:b/>
                <w:bCs/>
                <w:sz w:val="16"/>
                <w:szCs w:val="16"/>
              </w:rPr>
              <w:t xml:space="preserve"> 77.102 </w:t>
            </w:r>
          </w:p>
        </w:tc>
        <w:tc>
          <w:tcPr>
            <w:tcW w:w="563" w:type="pct"/>
            <w:tcBorders>
              <w:top w:val="single" w:sz="4" w:space="0" w:color="auto"/>
              <w:left w:val="nil"/>
              <w:bottom w:val="single" w:sz="12" w:space="0" w:color="auto"/>
              <w:right w:val="nil"/>
            </w:tcBorders>
            <w:shd w:val="clear" w:color="auto" w:fill="auto"/>
            <w:vAlign w:val="bottom"/>
          </w:tcPr>
          <w:p w14:paraId="308D1AEE" w14:textId="77777777" w:rsidR="004E2F51" w:rsidRPr="00272C9F" w:rsidRDefault="004E2F51" w:rsidP="00E032FC">
            <w:pPr>
              <w:pStyle w:val="Tot"/>
              <w:tabs>
                <w:tab w:val="clear" w:pos="1202"/>
              </w:tabs>
              <w:jc w:val="right"/>
              <w:rPr>
                <w:rFonts w:cs="Arial"/>
                <w:b/>
                <w:bCs/>
                <w:sz w:val="16"/>
                <w:szCs w:val="16"/>
              </w:rPr>
            </w:pPr>
            <w:r w:rsidRPr="00272C9F">
              <w:rPr>
                <w:rFonts w:cs="Arial"/>
                <w:b/>
                <w:bCs/>
                <w:sz w:val="16"/>
                <w:szCs w:val="16"/>
              </w:rPr>
              <w:t xml:space="preserve"> 9.867 </w:t>
            </w:r>
          </w:p>
        </w:tc>
        <w:tc>
          <w:tcPr>
            <w:tcW w:w="563" w:type="pct"/>
            <w:tcBorders>
              <w:top w:val="single" w:sz="4" w:space="0" w:color="auto"/>
              <w:left w:val="nil"/>
              <w:bottom w:val="single" w:sz="12" w:space="0" w:color="auto"/>
              <w:right w:val="nil"/>
            </w:tcBorders>
            <w:shd w:val="clear" w:color="auto" w:fill="auto"/>
            <w:vAlign w:val="bottom"/>
          </w:tcPr>
          <w:p w14:paraId="304EF9D3" w14:textId="77777777" w:rsidR="004E2F51" w:rsidRPr="00272C9F" w:rsidRDefault="004E2F51" w:rsidP="00E032FC">
            <w:pPr>
              <w:pStyle w:val="Tot"/>
              <w:tabs>
                <w:tab w:val="clear" w:pos="1202"/>
              </w:tabs>
              <w:jc w:val="right"/>
              <w:rPr>
                <w:rFonts w:cs="Arial"/>
                <w:b/>
                <w:bCs/>
                <w:sz w:val="16"/>
                <w:szCs w:val="16"/>
              </w:rPr>
            </w:pPr>
            <w:r w:rsidRPr="00272C9F">
              <w:rPr>
                <w:rFonts w:cs="Arial"/>
                <w:b/>
                <w:bCs/>
                <w:sz w:val="16"/>
                <w:szCs w:val="16"/>
              </w:rPr>
              <w:t xml:space="preserve"> 11.191 </w:t>
            </w:r>
          </w:p>
        </w:tc>
        <w:tc>
          <w:tcPr>
            <w:tcW w:w="562" w:type="pct"/>
            <w:tcBorders>
              <w:top w:val="single" w:sz="4" w:space="0" w:color="auto"/>
              <w:left w:val="nil"/>
              <w:bottom w:val="single" w:sz="12" w:space="0" w:color="auto"/>
              <w:right w:val="nil"/>
            </w:tcBorders>
            <w:shd w:val="clear" w:color="auto" w:fill="auto"/>
            <w:vAlign w:val="bottom"/>
          </w:tcPr>
          <w:p w14:paraId="60D2D391" w14:textId="77777777" w:rsidR="004E2F51" w:rsidRPr="00272C9F" w:rsidRDefault="004E2F51" w:rsidP="00E032FC">
            <w:pPr>
              <w:pStyle w:val="Tot"/>
              <w:tabs>
                <w:tab w:val="clear" w:pos="1202"/>
              </w:tabs>
              <w:jc w:val="right"/>
              <w:rPr>
                <w:rFonts w:cs="Arial"/>
                <w:b/>
                <w:bCs/>
                <w:sz w:val="16"/>
                <w:szCs w:val="16"/>
              </w:rPr>
            </w:pPr>
            <w:r w:rsidRPr="00272C9F">
              <w:rPr>
                <w:rFonts w:cs="Arial"/>
                <w:b/>
                <w:bCs/>
                <w:sz w:val="16"/>
                <w:szCs w:val="16"/>
              </w:rPr>
              <w:t xml:space="preserve"> 63 </w:t>
            </w:r>
          </w:p>
        </w:tc>
        <w:tc>
          <w:tcPr>
            <w:tcW w:w="563" w:type="pct"/>
            <w:tcBorders>
              <w:top w:val="single" w:sz="4" w:space="0" w:color="auto"/>
              <w:left w:val="nil"/>
              <w:bottom w:val="single" w:sz="12" w:space="0" w:color="auto"/>
              <w:right w:val="nil"/>
            </w:tcBorders>
            <w:shd w:val="clear" w:color="auto" w:fill="auto"/>
            <w:vAlign w:val="bottom"/>
          </w:tcPr>
          <w:p w14:paraId="130B3932" w14:textId="77777777" w:rsidR="004E2F51" w:rsidRPr="00272C9F" w:rsidRDefault="004E2F51" w:rsidP="00E032FC">
            <w:pPr>
              <w:pStyle w:val="Tot"/>
              <w:tabs>
                <w:tab w:val="clear" w:pos="1202"/>
              </w:tabs>
              <w:jc w:val="right"/>
              <w:rPr>
                <w:rFonts w:cs="Arial"/>
                <w:b/>
                <w:bCs/>
                <w:sz w:val="16"/>
                <w:szCs w:val="16"/>
              </w:rPr>
            </w:pPr>
            <w:r w:rsidRPr="00272C9F">
              <w:rPr>
                <w:rFonts w:cs="Arial"/>
                <w:b/>
                <w:bCs/>
                <w:sz w:val="16"/>
                <w:szCs w:val="16"/>
              </w:rPr>
              <w:t xml:space="preserve"> 98.223 </w:t>
            </w:r>
          </w:p>
        </w:tc>
        <w:tc>
          <w:tcPr>
            <w:tcW w:w="673" w:type="pct"/>
            <w:tcBorders>
              <w:top w:val="single" w:sz="4" w:space="0" w:color="auto"/>
              <w:left w:val="nil"/>
              <w:bottom w:val="single" w:sz="12" w:space="0" w:color="auto"/>
              <w:right w:val="nil"/>
            </w:tcBorders>
            <w:shd w:val="clear" w:color="auto" w:fill="auto"/>
            <w:vAlign w:val="bottom"/>
          </w:tcPr>
          <w:p w14:paraId="309DECA3" w14:textId="77777777" w:rsidR="004E2F51" w:rsidRPr="00272C9F" w:rsidRDefault="004E2F51" w:rsidP="00E032FC">
            <w:pPr>
              <w:pStyle w:val="Tot"/>
              <w:tabs>
                <w:tab w:val="clear" w:pos="1202"/>
              </w:tabs>
              <w:jc w:val="right"/>
              <w:rPr>
                <w:rFonts w:cs="Arial"/>
                <w:b/>
                <w:bCs/>
                <w:sz w:val="16"/>
                <w:szCs w:val="16"/>
              </w:rPr>
            </w:pPr>
            <w:r w:rsidRPr="00272C9F">
              <w:rPr>
                <w:rFonts w:cs="Arial"/>
                <w:b/>
                <w:bCs/>
                <w:sz w:val="16"/>
                <w:szCs w:val="16"/>
              </w:rPr>
              <w:t xml:space="preserve"> 36.761 </w:t>
            </w:r>
          </w:p>
        </w:tc>
        <w:tc>
          <w:tcPr>
            <w:tcW w:w="446" w:type="pct"/>
            <w:tcBorders>
              <w:top w:val="single" w:sz="4" w:space="0" w:color="auto"/>
              <w:left w:val="nil"/>
              <w:bottom w:val="single" w:sz="12" w:space="0" w:color="auto"/>
              <w:right w:val="nil"/>
            </w:tcBorders>
            <w:shd w:val="clear" w:color="auto" w:fill="auto"/>
            <w:vAlign w:val="bottom"/>
          </w:tcPr>
          <w:p w14:paraId="358BE8E8" w14:textId="77777777" w:rsidR="004E2F51" w:rsidRPr="00272C9F" w:rsidRDefault="004E2F51" w:rsidP="00E032FC">
            <w:pPr>
              <w:pStyle w:val="Tot"/>
              <w:tabs>
                <w:tab w:val="clear" w:pos="1202"/>
              </w:tabs>
              <w:jc w:val="right"/>
              <w:rPr>
                <w:rFonts w:cs="Arial"/>
                <w:b/>
                <w:bCs/>
                <w:sz w:val="16"/>
                <w:szCs w:val="16"/>
              </w:rPr>
            </w:pPr>
            <w:r w:rsidRPr="00272C9F">
              <w:rPr>
                <w:rFonts w:cs="Arial"/>
                <w:b/>
                <w:bCs/>
                <w:sz w:val="16"/>
                <w:szCs w:val="16"/>
              </w:rPr>
              <w:t xml:space="preserve"> 134.984 </w:t>
            </w:r>
          </w:p>
        </w:tc>
      </w:tr>
      <w:tr w:rsidR="002D6F0B" w:rsidRPr="00B91D09" w14:paraId="5EC1817F" w14:textId="77777777" w:rsidTr="002D6F0B">
        <w:trPr>
          <w:trHeight w:val="276"/>
        </w:trPr>
        <w:tc>
          <w:tcPr>
            <w:tcW w:w="1032" w:type="pct"/>
            <w:shd w:val="clear" w:color="auto" w:fill="auto"/>
            <w:vAlign w:val="bottom"/>
          </w:tcPr>
          <w:p w14:paraId="7677ED06" w14:textId="77777777" w:rsidR="004E2F51" w:rsidRPr="004B4498" w:rsidRDefault="004E2F51" w:rsidP="00E032FC">
            <w:pPr>
              <w:pStyle w:val="TT"/>
              <w:spacing w:line="240" w:lineRule="exact"/>
              <w:rPr>
                <w:rFonts w:cs="Arial"/>
                <w:b/>
                <w:bCs/>
                <w:color w:val="000000" w:themeColor="text1"/>
                <w:sz w:val="16"/>
                <w:szCs w:val="16"/>
                <w:lang w:val="hr-HR"/>
              </w:rPr>
            </w:pPr>
            <w:bookmarkStart w:id="1150" w:name="_Toc67328526"/>
            <w:r w:rsidRPr="004B4498">
              <w:rPr>
                <w:rFonts w:cs="Arial"/>
                <w:b/>
                <w:bCs/>
                <w:color w:val="000000" w:themeColor="text1"/>
                <w:sz w:val="16"/>
                <w:szCs w:val="16"/>
                <w:lang w:val="hr-HR"/>
              </w:rPr>
              <w:t>Amortizacija i ispravak vrijednosti</w:t>
            </w:r>
            <w:bookmarkEnd w:id="1150"/>
          </w:p>
        </w:tc>
        <w:tc>
          <w:tcPr>
            <w:tcW w:w="598" w:type="pct"/>
            <w:tcBorders>
              <w:top w:val="single" w:sz="12" w:space="0" w:color="auto"/>
            </w:tcBorders>
            <w:shd w:val="clear" w:color="auto" w:fill="auto"/>
            <w:vAlign w:val="bottom"/>
          </w:tcPr>
          <w:p w14:paraId="71CCE41B" w14:textId="77777777" w:rsidR="004E2F51" w:rsidRPr="004B4498" w:rsidRDefault="004E2F51" w:rsidP="00E032FC">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tcBorders>
            <w:shd w:val="clear" w:color="auto" w:fill="auto"/>
            <w:vAlign w:val="bottom"/>
          </w:tcPr>
          <w:p w14:paraId="5C57D36C" w14:textId="77777777" w:rsidR="004E2F51" w:rsidRPr="004B4498" w:rsidRDefault="004E2F51" w:rsidP="00E032FC">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tcBorders>
            <w:shd w:val="clear" w:color="auto" w:fill="auto"/>
            <w:vAlign w:val="bottom"/>
          </w:tcPr>
          <w:p w14:paraId="3056BA91" w14:textId="77777777" w:rsidR="004E2F51" w:rsidRPr="004B4498" w:rsidRDefault="004E2F51" w:rsidP="00E032FC">
            <w:pPr>
              <w:pStyle w:val="TT"/>
              <w:tabs>
                <w:tab w:val="clear" w:pos="1202"/>
              </w:tabs>
              <w:jc w:val="right"/>
              <w:rPr>
                <w:rFonts w:cs="Arial"/>
                <w:color w:val="000000" w:themeColor="text1"/>
                <w:sz w:val="16"/>
                <w:szCs w:val="16"/>
                <w:highlight w:val="yellow"/>
                <w:lang w:val="hr-HR"/>
              </w:rPr>
            </w:pPr>
          </w:p>
        </w:tc>
        <w:tc>
          <w:tcPr>
            <w:tcW w:w="562" w:type="pct"/>
            <w:tcBorders>
              <w:top w:val="single" w:sz="12" w:space="0" w:color="auto"/>
            </w:tcBorders>
            <w:shd w:val="clear" w:color="auto" w:fill="auto"/>
            <w:vAlign w:val="bottom"/>
          </w:tcPr>
          <w:p w14:paraId="0A400879" w14:textId="77777777" w:rsidR="004E2F51" w:rsidRPr="004B4498" w:rsidRDefault="004E2F51" w:rsidP="00E032FC">
            <w:pPr>
              <w:pStyle w:val="TT"/>
              <w:tabs>
                <w:tab w:val="clear" w:pos="1202"/>
              </w:tabs>
              <w:jc w:val="right"/>
              <w:rPr>
                <w:rFonts w:cs="Arial"/>
                <w:color w:val="000000" w:themeColor="text1"/>
                <w:sz w:val="16"/>
                <w:szCs w:val="16"/>
                <w:highlight w:val="yellow"/>
                <w:lang w:val="hr-HR"/>
              </w:rPr>
            </w:pPr>
          </w:p>
        </w:tc>
        <w:tc>
          <w:tcPr>
            <w:tcW w:w="563" w:type="pct"/>
            <w:tcBorders>
              <w:top w:val="single" w:sz="12" w:space="0" w:color="auto"/>
            </w:tcBorders>
            <w:shd w:val="clear" w:color="auto" w:fill="auto"/>
            <w:vAlign w:val="bottom"/>
          </w:tcPr>
          <w:p w14:paraId="5591BB7C" w14:textId="77777777" w:rsidR="004E2F51" w:rsidRPr="004B4498" w:rsidRDefault="004E2F51" w:rsidP="00E032FC">
            <w:pPr>
              <w:pStyle w:val="TT"/>
              <w:tabs>
                <w:tab w:val="clear" w:pos="1202"/>
              </w:tabs>
              <w:jc w:val="right"/>
              <w:rPr>
                <w:rFonts w:cs="Arial"/>
                <w:color w:val="000000" w:themeColor="text1"/>
                <w:sz w:val="16"/>
                <w:szCs w:val="16"/>
                <w:highlight w:val="yellow"/>
                <w:lang w:val="hr-HR"/>
              </w:rPr>
            </w:pPr>
          </w:p>
        </w:tc>
        <w:tc>
          <w:tcPr>
            <w:tcW w:w="673" w:type="pct"/>
            <w:tcBorders>
              <w:top w:val="single" w:sz="12" w:space="0" w:color="auto"/>
            </w:tcBorders>
            <w:shd w:val="clear" w:color="auto" w:fill="auto"/>
            <w:vAlign w:val="bottom"/>
          </w:tcPr>
          <w:p w14:paraId="52D2605C" w14:textId="77777777" w:rsidR="004E2F51" w:rsidRPr="004B4498" w:rsidRDefault="004E2F51" w:rsidP="00E032FC">
            <w:pPr>
              <w:pStyle w:val="TT"/>
              <w:tabs>
                <w:tab w:val="clear" w:pos="1202"/>
              </w:tabs>
              <w:jc w:val="right"/>
              <w:rPr>
                <w:rFonts w:cs="Arial"/>
                <w:color w:val="000000" w:themeColor="text1"/>
                <w:sz w:val="16"/>
                <w:szCs w:val="16"/>
                <w:highlight w:val="yellow"/>
                <w:lang w:val="hr-HR"/>
              </w:rPr>
            </w:pPr>
          </w:p>
        </w:tc>
        <w:tc>
          <w:tcPr>
            <w:tcW w:w="446" w:type="pct"/>
            <w:tcBorders>
              <w:top w:val="single" w:sz="12" w:space="0" w:color="auto"/>
            </w:tcBorders>
            <w:shd w:val="clear" w:color="auto" w:fill="auto"/>
            <w:vAlign w:val="bottom"/>
          </w:tcPr>
          <w:p w14:paraId="6BC77ADE" w14:textId="77777777" w:rsidR="004E2F51" w:rsidRPr="004B4498" w:rsidRDefault="004E2F51" w:rsidP="00E032FC">
            <w:pPr>
              <w:pStyle w:val="TT"/>
              <w:tabs>
                <w:tab w:val="clear" w:pos="1202"/>
              </w:tabs>
              <w:jc w:val="right"/>
              <w:rPr>
                <w:rFonts w:cs="Arial"/>
                <w:color w:val="000000" w:themeColor="text1"/>
                <w:sz w:val="16"/>
                <w:szCs w:val="16"/>
                <w:highlight w:val="yellow"/>
                <w:lang w:val="hr-HR"/>
              </w:rPr>
            </w:pPr>
          </w:p>
        </w:tc>
      </w:tr>
      <w:tr w:rsidR="002D6F0B" w:rsidRPr="00B91D09" w14:paraId="07389A74" w14:textId="77777777" w:rsidTr="002D6F0B">
        <w:trPr>
          <w:trHeight w:val="448"/>
        </w:trPr>
        <w:tc>
          <w:tcPr>
            <w:tcW w:w="1032" w:type="pct"/>
            <w:shd w:val="clear" w:color="auto" w:fill="auto"/>
            <w:vAlign w:val="bottom"/>
          </w:tcPr>
          <w:p w14:paraId="4091BFE0" w14:textId="77777777" w:rsidR="004E2F51" w:rsidRPr="004B4498" w:rsidRDefault="004E2F51" w:rsidP="00E032FC">
            <w:pPr>
              <w:pStyle w:val="Tot"/>
              <w:spacing w:line="240" w:lineRule="exact"/>
              <w:rPr>
                <w:rFonts w:cs="Arial"/>
                <w:b/>
                <w:bCs/>
                <w:color w:val="000000" w:themeColor="text1"/>
                <w:sz w:val="16"/>
                <w:szCs w:val="16"/>
                <w:lang w:val="hr-HR"/>
              </w:rPr>
            </w:pPr>
            <w:bookmarkStart w:id="1151" w:name="_Toc67328527"/>
            <w:r w:rsidRPr="004B4498">
              <w:rPr>
                <w:rFonts w:cs="Arial"/>
                <w:b/>
                <w:bCs/>
                <w:color w:val="000000" w:themeColor="text1"/>
                <w:sz w:val="16"/>
                <w:szCs w:val="16"/>
                <w:lang w:val="hr-HR"/>
              </w:rPr>
              <w:t>Stanje</w:t>
            </w:r>
            <w:bookmarkEnd w:id="1151"/>
            <w:r w:rsidRPr="004B4498">
              <w:rPr>
                <w:rFonts w:cs="Arial"/>
                <w:b/>
                <w:bCs/>
                <w:color w:val="000000" w:themeColor="text1"/>
                <w:sz w:val="16"/>
                <w:szCs w:val="16"/>
                <w:lang w:val="hr-HR"/>
              </w:rPr>
              <w:t xml:space="preserve"> </w:t>
            </w:r>
          </w:p>
          <w:p w14:paraId="327ACCF1" w14:textId="77777777" w:rsidR="004E2F51" w:rsidRPr="004B4498" w:rsidRDefault="004E2F51" w:rsidP="00E032FC">
            <w:pPr>
              <w:pStyle w:val="Tot"/>
              <w:spacing w:line="240" w:lineRule="exact"/>
              <w:rPr>
                <w:rFonts w:cs="Arial"/>
                <w:b/>
                <w:bCs/>
                <w:color w:val="000000" w:themeColor="text1"/>
                <w:sz w:val="16"/>
                <w:szCs w:val="16"/>
                <w:lang w:val="hr-HR"/>
              </w:rPr>
            </w:pPr>
            <w:bookmarkStart w:id="1152" w:name="_Toc67328528"/>
            <w:r w:rsidRPr="004B4498">
              <w:rPr>
                <w:rFonts w:cs="Arial"/>
                <w:b/>
                <w:bCs/>
                <w:color w:val="000000" w:themeColor="text1"/>
                <w:sz w:val="16"/>
                <w:szCs w:val="16"/>
                <w:lang w:val="hr-HR"/>
              </w:rPr>
              <w:t>31. prosinca 202</w:t>
            </w:r>
            <w:r>
              <w:rPr>
                <w:rFonts w:cs="Arial"/>
                <w:b/>
                <w:bCs/>
                <w:color w:val="000000" w:themeColor="text1"/>
                <w:sz w:val="16"/>
                <w:szCs w:val="16"/>
                <w:lang w:val="hr-HR"/>
              </w:rPr>
              <w:t>1</w:t>
            </w:r>
            <w:r w:rsidRPr="004B4498">
              <w:rPr>
                <w:rFonts w:cs="Arial"/>
                <w:b/>
                <w:bCs/>
                <w:color w:val="000000" w:themeColor="text1"/>
                <w:sz w:val="16"/>
                <w:szCs w:val="16"/>
                <w:lang w:val="hr-HR"/>
              </w:rPr>
              <w:t>.</w:t>
            </w:r>
            <w:bookmarkEnd w:id="1152"/>
          </w:p>
        </w:tc>
        <w:tc>
          <w:tcPr>
            <w:tcW w:w="598" w:type="pct"/>
            <w:tcBorders>
              <w:top w:val="nil"/>
              <w:left w:val="nil"/>
              <w:bottom w:val="nil"/>
              <w:right w:val="nil"/>
            </w:tcBorders>
            <w:shd w:val="clear" w:color="auto" w:fill="auto"/>
            <w:vAlign w:val="bottom"/>
          </w:tcPr>
          <w:p w14:paraId="2C1507DA" w14:textId="77777777" w:rsidR="004E2F51" w:rsidRPr="004B4498" w:rsidRDefault="004E2F51" w:rsidP="00E032FC">
            <w:pPr>
              <w:pStyle w:val="Tot"/>
              <w:tabs>
                <w:tab w:val="clear" w:pos="1202"/>
              </w:tabs>
              <w:jc w:val="right"/>
              <w:rPr>
                <w:rFonts w:cs="Arial"/>
                <w:b/>
                <w:bCs/>
                <w:sz w:val="16"/>
                <w:szCs w:val="16"/>
              </w:rPr>
            </w:pPr>
            <w:bookmarkStart w:id="1153" w:name="_Toc67328529"/>
            <w:r w:rsidRPr="004B4498">
              <w:rPr>
                <w:rFonts w:cs="Arial"/>
                <w:b/>
                <w:bCs/>
                <w:sz w:val="16"/>
                <w:szCs w:val="16"/>
              </w:rPr>
              <w:t xml:space="preserve"> 44.383 </w:t>
            </w:r>
            <w:bookmarkEnd w:id="1153"/>
          </w:p>
        </w:tc>
        <w:tc>
          <w:tcPr>
            <w:tcW w:w="563" w:type="pct"/>
            <w:tcBorders>
              <w:top w:val="nil"/>
              <w:left w:val="nil"/>
              <w:bottom w:val="nil"/>
              <w:right w:val="nil"/>
            </w:tcBorders>
            <w:shd w:val="clear" w:color="auto" w:fill="auto"/>
            <w:vAlign w:val="bottom"/>
          </w:tcPr>
          <w:p w14:paraId="3DDB08EB" w14:textId="77777777" w:rsidR="004E2F51" w:rsidRPr="004B4498" w:rsidRDefault="004E2F51" w:rsidP="00E032FC">
            <w:pPr>
              <w:pStyle w:val="Tot"/>
              <w:tabs>
                <w:tab w:val="clear" w:pos="1202"/>
              </w:tabs>
              <w:jc w:val="right"/>
              <w:rPr>
                <w:rFonts w:cs="Arial"/>
                <w:b/>
                <w:bCs/>
                <w:sz w:val="16"/>
                <w:szCs w:val="16"/>
              </w:rPr>
            </w:pPr>
            <w:bookmarkStart w:id="1154" w:name="_Toc67328530"/>
            <w:r w:rsidRPr="004B4498">
              <w:rPr>
                <w:rFonts w:cs="Arial"/>
                <w:b/>
                <w:bCs/>
                <w:sz w:val="16"/>
                <w:szCs w:val="16"/>
              </w:rPr>
              <w:t xml:space="preserve"> 10.975</w:t>
            </w:r>
            <w:bookmarkEnd w:id="1154"/>
          </w:p>
        </w:tc>
        <w:tc>
          <w:tcPr>
            <w:tcW w:w="563" w:type="pct"/>
            <w:tcBorders>
              <w:top w:val="nil"/>
              <w:left w:val="nil"/>
              <w:bottom w:val="nil"/>
              <w:right w:val="nil"/>
            </w:tcBorders>
            <w:shd w:val="clear" w:color="auto" w:fill="auto"/>
            <w:vAlign w:val="bottom"/>
          </w:tcPr>
          <w:p w14:paraId="16F1E73B" w14:textId="77777777" w:rsidR="004E2F51" w:rsidRPr="004B4498" w:rsidRDefault="004E2F51" w:rsidP="00E032FC">
            <w:pPr>
              <w:pStyle w:val="Tot"/>
              <w:tabs>
                <w:tab w:val="clear" w:pos="1202"/>
              </w:tabs>
              <w:jc w:val="right"/>
              <w:rPr>
                <w:rFonts w:cs="Arial"/>
                <w:b/>
                <w:bCs/>
                <w:sz w:val="16"/>
                <w:szCs w:val="16"/>
              </w:rPr>
            </w:pPr>
            <w:bookmarkStart w:id="1155" w:name="_Toc67328531"/>
            <w:r w:rsidRPr="004B4498">
              <w:rPr>
                <w:rFonts w:cs="Arial"/>
                <w:b/>
                <w:bCs/>
                <w:sz w:val="16"/>
                <w:szCs w:val="16"/>
              </w:rPr>
              <w:t xml:space="preserve"> 10.557 </w:t>
            </w:r>
            <w:bookmarkEnd w:id="1155"/>
          </w:p>
        </w:tc>
        <w:tc>
          <w:tcPr>
            <w:tcW w:w="562" w:type="pct"/>
            <w:tcBorders>
              <w:top w:val="nil"/>
              <w:left w:val="nil"/>
              <w:bottom w:val="nil"/>
              <w:right w:val="nil"/>
            </w:tcBorders>
            <w:shd w:val="clear" w:color="auto" w:fill="auto"/>
            <w:vAlign w:val="bottom"/>
          </w:tcPr>
          <w:p w14:paraId="59407D53" w14:textId="77777777" w:rsidR="004E2F51" w:rsidRPr="004B4498" w:rsidRDefault="004E2F51" w:rsidP="00E032FC">
            <w:pPr>
              <w:pStyle w:val="Tot"/>
              <w:tabs>
                <w:tab w:val="clear" w:pos="1202"/>
              </w:tabs>
              <w:jc w:val="right"/>
              <w:rPr>
                <w:rFonts w:cs="Arial"/>
                <w:b/>
                <w:bCs/>
                <w:sz w:val="16"/>
                <w:szCs w:val="16"/>
              </w:rPr>
            </w:pPr>
            <w:bookmarkStart w:id="1156" w:name="_Toc67328532"/>
            <w:r w:rsidRPr="004B4498">
              <w:rPr>
                <w:rFonts w:cs="Arial"/>
                <w:b/>
                <w:bCs/>
                <w:sz w:val="16"/>
                <w:szCs w:val="16"/>
              </w:rPr>
              <w:t xml:space="preserve"> - </w:t>
            </w:r>
            <w:bookmarkEnd w:id="1156"/>
          </w:p>
        </w:tc>
        <w:tc>
          <w:tcPr>
            <w:tcW w:w="563" w:type="pct"/>
            <w:tcBorders>
              <w:top w:val="nil"/>
              <w:left w:val="nil"/>
              <w:bottom w:val="nil"/>
              <w:right w:val="nil"/>
            </w:tcBorders>
            <w:shd w:val="clear" w:color="auto" w:fill="auto"/>
            <w:vAlign w:val="bottom"/>
          </w:tcPr>
          <w:p w14:paraId="1A14D084" w14:textId="77777777" w:rsidR="004E2F51" w:rsidRPr="004B4498" w:rsidRDefault="004E2F51" w:rsidP="00E032FC">
            <w:pPr>
              <w:pStyle w:val="Tot"/>
              <w:tabs>
                <w:tab w:val="clear" w:pos="1202"/>
              </w:tabs>
              <w:jc w:val="right"/>
              <w:rPr>
                <w:rFonts w:cs="Arial"/>
                <w:b/>
                <w:bCs/>
                <w:sz w:val="16"/>
                <w:szCs w:val="16"/>
              </w:rPr>
            </w:pPr>
            <w:bookmarkStart w:id="1157" w:name="_Toc67328533"/>
            <w:r w:rsidRPr="004B4498">
              <w:rPr>
                <w:rFonts w:cs="Arial"/>
                <w:b/>
                <w:bCs/>
                <w:sz w:val="16"/>
                <w:szCs w:val="16"/>
              </w:rPr>
              <w:t xml:space="preserve"> 65.915 </w:t>
            </w:r>
            <w:bookmarkEnd w:id="1157"/>
          </w:p>
        </w:tc>
        <w:tc>
          <w:tcPr>
            <w:tcW w:w="673" w:type="pct"/>
            <w:tcBorders>
              <w:top w:val="nil"/>
              <w:left w:val="nil"/>
              <w:bottom w:val="nil"/>
              <w:right w:val="nil"/>
            </w:tcBorders>
            <w:shd w:val="clear" w:color="auto" w:fill="auto"/>
            <w:vAlign w:val="bottom"/>
          </w:tcPr>
          <w:p w14:paraId="2B9018FE" w14:textId="77777777" w:rsidR="004E2F51" w:rsidRPr="004B4498" w:rsidRDefault="004E2F51" w:rsidP="00E032FC">
            <w:pPr>
              <w:pStyle w:val="Tot"/>
              <w:tabs>
                <w:tab w:val="clear" w:pos="1202"/>
              </w:tabs>
              <w:jc w:val="right"/>
              <w:rPr>
                <w:rFonts w:cs="Arial"/>
                <w:b/>
                <w:bCs/>
                <w:sz w:val="16"/>
                <w:szCs w:val="16"/>
              </w:rPr>
            </w:pPr>
            <w:bookmarkStart w:id="1158" w:name="_Toc67328534"/>
            <w:r w:rsidRPr="004B4498">
              <w:rPr>
                <w:rFonts w:cs="Arial"/>
                <w:b/>
                <w:bCs/>
                <w:sz w:val="16"/>
                <w:szCs w:val="16"/>
              </w:rPr>
              <w:t xml:space="preserve"> 28.890 </w:t>
            </w:r>
            <w:bookmarkEnd w:id="1158"/>
          </w:p>
        </w:tc>
        <w:tc>
          <w:tcPr>
            <w:tcW w:w="446" w:type="pct"/>
            <w:tcBorders>
              <w:top w:val="nil"/>
              <w:left w:val="nil"/>
              <w:bottom w:val="nil"/>
              <w:right w:val="nil"/>
            </w:tcBorders>
            <w:shd w:val="clear" w:color="auto" w:fill="auto"/>
            <w:vAlign w:val="bottom"/>
          </w:tcPr>
          <w:p w14:paraId="521B9539" w14:textId="77777777" w:rsidR="004E2F51" w:rsidRPr="004B4498" w:rsidRDefault="004E2F51" w:rsidP="00E032FC">
            <w:pPr>
              <w:pStyle w:val="Tot"/>
              <w:tabs>
                <w:tab w:val="clear" w:pos="1202"/>
              </w:tabs>
              <w:jc w:val="right"/>
              <w:rPr>
                <w:rFonts w:cs="Arial"/>
                <w:b/>
                <w:bCs/>
                <w:sz w:val="16"/>
                <w:szCs w:val="16"/>
              </w:rPr>
            </w:pPr>
            <w:bookmarkStart w:id="1159" w:name="_Toc67328535"/>
            <w:r w:rsidRPr="004B4498">
              <w:rPr>
                <w:rFonts w:cs="Arial"/>
                <w:b/>
                <w:bCs/>
                <w:sz w:val="16"/>
                <w:szCs w:val="16"/>
              </w:rPr>
              <w:t xml:space="preserve"> 94.805 </w:t>
            </w:r>
            <w:bookmarkEnd w:id="1159"/>
          </w:p>
        </w:tc>
      </w:tr>
      <w:tr w:rsidR="002D6F0B" w:rsidRPr="00B91D09" w14:paraId="6A9282AC" w14:textId="77777777" w:rsidTr="002D6F0B">
        <w:trPr>
          <w:trHeight w:val="277"/>
        </w:trPr>
        <w:tc>
          <w:tcPr>
            <w:tcW w:w="1032" w:type="pct"/>
            <w:shd w:val="clear" w:color="auto" w:fill="auto"/>
            <w:vAlign w:val="bottom"/>
          </w:tcPr>
          <w:p w14:paraId="218A1974" w14:textId="77777777" w:rsidR="004E2F51" w:rsidRPr="004B4498" w:rsidRDefault="004E2F51" w:rsidP="00E032FC">
            <w:pPr>
              <w:pStyle w:val="Tot"/>
              <w:spacing w:line="240" w:lineRule="exact"/>
              <w:rPr>
                <w:rFonts w:cs="Arial"/>
                <w:bCs/>
                <w:color w:val="000000" w:themeColor="text1"/>
                <w:sz w:val="16"/>
                <w:szCs w:val="16"/>
                <w:lang w:val="hr-HR"/>
              </w:rPr>
            </w:pPr>
            <w:bookmarkStart w:id="1160" w:name="_Toc67328536"/>
            <w:r w:rsidRPr="004B4498">
              <w:rPr>
                <w:rFonts w:cs="Arial"/>
                <w:bCs/>
                <w:color w:val="000000" w:themeColor="text1"/>
                <w:sz w:val="16"/>
                <w:szCs w:val="16"/>
                <w:lang w:val="hr-HR"/>
              </w:rPr>
              <w:t>Amortizacija za 202</w:t>
            </w:r>
            <w:r>
              <w:rPr>
                <w:rFonts w:cs="Arial"/>
                <w:bCs/>
                <w:color w:val="000000" w:themeColor="text1"/>
                <w:sz w:val="16"/>
                <w:szCs w:val="16"/>
                <w:lang w:val="hr-HR"/>
              </w:rPr>
              <w:t>2</w:t>
            </w:r>
            <w:r w:rsidRPr="004B4498">
              <w:rPr>
                <w:rFonts w:cs="Arial"/>
                <w:bCs/>
                <w:color w:val="000000" w:themeColor="text1"/>
                <w:sz w:val="16"/>
                <w:szCs w:val="16"/>
                <w:lang w:val="hr-HR"/>
              </w:rPr>
              <w:t>.</w:t>
            </w:r>
            <w:bookmarkEnd w:id="1160"/>
          </w:p>
        </w:tc>
        <w:tc>
          <w:tcPr>
            <w:tcW w:w="598" w:type="pct"/>
            <w:tcBorders>
              <w:top w:val="nil"/>
              <w:left w:val="nil"/>
              <w:right w:val="nil"/>
            </w:tcBorders>
            <w:shd w:val="clear" w:color="auto" w:fill="auto"/>
            <w:vAlign w:val="bottom"/>
          </w:tcPr>
          <w:p w14:paraId="49FF2B4A"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 xml:space="preserve"> 3.855 </w:t>
            </w:r>
          </w:p>
        </w:tc>
        <w:tc>
          <w:tcPr>
            <w:tcW w:w="563" w:type="pct"/>
            <w:tcBorders>
              <w:top w:val="nil"/>
              <w:left w:val="nil"/>
              <w:right w:val="nil"/>
            </w:tcBorders>
            <w:shd w:val="clear" w:color="auto" w:fill="auto"/>
            <w:vAlign w:val="bottom"/>
          </w:tcPr>
          <w:p w14:paraId="5D2C9FE8"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 xml:space="preserve"> 2.038 </w:t>
            </w:r>
          </w:p>
        </w:tc>
        <w:tc>
          <w:tcPr>
            <w:tcW w:w="563" w:type="pct"/>
            <w:tcBorders>
              <w:top w:val="nil"/>
              <w:left w:val="nil"/>
              <w:right w:val="nil"/>
            </w:tcBorders>
            <w:shd w:val="clear" w:color="auto" w:fill="auto"/>
            <w:vAlign w:val="bottom"/>
          </w:tcPr>
          <w:p w14:paraId="13FF61F3"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 xml:space="preserve"> 768 </w:t>
            </w:r>
          </w:p>
        </w:tc>
        <w:tc>
          <w:tcPr>
            <w:tcW w:w="562" w:type="pct"/>
            <w:tcBorders>
              <w:top w:val="nil"/>
              <w:left w:val="nil"/>
              <w:right w:val="nil"/>
            </w:tcBorders>
            <w:shd w:val="clear" w:color="auto" w:fill="auto"/>
            <w:vAlign w:val="bottom"/>
          </w:tcPr>
          <w:p w14:paraId="475D5283"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 xml:space="preserve"> -  </w:t>
            </w:r>
          </w:p>
        </w:tc>
        <w:tc>
          <w:tcPr>
            <w:tcW w:w="563" w:type="pct"/>
            <w:tcBorders>
              <w:top w:val="nil"/>
              <w:left w:val="nil"/>
              <w:right w:val="nil"/>
            </w:tcBorders>
            <w:shd w:val="clear" w:color="auto" w:fill="auto"/>
            <w:vAlign w:val="bottom"/>
          </w:tcPr>
          <w:p w14:paraId="62333E02"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 xml:space="preserve"> 6.661 </w:t>
            </w:r>
          </w:p>
        </w:tc>
        <w:tc>
          <w:tcPr>
            <w:tcW w:w="673" w:type="pct"/>
            <w:tcBorders>
              <w:top w:val="nil"/>
              <w:left w:val="nil"/>
              <w:right w:val="nil"/>
            </w:tcBorders>
            <w:shd w:val="clear" w:color="auto" w:fill="auto"/>
            <w:vAlign w:val="bottom"/>
          </w:tcPr>
          <w:p w14:paraId="62DECB6F"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 xml:space="preserve"> 2.666 </w:t>
            </w:r>
          </w:p>
        </w:tc>
        <w:tc>
          <w:tcPr>
            <w:tcW w:w="446" w:type="pct"/>
            <w:tcBorders>
              <w:top w:val="nil"/>
              <w:left w:val="nil"/>
              <w:right w:val="nil"/>
            </w:tcBorders>
            <w:shd w:val="clear" w:color="auto" w:fill="auto"/>
            <w:vAlign w:val="bottom"/>
          </w:tcPr>
          <w:p w14:paraId="182F5311"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 xml:space="preserve"> 9.327 </w:t>
            </w:r>
          </w:p>
        </w:tc>
      </w:tr>
      <w:tr w:rsidR="002D6F0B" w:rsidRPr="00B91D09" w14:paraId="0B5DBFEB" w14:textId="77777777" w:rsidTr="002D6F0B">
        <w:trPr>
          <w:trHeight w:val="281"/>
        </w:trPr>
        <w:tc>
          <w:tcPr>
            <w:tcW w:w="1032" w:type="pct"/>
            <w:shd w:val="clear" w:color="auto" w:fill="auto"/>
            <w:vAlign w:val="bottom"/>
          </w:tcPr>
          <w:p w14:paraId="11ABF5FA" w14:textId="77777777" w:rsidR="004E2F51" w:rsidRPr="004B4498" w:rsidRDefault="004E2F51" w:rsidP="00E032FC">
            <w:pPr>
              <w:pStyle w:val="TT"/>
              <w:spacing w:line="240" w:lineRule="exact"/>
              <w:rPr>
                <w:rFonts w:cs="Arial"/>
                <w:color w:val="000000" w:themeColor="text1"/>
                <w:sz w:val="16"/>
                <w:szCs w:val="16"/>
                <w:lang w:val="hr-HR"/>
              </w:rPr>
            </w:pPr>
            <w:bookmarkStart w:id="1161" w:name="_Toc67328538"/>
            <w:r w:rsidRPr="004B4498">
              <w:rPr>
                <w:rFonts w:cs="Arial"/>
                <w:color w:val="000000" w:themeColor="text1"/>
                <w:sz w:val="16"/>
                <w:szCs w:val="16"/>
                <w:lang w:val="hr-HR"/>
              </w:rPr>
              <w:t>Rashod i otpis</w:t>
            </w:r>
            <w:bookmarkEnd w:id="1161"/>
          </w:p>
        </w:tc>
        <w:tc>
          <w:tcPr>
            <w:tcW w:w="598" w:type="pct"/>
            <w:tcBorders>
              <w:left w:val="nil"/>
              <w:right w:val="nil"/>
            </w:tcBorders>
            <w:shd w:val="clear" w:color="auto" w:fill="auto"/>
            <w:vAlign w:val="bottom"/>
          </w:tcPr>
          <w:p w14:paraId="0D08241B"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 xml:space="preserve"> -  </w:t>
            </w:r>
          </w:p>
        </w:tc>
        <w:tc>
          <w:tcPr>
            <w:tcW w:w="563" w:type="pct"/>
            <w:tcBorders>
              <w:left w:val="nil"/>
              <w:right w:val="nil"/>
            </w:tcBorders>
            <w:shd w:val="clear" w:color="auto" w:fill="auto"/>
            <w:vAlign w:val="bottom"/>
          </w:tcPr>
          <w:p w14:paraId="0C5DE0B3"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 xml:space="preserve"> (3.802)</w:t>
            </w:r>
          </w:p>
        </w:tc>
        <w:tc>
          <w:tcPr>
            <w:tcW w:w="563" w:type="pct"/>
            <w:tcBorders>
              <w:left w:val="nil"/>
              <w:right w:val="nil"/>
            </w:tcBorders>
            <w:shd w:val="clear" w:color="auto" w:fill="auto"/>
            <w:vAlign w:val="bottom"/>
          </w:tcPr>
          <w:p w14:paraId="0881F20C"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 xml:space="preserve"> (2.794)</w:t>
            </w:r>
          </w:p>
        </w:tc>
        <w:tc>
          <w:tcPr>
            <w:tcW w:w="562" w:type="pct"/>
            <w:tcBorders>
              <w:left w:val="nil"/>
              <w:right w:val="nil"/>
            </w:tcBorders>
            <w:shd w:val="clear" w:color="auto" w:fill="auto"/>
            <w:vAlign w:val="bottom"/>
          </w:tcPr>
          <w:p w14:paraId="7C2F609E"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 xml:space="preserve"> -  </w:t>
            </w:r>
          </w:p>
        </w:tc>
        <w:tc>
          <w:tcPr>
            <w:tcW w:w="563" w:type="pct"/>
            <w:tcBorders>
              <w:left w:val="nil"/>
              <w:right w:val="nil"/>
            </w:tcBorders>
            <w:shd w:val="clear" w:color="auto" w:fill="auto"/>
            <w:vAlign w:val="bottom"/>
          </w:tcPr>
          <w:p w14:paraId="409A7852"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 xml:space="preserve"> (6.596)</w:t>
            </w:r>
          </w:p>
        </w:tc>
        <w:tc>
          <w:tcPr>
            <w:tcW w:w="673" w:type="pct"/>
            <w:tcBorders>
              <w:left w:val="nil"/>
              <w:right w:val="nil"/>
            </w:tcBorders>
            <w:shd w:val="clear" w:color="auto" w:fill="auto"/>
            <w:vAlign w:val="bottom"/>
          </w:tcPr>
          <w:p w14:paraId="0106C36D"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 xml:space="preserve"> (306)</w:t>
            </w:r>
          </w:p>
        </w:tc>
        <w:tc>
          <w:tcPr>
            <w:tcW w:w="446" w:type="pct"/>
            <w:tcBorders>
              <w:left w:val="nil"/>
              <w:right w:val="nil"/>
            </w:tcBorders>
            <w:shd w:val="clear" w:color="auto" w:fill="auto"/>
            <w:vAlign w:val="bottom"/>
          </w:tcPr>
          <w:p w14:paraId="7B83D3B5"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 xml:space="preserve"> (6.902)</w:t>
            </w:r>
          </w:p>
        </w:tc>
      </w:tr>
      <w:tr w:rsidR="002D6F0B" w:rsidRPr="00B91D09" w14:paraId="4FDB0047" w14:textId="77777777" w:rsidTr="002D6F0B">
        <w:trPr>
          <w:trHeight w:val="281"/>
        </w:trPr>
        <w:tc>
          <w:tcPr>
            <w:tcW w:w="1032" w:type="pct"/>
            <w:shd w:val="clear" w:color="auto" w:fill="auto"/>
            <w:vAlign w:val="bottom"/>
          </w:tcPr>
          <w:p w14:paraId="26984E73" w14:textId="77777777" w:rsidR="004E2F51" w:rsidRPr="004B4498" w:rsidRDefault="004E2F51" w:rsidP="00E032FC">
            <w:pPr>
              <w:pStyle w:val="TT"/>
              <w:spacing w:line="240" w:lineRule="exact"/>
              <w:rPr>
                <w:rFonts w:cs="Arial"/>
                <w:color w:val="000000" w:themeColor="text1"/>
                <w:sz w:val="16"/>
                <w:szCs w:val="16"/>
                <w:lang w:val="hr-HR"/>
              </w:rPr>
            </w:pPr>
            <w:r w:rsidRPr="00451BA6">
              <w:rPr>
                <w:rFonts w:cs="Arial"/>
                <w:color w:val="000000" w:themeColor="text1"/>
                <w:sz w:val="16"/>
                <w:szCs w:val="16"/>
                <w:lang w:val="hr-HR"/>
              </w:rPr>
              <w:t>Vraćeno u upotrebu</w:t>
            </w:r>
          </w:p>
        </w:tc>
        <w:tc>
          <w:tcPr>
            <w:tcW w:w="598" w:type="pct"/>
            <w:tcBorders>
              <w:left w:val="nil"/>
              <w:bottom w:val="single" w:sz="4" w:space="0" w:color="auto"/>
              <w:right w:val="nil"/>
            </w:tcBorders>
            <w:shd w:val="clear" w:color="auto" w:fill="auto"/>
            <w:vAlign w:val="bottom"/>
          </w:tcPr>
          <w:p w14:paraId="3C064E78"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w:t>
            </w:r>
          </w:p>
        </w:tc>
        <w:tc>
          <w:tcPr>
            <w:tcW w:w="563" w:type="pct"/>
            <w:tcBorders>
              <w:left w:val="nil"/>
              <w:bottom w:val="single" w:sz="4" w:space="0" w:color="auto"/>
              <w:right w:val="nil"/>
            </w:tcBorders>
            <w:shd w:val="clear" w:color="auto" w:fill="auto"/>
            <w:vAlign w:val="bottom"/>
          </w:tcPr>
          <w:p w14:paraId="58FD3060"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 xml:space="preserve"> 2 </w:t>
            </w:r>
          </w:p>
        </w:tc>
        <w:tc>
          <w:tcPr>
            <w:tcW w:w="563" w:type="pct"/>
            <w:tcBorders>
              <w:left w:val="nil"/>
              <w:bottom w:val="single" w:sz="4" w:space="0" w:color="auto"/>
              <w:right w:val="nil"/>
            </w:tcBorders>
            <w:shd w:val="clear" w:color="auto" w:fill="auto"/>
            <w:vAlign w:val="bottom"/>
          </w:tcPr>
          <w:p w14:paraId="0435CA77"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 xml:space="preserve"> 25 </w:t>
            </w:r>
          </w:p>
        </w:tc>
        <w:tc>
          <w:tcPr>
            <w:tcW w:w="562" w:type="pct"/>
            <w:tcBorders>
              <w:left w:val="nil"/>
              <w:bottom w:val="single" w:sz="4" w:space="0" w:color="auto"/>
              <w:right w:val="nil"/>
            </w:tcBorders>
            <w:shd w:val="clear" w:color="auto" w:fill="auto"/>
            <w:vAlign w:val="bottom"/>
          </w:tcPr>
          <w:p w14:paraId="1EA4E6D0"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w:t>
            </w:r>
          </w:p>
        </w:tc>
        <w:tc>
          <w:tcPr>
            <w:tcW w:w="563" w:type="pct"/>
            <w:tcBorders>
              <w:left w:val="nil"/>
              <w:bottom w:val="single" w:sz="4" w:space="0" w:color="auto"/>
              <w:right w:val="nil"/>
            </w:tcBorders>
            <w:shd w:val="clear" w:color="auto" w:fill="auto"/>
            <w:vAlign w:val="bottom"/>
          </w:tcPr>
          <w:p w14:paraId="37377A27"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 xml:space="preserve"> 27 </w:t>
            </w:r>
          </w:p>
        </w:tc>
        <w:tc>
          <w:tcPr>
            <w:tcW w:w="673" w:type="pct"/>
            <w:tcBorders>
              <w:left w:val="nil"/>
              <w:bottom w:val="single" w:sz="4" w:space="0" w:color="auto"/>
              <w:right w:val="nil"/>
            </w:tcBorders>
            <w:shd w:val="clear" w:color="auto" w:fill="auto"/>
            <w:vAlign w:val="bottom"/>
          </w:tcPr>
          <w:p w14:paraId="6655F3AC" w14:textId="77777777" w:rsidR="004E2F51" w:rsidRPr="00B16F72" w:rsidRDefault="004E2F51" w:rsidP="00E032FC">
            <w:pPr>
              <w:jc w:val="right"/>
              <w:rPr>
                <w:rFonts w:ascii="Arial" w:hAnsi="Arial" w:cs="Arial"/>
                <w:color w:val="000000" w:themeColor="text1"/>
                <w:sz w:val="16"/>
                <w:szCs w:val="16"/>
                <w:lang w:val="hr-HR"/>
              </w:rPr>
            </w:pPr>
            <w:r w:rsidRPr="00B16F72">
              <w:rPr>
                <w:rFonts w:ascii="Arial" w:hAnsi="Arial" w:cs="Arial"/>
                <w:color w:val="000000" w:themeColor="text1"/>
                <w:sz w:val="16"/>
                <w:szCs w:val="16"/>
                <w:lang w:val="hr-HR"/>
              </w:rPr>
              <w:t>-</w:t>
            </w:r>
          </w:p>
        </w:tc>
        <w:tc>
          <w:tcPr>
            <w:tcW w:w="446" w:type="pct"/>
            <w:tcBorders>
              <w:left w:val="nil"/>
              <w:bottom w:val="single" w:sz="4" w:space="0" w:color="auto"/>
              <w:right w:val="nil"/>
            </w:tcBorders>
            <w:shd w:val="clear" w:color="auto" w:fill="auto"/>
            <w:vAlign w:val="bottom"/>
          </w:tcPr>
          <w:p w14:paraId="0A71EE98" w14:textId="77777777" w:rsidR="004E2F51" w:rsidRPr="00B16F72" w:rsidRDefault="004E2F51" w:rsidP="00E032FC">
            <w:pPr>
              <w:jc w:val="right"/>
              <w:rPr>
                <w:rFonts w:ascii="Arial" w:hAnsi="Arial" w:cs="Arial"/>
                <w:color w:val="000000" w:themeColor="text1"/>
                <w:sz w:val="16"/>
                <w:szCs w:val="16"/>
                <w:lang w:val="hr-HR"/>
              </w:rPr>
            </w:pPr>
            <w:r>
              <w:rPr>
                <w:rFonts w:ascii="Arial" w:hAnsi="Arial" w:cs="Arial"/>
                <w:color w:val="000000" w:themeColor="text1"/>
                <w:sz w:val="16"/>
                <w:szCs w:val="16"/>
                <w:lang w:val="hr-HR"/>
              </w:rPr>
              <w:t>27</w:t>
            </w:r>
          </w:p>
        </w:tc>
      </w:tr>
      <w:tr w:rsidR="002D6F0B" w:rsidRPr="00B91D09" w14:paraId="7E92F9DB" w14:textId="77777777" w:rsidTr="002D6F0B">
        <w:trPr>
          <w:trHeight w:val="437"/>
        </w:trPr>
        <w:tc>
          <w:tcPr>
            <w:tcW w:w="1032" w:type="pct"/>
            <w:shd w:val="clear" w:color="auto" w:fill="auto"/>
            <w:vAlign w:val="bottom"/>
          </w:tcPr>
          <w:p w14:paraId="1FA69370" w14:textId="77777777" w:rsidR="004E2F51" w:rsidRPr="004B4498" w:rsidRDefault="004E2F51" w:rsidP="00E032FC">
            <w:pPr>
              <w:pStyle w:val="Tot"/>
              <w:spacing w:line="240" w:lineRule="exact"/>
              <w:rPr>
                <w:rFonts w:cs="Arial"/>
                <w:b/>
                <w:bCs/>
                <w:color w:val="000000" w:themeColor="text1"/>
                <w:sz w:val="16"/>
                <w:szCs w:val="16"/>
                <w:lang w:val="hr-HR"/>
              </w:rPr>
            </w:pPr>
            <w:bookmarkStart w:id="1162" w:name="_Toc67328539"/>
            <w:r w:rsidRPr="004B4498">
              <w:rPr>
                <w:rFonts w:cs="Arial"/>
                <w:b/>
                <w:bCs/>
                <w:color w:val="000000" w:themeColor="text1"/>
                <w:sz w:val="16"/>
                <w:szCs w:val="16"/>
                <w:lang w:val="hr-HR"/>
              </w:rPr>
              <w:t>Stanje</w:t>
            </w:r>
            <w:bookmarkEnd w:id="1162"/>
            <w:r w:rsidRPr="004B4498">
              <w:rPr>
                <w:rFonts w:cs="Arial"/>
                <w:b/>
                <w:bCs/>
                <w:color w:val="000000" w:themeColor="text1"/>
                <w:sz w:val="16"/>
                <w:szCs w:val="16"/>
                <w:lang w:val="hr-HR"/>
              </w:rPr>
              <w:t xml:space="preserve"> </w:t>
            </w:r>
          </w:p>
          <w:p w14:paraId="5472FBE3" w14:textId="77777777" w:rsidR="004E2F51" w:rsidRPr="004B4498" w:rsidRDefault="004E2F51" w:rsidP="00E032FC">
            <w:pPr>
              <w:pStyle w:val="Tot"/>
              <w:spacing w:line="240" w:lineRule="exact"/>
              <w:rPr>
                <w:rFonts w:cs="Arial"/>
                <w:b/>
                <w:bCs/>
                <w:color w:val="000000" w:themeColor="text1"/>
                <w:sz w:val="16"/>
                <w:szCs w:val="16"/>
                <w:lang w:val="hr-HR"/>
              </w:rPr>
            </w:pPr>
            <w:bookmarkStart w:id="1163" w:name="_Toc67328540"/>
            <w:r w:rsidRPr="004B4498">
              <w:rPr>
                <w:rFonts w:cs="Arial"/>
                <w:b/>
                <w:bCs/>
                <w:color w:val="000000" w:themeColor="text1"/>
                <w:sz w:val="16"/>
                <w:szCs w:val="16"/>
                <w:lang w:val="hr-HR"/>
              </w:rPr>
              <w:t>31. prosinca 202</w:t>
            </w:r>
            <w:r>
              <w:rPr>
                <w:rFonts w:cs="Arial"/>
                <w:b/>
                <w:bCs/>
                <w:color w:val="000000" w:themeColor="text1"/>
                <w:sz w:val="16"/>
                <w:szCs w:val="16"/>
                <w:lang w:val="hr-HR"/>
              </w:rPr>
              <w:t>2</w:t>
            </w:r>
            <w:r w:rsidRPr="004B4498">
              <w:rPr>
                <w:rFonts w:cs="Arial"/>
                <w:b/>
                <w:bCs/>
                <w:color w:val="000000" w:themeColor="text1"/>
                <w:sz w:val="16"/>
                <w:szCs w:val="16"/>
                <w:lang w:val="hr-HR"/>
              </w:rPr>
              <w:t>.</w:t>
            </w:r>
            <w:bookmarkEnd w:id="1163"/>
          </w:p>
        </w:tc>
        <w:tc>
          <w:tcPr>
            <w:tcW w:w="598" w:type="pct"/>
            <w:tcBorders>
              <w:top w:val="single" w:sz="4" w:space="0" w:color="auto"/>
              <w:left w:val="nil"/>
              <w:bottom w:val="single" w:sz="12" w:space="0" w:color="auto"/>
              <w:right w:val="nil"/>
            </w:tcBorders>
            <w:shd w:val="clear" w:color="auto" w:fill="auto"/>
            <w:vAlign w:val="bottom"/>
          </w:tcPr>
          <w:p w14:paraId="5A362940" w14:textId="77777777" w:rsidR="004E2F51" w:rsidRPr="00B16F72" w:rsidRDefault="004E2F51" w:rsidP="00E032FC">
            <w:pPr>
              <w:pStyle w:val="Tot"/>
              <w:tabs>
                <w:tab w:val="clear" w:pos="1202"/>
              </w:tabs>
              <w:jc w:val="right"/>
              <w:rPr>
                <w:rFonts w:cs="Arial"/>
                <w:b/>
                <w:bCs/>
                <w:sz w:val="16"/>
                <w:szCs w:val="16"/>
              </w:rPr>
            </w:pPr>
            <w:r w:rsidRPr="00B16F72">
              <w:rPr>
                <w:rFonts w:cs="Arial"/>
                <w:b/>
                <w:bCs/>
                <w:sz w:val="16"/>
                <w:szCs w:val="16"/>
              </w:rPr>
              <w:t xml:space="preserve"> 48.238 </w:t>
            </w:r>
          </w:p>
        </w:tc>
        <w:tc>
          <w:tcPr>
            <w:tcW w:w="563" w:type="pct"/>
            <w:tcBorders>
              <w:top w:val="single" w:sz="4" w:space="0" w:color="auto"/>
              <w:left w:val="nil"/>
              <w:bottom w:val="single" w:sz="12" w:space="0" w:color="auto"/>
              <w:right w:val="nil"/>
            </w:tcBorders>
            <w:shd w:val="clear" w:color="auto" w:fill="auto"/>
            <w:vAlign w:val="bottom"/>
          </w:tcPr>
          <w:p w14:paraId="6AD96AC4" w14:textId="77777777" w:rsidR="004E2F51" w:rsidRPr="00B16F72" w:rsidRDefault="004E2F51" w:rsidP="00E032FC">
            <w:pPr>
              <w:pStyle w:val="Tot"/>
              <w:tabs>
                <w:tab w:val="clear" w:pos="1202"/>
              </w:tabs>
              <w:jc w:val="right"/>
              <w:rPr>
                <w:rFonts w:cs="Arial"/>
                <w:b/>
                <w:bCs/>
                <w:sz w:val="16"/>
                <w:szCs w:val="16"/>
              </w:rPr>
            </w:pPr>
            <w:r w:rsidRPr="00B16F72">
              <w:rPr>
                <w:rFonts w:cs="Arial"/>
                <w:b/>
                <w:bCs/>
                <w:sz w:val="16"/>
                <w:szCs w:val="16"/>
              </w:rPr>
              <w:t xml:space="preserve"> 9.213 </w:t>
            </w:r>
          </w:p>
        </w:tc>
        <w:tc>
          <w:tcPr>
            <w:tcW w:w="563" w:type="pct"/>
            <w:tcBorders>
              <w:top w:val="single" w:sz="4" w:space="0" w:color="auto"/>
              <w:left w:val="nil"/>
              <w:bottom w:val="single" w:sz="12" w:space="0" w:color="auto"/>
              <w:right w:val="nil"/>
            </w:tcBorders>
            <w:shd w:val="clear" w:color="auto" w:fill="auto"/>
            <w:vAlign w:val="bottom"/>
          </w:tcPr>
          <w:p w14:paraId="31E1DE56" w14:textId="77777777" w:rsidR="004E2F51" w:rsidRPr="00B16F72" w:rsidRDefault="004E2F51" w:rsidP="00E032FC">
            <w:pPr>
              <w:pStyle w:val="Tot"/>
              <w:tabs>
                <w:tab w:val="clear" w:pos="1202"/>
              </w:tabs>
              <w:jc w:val="right"/>
              <w:rPr>
                <w:rFonts w:cs="Arial"/>
                <w:b/>
                <w:bCs/>
                <w:sz w:val="16"/>
                <w:szCs w:val="16"/>
              </w:rPr>
            </w:pPr>
            <w:r w:rsidRPr="00B16F72">
              <w:rPr>
                <w:rFonts w:cs="Arial"/>
                <w:b/>
                <w:bCs/>
                <w:sz w:val="16"/>
                <w:szCs w:val="16"/>
              </w:rPr>
              <w:t xml:space="preserve"> 8.556 </w:t>
            </w:r>
          </w:p>
        </w:tc>
        <w:tc>
          <w:tcPr>
            <w:tcW w:w="562" w:type="pct"/>
            <w:tcBorders>
              <w:top w:val="single" w:sz="4" w:space="0" w:color="auto"/>
              <w:left w:val="nil"/>
              <w:bottom w:val="single" w:sz="12" w:space="0" w:color="auto"/>
              <w:right w:val="nil"/>
            </w:tcBorders>
            <w:shd w:val="clear" w:color="auto" w:fill="auto"/>
            <w:vAlign w:val="bottom"/>
          </w:tcPr>
          <w:p w14:paraId="411B49E8" w14:textId="77777777" w:rsidR="004E2F51" w:rsidRPr="00B16F72" w:rsidRDefault="004E2F51" w:rsidP="00E032FC">
            <w:pPr>
              <w:pStyle w:val="Tot"/>
              <w:tabs>
                <w:tab w:val="clear" w:pos="1202"/>
              </w:tabs>
              <w:jc w:val="right"/>
              <w:rPr>
                <w:rFonts w:cs="Arial"/>
                <w:b/>
                <w:bCs/>
                <w:sz w:val="16"/>
                <w:szCs w:val="16"/>
              </w:rPr>
            </w:pPr>
            <w:r w:rsidRPr="00B16F72">
              <w:rPr>
                <w:rFonts w:cs="Arial"/>
                <w:b/>
                <w:bCs/>
                <w:sz w:val="16"/>
                <w:szCs w:val="16"/>
              </w:rPr>
              <w:t xml:space="preserve"> - </w:t>
            </w:r>
          </w:p>
        </w:tc>
        <w:tc>
          <w:tcPr>
            <w:tcW w:w="563" w:type="pct"/>
            <w:tcBorders>
              <w:top w:val="single" w:sz="4" w:space="0" w:color="auto"/>
              <w:left w:val="nil"/>
              <w:bottom w:val="single" w:sz="12" w:space="0" w:color="auto"/>
              <w:right w:val="nil"/>
            </w:tcBorders>
            <w:shd w:val="clear" w:color="auto" w:fill="auto"/>
            <w:vAlign w:val="bottom"/>
          </w:tcPr>
          <w:p w14:paraId="4EEF19C1" w14:textId="77777777" w:rsidR="004E2F51" w:rsidRPr="00B16F72" w:rsidRDefault="004E2F51" w:rsidP="00E032FC">
            <w:pPr>
              <w:pStyle w:val="Tot"/>
              <w:tabs>
                <w:tab w:val="clear" w:pos="1202"/>
              </w:tabs>
              <w:jc w:val="right"/>
              <w:rPr>
                <w:rFonts w:cs="Arial"/>
                <w:b/>
                <w:bCs/>
                <w:sz w:val="16"/>
                <w:szCs w:val="16"/>
              </w:rPr>
            </w:pPr>
            <w:r w:rsidRPr="00B16F72">
              <w:rPr>
                <w:rFonts w:cs="Arial"/>
                <w:b/>
                <w:bCs/>
                <w:sz w:val="16"/>
                <w:szCs w:val="16"/>
              </w:rPr>
              <w:t xml:space="preserve"> 66.007 </w:t>
            </w:r>
          </w:p>
        </w:tc>
        <w:tc>
          <w:tcPr>
            <w:tcW w:w="673" w:type="pct"/>
            <w:tcBorders>
              <w:top w:val="single" w:sz="4" w:space="0" w:color="auto"/>
              <w:left w:val="nil"/>
              <w:bottom w:val="single" w:sz="12" w:space="0" w:color="auto"/>
              <w:right w:val="nil"/>
            </w:tcBorders>
            <w:shd w:val="clear" w:color="auto" w:fill="auto"/>
            <w:vAlign w:val="bottom"/>
          </w:tcPr>
          <w:p w14:paraId="45BBDE19" w14:textId="77777777" w:rsidR="004E2F51" w:rsidRPr="00B16F72" w:rsidRDefault="004E2F51" w:rsidP="00E032FC">
            <w:pPr>
              <w:pStyle w:val="Tot"/>
              <w:tabs>
                <w:tab w:val="clear" w:pos="1202"/>
              </w:tabs>
              <w:jc w:val="right"/>
              <w:rPr>
                <w:rFonts w:cs="Arial"/>
                <w:b/>
                <w:bCs/>
                <w:sz w:val="16"/>
                <w:szCs w:val="16"/>
              </w:rPr>
            </w:pPr>
            <w:r w:rsidRPr="00B16F72">
              <w:rPr>
                <w:rFonts w:cs="Arial"/>
                <w:b/>
                <w:bCs/>
                <w:sz w:val="16"/>
                <w:szCs w:val="16"/>
              </w:rPr>
              <w:t xml:space="preserve"> 31.250 </w:t>
            </w:r>
          </w:p>
        </w:tc>
        <w:tc>
          <w:tcPr>
            <w:tcW w:w="446" w:type="pct"/>
            <w:tcBorders>
              <w:top w:val="single" w:sz="4" w:space="0" w:color="auto"/>
              <w:left w:val="nil"/>
              <w:bottom w:val="single" w:sz="12" w:space="0" w:color="auto"/>
              <w:right w:val="nil"/>
            </w:tcBorders>
            <w:shd w:val="clear" w:color="auto" w:fill="auto"/>
            <w:vAlign w:val="bottom"/>
          </w:tcPr>
          <w:p w14:paraId="53444EE1" w14:textId="77777777" w:rsidR="004E2F51" w:rsidRPr="00B16F72" w:rsidRDefault="004E2F51" w:rsidP="00E032FC">
            <w:pPr>
              <w:pStyle w:val="Tot"/>
              <w:tabs>
                <w:tab w:val="clear" w:pos="1202"/>
              </w:tabs>
              <w:jc w:val="right"/>
              <w:rPr>
                <w:rFonts w:cs="Arial"/>
                <w:b/>
                <w:bCs/>
                <w:sz w:val="16"/>
                <w:szCs w:val="16"/>
              </w:rPr>
            </w:pPr>
            <w:r w:rsidRPr="00B16F72">
              <w:rPr>
                <w:rFonts w:cs="Arial"/>
                <w:b/>
                <w:bCs/>
                <w:sz w:val="16"/>
                <w:szCs w:val="16"/>
              </w:rPr>
              <w:t xml:space="preserve"> 97.257 </w:t>
            </w:r>
          </w:p>
        </w:tc>
      </w:tr>
      <w:tr w:rsidR="002D6F0B" w:rsidRPr="00B91D09" w14:paraId="0E66757F" w14:textId="77777777" w:rsidTr="002D6F0B">
        <w:trPr>
          <w:trHeight w:val="160"/>
        </w:trPr>
        <w:tc>
          <w:tcPr>
            <w:tcW w:w="1032" w:type="pct"/>
            <w:shd w:val="clear" w:color="auto" w:fill="auto"/>
            <w:vAlign w:val="bottom"/>
          </w:tcPr>
          <w:p w14:paraId="67884AE1" w14:textId="77777777" w:rsidR="004E2F51" w:rsidRPr="004B4498" w:rsidRDefault="004E2F51" w:rsidP="00E032FC">
            <w:pPr>
              <w:pStyle w:val="Tot"/>
              <w:spacing w:line="240" w:lineRule="exact"/>
              <w:rPr>
                <w:rFonts w:cs="Arial"/>
                <w:b/>
                <w:bCs/>
                <w:color w:val="000000" w:themeColor="text1"/>
                <w:sz w:val="16"/>
                <w:szCs w:val="16"/>
                <w:lang w:val="hr-HR"/>
              </w:rPr>
            </w:pPr>
          </w:p>
        </w:tc>
        <w:tc>
          <w:tcPr>
            <w:tcW w:w="598" w:type="pct"/>
            <w:tcBorders>
              <w:top w:val="single" w:sz="4" w:space="0" w:color="auto"/>
              <w:left w:val="nil"/>
              <w:right w:val="nil"/>
            </w:tcBorders>
            <w:shd w:val="clear" w:color="auto" w:fill="auto"/>
            <w:vAlign w:val="bottom"/>
          </w:tcPr>
          <w:p w14:paraId="72AD918C" w14:textId="77777777" w:rsidR="004E2F51" w:rsidRPr="004B4498" w:rsidRDefault="004E2F51" w:rsidP="00E032FC">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shd w:val="clear" w:color="auto" w:fill="auto"/>
            <w:vAlign w:val="bottom"/>
          </w:tcPr>
          <w:p w14:paraId="07B592B6" w14:textId="77777777" w:rsidR="004E2F51" w:rsidRPr="004B4498" w:rsidRDefault="004E2F51" w:rsidP="00E032FC">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shd w:val="clear" w:color="auto" w:fill="auto"/>
            <w:vAlign w:val="bottom"/>
          </w:tcPr>
          <w:p w14:paraId="5BCA047E" w14:textId="77777777" w:rsidR="004E2F51" w:rsidRPr="004B4498" w:rsidRDefault="004E2F51" w:rsidP="00E032FC">
            <w:pPr>
              <w:jc w:val="right"/>
              <w:rPr>
                <w:rFonts w:ascii="Arial" w:hAnsi="Arial" w:cs="Arial"/>
                <w:b/>
                <w:bCs/>
                <w:color w:val="000000" w:themeColor="text1"/>
                <w:sz w:val="16"/>
                <w:szCs w:val="16"/>
                <w:highlight w:val="yellow"/>
                <w:lang w:val="hr-HR"/>
              </w:rPr>
            </w:pPr>
          </w:p>
        </w:tc>
        <w:tc>
          <w:tcPr>
            <w:tcW w:w="562" w:type="pct"/>
            <w:tcBorders>
              <w:top w:val="single" w:sz="4" w:space="0" w:color="auto"/>
              <w:left w:val="nil"/>
              <w:right w:val="nil"/>
            </w:tcBorders>
            <w:shd w:val="clear" w:color="auto" w:fill="auto"/>
            <w:vAlign w:val="bottom"/>
          </w:tcPr>
          <w:p w14:paraId="701B2E56" w14:textId="77777777" w:rsidR="004E2F51" w:rsidRPr="004B4498" w:rsidRDefault="004E2F51" w:rsidP="00E032FC">
            <w:pPr>
              <w:jc w:val="right"/>
              <w:rPr>
                <w:rFonts w:ascii="Arial" w:hAnsi="Arial" w:cs="Arial"/>
                <w:b/>
                <w:bCs/>
                <w:color w:val="000000" w:themeColor="text1"/>
                <w:sz w:val="16"/>
                <w:szCs w:val="16"/>
                <w:highlight w:val="yellow"/>
                <w:lang w:val="hr-HR"/>
              </w:rPr>
            </w:pPr>
          </w:p>
        </w:tc>
        <w:tc>
          <w:tcPr>
            <w:tcW w:w="563" w:type="pct"/>
            <w:tcBorders>
              <w:top w:val="single" w:sz="4" w:space="0" w:color="auto"/>
              <w:left w:val="nil"/>
              <w:right w:val="nil"/>
            </w:tcBorders>
            <w:shd w:val="clear" w:color="auto" w:fill="auto"/>
            <w:vAlign w:val="bottom"/>
          </w:tcPr>
          <w:p w14:paraId="5DCD8DE7" w14:textId="77777777" w:rsidR="004E2F51" w:rsidRPr="004B4498" w:rsidRDefault="004E2F51" w:rsidP="00E032FC">
            <w:pPr>
              <w:jc w:val="right"/>
              <w:rPr>
                <w:rFonts w:ascii="Arial" w:hAnsi="Arial" w:cs="Arial"/>
                <w:b/>
                <w:bCs/>
                <w:color w:val="000000" w:themeColor="text1"/>
                <w:sz w:val="16"/>
                <w:szCs w:val="16"/>
                <w:highlight w:val="yellow"/>
                <w:lang w:val="hr-HR"/>
              </w:rPr>
            </w:pPr>
          </w:p>
        </w:tc>
        <w:tc>
          <w:tcPr>
            <w:tcW w:w="673" w:type="pct"/>
            <w:tcBorders>
              <w:top w:val="single" w:sz="4" w:space="0" w:color="auto"/>
              <w:left w:val="nil"/>
              <w:right w:val="nil"/>
            </w:tcBorders>
            <w:shd w:val="clear" w:color="auto" w:fill="auto"/>
            <w:vAlign w:val="bottom"/>
          </w:tcPr>
          <w:p w14:paraId="31C9D014" w14:textId="77777777" w:rsidR="004E2F51" w:rsidRPr="004B4498" w:rsidRDefault="004E2F51" w:rsidP="00E032FC">
            <w:pPr>
              <w:jc w:val="right"/>
              <w:rPr>
                <w:rFonts w:ascii="Arial" w:hAnsi="Arial" w:cs="Arial"/>
                <w:b/>
                <w:bCs/>
                <w:color w:val="000000" w:themeColor="text1"/>
                <w:sz w:val="16"/>
                <w:szCs w:val="16"/>
                <w:highlight w:val="yellow"/>
                <w:lang w:val="hr-HR"/>
              </w:rPr>
            </w:pPr>
          </w:p>
        </w:tc>
        <w:tc>
          <w:tcPr>
            <w:tcW w:w="446" w:type="pct"/>
            <w:tcBorders>
              <w:top w:val="single" w:sz="4" w:space="0" w:color="auto"/>
              <w:left w:val="nil"/>
              <w:right w:val="nil"/>
            </w:tcBorders>
            <w:shd w:val="clear" w:color="auto" w:fill="auto"/>
            <w:vAlign w:val="bottom"/>
          </w:tcPr>
          <w:p w14:paraId="26405E18" w14:textId="77777777" w:rsidR="004E2F51" w:rsidRPr="004B4498" w:rsidRDefault="004E2F51" w:rsidP="00E032FC">
            <w:pPr>
              <w:jc w:val="right"/>
              <w:rPr>
                <w:rFonts w:ascii="Arial" w:hAnsi="Arial" w:cs="Arial"/>
                <w:b/>
                <w:bCs/>
                <w:color w:val="000000" w:themeColor="text1"/>
                <w:sz w:val="16"/>
                <w:szCs w:val="16"/>
                <w:highlight w:val="yellow"/>
                <w:lang w:val="hr-HR"/>
              </w:rPr>
            </w:pPr>
          </w:p>
        </w:tc>
      </w:tr>
      <w:tr w:rsidR="002D6F0B" w:rsidRPr="00B91D09" w14:paraId="4B90E39D" w14:textId="77777777" w:rsidTr="002D6F0B">
        <w:trPr>
          <w:trHeight w:val="437"/>
        </w:trPr>
        <w:tc>
          <w:tcPr>
            <w:tcW w:w="1032" w:type="pct"/>
            <w:shd w:val="clear" w:color="auto" w:fill="auto"/>
            <w:vAlign w:val="bottom"/>
          </w:tcPr>
          <w:p w14:paraId="0BB63426" w14:textId="77777777" w:rsidR="004E2F51" w:rsidRPr="004B4498" w:rsidRDefault="004E2F51" w:rsidP="00E032FC">
            <w:pPr>
              <w:pStyle w:val="Tot"/>
              <w:spacing w:line="240" w:lineRule="exact"/>
              <w:rPr>
                <w:rFonts w:cs="Arial"/>
                <w:b/>
                <w:bCs/>
                <w:color w:val="000000" w:themeColor="text1"/>
                <w:sz w:val="16"/>
                <w:szCs w:val="16"/>
                <w:lang w:val="hr-HR"/>
              </w:rPr>
            </w:pPr>
            <w:bookmarkStart w:id="1164" w:name="_Toc67328541"/>
            <w:r w:rsidRPr="004B4498">
              <w:rPr>
                <w:rFonts w:cs="Arial"/>
                <w:b/>
                <w:bCs/>
                <w:color w:val="000000" w:themeColor="text1"/>
                <w:sz w:val="16"/>
                <w:szCs w:val="16"/>
                <w:lang w:val="hr-HR"/>
              </w:rPr>
              <w:t>Neto knjigovodstvena vrijednost</w:t>
            </w:r>
            <w:bookmarkEnd w:id="1164"/>
            <w:r w:rsidRPr="004B4498">
              <w:rPr>
                <w:rFonts w:cs="Arial"/>
                <w:b/>
                <w:bCs/>
                <w:color w:val="000000" w:themeColor="text1"/>
                <w:sz w:val="16"/>
                <w:szCs w:val="16"/>
                <w:lang w:val="hr-HR"/>
              </w:rPr>
              <w:t xml:space="preserve"> </w:t>
            </w:r>
          </w:p>
          <w:p w14:paraId="67FB5352" w14:textId="77777777" w:rsidR="004E2F51" w:rsidRPr="004B4498" w:rsidRDefault="004E2F51" w:rsidP="00E032FC">
            <w:pPr>
              <w:pStyle w:val="Tot"/>
              <w:spacing w:line="240" w:lineRule="exact"/>
              <w:rPr>
                <w:rFonts w:cs="Arial"/>
                <w:b/>
                <w:bCs/>
                <w:color w:val="000000" w:themeColor="text1"/>
                <w:sz w:val="16"/>
                <w:szCs w:val="16"/>
                <w:lang w:val="hr-HR"/>
              </w:rPr>
            </w:pPr>
            <w:bookmarkStart w:id="1165" w:name="_Toc67328542"/>
            <w:r w:rsidRPr="004B4498">
              <w:rPr>
                <w:rFonts w:cs="Arial"/>
                <w:b/>
                <w:bCs/>
                <w:color w:val="000000" w:themeColor="text1"/>
                <w:sz w:val="16"/>
                <w:szCs w:val="16"/>
                <w:lang w:val="hr-HR"/>
              </w:rPr>
              <w:t>31. prosinca 202</w:t>
            </w:r>
            <w:r>
              <w:rPr>
                <w:rFonts w:cs="Arial"/>
                <w:b/>
                <w:bCs/>
                <w:color w:val="000000" w:themeColor="text1"/>
                <w:sz w:val="16"/>
                <w:szCs w:val="16"/>
                <w:lang w:val="hr-HR"/>
              </w:rPr>
              <w:t>2</w:t>
            </w:r>
            <w:r w:rsidRPr="004B4498">
              <w:rPr>
                <w:rFonts w:cs="Arial"/>
                <w:b/>
                <w:bCs/>
                <w:color w:val="000000" w:themeColor="text1"/>
                <w:sz w:val="16"/>
                <w:szCs w:val="16"/>
                <w:lang w:val="hr-HR"/>
              </w:rPr>
              <w:t>.</w:t>
            </w:r>
            <w:bookmarkEnd w:id="1165"/>
          </w:p>
        </w:tc>
        <w:tc>
          <w:tcPr>
            <w:tcW w:w="598" w:type="pct"/>
            <w:tcBorders>
              <w:left w:val="nil"/>
              <w:bottom w:val="single" w:sz="12" w:space="0" w:color="auto"/>
              <w:right w:val="nil"/>
            </w:tcBorders>
            <w:shd w:val="clear" w:color="auto" w:fill="auto"/>
            <w:vAlign w:val="bottom"/>
          </w:tcPr>
          <w:p w14:paraId="2FB84F80" w14:textId="77777777" w:rsidR="004E2F51" w:rsidRPr="00B16F72" w:rsidRDefault="004E2F51" w:rsidP="00E032FC">
            <w:pPr>
              <w:pStyle w:val="Tot"/>
              <w:tabs>
                <w:tab w:val="clear" w:pos="1202"/>
              </w:tabs>
              <w:jc w:val="right"/>
              <w:rPr>
                <w:rFonts w:cs="Arial"/>
                <w:b/>
                <w:bCs/>
                <w:sz w:val="16"/>
                <w:szCs w:val="16"/>
              </w:rPr>
            </w:pPr>
            <w:r w:rsidRPr="00B16F72">
              <w:rPr>
                <w:rFonts w:cs="Arial"/>
                <w:b/>
                <w:bCs/>
                <w:sz w:val="16"/>
                <w:szCs w:val="16"/>
              </w:rPr>
              <w:t xml:space="preserve"> 28.864 </w:t>
            </w:r>
          </w:p>
        </w:tc>
        <w:tc>
          <w:tcPr>
            <w:tcW w:w="563" w:type="pct"/>
            <w:tcBorders>
              <w:left w:val="nil"/>
              <w:bottom w:val="single" w:sz="12" w:space="0" w:color="auto"/>
              <w:right w:val="nil"/>
            </w:tcBorders>
            <w:shd w:val="clear" w:color="auto" w:fill="auto"/>
            <w:vAlign w:val="bottom"/>
          </w:tcPr>
          <w:p w14:paraId="4CCEABC1" w14:textId="77777777" w:rsidR="004E2F51" w:rsidRPr="00B16F72" w:rsidRDefault="004E2F51" w:rsidP="00E032FC">
            <w:pPr>
              <w:pStyle w:val="Tot"/>
              <w:tabs>
                <w:tab w:val="clear" w:pos="1202"/>
              </w:tabs>
              <w:jc w:val="right"/>
              <w:rPr>
                <w:rFonts w:cs="Arial"/>
                <w:b/>
                <w:bCs/>
                <w:sz w:val="16"/>
                <w:szCs w:val="16"/>
              </w:rPr>
            </w:pPr>
            <w:r w:rsidRPr="00B16F72">
              <w:rPr>
                <w:rFonts w:cs="Arial"/>
                <w:b/>
                <w:bCs/>
                <w:sz w:val="16"/>
                <w:szCs w:val="16"/>
              </w:rPr>
              <w:t xml:space="preserve"> 654 </w:t>
            </w:r>
          </w:p>
        </w:tc>
        <w:tc>
          <w:tcPr>
            <w:tcW w:w="563" w:type="pct"/>
            <w:tcBorders>
              <w:left w:val="nil"/>
              <w:bottom w:val="single" w:sz="12" w:space="0" w:color="auto"/>
              <w:right w:val="nil"/>
            </w:tcBorders>
            <w:shd w:val="clear" w:color="auto" w:fill="auto"/>
            <w:vAlign w:val="bottom"/>
          </w:tcPr>
          <w:p w14:paraId="2F9FE52E" w14:textId="77777777" w:rsidR="004E2F51" w:rsidRPr="00B16F72" w:rsidRDefault="004E2F51" w:rsidP="00E032FC">
            <w:pPr>
              <w:pStyle w:val="Tot"/>
              <w:tabs>
                <w:tab w:val="clear" w:pos="1202"/>
              </w:tabs>
              <w:jc w:val="right"/>
              <w:rPr>
                <w:rFonts w:cs="Arial"/>
                <w:b/>
                <w:bCs/>
                <w:sz w:val="16"/>
                <w:szCs w:val="16"/>
              </w:rPr>
            </w:pPr>
            <w:r w:rsidRPr="00B16F72">
              <w:rPr>
                <w:rFonts w:cs="Arial"/>
                <w:b/>
                <w:bCs/>
                <w:sz w:val="16"/>
                <w:szCs w:val="16"/>
              </w:rPr>
              <w:t xml:space="preserve"> 2.635 </w:t>
            </w:r>
          </w:p>
        </w:tc>
        <w:tc>
          <w:tcPr>
            <w:tcW w:w="562" w:type="pct"/>
            <w:tcBorders>
              <w:left w:val="nil"/>
              <w:bottom w:val="single" w:sz="12" w:space="0" w:color="auto"/>
              <w:right w:val="nil"/>
            </w:tcBorders>
            <w:shd w:val="clear" w:color="auto" w:fill="auto"/>
            <w:vAlign w:val="bottom"/>
          </w:tcPr>
          <w:p w14:paraId="2427D5ED" w14:textId="77777777" w:rsidR="004E2F51" w:rsidRPr="00B16F72" w:rsidRDefault="004E2F51" w:rsidP="00E032FC">
            <w:pPr>
              <w:pStyle w:val="Tot"/>
              <w:tabs>
                <w:tab w:val="clear" w:pos="1202"/>
              </w:tabs>
              <w:jc w:val="right"/>
              <w:rPr>
                <w:rFonts w:cs="Arial"/>
                <w:b/>
                <w:bCs/>
                <w:sz w:val="16"/>
                <w:szCs w:val="16"/>
              </w:rPr>
            </w:pPr>
            <w:r w:rsidRPr="00B16F72">
              <w:rPr>
                <w:rFonts w:cs="Arial"/>
                <w:b/>
                <w:bCs/>
                <w:sz w:val="16"/>
                <w:szCs w:val="16"/>
              </w:rPr>
              <w:t xml:space="preserve"> 63 </w:t>
            </w:r>
          </w:p>
        </w:tc>
        <w:tc>
          <w:tcPr>
            <w:tcW w:w="563" w:type="pct"/>
            <w:tcBorders>
              <w:left w:val="nil"/>
              <w:bottom w:val="single" w:sz="12" w:space="0" w:color="auto"/>
              <w:right w:val="nil"/>
            </w:tcBorders>
            <w:shd w:val="clear" w:color="auto" w:fill="auto"/>
            <w:vAlign w:val="bottom"/>
          </w:tcPr>
          <w:p w14:paraId="2746B220" w14:textId="77777777" w:rsidR="004E2F51" w:rsidRPr="00B16F72" w:rsidRDefault="004E2F51" w:rsidP="00E032FC">
            <w:pPr>
              <w:pStyle w:val="Tot"/>
              <w:tabs>
                <w:tab w:val="clear" w:pos="1202"/>
              </w:tabs>
              <w:jc w:val="right"/>
              <w:rPr>
                <w:rFonts w:cs="Arial"/>
                <w:b/>
                <w:bCs/>
                <w:sz w:val="16"/>
                <w:szCs w:val="16"/>
              </w:rPr>
            </w:pPr>
            <w:r w:rsidRPr="00B16F72">
              <w:rPr>
                <w:rFonts w:cs="Arial"/>
                <w:b/>
                <w:bCs/>
                <w:sz w:val="16"/>
                <w:szCs w:val="16"/>
              </w:rPr>
              <w:t xml:space="preserve"> 32.216 </w:t>
            </w:r>
          </w:p>
        </w:tc>
        <w:tc>
          <w:tcPr>
            <w:tcW w:w="673" w:type="pct"/>
            <w:tcBorders>
              <w:left w:val="nil"/>
              <w:bottom w:val="single" w:sz="12" w:space="0" w:color="auto"/>
              <w:right w:val="nil"/>
            </w:tcBorders>
            <w:shd w:val="clear" w:color="auto" w:fill="auto"/>
            <w:vAlign w:val="bottom"/>
          </w:tcPr>
          <w:p w14:paraId="5E2C44F9" w14:textId="77777777" w:rsidR="004E2F51" w:rsidRPr="00B16F72" w:rsidRDefault="004E2F51" w:rsidP="00E032FC">
            <w:pPr>
              <w:pStyle w:val="Tot"/>
              <w:tabs>
                <w:tab w:val="clear" w:pos="1202"/>
              </w:tabs>
              <w:jc w:val="right"/>
              <w:rPr>
                <w:rFonts w:cs="Arial"/>
                <w:b/>
                <w:bCs/>
                <w:sz w:val="16"/>
                <w:szCs w:val="16"/>
              </w:rPr>
            </w:pPr>
            <w:r w:rsidRPr="00B16F72">
              <w:rPr>
                <w:rFonts w:cs="Arial"/>
                <w:b/>
                <w:bCs/>
                <w:sz w:val="16"/>
                <w:szCs w:val="16"/>
              </w:rPr>
              <w:t xml:space="preserve"> 5.511 </w:t>
            </w:r>
          </w:p>
        </w:tc>
        <w:tc>
          <w:tcPr>
            <w:tcW w:w="446" w:type="pct"/>
            <w:tcBorders>
              <w:left w:val="nil"/>
              <w:bottom w:val="single" w:sz="12" w:space="0" w:color="auto"/>
              <w:right w:val="nil"/>
            </w:tcBorders>
            <w:shd w:val="clear" w:color="auto" w:fill="auto"/>
            <w:vAlign w:val="bottom"/>
          </w:tcPr>
          <w:p w14:paraId="635EEC02" w14:textId="77777777" w:rsidR="004E2F51" w:rsidRPr="00B16F72" w:rsidRDefault="004E2F51" w:rsidP="00E032FC">
            <w:pPr>
              <w:pStyle w:val="Tot"/>
              <w:tabs>
                <w:tab w:val="clear" w:pos="1202"/>
              </w:tabs>
              <w:jc w:val="right"/>
              <w:rPr>
                <w:rFonts w:cs="Arial"/>
                <w:b/>
                <w:bCs/>
                <w:sz w:val="16"/>
                <w:szCs w:val="16"/>
              </w:rPr>
            </w:pPr>
            <w:r w:rsidRPr="00B16F72">
              <w:rPr>
                <w:rFonts w:cs="Arial"/>
                <w:b/>
                <w:bCs/>
                <w:sz w:val="16"/>
                <w:szCs w:val="16"/>
              </w:rPr>
              <w:t xml:space="preserve"> 37.727 </w:t>
            </w:r>
          </w:p>
        </w:tc>
      </w:tr>
      <w:tr w:rsidR="002D6F0B" w:rsidRPr="00B91D09" w14:paraId="37530999" w14:textId="77777777" w:rsidTr="002D6F0B">
        <w:trPr>
          <w:trHeight w:val="448"/>
        </w:trPr>
        <w:tc>
          <w:tcPr>
            <w:tcW w:w="1032" w:type="pct"/>
            <w:shd w:val="clear" w:color="auto" w:fill="auto"/>
            <w:vAlign w:val="bottom"/>
          </w:tcPr>
          <w:p w14:paraId="1078E48A" w14:textId="77777777" w:rsidR="004E2F51" w:rsidRPr="004B4498" w:rsidRDefault="004E2F51" w:rsidP="00E032FC">
            <w:pPr>
              <w:pStyle w:val="Tot"/>
              <w:spacing w:line="240" w:lineRule="exact"/>
              <w:rPr>
                <w:rFonts w:cs="Arial"/>
                <w:b/>
                <w:bCs/>
                <w:color w:val="000000" w:themeColor="text1"/>
                <w:sz w:val="16"/>
                <w:szCs w:val="16"/>
                <w:lang w:val="hr-HR"/>
              </w:rPr>
            </w:pPr>
            <w:bookmarkStart w:id="1166" w:name="_Toc67328543"/>
            <w:r w:rsidRPr="004B4498">
              <w:rPr>
                <w:rFonts w:cs="Arial"/>
                <w:b/>
                <w:bCs/>
                <w:color w:val="000000" w:themeColor="text1"/>
                <w:sz w:val="16"/>
                <w:szCs w:val="16"/>
                <w:lang w:val="hr-HR"/>
              </w:rPr>
              <w:t>Neto knjigovodstvena vrijednost</w:t>
            </w:r>
            <w:bookmarkEnd w:id="1166"/>
            <w:r w:rsidRPr="004B4498">
              <w:rPr>
                <w:rFonts w:cs="Arial"/>
                <w:b/>
                <w:bCs/>
                <w:color w:val="000000" w:themeColor="text1"/>
                <w:sz w:val="16"/>
                <w:szCs w:val="16"/>
                <w:lang w:val="hr-HR"/>
              </w:rPr>
              <w:t xml:space="preserve"> </w:t>
            </w:r>
          </w:p>
          <w:p w14:paraId="08E44832" w14:textId="77777777" w:rsidR="004E2F51" w:rsidRPr="004B4498" w:rsidRDefault="004E2F51" w:rsidP="00E032FC">
            <w:pPr>
              <w:pStyle w:val="Tot"/>
              <w:spacing w:line="240" w:lineRule="exact"/>
              <w:rPr>
                <w:rFonts w:cs="Arial"/>
                <w:b/>
                <w:bCs/>
                <w:color w:val="000000" w:themeColor="text1"/>
                <w:sz w:val="16"/>
                <w:szCs w:val="16"/>
                <w:lang w:val="hr-HR"/>
              </w:rPr>
            </w:pPr>
            <w:bookmarkStart w:id="1167" w:name="_Toc67328544"/>
            <w:r w:rsidRPr="004B4498">
              <w:rPr>
                <w:rFonts w:cs="Arial"/>
                <w:b/>
                <w:bCs/>
                <w:color w:val="000000" w:themeColor="text1"/>
                <w:sz w:val="16"/>
                <w:szCs w:val="16"/>
                <w:lang w:val="hr-HR"/>
              </w:rPr>
              <w:t>31. prosinca 202</w:t>
            </w:r>
            <w:r>
              <w:rPr>
                <w:rFonts w:cs="Arial"/>
                <w:b/>
                <w:bCs/>
                <w:color w:val="000000" w:themeColor="text1"/>
                <w:sz w:val="16"/>
                <w:szCs w:val="16"/>
                <w:lang w:val="hr-HR"/>
              </w:rPr>
              <w:t>1</w:t>
            </w:r>
            <w:r w:rsidRPr="004B4498">
              <w:rPr>
                <w:rFonts w:cs="Arial"/>
                <w:b/>
                <w:bCs/>
                <w:color w:val="000000" w:themeColor="text1"/>
                <w:sz w:val="16"/>
                <w:szCs w:val="16"/>
                <w:lang w:val="hr-HR"/>
              </w:rPr>
              <w:t>.</w:t>
            </w:r>
            <w:bookmarkEnd w:id="1167"/>
          </w:p>
        </w:tc>
        <w:tc>
          <w:tcPr>
            <w:tcW w:w="598" w:type="pct"/>
            <w:tcBorders>
              <w:left w:val="nil"/>
              <w:bottom w:val="single" w:sz="12" w:space="0" w:color="auto"/>
              <w:right w:val="nil"/>
            </w:tcBorders>
            <w:shd w:val="clear" w:color="auto" w:fill="auto"/>
            <w:vAlign w:val="bottom"/>
          </w:tcPr>
          <w:p w14:paraId="38B25346"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bookmarkStart w:id="1168" w:name="_Toc67328545"/>
            <w:r w:rsidRPr="0046584E">
              <w:rPr>
                <w:rFonts w:cs="Arial"/>
                <w:b/>
                <w:bCs/>
                <w:sz w:val="16"/>
                <w:szCs w:val="16"/>
              </w:rPr>
              <w:t xml:space="preserve"> 32.719 </w:t>
            </w:r>
            <w:bookmarkEnd w:id="1168"/>
          </w:p>
        </w:tc>
        <w:tc>
          <w:tcPr>
            <w:tcW w:w="563" w:type="pct"/>
            <w:tcBorders>
              <w:left w:val="nil"/>
              <w:bottom w:val="single" w:sz="12" w:space="0" w:color="auto"/>
              <w:right w:val="nil"/>
            </w:tcBorders>
            <w:shd w:val="clear" w:color="auto" w:fill="auto"/>
            <w:vAlign w:val="bottom"/>
          </w:tcPr>
          <w:p w14:paraId="2C31653F"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bookmarkStart w:id="1169" w:name="_Toc67328546"/>
            <w:r w:rsidRPr="0046584E">
              <w:rPr>
                <w:rFonts w:cs="Arial"/>
                <w:b/>
                <w:bCs/>
                <w:sz w:val="16"/>
                <w:szCs w:val="16"/>
              </w:rPr>
              <w:t xml:space="preserve"> 2.226</w:t>
            </w:r>
            <w:bookmarkEnd w:id="1169"/>
          </w:p>
        </w:tc>
        <w:tc>
          <w:tcPr>
            <w:tcW w:w="563" w:type="pct"/>
            <w:tcBorders>
              <w:left w:val="nil"/>
              <w:bottom w:val="single" w:sz="12" w:space="0" w:color="auto"/>
              <w:right w:val="nil"/>
            </w:tcBorders>
            <w:shd w:val="clear" w:color="auto" w:fill="auto"/>
            <w:vAlign w:val="bottom"/>
          </w:tcPr>
          <w:p w14:paraId="7E05D9EE"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bookmarkStart w:id="1170" w:name="_Toc67328547"/>
            <w:r w:rsidRPr="0046584E">
              <w:rPr>
                <w:rFonts w:cs="Arial"/>
                <w:b/>
                <w:bCs/>
                <w:sz w:val="16"/>
                <w:szCs w:val="16"/>
              </w:rPr>
              <w:t xml:space="preserve"> 1.763</w:t>
            </w:r>
            <w:bookmarkEnd w:id="1170"/>
          </w:p>
        </w:tc>
        <w:tc>
          <w:tcPr>
            <w:tcW w:w="562" w:type="pct"/>
            <w:tcBorders>
              <w:left w:val="nil"/>
              <w:bottom w:val="single" w:sz="12" w:space="0" w:color="auto"/>
              <w:right w:val="nil"/>
            </w:tcBorders>
            <w:shd w:val="clear" w:color="auto" w:fill="auto"/>
            <w:vAlign w:val="bottom"/>
          </w:tcPr>
          <w:p w14:paraId="41867A91"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bookmarkStart w:id="1171" w:name="_Toc67328548"/>
            <w:r w:rsidRPr="0046584E">
              <w:rPr>
                <w:rFonts w:cs="Arial"/>
                <w:b/>
                <w:bCs/>
                <w:sz w:val="16"/>
                <w:szCs w:val="16"/>
              </w:rPr>
              <w:t xml:space="preserve"> 55 </w:t>
            </w:r>
            <w:bookmarkEnd w:id="1171"/>
          </w:p>
        </w:tc>
        <w:tc>
          <w:tcPr>
            <w:tcW w:w="563" w:type="pct"/>
            <w:tcBorders>
              <w:left w:val="nil"/>
              <w:bottom w:val="single" w:sz="12" w:space="0" w:color="auto"/>
              <w:right w:val="nil"/>
            </w:tcBorders>
            <w:shd w:val="clear" w:color="auto" w:fill="auto"/>
            <w:vAlign w:val="bottom"/>
          </w:tcPr>
          <w:p w14:paraId="5F18F74C"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bookmarkStart w:id="1172" w:name="_Toc67328549"/>
            <w:r w:rsidRPr="0046584E">
              <w:rPr>
                <w:rFonts w:cs="Arial"/>
                <w:b/>
                <w:bCs/>
                <w:sz w:val="16"/>
                <w:szCs w:val="16"/>
              </w:rPr>
              <w:t xml:space="preserve"> 36.763 </w:t>
            </w:r>
            <w:bookmarkEnd w:id="1172"/>
          </w:p>
        </w:tc>
        <w:tc>
          <w:tcPr>
            <w:tcW w:w="673" w:type="pct"/>
            <w:tcBorders>
              <w:left w:val="nil"/>
              <w:bottom w:val="single" w:sz="12" w:space="0" w:color="auto"/>
              <w:right w:val="nil"/>
            </w:tcBorders>
            <w:shd w:val="clear" w:color="auto" w:fill="auto"/>
            <w:vAlign w:val="bottom"/>
          </w:tcPr>
          <w:p w14:paraId="5BD40AA8" w14:textId="77777777" w:rsidR="004E2F51" w:rsidRPr="004B4498" w:rsidRDefault="004E2F51" w:rsidP="00E032FC">
            <w:pPr>
              <w:pStyle w:val="Tot"/>
              <w:tabs>
                <w:tab w:val="clear" w:pos="1202"/>
              </w:tabs>
              <w:jc w:val="right"/>
              <w:rPr>
                <w:rFonts w:cs="Arial"/>
                <w:b/>
                <w:bCs/>
                <w:color w:val="000000" w:themeColor="text1"/>
                <w:sz w:val="16"/>
                <w:szCs w:val="16"/>
                <w:highlight w:val="yellow"/>
                <w:lang w:val="hr-HR"/>
              </w:rPr>
            </w:pPr>
            <w:bookmarkStart w:id="1173" w:name="_Toc67328550"/>
            <w:r w:rsidRPr="0046584E">
              <w:rPr>
                <w:rFonts w:cs="Arial"/>
                <w:b/>
                <w:bCs/>
                <w:sz w:val="16"/>
                <w:szCs w:val="16"/>
              </w:rPr>
              <w:t xml:space="preserve"> 5.911 </w:t>
            </w:r>
            <w:bookmarkEnd w:id="1173"/>
          </w:p>
        </w:tc>
        <w:tc>
          <w:tcPr>
            <w:tcW w:w="446" w:type="pct"/>
            <w:tcBorders>
              <w:left w:val="nil"/>
              <w:bottom w:val="single" w:sz="12" w:space="0" w:color="auto"/>
              <w:right w:val="nil"/>
            </w:tcBorders>
            <w:shd w:val="clear" w:color="auto" w:fill="auto"/>
            <w:vAlign w:val="bottom"/>
          </w:tcPr>
          <w:p w14:paraId="70A9A605" w14:textId="77777777" w:rsidR="004E2F51" w:rsidRPr="004B4498" w:rsidRDefault="004E2F51" w:rsidP="00E032FC">
            <w:pPr>
              <w:pStyle w:val="Tot"/>
              <w:tabs>
                <w:tab w:val="clear" w:pos="1202"/>
              </w:tabs>
              <w:jc w:val="right"/>
              <w:rPr>
                <w:rFonts w:cs="Arial"/>
                <w:b/>
                <w:bCs/>
                <w:color w:val="000000" w:themeColor="text1"/>
                <w:sz w:val="16"/>
                <w:szCs w:val="16"/>
                <w:lang w:val="hr-HR"/>
              </w:rPr>
            </w:pPr>
            <w:bookmarkStart w:id="1174" w:name="_Toc67328551"/>
            <w:r w:rsidRPr="0046584E">
              <w:rPr>
                <w:rFonts w:cs="Arial"/>
                <w:b/>
                <w:bCs/>
                <w:sz w:val="16"/>
                <w:szCs w:val="16"/>
              </w:rPr>
              <w:t xml:space="preserve"> 42.674 </w:t>
            </w:r>
            <w:bookmarkEnd w:id="1174"/>
          </w:p>
        </w:tc>
      </w:tr>
    </w:tbl>
    <w:p w14:paraId="07A40F1F" w14:textId="77777777" w:rsidR="004E2F51" w:rsidRPr="00B91D09" w:rsidRDefault="004E2F51" w:rsidP="004E2F51">
      <w:pPr>
        <w:pStyle w:val="T1"/>
        <w:spacing w:before="120" w:after="0" w:line="240" w:lineRule="exact"/>
        <w:rPr>
          <w:rFonts w:cs="Arial"/>
          <w:color w:val="000000" w:themeColor="text1"/>
          <w:sz w:val="22"/>
          <w:szCs w:val="22"/>
          <w:lang w:val="hr-HR"/>
          <w14:shadow w14:blurRad="50800" w14:dist="38100" w14:dir="2700000" w14:sx="100000" w14:sy="100000" w14:kx="0" w14:ky="0" w14:algn="tl">
            <w14:srgbClr w14:val="000000">
              <w14:alpha w14:val="60000"/>
            </w14:srgbClr>
          </w14:shadow>
        </w:rPr>
      </w:pPr>
    </w:p>
    <w:p w14:paraId="3BE4D840" w14:textId="77777777" w:rsidR="004E2F51" w:rsidRPr="00B91D09" w:rsidRDefault="004E2F51" w:rsidP="004E2F51">
      <w:pPr>
        <w:pStyle w:val="T1"/>
        <w:spacing w:before="120" w:after="0" w:line="240" w:lineRule="exact"/>
        <w:rPr>
          <w:rFonts w:cs="Arial"/>
          <w:color w:val="000000" w:themeColor="text1"/>
          <w:sz w:val="22"/>
          <w:szCs w:val="22"/>
          <w:lang w:val="hr-HR"/>
          <w14:shadow w14:blurRad="50800" w14:dist="38100" w14:dir="2700000" w14:sx="100000" w14:sy="100000" w14:kx="0" w14:ky="0" w14:algn="tl">
            <w14:srgbClr w14:val="000000">
              <w14:alpha w14:val="60000"/>
            </w14:srgbClr>
          </w14:shadow>
        </w:rPr>
      </w:pPr>
    </w:p>
    <w:p w14:paraId="5548EDBC" w14:textId="77777777" w:rsidR="004E2F51" w:rsidRPr="00B91D09" w:rsidRDefault="004E2F51" w:rsidP="004E2F51">
      <w:pPr>
        <w:rPr>
          <w:rFonts w:ascii="Arial" w:hAnsi="Arial" w:cs="Arial"/>
          <w:b/>
          <w:bCs/>
          <w:color w:val="000000" w:themeColor="text1"/>
          <w:sz w:val="22"/>
          <w:szCs w:val="22"/>
          <w:lang w:val="hr-HR"/>
          <w14:shadow w14:blurRad="50800" w14:dist="38100" w14:dir="2700000" w14:sx="100000" w14:sy="100000" w14:kx="0" w14:ky="0" w14:algn="tl">
            <w14:srgbClr w14:val="000000">
              <w14:alpha w14:val="60000"/>
            </w14:srgbClr>
          </w14:shadow>
        </w:rPr>
        <w:sectPr w:rsidR="004E2F51" w:rsidRPr="00B91D09" w:rsidSect="00623DBA">
          <w:footerReference w:type="default" r:id="rId144"/>
          <w:pgSz w:w="11907" w:h="16840" w:code="9"/>
          <w:pgMar w:top="1418" w:right="1134" w:bottom="1134" w:left="1418" w:header="851" w:footer="851" w:gutter="0"/>
          <w:cols w:space="720"/>
          <w:noEndnote/>
        </w:sectPr>
      </w:pPr>
    </w:p>
    <w:p w14:paraId="69D52102" w14:textId="77777777" w:rsidR="004E2F51" w:rsidRPr="00B91D09" w:rsidRDefault="004E2F51" w:rsidP="004E2F51">
      <w:pPr>
        <w:pStyle w:val="T1"/>
        <w:spacing w:before="0" w:after="0" w:line="240" w:lineRule="auto"/>
        <w:rPr>
          <w:rFonts w:cs="Arial"/>
          <w:color w:val="000000" w:themeColor="text1"/>
          <w:sz w:val="22"/>
          <w:szCs w:val="22"/>
          <w:lang w:val="hr-HR"/>
        </w:rPr>
      </w:pPr>
    </w:p>
    <w:p w14:paraId="30603028" w14:textId="77777777" w:rsidR="004E2F51" w:rsidRPr="00B91D09" w:rsidRDefault="004E2F51" w:rsidP="004E2F51">
      <w:pPr>
        <w:pStyle w:val="T1"/>
        <w:tabs>
          <w:tab w:val="left" w:pos="567"/>
        </w:tabs>
        <w:spacing w:before="0" w:after="0" w:line="240" w:lineRule="auto"/>
        <w:rPr>
          <w:rFonts w:cs="Arial"/>
          <w:color w:val="000000" w:themeColor="text1"/>
          <w:sz w:val="22"/>
          <w:szCs w:val="22"/>
          <w:lang w:val="hr-HR"/>
        </w:rPr>
      </w:pPr>
      <w:r>
        <w:rPr>
          <w:rFonts w:cs="Arial"/>
          <w:color w:val="000000" w:themeColor="text1"/>
          <w:sz w:val="22"/>
          <w:szCs w:val="22"/>
          <w:lang w:val="hr-HR"/>
        </w:rPr>
        <w:t>19</w:t>
      </w:r>
      <w:r w:rsidRPr="00B91D09">
        <w:rPr>
          <w:rFonts w:cs="Arial"/>
          <w:color w:val="000000" w:themeColor="text1"/>
          <w:sz w:val="22"/>
          <w:szCs w:val="22"/>
          <w:lang w:val="hr-HR"/>
        </w:rPr>
        <w:t xml:space="preserve">. </w:t>
      </w:r>
      <w:r w:rsidRPr="00B91D09">
        <w:rPr>
          <w:rFonts w:cs="Arial"/>
          <w:color w:val="000000" w:themeColor="text1"/>
          <w:sz w:val="22"/>
          <w:szCs w:val="22"/>
          <w:lang w:val="hr-HR"/>
        </w:rPr>
        <w:tab/>
        <w:t>Nekretnine, postrojenja i oprema i nematerijalna imovina (nastavak)</w:t>
      </w:r>
    </w:p>
    <w:p w14:paraId="75242D9E" w14:textId="77777777" w:rsidR="004E2F51" w:rsidRPr="00B91D09" w:rsidRDefault="004E2F51" w:rsidP="004E2F51">
      <w:pPr>
        <w:pStyle w:val="T1"/>
        <w:spacing w:before="0" w:after="0" w:line="240" w:lineRule="auto"/>
        <w:rPr>
          <w:rFonts w:cs="Arial"/>
          <w:color w:val="000000" w:themeColor="text1"/>
          <w:sz w:val="22"/>
          <w:szCs w:val="22"/>
          <w:lang w:val="hr-HR"/>
        </w:rPr>
      </w:pPr>
    </w:p>
    <w:tbl>
      <w:tblPr>
        <w:tblW w:w="5429" w:type="pct"/>
        <w:tblInd w:w="-284" w:type="dxa"/>
        <w:tblLayout w:type="fixed"/>
        <w:tblCellMar>
          <w:left w:w="119" w:type="dxa"/>
          <w:right w:w="119" w:type="dxa"/>
        </w:tblCellMar>
        <w:tblLook w:val="0000" w:firstRow="0" w:lastRow="0" w:firstColumn="0" w:lastColumn="0" w:noHBand="0" w:noVBand="0"/>
      </w:tblPr>
      <w:tblGrid>
        <w:gridCol w:w="2096"/>
        <w:gridCol w:w="1194"/>
        <w:gridCol w:w="1136"/>
        <w:gridCol w:w="1140"/>
        <w:gridCol w:w="1138"/>
        <w:gridCol w:w="1134"/>
        <w:gridCol w:w="1361"/>
        <w:gridCol w:w="959"/>
      </w:tblGrid>
      <w:tr w:rsidR="002D6F0B" w:rsidRPr="00B91D09" w14:paraId="73E4B3CB" w14:textId="77777777" w:rsidTr="002D6F0B">
        <w:trPr>
          <w:trHeight w:val="1209"/>
        </w:trPr>
        <w:tc>
          <w:tcPr>
            <w:tcW w:w="1032" w:type="pct"/>
            <w:shd w:val="clear" w:color="auto" w:fill="auto"/>
            <w:vAlign w:val="bottom"/>
          </w:tcPr>
          <w:p w14:paraId="07F7045B" w14:textId="77777777" w:rsidR="004E2F51" w:rsidRPr="0046584E" w:rsidRDefault="004E2F51" w:rsidP="00E032FC">
            <w:pPr>
              <w:tabs>
                <w:tab w:val="left" w:pos="-1559"/>
              </w:tabs>
              <w:rPr>
                <w:rFonts w:ascii="Arial" w:hAnsi="Arial" w:cs="Arial"/>
                <w:b/>
                <w:color w:val="000000" w:themeColor="text1"/>
                <w:spacing w:val="-2"/>
                <w:sz w:val="16"/>
                <w:szCs w:val="16"/>
                <w:lang w:val="hr-HR"/>
              </w:rPr>
            </w:pPr>
            <w:r w:rsidRPr="0046584E">
              <w:rPr>
                <w:rFonts w:ascii="Arial" w:hAnsi="Arial" w:cs="Arial"/>
                <w:b/>
                <w:color w:val="000000" w:themeColor="text1"/>
                <w:spacing w:val="-2"/>
                <w:sz w:val="16"/>
                <w:szCs w:val="16"/>
                <w:lang w:val="hr-HR"/>
              </w:rPr>
              <w:t>Banka</w:t>
            </w:r>
          </w:p>
          <w:p w14:paraId="2A6ED793" w14:textId="77777777" w:rsidR="004E2F51" w:rsidRPr="0046584E" w:rsidRDefault="004E2F51" w:rsidP="00E032FC">
            <w:pPr>
              <w:tabs>
                <w:tab w:val="left" w:pos="-1559"/>
              </w:tabs>
              <w:rPr>
                <w:rFonts w:ascii="Arial" w:hAnsi="Arial" w:cs="Arial"/>
                <w:b/>
                <w:color w:val="000000" w:themeColor="text1"/>
                <w:spacing w:val="-2"/>
                <w:sz w:val="16"/>
                <w:szCs w:val="16"/>
                <w:lang w:val="hr-HR"/>
              </w:rPr>
            </w:pPr>
          </w:p>
          <w:p w14:paraId="7950E4EF" w14:textId="77777777" w:rsidR="004E2F51" w:rsidRPr="0046584E" w:rsidRDefault="004E2F51" w:rsidP="00E032FC">
            <w:pPr>
              <w:tabs>
                <w:tab w:val="left" w:pos="-1559"/>
              </w:tabs>
              <w:rPr>
                <w:rFonts w:ascii="Arial" w:hAnsi="Arial" w:cs="Arial"/>
                <w:b/>
                <w:color w:val="000000" w:themeColor="text1"/>
                <w:spacing w:val="-2"/>
                <w:sz w:val="16"/>
                <w:szCs w:val="16"/>
                <w:lang w:val="hr-HR"/>
              </w:rPr>
            </w:pPr>
          </w:p>
          <w:p w14:paraId="2F6BB06B" w14:textId="77777777" w:rsidR="004E2F51" w:rsidRPr="0046584E" w:rsidRDefault="004E2F51" w:rsidP="00E032FC">
            <w:pPr>
              <w:tabs>
                <w:tab w:val="left" w:pos="-1559"/>
              </w:tabs>
              <w:rPr>
                <w:rFonts w:ascii="Arial" w:hAnsi="Arial" w:cs="Arial"/>
                <w:b/>
                <w:color w:val="000000" w:themeColor="text1"/>
                <w:spacing w:val="-2"/>
                <w:sz w:val="16"/>
                <w:szCs w:val="16"/>
                <w:lang w:val="hr-HR"/>
              </w:rPr>
            </w:pPr>
          </w:p>
          <w:p w14:paraId="515BBBA2" w14:textId="77777777" w:rsidR="004E2F51" w:rsidRPr="0046584E" w:rsidRDefault="004E2F51" w:rsidP="00E032FC">
            <w:pPr>
              <w:tabs>
                <w:tab w:val="left" w:pos="-1559"/>
              </w:tabs>
              <w:rPr>
                <w:rFonts w:ascii="Arial" w:hAnsi="Arial" w:cs="Arial"/>
                <w:color w:val="000000" w:themeColor="text1"/>
                <w:spacing w:val="-2"/>
                <w:sz w:val="16"/>
                <w:szCs w:val="16"/>
                <w:lang w:val="hr-HR"/>
              </w:rPr>
            </w:pPr>
            <w:r w:rsidRPr="0046584E">
              <w:rPr>
                <w:rFonts w:ascii="Arial" w:hAnsi="Arial" w:cs="Arial"/>
                <w:b/>
                <w:color w:val="000000" w:themeColor="text1"/>
                <w:spacing w:val="-2"/>
                <w:sz w:val="16"/>
                <w:szCs w:val="16"/>
                <w:lang w:val="hr-HR"/>
              </w:rPr>
              <w:t>31. prosinca 2021.</w:t>
            </w:r>
          </w:p>
          <w:p w14:paraId="473A099F" w14:textId="77777777" w:rsidR="004E2F51" w:rsidRPr="0046584E" w:rsidRDefault="004E2F51" w:rsidP="00E032FC">
            <w:pPr>
              <w:tabs>
                <w:tab w:val="left" w:pos="-1559"/>
              </w:tabs>
              <w:rPr>
                <w:rFonts w:ascii="Arial" w:hAnsi="Arial" w:cs="Arial"/>
                <w:color w:val="000000" w:themeColor="text1"/>
                <w:spacing w:val="-2"/>
                <w:sz w:val="16"/>
                <w:szCs w:val="16"/>
                <w:highlight w:val="yellow"/>
                <w:lang w:val="hr-HR"/>
              </w:rPr>
            </w:pPr>
          </w:p>
        </w:tc>
        <w:tc>
          <w:tcPr>
            <w:tcW w:w="588" w:type="pct"/>
            <w:shd w:val="clear" w:color="auto" w:fill="auto"/>
          </w:tcPr>
          <w:p w14:paraId="188FF573"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Građevinski objekti</w:t>
            </w:r>
          </w:p>
        </w:tc>
        <w:tc>
          <w:tcPr>
            <w:tcW w:w="559" w:type="pct"/>
            <w:shd w:val="clear" w:color="auto" w:fill="auto"/>
          </w:tcPr>
          <w:p w14:paraId="65C80AB3"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Kompjutori</w:t>
            </w:r>
          </w:p>
        </w:tc>
        <w:tc>
          <w:tcPr>
            <w:tcW w:w="561" w:type="pct"/>
            <w:shd w:val="clear" w:color="auto" w:fill="auto"/>
          </w:tcPr>
          <w:p w14:paraId="464F71A2"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Namještaj, oprema i vozila</w:t>
            </w:r>
          </w:p>
        </w:tc>
        <w:tc>
          <w:tcPr>
            <w:tcW w:w="560" w:type="pct"/>
            <w:shd w:val="clear" w:color="auto" w:fill="auto"/>
          </w:tcPr>
          <w:p w14:paraId="70C7304F"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Nekretnine i oprema i nematerijalna imovina u pripremi</w:t>
            </w:r>
          </w:p>
        </w:tc>
        <w:tc>
          <w:tcPr>
            <w:tcW w:w="558" w:type="pct"/>
            <w:shd w:val="clear" w:color="auto" w:fill="auto"/>
          </w:tcPr>
          <w:p w14:paraId="24954C73"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 xml:space="preserve">Ukupno nekretnine, postrojenja i oprema </w:t>
            </w:r>
          </w:p>
        </w:tc>
        <w:tc>
          <w:tcPr>
            <w:tcW w:w="670" w:type="pct"/>
            <w:shd w:val="clear" w:color="auto" w:fill="auto"/>
          </w:tcPr>
          <w:p w14:paraId="0EA29419" w14:textId="6137398E"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Nematerijalna</w:t>
            </w:r>
          </w:p>
          <w:p w14:paraId="0E183F07"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 xml:space="preserve"> imovina</w:t>
            </w:r>
          </w:p>
        </w:tc>
        <w:tc>
          <w:tcPr>
            <w:tcW w:w="473" w:type="pct"/>
            <w:shd w:val="clear" w:color="auto" w:fill="auto"/>
          </w:tcPr>
          <w:p w14:paraId="5336AF02"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Ukupno</w:t>
            </w:r>
          </w:p>
        </w:tc>
      </w:tr>
      <w:tr w:rsidR="002D6F0B" w:rsidRPr="00B91D09" w14:paraId="03E934CC" w14:textId="77777777" w:rsidTr="002D6F0B">
        <w:trPr>
          <w:trHeight w:val="218"/>
        </w:trPr>
        <w:tc>
          <w:tcPr>
            <w:tcW w:w="1032" w:type="pct"/>
            <w:shd w:val="clear" w:color="auto" w:fill="auto"/>
            <w:vAlign w:val="bottom"/>
          </w:tcPr>
          <w:p w14:paraId="27D26B4F" w14:textId="77777777" w:rsidR="004E2F51" w:rsidRPr="0046584E" w:rsidRDefault="004E2F51" w:rsidP="00E032FC">
            <w:pPr>
              <w:tabs>
                <w:tab w:val="left" w:pos="-1559"/>
              </w:tabs>
              <w:rPr>
                <w:rFonts w:ascii="Arial" w:hAnsi="Arial" w:cs="Arial"/>
                <w:b/>
                <w:color w:val="000000" w:themeColor="text1"/>
                <w:spacing w:val="-2"/>
                <w:sz w:val="16"/>
                <w:szCs w:val="16"/>
                <w:highlight w:val="yellow"/>
                <w:lang w:val="hr-HR"/>
              </w:rPr>
            </w:pPr>
          </w:p>
        </w:tc>
        <w:tc>
          <w:tcPr>
            <w:tcW w:w="588" w:type="pct"/>
            <w:shd w:val="clear" w:color="auto" w:fill="auto"/>
            <w:vAlign w:val="bottom"/>
          </w:tcPr>
          <w:p w14:paraId="4E6B7337"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000 kuna</w:t>
            </w:r>
          </w:p>
        </w:tc>
        <w:tc>
          <w:tcPr>
            <w:tcW w:w="559" w:type="pct"/>
            <w:shd w:val="clear" w:color="auto" w:fill="auto"/>
            <w:vAlign w:val="bottom"/>
          </w:tcPr>
          <w:p w14:paraId="0B2FE3B2"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000 kuna</w:t>
            </w:r>
          </w:p>
        </w:tc>
        <w:tc>
          <w:tcPr>
            <w:tcW w:w="561" w:type="pct"/>
            <w:shd w:val="clear" w:color="auto" w:fill="auto"/>
            <w:vAlign w:val="bottom"/>
          </w:tcPr>
          <w:p w14:paraId="473EC78E"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000 kuna</w:t>
            </w:r>
          </w:p>
        </w:tc>
        <w:tc>
          <w:tcPr>
            <w:tcW w:w="560" w:type="pct"/>
            <w:shd w:val="clear" w:color="auto" w:fill="auto"/>
            <w:vAlign w:val="bottom"/>
          </w:tcPr>
          <w:p w14:paraId="4E7A6CA6"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000 kuna</w:t>
            </w:r>
          </w:p>
        </w:tc>
        <w:tc>
          <w:tcPr>
            <w:tcW w:w="558" w:type="pct"/>
            <w:shd w:val="clear" w:color="auto" w:fill="auto"/>
            <w:vAlign w:val="bottom"/>
          </w:tcPr>
          <w:p w14:paraId="49A702E2"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000 kuna</w:t>
            </w:r>
          </w:p>
        </w:tc>
        <w:tc>
          <w:tcPr>
            <w:tcW w:w="670" w:type="pct"/>
            <w:shd w:val="clear" w:color="auto" w:fill="auto"/>
            <w:vAlign w:val="bottom"/>
          </w:tcPr>
          <w:p w14:paraId="27266521"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000 kuna</w:t>
            </w:r>
          </w:p>
        </w:tc>
        <w:tc>
          <w:tcPr>
            <w:tcW w:w="473" w:type="pct"/>
            <w:shd w:val="clear" w:color="auto" w:fill="auto"/>
            <w:vAlign w:val="bottom"/>
          </w:tcPr>
          <w:p w14:paraId="07027257" w14:textId="77777777" w:rsidR="004E2F51" w:rsidRPr="0046584E" w:rsidRDefault="004E2F51" w:rsidP="00E032FC">
            <w:pPr>
              <w:pStyle w:val="TH"/>
              <w:jc w:val="right"/>
              <w:rPr>
                <w:rFonts w:cs="Arial"/>
                <w:color w:val="000000" w:themeColor="text1"/>
                <w:sz w:val="16"/>
                <w:szCs w:val="16"/>
                <w:lang w:val="hr-HR"/>
              </w:rPr>
            </w:pPr>
            <w:r w:rsidRPr="0046584E">
              <w:rPr>
                <w:rFonts w:cs="Arial"/>
                <w:color w:val="000000" w:themeColor="text1"/>
                <w:sz w:val="16"/>
                <w:szCs w:val="16"/>
                <w:lang w:val="hr-HR"/>
              </w:rPr>
              <w:t>000 kuna</w:t>
            </w:r>
          </w:p>
        </w:tc>
      </w:tr>
      <w:tr w:rsidR="002D6F0B" w:rsidRPr="00B91D09" w14:paraId="1B574FD7" w14:textId="77777777" w:rsidTr="002D6F0B">
        <w:trPr>
          <w:trHeight w:val="276"/>
        </w:trPr>
        <w:tc>
          <w:tcPr>
            <w:tcW w:w="1032" w:type="pct"/>
            <w:shd w:val="clear" w:color="auto" w:fill="auto"/>
            <w:vAlign w:val="bottom"/>
          </w:tcPr>
          <w:p w14:paraId="249B2AA3" w14:textId="77777777" w:rsidR="004E2F51" w:rsidRPr="0046584E" w:rsidRDefault="004E2F51" w:rsidP="00E032FC">
            <w:pPr>
              <w:pStyle w:val="T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Nabavna vrijednost</w:t>
            </w:r>
          </w:p>
        </w:tc>
        <w:tc>
          <w:tcPr>
            <w:tcW w:w="588" w:type="pct"/>
            <w:shd w:val="clear" w:color="auto" w:fill="auto"/>
            <w:vAlign w:val="bottom"/>
          </w:tcPr>
          <w:p w14:paraId="6FBF6F5A" w14:textId="77777777" w:rsidR="004E2F51" w:rsidRPr="0046584E" w:rsidRDefault="004E2F51" w:rsidP="00E032FC">
            <w:pPr>
              <w:pStyle w:val="TT"/>
              <w:jc w:val="right"/>
              <w:rPr>
                <w:rFonts w:cs="Arial"/>
                <w:color w:val="000000" w:themeColor="text1"/>
                <w:spacing w:val="-3"/>
                <w:sz w:val="16"/>
                <w:szCs w:val="16"/>
                <w:highlight w:val="yellow"/>
                <w:lang w:val="hr-HR"/>
              </w:rPr>
            </w:pPr>
          </w:p>
        </w:tc>
        <w:tc>
          <w:tcPr>
            <w:tcW w:w="559" w:type="pct"/>
            <w:shd w:val="clear" w:color="auto" w:fill="auto"/>
            <w:vAlign w:val="bottom"/>
          </w:tcPr>
          <w:p w14:paraId="1E1FBC1E" w14:textId="77777777" w:rsidR="004E2F51" w:rsidRPr="0046584E" w:rsidRDefault="004E2F51" w:rsidP="00E032FC">
            <w:pPr>
              <w:pStyle w:val="TT"/>
              <w:jc w:val="right"/>
              <w:rPr>
                <w:rFonts w:cs="Arial"/>
                <w:color w:val="000000" w:themeColor="text1"/>
                <w:spacing w:val="-3"/>
                <w:sz w:val="16"/>
                <w:szCs w:val="16"/>
                <w:highlight w:val="yellow"/>
                <w:lang w:val="hr-HR"/>
              </w:rPr>
            </w:pPr>
          </w:p>
        </w:tc>
        <w:tc>
          <w:tcPr>
            <w:tcW w:w="561" w:type="pct"/>
            <w:shd w:val="clear" w:color="auto" w:fill="auto"/>
            <w:vAlign w:val="bottom"/>
          </w:tcPr>
          <w:p w14:paraId="42809E72" w14:textId="77777777" w:rsidR="004E2F51" w:rsidRPr="0046584E" w:rsidRDefault="004E2F51" w:rsidP="00E032FC">
            <w:pPr>
              <w:pStyle w:val="TT"/>
              <w:jc w:val="right"/>
              <w:rPr>
                <w:rFonts w:cs="Arial"/>
                <w:color w:val="000000" w:themeColor="text1"/>
                <w:spacing w:val="-3"/>
                <w:sz w:val="16"/>
                <w:szCs w:val="16"/>
                <w:highlight w:val="yellow"/>
                <w:lang w:val="hr-HR"/>
              </w:rPr>
            </w:pPr>
          </w:p>
        </w:tc>
        <w:tc>
          <w:tcPr>
            <w:tcW w:w="560" w:type="pct"/>
            <w:shd w:val="clear" w:color="auto" w:fill="auto"/>
            <w:vAlign w:val="bottom"/>
          </w:tcPr>
          <w:p w14:paraId="5B4B4332" w14:textId="77777777" w:rsidR="004E2F51" w:rsidRPr="0046584E" w:rsidRDefault="004E2F51" w:rsidP="00E032FC">
            <w:pPr>
              <w:pStyle w:val="TT"/>
              <w:jc w:val="right"/>
              <w:rPr>
                <w:rFonts w:cs="Arial"/>
                <w:color w:val="000000" w:themeColor="text1"/>
                <w:spacing w:val="-3"/>
                <w:sz w:val="16"/>
                <w:szCs w:val="16"/>
                <w:highlight w:val="yellow"/>
                <w:lang w:val="hr-HR"/>
              </w:rPr>
            </w:pPr>
          </w:p>
        </w:tc>
        <w:tc>
          <w:tcPr>
            <w:tcW w:w="558" w:type="pct"/>
            <w:shd w:val="clear" w:color="auto" w:fill="auto"/>
            <w:vAlign w:val="bottom"/>
          </w:tcPr>
          <w:p w14:paraId="715DAF73" w14:textId="77777777" w:rsidR="004E2F51" w:rsidRPr="0046584E" w:rsidRDefault="004E2F51" w:rsidP="00E032FC">
            <w:pPr>
              <w:pStyle w:val="TT"/>
              <w:jc w:val="right"/>
              <w:rPr>
                <w:rFonts w:cs="Arial"/>
                <w:color w:val="000000" w:themeColor="text1"/>
                <w:spacing w:val="-3"/>
                <w:sz w:val="16"/>
                <w:szCs w:val="16"/>
                <w:highlight w:val="yellow"/>
                <w:lang w:val="hr-HR"/>
              </w:rPr>
            </w:pPr>
          </w:p>
        </w:tc>
        <w:tc>
          <w:tcPr>
            <w:tcW w:w="670" w:type="pct"/>
            <w:shd w:val="clear" w:color="auto" w:fill="auto"/>
            <w:vAlign w:val="bottom"/>
          </w:tcPr>
          <w:p w14:paraId="3220CA43" w14:textId="77777777" w:rsidR="004E2F51" w:rsidRPr="0046584E" w:rsidRDefault="004E2F51" w:rsidP="00E032FC">
            <w:pPr>
              <w:pStyle w:val="TT"/>
              <w:jc w:val="right"/>
              <w:rPr>
                <w:rFonts w:cs="Arial"/>
                <w:color w:val="000000" w:themeColor="text1"/>
                <w:spacing w:val="-3"/>
                <w:sz w:val="16"/>
                <w:szCs w:val="16"/>
                <w:highlight w:val="yellow"/>
                <w:lang w:val="hr-HR"/>
              </w:rPr>
            </w:pPr>
          </w:p>
        </w:tc>
        <w:tc>
          <w:tcPr>
            <w:tcW w:w="473" w:type="pct"/>
            <w:shd w:val="clear" w:color="auto" w:fill="auto"/>
            <w:vAlign w:val="bottom"/>
          </w:tcPr>
          <w:p w14:paraId="2EFC2D01" w14:textId="77777777" w:rsidR="004E2F51" w:rsidRPr="0046584E" w:rsidRDefault="004E2F51" w:rsidP="00E032FC">
            <w:pPr>
              <w:pStyle w:val="TT"/>
              <w:jc w:val="right"/>
              <w:rPr>
                <w:rFonts w:cs="Arial"/>
                <w:color w:val="000000" w:themeColor="text1"/>
                <w:spacing w:val="-3"/>
                <w:sz w:val="16"/>
                <w:szCs w:val="16"/>
                <w:highlight w:val="yellow"/>
                <w:lang w:val="hr-HR"/>
              </w:rPr>
            </w:pPr>
          </w:p>
        </w:tc>
      </w:tr>
      <w:tr w:rsidR="002D6F0B" w:rsidRPr="00B91D09" w14:paraId="6FEAF85C" w14:textId="77777777" w:rsidTr="002D6F0B">
        <w:trPr>
          <w:trHeight w:val="448"/>
        </w:trPr>
        <w:tc>
          <w:tcPr>
            <w:tcW w:w="1032" w:type="pct"/>
            <w:shd w:val="clear" w:color="auto" w:fill="auto"/>
            <w:vAlign w:val="bottom"/>
          </w:tcPr>
          <w:p w14:paraId="7F9EA1BA"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Stanje </w:t>
            </w:r>
          </w:p>
          <w:p w14:paraId="03AF4660"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2020.</w:t>
            </w:r>
          </w:p>
        </w:tc>
        <w:tc>
          <w:tcPr>
            <w:tcW w:w="588" w:type="pct"/>
            <w:tcBorders>
              <w:top w:val="nil"/>
              <w:left w:val="nil"/>
              <w:bottom w:val="nil"/>
              <w:right w:val="nil"/>
            </w:tcBorders>
            <w:shd w:val="clear" w:color="auto" w:fill="auto"/>
            <w:vAlign w:val="bottom"/>
          </w:tcPr>
          <w:p w14:paraId="762B7044"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77.102 </w:t>
            </w:r>
          </w:p>
        </w:tc>
        <w:tc>
          <w:tcPr>
            <w:tcW w:w="559" w:type="pct"/>
            <w:tcBorders>
              <w:top w:val="nil"/>
              <w:left w:val="nil"/>
              <w:bottom w:val="nil"/>
              <w:right w:val="nil"/>
            </w:tcBorders>
            <w:shd w:val="clear" w:color="auto" w:fill="auto"/>
            <w:vAlign w:val="bottom"/>
          </w:tcPr>
          <w:p w14:paraId="7B7EE506"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9.480 </w:t>
            </w:r>
          </w:p>
        </w:tc>
        <w:tc>
          <w:tcPr>
            <w:tcW w:w="561" w:type="pct"/>
            <w:tcBorders>
              <w:top w:val="nil"/>
              <w:left w:val="nil"/>
              <w:bottom w:val="nil"/>
              <w:right w:val="nil"/>
            </w:tcBorders>
            <w:shd w:val="clear" w:color="auto" w:fill="auto"/>
            <w:vAlign w:val="bottom"/>
          </w:tcPr>
          <w:p w14:paraId="4E250EFD"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13.547 </w:t>
            </w:r>
          </w:p>
        </w:tc>
        <w:tc>
          <w:tcPr>
            <w:tcW w:w="560" w:type="pct"/>
            <w:tcBorders>
              <w:top w:val="nil"/>
              <w:left w:val="nil"/>
              <w:bottom w:val="nil"/>
              <w:right w:val="nil"/>
            </w:tcBorders>
            <w:shd w:val="clear" w:color="auto" w:fill="auto"/>
            <w:vAlign w:val="bottom"/>
          </w:tcPr>
          <w:p w14:paraId="7EBCEAD4"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49 </w:t>
            </w:r>
          </w:p>
        </w:tc>
        <w:tc>
          <w:tcPr>
            <w:tcW w:w="558" w:type="pct"/>
            <w:tcBorders>
              <w:top w:val="nil"/>
              <w:left w:val="nil"/>
              <w:bottom w:val="nil"/>
              <w:right w:val="nil"/>
            </w:tcBorders>
            <w:shd w:val="clear" w:color="auto" w:fill="auto"/>
            <w:vAlign w:val="bottom"/>
          </w:tcPr>
          <w:p w14:paraId="3089CEF0"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100.178 </w:t>
            </w:r>
          </w:p>
        </w:tc>
        <w:tc>
          <w:tcPr>
            <w:tcW w:w="670" w:type="pct"/>
            <w:tcBorders>
              <w:top w:val="nil"/>
              <w:left w:val="nil"/>
              <w:bottom w:val="nil"/>
              <w:right w:val="nil"/>
            </w:tcBorders>
            <w:shd w:val="clear" w:color="auto" w:fill="auto"/>
            <w:vAlign w:val="bottom"/>
          </w:tcPr>
          <w:p w14:paraId="31D493D9"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36.191 </w:t>
            </w:r>
          </w:p>
        </w:tc>
        <w:tc>
          <w:tcPr>
            <w:tcW w:w="473" w:type="pct"/>
            <w:tcBorders>
              <w:top w:val="nil"/>
              <w:left w:val="nil"/>
              <w:bottom w:val="nil"/>
              <w:right w:val="nil"/>
            </w:tcBorders>
            <w:shd w:val="clear" w:color="auto" w:fill="auto"/>
            <w:vAlign w:val="bottom"/>
          </w:tcPr>
          <w:p w14:paraId="4338AA53"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136.369 </w:t>
            </w:r>
          </w:p>
        </w:tc>
      </w:tr>
      <w:tr w:rsidR="002D6F0B" w:rsidRPr="00B91D09" w14:paraId="4078BB38" w14:textId="77777777" w:rsidTr="002D6F0B">
        <w:trPr>
          <w:trHeight w:val="218"/>
        </w:trPr>
        <w:tc>
          <w:tcPr>
            <w:tcW w:w="1032" w:type="pct"/>
            <w:shd w:val="clear" w:color="auto" w:fill="auto"/>
            <w:vAlign w:val="bottom"/>
          </w:tcPr>
          <w:p w14:paraId="2446C2D5" w14:textId="77777777" w:rsidR="004E2F51" w:rsidRPr="0046584E" w:rsidRDefault="004E2F51" w:rsidP="00E032FC">
            <w:pPr>
              <w:pStyle w:val="TT"/>
              <w:spacing w:line="240" w:lineRule="exact"/>
              <w:rPr>
                <w:rFonts w:cs="Arial"/>
                <w:color w:val="000000" w:themeColor="text1"/>
                <w:sz w:val="16"/>
                <w:szCs w:val="16"/>
                <w:lang w:val="hr-HR"/>
              </w:rPr>
            </w:pPr>
            <w:r w:rsidRPr="0046584E">
              <w:rPr>
                <w:rFonts w:cs="Arial"/>
                <w:color w:val="000000" w:themeColor="text1"/>
                <w:sz w:val="16"/>
                <w:szCs w:val="16"/>
                <w:lang w:val="hr-HR"/>
              </w:rPr>
              <w:t>Stjecanje</w:t>
            </w:r>
          </w:p>
        </w:tc>
        <w:tc>
          <w:tcPr>
            <w:tcW w:w="588" w:type="pct"/>
            <w:tcBorders>
              <w:top w:val="nil"/>
              <w:left w:val="nil"/>
              <w:bottom w:val="nil"/>
              <w:right w:val="nil"/>
            </w:tcBorders>
            <w:shd w:val="clear" w:color="auto" w:fill="auto"/>
            <w:vAlign w:val="bottom"/>
          </w:tcPr>
          <w:p w14:paraId="49AD1DF3"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  </w:t>
            </w:r>
          </w:p>
        </w:tc>
        <w:tc>
          <w:tcPr>
            <w:tcW w:w="559" w:type="pct"/>
            <w:tcBorders>
              <w:top w:val="nil"/>
              <w:left w:val="nil"/>
              <w:bottom w:val="nil"/>
              <w:right w:val="nil"/>
            </w:tcBorders>
            <w:shd w:val="clear" w:color="auto" w:fill="auto"/>
            <w:vAlign w:val="bottom"/>
          </w:tcPr>
          <w:p w14:paraId="1162D270"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  </w:t>
            </w:r>
          </w:p>
        </w:tc>
        <w:tc>
          <w:tcPr>
            <w:tcW w:w="561" w:type="pct"/>
            <w:tcBorders>
              <w:top w:val="nil"/>
              <w:left w:val="nil"/>
              <w:bottom w:val="nil"/>
              <w:right w:val="nil"/>
            </w:tcBorders>
            <w:shd w:val="clear" w:color="auto" w:fill="auto"/>
            <w:vAlign w:val="bottom"/>
          </w:tcPr>
          <w:p w14:paraId="172FE064"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  </w:t>
            </w:r>
          </w:p>
        </w:tc>
        <w:tc>
          <w:tcPr>
            <w:tcW w:w="560" w:type="pct"/>
            <w:tcBorders>
              <w:top w:val="nil"/>
              <w:left w:val="nil"/>
              <w:bottom w:val="nil"/>
              <w:right w:val="nil"/>
            </w:tcBorders>
            <w:shd w:val="clear" w:color="auto" w:fill="auto"/>
            <w:vAlign w:val="bottom"/>
          </w:tcPr>
          <w:p w14:paraId="22C01DAB"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5.912 </w:t>
            </w:r>
          </w:p>
        </w:tc>
        <w:tc>
          <w:tcPr>
            <w:tcW w:w="558" w:type="pct"/>
            <w:tcBorders>
              <w:top w:val="nil"/>
              <w:left w:val="nil"/>
              <w:bottom w:val="nil"/>
              <w:right w:val="nil"/>
            </w:tcBorders>
            <w:shd w:val="clear" w:color="auto" w:fill="auto"/>
            <w:vAlign w:val="bottom"/>
          </w:tcPr>
          <w:p w14:paraId="3F3EEB95"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5.912 </w:t>
            </w:r>
          </w:p>
        </w:tc>
        <w:tc>
          <w:tcPr>
            <w:tcW w:w="670" w:type="pct"/>
            <w:tcBorders>
              <w:top w:val="nil"/>
              <w:left w:val="nil"/>
              <w:bottom w:val="nil"/>
              <w:right w:val="nil"/>
            </w:tcBorders>
            <w:shd w:val="clear" w:color="auto" w:fill="auto"/>
            <w:vAlign w:val="bottom"/>
          </w:tcPr>
          <w:p w14:paraId="6BE09163"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 </w:t>
            </w:r>
          </w:p>
        </w:tc>
        <w:tc>
          <w:tcPr>
            <w:tcW w:w="473" w:type="pct"/>
            <w:tcBorders>
              <w:top w:val="nil"/>
              <w:left w:val="nil"/>
              <w:bottom w:val="nil"/>
              <w:right w:val="nil"/>
            </w:tcBorders>
            <w:shd w:val="clear" w:color="auto" w:fill="auto"/>
            <w:vAlign w:val="bottom"/>
          </w:tcPr>
          <w:p w14:paraId="21367023"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5.912 </w:t>
            </w:r>
          </w:p>
        </w:tc>
      </w:tr>
      <w:tr w:rsidR="002D6F0B" w:rsidRPr="00B91D09" w14:paraId="1307258C" w14:textId="77777777" w:rsidTr="002D6F0B">
        <w:trPr>
          <w:trHeight w:val="886"/>
        </w:trPr>
        <w:tc>
          <w:tcPr>
            <w:tcW w:w="1032" w:type="pct"/>
            <w:shd w:val="clear" w:color="auto" w:fill="auto"/>
            <w:vAlign w:val="bottom"/>
          </w:tcPr>
          <w:p w14:paraId="72B31846" w14:textId="77777777" w:rsidR="004E2F51" w:rsidRPr="0046584E" w:rsidRDefault="004E2F51" w:rsidP="00E032FC">
            <w:pPr>
              <w:pStyle w:val="TT"/>
              <w:spacing w:line="240" w:lineRule="exact"/>
              <w:rPr>
                <w:rFonts w:cs="Arial"/>
                <w:color w:val="000000" w:themeColor="text1"/>
                <w:sz w:val="16"/>
                <w:szCs w:val="16"/>
                <w:lang w:val="hr-HR"/>
              </w:rPr>
            </w:pPr>
            <w:r w:rsidRPr="0046584E">
              <w:rPr>
                <w:rFonts w:cs="Arial"/>
                <w:color w:val="000000" w:themeColor="text1"/>
                <w:sz w:val="16"/>
                <w:szCs w:val="16"/>
                <w:lang w:val="hr-HR"/>
              </w:rPr>
              <w:t>Prijenos s nekretnina, postrojenja i opreme i nematerijalne imovine u pripremi</w:t>
            </w:r>
          </w:p>
        </w:tc>
        <w:tc>
          <w:tcPr>
            <w:tcW w:w="588" w:type="pct"/>
            <w:tcBorders>
              <w:top w:val="nil"/>
              <w:left w:val="nil"/>
              <w:right w:val="nil"/>
            </w:tcBorders>
            <w:shd w:val="clear" w:color="auto" w:fill="auto"/>
            <w:vAlign w:val="bottom"/>
          </w:tcPr>
          <w:p w14:paraId="5BB739D4"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lang w:val="it-IT"/>
              </w:rPr>
              <w:t xml:space="preserve"> </w:t>
            </w:r>
            <w:r w:rsidRPr="0046584E">
              <w:rPr>
                <w:rFonts w:ascii="Arial" w:hAnsi="Arial" w:cs="Arial"/>
                <w:sz w:val="16"/>
                <w:szCs w:val="16"/>
              </w:rPr>
              <w:t xml:space="preserve">-  </w:t>
            </w:r>
          </w:p>
        </w:tc>
        <w:tc>
          <w:tcPr>
            <w:tcW w:w="559" w:type="pct"/>
            <w:tcBorders>
              <w:top w:val="nil"/>
              <w:left w:val="nil"/>
              <w:right w:val="nil"/>
            </w:tcBorders>
            <w:shd w:val="clear" w:color="auto" w:fill="auto"/>
            <w:vAlign w:val="bottom"/>
          </w:tcPr>
          <w:p w14:paraId="1F32525C"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3.919 </w:t>
            </w:r>
          </w:p>
        </w:tc>
        <w:tc>
          <w:tcPr>
            <w:tcW w:w="561" w:type="pct"/>
            <w:tcBorders>
              <w:top w:val="nil"/>
              <w:left w:val="nil"/>
              <w:right w:val="nil"/>
            </w:tcBorders>
            <w:shd w:val="clear" w:color="auto" w:fill="auto"/>
            <w:vAlign w:val="bottom"/>
          </w:tcPr>
          <w:p w14:paraId="688E4CD1"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40 </w:t>
            </w:r>
          </w:p>
        </w:tc>
        <w:tc>
          <w:tcPr>
            <w:tcW w:w="560" w:type="pct"/>
            <w:tcBorders>
              <w:top w:val="nil"/>
              <w:left w:val="nil"/>
              <w:right w:val="nil"/>
            </w:tcBorders>
            <w:shd w:val="clear" w:color="auto" w:fill="auto"/>
            <w:vAlign w:val="bottom"/>
          </w:tcPr>
          <w:p w14:paraId="3625CD03"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(5.906)</w:t>
            </w:r>
          </w:p>
        </w:tc>
        <w:tc>
          <w:tcPr>
            <w:tcW w:w="558" w:type="pct"/>
            <w:tcBorders>
              <w:top w:val="nil"/>
              <w:left w:val="nil"/>
              <w:right w:val="nil"/>
            </w:tcBorders>
            <w:shd w:val="clear" w:color="auto" w:fill="auto"/>
            <w:vAlign w:val="bottom"/>
          </w:tcPr>
          <w:p w14:paraId="6336B2D2"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(1.947)</w:t>
            </w:r>
          </w:p>
        </w:tc>
        <w:tc>
          <w:tcPr>
            <w:tcW w:w="670" w:type="pct"/>
            <w:tcBorders>
              <w:top w:val="nil"/>
              <w:left w:val="nil"/>
              <w:right w:val="nil"/>
            </w:tcBorders>
            <w:shd w:val="clear" w:color="auto" w:fill="auto"/>
            <w:vAlign w:val="bottom"/>
          </w:tcPr>
          <w:p w14:paraId="44770E1C"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1.947 </w:t>
            </w:r>
          </w:p>
        </w:tc>
        <w:tc>
          <w:tcPr>
            <w:tcW w:w="473" w:type="pct"/>
            <w:tcBorders>
              <w:top w:val="nil"/>
              <w:left w:val="nil"/>
              <w:right w:val="nil"/>
            </w:tcBorders>
            <w:shd w:val="clear" w:color="auto" w:fill="auto"/>
            <w:vAlign w:val="bottom"/>
          </w:tcPr>
          <w:p w14:paraId="266530A0"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 </w:t>
            </w:r>
          </w:p>
        </w:tc>
      </w:tr>
      <w:tr w:rsidR="002D6F0B" w:rsidRPr="00B91D09" w14:paraId="4E4BE344" w14:textId="77777777" w:rsidTr="002D6F0B">
        <w:trPr>
          <w:trHeight w:val="218"/>
        </w:trPr>
        <w:tc>
          <w:tcPr>
            <w:tcW w:w="1032" w:type="pct"/>
            <w:shd w:val="clear" w:color="auto" w:fill="auto"/>
            <w:vAlign w:val="bottom"/>
          </w:tcPr>
          <w:p w14:paraId="143820E9" w14:textId="77777777" w:rsidR="004E2F51" w:rsidRPr="0046584E" w:rsidRDefault="004E2F51" w:rsidP="00E032FC">
            <w:pPr>
              <w:pStyle w:val="TT"/>
              <w:spacing w:line="240" w:lineRule="exact"/>
              <w:rPr>
                <w:rFonts w:cs="Arial"/>
                <w:color w:val="000000" w:themeColor="text1"/>
                <w:sz w:val="16"/>
                <w:szCs w:val="16"/>
                <w:lang w:val="hr-HR"/>
              </w:rPr>
            </w:pPr>
            <w:r w:rsidRPr="0046584E">
              <w:rPr>
                <w:rFonts w:cs="Arial"/>
                <w:color w:val="000000" w:themeColor="text1"/>
                <w:sz w:val="16"/>
                <w:szCs w:val="16"/>
                <w:lang w:val="hr-HR"/>
              </w:rPr>
              <w:t>Rashod i otpis</w:t>
            </w:r>
          </w:p>
        </w:tc>
        <w:tc>
          <w:tcPr>
            <w:tcW w:w="588" w:type="pct"/>
            <w:tcBorders>
              <w:left w:val="nil"/>
              <w:bottom w:val="single" w:sz="4" w:space="0" w:color="auto"/>
              <w:right w:val="nil"/>
            </w:tcBorders>
            <w:shd w:val="clear" w:color="auto" w:fill="auto"/>
            <w:vAlign w:val="bottom"/>
          </w:tcPr>
          <w:p w14:paraId="48535533"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  </w:t>
            </w:r>
          </w:p>
        </w:tc>
        <w:tc>
          <w:tcPr>
            <w:tcW w:w="559" w:type="pct"/>
            <w:tcBorders>
              <w:left w:val="nil"/>
              <w:bottom w:val="single" w:sz="4" w:space="0" w:color="auto"/>
              <w:right w:val="nil"/>
            </w:tcBorders>
            <w:shd w:val="clear" w:color="auto" w:fill="auto"/>
            <w:vAlign w:val="bottom"/>
          </w:tcPr>
          <w:p w14:paraId="3FF8551A"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(198)</w:t>
            </w:r>
          </w:p>
        </w:tc>
        <w:tc>
          <w:tcPr>
            <w:tcW w:w="561" w:type="pct"/>
            <w:tcBorders>
              <w:left w:val="nil"/>
              <w:bottom w:val="single" w:sz="4" w:space="0" w:color="auto"/>
              <w:right w:val="nil"/>
            </w:tcBorders>
            <w:shd w:val="clear" w:color="auto" w:fill="auto"/>
            <w:vAlign w:val="bottom"/>
          </w:tcPr>
          <w:p w14:paraId="34E59C8A"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(1.267)</w:t>
            </w:r>
          </w:p>
        </w:tc>
        <w:tc>
          <w:tcPr>
            <w:tcW w:w="560" w:type="pct"/>
            <w:tcBorders>
              <w:left w:val="nil"/>
              <w:bottom w:val="single" w:sz="4" w:space="0" w:color="auto"/>
              <w:right w:val="nil"/>
            </w:tcBorders>
            <w:shd w:val="clear" w:color="auto" w:fill="auto"/>
            <w:vAlign w:val="bottom"/>
          </w:tcPr>
          <w:p w14:paraId="67B328A8"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color w:val="000000" w:themeColor="text1"/>
                <w:sz w:val="16"/>
                <w:szCs w:val="16"/>
                <w:lang w:val="hr-HR"/>
              </w:rPr>
              <w:t>-</w:t>
            </w:r>
          </w:p>
        </w:tc>
        <w:tc>
          <w:tcPr>
            <w:tcW w:w="558" w:type="pct"/>
            <w:tcBorders>
              <w:left w:val="nil"/>
              <w:bottom w:val="single" w:sz="4" w:space="0" w:color="auto"/>
              <w:right w:val="nil"/>
            </w:tcBorders>
            <w:shd w:val="clear" w:color="auto" w:fill="auto"/>
            <w:vAlign w:val="bottom"/>
          </w:tcPr>
          <w:p w14:paraId="5F2B9CA8"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(1.465)</w:t>
            </w:r>
          </w:p>
        </w:tc>
        <w:tc>
          <w:tcPr>
            <w:tcW w:w="670" w:type="pct"/>
            <w:tcBorders>
              <w:left w:val="nil"/>
              <w:bottom w:val="single" w:sz="4" w:space="0" w:color="auto"/>
              <w:right w:val="nil"/>
            </w:tcBorders>
            <w:shd w:val="clear" w:color="auto" w:fill="auto"/>
            <w:vAlign w:val="bottom"/>
          </w:tcPr>
          <w:p w14:paraId="2725BAE4"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(3.337)</w:t>
            </w:r>
          </w:p>
        </w:tc>
        <w:tc>
          <w:tcPr>
            <w:tcW w:w="473" w:type="pct"/>
            <w:tcBorders>
              <w:left w:val="nil"/>
              <w:bottom w:val="single" w:sz="4" w:space="0" w:color="auto"/>
              <w:right w:val="nil"/>
            </w:tcBorders>
            <w:shd w:val="clear" w:color="auto" w:fill="auto"/>
            <w:vAlign w:val="bottom"/>
          </w:tcPr>
          <w:p w14:paraId="6D7F78D8"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(4.802)</w:t>
            </w:r>
          </w:p>
        </w:tc>
      </w:tr>
      <w:tr w:rsidR="002D6F0B" w:rsidRPr="00B91D09" w14:paraId="561DAECB" w14:textId="77777777" w:rsidTr="002D6F0B">
        <w:trPr>
          <w:trHeight w:val="437"/>
        </w:trPr>
        <w:tc>
          <w:tcPr>
            <w:tcW w:w="1032" w:type="pct"/>
            <w:shd w:val="clear" w:color="auto" w:fill="auto"/>
            <w:vAlign w:val="bottom"/>
          </w:tcPr>
          <w:p w14:paraId="505A77A7"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Stanje </w:t>
            </w:r>
          </w:p>
          <w:p w14:paraId="39AD143D"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2021.</w:t>
            </w:r>
          </w:p>
        </w:tc>
        <w:tc>
          <w:tcPr>
            <w:tcW w:w="588" w:type="pct"/>
            <w:tcBorders>
              <w:top w:val="single" w:sz="4" w:space="0" w:color="auto"/>
              <w:left w:val="nil"/>
              <w:bottom w:val="single" w:sz="12" w:space="0" w:color="auto"/>
              <w:right w:val="nil"/>
            </w:tcBorders>
            <w:shd w:val="clear" w:color="auto" w:fill="auto"/>
            <w:vAlign w:val="bottom"/>
          </w:tcPr>
          <w:p w14:paraId="3FEE4871"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77.102 </w:t>
            </w:r>
          </w:p>
        </w:tc>
        <w:tc>
          <w:tcPr>
            <w:tcW w:w="559" w:type="pct"/>
            <w:tcBorders>
              <w:top w:val="single" w:sz="4" w:space="0" w:color="auto"/>
              <w:left w:val="nil"/>
              <w:bottom w:val="single" w:sz="12" w:space="0" w:color="auto"/>
              <w:right w:val="nil"/>
            </w:tcBorders>
            <w:shd w:val="clear" w:color="auto" w:fill="auto"/>
            <w:vAlign w:val="bottom"/>
          </w:tcPr>
          <w:p w14:paraId="335E008D"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13.201 </w:t>
            </w:r>
          </w:p>
        </w:tc>
        <w:tc>
          <w:tcPr>
            <w:tcW w:w="561" w:type="pct"/>
            <w:tcBorders>
              <w:top w:val="single" w:sz="4" w:space="0" w:color="auto"/>
              <w:left w:val="nil"/>
              <w:bottom w:val="single" w:sz="12" w:space="0" w:color="auto"/>
              <w:right w:val="nil"/>
            </w:tcBorders>
            <w:shd w:val="clear" w:color="auto" w:fill="auto"/>
            <w:vAlign w:val="bottom"/>
          </w:tcPr>
          <w:p w14:paraId="3847F179"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12.320 </w:t>
            </w:r>
          </w:p>
        </w:tc>
        <w:tc>
          <w:tcPr>
            <w:tcW w:w="560" w:type="pct"/>
            <w:tcBorders>
              <w:top w:val="single" w:sz="4" w:space="0" w:color="auto"/>
              <w:left w:val="nil"/>
              <w:bottom w:val="single" w:sz="12" w:space="0" w:color="auto"/>
              <w:right w:val="nil"/>
            </w:tcBorders>
            <w:shd w:val="clear" w:color="auto" w:fill="auto"/>
            <w:vAlign w:val="bottom"/>
          </w:tcPr>
          <w:p w14:paraId="3B07770A"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55 </w:t>
            </w:r>
          </w:p>
        </w:tc>
        <w:tc>
          <w:tcPr>
            <w:tcW w:w="558" w:type="pct"/>
            <w:tcBorders>
              <w:top w:val="single" w:sz="4" w:space="0" w:color="auto"/>
              <w:left w:val="nil"/>
              <w:bottom w:val="single" w:sz="12" w:space="0" w:color="auto"/>
              <w:right w:val="nil"/>
            </w:tcBorders>
            <w:shd w:val="clear" w:color="auto" w:fill="auto"/>
            <w:vAlign w:val="bottom"/>
          </w:tcPr>
          <w:p w14:paraId="286E8A6F"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102.678 </w:t>
            </w:r>
          </w:p>
        </w:tc>
        <w:tc>
          <w:tcPr>
            <w:tcW w:w="670" w:type="pct"/>
            <w:tcBorders>
              <w:top w:val="single" w:sz="4" w:space="0" w:color="auto"/>
              <w:left w:val="nil"/>
              <w:bottom w:val="single" w:sz="12" w:space="0" w:color="auto"/>
              <w:right w:val="nil"/>
            </w:tcBorders>
            <w:shd w:val="clear" w:color="auto" w:fill="auto"/>
            <w:vAlign w:val="bottom"/>
          </w:tcPr>
          <w:p w14:paraId="33C188F6"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34.801 </w:t>
            </w:r>
          </w:p>
        </w:tc>
        <w:tc>
          <w:tcPr>
            <w:tcW w:w="473" w:type="pct"/>
            <w:tcBorders>
              <w:top w:val="single" w:sz="4" w:space="0" w:color="auto"/>
              <w:left w:val="nil"/>
              <w:bottom w:val="single" w:sz="12" w:space="0" w:color="auto"/>
              <w:right w:val="nil"/>
            </w:tcBorders>
            <w:shd w:val="clear" w:color="auto" w:fill="auto"/>
            <w:vAlign w:val="bottom"/>
          </w:tcPr>
          <w:p w14:paraId="22B00788"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137.479 </w:t>
            </w:r>
          </w:p>
        </w:tc>
      </w:tr>
      <w:tr w:rsidR="002D6F0B" w:rsidRPr="00B91D09" w14:paraId="4B986881" w14:textId="77777777" w:rsidTr="002D6F0B">
        <w:trPr>
          <w:trHeight w:val="276"/>
        </w:trPr>
        <w:tc>
          <w:tcPr>
            <w:tcW w:w="1032" w:type="pct"/>
            <w:shd w:val="clear" w:color="auto" w:fill="auto"/>
            <w:vAlign w:val="bottom"/>
          </w:tcPr>
          <w:p w14:paraId="4BC7790A" w14:textId="77777777" w:rsidR="004E2F51" w:rsidRPr="0046584E" w:rsidRDefault="004E2F51" w:rsidP="00E032FC">
            <w:pPr>
              <w:pStyle w:val="T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Amortizacija i ispravak vrijednosti</w:t>
            </w:r>
          </w:p>
        </w:tc>
        <w:tc>
          <w:tcPr>
            <w:tcW w:w="588" w:type="pct"/>
            <w:tcBorders>
              <w:top w:val="single" w:sz="12" w:space="0" w:color="auto"/>
            </w:tcBorders>
            <w:shd w:val="clear" w:color="auto" w:fill="auto"/>
            <w:vAlign w:val="bottom"/>
          </w:tcPr>
          <w:p w14:paraId="3E7B3F90" w14:textId="77777777" w:rsidR="004E2F51" w:rsidRPr="0046584E" w:rsidRDefault="004E2F51" w:rsidP="00E032FC">
            <w:pPr>
              <w:pStyle w:val="TT"/>
              <w:tabs>
                <w:tab w:val="clear" w:pos="1202"/>
              </w:tabs>
              <w:jc w:val="right"/>
              <w:rPr>
                <w:rFonts w:cs="Arial"/>
                <w:color w:val="000000" w:themeColor="text1"/>
                <w:sz w:val="16"/>
                <w:szCs w:val="16"/>
                <w:highlight w:val="yellow"/>
                <w:lang w:val="hr-HR"/>
              </w:rPr>
            </w:pPr>
          </w:p>
        </w:tc>
        <w:tc>
          <w:tcPr>
            <w:tcW w:w="559" w:type="pct"/>
            <w:tcBorders>
              <w:top w:val="single" w:sz="12" w:space="0" w:color="auto"/>
            </w:tcBorders>
            <w:shd w:val="clear" w:color="auto" w:fill="auto"/>
            <w:vAlign w:val="bottom"/>
          </w:tcPr>
          <w:p w14:paraId="1942435E" w14:textId="77777777" w:rsidR="004E2F51" w:rsidRPr="0046584E" w:rsidRDefault="004E2F51" w:rsidP="00E032FC">
            <w:pPr>
              <w:pStyle w:val="TT"/>
              <w:tabs>
                <w:tab w:val="clear" w:pos="1202"/>
              </w:tabs>
              <w:jc w:val="right"/>
              <w:rPr>
                <w:rFonts w:cs="Arial"/>
                <w:color w:val="000000" w:themeColor="text1"/>
                <w:sz w:val="16"/>
                <w:szCs w:val="16"/>
                <w:highlight w:val="yellow"/>
                <w:lang w:val="hr-HR"/>
              </w:rPr>
            </w:pPr>
          </w:p>
        </w:tc>
        <w:tc>
          <w:tcPr>
            <w:tcW w:w="561" w:type="pct"/>
            <w:tcBorders>
              <w:top w:val="single" w:sz="12" w:space="0" w:color="auto"/>
            </w:tcBorders>
            <w:shd w:val="clear" w:color="auto" w:fill="auto"/>
            <w:vAlign w:val="bottom"/>
          </w:tcPr>
          <w:p w14:paraId="1E1F2EA3" w14:textId="77777777" w:rsidR="004E2F51" w:rsidRPr="0046584E" w:rsidRDefault="004E2F51" w:rsidP="00E032FC">
            <w:pPr>
              <w:pStyle w:val="TT"/>
              <w:tabs>
                <w:tab w:val="clear" w:pos="1202"/>
              </w:tabs>
              <w:jc w:val="right"/>
              <w:rPr>
                <w:rFonts w:cs="Arial"/>
                <w:color w:val="000000" w:themeColor="text1"/>
                <w:sz w:val="16"/>
                <w:szCs w:val="16"/>
                <w:highlight w:val="yellow"/>
                <w:lang w:val="hr-HR"/>
              </w:rPr>
            </w:pPr>
          </w:p>
        </w:tc>
        <w:tc>
          <w:tcPr>
            <w:tcW w:w="560" w:type="pct"/>
            <w:tcBorders>
              <w:top w:val="single" w:sz="12" w:space="0" w:color="auto"/>
            </w:tcBorders>
            <w:shd w:val="clear" w:color="auto" w:fill="auto"/>
            <w:vAlign w:val="bottom"/>
          </w:tcPr>
          <w:p w14:paraId="2D4CF39D" w14:textId="77777777" w:rsidR="004E2F51" w:rsidRPr="0046584E" w:rsidRDefault="004E2F51" w:rsidP="00E032FC">
            <w:pPr>
              <w:pStyle w:val="TT"/>
              <w:tabs>
                <w:tab w:val="clear" w:pos="1202"/>
              </w:tabs>
              <w:jc w:val="right"/>
              <w:rPr>
                <w:rFonts w:cs="Arial"/>
                <w:color w:val="000000" w:themeColor="text1"/>
                <w:sz w:val="16"/>
                <w:szCs w:val="16"/>
                <w:highlight w:val="yellow"/>
                <w:lang w:val="hr-HR"/>
              </w:rPr>
            </w:pPr>
          </w:p>
        </w:tc>
        <w:tc>
          <w:tcPr>
            <w:tcW w:w="558" w:type="pct"/>
            <w:tcBorders>
              <w:top w:val="single" w:sz="12" w:space="0" w:color="auto"/>
            </w:tcBorders>
            <w:shd w:val="clear" w:color="auto" w:fill="auto"/>
            <w:vAlign w:val="bottom"/>
          </w:tcPr>
          <w:p w14:paraId="7C2AA40D" w14:textId="77777777" w:rsidR="004E2F51" w:rsidRPr="0046584E" w:rsidRDefault="004E2F51" w:rsidP="00E032FC">
            <w:pPr>
              <w:pStyle w:val="TT"/>
              <w:tabs>
                <w:tab w:val="clear" w:pos="1202"/>
              </w:tabs>
              <w:jc w:val="right"/>
              <w:rPr>
                <w:rFonts w:cs="Arial"/>
                <w:color w:val="000000" w:themeColor="text1"/>
                <w:sz w:val="16"/>
                <w:szCs w:val="16"/>
                <w:highlight w:val="yellow"/>
                <w:lang w:val="hr-HR"/>
              </w:rPr>
            </w:pPr>
          </w:p>
        </w:tc>
        <w:tc>
          <w:tcPr>
            <w:tcW w:w="670" w:type="pct"/>
            <w:tcBorders>
              <w:top w:val="single" w:sz="12" w:space="0" w:color="auto"/>
            </w:tcBorders>
            <w:shd w:val="clear" w:color="auto" w:fill="auto"/>
            <w:vAlign w:val="bottom"/>
          </w:tcPr>
          <w:p w14:paraId="0AE474A5" w14:textId="77777777" w:rsidR="004E2F51" w:rsidRPr="0046584E" w:rsidRDefault="004E2F51" w:rsidP="00E032FC">
            <w:pPr>
              <w:pStyle w:val="TT"/>
              <w:tabs>
                <w:tab w:val="clear" w:pos="1202"/>
              </w:tabs>
              <w:jc w:val="right"/>
              <w:rPr>
                <w:rFonts w:cs="Arial"/>
                <w:color w:val="000000" w:themeColor="text1"/>
                <w:sz w:val="16"/>
                <w:szCs w:val="16"/>
                <w:highlight w:val="yellow"/>
                <w:lang w:val="hr-HR"/>
              </w:rPr>
            </w:pPr>
          </w:p>
        </w:tc>
        <w:tc>
          <w:tcPr>
            <w:tcW w:w="473" w:type="pct"/>
            <w:tcBorders>
              <w:top w:val="single" w:sz="12" w:space="0" w:color="auto"/>
            </w:tcBorders>
            <w:shd w:val="clear" w:color="auto" w:fill="auto"/>
            <w:vAlign w:val="bottom"/>
          </w:tcPr>
          <w:p w14:paraId="795BA366" w14:textId="77777777" w:rsidR="004E2F51" w:rsidRPr="0046584E" w:rsidRDefault="004E2F51" w:rsidP="00E032FC">
            <w:pPr>
              <w:pStyle w:val="TT"/>
              <w:tabs>
                <w:tab w:val="clear" w:pos="1202"/>
              </w:tabs>
              <w:jc w:val="right"/>
              <w:rPr>
                <w:rFonts w:cs="Arial"/>
                <w:color w:val="000000" w:themeColor="text1"/>
                <w:sz w:val="16"/>
                <w:szCs w:val="16"/>
                <w:highlight w:val="yellow"/>
                <w:lang w:val="hr-HR"/>
              </w:rPr>
            </w:pPr>
          </w:p>
        </w:tc>
      </w:tr>
      <w:tr w:rsidR="002D6F0B" w:rsidRPr="00B91D09" w14:paraId="3240EDE9" w14:textId="77777777" w:rsidTr="002D6F0B">
        <w:trPr>
          <w:trHeight w:val="448"/>
        </w:trPr>
        <w:tc>
          <w:tcPr>
            <w:tcW w:w="1032" w:type="pct"/>
            <w:shd w:val="clear" w:color="auto" w:fill="auto"/>
            <w:vAlign w:val="bottom"/>
          </w:tcPr>
          <w:p w14:paraId="30EDFECC"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Stanje </w:t>
            </w:r>
          </w:p>
          <w:p w14:paraId="35549B19"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2020.</w:t>
            </w:r>
          </w:p>
        </w:tc>
        <w:tc>
          <w:tcPr>
            <w:tcW w:w="588" w:type="pct"/>
            <w:tcBorders>
              <w:top w:val="nil"/>
              <w:left w:val="nil"/>
              <w:bottom w:val="nil"/>
              <w:right w:val="nil"/>
            </w:tcBorders>
            <w:shd w:val="clear" w:color="auto" w:fill="auto"/>
            <w:vAlign w:val="bottom"/>
          </w:tcPr>
          <w:p w14:paraId="09CED066"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40.528 </w:t>
            </w:r>
          </w:p>
        </w:tc>
        <w:tc>
          <w:tcPr>
            <w:tcW w:w="559" w:type="pct"/>
            <w:tcBorders>
              <w:top w:val="nil"/>
              <w:left w:val="nil"/>
              <w:bottom w:val="nil"/>
              <w:right w:val="nil"/>
            </w:tcBorders>
            <w:shd w:val="clear" w:color="auto" w:fill="auto"/>
            <w:vAlign w:val="bottom"/>
          </w:tcPr>
          <w:p w14:paraId="5E1D8303"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9.051 </w:t>
            </w:r>
          </w:p>
        </w:tc>
        <w:tc>
          <w:tcPr>
            <w:tcW w:w="561" w:type="pct"/>
            <w:tcBorders>
              <w:top w:val="nil"/>
              <w:left w:val="nil"/>
              <w:bottom w:val="nil"/>
              <w:right w:val="nil"/>
            </w:tcBorders>
            <w:shd w:val="clear" w:color="auto" w:fill="auto"/>
            <w:vAlign w:val="bottom"/>
          </w:tcPr>
          <w:p w14:paraId="2D37FF81"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11.251 </w:t>
            </w:r>
          </w:p>
        </w:tc>
        <w:tc>
          <w:tcPr>
            <w:tcW w:w="560" w:type="pct"/>
            <w:tcBorders>
              <w:top w:val="nil"/>
              <w:left w:val="nil"/>
              <w:bottom w:val="nil"/>
              <w:right w:val="nil"/>
            </w:tcBorders>
            <w:shd w:val="clear" w:color="auto" w:fill="auto"/>
            <w:vAlign w:val="bottom"/>
          </w:tcPr>
          <w:p w14:paraId="5851C38A"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 </w:t>
            </w:r>
          </w:p>
        </w:tc>
        <w:tc>
          <w:tcPr>
            <w:tcW w:w="558" w:type="pct"/>
            <w:tcBorders>
              <w:top w:val="nil"/>
              <w:left w:val="nil"/>
              <w:bottom w:val="nil"/>
              <w:right w:val="nil"/>
            </w:tcBorders>
            <w:shd w:val="clear" w:color="auto" w:fill="auto"/>
            <w:vAlign w:val="bottom"/>
          </w:tcPr>
          <w:p w14:paraId="53C77081"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60.830 </w:t>
            </w:r>
          </w:p>
        </w:tc>
        <w:tc>
          <w:tcPr>
            <w:tcW w:w="670" w:type="pct"/>
            <w:tcBorders>
              <w:top w:val="nil"/>
              <w:left w:val="nil"/>
              <w:bottom w:val="nil"/>
              <w:right w:val="nil"/>
            </w:tcBorders>
            <w:shd w:val="clear" w:color="auto" w:fill="auto"/>
            <w:vAlign w:val="bottom"/>
          </w:tcPr>
          <w:p w14:paraId="2533E9DE"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29.947 </w:t>
            </w:r>
          </w:p>
        </w:tc>
        <w:tc>
          <w:tcPr>
            <w:tcW w:w="473" w:type="pct"/>
            <w:tcBorders>
              <w:top w:val="nil"/>
              <w:left w:val="nil"/>
              <w:bottom w:val="nil"/>
              <w:right w:val="nil"/>
            </w:tcBorders>
            <w:shd w:val="clear" w:color="auto" w:fill="auto"/>
            <w:vAlign w:val="bottom"/>
          </w:tcPr>
          <w:p w14:paraId="539FBDCB"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90.777 </w:t>
            </w:r>
          </w:p>
        </w:tc>
      </w:tr>
      <w:tr w:rsidR="002D6F0B" w:rsidRPr="00B91D09" w14:paraId="19B69383" w14:textId="77777777" w:rsidTr="002D6F0B">
        <w:trPr>
          <w:trHeight w:val="277"/>
        </w:trPr>
        <w:tc>
          <w:tcPr>
            <w:tcW w:w="1032" w:type="pct"/>
            <w:shd w:val="clear" w:color="auto" w:fill="auto"/>
            <w:vAlign w:val="bottom"/>
          </w:tcPr>
          <w:p w14:paraId="7FF3E353" w14:textId="77777777" w:rsidR="004E2F51" w:rsidRPr="0046584E" w:rsidRDefault="004E2F51" w:rsidP="00E032FC">
            <w:pPr>
              <w:pStyle w:val="Tot"/>
              <w:spacing w:line="240" w:lineRule="exact"/>
              <w:rPr>
                <w:rFonts w:cs="Arial"/>
                <w:bCs/>
                <w:color w:val="000000" w:themeColor="text1"/>
                <w:sz w:val="16"/>
                <w:szCs w:val="16"/>
                <w:lang w:val="hr-HR"/>
              </w:rPr>
            </w:pPr>
            <w:r w:rsidRPr="0046584E">
              <w:rPr>
                <w:rFonts w:cs="Arial"/>
                <w:bCs/>
                <w:color w:val="000000" w:themeColor="text1"/>
                <w:sz w:val="16"/>
                <w:szCs w:val="16"/>
                <w:lang w:val="hr-HR"/>
              </w:rPr>
              <w:t>Amortizacija za 2021.</w:t>
            </w:r>
          </w:p>
        </w:tc>
        <w:tc>
          <w:tcPr>
            <w:tcW w:w="588" w:type="pct"/>
            <w:tcBorders>
              <w:top w:val="nil"/>
              <w:left w:val="nil"/>
              <w:right w:val="nil"/>
            </w:tcBorders>
            <w:shd w:val="clear" w:color="auto" w:fill="auto"/>
            <w:vAlign w:val="bottom"/>
          </w:tcPr>
          <w:p w14:paraId="4A64E5A2"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3.855 </w:t>
            </w:r>
          </w:p>
        </w:tc>
        <w:tc>
          <w:tcPr>
            <w:tcW w:w="559" w:type="pct"/>
            <w:tcBorders>
              <w:top w:val="nil"/>
              <w:left w:val="nil"/>
              <w:right w:val="nil"/>
            </w:tcBorders>
            <w:shd w:val="clear" w:color="auto" w:fill="auto"/>
            <w:vAlign w:val="bottom"/>
          </w:tcPr>
          <w:p w14:paraId="1BCA42B5"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2.122 </w:t>
            </w:r>
          </w:p>
        </w:tc>
        <w:tc>
          <w:tcPr>
            <w:tcW w:w="561" w:type="pct"/>
            <w:tcBorders>
              <w:top w:val="nil"/>
              <w:left w:val="nil"/>
              <w:right w:val="nil"/>
            </w:tcBorders>
            <w:shd w:val="clear" w:color="auto" w:fill="auto"/>
            <w:vAlign w:val="bottom"/>
          </w:tcPr>
          <w:p w14:paraId="396DDED7"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573 </w:t>
            </w:r>
          </w:p>
        </w:tc>
        <w:tc>
          <w:tcPr>
            <w:tcW w:w="560" w:type="pct"/>
            <w:tcBorders>
              <w:top w:val="nil"/>
              <w:left w:val="nil"/>
              <w:right w:val="nil"/>
            </w:tcBorders>
            <w:shd w:val="clear" w:color="auto" w:fill="auto"/>
            <w:vAlign w:val="bottom"/>
          </w:tcPr>
          <w:p w14:paraId="470AA3B7"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  </w:t>
            </w:r>
          </w:p>
        </w:tc>
        <w:tc>
          <w:tcPr>
            <w:tcW w:w="558" w:type="pct"/>
            <w:tcBorders>
              <w:top w:val="nil"/>
              <w:left w:val="nil"/>
              <w:right w:val="nil"/>
            </w:tcBorders>
            <w:shd w:val="clear" w:color="auto" w:fill="auto"/>
            <w:vAlign w:val="bottom"/>
          </w:tcPr>
          <w:p w14:paraId="7E377380"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6.550 </w:t>
            </w:r>
          </w:p>
        </w:tc>
        <w:tc>
          <w:tcPr>
            <w:tcW w:w="670" w:type="pct"/>
            <w:tcBorders>
              <w:top w:val="nil"/>
              <w:left w:val="nil"/>
              <w:right w:val="nil"/>
            </w:tcBorders>
            <w:shd w:val="clear" w:color="auto" w:fill="auto"/>
            <w:vAlign w:val="bottom"/>
          </w:tcPr>
          <w:p w14:paraId="3056F567"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2.280 </w:t>
            </w:r>
          </w:p>
        </w:tc>
        <w:tc>
          <w:tcPr>
            <w:tcW w:w="473" w:type="pct"/>
            <w:tcBorders>
              <w:top w:val="nil"/>
              <w:left w:val="nil"/>
              <w:right w:val="nil"/>
            </w:tcBorders>
            <w:shd w:val="clear" w:color="auto" w:fill="auto"/>
            <w:vAlign w:val="bottom"/>
          </w:tcPr>
          <w:p w14:paraId="13114CA8"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8.830 </w:t>
            </w:r>
          </w:p>
        </w:tc>
      </w:tr>
      <w:tr w:rsidR="002D6F0B" w:rsidRPr="00B91D09" w14:paraId="12D1696B" w14:textId="77777777" w:rsidTr="002D6F0B">
        <w:trPr>
          <w:trHeight w:val="281"/>
        </w:trPr>
        <w:tc>
          <w:tcPr>
            <w:tcW w:w="1032" w:type="pct"/>
            <w:shd w:val="clear" w:color="auto" w:fill="auto"/>
            <w:vAlign w:val="bottom"/>
          </w:tcPr>
          <w:p w14:paraId="0C45D133" w14:textId="77777777" w:rsidR="004E2F51" w:rsidRPr="0046584E" w:rsidRDefault="004E2F51" w:rsidP="00E032FC">
            <w:pPr>
              <w:pStyle w:val="TT"/>
              <w:spacing w:line="240" w:lineRule="exact"/>
              <w:rPr>
                <w:rFonts w:cs="Arial"/>
                <w:color w:val="000000" w:themeColor="text1"/>
                <w:sz w:val="16"/>
                <w:szCs w:val="16"/>
                <w:lang w:val="hr-HR"/>
              </w:rPr>
            </w:pPr>
            <w:r w:rsidRPr="0046584E">
              <w:rPr>
                <w:rFonts w:cs="Arial"/>
                <w:color w:val="000000" w:themeColor="text1"/>
                <w:sz w:val="16"/>
                <w:szCs w:val="16"/>
                <w:lang w:val="hr-HR"/>
              </w:rPr>
              <w:t>Rashod i otpis</w:t>
            </w:r>
          </w:p>
        </w:tc>
        <w:tc>
          <w:tcPr>
            <w:tcW w:w="588" w:type="pct"/>
            <w:tcBorders>
              <w:left w:val="nil"/>
              <w:bottom w:val="single" w:sz="4" w:space="0" w:color="auto"/>
              <w:right w:val="nil"/>
            </w:tcBorders>
            <w:shd w:val="clear" w:color="auto" w:fill="auto"/>
            <w:vAlign w:val="bottom"/>
          </w:tcPr>
          <w:p w14:paraId="6D774560"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  </w:t>
            </w:r>
          </w:p>
        </w:tc>
        <w:tc>
          <w:tcPr>
            <w:tcW w:w="559" w:type="pct"/>
            <w:tcBorders>
              <w:left w:val="nil"/>
              <w:bottom w:val="single" w:sz="4" w:space="0" w:color="auto"/>
              <w:right w:val="nil"/>
            </w:tcBorders>
            <w:shd w:val="clear" w:color="auto" w:fill="auto"/>
            <w:vAlign w:val="bottom"/>
          </w:tcPr>
          <w:p w14:paraId="13AD6864"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(198)</w:t>
            </w:r>
          </w:p>
        </w:tc>
        <w:tc>
          <w:tcPr>
            <w:tcW w:w="561" w:type="pct"/>
            <w:tcBorders>
              <w:left w:val="nil"/>
              <w:bottom w:val="single" w:sz="4" w:space="0" w:color="auto"/>
              <w:right w:val="nil"/>
            </w:tcBorders>
            <w:shd w:val="clear" w:color="auto" w:fill="auto"/>
            <w:vAlign w:val="bottom"/>
          </w:tcPr>
          <w:p w14:paraId="7E8A892F"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(1.267)</w:t>
            </w:r>
          </w:p>
        </w:tc>
        <w:tc>
          <w:tcPr>
            <w:tcW w:w="560" w:type="pct"/>
            <w:tcBorders>
              <w:left w:val="nil"/>
              <w:bottom w:val="single" w:sz="4" w:space="0" w:color="auto"/>
              <w:right w:val="nil"/>
            </w:tcBorders>
            <w:shd w:val="clear" w:color="auto" w:fill="auto"/>
            <w:vAlign w:val="bottom"/>
          </w:tcPr>
          <w:p w14:paraId="23BDCD82"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  </w:t>
            </w:r>
          </w:p>
        </w:tc>
        <w:tc>
          <w:tcPr>
            <w:tcW w:w="558" w:type="pct"/>
            <w:tcBorders>
              <w:left w:val="nil"/>
              <w:bottom w:val="single" w:sz="4" w:space="0" w:color="auto"/>
              <w:right w:val="nil"/>
            </w:tcBorders>
            <w:shd w:val="clear" w:color="auto" w:fill="auto"/>
            <w:vAlign w:val="bottom"/>
          </w:tcPr>
          <w:p w14:paraId="4381AA66"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(1.465)</w:t>
            </w:r>
          </w:p>
        </w:tc>
        <w:tc>
          <w:tcPr>
            <w:tcW w:w="670" w:type="pct"/>
            <w:tcBorders>
              <w:left w:val="nil"/>
              <w:bottom w:val="single" w:sz="4" w:space="0" w:color="auto"/>
              <w:right w:val="nil"/>
            </w:tcBorders>
            <w:shd w:val="clear" w:color="auto" w:fill="auto"/>
            <w:vAlign w:val="bottom"/>
          </w:tcPr>
          <w:p w14:paraId="6072F168"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(3.337)</w:t>
            </w:r>
          </w:p>
        </w:tc>
        <w:tc>
          <w:tcPr>
            <w:tcW w:w="473" w:type="pct"/>
            <w:tcBorders>
              <w:left w:val="nil"/>
              <w:bottom w:val="single" w:sz="4" w:space="0" w:color="auto"/>
              <w:right w:val="nil"/>
            </w:tcBorders>
            <w:shd w:val="clear" w:color="auto" w:fill="auto"/>
            <w:vAlign w:val="bottom"/>
          </w:tcPr>
          <w:p w14:paraId="34A40144" w14:textId="77777777" w:rsidR="004E2F51" w:rsidRPr="0046584E" w:rsidRDefault="004E2F51" w:rsidP="00E032FC">
            <w:pPr>
              <w:jc w:val="right"/>
              <w:rPr>
                <w:rFonts w:ascii="Arial" w:hAnsi="Arial" w:cs="Arial"/>
                <w:color w:val="000000" w:themeColor="text1"/>
                <w:sz w:val="16"/>
                <w:szCs w:val="16"/>
                <w:highlight w:val="yellow"/>
                <w:lang w:val="hr-HR"/>
              </w:rPr>
            </w:pPr>
            <w:r w:rsidRPr="0046584E">
              <w:rPr>
                <w:rFonts w:ascii="Arial" w:hAnsi="Arial" w:cs="Arial"/>
                <w:sz w:val="16"/>
                <w:szCs w:val="16"/>
              </w:rPr>
              <w:t xml:space="preserve"> (4.802)</w:t>
            </w:r>
          </w:p>
        </w:tc>
      </w:tr>
      <w:tr w:rsidR="002D6F0B" w:rsidRPr="00B91D09" w14:paraId="48D66810" w14:textId="77777777" w:rsidTr="002D6F0B">
        <w:trPr>
          <w:trHeight w:val="437"/>
        </w:trPr>
        <w:tc>
          <w:tcPr>
            <w:tcW w:w="1032" w:type="pct"/>
            <w:shd w:val="clear" w:color="auto" w:fill="auto"/>
            <w:vAlign w:val="bottom"/>
          </w:tcPr>
          <w:p w14:paraId="06C5EDF0"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Stanje </w:t>
            </w:r>
          </w:p>
          <w:p w14:paraId="7245CF46"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2021.</w:t>
            </w:r>
          </w:p>
        </w:tc>
        <w:tc>
          <w:tcPr>
            <w:tcW w:w="588" w:type="pct"/>
            <w:tcBorders>
              <w:top w:val="single" w:sz="4" w:space="0" w:color="auto"/>
              <w:left w:val="nil"/>
              <w:bottom w:val="single" w:sz="12" w:space="0" w:color="auto"/>
              <w:right w:val="nil"/>
            </w:tcBorders>
            <w:shd w:val="clear" w:color="auto" w:fill="auto"/>
            <w:vAlign w:val="bottom"/>
          </w:tcPr>
          <w:p w14:paraId="7B2DAE62"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44.383 </w:t>
            </w:r>
          </w:p>
        </w:tc>
        <w:tc>
          <w:tcPr>
            <w:tcW w:w="559" w:type="pct"/>
            <w:tcBorders>
              <w:top w:val="single" w:sz="4" w:space="0" w:color="auto"/>
              <w:left w:val="nil"/>
              <w:bottom w:val="single" w:sz="12" w:space="0" w:color="auto"/>
              <w:right w:val="nil"/>
            </w:tcBorders>
            <w:shd w:val="clear" w:color="auto" w:fill="auto"/>
            <w:vAlign w:val="bottom"/>
          </w:tcPr>
          <w:p w14:paraId="2287CC7B"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10.975</w:t>
            </w:r>
          </w:p>
        </w:tc>
        <w:tc>
          <w:tcPr>
            <w:tcW w:w="561" w:type="pct"/>
            <w:tcBorders>
              <w:top w:val="single" w:sz="4" w:space="0" w:color="auto"/>
              <w:left w:val="nil"/>
              <w:bottom w:val="single" w:sz="12" w:space="0" w:color="auto"/>
              <w:right w:val="nil"/>
            </w:tcBorders>
            <w:shd w:val="clear" w:color="auto" w:fill="auto"/>
            <w:vAlign w:val="bottom"/>
          </w:tcPr>
          <w:p w14:paraId="4EBC4D4B"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10.557 </w:t>
            </w:r>
          </w:p>
        </w:tc>
        <w:tc>
          <w:tcPr>
            <w:tcW w:w="560" w:type="pct"/>
            <w:tcBorders>
              <w:top w:val="single" w:sz="4" w:space="0" w:color="auto"/>
              <w:left w:val="nil"/>
              <w:bottom w:val="single" w:sz="12" w:space="0" w:color="auto"/>
              <w:right w:val="nil"/>
            </w:tcBorders>
            <w:shd w:val="clear" w:color="auto" w:fill="auto"/>
            <w:vAlign w:val="bottom"/>
          </w:tcPr>
          <w:p w14:paraId="28EE2272"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 </w:t>
            </w:r>
          </w:p>
        </w:tc>
        <w:tc>
          <w:tcPr>
            <w:tcW w:w="558" w:type="pct"/>
            <w:tcBorders>
              <w:top w:val="single" w:sz="4" w:space="0" w:color="auto"/>
              <w:left w:val="nil"/>
              <w:bottom w:val="single" w:sz="12" w:space="0" w:color="auto"/>
              <w:right w:val="nil"/>
            </w:tcBorders>
            <w:shd w:val="clear" w:color="auto" w:fill="auto"/>
            <w:vAlign w:val="bottom"/>
          </w:tcPr>
          <w:p w14:paraId="52AC2DFA"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65.915 </w:t>
            </w:r>
          </w:p>
        </w:tc>
        <w:tc>
          <w:tcPr>
            <w:tcW w:w="670" w:type="pct"/>
            <w:tcBorders>
              <w:top w:val="single" w:sz="4" w:space="0" w:color="auto"/>
              <w:left w:val="nil"/>
              <w:bottom w:val="single" w:sz="12" w:space="0" w:color="auto"/>
              <w:right w:val="nil"/>
            </w:tcBorders>
            <w:shd w:val="clear" w:color="auto" w:fill="auto"/>
            <w:vAlign w:val="bottom"/>
          </w:tcPr>
          <w:p w14:paraId="326CC35C"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28.890 </w:t>
            </w:r>
          </w:p>
        </w:tc>
        <w:tc>
          <w:tcPr>
            <w:tcW w:w="473" w:type="pct"/>
            <w:tcBorders>
              <w:top w:val="single" w:sz="4" w:space="0" w:color="auto"/>
              <w:left w:val="nil"/>
              <w:bottom w:val="single" w:sz="12" w:space="0" w:color="auto"/>
              <w:right w:val="nil"/>
            </w:tcBorders>
            <w:shd w:val="clear" w:color="auto" w:fill="auto"/>
            <w:vAlign w:val="bottom"/>
          </w:tcPr>
          <w:p w14:paraId="118F7DB6"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94.805 </w:t>
            </w:r>
          </w:p>
        </w:tc>
      </w:tr>
      <w:tr w:rsidR="002D6F0B" w:rsidRPr="00B91D09" w14:paraId="2618DB62" w14:textId="77777777" w:rsidTr="002D6F0B">
        <w:trPr>
          <w:trHeight w:val="160"/>
        </w:trPr>
        <w:tc>
          <w:tcPr>
            <w:tcW w:w="1032" w:type="pct"/>
            <w:shd w:val="clear" w:color="auto" w:fill="auto"/>
            <w:vAlign w:val="bottom"/>
          </w:tcPr>
          <w:p w14:paraId="64630973" w14:textId="77777777" w:rsidR="004E2F51" w:rsidRPr="0046584E" w:rsidRDefault="004E2F51" w:rsidP="00E032FC">
            <w:pPr>
              <w:pStyle w:val="Tot"/>
              <w:spacing w:line="240" w:lineRule="exact"/>
              <w:rPr>
                <w:rFonts w:cs="Arial"/>
                <w:b/>
                <w:bCs/>
                <w:color w:val="000000" w:themeColor="text1"/>
                <w:sz w:val="16"/>
                <w:szCs w:val="16"/>
                <w:lang w:val="hr-HR"/>
              </w:rPr>
            </w:pPr>
          </w:p>
        </w:tc>
        <w:tc>
          <w:tcPr>
            <w:tcW w:w="588" w:type="pct"/>
            <w:tcBorders>
              <w:top w:val="single" w:sz="4" w:space="0" w:color="auto"/>
              <w:left w:val="nil"/>
              <w:right w:val="nil"/>
            </w:tcBorders>
            <w:shd w:val="clear" w:color="auto" w:fill="auto"/>
            <w:vAlign w:val="bottom"/>
          </w:tcPr>
          <w:p w14:paraId="466E603C" w14:textId="77777777" w:rsidR="004E2F51" w:rsidRPr="0046584E" w:rsidRDefault="004E2F51" w:rsidP="00E032FC">
            <w:pPr>
              <w:jc w:val="right"/>
              <w:rPr>
                <w:rFonts w:ascii="Arial" w:hAnsi="Arial" w:cs="Arial"/>
                <w:b/>
                <w:bCs/>
                <w:color w:val="000000" w:themeColor="text1"/>
                <w:sz w:val="16"/>
                <w:szCs w:val="16"/>
                <w:highlight w:val="yellow"/>
                <w:lang w:val="hr-HR"/>
              </w:rPr>
            </w:pPr>
          </w:p>
        </w:tc>
        <w:tc>
          <w:tcPr>
            <w:tcW w:w="559" w:type="pct"/>
            <w:tcBorders>
              <w:top w:val="single" w:sz="4" w:space="0" w:color="auto"/>
              <w:left w:val="nil"/>
              <w:right w:val="nil"/>
            </w:tcBorders>
            <w:shd w:val="clear" w:color="auto" w:fill="auto"/>
            <w:vAlign w:val="bottom"/>
          </w:tcPr>
          <w:p w14:paraId="136EC760" w14:textId="77777777" w:rsidR="004E2F51" w:rsidRPr="0046584E" w:rsidRDefault="004E2F51" w:rsidP="00E032FC">
            <w:pPr>
              <w:jc w:val="right"/>
              <w:rPr>
                <w:rFonts w:ascii="Arial" w:hAnsi="Arial" w:cs="Arial"/>
                <w:b/>
                <w:bCs/>
                <w:color w:val="000000" w:themeColor="text1"/>
                <w:sz w:val="16"/>
                <w:szCs w:val="16"/>
                <w:highlight w:val="yellow"/>
                <w:lang w:val="hr-HR"/>
              </w:rPr>
            </w:pPr>
          </w:p>
        </w:tc>
        <w:tc>
          <w:tcPr>
            <w:tcW w:w="561" w:type="pct"/>
            <w:tcBorders>
              <w:top w:val="single" w:sz="4" w:space="0" w:color="auto"/>
              <w:left w:val="nil"/>
              <w:right w:val="nil"/>
            </w:tcBorders>
            <w:shd w:val="clear" w:color="auto" w:fill="auto"/>
            <w:vAlign w:val="bottom"/>
          </w:tcPr>
          <w:p w14:paraId="1BE35EBB" w14:textId="77777777" w:rsidR="004E2F51" w:rsidRPr="0046584E" w:rsidRDefault="004E2F51" w:rsidP="00E032FC">
            <w:pPr>
              <w:jc w:val="right"/>
              <w:rPr>
                <w:rFonts w:ascii="Arial" w:hAnsi="Arial" w:cs="Arial"/>
                <w:b/>
                <w:bCs/>
                <w:color w:val="000000" w:themeColor="text1"/>
                <w:sz w:val="16"/>
                <w:szCs w:val="16"/>
                <w:highlight w:val="yellow"/>
                <w:lang w:val="hr-HR"/>
              </w:rPr>
            </w:pPr>
          </w:p>
        </w:tc>
        <w:tc>
          <w:tcPr>
            <w:tcW w:w="560" w:type="pct"/>
            <w:tcBorders>
              <w:top w:val="single" w:sz="4" w:space="0" w:color="auto"/>
              <w:left w:val="nil"/>
              <w:right w:val="nil"/>
            </w:tcBorders>
            <w:shd w:val="clear" w:color="auto" w:fill="auto"/>
            <w:vAlign w:val="bottom"/>
          </w:tcPr>
          <w:p w14:paraId="7CB5EFE4" w14:textId="77777777" w:rsidR="004E2F51" w:rsidRPr="0046584E" w:rsidRDefault="004E2F51" w:rsidP="00E032FC">
            <w:pPr>
              <w:jc w:val="right"/>
              <w:rPr>
                <w:rFonts w:ascii="Arial" w:hAnsi="Arial" w:cs="Arial"/>
                <w:b/>
                <w:bCs/>
                <w:color w:val="000000" w:themeColor="text1"/>
                <w:sz w:val="16"/>
                <w:szCs w:val="16"/>
                <w:highlight w:val="yellow"/>
                <w:lang w:val="hr-HR"/>
              </w:rPr>
            </w:pPr>
          </w:p>
        </w:tc>
        <w:tc>
          <w:tcPr>
            <w:tcW w:w="558" w:type="pct"/>
            <w:tcBorders>
              <w:top w:val="single" w:sz="4" w:space="0" w:color="auto"/>
              <w:left w:val="nil"/>
              <w:right w:val="nil"/>
            </w:tcBorders>
            <w:shd w:val="clear" w:color="auto" w:fill="auto"/>
            <w:vAlign w:val="bottom"/>
          </w:tcPr>
          <w:p w14:paraId="6AC0F45D" w14:textId="77777777" w:rsidR="004E2F51" w:rsidRPr="0046584E" w:rsidRDefault="004E2F51" w:rsidP="00E032FC">
            <w:pPr>
              <w:jc w:val="right"/>
              <w:rPr>
                <w:rFonts w:ascii="Arial" w:hAnsi="Arial" w:cs="Arial"/>
                <w:b/>
                <w:bCs/>
                <w:color w:val="000000" w:themeColor="text1"/>
                <w:sz w:val="16"/>
                <w:szCs w:val="16"/>
                <w:highlight w:val="yellow"/>
                <w:lang w:val="hr-HR"/>
              </w:rPr>
            </w:pPr>
          </w:p>
        </w:tc>
        <w:tc>
          <w:tcPr>
            <w:tcW w:w="670" w:type="pct"/>
            <w:tcBorders>
              <w:top w:val="single" w:sz="4" w:space="0" w:color="auto"/>
              <w:left w:val="nil"/>
              <w:right w:val="nil"/>
            </w:tcBorders>
            <w:shd w:val="clear" w:color="auto" w:fill="auto"/>
            <w:vAlign w:val="bottom"/>
          </w:tcPr>
          <w:p w14:paraId="076B7B6A" w14:textId="77777777" w:rsidR="004E2F51" w:rsidRPr="0046584E" w:rsidRDefault="004E2F51" w:rsidP="00E032FC">
            <w:pPr>
              <w:jc w:val="right"/>
              <w:rPr>
                <w:rFonts w:ascii="Arial" w:hAnsi="Arial" w:cs="Arial"/>
                <w:b/>
                <w:bCs/>
                <w:color w:val="000000" w:themeColor="text1"/>
                <w:sz w:val="16"/>
                <w:szCs w:val="16"/>
                <w:highlight w:val="yellow"/>
                <w:lang w:val="hr-HR"/>
              </w:rPr>
            </w:pPr>
          </w:p>
        </w:tc>
        <w:tc>
          <w:tcPr>
            <w:tcW w:w="473" w:type="pct"/>
            <w:tcBorders>
              <w:top w:val="single" w:sz="4" w:space="0" w:color="auto"/>
              <w:left w:val="nil"/>
              <w:right w:val="nil"/>
            </w:tcBorders>
            <w:shd w:val="clear" w:color="auto" w:fill="auto"/>
            <w:vAlign w:val="bottom"/>
          </w:tcPr>
          <w:p w14:paraId="416A4D00" w14:textId="77777777" w:rsidR="004E2F51" w:rsidRPr="0046584E" w:rsidRDefault="004E2F51" w:rsidP="00E032FC">
            <w:pPr>
              <w:jc w:val="right"/>
              <w:rPr>
                <w:rFonts w:ascii="Arial" w:hAnsi="Arial" w:cs="Arial"/>
                <w:b/>
                <w:bCs/>
                <w:color w:val="000000" w:themeColor="text1"/>
                <w:sz w:val="16"/>
                <w:szCs w:val="16"/>
                <w:highlight w:val="yellow"/>
                <w:lang w:val="hr-HR"/>
              </w:rPr>
            </w:pPr>
          </w:p>
        </w:tc>
      </w:tr>
      <w:tr w:rsidR="002D6F0B" w:rsidRPr="00B91D09" w14:paraId="65C5CCEC" w14:textId="77777777" w:rsidTr="002D6F0B">
        <w:trPr>
          <w:trHeight w:val="437"/>
        </w:trPr>
        <w:tc>
          <w:tcPr>
            <w:tcW w:w="1032" w:type="pct"/>
            <w:shd w:val="clear" w:color="auto" w:fill="auto"/>
            <w:vAlign w:val="bottom"/>
          </w:tcPr>
          <w:p w14:paraId="22A50509"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Neto knjigovodstvena vrijednost </w:t>
            </w:r>
          </w:p>
          <w:p w14:paraId="2FBEFA38"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2021.</w:t>
            </w:r>
          </w:p>
        </w:tc>
        <w:tc>
          <w:tcPr>
            <w:tcW w:w="588" w:type="pct"/>
            <w:tcBorders>
              <w:left w:val="nil"/>
              <w:bottom w:val="single" w:sz="12" w:space="0" w:color="auto"/>
              <w:right w:val="nil"/>
            </w:tcBorders>
            <w:shd w:val="clear" w:color="auto" w:fill="auto"/>
            <w:vAlign w:val="bottom"/>
          </w:tcPr>
          <w:p w14:paraId="4C9208EA"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32.719 </w:t>
            </w:r>
          </w:p>
        </w:tc>
        <w:tc>
          <w:tcPr>
            <w:tcW w:w="559" w:type="pct"/>
            <w:tcBorders>
              <w:left w:val="nil"/>
              <w:bottom w:val="single" w:sz="12" w:space="0" w:color="auto"/>
              <w:right w:val="nil"/>
            </w:tcBorders>
            <w:shd w:val="clear" w:color="auto" w:fill="auto"/>
            <w:vAlign w:val="bottom"/>
          </w:tcPr>
          <w:p w14:paraId="196CD94B"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2.226</w:t>
            </w:r>
          </w:p>
        </w:tc>
        <w:tc>
          <w:tcPr>
            <w:tcW w:w="561" w:type="pct"/>
            <w:tcBorders>
              <w:left w:val="nil"/>
              <w:bottom w:val="single" w:sz="12" w:space="0" w:color="auto"/>
              <w:right w:val="nil"/>
            </w:tcBorders>
            <w:shd w:val="clear" w:color="auto" w:fill="auto"/>
            <w:vAlign w:val="bottom"/>
          </w:tcPr>
          <w:p w14:paraId="7FD8D561"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1.763</w:t>
            </w:r>
          </w:p>
        </w:tc>
        <w:tc>
          <w:tcPr>
            <w:tcW w:w="560" w:type="pct"/>
            <w:tcBorders>
              <w:left w:val="nil"/>
              <w:bottom w:val="single" w:sz="12" w:space="0" w:color="auto"/>
              <w:right w:val="nil"/>
            </w:tcBorders>
            <w:shd w:val="clear" w:color="auto" w:fill="auto"/>
            <w:vAlign w:val="bottom"/>
          </w:tcPr>
          <w:p w14:paraId="3C7EE0DA"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55 </w:t>
            </w:r>
          </w:p>
        </w:tc>
        <w:tc>
          <w:tcPr>
            <w:tcW w:w="558" w:type="pct"/>
            <w:tcBorders>
              <w:left w:val="nil"/>
              <w:bottom w:val="single" w:sz="12" w:space="0" w:color="auto"/>
              <w:right w:val="nil"/>
            </w:tcBorders>
            <w:shd w:val="clear" w:color="auto" w:fill="auto"/>
            <w:vAlign w:val="bottom"/>
          </w:tcPr>
          <w:p w14:paraId="6A84D359"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36.763 </w:t>
            </w:r>
          </w:p>
        </w:tc>
        <w:tc>
          <w:tcPr>
            <w:tcW w:w="670" w:type="pct"/>
            <w:tcBorders>
              <w:left w:val="nil"/>
              <w:bottom w:val="single" w:sz="12" w:space="0" w:color="auto"/>
              <w:right w:val="nil"/>
            </w:tcBorders>
            <w:shd w:val="clear" w:color="auto" w:fill="auto"/>
            <w:vAlign w:val="bottom"/>
          </w:tcPr>
          <w:p w14:paraId="04ACFA77"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5.911 </w:t>
            </w:r>
          </w:p>
        </w:tc>
        <w:tc>
          <w:tcPr>
            <w:tcW w:w="473" w:type="pct"/>
            <w:tcBorders>
              <w:left w:val="nil"/>
              <w:bottom w:val="single" w:sz="12" w:space="0" w:color="auto"/>
              <w:right w:val="nil"/>
            </w:tcBorders>
            <w:shd w:val="clear" w:color="auto" w:fill="auto"/>
            <w:vAlign w:val="bottom"/>
          </w:tcPr>
          <w:p w14:paraId="7B1167BE" w14:textId="77777777" w:rsidR="004E2F51" w:rsidRPr="0046584E" w:rsidRDefault="004E2F51" w:rsidP="00E032FC">
            <w:pPr>
              <w:jc w:val="right"/>
              <w:rPr>
                <w:rFonts w:ascii="Arial" w:hAnsi="Arial" w:cs="Arial"/>
                <w:b/>
                <w:bCs/>
                <w:color w:val="000000" w:themeColor="text1"/>
                <w:sz w:val="16"/>
                <w:szCs w:val="16"/>
                <w:highlight w:val="yellow"/>
                <w:lang w:val="hr-HR"/>
              </w:rPr>
            </w:pPr>
            <w:r w:rsidRPr="0046584E">
              <w:rPr>
                <w:rFonts w:ascii="Arial" w:hAnsi="Arial" w:cs="Arial"/>
                <w:b/>
                <w:bCs/>
                <w:sz w:val="16"/>
                <w:szCs w:val="16"/>
              </w:rPr>
              <w:t xml:space="preserve"> 42.674 </w:t>
            </w:r>
          </w:p>
        </w:tc>
      </w:tr>
      <w:tr w:rsidR="002D6F0B" w:rsidRPr="00B91D09" w14:paraId="619F2D8F" w14:textId="77777777" w:rsidTr="002D6F0B">
        <w:trPr>
          <w:trHeight w:val="448"/>
        </w:trPr>
        <w:tc>
          <w:tcPr>
            <w:tcW w:w="1032" w:type="pct"/>
            <w:shd w:val="clear" w:color="auto" w:fill="auto"/>
            <w:vAlign w:val="bottom"/>
          </w:tcPr>
          <w:p w14:paraId="70535EF6"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 xml:space="preserve">Neto knjigovodstvena vrijednost </w:t>
            </w:r>
          </w:p>
          <w:p w14:paraId="496EEC6B" w14:textId="77777777" w:rsidR="004E2F51" w:rsidRPr="0046584E" w:rsidRDefault="004E2F51" w:rsidP="00E032FC">
            <w:pPr>
              <w:pStyle w:val="Tot"/>
              <w:spacing w:line="240" w:lineRule="exact"/>
              <w:rPr>
                <w:rFonts w:cs="Arial"/>
                <w:b/>
                <w:bCs/>
                <w:color w:val="000000" w:themeColor="text1"/>
                <w:sz w:val="16"/>
                <w:szCs w:val="16"/>
                <w:lang w:val="hr-HR"/>
              </w:rPr>
            </w:pPr>
            <w:r w:rsidRPr="0046584E">
              <w:rPr>
                <w:rFonts w:cs="Arial"/>
                <w:b/>
                <w:bCs/>
                <w:color w:val="000000" w:themeColor="text1"/>
                <w:sz w:val="16"/>
                <w:szCs w:val="16"/>
                <w:lang w:val="hr-HR"/>
              </w:rPr>
              <w:t>31. prosinca 2020.</w:t>
            </w:r>
          </w:p>
        </w:tc>
        <w:tc>
          <w:tcPr>
            <w:tcW w:w="588" w:type="pct"/>
            <w:tcBorders>
              <w:left w:val="nil"/>
              <w:bottom w:val="single" w:sz="12" w:space="0" w:color="auto"/>
              <w:right w:val="nil"/>
            </w:tcBorders>
            <w:shd w:val="clear" w:color="auto" w:fill="auto"/>
            <w:vAlign w:val="bottom"/>
          </w:tcPr>
          <w:p w14:paraId="3F7091D3"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36.574 </w:t>
            </w:r>
          </w:p>
        </w:tc>
        <w:tc>
          <w:tcPr>
            <w:tcW w:w="559" w:type="pct"/>
            <w:tcBorders>
              <w:left w:val="nil"/>
              <w:bottom w:val="single" w:sz="12" w:space="0" w:color="auto"/>
              <w:right w:val="nil"/>
            </w:tcBorders>
            <w:shd w:val="clear" w:color="auto" w:fill="auto"/>
            <w:vAlign w:val="bottom"/>
          </w:tcPr>
          <w:p w14:paraId="5C971408"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429 </w:t>
            </w:r>
          </w:p>
        </w:tc>
        <w:tc>
          <w:tcPr>
            <w:tcW w:w="561" w:type="pct"/>
            <w:tcBorders>
              <w:left w:val="nil"/>
              <w:bottom w:val="single" w:sz="12" w:space="0" w:color="auto"/>
              <w:right w:val="nil"/>
            </w:tcBorders>
            <w:shd w:val="clear" w:color="auto" w:fill="auto"/>
            <w:vAlign w:val="bottom"/>
          </w:tcPr>
          <w:p w14:paraId="2AE86294"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2.296 </w:t>
            </w:r>
          </w:p>
        </w:tc>
        <w:tc>
          <w:tcPr>
            <w:tcW w:w="560" w:type="pct"/>
            <w:tcBorders>
              <w:left w:val="nil"/>
              <w:bottom w:val="single" w:sz="12" w:space="0" w:color="auto"/>
              <w:right w:val="nil"/>
            </w:tcBorders>
            <w:shd w:val="clear" w:color="auto" w:fill="auto"/>
            <w:vAlign w:val="bottom"/>
          </w:tcPr>
          <w:p w14:paraId="301AA248"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49 </w:t>
            </w:r>
          </w:p>
        </w:tc>
        <w:tc>
          <w:tcPr>
            <w:tcW w:w="558" w:type="pct"/>
            <w:tcBorders>
              <w:left w:val="nil"/>
              <w:bottom w:val="single" w:sz="12" w:space="0" w:color="auto"/>
              <w:right w:val="nil"/>
            </w:tcBorders>
            <w:shd w:val="clear" w:color="auto" w:fill="auto"/>
            <w:vAlign w:val="bottom"/>
          </w:tcPr>
          <w:p w14:paraId="08D067D2"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39.348 </w:t>
            </w:r>
          </w:p>
        </w:tc>
        <w:tc>
          <w:tcPr>
            <w:tcW w:w="670" w:type="pct"/>
            <w:tcBorders>
              <w:left w:val="nil"/>
              <w:bottom w:val="single" w:sz="12" w:space="0" w:color="auto"/>
              <w:right w:val="nil"/>
            </w:tcBorders>
            <w:shd w:val="clear" w:color="auto" w:fill="auto"/>
            <w:vAlign w:val="bottom"/>
          </w:tcPr>
          <w:p w14:paraId="3E2B9797" w14:textId="77777777" w:rsidR="004E2F51" w:rsidRPr="0046584E" w:rsidRDefault="004E2F51" w:rsidP="00E032FC">
            <w:pPr>
              <w:pStyle w:val="Tot"/>
              <w:tabs>
                <w:tab w:val="clear" w:pos="1202"/>
              </w:tabs>
              <w:jc w:val="right"/>
              <w:rPr>
                <w:rFonts w:cs="Arial"/>
                <w:b/>
                <w:bCs/>
                <w:color w:val="000000" w:themeColor="text1"/>
                <w:sz w:val="16"/>
                <w:szCs w:val="16"/>
                <w:highlight w:val="yellow"/>
                <w:lang w:val="hr-HR"/>
              </w:rPr>
            </w:pPr>
            <w:r w:rsidRPr="0046584E">
              <w:rPr>
                <w:rFonts w:cs="Arial"/>
                <w:b/>
                <w:bCs/>
                <w:sz w:val="16"/>
                <w:szCs w:val="16"/>
              </w:rPr>
              <w:t xml:space="preserve"> 6.244 </w:t>
            </w:r>
          </w:p>
        </w:tc>
        <w:tc>
          <w:tcPr>
            <w:tcW w:w="473" w:type="pct"/>
            <w:tcBorders>
              <w:left w:val="nil"/>
              <w:bottom w:val="single" w:sz="12" w:space="0" w:color="auto"/>
              <w:right w:val="nil"/>
            </w:tcBorders>
            <w:shd w:val="clear" w:color="auto" w:fill="auto"/>
            <w:vAlign w:val="bottom"/>
          </w:tcPr>
          <w:p w14:paraId="29634D74" w14:textId="77777777" w:rsidR="004E2F51" w:rsidRPr="0046584E" w:rsidRDefault="004E2F51" w:rsidP="00E032FC">
            <w:pPr>
              <w:pStyle w:val="Tot"/>
              <w:tabs>
                <w:tab w:val="clear" w:pos="1202"/>
              </w:tabs>
              <w:jc w:val="right"/>
              <w:rPr>
                <w:rFonts w:cs="Arial"/>
                <w:b/>
                <w:bCs/>
                <w:color w:val="000000" w:themeColor="text1"/>
                <w:sz w:val="16"/>
                <w:szCs w:val="16"/>
                <w:lang w:val="hr-HR"/>
              </w:rPr>
            </w:pPr>
            <w:r w:rsidRPr="0046584E">
              <w:rPr>
                <w:rFonts w:cs="Arial"/>
                <w:b/>
                <w:bCs/>
                <w:sz w:val="16"/>
                <w:szCs w:val="16"/>
              </w:rPr>
              <w:t xml:space="preserve"> 45.592 </w:t>
            </w:r>
          </w:p>
        </w:tc>
      </w:tr>
    </w:tbl>
    <w:p w14:paraId="32A3BFA9" w14:textId="77777777" w:rsidR="004E2F51" w:rsidRPr="00B91D09" w:rsidRDefault="004E2F51" w:rsidP="004E2F51">
      <w:pPr>
        <w:tabs>
          <w:tab w:val="left" w:pos="-720"/>
        </w:tabs>
        <w:ind w:right="-1180"/>
        <w:rPr>
          <w:rFonts w:ascii="Arial" w:hAnsi="Arial" w:cs="Arial"/>
          <w:color w:val="000000" w:themeColor="text1"/>
          <w:sz w:val="22"/>
          <w:szCs w:val="22"/>
          <w:lang w:val="hr-HR"/>
          <w14:shadow w14:blurRad="50800" w14:dist="38100" w14:dir="2700000" w14:sx="100000" w14:sy="100000" w14:kx="0" w14:ky="0" w14:algn="tl">
            <w14:srgbClr w14:val="000000">
              <w14:alpha w14:val="60000"/>
            </w14:srgbClr>
          </w14:shadow>
        </w:rPr>
      </w:pPr>
    </w:p>
    <w:p w14:paraId="4EFC81C6" w14:textId="77777777" w:rsidR="004E2F51" w:rsidRPr="00B91D09" w:rsidRDefault="004E2F51" w:rsidP="004E2F51">
      <w:pPr>
        <w:pStyle w:val="T1"/>
        <w:keepNext w:val="0"/>
        <w:spacing w:after="0" w:line="240" w:lineRule="auto"/>
        <w:ind w:left="357"/>
        <w:rPr>
          <w:rFonts w:cs="Arial"/>
          <w:color w:val="000000" w:themeColor="text1"/>
          <w:sz w:val="22"/>
          <w:szCs w:val="22"/>
          <w:lang w:val="hr-HR"/>
        </w:rPr>
      </w:pPr>
    </w:p>
    <w:p w14:paraId="480B586E" w14:textId="77777777" w:rsidR="004E2F51" w:rsidRPr="00B91D09" w:rsidRDefault="004E2F51" w:rsidP="004E2F51">
      <w:pPr>
        <w:pStyle w:val="T1"/>
        <w:keepNext w:val="0"/>
        <w:spacing w:after="0" w:line="240" w:lineRule="auto"/>
        <w:rPr>
          <w:rFonts w:cs="Arial"/>
          <w:color w:val="000000" w:themeColor="text1"/>
          <w:sz w:val="22"/>
          <w:szCs w:val="22"/>
          <w:lang w:val="hr-HR"/>
        </w:rPr>
        <w:sectPr w:rsidR="004E2F51" w:rsidRPr="00B91D09" w:rsidSect="00623DBA">
          <w:footerReference w:type="default" r:id="rId145"/>
          <w:pgSz w:w="11907" w:h="16840" w:code="9"/>
          <w:pgMar w:top="1418" w:right="1134" w:bottom="1134" w:left="1418" w:header="851" w:footer="851" w:gutter="0"/>
          <w:cols w:space="720"/>
          <w:noEndnote/>
        </w:sectPr>
      </w:pPr>
    </w:p>
    <w:p w14:paraId="764C4315" w14:textId="77777777" w:rsidR="004E2F51" w:rsidRPr="00B91D09" w:rsidRDefault="004E2F51" w:rsidP="004E2F51">
      <w:pPr>
        <w:pStyle w:val="T1"/>
        <w:tabs>
          <w:tab w:val="left" w:pos="567"/>
        </w:tabs>
        <w:spacing w:before="0" w:after="0" w:line="240" w:lineRule="auto"/>
        <w:rPr>
          <w:rFonts w:cs="Arial"/>
          <w:color w:val="000000" w:themeColor="text1"/>
          <w:sz w:val="22"/>
          <w:szCs w:val="22"/>
          <w:lang w:val="hr-HR"/>
        </w:rPr>
      </w:pPr>
    </w:p>
    <w:p w14:paraId="66B675A3"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Pr>
          <w:rFonts w:cs="Arial"/>
          <w:color w:val="000000" w:themeColor="text1"/>
          <w:sz w:val="20"/>
          <w:lang w:val="hr-HR"/>
        </w:rPr>
        <w:t>0</w:t>
      </w:r>
      <w:r w:rsidRPr="004B4498">
        <w:rPr>
          <w:rFonts w:cs="Arial"/>
          <w:color w:val="000000" w:themeColor="text1"/>
          <w:sz w:val="20"/>
          <w:lang w:val="hr-HR"/>
        </w:rPr>
        <w:t>.</w:t>
      </w:r>
      <w:r w:rsidRPr="004B4498">
        <w:rPr>
          <w:rFonts w:cs="Arial"/>
          <w:color w:val="000000" w:themeColor="text1"/>
          <w:sz w:val="20"/>
          <w:lang w:val="hr-HR"/>
        </w:rPr>
        <w:tab/>
        <w:t>Preuzeta imovina</w:t>
      </w:r>
    </w:p>
    <w:p w14:paraId="00CBD58C" w14:textId="77777777" w:rsidR="004E2F51" w:rsidRPr="004B4498" w:rsidRDefault="004E2F51" w:rsidP="004E2F51">
      <w:pPr>
        <w:pStyle w:val="T1"/>
        <w:spacing w:before="0" w:after="0" w:line="240" w:lineRule="auto"/>
        <w:rPr>
          <w:rFonts w:cs="Arial"/>
          <w:color w:val="000000" w:themeColor="text1"/>
          <w:sz w:val="20"/>
          <w:lang w:val="hr-HR"/>
        </w:rPr>
      </w:pPr>
    </w:p>
    <w:tbl>
      <w:tblPr>
        <w:tblW w:w="5000" w:type="pct"/>
        <w:tblLayout w:type="fixed"/>
        <w:tblCellMar>
          <w:left w:w="119" w:type="dxa"/>
          <w:right w:w="119" w:type="dxa"/>
        </w:tblCellMar>
        <w:tblLook w:val="0000" w:firstRow="0" w:lastRow="0" w:firstColumn="0" w:lastColumn="0" w:noHBand="0" w:noVBand="0"/>
      </w:tblPr>
      <w:tblGrid>
        <w:gridCol w:w="5386"/>
        <w:gridCol w:w="1845"/>
        <w:gridCol w:w="2124"/>
      </w:tblGrid>
      <w:tr w:rsidR="004E2F51" w:rsidRPr="001B647D" w14:paraId="6BA583DF" w14:textId="77777777" w:rsidTr="00E032FC">
        <w:trPr>
          <w:trHeight w:val="240"/>
        </w:trPr>
        <w:tc>
          <w:tcPr>
            <w:tcW w:w="2879" w:type="pct"/>
          </w:tcPr>
          <w:p w14:paraId="26CBFB7B" w14:textId="77777777" w:rsidR="004E2F51" w:rsidRPr="004B4498" w:rsidRDefault="004E2F51" w:rsidP="00E032FC">
            <w:pPr>
              <w:tabs>
                <w:tab w:val="left" w:pos="-720"/>
              </w:tabs>
              <w:rPr>
                <w:rFonts w:ascii="Arial" w:hAnsi="Arial" w:cs="Arial"/>
                <w:color w:val="000000" w:themeColor="text1"/>
                <w:spacing w:val="-2"/>
                <w:sz w:val="20"/>
                <w:szCs w:val="20"/>
              </w:rPr>
            </w:pPr>
          </w:p>
        </w:tc>
        <w:tc>
          <w:tcPr>
            <w:tcW w:w="2121" w:type="pct"/>
            <w:gridSpan w:val="2"/>
          </w:tcPr>
          <w:p w14:paraId="7A7B6A2F" w14:textId="77777777" w:rsidR="004E2F51" w:rsidRPr="004B4498" w:rsidRDefault="004E2F51" w:rsidP="00E032FC">
            <w:pPr>
              <w:pStyle w:val="TH"/>
              <w:jc w:val="right"/>
              <w:rPr>
                <w:rFonts w:cs="Arial"/>
                <w:color w:val="000000" w:themeColor="text1"/>
                <w:sz w:val="20"/>
                <w:lang w:val="hr-HR"/>
              </w:rPr>
            </w:pPr>
            <w:bookmarkStart w:id="1175" w:name="_Toc67328609"/>
            <w:r w:rsidRPr="004B4498">
              <w:rPr>
                <w:rFonts w:cs="Arial"/>
                <w:color w:val="000000" w:themeColor="text1"/>
                <w:sz w:val="20"/>
                <w:lang w:val="hr-HR"/>
              </w:rPr>
              <w:t>Grupa i Banka</w:t>
            </w:r>
            <w:bookmarkEnd w:id="1175"/>
          </w:p>
        </w:tc>
      </w:tr>
      <w:tr w:rsidR="004E2F51" w:rsidRPr="001B647D" w14:paraId="7FD2499E" w14:textId="77777777" w:rsidTr="00E032FC">
        <w:trPr>
          <w:trHeight w:val="587"/>
        </w:trPr>
        <w:tc>
          <w:tcPr>
            <w:tcW w:w="2879" w:type="pct"/>
          </w:tcPr>
          <w:p w14:paraId="47C0EEBC" w14:textId="77777777" w:rsidR="004E2F51" w:rsidRPr="004B4498" w:rsidRDefault="004E2F51" w:rsidP="00E032FC">
            <w:pPr>
              <w:tabs>
                <w:tab w:val="left" w:pos="-720"/>
              </w:tabs>
              <w:rPr>
                <w:rFonts w:ascii="Arial" w:hAnsi="Arial" w:cs="Arial"/>
                <w:color w:val="000000" w:themeColor="text1"/>
                <w:spacing w:val="-2"/>
                <w:sz w:val="20"/>
                <w:szCs w:val="20"/>
              </w:rPr>
            </w:pPr>
          </w:p>
        </w:tc>
        <w:tc>
          <w:tcPr>
            <w:tcW w:w="986" w:type="pct"/>
            <w:vAlign w:val="center"/>
          </w:tcPr>
          <w:p w14:paraId="4F936B5A" w14:textId="77777777" w:rsidR="004E2F51" w:rsidRPr="004B4498" w:rsidRDefault="004E2F51" w:rsidP="00E032FC">
            <w:pPr>
              <w:pStyle w:val="TH"/>
              <w:jc w:val="right"/>
              <w:rPr>
                <w:rFonts w:cs="Arial"/>
                <w:color w:val="000000" w:themeColor="text1"/>
                <w:sz w:val="20"/>
                <w:lang w:val="hr-HR"/>
              </w:rPr>
            </w:pPr>
            <w:bookmarkStart w:id="1176" w:name="_Toc67328610"/>
            <w:r w:rsidRPr="004B4498">
              <w:rPr>
                <w:rFonts w:cs="Arial"/>
                <w:color w:val="000000" w:themeColor="text1"/>
                <w:sz w:val="20"/>
                <w:lang w:val="hr-HR"/>
              </w:rPr>
              <w:t>31. prosinca</w:t>
            </w:r>
          </w:p>
          <w:p w14:paraId="658A395B" w14:textId="77777777" w:rsidR="004E2F51" w:rsidRPr="004B4498" w:rsidRDefault="004E2F51" w:rsidP="00E032FC">
            <w:pPr>
              <w:pStyle w:val="TH"/>
              <w:jc w:val="right"/>
              <w:rPr>
                <w:rFonts w:cs="Arial"/>
                <w:color w:val="000000" w:themeColor="text1"/>
                <w:sz w:val="20"/>
                <w:lang w:val="hr-HR"/>
              </w:rPr>
            </w:pPr>
            <w:r w:rsidRPr="004B4498">
              <w:rPr>
                <w:rFonts w:cs="Arial"/>
                <w:color w:val="000000" w:themeColor="text1"/>
                <w:sz w:val="20"/>
                <w:lang w:val="hr-HR"/>
              </w:rPr>
              <w:t xml:space="preserve"> 202</w:t>
            </w:r>
            <w:r>
              <w:rPr>
                <w:rFonts w:cs="Arial"/>
                <w:color w:val="000000" w:themeColor="text1"/>
                <w:sz w:val="20"/>
                <w:lang w:val="hr-HR"/>
              </w:rPr>
              <w:t>2</w:t>
            </w:r>
            <w:r w:rsidRPr="004B4498">
              <w:rPr>
                <w:rFonts w:cs="Arial"/>
                <w:color w:val="000000" w:themeColor="text1"/>
                <w:sz w:val="20"/>
                <w:lang w:val="hr-HR"/>
              </w:rPr>
              <w:t>.</w:t>
            </w:r>
            <w:bookmarkEnd w:id="1176"/>
          </w:p>
        </w:tc>
        <w:tc>
          <w:tcPr>
            <w:tcW w:w="1135" w:type="pct"/>
            <w:vAlign w:val="center"/>
          </w:tcPr>
          <w:p w14:paraId="02C733DA" w14:textId="77777777" w:rsidR="004E2F51" w:rsidRPr="004B4498" w:rsidRDefault="004E2F51" w:rsidP="00E032FC">
            <w:pPr>
              <w:pStyle w:val="TH"/>
              <w:jc w:val="right"/>
              <w:rPr>
                <w:rFonts w:cs="Arial"/>
                <w:color w:val="000000" w:themeColor="text1"/>
                <w:sz w:val="20"/>
                <w:lang w:val="hr-HR"/>
              </w:rPr>
            </w:pPr>
            <w:bookmarkStart w:id="1177" w:name="_Toc67328611"/>
            <w:r w:rsidRPr="004B4498">
              <w:rPr>
                <w:rFonts w:cs="Arial"/>
                <w:color w:val="000000" w:themeColor="text1"/>
                <w:sz w:val="20"/>
                <w:lang w:val="hr-HR"/>
              </w:rPr>
              <w:t>31. prosinca</w:t>
            </w:r>
          </w:p>
          <w:p w14:paraId="2F1CD2DE" w14:textId="77777777" w:rsidR="004E2F51" w:rsidRPr="004B4498" w:rsidRDefault="004E2F51" w:rsidP="00E032FC">
            <w:pPr>
              <w:pStyle w:val="TH"/>
              <w:jc w:val="right"/>
              <w:rPr>
                <w:rFonts w:cs="Arial"/>
                <w:color w:val="000000" w:themeColor="text1"/>
                <w:sz w:val="20"/>
                <w:lang w:val="hr-HR"/>
              </w:rPr>
            </w:pPr>
            <w:r w:rsidRPr="004B4498">
              <w:rPr>
                <w:rFonts w:cs="Arial"/>
                <w:color w:val="000000" w:themeColor="text1"/>
                <w:sz w:val="20"/>
                <w:lang w:val="hr-HR"/>
              </w:rPr>
              <w:t xml:space="preserve"> 202</w:t>
            </w:r>
            <w:r>
              <w:rPr>
                <w:rFonts w:cs="Arial"/>
                <w:color w:val="000000" w:themeColor="text1"/>
                <w:sz w:val="20"/>
                <w:lang w:val="hr-HR"/>
              </w:rPr>
              <w:t>1</w:t>
            </w:r>
            <w:r w:rsidRPr="004B4498">
              <w:rPr>
                <w:rFonts w:cs="Arial"/>
                <w:color w:val="000000" w:themeColor="text1"/>
                <w:sz w:val="20"/>
                <w:lang w:val="hr-HR"/>
              </w:rPr>
              <w:t>.</w:t>
            </w:r>
            <w:bookmarkEnd w:id="1177"/>
          </w:p>
        </w:tc>
      </w:tr>
      <w:tr w:rsidR="004E2F51" w:rsidRPr="001B647D" w14:paraId="6135E3DC" w14:textId="77777777" w:rsidTr="00E032FC">
        <w:trPr>
          <w:trHeight w:val="227"/>
        </w:trPr>
        <w:tc>
          <w:tcPr>
            <w:tcW w:w="2879" w:type="pct"/>
          </w:tcPr>
          <w:p w14:paraId="415F215E" w14:textId="77777777" w:rsidR="004E2F51" w:rsidRPr="004B4498" w:rsidRDefault="004E2F51" w:rsidP="00E032FC">
            <w:pPr>
              <w:tabs>
                <w:tab w:val="left" w:pos="-720"/>
              </w:tabs>
              <w:rPr>
                <w:rFonts w:ascii="Arial" w:hAnsi="Arial" w:cs="Arial"/>
                <w:color w:val="000000" w:themeColor="text1"/>
                <w:spacing w:val="-2"/>
                <w:sz w:val="20"/>
                <w:szCs w:val="20"/>
              </w:rPr>
            </w:pPr>
          </w:p>
        </w:tc>
        <w:tc>
          <w:tcPr>
            <w:tcW w:w="986" w:type="pct"/>
            <w:vAlign w:val="bottom"/>
          </w:tcPr>
          <w:p w14:paraId="798FED6F" w14:textId="77777777" w:rsidR="004E2F51" w:rsidRPr="004B4498" w:rsidRDefault="004E2F51" w:rsidP="00E032FC">
            <w:pPr>
              <w:pStyle w:val="TH"/>
              <w:jc w:val="right"/>
              <w:rPr>
                <w:rFonts w:cs="Arial"/>
                <w:color w:val="000000" w:themeColor="text1"/>
                <w:sz w:val="20"/>
                <w:lang w:val="hr-HR"/>
              </w:rPr>
            </w:pPr>
            <w:bookmarkStart w:id="1178" w:name="_Toc67328612"/>
            <w:r w:rsidRPr="004B4498">
              <w:rPr>
                <w:rFonts w:cs="Arial"/>
                <w:color w:val="000000" w:themeColor="text1"/>
                <w:sz w:val="20"/>
                <w:lang w:val="hr-HR"/>
              </w:rPr>
              <w:t>000 kuna</w:t>
            </w:r>
            <w:bookmarkEnd w:id="1178"/>
          </w:p>
        </w:tc>
        <w:tc>
          <w:tcPr>
            <w:tcW w:w="1135" w:type="pct"/>
            <w:vAlign w:val="bottom"/>
          </w:tcPr>
          <w:p w14:paraId="2194B6CF" w14:textId="77777777" w:rsidR="004E2F51" w:rsidRPr="004B4498" w:rsidRDefault="004E2F51" w:rsidP="00E032FC">
            <w:pPr>
              <w:pStyle w:val="TH"/>
              <w:jc w:val="right"/>
              <w:rPr>
                <w:rFonts w:cs="Arial"/>
                <w:color w:val="000000" w:themeColor="text1"/>
                <w:sz w:val="20"/>
                <w:lang w:val="hr-HR"/>
              </w:rPr>
            </w:pPr>
            <w:bookmarkStart w:id="1179" w:name="_Toc67328613"/>
            <w:r w:rsidRPr="004B4498">
              <w:rPr>
                <w:rFonts w:cs="Arial"/>
                <w:color w:val="000000" w:themeColor="text1"/>
                <w:sz w:val="20"/>
                <w:lang w:val="hr-HR"/>
              </w:rPr>
              <w:t>000 kuna</w:t>
            </w:r>
            <w:bookmarkEnd w:id="1179"/>
          </w:p>
        </w:tc>
      </w:tr>
      <w:tr w:rsidR="004E2F51" w:rsidRPr="001B647D" w14:paraId="195F1DC1" w14:textId="77777777" w:rsidTr="00E032FC">
        <w:trPr>
          <w:trHeight w:hRule="exact" w:val="113"/>
        </w:trPr>
        <w:tc>
          <w:tcPr>
            <w:tcW w:w="2879" w:type="pct"/>
          </w:tcPr>
          <w:p w14:paraId="6B7365C1" w14:textId="77777777" w:rsidR="004E2F51" w:rsidRPr="004B4498" w:rsidRDefault="004E2F51" w:rsidP="00E032FC">
            <w:pPr>
              <w:tabs>
                <w:tab w:val="left" w:pos="-720"/>
              </w:tabs>
              <w:rPr>
                <w:rFonts w:ascii="Arial" w:hAnsi="Arial" w:cs="Arial"/>
                <w:color w:val="000000" w:themeColor="text1"/>
                <w:spacing w:val="-2"/>
                <w:sz w:val="20"/>
                <w:szCs w:val="20"/>
              </w:rPr>
            </w:pPr>
          </w:p>
        </w:tc>
        <w:tc>
          <w:tcPr>
            <w:tcW w:w="986" w:type="pct"/>
            <w:vAlign w:val="bottom"/>
          </w:tcPr>
          <w:p w14:paraId="4513A076" w14:textId="77777777" w:rsidR="004E2F51" w:rsidRPr="004B4498" w:rsidRDefault="004E2F51" w:rsidP="00E032FC">
            <w:pPr>
              <w:tabs>
                <w:tab w:val="left" w:pos="-720"/>
              </w:tabs>
              <w:jc w:val="right"/>
              <w:rPr>
                <w:rFonts w:ascii="Arial" w:hAnsi="Arial" w:cs="Arial"/>
                <w:b/>
                <w:color w:val="000000" w:themeColor="text1"/>
                <w:spacing w:val="-2"/>
                <w:sz w:val="20"/>
                <w:szCs w:val="20"/>
              </w:rPr>
            </w:pPr>
          </w:p>
        </w:tc>
        <w:tc>
          <w:tcPr>
            <w:tcW w:w="1135" w:type="pct"/>
            <w:vAlign w:val="bottom"/>
          </w:tcPr>
          <w:p w14:paraId="1CFFB8BE" w14:textId="77777777" w:rsidR="004E2F51" w:rsidRPr="004B4498" w:rsidRDefault="004E2F51" w:rsidP="00E032FC">
            <w:pPr>
              <w:tabs>
                <w:tab w:val="left" w:pos="-720"/>
              </w:tabs>
              <w:jc w:val="right"/>
              <w:rPr>
                <w:rFonts w:ascii="Arial" w:hAnsi="Arial" w:cs="Arial"/>
                <w:b/>
                <w:color w:val="000000" w:themeColor="text1"/>
                <w:spacing w:val="-2"/>
                <w:sz w:val="20"/>
                <w:szCs w:val="20"/>
              </w:rPr>
            </w:pPr>
          </w:p>
        </w:tc>
      </w:tr>
      <w:tr w:rsidR="004E2F51" w:rsidRPr="001B647D" w14:paraId="1B77BE5E" w14:textId="77777777" w:rsidTr="00E032FC">
        <w:trPr>
          <w:trHeight w:val="263"/>
        </w:trPr>
        <w:tc>
          <w:tcPr>
            <w:tcW w:w="2879" w:type="pct"/>
          </w:tcPr>
          <w:p w14:paraId="71052896" w14:textId="77777777" w:rsidR="004E2F51" w:rsidRPr="004B4498" w:rsidRDefault="004E2F51" w:rsidP="00E032FC">
            <w:pPr>
              <w:pStyle w:val="TT"/>
              <w:ind w:left="300"/>
              <w:rPr>
                <w:rFonts w:cs="Arial"/>
                <w:color w:val="000000" w:themeColor="text1"/>
                <w:sz w:val="20"/>
                <w:lang w:val="hr-HR"/>
              </w:rPr>
            </w:pPr>
            <w:bookmarkStart w:id="1180" w:name="_Toc67328614"/>
            <w:r w:rsidRPr="004B4498">
              <w:rPr>
                <w:rFonts w:cs="Arial"/>
                <w:color w:val="000000" w:themeColor="text1"/>
                <w:sz w:val="20"/>
                <w:lang w:val="hr-HR"/>
              </w:rPr>
              <w:t>Preuzeta imovina, neto</w:t>
            </w:r>
            <w:bookmarkEnd w:id="1180"/>
          </w:p>
        </w:tc>
        <w:tc>
          <w:tcPr>
            <w:tcW w:w="986" w:type="pct"/>
            <w:tcBorders>
              <w:bottom w:val="single" w:sz="2" w:space="0" w:color="auto"/>
            </w:tcBorders>
            <w:vAlign w:val="bottom"/>
          </w:tcPr>
          <w:p w14:paraId="6DF2FA86" w14:textId="77777777" w:rsidR="004E2F51" w:rsidRPr="004B4498" w:rsidRDefault="004E2F51" w:rsidP="00E032FC">
            <w:pPr>
              <w:jc w:val="right"/>
              <w:rPr>
                <w:rFonts w:ascii="Arial" w:hAnsi="Arial" w:cs="Arial"/>
                <w:color w:val="000000" w:themeColor="text1"/>
                <w:sz w:val="20"/>
                <w:szCs w:val="20"/>
              </w:rPr>
            </w:pPr>
            <w:r w:rsidRPr="00B16F72">
              <w:rPr>
                <w:rFonts w:ascii="Arial" w:hAnsi="Arial" w:cs="Arial"/>
                <w:color w:val="000000" w:themeColor="text1"/>
                <w:sz w:val="20"/>
                <w:szCs w:val="20"/>
              </w:rPr>
              <w:t>24.776</w:t>
            </w:r>
          </w:p>
        </w:tc>
        <w:tc>
          <w:tcPr>
            <w:tcW w:w="1135" w:type="pct"/>
            <w:tcBorders>
              <w:bottom w:val="single" w:sz="2" w:space="0" w:color="auto"/>
            </w:tcBorders>
            <w:vAlign w:val="bottom"/>
          </w:tcPr>
          <w:p w14:paraId="1D81E696" w14:textId="77777777" w:rsidR="004E2F51" w:rsidRPr="004B4498" w:rsidRDefault="004E2F51" w:rsidP="00E032FC">
            <w:pPr>
              <w:jc w:val="right"/>
              <w:rPr>
                <w:rFonts w:ascii="Arial" w:hAnsi="Arial" w:cs="Arial"/>
                <w:color w:val="000000" w:themeColor="text1"/>
                <w:sz w:val="20"/>
                <w:szCs w:val="20"/>
              </w:rPr>
            </w:pPr>
            <w:r w:rsidRPr="004B4498">
              <w:rPr>
                <w:rFonts w:ascii="Arial" w:hAnsi="Arial" w:cs="Arial"/>
                <w:color w:val="000000" w:themeColor="text1"/>
                <w:sz w:val="20"/>
                <w:szCs w:val="20"/>
              </w:rPr>
              <w:t>21.369</w:t>
            </w:r>
          </w:p>
        </w:tc>
      </w:tr>
      <w:tr w:rsidR="004E2F51" w:rsidRPr="001B647D" w14:paraId="48D077F9" w14:textId="77777777" w:rsidTr="00E032FC">
        <w:trPr>
          <w:trHeight w:val="299"/>
        </w:trPr>
        <w:tc>
          <w:tcPr>
            <w:tcW w:w="2879" w:type="pct"/>
          </w:tcPr>
          <w:p w14:paraId="5BCEE6A0" w14:textId="77777777" w:rsidR="004E2F51" w:rsidRPr="004B4498" w:rsidRDefault="004E2F51" w:rsidP="00E032FC">
            <w:pPr>
              <w:tabs>
                <w:tab w:val="left" w:pos="-720"/>
              </w:tabs>
              <w:rPr>
                <w:rFonts w:ascii="Arial" w:hAnsi="Arial" w:cs="Arial"/>
                <w:b/>
                <w:bCs/>
                <w:color w:val="000000" w:themeColor="text1"/>
                <w:spacing w:val="-2"/>
                <w:sz w:val="20"/>
                <w:szCs w:val="20"/>
              </w:rPr>
            </w:pPr>
          </w:p>
        </w:tc>
        <w:tc>
          <w:tcPr>
            <w:tcW w:w="986" w:type="pct"/>
            <w:tcBorders>
              <w:top w:val="single" w:sz="4" w:space="0" w:color="auto"/>
              <w:bottom w:val="single" w:sz="12" w:space="0" w:color="auto"/>
            </w:tcBorders>
            <w:vAlign w:val="bottom"/>
          </w:tcPr>
          <w:p w14:paraId="2B727718" w14:textId="77777777" w:rsidR="004E2F51" w:rsidRPr="004B4498" w:rsidRDefault="004E2F51" w:rsidP="00E032FC">
            <w:pPr>
              <w:pStyle w:val="Tot"/>
              <w:jc w:val="right"/>
              <w:rPr>
                <w:rFonts w:cs="Arial"/>
                <w:b/>
                <w:bCs/>
                <w:color w:val="000000" w:themeColor="text1"/>
                <w:sz w:val="20"/>
                <w:lang w:val="hr-HR"/>
              </w:rPr>
            </w:pPr>
            <w:r w:rsidRPr="00B16F72">
              <w:rPr>
                <w:rFonts w:cs="Arial"/>
                <w:b/>
                <w:bCs/>
                <w:color w:val="000000" w:themeColor="text1"/>
                <w:sz w:val="20"/>
                <w:lang w:val="hr-HR"/>
              </w:rPr>
              <w:t>24.776</w:t>
            </w:r>
          </w:p>
        </w:tc>
        <w:tc>
          <w:tcPr>
            <w:tcW w:w="1135" w:type="pct"/>
            <w:tcBorders>
              <w:top w:val="single" w:sz="4" w:space="0" w:color="auto"/>
              <w:bottom w:val="single" w:sz="12" w:space="0" w:color="auto"/>
            </w:tcBorders>
            <w:vAlign w:val="bottom"/>
          </w:tcPr>
          <w:p w14:paraId="614FADEE" w14:textId="77777777" w:rsidR="004E2F51" w:rsidRPr="004B4498" w:rsidRDefault="004E2F51" w:rsidP="00E032FC">
            <w:pPr>
              <w:pStyle w:val="Tot"/>
              <w:jc w:val="right"/>
              <w:rPr>
                <w:rFonts w:cs="Arial"/>
                <w:b/>
                <w:bCs/>
                <w:color w:val="000000" w:themeColor="text1"/>
                <w:sz w:val="20"/>
                <w:lang w:val="hr-HR"/>
              </w:rPr>
            </w:pPr>
            <w:r w:rsidRPr="004B4498">
              <w:rPr>
                <w:rFonts w:cs="Arial"/>
                <w:b/>
                <w:bCs/>
                <w:color w:val="000000" w:themeColor="text1"/>
                <w:sz w:val="20"/>
                <w:lang w:val="hr-HR"/>
              </w:rPr>
              <w:t>21.369</w:t>
            </w:r>
          </w:p>
        </w:tc>
      </w:tr>
    </w:tbl>
    <w:p w14:paraId="0097769C" w14:textId="77777777" w:rsidR="004E2F51" w:rsidRPr="004B4498" w:rsidRDefault="004E2F51" w:rsidP="004E2F51">
      <w:pPr>
        <w:pStyle w:val="T1"/>
        <w:spacing w:before="0" w:after="0" w:line="240" w:lineRule="auto"/>
        <w:rPr>
          <w:rFonts w:cs="Arial"/>
          <w:color w:val="000000" w:themeColor="text1"/>
          <w:sz w:val="20"/>
          <w:lang w:val="hr-HR"/>
        </w:rPr>
      </w:pPr>
      <w:bookmarkStart w:id="1181" w:name="_Hlk126912131"/>
    </w:p>
    <w:p w14:paraId="4DADE868" w14:textId="77777777" w:rsidR="004E2F51" w:rsidRPr="004B4498" w:rsidRDefault="004E2F51" w:rsidP="004E2F51">
      <w:pPr>
        <w:tabs>
          <w:tab w:val="left" w:pos="-1985"/>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U 202</w:t>
      </w:r>
      <w:r>
        <w:rPr>
          <w:rFonts w:ascii="Arial" w:hAnsi="Arial" w:cs="Arial"/>
          <w:color w:val="000000" w:themeColor="text1"/>
          <w:sz w:val="20"/>
          <w:szCs w:val="20"/>
          <w:lang w:val="hr-HR"/>
        </w:rPr>
        <w:t>2</w:t>
      </w:r>
      <w:r w:rsidRPr="004B4498">
        <w:rPr>
          <w:rFonts w:ascii="Arial" w:hAnsi="Arial" w:cs="Arial"/>
          <w:color w:val="000000" w:themeColor="text1"/>
          <w:sz w:val="20"/>
          <w:szCs w:val="20"/>
          <w:lang w:val="hr-HR"/>
        </w:rPr>
        <w:t xml:space="preserve">. godini obavljeno je preuzimanje nekretnina sadašnje vrijednosti </w:t>
      </w:r>
      <w:r w:rsidRPr="00F23180">
        <w:rPr>
          <w:rFonts w:ascii="Arial" w:hAnsi="Arial" w:cs="Arial"/>
          <w:color w:val="000000" w:themeColor="text1"/>
          <w:sz w:val="20"/>
          <w:szCs w:val="20"/>
          <w:lang w:val="hr-HR"/>
        </w:rPr>
        <w:t>4.487</w:t>
      </w:r>
      <w:r>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kuna, nabavne vrijednosti od </w:t>
      </w:r>
      <w:r w:rsidRPr="00F23180">
        <w:rPr>
          <w:rFonts w:ascii="Arial" w:hAnsi="Arial" w:cs="Arial"/>
          <w:color w:val="000000" w:themeColor="text1"/>
          <w:sz w:val="20"/>
          <w:szCs w:val="20"/>
          <w:lang w:val="hr-HR"/>
        </w:rPr>
        <w:t>4.487</w:t>
      </w:r>
      <w:r>
        <w:rPr>
          <w:rFonts w:ascii="Arial" w:hAnsi="Arial" w:cs="Arial"/>
          <w:color w:val="000000" w:themeColor="text1"/>
          <w:sz w:val="20"/>
          <w:szCs w:val="20"/>
          <w:lang w:val="hr-HR"/>
        </w:rPr>
        <w:t xml:space="preserve"> </w:t>
      </w:r>
      <w:r w:rsidRPr="004B4498">
        <w:rPr>
          <w:rFonts w:ascii="Arial" w:hAnsi="Arial" w:cs="Arial"/>
          <w:color w:val="000000" w:themeColor="text1"/>
          <w:sz w:val="20"/>
          <w:szCs w:val="20"/>
          <w:lang w:val="hr-HR"/>
        </w:rPr>
        <w:t xml:space="preserve">tisuća kuna i ispravka vrijednosti od </w:t>
      </w:r>
      <w:r>
        <w:rPr>
          <w:rFonts w:ascii="Arial" w:hAnsi="Arial" w:cs="Arial"/>
          <w:color w:val="000000" w:themeColor="text1"/>
          <w:sz w:val="20"/>
          <w:szCs w:val="20"/>
          <w:lang w:val="hr-HR"/>
        </w:rPr>
        <w:t>0</w:t>
      </w:r>
      <w:r w:rsidRPr="004B4498">
        <w:rPr>
          <w:rFonts w:ascii="Arial" w:hAnsi="Arial" w:cs="Arial"/>
          <w:color w:val="000000" w:themeColor="text1"/>
          <w:sz w:val="20"/>
          <w:szCs w:val="20"/>
          <w:lang w:val="hr-HR"/>
        </w:rPr>
        <w:t xml:space="preserve"> tisuća kuna, a odnosi se na zemljište u iznosu od </w:t>
      </w:r>
      <w:r>
        <w:rPr>
          <w:rFonts w:ascii="Arial" w:hAnsi="Arial" w:cs="Arial"/>
          <w:color w:val="000000" w:themeColor="text1"/>
          <w:sz w:val="20"/>
          <w:szCs w:val="20"/>
          <w:lang w:val="hr-HR"/>
        </w:rPr>
        <w:t>234</w:t>
      </w:r>
      <w:r w:rsidRPr="004B4498">
        <w:rPr>
          <w:rFonts w:ascii="Arial" w:hAnsi="Arial" w:cs="Arial"/>
          <w:color w:val="000000" w:themeColor="text1"/>
          <w:sz w:val="20"/>
          <w:szCs w:val="20"/>
          <w:lang w:val="hr-HR"/>
        </w:rPr>
        <w:t xml:space="preserve"> tisuć</w:t>
      </w:r>
      <w:r>
        <w:rPr>
          <w:rFonts w:ascii="Arial" w:hAnsi="Arial" w:cs="Arial"/>
          <w:color w:val="000000" w:themeColor="text1"/>
          <w:sz w:val="20"/>
          <w:szCs w:val="20"/>
          <w:lang w:val="hr-HR"/>
        </w:rPr>
        <w:t>a</w:t>
      </w:r>
      <w:r w:rsidRPr="004B4498">
        <w:rPr>
          <w:rFonts w:ascii="Arial" w:hAnsi="Arial" w:cs="Arial"/>
          <w:color w:val="000000" w:themeColor="text1"/>
          <w:sz w:val="20"/>
          <w:szCs w:val="20"/>
          <w:lang w:val="hr-HR"/>
        </w:rPr>
        <w:t xml:space="preserve"> kuna, nabavne vrijednosti </w:t>
      </w:r>
      <w:r>
        <w:rPr>
          <w:rFonts w:ascii="Arial" w:hAnsi="Arial" w:cs="Arial"/>
          <w:color w:val="000000" w:themeColor="text1"/>
          <w:sz w:val="20"/>
          <w:szCs w:val="20"/>
          <w:lang w:val="hr-HR"/>
        </w:rPr>
        <w:t>234</w:t>
      </w:r>
      <w:r w:rsidRPr="004B4498">
        <w:rPr>
          <w:rFonts w:ascii="Arial" w:hAnsi="Arial" w:cs="Arial"/>
          <w:color w:val="000000" w:themeColor="text1"/>
          <w:sz w:val="20"/>
          <w:szCs w:val="20"/>
          <w:lang w:val="hr-HR"/>
        </w:rPr>
        <w:t xml:space="preserve"> tisuća kuna i ispravka vrijednosti od </w:t>
      </w:r>
      <w:r>
        <w:rPr>
          <w:rFonts w:ascii="Arial" w:hAnsi="Arial" w:cs="Arial"/>
          <w:color w:val="000000" w:themeColor="text1"/>
          <w:sz w:val="20"/>
          <w:szCs w:val="20"/>
          <w:lang w:val="hr-HR"/>
        </w:rPr>
        <w:t>0</w:t>
      </w:r>
      <w:r w:rsidRPr="004B4498">
        <w:rPr>
          <w:rFonts w:ascii="Arial" w:hAnsi="Arial" w:cs="Arial"/>
          <w:color w:val="000000" w:themeColor="text1"/>
          <w:sz w:val="20"/>
          <w:szCs w:val="20"/>
          <w:lang w:val="hr-HR"/>
        </w:rPr>
        <w:t xml:space="preserve"> tisuća kuna, građevinske objekte u iznosu od </w:t>
      </w:r>
      <w:r w:rsidRPr="00F23180">
        <w:rPr>
          <w:rFonts w:ascii="Arial" w:hAnsi="Arial" w:cs="Arial"/>
          <w:color w:val="000000" w:themeColor="text1"/>
          <w:sz w:val="20"/>
          <w:szCs w:val="20"/>
          <w:lang w:val="hr-HR"/>
        </w:rPr>
        <w:t>4.253</w:t>
      </w:r>
      <w:r w:rsidRPr="004B4498">
        <w:rPr>
          <w:rFonts w:ascii="Arial" w:hAnsi="Arial" w:cs="Arial"/>
          <w:color w:val="000000" w:themeColor="text1"/>
          <w:sz w:val="20"/>
          <w:szCs w:val="20"/>
          <w:lang w:val="hr-HR"/>
        </w:rPr>
        <w:t xml:space="preserve"> tisuća kuna, nabavne vrijednosti </w:t>
      </w:r>
      <w:r w:rsidRPr="008B50D6">
        <w:rPr>
          <w:rFonts w:ascii="Arial" w:hAnsi="Arial" w:cs="Arial"/>
          <w:color w:val="000000" w:themeColor="text1"/>
          <w:sz w:val="20"/>
          <w:szCs w:val="20"/>
          <w:lang w:val="hr-HR"/>
        </w:rPr>
        <w:t>4.253</w:t>
      </w:r>
      <w:r w:rsidRPr="004B4498">
        <w:rPr>
          <w:rFonts w:ascii="Arial" w:hAnsi="Arial" w:cs="Arial"/>
          <w:color w:val="000000" w:themeColor="text1"/>
          <w:sz w:val="20"/>
          <w:szCs w:val="20"/>
          <w:lang w:val="hr-HR"/>
        </w:rPr>
        <w:t xml:space="preserve"> tisuća kuna i ispravka vrijednosti </w:t>
      </w:r>
      <w:r>
        <w:rPr>
          <w:rFonts w:ascii="Arial" w:hAnsi="Arial" w:cs="Arial"/>
          <w:color w:val="000000" w:themeColor="text1"/>
          <w:sz w:val="20"/>
          <w:szCs w:val="20"/>
          <w:lang w:val="hr-HR"/>
        </w:rPr>
        <w:t>0</w:t>
      </w:r>
      <w:r w:rsidRPr="004B4498">
        <w:rPr>
          <w:rFonts w:ascii="Arial" w:hAnsi="Arial" w:cs="Arial"/>
          <w:color w:val="000000" w:themeColor="text1"/>
          <w:sz w:val="20"/>
          <w:szCs w:val="20"/>
          <w:lang w:val="hr-HR"/>
        </w:rPr>
        <w:t xml:space="preserve"> tisuća kuna (202</w:t>
      </w:r>
      <w:r>
        <w:rPr>
          <w:rFonts w:ascii="Arial" w:hAnsi="Arial" w:cs="Arial"/>
          <w:color w:val="000000" w:themeColor="text1"/>
          <w:sz w:val="20"/>
          <w:szCs w:val="20"/>
          <w:lang w:val="hr-HR"/>
        </w:rPr>
        <w:t>1</w:t>
      </w:r>
      <w:r w:rsidRPr="004B4498">
        <w:rPr>
          <w:rFonts w:ascii="Arial" w:hAnsi="Arial" w:cs="Arial"/>
          <w:color w:val="000000" w:themeColor="text1"/>
          <w:sz w:val="20"/>
          <w:szCs w:val="20"/>
          <w:lang w:val="hr-HR"/>
        </w:rPr>
        <w:t xml:space="preserve">. godine </w:t>
      </w:r>
      <w:r w:rsidRPr="001B647D">
        <w:rPr>
          <w:rFonts w:ascii="Arial" w:hAnsi="Arial" w:cs="Arial"/>
          <w:color w:val="000000" w:themeColor="text1"/>
          <w:sz w:val="20"/>
          <w:szCs w:val="20"/>
          <w:lang w:val="hr-HR"/>
        </w:rPr>
        <w:t>obavljeno je preuzimanje nekretnina sadašnje vrijednosti 8.185 tisuća kuna, nabavne vrijednosti od 8.508 tisuća kuna i ispravka vrijednosti od 323 tisuća kuna, a odnosi se na zemljište u iznosu od 1.900 tisuća kuna, nabavne vrijednosti 2.074 tisuća kuna i ispravka vrijednosti od 174 tisuća kuna, građevinske objekte u iznosu od 4.717 tisuća kuna, nabavne vrijednosti 4.866 tisuća kuna i ispravka vrijednosti 149 tisuća kuna i stambene objekte u iznosu od 1.568 tisuća kuna, nabavne vrijednosti 1.568 tisuća kuna i ispravka vrijednosti 0 tisuća kuna</w:t>
      </w:r>
      <w:r w:rsidRPr="004B4498">
        <w:rPr>
          <w:rFonts w:ascii="Arial" w:hAnsi="Arial" w:cs="Arial"/>
          <w:color w:val="000000" w:themeColor="text1"/>
          <w:sz w:val="20"/>
          <w:szCs w:val="20"/>
          <w:lang w:val="hr-HR"/>
        </w:rPr>
        <w:t xml:space="preserve">). </w:t>
      </w:r>
    </w:p>
    <w:p w14:paraId="23B9BE4B" w14:textId="77777777" w:rsidR="004E2F51" w:rsidRPr="004B4498" w:rsidRDefault="004E2F51" w:rsidP="004E2F51">
      <w:pPr>
        <w:tabs>
          <w:tab w:val="left" w:pos="-1985"/>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Fer vrijednost </w:t>
      </w:r>
      <w:r>
        <w:rPr>
          <w:rFonts w:ascii="Arial" w:hAnsi="Arial" w:cs="Arial"/>
          <w:color w:val="000000" w:themeColor="text1"/>
          <w:sz w:val="20"/>
          <w:szCs w:val="20"/>
          <w:lang w:val="hr-HR"/>
        </w:rPr>
        <w:t xml:space="preserve">imovine koja je </w:t>
      </w:r>
      <w:r w:rsidRPr="004B4498">
        <w:rPr>
          <w:rFonts w:ascii="Arial" w:hAnsi="Arial" w:cs="Arial"/>
          <w:color w:val="000000" w:themeColor="text1"/>
          <w:sz w:val="20"/>
          <w:szCs w:val="20"/>
          <w:lang w:val="hr-HR"/>
        </w:rPr>
        <w:t>preuzet</w:t>
      </w:r>
      <w:r>
        <w:rPr>
          <w:rFonts w:ascii="Arial" w:hAnsi="Arial" w:cs="Arial"/>
          <w:color w:val="000000" w:themeColor="text1"/>
          <w:sz w:val="20"/>
          <w:szCs w:val="20"/>
          <w:lang w:val="hr-HR"/>
        </w:rPr>
        <w:t xml:space="preserve">a tijekom 2022., </w:t>
      </w:r>
      <w:r w:rsidRPr="004B4498">
        <w:rPr>
          <w:rFonts w:ascii="Arial" w:hAnsi="Arial" w:cs="Arial"/>
          <w:color w:val="000000" w:themeColor="text1"/>
          <w:sz w:val="20"/>
          <w:szCs w:val="20"/>
          <w:lang w:val="hr-HR"/>
        </w:rPr>
        <w:t>na kraju 202</w:t>
      </w:r>
      <w:r>
        <w:rPr>
          <w:rFonts w:ascii="Arial" w:hAnsi="Arial" w:cs="Arial"/>
          <w:color w:val="000000" w:themeColor="text1"/>
          <w:sz w:val="20"/>
          <w:szCs w:val="20"/>
          <w:lang w:val="hr-HR"/>
        </w:rPr>
        <w:t>2</w:t>
      </w:r>
      <w:r w:rsidRPr="004B4498">
        <w:rPr>
          <w:rFonts w:ascii="Arial" w:hAnsi="Arial" w:cs="Arial"/>
          <w:color w:val="000000" w:themeColor="text1"/>
          <w:sz w:val="20"/>
          <w:szCs w:val="20"/>
          <w:lang w:val="hr-HR"/>
        </w:rPr>
        <w:t xml:space="preserve">. godine iznosi </w:t>
      </w:r>
      <w:r w:rsidRPr="008B50D6">
        <w:rPr>
          <w:rFonts w:ascii="Arial" w:hAnsi="Arial" w:cs="Arial"/>
          <w:color w:val="000000" w:themeColor="text1"/>
          <w:sz w:val="20"/>
          <w:szCs w:val="20"/>
          <w:lang w:val="hr-HR"/>
        </w:rPr>
        <w:t>12.398</w:t>
      </w:r>
      <w:r w:rsidRPr="004B4498">
        <w:rPr>
          <w:rFonts w:ascii="Arial" w:hAnsi="Arial" w:cs="Arial"/>
          <w:color w:val="000000" w:themeColor="text1"/>
          <w:sz w:val="20"/>
          <w:szCs w:val="20"/>
          <w:lang w:val="hr-HR"/>
        </w:rPr>
        <w:t xml:space="preserve"> tisuća kuna.</w:t>
      </w:r>
    </w:p>
    <w:p w14:paraId="27C60064" w14:textId="77777777" w:rsidR="004E2F51" w:rsidRPr="004B4498" w:rsidRDefault="004E2F51" w:rsidP="004E2F51">
      <w:pPr>
        <w:tabs>
          <w:tab w:val="left" w:pos="-1985"/>
        </w:tabs>
        <w:jc w:val="both"/>
        <w:rPr>
          <w:rFonts w:ascii="Arial" w:hAnsi="Arial" w:cs="Arial"/>
          <w:color w:val="000000" w:themeColor="text1"/>
          <w:sz w:val="20"/>
          <w:szCs w:val="20"/>
          <w:highlight w:val="yellow"/>
          <w:lang w:val="hr-HR"/>
        </w:rPr>
      </w:pPr>
    </w:p>
    <w:p w14:paraId="7209B831" w14:textId="77777777" w:rsidR="004E2F51" w:rsidRPr="004B4498" w:rsidRDefault="004E2F51" w:rsidP="004E2F51">
      <w:pPr>
        <w:jc w:val="both"/>
        <w:rPr>
          <w:rFonts w:ascii="Arial" w:hAnsi="Arial" w:cs="Arial"/>
          <w:color w:val="000000"/>
          <w:sz w:val="20"/>
          <w:szCs w:val="20"/>
          <w:lang w:val="hr-HR"/>
        </w:rPr>
      </w:pPr>
      <w:r w:rsidRPr="004B4498">
        <w:rPr>
          <w:rFonts w:ascii="Arial" w:hAnsi="Arial" w:cs="Arial"/>
          <w:color w:val="000000"/>
          <w:sz w:val="20"/>
          <w:szCs w:val="20"/>
          <w:lang w:val="hr-HR"/>
        </w:rPr>
        <w:t>U 202</w:t>
      </w:r>
      <w:r>
        <w:rPr>
          <w:rFonts w:ascii="Arial" w:hAnsi="Arial" w:cs="Arial"/>
          <w:color w:val="000000"/>
          <w:sz w:val="20"/>
          <w:szCs w:val="20"/>
          <w:lang w:val="hr-HR"/>
        </w:rPr>
        <w:t>2</w:t>
      </w:r>
      <w:r w:rsidRPr="004B4498">
        <w:rPr>
          <w:rFonts w:ascii="Arial" w:hAnsi="Arial" w:cs="Arial"/>
          <w:color w:val="000000"/>
          <w:sz w:val="20"/>
          <w:szCs w:val="20"/>
          <w:lang w:val="hr-HR"/>
        </w:rPr>
        <w:t xml:space="preserve">. godini </w:t>
      </w:r>
      <w:r w:rsidRPr="008B50D6">
        <w:rPr>
          <w:rFonts w:ascii="Arial" w:hAnsi="Arial" w:cs="Arial"/>
          <w:color w:val="000000"/>
          <w:sz w:val="20"/>
          <w:szCs w:val="20"/>
          <w:lang w:val="hr-HR"/>
        </w:rPr>
        <w:t>obavljena je prodaja preuzete imovine u iznosu sadašnje vrijednosti 243 tisuća kuna, nabavne vrijednosti 820 tisuća kuna i ispravka vrijednosti 577 tisuća kuna, a odnosi se na zemljište u iznosu od 87 tisuća kuna i stambene objekte u iznosu 156 tisuće kuna</w:t>
      </w:r>
      <w:r w:rsidRPr="004B4498">
        <w:rPr>
          <w:rFonts w:ascii="Arial" w:hAnsi="Arial" w:cs="Arial"/>
          <w:color w:val="000000"/>
          <w:sz w:val="20"/>
          <w:szCs w:val="20"/>
          <w:lang w:val="hr-HR"/>
        </w:rPr>
        <w:t xml:space="preserve"> (202</w:t>
      </w:r>
      <w:r>
        <w:rPr>
          <w:rFonts w:ascii="Arial" w:hAnsi="Arial" w:cs="Arial"/>
          <w:color w:val="000000"/>
          <w:sz w:val="20"/>
          <w:szCs w:val="20"/>
          <w:lang w:val="hr-HR"/>
        </w:rPr>
        <w:t>1</w:t>
      </w:r>
      <w:r w:rsidRPr="004B4498">
        <w:rPr>
          <w:rFonts w:ascii="Arial" w:hAnsi="Arial" w:cs="Arial"/>
          <w:color w:val="000000"/>
          <w:sz w:val="20"/>
          <w:szCs w:val="20"/>
          <w:lang w:val="hr-HR"/>
        </w:rPr>
        <w:t xml:space="preserve">. godine obavljena je </w:t>
      </w:r>
      <w:r w:rsidRPr="001B647D">
        <w:rPr>
          <w:rFonts w:ascii="Arial" w:hAnsi="Arial" w:cs="Arial"/>
          <w:color w:val="000000"/>
          <w:sz w:val="20"/>
          <w:szCs w:val="20"/>
          <w:lang w:val="hr-HR"/>
        </w:rPr>
        <w:t>prodaja preuzete imovine u iznosu sadašnje vrijednosti 10.156 tisuće kuna, nabavne vrijednosti 24.218 tisuća kuna i ispravka vrijednosti 14.062 tisuće kuna, a odnosi se na zemljište u iznosu od 486 tisuća kuna, građevinske objekte u iznosu od 2.886 tisuća kuna i stambene objekte u iznosu od 6.784 tisuće kuna</w:t>
      </w:r>
      <w:r w:rsidRPr="004B4498">
        <w:rPr>
          <w:rFonts w:ascii="Arial" w:hAnsi="Arial" w:cs="Arial"/>
          <w:color w:val="000000"/>
          <w:sz w:val="20"/>
          <w:szCs w:val="20"/>
          <w:lang w:val="hr-HR"/>
        </w:rPr>
        <w:t>).</w:t>
      </w:r>
    </w:p>
    <w:p w14:paraId="79EC3505" w14:textId="77777777" w:rsidR="004E2F51" w:rsidRPr="004B4498" w:rsidRDefault="004E2F51" w:rsidP="004E2F51">
      <w:pPr>
        <w:tabs>
          <w:tab w:val="left" w:pos="-1985"/>
        </w:tabs>
        <w:jc w:val="both"/>
        <w:rPr>
          <w:rFonts w:ascii="Arial" w:hAnsi="Arial" w:cs="Arial"/>
          <w:color w:val="000000" w:themeColor="text1"/>
          <w:sz w:val="20"/>
          <w:szCs w:val="20"/>
          <w:highlight w:val="yellow"/>
          <w:lang w:val="hr-HR"/>
        </w:rPr>
      </w:pPr>
    </w:p>
    <w:p w14:paraId="75BAFF84" w14:textId="77777777" w:rsidR="004E2F51" w:rsidRPr="004B4498" w:rsidRDefault="004E2F51" w:rsidP="004E2F51">
      <w:pPr>
        <w:jc w:val="both"/>
        <w:rPr>
          <w:rFonts w:ascii="Arial" w:hAnsi="Arial" w:cs="Arial"/>
          <w:color w:val="000000"/>
          <w:sz w:val="20"/>
          <w:szCs w:val="20"/>
          <w:lang w:val="hr-HR"/>
        </w:rPr>
      </w:pPr>
      <w:r w:rsidRPr="004B4498">
        <w:rPr>
          <w:rFonts w:ascii="Arial" w:hAnsi="Arial" w:cs="Arial"/>
          <w:color w:val="000000"/>
          <w:sz w:val="20"/>
          <w:szCs w:val="20"/>
          <w:lang w:val="hr-HR"/>
        </w:rPr>
        <w:t>U 202</w:t>
      </w:r>
      <w:r>
        <w:rPr>
          <w:rFonts w:ascii="Arial" w:hAnsi="Arial" w:cs="Arial"/>
          <w:color w:val="000000"/>
          <w:sz w:val="20"/>
          <w:szCs w:val="20"/>
          <w:lang w:val="hr-HR"/>
        </w:rPr>
        <w:t>2</w:t>
      </w:r>
      <w:r w:rsidRPr="004B4498">
        <w:rPr>
          <w:rFonts w:ascii="Arial" w:hAnsi="Arial" w:cs="Arial"/>
          <w:color w:val="000000"/>
          <w:sz w:val="20"/>
          <w:szCs w:val="20"/>
          <w:lang w:val="hr-HR"/>
        </w:rPr>
        <w:t xml:space="preserve">. godini je obavljen prijenos preuzete imovine u najam na poziciju Ulaganje u nekretnine u visini od </w:t>
      </w:r>
      <w:r>
        <w:rPr>
          <w:rFonts w:ascii="Arial" w:hAnsi="Arial" w:cs="Arial"/>
          <w:color w:val="000000"/>
          <w:sz w:val="20"/>
          <w:szCs w:val="20"/>
          <w:lang w:val="hr-HR"/>
        </w:rPr>
        <w:t>1.290</w:t>
      </w:r>
      <w:r w:rsidRPr="004B4498">
        <w:rPr>
          <w:rFonts w:ascii="Arial" w:hAnsi="Arial" w:cs="Arial"/>
          <w:color w:val="000000"/>
          <w:sz w:val="20"/>
          <w:szCs w:val="20"/>
          <w:lang w:val="hr-HR"/>
        </w:rPr>
        <w:t xml:space="preserve"> tisuća kuna (202</w:t>
      </w:r>
      <w:r>
        <w:rPr>
          <w:rFonts w:ascii="Arial" w:hAnsi="Arial" w:cs="Arial"/>
          <w:color w:val="000000"/>
          <w:sz w:val="20"/>
          <w:szCs w:val="20"/>
          <w:lang w:val="hr-HR"/>
        </w:rPr>
        <w:t>1</w:t>
      </w:r>
      <w:r w:rsidRPr="004B4498">
        <w:rPr>
          <w:rFonts w:ascii="Arial" w:hAnsi="Arial" w:cs="Arial"/>
          <w:color w:val="000000"/>
          <w:sz w:val="20"/>
          <w:szCs w:val="20"/>
          <w:lang w:val="hr-HR"/>
        </w:rPr>
        <w:t xml:space="preserve">. godine: </w:t>
      </w:r>
      <w:r>
        <w:rPr>
          <w:rFonts w:ascii="Arial" w:hAnsi="Arial" w:cs="Arial"/>
          <w:color w:val="000000"/>
          <w:sz w:val="20"/>
          <w:szCs w:val="20"/>
          <w:lang w:val="hr-HR"/>
        </w:rPr>
        <w:t>2</w:t>
      </w:r>
      <w:r w:rsidRPr="004B4498">
        <w:rPr>
          <w:rFonts w:ascii="Arial" w:hAnsi="Arial" w:cs="Arial"/>
          <w:color w:val="000000"/>
          <w:sz w:val="20"/>
          <w:szCs w:val="20"/>
          <w:lang w:val="hr-HR"/>
        </w:rPr>
        <w:t>.</w:t>
      </w:r>
      <w:r>
        <w:rPr>
          <w:rFonts w:ascii="Arial" w:hAnsi="Arial" w:cs="Arial"/>
          <w:color w:val="000000"/>
          <w:sz w:val="20"/>
          <w:szCs w:val="20"/>
          <w:lang w:val="hr-HR"/>
        </w:rPr>
        <w:t>757</w:t>
      </w:r>
      <w:r w:rsidRPr="004B4498">
        <w:rPr>
          <w:rFonts w:ascii="Arial" w:hAnsi="Arial" w:cs="Arial"/>
          <w:color w:val="000000"/>
          <w:sz w:val="20"/>
          <w:szCs w:val="20"/>
          <w:lang w:val="hr-HR"/>
        </w:rPr>
        <w:t xml:space="preserve"> tisuća kuna) što je iskazano u okviru Ostale imovine zbog nematerijalnog značaja. U 202</w:t>
      </w:r>
      <w:r>
        <w:rPr>
          <w:rFonts w:ascii="Arial" w:hAnsi="Arial" w:cs="Arial"/>
          <w:color w:val="000000"/>
          <w:sz w:val="20"/>
          <w:szCs w:val="20"/>
          <w:lang w:val="hr-HR"/>
        </w:rPr>
        <w:t>2</w:t>
      </w:r>
      <w:r w:rsidRPr="004B4498">
        <w:rPr>
          <w:rFonts w:ascii="Arial" w:hAnsi="Arial" w:cs="Arial"/>
          <w:color w:val="000000"/>
          <w:sz w:val="20"/>
          <w:szCs w:val="20"/>
          <w:lang w:val="hr-HR"/>
        </w:rPr>
        <w:t xml:space="preserve">. godini je na ovu imovinu obračunata amortizacija u visini od </w:t>
      </w:r>
      <w:r w:rsidRPr="008B50D6">
        <w:rPr>
          <w:rFonts w:ascii="Arial" w:hAnsi="Arial" w:cs="Arial"/>
          <w:color w:val="000000"/>
          <w:sz w:val="20"/>
          <w:szCs w:val="20"/>
          <w:lang w:val="hr-HR"/>
        </w:rPr>
        <w:t>133</w:t>
      </w:r>
      <w:r w:rsidRPr="004B4498">
        <w:rPr>
          <w:rFonts w:ascii="Arial" w:hAnsi="Arial" w:cs="Arial"/>
          <w:color w:val="000000"/>
          <w:sz w:val="20"/>
          <w:szCs w:val="20"/>
          <w:lang w:val="hr-HR"/>
        </w:rPr>
        <w:t xml:space="preserve"> tisuća kuna (202</w:t>
      </w:r>
      <w:r>
        <w:rPr>
          <w:rFonts w:ascii="Arial" w:hAnsi="Arial" w:cs="Arial"/>
          <w:color w:val="000000"/>
          <w:sz w:val="20"/>
          <w:szCs w:val="20"/>
          <w:lang w:val="hr-HR"/>
        </w:rPr>
        <w:t>1</w:t>
      </w:r>
      <w:r w:rsidRPr="004B4498">
        <w:rPr>
          <w:rFonts w:ascii="Arial" w:hAnsi="Arial" w:cs="Arial"/>
          <w:color w:val="000000"/>
          <w:sz w:val="20"/>
          <w:szCs w:val="20"/>
          <w:lang w:val="hr-HR"/>
        </w:rPr>
        <w:t xml:space="preserve">.: </w:t>
      </w:r>
      <w:r>
        <w:rPr>
          <w:rFonts w:ascii="Arial" w:hAnsi="Arial" w:cs="Arial"/>
          <w:color w:val="000000"/>
          <w:sz w:val="20"/>
          <w:szCs w:val="20"/>
          <w:lang w:val="hr-HR"/>
        </w:rPr>
        <w:t>133</w:t>
      </w:r>
      <w:r w:rsidRPr="004B4498">
        <w:rPr>
          <w:rFonts w:ascii="Arial" w:hAnsi="Arial" w:cs="Arial"/>
          <w:color w:val="000000"/>
          <w:sz w:val="20"/>
          <w:szCs w:val="20"/>
          <w:lang w:val="hr-HR"/>
        </w:rPr>
        <w:t xml:space="preserve"> tisuće kuna).</w:t>
      </w:r>
    </w:p>
    <w:p w14:paraId="21E97127" w14:textId="77777777" w:rsidR="004E2F51" w:rsidRPr="004B4498" w:rsidRDefault="004E2F51" w:rsidP="004E2F51">
      <w:pPr>
        <w:tabs>
          <w:tab w:val="left" w:pos="-1985"/>
        </w:tabs>
        <w:jc w:val="both"/>
        <w:rPr>
          <w:rFonts w:ascii="Arial" w:hAnsi="Arial" w:cs="Arial"/>
          <w:color w:val="000000" w:themeColor="text1"/>
          <w:sz w:val="20"/>
          <w:szCs w:val="20"/>
          <w:highlight w:val="yellow"/>
          <w:lang w:val="hr-HR"/>
        </w:rPr>
      </w:pPr>
    </w:p>
    <w:p w14:paraId="13A6A4EF" w14:textId="77777777" w:rsidR="004E2F51" w:rsidRPr="004B4498" w:rsidRDefault="004E2F51" w:rsidP="004E2F51">
      <w:pPr>
        <w:tabs>
          <w:tab w:val="left" w:pos="-1985"/>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Fer vrijednost </w:t>
      </w:r>
      <w:r>
        <w:rPr>
          <w:rFonts w:ascii="Arial" w:hAnsi="Arial" w:cs="Arial"/>
          <w:color w:val="000000" w:themeColor="text1"/>
          <w:sz w:val="20"/>
          <w:szCs w:val="20"/>
          <w:lang w:val="hr-HR"/>
        </w:rPr>
        <w:t xml:space="preserve">ukupne </w:t>
      </w:r>
      <w:r w:rsidRPr="004B4498">
        <w:rPr>
          <w:rFonts w:ascii="Arial" w:hAnsi="Arial" w:cs="Arial"/>
          <w:color w:val="000000" w:themeColor="text1"/>
          <w:sz w:val="20"/>
          <w:szCs w:val="20"/>
          <w:lang w:val="hr-HR"/>
        </w:rPr>
        <w:t xml:space="preserve">preuzete imovine na početku izvještajnog razdoblja iznosila je </w:t>
      </w:r>
      <w:r>
        <w:rPr>
          <w:rFonts w:ascii="Arial" w:hAnsi="Arial" w:cs="Arial"/>
          <w:color w:val="000000" w:themeColor="text1"/>
          <w:sz w:val="20"/>
          <w:szCs w:val="20"/>
          <w:lang w:val="hr-HR"/>
        </w:rPr>
        <w:t>29</w:t>
      </w:r>
      <w:r w:rsidRPr="004B4498">
        <w:rPr>
          <w:rFonts w:ascii="Arial" w:hAnsi="Arial" w:cs="Arial"/>
          <w:color w:val="000000" w:themeColor="text1"/>
          <w:sz w:val="20"/>
          <w:szCs w:val="20"/>
          <w:lang w:val="hr-HR"/>
        </w:rPr>
        <w:t>.</w:t>
      </w:r>
      <w:r>
        <w:rPr>
          <w:rFonts w:ascii="Arial" w:hAnsi="Arial" w:cs="Arial"/>
          <w:color w:val="000000" w:themeColor="text1"/>
          <w:sz w:val="20"/>
          <w:szCs w:val="20"/>
          <w:lang w:val="hr-HR"/>
        </w:rPr>
        <w:t>951</w:t>
      </w:r>
      <w:r w:rsidRPr="004B4498">
        <w:rPr>
          <w:rFonts w:ascii="Arial" w:hAnsi="Arial" w:cs="Arial"/>
          <w:color w:val="000000" w:themeColor="text1"/>
          <w:sz w:val="20"/>
          <w:szCs w:val="20"/>
          <w:lang w:val="hr-HR"/>
        </w:rPr>
        <w:t xml:space="preserve"> tisuća kuna, a na kraju izvještajnog razdoblja iznosi </w:t>
      </w:r>
      <w:r w:rsidRPr="008B50D6">
        <w:rPr>
          <w:rFonts w:ascii="Arial" w:hAnsi="Arial" w:cs="Arial"/>
          <w:color w:val="000000" w:themeColor="text1"/>
          <w:sz w:val="20"/>
          <w:szCs w:val="20"/>
          <w:lang w:val="hr-HR"/>
        </w:rPr>
        <w:t>42.122</w:t>
      </w:r>
      <w:r w:rsidRPr="004B4498">
        <w:rPr>
          <w:rFonts w:ascii="Arial" w:hAnsi="Arial" w:cs="Arial"/>
          <w:color w:val="000000" w:themeColor="text1"/>
          <w:sz w:val="20"/>
          <w:szCs w:val="20"/>
          <w:lang w:val="hr-HR"/>
        </w:rPr>
        <w:t xml:space="preserve"> tisuća kuna. </w:t>
      </w:r>
      <w:r>
        <w:rPr>
          <w:rFonts w:ascii="Arial" w:hAnsi="Arial" w:cs="Arial"/>
          <w:color w:val="000000" w:themeColor="text1"/>
          <w:sz w:val="20"/>
          <w:szCs w:val="20"/>
          <w:lang w:val="hr-HR"/>
        </w:rPr>
        <w:t>B</w:t>
      </w:r>
    </w:p>
    <w:p w14:paraId="7B122E67" w14:textId="77777777" w:rsidR="004E2F51" w:rsidRPr="004B4498" w:rsidRDefault="004E2F51" w:rsidP="004E2F51">
      <w:pPr>
        <w:tabs>
          <w:tab w:val="left" w:pos="-1985"/>
        </w:tabs>
        <w:jc w:val="both"/>
        <w:rPr>
          <w:rFonts w:ascii="Arial" w:hAnsi="Arial" w:cs="Arial"/>
          <w:color w:val="000000" w:themeColor="text1"/>
          <w:sz w:val="20"/>
          <w:szCs w:val="20"/>
          <w:highlight w:val="yellow"/>
          <w:lang w:val="hr-HR"/>
        </w:rPr>
      </w:pPr>
    </w:p>
    <w:p w14:paraId="038B0D7F" w14:textId="77777777" w:rsidR="004E2F51" w:rsidRPr="004B4498" w:rsidRDefault="004E2F51" w:rsidP="004E2F51">
      <w:pPr>
        <w:jc w:val="both"/>
        <w:rPr>
          <w:rFonts w:ascii="Arial" w:hAnsi="Arial" w:cs="Arial"/>
          <w:color w:val="000000"/>
          <w:sz w:val="20"/>
          <w:szCs w:val="20"/>
          <w:lang w:val="hr-HR"/>
        </w:rPr>
      </w:pPr>
      <w:bookmarkStart w:id="1182" w:name="_Hlk64972115"/>
      <w:r w:rsidRPr="004B4498">
        <w:rPr>
          <w:rFonts w:ascii="Arial" w:hAnsi="Arial" w:cs="Arial"/>
          <w:color w:val="000000"/>
          <w:sz w:val="20"/>
          <w:szCs w:val="20"/>
          <w:lang w:val="hr-HR"/>
        </w:rPr>
        <w:t>Iznos usklađenja za Grupu i Banku koji ima učinak na račun dobiti i gubitka u 202</w:t>
      </w:r>
      <w:r>
        <w:rPr>
          <w:rFonts w:ascii="Arial" w:hAnsi="Arial" w:cs="Arial"/>
          <w:color w:val="000000"/>
          <w:sz w:val="20"/>
          <w:szCs w:val="20"/>
          <w:lang w:val="hr-HR"/>
        </w:rPr>
        <w:t>2</w:t>
      </w:r>
      <w:r w:rsidRPr="004B4498">
        <w:rPr>
          <w:rFonts w:ascii="Arial" w:hAnsi="Arial" w:cs="Arial"/>
          <w:color w:val="000000"/>
          <w:sz w:val="20"/>
          <w:szCs w:val="20"/>
          <w:lang w:val="hr-HR"/>
        </w:rPr>
        <w:t xml:space="preserve">. godini iznosi </w:t>
      </w:r>
      <w:r>
        <w:rPr>
          <w:rFonts w:ascii="Arial" w:hAnsi="Arial" w:cs="Arial"/>
          <w:color w:val="000000"/>
          <w:sz w:val="20"/>
          <w:szCs w:val="20"/>
          <w:lang w:val="hr-HR"/>
        </w:rPr>
        <w:t>2.171</w:t>
      </w:r>
      <w:r w:rsidRPr="004B4498">
        <w:rPr>
          <w:rFonts w:ascii="Arial" w:hAnsi="Arial" w:cs="Arial"/>
          <w:color w:val="000000"/>
          <w:sz w:val="20"/>
          <w:szCs w:val="20"/>
          <w:lang w:val="hr-HR"/>
        </w:rPr>
        <w:t xml:space="preserve"> tisuće kuna (202</w:t>
      </w:r>
      <w:r>
        <w:rPr>
          <w:rFonts w:ascii="Arial" w:hAnsi="Arial" w:cs="Arial"/>
          <w:color w:val="000000"/>
          <w:sz w:val="20"/>
          <w:szCs w:val="20"/>
          <w:lang w:val="hr-HR"/>
        </w:rPr>
        <w:t>1</w:t>
      </w:r>
      <w:r w:rsidRPr="004B4498">
        <w:rPr>
          <w:rFonts w:ascii="Arial" w:hAnsi="Arial" w:cs="Arial"/>
          <w:color w:val="000000"/>
          <w:sz w:val="20"/>
          <w:szCs w:val="20"/>
          <w:lang w:val="hr-HR"/>
        </w:rPr>
        <w:t xml:space="preserve">. godina: povećanje od </w:t>
      </w:r>
      <w:r>
        <w:rPr>
          <w:rFonts w:ascii="Arial" w:hAnsi="Arial" w:cs="Arial"/>
          <w:color w:val="000000"/>
          <w:sz w:val="20"/>
          <w:szCs w:val="20"/>
          <w:lang w:val="hr-HR"/>
        </w:rPr>
        <w:t>750</w:t>
      </w:r>
      <w:r w:rsidRPr="004B4498">
        <w:rPr>
          <w:rFonts w:ascii="Arial" w:hAnsi="Arial" w:cs="Arial"/>
          <w:color w:val="000000"/>
          <w:sz w:val="20"/>
          <w:szCs w:val="20"/>
          <w:lang w:val="hr-HR"/>
        </w:rPr>
        <w:t xml:space="preserve"> tisuća kuna).</w:t>
      </w:r>
    </w:p>
    <w:bookmarkEnd w:id="1181"/>
    <w:p w14:paraId="08918028" w14:textId="77777777" w:rsidR="004E2F51" w:rsidRPr="004B4498" w:rsidRDefault="004E2F51" w:rsidP="004E2F51">
      <w:pPr>
        <w:tabs>
          <w:tab w:val="left" w:pos="-1985"/>
        </w:tabs>
        <w:jc w:val="both"/>
        <w:rPr>
          <w:rFonts w:ascii="Arial" w:hAnsi="Arial" w:cs="Arial"/>
          <w:color w:val="000000" w:themeColor="text1"/>
          <w:sz w:val="20"/>
          <w:szCs w:val="20"/>
          <w:lang w:val="hr-HR"/>
        </w:rPr>
      </w:pPr>
    </w:p>
    <w:bookmarkEnd w:id="1182"/>
    <w:p w14:paraId="50EE28CA"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5B9FB84E" w14:textId="77777777" w:rsidR="004E2F51" w:rsidRPr="004B4498" w:rsidRDefault="004E2F51" w:rsidP="004E2F51">
      <w:pPr>
        <w:pStyle w:val="Thick"/>
        <w:rPr>
          <w:rFonts w:cs="Arial"/>
          <w:color w:val="000000" w:themeColor="text1"/>
          <w:sz w:val="20"/>
          <w:lang w:val="hr-HR"/>
        </w:rPr>
      </w:pPr>
    </w:p>
    <w:p w14:paraId="196E69E5" w14:textId="77777777" w:rsidR="004E2F51" w:rsidRPr="00B91D09" w:rsidRDefault="004E2F51" w:rsidP="004E2F51">
      <w:pPr>
        <w:pStyle w:val="Thick"/>
        <w:rPr>
          <w:rFonts w:cs="Arial"/>
          <w:color w:val="000000" w:themeColor="text1"/>
          <w:sz w:val="22"/>
          <w:szCs w:val="22"/>
          <w:lang w:val="hr-HR"/>
        </w:rPr>
        <w:sectPr w:rsidR="004E2F51" w:rsidRPr="00B91D09" w:rsidSect="00623DBA">
          <w:footerReference w:type="default" r:id="rId146"/>
          <w:pgSz w:w="11907" w:h="16840" w:code="9"/>
          <w:pgMar w:top="1418" w:right="1134" w:bottom="1134" w:left="1418" w:header="851" w:footer="851" w:gutter="0"/>
          <w:cols w:space="720"/>
          <w:noEndnote/>
        </w:sectPr>
      </w:pPr>
    </w:p>
    <w:p w14:paraId="3BE13CB3" w14:textId="77777777" w:rsidR="004E2F51" w:rsidRPr="004B4498" w:rsidRDefault="004E2F51" w:rsidP="004E2F51">
      <w:pPr>
        <w:pStyle w:val="T1"/>
        <w:spacing w:before="0" w:after="0" w:line="240" w:lineRule="auto"/>
        <w:rPr>
          <w:rFonts w:cs="Arial"/>
          <w:color w:val="000000" w:themeColor="text1"/>
          <w:sz w:val="20"/>
          <w:lang w:val="hr-HR"/>
        </w:rPr>
      </w:pPr>
    </w:p>
    <w:p w14:paraId="4AE275F2" w14:textId="77777777" w:rsidR="004E2F51"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Pr>
          <w:rFonts w:cs="Arial"/>
          <w:color w:val="000000" w:themeColor="text1"/>
          <w:sz w:val="20"/>
          <w:lang w:val="hr-HR"/>
        </w:rPr>
        <w:t>1</w:t>
      </w:r>
      <w:r w:rsidRPr="004B4498">
        <w:rPr>
          <w:rFonts w:cs="Arial"/>
          <w:color w:val="000000" w:themeColor="text1"/>
          <w:sz w:val="20"/>
          <w:lang w:val="hr-HR"/>
        </w:rPr>
        <w:t>.</w:t>
      </w:r>
      <w:r w:rsidRPr="004B4498">
        <w:rPr>
          <w:rFonts w:cs="Arial"/>
          <w:color w:val="000000" w:themeColor="text1"/>
          <w:sz w:val="20"/>
          <w:lang w:val="hr-HR"/>
        </w:rPr>
        <w:tab/>
        <w:t>Ostala imovina</w:t>
      </w:r>
    </w:p>
    <w:p w14:paraId="6CD3935D"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p>
    <w:tbl>
      <w:tblPr>
        <w:tblW w:w="4909" w:type="pct"/>
        <w:tblLayout w:type="fixed"/>
        <w:tblCellMar>
          <w:left w:w="119" w:type="dxa"/>
          <w:right w:w="119" w:type="dxa"/>
        </w:tblCellMar>
        <w:tblLook w:val="0000" w:firstRow="0" w:lastRow="0" w:firstColumn="0" w:lastColumn="0" w:noHBand="0" w:noVBand="0"/>
      </w:tblPr>
      <w:tblGrid>
        <w:gridCol w:w="3515"/>
        <w:gridCol w:w="1418"/>
        <w:gridCol w:w="1418"/>
        <w:gridCol w:w="1418"/>
        <w:gridCol w:w="1416"/>
      </w:tblGrid>
      <w:tr w:rsidR="004E2F51" w:rsidRPr="003364B5" w14:paraId="5BA584F5" w14:textId="77777777" w:rsidTr="00020AA3">
        <w:trPr>
          <w:trHeight w:val="171"/>
        </w:trPr>
        <w:tc>
          <w:tcPr>
            <w:tcW w:w="1913" w:type="pct"/>
          </w:tcPr>
          <w:p w14:paraId="0BC93772" w14:textId="77777777" w:rsidR="004E2F51" w:rsidRPr="004B4498" w:rsidRDefault="004E2F51" w:rsidP="00E032FC">
            <w:pPr>
              <w:tabs>
                <w:tab w:val="left" w:pos="-720"/>
              </w:tabs>
              <w:rPr>
                <w:rFonts w:ascii="Arial" w:hAnsi="Arial" w:cs="Arial"/>
                <w:color w:val="000000" w:themeColor="text1"/>
                <w:spacing w:val="-2"/>
                <w:sz w:val="20"/>
                <w:szCs w:val="20"/>
                <w:lang w:val="hr-HR"/>
              </w:rPr>
            </w:pPr>
          </w:p>
        </w:tc>
        <w:tc>
          <w:tcPr>
            <w:tcW w:w="1543" w:type="pct"/>
            <w:gridSpan w:val="2"/>
          </w:tcPr>
          <w:p w14:paraId="4160D02E" w14:textId="77777777" w:rsidR="004E2F51" w:rsidRPr="004B4498" w:rsidRDefault="004E2F51" w:rsidP="00E032FC">
            <w:pPr>
              <w:pStyle w:val="TH"/>
              <w:jc w:val="right"/>
              <w:rPr>
                <w:rFonts w:cs="Arial"/>
                <w:color w:val="000000" w:themeColor="text1"/>
                <w:sz w:val="20"/>
                <w:lang w:val="hr-HR"/>
              </w:rPr>
            </w:pPr>
            <w:bookmarkStart w:id="1183" w:name="_Toc67328617"/>
            <w:r w:rsidRPr="004B4498">
              <w:rPr>
                <w:rFonts w:cs="Arial"/>
                <w:color w:val="000000" w:themeColor="text1"/>
                <w:sz w:val="20"/>
                <w:lang w:val="hr-HR"/>
              </w:rPr>
              <w:t>Grupa</w:t>
            </w:r>
            <w:bookmarkEnd w:id="1183"/>
          </w:p>
        </w:tc>
        <w:tc>
          <w:tcPr>
            <w:tcW w:w="1543" w:type="pct"/>
            <w:gridSpan w:val="2"/>
          </w:tcPr>
          <w:p w14:paraId="3A1F3E4B" w14:textId="77777777" w:rsidR="004E2F51" w:rsidRPr="004B4498" w:rsidRDefault="004E2F51" w:rsidP="00E032FC">
            <w:pPr>
              <w:pStyle w:val="TH"/>
              <w:jc w:val="right"/>
              <w:rPr>
                <w:rFonts w:cs="Arial"/>
                <w:color w:val="000000" w:themeColor="text1"/>
                <w:sz w:val="20"/>
                <w:lang w:val="hr-HR"/>
              </w:rPr>
            </w:pPr>
            <w:bookmarkStart w:id="1184" w:name="_Toc67328618"/>
            <w:r w:rsidRPr="004B4498">
              <w:rPr>
                <w:rFonts w:cs="Arial"/>
                <w:color w:val="000000" w:themeColor="text1"/>
                <w:sz w:val="20"/>
                <w:lang w:val="hr-HR"/>
              </w:rPr>
              <w:t>Banka</w:t>
            </w:r>
            <w:bookmarkEnd w:id="1184"/>
          </w:p>
        </w:tc>
      </w:tr>
      <w:tr w:rsidR="004E2F51" w:rsidRPr="003364B5" w14:paraId="748847E6" w14:textId="77777777" w:rsidTr="00020AA3">
        <w:trPr>
          <w:trHeight w:val="689"/>
        </w:trPr>
        <w:tc>
          <w:tcPr>
            <w:tcW w:w="1913" w:type="pct"/>
          </w:tcPr>
          <w:p w14:paraId="77EA904E" w14:textId="77777777" w:rsidR="004E2F51" w:rsidRPr="004B4498" w:rsidRDefault="004E2F51" w:rsidP="00E032FC">
            <w:pPr>
              <w:tabs>
                <w:tab w:val="left" w:pos="-720"/>
              </w:tabs>
              <w:rPr>
                <w:rFonts w:ascii="Arial" w:hAnsi="Arial" w:cs="Arial"/>
                <w:color w:val="000000" w:themeColor="text1"/>
                <w:spacing w:val="-2"/>
                <w:sz w:val="20"/>
                <w:szCs w:val="20"/>
                <w:lang w:val="hr-HR"/>
              </w:rPr>
            </w:pPr>
          </w:p>
        </w:tc>
        <w:tc>
          <w:tcPr>
            <w:tcW w:w="772" w:type="pct"/>
            <w:vAlign w:val="center"/>
          </w:tcPr>
          <w:p w14:paraId="7CAEF05A" w14:textId="77777777" w:rsidR="004E2F51" w:rsidRPr="004B4498" w:rsidRDefault="004E2F51" w:rsidP="00E032FC">
            <w:pPr>
              <w:pStyle w:val="TH"/>
              <w:jc w:val="right"/>
              <w:rPr>
                <w:rFonts w:cs="Arial"/>
                <w:color w:val="000000" w:themeColor="text1"/>
                <w:sz w:val="20"/>
                <w:lang w:val="hr-HR"/>
              </w:rPr>
            </w:pPr>
            <w:bookmarkStart w:id="1185" w:name="_Toc67328619"/>
            <w:r w:rsidRPr="004B4498">
              <w:rPr>
                <w:rFonts w:cs="Arial"/>
                <w:color w:val="000000" w:themeColor="text1"/>
                <w:sz w:val="20"/>
                <w:lang w:val="hr-HR"/>
              </w:rPr>
              <w:t>31. prosinca 202</w:t>
            </w:r>
            <w:r>
              <w:rPr>
                <w:rFonts w:cs="Arial"/>
                <w:color w:val="000000" w:themeColor="text1"/>
                <w:sz w:val="20"/>
                <w:lang w:val="hr-HR"/>
              </w:rPr>
              <w:t>2</w:t>
            </w:r>
            <w:r w:rsidRPr="004B4498">
              <w:rPr>
                <w:rFonts w:cs="Arial"/>
                <w:color w:val="000000" w:themeColor="text1"/>
                <w:sz w:val="20"/>
                <w:lang w:val="hr-HR"/>
              </w:rPr>
              <w:t>.</w:t>
            </w:r>
            <w:bookmarkEnd w:id="1185"/>
          </w:p>
        </w:tc>
        <w:tc>
          <w:tcPr>
            <w:tcW w:w="772" w:type="pct"/>
            <w:vAlign w:val="center"/>
          </w:tcPr>
          <w:p w14:paraId="5E479BD0" w14:textId="77777777" w:rsidR="004E2F51" w:rsidRPr="004B4498" w:rsidRDefault="004E2F51" w:rsidP="00E032FC">
            <w:pPr>
              <w:pStyle w:val="TH"/>
              <w:jc w:val="right"/>
              <w:rPr>
                <w:rFonts w:cs="Arial"/>
                <w:color w:val="000000" w:themeColor="text1"/>
                <w:sz w:val="20"/>
                <w:lang w:val="hr-HR"/>
              </w:rPr>
            </w:pPr>
            <w:bookmarkStart w:id="1186" w:name="_Toc67328620"/>
            <w:r w:rsidRPr="004B4498">
              <w:rPr>
                <w:rFonts w:cs="Arial"/>
                <w:color w:val="000000" w:themeColor="text1"/>
                <w:sz w:val="20"/>
                <w:lang w:val="hr-HR"/>
              </w:rPr>
              <w:t>31. prosinca 202</w:t>
            </w:r>
            <w:r>
              <w:rPr>
                <w:rFonts w:cs="Arial"/>
                <w:color w:val="000000" w:themeColor="text1"/>
                <w:sz w:val="20"/>
                <w:lang w:val="hr-HR"/>
              </w:rPr>
              <w:t>1</w:t>
            </w:r>
            <w:r w:rsidRPr="004B4498">
              <w:rPr>
                <w:rFonts w:cs="Arial"/>
                <w:color w:val="000000" w:themeColor="text1"/>
                <w:sz w:val="20"/>
                <w:lang w:val="hr-HR"/>
              </w:rPr>
              <w:t>.</w:t>
            </w:r>
            <w:bookmarkEnd w:id="1186"/>
          </w:p>
        </w:tc>
        <w:tc>
          <w:tcPr>
            <w:tcW w:w="772" w:type="pct"/>
            <w:vAlign w:val="center"/>
          </w:tcPr>
          <w:p w14:paraId="7C3162C9" w14:textId="77777777" w:rsidR="004E2F51" w:rsidRPr="004B4498" w:rsidRDefault="004E2F51" w:rsidP="00E032FC">
            <w:pPr>
              <w:pStyle w:val="TH"/>
              <w:jc w:val="right"/>
              <w:rPr>
                <w:rFonts w:cs="Arial"/>
                <w:color w:val="000000" w:themeColor="text1"/>
                <w:sz w:val="20"/>
                <w:lang w:val="hr-HR"/>
              </w:rPr>
            </w:pPr>
            <w:bookmarkStart w:id="1187" w:name="_Toc67328621"/>
            <w:r w:rsidRPr="004B4498">
              <w:rPr>
                <w:rFonts w:cs="Arial"/>
                <w:color w:val="000000" w:themeColor="text1"/>
                <w:sz w:val="20"/>
                <w:lang w:val="hr-HR"/>
              </w:rPr>
              <w:t>31. prosinca 202</w:t>
            </w:r>
            <w:r>
              <w:rPr>
                <w:rFonts w:cs="Arial"/>
                <w:color w:val="000000" w:themeColor="text1"/>
                <w:sz w:val="20"/>
                <w:lang w:val="hr-HR"/>
              </w:rPr>
              <w:t>2</w:t>
            </w:r>
            <w:r w:rsidRPr="004B4498">
              <w:rPr>
                <w:rFonts w:cs="Arial"/>
                <w:color w:val="000000" w:themeColor="text1"/>
                <w:sz w:val="20"/>
                <w:lang w:val="hr-HR"/>
              </w:rPr>
              <w:t>.</w:t>
            </w:r>
            <w:bookmarkEnd w:id="1187"/>
          </w:p>
        </w:tc>
        <w:tc>
          <w:tcPr>
            <w:tcW w:w="770" w:type="pct"/>
            <w:vAlign w:val="center"/>
          </w:tcPr>
          <w:p w14:paraId="0DA7AC43" w14:textId="77777777" w:rsidR="004E2F51" w:rsidRPr="004B4498" w:rsidRDefault="004E2F51" w:rsidP="00E032FC">
            <w:pPr>
              <w:pStyle w:val="TH"/>
              <w:jc w:val="right"/>
              <w:rPr>
                <w:rFonts w:cs="Arial"/>
                <w:color w:val="000000" w:themeColor="text1"/>
                <w:sz w:val="20"/>
                <w:lang w:val="hr-HR"/>
              </w:rPr>
            </w:pPr>
            <w:bookmarkStart w:id="1188" w:name="_Toc67328622"/>
            <w:r w:rsidRPr="004B4498">
              <w:rPr>
                <w:rFonts w:cs="Arial"/>
                <w:color w:val="000000" w:themeColor="text1"/>
                <w:sz w:val="20"/>
                <w:lang w:val="hr-HR"/>
              </w:rPr>
              <w:t>31. prosinca 202</w:t>
            </w:r>
            <w:r>
              <w:rPr>
                <w:rFonts w:cs="Arial"/>
                <w:color w:val="000000" w:themeColor="text1"/>
                <w:sz w:val="20"/>
                <w:lang w:val="hr-HR"/>
              </w:rPr>
              <w:t>1</w:t>
            </w:r>
            <w:r w:rsidRPr="004B4498">
              <w:rPr>
                <w:rFonts w:cs="Arial"/>
                <w:color w:val="000000" w:themeColor="text1"/>
                <w:sz w:val="20"/>
                <w:lang w:val="hr-HR"/>
              </w:rPr>
              <w:t>.</w:t>
            </w:r>
            <w:bookmarkEnd w:id="1188"/>
          </w:p>
        </w:tc>
      </w:tr>
      <w:tr w:rsidR="004E2F51" w:rsidRPr="003364B5" w14:paraId="422E496F" w14:textId="77777777" w:rsidTr="00020AA3">
        <w:trPr>
          <w:trHeight w:val="220"/>
        </w:trPr>
        <w:tc>
          <w:tcPr>
            <w:tcW w:w="1913" w:type="pct"/>
          </w:tcPr>
          <w:p w14:paraId="2B3B4049" w14:textId="77777777" w:rsidR="004E2F51" w:rsidRPr="004B4498" w:rsidRDefault="004E2F51" w:rsidP="00E032FC">
            <w:pPr>
              <w:tabs>
                <w:tab w:val="left" w:pos="-720"/>
              </w:tabs>
              <w:rPr>
                <w:rFonts w:ascii="Arial" w:hAnsi="Arial" w:cs="Arial"/>
                <w:color w:val="000000" w:themeColor="text1"/>
                <w:spacing w:val="-2"/>
                <w:sz w:val="20"/>
                <w:szCs w:val="20"/>
                <w:lang w:val="hr-HR"/>
              </w:rPr>
            </w:pPr>
          </w:p>
        </w:tc>
        <w:tc>
          <w:tcPr>
            <w:tcW w:w="772" w:type="pct"/>
          </w:tcPr>
          <w:p w14:paraId="1B1E0292" w14:textId="77777777" w:rsidR="004E2F51" w:rsidRPr="004B4498" w:rsidRDefault="004E2F51" w:rsidP="00E032FC">
            <w:pPr>
              <w:pStyle w:val="TH"/>
              <w:jc w:val="right"/>
              <w:rPr>
                <w:rFonts w:cs="Arial"/>
                <w:color w:val="000000" w:themeColor="text1"/>
                <w:sz w:val="20"/>
                <w:lang w:val="hr-HR"/>
              </w:rPr>
            </w:pPr>
            <w:bookmarkStart w:id="1189" w:name="_Toc67328623"/>
            <w:r w:rsidRPr="004B4498">
              <w:rPr>
                <w:rFonts w:cs="Arial"/>
                <w:color w:val="000000" w:themeColor="text1"/>
                <w:sz w:val="20"/>
                <w:lang w:val="hr-HR"/>
              </w:rPr>
              <w:t>000 kuna</w:t>
            </w:r>
            <w:bookmarkEnd w:id="1189"/>
          </w:p>
        </w:tc>
        <w:tc>
          <w:tcPr>
            <w:tcW w:w="772" w:type="pct"/>
          </w:tcPr>
          <w:p w14:paraId="69554A8B" w14:textId="77777777" w:rsidR="004E2F51" w:rsidRPr="004B4498" w:rsidRDefault="004E2F51" w:rsidP="00E032FC">
            <w:pPr>
              <w:pStyle w:val="TH"/>
              <w:jc w:val="right"/>
              <w:rPr>
                <w:rFonts w:cs="Arial"/>
                <w:color w:val="000000" w:themeColor="text1"/>
                <w:sz w:val="20"/>
                <w:lang w:val="hr-HR"/>
              </w:rPr>
            </w:pPr>
            <w:bookmarkStart w:id="1190" w:name="_Toc67328624"/>
            <w:r w:rsidRPr="004B4498">
              <w:rPr>
                <w:rFonts w:cs="Arial"/>
                <w:color w:val="000000" w:themeColor="text1"/>
                <w:sz w:val="20"/>
                <w:lang w:val="hr-HR"/>
              </w:rPr>
              <w:t>000 kuna</w:t>
            </w:r>
            <w:bookmarkEnd w:id="1190"/>
          </w:p>
        </w:tc>
        <w:tc>
          <w:tcPr>
            <w:tcW w:w="772" w:type="pct"/>
          </w:tcPr>
          <w:p w14:paraId="0819967C" w14:textId="77777777" w:rsidR="004E2F51" w:rsidRPr="004B4498" w:rsidRDefault="004E2F51" w:rsidP="00E032FC">
            <w:pPr>
              <w:pStyle w:val="TH"/>
              <w:jc w:val="right"/>
              <w:rPr>
                <w:rFonts w:cs="Arial"/>
                <w:color w:val="000000" w:themeColor="text1"/>
                <w:sz w:val="20"/>
                <w:lang w:val="hr-HR"/>
              </w:rPr>
            </w:pPr>
            <w:bookmarkStart w:id="1191" w:name="_Toc67328625"/>
            <w:r w:rsidRPr="004B4498">
              <w:rPr>
                <w:rFonts w:cs="Arial"/>
                <w:color w:val="000000" w:themeColor="text1"/>
                <w:sz w:val="20"/>
                <w:lang w:val="hr-HR"/>
              </w:rPr>
              <w:t>000 kuna</w:t>
            </w:r>
            <w:bookmarkEnd w:id="1191"/>
          </w:p>
        </w:tc>
        <w:tc>
          <w:tcPr>
            <w:tcW w:w="770" w:type="pct"/>
          </w:tcPr>
          <w:p w14:paraId="58AEBA4F" w14:textId="77777777" w:rsidR="004E2F51" w:rsidRPr="004B4498" w:rsidRDefault="004E2F51" w:rsidP="00E032FC">
            <w:pPr>
              <w:pStyle w:val="TH"/>
              <w:jc w:val="right"/>
              <w:rPr>
                <w:rFonts w:cs="Arial"/>
                <w:color w:val="000000" w:themeColor="text1"/>
                <w:sz w:val="20"/>
                <w:lang w:val="hr-HR"/>
              </w:rPr>
            </w:pPr>
            <w:bookmarkStart w:id="1192" w:name="_Toc67328626"/>
            <w:r w:rsidRPr="004B4498">
              <w:rPr>
                <w:rFonts w:cs="Arial"/>
                <w:color w:val="000000" w:themeColor="text1"/>
                <w:sz w:val="20"/>
                <w:lang w:val="hr-HR"/>
              </w:rPr>
              <w:t>000 kuna</w:t>
            </w:r>
            <w:bookmarkEnd w:id="1192"/>
          </w:p>
        </w:tc>
      </w:tr>
      <w:tr w:rsidR="004E2F51" w:rsidRPr="003364B5" w14:paraId="7D8EB5EE" w14:textId="77777777" w:rsidTr="00020AA3">
        <w:trPr>
          <w:trHeight w:val="231"/>
        </w:trPr>
        <w:tc>
          <w:tcPr>
            <w:tcW w:w="1913" w:type="pct"/>
          </w:tcPr>
          <w:p w14:paraId="04C3EDE9" w14:textId="77777777" w:rsidR="004E2F51" w:rsidRPr="004B4498" w:rsidRDefault="004E2F51" w:rsidP="00E032FC">
            <w:pPr>
              <w:tabs>
                <w:tab w:val="left" w:pos="-720"/>
              </w:tabs>
              <w:rPr>
                <w:rFonts w:ascii="Arial" w:hAnsi="Arial" w:cs="Arial"/>
                <w:color w:val="000000" w:themeColor="text1"/>
                <w:spacing w:val="-2"/>
                <w:sz w:val="20"/>
                <w:szCs w:val="20"/>
                <w:lang w:val="hr-HR"/>
              </w:rPr>
            </w:pPr>
          </w:p>
        </w:tc>
        <w:tc>
          <w:tcPr>
            <w:tcW w:w="772" w:type="pct"/>
          </w:tcPr>
          <w:p w14:paraId="6B8ABB2A" w14:textId="77777777" w:rsidR="004E2F51" w:rsidRPr="004B4498" w:rsidRDefault="004E2F51" w:rsidP="00E032FC">
            <w:pPr>
              <w:tabs>
                <w:tab w:val="left" w:pos="-720"/>
              </w:tabs>
              <w:jc w:val="right"/>
              <w:rPr>
                <w:rFonts w:ascii="Arial" w:hAnsi="Arial" w:cs="Arial"/>
                <w:b/>
                <w:color w:val="000000" w:themeColor="text1"/>
                <w:spacing w:val="-2"/>
                <w:sz w:val="20"/>
                <w:szCs w:val="20"/>
                <w:lang w:val="hr-HR"/>
              </w:rPr>
            </w:pPr>
          </w:p>
        </w:tc>
        <w:tc>
          <w:tcPr>
            <w:tcW w:w="772" w:type="pct"/>
          </w:tcPr>
          <w:p w14:paraId="443B2AF3" w14:textId="77777777" w:rsidR="004E2F51" w:rsidRPr="004B4498" w:rsidRDefault="004E2F51" w:rsidP="00E032FC">
            <w:pPr>
              <w:tabs>
                <w:tab w:val="left" w:pos="-720"/>
              </w:tabs>
              <w:jc w:val="right"/>
              <w:rPr>
                <w:rFonts w:ascii="Arial" w:hAnsi="Arial" w:cs="Arial"/>
                <w:b/>
                <w:color w:val="000000" w:themeColor="text1"/>
                <w:spacing w:val="-2"/>
                <w:sz w:val="20"/>
                <w:szCs w:val="20"/>
                <w:lang w:val="hr-HR"/>
              </w:rPr>
            </w:pPr>
          </w:p>
        </w:tc>
        <w:tc>
          <w:tcPr>
            <w:tcW w:w="772" w:type="pct"/>
            <w:vAlign w:val="bottom"/>
          </w:tcPr>
          <w:p w14:paraId="2CEB8D50" w14:textId="77777777" w:rsidR="004E2F51" w:rsidRPr="004B4498" w:rsidRDefault="004E2F51" w:rsidP="00E032FC">
            <w:pPr>
              <w:tabs>
                <w:tab w:val="left" w:pos="-720"/>
              </w:tabs>
              <w:jc w:val="right"/>
              <w:rPr>
                <w:rFonts w:ascii="Arial" w:hAnsi="Arial" w:cs="Arial"/>
                <w:b/>
                <w:color w:val="000000" w:themeColor="text1"/>
                <w:spacing w:val="-2"/>
                <w:sz w:val="20"/>
                <w:szCs w:val="20"/>
                <w:lang w:val="hr-HR"/>
              </w:rPr>
            </w:pPr>
          </w:p>
        </w:tc>
        <w:tc>
          <w:tcPr>
            <w:tcW w:w="770" w:type="pct"/>
            <w:vAlign w:val="bottom"/>
          </w:tcPr>
          <w:p w14:paraId="6398F227" w14:textId="77777777" w:rsidR="004E2F51" w:rsidRPr="004B4498" w:rsidRDefault="004E2F51" w:rsidP="00E032FC">
            <w:pPr>
              <w:tabs>
                <w:tab w:val="left" w:pos="-720"/>
              </w:tabs>
              <w:jc w:val="right"/>
              <w:rPr>
                <w:rFonts w:ascii="Arial" w:hAnsi="Arial" w:cs="Arial"/>
                <w:b/>
                <w:color w:val="000000" w:themeColor="text1"/>
                <w:spacing w:val="-2"/>
                <w:sz w:val="20"/>
                <w:szCs w:val="20"/>
                <w:lang w:val="hr-HR"/>
              </w:rPr>
            </w:pPr>
          </w:p>
        </w:tc>
      </w:tr>
      <w:tr w:rsidR="004E2F51" w:rsidRPr="003364B5" w14:paraId="4C9799E2" w14:textId="77777777" w:rsidTr="00020AA3">
        <w:trPr>
          <w:trHeight w:val="278"/>
        </w:trPr>
        <w:tc>
          <w:tcPr>
            <w:tcW w:w="1913" w:type="pct"/>
          </w:tcPr>
          <w:p w14:paraId="66E65DA6" w14:textId="787265AB" w:rsidR="004E2F51" w:rsidRPr="004B4498" w:rsidRDefault="004E2F51" w:rsidP="00E032FC">
            <w:pPr>
              <w:pStyle w:val="TT"/>
              <w:rPr>
                <w:rFonts w:cs="Arial"/>
                <w:color w:val="000000" w:themeColor="text1"/>
                <w:sz w:val="20"/>
                <w:lang w:val="hr-HR"/>
              </w:rPr>
            </w:pPr>
            <w:bookmarkStart w:id="1193" w:name="_Toc67328627"/>
            <w:r w:rsidRPr="004B4498">
              <w:rPr>
                <w:rFonts w:cs="Arial"/>
                <w:color w:val="000000" w:themeColor="text1"/>
                <w:sz w:val="20"/>
                <w:lang w:val="hr-HR"/>
              </w:rPr>
              <w:t>Potraživanja po naknadama</w:t>
            </w:r>
            <w:bookmarkEnd w:id="1193"/>
          </w:p>
        </w:tc>
        <w:tc>
          <w:tcPr>
            <w:tcW w:w="772" w:type="pct"/>
            <w:tcBorders>
              <w:top w:val="nil"/>
              <w:left w:val="nil"/>
              <w:bottom w:val="nil"/>
              <w:right w:val="nil"/>
            </w:tcBorders>
            <w:shd w:val="clear" w:color="auto" w:fill="auto"/>
            <w:vAlign w:val="bottom"/>
          </w:tcPr>
          <w:p w14:paraId="2EA3A29D"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26.676 </w:t>
            </w:r>
          </w:p>
        </w:tc>
        <w:tc>
          <w:tcPr>
            <w:tcW w:w="772" w:type="pct"/>
            <w:tcBorders>
              <w:top w:val="nil"/>
              <w:left w:val="nil"/>
              <w:bottom w:val="nil"/>
              <w:right w:val="nil"/>
            </w:tcBorders>
            <w:shd w:val="clear" w:color="auto" w:fill="auto"/>
            <w:vAlign w:val="bottom"/>
          </w:tcPr>
          <w:p w14:paraId="56A23DCC"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25.787</w:t>
            </w:r>
          </w:p>
        </w:tc>
        <w:tc>
          <w:tcPr>
            <w:tcW w:w="772" w:type="pct"/>
            <w:tcBorders>
              <w:top w:val="nil"/>
              <w:left w:val="nil"/>
              <w:bottom w:val="nil"/>
              <w:right w:val="nil"/>
            </w:tcBorders>
            <w:shd w:val="clear" w:color="auto" w:fill="auto"/>
            <w:vAlign w:val="bottom"/>
          </w:tcPr>
          <w:p w14:paraId="29299001"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26.676 </w:t>
            </w:r>
          </w:p>
        </w:tc>
        <w:tc>
          <w:tcPr>
            <w:tcW w:w="770" w:type="pct"/>
            <w:tcBorders>
              <w:top w:val="nil"/>
              <w:left w:val="nil"/>
              <w:bottom w:val="nil"/>
              <w:right w:val="nil"/>
            </w:tcBorders>
            <w:shd w:val="clear" w:color="auto" w:fill="auto"/>
            <w:vAlign w:val="bottom"/>
          </w:tcPr>
          <w:p w14:paraId="3A86487C"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25.787</w:t>
            </w:r>
          </w:p>
        </w:tc>
      </w:tr>
      <w:tr w:rsidR="004E2F51" w:rsidRPr="003364B5" w14:paraId="57B28ACB" w14:textId="77777777" w:rsidTr="00020AA3">
        <w:trPr>
          <w:trHeight w:val="259"/>
        </w:trPr>
        <w:tc>
          <w:tcPr>
            <w:tcW w:w="1913" w:type="pct"/>
          </w:tcPr>
          <w:p w14:paraId="6EF74EF6" w14:textId="207C8201" w:rsidR="004E2F51" w:rsidRPr="004B4498" w:rsidRDefault="004E2F51" w:rsidP="00E032FC">
            <w:pPr>
              <w:pStyle w:val="TT"/>
              <w:rPr>
                <w:rFonts w:cs="Arial"/>
                <w:color w:val="000000" w:themeColor="text1"/>
                <w:sz w:val="20"/>
                <w:lang w:val="hr-HR"/>
              </w:rPr>
            </w:pPr>
            <w:bookmarkStart w:id="1194" w:name="_Toc67328632"/>
            <w:r w:rsidRPr="004B4498">
              <w:rPr>
                <w:rFonts w:cs="Arial"/>
                <w:color w:val="000000" w:themeColor="text1"/>
                <w:sz w:val="20"/>
                <w:lang w:val="hr-HR"/>
              </w:rPr>
              <w:t>Ostala potraživanja</w:t>
            </w:r>
            <w:bookmarkEnd w:id="1194"/>
          </w:p>
        </w:tc>
        <w:tc>
          <w:tcPr>
            <w:tcW w:w="772" w:type="pct"/>
            <w:tcBorders>
              <w:top w:val="nil"/>
              <w:left w:val="nil"/>
              <w:bottom w:val="nil"/>
              <w:right w:val="nil"/>
            </w:tcBorders>
            <w:shd w:val="clear" w:color="auto" w:fill="auto"/>
            <w:vAlign w:val="bottom"/>
          </w:tcPr>
          <w:p w14:paraId="209D27BC"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12.24</w:t>
            </w:r>
            <w:r>
              <w:rPr>
                <w:rFonts w:cs="Arial"/>
                <w:color w:val="000000" w:themeColor="text1"/>
                <w:sz w:val="20"/>
                <w:lang w:val="hr-HR"/>
              </w:rPr>
              <w:t>4</w:t>
            </w:r>
            <w:r w:rsidRPr="00AA2D5F">
              <w:rPr>
                <w:rFonts w:cs="Arial"/>
                <w:color w:val="000000" w:themeColor="text1"/>
                <w:sz w:val="20"/>
                <w:lang w:val="hr-HR"/>
              </w:rPr>
              <w:t xml:space="preserve"> </w:t>
            </w:r>
          </w:p>
        </w:tc>
        <w:tc>
          <w:tcPr>
            <w:tcW w:w="772" w:type="pct"/>
            <w:tcBorders>
              <w:top w:val="nil"/>
              <w:left w:val="nil"/>
              <w:bottom w:val="nil"/>
              <w:right w:val="nil"/>
            </w:tcBorders>
            <w:shd w:val="clear" w:color="auto" w:fill="auto"/>
            <w:vAlign w:val="bottom"/>
          </w:tcPr>
          <w:p w14:paraId="480A0E38"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10.609</w:t>
            </w:r>
          </w:p>
        </w:tc>
        <w:tc>
          <w:tcPr>
            <w:tcW w:w="772" w:type="pct"/>
            <w:tcBorders>
              <w:top w:val="nil"/>
              <w:left w:val="nil"/>
              <w:bottom w:val="nil"/>
              <w:right w:val="nil"/>
            </w:tcBorders>
            <w:shd w:val="clear" w:color="auto" w:fill="auto"/>
            <w:vAlign w:val="bottom"/>
          </w:tcPr>
          <w:p w14:paraId="44D059A7"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12.24</w:t>
            </w:r>
            <w:r>
              <w:rPr>
                <w:rFonts w:cs="Arial"/>
                <w:color w:val="000000" w:themeColor="text1"/>
                <w:sz w:val="20"/>
                <w:lang w:val="hr-HR"/>
              </w:rPr>
              <w:t>4</w:t>
            </w:r>
            <w:r w:rsidRPr="00AA2D5F">
              <w:rPr>
                <w:rFonts w:cs="Arial"/>
                <w:color w:val="000000" w:themeColor="text1"/>
                <w:sz w:val="20"/>
                <w:lang w:val="hr-HR"/>
              </w:rPr>
              <w:t xml:space="preserve"> </w:t>
            </w:r>
          </w:p>
        </w:tc>
        <w:tc>
          <w:tcPr>
            <w:tcW w:w="770" w:type="pct"/>
            <w:tcBorders>
              <w:top w:val="nil"/>
              <w:left w:val="nil"/>
              <w:bottom w:val="nil"/>
              <w:right w:val="nil"/>
            </w:tcBorders>
            <w:shd w:val="clear" w:color="auto" w:fill="auto"/>
            <w:vAlign w:val="bottom"/>
          </w:tcPr>
          <w:p w14:paraId="080C374F"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10.609</w:t>
            </w:r>
          </w:p>
        </w:tc>
      </w:tr>
      <w:tr w:rsidR="004E2F51" w:rsidRPr="003364B5" w14:paraId="63EBE54C" w14:textId="77777777" w:rsidTr="00020AA3">
        <w:trPr>
          <w:trHeight w:val="278"/>
        </w:trPr>
        <w:tc>
          <w:tcPr>
            <w:tcW w:w="1913" w:type="pct"/>
          </w:tcPr>
          <w:p w14:paraId="77837751" w14:textId="2C1E6236" w:rsidR="004E2F51" w:rsidRPr="004B4498" w:rsidRDefault="004E2F51" w:rsidP="00E032FC">
            <w:pPr>
              <w:pStyle w:val="TT"/>
              <w:rPr>
                <w:rFonts w:cs="Arial"/>
                <w:color w:val="000000" w:themeColor="text1"/>
                <w:sz w:val="20"/>
                <w:lang w:val="hr-HR"/>
              </w:rPr>
            </w:pPr>
            <w:bookmarkStart w:id="1195" w:name="_Toc67328637"/>
            <w:r w:rsidRPr="004B4498">
              <w:rPr>
                <w:rFonts w:cs="Arial"/>
                <w:color w:val="000000" w:themeColor="text1"/>
                <w:sz w:val="20"/>
                <w:lang w:val="hr-HR"/>
              </w:rPr>
              <w:t>Unaprijed plaćeni troškovi</w:t>
            </w:r>
            <w:bookmarkEnd w:id="1195"/>
          </w:p>
        </w:tc>
        <w:tc>
          <w:tcPr>
            <w:tcW w:w="772" w:type="pct"/>
            <w:tcBorders>
              <w:top w:val="nil"/>
              <w:left w:val="nil"/>
              <w:bottom w:val="nil"/>
              <w:right w:val="nil"/>
            </w:tcBorders>
            <w:shd w:val="clear" w:color="auto" w:fill="auto"/>
            <w:vAlign w:val="bottom"/>
          </w:tcPr>
          <w:p w14:paraId="09855C02"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2.913 </w:t>
            </w:r>
          </w:p>
        </w:tc>
        <w:tc>
          <w:tcPr>
            <w:tcW w:w="772" w:type="pct"/>
            <w:tcBorders>
              <w:top w:val="nil"/>
              <w:left w:val="nil"/>
              <w:bottom w:val="nil"/>
              <w:right w:val="nil"/>
            </w:tcBorders>
            <w:shd w:val="clear" w:color="auto" w:fill="auto"/>
            <w:vAlign w:val="bottom"/>
          </w:tcPr>
          <w:p w14:paraId="5C277CAF"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3.344</w:t>
            </w:r>
          </w:p>
        </w:tc>
        <w:tc>
          <w:tcPr>
            <w:tcW w:w="772" w:type="pct"/>
            <w:tcBorders>
              <w:top w:val="nil"/>
              <w:left w:val="nil"/>
              <w:bottom w:val="nil"/>
              <w:right w:val="nil"/>
            </w:tcBorders>
            <w:shd w:val="clear" w:color="auto" w:fill="auto"/>
            <w:vAlign w:val="bottom"/>
          </w:tcPr>
          <w:p w14:paraId="71E73C1C"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2.514 </w:t>
            </w:r>
          </w:p>
        </w:tc>
        <w:tc>
          <w:tcPr>
            <w:tcW w:w="770" w:type="pct"/>
            <w:tcBorders>
              <w:top w:val="nil"/>
              <w:left w:val="nil"/>
              <w:bottom w:val="nil"/>
              <w:right w:val="nil"/>
            </w:tcBorders>
            <w:shd w:val="clear" w:color="auto" w:fill="auto"/>
            <w:vAlign w:val="bottom"/>
          </w:tcPr>
          <w:p w14:paraId="4EF9E5A6"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3.018</w:t>
            </w:r>
          </w:p>
        </w:tc>
      </w:tr>
      <w:tr w:rsidR="004E2F51" w:rsidRPr="003364B5" w14:paraId="461DD304" w14:textId="77777777" w:rsidTr="00020AA3">
        <w:trPr>
          <w:trHeight w:val="278"/>
        </w:trPr>
        <w:tc>
          <w:tcPr>
            <w:tcW w:w="1913" w:type="pct"/>
          </w:tcPr>
          <w:p w14:paraId="6BC88633" w14:textId="7AA61182" w:rsidR="004E2F51" w:rsidRPr="004B4498" w:rsidRDefault="004E2F51" w:rsidP="00E032FC">
            <w:pPr>
              <w:pStyle w:val="TT"/>
              <w:rPr>
                <w:rFonts w:cs="Arial"/>
                <w:color w:val="000000" w:themeColor="text1"/>
                <w:sz w:val="20"/>
                <w:lang w:val="hr-HR"/>
              </w:rPr>
            </w:pPr>
            <w:bookmarkStart w:id="1196" w:name="_Toc67328642"/>
            <w:r w:rsidRPr="004B4498">
              <w:rPr>
                <w:rFonts w:cs="Arial"/>
                <w:color w:val="000000" w:themeColor="text1"/>
                <w:sz w:val="20"/>
                <w:lang w:val="hr-HR"/>
              </w:rPr>
              <w:t>Obračunati prihodi</w:t>
            </w:r>
            <w:bookmarkEnd w:id="1196"/>
            <w:r w:rsidRPr="004B4498">
              <w:rPr>
                <w:rFonts w:cs="Arial"/>
                <w:color w:val="000000" w:themeColor="text1"/>
                <w:sz w:val="20"/>
                <w:lang w:val="hr-HR"/>
              </w:rPr>
              <w:t xml:space="preserve"> </w:t>
            </w:r>
          </w:p>
        </w:tc>
        <w:tc>
          <w:tcPr>
            <w:tcW w:w="772" w:type="pct"/>
            <w:tcBorders>
              <w:top w:val="nil"/>
              <w:left w:val="nil"/>
              <w:bottom w:val="nil"/>
              <w:right w:val="nil"/>
            </w:tcBorders>
            <w:shd w:val="clear" w:color="auto" w:fill="auto"/>
            <w:vAlign w:val="bottom"/>
          </w:tcPr>
          <w:p w14:paraId="06D13A75"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16.551 </w:t>
            </w:r>
          </w:p>
        </w:tc>
        <w:tc>
          <w:tcPr>
            <w:tcW w:w="772" w:type="pct"/>
            <w:tcBorders>
              <w:top w:val="nil"/>
              <w:left w:val="nil"/>
              <w:bottom w:val="nil"/>
              <w:right w:val="nil"/>
            </w:tcBorders>
            <w:shd w:val="clear" w:color="auto" w:fill="auto"/>
            <w:vAlign w:val="bottom"/>
          </w:tcPr>
          <w:p w14:paraId="23BC4B96"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22.923</w:t>
            </w:r>
          </w:p>
        </w:tc>
        <w:tc>
          <w:tcPr>
            <w:tcW w:w="772" w:type="pct"/>
            <w:tcBorders>
              <w:top w:val="nil"/>
              <w:left w:val="nil"/>
              <w:bottom w:val="nil"/>
              <w:right w:val="nil"/>
            </w:tcBorders>
            <w:shd w:val="clear" w:color="auto" w:fill="auto"/>
            <w:vAlign w:val="bottom"/>
          </w:tcPr>
          <w:p w14:paraId="09AC6BFF"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16.550 </w:t>
            </w:r>
          </w:p>
        </w:tc>
        <w:tc>
          <w:tcPr>
            <w:tcW w:w="770" w:type="pct"/>
            <w:tcBorders>
              <w:top w:val="nil"/>
              <w:left w:val="nil"/>
              <w:bottom w:val="nil"/>
              <w:right w:val="nil"/>
            </w:tcBorders>
            <w:shd w:val="clear" w:color="auto" w:fill="auto"/>
            <w:vAlign w:val="bottom"/>
          </w:tcPr>
          <w:p w14:paraId="36B7D973"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22.921</w:t>
            </w:r>
          </w:p>
        </w:tc>
      </w:tr>
      <w:tr w:rsidR="004E2F51" w:rsidRPr="003364B5" w14:paraId="718EFE12" w14:textId="77777777" w:rsidTr="00020AA3">
        <w:trPr>
          <w:trHeight w:val="278"/>
        </w:trPr>
        <w:tc>
          <w:tcPr>
            <w:tcW w:w="1913" w:type="pct"/>
          </w:tcPr>
          <w:p w14:paraId="013509D0" w14:textId="5F328862" w:rsidR="004E2F51" w:rsidRPr="004B4498" w:rsidRDefault="004E2F51" w:rsidP="00E032FC">
            <w:pPr>
              <w:pStyle w:val="TT"/>
              <w:rPr>
                <w:rFonts w:cs="Arial"/>
                <w:color w:val="000000" w:themeColor="text1"/>
                <w:sz w:val="20"/>
                <w:lang w:val="hr-HR"/>
              </w:rPr>
            </w:pPr>
            <w:bookmarkStart w:id="1197" w:name="_Toc67328647"/>
            <w:r w:rsidRPr="004B4498">
              <w:rPr>
                <w:rFonts w:cs="Arial"/>
                <w:color w:val="000000" w:themeColor="text1"/>
                <w:sz w:val="20"/>
                <w:lang w:val="hr-HR"/>
              </w:rPr>
              <w:t>Potraživanja po premijama</w:t>
            </w:r>
            <w:bookmarkEnd w:id="1197"/>
          </w:p>
        </w:tc>
        <w:tc>
          <w:tcPr>
            <w:tcW w:w="772" w:type="pct"/>
            <w:tcBorders>
              <w:top w:val="nil"/>
              <w:left w:val="nil"/>
              <w:bottom w:val="nil"/>
              <w:right w:val="nil"/>
            </w:tcBorders>
            <w:shd w:val="clear" w:color="auto" w:fill="auto"/>
            <w:vAlign w:val="bottom"/>
          </w:tcPr>
          <w:p w14:paraId="6AC61D5E"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3.57</w:t>
            </w:r>
            <w:r>
              <w:rPr>
                <w:rFonts w:cs="Arial"/>
                <w:color w:val="000000" w:themeColor="text1"/>
                <w:sz w:val="20"/>
                <w:lang w:val="hr-HR"/>
              </w:rPr>
              <w:t>5</w:t>
            </w:r>
            <w:r w:rsidRPr="00AA2D5F">
              <w:rPr>
                <w:rFonts w:cs="Arial"/>
                <w:color w:val="000000" w:themeColor="text1"/>
                <w:sz w:val="20"/>
                <w:lang w:val="hr-HR"/>
              </w:rPr>
              <w:t xml:space="preserve"> </w:t>
            </w:r>
          </w:p>
        </w:tc>
        <w:tc>
          <w:tcPr>
            <w:tcW w:w="772" w:type="pct"/>
            <w:tcBorders>
              <w:top w:val="nil"/>
              <w:left w:val="nil"/>
              <w:bottom w:val="nil"/>
              <w:right w:val="nil"/>
            </w:tcBorders>
            <w:shd w:val="clear" w:color="auto" w:fill="auto"/>
            <w:vAlign w:val="bottom"/>
          </w:tcPr>
          <w:p w14:paraId="4D6190D1"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1.797</w:t>
            </w:r>
          </w:p>
        </w:tc>
        <w:tc>
          <w:tcPr>
            <w:tcW w:w="772" w:type="pct"/>
            <w:tcBorders>
              <w:top w:val="nil"/>
              <w:left w:val="nil"/>
              <w:bottom w:val="nil"/>
              <w:right w:val="nil"/>
            </w:tcBorders>
            <w:shd w:val="clear" w:color="auto" w:fill="auto"/>
            <w:vAlign w:val="bottom"/>
          </w:tcPr>
          <w:p w14:paraId="32FD7612"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 </w:t>
            </w:r>
          </w:p>
        </w:tc>
        <w:tc>
          <w:tcPr>
            <w:tcW w:w="770" w:type="pct"/>
            <w:tcBorders>
              <w:top w:val="nil"/>
              <w:left w:val="nil"/>
              <w:bottom w:val="nil"/>
              <w:right w:val="nil"/>
            </w:tcBorders>
            <w:shd w:val="clear" w:color="auto" w:fill="auto"/>
            <w:vAlign w:val="bottom"/>
          </w:tcPr>
          <w:p w14:paraId="40A769B4" w14:textId="77777777" w:rsidR="004E2F51" w:rsidRPr="004B4498" w:rsidRDefault="004E2F51" w:rsidP="00E032FC">
            <w:pPr>
              <w:pStyle w:val="TT"/>
              <w:jc w:val="right"/>
              <w:rPr>
                <w:rFonts w:cs="Arial"/>
                <w:color w:val="000000" w:themeColor="text1"/>
                <w:sz w:val="20"/>
                <w:lang w:val="hr-HR"/>
              </w:rPr>
            </w:pPr>
            <w:bookmarkStart w:id="1198" w:name="_Toc67328650"/>
            <w:r w:rsidRPr="0046584E">
              <w:rPr>
                <w:rFonts w:cs="Arial"/>
                <w:color w:val="000000" w:themeColor="text1"/>
                <w:sz w:val="20"/>
                <w:lang w:val="hr-HR"/>
              </w:rPr>
              <w:t>-</w:t>
            </w:r>
            <w:bookmarkEnd w:id="1198"/>
          </w:p>
        </w:tc>
      </w:tr>
      <w:tr w:rsidR="004E2F51" w:rsidRPr="003364B5" w14:paraId="692BFE34" w14:textId="77777777" w:rsidTr="00020AA3">
        <w:trPr>
          <w:trHeight w:val="278"/>
        </w:trPr>
        <w:tc>
          <w:tcPr>
            <w:tcW w:w="1913" w:type="pct"/>
          </w:tcPr>
          <w:p w14:paraId="15B5F705" w14:textId="6845B86D" w:rsidR="004E2F51" w:rsidRPr="004B4498" w:rsidRDefault="004E2F51" w:rsidP="00E032FC">
            <w:pPr>
              <w:pStyle w:val="TT"/>
              <w:rPr>
                <w:rFonts w:cs="Arial"/>
                <w:color w:val="000000" w:themeColor="text1"/>
                <w:sz w:val="20"/>
                <w:lang w:val="hr-HR"/>
              </w:rPr>
            </w:pPr>
            <w:bookmarkStart w:id="1199" w:name="_Toc67328652"/>
            <w:r w:rsidRPr="004B4498">
              <w:rPr>
                <w:rFonts w:cs="Arial"/>
                <w:color w:val="000000" w:themeColor="text1"/>
                <w:sz w:val="20"/>
                <w:lang w:val="hr-HR"/>
              </w:rPr>
              <w:t>Potraživanja po provizijama od reosiguranja</w:t>
            </w:r>
            <w:bookmarkEnd w:id="1199"/>
          </w:p>
        </w:tc>
        <w:tc>
          <w:tcPr>
            <w:tcW w:w="772" w:type="pct"/>
            <w:tcBorders>
              <w:top w:val="nil"/>
              <w:left w:val="nil"/>
              <w:bottom w:val="nil"/>
              <w:right w:val="nil"/>
            </w:tcBorders>
            <w:shd w:val="clear" w:color="auto" w:fill="auto"/>
            <w:vAlign w:val="bottom"/>
          </w:tcPr>
          <w:p w14:paraId="00D245AD"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2.259 </w:t>
            </w:r>
          </w:p>
        </w:tc>
        <w:tc>
          <w:tcPr>
            <w:tcW w:w="772" w:type="pct"/>
            <w:tcBorders>
              <w:top w:val="nil"/>
              <w:left w:val="nil"/>
              <w:bottom w:val="nil"/>
              <w:right w:val="nil"/>
            </w:tcBorders>
            <w:shd w:val="clear" w:color="auto" w:fill="auto"/>
            <w:vAlign w:val="bottom"/>
          </w:tcPr>
          <w:p w14:paraId="1DC79C92"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645</w:t>
            </w:r>
          </w:p>
        </w:tc>
        <w:tc>
          <w:tcPr>
            <w:tcW w:w="772" w:type="pct"/>
            <w:tcBorders>
              <w:top w:val="nil"/>
              <w:left w:val="nil"/>
              <w:bottom w:val="nil"/>
              <w:right w:val="nil"/>
            </w:tcBorders>
            <w:shd w:val="clear" w:color="auto" w:fill="auto"/>
            <w:vAlign w:val="bottom"/>
          </w:tcPr>
          <w:p w14:paraId="0DCE52A7"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    </w:t>
            </w:r>
          </w:p>
        </w:tc>
        <w:tc>
          <w:tcPr>
            <w:tcW w:w="770" w:type="pct"/>
            <w:tcBorders>
              <w:top w:val="nil"/>
              <w:left w:val="nil"/>
              <w:bottom w:val="nil"/>
              <w:right w:val="nil"/>
            </w:tcBorders>
            <w:shd w:val="clear" w:color="auto" w:fill="auto"/>
            <w:vAlign w:val="bottom"/>
          </w:tcPr>
          <w:p w14:paraId="3F4585D4" w14:textId="77777777" w:rsidR="004E2F51" w:rsidRPr="004B4498" w:rsidRDefault="004E2F51" w:rsidP="00E032FC">
            <w:pPr>
              <w:pStyle w:val="TT"/>
              <w:jc w:val="right"/>
              <w:rPr>
                <w:rFonts w:cs="Arial"/>
                <w:color w:val="000000" w:themeColor="text1"/>
                <w:sz w:val="20"/>
                <w:lang w:val="hr-HR"/>
              </w:rPr>
            </w:pPr>
            <w:bookmarkStart w:id="1200" w:name="_Toc67328655"/>
            <w:r w:rsidRPr="0046584E">
              <w:rPr>
                <w:rFonts w:cs="Arial"/>
                <w:color w:val="000000" w:themeColor="text1"/>
                <w:sz w:val="20"/>
                <w:lang w:val="hr-HR"/>
              </w:rPr>
              <w:t>-</w:t>
            </w:r>
            <w:bookmarkEnd w:id="1200"/>
          </w:p>
        </w:tc>
      </w:tr>
      <w:tr w:rsidR="004E2F51" w:rsidRPr="003364B5" w14:paraId="7AFF43A9" w14:textId="77777777" w:rsidTr="00020AA3">
        <w:trPr>
          <w:trHeight w:val="278"/>
        </w:trPr>
        <w:tc>
          <w:tcPr>
            <w:tcW w:w="1913" w:type="pct"/>
          </w:tcPr>
          <w:p w14:paraId="57C3ED80" w14:textId="266AD686" w:rsidR="004E2F51" w:rsidRPr="004B4498" w:rsidRDefault="004E2F51" w:rsidP="00E032FC">
            <w:pPr>
              <w:pStyle w:val="TT"/>
              <w:rPr>
                <w:rFonts w:cs="Arial"/>
                <w:color w:val="000000" w:themeColor="text1"/>
                <w:sz w:val="20"/>
                <w:lang w:val="hr-HR"/>
              </w:rPr>
            </w:pPr>
            <w:bookmarkStart w:id="1201" w:name="_Toc67328657"/>
            <w:r w:rsidRPr="004B4498">
              <w:rPr>
                <w:rFonts w:cs="Arial"/>
                <w:color w:val="000000" w:themeColor="text1"/>
                <w:sz w:val="20"/>
                <w:lang w:val="hr-HR"/>
              </w:rPr>
              <w:t>Potraživanja po naknadama za procjenu rizika</w:t>
            </w:r>
            <w:bookmarkEnd w:id="1201"/>
          </w:p>
        </w:tc>
        <w:tc>
          <w:tcPr>
            <w:tcW w:w="772" w:type="pct"/>
            <w:tcBorders>
              <w:top w:val="nil"/>
              <w:left w:val="nil"/>
              <w:bottom w:val="nil"/>
              <w:right w:val="nil"/>
            </w:tcBorders>
            <w:shd w:val="clear" w:color="auto" w:fill="auto"/>
            <w:vAlign w:val="bottom"/>
          </w:tcPr>
          <w:p w14:paraId="127B34D3"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312 </w:t>
            </w:r>
          </w:p>
        </w:tc>
        <w:tc>
          <w:tcPr>
            <w:tcW w:w="772" w:type="pct"/>
            <w:tcBorders>
              <w:top w:val="nil"/>
              <w:left w:val="nil"/>
              <w:bottom w:val="nil"/>
              <w:right w:val="nil"/>
            </w:tcBorders>
            <w:shd w:val="clear" w:color="auto" w:fill="auto"/>
            <w:vAlign w:val="bottom"/>
          </w:tcPr>
          <w:p w14:paraId="1BA636A8" w14:textId="77777777" w:rsidR="004E2F51" w:rsidRPr="004B4498" w:rsidRDefault="004E2F51" w:rsidP="00E032FC">
            <w:pPr>
              <w:pStyle w:val="TT"/>
              <w:jc w:val="right"/>
              <w:rPr>
                <w:rFonts w:cs="Arial"/>
                <w:color w:val="000000" w:themeColor="text1"/>
                <w:sz w:val="20"/>
                <w:lang w:val="hr-HR"/>
              </w:rPr>
            </w:pPr>
            <w:bookmarkStart w:id="1202" w:name="_Toc67328658"/>
            <w:r w:rsidRPr="0046584E">
              <w:rPr>
                <w:rFonts w:cs="Arial"/>
                <w:color w:val="000000" w:themeColor="text1"/>
                <w:sz w:val="20"/>
                <w:lang w:val="hr-HR"/>
              </w:rPr>
              <w:t>324</w:t>
            </w:r>
            <w:bookmarkEnd w:id="1202"/>
          </w:p>
        </w:tc>
        <w:tc>
          <w:tcPr>
            <w:tcW w:w="772" w:type="pct"/>
            <w:tcBorders>
              <w:top w:val="nil"/>
              <w:left w:val="nil"/>
              <w:bottom w:val="nil"/>
              <w:right w:val="nil"/>
            </w:tcBorders>
            <w:shd w:val="clear" w:color="auto" w:fill="auto"/>
            <w:vAlign w:val="bottom"/>
          </w:tcPr>
          <w:p w14:paraId="528B80C1"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    </w:t>
            </w:r>
          </w:p>
        </w:tc>
        <w:tc>
          <w:tcPr>
            <w:tcW w:w="770" w:type="pct"/>
            <w:tcBorders>
              <w:top w:val="nil"/>
              <w:left w:val="nil"/>
              <w:bottom w:val="nil"/>
              <w:right w:val="nil"/>
            </w:tcBorders>
            <w:shd w:val="clear" w:color="auto" w:fill="auto"/>
            <w:vAlign w:val="bottom"/>
          </w:tcPr>
          <w:p w14:paraId="4CD74F05" w14:textId="77777777" w:rsidR="004E2F51" w:rsidRPr="004B4498" w:rsidRDefault="004E2F51" w:rsidP="00E032FC">
            <w:pPr>
              <w:pStyle w:val="TT"/>
              <w:jc w:val="right"/>
              <w:rPr>
                <w:rFonts w:cs="Arial"/>
                <w:color w:val="000000" w:themeColor="text1"/>
                <w:sz w:val="20"/>
                <w:lang w:val="hr-HR"/>
              </w:rPr>
            </w:pPr>
            <w:bookmarkStart w:id="1203" w:name="_Toc67328660"/>
            <w:r w:rsidRPr="0046584E">
              <w:rPr>
                <w:rFonts w:cs="Arial"/>
                <w:color w:val="000000" w:themeColor="text1"/>
                <w:sz w:val="20"/>
                <w:lang w:val="hr-HR"/>
              </w:rPr>
              <w:t>-</w:t>
            </w:r>
            <w:bookmarkEnd w:id="1203"/>
          </w:p>
        </w:tc>
      </w:tr>
      <w:tr w:rsidR="004E2F51" w:rsidRPr="003364B5" w14:paraId="2BD9A0DB" w14:textId="77777777" w:rsidTr="00020AA3">
        <w:trPr>
          <w:trHeight w:val="278"/>
        </w:trPr>
        <w:tc>
          <w:tcPr>
            <w:tcW w:w="1913" w:type="pct"/>
          </w:tcPr>
          <w:p w14:paraId="2DD3AA39" w14:textId="77777777" w:rsidR="004E2F51" w:rsidRPr="004B4498" w:rsidRDefault="004E2F51" w:rsidP="00E032FC">
            <w:pPr>
              <w:pStyle w:val="TT"/>
              <w:rPr>
                <w:rFonts w:cs="Arial"/>
                <w:color w:val="000000" w:themeColor="text1"/>
                <w:sz w:val="20"/>
                <w:lang w:val="hr-HR"/>
              </w:rPr>
            </w:pPr>
            <w:r w:rsidRPr="00AA2D5F">
              <w:rPr>
                <w:rFonts w:cs="Arial"/>
                <w:color w:val="000000" w:themeColor="text1"/>
                <w:sz w:val="20"/>
                <w:lang w:val="hr-HR"/>
              </w:rPr>
              <w:t>Odgođena porezna imovina</w:t>
            </w:r>
          </w:p>
        </w:tc>
        <w:tc>
          <w:tcPr>
            <w:tcW w:w="772" w:type="pct"/>
            <w:tcBorders>
              <w:top w:val="nil"/>
              <w:left w:val="nil"/>
              <w:bottom w:val="nil"/>
              <w:right w:val="nil"/>
            </w:tcBorders>
            <w:shd w:val="clear" w:color="auto" w:fill="auto"/>
            <w:vAlign w:val="bottom"/>
          </w:tcPr>
          <w:p w14:paraId="2C36220D"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1.174 </w:t>
            </w:r>
          </w:p>
        </w:tc>
        <w:tc>
          <w:tcPr>
            <w:tcW w:w="772" w:type="pct"/>
            <w:tcBorders>
              <w:top w:val="nil"/>
              <w:left w:val="nil"/>
              <w:bottom w:val="nil"/>
              <w:right w:val="nil"/>
            </w:tcBorders>
            <w:shd w:val="clear" w:color="auto" w:fill="auto"/>
            <w:vAlign w:val="bottom"/>
          </w:tcPr>
          <w:p w14:paraId="33C5224B" w14:textId="77777777" w:rsidR="004E2F51" w:rsidRPr="0046584E" w:rsidRDefault="004E2F51" w:rsidP="00E032FC">
            <w:pPr>
              <w:pStyle w:val="TT"/>
              <w:jc w:val="right"/>
              <w:rPr>
                <w:rFonts w:cs="Arial"/>
                <w:color w:val="000000" w:themeColor="text1"/>
                <w:sz w:val="20"/>
                <w:lang w:val="hr-HR"/>
              </w:rPr>
            </w:pPr>
            <w:r>
              <w:rPr>
                <w:rFonts w:cs="Arial"/>
                <w:color w:val="000000" w:themeColor="text1"/>
                <w:sz w:val="20"/>
                <w:lang w:val="hr-HR"/>
              </w:rPr>
              <w:t>-</w:t>
            </w:r>
          </w:p>
        </w:tc>
        <w:tc>
          <w:tcPr>
            <w:tcW w:w="772" w:type="pct"/>
            <w:tcBorders>
              <w:top w:val="nil"/>
              <w:left w:val="nil"/>
              <w:bottom w:val="nil"/>
              <w:right w:val="nil"/>
            </w:tcBorders>
            <w:shd w:val="clear" w:color="auto" w:fill="auto"/>
            <w:vAlign w:val="bottom"/>
          </w:tcPr>
          <w:p w14:paraId="2CC15B5B"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    </w:t>
            </w:r>
          </w:p>
        </w:tc>
        <w:tc>
          <w:tcPr>
            <w:tcW w:w="770" w:type="pct"/>
            <w:tcBorders>
              <w:top w:val="nil"/>
              <w:left w:val="nil"/>
              <w:bottom w:val="nil"/>
              <w:right w:val="nil"/>
            </w:tcBorders>
            <w:shd w:val="clear" w:color="auto" w:fill="auto"/>
            <w:vAlign w:val="bottom"/>
          </w:tcPr>
          <w:p w14:paraId="10DA902C" w14:textId="08928973" w:rsidR="004E2F51" w:rsidRPr="0046584E" w:rsidRDefault="005E35CB" w:rsidP="00E032FC">
            <w:pPr>
              <w:pStyle w:val="TT"/>
              <w:jc w:val="right"/>
              <w:rPr>
                <w:rFonts w:cs="Arial"/>
                <w:color w:val="000000" w:themeColor="text1"/>
                <w:sz w:val="20"/>
                <w:lang w:val="hr-HR"/>
              </w:rPr>
            </w:pPr>
            <w:r>
              <w:rPr>
                <w:rFonts w:cs="Arial"/>
                <w:color w:val="000000" w:themeColor="text1"/>
                <w:sz w:val="20"/>
                <w:lang w:val="hr-HR"/>
              </w:rPr>
              <w:t>-</w:t>
            </w:r>
          </w:p>
        </w:tc>
      </w:tr>
      <w:tr w:rsidR="004E2F51" w:rsidRPr="003364B5" w14:paraId="2C8721E4" w14:textId="77777777" w:rsidTr="00020AA3">
        <w:trPr>
          <w:trHeight w:val="278"/>
        </w:trPr>
        <w:tc>
          <w:tcPr>
            <w:tcW w:w="1913" w:type="pct"/>
          </w:tcPr>
          <w:p w14:paraId="56FCC63A" w14:textId="5023CD94" w:rsidR="004E2F51" w:rsidRPr="004B4498" w:rsidRDefault="004E2F51" w:rsidP="00E032FC">
            <w:pPr>
              <w:pStyle w:val="TT"/>
              <w:rPr>
                <w:rFonts w:cs="Arial"/>
                <w:color w:val="000000" w:themeColor="text1"/>
                <w:sz w:val="20"/>
                <w:lang w:val="hr-HR"/>
              </w:rPr>
            </w:pPr>
            <w:bookmarkStart w:id="1204" w:name="_Toc67328662"/>
            <w:r w:rsidRPr="004B4498">
              <w:rPr>
                <w:rFonts w:cs="Arial"/>
                <w:color w:val="000000" w:themeColor="text1"/>
                <w:sz w:val="20"/>
                <w:lang w:val="hr-HR"/>
              </w:rPr>
              <w:t>Imovina u najmu</w:t>
            </w:r>
            <w:bookmarkEnd w:id="1204"/>
          </w:p>
        </w:tc>
        <w:tc>
          <w:tcPr>
            <w:tcW w:w="772" w:type="pct"/>
            <w:tcBorders>
              <w:top w:val="nil"/>
              <w:left w:val="nil"/>
              <w:bottom w:val="nil"/>
              <w:right w:val="nil"/>
            </w:tcBorders>
            <w:shd w:val="clear" w:color="auto" w:fill="auto"/>
            <w:vAlign w:val="bottom"/>
          </w:tcPr>
          <w:p w14:paraId="3A4D82A7" w14:textId="77777777" w:rsidR="004E2F51" w:rsidRPr="004B4498" w:rsidDel="004A2B3D"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3.815 </w:t>
            </w:r>
          </w:p>
        </w:tc>
        <w:tc>
          <w:tcPr>
            <w:tcW w:w="772" w:type="pct"/>
            <w:tcBorders>
              <w:top w:val="nil"/>
              <w:left w:val="nil"/>
              <w:bottom w:val="nil"/>
              <w:right w:val="nil"/>
            </w:tcBorders>
            <w:shd w:val="clear" w:color="auto" w:fill="auto"/>
            <w:vAlign w:val="bottom"/>
          </w:tcPr>
          <w:p w14:paraId="4A9A0381"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801</w:t>
            </w:r>
          </w:p>
        </w:tc>
        <w:tc>
          <w:tcPr>
            <w:tcW w:w="772" w:type="pct"/>
            <w:tcBorders>
              <w:top w:val="nil"/>
              <w:left w:val="nil"/>
              <w:bottom w:val="nil"/>
              <w:right w:val="nil"/>
            </w:tcBorders>
            <w:shd w:val="clear" w:color="auto" w:fill="auto"/>
            <w:vAlign w:val="bottom"/>
          </w:tcPr>
          <w:p w14:paraId="1185469B" w14:textId="77777777" w:rsidR="004E2F51" w:rsidRPr="004B4498" w:rsidDel="004A2B3D"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3.815 </w:t>
            </w:r>
          </w:p>
        </w:tc>
        <w:tc>
          <w:tcPr>
            <w:tcW w:w="770" w:type="pct"/>
            <w:tcBorders>
              <w:top w:val="nil"/>
              <w:left w:val="nil"/>
              <w:bottom w:val="nil"/>
              <w:right w:val="nil"/>
            </w:tcBorders>
            <w:shd w:val="clear" w:color="auto" w:fill="auto"/>
            <w:vAlign w:val="bottom"/>
          </w:tcPr>
          <w:p w14:paraId="40F25A83"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801</w:t>
            </w:r>
          </w:p>
        </w:tc>
      </w:tr>
      <w:tr w:rsidR="004E2F51" w:rsidRPr="003364B5" w14:paraId="119D2013" w14:textId="77777777" w:rsidTr="00020AA3">
        <w:trPr>
          <w:trHeight w:val="278"/>
        </w:trPr>
        <w:tc>
          <w:tcPr>
            <w:tcW w:w="1913" w:type="pct"/>
          </w:tcPr>
          <w:p w14:paraId="572BFA8C" w14:textId="2A14A8FE" w:rsidR="004E2F51" w:rsidRPr="004B4498" w:rsidRDefault="004E2F51" w:rsidP="00E032FC">
            <w:pPr>
              <w:pStyle w:val="TT"/>
              <w:rPr>
                <w:rFonts w:cs="Arial"/>
                <w:color w:val="000000" w:themeColor="text1"/>
                <w:sz w:val="20"/>
                <w:lang w:val="hr-HR"/>
              </w:rPr>
            </w:pPr>
            <w:bookmarkStart w:id="1205" w:name="_Toc67328667"/>
            <w:r w:rsidRPr="004B4498">
              <w:rPr>
                <w:rFonts w:cs="Arial"/>
                <w:color w:val="000000" w:themeColor="text1"/>
                <w:sz w:val="20"/>
                <w:lang w:val="hr-HR"/>
              </w:rPr>
              <w:t>Ostala imovina</w:t>
            </w:r>
            <w:bookmarkEnd w:id="1205"/>
          </w:p>
        </w:tc>
        <w:tc>
          <w:tcPr>
            <w:tcW w:w="772" w:type="pct"/>
            <w:tcBorders>
              <w:top w:val="nil"/>
              <w:left w:val="nil"/>
              <w:bottom w:val="nil"/>
              <w:right w:val="nil"/>
            </w:tcBorders>
            <w:shd w:val="clear" w:color="auto" w:fill="auto"/>
            <w:vAlign w:val="bottom"/>
          </w:tcPr>
          <w:p w14:paraId="4D37BB14"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1.763 </w:t>
            </w:r>
          </w:p>
        </w:tc>
        <w:tc>
          <w:tcPr>
            <w:tcW w:w="772" w:type="pct"/>
            <w:tcBorders>
              <w:top w:val="nil"/>
              <w:left w:val="nil"/>
              <w:bottom w:val="nil"/>
              <w:right w:val="nil"/>
            </w:tcBorders>
            <w:shd w:val="clear" w:color="auto" w:fill="auto"/>
            <w:vAlign w:val="bottom"/>
          </w:tcPr>
          <w:p w14:paraId="6E10CF85"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3.158</w:t>
            </w:r>
          </w:p>
        </w:tc>
        <w:tc>
          <w:tcPr>
            <w:tcW w:w="772" w:type="pct"/>
            <w:tcBorders>
              <w:top w:val="nil"/>
              <w:left w:val="nil"/>
              <w:bottom w:val="nil"/>
              <w:right w:val="nil"/>
            </w:tcBorders>
            <w:shd w:val="clear" w:color="auto" w:fill="auto"/>
            <w:vAlign w:val="bottom"/>
          </w:tcPr>
          <w:p w14:paraId="15F618AE"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 xml:space="preserve"> 1.56</w:t>
            </w:r>
            <w:r>
              <w:rPr>
                <w:rFonts w:cs="Arial"/>
                <w:color w:val="000000" w:themeColor="text1"/>
                <w:sz w:val="20"/>
                <w:lang w:val="hr-HR"/>
              </w:rPr>
              <w:t>8</w:t>
            </w:r>
            <w:r w:rsidRPr="00AA2D5F">
              <w:rPr>
                <w:rFonts w:cs="Arial"/>
                <w:color w:val="000000" w:themeColor="text1"/>
                <w:sz w:val="20"/>
                <w:lang w:val="hr-HR"/>
              </w:rPr>
              <w:t xml:space="preserve"> </w:t>
            </w:r>
          </w:p>
        </w:tc>
        <w:tc>
          <w:tcPr>
            <w:tcW w:w="770" w:type="pct"/>
            <w:tcBorders>
              <w:top w:val="nil"/>
              <w:left w:val="nil"/>
              <w:bottom w:val="nil"/>
              <w:right w:val="nil"/>
            </w:tcBorders>
            <w:shd w:val="clear" w:color="auto" w:fill="auto"/>
            <w:vAlign w:val="bottom"/>
          </w:tcPr>
          <w:p w14:paraId="1D1D8C53"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3.055</w:t>
            </w:r>
          </w:p>
        </w:tc>
      </w:tr>
      <w:tr w:rsidR="004E2F51" w:rsidRPr="003364B5" w14:paraId="2ADF3BBE" w14:textId="77777777" w:rsidTr="00020AA3">
        <w:trPr>
          <w:trHeight w:val="58"/>
        </w:trPr>
        <w:tc>
          <w:tcPr>
            <w:tcW w:w="1913" w:type="pct"/>
          </w:tcPr>
          <w:p w14:paraId="53E43D29" w14:textId="77777777" w:rsidR="004E2F51" w:rsidRPr="004B4498" w:rsidRDefault="004E2F51" w:rsidP="00E032FC">
            <w:pPr>
              <w:pStyle w:val="Tot"/>
              <w:rPr>
                <w:rFonts w:cs="Arial"/>
                <w:color w:val="000000" w:themeColor="text1"/>
                <w:sz w:val="20"/>
                <w:lang w:val="hr-HR"/>
              </w:rPr>
            </w:pPr>
          </w:p>
        </w:tc>
        <w:tc>
          <w:tcPr>
            <w:tcW w:w="772" w:type="pct"/>
            <w:tcBorders>
              <w:top w:val="single" w:sz="4" w:space="0" w:color="auto"/>
              <w:bottom w:val="single" w:sz="4" w:space="0" w:color="auto"/>
            </w:tcBorders>
            <w:vAlign w:val="bottom"/>
          </w:tcPr>
          <w:p w14:paraId="760B39F0" w14:textId="77777777" w:rsidR="004E2F51" w:rsidRPr="00AA2D5F" w:rsidRDefault="004E2F51" w:rsidP="00E032FC">
            <w:pPr>
              <w:pStyle w:val="TT"/>
              <w:jc w:val="right"/>
              <w:rPr>
                <w:rFonts w:cs="Arial"/>
                <w:color w:val="000000" w:themeColor="text1"/>
                <w:sz w:val="20"/>
                <w:lang w:val="hr-HR"/>
              </w:rPr>
            </w:pPr>
            <w:r w:rsidRPr="00AA2D5F">
              <w:rPr>
                <w:rFonts w:cs="Arial"/>
                <w:color w:val="000000" w:themeColor="text1"/>
                <w:sz w:val="20"/>
                <w:lang w:val="hr-HR"/>
              </w:rPr>
              <w:t>71.282</w:t>
            </w:r>
          </w:p>
        </w:tc>
        <w:tc>
          <w:tcPr>
            <w:tcW w:w="772" w:type="pct"/>
            <w:tcBorders>
              <w:top w:val="single" w:sz="4" w:space="0" w:color="auto"/>
              <w:bottom w:val="single" w:sz="4" w:space="0" w:color="auto"/>
            </w:tcBorders>
            <w:vAlign w:val="bottom"/>
          </w:tcPr>
          <w:p w14:paraId="27BAA98B" w14:textId="77777777" w:rsidR="004E2F51" w:rsidRPr="004B4498" w:rsidRDefault="004E2F51" w:rsidP="00E032FC">
            <w:pPr>
              <w:pStyle w:val="Tot"/>
              <w:jc w:val="right"/>
              <w:rPr>
                <w:rFonts w:cs="Arial"/>
                <w:bCs/>
                <w:color w:val="000000" w:themeColor="text1"/>
                <w:sz w:val="20"/>
                <w:lang w:val="hr-HR"/>
              </w:rPr>
            </w:pPr>
            <w:r w:rsidRPr="0046584E">
              <w:rPr>
                <w:rFonts w:cs="Arial"/>
                <w:bCs/>
                <w:color w:val="000000" w:themeColor="text1"/>
                <w:sz w:val="20"/>
                <w:lang w:val="hr-HR"/>
              </w:rPr>
              <w:t>69.388</w:t>
            </w:r>
          </w:p>
        </w:tc>
        <w:tc>
          <w:tcPr>
            <w:tcW w:w="772" w:type="pct"/>
            <w:tcBorders>
              <w:top w:val="single" w:sz="4" w:space="0" w:color="auto"/>
              <w:bottom w:val="single" w:sz="4" w:space="0" w:color="auto"/>
            </w:tcBorders>
            <w:vAlign w:val="bottom"/>
          </w:tcPr>
          <w:p w14:paraId="3F070EFD" w14:textId="77777777" w:rsidR="004E2F51" w:rsidRPr="004B4498" w:rsidRDefault="004E2F51" w:rsidP="00E032FC">
            <w:pPr>
              <w:pStyle w:val="Tot"/>
              <w:jc w:val="right"/>
              <w:rPr>
                <w:rFonts w:cs="Arial"/>
                <w:bCs/>
                <w:color w:val="000000" w:themeColor="text1"/>
                <w:sz w:val="20"/>
                <w:lang w:val="hr-HR"/>
              </w:rPr>
            </w:pPr>
            <w:r w:rsidRPr="00AA2D5F">
              <w:rPr>
                <w:rFonts w:cs="Arial"/>
                <w:bCs/>
                <w:color w:val="000000" w:themeColor="text1"/>
                <w:sz w:val="20"/>
                <w:lang w:val="hr-HR"/>
              </w:rPr>
              <w:t>63.367</w:t>
            </w:r>
          </w:p>
        </w:tc>
        <w:tc>
          <w:tcPr>
            <w:tcW w:w="770" w:type="pct"/>
            <w:tcBorders>
              <w:top w:val="single" w:sz="4" w:space="0" w:color="auto"/>
              <w:bottom w:val="single" w:sz="4" w:space="0" w:color="auto"/>
            </w:tcBorders>
            <w:vAlign w:val="bottom"/>
          </w:tcPr>
          <w:p w14:paraId="0CD6E36B" w14:textId="77777777" w:rsidR="004E2F51" w:rsidRPr="004B4498" w:rsidRDefault="004E2F51" w:rsidP="00E032FC">
            <w:pPr>
              <w:pStyle w:val="Tot"/>
              <w:jc w:val="right"/>
              <w:rPr>
                <w:rFonts w:cs="Arial"/>
                <w:bCs/>
                <w:color w:val="000000" w:themeColor="text1"/>
                <w:sz w:val="20"/>
                <w:lang w:val="hr-HR"/>
              </w:rPr>
            </w:pPr>
            <w:r w:rsidRPr="0046584E">
              <w:rPr>
                <w:rFonts w:cs="Arial"/>
                <w:bCs/>
                <w:color w:val="000000" w:themeColor="text1"/>
                <w:sz w:val="20"/>
                <w:lang w:val="hr-HR"/>
              </w:rPr>
              <w:t>66.191</w:t>
            </w:r>
          </w:p>
        </w:tc>
      </w:tr>
      <w:tr w:rsidR="004E2F51" w:rsidRPr="003364B5" w14:paraId="27AB4D1C" w14:textId="77777777" w:rsidTr="00020AA3">
        <w:trPr>
          <w:trHeight w:val="289"/>
        </w:trPr>
        <w:tc>
          <w:tcPr>
            <w:tcW w:w="1913" w:type="pct"/>
          </w:tcPr>
          <w:p w14:paraId="5103A085" w14:textId="5B9191BE" w:rsidR="004E2F51" w:rsidRPr="004B4498" w:rsidRDefault="004E2F51" w:rsidP="00E032FC">
            <w:pPr>
              <w:pStyle w:val="TT"/>
              <w:rPr>
                <w:rFonts w:cs="Arial"/>
                <w:color w:val="000000" w:themeColor="text1"/>
                <w:sz w:val="20"/>
                <w:lang w:val="hr-HR"/>
              </w:rPr>
            </w:pPr>
            <w:bookmarkStart w:id="1206" w:name="_Toc67328676"/>
            <w:r w:rsidRPr="004B4498">
              <w:rPr>
                <w:rFonts w:cs="Arial"/>
                <w:color w:val="000000" w:themeColor="text1"/>
                <w:sz w:val="20"/>
                <w:lang w:val="hr-HR"/>
              </w:rPr>
              <w:t>Rezerviranja za očekivane gubitke</w:t>
            </w:r>
            <w:bookmarkEnd w:id="1206"/>
          </w:p>
        </w:tc>
        <w:tc>
          <w:tcPr>
            <w:tcW w:w="772" w:type="pct"/>
            <w:tcBorders>
              <w:bottom w:val="single" w:sz="4" w:space="0" w:color="auto"/>
            </w:tcBorders>
            <w:vAlign w:val="bottom"/>
          </w:tcPr>
          <w:p w14:paraId="1331E683"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(35.348)</w:t>
            </w:r>
          </w:p>
        </w:tc>
        <w:tc>
          <w:tcPr>
            <w:tcW w:w="772" w:type="pct"/>
            <w:tcBorders>
              <w:bottom w:val="single" w:sz="4" w:space="0" w:color="auto"/>
            </w:tcBorders>
            <w:vAlign w:val="bottom"/>
          </w:tcPr>
          <w:p w14:paraId="7C64DB0B"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(31.851)</w:t>
            </w:r>
          </w:p>
        </w:tc>
        <w:tc>
          <w:tcPr>
            <w:tcW w:w="772" w:type="pct"/>
            <w:tcBorders>
              <w:bottom w:val="single" w:sz="4" w:space="0" w:color="auto"/>
            </w:tcBorders>
            <w:vAlign w:val="bottom"/>
          </w:tcPr>
          <w:p w14:paraId="443442B0" w14:textId="77777777" w:rsidR="004E2F51" w:rsidRPr="004B4498" w:rsidRDefault="004E2F51" w:rsidP="00E032FC">
            <w:pPr>
              <w:pStyle w:val="TT"/>
              <w:jc w:val="right"/>
              <w:rPr>
                <w:rFonts w:cs="Arial"/>
                <w:color w:val="000000" w:themeColor="text1"/>
                <w:sz w:val="20"/>
                <w:lang w:val="hr-HR"/>
              </w:rPr>
            </w:pPr>
            <w:r w:rsidRPr="00AA2D5F">
              <w:rPr>
                <w:rFonts w:cs="Arial"/>
                <w:color w:val="000000" w:themeColor="text1"/>
                <w:sz w:val="20"/>
                <w:lang w:val="hr-HR"/>
              </w:rPr>
              <w:t>(35.175)</w:t>
            </w:r>
          </w:p>
        </w:tc>
        <w:tc>
          <w:tcPr>
            <w:tcW w:w="770" w:type="pct"/>
            <w:tcBorders>
              <w:bottom w:val="single" w:sz="4" w:space="0" w:color="auto"/>
            </w:tcBorders>
            <w:vAlign w:val="bottom"/>
          </w:tcPr>
          <w:p w14:paraId="23EF1FFF"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(31.697)</w:t>
            </w:r>
          </w:p>
        </w:tc>
      </w:tr>
      <w:tr w:rsidR="004E2F51" w:rsidRPr="003364B5" w14:paraId="77DF8207" w14:textId="77777777" w:rsidTr="00020AA3">
        <w:trPr>
          <w:trHeight w:val="366"/>
        </w:trPr>
        <w:tc>
          <w:tcPr>
            <w:tcW w:w="1913" w:type="pct"/>
          </w:tcPr>
          <w:p w14:paraId="71B9EBFB" w14:textId="77777777" w:rsidR="004E2F51" w:rsidRPr="004B4498" w:rsidRDefault="004E2F51" w:rsidP="00E032FC">
            <w:pPr>
              <w:pStyle w:val="Tot"/>
              <w:rPr>
                <w:rFonts w:cs="Arial"/>
                <w:b/>
                <w:bCs/>
                <w:color w:val="000000" w:themeColor="text1"/>
                <w:sz w:val="20"/>
                <w:lang w:val="hr-HR"/>
              </w:rPr>
            </w:pPr>
          </w:p>
        </w:tc>
        <w:tc>
          <w:tcPr>
            <w:tcW w:w="772" w:type="pct"/>
            <w:tcBorders>
              <w:top w:val="single" w:sz="4" w:space="0" w:color="auto"/>
              <w:bottom w:val="single" w:sz="12" w:space="0" w:color="auto"/>
            </w:tcBorders>
            <w:vAlign w:val="bottom"/>
          </w:tcPr>
          <w:p w14:paraId="049F00F6" w14:textId="77777777" w:rsidR="004E2F51" w:rsidRPr="004B4498" w:rsidRDefault="004E2F51" w:rsidP="00E032FC">
            <w:pPr>
              <w:pStyle w:val="Tot"/>
              <w:jc w:val="right"/>
              <w:rPr>
                <w:rFonts w:cs="Arial"/>
                <w:b/>
                <w:bCs/>
                <w:color w:val="000000" w:themeColor="text1"/>
                <w:sz w:val="20"/>
                <w:lang w:val="hr-HR"/>
              </w:rPr>
            </w:pPr>
            <w:r w:rsidRPr="00AA2D5F">
              <w:rPr>
                <w:rFonts w:cs="Arial"/>
                <w:b/>
                <w:bCs/>
                <w:color w:val="000000" w:themeColor="text1"/>
                <w:sz w:val="20"/>
                <w:lang w:val="hr-HR"/>
              </w:rPr>
              <w:t>35.934</w:t>
            </w:r>
          </w:p>
        </w:tc>
        <w:tc>
          <w:tcPr>
            <w:tcW w:w="772" w:type="pct"/>
            <w:tcBorders>
              <w:top w:val="single" w:sz="4" w:space="0" w:color="auto"/>
              <w:bottom w:val="single" w:sz="12" w:space="0" w:color="auto"/>
            </w:tcBorders>
            <w:vAlign w:val="bottom"/>
          </w:tcPr>
          <w:p w14:paraId="62F48BBF" w14:textId="77777777" w:rsidR="004E2F51" w:rsidRPr="004B4498" w:rsidRDefault="004E2F51" w:rsidP="00E032FC">
            <w:pPr>
              <w:pStyle w:val="Tot"/>
              <w:jc w:val="right"/>
              <w:rPr>
                <w:rFonts w:cs="Arial"/>
                <w:b/>
                <w:bCs/>
                <w:color w:val="000000" w:themeColor="text1"/>
                <w:sz w:val="20"/>
                <w:lang w:val="hr-HR"/>
              </w:rPr>
            </w:pPr>
            <w:r w:rsidRPr="0046584E">
              <w:rPr>
                <w:rFonts w:cs="Arial"/>
                <w:b/>
                <w:bCs/>
                <w:color w:val="000000" w:themeColor="text1"/>
                <w:sz w:val="20"/>
                <w:lang w:val="hr-HR"/>
              </w:rPr>
              <w:t>37.537</w:t>
            </w:r>
          </w:p>
        </w:tc>
        <w:tc>
          <w:tcPr>
            <w:tcW w:w="772" w:type="pct"/>
            <w:tcBorders>
              <w:top w:val="single" w:sz="4" w:space="0" w:color="auto"/>
              <w:bottom w:val="single" w:sz="12" w:space="0" w:color="auto"/>
            </w:tcBorders>
            <w:vAlign w:val="bottom"/>
          </w:tcPr>
          <w:p w14:paraId="5AA208EF" w14:textId="77777777" w:rsidR="004E2F51" w:rsidRPr="004B4498" w:rsidRDefault="004E2F51" w:rsidP="00E032FC">
            <w:pPr>
              <w:pStyle w:val="Tot"/>
              <w:jc w:val="right"/>
              <w:rPr>
                <w:rFonts w:cs="Arial"/>
                <w:b/>
                <w:bCs/>
                <w:color w:val="000000" w:themeColor="text1"/>
                <w:sz w:val="20"/>
                <w:lang w:val="hr-HR"/>
              </w:rPr>
            </w:pPr>
            <w:r w:rsidRPr="00AA2D5F">
              <w:rPr>
                <w:rFonts w:cs="Arial"/>
                <w:b/>
                <w:bCs/>
                <w:color w:val="000000" w:themeColor="text1"/>
                <w:sz w:val="20"/>
                <w:lang w:val="hr-HR"/>
              </w:rPr>
              <w:t>28.192</w:t>
            </w:r>
          </w:p>
        </w:tc>
        <w:tc>
          <w:tcPr>
            <w:tcW w:w="770" w:type="pct"/>
            <w:tcBorders>
              <w:top w:val="single" w:sz="4" w:space="0" w:color="auto"/>
              <w:bottom w:val="single" w:sz="12" w:space="0" w:color="auto"/>
            </w:tcBorders>
            <w:vAlign w:val="bottom"/>
          </w:tcPr>
          <w:p w14:paraId="153D9DE8" w14:textId="77777777" w:rsidR="004E2F51" w:rsidRPr="004B4498" w:rsidRDefault="004E2F51" w:rsidP="00E032FC">
            <w:pPr>
              <w:pStyle w:val="Tot"/>
              <w:jc w:val="right"/>
              <w:rPr>
                <w:rFonts w:cs="Arial"/>
                <w:b/>
                <w:bCs/>
                <w:color w:val="000000" w:themeColor="text1"/>
                <w:sz w:val="20"/>
                <w:lang w:val="hr-HR"/>
              </w:rPr>
            </w:pPr>
            <w:r w:rsidRPr="0046584E">
              <w:rPr>
                <w:rFonts w:cs="Arial"/>
                <w:b/>
                <w:bCs/>
                <w:color w:val="000000" w:themeColor="text1"/>
                <w:sz w:val="20"/>
                <w:lang w:val="hr-HR"/>
              </w:rPr>
              <w:t>34.494</w:t>
            </w:r>
          </w:p>
        </w:tc>
      </w:tr>
    </w:tbl>
    <w:p w14:paraId="548C41F3"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23CAE76A"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Imovina u najmu je priznata sukladno primjeni standarda MSFI 16, a amortizacija tijekom godine iznosila je </w:t>
      </w:r>
      <w:r w:rsidRPr="00AA2D5F">
        <w:rPr>
          <w:rFonts w:cs="Arial"/>
          <w:b w:val="0"/>
          <w:bCs w:val="0"/>
          <w:color w:val="000000" w:themeColor="text1"/>
          <w:sz w:val="20"/>
          <w:lang w:val="hr-HR"/>
        </w:rPr>
        <w:t>1.</w:t>
      </w:r>
      <w:r>
        <w:rPr>
          <w:rFonts w:cs="Arial"/>
          <w:b w:val="0"/>
          <w:bCs w:val="0"/>
          <w:color w:val="000000" w:themeColor="text1"/>
          <w:sz w:val="20"/>
          <w:lang w:val="hr-HR"/>
        </w:rPr>
        <w:t>788</w:t>
      </w:r>
      <w:r w:rsidRPr="004B4498">
        <w:rPr>
          <w:rFonts w:cs="Arial"/>
          <w:b w:val="0"/>
          <w:bCs w:val="0"/>
          <w:color w:val="000000" w:themeColor="text1"/>
          <w:sz w:val="20"/>
          <w:lang w:val="hr-HR"/>
        </w:rPr>
        <w:t xml:space="preserve"> tisuću kuna za Grupu i Banku.</w:t>
      </w:r>
    </w:p>
    <w:p w14:paraId="3A1C82B5" w14:textId="77777777" w:rsidR="004E2F51" w:rsidRPr="004B4498" w:rsidRDefault="004E2F51" w:rsidP="004E2F51">
      <w:pPr>
        <w:pStyle w:val="T1"/>
        <w:spacing w:before="120" w:after="0" w:line="240" w:lineRule="auto"/>
        <w:rPr>
          <w:rFonts w:cs="Arial"/>
          <w:b w:val="0"/>
          <w:bCs w:val="0"/>
          <w:color w:val="000000" w:themeColor="text1"/>
          <w:sz w:val="20"/>
          <w:lang w:val="hr-HR"/>
        </w:rPr>
      </w:pPr>
      <w:r w:rsidRPr="004B4498">
        <w:rPr>
          <w:rFonts w:cs="Arial"/>
          <w:b w:val="0"/>
          <w:bCs w:val="0"/>
          <w:color w:val="000000" w:themeColor="text1"/>
          <w:sz w:val="20"/>
          <w:lang w:val="hr-HR"/>
        </w:rPr>
        <w:t>Sljedeće tablice prikazuju informacije o kreditnoj kvaliteti financijske imovine koja se mjeri po amortiziranom trošku. Iznosi u tablici predstavljaju bruto knjigovodstvene iznose:</w:t>
      </w:r>
    </w:p>
    <w:p w14:paraId="72CF323E" w14:textId="77777777" w:rsidR="004E2F51" w:rsidRPr="00B91D09" w:rsidRDefault="004E2F51" w:rsidP="004E2F51">
      <w:pPr>
        <w:pStyle w:val="T1"/>
        <w:spacing w:before="0" w:after="0" w:line="240" w:lineRule="auto"/>
        <w:rPr>
          <w:rFonts w:cs="Arial"/>
          <w:b w:val="0"/>
          <w:bCs w:val="0"/>
          <w:color w:val="000000" w:themeColor="text1"/>
          <w:sz w:val="22"/>
          <w:szCs w:val="22"/>
          <w:lang w:val="hr-HR"/>
        </w:rPr>
      </w:pPr>
    </w:p>
    <w:tbl>
      <w:tblPr>
        <w:tblW w:w="10031" w:type="dxa"/>
        <w:tblInd w:w="-426" w:type="dxa"/>
        <w:tblLayout w:type="fixed"/>
        <w:tblLook w:val="04A0" w:firstRow="1" w:lastRow="0" w:firstColumn="1" w:lastColumn="0" w:noHBand="0" w:noVBand="1"/>
      </w:tblPr>
      <w:tblGrid>
        <w:gridCol w:w="1531"/>
        <w:gridCol w:w="850"/>
        <w:gridCol w:w="850"/>
        <w:gridCol w:w="850"/>
        <w:gridCol w:w="850"/>
        <w:gridCol w:w="850"/>
        <w:gridCol w:w="850"/>
        <w:gridCol w:w="850"/>
        <w:gridCol w:w="850"/>
        <w:gridCol w:w="850"/>
        <w:gridCol w:w="850"/>
      </w:tblGrid>
      <w:tr w:rsidR="004E2F51" w:rsidRPr="003364B5" w14:paraId="07BDE6E8" w14:textId="77777777" w:rsidTr="00E032FC">
        <w:trPr>
          <w:trHeight w:val="244"/>
        </w:trPr>
        <w:tc>
          <w:tcPr>
            <w:tcW w:w="1531" w:type="dxa"/>
            <w:tcBorders>
              <w:top w:val="nil"/>
              <w:left w:val="nil"/>
              <w:bottom w:val="nil"/>
              <w:right w:val="nil"/>
            </w:tcBorders>
            <w:shd w:val="clear" w:color="auto" w:fill="auto"/>
            <w:noWrap/>
            <w:vAlign w:val="bottom"/>
            <w:hideMark/>
          </w:tcPr>
          <w:p w14:paraId="11C76239" w14:textId="77777777" w:rsidR="004E2F51" w:rsidRPr="004B4498" w:rsidRDefault="004E2F51" w:rsidP="00E032FC">
            <w:pPr>
              <w:rPr>
                <w:rFonts w:ascii="Arial" w:hAnsi="Arial" w:cs="Arial"/>
                <w:color w:val="000000" w:themeColor="text1"/>
                <w:sz w:val="14"/>
                <w:szCs w:val="14"/>
                <w:lang w:val="hr-HR"/>
              </w:rPr>
            </w:pPr>
            <w:r w:rsidRPr="004B4498">
              <w:rPr>
                <w:rFonts w:ascii="Arial" w:hAnsi="Arial" w:cs="Arial"/>
                <w:b/>
                <w:bCs/>
                <w:color w:val="000000" w:themeColor="text1"/>
                <w:sz w:val="14"/>
                <w:szCs w:val="14"/>
                <w:lang w:val="hr-HR"/>
              </w:rPr>
              <w:t>31. prosinca 202</w:t>
            </w:r>
            <w:r>
              <w:rPr>
                <w:rFonts w:ascii="Arial" w:hAnsi="Arial" w:cs="Arial"/>
                <w:b/>
                <w:bCs/>
                <w:color w:val="000000" w:themeColor="text1"/>
                <w:sz w:val="14"/>
                <w:szCs w:val="14"/>
                <w:lang w:val="hr-HR"/>
              </w:rPr>
              <w:t>2</w:t>
            </w:r>
            <w:r w:rsidRPr="004B4498">
              <w:rPr>
                <w:rFonts w:ascii="Arial" w:hAnsi="Arial" w:cs="Arial"/>
                <w:b/>
                <w:bCs/>
                <w:color w:val="000000" w:themeColor="text1"/>
                <w:sz w:val="14"/>
                <w:szCs w:val="14"/>
                <w:lang w:val="hr-HR"/>
              </w:rPr>
              <w:t>.</w:t>
            </w:r>
          </w:p>
        </w:tc>
        <w:tc>
          <w:tcPr>
            <w:tcW w:w="850" w:type="dxa"/>
            <w:tcBorders>
              <w:top w:val="nil"/>
              <w:left w:val="nil"/>
              <w:bottom w:val="nil"/>
              <w:right w:val="nil"/>
            </w:tcBorders>
            <w:shd w:val="clear" w:color="auto" w:fill="auto"/>
            <w:noWrap/>
            <w:vAlign w:val="bottom"/>
            <w:hideMark/>
          </w:tcPr>
          <w:p w14:paraId="290FD530" w14:textId="77777777" w:rsidR="004E2F51" w:rsidRPr="004B4498" w:rsidRDefault="004E2F51" w:rsidP="00E032FC">
            <w:pPr>
              <w:rPr>
                <w:rFonts w:ascii="Arial" w:hAnsi="Arial" w:cs="Arial"/>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5F7259EB" w14:textId="77777777" w:rsidR="004E2F51" w:rsidRPr="004B4498" w:rsidRDefault="004E2F51" w:rsidP="00E032FC">
            <w:pPr>
              <w:jc w:val="right"/>
              <w:rPr>
                <w:rFonts w:ascii="Arial" w:hAnsi="Arial" w:cs="Arial"/>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40F07126" w14:textId="77777777" w:rsidR="004E2F51" w:rsidRPr="004B4498" w:rsidRDefault="004E2F51" w:rsidP="00E032FC">
            <w:pPr>
              <w:jc w:val="right"/>
              <w:rPr>
                <w:rFonts w:ascii="Arial" w:hAnsi="Arial" w:cs="Arial"/>
                <w:color w:val="000000" w:themeColor="text1"/>
                <w:sz w:val="14"/>
                <w:szCs w:val="14"/>
                <w:lang w:val="hr-HR"/>
              </w:rPr>
            </w:pPr>
          </w:p>
        </w:tc>
        <w:tc>
          <w:tcPr>
            <w:tcW w:w="850" w:type="dxa"/>
            <w:tcBorders>
              <w:top w:val="nil"/>
              <w:left w:val="nil"/>
              <w:bottom w:val="nil"/>
              <w:right w:val="nil"/>
            </w:tcBorders>
            <w:vAlign w:val="bottom"/>
          </w:tcPr>
          <w:p w14:paraId="6331A468" w14:textId="77777777" w:rsidR="004E2F51" w:rsidRPr="004B4498" w:rsidRDefault="004E2F51" w:rsidP="00E032FC">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027D0F50"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Grupa</w:t>
            </w:r>
          </w:p>
        </w:tc>
        <w:tc>
          <w:tcPr>
            <w:tcW w:w="850" w:type="dxa"/>
            <w:tcBorders>
              <w:top w:val="nil"/>
              <w:left w:val="nil"/>
              <w:bottom w:val="nil"/>
              <w:right w:val="nil"/>
            </w:tcBorders>
            <w:shd w:val="clear" w:color="auto" w:fill="auto"/>
            <w:noWrap/>
            <w:vAlign w:val="bottom"/>
            <w:hideMark/>
          </w:tcPr>
          <w:p w14:paraId="12C12843" w14:textId="77777777" w:rsidR="004E2F51" w:rsidRPr="004B4498" w:rsidRDefault="004E2F51" w:rsidP="00E032FC">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17324EAA" w14:textId="77777777" w:rsidR="004E2F51" w:rsidRPr="004B4498" w:rsidRDefault="004E2F51" w:rsidP="00E032FC">
            <w:pPr>
              <w:jc w:val="right"/>
              <w:rPr>
                <w:rFonts w:ascii="Arial" w:hAnsi="Arial" w:cs="Arial"/>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00007C58" w14:textId="77777777" w:rsidR="004E2F51" w:rsidRPr="004B4498" w:rsidRDefault="004E2F51" w:rsidP="00E032FC">
            <w:pPr>
              <w:jc w:val="right"/>
              <w:rPr>
                <w:rFonts w:ascii="Arial" w:hAnsi="Arial" w:cs="Arial"/>
                <w:color w:val="000000" w:themeColor="text1"/>
                <w:sz w:val="14"/>
                <w:szCs w:val="14"/>
                <w:lang w:val="hr-HR"/>
              </w:rPr>
            </w:pPr>
          </w:p>
        </w:tc>
        <w:tc>
          <w:tcPr>
            <w:tcW w:w="850" w:type="dxa"/>
            <w:tcBorders>
              <w:top w:val="nil"/>
              <w:left w:val="nil"/>
              <w:bottom w:val="nil"/>
              <w:right w:val="nil"/>
            </w:tcBorders>
            <w:vAlign w:val="bottom"/>
          </w:tcPr>
          <w:p w14:paraId="2DAEF25E" w14:textId="77777777" w:rsidR="004E2F51" w:rsidRPr="004B4498" w:rsidRDefault="004E2F51" w:rsidP="00E032FC">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2B94D50C"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Banka</w:t>
            </w:r>
          </w:p>
        </w:tc>
      </w:tr>
      <w:tr w:rsidR="004E2F51" w:rsidRPr="003364B5" w14:paraId="3230D426" w14:textId="77777777" w:rsidTr="00E032FC">
        <w:trPr>
          <w:trHeight w:val="288"/>
        </w:trPr>
        <w:tc>
          <w:tcPr>
            <w:tcW w:w="1531" w:type="dxa"/>
            <w:tcBorders>
              <w:top w:val="nil"/>
              <w:left w:val="nil"/>
              <w:bottom w:val="nil"/>
              <w:right w:val="nil"/>
            </w:tcBorders>
            <w:shd w:val="clear" w:color="auto" w:fill="auto"/>
            <w:noWrap/>
            <w:vAlign w:val="bottom"/>
            <w:hideMark/>
          </w:tcPr>
          <w:p w14:paraId="1B5018F1" w14:textId="77777777" w:rsidR="004E2F51" w:rsidRPr="004B4498" w:rsidRDefault="004E2F51" w:rsidP="00E032FC">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6AD9940A"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1</w:t>
            </w:r>
          </w:p>
        </w:tc>
        <w:tc>
          <w:tcPr>
            <w:tcW w:w="850" w:type="dxa"/>
            <w:tcBorders>
              <w:top w:val="nil"/>
              <w:left w:val="nil"/>
              <w:bottom w:val="nil"/>
              <w:right w:val="nil"/>
            </w:tcBorders>
            <w:shd w:val="clear" w:color="auto" w:fill="auto"/>
            <w:noWrap/>
            <w:vAlign w:val="bottom"/>
            <w:hideMark/>
          </w:tcPr>
          <w:p w14:paraId="38113034"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2</w:t>
            </w:r>
          </w:p>
        </w:tc>
        <w:tc>
          <w:tcPr>
            <w:tcW w:w="850" w:type="dxa"/>
            <w:tcBorders>
              <w:top w:val="nil"/>
              <w:left w:val="nil"/>
              <w:bottom w:val="nil"/>
              <w:right w:val="nil"/>
            </w:tcBorders>
            <w:shd w:val="clear" w:color="auto" w:fill="auto"/>
            <w:noWrap/>
            <w:vAlign w:val="bottom"/>
            <w:hideMark/>
          </w:tcPr>
          <w:p w14:paraId="06731C60"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3</w:t>
            </w:r>
          </w:p>
        </w:tc>
        <w:tc>
          <w:tcPr>
            <w:tcW w:w="850" w:type="dxa"/>
            <w:tcBorders>
              <w:top w:val="nil"/>
              <w:left w:val="nil"/>
              <w:bottom w:val="nil"/>
              <w:right w:val="nil"/>
            </w:tcBorders>
            <w:vAlign w:val="bottom"/>
          </w:tcPr>
          <w:p w14:paraId="09144E6B"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POCI</w:t>
            </w:r>
          </w:p>
        </w:tc>
        <w:tc>
          <w:tcPr>
            <w:tcW w:w="850" w:type="dxa"/>
            <w:tcBorders>
              <w:top w:val="nil"/>
              <w:left w:val="nil"/>
              <w:bottom w:val="nil"/>
              <w:right w:val="nil"/>
            </w:tcBorders>
            <w:shd w:val="clear" w:color="auto" w:fill="auto"/>
            <w:noWrap/>
            <w:vAlign w:val="bottom"/>
            <w:hideMark/>
          </w:tcPr>
          <w:p w14:paraId="6B11138B"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Ukupno</w:t>
            </w:r>
          </w:p>
        </w:tc>
        <w:tc>
          <w:tcPr>
            <w:tcW w:w="850" w:type="dxa"/>
            <w:tcBorders>
              <w:top w:val="nil"/>
              <w:left w:val="nil"/>
              <w:bottom w:val="nil"/>
              <w:right w:val="nil"/>
            </w:tcBorders>
            <w:shd w:val="clear" w:color="auto" w:fill="auto"/>
            <w:noWrap/>
            <w:vAlign w:val="bottom"/>
            <w:hideMark/>
          </w:tcPr>
          <w:p w14:paraId="0927AFF0"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1</w:t>
            </w:r>
          </w:p>
        </w:tc>
        <w:tc>
          <w:tcPr>
            <w:tcW w:w="850" w:type="dxa"/>
            <w:tcBorders>
              <w:top w:val="nil"/>
              <w:left w:val="nil"/>
              <w:bottom w:val="nil"/>
              <w:right w:val="nil"/>
            </w:tcBorders>
            <w:shd w:val="clear" w:color="auto" w:fill="auto"/>
            <w:noWrap/>
            <w:vAlign w:val="bottom"/>
            <w:hideMark/>
          </w:tcPr>
          <w:p w14:paraId="52954827"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2</w:t>
            </w:r>
          </w:p>
        </w:tc>
        <w:tc>
          <w:tcPr>
            <w:tcW w:w="850" w:type="dxa"/>
            <w:tcBorders>
              <w:top w:val="nil"/>
              <w:left w:val="nil"/>
              <w:bottom w:val="nil"/>
              <w:right w:val="nil"/>
            </w:tcBorders>
            <w:shd w:val="clear" w:color="auto" w:fill="auto"/>
            <w:noWrap/>
            <w:vAlign w:val="bottom"/>
            <w:hideMark/>
          </w:tcPr>
          <w:p w14:paraId="43FDE253"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3</w:t>
            </w:r>
          </w:p>
        </w:tc>
        <w:tc>
          <w:tcPr>
            <w:tcW w:w="850" w:type="dxa"/>
            <w:tcBorders>
              <w:top w:val="nil"/>
              <w:left w:val="nil"/>
              <w:bottom w:val="nil"/>
              <w:right w:val="nil"/>
            </w:tcBorders>
            <w:vAlign w:val="bottom"/>
          </w:tcPr>
          <w:p w14:paraId="7DE0620A"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POCI</w:t>
            </w:r>
          </w:p>
        </w:tc>
        <w:tc>
          <w:tcPr>
            <w:tcW w:w="850" w:type="dxa"/>
            <w:tcBorders>
              <w:top w:val="nil"/>
              <w:left w:val="nil"/>
              <w:bottom w:val="nil"/>
              <w:right w:val="nil"/>
            </w:tcBorders>
            <w:shd w:val="clear" w:color="auto" w:fill="auto"/>
            <w:noWrap/>
            <w:vAlign w:val="bottom"/>
            <w:hideMark/>
          </w:tcPr>
          <w:p w14:paraId="241E1C4F"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Ukupno</w:t>
            </w:r>
          </w:p>
        </w:tc>
      </w:tr>
      <w:tr w:rsidR="004E2F51" w:rsidRPr="003364B5" w14:paraId="1997D80E" w14:textId="77777777" w:rsidTr="00E032FC">
        <w:trPr>
          <w:trHeight w:val="288"/>
        </w:trPr>
        <w:tc>
          <w:tcPr>
            <w:tcW w:w="1531" w:type="dxa"/>
            <w:tcBorders>
              <w:top w:val="nil"/>
              <w:left w:val="nil"/>
              <w:bottom w:val="nil"/>
              <w:right w:val="nil"/>
            </w:tcBorders>
            <w:shd w:val="clear" w:color="auto" w:fill="auto"/>
            <w:noWrap/>
            <w:vAlign w:val="bottom"/>
            <w:hideMark/>
          </w:tcPr>
          <w:p w14:paraId="16477A4B" w14:textId="77777777" w:rsidR="004E2F51" w:rsidRPr="004B4498" w:rsidRDefault="004E2F51" w:rsidP="00E032FC">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4F2B4378"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c>
          <w:tcPr>
            <w:tcW w:w="850" w:type="dxa"/>
            <w:tcBorders>
              <w:top w:val="nil"/>
              <w:left w:val="nil"/>
              <w:bottom w:val="nil"/>
              <w:right w:val="nil"/>
            </w:tcBorders>
            <w:shd w:val="clear" w:color="auto" w:fill="auto"/>
            <w:noWrap/>
            <w:vAlign w:val="bottom"/>
            <w:hideMark/>
          </w:tcPr>
          <w:p w14:paraId="49C84396"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c>
          <w:tcPr>
            <w:tcW w:w="850" w:type="dxa"/>
            <w:tcBorders>
              <w:top w:val="nil"/>
              <w:left w:val="nil"/>
              <w:bottom w:val="nil"/>
              <w:right w:val="nil"/>
            </w:tcBorders>
            <w:shd w:val="clear" w:color="auto" w:fill="auto"/>
            <w:noWrap/>
            <w:vAlign w:val="bottom"/>
            <w:hideMark/>
          </w:tcPr>
          <w:p w14:paraId="22D5A809"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c>
          <w:tcPr>
            <w:tcW w:w="850" w:type="dxa"/>
            <w:tcBorders>
              <w:top w:val="nil"/>
              <w:left w:val="nil"/>
              <w:bottom w:val="nil"/>
              <w:right w:val="nil"/>
            </w:tcBorders>
            <w:vAlign w:val="bottom"/>
          </w:tcPr>
          <w:p w14:paraId="799C333D"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c>
          <w:tcPr>
            <w:tcW w:w="850" w:type="dxa"/>
            <w:tcBorders>
              <w:top w:val="nil"/>
              <w:left w:val="nil"/>
              <w:bottom w:val="nil"/>
              <w:right w:val="nil"/>
            </w:tcBorders>
            <w:shd w:val="clear" w:color="auto" w:fill="auto"/>
            <w:noWrap/>
            <w:vAlign w:val="bottom"/>
            <w:hideMark/>
          </w:tcPr>
          <w:p w14:paraId="7866A06B"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c>
          <w:tcPr>
            <w:tcW w:w="850" w:type="dxa"/>
            <w:tcBorders>
              <w:top w:val="nil"/>
              <w:left w:val="nil"/>
              <w:bottom w:val="nil"/>
              <w:right w:val="nil"/>
            </w:tcBorders>
            <w:shd w:val="clear" w:color="auto" w:fill="auto"/>
            <w:noWrap/>
            <w:vAlign w:val="bottom"/>
            <w:hideMark/>
          </w:tcPr>
          <w:p w14:paraId="1425336B"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c>
          <w:tcPr>
            <w:tcW w:w="850" w:type="dxa"/>
            <w:tcBorders>
              <w:top w:val="nil"/>
              <w:left w:val="nil"/>
              <w:bottom w:val="nil"/>
              <w:right w:val="nil"/>
            </w:tcBorders>
            <w:shd w:val="clear" w:color="auto" w:fill="auto"/>
            <w:noWrap/>
            <w:vAlign w:val="bottom"/>
            <w:hideMark/>
          </w:tcPr>
          <w:p w14:paraId="72323DCD"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c>
          <w:tcPr>
            <w:tcW w:w="850" w:type="dxa"/>
            <w:tcBorders>
              <w:top w:val="nil"/>
              <w:left w:val="nil"/>
              <w:bottom w:val="nil"/>
              <w:right w:val="nil"/>
            </w:tcBorders>
            <w:shd w:val="clear" w:color="auto" w:fill="auto"/>
            <w:noWrap/>
            <w:vAlign w:val="bottom"/>
            <w:hideMark/>
          </w:tcPr>
          <w:p w14:paraId="0C79C894"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c>
          <w:tcPr>
            <w:tcW w:w="850" w:type="dxa"/>
            <w:tcBorders>
              <w:top w:val="nil"/>
              <w:left w:val="nil"/>
              <w:bottom w:val="nil"/>
              <w:right w:val="nil"/>
            </w:tcBorders>
            <w:vAlign w:val="bottom"/>
          </w:tcPr>
          <w:p w14:paraId="371086D8"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c>
          <w:tcPr>
            <w:tcW w:w="850" w:type="dxa"/>
            <w:tcBorders>
              <w:top w:val="nil"/>
              <w:left w:val="nil"/>
              <w:bottom w:val="nil"/>
              <w:right w:val="nil"/>
            </w:tcBorders>
            <w:shd w:val="clear" w:color="auto" w:fill="auto"/>
            <w:noWrap/>
            <w:vAlign w:val="bottom"/>
            <w:hideMark/>
          </w:tcPr>
          <w:p w14:paraId="1011E556"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r>
      <w:tr w:rsidR="004E2F51" w:rsidRPr="003364B5" w14:paraId="29BBC815" w14:textId="77777777" w:rsidTr="00E032FC">
        <w:trPr>
          <w:trHeight w:val="333"/>
        </w:trPr>
        <w:tc>
          <w:tcPr>
            <w:tcW w:w="1531" w:type="dxa"/>
            <w:tcBorders>
              <w:top w:val="nil"/>
              <w:left w:val="nil"/>
              <w:bottom w:val="nil"/>
              <w:right w:val="nil"/>
            </w:tcBorders>
            <w:shd w:val="clear" w:color="auto" w:fill="auto"/>
            <w:noWrap/>
            <w:vAlign w:val="bottom"/>
            <w:hideMark/>
          </w:tcPr>
          <w:p w14:paraId="71485352" w14:textId="77777777" w:rsidR="004E2F51" w:rsidRPr="004B4498" w:rsidRDefault="004E2F51" w:rsidP="00E032FC">
            <w:pPr>
              <w:rPr>
                <w:rFonts w:ascii="Arial" w:hAnsi="Arial" w:cs="Arial"/>
                <w:color w:val="000000" w:themeColor="text1"/>
                <w:sz w:val="14"/>
                <w:szCs w:val="14"/>
                <w:lang w:val="hr-HR"/>
              </w:rPr>
            </w:pPr>
            <w:r w:rsidRPr="004B4498">
              <w:rPr>
                <w:rFonts w:ascii="Arial" w:hAnsi="Arial" w:cs="Arial"/>
                <w:color w:val="000000" w:themeColor="text1"/>
                <w:sz w:val="14"/>
                <w:szCs w:val="14"/>
                <w:lang w:val="hr-HR"/>
              </w:rPr>
              <w:t>Bruto iznos</w:t>
            </w:r>
          </w:p>
        </w:tc>
        <w:tc>
          <w:tcPr>
            <w:tcW w:w="850" w:type="dxa"/>
            <w:tcBorders>
              <w:top w:val="nil"/>
              <w:left w:val="nil"/>
              <w:bottom w:val="nil"/>
              <w:right w:val="nil"/>
            </w:tcBorders>
            <w:shd w:val="clear" w:color="auto" w:fill="auto"/>
            <w:noWrap/>
            <w:vAlign w:val="bottom"/>
          </w:tcPr>
          <w:p w14:paraId="7EB16081"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8.423 </w:t>
            </w:r>
          </w:p>
        </w:tc>
        <w:tc>
          <w:tcPr>
            <w:tcW w:w="850" w:type="dxa"/>
            <w:tcBorders>
              <w:top w:val="nil"/>
              <w:left w:val="nil"/>
              <w:bottom w:val="nil"/>
              <w:right w:val="nil"/>
            </w:tcBorders>
            <w:shd w:val="clear" w:color="auto" w:fill="auto"/>
            <w:noWrap/>
            <w:vAlign w:val="bottom"/>
          </w:tcPr>
          <w:p w14:paraId="75D02E78"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3 </w:t>
            </w:r>
          </w:p>
        </w:tc>
        <w:tc>
          <w:tcPr>
            <w:tcW w:w="850" w:type="dxa"/>
            <w:tcBorders>
              <w:top w:val="nil"/>
              <w:left w:val="nil"/>
              <w:bottom w:val="nil"/>
              <w:right w:val="nil"/>
            </w:tcBorders>
            <w:shd w:val="clear" w:color="auto" w:fill="auto"/>
            <w:noWrap/>
            <w:vAlign w:val="bottom"/>
          </w:tcPr>
          <w:p w14:paraId="4E93AA4D"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36.321 </w:t>
            </w:r>
          </w:p>
        </w:tc>
        <w:tc>
          <w:tcPr>
            <w:tcW w:w="850" w:type="dxa"/>
            <w:tcBorders>
              <w:top w:val="nil"/>
              <w:left w:val="nil"/>
              <w:bottom w:val="nil"/>
              <w:right w:val="nil"/>
            </w:tcBorders>
            <w:vAlign w:val="bottom"/>
          </w:tcPr>
          <w:p w14:paraId="11F93DCB"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319 </w:t>
            </w:r>
          </w:p>
        </w:tc>
        <w:tc>
          <w:tcPr>
            <w:tcW w:w="850" w:type="dxa"/>
            <w:tcBorders>
              <w:top w:val="nil"/>
              <w:left w:val="nil"/>
              <w:bottom w:val="nil"/>
              <w:right w:val="nil"/>
            </w:tcBorders>
            <w:shd w:val="clear" w:color="auto" w:fill="auto"/>
            <w:noWrap/>
            <w:vAlign w:val="bottom"/>
          </w:tcPr>
          <w:p w14:paraId="21C444DA" w14:textId="77777777" w:rsidR="004E2F51" w:rsidRPr="00AA2D5F" w:rsidRDefault="004E2F51" w:rsidP="00E032FC">
            <w:pPr>
              <w:jc w:val="right"/>
              <w:rPr>
                <w:rFonts w:ascii="Arial" w:hAnsi="Arial" w:cs="Arial"/>
                <w:b/>
                <w:bCs/>
                <w:sz w:val="14"/>
                <w:szCs w:val="14"/>
              </w:rPr>
            </w:pPr>
            <w:r w:rsidRPr="00AA2D5F">
              <w:rPr>
                <w:rFonts w:ascii="Arial" w:hAnsi="Arial" w:cs="Arial"/>
                <w:b/>
                <w:bCs/>
                <w:sz w:val="14"/>
                <w:szCs w:val="14"/>
              </w:rPr>
              <w:t xml:space="preserve"> 45.066 </w:t>
            </w:r>
          </w:p>
        </w:tc>
        <w:tc>
          <w:tcPr>
            <w:tcW w:w="850" w:type="dxa"/>
            <w:tcBorders>
              <w:top w:val="nil"/>
              <w:left w:val="nil"/>
              <w:bottom w:val="nil"/>
              <w:right w:val="nil"/>
            </w:tcBorders>
            <w:shd w:val="clear" w:color="auto" w:fill="auto"/>
            <w:noWrap/>
            <w:vAlign w:val="bottom"/>
          </w:tcPr>
          <w:p w14:paraId="01922A34"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2.27</w:t>
            </w:r>
            <w:r>
              <w:rPr>
                <w:rFonts w:ascii="Arial" w:hAnsi="Arial" w:cs="Arial"/>
                <w:sz w:val="14"/>
                <w:szCs w:val="14"/>
              </w:rPr>
              <w:t>7</w:t>
            </w:r>
            <w:r w:rsidRPr="00AA2D5F">
              <w:rPr>
                <w:rFonts w:ascii="Arial" w:hAnsi="Arial" w:cs="Arial"/>
                <w:sz w:val="14"/>
                <w:szCs w:val="14"/>
              </w:rPr>
              <w:t xml:space="preserve"> </w:t>
            </w:r>
          </w:p>
        </w:tc>
        <w:tc>
          <w:tcPr>
            <w:tcW w:w="850" w:type="dxa"/>
            <w:tcBorders>
              <w:top w:val="nil"/>
              <w:left w:val="nil"/>
              <w:bottom w:val="nil"/>
              <w:right w:val="nil"/>
            </w:tcBorders>
            <w:shd w:val="clear" w:color="auto" w:fill="auto"/>
            <w:noWrap/>
            <w:vAlign w:val="bottom"/>
          </w:tcPr>
          <w:p w14:paraId="5F69B98C"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3 </w:t>
            </w:r>
          </w:p>
        </w:tc>
        <w:tc>
          <w:tcPr>
            <w:tcW w:w="850" w:type="dxa"/>
            <w:tcBorders>
              <w:top w:val="nil"/>
              <w:left w:val="nil"/>
              <w:bottom w:val="nil"/>
              <w:right w:val="nil"/>
            </w:tcBorders>
            <w:shd w:val="clear" w:color="auto" w:fill="auto"/>
            <w:noWrap/>
            <w:vAlign w:val="bottom"/>
          </w:tcPr>
          <w:p w14:paraId="76001396"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36.321 </w:t>
            </w:r>
          </w:p>
        </w:tc>
        <w:tc>
          <w:tcPr>
            <w:tcW w:w="850" w:type="dxa"/>
            <w:tcBorders>
              <w:top w:val="nil"/>
              <w:left w:val="nil"/>
              <w:bottom w:val="nil"/>
              <w:right w:val="nil"/>
            </w:tcBorders>
            <w:vAlign w:val="bottom"/>
          </w:tcPr>
          <w:p w14:paraId="7BFC6417"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319 </w:t>
            </w:r>
          </w:p>
        </w:tc>
        <w:tc>
          <w:tcPr>
            <w:tcW w:w="850" w:type="dxa"/>
            <w:tcBorders>
              <w:top w:val="nil"/>
              <w:left w:val="nil"/>
              <w:bottom w:val="nil"/>
              <w:right w:val="nil"/>
            </w:tcBorders>
            <w:shd w:val="clear" w:color="auto" w:fill="auto"/>
            <w:noWrap/>
            <w:vAlign w:val="bottom"/>
          </w:tcPr>
          <w:p w14:paraId="1C98B746" w14:textId="77777777" w:rsidR="004E2F51" w:rsidRPr="00AA2D5F" w:rsidRDefault="004E2F51" w:rsidP="00E032FC">
            <w:pPr>
              <w:jc w:val="right"/>
              <w:rPr>
                <w:rFonts w:ascii="Arial" w:hAnsi="Arial" w:cs="Arial"/>
                <w:b/>
                <w:bCs/>
                <w:sz w:val="14"/>
                <w:szCs w:val="14"/>
              </w:rPr>
            </w:pPr>
            <w:r w:rsidRPr="00AA2D5F">
              <w:rPr>
                <w:rFonts w:ascii="Arial" w:hAnsi="Arial" w:cs="Arial"/>
                <w:b/>
                <w:bCs/>
                <w:sz w:val="14"/>
                <w:szCs w:val="14"/>
              </w:rPr>
              <w:t xml:space="preserve"> 38.9</w:t>
            </w:r>
            <w:r>
              <w:rPr>
                <w:rFonts w:ascii="Arial" w:hAnsi="Arial" w:cs="Arial"/>
                <w:b/>
                <w:bCs/>
                <w:sz w:val="14"/>
                <w:szCs w:val="14"/>
              </w:rPr>
              <w:t>20</w:t>
            </w:r>
          </w:p>
        </w:tc>
      </w:tr>
      <w:tr w:rsidR="004E2F51" w:rsidRPr="003364B5" w14:paraId="38C135E5" w14:textId="77777777" w:rsidTr="00E032FC">
        <w:trPr>
          <w:trHeight w:val="337"/>
        </w:trPr>
        <w:tc>
          <w:tcPr>
            <w:tcW w:w="1531" w:type="dxa"/>
            <w:tcBorders>
              <w:top w:val="nil"/>
              <w:left w:val="nil"/>
              <w:bottom w:val="nil"/>
              <w:right w:val="nil"/>
            </w:tcBorders>
            <w:shd w:val="clear" w:color="auto" w:fill="auto"/>
            <w:noWrap/>
            <w:vAlign w:val="bottom"/>
            <w:hideMark/>
          </w:tcPr>
          <w:p w14:paraId="23F78454" w14:textId="77777777" w:rsidR="004E2F51" w:rsidRPr="004B4498" w:rsidRDefault="004E2F51" w:rsidP="00E032FC">
            <w:pPr>
              <w:rPr>
                <w:rFonts w:ascii="Arial" w:hAnsi="Arial" w:cs="Arial"/>
                <w:color w:val="000000" w:themeColor="text1"/>
                <w:sz w:val="14"/>
                <w:szCs w:val="14"/>
                <w:lang w:val="hr-HR"/>
              </w:rPr>
            </w:pPr>
            <w:r w:rsidRPr="004B4498">
              <w:rPr>
                <w:rFonts w:ascii="Arial" w:hAnsi="Arial" w:cs="Arial"/>
                <w:color w:val="000000" w:themeColor="text1"/>
                <w:sz w:val="14"/>
                <w:szCs w:val="14"/>
                <w:lang w:val="hr-HR"/>
              </w:rPr>
              <w:t>Rezerviranja</w:t>
            </w:r>
          </w:p>
        </w:tc>
        <w:tc>
          <w:tcPr>
            <w:tcW w:w="850" w:type="dxa"/>
            <w:tcBorders>
              <w:top w:val="nil"/>
              <w:left w:val="nil"/>
              <w:bottom w:val="nil"/>
              <w:right w:val="nil"/>
            </w:tcBorders>
            <w:shd w:val="clear" w:color="auto" w:fill="auto"/>
            <w:noWrap/>
            <w:vAlign w:val="bottom"/>
          </w:tcPr>
          <w:p w14:paraId="699C54EB"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(195)</w:t>
            </w:r>
          </w:p>
        </w:tc>
        <w:tc>
          <w:tcPr>
            <w:tcW w:w="850" w:type="dxa"/>
            <w:tcBorders>
              <w:top w:val="nil"/>
              <w:left w:val="nil"/>
              <w:bottom w:val="nil"/>
              <w:right w:val="nil"/>
            </w:tcBorders>
            <w:shd w:val="clear" w:color="auto" w:fill="auto"/>
            <w:noWrap/>
            <w:vAlign w:val="bottom"/>
          </w:tcPr>
          <w:p w14:paraId="2D72A35F"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(1)</w:t>
            </w:r>
          </w:p>
        </w:tc>
        <w:tc>
          <w:tcPr>
            <w:tcW w:w="850" w:type="dxa"/>
            <w:tcBorders>
              <w:top w:val="nil"/>
              <w:left w:val="nil"/>
              <w:bottom w:val="nil"/>
              <w:right w:val="nil"/>
            </w:tcBorders>
            <w:shd w:val="clear" w:color="auto" w:fill="auto"/>
            <w:noWrap/>
            <w:vAlign w:val="bottom"/>
          </w:tcPr>
          <w:p w14:paraId="21F251D9"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(34.891)</w:t>
            </w:r>
          </w:p>
        </w:tc>
        <w:tc>
          <w:tcPr>
            <w:tcW w:w="850" w:type="dxa"/>
            <w:tcBorders>
              <w:top w:val="nil"/>
              <w:left w:val="nil"/>
              <w:bottom w:val="nil"/>
              <w:right w:val="nil"/>
            </w:tcBorders>
            <w:vAlign w:val="bottom"/>
          </w:tcPr>
          <w:p w14:paraId="683ABF9B"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(261)</w:t>
            </w:r>
          </w:p>
        </w:tc>
        <w:tc>
          <w:tcPr>
            <w:tcW w:w="850" w:type="dxa"/>
            <w:tcBorders>
              <w:top w:val="nil"/>
              <w:left w:val="nil"/>
              <w:bottom w:val="nil"/>
              <w:right w:val="nil"/>
            </w:tcBorders>
            <w:shd w:val="clear" w:color="auto" w:fill="auto"/>
            <w:noWrap/>
            <w:vAlign w:val="bottom"/>
          </w:tcPr>
          <w:p w14:paraId="30D58BFB" w14:textId="77777777" w:rsidR="004E2F51" w:rsidRPr="00AA2D5F" w:rsidRDefault="004E2F51" w:rsidP="00E032FC">
            <w:pPr>
              <w:jc w:val="right"/>
              <w:rPr>
                <w:rFonts w:ascii="Arial" w:hAnsi="Arial" w:cs="Arial"/>
                <w:b/>
                <w:bCs/>
                <w:sz w:val="14"/>
                <w:szCs w:val="14"/>
              </w:rPr>
            </w:pPr>
            <w:r w:rsidRPr="00AA2D5F">
              <w:rPr>
                <w:rFonts w:ascii="Arial" w:hAnsi="Arial" w:cs="Arial"/>
                <w:b/>
                <w:bCs/>
                <w:sz w:val="14"/>
                <w:szCs w:val="14"/>
              </w:rPr>
              <w:t xml:space="preserve"> (35.348)</w:t>
            </w:r>
          </w:p>
        </w:tc>
        <w:tc>
          <w:tcPr>
            <w:tcW w:w="850" w:type="dxa"/>
            <w:tcBorders>
              <w:top w:val="nil"/>
              <w:left w:val="nil"/>
              <w:bottom w:val="nil"/>
              <w:right w:val="nil"/>
            </w:tcBorders>
            <w:shd w:val="clear" w:color="auto" w:fill="auto"/>
            <w:noWrap/>
            <w:vAlign w:val="bottom"/>
          </w:tcPr>
          <w:p w14:paraId="0B67DA87"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(22)</w:t>
            </w:r>
          </w:p>
        </w:tc>
        <w:tc>
          <w:tcPr>
            <w:tcW w:w="850" w:type="dxa"/>
            <w:tcBorders>
              <w:top w:val="nil"/>
              <w:left w:val="nil"/>
              <w:bottom w:val="nil"/>
              <w:right w:val="nil"/>
            </w:tcBorders>
            <w:shd w:val="clear" w:color="auto" w:fill="auto"/>
            <w:noWrap/>
            <w:vAlign w:val="bottom"/>
          </w:tcPr>
          <w:p w14:paraId="2A372551"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(1)</w:t>
            </w:r>
          </w:p>
        </w:tc>
        <w:tc>
          <w:tcPr>
            <w:tcW w:w="850" w:type="dxa"/>
            <w:tcBorders>
              <w:top w:val="nil"/>
              <w:left w:val="nil"/>
              <w:bottom w:val="nil"/>
              <w:right w:val="nil"/>
            </w:tcBorders>
            <w:shd w:val="clear" w:color="auto" w:fill="auto"/>
            <w:noWrap/>
            <w:vAlign w:val="bottom"/>
          </w:tcPr>
          <w:p w14:paraId="209F57B7"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(34.891)</w:t>
            </w:r>
          </w:p>
        </w:tc>
        <w:tc>
          <w:tcPr>
            <w:tcW w:w="850" w:type="dxa"/>
            <w:tcBorders>
              <w:top w:val="nil"/>
              <w:left w:val="nil"/>
              <w:bottom w:val="nil"/>
              <w:right w:val="nil"/>
            </w:tcBorders>
            <w:vAlign w:val="bottom"/>
          </w:tcPr>
          <w:p w14:paraId="1BF4BF4E"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(261)</w:t>
            </w:r>
          </w:p>
        </w:tc>
        <w:tc>
          <w:tcPr>
            <w:tcW w:w="850" w:type="dxa"/>
            <w:tcBorders>
              <w:top w:val="nil"/>
              <w:left w:val="nil"/>
              <w:bottom w:val="nil"/>
              <w:right w:val="nil"/>
            </w:tcBorders>
            <w:shd w:val="clear" w:color="auto" w:fill="auto"/>
            <w:noWrap/>
            <w:vAlign w:val="bottom"/>
          </w:tcPr>
          <w:p w14:paraId="175BD32D" w14:textId="77777777" w:rsidR="004E2F51" w:rsidRPr="00AA2D5F" w:rsidRDefault="004E2F51" w:rsidP="00E032FC">
            <w:pPr>
              <w:jc w:val="right"/>
              <w:rPr>
                <w:rFonts w:ascii="Arial" w:hAnsi="Arial" w:cs="Arial"/>
                <w:b/>
                <w:bCs/>
                <w:sz w:val="14"/>
                <w:szCs w:val="14"/>
              </w:rPr>
            </w:pPr>
            <w:r w:rsidRPr="00AA2D5F">
              <w:rPr>
                <w:rFonts w:ascii="Arial" w:hAnsi="Arial" w:cs="Arial"/>
                <w:b/>
                <w:bCs/>
                <w:sz w:val="14"/>
                <w:szCs w:val="14"/>
              </w:rPr>
              <w:t xml:space="preserve"> (35.175)</w:t>
            </w:r>
          </w:p>
        </w:tc>
      </w:tr>
      <w:tr w:rsidR="004E2F51" w:rsidRPr="003364B5" w14:paraId="6030AACC" w14:textId="77777777" w:rsidTr="00E032FC">
        <w:trPr>
          <w:trHeight w:val="503"/>
        </w:trPr>
        <w:tc>
          <w:tcPr>
            <w:tcW w:w="1531" w:type="dxa"/>
            <w:tcBorders>
              <w:top w:val="nil"/>
              <w:left w:val="nil"/>
              <w:bottom w:val="nil"/>
              <w:right w:val="nil"/>
            </w:tcBorders>
            <w:shd w:val="clear" w:color="auto" w:fill="auto"/>
            <w:noWrap/>
            <w:vAlign w:val="bottom"/>
            <w:hideMark/>
          </w:tcPr>
          <w:p w14:paraId="0C7CC8CF" w14:textId="77777777" w:rsidR="009307DC" w:rsidRDefault="004E2F51" w:rsidP="00E032FC">
            <w:pPr>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Stanje na dan </w:t>
            </w:r>
          </w:p>
          <w:p w14:paraId="673D7625" w14:textId="63ECBF89" w:rsidR="004E2F51" w:rsidRPr="004B4498" w:rsidRDefault="004E2F51" w:rsidP="00E032FC">
            <w:pPr>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31. prosinca 202</w:t>
            </w:r>
            <w:r>
              <w:rPr>
                <w:rFonts w:ascii="Arial" w:hAnsi="Arial" w:cs="Arial"/>
                <w:b/>
                <w:bCs/>
                <w:color w:val="000000" w:themeColor="text1"/>
                <w:sz w:val="14"/>
                <w:szCs w:val="14"/>
                <w:lang w:val="hr-HR"/>
              </w:rPr>
              <w:t>2</w:t>
            </w:r>
            <w:r w:rsidRPr="004B4498">
              <w:rPr>
                <w:rFonts w:ascii="Arial" w:hAnsi="Arial" w:cs="Arial"/>
                <w:b/>
                <w:bCs/>
                <w:color w:val="000000" w:themeColor="text1"/>
                <w:sz w:val="14"/>
                <w:szCs w:val="14"/>
                <w:lang w:val="hr-HR"/>
              </w:rPr>
              <w:t xml:space="preserve">. </w:t>
            </w:r>
          </w:p>
        </w:tc>
        <w:tc>
          <w:tcPr>
            <w:tcW w:w="850" w:type="dxa"/>
            <w:tcBorders>
              <w:top w:val="single" w:sz="4" w:space="0" w:color="auto"/>
              <w:left w:val="nil"/>
              <w:bottom w:val="single" w:sz="12" w:space="0" w:color="auto"/>
              <w:right w:val="nil"/>
            </w:tcBorders>
            <w:shd w:val="clear" w:color="auto" w:fill="auto"/>
            <w:noWrap/>
            <w:vAlign w:val="bottom"/>
          </w:tcPr>
          <w:p w14:paraId="3BEA4F1F"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8.228 </w:t>
            </w:r>
          </w:p>
        </w:tc>
        <w:tc>
          <w:tcPr>
            <w:tcW w:w="850" w:type="dxa"/>
            <w:tcBorders>
              <w:top w:val="single" w:sz="4" w:space="0" w:color="auto"/>
              <w:left w:val="nil"/>
              <w:bottom w:val="single" w:sz="12" w:space="0" w:color="auto"/>
              <w:right w:val="nil"/>
            </w:tcBorders>
            <w:shd w:val="clear" w:color="auto" w:fill="auto"/>
            <w:noWrap/>
            <w:vAlign w:val="bottom"/>
          </w:tcPr>
          <w:p w14:paraId="26EA1E65"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2 </w:t>
            </w:r>
          </w:p>
        </w:tc>
        <w:tc>
          <w:tcPr>
            <w:tcW w:w="850" w:type="dxa"/>
            <w:tcBorders>
              <w:top w:val="single" w:sz="4" w:space="0" w:color="auto"/>
              <w:left w:val="nil"/>
              <w:bottom w:val="single" w:sz="12" w:space="0" w:color="auto"/>
              <w:right w:val="nil"/>
            </w:tcBorders>
            <w:shd w:val="clear" w:color="auto" w:fill="auto"/>
            <w:noWrap/>
            <w:vAlign w:val="bottom"/>
          </w:tcPr>
          <w:p w14:paraId="7E9CE320"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1.430 </w:t>
            </w:r>
          </w:p>
        </w:tc>
        <w:tc>
          <w:tcPr>
            <w:tcW w:w="850" w:type="dxa"/>
            <w:tcBorders>
              <w:top w:val="single" w:sz="4" w:space="0" w:color="auto"/>
              <w:left w:val="nil"/>
              <w:bottom w:val="single" w:sz="12" w:space="0" w:color="auto"/>
              <w:right w:val="nil"/>
            </w:tcBorders>
            <w:vAlign w:val="bottom"/>
          </w:tcPr>
          <w:p w14:paraId="63C24C0B"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58 </w:t>
            </w:r>
          </w:p>
        </w:tc>
        <w:tc>
          <w:tcPr>
            <w:tcW w:w="850" w:type="dxa"/>
            <w:tcBorders>
              <w:top w:val="single" w:sz="4" w:space="0" w:color="auto"/>
              <w:left w:val="nil"/>
              <w:bottom w:val="single" w:sz="12" w:space="0" w:color="auto"/>
              <w:right w:val="nil"/>
            </w:tcBorders>
            <w:shd w:val="clear" w:color="auto" w:fill="auto"/>
            <w:noWrap/>
            <w:vAlign w:val="bottom"/>
          </w:tcPr>
          <w:p w14:paraId="2FEC20EE" w14:textId="77777777" w:rsidR="004E2F51" w:rsidRPr="00AA2D5F" w:rsidRDefault="004E2F51" w:rsidP="00E032FC">
            <w:pPr>
              <w:jc w:val="right"/>
              <w:rPr>
                <w:rFonts w:ascii="Arial" w:hAnsi="Arial" w:cs="Arial"/>
                <w:b/>
                <w:bCs/>
                <w:sz w:val="14"/>
                <w:szCs w:val="14"/>
              </w:rPr>
            </w:pPr>
            <w:r w:rsidRPr="00AA2D5F">
              <w:rPr>
                <w:rFonts w:ascii="Arial" w:hAnsi="Arial" w:cs="Arial"/>
                <w:b/>
                <w:bCs/>
                <w:sz w:val="14"/>
                <w:szCs w:val="14"/>
              </w:rPr>
              <w:t xml:space="preserve"> 9.718 </w:t>
            </w:r>
          </w:p>
        </w:tc>
        <w:tc>
          <w:tcPr>
            <w:tcW w:w="850" w:type="dxa"/>
            <w:tcBorders>
              <w:top w:val="single" w:sz="4" w:space="0" w:color="auto"/>
              <w:left w:val="nil"/>
              <w:bottom w:val="single" w:sz="12" w:space="0" w:color="auto"/>
              <w:right w:val="nil"/>
            </w:tcBorders>
            <w:shd w:val="clear" w:color="auto" w:fill="auto"/>
            <w:noWrap/>
            <w:vAlign w:val="bottom"/>
          </w:tcPr>
          <w:p w14:paraId="10B829A0"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2.25</w:t>
            </w:r>
            <w:r>
              <w:rPr>
                <w:rFonts w:ascii="Arial" w:hAnsi="Arial" w:cs="Arial"/>
                <w:sz w:val="14"/>
                <w:szCs w:val="14"/>
              </w:rPr>
              <w:t>5</w:t>
            </w:r>
            <w:r w:rsidRPr="00AA2D5F">
              <w:rPr>
                <w:rFonts w:ascii="Arial" w:hAnsi="Arial" w:cs="Arial"/>
                <w:sz w:val="14"/>
                <w:szCs w:val="14"/>
              </w:rPr>
              <w:t xml:space="preserve"> </w:t>
            </w:r>
          </w:p>
        </w:tc>
        <w:tc>
          <w:tcPr>
            <w:tcW w:w="850" w:type="dxa"/>
            <w:tcBorders>
              <w:top w:val="single" w:sz="4" w:space="0" w:color="auto"/>
              <w:left w:val="nil"/>
              <w:bottom w:val="single" w:sz="12" w:space="0" w:color="auto"/>
              <w:right w:val="nil"/>
            </w:tcBorders>
            <w:shd w:val="clear" w:color="auto" w:fill="auto"/>
            <w:noWrap/>
            <w:vAlign w:val="bottom"/>
          </w:tcPr>
          <w:p w14:paraId="04218677"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2 </w:t>
            </w:r>
          </w:p>
        </w:tc>
        <w:tc>
          <w:tcPr>
            <w:tcW w:w="850" w:type="dxa"/>
            <w:tcBorders>
              <w:top w:val="single" w:sz="4" w:space="0" w:color="auto"/>
              <w:left w:val="nil"/>
              <w:bottom w:val="single" w:sz="12" w:space="0" w:color="auto"/>
              <w:right w:val="nil"/>
            </w:tcBorders>
            <w:shd w:val="clear" w:color="auto" w:fill="auto"/>
            <w:noWrap/>
            <w:vAlign w:val="bottom"/>
          </w:tcPr>
          <w:p w14:paraId="15304492"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1.430 </w:t>
            </w:r>
          </w:p>
        </w:tc>
        <w:tc>
          <w:tcPr>
            <w:tcW w:w="850" w:type="dxa"/>
            <w:tcBorders>
              <w:top w:val="single" w:sz="4" w:space="0" w:color="auto"/>
              <w:left w:val="nil"/>
              <w:bottom w:val="single" w:sz="12" w:space="0" w:color="auto"/>
              <w:right w:val="nil"/>
            </w:tcBorders>
            <w:vAlign w:val="bottom"/>
          </w:tcPr>
          <w:p w14:paraId="77C3577F" w14:textId="77777777" w:rsidR="004E2F51" w:rsidRPr="00AA2D5F" w:rsidRDefault="004E2F51" w:rsidP="00E032FC">
            <w:pPr>
              <w:jc w:val="right"/>
              <w:rPr>
                <w:rFonts w:ascii="Arial" w:hAnsi="Arial" w:cs="Arial"/>
                <w:sz w:val="14"/>
                <w:szCs w:val="14"/>
              </w:rPr>
            </w:pPr>
            <w:r w:rsidRPr="00AA2D5F">
              <w:rPr>
                <w:rFonts w:ascii="Arial" w:hAnsi="Arial" w:cs="Arial"/>
                <w:sz w:val="14"/>
                <w:szCs w:val="14"/>
              </w:rPr>
              <w:t xml:space="preserve"> 58 </w:t>
            </w:r>
          </w:p>
        </w:tc>
        <w:tc>
          <w:tcPr>
            <w:tcW w:w="850" w:type="dxa"/>
            <w:tcBorders>
              <w:top w:val="single" w:sz="4" w:space="0" w:color="auto"/>
              <w:left w:val="nil"/>
              <w:bottom w:val="single" w:sz="12" w:space="0" w:color="auto"/>
              <w:right w:val="nil"/>
            </w:tcBorders>
            <w:shd w:val="clear" w:color="auto" w:fill="auto"/>
            <w:noWrap/>
            <w:vAlign w:val="bottom"/>
          </w:tcPr>
          <w:p w14:paraId="1C00A7C3" w14:textId="77777777" w:rsidR="004E2F51" w:rsidRPr="00AA2D5F" w:rsidRDefault="004E2F51" w:rsidP="00E032FC">
            <w:pPr>
              <w:jc w:val="right"/>
              <w:rPr>
                <w:rFonts w:ascii="Arial" w:hAnsi="Arial" w:cs="Arial"/>
                <w:b/>
                <w:bCs/>
                <w:sz w:val="14"/>
                <w:szCs w:val="14"/>
              </w:rPr>
            </w:pPr>
            <w:r w:rsidRPr="00AA2D5F">
              <w:rPr>
                <w:rFonts w:ascii="Arial" w:hAnsi="Arial" w:cs="Arial"/>
                <w:b/>
                <w:bCs/>
                <w:sz w:val="14"/>
                <w:szCs w:val="14"/>
              </w:rPr>
              <w:t xml:space="preserve"> 3.74</w:t>
            </w:r>
            <w:r>
              <w:rPr>
                <w:rFonts w:ascii="Arial" w:hAnsi="Arial" w:cs="Arial"/>
                <w:b/>
                <w:bCs/>
                <w:sz w:val="14"/>
                <w:szCs w:val="14"/>
              </w:rPr>
              <w:t>5</w:t>
            </w:r>
            <w:r w:rsidRPr="00AA2D5F">
              <w:rPr>
                <w:rFonts w:ascii="Arial" w:hAnsi="Arial" w:cs="Arial"/>
                <w:b/>
                <w:bCs/>
                <w:sz w:val="14"/>
                <w:szCs w:val="14"/>
              </w:rPr>
              <w:t xml:space="preserve"> </w:t>
            </w:r>
          </w:p>
        </w:tc>
      </w:tr>
    </w:tbl>
    <w:p w14:paraId="46152E79" w14:textId="77777777" w:rsidR="004E2F51" w:rsidRPr="00B91D09" w:rsidRDefault="004E2F51" w:rsidP="004E2F51">
      <w:pPr>
        <w:pStyle w:val="T1"/>
        <w:spacing w:before="0" w:after="0" w:line="240" w:lineRule="auto"/>
        <w:rPr>
          <w:rFonts w:cs="Arial"/>
          <w:b w:val="0"/>
          <w:bCs w:val="0"/>
          <w:color w:val="000000" w:themeColor="text1"/>
          <w:sz w:val="22"/>
          <w:szCs w:val="22"/>
          <w:lang w:val="hr-HR"/>
        </w:rPr>
      </w:pPr>
    </w:p>
    <w:tbl>
      <w:tblPr>
        <w:tblW w:w="10031" w:type="dxa"/>
        <w:tblInd w:w="-426" w:type="dxa"/>
        <w:tblLayout w:type="fixed"/>
        <w:tblLook w:val="04A0" w:firstRow="1" w:lastRow="0" w:firstColumn="1" w:lastColumn="0" w:noHBand="0" w:noVBand="1"/>
      </w:tblPr>
      <w:tblGrid>
        <w:gridCol w:w="1531"/>
        <w:gridCol w:w="850"/>
        <w:gridCol w:w="850"/>
        <w:gridCol w:w="850"/>
        <w:gridCol w:w="850"/>
        <w:gridCol w:w="850"/>
        <w:gridCol w:w="850"/>
        <w:gridCol w:w="850"/>
        <w:gridCol w:w="850"/>
        <w:gridCol w:w="850"/>
        <w:gridCol w:w="850"/>
      </w:tblGrid>
      <w:tr w:rsidR="004E2F51" w:rsidRPr="003364B5" w14:paraId="66763B1D" w14:textId="77777777" w:rsidTr="00E032FC">
        <w:trPr>
          <w:trHeight w:val="244"/>
        </w:trPr>
        <w:tc>
          <w:tcPr>
            <w:tcW w:w="1531" w:type="dxa"/>
            <w:tcBorders>
              <w:top w:val="nil"/>
              <w:left w:val="nil"/>
              <w:bottom w:val="nil"/>
              <w:right w:val="nil"/>
            </w:tcBorders>
            <w:shd w:val="clear" w:color="auto" w:fill="auto"/>
            <w:noWrap/>
            <w:vAlign w:val="bottom"/>
            <w:hideMark/>
          </w:tcPr>
          <w:p w14:paraId="35A4B40B" w14:textId="77777777" w:rsidR="004E2F51" w:rsidRPr="004B4498" w:rsidRDefault="004E2F51" w:rsidP="00E032FC">
            <w:pPr>
              <w:rPr>
                <w:rFonts w:ascii="Arial" w:hAnsi="Arial" w:cs="Arial"/>
                <w:color w:val="000000" w:themeColor="text1"/>
                <w:sz w:val="14"/>
                <w:szCs w:val="14"/>
                <w:lang w:val="hr-HR"/>
              </w:rPr>
            </w:pPr>
            <w:r w:rsidRPr="004B4498">
              <w:rPr>
                <w:rFonts w:ascii="Arial" w:hAnsi="Arial" w:cs="Arial"/>
                <w:b/>
                <w:bCs/>
                <w:color w:val="000000" w:themeColor="text1"/>
                <w:sz w:val="14"/>
                <w:szCs w:val="14"/>
                <w:lang w:val="hr-HR"/>
              </w:rPr>
              <w:t>31. prosinca 202</w:t>
            </w:r>
            <w:r>
              <w:rPr>
                <w:rFonts w:ascii="Arial" w:hAnsi="Arial" w:cs="Arial"/>
                <w:b/>
                <w:bCs/>
                <w:color w:val="000000" w:themeColor="text1"/>
                <w:sz w:val="14"/>
                <w:szCs w:val="14"/>
                <w:lang w:val="hr-HR"/>
              </w:rPr>
              <w:t>1</w:t>
            </w:r>
            <w:r w:rsidRPr="004B4498">
              <w:rPr>
                <w:rFonts w:ascii="Arial" w:hAnsi="Arial" w:cs="Arial"/>
                <w:b/>
                <w:bCs/>
                <w:color w:val="000000" w:themeColor="text1"/>
                <w:sz w:val="14"/>
                <w:szCs w:val="14"/>
                <w:lang w:val="hr-HR"/>
              </w:rPr>
              <w:t>.</w:t>
            </w:r>
          </w:p>
        </w:tc>
        <w:tc>
          <w:tcPr>
            <w:tcW w:w="850" w:type="dxa"/>
            <w:tcBorders>
              <w:top w:val="nil"/>
              <w:left w:val="nil"/>
              <w:bottom w:val="nil"/>
              <w:right w:val="nil"/>
            </w:tcBorders>
            <w:shd w:val="clear" w:color="auto" w:fill="auto"/>
            <w:noWrap/>
            <w:vAlign w:val="bottom"/>
            <w:hideMark/>
          </w:tcPr>
          <w:p w14:paraId="0A9BECE8" w14:textId="77777777" w:rsidR="004E2F51" w:rsidRPr="004B4498" w:rsidRDefault="004E2F51" w:rsidP="00E032FC">
            <w:pPr>
              <w:rPr>
                <w:rFonts w:ascii="Arial" w:hAnsi="Arial" w:cs="Arial"/>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1ADC2AC5" w14:textId="77777777" w:rsidR="004E2F51" w:rsidRPr="004B4498" w:rsidRDefault="004E2F51" w:rsidP="00E032FC">
            <w:pPr>
              <w:jc w:val="right"/>
              <w:rPr>
                <w:rFonts w:ascii="Arial" w:hAnsi="Arial" w:cs="Arial"/>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0B617AAC" w14:textId="77777777" w:rsidR="004E2F51" w:rsidRPr="004B4498" w:rsidRDefault="004E2F51" w:rsidP="00E032FC">
            <w:pPr>
              <w:jc w:val="right"/>
              <w:rPr>
                <w:rFonts w:ascii="Arial" w:hAnsi="Arial" w:cs="Arial"/>
                <w:color w:val="000000" w:themeColor="text1"/>
                <w:sz w:val="14"/>
                <w:szCs w:val="14"/>
                <w:lang w:val="hr-HR"/>
              </w:rPr>
            </w:pPr>
          </w:p>
        </w:tc>
        <w:tc>
          <w:tcPr>
            <w:tcW w:w="850" w:type="dxa"/>
            <w:tcBorders>
              <w:top w:val="nil"/>
              <w:left w:val="nil"/>
              <w:bottom w:val="nil"/>
              <w:right w:val="nil"/>
            </w:tcBorders>
            <w:vAlign w:val="bottom"/>
          </w:tcPr>
          <w:p w14:paraId="35ABC751" w14:textId="77777777" w:rsidR="004E2F51" w:rsidRPr="004B4498" w:rsidRDefault="004E2F51" w:rsidP="00E032FC">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1A0A360F"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Grupa</w:t>
            </w:r>
          </w:p>
        </w:tc>
        <w:tc>
          <w:tcPr>
            <w:tcW w:w="850" w:type="dxa"/>
            <w:tcBorders>
              <w:top w:val="nil"/>
              <w:left w:val="nil"/>
              <w:bottom w:val="nil"/>
              <w:right w:val="nil"/>
            </w:tcBorders>
            <w:shd w:val="clear" w:color="auto" w:fill="auto"/>
            <w:noWrap/>
            <w:vAlign w:val="bottom"/>
            <w:hideMark/>
          </w:tcPr>
          <w:p w14:paraId="14C8A9CE" w14:textId="77777777" w:rsidR="004E2F51" w:rsidRPr="004B4498" w:rsidRDefault="004E2F51" w:rsidP="00E032FC">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7126FAD5" w14:textId="77777777" w:rsidR="004E2F51" w:rsidRPr="004B4498" w:rsidRDefault="004E2F51" w:rsidP="00E032FC">
            <w:pPr>
              <w:jc w:val="right"/>
              <w:rPr>
                <w:rFonts w:ascii="Arial" w:hAnsi="Arial" w:cs="Arial"/>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7F71A3A7" w14:textId="77777777" w:rsidR="004E2F51" w:rsidRPr="004B4498" w:rsidRDefault="004E2F51" w:rsidP="00E032FC">
            <w:pPr>
              <w:jc w:val="right"/>
              <w:rPr>
                <w:rFonts w:ascii="Arial" w:hAnsi="Arial" w:cs="Arial"/>
                <w:color w:val="000000" w:themeColor="text1"/>
                <w:sz w:val="14"/>
                <w:szCs w:val="14"/>
                <w:lang w:val="hr-HR"/>
              </w:rPr>
            </w:pPr>
          </w:p>
        </w:tc>
        <w:tc>
          <w:tcPr>
            <w:tcW w:w="850" w:type="dxa"/>
            <w:tcBorders>
              <w:top w:val="nil"/>
              <w:left w:val="nil"/>
              <w:bottom w:val="nil"/>
              <w:right w:val="nil"/>
            </w:tcBorders>
            <w:vAlign w:val="bottom"/>
          </w:tcPr>
          <w:p w14:paraId="45A03B9F" w14:textId="77777777" w:rsidR="004E2F51" w:rsidRPr="004B4498" w:rsidRDefault="004E2F51" w:rsidP="00E032FC">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2F1C29A4"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Banka</w:t>
            </w:r>
          </w:p>
        </w:tc>
      </w:tr>
      <w:tr w:rsidR="004E2F51" w:rsidRPr="003364B5" w14:paraId="68628E73" w14:textId="77777777" w:rsidTr="00E032FC">
        <w:trPr>
          <w:trHeight w:val="288"/>
        </w:trPr>
        <w:tc>
          <w:tcPr>
            <w:tcW w:w="1531" w:type="dxa"/>
            <w:tcBorders>
              <w:top w:val="nil"/>
              <w:left w:val="nil"/>
              <w:bottom w:val="nil"/>
              <w:right w:val="nil"/>
            </w:tcBorders>
            <w:shd w:val="clear" w:color="auto" w:fill="auto"/>
            <w:noWrap/>
            <w:vAlign w:val="bottom"/>
            <w:hideMark/>
          </w:tcPr>
          <w:p w14:paraId="60C6ACC3" w14:textId="77777777" w:rsidR="004E2F51" w:rsidRPr="004B4498" w:rsidRDefault="004E2F51" w:rsidP="00E032FC">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40DE9DE4"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1</w:t>
            </w:r>
          </w:p>
        </w:tc>
        <w:tc>
          <w:tcPr>
            <w:tcW w:w="850" w:type="dxa"/>
            <w:tcBorders>
              <w:top w:val="nil"/>
              <w:left w:val="nil"/>
              <w:bottom w:val="nil"/>
              <w:right w:val="nil"/>
            </w:tcBorders>
            <w:shd w:val="clear" w:color="auto" w:fill="auto"/>
            <w:noWrap/>
            <w:vAlign w:val="bottom"/>
            <w:hideMark/>
          </w:tcPr>
          <w:p w14:paraId="375C00A1"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2</w:t>
            </w:r>
          </w:p>
        </w:tc>
        <w:tc>
          <w:tcPr>
            <w:tcW w:w="850" w:type="dxa"/>
            <w:tcBorders>
              <w:top w:val="nil"/>
              <w:left w:val="nil"/>
              <w:bottom w:val="nil"/>
              <w:right w:val="nil"/>
            </w:tcBorders>
            <w:shd w:val="clear" w:color="auto" w:fill="auto"/>
            <w:noWrap/>
            <w:vAlign w:val="bottom"/>
            <w:hideMark/>
          </w:tcPr>
          <w:p w14:paraId="5F91014B"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3</w:t>
            </w:r>
          </w:p>
        </w:tc>
        <w:tc>
          <w:tcPr>
            <w:tcW w:w="850" w:type="dxa"/>
            <w:tcBorders>
              <w:top w:val="nil"/>
              <w:left w:val="nil"/>
              <w:bottom w:val="nil"/>
              <w:right w:val="nil"/>
            </w:tcBorders>
            <w:vAlign w:val="bottom"/>
          </w:tcPr>
          <w:p w14:paraId="58EB8E29"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POCI</w:t>
            </w:r>
          </w:p>
        </w:tc>
        <w:tc>
          <w:tcPr>
            <w:tcW w:w="850" w:type="dxa"/>
            <w:tcBorders>
              <w:top w:val="nil"/>
              <w:left w:val="nil"/>
              <w:bottom w:val="nil"/>
              <w:right w:val="nil"/>
            </w:tcBorders>
            <w:shd w:val="clear" w:color="auto" w:fill="auto"/>
            <w:noWrap/>
            <w:vAlign w:val="bottom"/>
            <w:hideMark/>
          </w:tcPr>
          <w:p w14:paraId="5FB994A8"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Ukupno</w:t>
            </w:r>
          </w:p>
        </w:tc>
        <w:tc>
          <w:tcPr>
            <w:tcW w:w="850" w:type="dxa"/>
            <w:tcBorders>
              <w:top w:val="nil"/>
              <w:left w:val="nil"/>
              <w:bottom w:val="nil"/>
              <w:right w:val="nil"/>
            </w:tcBorders>
            <w:shd w:val="clear" w:color="auto" w:fill="auto"/>
            <w:noWrap/>
            <w:vAlign w:val="bottom"/>
            <w:hideMark/>
          </w:tcPr>
          <w:p w14:paraId="6D88E218"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1</w:t>
            </w:r>
          </w:p>
        </w:tc>
        <w:tc>
          <w:tcPr>
            <w:tcW w:w="850" w:type="dxa"/>
            <w:tcBorders>
              <w:top w:val="nil"/>
              <w:left w:val="nil"/>
              <w:bottom w:val="nil"/>
              <w:right w:val="nil"/>
            </w:tcBorders>
            <w:shd w:val="clear" w:color="auto" w:fill="auto"/>
            <w:noWrap/>
            <w:vAlign w:val="bottom"/>
            <w:hideMark/>
          </w:tcPr>
          <w:p w14:paraId="3756B698"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2</w:t>
            </w:r>
          </w:p>
        </w:tc>
        <w:tc>
          <w:tcPr>
            <w:tcW w:w="850" w:type="dxa"/>
            <w:tcBorders>
              <w:top w:val="nil"/>
              <w:left w:val="nil"/>
              <w:bottom w:val="nil"/>
              <w:right w:val="nil"/>
            </w:tcBorders>
            <w:shd w:val="clear" w:color="auto" w:fill="auto"/>
            <w:noWrap/>
            <w:vAlign w:val="bottom"/>
            <w:hideMark/>
          </w:tcPr>
          <w:p w14:paraId="14A7B312"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Stupanj 3</w:t>
            </w:r>
          </w:p>
        </w:tc>
        <w:tc>
          <w:tcPr>
            <w:tcW w:w="850" w:type="dxa"/>
            <w:tcBorders>
              <w:top w:val="nil"/>
              <w:left w:val="nil"/>
              <w:bottom w:val="nil"/>
              <w:right w:val="nil"/>
            </w:tcBorders>
            <w:vAlign w:val="bottom"/>
          </w:tcPr>
          <w:p w14:paraId="008D88D1"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POCI</w:t>
            </w:r>
          </w:p>
        </w:tc>
        <w:tc>
          <w:tcPr>
            <w:tcW w:w="850" w:type="dxa"/>
            <w:tcBorders>
              <w:top w:val="nil"/>
              <w:left w:val="nil"/>
              <w:bottom w:val="nil"/>
              <w:right w:val="nil"/>
            </w:tcBorders>
            <w:shd w:val="clear" w:color="auto" w:fill="auto"/>
            <w:noWrap/>
            <w:vAlign w:val="bottom"/>
            <w:hideMark/>
          </w:tcPr>
          <w:p w14:paraId="50C67425"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Ukupno</w:t>
            </w:r>
          </w:p>
        </w:tc>
      </w:tr>
      <w:tr w:rsidR="004E2F51" w:rsidRPr="003364B5" w14:paraId="5510AFAB" w14:textId="77777777" w:rsidTr="00E032FC">
        <w:trPr>
          <w:trHeight w:val="288"/>
        </w:trPr>
        <w:tc>
          <w:tcPr>
            <w:tcW w:w="1531" w:type="dxa"/>
            <w:tcBorders>
              <w:top w:val="nil"/>
              <w:left w:val="nil"/>
              <w:bottom w:val="nil"/>
              <w:right w:val="nil"/>
            </w:tcBorders>
            <w:shd w:val="clear" w:color="auto" w:fill="auto"/>
            <w:noWrap/>
            <w:vAlign w:val="bottom"/>
            <w:hideMark/>
          </w:tcPr>
          <w:p w14:paraId="27FFC35F" w14:textId="77777777" w:rsidR="004E2F51" w:rsidRPr="004B4498" w:rsidRDefault="004E2F51" w:rsidP="00E032FC">
            <w:pPr>
              <w:jc w:val="right"/>
              <w:rPr>
                <w:rFonts w:ascii="Arial" w:hAnsi="Arial" w:cs="Arial"/>
                <w:b/>
                <w:bCs/>
                <w:color w:val="000000" w:themeColor="text1"/>
                <w:sz w:val="14"/>
                <w:szCs w:val="14"/>
                <w:lang w:val="hr-HR"/>
              </w:rPr>
            </w:pPr>
          </w:p>
        </w:tc>
        <w:tc>
          <w:tcPr>
            <w:tcW w:w="850" w:type="dxa"/>
            <w:tcBorders>
              <w:top w:val="nil"/>
              <w:left w:val="nil"/>
              <w:bottom w:val="nil"/>
              <w:right w:val="nil"/>
            </w:tcBorders>
            <w:shd w:val="clear" w:color="auto" w:fill="auto"/>
            <w:noWrap/>
            <w:vAlign w:val="bottom"/>
            <w:hideMark/>
          </w:tcPr>
          <w:p w14:paraId="19F6D514"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c>
          <w:tcPr>
            <w:tcW w:w="850" w:type="dxa"/>
            <w:tcBorders>
              <w:top w:val="nil"/>
              <w:left w:val="nil"/>
              <w:bottom w:val="nil"/>
              <w:right w:val="nil"/>
            </w:tcBorders>
            <w:shd w:val="clear" w:color="auto" w:fill="auto"/>
            <w:noWrap/>
            <w:vAlign w:val="bottom"/>
            <w:hideMark/>
          </w:tcPr>
          <w:p w14:paraId="2D591145"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c>
          <w:tcPr>
            <w:tcW w:w="850" w:type="dxa"/>
            <w:tcBorders>
              <w:top w:val="nil"/>
              <w:left w:val="nil"/>
              <w:bottom w:val="nil"/>
              <w:right w:val="nil"/>
            </w:tcBorders>
            <w:shd w:val="clear" w:color="auto" w:fill="auto"/>
            <w:noWrap/>
            <w:vAlign w:val="bottom"/>
            <w:hideMark/>
          </w:tcPr>
          <w:p w14:paraId="4CF855F6"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c>
          <w:tcPr>
            <w:tcW w:w="850" w:type="dxa"/>
            <w:tcBorders>
              <w:top w:val="nil"/>
              <w:left w:val="nil"/>
              <w:bottom w:val="nil"/>
              <w:right w:val="nil"/>
            </w:tcBorders>
            <w:vAlign w:val="bottom"/>
          </w:tcPr>
          <w:p w14:paraId="6E06ACA9"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c>
          <w:tcPr>
            <w:tcW w:w="850" w:type="dxa"/>
            <w:tcBorders>
              <w:top w:val="nil"/>
              <w:left w:val="nil"/>
              <w:bottom w:val="nil"/>
              <w:right w:val="nil"/>
            </w:tcBorders>
            <w:shd w:val="clear" w:color="auto" w:fill="auto"/>
            <w:noWrap/>
            <w:vAlign w:val="bottom"/>
            <w:hideMark/>
          </w:tcPr>
          <w:p w14:paraId="111AB79F"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c>
          <w:tcPr>
            <w:tcW w:w="850" w:type="dxa"/>
            <w:tcBorders>
              <w:top w:val="nil"/>
              <w:left w:val="nil"/>
              <w:bottom w:val="nil"/>
              <w:right w:val="nil"/>
            </w:tcBorders>
            <w:shd w:val="clear" w:color="auto" w:fill="auto"/>
            <w:noWrap/>
            <w:vAlign w:val="bottom"/>
            <w:hideMark/>
          </w:tcPr>
          <w:p w14:paraId="49031BB6"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c>
          <w:tcPr>
            <w:tcW w:w="850" w:type="dxa"/>
            <w:tcBorders>
              <w:top w:val="nil"/>
              <w:left w:val="nil"/>
              <w:bottom w:val="nil"/>
              <w:right w:val="nil"/>
            </w:tcBorders>
            <w:shd w:val="clear" w:color="auto" w:fill="auto"/>
            <w:noWrap/>
            <w:vAlign w:val="bottom"/>
            <w:hideMark/>
          </w:tcPr>
          <w:p w14:paraId="174B03DD"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c>
          <w:tcPr>
            <w:tcW w:w="850" w:type="dxa"/>
            <w:tcBorders>
              <w:top w:val="nil"/>
              <w:left w:val="nil"/>
              <w:bottom w:val="nil"/>
              <w:right w:val="nil"/>
            </w:tcBorders>
            <w:shd w:val="clear" w:color="auto" w:fill="auto"/>
            <w:noWrap/>
            <w:vAlign w:val="bottom"/>
            <w:hideMark/>
          </w:tcPr>
          <w:p w14:paraId="33DFFA98"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c>
          <w:tcPr>
            <w:tcW w:w="850" w:type="dxa"/>
            <w:tcBorders>
              <w:top w:val="nil"/>
              <w:left w:val="nil"/>
              <w:bottom w:val="nil"/>
              <w:right w:val="nil"/>
            </w:tcBorders>
            <w:vAlign w:val="bottom"/>
          </w:tcPr>
          <w:p w14:paraId="329D73BC"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c>
          <w:tcPr>
            <w:tcW w:w="850" w:type="dxa"/>
            <w:tcBorders>
              <w:top w:val="nil"/>
              <w:left w:val="nil"/>
              <w:bottom w:val="nil"/>
              <w:right w:val="nil"/>
            </w:tcBorders>
            <w:shd w:val="clear" w:color="auto" w:fill="auto"/>
            <w:noWrap/>
            <w:vAlign w:val="bottom"/>
            <w:hideMark/>
          </w:tcPr>
          <w:p w14:paraId="5D6DB6F5" w14:textId="77777777" w:rsidR="004E2F51" w:rsidRPr="004B4498" w:rsidRDefault="004E2F51" w:rsidP="00E032FC">
            <w:pPr>
              <w:jc w:val="right"/>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000 kuna</w:t>
            </w:r>
          </w:p>
        </w:tc>
      </w:tr>
      <w:tr w:rsidR="004E2F51" w:rsidRPr="003364B5" w14:paraId="10B18DE6" w14:textId="77777777" w:rsidTr="00E032FC">
        <w:trPr>
          <w:trHeight w:val="333"/>
        </w:trPr>
        <w:tc>
          <w:tcPr>
            <w:tcW w:w="1531" w:type="dxa"/>
            <w:tcBorders>
              <w:top w:val="nil"/>
              <w:left w:val="nil"/>
              <w:bottom w:val="nil"/>
              <w:right w:val="nil"/>
            </w:tcBorders>
            <w:shd w:val="clear" w:color="auto" w:fill="auto"/>
            <w:noWrap/>
            <w:vAlign w:val="bottom"/>
            <w:hideMark/>
          </w:tcPr>
          <w:p w14:paraId="7C3004B7" w14:textId="77777777" w:rsidR="004E2F51" w:rsidRPr="004B4498" w:rsidRDefault="004E2F51" w:rsidP="00E032FC">
            <w:pPr>
              <w:rPr>
                <w:rFonts w:ascii="Arial" w:hAnsi="Arial" w:cs="Arial"/>
                <w:color w:val="000000" w:themeColor="text1"/>
                <w:sz w:val="14"/>
                <w:szCs w:val="14"/>
                <w:lang w:val="hr-HR"/>
              </w:rPr>
            </w:pPr>
            <w:r w:rsidRPr="004B4498">
              <w:rPr>
                <w:rFonts w:ascii="Arial" w:hAnsi="Arial" w:cs="Arial"/>
                <w:color w:val="000000" w:themeColor="text1"/>
                <w:sz w:val="14"/>
                <w:szCs w:val="14"/>
                <w:lang w:val="hr-HR"/>
              </w:rPr>
              <w:t>Bruto iznos</w:t>
            </w:r>
          </w:p>
        </w:tc>
        <w:tc>
          <w:tcPr>
            <w:tcW w:w="850" w:type="dxa"/>
            <w:tcBorders>
              <w:top w:val="nil"/>
              <w:left w:val="nil"/>
              <w:bottom w:val="nil"/>
              <w:right w:val="nil"/>
            </w:tcBorders>
            <w:shd w:val="clear" w:color="auto" w:fill="auto"/>
            <w:noWrap/>
            <w:vAlign w:val="bottom"/>
          </w:tcPr>
          <w:p w14:paraId="5931D943" w14:textId="77777777" w:rsidR="004E2F51" w:rsidRPr="004B4498" w:rsidRDefault="004E2F51" w:rsidP="00E032FC">
            <w:pPr>
              <w:jc w:val="right"/>
              <w:rPr>
                <w:rFonts w:ascii="Arial" w:hAnsi="Arial" w:cs="Arial"/>
                <w:color w:val="000000" w:themeColor="text1"/>
                <w:sz w:val="14"/>
                <w:szCs w:val="14"/>
                <w:lang w:val="hr-HR"/>
              </w:rPr>
            </w:pPr>
            <w:r w:rsidRPr="0046584E">
              <w:rPr>
                <w:rFonts w:ascii="Arial" w:hAnsi="Arial" w:cs="Arial"/>
                <w:sz w:val="14"/>
                <w:szCs w:val="14"/>
              </w:rPr>
              <w:t xml:space="preserve"> 6.117 </w:t>
            </w:r>
          </w:p>
        </w:tc>
        <w:tc>
          <w:tcPr>
            <w:tcW w:w="850" w:type="dxa"/>
            <w:tcBorders>
              <w:top w:val="nil"/>
              <w:left w:val="nil"/>
              <w:bottom w:val="nil"/>
              <w:right w:val="nil"/>
            </w:tcBorders>
            <w:shd w:val="clear" w:color="auto" w:fill="auto"/>
            <w:noWrap/>
            <w:vAlign w:val="bottom"/>
          </w:tcPr>
          <w:p w14:paraId="6868D80C" w14:textId="77777777" w:rsidR="004E2F51" w:rsidRPr="004B4498" w:rsidRDefault="004E2F51" w:rsidP="00E032FC">
            <w:pPr>
              <w:jc w:val="right"/>
              <w:rPr>
                <w:rFonts w:ascii="Arial" w:hAnsi="Arial" w:cs="Arial"/>
                <w:color w:val="000000" w:themeColor="text1"/>
                <w:sz w:val="14"/>
                <w:szCs w:val="14"/>
                <w:lang w:val="hr-HR"/>
              </w:rPr>
            </w:pPr>
            <w:r w:rsidRPr="0046584E">
              <w:rPr>
                <w:rFonts w:ascii="Arial" w:hAnsi="Arial" w:cs="Arial"/>
                <w:sz w:val="14"/>
                <w:szCs w:val="14"/>
              </w:rPr>
              <w:t xml:space="preserve"> 16 </w:t>
            </w:r>
          </w:p>
        </w:tc>
        <w:tc>
          <w:tcPr>
            <w:tcW w:w="850" w:type="dxa"/>
            <w:tcBorders>
              <w:top w:val="nil"/>
              <w:left w:val="nil"/>
              <w:bottom w:val="nil"/>
              <w:right w:val="nil"/>
            </w:tcBorders>
            <w:shd w:val="clear" w:color="auto" w:fill="auto"/>
            <w:noWrap/>
            <w:vAlign w:val="bottom"/>
          </w:tcPr>
          <w:p w14:paraId="1935361A" w14:textId="77777777" w:rsidR="004E2F51" w:rsidRPr="004B4498" w:rsidRDefault="004E2F51" w:rsidP="00E032FC">
            <w:pPr>
              <w:jc w:val="right"/>
              <w:rPr>
                <w:rFonts w:ascii="Arial" w:hAnsi="Arial" w:cs="Arial"/>
                <w:color w:val="000000" w:themeColor="text1"/>
                <w:sz w:val="14"/>
                <w:szCs w:val="14"/>
                <w:lang w:val="hr-HR"/>
              </w:rPr>
            </w:pPr>
            <w:r w:rsidRPr="0046584E">
              <w:rPr>
                <w:rFonts w:ascii="Arial" w:hAnsi="Arial" w:cs="Arial"/>
                <w:sz w:val="14"/>
                <w:szCs w:val="14"/>
              </w:rPr>
              <w:t xml:space="preserve"> 32.728 </w:t>
            </w:r>
          </w:p>
        </w:tc>
        <w:tc>
          <w:tcPr>
            <w:tcW w:w="850" w:type="dxa"/>
            <w:tcBorders>
              <w:top w:val="nil"/>
              <w:left w:val="nil"/>
              <w:bottom w:val="nil"/>
              <w:right w:val="nil"/>
            </w:tcBorders>
            <w:vAlign w:val="bottom"/>
          </w:tcPr>
          <w:p w14:paraId="296952F2" w14:textId="77777777" w:rsidR="004E2F51" w:rsidRPr="004B4498" w:rsidRDefault="004E2F51" w:rsidP="00E032FC">
            <w:pPr>
              <w:jc w:val="right"/>
              <w:rPr>
                <w:rFonts w:ascii="Arial" w:hAnsi="Arial" w:cs="Arial"/>
                <w:color w:val="000000" w:themeColor="text1"/>
                <w:sz w:val="14"/>
                <w:szCs w:val="14"/>
                <w:lang w:val="hr-HR"/>
              </w:rPr>
            </w:pPr>
            <w:r w:rsidRPr="0046584E">
              <w:rPr>
                <w:rFonts w:ascii="Arial" w:hAnsi="Arial" w:cs="Arial"/>
                <w:sz w:val="14"/>
                <w:szCs w:val="14"/>
              </w:rPr>
              <w:t xml:space="preserve"> 301 </w:t>
            </w:r>
          </w:p>
        </w:tc>
        <w:tc>
          <w:tcPr>
            <w:tcW w:w="850" w:type="dxa"/>
            <w:tcBorders>
              <w:top w:val="nil"/>
              <w:left w:val="nil"/>
              <w:bottom w:val="nil"/>
              <w:right w:val="nil"/>
            </w:tcBorders>
            <w:shd w:val="clear" w:color="auto" w:fill="auto"/>
            <w:noWrap/>
            <w:vAlign w:val="bottom"/>
          </w:tcPr>
          <w:p w14:paraId="489FDD0A" w14:textId="77777777" w:rsidR="004E2F51" w:rsidRPr="004B4498" w:rsidRDefault="004E2F51" w:rsidP="00E032FC">
            <w:pPr>
              <w:jc w:val="right"/>
              <w:rPr>
                <w:rFonts w:ascii="Arial" w:hAnsi="Arial" w:cs="Arial"/>
                <w:b/>
                <w:bCs/>
                <w:color w:val="000000" w:themeColor="text1"/>
                <w:sz w:val="14"/>
                <w:szCs w:val="14"/>
                <w:lang w:val="hr-HR"/>
              </w:rPr>
            </w:pPr>
            <w:r w:rsidRPr="0046584E">
              <w:rPr>
                <w:rFonts w:ascii="Arial" w:hAnsi="Arial" w:cs="Arial"/>
                <w:b/>
                <w:bCs/>
                <w:sz w:val="14"/>
                <w:szCs w:val="14"/>
              </w:rPr>
              <w:t xml:space="preserve"> 39.162 </w:t>
            </w:r>
          </w:p>
        </w:tc>
        <w:tc>
          <w:tcPr>
            <w:tcW w:w="850" w:type="dxa"/>
            <w:tcBorders>
              <w:top w:val="nil"/>
              <w:left w:val="nil"/>
              <w:bottom w:val="nil"/>
              <w:right w:val="nil"/>
            </w:tcBorders>
            <w:shd w:val="clear" w:color="auto" w:fill="auto"/>
            <w:noWrap/>
            <w:vAlign w:val="bottom"/>
          </w:tcPr>
          <w:p w14:paraId="37EF9B48" w14:textId="77777777" w:rsidR="004E2F51" w:rsidRPr="004B4498" w:rsidRDefault="004E2F51" w:rsidP="00E032FC">
            <w:pPr>
              <w:jc w:val="right"/>
              <w:rPr>
                <w:rFonts w:ascii="Arial" w:hAnsi="Arial" w:cs="Arial"/>
                <w:color w:val="000000" w:themeColor="text1"/>
                <w:sz w:val="14"/>
                <w:szCs w:val="14"/>
                <w:lang w:val="hr-HR"/>
              </w:rPr>
            </w:pPr>
            <w:r w:rsidRPr="0046584E">
              <w:rPr>
                <w:rFonts w:ascii="Arial" w:hAnsi="Arial" w:cs="Arial"/>
                <w:sz w:val="14"/>
                <w:szCs w:val="14"/>
              </w:rPr>
              <w:t xml:space="preserve"> 3.351 </w:t>
            </w:r>
          </w:p>
        </w:tc>
        <w:tc>
          <w:tcPr>
            <w:tcW w:w="850" w:type="dxa"/>
            <w:tcBorders>
              <w:top w:val="nil"/>
              <w:left w:val="nil"/>
              <w:bottom w:val="nil"/>
              <w:right w:val="nil"/>
            </w:tcBorders>
            <w:shd w:val="clear" w:color="auto" w:fill="auto"/>
            <w:noWrap/>
            <w:vAlign w:val="bottom"/>
          </w:tcPr>
          <w:p w14:paraId="7E24DA0A" w14:textId="77777777" w:rsidR="004E2F51" w:rsidRPr="004B4498" w:rsidRDefault="004E2F51" w:rsidP="00E032FC">
            <w:pPr>
              <w:jc w:val="right"/>
              <w:rPr>
                <w:rFonts w:ascii="Arial" w:hAnsi="Arial" w:cs="Arial"/>
                <w:color w:val="000000" w:themeColor="text1"/>
                <w:sz w:val="14"/>
                <w:szCs w:val="14"/>
                <w:lang w:val="hr-HR"/>
              </w:rPr>
            </w:pPr>
            <w:r w:rsidRPr="0046584E">
              <w:rPr>
                <w:rFonts w:ascii="Arial" w:hAnsi="Arial" w:cs="Arial"/>
                <w:sz w:val="14"/>
                <w:szCs w:val="14"/>
              </w:rPr>
              <w:t xml:space="preserve"> 16 </w:t>
            </w:r>
          </w:p>
        </w:tc>
        <w:tc>
          <w:tcPr>
            <w:tcW w:w="850" w:type="dxa"/>
            <w:tcBorders>
              <w:top w:val="nil"/>
              <w:left w:val="nil"/>
              <w:bottom w:val="nil"/>
              <w:right w:val="nil"/>
            </w:tcBorders>
            <w:shd w:val="clear" w:color="auto" w:fill="auto"/>
            <w:noWrap/>
            <w:vAlign w:val="bottom"/>
          </w:tcPr>
          <w:p w14:paraId="66CDBD5F" w14:textId="77777777" w:rsidR="004E2F51" w:rsidRPr="004B4498" w:rsidRDefault="004E2F51" w:rsidP="00E032FC">
            <w:pPr>
              <w:jc w:val="right"/>
              <w:rPr>
                <w:rFonts w:ascii="Arial" w:hAnsi="Arial" w:cs="Arial"/>
                <w:color w:val="000000" w:themeColor="text1"/>
                <w:sz w:val="14"/>
                <w:szCs w:val="14"/>
                <w:lang w:val="hr-HR"/>
              </w:rPr>
            </w:pPr>
            <w:r w:rsidRPr="0046584E">
              <w:rPr>
                <w:rFonts w:ascii="Arial" w:hAnsi="Arial" w:cs="Arial"/>
                <w:sz w:val="14"/>
                <w:szCs w:val="14"/>
              </w:rPr>
              <w:t xml:space="preserve"> 32.728 </w:t>
            </w:r>
          </w:p>
        </w:tc>
        <w:tc>
          <w:tcPr>
            <w:tcW w:w="850" w:type="dxa"/>
            <w:tcBorders>
              <w:top w:val="nil"/>
              <w:left w:val="nil"/>
              <w:bottom w:val="nil"/>
              <w:right w:val="nil"/>
            </w:tcBorders>
            <w:vAlign w:val="bottom"/>
          </w:tcPr>
          <w:p w14:paraId="7DE6DC92" w14:textId="77777777" w:rsidR="004E2F51" w:rsidRPr="004B4498" w:rsidRDefault="004E2F51" w:rsidP="00E032FC">
            <w:pPr>
              <w:jc w:val="right"/>
              <w:rPr>
                <w:rFonts w:ascii="Arial" w:hAnsi="Arial" w:cs="Arial"/>
                <w:color w:val="000000" w:themeColor="text1"/>
                <w:sz w:val="14"/>
                <w:szCs w:val="14"/>
                <w:lang w:val="hr-HR"/>
              </w:rPr>
            </w:pPr>
            <w:r w:rsidRPr="0046584E">
              <w:rPr>
                <w:rFonts w:ascii="Arial" w:hAnsi="Arial" w:cs="Arial"/>
                <w:sz w:val="14"/>
                <w:szCs w:val="14"/>
              </w:rPr>
              <w:t xml:space="preserve"> 301 </w:t>
            </w:r>
          </w:p>
        </w:tc>
        <w:tc>
          <w:tcPr>
            <w:tcW w:w="850" w:type="dxa"/>
            <w:tcBorders>
              <w:top w:val="nil"/>
              <w:left w:val="nil"/>
              <w:bottom w:val="nil"/>
              <w:right w:val="nil"/>
            </w:tcBorders>
            <w:shd w:val="clear" w:color="auto" w:fill="auto"/>
            <w:noWrap/>
            <w:vAlign w:val="bottom"/>
          </w:tcPr>
          <w:p w14:paraId="1CA8BEEF" w14:textId="77777777" w:rsidR="004E2F51" w:rsidRPr="004B4498" w:rsidRDefault="004E2F51" w:rsidP="00E032FC">
            <w:pPr>
              <w:jc w:val="right"/>
              <w:rPr>
                <w:rFonts w:ascii="Arial" w:hAnsi="Arial" w:cs="Arial"/>
                <w:b/>
                <w:bCs/>
                <w:color w:val="000000" w:themeColor="text1"/>
                <w:sz w:val="14"/>
                <w:szCs w:val="14"/>
                <w:lang w:val="hr-HR"/>
              </w:rPr>
            </w:pPr>
            <w:r w:rsidRPr="0046584E">
              <w:rPr>
                <w:rFonts w:ascii="Arial" w:hAnsi="Arial" w:cs="Arial"/>
                <w:b/>
                <w:bCs/>
                <w:sz w:val="14"/>
                <w:szCs w:val="14"/>
              </w:rPr>
              <w:t xml:space="preserve"> 36.396 </w:t>
            </w:r>
          </w:p>
        </w:tc>
      </w:tr>
      <w:tr w:rsidR="004E2F51" w:rsidRPr="003364B5" w14:paraId="7E2065AD" w14:textId="77777777" w:rsidTr="00E032FC">
        <w:trPr>
          <w:trHeight w:val="337"/>
        </w:trPr>
        <w:tc>
          <w:tcPr>
            <w:tcW w:w="1531" w:type="dxa"/>
            <w:tcBorders>
              <w:top w:val="nil"/>
              <w:left w:val="nil"/>
              <w:bottom w:val="nil"/>
              <w:right w:val="nil"/>
            </w:tcBorders>
            <w:shd w:val="clear" w:color="auto" w:fill="auto"/>
            <w:noWrap/>
            <w:vAlign w:val="bottom"/>
            <w:hideMark/>
          </w:tcPr>
          <w:p w14:paraId="069D7771" w14:textId="77777777" w:rsidR="004E2F51" w:rsidRPr="004B4498" w:rsidRDefault="004E2F51" w:rsidP="00E032FC">
            <w:pPr>
              <w:rPr>
                <w:rFonts w:ascii="Arial" w:hAnsi="Arial" w:cs="Arial"/>
                <w:color w:val="000000" w:themeColor="text1"/>
                <w:sz w:val="14"/>
                <w:szCs w:val="14"/>
                <w:lang w:val="hr-HR"/>
              </w:rPr>
            </w:pPr>
            <w:r w:rsidRPr="004B4498">
              <w:rPr>
                <w:rFonts w:ascii="Arial" w:hAnsi="Arial" w:cs="Arial"/>
                <w:color w:val="000000" w:themeColor="text1"/>
                <w:sz w:val="14"/>
                <w:szCs w:val="14"/>
                <w:lang w:val="hr-HR"/>
              </w:rPr>
              <w:t>Rezerviranja</w:t>
            </w:r>
          </w:p>
        </w:tc>
        <w:tc>
          <w:tcPr>
            <w:tcW w:w="850" w:type="dxa"/>
            <w:tcBorders>
              <w:top w:val="nil"/>
              <w:left w:val="nil"/>
              <w:bottom w:val="nil"/>
              <w:right w:val="nil"/>
            </w:tcBorders>
            <w:shd w:val="clear" w:color="auto" w:fill="auto"/>
            <w:noWrap/>
            <w:vAlign w:val="bottom"/>
          </w:tcPr>
          <w:p w14:paraId="61FBD715" w14:textId="77777777" w:rsidR="004E2F51" w:rsidRPr="004B4498" w:rsidRDefault="004E2F51" w:rsidP="00E032FC">
            <w:pPr>
              <w:jc w:val="right"/>
              <w:rPr>
                <w:rFonts w:ascii="Arial" w:hAnsi="Arial" w:cs="Arial"/>
                <w:color w:val="000000" w:themeColor="text1"/>
                <w:sz w:val="14"/>
                <w:szCs w:val="14"/>
                <w:lang w:val="hr-HR"/>
              </w:rPr>
            </w:pPr>
            <w:r w:rsidRPr="0046584E">
              <w:rPr>
                <w:rFonts w:ascii="Arial" w:hAnsi="Arial" w:cs="Arial"/>
                <w:sz w:val="14"/>
                <w:szCs w:val="14"/>
              </w:rPr>
              <w:t xml:space="preserve"> (179)</w:t>
            </w:r>
          </w:p>
        </w:tc>
        <w:tc>
          <w:tcPr>
            <w:tcW w:w="850" w:type="dxa"/>
            <w:tcBorders>
              <w:top w:val="nil"/>
              <w:left w:val="nil"/>
              <w:bottom w:val="nil"/>
              <w:right w:val="nil"/>
            </w:tcBorders>
            <w:shd w:val="clear" w:color="auto" w:fill="auto"/>
            <w:noWrap/>
            <w:vAlign w:val="bottom"/>
          </w:tcPr>
          <w:p w14:paraId="157720D7" w14:textId="77777777" w:rsidR="004E2F51" w:rsidRPr="004B4498" w:rsidRDefault="004E2F51" w:rsidP="00E032FC">
            <w:pPr>
              <w:jc w:val="right"/>
              <w:rPr>
                <w:rFonts w:ascii="Arial" w:hAnsi="Arial" w:cs="Arial"/>
                <w:color w:val="000000" w:themeColor="text1"/>
                <w:sz w:val="14"/>
                <w:szCs w:val="14"/>
                <w:lang w:val="hr-HR"/>
              </w:rPr>
            </w:pPr>
            <w:r w:rsidRPr="0046584E">
              <w:rPr>
                <w:rFonts w:ascii="Arial" w:hAnsi="Arial" w:cs="Arial"/>
                <w:sz w:val="14"/>
                <w:szCs w:val="14"/>
              </w:rPr>
              <w:t xml:space="preserve"> (4)</w:t>
            </w:r>
          </w:p>
        </w:tc>
        <w:tc>
          <w:tcPr>
            <w:tcW w:w="850" w:type="dxa"/>
            <w:tcBorders>
              <w:top w:val="nil"/>
              <w:left w:val="nil"/>
              <w:bottom w:val="nil"/>
              <w:right w:val="nil"/>
            </w:tcBorders>
            <w:shd w:val="clear" w:color="auto" w:fill="auto"/>
            <w:noWrap/>
            <w:vAlign w:val="bottom"/>
          </w:tcPr>
          <w:p w14:paraId="16339447" w14:textId="77777777" w:rsidR="004E2F51" w:rsidRPr="004B4498" w:rsidRDefault="004E2F51" w:rsidP="00E032FC">
            <w:pPr>
              <w:jc w:val="right"/>
              <w:rPr>
                <w:rFonts w:ascii="Arial" w:hAnsi="Arial" w:cs="Arial"/>
                <w:color w:val="000000" w:themeColor="text1"/>
                <w:sz w:val="14"/>
                <w:szCs w:val="14"/>
                <w:lang w:val="hr-HR"/>
              </w:rPr>
            </w:pPr>
            <w:r w:rsidRPr="0046584E">
              <w:rPr>
                <w:rFonts w:ascii="Arial" w:hAnsi="Arial" w:cs="Arial"/>
                <w:sz w:val="14"/>
                <w:szCs w:val="14"/>
              </w:rPr>
              <w:t xml:space="preserve"> (31.418)</w:t>
            </w:r>
          </w:p>
        </w:tc>
        <w:tc>
          <w:tcPr>
            <w:tcW w:w="850" w:type="dxa"/>
            <w:tcBorders>
              <w:top w:val="nil"/>
              <w:left w:val="nil"/>
              <w:bottom w:val="nil"/>
              <w:right w:val="nil"/>
            </w:tcBorders>
            <w:vAlign w:val="bottom"/>
          </w:tcPr>
          <w:p w14:paraId="53CC15CC" w14:textId="77777777" w:rsidR="004E2F51" w:rsidRPr="004B4498" w:rsidRDefault="004E2F51" w:rsidP="00E032FC">
            <w:pPr>
              <w:jc w:val="right"/>
              <w:rPr>
                <w:rFonts w:ascii="Arial" w:hAnsi="Arial" w:cs="Arial"/>
                <w:color w:val="000000" w:themeColor="text1"/>
                <w:sz w:val="14"/>
                <w:szCs w:val="14"/>
                <w:lang w:val="hr-HR"/>
              </w:rPr>
            </w:pPr>
            <w:r w:rsidRPr="0046584E">
              <w:rPr>
                <w:rFonts w:ascii="Arial" w:hAnsi="Arial" w:cs="Arial"/>
                <w:sz w:val="14"/>
                <w:szCs w:val="14"/>
              </w:rPr>
              <w:t xml:space="preserve"> (250)</w:t>
            </w:r>
          </w:p>
        </w:tc>
        <w:tc>
          <w:tcPr>
            <w:tcW w:w="850" w:type="dxa"/>
            <w:tcBorders>
              <w:top w:val="nil"/>
              <w:left w:val="nil"/>
              <w:bottom w:val="nil"/>
              <w:right w:val="nil"/>
            </w:tcBorders>
            <w:shd w:val="clear" w:color="auto" w:fill="auto"/>
            <w:noWrap/>
            <w:vAlign w:val="bottom"/>
          </w:tcPr>
          <w:p w14:paraId="576D212E" w14:textId="77777777" w:rsidR="004E2F51" w:rsidRPr="004B4498" w:rsidRDefault="004E2F51" w:rsidP="00E032FC">
            <w:pPr>
              <w:jc w:val="right"/>
              <w:rPr>
                <w:rFonts w:ascii="Arial" w:hAnsi="Arial" w:cs="Arial"/>
                <w:b/>
                <w:bCs/>
                <w:color w:val="000000" w:themeColor="text1"/>
                <w:sz w:val="14"/>
                <w:szCs w:val="14"/>
                <w:lang w:val="hr-HR"/>
              </w:rPr>
            </w:pPr>
            <w:r w:rsidRPr="0046584E">
              <w:rPr>
                <w:rFonts w:ascii="Arial" w:hAnsi="Arial" w:cs="Arial"/>
                <w:b/>
                <w:bCs/>
                <w:sz w:val="14"/>
                <w:szCs w:val="14"/>
              </w:rPr>
              <w:t xml:space="preserve"> (31.851)</w:t>
            </w:r>
          </w:p>
        </w:tc>
        <w:tc>
          <w:tcPr>
            <w:tcW w:w="850" w:type="dxa"/>
            <w:tcBorders>
              <w:top w:val="nil"/>
              <w:left w:val="nil"/>
              <w:bottom w:val="nil"/>
              <w:right w:val="nil"/>
            </w:tcBorders>
            <w:shd w:val="clear" w:color="auto" w:fill="auto"/>
            <w:noWrap/>
            <w:vAlign w:val="bottom"/>
          </w:tcPr>
          <w:p w14:paraId="109EB509" w14:textId="77777777" w:rsidR="004E2F51" w:rsidRPr="004B4498" w:rsidRDefault="004E2F51" w:rsidP="00E032FC">
            <w:pPr>
              <w:jc w:val="right"/>
              <w:rPr>
                <w:rFonts w:ascii="Arial" w:hAnsi="Arial" w:cs="Arial"/>
                <w:color w:val="000000" w:themeColor="text1"/>
                <w:sz w:val="14"/>
                <w:szCs w:val="14"/>
                <w:lang w:val="hr-HR"/>
              </w:rPr>
            </w:pPr>
            <w:r w:rsidRPr="0046584E">
              <w:rPr>
                <w:rFonts w:ascii="Arial" w:hAnsi="Arial" w:cs="Arial"/>
                <w:sz w:val="14"/>
                <w:szCs w:val="14"/>
              </w:rPr>
              <w:t xml:space="preserve"> (25)</w:t>
            </w:r>
          </w:p>
        </w:tc>
        <w:tc>
          <w:tcPr>
            <w:tcW w:w="850" w:type="dxa"/>
            <w:tcBorders>
              <w:top w:val="nil"/>
              <w:left w:val="nil"/>
              <w:bottom w:val="nil"/>
              <w:right w:val="nil"/>
            </w:tcBorders>
            <w:shd w:val="clear" w:color="auto" w:fill="auto"/>
            <w:noWrap/>
            <w:vAlign w:val="bottom"/>
          </w:tcPr>
          <w:p w14:paraId="3393CD26" w14:textId="77777777" w:rsidR="004E2F51" w:rsidRPr="004B4498" w:rsidRDefault="004E2F51" w:rsidP="00E032FC">
            <w:pPr>
              <w:jc w:val="right"/>
              <w:rPr>
                <w:rFonts w:ascii="Arial" w:hAnsi="Arial" w:cs="Arial"/>
                <w:color w:val="000000" w:themeColor="text1"/>
                <w:sz w:val="14"/>
                <w:szCs w:val="14"/>
                <w:lang w:val="hr-HR"/>
              </w:rPr>
            </w:pPr>
            <w:r w:rsidRPr="0046584E">
              <w:rPr>
                <w:rFonts w:ascii="Arial" w:hAnsi="Arial" w:cs="Arial"/>
                <w:sz w:val="14"/>
                <w:szCs w:val="14"/>
              </w:rPr>
              <w:t xml:space="preserve"> (4)</w:t>
            </w:r>
          </w:p>
        </w:tc>
        <w:tc>
          <w:tcPr>
            <w:tcW w:w="850" w:type="dxa"/>
            <w:tcBorders>
              <w:top w:val="nil"/>
              <w:left w:val="nil"/>
              <w:bottom w:val="nil"/>
              <w:right w:val="nil"/>
            </w:tcBorders>
            <w:shd w:val="clear" w:color="auto" w:fill="auto"/>
            <w:noWrap/>
            <w:vAlign w:val="bottom"/>
          </w:tcPr>
          <w:p w14:paraId="4831EB18" w14:textId="77777777" w:rsidR="004E2F51" w:rsidRPr="004B4498" w:rsidRDefault="004E2F51" w:rsidP="00E032FC">
            <w:pPr>
              <w:jc w:val="right"/>
              <w:rPr>
                <w:rFonts w:ascii="Arial" w:hAnsi="Arial" w:cs="Arial"/>
                <w:color w:val="000000" w:themeColor="text1"/>
                <w:sz w:val="14"/>
                <w:szCs w:val="14"/>
                <w:lang w:val="hr-HR"/>
              </w:rPr>
            </w:pPr>
            <w:r w:rsidRPr="0046584E">
              <w:rPr>
                <w:rFonts w:ascii="Arial" w:hAnsi="Arial" w:cs="Arial"/>
                <w:sz w:val="14"/>
                <w:szCs w:val="14"/>
              </w:rPr>
              <w:t xml:space="preserve"> (31.418)</w:t>
            </w:r>
          </w:p>
        </w:tc>
        <w:tc>
          <w:tcPr>
            <w:tcW w:w="850" w:type="dxa"/>
            <w:tcBorders>
              <w:top w:val="nil"/>
              <w:left w:val="nil"/>
              <w:bottom w:val="nil"/>
              <w:right w:val="nil"/>
            </w:tcBorders>
            <w:vAlign w:val="bottom"/>
          </w:tcPr>
          <w:p w14:paraId="3E14CBB7" w14:textId="77777777" w:rsidR="004E2F51" w:rsidRPr="004B4498" w:rsidRDefault="004E2F51" w:rsidP="00E032FC">
            <w:pPr>
              <w:jc w:val="right"/>
              <w:rPr>
                <w:rFonts w:ascii="Arial" w:hAnsi="Arial" w:cs="Arial"/>
                <w:color w:val="000000" w:themeColor="text1"/>
                <w:sz w:val="14"/>
                <w:szCs w:val="14"/>
                <w:lang w:val="hr-HR"/>
              </w:rPr>
            </w:pPr>
            <w:r w:rsidRPr="0046584E">
              <w:rPr>
                <w:rFonts w:ascii="Arial" w:hAnsi="Arial" w:cs="Arial"/>
                <w:sz w:val="14"/>
                <w:szCs w:val="14"/>
              </w:rPr>
              <w:t xml:space="preserve"> (250)</w:t>
            </w:r>
          </w:p>
        </w:tc>
        <w:tc>
          <w:tcPr>
            <w:tcW w:w="850" w:type="dxa"/>
            <w:tcBorders>
              <w:top w:val="nil"/>
              <w:left w:val="nil"/>
              <w:bottom w:val="nil"/>
              <w:right w:val="nil"/>
            </w:tcBorders>
            <w:shd w:val="clear" w:color="auto" w:fill="auto"/>
            <w:noWrap/>
            <w:vAlign w:val="bottom"/>
          </w:tcPr>
          <w:p w14:paraId="3ED7F6B5" w14:textId="77777777" w:rsidR="004E2F51" w:rsidRPr="004B4498" w:rsidRDefault="004E2F51" w:rsidP="00E032FC">
            <w:pPr>
              <w:jc w:val="right"/>
              <w:rPr>
                <w:rFonts w:ascii="Arial" w:hAnsi="Arial" w:cs="Arial"/>
                <w:b/>
                <w:bCs/>
                <w:color w:val="000000" w:themeColor="text1"/>
                <w:sz w:val="14"/>
                <w:szCs w:val="14"/>
                <w:lang w:val="hr-HR"/>
              </w:rPr>
            </w:pPr>
            <w:r w:rsidRPr="0046584E">
              <w:rPr>
                <w:rFonts w:ascii="Arial" w:hAnsi="Arial" w:cs="Arial"/>
                <w:b/>
                <w:bCs/>
                <w:sz w:val="14"/>
                <w:szCs w:val="14"/>
              </w:rPr>
              <w:t xml:space="preserve"> (31.697)</w:t>
            </w:r>
          </w:p>
        </w:tc>
      </w:tr>
      <w:tr w:rsidR="004E2F51" w:rsidRPr="003364B5" w14:paraId="0C6AC549" w14:textId="77777777" w:rsidTr="00E032FC">
        <w:trPr>
          <w:trHeight w:val="503"/>
        </w:trPr>
        <w:tc>
          <w:tcPr>
            <w:tcW w:w="1531" w:type="dxa"/>
            <w:tcBorders>
              <w:top w:val="nil"/>
              <w:left w:val="nil"/>
              <w:bottom w:val="nil"/>
              <w:right w:val="nil"/>
            </w:tcBorders>
            <w:shd w:val="clear" w:color="auto" w:fill="auto"/>
            <w:noWrap/>
            <w:vAlign w:val="bottom"/>
            <w:hideMark/>
          </w:tcPr>
          <w:p w14:paraId="1CBD413D" w14:textId="77777777" w:rsidR="009307DC" w:rsidRDefault="004E2F51" w:rsidP="00E032FC">
            <w:pPr>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 xml:space="preserve">Stanje na dan </w:t>
            </w:r>
          </w:p>
          <w:p w14:paraId="3BE99B94" w14:textId="2A305F1A" w:rsidR="004E2F51" w:rsidRPr="004B4498" w:rsidRDefault="004E2F51" w:rsidP="00E032FC">
            <w:pPr>
              <w:rPr>
                <w:rFonts w:ascii="Arial" w:hAnsi="Arial" w:cs="Arial"/>
                <w:b/>
                <w:bCs/>
                <w:color w:val="000000" w:themeColor="text1"/>
                <w:sz w:val="14"/>
                <w:szCs w:val="14"/>
                <w:lang w:val="hr-HR"/>
              </w:rPr>
            </w:pPr>
            <w:r w:rsidRPr="004B4498">
              <w:rPr>
                <w:rFonts w:ascii="Arial" w:hAnsi="Arial" w:cs="Arial"/>
                <w:b/>
                <w:bCs/>
                <w:color w:val="000000" w:themeColor="text1"/>
                <w:sz w:val="14"/>
                <w:szCs w:val="14"/>
                <w:lang w:val="hr-HR"/>
              </w:rPr>
              <w:t>31. prosinca 202</w:t>
            </w:r>
            <w:r>
              <w:rPr>
                <w:rFonts w:ascii="Arial" w:hAnsi="Arial" w:cs="Arial"/>
                <w:b/>
                <w:bCs/>
                <w:color w:val="000000" w:themeColor="text1"/>
                <w:sz w:val="14"/>
                <w:szCs w:val="14"/>
                <w:lang w:val="hr-HR"/>
              </w:rPr>
              <w:t>1</w:t>
            </w:r>
            <w:r w:rsidRPr="004B4498">
              <w:rPr>
                <w:rFonts w:ascii="Arial" w:hAnsi="Arial" w:cs="Arial"/>
                <w:b/>
                <w:bCs/>
                <w:color w:val="000000" w:themeColor="text1"/>
                <w:sz w:val="14"/>
                <w:szCs w:val="14"/>
                <w:lang w:val="hr-HR"/>
              </w:rPr>
              <w:t xml:space="preserve">. </w:t>
            </w:r>
          </w:p>
        </w:tc>
        <w:tc>
          <w:tcPr>
            <w:tcW w:w="850" w:type="dxa"/>
            <w:tcBorders>
              <w:top w:val="single" w:sz="4" w:space="0" w:color="auto"/>
              <w:left w:val="nil"/>
              <w:bottom w:val="single" w:sz="12" w:space="0" w:color="auto"/>
              <w:right w:val="nil"/>
            </w:tcBorders>
            <w:shd w:val="clear" w:color="auto" w:fill="auto"/>
            <w:noWrap/>
            <w:vAlign w:val="bottom"/>
          </w:tcPr>
          <w:p w14:paraId="0C024ED1" w14:textId="77777777" w:rsidR="004E2F51" w:rsidRPr="004B4498" w:rsidRDefault="004E2F51" w:rsidP="00E032FC">
            <w:pPr>
              <w:jc w:val="right"/>
              <w:rPr>
                <w:rFonts w:ascii="Arial" w:hAnsi="Arial" w:cs="Arial"/>
                <w:b/>
                <w:bCs/>
                <w:color w:val="000000" w:themeColor="text1"/>
                <w:sz w:val="14"/>
                <w:szCs w:val="14"/>
                <w:lang w:val="hr-HR"/>
              </w:rPr>
            </w:pPr>
            <w:r w:rsidRPr="0046584E">
              <w:rPr>
                <w:rFonts w:ascii="Arial" w:hAnsi="Arial" w:cs="Arial"/>
                <w:sz w:val="14"/>
                <w:szCs w:val="14"/>
              </w:rPr>
              <w:t xml:space="preserve"> 5.938 </w:t>
            </w:r>
          </w:p>
        </w:tc>
        <w:tc>
          <w:tcPr>
            <w:tcW w:w="850" w:type="dxa"/>
            <w:tcBorders>
              <w:top w:val="single" w:sz="4" w:space="0" w:color="auto"/>
              <w:left w:val="nil"/>
              <w:bottom w:val="single" w:sz="12" w:space="0" w:color="auto"/>
              <w:right w:val="nil"/>
            </w:tcBorders>
            <w:shd w:val="clear" w:color="auto" w:fill="auto"/>
            <w:noWrap/>
            <w:vAlign w:val="bottom"/>
          </w:tcPr>
          <w:p w14:paraId="4F96576E" w14:textId="77777777" w:rsidR="004E2F51" w:rsidRPr="004B4498" w:rsidRDefault="004E2F51" w:rsidP="00E032FC">
            <w:pPr>
              <w:jc w:val="right"/>
              <w:rPr>
                <w:rFonts w:ascii="Arial" w:hAnsi="Arial" w:cs="Arial"/>
                <w:b/>
                <w:bCs/>
                <w:color w:val="000000" w:themeColor="text1"/>
                <w:sz w:val="14"/>
                <w:szCs w:val="14"/>
                <w:lang w:val="hr-HR"/>
              </w:rPr>
            </w:pPr>
            <w:r w:rsidRPr="0046584E">
              <w:rPr>
                <w:rFonts w:ascii="Arial" w:hAnsi="Arial" w:cs="Arial"/>
                <w:sz w:val="14"/>
                <w:szCs w:val="14"/>
              </w:rPr>
              <w:t xml:space="preserve"> 12 </w:t>
            </w:r>
          </w:p>
        </w:tc>
        <w:tc>
          <w:tcPr>
            <w:tcW w:w="850" w:type="dxa"/>
            <w:tcBorders>
              <w:top w:val="single" w:sz="4" w:space="0" w:color="auto"/>
              <w:left w:val="nil"/>
              <w:bottom w:val="single" w:sz="12" w:space="0" w:color="auto"/>
              <w:right w:val="nil"/>
            </w:tcBorders>
            <w:shd w:val="clear" w:color="auto" w:fill="auto"/>
            <w:noWrap/>
            <w:vAlign w:val="bottom"/>
          </w:tcPr>
          <w:p w14:paraId="55A4F6F1" w14:textId="77777777" w:rsidR="004E2F51" w:rsidRPr="004B4498" w:rsidRDefault="004E2F51" w:rsidP="00E032FC">
            <w:pPr>
              <w:jc w:val="right"/>
              <w:rPr>
                <w:rFonts w:ascii="Arial" w:hAnsi="Arial" w:cs="Arial"/>
                <w:b/>
                <w:bCs/>
                <w:color w:val="000000" w:themeColor="text1"/>
                <w:sz w:val="14"/>
                <w:szCs w:val="14"/>
                <w:lang w:val="hr-HR"/>
              </w:rPr>
            </w:pPr>
            <w:r w:rsidRPr="0046584E">
              <w:rPr>
                <w:rFonts w:ascii="Arial" w:hAnsi="Arial" w:cs="Arial"/>
                <w:sz w:val="14"/>
                <w:szCs w:val="14"/>
              </w:rPr>
              <w:t xml:space="preserve"> 1.310 </w:t>
            </w:r>
          </w:p>
        </w:tc>
        <w:tc>
          <w:tcPr>
            <w:tcW w:w="850" w:type="dxa"/>
            <w:tcBorders>
              <w:top w:val="single" w:sz="4" w:space="0" w:color="auto"/>
              <w:left w:val="nil"/>
              <w:bottom w:val="single" w:sz="12" w:space="0" w:color="auto"/>
              <w:right w:val="nil"/>
            </w:tcBorders>
            <w:vAlign w:val="bottom"/>
          </w:tcPr>
          <w:p w14:paraId="34A26F8A" w14:textId="77777777" w:rsidR="004E2F51" w:rsidRPr="004B4498" w:rsidRDefault="004E2F51" w:rsidP="00E032FC">
            <w:pPr>
              <w:jc w:val="right"/>
              <w:rPr>
                <w:rFonts w:ascii="Arial" w:hAnsi="Arial" w:cs="Arial"/>
                <w:b/>
                <w:bCs/>
                <w:color w:val="000000" w:themeColor="text1"/>
                <w:sz w:val="14"/>
                <w:szCs w:val="14"/>
                <w:lang w:val="hr-HR"/>
              </w:rPr>
            </w:pPr>
            <w:r w:rsidRPr="0046584E">
              <w:rPr>
                <w:rFonts w:ascii="Arial" w:hAnsi="Arial" w:cs="Arial"/>
                <w:sz w:val="14"/>
                <w:szCs w:val="14"/>
              </w:rPr>
              <w:t xml:space="preserve"> 51 </w:t>
            </w:r>
          </w:p>
        </w:tc>
        <w:tc>
          <w:tcPr>
            <w:tcW w:w="850" w:type="dxa"/>
            <w:tcBorders>
              <w:top w:val="single" w:sz="4" w:space="0" w:color="auto"/>
              <w:left w:val="nil"/>
              <w:bottom w:val="single" w:sz="12" w:space="0" w:color="auto"/>
              <w:right w:val="nil"/>
            </w:tcBorders>
            <w:shd w:val="clear" w:color="auto" w:fill="auto"/>
            <w:noWrap/>
            <w:vAlign w:val="bottom"/>
          </w:tcPr>
          <w:p w14:paraId="569DE1DD" w14:textId="77777777" w:rsidR="004E2F51" w:rsidRPr="004B4498" w:rsidRDefault="004E2F51" w:rsidP="00E032FC">
            <w:pPr>
              <w:jc w:val="right"/>
              <w:rPr>
                <w:rFonts w:ascii="Arial" w:hAnsi="Arial" w:cs="Arial"/>
                <w:b/>
                <w:bCs/>
                <w:color w:val="000000" w:themeColor="text1"/>
                <w:sz w:val="14"/>
                <w:szCs w:val="14"/>
                <w:lang w:val="hr-HR"/>
              </w:rPr>
            </w:pPr>
            <w:r w:rsidRPr="0046584E">
              <w:rPr>
                <w:rFonts w:ascii="Arial" w:hAnsi="Arial" w:cs="Arial"/>
                <w:b/>
                <w:bCs/>
                <w:sz w:val="14"/>
                <w:szCs w:val="14"/>
              </w:rPr>
              <w:t xml:space="preserve"> 7.311 </w:t>
            </w:r>
          </w:p>
        </w:tc>
        <w:tc>
          <w:tcPr>
            <w:tcW w:w="850" w:type="dxa"/>
            <w:tcBorders>
              <w:top w:val="single" w:sz="4" w:space="0" w:color="auto"/>
              <w:left w:val="nil"/>
              <w:bottom w:val="single" w:sz="12" w:space="0" w:color="auto"/>
              <w:right w:val="nil"/>
            </w:tcBorders>
            <w:shd w:val="clear" w:color="auto" w:fill="auto"/>
            <w:noWrap/>
            <w:vAlign w:val="bottom"/>
          </w:tcPr>
          <w:p w14:paraId="01EEC83C" w14:textId="77777777" w:rsidR="004E2F51" w:rsidRPr="004B4498" w:rsidRDefault="004E2F51" w:rsidP="00E032FC">
            <w:pPr>
              <w:jc w:val="right"/>
              <w:rPr>
                <w:rFonts w:ascii="Arial" w:hAnsi="Arial" w:cs="Arial"/>
                <w:b/>
                <w:bCs/>
                <w:color w:val="000000" w:themeColor="text1"/>
                <w:sz w:val="14"/>
                <w:szCs w:val="14"/>
                <w:lang w:val="hr-HR"/>
              </w:rPr>
            </w:pPr>
            <w:r w:rsidRPr="0046584E">
              <w:rPr>
                <w:rFonts w:ascii="Arial" w:hAnsi="Arial" w:cs="Arial"/>
                <w:sz w:val="14"/>
                <w:szCs w:val="14"/>
              </w:rPr>
              <w:t xml:space="preserve"> 3.326 </w:t>
            </w:r>
          </w:p>
        </w:tc>
        <w:tc>
          <w:tcPr>
            <w:tcW w:w="850" w:type="dxa"/>
            <w:tcBorders>
              <w:top w:val="single" w:sz="4" w:space="0" w:color="auto"/>
              <w:left w:val="nil"/>
              <w:bottom w:val="single" w:sz="12" w:space="0" w:color="auto"/>
              <w:right w:val="nil"/>
            </w:tcBorders>
            <w:shd w:val="clear" w:color="auto" w:fill="auto"/>
            <w:noWrap/>
            <w:vAlign w:val="bottom"/>
          </w:tcPr>
          <w:p w14:paraId="40845D52" w14:textId="77777777" w:rsidR="004E2F51" w:rsidRPr="004B4498" w:rsidRDefault="004E2F51" w:rsidP="00E032FC">
            <w:pPr>
              <w:jc w:val="right"/>
              <w:rPr>
                <w:rFonts w:ascii="Arial" w:hAnsi="Arial" w:cs="Arial"/>
                <w:b/>
                <w:bCs/>
                <w:color w:val="000000" w:themeColor="text1"/>
                <w:sz w:val="14"/>
                <w:szCs w:val="14"/>
                <w:lang w:val="hr-HR"/>
              </w:rPr>
            </w:pPr>
            <w:r w:rsidRPr="0046584E">
              <w:rPr>
                <w:rFonts w:ascii="Arial" w:hAnsi="Arial" w:cs="Arial"/>
                <w:sz w:val="14"/>
                <w:szCs w:val="14"/>
              </w:rPr>
              <w:t xml:space="preserve"> 12 </w:t>
            </w:r>
          </w:p>
        </w:tc>
        <w:tc>
          <w:tcPr>
            <w:tcW w:w="850" w:type="dxa"/>
            <w:tcBorders>
              <w:top w:val="single" w:sz="4" w:space="0" w:color="auto"/>
              <w:left w:val="nil"/>
              <w:bottom w:val="single" w:sz="12" w:space="0" w:color="auto"/>
              <w:right w:val="nil"/>
            </w:tcBorders>
            <w:shd w:val="clear" w:color="auto" w:fill="auto"/>
            <w:noWrap/>
            <w:vAlign w:val="bottom"/>
          </w:tcPr>
          <w:p w14:paraId="30FCDD1F" w14:textId="77777777" w:rsidR="004E2F51" w:rsidRPr="004B4498" w:rsidRDefault="004E2F51" w:rsidP="00E032FC">
            <w:pPr>
              <w:jc w:val="right"/>
              <w:rPr>
                <w:rFonts w:ascii="Arial" w:hAnsi="Arial" w:cs="Arial"/>
                <w:b/>
                <w:bCs/>
                <w:color w:val="000000" w:themeColor="text1"/>
                <w:sz w:val="14"/>
                <w:szCs w:val="14"/>
                <w:lang w:val="hr-HR"/>
              </w:rPr>
            </w:pPr>
            <w:r w:rsidRPr="0046584E">
              <w:rPr>
                <w:rFonts w:ascii="Arial" w:hAnsi="Arial" w:cs="Arial"/>
                <w:sz w:val="14"/>
                <w:szCs w:val="14"/>
              </w:rPr>
              <w:t xml:space="preserve"> 1.310 </w:t>
            </w:r>
          </w:p>
        </w:tc>
        <w:tc>
          <w:tcPr>
            <w:tcW w:w="850" w:type="dxa"/>
            <w:tcBorders>
              <w:top w:val="single" w:sz="4" w:space="0" w:color="auto"/>
              <w:left w:val="nil"/>
              <w:bottom w:val="single" w:sz="12" w:space="0" w:color="auto"/>
              <w:right w:val="nil"/>
            </w:tcBorders>
            <w:vAlign w:val="bottom"/>
          </w:tcPr>
          <w:p w14:paraId="6FBBBFEE" w14:textId="77777777" w:rsidR="004E2F51" w:rsidRPr="004B4498" w:rsidRDefault="004E2F51" w:rsidP="00E032FC">
            <w:pPr>
              <w:jc w:val="right"/>
              <w:rPr>
                <w:rFonts w:ascii="Arial" w:hAnsi="Arial" w:cs="Arial"/>
                <w:b/>
                <w:bCs/>
                <w:color w:val="000000" w:themeColor="text1"/>
                <w:sz w:val="14"/>
                <w:szCs w:val="14"/>
                <w:lang w:val="hr-HR"/>
              </w:rPr>
            </w:pPr>
            <w:r w:rsidRPr="0046584E">
              <w:rPr>
                <w:rFonts w:ascii="Arial" w:hAnsi="Arial" w:cs="Arial"/>
                <w:sz w:val="14"/>
                <w:szCs w:val="14"/>
              </w:rPr>
              <w:t xml:space="preserve"> 51 </w:t>
            </w:r>
          </w:p>
        </w:tc>
        <w:tc>
          <w:tcPr>
            <w:tcW w:w="850" w:type="dxa"/>
            <w:tcBorders>
              <w:top w:val="single" w:sz="4" w:space="0" w:color="auto"/>
              <w:left w:val="nil"/>
              <w:bottom w:val="single" w:sz="12" w:space="0" w:color="auto"/>
              <w:right w:val="nil"/>
            </w:tcBorders>
            <w:shd w:val="clear" w:color="auto" w:fill="auto"/>
            <w:noWrap/>
            <w:vAlign w:val="bottom"/>
          </w:tcPr>
          <w:p w14:paraId="10BF0D38" w14:textId="77777777" w:rsidR="004E2F51" w:rsidRPr="004B4498" w:rsidRDefault="004E2F51" w:rsidP="00E032FC">
            <w:pPr>
              <w:jc w:val="right"/>
              <w:rPr>
                <w:rFonts w:ascii="Arial" w:hAnsi="Arial" w:cs="Arial"/>
                <w:b/>
                <w:bCs/>
                <w:color w:val="000000" w:themeColor="text1"/>
                <w:sz w:val="14"/>
                <w:szCs w:val="14"/>
                <w:lang w:val="hr-HR"/>
              </w:rPr>
            </w:pPr>
            <w:r w:rsidRPr="0046584E">
              <w:rPr>
                <w:rFonts w:ascii="Arial" w:hAnsi="Arial" w:cs="Arial"/>
                <w:b/>
                <w:bCs/>
                <w:sz w:val="14"/>
                <w:szCs w:val="14"/>
              </w:rPr>
              <w:t xml:space="preserve"> 4.699 </w:t>
            </w:r>
          </w:p>
        </w:tc>
      </w:tr>
    </w:tbl>
    <w:p w14:paraId="771F2DE0" w14:textId="77777777" w:rsidR="004E2F51" w:rsidRPr="00B91D09" w:rsidRDefault="004E2F51" w:rsidP="004E2F51">
      <w:pPr>
        <w:pStyle w:val="T1"/>
        <w:spacing w:before="0" w:after="0" w:line="240" w:lineRule="auto"/>
        <w:rPr>
          <w:rFonts w:cs="Arial"/>
          <w:b w:val="0"/>
          <w:bCs w:val="0"/>
          <w:color w:val="000000" w:themeColor="text1"/>
          <w:sz w:val="22"/>
          <w:szCs w:val="22"/>
          <w:lang w:val="hr-HR"/>
        </w:rPr>
      </w:pPr>
    </w:p>
    <w:p w14:paraId="022FD899" w14:textId="77777777" w:rsidR="004E2F51" w:rsidRPr="00B91D09" w:rsidRDefault="004E2F51" w:rsidP="004E2F51">
      <w:pPr>
        <w:pStyle w:val="T1"/>
        <w:spacing w:before="0" w:after="0" w:line="240" w:lineRule="auto"/>
        <w:rPr>
          <w:rFonts w:cs="Arial"/>
          <w:b w:val="0"/>
          <w:bCs w:val="0"/>
          <w:color w:val="000000" w:themeColor="text1"/>
          <w:sz w:val="22"/>
          <w:szCs w:val="22"/>
          <w:lang w:val="hr-HR"/>
        </w:rPr>
        <w:sectPr w:rsidR="004E2F51" w:rsidRPr="00B91D09" w:rsidSect="00623DBA">
          <w:footerReference w:type="default" r:id="rId147"/>
          <w:pgSz w:w="11907" w:h="16840" w:code="9"/>
          <w:pgMar w:top="1418" w:right="1134" w:bottom="1134" w:left="1418" w:header="851" w:footer="851" w:gutter="0"/>
          <w:cols w:space="720"/>
          <w:noEndnote/>
        </w:sectPr>
      </w:pPr>
    </w:p>
    <w:p w14:paraId="0095208E"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740E9930"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Pr>
          <w:rFonts w:cs="Arial"/>
          <w:color w:val="000000" w:themeColor="text1"/>
          <w:sz w:val="20"/>
          <w:lang w:val="hr-HR"/>
        </w:rPr>
        <w:t>1</w:t>
      </w:r>
      <w:r w:rsidRPr="004B4498">
        <w:rPr>
          <w:rFonts w:cs="Arial"/>
          <w:color w:val="000000" w:themeColor="text1"/>
          <w:sz w:val="20"/>
          <w:lang w:val="hr-HR"/>
        </w:rPr>
        <w:t>.</w:t>
      </w:r>
      <w:r w:rsidRPr="004B4498">
        <w:rPr>
          <w:rFonts w:cs="Arial"/>
          <w:color w:val="000000" w:themeColor="text1"/>
          <w:sz w:val="20"/>
          <w:lang w:val="hr-HR"/>
        </w:rPr>
        <w:tab/>
        <w:t>Ostala imovina (nastavak)</w:t>
      </w:r>
    </w:p>
    <w:p w14:paraId="6F17C0B6"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7D490411"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U nastavku se daje pregled pozicija koje su izložene kreditnom riziku:</w:t>
      </w:r>
    </w:p>
    <w:p w14:paraId="752E0D6A" w14:textId="77777777" w:rsidR="004E2F51" w:rsidRPr="004B4498" w:rsidRDefault="004E2F51" w:rsidP="004E2F51">
      <w:pPr>
        <w:pStyle w:val="T1"/>
        <w:spacing w:before="0" w:after="0" w:line="240" w:lineRule="auto"/>
        <w:rPr>
          <w:rFonts w:cs="Arial"/>
          <w:b w:val="0"/>
          <w:bCs w:val="0"/>
          <w:color w:val="000000" w:themeColor="text1"/>
          <w:sz w:val="20"/>
          <w:lang w:val="hr-HR"/>
        </w:rPr>
      </w:pPr>
    </w:p>
    <w:tbl>
      <w:tblPr>
        <w:tblW w:w="9659" w:type="dxa"/>
        <w:tblInd w:w="-142" w:type="dxa"/>
        <w:tblLook w:val="04A0" w:firstRow="1" w:lastRow="0" w:firstColumn="1" w:lastColumn="0" w:noHBand="0" w:noVBand="1"/>
      </w:tblPr>
      <w:tblGrid>
        <w:gridCol w:w="4111"/>
        <w:gridCol w:w="1387"/>
        <w:gridCol w:w="1387"/>
        <w:gridCol w:w="1387"/>
        <w:gridCol w:w="1387"/>
      </w:tblGrid>
      <w:tr w:rsidR="004E2F51" w:rsidRPr="003364B5" w14:paraId="148ED845" w14:textId="77777777" w:rsidTr="00E032FC">
        <w:trPr>
          <w:trHeight w:val="309"/>
        </w:trPr>
        <w:tc>
          <w:tcPr>
            <w:tcW w:w="4111" w:type="dxa"/>
            <w:tcBorders>
              <w:top w:val="nil"/>
              <w:left w:val="nil"/>
              <w:bottom w:val="nil"/>
              <w:right w:val="nil"/>
            </w:tcBorders>
            <w:shd w:val="clear" w:color="auto" w:fill="auto"/>
            <w:vAlign w:val="center"/>
            <w:hideMark/>
          </w:tcPr>
          <w:p w14:paraId="02C5847D" w14:textId="77777777" w:rsidR="004E2F51" w:rsidRPr="004B4498" w:rsidRDefault="004E2F51" w:rsidP="00E032FC">
            <w:pPr>
              <w:rPr>
                <w:rFonts w:ascii="Arial" w:hAnsi="Arial" w:cs="Arial"/>
                <w:color w:val="000000" w:themeColor="text1"/>
                <w:sz w:val="20"/>
                <w:szCs w:val="20"/>
                <w:lang w:val="hr-HR"/>
              </w:rPr>
            </w:pPr>
          </w:p>
        </w:tc>
        <w:tc>
          <w:tcPr>
            <w:tcW w:w="2774" w:type="dxa"/>
            <w:gridSpan w:val="2"/>
            <w:tcBorders>
              <w:top w:val="nil"/>
              <w:left w:val="nil"/>
              <w:bottom w:val="nil"/>
              <w:right w:val="nil"/>
            </w:tcBorders>
            <w:shd w:val="clear" w:color="auto" w:fill="auto"/>
            <w:vAlign w:val="center"/>
            <w:hideMark/>
          </w:tcPr>
          <w:p w14:paraId="6E784EF4" w14:textId="77777777" w:rsidR="004E2F51" w:rsidRPr="004B4498" w:rsidRDefault="004E2F51" w:rsidP="00E032FC">
            <w:pPr>
              <w:jc w:val="right"/>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Grupa</w:t>
            </w:r>
          </w:p>
        </w:tc>
        <w:tc>
          <w:tcPr>
            <w:tcW w:w="2774" w:type="dxa"/>
            <w:gridSpan w:val="2"/>
            <w:tcBorders>
              <w:top w:val="nil"/>
              <w:left w:val="nil"/>
              <w:bottom w:val="nil"/>
              <w:right w:val="nil"/>
            </w:tcBorders>
            <w:shd w:val="clear" w:color="auto" w:fill="auto"/>
            <w:vAlign w:val="center"/>
            <w:hideMark/>
          </w:tcPr>
          <w:p w14:paraId="1879D28B" w14:textId="77777777" w:rsidR="004E2F51" w:rsidRPr="004B4498" w:rsidRDefault="004E2F51" w:rsidP="00E032FC">
            <w:pPr>
              <w:jc w:val="right"/>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Banka</w:t>
            </w:r>
          </w:p>
        </w:tc>
      </w:tr>
      <w:tr w:rsidR="004E2F51" w:rsidRPr="003364B5" w14:paraId="1D8BE68A" w14:textId="77777777" w:rsidTr="00E032FC">
        <w:trPr>
          <w:trHeight w:val="309"/>
        </w:trPr>
        <w:tc>
          <w:tcPr>
            <w:tcW w:w="4111" w:type="dxa"/>
            <w:tcBorders>
              <w:top w:val="nil"/>
              <w:left w:val="nil"/>
              <w:bottom w:val="nil"/>
              <w:right w:val="nil"/>
            </w:tcBorders>
            <w:shd w:val="clear" w:color="auto" w:fill="auto"/>
            <w:vAlign w:val="center"/>
            <w:hideMark/>
          </w:tcPr>
          <w:p w14:paraId="470B8444" w14:textId="77777777" w:rsidR="004E2F51" w:rsidRPr="004B4498" w:rsidRDefault="004E2F51" w:rsidP="00E032FC">
            <w:pPr>
              <w:jc w:val="right"/>
              <w:rPr>
                <w:rFonts w:ascii="Arial" w:hAnsi="Arial" w:cs="Arial"/>
                <w:b/>
                <w:bCs/>
                <w:color w:val="000000" w:themeColor="text1"/>
                <w:sz w:val="20"/>
                <w:szCs w:val="20"/>
                <w:lang w:val="hr-HR"/>
              </w:rPr>
            </w:pPr>
          </w:p>
        </w:tc>
        <w:tc>
          <w:tcPr>
            <w:tcW w:w="1387" w:type="dxa"/>
            <w:tcBorders>
              <w:top w:val="nil"/>
              <w:left w:val="nil"/>
              <w:bottom w:val="nil"/>
              <w:right w:val="nil"/>
            </w:tcBorders>
            <w:shd w:val="clear" w:color="auto" w:fill="auto"/>
            <w:vAlign w:val="center"/>
            <w:hideMark/>
          </w:tcPr>
          <w:p w14:paraId="1FDDFD32" w14:textId="77777777" w:rsidR="004E2F51" w:rsidRPr="004B4498" w:rsidRDefault="004E2F51" w:rsidP="00E032FC">
            <w:pPr>
              <w:jc w:val="right"/>
              <w:rPr>
                <w:rFonts w:ascii="Arial" w:hAnsi="Arial" w:cs="Arial"/>
                <w:b/>
                <w:bCs/>
                <w:color w:val="000000" w:themeColor="text1"/>
                <w:sz w:val="20"/>
                <w:szCs w:val="20"/>
                <w:lang w:val="hr-HR"/>
              </w:rPr>
            </w:pPr>
            <w:r w:rsidRPr="004B4498">
              <w:rPr>
                <w:rFonts w:ascii="Arial" w:hAnsi="Arial" w:cs="Arial"/>
                <w:b/>
                <w:color w:val="000000" w:themeColor="text1"/>
                <w:sz w:val="20"/>
                <w:szCs w:val="20"/>
                <w:lang w:val="hr-HR"/>
              </w:rPr>
              <w:t xml:space="preserve">31. prosinca </w:t>
            </w:r>
            <w:r w:rsidRPr="004B4498">
              <w:rPr>
                <w:rFonts w:ascii="Arial" w:hAnsi="Arial" w:cs="Arial"/>
                <w:b/>
                <w:bCs/>
                <w:color w:val="000000" w:themeColor="text1"/>
                <w:sz w:val="20"/>
                <w:szCs w:val="20"/>
                <w:lang w:val="hr-HR"/>
              </w:rPr>
              <w:t>202</w:t>
            </w:r>
            <w:r>
              <w:rPr>
                <w:rFonts w:ascii="Arial" w:hAnsi="Arial" w:cs="Arial"/>
                <w:b/>
                <w:bCs/>
                <w:color w:val="000000" w:themeColor="text1"/>
                <w:sz w:val="20"/>
                <w:szCs w:val="20"/>
                <w:lang w:val="hr-HR"/>
              </w:rPr>
              <w:t>2</w:t>
            </w:r>
            <w:r w:rsidRPr="004B4498">
              <w:rPr>
                <w:rFonts w:ascii="Arial" w:hAnsi="Arial" w:cs="Arial"/>
                <w:b/>
                <w:bCs/>
                <w:color w:val="000000" w:themeColor="text1"/>
                <w:sz w:val="20"/>
                <w:szCs w:val="20"/>
                <w:lang w:val="hr-HR"/>
              </w:rPr>
              <w:t>.</w:t>
            </w:r>
          </w:p>
        </w:tc>
        <w:tc>
          <w:tcPr>
            <w:tcW w:w="1387" w:type="dxa"/>
            <w:tcBorders>
              <w:top w:val="nil"/>
              <w:left w:val="nil"/>
              <w:bottom w:val="nil"/>
              <w:right w:val="nil"/>
            </w:tcBorders>
            <w:shd w:val="clear" w:color="auto" w:fill="auto"/>
            <w:vAlign w:val="center"/>
            <w:hideMark/>
          </w:tcPr>
          <w:p w14:paraId="22472E7F" w14:textId="77777777" w:rsidR="004E2F51" w:rsidRPr="004B4498" w:rsidRDefault="004E2F51" w:rsidP="00E032FC">
            <w:pPr>
              <w:jc w:val="right"/>
              <w:rPr>
                <w:rFonts w:ascii="Arial" w:hAnsi="Arial" w:cs="Arial"/>
                <w:b/>
                <w:bCs/>
                <w:color w:val="000000" w:themeColor="text1"/>
                <w:sz w:val="20"/>
                <w:szCs w:val="20"/>
                <w:lang w:val="hr-HR"/>
              </w:rPr>
            </w:pPr>
            <w:r w:rsidRPr="004B4498">
              <w:rPr>
                <w:rFonts w:ascii="Arial" w:hAnsi="Arial" w:cs="Arial"/>
                <w:b/>
                <w:color w:val="000000" w:themeColor="text1"/>
                <w:sz w:val="20"/>
                <w:szCs w:val="20"/>
                <w:lang w:val="hr-HR"/>
              </w:rPr>
              <w:t xml:space="preserve">31. prosinca </w:t>
            </w:r>
            <w:r w:rsidRPr="004B4498">
              <w:rPr>
                <w:rFonts w:ascii="Arial" w:hAnsi="Arial" w:cs="Arial"/>
                <w:b/>
                <w:bCs/>
                <w:color w:val="000000" w:themeColor="text1"/>
                <w:sz w:val="20"/>
                <w:szCs w:val="20"/>
                <w:lang w:val="hr-HR"/>
              </w:rPr>
              <w:t>202</w:t>
            </w:r>
            <w:r>
              <w:rPr>
                <w:rFonts w:ascii="Arial" w:hAnsi="Arial" w:cs="Arial"/>
                <w:b/>
                <w:bCs/>
                <w:color w:val="000000" w:themeColor="text1"/>
                <w:sz w:val="20"/>
                <w:szCs w:val="20"/>
                <w:lang w:val="hr-HR"/>
              </w:rPr>
              <w:t>1</w:t>
            </w:r>
            <w:r w:rsidRPr="004B4498">
              <w:rPr>
                <w:rFonts w:ascii="Arial" w:hAnsi="Arial" w:cs="Arial"/>
                <w:b/>
                <w:bCs/>
                <w:color w:val="000000" w:themeColor="text1"/>
                <w:sz w:val="20"/>
                <w:szCs w:val="20"/>
                <w:lang w:val="hr-HR"/>
              </w:rPr>
              <w:t>.</w:t>
            </w:r>
          </w:p>
        </w:tc>
        <w:tc>
          <w:tcPr>
            <w:tcW w:w="1387" w:type="dxa"/>
            <w:tcBorders>
              <w:top w:val="nil"/>
              <w:left w:val="nil"/>
              <w:bottom w:val="nil"/>
              <w:right w:val="nil"/>
            </w:tcBorders>
            <w:shd w:val="clear" w:color="auto" w:fill="auto"/>
            <w:vAlign w:val="center"/>
            <w:hideMark/>
          </w:tcPr>
          <w:p w14:paraId="1FCF94FB" w14:textId="77777777" w:rsidR="004E2F51" w:rsidRPr="004B4498" w:rsidRDefault="004E2F51" w:rsidP="00E032FC">
            <w:pPr>
              <w:jc w:val="right"/>
              <w:rPr>
                <w:rFonts w:ascii="Arial" w:hAnsi="Arial" w:cs="Arial"/>
                <w:b/>
                <w:bCs/>
                <w:color w:val="000000" w:themeColor="text1"/>
                <w:sz w:val="20"/>
                <w:szCs w:val="20"/>
                <w:lang w:val="hr-HR"/>
              </w:rPr>
            </w:pPr>
            <w:r w:rsidRPr="004B4498">
              <w:rPr>
                <w:rFonts w:ascii="Arial" w:hAnsi="Arial" w:cs="Arial"/>
                <w:b/>
                <w:color w:val="000000" w:themeColor="text1"/>
                <w:sz w:val="20"/>
                <w:szCs w:val="20"/>
                <w:lang w:val="hr-HR"/>
              </w:rPr>
              <w:t xml:space="preserve">31. prosinca </w:t>
            </w:r>
            <w:r w:rsidRPr="004B4498">
              <w:rPr>
                <w:rFonts w:ascii="Arial" w:hAnsi="Arial" w:cs="Arial"/>
                <w:b/>
                <w:bCs/>
                <w:color w:val="000000" w:themeColor="text1"/>
                <w:sz w:val="20"/>
                <w:szCs w:val="20"/>
                <w:lang w:val="hr-HR"/>
              </w:rPr>
              <w:t>202</w:t>
            </w:r>
            <w:r>
              <w:rPr>
                <w:rFonts w:ascii="Arial" w:hAnsi="Arial" w:cs="Arial"/>
                <w:b/>
                <w:bCs/>
                <w:color w:val="000000" w:themeColor="text1"/>
                <w:sz w:val="20"/>
                <w:szCs w:val="20"/>
                <w:lang w:val="hr-HR"/>
              </w:rPr>
              <w:t>2</w:t>
            </w:r>
            <w:r w:rsidRPr="004B4498">
              <w:rPr>
                <w:rFonts w:ascii="Arial" w:hAnsi="Arial" w:cs="Arial"/>
                <w:b/>
                <w:bCs/>
                <w:color w:val="000000" w:themeColor="text1"/>
                <w:sz w:val="20"/>
                <w:szCs w:val="20"/>
                <w:lang w:val="hr-HR"/>
              </w:rPr>
              <w:t>.</w:t>
            </w:r>
          </w:p>
        </w:tc>
        <w:tc>
          <w:tcPr>
            <w:tcW w:w="1387" w:type="dxa"/>
            <w:tcBorders>
              <w:top w:val="nil"/>
              <w:left w:val="nil"/>
              <w:bottom w:val="nil"/>
              <w:right w:val="nil"/>
            </w:tcBorders>
            <w:shd w:val="clear" w:color="auto" w:fill="auto"/>
            <w:vAlign w:val="center"/>
            <w:hideMark/>
          </w:tcPr>
          <w:p w14:paraId="799328A9" w14:textId="77777777" w:rsidR="004E2F51" w:rsidRPr="004B4498" w:rsidRDefault="004E2F51" w:rsidP="00E032FC">
            <w:pPr>
              <w:jc w:val="right"/>
              <w:rPr>
                <w:rFonts w:ascii="Arial" w:hAnsi="Arial" w:cs="Arial"/>
                <w:b/>
                <w:bCs/>
                <w:color w:val="000000" w:themeColor="text1"/>
                <w:sz w:val="20"/>
                <w:szCs w:val="20"/>
                <w:lang w:val="hr-HR"/>
              </w:rPr>
            </w:pPr>
            <w:r w:rsidRPr="004B4498">
              <w:rPr>
                <w:rFonts w:ascii="Arial" w:hAnsi="Arial" w:cs="Arial"/>
                <w:b/>
                <w:color w:val="000000" w:themeColor="text1"/>
                <w:sz w:val="20"/>
                <w:szCs w:val="20"/>
                <w:lang w:val="hr-HR"/>
              </w:rPr>
              <w:t xml:space="preserve">31. prosinca </w:t>
            </w:r>
            <w:r w:rsidRPr="004B4498">
              <w:rPr>
                <w:rFonts w:ascii="Arial" w:hAnsi="Arial" w:cs="Arial"/>
                <w:b/>
                <w:bCs/>
                <w:color w:val="000000" w:themeColor="text1"/>
                <w:sz w:val="20"/>
                <w:szCs w:val="20"/>
                <w:lang w:val="hr-HR"/>
              </w:rPr>
              <w:t>202</w:t>
            </w:r>
            <w:r>
              <w:rPr>
                <w:rFonts w:ascii="Arial" w:hAnsi="Arial" w:cs="Arial"/>
                <w:b/>
                <w:bCs/>
                <w:color w:val="000000" w:themeColor="text1"/>
                <w:sz w:val="20"/>
                <w:szCs w:val="20"/>
                <w:lang w:val="hr-HR"/>
              </w:rPr>
              <w:t>1</w:t>
            </w:r>
            <w:r w:rsidRPr="004B4498">
              <w:rPr>
                <w:rFonts w:ascii="Arial" w:hAnsi="Arial" w:cs="Arial"/>
                <w:b/>
                <w:bCs/>
                <w:color w:val="000000" w:themeColor="text1"/>
                <w:sz w:val="20"/>
                <w:szCs w:val="20"/>
                <w:lang w:val="hr-HR"/>
              </w:rPr>
              <w:t>.</w:t>
            </w:r>
          </w:p>
        </w:tc>
      </w:tr>
      <w:tr w:rsidR="004E2F51" w:rsidRPr="003364B5" w14:paraId="31131BF1" w14:textId="77777777" w:rsidTr="00E032FC">
        <w:trPr>
          <w:trHeight w:val="309"/>
        </w:trPr>
        <w:tc>
          <w:tcPr>
            <w:tcW w:w="4111" w:type="dxa"/>
            <w:tcBorders>
              <w:top w:val="nil"/>
              <w:left w:val="nil"/>
              <w:bottom w:val="nil"/>
              <w:right w:val="nil"/>
            </w:tcBorders>
            <w:shd w:val="clear" w:color="auto" w:fill="auto"/>
            <w:vAlign w:val="center"/>
            <w:hideMark/>
          </w:tcPr>
          <w:p w14:paraId="1B17FB73" w14:textId="77777777" w:rsidR="004E2F51" w:rsidRPr="004B4498" w:rsidRDefault="004E2F51" w:rsidP="00E032FC">
            <w:pPr>
              <w:jc w:val="right"/>
              <w:rPr>
                <w:rFonts w:ascii="Arial" w:hAnsi="Arial" w:cs="Arial"/>
                <w:b/>
                <w:bCs/>
                <w:color w:val="000000" w:themeColor="text1"/>
                <w:sz w:val="20"/>
                <w:szCs w:val="20"/>
                <w:lang w:val="hr-HR"/>
              </w:rPr>
            </w:pPr>
          </w:p>
        </w:tc>
        <w:tc>
          <w:tcPr>
            <w:tcW w:w="1387" w:type="dxa"/>
            <w:tcBorders>
              <w:top w:val="nil"/>
              <w:left w:val="nil"/>
              <w:bottom w:val="nil"/>
              <w:right w:val="nil"/>
            </w:tcBorders>
            <w:shd w:val="clear" w:color="auto" w:fill="auto"/>
            <w:vAlign w:val="center"/>
            <w:hideMark/>
          </w:tcPr>
          <w:p w14:paraId="021630EA" w14:textId="77777777" w:rsidR="004E2F51" w:rsidRPr="004B4498" w:rsidRDefault="004E2F51" w:rsidP="00E032FC">
            <w:pPr>
              <w:jc w:val="right"/>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000 kuna</w:t>
            </w:r>
          </w:p>
        </w:tc>
        <w:tc>
          <w:tcPr>
            <w:tcW w:w="1387" w:type="dxa"/>
            <w:tcBorders>
              <w:top w:val="nil"/>
              <w:left w:val="nil"/>
              <w:bottom w:val="nil"/>
              <w:right w:val="nil"/>
            </w:tcBorders>
            <w:shd w:val="clear" w:color="auto" w:fill="auto"/>
            <w:vAlign w:val="center"/>
            <w:hideMark/>
          </w:tcPr>
          <w:p w14:paraId="285F3516" w14:textId="77777777" w:rsidR="004E2F51" w:rsidRPr="004B4498" w:rsidRDefault="004E2F51" w:rsidP="00E032FC">
            <w:pPr>
              <w:jc w:val="right"/>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000 kuna</w:t>
            </w:r>
          </w:p>
        </w:tc>
        <w:tc>
          <w:tcPr>
            <w:tcW w:w="1387" w:type="dxa"/>
            <w:tcBorders>
              <w:top w:val="nil"/>
              <w:left w:val="nil"/>
              <w:bottom w:val="nil"/>
              <w:right w:val="nil"/>
            </w:tcBorders>
            <w:shd w:val="clear" w:color="auto" w:fill="auto"/>
            <w:vAlign w:val="center"/>
            <w:hideMark/>
          </w:tcPr>
          <w:p w14:paraId="678449AF" w14:textId="77777777" w:rsidR="004E2F51" w:rsidRPr="004B4498" w:rsidRDefault="004E2F51" w:rsidP="00E032FC">
            <w:pPr>
              <w:jc w:val="right"/>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000 kuna</w:t>
            </w:r>
          </w:p>
        </w:tc>
        <w:tc>
          <w:tcPr>
            <w:tcW w:w="1387" w:type="dxa"/>
            <w:tcBorders>
              <w:top w:val="nil"/>
              <w:left w:val="nil"/>
              <w:bottom w:val="nil"/>
              <w:right w:val="nil"/>
            </w:tcBorders>
            <w:shd w:val="clear" w:color="auto" w:fill="auto"/>
            <w:vAlign w:val="center"/>
            <w:hideMark/>
          </w:tcPr>
          <w:p w14:paraId="590BB45C" w14:textId="77777777" w:rsidR="004E2F51" w:rsidRPr="004B4498" w:rsidRDefault="004E2F51" w:rsidP="00E032FC">
            <w:pPr>
              <w:jc w:val="right"/>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000 kuna</w:t>
            </w:r>
          </w:p>
        </w:tc>
      </w:tr>
      <w:tr w:rsidR="004E2F51" w:rsidRPr="003364B5" w14:paraId="48C3586B" w14:textId="77777777" w:rsidTr="00E032FC">
        <w:trPr>
          <w:trHeight w:val="309"/>
        </w:trPr>
        <w:tc>
          <w:tcPr>
            <w:tcW w:w="4111" w:type="dxa"/>
            <w:tcBorders>
              <w:top w:val="nil"/>
              <w:left w:val="nil"/>
              <w:bottom w:val="nil"/>
              <w:right w:val="nil"/>
            </w:tcBorders>
            <w:shd w:val="clear" w:color="auto" w:fill="auto"/>
            <w:vAlign w:val="center"/>
            <w:hideMark/>
          </w:tcPr>
          <w:p w14:paraId="4523C351" w14:textId="77777777" w:rsidR="004E2F51" w:rsidRPr="004B4498" w:rsidRDefault="004E2F51" w:rsidP="00E032FC">
            <w:pPr>
              <w:jc w:val="right"/>
              <w:rPr>
                <w:rFonts w:ascii="Arial" w:hAnsi="Arial" w:cs="Arial"/>
                <w:b/>
                <w:bCs/>
                <w:color w:val="000000" w:themeColor="text1"/>
                <w:sz w:val="20"/>
                <w:szCs w:val="20"/>
                <w:lang w:val="hr-HR"/>
              </w:rPr>
            </w:pPr>
          </w:p>
        </w:tc>
        <w:tc>
          <w:tcPr>
            <w:tcW w:w="1387" w:type="dxa"/>
            <w:tcBorders>
              <w:top w:val="nil"/>
              <w:left w:val="nil"/>
              <w:bottom w:val="nil"/>
              <w:right w:val="nil"/>
            </w:tcBorders>
            <w:shd w:val="clear" w:color="auto" w:fill="auto"/>
            <w:vAlign w:val="center"/>
            <w:hideMark/>
          </w:tcPr>
          <w:p w14:paraId="0808E14E" w14:textId="77777777" w:rsidR="004E2F51" w:rsidRPr="004B4498" w:rsidRDefault="004E2F51" w:rsidP="00E032FC">
            <w:pPr>
              <w:rPr>
                <w:rFonts w:ascii="Arial" w:hAnsi="Arial" w:cs="Arial"/>
                <w:color w:val="000000" w:themeColor="text1"/>
                <w:sz w:val="20"/>
                <w:szCs w:val="20"/>
                <w:lang w:val="hr-HR"/>
              </w:rPr>
            </w:pPr>
          </w:p>
        </w:tc>
        <w:tc>
          <w:tcPr>
            <w:tcW w:w="1387" w:type="dxa"/>
            <w:tcBorders>
              <w:top w:val="nil"/>
              <w:left w:val="nil"/>
              <w:bottom w:val="nil"/>
              <w:right w:val="nil"/>
            </w:tcBorders>
            <w:shd w:val="clear" w:color="auto" w:fill="auto"/>
            <w:vAlign w:val="center"/>
            <w:hideMark/>
          </w:tcPr>
          <w:p w14:paraId="57B82FDF" w14:textId="77777777" w:rsidR="004E2F51" w:rsidRPr="004B4498" w:rsidRDefault="004E2F51" w:rsidP="00E032FC">
            <w:pPr>
              <w:jc w:val="right"/>
              <w:rPr>
                <w:rFonts w:ascii="Arial" w:hAnsi="Arial" w:cs="Arial"/>
                <w:color w:val="000000" w:themeColor="text1"/>
                <w:sz w:val="20"/>
                <w:szCs w:val="20"/>
                <w:lang w:val="hr-HR"/>
              </w:rPr>
            </w:pPr>
          </w:p>
        </w:tc>
        <w:tc>
          <w:tcPr>
            <w:tcW w:w="1387" w:type="dxa"/>
            <w:tcBorders>
              <w:top w:val="nil"/>
              <w:left w:val="nil"/>
              <w:bottom w:val="nil"/>
              <w:right w:val="nil"/>
            </w:tcBorders>
            <w:shd w:val="clear" w:color="auto" w:fill="auto"/>
            <w:vAlign w:val="center"/>
            <w:hideMark/>
          </w:tcPr>
          <w:p w14:paraId="5011633D" w14:textId="77777777" w:rsidR="004E2F51" w:rsidRPr="004B4498" w:rsidRDefault="004E2F51" w:rsidP="00E032FC">
            <w:pPr>
              <w:jc w:val="right"/>
              <w:rPr>
                <w:rFonts w:ascii="Arial" w:hAnsi="Arial" w:cs="Arial"/>
                <w:color w:val="000000" w:themeColor="text1"/>
                <w:sz w:val="20"/>
                <w:szCs w:val="20"/>
                <w:lang w:val="hr-HR"/>
              </w:rPr>
            </w:pPr>
          </w:p>
        </w:tc>
        <w:tc>
          <w:tcPr>
            <w:tcW w:w="1387" w:type="dxa"/>
            <w:tcBorders>
              <w:top w:val="nil"/>
              <w:left w:val="nil"/>
              <w:bottom w:val="nil"/>
              <w:right w:val="nil"/>
            </w:tcBorders>
            <w:shd w:val="clear" w:color="auto" w:fill="auto"/>
            <w:vAlign w:val="center"/>
            <w:hideMark/>
          </w:tcPr>
          <w:p w14:paraId="46190436" w14:textId="77777777" w:rsidR="004E2F51" w:rsidRPr="004B4498" w:rsidRDefault="004E2F51" w:rsidP="00E032FC">
            <w:pPr>
              <w:jc w:val="right"/>
              <w:rPr>
                <w:rFonts w:ascii="Arial" w:hAnsi="Arial" w:cs="Arial"/>
                <w:color w:val="000000" w:themeColor="text1"/>
                <w:sz w:val="20"/>
                <w:szCs w:val="20"/>
                <w:lang w:val="hr-HR"/>
              </w:rPr>
            </w:pPr>
          </w:p>
        </w:tc>
      </w:tr>
      <w:tr w:rsidR="004E2F51" w:rsidRPr="003364B5" w14:paraId="530565CC" w14:textId="77777777" w:rsidTr="00E032FC">
        <w:trPr>
          <w:trHeight w:val="303"/>
        </w:trPr>
        <w:tc>
          <w:tcPr>
            <w:tcW w:w="4111" w:type="dxa"/>
            <w:tcBorders>
              <w:top w:val="nil"/>
              <w:left w:val="nil"/>
              <w:bottom w:val="nil"/>
              <w:right w:val="nil"/>
            </w:tcBorders>
            <w:shd w:val="clear" w:color="auto" w:fill="auto"/>
            <w:vAlign w:val="center"/>
            <w:hideMark/>
          </w:tcPr>
          <w:p w14:paraId="0923E1AF"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Potraživanja po naknadama</w:t>
            </w:r>
          </w:p>
        </w:tc>
        <w:tc>
          <w:tcPr>
            <w:tcW w:w="1387" w:type="dxa"/>
            <w:tcBorders>
              <w:top w:val="nil"/>
              <w:left w:val="nil"/>
              <w:bottom w:val="nil"/>
              <w:right w:val="nil"/>
            </w:tcBorders>
            <w:shd w:val="clear" w:color="auto" w:fill="auto"/>
            <w:vAlign w:val="bottom"/>
          </w:tcPr>
          <w:p w14:paraId="40959DC3" w14:textId="77777777" w:rsidR="004E2F51" w:rsidRPr="004B4498" w:rsidRDefault="004E2F51" w:rsidP="00E032FC">
            <w:pPr>
              <w:jc w:val="right"/>
              <w:rPr>
                <w:rFonts w:ascii="Arial" w:hAnsi="Arial" w:cs="Arial"/>
                <w:color w:val="000000" w:themeColor="text1"/>
                <w:sz w:val="20"/>
                <w:szCs w:val="20"/>
                <w:lang w:val="hr-HR"/>
              </w:rPr>
            </w:pPr>
            <w:r w:rsidRPr="00165E42">
              <w:rPr>
                <w:rFonts w:ascii="Arial" w:hAnsi="Arial" w:cs="Arial"/>
                <w:color w:val="000000" w:themeColor="text1"/>
                <w:sz w:val="20"/>
                <w:szCs w:val="20"/>
                <w:lang w:val="hr-HR"/>
              </w:rPr>
              <w:t xml:space="preserve"> 26.676 </w:t>
            </w:r>
          </w:p>
        </w:tc>
        <w:tc>
          <w:tcPr>
            <w:tcW w:w="1387" w:type="dxa"/>
            <w:tcBorders>
              <w:top w:val="nil"/>
              <w:left w:val="nil"/>
              <w:bottom w:val="nil"/>
              <w:right w:val="nil"/>
            </w:tcBorders>
            <w:shd w:val="clear" w:color="auto" w:fill="auto"/>
            <w:vAlign w:val="bottom"/>
          </w:tcPr>
          <w:p w14:paraId="46D21B9B"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25.787</w:t>
            </w:r>
          </w:p>
        </w:tc>
        <w:tc>
          <w:tcPr>
            <w:tcW w:w="1387" w:type="dxa"/>
            <w:tcBorders>
              <w:top w:val="nil"/>
              <w:left w:val="nil"/>
              <w:bottom w:val="nil"/>
              <w:right w:val="nil"/>
            </w:tcBorders>
            <w:shd w:val="clear" w:color="auto" w:fill="auto"/>
            <w:vAlign w:val="bottom"/>
          </w:tcPr>
          <w:p w14:paraId="0579D404" w14:textId="77777777" w:rsidR="004E2F51" w:rsidRPr="004B4498" w:rsidRDefault="004E2F51" w:rsidP="00E032FC">
            <w:pPr>
              <w:jc w:val="right"/>
              <w:rPr>
                <w:rFonts w:ascii="Arial" w:hAnsi="Arial" w:cs="Arial"/>
                <w:color w:val="000000" w:themeColor="text1"/>
                <w:sz w:val="20"/>
                <w:szCs w:val="20"/>
                <w:lang w:val="hr-HR"/>
              </w:rPr>
            </w:pPr>
            <w:r w:rsidRPr="00165E42">
              <w:rPr>
                <w:rFonts w:ascii="Arial" w:hAnsi="Arial" w:cs="Arial"/>
                <w:color w:val="000000" w:themeColor="text1"/>
                <w:sz w:val="20"/>
                <w:szCs w:val="20"/>
                <w:lang w:val="hr-HR"/>
              </w:rPr>
              <w:t xml:space="preserve"> 26.676 </w:t>
            </w:r>
          </w:p>
        </w:tc>
        <w:tc>
          <w:tcPr>
            <w:tcW w:w="1387" w:type="dxa"/>
            <w:tcBorders>
              <w:top w:val="nil"/>
              <w:left w:val="nil"/>
              <w:bottom w:val="nil"/>
              <w:right w:val="nil"/>
            </w:tcBorders>
            <w:shd w:val="clear" w:color="auto" w:fill="auto"/>
            <w:vAlign w:val="center"/>
          </w:tcPr>
          <w:p w14:paraId="2DC7549A"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25.787</w:t>
            </w:r>
          </w:p>
        </w:tc>
      </w:tr>
      <w:tr w:rsidR="004E2F51" w:rsidRPr="003364B5" w14:paraId="10435C2A" w14:textId="77777777" w:rsidTr="00E032FC">
        <w:trPr>
          <w:trHeight w:val="303"/>
        </w:trPr>
        <w:tc>
          <w:tcPr>
            <w:tcW w:w="4111" w:type="dxa"/>
            <w:tcBorders>
              <w:top w:val="nil"/>
              <w:left w:val="nil"/>
              <w:bottom w:val="nil"/>
              <w:right w:val="nil"/>
            </w:tcBorders>
            <w:shd w:val="clear" w:color="auto" w:fill="auto"/>
            <w:vAlign w:val="center"/>
            <w:hideMark/>
          </w:tcPr>
          <w:p w14:paraId="111F1263"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Ostala potraživanja</w:t>
            </w:r>
          </w:p>
        </w:tc>
        <w:tc>
          <w:tcPr>
            <w:tcW w:w="1387" w:type="dxa"/>
            <w:tcBorders>
              <w:top w:val="nil"/>
              <w:left w:val="nil"/>
              <w:bottom w:val="nil"/>
              <w:right w:val="nil"/>
            </w:tcBorders>
            <w:shd w:val="clear" w:color="auto" w:fill="auto"/>
            <w:vAlign w:val="bottom"/>
          </w:tcPr>
          <w:p w14:paraId="70111A2E" w14:textId="77777777" w:rsidR="004E2F51" w:rsidRPr="004B4498" w:rsidRDefault="004E2F51" w:rsidP="00E032FC">
            <w:pPr>
              <w:jc w:val="right"/>
              <w:rPr>
                <w:rFonts w:ascii="Arial" w:hAnsi="Arial" w:cs="Arial"/>
                <w:color w:val="000000" w:themeColor="text1"/>
                <w:sz w:val="20"/>
                <w:szCs w:val="20"/>
                <w:lang w:val="hr-HR"/>
              </w:rPr>
            </w:pPr>
            <w:r w:rsidRPr="00165E42">
              <w:rPr>
                <w:rFonts w:ascii="Arial" w:hAnsi="Arial" w:cs="Arial"/>
                <w:color w:val="000000" w:themeColor="text1"/>
                <w:sz w:val="20"/>
                <w:szCs w:val="20"/>
                <w:lang w:val="hr-HR"/>
              </w:rPr>
              <w:t xml:space="preserve"> 12.24</w:t>
            </w:r>
            <w:r>
              <w:rPr>
                <w:rFonts w:ascii="Arial" w:hAnsi="Arial" w:cs="Arial"/>
                <w:color w:val="000000" w:themeColor="text1"/>
                <w:sz w:val="20"/>
                <w:szCs w:val="20"/>
                <w:lang w:val="hr-HR"/>
              </w:rPr>
              <w:t>4</w:t>
            </w:r>
            <w:r w:rsidRPr="00165E42">
              <w:rPr>
                <w:rFonts w:ascii="Arial" w:hAnsi="Arial" w:cs="Arial"/>
                <w:color w:val="000000" w:themeColor="text1"/>
                <w:sz w:val="20"/>
                <w:szCs w:val="20"/>
                <w:lang w:val="hr-HR"/>
              </w:rPr>
              <w:t xml:space="preserve"> </w:t>
            </w:r>
          </w:p>
        </w:tc>
        <w:tc>
          <w:tcPr>
            <w:tcW w:w="1387" w:type="dxa"/>
            <w:tcBorders>
              <w:top w:val="nil"/>
              <w:left w:val="nil"/>
              <w:bottom w:val="nil"/>
              <w:right w:val="nil"/>
            </w:tcBorders>
            <w:shd w:val="clear" w:color="auto" w:fill="auto"/>
            <w:vAlign w:val="bottom"/>
          </w:tcPr>
          <w:p w14:paraId="5B265C15"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10.609</w:t>
            </w:r>
          </w:p>
        </w:tc>
        <w:tc>
          <w:tcPr>
            <w:tcW w:w="1387" w:type="dxa"/>
            <w:tcBorders>
              <w:top w:val="nil"/>
              <w:left w:val="nil"/>
              <w:bottom w:val="nil"/>
              <w:right w:val="nil"/>
            </w:tcBorders>
            <w:shd w:val="clear" w:color="auto" w:fill="auto"/>
            <w:vAlign w:val="bottom"/>
          </w:tcPr>
          <w:p w14:paraId="69A777C1" w14:textId="77777777" w:rsidR="004E2F51" w:rsidRPr="004B4498" w:rsidRDefault="004E2F51" w:rsidP="00E032FC">
            <w:pPr>
              <w:jc w:val="right"/>
              <w:rPr>
                <w:rFonts w:ascii="Arial" w:hAnsi="Arial" w:cs="Arial"/>
                <w:color w:val="000000" w:themeColor="text1"/>
                <w:sz w:val="20"/>
                <w:szCs w:val="20"/>
                <w:lang w:val="hr-HR"/>
              </w:rPr>
            </w:pPr>
            <w:r w:rsidRPr="00165E42">
              <w:rPr>
                <w:rFonts w:ascii="Arial" w:hAnsi="Arial" w:cs="Arial"/>
                <w:color w:val="000000" w:themeColor="text1"/>
                <w:sz w:val="20"/>
                <w:szCs w:val="20"/>
                <w:lang w:val="hr-HR"/>
              </w:rPr>
              <w:t xml:space="preserve"> 12.24</w:t>
            </w:r>
            <w:r>
              <w:rPr>
                <w:rFonts w:ascii="Arial" w:hAnsi="Arial" w:cs="Arial"/>
                <w:color w:val="000000" w:themeColor="text1"/>
                <w:sz w:val="20"/>
                <w:szCs w:val="20"/>
                <w:lang w:val="hr-HR"/>
              </w:rPr>
              <w:t>4</w:t>
            </w:r>
            <w:r w:rsidRPr="00165E42">
              <w:rPr>
                <w:rFonts w:ascii="Arial" w:hAnsi="Arial" w:cs="Arial"/>
                <w:color w:val="000000" w:themeColor="text1"/>
                <w:sz w:val="20"/>
                <w:szCs w:val="20"/>
                <w:lang w:val="hr-HR"/>
              </w:rPr>
              <w:t xml:space="preserve"> </w:t>
            </w:r>
          </w:p>
        </w:tc>
        <w:tc>
          <w:tcPr>
            <w:tcW w:w="1387" w:type="dxa"/>
            <w:tcBorders>
              <w:top w:val="nil"/>
              <w:left w:val="nil"/>
              <w:bottom w:val="nil"/>
              <w:right w:val="nil"/>
            </w:tcBorders>
            <w:shd w:val="clear" w:color="auto" w:fill="auto"/>
            <w:vAlign w:val="center"/>
          </w:tcPr>
          <w:p w14:paraId="58AA170E"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10.609</w:t>
            </w:r>
          </w:p>
        </w:tc>
      </w:tr>
      <w:tr w:rsidR="004E2F51" w:rsidRPr="003364B5" w14:paraId="61AECE2B" w14:textId="77777777" w:rsidTr="00E032FC">
        <w:trPr>
          <w:trHeight w:val="303"/>
        </w:trPr>
        <w:tc>
          <w:tcPr>
            <w:tcW w:w="4111" w:type="dxa"/>
            <w:tcBorders>
              <w:top w:val="nil"/>
              <w:left w:val="nil"/>
              <w:bottom w:val="nil"/>
              <w:right w:val="nil"/>
            </w:tcBorders>
            <w:shd w:val="clear" w:color="auto" w:fill="auto"/>
            <w:noWrap/>
            <w:vAlign w:val="center"/>
            <w:hideMark/>
          </w:tcPr>
          <w:p w14:paraId="03337634"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Potraživanja po premijama</w:t>
            </w:r>
          </w:p>
        </w:tc>
        <w:tc>
          <w:tcPr>
            <w:tcW w:w="1387" w:type="dxa"/>
            <w:tcBorders>
              <w:top w:val="nil"/>
              <w:left w:val="nil"/>
              <w:bottom w:val="nil"/>
              <w:right w:val="nil"/>
            </w:tcBorders>
            <w:shd w:val="clear" w:color="auto" w:fill="auto"/>
            <w:vAlign w:val="bottom"/>
          </w:tcPr>
          <w:p w14:paraId="684A4C2E" w14:textId="77777777" w:rsidR="004E2F51" w:rsidRPr="004B4498" w:rsidRDefault="004E2F51" w:rsidP="00E032FC">
            <w:pPr>
              <w:jc w:val="right"/>
              <w:rPr>
                <w:rFonts w:ascii="Arial" w:hAnsi="Arial" w:cs="Arial"/>
                <w:color w:val="000000" w:themeColor="text1"/>
                <w:sz w:val="20"/>
                <w:szCs w:val="20"/>
                <w:lang w:val="hr-HR"/>
              </w:rPr>
            </w:pPr>
            <w:r w:rsidRPr="00165E42">
              <w:rPr>
                <w:rFonts w:ascii="Arial" w:hAnsi="Arial" w:cs="Arial"/>
                <w:color w:val="000000" w:themeColor="text1"/>
                <w:sz w:val="20"/>
                <w:szCs w:val="20"/>
                <w:lang w:val="hr-HR"/>
              </w:rPr>
              <w:t xml:space="preserve"> 3.57</w:t>
            </w:r>
            <w:r>
              <w:rPr>
                <w:rFonts w:ascii="Arial" w:hAnsi="Arial" w:cs="Arial"/>
                <w:color w:val="000000" w:themeColor="text1"/>
                <w:sz w:val="20"/>
                <w:szCs w:val="20"/>
                <w:lang w:val="hr-HR"/>
              </w:rPr>
              <w:t>5</w:t>
            </w:r>
            <w:r w:rsidRPr="00165E42">
              <w:rPr>
                <w:rFonts w:ascii="Arial" w:hAnsi="Arial" w:cs="Arial"/>
                <w:color w:val="000000" w:themeColor="text1"/>
                <w:sz w:val="20"/>
                <w:szCs w:val="20"/>
                <w:lang w:val="hr-HR"/>
              </w:rPr>
              <w:t xml:space="preserve"> </w:t>
            </w:r>
          </w:p>
        </w:tc>
        <w:tc>
          <w:tcPr>
            <w:tcW w:w="1387" w:type="dxa"/>
            <w:tcBorders>
              <w:top w:val="nil"/>
              <w:left w:val="nil"/>
              <w:bottom w:val="nil"/>
              <w:right w:val="nil"/>
            </w:tcBorders>
            <w:shd w:val="clear" w:color="auto" w:fill="auto"/>
            <w:vAlign w:val="bottom"/>
          </w:tcPr>
          <w:p w14:paraId="05596FC3"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1.797</w:t>
            </w:r>
          </w:p>
        </w:tc>
        <w:tc>
          <w:tcPr>
            <w:tcW w:w="1387" w:type="dxa"/>
            <w:tcBorders>
              <w:top w:val="nil"/>
              <w:left w:val="nil"/>
              <w:bottom w:val="nil"/>
              <w:right w:val="nil"/>
            </w:tcBorders>
            <w:shd w:val="clear" w:color="auto" w:fill="auto"/>
            <w:vAlign w:val="bottom"/>
          </w:tcPr>
          <w:p w14:paraId="5321374C" w14:textId="77777777" w:rsidR="004E2F51" w:rsidRPr="004B4498" w:rsidRDefault="004E2F51" w:rsidP="00E032FC">
            <w:pPr>
              <w:jc w:val="right"/>
              <w:rPr>
                <w:rFonts w:ascii="Arial" w:hAnsi="Arial" w:cs="Arial"/>
                <w:color w:val="000000" w:themeColor="text1"/>
                <w:sz w:val="20"/>
                <w:szCs w:val="20"/>
                <w:lang w:val="hr-HR"/>
              </w:rPr>
            </w:pPr>
            <w:r w:rsidRPr="00165E42">
              <w:rPr>
                <w:rFonts w:ascii="Arial" w:hAnsi="Arial" w:cs="Arial"/>
                <w:color w:val="000000" w:themeColor="text1"/>
                <w:sz w:val="20"/>
                <w:szCs w:val="20"/>
                <w:lang w:val="hr-HR"/>
              </w:rPr>
              <w:t xml:space="preserve"> -    </w:t>
            </w:r>
          </w:p>
        </w:tc>
        <w:tc>
          <w:tcPr>
            <w:tcW w:w="1387" w:type="dxa"/>
            <w:tcBorders>
              <w:top w:val="nil"/>
              <w:left w:val="nil"/>
              <w:bottom w:val="nil"/>
              <w:right w:val="nil"/>
            </w:tcBorders>
            <w:shd w:val="clear" w:color="auto" w:fill="auto"/>
            <w:vAlign w:val="center"/>
          </w:tcPr>
          <w:p w14:paraId="3C5345F0"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w:t>
            </w:r>
          </w:p>
        </w:tc>
      </w:tr>
      <w:tr w:rsidR="004E2F51" w:rsidRPr="003364B5" w14:paraId="66B4E1FF" w14:textId="77777777" w:rsidTr="00E032FC">
        <w:trPr>
          <w:trHeight w:val="303"/>
        </w:trPr>
        <w:tc>
          <w:tcPr>
            <w:tcW w:w="4111" w:type="dxa"/>
            <w:tcBorders>
              <w:top w:val="nil"/>
              <w:left w:val="nil"/>
              <w:bottom w:val="nil"/>
              <w:right w:val="nil"/>
            </w:tcBorders>
            <w:shd w:val="clear" w:color="auto" w:fill="auto"/>
            <w:vAlign w:val="center"/>
            <w:hideMark/>
          </w:tcPr>
          <w:p w14:paraId="0A283A7D"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Potraživanja po provizijama od reosiguranja</w:t>
            </w:r>
          </w:p>
        </w:tc>
        <w:tc>
          <w:tcPr>
            <w:tcW w:w="1387" w:type="dxa"/>
            <w:tcBorders>
              <w:top w:val="nil"/>
              <w:left w:val="nil"/>
              <w:bottom w:val="nil"/>
              <w:right w:val="nil"/>
            </w:tcBorders>
            <w:shd w:val="clear" w:color="auto" w:fill="auto"/>
            <w:vAlign w:val="bottom"/>
          </w:tcPr>
          <w:p w14:paraId="44589258" w14:textId="77777777" w:rsidR="004E2F51" w:rsidRPr="004B4498" w:rsidRDefault="004E2F51" w:rsidP="00E032FC">
            <w:pPr>
              <w:jc w:val="right"/>
              <w:rPr>
                <w:rFonts w:ascii="Arial" w:hAnsi="Arial" w:cs="Arial"/>
                <w:color w:val="000000" w:themeColor="text1"/>
                <w:sz w:val="20"/>
                <w:szCs w:val="20"/>
                <w:lang w:val="hr-HR"/>
              </w:rPr>
            </w:pPr>
            <w:r w:rsidRPr="00165E42">
              <w:rPr>
                <w:rFonts w:ascii="Arial" w:hAnsi="Arial" w:cs="Arial"/>
                <w:color w:val="000000" w:themeColor="text1"/>
                <w:sz w:val="20"/>
                <w:szCs w:val="20"/>
                <w:lang w:val="hr-HR"/>
              </w:rPr>
              <w:t xml:space="preserve"> 2.259 </w:t>
            </w:r>
          </w:p>
        </w:tc>
        <w:tc>
          <w:tcPr>
            <w:tcW w:w="1387" w:type="dxa"/>
            <w:tcBorders>
              <w:top w:val="nil"/>
              <w:left w:val="nil"/>
              <w:bottom w:val="nil"/>
              <w:right w:val="nil"/>
            </w:tcBorders>
            <w:shd w:val="clear" w:color="auto" w:fill="auto"/>
            <w:vAlign w:val="bottom"/>
          </w:tcPr>
          <w:p w14:paraId="14F31802"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645</w:t>
            </w:r>
          </w:p>
        </w:tc>
        <w:tc>
          <w:tcPr>
            <w:tcW w:w="1387" w:type="dxa"/>
            <w:tcBorders>
              <w:top w:val="nil"/>
              <w:left w:val="nil"/>
              <w:bottom w:val="nil"/>
              <w:right w:val="nil"/>
            </w:tcBorders>
            <w:shd w:val="clear" w:color="auto" w:fill="auto"/>
            <w:vAlign w:val="bottom"/>
          </w:tcPr>
          <w:p w14:paraId="4CECB6A1" w14:textId="77777777" w:rsidR="004E2F51" w:rsidRPr="004B4498" w:rsidRDefault="004E2F51" w:rsidP="00E032FC">
            <w:pPr>
              <w:jc w:val="right"/>
              <w:rPr>
                <w:rFonts w:ascii="Arial" w:hAnsi="Arial" w:cs="Arial"/>
                <w:color w:val="000000" w:themeColor="text1"/>
                <w:sz w:val="20"/>
                <w:szCs w:val="20"/>
                <w:lang w:val="hr-HR"/>
              </w:rPr>
            </w:pPr>
            <w:r w:rsidRPr="00165E42">
              <w:rPr>
                <w:rFonts w:ascii="Arial" w:hAnsi="Arial" w:cs="Arial"/>
                <w:color w:val="000000" w:themeColor="text1"/>
                <w:sz w:val="20"/>
                <w:szCs w:val="20"/>
                <w:lang w:val="hr-HR"/>
              </w:rPr>
              <w:t xml:space="preserve"> -    </w:t>
            </w:r>
          </w:p>
        </w:tc>
        <w:tc>
          <w:tcPr>
            <w:tcW w:w="1387" w:type="dxa"/>
            <w:tcBorders>
              <w:top w:val="nil"/>
              <w:left w:val="nil"/>
              <w:bottom w:val="nil"/>
              <w:right w:val="nil"/>
            </w:tcBorders>
            <w:shd w:val="clear" w:color="auto" w:fill="auto"/>
            <w:vAlign w:val="center"/>
          </w:tcPr>
          <w:p w14:paraId="30271748"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w:t>
            </w:r>
          </w:p>
        </w:tc>
      </w:tr>
      <w:tr w:rsidR="004E2F51" w:rsidRPr="003364B5" w14:paraId="60CBA35F" w14:textId="77777777" w:rsidTr="00E032FC">
        <w:trPr>
          <w:trHeight w:val="340"/>
        </w:trPr>
        <w:tc>
          <w:tcPr>
            <w:tcW w:w="4111" w:type="dxa"/>
            <w:tcBorders>
              <w:top w:val="nil"/>
              <w:left w:val="nil"/>
              <w:bottom w:val="nil"/>
              <w:right w:val="nil"/>
            </w:tcBorders>
            <w:shd w:val="clear" w:color="auto" w:fill="auto"/>
            <w:vAlign w:val="bottom"/>
            <w:hideMark/>
          </w:tcPr>
          <w:p w14:paraId="444EE05C"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Potraživanja po naknadama za procjenu rizika</w:t>
            </w:r>
          </w:p>
        </w:tc>
        <w:tc>
          <w:tcPr>
            <w:tcW w:w="1387" w:type="dxa"/>
            <w:tcBorders>
              <w:top w:val="nil"/>
              <w:left w:val="nil"/>
              <w:bottom w:val="single" w:sz="4" w:space="0" w:color="auto"/>
              <w:right w:val="nil"/>
            </w:tcBorders>
            <w:shd w:val="clear" w:color="auto" w:fill="auto"/>
            <w:vAlign w:val="bottom"/>
          </w:tcPr>
          <w:p w14:paraId="2101F267" w14:textId="77777777" w:rsidR="004E2F51" w:rsidRPr="004B4498" w:rsidRDefault="004E2F51" w:rsidP="00E032FC">
            <w:pPr>
              <w:jc w:val="right"/>
              <w:rPr>
                <w:rFonts w:ascii="Arial" w:hAnsi="Arial" w:cs="Arial"/>
                <w:color w:val="000000" w:themeColor="text1"/>
                <w:sz w:val="20"/>
                <w:szCs w:val="20"/>
                <w:lang w:val="hr-HR"/>
              </w:rPr>
            </w:pPr>
            <w:r w:rsidRPr="00165E42">
              <w:rPr>
                <w:rFonts w:ascii="Arial" w:hAnsi="Arial" w:cs="Arial"/>
                <w:color w:val="000000" w:themeColor="text1"/>
                <w:sz w:val="20"/>
                <w:szCs w:val="20"/>
                <w:lang w:val="hr-HR"/>
              </w:rPr>
              <w:t xml:space="preserve"> 312 </w:t>
            </w:r>
          </w:p>
        </w:tc>
        <w:tc>
          <w:tcPr>
            <w:tcW w:w="1387" w:type="dxa"/>
            <w:tcBorders>
              <w:top w:val="nil"/>
              <w:left w:val="nil"/>
              <w:bottom w:val="single" w:sz="4" w:space="0" w:color="auto"/>
              <w:right w:val="nil"/>
            </w:tcBorders>
            <w:shd w:val="clear" w:color="auto" w:fill="auto"/>
            <w:vAlign w:val="bottom"/>
          </w:tcPr>
          <w:p w14:paraId="62BD301C"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324</w:t>
            </w:r>
          </w:p>
        </w:tc>
        <w:tc>
          <w:tcPr>
            <w:tcW w:w="1387" w:type="dxa"/>
            <w:tcBorders>
              <w:top w:val="nil"/>
              <w:left w:val="nil"/>
              <w:bottom w:val="single" w:sz="4" w:space="0" w:color="auto"/>
              <w:right w:val="nil"/>
            </w:tcBorders>
            <w:shd w:val="clear" w:color="auto" w:fill="auto"/>
            <w:vAlign w:val="bottom"/>
          </w:tcPr>
          <w:p w14:paraId="0EEB8215" w14:textId="77777777" w:rsidR="004E2F51" w:rsidRPr="004B4498" w:rsidRDefault="004E2F51" w:rsidP="00E032FC">
            <w:pPr>
              <w:jc w:val="right"/>
              <w:rPr>
                <w:rFonts w:ascii="Arial" w:hAnsi="Arial" w:cs="Arial"/>
                <w:color w:val="000000" w:themeColor="text1"/>
                <w:sz w:val="20"/>
                <w:szCs w:val="20"/>
                <w:lang w:val="hr-HR"/>
              </w:rPr>
            </w:pPr>
            <w:r w:rsidRPr="00165E42">
              <w:rPr>
                <w:rFonts w:ascii="Arial" w:hAnsi="Arial" w:cs="Arial"/>
                <w:color w:val="000000" w:themeColor="text1"/>
                <w:sz w:val="20"/>
                <w:szCs w:val="20"/>
                <w:lang w:val="hr-HR"/>
              </w:rPr>
              <w:t xml:space="preserve"> -    </w:t>
            </w:r>
          </w:p>
        </w:tc>
        <w:tc>
          <w:tcPr>
            <w:tcW w:w="1387" w:type="dxa"/>
            <w:tcBorders>
              <w:top w:val="nil"/>
              <w:left w:val="nil"/>
              <w:bottom w:val="single" w:sz="4" w:space="0" w:color="auto"/>
              <w:right w:val="nil"/>
            </w:tcBorders>
            <w:shd w:val="clear" w:color="auto" w:fill="auto"/>
            <w:vAlign w:val="bottom"/>
          </w:tcPr>
          <w:p w14:paraId="7BEA2648"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w:t>
            </w:r>
          </w:p>
        </w:tc>
      </w:tr>
      <w:tr w:rsidR="004E2F51" w:rsidRPr="003364B5" w14:paraId="35E46FEA" w14:textId="77777777" w:rsidTr="00E032FC">
        <w:trPr>
          <w:trHeight w:val="340"/>
        </w:trPr>
        <w:tc>
          <w:tcPr>
            <w:tcW w:w="4111" w:type="dxa"/>
            <w:tcBorders>
              <w:top w:val="nil"/>
              <w:left w:val="nil"/>
              <w:bottom w:val="nil"/>
              <w:right w:val="nil"/>
            </w:tcBorders>
            <w:shd w:val="clear" w:color="auto" w:fill="auto"/>
            <w:vAlign w:val="center"/>
          </w:tcPr>
          <w:p w14:paraId="7F47603B" w14:textId="77777777" w:rsidR="004E2F51" w:rsidRPr="004B4498" w:rsidRDefault="004E2F51" w:rsidP="00E032FC">
            <w:pPr>
              <w:rPr>
                <w:rFonts w:ascii="Arial" w:hAnsi="Arial" w:cs="Arial"/>
                <w:color w:val="000000" w:themeColor="text1"/>
                <w:sz w:val="20"/>
                <w:szCs w:val="20"/>
                <w:lang w:val="hr-HR"/>
              </w:rPr>
            </w:pPr>
          </w:p>
        </w:tc>
        <w:tc>
          <w:tcPr>
            <w:tcW w:w="1387" w:type="dxa"/>
            <w:tcBorders>
              <w:top w:val="nil"/>
              <w:left w:val="nil"/>
              <w:bottom w:val="single" w:sz="4" w:space="0" w:color="auto"/>
              <w:right w:val="nil"/>
            </w:tcBorders>
            <w:shd w:val="clear" w:color="auto" w:fill="auto"/>
            <w:vAlign w:val="bottom"/>
          </w:tcPr>
          <w:p w14:paraId="7043A6C6" w14:textId="77777777" w:rsidR="004E2F51" w:rsidRPr="004B4498" w:rsidRDefault="004E2F51" w:rsidP="00E032FC">
            <w:pPr>
              <w:jc w:val="right"/>
              <w:rPr>
                <w:rFonts w:ascii="Arial" w:hAnsi="Arial" w:cs="Arial"/>
                <w:color w:val="000000" w:themeColor="text1"/>
                <w:sz w:val="20"/>
                <w:szCs w:val="20"/>
                <w:lang w:val="hr-HR"/>
              </w:rPr>
            </w:pPr>
            <w:r w:rsidRPr="00165E42">
              <w:rPr>
                <w:rFonts w:ascii="Arial" w:hAnsi="Arial" w:cs="Arial"/>
                <w:color w:val="000000" w:themeColor="text1"/>
                <w:sz w:val="20"/>
                <w:szCs w:val="20"/>
                <w:lang w:val="hr-HR"/>
              </w:rPr>
              <w:t>45.066</w:t>
            </w:r>
          </w:p>
        </w:tc>
        <w:tc>
          <w:tcPr>
            <w:tcW w:w="1387" w:type="dxa"/>
            <w:tcBorders>
              <w:top w:val="nil"/>
              <w:left w:val="nil"/>
              <w:bottom w:val="single" w:sz="4" w:space="0" w:color="auto"/>
              <w:right w:val="nil"/>
            </w:tcBorders>
            <w:shd w:val="clear" w:color="auto" w:fill="auto"/>
            <w:vAlign w:val="bottom"/>
          </w:tcPr>
          <w:p w14:paraId="6E61F722"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39.162</w:t>
            </w:r>
          </w:p>
        </w:tc>
        <w:tc>
          <w:tcPr>
            <w:tcW w:w="1387" w:type="dxa"/>
            <w:tcBorders>
              <w:top w:val="nil"/>
              <w:left w:val="nil"/>
              <w:bottom w:val="single" w:sz="4" w:space="0" w:color="auto"/>
              <w:right w:val="nil"/>
            </w:tcBorders>
            <w:shd w:val="clear" w:color="auto" w:fill="auto"/>
            <w:vAlign w:val="bottom"/>
          </w:tcPr>
          <w:p w14:paraId="3F52C146" w14:textId="77777777" w:rsidR="004E2F51" w:rsidRPr="004B4498" w:rsidRDefault="004E2F51" w:rsidP="00E032FC">
            <w:pPr>
              <w:jc w:val="right"/>
              <w:rPr>
                <w:rFonts w:ascii="Arial" w:hAnsi="Arial" w:cs="Arial"/>
                <w:color w:val="000000" w:themeColor="text1"/>
                <w:sz w:val="20"/>
                <w:szCs w:val="20"/>
                <w:lang w:val="hr-HR"/>
              </w:rPr>
            </w:pPr>
            <w:r w:rsidRPr="00165E42">
              <w:rPr>
                <w:rFonts w:ascii="Arial" w:hAnsi="Arial" w:cs="Arial"/>
                <w:color w:val="000000" w:themeColor="text1"/>
                <w:sz w:val="20"/>
                <w:szCs w:val="20"/>
                <w:lang w:val="hr-HR"/>
              </w:rPr>
              <w:t>38.9</w:t>
            </w:r>
            <w:r>
              <w:rPr>
                <w:rFonts w:ascii="Arial" w:hAnsi="Arial" w:cs="Arial"/>
                <w:color w:val="000000" w:themeColor="text1"/>
                <w:sz w:val="20"/>
                <w:szCs w:val="20"/>
                <w:lang w:val="hr-HR"/>
              </w:rPr>
              <w:t>20</w:t>
            </w:r>
          </w:p>
        </w:tc>
        <w:tc>
          <w:tcPr>
            <w:tcW w:w="1387" w:type="dxa"/>
            <w:tcBorders>
              <w:top w:val="nil"/>
              <w:left w:val="nil"/>
              <w:bottom w:val="single" w:sz="4" w:space="0" w:color="auto"/>
              <w:right w:val="nil"/>
            </w:tcBorders>
            <w:shd w:val="clear" w:color="auto" w:fill="auto"/>
            <w:vAlign w:val="bottom"/>
          </w:tcPr>
          <w:p w14:paraId="64CD5FE3"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36.396</w:t>
            </w:r>
          </w:p>
        </w:tc>
      </w:tr>
      <w:tr w:rsidR="004E2F51" w:rsidRPr="003364B5" w14:paraId="748446FB" w14:textId="77777777" w:rsidTr="00E032FC">
        <w:trPr>
          <w:trHeight w:val="340"/>
        </w:trPr>
        <w:tc>
          <w:tcPr>
            <w:tcW w:w="4111" w:type="dxa"/>
            <w:tcBorders>
              <w:top w:val="nil"/>
              <w:left w:val="nil"/>
              <w:bottom w:val="nil"/>
              <w:right w:val="nil"/>
            </w:tcBorders>
            <w:shd w:val="clear" w:color="auto" w:fill="auto"/>
            <w:vAlign w:val="center"/>
          </w:tcPr>
          <w:p w14:paraId="17A645CB" w14:textId="77777777" w:rsidR="004E2F51" w:rsidRPr="004B4498" w:rsidRDefault="004E2F51" w:rsidP="00E032FC">
            <w:pPr>
              <w:rPr>
                <w:rFonts w:ascii="Arial" w:hAnsi="Arial" w:cs="Arial"/>
                <w:color w:val="000000" w:themeColor="text1"/>
                <w:sz w:val="20"/>
                <w:szCs w:val="20"/>
                <w:lang w:val="hr-HR"/>
              </w:rPr>
            </w:pPr>
            <w:r w:rsidRPr="004B4498">
              <w:rPr>
                <w:rFonts w:ascii="Arial" w:hAnsi="Arial" w:cs="Arial"/>
                <w:color w:val="000000" w:themeColor="text1"/>
                <w:sz w:val="20"/>
                <w:szCs w:val="20"/>
                <w:lang w:val="hr-HR"/>
              </w:rPr>
              <w:t>Rezerviranja za očekivane gubitke</w:t>
            </w:r>
          </w:p>
        </w:tc>
        <w:tc>
          <w:tcPr>
            <w:tcW w:w="1387" w:type="dxa"/>
            <w:tcBorders>
              <w:top w:val="single" w:sz="4" w:space="0" w:color="auto"/>
              <w:left w:val="nil"/>
              <w:bottom w:val="nil"/>
              <w:right w:val="nil"/>
            </w:tcBorders>
            <w:shd w:val="clear" w:color="auto" w:fill="auto"/>
            <w:vAlign w:val="bottom"/>
          </w:tcPr>
          <w:p w14:paraId="60D031CB" w14:textId="77777777" w:rsidR="004E2F51" w:rsidRPr="004B4498" w:rsidRDefault="004E2F51" w:rsidP="00E032FC">
            <w:pPr>
              <w:jc w:val="right"/>
              <w:rPr>
                <w:rFonts w:ascii="Arial" w:hAnsi="Arial" w:cs="Arial"/>
                <w:color w:val="000000" w:themeColor="text1"/>
                <w:sz w:val="20"/>
                <w:szCs w:val="20"/>
                <w:lang w:val="hr-HR"/>
              </w:rPr>
            </w:pPr>
            <w:r w:rsidRPr="00165E42">
              <w:rPr>
                <w:rFonts w:ascii="Arial" w:hAnsi="Arial" w:cs="Arial"/>
                <w:color w:val="000000" w:themeColor="text1"/>
                <w:sz w:val="20"/>
                <w:szCs w:val="20"/>
                <w:lang w:val="hr-HR"/>
              </w:rPr>
              <w:t>(35.348)</w:t>
            </w:r>
          </w:p>
        </w:tc>
        <w:tc>
          <w:tcPr>
            <w:tcW w:w="1387" w:type="dxa"/>
            <w:tcBorders>
              <w:top w:val="single" w:sz="4" w:space="0" w:color="auto"/>
              <w:left w:val="nil"/>
              <w:bottom w:val="nil"/>
              <w:right w:val="nil"/>
            </w:tcBorders>
            <w:shd w:val="clear" w:color="auto" w:fill="auto"/>
            <w:vAlign w:val="bottom"/>
          </w:tcPr>
          <w:p w14:paraId="2E1329AA"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(31.851)</w:t>
            </w:r>
          </w:p>
        </w:tc>
        <w:tc>
          <w:tcPr>
            <w:tcW w:w="1387" w:type="dxa"/>
            <w:tcBorders>
              <w:top w:val="single" w:sz="4" w:space="0" w:color="auto"/>
              <w:left w:val="nil"/>
              <w:bottom w:val="nil"/>
              <w:right w:val="nil"/>
            </w:tcBorders>
            <w:shd w:val="clear" w:color="auto" w:fill="auto"/>
            <w:vAlign w:val="bottom"/>
          </w:tcPr>
          <w:p w14:paraId="30322E55" w14:textId="77777777" w:rsidR="004E2F51" w:rsidRPr="004B4498" w:rsidRDefault="004E2F51" w:rsidP="00E032FC">
            <w:pPr>
              <w:jc w:val="right"/>
              <w:rPr>
                <w:rFonts w:ascii="Arial" w:hAnsi="Arial" w:cs="Arial"/>
                <w:color w:val="000000" w:themeColor="text1"/>
                <w:sz w:val="20"/>
                <w:szCs w:val="20"/>
                <w:lang w:val="hr-HR"/>
              </w:rPr>
            </w:pPr>
            <w:r w:rsidRPr="00165E42">
              <w:rPr>
                <w:rFonts w:ascii="Arial" w:hAnsi="Arial" w:cs="Arial"/>
                <w:color w:val="000000" w:themeColor="text1"/>
                <w:sz w:val="20"/>
                <w:szCs w:val="20"/>
                <w:lang w:val="hr-HR"/>
              </w:rPr>
              <w:t>(35.175)</w:t>
            </w:r>
          </w:p>
        </w:tc>
        <w:tc>
          <w:tcPr>
            <w:tcW w:w="1387" w:type="dxa"/>
            <w:tcBorders>
              <w:top w:val="single" w:sz="4" w:space="0" w:color="auto"/>
              <w:left w:val="nil"/>
              <w:bottom w:val="nil"/>
              <w:right w:val="nil"/>
            </w:tcBorders>
            <w:shd w:val="clear" w:color="auto" w:fill="auto"/>
            <w:vAlign w:val="bottom"/>
          </w:tcPr>
          <w:p w14:paraId="102848FA" w14:textId="77777777" w:rsidR="004E2F51" w:rsidRPr="004B4498" w:rsidRDefault="004E2F51" w:rsidP="00E032FC">
            <w:pPr>
              <w:jc w:val="right"/>
              <w:rPr>
                <w:rFonts w:ascii="Arial" w:hAnsi="Arial" w:cs="Arial"/>
                <w:color w:val="000000" w:themeColor="text1"/>
                <w:sz w:val="20"/>
                <w:szCs w:val="20"/>
                <w:lang w:val="hr-HR"/>
              </w:rPr>
            </w:pPr>
            <w:r w:rsidRPr="0046584E">
              <w:rPr>
                <w:rFonts w:ascii="Arial" w:hAnsi="Arial" w:cs="Arial"/>
                <w:color w:val="000000" w:themeColor="text1"/>
                <w:sz w:val="20"/>
                <w:szCs w:val="20"/>
                <w:lang w:val="hr-HR"/>
              </w:rPr>
              <w:t>(31.697)</w:t>
            </w:r>
          </w:p>
        </w:tc>
      </w:tr>
      <w:tr w:rsidR="004E2F51" w:rsidRPr="003364B5" w14:paraId="4E7F3195" w14:textId="77777777" w:rsidTr="00E032FC">
        <w:trPr>
          <w:trHeight w:val="279"/>
        </w:trPr>
        <w:tc>
          <w:tcPr>
            <w:tcW w:w="4111" w:type="dxa"/>
            <w:tcBorders>
              <w:top w:val="nil"/>
              <w:left w:val="nil"/>
              <w:bottom w:val="nil"/>
              <w:right w:val="nil"/>
            </w:tcBorders>
            <w:shd w:val="clear" w:color="auto" w:fill="auto"/>
            <w:vAlign w:val="center"/>
            <w:hideMark/>
          </w:tcPr>
          <w:p w14:paraId="11A3F2D0" w14:textId="77777777" w:rsidR="004E2F51" w:rsidRPr="004B4498" w:rsidRDefault="004E2F51" w:rsidP="00E032FC">
            <w:pPr>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Imovina koja je izložena kreditnom riziku</w:t>
            </w:r>
          </w:p>
        </w:tc>
        <w:tc>
          <w:tcPr>
            <w:tcW w:w="1387" w:type="dxa"/>
            <w:tcBorders>
              <w:top w:val="single" w:sz="4" w:space="0" w:color="auto"/>
              <w:left w:val="nil"/>
              <w:bottom w:val="single" w:sz="12" w:space="0" w:color="auto"/>
              <w:right w:val="nil"/>
            </w:tcBorders>
            <w:shd w:val="clear" w:color="auto" w:fill="auto"/>
            <w:vAlign w:val="bottom"/>
          </w:tcPr>
          <w:p w14:paraId="59A6D121" w14:textId="77777777" w:rsidR="004E2F51" w:rsidRPr="004B4498" w:rsidRDefault="004E2F51" w:rsidP="00E032FC">
            <w:pPr>
              <w:jc w:val="right"/>
              <w:rPr>
                <w:rFonts w:ascii="Arial" w:hAnsi="Arial" w:cs="Arial"/>
                <w:b/>
                <w:bCs/>
                <w:color w:val="000000" w:themeColor="text1"/>
                <w:sz w:val="20"/>
                <w:szCs w:val="20"/>
                <w:lang w:val="hr-HR"/>
              </w:rPr>
            </w:pPr>
            <w:r w:rsidRPr="00165E42">
              <w:rPr>
                <w:rFonts w:ascii="Arial" w:hAnsi="Arial" w:cs="Arial"/>
                <w:b/>
                <w:bCs/>
                <w:color w:val="000000" w:themeColor="text1"/>
                <w:sz w:val="20"/>
                <w:szCs w:val="20"/>
                <w:lang w:val="hr-HR"/>
              </w:rPr>
              <w:t>9.718</w:t>
            </w:r>
          </w:p>
        </w:tc>
        <w:tc>
          <w:tcPr>
            <w:tcW w:w="1387" w:type="dxa"/>
            <w:tcBorders>
              <w:top w:val="single" w:sz="4" w:space="0" w:color="auto"/>
              <w:left w:val="nil"/>
              <w:bottom w:val="single" w:sz="12" w:space="0" w:color="auto"/>
              <w:right w:val="nil"/>
            </w:tcBorders>
            <w:shd w:val="clear" w:color="auto" w:fill="auto"/>
            <w:vAlign w:val="bottom"/>
          </w:tcPr>
          <w:p w14:paraId="6FB1C856" w14:textId="77777777" w:rsidR="004E2F51" w:rsidRPr="004B4498" w:rsidRDefault="004E2F51" w:rsidP="00E032FC">
            <w:pPr>
              <w:jc w:val="right"/>
              <w:rPr>
                <w:rFonts w:ascii="Arial" w:hAnsi="Arial" w:cs="Arial"/>
                <w:b/>
                <w:bCs/>
                <w:color w:val="000000" w:themeColor="text1"/>
                <w:sz w:val="20"/>
                <w:szCs w:val="20"/>
                <w:lang w:val="hr-HR"/>
              </w:rPr>
            </w:pPr>
            <w:r w:rsidRPr="0046584E">
              <w:rPr>
                <w:rFonts w:ascii="Arial" w:hAnsi="Arial" w:cs="Arial"/>
                <w:b/>
                <w:bCs/>
                <w:color w:val="000000" w:themeColor="text1"/>
                <w:sz w:val="20"/>
                <w:szCs w:val="20"/>
                <w:lang w:val="hr-HR"/>
              </w:rPr>
              <w:t>7.311</w:t>
            </w:r>
          </w:p>
        </w:tc>
        <w:tc>
          <w:tcPr>
            <w:tcW w:w="1387" w:type="dxa"/>
            <w:tcBorders>
              <w:top w:val="single" w:sz="4" w:space="0" w:color="auto"/>
              <w:left w:val="nil"/>
              <w:bottom w:val="single" w:sz="12" w:space="0" w:color="auto"/>
              <w:right w:val="nil"/>
            </w:tcBorders>
            <w:shd w:val="clear" w:color="auto" w:fill="auto"/>
            <w:vAlign w:val="bottom"/>
          </w:tcPr>
          <w:p w14:paraId="125F73EC" w14:textId="77777777" w:rsidR="004E2F51" w:rsidRPr="004B4498" w:rsidRDefault="004E2F51" w:rsidP="00E032FC">
            <w:pPr>
              <w:jc w:val="right"/>
              <w:rPr>
                <w:rFonts w:ascii="Arial" w:hAnsi="Arial" w:cs="Arial"/>
                <w:b/>
                <w:bCs/>
                <w:color w:val="000000" w:themeColor="text1"/>
                <w:sz w:val="20"/>
                <w:szCs w:val="20"/>
                <w:lang w:val="hr-HR"/>
              </w:rPr>
            </w:pPr>
            <w:r w:rsidRPr="00165E42">
              <w:rPr>
                <w:rFonts w:ascii="Arial" w:hAnsi="Arial" w:cs="Arial"/>
                <w:b/>
                <w:bCs/>
                <w:color w:val="000000" w:themeColor="text1"/>
                <w:sz w:val="20"/>
                <w:szCs w:val="20"/>
                <w:lang w:val="hr-HR"/>
              </w:rPr>
              <w:t>3.74</w:t>
            </w:r>
            <w:r>
              <w:rPr>
                <w:rFonts w:ascii="Arial" w:hAnsi="Arial" w:cs="Arial"/>
                <w:b/>
                <w:bCs/>
                <w:color w:val="000000" w:themeColor="text1"/>
                <w:sz w:val="20"/>
                <w:szCs w:val="20"/>
                <w:lang w:val="hr-HR"/>
              </w:rPr>
              <w:t>5</w:t>
            </w:r>
          </w:p>
        </w:tc>
        <w:tc>
          <w:tcPr>
            <w:tcW w:w="1387" w:type="dxa"/>
            <w:tcBorders>
              <w:top w:val="single" w:sz="4" w:space="0" w:color="auto"/>
              <w:left w:val="nil"/>
              <w:bottom w:val="single" w:sz="12" w:space="0" w:color="auto"/>
              <w:right w:val="nil"/>
            </w:tcBorders>
            <w:shd w:val="clear" w:color="auto" w:fill="auto"/>
            <w:vAlign w:val="bottom"/>
          </w:tcPr>
          <w:p w14:paraId="72EECEC4" w14:textId="77777777" w:rsidR="004E2F51" w:rsidRPr="004B4498" w:rsidRDefault="004E2F51" w:rsidP="00E032FC">
            <w:pPr>
              <w:jc w:val="right"/>
              <w:rPr>
                <w:rFonts w:ascii="Arial" w:hAnsi="Arial" w:cs="Arial"/>
                <w:b/>
                <w:bCs/>
                <w:color w:val="000000" w:themeColor="text1"/>
                <w:sz w:val="20"/>
                <w:szCs w:val="20"/>
                <w:lang w:val="hr-HR"/>
              </w:rPr>
            </w:pPr>
            <w:r w:rsidRPr="0046584E">
              <w:rPr>
                <w:rFonts w:ascii="Arial" w:hAnsi="Arial" w:cs="Arial"/>
                <w:b/>
                <w:bCs/>
                <w:color w:val="000000" w:themeColor="text1"/>
                <w:sz w:val="20"/>
                <w:szCs w:val="20"/>
                <w:lang w:val="hr-HR"/>
              </w:rPr>
              <w:t>4.699</w:t>
            </w:r>
          </w:p>
        </w:tc>
      </w:tr>
    </w:tbl>
    <w:p w14:paraId="009E0F0E"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4AB42B1B"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Promjene na rezerviranjima za očekivane gubitke po ostaloj imovini mogu se prikazati:</w:t>
      </w:r>
    </w:p>
    <w:p w14:paraId="7CE68C4A" w14:textId="77777777" w:rsidR="004E2F51" w:rsidRPr="004B4498" w:rsidRDefault="004E2F51" w:rsidP="004E2F51">
      <w:pPr>
        <w:pStyle w:val="T1"/>
        <w:spacing w:before="0" w:after="0" w:line="240" w:lineRule="auto"/>
        <w:rPr>
          <w:rFonts w:cs="Arial"/>
          <w:b w:val="0"/>
          <w:bCs w:val="0"/>
          <w:color w:val="000000" w:themeColor="text1"/>
          <w:sz w:val="20"/>
          <w:lang w:val="hr-HR"/>
        </w:rPr>
      </w:pPr>
    </w:p>
    <w:tbl>
      <w:tblPr>
        <w:tblW w:w="5164" w:type="pct"/>
        <w:tblInd w:w="-142" w:type="dxa"/>
        <w:tblLayout w:type="fixed"/>
        <w:tblLook w:val="04A0" w:firstRow="1" w:lastRow="0" w:firstColumn="1" w:lastColumn="0" w:noHBand="0" w:noVBand="1"/>
      </w:tblPr>
      <w:tblGrid>
        <w:gridCol w:w="4365"/>
        <w:gridCol w:w="1300"/>
        <w:gridCol w:w="1484"/>
        <w:gridCol w:w="1215"/>
        <w:gridCol w:w="1298"/>
      </w:tblGrid>
      <w:tr w:rsidR="004E2F51" w:rsidRPr="003364B5" w14:paraId="5A9D8CC5" w14:textId="77777777" w:rsidTr="00E032FC">
        <w:trPr>
          <w:trHeight w:val="247"/>
        </w:trPr>
        <w:tc>
          <w:tcPr>
            <w:tcW w:w="4365" w:type="dxa"/>
            <w:tcBorders>
              <w:top w:val="nil"/>
              <w:left w:val="nil"/>
              <w:bottom w:val="nil"/>
              <w:right w:val="nil"/>
            </w:tcBorders>
            <w:shd w:val="clear" w:color="auto" w:fill="auto"/>
            <w:noWrap/>
            <w:vAlign w:val="bottom"/>
            <w:hideMark/>
          </w:tcPr>
          <w:p w14:paraId="33A0E440" w14:textId="77777777" w:rsidR="004E2F51" w:rsidRPr="004B4498" w:rsidRDefault="004E2F51" w:rsidP="00E032FC">
            <w:pPr>
              <w:rPr>
                <w:rFonts w:ascii="Arial" w:eastAsia="Calibri" w:hAnsi="Arial" w:cs="Arial"/>
                <w:color w:val="000000" w:themeColor="text1"/>
                <w:sz w:val="20"/>
                <w:szCs w:val="20"/>
                <w:lang w:val="hr-HR"/>
              </w:rPr>
            </w:pPr>
          </w:p>
        </w:tc>
        <w:tc>
          <w:tcPr>
            <w:tcW w:w="2784" w:type="dxa"/>
            <w:gridSpan w:val="2"/>
            <w:tcBorders>
              <w:top w:val="nil"/>
              <w:left w:val="nil"/>
              <w:bottom w:val="nil"/>
              <w:right w:val="nil"/>
            </w:tcBorders>
            <w:shd w:val="clear" w:color="auto" w:fill="auto"/>
            <w:vAlign w:val="center"/>
            <w:hideMark/>
          </w:tcPr>
          <w:p w14:paraId="3E613E59" w14:textId="77777777" w:rsidR="004E2F51" w:rsidRPr="004B4498" w:rsidRDefault="004E2F51" w:rsidP="00E032FC">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Grupa</w:t>
            </w:r>
          </w:p>
        </w:tc>
        <w:tc>
          <w:tcPr>
            <w:tcW w:w="2513" w:type="dxa"/>
            <w:gridSpan w:val="2"/>
            <w:tcBorders>
              <w:top w:val="nil"/>
              <w:left w:val="nil"/>
              <w:bottom w:val="nil"/>
              <w:right w:val="nil"/>
            </w:tcBorders>
            <w:shd w:val="clear" w:color="auto" w:fill="auto"/>
            <w:vAlign w:val="center"/>
            <w:hideMark/>
          </w:tcPr>
          <w:p w14:paraId="33A1A0AB" w14:textId="77777777" w:rsidR="004E2F51" w:rsidRPr="004B4498" w:rsidRDefault="004E2F51" w:rsidP="00E032FC">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Banka</w:t>
            </w:r>
          </w:p>
        </w:tc>
      </w:tr>
      <w:tr w:rsidR="004E2F51" w:rsidRPr="003364B5" w14:paraId="712EC1CD" w14:textId="77777777" w:rsidTr="00E032FC">
        <w:trPr>
          <w:trHeight w:val="247"/>
        </w:trPr>
        <w:tc>
          <w:tcPr>
            <w:tcW w:w="4365" w:type="dxa"/>
            <w:tcBorders>
              <w:top w:val="nil"/>
              <w:left w:val="nil"/>
              <w:bottom w:val="nil"/>
              <w:right w:val="nil"/>
            </w:tcBorders>
            <w:shd w:val="clear" w:color="auto" w:fill="auto"/>
            <w:noWrap/>
            <w:vAlign w:val="bottom"/>
          </w:tcPr>
          <w:p w14:paraId="692E5ACC" w14:textId="77777777" w:rsidR="004E2F51" w:rsidRPr="004B4498" w:rsidRDefault="004E2F51" w:rsidP="00E032FC">
            <w:pPr>
              <w:rPr>
                <w:rFonts w:ascii="Arial" w:eastAsia="Calibri" w:hAnsi="Arial" w:cs="Arial"/>
                <w:color w:val="000000" w:themeColor="text1"/>
                <w:sz w:val="20"/>
                <w:szCs w:val="20"/>
                <w:lang w:val="hr-HR"/>
              </w:rPr>
            </w:pPr>
          </w:p>
        </w:tc>
        <w:tc>
          <w:tcPr>
            <w:tcW w:w="1300" w:type="dxa"/>
            <w:vAlign w:val="bottom"/>
          </w:tcPr>
          <w:p w14:paraId="325E4044" w14:textId="77777777" w:rsidR="004E2F51" w:rsidRPr="004B4498" w:rsidRDefault="004E2F51" w:rsidP="00E032FC">
            <w:pPr>
              <w:tabs>
                <w:tab w:val="right" w:pos="1202"/>
              </w:tabs>
              <w:jc w:val="right"/>
              <w:outlineLvl w:val="0"/>
              <w:rPr>
                <w:rFonts w:ascii="Arial" w:hAnsi="Arial" w:cs="Arial"/>
                <w:b/>
                <w:color w:val="000000" w:themeColor="text1"/>
                <w:sz w:val="20"/>
                <w:szCs w:val="20"/>
                <w:lang w:val="hr-HR"/>
              </w:rPr>
            </w:pPr>
            <w:bookmarkStart w:id="1207" w:name="_Toc67328685"/>
            <w:r w:rsidRPr="004B4498">
              <w:rPr>
                <w:rFonts w:ascii="Arial" w:hAnsi="Arial" w:cs="Arial"/>
                <w:b/>
                <w:color w:val="000000" w:themeColor="text1"/>
                <w:sz w:val="20"/>
                <w:szCs w:val="20"/>
                <w:lang w:val="hr-HR"/>
              </w:rPr>
              <w:t>1.1.-31.12.</w:t>
            </w:r>
            <w:bookmarkEnd w:id="1207"/>
          </w:p>
          <w:p w14:paraId="64D449B7" w14:textId="77777777" w:rsidR="004E2F51" w:rsidRPr="004B4498" w:rsidRDefault="004E2F51" w:rsidP="00E032FC">
            <w:pPr>
              <w:tabs>
                <w:tab w:val="right" w:pos="1202"/>
              </w:tabs>
              <w:jc w:val="right"/>
              <w:outlineLvl w:val="0"/>
              <w:rPr>
                <w:rFonts w:ascii="Arial" w:hAnsi="Arial" w:cs="Arial"/>
                <w:b/>
                <w:color w:val="000000" w:themeColor="text1"/>
                <w:sz w:val="20"/>
                <w:szCs w:val="20"/>
                <w:lang w:val="hr-HR"/>
              </w:rPr>
            </w:pPr>
            <w:bookmarkStart w:id="1208" w:name="_Toc67328686"/>
            <w:r w:rsidRPr="004B4498">
              <w:rPr>
                <w:rFonts w:ascii="Arial" w:hAnsi="Arial" w:cs="Arial"/>
                <w:b/>
                <w:color w:val="000000" w:themeColor="text1"/>
                <w:sz w:val="20"/>
                <w:szCs w:val="20"/>
                <w:lang w:val="hr-HR"/>
              </w:rPr>
              <w:t>202</w:t>
            </w:r>
            <w:r>
              <w:rPr>
                <w:rFonts w:ascii="Arial" w:hAnsi="Arial" w:cs="Arial"/>
                <w:b/>
                <w:color w:val="000000" w:themeColor="text1"/>
                <w:sz w:val="20"/>
                <w:szCs w:val="20"/>
                <w:lang w:val="hr-HR"/>
              </w:rPr>
              <w:t>2</w:t>
            </w:r>
            <w:r w:rsidRPr="004B4498">
              <w:rPr>
                <w:rFonts w:ascii="Arial" w:hAnsi="Arial" w:cs="Arial"/>
                <w:b/>
                <w:color w:val="000000" w:themeColor="text1"/>
                <w:sz w:val="20"/>
                <w:szCs w:val="20"/>
                <w:lang w:val="hr-HR"/>
              </w:rPr>
              <w:t>.</w:t>
            </w:r>
            <w:bookmarkEnd w:id="1208"/>
          </w:p>
        </w:tc>
        <w:tc>
          <w:tcPr>
            <w:tcW w:w="1484" w:type="dxa"/>
            <w:vAlign w:val="bottom"/>
          </w:tcPr>
          <w:p w14:paraId="3F1CE997" w14:textId="77777777" w:rsidR="004E2F51" w:rsidRPr="004B4498" w:rsidRDefault="004E2F51" w:rsidP="00E032FC">
            <w:pPr>
              <w:tabs>
                <w:tab w:val="right" w:pos="1202"/>
              </w:tabs>
              <w:jc w:val="right"/>
              <w:outlineLvl w:val="0"/>
              <w:rPr>
                <w:rFonts w:ascii="Arial" w:hAnsi="Arial" w:cs="Arial"/>
                <w:b/>
                <w:color w:val="000000" w:themeColor="text1"/>
                <w:sz w:val="20"/>
                <w:szCs w:val="20"/>
                <w:lang w:val="hr-HR"/>
              </w:rPr>
            </w:pPr>
            <w:bookmarkStart w:id="1209" w:name="_Toc67328687"/>
            <w:r w:rsidRPr="004B4498">
              <w:rPr>
                <w:rFonts w:ascii="Arial" w:hAnsi="Arial" w:cs="Arial"/>
                <w:b/>
                <w:color w:val="000000" w:themeColor="text1"/>
                <w:sz w:val="20"/>
                <w:szCs w:val="20"/>
                <w:lang w:val="hr-HR"/>
              </w:rPr>
              <w:t>1.1.-31.12.</w:t>
            </w:r>
            <w:bookmarkEnd w:id="1209"/>
          </w:p>
          <w:p w14:paraId="533A2636" w14:textId="77777777" w:rsidR="004E2F51" w:rsidRPr="004B4498" w:rsidRDefault="004E2F51" w:rsidP="00E032FC">
            <w:pPr>
              <w:tabs>
                <w:tab w:val="right" w:pos="1202"/>
              </w:tabs>
              <w:jc w:val="right"/>
              <w:outlineLvl w:val="0"/>
              <w:rPr>
                <w:rFonts w:ascii="Arial" w:hAnsi="Arial" w:cs="Arial"/>
                <w:b/>
                <w:color w:val="000000" w:themeColor="text1"/>
                <w:sz w:val="20"/>
                <w:szCs w:val="20"/>
                <w:lang w:val="hr-HR"/>
              </w:rPr>
            </w:pPr>
            <w:bookmarkStart w:id="1210" w:name="_Toc67328688"/>
            <w:r w:rsidRPr="004B4498">
              <w:rPr>
                <w:rFonts w:ascii="Arial" w:hAnsi="Arial" w:cs="Arial"/>
                <w:b/>
                <w:color w:val="000000" w:themeColor="text1"/>
                <w:sz w:val="20"/>
                <w:szCs w:val="20"/>
                <w:lang w:val="hr-HR"/>
              </w:rPr>
              <w:t>202</w:t>
            </w:r>
            <w:r>
              <w:rPr>
                <w:rFonts w:ascii="Arial" w:hAnsi="Arial" w:cs="Arial"/>
                <w:b/>
                <w:color w:val="000000" w:themeColor="text1"/>
                <w:sz w:val="20"/>
                <w:szCs w:val="20"/>
                <w:lang w:val="hr-HR"/>
              </w:rPr>
              <w:t>1</w:t>
            </w:r>
            <w:r w:rsidRPr="004B4498">
              <w:rPr>
                <w:rFonts w:ascii="Arial" w:hAnsi="Arial" w:cs="Arial"/>
                <w:b/>
                <w:color w:val="000000" w:themeColor="text1"/>
                <w:sz w:val="20"/>
                <w:szCs w:val="20"/>
                <w:lang w:val="hr-HR"/>
              </w:rPr>
              <w:t>.</w:t>
            </w:r>
            <w:bookmarkEnd w:id="1210"/>
          </w:p>
        </w:tc>
        <w:tc>
          <w:tcPr>
            <w:tcW w:w="1215" w:type="dxa"/>
            <w:vAlign w:val="bottom"/>
          </w:tcPr>
          <w:p w14:paraId="78D8D615" w14:textId="77777777" w:rsidR="004E2F51" w:rsidRPr="004B4498" w:rsidRDefault="004E2F51" w:rsidP="00E032FC">
            <w:pPr>
              <w:tabs>
                <w:tab w:val="right" w:pos="1202"/>
              </w:tabs>
              <w:jc w:val="right"/>
              <w:outlineLvl w:val="0"/>
              <w:rPr>
                <w:rFonts w:ascii="Arial" w:hAnsi="Arial" w:cs="Arial"/>
                <w:b/>
                <w:color w:val="000000" w:themeColor="text1"/>
                <w:sz w:val="20"/>
                <w:szCs w:val="20"/>
                <w:lang w:val="hr-HR"/>
              </w:rPr>
            </w:pPr>
            <w:bookmarkStart w:id="1211" w:name="_Toc67328689"/>
            <w:r w:rsidRPr="004B4498">
              <w:rPr>
                <w:rFonts w:ascii="Arial" w:hAnsi="Arial" w:cs="Arial"/>
                <w:b/>
                <w:color w:val="000000" w:themeColor="text1"/>
                <w:sz w:val="20"/>
                <w:szCs w:val="20"/>
                <w:lang w:val="hr-HR"/>
              </w:rPr>
              <w:t>1.1.-31.12.</w:t>
            </w:r>
            <w:bookmarkEnd w:id="1211"/>
          </w:p>
          <w:p w14:paraId="3199D61F" w14:textId="77777777" w:rsidR="004E2F51" w:rsidRPr="004B4498" w:rsidRDefault="004E2F51" w:rsidP="00E032FC">
            <w:pPr>
              <w:tabs>
                <w:tab w:val="right" w:pos="1202"/>
              </w:tabs>
              <w:jc w:val="right"/>
              <w:outlineLvl w:val="0"/>
              <w:rPr>
                <w:rFonts w:ascii="Arial" w:hAnsi="Arial" w:cs="Arial"/>
                <w:b/>
                <w:color w:val="000000" w:themeColor="text1"/>
                <w:sz w:val="20"/>
                <w:szCs w:val="20"/>
                <w:lang w:val="hr-HR"/>
              </w:rPr>
            </w:pPr>
            <w:bookmarkStart w:id="1212" w:name="_Toc67328690"/>
            <w:r w:rsidRPr="004B4498">
              <w:rPr>
                <w:rFonts w:ascii="Arial" w:hAnsi="Arial" w:cs="Arial"/>
                <w:b/>
                <w:color w:val="000000" w:themeColor="text1"/>
                <w:sz w:val="20"/>
                <w:szCs w:val="20"/>
                <w:lang w:val="hr-HR"/>
              </w:rPr>
              <w:t>202</w:t>
            </w:r>
            <w:r>
              <w:rPr>
                <w:rFonts w:ascii="Arial" w:hAnsi="Arial" w:cs="Arial"/>
                <w:b/>
                <w:color w:val="000000" w:themeColor="text1"/>
                <w:sz w:val="20"/>
                <w:szCs w:val="20"/>
                <w:lang w:val="hr-HR"/>
              </w:rPr>
              <w:t>2</w:t>
            </w:r>
            <w:r w:rsidRPr="004B4498">
              <w:rPr>
                <w:rFonts w:ascii="Arial" w:hAnsi="Arial" w:cs="Arial"/>
                <w:b/>
                <w:color w:val="000000" w:themeColor="text1"/>
                <w:sz w:val="20"/>
                <w:szCs w:val="20"/>
                <w:lang w:val="hr-HR"/>
              </w:rPr>
              <w:t>.</w:t>
            </w:r>
            <w:bookmarkEnd w:id="1212"/>
          </w:p>
        </w:tc>
        <w:tc>
          <w:tcPr>
            <w:tcW w:w="1298" w:type="dxa"/>
            <w:vAlign w:val="bottom"/>
          </w:tcPr>
          <w:p w14:paraId="75B82BB7" w14:textId="77777777" w:rsidR="004E2F51" w:rsidRPr="004B4498" w:rsidRDefault="004E2F51" w:rsidP="00E032FC">
            <w:pPr>
              <w:tabs>
                <w:tab w:val="right" w:pos="1202"/>
              </w:tabs>
              <w:jc w:val="right"/>
              <w:outlineLvl w:val="0"/>
              <w:rPr>
                <w:rFonts w:ascii="Arial" w:hAnsi="Arial" w:cs="Arial"/>
                <w:b/>
                <w:color w:val="000000" w:themeColor="text1"/>
                <w:sz w:val="20"/>
                <w:szCs w:val="20"/>
                <w:lang w:val="hr-HR"/>
              </w:rPr>
            </w:pPr>
            <w:bookmarkStart w:id="1213" w:name="_Toc67328691"/>
            <w:r w:rsidRPr="004B4498">
              <w:rPr>
                <w:rFonts w:ascii="Arial" w:hAnsi="Arial" w:cs="Arial"/>
                <w:b/>
                <w:color w:val="000000" w:themeColor="text1"/>
                <w:sz w:val="20"/>
                <w:szCs w:val="20"/>
                <w:lang w:val="hr-HR"/>
              </w:rPr>
              <w:t>1.1.-31.12.</w:t>
            </w:r>
            <w:bookmarkEnd w:id="1213"/>
          </w:p>
          <w:p w14:paraId="3571FE1F" w14:textId="77777777" w:rsidR="004E2F51" w:rsidRPr="004B4498" w:rsidRDefault="004E2F51" w:rsidP="00E032FC">
            <w:pPr>
              <w:tabs>
                <w:tab w:val="right" w:pos="1202"/>
              </w:tabs>
              <w:jc w:val="right"/>
              <w:outlineLvl w:val="0"/>
              <w:rPr>
                <w:rFonts w:ascii="Arial" w:hAnsi="Arial" w:cs="Arial"/>
                <w:b/>
                <w:color w:val="000000" w:themeColor="text1"/>
                <w:sz w:val="20"/>
                <w:szCs w:val="20"/>
                <w:lang w:val="hr-HR"/>
              </w:rPr>
            </w:pPr>
            <w:bookmarkStart w:id="1214" w:name="_Toc67328692"/>
            <w:r w:rsidRPr="004B4498">
              <w:rPr>
                <w:rFonts w:ascii="Arial" w:hAnsi="Arial" w:cs="Arial"/>
                <w:b/>
                <w:color w:val="000000" w:themeColor="text1"/>
                <w:sz w:val="20"/>
                <w:szCs w:val="20"/>
                <w:lang w:val="hr-HR"/>
              </w:rPr>
              <w:t>202</w:t>
            </w:r>
            <w:r>
              <w:rPr>
                <w:rFonts w:ascii="Arial" w:hAnsi="Arial" w:cs="Arial"/>
                <w:b/>
                <w:color w:val="000000" w:themeColor="text1"/>
                <w:sz w:val="20"/>
                <w:szCs w:val="20"/>
                <w:lang w:val="hr-HR"/>
              </w:rPr>
              <w:t>1</w:t>
            </w:r>
            <w:r w:rsidRPr="004B4498">
              <w:rPr>
                <w:rFonts w:ascii="Arial" w:hAnsi="Arial" w:cs="Arial"/>
                <w:b/>
                <w:color w:val="000000" w:themeColor="text1"/>
                <w:sz w:val="20"/>
                <w:szCs w:val="20"/>
                <w:lang w:val="hr-HR"/>
              </w:rPr>
              <w:t>.</w:t>
            </w:r>
            <w:bookmarkEnd w:id="1214"/>
          </w:p>
        </w:tc>
      </w:tr>
      <w:tr w:rsidR="004E2F51" w:rsidRPr="003364B5" w14:paraId="3DBC0FBA" w14:textId="77777777" w:rsidTr="00E032FC">
        <w:trPr>
          <w:trHeight w:val="234"/>
        </w:trPr>
        <w:tc>
          <w:tcPr>
            <w:tcW w:w="4365" w:type="dxa"/>
            <w:tcBorders>
              <w:top w:val="nil"/>
              <w:left w:val="nil"/>
              <w:bottom w:val="nil"/>
              <w:right w:val="nil"/>
            </w:tcBorders>
            <w:shd w:val="clear" w:color="auto" w:fill="auto"/>
            <w:vAlign w:val="center"/>
            <w:hideMark/>
          </w:tcPr>
          <w:p w14:paraId="29CDCDCF" w14:textId="77777777" w:rsidR="004E2F51" w:rsidRPr="004B4498" w:rsidRDefault="004E2F51" w:rsidP="00E032FC">
            <w:pPr>
              <w:jc w:val="right"/>
              <w:rPr>
                <w:rFonts w:ascii="Arial" w:eastAsia="Calibri" w:hAnsi="Arial" w:cs="Arial"/>
                <w:b/>
                <w:bCs/>
                <w:color w:val="000000" w:themeColor="text1"/>
                <w:sz w:val="20"/>
                <w:szCs w:val="20"/>
                <w:lang w:val="hr-HR"/>
              </w:rPr>
            </w:pPr>
          </w:p>
        </w:tc>
        <w:tc>
          <w:tcPr>
            <w:tcW w:w="1300" w:type="dxa"/>
            <w:tcBorders>
              <w:top w:val="nil"/>
              <w:left w:val="nil"/>
              <w:bottom w:val="nil"/>
              <w:right w:val="nil"/>
            </w:tcBorders>
            <w:shd w:val="clear" w:color="auto" w:fill="auto"/>
            <w:vAlign w:val="center"/>
            <w:hideMark/>
          </w:tcPr>
          <w:p w14:paraId="575D4D3F" w14:textId="77777777" w:rsidR="004E2F51" w:rsidRPr="004B4498" w:rsidRDefault="004E2F51" w:rsidP="00E032FC">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000 kuna</w:t>
            </w:r>
          </w:p>
        </w:tc>
        <w:tc>
          <w:tcPr>
            <w:tcW w:w="1484" w:type="dxa"/>
            <w:tcBorders>
              <w:top w:val="nil"/>
              <w:left w:val="nil"/>
              <w:bottom w:val="nil"/>
              <w:right w:val="nil"/>
            </w:tcBorders>
            <w:shd w:val="clear" w:color="auto" w:fill="auto"/>
            <w:vAlign w:val="center"/>
          </w:tcPr>
          <w:p w14:paraId="31695BEE" w14:textId="77777777" w:rsidR="004E2F51" w:rsidRPr="004B4498" w:rsidRDefault="004E2F51" w:rsidP="00E032FC">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000 kuna</w:t>
            </w:r>
          </w:p>
        </w:tc>
        <w:tc>
          <w:tcPr>
            <w:tcW w:w="1215" w:type="dxa"/>
            <w:tcBorders>
              <w:top w:val="nil"/>
              <w:left w:val="nil"/>
              <w:bottom w:val="nil"/>
              <w:right w:val="nil"/>
            </w:tcBorders>
            <w:shd w:val="clear" w:color="auto" w:fill="auto"/>
            <w:vAlign w:val="center"/>
            <w:hideMark/>
          </w:tcPr>
          <w:p w14:paraId="31F87E79" w14:textId="77777777" w:rsidR="004E2F51" w:rsidRPr="004B4498" w:rsidRDefault="004E2F51" w:rsidP="00E032FC">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000 kuna</w:t>
            </w:r>
          </w:p>
        </w:tc>
        <w:tc>
          <w:tcPr>
            <w:tcW w:w="1298" w:type="dxa"/>
            <w:tcBorders>
              <w:top w:val="nil"/>
              <w:left w:val="nil"/>
              <w:right w:val="nil"/>
            </w:tcBorders>
            <w:shd w:val="clear" w:color="auto" w:fill="auto"/>
            <w:vAlign w:val="center"/>
          </w:tcPr>
          <w:p w14:paraId="2518A699" w14:textId="77777777" w:rsidR="004E2F51" w:rsidRPr="004B4498" w:rsidRDefault="004E2F51" w:rsidP="00E032FC">
            <w:pPr>
              <w:jc w:val="right"/>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000 kuna</w:t>
            </w:r>
          </w:p>
        </w:tc>
      </w:tr>
      <w:tr w:rsidR="004E2F51" w:rsidRPr="003364B5" w14:paraId="2ED82442" w14:textId="77777777" w:rsidTr="00E032FC">
        <w:trPr>
          <w:trHeight w:val="385"/>
        </w:trPr>
        <w:tc>
          <w:tcPr>
            <w:tcW w:w="4365" w:type="dxa"/>
            <w:tcBorders>
              <w:top w:val="nil"/>
              <w:left w:val="nil"/>
              <w:bottom w:val="nil"/>
              <w:right w:val="nil"/>
            </w:tcBorders>
            <w:shd w:val="clear" w:color="auto" w:fill="auto"/>
            <w:vAlign w:val="bottom"/>
          </w:tcPr>
          <w:p w14:paraId="72B42BBB" w14:textId="77777777" w:rsidR="004E2F51" w:rsidRPr="004B4498" w:rsidRDefault="004E2F51" w:rsidP="00E032FC">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Stanje 1. siječnja</w:t>
            </w:r>
          </w:p>
        </w:tc>
        <w:tc>
          <w:tcPr>
            <w:tcW w:w="1300" w:type="dxa"/>
            <w:tcBorders>
              <w:top w:val="nil"/>
              <w:left w:val="nil"/>
              <w:bottom w:val="nil"/>
              <w:right w:val="nil"/>
            </w:tcBorders>
            <w:shd w:val="clear" w:color="auto" w:fill="auto"/>
            <w:noWrap/>
            <w:vAlign w:val="bottom"/>
          </w:tcPr>
          <w:p w14:paraId="04FEAAFC" w14:textId="77777777" w:rsidR="004E2F51" w:rsidRPr="004B4498" w:rsidRDefault="004E2F51" w:rsidP="00E032FC">
            <w:pPr>
              <w:jc w:val="right"/>
              <w:rPr>
                <w:rFonts w:ascii="Arial" w:eastAsia="Calibri" w:hAnsi="Arial" w:cs="Arial"/>
                <w:color w:val="000000" w:themeColor="text1"/>
                <w:sz w:val="20"/>
                <w:szCs w:val="20"/>
                <w:lang w:val="hr-HR"/>
              </w:rPr>
            </w:pPr>
            <w:r w:rsidRPr="00165E42">
              <w:rPr>
                <w:rFonts w:ascii="Arial" w:eastAsia="Calibri" w:hAnsi="Arial" w:cs="Arial"/>
                <w:color w:val="000000" w:themeColor="text1"/>
                <w:sz w:val="20"/>
                <w:szCs w:val="20"/>
                <w:lang w:val="hr-HR"/>
              </w:rPr>
              <w:t>31.851</w:t>
            </w:r>
          </w:p>
        </w:tc>
        <w:tc>
          <w:tcPr>
            <w:tcW w:w="1484" w:type="dxa"/>
            <w:tcBorders>
              <w:top w:val="nil"/>
              <w:left w:val="nil"/>
              <w:bottom w:val="nil"/>
              <w:right w:val="nil"/>
            </w:tcBorders>
            <w:shd w:val="clear" w:color="auto" w:fill="auto"/>
            <w:vAlign w:val="bottom"/>
          </w:tcPr>
          <w:p w14:paraId="38F23760" w14:textId="77777777" w:rsidR="004E2F51" w:rsidRPr="004B4498" w:rsidRDefault="004E2F51" w:rsidP="00E032FC">
            <w:pPr>
              <w:jc w:val="right"/>
              <w:rPr>
                <w:rFonts w:ascii="Arial" w:eastAsia="Calibri" w:hAnsi="Arial" w:cs="Arial"/>
                <w:color w:val="000000" w:themeColor="text1"/>
                <w:sz w:val="20"/>
                <w:szCs w:val="20"/>
                <w:lang w:val="hr-HR"/>
              </w:rPr>
            </w:pPr>
            <w:r w:rsidRPr="0046584E">
              <w:rPr>
                <w:rFonts w:ascii="Arial" w:eastAsia="Calibri" w:hAnsi="Arial" w:cs="Arial"/>
                <w:color w:val="000000" w:themeColor="text1"/>
                <w:sz w:val="20"/>
                <w:szCs w:val="20"/>
                <w:lang w:val="hr-HR"/>
              </w:rPr>
              <w:t>34.536</w:t>
            </w:r>
          </w:p>
        </w:tc>
        <w:tc>
          <w:tcPr>
            <w:tcW w:w="1215" w:type="dxa"/>
            <w:tcBorders>
              <w:top w:val="nil"/>
              <w:left w:val="nil"/>
              <w:bottom w:val="nil"/>
              <w:right w:val="nil"/>
            </w:tcBorders>
            <w:shd w:val="clear" w:color="auto" w:fill="auto"/>
            <w:vAlign w:val="bottom"/>
          </w:tcPr>
          <w:p w14:paraId="3F432FB2" w14:textId="77777777" w:rsidR="004E2F51" w:rsidRPr="004B4498" w:rsidRDefault="004E2F51" w:rsidP="00E032FC">
            <w:pPr>
              <w:jc w:val="right"/>
              <w:rPr>
                <w:rFonts w:ascii="Arial" w:eastAsia="Calibri" w:hAnsi="Arial" w:cs="Arial"/>
                <w:color w:val="000000" w:themeColor="text1"/>
                <w:sz w:val="20"/>
                <w:szCs w:val="20"/>
                <w:lang w:val="hr-HR"/>
              </w:rPr>
            </w:pPr>
            <w:r w:rsidRPr="00165E42">
              <w:rPr>
                <w:rFonts w:ascii="Arial" w:eastAsia="Calibri" w:hAnsi="Arial" w:cs="Arial"/>
                <w:color w:val="000000" w:themeColor="text1"/>
                <w:sz w:val="20"/>
                <w:szCs w:val="20"/>
                <w:lang w:val="hr-HR"/>
              </w:rPr>
              <w:t>31.697</w:t>
            </w:r>
          </w:p>
        </w:tc>
        <w:tc>
          <w:tcPr>
            <w:tcW w:w="1298" w:type="dxa"/>
            <w:tcBorders>
              <w:top w:val="nil"/>
              <w:left w:val="nil"/>
              <w:bottom w:val="nil"/>
              <w:right w:val="nil"/>
            </w:tcBorders>
            <w:shd w:val="clear" w:color="000000" w:fill="auto"/>
            <w:vAlign w:val="bottom"/>
          </w:tcPr>
          <w:p w14:paraId="0F89A6FE" w14:textId="77777777" w:rsidR="004E2F51" w:rsidRPr="004B4498" w:rsidRDefault="004E2F51" w:rsidP="00E032FC">
            <w:pPr>
              <w:jc w:val="right"/>
              <w:rPr>
                <w:rFonts w:ascii="Arial" w:eastAsia="Calibri" w:hAnsi="Arial" w:cs="Arial"/>
                <w:color w:val="000000" w:themeColor="text1"/>
                <w:sz w:val="20"/>
                <w:szCs w:val="20"/>
                <w:lang w:val="hr-HR"/>
              </w:rPr>
            </w:pPr>
            <w:r w:rsidRPr="0046584E">
              <w:rPr>
                <w:rFonts w:ascii="Arial" w:eastAsia="Calibri" w:hAnsi="Arial" w:cs="Arial"/>
                <w:color w:val="000000" w:themeColor="text1"/>
                <w:sz w:val="20"/>
                <w:szCs w:val="20"/>
                <w:lang w:val="hr-HR"/>
              </w:rPr>
              <w:t>34.396</w:t>
            </w:r>
          </w:p>
        </w:tc>
      </w:tr>
      <w:tr w:rsidR="004E2F51" w:rsidRPr="003364B5" w14:paraId="471E2A25" w14:textId="77777777" w:rsidTr="00E032FC">
        <w:trPr>
          <w:trHeight w:val="385"/>
        </w:trPr>
        <w:tc>
          <w:tcPr>
            <w:tcW w:w="4365" w:type="dxa"/>
            <w:tcBorders>
              <w:top w:val="nil"/>
              <w:left w:val="nil"/>
              <w:bottom w:val="nil"/>
              <w:right w:val="nil"/>
            </w:tcBorders>
            <w:shd w:val="clear" w:color="auto" w:fill="auto"/>
            <w:vAlign w:val="bottom"/>
          </w:tcPr>
          <w:p w14:paraId="34F3C47B" w14:textId="77777777" w:rsidR="004E2F51" w:rsidRPr="004B4498" w:rsidRDefault="004E2F51" w:rsidP="00E032FC">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 xml:space="preserve">Neto </w:t>
            </w:r>
            <w:r w:rsidRPr="00165E42">
              <w:rPr>
                <w:rFonts w:ascii="Arial" w:eastAsia="Calibri" w:hAnsi="Arial" w:cs="Arial"/>
                <w:color w:val="000000" w:themeColor="text1"/>
                <w:sz w:val="20"/>
                <w:szCs w:val="20"/>
                <w:lang w:val="hr-HR"/>
              </w:rPr>
              <w:t>povećanje/(smanjenje)</w:t>
            </w:r>
            <w:r w:rsidRPr="004B4498">
              <w:rPr>
                <w:rFonts w:ascii="Arial" w:eastAsia="Calibri" w:hAnsi="Arial" w:cs="Arial"/>
                <w:color w:val="000000" w:themeColor="text1"/>
                <w:sz w:val="20"/>
                <w:szCs w:val="20"/>
                <w:lang w:val="hr-HR"/>
              </w:rPr>
              <w:t xml:space="preserve"> rezerviranja za očekivane gubitke po ostaloj imovini</w:t>
            </w:r>
          </w:p>
        </w:tc>
        <w:tc>
          <w:tcPr>
            <w:tcW w:w="1300" w:type="dxa"/>
            <w:tcBorders>
              <w:top w:val="nil"/>
              <w:left w:val="nil"/>
              <w:bottom w:val="nil"/>
              <w:right w:val="nil"/>
            </w:tcBorders>
            <w:shd w:val="clear" w:color="auto" w:fill="auto"/>
            <w:vAlign w:val="bottom"/>
          </w:tcPr>
          <w:p w14:paraId="06C5679F" w14:textId="77777777" w:rsidR="004E2F51" w:rsidRPr="004B4498" w:rsidRDefault="004E2F51" w:rsidP="00E032FC">
            <w:pPr>
              <w:jc w:val="right"/>
              <w:rPr>
                <w:rFonts w:ascii="Arial" w:eastAsia="Calibri" w:hAnsi="Arial" w:cs="Arial"/>
                <w:color w:val="000000" w:themeColor="text1"/>
                <w:sz w:val="20"/>
                <w:szCs w:val="20"/>
                <w:lang w:val="hr-HR"/>
              </w:rPr>
            </w:pPr>
            <w:r w:rsidRPr="00165E42">
              <w:rPr>
                <w:rFonts w:ascii="Arial" w:eastAsia="Calibri" w:hAnsi="Arial" w:cs="Arial"/>
                <w:color w:val="000000" w:themeColor="text1"/>
                <w:sz w:val="20"/>
                <w:szCs w:val="20"/>
                <w:lang w:val="hr-HR"/>
              </w:rPr>
              <w:t>3.764</w:t>
            </w:r>
          </w:p>
        </w:tc>
        <w:tc>
          <w:tcPr>
            <w:tcW w:w="1484" w:type="dxa"/>
            <w:tcBorders>
              <w:top w:val="nil"/>
              <w:left w:val="nil"/>
              <w:bottom w:val="nil"/>
              <w:right w:val="nil"/>
            </w:tcBorders>
            <w:shd w:val="clear" w:color="auto" w:fill="auto"/>
            <w:vAlign w:val="bottom"/>
          </w:tcPr>
          <w:p w14:paraId="5E24F66F" w14:textId="77777777" w:rsidR="004E2F51" w:rsidRPr="004B4498" w:rsidRDefault="004E2F51" w:rsidP="00E032FC">
            <w:pPr>
              <w:jc w:val="right"/>
              <w:rPr>
                <w:rFonts w:ascii="Arial" w:eastAsia="Calibri" w:hAnsi="Arial" w:cs="Arial"/>
                <w:color w:val="000000" w:themeColor="text1"/>
                <w:sz w:val="20"/>
                <w:szCs w:val="20"/>
                <w:lang w:val="hr-HR"/>
              </w:rPr>
            </w:pPr>
            <w:r w:rsidRPr="0046584E">
              <w:rPr>
                <w:rFonts w:ascii="Arial" w:eastAsia="Calibri" w:hAnsi="Arial" w:cs="Arial"/>
                <w:color w:val="000000" w:themeColor="text1"/>
                <w:sz w:val="20"/>
                <w:szCs w:val="20"/>
                <w:lang w:val="hr-HR"/>
              </w:rPr>
              <w:t>(2.542)</w:t>
            </w:r>
          </w:p>
        </w:tc>
        <w:tc>
          <w:tcPr>
            <w:tcW w:w="1215" w:type="dxa"/>
            <w:tcBorders>
              <w:top w:val="nil"/>
              <w:left w:val="nil"/>
              <w:bottom w:val="nil"/>
              <w:right w:val="nil"/>
            </w:tcBorders>
            <w:shd w:val="clear" w:color="auto" w:fill="auto"/>
            <w:vAlign w:val="bottom"/>
          </w:tcPr>
          <w:p w14:paraId="4B0ED897" w14:textId="77777777" w:rsidR="004E2F51" w:rsidRPr="004B4498" w:rsidRDefault="004E2F51" w:rsidP="00E032FC">
            <w:pPr>
              <w:jc w:val="right"/>
              <w:rPr>
                <w:rFonts w:ascii="Arial" w:eastAsia="Calibri" w:hAnsi="Arial" w:cs="Arial"/>
                <w:color w:val="000000" w:themeColor="text1"/>
                <w:sz w:val="20"/>
                <w:szCs w:val="20"/>
                <w:lang w:val="hr-HR"/>
              </w:rPr>
            </w:pPr>
            <w:r w:rsidRPr="00165E42">
              <w:rPr>
                <w:rFonts w:ascii="Arial" w:eastAsia="Calibri" w:hAnsi="Arial" w:cs="Arial"/>
                <w:color w:val="000000" w:themeColor="text1"/>
                <w:sz w:val="20"/>
                <w:szCs w:val="20"/>
                <w:lang w:val="hr-HR"/>
              </w:rPr>
              <w:t>3.731</w:t>
            </w:r>
          </w:p>
        </w:tc>
        <w:tc>
          <w:tcPr>
            <w:tcW w:w="1298" w:type="dxa"/>
            <w:tcBorders>
              <w:top w:val="nil"/>
              <w:left w:val="nil"/>
              <w:bottom w:val="nil"/>
              <w:right w:val="nil"/>
            </w:tcBorders>
            <w:shd w:val="clear" w:color="auto" w:fill="auto"/>
            <w:vAlign w:val="bottom"/>
          </w:tcPr>
          <w:p w14:paraId="1397F1A6" w14:textId="77777777" w:rsidR="004E2F51" w:rsidRPr="004B4498" w:rsidRDefault="004E2F51" w:rsidP="00E032FC">
            <w:pPr>
              <w:jc w:val="right"/>
              <w:rPr>
                <w:rFonts w:ascii="Arial" w:eastAsia="Calibri" w:hAnsi="Arial" w:cs="Arial"/>
                <w:color w:val="000000" w:themeColor="text1"/>
                <w:sz w:val="20"/>
                <w:szCs w:val="20"/>
                <w:lang w:val="hr-HR"/>
              </w:rPr>
            </w:pPr>
            <w:r w:rsidRPr="0046584E">
              <w:rPr>
                <w:rFonts w:ascii="Arial" w:eastAsia="Calibri" w:hAnsi="Arial" w:cs="Arial"/>
                <w:color w:val="000000" w:themeColor="text1"/>
                <w:sz w:val="20"/>
                <w:szCs w:val="20"/>
                <w:lang w:val="hr-HR"/>
              </w:rPr>
              <w:t>(2.551)</w:t>
            </w:r>
          </w:p>
        </w:tc>
      </w:tr>
      <w:tr w:rsidR="004E2F51" w:rsidRPr="003364B5" w14:paraId="20092F7E" w14:textId="77777777" w:rsidTr="00E032FC">
        <w:trPr>
          <w:trHeight w:val="385"/>
        </w:trPr>
        <w:tc>
          <w:tcPr>
            <w:tcW w:w="4365" w:type="dxa"/>
            <w:tcBorders>
              <w:top w:val="nil"/>
              <w:left w:val="nil"/>
              <w:bottom w:val="nil"/>
              <w:right w:val="nil"/>
            </w:tcBorders>
            <w:shd w:val="clear" w:color="auto" w:fill="auto"/>
            <w:vAlign w:val="bottom"/>
          </w:tcPr>
          <w:p w14:paraId="6B43BA29" w14:textId="77777777" w:rsidR="004E2F51" w:rsidRPr="004B4498" w:rsidRDefault="004E2F51" w:rsidP="00E032FC">
            <w:pPr>
              <w:rPr>
                <w:rFonts w:ascii="Arial" w:eastAsia="Calibri" w:hAnsi="Arial" w:cs="Arial"/>
                <w:i/>
                <w:iCs/>
                <w:color w:val="000000" w:themeColor="text1"/>
                <w:sz w:val="20"/>
                <w:szCs w:val="20"/>
                <w:lang w:val="hr-HR"/>
              </w:rPr>
            </w:pPr>
            <w:r w:rsidRPr="004B4498">
              <w:rPr>
                <w:rFonts w:ascii="Arial" w:eastAsia="Calibri" w:hAnsi="Arial" w:cs="Arial"/>
                <w:i/>
                <w:iCs/>
                <w:color w:val="000000" w:themeColor="text1"/>
                <w:sz w:val="20"/>
                <w:szCs w:val="20"/>
                <w:lang w:val="hr-HR"/>
              </w:rPr>
              <w:t xml:space="preserve">Ukupno kroz dobit ili </w:t>
            </w:r>
            <w:r w:rsidRPr="00A873BB">
              <w:rPr>
                <w:rFonts w:ascii="Arial" w:eastAsia="Calibri" w:hAnsi="Arial" w:cs="Arial"/>
                <w:i/>
                <w:iCs/>
                <w:color w:val="000000" w:themeColor="text1"/>
                <w:sz w:val="20"/>
                <w:szCs w:val="20"/>
                <w:lang w:val="hr-HR"/>
              </w:rPr>
              <w:t>gubitak (bilješka 10)</w:t>
            </w:r>
          </w:p>
        </w:tc>
        <w:tc>
          <w:tcPr>
            <w:tcW w:w="1300" w:type="dxa"/>
            <w:tcBorders>
              <w:top w:val="single" w:sz="4" w:space="0" w:color="auto"/>
              <w:left w:val="nil"/>
              <w:bottom w:val="single" w:sz="4" w:space="0" w:color="auto"/>
              <w:right w:val="nil"/>
            </w:tcBorders>
            <w:shd w:val="clear" w:color="auto" w:fill="auto"/>
            <w:vAlign w:val="bottom"/>
          </w:tcPr>
          <w:p w14:paraId="2049A63E" w14:textId="77777777" w:rsidR="004E2F51" w:rsidRPr="004B4498" w:rsidRDefault="004E2F51" w:rsidP="00E032FC">
            <w:pPr>
              <w:jc w:val="right"/>
              <w:rPr>
                <w:rFonts w:ascii="Arial" w:eastAsia="Calibri" w:hAnsi="Arial" w:cs="Arial"/>
                <w:bCs/>
                <w:i/>
                <w:color w:val="000000" w:themeColor="text1"/>
                <w:sz w:val="20"/>
                <w:szCs w:val="20"/>
                <w:lang w:val="hr-HR"/>
              </w:rPr>
            </w:pPr>
            <w:r w:rsidRPr="00165E42">
              <w:rPr>
                <w:rFonts w:ascii="Arial" w:eastAsia="Calibri" w:hAnsi="Arial" w:cs="Arial"/>
                <w:bCs/>
                <w:i/>
                <w:color w:val="000000" w:themeColor="text1"/>
                <w:sz w:val="20"/>
                <w:szCs w:val="20"/>
                <w:lang w:val="hr-HR"/>
              </w:rPr>
              <w:t>3.764</w:t>
            </w:r>
          </w:p>
        </w:tc>
        <w:tc>
          <w:tcPr>
            <w:tcW w:w="1484" w:type="dxa"/>
            <w:tcBorders>
              <w:top w:val="single" w:sz="4" w:space="0" w:color="auto"/>
              <w:left w:val="nil"/>
              <w:bottom w:val="single" w:sz="4" w:space="0" w:color="auto"/>
              <w:right w:val="nil"/>
            </w:tcBorders>
            <w:shd w:val="clear" w:color="auto" w:fill="auto"/>
            <w:vAlign w:val="bottom"/>
          </w:tcPr>
          <w:p w14:paraId="447B4901" w14:textId="77777777" w:rsidR="004E2F51" w:rsidRPr="004B4498" w:rsidRDefault="004E2F51" w:rsidP="00E032FC">
            <w:pPr>
              <w:jc w:val="right"/>
              <w:rPr>
                <w:rFonts w:ascii="Arial" w:eastAsia="Calibri" w:hAnsi="Arial" w:cs="Arial"/>
                <w:i/>
                <w:color w:val="000000" w:themeColor="text1"/>
                <w:sz w:val="20"/>
                <w:szCs w:val="20"/>
                <w:lang w:val="hr-HR"/>
              </w:rPr>
            </w:pPr>
            <w:r w:rsidRPr="0046584E">
              <w:rPr>
                <w:rFonts w:ascii="Arial" w:eastAsia="Calibri" w:hAnsi="Arial" w:cs="Arial"/>
                <w:bCs/>
                <w:i/>
                <w:color w:val="000000" w:themeColor="text1"/>
                <w:sz w:val="20"/>
                <w:szCs w:val="20"/>
                <w:lang w:val="hr-HR"/>
              </w:rPr>
              <w:t>(2.542)</w:t>
            </w:r>
          </w:p>
        </w:tc>
        <w:tc>
          <w:tcPr>
            <w:tcW w:w="1215" w:type="dxa"/>
            <w:tcBorders>
              <w:top w:val="single" w:sz="4" w:space="0" w:color="auto"/>
              <w:left w:val="nil"/>
              <w:bottom w:val="single" w:sz="4" w:space="0" w:color="auto"/>
              <w:right w:val="nil"/>
            </w:tcBorders>
            <w:shd w:val="clear" w:color="auto" w:fill="auto"/>
            <w:vAlign w:val="bottom"/>
          </w:tcPr>
          <w:p w14:paraId="48AC72D8" w14:textId="77777777" w:rsidR="004E2F51" w:rsidRPr="004B4498" w:rsidRDefault="004E2F51" w:rsidP="00E032FC">
            <w:pPr>
              <w:jc w:val="right"/>
              <w:rPr>
                <w:rFonts w:ascii="Arial" w:eastAsia="Calibri" w:hAnsi="Arial" w:cs="Arial"/>
                <w:bCs/>
                <w:i/>
                <w:color w:val="000000" w:themeColor="text1"/>
                <w:sz w:val="20"/>
                <w:szCs w:val="20"/>
                <w:lang w:val="hr-HR"/>
              </w:rPr>
            </w:pPr>
            <w:r w:rsidRPr="00165E42">
              <w:rPr>
                <w:rFonts w:ascii="Arial" w:eastAsia="Calibri" w:hAnsi="Arial" w:cs="Arial"/>
                <w:bCs/>
                <w:i/>
                <w:color w:val="000000" w:themeColor="text1"/>
                <w:sz w:val="20"/>
                <w:szCs w:val="20"/>
                <w:lang w:val="hr-HR"/>
              </w:rPr>
              <w:t>3.731</w:t>
            </w:r>
          </w:p>
        </w:tc>
        <w:tc>
          <w:tcPr>
            <w:tcW w:w="1298" w:type="dxa"/>
            <w:tcBorders>
              <w:top w:val="single" w:sz="4" w:space="0" w:color="auto"/>
              <w:left w:val="nil"/>
              <w:bottom w:val="single" w:sz="4" w:space="0" w:color="auto"/>
              <w:right w:val="nil"/>
            </w:tcBorders>
            <w:shd w:val="clear" w:color="auto" w:fill="auto"/>
            <w:vAlign w:val="bottom"/>
          </w:tcPr>
          <w:p w14:paraId="1ABEAD40" w14:textId="77777777" w:rsidR="004E2F51" w:rsidRPr="004B4498" w:rsidRDefault="004E2F51" w:rsidP="00E032FC">
            <w:pPr>
              <w:jc w:val="right"/>
              <w:rPr>
                <w:rFonts w:ascii="Arial" w:eastAsia="Calibri" w:hAnsi="Arial" w:cs="Arial"/>
                <w:i/>
                <w:color w:val="000000" w:themeColor="text1"/>
                <w:sz w:val="20"/>
                <w:szCs w:val="20"/>
                <w:lang w:val="hr-HR"/>
              </w:rPr>
            </w:pPr>
            <w:r w:rsidRPr="0046584E">
              <w:rPr>
                <w:rFonts w:ascii="Arial" w:eastAsia="Calibri" w:hAnsi="Arial" w:cs="Arial"/>
                <w:bCs/>
                <w:i/>
                <w:color w:val="000000" w:themeColor="text1"/>
                <w:sz w:val="20"/>
                <w:szCs w:val="20"/>
                <w:lang w:val="hr-HR"/>
              </w:rPr>
              <w:t>(2.551)</w:t>
            </w:r>
          </w:p>
        </w:tc>
      </w:tr>
      <w:tr w:rsidR="004E2F51" w:rsidRPr="003364B5" w14:paraId="7D1A7DA8" w14:textId="77777777" w:rsidTr="00E032FC">
        <w:trPr>
          <w:trHeight w:val="385"/>
        </w:trPr>
        <w:tc>
          <w:tcPr>
            <w:tcW w:w="4365" w:type="dxa"/>
            <w:tcBorders>
              <w:top w:val="nil"/>
              <w:left w:val="nil"/>
              <w:bottom w:val="nil"/>
              <w:right w:val="nil"/>
            </w:tcBorders>
            <w:shd w:val="clear" w:color="auto" w:fill="auto"/>
            <w:vAlign w:val="bottom"/>
          </w:tcPr>
          <w:p w14:paraId="1B6FB3F1" w14:textId="77777777" w:rsidR="004E2F51" w:rsidRPr="004B4498" w:rsidRDefault="004E2F51" w:rsidP="00E032FC">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Otpis</w:t>
            </w:r>
          </w:p>
        </w:tc>
        <w:tc>
          <w:tcPr>
            <w:tcW w:w="1300" w:type="dxa"/>
            <w:tcBorders>
              <w:top w:val="single" w:sz="4" w:space="0" w:color="auto"/>
              <w:left w:val="nil"/>
              <w:right w:val="nil"/>
            </w:tcBorders>
            <w:shd w:val="clear" w:color="auto" w:fill="auto"/>
            <w:vAlign w:val="bottom"/>
          </w:tcPr>
          <w:p w14:paraId="2756DCC0" w14:textId="77777777" w:rsidR="004E2F51" w:rsidRPr="004B4498" w:rsidRDefault="004E2F51" w:rsidP="00E032FC">
            <w:pPr>
              <w:jc w:val="right"/>
              <w:rPr>
                <w:rFonts w:ascii="Arial" w:eastAsia="Calibri" w:hAnsi="Arial" w:cs="Arial"/>
                <w:color w:val="000000" w:themeColor="text1"/>
                <w:sz w:val="20"/>
                <w:szCs w:val="20"/>
                <w:lang w:val="hr-HR"/>
              </w:rPr>
            </w:pPr>
            <w:r w:rsidRPr="008B50D6">
              <w:rPr>
                <w:rFonts w:ascii="Arial" w:eastAsia="Calibri" w:hAnsi="Arial" w:cs="Arial"/>
                <w:color w:val="000000" w:themeColor="text1"/>
                <w:sz w:val="20"/>
                <w:szCs w:val="20"/>
                <w:lang w:val="hr-HR"/>
              </w:rPr>
              <w:t>(47)</w:t>
            </w:r>
          </w:p>
        </w:tc>
        <w:tc>
          <w:tcPr>
            <w:tcW w:w="1484" w:type="dxa"/>
            <w:tcBorders>
              <w:top w:val="single" w:sz="4" w:space="0" w:color="auto"/>
              <w:left w:val="nil"/>
              <w:right w:val="nil"/>
            </w:tcBorders>
            <w:shd w:val="clear" w:color="auto" w:fill="auto"/>
            <w:vAlign w:val="bottom"/>
          </w:tcPr>
          <w:p w14:paraId="4A5F6E11" w14:textId="77777777" w:rsidR="004E2F51" w:rsidRPr="004B4498" w:rsidRDefault="004E2F51" w:rsidP="00E032FC">
            <w:pPr>
              <w:jc w:val="right"/>
              <w:rPr>
                <w:rFonts w:ascii="Arial" w:eastAsia="Calibri" w:hAnsi="Arial" w:cs="Arial"/>
                <w:color w:val="000000" w:themeColor="text1"/>
                <w:sz w:val="20"/>
                <w:szCs w:val="20"/>
                <w:lang w:val="hr-HR"/>
              </w:rPr>
            </w:pPr>
            <w:r w:rsidRPr="0046584E">
              <w:rPr>
                <w:rFonts w:ascii="Arial" w:eastAsia="Calibri" w:hAnsi="Arial" w:cs="Arial"/>
                <w:color w:val="000000" w:themeColor="text1"/>
                <w:sz w:val="20"/>
                <w:szCs w:val="20"/>
                <w:lang w:val="hr-HR"/>
              </w:rPr>
              <w:t>(14)</w:t>
            </w:r>
          </w:p>
        </w:tc>
        <w:tc>
          <w:tcPr>
            <w:tcW w:w="1215" w:type="dxa"/>
            <w:tcBorders>
              <w:top w:val="single" w:sz="4" w:space="0" w:color="auto"/>
              <w:left w:val="nil"/>
              <w:right w:val="nil"/>
            </w:tcBorders>
            <w:shd w:val="clear" w:color="auto" w:fill="auto"/>
            <w:vAlign w:val="bottom"/>
          </w:tcPr>
          <w:p w14:paraId="4A0E647B" w14:textId="77777777" w:rsidR="004E2F51" w:rsidRPr="004B4498" w:rsidRDefault="004E2F51" w:rsidP="00E032FC">
            <w:pPr>
              <w:jc w:val="right"/>
              <w:rPr>
                <w:rFonts w:ascii="Arial" w:eastAsia="Calibri" w:hAnsi="Arial" w:cs="Arial"/>
                <w:color w:val="000000" w:themeColor="text1"/>
                <w:sz w:val="20"/>
                <w:szCs w:val="20"/>
                <w:lang w:val="hr-HR"/>
              </w:rPr>
            </w:pPr>
            <w:r w:rsidRPr="00165E42">
              <w:rPr>
                <w:rFonts w:ascii="Arial" w:eastAsia="Calibri" w:hAnsi="Arial" w:cs="Arial"/>
                <w:color w:val="000000" w:themeColor="text1"/>
                <w:sz w:val="20"/>
                <w:szCs w:val="20"/>
                <w:lang w:val="hr-HR"/>
              </w:rPr>
              <w:t>(35)</w:t>
            </w:r>
          </w:p>
        </w:tc>
        <w:tc>
          <w:tcPr>
            <w:tcW w:w="1298" w:type="dxa"/>
            <w:tcBorders>
              <w:top w:val="single" w:sz="4" w:space="0" w:color="auto"/>
              <w:left w:val="nil"/>
              <w:right w:val="nil"/>
            </w:tcBorders>
            <w:vAlign w:val="bottom"/>
          </w:tcPr>
          <w:p w14:paraId="2531A883" w14:textId="77777777" w:rsidR="004E2F51" w:rsidRPr="004B4498" w:rsidRDefault="004E2F51" w:rsidP="00E032FC">
            <w:pPr>
              <w:jc w:val="right"/>
              <w:rPr>
                <w:rFonts w:ascii="Arial" w:eastAsia="Calibri" w:hAnsi="Arial" w:cs="Arial"/>
                <w:color w:val="000000" w:themeColor="text1"/>
                <w:sz w:val="20"/>
                <w:szCs w:val="20"/>
                <w:lang w:val="hr-HR"/>
              </w:rPr>
            </w:pPr>
            <w:r w:rsidRPr="0046584E">
              <w:rPr>
                <w:rFonts w:ascii="Arial" w:eastAsia="Calibri" w:hAnsi="Arial" w:cs="Arial"/>
                <w:color w:val="000000" w:themeColor="text1"/>
                <w:sz w:val="20"/>
                <w:szCs w:val="20"/>
                <w:lang w:val="hr-HR"/>
              </w:rPr>
              <w:t>(2)</w:t>
            </w:r>
          </w:p>
        </w:tc>
      </w:tr>
      <w:tr w:rsidR="004E2F51" w:rsidRPr="003364B5" w14:paraId="630899AA" w14:textId="77777777" w:rsidTr="00E032FC">
        <w:trPr>
          <w:trHeight w:val="366"/>
        </w:trPr>
        <w:tc>
          <w:tcPr>
            <w:tcW w:w="4365" w:type="dxa"/>
            <w:tcBorders>
              <w:top w:val="nil"/>
              <w:left w:val="nil"/>
              <w:bottom w:val="nil"/>
              <w:right w:val="nil"/>
            </w:tcBorders>
            <w:shd w:val="clear" w:color="auto" w:fill="auto"/>
            <w:vAlign w:val="bottom"/>
          </w:tcPr>
          <w:p w14:paraId="7C538E96" w14:textId="77777777" w:rsidR="004E2F51" w:rsidRPr="004B4498" w:rsidRDefault="004E2F51" w:rsidP="00E032FC">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Prijenos u vanbilančnu evidenciju</w:t>
            </w:r>
          </w:p>
        </w:tc>
        <w:tc>
          <w:tcPr>
            <w:tcW w:w="1300" w:type="dxa"/>
            <w:tcBorders>
              <w:left w:val="nil"/>
              <w:right w:val="nil"/>
            </w:tcBorders>
            <w:shd w:val="clear" w:color="auto" w:fill="auto"/>
            <w:vAlign w:val="bottom"/>
          </w:tcPr>
          <w:p w14:paraId="2C921ABD" w14:textId="77777777" w:rsidR="004E2F51" w:rsidRPr="004B4498"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w:t>
            </w:r>
          </w:p>
        </w:tc>
        <w:tc>
          <w:tcPr>
            <w:tcW w:w="1484" w:type="dxa"/>
            <w:tcBorders>
              <w:left w:val="nil"/>
              <w:right w:val="nil"/>
            </w:tcBorders>
            <w:shd w:val="clear" w:color="auto" w:fill="auto"/>
            <w:vAlign w:val="bottom"/>
          </w:tcPr>
          <w:p w14:paraId="7C187D14" w14:textId="77777777" w:rsidR="004E2F51" w:rsidRPr="004B4498" w:rsidRDefault="004E2F51" w:rsidP="00E032FC">
            <w:pPr>
              <w:jc w:val="right"/>
              <w:rPr>
                <w:rFonts w:ascii="Arial" w:eastAsia="Calibri" w:hAnsi="Arial" w:cs="Arial"/>
                <w:color w:val="000000" w:themeColor="text1"/>
                <w:sz w:val="20"/>
                <w:szCs w:val="20"/>
                <w:lang w:val="hr-HR"/>
              </w:rPr>
            </w:pPr>
            <w:r w:rsidRPr="0046584E">
              <w:rPr>
                <w:rFonts w:ascii="Arial" w:eastAsia="Calibri" w:hAnsi="Arial" w:cs="Arial"/>
                <w:color w:val="000000" w:themeColor="text1"/>
                <w:sz w:val="20"/>
                <w:szCs w:val="20"/>
                <w:lang w:val="hr-HR"/>
              </w:rPr>
              <w:t>(149)</w:t>
            </w:r>
          </w:p>
        </w:tc>
        <w:tc>
          <w:tcPr>
            <w:tcW w:w="1215" w:type="dxa"/>
            <w:tcBorders>
              <w:left w:val="nil"/>
              <w:right w:val="nil"/>
            </w:tcBorders>
            <w:shd w:val="clear" w:color="auto" w:fill="auto"/>
            <w:vAlign w:val="bottom"/>
          </w:tcPr>
          <w:p w14:paraId="52835FDA" w14:textId="77777777" w:rsidR="004E2F51" w:rsidRPr="004B4498"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w:t>
            </w:r>
          </w:p>
        </w:tc>
        <w:tc>
          <w:tcPr>
            <w:tcW w:w="1298" w:type="dxa"/>
            <w:tcBorders>
              <w:left w:val="nil"/>
              <w:right w:val="nil"/>
            </w:tcBorders>
            <w:vAlign w:val="bottom"/>
          </w:tcPr>
          <w:p w14:paraId="15010424" w14:textId="77777777" w:rsidR="004E2F51" w:rsidRPr="004B4498" w:rsidRDefault="004E2F51" w:rsidP="00E032FC">
            <w:pPr>
              <w:jc w:val="right"/>
              <w:rPr>
                <w:rFonts w:ascii="Arial" w:eastAsia="Calibri" w:hAnsi="Arial" w:cs="Arial"/>
                <w:color w:val="000000" w:themeColor="text1"/>
                <w:sz w:val="20"/>
                <w:szCs w:val="20"/>
                <w:lang w:val="hr-HR"/>
              </w:rPr>
            </w:pPr>
            <w:r w:rsidRPr="0046584E">
              <w:rPr>
                <w:rFonts w:ascii="Arial" w:eastAsia="Calibri" w:hAnsi="Arial" w:cs="Arial"/>
                <w:color w:val="000000" w:themeColor="text1"/>
                <w:sz w:val="20"/>
                <w:szCs w:val="20"/>
                <w:lang w:val="hr-HR"/>
              </w:rPr>
              <w:t>(149)</w:t>
            </w:r>
          </w:p>
        </w:tc>
      </w:tr>
      <w:tr w:rsidR="004E2F51" w:rsidRPr="003364B5" w14:paraId="0917E709" w14:textId="77777777" w:rsidTr="00E032FC">
        <w:trPr>
          <w:trHeight w:val="366"/>
        </w:trPr>
        <w:tc>
          <w:tcPr>
            <w:tcW w:w="4365" w:type="dxa"/>
            <w:tcBorders>
              <w:top w:val="nil"/>
              <w:left w:val="nil"/>
              <w:bottom w:val="nil"/>
              <w:right w:val="nil"/>
            </w:tcBorders>
            <w:shd w:val="clear" w:color="auto" w:fill="auto"/>
            <w:vAlign w:val="bottom"/>
          </w:tcPr>
          <w:p w14:paraId="5BFBFEA0" w14:textId="77777777" w:rsidR="004E2F51" w:rsidRPr="004B4498" w:rsidRDefault="004E2F51" w:rsidP="00E032FC">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Preuzimanje nekretnine</w:t>
            </w:r>
          </w:p>
        </w:tc>
        <w:tc>
          <w:tcPr>
            <w:tcW w:w="1300" w:type="dxa"/>
            <w:tcBorders>
              <w:left w:val="nil"/>
              <w:right w:val="nil"/>
            </w:tcBorders>
            <w:shd w:val="clear" w:color="auto" w:fill="auto"/>
            <w:vAlign w:val="bottom"/>
          </w:tcPr>
          <w:p w14:paraId="6D64213B" w14:textId="77777777" w:rsidR="004E2F51" w:rsidRPr="004B4498"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w:t>
            </w:r>
          </w:p>
        </w:tc>
        <w:tc>
          <w:tcPr>
            <w:tcW w:w="1484" w:type="dxa"/>
            <w:tcBorders>
              <w:left w:val="nil"/>
              <w:right w:val="nil"/>
            </w:tcBorders>
            <w:shd w:val="clear" w:color="auto" w:fill="auto"/>
            <w:vAlign w:val="bottom"/>
          </w:tcPr>
          <w:p w14:paraId="355BBDDC" w14:textId="77777777" w:rsidR="004E2F51" w:rsidRPr="004B4498" w:rsidRDefault="004E2F51" w:rsidP="00E032FC">
            <w:pPr>
              <w:jc w:val="right"/>
              <w:rPr>
                <w:rFonts w:ascii="Arial" w:eastAsia="Calibri" w:hAnsi="Arial" w:cs="Arial"/>
                <w:color w:val="000000" w:themeColor="text1"/>
                <w:sz w:val="20"/>
                <w:szCs w:val="20"/>
                <w:lang w:val="hr-HR"/>
              </w:rPr>
            </w:pPr>
            <w:r w:rsidRPr="0046584E">
              <w:rPr>
                <w:rFonts w:ascii="Arial" w:eastAsia="Calibri" w:hAnsi="Arial" w:cs="Arial"/>
                <w:color w:val="000000" w:themeColor="text1"/>
                <w:sz w:val="20"/>
                <w:szCs w:val="20"/>
                <w:lang w:val="hr-HR"/>
              </w:rPr>
              <w:t>-</w:t>
            </w:r>
          </w:p>
        </w:tc>
        <w:tc>
          <w:tcPr>
            <w:tcW w:w="1215" w:type="dxa"/>
            <w:tcBorders>
              <w:left w:val="nil"/>
              <w:right w:val="nil"/>
            </w:tcBorders>
            <w:shd w:val="clear" w:color="auto" w:fill="auto"/>
            <w:vAlign w:val="bottom"/>
          </w:tcPr>
          <w:p w14:paraId="1B8F6A47" w14:textId="77777777" w:rsidR="004E2F51" w:rsidRPr="004B4498"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w:t>
            </w:r>
          </w:p>
        </w:tc>
        <w:tc>
          <w:tcPr>
            <w:tcW w:w="1298" w:type="dxa"/>
            <w:tcBorders>
              <w:left w:val="nil"/>
              <w:right w:val="nil"/>
            </w:tcBorders>
            <w:vAlign w:val="bottom"/>
          </w:tcPr>
          <w:p w14:paraId="67ECF8F6" w14:textId="77777777" w:rsidR="004E2F51" w:rsidRPr="004B4498" w:rsidRDefault="004E2F51" w:rsidP="00E032FC">
            <w:pPr>
              <w:jc w:val="right"/>
              <w:rPr>
                <w:rFonts w:ascii="Arial" w:eastAsia="Calibri" w:hAnsi="Arial" w:cs="Arial"/>
                <w:color w:val="000000" w:themeColor="text1"/>
                <w:sz w:val="20"/>
                <w:szCs w:val="20"/>
                <w:lang w:val="hr-HR"/>
              </w:rPr>
            </w:pPr>
            <w:r w:rsidRPr="0046584E">
              <w:rPr>
                <w:rFonts w:ascii="Arial" w:eastAsia="Calibri" w:hAnsi="Arial" w:cs="Arial"/>
                <w:color w:val="000000" w:themeColor="text1"/>
                <w:sz w:val="20"/>
                <w:szCs w:val="20"/>
                <w:lang w:val="hr-HR"/>
              </w:rPr>
              <w:t>-</w:t>
            </w:r>
          </w:p>
        </w:tc>
      </w:tr>
      <w:tr w:rsidR="004E2F51" w:rsidRPr="003364B5" w14:paraId="3123157C" w14:textId="77777777" w:rsidTr="00E032FC">
        <w:trPr>
          <w:trHeight w:val="608"/>
        </w:trPr>
        <w:tc>
          <w:tcPr>
            <w:tcW w:w="4365" w:type="dxa"/>
            <w:tcBorders>
              <w:top w:val="nil"/>
              <w:left w:val="nil"/>
              <w:bottom w:val="nil"/>
              <w:right w:val="nil"/>
            </w:tcBorders>
            <w:shd w:val="clear" w:color="auto" w:fill="auto"/>
            <w:vAlign w:val="bottom"/>
          </w:tcPr>
          <w:p w14:paraId="75070CCC" w14:textId="77777777" w:rsidR="004E2F51" w:rsidRPr="004B4498" w:rsidRDefault="004E2F51" w:rsidP="00E032FC">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Neto dobit/gubitak od tečajnih razlika po rezerviranjima za očekivane gubitke</w:t>
            </w:r>
          </w:p>
        </w:tc>
        <w:tc>
          <w:tcPr>
            <w:tcW w:w="1300" w:type="dxa"/>
            <w:tcBorders>
              <w:left w:val="nil"/>
              <w:right w:val="nil"/>
            </w:tcBorders>
            <w:shd w:val="clear" w:color="auto" w:fill="auto"/>
            <w:vAlign w:val="bottom"/>
          </w:tcPr>
          <w:p w14:paraId="2A82E7B8" w14:textId="77777777" w:rsidR="004E2F51" w:rsidRPr="004B4498" w:rsidRDefault="004E2F51" w:rsidP="00E032FC">
            <w:pPr>
              <w:jc w:val="right"/>
              <w:rPr>
                <w:rFonts w:ascii="Arial" w:eastAsia="Calibri" w:hAnsi="Arial" w:cs="Arial"/>
                <w:color w:val="000000" w:themeColor="text1"/>
                <w:sz w:val="20"/>
                <w:szCs w:val="20"/>
                <w:lang w:val="hr-HR"/>
              </w:rPr>
            </w:pPr>
            <w:r w:rsidRPr="008B50D6">
              <w:rPr>
                <w:rFonts w:ascii="Arial" w:eastAsia="Calibri" w:hAnsi="Arial" w:cs="Arial"/>
                <w:color w:val="000000" w:themeColor="text1"/>
                <w:sz w:val="20"/>
                <w:szCs w:val="20"/>
                <w:lang w:val="hr-HR"/>
              </w:rPr>
              <w:t>(216)</w:t>
            </w:r>
          </w:p>
        </w:tc>
        <w:tc>
          <w:tcPr>
            <w:tcW w:w="1484" w:type="dxa"/>
            <w:tcBorders>
              <w:left w:val="nil"/>
              <w:right w:val="nil"/>
            </w:tcBorders>
            <w:shd w:val="clear" w:color="auto" w:fill="auto"/>
            <w:vAlign w:val="bottom"/>
          </w:tcPr>
          <w:p w14:paraId="7B005030" w14:textId="77777777" w:rsidR="004E2F51" w:rsidRPr="004B4498" w:rsidRDefault="004E2F51" w:rsidP="00E032FC">
            <w:pPr>
              <w:jc w:val="right"/>
              <w:rPr>
                <w:rFonts w:ascii="Arial" w:eastAsia="Calibri" w:hAnsi="Arial" w:cs="Arial"/>
                <w:color w:val="000000" w:themeColor="text1"/>
                <w:sz w:val="20"/>
                <w:szCs w:val="20"/>
                <w:lang w:val="hr-HR"/>
              </w:rPr>
            </w:pPr>
            <w:r w:rsidRPr="0046584E">
              <w:rPr>
                <w:rFonts w:ascii="Arial" w:eastAsia="Calibri" w:hAnsi="Arial" w:cs="Arial"/>
                <w:color w:val="000000" w:themeColor="text1"/>
                <w:sz w:val="20"/>
                <w:szCs w:val="20"/>
                <w:lang w:val="hr-HR"/>
              </w:rPr>
              <w:t>3</w:t>
            </w:r>
          </w:p>
        </w:tc>
        <w:tc>
          <w:tcPr>
            <w:tcW w:w="1215" w:type="dxa"/>
            <w:tcBorders>
              <w:left w:val="nil"/>
              <w:right w:val="nil"/>
            </w:tcBorders>
            <w:shd w:val="clear" w:color="auto" w:fill="auto"/>
            <w:vAlign w:val="bottom"/>
          </w:tcPr>
          <w:p w14:paraId="5611332D" w14:textId="77777777" w:rsidR="004E2F51" w:rsidRPr="004B4498" w:rsidRDefault="004E2F51" w:rsidP="00E032FC">
            <w:pPr>
              <w:jc w:val="right"/>
              <w:rPr>
                <w:rFonts w:ascii="Arial" w:eastAsia="Calibri" w:hAnsi="Arial" w:cs="Arial"/>
                <w:color w:val="000000" w:themeColor="text1"/>
                <w:sz w:val="20"/>
                <w:szCs w:val="20"/>
                <w:lang w:val="hr-HR"/>
              </w:rPr>
            </w:pPr>
            <w:r w:rsidRPr="00165E42">
              <w:rPr>
                <w:rFonts w:ascii="Arial" w:eastAsia="Calibri" w:hAnsi="Arial" w:cs="Arial"/>
                <w:color w:val="000000" w:themeColor="text1"/>
                <w:sz w:val="20"/>
                <w:szCs w:val="20"/>
                <w:lang w:val="hr-HR"/>
              </w:rPr>
              <w:t>(216)</w:t>
            </w:r>
          </w:p>
        </w:tc>
        <w:tc>
          <w:tcPr>
            <w:tcW w:w="1298" w:type="dxa"/>
            <w:tcBorders>
              <w:left w:val="nil"/>
              <w:right w:val="nil"/>
            </w:tcBorders>
            <w:vAlign w:val="bottom"/>
          </w:tcPr>
          <w:p w14:paraId="6CE53B5B" w14:textId="77777777" w:rsidR="004E2F51" w:rsidRPr="004B4498" w:rsidRDefault="004E2F51" w:rsidP="00E032FC">
            <w:pPr>
              <w:jc w:val="right"/>
              <w:rPr>
                <w:rFonts w:ascii="Arial" w:eastAsia="Calibri" w:hAnsi="Arial" w:cs="Arial"/>
                <w:color w:val="000000" w:themeColor="text1"/>
                <w:sz w:val="20"/>
                <w:szCs w:val="20"/>
                <w:lang w:val="hr-HR"/>
              </w:rPr>
            </w:pPr>
            <w:r w:rsidRPr="0046584E">
              <w:rPr>
                <w:rFonts w:ascii="Arial" w:eastAsia="Calibri" w:hAnsi="Arial" w:cs="Arial"/>
                <w:color w:val="000000" w:themeColor="text1"/>
                <w:sz w:val="20"/>
                <w:szCs w:val="20"/>
                <w:lang w:val="hr-HR"/>
              </w:rPr>
              <w:t>3</w:t>
            </w:r>
          </w:p>
        </w:tc>
      </w:tr>
      <w:tr w:rsidR="004E2F51" w:rsidRPr="003364B5" w14:paraId="152E0D3F" w14:textId="77777777" w:rsidTr="00E032FC">
        <w:trPr>
          <w:trHeight w:val="385"/>
        </w:trPr>
        <w:tc>
          <w:tcPr>
            <w:tcW w:w="4365" w:type="dxa"/>
            <w:tcBorders>
              <w:top w:val="nil"/>
              <w:left w:val="nil"/>
              <w:bottom w:val="nil"/>
              <w:right w:val="nil"/>
            </w:tcBorders>
            <w:shd w:val="clear" w:color="auto" w:fill="auto"/>
            <w:vAlign w:val="bottom"/>
          </w:tcPr>
          <w:p w14:paraId="29FC009A" w14:textId="77777777" w:rsidR="004E2F51" w:rsidRPr="004B4498" w:rsidRDefault="004E2F51" w:rsidP="00E032FC">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Ostala usklađenja</w:t>
            </w:r>
          </w:p>
        </w:tc>
        <w:tc>
          <w:tcPr>
            <w:tcW w:w="1300" w:type="dxa"/>
            <w:tcBorders>
              <w:left w:val="nil"/>
              <w:bottom w:val="single" w:sz="4" w:space="0" w:color="auto"/>
              <w:right w:val="nil"/>
            </w:tcBorders>
            <w:shd w:val="clear" w:color="auto" w:fill="auto"/>
            <w:vAlign w:val="bottom"/>
          </w:tcPr>
          <w:p w14:paraId="43AFE385" w14:textId="77777777" w:rsidR="004E2F51" w:rsidRPr="004B4498" w:rsidRDefault="004E2F51" w:rsidP="00E032FC">
            <w:pPr>
              <w:jc w:val="right"/>
              <w:rPr>
                <w:rFonts w:ascii="Arial" w:eastAsia="Calibri" w:hAnsi="Arial" w:cs="Arial"/>
                <w:color w:val="000000" w:themeColor="text1"/>
                <w:sz w:val="20"/>
                <w:szCs w:val="20"/>
                <w:lang w:val="hr-HR"/>
              </w:rPr>
            </w:pPr>
            <w:r w:rsidRPr="008B50D6">
              <w:rPr>
                <w:rFonts w:ascii="Arial" w:eastAsia="Calibri" w:hAnsi="Arial" w:cs="Arial"/>
                <w:color w:val="000000" w:themeColor="text1"/>
                <w:sz w:val="20"/>
                <w:szCs w:val="20"/>
                <w:lang w:val="hr-HR"/>
              </w:rPr>
              <w:t>(4)</w:t>
            </w:r>
          </w:p>
        </w:tc>
        <w:tc>
          <w:tcPr>
            <w:tcW w:w="1484" w:type="dxa"/>
            <w:tcBorders>
              <w:left w:val="nil"/>
              <w:bottom w:val="single" w:sz="4" w:space="0" w:color="auto"/>
              <w:right w:val="nil"/>
            </w:tcBorders>
            <w:shd w:val="clear" w:color="auto" w:fill="auto"/>
            <w:vAlign w:val="bottom"/>
          </w:tcPr>
          <w:p w14:paraId="4DB83B69" w14:textId="77777777" w:rsidR="004E2F51" w:rsidRPr="004B4498" w:rsidRDefault="004E2F51" w:rsidP="00E032FC">
            <w:pPr>
              <w:jc w:val="right"/>
              <w:rPr>
                <w:rFonts w:ascii="Arial" w:eastAsia="Calibri" w:hAnsi="Arial" w:cs="Arial"/>
                <w:color w:val="000000" w:themeColor="text1"/>
                <w:sz w:val="20"/>
                <w:szCs w:val="20"/>
                <w:lang w:val="hr-HR"/>
              </w:rPr>
            </w:pPr>
            <w:r w:rsidRPr="0046584E">
              <w:rPr>
                <w:rFonts w:ascii="Arial" w:eastAsia="Calibri" w:hAnsi="Arial" w:cs="Arial"/>
                <w:color w:val="000000" w:themeColor="text1"/>
                <w:sz w:val="20"/>
                <w:szCs w:val="20"/>
                <w:lang w:val="hr-HR"/>
              </w:rPr>
              <w:t>17</w:t>
            </w:r>
          </w:p>
        </w:tc>
        <w:tc>
          <w:tcPr>
            <w:tcW w:w="1215" w:type="dxa"/>
            <w:tcBorders>
              <w:left w:val="nil"/>
              <w:bottom w:val="single" w:sz="4" w:space="0" w:color="auto"/>
              <w:right w:val="nil"/>
            </w:tcBorders>
            <w:shd w:val="clear" w:color="auto" w:fill="auto"/>
            <w:vAlign w:val="bottom"/>
          </w:tcPr>
          <w:p w14:paraId="2FCBF9AC" w14:textId="77777777" w:rsidR="004E2F51" w:rsidRPr="004B4498" w:rsidRDefault="004E2F51" w:rsidP="00E032FC">
            <w:pPr>
              <w:jc w:val="right"/>
              <w:rPr>
                <w:rFonts w:ascii="Arial" w:eastAsia="Calibri" w:hAnsi="Arial" w:cs="Arial"/>
                <w:color w:val="000000" w:themeColor="text1"/>
                <w:sz w:val="20"/>
                <w:szCs w:val="20"/>
                <w:lang w:val="hr-HR"/>
              </w:rPr>
            </w:pPr>
            <w:r w:rsidRPr="00165E42">
              <w:rPr>
                <w:rFonts w:ascii="Arial" w:eastAsia="Calibri" w:hAnsi="Arial" w:cs="Arial"/>
                <w:color w:val="000000" w:themeColor="text1"/>
                <w:sz w:val="20"/>
                <w:szCs w:val="20"/>
                <w:lang w:val="hr-HR"/>
              </w:rPr>
              <w:t>(2)</w:t>
            </w:r>
          </w:p>
        </w:tc>
        <w:tc>
          <w:tcPr>
            <w:tcW w:w="1298" w:type="dxa"/>
            <w:tcBorders>
              <w:left w:val="nil"/>
              <w:bottom w:val="single" w:sz="4" w:space="0" w:color="auto"/>
              <w:right w:val="nil"/>
            </w:tcBorders>
            <w:vAlign w:val="bottom"/>
          </w:tcPr>
          <w:p w14:paraId="3F35FCBF" w14:textId="77777777" w:rsidR="004E2F51" w:rsidRPr="004B4498" w:rsidRDefault="004E2F51" w:rsidP="00E032FC">
            <w:pPr>
              <w:jc w:val="right"/>
              <w:rPr>
                <w:rFonts w:ascii="Arial" w:eastAsia="Calibri" w:hAnsi="Arial" w:cs="Arial"/>
                <w:color w:val="000000" w:themeColor="text1"/>
                <w:sz w:val="20"/>
                <w:szCs w:val="20"/>
                <w:lang w:val="hr-HR"/>
              </w:rPr>
            </w:pPr>
            <w:r w:rsidRPr="0046584E">
              <w:rPr>
                <w:rFonts w:ascii="Arial" w:eastAsia="Calibri" w:hAnsi="Arial" w:cs="Arial"/>
                <w:color w:val="000000" w:themeColor="text1"/>
                <w:sz w:val="20"/>
                <w:szCs w:val="20"/>
                <w:lang w:val="hr-HR"/>
              </w:rPr>
              <w:t>-</w:t>
            </w:r>
          </w:p>
        </w:tc>
      </w:tr>
      <w:tr w:rsidR="004E2F51" w:rsidRPr="003364B5" w14:paraId="025EFB71" w14:textId="77777777" w:rsidTr="00E032FC">
        <w:trPr>
          <w:trHeight w:val="385"/>
        </w:trPr>
        <w:tc>
          <w:tcPr>
            <w:tcW w:w="4365" w:type="dxa"/>
            <w:tcBorders>
              <w:top w:val="nil"/>
              <w:left w:val="nil"/>
              <w:bottom w:val="nil"/>
              <w:right w:val="nil"/>
            </w:tcBorders>
            <w:shd w:val="clear" w:color="auto" w:fill="auto"/>
            <w:vAlign w:val="bottom"/>
          </w:tcPr>
          <w:p w14:paraId="22BEE5E8" w14:textId="77777777" w:rsidR="004E2F51" w:rsidRPr="004B4498" w:rsidRDefault="004E2F51" w:rsidP="00E032FC">
            <w:pPr>
              <w:rPr>
                <w:rFonts w:ascii="Arial" w:eastAsia="Calibri" w:hAnsi="Arial" w:cs="Arial"/>
                <w:b/>
                <w:bCs/>
                <w:color w:val="000000" w:themeColor="text1"/>
                <w:sz w:val="20"/>
                <w:szCs w:val="20"/>
                <w:lang w:val="hr-HR"/>
              </w:rPr>
            </w:pPr>
            <w:r w:rsidRPr="004B4498">
              <w:rPr>
                <w:rFonts w:ascii="Arial" w:eastAsia="Calibri" w:hAnsi="Arial" w:cs="Arial"/>
                <w:b/>
                <w:bCs/>
                <w:color w:val="000000" w:themeColor="text1"/>
                <w:sz w:val="20"/>
                <w:szCs w:val="20"/>
                <w:lang w:val="hr-HR"/>
              </w:rPr>
              <w:t>Stanje na kraju izvještajnog razdoblja</w:t>
            </w:r>
          </w:p>
        </w:tc>
        <w:tc>
          <w:tcPr>
            <w:tcW w:w="1300" w:type="dxa"/>
            <w:tcBorders>
              <w:top w:val="single" w:sz="4" w:space="0" w:color="auto"/>
              <w:left w:val="nil"/>
              <w:bottom w:val="single" w:sz="12" w:space="0" w:color="auto"/>
              <w:right w:val="nil"/>
            </w:tcBorders>
            <w:shd w:val="clear" w:color="auto" w:fill="auto"/>
            <w:noWrap/>
            <w:vAlign w:val="bottom"/>
          </w:tcPr>
          <w:p w14:paraId="1086BBB8" w14:textId="77777777" w:rsidR="004E2F51" w:rsidRPr="004B4498" w:rsidRDefault="004E2F51" w:rsidP="00E032FC">
            <w:pPr>
              <w:jc w:val="right"/>
              <w:rPr>
                <w:rFonts w:ascii="Arial" w:eastAsia="Calibri" w:hAnsi="Arial" w:cs="Arial"/>
                <w:b/>
                <w:color w:val="000000" w:themeColor="text1"/>
                <w:sz w:val="20"/>
                <w:szCs w:val="20"/>
                <w:lang w:val="hr-HR"/>
              </w:rPr>
            </w:pPr>
            <w:r w:rsidRPr="008B50D6">
              <w:rPr>
                <w:rFonts w:ascii="Arial" w:eastAsia="Calibri" w:hAnsi="Arial" w:cs="Arial"/>
                <w:b/>
                <w:color w:val="000000" w:themeColor="text1"/>
                <w:sz w:val="20"/>
                <w:szCs w:val="20"/>
                <w:lang w:val="hr-HR"/>
              </w:rPr>
              <w:t>35.348</w:t>
            </w:r>
          </w:p>
        </w:tc>
        <w:tc>
          <w:tcPr>
            <w:tcW w:w="1484" w:type="dxa"/>
            <w:tcBorders>
              <w:top w:val="single" w:sz="4" w:space="0" w:color="auto"/>
              <w:left w:val="nil"/>
              <w:bottom w:val="single" w:sz="12" w:space="0" w:color="auto"/>
              <w:right w:val="nil"/>
            </w:tcBorders>
            <w:shd w:val="clear" w:color="auto" w:fill="auto"/>
            <w:vAlign w:val="bottom"/>
          </w:tcPr>
          <w:p w14:paraId="1BDC2B6E" w14:textId="77777777" w:rsidR="004E2F51" w:rsidRPr="004B4498" w:rsidRDefault="004E2F51" w:rsidP="00E032FC">
            <w:pPr>
              <w:jc w:val="right"/>
              <w:rPr>
                <w:rFonts w:ascii="Arial" w:eastAsia="Calibri" w:hAnsi="Arial" w:cs="Arial"/>
                <w:b/>
                <w:color w:val="000000" w:themeColor="text1"/>
                <w:sz w:val="20"/>
                <w:szCs w:val="20"/>
                <w:lang w:val="hr-HR"/>
              </w:rPr>
            </w:pPr>
            <w:r w:rsidRPr="0046584E">
              <w:rPr>
                <w:rFonts w:ascii="Arial" w:eastAsia="Calibri" w:hAnsi="Arial" w:cs="Arial"/>
                <w:b/>
                <w:color w:val="000000" w:themeColor="text1"/>
                <w:sz w:val="20"/>
                <w:szCs w:val="20"/>
                <w:lang w:val="hr-HR"/>
              </w:rPr>
              <w:t>31.851</w:t>
            </w:r>
          </w:p>
        </w:tc>
        <w:tc>
          <w:tcPr>
            <w:tcW w:w="1215" w:type="dxa"/>
            <w:tcBorders>
              <w:top w:val="single" w:sz="4" w:space="0" w:color="auto"/>
              <w:left w:val="nil"/>
              <w:bottom w:val="single" w:sz="12" w:space="0" w:color="auto"/>
              <w:right w:val="nil"/>
            </w:tcBorders>
            <w:shd w:val="clear" w:color="auto" w:fill="auto"/>
            <w:vAlign w:val="bottom"/>
          </w:tcPr>
          <w:p w14:paraId="687AED88" w14:textId="77777777" w:rsidR="004E2F51" w:rsidRPr="004B4498" w:rsidRDefault="004E2F51" w:rsidP="00E032FC">
            <w:pPr>
              <w:jc w:val="right"/>
              <w:rPr>
                <w:rFonts w:ascii="Arial" w:eastAsia="Calibri" w:hAnsi="Arial" w:cs="Arial"/>
                <w:b/>
                <w:color w:val="000000" w:themeColor="text1"/>
                <w:sz w:val="20"/>
                <w:szCs w:val="20"/>
                <w:lang w:val="hr-HR"/>
              </w:rPr>
            </w:pPr>
            <w:r w:rsidRPr="00165E42">
              <w:rPr>
                <w:rFonts w:ascii="Arial" w:eastAsia="Calibri" w:hAnsi="Arial" w:cs="Arial"/>
                <w:b/>
                <w:color w:val="000000" w:themeColor="text1"/>
                <w:sz w:val="20"/>
                <w:szCs w:val="20"/>
                <w:lang w:val="hr-HR"/>
              </w:rPr>
              <w:t>35.175</w:t>
            </w:r>
          </w:p>
        </w:tc>
        <w:tc>
          <w:tcPr>
            <w:tcW w:w="1298" w:type="dxa"/>
            <w:tcBorders>
              <w:top w:val="single" w:sz="4" w:space="0" w:color="auto"/>
              <w:left w:val="nil"/>
              <w:bottom w:val="single" w:sz="12" w:space="0" w:color="auto"/>
              <w:right w:val="nil"/>
            </w:tcBorders>
            <w:vAlign w:val="bottom"/>
          </w:tcPr>
          <w:p w14:paraId="4EF75AB0" w14:textId="77777777" w:rsidR="004E2F51" w:rsidRPr="004B4498" w:rsidRDefault="004E2F51" w:rsidP="00E032FC">
            <w:pPr>
              <w:jc w:val="right"/>
              <w:rPr>
                <w:rFonts w:ascii="Arial" w:eastAsia="Calibri" w:hAnsi="Arial" w:cs="Arial"/>
                <w:b/>
                <w:color w:val="000000" w:themeColor="text1"/>
                <w:sz w:val="20"/>
                <w:szCs w:val="20"/>
                <w:lang w:val="hr-HR"/>
              </w:rPr>
            </w:pPr>
            <w:r w:rsidRPr="0046584E">
              <w:rPr>
                <w:rFonts w:ascii="Arial" w:eastAsia="Calibri" w:hAnsi="Arial" w:cs="Arial"/>
                <w:b/>
                <w:color w:val="000000" w:themeColor="text1"/>
                <w:sz w:val="20"/>
                <w:szCs w:val="20"/>
                <w:lang w:val="hr-HR"/>
              </w:rPr>
              <w:t>31.697</w:t>
            </w:r>
          </w:p>
        </w:tc>
      </w:tr>
    </w:tbl>
    <w:p w14:paraId="10E0C7F0"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1A630A46" w14:textId="77777777" w:rsidR="004E2F51" w:rsidRPr="004B4498" w:rsidRDefault="004E2F51" w:rsidP="004E2F51">
      <w:pPr>
        <w:pStyle w:val="T1"/>
        <w:spacing w:before="120" w:after="0" w:line="240" w:lineRule="auto"/>
        <w:rPr>
          <w:rFonts w:cs="Arial"/>
          <w:b w:val="0"/>
          <w:color w:val="000000" w:themeColor="text1"/>
          <w:sz w:val="20"/>
          <w:lang w:val="hr-HR"/>
        </w:rPr>
        <w:sectPr w:rsidR="004E2F51" w:rsidRPr="004B4498" w:rsidSect="00623DBA">
          <w:footerReference w:type="default" r:id="rId148"/>
          <w:pgSz w:w="11907" w:h="16840" w:code="9"/>
          <w:pgMar w:top="1418" w:right="1134" w:bottom="1134" w:left="1418" w:header="851" w:footer="851" w:gutter="0"/>
          <w:cols w:space="720"/>
          <w:noEndnote/>
        </w:sectPr>
      </w:pPr>
      <w:r w:rsidRPr="004B4498">
        <w:rPr>
          <w:rFonts w:cs="Arial"/>
          <w:b w:val="0"/>
          <w:color w:val="000000" w:themeColor="text1"/>
          <w:sz w:val="20"/>
          <w:lang w:val="hr-HR"/>
        </w:rPr>
        <w:t>Neto dobit/gubitak od tečajnih razlika po rezerviranjima za očekivane gubitke prikazane su unutar Neto prihoda/(rashoda) od financijskih aktivnosti u Računu dobiti i gubitku.</w:t>
      </w:r>
    </w:p>
    <w:p w14:paraId="648DDFDE" w14:textId="77777777" w:rsidR="004E2F51" w:rsidRPr="004B4498" w:rsidRDefault="004E2F51" w:rsidP="004E2F51">
      <w:pPr>
        <w:pStyle w:val="T1"/>
        <w:spacing w:before="0" w:after="0" w:line="240" w:lineRule="auto"/>
        <w:rPr>
          <w:rFonts w:cs="Arial"/>
          <w:color w:val="000000" w:themeColor="text1"/>
          <w:sz w:val="20"/>
          <w:lang w:val="hr-HR"/>
        </w:rPr>
      </w:pPr>
    </w:p>
    <w:p w14:paraId="31D22995"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Pr>
          <w:rFonts w:cs="Arial"/>
          <w:color w:val="000000" w:themeColor="text1"/>
          <w:sz w:val="20"/>
          <w:lang w:val="hr-HR"/>
        </w:rPr>
        <w:t>2</w:t>
      </w:r>
      <w:r w:rsidRPr="004B4498">
        <w:rPr>
          <w:rFonts w:cs="Arial"/>
          <w:color w:val="000000" w:themeColor="text1"/>
          <w:sz w:val="20"/>
          <w:lang w:val="hr-HR"/>
        </w:rPr>
        <w:t>.</w:t>
      </w:r>
      <w:r w:rsidRPr="004B4498">
        <w:rPr>
          <w:rFonts w:cs="Arial"/>
          <w:color w:val="000000" w:themeColor="text1"/>
          <w:sz w:val="20"/>
          <w:lang w:val="hr-HR"/>
        </w:rPr>
        <w:tab/>
        <w:t>Obveze po depozitima</w:t>
      </w:r>
    </w:p>
    <w:p w14:paraId="6691FC1D" w14:textId="77777777" w:rsidR="004E2F51" w:rsidRPr="004B4498" w:rsidRDefault="004E2F51" w:rsidP="004E2F51">
      <w:pPr>
        <w:pStyle w:val="T1"/>
        <w:spacing w:before="0" w:after="0" w:line="240" w:lineRule="auto"/>
        <w:rPr>
          <w:rFonts w:cs="Arial"/>
          <w:color w:val="000000" w:themeColor="text1"/>
          <w:sz w:val="20"/>
          <w:lang w:val="hr-HR"/>
        </w:rPr>
      </w:pPr>
    </w:p>
    <w:tbl>
      <w:tblPr>
        <w:tblW w:w="5000" w:type="pct"/>
        <w:tblLayout w:type="fixed"/>
        <w:tblCellMar>
          <w:left w:w="119" w:type="dxa"/>
          <w:right w:w="119" w:type="dxa"/>
        </w:tblCellMar>
        <w:tblLook w:val="0000" w:firstRow="0" w:lastRow="0" w:firstColumn="0" w:lastColumn="0" w:noHBand="0" w:noVBand="0"/>
      </w:tblPr>
      <w:tblGrid>
        <w:gridCol w:w="5954"/>
        <w:gridCol w:w="1983"/>
        <w:gridCol w:w="1418"/>
      </w:tblGrid>
      <w:tr w:rsidR="004E2F51" w:rsidRPr="003364B5" w14:paraId="4A55CC9A" w14:textId="77777777" w:rsidTr="00E032FC">
        <w:trPr>
          <w:trHeight w:val="156"/>
        </w:trPr>
        <w:tc>
          <w:tcPr>
            <w:tcW w:w="3182" w:type="pct"/>
          </w:tcPr>
          <w:p w14:paraId="0981CD37" w14:textId="77777777" w:rsidR="004E2F51" w:rsidRPr="004B4498" w:rsidRDefault="004E2F51" w:rsidP="00E032FC">
            <w:pPr>
              <w:tabs>
                <w:tab w:val="left" w:pos="-1962"/>
              </w:tabs>
              <w:rPr>
                <w:rFonts w:ascii="Arial" w:hAnsi="Arial" w:cs="Arial"/>
                <w:color w:val="000000" w:themeColor="text1"/>
                <w:spacing w:val="-3"/>
                <w:sz w:val="20"/>
                <w:szCs w:val="20"/>
                <w:lang w:val="hr-HR"/>
              </w:rPr>
            </w:pPr>
          </w:p>
        </w:tc>
        <w:tc>
          <w:tcPr>
            <w:tcW w:w="1818" w:type="pct"/>
            <w:gridSpan w:val="2"/>
          </w:tcPr>
          <w:p w14:paraId="53AA60F0" w14:textId="77777777" w:rsidR="004E2F51" w:rsidRPr="004B4498" w:rsidRDefault="004E2F51" w:rsidP="00E032FC">
            <w:pPr>
              <w:pStyle w:val="TH"/>
              <w:jc w:val="right"/>
              <w:rPr>
                <w:rFonts w:cs="Arial"/>
                <w:color w:val="000000" w:themeColor="text1"/>
                <w:sz w:val="20"/>
                <w:lang w:val="hr-HR"/>
              </w:rPr>
            </w:pPr>
            <w:bookmarkStart w:id="1215" w:name="_Toc67328693"/>
            <w:r w:rsidRPr="004B4498">
              <w:rPr>
                <w:rFonts w:cs="Arial"/>
                <w:color w:val="000000" w:themeColor="text1"/>
                <w:sz w:val="20"/>
                <w:lang w:val="hr-HR"/>
              </w:rPr>
              <w:t>Grupa i Banka</w:t>
            </w:r>
            <w:bookmarkEnd w:id="1215"/>
          </w:p>
        </w:tc>
      </w:tr>
      <w:tr w:rsidR="004E2F51" w:rsidRPr="003364B5" w14:paraId="49742A0E" w14:textId="77777777" w:rsidTr="00E032FC">
        <w:trPr>
          <w:trHeight w:val="588"/>
        </w:trPr>
        <w:tc>
          <w:tcPr>
            <w:tcW w:w="3182" w:type="pct"/>
          </w:tcPr>
          <w:p w14:paraId="5896FB9F" w14:textId="77777777" w:rsidR="004E2F51" w:rsidRPr="004B4498" w:rsidRDefault="004E2F51" w:rsidP="00E032FC">
            <w:pPr>
              <w:tabs>
                <w:tab w:val="left" w:pos="-1962"/>
              </w:tabs>
              <w:rPr>
                <w:rFonts w:ascii="Arial" w:hAnsi="Arial" w:cs="Arial"/>
                <w:color w:val="000000" w:themeColor="text1"/>
                <w:spacing w:val="-3"/>
                <w:sz w:val="20"/>
                <w:szCs w:val="20"/>
                <w:lang w:val="hr-HR"/>
              </w:rPr>
            </w:pPr>
          </w:p>
        </w:tc>
        <w:tc>
          <w:tcPr>
            <w:tcW w:w="1060" w:type="pct"/>
            <w:vAlign w:val="center"/>
          </w:tcPr>
          <w:p w14:paraId="333FEE23" w14:textId="77777777" w:rsidR="004E2F51" w:rsidRPr="004B4498" w:rsidRDefault="004E2F51" w:rsidP="00E032FC">
            <w:pPr>
              <w:pStyle w:val="TH"/>
              <w:jc w:val="right"/>
              <w:rPr>
                <w:rFonts w:cs="Arial"/>
                <w:color w:val="000000" w:themeColor="text1"/>
                <w:sz w:val="20"/>
                <w:lang w:val="hr-HR"/>
              </w:rPr>
            </w:pPr>
            <w:bookmarkStart w:id="1216" w:name="_Toc67328694"/>
            <w:r w:rsidRPr="004B4498">
              <w:rPr>
                <w:rFonts w:cs="Arial"/>
                <w:color w:val="000000" w:themeColor="text1"/>
                <w:sz w:val="20"/>
                <w:lang w:val="hr-HR"/>
              </w:rPr>
              <w:t xml:space="preserve">31. prosinca </w:t>
            </w:r>
          </w:p>
          <w:p w14:paraId="369F735B" w14:textId="77777777" w:rsidR="004E2F51" w:rsidRPr="004B4498" w:rsidRDefault="004E2F51" w:rsidP="00E032FC">
            <w:pPr>
              <w:pStyle w:val="TH"/>
              <w:jc w:val="right"/>
              <w:rPr>
                <w:rFonts w:cs="Arial"/>
                <w:color w:val="000000" w:themeColor="text1"/>
                <w:sz w:val="20"/>
                <w:lang w:val="hr-HR"/>
              </w:rPr>
            </w:pPr>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1216"/>
          </w:p>
        </w:tc>
        <w:tc>
          <w:tcPr>
            <w:tcW w:w="758" w:type="pct"/>
            <w:vAlign w:val="center"/>
          </w:tcPr>
          <w:p w14:paraId="1E193E35" w14:textId="77777777" w:rsidR="004E2F51" w:rsidRPr="004B4498" w:rsidRDefault="004E2F51" w:rsidP="00E032FC">
            <w:pPr>
              <w:pStyle w:val="TH"/>
              <w:jc w:val="right"/>
              <w:rPr>
                <w:rFonts w:cs="Arial"/>
                <w:color w:val="000000" w:themeColor="text1"/>
                <w:sz w:val="20"/>
                <w:lang w:val="hr-HR"/>
              </w:rPr>
            </w:pPr>
            <w:bookmarkStart w:id="1217" w:name="_Toc67328695"/>
            <w:r w:rsidRPr="004B4498">
              <w:rPr>
                <w:rFonts w:cs="Arial"/>
                <w:color w:val="000000" w:themeColor="text1"/>
                <w:sz w:val="20"/>
                <w:lang w:val="hr-HR"/>
              </w:rPr>
              <w:t>31. prosinca 202</w:t>
            </w:r>
            <w:r>
              <w:rPr>
                <w:rFonts w:cs="Arial"/>
                <w:color w:val="000000" w:themeColor="text1"/>
                <w:sz w:val="20"/>
                <w:lang w:val="hr-HR"/>
              </w:rPr>
              <w:t>1</w:t>
            </w:r>
            <w:r w:rsidRPr="004B4498">
              <w:rPr>
                <w:rFonts w:cs="Arial"/>
                <w:color w:val="000000" w:themeColor="text1"/>
                <w:sz w:val="20"/>
                <w:lang w:val="hr-HR"/>
              </w:rPr>
              <w:t>.</w:t>
            </w:r>
            <w:bookmarkEnd w:id="1217"/>
          </w:p>
        </w:tc>
      </w:tr>
      <w:tr w:rsidR="004E2F51" w:rsidRPr="003364B5" w14:paraId="5694DC1E" w14:textId="77777777" w:rsidTr="00E032FC">
        <w:trPr>
          <w:trHeight w:val="300"/>
        </w:trPr>
        <w:tc>
          <w:tcPr>
            <w:tcW w:w="3182" w:type="pct"/>
          </w:tcPr>
          <w:p w14:paraId="087E3AC6" w14:textId="77777777" w:rsidR="004E2F51" w:rsidRPr="004B4498" w:rsidRDefault="004E2F51" w:rsidP="00E032FC">
            <w:pPr>
              <w:tabs>
                <w:tab w:val="left" w:pos="-1962"/>
              </w:tabs>
              <w:rPr>
                <w:rFonts w:ascii="Arial" w:hAnsi="Arial" w:cs="Arial"/>
                <w:color w:val="000000" w:themeColor="text1"/>
                <w:spacing w:val="-3"/>
                <w:sz w:val="20"/>
                <w:szCs w:val="20"/>
                <w:lang w:val="hr-HR"/>
              </w:rPr>
            </w:pPr>
          </w:p>
        </w:tc>
        <w:tc>
          <w:tcPr>
            <w:tcW w:w="1060" w:type="pct"/>
            <w:vAlign w:val="bottom"/>
          </w:tcPr>
          <w:p w14:paraId="6DA16FAE" w14:textId="77777777" w:rsidR="004E2F51" w:rsidRPr="004B4498" w:rsidRDefault="004E2F51" w:rsidP="00E032FC">
            <w:pPr>
              <w:jc w:val="right"/>
              <w:rPr>
                <w:rFonts w:ascii="Arial" w:hAnsi="Arial" w:cs="Arial"/>
                <w:b/>
                <w:color w:val="000000" w:themeColor="text1"/>
                <w:spacing w:val="-3"/>
                <w:sz w:val="20"/>
                <w:szCs w:val="20"/>
                <w:lang w:val="hr-HR"/>
              </w:rPr>
            </w:pPr>
            <w:r w:rsidRPr="004B4498">
              <w:rPr>
                <w:rFonts w:ascii="Arial" w:hAnsi="Arial" w:cs="Arial"/>
                <w:b/>
                <w:color w:val="000000" w:themeColor="text1"/>
                <w:spacing w:val="-3"/>
                <w:sz w:val="20"/>
                <w:szCs w:val="20"/>
                <w:lang w:val="hr-HR"/>
              </w:rPr>
              <w:t>000 kuna</w:t>
            </w:r>
          </w:p>
        </w:tc>
        <w:tc>
          <w:tcPr>
            <w:tcW w:w="758" w:type="pct"/>
            <w:vAlign w:val="bottom"/>
          </w:tcPr>
          <w:p w14:paraId="6546576D" w14:textId="77777777" w:rsidR="004E2F51" w:rsidRPr="004B4498" w:rsidRDefault="004E2F51" w:rsidP="00E032FC">
            <w:pPr>
              <w:jc w:val="right"/>
              <w:rPr>
                <w:rFonts w:ascii="Arial" w:hAnsi="Arial" w:cs="Arial"/>
                <w:b/>
                <w:color w:val="000000" w:themeColor="text1"/>
                <w:spacing w:val="-3"/>
                <w:sz w:val="20"/>
                <w:szCs w:val="20"/>
                <w:lang w:val="hr-HR"/>
              </w:rPr>
            </w:pPr>
            <w:r w:rsidRPr="004B4498">
              <w:rPr>
                <w:rFonts w:ascii="Arial" w:hAnsi="Arial" w:cs="Arial"/>
                <w:b/>
                <w:color w:val="000000" w:themeColor="text1"/>
                <w:spacing w:val="-3"/>
                <w:sz w:val="20"/>
                <w:szCs w:val="20"/>
                <w:lang w:val="hr-HR"/>
              </w:rPr>
              <w:t>000 kuna</w:t>
            </w:r>
          </w:p>
        </w:tc>
      </w:tr>
      <w:tr w:rsidR="004E2F51" w:rsidRPr="003364B5" w14:paraId="4F872F38" w14:textId="77777777" w:rsidTr="00E032FC">
        <w:trPr>
          <w:trHeight w:val="300"/>
        </w:trPr>
        <w:tc>
          <w:tcPr>
            <w:tcW w:w="3182" w:type="pct"/>
          </w:tcPr>
          <w:p w14:paraId="27CD5DD7" w14:textId="77777777" w:rsidR="004E2F51" w:rsidRPr="004B4498" w:rsidRDefault="004E2F51" w:rsidP="00E032FC">
            <w:pPr>
              <w:tabs>
                <w:tab w:val="left" w:pos="-1962"/>
              </w:tabs>
              <w:rPr>
                <w:rFonts w:ascii="Arial" w:hAnsi="Arial" w:cs="Arial"/>
                <w:color w:val="000000" w:themeColor="text1"/>
                <w:spacing w:val="-3"/>
                <w:sz w:val="20"/>
                <w:szCs w:val="20"/>
                <w:lang w:val="hr-HR"/>
              </w:rPr>
            </w:pPr>
          </w:p>
        </w:tc>
        <w:tc>
          <w:tcPr>
            <w:tcW w:w="1060" w:type="pct"/>
            <w:vAlign w:val="bottom"/>
          </w:tcPr>
          <w:p w14:paraId="0C95CD03" w14:textId="77777777" w:rsidR="004E2F51" w:rsidRPr="004B4498" w:rsidRDefault="004E2F51" w:rsidP="00E032FC">
            <w:pPr>
              <w:jc w:val="right"/>
              <w:rPr>
                <w:rFonts w:ascii="Arial" w:hAnsi="Arial" w:cs="Arial"/>
                <w:b/>
                <w:color w:val="000000" w:themeColor="text1"/>
                <w:spacing w:val="-3"/>
                <w:sz w:val="20"/>
                <w:szCs w:val="20"/>
                <w:lang w:val="hr-HR"/>
              </w:rPr>
            </w:pPr>
          </w:p>
        </w:tc>
        <w:tc>
          <w:tcPr>
            <w:tcW w:w="758" w:type="pct"/>
            <w:vAlign w:val="bottom"/>
          </w:tcPr>
          <w:p w14:paraId="69E69FA3" w14:textId="77777777" w:rsidR="004E2F51" w:rsidRPr="004B4498" w:rsidRDefault="004E2F51" w:rsidP="00E032FC">
            <w:pPr>
              <w:jc w:val="right"/>
              <w:rPr>
                <w:rFonts w:ascii="Arial" w:hAnsi="Arial" w:cs="Arial"/>
                <w:b/>
                <w:color w:val="000000" w:themeColor="text1"/>
                <w:spacing w:val="-3"/>
                <w:sz w:val="20"/>
                <w:szCs w:val="20"/>
                <w:lang w:val="hr-HR"/>
              </w:rPr>
            </w:pPr>
          </w:p>
        </w:tc>
      </w:tr>
      <w:tr w:rsidR="004E2F51" w:rsidRPr="003364B5" w14:paraId="53006D26" w14:textId="77777777" w:rsidTr="00E032FC">
        <w:trPr>
          <w:trHeight w:val="120"/>
        </w:trPr>
        <w:tc>
          <w:tcPr>
            <w:tcW w:w="3182" w:type="pct"/>
            <w:vAlign w:val="bottom"/>
          </w:tcPr>
          <w:p w14:paraId="102B4C9E" w14:textId="77777777" w:rsidR="004E2F51" w:rsidRPr="004B4498" w:rsidRDefault="004E2F51" w:rsidP="00E032FC">
            <w:pPr>
              <w:pStyle w:val="TT"/>
              <w:rPr>
                <w:rFonts w:cs="Arial"/>
                <w:color w:val="000000" w:themeColor="text1"/>
                <w:sz w:val="20"/>
                <w:lang w:val="hr-HR"/>
              </w:rPr>
            </w:pPr>
            <w:r w:rsidRPr="00393683">
              <w:rPr>
                <w:rFonts w:cs="Arial"/>
                <w:color w:val="000000" w:themeColor="text1"/>
                <w:sz w:val="20"/>
                <w:lang w:val="hr-HR"/>
              </w:rPr>
              <w:t>Depoziti banaka i devizni depoziti stranih financijskih institucija</w:t>
            </w:r>
          </w:p>
        </w:tc>
        <w:tc>
          <w:tcPr>
            <w:tcW w:w="1060" w:type="pct"/>
            <w:tcBorders>
              <w:top w:val="nil"/>
              <w:left w:val="nil"/>
              <w:bottom w:val="nil"/>
              <w:right w:val="nil"/>
            </w:tcBorders>
            <w:shd w:val="clear" w:color="auto" w:fill="auto"/>
            <w:vAlign w:val="bottom"/>
          </w:tcPr>
          <w:p w14:paraId="6826F1A2" w14:textId="77777777" w:rsidR="004E2F51" w:rsidRPr="004B4498" w:rsidRDefault="004E2F51" w:rsidP="00E032FC">
            <w:pPr>
              <w:pStyle w:val="TT"/>
              <w:spacing w:line="240" w:lineRule="auto"/>
              <w:jc w:val="right"/>
              <w:rPr>
                <w:rFonts w:cs="Arial"/>
                <w:color w:val="000000" w:themeColor="text1"/>
                <w:sz w:val="20"/>
                <w:lang w:val="hr-HR"/>
              </w:rPr>
            </w:pPr>
            <w:r w:rsidRPr="002A4185">
              <w:rPr>
                <w:rFonts w:cs="Arial"/>
                <w:color w:val="000000" w:themeColor="text1"/>
                <w:sz w:val="20"/>
                <w:lang w:val="hr-HR"/>
              </w:rPr>
              <w:t>150.690</w:t>
            </w:r>
          </w:p>
        </w:tc>
        <w:tc>
          <w:tcPr>
            <w:tcW w:w="758" w:type="pct"/>
            <w:tcBorders>
              <w:top w:val="nil"/>
              <w:left w:val="nil"/>
              <w:bottom w:val="nil"/>
              <w:right w:val="nil"/>
            </w:tcBorders>
            <w:shd w:val="clear" w:color="auto" w:fill="auto"/>
            <w:vAlign w:val="bottom"/>
          </w:tcPr>
          <w:p w14:paraId="3910C272"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417.163</w:t>
            </w:r>
          </w:p>
        </w:tc>
      </w:tr>
      <w:tr w:rsidR="004E2F51" w:rsidRPr="003364B5" w14:paraId="474F22F4" w14:textId="77777777" w:rsidTr="00E032FC">
        <w:trPr>
          <w:trHeight w:val="120"/>
        </w:trPr>
        <w:tc>
          <w:tcPr>
            <w:tcW w:w="3182" w:type="pct"/>
            <w:vAlign w:val="bottom"/>
          </w:tcPr>
          <w:p w14:paraId="52682D8F" w14:textId="77777777" w:rsidR="004E2F51" w:rsidRPr="004B4498" w:rsidRDefault="004E2F51" w:rsidP="00E032FC">
            <w:pPr>
              <w:pStyle w:val="TT"/>
              <w:rPr>
                <w:rFonts w:cs="Arial"/>
                <w:color w:val="000000" w:themeColor="text1"/>
                <w:sz w:val="20"/>
                <w:lang w:val="hr-HR"/>
              </w:rPr>
            </w:pPr>
            <w:bookmarkStart w:id="1218" w:name="_Toc67328698"/>
            <w:r w:rsidRPr="004B4498">
              <w:rPr>
                <w:rFonts w:cs="Arial"/>
                <w:color w:val="000000" w:themeColor="text1"/>
                <w:sz w:val="20"/>
                <w:lang w:val="hr-HR"/>
              </w:rPr>
              <w:t>Devizni redovni računi trgovačkih društava</w:t>
            </w:r>
            <w:bookmarkEnd w:id="1218"/>
          </w:p>
        </w:tc>
        <w:tc>
          <w:tcPr>
            <w:tcW w:w="1060" w:type="pct"/>
            <w:tcBorders>
              <w:top w:val="nil"/>
              <w:left w:val="nil"/>
              <w:bottom w:val="nil"/>
              <w:right w:val="nil"/>
            </w:tcBorders>
            <w:shd w:val="clear" w:color="auto" w:fill="auto"/>
            <w:vAlign w:val="bottom"/>
          </w:tcPr>
          <w:p w14:paraId="01A8B03A" w14:textId="77777777" w:rsidR="004E2F51" w:rsidRPr="004B4498" w:rsidRDefault="004E2F51" w:rsidP="00E032FC">
            <w:pPr>
              <w:pStyle w:val="TT"/>
              <w:spacing w:line="240" w:lineRule="auto"/>
              <w:jc w:val="right"/>
              <w:rPr>
                <w:rFonts w:cs="Arial"/>
                <w:color w:val="000000" w:themeColor="text1"/>
                <w:sz w:val="20"/>
                <w:lang w:val="hr-HR"/>
              </w:rPr>
            </w:pPr>
            <w:r w:rsidRPr="002A4185">
              <w:rPr>
                <w:rFonts w:cs="Arial"/>
                <w:color w:val="000000" w:themeColor="text1"/>
                <w:sz w:val="20"/>
                <w:lang w:val="hr-HR"/>
              </w:rPr>
              <w:t>6</w:t>
            </w:r>
          </w:p>
        </w:tc>
        <w:tc>
          <w:tcPr>
            <w:tcW w:w="758" w:type="pct"/>
            <w:tcBorders>
              <w:top w:val="nil"/>
              <w:left w:val="nil"/>
              <w:bottom w:val="nil"/>
              <w:right w:val="nil"/>
            </w:tcBorders>
            <w:shd w:val="clear" w:color="auto" w:fill="auto"/>
            <w:vAlign w:val="bottom"/>
          </w:tcPr>
          <w:p w14:paraId="3F7D5C6A"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6</w:t>
            </w:r>
          </w:p>
        </w:tc>
      </w:tr>
      <w:tr w:rsidR="004E2F51" w:rsidRPr="003364B5" w14:paraId="5C2F6AD0" w14:textId="77777777" w:rsidTr="00E032FC">
        <w:trPr>
          <w:trHeight w:val="120"/>
        </w:trPr>
        <w:tc>
          <w:tcPr>
            <w:tcW w:w="3182" w:type="pct"/>
            <w:vAlign w:val="bottom"/>
          </w:tcPr>
          <w:p w14:paraId="41FCC4C8" w14:textId="77777777" w:rsidR="004E2F51" w:rsidRPr="004B4498" w:rsidRDefault="004E2F51" w:rsidP="00E032FC">
            <w:pPr>
              <w:pStyle w:val="TT"/>
              <w:rPr>
                <w:rFonts w:cs="Arial"/>
                <w:color w:val="000000" w:themeColor="text1"/>
                <w:spacing w:val="-2"/>
                <w:sz w:val="20"/>
                <w:lang w:val="hr-HR"/>
              </w:rPr>
            </w:pPr>
            <w:bookmarkStart w:id="1219" w:name="_Toc67328700"/>
            <w:r w:rsidRPr="004B4498">
              <w:rPr>
                <w:rFonts w:cs="Arial"/>
                <w:color w:val="000000" w:themeColor="text1"/>
                <w:spacing w:val="-2"/>
                <w:sz w:val="20"/>
                <w:lang w:val="hr-HR"/>
              </w:rPr>
              <w:t>Devizni račun Ministarstva financija RH</w:t>
            </w:r>
            <w:bookmarkEnd w:id="1219"/>
          </w:p>
        </w:tc>
        <w:tc>
          <w:tcPr>
            <w:tcW w:w="1060" w:type="pct"/>
            <w:tcBorders>
              <w:top w:val="nil"/>
              <w:left w:val="nil"/>
              <w:bottom w:val="nil"/>
              <w:right w:val="nil"/>
            </w:tcBorders>
            <w:shd w:val="clear" w:color="auto" w:fill="auto"/>
            <w:vAlign w:val="bottom"/>
          </w:tcPr>
          <w:p w14:paraId="1915F3D7" w14:textId="77777777" w:rsidR="004E2F51" w:rsidRPr="004B4498" w:rsidRDefault="004E2F51" w:rsidP="00E032FC">
            <w:pPr>
              <w:pStyle w:val="TT"/>
              <w:spacing w:line="240" w:lineRule="auto"/>
              <w:jc w:val="right"/>
              <w:rPr>
                <w:rFonts w:cs="Arial"/>
                <w:color w:val="000000" w:themeColor="text1"/>
                <w:sz w:val="20"/>
                <w:lang w:val="hr-HR"/>
              </w:rPr>
            </w:pPr>
            <w:r w:rsidRPr="002A4185">
              <w:rPr>
                <w:rFonts w:cs="Arial"/>
                <w:color w:val="000000" w:themeColor="text1"/>
                <w:sz w:val="20"/>
                <w:lang w:val="hr-HR"/>
              </w:rPr>
              <w:t>71.076</w:t>
            </w:r>
          </w:p>
        </w:tc>
        <w:tc>
          <w:tcPr>
            <w:tcW w:w="758" w:type="pct"/>
            <w:tcBorders>
              <w:top w:val="nil"/>
              <w:left w:val="nil"/>
              <w:bottom w:val="nil"/>
              <w:right w:val="nil"/>
            </w:tcBorders>
            <w:shd w:val="clear" w:color="auto" w:fill="auto"/>
            <w:vAlign w:val="bottom"/>
          </w:tcPr>
          <w:p w14:paraId="7A384802"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96.666</w:t>
            </w:r>
          </w:p>
        </w:tc>
      </w:tr>
      <w:tr w:rsidR="004E2F51" w:rsidRPr="003364B5" w14:paraId="610CF443" w14:textId="77777777" w:rsidTr="00E032FC">
        <w:trPr>
          <w:trHeight w:val="120"/>
        </w:trPr>
        <w:tc>
          <w:tcPr>
            <w:tcW w:w="3182" w:type="pct"/>
            <w:vAlign w:val="bottom"/>
          </w:tcPr>
          <w:p w14:paraId="22219198" w14:textId="77777777" w:rsidR="004E2F51" w:rsidRPr="004B4498" w:rsidRDefault="004E2F51" w:rsidP="00E032FC">
            <w:pPr>
              <w:pStyle w:val="TT"/>
              <w:rPr>
                <w:rFonts w:cs="Arial"/>
                <w:color w:val="000000" w:themeColor="text1"/>
                <w:spacing w:val="-2"/>
                <w:sz w:val="20"/>
                <w:lang w:val="hr-HR"/>
              </w:rPr>
            </w:pPr>
            <w:bookmarkStart w:id="1220" w:name="_Toc67328702"/>
            <w:r w:rsidRPr="004B4498">
              <w:rPr>
                <w:rFonts w:cs="Arial"/>
                <w:color w:val="000000" w:themeColor="text1"/>
                <w:spacing w:val="-2"/>
                <w:sz w:val="20"/>
                <w:lang w:val="hr-HR"/>
              </w:rPr>
              <w:t>Devizni namjenski računi trgovačkih društava</w:t>
            </w:r>
            <w:bookmarkEnd w:id="1220"/>
            <w:r w:rsidRPr="004B4498">
              <w:rPr>
                <w:rFonts w:cs="Arial"/>
                <w:color w:val="000000" w:themeColor="text1"/>
                <w:spacing w:val="-2"/>
                <w:sz w:val="20"/>
                <w:lang w:val="hr-HR"/>
              </w:rPr>
              <w:t xml:space="preserve"> </w:t>
            </w:r>
          </w:p>
        </w:tc>
        <w:tc>
          <w:tcPr>
            <w:tcW w:w="1060" w:type="pct"/>
            <w:tcBorders>
              <w:top w:val="nil"/>
              <w:left w:val="nil"/>
              <w:bottom w:val="nil"/>
              <w:right w:val="nil"/>
            </w:tcBorders>
            <w:shd w:val="clear" w:color="auto" w:fill="auto"/>
            <w:vAlign w:val="bottom"/>
          </w:tcPr>
          <w:p w14:paraId="7CDB3A80" w14:textId="77777777" w:rsidR="004E2F51" w:rsidRPr="004B4498" w:rsidRDefault="004E2F51" w:rsidP="00E032FC">
            <w:pPr>
              <w:pStyle w:val="TT"/>
              <w:spacing w:line="240" w:lineRule="auto"/>
              <w:jc w:val="right"/>
              <w:rPr>
                <w:rFonts w:cs="Arial"/>
                <w:color w:val="000000" w:themeColor="text1"/>
                <w:sz w:val="20"/>
                <w:lang w:val="hr-HR"/>
              </w:rPr>
            </w:pPr>
            <w:r w:rsidRPr="002A4185">
              <w:rPr>
                <w:rFonts w:cs="Arial"/>
                <w:color w:val="000000" w:themeColor="text1"/>
                <w:sz w:val="20"/>
                <w:lang w:val="hr-HR"/>
              </w:rPr>
              <w:t>52.411</w:t>
            </w:r>
          </w:p>
        </w:tc>
        <w:tc>
          <w:tcPr>
            <w:tcW w:w="758" w:type="pct"/>
            <w:tcBorders>
              <w:top w:val="nil"/>
              <w:left w:val="nil"/>
              <w:bottom w:val="nil"/>
              <w:right w:val="nil"/>
            </w:tcBorders>
            <w:shd w:val="clear" w:color="auto" w:fill="auto"/>
            <w:vAlign w:val="bottom"/>
          </w:tcPr>
          <w:p w14:paraId="016028E1"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58.567</w:t>
            </w:r>
          </w:p>
        </w:tc>
      </w:tr>
      <w:tr w:rsidR="004E2F51" w:rsidRPr="003364B5" w14:paraId="0103100B" w14:textId="77777777" w:rsidTr="00E032FC">
        <w:trPr>
          <w:trHeight w:val="120"/>
        </w:trPr>
        <w:tc>
          <w:tcPr>
            <w:tcW w:w="3182" w:type="pct"/>
            <w:vAlign w:val="bottom"/>
          </w:tcPr>
          <w:p w14:paraId="490394D8" w14:textId="77777777" w:rsidR="004E2F51" w:rsidRPr="004B4498" w:rsidRDefault="004E2F51" w:rsidP="00E032FC">
            <w:pPr>
              <w:pStyle w:val="TT"/>
              <w:rPr>
                <w:rFonts w:cs="Arial"/>
                <w:color w:val="000000" w:themeColor="text1"/>
                <w:spacing w:val="-2"/>
                <w:sz w:val="20"/>
                <w:lang w:val="hr-HR"/>
              </w:rPr>
            </w:pPr>
            <w:r w:rsidRPr="00393683">
              <w:rPr>
                <w:rFonts w:cs="Arial"/>
                <w:color w:val="000000" w:themeColor="text1"/>
                <w:spacing w:val="-2"/>
                <w:sz w:val="20"/>
                <w:lang w:val="hr-HR"/>
              </w:rPr>
              <w:t>Devizni posebni računi banaka</w:t>
            </w:r>
          </w:p>
        </w:tc>
        <w:tc>
          <w:tcPr>
            <w:tcW w:w="1060" w:type="pct"/>
            <w:tcBorders>
              <w:top w:val="nil"/>
              <w:left w:val="nil"/>
              <w:bottom w:val="nil"/>
              <w:right w:val="nil"/>
            </w:tcBorders>
            <w:shd w:val="clear" w:color="auto" w:fill="auto"/>
            <w:vAlign w:val="bottom"/>
          </w:tcPr>
          <w:p w14:paraId="2971F3FE" w14:textId="77777777" w:rsidR="004E2F51" w:rsidRPr="004B4498" w:rsidRDefault="004E2F51" w:rsidP="00E032FC">
            <w:pPr>
              <w:pStyle w:val="TT"/>
              <w:spacing w:line="240" w:lineRule="auto"/>
              <w:jc w:val="right"/>
              <w:rPr>
                <w:rFonts w:cs="Arial"/>
                <w:color w:val="000000" w:themeColor="text1"/>
                <w:sz w:val="20"/>
                <w:lang w:val="hr-HR"/>
              </w:rPr>
            </w:pPr>
            <w:r w:rsidRPr="002A4185">
              <w:rPr>
                <w:rFonts w:cs="Arial"/>
                <w:color w:val="000000" w:themeColor="text1"/>
                <w:sz w:val="20"/>
                <w:lang w:val="hr-HR"/>
              </w:rPr>
              <w:t>1.205</w:t>
            </w:r>
          </w:p>
        </w:tc>
        <w:tc>
          <w:tcPr>
            <w:tcW w:w="758" w:type="pct"/>
            <w:tcBorders>
              <w:top w:val="nil"/>
              <w:left w:val="nil"/>
              <w:bottom w:val="nil"/>
              <w:right w:val="nil"/>
            </w:tcBorders>
            <w:shd w:val="clear" w:color="auto" w:fill="auto"/>
            <w:vAlign w:val="bottom"/>
          </w:tcPr>
          <w:p w14:paraId="13AA22BB" w14:textId="77777777" w:rsidR="004E2F51" w:rsidRPr="0046584E" w:rsidRDefault="004E2F51" w:rsidP="00E032FC">
            <w:pPr>
              <w:pStyle w:val="TT"/>
              <w:spacing w:line="240" w:lineRule="auto"/>
              <w:jc w:val="right"/>
              <w:rPr>
                <w:rFonts w:cs="Arial"/>
                <w:color w:val="000000" w:themeColor="text1"/>
                <w:sz w:val="20"/>
                <w:lang w:val="hr-HR"/>
              </w:rPr>
            </w:pPr>
            <w:r>
              <w:rPr>
                <w:rFonts w:cs="Arial"/>
                <w:color w:val="000000" w:themeColor="text1"/>
                <w:sz w:val="20"/>
                <w:lang w:val="hr-HR"/>
              </w:rPr>
              <w:t>-</w:t>
            </w:r>
          </w:p>
        </w:tc>
      </w:tr>
      <w:tr w:rsidR="004E2F51" w:rsidRPr="003364B5" w14:paraId="01BB36E7" w14:textId="77777777" w:rsidTr="00E032FC">
        <w:trPr>
          <w:trHeight w:val="120"/>
        </w:trPr>
        <w:tc>
          <w:tcPr>
            <w:tcW w:w="3182" w:type="pct"/>
            <w:vAlign w:val="bottom"/>
          </w:tcPr>
          <w:p w14:paraId="6D8B1AA2" w14:textId="77777777" w:rsidR="004E2F51" w:rsidRPr="004B4498" w:rsidRDefault="004E2F51" w:rsidP="00E032FC">
            <w:pPr>
              <w:pStyle w:val="TT"/>
              <w:rPr>
                <w:rFonts w:cs="Arial"/>
                <w:color w:val="000000" w:themeColor="text1"/>
                <w:spacing w:val="-2"/>
                <w:sz w:val="20"/>
                <w:lang w:val="hr-HR"/>
              </w:rPr>
            </w:pPr>
            <w:bookmarkStart w:id="1221" w:name="_Toc67328704"/>
            <w:r w:rsidRPr="004B4498">
              <w:rPr>
                <w:rFonts w:cs="Arial"/>
                <w:color w:val="000000" w:themeColor="text1"/>
                <w:spacing w:val="-2"/>
                <w:sz w:val="20"/>
                <w:lang w:val="hr-HR"/>
              </w:rPr>
              <w:t>Devizni posebni računi stranih financijskih institucija</w:t>
            </w:r>
            <w:bookmarkEnd w:id="1221"/>
          </w:p>
        </w:tc>
        <w:tc>
          <w:tcPr>
            <w:tcW w:w="1060" w:type="pct"/>
            <w:tcBorders>
              <w:top w:val="nil"/>
              <w:left w:val="nil"/>
              <w:bottom w:val="nil"/>
              <w:right w:val="nil"/>
            </w:tcBorders>
            <w:shd w:val="clear" w:color="auto" w:fill="auto"/>
            <w:vAlign w:val="bottom"/>
          </w:tcPr>
          <w:p w14:paraId="0C89B23D" w14:textId="77777777" w:rsidR="004E2F51" w:rsidRPr="004B4498" w:rsidRDefault="004E2F51" w:rsidP="00E032FC">
            <w:pPr>
              <w:pStyle w:val="TT"/>
              <w:spacing w:line="240" w:lineRule="auto"/>
              <w:jc w:val="right"/>
              <w:rPr>
                <w:rFonts w:cs="Arial"/>
                <w:color w:val="000000" w:themeColor="text1"/>
                <w:sz w:val="20"/>
                <w:lang w:val="hr-HR"/>
              </w:rPr>
            </w:pPr>
            <w:r w:rsidRPr="002A4185">
              <w:rPr>
                <w:rFonts w:cs="Arial"/>
                <w:color w:val="000000" w:themeColor="text1"/>
                <w:sz w:val="20"/>
                <w:lang w:val="hr-HR"/>
              </w:rPr>
              <w:t>15</w:t>
            </w:r>
          </w:p>
        </w:tc>
        <w:tc>
          <w:tcPr>
            <w:tcW w:w="758" w:type="pct"/>
            <w:tcBorders>
              <w:top w:val="nil"/>
              <w:left w:val="nil"/>
              <w:bottom w:val="nil"/>
              <w:right w:val="nil"/>
            </w:tcBorders>
            <w:shd w:val="clear" w:color="auto" w:fill="auto"/>
            <w:vAlign w:val="bottom"/>
          </w:tcPr>
          <w:p w14:paraId="19879711"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3.059</w:t>
            </w:r>
          </w:p>
        </w:tc>
      </w:tr>
      <w:tr w:rsidR="004E2F51" w:rsidRPr="003364B5" w14:paraId="687D886F" w14:textId="77777777" w:rsidTr="00E032FC">
        <w:trPr>
          <w:trHeight w:val="120"/>
        </w:trPr>
        <w:tc>
          <w:tcPr>
            <w:tcW w:w="3182" w:type="pct"/>
            <w:vAlign w:val="bottom"/>
          </w:tcPr>
          <w:p w14:paraId="0635F996" w14:textId="77777777" w:rsidR="004E2F51" w:rsidRPr="004B4498" w:rsidRDefault="004E2F51" w:rsidP="00E032FC">
            <w:pPr>
              <w:pStyle w:val="TT"/>
              <w:rPr>
                <w:rFonts w:cs="Arial"/>
                <w:b/>
                <w:color w:val="000000" w:themeColor="text1"/>
                <w:spacing w:val="-2"/>
                <w:sz w:val="20"/>
                <w:lang w:val="hr-HR"/>
              </w:rPr>
            </w:pPr>
            <w:bookmarkStart w:id="1222" w:name="_Toc67328706"/>
            <w:r w:rsidRPr="004B4498">
              <w:rPr>
                <w:rFonts w:cs="Arial"/>
                <w:color w:val="000000" w:themeColor="text1"/>
                <w:spacing w:val="-2"/>
                <w:sz w:val="20"/>
                <w:lang w:val="hr-HR"/>
              </w:rPr>
              <w:t>Depoziti državnih institucija</w:t>
            </w:r>
            <w:bookmarkEnd w:id="1222"/>
          </w:p>
        </w:tc>
        <w:tc>
          <w:tcPr>
            <w:tcW w:w="1060" w:type="pct"/>
            <w:tcBorders>
              <w:top w:val="nil"/>
              <w:left w:val="nil"/>
              <w:bottom w:val="nil"/>
              <w:right w:val="nil"/>
            </w:tcBorders>
            <w:shd w:val="clear" w:color="auto" w:fill="auto"/>
            <w:vAlign w:val="bottom"/>
          </w:tcPr>
          <w:p w14:paraId="5FB4B5C7" w14:textId="77777777" w:rsidR="004E2F51" w:rsidRPr="004B4498" w:rsidRDefault="004E2F51" w:rsidP="00E032FC">
            <w:pPr>
              <w:pStyle w:val="TT"/>
              <w:spacing w:line="240" w:lineRule="auto"/>
              <w:jc w:val="right"/>
              <w:rPr>
                <w:rFonts w:cs="Arial"/>
                <w:color w:val="000000" w:themeColor="text1"/>
                <w:sz w:val="20"/>
                <w:lang w:val="hr-HR"/>
              </w:rPr>
            </w:pPr>
            <w:r w:rsidRPr="002A4185">
              <w:rPr>
                <w:rFonts w:cs="Arial"/>
                <w:color w:val="000000" w:themeColor="text1"/>
                <w:sz w:val="20"/>
                <w:lang w:val="hr-HR"/>
              </w:rPr>
              <w:t>729.039</w:t>
            </w:r>
          </w:p>
        </w:tc>
        <w:tc>
          <w:tcPr>
            <w:tcW w:w="758" w:type="pct"/>
            <w:tcBorders>
              <w:top w:val="nil"/>
              <w:left w:val="nil"/>
              <w:bottom w:val="nil"/>
              <w:right w:val="nil"/>
            </w:tcBorders>
            <w:shd w:val="clear" w:color="auto" w:fill="auto"/>
            <w:vAlign w:val="bottom"/>
          </w:tcPr>
          <w:p w14:paraId="32AE6C4D"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341.810</w:t>
            </w:r>
          </w:p>
        </w:tc>
      </w:tr>
      <w:tr w:rsidR="004E2F51" w:rsidRPr="003364B5" w14:paraId="4829FC62" w14:textId="77777777" w:rsidTr="00E032FC">
        <w:trPr>
          <w:trHeight w:val="120"/>
        </w:trPr>
        <w:tc>
          <w:tcPr>
            <w:tcW w:w="3182" w:type="pct"/>
            <w:vAlign w:val="bottom"/>
          </w:tcPr>
          <w:p w14:paraId="32E7E896" w14:textId="77777777" w:rsidR="004E2F51" w:rsidRPr="004B4498" w:rsidRDefault="004E2F51" w:rsidP="00E032FC">
            <w:pPr>
              <w:pStyle w:val="TT"/>
              <w:rPr>
                <w:rFonts w:cs="Arial"/>
                <w:color w:val="000000" w:themeColor="text1"/>
                <w:spacing w:val="-2"/>
                <w:sz w:val="20"/>
                <w:lang w:val="hr-HR"/>
              </w:rPr>
            </w:pPr>
            <w:bookmarkStart w:id="1223" w:name="_Toc67328708"/>
            <w:r w:rsidRPr="004B4498">
              <w:rPr>
                <w:rFonts w:cs="Arial"/>
                <w:color w:val="000000" w:themeColor="text1"/>
                <w:spacing w:val="-2"/>
                <w:sz w:val="20"/>
                <w:lang w:val="hr-HR"/>
              </w:rPr>
              <w:t>Ostali depoziti</w:t>
            </w:r>
            <w:bookmarkEnd w:id="1223"/>
          </w:p>
        </w:tc>
        <w:tc>
          <w:tcPr>
            <w:tcW w:w="1060" w:type="pct"/>
            <w:tcBorders>
              <w:top w:val="nil"/>
              <w:left w:val="nil"/>
              <w:bottom w:val="single" w:sz="4" w:space="0" w:color="auto"/>
              <w:right w:val="nil"/>
            </w:tcBorders>
            <w:shd w:val="clear" w:color="auto" w:fill="auto"/>
            <w:vAlign w:val="bottom"/>
          </w:tcPr>
          <w:p w14:paraId="05D2894E" w14:textId="77777777" w:rsidR="004E2F51" w:rsidRPr="004B4498" w:rsidRDefault="004E2F51" w:rsidP="00E032FC">
            <w:pPr>
              <w:pStyle w:val="TT"/>
              <w:spacing w:line="240" w:lineRule="auto"/>
              <w:jc w:val="right"/>
              <w:rPr>
                <w:rFonts w:cs="Arial"/>
                <w:color w:val="000000" w:themeColor="text1"/>
                <w:sz w:val="20"/>
                <w:lang w:val="hr-HR"/>
              </w:rPr>
            </w:pPr>
            <w:r w:rsidRPr="002A4185">
              <w:rPr>
                <w:rFonts w:cs="Arial"/>
                <w:color w:val="000000" w:themeColor="text1"/>
                <w:sz w:val="20"/>
                <w:lang w:val="hr-HR"/>
              </w:rPr>
              <w:t>20.087</w:t>
            </w:r>
          </w:p>
        </w:tc>
        <w:tc>
          <w:tcPr>
            <w:tcW w:w="758" w:type="pct"/>
            <w:tcBorders>
              <w:top w:val="nil"/>
              <w:left w:val="nil"/>
              <w:bottom w:val="single" w:sz="4" w:space="0" w:color="auto"/>
              <w:right w:val="nil"/>
            </w:tcBorders>
            <w:shd w:val="clear" w:color="auto" w:fill="auto"/>
            <w:vAlign w:val="bottom"/>
          </w:tcPr>
          <w:p w14:paraId="78EA1B65"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43.270</w:t>
            </w:r>
          </w:p>
        </w:tc>
      </w:tr>
      <w:tr w:rsidR="004E2F51" w:rsidRPr="003364B5" w14:paraId="35480585" w14:textId="77777777" w:rsidTr="00E032FC">
        <w:trPr>
          <w:trHeight w:val="120"/>
        </w:trPr>
        <w:tc>
          <w:tcPr>
            <w:tcW w:w="3182" w:type="pct"/>
            <w:vAlign w:val="bottom"/>
          </w:tcPr>
          <w:p w14:paraId="0DC41DD6" w14:textId="77777777" w:rsidR="004E2F51" w:rsidRPr="004B4498" w:rsidRDefault="004E2F51" w:rsidP="00E032FC">
            <w:pPr>
              <w:pStyle w:val="TT"/>
              <w:rPr>
                <w:rFonts w:cs="Arial"/>
                <w:color w:val="000000" w:themeColor="text1"/>
                <w:spacing w:val="-2"/>
                <w:sz w:val="20"/>
                <w:lang w:val="hr-HR"/>
              </w:rPr>
            </w:pPr>
          </w:p>
        </w:tc>
        <w:tc>
          <w:tcPr>
            <w:tcW w:w="1060" w:type="pct"/>
            <w:tcBorders>
              <w:top w:val="nil"/>
              <w:left w:val="nil"/>
              <w:bottom w:val="single" w:sz="4" w:space="0" w:color="auto"/>
              <w:right w:val="nil"/>
            </w:tcBorders>
            <w:shd w:val="clear" w:color="auto" w:fill="auto"/>
            <w:vAlign w:val="bottom"/>
          </w:tcPr>
          <w:p w14:paraId="37B9533D" w14:textId="77777777" w:rsidR="004E2F51" w:rsidRPr="004B4498" w:rsidRDefault="004E2F51" w:rsidP="00E032FC">
            <w:pPr>
              <w:jc w:val="right"/>
              <w:rPr>
                <w:rFonts w:ascii="Arial" w:hAnsi="Arial" w:cs="Arial"/>
                <w:color w:val="000000" w:themeColor="text1"/>
                <w:sz w:val="20"/>
                <w:szCs w:val="20"/>
                <w:lang w:val="hr-HR"/>
              </w:rPr>
            </w:pPr>
            <w:r w:rsidRPr="00393683">
              <w:rPr>
                <w:rFonts w:ascii="Arial" w:hAnsi="Arial" w:cs="Arial"/>
                <w:color w:val="000000" w:themeColor="text1"/>
                <w:sz w:val="20"/>
                <w:szCs w:val="20"/>
                <w:lang w:val="hr-HR"/>
              </w:rPr>
              <w:t>1.024.529</w:t>
            </w:r>
          </w:p>
        </w:tc>
        <w:tc>
          <w:tcPr>
            <w:tcW w:w="758" w:type="pct"/>
            <w:tcBorders>
              <w:top w:val="nil"/>
              <w:left w:val="nil"/>
              <w:bottom w:val="single" w:sz="4" w:space="0" w:color="auto"/>
              <w:right w:val="nil"/>
            </w:tcBorders>
            <w:shd w:val="clear" w:color="auto" w:fill="auto"/>
            <w:vAlign w:val="bottom"/>
          </w:tcPr>
          <w:p w14:paraId="5BBB2359" w14:textId="77777777" w:rsidR="004E2F51" w:rsidRPr="0046584E" w:rsidRDefault="004E2F51" w:rsidP="00E032FC">
            <w:pPr>
              <w:pStyle w:val="TT"/>
              <w:spacing w:line="240" w:lineRule="auto"/>
              <w:jc w:val="right"/>
              <w:rPr>
                <w:rFonts w:cs="Arial"/>
                <w:color w:val="000000" w:themeColor="text1"/>
                <w:sz w:val="20"/>
                <w:lang w:val="hr-HR"/>
              </w:rPr>
            </w:pPr>
            <w:r w:rsidRPr="00393683">
              <w:rPr>
                <w:rFonts w:cs="Arial"/>
                <w:color w:val="000000" w:themeColor="text1"/>
                <w:sz w:val="20"/>
                <w:lang w:val="hr-HR"/>
              </w:rPr>
              <w:t>960.541</w:t>
            </w:r>
          </w:p>
        </w:tc>
      </w:tr>
      <w:tr w:rsidR="004E2F51" w:rsidRPr="003364B5" w14:paraId="25FF7611" w14:textId="77777777" w:rsidTr="00E032FC">
        <w:trPr>
          <w:trHeight w:val="120"/>
        </w:trPr>
        <w:tc>
          <w:tcPr>
            <w:tcW w:w="3182" w:type="pct"/>
            <w:vAlign w:val="bottom"/>
          </w:tcPr>
          <w:p w14:paraId="27088048" w14:textId="77777777" w:rsidR="004E2F51" w:rsidRPr="004B4498" w:rsidRDefault="004E2F51" w:rsidP="00E032FC">
            <w:pPr>
              <w:pStyle w:val="TT"/>
              <w:rPr>
                <w:rFonts w:cs="Arial"/>
                <w:color w:val="000000" w:themeColor="text1"/>
                <w:spacing w:val="-2"/>
                <w:sz w:val="20"/>
                <w:lang w:val="hr-HR"/>
              </w:rPr>
            </w:pPr>
            <w:r w:rsidRPr="00393683">
              <w:rPr>
                <w:rFonts w:cs="Arial"/>
                <w:color w:val="000000" w:themeColor="text1"/>
                <w:spacing w:val="-2"/>
                <w:sz w:val="20"/>
                <w:lang w:val="hr-HR"/>
              </w:rPr>
              <w:t>Obračunata kamata</w:t>
            </w:r>
          </w:p>
        </w:tc>
        <w:tc>
          <w:tcPr>
            <w:tcW w:w="1060" w:type="pct"/>
            <w:tcBorders>
              <w:top w:val="nil"/>
              <w:left w:val="nil"/>
              <w:bottom w:val="single" w:sz="4" w:space="0" w:color="auto"/>
              <w:right w:val="nil"/>
            </w:tcBorders>
            <w:shd w:val="clear" w:color="auto" w:fill="auto"/>
            <w:vAlign w:val="bottom"/>
          </w:tcPr>
          <w:p w14:paraId="0C2E1025" w14:textId="77777777" w:rsidR="004E2F51" w:rsidRPr="004B4498" w:rsidRDefault="004E2F51" w:rsidP="00E032FC">
            <w:pPr>
              <w:jc w:val="right"/>
              <w:rPr>
                <w:rFonts w:ascii="Arial" w:hAnsi="Arial" w:cs="Arial"/>
                <w:color w:val="000000" w:themeColor="text1"/>
                <w:sz w:val="20"/>
                <w:szCs w:val="20"/>
                <w:lang w:val="hr-HR"/>
              </w:rPr>
            </w:pPr>
            <w:r>
              <w:rPr>
                <w:rFonts w:ascii="Arial" w:hAnsi="Arial" w:cs="Arial"/>
                <w:color w:val="000000" w:themeColor="text1"/>
                <w:sz w:val="20"/>
                <w:szCs w:val="20"/>
                <w:lang w:val="hr-HR"/>
              </w:rPr>
              <w:t>94</w:t>
            </w:r>
          </w:p>
        </w:tc>
        <w:tc>
          <w:tcPr>
            <w:tcW w:w="758" w:type="pct"/>
            <w:tcBorders>
              <w:top w:val="nil"/>
              <w:left w:val="nil"/>
              <w:bottom w:val="single" w:sz="4" w:space="0" w:color="auto"/>
              <w:right w:val="nil"/>
            </w:tcBorders>
            <w:shd w:val="clear" w:color="auto" w:fill="auto"/>
            <w:vAlign w:val="bottom"/>
          </w:tcPr>
          <w:p w14:paraId="5E2E0194" w14:textId="77777777" w:rsidR="004E2F51" w:rsidRPr="0046584E" w:rsidRDefault="004E2F51" w:rsidP="00E032FC">
            <w:pPr>
              <w:pStyle w:val="TT"/>
              <w:spacing w:line="240" w:lineRule="auto"/>
              <w:jc w:val="right"/>
              <w:rPr>
                <w:rFonts w:cs="Arial"/>
                <w:color w:val="000000" w:themeColor="text1"/>
                <w:sz w:val="20"/>
                <w:lang w:val="hr-HR"/>
              </w:rPr>
            </w:pPr>
            <w:r>
              <w:rPr>
                <w:rFonts w:cs="Arial"/>
                <w:color w:val="000000" w:themeColor="text1"/>
                <w:sz w:val="20"/>
                <w:lang w:val="hr-HR"/>
              </w:rPr>
              <w:t>-</w:t>
            </w:r>
          </w:p>
        </w:tc>
      </w:tr>
      <w:tr w:rsidR="004E2F51" w:rsidRPr="003364B5" w14:paraId="5893D337" w14:textId="77777777" w:rsidTr="00E032FC">
        <w:trPr>
          <w:trHeight w:val="120"/>
        </w:trPr>
        <w:tc>
          <w:tcPr>
            <w:tcW w:w="3182" w:type="pct"/>
            <w:vAlign w:val="bottom"/>
          </w:tcPr>
          <w:p w14:paraId="546121D9" w14:textId="77777777" w:rsidR="004E2F51" w:rsidRPr="004B4498" w:rsidRDefault="004E2F51" w:rsidP="00E032FC">
            <w:pPr>
              <w:pStyle w:val="Tot"/>
              <w:rPr>
                <w:rFonts w:cs="Arial"/>
                <w:b/>
                <w:bCs/>
                <w:color w:val="000000" w:themeColor="text1"/>
                <w:sz w:val="20"/>
                <w:lang w:val="hr-HR"/>
              </w:rPr>
            </w:pPr>
          </w:p>
        </w:tc>
        <w:tc>
          <w:tcPr>
            <w:tcW w:w="1060" w:type="pct"/>
            <w:tcBorders>
              <w:top w:val="single" w:sz="4" w:space="0" w:color="auto"/>
              <w:bottom w:val="single" w:sz="12" w:space="0" w:color="auto"/>
            </w:tcBorders>
            <w:vAlign w:val="bottom"/>
          </w:tcPr>
          <w:p w14:paraId="2D5C5A19" w14:textId="77777777" w:rsidR="004E2F51" w:rsidRPr="004B4498" w:rsidRDefault="004E2F51" w:rsidP="00E032FC">
            <w:pPr>
              <w:pStyle w:val="Tot"/>
              <w:jc w:val="right"/>
              <w:rPr>
                <w:rFonts w:cs="Arial"/>
                <w:b/>
                <w:bCs/>
                <w:color w:val="000000" w:themeColor="text1"/>
                <w:sz w:val="20"/>
                <w:lang w:val="hr-HR"/>
              </w:rPr>
            </w:pPr>
            <w:r w:rsidRPr="00393683">
              <w:rPr>
                <w:rFonts w:cs="Arial"/>
                <w:b/>
                <w:bCs/>
                <w:color w:val="000000" w:themeColor="text1"/>
                <w:sz w:val="20"/>
                <w:lang w:val="hr-HR"/>
              </w:rPr>
              <w:t>1.024.623</w:t>
            </w:r>
          </w:p>
        </w:tc>
        <w:tc>
          <w:tcPr>
            <w:tcW w:w="758" w:type="pct"/>
            <w:tcBorders>
              <w:top w:val="single" w:sz="4" w:space="0" w:color="auto"/>
              <w:bottom w:val="single" w:sz="12" w:space="0" w:color="auto"/>
            </w:tcBorders>
            <w:vAlign w:val="bottom"/>
          </w:tcPr>
          <w:p w14:paraId="4AF949DF" w14:textId="77777777" w:rsidR="004E2F51" w:rsidRPr="004B4498" w:rsidRDefault="004E2F51" w:rsidP="00E032FC">
            <w:pPr>
              <w:pStyle w:val="Tot"/>
              <w:jc w:val="right"/>
              <w:rPr>
                <w:rFonts w:cs="Arial"/>
                <w:b/>
                <w:bCs/>
                <w:color w:val="000000" w:themeColor="text1"/>
                <w:sz w:val="20"/>
                <w:lang w:val="hr-HR"/>
              </w:rPr>
            </w:pPr>
            <w:bookmarkStart w:id="1224" w:name="_Toc67328710"/>
            <w:r w:rsidRPr="0046584E">
              <w:rPr>
                <w:rFonts w:cs="Arial"/>
                <w:b/>
                <w:bCs/>
                <w:color w:val="000000" w:themeColor="text1"/>
                <w:sz w:val="20"/>
                <w:lang w:val="hr-HR"/>
              </w:rPr>
              <w:t>960.541</w:t>
            </w:r>
            <w:bookmarkEnd w:id="1224"/>
          </w:p>
        </w:tc>
      </w:tr>
    </w:tbl>
    <w:p w14:paraId="3A1AD1B4"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p>
    <w:p w14:paraId="31EBAF5F"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bookmarkStart w:id="1225" w:name="_Hlk33016533"/>
      <w:r w:rsidRPr="004B4498">
        <w:rPr>
          <w:rFonts w:cs="Arial"/>
          <w:b w:val="0"/>
          <w:bCs w:val="0"/>
          <w:color w:val="000000" w:themeColor="text1"/>
          <w:sz w:val="20"/>
          <w:lang w:val="hr-HR"/>
        </w:rPr>
        <w:t xml:space="preserve">Depoziti banaka u </w:t>
      </w:r>
      <w:r w:rsidRPr="00612687">
        <w:rPr>
          <w:rFonts w:cs="Arial"/>
          <w:b w:val="0"/>
          <w:bCs w:val="0"/>
          <w:color w:val="000000" w:themeColor="text1"/>
          <w:sz w:val="20"/>
          <w:lang w:val="hr-HR"/>
        </w:rPr>
        <w:t>2022. godini odnose se na loro depozite Bulgarian Developmetnt Bank AD i Europske investicijske banke (EIB).</w:t>
      </w:r>
    </w:p>
    <w:p w14:paraId="39B3A634" w14:textId="77777777" w:rsidR="004E2F51" w:rsidRPr="004B4498" w:rsidRDefault="004E2F51" w:rsidP="004E2F51">
      <w:pPr>
        <w:pStyle w:val="T1"/>
        <w:keepNext w:val="0"/>
        <w:spacing w:before="0" w:after="0" w:line="240" w:lineRule="auto"/>
        <w:rPr>
          <w:rFonts w:cs="Arial"/>
          <w:color w:val="000000" w:themeColor="text1"/>
          <w:sz w:val="20"/>
          <w:highlight w:val="yellow"/>
          <w:lang w:val="hr-HR"/>
        </w:rPr>
      </w:pPr>
    </w:p>
    <w:bookmarkEnd w:id="1225"/>
    <w:p w14:paraId="3BFBF8CD" w14:textId="77777777" w:rsidR="004E2F51" w:rsidRPr="004B4498" w:rsidRDefault="004E2F51" w:rsidP="004E2F51">
      <w:pPr>
        <w:pStyle w:val="T1"/>
        <w:keepNext w:val="0"/>
        <w:spacing w:before="0" w:after="0" w:line="240" w:lineRule="auto"/>
        <w:rPr>
          <w:rFonts w:cs="Arial"/>
          <w:b w:val="0"/>
          <w:bCs w:val="0"/>
          <w:color w:val="000000" w:themeColor="text1"/>
          <w:sz w:val="20"/>
          <w:highlight w:val="yellow"/>
          <w:lang w:val="hr-HR"/>
        </w:rPr>
      </w:pPr>
      <w:r w:rsidRPr="004B4498">
        <w:rPr>
          <w:rFonts w:cs="Arial"/>
          <w:b w:val="0"/>
          <w:bCs w:val="0"/>
          <w:color w:val="000000" w:themeColor="text1"/>
          <w:sz w:val="20"/>
          <w:lang w:val="hr-HR"/>
        </w:rPr>
        <w:t xml:space="preserve">Devizni račun Ministarstva financija Republike Hrvatske odnosi se na sredstva garantnog fonda temeljem uplaćenih premija za reosigurane poslove po poslovima osiguranja izvoza u iznosu od </w:t>
      </w:r>
      <w:r w:rsidRPr="002A4185">
        <w:rPr>
          <w:rFonts w:cs="Arial"/>
          <w:b w:val="0"/>
          <w:bCs w:val="0"/>
          <w:color w:val="000000" w:themeColor="text1"/>
          <w:sz w:val="20"/>
          <w:lang w:val="hr-HR"/>
        </w:rPr>
        <w:t>71.076</w:t>
      </w:r>
      <w:r>
        <w:rPr>
          <w:rFonts w:cs="Arial"/>
          <w:b w:val="0"/>
          <w:bCs w:val="0"/>
          <w:color w:val="000000" w:themeColor="text1"/>
          <w:sz w:val="20"/>
          <w:lang w:val="hr-HR"/>
        </w:rPr>
        <w:t xml:space="preserve"> </w:t>
      </w:r>
      <w:r w:rsidRPr="004B4498">
        <w:rPr>
          <w:rFonts w:cs="Arial"/>
          <w:b w:val="0"/>
          <w:bCs w:val="0"/>
          <w:color w:val="000000" w:themeColor="text1"/>
          <w:sz w:val="20"/>
          <w:lang w:val="hr-HR"/>
        </w:rPr>
        <w:t>tisuća kuna (31. prosinca 202</w:t>
      </w:r>
      <w:r>
        <w:rPr>
          <w:rFonts w:cs="Arial"/>
          <w:b w:val="0"/>
          <w:bCs w:val="0"/>
          <w:color w:val="000000" w:themeColor="text1"/>
          <w:sz w:val="20"/>
          <w:lang w:val="hr-HR"/>
        </w:rPr>
        <w:t>1</w:t>
      </w:r>
      <w:r w:rsidRPr="004B4498">
        <w:rPr>
          <w:rFonts w:cs="Arial"/>
          <w:b w:val="0"/>
          <w:bCs w:val="0"/>
          <w:color w:val="000000" w:themeColor="text1"/>
          <w:sz w:val="20"/>
          <w:lang w:val="hr-HR"/>
        </w:rPr>
        <w:t xml:space="preserve">.: </w:t>
      </w:r>
      <w:r w:rsidRPr="005A00FA">
        <w:rPr>
          <w:rFonts w:cs="Arial"/>
          <w:b w:val="0"/>
          <w:bCs w:val="0"/>
          <w:color w:val="000000" w:themeColor="text1"/>
          <w:sz w:val="20"/>
          <w:lang w:val="hr-HR"/>
        </w:rPr>
        <w:t xml:space="preserve">96.666 </w:t>
      </w:r>
      <w:r w:rsidRPr="004B4498">
        <w:rPr>
          <w:rFonts w:cs="Arial"/>
          <w:b w:val="0"/>
          <w:bCs w:val="0"/>
          <w:color w:val="000000" w:themeColor="text1"/>
          <w:sz w:val="20"/>
          <w:lang w:val="hr-HR"/>
        </w:rPr>
        <w:t xml:space="preserve">tisuća kuna). </w:t>
      </w:r>
    </w:p>
    <w:p w14:paraId="4C849721" w14:textId="77777777" w:rsidR="004E2F51" w:rsidRPr="004B4498" w:rsidRDefault="004E2F51" w:rsidP="004E2F51">
      <w:pPr>
        <w:pStyle w:val="T1"/>
        <w:keepNext w:val="0"/>
        <w:spacing w:before="0" w:after="0" w:line="240" w:lineRule="auto"/>
        <w:rPr>
          <w:rFonts w:cs="Arial"/>
          <w:b w:val="0"/>
          <w:bCs w:val="0"/>
          <w:color w:val="000000" w:themeColor="text1"/>
          <w:sz w:val="20"/>
          <w:highlight w:val="yellow"/>
          <w:lang w:val="hr-HR"/>
        </w:rPr>
      </w:pPr>
    </w:p>
    <w:p w14:paraId="15A6B1D8" w14:textId="77777777" w:rsidR="004E2F51" w:rsidRPr="004B4498" w:rsidRDefault="004E2F51" w:rsidP="004E2F51">
      <w:pPr>
        <w:pStyle w:val="T1"/>
        <w:keepNext w:val="0"/>
        <w:spacing w:before="0" w:after="0" w:line="240" w:lineRule="auto"/>
        <w:rPr>
          <w:rFonts w:cs="Arial"/>
          <w:b w:val="0"/>
          <w:color w:val="000000" w:themeColor="text1"/>
          <w:sz w:val="20"/>
          <w:lang w:val="hr-HR"/>
        </w:rPr>
      </w:pPr>
      <w:r w:rsidRPr="004B4498">
        <w:rPr>
          <w:rFonts w:cs="Arial"/>
          <w:b w:val="0"/>
          <w:bCs w:val="0"/>
          <w:color w:val="000000" w:themeColor="text1"/>
          <w:sz w:val="20"/>
          <w:lang w:val="hr-HR"/>
        </w:rPr>
        <w:t xml:space="preserve">Depoziti po viđenju državnih institucija odnose se na poslove koje Banka obavlja u ime i za račun Ministarstva financija, </w:t>
      </w:r>
      <w:r w:rsidRPr="004B4498">
        <w:rPr>
          <w:rFonts w:cs="Arial"/>
          <w:b w:val="0"/>
          <w:color w:val="000000" w:themeColor="text1"/>
          <w:sz w:val="20"/>
          <w:lang w:val="hr-HR"/>
        </w:rPr>
        <w:t>Ministarstva mora, prometa i infrastrukture, Ministarstva poljoprivrede, Ministarstva regionalnoga razvoja i fondova Europske unije, Vodovoda i kanalizacije d.o.o., Split i Hrvatske agencije za malo gospodarstvo, inovacije i investicije (HAMAG-BICRO)</w:t>
      </w:r>
      <w:r w:rsidRPr="005A00FA">
        <w:rPr>
          <w:rFonts w:cs="Arial"/>
          <w:b w:val="0"/>
          <w:color w:val="000000" w:themeColor="text1"/>
          <w:sz w:val="20"/>
          <w:lang w:val="hr-HR"/>
        </w:rPr>
        <w:t>.</w:t>
      </w:r>
    </w:p>
    <w:p w14:paraId="370171AD" w14:textId="77777777" w:rsidR="004E2F51" w:rsidRPr="004B4498" w:rsidRDefault="004E2F51" w:rsidP="004E2F51">
      <w:pPr>
        <w:pStyle w:val="T1"/>
        <w:keepNext w:val="0"/>
        <w:spacing w:before="0" w:after="0" w:line="240" w:lineRule="auto"/>
        <w:rPr>
          <w:rFonts w:cs="Arial"/>
          <w:b w:val="0"/>
          <w:color w:val="000000" w:themeColor="text1"/>
          <w:sz w:val="20"/>
          <w:lang w:val="hr-HR"/>
        </w:rPr>
      </w:pPr>
    </w:p>
    <w:p w14:paraId="4D72DB41"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Devizni namjenski računi trgovačkih društava odnose se na priljeve sredstva i raspolaganje sredstvima avansa uplaćenim na račun trgovačkog društva, a vezano na izdane garancije HBOR-a za povrat avansa za izvozni posao. Sredstva avansa koriste se isključivo namjenski u svrhu provedbe izvoznog ugovora, uz suglasnost HBOR-a.</w:t>
      </w:r>
    </w:p>
    <w:p w14:paraId="4A522B8C" w14:textId="77777777" w:rsidR="004E2F51" w:rsidRPr="004B4498" w:rsidRDefault="004E2F51" w:rsidP="004E2F51">
      <w:pPr>
        <w:pStyle w:val="T1"/>
        <w:keepNext w:val="0"/>
        <w:spacing w:before="0" w:after="0" w:line="240" w:lineRule="auto"/>
        <w:rPr>
          <w:rFonts w:cs="Arial"/>
          <w:noProof/>
          <w:sz w:val="20"/>
          <w:highlight w:val="yellow"/>
        </w:rPr>
      </w:pPr>
    </w:p>
    <w:p w14:paraId="4D5D7905" w14:textId="77777777" w:rsidR="004E2F51" w:rsidRPr="004B4498" w:rsidRDefault="004E2F51" w:rsidP="004E2F51">
      <w:pPr>
        <w:pStyle w:val="T1"/>
        <w:keepNext w:val="0"/>
        <w:spacing w:before="0" w:after="0" w:line="240" w:lineRule="auto"/>
        <w:rPr>
          <w:rFonts w:cs="Arial"/>
          <w:b w:val="0"/>
          <w:noProof/>
          <w:sz w:val="20"/>
        </w:rPr>
      </w:pPr>
      <w:bookmarkStart w:id="1226" w:name="_Hlk33017908"/>
      <w:r w:rsidRPr="004B4498">
        <w:rPr>
          <w:rFonts w:cs="Arial"/>
          <w:b w:val="0"/>
          <w:noProof/>
          <w:sz w:val="20"/>
        </w:rPr>
        <w:t xml:space="preserve">Devizni posebni računi stranih financijskih institucija odnose se na sredstva ELENA granta, a odnosi se na prvu tranšu 40% iznosa ELENA granta po potpisu Ugovora o financiranju od 839 tisuća EUR, umanjenu za namjenski iskorištena sredstva </w:t>
      </w:r>
      <w:bookmarkStart w:id="1227" w:name="_Hlk65835952"/>
      <w:r w:rsidRPr="004B4498">
        <w:rPr>
          <w:rFonts w:cs="Arial"/>
          <w:b w:val="0"/>
          <w:noProof/>
          <w:sz w:val="20"/>
        </w:rPr>
        <w:t>te stanje na računu na dan 31. prosinca 202</w:t>
      </w:r>
      <w:r>
        <w:rPr>
          <w:rFonts w:cs="Arial"/>
          <w:b w:val="0"/>
          <w:noProof/>
          <w:sz w:val="20"/>
        </w:rPr>
        <w:t>2</w:t>
      </w:r>
      <w:r w:rsidRPr="004B4498">
        <w:rPr>
          <w:rFonts w:cs="Arial"/>
          <w:b w:val="0"/>
          <w:noProof/>
          <w:sz w:val="20"/>
        </w:rPr>
        <w:t xml:space="preserve">. iznosi </w:t>
      </w:r>
      <w:r>
        <w:rPr>
          <w:rFonts w:cs="Arial"/>
          <w:b w:val="0"/>
          <w:noProof/>
          <w:sz w:val="20"/>
        </w:rPr>
        <w:t>15</w:t>
      </w:r>
      <w:r w:rsidRPr="004B4498">
        <w:rPr>
          <w:rFonts w:cs="Arial"/>
          <w:b w:val="0"/>
          <w:noProof/>
          <w:sz w:val="20"/>
        </w:rPr>
        <w:t xml:space="preserve"> tisuća kuna </w:t>
      </w:r>
      <w:bookmarkEnd w:id="1227"/>
      <w:r w:rsidRPr="004B4498">
        <w:rPr>
          <w:rFonts w:cs="Arial"/>
          <w:b w:val="0"/>
          <w:noProof/>
          <w:sz w:val="20"/>
        </w:rPr>
        <w:t>(31. prosinca 202</w:t>
      </w:r>
      <w:r>
        <w:rPr>
          <w:rFonts w:cs="Arial"/>
          <w:b w:val="0"/>
          <w:noProof/>
          <w:sz w:val="20"/>
        </w:rPr>
        <w:t>1</w:t>
      </w:r>
      <w:r w:rsidRPr="004B4498">
        <w:rPr>
          <w:rFonts w:cs="Arial"/>
          <w:b w:val="0"/>
          <w:noProof/>
          <w:sz w:val="20"/>
        </w:rPr>
        <w:t xml:space="preserve">.: </w:t>
      </w:r>
      <w:r>
        <w:rPr>
          <w:rFonts w:cs="Arial"/>
          <w:b w:val="0"/>
          <w:noProof/>
          <w:sz w:val="20"/>
        </w:rPr>
        <w:t>3</w:t>
      </w:r>
      <w:r w:rsidRPr="004B4498">
        <w:rPr>
          <w:rFonts w:cs="Arial"/>
          <w:b w:val="0"/>
          <w:noProof/>
          <w:sz w:val="20"/>
        </w:rPr>
        <w:t>.</w:t>
      </w:r>
      <w:r>
        <w:rPr>
          <w:rFonts w:cs="Arial"/>
          <w:b w:val="0"/>
          <w:noProof/>
          <w:sz w:val="20"/>
        </w:rPr>
        <w:t>059</w:t>
      </w:r>
      <w:r w:rsidRPr="004B4498">
        <w:rPr>
          <w:rFonts w:cs="Arial"/>
          <w:b w:val="0"/>
          <w:noProof/>
          <w:sz w:val="20"/>
        </w:rPr>
        <w:t xml:space="preserve"> tisuća kuna).</w:t>
      </w:r>
    </w:p>
    <w:bookmarkEnd w:id="1226"/>
    <w:p w14:paraId="15F88285"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p>
    <w:p w14:paraId="79B3E9A7"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Na navedene depozite HBOR ne plaća kamatu.</w:t>
      </w:r>
    </w:p>
    <w:p w14:paraId="0617947F" w14:textId="77777777" w:rsidR="004E2F51" w:rsidRPr="00B91D09" w:rsidRDefault="004E2F51" w:rsidP="004E2F51">
      <w:pPr>
        <w:pStyle w:val="T1"/>
        <w:keepNext w:val="0"/>
        <w:spacing w:before="0" w:after="0" w:line="240" w:lineRule="auto"/>
        <w:rPr>
          <w:rFonts w:cs="Arial"/>
          <w:b w:val="0"/>
          <w:bCs w:val="0"/>
          <w:color w:val="000000" w:themeColor="text1"/>
          <w:sz w:val="22"/>
          <w:szCs w:val="22"/>
          <w:lang w:val="hr-HR"/>
        </w:rPr>
        <w:sectPr w:rsidR="004E2F51" w:rsidRPr="00B91D09" w:rsidSect="00623DBA">
          <w:footerReference w:type="default" r:id="rId149"/>
          <w:pgSz w:w="11907" w:h="16840" w:code="9"/>
          <w:pgMar w:top="1418" w:right="1134" w:bottom="1134" w:left="1418" w:header="851" w:footer="851" w:gutter="0"/>
          <w:cols w:space="720"/>
          <w:noEndnote/>
        </w:sectPr>
      </w:pPr>
    </w:p>
    <w:p w14:paraId="51A8841B" w14:textId="77777777" w:rsidR="004E2F51" w:rsidRPr="004B4498" w:rsidRDefault="004E2F51" w:rsidP="004E2F51">
      <w:pPr>
        <w:pStyle w:val="T1"/>
        <w:spacing w:before="0" w:after="0" w:line="240" w:lineRule="auto"/>
        <w:rPr>
          <w:rFonts w:cs="Arial"/>
          <w:color w:val="000000" w:themeColor="text1"/>
          <w:sz w:val="20"/>
          <w:lang w:val="hr-HR"/>
        </w:rPr>
      </w:pPr>
    </w:p>
    <w:p w14:paraId="48E0F3F2"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Pr>
          <w:rFonts w:cs="Arial"/>
          <w:color w:val="000000" w:themeColor="text1"/>
          <w:sz w:val="20"/>
          <w:lang w:val="hr-HR"/>
        </w:rPr>
        <w:t>3</w:t>
      </w:r>
      <w:r w:rsidRPr="004B4498">
        <w:rPr>
          <w:rFonts w:cs="Arial"/>
          <w:color w:val="000000" w:themeColor="text1"/>
          <w:sz w:val="20"/>
          <w:lang w:val="hr-HR"/>
        </w:rPr>
        <w:t>.</w:t>
      </w:r>
      <w:r w:rsidRPr="004B4498">
        <w:rPr>
          <w:rFonts w:cs="Arial"/>
          <w:color w:val="000000" w:themeColor="text1"/>
          <w:sz w:val="20"/>
          <w:lang w:val="hr-HR"/>
        </w:rPr>
        <w:tab/>
        <w:t xml:space="preserve">Obveze po kreditima </w:t>
      </w:r>
    </w:p>
    <w:p w14:paraId="78FB7994" w14:textId="77777777" w:rsidR="004E2F51" w:rsidRPr="004B4498" w:rsidRDefault="004E2F51" w:rsidP="004E2F51">
      <w:pPr>
        <w:pStyle w:val="T1"/>
        <w:spacing w:before="0" w:after="0" w:line="240" w:lineRule="auto"/>
        <w:rPr>
          <w:rFonts w:cs="Arial"/>
          <w:color w:val="000000" w:themeColor="text1"/>
          <w:sz w:val="20"/>
          <w:lang w:val="hr-HR"/>
        </w:rPr>
      </w:pPr>
    </w:p>
    <w:tbl>
      <w:tblPr>
        <w:tblW w:w="4888" w:type="pct"/>
        <w:tblLayout w:type="fixed"/>
        <w:tblCellMar>
          <w:left w:w="119" w:type="dxa"/>
          <w:right w:w="119" w:type="dxa"/>
        </w:tblCellMar>
        <w:tblLook w:val="0000" w:firstRow="0" w:lastRow="0" w:firstColumn="0" w:lastColumn="0" w:noHBand="0" w:noVBand="0"/>
      </w:tblPr>
      <w:tblGrid>
        <w:gridCol w:w="5607"/>
        <w:gridCol w:w="1769"/>
        <w:gridCol w:w="1769"/>
      </w:tblGrid>
      <w:tr w:rsidR="004E2F51" w:rsidRPr="005A00FA" w14:paraId="45BF13BD" w14:textId="77777777" w:rsidTr="00E032FC">
        <w:trPr>
          <w:trHeight w:val="185"/>
        </w:trPr>
        <w:tc>
          <w:tcPr>
            <w:tcW w:w="3066" w:type="pct"/>
          </w:tcPr>
          <w:p w14:paraId="62742DD5" w14:textId="77777777" w:rsidR="004E2F51" w:rsidRPr="004B4498" w:rsidRDefault="004E2F51" w:rsidP="00E032FC">
            <w:pPr>
              <w:tabs>
                <w:tab w:val="left" w:pos="-1963"/>
              </w:tabs>
              <w:rPr>
                <w:rFonts w:ascii="Arial" w:hAnsi="Arial" w:cs="Arial"/>
                <w:color w:val="000000" w:themeColor="text1"/>
                <w:spacing w:val="-3"/>
                <w:sz w:val="20"/>
                <w:szCs w:val="20"/>
                <w:lang w:val="hr-HR"/>
              </w:rPr>
            </w:pPr>
          </w:p>
        </w:tc>
        <w:tc>
          <w:tcPr>
            <w:tcW w:w="1934" w:type="pct"/>
            <w:gridSpan w:val="2"/>
          </w:tcPr>
          <w:p w14:paraId="1E0F2304" w14:textId="77777777" w:rsidR="004E2F51" w:rsidRPr="004B4498" w:rsidRDefault="004E2F51" w:rsidP="00E032FC">
            <w:pPr>
              <w:pStyle w:val="TH"/>
              <w:jc w:val="right"/>
              <w:rPr>
                <w:rFonts w:cs="Arial"/>
                <w:color w:val="000000" w:themeColor="text1"/>
                <w:sz w:val="20"/>
                <w:lang w:val="hr-HR"/>
              </w:rPr>
            </w:pPr>
            <w:bookmarkStart w:id="1228" w:name="_Toc67328712"/>
            <w:r w:rsidRPr="004B4498">
              <w:rPr>
                <w:rFonts w:cs="Arial"/>
                <w:color w:val="000000" w:themeColor="text1"/>
                <w:sz w:val="20"/>
                <w:lang w:val="hr-HR"/>
              </w:rPr>
              <w:t>Grupa i Banka</w:t>
            </w:r>
            <w:bookmarkEnd w:id="1228"/>
          </w:p>
        </w:tc>
      </w:tr>
      <w:tr w:rsidR="004E2F51" w:rsidRPr="005A00FA" w14:paraId="536C2B14" w14:textId="77777777" w:rsidTr="00E032FC">
        <w:trPr>
          <w:trHeight w:val="585"/>
        </w:trPr>
        <w:tc>
          <w:tcPr>
            <w:tcW w:w="3066" w:type="pct"/>
          </w:tcPr>
          <w:p w14:paraId="4E6517D8" w14:textId="77777777" w:rsidR="004E2F51" w:rsidRPr="004B4498" w:rsidRDefault="004E2F51" w:rsidP="00E032FC">
            <w:pPr>
              <w:tabs>
                <w:tab w:val="left" w:pos="-1963"/>
              </w:tabs>
              <w:jc w:val="center"/>
              <w:rPr>
                <w:rFonts w:ascii="Arial" w:hAnsi="Arial" w:cs="Arial"/>
                <w:color w:val="000000" w:themeColor="text1"/>
                <w:spacing w:val="-3"/>
                <w:sz w:val="20"/>
                <w:szCs w:val="20"/>
                <w:lang w:val="hr-HR"/>
              </w:rPr>
            </w:pPr>
          </w:p>
        </w:tc>
        <w:tc>
          <w:tcPr>
            <w:tcW w:w="967" w:type="pct"/>
            <w:vAlign w:val="center"/>
          </w:tcPr>
          <w:p w14:paraId="17509FAC" w14:textId="77777777" w:rsidR="004E2F51" w:rsidRPr="004B4498" w:rsidRDefault="004E2F51" w:rsidP="00E032FC">
            <w:pPr>
              <w:pStyle w:val="TH"/>
              <w:jc w:val="right"/>
              <w:rPr>
                <w:rFonts w:cs="Arial"/>
                <w:color w:val="000000" w:themeColor="text1"/>
                <w:sz w:val="20"/>
                <w:lang w:val="hr-HR"/>
              </w:rPr>
            </w:pPr>
            <w:bookmarkStart w:id="1229" w:name="_Toc67328713"/>
            <w:r w:rsidRPr="004B4498">
              <w:rPr>
                <w:rFonts w:cs="Arial"/>
                <w:color w:val="000000" w:themeColor="text1"/>
                <w:sz w:val="20"/>
                <w:lang w:val="hr-HR"/>
              </w:rPr>
              <w:t>31. prosinca</w:t>
            </w:r>
          </w:p>
          <w:p w14:paraId="0B0A5A09" w14:textId="77777777" w:rsidR="004E2F51" w:rsidRPr="004B4498" w:rsidRDefault="004E2F51" w:rsidP="00E032FC">
            <w:pPr>
              <w:pStyle w:val="TH"/>
              <w:jc w:val="right"/>
              <w:rPr>
                <w:rFonts w:cs="Arial"/>
                <w:color w:val="000000" w:themeColor="text1"/>
                <w:sz w:val="20"/>
                <w:lang w:val="hr-HR"/>
              </w:rPr>
            </w:pPr>
            <w:r w:rsidRPr="004B4498">
              <w:rPr>
                <w:rFonts w:cs="Arial"/>
                <w:color w:val="000000" w:themeColor="text1"/>
                <w:sz w:val="20"/>
                <w:lang w:val="hr-HR"/>
              </w:rPr>
              <w:t xml:space="preserve"> 202</w:t>
            </w:r>
            <w:r>
              <w:rPr>
                <w:rFonts w:cs="Arial"/>
                <w:color w:val="000000" w:themeColor="text1"/>
                <w:sz w:val="20"/>
                <w:lang w:val="hr-HR"/>
              </w:rPr>
              <w:t>2</w:t>
            </w:r>
            <w:r w:rsidRPr="004B4498">
              <w:rPr>
                <w:rFonts w:cs="Arial"/>
                <w:color w:val="000000" w:themeColor="text1"/>
                <w:sz w:val="20"/>
                <w:lang w:val="hr-HR"/>
              </w:rPr>
              <w:t>.</w:t>
            </w:r>
            <w:bookmarkEnd w:id="1229"/>
          </w:p>
        </w:tc>
        <w:tc>
          <w:tcPr>
            <w:tcW w:w="967" w:type="pct"/>
            <w:vAlign w:val="center"/>
          </w:tcPr>
          <w:p w14:paraId="272CC8DD" w14:textId="77777777" w:rsidR="004E2F51" w:rsidRPr="004B4498" w:rsidRDefault="004E2F51" w:rsidP="00E032FC">
            <w:pPr>
              <w:pStyle w:val="TH"/>
              <w:jc w:val="right"/>
              <w:rPr>
                <w:rFonts w:cs="Arial"/>
                <w:color w:val="000000" w:themeColor="text1"/>
                <w:sz w:val="20"/>
                <w:lang w:val="hr-HR"/>
              </w:rPr>
            </w:pPr>
            <w:bookmarkStart w:id="1230" w:name="_Toc67328714"/>
            <w:r w:rsidRPr="004B4498">
              <w:rPr>
                <w:rFonts w:cs="Arial"/>
                <w:color w:val="000000" w:themeColor="text1"/>
                <w:sz w:val="20"/>
                <w:lang w:val="hr-HR"/>
              </w:rPr>
              <w:t xml:space="preserve">31. prosinca </w:t>
            </w:r>
          </w:p>
          <w:p w14:paraId="7C228599" w14:textId="77777777" w:rsidR="004E2F51" w:rsidRPr="004B4498" w:rsidRDefault="004E2F51" w:rsidP="00E032FC">
            <w:pPr>
              <w:pStyle w:val="TH"/>
              <w:jc w:val="right"/>
              <w:rPr>
                <w:rFonts w:cs="Arial"/>
                <w:color w:val="000000" w:themeColor="text1"/>
                <w:sz w:val="20"/>
                <w:lang w:val="hr-HR"/>
              </w:rPr>
            </w:pPr>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1230"/>
          </w:p>
        </w:tc>
      </w:tr>
      <w:tr w:rsidR="004E2F51" w:rsidRPr="005A00FA" w14:paraId="0F5EED7F" w14:textId="77777777" w:rsidTr="00E032FC">
        <w:trPr>
          <w:trHeight w:val="168"/>
        </w:trPr>
        <w:tc>
          <w:tcPr>
            <w:tcW w:w="3066" w:type="pct"/>
          </w:tcPr>
          <w:p w14:paraId="77BD78B3" w14:textId="77777777" w:rsidR="004E2F51" w:rsidRPr="004B4498" w:rsidRDefault="004E2F51" w:rsidP="00E032FC">
            <w:pPr>
              <w:tabs>
                <w:tab w:val="left" w:pos="-1963"/>
              </w:tabs>
              <w:jc w:val="center"/>
              <w:rPr>
                <w:rFonts w:ascii="Arial" w:hAnsi="Arial" w:cs="Arial"/>
                <w:color w:val="000000" w:themeColor="text1"/>
                <w:spacing w:val="-3"/>
                <w:sz w:val="20"/>
                <w:szCs w:val="20"/>
                <w:lang w:val="hr-HR"/>
              </w:rPr>
            </w:pPr>
          </w:p>
        </w:tc>
        <w:tc>
          <w:tcPr>
            <w:tcW w:w="967" w:type="pct"/>
          </w:tcPr>
          <w:p w14:paraId="3ACC7472" w14:textId="77777777" w:rsidR="004E2F51" w:rsidRPr="004B4498" w:rsidRDefault="004E2F51" w:rsidP="00E032FC">
            <w:pPr>
              <w:pStyle w:val="TH"/>
              <w:jc w:val="right"/>
              <w:rPr>
                <w:rFonts w:cs="Arial"/>
                <w:color w:val="000000" w:themeColor="text1"/>
                <w:sz w:val="20"/>
                <w:lang w:val="hr-HR"/>
              </w:rPr>
            </w:pPr>
            <w:bookmarkStart w:id="1231" w:name="_Toc67328715"/>
            <w:r w:rsidRPr="004B4498">
              <w:rPr>
                <w:rFonts w:cs="Arial"/>
                <w:color w:val="000000" w:themeColor="text1"/>
                <w:sz w:val="20"/>
                <w:lang w:val="hr-HR"/>
              </w:rPr>
              <w:t>000 kuna</w:t>
            </w:r>
            <w:bookmarkEnd w:id="1231"/>
          </w:p>
        </w:tc>
        <w:tc>
          <w:tcPr>
            <w:tcW w:w="967" w:type="pct"/>
          </w:tcPr>
          <w:p w14:paraId="509C1859" w14:textId="77777777" w:rsidR="004E2F51" w:rsidRPr="004B4498" w:rsidRDefault="004E2F51" w:rsidP="00E032FC">
            <w:pPr>
              <w:pStyle w:val="TH"/>
              <w:jc w:val="right"/>
              <w:rPr>
                <w:rFonts w:cs="Arial"/>
                <w:color w:val="000000" w:themeColor="text1"/>
                <w:sz w:val="20"/>
                <w:lang w:val="hr-HR"/>
              </w:rPr>
            </w:pPr>
            <w:bookmarkStart w:id="1232" w:name="_Toc67328716"/>
            <w:r w:rsidRPr="004B4498">
              <w:rPr>
                <w:rFonts w:cs="Arial"/>
                <w:color w:val="000000" w:themeColor="text1"/>
                <w:sz w:val="20"/>
                <w:lang w:val="hr-HR"/>
              </w:rPr>
              <w:t>000 kuna</w:t>
            </w:r>
            <w:bookmarkEnd w:id="1232"/>
          </w:p>
        </w:tc>
      </w:tr>
      <w:tr w:rsidR="004E2F51" w:rsidRPr="005A00FA" w14:paraId="6E5549D1" w14:textId="77777777" w:rsidTr="00E032FC">
        <w:trPr>
          <w:trHeight w:val="212"/>
        </w:trPr>
        <w:tc>
          <w:tcPr>
            <w:tcW w:w="3066" w:type="pct"/>
          </w:tcPr>
          <w:p w14:paraId="47C9C879" w14:textId="77777777" w:rsidR="004E2F51" w:rsidRPr="004B4498" w:rsidRDefault="004E2F51" w:rsidP="00E032FC">
            <w:pPr>
              <w:tabs>
                <w:tab w:val="left" w:pos="-1963"/>
              </w:tabs>
              <w:jc w:val="center"/>
              <w:rPr>
                <w:rFonts w:ascii="Arial" w:hAnsi="Arial" w:cs="Arial"/>
                <w:color w:val="000000" w:themeColor="text1"/>
                <w:spacing w:val="-3"/>
                <w:sz w:val="20"/>
                <w:szCs w:val="20"/>
                <w:lang w:val="hr-HR"/>
              </w:rPr>
            </w:pPr>
          </w:p>
        </w:tc>
        <w:tc>
          <w:tcPr>
            <w:tcW w:w="967" w:type="pct"/>
          </w:tcPr>
          <w:p w14:paraId="231CB1A9" w14:textId="77777777" w:rsidR="004E2F51" w:rsidRPr="004B4498" w:rsidRDefault="004E2F51" w:rsidP="00E032FC">
            <w:pPr>
              <w:jc w:val="right"/>
              <w:rPr>
                <w:rFonts w:ascii="Arial" w:hAnsi="Arial" w:cs="Arial"/>
                <w:b/>
                <w:color w:val="000000" w:themeColor="text1"/>
                <w:spacing w:val="-3"/>
                <w:sz w:val="20"/>
                <w:szCs w:val="20"/>
                <w:lang w:val="hr-HR"/>
              </w:rPr>
            </w:pPr>
          </w:p>
        </w:tc>
        <w:tc>
          <w:tcPr>
            <w:tcW w:w="967" w:type="pct"/>
          </w:tcPr>
          <w:p w14:paraId="1ED862DC" w14:textId="77777777" w:rsidR="004E2F51" w:rsidRPr="004B4498" w:rsidRDefault="004E2F51" w:rsidP="00E032FC">
            <w:pPr>
              <w:jc w:val="right"/>
              <w:rPr>
                <w:rFonts w:ascii="Arial" w:hAnsi="Arial" w:cs="Arial"/>
                <w:b/>
                <w:color w:val="000000" w:themeColor="text1"/>
                <w:spacing w:val="-3"/>
                <w:sz w:val="20"/>
                <w:szCs w:val="20"/>
                <w:lang w:val="hr-HR"/>
              </w:rPr>
            </w:pPr>
          </w:p>
        </w:tc>
      </w:tr>
      <w:tr w:rsidR="004E2F51" w:rsidRPr="005A00FA" w14:paraId="67F60DA1" w14:textId="77777777" w:rsidTr="00E032FC">
        <w:trPr>
          <w:trHeight w:val="295"/>
        </w:trPr>
        <w:tc>
          <w:tcPr>
            <w:tcW w:w="3066" w:type="pct"/>
          </w:tcPr>
          <w:p w14:paraId="58FDC418" w14:textId="77777777" w:rsidR="004E2F51" w:rsidRPr="004B4498" w:rsidRDefault="004E2F51" w:rsidP="00E032FC">
            <w:pPr>
              <w:pStyle w:val="TT"/>
              <w:rPr>
                <w:rFonts w:cs="Arial"/>
                <w:color w:val="000000" w:themeColor="text1"/>
                <w:sz w:val="20"/>
                <w:lang w:val="hr-HR"/>
              </w:rPr>
            </w:pPr>
            <w:bookmarkStart w:id="1233" w:name="_Toc67328717"/>
            <w:r w:rsidRPr="004B4498">
              <w:rPr>
                <w:rFonts w:cs="Arial"/>
                <w:color w:val="000000" w:themeColor="text1"/>
                <w:sz w:val="20"/>
                <w:lang w:val="hr-HR"/>
              </w:rPr>
              <w:t>Stanje 1. siječnja</w:t>
            </w:r>
            <w:bookmarkEnd w:id="1233"/>
            <w:r w:rsidRPr="004B4498">
              <w:rPr>
                <w:rFonts w:cs="Arial"/>
                <w:color w:val="000000" w:themeColor="text1"/>
                <w:sz w:val="20"/>
                <w:lang w:val="hr-HR"/>
              </w:rPr>
              <w:t xml:space="preserve"> </w:t>
            </w:r>
          </w:p>
        </w:tc>
        <w:tc>
          <w:tcPr>
            <w:tcW w:w="967" w:type="pct"/>
            <w:tcBorders>
              <w:top w:val="nil"/>
              <w:left w:val="nil"/>
              <w:bottom w:val="nil"/>
              <w:right w:val="nil"/>
            </w:tcBorders>
            <w:shd w:val="clear" w:color="auto" w:fill="auto"/>
            <w:vAlign w:val="bottom"/>
          </w:tcPr>
          <w:p w14:paraId="1A58BF96" w14:textId="77777777" w:rsidR="004E2F51" w:rsidRPr="004B4498" w:rsidRDefault="004E2F51" w:rsidP="00E032FC">
            <w:pPr>
              <w:pStyle w:val="TT"/>
              <w:jc w:val="right"/>
              <w:rPr>
                <w:rFonts w:cs="Arial"/>
                <w:color w:val="000000" w:themeColor="text1"/>
                <w:sz w:val="20"/>
                <w:lang w:val="hr-HR"/>
              </w:rPr>
            </w:pPr>
            <w:r w:rsidRPr="006D52D6">
              <w:rPr>
                <w:rFonts w:cs="Arial"/>
                <w:color w:val="000000" w:themeColor="text1"/>
                <w:sz w:val="20"/>
                <w:lang w:val="hr-HR"/>
              </w:rPr>
              <w:t xml:space="preserve"> 16.104.000 </w:t>
            </w:r>
          </w:p>
        </w:tc>
        <w:tc>
          <w:tcPr>
            <w:tcW w:w="967" w:type="pct"/>
            <w:tcBorders>
              <w:top w:val="nil"/>
              <w:left w:val="nil"/>
              <w:bottom w:val="nil"/>
              <w:right w:val="nil"/>
            </w:tcBorders>
            <w:shd w:val="clear" w:color="auto" w:fill="auto"/>
            <w:vAlign w:val="bottom"/>
          </w:tcPr>
          <w:p w14:paraId="59BAA26D"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16.852.094</w:t>
            </w:r>
          </w:p>
        </w:tc>
      </w:tr>
      <w:tr w:rsidR="004E2F51" w:rsidRPr="005A00FA" w14:paraId="572D2FCC" w14:textId="77777777" w:rsidTr="00E032FC">
        <w:trPr>
          <w:trHeight w:val="311"/>
        </w:trPr>
        <w:tc>
          <w:tcPr>
            <w:tcW w:w="3066" w:type="pct"/>
          </w:tcPr>
          <w:p w14:paraId="6575D81D" w14:textId="77777777" w:rsidR="004E2F51" w:rsidRPr="004B4498" w:rsidRDefault="004E2F51" w:rsidP="00E032FC">
            <w:pPr>
              <w:pStyle w:val="TT"/>
              <w:rPr>
                <w:rFonts w:cs="Arial"/>
                <w:color w:val="000000" w:themeColor="text1"/>
                <w:sz w:val="20"/>
                <w:lang w:val="hr-HR"/>
              </w:rPr>
            </w:pPr>
            <w:bookmarkStart w:id="1234" w:name="_Toc67328719"/>
            <w:r w:rsidRPr="004B4498">
              <w:rPr>
                <w:rFonts w:cs="Arial"/>
                <w:color w:val="000000" w:themeColor="text1"/>
                <w:sz w:val="20"/>
                <w:lang w:val="hr-HR"/>
              </w:rPr>
              <w:t>Novi krediti</w:t>
            </w:r>
            <w:bookmarkEnd w:id="1234"/>
          </w:p>
        </w:tc>
        <w:tc>
          <w:tcPr>
            <w:tcW w:w="967" w:type="pct"/>
            <w:tcBorders>
              <w:top w:val="nil"/>
              <w:left w:val="nil"/>
              <w:bottom w:val="nil"/>
              <w:right w:val="nil"/>
            </w:tcBorders>
            <w:shd w:val="clear" w:color="auto" w:fill="auto"/>
            <w:vAlign w:val="bottom"/>
          </w:tcPr>
          <w:p w14:paraId="74F0CFB0" w14:textId="77777777" w:rsidR="004E2F51" w:rsidRPr="004B4498" w:rsidRDefault="004E2F51" w:rsidP="00E032FC">
            <w:pPr>
              <w:pStyle w:val="TT"/>
              <w:jc w:val="right"/>
              <w:rPr>
                <w:rFonts w:cs="Arial"/>
                <w:color w:val="000000" w:themeColor="text1"/>
                <w:sz w:val="20"/>
                <w:lang w:val="hr-HR"/>
              </w:rPr>
            </w:pPr>
            <w:r w:rsidRPr="006D52D6">
              <w:rPr>
                <w:rFonts w:cs="Arial"/>
                <w:color w:val="000000" w:themeColor="text1"/>
                <w:sz w:val="20"/>
                <w:lang w:val="hr-HR"/>
              </w:rPr>
              <w:t xml:space="preserve"> 2.981.142 </w:t>
            </w:r>
          </w:p>
        </w:tc>
        <w:tc>
          <w:tcPr>
            <w:tcW w:w="967" w:type="pct"/>
            <w:tcBorders>
              <w:top w:val="nil"/>
              <w:left w:val="nil"/>
              <w:bottom w:val="nil"/>
              <w:right w:val="nil"/>
            </w:tcBorders>
            <w:shd w:val="clear" w:color="auto" w:fill="auto"/>
            <w:vAlign w:val="bottom"/>
          </w:tcPr>
          <w:p w14:paraId="555C7624"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1.668.482</w:t>
            </w:r>
          </w:p>
        </w:tc>
      </w:tr>
      <w:tr w:rsidR="004E2F51" w:rsidRPr="005A00FA" w14:paraId="1402586A" w14:textId="77777777" w:rsidTr="00E032FC">
        <w:trPr>
          <w:trHeight w:val="295"/>
        </w:trPr>
        <w:tc>
          <w:tcPr>
            <w:tcW w:w="3066" w:type="pct"/>
          </w:tcPr>
          <w:p w14:paraId="7B8F9473" w14:textId="77777777" w:rsidR="004E2F51" w:rsidRPr="004B4498" w:rsidRDefault="004E2F51" w:rsidP="00E032FC">
            <w:pPr>
              <w:pStyle w:val="TT"/>
              <w:rPr>
                <w:rFonts w:cs="Arial"/>
                <w:color w:val="000000" w:themeColor="text1"/>
                <w:sz w:val="20"/>
                <w:lang w:val="hr-HR"/>
              </w:rPr>
            </w:pPr>
            <w:bookmarkStart w:id="1235" w:name="_Toc67328721"/>
            <w:r w:rsidRPr="004B4498">
              <w:rPr>
                <w:rFonts w:cs="Arial"/>
                <w:color w:val="000000" w:themeColor="text1"/>
                <w:sz w:val="20"/>
                <w:lang w:val="hr-HR"/>
              </w:rPr>
              <w:t>Povrat kredita</w:t>
            </w:r>
            <w:bookmarkEnd w:id="1235"/>
          </w:p>
        </w:tc>
        <w:tc>
          <w:tcPr>
            <w:tcW w:w="967" w:type="pct"/>
            <w:tcBorders>
              <w:top w:val="nil"/>
              <w:left w:val="nil"/>
              <w:bottom w:val="nil"/>
              <w:right w:val="nil"/>
            </w:tcBorders>
            <w:shd w:val="clear" w:color="auto" w:fill="auto"/>
            <w:vAlign w:val="bottom"/>
          </w:tcPr>
          <w:p w14:paraId="4E3EFCD5" w14:textId="77777777" w:rsidR="004E2F51" w:rsidRPr="004B4498" w:rsidRDefault="004E2F51" w:rsidP="00E032FC">
            <w:pPr>
              <w:pStyle w:val="TT"/>
              <w:jc w:val="right"/>
              <w:rPr>
                <w:rFonts w:cs="Arial"/>
                <w:color w:val="000000" w:themeColor="text1"/>
                <w:sz w:val="20"/>
                <w:lang w:val="hr-HR"/>
              </w:rPr>
            </w:pPr>
            <w:r w:rsidRPr="006D52D6">
              <w:rPr>
                <w:rFonts w:cs="Arial"/>
                <w:color w:val="000000" w:themeColor="text1"/>
                <w:sz w:val="20"/>
                <w:lang w:val="hr-HR"/>
              </w:rPr>
              <w:t xml:space="preserve"> (2.631.688)</w:t>
            </w:r>
          </w:p>
        </w:tc>
        <w:tc>
          <w:tcPr>
            <w:tcW w:w="967" w:type="pct"/>
            <w:tcBorders>
              <w:top w:val="nil"/>
              <w:left w:val="nil"/>
              <w:bottom w:val="nil"/>
              <w:right w:val="nil"/>
            </w:tcBorders>
            <w:shd w:val="clear" w:color="auto" w:fill="auto"/>
            <w:vAlign w:val="bottom"/>
          </w:tcPr>
          <w:p w14:paraId="6176575C"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(2.391.147)</w:t>
            </w:r>
          </w:p>
        </w:tc>
      </w:tr>
      <w:tr w:rsidR="004E2F51" w:rsidRPr="005A00FA" w14:paraId="185BB42E" w14:textId="77777777" w:rsidTr="00E032FC">
        <w:trPr>
          <w:trHeight w:val="295"/>
        </w:trPr>
        <w:tc>
          <w:tcPr>
            <w:tcW w:w="3066" w:type="pct"/>
          </w:tcPr>
          <w:p w14:paraId="390694E1" w14:textId="77777777" w:rsidR="004E2F51" w:rsidRPr="004B4498" w:rsidRDefault="004E2F51" w:rsidP="00E032FC">
            <w:pPr>
              <w:pStyle w:val="TT"/>
              <w:rPr>
                <w:rFonts w:cs="Arial"/>
                <w:color w:val="000000" w:themeColor="text1"/>
                <w:sz w:val="20"/>
                <w:lang w:val="hr-HR"/>
              </w:rPr>
            </w:pPr>
            <w:bookmarkStart w:id="1236" w:name="_Toc67328723"/>
            <w:r w:rsidRPr="004B4498">
              <w:rPr>
                <w:rFonts w:cs="Arial"/>
                <w:color w:val="000000" w:themeColor="text1"/>
                <w:sz w:val="20"/>
                <w:lang w:val="hr-HR"/>
              </w:rPr>
              <w:t>Neto dobit/gubitak od tečajnih razlika</w:t>
            </w:r>
            <w:bookmarkEnd w:id="1236"/>
          </w:p>
        </w:tc>
        <w:tc>
          <w:tcPr>
            <w:tcW w:w="967" w:type="pct"/>
            <w:tcBorders>
              <w:top w:val="nil"/>
              <w:left w:val="nil"/>
              <w:bottom w:val="single" w:sz="4" w:space="0" w:color="auto"/>
              <w:right w:val="nil"/>
            </w:tcBorders>
            <w:shd w:val="clear" w:color="auto" w:fill="auto"/>
            <w:vAlign w:val="bottom"/>
          </w:tcPr>
          <w:p w14:paraId="4C8A4252" w14:textId="77777777" w:rsidR="004E2F51" w:rsidRPr="004B4498" w:rsidRDefault="004E2F51" w:rsidP="00E032FC">
            <w:pPr>
              <w:pStyle w:val="TT"/>
              <w:jc w:val="right"/>
              <w:rPr>
                <w:rFonts w:cs="Arial"/>
                <w:color w:val="000000" w:themeColor="text1"/>
                <w:sz w:val="20"/>
                <w:lang w:val="hr-HR"/>
              </w:rPr>
            </w:pPr>
            <w:r w:rsidRPr="006D52D6">
              <w:rPr>
                <w:rFonts w:cs="Arial"/>
                <w:color w:val="000000" w:themeColor="text1"/>
                <w:sz w:val="20"/>
                <w:lang w:val="hr-HR"/>
              </w:rPr>
              <w:t xml:space="preserve"> 45.676 </w:t>
            </w:r>
          </w:p>
        </w:tc>
        <w:tc>
          <w:tcPr>
            <w:tcW w:w="967" w:type="pct"/>
            <w:tcBorders>
              <w:top w:val="nil"/>
              <w:left w:val="nil"/>
              <w:bottom w:val="single" w:sz="4" w:space="0" w:color="auto"/>
              <w:right w:val="nil"/>
            </w:tcBorders>
            <w:shd w:val="clear" w:color="auto" w:fill="auto"/>
            <w:vAlign w:val="bottom"/>
          </w:tcPr>
          <w:p w14:paraId="6F1F21AC"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(25.429)</w:t>
            </w:r>
          </w:p>
        </w:tc>
      </w:tr>
      <w:tr w:rsidR="004E2F51" w:rsidRPr="005A00FA" w14:paraId="60ECBC14" w14:textId="77777777" w:rsidTr="00E032FC">
        <w:trPr>
          <w:trHeight w:val="295"/>
        </w:trPr>
        <w:tc>
          <w:tcPr>
            <w:tcW w:w="3066" w:type="pct"/>
          </w:tcPr>
          <w:p w14:paraId="111C0362" w14:textId="77777777" w:rsidR="004E2F51" w:rsidRPr="004B4498" w:rsidRDefault="004E2F51" w:rsidP="00E032FC">
            <w:pPr>
              <w:pStyle w:val="TT"/>
              <w:rPr>
                <w:rFonts w:cs="Arial"/>
                <w:i/>
                <w:color w:val="000000" w:themeColor="text1"/>
                <w:sz w:val="20"/>
                <w:lang w:val="hr-HR"/>
              </w:rPr>
            </w:pPr>
          </w:p>
        </w:tc>
        <w:tc>
          <w:tcPr>
            <w:tcW w:w="967" w:type="pct"/>
            <w:tcBorders>
              <w:top w:val="single" w:sz="4" w:space="0" w:color="auto"/>
              <w:bottom w:val="single" w:sz="12" w:space="0" w:color="auto"/>
            </w:tcBorders>
            <w:vAlign w:val="bottom"/>
          </w:tcPr>
          <w:p w14:paraId="7ABA82B1" w14:textId="77777777" w:rsidR="004E2F51" w:rsidRPr="004B4498" w:rsidRDefault="004E2F51" w:rsidP="00E032FC">
            <w:pPr>
              <w:pStyle w:val="TT"/>
              <w:jc w:val="right"/>
              <w:rPr>
                <w:rFonts w:cs="Arial"/>
                <w:color w:val="000000" w:themeColor="text1"/>
                <w:sz w:val="20"/>
                <w:lang w:val="hr-HR"/>
              </w:rPr>
            </w:pPr>
            <w:r w:rsidRPr="006D52D6">
              <w:rPr>
                <w:rFonts w:cs="Arial"/>
                <w:color w:val="000000" w:themeColor="text1"/>
                <w:sz w:val="20"/>
                <w:lang w:val="hr-HR"/>
              </w:rPr>
              <w:t>16.499.130</w:t>
            </w:r>
          </w:p>
        </w:tc>
        <w:tc>
          <w:tcPr>
            <w:tcW w:w="967" w:type="pct"/>
            <w:tcBorders>
              <w:top w:val="single" w:sz="4" w:space="0" w:color="auto"/>
              <w:bottom w:val="single" w:sz="12" w:space="0" w:color="auto"/>
            </w:tcBorders>
            <w:vAlign w:val="bottom"/>
          </w:tcPr>
          <w:p w14:paraId="6034B410"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16.104.000</w:t>
            </w:r>
          </w:p>
        </w:tc>
      </w:tr>
      <w:tr w:rsidR="004E2F51" w:rsidRPr="005A00FA" w14:paraId="58933D46" w14:textId="77777777" w:rsidTr="00E032FC">
        <w:trPr>
          <w:trHeight w:val="295"/>
        </w:trPr>
        <w:tc>
          <w:tcPr>
            <w:tcW w:w="3066" w:type="pct"/>
          </w:tcPr>
          <w:p w14:paraId="74F8252D" w14:textId="77777777" w:rsidR="004E2F51" w:rsidRPr="004B4498" w:rsidRDefault="004E2F51" w:rsidP="00E032FC">
            <w:pPr>
              <w:pStyle w:val="TT"/>
              <w:rPr>
                <w:rFonts w:cs="Arial"/>
                <w:color w:val="000000" w:themeColor="text1"/>
                <w:sz w:val="20"/>
                <w:lang w:val="hr-HR"/>
              </w:rPr>
            </w:pPr>
            <w:bookmarkStart w:id="1237" w:name="_Toc67328727"/>
            <w:r w:rsidRPr="004B4498">
              <w:rPr>
                <w:rFonts w:cs="Arial"/>
                <w:color w:val="000000" w:themeColor="text1"/>
                <w:sz w:val="20"/>
                <w:lang w:val="hr-HR"/>
              </w:rPr>
              <w:t>Obračunata kamata</w:t>
            </w:r>
            <w:bookmarkEnd w:id="1237"/>
          </w:p>
        </w:tc>
        <w:tc>
          <w:tcPr>
            <w:tcW w:w="967" w:type="pct"/>
            <w:tcBorders>
              <w:top w:val="single" w:sz="12" w:space="0" w:color="auto"/>
              <w:left w:val="nil"/>
              <w:bottom w:val="nil"/>
              <w:right w:val="nil"/>
            </w:tcBorders>
            <w:shd w:val="clear" w:color="auto" w:fill="auto"/>
            <w:vAlign w:val="bottom"/>
          </w:tcPr>
          <w:p w14:paraId="6EB72E59" w14:textId="77777777" w:rsidR="004E2F51" w:rsidRPr="004B4498" w:rsidRDefault="004E2F51" w:rsidP="00E032FC">
            <w:pPr>
              <w:jc w:val="right"/>
              <w:rPr>
                <w:rFonts w:ascii="Arial" w:hAnsi="Arial" w:cs="Arial"/>
                <w:color w:val="000000" w:themeColor="text1"/>
                <w:sz w:val="20"/>
                <w:szCs w:val="20"/>
                <w:lang w:val="hr-HR"/>
              </w:rPr>
            </w:pPr>
            <w:r w:rsidRPr="006D52D6">
              <w:rPr>
                <w:rFonts w:ascii="Arial" w:hAnsi="Arial" w:cs="Arial"/>
                <w:color w:val="000000" w:themeColor="text1"/>
                <w:sz w:val="20"/>
                <w:szCs w:val="20"/>
                <w:lang w:val="hr-HR"/>
              </w:rPr>
              <w:t>30.102</w:t>
            </w:r>
          </w:p>
        </w:tc>
        <w:tc>
          <w:tcPr>
            <w:tcW w:w="967" w:type="pct"/>
            <w:tcBorders>
              <w:top w:val="single" w:sz="12" w:space="0" w:color="auto"/>
              <w:left w:val="nil"/>
              <w:bottom w:val="nil"/>
              <w:right w:val="nil"/>
            </w:tcBorders>
            <w:shd w:val="clear" w:color="auto" w:fill="auto"/>
            <w:vAlign w:val="bottom"/>
          </w:tcPr>
          <w:p w14:paraId="047A080B" w14:textId="77777777" w:rsidR="004E2F51" w:rsidRPr="004B4498" w:rsidRDefault="004E2F51" w:rsidP="00E032FC">
            <w:pPr>
              <w:pStyle w:val="TT"/>
              <w:jc w:val="right"/>
              <w:rPr>
                <w:rFonts w:cs="Arial"/>
                <w:color w:val="000000" w:themeColor="text1"/>
                <w:spacing w:val="-2"/>
                <w:sz w:val="20"/>
                <w:lang w:val="hr-HR"/>
              </w:rPr>
            </w:pPr>
            <w:r w:rsidRPr="0046584E">
              <w:rPr>
                <w:rFonts w:cs="Arial"/>
                <w:color w:val="000000" w:themeColor="text1"/>
                <w:sz w:val="20"/>
                <w:lang w:val="hr-HR"/>
              </w:rPr>
              <w:t>34.657</w:t>
            </w:r>
          </w:p>
        </w:tc>
      </w:tr>
      <w:tr w:rsidR="004E2F51" w:rsidRPr="005A00FA" w14:paraId="005554D3" w14:textId="77777777" w:rsidTr="00E032FC">
        <w:trPr>
          <w:trHeight w:val="295"/>
        </w:trPr>
        <w:tc>
          <w:tcPr>
            <w:tcW w:w="3066" w:type="pct"/>
          </w:tcPr>
          <w:p w14:paraId="23A297E0" w14:textId="77777777" w:rsidR="004E2F51" w:rsidRPr="004B4498" w:rsidRDefault="004E2F51" w:rsidP="00E032FC">
            <w:pPr>
              <w:pStyle w:val="TT"/>
              <w:rPr>
                <w:rFonts w:cs="Arial"/>
                <w:color w:val="000000" w:themeColor="text1"/>
                <w:sz w:val="20"/>
                <w:lang w:val="hr-HR"/>
              </w:rPr>
            </w:pPr>
            <w:bookmarkStart w:id="1238" w:name="_Toc67328729"/>
            <w:r w:rsidRPr="004B4498">
              <w:rPr>
                <w:rFonts w:cs="Arial"/>
                <w:color w:val="000000" w:themeColor="text1"/>
                <w:sz w:val="20"/>
                <w:lang w:val="hr-HR"/>
              </w:rPr>
              <w:t>Odgođena naknada</w:t>
            </w:r>
            <w:bookmarkEnd w:id="1238"/>
          </w:p>
        </w:tc>
        <w:tc>
          <w:tcPr>
            <w:tcW w:w="967" w:type="pct"/>
            <w:tcBorders>
              <w:top w:val="nil"/>
              <w:left w:val="nil"/>
              <w:bottom w:val="single" w:sz="4" w:space="0" w:color="auto"/>
              <w:right w:val="nil"/>
            </w:tcBorders>
            <w:shd w:val="clear" w:color="auto" w:fill="auto"/>
            <w:vAlign w:val="bottom"/>
          </w:tcPr>
          <w:p w14:paraId="2FA92000" w14:textId="77777777" w:rsidR="004E2F51" w:rsidRPr="004B4498" w:rsidRDefault="004E2F51" w:rsidP="00E032FC">
            <w:pPr>
              <w:jc w:val="right"/>
              <w:rPr>
                <w:rFonts w:ascii="Arial" w:hAnsi="Arial" w:cs="Arial"/>
                <w:color w:val="000000" w:themeColor="text1"/>
                <w:sz w:val="20"/>
                <w:szCs w:val="20"/>
                <w:lang w:val="hr-HR"/>
              </w:rPr>
            </w:pPr>
            <w:r w:rsidRPr="006D52D6">
              <w:rPr>
                <w:rFonts w:ascii="Arial" w:hAnsi="Arial" w:cs="Arial"/>
                <w:color w:val="000000" w:themeColor="text1"/>
                <w:sz w:val="20"/>
                <w:szCs w:val="20"/>
                <w:lang w:val="hr-HR"/>
              </w:rPr>
              <w:t>(27.956)</w:t>
            </w:r>
          </w:p>
        </w:tc>
        <w:tc>
          <w:tcPr>
            <w:tcW w:w="967" w:type="pct"/>
            <w:tcBorders>
              <w:top w:val="nil"/>
              <w:left w:val="nil"/>
              <w:bottom w:val="single" w:sz="4" w:space="0" w:color="auto"/>
              <w:right w:val="nil"/>
            </w:tcBorders>
            <w:shd w:val="clear" w:color="auto" w:fill="auto"/>
            <w:vAlign w:val="bottom"/>
          </w:tcPr>
          <w:p w14:paraId="063D7F9D" w14:textId="77777777" w:rsidR="004E2F51" w:rsidRPr="004B4498" w:rsidRDefault="004E2F51" w:rsidP="00E032FC">
            <w:pPr>
              <w:pStyle w:val="TT"/>
              <w:jc w:val="right"/>
              <w:rPr>
                <w:rFonts w:cs="Arial"/>
                <w:color w:val="000000" w:themeColor="text1"/>
                <w:spacing w:val="-2"/>
                <w:sz w:val="20"/>
                <w:lang w:val="hr-HR"/>
              </w:rPr>
            </w:pPr>
            <w:r w:rsidRPr="0046584E">
              <w:rPr>
                <w:rFonts w:cs="Arial"/>
                <w:color w:val="000000" w:themeColor="text1"/>
                <w:sz w:val="20"/>
                <w:lang w:val="hr-HR"/>
              </w:rPr>
              <w:t>(23.420)</w:t>
            </w:r>
          </w:p>
        </w:tc>
      </w:tr>
      <w:tr w:rsidR="004E2F51" w:rsidRPr="005A00FA" w14:paraId="79CBAC03" w14:textId="77777777" w:rsidTr="00E032FC">
        <w:trPr>
          <w:trHeight w:val="327"/>
        </w:trPr>
        <w:tc>
          <w:tcPr>
            <w:tcW w:w="3066" w:type="pct"/>
          </w:tcPr>
          <w:p w14:paraId="64A3CB43" w14:textId="77777777" w:rsidR="004E2F51" w:rsidRPr="004B4498" w:rsidRDefault="004E2F51" w:rsidP="00E032FC">
            <w:pPr>
              <w:pStyle w:val="Tot"/>
              <w:rPr>
                <w:rFonts w:cs="Arial"/>
                <w:b/>
                <w:bCs/>
                <w:color w:val="000000" w:themeColor="text1"/>
                <w:sz w:val="20"/>
                <w:lang w:val="hr-HR"/>
              </w:rPr>
            </w:pPr>
          </w:p>
        </w:tc>
        <w:tc>
          <w:tcPr>
            <w:tcW w:w="967" w:type="pct"/>
            <w:tcBorders>
              <w:top w:val="single" w:sz="4" w:space="0" w:color="auto"/>
              <w:bottom w:val="single" w:sz="12" w:space="0" w:color="auto"/>
            </w:tcBorders>
            <w:vAlign w:val="bottom"/>
          </w:tcPr>
          <w:p w14:paraId="7AB9B469" w14:textId="77777777" w:rsidR="004E2F51" w:rsidRPr="004B4498" w:rsidRDefault="004E2F51" w:rsidP="00E032FC">
            <w:pPr>
              <w:pStyle w:val="Tot"/>
              <w:jc w:val="right"/>
              <w:rPr>
                <w:rFonts w:cs="Arial"/>
                <w:b/>
                <w:bCs/>
                <w:color w:val="000000" w:themeColor="text1"/>
                <w:sz w:val="20"/>
                <w:lang w:val="hr-HR"/>
              </w:rPr>
            </w:pPr>
            <w:r w:rsidRPr="006D52D6">
              <w:rPr>
                <w:rFonts w:cs="Arial"/>
                <w:b/>
                <w:bCs/>
                <w:color w:val="000000" w:themeColor="text1"/>
                <w:sz w:val="20"/>
                <w:lang w:val="hr-HR"/>
              </w:rPr>
              <w:t>16.501.276</w:t>
            </w:r>
          </w:p>
        </w:tc>
        <w:tc>
          <w:tcPr>
            <w:tcW w:w="967" w:type="pct"/>
            <w:tcBorders>
              <w:top w:val="single" w:sz="4" w:space="0" w:color="auto"/>
              <w:bottom w:val="single" w:sz="12" w:space="0" w:color="auto"/>
            </w:tcBorders>
            <w:vAlign w:val="bottom"/>
          </w:tcPr>
          <w:p w14:paraId="414B1E06" w14:textId="77777777" w:rsidR="004E2F51" w:rsidRPr="004B4498" w:rsidRDefault="004E2F51" w:rsidP="00E032FC">
            <w:pPr>
              <w:pStyle w:val="Tot"/>
              <w:jc w:val="right"/>
              <w:rPr>
                <w:rFonts w:cs="Arial"/>
                <w:b/>
                <w:bCs/>
                <w:color w:val="000000" w:themeColor="text1"/>
                <w:sz w:val="20"/>
                <w:lang w:val="hr-HR"/>
              </w:rPr>
            </w:pPr>
            <w:r w:rsidRPr="0046584E">
              <w:rPr>
                <w:rFonts w:cs="Arial"/>
                <w:b/>
                <w:bCs/>
                <w:color w:val="000000" w:themeColor="text1"/>
                <w:sz w:val="20"/>
                <w:lang w:val="hr-HR"/>
              </w:rPr>
              <w:t>16.115.237</w:t>
            </w:r>
          </w:p>
        </w:tc>
      </w:tr>
    </w:tbl>
    <w:p w14:paraId="1592D525" w14:textId="77777777" w:rsidR="004E2F51" w:rsidRPr="004B4498" w:rsidRDefault="004E2F51" w:rsidP="004E2F51">
      <w:pPr>
        <w:pStyle w:val="T1"/>
        <w:keepNext w:val="0"/>
        <w:tabs>
          <w:tab w:val="left" w:pos="-1843"/>
        </w:tabs>
        <w:spacing w:before="0" w:after="0" w:line="240" w:lineRule="auto"/>
        <w:rPr>
          <w:rFonts w:cs="Arial"/>
          <w:bCs w:val="0"/>
          <w:color w:val="000000" w:themeColor="text1"/>
          <w:sz w:val="20"/>
          <w:lang w:val="hr-HR"/>
        </w:rPr>
      </w:pPr>
    </w:p>
    <w:p w14:paraId="3D07AF34" w14:textId="77777777" w:rsidR="004E2F51" w:rsidRPr="004B4498" w:rsidRDefault="004E2F51" w:rsidP="004E2F51">
      <w:pPr>
        <w:jc w:val="both"/>
        <w:rPr>
          <w:rFonts w:ascii="Arial" w:hAnsi="Arial" w:cs="Arial"/>
          <w:sz w:val="20"/>
          <w:szCs w:val="20"/>
          <w:lang w:val="hr-HR" w:eastAsia="hr-HR"/>
        </w:rPr>
      </w:pPr>
      <w:bookmarkStart w:id="1239" w:name="_Hlk99027061"/>
    </w:p>
    <w:tbl>
      <w:tblPr>
        <w:tblW w:w="9143" w:type="dxa"/>
        <w:tblLayout w:type="fixed"/>
        <w:tblLook w:val="04A0" w:firstRow="1" w:lastRow="0" w:firstColumn="1" w:lastColumn="0" w:noHBand="0" w:noVBand="1"/>
      </w:tblPr>
      <w:tblGrid>
        <w:gridCol w:w="5605"/>
        <w:gridCol w:w="1766"/>
        <w:gridCol w:w="1772"/>
      </w:tblGrid>
      <w:tr w:rsidR="004E2F51" w:rsidRPr="005A00FA" w14:paraId="6FC3DCA0" w14:textId="77777777" w:rsidTr="00E032FC">
        <w:trPr>
          <w:trHeight w:val="290"/>
        </w:trPr>
        <w:tc>
          <w:tcPr>
            <w:tcW w:w="5605" w:type="dxa"/>
            <w:tcBorders>
              <w:top w:val="nil"/>
              <w:left w:val="nil"/>
              <w:bottom w:val="nil"/>
              <w:right w:val="nil"/>
            </w:tcBorders>
            <w:shd w:val="clear" w:color="auto" w:fill="auto"/>
            <w:vAlign w:val="center"/>
            <w:hideMark/>
          </w:tcPr>
          <w:p w14:paraId="6AD931A8" w14:textId="77777777" w:rsidR="004E2F51" w:rsidRPr="005A00FA" w:rsidRDefault="004E2F51" w:rsidP="00E032FC">
            <w:pPr>
              <w:rPr>
                <w:rFonts w:ascii="Arial" w:hAnsi="Arial" w:cs="Arial"/>
                <w:sz w:val="20"/>
                <w:szCs w:val="20"/>
              </w:rPr>
            </w:pPr>
            <w:bookmarkStart w:id="1240" w:name="_Hlk99095251"/>
            <w:bookmarkEnd w:id="1239"/>
          </w:p>
        </w:tc>
        <w:tc>
          <w:tcPr>
            <w:tcW w:w="3538" w:type="dxa"/>
            <w:gridSpan w:val="2"/>
            <w:tcBorders>
              <w:top w:val="nil"/>
              <w:left w:val="nil"/>
              <w:bottom w:val="nil"/>
              <w:right w:val="nil"/>
            </w:tcBorders>
            <w:shd w:val="clear" w:color="auto" w:fill="auto"/>
            <w:vAlign w:val="center"/>
            <w:hideMark/>
          </w:tcPr>
          <w:p w14:paraId="2952FD15" w14:textId="77777777" w:rsidR="004E2F51" w:rsidRPr="005A00FA" w:rsidRDefault="004E2F51" w:rsidP="00E032FC">
            <w:pPr>
              <w:jc w:val="right"/>
              <w:rPr>
                <w:rFonts w:ascii="Arial" w:hAnsi="Arial" w:cs="Arial"/>
                <w:b/>
                <w:bCs/>
                <w:color w:val="000000"/>
                <w:sz w:val="20"/>
                <w:szCs w:val="20"/>
              </w:rPr>
            </w:pPr>
            <w:r w:rsidRPr="005A00FA">
              <w:rPr>
                <w:rFonts w:ascii="Arial" w:hAnsi="Arial" w:cs="Arial"/>
                <w:b/>
                <w:bCs/>
                <w:color w:val="000000"/>
                <w:sz w:val="20"/>
                <w:szCs w:val="20"/>
              </w:rPr>
              <w:t>Grupa i Banka</w:t>
            </w:r>
          </w:p>
        </w:tc>
      </w:tr>
      <w:tr w:rsidR="004E2F51" w:rsidRPr="005A00FA" w14:paraId="25887484" w14:textId="77777777" w:rsidTr="00E032FC">
        <w:trPr>
          <w:trHeight w:val="290"/>
        </w:trPr>
        <w:tc>
          <w:tcPr>
            <w:tcW w:w="5605" w:type="dxa"/>
            <w:vMerge w:val="restart"/>
            <w:tcBorders>
              <w:top w:val="nil"/>
              <w:left w:val="nil"/>
              <w:bottom w:val="nil"/>
              <w:right w:val="nil"/>
            </w:tcBorders>
            <w:shd w:val="clear" w:color="auto" w:fill="auto"/>
            <w:vAlign w:val="center"/>
            <w:hideMark/>
          </w:tcPr>
          <w:p w14:paraId="47F3E9B3" w14:textId="77777777" w:rsidR="004E2F51" w:rsidRPr="005A00FA" w:rsidRDefault="004E2F51" w:rsidP="00E032FC">
            <w:pPr>
              <w:jc w:val="right"/>
              <w:rPr>
                <w:rFonts w:ascii="Arial" w:hAnsi="Arial" w:cs="Arial"/>
                <w:b/>
                <w:bCs/>
                <w:color w:val="000000"/>
                <w:sz w:val="20"/>
                <w:szCs w:val="20"/>
              </w:rPr>
            </w:pPr>
          </w:p>
        </w:tc>
        <w:tc>
          <w:tcPr>
            <w:tcW w:w="1766" w:type="dxa"/>
            <w:tcBorders>
              <w:top w:val="nil"/>
              <w:left w:val="nil"/>
              <w:bottom w:val="nil"/>
              <w:right w:val="nil"/>
            </w:tcBorders>
            <w:shd w:val="clear" w:color="auto" w:fill="auto"/>
            <w:vAlign w:val="center"/>
            <w:hideMark/>
          </w:tcPr>
          <w:p w14:paraId="7359505D" w14:textId="77777777" w:rsidR="004E2F51" w:rsidRPr="005A00FA" w:rsidRDefault="004E2F51" w:rsidP="00E032FC">
            <w:pPr>
              <w:jc w:val="right"/>
              <w:rPr>
                <w:rFonts w:ascii="Arial" w:hAnsi="Arial" w:cs="Arial"/>
                <w:b/>
                <w:bCs/>
                <w:color w:val="000000"/>
                <w:sz w:val="20"/>
                <w:szCs w:val="20"/>
              </w:rPr>
            </w:pPr>
            <w:r w:rsidRPr="005A00FA">
              <w:rPr>
                <w:rFonts w:ascii="Arial" w:hAnsi="Arial" w:cs="Arial"/>
                <w:b/>
                <w:bCs/>
                <w:color w:val="000000"/>
                <w:sz w:val="20"/>
                <w:szCs w:val="20"/>
              </w:rPr>
              <w:t xml:space="preserve">31. </w:t>
            </w:r>
            <w:proofErr w:type="spellStart"/>
            <w:r w:rsidRPr="005A00FA">
              <w:rPr>
                <w:rFonts w:ascii="Arial" w:hAnsi="Arial" w:cs="Arial"/>
                <w:b/>
                <w:bCs/>
                <w:color w:val="000000"/>
                <w:sz w:val="20"/>
                <w:szCs w:val="20"/>
              </w:rPr>
              <w:t>prosinca</w:t>
            </w:r>
            <w:proofErr w:type="spellEnd"/>
          </w:p>
        </w:tc>
        <w:tc>
          <w:tcPr>
            <w:tcW w:w="1769" w:type="dxa"/>
            <w:tcBorders>
              <w:top w:val="nil"/>
              <w:left w:val="nil"/>
              <w:bottom w:val="nil"/>
              <w:right w:val="nil"/>
            </w:tcBorders>
            <w:shd w:val="clear" w:color="auto" w:fill="auto"/>
            <w:vAlign w:val="center"/>
            <w:hideMark/>
          </w:tcPr>
          <w:p w14:paraId="446D05E8" w14:textId="77777777" w:rsidR="004E2F51" w:rsidRPr="005A00FA" w:rsidRDefault="004E2F51" w:rsidP="00E032FC">
            <w:pPr>
              <w:jc w:val="right"/>
              <w:rPr>
                <w:rFonts w:ascii="Arial" w:hAnsi="Arial" w:cs="Arial"/>
                <w:b/>
                <w:bCs/>
                <w:color w:val="000000"/>
                <w:sz w:val="20"/>
                <w:szCs w:val="20"/>
              </w:rPr>
            </w:pPr>
            <w:r w:rsidRPr="005A00FA">
              <w:rPr>
                <w:rFonts w:ascii="Arial" w:hAnsi="Arial" w:cs="Arial"/>
                <w:b/>
                <w:bCs/>
                <w:color w:val="000000"/>
                <w:sz w:val="20"/>
                <w:szCs w:val="20"/>
              </w:rPr>
              <w:t xml:space="preserve">31. </w:t>
            </w:r>
            <w:proofErr w:type="spellStart"/>
            <w:r w:rsidRPr="005A00FA">
              <w:rPr>
                <w:rFonts w:ascii="Arial" w:hAnsi="Arial" w:cs="Arial"/>
                <w:b/>
                <w:bCs/>
                <w:color w:val="000000"/>
                <w:sz w:val="20"/>
                <w:szCs w:val="20"/>
              </w:rPr>
              <w:t>prosinca</w:t>
            </w:r>
            <w:proofErr w:type="spellEnd"/>
            <w:r w:rsidRPr="005A00FA">
              <w:rPr>
                <w:rFonts w:ascii="Arial" w:hAnsi="Arial" w:cs="Arial"/>
                <w:b/>
                <w:bCs/>
                <w:color w:val="000000"/>
                <w:sz w:val="20"/>
                <w:szCs w:val="20"/>
              </w:rPr>
              <w:t xml:space="preserve"> </w:t>
            </w:r>
          </w:p>
        </w:tc>
      </w:tr>
      <w:tr w:rsidR="004E2F51" w:rsidRPr="005A00FA" w14:paraId="620BF271" w14:textId="77777777" w:rsidTr="00E032FC">
        <w:trPr>
          <w:trHeight w:val="290"/>
        </w:trPr>
        <w:tc>
          <w:tcPr>
            <w:tcW w:w="5605" w:type="dxa"/>
            <w:vMerge/>
            <w:tcBorders>
              <w:top w:val="nil"/>
              <w:left w:val="nil"/>
              <w:bottom w:val="nil"/>
              <w:right w:val="nil"/>
            </w:tcBorders>
            <w:vAlign w:val="center"/>
            <w:hideMark/>
          </w:tcPr>
          <w:p w14:paraId="7EEAC09E" w14:textId="77777777" w:rsidR="004E2F51" w:rsidRPr="005A00FA" w:rsidRDefault="004E2F51" w:rsidP="00E032FC">
            <w:pPr>
              <w:rPr>
                <w:rFonts w:ascii="Arial" w:hAnsi="Arial" w:cs="Arial"/>
                <w:b/>
                <w:bCs/>
                <w:color w:val="000000"/>
                <w:sz w:val="20"/>
                <w:szCs w:val="20"/>
              </w:rPr>
            </w:pPr>
          </w:p>
        </w:tc>
        <w:tc>
          <w:tcPr>
            <w:tcW w:w="1766" w:type="dxa"/>
            <w:tcBorders>
              <w:top w:val="nil"/>
              <w:left w:val="nil"/>
              <w:bottom w:val="nil"/>
              <w:right w:val="nil"/>
            </w:tcBorders>
            <w:shd w:val="clear" w:color="auto" w:fill="auto"/>
            <w:vAlign w:val="center"/>
            <w:hideMark/>
          </w:tcPr>
          <w:p w14:paraId="0EEC7758" w14:textId="77777777" w:rsidR="004E2F51" w:rsidRPr="005A00FA" w:rsidRDefault="004E2F51" w:rsidP="00E032FC">
            <w:pPr>
              <w:jc w:val="right"/>
              <w:rPr>
                <w:rFonts w:ascii="Arial" w:hAnsi="Arial" w:cs="Arial"/>
                <w:b/>
                <w:bCs/>
                <w:color w:val="000000"/>
                <w:sz w:val="20"/>
                <w:szCs w:val="20"/>
              </w:rPr>
            </w:pPr>
            <w:r w:rsidRPr="005A00FA">
              <w:rPr>
                <w:rFonts w:ascii="Arial" w:hAnsi="Arial" w:cs="Arial"/>
                <w:b/>
                <w:bCs/>
                <w:color w:val="000000"/>
                <w:sz w:val="20"/>
                <w:szCs w:val="20"/>
              </w:rPr>
              <w:t xml:space="preserve"> 202</w:t>
            </w:r>
            <w:r>
              <w:rPr>
                <w:rFonts w:ascii="Arial" w:hAnsi="Arial" w:cs="Arial"/>
                <w:b/>
                <w:bCs/>
                <w:color w:val="000000"/>
                <w:sz w:val="20"/>
                <w:szCs w:val="20"/>
              </w:rPr>
              <w:t>2</w:t>
            </w:r>
            <w:r w:rsidRPr="005A00FA">
              <w:rPr>
                <w:rFonts w:ascii="Arial" w:hAnsi="Arial" w:cs="Arial"/>
                <w:b/>
                <w:bCs/>
                <w:color w:val="000000"/>
                <w:sz w:val="20"/>
                <w:szCs w:val="20"/>
              </w:rPr>
              <w:t>.</w:t>
            </w:r>
          </w:p>
        </w:tc>
        <w:tc>
          <w:tcPr>
            <w:tcW w:w="1769" w:type="dxa"/>
            <w:tcBorders>
              <w:top w:val="nil"/>
              <w:left w:val="nil"/>
              <w:bottom w:val="nil"/>
              <w:right w:val="nil"/>
            </w:tcBorders>
            <w:shd w:val="clear" w:color="auto" w:fill="auto"/>
            <w:vAlign w:val="center"/>
            <w:hideMark/>
          </w:tcPr>
          <w:p w14:paraId="20AB2DE2" w14:textId="77777777" w:rsidR="004E2F51" w:rsidRPr="005A00FA" w:rsidRDefault="004E2F51" w:rsidP="00E032FC">
            <w:pPr>
              <w:jc w:val="right"/>
              <w:rPr>
                <w:rFonts w:ascii="Arial" w:hAnsi="Arial" w:cs="Arial"/>
                <w:b/>
                <w:bCs/>
                <w:color w:val="000000"/>
                <w:sz w:val="20"/>
                <w:szCs w:val="20"/>
              </w:rPr>
            </w:pPr>
            <w:r w:rsidRPr="005A00FA">
              <w:rPr>
                <w:rFonts w:ascii="Arial" w:hAnsi="Arial" w:cs="Arial"/>
                <w:b/>
                <w:bCs/>
                <w:color w:val="000000"/>
                <w:sz w:val="20"/>
                <w:szCs w:val="20"/>
              </w:rPr>
              <w:t>202</w:t>
            </w:r>
            <w:r>
              <w:rPr>
                <w:rFonts w:ascii="Arial" w:hAnsi="Arial" w:cs="Arial"/>
                <w:b/>
                <w:bCs/>
                <w:color w:val="000000"/>
                <w:sz w:val="20"/>
                <w:szCs w:val="20"/>
              </w:rPr>
              <w:t>1</w:t>
            </w:r>
            <w:r w:rsidRPr="005A00FA">
              <w:rPr>
                <w:rFonts w:ascii="Arial" w:hAnsi="Arial" w:cs="Arial"/>
                <w:b/>
                <w:bCs/>
                <w:color w:val="000000"/>
                <w:sz w:val="20"/>
                <w:szCs w:val="20"/>
              </w:rPr>
              <w:t>.</w:t>
            </w:r>
          </w:p>
        </w:tc>
      </w:tr>
      <w:tr w:rsidR="004E2F51" w:rsidRPr="005A00FA" w14:paraId="2BEE7303" w14:textId="77777777" w:rsidTr="00E032FC">
        <w:trPr>
          <w:trHeight w:val="290"/>
        </w:trPr>
        <w:tc>
          <w:tcPr>
            <w:tcW w:w="5605" w:type="dxa"/>
            <w:tcBorders>
              <w:top w:val="nil"/>
              <w:left w:val="nil"/>
              <w:bottom w:val="nil"/>
              <w:right w:val="nil"/>
            </w:tcBorders>
            <w:shd w:val="clear" w:color="auto" w:fill="auto"/>
            <w:vAlign w:val="center"/>
            <w:hideMark/>
          </w:tcPr>
          <w:p w14:paraId="7F60D3DB" w14:textId="77777777" w:rsidR="004E2F51" w:rsidRPr="005A00FA" w:rsidRDefault="004E2F51" w:rsidP="00E032FC">
            <w:pPr>
              <w:jc w:val="right"/>
              <w:rPr>
                <w:rFonts w:ascii="Arial" w:hAnsi="Arial" w:cs="Arial"/>
                <w:b/>
                <w:bCs/>
                <w:color w:val="000000"/>
                <w:sz w:val="20"/>
                <w:szCs w:val="20"/>
              </w:rPr>
            </w:pPr>
          </w:p>
        </w:tc>
        <w:tc>
          <w:tcPr>
            <w:tcW w:w="1766" w:type="dxa"/>
            <w:tcBorders>
              <w:top w:val="nil"/>
              <w:left w:val="nil"/>
              <w:bottom w:val="nil"/>
              <w:right w:val="nil"/>
            </w:tcBorders>
            <w:shd w:val="clear" w:color="auto" w:fill="auto"/>
            <w:vAlign w:val="center"/>
            <w:hideMark/>
          </w:tcPr>
          <w:p w14:paraId="40AC6D99" w14:textId="77777777" w:rsidR="004E2F51" w:rsidRPr="005A00FA" w:rsidRDefault="004E2F51" w:rsidP="00E032FC">
            <w:pPr>
              <w:jc w:val="right"/>
              <w:rPr>
                <w:rFonts w:ascii="Arial" w:hAnsi="Arial" w:cs="Arial"/>
                <w:b/>
                <w:bCs/>
                <w:color w:val="000000"/>
                <w:sz w:val="20"/>
                <w:szCs w:val="20"/>
              </w:rPr>
            </w:pPr>
            <w:r w:rsidRPr="005A00FA">
              <w:rPr>
                <w:rFonts w:ascii="Arial" w:hAnsi="Arial" w:cs="Arial"/>
                <w:b/>
                <w:bCs/>
                <w:color w:val="000000"/>
                <w:sz w:val="20"/>
                <w:szCs w:val="20"/>
              </w:rPr>
              <w:t xml:space="preserve">000 </w:t>
            </w:r>
            <w:proofErr w:type="spellStart"/>
            <w:r w:rsidRPr="005A00FA">
              <w:rPr>
                <w:rFonts w:ascii="Arial" w:hAnsi="Arial" w:cs="Arial"/>
                <w:b/>
                <w:bCs/>
                <w:color w:val="000000"/>
                <w:sz w:val="20"/>
                <w:szCs w:val="20"/>
              </w:rPr>
              <w:t>kuna</w:t>
            </w:r>
            <w:proofErr w:type="spellEnd"/>
          </w:p>
        </w:tc>
        <w:tc>
          <w:tcPr>
            <w:tcW w:w="1769" w:type="dxa"/>
            <w:tcBorders>
              <w:top w:val="nil"/>
              <w:left w:val="nil"/>
              <w:bottom w:val="nil"/>
              <w:right w:val="nil"/>
            </w:tcBorders>
            <w:shd w:val="clear" w:color="auto" w:fill="auto"/>
            <w:vAlign w:val="center"/>
            <w:hideMark/>
          </w:tcPr>
          <w:p w14:paraId="31F555EF" w14:textId="77777777" w:rsidR="004E2F51" w:rsidRPr="005A00FA" w:rsidRDefault="004E2F51" w:rsidP="00E032FC">
            <w:pPr>
              <w:jc w:val="right"/>
              <w:rPr>
                <w:rFonts w:ascii="Arial" w:hAnsi="Arial" w:cs="Arial"/>
                <w:b/>
                <w:bCs/>
                <w:color w:val="000000"/>
                <w:sz w:val="20"/>
                <w:szCs w:val="20"/>
              </w:rPr>
            </w:pPr>
            <w:r w:rsidRPr="005A00FA">
              <w:rPr>
                <w:rFonts w:ascii="Arial" w:hAnsi="Arial" w:cs="Arial"/>
                <w:b/>
                <w:bCs/>
                <w:color w:val="000000"/>
                <w:sz w:val="20"/>
                <w:szCs w:val="20"/>
              </w:rPr>
              <w:t xml:space="preserve">000 </w:t>
            </w:r>
            <w:proofErr w:type="spellStart"/>
            <w:r w:rsidRPr="005A00FA">
              <w:rPr>
                <w:rFonts w:ascii="Arial" w:hAnsi="Arial" w:cs="Arial"/>
                <w:b/>
                <w:bCs/>
                <w:color w:val="000000"/>
                <w:sz w:val="20"/>
                <w:szCs w:val="20"/>
              </w:rPr>
              <w:t>kuna</w:t>
            </w:r>
            <w:proofErr w:type="spellEnd"/>
          </w:p>
        </w:tc>
      </w:tr>
      <w:tr w:rsidR="004E2F51" w:rsidRPr="005A00FA" w14:paraId="2DD0F217" w14:textId="77777777" w:rsidTr="00E032FC">
        <w:trPr>
          <w:trHeight w:val="340"/>
        </w:trPr>
        <w:tc>
          <w:tcPr>
            <w:tcW w:w="5605" w:type="dxa"/>
            <w:tcBorders>
              <w:top w:val="nil"/>
              <w:left w:val="nil"/>
              <w:bottom w:val="nil"/>
              <w:right w:val="nil"/>
            </w:tcBorders>
            <w:shd w:val="clear" w:color="auto" w:fill="auto"/>
            <w:vAlign w:val="bottom"/>
            <w:hideMark/>
          </w:tcPr>
          <w:p w14:paraId="75BF14FA" w14:textId="77777777" w:rsidR="004E2F51" w:rsidRPr="005A00FA" w:rsidRDefault="004E2F51" w:rsidP="00E032FC">
            <w:pPr>
              <w:rPr>
                <w:rFonts w:ascii="Arial" w:hAnsi="Arial" w:cs="Arial"/>
                <w:color w:val="000000"/>
                <w:sz w:val="20"/>
                <w:szCs w:val="20"/>
                <w:lang w:val="hr-HR"/>
              </w:rPr>
            </w:pPr>
            <w:r w:rsidRPr="005A00FA">
              <w:rPr>
                <w:rFonts w:ascii="Arial" w:hAnsi="Arial" w:cs="Arial"/>
                <w:color w:val="000000"/>
                <w:sz w:val="20"/>
                <w:szCs w:val="20"/>
                <w:lang w:val="hr-HR"/>
              </w:rPr>
              <w:t>Pozajmljena sredstva - strane financijske institucije</w:t>
            </w:r>
          </w:p>
        </w:tc>
        <w:tc>
          <w:tcPr>
            <w:tcW w:w="1766" w:type="dxa"/>
            <w:tcBorders>
              <w:top w:val="nil"/>
              <w:left w:val="nil"/>
              <w:bottom w:val="nil"/>
              <w:right w:val="nil"/>
            </w:tcBorders>
            <w:shd w:val="clear" w:color="auto" w:fill="auto"/>
            <w:vAlign w:val="bottom"/>
          </w:tcPr>
          <w:p w14:paraId="3E94A153" w14:textId="77777777" w:rsidR="004E2F51" w:rsidRPr="005A00FA" w:rsidRDefault="004E2F51" w:rsidP="00E032FC">
            <w:pPr>
              <w:jc w:val="right"/>
              <w:rPr>
                <w:rFonts w:ascii="Arial" w:hAnsi="Arial" w:cs="Arial"/>
                <w:color w:val="000000"/>
                <w:sz w:val="20"/>
                <w:szCs w:val="20"/>
              </w:rPr>
            </w:pPr>
            <w:r w:rsidRPr="006D52D6">
              <w:rPr>
                <w:rFonts w:ascii="Arial" w:hAnsi="Arial" w:cs="Arial"/>
                <w:color w:val="000000"/>
                <w:sz w:val="20"/>
                <w:szCs w:val="20"/>
              </w:rPr>
              <w:t>13.999.130</w:t>
            </w:r>
          </w:p>
        </w:tc>
        <w:tc>
          <w:tcPr>
            <w:tcW w:w="1769" w:type="dxa"/>
            <w:tcBorders>
              <w:top w:val="nil"/>
              <w:left w:val="nil"/>
              <w:bottom w:val="nil"/>
              <w:right w:val="nil"/>
            </w:tcBorders>
            <w:shd w:val="clear" w:color="auto" w:fill="auto"/>
            <w:vAlign w:val="bottom"/>
            <w:hideMark/>
          </w:tcPr>
          <w:p w14:paraId="66FDB335" w14:textId="77777777" w:rsidR="004E2F51" w:rsidRPr="005A00FA" w:rsidRDefault="004E2F51" w:rsidP="00E032FC">
            <w:pPr>
              <w:jc w:val="right"/>
              <w:rPr>
                <w:rFonts w:ascii="Arial" w:hAnsi="Arial" w:cs="Arial"/>
                <w:color w:val="000000"/>
                <w:sz w:val="20"/>
                <w:szCs w:val="20"/>
              </w:rPr>
            </w:pPr>
            <w:r w:rsidRPr="0046584E">
              <w:rPr>
                <w:rFonts w:ascii="Arial" w:hAnsi="Arial" w:cs="Arial"/>
                <w:color w:val="000000"/>
                <w:sz w:val="20"/>
                <w:szCs w:val="20"/>
              </w:rPr>
              <w:t>14.604.000</w:t>
            </w:r>
          </w:p>
        </w:tc>
      </w:tr>
      <w:tr w:rsidR="004E2F51" w:rsidRPr="005A00FA" w14:paraId="299EB6DB" w14:textId="77777777" w:rsidTr="00E032FC">
        <w:trPr>
          <w:trHeight w:val="340"/>
        </w:trPr>
        <w:tc>
          <w:tcPr>
            <w:tcW w:w="5605" w:type="dxa"/>
            <w:tcBorders>
              <w:top w:val="nil"/>
              <w:left w:val="nil"/>
              <w:bottom w:val="nil"/>
              <w:right w:val="nil"/>
            </w:tcBorders>
            <w:shd w:val="clear" w:color="auto" w:fill="auto"/>
            <w:vAlign w:val="bottom"/>
            <w:hideMark/>
          </w:tcPr>
          <w:p w14:paraId="43E41D2B" w14:textId="77777777" w:rsidR="004E2F51" w:rsidRPr="005A00FA" w:rsidRDefault="004E2F51" w:rsidP="00E032FC">
            <w:pPr>
              <w:rPr>
                <w:rFonts w:ascii="Arial" w:hAnsi="Arial" w:cs="Arial"/>
                <w:color w:val="000000"/>
                <w:sz w:val="20"/>
                <w:szCs w:val="20"/>
                <w:lang w:val="hr-HR"/>
              </w:rPr>
            </w:pPr>
            <w:r w:rsidRPr="005A00FA">
              <w:rPr>
                <w:rFonts w:ascii="Arial" w:hAnsi="Arial" w:cs="Arial"/>
                <w:color w:val="000000"/>
                <w:sz w:val="20"/>
                <w:szCs w:val="20"/>
                <w:lang w:val="hr-HR"/>
              </w:rPr>
              <w:t>Pozajmljena sredstva - domaće institucije</w:t>
            </w:r>
          </w:p>
        </w:tc>
        <w:tc>
          <w:tcPr>
            <w:tcW w:w="1766" w:type="dxa"/>
            <w:tcBorders>
              <w:top w:val="nil"/>
              <w:left w:val="nil"/>
              <w:bottom w:val="single" w:sz="8" w:space="0" w:color="auto"/>
              <w:right w:val="nil"/>
            </w:tcBorders>
            <w:shd w:val="clear" w:color="auto" w:fill="auto"/>
            <w:vAlign w:val="bottom"/>
          </w:tcPr>
          <w:p w14:paraId="213FD908" w14:textId="77777777" w:rsidR="004E2F51" w:rsidRPr="005A00FA" w:rsidRDefault="004E2F51" w:rsidP="00E032FC">
            <w:pPr>
              <w:jc w:val="right"/>
              <w:rPr>
                <w:rFonts w:ascii="Arial" w:hAnsi="Arial" w:cs="Arial"/>
                <w:color w:val="000000"/>
                <w:sz w:val="20"/>
                <w:szCs w:val="20"/>
              </w:rPr>
            </w:pPr>
            <w:r w:rsidRPr="006D52D6">
              <w:rPr>
                <w:rFonts w:ascii="Arial" w:hAnsi="Arial" w:cs="Arial"/>
                <w:color w:val="000000"/>
                <w:sz w:val="20"/>
                <w:szCs w:val="20"/>
              </w:rPr>
              <w:t>2.500.000</w:t>
            </w:r>
          </w:p>
        </w:tc>
        <w:tc>
          <w:tcPr>
            <w:tcW w:w="1769" w:type="dxa"/>
            <w:tcBorders>
              <w:top w:val="nil"/>
              <w:left w:val="nil"/>
              <w:bottom w:val="single" w:sz="8" w:space="0" w:color="auto"/>
              <w:right w:val="nil"/>
            </w:tcBorders>
            <w:shd w:val="clear" w:color="auto" w:fill="auto"/>
            <w:vAlign w:val="bottom"/>
            <w:hideMark/>
          </w:tcPr>
          <w:p w14:paraId="2975DCA7" w14:textId="77777777" w:rsidR="004E2F51" w:rsidRPr="005A00FA" w:rsidRDefault="004E2F51" w:rsidP="00E032FC">
            <w:pPr>
              <w:jc w:val="right"/>
              <w:rPr>
                <w:rFonts w:ascii="Arial" w:hAnsi="Arial" w:cs="Arial"/>
                <w:color w:val="000000"/>
                <w:sz w:val="20"/>
                <w:szCs w:val="20"/>
              </w:rPr>
            </w:pPr>
            <w:r w:rsidRPr="0046584E">
              <w:rPr>
                <w:rFonts w:ascii="Arial" w:hAnsi="Arial" w:cs="Arial"/>
                <w:color w:val="000000"/>
                <w:sz w:val="20"/>
                <w:szCs w:val="20"/>
              </w:rPr>
              <w:t>1.500.000</w:t>
            </w:r>
          </w:p>
        </w:tc>
      </w:tr>
      <w:tr w:rsidR="004E2F51" w:rsidRPr="005A00FA" w14:paraId="04EE7132" w14:textId="77777777" w:rsidTr="00311E03">
        <w:trPr>
          <w:trHeight w:val="340"/>
        </w:trPr>
        <w:tc>
          <w:tcPr>
            <w:tcW w:w="5605" w:type="dxa"/>
            <w:tcBorders>
              <w:top w:val="nil"/>
              <w:left w:val="nil"/>
              <w:bottom w:val="nil"/>
              <w:right w:val="nil"/>
            </w:tcBorders>
            <w:shd w:val="clear" w:color="auto" w:fill="auto"/>
            <w:vAlign w:val="center"/>
            <w:hideMark/>
          </w:tcPr>
          <w:p w14:paraId="48D9AE46" w14:textId="77777777" w:rsidR="004E2F51" w:rsidRPr="005A00FA" w:rsidRDefault="004E2F51" w:rsidP="00E032FC">
            <w:pPr>
              <w:jc w:val="right"/>
              <w:rPr>
                <w:rFonts w:ascii="Arial" w:hAnsi="Arial" w:cs="Arial"/>
                <w:color w:val="000000"/>
                <w:sz w:val="20"/>
                <w:szCs w:val="20"/>
                <w:lang w:val="hr-HR"/>
              </w:rPr>
            </w:pPr>
          </w:p>
        </w:tc>
        <w:tc>
          <w:tcPr>
            <w:tcW w:w="1766" w:type="dxa"/>
            <w:tcBorders>
              <w:top w:val="nil"/>
              <w:left w:val="nil"/>
              <w:bottom w:val="single" w:sz="12" w:space="0" w:color="auto"/>
              <w:right w:val="nil"/>
            </w:tcBorders>
            <w:shd w:val="clear" w:color="auto" w:fill="auto"/>
            <w:vAlign w:val="bottom"/>
          </w:tcPr>
          <w:p w14:paraId="61FF8E8A" w14:textId="77777777" w:rsidR="004E2F51" w:rsidRPr="005A00FA" w:rsidRDefault="004E2F51" w:rsidP="00E032FC">
            <w:pPr>
              <w:jc w:val="right"/>
              <w:rPr>
                <w:rFonts w:ascii="Arial" w:hAnsi="Arial" w:cs="Arial"/>
                <w:color w:val="000000"/>
                <w:sz w:val="20"/>
                <w:szCs w:val="20"/>
              </w:rPr>
            </w:pPr>
            <w:r w:rsidRPr="006D52D6">
              <w:rPr>
                <w:rFonts w:ascii="Arial" w:hAnsi="Arial" w:cs="Arial"/>
                <w:color w:val="000000"/>
                <w:sz w:val="20"/>
                <w:szCs w:val="20"/>
              </w:rPr>
              <w:t>16.499.130</w:t>
            </w:r>
          </w:p>
        </w:tc>
        <w:tc>
          <w:tcPr>
            <w:tcW w:w="1769" w:type="dxa"/>
            <w:tcBorders>
              <w:top w:val="nil"/>
              <w:left w:val="nil"/>
              <w:bottom w:val="single" w:sz="12" w:space="0" w:color="auto"/>
              <w:right w:val="nil"/>
            </w:tcBorders>
            <w:shd w:val="clear" w:color="auto" w:fill="auto"/>
            <w:vAlign w:val="bottom"/>
            <w:hideMark/>
          </w:tcPr>
          <w:p w14:paraId="240C3F8B" w14:textId="77777777" w:rsidR="004E2F51" w:rsidRPr="005A00FA" w:rsidRDefault="004E2F51" w:rsidP="00E032FC">
            <w:pPr>
              <w:jc w:val="right"/>
              <w:rPr>
                <w:rFonts w:ascii="Arial" w:hAnsi="Arial" w:cs="Arial"/>
                <w:color w:val="000000"/>
                <w:sz w:val="20"/>
                <w:szCs w:val="20"/>
              </w:rPr>
            </w:pPr>
            <w:r w:rsidRPr="0046584E">
              <w:rPr>
                <w:rFonts w:ascii="Arial" w:hAnsi="Arial" w:cs="Arial"/>
                <w:color w:val="000000"/>
                <w:sz w:val="20"/>
                <w:szCs w:val="20"/>
              </w:rPr>
              <w:t>16.104.000</w:t>
            </w:r>
          </w:p>
        </w:tc>
      </w:tr>
      <w:tr w:rsidR="004E2F51" w:rsidRPr="005A00FA" w14:paraId="6DC9A69B" w14:textId="77777777" w:rsidTr="00E032FC">
        <w:trPr>
          <w:trHeight w:val="340"/>
        </w:trPr>
        <w:tc>
          <w:tcPr>
            <w:tcW w:w="5605" w:type="dxa"/>
            <w:tcBorders>
              <w:top w:val="nil"/>
              <w:left w:val="nil"/>
              <w:bottom w:val="nil"/>
              <w:right w:val="nil"/>
            </w:tcBorders>
            <w:shd w:val="clear" w:color="auto" w:fill="auto"/>
            <w:vAlign w:val="center"/>
            <w:hideMark/>
          </w:tcPr>
          <w:p w14:paraId="4A793965" w14:textId="77777777" w:rsidR="004E2F51" w:rsidRPr="005A00FA" w:rsidRDefault="004E2F51" w:rsidP="00E032FC">
            <w:pPr>
              <w:rPr>
                <w:rFonts w:ascii="Arial" w:hAnsi="Arial" w:cs="Arial"/>
                <w:color w:val="000000"/>
                <w:sz w:val="20"/>
                <w:szCs w:val="20"/>
                <w:lang w:val="hr-HR"/>
              </w:rPr>
            </w:pPr>
            <w:r w:rsidRPr="005A00FA">
              <w:rPr>
                <w:rFonts w:ascii="Arial" w:hAnsi="Arial" w:cs="Arial"/>
                <w:color w:val="000000"/>
                <w:sz w:val="20"/>
                <w:szCs w:val="20"/>
                <w:lang w:val="hr-HR"/>
              </w:rPr>
              <w:t>Obračunata kamata</w:t>
            </w:r>
          </w:p>
        </w:tc>
        <w:tc>
          <w:tcPr>
            <w:tcW w:w="1766" w:type="dxa"/>
            <w:tcBorders>
              <w:top w:val="nil"/>
              <w:left w:val="nil"/>
              <w:bottom w:val="nil"/>
              <w:right w:val="nil"/>
            </w:tcBorders>
            <w:shd w:val="clear" w:color="auto" w:fill="auto"/>
            <w:vAlign w:val="center"/>
          </w:tcPr>
          <w:p w14:paraId="279BB44E" w14:textId="77777777" w:rsidR="004E2F51" w:rsidRPr="005A00FA" w:rsidRDefault="004E2F51" w:rsidP="00E032FC">
            <w:pPr>
              <w:jc w:val="right"/>
              <w:rPr>
                <w:rFonts w:ascii="Arial" w:hAnsi="Arial" w:cs="Arial"/>
                <w:color w:val="000000"/>
                <w:sz w:val="20"/>
                <w:szCs w:val="20"/>
              </w:rPr>
            </w:pPr>
            <w:r w:rsidRPr="006D52D6">
              <w:rPr>
                <w:rFonts w:ascii="Arial" w:hAnsi="Arial" w:cs="Arial"/>
                <w:color w:val="000000"/>
                <w:sz w:val="20"/>
                <w:szCs w:val="20"/>
              </w:rPr>
              <w:t>30.102</w:t>
            </w:r>
          </w:p>
        </w:tc>
        <w:tc>
          <w:tcPr>
            <w:tcW w:w="1769" w:type="dxa"/>
            <w:tcBorders>
              <w:top w:val="nil"/>
              <w:left w:val="nil"/>
              <w:bottom w:val="nil"/>
              <w:right w:val="nil"/>
            </w:tcBorders>
            <w:shd w:val="clear" w:color="auto" w:fill="auto"/>
            <w:vAlign w:val="center"/>
            <w:hideMark/>
          </w:tcPr>
          <w:p w14:paraId="1B60DB4C" w14:textId="77777777" w:rsidR="004E2F51" w:rsidRPr="005A00FA" w:rsidRDefault="004E2F51" w:rsidP="00E032FC">
            <w:pPr>
              <w:jc w:val="right"/>
              <w:rPr>
                <w:rFonts w:ascii="Arial" w:hAnsi="Arial" w:cs="Arial"/>
                <w:color w:val="000000"/>
                <w:sz w:val="20"/>
                <w:szCs w:val="20"/>
              </w:rPr>
            </w:pPr>
            <w:r w:rsidRPr="0046584E">
              <w:rPr>
                <w:rFonts w:ascii="Arial" w:hAnsi="Arial" w:cs="Arial"/>
                <w:color w:val="000000"/>
                <w:sz w:val="20"/>
                <w:szCs w:val="20"/>
              </w:rPr>
              <w:t>34.657</w:t>
            </w:r>
          </w:p>
        </w:tc>
      </w:tr>
      <w:tr w:rsidR="004E2F51" w:rsidRPr="005A00FA" w14:paraId="5E36EE00" w14:textId="77777777" w:rsidTr="00E032FC">
        <w:trPr>
          <w:trHeight w:val="340"/>
        </w:trPr>
        <w:tc>
          <w:tcPr>
            <w:tcW w:w="5605" w:type="dxa"/>
            <w:tcBorders>
              <w:top w:val="nil"/>
              <w:left w:val="nil"/>
              <w:bottom w:val="nil"/>
              <w:right w:val="nil"/>
            </w:tcBorders>
            <w:shd w:val="clear" w:color="auto" w:fill="auto"/>
            <w:vAlign w:val="center"/>
            <w:hideMark/>
          </w:tcPr>
          <w:p w14:paraId="6C098AC2" w14:textId="77777777" w:rsidR="004E2F51" w:rsidRPr="005A00FA" w:rsidRDefault="004E2F51" w:rsidP="00E032FC">
            <w:pPr>
              <w:rPr>
                <w:rFonts w:ascii="Arial" w:hAnsi="Arial" w:cs="Arial"/>
                <w:color w:val="000000"/>
                <w:sz w:val="20"/>
                <w:szCs w:val="20"/>
                <w:lang w:val="hr-HR"/>
              </w:rPr>
            </w:pPr>
            <w:r w:rsidRPr="005A00FA">
              <w:rPr>
                <w:rFonts w:ascii="Arial" w:hAnsi="Arial" w:cs="Arial"/>
                <w:color w:val="000000"/>
                <w:sz w:val="20"/>
                <w:szCs w:val="20"/>
                <w:lang w:val="hr-HR"/>
              </w:rPr>
              <w:t>Odgođena naknada</w:t>
            </w:r>
          </w:p>
        </w:tc>
        <w:tc>
          <w:tcPr>
            <w:tcW w:w="1766" w:type="dxa"/>
            <w:tcBorders>
              <w:top w:val="nil"/>
              <w:left w:val="nil"/>
              <w:bottom w:val="single" w:sz="8" w:space="0" w:color="auto"/>
              <w:right w:val="nil"/>
            </w:tcBorders>
            <w:shd w:val="clear" w:color="auto" w:fill="auto"/>
            <w:vAlign w:val="center"/>
          </w:tcPr>
          <w:p w14:paraId="451D1775" w14:textId="77777777" w:rsidR="004E2F51" w:rsidRPr="005A00FA" w:rsidRDefault="004E2F51" w:rsidP="00E032FC">
            <w:pPr>
              <w:jc w:val="right"/>
              <w:rPr>
                <w:rFonts w:ascii="Arial" w:hAnsi="Arial" w:cs="Arial"/>
                <w:color w:val="000000"/>
                <w:sz w:val="20"/>
                <w:szCs w:val="20"/>
              </w:rPr>
            </w:pPr>
            <w:r>
              <w:rPr>
                <w:rFonts w:ascii="Arial" w:hAnsi="Arial" w:cs="Arial"/>
                <w:color w:val="000000"/>
                <w:sz w:val="20"/>
                <w:szCs w:val="20"/>
              </w:rPr>
              <w:t>(</w:t>
            </w:r>
            <w:r w:rsidRPr="006D52D6">
              <w:rPr>
                <w:rFonts w:ascii="Arial" w:hAnsi="Arial" w:cs="Arial"/>
                <w:color w:val="000000"/>
                <w:sz w:val="20"/>
                <w:szCs w:val="20"/>
              </w:rPr>
              <w:t>27.956</w:t>
            </w:r>
            <w:r>
              <w:rPr>
                <w:rFonts w:ascii="Arial" w:hAnsi="Arial" w:cs="Arial"/>
                <w:color w:val="000000"/>
                <w:sz w:val="20"/>
                <w:szCs w:val="20"/>
              </w:rPr>
              <w:t>)</w:t>
            </w:r>
          </w:p>
        </w:tc>
        <w:tc>
          <w:tcPr>
            <w:tcW w:w="1769" w:type="dxa"/>
            <w:tcBorders>
              <w:top w:val="nil"/>
              <w:left w:val="nil"/>
              <w:bottom w:val="single" w:sz="8" w:space="0" w:color="auto"/>
              <w:right w:val="nil"/>
            </w:tcBorders>
            <w:shd w:val="clear" w:color="auto" w:fill="auto"/>
            <w:vAlign w:val="center"/>
            <w:hideMark/>
          </w:tcPr>
          <w:p w14:paraId="0819BB66" w14:textId="77777777" w:rsidR="004E2F51" w:rsidRPr="005A00FA" w:rsidRDefault="004E2F51" w:rsidP="00E032FC">
            <w:pPr>
              <w:jc w:val="right"/>
              <w:rPr>
                <w:rFonts w:ascii="Arial" w:hAnsi="Arial" w:cs="Arial"/>
                <w:color w:val="000000"/>
                <w:sz w:val="20"/>
                <w:szCs w:val="20"/>
              </w:rPr>
            </w:pPr>
            <w:r w:rsidRPr="0046584E">
              <w:rPr>
                <w:rFonts w:ascii="Arial" w:hAnsi="Arial" w:cs="Arial"/>
                <w:color w:val="000000"/>
                <w:sz w:val="20"/>
                <w:szCs w:val="20"/>
              </w:rPr>
              <w:t>(23.420)</w:t>
            </w:r>
          </w:p>
        </w:tc>
      </w:tr>
      <w:tr w:rsidR="004E2F51" w:rsidRPr="005A00FA" w14:paraId="73AFD3B8" w14:textId="77777777" w:rsidTr="00E032FC">
        <w:trPr>
          <w:trHeight w:val="300"/>
        </w:trPr>
        <w:tc>
          <w:tcPr>
            <w:tcW w:w="5605" w:type="dxa"/>
            <w:tcBorders>
              <w:top w:val="nil"/>
              <w:left w:val="nil"/>
              <w:bottom w:val="nil"/>
              <w:right w:val="nil"/>
            </w:tcBorders>
            <w:shd w:val="clear" w:color="auto" w:fill="auto"/>
            <w:vAlign w:val="center"/>
            <w:hideMark/>
          </w:tcPr>
          <w:p w14:paraId="7C556DCF" w14:textId="77777777" w:rsidR="004E2F51" w:rsidRPr="005A00FA" w:rsidRDefault="004E2F51" w:rsidP="00E032FC">
            <w:pPr>
              <w:jc w:val="right"/>
              <w:rPr>
                <w:rFonts w:ascii="Arial" w:hAnsi="Arial" w:cs="Arial"/>
                <w:color w:val="000000"/>
                <w:sz w:val="20"/>
                <w:szCs w:val="20"/>
              </w:rPr>
            </w:pPr>
          </w:p>
        </w:tc>
        <w:tc>
          <w:tcPr>
            <w:tcW w:w="1766" w:type="dxa"/>
            <w:tcBorders>
              <w:top w:val="nil"/>
              <w:left w:val="nil"/>
              <w:bottom w:val="single" w:sz="12" w:space="0" w:color="auto"/>
              <w:right w:val="nil"/>
            </w:tcBorders>
            <w:shd w:val="clear" w:color="auto" w:fill="auto"/>
            <w:vAlign w:val="center"/>
            <w:hideMark/>
          </w:tcPr>
          <w:p w14:paraId="7462890B" w14:textId="77777777" w:rsidR="004E2F51" w:rsidRPr="005A00FA" w:rsidRDefault="004E2F51" w:rsidP="00E032FC">
            <w:pPr>
              <w:jc w:val="right"/>
              <w:rPr>
                <w:rFonts w:ascii="Arial" w:hAnsi="Arial" w:cs="Arial"/>
                <w:b/>
                <w:bCs/>
                <w:color w:val="000000"/>
                <w:sz w:val="20"/>
                <w:szCs w:val="20"/>
              </w:rPr>
            </w:pPr>
            <w:r w:rsidRPr="006D52D6">
              <w:rPr>
                <w:rFonts w:ascii="Arial" w:hAnsi="Arial" w:cs="Arial"/>
                <w:b/>
                <w:bCs/>
                <w:color w:val="000000"/>
                <w:sz w:val="20"/>
                <w:szCs w:val="20"/>
              </w:rPr>
              <w:t>16.501.276</w:t>
            </w:r>
          </w:p>
        </w:tc>
        <w:tc>
          <w:tcPr>
            <w:tcW w:w="1769" w:type="dxa"/>
            <w:tcBorders>
              <w:top w:val="nil"/>
              <w:left w:val="nil"/>
              <w:bottom w:val="single" w:sz="12" w:space="0" w:color="auto"/>
              <w:right w:val="nil"/>
            </w:tcBorders>
            <w:shd w:val="clear" w:color="auto" w:fill="auto"/>
            <w:vAlign w:val="center"/>
            <w:hideMark/>
          </w:tcPr>
          <w:p w14:paraId="03306C1A" w14:textId="77777777" w:rsidR="004E2F51" w:rsidRPr="005A00FA" w:rsidRDefault="004E2F51" w:rsidP="00E032FC">
            <w:pPr>
              <w:jc w:val="right"/>
              <w:rPr>
                <w:rFonts w:ascii="Arial" w:hAnsi="Arial" w:cs="Arial"/>
                <w:b/>
                <w:bCs/>
                <w:color w:val="000000"/>
                <w:sz w:val="20"/>
                <w:szCs w:val="20"/>
              </w:rPr>
            </w:pPr>
            <w:r w:rsidRPr="0046584E">
              <w:rPr>
                <w:rFonts w:ascii="Arial" w:hAnsi="Arial" w:cs="Arial"/>
                <w:b/>
                <w:bCs/>
                <w:color w:val="000000"/>
                <w:sz w:val="20"/>
                <w:szCs w:val="20"/>
              </w:rPr>
              <w:t>16.115.237</w:t>
            </w:r>
          </w:p>
        </w:tc>
      </w:tr>
      <w:bookmarkEnd w:id="1240"/>
    </w:tbl>
    <w:p w14:paraId="3B5A357A" w14:textId="77777777" w:rsidR="004E2F51" w:rsidRPr="004B4498" w:rsidRDefault="004E2F51" w:rsidP="004E2F51">
      <w:pPr>
        <w:pStyle w:val="T1"/>
        <w:spacing w:before="0" w:after="0" w:line="240" w:lineRule="auto"/>
        <w:rPr>
          <w:rFonts w:cs="Arial"/>
          <w:color w:val="000000" w:themeColor="text1"/>
          <w:sz w:val="20"/>
          <w:lang w:val="hr-HR"/>
        </w:rPr>
      </w:pPr>
    </w:p>
    <w:p w14:paraId="0EC26F00" w14:textId="77777777" w:rsidR="004E2F51" w:rsidRPr="004B4498" w:rsidRDefault="004E2F51" w:rsidP="004E2F51">
      <w:pPr>
        <w:pStyle w:val="T1"/>
        <w:spacing w:before="0" w:after="0" w:line="240" w:lineRule="auto"/>
        <w:rPr>
          <w:rFonts w:cs="Arial"/>
          <w:b w:val="0"/>
          <w:bCs w:val="0"/>
          <w:color w:val="000000" w:themeColor="text1"/>
          <w:sz w:val="20"/>
          <w:lang w:val="hr-HR"/>
        </w:rPr>
      </w:pPr>
      <w:bookmarkStart w:id="1241" w:name="_Hlk99027858"/>
      <w:r w:rsidRPr="004B4498">
        <w:rPr>
          <w:rFonts w:cs="Arial"/>
          <w:b w:val="0"/>
          <w:bCs w:val="0"/>
          <w:color w:val="000000" w:themeColor="text1"/>
          <w:sz w:val="20"/>
          <w:lang w:val="hr-HR"/>
        </w:rPr>
        <w:t>(a) Pozajmljena sredstva stranih financijskih institucija odnose se na dugoročne kredite posebnih financijskih institucija, najvećim dijelom Europske investicijske banke (EIB) i Razvojne banke vijeća Europe (CEB).</w:t>
      </w:r>
    </w:p>
    <w:p w14:paraId="54291922" w14:textId="77777777" w:rsidR="004E2F51" w:rsidRPr="004B4498" w:rsidRDefault="004E2F51" w:rsidP="004E2F51">
      <w:pPr>
        <w:pStyle w:val="T1"/>
        <w:spacing w:before="0" w:after="0" w:line="240" w:lineRule="auto"/>
        <w:rPr>
          <w:rFonts w:cs="Arial"/>
          <w:b w:val="0"/>
          <w:bCs w:val="0"/>
          <w:color w:val="000000" w:themeColor="text1"/>
          <w:sz w:val="20"/>
          <w:lang w:val="hr-HR"/>
        </w:rPr>
      </w:pPr>
    </w:p>
    <w:p w14:paraId="47B607CA" w14:textId="77777777" w:rsidR="004E2F51" w:rsidRPr="00B91D09" w:rsidRDefault="004E2F51" w:rsidP="004E2F51">
      <w:pPr>
        <w:pStyle w:val="T1"/>
        <w:spacing w:before="0" w:after="0" w:line="240" w:lineRule="auto"/>
        <w:rPr>
          <w:rFonts w:cs="Arial"/>
          <w:b w:val="0"/>
          <w:bCs w:val="0"/>
          <w:color w:val="000000" w:themeColor="text1"/>
          <w:sz w:val="22"/>
          <w:szCs w:val="22"/>
          <w:lang w:val="hr-HR"/>
        </w:rPr>
        <w:sectPr w:rsidR="004E2F51" w:rsidRPr="00B91D09" w:rsidSect="00623DBA">
          <w:footerReference w:type="default" r:id="rId150"/>
          <w:pgSz w:w="11907" w:h="16840" w:code="9"/>
          <w:pgMar w:top="1418" w:right="1134" w:bottom="1134" w:left="1418" w:header="851" w:footer="851" w:gutter="0"/>
          <w:cols w:space="720"/>
          <w:noEndnote/>
        </w:sectPr>
      </w:pPr>
      <w:r w:rsidRPr="004B4498">
        <w:rPr>
          <w:rFonts w:cs="Arial"/>
          <w:b w:val="0"/>
          <w:bCs w:val="0"/>
          <w:color w:val="000000" w:themeColor="text1"/>
          <w:sz w:val="20"/>
          <w:lang w:val="hr-HR"/>
        </w:rPr>
        <w:t>(b) Pozajmljena sredstva domaćih institucija odnose se na zaj</w:t>
      </w:r>
      <w:r>
        <w:rPr>
          <w:rFonts w:cs="Arial"/>
          <w:b w:val="0"/>
          <w:bCs w:val="0"/>
          <w:color w:val="000000" w:themeColor="text1"/>
          <w:sz w:val="20"/>
          <w:lang w:val="hr-HR"/>
        </w:rPr>
        <w:t>move</w:t>
      </w:r>
      <w:r w:rsidRPr="004B4498">
        <w:rPr>
          <w:rFonts w:cs="Arial"/>
          <w:b w:val="0"/>
          <w:bCs w:val="0"/>
          <w:color w:val="000000" w:themeColor="text1"/>
          <w:sz w:val="20"/>
          <w:lang w:val="hr-HR"/>
        </w:rPr>
        <w:t xml:space="preserve"> Ministarstva financija Republike Hrvatske.</w:t>
      </w:r>
    </w:p>
    <w:bookmarkEnd w:id="1241"/>
    <w:p w14:paraId="2D55B371" w14:textId="77777777" w:rsidR="004E2F51" w:rsidRPr="004B4498" w:rsidRDefault="004E2F51" w:rsidP="004E2F51">
      <w:pPr>
        <w:keepNext/>
        <w:jc w:val="both"/>
        <w:rPr>
          <w:rFonts w:ascii="Arial" w:hAnsi="Arial" w:cs="Arial"/>
          <w:b/>
          <w:bCs/>
          <w:color w:val="000000" w:themeColor="text1"/>
          <w:sz w:val="20"/>
          <w:szCs w:val="20"/>
          <w:lang w:val="hr-HR"/>
        </w:rPr>
      </w:pPr>
    </w:p>
    <w:p w14:paraId="4BD1AE79" w14:textId="77777777" w:rsidR="004E2F51" w:rsidRPr="004B4498" w:rsidRDefault="004E2F51" w:rsidP="004E2F51">
      <w:pPr>
        <w:tabs>
          <w:tab w:val="left" w:pos="567"/>
          <w:tab w:val="left" w:pos="851"/>
        </w:tabs>
        <w:jc w:val="both"/>
        <w:rPr>
          <w:rFonts w:ascii="Arial" w:hAnsi="Arial" w:cs="Arial"/>
          <w:b/>
          <w:color w:val="000000" w:themeColor="text1"/>
          <w:sz w:val="20"/>
          <w:szCs w:val="20"/>
          <w:lang w:val="hr-HR" w:eastAsia="hr-HR"/>
        </w:rPr>
      </w:pPr>
      <w:r w:rsidRPr="004B4498">
        <w:rPr>
          <w:rFonts w:ascii="Arial" w:eastAsia="Calibri" w:hAnsi="Arial" w:cs="Arial"/>
          <w:b/>
          <w:color w:val="000000" w:themeColor="text1"/>
          <w:sz w:val="20"/>
          <w:szCs w:val="20"/>
          <w:lang w:val="hr-HR"/>
        </w:rPr>
        <w:t>2</w:t>
      </w:r>
      <w:r>
        <w:rPr>
          <w:rFonts w:ascii="Arial" w:eastAsia="Calibri" w:hAnsi="Arial" w:cs="Arial"/>
          <w:b/>
          <w:color w:val="000000" w:themeColor="text1"/>
          <w:sz w:val="20"/>
          <w:szCs w:val="20"/>
          <w:lang w:val="hr-HR"/>
        </w:rPr>
        <w:t>4</w:t>
      </w:r>
      <w:r w:rsidRPr="004B4498">
        <w:rPr>
          <w:rFonts w:ascii="Arial" w:eastAsia="Calibri" w:hAnsi="Arial" w:cs="Arial"/>
          <w:b/>
          <w:color w:val="000000" w:themeColor="text1"/>
          <w:sz w:val="20"/>
          <w:szCs w:val="20"/>
          <w:lang w:val="hr-HR"/>
        </w:rPr>
        <w:t>.</w:t>
      </w:r>
      <w:r w:rsidRPr="004B4498">
        <w:rPr>
          <w:rFonts w:ascii="Arial" w:eastAsia="Calibri" w:hAnsi="Arial" w:cs="Arial"/>
          <w:b/>
          <w:color w:val="000000" w:themeColor="text1"/>
          <w:sz w:val="20"/>
          <w:szCs w:val="20"/>
          <w:lang w:val="hr-HR"/>
        </w:rPr>
        <w:tab/>
      </w:r>
      <w:bookmarkStart w:id="1242" w:name="_Hlk8833804"/>
      <w:r w:rsidRPr="004B4498">
        <w:rPr>
          <w:rFonts w:ascii="Arial" w:eastAsia="Calibri" w:hAnsi="Arial" w:cs="Arial"/>
          <w:b/>
          <w:color w:val="000000" w:themeColor="text1"/>
          <w:sz w:val="20"/>
          <w:szCs w:val="20"/>
          <w:lang w:val="hr-HR"/>
        </w:rPr>
        <w:t xml:space="preserve">Rezerviranja za </w:t>
      </w:r>
      <w:r w:rsidRPr="004B4498">
        <w:rPr>
          <w:rFonts w:ascii="Arial" w:hAnsi="Arial" w:cs="Arial"/>
          <w:b/>
          <w:color w:val="000000" w:themeColor="text1"/>
          <w:sz w:val="20"/>
          <w:szCs w:val="20"/>
          <w:lang w:val="hr-HR" w:eastAsia="hr-HR"/>
        </w:rPr>
        <w:t>garancije, preuzete i ostale obveze</w:t>
      </w:r>
      <w:bookmarkEnd w:id="1242"/>
    </w:p>
    <w:p w14:paraId="461F292E" w14:textId="77777777" w:rsidR="004E2F51" w:rsidRPr="004B4498" w:rsidRDefault="004E2F51" w:rsidP="004E2F51">
      <w:pPr>
        <w:jc w:val="both"/>
        <w:rPr>
          <w:rFonts w:ascii="Arial" w:hAnsi="Arial" w:cs="Arial"/>
          <w:b/>
          <w:color w:val="000000" w:themeColor="text1"/>
          <w:sz w:val="20"/>
          <w:szCs w:val="20"/>
          <w:lang w:val="hr-HR" w:eastAsia="hr-HR"/>
        </w:rPr>
      </w:pPr>
    </w:p>
    <w:tbl>
      <w:tblPr>
        <w:tblW w:w="5077" w:type="pct"/>
        <w:tblLayout w:type="fixed"/>
        <w:tblCellMar>
          <w:left w:w="119" w:type="dxa"/>
          <w:right w:w="119" w:type="dxa"/>
        </w:tblCellMar>
        <w:tblLook w:val="0000" w:firstRow="0" w:lastRow="0" w:firstColumn="0" w:lastColumn="0" w:noHBand="0" w:noVBand="0"/>
      </w:tblPr>
      <w:tblGrid>
        <w:gridCol w:w="3797"/>
        <w:gridCol w:w="1446"/>
        <w:gridCol w:w="1419"/>
        <w:gridCol w:w="1417"/>
        <w:gridCol w:w="1419"/>
      </w:tblGrid>
      <w:tr w:rsidR="004E2F51" w:rsidRPr="00E35011" w14:paraId="32144AD0" w14:textId="77777777" w:rsidTr="00E032FC">
        <w:trPr>
          <w:trHeight w:val="236"/>
        </w:trPr>
        <w:tc>
          <w:tcPr>
            <w:tcW w:w="1999" w:type="pct"/>
          </w:tcPr>
          <w:p w14:paraId="347B9FA8" w14:textId="77777777" w:rsidR="004E2F51" w:rsidRPr="004B4498" w:rsidRDefault="004E2F51" w:rsidP="00E032FC">
            <w:pPr>
              <w:tabs>
                <w:tab w:val="left" w:pos="-720"/>
              </w:tabs>
              <w:rPr>
                <w:rFonts w:ascii="Arial" w:eastAsia="Calibri" w:hAnsi="Arial" w:cs="Arial"/>
                <w:color w:val="000000" w:themeColor="text1"/>
                <w:spacing w:val="-2"/>
                <w:sz w:val="20"/>
                <w:szCs w:val="20"/>
                <w:lang w:val="hr-HR"/>
              </w:rPr>
            </w:pPr>
            <w:bookmarkStart w:id="1243" w:name="_Hlk9409130"/>
          </w:p>
        </w:tc>
        <w:tc>
          <w:tcPr>
            <w:tcW w:w="1508" w:type="pct"/>
            <w:gridSpan w:val="2"/>
          </w:tcPr>
          <w:p w14:paraId="05A8B0A0" w14:textId="77777777" w:rsidR="004E2F51" w:rsidRPr="004B4498" w:rsidRDefault="004E2F51" w:rsidP="00E032FC">
            <w:pPr>
              <w:tabs>
                <w:tab w:val="right" w:pos="1202"/>
              </w:tabs>
              <w:spacing w:line="240" w:lineRule="atLeast"/>
              <w:jc w:val="right"/>
              <w:outlineLvl w:val="0"/>
              <w:rPr>
                <w:rFonts w:ascii="Arial" w:hAnsi="Arial" w:cs="Arial"/>
                <w:b/>
                <w:color w:val="000000" w:themeColor="text1"/>
                <w:sz w:val="20"/>
                <w:szCs w:val="20"/>
                <w:lang w:val="hr-HR"/>
              </w:rPr>
            </w:pPr>
            <w:bookmarkStart w:id="1244" w:name="_Toc67328766"/>
            <w:r w:rsidRPr="004B4498">
              <w:rPr>
                <w:rFonts w:ascii="Arial" w:hAnsi="Arial" w:cs="Arial"/>
                <w:b/>
                <w:color w:val="000000" w:themeColor="text1"/>
                <w:sz w:val="20"/>
                <w:szCs w:val="20"/>
                <w:lang w:val="hr-HR"/>
              </w:rPr>
              <w:t>Grupa</w:t>
            </w:r>
            <w:bookmarkEnd w:id="1244"/>
          </w:p>
        </w:tc>
        <w:tc>
          <w:tcPr>
            <w:tcW w:w="1493" w:type="pct"/>
            <w:gridSpan w:val="2"/>
          </w:tcPr>
          <w:p w14:paraId="338C8D44" w14:textId="77777777" w:rsidR="004E2F51" w:rsidRPr="004B4498" w:rsidRDefault="004E2F51" w:rsidP="00E032FC">
            <w:pPr>
              <w:tabs>
                <w:tab w:val="right" w:pos="1202"/>
              </w:tabs>
              <w:spacing w:line="240" w:lineRule="atLeast"/>
              <w:jc w:val="right"/>
              <w:outlineLvl w:val="0"/>
              <w:rPr>
                <w:rFonts w:ascii="Arial" w:hAnsi="Arial" w:cs="Arial"/>
                <w:b/>
                <w:color w:val="000000" w:themeColor="text1"/>
                <w:sz w:val="20"/>
                <w:szCs w:val="20"/>
                <w:lang w:val="hr-HR"/>
              </w:rPr>
            </w:pPr>
            <w:bookmarkStart w:id="1245" w:name="_Toc67328767"/>
            <w:r w:rsidRPr="004B4498">
              <w:rPr>
                <w:rFonts w:ascii="Arial" w:hAnsi="Arial" w:cs="Arial"/>
                <w:b/>
                <w:color w:val="000000" w:themeColor="text1"/>
                <w:sz w:val="20"/>
                <w:szCs w:val="20"/>
                <w:lang w:val="hr-HR"/>
              </w:rPr>
              <w:t>Banka</w:t>
            </w:r>
            <w:bookmarkEnd w:id="1245"/>
          </w:p>
        </w:tc>
      </w:tr>
      <w:tr w:rsidR="004E2F51" w:rsidRPr="00E35011" w14:paraId="0834D841" w14:textId="77777777" w:rsidTr="00E032FC">
        <w:trPr>
          <w:trHeight w:val="719"/>
        </w:trPr>
        <w:tc>
          <w:tcPr>
            <w:tcW w:w="1999" w:type="pct"/>
          </w:tcPr>
          <w:p w14:paraId="4F86D09F" w14:textId="77777777" w:rsidR="004E2F51" w:rsidRPr="004B4498" w:rsidRDefault="004E2F51" w:rsidP="00E032FC">
            <w:pPr>
              <w:tabs>
                <w:tab w:val="left" w:pos="-720"/>
              </w:tabs>
              <w:rPr>
                <w:rFonts w:ascii="Arial" w:eastAsia="Calibri" w:hAnsi="Arial" w:cs="Arial"/>
                <w:color w:val="000000" w:themeColor="text1"/>
                <w:spacing w:val="-2"/>
                <w:sz w:val="20"/>
                <w:szCs w:val="20"/>
                <w:lang w:val="hr-HR"/>
              </w:rPr>
            </w:pPr>
          </w:p>
        </w:tc>
        <w:tc>
          <w:tcPr>
            <w:tcW w:w="761" w:type="pct"/>
            <w:vAlign w:val="center"/>
          </w:tcPr>
          <w:p w14:paraId="01FE5369" w14:textId="77777777" w:rsidR="004E2F51" w:rsidRPr="004B4498" w:rsidRDefault="004E2F51" w:rsidP="00E032FC">
            <w:pPr>
              <w:tabs>
                <w:tab w:val="right" w:pos="1202"/>
              </w:tabs>
              <w:spacing w:line="240" w:lineRule="atLeast"/>
              <w:jc w:val="right"/>
              <w:outlineLvl w:val="0"/>
              <w:rPr>
                <w:rFonts w:ascii="Arial" w:hAnsi="Arial" w:cs="Arial"/>
                <w:b/>
                <w:color w:val="000000" w:themeColor="text1"/>
                <w:sz w:val="20"/>
                <w:szCs w:val="20"/>
                <w:lang w:val="hr-HR"/>
              </w:rPr>
            </w:pPr>
            <w:bookmarkStart w:id="1246" w:name="_Toc67328768"/>
            <w:r w:rsidRPr="004B4498">
              <w:rPr>
                <w:rFonts w:ascii="Arial" w:hAnsi="Arial" w:cs="Arial"/>
                <w:b/>
                <w:color w:val="000000" w:themeColor="text1"/>
                <w:sz w:val="20"/>
                <w:szCs w:val="20"/>
                <w:lang w:val="hr-HR"/>
              </w:rPr>
              <w:t>31. prosinca 202</w:t>
            </w:r>
            <w:r w:rsidRPr="00E35011">
              <w:rPr>
                <w:rFonts w:ascii="Arial" w:hAnsi="Arial" w:cs="Arial"/>
                <w:b/>
                <w:color w:val="000000" w:themeColor="text1"/>
                <w:sz w:val="20"/>
                <w:szCs w:val="20"/>
                <w:lang w:val="hr-HR"/>
              </w:rPr>
              <w:t>2</w:t>
            </w:r>
            <w:r w:rsidRPr="004B4498">
              <w:rPr>
                <w:rFonts w:ascii="Arial" w:hAnsi="Arial" w:cs="Arial"/>
                <w:b/>
                <w:color w:val="000000" w:themeColor="text1"/>
                <w:sz w:val="20"/>
                <w:szCs w:val="20"/>
                <w:lang w:val="hr-HR"/>
              </w:rPr>
              <w:t>.</w:t>
            </w:r>
            <w:bookmarkEnd w:id="1246"/>
          </w:p>
        </w:tc>
        <w:tc>
          <w:tcPr>
            <w:tcW w:w="746" w:type="pct"/>
            <w:vAlign w:val="center"/>
          </w:tcPr>
          <w:p w14:paraId="14D288FC" w14:textId="77777777" w:rsidR="004E2F51" w:rsidRPr="004B4498" w:rsidRDefault="004E2F51" w:rsidP="00E032FC">
            <w:pPr>
              <w:tabs>
                <w:tab w:val="right" w:pos="1202"/>
              </w:tabs>
              <w:spacing w:line="240" w:lineRule="atLeast"/>
              <w:jc w:val="right"/>
              <w:outlineLvl w:val="0"/>
              <w:rPr>
                <w:rFonts w:ascii="Arial" w:hAnsi="Arial" w:cs="Arial"/>
                <w:b/>
                <w:color w:val="000000" w:themeColor="text1"/>
                <w:sz w:val="20"/>
                <w:szCs w:val="20"/>
                <w:lang w:val="hr-HR"/>
              </w:rPr>
            </w:pPr>
            <w:bookmarkStart w:id="1247" w:name="_Toc67328769"/>
            <w:r w:rsidRPr="004B4498">
              <w:rPr>
                <w:rFonts w:ascii="Arial" w:hAnsi="Arial" w:cs="Arial"/>
                <w:b/>
                <w:color w:val="000000" w:themeColor="text1"/>
                <w:sz w:val="20"/>
                <w:szCs w:val="20"/>
                <w:lang w:val="hr-HR"/>
              </w:rPr>
              <w:t>31. prosinca 202</w:t>
            </w:r>
            <w:r w:rsidRPr="00E35011">
              <w:rPr>
                <w:rFonts w:ascii="Arial" w:hAnsi="Arial" w:cs="Arial"/>
                <w:b/>
                <w:color w:val="000000" w:themeColor="text1"/>
                <w:sz w:val="20"/>
                <w:szCs w:val="20"/>
                <w:lang w:val="hr-HR"/>
              </w:rPr>
              <w:t>1</w:t>
            </w:r>
            <w:r w:rsidRPr="004B4498">
              <w:rPr>
                <w:rFonts w:ascii="Arial" w:hAnsi="Arial" w:cs="Arial"/>
                <w:b/>
                <w:color w:val="000000" w:themeColor="text1"/>
                <w:sz w:val="20"/>
                <w:szCs w:val="20"/>
                <w:lang w:val="hr-HR"/>
              </w:rPr>
              <w:t>.</w:t>
            </w:r>
            <w:bookmarkEnd w:id="1247"/>
          </w:p>
        </w:tc>
        <w:tc>
          <w:tcPr>
            <w:tcW w:w="746" w:type="pct"/>
            <w:vAlign w:val="center"/>
          </w:tcPr>
          <w:p w14:paraId="6BDDFAF9" w14:textId="77777777" w:rsidR="004E2F51" w:rsidRPr="004B4498" w:rsidRDefault="004E2F51" w:rsidP="00E032FC">
            <w:pPr>
              <w:tabs>
                <w:tab w:val="right" w:pos="1202"/>
              </w:tabs>
              <w:spacing w:line="240" w:lineRule="atLeast"/>
              <w:jc w:val="right"/>
              <w:outlineLvl w:val="0"/>
              <w:rPr>
                <w:rFonts w:ascii="Arial" w:hAnsi="Arial" w:cs="Arial"/>
                <w:b/>
                <w:color w:val="000000" w:themeColor="text1"/>
                <w:sz w:val="20"/>
                <w:szCs w:val="20"/>
                <w:lang w:val="hr-HR"/>
              </w:rPr>
            </w:pPr>
            <w:bookmarkStart w:id="1248" w:name="_Toc67328770"/>
            <w:r w:rsidRPr="004B4498">
              <w:rPr>
                <w:rFonts w:ascii="Arial" w:hAnsi="Arial" w:cs="Arial"/>
                <w:b/>
                <w:color w:val="000000" w:themeColor="text1"/>
                <w:sz w:val="20"/>
                <w:szCs w:val="20"/>
                <w:lang w:val="hr-HR"/>
              </w:rPr>
              <w:t>31. prosinca 202</w:t>
            </w:r>
            <w:r w:rsidRPr="00E35011">
              <w:rPr>
                <w:rFonts w:ascii="Arial" w:hAnsi="Arial" w:cs="Arial"/>
                <w:b/>
                <w:color w:val="000000" w:themeColor="text1"/>
                <w:sz w:val="20"/>
                <w:szCs w:val="20"/>
                <w:lang w:val="hr-HR"/>
              </w:rPr>
              <w:t>2</w:t>
            </w:r>
            <w:r w:rsidRPr="004B4498">
              <w:rPr>
                <w:rFonts w:ascii="Arial" w:hAnsi="Arial" w:cs="Arial"/>
                <w:b/>
                <w:color w:val="000000" w:themeColor="text1"/>
                <w:sz w:val="20"/>
                <w:szCs w:val="20"/>
                <w:lang w:val="hr-HR"/>
              </w:rPr>
              <w:t>.</w:t>
            </w:r>
            <w:bookmarkEnd w:id="1248"/>
          </w:p>
        </w:tc>
        <w:tc>
          <w:tcPr>
            <w:tcW w:w="746" w:type="pct"/>
            <w:vAlign w:val="center"/>
          </w:tcPr>
          <w:p w14:paraId="3DF2019E" w14:textId="77777777" w:rsidR="004E2F51" w:rsidRPr="004B4498" w:rsidRDefault="004E2F51" w:rsidP="00E032FC">
            <w:pPr>
              <w:tabs>
                <w:tab w:val="right" w:pos="1202"/>
              </w:tabs>
              <w:spacing w:line="240" w:lineRule="atLeast"/>
              <w:jc w:val="right"/>
              <w:outlineLvl w:val="0"/>
              <w:rPr>
                <w:rFonts w:ascii="Arial" w:hAnsi="Arial" w:cs="Arial"/>
                <w:b/>
                <w:color w:val="000000" w:themeColor="text1"/>
                <w:sz w:val="20"/>
                <w:szCs w:val="20"/>
                <w:lang w:val="hr-HR"/>
              </w:rPr>
            </w:pPr>
            <w:bookmarkStart w:id="1249" w:name="_Toc67328771"/>
            <w:r w:rsidRPr="004B4498">
              <w:rPr>
                <w:rFonts w:ascii="Arial" w:hAnsi="Arial" w:cs="Arial"/>
                <w:b/>
                <w:color w:val="000000" w:themeColor="text1"/>
                <w:sz w:val="20"/>
                <w:szCs w:val="20"/>
                <w:lang w:val="hr-HR"/>
              </w:rPr>
              <w:t>31. prosinca 202</w:t>
            </w:r>
            <w:r w:rsidRPr="00E35011">
              <w:rPr>
                <w:rFonts w:ascii="Arial" w:hAnsi="Arial" w:cs="Arial"/>
                <w:b/>
                <w:color w:val="000000" w:themeColor="text1"/>
                <w:sz w:val="20"/>
                <w:szCs w:val="20"/>
                <w:lang w:val="hr-HR"/>
              </w:rPr>
              <w:t>1</w:t>
            </w:r>
            <w:r w:rsidRPr="004B4498">
              <w:rPr>
                <w:rFonts w:ascii="Arial" w:hAnsi="Arial" w:cs="Arial"/>
                <w:b/>
                <w:color w:val="000000" w:themeColor="text1"/>
                <w:sz w:val="20"/>
                <w:szCs w:val="20"/>
                <w:lang w:val="hr-HR"/>
              </w:rPr>
              <w:t>.</w:t>
            </w:r>
            <w:bookmarkEnd w:id="1249"/>
          </w:p>
        </w:tc>
      </w:tr>
      <w:tr w:rsidR="004E2F51" w:rsidRPr="00E35011" w14:paraId="387419B1" w14:textId="77777777" w:rsidTr="00E032FC">
        <w:trPr>
          <w:trHeight w:val="223"/>
        </w:trPr>
        <w:tc>
          <w:tcPr>
            <w:tcW w:w="1999" w:type="pct"/>
          </w:tcPr>
          <w:p w14:paraId="6E58DE86" w14:textId="77777777" w:rsidR="004E2F51" w:rsidRPr="004B4498" w:rsidRDefault="004E2F51" w:rsidP="00E032FC">
            <w:pPr>
              <w:tabs>
                <w:tab w:val="left" w:pos="-720"/>
              </w:tabs>
              <w:rPr>
                <w:rFonts w:ascii="Arial" w:eastAsia="Calibri" w:hAnsi="Arial" w:cs="Arial"/>
                <w:color w:val="000000" w:themeColor="text1"/>
                <w:spacing w:val="-2"/>
                <w:sz w:val="20"/>
                <w:szCs w:val="20"/>
                <w:lang w:val="hr-HR"/>
              </w:rPr>
            </w:pPr>
          </w:p>
        </w:tc>
        <w:tc>
          <w:tcPr>
            <w:tcW w:w="761" w:type="pct"/>
            <w:vAlign w:val="bottom"/>
          </w:tcPr>
          <w:p w14:paraId="625D9B43" w14:textId="77777777" w:rsidR="004E2F51" w:rsidRPr="004B4498" w:rsidRDefault="004E2F51" w:rsidP="00E032FC">
            <w:pPr>
              <w:tabs>
                <w:tab w:val="right" w:pos="1202"/>
              </w:tabs>
              <w:spacing w:line="240" w:lineRule="atLeast"/>
              <w:jc w:val="right"/>
              <w:outlineLvl w:val="0"/>
              <w:rPr>
                <w:rFonts w:ascii="Arial" w:hAnsi="Arial" w:cs="Arial"/>
                <w:b/>
                <w:color w:val="000000" w:themeColor="text1"/>
                <w:sz w:val="20"/>
                <w:szCs w:val="20"/>
                <w:lang w:val="hr-HR"/>
              </w:rPr>
            </w:pPr>
            <w:bookmarkStart w:id="1250" w:name="_Toc67328772"/>
            <w:r w:rsidRPr="004B4498">
              <w:rPr>
                <w:rFonts w:ascii="Arial" w:hAnsi="Arial" w:cs="Arial"/>
                <w:b/>
                <w:color w:val="000000" w:themeColor="text1"/>
                <w:sz w:val="20"/>
                <w:szCs w:val="20"/>
                <w:lang w:val="hr-HR"/>
              </w:rPr>
              <w:t>000 kuna</w:t>
            </w:r>
            <w:bookmarkEnd w:id="1250"/>
          </w:p>
        </w:tc>
        <w:tc>
          <w:tcPr>
            <w:tcW w:w="746" w:type="pct"/>
            <w:vAlign w:val="bottom"/>
          </w:tcPr>
          <w:p w14:paraId="3C1A386D" w14:textId="77777777" w:rsidR="004E2F51" w:rsidRPr="004B4498" w:rsidRDefault="004E2F51" w:rsidP="00E032FC">
            <w:pPr>
              <w:tabs>
                <w:tab w:val="right" w:pos="1202"/>
              </w:tabs>
              <w:spacing w:line="240" w:lineRule="atLeast"/>
              <w:jc w:val="right"/>
              <w:outlineLvl w:val="0"/>
              <w:rPr>
                <w:rFonts w:ascii="Arial" w:hAnsi="Arial" w:cs="Arial"/>
                <w:b/>
                <w:color w:val="000000" w:themeColor="text1"/>
                <w:sz w:val="20"/>
                <w:szCs w:val="20"/>
                <w:lang w:val="hr-HR"/>
              </w:rPr>
            </w:pPr>
            <w:bookmarkStart w:id="1251" w:name="_Toc67328773"/>
            <w:r w:rsidRPr="004B4498">
              <w:rPr>
                <w:rFonts w:ascii="Arial" w:hAnsi="Arial" w:cs="Arial"/>
                <w:b/>
                <w:color w:val="000000" w:themeColor="text1"/>
                <w:sz w:val="20"/>
                <w:szCs w:val="20"/>
                <w:lang w:val="hr-HR"/>
              </w:rPr>
              <w:t>000 kuna</w:t>
            </w:r>
            <w:bookmarkEnd w:id="1251"/>
          </w:p>
        </w:tc>
        <w:tc>
          <w:tcPr>
            <w:tcW w:w="746" w:type="pct"/>
            <w:vAlign w:val="bottom"/>
          </w:tcPr>
          <w:p w14:paraId="54F37454" w14:textId="77777777" w:rsidR="004E2F51" w:rsidRPr="004B4498" w:rsidRDefault="004E2F51" w:rsidP="00E032FC">
            <w:pPr>
              <w:tabs>
                <w:tab w:val="right" w:pos="1202"/>
              </w:tabs>
              <w:spacing w:line="240" w:lineRule="atLeast"/>
              <w:jc w:val="right"/>
              <w:outlineLvl w:val="0"/>
              <w:rPr>
                <w:rFonts w:ascii="Arial" w:hAnsi="Arial" w:cs="Arial"/>
                <w:b/>
                <w:color w:val="000000" w:themeColor="text1"/>
                <w:sz w:val="20"/>
                <w:szCs w:val="20"/>
                <w:lang w:val="hr-HR"/>
              </w:rPr>
            </w:pPr>
            <w:bookmarkStart w:id="1252" w:name="_Toc67328774"/>
            <w:r w:rsidRPr="004B4498">
              <w:rPr>
                <w:rFonts w:ascii="Arial" w:hAnsi="Arial" w:cs="Arial"/>
                <w:b/>
                <w:color w:val="000000" w:themeColor="text1"/>
                <w:sz w:val="20"/>
                <w:szCs w:val="20"/>
                <w:lang w:val="hr-HR"/>
              </w:rPr>
              <w:t>000 kuna</w:t>
            </w:r>
            <w:bookmarkEnd w:id="1252"/>
          </w:p>
        </w:tc>
        <w:tc>
          <w:tcPr>
            <w:tcW w:w="746" w:type="pct"/>
            <w:vAlign w:val="bottom"/>
          </w:tcPr>
          <w:p w14:paraId="1AC2A657" w14:textId="77777777" w:rsidR="004E2F51" w:rsidRPr="004B4498" w:rsidRDefault="004E2F51" w:rsidP="00E032FC">
            <w:pPr>
              <w:tabs>
                <w:tab w:val="right" w:pos="1202"/>
              </w:tabs>
              <w:spacing w:line="240" w:lineRule="atLeast"/>
              <w:jc w:val="right"/>
              <w:outlineLvl w:val="0"/>
              <w:rPr>
                <w:rFonts w:ascii="Arial" w:hAnsi="Arial" w:cs="Arial"/>
                <w:b/>
                <w:color w:val="000000" w:themeColor="text1"/>
                <w:sz w:val="20"/>
                <w:szCs w:val="20"/>
                <w:lang w:val="hr-HR"/>
              </w:rPr>
            </w:pPr>
            <w:bookmarkStart w:id="1253" w:name="_Toc67328775"/>
            <w:r w:rsidRPr="004B4498">
              <w:rPr>
                <w:rFonts w:ascii="Arial" w:hAnsi="Arial" w:cs="Arial"/>
                <w:b/>
                <w:color w:val="000000" w:themeColor="text1"/>
                <w:sz w:val="20"/>
                <w:szCs w:val="20"/>
                <w:lang w:val="hr-HR"/>
              </w:rPr>
              <w:t>000 kuna</w:t>
            </w:r>
            <w:bookmarkEnd w:id="1253"/>
          </w:p>
        </w:tc>
      </w:tr>
      <w:tr w:rsidR="004E2F51" w:rsidRPr="00E35011" w14:paraId="3A5303B7" w14:textId="77777777" w:rsidTr="00E032FC">
        <w:trPr>
          <w:trHeight w:hRule="exact" w:val="111"/>
        </w:trPr>
        <w:tc>
          <w:tcPr>
            <w:tcW w:w="1999" w:type="pct"/>
          </w:tcPr>
          <w:p w14:paraId="590A7D15" w14:textId="77777777" w:rsidR="004E2F51" w:rsidRPr="004B4498" w:rsidRDefault="004E2F51" w:rsidP="00E032FC">
            <w:pPr>
              <w:tabs>
                <w:tab w:val="left" w:pos="-720"/>
              </w:tabs>
              <w:rPr>
                <w:rFonts w:ascii="Arial" w:eastAsia="Calibri" w:hAnsi="Arial" w:cs="Arial"/>
                <w:color w:val="000000" w:themeColor="text1"/>
                <w:spacing w:val="-2"/>
                <w:sz w:val="20"/>
                <w:szCs w:val="20"/>
                <w:lang w:val="hr-HR"/>
              </w:rPr>
            </w:pPr>
          </w:p>
        </w:tc>
        <w:tc>
          <w:tcPr>
            <w:tcW w:w="761" w:type="pct"/>
          </w:tcPr>
          <w:p w14:paraId="026D6A0C" w14:textId="77777777" w:rsidR="004E2F51" w:rsidRPr="004B4498" w:rsidRDefault="004E2F51" w:rsidP="00E032FC">
            <w:pPr>
              <w:tabs>
                <w:tab w:val="left" w:pos="-720"/>
              </w:tabs>
              <w:jc w:val="right"/>
              <w:rPr>
                <w:rFonts w:ascii="Arial" w:eastAsia="Calibri" w:hAnsi="Arial" w:cs="Arial"/>
                <w:b/>
                <w:color w:val="000000" w:themeColor="text1"/>
                <w:spacing w:val="-2"/>
                <w:sz w:val="20"/>
                <w:szCs w:val="20"/>
                <w:lang w:val="hr-HR"/>
              </w:rPr>
            </w:pPr>
          </w:p>
        </w:tc>
        <w:tc>
          <w:tcPr>
            <w:tcW w:w="746" w:type="pct"/>
          </w:tcPr>
          <w:p w14:paraId="3A89F28D" w14:textId="77777777" w:rsidR="004E2F51" w:rsidRPr="004B4498" w:rsidRDefault="004E2F51" w:rsidP="00E032FC">
            <w:pPr>
              <w:tabs>
                <w:tab w:val="left" w:pos="-720"/>
              </w:tabs>
              <w:jc w:val="right"/>
              <w:rPr>
                <w:rFonts w:ascii="Arial" w:eastAsia="Calibri" w:hAnsi="Arial" w:cs="Arial"/>
                <w:b/>
                <w:color w:val="000000" w:themeColor="text1"/>
                <w:spacing w:val="-2"/>
                <w:sz w:val="20"/>
                <w:szCs w:val="20"/>
                <w:lang w:val="hr-HR"/>
              </w:rPr>
            </w:pPr>
          </w:p>
        </w:tc>
        <w:tc>
          <w:tcPr>
            <w:tcW w:w="746" w:type="pct"/>
            <w:vAlign w:val="bottom"/>
          </w:tcPr>
          <w:p w14:paraId="592ADACC" w14:textId="77777777" w:rsidR="004E2F51" w:rsidRPr="004B4498" w:rsidRDefault="004E2F51" w:rsidP="00E032FC">
            <w:pPr>
              <w:tabs>
                <w:tab w:val="left" w:pos="-720"/>
              </w:tabs>
              <w:jc w:val="right"/>
              <w:rPr>
                <w:rFonts w:ascii="Arial" w:eastAsia="Calibri" w:hAnsi="Arial" w:cs="Arial"/>
                <w:b/>
                <w:color w:val="000000" w:themeColor="text1"/>
                <w:spacing w:val="-2"/>
                <w:sz w:val="20"/>
                <w:szCs w:val="20"/>
                <w:lang w:val="hr-HR"/>
              </w:rPr>
            </w:pPr>
          </w:p>
        </w:tc>
        <w:tc>
          <w:tcPr>
            <w:tcW w:w="746" w:type="pct"/>
            <w:vAlign w:val="bottom"/>
          </w:tcPr>
          <w:p w14:paraId="5C18B134" w14:textId="77777777" w:rsidR="004E2F51" w:rsidRPr="004B4498" w:rsidRDefault="004E2F51" w:rsidP="00E032FC">
            <w:pPr>
              <w:tabs>
                <w:tab w:val="left" w:pos="-720"/>
              </w:tabs>
              <w:jc w:val="right"/>
              <w:rPr>
                <w:rFonts w:ascii="Arial" w:eastAsia="Calibri" w:hAnsi="Arial" w:cs="Arial"/>
                <w:b/>
                <w:color w:val="000000" w:themeColor="text1"/>
                <w:spacing w:val="-2"/>
                <w:sz w:val="20"/>
                <w:szCs w:val="20"/>
                <w:lang w:val="hr-HR"/>
              </w:rPr>
            </w:pPr>
          </w:p>
        </w:tc>
      </w:tr>
      <w:tr w:rsidR="004E2F51" w:rsidRPr="00E35011" w14:paraId="3FEFB8BA" w14:textId="77777777" w:rsidTr="00E032FC">
        <w:trPr>
          <w:trHeight w:val="259"/>
        </w:trPr>
        <w:tc>
          <w:tcPr>
            <w:tcW w:w="1999" w:type="pct"/>
            <w:vAlign w:val="bottom"/>
          </w:tcPr>
          <w:p w14:paraId="1DC24592" w14:textId="77777777" w:rsidR="004E2F51" w:rsidRPr="004B4498" w:rsidRDefault="004E2F51" w:rsidP="00E032FC">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Rezerviranje za garancije i preuzete obveze</w:t>
            </w:r>
          </w:p>
        </w:tc>
        <w:tc>
          <w:tcPr>
            <w:tcW w:w="761" w:type="pct"/>
            <w:vAlign w:val="bottom"/>
          </w:tcPr>
          <w:p w14:paraId="40F3AD75" w14:textId="77777777" w:rsidR="004E2F51" w:rsidRPr="004B4498" w:rsidRDefault="004E2F51" w:rsidP="00E032FC">
            <w:pPr>
              <w:jc w:val="right"/>
              <w:rPr>
                <w:rFonts w:ascii="Arial" w:eastAsia="Calibri" w:hAnsi="Arial" w:cs="Arial"/>
                <w:color w:val="000000" w:themeColor="text1"/>
                <w:sz w:val="20"/>
                <w:szCs w:val="20"/>
                <w:lang w:val="hr-HR"/>
              </w:rPr>
            </w:pPr>
            <w:r w:rsidRPr="00BB3E29">
              <w:rPr>
                <w:rFonts w:ascii="Arial" w:eastAsia="Calibri" w:hAnsi="Arial" w:cs="Arial"/>
                <w:color w:val="000000" w:themeColor="text1"/>
                <w:sz w:val="20"/>
                <w:szCs w:val="20"/>
                <w:lang w:val="hr-HR"/>
              </w:rPr>
              <w:t>80.726</w:t>
            </w:r>
          </w:p>
        </w:tc>
        <w:tc>
          <w:tcPr>
            <w:tcW w:w="746" w:type="pct"/>
            <w:vAlign w:val="bottom"/>
          </w:tcPr>
          <w:p w14:paraId="5F523CEA" w14:textId="77777777" w:rsidR="004E2F51" w:rsidRPr="004B4498" w:rsidRDefault="004E2F51" w:rsidP="00E032FC">
            <w:pPr>
              <w:jc w:val="right"/>
              <w:rPr>
                <w:rFonts w:ascii="Arial" w:eastAsia="Calibri" w:hAnsi="Arial" w:cs="Arial"/>
                <w:color w:val="000000" w:themeColor="text1"/>
                <w:sz w:val="20"/>
                <w:szCs w:val="20"/>
                <w:lang w:val="hr-HR"/>
              </w:rPr>
            </w:pPr>
            <w:r w:rsidRPr="00E35011">
              <w:rPr>
                <w:rFonts w:ascii="Arial" w:eastAsia="Calibri" w:hAnsi="Arial" w:cs="Arial"/>
                <w:color w:val="000000" w:themeColor="text1"/>
                <w:sz w:val="20"/>
                <w:szCs w:val="20"/>
                <w:lang w:val="hr-HR"/>
              </w:rPr>
              <w:t>129.587</w:t>
            </w:r>
          </w:p>
        </w:tc>
        <w:tc>
          <w:tcPr>
            <w:tcW w:w="746" w:type="pct"/>
            <w:vAlign w:val="bottom"/>
          </w:tcPr>
          <w:p w14:paraId="70F7CDEC" w14:textId="77777777" w:rsidR="004E2F51" w:rsidRPr="004B4498" w:rsidRDefault="004E2F51" w:rsidP="00E032FC">
            <w:pPr>
              <w:jc w:val="right"/>
              <w:rPr>
                <w:rFonts w:ascii="Arial" w:eastAsia="Calibri" w:hAnsi="Arial" w:cs="Arial"/>
                <w:color w:val="000000" w:themeColor="text1"/>
                <w:sz w:val="20"/>
                <w:szCs w:val="20"/>
                <w:lang w:val="hr-HR"/>
              </w:rPr>
            </w:pPr>
            <w:r w:rsidRPr="00BB3E29">
              <w:rPr>
                <w:rFonts w:ascii="Arial" w:eastAsia="Calibri" w:hAnsi="Arial" w:cs="Arial"/>
                <w:color w:val="000000" w:themeColor="text1"/>
                <w:sz w:val="20"/>
                <w:szCs w:val="20"/>
                <w:lang w:val="hr-HR"/>
              </w:rPr>
              <w:t>80.726</w:t>
            </w:r>
          </w:p>
        </w:tc>
        <w:tc>
          <w:tcPr>
            <w:tcW w:w="746" w:type="pct"/>
            <w:tcBorders>
              <w:top w:val="nil"/>
              <w:left w:val="nil"/>
              <w:bottom w:val="nil"/>
              <w:right w:val="nil"/>
            </w:tcBorders>
            <w:shd w:val="clear" w:color="auto" w:fill="auto"/>
            <w:vAlign w:val="bottom"/>
          </w:tcPr>
          <w:p w14:paraId="6DA3CCAB" w14:textId="77777777" w:rsidR="004E2F51" w:rsidRPr="004B4498" w:rsidRDefault="004E2F51" w:rsidP="00E032FC">
            <w:pPr>
              <w:jc w:val="right"/>
              <w:rPr>
                <w:rFonts w:ascii="Arial" w:eastAsia="Calibri" w:hAnsi="Arial" w:cs="Arial"/>
                <w:color w:val="000000" w:themeColor="text1"/>
                <w:sz w:val="20"/>
                <w:szCs w:val="20"/>
                <w:lang w:val="hr-HR"/>
              </w:rPr>
            </w:pPr>
            <w:r w:rsidRPr="00E35011">
              <w:rPr>
                <w:rFonts w:ascii="Arial" w:eastAsia="Calibri" w:hAnsi="Arial" w:cs="Arial"/>
                <w:color w:val="000000" w:themeColor="text1"/>
                <w:sz w:val="20"/>
                <w:szCs w:val="20"/>
                <w:lang w:val="hr-HR"/>
              </w:rPr>
              <w:t>129.587</w:t>
            </w:r>
          </w:p>
        </w:tc>
      </w:tr>
      <w:tr w:rsidR="004E2F51" w:rsidRPr="00E35011" w14:paraId="512781BC" w14:textId="77777777" w:rsidTr="00E032FC">
        <w:trPr>
          <w:trHeight w:val="259"/>
        </w:trPr>
        <w:tc>
          <w:tcPr>
            <w:tcW w:w="1999" w:type="pct"/>
            <w:vAlign w:val="bottom"/>
          </w:tcPr>
          <w:p w14:paraId="6A8E941B" w14:textId="77777777" w:rsidR="004E2F51" w:rsidRPr="004B4498" w:rsidRDefault="004E2F51" w:rsidP="00E032FC">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Rezerviranje za ostale obveze</w:t>
            </w:r>
          </w:p>
        </w:tc>
        <w:tc>
          <w:tcPr>
            <w:tcW w:w="761" w:type="pct"/>
            <w:tcBorders>
              <w:bottom w:val="single" w:sz="2" w:space="0" w:color="auto"/>
            </w:tcBorders>
            <w:vAlign w:val="bottom"/>
          </w:tcPr>
          <w:p w14:paraId="7AD4B628" w14:textId="77777777" w:rsidR="004E2F51" w:rsidRPr="004B4498" w:rsidRDefault="004E2F51" w:rsidP="00E032FC">
            <w:pPr>
              <w:jc w:val="right"/>
              <w:rPr>
                <w:rFonts w:ascii="Arial" w:eastAsia="Calibri" w:hAnsi="Arial" w:cs="Arial"/>
                <w:color w:val="000000" w:themeColor="text1"/>
                <w:sz w:val="20"/>
                <w:szCs w:val="20"/>
                <w:lang w:val="hr-HR"/>
              </w:rPr>
            </w:pPr>
            <w:r w:rsidRPr="00BB3E29">
              <w:rPr>
                <w:rFonts w:ascii="Arial" w:eastAsia="Calibri" w:hAnsi="Arial" w:cs="Arial"/>
                <w:color w:val="000000" w:themeColor="text1"/>
                <w:sz w:val="20"/>
                <w:szCs w:val="20"/>
                <w:lang w:val="hr-HR"/>
              </w:rPr>
              <w:t>61.989</w:t>
            </w:r>
          </w:p>
        </w:tc>
        <w:tc>
          <w:tcPr>
            <w:tcW w:w="746" w:type="pct"/>
            <w:tcBorders>
              <w:bottom w:val="single" w:sz="2" w:space="0" w:color="auto"/>
            </w:tcBorders>
            <w:vAlign w:val="bottom"/>
          </w:tcPr>
          <w:p w14:paraId="4D5D2161" w14:textId="77777777" w:rsidR="004E2F51" w:rsidRPr="004B4498" w:rsidRDefault="004E2F51" w:rsidP="00E032FC">
            <w:pPr>
              <w:jc w:val="right"/>
              <w:rPr>
                <w:rFonts w:ascii="Arial" w:eastAsia="Calibri" w:hAnsi="Arial" w:cs="Arial"/>
                <w:bCs/>
                <w:color w:val="000000" w:themeColor="text1"/>
                <w:sz w:val="20"/>
                <w:szCs w:val="20"/>
                <w:lang w:val="hr-HR"/>
              </w:rPr>
            </w:pPr>
            <w:r w:rsidRPr="00E35011">
              <w:rPr>
                <w:rFonts w:ascii="Arial" w:eastAsia="Calibri" w:hAnsi="Arial" w:cs="Arial"/>
                <w:color w:val="000000" w:themeColor="text1"/>
                <w:sz w:val="20"/>
                <w:szCs w:val="20"/>
                <w:lang w:val="hr-HR"/>
              </w:rPr>
              <w:t>60.973</w:t>
            </w:r>
          </w:p>
        </w:tc>
        <w:tc>
          <w:tcPr>
            <w:tcW w:w="746" w:type="pct"/>
            <w:tcBorders>
              <w:bottom w:val="single" w:sz="2" w:space="0" w:color="auto"/>
            </w:tcBorders>
            <w:vAlign w:val="bottom"/>
          </w:tcPr>
          <w:p w14:paraId="08D66207" w14:textId="77777777" w:rsidR="004E2F51" w:rsidRPr="004B4498" w:rsidRDefault="004E2F51" w:rsidP="00E032FC">
            <w:pPr>
              <w:jc w:val="right"/>
              <w:rPr>
                <w:rFonts w:ascii="Arial" w:eastAsia="Calibri" w:hAnsi="Arial" w:cs="Arial"/>
                <w:color w:val="000000" w:themeColor="text1"/>
                <w:sz w:val="20"/>
                <w:szCs w:val="20"/>
                <w:lang w:val="hr-HR"/>
              </w:rPr>
            </w:pPr>
            <w:r w:rsidRPr="00BB3E29">
              <w:rPr>
                <w:rFonts w:ascii="Arial" w:eastAsia="Calibri" w:hAnsi="Arial" w:cs="Arial"/>
                <w:color w:val="000000" w:themeColor="text1"/>
                <w:sz w:val="20"/>
                <w:szCs w:val="20"/>
                <w:lang w:val="hr-HR"/>
              </w:rPr>
              <w:t>61.949</w:t>
            </w:r>
          </w:p>
        </w:tc>
        <w:tc>
          <w:tcPr>
            <w:tcW w:w="746" w:type="pct"/>
            <w:tcBorders>
              <w:top w:val="nil"/>
              <w:left w:val="nil"/>
              <w:bottom w:val="nil"/>
              <w:right w:val="nil"/>
            </w:tcBorders>
            <w:shd w:val="clear" w:color="auto" w:fill="auto"/>
            <w:vAlign w:val="bottom"/>
          </w:tcPr>
          <w:p w14:paraId="237B6D94" w14:textId="77777777" w:rsidR="004E2F51" w:rsidRPr="004B4498" w:rsidRDefault="004E2F51" w:rsidP="00E032FC">
            <w:pPr>
              <w:jc w:val="right"/>
              <w:rPr>
                <w:rFonts w:ascii="Arial" w:eastAsia="Calibri" w:hAnsi="Arial" w:cs="Arial"/>
                <w:bCs/>
                <w:color w:val="000000" w:themeColor="text1"/>
                <w:sz w:val="20"/>
                <w:szCs w:val="20"/>
                <w:lang w:val="hr-HR"/>
              </w:rPr>
            </w:pPr>
            <w:r w:rsidRPr="00E35011">
              <w:rPr>
                <w:rFonts w:ascii="Arial" w:eastAsia="Calibri" w:hAnsi="Arial" w:cs="Arial"/>
                <w:color w:val="000000" w:themeColor="text1"/>
                <w:sz w:val="20"/>
                <w:szCs w:val="20"/>
                <w:lang w:val="hr-HR"/>
              </w:rPr>
              <w:t>60.716</w:t>
            </w:r>
          </w:p>
        </w:tc>
      </w:tr>
      <w:tr w:rsidR="004E2F51" w:rsidRPr="00E35011" w14:paraId="2D9DB7F3" w14:textId="77777777" w:rsidTr="00E032FC">
        <w:trPr>
          <w:trHeight w:val="294"/>
        </w:trPr>
        <w:tc>
          <w:tcPr>
            <w:tcW w:w="1999" w:type="pct"/>
            <w:vAlign w:val="bottom"/>
          </w:tcPr>
          <w:p w14:paraId="73A8E143" w14:textId="77777777" w:rsidR="004E2F51" w:rsidRPr="004B4498" w:rsidRDefault="004E2F51" w:rsidP="00E032FC">
            <w:pPr>
              <w:tabs>
                <w:tab w:val="left" w:pos="-720"/>
              </w:tabs>
              <w:rPr>
                <w:rFonts w:ascii="Arial" w:eastAsia="Calibri" w:hAnsi="Arial" w:cs="Arial"/>
                <w:b/>
                <w:bCs/>
                <w:color w:val="000000" w:themeColor="text1"/>
                <w:spacing w:val="-2"/>
                <w:sz w:val="20"/>
                <w:szCs w:val="20"/>
                <w:lang w:val="hr-HR"/>
              </w:rPr>
            </w:pPr>
          </w:p>
        </w:tc>
        <w:tc>
          <w:tcPr>
            <w:tcW w:w="761" w:type="pct"/>
            <w:tcBorders>
              <w:top w:val="single" w:sz="4" w:space="0" w:color="auto"/>
              <w:bottom w:val="single" w:sz="12" w:space="0" w:color="auto"/>
            </w:tcBorders>
            <w:vAlign w:val="bottom"/>
          </w:tcPr>
          <w:p w14:paraId="30D6AA9F" w14:textId="77777777" w:rsidR="004E2F51" w:rsidRPr="004B4498" w:rsidRDefault="004E2F51" w:rsidP="00E032FC">
            <w:pPr>
              <w:tabs>
                <w:tab w:val="right" w:pos="1202"/>
              </w:tabs>
              <w:spacing w:line="340" w:lineRule="exact"/>
              <w:jc w:val="right"/>
              <w:outlineLvl w:val="0"/>
              <w:rPr>
                <w:rFonts w:ascii="Arial" w:hAnsi="Arial" w:cs="Arial"/>
                <w:b/>
                <w:bCs/>
                <w:color w:val="000000" w:themeColor="text1"/>
                <w:sz w:val="20"/>
                <w:szCs w:val="20"/>
                <w:lang w:val="hr-HR"/>
              </w:rPr>
            </w:pPr>
            <w:r w:rsidRPr="00BB3E29">
              <w:rPr>
                <w:rFonts w:ascii="Arial" w:hAnsi="Arial" w:cs="Arial"/>
                <w:b/>
                <w:bCs/>
                <w:color w:val="000000" w:themeColor="text1"/>
                <w:sz w:val="20"/>
                <w:szCs w:val="20"/>
                <w:lang w:val="hr-HR"/>
              </w:rPr>
              <w:t>142.715</w:t>
            </w:r>
          </w:p>
        </w:tc>
        <w:tc>
          <w:tcPr>
            <w:tcW w:w="746" w:type="pct"/>
            <w:tcBorders>
              <w:top w:val="single" w:sz="4" w:space="0" w:color="auto"/>
              <w:bottom w:val="single" w:sz="12" w:space="0" w:color="auto"/>
            </w:tcBorders>
            <w:vAlign w:val="bottom"/>
          </w:tcPr>
          <w:p w14:paraId="365C632A" w14:textId="77777777" w:rsidR="004E2F51" w:rsidRPr="004B4498" w:rsidRDefault="004E2F51" w:rsidP="00E032FC">
            <w:pPr>
              <w:tabs>
                <w:tab w:val="right" w:pos="1202"/>
              </w:tabs>
              <w:spacing w:line="340" w:lineRule="exact"/>
              <w:jc w:val="right"/>
              <w:outlineLvl w:val="0"/>
              <w:rPr>
                <w:rFonts w:ascii="Arial" w:hAnsi="Arial" w:cs="Arial"/>
                <w:b/>
                <w:bCs/>
                <w:color w:val="000000" w:themeColor="text1"/>
                <w:sz w:val="20"/>
                <w:szCs w:val="20"/>
                <w:lang w:val="hr-HR"/>
              </w:rPr>
            </w:pPr>
            <w:bookmarkStart w:id="1254" w:name="_Toc67328776"/>
            <w:r w:rsidRPr="00E35011">
              <w:rPr>
                <w:rFonts w:ascii="Arial" w:hAnsi="Arial" w:cs="Arial"/>
                <w:b/>
                <w:bCs/>
                <w:color w:val="000000" w:themeColor="text1"/>
                <w:sz w:val="20"/>
                <w:szCs w:val="20"/>
                <w:lang w:val="hr-HR"/>
              </w:rPr>
              <w:t>190.560</w:t>
            </w:r>
            <w:bookmarkEnd w:id="1254"/>
          </w:p>
        </w:tc>
        <w:tc>
          <w:tcPr>
            <w:tcW w:w="746" w:type="pct"/>
            <w:tcBorders>
              <w:top w:val="single" w:sz="4" w:space="0" w:color="auto"/>
              <w:bottom w:val="single" w:sz="12" w:space="0" w:color="auto"/>
            </w:tcBorders>
            <w:vAlign w:val="bottom"/>
          </w:tcPr>
          <w:p w14:paraId="11550E17" w14:textId="77777777" w:rsidR="004E2F51" w:rsidRPr="004B4498" w:rsidRDefault="004E2F51" w:rsidP="00E032FC">
            <w:pPr>
              <w:tabs>
                <w:tab w:val="right" w:pos="1202"/>
              </w:tabs>
              <w:spacing w:line="340" w:lineRule="exact"/>
              <w:jc w:val="right"/>
              <w:outlineLvl w:val="0"/>
              <w:rPr>
                <w:rFonts w:ascii="Arial" w:hAnsi="Arial" w:cs="Arial"/>
                <w:b/>
                <w:bCs/>
                <w:color w:val="000000" w:themeColor="text1"/>
                <w:sz w:val="20"/>
                <w:szCs w:val="20"/>
                <w:lang w:val="hr-HR"/>
              </w:rPr>
            </w:pPr>
            <w:r w:rsidRPr="00BB3E29">
              <w:rPr>
                <w:rFonts w:ascii="Arial" w:hAnsi="Arial" w:cs="Arial"/>
                <w:b/>
                <w:bCs/>
                <w:color w:val="000000" w:themeColor="text1"/>
                <w:sz w:val="20"/>
                <w:szCs w:val="20"/>
                <w:lang w:val="hr-HR"/>
              </w:rPr>
              <w:t>142.675</w:t>
            </w:r>
          </w:p>
        </w:tc>
        <w:tc>
          <w:tcPr>
            <w:tcW w:w="746" w:type="pct"/>
            <w:tcBorders>
              <w:top w:val="single" w:sz="4" w:space="0" w:color="auto"/>
              <w:bottom w:val="single" w:sz="12" w:space="0" w:color="auto"/>
            </w:tcBorders>
            <w:vAlign w:val="bottom"/>
          </w:tcPr>
          <w:p w14:paraId="070A34F1" w14:textId="77777777" w:rsidR="004E2F51" w:rsidRPr="004B4498" w:rsidRDefault="004E2F51" w:rsidP="00E032FC">
            <w:pPr>
              <w:tabs>
                <w:tab w:val="right" w:pos="1202"/>
              </w:tabs>
              <w:spacing w:line="340" w:lineRule="exact"/>
              <w:jc w:val="right"/>
              <w:outlineLvl w:val="0"/>
              <w:rPr>
                <w:rFonts w:ascii="Arial" w:hAnsi="Arial" w:cs="Arial"/>
                <w:b/>
                <w:bCs/>
                <w:color w:val="000000" w:themeColor="text1"/>
                <w:sz w:val="20"/>
                <w:szCs w:val="20"/>
                <w:lang w:val="hr-HR"/>
              </w:rPr>
            </w:pPr>
            <w:bookmarkStart w:id="1255" w:name="_Toc67328778"/>
            <w:r w:rsidRPr="00E35011">
              <w:rPr>
                <w:rFonts w:ascii="Arial" w:hAnsi="Arial" w:cs="Arial"/>
                <w:b/>
                <w:bCs/>
                <w:color w:val="000000" w:themeColor="text1"/>
                <w:sz w:val="20"/>
                <w:szCs w:val="20"/>
                <w:lang w:val="hr-HR"/>
              </w:rPr>
              <w:t>190.303</w:t>
            </w:r>
            <w:bookmarkEnd w:id="1255"/>
          </w:p>
        </w:tc>
      </w:tr>
      <w:bookmarkEnd w:id="1243"/>
    </w:tbl>
    <w:p w14:paraId="16A6BA2D" w14:textId="77777777" w:rsidR="004E2F51" w:rsidRPr="004B4498" w:rsidRDefault="004E2F51" w:rsidP="004E2F51">
      <w:pPr>
        <w:jc w:val="both"/>
        <w:rPr>
          <w:rFonts w:ascii="Arial" w:hAnsi="Arial" w:cs="Arial"/>
          <w:b/>
          <w:color w:val="000000" w:themeColor="text1"/>
          <w:sz w:val="20"/>
          <w:szCs w:val="20"/>
          <w:lang w:val="hr-HR" w:eastAsia="hr-HR"/>
        </w:rPr>
      </w:pPr>
    </w:p>
    <w:p w14:paraId="1540FC1C"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Promjene na rezerviranjima za očekivane gubitke po garancijama, preuzetim i ostalim obvezama mogu se prikazati kako slijedi:</w:t>
      </w:r>
    </w:p>
    <w:p w14:paraId="791474A4" w14:textId="77777777" w:rsidR="004E2F51" w:rsidRPr="004B4498" w:rsidRDefault="004E2F51" w:rsidP="004E2F51">
      <w:pPr>
        <w:tabs>
          <w:tab w:val="left" w:pos="6036"/>
        </w:tabs>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ab/>
      </w:r>
    </w:p>
    <w:tbl>
      <w:tblPr>
        <w:tblW w:w="5084" w:type="pct"/>
        <w:tblLayout w:type="fixed"/>
        <w:tblLook w:val="04A0" w:firstRow="1" w:lastRow="0" w:firstColumn="1" w:lastColumn="0" w:noHBand="0" w:noVBand="1"/>
      </w:tblPr>
      <w:tblGrid>
        <w:gridCol w:w="4403"/>
        <w:gridCol w:w="1277"/>
        <w:gridCol w:w="1277"/>
        <w:gridCol w:w="1277"/>
        <w:gridCol w:w="1277"/>
      </w:tblGrid>
      <w:tr w:rsidR="004E2F51" w:rsidRPr="005A00FA" w14:paraId="312D5BC3" w14:textId="77777777" w:rsidTr="00E032FC">
        <w:trPr>
          <w:trHeight w:val="251"/>
        </w:trPr>
        <w:tc>
          <w:tcPr>
            <w:tcW w:w="4403" w:type="dxa"/>
            <w:tcBorders>
              <w:top w:val="nil"/>
              <w:left w:val="nil"/>
              <w:bottom w:val="nil"/>
              <w:right w:val="nil"/>
            </w:tcBorders>
            <w:shd w:val="clear" w:color="auto" w:fill="auto"/>
            <w:noWrap/>
            <w:vAlign w:val="bottom"/>
            <w:hideMark/>
          </w:tcPr>
          <w:p w14:paraId="20CBB9CE" w14:textId="77777777" w:rsidR="004E2F51" w:rsidRPr="00E35011" w:rsidRDefault="004E2F51" w:rsidP="00E032FC">
            <w:pPr>
              <w:rPr>
                <w:rFonts w:ascii="Arial" w:eastAsia="Calibri" w:hAnsi="Arial" w:cs="Arial"/>
                <w:color w:val="000000" w:themeColor="text1"/>
                <w:sz w:val="20"/>
                <w:szCs w:val="20"/>
                <w:lang w:val="hr-HR"/>
              </w:rPr>
            </w:pPr>
          </w:p>
        </w:tc>
        <w:tc>
          <w:tcPr>
            <w:tcW w:w="2554" w:type="dxa"/>
            <w:gridSpan w:val="2"/>
            <w:tcBorders>
              <w:top w:val="nil"/>
              <w:left w:val="nil"/>
              <w:bottom w:val="nil"/>
              <w:right w:val="nil"/>
            </w:tcBorders>
            <w:shd w:val="clear" w:color="auto" w:fill="auto"/>
            <w:vAlign w:val="center"/>
            <w:hideMark/>
          </w:tcPr>
          <w:p w14:paraId="42A3E1FC" w14:textId="77777777" w:rsidR="004E2F51" w:rsidRPr="00E35011" w:rsidRDefault="004E2F51" w:rsidP="00E032FC">
            <w:pPr>
              <w:jc w:val="right"/>
              <w:rPr>
                <w:rFonts w:ascii="Arial" w:eastAsia="Calibri" w:hAnsi="Arial" w:cs="Arial"/>
                <w:b/>
                <w:bCs/>
                <w:color w:val="000000" w:themeColor="text1"/>
                <w:sz w:val="20"/>
                <w:szCs w:val="20"/>
                <w:lang w:val="hr-HR"/>
              </w:rPr>
            </w:pPr>
            <w:r w:rsidRPr="00E35011">
              <w:rPr>
                <w:rFonts w:ascii="Arial" w:eastAsia="Calibri" w:hAnsi="Arial" w:cs="Arial"/>
                <w:b/>
                <w:bCs/>
                <w:color w:val="000000" w:themeColor="text1"/>
                <w:sz w:val="20"/>
                <w:szCs w:val="20"/>
                <w:lang w:val="hr-HR"/>
              </w:rPr>
              <w:t>Grupa</w:t>
            </w:r>
          </w:p>
        </w:tc>
        <w:tc>
          <w:tcPr>
            <w:tcW w:w="2554" w:type="dxa"/>
            <w:gridSpan w:val="2"/>
            <w:tcBorders>
              <w:top w:val="nil"/>
              <w:left w:val="nil"/>
              <w:bottom w:val="nil"/>
              <w:right w:val="nil"/>
            </w:tcBorders>
            <w:shd w:val="clear" w:color="auto" w:fill="auto"/>
            <w:vAlign w:val="center"/>
            <w:hideMark/>
          </w:tcPr>
          <w:p w14:paraId="24216BB2" w14:textId="77777777" w:rsidR="004E2F51" w:rsidRPr="00E35011" w:rsidRDefault="004E2F51" w:rsidP="00E032FC">
            <w:pPr>
              <w:jc w:val="right"/>
              <w:rPr>
                <w:rFonts w:ascii="Arial" w:eastAsia="Calibri" w:hAnsi="Arial" w:cs="Arial"/>
                <w:b/>
                <w:bCs/>
                <w:color w:val="000000" w:themeColor="text1"/>
                <w:sz w:val="20"/>
                <w:szCs w:val="20"/>
                <w:lang w:val="hr-HR"/>
              </w:rPr>
            </w:pPr>
            <w:r w:rsidRPr="00E35011">
              <w:rPr>
                <w:rFonts w:ascii="Arial" w:eastAsia="Calibri" w:hAnsi="Arial" w:cs="Arial"/>
                <w:b/>
                <w:bCs/>
                <w:color w:val="000000" w:themeColor="text1"/>
                <w:sz w:val="20"/>
                <w:szCs w:val="20"/>
                <w:lang w:val="hr-HR"/>
              </w:rPr>
              <w:t>Banka</w:t>
            </w:r>
          </w:p>
        </w:tc>
      </w:tr>
      <w:tr w:rsidR="004E2F51" w:rsidRPr="005A00FA" w14:paraId="33202CF3" w14:textId="77777777" w:rsidTr="00E032FC">
        <w:trPr>
          <w:trHeight w:val="251"/>
        </w:trPr>
        <w:tc>
          <w:tcPr>
            <w:tcW w:w="4403" w:type="dxa"/>
            <w:tcBorders>
              <w:top w:val="nil"/>
              <w:left w:val="nil"/>
              <w:bottom w:val="nil"/>
              <w:right w:val="nil"/>
            </w:tcBorders>
            <w:shd w:val="clear" w:color="auto" w:fill="auto"/>
            <w:noWrap/>
            <w:vAlign w:val="bottom"/>
          </w:tcPr>
          <w:p w14:paraId="34262859" w14:textId="77777777" w:rsidR="004E2F51" w:rsidRPr="00E35011" w:rsidRDefault="004E2F51" w:rsidP="00E032FC">
            <w:pPr>
              <w:rPr>
                <w:rFonts w:ascii="Arial" w:eastAsia="Calibri" w:hAnsi="Arial" w:cs="Arial"/>
                <w:color w:val="000000" w:themeColor="text1"/>
                <w:sz w:val="20"/>
                <w:szCs w:val="20"/>
                <w:lang w:val="hr-HR"/>
              </w:rPr>
            </w:pPr>
          </w:p>
        </w:tc>
        <w:tc>
          <w:tcPr>
            <w:tcW w:w="1277" w:type="dxa"/>
            <w:vAlign w:val="bottom"/>
          </w:tcPr>
          <w:p w14:paraId="36E6B660" w14:textId="77777777" w:rsidR="004E2F51" w:rsidRPr="00E35011" w:rsidRDefault="004E2F51" w:rsidP="00E032FC">
            <w:pPr>
              <w:tabs>
                <w:tab w:val="right" w:pos="1202"/>
              </w:tabs>
              <w:jc w:val="right"/>
              <w:outlineLvl w:val="0"/>
              <w:rPr>
                <w:rFonts w:ascii="Arial" w:hAnsi="Arial" w:cs="Arial"/>
                <w:b/>
                <w:color w:val="000000" w:themeColor="text1"/>
                <w:sz w:val="20"/>
                <w:szCs w:val="20"/>
                <w:lang w:val="hr-HR"/>
              </w:rPr>
            </w:pPr>
            <w:bookmarkStart w:id="1256" w:name="_Toc67328780"/>
            <w:r w:rsidRPr="00E35011">
              <w:rPr>
                <w:rFonts w:ascii="Arial" w:hAnsi="Arial" w:cs="Arial"/>
                <w:b/>
                <w:color w:val="000000" w:themeColor="text1"/>
                <w:sz w:val="20"/>
                <w:szCs w:val="20"/>
                <w:lang w:val="hr-HR"/>
              </w:rPr>
              <w:t>1.1.-31.12.</w:t>
            </w:r>
            <w:bookmarkEnd w:id="1256"/>
          </w:p>
          <w:p w14:paraId="4BEF44C2" w14:textId="77777777" w:rsidR="004E2F51" w:rsidRPr="00E35011" w:rsidRDefault="004E2F51" w:rsidP="00E032FC">
            <w:pPr>
              <w:tabs>
                <w:tab w:val="right" w:pos="1202"/>
              </w:tabs>
              <w:jc w:val="right"/>
              <w:outlineLvl w:val="0"/>
              <w:rPr>
                <w:rFonts w:ascii="Arial" w:hAnsi="Arial" w:cs="Arial"/>
                <w:b/>
                <w:color w:val="000000" w:themeColor="text1"/>
                <w:sz w:val="20"/>
                <w:szCs w:val="20"/>
                <w:lang w:val="hr-HR"/>
              </w:rPr>
            </w:pPr>
            <w:bookmarkStart w:id="1257" w:name="_Toc67328781"/>
            <w:r w:rsidRPr="00E35011">
              <w:rPr>
                <w:rFonts w:ascii="Arial" w:hAnsi="Arial" w:cs="Arial"/>
                <w:b/>
                <w:color w:val="000000" w:themeColor="text1"/>
                <w:sz w:val="20"/>
                <w:szCs w:val="20"/>
                <w:lang w:val="hr-HR"/>
              </w:rPr>
              <w:t>2022.</w:t>
            </w:r>
            <w:bookmarkEnd w:id="1257"/>
          </w:p>
        </w:tc>
        <w:tc>
          <w:tcPr>
            <w:tcW w:w="1277" w:type="dxa"/>
            <w:vAlign w:val="bottom"/>
          </w:tcPr>
          <w:p w14:paraId="352DB60C" w14:textId="77777777" w:rsidR="004E2F51" w:rsidRPr="00E35011" w:rsidRDefault="004E2F51" w:rsidP="00E032FC">
            <w:pPr>
              <w:tabs>
                <w:tab w:val="right" w:pos="1202"/>
              </w:tabs>
              <w:jc w:val="right"/>
              <w:outlineLvl w:val="0"/>
              <w:rPr>
                <w:rFonts w:ascii="Arial" w:hAnsi="Arial" w:cs="Arial"/>
                <w:b/>
                <w:color w:val="000000" w:themeColor="text1"/>
                <w:sz w:val="20"/>
                <w:szCs w:val="20"/>
                <w:lang w:val="hr-HR"/>
              </w:rPr>
            </w:pPr>
            <w:bookmarkStart w:id="1258" w:name="_Toc67328782"/>
            <w:r w:rsidRPr="00E35011">
              <w:rPr>
                <w:rFonts w:ascii="Arial" w:hAnsi="Arial" w:cs="Arial"/>
                <w:b/>
                <w:color w:val="000000" w:themeColor="text1"/>
                <w:sz w:val="20"/>
                <w:szCs w:val="20"/>
                <w:lang w:val="hr-HR"/>
              </w:rPr>
              <w:t>1.1.-31.12.</w:t>
            </w:r>
            <w:bookmarkEnd w:id="1258"/>
          </w:p>
          <w:p w14:paraId="35ADAF98" w14:textId="77777777" w:rsidR="004E2F51" w:rsidRPr="00E35011" w:rsidRDefault="004E2F51" w:rsidP="00E032FC">
            <w:pPr>
              <w:tabs>
                <w:tab w:val="right" w:pos="1202"/>
              </w:tabs>
              <w:jc w:val="right"/>
              <w:outlineLvl w:val="0"/>
              <w:rPr>
                <w:rFonts w:ascii="Arial" w:hAnsi="Arial" w:cs="Arial"/>
                <w:b/>
                <w:color w:val="000000" w:themeColor="text1"/>
                <w:sz w:val="20"/>
                <w:szCs w:val="20"/>
                <w:lang w:val="hr-HR"/>
              </w:rPr>
            </w:pPr>
            <w:bookmarkStart w:id="1259" w:name="_Toc67328783"/>
            <w:r w:rsidRPr="00E35011">
              <w:rPr>
                <w:rFonts w:ascii="Arial" w:hAnsi="Arial" w:cs="Arial"/>
                <w:b/>
                <w:color w:val="000000" w:themeColor="text1"/>
                <w:sz w:val="20"/>
                <w:szCs w:val="20"/>
                <w:lang w:val="hr-HR"/>
              </w:rPr>
              <w:t>2021.</w:t>
            </w:r>
            <w:bookmarkEnd w:id="1259"/>
          </w:p>
        </w:tc>
        <w:tc>
          <w:tcPr>
            <w:tcW w:w="1277" w:type="dxa"/>
            <w:vAlign w:val="bottom"/>
          </w:tcPr>
          <w:p w14:paraId="63362DC3" w14:textId="77777777" w:rsidR="004E2F51" w:rsidRPr="00E35011" w:rsidRDefault="004E2F51" w:rsidP="00E032FC">
            <w:pPr>
              <w:tabs>
                <w:tab w:val="right" w:pos="1202"/>
              </w:tabs>
              <w:jc w:val="right"/>
              <w:outlineLvl w:val="0"/>
              <w:rPr>
                <w:rFonts w:ascii="Arial" w:hAnsi="Arial" w:cs="Arial"/>
                <w:b/>
                <w:color w:val="000000" w:themeColor="text1"/>
                <w:sz w:val="20"/>
                <w:szCs w:val="20"/>
                <w:lang w:val="hr-HR"/>
              </w:rPr>
            </w:pPr>
            <w:bookmarkStart w:id="1260" w:name="_Toc67328784"/>
            <w:r w:rsidRPr="00E35011">
              <w:rPr>
                <w:rFonts w:ascii="Arial" w:hAnsi="Arial" w:cs="Arial"/>
                <w:b/>
                <w:color w:val="000000" w:themeColor="text1"/>
                <w:sz w:val="20"/>
                <w:szCs w:val="20"/>
                <w:lang w:val="hr-HR"/>
              </w:rPr>
              <w:t>1.1.-31.12.</w:t>
            </w:r>
            <w:bookmarkEnd w:id="1260"/>
          </w:p>
          <w:p w14:paraId="30867FFC" w14:textId="77777777" w:rsidR="004E2F51" w:rsidRPr="00E35011" w:rsidRDefault="004E2F51" w:rsidP="00E032FC">
            <w:pPr>
              <w:tabs>
                <w:tab w:val="right" w:pos="1202"/>
              </w:tabs>
              <w:jc w:val="right"/>
              <w:outlineLvl w:val="0"/>
              <w:rPr>
                <w:rFonts w:ascii="Arial" w:hAnsi="Arial" w:cs="Arial"/>
                <w:b/>
                <w:color w:val="000000" w:themeColor="text1"/>
                <w:sz w:val="20"/>
                <w:szCs w:val="20"/>
                <w:lang w:val="hr-HR"/>
              </w:rPr>
            </w:pPr>
            <w:bookmarkStart w:id="1261" w:name="_Toc67328785"/>
            <w:r w:rsidRPr="00E35011">
              <w:rPr>
                <w:rFonts w:ascii="Arial" w:hAnsi="Arial" w:cs="Arial"/>
                <w:b/>
                <w:color w:val="000000" w:themeColor="text1"/>
                <w:sz w:val="20"/>
                <w:szCs w:val="20"/>
                <w:lang w:val="hr-HR"/>
              </w:rPr>
              <w:t>2022.</w:t>
            </w:r>
            <w:bookmarkEnd w:id="1261"/>
          </w:p>
        </w:tc>
        <w:tc>
          <w:tcPr>
            <w:tcW w:w="1277" w:type="dxa"/>
            <w:vAlign w:val="bottom"/>
          </w:tcPr>
          <w:p w14:paraId="32E8C0D6" w14:textId="77777777" w:rsidR="004E2F51" w:rsidRPr="00E35011" w:rsidRDefault="004E2F51" w:rsidP="00E032FC">
            <w:pPr>
              <w:tabs>
                <w:tab w:val="right" w:pos="1202"/>
              </w:tabs>
              <w:jc w:val="right"/>
              <w:outlineLvl w:val="0"/>
              <w:rPr>
                <w:rFonts w:ascii="Arial" w:hAnsi="Arial" w:cs="Arial"/>
                <w:b/>
                <w:color w:val="000000" w:themeColor="text1"/>
                <w:sz w:val="20"/>
                <w:szCs w:val="20"/>
                <w:lang w:val="hr-HR"/>
              </w:rPr>
            </w:pPr>
            <w:bookmarkStart w:id="1262" w:name="_Toc67328786"/>
            <w:r w:rsidRPr="00E35011">
              <w:rPr>
                <w:rFonts w:ascii="Arial" w:hAnsi="Arial" w:cs="Arial"/>
                <w:b/>
                <w:color w:val="000000" w:themeColor="text1"/>
                <w:sz w:val="20"/>
                <w:szCs w:val="20"/>
                <w:lang w:val="hr-HR"/>
              </w:rPr>
              <w:t>1.1.-31.12.</w:t>
            </w:r>
            <w:bookmarkEnd w:id="1262"/>
          </w:p>
          <w:p w14:paraId="263AA6DD" w14:textId="77777777" w:rsidR="004E2F51" w:rsidRPr="00E35011" w:rsidRDefault="004E2F51" w:rsidP="00E032FC">
            <w:pPr>
              <w:tabs>
                <w:tab w:val="right" w:pos="1202"/>
              </w:tabs>
              <w:jc w:val="right"/>
              <w:outlineLvl w:val="0"/>
              <w:rPr>
                <w:rFonts w:ascii="Arial" w:hAnsi="Arial" w:cs="Arial"/>
                <w:b/>
                <w:color w:val="000000" w:themeColor="text1"/>
                <w:sz w:val="20"/>
                <w:szCs w:val="20"/>
                <w:lang w:val="hr-HR"/>
              </w:rPr>
            </w:pPr>
            <w:bookmarkStart w:id="1263" w:name="_Toc67328787"/>
            <w:r w:rsidRPr="00E35011">
              <w:rPr>
                <w:rFonts w:ascii="Arial" w:hAnsi="Arial" w:cs="Arial"/>
                <w:b/>
                <w:color w:val="000000" w:themeColor="text1"/>
                <w:sz w:val="20"/>
                <w:szCs w:val="20"/>
                <w:lang w:val="hr-HR"/>
              </w:rPr>
              <w:t>2021.</w:t>
            </w:r>
            <w:bookmarkEnd w:id="1263"/>
          </w:p>
        </w:tc>
      </w:tr>
      <w:tr w:rsidR="004E2F51" w:rsidRPr="005A00FA" w14:paraId="49A3FDC0" w14:textId="77777777" w:rsidTr="00E032FC">
        <w:trPr>
          <w:trHeight w:val="239"/>
        </w:trPr>
        <w:tc>
          <w:tcPr>
            <w:tcW w:w="4403" w:type="dxa"/>
            <w:tcBorders>
              <w:top w:val="nil"/>
              <w:left w:val="nil"/>
              <w:bottom w:val="nil"/>
              <w:right w:val="nil"/>
            </w:tcBorders>
            <w:shd w:val="clear" w:color="auto" w:fill="auto"/>
            <w:vAlign w:val="center"/>
            <w:hideMark/>
          </w:tcPr>
          <w:p w14:paraId="746936BF" w14:textId="77777777" w:rsidR="004E2F51" w:rsidRPr="00E35011" w:rsidRDefault="004E2F51" w:rsidP="00E032FC">
            <w:pPr>
              <w:jc w:val="right"/>
              <w:rPr>
                <w:rFonts w:ascii="Arial" w:eastAsia="Calibri" w:hAnsi="Arial" w:cs="Arial"/>
                <w:b/>
                <w:bCs/>
                <w:color w:val="000000" w:themeColor="text1"/>
                <w:sz w:val="20"/>
                <w:szCs w:val="20"/>
                <w:lang w:val="hr-HR"/>
              </w:rPr>
            </w:pPr>
          </w:p>
        </w:tc>
        <w:tc>
          <w:tcPr>
            <w:tcW w:w="1277" w:type="dxa"/>
            <w:tcBorders>
              <w:top w:val="nil"/>
              <w:left w:val="nil"/>
              <w:bottom w:val="nil"/>
              <w:right w:val="nil"/>
            </w:tcBorders>
            <w:shd w:val="clear" w:color="auto" w:fill="auto"/>
            <w:vAlign w:val="center"/>
            <w:hideMark/>
          </w:tcPr>
          <w:p w14:paraId="036640BD" w14:textId="77777777" w:rsidR="004E2F51" w:rsidRPr="00E35011" w:rsidRDefault="004E2F51" w:rsidP="00E032FC">
            <w:pPr>
              <w:jc w:val="right"/>
              <w:rPr>
                <w:rFonts w:ascii="Arial" w:eastAsia="Calibri" w:hAnsi="Arial" w:cs="Arial"/>
                <w:b/>
                <w:bCs/>
                <w:color w:val="000000" w:themeColor="text1"/>
                <w:sz w:val="20"/>
                <w:szCs w:val="20"/>
                <w:lang w:val="hr-HR"/>
              </w:rPr>
            </w:pPr>
            <w:r w:rsidRPr="00E35011">
              <w:rPr>
                <w:rFonts w:ascii="Arial" w:eastAsia="Calibri" w:hAnsi="Arial" w:cs="Arial"/>
                <w:b/>
                <w:bCs/>
                <w:color w:val="000000" w:themeColor="text1"/>
                <w:sz w:val="20"/>
                <w:szCs w:val="20"/>
                <w:lang w:val="hr-HR"/>
              </w:rPr>
              <w:t>000 kuna</w:t>
            </w:r>
          </w:p>
        </w:tc>
        <w:tc>
          <w:tcPr>
            <w:tcW w:w="1277" w:type="dxa"/>
            <w:tcBorders>
              <w:top w:val="nil"/>
              <w:left w:val="nil"/>
              <w:bottom w:val="nil"/>
              <w:right w:val="nil"/>
            </w:tcBorders>
            <w:shd w:val="clear" w:color="auto" w:fill="auto"/>
            <w:vAlign w:val="center"/>
          </w:tcPr>
          <w:p w14:paraId="04CE562D" w14:textId="77777777" w:rsidR="004E2F51" w:rsidRPr="00E35011" w:rsidRDefault="004E2F51" w:rsidP="00E032FC">
            <w:pPr>
              <w:jc w:val="right"/>
              <w:rPr>
                <w:rFonts w:ascii="Arial" w:eastAsia="Calibri" w:hAnsi="Arial" w:cs="Arial"/>
                <w:b/>
                <w:bCs/>
                <w:color w:val="000000" w:themeColor="text1"/>
                <w:sz w:val="20"/>
                <w:szCs w:val="20"/>
                <w:lang w:val="hr-HR"/>
              </w:rPr>
            </w:pPr>
            <w:r w:rsidRPr="00E35011">
              <w:rPr>
                <w:rFonts w:ascii="Arial" w:eastAsia="Calibri" w:hAnsi="Arial" w:cs="Arial"/>
                <w:b/>
                <w:bCs/>
                <w:color w:val="000000" w:themeColor="text1"/>
                <w:sz w:val="20"/>
                <w:szCs w:val="20"/>
                <w:lang w:val="hr-HR"/>
              </w:rPr>
              <w:t>000 kuna</w:t>
            </w:r>
          </w:p>
        </w:tc>
        <w:tc>
          <w:tcPr>
            <w:tcW w:w="1277" w:type="dxa"/>
            <w:tcBorders>
              <w:top w:val="nil"/>
              <w:left w:val="nil"/>
              <w:bottom w:val="nil"/>
              <w:right w:val="nil"/>
            </w:tcBorders>
            <w:shd w:val="clear" w:color="auto" w:fill="auto"/>
            <w:vAlign w:val="center"/>
            <w:hideMark/>
          </w:tcPr>
          <w:p w14:paraId="7ACCA2B5" w14:textId="77777777" w:rsidR="004E2F51" w:rsidRPr="00E35011" w:rsidRDefault="004E2F51" w:rsidP="00E032FC">
            <w:pPr>
              <w:jc w:val="right"/>
              <w:rPr>
                <w:rFonts w:ascii="Arial" w:eastAsia="Calibri" w:hAnsi="Arial" w:cs="Arial"/>
                <w:b/>
                <w:bCs/>
                <w:color w:val="000000" w:themeColor="text1"/>
                <w:sz w:val="20"/>
                <w:szCs w:val="20"/>
                <w:lang w:val="hr-HR"/>
              </w:rPr>
            </w:pPr>
            <w:r w:rsidRPr="00E35011">
              <w:rPr>
                <w:rFonts w:ascii="Arial" w:eastAsia="Calibri" w:hAnsi="Arial" w:cs="Arial"/>
                <w:b/>
                <w:bCs/>
                <w:color w:val="000000" w:themeColor="text1"/>
                <w:sz w:val="20"/>
                <w:szCs w:val="20"/>
                <w:lang w:val="hr-HR"/>
              </w:rPr>
              <w:t>000 kuna</w:t>
            </w:r>
          </w:p>
        </w:tc>
        <w:tc>
          <w:tcPr>
            <w:tcW w:w="1277" w:type="dxa"/>
            <w:tcBorders>
              <w:top w:val="nil"/>
              <w:left w:val="nil"/>
              <w:right w:val="nil"/>
            </w:tcBorders>
            <w:shd w:val="clear" w:color="auto" w:fill="auto"/>
            <w:vAlign w:val="center"/>
          </w:tcPr>
          <w:p w14:paraId="178AF9F6" w14:textId="77777777" w:rsidR="004E2F51" w:rsidRPr="00E35011" w:rsidRDefault="004E2F51" w:rsidP="00E032FC">
            <w:pPr>
              <w:jc w:val="right"/>
              <w:rPr>
                <w:rFonts w:ascii="Arial" w:eastAsia="Calibri" w:hAnsi="Arial" w:cs="Arial"/>
                <w:b/>
                <w:bCs/>
                <w:color w:val="000000" w:themeColor="text1"/>
                <w:sz w:val="20"/>
                <w:szCs w:val="20"/>
                <w:lang w:val="hr-HR"/>
              </w:rPr>
            </w:pPr>
            <w:r w:rsidRPr="00E35011">
              <w:rPr>
                <w:rFonts w:ascii="Arial" w:eastAsia="Calibri" w:hAnsi="Arial" w:cs="Arial"/>
                <w:b/>
                <w:bCs/>
                <w:color w:val="000000" w:themeColor="text1"/>
                <w:sz w:val="20"/>
                <w:szCs w:val="20"/>
                <w:lang w:val="hr-HR"/>
              </w:rPr>
              <w:t>000 kuna</w:t>
            </w:r>
          </w:p>
        </w:tc>
      </w:tr>
      <w:tr w:rsidR="004E2F51" w:rsidRPr="005A00FA" w14:paraId="5E10E987" w14:textId="77777777" w:rsidTr="00E032FC">
        <w:trPr>
          <w:trHeight w:val="392"/>
        </w:trPr>
        <w:tc>
          <w:tcPr>
            <w:tcW w:w="4403" w:type="dxa"/>
            <w:tcBorders>
              <w:top w:val="nil"/>
              <w:left w:val="nil"/>
              <w:right w:val="nil"/>
            </w:tcBorders>
            <w:shd w:val="clear" w:color="auto" w:fill="auto"/>
            <w:vAlign w:val="bottom"/>
          </w:tcPr>
          <w:p w14:paraId="334A8F1C" w14:textId="77777777" w:rsidR="004E2F51" w:rsidRPr="00E35011" w:rsidRDefault="004E2F51" w:rsidP="00E032FC">
            <w:pPr>
              <w:rPr>
                <w:rFonts w:ascii="Arial" w:eastAsia="Calibri" w:hAnsi="Arial" w:cs="Arial"/>
                <w:color w:val="000000" w:themeColor="text1"/>
                <w:sz w:val="20"/>
                <w:szCs w:val="20"/>
                <w:lang w:val="hr-HR"/>
              </w:rPr>
            </w:pPr>
            <w:r w:rsidRPr="00E35011">
              <w:rPr>
                <w:rFonts w:ascii="Arial" w:eastAsia="Calibri" w:hAnsi="Arial" w:cs="Arial"/>
                <w:color w:val="000000" w:themeColor="text1"/>
                <w:sz w:val="20"/>
                <w:szCs w:val="20"/>
                <w:lang w:val="hr-HR"/>
              </w:rPr>
              <w:t xml:space="preserve">Stanje 1. siječnja </w:t>
            </w:r>
          </w:p>
        </w:tc>
        <w:tc>
          <w:tcPr>
            <w:tcW w:w="1277" w:type="dxa"/>
            <w:tcBorders>
              <w:top w:val="nil"/>
              <w:left w:val="nil"/>
              <w:bottom w:val="nil"/>
              <w:right w:val="nil"/>
            </w:tcBorders>
            <w:shd w:val="clear" w:color="auto" w:fill="auto"/>
            <w:noWrap/>
            <w:vAlign w:val="bottom"/>
          </w:tcPr>
          <w:p w14:paraId="4E60EF47" w14:textId="77777777" w:rsidR="004E2F51" w:rsidRPr="00E35011" w:rsidRDefault="004E2F51" w:rsidP="00E032FC">
            <w:pPr>
              <w:jc w:val="right"/>
              <w:rPr>
                <w:rFonts w:ascii="Arial" w:eastAsia="Calibri" w:hAnsi="Arial" w:cs="Arial"/>
                <w:color w:val="000000" w:themeColor="text1"/>
                <w:sz w:val="20"/>
                <w:szCs w:val="20"/>
                <w:lang w:val="hr-HR"/>
              </w:rPr>
            </w:pPr>
            <w:r w:rsidRPr="00BB3E29">
              <w:rPr>
                <w:rFonts w:ascii="Arial" w:eastAsia="Calibri" w:hAnsi="Arial" w:cs="Arial"/>
                <w:color w:val="000000" w:themeColor="text1"/>
                <w:sz w:val="20"/>
                <w:szCs w:val="20"/>
                <w:lang w:val="hr-HR"/>
              </w:rPr>
              <w:t>129.587</w:t>
            </w:r>
          </w:p>
        </w:tc>
        <w:tc>
          <w:tcPr>
            <w:tcW w:w="1277" w:type="dxa"/>
            <w:tcBorders>
              <w:top w:val="nil"/>
              <w:left w:val="nil"/>
              <w:bottom w:val="nil"/>
              <w:right w:val="nil"/>
            </w:tcBorders>
            <w:shd w:val="clear" w:color="auto" w:fill="auto"/>
            <w:vAlign w:val="bottom"/>
          </w:tcPr>
          <w:p w14:paraId="77C842EB" w14:textId="77777777" w:rsidR="004E2F51" w:rsidRPr="00E35011" w:rsidRDefault="004E2F51" w:rsidP="00E032FC">
            <w:pPr>
              <w:jc w:val="right"/>
              <w:rPr>
                <w:rFonts w:ascii="Arial" w:eastAsia="Calibri" w:hAnsi="Arial" w:cs="Arial"/>
                <w:color w:val="000000" w:themeColor="text1"/>
                <w:sz w:val="20"/>
                <w:szCs w:val="20"/>
                <w:lang w:val="hr-HR"/>
              </w:rPr>
            </w:pPr>
            <w:r w:rsidRPr="00E35011">
              <w:rPr>
                <w:rFonts w:ascii="Arial" w:eastAsia="Calibri" w:hAnsi="Arial" w:cs="Arial"/>
                <w:color w:val="000000" w:themeColor="text1"/>
                <w:sz w:val="20"/>
                <w:szCs w:val="20"/>
                <w:lang w:val="hr-HR"/>
              </w:rPr>
              <w:t>45.556</w:t>
            </w:r>
          </w:p>
        </w:tc>
        <w:tc>
          <w:tcPr>
            <w:tcW w:w="1277" w:type="dxa"/>
            <w:tcBorders>
              <w:top w:val="nil"/>
              <w:left w:val="nil"/>
              <w:bottom w:val="nil"/>
              <w:right w:val="nil"/>
            </w:tcBorders>
            <w:shd w:val="clear" w:color="auto" w:fill="auto"/>
            <w:vAlign w:val="bottom"/>
          </w:tcPr>
          <w:p w14:paraId="58BC2030" w14:textId="77777777" w:rsidR="004E2F51" w:rsidRPr="00E35011" w:rsidRDefault="004E2F51" w:rsidP="00E032FC">
            <w:pPr>
              <w:jc w:val="right"/>
              <w:rPr>
                <w:rFonts w:ascii="Arial" w:eastAsia="Calibri" w:hAnsi="Arial" w:cs="Arial"/>
                <w:color w:val="000000" w:themeColor="text1"/>
                <w:sz w:val="20"/>
                <w:szCs w:val="20"/>
                <w:lang w:val="hr-HR"/>
              </w:rPr>
            </w:pPr>
            <w:r w:rsidRPr="00BB3E29">
              <w:rPr>
                <w:rFonts w:ascii="Arial" w:eastAsia="Calibri" w:hAnsi="Arial" w:cs="Arial"/>
                <w:color w:val="000000" w:themeColor="text1"/>
                <w:sz w:val="20"/>
                <w:szCs w:val="20"/>
                <w:lang w:val="hr-HR"/>
              </w:rPr>
              <w:t>129.587</w:t>
            </w:r>
          </w:p>
        </w:tc>
        <w:tc>
          <w:tcPr>
            <w:tcW w:w="1277" w:type="dxa"/>
            <w:tcBorders>
              <w:top w:val="nil"/>
              <w:left w:val="nil"/>
              <w:bottom w:val="nil"/>
              <w:right w:val="nil"/>
            </w:tcBorders>
            <w:shd w:val="clear" w:color="auto" w:fill="auto"/>
            <w:vAlign w:val="bottom"/>
          </w:tcPr>
          <w:p w14:paraId="442BC427" w14:textId="77777777" w:rsidR="004E2F51" w:rsidRPr="00E35011" w:rsidRDefault="004E2F51" w:rsidP="00E032FC">
            <w:pPr>
              <w:jc w:val="right"/>
              <w:rPr>
                <w:rFonts w:ascii="Arial" w:eastAsia="Calibri" w:hAnsi="Arial" w:cs="Arial"/>
                <w:color w:val="000000" w:themeColor="text1"/>
                <w:sz w:val="20"/>
                <w:szCs w:val="20"/>
                <w:lang w:val="hr-HR"/>
              </w:rPr>
            </w:pPr>
            <w:r w:rsidRPr="00E35011">
              <w:rPr>
                <w:rFonts w:ascii="Arial" w:eastAsia="Calibri" w:hAnsi="Arial" w:cs="Arial"/>
                <w:color w:val="000000" w:themeColor="text1"/>
                <w:sz w:val="20"/>
                <w:szCs w:val="20"/>
                <w:lang w:val="hr-HR"/>
              </w:rPr>
              <w:t>45.556</w:t>
            </w:r>
          </w:p>
        </w:tc>
      </w:tr>
      <w:tr w:rsidR="004E2F51" w:rsidRPr="005A00FA" w14:paraId="463465B3" w14:textId="77777777" w:rsidTr="00E032FC">
        <w:trPr>
          <w:trHeight w:val="392"/>
        </w:trPr>
        <w:tc>
          <w:tcPr>
            <w:tcW w:w="4403" w:type="dxa"/>
            <w:tcBorders>
              <w:top w:val="nil"/>
              <w:left w:val="nil"/>
              <w:bottom w:val="nil"/>
              <w:right w:val="nil"/>
            </w:tcBorders>
            <w:shd w:val="clear" w:color="auto" w:fill="auto"/>
            <w:vAlign w:val="center"/>
          </w:tcPr>
          <w:p w14:paraId="49DBC652" w14:textId="77777777" w:rsidR="004E2F51" w:rsidRPr="00E35011" w:rsidRDefault="004E2F51" w:rsidP="00E032FC">
            <w:pPr>
              <w:rPr>
                <w:rFonts w:ascii="Arial" w:eastAsia="Calibri" w:hAnsi="Arial" w:cs="Arial"/>
                <w:color w:val="000000" w:themeColor="text1"/>
                <w:sz w:val="20"/>
                <w:szCs w:val="20"/>
                <w:lang w:val="hr-HR"/>
              </w:rPr>
            </w:pPr>
            <w:r w:rsidRPr="00E35011">
              <w:rPr>
                <w:rFonts w:ascii="Arial" w:eastAsia="Calibri" w:hAnsi="Arial" w:cs="Arial"/>
                <w:color w:val="000000" w:themeColor="text1"/>
                <w:sz w:val="20"/>
                <w:szCs w:val="20"/>
                <w:lang w:val="hr-HR"/>
              </w:rPr>
              <w:t xml:space="preserve">Neto </w:t>
            </w:r>
            <w:r>
              <w:rPr>
                <w:rFonts w:ascii="Arial" w:eastAsia="Calibri" w:hAnsi="Arial" w:cs="Arial"/>
                <w:color w:val="000000" w:themeColor="text1"/>
                <w:sz w:val="20"/>
                <w:szCs w:val="20"/>
                <w:lang w:val="hr-HR"/>
              </w:rPr>
              <w:t>(smanjenje)/</w:t>
            </w:r>
            <w:r w:rsidRPr="00BB3E29">
              <w:rPr>
                <w:rFonts w:ascii="Arial" w:eastAsia="Calibri" w:hAnsi="Arial" w:cs="Arial"/>
                <w:color w:val="000000" w:themeColor="text1"/>
                <w:sz w:val="20"/>
                <w:szCs w:val="20"/>
                <w:lang w:val="hr-HR"/>
              </w:rPr>
              <w:t>povećanje</w:t>
            </w:r>
            <w:r w:rsidRPr="00E35011">
              <w:rPr>
                <w:rFonts w:ascii="Arial" w:eastAsia="Calibri" w:hAnsi="Arial" w:cs="Arial"/>
                <w:color w:val="000000" w:themeColor="text1"/>
                <w:sz w:val="20"/>
                <w:szCs w:val="20"/>
                <w:lang w:val="hr-HR"/>
              </w:rPr>
              <w:t xml:space="preserve"> rezerviranja za očekivane gubitke po garancijama </w:t>
            </w:r>
          </w:p>
        </w:tc>
        <w:tc>
          <w:tcPr>
            <w:tcW w:w="1277" w:type="dxa"/>
            <w:tcBorders>
              <w:left w:val="nil"/>
              <w:bottom w:val="single" w:sz="4" w:space="0" w:color="auto"/>
              <w:right w:val="nil"/>
            </w:tcBorders>
            <w:shd w:val="clear" w:color="auto" w:fill="auto"/>
            <w:vAlign w:val="bottom"/>
          </w:tcPr>
          <w:p w14:paraId="0F540F4F" w14:textId="77777777" w:rsidR="004E2F51" w:rsidRPr="00E35011" w:rsidRDefault="004E2F51" w:rsidP="00E032FC">
            <w:pPr>
              <w:jc w:val="right"/>
              <w:rPr>
                <w:rFonts w:ascii="Arial" w:eastAsia="Calibri" w:hAnsi="Arial" w:cs="Arial"/>
                <w:color w:val="000000" w:themeColor="text1"/>
                <w:sz w:val="20"/>
                <w:szCs w:val="20"/>
                <w:lang w:val="hr-HR"/>
              </w:rPr>
            </w:pPr>
            <w:r w:rsidRPr="00BB3E29">
              <w:rPr>
                <w:rFonts w:ascii="Arial" w:eastAsia="Calibri" w:hAnsi="Arial" w:cs="Arial"/>
                <w:color w:val="000000" w:themeColor="text1"/>
                <w:sz w:val="20"/>
                <w:szCs w:val="20"/>
                <w:lang w:val="hr-HR"/>
              </w:rPr>
              <w:t>(33.742)</w:t>
            </w:r>
          </w:p>
        </w:tc>
        <w:tc>
          <w:tcPr>
            <w:tcW w:w="1277" w:type="dxa"/>
            <w:tcBorders>
              <w:left w:val="nil"/>
              <w:bottom w:val="single" w:sz="4" w:space="0" w:color="auto"/>
              <w:right w:val="nil"/>
            </w:tcBorders>
            <w:shd w:val="clear" w:color="auto" w:fill="auto"/>
            <w:vAlign w:val="bottom"/>
          </w:tcPr>
          <w:p w14:paraId="26DC032C" w14:textId="77777777" w:rsidR="004E2F51" w:rsidRPr="00E35011" w:rsidRDefault="004E2F51" w:rsidP="00E032FC">
            <w:pPr>
              <w:jc w:val="right"/>
              <w:rPr>
                <w:rFonts w:ascii="Arial" w:eastAsia="Calibri" w:hAnsi="Arial" w:cs="Arial"/>
                <w:color w:val="000000" w:themeColor="text1"/>
                <w:sz w:val="20"/>
                <w:szCs w:val="20"/>
                <w:lang w:val="hr-HR"/>
              </w:rPr>
            </w:pPr>
            <w:r w:rsidRPr="00E35011">
              <w:rPr>
                <w:rFonts w:ascii="Arial" w:eastAsia="Calibri" w:hAnsi="Arial" w:cs="Arial"/>
                <w:color w:val="000000" w:themeColor="text1"/>
                <w:sz w:val="20"/>
                <w:szCs w:val="20"/>
                <w:lang w:val="hr-HR"/>
              </w:rPr>
              <w:t>74.799</w:t>
            </w:r>
          </w:p>
        </w:tc>
        <w:tc>
          <w:tcPr>
            <w:tcW w:w="1277" w:type="dxa"/>
            <w:tcBorders>
              <w:left w:val="nil"/>
              <w:bottom w:val="single" w:sz="4" w:space="0" w:color="auto"/>
              <w:right w:val="nil"/>
            </w:tcBorders>
            <w:shd w:val="clear" w:color="auto" w:fill="auto"/>
            <w:vAlign w:val="bottom"/>
          </w:tcPr>
          <w:p w14:paraId="61726EAC" w14:textId="77777777" w:rsidR="004E2F51" w:rsidRPr="00E35011" w:rsidRDefault="004E2F51" w:rsidP="00E032FC">
            <w:pPr>
              <w:jc w:val="right"/>
              <w:rPr>
                <w:rFonts w:ascii="Arial" w:eastAsia="Calibri" w:hAnsi="Arial" w:cs="Arial"/>
                <w:color w:val="000000" w:themeColor="text1"/>
                <w:sz w:val="20"/>
                <w:szCs w:val="20"/>
                <w:lang w:val="hr-HR"/>
              </w:rPr>
            </w:pPr>
            <w:r w:rsidRPr="00BB3E29">
              <w:rPr>
                <w:rFonts w:ascii="Arial" w:eastAsia="Calibri" w:hAnsi="Arial" w:cs="Arial"/>
                <w:color w:val="000000" w:themeColor="text1"/>
                <w:sz w:val="20"/>
                <w:szCs w:val="20"/>
                <w:lang w:val="hr-HR"/>
              </w:rPr>
              <w:t>(33.742)</w:t>
            </w:r>
          </w:p>
        </w:tc>
        <w:tc>
          <w:tcPr>
            <w:tcW w:w="1277" w:type="dxa"/>
            <w:tcBorders>
              <w:top w:val="nil"/>
              <w:left w:val="nil"/>
              <w:bottom w:val="single" w:sz="4" w:space="0" w:color="auto"/>
              <w:right w:val="nil"/>
            </w:tcBorders>
            <w:shd w:val="clear" w:color="auto" w:fill="auto"/>
            <w:vAlign w:val="bottom"/>
          </w:tcPr>
          <w:p w14:paraId="7E0CA575" w14:textId="77777777" w:rsidR="004E2F51" w:rsidRPr="00E35011" w:rsidRDefault="004E2F51" w:rsidP="00E032FC">
            <w:pPr>
              <w:jc w:val="right"/>
              <w:rPr>
                <w:rFonts w:ascii="Arial" w:eastAsia="Calibri" w:hAnsi="Arial" w:cs="Arial"/>
                <w:color w:val="000000" w:themeColor="text1"/>
                <w:sz w:val="20"/>
                <w:szCs w:val="20"/>
                <w:lang w:val="hr-HR"/>
              </w:rPr>
            </w:pPr>
            <w:r w:rsidRPr="00E35011">
              <w:rPr>
                <w:rFonts w:ascii="Arial" w:eastAsia="Calibri" w:hAnsi="Arial" w:cs="Arial"/>
                <w:color w:val="000000" w:themeColor="text1"/>
                <w:sz w:val="20"/>
                <w:szCs w:val="20"/>
                <w:lang w:val="hr-HR"/>
              </w:rPr>
              <w:t>74.799</w:t>
            </w:r>
          </w:p>
        </w:tc>
      </w:tr>
      <w:tr w:rsidR="004E2F51" w:rsidRPr="005A00FA" w14:paraId="423A91AE" w14:textId="77777777" w:rsidTr="00E032FC">
        <w:trPr>
          <w:trHeight w:val="392"/>
        </w:trPr>
        <w:tc>
          <w:tcPr>
            <w:tcW w:w="4403" w:type="dxa"/>
            <w:tcBorders>
              <w:top w:val="nil"/>
              <w:left w:val="nil"/>
              <w:bottom w:val="nil"/>
              <w:right w:val="nil"/>
            </w:tcBorders>
            <w:shd w:val="clear" w:color="auto" w:fill="auto"/>
            <w:vAlign w:val="bottom"/>
          </w:tcPr>
          <w:p w14:paraId="632E68F4" w14:textId="77777777" w:rsidR="004E2F51" w:rsidRPr="00A873BB" w:rsidRDefault="004E2F51" w:rsidP="00E032FC">
            <w:pPr>
              <w:rPr>
                <w:rFonts w:ascii="Arial" w:eastAsia="Calibri" w:hAnsi="Arial" w:cs="Arial"/>
                <w:i/>
                <w:iCs/>
                <w:color w:val="000000" w:themeColor="text1"/>
                <w:sz w:val="20"/>
                <w:szCs w:val="20"/>
                <w:lang w:val="hr-HR"/>
              </w:rPr>
            </w:pPr>
            <w:r w:rsidRPr="00A873BB">
              <w:rPr>
                <w:rFonts w:ascii="Arial" w:eastAsia="Calibri" w:hAnsi="Arial" w:cs="Arial"/>
                <w:i/>
                <w:iCs/>
                <w:color w:val="000000" w:themeColor="text1"/>
                <w:sz w:val="20"/>
                <w:szCs w:val="20"/>
                <w:lang w:val="hr-HR"/>
              </w:rPr>
              <w:t>Ukupno kroz dobit ili gubitak (bilješka 10)</w:t>
            </w:r>
          </w:p>
        </w:tc>
        <w:tc>
          <w:tcPr>
            <w:tcW w:w="1277" w:type="dxa"/>
            <w:tcBorders>
              <w:top w:val="single" w:sz="4" w:space="0" w:color="auto"/>
              <w:left w:val="nil"/>
              <w:bottom w:val="single" w:sz="4" w:space="0" w:color="auto"/>
              <w:right w:val="nil"/>
            </w:tcBorders>
            <w:shd w:val="clear" w:color="auto" w:fill="auto"/>
            <w:vAlign w:val="bottom"/>
          </w:tcPr>
          <w:p w14:paraId="067D4C2F" w14:textId="77777777" w:rsidR="004E2F51" w:rsidRPr="00E35011" w:rsidRDefault="004E2F51" w:rsidP="00E032FC">
            <w:pPr>
              <w:jc w:val="right"/>
              <w:rPr>
                <w:rFonts w:ascii="Arial" w:eastAsia="Calibri" w:hAnsi="Arial" w:cs="Arial"/>
                <w:bCs/>
                <w:i/>
                <w:color w:val="000000" w:themeColor="text1"/>
                <w:sz w:val="20"/>
                <w:szCs w:val="20"/>
                <w:lang w:val="hr-HR"/>
              </w:rPr>
            </w:pPr>
            <w:r w:rsidRPr="00BB3E29">
              <w:rPr>
                <w:rFonts w:ascii="Arial" w:eastAsia="Calibri" w:hAnsi="Arial" w:cs="Arial"/>
                <w:bCs/>
                <w:i/>
                <w:color w:val="000000" w:themeColor="text1"/>
                <w:sz w:val="20"/>
                <w:szCs w:val="20"/>
                <w:lang w:val="hr-HR"/>
              </w:rPr>
              <w:t>(33.742)</w:t>
            </w:r>
          </w:p>
        </w:tc>
        <w:tc>
          <w:tcPr>
            <w:tcW w:w="1277" w:type="dxa"/>
            <w:tcBorders>
              <w:top w:val="single" w:sz="4" w:space="0" w:color="auto"/>
              <w:left w:val="nil"/>
              <w:bottom w:val="single" w:sz="4" w:space="0" w:color="auto"/>
              <w:right w:val="nil"/>
            </w:tcBorders>
            <w:shd w:val="clear" w:color="auto" w:fill="auto"/>
            <w:vAlign w:val="bottom"/>
          </w:tcPr>
          <w:p w14:paraId="0FE05E00" w14:textId="77777777" w:rsidR="004E2F51" w:rsidRPr="00E35011" w:rsidRDefault="004E2F51" w:rsidP="00E032FC">
            <w:pPr>
              <w:jc w:val="right"/>
              <w:rPr>
                <w:rFonts w:ascii="Arial" w:eastAsia="Calibri" w:hAnsi="Arial" w:cs="Arial"/>
                <w:i/>
                <w:color w:val="000000" w:themeColor="text1"/>
                <w:sz w:val="20"/>
                <w:szCs w:val="20"/>
                <w:lang w:val="hr-HR"/>
              </w:rPr>
            </w:pPr>
            <w:r w:rsidRPr="00E35011">
              <w:rPr>
                <w:rFonts w:ascii="Arial" w:eastAsia="Calibri" w:hAnsi="Arial" w:cs="Arial"/>
                <w:bCs/>
                <w:i/>
                <w:color w:val="000000" w:themeColor="text1"/>
                <w:sz w:val="20"/>
                <w:szCs w:val="20"/>
                <w:lang w:val="hr-HR"/>
              </w:rPr>
              <w:t>74.799</w:t>
            </w:r>
          </w:p>
        </w:tc>
        <w:tc>
          <w:tcPr>
            <w:tcW w:w="1277" w:type="dxa"/>
            <w:tcBorders>
              <w:top w:val="single" w:sz="4" w:space="0" w:color="auto"/>
              <w:left w:val="nil"/>
              <w:bottom w:val="single" w:sz="4" w:space="0" w:color="auto"/>
              <w:right w:val="nil"/>
            </w:tcBorders>
            <w:shd w:val="clear" w:color="auto" w:fill="auto"/>
            <w:vAlign w:val="bottom"/>
          </w:tcPr>
          <w:p w14:paraId="2D82DEF2" w14:textId="77777777" w:rsidR="004E2F51" w:rsidRPr="00E35011" w:rsidRDefault="004E2F51" w:rsidP="00E032FC">
            <w:pPr>
              <w:jc w:val="right"/>
              <w:rPr>
                <w:rFonts w:ascii="Arial" w:eastAsia="Calibri" w:hAnsi="Arial" w:cs="Arial"/>
                <w:bCs/>
                <w:i/>
                <w:color w:val="000000" w:themeColor="text1"/>
                <w:sz w:val="20"/>
                <w:szCs w:val="20"/>
                <w:lang w:val="hr-HR"/>
              </w:rPr>
            </w:pPr>
            <w:r w:rsidRPr="00BB3E29">
              <w:rPr>
                <w:rFonts w:ascii="Arial" w:eastAsia="Calibri" w:hAnsi="Arial" w:cs="Arial"/>
                <w:bCs/>
                <w:i/>
                <w:color w:val="000000" w:themeColor="text1"/>
                <w:sz w:val="20"/>
                <w:szCs w:val="20"/>
                <w:lang w:val="hr-HR"/>
              </w:rPr>
              <w:t>(33.742)</w:t>
            </w:r>
          </w:p>
        </w:tc>
        <w:tc>
          <w:tcPr>
            <w:tcW w:w="1277" w:type="dxa"/>
            <w:tcBorders>
              <w:top w:val="single" w:sz="4" w:space="0" w:color="auto"/>
              <w:left w:val="nil"/>
              <w:bottom w:val="single" w:sz="4" w:space="0" w:color="auto"/>
              <w:right w:val="nil"/>
            </w:tcBorders>
            <w:shd w:val="clear" w:color="auto" w:fill="auto"/>
            <w:vAlign w:val="bottom"/>
          </w:tcPr>
          <w:p w14:paraId="10AFC58E" w14:textId="77777777" w:rsidR="004E2F51" w:rsidRPr="00E35011" w:rsidRDefault="004E2F51" w:rsidP="00E032FC">
            <w:pPr>
              <w:jc w:val="right"/>
              <w:rPr>
                <w:rFonts w:ascii="Arial" w:eastAsia="Calibri" w:hAnsi="Arial" w:cs="Arial"/>
                <w:i/>
                <w:color w:val="000000" w:themeColor="text1"/>
                <w:sz w:val="20"/>
                <w:szCs w:val="20"/>
                <w:lang w:val="hr-HR"/>
              </w:rPr>
            </w:pPr>
            <w:r w:rsidRPr="00E35011">
              <w:rPr>
                <w:rFonts w:ascii="Arial" w:eastAsia="Calibri" w:hAnsi="Arial" w:cs="Arial"/>
                <w:bCs/>
                <w:i/>
                <w:color w:val="000000" w:themeColor="text1"/>
                <w:sz w:val="20"/>
                <w:szCs w:val="20"/>
                <w:lang w:val="hr-HR"/>
              </w:rPr>
              <w:t>74.799</w:t>
            </w:r>
          </w:p>
        </w:tc>
      </w:tr>
      <w:tr w:rsidR="004E2F51" w:rsidRPr="005A00FA" w14:paraId="48BC0164" w14:textId="77777777" w:rsidTr="00E032FC">
        <w:trPr>
          <w:trHeight w:val="392"/>
        </w:trPr>
        <w:tc>
          <w:tcPr>
            <w:tcW w:w="4403" w:type="dxa"/>
            <w:tcBorders>
              <w:top w:val="nil"/>
              <w:left w:val="nil"/>
              <w:bottom w:val="nil"/>
              <w:right w:val="nil"/>
            </w:tcBorders>
            <w:shd w:val="clear" w:color="auto" w:fill="auto"/>
            <w:vAlign w:val="bottom"/>
          </w:tcPr>
          <w:p w14:paraId="5BF3A9C9" w14:textId="77777777" w:rsidR="004E2F51" w:rsidRPr="00A873BB" w:rsidRDefault="004E2F51" w:rsidP="00E032FC">
            <w:pPr>
              <w:rPr>
                <w:rFonts w:ascii="Arial" w:eastAsia="Calibri" w:hAnsi="Arial" w:cs="Arial"/>
                <w:iCs/>
                <w:color w:val="000000" w:themeColor="text1"/>
                <w:sz w:val="20"/>
                <w:szCs w:val="20"/>
                <w:lang w:val="hr-HR"/>
              </w:rPr>
            </w:pPr>
            <w:r w:rsidRPr="00A873BB">
              <w:rPr>
                <w:rFonts w:ascii="Arial" w:eastAsia="Calibri" w:hAnsi="Arial" w:cs="Arial"/>
                <w:iCs/>
                <w:color w:val="000000" w:themeColor="text1"/>
                <w:sz w:val="20"/>
                <w:szCs w:val="20"/>
                <w:lang w:val="hr-HR"/>
              </w:rPr>
              <w:t>Neto (</w:t>
            </w:r>
            <w:r w:rsidRPr="00A873BB">
              <w:rPr>
                <w:rFonts w:ascii="Arial" w:eastAsia="Calibri" w:hAnsi="Arial" w:cs="Arial"/>
                <w:color w:val="000000" w:themeColor="text1"/>
                <w:sz w:val="20"/>
                <w:szCs w:val="20"/>
                <w:lang w:val="hr-HR"/>
              </w:rPr>
              <w:t xml:space="preserve">smanjenje)/povećanje </w:t>
            </w:r>
            <w:r w:rsidRPr="00A873BB">
              <w:rPr>
                <w:rFonts w:ascii="Arial" w:eastAsia="Calibri" w:hAnsi="Arial" w:cs="Arial"/>
                <w:iCs/>
                <w:color w:val="000000" w:themeColor="text1"/>
                <w:sz w:val="20"/>
                <w:szCs w:val="20"/>
                <w:lang w:val="hr-HR"/>
              </w:rPr>
              <w:t>rezerviranja za očekivane gubitke po preuzetim obvezama</w:t>
            </w:r>
          </w:p>
        </w:tc>
        <w:tc>
          <w:tcPr>
            <w:tcW w:w="1277" w:type="dxa"/>
            <w:tcBorders>
              <w:top w:val="single" w:sz="4" w:space="0" w:color="auto"/>
              <w:left w:val="nil"/>
              <w:bottom w:val="single" w:sz="4" w:space="0" w:color="auto"/>
              <w:right w:val="nil"/>
            </w:tcBorders>
            <w:shd w:val="clear" w:color="auto" w:fill="auto"/>
            <w:vAlign w:val="bottom"/>
          </w:tcPr>
          <w:p w14:paraId="2DC55B3D" w14:textId="77777777" w:rsidR="004E2F51" w:rsidRPr="00BB3E29" w:rsidRDefault="004E2F51" w:rsidP="00E032FC">
            <w:pPr>
              <w:jc w:val="right"/>
              <w:rPr>
                <w:rFonts w:ascii="Arial" w:eastAsia="Calibri" w:hAnsi="Arial" w:cs="Arial"/>
                <w:bCs/>
                <w:color w:val="000000" w:themeColor="text1"/>
                <w:sz w:val="20"/>
                <w:szCs w:val="20"/>
                <w:lang w:val="hr-HR"/>
              </w:rPr>
            </w:pPr>
            <w:r w:rsidRPr="00BB3E29">
              <w:rPr>
                <w:rFonts w:ascii="Arial" w:eastAsia="Calibri" w:hAnsi="Arial" w:cs="Arial"/>
                <w:bCs/>
                <w:color w:val="000000" w:themeColor="text1"/>
                <w:sz w:val="20"/>
                <w:szCs w:val="20"/>
                <w:lang w:val="hr-HR"/>
              </w:rPr>
              <w:t>(14.440)</w:t>
            </w:r>
          </w:p>
        </w:tc>
        <w:tc>
          <w:tcPr>
            <w:tcW w:w="1277" w:type="dxa"/>
            <w:tcBorders>
              <w:top w:val="single" w:sz="4" w:space="0" w:color="auto"/>
              <w:left w:val="nil"/>
              <w:bottom w:val="single" w:sz="4" w:space="0" w:color="auto"/>
              <w:right w:val="nil"/>
            </w:tcBorders>
            <w:shd w:val="clear" w:color="auto" w:fill="auto"/>
            <w:vAlign w:val="bottom"/>
          </w:tcPr>
          <w:p w14:paraId="0749F720" w14:textId="77777777" w:rsidR="004E2F51" w:rsidRPr="00E35011" w:rsidRDefault="004E2F51" w:rsidP="00E032FC">
            <w:pPr>
              <w:jc w:val="right"/>
              <w:rPr>
                <w:rFonts w:ascii="Arial" w:eastAsia="Calibri" w:hAnsi="Arial" w:cs="Arial"/>
                <w:color w:val="000000" w:themeColor="text1"/>
                <w:sz w:val="20"/>
                <w:szCs w:val="20"/>
                <w:lang w:val="hr-HR"/>
              </w:rPr>
            </w:pPr>
            <w:r w:rsidRPr="00E35011">
              <w:rPr>
                <w:rFonts w:ascii="Arial" w:eastAsia="Calibri" w:hAnsi="Arial" w:cs="Arial"/>
                <w:bCs/>
                <w:color w:val="000000" w:themeColor="text1"/>
                <w:sz w:val="20"/>
                <w:szCs w:val="20"/>
                <w:lang w:val="hr-HR"/>
              </w:rPr>
              <w:t>7.503</w:t>
            </w:r>
          </w:p>
        </w:tc>
        <w:tc>
          <w:tcPr>
            <w:tcW w:w="1277" w:type="dxa"/>
            <w:tcBorders>
              <w:top w:val="single" w:sz="4" w:space="0" w:color="auto"/>
              <w:left w:val="nil"/>
              <w:bottom w:val="single" w:sz="4" w:space="0" w:color="auto"/>
              <w:right w:val="nil"/>
            </w:tcBorders>
            <w:shd w:val="clear" w:color="auto" w:fill="auto"/>
            <w:vAlign w:val="bottom"/>
          </w:tcPr>
          <w:p w14:paraId="3B9A3070" w14:textId="77777777" w:rsidR="004E2F51" w:rsidRPr="00E35011" w:rsidRDefault="004E2F51" w:rsidP="00E032FC">
            <w:pPr>
              <w:jc w:val="right"/>
              <w:rPr>
                <w:rFonts w:ascii="Arial" w:eastAsia="Calibri" w:hAnsi="Arial" w:cs="Arial"/>
                <w:bCs/>
                <w:color w:val="000000" w:themeColor="text1"/>
                <w:sz w:val="20"/>
                <w:szCs w:val="20"/>
                <w:lang w:val="hr-HR"/>
              </w:rPr>
            </w:pPr>
            <w:r w:rsidRPr="00BB3E29">
              <w:rPr>
                <w:rFonts w:ascii="Arial" w:eastAsia="Calibri" w:hAnsi="Arial" w:cs="Arial"/>
                <w:bCs/>
                <w:color w:val="000000" w:themeColor="text1"/>
                <w:sz w:val="20"/>
                <w:szCs w:val="20"/>
                <w:lang w:val="hr-HR"/>
              </w:rPr>
              <w:t>(14.440)</w:t>
            </w:r>
          </w:p>
        </w:tc>
        <w:tc>
          <w:tcPr>
            <w:tcW w:w="1277" w:type="dxa"/>
            <w:tcBorders>
              <w:top w:val="single" w:sz="4" w:space="0" w:color="auto"/>
              <w:left w:val="nil"/>
              <w:bottom w:val="single" w:sz="4" w:space="0" w:color="auto"/>
              <w:right w:val="nil"/>
            </w:tcBorders>
            <w:shd w:val="clear" w:color="auto" w:fill="auto"/>
            <w:vAlign w:val="bottom"/>
          </w:tcPr>
          <w:p w14:paraId="2540F9CD" w14:textId="77777777" w:rsidR="004E2F51" w:rsidRPr="00E35011" w:rsidRDefault="004E2F51" w:rsidP="00E032FC">
            <w:pPr>
              <w:jc w:val="right"/>
              <w:rPr>
                <w:rFonts w:ascii="Arial" w:eastAsia="Calibri" w:hAnsi="Arial" w:cs="Arial"/>
                <w:color w:val="000000" w:themeColor="text1"/>
                <w:sz w:val="20"/>
                <w:szCs w:val="20"/>
                <w:lang w:val="hr-HR"/>
              </w:rPr>
            </w:pPr>
            <w:r w:rsidRPr="00E35011">
              <w:rPr>
                <w:rFonts w:ascii="Arial" w:eastAsia="Calibri" w:hAnsi="Arial" w:cs="Arial"/>
                <w:bCs/>
                <w:color w:val="000000" w:themeColor="text1"/>
                <w:sz w:val="20"/>
                <w:szCs w:val="20"/>
                <w:lang w:val="hr-HR"/>
              </w:rPr>
              <w:t>7.503</w:t>
            </w:r>
          </w:p>
        </w:tc>
      </w:tr>
      <w:tr w:rsidR="004E2F51" w:rsidRPr="005A00FA" w14:paraId="23E21343" w14:textId="77777777" w:rsidTr="00E032FC">
        <w:trPr>
          <w:trHeight w:val="392"/>
        </w:trPr>
        <w:tc>
          <w:tcPr>
            <w:tcW w:w="4403" w:type="dxa"/>
            <w:tcBorders>
              <w:top w:val="nil"/>
              <w:left w:val="nil"/>
              <w:bottom w:val="nil"/>
              <w:right w:val="nil"/>
            </w:tcBorders>
            <w:shd w:val="clear" w:color="auto" w:fill="auto"/>
            <w:vAlign w:val="bottom"/>
          </w:tcPr>
          <w:p w14:paraId="6F8E43F3" w14:textId="77777777" w:rsidR="004E2F51" w:rsidRPr="00A873BB" w:rsidRDefault="004E2F51" w:rsidP="00E032FC">
            <w:pPr>
              <w:rPr>
                <w:rFonts w:ascii="Arial" w:eastAsia="Calibri" w:hAnsi="Arial" w:cs="Arial"/>
                <w:iCs/>
                <w:color w:val="000000" w:themeColor="text1"/>
                <w:sz w:val="20"/>
                <w:szCs w:val="20"/>
                <w:lang w:val="hr-HR"/>
              </w:rPr>
            </w:pPr>
            <w:r w:rsidRPr="00A873BB">
              <w:rPr>
                <w:rFonts w:ascii="Arial" w:eastAsia="Calibri" w:hAnsi="Arial" w:cs="Arial"/>
                <w:i/>
                <w:iCs/>
                <w:color w:val="000000" w:themeColor="text1"/>
                <w:sz w:val="20"/>
                <w:szCs w:val="20"/>
                <w:lang w:val="hr-HR"/>
              </w:rPr>
              <w:t>Ukupno kroz dobit ili gubitak (bilješka 10)</w:t>
            </w:r>
          </w:p>
        </w:tc>
        <w:tc>
          <w:tcPr>
            <w:tcW w:w="1277" w:type="dxa"/>
            <w:tcBorders>
              <w:top w:val="single" w:sz="4" w:space="0" w:color="auto"/>
              <w:left w:val="nil"/>
              <w:bottom w:val="single" w:sz="4" w:space="0" w:color="auto"/>
              <w:right w:val="nil"/>
            </w:tcBorders>
            <w:shd w:val="clear" w:color="auto" w:fill="auto"/>
            <w:vAlign w:val="bottom"/>
          </w:tcPr>
          <w:p w14:paraId="3FD1AD53" w14:textId="77777777" w:rsidR="004E2F51" w:rsidRPr="00E35011" w:rsidRDefault="004E2F51" w:rsidP="00E032FC">
            <w:pPr>
              <w:jc w:val="right"/>
              <w:rPr>
                <w:rFonts w:ascii="Arial" w:eastAsia="Calibri" w:hAnsi="Arial" w:cs="Arial"/>
                <w:bCs/>
                <w:i/>
                <w:color w:val="000000" w:themeColor="text1"/>
                <w:sz w:val="20"/>
                <w:szCs w:val="20"/>
                <w:lang w:val="hr-HR"/>
              </w:rPr>
            </w:pPr>
            <w:r w:rsidRPr="00BB3E29">
              <w:rPr>
                <w:rFonts w:ascii="Arial" w:eastAsia="Calibri" w:hAnsi="Arial" w:cs="Arial"/>
                <w:bCs/>
                <w:i/>
                <w:color w:val="000000" w:themeColor="text1"/>
                <w:sz w:val="20"/>
                <w:szCs w:val="20"/>
                <w:lang w:val="hr-HR"/>
              </w:rPr>
              <w:t>(14.440)</w:t>
            </w:r>
          </w:p>
        </w:tc>
        <w:tc>
          <w:tcPr>
            <w:tcW w:w="1277" w:type="dxa"/>
            <w:tcBorders>
              <w:top w:val="single" w:sz="4" w:space="0" w:color="auto"/>
              <w:left w:val="nil"/>
              <w:bottom w:val="single" w:sz="4" w:space="0" w:color="auto"/>
              <w:right w:val="nil"/>
            </w:tcBorders>
            <w:shd w:val="clear" w:color="auto" w:fill="auto"/>
            <w:vAlign w:val="bottom"/>
          </w:tcPr>
          <w:p w14:paraId="69F3204B" w14:textId="77777777" w:rsidR="004E2F51" w:rsidRPr="00E35011" w:rsidRDefault="004E2F51" w:rsidP="00E032FC">
            <w:pPr>
              <w:jc w:val="right"/>
              <w:rPr>
                <w:rFonts w:ascii="Arial" w:eastAsia="Calibri" w:hAnsi="Arial" w:cs="Arial"/>
                <w:i/>
                <w:color w:val="000000" w:themeColor="text1"/>
                <w:sz w:val="20"/>
                <w:szCs w:val="20"/>
                <w:lang w:val="hr-HR"/>
              </w:rPr>
            </w:pPr>
            <w:r w:rsidRPr="00E35011">
              <w:rPr>
                <w:rFonts w:ascii="Arial" w:eastAsia="Calibri" w:hAnsi="Arial" w:cs="Arial"/>
                <w:bCs/>
                <w:i/>
                <w:color w:val="000000" w:themeColor="text1"/>
                <w:sz w:val="20"/>
                <w:szCs w:val="20"/>
                <w:lang w:val="hr-HR"/>
              </w:rPr>
              <w:t>7.503</w:t>
            </w:r>
          </w:p>
        </w:tc>
        <w:tc>
          <w:tcPr>
            <w:tcW w:w="1277" w:type="dxa"/>
            <w:tcBorders>
              <w:top w:val="single" w:sz="4" w:space="0" w:color="auto"/>
              <w:left w:val="nil"/>
              <w:bottom w:val="single" w:sz="4" w:space="0" w:color="auto"/>
              <w:right w:val="nil"/>
            </w:tcBorders>
            <w:shd w:val="clear" w:color="auto" w:fill="auto"/>
            <w:vAlign w:val="bottom"/>
          </w:tcPr>
          <w:p w14:paraId="2F2AC09A" w14:textId="77777777" w:rsidR="004E2F51" w:rsidRPr="00E35011" w:rsidRDefault="004E2F51" w:rsidP="00E032FC">
            <w:pPr>
              <w:jc w:val="right"/>
              <w:rPr>
                <w:rFonts w:ascii="Arial" w:eastAsia="Calibri" w:hAnsi="Arial" w:cs="Arial"/>
                <w:bCs/>
                <w:i/>
                <w:color w:val="000000" w:themeColor="text1"/>
                <w:sz w:val="20"/>
                <w:szCs w:val="20"/>
                <w:lang w:val="hr-HR"/>
              </w:rPr>
            </w:pPr>
            <w:r w:rsidRPr="00BB3E29">
              <w:rPr>
                <w:rFonts w:ascii="Arial" w:eastAsia="Calibri" w:hAnsi="Arial" w:cs="Arial"/>
                <w:bCs/>
                <w:i/>
                <w:color w:val="000000" w:themeColor="text1"/>
                <w:sz w:val="20"/>
                <w:szCs w:val="20"/>
                <w:lang w:val="hr-HR"/>
              </w:rPr>
              <w:t>(14.440)</w:t>
            </w:r>
          </w:p>
        </w:tc>
        <w:tc>
          <w:tcPr>
            <w:tcW w:w="1277" w:type="dxa"/>
            <w:tcBorders>
              <w:top w:val="single" w:sz="4" w:space="0" w:color="auto"/>
              <w:left w:val="nil"/>
              <w:bottom w:val="single" w:sz="4" w:space="0" w:color="auto"/>
              <w:right w:val="nil"/>
            </w:tcBorders>
            <w:shd w:val="clear" w:color="auto" w:fill="auto"/>
            <w:vAlign w:val="bottom"/>
          </w:tcPr>
          <w:p w14:paraId="162BA83E" w14:textId="77777777" w:rsidR="004E2F51" w:rsidRPr="00E35011" w:rsidRDefault="004E2F51" w:rsidP="00E032FC">
            <w:pPr>
              <w:jc w:val="right"/>
              <w:rPr>
                <w:rFonts w:ascii="Arial" w:eastAsia="Calibri" w:hAnsi="Arial" w:cs="Arial"/>
                <w:i/>
                <w:color w:val="000000" w:themeColor="text1"/>
                <w:sz w:val="20"/>
                <w:szCs w:val="20"/>
                <w:lang w:val="hr-HR"/>
              </w:rPr>
            </w:pPr>
            <w:r w:rsidRPr="00E35011">
              <w:rPr>
                <w:rFonts w:ascii="Arial" w:eastAsia="Calibri" w:hAnsi="Arial" w:cs="Arial"/>
                <w:bCs/>
                <w:i/>
                <w:color w:val="000000" w:themeColor="text1"/>
                <w:sz w:val="20"/>
                <w:szCs w:val="20"/>
                <w:lang w:val="hr-HR"/>
              </w:rPr>
              <w:t>7.503</w:t>
            </w:r>
          </w:p>
        </w:tc>
      </w:tr>
      <w:tr w:rsidR="004E2F51" w:rsidRPr="005A00FA" w14:paraId="091E7997" w14:textId="77777777" w:rsidTr="00E032FC">
        <w:trPr>
          <w:trHeight w:val="392"/>
        </w:trPr>
        <w:tc>
          <w:tcPr>
            <w:tcW w:w="4403" w:type="dxa"/>
            <w:tcBorders>
              <w:top w:val="nil"/>
              <w:left w:val="nil"/>
              <w:bottom w:val="nil"/>
              <w:right w:val="nil"/>
            </w:tcBorders>
            <w:shd w:val="clear" w:color="auto" w:fill="auto"/>
            <w:vAlign w:val="bottom"/>
          </w:tcPr>
          <w:p w14:paraId="3309C8C8" w14:textId="77777777" w:rsidR="004E2F51" w:rsidRPr="00A873BB" w:rsidRDefault="004E2F51" w:rsidP="00E032FC">
            <w:pPr>
              <w:rPr>
                <w:rFonts w:ascii="Arial" w:eastAsia="Calibri" w:hAnsi="Arial" w:cs="Arial"/>
                <w:color w:val="000000" w:themeColor="text1"/>
                <w:sz w:val="20"/>
                <w:szCs w:val="20"/>
                <w:lang w:val="hr-HR"/>
              </w:rPr>
            </w:pPr>
            <w:r w:rsidRPr="00A873BB">
              <w:rPr>
                <w:rFonts w:ascii="Arial" w:eastAsia="Calibri" w:hAnsi="Arial" w:cs="Arial"/>
                <w:color w:val="000000" w:themeColor="text1"/>
                <w:sz w:val="20"/>
                <w:szCs w:val="20"/>
                <w:lang w:val="hr-HR"/>
              </w:rPr>
              <w:t>Neto tečajne razlike po rezerviranjima za očekivane gubitke</w:t>
            </w:r>
          </w:p>
        </w:tc>
        <w:tc>
          <w:tcPr>
            <w:tcW w:w="1277" w:type="dxa"/>
            <w:tcBorders>
              <w:top w:val="single" w:sz="4" w:space="0" w:color="auto"/>
              <w:left w:val="nil"/>
              <w:bottom w:val="single" w:sz="4" w:space="0" w:color="auto"/>
              <w:right w:val="nil"/>
            </w:tcBorders>
            <w:shd w:val="clear" w:color="auto" w:fill="auto"/>
            <w:vAlign w:val="bottom"/>
          </w:tcPr>
          <w:p w14:paraId="19687986" w14:textId="77777777" w:rsidR="004E2F51" w:rsidRPr="00E35011" w:rsidRDefault="004E2F51" w:rsidP="00E032FC">
            <w:pPr>
              <w:jc w:val="right"/>
              <w:rPr>
                <w:rFonts w:ascii="Arial" w:eastAsia="Calibri" w:hAnsi="Arial" w:cs="Arial"/>
                <w:color w:val="000000" w:themeColor="text1"/>
                <w:sz w:val="20"/>
                <w:szCs w:val="20"/>
                <w:lang w:val="hr-HR"/>
              </w:rPr>
            </w:pPr>
            <w:r w:rsidRPr="00BB3E29">
              <w:rPr>
                <w:rFonts w:ascii="Arial" w:eastAsia="Calibri" w:hAnsi="Arial" w:cs="Arial"/>
                <w:color w:val="000000" w:themeColor="text1"/>
                <w:sz w:val="20"/>
                <w:szCs w:val="20"/>
                <w:lang w:val="hr-HR"/>
              </w:rPr>
              <w:t>(679)</w:t>
            </w:r>
          </w:p>
        </w:tc>
        <w:tc>
          <w:tcPr>
            <w:tcW w:w="1277" w:type="dxa"/>
            <w:tcBorders>
              <w:top w:val="single" w:sz="4" w:space="0" w:color="auto"/>
              <w:left w:val="nil"/>
              <w:bottom w:val="single" w:sz="4" w:space="0" w:color="auto"/>
              <w:right w:val="nil"/>
            </w:tcBorders>
            <w:shd w:val="clear" w:color="auto" w:fill="auto"/>
            <w:vAlign w:val="bottom"/>
          </w:tcPr>
          <w:p w14:paraId="580ACD7D" w14:textId="77777777" w:rsidR="004E2F51" w:rsidRPr="00E35011" w:rsidRDefault="004E2F51" w:rsidP="00E032FC">
            <w:pPr>
              <w:jc w:val="right"/>
              <w:rPr>
                <w:rFonts w:ascii="Arial" w:eastAsia="Calibri" w:hAnsi="Arial" w:cs="Arial"/>
                <w:color w:val="000000" w:themeColor="text1"/>
                <w:sz w:val="20"/>
                <w:szCs w:val="20"/>
                <w:lang w:val="hr-HR"/>
              </w:rPr>
            </w:pPr>
            <w:r w:rsidRPr="00E35011">
              <w:rPr>
                <w:rFonts w:ascii="Arial" w:eastAsia="Calibri" w:hAnsi="Arial" w:cs="Arial"/>
                <w:color w:val="000000" w:themeColor="text1"/>
                <w:sz w:val="20"/>
                <w:szCs w:val="20"/>
                <w:lang w:val="hr-HR"/>
              </w:rPr>
              <w:t>1.729</w:t>
            </w:r>
          </w:p>
        </w:tc>
        <w:tc>
          <w:tcPr>
            <w:tcW w:w="1277" w:type="dxa"/>
            <w:tcBorders>
              <w:top w:val="single" w:sz="4" w:space="0" w:color="auto"/>
              <w:left w:val="nil"/>
              <w:bottom w:val="single" w:sz="4" w:space="0" w:color="auto"/>
              <w:right w:val="nil"/>
            </w:tcBorders>
            <w:shd w:val="clear" w:color="auto" w:fill="auto"/>
            <w:vAlign w:val="bottom"/>
          </w:tcPr>
          <w:p w14:paraId="317A1D03" w14:textId="77777777" w:rsidR="004E2F51" w:rsidRPr="00E35011" w:rsidRDefault="004E2F51" w:rsidP="00E032FC">
            <w:pPr>
              <w:jc w:val="right"/>
              <w:rPr>
                <w:rFonts w:ascii="Arial" w:eastAsia="Calibri" w:hAnsi="Arial" w:cs="Arial"/>
                <w:color w:val="000000" w:themeColor="text1"/>
                <w:sz w:val="20"/>
                <w:szCs w:val="20"/>
                <w:lang w:val="hr-HR"/>
              </w:rPr>
            </w:pPr>
            <w:r w:rsidRPr="00BB3E29">
              <w:rPr>
                <w:rFonts w:ascii="Arial" w:eastAsia="Calibri" w:hAnsi="Arial" w:cs="Arial"/>
                <w:color w:val="000000" w:themeColor="text1"/>
                <w:sz w:val="20"/>
                <w:szCs w:val="20"/>
                <w:lang w:val="hr-HR"/>
              </w:rPr>
              <w:t>(679)</w:t>
            </w:r>
          </w:p>
        </w:tc>
        <w:tc>
          <w:tcPr>
            <w:tcW w:w="1277" w:type="dxa"/>
            <w:tcBorders>
              <w:top w:val="single" w:sz="4" w:space="0" w:color="auto"/>
              <w:left w:val="nil"/>
              <w:bottom w:val="single" w:sz="4" w:space="0" w:color="auto"/>
              <w:right w:val="nil"/>
            </w:tcBorders>
            <w:vAlign w:val="bottom"/>
          </w:tcPr>
          <w:p w14:paraId="34B7C572" w14:textId="77777777" w:rsidR="004E2F51" w:rsidRPr="00E35011" w:rsidRDefault="004E2F51" w:rsidP="00E032FC">
            <w:pPr>
              <w:jc w:val="right"/>
              <w:rPr>
                <w:rFonts w:ascii="Arial" w:eastAsia="Calibri" w:hAnsi="Arial" w:cs="Arial"/>
                <w:color w:val="000000" w:themeColor="text1"/>
                <w:sz w:val="20"/>
                <w:szCs w:val="20"/>
                <w:lang w:val="hr-HR"/>
              </w:rPr>
            </w:pPr>
            <w:r w:rsidRPr="00E35011">
              <w:rPr>
                <w:rFonts w:ascii="Arial" w:eastAsia="Calibri" w:hAnsi="Arial" w:cs="Arial"/>
                <w:color w:val="000000" w:themeColor="text1"/>
                <w:sz w:val="20"/>
                <w:szCs w:val="20"/>
                <w:lang w:val="hr-HR"/>
              </w:rPr>
              <w:t>1.729</w:t>
            </w:r>
          </w:p>
        </w:tc>
      </w:tr>
      <w:tr w:rsidR="004E2F51" w:rsidRPr="005A00FA" w14:paraId="7B965096" w14:textId="77777777" w:rsidTr="00E032FC">
        <w:trPr>
          <w:trHeight w:val="392"/>
        </w:trPr>
        <w:tc>
          <w:tcPr>
            <w:tcW w:w="4403" w:type="dxa"/>
            <w:tcBorders>
              <w:top w:val="nil"/>
              <w:left w:val="nil"/>
              <w:bottom w:val="nil"/>
              <w:right w:val="nil"/>
            </w:tcBorders>
            <w:shd w:val="clear" w:color="auto" w:fill="auto"/>
            <w:vAlign w:val="bottom"/>
          </w:tcPr>
          <w:p w14:paraId="712B3ACB" w14:textId="77777777" w:rsidR="004E2F51" w:rsidRPr="00A873BB" w:rsidRDefault="004E2F51" w:rsidP="00E032FC">
            <w:pPr>
              <w:rPr>
                <w:rFonts w:ascii="Arial" w:eastAsia="Calibri" w:hAnsi="Arial" w:cs="Arial"/>
                <w:b/>
                <w:bCs/>
                <w:color w:val="000000" w:themeColor="text1"/>
                <w:sz w:val="20"/>
                <w:szCs w:val="20"/>
                <w:lang w:val="hr-HR"/>
              </w:rPr>
            </w:pPr>
            <w:r w:rsidRPr="00A873BB">
              <w:rPr>
                <w:rFonts w:ascii="Arial" w:eastAsia="Calibri" w:hAnsi="Arial" w:cs="Arial"/>
                <w:b/>
                <w:bCs/>
                <w:color w:val="000000" w:themeColor="text1"/>
                <w:sz w:val="20"/>
                <w:szCs w:val="20"/>
                <w:lang w:val="hr-HR"/>
              </w:rPr>
              <w:t>Stanje na kraju izvještajnog razdoblja – Rezerviranja za garancije i preuzete obveze</w:t>
            </w:r>
          </w:p>
        </w:tc>
        <w:tc>
          <w:tcPr>
            <w:tcW w:w="1277" w:type="dxa"/>
            <w:tcBorders>
              <w:top w:val="single" w:sz="4" w:space="0" w:color="auto"/>
              <w:left w:val="nil"/>
              <w:bottom w:val="single" w:sz="12" w:space="0" w:color="auto"/>
              <w:right w:val="nil"/>
            </w:tcBorders>
            <w:shd w:val="clear" w:color="auto" w:fill="auto"/>
            <w:noWrap/>
            <w:vAlign w:val="bottom"/>
          </w:tcPr>
          <w:p w14:paraId="227B6CA4" w14:textId="77777777" w:rsidR="004E2F51" w:rsidRPr="00E35011" w:rsidRDefault="004E2F51" w:rsidP="00E032FC">
            <w:pPr>
              <w:jc w:val="right"/>
              <w:rPr>
                <w:rFonts w:ascii="Arial" w:eastAsia="Calibri" w:hAnsi="Arial" w:cs="Arial"/>
                <w:b/>
                <w:color w:val="000000" w:themeColor="text1"/>
                <w:sz w:val="20"/>
                <w:szCs w:val="20"/>
                <w:lang w:val="hr-HR"/>
              </w:rPr>
            </w:pPr>
            <w:r w:rsidRPr="00BB3E29">
              <w:rPr>
                <w:rFonts w:ascii="Arial" w:eastAsia="Calibri" w:hAnsi="Arial" w:cs="Arial"/>
                <w:b/>
                <w:color w:val="000000" w:themeColor="text1"/>
                <w:sz w:val="20"/>
                <w:szCs w:val="20"/>
                <w:lang w:val="hr-HR"/>
              </w:rPr>
              <w:t>80.726</w:t>
            </w:r>
          </w:p>
        </w:tc>
        <w:tc>
          <w:tcPr>
            <w:tcW w:w="1277" w:type="dxa"/>
            <w:tcBorders>
              <w:top w:val="single" w:sz="4" w:space="0" w:color="auto"/>
              <w:left w:val="nil"/>
              <w:bottom w:val="single" w:sz="12" w:space="0" w:color="auto"/>
              <w:right w:val="nil"/>
            </w:tcBorders>
            <w:shd w:val="clear" w:color="auto" w:fill="auto"/>
            <w:vAlign w:val="bottom"/>
          </w:tcPr>
          <w:p w14:paraId="7403A2D2" w14:textId="77777777" w:rsidR="004E2F51" w:rsidRPr="00E35011" w:rsidRDefault="004E2F51" w:rsidP="00E032FC">
            <w:pPr>
              <w:jc w:val="right"/>
              <w:rPr>
                <w:rFonts w:ascii="Arial" w:eastAsia="Calibri" w:hAnsi="Arial" w:cs="Arial"/>
                <w:b/>
                <w:color w:val="000000" w:themeColor="text1"/>
                <w:sz w:val="20"/>
                <w:szCs w:val="20"/>
                <w:lang w:val="hr-HR"/>
              </w:rPr>
            </w:pPr>
            <w:r w:rsidRPr="00E35011">
              <w:rPr>
                <w:rFonts w:ascii="Arial" w:eastAsia="Calibri" w:hAnsi="Arial" w:cs="Arial"/>
                <w:b/>
                <w:color w:val="000000" w:themeColor="text1"/>
                <w:sz w:val="20"/>
                <w:szCs w:val="20"/>
                <w:lang w:val="hr-HR"/>
              </w:rPr>
              <w:t>129.587</w:t>
            </w:r>
          </w:p>
        </w:tc>
        <w:tc>
          <w:tcPr>
            <w:tcW w:w="1277" w:type="dxa"/>
            <w:tcBorders>
              <w:top w:val="single" w:sz="4" w:space="0" w:color="auto"/>
              <w:left w:val="nil"/>
              <w:bottom w:val="single" w:sz="12" w:space="0" w:color="auto"/>
              <w:right w:val="nil"/>
            </w:tcBorders>
            <w:shd w:val="clear" w:color="auto" w:fill="auto"/>
            <w:vAlign w:val="bottom"/>
          </w:tcPr>
          <w:p w14:paraId="4A8A4AEC" w14:textId="77777777" w:rsidR="004E2F51" w:rsidRPr="00E35011" w:rsidRDefault="004E2F51" w:rsidP="00E032FC">
            <w:pPr>
              <w:jc w:val="right"/>
              <w:rPr>
                <w:rFonts w:ascii="Arial" w:eastAsia="Calibri" w:hAnsi="Arial" w:cs="Arial"/>
                <w:b/>
                <w:color w:val="000000" w:themeColor="text1"/>
                <w:sz w:val="20"/>
                <w:szCs w:val="20"/>
                <w:lang w:val="hr-HR"/>
              </w:rPr>
            </w:pPr>
            <w:r w:rsidRPr="00BB3E29">
              <w:rPr>
                <w:rFonts w:ascii="Arial" w:eastAsia="Calibri" w:hAnsi="Arial" w:cs="Arial"/>
                <w:b/>
                <w:color w:val="000000" w:themeColor="text1"/>
                <w:sz w:val="20"/>
                <w:szCs w:val="20"/>
                <w:lang w:val="hr-HR"/>
              </w:rPr>
              <w:t>80.726</w:t>
            </w:r>
          </w:p>
        </w:tc>
        <w:tc>
          <w:tcPr>
            <w:tcW w:w="1277" w:type="dxa"/>
            <w:tcBorders>
              <w:top w:val="single" w:sz="4" w:space="0" w:color="auto"/>
              <w:left w:val="nil"/>
              <w:bottom w:val="single" w:sz="12" w:space="0" w:color="auto"/>
              <w:right w:val="nil"/>
            </w:tcBorders>
            <w:vAlign w:val="bottom"/>
          </w:tcPr>
          <w:p w14:paraId="36692AA8" w14:textId="77777777" w:rsidR="004E2F51" w:rsidRPr="00E35011" w:rsidRDefault="004E2F51" w:rsidP="00E032FC">
            <w:pPr>
              <w:jc w:val="right"/>
              <w:rPr>
                <w:rFonts w:ascii="Arial" w:eastAsia="Calibri" w:hAnsi="Arial" w:cs="Arial"/>
                <w:b/>
                <w:color w:val="000000" w:themeColor="text1"/>
                <w:sz w:val="20"/>
                <w:szCs w:val="20"/>
                <w:lang w:val="hr-HR"/>
              </w:rPr>
            </w:pPr>
            <w:r w:rsidRPr="00E35011">
              <w:rPr>
                <w:rFonts w:ascii="Arial" w:eastAsia="Calibri" w:hAnsi="Arial" w:cs="Arial"/>
                <w:b/>
                <w:color w:val="000000" w:themeColor="text1"/>
                <w:sz w:val="20"/>
                <w:szCs w:val="20"/>
                <w:lang w:val="hr-HR"/>
              </w:rPr>
              <w:t>129.587</w:t>
            </w:r>
          </w:p>
        </w:tc>
      </w:tr>
      <w:tr w:rsidR="004E2F51" w:rsidRPr="005A00FA" w14:paraId="748A88CD" w14:textId="77777777" w:rsidTr="00E032FC">
        <w:trPr>
          <w:trHeight w:val="392"/>
        </w:trPr>
        <w:tc>
          <w:tcPr>
            <w:tcW w:w="4403" w:type="dxa"/>
            <w:tcBorders>
              <w:top w:val="nil"/>
              <w:left w:val="nil"/>
              <w:bottom w:val="nil"/>
              <w:right w:val="nil"/>
            </w:tcBorders>
            <w:shd w:val="clear" w:color="auto" w:fill="auto"/>
            <w:vAlign w:val="bottom"/>
          </w:tcPr>
          <w:p w14:paraId="509E775D" w14:textId="77777777" w:rsidR="004E2F51" w:rsidRPr="00A873BB" w:rsidRDefault="004E2F51" w:rsidP="00E032FC">
            <w:pPr>
              <w:rPr>
                <w:rFonts w:ascii="Arial" w:eastAsia="Calibri" w:hAnsi="Arial" w:cs="Arial"/>
                <w:color w:val="000000" w:themeColor="text1"/>
                <w:sz w:val="20"/>
                <w:szCs w:val="20"/>
                <w:lang w:val="hr-HR"/>
              </w:rPr>
            </w:pPr>
            <w:r w:rsidRPr="00A873BB">
              <w:rPr>
                <w:rFonts w:ascii="Arial" w:eastAsia="Calibri" w:hAnsi="Arial" w:cs="Arial"/>
                <w:color w:val="000000" w:themeColor="text1"/>
                <w:sz w:val="20"/>
                <w:szCs w:val="20"/>
                <w:lang w:val="hr-HR"/>
              </w:rPr>
              <w:t>Stanje 1. siječnja</w:t>
            </w:r>
          </w:p>
        </w:tc>
        <w:tc>
          <w:tcPr>
            <w:tcW w:w="1277" w:type="dxa"/>
            <w:tcBorders>
              <w:top w:val="single" w:sz="12" w:space="0" w:color="auto"/>
              <w:left w:val="nil"/>
              <w:right w:val="nil"/>
            </w:tcBorders>
            <w:shd w:val="clear" w:color="auto" w:fill="auto"/>
            <w:noWrap/>
            <w:vAlign w:val="bottom"/>
          </w:tcPr>
          <w:p w14:paraId="6A5601C6" w14:textId="77777777" w:rsidR="004E2F51" w:rsidRPr="00E35011" w:rsidRDefault="004E2F51" w:rsidP="00E032FC">
            <w:pPr>
              <w:jc w:val="right"/>
              <w:rPr>
                <w:rFonts w:ascii="Arial" w:eastAsia="Calibri" w:hAnsi="Arial" w:cs="Arial"/>
                <w:color w:val="000000" w:themeColor="text1"/>
                <w:sz w:val="20"/>
                <w:szCs w:val="20"/>
                <w:lang w:val="hr-HR"/>
              </w:rPr>
            </w:pPr>
            <w:r w:rsidRPr="00BB3E29">
              <w:rPr>
                <w:rFonts w:ascii="Arial" w:eastAsia="Calibri" w:hAnsi="Arial" w:cs="Arial"/>
                <w:color w:val="000000" w:themeColor="text1"/>
                <w:sz w:val="20"/>
                <w:szCs w:val="20"/>
                <w:lang w:val="hr-HR"/>
              </w:rPr>
              <w:t>60.973</w:t>
            </w:r>
          </w:p>
        </w:tc>
        <w:tc>
          <w:tcPr>
            <w:tcW w:w="1277" w:type="dxa"/>
            <w:tcBorders>
              <w:top w:val="single" w:sz="12" w:space="0" w:color="auto"/>
              <w:left w:val="nil"/>
              <w:right w:val="nil"/>
            </w:tcBorders>
            <w:shd w:val="clear" w:color="auto" w:fill="auto"/>
            <w:vAlign w:val="bottom"/>
          </w:tcPr>
          <w:p w14:paraId="008F04B7" w14:textId="77777777" w:rsidR="004E2F51" w:rsidRPr="00E35011" w:rsidRDefault="004E2F51" w:rsidP="00E032FC">
            <w:pPr>
              <w:jc w:val="right"/>
              <w:rPr>
                <w:rFonts w:ascii="Arial" w:eastAsia="Calibri" w:hAnsi="Arial" w:cs="Arial"/>
                <w:color w:val="000000" w:themeColor="text1"/>
                <w:sz w:val="20"/>
                <w:szCs w:val="20"/>
                <w:lang w:val="hr-HR"/>
              </w:rPr>
            </w:pPr>
            <w:r w:rsidRPr="00E35011">
              <w:rPr>
                <w:rFonts w:ascii="Arial" w:eastAsia="Calibri" w:hAnsi="Arial" w:cs="Arial"/>
                <w:color w:val="000000" w:themeColor="text1"/>
                <w:sz w:val="20"/>
                <w:szCs w:val="20"/>
                <w:lang w:val="hr-HR"/>
              </w:rPr>
              <w:t>62.500</w:t>
            </w:r>
          </w:p>
        </w:tc>
        <w:tc>
          <w:tcPr>
            <w:tcW w:w="1277" w:type="dxa"/>
            <w:tcBorders>
              <w:top w:val="single" w:sz="12" w:space="0" w:color="auto"/>
              <w:left w:val="nil"/>
              <w:right w:val="nil"/>
            </w:tcBorders>
            <w:shd w:val="clear" w:color="auto" w:fill="auto"/>
            <w:vAlign w:val="bottom"/>
          </w:tcPr>
          <w:p w14:paraId="09B496A8" w14:textId="77777777" w:rsidR="004E2F51" w:rsidRPr="00E35011" w:rsidRDefault="004E2F51" w:rsidP="00E032FC">
            <w:pPr>
              <w:jc w:val="right"/>
              <w:rPr>
                <w:rFonts w:ascii="Arial" w:eastAsia="Calibri" w:hAnsi="Arial" w:cs="Arial"/>
                <w:color w:val="000000" w:themeColor="text1"/>
                <w:sz w:val="20"/>
                <w:szCs w:val="20"/>
                <w:lang w:val="hr-HR"/>
              </w:rPr>
            </w:pPr>
            <w:r w:rsidRPr="00BB3E29">
              <w:rPr>
                <w:rFonts w:ascii="Arial" w:eastAsia="Calibri" w:hAnsi="Arial" w:cs="Arial"/>
                <w:color w:val="000000" w:themeColor="text1"/>
                <w:sz w:val="20"/>
                <w:szCs w:val="20"/>
                <w:lang w:val="hr-HR"/>
              </w:rPr>
              <w:t>60.716</w:t>
            </w:r>
          </w:p>
        </w:tc>
        <w:tc>
          <w:tcPr>
            <w:tcW w:w="1277" w:type="dxa"/>
            <w:tcBorders>
              <w:top w:val="single" w:sz="12" w:space="0" w:color="auto"/>
              <w:left w:val="nil"/>
              <w:right w:val="nil"/>
            </w:tcBorders>
            <w:vAlign w:val="bottom"/>
          </w:tcPr>
          <w:p w14:paraId="70046B05" w14:textId="77777777" w:rsidR="004E2F51" w:rsidRPr="00E35011" w:rsidRDefault="004E2F51" w:rsidP="00E032FC">
            <w:pPr>
              <w:jc w:val="right"/>
              <w:rPr>
                <w:rFonts w:ascii="Arial" w:eastAsia="Calibri" w:hAnsi="Arial" w:cs="Arial"/>
                <w:color w:val="000000" w:themeColor="text1"/>
                <w:sz w:val="20"/>
                <w:szCs w:val="20"/>
                <w:lang w:val="hr-HR"/>
              </w:rPr>
            </w:pPr>
            <w:r w:rsidRPr="00E35011">
              <w:rPr>
                <w:rFonts w:ascii="Arial" w:eastAsia="Calibri" w:hAnsi="Arial" w:cs="Arial"/>
                <w:color w:val="000000" w:themeColor="text1"/>
                <w:sz w:val="20"/>
                <w:szCs w:val="20"/>
                <w:lang w:val="hr-HR"/>
              </w:rPr>
              <w:t>62.240</w:t>
            </w:r>
          </w:p>
        </w:tc>
      </w:tr>
      <w:tr w:rsidR="004E2F51" w:rsidRPr="005A00FA" w14:paraId="6C4C4A2C" w14:textId="77777777" w:rsidTr="00E032FC">
        <w:trPr>
          <w:trHeight w:val="392"/>
        </w:trPr>
        <w:tc>
          <w:tcPr>
            <w:tcW w:w="4403" w:type="dxa"/>
            <w:tcBorders>
              <w:top w:val="nil"/>
              <w:left w:val="nil"/>
              <w:bottom w:val="nil"/>
              <w:right w:val="nil"/>
            </w:tcBorders>
            <w:shd w:val="clear" w:color="auto" w:fill="auto"/>
            <w:vAlign w:val="center"/>
          </w:tcPr>
          <w:p w14:paraId="01AF0AF3" w14:textId="77777777" w:rsidR="004E2F51" w:rsidRPr="00A873BB" w:rsidRDefault="004E2F51" w:rsidP="00E032FC">
            <w:pPr>
              <w:rPr>
                <w:rFonts w:ascii="Arial" w:eastAsia="Calibri" w:hAnsi="Arial" w:cs="Arial"/>
                <w:color w:val="000000" w:themeColor="text1"/>
                <w:sz w:val="20"/>
                <w:szCs w:val="20"/>
                <w:lang w:val="hr-HR"/>
              </w:rPr>
            </w:pPr>
            <w:r w:rsidRPr="00A873BB">
              <w:rPr>
                <w:rFonts w:ascii="Arial" w:eastAsia="Calibri" w:hAnsi="Arial" w:cs="Arial"/>
                <w:color w:val="000000" w:themeColor="text1"/>
                <w:sz w:val="20"/>
                <w:szCs w:val="20"/>
                <w:lang w:val="hr-HR"/>
              </w:rPr>
              <w:t>Neto povećanje/(smanjenje) rezerviranja za očekivane gubitke po ostalim obvezama</w:t>
            </w:r>
          </w:p>
        </w:tc>
        <w:tc>
          <w:tcPr>
            <w:tcW w:w="1277" w:type="dxa"/>
            <w:tcBorders>
              <w:left w:val="nil"/>
              <w:bottom w:val="single" w:sz="4" w:space="0" w:color="auto"/>
              <w:right w:val="nil"/>
            </w:tcBorders>
            <w:shd w:val="clear" w:color="auto" w:fill="auto"/>
            <w:noWrap/>
            <w:vAlign w:val="bottom"/>
          </w:tcPr>
          <w:p w14:paraId="3343C41A" w14:textId="77777777" w:rsidR="004E2F51" w:rsidRPr="00E35011"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257</w:t>
            </w:r>
          </w:p>
        </w:tc>
        <w:tc>
          <w:tcPr>
            <w:tcW w:w="1277" w:type="dxa"/>
            <w:tcBorders>
              <w:left w:val="nil"/>
              <w:bottom w:val="single" w:sz="4" w:space="0" w:color="auto"/>
              <w:right w:val="nil"/>
            </w:tcBorders>
            <w:shd w:val="clear" w:color="auto" w:fill="auto"/>
            <w:vAlign w:val="bottom"/>
          </w:tcPr>
          <w:p w14:paraId="49C6D949" w14:textId="77777777" w:rsidR="004E2F51" w:rsidRPr="00E35011" w:rsidRDefault="004E2F51" w:rsidP="00E032FC">
            <w:pPr>
              <w:jc w:val="right"/>
              <w:rPr>
                <w:rFonts w:ascii="Arial" w:eastAsia="Calibri" w:hAnsi="Arial" w:cs="Arial"/>
                <w:color w:val="000000" w:themeColor="text1"/>
                <w:sz w:val="20"/>
                <w:szCs w:val="20"/>
                <w:lang w:val="hr-HR"/>
              </w:rPr>
            </w:pPr>
            <w:r w:rsidRPr="00E35011">
              <w:rPr>
                <w:rFonts w:ascii="Arial" w:eastAsia="Calibri" w:hAnsi="Arial" w:cs="Arial"/>
                <w:color w:val="000000" w:themeColor="text1"/>
                <w:sz w:val="20"/>
                <w:szCs w:val="20"/>
                <w:lang w:val="hr-HR"/>
              </w:rPr>
              <w:t>(2.358)</w:t>
            </w:r>
          </w:p>
        </w:tc>
        <w:tc>
          <w:tcPr>
            <w:tcW w:w="1277" w:type="dxa"/>
            <w:tcBorders>
              <w:left w:val="nil"/>
              <w:bottom w:val="single" w:sz="4" w:space="0" w:color="auto"/>
              <w:right w:val="nil"/>
            </w:tcBorders>
            <w:shd w:val="clear" w:color="auto" w:fill="auto"/>
            <w:vAlign w:val="bottom"/>
          </w:tcPr>
          <w:p w14:paraId="6C8AAD11" w14:textId="77777777" w:rsidR="004E2F51" w:rsidRPr="00E35011"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474</w:t>
            </w:r>
          </w:p>
        </w:tc>
        <w:tc>
          <w:tcPr>
            <w:tcW w:w="1277" w:type="dxa"/>
            <w:tcBorders>
              <w:left w:val="nil"/>
              <w:bottom w:val="single" w:sz="4" w:space="0" w:color="auto"/>
              <w:right w:val="nil"/>
            </w:tcBorders>
            <w:vAlign w:val="bottom"/>
          </w:tcPr>
          <w:p w14:paraId="1F1E666E" w14:textId="77777777" w:rsidR="004E2F51" w:rsidRPr="00E35011" w:rsidRDefault="004E2F51" w:rsidP="00E032FC">
            <w:pPr>
              <w:jc w:val="right"/>
              <w:rPr>
                <w:rFonts w:ascii="Arial" w:eastAsia="Calibri" w:hAnsi="Arial" w:cs="Arial"/>
                <w:color w:val="000000" w:themeColor="text1"/>
                <w:sz w:val="20"/>
                <w:szCs w:val="20"/>
                <w:lang w:val="hr-HR"/>
              </w:rPr>
            </w:pPr>
            <w:r w:rsidRPr="00E35011">
              <w:rPr>
                <w:rFonts w:ascii="Arial" w:eastAsia="Calibri" w:hAnsi="Arial" w:cs="Arial"/>
                <w:color w:val="000000" w:themeColor="text1"/>
                <w:sz w:val="20"/>
                <w:szCs w:val="20"/>
                <w:lang w:val="hr-HR"/>
              </w:rPr>
              <w:t>(2.355)</w:t>
            </w:r>
          </w:p>
        </w:tc>
      </w:tr>
      <w:tr w:rsidR="004E2F51" w:rsidRPr="005A00FA" w14:paraId="1827A272" w14:textId="77777777" w:rsidTr="00E032FC">
        <w:trPr>
          <w:trHeight w:val="392"/>
        </w:trPr>
        <w:tc>
          <w:tcPr>
            <w:tcW w:w="4403" w:type="dxa"/>
            <w:tcBorders>
              <w:top w:val="nil"/>
              <w:left w:val="nil"/>
              <w:bottom w:val="nil"/>
              <w:right w:val="nil"/>
            </w:tcBorders>
            <w:shd w:val="clear" w:color="auto" w:fill="auto"/>
            <w:vAlign w:val="bottom"/>
          </w:tcPr>
          <w:p w14:paraId="45C66D60" w14:textId="77777777" w:rsidR="004E2F51" w:rsidRPr="00A873BB" w:rsidRDefault="004E2F51" w:rsidP="00E032FC">
            <w:pPr>
              <w:rPr>
                <w:rFonts w:ascii="Arial" w:eastAsia="Calibri" w:hAnsi="Arial" w:cs="Arial"/>
                <w:i/>
                <w:iCs/>
                <w:color w:val="000000" w:themeColor="text1"/>
                <w:sz w:val="20"/>
                <w:szCs w:val="20"/>
                <w:lang w:val="hr-HR"/>
              </w:rPr>
            </w:pPr>
            <w:r w:rsidRPr="00A873BB">
              <w:rPr>
                <w:rFonts w:ascii="Arial" w:eastAsia="Calibri" w:hAnsi="Arial" w:cs="Arial"/>
                <w:i/>
                <w:iCs/>
                <w:color w:val="000000" w:themeColor="text1"/>
                <w:sz w:val="20"/>
                <w:szCs w:val="20"/>
                <w:lang w:val="hr-HR"/>
              </w:rPr>
              <w:t>Ukupno kroz dobit ili gubitak (bilješka 10)</w:t>
            </w:r>
          </w:p>
        </w:tc>
        <w:tc>
          <w:tcPr>
            <w:tcW w:w="1277" w:type="dxa"/>
            <w:tcBorders>
              <w:top w:val="single" w:sz="4" w:space="0" w:color="auto"/>
              <w:left w:val="nil"/>
              <w:bottom w:val="single" w:sz="4" w:space="0" w:color="auto"/>
              <w:right w:val="nil"/>
            </w:tcBorders>
            <w:shd w:val="clear" w:color="auto" w:fill="auto"/>
            <w:noWrap/>
            <w:vAlign w:val="bottom"/>
          </w:tcPr>
          <w:p w14:paraId="685ECB39" w14:textId="77777777" w:rsidR="004E2F51" w:rsidRPr="00E35011" w:rsidRDefault="004E2F51" w:rsidP="00E032FC">
            <w:pPr>
              <w:jc w:val="right"/>
              <w:rPr>
                <w:rFonts w:ascii="Arial" w:eastAsia="Calibri" w:hAnsi="Arial" w:cs="Arial"/>
                <w:i/>
                <w:color w:val="000000" w:themeColor="text1"/>
                <w:sz w:val="20"/>
                <w:szCs w:val="20"/>
                <w:lang w:val="hr-HR"/>
              </w:rPr>
            </w:pPr>
            <w:r>
              <w:rPr>
                <w:rFonts w:ascii="Arial" w:eastAsia="Calibri" w:hAnsi="Arial" w:cs="Arial"/>
                <w:i/>
                <w:color w:val="000000" w:themeColor="text1"/>
                <w:sz w:val="20"/>
                <w:szCs w:val="20"/>
                <w:lang w:val="hr-HR"/>
              </w:rPr>
              <w:t>257</w:t>
            </w:r>
          </w:p>
        </w:tc>
        <w:tc>
          <w:tcPr>
            <w:tcW w:w="1277" w:type="dxa"/>
            <w:tcBorders>
              <w:top w:val="single" w:sz="4" w:space="0" w:color="auto"/>
              <w:left w:val="nil"/>
              <w:bottom w:val="single" w:sz="4" w:space="0" w:color="auto"/>
              <w:right w:val="nil"/>
            </w:tcBorders>
            <w:shd w:val="clear" w:color="auto" w:fill="auto"/>
            <w:vAlign w:val="bottom"/>
          </w:tcPr>
          <w:p w14:paraId="17A73143" w14:textId="77777777" w:rsidR="004E2F51" w:rsidRPr="00E35011" w:rsidRDefault="004E2F51" w:rsidP="00E032FC">
            <w:pPr>
              <w:jc w:val="right"/>
              <w:rPr>
                <w:rFonts w:ascii="Arial" w:eastAsia="Calibri" w:hAnsi="Arial" w:cs="Arial"/>
                <w:i/>
                <w:color w:val="000000" w:themeColor="text1"/>
                <w:sz w:val="20"/>
                <w:szCs w:val="20"/>
                <w:lang w:val="hr-HR"/>
              </w:rPr>
            </w:pPr>
            <w:r w:rsidRPr="00E35011">
              <w:rPr>
                <w:rFonts w:ascii="Arial" w:eastAsia="Calibri" w:hAnsi="Arial" w:cs="Arial"/>
                <w:i/>
                <w:color w:val="000000" w:themeColor="text1"/>
                <w:sz w:val="20"/>
                <w:szCs w:val="20"/>
                <w:lang w:val="hr-HR"/>
              </w:rPr>
              <w:t>(2.358)</w:t>
            </w:r>
          </w:p>
        </w:tc>
        <w:tc>
          <w:tcPr>
            <w:tcW w:w="1277" w:type="dxa"/>
            <w:tcBorders>
              <w:top w:val="single" w:sz="4" w:space="0" w:color="auto"/>
              <w:left w:val="nil"/>
              <w:bottom w:val="single" w:sz="4" w:space="0" w:color="auto"/>
              <w:right w:val="nil"/>
            </w:tcBorders>
            <w:shd w:val="clear" w:color="auto" w:fill="auto"/>
            <w:vAlign w:val="bottom"/>
          </w:tcPr>
          <w:p w14:paraId="04198BDE" w14:textId="77777777" w:rsidR="004E2F51" w:rsidRPr="00E35011" w:rsidRDefault="004E2F51" w:rsidP="00E032FC">
            <w:pPr>
              <w:jc w:val="right"/>
              <w:rPr>
                <w:rFonts w:ascii="Arial" w:eastAsia="Calibri" w:hAnsi="Arial" w:cs="Arial"/>
                <w:i/>
                <w:color w:val="000000" w:themeColor="text1"/>
                <w:sz w:val="20"/>
                <w:szCs w:val="20"/>
                <w:lang w:val="hr-HR"/>
              </w:rPr>
            </w:pPr>
            <w:r>
              <w:rPr>
                <w:rFonts w:ascii="Arial" w:eastAsia="Calibri" w:hAnsi="Arial" w:cs="Arial"/>
                <w:i/>
                <w:color w:val="000000" w:themeColor="text1"/>
                <w:sz w:val="20"/>
                <w:szCs w:val="20"/>
                <w:lang w:val="hr-HR"/>
              </w:rPr>
              <w:t>474</w:t>
            </w:r>
          </w:p>
        </w:tc>
        <w:tc>
          <w:tcPr>
            <w:tcW w:w="1277" w:type="dxa"/>
            <w:tcBorders>
              <w:top w:val="single" w:sz="4" w:space="0" w:color="auto"/>
              <w:left w:val="nil"/>
              <w:bottom w:val="single" w:sz="4" w:space="0" w:color="auto"/>
              <w:right w:val="nil"/>
            </w:tcBorders>
            <w:vAlign w:val="bottom"/>
          </w:tcPr>
          <w:p w14:paraId="631783C9" w14:textId="77777777" w:rsidR="004E2F51" w:rsidRPr="00E35011" w:rsidRDefault="004E2F51" w:rsidP="00E032FC">
            <w:pPr>
              <w:jc w:val="right"/>
              <w:rPr>
                <w:rFonts w:ascii="Arial" w:eastAsia="Calibri" w:hAnsi="Arial" w:cs="Arial"/>
                <w:i/>
                <w:color w:val="000000" w:themeColor="text1"/>
                <w:sz w:val="20"/>
                <w:szCs w:val="20"/>
                <w:lang w:val="hr-HR"/>
              </w:rPr>
            </w:pPr>
            <w:r w:rsidRPr="00E35011">
              <w:rPr>
                <w:rFonts w:ascii="Arial" w:eastAsia="Calibri" w:hAnsi="Arial" w:cs="Arial"/>
                <w:i/>
                <w:color w:val="000000" w:themeColor="text1"/>
                <w:sz w:val="20"/>
                <w:szCs w:val="20"/>
                <w:lang w:val="hr-HR"/>
              </w:rPr>
              <w:t>(2.355)</w:t>
            </w:r>
          </w:p>
        </w:tc>
      </w:tr>
      <w:tr w:rsidR="004E2F51" w:rsidRPr="005A00FA" w14:paraId="75F8FB08" w14:textId="77777777" w:rsidTr="00E032FC">
        <w:trPr>
          <w:trHeight w:val="303"/>
        </w:trPr>
        <w:tc>
          <w:tcPr>
            <w:tcW w:w="4403" w:type="dxa"/>
            <w:tcBorders>
              <w:top w:val="nil"/>
              <w:left w:val="nil"/>
              <w:bottom w:val="nil"/>
              <w:right w:val="nil"/>
            </w:tcBorders>
            <w:shd w:val="clear" w:color="auto" w:fill="auto"/>
            <w:vAlign w:val="bottom"/>
          </w:tcPr>
          <w:p w14:paraId="438F9C85" w14:textId="77777777" w:rsidR="004E2F51" w:rsidRPr="00E35011" w:rsidRDefault="004E2F51" w:rsidP="00E032FC">
            <w:pPr>
              <w:rPr>
                <w:rFonts w:ascii="Arial" w:eastAsia="Calibri" w:hAnsi="Arial" w:cs="Arial"/>
                <w:iCs/>
                <w:color w:val="000000" w:themeColor="text1"/>
                <w:sz w:val="20"/>
                <w:szCs w:val="20"/>
                <w:lang w:val="hr-HR"/>
              </w:rPr>
            </w:pPr>
            <w:r w:rsidRPr="00E35011">
              <w:rPr>
                <w:rFonts w:ascii="Arial" w:eastAsia="Calibri" w:hAnsi="Arial" w:cs="Arial"/>
                <w:iCs/>
                <w:color w:val="000000" w:themeColor="text1"/>
                <w:sz w:val="20"/>
                <w:szCs w:val="20"/>
                <w:lang w:val="hr-HR"/>
              </w:rPr>
              <w:t>Nerealizirani aktuarski dobitak/(gubitak)</w:t>
            </w:r>
          </w:p>
        </w:tc>
        <w:tc>
          <w:tcPr>
            <w:tcW w:w="1277" w:type="dxa"/>
            <w:tcBorders>
              <w:top w:val="single" w:sz="4" w:space="0" w:color="auto"/>
              <w:left w:val="nil"/>
              <w:right w:val="nil"/>
            </w:tcBorders>
            <w:shd w:val="clear" w:color="auto" w:fill="auto"/>
            <w:noWrap/>
            <w:vAlign w:val="bottom"/>
          </w:tcPr>
          <w:p w14:paraId="7774817D" w14:textId="77777777" w:rsidR="004E2F51" w:rsidRPr="00E35011" w:rsidRDefault="004E2F51" w:rsidP="00E032FC">
            <w:pPr>
              <w:jc w:val="right"/>
              <w:rPr>
                <w:rFonts w:ascii="Arial" w:eastAsia="Calibri" w:hAnsi="Arial" w:cs="Arial"/>
                <w:color w:val="000000" w:themeColor="text1"/>
                <w:sz w:val="20"/>
                <w:szCs w:val="20"/>
                <w:lang w:val="hr-HR"/>
              </w:rPr>
            </w:pPr>
            <w:r>
              <w:rPr>
                <w:rFonts w:ascii="Arial" w:eastAsia="Calibri" w:hAnsi="Arial" w:cs="Arial"/>
                <w:color w:val="000000" w:themeColor="text1"/>
                <w:sz w:val="20"/>
                <w:szCs w:val="20"/>
                <w:lang w:val="hr-HR"/>
              </w:rPr>
              <w:t>759</w:t>
            </w:r>
          </w:p>
        </w:tc>
        <w:tc>
          <w:tcPr>
            <w:tcW w:w="1277" w:type="dxa"/>
            <w:tcBorders>
              <w:top w:val="single" w:sz="4" w:space="0" w:color="auto"/>
              <w:left w:val="nil"/>
              <w:right w:val="nil"/>
            </w:tcBorders>
            <w:shd w:val="clear" w:color="auto" w:fill="auto"/>
            <w:vAlign w:val="bottom"/>
          </w:tcPr>
          <w:p w14:paraId="4B989D2F" w14:textId="77777777" w:rsidR="004E2F51" w:rsidRPr="00E35011" w:rsidRDefault="004E2F51" w:rsidP="00E032FC">
            <w:pPr>
              <w:jc w:val="right"/>
              <w:rPr>
                <w:rFonts w:ascii="Arial" w:eastAsia="Calibri" w:hAnsi="Arial" w:cs="Arial"/>
                <w:color w:val="000000" w:themeColor="text1"/>
                <w:sz w:val="20"/>
                <w:szCs w:val="20"/>
                <w:lang w:val="hr-HR"/>
              </w:rPr>
            </w:pPr>
            <w:r w:rsidRPr="00E35011">
              <w:rPr>
                <w:rFonts w:ascii="Arial" w:eastAsia="Calibri" w:hAnsi="Arial" w:cs="Arial"/>
                <w:color w:val="000000" w:themeColor="text1"/>
                <w:sz w:val="20"/>
                <w:szCs w:val="20"/>
                <w:lang w:val="hr-HR"/>
              </w:rPr>
              <w:t>831</w:t>
            </w:r>
          </w:p>
        </w:tc>
        <w:tc>
          <w:tcPr>
            <w:tcW w:w="1277" w:type="dxa"/>
            <w:tcBorders>
              <w:top w:val="single" w:sz="4" w:space="0" w:color="auto"/>
              <w:left w:val="nil"/>
              <w:right w:val="nil"/>
            </w:tcBorders>
            <w:shd w:val="clear" w:color="auto" w:fill="auto"/>
            <w:vAlign w:val="bottom"/>
          </w:tcPr>
          <w:p w14:paraId="38D2E8D2" w14:textId="77777777" w:rsidR="004E2F51" w:rsidRPr="00612687" w:rsidRDefault="004E2F51" w:rsidP="00E032FC">
            <w:pPr>
              <w:jc w:val="right"/>
              <w:rPr>
                <w:rFonts w:ascii="Arial" w:eastAsia="Calibri" w:hAnsi="Arial" w:cs="Arial"/>
                <w:color w:val="000000" w:themeColor="text1"/>
                <w:sz w:val="20"/>
                <w:szCs w:val="20"/>
                <w:lang w:val="hr-HR"/>
              </w:rPr>
            </w:pPr>
            <w:r w:rsidRPr="00612687">
              <w:rPr>
                <w:rFonts w:ascii="Arial" w:eastAsia="Calibri" w:hAnsi="Arial" w:cs="Arial"/>
                <w:color w:val="000000" w:themeColor="text1"/>
                <w:sz w:val="20"/>
                <w:szCs w:val="20"/>
                <w:lang w:val="hr-HR"/>
              </w:rPr>
              <w:t>759</w:t>
            </w:r>
          </w:p>
        </w:tc>
        <w:tc>
          <w:tcPr>
            <w:tcW w:w="1277" w:type="dxa"/>
            <w:tcBorders>
              <w:top w:val="single" w:sz="4" w:space="0" w:color="auto"/>
              <w:left w:val="nil"/>
              <w:right w:val="nil"/>
            </w:tcBorders>
            <w:vAlign w:val="bottom"/>
          </w:tcPr>
          <w:p w14:paraId="0E3A847A" w14:textId="77777777" w:rsidR="004E2F51" w:rsidRPr="00612687" w:rsidRDefault="004E2F51" w:rsidP="00E032FC">
            <w:pPr>
              <w:jc w:val="right"/>
              <w:rPr>
                <w:rFonts w:ascii="Arial" w:eastAsia="Calibri" w:hAnsi="Arial" w:cs="Arial"/>
                <w:color w:val="000000" w:themeColor="text1"/>
                <w:sz w:val="20"/>
                <w:szCs w:val="20"/>
                <w:lang w:val="hr-HR"/>
              </w:rPr>
            </w:pPr>
            <w:r w:rsidRPr="00612687">
              <w:rPr>
                <w:rFonts w:ascii="Arial" w:eastAsia="Calibri" w:hAnsi="Arial" w:cs="Arial"/>
                <w:color w:val="000000" w:themeColor="text1"/>
                <w:sz w:val="20"/>
                <w:szCs w:val="20"/>
                <w:lang w:val="hr-HR"/>
              </w:rPr>
              <w:t>831</w:t>
            </w:r>
          </w:p>
        </w:tc>
      </w:tr>
      <w:tr w:rsidR="004E2F51" w:rsidRPr="005A00FA" w14:paraId="3A691A9D" w14:textId="77777777" w:rsidTr="00E032FC">
        <w:trPr>
          <w:trHeight w:val="392"/>
        </w:trPr>
        <w:tc>
          <w:tcPr>
            <w:tcW w:w="4403" w:type="dxa"/>
            <w:tcBorders>
              <w:top w:val="nil"/>
              <w:left w:val="nil"/>
              <w:bottom w:val="nil"/>
              <w:right w:val="nil"/>
            </w:tcBorders>
            <w:shd w:val="clear" w:color="auto" w:fill="auto"/>
            <w:vAlign w:val="bottom"/>
          </w:tcPr>
          <w:p w14:paraId="6BC36361" w14:textId="77777777" w:rsidR="004E2F51" w:rsidRPr="00E35011" w:rsidRDefault="004E2F51" w:rsidP="00E032FC">
            <w:pPr>
              <w:rPr>
                <w:rFonts w:ascii="Arial" w:eastAsia="Calibri" w:hAnsi="Arial" w:cs="Arial"/>
                <w:b/>
                <w:bCs/>
                <w:color w:val="000000" w:themeColor="text1"/>
                <w:sz w:val="20"/>
                <w:szCs w:val="20"/>
                <w:lang w:val="hr-HR"/>
              </w:rPr>
            </w:pPr>
            <w:r w:rsidRPr="00E35011">
              <w:rPr>
                <w:rFonts w:ascii="Arial" w:eastAsia="Calibri" w:hAnsi="Arial" w:cs="Arial"/>
                <w:b/>
                <w:bCs/>
                <w:color w:val="000000" w:themeColor="text1"/>
                <w:sz w:val="20"/>
                <w:szCs w:val="20"/>
                <w:lang w:val="hr-HR"/>
              </w:rPr>
              <w:t>Stanje na kraju izvještajnog razdoblja – Rezerviranja za očekivane gubitke po ostalim obvezama</w:t>
            </w:r>
          </w:p>
        </w:tc>
        <w:tc>
          <w:tcPr>
            <w:tcW w:w="1277" w:type="dxa"/>
            <w:tcBorders>
              <w:top w:val="single" w:sz="4" w:space="0" w:color="auto"/>
              <w:left w:val="nil"/>
              <w:bottom w:val="single" w:sz="12" w:space="0" w:color="auto"/>
              <w:right w:val="nil"/>
            </w:tcBorders>
            <w:shd w:val="clear" w:color="auto" w:fill="auto"/>
            <w:noWrap/>
            <w:vAlign w:val="bottom"/>
          </w:tcPr>
          <w:p w14:paraId="41C87BA5" w14:textId="77777777" w:rsidR="004E2F51" w:rsidRPr="00E35011" w:rsidRDefault="004E2F51" w:rsidP="00E032FC">
            <w:pPr>
              <w:jc w:val="right"/>
              <w:rPr>
                <w:rFonts w:ascii="Arial" w:eastAsia="Calibri" w:hAnsi="Arial" w:cs="Arial"/>
                <w:b/>
                <w:color w:val="000000" w:themeColor="text1"/>
                <w:sz w:val="20"/>
                <w:szCs w:val="20"/>
                <w:lang w:val="hr-HR"/>
              </w:rPr>
            </w:pPr>
            <w:r w:rsidRPr="00BB3E29">
              <w:rPr>
                <w:rFonts w:ascii="Arial" w:eastAsia="Calibri" w:hAnsi="Arial" w:cs="Arial"/>
                <w:b/>
                <w:color w:val="000000" w:themeColor="text1"/>
                <w:sz w:val="20"/>
                <w:szCs w:val="20"/>
                <w:lang w:val="hr-HR"/>
              </w:rPr>
              <w:t>61.989</w:t>
            </w:r>
          </w:p>
        </w:tc>
        <w:tc>
          <w:tcPr>
            <w:tcW w:w="1277" w:type="dxa"/>
            <w:tcBorders>
              <w:top w:val="single" w:sz="4" w:space="0" w:color="auto"/>
              <w:left w:val="nil"/>
              <w:bottom w:val="single" w:sz="12" w:space="0" w:color="auto"/>
              <w:right w:val="nil"/>
            </w:tcBorders>
            <w:shd w:val="clear" w:color="auto" w:fill="auto"/>
            <w:vAlign w:val="bottom"/>
          </w:tcPr>
          <w:p w14:paraId="433C4913" w14:textId="77777777" w:rsidR="004E2F51" w:rsidRPr="00E35011" w:rsidRDefault="004E2F51" w:rsidP="00E032FC">
            <w:pPr>
              <w:jc w:val="right"/>
              <w:rPr>
                <w:rFonts w:ascii="Arial" w:eastAsia="Calibri" w:hAnsi="Arial" w:cs="Arial"/>
                <w:b/>
                <w:color w:val="000000" w:themeColor="text1"/>
                <w:sz w:val="20"/>
                <w:szCs w:val="20"/>
                <w:lang w:val="hr-HR"/>
              </w:rPr>
            </w:pPr>
            <w:r w:rsidRPr="00E35011">
              <w:rPr>
                <w:rFonts w:ascii="Arial" w:eastAsia="Calibri" w:hAnsi="Arial" w:cs="Arial"/>
                <w:b/>
                <w:color w:val="000000" w:themeColor="text1"/>
                <w:sz w:val="20"/>
                <w:szCs w:val="20"/>
                <w:lang w:val="hr-HR"/>
              </w:rPr>
              <w:t>60.973</w:t>
            </w:r>
          </w:p>
        </w:tc>
        <w:tc>
          <w:tcPr>
            <w:tcW w:w="1277" w:type="dxa"/>
            <w:tcBorders>
              <w:top w:val="single" w:sz="4" w:space="0" w:color="auto"/>
              <w:left w:val="nil"/>
              <w:bottom w:val="single" w:sz="12" w:space="0" w:color="auto"/>
              <w:right w:val="nil"/>
            </w:tcBorders>
            <w:shd w:val="clear" w:color="auto" w:fill="auto"/>
            <w:vAlign w:val="bottom"/>
          </w:tcPr>
          <w:p w14:paraId="7ACC3976" w14:textId="77777777" w:rsidR="004E2F51" w:rsidRPr="00E35011" w:rsidRDefault="004E2F51" w:rsidP="00E032FC">
            <w:pPr>
              <w:jc w:val="right"/>
              <w:rPr>
                <w:rFonts w:ascii="Arial" w:eastAsia="Calibri" w:hAnsi="Arial" w:cs="Arial"/>
                <w:b/>
                <w:color w:val="000000" w:themeColor="text1"/>
                <w:sz w:val="20"/>
                <w:szCs w:val="20"/>
                <w:lang w:val="hr-HR"/>
              </w:rPr>
            </w:pPr>
            <w:r w:rsidRPr="00BB3E29">
              <w:rPr>
                <w:rFonts w:ascii="Arial" w:eastAsia="Calibri" w:hAnsi="Arial" w:cs="Arial"/>
                <w:b/>
                <w:color w:val="000000" w:themeColor="text1"/>
                <w:sz w:val="20"/>
                <w:szCs w:val="20"/>
                <w:lang w:val="hr-HR"/>
              </w:rPr>
              <w:t>61.949</w:t>
            </w:r>
          </w:p>
        </w:tc>
        <w:tc>
          <w:tcPr>
            <w:tcW w:w="1277" w:type="dxa"/>
            <w:tcBorders>
              <w:top w:val="single" w:sz="4" w:space="0" w:color="auto"/>
              <w:left w:val="nil"/>
              <w:bottom w:val="single" w:sz="12" w:space="0" w:color="auto"/>
              <w:right w:val="nil"/>
            </w:tcBorders>
            <w:vAlign w:val="bottom"/>
          </w:tcPr>
          <w:p w14:paraId="07C562B9" w14:textId="77777777" w:rsidR="004E2F51" w:rsidRPr="00E35011" w:rsidRDefault="004E2F51" w:rsidP="00E032FC">
            <w:pPr>
              <w:jc w:val="right"/>
              <w:rPr>
                <w:rFonts w:ascii="Arial" w:eastAsia="Calibri" w:hAnsi="Arial" w:cs="Arial"/>
                <w:b/>
                <w:color w:val="000000" w:themeColor="text1"/>
                <w:sz w:val="20"/>
                <w:szCs w:val="20"/>
                <w:lang w:val="hr-HR"/>
              </w:rPr>
            </w:pPr>
            <w:r w:rsidRPr="00E35011">
              <w:rPr>
                <w:rFonts w:ascii="Arial" w:eastAsia="Calibri" w:hAnsi="Arial" w:cs="Arial"/>
                <w:b/>
                <w:color w:val="000000" w:themeColor="text1"/>
                <w:sz w:val="20"/>
                <w:szCs w:val="20"/>
                <w:lang w:val="hr-HR"/>
              </w:rPr>
              <w:t>60.716</w:t>
            </w:r>
          </w:p>
        </w:tc>
      </w:tr>
    </w:tbl>
    <w:p w14:paraId="6D2ED6D8" w14:textId="77777777" w:rsidR="004E2F51" w:rsidRPr="004B4498" w:rsidRDefault="004E2F51" w:rsidP="004E2F51">
      <w:pPr>
        <w:jc w:val="both"/>
        <w:rPr>
          <w:rFonts w:ascii="Arial" w:hAnsi="Arial" w:cs="Arial"/>
          <w:color w:val="000000" w:themeColor="text1"/>
          <w:sz w:val="20"/>
          <w:szCs w:val="20"/>
          <w:lang w:val="hr-HR"/>
        </w:rPr>
      </w:pPr>
    </w:p>
    <w:p w14:paraId="38F50631" w14:textId="77777777" w:rsidR="004E2F51" w:rsidRPr="004B4498" w:rsidRDefault="004E2F51" w:rsidP="004E2F51">
      <w:pPr>
        <w:jc w:val="both"/>
        <w:rPr>
          <w:rFonts w:ascii="Arial" w:hAnsi="Arial" w:cs="Arial"/>
          <w:color w:val="000000" w:themeColor="text1"/>
          <w:sz w:val="20"/>
          <w:szCs w:val="20"/>
          <w:lang w:val="hr-HR"/>
        </w:rPr>
      </w:pPr>
    </w:p>
    <w:p w14:paraId="2AFB6B08" w14:textId="77777777" w:rsidR="004E2F51" w:rsidRPr="004B4498" w:rsidRDefault="004E2F51" w:rsidP="004E2F51">
      <w:pPr>
        <w:rPr>
          <w:rFonts w:ascii="Arial" w:eastAsia="Calibri" w:hAnsi="Arial" w:cs="Arial"/>
          <w:color w:val="000000" w:themeColor="text1"/>
          <w:sz w:val="20"/>
          <w:szCs w:val="20"/>
          <w:lang w:val="hr-HR"/>
        </w:rPr>
      </w:pPr>
      <w:r w:rsidRPr="004B4498">
        <w:rPr>
          <w:rFonts w:ascii="Arial" w:eastAsia="Calibri" w:hAnsi="Arial" w:cs="Arial"/>
          <w:color w:val="000000" w:themeColor="text1"/>
          <w:sz w:val="20"/>
          <w:szCs w:val="20"/>
          <w:lang w:val="hr-HR"/>
        </w:rPr>
        <w:t>Neto dobit/(gubitak) od tečajnih razlika po rezerviranjima za očekivane gubitke prikazana je unutar Neto prihoda/(rashoda) od financijskih aktivnosti u Računu dobiti i gubitka.</w:t>
      </w:r>
    </w:p>
    <w:p w14:paraId="0A45D499" w14:textId="77777777" w:rsidR="004E2F51" w:rsidRPr="004B4498" w:rsidRDefault="004E2F51" w:rsidP="004E2F51">
      <w:pPr>
        <w:rPr>
          <w:rFonts w:ascii="Arial" w:eastAsia="Calibri" w:hAnsi="Arial" w:cs="Arial"/>
          <w:color w:val="000000" w:themeColor="text1"/>
          <w:sz w:val="20"/>
          <w:szCs w:val="20"/>
          <w:lang w:val="hr-HR"/>
        </w:rPr>
      </w:pPr>
    </w:p>
    <w:p w14:paraId="33F99805" w14:textId="77777777" w:rsidR="004E2F51" w:rsidRPr="00B91D09" w:rsidRDefault="004E2F51" w:rsidP="004E2F51">
      <w:pPr>
        <w:rPr>
          <w:rFonts w:ascii="Arial" w:eastAsia="Calibri" w:hAnsi="Arial" w:cs="Arial"/>
          <w:color w:val="000000" w:themeColor="text1"/>
          <w:sz w:val="22"/>
          <w:szCs w:val="22"/>
          <w:lang w:val="hr-HR"/>
        </w:rPr>
        <w:sectPr w:rsidR="004E2F51" w:rsidRPr="00B91D09" w:rsidSect="00623DBA">
          <w:footerReference w:type="default" r:id="rId151"/>
          <w:pgSz w:w="11906" w:h="16838"/>
          <w:pgMar w:top="1418" w:right="1134" w:bottom="1134" w:left="1418" w:header="708" w:footer="708" w:gutter="0"/>
          <w:cols w:space="708"/>
          <w:docGrid w:linePitch="360"/>
        </w:sectPr>
      </w:pPr>
    </w:p>
    <w:p w14:paraId="0949D8A1" w14:textId="77777777" w:rsidR="004E2F51" w:rsidRPr="004B4498" w:rsidRDefault="004E2F51" w:rsidP="004E2F51">
      <w:pPr>
        <w:keepNext/>
        <w:jc w:val="both"/>
        <w:rPr>
          <w:rFonts w:ascii="Arial" w:hAnsi="Arial" w:cs="Arial"/>
          <w:b/>
          <w:bCs/>
          <w:color w:val="000000" w:themeColor="text1"/>
          <w:sz w:val="20"/>
          <w:szCs w:val="20"/>
          <w:lang w:val="hr-HR"/>
        </w:rPr>
      </w:pPr>
    </w:p>
    <w:p w14:paraId="71083FAC" w14:textId="77777777" w:rsidR="004E2F51" w:rsidRPr="004B4498" w:rsidRDefault="004E2F51" w:rsidP="004E2F51">
      <w:pPr>
        <w:keepNext/>
        <w:tabs>
          <w:tab w:val="left" w:pos="567"/>
        </w:tabs>
        <w:jc w:val="both"/>
        <w:rPr>
          <w:rFonts w:ascii="Arial" w:hAnsi="Arial" w:cs="Arial"/>
          <w:b/>
          <w:bCs/>
          <w:color w:val="000000" w:themeColor="text1"/>
          <w:sz w:val="20"/>
          <w:szCs w:val="20"/>
          <w:lang w:val="hr-HR"/>
        </w:rPr>
      </w:pPr>
      <w:r w:rsidRPr="004B4498">
        <w:rPr>
          <w:rFonts w:ascii="Arial" w:hAnsi="Arial" w:cs="Arial"/>
          <w:b/>
          <w:bCs/>
          <w:color w:val="000000" w:themeColor="text1"/>
          <w:sz w:val="20"/>
          <w:szCs w:val="20"/>
          <w:lang w:val="hr-HR"/>
        </w:rPr>
        <w:t>2</w:t>
      </w:r>
      <w:r>
        <w:rPr>
          <w:rFonts w:ascii="Arial" w:hAnsi="Arial" w:cs="Arial"/>
          <w:b/>
          <w:bCs/>
          <w:color w:val="000000" w:themeColor="text1"/>
          <w:sz w:val="20"/>
          <w:szCs w:val="20"/>
          <w:lang w:val="hr-HR"/>
        </w:rPr>
        <w:t>4</w:t>
      </w:r>
      <w:r w:rsidRPr="004B4498">
        <w:rPr>
          <w:rFonts w:ascii="Arial" w:hAnsi="Arial" w:cs="Arial"/>
          <w:b/>
          <w:bCs/>
          <w:color w:val="000000" w:themeColor="text1"/>
          <w:sz w:val="20"/>
          <w:szCs w:val="20"/>
          <w:lang w:val="hr-HR"/>
        </w:rPr>
        <w:t>.</w:t>
      </w:r>
      <w:r w:rsidRPr="004B4498">
        <w:rPr>
          <w:rFonts w:ascii="Arial" w:hAnsi="Arial" w:cs="Arial"/>
          <w:b/>
          <w:bCs/>
          <w:color w:val="000000" w:themeColor="text1"/>
          <w:sz w:val="20"/>
          <w:szCs w:val="20"/>
          <w:lang w:val="hr-HR"/>
        </w:rPr>
        <w:tab/>
        <w:t>Rezerviranja za garancije, preuzete i ostale obveze (nastavak)</w:t>
      </w:r>
    </w:p>
    <w:p w14:paraId="647FA99C" w14:textId="77777777" w:rsidR="004E2F51" w:rsidRPr="004B4498" w:rsidRDefault="004E2F51" w:rsidP="004E2F51">
      <w:pPr>
        <w:keepNext/>
        <w:jc w:val="both"/>
        <w:rPr>
          <w:rFonts w:ascii="Arial" w:hAnsi="Arial" w:cs="Arial"/>
          <w:b/>
          <w:bCs/>
          <w:color w:val="000000" w:themeColor="text1"/>
          <w:sz w:val="20"/>
          <w:szCs w:val="20"/>
          <w:lang w:val="hr-HR"/>
        </w:rPr>
      </w:pPr>
    </w:p>
    <w:p w14:paraId="109AB6E4"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Od ukupnog iznosa rezerviranja za garancije i preuzete obveze na financijske institucije se odnosi iznos od  </w:t>
      </w:r>
      <w:r w:rsidRPr="00BB3E29">
        <w:rPr>
          <w:rFonts w:ascii="Arial" w:hAnsi="Arial" w:cs="Arial"/>
          <w:color w:val="000000" w:themeColor="text1"/>
          <w:sz w:val="20"/>
          <w:szCs w:val="20"/>
          <w:lang w:val="hr-HR"/>
        </w:rPr>
        <w:t>1.328 tisuća kuna</w:t>
      </w:r>
      <w:r w:rsidRPr="004B4498">
        <w:rPr>
          <w:rFonts w:ascii="Arial" w:hAnsi="Arial" w:cs="Arial"/>
          <w:color w:val="000000" w:themeColor="text1"/>
          <w:sz w:val="20"/>
          <w:szCs w:val="20"/>
          <w:lang w:val="hr-HR"/>
        </w:rPr>
        <w:t xml:space="preserve"> (31. prosinca 2021.: 2.695 tisuća kuna), domaća trgovačka društva iznos od </w:t>
      </w:r>
      <w:r w:rsidRPr="00BB3E29">
        <w:rPr>
          <w:rFonts w:ascii="Arial" w:hAnsi="Arial" w:cs="Arial"/>
          <w:color w:val="000000" w:themeColor="text1"/>
          <w:sz w:val="20"/>
          <w:szCs w:val="20"/>
          <w:lang w:val="hr-HR"/>
        </w:rPr>
        <w:t>77.</w:t>
      </w:r>
      <w:r>
        <w:rPr>
          <w:rFonts w:ascii="Arial" w:hAnsi="Arial" w:cs="Arial"/>
          <w:color w:val="000000" w:themeColor="text1"/>
          <w:sz w:val="20"/>
          <w:szCs w:val="20"/>
          <w:lang w:val="hr-HR"/>
        </w:rPr>
        <w:t>739</w:t>
      </w:r>
      <w:r w:rsidRPr="004B4498">
        <w:rPr>
          <w:rFonts w:ascii="Arial" w:hAnsi="Arial" w:cs="Arial"/>
          <w:color w:val="000000" w:themeColor="text1"/>
          <w:sz w:val="20"/>
          <w:szCs w:val="20"/>
          <w:lang w:val="hr-HR"/>
        </w:rPr>
        <w:t xml:space="preserve">  tisuća kuna (31. prosinca 2021.: 125.172 tisuća kuna), javni sektor iznos od </w:t>
      </w:r>
      <w:r>
        <w:rPr>
          <w:rFonts w:ascii="Arial" w:hAnsi="Arial" w:cs="Arial"/>
          <w:color w:val="000000" w:themeColor="text1"/>
          <w:sz w:val="20"/>
          <w:szCs w:val="20"/>
          <w:lang w:val="hr-HR"/>
        </w:rPr>
        <w:t>45</w:t>
      </w:r>
      <w:r w:rsidRPr="004B4498">
        <w:rPr>
          <w:rFonts w:ascii="Arial" w:hAnsi="Arial" w:cs="Arial"/>
          <w:color w:val="000000" w:themeColor="text1"/>
          <w:sz w:val="20"/>
          <w:szCs w:val="20"/>
          <w:lang w:val="hr-HR"/>
        </w:rPr>
        <w:t xml:space="preserve"> tisuća kuna (31. prosinca 2021.: 1.371 tisuća kuna) na neprofitne institucije </w:t>
      </w:r>
      <w:r>
        <w:rPr>
          <w:rFonts w:ascii="Arial" w:hAnsi="Arial" w:cs="Arial"/>
          <w:color w:val="000000" w:themeColor="text1"/>
          <w:sz w:val="20"/>
          <w:szCs w:val="20"/>
          <w:lang w:val="hr-HR"/>
        </w:rPr>
        <w:t>1.140</w:t>
      </w:r>
      <w:r w:rsidRPr="004B4498">
        <w:rPr>
          <w:rFonts w:ascii="Arial" w:hAnsi="Arial" w:cs="Arial"/>
          <w:color w:val="000000" w:themeColor="text1"/>
          <w:sz w:val="20"/>
          <w:szCs w:val="20"/>
          <w:lang w:val="hr-HR"/>
        </w:rPr>
        <w:t xml:space="preserve"> tisuća kuna (31. prosinca 2021.: 239 tisuća kuna) te na ostalo iznos od </w:t>
      </w:r>
      <w:r>
        <w:rPr>
          <w:rFonts w:ascii="Arial" w:hAnsi="Arial" w:cs="Arial"/>
          <w:color w:val="000000" w:themeColor="text1"/>
          <w:sz w:val="20"/>
          <w:szCs w:val="20"/>
          <w:lang w:val="hr-HR"/>
        </w:rPr>
        <w:t>474</w:t>
      </w:r>
      <w:r w:rsidRPr="004B4498">
        <w:rPr>
          <w:rFonts w:ascii="Arial" w:hAnsi="Arial" w:cs="Arial"/>
          <w:color w:val="000000" w:themeColor="text1"/>
          <w:sz w:val="20"/>
          <w:szCs w:val="20"/>
          <w:lang w:val="hr-HR"/>
        </w:rPr>
        <w:t xml:space="preserve"> tisuća kuna (31. prosinca 2021.: 110 tisuća kuna).</w:t>
      </w:r>
    </w:p>
    <w:p w14:paraId="1A670DEA" w14:textId="77777777" w:rsidR="004E2F51" w:rsidRPr="004B4498" w:rsidRDefault="004E2F51" w:rsidP="004E2F51">
      <w:pPr>
        <w:pStyle w:val="T1"/>
        <w:spacing w:before="0" w:after="0" w:line="240" w:lineRule="auto"/>
        <w:rPr>
          <w:rFonts w:cs="Arial"/>
          <w:color w:val="000000" w:themeColor="text1"/>
          <w:sz w:val="20"/>
          <w:lang w:val="hr-HR"/>
        </w:rPr>
      </w:pPr>
    </w:p>
    <w:p w14:paraId="7E8D8F9D" w14:textId="77777777" w:rsidR="004E2F51" w:rsidRPr="004B4498" w:rsidRDefault="004E2F51" w:rsidP="004E2F51">
      <w:pPr>
        <w:pStyle w:val="Default"/>
        <w:jc w:val="both"/>
        <w:rPr>
          <w:color w:val="000000" w:themeColor="text1"/>
          <w:sz w:val="20"/>
          <w:szCs w:val="20"/>
        </w:rPr>
      </w:pPr>
      <w:r w:rsidRPr="004B4498">
        <w:rPr>
          <w:color w:val="000000" w:themeColor="text1"/>
          <w:sz w:val="20"/>
          <w:szCs w:val="20"/>
        </w:rPr>
        <w:t xml:space="preserve">Rezerviranja za ostale obveze u 2022. godini iznose za Grupu ukupno </w:t>
      </w:r>
      <w:r>
        <w:rPr>
          <w:color w:val="000000" w:themeColor="text1"/>
          <w:sz w:val="20"/>
          <w:szCs w:val="20"/>
        </w:rPr>
        <w:t>61.989</w:t>
      </w:r>
      <w:r w:rsidRPr="004B4498">
        <w:rPr>
          <w:color w:val="000000" w:themeColor="text1"/>
          <w:sz w:val="20"/>
          <w:szCs w:val="20"/>
        </w:rPr>
        <w:t xml:space="preserve"> tisuća kuna (31. prosinca 2021.: 60.973 tisuća kuna), a za Banku iznose </w:t>
      </w:r>
      <w:r>
        <w:rPr>
          <w:color w:val="000000" w:themeColor="text1"/>
          <w:sz w:val="20"/>
          <w:szCs w:val="20"/>
        </w:rPr>
        <w:t>61.949</w:t>
      </w:r>
      <w:r w:rsidRPr="004B4498">
        <w:rPr>
          <w:color w:val="000000" w:themeColor="text1"/>
          <w:sz w:val="20"/>
          <w:szCs w:val="20"/>
        </w:rPr>
        <w:t xml:space="preserve"> tisuća kuna (31. prosinca 2021.: 60.716 tisuća kuna). Od ukupnog iznosa rezerviranja za ostale obveze na sudske sporove koji se vode protiv Banke za Grupu i Banku odnosi se iznos od </w:t>
      </w:r>
      <w:r>
        <w:rPr>
          <w:color w:val="000000" w:themeColor="text1"/>
          <w:sz w:val="20"/>
          <w:szCs w:val="20"/>
        </w:rPr>
        <w:t>10.174</w:t>
      </w:r>
      <w:r w:rsidRPr="004B4498">
        <w:rPr>
          <w:color w:val="000000" w:themeColor="text1"/>
          <w:sz w:val="20"/>
          <w:szCs w:val="20"/>
        </w:rPr>
        <w:t xml:space="preserve"> tisuća kuna (31. prosinca 2021.: 8.204 tisuća kuna), na obveze temeljem definiranih naknada sukladno MRS-u 19 Primanja zaposlenih za Grupu i Banku iznos od </w:t>
      </w:r>
      <w:r>
        <w:rPr>
          <w:color w:val="000000" w:themeColor="text1"/>
          <w:sz w:val="20"/>
          <w:szCs w:val="20"/>
        </w:rPr>
        <w:t>39.570</w:t>
      </w:r>
      <w:r w:rsidRPr="004B4498">
        <w:rPr>
          <w:color w:val="000000" w:themeColor="text1"/>
          <w:sz w:val="20"/>
          <w:szCs w:val="20"/>
        </w:rPr>
        <w:t xml:space="preserve"> tisuća kuna (31. prosinca 2021.: 38.304 tisuća kuna), te na rezerviranja za ostale obveze sukladno MRS-u 37 Rezerviranja, nepredvidive obveze i nepredvidiva imovina za Grupu iznos od </w:t>
      </w:r>
      <w:r>
        <w:rPr>
          <w:color w:val="000000" w:themeColor="text1"/>
          <w:sz w:val="20"/>
          <w:szCs w:val="20"/>
        </w:rPr>
        <w:t>12.245</w:t>
      </w:r>
      <w:r w:rsidRPr="004B4498">
        <w:rPr>
          <w:color w:val="000000" w:themeColor="text1"/>
          <w:sz w:val="20"/>
          <w:szCs w:val="20"/>
        </w:rPr>
        <w:t xml:space="preserve"> tisuća kuna (31. prosinca 2021.: 14.465 tisuća kuna) te za Banku </w:t>
      </w:r>
      <w:r w:rsidRPr="00830FE5">
        <w:rPr>
          <w:color w:val="000000" w:themeColor="text1"/>
          <w:sz w:val="20"/>
          <w:szCs w:val="20"/>
        </w:rPr>
        <w:t>12.205</w:t>
      </w:r>
      <w:r w:rsidRPr="004B4498">
        <w:rPr>
          <w:color w:val="000000" w:themeColor="text1"/>
          <w:sz w:val="20"/>
          <w:szCs w:val="20"/>
        </w:rPr>
        <w:t xml:space="preserve"> tisuća kuna (31. prosinca 2021.: 14.208 tisuća kuna). </w:t>
      </w:r>
    </w:p>
    <w:p w14:paraId="17CB706D" w14:textId="77777777" w:rsidR="004E2F51" w:rsidRPr="004B4498" w:rsidRDefault="004E2F51" w:rsidP="004E2F51">
      <w:pPr>
        <w:pStyle w:val="Default"/>
        <w:jc w:val="both"/>
        <w:rPr>
          <w:rFonts w:eastAsia="Times New Roman"/>
          <w:color w:val="000000" w:themeColor="text1"/>
          <w:sz w:val="20"/>
          <w:szCs w:val="20"/>
          <w:highlight w:val="yellow"/>
        </w:rPr>
      </w:pPr>
    </w:p>
    <w:p w14:paraId="72A4B8C5" w14:textId="77777777" w:rsidR="004E2F51" w:rsidRPr="00165E42" w:rsidRDefault="004E2F51" w:rsidP="004E2F51">
      <w:pPr>
        <w:pStyle w:val="Default"/>
        <w:jc w:val="both"/>
        <w:rPr>
          <w:color w:val="000000" w:themeColor="text1"/>
          <w:sz w:val="20"/>
          <w:szCs w:val="20"/>
        </w:rPr>
      </w:pPr>
      <w:r w:rsidRPr="00165E42">
        <w:rPr>
          <w:color w:val="000000" w:themeColor="text1"/>
          <w:sz w:val="20"/>
          <w:szCs w:val="20"/>
        </w:rPr>
        <w:t>Posljednju aktuarsku procjenu sadašnje vrijednosti obveza temeljem definiranih naknada na dan 31. prosinca 2022. obavio je ovlašteni aktuar. U modelu su u obzir uzete smrtnost, fluktuacija zaposlenih, stopa rasta definiranih naknada i diskontna stopa, a pri izračunu su za svakog zaposlenika uzeti u obzir starost, spol, broj godina staža, očekivana smrtnost i diskontna stopa, odnosno dugoročno održiva stopa prinosa na obveznice Republike Hrvatske.</w:t>
      </w:r>
    </w:p>
    <w:p w14:paraId="34516018" w14:textId="77777777" w:rsidR="004E2F51" w:rsidRPr="00165E42" w:rsidRDefault="004E2F51" w:rsidP="004E2F51">
      <w:pPr>
        <w:pStyle w:val="Default"/>
        <w:jc w:val="both"/>
        <w:rPr>
          <w:color w:val="000000" w:themeColor="text1"/>
          <w:sz w:val="20"/>
          <w:szCs w:val="20"/>
        </w:rPr>
      </w:pPr>
    </w:p>
    <w:p w14:paraId="30E03C61" w14:textId="77777777" w:rsidR="004E2F51" w:rsidRPr="00165E42" w:rsidRDefault="004E2F51" w:rsidP="004E2F51">
      <w:pPr>
        <w:pStyle w:val="Default"/>
        <w:jc w:val="both"/>
        <w:rPr>
          <w:color w:val="000000" w:themeColor="text1"/>
          <w:sz w:val="20"/>
          <w:szCs w:val="20"/>
        </w:rPr>
      </w:pPr>
      <w:r w:rsidRPr="00165E42">
        <w:rPr>
          <w:color w:val="000000" w:themeColor="text1"/>
          <w:sz w:val="20"/>
          <w:szCs w:val="20"/>
        </w:rPr>
        <w:t>Primijenjena diskontna stopa koja predstavlja dugoročno održivu stopu prinosa na obveznice Republike Hrvatske iznosi 1,80%, dok je prethodne godine iznosila 1,25%.</w:t>
      </w:r>
    </w:p>
    <w:p w14:paraId="25792FE7" w14:textId="77777777" w:rsidR="004E2F51" w:rsidRPr="00165E42" w:rsidRDefault="004E2F51" w:rsidP="004E2F51">
      <w:pPr>
        <w:pStyle w:val="Default"/>
        <w:jc w:val="both"/>
        <w:rPr>
          <w:color w:val="000000" w:themeColor="text1"/>
          <w:sz w:val="20"/>
          <w:szCs w:val="20"/>
        </w:rPr>
      </w:pPr>
    </w:p>
    <w:p w14:paraId="352F8284" w14:textId="77777777" w:rsidR="004E2F51" w:rsidRPr="00165E42" w:rsidRDefault="004E2F51" w:rsidP="004E2F51">
      <w:pPr>
        <w:pStyle w:val="Default"/>
        <w:jc w:val="both"/>
        <w:rPr>
          <w:color w:val="000000" w:themeColor="text1"/>
          <w:sz w:val="20"/>
          <w:szCs w:val="20"/>
        </w:rPr>
        <w:sectPr w:rsidR="004E2F51" w:rsidRPr="00165E42" w:rsidSect="00623DBA">
          <w:footerReference w:type="default" r:id="rId152"/>
          <w:pgSz w:w="11907" w:h="16840" w:code="9"/>
          <w:pgMar w:top="1418" w:right="1134" w:bottom="1134" w:left="1418" w:header="851" w:footer="851" w:gutter="0"/>
          <w:cols w:space="720"/>
          <w:noEndnote/>
        </w:sectPr>
      </w:pPr>
      <w:r w:rsidRPr="00165E42">
        <w:rPr>
          <w:color w:val="000000" w:themeColor="text1"/>
          <w:sz w:val="20"/>
          <w:szCs w:val="20"/>
        </w:rPr>
        <w:t>Nerealizirani aktuarski dobici/(gubici) koji proizlaze iz izračuna rezerviranja iskazani su u okviru ostale sveobuhvatne dobiti kako bi neto imovina ili obveza odrazila punu vrijednost manjka, odnosno viška u planu</w:t>
      </w:r>
      <w:r>
        <w:rPr>
          <w:color w:val="000000" w:themeColor="text1"/>
          <w:sz w:val="20"/>
          <w:szCs w:val="20"/>
        </w:rPr>
        <w:t>.</w:t>
      </w:r>
    </w:p>
    <w:p w14:paraId="7AAED45F" w14:textId="77777777" w:rsidR="004E2F51" w:rsidRPr="004B4498" w:rsidRDefault="004E2F51" w:rsidP="004E2F51">
      <w:pPr>
        <w:pStyle w:val="T1"/>
        <w:spacing w:before="0" w:after="0" w:line="240" w:lineRule="auto"/>
        <w:rPr>
          <w:rFonts w:cs="Arial"/>
          <w:color w:val="000000" w:themeColor="text1"/>
          <w:sz w:val="20"/>
          <w:lang w:val="hr-HR"/>
        </w:rPr>
      </w:pPr>
    </w:p>
    <w:p w14:paraId="20163939"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Pr>
          <w:rFonts w:cs="Arial"/>
          <w:color w:val="000000" w:themeColor="text1"/>
          <w:sz w:val="20"/>
          <w:lang w:val="hr-HR"/>
        </w:rPr>
        <w:t>5</w:t>
      </w:r>
      <w:r w:rsidRPr="004B4498">
        <w:rPr>
          <w:rFonts w:cs="Arial"/>
          <w:color w:val="000000" w:themeColor="text1"/>
          <w:sz w:val="20"/>
          <w:lang w:val="hr-HR"/>
        </w:rPr>
        <w:t>.</w:t>
      </w:r>
      <w:r w:rsidRPr="004B4498">
        <w:rPr>
          <w:rFonts w:cs="Arial"/>
          <w:color w:val="000000" w:themeColor="text1"/>
          <w:sz w:val="20"/>
          <w:lang w:val="hr-HR"/>
        </w:rPr>
        <w:tab/>
        <w:t>Ostale obveze</w:t>
      </w:r>
    </w:p>
    <w:p w14:paraId="0F9E0B2A" w14:textId="77777777" w:rsidR="004E2F51" w:rsidRPr="00E35011" w:rsidRDefault="004E2F51" w:rsidP="004E2F51">
      <w:pPr>
        <w:tabs>
          <w:tab w:val="left" w:pos="-1843"/>
        </w:tabs>
        <w:rPr>
          <w:rFonts w:ascii="Arial" w:hAnsi="Arial" w:cs="Arial"/>
          <w:b/>
          <w:color w:val="000000" w:themeColor="text1"/>
          <w:spacing w:val="-3"/>
          <w:sz w:val="20"/>
          <w:szCs w:val="20"/>
          <w:lang w:val="hr-HR"/>
        </w:rPr>
      </w:pPr>
    </w:p>
    <w:tbl>
      <w:tblPr>
        <w:tblW w:w="5001" w:type="pct"/>
        <w:tblLayout w:type="fixed"/>
        <w:tblCellMar>
          <w:left w:w="119" w:type="dxa"/>
          <w:right w:w="119" w:type="dxa"/>
        </w:tblCellMar>
        <w:tblLook w:val="0000" w:firstRow="0" w:lastRow="0" w:firstColumn="0" w:lastColumn="0" w:noHBand="0" w:noVBand="0"/>
      </w:tblPr>
      <w:tblGrid>
        <w:gridCol w:w="3686"/>
        <w:gridCol w:w="1418"/>
        <w:gridCol w:w="1419"/>
        <w:gridCol w:w="1417"/>
        <w:gridCol w:w="1417"/>
      </w:tblGrid>
      <w:tr w:rsidR="004E2F51" w:rsidRPr="00E35011" w14:paraId="1B8CF726" w14:textId="77777777" w:rsidTr="00E032FC">
        <w:trPr>
          <w:trHeight w:val="216"/>
        </w:trPr>
        <w:tc>
          <w:tcPr>
            <w:tcW w:w="1970" w:type="pct"/>
          </w:tcPr>
          <w:p w14:paraId="3D1EFA5D" w14:textId="77777777" w:rsidR="004E2F51" w:rsidRPr="00E35011" w:rsidRDefault="004E2F51" w:rsidP="00E032FC">
            <w:pPr>
              <w:tabs>
                <w:tab w:val="left" w:pos="-1843"/>
              </w:tabs>
              <w:rPr>
                <w:rFonts w:ascii="Arial" w:hAnsi="Arial" w:cs="Arial"/>
                <w:color w:val="000000" w:themeColor="text1"/>
                <w:spacing w:val="-2"/>
                <w:sz w:val="20"/>
                <w:szCs w:val="20"/>
              </w:rPr>
            </w:pPr>
          </w:p>
        </w:tc>
        <w:tc>
          <w:tcPr>
            <w:tcW w:w="1515" w:type="pct"/>
            <w:gridSpan w:val="2"/>
          </w:tcPr>
          <w:p w14:paraId="68778CC9" w14:textId="77777777" w:rsidR="004E2F51" w:rsidRPr="00E35011" w:rsidRDefault="004E2F51" w:rsidP="00E032FC">
            <w:pPr>
              <w:pStyle w:val="TH"/>
              <w:jc w:val="right"/>
              <w:rPr>
                <w:rFonts w:cs="Arial"/>
                <w:color w:val="000000" w:themeColor="text1"/>
                <w:sz w:val="20"/>
                <w:lang w:val="hr-HR"/>
              </w:rPr>
            </w:pPr>
            <w:bookmarkStart w:id="1264" w:name="_Toc67328788"/>
            <w:r w:rsidRPr="00E35011">
              <w:rPr>
                <w:rFonts w:cs="Arial"/>
                <w:color w:val="000000" w:themeColor="text1"/>
                <w:sz w:val="20"/>
                <w:lang w:val="hr-HR"/>
              </w:rPr>
              <w:t>Grupa</w:t>
            </w:r>
            <w:bookmarkEnd w:id="1264"/>
          </w:p>
        </w:tc>
        <w:tc>
          <w:tcPr>
            <w:tcW w:w="1515" w:type="pct"/>
            <w:gridSpan w:val="2"/>
          </w:tcPr>
          <w:p w14:paraId="4D60F467" w14:textId="77777777" w:rsidR="004E2F51" w:rsidRPr="00E35011" w:rsidRDefault="004E2F51" w:rsidP="00E032FC">
            <w:pPr>
              <w:pStyle w:val="TH"/>
              <w:jc w:val="right"/>
              <w:rPr>
                <w:rFonts w:cs="Arial"/>
                <w:color w:val="000000" w:themeColor="text1"/>
                <w:sz w:val="20"/>
                <w:lang w:val="hr-HR"/>
              </w:rPr>
            </w:pPr>
            <w:bookmarkStart w:id="1265" w:name="_Toc67328789"/>
            <w:r w:rsidRPr="00E35011">
              <w:rPr>
                <w:rFonts w:cs="Arial"/>
                <w:color w:val="000000" w:themeColor="text1"/>
                <w:sz w:val="20"/>
                <w:lang w:val="hr-HR"/>
              </w:rPr>
              <w:t>Banka</w:t>
            </w:r>
            <w:bookmarkEnd w:id="1265"/>
          </w:p>
        </w:tc>
      </w:tr>
      <w:tr w:rsidR="004E2F51" w:rsidRPr="00E35011" w14:paraId="2F58E815" w14:textId="77777777" w:rsidTr="00E032FC">
        <w:trPr>
          <w:trHeight w:val="590"/>
        </w:trPr>
        <w:tc>
          <w:tcPr>
            <w:tcW w:w="1970" w:type="pct"/>
          </w:tcPr>
          <w:p w14:paraId="09F23D95" w14:textId="77777777" w:rsidR="004E2F51" w:rsidRPr="00E35011" w:rsidRDefault="004E2F51" w:rsidP="00E032FC">
            <w:pPr>
              <w:tabs>
                <w:tab w:val="left" w:pos="-1843"/>
              </w:tabs>
              <w:rPr>
                <w:rFonts w:ascii="Arial" w:hAnsi="Arial" w:cs="Arial"/>
                <w:color w:val="000000" w:themeColor="text1"/>
                <w:spacing w:val="-2"/>
                <w:sz w:val="20"/>
                <w:szCs w:val="20"/>
              </w:rPr>
            </w:pPr>
          </w:p>
        </w:tc>
        <w:tc>
          <w:tcPr>
            <w:tcW w:w="758" w:type="pct"/>
            <w:vAlign w:val="center"/>
          </w:tcPr>
          <w:p w14:paraId="2D312943" w14:textId="77777777" w:rsidR="004E2F51" w:rsidRPr="00E35011" w:rsidRDefault="004E2F51" w:rsidP="00E032FC">
            <w:pPr>
              <w:pStyle w:val="TH"/>
              <w:jc w:val="right"/>
              <w:rPr>
                <w:rFonts w:cs="Arial"/>
                <w:color w:val="000000" w:themeColor="text1"/>
                <w:sz w:val="20"/>
                <w:lang w:val="hr-HR"/>
              </w:rPr>
            </w:pPr>
            <w:bookmarkStart w:id="1266" w:name="_Toc67328790"/>
            <w:r w:rsidRPr="00E35011">
              <w:rPr>
                <w:rFonts w:cs="Arial"/>
                <w:color w:val="000000" w:themeColor="text1"/>
                <w:sz w:val="20"/>
                <w:lang w:val="hr-HR"/>
              </w:rPr>
              <w:t>31. prosinca 2022.</w:t>
            </w:r>
            <w:bookmarkEnd w:id="1266"/>
          </w:p>
        </w:tc>
        <w:tc>
          <w:tcPr>
            <w:tcW w:w="758" w:type="pct"/>
            <w:vAlign w:val="center"/>
          </w:tcPr>
          <w:p w14:paraId="5208C8A7" w14:textId="77777777" w:rsidR="004E2F51" w:rsidRPr="00E35011" w:rsidRDefault="004E2F51" w:rsidP="00E032FC">
            <w:pPr>
              <w:pStyle w:val="TH"/>
              <w:jc w:val="right"/>
              <w:rPr>
                <w:rFonts w:cs="Arial"/>
                <w:color w:val="000000" w:themeColor="text1"/>
                <w:sz w:val="20"/>
                <w:lang w:val="hr-HR"/>
              </w:rPr>
            </w:pPr>
            <w:bookmarkStart w:id="1267" w:name="_Toc67328791"/>
            <w:r w:rsidRPr="00E35011">
              <w:rPr>
                <w:rFonts w:cs="Arial"/>
                <w:color w:val="000000" w:themeColor="text1"/>
                <w:sz w:val="20"/>
                <w:lang w:val="hr-HR"/>
              </w:rPr>
              <w:t>31. prosinca 2021.</w:t>
            </w:r>
            <w:bookmarkEnd w:id="1267"/>
          </w:p>
        </w:tc>
        <w:tc>
          <w:tcPr>
            <w:tcW w:w="757" w:type="pct"/>
            <w:vAlign w:val="center"/>
          </w:tcPr>
          <w:p w14:paraId="36069C4A" w14:textId="77777777" w:rsidR="004E2F51" w:rsidRPr="00E35011" w:rsidRDefault="004E2F51" w:rsidP="00E032FC">
            <w:pPr>
              <w:pStyle w:val="TH"/>
              <w:jc w:val="right"/>
              <w:rPr>
                <w:rFonts w:cs="Arial"/>
                <w:color w:val="000000" w:themeColor="text1"/>
                <w:sz w:val="20"/>
                <w:lang w:val="hr-HR"/>
              </w:rPr>
            </w:pPr>
            <w:bookmarkStart w:id="1268" w:name="_Toc67328792"/>
            <w:r w:rsidRPr="00E35011">
              <w:rPr>
                <w:rFonts w:cs="Arial"/>
                <w:color w:val="000000" w:themeColor="text1"/>
                <w:sz w:val="20"/>
                <w:lang w:val="hr-HR"/>
              </w:rPr>
              <w:t>31. prosinca 2022.</w:t>
            </w:r>
            <w:bookmarkEnd w:id="1268"/>
          </w:p>
        </w:tc>
        <w:tc>
          <w:tcPr>
            <w:tcW w:w="758" w:type="pct"/>
            <w:vAlign w:val="center"/>
          </w:tcPr>
          <w:p w14:paraId="36A692C2" w14:textId="77777777" w:rsidR="004E2F51" w:rsidRPr="00E35011" w:rsidRDefault="004E2F51" w:rsidP="00E032FC">
            <w:pPr>
              <w:pStyle w:val="TH"/>
              <w:jc w:val="right"/>
              <w:rPr>
                <w:rFonts w:cs="Arial"/>
                <w:color w:val="000000" w:themeColor="text1"/>
                <w:sz w:val="20"/>
                <w:lang w:val="hr-HR"/>
              </w:rPr>
            </w:pPr>
            <w:bookmarkStart w:id="1269" w:name="_Toc67328793"/>
            <w:r w:rsidRPr="00E35011">
              <w:rPr>
                <w:rFonts w:cs="Arial"/>
                <w:color w:val="000000" w:themeColor="text1"/>
                <w:sz w:val="20"/>
                <w:lang w:val="hr-HR"/>
              </w:rPr>
              <w:t>31. prosinca 2021.</w:t>
            </w:r>
            <w:bookmarkEnd w:id="1269"/>
          </w:p>
        </w:tc>
      </w:tr>
      <w:tr w:rsidR="004E2F51" w:rsidRPr="00E35011" w14:paraId="5D8BC706" w14:textId="77777777" w:rsidTr="00E032FC">
        <w:trPr>
          <w:trHeight w:val="216"/>
        </w:trPr>
        <w:tc>
          <w:tcPr>
            <w:tcW w:w="1970" w:type="pct"/>
          </w:tcPr>
          <w:p w14:paraId="00CC2BAC" w14:textId="77777777" w:rsidR="004E2F51" w:rsidRPr="00E35011" w:rsidRDefault="004E2F51" w:rsidP="00E032FC">
            <w:pPr>
              <w:tabs>
                <w:tab w:val="left" w:pos="-1843"/>
              </w:tabs>
              <w:rPr>
                <w:rFonts w:ascii="Arial" w:hAnsi="Arial" w:cs="Arial"/>
                <w:color w:val="000000" w:themeColor="text1"/>
                <w:spacing w:val="-2"/>
                <w:sz w:val="20"/>
                <w:szCs w:val="20"/>
              </w:rPr>
            </w:pPr>
          </w:p>
        </w:tc>
        <w:tc>
          <w:tcPr>
            <w:tcW w:w="758" w:type="pct"/>
          </w:tcPr>
          <w:p w14:paraId="33B4283F" w14:textId="77777777" w:rsidR="004E2F51" w:rsidRPr="00E35011" w:rsidRDefault="004E2F51" w:rsidP="00E032FC">
            <w:pPr>
              <w:pStyle w:val="TH"/>
              <w:jc w:val="right"/>
              <w:rPr>
                <w:rFonts w:cs="Arial"/>
                <w:color w:val="000000" w:themeColor="text1"/>
                <w:sz w:val="20"/>
                <w:lang w:val="hr-HR"/>
              </w:rPr>
            </w:pPr>
            <w:bookmarkStart w:id="1270" w:name="_Toc67328794"/>
            <w:r w:rsidRPr="00E35011">
              <w:rPr>
                <w:rFonts w:cs="Arial"/>
                <w:color w:val="000000" w:themeColor="text1"/>
                <w:sz w:val="20"/>
                <w:lang w:val="hr-HR"/>
              </w:rPr>
              <w:t>000 kuna</w:t>
            </w:r>
            <w:bookmarkEnd w:id="1270"/>
          </w:p>
        </w:tc>
        <w:tc>
          <w:tcPr>
            <w:tcW w:w="758" w:type="pct"/>
          </w:tcPr>
          <w:p w14:paraId="2178CCA9" w14:textId="77777777" w:rsidR="004E2F51" w:rsidRPr="00E35011" w:rsidRDefault="004E2F51" w:rsidP="00E032FC">
            <w:pPr>
              <w:pStyle w:val="TH"/>
              <w:jc w:val="right"/>
              <w:rPr>
                <w:rFonts w:cs="Arial"/>
                <w:color w:val="000000" w:themeColor="text1"/>
                <w:sz w:val="20"/>
                <w:lang w:val="hr-HR"/>
              </w:rPr>
            </w:pPr>
            <w:bookmarkStart w:id="1271" w:name="_Toc67328795"/>
            <w:r w:rsidRPr="00E35011">
              <w:rPr>
                <w:rFonts w:cs="Arial"/>
                <w:color w:val="000000" w:themeColor="text1"/>
                <w:sz w:val="20"/>
                <w:lang w:val="hr-HR"/>
              </w:rPr>
              <w:t>000 kuna</w:t>
            </w:r>
            <w:bookmarkEnd w:id="1271"/>
          </w:p>
        </w:tc>
        <w:tc>
          <w:tcPr>
            <w:tcW w:w="757" w:type="pct"/>
          </w:tcPr>
          <w:p w14:paraId="32503138" w14:textId="77777777" w:rsidR="004E2F51" w:rsidRPr="00E35011" w:rsidRDefault="004E2F51" w:rsidP="00E032FC">
            <w:pPr>
              <w:pStyle w:val="TH"/>
              <w:jc w:val="right"/>
              <w:rPr>
                <w:rFonts w:cs="Arial"/>
                <w:color w:val="000000" w:themeColor="text1"/>
                <w:sz w:val="20"/>
                <w:lang w:val="hr-HR"/>
              </w:rPr>
            </w:pPr>
            <w:bookmarkStart w:id="1272" w:name="_Toc67328796"/>
            <w:r w:rsidRPr="00E35011">
              <w:rPr>
                <w:rFonts w:cs="Arial"/>
                <w:color w:val="000000" w:themeColor="text1"/>
                <w:sz w:val="20"/>
                <w:lang w:val="hr-HR"/>
              </w:rPr>
              <w:t>000 kuna</w:t>
            </w:r>
            <w:bookmarkEnd w:id="1272"/>
          </w:p>
        </w:tc>
        <w:tc>
          <w:tcPr>
            <w:tcW w:w="758" w:type="pct"/>
          </w:tcPr>
          <w:p w14:paraId="497D0DEB" w14:textId="77777777" w:rsidR="004E2F51" w:rsidRPr="00E35011" w:rsidRDefault="004E2F51" w:rsidP="00E032FC">
            <w:pPr>
              <w:pStyle w:val="TH"/>
              <w:jc w:val="right"/>
              <w:rPr>
                <w:rFonts w:cs="Arial"/>
                <w:color w:val="000000" w:themeColor="text1"/>
                <w:sz w:val="20"/>
                <w:lang w:val="hr-HR"/>
              </w:rPr>
            </w:pPr>
            <w:bookmarkStart w:id="1273" w:name="_Toc67328797"/>
            <w:r w:rsidRPr="00E35011">
              <w:rPr>
                <w:rFonts w:cs="Arial"/>
                <w:color w:val="000000" w:themeColor="text1"/>
                <w:sz w:val="20"/>
                <w:lang w:val="hr-HR"/>
              </w:rPr>
              <w:t>000 kuna</w:t>
            </w:r>
            <w:bookmarkEnd w:id="1273"/>
          </w:p>
        </w:tc>
      </w:tr>
      <w:tr w:rsidR="004E2F51" w:rsidRPr="00E35011" w14:paraId="2E17C248" w14:textId="77777777" w:rsidTr="00E032FC">
        <w:trPr>
          <w:trHeight w:val="230"/>
        </w:trPr>
        <w:tc>
          <w:tcPr>
            <w:tcW w:w="1970" w:type="pct"/>
          </w:tcPr>
          <w:p w14:paraId="565F20D2" w14:textId="77777777" w:rsidR="004E2F51" w:rsidRPr="00E35011" w:rsidRDefault="004E2F51" w:rsidP="00E032FC">
            <w:pPr>
              <w:tabs>
                <w:tab w:val="left" w:pos="-1843"/>
              </w:tabs>
              <w:rPr>
                <w:rFonts w:ascii="Arial" w:hAnsi="Arial" w:cs="Arial"/>
                <w:color w:val="000000" w:themeColor="text1"/>
                <w:spacing w:val="-2"/>
                <w:sz w:val="20"/>
                <w:szCs w:val="20"/>
              </w:rPr>
            </w:pPr>
          </w:p>
        </w:tc>
        <w:tc>
          <w:tcPr>
            <w:tcW w:w="758" w:type="pct"/>
          </w:tcPr>
          <w:p w14:paraId="1A7B0ADB" w14:textId="77777777" w:rsidR="004E2F51" w:rsidRPr="00E35011" w:rsidRDefault="004E2F51" w:rsidP="00E032FC">
            <w:pPr>
              <w:pStyle w:val="TH"/>
              <w:jc w:val="right"/>
              <w:rPr>
                <w:rFonts w:cs="Arial"/>
                <w:b w:val="0"/>
                <w:bCs/>
                <w:color w:val="000000" w:themeColor="text1"/>
                <w:sz w:val="20"/>
                <w:lang w:val="hr-HR"/>
              </w:rPr>
            </w:pPr>
          </w:p>
        </w:tc>
        <w:tc>
          <w:tcPr>
            <w:tcW w:w="758" w:type="pct"/>
          </w:tcPr>
          <w:p w14:paraId="7D5C42FB" w14:textId="77777777" w:rsidR="004E2F51" w:rsidRPr="00E35011" w:rsidRDefault="004E2F51" w:rsidP="00E032FC">
            <w:pPr>
              <w:pStyle w:val="TH"/>
              <w:jc w:val="right"/>
              <w:rPr>
                <w:rFonts w:cs="Arial"/>
                <w:b w:val="0"/>
                <w:bCs/>
                <w:color w:val="000000" w:themeColor="text1"/>
                <w:sz w:val="20"/>
                <w:lang w:val="hr-HR"/>
              </w:rPr>
            </w:pPr>
          </w:p>
        </w:tc>
        <w:tc>
          <w:tcPr>
            <w:tcW w:w="757" w:type="pct"/>
            <w:vAlign w:val="bottom"/>
          </w:tcPr>
          <w:p w14:paraId="578285B4" w14:textId="77777777" w:rsidR="004E2F51" w:rsidRPr="00E35011" w:rsidRDefault="004E2F51" w:rsidP="00E032FC">
            <w:pPr>
              <w:pStyle w:val="TH"/>
              <w:jc w:val="right"/>
              <w:rPr>
                <w:rFonts w:cs="Arial"/>
                <w:b w:val="0"/>
                <w:bCs/>
                <w:color w:val="000000" w:themeColor="text1"/>
                <w:sz w:val="20"/>
                <w:lang w:val="hr-HR"/>
              </w:rPr>
            </w:pPr>
          </w:p>
        </w:tc>
        <w:tc>
          <w:tcPr>
            <w:tcW w:w="758" w:type="pct"/>
            <w:vAlign w:val="bottom"/>
          </w:tcPr>
          <w:p w14:paraId="4550213C" w14:textId="77777777" w:rsidR="004E2F51" w:rsidRPr="00E35011" w:rsidRDefault="004E2F51" w:rsidP="00E032FC">
            <w:pPr>
              <w:pStyle w:val="TH"/>
              <w:jc w:val="right"/>
              <w:rPr>
                <w:rFonts w:cs="Arial"/>
                <w:b w:val="0"/>
                <w:bCs/>
                <w:color w:val="000000" w:themeColor="text1"/>
                <w:sz w:val="20"/>
                <w:lang w:val="hr-HR"/>
              </w:rPr>
            </w:pPr>
          </w:p>
        </w:tc>
      </w:tr>
      <w:tr w:rsidR="004E2F51" w:rsidRPr="00E35011" w14:paraId="1ABE5653" w14:textId="77777777" w:rsidTr="00E032FC">
        <w:trPr>
          <w:trHeight w:val="239"/>
        </w:trPr>
        <w:tc>
          <w:tcPr>
            <w:tcW w:w="1970" w:type="pct"/>
            <w:vAlign w:val="center"/>
          </w:tcPr>
          <w:p w14:paraId="60850292" w14:textId="77777777" w:rsidR="004E2F51" w:rsidRPr="00E35011" w:rsidRDefault="004E2F51" w:rsidP="00E032FC">
            <w:pPr>
              <w:pStyle w:val="TT"/>
              <w:rPr>
                <w:rFonts w:cs="Arial"/>
                <w:color w:val="000000" w:themeColor="text1"/>
                <w:sz w:val="20"/>
                <w:lang w:val="hr-HR"/>
              </w:rPr>
            </w:pPr>
            <w:bookmarkStart w:id="1274" w:name="_Toc67328798"/>
            <w:bookmarkStart w:id="1275" w:name="_Hlk64901306"/>
            <w:r w:rsidRPr="00E35011">
              <w:rPr>
                <w:rFonts w:cs="Arial"/>
                <w:color w:val="000000" w:themeColor="text1"/>
                <w:sz w:val="20"/>
                <w:lang w:val="hr-HR"/>
              </w:rPr>
              <w:t>Obveze za subvencioniranje kamatne stope</w:t>
            </w:r>
            <w:r>
              <w:rPr>
                <w:rFonts w:cs="Arial"/>
                <w:color w:val="000000" w:themeColor="text1"/>
                <w:sz w:val="20"/>
                <w:lang w:val="hr-HR"/>
              </w:rPr>
              <w:t xml:space="preserve"> </w:t>
            </w:r>
            <w:r w:rsidRPr="00E35011">
              <w:rPr>
                <w:rFonts w:cs="Arial"/>
                <w:color w:val="000000" w:themeColor="text1"/>
                <w:sz w:val="20"/>
                <w:lang w:val="hr-HR"/>
              </w:rPr>
              <w:t>(a)</w:t>
            </w:r>
            <w:bookmarkEnd w:id="1274"/>
            <w:r w:rsidRPr="00E35011">
              <w:rPr>
                <w:rFonts w:cs="Arial"/>
                <w:color w:val="000000" w:themeColor="text1"/>
                <w:sz w:val="20"/>
                <w:lang w:val="hr-HR"/>
              </w:rPr>
              <w:t xml:space="preserve">  </w:t>
            </w:r>
          </w:p>
        </w:tc>
        <w:tc>
          <w:tcPr>
            <w:tcW w:w="758" w:type="pct"/>
            <w:tcBorders>
              <w:top w:val="nil"/>
              <w:left w:val="nil"/>
              <w:bottom w:val="nil"/>
              <w:right w:val="nil"/>
            </w:tcBorders>
            <w:shd w:val="clear" w:color="auto" w:fill="auto"/>
            <w:vAlign w:val="bottom"/>
          </w:tcPr>
          <w:p w14:paraId="69C080A4" w14:textId="77777777" w:rsidR="004E2F51" w:rsidRPr="00830FE5"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 xml:space="preserve"> 448.289 </w:t>
            </w:r>
          </w:p>
        </w:tc>
        <w:tc>
          <w:tcPr>
            <w:tcW w:w="758" w:type="pct"/>
            <w:tcBorders>
              <w:top w:val="nil"/>
              <w:left w:val="nil"/>
              <w:bottom w:val="nil"/>
              <w:right w:val="nil"/>
            </w:tcBorders>
            <w:shd w:val="clear" w:color="auto" w:fill="auto"/>
            <w:vAlign w:val="bottom"/>
          </w:tcPr>
          <w:p w14:paraId="1913F91C" w14:textId="77777777" w:rsidR="004E2F51" w:rsidRPr="00E35011" w:rsidRDefault="004E2F51" w:rsidP="00E032FC">
            <w:pPr>
              <w:pStyle w:val="TT"/>
              <w:jc w:val="right"/>
              <w:rPr>
                <w:rFonts w:eastAsia="Arial Unicode MS" w:cs="Arial"/>
                <w:color w:val="000000" w:themeColor="text1"/>
                <w:sz w:val="20"/>
                <w:lang w:val="hr-HR"/>
              </w:rPr>
            </w:pPr>
            <w:r w:rsidRPr="00E35011">
              <w:rPr>
                <w:rFonts w:eastAsia="Arial Unicode MS" w:cs="Arial"/>
                <w:color w:val="000000" w:themeColor="text1"/>
                <w:sz w:val="20"/>
              </w:rPr>
              <w:t>174.027</w:t>
            </w:r>
          </w:p>
        </w:tc>
        <w:tc>
          <w:tcPr>
            <w:tcW w:w="757" w:type="pct"/>
            <w:tcBorders>
              <w:top w:val="nil"/>
              <w:left w:val="nil"/>
              <w:bottom w:val="nil"/>
              <w:right w:val="nil"/>
            </w:tcBorders>
            <w:shd w:val="clear" w:color="auto" w:fill="auto"/>
            <w:vAlign w:val="bottom"/>
          </w:tcPr>
          <w:p w14:paraId="2E485F5F" w14:textId="77777777" w:rsidR="004E2F51" w:rsidRPr="00830FE5"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 xml:space="preserve"> 448.289 </w:t>
            </w:r>
          </w:p>
        </w:tc>
        <w:tc>
          <w:tcPr>
            <w:tcW w:w="758" w:type="pct"/>
            <w:tcBorders>
              <w:top w:val="nil"/>
              <w:left w:val="nil"/>
              <w:bottom w:val="nil"/>
              <w:right w:val="nil"/>
            </w:tcBorders>
            <w:shd w:val="clear" w:color="auto" w:fill="auto"/>
            <w:vAlign w:val="bottom"/>
          </w:tcPr>
          <w:p w14:paraId="297F7BD5" w14:textId="77777777" w:rsidR="004E2F51" w:rsidRPr="00E35011" w:rsidRDefault="004E2F51" w:rsidP="00E032FC">
            <w:pPr>
              <w:jc w:val="right"/>
              <w:rPr>
                <w:rFonts w:ascii="Arial" w:eastAsia="Arial Unicode MS" w:hAnsi="Arial" w:cs="Arial"/>
                <w:color w:val="000000" w:themeColor="text1"/>
                <w:sz w:val="20"/>
                <w:szCs w:val="20"/>
              </w:rPr>
            </w:pPr>
            <w:r w:rsidRPr="00E35011">
              <w:rPr>
                <w:rFonts w:ascii="Arial" w:eastAsia="Arial Unicode MS" w:hAnsi="Arial" w:cs="Arial"/>
                <w:color w:val="000000" w:themeColor="text1"/>
                <w:sz w:val="20"/>
                <w:szCs w:val="20"/>
              </w:rPr>
              <w:t>174.027</w:t>
            </w:r>
          </w:p>
        </w:tc>
      </w:tr>
      <w:tr w:rsidR="004E2F51" w:rsidRPr="00E35011" w14:paraId="329A6416" w14:textId="77777777" w:rsidTr="00E032FC">
        <w:trPr>
          <w:trHeight w:val="239"/>
        </w:trPr>
        <w:tc>
          <w:tcPr>
            <w:tcW w:w="1970" w:type="pct"/>
            <w:vAlign w:val="bottom"/>
          </w:tcPr>
          <w:p w14:paraId="13026D9F" w14:textId="77777777" w:rsidR="004E2F51" w:rsidRPr="00E35011" w:rsidRDefault="004E2F51" w:rsidP="00E032FC">
            <w:pPr>
              <w:pStyle w:val="TT"/>
              <w:rPr>
                <w:rFonts w:cs="Arial"/>
                <w:color w:val="000000" w:themeColor="text1"/>
                <w:sz w:val="20"/>
                <w:lang w:val="hr-HR"/>
              </w:rPr>
            </w:pPr>
            <w:bookmarkStart w:id="1276" w:name="_Toc67328800"/>
            <w:bookmarkEnd w:id="1275"/>
            <w:r w:rsidRPr="00E35011">
              <w:rPr>
                <w:rFonts w:cs="Arial"/>
                <w:color w:val="000000" w:themeColor="text1"/>
                <w:sz w:val="20"/>
                <w:lang w:val="hr-HR"/>
              </w:rPr>
              <w:t>Odgođeno priznavanje kamatnih prihoda (b)</w:t>
            </w:r>
            <w:bookmarkEnd w:id="1276"/>
          </w:p>
        </w:tc>
        <w:tc>
          <w:tcPr>
            <w:tcW w:w="758" w:type="pct"/>
            <w:tcBorders>
              <w:top w:val="nil"/>
              <w:left w:val="nil"/>
              <w:bottom w:val="nil"/>
              <w:right w:val="nil"/>
            </w:tcBorders>
            <w:shd w:val="clear" w:color="auto" w:fill="auto"/>
            <w:vAlign w:val="bottom"/>
          </w:tcPr>
          <w:p w14:paraId="5F341A77" w14:textId="77777777" w:rsidR="004E2F51" w:rsidRPr="00830FE5"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 xml:space="preserve"> 175.599 </w:t>
            </w:r>
          </w:p>
        </w:tc>
        <w:tc>
          <w:tcPr>
            <w:tcW w:w="758" w:type="pct"/>
            <w:tcBorders>
              <w:top w:val="nil"/>
              <w:left w:val="nil"/>
              <w:bottom w:val="nil"/>
              <w:right w:val="nil"/>
            </w:tcBorders>
            <w:shd w:val="clear" w:color="auto" w:fill="auto"/>
            <w:vAlign w:val="bottom"/>
          </w:tcPr>
          <w:p w14:paraId="6CE83FCA" w14:textId="77777777" w:rsidR="004E2F51" w:rsidRPr="00E35011" w:rsidRDefault="004E2F51" w:rsidP="00E032FC">
            <w:pPr>
              <w:pStyle w:val="TT"/>
              <w:jc w:val="right"/>
              <w:rPr>
                <w:rFonts w:eastAsia="Arial Unicode MS" w:cs="Arial"/>
                <w:color w:val="000000" w:themeColor="text1"/>
                <w:sz w:val="20"/>
                <w:lang w:val="hr-HR"/>
              </w:rPr>
            </w:pPr>
            <w:r w:rsidRPr="00E35011">
              <w:rPr>
                <w:rFonts w:eastAsia="Arial Unicode MS" w:cs="Arial"/>
                <w:color w:val="000000" w:themeColor="text1"/>
                <w:sz w:val="20"/>
              </w:rPr>
              <w:t>186.159</w:t>
            </w:r>
          </w:p>
        </w:tc>
        <w:tc>
          <w:tcPr>
            <w:tcW w:w="757" w:type="pct"/>
            <w:tcBorders>
              <w:top w:val="nil"/>
              <w:left w:val="nil"/>
              <w:bottom w:val="nil"/>
              <w:right w:val="nil"/>
            </w:tcBorders>
            <w:shd w:val="clear" w:color="auto" w:fill="auto"/>
            <w:vAlign w:val="bottom"/>
          </w:tcPr>
          <w:p w14:paraId="24E40C30" w14:textId="77777777" w:rsidR="004E2F51" w:rsidRPr="00830FE5"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 xml:space="preserve"> 175.599 </w:t>
            </w:r>
          </w:p>
        </w:tc>
        <w:tc>
          <w:tcPr>
            <w:tcW w:w="758" w:type="pct"/>
            <w:tcBorders>
              <w:top w:val="nil"/>
              <w:left w:val="nil"/>
              <w:bottom w:val="nil"/>
              <w:right w:val="nil"/>
            </w:tcBorders>
            <w:shd w:val="clear" w:color="auto" w:fill="auto"/>
            <w:vAlign w:val="bottom"/>
          </w:tcPr>
          <w:p w14:paraId="5BB4652D" w14:textId="77777777" w:rsidR="004E2F51" w:rsidRPr="00E35011" w:rsidRDefault="004E2F51" w:rsidP="00E032FC">
            <w:pPr>
              <w:jc w:val="right"/>
              <w:rPr>
                <w:rFonts w:ascii="Arial" w:eastAsia="Arial Unicode MS" w:hAnsi="Arial" w:cs="Arial"/>
                <w:color w:val="000000" w:themeColor="text1"/>
                <w:sz w:val="20"/>
                <w:szCs w:val="20"/>
              </w:rPr>
            </w:pPr>
            <w:r w:rsidRPr="00E35011">
              <w:rPr>
                <w:rFonts w:ascii="Arial" w:eastAsia="Arial Unicode MS" w:hAnsi="Arial" w:cs="Arial"/>
                <w:color w:val="000000" w:themeColor="text1"/>
                <w:sz w:val="20"/>
                <w:szCs w:val="20"/>
              </w:rPr>
              <w:t>186.159</w:t>
            </w:r>
          </w:p>
        </w:tc>
      </w:tr>
      <w:tr w:rsidR="004E2F51" w:rsidRPr="00E35011" w14:paraId="5864A562" w14:textId="77777777" w:rsidTr="00E032FC">
        <w:trPr>
          <w:trHeight w:val="161"/>
        </w:trPr>
        <w:tc>
          <w:tcPr>
            <w:tcW w:w="1970" w:type="pct"/>
            <w:vAlign w:val="bottom"/>
          </w:tcPr>
          <w:p w14:paraId="67FE79AE" w14:textId="77777777" w:rsidR="004E2F51" w:rsidRPr="00E35011" w:rsidRDefault="004E2F51" w:rsidP="00E032FC">
            <w:pPr>
              <w:pStyle w:val="TT"/>
              <w:rPr>
                <w:rFonts w:cs="Arial"/>
                <w:color w:val="000000" w:themeColor="text1"/>
                <w:sz w:val="20"/>
                <w:lang w:val="hr-HR"/>
              </w:rPr>
            </w:pPr>
            <w:bookmarkStart w:id="1277" w:name="_Toc67328802"/>
            <w:r w:rsidRPr="00E35011">
              <w:rPr>
                <w:rFonts w:cs="Arial"/>
                <w:color w:val="000000" w:themeColor="text1"/>
                <w:sz w:val="20"/>
                <w:lang w:val="hr-HR"/>
              </w:rPr>
              <w:t>Obveze za isplatu plaća i naknada</w:t>
            </w:r>
            <w:bookmarkEnd w:id="1277"/>
          </w:p>
        </w:tc>
        <w:tc>
          <w:tcPr>
            <w:tcW w:w="758" w:type="pct"/>
            <w:tcBorders>
              <w:top w:val="nil"/>
              <w:left w:val="nil"/>
              <w:bottom w:val="nil"/>
              <w:right w:val="nil"/>
            </w:tcBorders>
            <w:shd w:val="clear" w:color="auto" w:fill="auto"/>
            <w:vAlign w:val="bottom"/>
          </w:tcPr>
          <w:p w14:paraId="288EF250" w14:textId="77777777" w:rsidR="004E2F51" w:rsidRPr="00830FE5"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 xml:space="preserve"> 8.795 </w:t>
            </w:r>
          </w:p>
        </w:tc>
        <w:tc>
          <w:tcPr>
            <w:tcW w:w="758" w:type="pct"/>
            <w:tcBorders>
              <w:top w:val="nil"/>
              <w:left w:val="nil"/>
              <w:bottom w:val="nil"/>
              <w:right w:val="nil"/>
            </w:tcBorders>
            <w:shd w:val="clear" w:color="auto" w:fill="auto"/>
            <w:vAlign w:val="bottom"/>
          </w:tcPr>
          <w:p w14:paraId="0EF2A256" w14:textId="77777777" w:rsidR="004E2F51" w:rsidRPr="00E35011" w:rsidRDefault="004E2F51" w:rsidP="00E032FC">
            <w:pPr>
              <w:pStyle w:val="TT"/>
              <w:jc w:val="right"/>
              <w:rPr>
                <w:rFonts w:eastAsia="Arial Unicode MS" w:cs="Arial"/>
                <w:color w:val="000000" w:themeColor="text1"/>
                <w:sz w:val="20"/>
                <w:lang w:val="hr-HR"/>
              </w:rPr>
            </w:pPr>
            <w:r w:rsidRPr="00E35011">
              <w:rPr>
                <w:rFonts w:eastAsia="Arial Unicode MS" w:cs="Arial"/>
                <w:color w:val="000000" w:themeColor="text1"/>
                <w:sz w:val="20"/>
              </w:rPr>
              <w:t>8.613</w:t>
            </w:r>
          </w:p>
        </w:tc>
        <w:tc>
          <w:tcPr>
            <w:tcW w:w="757" w:type="pct"/>
            <w:tcBorders>
              <w:top w:val="nil"/>
              <w:left w:val="nil"/>
              <w:bottom w:val="nil"/>
              <w:right w:val="nil"/>
            </w:tcBorders>
            <w:shd w:val="clear" w:color="auto" w:fill="auto"/>
            <w:vAlign w:val="bottom"/>
          </w:tcPr>
          <w:p w14:paraId="0D4A645C" w14:textId="77777777" w:rsidR="004E2F51" w:rsidRPr="00E35011"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 xml:space="preserve"> 8.528 </w:t>
            </w:r>
          </w:p>
        </w:tc>
        <w:tc>
          <w:tcPr>
            <w:tcW w:w="758" w:type="pct"/>
            <w:tcBorders>
              <w:top w:val="nil"/>
              <w:left w:val="nil"/>
              <w:bottom w:val="nil"/>
              <w:right w:val="nil"/>
            </w:tcBorders>
            <w:shd w:val="clear" w:color="auto" w:fill="auto"/>
            <w:vAlign w:val="bottom"/>
          </w:tcPr>
          <w:p w14:paraId="79F8C9DA" w14:textId="77777777" w:rsidR="004E2F51" w:rsidRPr="00E35011" w:rsidRDefault="004E2F51" w:rsidP="00E032FC">
            <w:pPr>
              <w:pStyle w:val="TT"/>
              <w:jc w:val="right"/>
              <w:rPr>
                <w:rFonts w:cs="Arial"/>
                <w:color w:val="000000" w:themeColor="text1"/>
                <w:sz w:val="20"/>
                <w:lang w:val="hr-HR"/>
              </w:rPr>
            </w:pPr>
            <w:bookmarkStart w:id="1278" w:name="_Toc67328804"/>
            <w:r w:rsidRPr="00E35011">
              <w:rPr>
                <w:rFonts w:eastAsia="Arial Unicode MS" w:cs="Arial"/>
                <w:color w:val="000000" w:themeColor="text1"/>
                <w:sz w:val="20"/>
                <w:lang w:val="hr-HR"/>
              </w:rPr>
              <w:t>8.397</w:t>
            </w:r>
            <w:bookmarkEnd w:id="1278"/>
          </w:p>
        </w:tc>
      </w:tr>
      <w:tr w:rsidR="004E2F51" w:rsidRPr="00E35011" w14:paraId="5D0ED6F7" w14:textId="77777777" w:rsidTr="00E032FC">
        <w:trPr>
          <w:trHeight w:val="241"/>
        </w:trPr>
        <w:tc>
          <w:tcPr>
            <w:tcW w:w="1970" w:type="pct"/>
            <w:vAlign w:val="bottom"/>
          </w:tcPr>
          <w:p w14:paraId="28297DBD" w14:textId="77777777" w:rsidR="004E2F51" w:rsidRPr="00E35011" w:rsidRDefault="004E2F51" w:rsidP="00E032FC">
            <w:pPr>
              <w:pStyle w:val="TT"/>
              <w:rPr>
                <w:rFonts w:cs="Arial"/>
                <w:color w:val="000000" w:themeColor="text1"/>
                <w:sz w:val="20"/>
                <w:lang w:val="hr-HR"/>
              </w:rPr>
            </w:pPr>
            <w:bookmarkStart w:id="1279" w:name="_Toc67328806"/>
            <w:r w:rsidRPr="00E35011">
              <w:rPr>
                <w:rFonts w:cs="Arial"/>
                <w:color w:val="000000" w:themeColor="text1"/>
                <w:sz w:val="20"/>
                <w:lang w:val="hr-HR"/>
              </w:rPr>
              <w:t>Obveze prema dobavljačima</w:t>
            </w:r>
            <w:bookmarkEnd w:id="1279"/>
          </w:p>
        </w:tc>
        <w:tc>
          <w:tcPr>
            <w:tcW w:w="758" w:type="pct"/>
            <w:tcBorders>
              <w:top w:val="nil"/>
              <w:left w:val="nil"/>
              <w:bottom w:val="nil"/>
              <w:right w:val="nil"/>
            </w:tcBorders>
            <w:shd w:val="clear" w:color="auto" w:fill="auto"/>
            <w:vAlign w:val="bottom"/>
          </w:tcPr>
          <w:p w14:paraId="5AC98D08" w14:textId="77777777" w:rsidR="004E2F51" w:rsidRPr="00830FE5"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 xml:space="preserve"> 1.130 </w:t>
            </w:r>
          </w:p>
        </w:tc>
        <w:tc>
          <w:tcPr>
            <w:tcW w:w="758" w:type="pct"/>
            <w:tcBorders>
              <w:top w:val="nil"/>
              <w:left w:val="nil"/>
              <w:bottom w:val="nil"/>
              <w:right w:val="nil"/>
            </w:tcBorders>
            <w:shd w:val="clear" w:color="auto" w:fill="auto"/>
            <w:vAlign w:val="bottom"/>
          </w:tcPr>
          <w:p w14:paraId="01344FCA" w14:textId="77777777" w:rsidR="004E2F51" w:rsidRPr="00E35011" w:rsidRDefault="004E2F51" w:rsidP="00E032FC">
            <w:pPr>
              <w:pStyle w:val="TT"/>
              <w:jc w:val="right"/>
              <w:rPr>
                <w:rFonts w:eastAsia="Arial Unicode MS" w:cs="Arial"/>
                <w:color w:val="000000" w:themeColor="text1"/>
                <w:sz w:val="20"/>
                <w:lang w:val="hr-HR"/>
              </w:rPr>
            </w:pPr>
            <w:r w:rsidRPr="00E35011">
              <w:rPr>
                <w:rFonts w:eastAsia="Arial Unicode MS" w:cs="Arial"/>
                <w:color w:val="000000" w:themeColor="text1"/>
                <w:sz w:val="20"/>
              </w:rPr>
              <w:t>2.180</w:t>
            </w:r>
          </w:p>
        </w:tc>
        <w:tc>
          <w:tcPr>
            <w:tcW w:w="757" w:type="pct"/>
            <w:tcBorders>
              <w:top w:val="nil"/>
              <w:left w:val="nil"/>
              <w:bottom w:val="nil"/>
              <w:right w:val="nil"/>
            </w:tcBorders>
            <w:shd w:val="clear" w:color="auto" w:fill="auto"/>
            <w:vAlign w:val="bottom"/>
          </w:tcPr>
          <w:p w14:paraId="4EE5B0BA" w14:textId="77777777" w:rsidR="004E2F51" w:rsidRPr="00E35011"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 xml:space="preserve"> 1.015 </w:t>
            </w:r>
          </w:p>
        </w:tc>
        <w:tc>
          <w:tcPr>
            <w:tcW w:w="758" w:type="pct"/>
            <w:tcBorders>
              <w:top w:val="nil"/>
              <w:left w:val="nil"/>
              <w:bottom w:val="nil"/>
              <w:right w:val="nil"/>
            </w:tcBorders>
            <w:shd w:val="clear" w:color="auto" w:fill="auto"/>
            <w:vAlign w:val="bottom"/>
          </w:tcPr>
          <w:p w14:paraId="5CB9C030" w14:textId="77777777" w:rsidR="004E2F51" w:rsidRPr="00E35011" w:rsidRDefault="004E2F51" w:rsidP="00E032FC">
            <w:pPr>
              <w:pStyle w:val="TT"/>
              <w:jc w:val="right"/>
              <w:rPr>
                <w:rFonts w:cs="Arial"/>
                <w:color w:val="000000" w:themeColor="text1"/>
                <w:sz w:val="20"/>
                <w:lang w:val="hr-HR"/>
              </w:rPr>
            </w:pPr>
            <w:bookmarkStart w:id="1280" w:name="_Toc67328808"/>
            <w:r w:rsidRPr="00E35011">
              <w:rPr>
                <w:rFonts w:eastAsia="Arial Unicode MS" w:cs="Arial"/>
                <w:color w:val="000000" w:themeColor="text1"/>
                <w:sz w:val="20"/>
                <w:lang w:val="hr-HR"/>
              </w:rPr>
              <w:t>2.065</w:t>
            </w:r>
            <w:bookmarkEnd w:id="1280"/>
          </w:p>
        </w:tc>
      </w:tr>
      <w:tr w:rsidR="004E2F51" w:rsidRPr="00E35011" w14:paraId="77F6AA45" w14:textId="77777777" w:rsidTr="00E032FC">
        <w:trPr>
          <w:trHeight w:val="239"/>
        </w:trPr>
        <w:tc>
          <w:tcPr>
            <w:tcW w:w="1970" w:type="pct"/>
            <w:vAlign w:val="bottom"/>
          </w:tcPr>
          <w:p w14:paraId="1D59A04B" w14:textId="77777777" w:rsidR="004E2F51" w:rsidRPr="00E35011" w:rsidRDefault="004E2F51" w:rsidP="00E032FC">
            <w:pPr>
              <w:pStyle w:val="TT"/>
              <w:rPr>
                <w:rFonts w:cs="Arial"/>
                <w:color w:val="000000" w:themeColor="text1"/>
                <w:sz w:val="20"/>
                <w:lang w:val="hr-HR"/>
              </w:rPr>
            </w:pPr>
            <w:bookmarkStart w:id="1281" w:name="_Toc67328810"/>
            <w:r w:rsidRPr="00E35011">
              <w:rPr>
                <w:rFonts w:cs="Arial"/>
                <w:color w:val="000000" w:themeColor="text1"/>
                <w:sz w:val="20"/>
                <w:lang w:val="hr-HR"/>
              </w:rPr>
              <w:t>Obveze po više naplaćenim potraživanjima</w:t>
            </w:r>
            <w:bookmarkEnd w:id="1281"/>
          </w:p>
        </w:tc>
        <w:tc>
          <w:tcPr>
            <w:tcW w:w="758" w:type="pct"/>
            <w:tcBorders>
              <w:top w:val="nil"/>
              <w:left w:val="nil"/>
              <w:bottom w:val="nil"/>
              <w:right w:val="nil"/>
            </w:tcBorders>
            <w:shd w:val="clear" w:color="auto" w:fill="auto"/>
            <w:vAlign w:val="bottom"/>
          </w:tcPr>
          <w:p w14:paraId="12671991" w14:textId="77777777" w:rsidR="004E2F51" w:rsidRPr="00830FE5"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 xml:space="preserve"> 8.926 </w:t>
            </w:r>
          </w:p>
        </w:tc>
        <w:tc>
          <w:tcPr>
            <w:tcW w:w="758" w:type="pct"/>
            <w:tcBorders>
              <w:top w:val="nil"/>
              <w:left w:val="nil"/>
              <w:bottom w:val="nil"/>
              <w:right w:val="nil"/>
            </w:tcBorders>
            <w:shd w:val="clear" w:color="auto" w:fill="auto"/>
            <w:vAlign w:val="bottom"/>
          </w:tcPr>
          <w:p w14:paraId="184C8B9F" w14:textId="77777777" w:rsidR="004E2F51" w:rsidRPr="00E35011" w:rsidRDefault="004E2F51" w:rsidP="00E032FC">
            <w:pPr>
              <w:pStyle w:val="TT"/>
              <w:jc w:val="right"/>
              <w:rPr>
                <w:rFonts w:eastAsia="Arial Unicode MS" w:cs="Arial"/>
                <w:color w:val="000000" w:themeColor="text1"/>
                <w:sz w:val="20"/>
                <w:lang w:val="hr-HR"/>
              </w:rPr>
            </w:pPr>
            <w:r w:rsidRPr="00E35011">
              <w:rPr>
                <w:rFonts w:eastAsia="Arial Unicode MS" w:cs="Arial"/>
                <w:color w:val="000000" w:themeColor="text1"/>
                <w:sz w:val="20"/>
              </w:rPr>
              <w:t>4.921</w:t>
            </w:r>
          </w:p>
        </w:tc>
        <w:tc>
          <w:tcPr>
            <w:tcW w:w="757" w:type="pct"/>
            <w:tcBorders>
              <w:top w:val="nil"/>
              <w:left w:val="nil"/>
              <w:bottom w:val="nil"/>
              <w:right w:val="nil"/>
            </w:tcBorders>
            <w:shd w:val="clear" w:color="auto" w:fill="auto"/>
            <w:vAlign w:val="bottom"/>
          </w:tcPr>
          <w:p w14:paraId="4B95123A" w14:textId="77777777" w:rsidR="004E2F51" w:rsidRPr="00E35011"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 xml:space="preserve"> 8.926 </w:t>
            </w:r>
          </w:p>
        </w:tc>
        <w:tc>
          <w:tcPr>
            <w:tcW w:w="758" w:type="pct"/>
            <w:tcBorders>
              <w:top w:val="nil"/>
              <w:left w:val="nil"/>
              <w:bottom w:val="nil"/>
              <w:right w:val="nil"/>
            </w:tcBorders>
            <w:shd w:val="clear" w:color="auto" w:fill="auto"/>
            <w:vAlign w:val="bottom"/>
          </w:tcPr>
          <w:p w14:paraId="30E90F24" w14:textId="77777777" w:rsidR="004E2F51" w:rsidRPr="00E35011" w:rsidRDefault="004E2F51" w:rsidP="00E032FC">
            <w:pPr>
              <w:pStyle w:val="TT"/>
              <w:jc w:val="right"/>
              <w:rPr>
                <w:rFonts w:cs="Arial"/>
                <w:color w:val="000000" w:themeColor="text1"/>
                <w:sz w:val="20"/>
                <w:lang w:val="hr-HR"/>
              </w:rPr>
            </w:pPr>
            <w:bookmarkStart w:id="1282" w:name="_Toc67328812"/>
            <w:r w:rsidRPr="00E35011">
              <w:rPr>
                <w:rFonts w:eastAsia="Arial Unicode MS" w:cs="Arial"/>
                <w:color w:val="000000" w:themeColor="text1"/>
                <w:sz w:val="20"/>
                <w:lang w:val="hr-HR"/>
              </w:rPr>
              <w:t>4.921</w:t>
            </w:r>
            <w:bookmarkEnd w:id="1282"/>
          </w:p>
        </w:tc>
      </w:tr>
      <w:tr w:rsidR="004E2F51" w:rsidRPr="00E35011" w14:paraId="7C4BC870" w14:textId="77777777" w:rsidTr="00E032FC">
        <w:trPr>
          <w:trHeight w:val="241"/>
        </w:trPr>
        <w:tc>
          <w:tcPr>
            <w:tcW w:w="1970" w:type="pct"/>
            <w:vAlign w:val="bottom"/>
          </w:tcPr>
          <w:p w14:paraId="4CEF233C" w14:textId="77777777" w:rsidR="004E2F51" w:rsidRPr="00E35011" w:rsidRDefault="004E2F51" w:rsidP="00E032FC">
            <w:pPr>
              <w:pStyle w:val="TT"/>
              <w:rPr>
                <w:rFonts w:cs="Arial"/>
                <w:color w:val="000000" w:themeColor="text1"/>
                <w:sz w:val="20"/>
                <w:lang w:val="hr-HR"/>
              </w:rPr>
            </w:pPr>
            <w:bookmarkStart w:id="1283" w:name="_Toc67328814"/>
            <w:r w:rsidRPr="00E35011">
              <w:rPr>
                <w:rFonts w:cs="Arial"/>
                <w:color w:val="000000" w:themeColor="text1"/>
                <w:sz w:val="20"/>
                <w:lang w:val="hr-HR"/>
              </w:rPr>
              <w:t>Prijenosne premije</w:t>
            </w:r>
            <w:bookmarkEnd w:id="1283"/>
          </w:p>
        </w:tc>
        <w:tc>
          <w:tcPr>
            <w:tcW w:w="758" w:type="pct"/>
            <w:tcBorders>
              <w:top w:val="nil"/>
              <w:left w:val="nil"/>
              <w:bottom w:val="nil"/>
              <w:right w:val="nil"/>
            </w:tcBorders>
            <w:shd w:val="clear" w:color="auto" w:fill="auto"/>
            <w:vAlign w:val="bottom"/>
          </w:tcPr>
          <w:p w14:paraId="0D278C8B" w14:textId="77777777" w:rsidR="004E2F51" w:rsidRPr="00830FE5"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 xml:space="preserve"> 5.723 </w:t>
            </w:r>
          </w:p>
        </w:tc>
        <w:tc>
          <w:tcPr>
            <w:tcW w:w="758" w:type="pct"/>
            <w:tcBorders>
              <w:top w:val="nil"/>
              <w:left w:val="nil"/>
              <w:bottom w:val="nil"/>
              <w:right w:val="nil"/>
            </w:tcBorders>
            <w:shd w:val="clear" w:color="auto" w:fill="auto"/>
            <w:vAlign w:val="bottom"/>
          </w:tcPr>
          <w:p w14:paraId="41475882" w14:textId="77777777" w:rsidR="004E2F51" w:rsidRPr="00E35011" w:rsidRDefault="004E2F51" w:rsidP="00E032FC">
            <w:pPr>
              <w:pStyle w:val="TT"/>
              <w:jc w:val="right"/>
              <w:rPr>
                <w:rFonts w:eastAsia="Arial Unicode MS" w:cs="Arial"/>
                <w:color w:val="000000" w:themeColor="text1"/>
                <w:sz w:val="20"/>
                <w:lang w:val="hr-HR"/>
              </w:rPr>
            </w:pPr>
            <w:r w:rsidRPr="00E35011">
              <w:rPr>
                <w:rFonts w:eastAsia="Arial Unicode MS" w:cs="Arial"/>
                <w:color w:val="000000" w:themeColor="text1"/>
                <w:sz w:val="20"/>
              </w:rPr>
              <w:t>5.219</w:t>
            </w:r>
          </w:p>
        </w:tc>
        <w:tc>
          <w:tcPr>
            <w:tcW w:w="757" w:type="pct"/>
            <w:tcBorders>
              <w:top w:val="nil"/>
              <w:left w:val="nil"/>
              <w:bottom w:val="nil"/>
              <w:right w:val="nil"/>
            </w:tcBorders>
            <w:shd w:val="clear" w:color="auto" w:fill="auto"/>
            <w:vAlign w:val="bottom"/>
          </w:tcPr>
          <w:p w14:paraId="691B4CEA" w14:textId="77777777" w:rsidR="004E2F51" w:rsidRPr="00E35011"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w:t>
            </w:r>
          </w:p>
        </w:tc>
        <w:tc>
          <w:tcPr>
            <w:tcW w:w="758" w:type="pct"/>
            <w:tcBorders>
              <w:top w:val="nil"/>
              <w:left w:val="nil"/>
              <w:bottom w:val="nil"/>
              <w:right w:val="nil"/>
            </w:tcBorders>
            <w:shd w:val="clear" w:color="auto" w:fill="auto"/>
            <w:vAlign w:val="bottom"/>
          </w:tcPr>
          <w:p w14:paraId="5762971B" w14:textId="77777777" w:rsidR="004E2F51" w:rsidRPr="00E35011" w:rsidRDefault="004E2F51" w:rsidP="00E032FC">
            <w:pPr>
              <w:pStyle w:val="TT"/>
              <w:jc w:val="right"/>
              <w:rPr>
                <w:rFonts w:cs="Arial"/>
                <w:color w:val="000000" w:themeColor="text1"/>
                <w:sz w:val="20"/>
                <w:lang w:val="hr-HR"/>
              </w:rPr>
            </w:pPr>
            <w:bookmarkStart w:id="1284" w:name="_Toc67328816"/>
            <w:r w:rsidRPr="00E35011">
              <w:rPr>
                <w:rFonts w:eastAsia="Arial Unicode MS" w:cs="Arial"/>
                <w:color w:val="000000" w:themeColor="text1"/>
                <w:sz w:val="20"/>
                <w:lang w:val="hr-HR"/>
              </w:rPr>
              <w:t>-</w:t>
            </w:r>
            <w:bookmarkEnd w:id="1284"/>
          </w:p>
        </w:tc>
      </w:tr>
      <w:tr w:rsidR="004E2F51" w:rsidRPr="00E35011" w14:paraId="061E73B2" w14:textId="77777777" w:rsidTr="00E032FC">
        <w:trPr>
          <w:trHeight w:val="241"/>
        </w:trPr>
        <w:tc>
          <w:tcPr>
            <w:tcW w:w="1970" w:type="pct"/>
            <w:vAlign w:val="bottom"/>
          </w:tcPr>
          <w:p w14:paraId="02556488" w14:textId="77777777" w:rsidR="004E2F51" w:rsidRPr="00E35011" w:rsidRDefault="004E2F51" w:rsidP="00E032FC">
            <w:pPr>
              <w:pStyle w:val="TT"/>
              <w:rPr>
                <w:rFonts w:cs="Arial"/>
                <w:color w:val="000000" w:themeColor="text1"/>
                <w:sz w:val="20"/>
                <w:lang w:val="hr-HR"/>
              </w:rPr>
            </w:pPr>
            <w:bookmarkStart w:id="1285" w:name="_Toc67328818"/>
            <w:r w:rsidRPr="00E35011">
              <w:rPr>
                <w:rFonts w:cs="Arial"/>
                <w:color w:val="000000" w:themeColor="text1"/>
                <w:sz w:val="20"/>
                <w:lang w:val="hr-HR"/>
              </w:rPr>
              <w:t>Pričuve šteta</w:t>
            </w:r>
            <w:bookmarkEnd w:id="1285"/>
          </w:p>
        </w:tc>
        <w:tc>
          <w:tcPr>
            <w:tcW w:w="758" w:type="pct"/>
            <w:tcBorders>
              <w:top w:val="nil"/>
              <w:left w:val="nil"/>
              <w:bottom w:val="nil"/>
              <w:right w:val="nil"/>
            </w:tcBorders>
            <w:shd w:val="clear" w:color="auto" w:fill="auto"/>
            <w:vAlign w:val="bottom"/>
          </w:tcPr>
          <w:p w14:paraId="20FE61FE" w14:textId="77777777" w:rsidR="004E2F51" w:rsidRPr="00830FE5"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 xml:space="preserve"> 4.932 </w:t>
            </w:r>
          </w:p>
        </w:tc>
        <w:tc>
          <w:tcPr>
            <w:tcW w:w="758" w:type="pct"/>
            <w:tcBorders>
              <w:top w:val="nil"/>
              <w:left w:val="nil"/>
              <w:bottom w:val="nil"/>
              <w:right w:val="nil"/>
            </w:tcBorders>
            <w:shd w:val="clear" w:color="auto" w:fill="auto"/>
            <w:vAlign w:val="bottom"/>
          </w:tcPr>
          <w:p w14:paraId="5A0203AC" w14:textId="77777777" w:rsidR="004E2F51" w:rsidRPr="00E35011" w:rsidRDefault="004E2F51" w:rsidP="00E032FC">
            <w:pPr>
              <w:pStyle w:val="TT"/>
              <w:jc w:val="right"/>
              <w:rPr>
                <w:rFonts w:eastAsia="Arial Unicode MS" w:cs="Arial"/>
                <w:color w:val="000000" w:themeColor="text1"/>
                <w:sz w:val="20"/>
                <w:lang w:val="hr-HR"/>
              </w:rPr>
            </w:pPr>
            <w:r w:rsidRPr="00E35011">
              <w:rPr>
                <w:rFonts w:eastAsia="Arial Unicode MS" w:cs="Arial"/>
                <w:color w:val="000000" w:themeColor="text1"/>
                <w:sz w:val="20"/>
              </w:rPr>
              <w:t>6.815</w:t>
            </w:r>
          </w:p>
        </w:tc>
        <w:tc>
          <w:tcPr>
            <w:tcW w:w="757" w:type="pct"/>
            <w:tcBorders>
              <w:top w:val="nil"/>
              <w:left w:val="nil"/>
              <w:bottom w:val="nil"/>
              <w:right w:val="nil"/>
            </w:tcBorders>
            <w:shd w:val="clear" w:color="auto" w:fill="auto"/>
            <w:vAlign w:val="bottom"/>
          </w:tcPr>
          <w:p w14:paraId="1A53C962" w14:textId="77777777" w:rsidR="004E2F51" w:rsidRPr="00E35011"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w:t>
            </w:r>
          </w:p>
        </w:tc>
        <w:tc>
          <w:tcPr>
            <w:tcW w:w="758" w:type="pct"/>
            <w:tcBorders>
              <w:top w:val="nil"/>
              <w:left w:val="nil"/>
              <w:bottom w:val="nil"/>
              <w:right w:val="nil"/>
            </w:tcBorders>
            <w:shd w:val="clear" w:color="auto" w:fill="auto"/>
            <w:vAlign w:val="bottom"/>
          </w:tcPr>
          <w:p w14:paraId="1B617DA9" w14:textId="77777777" w:rsidR="004E2F51" w:rsidRPr="00E35011" w:rsidRDefault="004E2F51" w:rsidP="00E032FC">
            <w:pPr>
              <w:pStyle w:val="TT"/>
              <w:jc w:val="right"/>
              <w:rPr>
                <w:rFonts w:cs="Arial"/>
                <w:color w:val="000000" w:themeColor="text1"/>
                <w:sz w:val="20"/>
                <w:lang w:val="hr-HR"/>
              </w:rPr>
            </w:pPr>
            <w:bookmarkStart w:id="1286" w:name="_Toc67328820"/>
            <w:r w:rsidRPr="00E35011">
              <w:rPr>
                <w:rFonts w:eastAsia="Arial Unicode MS" w:cs="Arial"/>
                <w:color w:val="000000" w:themeColor="text1"/>
                <w:sz w:val="20"/>
                <w:lang w:val="hr-HR"/>
              </w:rPr>
              <w:t>-</w:t>
            </w:r>
            <w:bookmarkEnd w:id="1286"/>
          </w:p>
        </w:tc>
      </w:tr>
      <w:tr w:rsidR="004E2F51" w:rsidRPr="00E35011" w14:paraId="57AE6CE6" w14:textId="77777777" w:rsidTr="00E032FC">
        <w:trPr>
          <w:trHeight w:val="241"/>
        </w:trPr>
        <w:tc>
          <w:tcPr>
            <w:tcW w:w="1970" w:type="pct"/>
            <w:vAlign w:val="bottom"/>
          </w:tcPr>
          <w:p w14:paraId="59492916" w14:textId="77777777" w:rsidR="004E2F51" w:rsidRPr="00E35011" w:rsidRDefault="004E2F51" w:rsidP="00E032FC">
            <w:pPr>
              <w:pStyle w:val="TT"/>
              <w:rPr>
                <w:rFonts w:cs="Arial"/>
                <w:color w:val="000000" w:themeColor="text1"/>
                <w:sz w:val="20"/>
                <w:lang w:val="hr-HR"/>
              </w:rPr>
            </w:pPr>
            <w:bookmarkStart w:id="1287" w:name="_Toc67328822"/>
            <w:r w:rsidRPr="00E35011">
              <w:rPr>
                <w:rFonts w:cs="Arial"/>
                <w:color w:val="000000" w:themeColor="text1"/>
                <w:sz w:val="20"/>
                <w:lang w:val="hr-HR"/>
              </w:rPr>
              <w:t>Pričuve za povratne premije</w:t>
            </w:r>
            <w:bookmarkEnd w:id="1287"/>
          </w:p>
        </w:tc>
        <w:tc>
          <w:tcPr>
            <w:tcW w:w="758" w:type="pct"/>
            <w:tcBorders>
              <w:top w:val="nil"/>
              <w:left w:val="nil"/>
              <w:bottom w:val="nil"/>
              <w:right w:val="nil"/>
            </w:tcBorders>
            <w:shd w:val="clear" w:color="auto" w:fill="auto"/>
            <w:vAlign w:val="bottom"/>
          </w:tcPr>
          <w:p w14:paraId="66BA1E63" w14:textId="77777777" w:rsidR="004E2F51" w:rsidRPr="00830FE5"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 xml:space="preserve"> 1.910 </w:t>
            </w:r>
          </w:p>
        </w:tc>
        <w:tc>
          <w:tcPr>
            <w:tcW w:w="758" w:type="pct"/>
            <w:tcBorders>
              <w:top w:val="nil"/>
              <w:left w:val="nil"/>
              <w:bottom w:val="nil"/>
              <w:right w:val="nil"/>
            </w:tcBorders>
            <w:shd w:val="clear" w:color="auto" w:fill="auto"/>
            <w:vAlign w:val="bottom"/>
          </w:tcPr>
          <w:p w14:paraId="0D2C9D4D" w14:textId="77777777" w:rsidR="004E2F51" w:rsidRPr="00E35011" w:rsidRDefault="004E2F51" w:rsidP="00E032FC">
            <w:pPr>
              <w:pStyle w:val="TT"/>
              <w:jc w:val="right"/>
              <w:rPr>
                <w:rFonts w:eastAsia="Arial Unicode MS" w:cs="Arial"/>
                <w:color w:val="000000" w:themeColor="text1"/>
                <w:sz w:val="20"/>
                <w:lang w:val="hr-HR"/>
              </w:rPr>
            </w:pPr>
            <w:r w:rsidRPr="00E35011">
              <w:rPr>
                <w:rFonts w:eastAsia="Arial Unicode MS" w:cs="Arial"/>
                <w:color w:val="000000" w:themeColor="text1"/>
                <w:sz w:val="20"/>
              </w:rPr>
              <w:t>1.454</w:t>
            </w:r>
          </w:p>
        </w:tc>
        <w:tc>
          <w:tcPr>
            <w:tcW w:w="757" w:type="pct"/>
            <w:tcBorders>
              <w:top w:val="nil"/>
              <w:left w:val="nil"/>
              <w:bottom w:val="nil"/>
              <w:right w:val="nil"/>
            </w:tcBorders>
            <w:shd w:val="clear" w:color="auto" w:fill="auto"/>
            <w:vAlign w:val="bottom"/>
          </w:tcPr>
          <w:p w14:paraId="039B4494" w14:textId="77777777" w:rsidR="004E2F51" w:rsidRPr="00E35011"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w:t>
            </w:r>
          </w:p>
        </w:tc>
        <w:tc>
          <w:tcPr>
            <w:tcW w:w="758" w:type="pct"/>
            <w:tcBorders>
              <w:top w:val="nil"/>
              <w:left w:val="nil"/>
              <w:bottom w:val="nil"/>
              <w:right w:val="nil"/>
            </w:tcBorders>
            <w:shd w:val="clear" w:color="auto" w:fill="auto"/>
            <w:vAlign w:val="bottom"/>
          </w:tcPr>
          <w:p w14:paraId="76A29EAE" w14:textId="77777777" w:rsidR="004E2F51" w:rsidRPr="00E35011" w:rsidRDefault="004E2F51" w:rsidP="00E032FC">
            <w:pPr>
              <w:pStyle w:val="TT"/>
              <w:jc w:val="right"/>
              <w:rPr>
                <w:rFonts w:cs="Arial"/>
                <w:color w:val="000000" w:themeColor="text1"/>
                <w:sz w:val="20"/>
                <w:lang w:val="hr-HR"/>
              </w:rPr>
            </w:pPr>
            <w:bookmarkStart w:id="1288" w:name="_Toc67328824"/>
            <w:r w:rsidRPr="00E35011">
              <w:rPr>
                <w:rFonts w:eastAsia="Arial Unicode MS" w:cs="Arial"/>
                <w:color w:val="000000" w:themeColor="text1"/>
                <w:sz w:val="20"/>
                <w:lang w:val="hr-HR"/>
              </w:rPr>
              <w:t>-</w:t>
            </w:r>
            <w:bookmarkEnd w:id="1288"/>
          </w:p>
        </w:tc>
      </w:tr>
      <w:tr w:rsidR="004E2F51" w:rsidRPr="00E35011" w14:paraId="400BA9CE" w14:textId="77777777" w:rsidTr="00E032FC">
        <w:trPr>
          <w:trHeight w:val="241"/>
        </w:trPr>
        <w:tc>
          <w:tcPr>
            <w:tcW w:w="1970" w:type="pct"/>
            <w:vAlign w:val="bottom"/>
          </w:tcPr>
          <w:p w14:paraId="59949EC7" w14:textId="77777777" w:rsidR="004E2F51" w:rsidRPr="00E35011" w:rsidRDefault="004E2F51" w:rsidP="00E032FC">
            <w:pPr>
              <w:pStyle w:val="TT"/>
              <w:rPr>
                <w:rFonts w:cs="Arial"/>
                <w:color w:val="000000" w:themeColor="text1"/>
                <w:sz w:val="20"/>
                <w:lang w:val="hr-HR"/>
              </w:rPr>
            </w:pPr>
            <w:bookmarkStart w:id="1289" w:name="_Toc67328826"/>
            <w:r w:rsidRPr="00E35011">
              <w:rPr>
                <w:rFonts w:cs="Arial"/>
                <w:color w:val="000000" w:themeColor="text1"/>
                <w:sz w:val="20"/>
                <w:lang w:val="hr-HR"/>
              </w:rPr>
              <w:t>Obveze prema reosiguravateljima</w:t>
            </w:r>
            <w:bookmarkEnd w:id="1289"/>
          </w:p>
        </w:tc>
        <w:tc>
          <w:tcPr>
            <w:tcW w:w="758" w:type="pct"/>
            <w:tcBorders>
              <w:top w:val="nil"/>
              <w:left w:val="nil"/>
              <w:bottom w:val="nil"/>
              <w:right w:val="nil"/>
            </w:tcBorders>
            <w:shd w:val="clear" w:color="auto" w:fill="auto"/>
            <w:vAlign w:val="bottom"/>
          </w:tcPr>
          <w:p w14:paraId="359C0F5C" w14:textId="77777777" w:rsidR="004E2F51" w:rsidRPr="00830FE5"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 xml:space="preserve"> 8.349 </w:t>
            </w:r>
          </w:p>
        </w:tc>
        <w:tc>
          <w:tcPr>
            <w:tcW w:w="758" w:type="pct"/>
            <w:tcBorders>
              <w:top w:val="nil"/>
              <w:left w:val="nil"/>
              <w:bottom w:val="nil"/>
              <w:right w:val="nil"/>
            </w:tcBorders>
            <w:shd w:val="clear" w:color="auto" w:fill="auto"/>
            <w:vAlign w:val="bottom"/>
          </w:tcPr>
          <w:p w14:paraId="3F0618CF" w14:textId="77777777" w:rsidR="004E2F51" w:rsidRPr="00E35011" w:rsidRDefault="004E2F51" w:rsidP="00E032FC">
            <w:pPr>
              <w:pStyle w:val="TT"/>
              <w:jc w:val="right"/>
              <w:rPr>
                <w:rFonts w:eastAsia="Arial Unicode MS" w:cs="Arial"/>
                <w:color w:val="000000" w:themeColor="text1"/>
                <w:sz w:val="20"/>
                <w:lang w:val="hr-HR"/>
              </w:rPr>
            </w:pPr>
            <w:r w:rsidRPr="00E35011">
              <w:rPr>
                <w:rFonts w:eastAsia="Arial Unicode MS" w:cs="Arial"/>
                <w:color w:val="000000" w:themeColor="text1"/>
                <w:sz w:val="20"/>
              </w:rPr>
              <w:t>2.443</w:t>
            </w:r>
          </w:p>
        </w:tc>
        <w:tc>
          <w:tcPr>
            <w:tcW w:w="757" w:type="pct"/>
            <w:tcBorders>
              <w:top w:val="nil"/>
              <w:left w:val="nil"/>
              <w:bottom w:val="nil"/>
              <w:right w:val="nil"/>
            </w:tcBorders>
            <w:shd w:val="clear" w:color="auto" w:fill="auto"/>
            <w:vAlign w:val="bottom"/>
          </w:tcPr>
          <w:p w14:paraId="67F2959D" w14:textId="77777777" w:rsidR="004E2F51" w:rsidRPr="00E35011"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w:t>
            </w:r>
          </w:p>
        </w:tc>
        <w:tc>
          <w:tcPr>
            <w:tcW w:w="758" w:type="pct"/>
            <w:tcBorders>
              <w:top w:val="nil"/>
              <w:left w:val="nil"/>
              <w:bottom w:val="nil"/>
              <w:right w:val="nil"/>
            </w:tcBorders>
            <w:shd w:val="clear" w:color="auto" w:fill="auto"/>
            <w:vAlign w:val="bottom"/>
          </w:tcPr>
          <w:p w14:paraId="60628EC3" w14:textId="77777777" w:rsidR="004E2F51" w:rsidRPr="00E35011" w:rsidRDefault="004E2F51" w:rsidP="00E032FC">
            <w:pPr>
              <w:pStyle w:val="TT"/>
              <w:jc w:val="right"/>
              <w:rPr>
                <w:rFonts w:cs="Arial"/>
                <w:color w:val="000000" w:themeColor="text1"/>
                <w:sz w:val="20"/>
                <w:lang w:val="hr-HR"/>
              </w:rPr>
            </w:pPr>
            <w:bookmarkStart w:id="1290" w:name="_Toc67328828"/>
            <w:r w:rsidRPr="00E35011">
              <w:rPr>
                <w:rFonts w:eastAsia="Arial Unicode MS" w:cs="Arial"/>
                <w:color w:val="000000" w:themeColor="text1"/>
                <w:sz w:val="20"/>
                <w:lang w:val="hr-HR"/>
              </w:rPr>
              <w:t>-</w:t>
            </w:r>
            <w:bookmarkEnd w:id="1290"/>
          </w:p>
        </w:tc>
      </w:tr>
      <w:tr w:rsidR="004E2F51" w:rsidRPr="00E35011" w14:paraId="54E78D72" w14:textId="77777777" w:rsidTr="00E032FC">
        <w:trPr>
          <w:trHeight w:val="253"/>
        </w:trPr>
        <w:tc>
          <w:tcPr>
            <w:tcW w:w="1970" w:type="pct"/>
            <w:vAlign w:val="bottom"/>
          </w:tcPr>
          <w:p w14:paraId="1A7E0AF2" w14:textId="77777777" w:rsidR="004E2F51" w:rsidRPr="00E35011" w:rsidRDefault="004E2F51" w:rsidP="00E032FC">
            <w:pPr>
              <w:pStyle w:val="TT"/>
              <w:rPr>
                <w:rFonts w:cs="Arial"/>
                <w:color w:val="000000" w:themeColor="text1"/>
                <w:sz w:val="20"/>
                <w:lang w:val="hr-HR"/>
              </w:rPr>
            </w:pPr>
            <w:bookmarkStart w:id="1291" w:name="_Toc67328830"/>
            <w:r w:rsidRPr="00E35011">
              <w:rPr>
                <w:rFonts w:cs="Arial"/>
                <w:color w:val="000000" w:themeColor="text1"/>
                <w:sz w:val="20"/>
                <w:lang w:val="hr-HR"/>
              </w:rPr>
              <w:t>Odgođena porezna obveza</w:t>
            </w:r>
            <w:bookmarkEnd w:id="1291"/>
          </w:p>
        </w:tc>
        <w:tc>
          <w:tcPr>
            <w:tcW w:w="758" w:type="pct"/>
            <w:tcBorders>
              <w:top w:val="nil"/>
              <w:left w:val="nil"/>
              <w:right w:val="nil"/>
            </w:tcBorders>
            <w:shd w:val="clear" w:color="auto" w:fill="auto"/>
            <w:vAlign w:val="bottom"/>
          </w:tcPr>
          <w:p w14:paraId="7076A7D9" w14:textId="77777777" w:rsidR="004E2F51" w:rsidRPr="00830FE5"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 xml:space="preserve"> 310 </w:t>
            </w:r>
          </w:p>
        </w:tc>
        <w:tc>
          <w:tcPr>
            <w:tcW w:w="758" w:type="pct"/>
            <w:tcBorders>
              <w:top w:val="nil"/>
              <w:left w:val="nil"/>
              <w:right w:val="nil"/>
            </w:tcBorders>
            <w:shd w:val="clear" w:color="auto" w:fill="auto"/>
            <w:vAlign w:val="bottom"/>
          </w:tcPr>
          <w:p w14:paraId="13122A0B" w14:textId="77777777" w:rsidR="004E2F51" w:rsidRPr="00E35011" w:rsidRDefault="004E2F51" w:rsidP="00E032FC">
            <w:pPr>
              <w:pStyle w:val="TT"/>
              <w:jc w:val="right"/>
              <w:rPr>
                <w:rFonts w:eastAsia="Arial Unicode MS" w:cs="Arial"/>
                <w:color w:val="000000" w:themeColor="text1"/>
                <w:sz w:val="20"/>
                <w:lang w:val="hr-HR"/>
              </w:rPr>
            </w:pPr>
            <w:r w:rsidRPr="00E35011">
              <w:rPr>
                <w:rFonts w:eastAsia="Arial Unicode MS" w:cs="Arial"/>
                <w:color w:val="000000" w:themeColor="text1"/>
                <w:sz w:val="20"/>
              </w:rPr>
              <w:t>401</w:t>
            </w:r>
          </w:p>
        </w:tc>
        <w:tc>
          <w:tcPr>
            <w:tcW w:w="757" w:type="pct"/>
            <w:tcBorders>
              <w:top w:val="nil"/>
              <w:left w:val="nil"/>
              <w:right w:val="nil"/>
            </w:tcBorders>
            <w:shd w:val="clear" w:color="auto" w:fill="auto"/>
            <w:vAlign w:val="bottom"/>
          </w:tcPr>
          <w:p w14:paraId="3AE3A55D" w14:textId="77777777" w:rsidR="004E2F51" w:rsidRPr="00E35011"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w:t>
            </w:r>
          </w:p>
        </w:tc>
        <w:tc>
          <w:tcPr>
            <w:tcW w:w="758" w:type="pct"/>
            <w:tcBorders>
              <w:top w:val="nil"/>
              <w:left w:val="nil"/>
              <w:right w:val="nil"/>
            </w:tcBorders>
            <w:shd w:val="clear" w:color="auto" w:fill="auto"/>
            <w:vAlign w:val="bottom"/>
          </w:tcPr>
          <w:p w14:paraId="4A4BB18F" w14:textId="77777777" w:rsidR="004E2F51" w:rsidRPr="00E35011" w:rsidRDefault="004E2F51" w:rsidP="00E032FC">
            <w:pPr>
              <w:pStyle w:val="TT"/>
              <w:jc w:val="right"/>
              <w:rPr>
                <w:rFonts w:cs="Arial"/>
                <w:color w:val="000000" w:themeColor="text1"/>
                <w:sz w:val="20"/>
                <w:lang w:val="hr-HR"/>
              </w:rPr>
            </w:pPr>
            <w:bookmarkStart w:id="1292" w:name="_Toc67328832"/>
            <w:r w:rsidRPr="00E35011">
              <w:rPr>
                <w:rFonts w:eastAsia="Arial Unicode MS" w:cs="Arial"/>
                <w:color w:val="000000" w:themeColor="text1"/>
                <w:sz w:val="20"/>
                <w:lang w:val="hr-HR"/>
              </w:rPr>
              <w:t>-</w:t>
            </w:r>
            <w:bookmarkEnd w:id="1292"/>
          </w:p>
        </w:tc>
      </w:tr>
      <w:tr w:rsidR="004E2F51" w:rsidRPr="00E35011" w14:paraId="465520D6" w14:textId="77777777" w:rsidTr="00E032FC">
        <w:trPr>
          <w:trHeight w:val="241"/>
        </w:trPr>
        <w:tc>
          <w:tcPr>
            <w:tcW w:w="1970" w:type="pct"/>
            <w:vAlign w:val="bottom"/>
          </w:tcPr>
          <w:p w14:paraId="522A27BA" w14:textId="77777777" w:rsidR="004E2F51" w:rsidRPr="00E35011" w:rsidRDefault="004E2F51" w:rsidP="00E032FC">
            <w:pPr>
              <w:pStyle w:val="TT"/>
              <w:rPr>
                <w:rFonts w:cs="Arial"/>
                <w:color w:val="000000" w:themeColor="text1"/>
                <w:sz w:val="20"/>
                <w:lang w:val="hr-HR"/>
              </w:rPr>
            </w:pPr>
            <w:bookmarkStart w:id="1293" w:name="_Toc67328834"/>
            <w:r w:rsidRPr="00E35011">
              <w:rPr>
                <w:rFonts w:cs="Arial"/>
                <w:color w:val="000000" w:themeColor="text1"/>
                <w:sz w:val="20"/>
                <w:lang w:val="hr-HR"/>
              </w:rPr>
              <w:t>Porez na dobit-tekuća obveza</w:t>
            </w:r>
            <w:bookmarkEnd w:id="1293"/>
          </w:p>
        </w:tc>
        <w:tc>
          <w:tcPr>
            <w:tcW w:w="758" w:type="pct"/>
            <w:tcBorders>
              <w:top w:val="nil"/>
              <w:left w:val="nil"/>
              <w:right w:val="nil"/>
            </w:tcBorders>
            <w:shd w:val="clear" w:color="auto" w:fill="auto"/>
            <w:vAlign w:val="bottom"/>
          </w:tcPr>
          <w:p w14:paraId="3642F831" w14:textId="77777777" w:rsidR="004E2F51" w:rsidRPr="00830FE5"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 xml:space="preserve"> 15 </w:t>
            </w:r>
          </w:p>
        </w:tc>
        <w:tc>
          <w:tcPr>
            <w:tcW w:w="758" w:type="pct"/>
            <w:tcBorders>
              <w:top w:val="nil"/>
              <w:left w:val="nil"/>
              <w:right w:val="nil"/>
            </w:tcBorders>
            <w:shd w:val="clear" w:color="auto" w:fill="auto"/>
            <w:vAlign w:val="bottom"/>
          </w:tcPr>
          <w:p w14:paraId="42383FAD" w14:textId="77777777" w:rsidR="004E2F51" w:rsidRPr="00E35011" w:rsidRDefault="004E2F51" w:rsidP="00E032FC">
            <w:pPr>
              <w:pStyle w:val="TT"/>
              <w:jc w:val="right"/>
              <w:rPr>
                <w:rFonts w:eastAsia="Arial Unicode MS" w:cs="Arial"/>
                <w:color w:val="000000" w:themeColor="text1"/>
                <w:sz w:val="20"/>
                <w:lang w:val="hr-HR"/>
              </w:rPr>
            </w:pPr>
            <w:r w:rsidRPr="00E35011">
              <w:rPr>
                <w:rFonts w:eastAsia="Arial Unicode MS" w:cs="Arial"/>
                <w:color w:val="000000" w:themeColor="text1"/>
                <w:sz w:val="20"/>
              </w:rPr>
              <w:t>208</w:t>
            </w:r>
          </w:p>
        </w:tc>
        <w:tc>
          <w:tcPr>
            <w:tcW w:w="757" w:type="pct"/>
            <w:tcBorders>
              <w:top w:val="nil"/>
              <w:left w:val="nil"/>
              <w:right w:val="nil"/>
            </w:tcBorders>
            <w:shd w:val="clear" w:color="auto" w:fill="auto"/>
            <w:vAlign w:val="bottom"/>
          </w:tcPr>
          <w:p w14:paraId="02EF9B74" w14:textId="77777777" w:rsidR="004E2F51" w:rsidRPr="00E35011"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w:t>
            </w:r>
          </w:p>
        </w:tc>
        <w:tc>
          <w:tcPr>
            <w:tcW w:w="758" w:type="pct"/>
            <w:tcBorders>
              <w:top w:val="nil"/>
              <w:left w:val="nil"/>
              <w:right w:val="nil"/>
            </w:tcBorders>
            <w:shd w:val="clear" w:color="auto" w:fill="auto"/>
            <w:vAlign w:val="bottom"/>
          </w:tcPr>
          <w:p w14:paraId="3D2B6F2F" w14:textId="77777777" w:rsidR="004E2F51" w:rsidRPr="00E35011" w:rsidRDefault="004E2F51" w:rsidP="00E032FC">
            <w:pPr>
              <w:pStyle w:val="TT"/>
              <w:jc w:val="right"/>
              <w:rPr>
                <w:rFonts w:cs="Arial"/>
                <w:color w:val="000000" w:themeColor="text1"/>
                <w:sz w:val="20"/>
                <w:lang w:val="hr-HR"/>
              </w:rPr>
            </w:pPr>
            <w:bookmarkStart w:id="1294" w:name="_Toc67328836"/>
            <w:r w:rsidRPr="00E35011">
              <w:rPr>
                <w:rFonts w:eastAsia="Arial Unicode MS" w:cs="Arial"/>
                <w:color w:val="000000" w:themeColor="text1"/>
                <w:sz w:val="20"/>
                <w:lang w:val="hr-HR"/>
              </w:rPr>
              <w:t>-</w:t>
            </w:r>
            <w:bookmarkEnd w:id="1294"/>
          </w:p>
        </w:tc>
      </w:tr>
      <w:tr w:rsidR="004E2F51" w:rsidRPr="00E35011" w14:paraId="09D0AACE" w14:textId="77777777" w:rsidTr="00E032FC">
        <w:trPr>
          <w:trHeight w:val="241"/>
        </w:trPr>
        <w:tc>
          <w:tcPr>
            <w:tcW w:w="1970" w:type="pct"/>
            <w:vAlign w:val="bottom"/>
          </w:tcPr>
          <w:p w14:paraId="4AD99C84" w14:textId="77777777" w:rsidR="004E2F51" w:rsidRPr="00E35011" w:rsidRDefault="004E2F51" w:rsidP="00E032FC">
            <w:pPr>
              <w:pStyle w:val="TT"/>
              <w:rPr>
                <w:rFonts w:cs="Arial"/>
                <w:color w:val="000000" w:themeColor="text1"/>
                <w:sz w:val="20"/>
                <w:lang w:val="hr-HR"/>
              </w:rPr>
            </w:pPr>
            <w:bookmarkStart w:id="1295" w:name="_Toc67328838"/>
            <w:r w:rsidRPr="00E35011">
              <w:rPr>
                <w:rFonts w:cs="Arial"/>
                <w:color w:val="000000" w:themeColor="text1"/>
                <w:sz w:val="20"/>
                <w:lang w:val="hr-HR"/>
              </w:rPr>
              <w:t>Obveze po osnovi najma</w:t>
            </w:r>
            <w:bookmarkEnd w:id="1295"/>
          </w:p>
        </w:tc>
        <w:tc>
          <w:tcPr>
            <w:tcW w:w="758" w:type="pct"/>
            <w:tcBorders>
              <w:top w:val="nil"/>
              <w:left w:val="nil"/>
              <w:right w:val="nil"/>
            </w:tcBorders>
            <w:shd w:val="clear" w:color="auto" w:fill="auto"/>
            <w:vAlign w:val="bottom"/>
          </w:tcPr>
          <w:p w14:paraId="19564793" w14:textId="77777777" w:rsidR="004E2F51" w:rsidRPr="00830FE5"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 xml:space="preserve"> 4.047 </w:t>
            </w:r>
          </w:p>
        </w:tc>
        <w:tc>
          <w:tcPr>
            <w:tcW w:w="758" w:type="pct"/>
            <w:tcBorders>
              <w:top w:val="nil"/>
              <w:left w:val="nil"/>
              <w:right w:val="nil"/>
            </w:tcBorders>
            <w:shd w:val="clear" w:color="auto" w:fill="auto"/>
            <w:vAlign w:val="bottom"/>
          </w:tcPr>
          <w:p w14:paraId="1E04A128" w14:textId="77777777" w:rsidR="004E2F51" w:rsidRPr="00E35011" w:rsidRDefault="004E2F51" w:rsidP="00E032FC">
            <w:pPr>
              <w:pStyle w:val="TT"/>
              <w:jc w:val="right"/>
              <w:rPr>
                <w:rFonts w:eastAsia="Arial Unicode MS" w:cs="Arial"/>
                <w:color w:val="000000" w:themeColor="text1"/>
                <w:sz w:val="20"/>
                <w:lang w:val="hr-HR"/>
              </w:rPr>
            </w:pPr>
            <w:r w:rsidRPr="00E35011">
              <w:rPr>
                <w:rFonts w:eastAsia="Arial Unicode MS" w:cs="Arial"/>
                <w:color w:val="000000" w:themeColor="text1"/>
                <w:sz w:val="20"/>
              </w:rPr>
              <w:t>1.148</w:t>
            </w:r>
          </w:p>
        </w:tc>
        <w:tc>
          <w:tcPr>
            <w:tcW w:w="757" w:type="pct"/>
            <w:tcBorders>
              <w:top w:val="nil"/>
              <w:left w:val="nil"/>
              <w:right w:val="nil"/>
            </w:tcBorders>
            <w:shd w:val="clear" w:color="auto" w:fill="auto"/>
            <w:vAlign w:val="bottom"/>
          </w:tcPr>
          <w:p w14:paraId="32A72B56" w14:textId="77777777" w:rsidR="004E2F51" w:rsidRPr="00E35011"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3.867</w:t>
            </w:r>
          </w:p>
        </w:tc>
        <w:tc>
          <w:tcPr>
            <w:tcW w:w="758" w:type="pct"/>
            <w:tcBorders>
              <w:top w:val="nil"/>
              <w:left w:val="nil"/>
              <w:right w:val="nil"/>
            </w:tcBorders>
            <w:shd w:val="clear" w:color="auto" w:fill="auto"/>
            <w:vAlign w:val="bottom"/>
          </w:tcPr>
          <w:p w14:paraId="523657BC" w14:textId="77777777" w:rsidR="004E2F51" w:rsidRPr="00E35011" w:rsidRDefault="004E2F51" w:rsidP="00E032FC">
            <w:pPr>
              <w:pStyle w:val="TT"/>
              <w:jc w:val="right"/>
              <w:rPr>
                <w:rFonts w:cs="Arial"/>
                <w:color w:val="000000" w:themeColor="text1"/>
                <w:sz w:val="20"/>
                <w:lang w:val="hr-HR"/>
              </w:rPr>
            </w:pPr>
            <w:bookmarkStart w:id="1296" w:name="_Toc67328840"/>
            <w:r w:rsidRPr="00E35011">
              <w:rPr>
                <w:rFonts w:eastAsia="Arial Unicode MS" w:cs="Arial"/>
                <w:color w:val="000000" w:themeColor="text1"/>
                <w:sz w:val="20"/>
                <w:lang w:val="hr-HR"/>
              </w:rPr>
              <w:t>800</w:t>
            </w:r>
            <w:bookmarkEnd w:id="1296"/>
          </w:p>
        </w:tc>
      </w:tr>
      <w:tr w:rsidR="004E2F51" w:rsidRPr="00E35011" w14:paraId="44C30897" w14:textId="77777777" w:rsidTr="00E032FC">
        <w:trPr>
          <w:trHeight w:val="241"/>
        </w:trPr>
        <w:tc>
          <w:tcPr>
            <w:tcW w:w="1970" w:type="pct"/>
            <w:vAlign w:val="bottom"/>
          </w:tcPr>
          <w:p w14:paraId="25355CB5" w14:textId="77777777" w:rsidR="004E2F51" w:rsidRPr="00E35011" w:rsidRDefault="004E2F51" w:rsidP="00E032FC">
            <w:pPr>
              <w:pStyle w:val="TT"/>
              <w:rPr>
                <w:rFonts w:cs="Arial"/>
                <w:color w:val="000000" w:themeColor="text1"/>
                <w:sz w:val="20"/>
                <w:lang w:val="hr-HR"/>
              </w:rPr>
            </w:pPr>
            <w:bookmarkStart w:id="1297" w:name="_Toc67328842"/>
            <w:r w:rsidRPr="00E35011">
              <w:rPr>
                <w:rFonts w:cs="Arial"/>
                <w:color w:val="000000" w:themeColor="text1"/>
                <w:sz w:val="20"/>
                <w:lang w:val="hr-HR"/>
              </w:rPr>
              <w:t>Ostale obveze</w:t>
            </w:r>
            <w:bookmarkEnd w:id="1297"/>
          </w:p>
        </w:tc>
        <w:tc>
          <w:tcPr>
            <w:tcW w:w="758" w:type="pct"/>
            <w:tcBorders>
              <w:left w:val="nil"/>
              <w:right w:val="nil"/>
            </w:tcBorders>
            <w:shd w:val="clear" w:color="auto" w:fill="auto"/>
            <w:vAlign w:val="bottom"/>
          </w:tcPr>
          <w:p w14:paraId="0B324441" w14:textId="77777777" w:rsidR="004E2F51" w:rsidRPr="00830FE5"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 xml:space="preserve"> 8.498 </w:t>
            </w:r>
          </w:p>
        </w:tc>
        <w:tc>
          <w:tcPr>
            <w:tcW w:w="758" w:type="pct"/>
            <w:tcBorders>
              <w:left w:val="nil"/>
              <w:right w:val="nil"/>
            </w:tcBorders>
            <w:shd w:val="clear" w:color="auto" w:fill="auto"/>
            <w:vAlign w:val="bottom"/>
          </w:tcPr>
          <w:p w14:paraId="22712371" w14:textId="77777777" w:rsidR="004E2F51" w:rsidRPr="00E35011" w:rsidRDefault="004E2F51" w:rsidP="00E032FC">
            <w:pPr>
              <w:pStyle w:val="TT"/>
              <w:jc w:val="right"/>
              <w:rPr>
                <w:rFonts w:eastAsia="Arial Unicode MS" w:cs="Arial"/>
                <w:color w:val="000000" w:themeColor="text1"/>
                <w:sz w:val="20"/>
                <w:lang w:val="hr-HR"/>
              </w:rPr>
            </w:pPr>
            <w:r w:rsidRPr="00E35011">
              <w:rPr>
                <w:rFonts w:eastAsia="Arial Unicode MS" w:cs="Arial"/>
                <w:color w:val="000000" w:themeColor="text1"/>
                <w:sz w:val="20"/>
              </w:rPr>
              <w:t>41.651</w:t>
            </w:r>
          </w:p>
        </w:tc>
        <w:tc>
          <w:tcPr>
            <w:tcW w:w="757" w:type="pct"/>
            <w:tcBorders>
              <w:left w:val="nil"/>
              <w:right w:val="nil"/>
            </w:tcBorders>
            <w:shd w:val="clear" w:color="auto" w:fill="auto"/>
            <w:vAlign w:val="bottom"/>
          </w:tcPr>
          <w:p w14:paraId="696977DF" w14:textId="77777777" w:rsidR="004E2F51" w:rsidRPr="00E35011" w:rsidRDefault="004E2F51" w:rsidP="00E032FC">
            <w:pPr>
              <w:pStyle w:val="TT"/>
              <w:jc w:val="right"/>
              <w:rPr>
                <w:rFonts w:eastAsia="Arial Unicode MS" w:cs="Arial"/>
                <w:color w:val="000000" w:themeColor="text1"/>
                <w:sz w:val="20"/>
                <w:lang w:val="hr-HR"/>
              </w:rPr>
            </w:pPr>
            <w:r w:rsidRPr="00830FE5">
              <w:rPr>
                <w:rFonts w:eastAsia="Arial Unicode MS" w:cs="Arial"/>
                <w:color w:val="000000" w:themeColor="text1"/>
                <w:sz w:val="20"/>
                <w:lang w:val="hr-HR"/>
              </w:rPr>
              <w:t>6.909</w:t>
            </w:r>
          </w:p>
        </w:tc>
        <w:tc>
          <w:tcPr>
            <w:tcW w:w="758" w:type="pct"/>
            <w:tcBorders>
              <w:left w:val="nil"/>
              <w:right w:val="nil"/>
            </w:tcBorders>
            <w:shd w:val="clear" w:color="auto" w:fill="auto"/>
            <w:vAlign w:val="bottom"/>
          </w:tcPr>
          <w:p w14:paraId="0E288D57" w14:textId="77777777" w:rsidR="004E2F51" w:rsidRPr="00E35011" w:rsidRDefault="004E2F51" w:rsidP="00E032FC">
            <w:pPr>
              <w:pStyle w:val="TT"/>
              <w:jc w:val="right"/>
              <w:rPr>
                <w:rFonts w:cs="Arial"/>
                <w:color w:val="000000" w:themeColor="text1"/>
                <w:sz w:val="20"/>
                <w:lang w:val="hr-HR"/>
              </w:rPr>
            </w:pPr>
            <w:bookmarkStart w:id="1298" w:name="_Toc67328844"/>
            <w:r w:rsidRPr="00E35011">
              <w:rPr>
                <w:rFonts w:eastAsia="Arial Unicode MS" w:cs="Arial"/>
                <w:color w:val="000000" w:themeColor="text1"/>
                <w:sz w:val="20"/>
                <w:lang w:val="hr-HR"/>
              </w:rPr>
              <w:t>39.809</w:t>
            </w:r>
            <w:bookmarkEnd w:id="1298"/>
          </w:p>
        </w:tc>
      </w:tr>
      <w:tr w:rsidR="004E2F51" w:rsidRPr="00E35011" w14:paraId="20C24631" w14:textId="77777777" w:rsidTr="00E032FC">
        <w:trPr>
          <w:trHeight w:val="241"/>
        </w:trPr>
        <w:tc>
          <w:tcPr>
            <w:tcW w:w="1970" w:type="pct"/>
          </w:tcPr>
          <w:p w14:paraId="092D555C" w14:textId="77777777" w:rsidR="004E2F51" w:rsidRPr="00E35011" w:rsidRDefault="004E2F51" w:rsidP="00E032FC">
            <w:pPr>
              <w:pStyle w:val="Tot"/>
              <w:rPr>
                <w:rFonts w:cs="Arial"/>
                <w:b/>
                <w:bCs/>
                <w:color w:val="000000" w:themeColor="text1"/>
                <w:sz w:val="20"/>
                <w:lang w:val="hr-HR"/>
              </w:rPr>
            </w:pPr>
          </w:p>
        </w:tc>
        <w:tc>
          <w:tcPr>
            <w:tcW w:w="758" w:type="pct"/>
            <w:tcBorders>
              <w:top w:val="single" w:sz="4" w:space="0" w:color="auto"/>
              <w:bottom w:val="single" w:sz="12" w:space="0" w:color="auto"/>
            </w:tcBorders>
            <w:vAlign w:val="bottom"/>
          </w:tcPr>
          <w:p w14:paraId="2B306F5C" w14:textId="77777777" w:rsidR="004E2F51" w:rsidRPr="00E35011" w:rsidRDefault="004E2F51" w:rsidP="00E032FC">
            <w:pPr>
              <w:pStyle w:val="Tot"/>
              <w:jc w:val="right"/>
              <w:rPr>
                <w:rFonts w:cs="Arial"/>
                <w:b/>
                <w:bCs/>
                <w:color w:val="000000" w:themeColor="text1"/>
                <w:sz w:val="20"/>
                <w:highlight w:val="yellow"/>
                <w:lang w:val="hr-HR"/>
              </w:rPr>
            </w:pPr>
            <w:r w:rsidRPr="00830FE5">
              <w:rPr>
                <w:rFonts w:cs="Arial"/>
                <w:b/>
                <w:bCs/>
                <w:color w:val="000000" w:themeColor="text1"/>
                <w:sz w:val="20"/>
                <w:lang w:val="hr-HR"/>
              </w:rPr>
              <w:t>676.523</w:t>
            </w:r>
          </w:p>
        </w:tc>
        <w:tc>
          <w:tcPr>
            <w:tcW w:w="758" w:type="pct"/>
            <w:tcBorders>
              <w:top w:val="single" w:sz="4" w:space="0" w:color="auto"/>
              <w:bottom w:val="single" w:sz="12" w:space="0" w:color="auto"/>
            </w:tcBorders>
            <w:vAlign w:val="bottom"/>
          </w:tcPr>
          <w:p w14:paraId="7C2CD417" w14:textId="77777777" w:rsidR="004E2F51" w:rsidRPr="00E35011" w:rsidRDefault="004E2F51" w:rsidP="00E032FC">
            <w:pPr>
              <w:pStyle w:val="Tot"/>
              <w:jc w:val="right"/>
              <w:rPr>
                <w:rFonts w:cs="Arial"/>
                <w:b/>
                <w:bCs/>
                <w:color w:val="000000" w:themeColor="text1"/>
                <w:sz w:val="20"/>
                <w:lang w:val="hr-HR"/>
              </w:rPr>
            </w:pPr>
            <w:bookmarkStart w:id="1299" w:name="_Toc67328846"/>
            <w:r w:rsidRPr="00E35011">
              <w:rPr>
                <w:rFonts w:cs="Arial"/>
                <w:b/>
                <w:bCs/>
                <w:color w:val="000000" w:themeColor="text1"/>
                <w:sz w:val="20"/>
                <w:lang w:val="hr-HR"/>
              </w:rPr>
              <w:t>435.239</w:t>
            </w:r>
            <w:bookmarkEnd w:id="1299"/>
          </w:p>
        </w:tc>
        <w:tc>
          <w:tcPr>
            <w:tcW w:w="757" w:type="pct"/>
            <w:tcBorders>
              <w:top w:val="single" w:sz="4" w:space="0" w:color="auto"/>
              <w:bottom w:val="single" w:sz="12" w:space="0" w:color="auto"/>
            </w:tcBorders>
            <w:vAlign w:val="bottom"/>
          </w:tcPr>
          <w:p w14:paraId="5ED174FC" w14:textId="77777777" w:rsidR="004E2F51" w:rsidRPr="00E35011" w:rsidRDefault="004E2F51" w:rsidP="00E032FC">
            <w:pPr>
              <w:pStyle w:val="Tot"/>
              <w:jc w:val="right"/>
              <w:rPr>
                <w:rFonts w:cs="Arial"/>
                <w:b/>
                <w:bCs/>
                <w:color w:val="000000" w:themeColor="text1"/>
                <w:sz w:val="20"/>
                <w:lang w:val="hr-HR"/>
              </w:rPr>
            </w:pPr>
            <w:r w:rsidRPr="00830FE5">
              <w:rPr>
                <w:rFonts w:cs="Arial"/>
                <w:b/>
                <w:bCs/>
                <w:color w:val="000000" w:themeColor="text1"/>
                <w:sz w:val="20"/>
                <w:lang w:val="hr-HR"/>
              </w:rPr>
              <w:t>653.133</w:t>
            </w:r>
          </w:p>
        </w:tc>
        <w:tc>
          <w:tcPr>
            <w:tcW w:w="758" w:type="pct"/>
            <w:tcBorders>
              <w:top w:val="single" w:sz="4" w:space="0" w:color="auto"/>
              <w:bottom w:val="single" w:sz="12" w:space="0" w:color="auto"/>
            </w:tcBorders>
            <w:vAlign w:val="bottom"/>
          </w:tcPr>
          <w:p w14:paraId="2481C07D" w14:textId="77777777" w:rsidR="004E2F51" w:rsidRPr="00E35011" w:rsidRDefault="004E2F51" w:rsidP="00E032FC">
            <w:pPr>
              <w:pStyle w:val="Tot"/>
              <w:jc w:val="right"/>
              <w:rPr>
                <w:rFonts w:cs="Arial"/>
                <w:b/>
                <w:bCs/>
                <w:color w:val="000000" w:themeColor="text1"/>
                <w:sz w:val="20"/>
                <w:lang w:val="hr-HR"/>
              </w:rPr>
            </w:pPr>
            <w:bookmarkStart w:id="1300" w:name="_Toc67328848"/>
            <w:r w:rsidRPr="00E35011">
              <w:rPr>
                <w:rFonts w:cs="Arial"/>
                <w:b/>
                <w:bCs/>
                <w:color w:val="000000" w:themeColor="text1"/>
                <w:sz w:val="20"/>
                <w:lang w:val="hr-HR"/>
              </w:rPr>
              <w:t>416.178</w:t>
            </w:r>
            <w:bookmarkEnd w:id="1300"/>
          </w:p>
        </w:tc>
      </w:tr>
    </w:tbl>
    <w:p w14:paraId="580B83EA" w14:textId="77777777" w:rsidR="004E2F51" w:rsidRPr="00E35011" w:rsidRDefault="004E2F51" w:rsidP="004E2F51">
      <w:pPr>
        <w:tabs>
          <w:tab w:val="left" w:pos="-1843"/>
        </w:tabs>
        <w:rPr>
          <w:rFonts w:ascii="Arial" w:hAnsi="Arial" w:cs="Arial"/>
          <w:b/>
          <w:color w:val="000000" w:themeColor="text1"/>
          <w:spacing w:val="-3"/>
          <w:sz w:val="20"/>
          <w:szCs w:val="20"/>
          <w:lang w:val="hr-HR"/>
        </w:rPr>
      </w:pPr>
    </w:p>
    <w:p w14:paraId="4CD0981A" w14:textId="77777777" w:rsidR="004E2F51" w:rsidRPr="004B4498" w:rsidRDefault="004E2F51" w:rsidP="004E2F51">
      <w:pPr>
        <w:pStyle w:val="Default"/>
        <w:jc w:val="both"/>
        <w:rPr>
          <w:color w:val="000000" w:themeColor="text1"/>
          <w:sz w:val="20"/>
          <w:szCs w:val="20"/>
        </w:rPr>
      </w:pPr>
      <w:r w:rsidRPr="004B4498">
        <w:rPr>
          <w:color w:val="000000" w:themeColor="text1"/>
          <w:sz w:val="20"/>
          <w:szCs w:val="20"/>
        </w:rPr>
        <w:t>(a) Obveze za subvencioniranje kamatne stope odnose se na predujmove preuzete za subvencioniranje kamatnih stopa po kreditima, koji su odobreni uz nižu kamatnu stopu krajnjim korisnicima po programima koje HBOR provodi u ime i za račun Republike Hrvatske. Ove obveze odnose se na:</w:t>
      </w:r>
    </w:p>
    <w:p w14:paraId="7967ED17" w14:textId="77777777" w:rsidR="004E2F51" w:rsidRPr="00E35011" w:rsidRDefault="004E2F51" w:rsidP="004E2F51">
      <w:pPr>
        <w:pStyle w:val="BodyText3"/>
        <w:tabs>
          <w:tab w:val="clear" w:pos="4513"/>
          <w:tab w:val="left" w:pos="-1843"/>
        </w:tabs>
        <w:rPr>
          <w:rFonts w:ascii="Arial" w:hAnsi="Arial" w:cs="Arial"/>
          <w:color w:val="000000" w:themeColor="text1"/>
          <w:sz w:val="20"/>
          <w:lang w:val="hr-HR"/>
        </w:rPr>
      </w:pPr>
    </w:p>
    <w:p w14:paraId="22FF8EC8" w14:textId="77777777" w:rsidR="004E2F51" w:rsidRPr="004B4498" w:rsidRDefault="004E2F51">
      <w:pPr>
        <w:numPr>
          <w:ilvl w:val="0"/>
          <w:numId w:val="30"/>
        </w:numPr>
        <w:tabs>
          <w:tab w:val="left" w:pos="-1843"/>
        </w:tabs>
        <w:autoSpaceDN/>
        <w:jc w:val="both"/>
        <w:rPr>
          <w:rFonts w:ascii="Arial" w:hAnsi="Arial" w:cs="Arial"/>
          <w:color w:val="000000" w:themeColor="text1"/>
          <w:spacing w:val="-3"/>
          <w:sz w:val="20"/>
          <w:szCs w:val="20"/>
          <w:lang w:val="hr-HR"/>
        </w:rPr>
      </w:pPr>
      <w:bookmarkStart w:id="1301" w:name="_Hlk28592550"/>
      <w:r w:rsidRPr="004B4498">
        <w:rPr>
          <w:rFonts w:ascii="Arial" w:hAnsi="Arial" w:cs="Arial"/>
          <w:color w:val="000000" w:themeColor="text1"/>
          <w:spacing w:val="-3"/>
          <w:sz w:val="20"/>
          <w:szCs w:val="20"/>
          <w:lang w:val="hr-HR"/>
        </w:rPr>
        <w:t xml:space="preserve">Program povlaštenog financiranja po kreditnim programima HBOR-a u iznosu od </w:t>
      </w:r>
      <w:r w:rsidRPr="00830FE5">
        <w:rPr>
          <w:rFonts w:ascii="Arial" w:hAnsi="Arial" w:cs="Arial"/>
          <w:color w:val="000000" w:themeColor="text1"/>
          <w:spacing w:val="-3"/>
          <w:sz w:val="20"/>
          <w:szCs w:val="20"/>
          <w:lang w:val="hr-HR"/>
        </w:rPr>
        <w:t>312.972</w:t>
      </w:r>
      <w:r w:rsidRPr="004B4498">
        <w:rPr>
          <w:rFonts w:ascii="Arial" w:hAnsi="Arial" w:cs="Arial"/>
          <w:color w:val="000000" w:themeColor="text1"/>
          <w:spacing w:val="-3"/>
          <w:sz w:val="20"/>
          <w:szCs w:val="20"/>
          <w:lang w:val="hr-HR"/>
        </w:rPr>
        <w:t xml:space="preserve"> tisuća kuna (31. prosinca 2021.: 168.750 tisuća kuna),</w:t>
      </w:r>
    </w:p>
    <w:p w14:paraId="41155936" w14:textId="77777777" w:rsidR="004E2F51" w:rsidRPr="004B4498" w:rsidRDefault="004E2F51">
      <w:pPr>
        <w:numPr>
          <w:ilvl w:val="0"/>
          <w:numId w:val="30"/>
        </w:numPr>
        <w:tabs>
          <w:tab w:val="left" w:pos="-1843"/>
        </w:tabs>
        <w:autoSpaceDN/>
        <w:jc w:val="both"/>
        <w:rPr>
          <w:rFonts w:ascii="Arial" w:hAnsi="Arial" w:cs="Arial"/>
          <w:color w:val="000000" w:themeColor="text1"/>
          <w:spacing w:val="-3"/>
          <w:sz w:val="20"/>
          <w:szCs w:val="20"/>
          <w:lang w:val="hr-HR"/>
        </w:rPr>
      </w:pPr>
      <w:r w:rsidRPr="004B4498">
        <w:rPr>
          <w:rFonts w:ascii="Arial" w:hAnsi="Arial" w:cs="Arial"/>
          <w:color w:val="000000" w:themeColor="text1"/>
          <w:spacing w:val="-3"/>
          <w:sz w:val="20"/>
          <w:szCs w:val="20"/>
          <w:lang w:val="hr-HR"/>
        </w:rPr>
        <w:t xml:space="preserve">Program Obrtna sredstva Mjera COVID-19 za MSP poduzetnike u turističkim djelatnostima za mikro, male i srednje poduzetnike, Ministarstvo turizma i sporta u iznosu od </w:t>
      </w:r>
      <w:r>
        <w:rPr>
          <w:rFonts w:ascii="Arial" w:hAnsi="Arial" w:cs="Arial"/>
          <w:color w:val="000000" w:themeColor="text1"/>
          <w:spacing w:val="-3"/>
          <w:sz w:val="20"/>
          <w:szCs w:val="20"/>
          <w:lang w:val="hr-HR"/>
        </w:rPr>
        <w:t>7</w:t>
      </w:r>
      <w:r w:rsidRPr="004B4498">
        <w:rPr>
          <w:rFonts w:ascii="Arial" w:hAnsi="Arial" w:cs="Arial"/>
          <w:color w:val="000000" w:themeColor="text1"/>
          <w:spacing w:val="-3"/>
          <w:sz w:val="20"/>
          <w:szCs w:val="20"/>
          <w:lang w:val="hr-HR"/>
        </w:rPr>
        <w:t xml:space="preserve"> tisuća kuna (31. prosinca 2021.: 3.468 tisuća kuna),</w:t>
      </w:r>
    </w:p>
    <w:p w14:paraId="6B0C3C30" w14:textId="77777777" w:rsidR="004E2F51" w:rsidRPr="004B4498" w:rsidRDefault="004E2F51">
      <w:pPr>
        <w:numPr>
          <w:ilvl w:val="0"/>
          <w:numId w:val="30"/>
        </w:numPr>
        <w:tabs>
          <w:tab w:val="left" w:pos="-1843"/>
        </w:tabs>
        <w:autoSpaceDN/>
        <w:jc w:val="both"/>
        <w:rPr>
          <w:rFonts w:ascii="Arial" w:hAnsi="Arial" w:cs="Arial"/>
          <w:color w:val="000000" w:themeColor="text1"/>
          <w:spacing w:val="-3"/>
          <w:sz w:val="20"/>
          <w:szCs w:val="20"/>
          <w:lang w:val="hr-HR"/>
        </w:rPr>
      </w:pPr>
      <w:r w:rsidRPr="004B4498">
        <w:rPr>
          <w:rFonts w:ascii="Arial" w:hAnsi="Arial" w:cs="Arial"/>
          <w:color w:val="000000" w:themeColor="text1"/>
          <w:spacing w:val="-3"/>
          <w:sz w:val="20"/>
          <w:szCs w:val="20"/>
          <w:lang w:val="hr-HR"/>
        </w:rPr>
        <w:t xml:space="preserve">Program Obrtna sredstva Mjera COVID-19 za poduzetnike u djelatnostima prerade drva i proizvodnje namještaja, Ministarstvo poljoprivrede u iznosu od </w:t>
      </w:r>
      <w:r>
        <w:rPr>
          <w:rFonts w:ascii="Arial" w:hAnsi="Arial" w:cs="Arial"/>
          <w:color w:val="000000" w:themeColor="text1"/>
          <w:spacing w:val="-3"/>
          <w:sz w:val="20"/>
          <w:szCs w:val="20"/>
          <w:lang w:val="hr-HR"/>
        </w:rPr>
        <w:t>0</w:t>
      </w:r>
      <w:r w:rsidRPr="004B4498">
        <w:rPr>
          <w:rFonts w:ascii="Arial" w:hAnsi="Arial" w:cs="Arial"/>
          <w:color w:val="000000" w:themeColor="text1"/>
          <w:spacing w:val="-3"/>
          <w:sz w:val="20"/>
          <w:szCs w:val="20"/>
          <w:lang w:val="hr-HR"/>
        </w:rPr>
        <w:t xml:space="preserve"> tisuća kuna (31. prosinca 2021.: 309 tisuća kuna),</w:t>
      </w:r>
    </w:p>
    <w:p w14:paraId="4F6DF9E5" w14:textId="77777777" w:rsidR="004E2F51" w:rsidRPr="004B4498" w:rsidRDefault="004E2F51">
      <w:pPr>
        <w:numPr>
          <w:ilvl w:val="0"/>
          <w:numId w:val="30"/>
        </w:numPr>
        <w:tabs>
          <w:tab w:val="left" w:pos="-1843"/>
        </w:tabs>
        <w:autoSpaceDN/>
        <w:jc w:val="both"/>
        <w:rPr>
          <w:rFonts w:ascii="Arial" w:hAnsi="Arial" w:cs="Arial"/>
          <w:color w:val="000000" w:themeColor="text1"/>
          <w:spacing w:val="-3"/>
          <w:sz w:val="20"/>
          <w:szCs w:val="20"/>
          <w:lang w:val="hr-HR"/>
        </w:rPr>
      </w:pPr>
      <w:r w:rsidRPr="004B4498">
        <w:rPr>
          <w:rFonts w:ascii="Arial" w:hAnsi="Arial" w:cs="Arial"/>
          <w:color w:val="000000" w:themeColor="text1"/>
          <w:spacing w:val="-3"/>
          <w:sz w:val="20"/>
          <w:szCs w:val="20"/>
          <w:lang w:val="hr-HR"/>
        </w:rPr>
        <w:t xml:space="preserve">Subvencioniranje kamate za nabavu mobilnih kućica poslovnim subjektima u sektoru turizma u iznosu od </w:t>
      </w:r>
      <w:r>
        <w:rPr>
          <w:rFonts w:ascii="Arial" w:hAnsi="Arial" w:cs="Arial"/>
          <w:color w:val="000000" w:themeColor="text1"/>
          <w:spacing w:val="-3"/>
          <w:sz w:val="20"/>
          <w:szCs w:val="20"/>
          <w:lang w:val="hr-HR"/>
        </w:rPr>
        <w:t>0</w:t>
      </w:r>
      <w:r w:rsidRPr="004B4498">
        <w:rPr>
          <w:rFonts w:ascii="Arial" w:hAnsi="Arial" w:cs="Arial"/>
          <w:color w:val="000000" w:themeColor="text1"/>
          <w:spacing w:val="-3"/>
          <w:sz w:val="20"/>
          <w:szCs w:val="20"/>
          <w:lang w:val="hr-HR"/>
        </w:rPr>
        <w:t xml:space="preserve"> tisuća kuna (31. prosinca 2021.: 1.500 tisuća kuna),</w:t>
      </w:r>
    </w:p>
    <w:p w14:paraId="491894CA" w14:textId="77777777" w:rsidR="004E2F51" w:rsidRPr="004B4498" w:rsidRDefault="004E2F51">
      <w:pPr>
        <w:numPr>
          <w:ilvl w:val="0"/>
          <w:numId w:val="30"/>
        </w:numPr>
        <w:tabs>
          <w:tab w:val="left" w:pos="-1843"/>
        </w:tabs>
        <w:autoSpaceDN/>
        <w:jc w:val="both"/>
        <w:rPr>
          <w:rFonts w:ascii="Arial" w:hAnsi="Arial" w:cs="Arial"/>
          <w:color w:val="000000" w:themeColor="text1"/>
          <w:spacing w:val="-3"/>
          <w:sz w:val="20"/>
          <w:szCs w:val="20"/>
          <w:lang w:val="hr-HR"/>
        </w:rPr>
      </w:pPr>
      <w:r w:rsidRPr="004B4498">
        <w:rPr>
          <w:rFonts w:ascii="Arial" w:hAnsi="Arial" w:cs="Arial"/>
          <w:color w:val="000000" w:themeColor="text1"/>
          <w:spacing w:val="-3"/>
          <w:sz w:val="20"/>
          <w:szCs w:val="20"/>
          <w:lang w:val="hr-HR"/>
        </w:rPr>
        <w:t xml:space="preserve">Financijski instrument Fonda subvencija kamata po kreditima za mikro, male i srednje poslovne subjekte u iznosu od </w:t>
      </w:r>
      <w:r w:rsidRPr="00830FE5">
        <w:rPr>
          <w:rFonts w:ascii="Arial" w:hAnsi="Arial" w:cs="Arial"/>
          <w:color w:val="000000" w:themeColor="text1"/>
          <w:spacing w:val="-3"/>
          <w:sz w:val="20"/>
          <w:szCs w:val="20"/>
          <w:lang w:val="hr-HR"/>
        </w:rPr>
        <w:t>42.496</w:t>
      </w:r>
      <w:r w:rsidRPr="004B4498">
        <w:rPr>
          <w:rFonts w:ascii="Arial" w:hAnsi="Arial" w:cs="Arial"/>
          <w:color w:val="000000" w:themeColor="text1"/>
          <w:spacing w:val="-3"/>
          <w:sz w:val="20"/>
          <w:szCs w:val="20"/>
          <w:lang w:val="hr-HR"/>
        </w:rPr>
        <w:t xml:space="preserve"> tisuća kuna </w:t>
      </w:r>
      <w:bookmarkStart w:id="1302" w:name="_Hlk109394198"/>
      <w:r w:rsidRPr="004B4498">
        <w:rPr>
          <w:rFonts w:ascii="Arial" w:hAnsi="Arial" w:cs="Arial"/>
          <w:color w:val="000000" w:themeColor="text1"/>
          <w:spacing w:val="-3"/>
          <w:sz w:val="20"/>
          <w:szCs w:val="20"/>
          <w:lang w:val="hr-HR"/>
        </w:rPr>
        <w:t>(31. prosinca 2021.: 0 tisuća kuna),</w:t>
      </w:r>
      <w:bookmarkEnd w:id="1302"/>
    </w:p>
    <w:p w14:paraId="4F10F7FA" w14:textId="77777777" w:rsidR="004E2F51" w:rsidRPr="004B4498" w:rsidRDefault="004E2F51">
      <w:pPr>
        <w:numPr>
          <w:ilvl w:val="0"/>
          <w:numId w:val="30"/>
        </w:numPr>
        <w:tabs>
          <w:tab w:val="left" w:pos="-1843"/>
        </w:tabs>
        <w:autoSpaceDN/>
        <w:jc w:val="both"/>
        <w:rPr>
          <w:rFonts w:ascii="Arial" w:hAnsi="Arial" w:cs="Arial"/>
          <w:color w:val="000000" w:themeColor="text1"/>
          <w:spacing w:val="-3"/>
          <w:sz w:val="20"/>
          <w:szCs w:val="20"/>
          <w:lang w:val="hr-HR"/>
        </w:rPr>
      </w:pPr>
      <w:r w:rsidRPr="004B4498">
        <w:rPr>
          <w:rFonts w:ascii="Arial" w:hAnsi="Arial" w:cs="Arial"/>
          <w:color w:val="000000" w:themeColor="text1"/>
          <w:spacing w:val="-3"/>
          <w:sz w:val="20"/>
          <w:szCs w:val="20"/>
          <w:lang w:val="hr-HR"/>
        </w:rPr>
        <w:t xml:space="preserve">Financijski instrument Fonda subvencija kamata po kreditima subjektima srednje tržišne kapitalizacije i velikim poslovnim subjektima u iznosu od </w:t>
      </w:r>
      <w:r w:rsidRPr="00830FE5">
        <w:rPr>
          <w:rFonts w:ascii="Arial" w:hAnsi="Arial" w:cs="Arial"/>
          <w:color w:val="000000" w:themeColor="text1"/>
          <w:spacing w:val="-3"/>
          <w:sz w:val="20"/>
          <w:szCs w:val="20"/>
          <w:lang w:val="hr-HR"/>
        </w:rPr>
        <w:t>46.407</w:t>
      </w:r>
      <w:r w:rsidRPr="004B4498">
        <w:rPr>
          <w:rFonts w:ascii="Arial" w:hAnsi="Arial" w:cs="Arial"/>
          <w:color w:val="000000" w:themeColor="text1"/>
          <w:spacing w:val="-3"/>
          <w:sz w:val="20"/>
          <w:szCs w:val="20"/>
          <w:lang w:val="hr-HR"/>
        </w:rPr>
        <w:t xml:space="preserve"> tisuća kuna (31. prosinca 2021.: 0 tisuća kuna),</w:t>
      </w:r>
    </w:p>
    <w:p w14:paraId="59060F8E" w14:textId="77777777" w:rsidR="004E2F51" w:rsidRPr="004B4498" w:rsidRDefault="004E2F51">
      <w:pPr>
        <w:numPr>
          <w:ilvl w:val="0"/>
          <w:numId w:val="30"/>
        </w:numPr>
        <w:tabs>
          <w:tab w:val="left" w:pos="-1843"/>
        </w:tabs>
        <w:autoSpaceDN/>
        <w:jc w:val="both"/>
        <w:rPr>
          <w:rFonts w:ascii="Arial" w:hAnsi="Arial" w:cs="Arial"/>
          <w:color w:val="000000" w:themeColor="text1"/>
          <w:spacing w:val="-3"/>
          <w:sz w:val="20"/>
          <w:szCs w:val="20"/>
          <w:lang w:val="hr-HR"/>
        </w:rPr>
      </w:pPr>
      <w:r w:rsidRPr="004B4498">
        <w:rPr>
          <w:rFonts w:ascii="Arial" w:hAnsi="Arial" w:cs="Arial"/>
          <w:color w:val="000000" w:themeColor="text1"/>
          <w:spacing w:val="-3"/>
          <w:sz w:val="20"/>
          <w:szCs w:val="20"/>
          <w:lang w:val="hr-HR"/>
        </w:rPr>
        <w:t xml:space="preserve">Financijski instrument Fonda subvencija kamata po kreditima za subjekte javnog sektora u iznosu od </w:t>
      </w:r>
      <w:r w:rsidRPr="00830FE5">
        <w:rPr>
          <w:rFonts w:ascii="Arial" w:hAnsi="Arial" w:cs="Arial"/>
          <w:color w:val="000000" w:themeColor="text1"/>
          <w:spacing w:val="-3"/>
          <w:sz w:val="20"/>
          <w:szCs w:val="20"/>
          <w:lang w:val="hr-HR"/>
        </w:rPr>
        <w:t>46.407</w:t>
      </w:r>
      <w:r w:rsidRPr="004B4498">
        <w:rPr>
          <w:rFonts w:ascii="Arial" w:hAnsi="Arial" w:cs="Arial"/>
          <w:color w:val="000000" w:themeColor="text1"/>
          <w:spacing w:val="-3"/>
          <w:sz w:val="20"/>
          <w:szCs w:val="20"/>
          <w:lang w:val="hr-HR"/>
        </w:rPr>
        <w:t xml:space="preserve"> tisuća kuna (31. prosinca 2021.: 0 tisuća kuna).</w:t>
      </w:r>
    </w:p>
    <w:bookmarkEnd w:id="1301"/>
    <w:p w14:paraId="588F9D57" w14:textId="77777777" w:rsidR="004E2F51" w:rsidRPr="004B4498" w:rsidRDefault="004E2F51" w:rsidP="004E2F51">
      <w:pPr>
        <w:tabs>
          <w:tab w:val="left" w:pos="-1843"/>
        </w:tabs>
        <w:ind w:left="720"/>
        <w:jc w:val="both"/>
        <w:rPr>
          <w:rFonts w:ascii="Arial" w:hAnsi="Arial" w:cs="Arial"/>
          <w:color w:val="000000" w:themeColor="text1"/>
          <w:sz w:val="20"/>
          <w:lang w:val="hr-HR"/>
        </w:rPr>
      </w:pPr>
    </w:p>
    <w:p w14:paraId="1893FBE2" w14:textId="77777777" w:rsidR="004E2F51" w:rsidRPr="004B4498" w:rsidRDefault="004E2F51" w:rsidP="004E2F51">
      <w:pPr>
        <w:pStyle w:val="BodyText3"/>
        <w:tabs>
          <w:tab w:val="clear" w:pos="4513"/>
          <w:tab w:val="left" w:pos="-1843"/>
        </w:tabs>
        <w:spacing w:after="120"/>
        <w:rPr>
          <w:rFonts w:ascii="Arial" w:hAnsi="Arial" w:cs="Arial"/>
          <w:color w:val="000000" w:themeColor="text1"/>
          <w:sz w:val="20"/>
          <w:lang w:val="hr-HR"/>
        </w:rPr>
      </w:pPr>
      <w:r w:rsidRPr="004B4498">
        <w:rPr>
          <w:rFonts w:ascii="Arial" w:hAnsi="Arial" w:cs="Arial"/>
          <w:color w:val="000000" w:themeColor="text1"/>
          <w:sz w:val="20"/>
          <w:lang w:val="hr-HR"/>
        </w:rPr>
        <w:t xml:space="preserve">(b) Odgođeno priznavanje kamatnih prihoda u iznosu </w:t>
      </w:r>
      <w:r w:rsidRPr="00830FE5">
        <w:rPr>
          <w:rFonts w:ascii="Arial" w:hAnsi="Arial" w:cs="Arial"/>
          <w:color w:val="000000" w:themeColor="text1"/>
          <w:sz w:val="20"/>
          <w:lang w:val="hr-HR"/>
        </w:rPr>
        <w:t>od 175.599</w:t>
      </w:r>
      <w:r w:rsidRPr="004B4498">
        <w:rPr>
          <w:rFonts w:ascii="Arial" w:hAnsi="Arial" w:cs="Arial"/>
          <w:color w:val="000000" w:themeColor="text1"/>
          <w:sz w:val="20"/>
          <w:lang w:val="hr-HR"/>
        </w:rPr>
        <w:t xml:space="preserve"> tisuća kuna (31. prosinca 202</w:t>
      </w:r>
      <w:r>
        <w:rPr>
          <w:rFonts w:ascii="Arial" w:hAnsi="Arial" w:cs="Arial"/>
          <w:color w:val="000000" w:themeColor="text1"/>
          <w:sz w:val="20"/>
          <w:lang w:val="hr-HR"/>
        </w:rPr>
        <w:t>1</w:t>
      </w:r>
      <w:r w:rsidRPr="004B4498">
        <w:rPr>
          <w:rFonts w:ascii="Arial" w:hAnsi="Arial" w:cs="Arial"/>
          <w:color w:val="000000" w:themeColor="text1"/>
          <w:sz w:val="20"/>
          <w:lang w:val="hr-HR"/>
        </w:rPr>
        <w:t xml:space="preserve">.: </w:t>
      </w:r>
      <w:bookmarkStart w:id="1303" w:name="_Hlk33434895"/>
      <w:r w:rsidRPr="00E35011">
        <w:rPr>
          <w:rFonts w:ascii="Arial" w:hAnsi="Arial" w:cs="Arial"/>
          <w:color w:val="000000" w:themeColor="text1"/>
          <w:sz w:val="20"/>
          <w:lang w:val="hr-HR"/>
        </w:rPr>
        <w:t xml:space="preserve">186.159 </w:t>
      </w:r>
      <w:bookmarkEnd w:id="1303"/>
      <w:r w:rsidRPr="004B4498">
        <w:rPr>
          <w:rFonts w:ascii="Arial" w:hAnsi="Arial" w:cs="Arial"/>
          <w:color w:val="000000" w:themeColor="text1"/>
          <w:sz w:val="20"/>
          <w:lang w:val="hr-HR"/>
        </w:rPr>
        <w:t xml:space="preserve">tisuća kuna) sastoji se od državne subvencije za kamate na kredite, koji su odobreni i povučeni od strane krajnjeg korisnika po nižoj kamatnoj stopi, ali još nisu u fazi otplate u iznosu od </w:t>
      </w:r>
      <w:r>
        <w:rPr>
          <w:rFonts w:ascii="Arial" w:hAnsi="Arial" w:cs="Arial"/>
          <w:color w:val="000000" w:themeColor="text1"/>
          <w:sz w:val="20"/>
          <w:lang w:val="hr-HR"/>
        </w:rPr>
        <w:t>44.861</w:t>
      </w:r>
      <w:r w:rsidRPr="004B4498">
        <w:rPr>
          <w:rFonts w:ascii="Arial" w:hAnsi="Arial" w:cs="Arial"/>
          <w:color w:val="000000" w:themeColor="text1"/>
          <w:sz w:val="20"/>
          <w:lang w:val="hr-HR"/>
        </w:rPr>
        <w:t xml:space="preserve"> tisuća kuna (31. prosinca 202</w:t>
      </w:r>
      <w:r>
        <w:rPr>
          <w:rFonts w:ascii="Arial" w:hAnsi="Arial" w:cs="Arial"/>
          <w:color w:val="000000" w:themeColor="text1"/>
          <w:sz w:val="20"/>
          <w:lang w:val="hr-HR"/>
        </w:rPr>
        <w:t>1</w:t>
      </w:r>
      <w:r w:rsidRPr="004B4498">
        <w:rPr>
          <w:rFonts w:ascii="Arial" w:hAnsi="Arial" w:cs="Arial"/>
          <w:color w:val="000000" w:themeColor="text1"/>
          <w:sz w:val="20"/>
          <w:lang w:val="hr-HR"/>
        </w:rPr>
        <w:t xml:space="preserve">.: </w:t>
      </w:r>
      <w:r w:rsidRPr="00E35011">
        <w:rPr>
          <w:rFonts w:ascii="Arial" w:hAnsi="Arial" w:cs="Arial"/>
          <w:color w:val="000000" w:themeColor="text1"/>
          <w:sz w:val="20"/>
          <w:lang w:val="hr-HR"/>
        </w:rPr>
        <w:t xml:space="preserve">58.042 </w:t>
      </w:r>
      <w:r w:rsidRPr="004B4498">
        <w:rPr>
          <w:rFonts w:ascii="Arial" w:hAnsi="Arial" w:cs="Arial"/>
          <w:color w:val="000000" w:themeColor="text1"/>
          <w:sz w:val="20"/>
          <w:lang w:val="hr-HR"/>
        </w:rPr>
        <w:t xml:space="preserve">tisuća kuna) te onih koji su u fazi otplate u iznosu od </w:t>
      </w:r>
      <w:r>
        <w:rPr>
          <w:rFonts w:ascii="Arial" w:hAnsi="Arial" w:cs="Arial"/>
          <w:color w:val="000000" w:themeColor="text1"/>
          <w:sz w:val="20"/>
          <w:lang w:val="hr-HR"/>
        </w:rPr>
        <w:t>130.738</w:t>
      </w:r>
      <w:r w:rsidRPr="004B4498">
        <w:rPr>
          <w:rFonts w:ascii="Arial" w:hAnsi="Arial" w:cs="Arial"/>
          <w:color w:val="000000" w:themeColor="text1"/>
          <w:sz w:val="20"/>
          <w:lang w:val="hr-HR"/>
        </w:rPr>
        <w:t xml:space="preserve"> tisuća kuna (31. prosinca 202</w:t>
      </w:r>
      <w:r>
        <w:rPr>
          <w:rFonts w:ascii="Arial" w:hAnsi="Arial" w:cs="Arial"/>
          <w:color w:val="000000" w:themeColor="text1"/>
          <w:sz w:val="20"/>
          <w:lang w:val="hr-HR"/>
        </w:rPr>
        <w:t>1</w:t>
      </w:r>
      <w:r w:rsidRPr="004B4498">
        <w:rPr>
          <w:rFonts w:ascii="Arial" w:hAnsi="Arial" w:cs="Arial"/>
          <w:color w:val="000000" w:themeColor="text1"/>
          <w:sz w:val="20"/>
          <w:lang w:val="hr-HR"/>
        </w:rPr>
        <w:t xml:space="preserve">.: </w:t>
      </w:r>
      <w:r w:rsidRPr="00E35011">
        <w:rPr>
          <w:rFonts w:ascii="Arial" w:hAnsi="Arial" w:cs="Arial"/>
          <w:color w:val="000000" w:themeColor="text1"/>
          <w:sz w:val="20"/>
          <w:lang w:val="hr-HR"/>
        </w:rPr>
        <w:t xml:space="preserve">128.117 </w:t>
      </w:r>
      <w:r w:rsidRPr="004B4498">
        <w:rPr>
          <w:rFonts w:ascii="Arial" w:hAnsi="Arial" w:cs="Arial"/>
          <w:color w:val="000000" w:themeColor="text1"/>
          <w:sz w:val="20"/>
          <w:lang w:val="hr-HR"/>
        </w:rPr>
        <w:t xml:space="preserve">tisuća kuna) (vidi </w:t>
      </w:r>
      <w:r w:rsidRPr="00A873BB">
        <w:rPr>
          <w:rFonts w:ascii="Arial" w:hAnsi="Arial" w:cs="Arial"/>
          <w:color w:val="000000" w:themeColor="text1"/>
          <w:sz w:val="20"/>
          <w:lang w:val="hr-HR"/>
        </w:rPr>
        <w:t>bilješku 4.1. L.</w:t>
      </w:r>
      <w:r w:rsidRPr="004B4498">
        <w:rPr>
          <w:rFonts w:ascii="Arial" w:hAnsi="Arial" w:cs="Arial"/>
          <w:color w:val="000000" w:themeColor="text1"/>
          <w:sz w:val="20"/>
          <w:lang w:val="hr-HR"/>
        </w:rPr>
        <w:t xml:space="preserve"> Državne potpore).</w:t>
      </w:r>
    </w:p>
    <w:p w14:paraId="0032C873" w14:textId="77777777" w:rsidR="004E2F51" w:rsidRPr="004B4498" w:rsidRDefault="004E2F51" w:rsidP="004E2F51">
      <w:pPr>
        <w:pStyle w:val="BodyText3"/>
        <w:tabs>
          <w:tab w:val="clear" w:pos="4513"/>
          <w:tab w:val="left" w:pos="-1843"/>
        </w:tabs>
        <w:rPr>
          <w:rFonts w:ascii="Arial" w:hAnsi="Arial" w:cs="Arial"/>
          <w:color w:val="000000" w:themeColor="text1"/>
          <w:sz w:val="20"/>
          <w:lang w:val="hr-HR"/>
        </w:rPr>
      </w:pPr>
    </w:p>
    <w:p w14:paraId="374091DC" w14:textId="77777777" w:rsidR="004E2F51" w:rsidRPr="00B91D09" w:rsidRDefault="004E2F51" w:rsidP="004E2F51">
      <w:pPr>
        <w:pStyle w:val="BodyText3"/>
        <w:tabs>
          <w:tab w:val="clear" w:pos="4513"/>
          <w:tab w:val="left" w:pos="-1843"/>
        </w:tabs>
        <w:rPr>
          <w:rFonts w:ascii="Arial" w:hAnsi="Arial" w:cs="Arial"/>
          <w:color w:val="000000" w:themeColor="text1"/>
          <w:szCs w:val="22"/>
          <w:lang w:val="hr-HR"/>
        </w:rPr>
        <w:sectPr w:rsidR="004E2F51" w:rsidRPr="00B91D09" w:rsidSect="00623DBA">
          <w:footerReference w:type="default" r:id="rId153"/>
          <w:pgSz w:w="11907" w:h="16840" w:code="9"/>
          <w:pgMar w:top="1418" w:right="1134" w:bottom="1134" w:left="1418" w:header="851" w:footer="851" w:gutter="0"/>
          <w:cols w:space="720"/>
          <w:noEndnote/>
        </w:sectPr>
      </w:pPr>
    </w:p>
    <w:p w14:paraId="43287399" w14:textId="77777777" w:rsidR="004E2F51" w:rsidRPr="004B4498" w:rsidRDefault="004E2F51" w:rsidP="004E2F51">
      <w:pPr>
        <w:pStyle w:val="BodyText3"/>
        <w:tabs>
          <w:tab w:val="clear" w:pos="4513"/>
          <w:tab w:val="left" w:pos="-1843"/>
        </w:tabs>
        <w:rPr>
          <w:rFonts w:ascii="Arial" w:hAnsi="Arial" w:cs="Arial"/>
          <w:color w:val="000000" w:themeColor="text1"/>
          <w:sz w:val="20"/>
          <w:lang w:val="hr-HR"/>
        </w:rPr>
      </w:pPr>
    </w:p>
    <w:p w14:paraId="01E7922C"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Pr>
          <w:rFonts w:cs="Arial"/>
          <w:color w:val="000000" w:themeColor="text1"/>
          <w:sz w:val="20"/>
          <w:lang w:val="hr-HR"/>
        </w:rPr>
        <w:t>6</w:t>
      </w:r>
      <w:r w:rsidRPr="004B4498">
        <w:rPr>
          <w:rFonts w:cs="Arial"/>
          <w:color w:val="000000" w:themeColor="text1"/>
          <w:sz w:val="20"/>
          <w:lang w:val="hr-HR"/>
        </w:rPr>
        <w:t xml:space="preserve">. </w:t>
      </w:r>
      <w:r w:rsidRPr="004B4498">
        <w:rPr>
          <w:rFonts w:cs="Arial"/>
          <w:color w:val="000000" w:themeColor="text1"/>
          <w:sz w:val="20"/>
          <w:lang w:val="hr-HR"/>
        </w:rPr>
        <w:tab/>
        <w:t xml:space="preserve">Osnivački kapital </w:t>
      </w:r>
    </w:p>
    <w:p w14:paraId="2BDF5071" w14:textId="77777777" w:rsidR="004E2F51" w:rsidRPr="004B4498" w:rsidRDefault="004E2F51" w:rsidP="004E2F51">
      <w:pPr>
        <w:pStyle w:val="T1"/>
        <w:spacing w:before="0" w:after="0" w:line="240" w:lineRule="auto"/>
        <w:rPr>
          <w:rFonts w:cs="Arial"/>
          <w:color w:val="000000" w:themeColor="text1"/>
          <w:sz w:val="20"/>
          <w:lang w:val="hr-HR"/>
        </w:rPr>
      </w:pPr>
    </w:p>
    <w:p w14:paraId="311DCA35"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Zakonom o HBOR-u propisani osnivački kapital treba iznositi 7.000.000 tisuća kuna uplatama iz proračuna te iz ostalih izvora temeljem pojedinačnih zakona. </w:t>
      </w:r>
    </w:p>
    <w:p w14:paraId="5EE324D9" w14:textId="77777777" w:rsidR="004E2F51" w:rsidRPr="004B4498" w:rsidRDefault="004E2F51" w:rsidP="004E2F51">
      <w:pPr>
        <w:jc w:val="both"/>
        <w:rPr>
          <w:rFonts w:ascii="Arial" w:hAnsi="Arial" w:cs="Arial"/>
          <w:color w:val="000000" w:themeColor="text1"/>
          <w:sz w:val="20"/>
          <w:szCs w:val="20"/>
          <w:lang w:val="hr-HR"/>
        </w:rPr>
      </w:pPr>
    </w:p>
    <w:p w14:paraId="4B09919E"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Plan godišnjih iznosa i vremenski okvir uplata iz Državnog proračuna nije unaprijed određen, već sukladno Zakonu, dinamiku uplata u osnivački kapital određuje Hrvatski sabor donošenjem Državnog proračuna Republike Hrvatske.  </w:t>
      </w:r>
    </w:p>
    <w:p w14:paraId="49242CBF" w14:textId="77777777" w:rsidR="004E2F51" w:rsidRPr="004B4498" w:rsidRDefault="004E2F51" w:rsidP="004E2F51">
      <w:pPr>
        <w:jc w:val="both"/>
        <w:rPr>
          <w:rFonts w:ascii="Arial" w:hAnsi="Arial" w:cs="Arial"/>
          <w:color w:val="000000" w:themeColor="text1"/>
          <w:sz w:val="20"/>
          <w:szCs w:val="20"/>
          <w:lang w:val="hr-HR"/>
        </w:rPr>
      </w:pPr>
    </w:p>
    <w:p w14:paraId="0BD566C5" w14:textId="77777777" w:rsidR="004E2F51" w:rsidRPr="004B4498" w:rsidRDefault="004E2F51" w:rsidP="004E2F51">
      <w:pPr>
        <w:jc w:val="both"/>
        <w:rPr>
          <w:rFonts w:ascii="Arial" w:hAnsi="Arial" w:cs="Arial"/>
          <w:color w:val="000000" w:themeColor="text1"/>
          <w:sz w:val="20"/>
          <w:szCs w:val="20"/>
          <w:lang w:val="hr-HR"/>
        </w:rPr>
      </w:pPr>
      <w:r w:rsidRPr="004B4498">
        <w:rPr>
          <w:rFonts w:ascii="Arial" w:hAnsi="Arial" w:cs="Arial"/>
          <w:color w:val="000000" w:themeColor="text1"/>
          <w:sz w:val="20"/>
          <w:szCs w:val="20"/>
          <w:lang w:val="hr-HR"/>
        </w:rPr>
        <w:t xml:space="preserve">Grupa je računovodstvenim politikama odredila osnovne ciljeve upravljanja kapitalom, kategoriju kapitala kojom Banka upravlja, kao i mjere ostvarivanja i praćenja politike upravljanja kapitalom. Upravljanje kapitalom se obrazlaže i iskazuje u bilješci </w:t>
      </w:r>
      <w:r w:rsidRPr="00A873BB">
        <w:rPr>
          <w:rFonts w:ascii="Arial" w:hAnsi="Arial" w:cs="Arial"/>
          <w:color w:val="000000" w:themeColor="text1"/>
          <w:sz w:val="20"/>
          <w:szCs w:val="20"/>
          <w:lang w:val="hr-HR"/>
        </w:rPr>
        <w:t>34</w:t>
      </w:r>
      <w:r w:rsidRPr="004B4498">
        <w:rPr>
          <w:rFonts w:ascii="Arial" w:hAnsi="Arial" w:cs="Arial"/>
          <w:color w:val="000000" w:themeColor="text1"/>
          <w:sz w:val="20"/>
          <w:szCs w:val="20"/>
          <w:lang w:val="hr-HR"/>
        </w:rPr>
        <w:t xml:space="preserve">. </w:t>
      </w:r>
    </w:p>
    <w:p w14:paraId="14D43CB4" w14:textId="77777777" w:rsidR="004E2F51" w:rsidRPr="004B4498" w:rsidRDefault="004E2F51" w:rsidP="004E2F51">
      <w:pPr>
        <w:jc w:val="both"/>
        <w:rPr>
          <w:rFonts w:ascii="Arial" w:hAnsi="Arial" w:cs="Arial"/>
          <w:color w:val="000000" w:themeColor="text1"/>
          <w:sz w:val="20"/>
          <w:szCs w:val="20"/>
          <w:lang w:val="hr-HR"/>
        </w:rPr>
      </w:pPr>
    </w:p>
    <w:p w14:paraId="2D299484" w14:textId="77777777" w:rsidR="004E2F51" w:rsidRPr="009A6A40" w:rsidRDefault="004E2F51" w:rsidP="004E2F51">
      <w:pPr>
        <w:jc w:val="both"/>
        <w:rPr>
          <w:rFonts w:ascii="Arial" w:hAnsi="Arial" w:cs="Arial"/>
          <w:color w:val="000000" w:themeColor="text1"/>
          <w:sz w:val="20"/>
          <w:szCs w:val="20"/>
          <w:lang w:val="hr-HR"/>
        </w:rPr>
      </w:pPr>
      <w:r w:rsidRPr="009A6A40">
        <w:rPr>
          <w:rFonts w:ascii="Arial" w:hAnsi="Arial" w:cs="Arial"/>
          <w:color w:val="000000" w:themeColor="text1"/>
          <w:sz w:val="20"/>
          <w:szCs w:val="20"/>
          <w:lang w:val="hr-HR"/>
        </w:rPr>
        <w:t>Osnivački kapital ovisnog društva Hrvatsko kreditno osiguranje d.d. iznosi 57.500 tisuća kuna i u 100%-tnom je vlasništvu Banke, a osnivački kapital društva Poslovni info servis d.o.o. iznosi 300 tisuća kuna i u 100%-tnom je vlasništvu Hrvatskog kreditnog osiguranja d.d.. Kapital oba društva je upisan i u cijelosti uplaćen.</w:t>
      </w:r>
    </w:p>
    <w:p w14:paraId="2F335E9A" w14:textId="77777777" w:rsidR="004E2F51" w:rsidRPr="009A6A40" w:rsidRDefault="004E2F51" w:rsidP="004E2F51">
      <w:pPr>
        <w:jc w:val="both"/>
        <w:rPr>
          <w:rFonts w:ascii="Arial" w:hAnsi="Arial" w:cs="Arial"/>
          <w:color w:val="000000" w:themeColor="text1"/>
          <w:sz w:val="20"/>
          <w:szCs w:val="20"/>
          <w:lang w:val="hr-HR"/>
        </w:rPr>
      </w:pPr>
    </w:p>
    <w:p w14:paraId="60C0FAD5" w14:textId="77777777" w:rsidR="004E2F51" w:rsidRDefault="004E2F51" w:rsidP="004E2F51">
      <w:pPr>
        <w:jc w:val="both"/>
        <w:rPr>
          <w:rFonts w:ascii="Arial" w:hAnsi="Arial" w:cs="Arial"/>
          <w:color w:val="000000" w:themeColor="text1"/>
          <w:sz w:val="20"/>
          <w:szCs w:val="20"/>
          <w:lang w:val="hr-HR"/>
        </w:rPr>
      </w:pPr>
      <w:r w:rsidRPr="008709A3">
        <w:rPr>
          <w:rFonts w:ascii="Arial" w:hAnsi="Arial" w:cs="Arial"/>
          <w:color w:val="000000" w:themeColor="text1"/>
          <w:sz w:val="20"/>
          <w:szCs w:val="20"/>
          <w:lang w:val="hr-HR"/>
        </w:rPr>
        <w:t>Odlukom Nadzornog odbora HBOR-a sa 7. sjednice održane 27. rujna 2022. godine o uplati u novcu novih redovnih dionica društva Hrvatsko kreditno osiguranje d.d., Zagreb od strane HBOR-a i o pozitivnom glasovanju o povećanju temeljnog kapitala toga društva na Glavnoj skupštini HKO, povećava se temeljni kapital ovisnog društva sa 37.500 tisuća kuna na 57.500 tisuća kuna</w:t>
      </w:r>
      <w:r>
        <w:rPr>
          <w:rFonts w:ascii="Arial" w:hAnsi="Arial" w:cs="Arial"/>
          <w:color w:val="000000" w:themeColor="text1"/>
          <w:sz w:val="20"/>
          <w:szCs w:val="20"/>
          <w:lang w:val="hr-HR"/>
        </w:rPr>
        <w:t>.</w:t>
      </w:r>
    </w:p>
    <w:p w14:paraId="6663A2C1" w14:textId="77777777" w:rsidR="004E2F51" w:rsidRPr="009A6A40" w:rsidRDefault="004E2F51" w:rsidP="004E2F51">
      <w:pPr>
        <w:jc w:val="both"/>
        <w:rPr>
          <w:rFonts w:ascii="Arial" w:hAnsi="Arial" w:cs="Arial"/>
          <w:color w:val="000000" w:themeColor="text1"/>
          <w:sz w:val="20"/>
          <w:szCs w:val="20"/>
          <w:lang w:val="hr-HR"/>
        </w:rPr>
      </w:pPr>
    </w:p>
    <w:p w14:paraId="1767BD1A" w14:textId="77777777" w:rsidR="004E2F51" w:rsidRPr="009A6A40" w:rsidRDefault="004E2F51" w:rsidP="004E2F51">
      <w:pPr>
        <w:jc w:val="both"/>
        <w:rPr>
          <w:rFonts w:ascii="Arial" w:hAnsi="Arial" w:cs="Arial"/>
          <w:color w:val="000000" w:themeColor="text1"/>
          <w:sz w:val="20"/>
          <w:szCs w:val="20"/>
          <w:lang w:val="hr-HR"/>
        </w:rPr>
      </w:pPr>
      <w:r w:rsidRPr="009A6A40">
        <w:rPr>
          <w:rFonts w:ascii="Arial" w:hAnsi="Arial" w:cs="Arial"/>
          <w:color w:val="000000" w:themeColor="text1"/>
          <w:sz w:val="20"/>
          <w:szCs w:val="20"/>
          <w:lang w:val="hr-HR"/>
        </w:rPr>
        <w:t xml:space="preserve">Glavna skupština HKO-a održana je 29. rujna 2022. godine te je donijeta Odluka o povećanju temeljenog kapitala društva za iznos od 20.000 tisuća kuna koje je HBOR uplatio dana 4. listopada 2022. godine. </w:t>
      </w:r>
    </w:p>
    <w:p w14:paraId="01CE5302" w14:textId="77777777" w:rsidR="004E2F51" w:rsidRDefault="004E2F51" w:rsidP="004E2F51">
      <w:pPr>
        <w:jc w:val="both"/>
        <w:rPr>
          <w:rFonts w:ascii="Arial" w:hAnsi="Arial" w:cs="Arial"/>
          <w:color w:val="000000" w:themeColor="text1"/>
          <w:sz w:val="20"/>
          <w:szCs w:val="20"/>
          <w:lang w:val="hr-HR"/>
        </w:rPr>
      </w:pPr>
      <w:r w:rsidRPr="009A6A40">
        <w:rPr>
          <w:rFonts w:ascii="Arial" w:hAnsi="Arial" w:cs="Arial"/>
          <w:color w:val="000000" w:themeColor="text1"/>
          <w:sz w:val="20"/>
          <w:szCs w:val="20"/>
          <w:lang w:val="hr-HR"/>
        </w:rPr>
        <w:t>Trgovački sud u Zagrebu je dana 13. listopada 2022. godine donio Rješenje o promjeni Statuta i povećanju temeljnog kapitala društva HKO.</w:t>
      </w:r>
    </w:p>
    <w:p w14:paraId="63532EEB" w14:textId="77777777" w:rsidR="004E2F51" w:rsidRDefault="004E2F51" w:rsidP="004E2F51">
      <w:pPr>
        <w:jc w:val="both"/>
        <w:rPr>
          <w:rFonts w:ascii="Arial" w:hAnsi="Arial" w:cs="Arial"/>
          <w:color w:val="000000" w:themeColor="text1"/>
          <w:sz w:val="20"/>
          <w:szCs w:val="20"/>
          <w:lang w:val="hr-HR"/>
        </w:rPr>
      </w:pPr>
    </w:p>
    <w:p w14:paraId="093BDA3F" w14:textId="77777777" w:rsidR="004E2F51" w:rsidRPr="009A6A40" w:rsidRDefault="004E2F51" w:rsidP="004E2F51">
      <w:pPr>
        <w:jc w:val="both"/>
        <w:rPr>
          <w:rFonts w:ascii="Arial" w:hAnsi="Arial" w:cs="Arial"/>
          <w:color w:val="000000" w:themeColor="text1"/>
          <w:sz w:val="20"/>
          <w:szCs w:val="20"/>
          <w:lang w:val="hr-HR"/>
        </w:rPr>
      </w:pPr>
    </w:p>
    <w:p w14:paraId="58306A71" w14:textId="77777777" w:rsidR="004E2F51" w:rsidRPr="004B4498" w:rsidRDefault="004E2F51" w:rsidP="004E2F51">
      <w:pPr>
        <w:pStyle w:val="T1"/>
        <w:keepNext w:val="0"/>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Pr>
          <w:rFonts w:cs="Arial"/>
          <w:color w:val="000000" w:themeColor="text1"/>
          <w:sz w:val="20"/>
          <w:lang w:val="hr-HR"/>
        </w:rPr>
        <w:t>7</w:t>
      </w:r>
      <w:r w:rsidRPr="004B4498">
        <w:rPr>
          <w:rFonts w:cs="Arial"/>
          <w:color w:val="000000" w:themeColor="text1"/>
          <w:sz w:val="20"/>
          <w:lang w:val="hr-HR"/>
        </w:rPr>
        <w:t xml:space="preserve">. </w:t>
      </w:r>
      <w:r w:rsidRPr="004B4498">
        <w:rPr>
          <w:rFonts w:cs="Arial"/>
          <w:color w:val="000000" w:themeColor="text1"/>
          <w:sz w:val="20"/>
          <w:lang w:val="hr-HR"/>
        </w:rPr>
        <w:tab/>
        <w:t xml:space="preserve">Garantni fond  </w:t>
      </w:r>
    </w:p>
    <w:p w14:paraId="54705CCC" w14:textId="77777777" w:rsidR="004E2F51" w:rsidRPr="004B4498" w:rsidRDefault="004E2F51" w:rsidP="004E2F51">
      <w:pPr>
        <w:pStyle w:val="T1"/>
        <w:keepNext w:val="0"/>
        <w:spacing w:before="0" w:after="0" w:line="240" w:lineRule="auto"/>
        <w:rPr>
          <w:rFonts w:cs="Arial"/>
          <w:color w:val="000000" w:themeColor="text1"/>
          <w:sz w:val="20"/>
          <w:lang w:val="hr-HR"/>
        </w:rPr>
      </w:pPr>
    </w:p>
    <w:tbl>
      <w:tblPr>
        <w:tblW w:w="5000" w:type="pct"/>
        <w:tblLook w:val="0000" w:firstRow="0" w:lastRow="0" w:firstColumn="0" w:lastColumn="0" w:noHBand="0" w:noVBand="0"/>
      </w:tblPr>
      <w:tblGrid>
        <w:gridCol w:w="7939"/>
        <w:gridCol w:w="1416"/>
      </w:tblGrid>
      <w:tr w:rsidR="004E2F51" w:rsidRPr="00E35011" w14:paraId="350BB284" w14:textId="77777777" w:rsidTr="00E032FC">
        <w:trPr>
          <w:trHeight w:val="302"/>
        </w:trPr>
        <w:tc>
          <w:tcPr>
            <w:tcW w:w="4243" w:type="pct"/>
          </w:tcPr>
          <w:p w14:paraId="75A4DF97" w14:textId="77777777" w:rsidR="004E2F51" w:rsidRPr="004B4498" w:rsidRDefault="004E2F51" w:rsidP="00E032FC">
            <w:pPr>
              <w:pStyle w:val="TT"/>
              <w:spacing w:line="260" w:lineRule="exact"/>
              <w:rPr>
                <w:rFonts w:cs="Arial"/>
                <w:b/>
                <w:color w:val="000000" w:themeColor="text1"/>
                <w:sz w:val="20"/>
                <w:lang w:val="hr-HR"/>
              </w:rPr>
            </w:pPr>
            <w:bookmarkStart w:id="1304" w:name="_Toc67328850"/>
            <w:r w:rsidRPr="004B4498">
              <w:rPr>
                <w:rFonts w:cs="Arial"/>
                <w:b/>
                <w:color w:val="000000" w:themeColor="text1"/>
                <w:sz w:val="20"/>
                <w:lang w:val="hr-HR"/>
              </w:rPr>
              <w:t>Grupa i Banka</w:t>
            </w:r>
            <w:bookmarkEnd w:id="1304"/>
          </w:p>
        </w:tc>
        <w:tc>
          <w:tcPr>
            <w:tcW w:w="757" w:type="pct"/>
          </w:tcPr>
          <w:p w14:paraId="512289C2" w14:textId="77777777" w:rsidR="004E2F51" w:rsidRPr="004B4498" w:rsidRDefault="004E2F51" w:rsidP="00E032FC">
            <w:pPr>
              <w:pStyle w:val="TT"/>
              <w:tabs>
                <w:tab w:val="clear" w:pos="1202"/>
              </w:tabs>
              <w:jc w:val="right"/>
              <w:rPr>
                <w:rFonts w:cs="Arial"/>
                <w:b/>
                <w:color w:val="000000" w:themeColor="text1"/>
                <w:sz w:val="20"/>
                <w:lang w:val="hr-HR"/>
              </w:rPr>
            </w:pPr>
            <w:bookmarkStart w:id="1305" w:name="_Toc67328851"/>
            <w:r w:rsidRPr="004B4498">
              <w:rPr>
                <w:rFonts w:cs="Arial"/>
                <w:b/>
                <w:color w:val="000000" w:themeColor="text1"/>
                <w:sz w:val="20"/>
                <w:lang w:val="hr-HR"/>
              </w:rPr>
              <w:t>000 kuna</w:t>
            </w:r>
            <w:bookmarkEnd w:id="1305"/>
          </w:p>
        </w:tc>
      </w:tr>
      <w:tr w:rsidR="004E2F51" w:rsidRPr="00E35011" w14:paraId="2876FD6E" w14:textId="77777777" w:rsidTr="00E032FC">
        <w:trPr>
          <w:trHeight w:val="173"/>
        </w:trPr>
        <w:tc>
          <w:tcPr>
            <w:tcW w:w="4243" w:type="pct"/>
          </w:tcPr>
          <w:p w14:paraId="1CCC4008" w14:textId="77777777" w:rsidR="004E2F51" w:rsidRPr="004B4498" w:rsidRDefault="004E2F51" w:rsidP="00E032FC">
            <w:pPr>
              <w:pStyle w:val="TT"/>
              <w:spacing w:line="140" w:lineRule="exact"/>
              <w:rPr>
                <w:rFonts w:cs="Arial"/>
                <w:b/>
                <w:color w:val="000000" w:themeColor="text1"/>
                <w:sz w:val="20"/>
                <w:lang w:val="hr-HR"/>
              </w:rPr>
            </w:pPr>
          </w:p>
        </w:tc>
        <w:tc>
          <w:tcPr>
            <w:tcW w:w="757" w:type="pct"/>
          </w:tcPr>
          <w:p w14:paraId="62C130B8" w14:textId="77777777" w:rsidR="004E2F51" w:rsidRPr="004B4498" w:rsidRDefault="004E2F51" w:rsidP="00E032FC">
            <w:pPr>
              <w:pStyle w:val="TT"/>
              <w:tabs>
                <w:tab w:val="clear" w:pos="1202"/>
              </w:tabs>
              <w:spacing w:line="140" w:lineRule="exact"/>
              <w:jc w:val="right"/>
              <w:rPr>
                <w:rFonts w:cs="Arial"/>
                <w:b/>
                <w:color w:val="000000" w:themeColor="text1"/>
                <w:sz w:val="20"/>
                <w:lang w:val="hr-HR"/>
              </w:rPr>
            </w:pPr>
          </w:p>
        </w:tc>
      </w:tr>
      <w:tr w:rsidR="004E2F51" w:rsidRPr="00E35011" w14:paraId="366A2BC7" w14:textId="77777777" w:rsidTr="00E032FC">
        <w:trPr>
          <w:trHeight w:val="151"/>
        </w:trPr>
        <w:tc>
          <w:tcPr>
            <w:tcW w:w="4243" w:type="pct"/>
          </w:tcPr>
          <w:p w14:paraId="77E51EBA" w14:textId="77777777" w:rsidR="004E2F51" w:rsidRPr="004B4498" w:rsidRDefault="004E2F51" w:rsidP="00E032FC">
            <w:pPr>
              <w:pStyle w:val="TT"/>
              <w:spacing w:line="260" w:lineRule="exact"/>
              <w:rPr>
                <w:rFonts w:cs="Arial"/>
                <w:b/>
                <w:iCs/>
                <w:color w:val="000000" w:themeColor="text1"/>
                <w:sz w:val="20"/>
                <w:lang w:val="hr-HR"/>
              </w:rPr>
            </w:pPr>
            <w:bookmarkStart w:id="1306" w:name="_Toc67328852"/>
            <w:r w:rsidRPr="004B4498">
              <w:rPr>
                <w:rFonts w:cs="Arial"/>
                <w:b/>
                <w:iCs/>
                <w:color w:val="000000" w:themeColor="text1"/>
                <w:sz w:val="20"/>
                <w:lang w:val="hr-HR"/>
              </w:rPr>
              <w:t>Stanje 1. siječnja 202</w:t>
            </w:r>
            <w:r>
              <w:rPr>
                <w:rFonts w:cs="Arial"/>
                <w:b/>
                <w:iCs/>
                <w:color w:val="000000" w:themeColor="text1"/>
                <w:sz w:val="20"/>
                <w:lang w:val="hr-HR"/>
              </w:rPr>
              <w:t>1</w:t>
            </w:r>
            <w:r w:rsidRPr="004B4498">
              <w:rPr>
                <w:rFonts w:cs="Arial"/>
                <w:b/>
                <w:iCs/>
                <w:color w:val="000000" w:themeColor="text1"/>
                <w:sz w:val="20"/>
                <w:lang w:val="hr-HR"/>
              </w:rPr>
              <w:t>.</w:t>
            </w:r>
            <w:bookmarkEnd w:id="1306"/>
          </w:p>
        </w:tc>
        <w:tc>
          <w:tcPr>
            <w:tcW w:w="757" w:type="pct"/>
            <w:tcBorders>
              <w:top w:val="single" w:sz="4" w:space="0" w:color="auto"/>
              <w:bottom w:val="single" w:sz="12" w:space="0" w:color="auto"/>
            </w:tcBorders>
            <w:vAlign w:val="bottom"/>
          </w:tcPr>
          <w:p w14:paraId="2BD8C77F" w14:textId="77777777" w:rsidR="004E2F51" w:rsidRPr="004B4498" w:rsidRDefault="004E2F51" w:rsidP="00E032FC">
            <w:pPr>
              <w:pStyle w:val="TT"/>
              <w:tabs>
                <w:tab w:val="clear" w:pos="1202"/>
              </w:tabs>
              <w:jc w:val="right"/>
              <w:rPr>
                <w:rFonts w:cs="Arial"/>
                <w:b/>
                <w:iCs/>
                <w:color w:val="000000" w:themeColor="text1"/>
                <w:sz w:val="20"/>
                <w:lang w:val="hr-HR"/>
              </w:rPr>
            </w:pPr>
            <w:bookmarkStart w:id="1307" w:name="_Toc67328856"/>
            <w:bookmarkStart w:id="1308" w:name="_Toc67328853"/>
            <w:r w:rsidRPr="0046584E">
              <w:rPr>
                <w:rFonts w:cs="Arial"/>
                <w:b/>
                <w:bCs/>
                <w:color w:val="000000" w:themeColor="text1"/>
                <w:sz w:val="20"/>
                <w:lang w:val="hr-HR"/>
              </w:rPr>
              <w:t>12.341</w:t>
            </w:r>
            <w:bookmarkEnd w:id="1307"/>
            <w:bookmarkEnd w:id="1308"/>
          </w:p>
        </w:tc>
      </w:tr>
      <w:tr w:rsidR="004E2F51" w:rsidRPr="00E35011" w14:paraId="6EAC693C" w14:textId="77777777" w:rsidTr="0006179B">
        <w:trPr>
          <w:trHeight w:val="302"/>
        </w:trPr>
        <w:tc>
          <w:tcPr>
            <w:tcW w:w="4243" w:type="pct"/>
            <w:vAlign w:val="bottom"/>
          </w:tcPr>
          <w:p w14:paraId="221E4690" w14:textId="77777777" w:rsidR="004E2F51" w:rsidRPr="004B4498" w:rsidRDefault="004E2F51" w:rsidP="00E032FC">
            <w:pPr>
              <w:pStyle w:val="TT"/>
              <w:spacing w:line="260" w:lineRule="exact"/>
              <w:rPr>
                <w:rFonts w:cs="Arial"/>
                <w:b/>
                <w:bCs/>
                <w:color w:val="000000" w:themeColor="text1"/>
                <w:sz w:val="20"/>
                <w:lang w:val="hr-HR"/>
              </w:rPr>
            </w:pPr>
            <w:bookmarkStart w:id="1309" w:name="_Toc67328854"/>
            <w:r w:rsidRPr="004B4498">
              <w:rPr>
                <w:rFonts w:cs="Arial"/>
                <w:iCs/>
                <w:color w:val="000000" w:themeColor="text1"/>
                <w:sz w:val="20"/>
                <w:lang w:val="hr-HR"/>
              </w:rPr>
              <w:t>Neto tečajne razlike</w:t>
            </w:r>
            <w:bookmarkEnd w:id="1309"/>
          </w:p>
        </w:tc>
        <w:tc>
          <w:tcPr>
            <w:tcW w:w="757" w:type="pct"/>
            <w:tcBorders>
              <w:top w:val="single" w:sz="12" w:space="0" w:color="auto"/>
            </w:tcBorders>
            <w:vAlign w:val="bottom"/>
          </w:tcPr>
          <w:p w14:paraId="7E85D0E9" w14:textId="77777777" w:rsidR="004E2F51" w:rsidRPr="004B4498" w:rsidRDefault="004E2F51" w:rsidP="00E032FC">
            <w:pPr>
              <w:pStyle w:val="Thin"/>
              <w:tabs>
                <w:tab w:val="clear" w:pos="1202"/>
              </w:tabs>
              <w:spacing w:line="260" w:lineRule="exact"/>
              <w:jc w:val="right"/>
              <w:rPr>
                <w:rFonts w:cs="Arial"/>
                <w:b w:val="0"/>
                <w:iCs/>
                <w:color w:val="000000" w:themeColor="text1"/>
                <w:sz w:val="20"/>
                <w:lang w:val="hr-HR"/>
              </w:rPr>
            </w:pPr>
            <w:r w:rsidRPr="0046584E">
              <w:rPr>
                <w:rFonts w:cs="Arial"/>
                <w:b w:val="0"/>
                <w:iCs/>
                <w:color w:val="000000" w:themeColor="text1"/>
                <w:sz w:val="20"/>
                <w:lang w:val="hr-HR"/>
              </w:rPr>
              <w:t>(32)</w:t>
            </w:r>
          </w:p>
        </w:tc>
      </w:tr>
      <w:tr w:rsidR="004E2F51" w:rsidRPr="00E35011" w14:paraId="25556A10" w14:textId="77777777" w:rsidTr="0006179B">
        <w:trPr>
          <w:trHeight w:val="283"/>
        </w:trPr>
        <w:tc>
          <w:tcPr>
            <w:tcW w:w="4243" w:type="pct"/>
            <w:vAlign w:val="bottom"/>
          </w:tcPr>
          <w:p w14:paraId="674E26E5" w14:textId="77777777" w:rsidR="004E2F51" w:rsidRPr="004B4498" w:rsidRDefault="004E2F51" w:rsidP="00E032FC">
            <w:pPr>
              <w:pStyle w:val="TT"/>
              <w:spacing w:line="260" w:lineRule="exact"/>
              <w:rPr>
                <w:rFonts w:cs="Arial"/>
                <w:iCs/>
                <w:color w:val="000000" w:themeColor="text1"/>
                <w:sz w:val="20"/>
                <w:lang w:val="hr-HR"/>
              </w:rPr>
            </w:pPr>
            <w:bookmarkStart w:id="1310" w:name="_Toc67328855"/>
            <w:r w:rsidRPr="004B4498">
              <w:rPr>
                <w:rFonts w:cs="Arial"/>
                <w:b/>
                <w:iCs/>
                <w:color w:val="000000" w:themeColor="text1"/>
                <w:sz w:val="20"/>
                <w:lang w:val="hr-HR"/>
              </w:rPr>
              <w:t>Stanje 31. prosinca 202</w:t>
            </w:r>
            <w:r>
              <w:rPr>
                <w:rFonts w:cs="Arial"/>
                <w:b/>
                <w:iCs/>
                <w:color w:val="000000" w:themeColor="text1"/>
                <w:sz w:val="20"/>
                <w:lang w:val="hr-HR"/>
              </w:rPr>
              <w:t>1</w:t>
            </w:r>
            <w:r w:rsidRPr="004B4498">
              <w:rPr>
                <w:rFonts w:cs="Arial"/>
                <w:b/>
                <w:iCs/>
                <w:color w:val="000000" w:themeColor="text1"/>
                <w:sz w:val="20"/>
                <w:lang w:val="hr-HR"/>
              </w:rPr>
              <w:t>.</w:t>
            </w:r>
            <w:bookmarkEnd w:id="1310"/>
          </w:p>
        </w:tc>
        <w:tc>
          <w:tcPr>
            <w:tcW w:w="757" w:type="pct"/>
            <w:tcBorders>
              <w:top w:val="single" w:sz="4" w:space="0" w:color="auto"/>
              <w:bottom w:val="single" w:sz="12" w:space="0" w:color="auto"/>
            </w:tcBorders>
            <w:vAlign w:val="bottom"/>
          </w:tcPr>
          <w:p w14:paraId="3C370206" w14:textId="77777777" w:rsidR="004E2F51" w:rsidRPr="004B4498" w:rsidRDefault="004E2F51" w:rsidP="00E032FC">
            <w:pPr>
              <w:pStyle w:val="Tot"/>
              <w:tabs>
                <w:tab w:val="clear" w:pos="1202"/>
              </w:tabs>
              <w:spacing w:line="260" w:lineRule="exact"/>
              <w:jc w:val="right"/>
              <w:rPr>
                <w:rFonts w:cs="Arial"/>
                <w:b/>
                <w:bCs/>
                <w:color w:val="000000" w:themeColor="text1"/>
                <w:sz w:val="20"/>
                <w:lang w:val="hr-HR"/>
              </w:rPr>
            </w:pPr>
            <w:bookmarkStart w:id="1311" w:name="_Toc67328858"/>
            <w:r w:rsidRPr="0046584E">
              <w:rPr>
                <w:rFonts w:cs="Arial"/>
                <w:b/>
                <w:bCs/>
                <w:color w:val="000000" w:themeColor="text1"/>
                <w:sz w:val="20"/>
                <w:lang w:val="hr-HR"/>
              </w:rPr>
              <w:t>12.309</w:t>
            </w:r>
            <w:bookmarkEnd w:id="1311"/>
          </w:p>
        </w:tc>
      </w:tr>
      <w:tr w:rsidR="004E2F51" w:rsidRPr="00E35011" w14:paraId="67CCCA82" w14:textId="77777777" w:rsidTr="00E032FC">
        <w:trPr>
          <w:trHeight w:val="307"/>
        </w:trPr>
        <w:tc>
          <w:tcPr>
            <w:tcW w:w="4243" w:type="pct"/>
            <w:vAlign w:val="bottom"/>
          </w:tcPr>
          <w:p w14:paraId="58D29F09" w14:textId="77777777" w:rsidR="004E2F51" w:rsidRPr="004B4498" w:rsidRDefault="004E2F51" w:rsidP="00E032FC">
            <w:pPr>
              <w:pStyle w:val="Thin"/>
              <w:tabs>
                <w:tab w:val="clear" w:pos="1202"/>
              </w:tabs>
              <w:spacing w:line="260" w:lineRule="exact"/>
              <w:rPr>
                <w:rFonts w:cs="Arial"/>
                <w:b w:val="0"/>
                <w:iCs/>
                <w:color w:val="000000" w:themeColor="text1"/>
                <w:sz w:val="20"/>
                <w:lang w:val="hr-HR"/>
              </w:rPr>
            </w:pPr>
            <w:r w:rsidRPr="004B4498">
              <w:rPr>
                <w:rFonts w:cs="Arial"/>
                <w:b w:val="0"/>
                <w:iCs/>
                <w:color w:val="000000" w:themeColor="text1"/>
                <w:sz w:val="20"/>
                <w:lang w:val="hr-HR"/>
              </w:rPr>
              <w:t>Neto tečajne razlike</w:t>
            </w:r>
          </w:p>
        </w:tc>
        <w:tc>
          <w:tcPr>
            <w:tcW w:w="757" w:type="pct"/>
            <w:tcBorders>
              <w:top w:val="single" w:sz="12" w:space="0" w:color="auto"/>
            </w:tcBorders>
            <w:vAlign w:val="bottom"/>
          </w:tcPr>
          <w:p w14:paraId="232BF117" w14:textId="77777777" w:rsidR="004E2F51" w:rsidRPr="004B4498" w:rsidRDefault="004E2F51" w:rsidP="00E032FC">
            <w:pPr>
              <w:pStyle w:val="Thin"/>
              <w:tabs>
                <w:tab w:val="clear" w:pos="1202"/>
              </w:tabs>
              <w:spacing w:line="260" w:lineRule="exact"/>
              <w:jc w:val="right"/>
              <w:rPr>
                <w:rFonts w:cs="Arial"/>
                <w:b w:val="0"/>
                <w:iCs/>
                <w:color w:val="000000" w:themeColor="text1"/>
                <w:sz w:val="20"/>
                <w:lang w:val="hr-HR"/>
              </w:rPr>
            </w:pPr>
            <w:r>
              <w:rPr>
                <w:rFonts w:cs="Arial"/>
                <w:b w:val="0"/>
                <w:iCs/>
                <w:color w:val="000000" w:themeColor="text1"/>
                <w:sz w:val="20"/>
                <w:lang w:val="hr-HR"/>
              </w:rPr>
              <w:t>28</w:t>
            </w:r>
          </w:p>
        </w:tc>
      </w:tr>
      <w:tr w:rsidR="004E2F51" w:rsidRPr="00E35011" w14:paraId="3CA521D6" w14:textId="77777777" w:rsidTr="00E032FC">
        <w:trPr>
          <w:trHeight w:val="232"/>
        </w:trPr>
        <w:tc>
          <w:tcPr>
            <w:tcW w:w="4243" w:type="pct"/>
          </w:tcPr>
          <w:p w14:paraId="3681BE2F" w14:textId="77777777" w:rsidR="004E2F51" w:rsidRPr="004B4498" w:rsidRDefault="004E2F51" w:rsidP="00E032FC">
            <w:pPr>
              <w:pStyle w:val="TT"/>
              <w:spacing w:line="260" w:lineRule="exact"/>
              <w:jc w:val="both"/>
              <w:rPr>
                <w:rFonts w:cs="Arial"/>
                <w:iCs/>
                <w:color w:val="000000" w:themeColor="text1"/>
                <w:sz w:val="20"/>
                <w:lang w:val="hr-HR"/>
              </w:rPr>
            </w:pPr>
            <w:bookmarkStart w:id="1312" w:name="_Toc67328857"/>
            <w:r w:rsidRPr="004B4498">
              <w:rPr>
                <w:rFonts w:cs="Arial"/>
                <w:b/>
                <w:iCs/>
                <w:color w:val="000000" w:themeColor="text1"/>
                <w:sz w:val="20"/>
                <w:lang w:val="hr-HR"/>
              </w:rPr>
              <w:t>Stanje 31. prosinca 202</w:t>
            </w:r>
            <w:r>
              <w:rPr>
                <w:rFonts w:cs="Arial"/>
                <w:b/>
                <w:iCs/>
                <w:color w:val="000000" w:themeColor="text1"/>
                <w:sz w:val="20"/>
                <w:lang w:val="hr-HR"/>
              </w:rPr>
              <w:t>2</w:t>
            </w:r>
            <w:r w:rsidRPr="004B4498">
              <w:rPr>
                <w:rFonts w:cs="Arial"/>
                <w:b/>
                <w:iCs/>
                <w:color w:val="000000" w:themeColor="text1"/>
                <w:sz w:val="20"/>
                <w:lang w:val="hr-HR"/>
              </w:rPr>
              <w:t>.</w:t>
            </w:r>
            <w:bookmarkEnd w:id="1312"/>
          </w:p>
        </w:tc>
        <w:tc>
          <w:tcPr>
            <w:tcW w:w="757" w:type="pct"/>
            <w:tcBorders>
              <w:top w:val="single" w:sz="4" w:space="0" w:color="auto"/>
              <w:bottom w:val="single" w:sz="12" w:space="0" w:color="auto"/>
            </w:tcBorders>
            <w:vAlign w:val="bottom"/>
          </w:tcPr>
          <w:p w14:paraId="2A69EC90" w14:textId="77777777" w:rsidR="004E2F51" w:rsidRPr="004B4498" w:rsidRDefault="004E2F51" w:rsidP="00E032FC">
            <w:pPr>
              <w:pStyle w:val="Tot"/>
              <w:tabs>
                <w:tab w:val="clear" w:pos="1202"/>
              </w:tabs>
              <w:spacing w:line="260" w:lineRule="exact"/>
              <w:jc w:val="right"/>
              <w:rPr>
                <w:rFonts w:cs="Arial"/>
                <w:b/>
                <w:bCs/>
                <w:color w:val="000000" w:themeColor="text1"/>
                <w:sz w:val="20"/>
                <w:lang w:val="hr-HR"/>
              </w:rPr>
            </w:pPr>
            <w:r w:rsidRPr="00830FE5">
              <w:rPr>
                <w:rFonts w:cs="Arial"/>
                <w:b/>
                <w:bCs/>
                <w:color w:val="000000" w:themeColor="text1"/>
                <w:sz w:val="20"/>
                <w:lang w:val="hr-HR"/>
              </w:rPr>
              <w:t>12.337</w:t>
            </w:r>
          </w:p>
        </w:tc>
      </w:tr>
    </w:tbl>
    <w:p w14:paraId="260FDA32"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p>
    <w:p w14:paraId="493286A2"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Sredstva garantnog fonda u ukupnom iznosu od </w:t>
      </w:r>
      <w:r w:rsidRPr="00830FE5">
        <w:rPr>
          <w:rFonts w:cs="Arial"/>
          <w:b w:val="0"/>
          <w:bCs w:val="0"/>
          <w:color w:val="000000" w:themeColor="text1"/>
          <w:sz w:val="20"/>
          <w:lang w:val="hr-HR"/>
        </w:rPr>
        <w:t>12.337</w:t>
      </w:r>
      <w:r>
        <w:rPr>
          <w:rFonts w:cs="Arial"/>
          <w:b w:val="0"/>
          <w:bCs w:val="0"/>
          <w:color w:val="000000" w:themeColor="text1"/>
          <w:sz w:val="20"/>
          <w:lang w:val="hr-HR"/>
        </w:rPr>
        <w:t xml:space="preserve"> </w:t>
      </w:r>
      <w:r w:rsidRPr="004B4498">
        <w:rPr>
          <w:rFonts w:cs="Arial"/>
          <w:b w:val="0"/>
          <w:bCs w:val="0"/>
          <w:color w:val="000000" w:themeColor="text1"/>
          <w:sz w:val="20"/>
          <w:lang w:val="hr-HR"/>
        </w:rPr>
        <w:t>tisuća kuna i 12.3</w:t>
      </w:r>
      <w:r>
        <w:rPr>
          <w:rFonts w:cs="Arial"/>
          <w:b w:val="0"/>
          <w:bCs w:val="0"/>
          <w:color w:val="000000" w:themeColor="text1"/>
          <w:sz w:val="20"/>
          <w:lang w:val="hr-HR"/>
        </w:rPr>
        <w:t>09</w:t>
      </w:r>
      <w:r w:rsidRPr="004B4498">
        <w:rPr>
          <w:rFonts w:cs="Arial"/>
          <w:b w:val="0"/>
          <w:bCs w:val="0"/>
          <w:color w:val="000000" w:themeColor="text1"/>
          <w:sz w:val="20"/>
          <w:lang w:val="hr-HR"/>
        </w:rPr>
        <w:t xml:space="preserve"> tisuća kuna na dan 31. prosinca 202</w:t>
      </w:r>
      <w:r>
        <w:rPr>
          <w:rFonts w:cs="Arial"/>
          <w:b w:val="0"/>
          <w:bCs w:val="0"/>
          <w:color w:val="000000" w:themeColor="text1"/>
          <w:sz w:val="20"/>
          <w:lang w:val="hr-HR"/>
        </w:rPr>
        <w:t>2</w:t>
      </w:r>
      <w:r w:rsidRPr="004B4498">
        <w:rPr>
          <w:rFonts w:cs="Arial"/>
          <w:b w:val="0"/>
          <w:bCs w:val="0"/>
          <w:color w:val="000000" w:themeColor="text1"/>
          <w:sz w:val="20"/>
          <w:lang w:val="hr-HR"/>
        </w:rPr>
        <w:t>. i 202</w:t>
      </w:r>
      <w:r>
        <w:rPr>
          <w:rFonts w:cs="Arial"/>
          <w:b w:val="0"/>
          <w:bCs w:val="0"/>
          <w:color w:val="000000" w:themeColor="text1"/>
          <w:sz w:val="20"/>
          <w:lang w:val="hr-HR"/>
        </w:rPr>
        <w:t>1</w:t>
      </w:r>
      <w:r w:rsidRPr="004B4498">
        <w:rPr>
          <w:rFonts w:cs="Arial"/>
          <w:b w:val="0"/>
          <w:bCs w:val="0"/>
          <w:color w:val="000000" w:themeColor="text1"/>
          <w:sz w:val="20"/>
          <w:lang w:val="hr-HR"/>
        </w:rPr>
        <w:t xml:space="preserve">. godine odnose se na sredstva </w:t>
      </w:r>
      <w:bookmarkStart w:id="1313" w:name="_Hlk98967709"/>
      <w:r w:rsidRPr="004B4498">
        <w:rPr>
          <w:rFonts w:cs="Arial"/>
          <w:b w:val="0"/>
          <w:bCs w:val="0"/>
          <w:color w:val="000000" w:themeColor="text1"/>
          <w:sz w:val="20"/>
          <w:lang w:val="hr-HR"/>
        </w:rPr>
        <w:t>garantnog fonda od Deutsche Investitions - und Entwicklungsgesellschaft (DEG), a odnose se na financijski doprinos (bespovratna sredstva) Vlade SR Njemačke</w:t>
      </w:r>
      <w:bookmarkEnd w:id="1313"/>
      <w:r w:rsidRPr="004B4498">
        <w:rPr>
          <w:rFonts w:cs="Arial"/>
          <w:b w:val="0"/>
          <w:bCs w:val="0"/>
          <w:color w:val="000000" w:themeColor="text1"/>
          <w:sz w:val="20"/>
          <w:lang w:val="hr-HR"/>
        </w:rPr>
        <w:t>, koja se koriste za pokriće očekivanih gubitaka za izdane garancije i odobrene kredite po Programu kreditiranja utemeljenja poduzetništva u Hrvatskoj. Sredstva garantnog fonda su bezuvjetno nepovratna i nemaju dospijeće. Sredstva garantnog fonda Vladi SR Njemačke ne nose nikakva upravljačka prava niti pravo na udio u poslovnom rezultatu Grupe.</w:t>
      </w:r>
    </w:p>
    <w:p w14:paraId="3263BFDB"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 </w:t>
      </w:r>
    </w:p>
    <w:p w14:paraId="37C40794" w14:textId="77777777" w:rsidR="004E2F51" w:rsidRPr="004B4498" w:rsidRDefault="004E2F51" w:rsidP="004E2F51">
      <w:pPr>
        <w:jc w:val="both"/>
        <w:rPr>
          <w:rFonts w:ascii="Arial" w:hAnsi="Arial" w:cs="Arial"/>
          <w:color w:val="000000" w:themeColor="text1"/>
          <w:sz w:val="20"/>
          <w:szCs w:val="20"/>
          <w:lang w:val="hr-HR"/>
        </w:rPr>
      </w:pPr>
    </w:p>
    <w:p w14:paraId="76639C7E" w14:textId="77777777" w:rsidR="004E2F51" w:rsidRPr="00B91D09" w:rsidRDefault="004E2F51" w:rsidP="004E2F51">
      <w:pPr>
        <w:jc w:val="both"/>
        <w:rPr>
          <w:rFonts w:ascii="Arial" w:hAnsi="Arial" w:cs="Arial"/>
          <w:color w:val="000000" w:themeColor="text1"/>
          <w:sz w:val="22"/>
          <w:szCs w:val="22"/>
          <w:lang w:val="hr-HR"/>
        </w:rPr>
        <w:sectPr w:rsidR="004E2F51" w:rsidRPr="00B91D09" w:rsidSect="00623DBA">
          <w:footerReference w:type="default" r:id="rId154"/>
          <w:pgSz w:w="11907" w:h="16840" w:code="9"/>
          <w:pgMar w:top="1418" w:right="1134" w:bottom="1134" w:left="1418" w:header="851" w:footer="851" w:gutter="0"/>
          <w:cols w:space="720"/>
          <w:noEndnote/>
        </w:sectPr>
      </w:pPr>
    </w:p>
    <w:p w14:paraId="667784E8" w14:textId="77777777" w:rsidR="004E2F51" w:rsidRPr="004B4498" w:rsidRDefault="004E2F51" w:rsidP="004E2F51">
      <w:pPr>
        <w:pStyle w:val="T1"/>
        <w:spacing w:before="0" w:after="0" w:line="240" w:lineRule="auto"/>
        <w:rPr>
          <w:rFonts w:cs="Arial"/>
          <w:color w:val="000000" w:themeColor="text1"/>
          <w:sz w:val="20"/>
          <w:lang w:val="hr-HR"/>
        </w:rPr>
      </w:pPr>
    </w:p>
    <w:p w14:paraId="1232B14B"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Pr>
          <w:rFonts w:cs="Arial"/>
          <w:color w:val="000000" w:themeColor="text1"/>
          <w:sz w:val="20"/>
          <w:lang w:val="hr-HR"/>
        </w:rPr>
        <w:t>8</w:t>
      </w:r>
      <w:r w:rsidRPr="004B4498">
        <w:rPr>
          <w:rFonts w:cs="Arial"/>
          <w:color w:val="000000" w:themeColor="text1"/>
          <w:sz w:val="20"/>
          <w:lang w:val="hr-HR"/>
        </w:rPr>
        <w:t>.</w:t>
      </w:r>
      <w:r w:rsidRPr="004B4498">
        <w:rPr>
          <w:rFonts w:cs="Arial"/>
          <w:color w:val="000000" w:themeColor="text1"/>
          <w:sz w:val="20"/>
          <w:lang w:val="hr-HR"/>
        </w:rPr>
        <w:tab/>
        <w:t>Garancije i preuzete obveze</w:t>
      </w:r>
    </w:p>
    <w:p w14:paraId="3DC84B22" w14:textId="77777777" w:rsidR="004E2F51" w:rsidRPr="004B4498" w:rsidRDefault="004E2F51" w:rsidP="004E2F51">
      <w:pPr>
        <w:pStyle w:val="T1"/>
        <w:spacing w:before="0" w:after="0" w:line="240" w:lineRule="auto"/>
        <w:rPr>
          <w:rFonts w:cs="Arial"/>
          <w:color w:val="000000" w:themeColor="text1"/>
          <w:sz w:val="20"/>
          <w:lang w:val="hr-HR"/>
        </w:rPr>
      </w:pPr>
    </w:p>
    <w:p w14:paraId="47F73CBB" w14:textId="77777777" w:rsidR="004E2F51" w:rsidRPr="004B4498" w:rsidRDefault="004E2F51" w:rsidP="004E2F51">
      <w:pPr>
        <w:pStyle w:val="T1"/>
        <w:spacing w:before="0" w:after="0" w:line="240" w:lineRule="auto"/>
        <w:rPr>
          <w:rFonts w:cs="Arial"/>
          <w:b w:val="0"/>
          <w:color w:val="000000" w:themeColor="text1"/>
          <w:sz w:val="20"/>
          <w:lang w:val="hr-HR"/>
        </w:rPr>
      </w:pPr>
      <w:r w:rsidRPr="004B4498">
        <w:rPr>
          <w:rFonts w:cs="Arial"/>
          <w:b w:val="0"/>
          <w:color w:val="000000" w:themeColor="text1"/>
          <w:sz w:val="20"/>
          <w:lang w:val="hr-HR"/>
        </w:rPr>
        <w:t xml:space="preserve">U okviru svog redovnog poslovanja, Grupa zaključuje ugovore o garancijama i preuzetim obvezama. Svrha ovih instrumenata je osigurati raspoloživost sredstava s obzirom na potrebe klijenata. </w:t>
      </w:r>
    </w:p>
    <w:p w14:paraId="72E1A28E" w14:textId="77777777" w:rsidR="004E2F51" w:rsidRPr="004B4498" w:rsidRDefault="004E2F51" w:rsidP="004E2F51">
      <w:pPr>
        <w:pStyle w:val="T1"/>
        <w:spacing w:before="0" w:after="0" w:line="240" w:lineRule="auto"/>
        <w:rPr>
          <w:rFonts w:cs="Arial"/>
          <w:b w:val="0"/>
          <w:color w:val="000000" w:themeColor="text1"/>
          <w:sz w:val="20"/>
          <w:lang w:val="hr-HR"/>
        </w:rPr>
      </w:pPr>
    </w:p>
    <w:p w14:paraId="55260C82"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Navedene obveze sadrže kreditni rizik te su stoga dio ukupnog rizika Grupe iako se ne prikazuju u Izvještaju o financijskom položaju.</w:t>
      </w:r>
    </w:p>
    <w:p w14:paraId="2FBAB8DC" w14:textId="77777777" w:rsidR="004E2F51" w:rsidRPr="004B4498" w:rsidRDefault="004E2F51" w:rsidP="004E2F51">
      <w:pPr>
        <w:pStyle w:val="T1"/>
        <w:spacing w:before="0" w:after="0" w:line="240" w:lineRule="auto"/>
        <w:rPr>
          <w:rFonts w:cs="Arial"/>
          <w:b w:val="0"/>
          <w:color w:val="000000" w:themeColor="text1"/>
          <w:sz w:val="20"/>
          <w:lang w:val="hr-HR"/>
        </w:rPr>
      </w:pPr>
    </w:p>
    <w:tbl>
      <w:tblPr>
        <w:tblW w:w="5000" w:type="pct"/>
        <w:tblLayout w:type="fixed"/>
        <w:tblCellMar>
          <w:left w:w="122" w:type="dxa"/>
          <w:right w:w="122" w:type="dxa"/>
        </w:tblCellMar>
        <w:tblLook w:val="0000" w:firstRow="0" w:lastRow="0" w:firstColumn="0" w:lastColumn="0" w:noHBand="0" w:noVBand="0"/>
      </w:tblPr>
      <w:tblGrid>
        <w:gridCol w:w="5529"/>
        <w:gridCol w:w="1912"/>
        <w:gridCol w:w="1914"/>
      </w:tblGrid>
      <w:tr w:rsidR="004E2F51" w:rsidRPr="00F87C9B" w14:paraId="332B8E05" w14:textId="77777777" w:rsidTr="00E032FC">
        <w:trPr>
          <w:trHeight w:val="277"/>
        </w:trPr>
        <w:tc>
          <w:tcPr>
            <w:tcW w:w="2955" w:type="pct"/>
          </w:tcPr>
          <w:p w14:paraId="29529D66" w14:textId="77777777" w:rsidR="004E2F51" w:rsidRPr="004B4498" w:rsidRDefault="004E2F51" w:rsidP="00E032FC">
            <w:pPr>
              <w:tabs>
                <w:tab w:val="left" w:pos="-720"/>
              </w:tabs>
              <w:rPr>
                <w:rFonts w:ascii="Arial" w:hAnsi="Arial" w:cs="Arial"/>
                <w:b/>
                <w:color w:val="000000" w:themeColor="text1"/>
                <w:spacing w:val="-3"/>
                <w:sz w:val="20"/>
                <w:szCs w:val="20"/>
                <w:lang w:val="hr-HR"/>
              </w:rPr>
            </w:pPr>
            <w:r w:rsidRPr="004B4498">
              <w:rPr>
                <w:rFonts w:ascii="Arial" w:hAnsi="Arial" w:cs="Arial"/>
                <w:b/>
                <w:color w:val="000000" w:themeColor="text1"/>
                <w:spacing w:val="-3"/>
                <w:sz w:val="20"/>
                <w:szCs w:val="20"/>
                <w:lang w:val="hr-HR"/>
              </w:rPr>
              <w:t>Grupa i Banka</w:t>
            </w:r>
          </w:p>
        </w:tc>
        <w:tc>
          <w:tcPr>
            <w:tcW w:w="2045" w:type="pct"/>
            <w:gridSpan w:val="2"/>
          </w:tcPr>
          <w:p w14:paraId="616D24D9" w14:textId="77777777" w:rsidR="004E2F51" w:rsidRPr="004B4498" w:rsidRDefault="004E2F51" w:rsidP="00E032FC">
            <w:pPr>
              <w:pStyle w:val="TH"/>
              <w:jc w:val="right"/>
              <w:rPr>
                <w:rFonts w:cs="Arial"/>
                <w:color w:val="000000" w:themeColor="text1"/>
                <w:sz w:val="20"/>
                <w:lang w:val="hr-HR"/>
              </w:rPr>
            </w:pPr>
          </w:p>
        </w:tc>
      </w:tr>
      <w:tr w:rsidR="004E2F51" w:rsidRPr="00F87C9B" w14:paraId="182EF36C" w14:textId="77777777" w:rsidTr="00E032FC">
        <w:trPr>
          <w:trHeight w:val="202"/>
        </w:trPr>
        <w:tc>
          <w:tcPr>
            <w:tcW w:w="2955" w:type="pct"/>
          </w:tcPr>
          <w:p w14:paraId="28F432F4" w14:textId="77777777" w:rsidR="004E2F51" w:rsidRPr="004B4498" w:rsidRDefault="004E2F51" w:rsidP="00E032FC">
            <w:pPr>
              <w:tabs>
                <w:tab w:val="left" w:pos="-720"/>
              </w:tabs>
              <w:jc w:val="right"/>
              <w:rPr>
                <w:rFonts w:ascii="Arial" w:hAnsi="Arial" w:cs="Arial"/>
                <w:color w:val="000000" w:themeColor="text1"/>
                <w:spacing w:val="-3"/>
                <w:sz w:val="20"/>
                <w:szCs w:val="20"/>
                <w:lang w:val="hr-HR"/>
              </w:rPr>
            </w:pPr>
          </w:p>
        </w:tc>
        <w:tc>
          <w:tcPr>
            <w:tcW w:w="1022" w:type="pct"/>
          </w:tcPr>
          <w:p w14:paraId="3B538C03" w14:textId="77777777" w:rsidR="004E2F51" w:rsidRPr="004B4498" w:rsidRDefault="004E2F51" w:rsidP="00E032FC">
            <w:pPr>
              <w:pStyle w:val="TH"/>
              <w:jc w:val="right"/>
              <w:rPr>
                <w:rFonts w:cs="Arial"/>
                <w:color w:val="000000" w:themeColor="text1"/>
                <w:sz w:val="20"/>
                <w:lang w:val="hr-HR"/>
              </w:rPr>
            </w:pPr>
            <w:bookmarkStart w:id="1314" w:name="_Toc67328859"/>
            <w:r w:rsidRPr="004B4498">
              <w:rPr>
                <w:rFonts w:cs="Arial"/>
                <w:color w:val="000000" w:themeColor="text1"/>
                <w:sz w:val="20"/>
                <w:lang w:val="hr-HR"/>
              </w:rPr>
              <w:t>31. prosinca</w:t>
            </w:r>
            <w:bookmarkEnd w:id="1314"/>
          </w:p>
          <w:p w14:paraId="0F2F32F9" w14:textId="77777777" w:rsidR="004E2F51" w:rsidRPr="004B4498" w:rsidRDefault="004E2F51" w:rsidP="00E032FC">
            <w:pPr>
              <w:pStyle w:val="TH"/>
              <w:jc w:val="right"/>
              <w:rPr>
                <w:rFonts w:cs="Arial"/>
                <w:color w:val="000000" w:themeColor="text1"/>
                <w:sz w:val="20"/>
                <w:lang w:val="hr-HR"/>
              </w:rPr>
            </w:pPr>
            <w:r w:rsidRPr="004B4498">
              <w:rPr>
                <w:rFonts w:cs="Arial"/>
                <w:color w:val="000000" w:themeColor="text1"/>
                <w:sz w:val="20"/>
                <w:lang w:val="hr-HR"/>
              </w:rPr>
              <w:t xml:space="preserve"> </w:t>
            </w:r>
            <w:bookmarkStart w:id="1315" w:name="_Toc67328860"/>
            <w:r w:rsidRPr="004B4498">
              <w:rPr>
                <w:rFonts w:cs="Arial"/>
                <w:color w:val="000000" w:themeColor="text1"/>
                <w:sz w:val="20"/>
                <w:lang w:val="hr-HR"/>
              </w:rPr>
              <w:t>202</w:t>
            </w:r>
            <w:r>
              <w:rPr>
                <w:rFonts w:cs="Arial"/>
                <w:color w:val="000000" w:themeColor="text1"/>
                <w:sz w:val="20"/>
                <w:lang w:val="hr-HR"/>
              </w:rPr>
              <w:t>2</w:t>
            </w:r>
            <w:r w:rsidRPr="004B4498">
              <w:rPr>
                <w:rFonts w:cs="Arial"/>
                <w:color w:val="000000" w:themeColor="text1"/>
                <w:sz w:val="20"/>
                <w:lang w:val="hr-HR"/>
              </w:rPr>
              <w:t>.</w:t>
            </w:r>
            <w:bookmarkEnd w:id="1315"/>
          </w:p>
        </w:tc>
        <w:tc>
          <w:tcPr>
            <w:tcW w:w="1023" w:type="pct"/>
          </w:tcPr>
          <w:p w14:paraId="20C332CE" w14:textId="77777777" w:rsidR="004E2F51" w:rsidRPr="004B4498" w:rsidRDefault="004E2F51" w:rsidP="00E032FC">
            <w:pPr>
              <w:pStyle w:val="TH"/>
              <w:jc w:val="right"/>
              <w:rPr>
                <w:rFonts w:cs="Arial"/>
                <w:color w:val="000000" w:themeColor="text1"/>
                <w:sz w:val="20"/>
                <w:lang w:val="hr-HR"/>
              </w:rPr>
            </w:pPr>
            <w:bookmarkStart w:id="1316" w:name="_Toc67328861"/>
            <w:r w:rsidRPr="004B4498">
              <w:rPr>
                <w:rFonts w:cs="Arial"/>
                <w:color w:val="000000" w:themeColor="text1"/>
                <w:sz w:val="20"/>
                <w:lang w:val="hr-HR"/>
              </w:rPr>
              <w:t>31. prosinca</w:t>
            </w:r>
            <w:bookmarkEnd w:id="1316"/>
            <w:r w:rsidRPr="004B4498">
              <w:rPr>
                <w:rFonts w:cs="Arial"/>
                <w:color w:val="000000" w:themeColor="text1"/>
                <w:sz w:val="20"/>
                <w:lang w:val="hr-HR"/>
              </w:rPr>
              <w:t xml:space="preserve"> </w:t>
            </w:r>
          </w:p>
          <w:p w14:paraId="7B80D316" w14:textId="77777777" w:rsidR="004E2F51" w:rsidRPr="004B4498" w:rsidRDefault="004E2F51" w:rsidP="00E032FC">
            <w:pPr>
              <w:pStyle w:val="TH"/>
              <w:jc w:val="right"/>
              <w:rPr>
                <w:rFonts w:cs="Arial"/>
                <w:color w:val="000000" w:themeColor="text1"/>
                <w:sz w:val="20"/>
                <w:lang w:val="hr-HR"/>
              </w:rPr>
            </w:pPr>
            <w:bookmarkStart w:id="1317" w:name="_Toc67328862"/>
            <w:r w:rsidRPr="004B4498">
              <w:rPr>
                <w:rFonts w:cs="Arial"/>
                <w:color w:val="000000" w:themeColor="text1"/>
                <w:sz w:val="20"/>
                <w:lang w:val="hr-HR"/>
              </w:rPr>
              <w:t>202</w:t>
            </w:r>
            <w:r>
              <w:rPr>
                <w:rFonts w:cs="Arial"/>
                <w:color w:val="000000" w:themeColor="text1"/>
                <w:sz w:val="20"/>
                <w:lang w:val="hr-HR"/>
              </w:rPr>
              <w:t>1</w:t>
            </w:r>
            <w:r w:rsidRPr="004B4498">
              <w:rPr>
                <w:rFonts w:cs="Arial"/>
                <w:color w:val="000000" w:themeColor="text1"/>
                <w:sz w:val="20"/>
                <w:lang w:val="hr-HR"/>
              </w:rPr>
              <w:t>.</w:t>
            </w:r>
            <w:bookmarkEnd w:id="1317"/>
          </w:p>
        </w:tc>
      </w:tr>
      <w:tr w:rsidR="004E2F51" w:rsidRPr="00F87C9B" w14:paraId="0C3D1F09" w14:textId="77777777" w:rsidTr="00E032FC">
        <w:trPr>
          <w:trHeight w:val="299"/>
        </w:trPr>
        <w:tc>
          <w:tcPr>
            <w:tcW w:w="2955" w:type="pct"/>
          </w:tcPr>
          <w:p w14:paraId="5C3D3699" w14:textId="77777777" w:rsidR="004E2F51" w:rsidRPr="004B4498" w:rsidRDefault="004E2F51" w:rsidP="00E032FC">
            <w:pPr>
              <w:tabs>
                <w:tab w:val="left" w:pos="-720"/>
              </w:tabs>
              <w:ind w:right="4144"/>
              <w:jc w:val="right"/>
              <w:rPr>
                <w:rFonts w:ascii="Arial" w:hAnsi="Arial" w:cs="Arial"/>
                <w:color w:val="000000" w:themeColor="text1"/>
                <w:sz w:val="20"/>
                <w:szCs w:val="20"/>
                <w:lang w:val="hr-HR"/>
              </w:rPr>
            </w:pPr>
          </w:p>
        </w:tc>
        <w:tc>
          <w:tcPr>
            <w:tcW w:w="1022" w:type="pct"/>
          </w:tcPr>
          <w:p w14:paraId="3364668C" w14:textId="77777777" w:rsidR="004E2F51" w:rsidRPr="004B4498" w:rsidRDefault="004E2F51" w:rsidP="00E032FC">
            <w:pPr>
              <w:pStyle w:val="TH"/>
              <w:jc w:val="right"/>
              <w:rPr>
                <w:rFonts w:cs="Arial"/>
                <w:color w:val="000000" w:themeColor="text1"/>
                <w:sz w:val="20"/>
                <w:lang w:val="hr-HR"/>
              </w:rPr>
            </w:pPr>
            <w:bookmarkStart w:id="1318" w:name="_Toc67328863"/>
            <w:r w:rsidRPr="004B4498">
              <w:rPr>
                <w:rFonts w:cs="Arial"/>
                <w:color w:val="000000" w:themeColor="text1"/>
                <w:sz w:val="20"/>
                <w:lang w:val="hr-HR"/>
              </w:rPr>
              <w:t>000 kuna</w:t>
            </w:r>
            <w:bookmarkEnd w:id="1318"/>
          </w:p>
        </w:tc>
        <w:tc>
          <w:tcPr>
            <w:tcW w:w="1023" w:type="pct"/>
          </w:tcPr>
          <w:p w14:paraId="2DBECFF8" w14:textId="77777777" w:rsidR="004E2F51" w:rsidRPr="004B4498" w:rsidRDefault="004E2F51" w:rsidP="00E032FC">
            <w:pPr>
              <w:pStyle w:val="TH"/>
              <w:jc w:val="right"/>
              <w:rPr>
                <w:rFonts w:cs="Arial"/>
                <w:color w:val="000000" w:themeColor="text1"/>
                <w:sz w:val="20"/>
                <w:lang w:val="hr-HR"/>
              </w:rPr>
            </w:pPr>
            <w:bookmarkStart w:id="1319" w:name="_Toc67328864"/>
            <w:r w:rsidRPr="004B4498">
              <w:rPr>
                <w:rFonts w:cs="Arial"/>
                <w:color w:val="000000" w:themeColor="text1"/>
                <w:sz w:val="20"/>
                <w:lang w:val="hr-HR"/>
              </w:rPr>
              <w:t>000 kuna</w:t>
            </w:r>
            <w:bookmarkEnd w:id="1319"/>
          </w:p>
        </w:tc>
      </w:tr>
      <w:tr w:rsidR="004E2F51" w:rsidRPr="00F87C9B" w14:paraId="3A5BF21C" w14:textId="77777777" w:rsidTr="00E032FC">
        <w:trPr>
          <w:trHeight w:hRule="exact" w:val="218"/>
        </w:trPr>
        <w:tc>
          <w:tcPr>
            <w:tcW w:w="2955" w:type="pct"/>
          </w:tcPr>
          <w:p w14:paraId="1FDC49C1" w14:textId="77777777" w:rsidR="004E2F51" w:rsidRPr="004B4498" w:rsidRDefault="004E2F51" w:rsidP="00E032FC">
            <w:pPr>
              <w:tabs>
                <w:tab w:val="left" w:pos="-720"/>
              </w:tabs>
              <w:ind w:right="4144"/>
              <w:jc w:val="right"/>
              <w:rPr>
                <w:rFonts w:ascii="Arial" w:hAnsi="Arial" w:cs="Arial"/>
                <w:color w:val="000000" w:themeColor="text1"/>
                <w:sz w:val="20"/>
                <w:szCs w:val="20"/>
                <w:lang w:val="hr-HR"/>
              </w:rPr>
            </w:pPr>
          </w:p>
        </w:tc>
        <w:tc>
          <w:tcPr>
            <w:tcW w:w="1022" w:type="pct"/>
          </w:tcPr>
          <w:p w14:paraId="61062E67" w14:textId="77777777" w:rsidR="004E2F51" w:rsidRPr="004B4498" w:rsidRDefault="004E2F51" w:rsidP="00E032FC">
            <w:pPr>
              <w:jc w:val="right"/>
              <w:rPr>
                <w:rFonts w:ascii="Arial" w:hAnsi="Arial" w:cs="Arial"/>
                <w:b/>
                <w:color w:val="000000" w:themeColor="text1"/>
                <w:sz w:val="20"/>
                <w:szCs w:val="20"/>
                <w:lang w:val="hr-HR"/>
              </w:rPr>
            </w:pPr>
          </w:p>
        </w:tc>
        <w:tc>
          <w:tcPr>
            <w:tcW w:w="1023" w:type="pct"/>
          </w:tcPr>
          <w:p w14:paraId="452F1596" w14:textId="77777777" w:rsidR="004E2F51" w:rsidRPr="004B4498" w:rsidRDefault="004E2F51" w:rsidP="00E032FC">
            <w:pPr>
              <w:jc w:val="right"/>
              <w:rPr>
                <w:rFonts w:ascii="Arial" w:hAnsi="Arial" w:cs="Arial"/>
                <w:b/>
                <w:color w:val="000000" w:themeColor="text1"/>
                <w:sz w:val="20"/>
                <w:szCs w:val="20"/>
                <w:lang w:val="hr-HR"/>
              </w:rPr>
            </w:pPr>
          </w:p>
        </w:tc>
      </w:tr>
      <w:tr w:rsidR="004E2F51" w:rsidRPr="00F87C9B" w14:paraId="753E5EF7" w14:textId="77777777" w:rsidTr="00E032FC">
        <w:tblPrEx>
          <w:tblCellMar>
            <w:left w:w="107" w:type="dxa"/>
            <w:right w:w="107" w:type="dxa"/>
          </w:tblCellMar>
        </w:tblPrEx>
        <w:trPr>
          <w:trHeight w:hRule="exact" w:val="255"/>
        </w:trPr>
        <w:tc>
          <w:tcPr>
            <w:tcW w:w="2955" w:type="pct"/>
          </w:tcPr>
          <w:p w14:paraId="7463F51C" w14:textId="77777777" w:rsidR="004E2F51" w:rsidRPr="004B4498" w:rsidRDefault="004E2F51" w:rsidP="00E032FC">
            <w:pPr>
              <w:pStyle w:val="TT"/>
              <w:spacing w:line="240" w:lineRule="auto"/>
              <w:rPr>
                <w:rFonts w:cs="Arial"/>
                <w:color w:val="000000" w:themeColor="text1"/>
                <w:sz w:val="20"/>
                <w:lang w:val="hr-HR"/>
              </w:rPr>
            </w:pPr>
            <w:bookmarkStart w:id="1320" w:name="_Toc67328865"/>
            <w:r w:rsidRPr="004B4498">
              <w:rPr>
                <w:rFonts w:cs="Arial"/>
                <w:color w:val="000000" w:themeColor="text1"/>
                <w:sz w:val="20"/>
                <w:lang w:val="hr-HR"/>
              </w:rPr>
              <w:t>Izdane garancije u kunama</w:t>
            </w:r>
            <w:bookmarkEnd w:id="1320"/>
          </w:p>
        </w:tc>
        <w:tc>
          <w:tcPr>
            <w:tcW w:w="1022" w:type="pct"/>
            <w:tcBorders>
              <w:top w:val="nil"/>
              <w:left w:val="nil"/>
              <w:bottom w:val="nil"/>
              <w:right w:val="nil"/>
            </w:tcBorders>
            <w:shd w:val="clear" w:color="auto" w:fill="auto"/>
            <w:vAlign w:val="bottom"/>
          </w:tcPr>
          <w:p w14:paraId="39BF2450" w14:textId="77777777" w:rsidR="004E2F51" w:rsidRPr="004B4498" w:rsidRDefault="004E2F51" w:rsidP="00E032FC">
            <w:pPr>
              <w:pStyle w:val="TT"/>
              <w:spacing w:line="240" w:lineRule="auto"/>
              <w:jc w:val="right"/>
              <w:rPr>
                <w:rFonts w:cs="Arial"/>
                <w:color w:val="000000" w:themeColor="text1"/>
                <w:sz w:val="20"/>
                <w:lang w:val="hr-HR"/>
              </w:rPr>
            </w:pPr>
            <w:r w:rsidRPr="00830FE5">
              <w:rPr>
                <w:rFonts w:cs="Arial"/>
                <w:color w:val="000000" w:themeColor="text1"/>
                <w:sz w:val="20"/>
                <w:lang w:val="hr-HR"/>
              </w:rPr>
              <w:t xml:space="preserve"> 115.427 </w:t>
            </w:r>
          </w:p>
        </w:tc>
        <w:tc>
          <w:tcPr>
            <w:tcW w:w="1023" w:type="pct"/>
            <w:tcBorders>
              <w:top w:val="nil"/>
              <w:left w:val="nil"/>
              <w:bottom w:val="nil"/>
              <w:right w:val="nil"/>
            </w:tcBorders>
            <w:shd w:val="clear" w:color="auto" w:fill="auto"/>
            <w:vAlign w:val="bottom"/>
          </w:tcPr>
          <w:p w14:paraId="74E0F5B0"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170.555</w:t>
            </w:r>
          </w:p>
        </w:tc>
      </w:tr>
      <w:tr w:rsidR="004E2F51" w:rsidRPr="00F87C9B" w14:paraId="3C809D8E" w14:textId="77777777" w:rsidTr="00E032FC">
        <w:tblPrEx>
          <w:tblCellMar>
            <w:left w:w="107" w:type="dxa"/>
            <w:right w:w="107" w:type="dxa"/>
          </w:tblCellMar>
        </w:tblPrEx>
        <w:trPr>
          <w:trHeight w:hRule="exact" w:val="255"/>
        </w:trPr>
        <w:tc>
          <w:tcPr>
            <w:tcW w:w="2955" w:type="pct"/>
          </w:tcPr>
          <w:p w14:paraId="74CE17A6" w14:textId="77777777" w:rsidR="004E2F51" w:rsidRPr="004B4498" w:rsidRDefault="004E2F51" w:rsidP="00E032FC">
            <w:pPr>
              <w:pStyle w:val="TT"/>
              <w:spacing w:line="240" w:lineRule="auto"/>
              <w:rPr>
                <w:rFonts w:cs="Arial"/>
                <w:color w:val="000000" w:themeColor="text1"/>
                <w:sz w:val="20"/>
                <w:lang w:val="hr-HR"/>
              </w:rPr>
            </w:pPr>
            <w:bookmarkStart w:id="1321" w:name="_Toc67328868"/>
            <w:r w:rsidRPr="004B4498">
              <w:rPr>
                <w:rFonts w:cs="Arial"/>
                <w:color w:val="000000" w:themeColor="text1"/>
                <w:sz w:val="20"/>
                <w:lang w:val="hr-HR"/>
              </w:rPr>
              <w:t>Izdane garancije u devizama</w:t>
            </w:r>
            <w:bookmarkEnd w:id="1321"/>
            <w:r w:rsidRPr="004B4498">
              <w:rPr>
                <w:rFonts w:cs="Arial"/>
                <w:strike/>
                <w:color w:val="000000" w:themeColor="text1"/>
                <w:sz w:val="20"/>
                <w:lang w:val="hr-HR"/>
              </w:rPr>
              <w:t xml:space="preserve"> </w:t>
            </w:r>
          </w:p>
        </w:tc>
        <w:tc>
          <w:tcPr>
            <w:tcW w:w="1022" w:type="pct"/>
            <w:tcBorders>
              <w:top w:val="nil"/>
              <w:left w:val="nil"/>
              <w:bottom w:val="nil"/>
              <w:right w:val="nil"/>
            </w:tcBorders>
            <w:shd w:val="clear" w:color="auto" w:fill="auto"/>
            <w:vAlign w:val="bottom"/>
          </w:tcPr>
          <w:p w14:paraId="216E2721" w14:textId="77777777" w:rsidR="004E2F51" w:rsidRPr="004B4498" w:rsidRDefault="004E2F51" w:rsidP="00E032FC">
            <w:pPr>
              <w:pStyle w:val="TT"/>
              <w:spacing w:line="240" w:lineRule="auto"/>
              <w:jc w:val="right"/>
              <w:rPr>
                <w:rFonts w:cs="Arial"/>
                <w:color w:val="000000" w:themeColor="text1"/>
                <w:sz w:val="20"/>
                <w:lang w:val="hr-HR"/>
              </w:rPr>
            </w:pPr>
            <w:r w:rsidRPr="00830FE5">
              <w:rPr>
                <w:rFonts w:cs="Arial"/>
                <w:color w:val="000000" w:themeColor="text1"/>
                <w:sz w:val="20"/>
                <w:lang w:val="hr-HR"/>
              </w:rPr>
              <w:t xml:space="preserve"> 194.098 </w:t>
            </w:r>
          </w:p>
        </w:tc>
        <w:tc>
          <w:tcPr>
            <w:tcW w:w="1023" w:type="pct"/>
            <w:tcBorders>
              <w:top w:val="nil"/>
              <w:left w:val="nil"/>
              <w:bottom w:val="nil"/>
              <w:right w:val="nil"/>
            </w:tcBorders>
            <w:shd w:val="clear" w:color="auto" w:fill="auto"/>
            <w:vAlign w:val="bottom"/>
          </w:tcPr>
          <w:p w14:paraId="19DFDF27"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325.103</w:t>
            </w:r>
          </w:p>
        </w:tc>
      </w:tr>
      <w:tr w:rsidR="004E2F51" w:rsidRPr="00F87C9B" w14:paraId="04D490D7" w14:textId="77777777" w:rsidTr="00E032FC">
        <w:tblPrEx>
          <w:tblCellMar>
            <w:left w:w="107" w:type="dxa"/>
            <w:right w:w="107" w:type="dxa"/>
          </w:tblCellMar>
        </w:tblPrEx>
        <w:trPr>
          <w:trHeight w:hRule="exact" w:val="255"/>
        </w:trPr>
        <w:tc>
          <w:tcPr>
            <w:tcW w:w="2955" w:type="pct"/>
          </w:tcPr>
          <w:p w14:paraId="2D2927E1" w14:textId="77777777" w:rsidR="004E2F51" w:rsidRPr="004B4498" w:rsidRDefault="004E2F51" w:rsidP="00E032FC">
            <w:pPr>
              <w:pStyle w:val="TT"/>
              <w:spacing w:line="240" w:lineRule="auto"/>
              <w:rPr>
                <w:rFonts w:cs="Arial"/>
                <w:color w:val="000000" w:themeColor="text1"/>
                <w:sz w:val="20"/>
                <w:lang w:val="hr-HR"/>
              </w:rPr>
            </w:pPr>
            <w:bookmarkStart w:id="1322" w:name="_Toc67328871"/>
            <w:r w:rsidRPr="004B4498">
              <w:rPr>
                <w:rFonts w:cs="Arial"/>
                <w:color w:val="000000" w:themeColor="text1"/>
                <w:sz w:val="20"/>
                <w:lang w:val="hr-HR"/>
              </w:rPr>
              <w:t>Preuzete obveze po kreditima</w:t>
            </w:r>
            <w:bookmarkEnd w:id="1322"/>
          </w:p>
        </w:tc>
        <w:tc>
          <w:tcPr>
            <w:tcW w:w="1022" w:type="pct"/>
            <w:tcBorders>
              <w:top w:val="nil"/>
              <w:left w:val="nil"/>
              <w:bottom w:val="nil"/>
              <w:right w:val="nil"/>
            </w:tcBorders>
            <w:shd w:val="clear" w:color="auto" w:fill="auto"/>
            <w:vAlign w:val="bottom"/>
          </w:tcPr>
          <w:p w14:paraId="1EEBADAB" w14:textId="77777777" w:rsidR="004E2F51" w:rsidRPr="004B4498" w:rsidRDefault="004E2F51" w:rsidP="00E032FC">
            <w:pPr>
              <w:pStyle w:val="TT"/>
              <w:spacing w:line="240" w:lineRule="auto"/>
              <w:jc w:val="right"/>
              <w:rPr>
                <w:rFonts w:cs="Arial"/>
                <w:color w:val="000000" w:themeColor="text1"/>
                <w:sz w:val="20"/>
                <w:lang w:val="hr-HR"/>
              </w:rPr>
            </w:pPr>
            <w:r w:rsidRPr="00830FE5">
              <w:rPr>
                <w:rFonts w:cs="Arial"/>
                <w:color w:val="000000" w:themeColor="text1"/>
                <w:sz w:val="20"/>
                <w:lang w:val="hr-HR"/>
              </w:rPr>
              <w:t xml:space="preserve"> 2.668.118 </w:t>
            </w:r>
          </w:p>
        </w:tc>
        <w:tc>
          <w:tcPr>
            <w:tcW w:w="1023" w:type="pct"/>
            <w:tcBorders>
              <w:top w:val="nil"/>
              <w:left w:val="nil"/>
              <w:bottom w:val="nil"/>
              <w:right w:val="nil"/>
            </w:tcBorders>
            <w:shd w:val="clear" w:color="auto" w:fill="auto"/>
            <w:vAlign w:val="bottom"/>
          </w:tcPr>
          <w:p w14:paraId="5272452C"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3.492.038</w:t>
            </w:r>
          </w:p>
        </w:tc>
      </w:tr>
      <w:tr w:rsidR="004E2F51" w:rsidRPr="00F87C9B" w14:paraId="75D353F5" w14:textId="77777777" w:rsidTr="00E032FC">
        <w:tblPrEx>
          <w:tblCellMar>
            <w:left w:w="107" w:type="dxa"/>
            <w:right w:w="107" w:type="dxa"/>
          </w:tblCellMar>
        </w:tblPrEx>
        <w:trPr>
          <w:trHeight w:hRule="exact" w:val="255"/>
        </w:trPr>
        <w:tc>
          <w:tcPr>
            <w:tcW w:w="2955" w:type="pct"/>
          </w:tcPr>
          <w:p w14:paraId="69C53223" w14:textId="77777777" w:rsidR="004E2F51" w:rsidRPr="004B4498" w:rsidRDefault="004E2F51" w:rsidP="00E032FC">
            <w:pPr>
              <w:pStyle w:val="TT"/>
              <w:spacing w:line="240" w:lineRule="auto"/>
              <w:rPr>
                <w:rFonts w:cs="Arial"/>
                <w:color w:val="000000" w:themeColor="text1"/>
                <w:sz w:val="20"/>
                <w:lang w:val="hr-HR"/>
              </w:rPr>
            </w:pPr>
            <w:bookmarkStart w:id="1323" w:name="_Toc67328874"/>
            <w:r w:rsidRPr="004B4498">
              <w:rPr>
                <w:rFonts w:cs="Arial"/>
                <w:color w:val="000000" w:themeColor="text1"/>
                <w:sz w:val="20"/>
                <w:lang w:val="hr-HR"/>
              </w:rPr>
              <w:t>Otvoreni akreditivi</w:t>
            </w:r>
            <w:bookmarkEnd w:id="1323"/>
            <w:r w:rsidRPr="004B4498">
              <w:rPr>
                <w:rFonts w:cs="Arial"/>
                <w:color w:val="000000" w:themeColor="text1"/>
                <w:sz w:val="20"/>
                <w:lang w:val="hr-HR"/>
              </w:rPr>
              <w:t xml:space="preserve"> u devizama</w:t>
            </w:r>
          </w:p>
        </w:tc>
        <w:tc>
          <w:tcPr>
            <w:tcW w:w="1022" w:type="pct"/>
            <w:tcBorders>
              <w:top w:val="nil"/>
              <w:left w:val="nil"/>
              <w:bottom w:val="nil"/>
              <w:right w:val="nil"/>
            </w:tcBorders>
            <w:shd w:val="clear" w:color="auto" w:fill="auto"/>
            <w:vAlign w:val="bottom"/>
          </w:tcPr>
          <w:p w14:paraId="4D216518" w14:textId="77777777" w:rsidR="004E2F51" w:rsidRPr="004B4498" w:rsidRDefault="004E2F51" w:rsidP="00E032FC">
            <w:pPr>
              <w:pStyle w:val="TT"/>
              <w:spacing w:line="240" w:lineRule="auto"/>
              <w:jc w:val="right"/>
              <w:rPr>
                <w:rFonts w:cs="Arial"/>
                <w:color w:val="000000" w:themeColor="text1"/>
                <w:sz w:val="20"/>
                <w:lang w:val="hr-HR"/>
              </w:rPr>
            </w:pPr>
            <w:r w:rsidRPr="00830FE5">
              <w:rPr>
                <w:rFonts w:cs="Arial"/>
                <w:color w:val="000000" w:themeColor="text1"/>
                <w:sz w:val="20"/>
                <w:lang w:val="hr-HR"/>
              </w:rPr>
              <w:t xml:space="preserve"> 1.243 </w:t>
            </w:r>
          </w:p>
        </w:tc>
        <w:tc>
          <w:tcPr>
            <w:tcW w:w="1023" w:type="pct"/>
            <w:tcBorders>
              <w:top w:val="nil"/>
              <w:left w:val="nil"/>
              <w:bottom w:val="nil"/>
              <w:right w:val="nil"/>
            </w:tcBorders>
            <w:shd w:val="clear" w:color="auto" w:fill="auto"/>
            <w:vAlign w:val="bottom"/>
          </w:tcPr>
          <w:p w14:paraId="153037A4"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w:t>
            </w:r>
          </w:p>
        </w:tc>
      </w:tr>
      <w:tr w:rsidR="004E2F51" w:rsidRPr="00F87C9B" w14:paraId="08905936" w14:textId="77777777" w:rsidTr="00E032FC">
        <w:tblPrEx>
          <w:tblCellMar>
            <w:left w:w="107" w:type="dxa"/>
            <w:right w:w="107" w:type="dxa"/>
          </w:tblCellMar>
        </w:tblPrEx>
        <w:trPr>
          <w:trHeight w:hRule="exact" w:val="255"/>
        </w:trPr>
        <w:tc>
          <w:tcPr>
            <w:tcW w:w="2955" w:type="pct"/>
          </w:tcPr>
          <w:p w14:paraId="4748E5D9" w14:textId="77777777" w:rsidR="004E2F51" w:rsidRPr="004B4498" w:rsidRDefault="004E2F51" w:rsidP="00E032FC">
            <w:pPr>
              <w:pStyle w:val="TT"/>
              <w:spacing w:line="240" w:lineRule="auto"/>
              <w:rPr>
                <w:rFonts w:cs="Arial"/>
                <w:color w:val="000000" w:themeColor="text1"/>
                <w:sz w:val="20"/>
                <w:lang w:val="hr-HR"/>
              </w:rPr>
            </w:pPr>
            <w:bookmarkStart w:id="1324" w:name="_Toc67328877"/>
            <w:r w:rsidRPr="004B4498">
              <w:rPr>
                <w:rFonts w:cs="Arial"/>
                <w:color w:val="000000" w:themeColor="text1"/>
                <w:sz w:val="20"/>
                <w:lang w:val="hr-HR"/>
              </w:rPr>
              <w:t>Upisani a neuplaćeni kapital EIF-a</w:t>
            </w:r>
            <w:bookmarkEnd w:id="1324"/>
            <w:r w:rsidRPr="004B4498">
              <w:rPr>
                <w:rFonts w:cs="Arial"/>
                <w:color w:val="000000" w:themeColor="text1"/>
                <w:sz w:val="20"/>
                <w:lang w:val="hr-HR"/>
              </w:rPr>
              <w:t xml:space="preserve"> </w:t>
            </w:r>
          </w:p>
        </w:tc>
        <w:tc>
          <w:tcPr>
            <w:tcW w:w="1022" w:type="pct"/>
            <w:tcBorders>
              <w:top w:val="nil"/>
              <w:left w:val="nil"/>
              <w:bottom w:val="nil"/>
              <w:right w:val="nil"/>
            </w:tcBorders>
            <w:shd w:val="clear" w:color="auto" w:fill="auto"/>
            <w:vAlign w:val="bottom"/>
          </w:tcPr>
          <w:p w14:paraId="52A69BCF" w14:textId="77777777" w:rsidR="004E2F51" w:rsidRPr="004B4498" w:rsidRDefault="004E2F51" w:rsidP="00E032FC">
            <w:pPr>
              <w:pStyle w:val="TT"/>
              <w:spacing w:line="240" w:lineRule="auto"/>
              <w:jc w:val="right"/>
              <w:rPr>
                <w:rFonts w:cs="Arial"/>
                <w:color w:val="000000" w:themeColor="text1"/>
                <w:sz w:val="20"/>
                <w:lang w:val="hr-HR"/>
              </w:rPr>
            </w:pPr>
            <w:r w:rsidRPr="00830FE5">
              <w:rPr>
                <w:rFonts w:cs="Arial"/>
                <w:color w:val="000000" w:themeColor="text1"/>
                <w:sz w:val="20"/>
                <w:lang w:val="hr-HR"/>
              </w:rPr>
              <w:t xml:space="preserve"> 78.358 </w:t>
            </w:r>
          </w:p>
        </w:tc>
        <w:tc>
          <w:tcPr>
            <w:tcW w:w="1023" w:type="pct"/>
            <w:tcBorders>
              <w:top w:val="nil"/>
              <w:left w:val="nil"/>
              <w:bottom w:val="nil"/>
              <w:right w:val="nil"/>
            </w:tcBorders>
            <w:shd w:val="clear" w:color="auto" w:fill="auto"/>
            <w:vAlign w:val="bottom"/>
          </w:tcPr>
          <w:p w14:paraId="5CB43634"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78.179</w:t>
            </w:r>
          </w:p>
        </w:tc>
      </w:tr>
      <w:tr w:rsidR="004E2F51" w:rsidRPr="00F87C9B" w14:paraId="2A506911" w14:textId="77777777" w:rsidTr="00E032FC">
        <w:tblPrEx>
          <w:tblCellMar>
            <w:left w:w="107" w:type="dxa"/>
            <w:right w:w="107" w:type="dxa"/>
          </w:tblCellMar>
        </w:tblPrEx>
        <w:trPr>
          <w:trHeight w:hRule="exact" w:val="255"/>
        </w:trPr>
        <w:tc>
          <w:tcPr>
            <w:tcW w:w="2955" w:type="pct"/>
          </w:tcPr>
          <w:p w14:paraId="24BB2ACF" w14:textId="77777777" w:rsidR="004E2F51" w:rsidRPr="004B4498" w:rsidRDefault="004E2F51" w:rsidP="00E032FC">
            <w:pPr>
              <w:pStyle w:val="TT"/>
              <w:spacing w:line="240" w:lineRule="auto"/>
              <w:rPr>
                <w:rFonts w:cs="Arial"/>
                <w:color w:val="000000" w:themeColor="text1"/>
                <w:sz w:val="20"/>
                <w:lang w:val="hr-HR"/>
              </w:rPr>
            </w:pPr>
            <w:bookmarkStart w:id="1325" w:name="_Toc67328880"/>
            <w:r w:rsidRPr="004B4498">
              <w:rPr>
                <w:rFonts w:cs="Arial"/>
                <w:color w:val="000000" w:themeColor="text1"/>
                <w:sz w:val="20"/>
                <w:lang w:val="hr-HR"/>
              </w:rPr>
              <w:t>Ugovorena obveza EIF CROGIP</w:t>
            </w:r>
            <w:bookmarkEnd w:id="1325"/>
          </w:p>
        </w:tc>
        <w:tc>
          <w:tcPr>
            <w:tcW w:w="1022" w:type="pct"/>
            <w:tcBorders>
              <w:top w:val="nil"/>
              <w:left w:val="nil"/>
              <w:bottom w:val="nil"/>
              <w:right w:val="nil"/>
            </w:tcBorders>
            <w:shd w:val="clear" w:color="auto" w:fill="auto"/>
            <w:vAlign w:val="bottom"/>
          </w:tcPr>
          <w:p w14:paraId="3B6617E6" w14:textId="77777777" w:rsidR="004E2F51" w:rsidRPr="004B4498" w:rsidRDefault="004E2F51" w:rsidP="00E032FC">
            <w:pPr>
              <w:pStyle w:val="TT"/>
              <w:spacing w:line="240" w:lineRule="auto"/>
              <w:jc w:val="right"/>
              <w:rPr>
                <w:rFonts w:cs="Arial"/>
                <w:color w:val="000000" w:themeColor="text1"/>
                <w:sz w:val="20"/>
                <w:lang w:val="hr-HR"/>
              </w:rPr>
            </w:pPr>
            <w:r w:rsidRPr="00830FE5">
              <w:rPr>
                <w:rFonts w:cs="Arial"/>
                <w:color w:val="000000" w:themeColor="text1"/>
                <w:sz w:val="20"/>
                <w:lang w:val="hr-HR"/>
              </w:rPr>
              <w:t xml:space="preserve"> 273.324 </w:t>
            </w:r>
          </w:p>
        </w:tc>
        <w:tc>
          <w:tcPr>
            <w:tcW w:w="1023" w:type="pct"/>
            <w:tcBorders>
              <w:top w:val="nil"/>
              <w:left w:val="nil"/>
              <w:bottom w:val="nil"/>
              <w:right w:val="nil"/>
            </w:tcBorders>
            <w:shd w:val="clear" w:color="auto" w:fill="auto"/>
            <w:vAlign w:val="bottom"/>
          </w:tcPr>
          <w:p w14:paraId="56AF9E15"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312.489</w:t>
            </w:r>
          </w:p>
        </w:tc>
      </w:tr>
      <w:tr w:rsidR="004E2F51" w:rsidRPr="00F87C9B" w14:paraId="6DF2CF60" w14:textId="77777777" w:rsidTr="00E032FC">
        <w:tblPrEx>
          <w:tblCellMar>
            <w:left w:w="107" w:type="dxa"/>
            <w:right w:w="107" w:type="dxa"/>
          </w:tblCellMar>
        </w:tblPrEx>
        <w:trPr>
          <w:trHeight w:hRule="exact" w:val="255"/>
        </w:trPr>
        <w:tc>
          <w:tcPr>
            <w:tcW w:w="2955" w:type="pct"/>
          </w:tcPr>
          <w:p w14:paraId="69DB780E" w14:textId="77777777" w:rsidR="004E2F51" w:rsidRPr="004B4498" w:rsidRDefault="004E2F51" w:rsidP="00E032FC">
            <w:pPr>
              <w:pStyle w:val="TT"/>
              <w:spacing w:line="240" w:lineRule="auto"/>
              <w:rPr>
                <w:rFonts w:cs="Arial"/>
                <w:color w:val="000000" w:themeColor="text1"/>
                <w:sz w:val="20"/>
                <w:lang w:val="hr-HR"/>
              </w:rPr>
            </w:pPr>
            <w:bookmarkStart w:id="1326" w:name="_Toc67328883"/>
            <w:r w:rsidRPr="004B4498">
              <w:rPr>
                <w:rFonts w:cs="Arial"/>
                <w:color w:val="000000" w:themeColor="text1"/>
                <w:sz w:val="20"/>
                <w:lang w:val="hr-HR"/>
              </w:rPr>
              <w:t>Ugovorena obveza EIF FRC2</w:t>
            </w:r>
            <w:bookmarkEnd w:id="1326"/>
          </w:p>
        </w:tc>
        <w:tc>
          <w:tcPr>
            <w:tcW w:w="1022" w:type="pct"/>
            <w:tcBorders>
              <w:top w:val="nil"/>
              <w:left w:val="nil"/>
              <w:bottom w:val="nil"/>
              <w:right w:val="nil"/>
            </w:tcBorders>
            <w:shd w:val="clear" w:color="auto" w:fill="auto"/>
            <w:vAlign w:val="bottom"/>
          </w:tcPr>
          <w:p w14:paraId="2399AAD9" w14:textId="77777777" w:rsidR="004E2F51" w:rsidRPr="004B4498" w:rsidRDefault="004E2F51" w:rsidP="00E032FC">
            <w:pPr>
              <w:pStyle w:val="TT"/>
              <w:spacing w:line="240" w:lineRule="auto"/>
              <w:jc w:val="right"/>
              <w:rPr>
                <w:rFonts w:cs="Arial"/>
                <w:color w:val="000000" w:themeColor="text1"/>
                <w:sz w:val="20"/>
                <w:lang w:val="hr-HR"/>
              </w:rPr>
            </w:pPr>
            <w:r w:rsidRPr="00830FE5">
              <w:rPr>
                <w:rFonts w:cs="Arial"/>
                <w:color w:val="000000" w:themeColor="text1"/>
                <w:sz w:val="20"/>
                <w:lang w:val="hr-HR"/>
              </w:rPr>
              <w:t xml:space="preserve"> 3.037 </w:t>
            </w:r>
          </w:p>
        </w:tc>
        <w:tc>
          <w:tcPr>
            <w:tcW w:w="1023" w:type="pct"/>
            <w:tcBorders>
              <w:top w:val="nil"/>
              <w:left w:val="nil"/>
              <w:bottom w:val="nil"/>
              <w:right w:val="nil"/>
            </w:tcBorders>
            <w:shd w:val="clear" w:color="auto" w:fill="auto"/>
            <w:vAlign w:val="bottom"/>
          </w:tcPr>
          <w:p w14:paraId="593C00AD" w14:textId="77777777" w:rsidR="004E2F51" w:rsidRPr="004B4498" w:rsidRDefault="004E2F51" w:rsidP="00E032FC">
            <w:pPr>
              <w:pStyle w:val="TT"/>
              <w:spacing w:line="240" w:lineRule="auto"/>
              <w:jc w:val="right"/>
              <w:rPr>
                <w:rFonts w:cs="Arial"/>
                <w:color w:val="000000" w:themeColor="text1"/>
                <w:sz w:val="20"/>
                <w:lang w:val="hr-HR"/>
              </w:rPr>
            </w:pPr>
            <w:r w:rsidRPr="0046584E">
              <w:rPr>
                <w:rFonts w:cs="Arial"/>
                <w:color w:val="000000" w:themeColor="text1"/>
                <w:sz w:val="20"/>
                <w:lang w:val="hr-HR"/>
              </w:rPr>
              <w:t>6.243</w:t>
            </w:r>
          </w:p>
        </w:tc>
      </w:tr>
      <w:tr w:rsidR="004E2F51" w:rsidRPr="00F87C9B" w14:paraId="1CE7BEF9" w14:textId="77777777" w:rsidTr="00E032FC">
        <w:tblPrEx>
          <w:tblCellMar>
            <w:left w:w="107" w:type="dxa"/>
            <w:right w:w="107" w:type="dxa"/>
          </w:tblCellMar>
        </w:tblPrEx>
        <w:trPr>
          <w:trHeight w:val="161"/>
        </w:trPr>
        <w:tc>
          <w:tcPr>
            <w:tcW w:w="2955" w:type="pct"/>
            <w:vAlign w:val="bottom"/>
          </w:tcPr>
          <w:p w14:paraId="170A909C" w14:textId="77777777" w:rsidR="004E2F51" w:rsidRPr="004B4498" w:rsidRDefault="004E2F51" w:rsidP="00E032FC">
            <w:pPr>
              <w:pStyle w:val="Tot"/>
              <w:spacing w:line="240" w:lineRule="auto"/>
              <w:rPr>
                <w:rFonts w:cs="Arial"/>
                <w:color w:val="000000" w:themeColor="text1"/>
                <w:sz w:val="20"/>
                <w:lang w:val="hr-HR"/>
              </w:rPr>
            </w:pPr>
          </w:p>
        </w:tc>
        <w:tc>
          <w:tcPr>
            <w:tcW w:w="1022" w:type="pct"/>
            <w:tcBorders>
              <w:top w:val="single" w:sz="4" w:space="0" w:color="auto"/>
              <w:bottom w:val="single" w:sz="4" w:space="0" w:color="auto"/>
            </w:tcBorders>
            <w:vAlign w:val="bottom"/>
          </w:tcPr>
          <w:p w14:paraId="0B5A7888" w14:textId="77777777" w:rsidR="004E2F51" w:rsidRPr="004B4498" w:rsidRDefault="004E2F51" w:rsidP="00E032FC">
            <w:pPr>
              <w:pStyle w:val="Tot"/>
              <w:spacing w:line="240" w:lineRule="auto"/>
              <w:jc w:val="right"/>
              <w:rPr>
                <w:rFonts w:cs="Arial"/>
                <w:color w:val="000000" w:themeColor="text1"/>
                <w:sz w:val="20"/>
                <w:lang w:val="hr-HR"/>
              </w:rPr>
            </w:pPr>
            <w:r w:rsidRPr="00830FE5">
              <w:rPr>
                <w:rFonts w:cs="Arial"/>
                <w:color w:val="000000" w:themeColor="text1"/>
                <w:sz w:val="20"/>
                <w:lang w:val="hr-HR"/>
              </w:rPr>
              <w:t>3.333.605</w:t>
            </w:r>
          </w:p>
        </w:tc>
        <w:tc>
          <w:tcPr>
            <w:tcW w:w="1023" w:type="pct"/>
            <w:tcBorders>
              <w:top w:val="single" w:sz="4" w:space="0" w:color="auto"/>
              <w:bottom w:val="single" w:sz="4" w:space="0" w:color="auto"/>
            </w:tcBorders>
            <w:vAlign w:val="bottom"/>
          </w:tcPr>
          <w:p w14:paraId="28CEB44D" w14:textId="77777777" w:rsidR="004E2F51" w:rsidRPr="004B4498" w:rsidRDefault="004E2F51" w:rsidP="00E032FC">
            <w:pPr>
              <w:pStyle w:val="Tot"/>
              <w:spacing w:line="240" w:lineRule="auto"/>
              <w:jc w:val="right"/>
              <w:rPr>
                <w:rFonts w:cs="Arial"/>
                <w:color w:val="000000" w:themeColor="text1"/>
                <w:sz w:val="20"/>
                <w:lang w:val="hr-HR"/>
              </w:rPr>
            </w:pPr>
            <w:r w:rsidRPr="0046584E">
              <w:rPr>
                <w:rFonts w:cs="Arial"/>
                <w:color w:val="000000" w:themeColor="text1"/>
                <w:sz w:val="20"/>
                <w:lang w:val="hr-HR"/>
              </w:rPr>
              <w:t>4.384.607</w:t>
            </w:r>
          </w:p>
        </w:tc>
      </w:tr>
      <w:tr w:rsidR="004E2F51" w:rsidRPr="00F87C9B" w14:paraId="4ECFE582" w14:textId="77777777" w:rsidTr="00E032FC">
        <w:tblPrEx>
          <w:tblCellMar>
            <w:left w:w="107" w:type="dxa"/>
            <w:right w:w="107" w:type="dxa"/>
          </w:tblCellMar>
        </w:tblPrEx>
        <w:trPr>
          <w:trHeight w:val="232"/>
        </w:trPr>
        <w:tc>
          <w:tcPr>
            <w:tcW w:w="2955" w:type="pct"/>
          </w:tcPr>
          <w:p w14:paraId="01961780" w14:textId="77777777" w:rsidR="004E2F51" w:rsidRPr="004B4498" w:rsidRDefault="004E2F51" w:rsidP="00E032FC">
            <w:pPr>
              <w:pStyle w:val="TT"/>
              <w:rPr>
                <w:rFonts w:cs="Arial"/>
                <w:color w:val="000000" w:themeColor="text1"/>
                <w:sz w:val="20"/>
                <w:lang w:val="hr-HR"/>
              </w:rPr>
            </w:pPr>
            <w:bookmarkStart w:id="1327" w:name="_Toc67328891"/>
            <w:r w:rsidRPr="004B4498">
              <w:rPr>
                <w:rFonts w:cs="Arial"/>
                <w:color w:val="000000" w:themeColor="text1"/>
                <w:sz w:val="20"/>
                <w:lang w:val="hr-HR"/>
              </w:rPr>
              <w:t>Rezerviranja za garancije i preuzete obveze</w:t>
            </w:r>
            <w:bookmarkEnd w:id="1327"/>
          </w:p>
        </w:tc>
        <w:tc>
          <w:tcPr>
            <w:tcW w:w="1022" w:type="pct"/>
            <w:tcBorders>
              <w:top w:val="single" w:sz="4" w:space="0" w:color="auto"/>
              <w:bottom w:val="single" w:sz="4" w:space="0" w:color="auto"/>
            </w:tcBorders>
            <w:vAlign w:val="bottom"/>
          </w:tcPr>
          <w:p w14:paraId="76103016" w14:textId="77777777" w:rsidR="004E2F51" w:rsidRPr="004B4498" w:rsidRDefault="004E2F51" w:rsidP="00E032FC">
            <w:pPr>
              <w:pStyle w:val="TT"/>
              <w:jc w:val="right"/>
              <w:rPr>
                <w:rFonts w:cs="Arial"/>
                <w:color w:val="000000" w:themeColor="text1"/>
                <w:sz w:val="20"/>
                <w:lang w:val="hr-HR"/>
              </w:rPr>
            </w:pPr>
            <w:r w:rsidRPr="00830FE5">
              <w:rPr>
                <w:rFonts w:cs="Arial"/>
                <w:color w:val="000000" w:themeColor="text1"/>
                <w:sz w:val="20"/>
                <w:lang w:val="hr-HR"/>
              </w:rPr>
              <w:t>(80.726)</w:t>
            </w:r>
          </w:p>
        </w:tc>
        <w:tc>
          <w:tcPr>
            <w:tcW w:w="1023" w:type="pct"/>
            <w:tcBorders>
              <w:top w:val="single" w:sz="4" w:space="0" w:color="auto"/>
              <w:bottom w:val="single" w:sz="4" w:space="0" w:color="auto"/>
            </w:tcBorders>
            <w:vAlign w:val="bottom"/>
          </w:tcPr>
          <w:p w14:paraId="6611AABC" w14:textId="77777777" w:rsidR="004E2F51" w:rsidRPr="004B4498" w:rsidRDefault="004E2F51" w:rsidP="00E032FC">
            <w:pPr>
              <w:pStyle w:val="TT"/>
              <w:jc w:val="right"/>
              <w:rPr>
                <w:rFonts w:cs="Arial"/>
                <w:color w:val="000000" w:themeColor="text1"/>
                <w:sz w:val="20"/>
                <w:lang w:val="hr-HR"/>
              </w:rPr>
            </w:pPr>
            <w:r w:rsidRPr="0046584E">
              <w:rPr>
                <w:rFonts w:cs="Arial"/>
                <w:color w:val="000000" w:themeColor="text1"/>
                <w:sz w:val="20"/>
                <w:lang w:val="hr-HR"/>
              </w:rPr>
              <w:t>(129.587)</w:t>
            </w:r>
          </w:p>
        </w:tc>
      </w:tr>
      <w:tr w:rsidR="004E2F51" w:rsidRPr="00F87C9B" w14:paraId="15A690EC" w14:textId="77777777" w:rsidTr="00E032FC">
        <w:tblPrEx>
          <w:tblCellMar>
            <w:left w:w="107" w:type="dxa"/>
            <w:right w:w="107" w:type="dxa"/>
          </w:tblCellMar>
        </w:tblPrEx>
        <w:trPr>
          <w:trHeight w:val="232"/>
        </w:trPr>
        <w:tc>
          <w:tcPr>
            <w:tcW w:w="2955" w:type="pct"/>
          </w:tcPr>
          <w:p w14:paraId="18A485B2" w14:textId="77777777" w:rsidR="004E2F51" w:rsidRPr="004B4498" w:rsidRDefault="004E2F51" w:rsidP="00E032FC">
            <w:pPr>
              <w:pStyle w:val="Tot"/>
              <w:rPr>
                <w:rFonts w:cs="Arial"/>
                <w:b/>
                <w:bCs/>
                <w:color w:val="000000" w:themeColor="text1"/>
                <w:sz w:val="20"/>
                <w:lang w:val="hr-HR"/>
              </w:rPr>
            </w:pPr>
          </w:p>
        </w:tc>
        <w:tc>
          <w:tcPr>
            <w:tcW w:w="1022" w:type="pct"/>
            <w:tcBorders>
              <w:top w:val="single" w:sz="4" w:space="0" w:color="auto"/>
              <w:bottom w:val="single" w:sz="12" w:space="0" w:color="auto"/>
            </w:tcBorders>
            <w:vAlign w:val="bottom"/>
          </w:tcPr>
          <w:p w14:paraId="7AA9AC7E" w14:textId="77777777" w:rsidR="004E2F51" w:rsidRPr="004B4498" w:rsidRDefault="004E2F51" w:rsidP="00E032FC">
            <w:pPr>
              <w:pStyle w:val="Tot"/>
              <w:jc w:val="right"/>
              <w:rPr>
                <w:rFonts w:cs="Arial"/>
                <w:b/>
                <w:bCs/>
                <w:color w:val="000000" w:themeColor="text1"/>
                <w:sz w:val="20"/>
                <w:lang w:val="hr-HR"/>
              </w:rPr>
            </w:pPr>
            <w:r w:rsidRPr="00830FE5">
              <w:rPr>
                <w:rFonts w:cs="Arial"/>
                <w:b/>
                <w:bCs/>
                <w:color w:val="000000" w:themeColor="text1"/>
                <w:sz w:val="20"/>
                <w:lang w:val="hr-HR"/>
              </w:rPr>
              <w:t>3.252.879</w:t>
            </w:r>
          </w:p>
        </w:tc>
        <w:tc>
          <w:tcPr>
            <w:tcW w:w="1023" w:type="pct"/>
            <w:tcBorders>
              <w:top w:val="single" w:sz="4" w:space="0" w:color="auto"/>
              <w:bottom w:val="single" w:sz="12" w:space="0" w:color="auto"/>
            </w:tcBorders>
            <w:vAlign w:val="bottom"/>
          </w:tcPr>
          <w:p w14:paraId="5A4B4BC4" w14:textId="77777777" w:rsidR="004E2F51" w:rsidRPr="004B4498" w:rsidRDefault="004E2F51" w:rsidP="00E032FC">
            <w:pPr>
              <w:pStyle w:val="Tot"/>
              <w:jc w:val="right"/>
              <w:rPr>
                <w:rFonts w:cs="Arial"/>
                <w:b/>
                <w:bCs/>
                <w:color w:val="000000" w:themeColor="text1"/>
                <w:sz w:val="20"/>
                <w:lang w:val="hr-HR"/>
              </w:rPr>
            </w:pPr>
            <w:r w:rsidRPr="0046584E">
              <w:rPr>
                <w:rFonts w:cs="Arial"/>
                <w:b/>
                <w:bCs/>
                <w:color w:val="000000" w:themeColor="text1"/>
                <w:sz w:val="20"/>
                <w:lang w:val="hr-HR"/>
              </w:rPr>
              <w:t>4.255.020</w:t>
            </w:r>
          </w:p>
        </w:tc>
      </w:tr>
    </w:tbl>
    <w:p w14:paraId="321264BC"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p>
    <w:p w14:paraId="06AF4037"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Sljedeće tablice prikazuju informacije o kreditnoj kvaliteti garancija i preuzetih obveza. Za preuzete obveze po kreditima i ugovore o financijskim jamstvima, iznosi u tablici predstavljaju odobrene ili zajamčene iznose:</w:t>
      </w:r>
    </w:p>
    <w:p w14:paraId="0C3F2F23"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p>
    <w:tbl>
      <w:tblPr>
        <w:tblW w:w="9519" w:type="dxa"/>
        <w:tblLook w:val="04A0" w:firstRow="1" w:lastRow="0" w:firstColumn="1" w:lastColumn="0" w:noHBand="0" w:noVBand="1"/>
      </w:tblPr>
      <w:tblGrid>
        <w:gridCol w:w="2778"/>
        <w:gridCol w:w="1117"/>
        <w:gridCol w:w="1059"/>
        <w:gridCol w:w="1083"/>
        <w:gridCol w:w="1059"/>
        <w:gridCol w:w="1247"/>
        <w:gridCol w:w="1176"/>
      </w:tblGrid>
      <w:tr w:rsidR="004E2F51" w:rsidRPr="00F87C9B" w14:paraId="4C8A6554" w14:textId="77777777" w:rsidTr="00E032FC">
        <w:trPr>
          <w:trHeight w:val="355"/>
        </w:trPr>
        <w:tc>
          <w:tcPr>
            <w:tcW w:w="2778" w:type="dxa"/>
            <w:tcBorders>
              <w:top w:val="nil"/>
              <w:left w:val="nil"/>
              <w:bottom w:val="nil"/>
              <w:right w:val="nil"/>
            </w:tcBorders>
            <w:shd w:val="clear" w:color="auto" w:fill="auto"/>
            <w:noWrap/>
            <w:vAlign w:val="bottom"/>
            <w:hideMark/>
          </w:tcPr>
          <w:p w14:paraId="6F000B2F" w14:textId="77777777" w:rsidR="004E2F51" w:rsidRPr="004B4498" w:rsidRDefault="004E2F51" w:rsidP="00E032FC">
            <w:pPr>
              <w:rPr>
                <w:rFonts w:ascii="Arial" w:hAnsi="Arial" w:cs="Arial"/>
                <w:b/>
                <w:color w:val="000000" w:themeColor="text1"/>
                <w:sz w:val="18"/>
                <w:szCs w:val="18"/>
                <w:lang w:val="hr-HR"/>
              </w:rPr>
            </w:pPr>
            <w:r w:rsidRPr="004B4498">
              <w:rPr>
                <w:rFonts w:ascii="Arial" w:hAnsi="Arial" w:cs="Arial"/>
                <w:b/>
                <w:color w:val="000000" w:themeColor="text1"/>
                <w:sz w:val="18"/>
                <w:szCs w:val="18"/>
                <w:lang w:val="hr-HR"/>
              </w:rPr>
              <w:t xml:space="preserve">31. prosinca 2022.    </w:t>
            </w:r>
          </w:p>
        </w:tc>
        <w:tc>
          <w:tcPr>
            <w:tcW w:w="1117" w:type="dxa"/>
            <w:tcBorders>
              <w:top w:val="nil"/>
              <w:left w:val="nil"/>
              <w:bottom w:val="nil"/>
              <w:right w:val="nil"/>
            </w:tcBorders>
            <w:shd w:val="clear" w:color="auto" w:fill="auto"/>
            <w:noWrap/>
            <w:vAlign w:val="bottom"/>
            <w:hideMark/>
          </w:tcPr>
          <w:p w14:paraId="6FB9F020" w14:textId="77777777" w:rsidR="004E2F51" w:rsidRPr="004B4498" w:rsidRDefault="004E2F51" w:rsidP="00E032FC">
            <w:pPr>
              <w:rPr>
                <w:rFonts w:ascii="Arial" w:hAnsi="Arial" w:cs="Arial"/>
                <w:color w:val="000000" w:themeColor="text1"/>
                <w:sz w:val="18"/>
                <w:szCs w:val="18"/>
                <w:lang w:val="hr-HR"/>
              </w:rPr>
            </w:pPr>
          </w:p>
        </w:tc>
        <w:tc>
          <w:tcPr>
            <w:tcW w:w="1059" w:type="dxa"/>
            <w:tcBorders>
              <w:top w:val="nil"/>
              <w:left w:val="nil"/>
              <w:bottom w:val="nil"/>
              <w:right w:val="nil"/>
            </w:tcBorders>
            <w:shd w:val="clear" w:color="auto" w:fill="auto"/>
            <w:noWrap/>
            <w:vAlign w:val="bottom"/>
            <w:hideMark/>
          </w:tcPr>
          <w:p w14:paraId="4B3DE4C0" w14:textId="77777777" w:rsidR="004E2F51" w:rsidRPr="004B4498" w:rsidRDefault="004E2F51" w:rsidP="00E032FC">
            <w:pPr>
              <w:rPr>
                <w:rFonts w:ascii="Arial" w:hAnsi="Arial" w:cs="Arial"/>
                <w:color w:val="000000" w:themeColor="text1"/>
                <w:sz w:val="18"/>
                <w:szCs w:val="18"/>
                <w:lang w:val="hr-HR"/>
              </w:rPr>
            </w:pPr>
          </w:p>
        </w:tc>
        <w:tc>
          <w:tcPr>
            <w:tcW w:w="1083" w:type="dxa"/>
            <w:tcBorders>
              <w:top w:val="nil"/>
              <w:left w:val="nil"/>
              <w:bottom w:val="nil"/>
              <w:right w:val="nil"/>
            </w:tcBorders>
            <w:shd w:val="clear" w:color="auto" w:fill="auto"/>
            <w:noWrap/>
            <w:vAlign w:val="bottom"/>
            <w:hideMark/>
          </w:tcPr>
          <w:p w14:paraId="207D6D99" w14:textId="77777777" w:rsidR="004E2F51" w:rsidRPr="004B4498" w:rsidRDefault="004E2F51" w:rsidP="00E032FC">
            <w:pPr>
              <w:rPr>
                <w:rFonts w:ascii="Arial" w:hAnsi="Arial" w:cs="Arial"/>
                <w:color w:val="000000" w:themeColor="text1"/>
                <w:sz w:val="18"/>
                <w:szCs w:val="18"/>
                <w:lang w:val="hr-HR"/>
              </w:rPr>
            </w:pPr>
          </w:p>
        </w:tc>
        <w:tc>
          <w:tcPr>
            <w:tcW w:w="1059" w:type="dxa"/>
            <w:tcBorders>
              <w:top w:val="nil"/>
              <w:left w:val="nil"/>
              <w:bottom w:val="nil"/>
              <w:right w:val="nil"/>
            </w:tcBorders>
            <w:vAlign w:val="bottom"/>
          </w:tcPr>
          <w:p w14:paraId="06E243E1" w14:textId="77777777" w:rsidR="004E2F51" w:rsidRPr="004B4498" w:rsidRDefault="004E2F51" w:rsidP="00E032FC">
            <w:pPr>
              <w:jc w:val="right"/>
              <w:rPr>
                <w:rFonts w:ascii="Arial" w:hAnsi="Arial" w:cs="Arial"/>
                <w:b/>
                <w:bCs/>
                <w:color w:val="000000" w:themeColor="text1"/>
                <w:sz w:val="18"/>
                <w:szCs w:val="18"/>
                <w:lang w:val="hr-HR"/>
              </w:rPr>
            </w:pPr>
          </w:p>
        </w:tc>
        <w:tc>
          <w:tcPr>
            <w:tcW w:w="2421" w:type="dxa"/>
            <w:gridSpan w:val="2"/>
            <w:tcBorders>
              <w:top w:val="nil"/>
              <w:left w:val="nil"/>
              <w:bottom w:val="nil"/>
              <w:right w:val="nil"/>
            </w:tcBorders>
            <w:shd w:val="clear" w:color="auto" w:fill="auto"/>
            <w:noWrap/>
            <w:vAlign w:val="bottom"/>
            <w:hideMark/>
          </w:tcPr>
          <w:p w14:paraId="3152B22E"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Grupa i Banka</w:t>
            </w:r>
          </w:p>
        </w:tc>
      </w:tr>
      <w:tr w:rsidR="004E2F51" w:rsidRPr="00F87C9B" w14:paraId="3E84699B" w14:textId="77777777" w:rsidTr="00E032FC">
        <w:trPr>
          <w:trHeight w:val="280"/>
        </w:trPr>
        <w:tc>
          <w:tcPr>
            <w:tcW w:w="2778" w:type="dxa"/>
            <w:tcBorders>
              <w:top w:val="nil"/>
              <w:left w:val="nil"/>
              <w:bottom w:val="nil"/>
              <w:right w:val="nil"/>
            </w:tcBorders>
            <w:shd w:val="clear" w:color="auto" w:fill="auto"/>
            <w:vAlign w:val="bottom"/>
            <w:hideMark/>
          </w:tcPr>
          <w:p w14:paraId="745E2074" w14:textId="77777777" w:rsidR="004E2F51" w:rsidRPr="004B4498" w:rsidRDefault="004E2F51" w:rsidP="00E032FC">
            <w:pPr>
              <w:jc w:val="right"/>
              <w:rPr>
                <w:rFonts w:ascii="Arial" w:hAnsi="Arial" w:cs="Arial"/>
                <w:b/>
                <w:bCs/>
                <w:color w:val="000000" w:themeColor="text1"/>
                <w:sz w:val="18"/>
                <w:szCs w:val="18"/>
                <w:lang w:val="hr-HR"/>
              </w:rPr>
            </w:pPr>
          </w:p>
        </w:tc>
        <w:tc>
          <w:tcPr>
            <w:tcW w:w="1117" w:type="dxa"/>
            <w:tcBorders>
              <w:top w:val="nil"/>
              <w:left w:val="nil"/>
              <w:bottom w:val="nil"/>
              <w:right w:val="nil"/>
            </w:tcBorders>
            <w:shd w:val="clear" w:color="auto" w:fill="auto"/>
            <w:vAlign w:val="bottom"/>
            <w:hideMark/>
          </w:tcPr>
          <w:p w14:paraId="5A0FF348"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1</w:t>
            </w:r>
          </w:p>
        </w:tc>
        <w:tc>
          <w:tcPr>
            <w:tcW w:w="1059" w:type="dxa"/>
            <w:tcBorders>
              <w:top w:val="nil"/>
              <w:left w:val="nil"/>
              <w:bottom w:val="nil"/>
              <w:right w:val="nil"/>
            </w:tcBorders>
            <w:shd w:val="clear" w:color="auto" w:fill="auto"/>
            <w:vAlign w:val="bottom"/>
            <w:hideMark/>
          </w:tcPr>
          <w:p w14:paraId="30F4F5C9"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2</w:t>
            </w:r>
          </w:p>
        </w:tc>
        <w:tc>
          <w:tcPr>
            <w:tcW w:w="1083" w:type="dxa"/>
            <w:tcBorders>
              <w:top w:val="nil"/>
              <w:left w:val="nil"/>
              <w:bottom w:val="nil"/>
              <w:right w:val="nil"/>
            </w:tcBorders>
            <w:shd w:val="clear" w:color="auto" w:fill="auto"/>
            <w:vAlign w:val="bottom"/>
            <w:hideMark/>
          </w:tcPr>
          <w:p w14:paraId="4085F7B0"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3</w:t>
            </w:r>
          </w:p>
        </w:tc>
        <w:tc>
          <w:tcPr>
            <w:tcW w:w="1059" w:type="dxa"/>
            <w:tcBorders>
              <w:top w:val="nil"/>
              <w:left w:val="nil"/>
              <w:bottom w:val="nil"/>
              <w:right w:val="nil"/>
            </w:tcBorders>
            <w:shd w:val="clear" w:color="auto" w:fill="auto"/>
            <w:vAlign w:val="bottom"/>
            <w:hideMark/>
          </w:tcPr>
          <w:p w14:paraId="6E7BE257"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POCI</w:t>
            </w:r>
          </w:p>
        </w:tc>
        <w:tc>
          <w:tcPr>
            <w:tcW w:w="1247" w:type="dxa"/>
            <w:tcBorders>
              <w:top w:val="nil"/>
              <w:left w:val="nil"/>
              <w:bottom w:val="nil"/>
              <w:right w:val="nil"/>
            </w:tcBorders>
            <w:vAlign w:val="bottom"/>
          </w:tcPr>
          <w:p w14:paraId="21A727C8"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Bez Stupnja</w:t>
            </w:r>
          </w:p>
        </w:tc>
        <w:tc>
          <w:tcPr>
            <w:tcW w:w="1176" w:type="dxa"/>
            <w:tcBorders>
              <w:top w:val="nil"/>
              <w:left w:val="nil"/>
              <w:bottom w:val="nil"/>
              <w:right w:val="nil"/>
            </w:tcBorders>
            <w:shd w:val="clear" w:color="auto" w:fill="auto"/>
            <w:vAlign w:val="bottom"/>
            <w:hideMark/>
          </w:tcPr>
          <w:p w14:paraId="24ADE705"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Total</w:t>
            </w:r>
          </w:p>
        </w:tc>
      </w:tr>
      <w:tr w:rsidR="004E2F51" w:rsidRPr="00F87C9B" w14:paraId="1F3C1351" w14:textId="77777777" w:rsidTr="00E032FC">
        <w:trPr>
          <w:trHeight w:val="280"/>
        </w:trPr>
        <w:tc>
          <w:tcPr>
            <w:tcW w:w="2778" w:type="dxa"/>
            <w:tcBorders>
              <w:top w:val="nil"/>
              <w:left w:val="nil"/>
              <w:bottom w:val="nil"/>
              <w:right w:val="nil"/>
            </w:tcBorders>
            <w:shd w:val="clear" w:color="auto" w:fill="auto"/>
            <w:vAlign w:val="bottom"/>
          </w:tcPr>
          <w:p w14:paraId="78D44163" w14:textId="77777777" w:rsidR="004E2F51" w:rsidRPr="004B4498" w:rsidRDefault="004E2F51" w:rsidP="00E032FC">
            <w:pPr>
              <w:jc w:val="right"/>
              <w:rPr>
                <w:rFonts w:ascii="Arial" w:hAnsi="Arial" w:cs="Arial"/>
                <w:b/>
                <w:bCs/>
                <w:color w:val="000000" w:themeColor="text1"/>
                <w:sz w:val="18"/>
                <w:szCs w:val="18"/>
                <w:lang w:val="hr-HR"/>
              </w:rPr>
            </w:pPr>
          </w:p>
        </w:tc>
        <w:tc>
          <w:tcPr>
            <w:tcW w:w="1117" w:type="dxa"/>
            <w:tcBorders>
              <w:top w:val="nil"/>
              <w:left w:val="nil"/>
              <w:bottom w:val="nil"/>
              <w:right w:val="nil"/>
            </w:tcBorders>
            <w:shd w:val="clear" w:color="auto" w:fill="auto"/>
            <w:vAlign w:val="bottom"/>
          </w:tcPr>
          <w:p w14:paraId="01DD6A41"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c>
          <w:tcPr>
            <w:tcW w:w="1059" w:type="dxa"/>
            <w:tcBorders>
              <w:top w:val="nil"/>
              <w:left w:val="nil"/>
              <w:bottom w:val="nil"/>
              <w:right w:val="nil"/>
            </w:tcBorders>
            <w:shd w:val="clear" w:color="auto" w:fill="auto"/>
            <w:vAlign w:val="bottom"/>
          </w:tcPr>
          <w:p w14:paraId="2641F9AF"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c>
          <w:tcPr>
            <w:tcW w:w="1083" w:type="dxa"/>
            <w:tcBorders>
              <w:top w:val="nil"/>
              <w:left w:val="nil"/>
              <w:bottom w:val="nil"/>
              <w:right w:val="nil"/>
            </w:tcBorders>
            <w:shd w:val="clear" w:color="auto" w:fill="auto"/>
            <w:vAlign w:val="bottom"/>
          </w:tcPr>
          <w:p w14:paraId="4C147FA6"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c>
          <w:tcPr>
            <w:tcW w:w="1059" w:type="dxa"/>
            <w:tcBorders>
              <w:top w:val="nil"/>
              <w:left w:val="nil"/>
              <w:bottom w:val="nil"/>
              <w:right w:val="nil"/>
            </w:tcBorders>
            <w:shd w:val="clear" w:color="auto" w:fill="auto"/>
            <w:vAlign w:val="bottom"/>
          </w:tcPr>
          <w:p w14:paraId="4971E250"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c>
          <w:tcPr>
            <w:tcW w:w="1247" w:type="dxa"/>
            <w:tcBorders>
              <w:top w:val="nil"/>
              <w:left w:val="nil"/>
              <w:bottom w:val="nil"/>
              <w:right w:val="nil"/>
            </w:tcBorders>
            <w:vAlign w:val="bottom"/>
          </w:tcPr>
          <w:p w14:paraId="3103FD31"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c>
          <w:tcPr>
            <w:tcW w:w="1176" w:type="dxa"/>
            <w:tcBorders>
              <w:top w:val="nil"/>
              <w:left w:val="nil"/>
              <w:bottom w:val="nil"/>
              <w:right w:val="nil"/>
            </w:tcBorders>
            <w:shd w:val="clear" w:color="auto" w:fill="auto"/>
            <w:vAlign w:val="bottom"/>
          </w:tcPr>
          <w:p w14:paraId="01150A62"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r>
      <w:tr w:rsidR="004E2F51" w:rsidRPr="00F87C9B" w14:paraId="6D1DBCC0" w14:textId="77777777" w:rsidTr="00E032FC">
        <w:trPr>
          <w:trHeight w:hRule="exact" w:val="130"/>
        </w:trPr>
        <w:tc>
          <w:tcPr>
            <w:tcW w:w="2778" w:type="dxa"/>
            <w:tcBorders>
              <w:top w:val="nil"/>
              <w:left w:val="nil"/>
              <w:bottom w:val="nil"/>
              <w:right w:val="nil"/>
            </w:tcBorders>
            <w:shd w:val="clear" w:color="auto" w:fill="auto"/>
            <w:vAlign w:val="bottom"/>
            <w:hideMark/>
          </w:tcPr>
          <w:p w14:paraId="5EBDC95D" w14:textId="77777777" w:rsidR="004E2F51" w:rsidRPr="004B4498" w:rsidRDefault="004E2F51" w:rsidP="00E032FC">
            <w:pPr>
              <w:jc w:val="right"/>
              <w:rPr>
                <w:rFonts w:ascii="Arial" w:hAnsi="Arial" w:cs="Arial"/>
                <w:b/>
                <w:bCs/>
                <w:color w:val="000000" w:themeColor="text1"/>
                <w:sz w:val="18"/>
                <w:szCs w:val="18"/>
                <w:lang w:val="hr-HR"/>
              </w:rPr>
            </w:pPr>
          </w:p>
        </w:tc>
        <w:tc>
          <w:tcPr>
            <w:tcW w:w="1117" w:type="dxa"/>
            <w:tcBorders>
              <w:top w:val="nil"/>
              <w:left w:val="nil"/>
              <w:bottom w:val="nil"/>
              <w:right w:val="nil"/>
            </w:tcBorders>
            <w:shd w:val="clear" w:color="auto" w:fill="auto"/>
            <w:vAlign w:val="bottom"/>
            <w:hideMark/>
          </w:tcPr>
          <w:p w14:paraId="31E2F04E" w14:textId="77777777" w:rsidR="004E2F51" w:rsidRPr="004B4498" w:rsidRDefault="004E2F51" w:rsidP="00E032FC">
            <w:pPr>
              <w:rPr>
                <w:rFonts w:ascii="Arial" w:hAnsi="Arial" w:cs="Arial"/>
                <w:color w:val="000000" w:themeColor="text1"/>
                <w:sz w:val="18"/>
                <w:szCs w:val="18"/>
                <w:lang w:val="hr-HR"/>
              </w:rPr>
            </w:pPr>
          </w:p>
        </w:tc>
        <w:tc>
          <w:tcPr>
            <w:tcW w:w="1059" w:type="dxa"/>
            <w:tcBorders>
              <w:top w:val="nil"/>
              <w:left w:val="nil"/>
              <w:bottom w:val="nil"/>
              <w:right w:val="nil"/>
            </w:tcBorders>
            <w:shd w:val="clear" w:color="auto" w:fill="auto"/>
            <w:vAlign w:val="bottom"/>
            <w:hideMark/>
          </w:tcPr>
          <w:p w14:paraId="6A29B7B3" w14:textId="77777777" w:rsidR="004E2F51" w:rsidRPr="004B4498" w:rsidRDefault="004E2F51" w:rsidP="00E032FC">
            <w:pPr>
              <w:jc w:val="right"/>
              <w:rPr>
                <w:rFonts w:ascii="Arial" w:hAnsi="Arial" w:cs="Arial"/>
                <w:color w:val="000000" w:themeColor="text1"/>
                <w:sz w:val="18"/>
                <w:szCs w:val="18"/>
                <w:lang w:val="hr-HR"/>
              </w:rPr>
            </w:pPr>
          </w:p>
        </w:tc>
        <w:tc>
          <w:tcPr>
            <w:tcW w:w="1083" w:type="dxa"/>
            <w:tcBorders>
              <w:top w:val="nil"/>
              <w:left w:val="nil"/>
              <w:bottom w:val="nil"/>
              <w:right w:val="nil"/>
            </w:tcBorders>
            <w:shd w:val="clear" w:color="auto" w:fill="auto"/>
            <w:vAlign w:val="bottom"/>
            <w:hideMark/>
          </w:tcPr>
          <w:p w14:paraId="5D794649" w14:textId="77777777" w:rsidR="004E2F51" w:rsidRPr="004B4498" w:rsidRDefault="004E2F51" w:rsidP="00E032FC">
            <w:pPr>
              <w:jc w:val="right"/>
              <w:rPr>
                <w:rFonts w:ascii="Arial" w:hAnsi="Arial" w:cs="Arial"/>
                <w:color w:val="000000" w:themeColor="text1"/>
                <w:sz w:val="18"/>
                <w:szCs w:val="18"/>
                <w:lang w:val="hr-HR"/>
              </w:rPr>
            </w:pPr>
          </w:p>
        </w:tc>
        <w:tc>
          <w:tcPr>
            <w:tcW w:w="1059" w:type="dxa"/>
            <w:tcBorders>
              <w:top w:val="nil"/>
              <w:left w:val="nil"/>
              <w:bottom w:val="nil"/>
              <w:right w:val="nil"/>
            </w:tcBorders>
            <w:shd w:val="clear" w:color="auto" w:fill="auto"/>
            <w:vAlign w:val="bottom"/>
            <w:hideMark/>
          </w:tcPr>
          <w:p w14:paraId="108A4CD1" w14:textId="77777777" w:rsidR="004E2F51" w:rsidRPr="004B4498" w:rsidRDefault="004E2F51" w:rsidP="00E032FC">
            <w:pPr>
              <w:jc w:val="right"/>
              <w:rPr>
                <w:rFonts w:ascii="Arial" w:hAnsi="Arial" w:cs="Arial"/>
                <w:color w:val="000000" w:themeColor="text1"/>
                <w:sz w:val="18"/>
                <w:szCs w:val="18"/>
                <w:lang w:val="hr-HR"/>
              </w:rPr>
            </w:pPr>
          </w:p>
        </w:tc>
        <w:tc>
          <w:tcPr>
            <w:tcW w:w="1247" w:type="dxa"/>
            <w:tcBorders>
              <w:top w:val="nil"/>
              <w:left w:val="nil"/>
              <w:bottom w:val="nil"/>
              <w:right w:val="nil"/>
            </w:tcBorders>
            <w:vAlign w:val="bottom"/>
          </w:tcPr>
          <w:p w14:paraId="24B1AFCA" w14:textId="77777777" w:rsidR="004E2F51" w:rsidRPr="004B4498" w:rsidRDefault="004E2F51" w:rsidP="00E032FC">
            <w:pPr>
              <w:rPr>
                <w:rFonts w:ascii="Arial" w:hAnsi="Arial" w:cs="Arial"/>
                <w:color w:val="000000" w:themeColor="text1"/>
                <w:sz w:val="18"/>
                <w:szCs w:val="18"/>
                <w:lang w:val="hr-HR"/>
              </w:rPr>
            </w:pPr>
          </w:p>
        </w:tc>
        <w:tc>
          <w:tcPr>
            <w:tcW w:w="1176" w:type="dxa"/>
            <w:tcBorders>
              <w:top w:val="nil"/>
              <w:left w:val="nil"/>
              <w:bottom w:val="nil"/>
              <w:right w:val="nil"/>
            </w:tcBorders>
            <w:shd w:val="clear" w:color="auto" w:fill="auto"/>
            <w:vAlign w:val="bottom"/>
            <w:hideMark/>
          </w:tcPr>
          <w:p w14:paraId="4FB1A542" w14:textId="77777777" w:rsidR="004E2F51" w:rsidRPr="004B4498" w:rsidRDefault="004E2F51" w:rsidP="00E032FC">
            <w:pPr>
              <w:jc w:val="right"/>
              <w:rPr>
                <w:rFonts w:ascii="Arial" w:hAnsi="Arial" w:cs="Arial"/>
                <w:color w:val="000000" w:themeColor="text1"/>
                <w:sz w:val="18"/>
                <w:szCs w:val="18"/>
                <w:lang w:val="hr-HR"/>
              </w:rPr>
            </w:pPr>
          </w:p>
        </w:tc>
      </w:tr>
      <w:tr w:rsidR="004E2F51" w:rsidRPr="00F87C9B" w14:paraId="65AA5476" w14:textId="77777777" w:rsidTr="00E032FC">
        <w:trPr>
          <w:trHeight w:val="327"/>
        </w:trPr>
        <w:tc>
          <w:tcPr>
            <w:tcW w:w="2778" w:type="dxa"/>
            <w:tcBorders>
              <w:top w:val="nil"/>
              <w:left w:val="nil"/>
              <w:bottom w:val="nil"/>
              <w:right w:val="nil"/>
            </w:tcBorders>
            <w:shd w:val="clear" w:color="auto" w:fill="auto"/>
            <w:noWrap/>
            <w:vAlign w:val="bottom"/>
            <w:hideMark/>
          </w:tcPr>
          <w:p w14:paraId="28DF018B" w14:textId="77777777" w:rsidR="004E2F51" w:rsidRPr="004B4498" w:rsidRDefault="004E2F51" w:rsidP="00E032FC">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Bruto iznos</w:t>
            </w:r>
          </w:p>
        </w:tc>
        <w:tc>
          <w:tcPr>
            <w:tcW w:w="1117" w:type="dxa"/>
            <w:tcBorders>
              <w:top w:val="nil"/>
              <w:left w:val="nil"/>
              <w:bottom w:val="nil"/>
              <w:right w:val="nil"/>
            </w:tcBorders>
            <w:shd w:val="clear" w:color="auto" w:fill="auto"/>
            <w:noWrap/>
            <w:vAlign w:val="bottom"/>
          </w:tcPr>
          <w:p w14:paraId="0E4B0BA3" w14:textId="77777777" w:rsidR="004E2F51" w:rsidRPr="00830FE5" w:rsidRDefault="004E2F51" w:rsidP="00E032FC">
            <w:pPr>
              <w:jc w:val="right"/>
              <w:rPr>
                <w:rFonts w:ascii="Arial" w:hAnsi="Arial" w:cs="Arial"/>
                <w:sz w:val="18"/>
                <w:szCs w:val="18"/>
              </w:rPr>
            </w:pPr>
            <w:r w:rsidRPr="00830FE5">
              <w:rPr>
                <w:rFonts w:ascii="Arial" w:hAnsi="Arial" w:cs="Arial"/>
                <w:sz w:val="18"/>
                <w:szCs w:val="18"/>
              </w:rPr>
              <w:t xml:space="preserve"> 2.580.439 </w:t>
            </w:r>
          </w:p>
        </w:tc>
        <w:tc>
          <w:tcPr>
            <w:tcW w:w="1059" w:type="dxa"/>
            <w:tcBorders>
              <w:top w:val="nil"/>
              <w:left w:val="nil"/>
              <w:bottom w:val="nil"/>
              <w:right w:val="nil"/>
            </w:tcBorders>
            <w:shd w:val="clear" w:color="auto" w:fill="auto"/>
            <w:noWrap/>
            <w:vAlign w:val="bottom"/>
          </w:tcPr>
          <w:p w14:paraId="700A3365" w14:textId="77777777" w:rsidR="004E2F51" w:rsidRPr="00830FE5" w:rsidRDefault="004E2F51" w:rsidP="00E032FC">
            <w:pPr>
              <w:jc w:val="right"/>
              <w:rPr>
                <w:rFonts w:ascii="Arial" w:hAnsi="Arial" w:cs="Arial"/>
                <w:sz w:val="18"/>
                <w:szCs w:val="18"/>
              </w:rPr>
            </w:pPr>
            <w:r w:rsidRPr="00830FE5">
              <w:rPr>
                <w:rFonts w:ascii="Arial" w:hAnsi="Arial" w:cs="Arial"/>
                <w:sz w:val="18"/>
                <w:szCs w:val="18"/>
              </w:rPr>
              <w:t xml:space="preserve"> 89.319 </w:t>
            </w:r>
          </w:p>
        </w:tc>
        <w:tc>
          <w:tcPr>
            <w:tcW w:w="1083" w:type="dxa"/>
            <w:tcBorders>
              <w:top w:val="nil"/>
              <w:left w:val="nil"/>
              <w:bottom w:val="nil"/>
              <w:right w:val="nil"/>
            </w:tcBorders>
            <w:shd w:val="clear" w:color="auto" w:fill="auto"/>
            <w:noWrap/>
            <w:vAlign w:val="bottom"/>
          </w:tcPr>
          <w:p w14:paraId="526298F6" w14:textId="77777777" w:rsidR="004E2F51" w:rsidRPr="00830FE5" w:rsidRDefault="004E2F51" w:rsidP="00E032FC">
            <w:pPr>
              <w:jc w:val="right"/>
              <w:rPr>
                <w:rFonts w:ascii="Arial" w:hAnsi="Arial" w:cs="Arial"/>
                <w:sz w:val="18"/>
                <w:szCs w:val="18"/>
              </w:rPr>
            </w:pPr>
            <w:r w:rsidRPr="00830FE5">
              <w:rPr>
                <w:rFonts w:ascii="Arial" w:hAnsi="Arial" w:cs="Arial"/>
                <w:sz w:val="18"/>
                <w:szCs w:val="18"/>
              </w:rPr>
              <w:t xml:space="preserve"> 179.389 </w:t>
            </w:r>
          </w:p>
        </w:tc>
        <w:tc>
          <w:tcPr>
            <w:tcW w:w="1059" w:type="dxa"/>
            <w:tcBorders>
              <w:top w:val="nil"/>
              <w:left w:val="nil"/>
              <w:bottom w:val="nil"/>
              <w:right w:val="nil"/>
            </w:tcBorders>
            <w:shd w:val="clear" w:color="auto" w:fill="auto"/>
            <w:noWrap/>
            <w:vAlign w:val="bottom"/>
          </w:tcPr>
          <w:p w14:paraId="2B92E52B" w14:textId="77777777" w:rsidR="004E2F51" w:rsidRPr="00830FE5" w:rsidRDefault="004E2F51" w:rsidP="00E032FC">
            <w:pPr>
              <w:jc w:val="right"/>
              <w:rPr>
                <w:rFonts w:ascii="Arial" w:hAnsi="Arial" w:cs="Arial"/>
                <w:sz w:val="18"/>
                <w:szCs w:val="18"/>
              </w:rPr>
            </w:pPr>
            <w:r w:rsidRPr="00830FE5">
              <w:rPr>
                <w:rFonts w:ascii="Arial" w:hAnsi="Arial" w:cs="Arial"/>
                <w:sz w:val="18"/>
                <w:szCs w:val="18"/>
              </w:rPr>
              <w:t xml:space="preserve"> 128.496 </w:t>
            </w:r>
          </w:p>
        </w:tc>
        <w:tc>
          <w:tcPr>
            <w:tcW w:w="1247" w:type="dxa"/>
            <w:tcBorders>
              <w:top w:val="nil"/>
              <w:left w:val="nil"/>
              <w:bottom w:val="nil"/>
              <w:right w:val="nil"/>
            </w:tcBorders>
            <w:vAlign w:val="bottom"/>
          </w:tcPr>
          <w:p w14:paraId="3D6E6742" w14:textId="77777777" w:rsidR="004E2F51" w:rsidRPr="00830FE5" w:rsidRDefault="004E2F51" w:rsidP="00E032FC">
            <w:pPr>
              <w:jc w:val="right"/>
              <w:rPr>
                <w:rFonts w:ascii="Arial" w:hAnsi="Arial" w:cs="Arial"/>
                <w:sz w:val="18"/>
                <w:szCs w:val="18"/>
              </w:rPr>
            </w:pPr>
            <w:r w:rsidRPr="00830FE5">
              <w:rPr>
                <w:rFonts w:ascii="Arial" w:hAnsi="Arial" w:cs="Arial"/>
                <w:sz w:val="18"/>
                <w:szCs w:val="18"/>
              </w:rPr>
              <w:t xml:space="preserve"> 1.243 </w:t>
            </w:r>
          </w:p>
        </w:tc>
        <w:tc>
          <w:tcPr>
            <w:tcW w:w="1176" w:type="dxa"/>
            <w:tcBorders>
              <w:top w:val="nil"/>
              <w:left w:val="nil"/>
              <w:bottom w:val="nil"/>
              <w:right w:val="nil"/>
            </w:tcBorders>
            <w:shd w:val="clear" w:color="auto" w:fill="auto"/>
            <w:noWrap/>
            <w:vAlign w:val="bottom"/>
          </w:tcPr>
          <w:p w14:paraId="4F7C1123" w14:textId="77777777" w:rsidR="004E2F51" w:rsidRPr="000917A4" w:rsidRDefault="004E2F51" w:rsidP="00E032FC">
            <w:pPr>
              <w:jc w:val="right"/>
              <w:rPr>
                <w:rFonts w:ascii="Arial" w:hAnsi="Arial" w:cs="Arial"/>
                <w:b/>
                <w:bCs/>
                <w:sz w:val="18"/>
                <w:szCs w:val="18"/>
              </w:rPr>
            </w:pPr>
            <w:r w:rsidRPr="000917A4">
              <w:rPr>
                <w:rFonts w:ascii="Arial" w:hAnsi="Arial" w:cs="Arial"/>
                <w:b/>
                <w:bCs/>
                <w:sz w:val="18"/>
                <w:szCs w:val="18"/>
              </w:rPr>
              <w:t xml:space="preserve"> 2.978.886 </w:t>
            </w:r>
          </w:p>
        </w:tc>
      </w:tr>
      <w:tr w:rsidR="004E2F51" w:rsidRPr="00F87C9B" w14:paraId="5964F47F" w14:textId="77777777" w:rsidTr="00E032FC">
        <w:trPr>
          <w:trHeight w:val="337"/>
        </w:trPr>
        <w:tc>
          <w:tcPr>
            <w:tcW w:w="2778" w:type="dxa"/>
            <w:tcBorders>
              <w:top w:val="nil"/>
              <w:left w:val="nil"/>
              <w:bottom w:val="nil"/>
              <w:right w:val="nil"/>
            </w:tcBorders>
            <w:shd w:val="clear" w:color="auto" w:fill="auto"/>
            <w:noWrap/>
            <w:vAlign w:val="bottom"/>
            <w:hideMark/>
          </w:tcPr>
          <w:p w14:paraId="52773085" w14:textId="77777777" w:rsidR="004E2F51" w:rsidRPr="004B4498" w:rsidRDefault="004E2F51" w:rsidP="00E032FC">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Rezerviranja</w:t>
            </w:r>
          </w:p>
        </w:tc>
        <w:tc>
          <w:tcPr>
            <w:tcW w:w="1117" w:type="dxa"/>
            <w:tcBorders>
              <w:top w:val="nil"/>
              <w:left w:val="nil"/>
              <w:bottom w:val="nil"/>
              <w:right w:val="nil"/>
            </w:tcBorders>
            <w:shd w:val="clear" w:color="auto" w:fill="auto"/>
            <w:noWrap/>
            <w:vAlign w:val="bottom"/>
          </w:tcPr>
          <w:p w14:paraId="418D4F9C" w14:textId="77777777" w:rsidR="004E2F51" w:rsidRPr="00830FE5" w:rsidRDefault="004E2F51" w:rsidP="00E032FC">
            <w:pPr>
              <w:jc w:val="right"/>
              <w:rPr>
                <w:rFonts w:ascii="Arial" w:hAnsi="Arial" w:cs="Arial"/>
                <w:sz w:val="18"/>
                <w:szCs w:val="18"/>
              </w:rPr>
            </w:pPr>
            <w:r w:rsidRPr="00830FE5">
              <w:rPr>
                <w:rFonts w:ascii="Arial" w:hAnsi="Arial" w:cs="Arial"/>
                <w:sz w:val="18"/>
                <w:szCs w:val="18"/>
              </w:rPr>
              <w:t xml:space="preserve"> (10.456)</w:t>
            </w:r>
          </w:p>
        </w:tc>
        <w:tc>
          <w:tcPr>
            <w:tcW w:w="1059" w:type="dxa"/>
            <w:tcBorders>
              <w:top w:val="nil"/>
              <w:left w:val="nil"/>
              <w:bottom w:val="nil"/>
              <w:right w:val="nil"/>
            </w:tcBorders>
            <w:shd w:val="clear" w:color="auto" w:fill="auto"/>
            <w:noWrap/>
            <w:vAlign w:val="bottom"/>
          </w:tcPr>
          <w:p w14:paraId="6533DFB9" w14:textId="77777777" w:rsidR="004E2F51" w:rsidRPr="00830FE5" w:rsidRDefault="004E2F51" w:rsidP="00E032FC">
            <w:pPr>
              <w:jc w:val="right"/>
              <w:rPr>
                <w:rFonts w:ascii="Arial" w:hAnsi="Arial" w:cs="Arial"/>
                <w:sz w:val="18"/>
                <w:szCs w:val="18"/>
              </w:rPr>
            </w:pPr>
            <w:r w:rsidRPr="00830FE5">
              <w:rPr>
                <w:rFonts w:ascii="Arial" w:hAnsi="Arial" w:cs="Arial"/>
                <w:sz w:val="18"/>
                <w:szCs w:val="18"/>
              </w:rPr>
              <w:t xml:space="preserve"> (12.581)</w:t>
            </w:r>
          </w:p>
        </w:tc>
        <w:tc>
          <w:tcPr>
            <w:tcW w:w="1083" w:type="dxa"/>
            <w:tcBorders>
              <w:top w:val="nil"/>
              <w:left w:val="nil"/>
              <w:bottom w:val="nil"/>
              <w:right w:val="nil"/>
            </w:tcBorders>
            <w:shd w:val="clear" w:color="auto" w:fill="auto"/>
            <w:noWrap/>
            <w:vAlign w:val="bottom"/>
          </w:tcPr>
          <w:p w14:paraId="121AA410" w14:textId="77777777" w:rsidR="004E2F51" w:rsidRPr="00830FE5" w:rsidRDefault="004E2F51" w:rsidP="00E032FC">
            <w:pPr>
              <w:jc w:val="right"/>
              <w:rPr>
                <w:rFonts w:ascii="Arial" w:hAnsi="Arial" w:cs="Arial"/>
                <w:sz w:val="18"/>
                <w:szCs w:val="18"/>
              </w:rPr>
            </w:pPr>
            <w:r w:rsidRPr="00830FE5">
              <w:rPr>
                <w:rFonts w:ascii="Arial" w:hAnsi="Arial" w:cs="Arial"/>
                <w:sz w:val="18"/>
                <w:szCs w:val="18"/>
              </w:rPr>
              <w:t xml:space="preserve"> (53.440)</w:t>
            </w:r>
          </w:p>
        </w:tc>
        <w:tc>
          <w:tcPr>
            <w:tcW w:w="1059" w:type="dxa"/>
            <w:tcBorders>
              <w:top w:val="nil"/>
              <w:left w:val="nil"/>
              <w:bottom w:val="nil"/>
              <w:right w:val="nil"/>
            </w:tcBorders>
            <w:shd w:val="clear" w:color="auto" w:fill="auto"/>
            <w:noWrap/>
            <w:vAlign w:val="bottom"/>
          </w:tcPr>
          <w:p w14:paraId="2314A3D9" w14:textId="77777777" w:rsidR="004E2F51" w:rsidRPr="00830FE5" w:rsidRDefault="004E2F51" w:rsidP="00E032FC">
            <w:pPr>
              <w:jc w:val="right"/>
              <w:rPr>
                <w:rFonts w:ascii="Arial" w:hAnsi="Arial" w:cs="Arial"/>
                <w:sz w:val="18"/>
                <w:szCs w:val="18"/>
              </w:rPr>
            </w:pPr>
            <w:r w:rsidRPr="00830FE5">
              <w:rPr>
                <w:rFonts w:ascii="Arial" w:hAnsi="Arial" w:cs="Arial"/>
                <w:sz w:val="18"/>
                <w:szCs w:val="18"/>
              </w:rPr>
              <w:t xml:space="preserve"> (4.249)</w:t>
            </w:r>
          </w:p>
        </w:tc>
        <w:tc>
          <w:tcPr>
            <w:tcW w:w="1247" w:type="dxa"/>
            <w:tcBorders>
              <w:top w:val="nil"/>
              <w:left w:val="nil"/>
              <w:bottom w:val="nil"/>
              <w:right w:val="nil"/>
            </w:tcBorders>
            <w:vAlign w:val="bottom"/>
          </w:tcPr>
          <w:p w14:paraId="69DE91D9" w14:textId="77777777" w:rsidR="004E2F51" w:rsidRPr="00830FE5" w:rsidRDefault="004E2F51" w:rsidP="00E032FC">
            <w:pPr>
              <w:jc w:val="right"/>
              <w:rPr>
                <w:rFonts w:ascii="Arial" w:hAnsi="Arial" w:cs="Arial"/>
                <w:sz w:val="18"/>
                <w:szCs w:val="18"/>
              </w:rPr>
            </w:pPr>
            <w:r w:rsidRPr="00830FE5">
              <w:rPr>
                <w:rFonts w:ascii="Arial" w:hAnsi="Arial" w:cs="Arial"/>
                <w:sz w:val="18"/>
                <w:szCs w:val="18"/>
              </w:rPr>
              <w:t xml:space="preserve"> -    </w:t>
            </w:r>
          </w:p>
        </w:tc>
        <w:tc>
          <w:tcPr>
            <w:tcW w:w="1176" w:type="dxa"/>
            <w:tcBorders>
              <w:top w:val="nil"/>
              <w:left w:val="nil"/>
              <w:bottom w:val="nil"/>
              <w:right w:val="nil"/>
            </w:tcBorders>
            <w:shd w:val="clear" w:color="auto" w:fill="auto"/>
            <w:noWrap/>
            <w:vAlign w:val="bottom"/>
          </w:tcPr>
          <w:p w14:paraId="1A8E1FC1" w14:textId="77777777" w:rsidR="004E2F51" w:rsidRPr="000917A4" w:rsidRDefault="004E2F51" w:rsidP="00E032FC">
            <w:pPr>
              <w:jc w:val="right"/>
              <w:rPr>
                <w:rFonts w:ascii="Arial" w:hAnsi="Arial" w:cs="Arial"/>
                <w:b/>
                <w:bCs/>
                <w:sz w:val="18"/>
                <w:szCs w:val="18"/>
              </w:rPr>
            </w:pPr>
            <w:r w:rsidRPr="000917A4">
              <w:rPr>
                <w:rFonts w:ascii="Arial" w:hAnsi="Arial" w:cs="Arial"/>
                <w:b/>
                <w:bCs/>
                <w:sz w:val="18"/>
                <w:szCs w:val="18"/>
              </w:rPr>
              <w:t xml:space="preserve"> (80.726)</w:t>
            </w:r>
          </w:p>
        </w:tc>
      </w:tr>
      <w:tr w:rsidR="004E2F51" w:rsidRPr="00F87C9B" w14:paraId="4A41C8EF" w14:textId="77777777" w:rsidTr="00E032FC">
        <w:trPr>
          <w:trHeight w:val="355"/>
        </w:trPr>
        <w:tc>
          <w:tcPr>
            <w:tcW w:w="2778" w:type="dxa"/>
            <w:tcBorders>
              <w:top w:val="nil"/>
              <w:left w:val="nil"/>
              <w:bottom w:val="nil"/>
              <w:right w:val="nil"/>
            </w:tcBorders>
            <w:shd w:val="clear" w:color="auto" w:fill="auto"/>
            <w:noWrap/>
            <w:vAlign w:val="bottom"/>
            <w:hideMark/>
          </w:tcPr>
          <w:p w14:paraId="11048D9F" w14:textId="77777777" w:rsidR="004E2F51" w:rsidRPr="004B4498" w:rsidRDefault="004E2F51" w:rsidP="00E032FC">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Stanje na dan </w:t>
            </w:r>
          </w:p>
          <w:p w14:paraId="76B9CC4C" w14:textId="77777777" w:rsidR="004E2F51" w:rsidRPr="004B4498" w:rsidRDefault="004E2F51" w:rsidP="00E032FC">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31. prosinca 2022.    </w:t>
            </w:r>
          </w:p>
        </w:tc>
        <w:tc>
          <w:tcPr>
            <w:tcW w:w="1117" w:type="dxa"/>
            <w:tcBorders>
              <w:top w:val="single" w:sz="4" w:space="0" w:color="auto"/>
              <w:left w:val="nil"/>
              <w:bottom w:val="single" w:sz="8" w:space="0" w:color="auto"/>
              <w:right w:val="nil"/>
            </w:tcBorders>
            <w:shd w:val="clear" w:color="auto" w:fill="auto"/>
            <w:vAlign w:val="bottom"/>
          </w:tcPr>
          <w:p w14:paraId="50DF8103" w14:textId="77777777" w:rsidR="004E2F51" w:rsidRPr="004B4498" w:rsidRDefault="004E2F51" w:rsidP="00E032FC">
            <w:pPr>
              <w:jc w:val="right"/>
              <w:rPr>
                <w:rFonts w:ascii="Arial" w:hAnsi="Arial" w:cs="Arial"/>
                <w:b/>
                <w:bCs/>
                <w:sz w:val="18"/>
                <w:szCs w:val="18"/>
              </w:rPr>
            </w:pPr>
            <w:r w:rsidRPr="00830FE5">
              <w:rPr>
                <w:rFonts w:ascii="Arial" w:hAnsi="Arial" w:cs="Arial"/>
                <w:b/>
                <w:bCs/>
                <w:sz w:val="18"/>
                <w:szCs w:val="18"/>
              </w:rPr>
              <w:t xml:space="preserve"> 2.569.983 </w:t>
            </w:r>
          </w:p>
        </w:tc>
        <w:tc>
          <w:tcPr>
            <w:tcW w:w="1059" w:type="dxa"/>
            <w:tcBorders>
              <w:top w:val="single" w:sz="4" w:space="0" w:color="auto"/>
              <w:left w:val="nil"/>
              <w:bottom w:val="single" w:sz="8" w:space="0" w:color="auto"/>
              <w:right w:val="nil"/>
            </w:tcBorders>
            <w:shd w:val="clear" w:color="auto" w:fill="auto"/>
            <w:vAlign w:val="bottom"/>
          </w:tcPr>
          <w:p w14:paraId="29651E3E" w14:textId="77777777" w:rsidR="004E2F51" w:rsidRPr="004B4498" w:rsidRDefault="004E2F51" w:rsidP="00E032FC">
            <w:pPr>
              <w:jc w:val="right"/>
              <w:rPr>
                <w:rFonts w:ascii="Arial" w:hAnsi="Arial" w:cs="Arial"/>
                <w:b/>
                <w:bCs/>
                <w:sz w:val="18"/>
                <w:szCs w:val="18"/>
              </w:rPr>
            </w:pPr>
            <w:r w:rsidRPr="00830FE5">
              <w:rPr>
                <w:rFonts w:ascii="Arial" w:hAnsi="Arial" w:cs="Arial"/>
                <w:b/>
                <w:bCs/>
                <w:sz w:val="18"/>
                <w:szCs w:val="18"/>
              </w:rPr>
              <w:t xml:space="preserve"> 76.738 </w:t>
            </w:r>
          </w:p>
        </w:tc>
        <w:tc>
          <w:tcPr>
            <w:tcW w:w="1083" w:type="dxa"/>
            <w:tcBorders>
              <w:top w:val="single" w:sz="4" w:space="0" w:color="auto"/>
              <w:left w:val="nil"/>
              <w:bottom w:val="single" w:sz="8" w:space="0" w:color="auto"/>
              <w:right w:val="nil"/>
            </w:tcBorders>
            <w:shd w:val="clear" w:color="auto" w:fill="auto"/>
            <w:vAlign w:val="bottom"/>
          </w:tcPr>
          <w:p w14:paraId="2745F54F" w14:textId="77777777" w:rsidR="004E2F51" w:rsidRPr="004B4498" w:rsidRDefault="004E2F51" w:rsidP="00E032FC">
            <w:pPr>
              <w:jc w:val="right"/>
              <w:rPr>
                <w:rFonts w:ascii="Arial" w:hAnsi="Arial" w:cs="Arial"/>
                <w:b/>
                <w:bCs/>
                <w:sz w:val="18"/>
                <w:szCs w:val="18"/>
              </w:rPr>
            </w:pPr>
            <w:r w:rsidRPr="00830FE5">
              <w:rPr>
                <w:rFonts w:ascii="Arial" w:hAnsi="Arial" w:cs="Arial"/>
                <w:b/>
                <w:bCs/>
                <w:sz w:val="18"/>
                <w:szCs w:val="18"/>
              </w:rPr>
              <w:t xml:space="preserve"> 125.949 </w:t>
            </w:r>
          </w:p>
        </w:tc>
        <w:tc>
          <w:tcPr>
            <w:tcW w:w="1059" w:type="dxa"/>
            <w:tcBorders>
              <w:top w:val="single" w:sz="4" w:space="0" w:color="auto"/>
              <w:left w:val="nil"/>
              <w:bottom w:val="single" w:sz="8" w:space="0" w:color="auto"/>
              <w:right w:val="nil"/>
            </w:tcBorders>
            <w:shd w:val="clear" w:color="auto" w:fill="auto"/>
            <w:vAlign w:val="bottom"/>
          </w:tcPr>
          <w:p w14:paraId="41E0A7CC" w14:textId="77777777" w:rsidR="004E2F51" w:rsidRPr="004B4498" w:rsidRDefault="004E2F51" w:rsidP="00E032FC">
            <w:pPr>
              <w:jc w:val="right"/>
              <w:rPr>
                <w:rFonts w:ascii="Arial" w:hAnsi="Arial" w:cs="Arial"/>
                <w:b/>
                <w:bCs/>
                <w:sz w:val="18"/>
                <w:szCs w:val="18"/>
              </w:rPr>
            </w:pPr>
            <w:r w:rsidRPr="00830FE5">
              <w:rPr>
                <w:rFonts w:ascii="Arial" w:hAnsi="Arial" w:cs="Arial"/>
                <w:b/>
                <w:bCs/>
                <w:sz w:val="18"/>
                <w:szCs w:val="18"/>
              </w:rPr>
              <w:t xml:space="preserve"> 124.247 </w:t>
            </w:r>
          </w:p>
        </w:tc>
        <w:tc>
          <w:tcPr>
            <w:tcW w:w="1247" w:type="dxa"/>
            <w:tcBorders>
              <w:top w:val="single" w:sz="4" w:space="0" w:color="auto"/>
              <w:left w:val="nil"/>
              <w:bottom w:val="single" w:sz="8" w:space="0" w:color="auto"/>
              <w:right w:val="nil"/>
            </w:tcBorders>
            <w:vAlign w:val="bottom"/>
          </w:tcPr>
          <w:p w14:paraId="62921D9D" w14:textId="77777777" w:rsidR="004E2F51" w:rsidRPr="004B4498" w:rsidRDefault="004E2F51" w:rsidP="00E032FC">
            <w:pPr>
              <w:jc w:val="right"/>
              <w:rPr>
                <w:rFonts w:ascii="Arial" w:hAnsi="Arial" w:cs="Arial"/>
                <w:b/>
                <w:bCs/>
                <w:sz w:val="18"/>
                <w:szCs w:val="18"/>
              </w:rPr>
            </w:pPr>
            <w:r w:rsidRPr="00830FE5">
              <w:rPr>
                <w:rFonts w:ascii="Arial" w:hAnsi="Arial" w:cs="Arial"/>
                <w:b/>
                <w:bCs/>
                <w:sz w:val="18"/>
                <w:szCs w:val="18"/>
              </w:rPr>
              <w:t xml:space="preserve"> 1.243 </w:t>
            </w:r>
          </w:p>
        </w:tc>
        <w:tc>
          <w:tcPr>
            <w:tcW w:w="1176" w:type="dxa"/>
            <w:tcBorders>
              <w:top w:val="single" w:sz="4" w:space="0" w:color="auto"/>
              <w:left w:val="nil"/>
              <w:bottom w:val="single" w:sz="8" w:space="0" w:color="auto"/>
              <w:right w:val="nil"/>
            </w:tcBorders>
            <w:shd w:val="clear" w:color="auto" w:fill="auto"/>
            <w:vAlign w:val="bottom"/>
          </w:tcPr>
          <w:p w14:paraId="1A870E71" w14:textId="77777777" w:rsidR="004E2F51" w:rsidRPr="004B4498" w:rsidRDefault="004E2F51" w:rsidP="00E032FC">
            <w:pPr>
              <w:jc w:val="right"/>
              <w:rPr>
                <w:rFonts w:ascii="Arial" w:hAnsi="Arial" w:cs="Arial"/>
                <w:b/>
                <w:bCs/>
                <w:sz w:val="18"/>
                <w:szCs w:val="18"/>
              </w:rPr>
            </w:pPr>
            <w:r w:rsidRPr="00830FE5">
              <w:rPr>
                <w:rFonts w:ascii="Arial" w:hAnsi="Arial" w:cs="Arial"/>
                <w:b/>
                <w:bCs/>
                <w:sz w:val="18"/>
                <w:szCs w:val="18"/>
              </w:rPr>
              <w:t xml:space="preserve"> 2.898.160 </w:t>
            </w:r>
          </w:p>
        </w:tc>
      </w:tr>
    </w:tbl>
    <w:p w14:paraId="58C66864"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p>
    <w:p w14:paraId="4E9FAFED"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p>
    <w:tbl>
      <w:tblPr>
        <w:tblW w:w="9515" w:type="dxa"/>
        <w:tblLook w:val="04A0" w:firstRow="1" w:lastRow="0" w:firstColumn="1" w:lastColumn="0" w:noHBand="0" w:noVBand="1"/>
      </w:tblPr>
      <w:tblGrid>
        <w:gridCol w:w="2778"/>
        <w:gridCol w:w="1115"/>
        <w:gridCol w:w="1059"/>
        <w:gridCol w:w="1083"/>
        <w:gridCol w:w="1059"/>
        <w:gridCol w:w="1247"/>
        <w:gridCol w:w="1174"/>
      </w:tblGrid>
      <w:tr w:rsidR="004E2F51" w:rsidRPr="00F87C9B" w14:paraId="084CFB02" w14:textId="77777777" w:rsidTr="00E032FC">
        <w:trPr>
          <w:trHeight w:val="355"/>
        </w:trPr>
        <w:tc>
          <w:tcPr>
            <w:tcW w:w="2778" w:type="dxa"/>
            <w:tcBorders>
              <w:top w:val="nil"/>
              <w:left w:val="nil"/>
              <w:bottom w:val="nil"/>
              <w:right w:val="nil"/>
            </w:tcBorders>
            <w:shd w:val="clear" w:color="auto" w:fill="auto"/>
            <w:noWrap/>
            <w:vAlign w:val="bottom"/>
            <w:hideMark/>
          </w:tcPr>
          <w:p w14:paraId="5F2CEAA4" w14:textId="77777777" w:rsidR="004E2F51" w:rsidRPr="004B4498" w:rsidRDefault="004E2F51" w:rsidP="00E032FC">
            <w:pPr>
              <w:rPr>
                <w:rFonts w:ascii="Arial" w:hAnsi="Arial" w:cs="Arial"/>
                <w:b/>
                <w:color w:val="000000" w:themeColor="text1"/>
                <w:sz w:val="18"/>
                <w:szCs w:val="18"/>
                <w:lang w:val="hr-HR"/>
              </w:rPr>
            </w:pPr>
            <w:r w:rsidRPr="004B4498">
              <w:rPr>
                <w:rFonts w:ascii="Arial" w:hAnsi="Arial" w:cs="Arial"/>
                <w:b/>
                <w:color w:val="000000" w:themeColor="text1"/>
                <w:sz w:val="18"/>
                <w:szCs w:val="18"/>
                <w:lang w:val="hr-HR"/>
              </w:rPr>
              <w:t xml:space="preserve">31. prosinca 2021.    </w:t>
            </w:r>
          </w:p>
        </w:tc>
        <w:tc>
          <w:tcPr>
            <w:tcW w:w="1115" w:type="dxa"/>
            <w:tcBorders>
              <w:top w:val="nil"/>
              <w:left w:val="nil"/>
              <w:bottom w:val="nil"/>
              <w:right w:val="nil"/>
            </w:tcBorders>
            <w:shd w:val="clear" w:color="auto" w:fill="auto"/>
            <w:noWrap/>
            <w:vAlign w:val="bottom"/>
            <w:hideMark/>
          </w:tcPr>
          <w:p w14:paraId="593283B9" w14:textId="77777777" w:rsidR="004E2F51" w:rsidRPr="004B4498" w:rsidRDefault="004E2F51" w:rsidP="00E032FC">
            <w:pPr>
              <w:rPr>
                <w:rFonts w:ascii="Arial" w:hAnsi="Arial" w:cs="Arial"/>
                <w:color w:val="000000" w:themeColor="text1"/>
                <w:sz w:val="18"/>
                <w:szCs w:val="18"/>
                <w:lang w:val="hr-HR"/>
              </w:rPr>
            </w:pPr>
          </w:p>
        </w:tc>
        <w:tc>
          <w:tcPr>
            <w:tcW w:w="1059" w:type="dxa"/>
            <w:tcBorders>
              <w:top w:val="nil"/>
              <w:left w:val="nil"/>
              <w:bottom w:val="nil"/>
              <w:right w:val="nil"/>
            </w:tcBorders>
            <w:shd w:val="clear" w:color="auto" w:fill="auto"/>
            <w:noWrap/>
            <w:vAlign w:val="bottom"/>
            <w:hideMark/>
          </w:tcPr>
          <w:p w14:paraId="01F42A80" w14:textId="77777777" w:rsidR="004E2F51" w:rsidRPr="004B4498" w:rsidRDefault="004E2F51" w:rsidP="00E032FC">
            <w:pPr>
              <w:rPr>
                <w:rFonts w:ascii="Arial" w:hAnsi="Arial" w:cs="Arial"/>
                <w:color w:val="000000" w:themeColor="text1"/>
                <w:sz w:val="18"/>
                <w:szCs w:val="18"/>
                <w:lang w:val="hr-HR"/>
              </w:rPr>
            </w:pPr>
          </w:p>
        </w:tc>
        <w:tc>
          <w:tcPr>
            <w:tcW w:w="1083" w:type="dxa"/>
            <w:tcBorders>
              <w:top w:val="nil"/>
              <w:left w:val="nil"/>
              <w:bottom w:val="nil"/>
              <w:right w:val="nil"/>
            </w:tcBorders>
            <w:shd w:val="clear" w:color="auto" w:fill="auto"/>
            <w:noWrap/>
            <w:vAlign w:val="bottom"/>
            <w:hideMark/>
          </w:tcPr>
          <w:p w14:paraId="0F0F1F42" w14:textId="77777777" w:rsidR="004E2F51" w:rsidRPr="004B4498" w:rsidRDefault="004E2F51" w:rsidP="00E032FC">
            <w:pPr>
              <w:rPr>
                <w:rFonts w:ascii="Arial" w:hAnsi="Arial" w:cs="Arial"/>
                <w:color w:val="000000" w:themeColor="text1"/>
                <w:sz w:val="18"/>
                <w:szCs w:val="18"/>
                <w:lang w:val="hr-HR"/>
              </w:rPr>
            </w:pPr>
          </w:p>
        </w:tc>
        <w:tc>
          <w:tcPr>
            <w:tcW w:w="1059" w:type="dxa"/>
            <w:tcBorders>
              <w:top w:val="nil"/>
              <w:left w:val="nil"/>
              <w:bottom w:val="nil"/>
              <w:right w:val="nil"/>
            </w:tcBorders>
            <w:vAlign w:val="bottom"/>
          </w:tcPr>
          <w:p w14:paraId="522EE7A4" w14:textId="77777777" w:rsidR="004E2F51" w:rsidRPr="004B4498" w:rsidRDefault="004E2F51" w:rsidP="00E032FC">
            <w:pPr>
              <w:jc w:val="right"/>
              <w:rPr>
                <w:rFonts w:ascii="Arial" w:hAnsi="Arial" w:cs="Arial"/>
                <w:b/>
                <w:bCs/>
                <w:color w:val="000000" w:themeColor="text1"/>
                <w:sz w:val="18"/>
                <w:szCs w:val="18"/>
                <w:lang w:val="hr-HR"/>
              </w:rPr>
            </w:pPr>
          </w:p>
        </w:tc>
        <w:tc>
          <w:tcPr>
            <w:tcW w:w="2421" w:type="dxa"/>
            <w:gridSpan w:val="2"/>
            <w:tcBorders>
              <w:top w:val="nil"/>
              <w:left w:val="nil"/>
              <w:bottom w:val="nil"/>
              <w:right w:val="nil"/>
            </w:tcBorders>
            <w:shd w:val="clear" w:color="auto" w:fill="auto"/>
            <w:noWrap/>
            <w:vAlign w:val="bottom"/>
            <w:hideMark/>
          </w:tcPr>
          <w:p w14:paraId="6C79660D"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Grupa i Banka</w:t>
            </w:r>
          </w:p>
        </w:tc>
      </w:tr>
      <w:tr w:rsidR="004E2F51" w:rsidRPr="00F87C9B" w14:paraId="650C3B3F" w14:textId="77777777" w:rsidTr="00E032FC">
        <w:trPr>
          <w:trHeight w:val="280"/>
        </w:trPr>
        <w:tc>
          <w:tcPr>
            <w:tcW w:w="2778" w:type="dxa"/>
            <w:tcBorders>
              <w:top w:val="nil"/>
              <w:left w:val="nil"/>
              <w:bottom w:val="nil"/>
              <w:right w:val="nil"/>
            </w:tcBorders>
            <w:shd w:val="clear" w:color="auto" w:fill="auto"/>
            <w:vAlign w:val="bottom"/>
            <w:hideMark/>
          </w:tcPr>
          <w:p w14:paraId="0C463FFD" w14:textId="77777777" w:rsidR="004E2F51" w:rsidRPr="004B4498" w:rsidRDefault="004E2F51" w:rsidP="00E032FC">
            <w:pPr>
              <w:jc w:val="right"/>
              <w:rPr>
                <w:rFonts w:ascii="Arial" w:hAnsi="Arial" w:cs="Arial"/>
                <w:b/>
                <w:bCs/>
                <w:color w:val="000000" w:themeColor="text1"/>
                <w:sz w:val="18"/>
                <w:szCs w:val="18"/>
                <w:lang w:val="hr-HR"/>
              </w:rPr>
            </w:pPr>
          </w:p>
        </w:tc>
        <w:tc>
          <w:tcPr>
            <w:tcW w:w="1115" w:type="dxa"/>
            <w:tcBorders>
              <w:top w:val="nil"/>
              <w:left w:val="nil"/>
              <w:bottom w:val="nil"/>
              <w:right w:val="nil"/>
            </w:tcBorders>
            <w:shd w:val="clear" w:color="auto" w:fill="auto"/>
            <w:vAlign w:val="bottom"/>
            <w:hideMark/>
          </w:tcPr>
          <w:p w14:paraId="7E119297"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1</w:t>
            </w:r>
          </w:p>
        </w:tc>
        <w:tc>
          <w:tcPr>
            <w:tcW w:w="1059" w:type="dxa"/>
            <w:tcBorders>
              <w:top w:val="nil"/>
              <w:left w:val="nil"/>
              <w:bottom w:val="nil"/>
              <w:right w:val="nil"/>
            </w:tcBorders>
            <w:shd w:val="clear" w:color="auto" w:fill="auto"/>
            <w:vAlign w:val="bottom"/>
            <w:hideMark/>
          </w:tcPr>
          <w:p w14:paraId="0331A837"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2</w:t>
            </w:r>
          </w:p>
        </w:tc>
        <w:tc>
          <w:tcPr>
            <w:tcW w:w="1083" w:type="dxa"/>
            <w:tcBorders>
              <w:top w:val="nil"/>
              <w:left w:val="nil"/>
              <w:bottom w:val="nil"/>
              <w:right w:val="nil"/>
            </w:tcBorders>
            <w:shd w:val="clear" w:color="auto" w:fill="auto"/>
            <w:vAlign w:val="bottom"/>
            <w:hideMark/>
          </w:tcPr>
          <w:p w14:paraId="230EF51D"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Stupanj 3</w:t>
            </w:r>
          </w:p>
        </w:tc>
        <w:tc>
          <w:tcPr>
            <w:tcW w:w="1059" w:type="dxa"/>
            <w:tcBorders>
              <w:top w:val="nil"/>
              <w:left w:val="nil"/>
              <w:bottom w:val="nil"/>
              <w:right w:val="nil"/>
            </w:tcBorders>
            <w:shd w:val="clear" w:color="auto" w:fill="auto"/>
            <w:vAlign w:val="bottom"/>
            <w:hideMark/>
          </w:tcPr>
          <w:p w14:paraId="0FDE16AF"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POCI</w:t>
            </w:r>
          </w:p>
        </w:tc>
        <w:tc>
          <w:tcPr>
            <w:tcW w:w="1247" w:type="dxa"/>
            <w:tcBorders>
              <w:top w:val="nil"/>
              <w:left w:val="nil"/>
              <w:bottom w:val="nil"/>
              <w:right w:val="nil"/>
            </w:tcBorders>
            <w:vAlign w:val="bottom"/>
          </w:tcPr>
          <w:p w14:paraId="5618E415"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Bez Stupnja</w:t>
            </w:r>
          </w:p>
        </w:tc>
        <w:tc>
          <w:tcPr>
            <w:tcW w:w="1174" w:type="dxa"/>
            <w:tcBorders>
              <w:top w:val="nil"/>
              <w:left w:val="nil"/>
              <w:bottom w:val="nil"/>
              <w:right w:val="nil"/>
            </w:tcBorders>
            <w:shd w:val="clear" w:color="auto" w:fill="auto"/>
            <w:vAlign w:val="bottom"/>
            <w:hideMark/>
          </w:tcPr>
          <w:p w14:paraId="13F2CF6D"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Total</w:t>
            </w:r>
          </w:p>
        </w:tc>
      </w:tr>
      <w:tr w:rsidR="004E2F51" w:rsidRPr="00F87C9B" w14:paraId="710F7456" w14:textId="77777777" w:rsidTr="00E032FC">
        <w:trPr>
          <w:trHeight w:val="280"/>
        </w:trPr>
        <w:tc>
          <w:tcPr>
            <w:tcW w:w="2778" w:type="dxa"/>
            <w:tcBorders>
              <w:top w:val="nil"/>
              <w:left w:val="nil"/>
              <w:bottom w:val="nil"/>
              <w:right w:val="nil"/>
            </w:tcBorders>
            <w:shd w:val="clear" w:color="auto" w:fill="auto"/>
            <w:vAlign w:val="bottom"/>
          </w:tcPr>
          <w:p w14:paraId="2149D800" w14:textId="77777777" w:rsidR="004E2F51" w:rsidRPr="004B4498" w:rsidRDefault="004E2F51" w:rsidP="00E032FC">
            <w:pPr>
              <w:jc w:val="right"/>
              <w:rPr>
                <w:rFonts w:ascii="Arial" w:hAnsi="Arial" w:cs="Arial"/>
                <w:b/>
                <w:bCs/>
                <w:color w:val="000000" w:themeColor="text1"/>
                <w:sz w:val="18"/>
                <w:szCs w:val="18"/>
                <w:lang w:val="hr-HR"/>
              </w:rPr>
            </w:pPr>
          </w:p>
        </w:tc>
        <w:tc>
          <w:tcPr>
            <w:tcW w:w="1115" w:type="dxa"/>
            <w:tcBorders>
              <w:top w:val="nil"/>
              <w:left w:val="nil"/>
              <w:bottom w:val="nil"/>
              <w:right w:val="nil"/>
            </w:tcBorders>
            <w:shd w:val="clear" w:color="auto" w:fill="auto"/>
            <w:vAlign w:val="bottom"/>
          </w:tcPr>
          <w:p w14:paraId="28F031FF"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c>
          <w:tcPr>
            <w:tcW w:w="1059" w:type="dxa"/>
            <w:tcBorders>
              <w:top w:val="nil"/>
              <w:left w:val="nil"/>
              <w:bottom w:val="nil"/>
              <w:right w:val="nil"/>
            </w:tcBorders>
            <w:shd w:val="clear" w:color="auto" w:fill="auto"/>
            <w:vAlign w:val="bottom"/>
          </w:tcPr>
          <w:p w14:paraId="21BACDBE"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c>
          <w:tcPr>
            <w:tcW w:w="1083" w:type="dxa"/>
            <w:tcBorders>
              <w:top w:val="nil"/>
              <w:left w:val="nil"/>
              <w:bottom w:val="nil"/>
              <w:right w:val="nil"/>
            </w:tcBorders>
            <w:shd w:val="clear" w:color="auto" w:fill="auto"/>
            <w:vAlign w:val="bottom"/>
          </w:tcPr>
          <w:p w14:paraId="1673BE27"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c>
          <w:tcPr>
            <w:tcW w:w="1059" w:type="dxa"/>
            <w:tcBorders>
              <w:top w:val="nil"/>
              <w:left w:val="nil"/>
              <w:bottom w:val="nil"/>
              <w:right w:val="nil"/>
            </w:tcBorders>
            <w:shd w:val="clear" w:color="auto" w:fill="auto"/>
            <w:vAlign w:val="bottom"/>
          </w:tcPr>
          <w:p w14:paraId="7152A69F"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c>
          <w:tcPr>
            <w:tcW w:w="1247" w:type="dxa"/>
            <w:tcBorders>
              <w:top w:val="nil"/>
              <w:left w:val="nil"/>
              <w:bottom w:val="nil"/>
              <w:right w:val="nil"/>
            </w:tcBorders>
            <w:vAlign w:val="bottom"/>
          </w:tcPr>
          <w:p w14:paraId="0ACF1468"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c>
          <w:tcPr>
            <w:tcW w:w="1174" w:type="dxa"/>
            <w:tcBorders>
              <w:top w:val="nil"/>
              <w:left w:val="nil"/>
              <w:bottom w:val="nil"/>
              <w:right w:val="nil"/>
            </w:tcBorders>
            <w:shd w:val="clear" w:color="auto" w:fill="auto"/>
            <w:vAlign w:val="bottom"/>
          </w:tcPr>
          <w:p w14:paraId="454E89F6"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000 kuna</w:t>
            </w:r>
          </w:p>
        </w:tc>
      </w:tr>
      <w:tr w:rsidR="004E2F51" w:rsidRPr="00F87C9B" w14:paraId="66A8C5EF" w14:textId="77777777" w:rsidTr="00E032FC">
        <w:trPr>
          <w:trHeight w:hRule="exact" w:val="130"/>
        </w:trPr>
        <w:tc>
          <w:tcPr>
            <w:tcW w:w="2778" w:type="dxa"/>
            <w:tcBorders>
              <w:top w:val="nil"/>
              <w:left w:val="nil"/>
              <w:bottom w:val="nil"/>
              <w:right w:val="nil"/>
            </w:tcBorders>
            <w:shd w:val="clear" w:color="auto" w:fill="auto"/>
            <w:vAlign w:val="bottom"/>
            <w:hideMark/>
          </w:tcPr>
          <w:p w14:paraId="78EEFC80" w14:textId="77777777" w:rsidR="004E2F51" w:rsidRPr="004B4498" w:rsidRDefault="004E2F51" w:rsidP="00E032FC">
            <w:pPr>
              <w:jc w:val="right"/>
              <w:rPr>
                <w:rFonts w:ascii="Arial" w:hAnsi="Arial" w:cs="Arial"/>
                <w:b/>
                <w:bCs/>
                <w:color w:val="000000" w:themeColor="text1"/>
                <w:sz w:val="18"/>
                <w:szCs w:val="18"/>
                <w:lang w:val="hr-HR"/>
              </w:rPr>
            </w:pPr>
          </w:p>
        </w:tc>
        <w:tc>
          <w:tcPr>
            <w:tcW w:w="1115" w:type="dxa"/>
            <w:tcBorders>
              <w:top w:val="nil"/>
              <w:left w:val="nil"/>
              <w:bottom w:val="nil"/>
              <w:right w:val="nil"/>
            </w:tcBorders>
            <w:shd w:val="clear" w:color="auto" w:fill="auto"/>
            <w:vAlign w:val="bottom"/>
            <w:hideMark/>
          </w:tcPr>
          <w:p w14:paraId="0359C50C" w14:textId="77777777" w:rsidR="004E2F51" w:rsidRPr="004B4498" w:rsidRDefault="004E2F51" w:rsidP="00E032FC">
            <w:pPr>
              <w:rPr>
                <w:rFonts w:ascii="Arial" w:hAnsi="Arial" w:cs="Arial"/>
                <w:color w:val="000000" w:themeColor="text1"/>
                <w:sz w:val="18"/>
                <w:szCs w:val="18"/>
                <w:lang w:val="hr-HR"/>
              </w:rPr>
            </w:pPr>
          </w:p>
        </w:tc>
        <w:tc>
          <w:tcPr>
            <w:tcW w:w="1059" w:type="dxa"/>
            <w:tcBorders>
              <w:top w:val="nil"/>
              <w:left w:val="nil"/>
              <w:bottom w:val="nil"/>
              <w:right w:val="nil"/>
            </w:tcBorders>
            <w:shd w:val="clear" w:color="auto" w:fill="auto"/>
            <w:vAlign w:val="bottom"/>
            <w:hideMark/>
          </w:tcPr>
          <w:p w14:paraId="25E90B4B" w14:textId="77777777" w:rsidR="004E2F51" w:rsidRPr="004B4498" w:rsidRDefault="004E2F51" w:rsidP="00E032FC">
            <w:pPr>
              <w:jc w:val="right"/>
              <w:rPr>
                <w:rFonts w:ascii="Arial" w:hAnsi="Arial" w:cs="Arial"/>
                <w:color w:val="000000" w:themeColor="text1"/>
                <w:sz w:val="18"/>
                <w:szCs w:val="18"/>
                <w:lang w:val="hr-HR"/>
              </w:rPr>
            </w:pPr>
          </w:p>
        </w:tc>
        <w:tc>
          <w:tcPr>
            <w:tcW w:w="1083" w:type="dxa"/>
            <w:tcBorders>
              <w:top w:val="nil"/>
              <w:left w:val="nil"/>
              <w:bottom w:val="nil"/>
              <w:right w:val="nil"/>
            </w:tcBorders>
            <w:shd w:val="clear" w:color="auto" w:fill="auto"/>
            <w:vAlign w:val="bottom"/>
            <w:hideMark/>
          </w:tcPr>
          <w:p w14:paraId="7862FCFB" w14:textId="77777777" w:rsidR="004E2F51" w:rsidRPr="004B4498" w:rsidRDefault="004E2F51" w:rsidP="00E032FC">
            <w:pPr>
              <w:jc w:val="right"/>
              <w:rPr>
                <w:rFonts w:ascii="Arial" w:hAnsi="Arial" w:cs="Arial"/>
                <w:color w:val="000000" w:themeColor="text1"/>
                <w:sz w:val="18"/>
                <w:szCs w:val="18"/>
                <w:lang w:val="hr-HR"/>
              </w:rPr>
            </w:pPr>
          </w:p>
        </w:tc>
        <w:tc>
          <w:tcPr>
            <w:tcW w:w="1059" w:type="dxa"/>
            <w:tcBorders>
              <w:top w:val="nil"/>
              <w:left w:val="nil"/>
              <w:bottom w:val="nil"/>
              <w:right w:val="nil"/>
            </w:tcBorders>
            <w:shd w:val="clear" w:color="auto" w:fill="auto"/>
            <w:vAlign w:val="bottom"/>
            <w:hideMark/>
          </w:tcPr>
          <w:p w14:paraId="089026FE" w14:textId="77777777" w:rsidR="004E2F51" w:rsidRPr="004B4498" w:rsidRDefault="004E2F51" w:rsidP="00E032FC">
            <w:pPr>
              <w:jc w:val="right"/>
              <w:rPr>
                <w:rFonts w:ascii="Arial" w:hAnsi="Arial" w:cs="Arial"/>
                <w:color w:val="000000" w:themeColor="text1"/>
                <w:sz w:val="18"/>
                <w:szCs w:val="18"/>
                <w:lang w:val="hr-HR"/>
              </w:rPr>
            </w:pPr>
          </w:p>
        </w:tc>
        <w:tc>
          <w:tcPr>
            <w:tcW w:w="1247" w:type="dxa"/>
            <w:tcBorders>
              <w:top w:val="nil"/>
              <w:left w:val="nil"/>
              <w:bottom w:val="nil"/>
              <w:right w:val="nil"/>
            </w:tcBorders>
            <w:vAlign w:val="bottom"/>
          </w:tcPr>
          <w:p w14:paraId="1D3490DA" w14:textId="77777777" w:rsidR="004E2F51" w:rsidRPr="004B4498" w:rsidRDefault="004E2F51" w:rsidP="00E032FC">
            <w:pPr>
              <w:jc w:val="right"/>
              <w:rPr>
                <w:rFonts w:ascii="Arial" w:hAnsi="Arial" w:cs="Arial"/>
                <w:color w:val="000000" w:themeColor="text1"/>
                <w:sz w:val="18"/>
                <w:szCs w:val="18"/>
                <w:lang w:val="hr-HR"/>
              </w:rPr>
            </w:pPr>
          </w:p>
        </w:tc>
        <w:tc>
          <w:tcPr>
            <w:tcW w:w="1174" w:type="dxa"/>
            <w:tcBorders>
              <w:top w:val="nil"/>
              <w:left w:val="nil"/>
              <w:bottom w:val="nil"/>
              <w:right w:val="nil"/>
            </w:tcBorders>
            <w:shd w:val="clear" w:color="auto" w:fill="auto"/>
            <w:vAlign w:val="bottom"/>
            <w:hideMark/>
          </w:tcPr>
          <w:p w14:paraId="04A5C5FA" w14:textId="77777777" w:rsidR="004E2F51" w:rsidRPr="004B4498" w:rsidRDefault="004E2F51" w:rsidP="00E032FC">
            <w:pPr>
              <w:jc w:val="right"/>
              <w:rPr>
                <w:rFonts w:ascii="Arial" w:hAnsi="Arial" w:cs="Arial"/>
                <w:color w:val="000000" w:themeColor="text1"/>
                <w:sz w:val="18"/>
                <w:szCs w:val="18"/>
                <w:lang w:val="hr-HR"/>
              </w:rPr>
            </w:pPr>
          </w:p>
        </w:tc>
      </w:tr>
      <w:tr w:rsidR="004E2F51" w:rsidRPr="00F87C9B" w14:paraId="002320D5" w14:textId="77777777" w:rsidTr="00E032FC">
        <w:trPr>
          <w:trHeight w:val="327"/>
        </w:trPr>
        <w:tc>
          <w:tcPr>
            <w:tcW w:w="2778" w:type="dxa"/>
            <w:tcBorders>
              <w:top w:val="nil"/>
              <w:left w:val="nil"/>
              <w:bottom w:val="nil"/>
              <w:right w:val="nil"/>
            </w:tcBorders>
            <w:shd w:val="clear" w:color="auto" w:fill="auto"/>
            <w:noWrap/>
            <w:vAlign w:val="bottom"/>
            <w:hideMark/>
          </w:tcPr>
          <w:p w14:paraId="73BE51EA" w14:textId="77777777" w:rsidR="004E2F51" w:rsidRPr="004B4498" w:rsidRDefault="004E2F51" w:rsidP="00E032FC">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Bruto iznos</w:t>
            </w:r>
          </w:p>
        </w:tc>
        <w:tc>
          <w:tcPr>
            <w:tcW w:w="1115" w:type="dxa"/>
            <w:tcBorders>
              <w:top w:val="nil"/>
              <w:left w:val="nil"/>
              <w:bottom w:val="nil"/>
              <w:right w:val="nil"/>
            </w:tcBorders>
            <w:shd w:val="clear" w:color="auto" w:fill="auto"/>
            <w:noWrap/>
            <w:vAlign w:val="bottom"/>
          </w:tcPr>
          <w:p w14:paraId="67597405" w14:textId="77777777" w:rsidR="004E2F51" w:rsidRPr="004B4498" w:rsidRDefault="004E2F51" w:rsidP="00E032FC">
            <w:pPr>
              <w:jc w:val="right"/>
              <w:rPr>
                <w:rFonts w:ascii="Arial" w:hAnsi="Arial" w:cs="Arial"/>
                <w:color w:val="000000" w:themeColor="text1"/>
                <w:sz w:val="18"/>
                <w:szCs w:val="18"/>
                <w:lang w:val="hr-HR"/>
              </w:rPr>
            </w:pPr>
            <w:r w:rsidRPr="004B4498">
              <w:rPr>
                <w:rFonts w:ascii="Arial" w:hAnsi="Arial" w:cs="Arial"/>
                <w:sz w:val="18"/>
                <w:szCs w:val="18"/>
              </w:rPr>
              <w:t xml:space="preserve">3.311.893 </w:t>
            </w:r>
          </w:p>
        </w:tc>
        <w:tc>
          <w:tcPr>
            <w:tcW w:w="1059" w:type="dxa"/>
            <w:tcBorders>
              <w:top w:val="nil"/>
              <w:left w:val="nil"/>
              <w:bottom w:val="nil"/>
              <w:right w:val="nil"/>
            </w:tcBorders>
            <w:shd w:val="clear" w:color="auto" w:fill="auto"/>
            <w:noWrap/>
            <w:vAlign w:val="bottom"/>
          </w:tcPr>
          <w:p w14:paraId="6DC4C0F3" w14:textId="77777777" w:rsidR="004E2F51" w:rsidRPr="004B4498" w:rsidRDefault="004E2F51" w:rsidP="00E032FC">
            <w:pPr>
              <w:jc w:val="right"/>
              <w:rPr>
                <w:rFonts w:ascii="Arial" w:hAnsi="Arial" w:cs="Arial"/>
                <w:color w:val="000000" w:themeColor="text1"/>
                <w:sz w:val="18"/>
                <w:szCs w:val="18"/>
                <w:lang w:val="hr-HR"/>
              </w:rPr>
            </w:pPr>
            <w:r w:rsidRPr="004B4498">
              <w:rPr>
                <w:rFonts w:ascii="Arial" w:hAnsi="Arial" w:cs="Arial"/>
                <w:sz w:val="18"/>
                <w:szCs w:val="18"/>
              </w:rPr>
              <w:t xml:space="preserve"> 302.747 </w:t>
            </w:r>
          </w:p>
        </w:tc>
        <w:tc>
          <w:tcPr>
            <w:tcW w:w="1083" w:type="dxa"/>
            <w:tcBorders>
              <w:top w:val="nil"/>
              <w:left w:val="nil"/>
              <w:bottom w:val="nil"/>
              <w:right w:val="nil"/>
            </w:tcBorders>
            <w:shd w:val="clear" w:color="auto" w:fill="auto"/>
            <w:noWrap/>
            <w:vAlign w:val="bottom"/>
          </w:tcPr>
          <w:p w14:paraId="302B2204" w14:textId="77777777" w:rsidR="004E2F51" w:rsidRPr="004B4498" w:rsidRDefault="004E2F51" w:rsidP="00E032FC">
            <w:pPr>
              <w:jc w:val="right"/>
              <w:rPr>
                <w:rFonts w:ascii="Arial" w:hAnsi="Arial" w:cs="Arial"/>
                <w:color w:val="000000" w:themeColor="text1"/>
                <w:sz w:val="18"/>
                <w:szCs w:val="18"/>
                <w:lang w:val="hr-HR"/>
              </w:rPr>
            </w:pPr>
            <w:r w:rsidRPr="004B4498">
              <w:rPr>
                <w:rFonts w:ascii="Arial" w:hAnsi="Arial" w:cs="Arial"/>
                <w:sz w:val="18"/>
                <w:szCs w:val="18"/>
              </w:rPr>
              <w:t xml:space="preserve"> 326.551 </w:t>
            </w:r>
          </w:p>
        </w:tc>
        <w:tc>
          <w:tcPr>
            <w:tcW w:w="1059" w:type="dxa"/>
            <w:tcBorders>
              <w:top w:val="nil"/>
              <w:left w:val="nil"/>
              <w:bottom w:val="nil"/>
              <w:right w:val="nil"/>
            </w:tcBorders>
            <w:shd w:val="clear" w:color="auto" w:fill="auto"/>
            <w:noWrap/>
            <w:vAlign w:val="bottom"/>
          </w:tcPr>
          <w:p w14:paraId="01C4B120" w14:textId="77777777" w:rsidR="004E2F51" w:rsidRPr="004B4498" w:rsidRDefault="004E2F51" w:rsidP="00E032FC">
            <w:pPr>
              <w:jc w:val="right"/>
              <w:rPr>
                <w:rFonts w:ascii="Arial" w:hAnsi="Arial" w:cs="Arial"/>
                <w:color w:val="000000" w:themeColor="text1"/>
                <w:sz w:val="18"/>
                <w:szCs w:val="18"/>
                <w:lang w:val="hr-HR"/>
              </w:rPr>
            </w:pPr>
            <w:r w:rsidRPr="004B4498">
              <w:rPr>
                <w:rFonts w:ascii="Arial" w:hAnsi="Arial" w:cs="Arial"/>
                <w:sz w:val="18"/>
                <w:szCs w:val="18"/>
              </w:rPr>
              <w:t xml:space="preserve"> 46.505 </w:t>
            </w:r>
          </w:p>
        </w:tc>
        <w:tc>
          <w:tcPr>
            <w:tcW w:w="1247" w:type="dxa"/>
            <w:tcBorders>
              <w:top w:val="nil"/>
              <w:left w:val="nil"/>
              <w:bottom w:val="nil"/>
              <w:right w:val="nil"/>
            </w:tcBorders>
            <w:vAlign w:val="bottom"/>
          </w:tcPr>
          <w:p w14:paraId="71CBB88B" w14:textId="77777777" w:rsidR="004E2F51" w:rsidRPr="004B4498" w:rsidRDefault="004E2F51" w:rsidP="00E032FC">
            <w:pPr>
              <w:jc w:val="right"/>
              <w:rPr>
                <w:rFonts w:ascii="Arial" w:hAnsi="Arial" w:cs="Arial"/>
                <w:sz w:val="18"/>
                <w:szCs w:val="18"/>
              </w:rPr>
            </w:pPr>
            <w:r w:rsidRPr="004B4498">
              <w:rPr>
                <w:rFonts w:ascii="Arial" w:hAnsi="Arial" w:cs="Arial"/>
                <w:color w:val="000000" w:themeColor="text1"/>
                <w:sz w:val="18"/>
                <w:szCs w:val="18"/>
                <w:lang w:val="hr-HR"/>
              </w:rPr>
              <w:t>-</w:t>
            </w:r>
          </w:p>
        </w:tc>
        <w:tc>
          <w:tcPr>
            <w:tcW w:w="1174" w:type="dxa"/>
            <w:tcBorders>
              <w:top w:val="nil"/>
              <w:left w:val="nil"/>
              <w:bottom w:val="nil"/>
              <w:right w:val="nil"/>
            </w:tcBorders>
            <w:shd w:val="clear" w:color="auto" w:fill="auto"/>
            <w:noWrap/>
            <w:vAlign w:val="bottom"/>
          </w:tcPr>
          <w:p w14:paraId="2F7394E0"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sz w:val="18"/>
                <w:szCs w:val="18"/>
              </w:rPr>
              <w:t xml:space="preserve">3.987.696 </w:t>
            </w:r>
          </w:p>
        </w:tc>
      </w:tr>
      <w:tr w:rsidR="004E2F51" w:rsidRPr="00F87C9B" w14:paraId="4E26B2DE" w14:textId="77777777" w:rsidTr="00E032FC">
        <w:trPr>
          <w:trHeight w:val="337"/>
        </w:trPr>
        <w:tc>
          <w:tcPr>
            <w:tcW w:w="2778" w:type="dxa"/>
            <w:tcBorders>
              <w:top w:val="nil"/>
              <w:left w:val="nil"/>
              <w:bottom w:val="nil"/>
              <w:right w:val="nil"/>
            </w:tcBorders>
            <w:shd w:val="clear" w:color="auto" w:fill="auto"/>
            <w:noWrap/>
            <w:vAlign w:val="bottom"/>
            <w:hideMark/>
          </w:tcPr>
          <w:p w14:paraId="5EAF3B7B" w14:textId="77777777" w:rsidR="004E2F51" w:rsidRPr="004B4498" w:rsidRDefault="004E2F51" w:rsidP="00E032FC">
            <w:pPr>
              <w:rPr>
                <w:rFonts w:ascii="Arial" w:hAnsi="Arial" w:cs="Arial"/>
                <w:color w:val="000000" w:themeColor="text1"/>
                <w:sz w:val="18"/>
                <w:szCs w:val="18"/>
                <w:lang w:val="hr-HR"/>
              </w:rPr>
            </w:pPr>
            <w:r w:rsidRPr="004B4498">
              <w:rPr>
                <w:rFonts w:ascii="Arial" w:hAnsi="Arial" w:cs="Arial"/>
                <w:color w:val="000000" w:themeColor="text1"/>
                <w:sz w:val="18"/>
                <w:szCs w:val="18"/>
                <w:lang w:val="hr-HR"/>
              </w:rPr>
              <w:t>Rezerviranja</w:t>
            </w:r>
          </w:p>
        </w:tc>
        <w:tc>
          <w:tcPr>
            <w:tcW w:w="1115" w:type="dxa"/>
            <w:tcBorders>
              <w:top w:val="nil"/>
              <w:left w:val="nil"/>
              <w:bottom w:val="nil"/>
              <w:right w:val="nil"/>
            </w:tcBorders>
            <w:shd w:val="clear" w:color="auto" w:fill="auto"/>
            <w:noWrap/>
            <w:vAlign w:val="bottom"/>
          </w:tcPr>
          <w:p w14:paraId="0389CF0E" w14:textId="77777777" w:rsidR="004E2F51" w:rsidRPr="004B4498" w:rsidRDefault="004E2F51" w:rsidP="00E032FC">
            <w:pPr>
              <w:jc w:val="right"/>
              <w:rPr>
                <w:rFonts w:ascii="Arial" w:hAnsi="Arial" w:cs="Arial"/>
                <w:color w:val="000000" w:themeColor="text1"/>
                <w:sz w:val="18"/>
                <w:szCs w:val="18"/>
                <w:lang w:val="hr-HR"/>
              </w:rPr>
            </w:pPr>
            <w:r w:rsidRPr="004B4498">
              <w:rPr>
                <w:rFonts w:ascii="Arial" w:hAnsi="Arial" w:cs="Arial"/>
                <w:sz w:val="18"/>
                <w:szCs w:val="18"/>
              </w:rPr>
              <w:t xml:space="preserve"> (10.652)</w:t>
            </w:r>
          </w:p>
        </w:tc>
        <w:tc>
          <w:tcPr>
            <w:tcW w:w="1059" w:type="dxa"/>
            <w:tcBorders>
              <w:top w:val="nil"/>
              <w:left w:val="nil"/>
              <w:bottom w:val="nil"/>
              <w:right w:val="nil"/>
            </w:tcBorders>
            <w:shd w:val="clear" w:color="auto" w:fill="auto"/>
            <w:noWrap/>
            <w:vAlign w:val="bottom"/>
          </w:tcPr>
          <w:p w14:paraId="58D90721" w14:textId="77777777" w:rsidR="004E2F51" w:rsidRPr="004B4498" w:rsidRDefault="004E2F51" w:rsidP="00E032FC">
            <w:pPr>
              <w:jc w:val="right"/>
              <w:rPr>
                <w:rFonts w:ascii="Arial" w:hAnsi="Arial" w:cs="Arial"/>
                <w:color w:val="000000" w:themeColor="text1"/>
                <w:sz w:val="18"/>
                <w:szCs w:val="18"/>
                <w:lang w:val="hr-HR"/>
              </w:rPr>
            </w:pPr>
            <w:r w:rsidRPr="004B4498">
              <w:rPr>
                <w:rFonts w:ascii="Arial" w:hAnsi="Arial" w:cs="Arial"/>
                <w:sz w:val="18"/>
                <w:szCs w:val="18"/>
              </w:rPr>
              <w:t xml:space="preserve"> (26.256)</w:t>
            </w:r>
          </w:p>
        </w:tc>
        <w:tc>
          <w:tcPr>
            <w:tcW w:w="1083" w:type="dxa"/>
            <w:tcBorders>
              <w:top w:val="nil"/>
              <w:left w:val="nil"/>
              <w:bottom w:val="nil"/>
              <w:right w:val="nil"/>
            </w:tcBorders>
            <w:shd w:val="clear" w:color="auto" w:fill="auto"/>
            <w:noWrap/>
            <w:vAlign w:val="bottom"/>
          </w:tcPr>
          <w:p w14:paraId="18F35BED" w14:textId="77777777" w:rsidR="004E2F51" w:rsidRPr="004B4498" w:rsidRDefault="004E2F51" w:rsidP="00E032FC">
            <w:pPr>
              <w:jc w:val="right"/>
              <w:rPr>
                <w:rFonts w:ascii="Arial" w:hAnsi="Arial" w:cs="Arial"/>
                <w:color w:val="000000" w:themeColor="text1"/>
                <w:sz w:val="18"/>
                <w:szCs w:val="18"/>
                <w:lang w:val="hr-HR"/>
              </w:rPr>
            </w:pPr>
            <w:r w:rsidRPr="004B4498">
              <w:rPr>
                <w:rFonts w:ascii="Arial" w:hAnsi="Arial" w:cs="Arial"/>
                <w:sz w:val="18"/>
                <w:szCs w:val="18"/>
              </w:rPr>
              <w:t xml:space="preserve"> (82.779)</w:t>
            </w:r>
          </w:p>
        </w:tc>
        <w:tc>
          <w:tcPr>
            <w:tcW w:w="1059" w:type="dxa"/>
            <w:tcBorders>
              <w:top w:val="nil"/>
              <w:left w:val="nil"/>
              <w:bottom w:val="nil"/>
              <w:right w:val="nil"/>
            </w:tcBorders>
            <w:shd w:val="clear" w:color="auto" w:fill="auto"/>
            <w:noWrap/>
            <w:vAlign w:val="bottom"/>
          </w:tcPr>
          <w:p w14:paraId="4B1A4BE5" w14:textId="77777777" w:rsidR="004E2F51" w:rsidRPr="004B4498" w:rsidRDefault="004E2F51" w:rsidP="00E032FC">
            <w:pPr>
              <w:jc w:val="right"/>
              <w:rPr>
                <w:rFonts w:ascii="Arial" w:hAnsi="Arial" w:cs="Arial"/>
                <w:color w:val="000000" w:themeColor="text1"/>
                <w:sz w:val="18"/>
                <w:szCs w:val="18"/>
                <w:lang w:val="hr-HR"/>
              </w:rPr>
            </w:pPr>
            <w:r w:rsidRPr="004B4498">
              <w:rPr>
                <w:rFonts w:ascii="Arial" w:hAnsi="Arial" w:cs="Arial"/>
                <w:sz w:val="18"/>
                <w:szCs w:val="18"/>
              </w:rPr>
              <w:t xml:space="preserve"> (9.900)</w:t>
            </w:r>
          </w:p>
        </w:tc>
        <w:tc>
          <w:tcPr>
            <w:tcW w:w="1247" w:type="dxa"/>
            <w:tcBorders>
              <w:top w:val="nil"/>
              <w:left w:val="nil"/>
              <w:bottom w:val="nil"/>
              <w:right w:val="nil"/>
            </w:tcBorders>
            <w:vAlign w:val="bottom"/>
          </w:tcPr>
          <w:p w14:paraId="4ADE5DE4"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color w:val="000000" w:themeColor="text1"/>
                <w:sz w:val="18"/>
                <w:szCs w:val="18"/>
                <w:lang w:val="hr-HR"/>
              </w:rPr>
              <w:t>-</w:t>
            </w:r>
          </w:p>
        </w:tc>
        <w:tc>
          <w:tcPr>
            <w:tcW w:w="1174" w:type="dxa"/>
            <w:tcBorders>
              <w:top w:val="nil"/>
              <w:left w:val="nil"/>
              <w:bottom w:val="nil"/>
              <w:right w:val="nil"/>
            </w:tcBorders>
            <w:shd w:val="clear" w:color="auto" w:fill="auto"/>
            <w:noWrap/>
            <w:vAlign w:val="bottom"/>
          </w:tcPr>
          <w:p w14:paraId="4FC4DB87"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sz w:val="18"/>
                <w:szCs w:val="18"/>
              </w:rPr>
              <w:t>(129.587)</w:t>
            </w:r>
          </w:p>
        </w:tc>
      </w:tr>
      <w:tr w:rsidR="004E2F51" w:rsidRPr="00F87C9B" w14:paraId="007EB301" w14:textId="77777777" w:rsidTr="00E032FC">
        <w:trPr>
          <w:trHeight w:val="355"/>
        </w:trPr>
        <w:tc>
          <w:tcPr>
            <w:tcW w:w="2778" w:type="dxa"/>
            <w:tcBorders>
              <w:top w:val="nil"/>
              <w:left w:val="nil"/>
              <w:bottom w:val="nil"/>
              <w:right w:val="nil"/>
            </w:tcBorders>
            <w:shd w:val="clear" w:color="auto" w:fill="auto"/>
            <w:noWrap/>
            <w:vAlign w:val="bottom"/>
            <w:hideMark/>
          </w:tcPr>
          <w:p w14:paraId="3DA8CCE9" w14:textId="77777777" w:rsidR="004E2F51" w:rsidRPr="004B4498" w:rsidRDefault="004E2F51" w:rsidP="00E032FC">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 xml:space="preserve">Stanje na dan </w:t>
            </w:r>
          </w:p>
          <w:p w14:paraId="0FC9CD74" w14:textId="77777777" w:rsidR="004E2F51" w:rsidRPr="004B4498" w:rsidRDefault="004E2F51" w:rsidP="00E032FC">
            <w:pPr>
              <w:rPr>
                <w:rFonts w:ascii="Arial" w:hAnsi="Arial" w:cs="Arial"/>
                <w:b/>
                <w:bCs/>
                <w:color w:val="000000" w:themeColor="text1"/>
                <w:sz w:val="18"/>
                <w:szCs w:val="18"/>
                <w:lang w:val="hr-HR"/>
              </w:rPr>
            </w:pPr>
            <w:r w:rsidRPr="004B4498">
              <w:rPr>
                <w:rFonts w:ascii="Arial" w:hAnsi="Arial" w:cs="Arial"/>
                <w:b/>
                <w:bCs/>
                <w:color w:val="000000" w:themeColor="text1"/>
                <w:sz w:val="18"/>
                <w:szCs w:val="18"/>
                <w:lang w:val="hr-HR"/>
              </w:rPr>
              <w:t>31. prosinca 2021</w:t>
            </w:r>
            <w:r>
              <w:rPr>
                <w:rFonts w:ascii="Arial" w:hAnsi="Arial" w:cs="Arial"/>
                <w:b/>
                <w:bCs/>
                <w:color w:val="000000" w:themeColor="text1"/>
                <w:sz w:val="18"/>
                <w:szCs w:val="18"/>
                <w:lang w:val="hr-HR"/>
              </w:rPr>
              <w:t>.</w:t>
            </w:r>
            <w:r w:rsidRPr="004B4498">
              <w:rPr>
                <w:rFonts w:ascii="Arial" w:hAnsi="Arial" w:cs="Arial"/>
                <w:b/>
                <w:bCs/>
                <w:color w:val="000000" w:themeColor="text1"/>
                <w:sz w:val="18"/>
                <w:szCs w:val="18"/>
                <w:lang w:val="hr-HR"/>
              </w:rPr>
              <w:t xml:space="preserve">    </w:t>
            </w:r>
          </w:p>
        </w:tc>
        <w:tc>
          <w:tcPr>
            <w:tcW w:w="1115" w:type="dxa"/>
            <w:tcBorders>
              <w:top w:val="single" w:sz="4" w:space="0" w:color="auto"/>
              <w:left w:val="nil"/>
              <w:bottom w:val="single" w:sz="8" w:space="0" w:color="auto"/>
              <w:right w:val="nil"/>
            </w:tcBorders>
            <w:shd w:val="clear" w:color="auto" w:fill="auto"/>
            <w:vAlign w:val="bottom"/>
          </w:tcPr>
          <w:p w14:paraId="4BDBA791"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sz w:val="18"/>
                <w:szCs w:val="18"/>
              </w:rPr>
              <w:t xml:space="preserve">3.301.241 </w:t>
            </w:r>
          </w:p>
        </w:tc>
        <w:tc>
          <w:tcPr>
            <w:tcW w:w="1059" w:type="dxa"/>
            <w:tcBorders>
              <w:top w:val="single" w:sz="4" w:space="0" w:color="auto"/>
              <w:left w:val="nil"/>
              <w:bottom w:val="single" w:sz="8" w:space="0" w:color="auto"/>
              <w:right w:val="nil"/>
            </w:tcBorders>
            <w:shd w:val="clear" w:color="auto" w:fill="auto"/>
            <w:vAlign w:val="bottom"/>
          </w:tcPr>
          <w:p w14:paraId="44B84A01"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sz w:val="18"/>
                <w:szCs w:val="18"/>
              </w:rPr>
              <w:t xml:space="preserve"> 276.491 </w:t>
            </w:r>
          </w:p>
        </w:tc>
        <w:tc>
          <w:tcPr>
            <w:tcW w:w="1083" w:type="dxa"/>
            <w:tcBorders>
              <w:top w:val="single" w:sz="4" w:space="0" w:color="auto"/>
              <w:left w:val="nil"/>
              <w:bottom w:val="single" w:sz="8" w:space="0" w:color="auto"/>
              <w:right w:val="nil"/>
            </w:tcBorders>
            <w:shd w:val="clear" w:color="auto" w:fill="auto"/>
            <w:vAlign w:val="bottom"/>
          </w:tcPr>
          <w:p w14:paraId="6CFBEA84"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sz w:val="18"/>
                <w:szCs w:val="18"/>
              </w:rPr>
              <w:t xml:space="preserve"> 243.772 </w:t>
            </w:r>
          </w:p>
        </w:tc>
        <w:tc>
          <w:tcPr>
            <w:tcW w:w="1059" w:type="dxa"/>
            <w:tcBorders>
              <w:top w:val="single" w:sz="4" w:space="0" w:color="auto"/>
              <w:left w:val="nil"/>
              <w:bottom w:val="single" w:sz="8" w:space="0" w:color="auto"/>
              <w:right w:val="nil"/>
            </w:tcBorders>
            <w:shd w:val="clear" w:color="auto" w:fill="auto"/>
            <w:vAlign w:val="bottom"/>
          </w:tcPr>
          <w:p w14:paraId="1760C836"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sz w:val="18"/>
                <w:szCs w:val="18"/>
              </w:rPr>
              <w:t xml:space="preserve"> 36.605 </w:t>
            </w:r>
          </w:p>
        </w:tc>
        <w:tc>
          <w:tcPr>
            <w:tcW w:w="1247" w:type="dxa"/>
            <w:tcBorders>
              <w:top w:val="single" w:sz="4" w:space="0" w:color="auto"/>
              <w:left w:val="nil"/>
              <w:bottom w:val="single" w:sz="8" w:space="0" w:color="auto"/>
              <w:right w:val="nil"/>
            </w:tcBorders>
            <w:vAlign w:val="bottom"/>
          </w:tcPr>
          <w:p w14:paraId="76ED75A3"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sz w:val="18"/>
                <w:szCs w:val="18"/>
              </w:rPr>
              <w:t xml:space="preserve"> - </w:t>
            </w:r>
          </w:p>
        </w:tc>
        <w:tc>
          <w:tcPr>
            <w:tcW w:w="1174" w:type="dxa"/>
            <w:tcBorders>
              <w:top w:val="single" w:sz="4" w:space="0" w:color="auto"/>
              <w:left w:val="nil"/>
              <w:bottom w:val="single" w:sz="8" w:space="0" w:color="auto"/>
              <w:right w:val="nil"/>
            </w:tcBorders>
            <w:shd w:val="clear" w:color="auto" w:fill="auto"/>
            <w:vAlign w:val="bottom"/>
          </w:tcPr>
          <w:p w14:paraId="0EC6ECFF" w14:textId="77777777" w:rsidR="004E2F51" w:rsidRPr="004B4498" w:rsidRDefault="004E2F51" w:rsidP="00E032FC">
            <w:pPr>
              <w:jc w:val="right"/>
              <w:rPr>
                <w:rFonts w:ascii="Arial" w:hAnsi="Arial" w:cs="Arial"/>
                <w:b/>
                <w:bCs/>
                <w:color w:val="000000" w:themeColor="text1"/>
                <w:sz w:val="18"/>
                <w:szCs w:val="18"/>
                <w:lang w:val="hr-HR"/>
              </w:rPr>
            </w:pPr>
            <w:r w:rsidRPr="004B4498">
              <w:rPr>
                <w:rFonts w:ascii="Arial" w:hAnsi="Arial" w:cs="Arial"/>
                <w:b/>
                <w:bCs/>
                <w:sz w:val="18"/>
                <w:szCs w:val="18"/>
              </w:rPr>
              <w:t xml:space="preserve">3.858.109 </w:t>
            </w:r>
          </w:p>
        </w:tc>
      </w:tr>
    </w:tbl>
    <w:p w14:paraId="17A5E1F7"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p>
    <w:p w14:paraId="51DA87D6" w14:textId="77777777" w:rsidR="004E2F51" w:rsidRPr="00B91D09" w:rsidRDefault="004E2F51" w:rsidP="004E2F51">
      <w:pPr>
        <w:pStyle w:val="T1"/>
        <w:keepNext w:val="0"/>
        <w:spacing w:before="0" w:after="100" w:line="280" w:lineRule="exact"/>
        <w:rPr>
          <w:rFonts w:cs="Arial"/>
          <w:b w:val="0"/>
          <w:bCs w:val="0"/>
          <w:color w:val="000000" w:themeColor="text1"/>
          <w:sz w:val="22"/>
          <w:szCs w:val="22"/>
          <w:lang w:val="hr-HR"/>
        </w:rPr>
        <w:sectPr w:rsidR="004E2F51" w:rsidRPr="00B91D09" w:rsidSect="00623DBA">
          <w:footerReference w:type="default" r:id="rId155"/>
          <w:pgSz w:w="11907" w:h="16840" w:code="9"/>
          <w:pgMar w:top="1418" w:right="1134" w:bottom="1134" w:left="1418" w:header="851" w:footer="851" w:gutter="0"/>
          <w:cols w:space="720"/>
          <w:noEndnote/>
        </w:sectPr>
      </w:pPr>
      <w:r w:rsidRPr="004B4498">
        <w:rPr>
          <w:rFonts w:cs="Arial"/>
          <w:b w:val="0"/>
          <w:bCs w:val="0"/>
          <w:color w:val="000000" w:themeColor="text1"/>
          <w:sz w:val="20"/>
          <w:lang w:val="hr-HR"/>
        </w:rPr>
        <w:t>U poziciji Bez Stupnja su prikazani Akreditivi koji su pokriveni depozitima.</w:t>
      </w:r>
    </w:p>
    <w:p w14:paraId="479A108B" w14:textId="77777777" w:rsidR="004E2F51" w:rsidRPr="004B4498" w:rsidRDefault="004E2F51" w:rsidP="004E2F51">
      <w:pPr>
        <w:pStyle w:val="T1"/>
        <w:spacing w:before="0" w:after="0" w:line="240" w:lineRule="auto"/>
        <w:rPr>
          <w:rFonts w:cs="Arial"/>
          <w:color w:val="000000" w:themeColor="text1"/>
          <w:sz w:val="20"/>
          <w:lang w:val="hr-HR"/>
        </w:rPr>
      </w:pPr>
    </w:p>
    <w:p w14:paraId="7C7986F3" w14:textId="77777777" w:rsidR="004E2F51" w:rsidRPr="004B4498" w:rsidRDefault="004E2F51" w:rsidP="004E2F51">
      <w:pPr>
        <w:pStyle w:val="T1"/>
        <w:tabs>
          <w:tab w:val="left" w:pos="567"/>
        </w:tabs>
        <w:spacing w:before="0" w:after="0" w:line="240" w:lineRule="auto"/>
        <w:rPr>
          <w:rFonts w:cs="Arial"/>
          <w:color w:val="000000" w:themeColor="text1"/>
          <w:sz w:val="20"/>
          <w:lang w:val="hr-HR"/>
        </w:rPr>
      </w:pPr>
      <w:r w:rsidRPr="004B4498">
        <w:rPr>
          <w:rFonts w:cs="Arial"/>
          <w:color w:val="000000" w:themeColor="text1"/>
          <w:sz w:val="20"/>
          <w:lang w:val="hr-HR"/>
        </w:rPr>
        <w:t>2</w:t>
      </w:r>
      <w:r>
        <w:rPr>
          <w:rFonts w:cs="Arial"/>
          <w:color w:val="000000" w:themeColor="text1"/>
          <w:sz w:val="20"/>
          <w:lang w:val="hr-HR"/>
        </w:rPr>
        <w:t>8</w:t>
      </w:r>
      <w:r w:rsidRPr="004B4498">
        <w:rPr>
          <w:rFonts w:cs="Arial"/>
          <w:color w:val="000000" w:themeColor="text1"/>
          <w:sz w:val="20"/>
          <w:lang w:val="hr-HR"/>
        </w:rPr>
        <w:t>.</w:t>
      </w:r>
      <w:r w:rsidRPr="004B4498">
        <w:rPr>
          <w:rFonts w:cs="Arial"/>
          <w:color w:val="000000" w:themeColor="text1"/>
          <w:sz w:val="20"/>
          <w:lang w:val="hr-HR"/>
        </w:rPr>
        <w:tab/>
        <w:t>Garancije i preuzete obveze (nastavak)</w:t>
      </w:r>
    </w:p>
    <w:p w14:paraId="5D3B0C0A" w14:textId="77777777" w:rsidR="004E2F51" w:rsidRPr="004B4498" w:rsidRDefault="004E2F51" w:rsidP="004E2F51">
      <w:pPr>
        <w:pStyle w:val="T1"/>
        <w:keepNext w:val="0"/>
        <w:spacing w:before="0" w:after="0" w:line="240" w:lineRule="auto"/>
        <w:rPr>
          <w:rFonts w:cs="Arial"/>
          <w:b w:val="0"/>
          <w:bCs w:val="0"/>
          <w:i/>
          <w:color w:val="000000" w:themeColor="text1"/>
          <w:sz w:val="20"/>
          <w:lang w:val="hr-HR"/>
        </w:rPr>
      </w:pPr>
    </w:p>
    <w:p w14:paraId="3D49CDE6" w14:textId="77777777" w:rsidR="004E2F51" w:rsidRPr="004B4498" w:rsidRDefault="004E2F51" w:rsidP="004E2F51">
      <w:pPr>
        <w:pStyle w:val="T1"/>
        <w:keepNext w:val="0"/>
        <w:spacing w:before="0" w:after="0" w:line="240" w:lineRule="auto"/>
        <w:rPr>
          <w:rFonts w:cs="Arial"/>
          <w:b w:val="0"/>
          <w:bCs w:val="0"/>
          <w:i/>
          <w:color w:val="000000" w:themeColor="text1"/>
          <w:sz w:val="20"/>
          <w:lang w:val="hr-HR"/>
        </w:rPr>
      </w:pPr>
      <w:r w:rsidRPr="004B4498">
        <w:rPr>
          <w:rFonts w:cs="Arial"/>
          <w:b w:val="0"/>
          <w:bCs w:val="0"/>
          <w:i/>
          <w:color w:val="000000" w:themeColor="text1"/>
          <w:sz w:val="20"/>
          <w:lang w:val="hr-HR"/>
        </w:rPr>
        <w:t>Garancije</w:t>
      </w:r>
    </w:p>
    <w:p w14:paraId="536CCA78"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p>
    <w:p w14:paraId="0FA0363D"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Garancije i akreditivi predstavljaju obvezu Banke da izvrši plaćanja u ime klijenta u slučaju nemogućnosti klijenta da podmiri svoje obveze prema trećim stranama ili u slučaju nastanka određenih događaja, obično vezanih za izvoz i/ili uvoz dobara te za ostale ugovorene svrhe. Garancije i akreditivi nose isti kreditni rizik kao i krediti. </w:t>
      </w:r>
    </w:p>
    <w:p w14:paraId="104D7112" w14:textId="77777777" w:rsidR="004E2F51" w:rsidRPr="004B4498" w:rsidRDefault="004E2F51" w:rsidP="004E2F51">
      <w:pPr>
        <w:pStyle w:val="T1"/>
        <w:keepNext w:val="0"/>
        <w:spacing w:before="0" w:after="0" w:line="240" w:lineRule="auto"/>
        <w:rPr>
          <w:rFonts w:cs="Arial"/>
          <w:b w:val="0"/>
          <w:color w:val="000000" w:themeColor="text1"/>
          <w:sz w:val="20"/>
          <w:lang w:val="hr-HR"/>
        </w:rPr>
      </w:pPr>
    </w:p>
    <w:p w14:paraId="05F767C8"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Garancije Banke su </w:t>
      </w:r>
      <w:r>
        <w:rPr>
          <w:rFonts w:cs="Arial"/>
          <w:b w:val="0"/>
          <w:bCs w:val="0"/>
          <w:color w:val="000000" w:themeColor="text1"/>
          <w:sz w:val="20"/>
          <w:lang w:val="hr-HR"/>
        </w:rPr>
        <w:t>11</w:t>
      </w:r>
      <w:r w:rsidRPr="004B4498">
        <w:rPr>
          <w:rFonts w:cs="Arial"/>
          <w:b w:val="0"/>
          <w:bCs w:val="0"/>
          <w:color w:val="000000" w:themeColor="text1"/>
          <w:sz w:val="20"/>
          <w:lang w:val="hr-HR"/>
        </w:rPr>
        <w:t xml:space="preserve">% pokrivene jamstvima, depozitima i bankarskim garancijama. </w:t>
      </w:r>
    </w:p>
    <w:p w14:paraId="7F550585"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p>
    <w:p w14:paraId="7BC1C369" w14:textId="77777777" w:rsidR="004E2F51" w:rsidRPr="004B4498" w:rsidRDefault="004E2F51" w:rsidP="004E2F51">
      <w:pPr>
        <w:pStyle w:val="T1"/>
        <w:keepNext w:val="0"/>
        <w:spacing w:before="0" w:after="0" w:line="240" w:lineRule="auto"/>
        <w:rPr>
          <w:rFonts w:cs="Arial"/>
          <w:b w:val="0"/>
          <w:bCs w:val="0"/>
          <w:i/>
          <w:color w:val="000000" w:themeColor="text1"/>
          <w:sz w:val="20"/>
          <w:lang w:val="hr-HR"/>
        </w:rPr>
      </w:pPr>
      <w:r w:rsidRPr="004B4498">
        <w:rPr>
          <w:rFonts w:cs="Arial"/>
          <w:b w:val="0"/>
          <w:bCs w:val="0"/>
          <w:i/>
          <w:color w:val="000000" w:themeColor="text1"/>
          <w:sz w:val="20"/>
          <w:lang w:val="hr-HR"/>
        </w:rPr>
        <w:t>Preuzete obveze po kreditima</w:t>
      </w:r>
    </w:p>
    <w:p w14:paraId="53729C56"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p>
    <w:p w14:paraId="6EE47F8F" w14:textId="77777777" w:rsidR="004E2F51" w:rsidRPr="004B4498" w:rsidRDefault="004E2F51" w:rsidP="004E2F51">
      <w:pPr>
        <w:pStyle w:val="T1"/>
        <w:keepNext w:val="0"/>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Po ugovorenim neiskorištenim kreditima, Banka je preuzela ugovornu obvezu za isplatom sredstava kredita i revolving kredita. Ugovorom je najčešće definiran krajnji datum korištenja kredita ili je navedena druga klauzula prestanka obveze. Korištenje ugovorenih sredstava obavlja se u nekoliko povlačenja u ovisnosti o namjeni kredita, fazi projekta ili isplatnoj dokumentaciji. Ukupni ugovoreni iznos kredita ne mora biti povučen zbog čega ukupan ugovoreni iznos ne predstavlja nužno buduće zahtjeve za isplatom.</w:t>
      </w:r>
    </w:p>
    <w:p w14:paraId="4EFE7581"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Ugovoreni neiskorišteni krediti sadrže manji potencijalni kreditni rizik jer većina preuzetih obveza po kreditima ovisi o udovoljavanju posebnih kreditnih uvjeta za povlačenje sredstava od strane korisnika. </w:t>
      </w:r>
    </w:p>
    <w:p w14:paraId="12EEA6B7" w14:textId="77777777" w:rsidR="004E2F51" w:rsidRPr="004B4498" w:rsidRDefault="004E2F51" w:rsidP="004E2F51">
      <w:pPr>
        <w:pStyle w:val="T1"/>
        <w:spacing w:before="0" w:after="0" w:line="240" w:lineRule="auto"/>
        <w:rPr>
          <w:rFonts w:cs="Arial"/>
          <w:b w:val="0"/>
          <w:bCs w:val="0"/>
          <w:color w:val="000000" w:themeColor="text1"/>
          <w:sz w:val="20"/>
          <w:lang w:val="hr-HR"/>
        </w:rPr>
      </w:pPr>
      <w:r w:rsidRPr="004B4498">
        <w:rPr>
          <w:rFonts w:cs="Arial"/>
          <w:b w:val="0"/>
          <w:bCs w:val="0"/>
          <w:color w:val="000000" w:themeColor="text1"/>
          <w:sz w:val="20"/>
          <w:lang w:val="hr-HR"/>
        </w:rPr>
        <w:t xml:space="preserve">Banka prati rokove dospijeća ugovorenih preuzetih obveza.  </w:t>
      </w:r>
    </w:p>
    <w:p w14:paraId="687E6D94" w14:textId="77777777" w:rsidR="004E2F51" w:rsidRPr="004B4498" w:rsidRDefault="004E2F51" w:rsidP="004E2F51">
      <w:pPr>
        <w:jc w:val="both"/>
        <w:rPr>
          <w:rFonts w:ascii="Arial" w:hAnsi="Arial" w:cs="Arial"/>
          <w:color w:val="000000" w:themeColor="text1"/>
          <w:sz w:val="20"/>
          <w:szCs w:val="20"/>
          <w:lang w:val="hr-HR" w:eastAsia="hr-HR"/>
        </w:rPr>
      </w:pPr>
    </w:p>
    <w:p w14:paraId="553EC252" w14:textId="77777777" w:rsidR="004E2F51" w:rsidRPr="00B91D09" w:rsidRDefault="004E2F51" w:rsidP="004E2F51">
      <w:pPr>
        <w:jc w:val="both"/>
        <w:rPr>
          <w:rFonts w:ascii="Arial" w:hAnsi="Arial" w:cs="Arial"/>
          <w:color w:val="000000" w:themeColor="text1"/>
          <w:sz w:val="22"/>
          <w:szCs w:val="22"/>
          <w:lang w:val="hr-HR" w:eastAsia="hr-HR"/>
        </w:rPr>
        <w:sectPr w:rsidR="004E2F51" w:rsidRPr="00B91D09" w:rsidSect="00623DBA">
          <w:footerReference w:type="default" r:id="rId156"/>
          <w:pgSz w:w="11907" w:h="16840" w:code="9"/>
          <w:pgMar w:top="1418" w:right="1134" w:bottom="1134" w:left="1418" w:header="851" w:footer="851" w:gutter="0"/>
          <w:cols w:space="720"/>
          <w:noEndnote/>
        </w:sectPr>
      </w:pPr>
    </w:p>
    <w:p w14:paraId="63B1B1C8" w14:textId="77777777" w:rsidR="004E2F51" w:rsidRPr="0090602E" w:rsidRDefault="004E2F51" w:rsidP="004E2F51">
      <w:pPr>
        <w:pStyle w:val="T1"/>
        <w:spacing w:before="0" w:after="0" w:line="240" w:lineRule="auto"/>
        <w:rPr>
          <w:rFonts w:cs="Arial"/>
          <w:bCs w:val="0"/>
          <w:color w:val="000000" w:themeColor="text1"/>
          <w:sz w:val="20"/>
          <w:lang w:val="hr-HR"/>
        </w:rPr>
      </w:pPr>
    </w:p>
    <w:p w14:paraId="32FE385F" w14:textId="77777777" w:rsidR="004E2F51" w:rsidRPr="0090602E" w:rsidRDefault="004E2F51" w:rsidP="004E2F51">
      <w:pPr>
        <w:pStyle w:val="T1"/>
        <w:tabs>
          <w:tab w:val="left" w:pos="567"/>
        </w:tabs>
        <w:spacing w:before="0" w:after="0" w:line="240" w:lineRule="auto"/>
        <w:rPr>
          <w:rFonts w:cs="Arial"/>
          <w:bCs w:val="0"/>
          <w:color w:val="000000" w:themeColor="text1"/>
          <w:sz w:val="20"/>
          <w:lang w:val="hr-HR"/>
        </w:rPr>
      </w:pPr>
      <w:r>
        <w:rPr>
          <w:rFonts w:cs="Arial"/>
          <w:bCs w:val="0"/>
          <w:color w:val="000000" w:themeColor="text1"/>
          <w:sz w:val="20"/>
          <w:lang w:val="hr-HR"/>
        </w:rPr>
        <w:t>29</w:t>
      </w:r>
      <w:r w:rsidRPr="0090602E">
        <w:rPr>
          <w:rFonts w:cs="Arial"/>
          <w:bCs w:val="0"/>
          <w:color w:val="000000" w:themeColor="text1"/>
          <w:sz w:val="20"/>
          <w:lang w:val="hr-HR"/>
        </w:rPr>
        <w:t>.</w:t>
      </w:r>
      <w:r w:rsidRPr="0090602E">
        <w:rPr>
          <w:rFonts w:cs="Arial"/>
          <w:bCs w:val="0"/>
          <w:color w:val="000000" w:themeColor="text1"/>
          <w:sz w:val="20"/>
          <w:lang w:val="hr-HR"/>
        </w:rPr>
        <w:tab/>
        <w:t>Poslovi u ime i za račun</w:t>
      </w:r>
    </w:p>
    <w:p w14:paraId="5DC571DF" w14:textId="77777777" w:rsidR="004E2F51" w:rsidRPr="0090602E" w:rsidRDefault="004E2F51" w:rsidP="004E2F51">
      <w:pPr>
        <w:pStyle w:val="T1"/>
        <w:spacing w:before="0" w:after="0" w:line="240" w:lineRule="auto"/>
        <w:rPr>
          <w:rFonts w:cs="Arial"/>
          <w:b w:val="0"/>
          <w:color w:val="000000" w:themeColor="text1"/>
          <w:sz w:val="20"/>
          <w:lang w:val="hr-HR"/>
        </w:rPr>
      </w:pPr>
    </w:p>
    <w:p w14:paraId="7AAE5E49" w14:textId="77777777" w:rsidR="004E2F51" w:rsidRPr="0090602E" w:rsidRDefault="004E2F51" w:rsidP="004E2F51">
      <w:pPr>
        <w:pStyle w:val="T1"/>
        <w:spacing w:before="0" w:after="0" w:line="240" w:lineRule="auto"/>
        <w:rPr>
          <w:rFonts w:cs="Arial"/>
          <w:b w:val="0"/>
          <w:color w:val="000000" w:themeColor="text1"/>
          <w:sz w:val="20"/>
          <w:lang w:val="hr-HR"/>
        </w:rPr>
      </w:pPr>
      <w:r w:rsidRPr="0090602E">
        <w:rPr>
          <w:rFonts w:cs="Arial"/>
          <w:b w:val="0"/>
          <w:color w:val="000000" w:themeColor="text1"/>
          <w:sz w:val="20"/>
          <w:lang w:val="hr-HR"/>
        </w:rPr>
        <w:t>Grupa upravlja značajnim sredstvima u ime i za račun Ministarstva financija, Ministarstva gospodarstva i održivog razvoja, Ministarstva mora, prometa i infrastrukture, Ministarstva poljoprivrede, Ministarstva regionalnoga razvoja i fondova Europske unije, Ministarstva vanjskih i europskih poslova, Ministarstva turizma i sporta, Vodovoda i kanalizacije d.o.o., Split, Hrvatske agencije za malo gospodarstvo, inovacije i investicije (HAMAG-BICRO) te poslovnih banaka koja se uglavnom koriste za kreditiranje programa obnove i razvitka. Ta sredstva se vode odvojeno od sredstava Grupe. Prihodi i rashodi po tom poslovanju terete nalogodavca, a Grupa ne snosi druge obveze. Za svoje usluge Grupa po određenim programima naplaćuje naknadu dok određene programe vodi bez naknade u ovisnosti o ugovoru s nalogodavcem, vodeći računa da ti iznosi nisu značajni za Grupu.</w:t>
      </w:r>
    </w:p>
    <w:p w14:paraId="0E641467" w14:textId="77777777" w:rsidR="004E2F51" w:rsidRPr="0090602E" w:rsidRDefault="004E2F51" w:rsidP="004E2F51">
      <w:pPr>
        <w:pStyle w:val="T1"/>
        <w:spacing w:before="120" w:after="0" w:line="240" w:lineRule="auto"/>
        <w:rPr>
          <w:rFonts w:cs="Arial"/>
          <w:b w:val="0"/>
          <w:color w:val="000000" w:themeColor="text1"/>
          <w:sz w:val="20"/>
          <w:lang w:val="hr-HR"/>
        </w:rPr>
      </w:pPr>
      <w:r w:rsidRPr="0090602E">
        <w:rPr>
          <w:rFonts w:cs="Arial"/>
          <w:b w:val="0"/>
          <w:color w:val="000000" w:themeColor="text1"/>
          <w:sz w:val="20"/>
          <w:lang w:val="hr-HR"/>
        </w:rPr>
        <w:t>Ukupna bilančna suma poslova u ime i za račun po pojedinačnim programima iznosi:</w:t>
      </w:r>
    </w:p>
    <w:p w14:paraId="306F6CE4" w14:textId="77777777" w:rsidR="004E2F51" w:rsidRPr="0090602E" w:rsidRDefault="004E2F51" w:rsidP="004E2F51">
      <w:pPr>
        <w:pStyle w:val="T1"/>
        <w:spacing w:before="0" w:after="0" w:line="240" w:lineRule="auto"/>
        <w:rPr>
          <w:rFonts w:cs="Arial"/>
          <w:b w:val="0"/>
          <w:color w:val="000000" w:themeColor="text1"/>
          <w:sz w:val="20"/>
          <w:lang w:val="hr-HR"/>
        </w:rPr>
      </w:pPr>
    </w:p>
    <w:tbl>
      <w:tblPr>
        <w:tblW w:w="4680" w:type="pct"/>
        <w:jc w:val="center"/>
        <w:tblLayout w:type="fixed"/>
        <w:tblCellMar>
          <w:left w:w="122" w:type="dxa"/>
          <w:right w:w="122" w:type="dxa"/>
        </w:tblCellMar>
        <w:tblLook w:val="0000" w:firstRow="0" w:lastRow="0" w:firstColumn="0" w:lastColumn="0" w:noHBand="0" w:noVBand="0"/>
      </w:tblPr>
      <w:tblGrid>
        <w:gridCol w:w="6038"/>
        <w:gridCol w:w="1359"/>
        <w:gridCol w:w="1359"/>
      </w:tblGrid>
      <w:tr w:rsidR="004E2F51" w:rsidRPr="00843640" w14:paraId="5710C02C" w14:textId="77777777" w:rsidTr="00E032FC">
        <w:trPr>
          <w:trHeight w:val="180"/>
          <w:jc w:val="center"/>
        </w:trPr>
        <w:tc>
          <w:tcPr>
            <w:tcW w:w="3448" w:type="pct"/>
            <w:shd w:val="clear" w:color="auto" w:fill="auto"/>
          </w:tcPr>
          <w:p w14:paraId="3DB12685" w14:textId="77777777" w:rsidR="004E2F51" w:rsidRPr="00A36FD6" w:rsidRDefault="004E2F51" w:rsidP="00E032FC">
            <w:pPr>
              <w:tabs>
                <w:tab w:val="left" w:pos="-720"/>
              </w:tabs>
              <w:rPr>
                <w:rFonts w:ascii="Arial" w:hAnsi="Arial" w:cs="Arial"/>
                <w:color w:val="000000" w:themeColor="text1"/>
                <w:spacing w:val="-3"/>
                <w:sz w:val="18"/>
                <w:szCs w:val="18"/>
                <w:lang w:val="hr-HR"/>
              </w:rPr>
            </w:pPr>
            <w:r w:rsidRPr="00A36FD6">
              <w:rPr>
                <w:rFonts w:ascii="Arial" w:hAnsi="Arial" w:cs="Arial"/>
                <w:b/>
                <w:bCs/>
                <w:color w:val="000000" w:themeColor="text1"/>
                <w:sz w:val="18"/>
                <w:szCs w:val="18"/>
                <w:lang w:val="hr-HR"/>
              </w:rPr>
              <w:t>Grupa i Banka</w:t>
            </w:r>
          </w:p>
        </w:tc>
        <w:tc>
          <w:tcPr>
            <w:tcW w:w="776" w:type="pct"/>
            <w:shd w:val="clear" w:color="auto" w:fill="auto"/>
          </w:tcPr>
          <w:p w14:paraId="501F7EED" w14:textId="77777777" w:rsidR="004E2F51" w:rsidRPr="00A36FD6" w:rsidRDefault="004E2F51" w:rsidP="00E032FC">
            <w:pPr>
              <w:pStyle w:val="TH"/>
              <w:spacing w:line="220" w:lineRule="exact"/>
              <w:jc w:val="right"/>
              <w:rPr>
                <w:rFonts w:cs="Arial"/>
                <w:color w:val="000000" w:themeColor="text1"/>
                <w:sz w:val="18"/>
                <w:szCs w:val="18"/>
                <w:lang w:val="hr-HR"/>
              </w:rPr>
            </w:pPr>
          </w:p>
        </w:tc>
        <w:tc>
          <w:tcPr>
            <w:tcW w:w="776" w:type="pct"/>
            <w:shd w:val="clear" w:color="auto" w:fill="auto"/>
          </w:tcPr>
          <w:p w14:paraId="6355364B" w14:textId="77777777" w:rsidR="004E2F51" w:rsidRPr="00A36FD6" w:rsidRDefault="004E2F51" w:rsidP="00E032FC">
            <w:pPr>
              <w:pStyle w:val="TH"/>
              <w:spacing w:line="220" w:lineRule="exact"/>
              <w:jc w:val="right"/>
              <w:rPr>
                <w:rFonts w:cs="Arial"/>
                <w:color w:val="000000" w:themeColor="text1"/>
                <w:sz w:val="18"/>
                <w:szCs w:val="18"/>
                <w:lang w:val="hr-HR"/>
              </w:rPr>
            </w:pPr>
          </w:p>
        </w:tc>
      </w:tr>
      <w:tr w:rsidR="004E2F51" w:rsidRPr="00843640" w14:paraId="42E27086" w14:textId="77777777" w:rsidTr="00E032FC">
        <w:trPr>
          <w:trHeight w:val="359"/>
          <w:jc w:val="center"/>
        </w:trPr>
        <w:tc>
          <w:tcPr>
            <w:tcW w:w="3448" w:type="pct"/>
            <w:shd w:val="clear" w:color="auto" w:fill="auto"/>
          </w:tcPr>
          <w:p w14:paraId="38A94B86" w14:textId="77777777" w:rsidR="004E2F51" w:rsidRPr="00A36FD6" w:rsidRDefault="004E2F51" w:rsidP="00E032FC">
            <w:pPr>
              <w:tabs>
                <w:tab w:val="left" w:pos="-720"/>
              </w:tabs>
              <w:rPr>
                <w:rFonts w:ascii="Arial" w:hAnsi="Arial" w:cs="Arial"/>
                <w:b/>
                <w:bCs/>
                <w:color w:val="000000" w:themeColor="text1"/>
                <w:sz w:val="18"/>
                <w:szCs w:val="18"/>
                <w:lang w:val="hr-HR"/>
              </w:rPr>
            </w:pPr>
          </w:p>
        </w:tc>
        <w:tc>
          <w:tcPr>
            <w:tcW w:w="776" w:type="pct"/>
            <w:shd w:val="clear" w:color="auto" w:fill="auto"/>
          </w:tcPr>
          <w:p w14:paraId="51C330F7" w14:textId="77777777" w:rsidR="004E2F51" w:rsidRPr="00A36FD6" w:rsidRDefault="004E2F51" w:rsidP="00E032FC">
            <w:pPr>
              <w:pStyle w:val="TH"/>
              <w:spacing w:line="220" w:lineRule="exact"/>
              <w:jc w:val="right"/>
              <w:rPr>
                <w:rFonts w:cs="Arial"/>
                <w:color w:val="000000" w:themeColor="text1"/>
                <w:sz w:val="18"/>
                <w:szCs w:val="18"/>
                <w:lang w:val="hr-HR"/>
              </w:rPr>
            </w:pPr>
            <w:bookmarkStart w:id="1328" w:name="_Toc67328896"/>
            <w:r w:rsidRPr="00A36FD6">
              <w:rPr>
                <w:rFonts w:cs="Arial"/>
                <w:color w:val="000000" w:themeColor="text1"/>
                <w:sz w:val="18"/>
                <w:szCs w:val="18"/>
                <w:lang w:val="hr-HR"/>
              </w:rPr>
              <w:t>31. prosinca</w:t>
            </w:r>
            <w:bookmarkEnd w:id="1328"/>
          </w:p>
          <w:p w14:paraId="483A530A" w14:textId="77777777" w:rsidR="004E2F51" w:rsidRPr="00A36FD6" w:rsidRDefault="004E2F51" w:rsidP="00E032FC">
            <w:pPr>
              <w:pStyle w:val="TH"/>
              <w:spacing w:line="220" w:lineRule="exact"/>
              <w:jc w:val="right"/>
              <w:rPr>
                <w:rFonts w:cs="Arial"/>
                <w:color w:val="000000" w:themeColor="text1"/>
                <w:sz w:val="18"/>
                <w:szCs w:val="18"/>
                <w:lang w:val="hr-HR"/>
              </w:rPr>
            </w:pPr>
            <w:r w:rsidRPr="00A36FD6">
              <w:rPr>
                <w:rFonts w:cs="Arial"/>
                <w:color w:val="000000" w:themeColor="text1"/>
                <w:sz w:val="18"/>
                <w:szCs w:val="18"/>
                <w:lang w:val="hr-HR"/>
              </w:rPr>
              <w:t xml:space="preserve"> </w:t>
            </w:r>
            <w:bookmarkStart w:id="1329" w:name="_Toc67328897"/>
            <w:r w:rsidRPr="00A36FD6">
              <w:rPr>
                <w:rFonts w:cs="Arial"/>
                <w:color w:val="000000" w:themeColor="text1"/>
                <w:sz w:val="18"/>
                <w:szCs w:val="18"/>
                <w:lang w:val="hr-HR"/>
              </w:rPr>
              <w:t>2022.</w:t>
            </w:r>
            <w:bookmarkEnd w:id="1329"/>
          </w:p>
        </w:tc>
        <w:tc>
          <w:tcPr>
            <w:tcW w:w="776" w:type="pct"/>
            <w:shd w:val="clear" w:color="auto" w:fill="auto"/>
          </w:tcPr>
          <w:p w14:paraId="00908246" w14:textId="77777777" w:rsidR="004E2F51" w:rsidRPr="00A36FD6" w:rsidRDefault="004E2F51" w:rsidP="00E032FC">
            <w:pPr>
              <w:pStyle w:val="TH"/>
              <w:spacing w:line="220" w:lineRule="exact"/>
              <w:jc w:val="right"/>
              <w:rPr>
                <w:rFonts w:cs="Arial"/>
                <w:color w:val="000000" w:themeColor="text1"/>
                <w:sz w:val="18"/>
                <w:szCs w:val="18"/>
                <w:lang w:val="hr-HR"/>
              </w:rPr>
            </w:pPr>
            <w:bookmarkStart w:id="1330" w:name="_Toc67328898"/>
            <w:r w:rsidRPr="00A36FD6">
              <w:rPr>
                <w:rFonts w:cs="Arial"/>
                <w:color w:val="000000" w:themeColor="text1"/>
                <w:sz w:val="18"/>
                <w:szCs w:val="18"/>
                <w:lang w:val="hr-HR"/>
              </w:rPr>
              <w:t>31. prosinca 2021.</w:t>
            </w:r>
            <w:bookmarkEnd w:id="1330"/>
          </w:p>
        </w:tc>
      </w:tr>
      <w:tr w:rsidR="004E2F51" w:rsidRPr="00843640" w14:paraId="3E65500D" w14:textId="77777777" w:rsidTr="00E032FC">
        <w:tblPrEx>
          <w:tblCellMar>
            <w:left w:w="108" w:type="dxa"/>
            <w:right w:w="108" w:type="dxa"/>
          </w:tblCellMar>
        </w:tblPrEx>
        <w:trPr>
          <w:trHeight w:val="252"/>
          <w:jc w:val="center"/>
        </w:trPr>
        <w:tc>
          <w:tcPr>
            <w:tcW w:w="3448" w:type="pct"/>
            <w:shd w:val="clear" w:color="auto" w:fill="auto"/>
          </w:tcPr>
          <w:p w14:paraId="0403AE42" w14:textId="77777777" w:rsidR="004E2F51" w:rsidRPr="00A36FD6" w:rsidRDefault="004E2F51" w:rsidP="00E032FC">
            <w:pPr>
              <w:tabs>
                <w:tab w:val="left" w:pos="-720"/>
              </w:tabs>
              <w:ind w:right="4144"/>
              <w:rPr>
                <w:rFonts w:ascii="Arial" w:hAnsi="Arial" w:cs="Arial"/>
                <w:color w:val="000000" w:themeColor="text1"/>
                <w:sz w:val="18"/>
                <w:szCs w:val="18"/>
                <w:lang w:val="hr-HR"/>
              </w:rPr>
            </w:pPr>
            <w:r w:rsidRPr="00A36FD6">
              <w:rPr>
                <w:rFonts w:ascii="Arial" w:hAnsi="Arial" w:cs="Arial"/>
                <w:b/>
                <w:bCs/>
                <w:color w:val="000000" w:themeColor="text1"/>
                <w:sz w:val="18"/>
                <w:szCs w:val="18"/>
                <w:lang w:val="hr-HR"/>
              </w:rPr>
              <w:t>Program</w:t>
            </w:r>
          </w:p>
        </w:tc>
        <w:tc>
          <w:tcPr>
            <w:tcW w:w="776" w:type="pct"/>
            <w:shd w:val="clear" w:color="auto" w:fill="auto"/>
          </w:tcPr>
          <w:p w14:paraId="1C40D64C" w14:textId="77777777" w:rsidR="004E2F51" w:rsidRPr="00A36FD6" w:rsidRDefault="004E2F51" w:rsidP="00E032FC">
            <w:pPr>
              <w:pStyle w:val="TH"/>
              <w:spacing w:line="220" w:lineRule="exact"/>
              <w:jc w:val="right"/>
              <w:rPr>
                <w:rFonts w:cs="Arial"/>
                <w:color w:val="000000" w:themeColor="text1"/>
                <w:sz w:val="18"/>
                <w:szCs w:val="18"/>
                <w:lang w:val="hr-HR"/>
              </w:rPr>
            </w:pPr>
            <w:bookmarkStart w:id="1331" w:name="_Toc67328899"/>
            <w:r w:rsidRPr="00A36FD6">
              <w:rPr>
                <w:rFonts w:cs="Arial"/>
                <w:color w:val="000000" w:themeColor="text1"/>
                <w:sz w:val="18"/>
                <w:szCs w:val="18"/>
                <w:lang w:val="hr-HR"/>
              </w:rPr>
              <w:t>000 kuna</w:t>
            </w:r>
            <w:bookmarkEnd w:id="1331"/>
          </w:p>
        </w:tc>
        <w:tc>
          <w:tcPr>
            <w:tcW w:w="776" w:type="pct"/>
            <w:shd w:val="clear" w:color="auto" w:fill="auto"/>
          </w:tcPr>
          <w:p w14:paraId="7E69DD8C" w14:textId="77777777" w:rsidR="004E2F51" w:rsidRPr="00A36FD6" w:rsidRDefault="004E2F51" w:rsidP="00E032FC">
            <w:pPr>
              <w:pStyle w:val="TH"/>
              <w:spacing w:line="220" w:lineRule="exact"/>
              <w:jc w:val="right"/>
              <w:rPr>
                <w:rFonts w:cs="Arial"/>
                <w:color w:val="000000" w:themeColor="text1"/>
                <w:sz w:val="18"/>
                <w:szCs w:val="18"/>
                <w:lang w:val="hr-HR"/>
              </w:rPr>
            </w:pPr>
            <w:bookmarkStart w:id="1332" w:name="_Toc67328900"/>
            <w:r w:rsidRPr="00A36FD6">
              <w:rPr>
                <w:rFonts w:cs="Arial"/>
                <w:color w:val="000000" w:themeColor="text1"/>
                <w:sz w:val="18"/>
                <w:szCs w:val="18"/>
                <w:lang w:val="hr-HR"/>
              </w:rPr>
              <w:t>000 kuna</w:t>
            </w:r>
            <w:bookmarkEnd w:id="1332"/>
          </w:p>
        </w:tc>
      </w:tr>
      <w:tr w:rsidR="004E2F51" w:rsidRPr="00843640" w14:paraId="01363B02" w14:textId="77777777" w:rsidTr="00E032FC">
        <w:tblPrEx>
          <w:tblCellMar>
            <w:left w:w="107" w:type="dxa"/>
            <w:right w:w="107" w:type="dxa"/>
          </w:tblCellMar>
        </w:tblPrEx>
        <w:trPr>
          <w:trHeight w:val="139"/>
          <w:jc w:val="center"/>
        </w:trPr>
        <w:tc>
          <w:tcPr>
            <w:tcW w:w="3448" w:type="pct"/>
            <w:shd w:val="clear" w:color="auto" w:fill="auto"/>
          </w:tcPr>
          <w:p w14:paraId="4FBCD6DE" w14:textId="77777777" w:rsidR="004E2F51" w:rsidRPr="00A36FD6" w:rsidRDefault="004E2F51" w:rsidP="00E032FC">
            <w:pPr>
              <w:pStyle w:val="TT"/>
              <w:spacing w:line="100" w:lineRule="exact"/>
              <w:rPr>
                <w:rFonts w:cs="Arial"/>
                <w:color w:val="000000" w:themeColor="text1"/>
                <w:sz w:val="18"/>
                <w:szCs w:val="18"/>
                <w:lang w:val="hr-HR"/>
              </w:rPr>
            </w:pPr>
          </w:p>
        </w:tc>
        <w:tc>
          <w:tcPr>
            <w:tcW w:w="776" w:type="pct"/>
            <w:shd w:val="clear" w:color="auto" w:fill="auto"/>
          </w:tcPr>
          <w:p w14:paraId="1A8BDBD1" w14:textId="77777777" w:rsidR="004E2F51" w:rsidRPr="00A36FD6" w:rsidRDefault="004E2F51" w:rsidP="00E032FC">
            <w:pPr>
              <w:pStyle w:val="TT"/>
              <w:spacing w:line="100" w:lineRule="exact"/>
              <w:jc w:val="right"/>
              <w:rPr>
                <w:rFonts w:cs="Arial"/>
                <w:color w:val="000000" w:themeColor="text1"/>
                <w:sz w:val="18"/>
                <w:szCs w:val="18"/>
                <w:lang w:val="hr-HR"/>
              </w:rPr>
            </w:pPr>
          </w:p>
        </w:tc>
        <w:tc>
          <w:tcPr>
            <w:tcW w:w="776" w:type="pct"/>
            <w:shd w:val="clear" w:color="auto" w:fill="auto"/>
          </w:tcPr>
          <w:p w14:paraId="027C9A40" w14:textId="77777777" w:rsidR="004E2F51" w:rsidRPr="00A36FD6" w:rsidRDefault="004E2F51" w:rsidP="00E032FC">
            <w:pPr>
              <w:pStyle w:val="TT"/>
              <w:spacing w:line="100" w:lineRule="exact"/>
              <w:jc w:val="right"/>
              <w:rPr>
                <w:rFonts w:cs="Arial"/>
                <w:color w:val="000000" w:themeColor="text1"/>
                <w:sz w:val="18"/>
                <w:szCs w:val="18"/>
                <w:lang w:val="hr-HR"/>
              </w:rPr>
            </w:pPr>
          </w:p>
        </w:tc>
      </w:tr>
      <w:tr w:rsidR="004E2F51" w:rsidRPr="00843640" w14:paraId="71AAE6BD" w14:textId="77777777" w:rsidTr="00E032FC">
        <w:tblPrEx>
          <w:tblCellMar>
            <w:left w:w="107" w:type="dxa"/>
            <w:right w:w="107" w:type="dxa"/>
          </w:tblCellMar>
        </w:tblPrEx>
        <w:trPr>
          <w:trHeight w:val="271"/>
          <w:jc w:val="center"/>
        </w:trPr>
        <w:tc>
          <w:tcPr>
            <w:tcW w:w="3448" w:type="pct"/>
            <w:shd w:val="clear" w:color="auto" w:fill="auto"/>
            <w:vAlign w:val="bottom"/>
          </w:tcPr>
          <w:p w14:paraId="18826039" w14:textId="77777777" w:rsidR="004E2F51" w:rsidRPr="00A36FD6" w:rsidRDefault="004E2F51" w:rsidP="00E032FC">
            <w:pPr>
              <w:pStyle w:val="TT"/>
              <w:spacing w:line="220" w:lineRule="exact"/>
              <w:rPr>
                <w:rFonts w:cs="Arial"/>
                <w:color w:val="000000" w:themeColor="text1"/>
                <w:sz w:val="18"/>
                <w:szCs w:val="18"/>
                <w:lang w:val="hr-HR"/>
              </w:rPr>
            </w:pPr>
            <w:bookmarkStart w:id="1333" w:name="_Toc67328901"/>
            <w:r w:rsidRPr="00A36FD6">
              <w:rPr>
                <w:rFonts w:cs="Arial"/>
                <w:color w:val="000000" w:themeColor="text1"/>
                <w:sz w:val="18"/>
                <w:szCs w:val="18"/>
                <w:lang w:val="hr-HR"/>
              </w:rPr>
              <w:t>Kreditiranje razvitka i obnove poljodjelskih domaćinstava</w:t>
            </w:r>
            <w:bookmarkEnd w:id="1333"/>
          </w:p>
        </w:tc>
        <w:tc>
          <w:tcPr>
            <w:tcW w:w="776" w:type="pct"/>
            <w:tcBorders>
              <w:top w:val="nil"/>
              <w:left w:val="nil"/>
              <w:bottom w:val="nil"/>
              <w:right w:val="nil"/>
            </w:tcBorders>
            <w:shd w:val="clear" w:color="auto" w:fill="auto"/>
            <w:vAlign w:val="bottom"/>
          </w:tcPr>
          <w:p w14:paraId="5CB2206C"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17.386</w:t>
            </w:r>
          </w:p>
        </w:tc>
        <w:tc>
          <w:tcPr>
            <w:tcW w:w="776" w:type="pct"/>
            <w:tcBorders>
              <w:top w:val="nil"/>
              <w:left w:val="nil"/>
              <w:bottom w:val="nil"/>
              <w:right w:val="nil"/>
            </w:tcBorders>
            <w:shd w:val="clear" w:color="auto" w:fill="auto"/>
            <w:vAlign w:val="bottom"/>
          </w:tcPr>
          <w:p w14:paraId="3892C561" w14:textId="77777777" w:rsidR="004E2F51" w:rsidRPr="00A36FD6" w:rsidRDefault="004E2F51" w:rsidP="00E032FC">
            <w:pPr>
              <w:pStyle w:val="TT"/>
              <w:spacing w:line="220" w:lineRule="exact"/>
              <w:jc w:val="right"/>
              <w:rPr>
                <w:rFonts w:cs="Arial"/>
                <w:color w:val="000000" w:themeColor="text1"/>
                <w:sz w:val="18"/>
                <w:szCs w:val="18"/>
                <w:lang w:val="hr-HR"/>
              </w:rPr>
            </w:pPr>
            <w:bookmarkStart w:id="1334" w:name="_Toc67328902"/>
            <w:r w:rsidRPr="00A36FD6">
              <w:rPr>
                <w:rFonts w:cs="Arial"/>
                <w:color w:val="000000" w:themeColor="text1"/>
                <w:sz w:val="18"/>
                <w:szCs w:val="18"/>
                <w:lang w:val="hr-HR"/>
              </w:rPr>
              <w:t>19.127</w:t>
            </w:r>
            <w:bookmarkEnd w:id="1334"/>
          </w:p>
        </w:tc>
      </w:tr>
      <w:tr w:rsidR="004E2F51" w:rsidRPr="00843640" w14:paraId="05C3DF59" w14:textId="77777777" w:rsidTr="00E032FC">
        <w:tblPrEx>
          <w:tblCellMar>
            <w:left w:w="107" w:type="dxa"/>
            <w:right w:w="107" w:type="dxa"/>
          </w:tblCellMar>
        </w:tblPrEx>
        <w:trPr>
          <w:trHeight w:val="271"/>
          <w:jc w:val="center"/>
        </w:trPr>
        <w:tc>
          <w:tcPr>
            <w:tcW w:w="3448" w:type="pct"/>
            <w:shd w:val="clear" w:color="auto" w:fill="auto"/>
            <w:vAlign w:val="bottom"/>
          </w:tcPr>
          <w:p w14:paraId="4462CBF5" w14:textId="77777777" w:rsidR="004E2F51" w:rsidRPr="00A36FD6" w:rsidRDefault="004E2F51" w:rsidP="00E032FC">
            <w:pPr>
              <w:pStyle w:val="TT"/>
              <w:spacing w:line="220" w:lineRule="exact"/>
              <w:rPr>
                <w:rFonts w:cs="Arial"/>
                <w:color w:val="000000" w:themeColor="text1"/>
                <w:sz w:val="18"/>
                <w:szCs w:val="18"/>
                <w:lang w:val="hr-HR"/>
              </w:rPr>
            </w:pPr>
            <w:bookmarkStart w:id="1335" w:name="_Toc67328904"/>
            <w:r w:rsidRPr="00A36FD6">
              <w:rPr>
                <w:rFonts w:cs="Arial"/>
                <w:color w:val="000000" w:themeColor="text1"/>
                <w:sz w:val="18"/>
                <w:szCs w:val="18"/>
                <w:lang w:val="hr-HR"/>
              </w:rPr>
              <w:t>Kreditiranje zapošljavanja razvojačenih pripadnika HV-a</w:t>
            </w:r>
            <w:bookmarkEnd w:id="1335"/>
          </w:p>
        </w:tc>
        <w:tc>
          <w:tcPr>
            <w:tcW w:w="776" w:type="pct"/>
            <w:tcBorders>
              <w:top w:val="nil"/>
              <w:left w:val="nil"/>
              <w:bottom w:val="nil"/>
              <w:right w:val="nil"/>
            </w:tcBorders>
            <w:shd w:val="clear" w:color="auto" w:fill="auto"/>
            <w:vAlign w:val="bottom"/>
          </w:tcPr>
          <w:p w14:paraId="1D37540B"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289.672</w:t>
            </w:r>
          </w:p>
        </w:tc>
        <w:tc>
          <w:tcPr>
            <w:tcW w:w="776" w:type="pct"/>
            <w:tcBorders>
              <w:top w:val="nil"/>
              <w:left w:val="nil"/>
              <w:bottom w:val="nil"/>
              <w:right w:val="nil"/>
            </w:tcBorders>
            <w:shd w:val="clear" w:color="auto" w:fill="auto"/>
            <w:vAlign w:val="bottom"/>
          </w:tcPr>
          <w:p w14:paraId="6E9FDBE5" w14:textId="77777777" w:rsidR="004E2F51" w:rsidRPr="00A36FD6" w:rsidRDefault="004E2F51" w:rsidP="00E032FC">
            <w:pPr>
              <w:pStyle w:val="TT"/>
              <w:spacing w:line="220" w:lineRule="exact"/>
              <w:jc w:val="right"/>
              <w:rPr>
                <w:rFonts w:cs="Arial"/>
                <w:color w:val="000000" w:themeColor="text1"/>
                <w:sz w:val="18"/>
                <w:szCs w:val="18"/>
                <w:lang w:val="hr-HR"/>
              </w:rPr>
            </w:pPr>
            <w:bookmarkStart w:id="1336" w:name="_Toc67328905"/>
            <w:r w:rsidRPr="00A36FD6">
              <w:rPr>
                <w:rFonts w:cs="Arial"/>
                <w:color w:val="000000" w:themeColor="text1"/>
                <w:sz w:val="18"/>
                <w:szCs w:val="18"/>
                <w:lang w:val="hr-HR"/>
              </w:rPr>
              <w:t>284.221</w:t>
            </w:r>
            <w:bookmarkEnd w:id="1336"/>
          </w:p>
        </w:tc>
      </w:tr>
      <w:tr w:rsidR="004E2F51" w:rsidRPr="00843640" w14:paraId="0227AD32" w14:textId="77777777" w:rsidTr="00E032FC">
        <w:tblPrEx>
          <w:tblCellMar>
            <w:left w:w="107" w:type="dxa"/>
            <w:right w:w="107" w:type="dxa"/>
          </w:tblCellMar>
        </w:tblPrEx>
        <w:trPr>
          <w:trHeight w:val="271"/>
          <w:jc w:val="center"/>
        </w:trPr>
        <w:tc>
          <w:tcPr>
            <w:tcW w:w="3448" w:type="pct"/>
            <w:shd w:val="clear" w:color="auto" w:fill="auto"/>
            <w:vAlign w:val="bottom"/>
          </w:tcPr>
          <w:p w14:paraId="465C1640" w14:textId="77777777" w:rsidR="004E2F51" w:rsidRPr="00A36FD6" w:rsidRDefault="004E2F51" w:rsidP="00E032FC">
            <w:pPr>
              <w:pStyle w:val="TT"/>
              <w:spacing w:line="220" w:lineRule="exact"/>
              <w:rPr>
                <w:rFonts w:cs="Arial"/>
                <w:color w:val="000000" w:themeColor="text1"/>
                <w:sz w:val="18"/>
                <w:szCs w:val="18"/>
                <w:lang w:val="hr-HR"/>
              </w:rPr>
            </w:pPr>
            <w:bookmarkStart w:id="1337" w:name="_Toc67328910"/>
            <w:r w:rsidRPr="00A36FD6">
              <w:rPr>
                <w:rFonts w:cs="Arial"/>
                <w:color w:val="000000" w:themeColor="text1"/>
                <w:sz w:val="18"/>
                <w:szCs w:val="18"/>
                <w:lang w:val="hr-HR"/>
              </w:rPr>
              <w:t>Program naplate potraživanja po jamstvima HAMAG-BICRO-a</w:t>
            </w:r>
            <w:bookmarkEnd w:id="1337"/>
          </w:p>
        </w:tc>
        <w:tc>
          <w:tcPr>
            <w:tcW w:w="776" w:type="pct"/>
            <w:tcBorders>
              <w:top w:val="nil"/>
              <w:left w:val="nil"/>
              <w:bottom w:val="nil"/>
              <w:right w:val="nil"/>
            </w:tcBorders>
            <w:shd w:val="clear" w:color="auto" w:fill="auto"/>
            <w:vAlign w:val="bottom"/>
          </w:tcPr>
          <w:p w14:paraId="55CE6293"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88</w:t>
            </w:r>
          </w:p>
        </w:tc>
        <w:tc>
          <w:tcPr>
            <w:tcW w:w="776" w:type="pct"/>
            <w:tcBorders>
              <w:top w:val="nil"/>
              <w:left w:val="nil"/>
              <w:bottom w:val="nil"/>
              <w:right w:val="nil"/>
            </w:tcBorders>
            <w:shd w:val="clear" w:color="auto" w:fill="auto"/>
            <w:vAlign w:val="bottom"/>
          </w:tcPr>
          <w:p w14:paraId="69A88C9F" w14:textId="77777777" w:rsidR="004E2F51" w:rsidRPr="00A36FD6" w:rsidRDefault="004E2F51" w:rsidP="00E032FC">
            <w:pPr>
              <w:pStyle w:val="TT"/>
              <w:spacing w:line="220" w:lineRule="exact"/>
              <w:jc w:val="right"/>
              <w:rPr>
                <w:rFonts w:cs="Arial"/>
                <w:color w:val="000000" w:themeColor="text1"/>
                <w:sz w:val="18"/>
                <w:szCs w:val="18"/>
                <w:lang w:val="hr-HR"/>
              </w:rPr>
            </w:pPr>
            <w:bookmarkStart w:id="1338" w:name="_Toc67328911"/>
            <w:r w:rsidRPr="00A36FD6">
              <w:rPr>
                <w:rFonts w:cs="Arial"/>
                <w:color w:val="000000" w:themeColor="text1"/>
                <w:sz w:val="18"/>
                <w:szCs w:val="18"/>
                <w:lang w:val="hr-HR"/>
              </w:rPr>
              <w:t>105</w:t>
            </w:r>
            <w:bookmarkEnd w:id="1338"/>
          </w:p>
        </w:tc>
      </w:tr>
      <w:tr w:rsidR="004E2F51" w:rsidRPr="00843640" w14:paraId="0B1AB000" w14:textId="77777777" w:rsidTr="00E032FC">
        <w:tblPrEx>
          <w:tblCellMar>
            <w:left w:w="107" w:type="dxa"/>
            <w:right w:w="107" w:type="dxa"/>
          </w:tblCellMar>
        </w:tblPrEx>
        <w:trPr>
          <w:trHeight w:val="271"/>
          <w:jc w:val="center"/>
        </w:trPr>
        <w:tc>
          <w:tcPr>
            <w:tcW w:w="3448" w:type="pct"/>
            <w:shd w:val="clear" w:color="auto" w:fill="auto"/>
            <w:vAlign w:val="bottom"/>
          </w:tcPr>
          <w:p w14:paraId="472C0D30" w14:textId="77777777" w:rsidR="004E2F51" w:rsidRPr="00A36FD6" w:rsidRDefault="004E2F51" w:rsidP="00E032FC">
            <w:pPr>
              <w:pStyle w:val="TT"/>
              <w:spacing w:line="220" w:lineRule="exact"/>
              <w:rPr>
                <w:rFonts w:cs="Arial"/>
                <w:color w:val="000000" w:themeColor="text1"/>
                <w:sz w:val="18"/>
                <w:szCs w:val="18"/>
                <w:lang w:val="hr-HR"/>
              </w:rPr>
            </w:pPr>
            <w:bookmarkStart w:id="1339" w:name="_Toc67328913"/>
            <w:r w:rsidRPr="00A36FD6">
              <w:rPr>
                <w:rFonts w:cs="Arial"/>
                <w:color w:val="000000" w:themeColor="text1"/>
                <w:sz w:val="18"/>
                <w:szCs w:val="18"/>
                <w:lang w:val="hr-HR"/>
              </w:rPr>
              <w:t>Osiguranje izvoznih poslova</w:t>
            </w:r>
            <w:bookmarkEnd w:id="1339"/>
          </w:p>
        </w:tc>
        <w:tc>
          <w:tcPr>
            <w:tcW w:w="776" w:type="pct"/>
            <w:tcBorders>
              <w:top w:val="nil"/>
              <w:left w:val="nil"/>
              <w:bottom w:val="nil"/>
              <w:right w:val="nil"/>
            </w:tcBorders>
            <w:shd w:val="clear" w:color="auto" w:fill="auto"/>
            <w:vAlign w:val="bottom"/>
          </w:tcPr>
          <w:p w14:paraId="0002C2DC"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746.830</w:t>
            </w:r>
          </w:p>
        </w:tc>
        <w:tc>
          <w:tcPr>
            <w:tcW w:w="776" w:type="pct"/>
            <w:tcBorders>
              <w:top w:val="nil"/>
              <w:left w:val="nil"/>
              <w:bottom w:val="nil"/>
              <w:right w:val="nil"/>
            </w:tcBorders>
            <w:shd w:val="clear" w:color="auto" w:fill="auto"/>
            <w:vAlign w:val="bottom"/>
          </w:tcPr>
          <w:p w14:paraId="04FA22EE" w14:textId="77777777" w:rsidR="004E2F51" w:rsidRPr="00A36FD6" w:rsidRDefault="004E2F51" w:rsidP="00E032FC">
            <w:pPr>
              <w:pStyle w:val="TT"/>
              <w:spacing w:line="220" w:lineRule="exact"/>
              <w:jc w:val="right"/>
              <w:rPr>
                <w:rFonts w:cs="Arial"/>
                <w:color w:val="000000" w:themeColor="text1"/>
                <w:sz w:val="18"/>
                <w:szCs w:val="18"/>
                <w:lang w:val="hr-HR"/>
              </w:rPr>
            </w:pPr>
            <w:bookmarkStart w:id="1340" w:name="_Toc67328914"/>
            <w:r w:rsidRPr="00A36FD6">
              <w:rPr>
                <w:rFonts w:cs="Arial"/>
                <w:color w:val="000000" w:themeColor="text1"/>
                <w:sz w:val="18"/>
                <w:szCs w:val="18"/>
                <w:lang w:val="hr-HR"/>
              </w:rPr>
              <w:t>628.852</w:t>
            </w:r>
            <w:bookmarkEnd w:id="1340"/>
          </w:p>
        </w:tc>
      </w:tr>
      <w:tr w:rsidR="004E2F51" w:rsidRPr="00843640" w14:paraId="1975D7FA" w14:textId="77777777" w:rsidTr="00E032FC">
        <w:tblPrEx>
          <w:tblCellMar>
            <w:left w:w="107" w:type="dxa"/>
            <w:right w:w="107" w:type="dxa"/>
          </w:tblCellMar>
        </w:tblPrEx>
        <w:trPr>
          <w:trHeight w:val="271"/>
          <w:jc w:val="center"/>
        </w:trPr>
        <w:tc>
          <w:tcPr>
            <w:tcW w:w="3448" w:type="pct"/>
            <w:shd w:val="clear" w:color="auto" w:fill="auto"/>
            <w:vAlign w:val="bottom"/>
          </w:tcPr>
          <w:p w14:paraId="19DE9F67" w14:textId="77777777" w:rsidR="004E2F51" w:rsidRPr="00A36FD6" w:rsidRDefault="004E2F51" w:rsidP="00E032FC">
            <w:pPr>
              <w:pStyle w:val="TT"/>
              <w:spacing w:line="220" w:lineRule="exact"/>
              <w:rPr>
                <w:rFonts w:cs="Arial"/>
                <w:color w:val="000000" w:themeColor="text1"/>
                <w:sz w:val="18"/>
                <w:szCs w:val="18"/>
                <w:lang w:val="hr-HR"/>
              </w:rPr>
            </w:pPr>
            <w:bookmarkStart w:id="1341" w:name="_Toc67328916"/>
            <w:r w:rsidRPr="00A36FD6">
              <w:rPr>
                <w:rFonts w:cs="Arial"/>
                <w:color w:val="000000" w:themeColor="text1"/>
                <w:sz w:val="18"/>
                <w:szCs w:val="18"/>
                <w:lang w:val="hr-HR"/>
              </w:rPr>
              <w:t>Program povlaštenog financiranja po kreditnim programima HBOR-a MF</w:t>
            </w:r>
            <w:bookmarkEnd w:id="1341"/>
          </w:p>
        </w:tc>
        <w:tc>
          <w:tcPr>
            <w:tcW w:w="776" w:type="pct"/>
            <w:tcBorders>
              <w:top w:val="nil"/>
              <w:left w:val="nil"/>
              <w:bottom w:val="nil"/>
              <w:right w:val="nil"/>
            </w:tcBorders>
            <w:shd w:val="clear" w:color="auto" w:fill="auto"/>
            <w:vAlign w:val="bottom"/>
          </w:tcPr>
          <w:p w14:paraId="0C960407"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312.972</w:t>
            </w:r>
          </w:p>
        </w:tc>
        <w:tc>
          <w:tcPr>
            <w:tcW w:w="776" w:type="pct"/>
            <w:tcBorders>
              <w:top w:val="nil"/>
              <w:left w:val="nil"/>
              <w:bottom w:val="nil"/>
              <w:right w:val="nil"/>
            </w:tcBorders>
            <w:shd w:val="clear" w:color="auto" w:fill="auto"/>
            <w:vAlign w:val="bottom"/>
          </w:tcPr>
          <w:p w14:paraId="72253BD9" w14:textId="77777777" w:rsidR="004E2F51" w:rsidRPr="00A36FD6" w:rsidRDefault="004E2F51" w:rsidP="00E032FC">
            <w:pPr>
              <w:pStyle w:val="TT"/>
              <w:spacing w:line="220" w:lineRule="exact"/>
              <w:jc w:val="right"/>
              <w:rPr>
                <w:rFonts w:cs="Arial"/>
                <w:color w:val="000000" w:themeColor="text1"/>
                <w:sz w:val="18"/>
                <w:szCs w:val="18"/>
                <w:lang w:val="hr-HR"/>
              </w:rPr>
            </w:pPr>
            <w:bookmarkStart w:id="1342" w:name="_Toc67328917"/>
            <w:r w:rsidRPr="00A36FD6">
              <w:rPr>
                <w:rFonts w:cs="Arial"/>
                <w:color w:val="000000" w:themeColor="text1"/>
                <w:sz w:val="18"/>
                <w:szCs w:val="18"/>
                <w:lang w:val="hr-HR"/>
              </w:rPr>
              <w:t>168.750</w:t>
            </w:r>
            <w:bookmarkEnd w:id="1342"/>
          </w:p>
        </w:tc>
      </w:tr>
      <w:tr w:rsidR="004E2F51" w:rsidRPr="00843640" w14:paraId="4F1791A9" w14:textId="77777777" w:rsidTr="00E032FC">
        <w:tblPrEx>
          <w:tblCellMar>
            <w:left w:w="107" w:type="dxa"/>
            <w:right w:w="107" w:type="dxa"/>
          </w:tblCellMar>
        </w:tblPrEx>
        <w:trPr>
          <w:trHeight w:val="271"/>
          <w:jc w:val="center"/>
        </w:trPr>
        <w:tc>
          <w:tcPr>
            <w:tcW w:w="3448" w:type="pct"/>
            <w:shd w:val="clear" w:color="auto" w:fill="auto"/>
            <w:vAlign w:val="bottom"/>
          </w:tcPr>
          <w:p w14:paraId="58EB4F7C" w14:textId="77777777" w:rsidR="004E2F51" w:rsidRPr="00A36FD6" w:rsidRDefault="004E2F51" w:rsidP="00E032FC">
            <w:pPr>
              <w:pStyle w:val="TT"/>
              <w:spacing w:line="220" w:lineRule="exact"/>
              <w:rPr>
                <w:rFonts w:cs="Arial"/>
                <w:color w:val="000000" w:themeColor="text1"/>
                <w:sz w:val="18"/>
                <w:szCs w:val="18"/>
                <w:lang w:val="hr-HR"/>
              </w:rPr>
            </w:pPr>
            <w:bookmarkStart w:id="1343" w:name="_Toc67328919"/>
            <w:r w:rsidRPr="00A36FD6">
              <w:rPr>
                <w:rFonts w:cs="Arial"/>
                <w:color w:val="000000" w:themeColor="text1"/>
                <w:sz w:val="18"/>
                <w:szCs w:val="18"/>
                <w:lang w:val="hr-HR"/>
              </w:rPr>
              <w:t>Program regionalnog razvoja Republike Hrvatske – krediti</w:t>
            </w:r>
            <w:bookmarkEnd w:id="1343"/>
          </w:p>
        </w:tc>
        <w:tc>
          <w:tcPr>
            <w:tcW w:w="776" w:type="pct"/>
            <w:tcBorders>
              <w:top w:val="nil"/>
              <w:left w:val="nil"/>
              <w:bottom w:val="nil"/>
              <w:right w:val="nil"/>
            </w:tcBorders>
            <w:shd w:val="clear" w:color="auto" w:fill="auto"/>
            <w:vAlign w:val="bottom"/>
          </w:tcPr>
          <w:p w14:paraId="565534B1"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1.209</w:t>
            </w:r>
          </w:p>
        </w:tc>
        <w:tc>
          <w:tcPr>
            <w:tcW w:w="776" w:type="pct"/>
            <w:tcBorders>
              <w:top w:val="nil"/>
              <w:left w:val="nil"/>
              <w:bottom w:val="nil"/>
              <w:right w:val="nil"/>
            </w:tcBorders>
            <w:shd w:val="clear" w:color="auto" w:fill="auto"/>
            <w:vAlign w:val="bottom"/>
          </w:tcPr>
          <w:p w14:paraId="1DD352AE" w14:textId="77777777" w:rsidR="004E2F51" w:rsidRPr="00A36FD6" w:rsidRDefault="004E2F51" w:rsidP="00E032FC">
            <w:pPr>
              <w:pStyle w:val="TT"/>
              <w:spacing w:line="220" w:lineRule="exact"/>
              <w:jc w:val="right"/>
              <w:rPr>
                <w:rFonts w:cs="Arial"/>
                <w:color w:val="000000" w:themeColor="text1"/>
                <w:sz w:val="18"/>
                <w:szCs w:val="18"/>
                <w:lang w:val="hr-HR"/>
              </w:rPr>
            </w:pPr>
            <w:bookmarkStart w:id="1344" w:name="_Toc67328920"/>
            <w:r w:rsidRPr="00A36FD6">
              <w:rPr>
                <w:rFonts w:cs="Arial"/>
                <w:color w:val="000000" w:themeColor="text1"/>
                <w:sz w:val="18"/>
                <w:szCs w:val="18"/>
                <w:lang w:val="hr-HR"/>
              </w:rPr>
              <w:t>2.227</w:t>
            </w:r>
            <w:bookmarkEnd w:id="1344"/>
          </w:p>
        </w:tc>
      </w:tr>
      <w:tr w:rsidR="004E2F51" w:rsidRPr="00843640" w14:paraId="71F32E2E" w14:textId="77777777" w:rsidTr="00E032FC">
        <w:tblPrEx>
          <w:tblCellMar>
            <w:left w:w="107" w:type="dxa"/>
            <w:right w:w="107" w:type="dxa"/>
          </w:tblCellMar>
        </w:tblPrEx>
        <w:trPr>
          <w:trHeight w:val="271"/>
          <w:jc w:val="center"/>
        </w:trPr>
        <w:tc>
          <w:tcPr>
            <w:tcW w:w="3448" w:type="pct"/>
            <w:shd w:val="clear" w:color="auto" w:fill="auto"/>
            <w:vAlign w:val="bottom"/>
          </w:tcPr>
          <w:p w14:paraId="563BDFED" w14:textId="77777777" w:rsidR="004E2F51" w:rsidRPr="00A36FD6" w:rsidRDefault="004E2F51" w:rsidP="00E032FC">
            <w:pPr>
              <w:pStyle w:val="TT"/>
              <w:spacing w:line="220" w:lineRule="exact"/>
              <w:rPr>
                <w:rFonts w:cs="Arial"/>
                <w:color w:val="000000" w:themeColor="text1"/>
                <w:sz w:val="18"/>
                <w:szCs w:val="18"/>
                <w:lang w:val="hr-HR"/>
              </w:rPr>
            </w:pPr>
            <w:bookmarkStart w:id="1345" w:name="_Toc67328922"/>
            <w:r w:rsidRPr="00A36FD6">
              <w:rPr>
                <w:rFonts w:cs="Arial"/>
                <w:color w:val="000000" w:themeColor="text1"/>
                <w:sz w:val="18"/>
                <w:szCs w:val="18"/>
                <w:lang w:val="hr-HR"/>
              </w:rPr>
              <w:t>Projekt obnovljivih izvora energije</w:t>
            </w:r>
            <w:bookmarkEnd w:id="1345"/>
          </w:p>
        </w:tc>
        <w:tc>
          <w:tcPr>
            <w:tcW w:w="776" w:type="pct"/>
            <w:tcBorders>
              <w:top w:val="nil"/>
              <w:left w:val="nil"/>
              <w:bottom w:val="nil"/>
              <w:right w:val="nil"/>
            </w:tcBorders>
            <w:shd w:val="clear" w:color="auto" w:fill="auto"/>
            <w:vAlign w:val="bottom"/>
          </w:tcPr>
          <w:p w14:paraId="520A77A4"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1.512</w:t>
            </w:r>
          </w:p>
        </w:tc>
        <w:tc>
          <w:tcPr>
            <w:tcW w:w="776" w:type="pct"/>
            <w:tcBorders>
              <w:top w:val="nil"/>
              <w:left w:val="nil"/>
              <w:bottom w:val="nil"/>
              <w:right w:val="nil"/>
            </w:tcBorders>
            <w:shd w:val="clear" w:color="auto" w:fill="auto"/>
            <w:vAlign w:val="bottom"/>
          </w:tcPr>
          <w:p w14:paraId="769CA1AC" w14:textId="77777777" w:rsidR="004E2F51" w:rsidRPr="00A36FD6" w:rsidRDefault="004E2F51" w:rsidP="00E032FC">
            <w:pPr>
              <w:pStyle w:val="TT"/>
              <w:spacing w:line="220" w:lineRule="exact"/>
              <w:jc w:val="right"/>
              <w:rPr>
                <w:rFonts w:cs="Arial"/>
                <w:color w:val="000000" w:themeColor="text1"/>
                <w:sz w:val="18"/>
                <w:szCs w:val="18"/>
                <w:lang w:val="hr-HR"/>
              </w:rPr>
            </w:pPr>
            <w:bookmarkStart w:id="1346" w:name="_Toc67328923"/>
            <w:r w:rsidRPr="00A36FD6">
              <w:rPr>
                <w:rFonts w:cs="Arial"/>
                <w:color w:val="000000" w:themeColor="text1"/>
                <w:sz w:val="18"/>
                <w:szCs w:val="18"/>
                <w:lang w:val="hr-HR"/>
              </w:rPr>
              <w:t>1.368</w:t>
            </w:r>
            <w:bookmarkEnd w:id="1346"/>
          </w:p>
        </w:tc>
      </w:tr>
      <w:tr w:rsidR="004E2F51" w:rsidRPr="00843640" w14:paraId="561F5860" w14:textId="77777777" w:rsidTr="00E032FC">
        <w:tblPrEx>
          <w:tblCellMar>
            <w:left w:w="107" w:type="dxa"/>
            <w:right w:w="107" w:type="dxa"/>
          </w:tblCellMar>
        </w:tblPrEx>
        <w:trPr>
          <w:trHeight w:val="271"/>
          <w:jc w:val="center"/>
        </w:trPr>
        <w:tc>
          <w:tcPr>
            <w:tcW w:w="3448" w:type="pct"/>
            <w:shd w:val="clear" w:color="auto" w:fill="auto"/>
            <w:vAlign w:val="bottom"/>
          </w:tcPr>
          <w:p w14:paraId="193F8DBB" w14:textId="77777777" w:rsidR="004E2F51" w:rsidRPr="00A36FD6" w:rsidRDefault="004E2F51" w:rsidP="00E032FC">
            <w:pPr>
              <w:pStyle w:val="TT"/>
              <w:spacing w:line="220" w:lineRule="exact"/>
              <w:rPr>
                <w:rFonts w:cs="Arial"/>
                <w:color w:val="000000" w:themeColor="text1"/>
                <w:sz w:val="18"/>
                <w:szCs w:val="18"/>
                <w:lang w:val="hr-HR"/>
              </w:rPr>
            </w:pPr>
            <w:bookmarkStart w:id="1347" w:name="_Toc67328925"/>
            <w:r w:rsidRPr="00A36FD6">
              <w:rPr>
                <w:rFonts w:cs="Arial"/>
                <w:color w:val="000000" w:themeColor="text1"/>
                <w:sz w:val="18"/>
                <w:szCs w:val="18"/>
                <w:lang w:val="hr-HR"/>
              </w:rPr>
              <w:t>VIK – EKO račun A – namjenska cijena vode</w:t>
            </w:r>
            <w:bookmarkEnd w:id="1347"/>
          </w:p>
        </w:tc>
        <w:tc>
          <w:tcPr>
            <w:tcW w:w="776" w:type="pct"/>
            <w:tcBorders>
              <w:top w:val="nil"/>
              <w:left w:val="nil"/>
              <w:bottom w:val="nil"/>
              <w:right w:val="nil"/>
            </w:tcBorders>
            <w:shd w:val="clear" w:color="auto" w:fill="auto"/>
            <w:vAlign w:val="bottom"/>
          </w:tcPr>
          <w:p w14:paraId="362CEB84"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783.598</w:t>
            </w:r>
          </w:p>
        </w:tc>
        <w:tc>
          <w:tcPr>
            <w:tcW w:w="776" w:type="pct"/>
            <w:tcBorders>
              <w:top w:val="nil"/>
              <w:left w:val="nil"/>
              <w:bottom w:val="nil"/>
              <w:right w:val="nil"/>
            </w:tcBorders>
            <w:shd w:val="clear" w:color="auto" w:fill="auto"/>
            <w:vAlign w:val="bottom"/>
          </w:tcPr>
          <w:p w14:paraId="745403B6" w14:textId="77777777" w:rsidR="004E2F51" w:rsidRPr="00A36FD6" w:rsidRDefault="004E2F51" w:rsidP="00E032FC">
            <w:pPr>
              <w:pStyle w:val="TT"/>
              <w:spacing w:line="220" w:lineRule="exact"/>
              <w:jc w:val="right"/>
              <w:rPr>
                <w:rFonts w:cs="Arial"/>
                <w:color w:val="000000" w:themeColor="text1"/>
                <w:sz w:val="18"/>
                <w:szCs w:val="18"/>
                <w:lang w:val="hr-HR"/>
              </w:rPr>
            </w:pPr>
            <w:bookmarkStart w:id="1348" w:name="_Toc67328926"/>
            <w:r w:rsidRPr="00A36FD6">
              <w:rPr>
                <w:rFonts w:cs="Arial"/>
                <w:color w:val="000000" w:themeColor="text1"/>
                <w:sz w:val="18"/>
                <w:szCs w:val="18"/>
                <w:lang w:val="hr-HR"/>
              </w:rPr>
              <w:t>749.298</w:t>
            </w:r>
            <w:bookmarkEnd w:id="1348"/>
          </w:p>
        </w:tc>
      </w:tr>
      <w:tr w:rsidR="004E2F51" w:rsidRPr="00843640" w14:paraId="5F90467E" w14:textId="77777777" w:rsidTr="00E032FC">
        <w:tblPrEx>
          <w:tblCellMar>
            <w:left w:w="107" w:type="dxa"/>
            <w:right w:w="107" w:type="dxa"/>
          </w:tblCellMar>
        </w:tblPrEx>
        <w:trPr>
          <w:trHeight w:val="271"/>
          <w:jc w:val="center"/>
        </w:trPr>
        <w:tc>
          <w:tcPr>
            <w:tcW w:w="3448" w:type="pct"/>
            <w:shd w:val="clear" w:color="auto" w:fill="auto"/>
            <w:vAlign w:val="bottom"/>
          </w:tcPr>
          <w:p w14:paraId="0B8E2D13" w14:textId="77777777" w:rsidR="004E2F51" w:rsidRPr="00A36FD6" w:rsidRDefault="004E2F51" w:rsidP="00E032FC">
            <w:pPr>
              <w:pStyle w:val="TT"/>
              <w:spacing w:line="220" w:lineRule="exact"/>
              <w:rPr>
                <w:rFonts w:cs="Arial"/>
                <w:color w:val="000000" w:themeColor="text1"/>
                <w:sz w:val="18"/>
                <w:szCs w:val="18"/>
                <w:lang w:val="hr-HR"/>
              </w:rPr>
            </w:pPr>
            <w:bookmarkStart w:id="1349" w:name="_Toc67328928"/>
            <w:r w:rsidRPr="00A36FD6">
              <w:rPr>
                <w:rFonts w:cs="Arial"/>
                <w:color w:val="000000" w:themeColor="text1"/>
                <w:sz w:val="18"/>
                <w:szCs w:val="18"/>
                <w:lang w:val="hr-HR"/>
              </w:rPr>
              <w:t>VIK – EKO račun B – PDV</w:t>
            </w:r>
            <w:bookmarkEnd w:id="1349"/>
          </w:p>
        </w:tc>
        <w:tc>
          <w:tcPr>
            <w:tcW w:w="776" w:type="pct"/>
            <w:tcBorders>
              <w:top w:val="nil"/>
              <w:left w:val="nil"/>
              <w:bottom w:val="nil"/>
              <w:right w:val="nil"/>
            </w:tcBorders>
            <w:shd w:val="clear" w:color="auto" w:fill="auto"/>
            <w:vAlign w:val="bottom"/>
          </w:tcPr>
          <w:p w14:paraId="6863EF57"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157.205</w:t>
            </w:r>
          </w:p>
        </w:tc>
        <w:tc>
          <w:tcPr>
            <w:tcW w:w="776" w:type="pct"/>
            <w:tcBorders>
              <w:top w:val="nil"/>
              <w:left w:val="nil"/>
              <w:bottom w:val="nil"/>
              <w:right w:val="nil"/>
            </w:tcBorders>
            <w:shd w:val="clear" w:color="auto" w:fill="auto"/>
            <w:vAlign w:val="bottom"/>
          </w:tcPr>
          <w:p w14:paraId="5CE1DAB5" w14:textId="77777777" w:rsidR="004E2F51" w:rsidRPr="00A36FD6" w:rsidRDefault="004E2F51" w:rsidP="00E032FC">
            <w:pPr>
              <w:pStyle w:val="TT"/>
              <w:spacing w:line="220" w:lineRule="exact"/>
              <w:jc w:val="right"/>
              <w:rPr>
                <w:rFonts w:cs="Arial"/>
                <w:color w:val="000000" w:themeColor="text1"/>
                <w:sz w:val="18"/>
                <w:szCs w:val="18"/>
                <w:lang w:val="hr-HR"/>
              </w:rPr>
            </w:pPr>
            <w:bookmarkStart w:id="1350" w:name="_Toc67328929"/>
            <w:r w:rsidRPr="00A36FD6">
              <w:rPr>
                <w:rFonts w:cs="Arial"/>
                <w:color w:val="000000" w:themeColor="text1"/>
                <w:sz w:val="18"/>
                <w:szCs w:val="18"/>
                <w:lang w:val="hr-HR"/>
              </w:rPr>
              <w:t>157.018</w:t>
            </w:r>
            <w:bookmarkEnd w:id="1350"/>
          </w:p>
        </w:tc>
      </w:tr>
      <w:tr w:rsidR="004E2F51" w:rsidRPr="00843640" w14:paraId="71201355" w14:textId="77777777" w:rsidTr="00E032FC">
        <w:tblPrEx>
          <w:tblCellMar>
            <w:left w:w="107" w:type="dxa"/>
            <w:right w:w="107" w:type="dxa"/>
          </w:tblCellMar>
        </w:tblPrEx>
        <w:trPr>
          <w:trHeight w:val="271"/>
          <w:jc w:val="center"/>
        </w:trPr>
        <w:tc>
          <w:tcPr>
            <w:tcW w:w="3448" w:type="pct"/>
            <w:shd w:val="clear" w:color="auto" w:fill="auto"/>
            <w:vAlign w:val="bottom"/>
          </w:tcPr>
          <w:p w14:paraId="3CED2977" w14:textId="77777777" w:rsidR="004E2F51" w:rsidRPr="00A36FD6" w:rsidRDefault="004E2F51" w:rsidP="00E032FC">
            <w:pPr>
              <w:pStyle w:val="TT"/>
              <w:spacing w:line="220" w:lineRule="exact"/>
              <w:rPr>
                <w:rFonts w:cs="Arial"/>
                <w:color w:val="000000" w:themeColor="text1"/>
                <w:sz w:val="18"/>
                <w:szCs w:val="18"/>
                <w:lang w:val="hr-HR"/>
              </w:rPr>
            </w:pPr>
            <w:bookmarkStart w:id="1351" w:name="_Toc67328934"/>
            <w:r w:rsidRPr="00A36FD6">
              <w:rPr>
                <w:rFonts w:cs="Arial"/>
                <w:color w:val="000000" w:themeColor="text1"/>
                <w:sz w:val="18"/>
                <w:szCs w:val="18"/>
                <w:lang w:val="hr-HR"/>
              </w:rPr>
              <w:t>Ribarska infrastruktura – Ministarstvo mora, prometa i infrastrukture</w:t>
            </w:r>
            <w:bookmarkEnd w:id="1351"/>
          </w:p>
        </w:tc>
        <w:tc>
          <w:tcPr>
            <w:tcW w:w="776" w:type="pct"/>
            <w:tcBorders>
              <w:top w:val="nil"/>
              <w:left w:val="nil"/>
              <w:bottom w:val="nil"/>
              <w:right w:val="nil"/>
            </w:tcBorders>
            <w:shd w:val="clear" w:color="auto" w:fill="auto"/>
            <w:vAlign w:val="bottom"/>
          </w:tcPr>
          <w:p w14:paraId="715C7DF7"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46.665</w:t>
            </w:r>
          </w:p>
        </w:tc>
        <w:tc>
          <w:tcPr>
            <w:tcW w:w="776" w:type="pct"/>
            <w:tcBorders>
              <w:top w:val="nil"/>
              <w:left w:val="nil"/>
              <w:bottom w:val="nil"/>
              <w:right w:val="nil"/>
            </w:tcBorders>
            <w:shd w:val="clear" w:color="auto" w:fill="auto"/>
            <w:vAlign w:val="bottom"/>
          </w:tcPr>
          <w:p w14:paraId="04594E5E" w14:textId="77777777" w:rsidR="004E2F51" w:rsidRPr="00A36FD6" w:rsidRDefault="004E2F51" w:rsidP="00E032FC">
            <w:pPr>
              <w:pStyle w:val="TT"/>
              <w:spacing w:line="220" w:lineRule="exact"/>
              <w:jc w:val="right"/>
              <w:rPr>
                <w:rFonts w:cs="Arial"/>
                <w:color w:val="000000" w:themeColor="text1"/>
                <w:sz w:val="18"/>
                <w:szCs w:val="18"/>
                <w:lang w:val="hr-HR"/>
              </w:rPr>
            </w:pPr>
            <w:bookmarkStart w:id="1352" w:name="_Toc67328935"/>
            <w:r w:rsidRPr="00A36FD6">
              <w:rPr>
                <w:rFonts w:cs="Arial"/>
                <w:color w:val="000000" w:themeColor="text1"/>
                <w:sz w:val="18"/>
                <w:szCs w:val="18"/>
                <w:lang w:val="hr-HR"/>
              </w:rPr>
              <w:t>46.665</w:t>
            </w:r>
            <w:bookmarkEnd w:id="1352"/>
          </w:p>
        </w:tc>
      </w:tr>
      <w:tr w:rsidR="004E2F51" w:rsidRPr="00843640" w14:paraId="49CD3B89" w14:textId="77777777" w:rsidTr="00E032FC">
        <w:tblPrEx>
          <w:tblCellMar>
            <w:left w:w="107" w:type="dxa"/>
            <w:right w:w="107" w:type="dxa"/>
          </w:tblCellMar>
        </w:tblPrEx>
        <w:trPr>
          <w:trHeight w:val="271"/>
          <w:jc w:val="center"/>
        </w:trPr>
        <w:tc>
          <w:tcPr>
            <w:tcW w:w="3448" w:type="pct"/>
            <w:shd w:val="clear" w:color="auto" w:fill="auto"/>
            <w:vAlign w:val="bottom"/>
          </w:tcPr>
          <w:p w14:paraId="7692A401" w14:textId="77777777" w:rsidR="004E2F51" w:rsidRPr="00A36FD6" w:rsidRDefault="004E2F51" w:rsidP="00E032FC">
            <w:pPr>
              <w:pStyle w:val="TT"/>
              <w:spacing w:line="220" w:lineRule="exact"/>
              <w:rPr>
                <w:rFonts w:cs="Arial"/>
                <w:color w:val="000000" w:themeColor="text1"/>
                <w:sz w:val="18"/>
                <w:szCs w:val="18"/>
                <w:lang w:val="hr-HR"/>
              </w:rPr>
            </w:pPr>
            <w:bookmarkStart w:id="1353" w:name="_Toc67328937"/>
            <w:r w:rsidRPr="00A36FD6">
              <w:rPr>
                <w:rFonts w:cs="Arial"/>
                <w:color w:val="000000" w:themeColor="text1"/>
                <w:sz w:val="18"/>
                <w:szCs w:val="18"/>
                <w:lang w:val="hr-HR"/>
              </w:rPr>
              <w:t>Mikrokreditiranje uz potporu EU – poslovne banke</w:t>
            </w:r>
            <w:bookmarkEnd w:id="1353"/>
          </w:p>
        </w:tc>
        <w:tc>
          <w:tcPr>
            <w:tcW w:w="776" w:type="pct"/>
            <w:shd w:val="clear" w:color="auto" w:fill="auto"/>
            <w:vAlign w:val="bottom"/>
          </w:tcPr>
          <w:p w14:paraId="72AAAB94"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732</w:t>
            </w:r>
          </w:p>
        </w:tc>
        <w:tc>
          <w:tcPr>
            <w:tcW w:w="776" w:type="pct"/>
            <w:shd w:val="clear" w:color="auto" w:fill="auto"/>
            <w:vAlign w:val="bottom"/>
          </w:tcPr>
          <w:p w14:paraId="1885384A" w14:textId="77777777" w:rsidR="004E2F51" w:rsidRPr="00A36FD6" w:rsidRDefault="004E2F51" w:rsidP="00E032FC">
            <w:pPr>
              <w:pStyle w:val="TT"/>
              <w:spacing w:line="220" w:lineRule="exact"/>
              <w:jc w:val="right"/>
              <w:rPr>
                <w:rFonts w:cs="Arial"/>
                <w:color w:val="000000" w:themeColor="text1"/>
                <w:sz w:val="18"/>
                <w:szCs w:val="18"/>
                <w:lang w:val="hr-HR"/>
              </w:rPr>
            </w:pPr>
            <w:bookmarkStart w:id="1354" w:name="_Toc67328938"/>
            <w:r w:rsidRPr="00A36FD6">
              <w:rPr>
                <w:rFonts w:cs="Arial"/>
                <w:color w:val="000000" w:themeColor="text1"/>
                <w:sz w:val="18"/>
                <w:szCs w:val="18"/>
                <w:lang w:val="hr-HR"/>
              </w:rPr>
              <w:t>797</w:t>
            </w:r>
            <w:bookmarkEnd w:id="1354"/>
          </w:p>
        </w:tc>
      </w:tr>
      <w:tr w:rsidR="004E2F51" w:rsidRPr="00843640" w14:paraId="363B0BCA" w14:textId="77777777" w:rsidTr="00E032FC">
        <w:tblPrEx>
          <w:tblCellMar>
            <w:left w:w="107" w:type="dxa"/>
            <w:right w:w="107" w:type="dxa"/>
          </w:tblCellMar>
        </w:tblPrEx>
        <w:trPr>
          <w:trHeight w:val="271"/>
          <w:jc w:val="center"/>
        </w:trPr>
        <w:tc>
          <w:tcPr>
            <w:tcW w:w="3448" w:type="pct"/>
            <w:shd w:val="clear" w:color="auto" w:fill="auto"/>
            <w:vAlign w:val="bottom"/>
          </w:tcPr>
          <w:p w14:paraId="6171C9A3" w14:textId="77777777" w:rsidR="004E2F51" w:rsidRPr="00A36FD6" w:rsidRDefault="004E2F51" w:rsidP="00E032FC">
            <w:pPr>
              <w:pStyle w:val="TT"/>
              <w:spacing w:line="220" w:lineRule="exact"/>
              <w:rPr>
                <w:rFonts w:cs="Arial"/>
                <w:color w:val="000000" w:themeColor="text1"/>
                <w:sz w:val="18"/>
                <w:szCs w:val="18"/>
                <w:lang w:val="hr-HR"/>
              </w:rPr>
            </w:pPr>
            <w:bookmarkStart w:id="1355" w:name="_Toc67328940"/>
            <w:r w:rsidRPr="00A36FD6">
              <w:rPr>
                <w:rFonts w:cs="Arial"/>
                <w:color w:val="000000" w:themeColor="text1"/>
                <w:sz w:val="18"/>
                <w:szCs w:val="18"/>
                <w:lang w:val="hr-HR"/>
              </w:rPr>
              <w:t>Poslovi ulaganja u Fondove za gospodarsku suradnju</w:t>
            </w:r>
            <w:r w:rsidRPr="00A36FD6">
              <w:rPr>
                <w:rStyle w:val="FootnoteReference"/>
                <w:rFonts w:cs="Arial"/>
                <w:color w:val="000000" w:themeColor="text1"/>
                <w:sz w:val="18"/>
                <w:szCs w:val="18"/>
                <w:lang w:val="hr-HR"/>
              </w:rPr>
              <w:footnoteReference w:id="4"/>
            </w:r>
            <w:bookmarkEnd w:id="1355"/>
          </w:p>
        </w:tc>
        <w:tc>
          <w:tcPr>
            <w:tcW w:w="776" w:type="pct"/>
            <w:tcBorders>
              <w:top w:val="nil"/>
              <w:left w:val="nil"/>
              <w:bottom w:val="nil"/>
              <w:right w:val="nil"/>
            </w:tcBorders>
            <w:shd w:val="clear" w:color="auto" w:fill="auto"/>
            <w:vAlign w:val="bottom"/>
          </w:tcPr>
          <w:p w14:paraId="65516E5E"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27.513</w:t>
            </w:r>
          </w:p>
        </w:tc>
        <w:tc>
          <w:tcPr>
            <w:tcW w:w="776" w:type="pct"/>
            <w:tcBorders>
              <w:top w:val="nil"/>
              <w:left w:val="nil"/>
              <w:bottom w:val="nil"/>
              <w:right w:val="nil"/>
            </w:tcBorders>
            <w:shd w:val="clear" w:color="auto" w:fill="auto"/>
            <w:vAlign w:val="bottom"/>
          </w:tcPr>
          <w:p w14:paraId="00040B88"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49.567</w:t>
            </w:r>
          </w:p>
        </w:tc>
      </w:tr>
      <w:tr w:rsidR="004E2F51" w:rsidRPr="00843640" w14:paraId="2DD72221" w14:textId="77777777" w:rsidTr="00E032FC">
        <w:tblPrEx>
          <w:tblCellMar>
            <w:left w:w="107" w:type="dxa"/>
            <w:right w:w="107" w:type="dxa"/>
          </w:tblCellMar>
        </w:tblPrEx>
        <w:trPr>
          <w:trHeight w:val="271"/>
          <w:jc w:val="center"/>
        </w:trPr>
        <w:tc>
          <w:tcPr>
            <w:tcW w:w="3448" w:type="pct"/>
            <w:shd w:val="clear" w:color="auto" w:fill="auto"/>
            <w:vAlign w:val="bottom"/>
          </w:tcPr>
          <w:p w14:paraId="124024BF" w14:textId="77777777" w:rsidR="004E2F51" w:rsidRPr="00A36FD6" w:rsidRDefault="004E2F51" w:rsidP="00E032FC">
            <w:pPr>
              <w:pStyle w:val="TT"/>
              <w:spacing w:line="220" w:lineRule="exact"/>
              <w:rPr>
                <w:rFonts w:cs="Arial"/>
                <w:color w:val="000000" w:themeColor="text1"/>
                <w:sz w:val="18"/>
                <w:szCs w:val="18"/>
                <w:lang w:val="hr-HR"/>
              </w:rPr>
            </w:pPr>
            <w:bookmarkStart w:id="1356" w:name="_Toc67328943"/>
            <w:r w:rsidRPr="00A36FD6">
              <w:rPr>
                <w:rFonts w:cs="Arial"/>
                <w:color w:val="000000" w:themeColor="text1"/>
                <w:sz w:val="18"/>
                <w:szCs w:val="18"/>
                <w:lang w:val="hr-HR"/>
              </w:rPr>
              <w:t>ESIF – Krediti za rast i razvoj</w:t>
            </w:r>
            <w:bookmarkEnd w:id="1356"/>
          </w:p>
        </w:tc>
        <w:tc>
          <w:tcPr>
            <w:tcW w:w="776" w:type="pct"/>
            <w:tcBorders>
              <w:top w:val="nil"/>
              <w:left w:val="nil"/>
              <w:right w:val="nil"/>
            </w:tcBorders>
            <w:shd w:val="clear" w:color="auto" w:fill="auto"/>
            <w:vAlign w:val="bottom"/>
          </w:tcPr>
          <w:p w14:paraId="41CE64FD"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838.813</w:t>
            </w:r>
          </w:p>
        </w:tc>
        <w:tc>
          <w:tcPr>
            <w:tcW w:w="776" w:type="pct"/>
            <w:tcBorders>
              <w:top w:val="nil"/>
              <w:left w:val="nil"/>
              <w:right w:val="nil"/>
            </w:tcBorders>
            <w:shd w:val="clear" w:color="auto" w:fill="auto"/>
            <w:vAlign w:val="bottom"/>
          </w:tcPr>
          <w:p w14:paraId="26052131" w14:textId="77777777" w:rsidR="004E2F51" w:rsidRPr="00A36FD6" w:rsidDel="00494DDF" w:rsidRDefault="004E2F51" w:rsidP="00E032FC">
            <w:pPr>
              <w:pStyle w:val="TT"/>
              <w:spacing w:line="220" w:lineRule="exact"/>
              <w:jc w:val="right"/>
              <w:rPr>
                <w:rFonts w:cs="Arial"/>
                <w:color w:val="000000" w:themeColor="text1"/>
                <w:sz w:val="18"/>
                <w:szCs w:val="18"/>
                <w:lang w:val="hr-HR"/>
              </w:rPr>
            </w:pPr>
            <w:bookmarkStart w:id="1357" w:name="_Toc67328944"/>
            <w:r w:rsidRPr="00A36FD6">
              <w:rPr>
                <w:rFonts w:cs="Arial"/>
                <w:color w:val="000000" w:themeColor="text1"/>
                <w:sz w:val="18"/>
                <w:szCs w:val="18"/>
                <w:lang w:val="hr-HR"/>
              </w:rPr>
              <w:t>847.096</w:t>
            </w:r>
            <w:bookmarkEnd w:id="1357"/>
          </w:p>
        </w:tc>
      </w:tr>
      <w:tr w:rsidR="004E2F51" w:rsidRPr="00843640" w14:paraId="5458DFF7" w14:textId="77777777" w:rsidTr="00E032FC">
        <w:tblPrEx>
          <w:tblCellMar>
            <w:left w:w="107" w:type="dxa"/>
            <w:right w:w="107" w:type="dxa"/>
          </w:tblCellMar>
        </w:tblPrEx>
        <w:trPr>
          <w:trHeight w:val="271"/>
          <w:jc w:val="center"/>
        </w:trPr>
        <w:tc>
          <w:tcPr>
            <w:tcW w:w="3448" w:type="pct"/>
            <w:shd w:val="clear" w:color="auto" w:fill="auto"/>
            <w:vAlign w:val="bottom"/>
          </w:tcPr>
          <w:p w14:paraId="314510D9" w14:textId="77777777" w:rsidR="004E2F51" w:rsidRPr="00A36FD6" w:rsidRDefault="004E2F51" w:rsidP="00E032FC">
            <w:pPr>
              <w:pStyle w:val="TT"/>
              <w:spacing w:line="220" w:lineRule="exact"/>
              <w:rPr>
                <w:rFonts w:cs="Arial"/>
                <w:color w:val="000000" w:themeColor="text1"/>
                <w:sz w:val="18"/>
                <w:szCs w:val="18"/>
                <w:lang w:val="hr-HR"/>
              </w:rPr>
            </w:pPr>
            <w:bookmarkStart w:id="1358" w:name="_Toc67328946"/>
            <w:r w:rsidRPr="00A36FD6">
              <w:rPr>
                <w:rFonts w:cs="Arial"/>
                <w:color w:val="000000" w:themeColor="text1"/>
                <w:sz w:val="18"/>
                <w:szCs w:val="18"/>
                <w:lang w:val="hr-HR"/>
              </w:rPr>
              <w:t>ESIF – Krediti za energetsku učinkovitost u zgradama javnog sektora</w:t>
            </w:r>
            <w:bookmarkEnd w:id="1358"/>
          </w:p>
        </w:tc>
        <w:tc>
          <w:tcPr>
            <w:tcW w:w="776" w:type="pct"/>
            <w:tcBorders>
              <w:left w:val="nil"/>
              <w:right w:val="nil"/>
            </w:tcBorders>
            <w:shd w:val="clear" w:color="auto" w:fill="auto"/>
            <w:vAlign w:val="bottom"/>
          </w:tcPr>
          <w:p w14:paraId="41A42BE6"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211.735</w:t>
            </w:r>
          </w:p>
        </w:tc>
        <w:tc>
          <w:tcPr>
            <w:tcW w:w="776" w:type="pct"/>
            <w:tcBorders>
              <w:left w:val="nil"/>
              <w:right w:val="nil"/>
            </w:tcBorders>
            <w:shd w:val="clear" w:color="auto" w:fill="auto"/>
            <w:vAlign w:val="bottom"/>
          </w:tcPr>
          <w:p w14:paraId="5234F2F1" w14:textId="77777777" w:rsidR="004E2F51" w:rsidRPr="00A36FD6" w:rsidRDefault="004E2F51" w:rsidP="00E032FC">
            <w:pPr>
              <w:pStyle w:val="TT"/>
              <w:spacing w:line="220" w:lineRule="exact"/>
              <w:jc w:val="right"/>
              <w:rPr>
                <w:rFonts w:cs="Arial"/>
                <w:color w:val="000000" w:themeColor="text1"/>
                <w:sz w:val="18"/>
                <w:szCs w:val="18"/>
                <w:lang w:val="hr-HR"/>
              </w:rPr>
            </w:pPr>
            <w:bookmarkStart w:id="1359" w:name="_Toc67328947"/>
            <w:r w:rsidRPr="00A36FD6">
              <w:rPr>
                <w:rFonts w:cs="Arial"/>
                <w:color w:val="000000" w:themeColor="text1"/>
                <w:sz w:val="18"/>
                <w:szCs w:val="18"/>
                <w:lang w:val="hr-HR"/>
              </w:rPr>
              <w:t>208.118</w:t>
            </w:r>
            <w:bookmarkEnd w:id="1359"/>
          </w:p>
        </w:tc>
      </w:tr>
      <w:tr w:rsidR="004E2F51" w:rsidRPr="00843640" w14:paraId="00295113" w14:textId="77777777" w:rsidTr="00E032FC">
        <w:tblPrEx>
          <w:tblCellMar>
            <w:left w:w="107" w:type="dxa"/>
            <w:right w:w="107" w:type="dxa"/>
          </w:tblCellMar>
        </w:tblPrEx>
        <w:trPr>
          <w:trHeight w:val="271"/>
          <w:jc w:val="center"/>
        </w:trPr>
        <w:tc>
          <w:tcPr>
            <w:tcW w:w="3448" w:type="pct"/>
            <w:shd w:val="clear" w:color="auto" w:fill="auto"/>
            <w:vAlign w:val="bottom"/>
          </w:tcPr>
          <w:p w14:paraId="7094ED74" w14:textId="77777777" w:rsidR="004E2F51" w:rsidRPr="00A36FD6" w:rsidRDefault="004E2F51" w:rsidP="00E032FC">
            <w:pPr>
              <w:pStyle w:val="TT"/>
              <w:spacing w:line="220" w:lineRule="exact"/>
              <w:rPr>
                <w:rFonts w:cs="Arial"/>
                <w:color w:val="000000" w:themeColor="text1"/>
                <w:sz w:val="18"/>
                <w:szCs w:val="18"/>
                <w:lang w:val="hr-HR"/>
              </w:rPr>
            </w:pPr>
            <w:bookmarkStart w:id="1360" w:name="_Toc67328949"/>
            <w:r w:rsidRPr="00A36FD6">
              <w:rPr>
                <w:rFonts w:cs="Arial"/>
                <w:color w:val="000000" w:themeColor="text1"/>
                <w:sz w:val="18"/>
                <w:szCs w:val="18"/>
                <w:lang w:val="hr-HR"/>
              </w:rPr>
              <w:t>ESIF - Krediti za javnu rasvjetu</w:t>
            </w:r>
            <w:bookmarkEnd w:id="1360"/>
            <w:r w:rsidRPr="00A36FD6">
              <w:rPr>
                <w:rFonts w:cs="Arial"/>
                <w:color w:val="000000" w:themeColor="text1"/>
                <w:sz w:val="18"/>
                <w:szCs w:val="18"/>
                <w:lang w:val="hr-HR"/>
              </w:rPr>
              <w:tab/>
            </w:r>
          </w:p>
        </w:tc>
        <w:tc>
          <w:tcPr>
            <w:tcW w:w="776" w:type="pct"/>
            <w:tcBorders>
              <w:left w:val="nil"/>
              <w:right w:val="nil"/>
            </w:tcBorders>
            <w:shd w:val="clear" w:color="auto" w:fill="auto"/>
            <w:vAlign w:val="bottom"/>
          </w:tcPr>
          <w:p w14:paraId="1C667C78"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164.092</w:t>
            </w:r>
          </w:p>
        </w:tc>
        <w:tc>
          <w:tcPr>
            <w:tcW w:w="776" w:type="pct"/>
            <w:tcBorders>
              <w:left w:val="nil"/>
              <w:right w:val="nil"/>
            </w:tcBorders>
            <w:shd w:val="clear" w:color="auto" w:fill="auto"/>
            <w:vAlign w:val="bottom"/>
          </w:tcPr>
          <w:p w14:paraId="22C1CEDA" w14:textId="77777777" w:rsidR="004E2F51" w:rsidRPr="00A36FD6" w:rsidRDefault="004E2F51" w:rsidP="00E032FC">
            <w:pPr>
              <w:pStyle w:val="TT"/>
              <w:spacing w:line="220" w:lineRule="exact"/>
              <w:jc w:val="right"/>
              <w:rPr>
                <w:rFonts w:cs="Arial"/>
                <w:color w:val="000000" w:themeColor="text1"/>
                <w:sz w:val="18"/>
                <w:szCs w:val="18"/>
                <w:lang w:val="hr-HR"/>
              </w:rPr>
            </w:pPr>
            <w:bookmarkStart w:id="1361" w:name="_Toc67328950"/>
            <w:r w:rsidRPr="00A36FD6">
              <w:rPr>
                <w:rFonts w:cs="Arial"/>
                <w:color w:val="000000" w:themeColor="text1"/>
                <w:sz w:val="18"/>
                <w:szCs w:val="18"/>
                <w:lang w:val="hr-HR"/>
              </w:rPr>
              <w:t>120.444</w:t>
            </w:r>
            <w:bookmarkEnd w:id="1361"/>
          </w:p>
        </w:tc>
      </w:tr>
      <w:tr w:rsidR="004E2F51" w:rsidRPr="00843640" w14:paraId="33F04324" w14:textId="77777777" w:rsidTr="00E032FC">
        <w:tblPrEx>
          <w:tblCellMar>
            <w:left w:w="107" w:type="dxa"/>
            <w:right w:w="107" w:type="dxa"/>
          </w:tblCellMar>
        </w:tblPrEx>
        <w:trPr>
          <w:trHeight w:val="271"/>
          <w:jc w:val="center"/>
        </w:trPr>
        <w:tc>
          <w:tcPr>
            <w:tcW w:w="3448" w:type="pct"/>
            <w:shd w:val="clear" w:color="auto" w:fill="auto"/>
            <w:vAlign w:val="bottom"/>
          </w:tcPr>
          <w:p w14:paraId="4C17EB24" w14:textId="77777777" w:rsidR="004E2F51" w:rsidRPr="00A36FD6" w:rsidRDefault="004E2F51" w:rsidP="00E032FC">
            <w:pPr>
              <w:pStyle w:val="TT"/>
              <w:spacing w:line="220" w:lineRule="exact"/>
              <w:rPr>
                <w:rFonts w:cs="Arial"/>
                <w:color w:val="000000" w:themeColor="text1"/>
                <w:sz w:val="18"/>
                <w:szCs w:val="18"/>
                <w:lang w:val="hr-HR"/>
              </w:rPr>
            </w:pPr>
            <w:bookmarkStart w:id="1362" w:name="_Toc67328952"/>
            <w:r w:rsidRPr="00A36FD6">
              <w:rPr>
                <w:rFonts w:cs="Arial"/>
                <w:color w:val="000000" w:themeColor="text1"/>
                <w:sz w:val="18"/>
                <w:szCs w:val="18"/>
                <w:lang w:val="hr-HR"/>
              </w:rPr>
              <w:t>Investicijski krediti za ruralni razvoj</w:t>
            </w:r>
            <w:bookmarkEnd w:id="1362"/>
            <w:r w:rsidRPr="00A36FD6">
              <w:rPr>
                <w:rFonts w:cs="Arial"/>
                <w:color w:val="000000" w:themeColor="text1"/>
                <w:sz w:val="18"/>
                <w:szCs w:val="18"/>
                <w:lang w:val="hr-HR"/>
              </w:rPr>
              <w:tab/>
            </w:r>
          </w:p>
        </w:tc>
        <w:tc>
          <w:tcPr>
            <w:tcW w:w="776" w:type="pct"/>
            <w:tcBorders>
              <w:left w:val="nil"/>
              <w:right w:val="nil"/>
            </w:tcBorders>
            <w:shd w:val="clear" w:color="auto" w:fill="auto"/>
            <w:vAlign w:val="bottom"/>
          </w:tcPr>
          <w:p w14:paraId="4CA4A87C"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10.818</w:t>
            </w:r>
          </w:p>
        </w:tc>
        <w:tc>
          <w:tcPr>
            <w:tcW w:w="776" w:type="pct"/>
            <w:tcBorders>
              <w:left w:val="nil"/>
              <w:right w:val="nil"/>
            </w:tcBorders>
            <w:shd w:val="clear" w:color="auto" w:fill="auto"/>
            <w:vAlign w:val="bottom"/>
          </w:tcPr>
          <w:p w14:paraId="63E06E31" w14:textId="77777777" w:rsidR="004E2F51" w:rsidRPr="00A36FD6" w:rsidRDefault="004E2F51" w:rsidP="00E032FC">
            <w:pPr>
              <w:pStyle w:val="TT"/>
              <w:spacing w:line="220" w:lineRule="exact"/>
              <w:jc w:val="right"/>
              <w:rPr>
                <w:rFonts w:cs="Arial"/>
                <w:color w:val="000000" w:themeColor="text1"/>
                <w:sz w:val="18"/>
                <w:szCs w:val="18"/>
                <w:lang w:val="hr-HR"/>
              </w:rPr>
            </w:pPr>
            <w:bookmarkStart w:id="1363" w:name="_Toc67328953"/>
            <w:r w:rsidRPr="00A36FD6">
              <w:rPr>
                <w:rFonts w:cs="Arial"/>
                <w:color w:val="000000" w:themeColor="text1"/>
                <w:sz w:val="18"/>
                <w:szCs w:val="18"/>
                <w:lang w:val="hr-HR"/>
              </w:rPr>
              <w:t>11.917</w:t>
            </w:r>
            <w:bookmarkEnd w:id="1363"/>
          </w:p>
        </w:tc>
      </w:tr>
      <w:tr w:rsidR="004E2F51" w:rsidRPr="00843640" w14:paraId="4E6C6802" w14:textId="77777777" w:rsidTr="00E032FC">
        <w:tblPrEx>
          <w:tblCellMar>
            <w:left w:w="107" w:type="dxa"/>
            <w:right w:w="107" w:type="dxa"/>
          </w:tblCellMar>
        </w:tblPrEx>
        <w:trPr>
          <w:trHeight w:val="271"/>
          <w:jc w:val="center"/>
        </w:trPr>
        <w:tc>
          <w:tcPr>
            <w:tcW w:w="3448" w:type="pct"/>
            <w:shd w:val="clear" w:color="auto" w:fill="auto"/>
            <w:vAlign w:val="bottom"/>
          </w:tcPr>
          <w:p w14:paraId="234C80CA" w14:textId="77777777" w:rsidR="004E2F51" w:rsidRPr="00A36FD6" w:rsidRDefault="004E2F51" w:rsidP="00E032FC">
            <w:pPr>
              <w:pStyle w:val="TT"/>
              <w:spacing w:line="220" w:lineRule="exact"/>
              <w:rPr>
                <w:rFonts w:cs="Arial"/>
                <w:color w:val="000000" w:themeColor="text1"/>
                <w:sz w:val="18"/>
                <w:szCs w:val="18"/>
                <w:highlight w:val="yellow"/>
                <w:lang w:val="hr-HR"/>
              </w:rPr>
            </w:pPr>
            <w:bookmarkStart w:id="1364" w:name="_Toc67328955"/>
            <w:r w:rsidRPr="00A36FD6">
              <w:rPr>
                <w:rFonts w:cs="Arial"/>
                <w:color w:val="000000" w:themeColor="text1"/>
                <w:sz w:val="18"/>
                <w:szCs w:val="18"/>
                <w:lang w:val="hr-HR"/>
              </w:rPr>
              <w:t>Obrtna sredstva Mjera COVID-19 za MSP poduzetnike u turističkim djelatnostima</w:t>
            </w:r>
            <w:bookmarkEnd w:id="1364"/>
          </w:p>
        </w:tc>
        <w:tc>
          <w:tcPr>
            <w:tcW w:w="776" w:type="pct"/>
            <w:tcBorders>
              <w:left w:val="nil"/>
              <w:right w:val="nil"/>
            </w:tcBorders>
            <w:shd w:val="clear" w:color="auto" w:fill="auto"/>
            <w:vAlign w:val="bottom"/>
          </w:tcPr>
          <w:p w14:paraId="48F58E83"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7</w:t>
            </w:r>
          </w:p>
        </w:tc>
        <w:tc>
          <w:tcPr>
            <w:tcW w:w="776" w:type="pct"/>
            <w:tcBorders>
              <w:left w:val="nil"/>
              <w:right w:val="nil"/>
            </w:tcBorders>
            <w:shd w:val="clear" w:color="auto" w:fill="auto"/>
            <w:vAlign w:val="bottom"/>
          </w:tcPr>
          <w:p w14:paraId="0F691C39" w14:textId="77777777" w:rsidR="004E2F51" w:rsidRPr="00A36FD6" w:rsidRDefault="004E2F51" w:rsidP="00E032FC">
            <w:pPr>
              <w:pStyle w:val="TT"/>
              <w:spacing w:line="220" w:lineRule="exact"/>
              <w:jc w:val="right"/>
              <w:rPr>
                <w:rFonts w:cs="Arial"/>
                <w:color w:val="000000" w:themeColor="text1"/>
                <w:sz w:val="18"/>
                <w:szCs w:val="18"/>
                <w:lang w:val="hr-HR"/>
              </w:rPr>
            </w:pPr>
            <w:bookmarkStart w:id="1365" w:name="_Toc67328956"/>
            <w:r w:rsidRPr="00A36FD6">
              <w:rPr>
                <w:rFonts w:cs="Arial"/>
                <w:color w:val="000000" w:themeColor="text1"/>
                <w:sz w:val="18"/>
                <w:szCs w:val="18"/>
                <w:lang w:val="hr-HR"/>
              </w:rPr>
              <w:t>3.468</w:t>
            </w:r>
            <w:bookmarkEnd w:id="1365"/>
          </w:p>
        </w:tc>
      </w:tr>
      <w:tr w:rsidR="004E2F51" w:rsidRPr="00843640" w14:paraId="4AB7825E" w14:textId="77777777" w:rsidTr="00E032FC">
        <w:tblPrEx>
          <w:tblCellMar>
            <w:left w:w="107" w:type="dxa"/>
            <w:right w:w="107" w:type="dxa"/>
          </w:tblCellMar>
        </w:tblPrEx>
        <w:trPr>
          <w:trHeight w:val="297"/>
          <w:jc w:val="center"/>
        </w:trPr>
        <w:tc>
          <w:tcPr>
            <w:tcW w:w="3448" w:type="pct"/>
            <w:shd w:val="clear" w:color="auto" w:fill="auto"/>
            <w:vAlign w:val="bottom"/>
          </w:tcPr>
          <w:p w14:paraId="2FDF027F" w14:textId="77777777" w:rsidR="004E2F51" w:rsidRPr="00A36FD6" w:rsidRDefault="004E2F51" w:rsidP="00E032FC">
            <w:pPr>
              <w:pStyle w:val="TT"/>
              <w:spacing w:line="220" w:lineRule="exact"/>
              <w:rPr>
                <w:rFonts w:cs="Arial"/>
                <w:color w:val="000000" w:themeColor="text1"/>
                <w:sz w:val="18"/>
                <w:szCs w:val="18"/>
                <w:highlight w:val="yellow"/>
                <w:lang w:val="hr-HR"/>
              </w:rPr>
            </w:pPr>
            <w:bookmarkStart w:id="1366" w:name="_Toc67328958"/>
            <w:r w:rsidRPr="00A36FD6">
              <w:rPr>
                <w:rFonts w:cs="Arial"/>
                <w:color w:val="000000" w:themeColor="text1"/>
                <w:sz w:val="18"/>
                <w:szCs w:val="18"/>
                <w:lang w:val="hr-HR"/>
              </w:rPr>
              <w:t>Obrtna sredstva Mjera COVID-19 za poduzetnike u djelatnostima prerade drva i proizvodnje namještaja</w:t>
            </w:r>
            <w:bookmarkEnd w:id="1366"/>
          </w:p>
        </w:tc>
        <w:tc>
          <w:tcPr>
            <w:tcW w:w="776" w:type="pct"/>
            <w:tcBorders>
              <w:left w:val="nil"/>
              <w:right w:val="nil"/>
            </w:tcBorders>
            <w:shd w:val="clear" w:color="auto" w:fill="auto"/>
            <w:vAlign w:val="bottom"/>
          </w:tcPr>
          <w:p w14:paraId="196F9FF3"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w:t>
            </w:r>
          </w:p>
        </w:tc>
        <w:tc>
          <w:tcPr>
            <w:tcW w:w="776" w:type="pct"/>
            <w:tcBorders>
              <w:left w:val="nil"/>
              <w:right w:val="nil"/>
            </w:tcBorders>
            <w:shd w:val="clear" w:color="auto" w:fill="auto"/>
            <w:vAlign w:val="bottom"/>
          </w:tcPr>
          <w:p w14:paraId="6A57F0A3" w14:textId="77777777" w:rsidR="004E2F51" w:rsidRPr="00A36FD6" w:rsidRDefault="004E2F51" w:rsidP="00E032FC">
            <w:pPr>
              <w:pStyle w:val="TT"/>
              <w:spacing w:line="220" w:lineRule="exact"/>
              <w:jc w:val="right"/>
              <w:rPr>
                <w:rFonts w:cs="Arial"/>
                <w:color w:val="000000" w:themeColor="text1"/>
                <w:sz w:val="18"/>
                <w:szCs w:val="18"/>
                <w:lang w:val="hr-HR"/>
              </w:rPr>
            </w:pPr>
            <w:bookmarkStart w:id="1367" w:name="_Toc67328959"/>
            <w:r w:rsidRPr="00A36FD6">
              <w:rPr>
                <w:rFonts w:cs="Arial"/>
                <w:color w:val="000000" w:themeColor="text1"/>
                <w:sz w:val="18"/>
                <w:szCs w:val="18"/>
                <w:lang w:val="hr-HR"/>
              </w:rPr>
              <w:t>309</w:t>
            </w:r>
            <w:bookmarkEnd w:id="1367"/>
          </w:p>
        </w:tc>
      </w:tr>
      <w:tr w:rsidR="004E2F51" w:rsidRPr="00843640" w14:paraId="12A22BD9" w14:textId="77777777" w:rsidTr="00E032FC">
        <w:tblPrEx>
          <w:tblCellMar>
            <w:left w:w="107" w:type="dxa"/>
            <w:right w:w="107" w:type="dxa"/>
          </w:tblCellMar>
        </w:tblPrEx>
        <w:trPr>
          <w:trHeight w:val="271"/>
          <w:jc w:val="center"/>
        </w:trPr>
        <w:tc>
          <w:tcPr>
            <w:tcW w:w="3448" w:type="pct"/>
            <w:shd w:val="clear" w:color="auto" w:fill="auto"/>
            <w:vAlign w:val="bottom"/>
          </w:tcPr>
          <w:p w14:paraId="7D11323A" w14:textId="77777777" w:rsidR="004E2F51" w:rsidRPr="00A36FD6" w:rsidRDefault="004E2F51" w:rsidP="00E032FC">
            <w:pPr>
              <w:pStyle w:val="TT"/>
              <w:spacing w:line="220" w:lineRule="exact"/>
              <w:rPr>
                <w:rFonts w:cs="Arial"/>
                <w:color w:val="000000" w:themeColor="text1"/>
                <w:sz w:val="18"/>
                <w:szCs w:val="18"/>
                <w:highlight w:val="yellow"/>
                <w:lang w:val="hr-HR"/>
              </w:rPr>
            </w:pPr>
            <w:bookmarkStart w:id="1368" w:name="_Toc67328964"/>
            <w:r w:rsidRPr="00A36FD6">
              <w:rPr>
                <w:rFonts w:cs="Arial"/>
                <w:color w:val="000000" w:themeColor="text1"/>
                <w:sz w:val="18"/>
                <w:szCs w:val="18"/>
                <w:lang w:val="hr-HR"/>
              </w:rPr>
              <w:t>Obrtna sredstva za ruralni razvoj</w:t>
            </w:r>
            <w:bookmarkEnd w:id="1368"/>
          </w:p>
        </w:tc>
        <w:tc>
          <w:tcPr>
            <w:tcW w:w="776" w:type="pct"/>
            <w:tcBorders>
              <w:left w:val="nil"/>
              <w:right w:val="nil"/>
            </w:tcBorders>
            <w:shd w:val="clear" w:color="auto" w:fill="auto"/>
            <w:vAlign w:val="bottom"/>
          </w:tcPr>
          <w:p w14:paraId="17C0D25C"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259.126</w:t>
            </w:r>
          </w:p>
        </w:tc>
        <w:tc>
          <w:tcPr>
            <w:tcW w:w="776" w:type="pct"/>
            <w:tcBorders>
              <w:left w:val="nil"/>
              <w:right w:val="nil"/>
            </w:tcBorders>
            <w:shd w:val="clear" w:color="auto" w:fill="auto"/>
            <w:vAlign w:val="bottom"/>
          </w:tcPr>
          <w:p w14:paraId="5B52CD7D" w14:textId="77777777" w:rsidR="004E2F51" w:rsidRPr="00A36FD6" w:rsidRDefault="004E2F51" w:rsidP="00E032FC">
            <w:pPr>
              <w:pStyle w:val="TT"/>
              <w:spacing w:line="220" w:lineRule="exact"/>
              <w:jc w:val="right"/>
              <w:rPr>
                <w:rFonts w:cs="Arial"/>
                <w:color w:val="000000" w:themeColor="text1"/>
                <w:sz w:val="18"/>
                <w:szCs w:val="18"/>
                <w:lang w:val="hr-HR"/>
              </w:rPr>
            </w:pPr>
            <w:bookmarkStart w:id="1369" w:name="_Toc67328965"/>
            <w:r w:rsidRPr="00A36FD6">
              <w:rPr>
                <w:rFonts w:cs="Arial"/>
                <w:color w:val="000000" w:themeColor="text1"/>
                <w:sz w:val="18"/>
                <w:szCs w:val="18"/>
                <w:lang w:val="hr-HR"/>
              </w:rPr>
              <w:t>259.159</w:t>
            </w:r>
            <w:bookmarkEnd w:id="1369"/>
          </w:p>
        </w:tc>
      </w:tr>
      <w:tr w:rsidR="004E2F51" w:rsidRPr="00843640" w14:paraId="2C89FFB4" w14:textId="77777777" w:rsidTr="00E032FC">
        <w:tblPrEx>
          <w:tblCellMar>
            <w:left w:w="107" w:type="dxa"/>
            <w:right w:w="107" w:type="dxa"/>
          </w:tblCellMar>
        </w:tblPrEx>
        <w:trPr>
          <w:trHeight w:val="271"/>
          <w:jc w:val="center"/>
        </w:trPr>
        <w:tc>
          <w:tcPr>
            <w:tcW w:w="3448" w:type="pct"/>
            <w:shd w:val="clear" w:color="auto" w:fill="auto"/>
            <w:vAlign w:val="bottom"/>
          </w:tcPr>
          <w:p w14:paraId="7278EBD6" w14:textId="77777777" w:rsidR="004E2F51" w:rsidRPr="00A36FD6" w:rsidRDefault="004E2F51" w:rsidP="00E032FC">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Ministarstvo turizma i sporta subvencije kamate za nabavu mobilnih kućica poslovnih subjekata u sektoru turizma</w:t>
            </w:r>
          </w:p>
        </w:tc>
        <w:tc>
          <w:tcPr>
            <w:tcW w:w="776" w:type="pct"/>
            <w:tcBorders>
              <w:left w:val="nil"/>
              <w:right w:val="nil"/>
            </w:tcBorders>
            <w:shd w:val="clear" w:color="auto" w:fill="auto"/>
            <w:vAlign w:val="bottom"/>
          </w:tcPr>
          <w:p w14:paraId="23FC5FF0"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w:t>
            </w:r>
          </w:p>
        </w:tc>
        <w:tc>
          <w:tcPr>
            <w:tcW w:w="776" w:type="pct"/>
            <w:tcBorders>
              <w:left w:val="nil"/>
              <w:right w:val="nil"/>
            </w:tcBorders>
            <w:shd w:val="clear" w:color="auto" w:fill="auto"/>
            <w:vAlign w:val="bottom"/>
          </w:tcPr>
          <w:p w14:paraId="23F942F2"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1.500</w:t>
            </w:r>
          </w:p>
        </w:tc>
      </w:tr>
      <w:tr w:rsidR="004E2F51" w:rsidRPr="00843640" w14:paraId="2D924CE5" w14:textId="77777777" w:rsidTr="00E032FC">
        <w:tblPrEx>
          <w:tblCellMar>
            <w:left w:w="107" w:type="dxa"/>
            <w:right w:w="107" w:type="dxa"/>
          </w:tblCellMar>
        </w:tblPrEx>
        <w:trPr>
          <w:trHeight w:val="271"/>
          <w:jc w:val="center"/>
        </w:trPr>
        <w:tc>
          <w:tcPr>
            <w:tcW w:w="3448" w:type="pct"/>
            <w:shd w:val="clear" w:color="auto" w:fill="auto"/>
            <w:vAlign w:val="bottom"/>
          </w:tcPr>
          <w:p w14:paraId="4523624C" w14:textId="77777777" w:rsidR="004E2F51" w:rsidRPr="00A36FD6" w:rsidRDefault="004E2F51" w:rsidP="00E032FC">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Ulaganje u Investicijski fond Inicijative triju mora</w:t>
            </w:r>
            <w:r w:rsidRPr="00A36FD6">
              <w:rPr>
                <w:rStyle w:val="FootnoteReference"/>
                <w:rFonts w:cs="Arial"/>
                <w:color w:val="000000" w:themeColor="text1"/>
                <w:sz w:val="18"/>
                <w:szCs w:val="18"/>
                <w:lang w:val="hr-HR"/>
              </w:rPr>
              <w:footnoteReference w:id="5"/>
            </w:r>
          </w:p>
        </w:tc>
        <w:tc>
          <w:tcPr>
            <w:tcW w:w="776" w:type="pct"/>
            <w:tcBorders>
              <w:left w:val="nil"/>
              <w:right w:val="nil"/>
            </w:tcBorders>
            <w:shd w:val="clear" w:color="auto" w:fill="auto"/>
            <w:vAlign w:val="bottom"/>
          </w:tcPr>
          <w:p w14:paraId="797EE981"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80.132</w:t>
            </w:r>
          </w:p>
        </w:tc>
        <w:tc>
          <w:tcPr>
            <w:tcW w:w="776" w:type="pct"/>
            <w:tcBorders>
              <w:left w:val="nil"/>
              <w:right w:val="nil"/>
            </w:tcBorders>
            <w:shd w:val="clear" w:color="auto" w:fill="auto"/>
            <w:vAlign w:val="bottom"/>
          </w:tcPr>
          <w:p w14:paraId="14D0E949"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52.768</w:t>
            </w:r>
          </w:p>
        </w:tc>
      </w:tr>
      <w:tr w:rsidR="004E2F51" w:rsidRPr="00843640" w14:paraId="102C3F13" w14:textId="77777777" w:rsidTr="00E032FC">
        <w:tblPrEx>
          <w:tblCellMar>
            <w:left w:w="107" w:type="dxa"/>
            <w:right w:w="107" w:type="dxa"/>
          </w:tblCellMar>
        </w:tblPrEx>
        <w:trPr>
          <w:trHeight w:val="271"/>
          <w:jc w:val="center"/>
        </w:trPr>
        <w:tc>
          <w:tcPr>
            <w:tcW w:w="3448" w:type="pct"/>
            <w:shd w:val="clear" w:color="auto" w:fill="auto"/>
            <w:vAlign w:val="bottom"/>
          </w:tcPr>
          <w:p w14:paraId="609CA995" w14:textId="77777777" w:rsidR="004E2F51" w:rsidRPr="00A36FD6" w:rsidRDefault="004E2F51" w:rsidP="00E032FC">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NPOO - Fond subvencija kamata za MSP</w:t>
            </w:r>
          </w:p>
        </w:tc>
        <w:tc>
          <w:tcPr>
            <w:tcW w:w="776" w:type="pct"/>
            <w:tcBorders>
              <w:left w:val="nil"/>
              <w:right w:val="nil"/>
            </w:tcBorders>
            <w:shd w:val="clear" w:color="auto" w:fill="auto"/>
            <w:vAlign w:val="bottom"/>
          </w:tcPr>
          <w:p w14:paraId="7522A266"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46.095</w:t>
            </w:r>
          </w:p>
        </w:tc>
        <w:tc>
          <w:tcPr>
            <w:tcW w:w="776" w:type="pct"/>
            <w:tcBorders>
              <w:left w:val="nil"/>
              <w:right w:val="nil"/>
            </w:tcBorders>
            <w:shd w:val="clear" w:color="auto" w:fill="auto"/>
            <w:vAlign w:val="bottom"/>
          </w:tcPr>
          <w:p w14:paraId="4CBD2B20"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w:t>
            </w:r>
          </w:p>
        </w:tc>
      </w:tr>
      <w:tr w:rsidR="004E2F51" w:rsidRPr="00843640" w14:paraId="39278249" w14:textId="77777777" w:rsidTr="00E032FC">
        <w:tblPrEx>
          <w:tblCellMar>
            <w:left w:w="107" w:type="dxa"/>
            <w:right w:w="107" w:type="dxa"/>
          </w:tblCellMar>
        </w:tblPrEx>
        <w:trPr>
          <w:trHeight w:val="271"/>
          <w:jc w:val="center"/>
        </w:trPr>
        <w:tc>
          <w:tcPr>
            <w:tcW w:w="3448" w:type="pct"/>
            <w:shd w:val="clear" w:color="auto" w:fill="auto"/>
            <w:vAlign w:val="bottom"/>
          </w:tcPr>
          <w:p w14:paraId="0C7C6438" w14:textId="77777777" w:rsidR="004E2F51" w:rsidRPr="00A36FD6" w:rsidRDefault="004E2F51" w:rsidP="00E032FC">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NPOO - Fond subvencija kamata za MIDCAP i Velike poduzetnike</w:t>
            </w:r>
          </w:p>
        </w:tc>
        <w:tc>
          <w:tcPr>
            <w:tcW w:w="776" w:type="pct"/>
            <w:tcBorders>
              <w:left w:val="nil"/>
              <w:right w:val="nil"/>
            </w:tcBorders>
            <w:shd w:val="clear" w:color="auto" w:fill="auto"/>
            <w:vAlign w:val="bottom"/>
          </w:tcPr>
          <w:p w14:paraId="1B1D612F"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50.005</w:t>
            </w:r>
          </w:p>
        </w:tc>
        <w:tc>
          <w:tcPr>
            <w:tcW w:w="776" w:type="pct"/>
            <w:tcBorders>
              <w:left w:val="nil"/>
              <w:right w:val="nil"/>
            </w:tcBorders>
            <w:shd w:val="clear" w:color="auto" w:fill="auto"/>
            <w:vAlign w:val="bottom"/>
          </w:tcPr>
          <w:p w14:paraId="5125FB53"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w:t>
            </w:r>
          </w:p>
        </w:tc>
      </w:tr>
      <w:tr w:rsidR="004E2F51" w:rsidRPr="00843640" w14:paraId="4FE499D2" w14:textId="77777777" w:rsidTr="00E032FC">
        <w:tblPrEx>
          <w:tblCellMar>
            <w:left w:w="107" w:type="dxa"/>
            <w:right w:w="107" w:type="dxa"/>
          </w:tblCellMar>
        </w:tblPrEx>
        <w:trPr>
          <w:trHeight w:val="271"/>
          <w:jc w:val="center"/>
        </w:trPr>
        <w:tc>
          <w:tcPr>
            <w:tcW w:w="3448" w:type="pct"/>
            <w:shd w:val="clear" w:color="auto" w:fill="auto"/>
            <w:vAlign w:val="bottom"/>
          </w:tcPr>
          <w:p w14:paraId="3BBDE9E9" w14:textId="77777777" w:rsidR="004E2F51" w:rsidRPr="00A36FD6" w:rsidRDefault="004E2F51" w:rsidP="00E032FC">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NPOO - Fond subvencija kamata za Javni sektor</w:t>
            </w:r>
          </w:p>
        </w:tc>
        <w:tc>
          <w:tcPr>
            <w:tcW w:w="776" w:type="pct"/>
            <w:tcBorders>
              <w:left w:val="nil"/>
              <w:right w:val="nil"/>
            </w:tcBorders>
            <w:shd w:val="clear" w:color="auto" w:fill="auto"/>
            <w:vAlign w:val="bottom"/>
          </w:tcPr>
          <w:p w14:paraId="7FC35CBE"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50.005</w:t>
            </w:r>
          </w:p>
        </w:tc>
        <w:tc>
          <w:tcPr>
            <w:tcW w:w="776" w:type="pct"/>
            <w:tcBorders>
              <w:left w:val="nil"/>
              <w:right w:val="nil"/>
            </w:tcBorders>
            <w:shd w:val="clear" w:color="auto" w:fill="auto"/>
            <w:vAlign w:val="bottom"/>
          </w:tcPr>
          <w:p w14:paraId="04C9E1B5"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w:t>
            </w:r>
          </w:p>
        </w:tc>
      </w:tr>
      <w:tr w:rsidR="004E2F51" w:rsidRPr="00843640" w14:paraId="4D417B19" w14:textId="77777777" w:rsidTr="00E032FC">
        <w:tblPrEx>
          <w:tblCellMar>
            <w:left w:w="107" w:type="dxa"/>
            <w:right w:w="107" w:type="dxa"/>
          </w:tblCellMar>
        </w:tblPrEx>
        <w:trPr>
          <w:trHeight w:val="271"/>
          <w:jc w:val="center"/>
        </w:trPr>
        <w:tc>
          <w:tcPr>
            <w:tcW w:w="3448" w:type="pct"/>
            <w:shd w:val="clear" w:color="auto" w:fill="auto"/>
            <w:vAlign w:val="bottom"/>
          </w:tcPr>
          <w:p w14:paraId="0FEDE88E" w14:textId="77777777" w:rsidR="004E2F51" w:rsidRPr="00A36FD6" w:rsidRDefault="004E2F51" w:rsidP="00E032FC">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NPOO - Krediti posebnih segmenata MSP-ova</w:t>
            </w:r>
          </w:p>
        </w:tc>
        <w:tc>
          <w:tcPr>
            <w:tcW w:w="776" w:type="pct"/>
            <w:tcBorders>
              <w:left w:val="nil"/>
              <w:right w:val="nil"/>
            </w:tcBorders>
            <w:shd w:val="clear" w:color="auto" w:fill="auto"/>
            <w:vAlign w:val="bottom"/>
          </w:tcPr>
          <w:p w14:paraId="34FF4C34"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125.011</w:t>
            </w:r>
          </w:p>
        </w:tc>
        <w:tc>
          <w:tcPr>
            <w:tcW w:w="776" w:type="pct"/>
            <w:tcBorders>
              <w:left w:val="nil"/>
              <w:right w:val="nil"/>
            </w:tcBorders>
            <w:shd w:val="clear" w:color="auto" w:fill="auto"/>
            <w:vAlign w:val="bottom"/>
          </w:tcPr>
          <w:p w14:paraId="411B3EB5"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w:t>
            </w:r>
          </w:p>
        </w:tc>
      </w:tr>
      <w:tr w:rsidR="004E2F51" w:rsidRPr="00843640" w14:paraId="7E7127A6" w14:textId="77777777" w:rsidTr="00E032FC">
        <w:tblPrEx>
          <w:tblCellMar>
            <w:left w:w="107" w:type="dxa"/>
            <w:right w:w="107" w:type="dxa"/>
          </w:tblCellMar>
        </w:tblPrEx>
        <w:trPr>
          <w:trHeight w:val="271"/>
          <w:jc w:val="center"/>
        </w:trPr>
        <w:tc>
          <w:tcPr>
            <w:tcW w:w="3448" w:type="pct"/>
            <w:shd w:val="clear" w:color="auto" w:fill="auto"/>
            <w:vAlign w:val="bottom"/>
          </w:tcPr>
          <w:p w14:paraId="641C43A6" w14:textId="77777777" w:rsidR="004E2F51" w:rsidRPr="00A36FD6" w:rsidRDefault="004E2F51" w:rsidP="00E032FC">
            <w:pPr>
              <w:pStyle w:val="TT"/>
              <w:spacing w:line="220" w:lineRule="exact"/>
              <w:rPr>
                <w:rFonts w:cs="Arial"/>
                <w:color w:val="000000" w:themeColor="text1"/>
                <w:sz w:val="18"/>
                <w:szCs w:val="18"/>
                <w:lang w:val="hr-HR"/>
              </w:rPr>
            </w:pPr>
            <w:r w:rsidRPr="00A36FD6">
              <w:rPr>
                <w:rFonts w:cs="Arial"/>
                <w:color w:val="000000" w:themeColor="text1"/>
                <w:sz w:val="18"/>
                <w:szCs w:val="18"/>
                <w:lang w:val="hr-HR"/>
              </w:rPr>
              <w:t>NPOO - Jamstveni fond</w:t>
            </w:r>
          </w:p>
        </w:tc>
        <w:tc>
          <w:tcPr>
            <w:tcW w:w="776" w:type="pct"/>
            <w:tcBorders>
              <w:left w:val="nil"/>
              <w:bottom w:val="single" w:sz="4" w:space="0" w:color="auto"/>
              <w:right w:val="nil"/>
            </w:tcBorders>
            <w:shd w:val="clear" w:color="auto" w:fill="auto"/>
            <w:vAlign w:val="bottom"/>
          </w:tcPr>
          <w:p w14:paraId="2B5C21C8"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150.000</w:t>
            </w:r>
          </w:p>
        </w:tc>
        <w:tc>
          <w:tcPr>
            <w:tcW w:w="776" w:type="pct"/>
            <w:tcBorders>
              <w:left w:val="nil"/>
              <w:bottom w:val="single" w:sz="4" w:space="0" w:color="auto"/>
              <w:right w:val="nil"/>
            </w:tcBorders>
            <w:shd w:val="clear" w:color="auto" w:fill="auto"/>
            <w:vAlign w:val="bottom"/>
          </w:tcPr>
          <w:p w14:paraId="0888AD68" w14:textId="77777777" w:rsidR="004E2F51" w:rsidRPr="00A36FD6" w:rsidRDefault="004E2F51" w:rsidP="00E032FC">
            <w:pPr>
              <w:pStyle w:val="TT"/>
              <w:spacing w:line="220" w:lineRule="exact"/>
              <w:jc w:val="right"/>
              <w:rPr>
                <w:rFonts w:cs="Arial"/>
                <w:color w:val="000000" w:themeColor="text1"/>
                <w:sz w:val="18"/>
                <w:szCs w:val="18"/>
                <w:lang w:val="hr-HR"/>
              </w:rPr>
            </w:pPr>
            <w:r w:rsidRPr="00A36FD6">
              <w:rPr>
                <w:rFonts w:cs="Arial"/>
                <w:color w:val="000000" w:themeColor="text1"/>
                <w:sz w:val="18"/>
                <w:szCs w:val="18"/>
                <w:lang w:val="hr-HR"/>
              </w:rPr>
              <w:t>-</w:t>
            </w:r>
          </w:p>
        </w:tc>
      </w:tr>
      <w:tr w:rsidR="004E2F51" w:rsidRPr="00843640" w14:paraId="32833B15" w14:textId="77777777" w:rsidTr="00E032FC">
        <w:tblPrEx>
          <w:tblCellMar>
            <w:left w:w="107" w:type="dxa"/>
            <w:right w:w="107" w:type="dxa"/>
          </w:tblCellMar>
        </w:tblPrEx>
        <w:trPr>
          <w:trHeight w:val="318"/>
          <w:jc w:val="center"/>
        </w:trPr>
        <w:tc>
          <w:tcPr>
            <w:tcW w:w="3448" w:type="pct"/>
            <w:shd w:val="clear" w:color="auto" w:fill="auto"/>
            <w:vAlign w:val="center"/>
          </w:tcPr>
          <w:p w14:paraId="560B0656" w14:textId="77777777" w:rsidR="004E2F51" w:rsidRPr="00A36FD6" w:rsidRDefault="004E2F51" w:rsidP="00E032FC">
            <w:pPr>
              <w:pStyle w:val="TT"/>
              <w:spacing w:line="220" w:lineRule="exact"/>
              <w:rPr>
                <w:rFonts w:cs="Arial"/>
                <w:color w:val="000000" w:themeColor="text1"/>
                <w:sz w:val="18"/>
                <w:szCs w:val="18"/>
                <w:lang w:val="hr-HR"/>
              </w:rPr>
            </w:pPr>
          </w:p>
        </w:tc>
        <w:tc>
          <w:tcPr>
            <w:tcW w:w="776" w:type="pct"/>
            <w:tcBorders>
              <w:top w:val="single" w:sz="4" w:space="0" w:color="auto"/>
              <w:left w:val="nil"/>
              <w:bottom w:val="single" w:sz="12" w:space="0" w:color="auto"/>
              <w:right w:val="nil"/>
            </w:tcBorders>
            <w:shd w:val="clear" w:color="auto" w:fill="auto"/>
            <w:vAlign w:val="center"/>
          </w:tcPr>
          <w:p w14:paraId="7FFEF4F8" w14:textId="77777777" w:rsidR="004E2F51" w:rsidRPr="00A36FD6" w:rsidRDefault="004E2F51" w:rsidP="00E032FC">
            <w:pPr>
              <w:pStyle w:val="TT"/>
              <w:spacing w:line="220" w:lineRule="exact"/>
              <w:jc w:val="right"/>
              <w:rPr>
                <w:rFonts w:cs="Arial"/>
                <w:b/>
                <w:color w:val="000000" w:themeColor="text1"/>
                <w:sz w:val="18"/>
                <w:szCs w:val="18"/>
                <w:lang w:val="hr-HR"/>
              </w:rPr>
            </w:pPr>
            <w:r w:rsidRPr="00A36FD6">
              <w:rPr>
                <w:rFonts w:cs="Arial"/>
                <w:b/>
                <w:color w:val="000000" w:themeColor="text1"/>
                <w:sz w:val="18"/>
                <w:szCs w:val="18"/>
                <w:lang w:val="hr-HR"/>
              </w:rPr>
              <w:t>4.371.221</w:t>
            </w:r>
          </w:p>
        </w:tc>
        <w:tc>
          <w:tcPr>
            <w:tcW w:w="776" w:type="pct"/>
            <w:tcBorders>
              <w:top w:val="single" w:sz="4" w:space="0" w:color="auto"/>
              <w:left w:val="nil"/>
              <w:bottom w:val="single" w:sz="12" w:space="0" w:color="auto"/>
              <w:right w:val="nil"/>
            </w:tcBorders>
            <w:shd w:val="clear" w:color="auto" w:fill="auto"/>
            <w:vAlign w:val="center"/>
          </w:tcPr>
          <w:p w14:paraId="7308C53A" w14:textId="77777777" w:rsidR="004E2F51" w:rsidRPr="00A36FD6" w:rsidRDefault="004E2F51" w:rsidP="00E032FC">
            <w:pPr>
              <w:pStyle w:val="TT"/>
              <w:spacing w:line="220" w:lineRule="exact"/>
              <w:jc w:val="right"/>
              <w:rPr>
                <w:rFonts w:cs="Arial"/>
                <w:b/>
                <w:color w:val="000000" w:themeColor="text1"/>
                <w:sz w:val="18"/>
                <w:szCs w:val="18"/>
                <w:lang w:val="hr-HR"/>
              </w:rPr>
            </w:pPr>
            <w:r w:rsidRPr="00A36FD6">
              <w:rPr>
                <w:rFonts w:cs="Arial"/>
                <w:b/>
                <w:color w:val="000000" w:themeColor="text1"/>
                <w:sz w:val="18"/>
                <w:szCs w:val="18"/>
                <w:lang w:val="hr-HR"/>
              </w:rPr>
              <w:t>3.612.774</w:t>
            </w:r>
          </w:p>
        </w:tc>
      </w:tr>
    </w:tbl>
    <w:p w14:paraId="6F7E5597" w14:textId="77777777" w:rsidR="004E2F51" w:rsidRPr="0090602E" w:rsidRDefault="004E2F51" w:rsidP="004E2F51">
      <w:pPr>
        <w:pStyle w:val="T1"/>
        <w:keepNext w:val="0"/>
        <w:spacing w:before="60" w:after="0" w:line="240" w:lineRule="exact"/>
        <w:rPr>
          <w:rFonts w:cs="Arial"/>
          <w:b w:val="0"/>
          <w:color w:val="000000" w:themeColor="text1"/>
          <w:sz w:val="20"/>
          <w:lang w:val="hr-HR"/>
        </w:rPr>
        <w:sectPr w:rsidR="004E2F51" w:rsidRPr="0090602E" w:rsidSect="00623DBA">
          <w:footerReference w:type="default" r:id="rId157"/>
          <w:pgSz w:w="11907" w:h="16840" w:code="9"/>
          <w:pgMar w:top="1418" w:right="1134" w:bottom="1134" w:left="1418" w:header="851" w:footer="714" w:gutter="0"/>
          <w:cols w:space="720"/>
          <w:noEndnote/>
        </w:sectPr>
      </w:pPr>
    </w:p>
    <w:p w14:paraId="5CA66E33" w14:textId="77777777" w:rsidR="004E2F51" w:rsidRPr="00D7126C" w:rsidRDefault="004E2F51" w:rsidP="004E2F51">
      <w:pPr>
        <w:rPr>
          <w:lang w:val="hr-HR"/>
        </w:rPr>
        <w:sectPr w:rsidR="004E2F51" w:rsidRPr="00D7126C" w:rsidSect="00623DBA">
          <w:footerReference w:type="default" r:id="rId158"/>
          <w:type w:val="continuous"/>
          <w:pgSz w:w="11907" w:h="16840" w:code="9"/>
          <w:pgMar w:top="1418" w:right="1134" w:bottom="1134" w:left="1418" w:header="851" w:footer="851" w:gutter="0"/>
          <w:cols w:space="720"/>
          <w:noEndnote/>
        </w:sectPr>
      </w:pPr>
    </w:p>
    <w:p w14:paraId="77DE8D8A" w14:textId="77777777" w:rsidR="004E2F51" w:rsidRPr="001E3356" w:rsidRDefault="004E2F51" w:rsidP="004E2F51">
      <w:pPr>
        <w:pStyle w:val="T1"/>
        <w:keepNext w:val="0"/>
        <w:tabs>
          <w:tab w:val="left" w:pos="567"/>
        </w:tabs>
        <w:spacing w:before="0" w:after="0" w:line="240" w:lineRule="auto"/>
        <w:rPr>
          <w:rFonts w:cs="Arial"/>
          <w:bCs w:val="0"/>
          <w:color w:val="000000" w:themeColor="text1"/>
          <w:sz w:val="20"/>
          <w:lang w:val="hr-HR"/>
        </w:rPr>
      </w:pPr>
    </w:p>
    <w:p w14:paraId="2FE8E05E" w14:textId="77777777" w:rsidR="004E2F51" w:rsidRPr="001E3356" w:rsidRDefault="004E2F51" w:rsidP="004E2F51">
      <w:pPr>
        <w:pStyle w:val="T1"/>
        <w:keepNext w:val="0"/>
        <w:tabs>
          <w:tab w:val="left" w:pos="567"/>
        </w:tabs>
        <w:spacing w:before="0" w:after="0" w:line="240" w:lineRule="auto"/>
        <w:rPr>
          <w:rFonts w:cs="Arial"/>
          <w:bCs w:val="0"/>
          <w:color w:val="000000" w:themeColor="text1"/>
          <w:sz w:val="20"/>
          <w:lang w:val="hr-HR"/>
        </w:rPr>
      </w:pPr>
      <w:r w:rsidRPr="001E3356">
        <w:rPr>
          <w:rFonts w:cs="Arial"/>
          <w:bCs w:val="0"/>
          <w:color w:val="000000" w:themeColor="text1"/>
          <w:sz w:val="20"/>
          <w:lang w:val="hr-HR"/>
        </w:rPr>
        <w:t>3</w:t>
      </w:r>
      <w:r>
        <w:rPr>
          <w:rFonts w:cs="Arial"/>
          <w:bCs w:val="0"/>
          <w:color w:val="000000" w:themeColor="text1"/>
          <w:sz w:val="20"/>
          <w:lang w:val="hr-HR"/>
        </w:rPr>
        <w:t>0</w:t>
      </w:r>
      <w:r w:rsidRPr="001E3356">
        <w:rPr>
          <w:rFonts w:cs="Arial"/>
          <w:bCs w:val="0"/>
          <w:color w:val="000000" w:themeColor="text1"/>
          <w:sz w:val="20"/>
          <w:lang w:val="hr-HR"/>
        </w:rPr>
        <w:t>.</w:t>
      </w:r>
      <w:r w:rsidRPr="001E3356">
        <w:rPr>
          <w:rFonts w:cs="Arial"/>
          <w:bCs w:val="0"/>
          <w:color w:val="000000" w:themeColor="text1"/>
          <w:sz w:val="20"/>
          <w:lang w:val="hr-HR"/>
        </w:rPr>
        <w:tab/>
        <w:t>Transakcije s povezanim stranama</w:t>
      </w:r>
    </w:p>
    <w:p w14:paraId="13F44C18" w14:textId="77777777" w:rsidR="004E2F51" w:rsidRPr="001E3356" w:rsidRDefault="004E2F51" w:rsidP="004E2F51">
      <w:pPr>
        <w:pStyle w:val="T1"/>
        <w:keepNext w:val="0"/>
        <w:spacing w:before="0" w:after="0" w:line="240" w:lineRule="auto"/>
        <w:rPr>
          <w:rFonts w:cs="Arial"/>
          <w:bCs w:val="0"/>
          <w:color w:val="000000" w:themeColor="text1"/>
          <w:sz w:val="20"/>
          <w:lang w:val="hr-HR"/>
        </w:rPr>
      </w:pPr>
    </w:p>
    <w:p w14:paraId="1E17F54F" w14:textId="77777777" w:rsidR="004E2F51" w:rsidRPr="001E3356" w:rsidRDefault="004E2F51" w:rsidP="004E2F51">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Povezane strane su društva koja izravno ili neizravno putem jednog ili više posrednika kontroliraju izvještajno društvo ili su pod njegovom kontrolom.</w:t>
      </w:r>
    </w:p>
    <w:p w14:paraId="182AA135" w14:textId="77777777" w:rsidR="004E2F51" w:rsidRPr="001E3356" w:rsidRDefault="004E2F51" w:rsidP="004E2F51">
      <w:pPr>
        <w:pStyle w:val="T1"/>
        <w:spacing w:before="0" w:after="0" w:line="240" w:lineRule="auto"/>
        <w:rPr>
          <w:rFonts w:cs="Arial"/>
          <w:b w:val="0"/>
          <w:color w:val="000000" w:themeColor="text1"/>
          <w:sz w:val="20"/>
          <w:lang w:val="hr-HR"/>
        </w:rPr>
      </w:pPr>
    </w:p>
    <w:p w14:paraId="36772900" w14:textId="77777777" w:rsidR="004E2F51" w:rsidRPr="001E3356" w:rsidRDefault="004E2F51" w:rsidP="004E2F51">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Najveći dio transakcija s povezanim stranama čine transakcije s Republikom Hrvatskom, 100%-tnim vlasnikom Banke i državnim trgovačkim društvima nad kojima Republika Hrvatska ima kontrolni utjecaj.</w:t>
      </w:r>
    </w:p>
    <w:p w14:paraId="146CA810" w14:textId="77777777" w:rsidR="004E2F51" w:rsidRPr="001E3356" w:rsidRDefault="004E2F51" w:rsidP="004E2F51">
      <w:pPr>
        <w:pStyle w:val="T1"/>
        <w:spacing w:before="0" w:after="0" w:line="240" w:lineRule="auto"/>
        <w:rPr>
          <w:rFonts w:cs="Arial"/>
          <w:b w:val="0"/>
          <w:color w:val="000000" w:themeColor="text1"/>
          <w:sz w:val="20"/>
          <w:lang w:val="hr-HR"/>
        </w:rPr>
      </w:pPr>
    </w:p>
    <w:p w14:paraId="27783718" w14:textId="77777777" w:rsidR="004E2F51" w:rsidRPr="001E3356" w:rsidRDefault="004E2F51" w:rsidP="004E2F51">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 xml:space="preserve">Sve iskazane transakcije obavljene su po uobičajenim/redovnim uvjetima Banke. </w:t>
      </w:r>
    </w:p>
    <w:p w14:paraId="49E65FEC" w14:textId="77777777" w:rsidR="004E2F51" w:rsidRPr="001E3356" w:rsidRDefault="004E2F51" w:rsidP="004E2F51">
      <w:pPr>
        <w:pStyle w:val="T1"/>
        <w:spacing w:before="0" w:after="0" w:line="240" w:lineRule="auto"/>
        <w:rPr>
          <w:rFonts w:cs="Arial"/>
          <w:b w:val="0"/>
          <w:color w:val="000000" w:themeColor="text1"/>
          <w:sz w:val="20"/>
          <w:lang w:val="hr-HR"/>
        </w:rPr>
      </w:pPr>
    </w:p>
    <w:p w14:paraId="25FAB029" w14:textId="77777777" w:rsidR="004E2F51" w:rsidRPr="001E3356" w:rsidRDefault="004E2F51" w:rsidP="004E2F51">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Na dan 31. prosinca 202</w:t>
      </w:r>
      <w:r>
        <w:rPr>
          <w:rFonts w:cs="Arial"/>
          <w:b w:val="0"/>
          <w:color w:val="000000" w:themeColor="text1"/>
          <w:sz w:val="20"/>
          <w:lang w:val="hr-HR"/>
        </w:rPr>
        <w:t>2</w:t>
      </w:r>
      <w:r w:rsidRPr="001E3356">
        <w:rPr>
          <w:rFonts w:cs="Arial"/>
          <w:b w:val="0"/>
          <w:color w:val="000000" w:themeColor="text1"/>
          <w:sz w:val="20"/>
          <w:lang w:val="hr-HR"/>
        </w:rPr>
        <w:t>. i 31. prosinca 202</w:t>
      </w:r>
      <w:r>
        <w:rPr>
          <w:rFonts w:cs="Arial"/>
          <w:b w:val="0"/>
          <w:color w:val="000000" w:themeColor="text1"/>
          <w:sz w:val="20"/>
          <w:lang w:val="hr-HR"/>
        </w:rPr>
        <w:t>1</w:t>
      </w:r>
      <w:r w:rsidRPr="001E3356">
        <w:rPr>
          <w:rFonts w:cs="Arial"/>
          <w:b w:val="0"/>
          <w:color w:val="000000" w:themeColor="text1"/>
          <w:sz w:val="20"/>
          <w:lang w:val="hr-HR"/>
        </w:rPr>
        <w:t xml:space="preserve">., stanja koja proizlaze iz transakcija s povezanim stranama, uključujući ključne članove rukovodstva, obuhvaćaju sljedeće: </w:t>
      </w:r>
    </w:p>
    <w:p w14:paraId="1D44DD0E" w14:textId="77777777" w:rsidR="004E2F51" w:rsidRPr="001E3356" w:rsidRDefault="004E2F51" w:rsidP="004E2F51">
      <w:pPr>
        <w:pStyle w:val="T1"/>
        <w:spacing w:before="0" w:after="0" w:line="240" w:lineRule="auto"/>
        <w:rPr>
          <w:rFonts w:cs="Arial"/>
          <w:b w:val="0"/>
          <w:color w:val="000000" w:themeColor="text1"/>
          <w:sz w:val="20"/>
          <w:lang w:val="hr-HR"/>
        </w:rPr>
      </w:pPr>
    </w:p>
    <w:p w14:paraId="75E1127D" w14:textId="77777777" w:rsidR="004E2F51" w:rsidRPr="001E3356" w:rsidRDefault="004E2F51">
      <w:pPr>
        <w:pStyle w:val="T1"/>
        <w:numPr>
          <w:ilvl w:val="0"/>
          <w:numId w:val="35"/>
        </w:numPr>
        <w:suppressAutoHyphens w:val="0"/>
        <w:autoSpaceDN/>
        <w:spacing w:before="0" w:after="0" w:line="240" w:lineRule="auto"/>
        <w:ind w:left="567" w:hanging="567"/>
        <w:outlineLvl w:val="9"/>
        <w:rPr>
          <w:rFonts w:cs="Arial"/>
          <w:b w:val="0"/>
          <w:color w:val="000000" w:themeColor="text1"/>
          <w:sz w:val="20"/>
          <w:lang w:val="hr-HR"/>
        </w:rPr>
      </w:pPr>
      <w:r w:rsidRPr="001E3356">
        <w:rPr>
          <w:rFonts w:cs="Arial"/>
          <w:b w:val="0"/>
          <w:color w:val="000000" w:themeColor="text1"/>
          <w:sz w:val="20"/>
          <w:lang w:val="hr-HR"/>
        </w:rPr>
        <w:t>Transakcije s povezanim stranama</w:t>
      </w:r>
    </w:p>
    <w:p w14:paraId="568F2C49" w14:textId="77777777" w:rsidR="004E2F51" w:rsidRPr="001E3356" w:rsidRDefault="004E2F51" w:rsidP="004E2F51">
      <w:pPr>
        <w:pStyle w:val="T1"/>
        <w:spacing w:before="0" w:after="0" w:line="240" w:lineRule="auto"/>
        <w:ind w:left="357"/>
        <w:rPr>
          <w:rFonts w:cs="Arial"/>
          <w:b w:val="0"/>
          <w:color w:val="000000" w:themeColor="text1"/>
          <w:sz w:val="20"/>
          <w:lang w:val="hr-HR"/>
        </w:rPr>
      </w:pPr>
    </w:p>
    <w:p w14:paraId="4DA2D57E" w14:textId="77777777" w:rsidR="004E2F51" w:rsidRPr="001E3356" w:rsidRDefault="004E2F51" w:rsidP="004E2F51">
      <w:pPr>
        <w:pStyle w:val="T1"/>
        <w:spacing w:before="0" w:after="0" w:line="240" w:lineRule="auto"/>
        <w:ind w:left="357"/>
        <w:rPr>
          <w:rFonts w:cs="Arial"/>
          <w:b w:val="0"/>
          <w:color w:val="000000" w:themeColor="text1"/>
          <w:sz w:val="20"/>
          <w:lang w:val="hr-HR"/>
        </w:rPr>
      </w:pPr>
    </w:p>
    <w:tbl>
      <w:tblPr>
        <w:tblW w:w="4886" w:type="pct"/>
        <w:jc w:val="center"/>
        <w:tblLayout w:type="fixed"/>
        <w:tblCellMar>
          <w:left w:w="113" w:type="dxa"/>
          <w:right w:w="85" w:type="dxa"/>
        </w:tblCellMar>
        <w:tblLook w:val="00A0" w:firstRow="1" w:lastRow="0" w:firstColumn="1" w:lastColumn="0" w:noHBand="0" w:noVBand="0"/>
      </w:tblPr>
      <w:tblGrid>
        <w:gridCol w:w="3760"/>
        <w:gridCol w:w="1344"/>
        <w:gridCol w:w="1343"/>
        <w:gridCol w:w="1341"/>
        <w:gridCol w:w="6"/>
        <w:gridCol w:w="1348"/>
      </w:tblGrid>
      <w:tr w:rsidR="004E2F51" w:rsidRPr="001E3356" w14:paraId="0160D661" w14:textId="77777777" w:rsidTr="00E032FC">
        <w:trPr>
          <w:trHeight w:hRule="exact" w:val="284"/>
          <w:jc w:val="center"/>
        </w:trPr>
        <w:tc>
          <w:tcPr>
            <w:tcW w:w="3760" w:type="dxa"/>
            <w:vAlign w:val="bottom"/>
          </w:tcPr>
          <w:p w14:paraId="7AE52EF7"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bookmarkStart w:id="1370" w:name="_Toc67328969"/>
            <w:r w:rsidRPr="001E3356">
              <w:rPr>
                <w:rFonts w:ascii="Arial" w:eastAsia="Calibri" w:hAnsi="Arial" w:cs="Arial"/>
                <w:b/>
                <w:color w:val="000000" w:themeColor="text1"/>
                <w:sz w:val="18"/>
                <w:szCs w:val="18"/>
                <w:lang w:val="hr-HR"/>
              </w:rPr>
              <w:t>Grupa</w:t>
            </w:r>
            <w:bookmarkEnd w:id="1370"/>
          </w:p>
        </w:tc>
        <w:tc>
          <w:tcPr>
            <w:tcW w:w="1344" w:type="dxa"/>
            <w:vAlign w:val="center"/>
          </w:tcPr>
          <w:p w14:paraId="4547C506"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71" w:name="_Toc67328970"/>
            <w:r w:rsidRPr="001E3356">
              <w:rPr>
                <w:rFonts w:ascii="Arial" w:eastAsia="Calibri" w:hAnsi="Arial" w:cs="Arial"/>
                <w:b/>
                <w:bCs/>
                <w:iCs/>
                <w:color w:val="000000" w:themeColor="text1"/>
                <w:sz w:val="18"/>
                <w:szCs w:val="18"/>
                <w:lang w:val="hr-HR"/>
              </w:rPr>
              <w:t>Izloženost</w:t>
            </w:r>
            <w:bookmarkEnd w:id="1371"/>
          </w:p>
        </w:tc>
        <w:tc>
          <w:tcPr>
            <w:tcW w:w="1343" w:type="dxa"/>
            <w:vAlign w:val="center"/>
          </w:tcPr>
          <w:p w14:paraId="6D5E446E"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72" w:name="_Toc67328971"/>
            <w:r w:rsidRPr="001E3356">
              <w:rPr>
                <w:rFonts w:ascii="Arial" w:eastAsia="Calibri" w:hAnsi="Arial" w:cs="Arial"/>
                <w:b/>
                <w:bCs/>
                <w:iCs/>
                <w:color w:val="000000" w:themeColor="text1"/>
                <w:sz w:val="18"/>
                <w:szCs w:val="18"/>
                <w:lang w:val="hr-HR"/>
              </w:rPr>
              <w:t>Obveze</w:t>
            </w:r>
            <w:bookmarkEnd w:id="1372"/>
          </w:p>
        </w:tc>
        <w:tc>
          <w:tcPr>
            <w:tcW w:w="1347" w:type="dxa"/>
            <w:gridSpan w:val="2"/>
            <w:vAlign w:val="center"/>
          </w:tcPr>
          <w:p w14:paraId="54741437"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73" w:name="_Toc67328972"/>
            <w:r w:rsidRPr="001E3356">
              <w:rPr>
                <w:rFonts w:ascii="Arial" w:eastAsia="Calibri" w:hAnsi="Arial" w:cs="Arial"/>
                <w:b/>
                <w:bCs/>
                <w:iCs/>
                <w:color w:val="000000" w:themeColor="text1"/>
                <w:sz w:val="18"/>
                <w:szCs w:val="18"/>
                <w:lang w:val="hr-HR"/>
              </w:rPr>
              <w:t>Izloženost</w:t>
            </w:r>
            <w:bookmarkEnd w:id="1373"/>
          </w:p>
        </w:tc>
        <w:tc>
          <w:tcPr>
            <w:tcW w:w="1348" w:type="dxa"/>
            <w:vAlign w:val="center"/>
          </w:tcPr>
          <w:p w14:paraId="04385D52"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74" w:name="_Toc67328973"/>
            <w:r w:rsidRPr="001E3356">
              <w:rPr>
                <w:rFonts w:ascii="Arial" w:eastAsia="Calibri" w:hAnsi="Arial" w:cs="Arial"/>
                <w:b/>
                <w:bCs/>
                <w:iCs/>
                <w:color w:val="000000" w:themeColor="text1"/>
                <w:sz w:val="18"/>
                <w:szCs w:val="18"/>
                <w:lang w:val="hr-HR"/>
              </w:rPr>
              <w:t>Obveze</w:t>
            </w:r>
            <w:bookmarkEnd w:id="1374"/>
          </w:p>
        </w:tc>
      </w:tr>
      <w:tr w:rsidR="004E2F51" w:rsidRPr="001E3356" w14:paraId="7B074551" w14:textId="77777777" w:rsidTr="00E032FC">
        <w:trPr>
          <w:trHeight w:hRule="exact" w:val="519"/>
          <w:jc w:val="center"/>
        </w:trPr>
        <w:tc>
          <w:tcPr>
            <w:tcW w:w="3760" w:type="dxa"/>
            <w:vAlign w:val="bottom"/>
          </w:tcPr>
          <w:p w14:paraId="7B0CF491"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p>
        </w:tc>
        <w:tc>
          <w:tcPr>
            <w:tcW w:w="1344" w:type="dxa"/>
            <w:vAlign w:val="center"/>
          </w:tcPr>
          <w:p w14:paraId="3B0F5AC2"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75" w:name="_Toc67328974"/>
            <w:r w:rsidRPr="001E3356">
              <w:rPr>
                <w:rFonts w:ascii="Arial" w:eastAsia="Calibri" w:hAnsi="Arial" w:cs="Arial"/>
                <w:b/>
                <w:bCs/>
                <w:iCs/>
                <w:color w:val="000000" w:themeColor="text1"/>
                <w:sz w:val="18"/>
                <w:szCs w:val="18"/>
                <w:lang w:val="hr-HR"/>
              </w:rPr>
              <w:t>31. prosinca 202</w:t>
            </w:r>
            <w:r>
              <w:rPr>
                <w:rFonts w:ascii="Arial" w:eastAsia="Calibri" w:hAnsi="Arial" w:cs="Arial"/>
                <w:b/>
                <w:bCs/>
                <w:iCs/>
                <w:color w:val="000000" w:themeColor="text1"/>
                <w:sz w:val="18"/>
                <w:szCs w:val="18"/>
                <w:lang w:val="hr-HR"/>
              </w:rPr>
              <w:t>2</w:t>
            </w:r>
            <w:r w:rsidRPr="001E3356">
              <w:rPr>
                <w:rFonts w:ascii="Arial" w:eastAsia="Calibri" w:hAnsi="Arial" w:cs="Arial"/>
                <w:b/>
                <w:bCs/>
                <w:iCs/>
                <w:color w:val="000000" w:themeColor="text1"/>
                <w:sz w:val="18"/>
                <w:szCs w:val="18"/>
                <w:lang w:val="hr-HR"/>
              </w:rPr>
              <w:t>.</w:t>
            </w:r>
            <w:bookmarkEnd w:id="1375"/>
          </w:p>
        </w:tc>
        <w:tc>
          <w:tcPr>
            <w:tcW w:w="1343" w:type="dxa"/>
            <w:vAlign w:val="center"/>
          </w:tcPr>
          <w:p w14:paraId="5719A210"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76" w:name="_Toc67328975"/>
            <w:r w:rsidRPr="001E3356">
              <w:rPr>
                <w:rFonts w:ascii="Arial" w:eastAsia="Calibri" w:hAnsi="Arial" w:cs="Arial"/>
                <w:b/>
                <w:bCs/>
                <w:iCs/>
                <w:color w:val="000000" w:themeColor="text1"/>
                <w:sz w:val="18"/>
                <w:szCs w:val="18"/>
                <w:lang w:val="hr-HR"/>
              </w:rPr>
              <w:t>31. prosinca 202</w:t>
            </w:r>
            <w:r>
              <w:rPr>
                <w:rFonts w:ascii="Arial" w:eastAsia="Calibri" w:hAnsi="Arial" w:cs="Arial"/>
                <w:b/>
                <w:bCs/>
                <w:iCs/>
                <w:color w:val="000000" w:themeColor="text1"/>
                <w:sz w:val="18"/>
                <w:szCs w:val="18"/>
                <w:lang w:val="hr-HR"/>
              </w:rPr>
              <w:t>2</w:t>
            </w:r>
            <w:r w:rsidRPr="001E3356">
              <w:rPr>
                <w:rFonts w:ascii="Arial" w:eastAsia="Calibri" w:hAnsi="Arial" w:cs="Arial"/>
                <w:b/>
                <w:bCs/>
                <w:iCs/>
                <w:color w:val="000000" w:themeColor="text1"/>
                <w:sz w:val="18"/>
                <w:szCs w:val="18"/>
                <w:lang w:val="hr-HR"/>
              </w:rPr>
              <w:t>.</w:t>
            </w:r>
            <w:bookmarkEnd w:id="1376"/>
          </w:p>
        </w:tc>
        <w:tc>
          <w:tcPr>
            <w:tcW w:w="1341" w:type="dxa"/>
            <w:vAlign w:val="center"/>
          </w:tcPr>
          <w:p w14:paraId="0D6B14A2"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77" w:name="_Toc67328976"/>
            <w:r w:rsidRPr="001E3356">
              <w:rPr>
                <w:rFonts w:ascii="Arial" w:eastAsia="Calibri" w:hAnsi="Arial" w:cs="Arial"/>
                <w:b/>
                <w:bCs/>
                <w:iCs/>
                <w:color w:val="000000" w:themeColor="text1"/>
                <w:sz w:val="18"/>
                <w:szCs w:val="18"/>
                <w:lang w:val="hr-HR"/>
              </w:rPr>
              <w:t>31. prosinca 202</w:t>
            </w:r>
            <w:r>
              <w:rPr>
                <w:rFonts w:ascii="Arial" w:eastAsia="Calibri" w:hAnsi="Arial" w:cs="Arial"/>
                <w:b/>
                <w:bCs/>
                <w:iCs/>
                <w:color w:val="000000" w:themeColor="text1"/>
                <w:sz w:val="18"/>
                <w:szCs w:val="18"/>
                <w:lang w:val="hr-HR"/>
              </w:rPr>
              <w:t>1</w:t>
            </w:r>
            <w:r w:rsidRPr="001E3356">
              <w:rPr>
                <w:rFonts w:ascii="Arial" w:eastAsia="Calibri" w:hAnsi="Arial" w:cs="Arial"/>
                <w:b/>
                <w:bCs/>
                <w:iCs/>
                <w:color w:val="000000" w:themeColor="text1"/>
                <w:sz w:val="18"/>
                <w:szCs w:val="18"/>
                <w:lang w:val="hr-HR"/>
              </w:rPr>
              <w:t>.</w:t>
            </w:r>
            <w:bookmarkEnd w:id="1377"/>
          </w:p>
        </w:tc>
        <w:tc>
          <w:tcPr>
            <w:tcW w:w="1354" w:type="dxa"/>
            <w:gridSpan w:val="2"/>
            <w:vAlign w:val="center"/>
          </w:tcPr>
          <w:p w14:paraId="60035601"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78" w:name="_Toc67328977"/>
            <w:r w:rsidRPr="001E3356">
              <w:rPr>
                <w:rFonts w:ascii="Arial" w:eastAsia="Calibri" w:hAnsi="Arial" w:cs="Arial"/>
                <w:b/>
                <w:bCs/>
                <w:iCs/>
                <w:color w:val="000000" w:themeColor="text1"/>
                <w:sz w:val="18"/>
                <w:szCs w:val="18"/>
                <w:lang w:val="hr-HR"/>
              </w:rPr>
              <w:t>31. prosinca 202</w:t>
            </w:r>
            <w:r>
              <w:rPr>
                <w:rFonts w:ascii="Arial" w:eastAsia="Calibri" w:hAnsi="Arial" w:cs="Arial"/>
                <w:b/>
                <w:bCs/>
                <w:iCs/>
                <w:color w:val="000000" w:themeColor="text1"/>
                <w:sz w:val="18"/>
                <w:szCs w:val="18"/>
                <w:lang w:val="hr-HR"/>
              </w:rPr>
              <w:t>1</w:t>
            </w:r>
            <w:r w:rsidRPr="001E3356">
              <w:rPr>
                <w:rFonts w:ascii="Arial" w:eastAsia="Calibri" w:hAnsi="Arial" w:cs="Arial"/>
                <w:b/>
                <w:bCs/>
                <w:iCs/>
                <w:color w:val="000000" w:themeColor="text1"/>
                <w:sz w:val="18"/>
                <w:szCs w:val="18"/>
                <w:lang w:val="hr-HR"/>
              </w:rPr>
              <w:t>.</w:t>
            </w:r>
            <w:bookmarkEnd w:id="1378"/>
          </w:p>
        </w:tc>
      </w:tr>
      <w:tr w:rsidR="004E2F51" w:rsidRPr="001E3356" w14:paraId="066A815F" w14:textId="77777777" w:rsidTr="00E032FC">
        <w:trPr>
          <w:trHeight w:hRule="exact" w:val="284"/>
          <w:jc w:val="center"/>
        </w:trPr>
        <w:tc>
          <w:tcPr>
            <w:tcW w:w="3760" w:type="dxa"/>
            <w:vAlign w:val="bottom"/>
          </w:tcPr>
          <w:p w14:paraId="60FB3646"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p>
        </w:tc>
        <w:tc>
          <w:tcPr>
            <w:tcW w:w="1344" w:type="dxa"/>
            <w:tcBorders>
              <w:top w:val="nil"/>
              <w:left w:val="nil"/>
              <w:bottom w:val="nil"/>
              <w:right w:val="nil"/>
            </w:tcBorders>
          </w:tcPr>
          <w:p w14:paraId="205E1364"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79" w:name="_Toc67328978"/>
            <w:r w:rsidRPr="001E3356">
              <w:rPr>
                <w:rFonts w:ascii="Arial" w:eastAsia="Calibri" w:hAnsi="Arial" w:cs="Arial"/>
                <w:b/>
                <w:bCs/>
                <w:color w:val="000000" w:themeColor="text1"/>
                <w:sz w:val="18"/>
                <w:szCs w:val="18"/>
                <w:lang w:val="hr-HR"/>
              </w:rPr>
              <w:t>000 kuna</w:t>
            </w:r>
            <w:bookmarkEnd w:id="1379"/>
          </w:p>
        </w:tc>
        <w:tc>
          <w:tcPr>
            <w:tcW w:w="1343" w:type="dxa"/>
            <w:tcBorders>
              <w:top w:val="nil"/>
              <w:left w:val="nil"/>
              <w:bottom w:val="nil"/>
              <w:right w:val="nil"/>
            </w:tcBorders>
          </w:tcPr>
          <w:p w14:paraId="541AB5C0"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80" w:name="_Toc67328979"/>
            <w:r w:rsidRPr="001E3356">
              <w:rPr>
                <w:rFonts w:ascii="Arial" w:eastAsia="Calibri" w:hAnsi="Arial" w:cs="Arial"/>
                <w:b/>
                <w:bCs/>
                <w:color w:val="000000" w:themeColor="text1"/>
                <w:sz w:val="18"/>
                <w:szCs w:val="18"/>
                <w:lang w:val="hr-HR"/>
              </w:rPr>
              <w:t>000 kuna</w:t>
            </w:r>
            <w:bookmarkEnd w:id="1380"/>
          </w:p>
        </w:tc>
        <w:tc>
          <w:tcPr>
            <w:tcW w:w="1341" w:type="dxa"/>
            <w:tcBorders>
              <w:top w:val="nil"/>
              <w:left w:val="nil"/>
              <w:bottom w:val="nil"/>
              <w:right w:val="nil"/>
            </w:tcBorders>
          </w:tcPr>
          <w:p w14:paraId="1FBB5919"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81" w:name="_Toc67328980"/>
            <w:r w:rsidRPr="001E3356">
              <w:rPr>
                <w:rFonts w:ascii="Arial" w:eastAsia="Calibri" w:hAnsi="Arial" w:cs="Arial"/>
                <w:b/>
                <w:bCs/>
                <w:color w:val="000000" w:themeColor="text1"/>
                <w:sz w:val="18"/>
                <w:szCs w:val="18"/>
                <w:lang w:val="hr-HR"/>
              </w:rPr>
              <w:t>000 kuna</w:t>
            </w:r>
            <w:bookmarkEnd w:id="1381"/>
          </w:p>
        </w:tc>
        <w:tc>
          <w:tcPr>
            <w:tcW w:w="1354" w:type="dxa"/>
            <w:gridSpan w:val="2"/>
            <w:tcBorders>
              <w:top w:val="nil"/>
              <w:left w:val="nil"/>
              <w:bottom w:val="nil"/>
              <w:right w:val="nil"/>
            </w:tcBorders>
          </w:tcPr>
          <w:p w14:paraId="7155DF75"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82" w:name="_Toc67328981"/>
            <w:r w:rsidRPr="001E3356">
              <w:rPr>
                <w:rFonts w:ascii="Arial" w:eastAsia="Calibri" w:hAnsi="Arial" w:cs="Arial"/>
                <w:b/>
                <w:bCs/>
                <w:color w:val="000000" w:themeColor="text1"/>
                <w:sz w:val="18"/>
                <w:szCs w:val="18"/>
                <w:lang w:val="hr-HR"/>
              </w:rPr>
              <w:t>000 kuna</w:t>
            </w:r>
            <w:bookmarkEnd w:id="1382"/>
          </w:p>
        </w:tc>
      </w:tr>
      <w:tr w:rsidR="004E2F51" w:rsidRPr="001E3356" w14:paraId="1E032A55" w14:textId="77777777" w:rsidTr="00E032FC">
        <w:trPr>
          <w:trHeight w:hRule="exact" w:val="284"/>
          <w:jc w:val="center"/>
        </w:trPr>
        <w:tc>
          <w:tcPr>
            <w:tcW w:w="3760" w:type="dxa"/>
            <w:vAlign w:val="bottom"/>
          </w:tcPr>
          <w:p w14:paraId="3EF1C259"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bookmarkStart w:id="1383" w:name="_Toc67328982"/>
            <w:r w:rsidRPr="001E3356">
              <w:rPr>
                <w:rFonts w:ascii="Arial" w:eastAsia="Calibri" w:hAnsi="Arial" w:cs="Arial"/>
                <w:color w:val="000000" w:themeColor="text1"/>
                <w:sz w:val="18"/>
                <w:szCs w:val="18"/>
                <w:lang w:val="hr-HR"/>
              </w:rPr>
              <w:t>Vlasnik</w:t>
            </w:r>
            <w:bookmarkEnd w:id="1383"/>
          </w:p>
        </w:tc>
        <w:tc>
          <w:tcPr>
            <w:tcW w:w="1344" w:type="dxa"/>
            <w:shd w:val="clear" w:color="auto" w:fill="auto"/>
            <w:vAlign w:val="bottom"/>
          </w:tcPr>
          <w:p w14:paraId="5BB9A9F2" w14:textId="77777777" w:rsidR="004E2F51" w:rsidRPr="00267894" w:rsidRDefault="004E2F51" w:rsidP="00E032FC">
            <w:pPr>
              <w:tabs>
                <w:tab w:val="right" w:pos="1202"/>
              </w:tabs>
              <w:spacing w:line="280" w:lineRule="exact"/>
              <w:jc w:val="right"/>
              <w:outlineLvl w:val="0"/>
              <w:rPr>
                <w:rFonts w:ascii="Arial" w:hAnsi="Arial" w:cs="Arial"/>
                <w:color w:val="000000"/>
                <w:sz w:val="18"/>
                <w:szCs w:val="18"/>
              </w:rPr>
            </w:pPr>
            <w:r w:rsidRPr="00267894">
              <w:rPr>
                <w:rFonts w:ascii="Arial" w:hAnsi="Arial" w:cs="Arial"/>
                <w:color w:val="000000"/>
                <w:sz w:val="18"/>
                <w:szCs w:val="18"/>
              </w:rPr>
              <w:t>3.123.836</w:t>
            </w:r>
          </w:p>
        </w:tc>
        <w:tc>
          <w:tcPr>
            <w:tcW w:w="1343" w:type="dxa"/>
            <w:shd w:val="clear" w:color="auto" w:fill="auto"/>
            <w:vAlign w:val="bottom"/>
          </w:tcPr>
          <w:p w14:paraId="7CB98C0A" w14:textId="77777777" w:rsidR="004E2F51" w:rsidRPr="00267894" w:rsidRDefault="004E2F51" w:rsidP="00E032FC">
            <w:pPr>
              <w:tabs>
                <w:tab w:val="right" w:pos="1202"/>
              </w:tabs>
              <w:spacing w:line="280" w:lineRule="exact"/>
              <w:jc w:val="right"/>
              <w:outlineLvl w:val="0"/>
              <w:rPr>
                <w:rFonts w:ascii="Arial" w:hAnsi="Arial" w:cs="Arial"/>
                <w:color w:val="000000"/>
                <w:sz w:val="18"/>
                <w:szCs w:val="18"/>
              </w:rPr>
            </w:pPr>
            <w:r w:rsidRPr="00267894">
              <w:rPr>
                <w:rFonts w:ascii="Arial" w:hAnsi="Arial" w:cs="Arial"/>
                <w:color w:val="000000"/>
                <w:sz w:val="18"/>
                <w:szCs w:val="18"/>
              </w:rPr>
              <w:t>3.511.639</w:t>
            </w:r>
          </w:p>
        </w:tc>
        <w:tc>
          <w:tcPr>
            <w:tcW w:w="1341" w:type="dxa"/>
            <w:shd w:val="clear" w:color="auto" w:fill="auto"/>
            <w:vAlign w:val="bottom"/>
          </w:tcPr>
          <w:p w14:paraId="753E67BF"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hAnsi="Arial" w:cs="Arial"/>
                <w:color w:val="000000"/>
                <w:sz w:val="18"/>
                <w:szCs w:val="18"/>
              </w:rPr>
              <w:t>3.348.080</w:t>
            </w:r>
          </w:p>
        </w:tc>
        <w:tc>
          <w:tcPr>
            <w:tcW w:w="1354" w:type="dxa"/>
            <w:gridSpan w:val="2"/>
            <w:shd w:val="clear" w:color="auto" w:fill="auto"/>
            <w:vAlign w:val="bottom"/>
          </w:tcPr>
          <w:p w14:paraId="761EFE00"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hAnsi="Arial" w:cs="Arial"/>
                <w:color w:val="000000"/>
                <w:sz w:val="18"/>
                <w:szCs w:val="18"/>
              </w:rPr>
              <w:t>1.853.263</w:t>
            </w:r>
          </w:p>
        </w:tc>
      </w:tr>
      <w:tr w:rsidR="004E2F51" w:rsidRPr="001E3356" w14:paraId="0F5416F1" w14:textId="77777777" w:rsidTr="00E032FC">
        <w:trPr>
          <w:trHeight w:hRule="exact" w:val="284"/>
          <w:jc w:val="center"/>
        </w:trPr>
        <w:tc>
          <w:tcPr>
            <w:tcW w:w="3760" w:type="dxa"/>
            <w:vAlign w:val="bottom"/>
          </w:tcPr>
          <w:p w14:paraId="7A7BBABE"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bookmarkStart w:id="1384" w:name="_Toc67328987"/>
            <w:r w:rsidRPr="001E3356">
              <w:rPr>
                <w:rFonts w:ascii="Arial" w:eastAsia="Calibri" w:hAnsi="Arial" w:cs="Arial"/>
                <w:color w:val="000000" w:themeColor="text1"/>
                <w:sz w:val="18"/>
                <w:szCs w:val="18"/>
                <w:lang w:val="hr-HR"/>
              </w:rPr>
              <w:t>Državni fondovi, izvršna tijela i agencije</w:t>
            </w:r>
            <w:bookmarkEnd w:id="1384"/>
          </w:p>
        </w:tc>
        <w:tc>
          <w:tcPr>
            <w:tcW w:w="1344" w:type="dxa"/>
            <w:shd w:val="clear" w:color="auto" w:fill="auto"/>
            <w:vAlign w:val="bottom"/>
          </w:tcPr>
          <w:p w14:paraId="77B8103E" w14:textId="77777777" w:rsidR="004E2F51" w:rsidRPr="00267894" w:rsidRDefault="004E2F51" w:rsidP="00E032FC">
            <w:pPr>
              <w:tabs>
                <w:tab w:val="right" w:pos="1202"/>
              </w:tabs>
              <w:spacing w:line="280" w:lineRule="exact"/>
              <w:jc w:val="right"/>
              <w:outlineLvl w:val="0"/>
              <w:rPr>
                <w:rFonts w:ascii="Arial" w:hAnsi="Arial" w:cs="Arial"/>
                <w:color w:val="000000"/>
                <w:sz w:val="18"/>
                <w:szCs w:val="18"/>
              </w:rPr>
            </w:pPr>
            <w:r w:rsidRPr="00267894">
              <w:rPr>
                <w:rFonts w:ascii="Arial" w:hAnsi="Arial" w:cs="Arial"/>
                <w:color w:val="000000"/>
                <w:sz w:val="18"/>
                <w:szCs w:val="18"/>
              </w:rPr>
              <w:t>4.857.662</w:t>
            </w:r>
          </w:p>
        </w:tc>
        <w:tc>
          <w:tcPr>
            <w:tcW w:w="1343" w:type="dxa"/>
            <w:shd w:val="clear" w:color="auto" w:fill="auto"/>
            <w:vAlign w:val="bottom"/>
          </w:tcPr>
          <w:p w14:paraId="6B54193A" w14:textId="77777777" w:rsidR="004E2F51" w:rsidRPr="00267894" w:rsidRDefault="004E2F51" w:rsidP="00E032FC">
            <w:pPr>
              <w:tabs>
                <w:tab w:val="right" w:pos="1202"/>
              </w:tabs>
              <w:spacing w:line="280" w:lineRule="exact"/>
              <w:jc w:val="right"/>
              <w:outlineLvl w:val="0"/>
              <w:rPr>
                <w:rFonts w:ascii="Arial" w:hAnsi="Arial" w:cs="Arial"/>
                <w:color w:val="000000"/>
                <w:sz w:val="18"/>
                <w:szCs w:val="18"/>
              </w:rPr>
            </w:pPr>
            <w:r w:rsidRPr="00267894">
              <w:rPr>
                <w:rFonts w:ascii="Arial" w:hAnsi="Arial" w:cs="Arial"/>
                <w:color w:val="000000"/>
                <w:sz w:val="18"/>
                <w:szCs w:val="18"/>
              </w:rPr>
              <w:t>236.781</w:t>
            </w:r>
          </w:p>
        </w:tc>
        <w:tc>
          <w:tcPr>
            <w:tcW w:w="1341" w:type="dxa"/>
            <w:shd w:val="clear" w:color="auto" w:fill="auto"/>
            <w:vAlign w:val="bottom"/>
          </w:tcPr>
          <w:p w14:paraId="1458A5E8"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hAnsi="Arial" w:cs="Arial"/>
                <w:color w:val="000000"/>
                <w:sz w:val="18"/>
                <w:szCs w:val="18"/>
              </w:rPr>
              <w:t>4.617.620</w:t>
            </w:r>
          </w:p>
        </w:tc>
        <w:tc>
          <w:tcPr>
            <w:tcW w:w="1354" w:type="dxa"/>
            <w:gridSpan w:val="2"/>
            <w:shd w:val="clear" w:color="auto" w:fill="auto"/>
            <w:vAlign w:val="bottom"/>
          </w:tcPr>
          <w:p w14:paraId="27E1750C"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hAnsi="Arial" w:cs="Arial"/>
                <w:color w:val="000000"/>
                <w:sz w:val="18"/>
                <w:szCs w:val="18"/>
              </w:rPr>
              <w:t>257.050</w:t>
            </w:r>
          </w:p>
        </w:tc>
      </w:tr>
      <w:tr w:rsidR="004E2F51" w:rsidRPr="001E3356" w14:paraId="37CC6AB6" w14:textId="77777777" w:rsidTr="00E032FC">
        <w:trPr>
          <w:trHeight w:hRule="exact" w:val="284"/>
          <w:jc w:val="center"/>
        </w:trPr>
        <w:tc>
          <w:tcPr>
            <w:tcW w:w="3760" w:type="dxa"/>
            <w:vAlign w:val="bottom"/>
          </w:tcPr>
          <w:p w14:paraId="2800DD44"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bookmarkStart w:id="1385" w:name="_Toc67328992"/>
            <w:r w:rsidRPr="001E3356">
              <w:rPr>
                <w:rFonts w:ascii="Arial" w:eastAsia="Calibri" w:hAnsi="Arial" w:cs="Arial"/>
                <w:color w:val="000000" w:themeColor="text1"/>
                <w:sz w:val="18"/>
                <w:szCs w:val="18"/>
                <w:lang w:val="hr-HR"/>
              </w:rPr>
              <w:t>Državna trgovačka društva</w:t>
            </w:r>
            <w:bookmarkEnd w:id="1385"/>
          </w:p>
        </w:tc>
        <w:tc>
          <w:tcPr>
            <w:tcW w:w="1344" w:type="dxa"/>
            <w:shd w:val="clear" w:color="auto" w:fill="auto"/>
            <w:vAlign w:val="bottom"/>
          </w:tcPr>
          <w:p w14:paraId="443538A5" w14:textId="233424FC" w:rsidR="004E2F51" w:rsidRPr="00267894" w:rsidRDefault="004E2F51" w:rsidP="00E032FC">
            <w:pPr>
              <w:tabs>
                <w:tab w:val="right" w:pos="1202"/>
              </w:tabs>
              <w:spacing w:line="280" w:lineRule="exact"/>
              <w:jc w:val="right"/>
              <w:outlineLvl w:val="0"/>
              <w:rPr>
                <w:rFonts w:ascii="Arial" w:hAnsi="Arial" w:cs="Arial"/>
                <w:color w:val="000000"/>
                <w:sz w:val="18"/>
                <w:szCs w:val="18"/>
              </w:rPr>
            </w:pPr>
            <w:r w:rsidRPr="00267894">
              <w:rPr>
                <w:rFonts w:ascii="Arial" w:hAnsi="Arial" w:cs="Arial"/>
                <w:color w:val="000000"/>
                <w:sz w:val="18"/>
                <w:szCs w:val="18"/>
              </w:rPr>
              <w:t>1.</w:t>
            </w:r>
            <w:r>
              <w:rPr>
                <w:rFonts w:ascii="Arial" w:hAnsi="Arial" w:cs="Arial"/>
                <w:color w:val="000000"/>
                <w:sz w:val="18"/>
                <w:szCs w:val="18"/>
              </w:rPr>
              <w:t>645.658</w:t>
            </w:r>
          </w:p>
        </w:tc>
        <w:tc>
          <w:tcPr>
            <w:tcW w:w="1343" w:type="dxa"/>
            <w:shd w:val="clear" w:color="auto" w:fill="auto"/>
            <w:vAlign w:val="bottom"/>
          </w:tcPr>
          <w:p w14:paraId="48CADB99" w14:textId="77777777" w:rsidR="004E2F51" w:rsidRPr="00267894" w:rsidRDefault="004E2F51" w:rsidP="00E032FC">
            <w:pPr>
              <w:tabs>
                <w:tab w:val="right" w:pos="1202"/>
              </w:tabs>
              <w:spacing w:line="280" w:lineRule="exact"/>
              <w:jc w:val="right"/>
              <w:outlineLvl w:val="0"/>
              <w:rPr>
                <w:rFonts w:ascii="Arial" w:hAnsi="Arial" w:cs="Arial"/>
                <w:color w:val="000000"/>
                <w:sz w:val="18"/>
                <w:szCs w:val="18"/>
              </w:rPr>
            </w:pPr>
            <w:r w:rsidRPr="00267894">
              <w:rPr>
                <w:rFonts w:ascii="Arial" w:hAnsi="Arial" w:cs="Arial"/>
                <w:color w:val="000000"/>
                <w:sz w:val="18"/>
                <w:szCs w:val="18"/>
              </w:rPr>
              <w:t>5.971</w:t>
            </w:r>
          </w:p>
        </w:tc>
        <w:tc>
          <w:tcPr>
            <w:tcW w:w="1341" w:type="dxa"/>
            <w:shd w:val="clear" w:color="auto" w:fill="auto"/>
            <w:vAlign w:val="bottom"/>
          </w:tcPr>
          <w:p w14:paraId="29574544"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hAnsi="Arial" w:cs="Arial"/>
                <w:color w:val="000000"/>
                <w:sz w:val="18"/>
                <w:szCs w:val="18"/>
              </w:rPr>
              <w:t>914.416</w:t>
            </w:r>
          </w:p>
        </w:tc>
        <w:tc>
          <w:tcPr>
            <w:tcW w:w="1354" w:type="dxa"/>
            <w:gridSpan w:val="2"/>
            <w:shd w:val="clear" w:color="auto" w:fill="auto"/>
            <w:vAlign w:val="bottom"/>
          </w:tcPr>
          <w:p w14:paraId="1408FC86"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hAnsi="Arial" w:cs="Arial"/>
                <w:color w:val="000000"/>
                <w:sz w:val="18"/>
                <w:szCs w:val="18"/>
              </w:rPr>
              <w:t>59</w:t>
            </w:r>
          </w:p>
        </w:tc>
      </w:tr>
      <w:tr w:rsidR="004E2F51" w:rsidRPr="001E3356" w14:paraId="7355AEA4" w14:textId="77777777" w:rsidTr="00E032FC">
        <w:trPr>
          <w:trHeight w:hRule="exact" w:val="284"/>
          <w:jc w:val="center"/>
        </w:trPr>
        <w:tc>
          <w:tcPr>
            <w:tcW w:w="3760" w:type="dxa"/>
            <w:vAlign w:val="bottom"/>
          </w:tcPr>
          <w:p w14:paraId="38268D47" w14:textId="77777777" w:rsidR="004E2F51" w:rsidRPr="001E3356" w:rsidRDefault="004E2F51" w:rsidP="00E032FC">
            <w:pPr>
              <w:tabs>
                <w:tab w:val="right" w:pos="1202"/>
              </w:tabs>
              <w:outlineLvl w:val="0"/>
              <w:rPr>
                <w:rFonts w:ascii="Arial" w:eastAsia="Calibri" w:hAnsi="Arial" w:cs="Arial"/>
                <w:bCs/>
                <w:color w:val="000000" w:themeColor="text1"/>
                <w:sz w:val="18"/>
                <w:szCs w:val="18"/>
                <w:lang w:val="hr-HR"/>
              </w:rPr>
            </w:pPr>
            <w:bookmarkStart w:id="1386" w:name="_Toc67328997"/>
            <w:r w:rsidRPr="001E3356">
              <w:rPr>
                <w:rFonts w:ascii="Arial" w:eastAsia="Calibri" w:hAnsi="Arial" w:cs="Arial"/>
                <w:color w:val="000000" w:themeColor="text1"/>
                <w:sz w:val="18"/>
                <w:szCs w:val="18"/>
                <w:lang w:val="hr-HR"/>
              </w:rPr>
              <w:t>Pridružena društva</w:t>
            </w:r>
            <w:bookmarkEnd w:id="1386"/>
          </w:p>
        </w:tc>
        <w:tc>
          <w:tcPr>
            <w:tcW w:w="1344" w:type="dxa"/>
            <w:shd w:val="clear" w:color="auto" w:fill="auto"/>
            <w:vAlign w:val="bottom"/>
          </w:tcPr>
          <w:p w14:paraId="3A06A95F" w14:textId="77777777" w:rsidR="004E2F51" w:rsidRPr="00267894" w:rsidRDefault="004E2F51" w:rsidP="00E032FC">
            <w:pPr>
              <w:tabs>
                <w:tab w:val="right" w:pos="1202"/>
              </w:tabs>
              <w:spacing w:line="280" w:lineRule="exact"/>
              <w:jc w:val="right"/>
              <w:outlineLvl w:val="0"/>
              <w:rPr>
                <w:rFonts w:ascii="Arial" w:hAnsi="Arial" w:cs="Arial"/>
                <w:color w:val="000000"/>
                <w:sz w:val="18"/>
                <w:szCs w:val="18"/>
              </w:rPr>
            </w:pPr>
            <w:r w:rsidRPr="00267894">
              <w:rPr>
                <w:rFonts w:ascii="Arial" w:hAnsi="Arial" w:cs="Arial"/>
                <w:color w:val="000000"/>
                <w:sz w:val="18"/>
                <w:szCs w:val="18"/>
              </w:rPr>
              <w:t>-</w:t>
            </w:r>
          </w:p>
        </w:tc>
        <w:tc>
          <w:tcPr>
            <w:tcW w:w="1343" w:type="dxa"/>
            <w:shd w:val="clear" w:color="auto" w:fill="auto"/>
            <w:vAlign w:val="bottom"/>
          </w:tcPr>
          <w:p w14:paraId="2C9C6D6A" w14:textId="77777777" w:rsidR="004E2F51" w:rsidRPr="00267894" w:rsidRDefault="004E2F51" w:rsidP="00E032FC">
            <w:pPr>
              <w:tabs>
                <w:tab w:val="right" w:pos="1202"/>
              </w:tabs>
              <w:spacing w:line="280" w:lineRule="exact"/>
              <w:jc w:val="right"/>
              <w:outlineLvl w:val="0"/>
              <w:rPr>
                <w:rFonts w:ascii="Arial" w:hAnsi="Arial" w:cs="Arial"/>
                <w:color w:val="000000"/>
                <w:sz w:val="18"/>
                <w:szCs w:val="18"/>
              </w:rPr>
            </w:pPr>
            <w:r w:rsidRPr="00267894">
              <w:rPr>
                <w:rFonts w:ascii="Arial" w:hAnsi="Arial" w:cs="Arial"/>
                <w:color w:val="000000"/>
                <w:sz w:val="18"/>
                <w:szCs w:val="18"/>
              </w:rPr>
              <w:t>-</w:t>
            </w:r>
          </w:p>
        </w:tc>
        <w:tc>
          <w:tcPr>
            <w:tcW w:w="1341" w:type="dxa"/>
            <w:shd w:val="clear" w:color="auto" w:fill="auto"/>
            <w:vAlign w:val="bottom"/>
          </w:tcPr>
          <w:p w14:paraId="081E556D"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hAnsi="Arial" w:cs="Arial"/>
                <w:color w:val="000000"/>
                <w:sz w:val="18"/>
                <w:szCs w:val="18"/>
              </w:rPr>
              <w:t>7</w:t>
            </w:r>
          </w:p>
        </w:tc>
        <w:tc>
          <w:tcPr>
            <w:tcW w:w="1354" w:type="dxa"/>
            <w:gridSpan w:val="2"/>
            <w:shd w:val="clear" w:color="auto" w:fill="auto"/>
            <w:vAlign w:val="bottom"/>
          </w:tcPr>
          <w:p w14:paraId="0EBFE8E1"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hAnsi="Arial" w:cs="Arial"/>
                <w:color w:val="000000"/>
                <w:sz w:val="18"/>
                <w:szCs w:val="18"/>
              </w:rPr>
              <w:t>-</w:t>
            </w:r>
          </w:p>
        </w:tc>
      </w:tr>
      <w:tr w:rsidR="004E2F51" w:rsidRPr="001E3356" w14:paraId="33104691" w14:textId="77777777" w:rsidTr="00E032FC">
        <w:trPr>
          <w:trHeight w:hRule="exact" w:val="284"/>
          <w:jc w:val="center"/>
        </w:trPr>
        <w:tc>
          <w:tcPr>
            <w:tcW w:w="3760" w:type="dxa"/>
            <w:vAlign w:val="bottom"/>
          </w:tcPr>
          <w:p w14:paraId="3919BE8B" w14:textId="77777777" w:rsidR="004E2F51" w:rsidRPr="001E3356" w:rsidRDefault="004E2F51" w:rsidP="00E032FC">
            <w:pPr>
              <w:tabs>
                <w:tab w:val="right" w:pos="1202"/>
              </w:tabs>
              <w:outlineLvl w:val="0"/>
              <w:rPr>
                <w:rFonts w:ascii="Arial" w:eastAsia="Calibri" w:hAnsi="Arial" w:cs="Arial"/>
                <w:bCs/>
                <w:color w:val="000000" w:themeColor="text1"/>
                <w:sz w:val="18"/>
                <w:szCs w:val="18"/>
                <w:lang w:val="hr-HR"/>
              </w:rPr>
            </w:pPr>
            <w:bookmarkStart w:id="1387" w:name="_Toc67329002"/>
            <w:r w:rsidRPr="001E3356">
              <w:rPr>
                <w:rFonts w:ascii="Arial" w:eastAsia="Calibri" w:hAnsi="Arial" w:cs="Arial"/>
                <w:bCs/>
                <w:color w:val="000000" w:themeColor="text1"/>
                <w:sz w:val="18"/>
                <w:szCs w:val="18"/>
                <w:lang w:val="hr-HR"/>
              </w:rPr>
              <w:t>Ključni članovi rukovodstva</w:t>
            </w:r>
            <w:bookmarkEnd w:id="1387"/>
          </w:p>
        </w:tc>
        <w:tc>
          <w:tcPr>
            <w:tcW w:w="1344" w:type="dxa"/>
            <w:tcBorders>
              <w:bottom w:val="single" w:sz="4" w:space="0" w:color="000000"/>
            </w:tcBorders>
            <w:shd w:val="clear" w:color="auto" w:fill="auto"/>
            <w:vAlign w:val="bottom"/>
          </w:tcPr>
          <w:p w14:paraId="2BAFA2CE" w14:textId="77777777" w:rsidR="004E2F51" w:rsidRPr="00267894" w:rsidRDefault="004E2F51" w:rsidP="00E032FC">
            <w:pPr>
              <w:tabs>
                <w:tab w:val="right" w:pos="1202"/>
              </w:tabs>
              <w:spacing w:line="280" w:lineRule="exact"/>
              <w:jc w:val="right"/>
              <w:outlineLvl w:val="0"/>
              <w:rPr>
                <w:rFonts w:ascii="Arial" w:hAnsi="Arial" w:cs="Arial"/>
                <w:color w:val="000000"/>
                <w:sz w:val="18"/>
                <w:szCs w:val="18"/>
              </w:rPr>
            </w:pPr>
            <w:r w:rsidRPr="00553F81">
              <w:rPr>
                <w:rFonts w:ascii="Arial" w:hAnsi="Arial" w:cs="Arial"/>
                <w:color w:val="000000"/>
                <w:sz w:val="18"/>
                <w:szCs w:val="18"/>
              </w:rPr>
              <w:t>2.292</w:t>
            </w:r>
          </w:p>
        </w:tc>
        <w:tc>
          <w:tcPr>
            <w:tcW w:w="1343" w:type="dxa"/>
            <w:tcBorders>
              <w:bottom w:val="single" w:sz="4" w:space="0" w:color="000000"/>
            </w:tcBorders>
            <w:shd w:val="clear" w:color="auto" w:fill="auto"/>
            <w:vAlign w:val="bottom"/>
          </w:tcPr>
          <w:p w14:paraId="0C05772E" w14:textId="77777777" w:rsidR="004E2F51" w:rsidRPr="00267894" w:rsidRDefault="004E2F51" w:rsidP="00E032FC">
            <w:pPr>
              <w:tabs>
                <w:tab w:val="right" w:pos="1202"/>
              </w:tabs>
              <w:spacing w:line="280" w:lineRule="exact"/>
              <w:jc w:val="right"/>
              <w:outlineLvl w:val="0"/>
              <w:rPr>
                <w:rFonts w:ascii="Arial" w:hAnsi="Arial" w:cs="Arial"/>
                <w:color w:val="000000"/>
                <w:sz w:val="18"/>
                <w:szCs w:val="18"/>
              </w:rPr>
            </w:pPr>
            <w:r w:rsidRPr="00267894">
              <w:rPr>
                <w:rFonts w:ascii="Arial" w:hAnsi="Arial" w:cs="Arial"/>
                <w:color w:val="000000"/>
                <w:sz w:val="18"/>
                <w:szCs w:val="18"/>
              </w:rPr>
              <w:t>2.772</w:t>
            </w:r>
          </w:p>
        </w:tc>
        <w:tc>
          <w:tcPr>
            <w:tcW w:w="1341" w:type="dxa"/>
            <w:tcBorders>
              <w:bottom w:val="single" w:sz="4" w:space="0" w:color="000000"/>
            </w:tcBorders>
            <w:shd w:val="clear" w:color="auto" w:fill="auto"/>
            <w:vAlign w:val="bottom"/>
          </w:tcPr>
          <w:p w14:paraId="48B9D7FB"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hAnsi="Arial" w:cs="Arial"/>
                <w:color w:val="000000"/>
                <w:sz w:val="18"/>
                <w:szCs w:val="18"/>
              </w:rPr>
              <w:t>3.393</w:t>
            </w:r>
          </w:p>
        </w:tc>
        <w:tc>
          <w:tcPr>
            <w:tcW w:w="1354" w:type="dxa"/>
            <w:gridSpan w:val="2"/>
            <w:tcBorders>
              <w:bottom w:val="single" w:sz="4" w:space="0" w:color="000000"/>
            </w:tcBorders>
            <w:shd w:val="clear" w:color="auto" w:fill="auto"/>
            <w:vAlign w:val="bottom"/>
          </w:tcPr>
          <w:p w14:paraId="1C9FA1D6"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hAnsi="Arial" w:cs="Arial"/>
                <w:color w:val="000000"/>
                <w:sz w:val="18"/>
                <w:szCs w:val="18"/>
              </w:rPr>
              <w:t>2.701</w:t>
            </w:r>
          </w:p>
        </w:tc>
      </w:tr>
      <w:tr w:rsidR="004E2F51" w:rsidRPr="001E3356" w14:paraId="4805689E" w14:textId="77777777" w:rsidTr="00E032FC">
        <w:trPr>
          <w:trHeight w:val="329"/>
          <w:jc w:val="center"/>
        </w:trPr>
        <w:tc>
          <w:tcPr>
            <w:tcW w:w="3760" w:type="dxa"/>
            <w:vAlign w:val="bottom"/>
          </w:tcPr>
          <w:p w14:paraId="126FE885" w14:textId="77777777" w:rsidR="004E2F51" w:rsidRPr="001E3356" w:rsidRDefault="004E2F51" w:rsidP="00E032FC">
            <w:pPr>
              <w:tabs>
                <w:tab w:val="right" w:pos="1202"/>
              </w:tabs>
              <w:outlineLvl w:val="0"/>
              <w:rPr>
                <w:rFonts w:ascii="Arial" w:eastAsia="Calibri" w:hAnsi="Arial" w:cs="Arial"/>
                <w:b/>
                <w:color w:val="000000" w:themeColor="text1"/>
                <w:sz w:val="18"/>
                <w:szCs w:val="18"/>
                <w:lang w:val="hr-HR"/>
              </w:rPr>
            </w:pPr>
            <w:bookmarkStart w:id="1388" w:name="_Toc67329007"/>
            <w:r w:rsidRPr="001E3356">
              <w:rPr>
                <w:rFonts w:ascii="Arial" w:eastAsia="Calibri" w:hAnsi="Arial" w:cs="Arial"/>
                <w:b/>
                <w:color w:val="000000" w:themeColor="text1"/>
                <w:sz w:val="18"/>
                <w:szCs w:val="18"/>
                <w:lang w:val="hr-HR"/>
              </w:rPr>
              <w:t>Ukupno</w:t>
            </w:r>
            <w:bookmarkEnd w:id="1388"/>
          </w:p>
        </w:tc>
        <w:tc>
          <w:tcPr>
            <w:tcW w:w="1344" w:type="dxa"/>
            <w:tcBorders>
              <w:top w:val="single" w:sz="4" w:space="0" w:color="auto"/>
              <w:bottom w:val="single" w:sz="12" w:space="0" w:color="auto"/>
            </w:tcBorders>
            <w:shd w:val="clear" w:color="auto" w:fill="auto"/>
            <w:vAlign w:val="bottom"/>
          </w:tcPr>
          <w:p w14:paraId="6A37E080" w14:textId="227BA480" w:rsidR="004E2F51" w:rsidRPr="001E3356" w:rsidRDefault="004E2F51" w:rsidP="00E032FC">
            <w:pPr>
              <w:tabs>
                <w:tab w:val="right" w:pos="1202"/>
              </w:tabs>
              <w:jc w:val="right"/>
              <w:outlineLvl w:val="0"/>
              <w:rPr>
                <w:rFonts w:ascii="Arial" w:hAnsi="Arial" w:cs="Arial"/>
                <w:b/>
                <w:color w:val="000000" w:themeColor="text1"/>
                <w:sz w:val="18"/>
                <w:szCs w:val="18"/>
                <w:lang w:val="hr-HR"/>
              </w:rPr>
            </w:pPr>
            <w:r>
              <w:rPr>
                <w:rFonts w:ascii="Arial" w:hAnsi="Arial" w:cs="Arial"/>
                <w:b/>
                <w:color w:val="000000" w:themeColor="text1"/>
                <w:sz w:val="18"/>
                <w:szCs w:val="18"/>
                <w:lang w:val="hr-HR"/>
              </w:rPr>
              <w:t>9.629.448</w:t>
            </w:r>
          </w:p>
        </w:tc>
        <w:tc>
          <w:tcPr>
            <w:tcW w:w="1343" w:type="dxa"/>
            <w:tcBorders>
              <w:top w:val="single" w:sz="4" w:space="0" w:color="auto"/>
              <w:bottom w:val="single" w:sz="12" w:space="0" w:color="auto"/>
            </w:tcBorders>
            <w:shd w:val="clear" w:color="auto" w:fill="auto"/>
            <w:vAlign w:val="bottom"/>
          </w:tcPr>
          <w:p w14:paraId="7CAC7273" w14:textId="77777777" w:rsidR="004E2F51" w:rsidRPr="001E3356" w:rsidRDefault="004E2F51" w:rsidP="00E032FC">
            <w:pPr>
              <w:tabs>
                <w:tab w:val="right" w:pos="1202"/>
              </w:tabs>
              <w:jc w:val="right"/>
              <w:outlineLvl w:val="0"/>
              <w:rPr>
                <w:rFonts w:ascii="Arial" w:hAnsi="Arial" w:cs="Arial"/>
                <w:b/>
                <w:color w:val="000000" w:themeColor="text1"/>
                <w:sz w:val="18"/>
                <w:szCs w:val="18"/>
                <w:lang w:val="hr-HR"/>
              </w:rPr>
            </w:pPr>
            <w:r w:rsidRPr="00267894">
              <w:rPr>
                <w:rFonts w:ascii="Arial" w:hAnsi="Arial" w:cs="Arial"/>
                <w:b/>
                <w:color w:val="000000" w:themeColor="text1"/>
                <w:sz w:val="18"/>
                <w:szCs w:val="18"/>
                <w:lang w:val="hr-HR"/>
              </w:rPr>
              <w:t>3.757.163</w:t>
            </w:r>
          </w:p>
        </w:tc>
        <w:tc>
          <w:tcPr>
            <w:tcW w:w="1341" w:type="dxa"/>
            <w:tcBorders>
              <w:top w:val="single" w:sz="4" w:space="0" w:color="auto"/>
              <w:bottom w:val="single" w:sz="12" w:space="0" w:color="auto"/>
            </w:tcBorders>
            <w:shd w:val="clear" w:color="auto" w:fill="auto"/>
            <w:vAlign w:val="bottom"/>
          </w:tcPr>
          <w:p w14:paraId="7EAFB1D1" w14:textId="77777777" w:rsidR="004E2F51" w:rsidRPr="001E3356" w:rsidRDefault="004E2F51" w:rsidP="00E032FC">
            <w:pPr>
              <w:tabs>
                <w:tab w:val="right" w:pos="1202"/>
              </w:tabs>
              <w:jc w:val="right"/>
              <w:outlineLvl w:val="0"/>
              <w:rPr>
                <w:rFonts w:ascii="Arial" w:eastAsia="Calibri" w:hAnsi="Arial" w:cs="Arial"/>
                <w:b/>
                <w:bCs/>
                <w:color w:val="000000" w:themeColor="text1"/>
                <w:sz w:val="18"/>
                <w:szCs w:val="18"/>
                <w:lang w:val="hr-HR"/>
              </w:rPr>
            </w:pPr>
            <w:r w:rsidRPr="001E3356">
              <w:rPr>
                <w:rFonts w:ascii="Arial" w:hAnsi="Arial" w:cs="Arial"/>
                <w:b/>
                <w:color w:val="000000"/>
                <w:sz w:val="18"/>
                <w:szCs w:val="18"/>
              </w:rPr>
              <w:t>8.883.516</w:t>
            </w:r>
          </w:p>
        </w:tc>
        <w:tc>
          <w:tcPr>
            <w:tcW w:w="1354" w:type="dxa"/>
            <w:gridSpan w:val="2"/>
            <w:tcBorders>
              <w:top w:val="single" w:sz="4" w:space="0" w:color="auto"/>
              <w:bottom w:val="single" w:sz="12" w:space="0" w:color="auto"/>
            </w:tcBorders>
            <w:shd w:val="clear" w:color="auto" w:fill="auto"/>
            <w:vAlign w:val="bottom"/>
          </w:tcPr>
          <w:p w14:paraId="35458B7F" w14:textId="77777777" w:rsidR="004E2F51" w:rsidRPr="001E3356" w:rsidRDefault="004E2F51" w:rsidP="00E032FC">
            <w:pPr>
              <w:tabs>
                <w:tab w:val="right" w:pos="1202"/>
              </w:tabs>
              <w:jc w:val="right"/>
              <w:outlineLvl w:val="0"/>
              <w:rPr>
                <w:rFonts w:ascii="Arial" w:eastAsia="Calibri" w:hAnsi="Arial" w:cs="Arial"/>
                <w:b/>
                <w:bCs/>
                <w:color w:val="000000" w:themeColor="text1"/>
                <w:sz w:val="18"/>
                <w:szCs w:val="18"/>
                <w:lang w:val="hr-HR"/>
              </w:rPr>
            </w:pPr>
            <w:r w:rsidRPr="001E3356">
              <w:rPr>
                <w:rFonts w:ascii="Arial" w:hAnsi="Arial" w:cs="Arial"/>
                <w:b/>
                <w:color w:val="000000"/>
                <w:sz w:val="18"/>
                <w:szCs w:val="18"/>
              </w:rPr>
              <w:t>2.113.073</w:t>
            </w:r>
          </w:p>
        </w:tc>
      </w:tr>
    </w:tbl>
    <w:p w14:paraId="128B5B4E" w14:textId="77777777" w:rsidR="004E2F51" w:rsidRPr="001E3356" w:rsidRDefault="004E2F51" w:rsidP="004E2F51">
      <w:pPr>
        <w:pStyle w:val="T1"/>
        <w:spacing w:before="0" w:after="0" w:line="240" w:lineRule="auto"/>
        <w:ind w:left="357"/>
        <w:rPr>
          <w:rFonts w:cs="Arial"/>
          <w:b w:val="0"/>
          <w:color w:val="000000" w:themeColor="text1"/>
          <w:sz w:val="20"/>
          <w:lang w:val="hr-HR"/>
        </w:rPr>
      </w:pPr>
    </w:p>
    <w:p w14:paraId="073A7404" w14:textId="77777777" w:rsidR="004E2F51" w:rsidRPr="001E3356" w:rsidRDefault="004E2F51" w:rsidP="004E2F51">
      <w:pPr>
        <w:pStyle w:val="T1"/>
        <w:spacing w:before="0" w:after="0" w:line="240" w:lineRule="auto"/>
        <w:ind w:left="357"/>
        <w:rPr>
          <w:rFonts w:cs="Arial"/>
          <w:b w:val="0"/>
          <w:color w:val="000000" w:themeColor="text1"/>
          <w:sz w:val="20"/>
          <w:lang w:val="hr-HR"/>
        </w:rPr>
      </w:pPr>
    </w:p>
    <w:tbl>
      <w:tblPr>
        <w:tblW w:w="4839" w:type="pct"/>
        <w:jc w:val="center"/>
        <w:tblLayout w:type="fixed"/>
        <w:tblCellMar>
          <w:left w:w="113" w:type="dxa"/>
          <w:right w:w="85" w:type="dxa"/>
        </w:tblCellMar>
        <w:tblLook w:val="00A0" w:firstRow="1" w:lastRow="0" w:firstColumn="1" w:lastColumn="0" w:noHBand="0" w:noVBand="0"/>
      </w:tblPr>
      <w:tblGrid>
        <w:gridCol w:w="3685"/>
        <w:gridCol w:w="1390"/>
        <w:gridCol w:w="1391"/>
        <w:gridCol w:w="1251"/>
        <w:gridCol w:w="1337"/>
      </w:tblGrid>
      <w:tr w:rsidR="004E2F51" w:rsidRPr="001E3356" w14:paraId="752D4107" w14:textId="77777777" w:rsidTr="00E032FC">
        <w:trPr>
          <w:cantSplit/>
          <w:trHeight w:val="14"/>
          <w:jc w:val="center"/>
        </w:trPr>
        <w:tc>
          <w:tcPr>
            <w:tcW w:w="3685" w:type="dxa"/>
            <w:vAlign w:val="bottom"/>
          </w:tcPr>
          <w:p w14:paraId="6881652A"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bookmarkStart w:id="1389" w:name="_Toc67329012"/>
            <w:r w:rsidRPr="001E3356">
              <w:rPr>
                <w:rFonts w:ascii="Arial" w:eastAsia="Calibri" w:hAnsi="Arial" w:cs="Arial"/>
                <w:b/>
                <w:color w:val="000000" w:themeColor="text1"/>
                <w:sz w:val="18"/>
                <w:szCs w:val="18"/>
                <w:lang w:val="hr-HR"/>
              </w:rPr>
              <w:t>Grupa</w:t>
            </w:r>
            <w:bookmarkEnd w:id="1389"/>
          </w:p>
        </w:tc>
        <w:tc>
          <w:tcPr>
            <w:tcW w:w="1390" w:type="dxa"/>
            <w:vAlign w:val="center"/>
          </w:tcPr>
          <w:p w14:paraId="4712E070"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90" w:name="_Toc67329013"/>
            <w:r w:rsidRPr="001E3356">
              <w:rPr>
                <w:rFonts w:ascii="Arial" w:eastAsia="Calibri" w:hAnsi="Arial" w:cs="Arial"/>
                <w:b/>
                <w:bCs/>
                <w:iCs/>
                <w:color w:val="000000" w:themeColor="text1"/>
                <w:sz w:val="18"/>
                <w:szCs w:val="18"/>
                <w:lang w:val="hr-HR"/>
              </w:rPr>
              <w:t>Prihodi</w:t>
            </w:r>
            <w:bookmarkEnd w:id="1390"/>
          </w:p>
        </w:tc>
        <w:tc>
          <w:tcPr>
            <w:tcW w:w="1391" w:type="dxa"/>
            <w:vAlign w:val="center"/>
          </w:tcPr>
          <w:p w14:paraId="3A38FCE8"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91" w:name="_Toc67329014"/>
            <w:r w:rsidRPr="001E3356">
              <w:rPr>
                <w:rFonts w:ascii="Arial" w:eastAsia="Calibri" w:hAnsi="Arial" w:cs="Arial"/>
                <w:b/>
                <w:bCs/>
                <w:iCs/>
                <w:color w:val="000000" w:themeColor="text1"/>
                <w:sz w:val="18"/>
                <w:szCs w:val="18"/>
                <w:lang w:val="hr-HR"/>
              </w:rPr>
              <w:t>Rashodi</w:t>
            </w:r>
            <w:bookmarkEnd w:id="1391"/>
          </w:p>
        </w:tc>
        <w:tc>
          <w:tcPr>
            <w:tcW w:w="1251" w:type="dxa"/>
            <w:vAlign w:val="center"/>
          </w:tcPr>
          <w:p w14:paraId="374B306A"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92" w:name="_Toc67329015"/>
            <w:r w:rsidRPr="001E3356">
              <w:rPr>
                <w:rFonts w:ascii="Arial" w:eastAsia="Calibri" w:hAnsi="Arial" w:cs="Arial"/>
                <w:b/>
                <w:bCs/>
                <w:iCs/>
                <w:color w:val="000000" w:themeColor="text1"/>
                <w:sz w:val="18"/>
                <w:szCs w:val="18"/>
                <w:lang w:val="hr-HR"/>
              </w:rPr>
              <w:t>Prihodi</w:t>
            </w:r>
            <w:bookmarkEnd w:id="1392"/>
          </w:p>
        </w:tc>
        <w:tc>
          <w:tcPr>
            <w:tcW w:w="1337" w:type="dxa"/>
            <w:vAlign w:val="center"/>
          </w:tcPr>
          <w:p w14:paraId="5A8D2E12"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93" w:name="_Toc67329016"/>
            <w:r w:rsidRPr="001E3356">
              <w:rPr>
                <w:rFonts w:ascii="Arial" w:eastAsia="Calibri" w:hAnsi="Arial" w:cs="Arial"/>
                <w:b/>
                <w:bCs/>
                <w:iCs/>
                <w:color w:val="000000" w:themeColor="text1"/>
                <w:sz w:val="18"/>
                <w:szCs w:val="18"/>
                <w:lang w:val="hr-HR"/>
              </w:rPr>
              <w:t>Rashodi</w:t>
            </w:r>
            <w:bookmarkEnd w:id="1393"/>
          </w:p>
        </w:tc>
      </w:tr>
      <w:tr w:rsidR="004E2F51" w:rsidRPr="001E3356" w14:paraId="60A9BBB8" w14:textId="77777777" w:rsidTr="00E032FC">
        <w:trPr>
          <w:cantSplit/>
          <w:trHeight w:hRule="exact" w:val="539"/>
          <w:jc w:val="center"/>
        </w:trPr>
        <w:tc>
          <w:tcPr>
            <w:tcW w:w="3685" w:type="dxa"/>
            <w:vAlign w:val="bottom"/>
          </w:tcPr>
          <w:p w14:paraId="6424973C" w14:textId="77777777" w:rsidR="004E2F51" w:rsidRPr="001E3356" w:rsidRDefault="004E2F51" w:rsidP="00E032FC">
            <w:pPr>
              <w:tabs>
                <w:tab w:val="right" w:pos="1202"/>
              </w:tabs>
              <w:outlineLvl w:val="0"/>
              <w:rPr>
                <w:rFonts w:ascii="Arial" w:eastAsia="Calibri" w:hAnsi="Arial" w:cs="Arial"/>
                <w:b/>
                <w:color w:val="000000" w:themeColor="text1"/>
                <w:sz w:val="18"/>
                <w:szCs w:val="18"/>
                <w:lang w:val="hr-HR"/>
              </w:rPr>
            </w:pPr>
          </w:p>
        </w:tc>
        <w:tc>
          <w:tcPr>
            <w:tcW w:w="1390" w:type="dxa"/>
            <w:vAlign w:val="center"/>
          </w:tcPr>
          <w:p w14:paraId="6ACAD600"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94" w:name="_Toc67329017"/>
            <w:r w:rsidRPr="001E3356">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2</w:t>
            </w:r>
            <w:r w:rsidRPr="001E3356">
              <w:rPr>
                <w:rFonts w:ascii="Arial" w:eastAsia="Calibri" w:hAnsi="Arial" w:cs="Arial"/>
                <w:b/>
                <w:bCs/>
                <w:iCs/>
                <w:color w:val="000000" w:themeColor="text1"/>
                <w:sz w:val="18"/>
                <w:szCs w:val="18"/>
                <w:lang w:val="hr-HR"/>
              </w:rPr>
              <w:t>.</w:t>
            </w:r>
            <w:bookmarkEnd w:id="1394"/>
          </w:p>
        </w:tc>
        <w:tc>
          <w:tcPr>
            <w:tcW w:w="1391" w:type="dxa"/>
            <w:vAlign w:val="center"/>
          </w:tcPr>
          <w:p w14:paraId="0280ABD9"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95" w:name="_Toc67329018"/>
            <w:r w:rsidRPr="001E3356">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2</w:t>
            </w:r>
            <w:r w:rsidRPr="001E3356">
              <w:rPr>
                <w:rFonts w:ascii="Arial" w:eastAsia="Calibri" w:hAnsi="Arial" w:cs="Arial"/>
                <w:b/>
                <w:bCs/>
                <w:iCs/>
                <w:color w:val="000000" w:themeColor="text1"/>
                <w:sz w:val="18"/>
                <w:szCs w:val="18"/>
                <w:lang w:val="hr-HR"/>
              </w:rPr>
              <w:t>.</w:t>
            </w:r>
            <w:bookmarkEnd w:id="1395"/>
          </w:p>
        </w:tc>
        <w:tc>
          <w:tcPr>
            <w:tcW w:w="1251" w:type="dxa"/>
            <w:vAlign w:val="center"/>
          </w:tcPr>
          <w:p w14:paraId="1D4D6266"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96" w:name="_Toc67329019"/>
            <w:r w:rsidRPr="001E3356">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1</w:t>
            </w:r>
            <w:r w:rsidRPr="001E3356">
              <w:rPr>
                <w:rFonts w:ascii="Arial" w:eastAsia="Calibri" w:hAnsi="Arial" w:cs="Arial"/>
                <w:b/>
                <w:bCs/>
                <w:iCs/>
                <w:color w:val="000000" w:themeColor="text1"/>
                <w:sz w:val="18"/>
                <w:szCs w:val="18"/>
                <w:lang w:val="hr-HR"/>
              </w:rPr>
              <w:t>.</w:t>
            </w:r>
            <w:bookmarkEnd w:id="1396"/>
          </w:p>
        </w:tc>
        <w:tc>
          <w:tcPr>
            <w:tcW w:w="1337" w:type="dxa"/>
            <w:vAlign w:val="center"/>
          </w:tcPr>
          <w:p w14:paraId="3CC4B03C"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97" w:name="_Toc67329020"/>
            <w:r w:rsidRPr="001E3356">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1</w:t>
            </w:r>
            <w:r w:rsidRPr="001E3356">
              <w:rPr>
                <w:rFonts w:ascii="Arial" w:eastAsia="Calibri" w:hAnsi="Arial" w:cs="Arial"/>
                <w:b/>
                <w:bCs/>
                <w:iCs/>
                <w:color w:val="000000" w:themeColor="text1"/>
                <w:sz w:val="18"/>
                <w:szCs w:val="18"/>
                <w:lang w:val="hr-HR"/>
              </w:rPr>
              <w:t>.</w:t>
            </w:r>
            <w:bookmarkEnd w:id="1397"/>
          </w:p>
        </w:tc>
      </w:tr>
      <w:tr w:rsidR="004E2F51" w:rsidRPr="001E3356" w14:paraId="3867ACFE" w14:textId="77777777" w:rsidTr="00E032FC">
        <w:trPr>
          <w:cantSplit/>
          <w:trHeight w:hRule="exact" w:val="284"/>
          <w:jc w:val="center"/>
        </w:trPr>
        <w:tc>
          <w:tcPr>
            <w:tcW w:w="3685" w:type="dxa"/>
            <w:vAlign w:val="bottom"/>
          </w:tcPr>
          <w:p w14:paraId="6A937E72" w14:textId="77777777" w:rsidR="004E2F51" w:rsidRPr="001E3356" w:rsidRDefault="004E2F51" w:rsidP="00E032FC">
            <w:pPr>
              <w:tabs>
                <w:tab w:val="right" w:pos="1202"/>
              </w:tabs>
              <w:outlineLvl w:val="0"/>
              <w:rPr>
                <w:rFonts w:ascii="Arial" w:eastAsia="Calibri" w:hAnsi="Arial" w:cs="Arial"/>
                <w:b/>
                <w:color w:val="000000" w:themeColor="text1"/>
                <w:sz w:val="18"/>
                <w:szCs w:val="18"/>
                <w:lang w:val="hr-HR"/>
              </w:rPr>
            </w:pPr>
          </w:p>
        </w:tc>
        <w:tc>
          <w:tcPr>
            <w:tcW w:w="1390" w:type="dxa"/>
            <w:tcBorders>
              <w:top w:val="nil"/>
              <w:left w:val="nil"/>
              <w:bottom w:val="nil"/>
              <w:right w:val="nil"/>
            </w:tcBorders>
          </w:tcPr>
          <w:p w14:paraId="3766DE3D"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98" w:name="_Toc67329021"/>
            <w:r w:rsidRPr="001E3356">
              <w:rPr>
                <w:rFonts w:ascii="Arial" w:eastAsia="Calibri" w:hAnsi="Arial" w:cs="Arial"/>
                <w:b/>
                <w:bCs/>
                <w:color w:val="000000" w:themeColor="text1"/>
                <w:sz w:val="18"/>
                <w:szCs w:val="18"/>
                <w:lang w:val="hr-HR"/>
              </w:rPr>
              <w:t>000 kuna</w:t>
            </w:r>
            <w:bookmarkEnd w:id="1398"/>
          </w:p>
        </w:tc>
        <w:tc>
          <w:tcPr>
            <w:tcW w:w="1391" w:type="dxa"/>
            <w:tcBorders>
              <w:top w:val="nil"/>
              <w:left w:val="nil"/>
              <w:bottom w:val="nil"/>
              <w:right w:val="nil"/>
            </w:tcBorders>
          </w:tcPr>
          <w:p w14:paraId="0068A98C"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399" w:name="_Toc67329022"/>
            <w:r w:rsidRPr="001E3356">
              <w:rPr>
                <w:rFonts w:ascii="Arial" w:eastAsia="Calibri" w:hAnsi="Arial" w:cs="Arial"/>
                <w:b/>
                <w:bCs/>
                <w:color w:val="000000" w:themeColor="text1"/>
                <w:sz w:val="18"/>
                <w:szCs w:val="18"/>
                <w:lang w:val="hr-HR"/>
              </w:rPr>
              <w:t>000 kuna</w:t>
            </w:r>
            <w:bookmarkEnd w:id="1399"/>
          </w:p>
        </w:tc>
        <w:tc>
          <w:tcPr>
            <w:tcW w:w="1251" w:type="dxa"/>
            <w:tcBorders>
              <w:top w:val="nil"/>
              <w:left w:val="nil"/>
              <w:bottom w:val="nil"/>
              <w:right w:val="nil"/>
            </w:tcBorders>
          </w:tcPr>
          <w:p w14:paraId="4A3D1C1A"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00" w:name="_Toc67329023"/>
            <w:r w:rsidRPr="001E3356">
              <w:rPr>
                <w:rFonts w:ascii="Arial" w:eastAsia="Calibri" w:hAnsi="Arial" w:cs="Arial"/>
                <w:b/>
                <w:bCs/>
                <w:color w:val="000000" w:themeColor="text1"/>
                <w:sz w:val="18"/>
                <w:szCs w:val="18"/>
                <w:lang w:val="hr-HR"/>
              </w:rPr>
              <w:t>000 kuna</w:t>
            </w:r>
            <w:bookmarkEnd w:id="1400"/>
          </w:p>
        </w:tc>
        <w:tc>
          <w:tcPr>
            <w:tcW w:w="1337" w:type="dxa"/>
            <w:tcBorders>
              <w:top w:val="nil"/>
              <w:left w:val="nil"/>
              <w:bottom w:val="nil"/>
              <w:right w:val="nil"/>
            </w:tcBorders>
          </w:tcPr>
          <w:p w14:paraId="256BECC9"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01" w:name="_Toc67329024"/>
            <w:r w:rsidRPr="001E3356">
              <w:rPr>
                <w:rFonts w:ascii="Arial" w:eastAsia="Calibri" w:hAnsi="Arial" w:cs="Arial"/>
                <w:b/>
                <w:bCs/>
                <w:color w:val="000000" w:themeColor="text1"/>
                <w:sz w:val="18"/>
                <w:szCs w:val="18"/>
                <w:lang w:val="hr-HR"/>
              </w:rPr>
              <w:t>000 kuna</w:t>
            </w:r>
            <w:bookmarkEnd w:id="1401"/>
          </w:p>
        </w:tc>
      </w:tr>
      <w:tr w:rsidR="004E2F51" w:rsidRPr="001E3356" w14:paraId="3BB56141" w14:textId="77777777" w:rsidTr="00E032FC">
        <w:trPr>
          <w:cantSplit/>
          <w:trHeight w:hRule="exact" w:val="284"/>
          <w:jc w:val="center"/>
        </w:trPr>
        <w:tc>
          <w:tcPr>
            <w:tcW w:w="3685" w:type="dxa"/>
            <w:vAlign w:val="bottom"/>
          </w:tcPr>
          <w:p w14:paraId="7C645B2B"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bookmarkStart w:id="1402" w:name="_Toc67329025"/>
            <w:r w:rsidRPr="001E3356">
              <w:rPr>
                <w:rFonts w:ascii="Arial" w:eastAsia="Calibri" w:hAnsi="Arial" w:cs="Arial"/>
                <w:color w:val="000000" w:themeColor="text1"/>
                <w:sz w:val="18"/>
                <w:szCs w:val="18"/>
                <w:lang w:val="hr-HR"/>
              </w:rPr>
              <w:t>Vlasnik</w:t>
            </w:r>
            <w:bookmarkEnd w:id="1402"/>
          </w:p>
        </w:tc>
        <w:tc>
          <w:tcPr>
            <w:tcW w:w="1390" w:type="dxa"/>
            <w:shd w:val="clear" w:color="auto" w:fill="auto"/>
            <w:vAlign w:val="bottom"/>
          </w:tcPr>
          <w:p w14:paraId="310A8B17" w14:textId="77777777" w:rsidR="004E2F51" w:rsidRPr="00267894" w:rsidRDefault="004E2F51" w:rsidP="00E032FC">
            <w:pPr>
              <w:tabs>
                <w:tab w:val="right" w:pos="1202"/>
              </w:tabs>
              <w:jc w:val="right"/>
              <w:outlineLvl w:val="0"/>
              <w:rPr>
                <w:rFonts w:ascii="Arial" w:hAnsi="Arial" w:cs="Arial"/>
                <w:bCs/>
                <w:iCs/>
                <w:color w:val="000000" w:themeColor="text1"/>
                <w:sz w:val="18"/>
                <w:szCs w:val="18"/>
              </w:rPr>
            </w:pPr>
            <w:r w:rsidRPr="00267894">
              <w:rPr>
                <w:rFonts w:ascii="Arial" w:hAnsi="Arial" w:cs="Arial"/>
                <w:bCs/>
                <w:iCs/>
                <w:color w:val="000000" w:themeColor="text1"/>
                <w:sz w:val="18"/>
                <w:szCs w:val="18"/>
              </w:rPr>
              <w:t>41.738</w:t>
            </w:r>
          </w:p>
        </w:tc>
        <w:tc>
          <w:tcPr>
            <w:tcW w:w="1391" w:type="dxa"/>
            <w:shd w:val="clear" w:color="auto" w:fill="auto"/>
            <w:vAlign w:val="bottom"/>
          </w:tcPr>
          <w:p w14:paraId="7C86BE9A" w14:textId="77777777" w:rsidR="004E2F51" w:rsidRPr="00267894" w:rsidRDefault="004E2F51" w:rsidP="00E032FC">
            <w:pPr>
              <w:tabs>
                <w:tab w:val="right" w:pos="1202"/>
              </w:tabs>
              <w:jc w:val="right"/>
              <w:outlineLvl w:val="0"/>
              <w:rPr>
                <w:rFonts w:ascii="Arial" w:hAnsi="Arial" w:cs="Arial"/>
                <w:bCs/>
                <w:iCs/>
                <w:color w:val="000000" w:themeColor="text1"/>
                <w:sz w:val="18"/>
                <w:szCs w:val="18"/>
              </w:rPr>
            </w:pPr>
            <w:r w:rsidRPr="00267894">
              <w:rPr>
                <w:rFonts w:ascii="Arial" w:hAnsi="Arial" w:cs="Arial"/>
                <w:bCs/>
                <w:iCs/>
                <w:color w:val="000000" w:themeColor="text1"/>
                <w:sz w:val="18"/>
                <w:szCs w:val="18"/>
              </w:rPr>
              <w:t>15.957</w:t>
            </w:r>
          </w:p>
        </w:tc>
        <w:tc>
          <w:tcPr>
            <w:tcW w:w="1251" w:type="dxa"/>
            <w:shd w:val="clear" w:color="auto" w:fill="auto"/>
            <w:vAlign w:val="bottom"/>
          </w:tcPr>
          <w:p w14:paraId="584B2490"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hAnsi="Arial" w:cs="Arial"/>
                <w:bCs/>
                <w:iCs/>
                <w:color w:val="000000" w:themeColor="text1"/>
                <w:sz w:val="18"/>
                <w:szCs w:val="18"/>
              </w:rPr>
              <w:t>50.497</w:t>
            </w:r>
          </w:p>
        </w:tc>
        <w:tc>
          <w:tcPr>
            <w:tcW w:w="1337" w:type="dxa"/>
            <w:shd w:val="clear" w:color="auto" w:fill="auto"/>
            <w:vAlign w:val="bottom"/>
          </w:tcPr>
          <w:p w14:paraId="55C683A6"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hAnsi="Arial" w:cs="Arial"/>
                <w:bCs/>
                <w:iCs/>
                <w:color w:val="000000" w:themeColor="text1"/>
                <w:sz w:val="18"/>
                <w:szCs w:val="18"/>
              </w:rPr>
              <w:t>28.730</w:t>
            </w:r>
          </w:p>
        </w:tc>
      </w:tr>
      <w:tr w:rsidR="004E2F51" w:rsidRPr="001E3356" w14:paraId="4362CFF5" w14:textId="77777777" w:rsidTr="00E032FC">
        <w:trPr>
          <w:cantSplit/>
          <w:trHeight w:hRule="exact" w:val="284"/>
          <w:jc w:val="center"/>
        </w:trPr>
        <w:tc>
          <w:tcPr>
            <w:tcW w:w="3685" w:type="dxa"/>
            <w:vAlign w:val="bottom"/>
          </w:tcPr>
          <w:p w14:paraId="3860CE4F"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bookmarkStart w:id="1403" w:name="_Toc67329030"/>
            <w:r w:rsidRPr="001E3356">
              <w:rPr>
                <w:rFonts w:ascii="Arial" w:eastAsia="Calibri" w:hAnsi="Arial" w:cs="Arial"/>
                <w:color w:val="000000" w:themeColor="text1"/>
                <w:sz w:val="18"/>
                <w:szCs w:val="18"/>
                <w:lang w:val="hr-HR"/>
              </w:rPr>
              <w:t>Državni fondovi, izvršna tijela i agencije</w:t>
            </w:r>
            <w:bookmarkEnd w:id="1403"/>
          </w:p>
        </w:tc>
        <w:tc>
          <w:tcPr>
            <w:tcW w:w="1390" w:type="dxa"/>
            <w:shd w:val="clear" w:color="auto" w:fill="auto"/>
            <w:vAlign w:val="bottom"/>
          </w:tcPr>
          <w:p w14:paraId="74D7826A" w14:textId="77777777" w:rsidR="004E2F51" w:rsidRPr="00267894" w:rsidRDefault="004E2F51" w:rsidP="00E032FC">
            <w:pPr>
              <w:tabs>
                <w:tab w:val="right" w:pos="1202"/>
              </w:tabs>
              <w:jc w:val="right"/>
              <w:outlineLvl w:val="0"/>
              <w:rPr>
                <w:rFonts w:ascii="Arial" w:hAnsi="Arial" w:cs="Arial"/>
                <w:bCs/>
                <w:iCs/>
                <w:color w:val="000000" w:themeColor="text1"/>
                <w:sz w:val="18"/>
                <w:szCs w:val="18"/>
              </w:rPr>
            </w:pPr>
            <w:r w:rsidRPr="00267894">
              <w:rPr>
                <w:rFonts w:ascii="Arial" w:hAnsi="Arial" w:cs="Arial"/>
                <w:bCs/>
                <w:iCs/>
                <w:color w:val="000000" w:themeColor="text1"/>
                <w:sz w:val="18"/>
                <w:szCs w:val="18"/>
              </w:rPr>
              <w:t>97.745</w:t>
            </w:r>
          </w:p>
        </w:tc>
        <w:tc>
          <w:tcPr>
            <w:tcW w:w="1391" w:type="dxa"/>
            <w:shd w:val="clear" w:color="auto" w:fill="auto"/>
            <w:vAlign w:val="bottom"/>
          </w:tcPr>
          <w:p w14:paraId="0AB314EC" w14:textId="77777777" w:rsidR="004E2F51" w:rsidRPr="00267894" w:rsidRDefault="004E2F51" w:rsidP="00E032FC">
            <w:pPr>
              <w:tabs>
                <w:tab w:val="right" w:pos="1202"/>
              </w:tabs>
              <w:jc w:val="right"/>
              <w:outlineLvl w:val="0"/>
              <w:rPr>
                <w:rFonts w:ascii="Arial" w:hAnsi="Arial" w:cs="Arial"/>
                <w:bCs/>
                <w:iCs/>
                <w:color w:val="000000" w:themeColor="text1"/>
                <w:sz w:val="18"/>
                <w:szCs w:val="18"/>
              </w:rPr>
            </w:pPr>
            <w:r w:rsidRPr="00267894">
              <w:rPr>
                <w:rFonts w:ascii="Arial" w:hAnsi="Arial" w:cs="Arial"/>
                <w:bCs/>
                <w:iCs/>
                <w:color w:val="000000" w:themeColor="text1"/>
                <w:sz w:val="18"/>
                <w:szCs w:val="18"/>
              </w:rPr>
              <w:t>12.321</w:t>
            </w:r>
          </w:p>
        </w:tc>
        <w:tc>
          <w:tcPr>
            <w:tcW w:w="1251" w:type="dxa"/>
            <w:shd w:val="clear" w:color="auto" w:fill="auto"/>
            <w:vAlign w:val="bottom"/>
          </w:tcPr>
          <w:p w14:paraId="13365151"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hAnsi="Arial" w:cs="Arial"/>
                <w:bCs/>
                <w:iCs/>
                <w:color w:val="000000" w:themeColor="text1"/>
                <w:sz w:val="18"/>
                <w:szCs w:val="18"/>
              </w:rPr>
              <w:t>89.571</w:t>
            </w:r>
          </w:p>
        </w:tc>
        <w:tc>
          <w:tcPr>
            <w:tcW w:w="1337" w:type="dxa"/>
            <w:shd w:val="clear" w:color="auto" w:fill="auto"/>
            <w:vAlign w:val="bottom"/>
          </w:tcPr>
          <w:p w14:paraId="25DA5104"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hAnsi="Arial" w:cs="Arial"/>
                <w:bCs/>
                <w:iCs/>
                <w:color w:val="000000" w:themeColor="text1"/>
                <w:sz w:val="18"/>
                <w:szCs w:val="18"/>
              </w:rPr>
              <w:t>1.044</w:t>
            </w:r>
          </w:p>
        </w:tc>
      </w:tr>
      <w:tr w:rsidR="004E2F51" w:rsidRPr="001E3356" w14:paraId="12061DD9" w14:textId="77777777" w:rsidTr="00E032FC">
        <w:trPr>
          <w:cantSplit/>
          <w:trHeight w:hRule="exact" w:val="284"/>
          <w:jc w:val="center"/>
        </w:trPr>
        <w:tc>
          <w:tcPr>
            <w:tcW w:w="3685" w:type="dxa"/>
            <w:vAlign w:val="bottom"/>
          </w:tcPr>
          <w:p w14:paraId="40D0CB1C"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bookmarkStart w:id="1404" w:name="_Toc67329035"/>
            <w:r w:rsidRPr="001E3356">
              <w:rPr>
                <w:rFonts w:ascii="Arial" w:eastAsia="Calibri" w:hAnsi="Arial" w:cs="Arial"/>
                <w:color w:val="000000" w:themeColor="text1"/>
                <w:sz w:val="18"/>
                <w:szCs w:val="18"/>
                <w:lang w:val="hr-HR"/>
              </w:rPr>
              <w:t>Državna trgovačka društva</w:t>
            </w:r>
            <w:bookmarkEnd w:id="1404"/>
          </w:p>
        </w:tc>
        <w:tc>
          <w:tcPr>
            <w:tcW w:w="1390" w:type="dxa"/>
            <w:shd w:val="clear" w:color="auto" w:fill="auto"/>
            <w:vAlign w:val="bottom"/>
          </w:tcPr>
          <w:p w14:paraId="250CDA99" w14:textId="77777777" w:rsidR="004E2F51" w:rsidRPr="00267894" w:rsidRDefault="004E2F51" w:rsidP="00E032FC">
            <w:pPr>
              <w:tabs>
                <w:tab w:val="right" w:pos="1202"/>
              </w:tabs>
              <w:jc w:val="right"/>
              <w:outlineLvl w:val="0"/>
              <w:rPr>
                <w:rFonts w:ascii="Arial" w:hAnsi="Arial" w:cs="Arial"/>
                <w:bCs/>
                <w:iCs/>
                <w:color w:val="000000" w:themeColor="text1"/>
                <w:sz w:val="18"/>
                <w:szCs w:val="18"/>
              </w:rPr>
            </w:pPr>
            <w:r w:rsidRPr="00267894">
              <w:rPr>
                <w:rFonts w:ascii="Arial" w:hAnsi="Arial" w:cs="Arial"/>
                <w:bCs/>
                <w:iCs/>
                <w:color w:val="000000" w:themeColor="text1"/>
                <w:sz w:val="18"/>
                <w:szCs w:val="18"/>
              </w:rPr>
              <w:t>75.853</w:t>
            </w:r>
          </w:p>
        </w:tc>
        <w:tc>
          <w:tcPr>
            <w:tcW w:w="1391" w:type="dxa"/>
            <w:shd w:val="clear" w:color="auto" w:fill="auto"/>
            <w:vAlign w:val="bottom"/>
          </w:tcPr>
          <w:p w14:paraId="792AE8DC" w14:textId="77777777" w:rsidR="004E2F51" w:rsidRPr="00267894" w:rsidRDefault="004E2F51" w:rsidP="00E032FC">
            <w:pPr>
              <w:tabs>
                <w:tab w:val="right" w:pos="1202"/>
              </w:tabs>
              <w:jc w:val="right"/>
              <w:outlineLvl w:val="0"/>
              <w:rPr>
                <w:rFonts w:ascii="Arial" w:hAnsi="Arial" w:cs="Arial"/>
                <w:bCs/>
                <w:iCs/>
                <w:color w:val="000000" w:themeColor="text1"/>
                <w:sz w:val="18"/>
                <w:szCs w:val="18"/>
              </w:rPr>
            </w:pPr>
            <w:r w:rsidRPr="00267894">
              <w:rPr>
                <w:rFonts w:ascii="Arial" w:hAnsi="Arial" w:cs="Arial"/>
                <w:bCs/>
                <w:iCs/>
                <w:color w:val="000000" w:themeColor="text1"/>
                <w:sz w:val="18"/>
                <w:szCs w:val="18"/>
              </w:rPr>
              <w:t>56.035</w:t>
            </w:r>
          </w:p>
        </w:tc>
        <w:tc>
          <w:tcPr>
            <w:tcW w:w="1251" w:type="dxa"/>
            <w:shd w:val="clear" w:color="auto" w:fill="auto"/>
            <w:vAlign w:val="bottom"/>
          </w:tcPr>
          <w:p w14:paraId="7E34327C"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hAnsi="Arial" w:cs="Arial"/>
                <w:bCs/>
                <w:iCs/>
                <w:color w:val="000000" w:themeColor="text1"/>
                <w:sz w:val="18"/>
                <w:szCs w:val="18"/>
              </w:rPr>
              <w:t>45.248</w:t>
            </w:r>
          </w:p>
        </w:tc>
        <w:tc>
          <w:tcPr>
            <w:tcW w:w="1337" w:type="dxa"/>
            <w:shd w:val="clear" w:color="auto" w:fill="auto"/>
            <w:vAlign w:val="bottom"/>
          </w:tcPr>
          <w:p w14:paraId="3381B4E9"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hAnsi="Arial" w:cs="Arial"/>
                <w:bCs/>
                <w:iCs/>
                <w:color w:val="000000" w:themeColor="text1"/>
                <w:sz w:val="18"/>
                <w:szCs w:val="18"/>
              </w:rPr>
              <w:t>49.542</w:t>
            </w:r>
          </w:p>
        </w:tc>
      </w:tr>
      <w:tr w:rsidR="004E2F51" w:rsidRPr="001E3356" w14:paraId="5EC7FA34" w14:textId="77777777" w:rsidTr="00E032FC">
        <w:trPr>
          <w:cantSplit/>
          <w:trHeight w:hRule="exact" w:val="284"/>
          <w:jc w:val="center"/>
        </w:trPr>
        <w:tc>
          <w:tcPr>
            <w:tcW w:w="3685" w:type="dxa"/>
            <w:vAlign w:val="bottom"/>
          </w:tcPr>
          <w:p w14:paraId="0FB3C116" w14:textId="77777777" w:rsidR="004E2F51" w:rsidRPr="001E3356" w:rsidRDefault="004E2F51" w:rsidP="00E032FC">
            <w:pPr>
              <w:tabs>
                <w:tab w:val="right" w:pos="1202"/>
              </w:tabs>
              <w:outlineLvl w:val="0"/>
              <w:rPr>
                <w:rFonts w:ascii="Arial" w:eastAsia="Calibri" w:hAnsi="Arial" w:cs="Arial"/>
                <w:bCs/>
                <w:color w:val="000000" w:themeColor="text1"/>
                <w:sz w:val="18"/>
                <w:szCs w:val="18"/>
                <w:lang w:val="hr-HR"/>
              </w:rPr>
            </w:pPr>
            <w:bookmarkStart w:id="1405" w:name="_Toc67329040"/>
            <w:r w:rsidRPr="001E3356">
              <w:rPr>
                <w:rFonts w:ascii="Arial" w:eastAsia="Calibri" w:hAnsi="Arial" w:cs="Arial"/>
                <w:color w:val="000000" w:themeColor="text1"/>
                <w:sz w:val="18"/>
                <w:szCs w:val="18"/>
                <w:lang w:val="hr-HR"/>
              </w:rPr>
              <w:t>Pridružena društva</w:t>
            </w:r>
            <w:bookmarkEnd w:id="1405"/>
          </w:p>
        </w:tc>
        <w:tc>
          <w:tcPr>
            <w:tcW w:w="1390" w:type="dxa"/>
            <w:shd w:val="clear" w:color="auto" w:fill="auto"/>
            <w:vAlign w:val="bottom"/>
          </w:tcPr>
          <w:p w14:paraId="7E0325C1" w14:textId="77777777" w:rsidR="004E2F51" w:rsidRPr="00D34565" w:rsidRDefault="004E2F51" w:rsidP="00E032FC">
            <w:pPr>
              <w:tabs>
                <w:tab w:val="right" w:pos="1202"/>
              </w:tabs>
              <w:jc w:val="right"/>
              <w:outlineLvl w:val="0"/>
              <w:rPr>
                <w:rFonts w:ascii="Arial" w:hAnsi="Arial" w:cs="Arial"/>
                <w:bCs/>
                <w:iCs/>
                <w:color w:val="000000" w:themeColor="text1"/>
                <w:sz w:val="18"/>
                <w:szCs w:val="18"/>
              </w:rPr>
            </w:pPr>
            <w:r w:rsidRPr="00D34565">
              <w:rPr>
                <w:rFonts w:ascii="Arial" w:hAnsi="Arial" w:cs="Arial"/>
                <w:bCs/>
                <w:iCs/>
                <w:color w:val="000000" w:themeColor="text1"/>
                <w:sz w:val="18"/>
                <w:szCs w:val="18"/>
              </w:rPr>
              <w:t>-</w:t>
            </w:r>
          </w:p>
        </w:tc>
        <w:tc>
          <w:tcPr>
            <w:tcW w:w="1391" w:type="dxa"/>
            <w:shd w:val="clear" w:color="auto" w:fill="auto"/>
            <w:vAlign w:val="bottom"/>
          </w:tcPr>
          <w:p w14:paraId="59CC693A" w14:textId="77777777" w:rsidR="004E2F51" w:rsidRPr="00D34565" w:rsidRDefault="004E2F51" w:rsidP="00E032FC">
            <w:pPr>
              <w:tabs>
                <w:tab w:val="right" w:pos="1202"/>
              </w:tabs>
              <w:jc w:val="right"/>
              <w:outlineLvl w:val="0"/>
              <w:rPr>
                <w:rFonts w:ascii="Arial" w:hAnsi="Arial" w:cs="Arial"/>
                <w:bCs/>
                <w:iCs/>
                <w:color w:val="000000" w:themeColor="text1"/>
                <w:sz w:val="18"/>
                <w:szCs w:val="18"/>
              </w:rPr>
            </w:pPr>
            <w:r w:rsidRPr="00D34565">
              <w:rPr>
                <w:rFonts w:ascii="Arial" w:hAnsi="Arial" w:cs="Arial"/>
                <w:bCs/>
                <w:iCs/>
                <w:color w:val="000000" w:themeColor="text1"/>
                <w:sz w:val="18"/>
                <w:szCs w:val="18"/>
              </w:rPr>
              <w:t>-</w:t>
            </w:r>
          </w:p>
        </w:tc>
        <w:tc>
          <w:tcPr>
            <w:tcW w:w="1251" w:type="dxa"/>
            <w:shd w:val="clear" w:color="auto" w:fill="auto"/>
            <w:vAlign w:val="bottom"/>
          </w:tcPr>
          <w:p w14:paraId="11EDC9B0"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hAnsi="Arial" w:cs="Arial"/>
                <w:bCs/>
                <w:iCs/>
                <w:color w:val="000000" w:themeColor="text1"/>
                <w:sz w:val="18"/>
                <w:szCs w:val="18"/>
              </w:rPr>
              <w:t>26</w:t>
            </w:r>
          </w:p>
        </w:tc>
        <w:tc>
          <w:tcPr>
            <w:tcW w:w="1337" w:type="dxa"/>
            <w:shd w:val="clear" w:color="auto" w:fill="auto"/>
            <w:vAlign w:val="bottom"/>
          </w:tcPr>
          <w:p w14:paraId="6A5F22D3"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hAnsi="Arial" w:cs="Arial"/>
                <w:bCs/>
                <w:iCs/>
                <w:color w:val="000000" w:themeColor="text1"/>
                <w:sz w:val="18"/>
                <w:szCs w:val="18"/>
              </w:rPr>
              <w:t>1</w:t>
            </w:r>
          </w:p>
        </w:tc>
      </w:tr>
      <w:tr w:rsidR="004E2F51" w:rsidRPr="001E3356" w14:paraId="5CC8C869" w14:textId="77777777" w:rsidTr="00E032FC">
        <w:trPr>
          <w:cantSplit/>
          <w:trHeight w:hRule="exact" w:val="284"/>
          <w:jc w:val="center"/>
        </w:trPr>
        <w:tc>
          <w:tcPr>
            <w:tcW w:w="3685" w:type="dxa"/>
            <w:vAlign w:val="bottom"/>
          </w:tcPr>
          <w:p w14:paraId="38D678E7" w14:textId="77777777" w:rsidR="004E2F51" w:rsidRPr="001E3356" w:rsidRDefault="004E2F51" w:rsidP="00E032FC">
            <w:pPr>
              <w:tabs>
                <w:tab w:val="right" w:pos="1202"/>
              </w:tabs>
              <w:outlineLvl w:val="0"/>
              <w:rPr>
                <w:rFonts w:ascii="Arial" w:eastAsia="Calibri" w:hAnsi="Arial" w:cs="Arial"/>
                <w:bCs/>
                <w:color w:val="000000" w:themeColor="text1"/>
                <w:sz w:val="18"/>
                <w:szCs w:val="18"/>
                <w:lang w:val="hr-HR"/>
              </w:rPr>
            </w:pPr>
            <w:bookmarkStart w:id="1406" w:name="_Toc67329045"/>
            <w:r w:rsidRPr="001E3356">
              <w:rPr>
                <w:rFonts w:ascii="Arial" w:eastAsia="Calibri" w:hAnsi="Arial" w:cs="Arial"/>
                <w:bCs/>
                <w:color w:val="000000" w:themeColor="text1"/>
                <w:sz w:val="18"/>
                <w:szCs w:val="18"/>
                <w:lang w:val="hr-HR"/>
              </w:rPr>
              <w:t>Ključni članovi rukovodstva</w:t>
            </w:r>
            <w:bookmarkEnd w:id="1406"/>
          </w:p>
        </w:tc>
        <w:tc>
          <w:tcPr>
            <w:tcW w:w="1390" w:type="dxa"/>
            <w:tcBorders>
              <w:bottom w:val="single" w:sz="4" w:space="0" w:color="000000"/>
            </w:tcBorders>
            <w:shd w:val="clear" w:color="auto" w:fill="auto"/>
            <w:vAlign w:val="bottom"/>
          </w:tcPr>
          <w:p w14:paraId="16E911DC" w14:textId="77777777" w:rsidR="004E2F51" w:rsidRPr="00D34565" w:rsidRDefault="004E2F51" w:rsidP="00E032FC">
            <w:pPr>
              <w:tabs>
                <w:tab w:val="right" w:pos="1202"/>
              </w:tabs>
              <w:jc w:val="right"/>
              <w:outlineLvl w:val="0"/>
              <w:rPr>
                <w:rFonts w:ascii="Arial" w:hAnsi="Arial" w:cs="Arial"/>
                <w:bCs/>
                <w:iCs/>
                <w:color w:val="000000" w:themeColor="text1"/>
                <w:sz w:val="18"/>
                <w:szCs w:val="18"/>
              </w:rPr>
            </w:pPr>
            <w:r w:rsidRPr="00D34565">
              <w:rPr>
                <w:rFonts w:ascii="Arial" w:hAnsi="Arial" w:cs="Arial"/>
                <w:bCs/>
                <w:iCs/>
                <w:color w:val="000000" w:themeColor="text1"/>
                <w:sz w:val="18"/>
                <w:szCs w:val="18"/>
              </w:rPr>
              <w:t>6</w:t>
            </w:r>
            <w:r>
              <w:rPr>
                <w:rFonts w:ascii="Arial" w:hAnsi="Arial" w:cs="Arial"/>
                <w:bCs/>
                <w:iCs/>
                <w:color w:val="000000" w:themeColor="text1"/>
                <w:sz w:val="18"/>
                <w:szCs w:val="18"/>
              </w:rPr>
              <w:t>9</w:t>
            </w:r>
          </w:p>
        </w:tc>
        <w:tc>
          <w:tcPr>
            <w:tcW w:w="1391" w:type="dxa"/>
            <w:tcBorders>
              <w:bottom w:val="single" w:sz="4" w:space="0" w:color="000000"/>
            </w:tcBorders>
            <w:shd w:val="clear" w:color="auto" w:fill="auto"/>
            <w:vAlign w:val="bottom"/>
          </w:tcPr>
          <w:p w14:paraId="065ED388" w14:textId="77777777" w:rsidR="004E2F51" w:rsidRPr="00D34565" w:rsidRDefault="004E2F51" w:rsidP="00E032FC">
            <w:pPr>
              <w:tabs>
                <w:tab w:val="right" w:pos="1202"/>
              </w:tabs>
              <w:jc w:val="right"/>
              <w:outlineLvl w:val="0"/>
              <w:rPr>
                <w:rFonts w:ascii="Arial" w:hAnsi="Arial" w:cs="Arial"/>
                <w:bCs/>
                <w:iCs/>
                <w:color w:val="000000" w:themeColor="text1"/>
                <w:sz w:val="18"/>
                <w:szCs w:val="18"/>
              </w:rPr>
            </w:pPr>
            <w:r w:rsidRPr="00D34565">
              <w:rPr>
                <w:rFonts w:ascii="Arial" w:hAnsi="Arial" w:cs="Arial"/>
                <w:bCs/>
                <w:iCs/>
                <w:color w:val="000000" w:themeColor="text1"/>
                <w:sz w:val="18"/>
                <w:szCs w:val="18"/>
              </w:rPr>
              <w:t>9.622</w:t>
            </w:r>
          </w:p>
        </w:tc>
        <w:tc>
          <w:tcPr>
            <w:tcW w:w="1251" w:type="dxa"/>
            <w:tcBorders>
              <w:bottom w:val="single" w:sz="4" w:space="0" w:color="000000"/>
            </w:tcBorders>
            <w:shd w:val="clear" w:color="auto" w:fill="auto"/>
            <w:vAlign w:val="bottom"/>
          </w:tcPr>
          <w:p w14:paraId="7EE5BB21"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hAnsi="Arial" w:cs="Arial"/>
                <w:bCs/>
                <w:iCs/>
                <w:color w:val="000000" w:themeColor="text1"/>
                <w:sz w:val="18"/>
                <w:szCs w:val="18"/>
              </w:rPr>
              <w:t>3.738</w:t>
            </w:r>
          </w:p>
        </w:tc>
        <w:tc>
          <w:tcPr>
            <w:tcW w:w="1337" w:type="dxa"/>
            <w:tcBorders>
              <w:bottom w:val="single" w:sz="4" w:space="0" w:color="000000"/>
            </w:tcBorders>
            <w:shd w:val="clear" w:color="auto" w:fill="auto"/>
            <w:vAlign w:val="bottom"/>
          </w:tcPr>
          <w:p w14:paraId="4E48E011"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hAnsi="Arial" w:cs="Arial"/>
                <w:bCs/>
                <w:iCs/>
                <w:color w:val="000000" w:themeColor="text1"/>
                <w:sz w:val="18"/>
                <w:szCs w:val="18"/>
              </w:rPr>
              <w:t>8.976</w:t>
            </w:r>
          </w:p>
        </w:tc>
      </w:tr>
      <w:tr w:rsidR="004E2F51" w:rsidRPr="001E3356" w14:paraId="4EFDA394" w14:textId="77777777" w:rsidTr="00E032FC">
        <w:trPr>
          <w:cantSplit/>
          <w:trHeight w:val="323"/>
          <w:jc w:val="center"/>
        </w:trPr>
        <w:tc>
          <w:tcPr>
            <w:tcW w:w="3685" w:type="dxa"/>
            <w:vAlign w:val="bottom"/>
          </w:tcPr>
          <w:p w14:paraId="1DBD54FD" w14:textId="77777777" w:rsidR="004E2F51" w:rsidRPr="001E3356" w:rsidRDefault="004E2F51" w:rsidP="00E032FC">
            <w:pPr>
              <w:tabs>
                <w:tab w:val="right" w:pos="1202"/>
              </w:tabs>
              <w:outlineLvl w:val="0"/>
              <w:rPr>
                <w:rFonts w:ascii="Arial" w:eastAsia="Calibri" w:hAnsi="Arial" w:cs="Arial"/>
                <w:b/>
                <w:color w:val="000000" w:themeColor="text1"/>
                <w:sz w:val="18"/>
                <w:szCs w:val="18"/>
                <w:lang w:val="hr-HR"/>
              </w:rPr>
            </w:pPr>
            <w:bookmarkStart w:id="1407" w:name="_Toc67329050"/>
            <w:r w:rsidRPr="001E3356">
              <w:rPr>
                <w:rFonts w:ascii="Arial" w:eastAsia="Calibri" w:hAnsi="Arial" w:cs="Arial"/>
                <w:b/>
                <w:color w:val="000000" w:themeColor="text1"/>
                <w:sz w:val="18"/>
                <w:szCs w:val="18"/>
                <w:lang w:val="hr-HR"/>
              </w:rPr>
              <w:t>Ukupno</w:t>
            </w:r>
            <w:bookmarkEnd w:id="1407"/>
          </w:p>
        </w:tc>
        <w:tc>
          <w:tcPr>
            <w:tcW w:w="1390" w:type="dxa"/>
            <w:tcBorders>
              <w:top w:val="single" w:sz="4" w:space="0" w:color="auto"/>
              <w:bottom w:val="single" w:sz="12" w:space="0" w:color="auto"/>
            </w:tcBorders>
            <w:shd w:val="clear" w:color="auto" w:fill="auto"/>
            <w:vAlign w:val="bottom"/>
          </w:tcPr>
          <w:p w14:paraId="03723685" w14:textId="77777777" w:rsidR="004E2F51" w:rsidRPr="00D34565" w:rsidRDefault="004E2F51" w:rsidP="00E032FC">
            <w:pPr>
              <w:tabs>
                <w:tab w:val="right" w:pos="1202"/>
              </w:tabs>
              <w:jc w:val="right"/>
              <w:outlineLvl w:val="0"/>
              <w:rPr>
                <w:rFonts w:ascii="Arial" w:hAnsi="Arial" w:cs="Arial"/>
                <w:b/>
                <w:color w:val="000000" w:themeColor="text1"/>
                <w:sz w:val="18"/>
                <w:szCs w:val="18"/>
              </w:rPr>
            </w:pPr>
            <w:r w:rsidRPr="00D34565">
              <w:rPr>
                <w:rFonts w:ascii="Arial" w:hAnsi="Arial" w:cs="Arial"/>
                <w:b/>
                <w:color w:val="000000" w:themeColor="text1"/>
                <w:sz w:val="18"/>
                <w:szCs w:val="18"/>
              </w:rPr>
              <w:t>215.40</w:t>
            </w:r>
            <w:r>
              <w:rPr>
                <w:rFonts w:ascii="Arial" w:hAnsi="Arial" w:cs="Arial"/>
                <w:b/>
                <w:color w:val="000000" w:themeColor="text1"/>
                <w:sz w:val="18"/>
                <w:szCs w:val="18"/>
              </w:rPr>
              <w:t>5</w:t>
            </w:r>
          </w:p>
        </w:tc>
        <w:tc>
          <w:tcPr>
            <w:tcW w:w="1391" w:type="dxa"/>
            <w:tcBorders>
              <w:top w:val="single" w:sz="4" w:space="0" w:color="auto"/>
              <w:bottom w:val="single" w:sz="12" w:space="0" w:color="auto"/>
            </w:tcBorders>
            <w:shd w:val="clear" w:color="auto" w:fill="auto"/>
            <w:vAlign w:val="bottom"/>
          </w:tcPr>
          <w:p w14:paraId="4FA2402B" w14:textId="77777777" w:rsidR="004E2F51" w:rsidRPr="00D34565" w:rsidRDefault="004E2F51" w:rsidP="00E032FC">
            <w:pPr>
              <w:tabs>
                <w:tab w:val="right" w:pos="1202"/>
              </w:tabs>
              <w:jc w:val="right"/>
              <w:outlineLvl w:val="0"/>
              <w:rPr>
                <w:rFonts w:ascii="Arial" w:hAnsi="Arial" w:cs="Arial"/>
                <w:b/>
                <w:color w:val="000000" w:themeColor="text1"/>
                <w:sz w:val="18"/>
                <w:szCs w:val="18"/>
              </w:rPr>
            </w:pPr>
            <w:r w:rsidRPr="00D34565">
              <w:rPr>
                <w:rFonts w:ascii="Arial" w:hAnsi="Arial" w:cs="Arial"/>
                <w:b/>
                <w:color w:val="000000" w:themeColor="text1"/>
                <w:sz w:val="18"/>
                <w:szCs w:val="18"/>
              </w:rPr>
              <w:t>93.935</w:t>
            </w:r>
          </w:p>
        </w:tc>
        <w:tc>
          <w:tcPr>
            <w:tcW w:w="1251" w:type="dxa"/>
            <w:tcBorders>
              <w:top w:val="single" w:sz="4" w:space="0" w:color="auto"/>
              <w:bottom w:val="single" w:sz="12" w:space="0" w:color="auto"/>
            </w:tcBorders>
            <w:shd w:val="clear" w:color="auto" w:fill="auto"/>
            <w:vAlign w:val="bottom"/>
          </w:tcPr>
          <w:p w14:paraId="1E847FC6" w14:textId="77777777" w:rsidR="004E2F51" w:rsidRPr="001E3356" w:rsidRDefault="004E2F51" w:rsidP="00E032FC">
            <w:pPr>
              <w:tabs>
                <w:tab w:val="right" w:pos="1202"/>
              </w:tabs>
              <w:jc w:val="right"/>
              <w:outlineLvl w:val="0"/>
              <w:rPr>
                <w:rFonts w:ascii="Arial" w:hAnsi="Arial" w:cs="Arial"/>
                <w:b/>
                <w:iCs/>
                <w:color w:val="000000" w:themeColor="text1"/>
                <w:sz w:val="18"/>
                <w:szCs w:val="18"/>
                <w:lang w:val="hr-HR"/>
              </w:rPr>
            </w:pPr>
            <w:r w:rsidRPr="001E3356">
              <w:rPr>
                <w:rFonts w:ascii="Arial" w:hAnsi="Arial" w:cs="Arial"/>
                <w:b/>
                <w:color w:val="000000" w:themeColor="text1"/>
                <w:sz w:val="18"/>
                <w:szCs w:val="18"/>
              </w:rPr>
              <w:t>189.080</w:t>
            </w:r>
          </w:p>
        </w:tc>
        <w:tc>
          <w:tcPr>
            <w:tcW w:w="1337" w:type="dxa"/>
            <w:tcBorders>
              <w:top w:val="single" w:sz="4" w:space="0" w:color="auto"/>
              <w:bottom w:val="single" w:sz="12" w:space="0" w:color="auto"/>
            </w:tcBorders>
            <w:shd w:val="clear" w:color="auto" w:fill="auto"/>
            <w:vAlign w:val="bottom"/>
          </w:tcPr>
          <w:p w14:paraId="5C2693B6" w14:textId="77777777" w:rsidR="004E2F51" w:rsidRPr="001E3356" w:rsidRDefault="004E2F51" w:rsidP="00E032FC">
            <w:pPr>
              <w:tabs>
                <w:tab w:val="right" w:pos="1202"/>
              </w:tabs>
              <w:jc w:val="right"/>
              <w:outlineLvl w:val="0"/>
              <w:rPr>
                <w:rFonts w:ascii="Arial" w:hAnsi="Arial" w:cs="Arial"/>
                <w:b/>
                <w:iCs/>
                <w:color w:val="000000" w:themeColor="text1"/>
                <w:sz w:val="18"/>
                <w:szCs w:val="18"/>
                <w:lang w:val="hr-HR"/>
              </w:rPr>
            </w:pPr>
            <w:r w:rsidRPr="001E3356">
              <w:rPr>
                <w:rFonts w:ascii="Arial" w:hAnsi="Arial" w:cs="Arial"/>
                <w:b/>
                <w:color w:val="000000" w:themeColor="text1"/>
                <w:sz w:val="18"/>
                <w:szCs w:val="18"/>
              </w:rPr>
              <w:t>88.293</w:t>
            </w:r>
          </w:p>
        </w:tc>
      </w:tr>
    </w:tbl>
    <w:p w14:paraId="73794545" w14:textId="77777777" w:rsidR="004E2F51" w:rsidRPr="001E3356" w:rsidRDefault="004E2F51" w:rsidP="004E2F51">
      <w:pPr>
        <w:pStyle w:val="T1"/>
        <w:spacing w:before="0" w:after="0" w:line="240" w:lineRule="auto"/>
        <w:ind w:left="357"/>
        <w:rPr>
          <w:rFonts w:cs="Arial"/>
          <w:b w:val="0"/>
          <w:color w:val="000000" w:themeColor="text1"/>
          <w:sz w:val="20"/>
          <w:lang w:val="hr-HR"/>
        </w:rPr>
      </w:pPr>
    </w:p>
    <w:p w14:paraId="0E636679" w14:textId="77777777" w:rsidR="004E2F51" w:rsidRPr="00B91D09" w:rsidRDefault="004E2F51" w:rsidP="004E2F51">
      <w:pPr>
        <w:pStyle w:val="T1"/>
        <w:spacing w:before="0" w:after="0" w:line="240" w:lineRule="auto"/>
        <w:ind w:left="357"/>
        <w:rPr>
          <w:rFonts w:cs="Arial"/>
          <w:b w:val="0"/>
          <w:color w:val="000000" w:themeColor="text1"/>
          <w:sz w:val="22"/>
          <w:szCs w:val="22"/>
          <w:lang w:val="hr-HR"/>
        </w:rPr>
        <w:sectPr w:rsidR="004E2F51" w:rsidRPr="00B91D09" w:rsidSect="001E3356">
          <w:pgSz w:w="11907" w:h="16840" w:code="9"/>
          <w:pgMar w:top="1418" w:right="1134" w:bottom="1134" w:left="1418" w:header="851" w:footer="851" w:gutter="0"/>
          <w:cols w:space="720"/>
          <w:noEndnote/>
        </w:sectPr>
      </w:pPr>
    </w:p>
    <w:p w14:paraId="165EF3EB" w14:textId="77777777" w:rsidR="004E2F51" w:rsidRPr="001E3356" w:rsidRDefault="004E2F51" w:rsidP="004E2F51">
      <w:pPr>
        <w:pStyle w:val="T1"/>
        <w:spacing w:before="0" w:after="0" w:line="240" w:lineRule="auto"/>
        <w:ind w:left="357"/>
        <w:rPr>
          <w:rFonts w:cs="Arial"/>
          <w:b w:val="0"/>
          <w:color w:val="000000" w:themeColor="text1"/>
          <w:sz w:val="20"/>
          <w:lang w:val="hr-HR"/>
        </w:rPr>
      </w:pPr>
    </w:p>
    <w:p w14:paraId="53C04E8B" w14:textId="77777777" w:rsidR="004E2F51" w:rsidRPr="001E3356" w:rsidRDefault="004E2F51" w:rsidP="004E2F51">
      <w:pPr>
        <w:pStyle w:val="T1"/>
        <w:tabs>
          <w:tab w:val="left" w:pos="567"/>
          <w:tab w:val="left" w:pos="709"/>
        </w:tabs>
        <w:spacing w:before="0" w:after="0" w:line="240" w:lineRule="auto"/>
        <w:rPr>
          <w:rFonts w:cs="Arial"/>
          <w:bCs w:val="0"/>
          <w:color w:val="000000" w:themeColor="text1"/>
          <w:sz w:val="20"/>
          <w:lang w:val="hr-HR"/>
        </w:rPr>
      </w:pPr>
      <w:r w:rsidRPr="001E3356">
        <w:rPr>
          <w:rFonts w:cs="Arial"/>
          <w:bCs w:val="0"/>
          <w:color w:val="000000" w:themeColor="text1"/>
          <w:sz w:val="20"/>
          <w:lang w:val="hr-HR"/>
        </w:rPr>
        <w:t>3</w:t>
      </w:r>
      <w:r>
        <w:rPr>
          <w:rFonts w:cs="Arial"/>
          <w:bCs w:val="0"/>
          <w:color w:val="000000" w:themeColor="text1"/>
          <w:sz w:val="20"/>
          <w:lang w:val="hr-HR"/>
        </w:rPr>
        <w:t>0</w:t>
      </w:r>
      <w:r w:rsidRPr="001E3356">
        <w:rPr>
          <w:rFonts w:cs="Arial"/>
          <w:bCs w:val="0"/>
          <w:color w:val="000000" w:themeColor="text1"/>
          <w:sz w:val="20"/>
          <w:lang w:val="hr-HR"/>
        </w:rPr>
        <w:t>.</w:t>
      </w:r>
      <w:r w:rsidRPr="001E3356">
        <w:rPr>
          <w:rFonts w:cs="Arial"/>
          <w:bCs w:val="0"/>
          <w:color w:val="000000" w:themeColor="text1"/>
          <w:sz w:val="20"/>
          <w:lang w:val="hr-HR"/>
        </w:rPr>
        <w:tab/>
        <w:t>Transakcije s povezanim stranama (nastavak)</w:t>
      </w:r>
    </w:p>
    <w:p w14:paraId="139211FA" w14:textId="77777777" w:rsidR="004E2F51" w:rsidRPr="001E3356" w:rsidRDefault="004E2F51" w:rsidP="004E2F51">
      <w:pPr>
        <w:pStyle w:val="TT"/>
        <w:tabs>
          <w:tab w:val="clear" w:pos="1202"/>
          <w:tab w:val="right" w:pos="284"/>
          <w:tab w:val="left" w:pos="426"/>
        </w:tabs>
        <w:spacing w:line="240" w:lineRule="auto"/>
        <w:rPr>
          <w:rFonts w:cs="Arial"/>
          <w:color w:val="000000" w:themeColor="text1"/>
          <w:sz w:val="20"/>
          <w:lang w:val="hr-HR"/>
        </w:rPr>
      </w:pPr>
    </w:p>
    <w:p w14:paraId="65C85160" w14:textId="77777777" w:rsidR="004E2F51" w:rsidRPr="001E3356" w:rsidRDefault="004E2F51" w:rsidP="004E2F51">
      <w:pPr>
        <w:pStyle w:val="TT"/>
        <w:tabs>
          <w:tab w:val="clear" w:pos="1202"/>
          <w:tab w:val="right" w:pos="284"/>
          <w:tab w:val="left" w:pos="567"/>
        </w:tabs>
        <w:spacing w:line="240" w:lineRule="auto"/>
        <w:rPr>
          <w:rFonts w:cs="Arial"/>
          <w:color w:val="000000" w:themeColor="text1"/>
          <w:sz w:val="20"/>
          <w:lang w:val="hr-HR"/>
        </w:rPr>
      </w:pPr>
      <w:bookmarkStart w:id="1408" w:name="_Toc67329055"/>
      <w:r w:rsidRPr="001E3356">
        <w:rPr>
          <w:rFonts w:cs="Arial"/>
          <w:color w:val="000000" w:themeColor="text1"/>
          <w:sz w:val="20"/>
          <w:lang w:val="hr-HR"/>
        </w:rPr>
        <w:t>a)</w:t>
      </w:r>
      <w:r w:rsidRPr="001E3356">
        <w:rPr>
          <w:rFonts w:cs="Arial"/>
          <w:color w:val="000000" w:themeColor="text1"/>
          <w:sz w:val="20"/>
          <w:lang w:val="hr-HR"/>
        </w:rPr>
        <w:tab/>
      </w:r>
      <w:r w:rsidRPr="001E3356">
        <w:rPr>
          <w:rFonts w:cs="Arial"/>
          <w:color w:val="000000" w:themeColor="text1"/>
          <w:sz w:val="20"/>
          <w:lang w:val="hr-HR"/>
        </w:rPr>
        <w:tab/>
        <w:t>Transakcije s povezanim stranama (nastavak)</w:t>
      </w:r>
      <w:bookmarkEnd w:id="1408"/>
    </w:p>
    <w:p w14:paraId="50E6BA7F" w14:textId="77777777" w:rsidR="004E2F51" w:rsidRPr="001E3356" w:rsidRDefault="004E2F51" w:rsidP="004E2F51">
      <w:pPr>
        <w:pStyle w:val="T1"/>
        <w:spacing w:before="0" w:after="0" w:line="240" w:lineRule="auto"/>
        <w:ind w:left="357"/>
        <w:rPr>
          <w:rFonts w:cs="Arial"/>
          <w:b w:val="0"/>
          <w:color w:val="000000" w:themeColor="text1"/>
          <w:sz w:val="20"/>
          <w:lang w:val="hr-HR"/>
        </w:rPr>
      </w:pPr>
    </w:p>
    <w:p w14:paraId="3E8D862F" w14:textId="77777777" w:rsidR="004E2F51" w:rsidRPr="001E3356" w:rsidRDefault="004E2F51" w:rsidP="004E2F51">
      <w:pPr>
        <w:pStyle w:val="T1"/>
        <w:spacing w:before="0" w:after="0" w:line="240" w:lineRule="auto"/>
        <w:ind w:left="357"/>
        <w:rPr>
          <w:rFonts w:cs="Arial"/>
          <w:b w:val="0"/>
          <w:color w:val="000000" w:themeColor="text1"/>
          <w:sz w:val="20"/>
          <w:lang w:val="hr-HR"/>
        </w:rPr>
      </w:pPr>
    </w:p>
    <w:tbl>
      <w:tblPr>
        <w:tblW w:w="4886" w:type="pct"/>
        <w:jc w:val="center"/>
        <w:tblLayout w:type="fixed"/>
        <w:tblCellMar>
          <w:left w:w="113" w:type="dxa"/>
          <w:right w:w="85" w:type="dxa"/>
        </w:tblCellMar>
        <w:tblLook w:val="00A0" w:firstRow="1" w:lastRow="0" w:firstColumn="1" w:lastColumn="0" w:noHBand="0" w:noVBand="0"/>
      </w:tblPr>
      <w:tblGrid>
        <w:gridCol w:w="3760"/>
        <w:gridCol w:w="1344"/>
        <w:gridCol w:w="1343"/>
        <w:gridCol w:w="1341"/>
        <w:gridCol w:w="6"/>
        <w:gridCol w:w="1348"/>
      </w:tblGrid>
      <w:tr w:rsidR="004E2F51" w:rsidRPr="001E3356" w14:paraId="71B96215" w14:textId="77777777" w:rsidTr="00E032FC">
        <w:trPr>
          <w:trHeight w:hRule="exact" w:val="284"/>
          <w:jc w:val="center"/>
        </w:trPr>
        <w:tc>
          <w:tcPr>
            <w:tcW w:w="3760" w:type="dxa"/>
            <w:vAlign w:val="bottom"/>
          </w:tcPr>
          <w:p w14:paraId="56619011"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bookmarkStart w:id="1409" w:name="_Toc67329056"/>
            <w:r w:rsidRPr="001E3356">
              <w:rPr>
                <w:rFonts w:ascii="Arial" w:eastAsia="Calibri" w:hAnsi="Arial" w:cs="Arial"/>
                <w:b/>
                <w:color w:val="000000" w:themeColor="text1"/>
                <w:sz w:val="18"/>
                <w:szCs w:val="18"/>
                <w:lang w:val="hr-HR"/>
              </w:rPr>
              <w:t>Banka</w:t>
            </w:r>
            <w:bookmarkEnd w:id="1409"/>
          </w:p>
        </w:tc>
        <w:tc>
          <w:tcPr>
            <w:tcW w:w="1344" w:type="dxa"/>
            <w:vAlign w:val="center"/>
          </w:tcPr>
          <w:p w14:paraId="77E0B197"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10" w:name="_Toc67329057"/>
            <w:r w:rsidRPr="001E3356">
              <w:rPr>
                <w:rFonts w:ascii="Arial" w:eastAsia="Calibri" w:hAnsi="Arial" w:cs="Arial"/>
                <w:b/>
                <w:bCs/>
                <w:iCs/>
                <w:color w:val="000000" w:themeColor="text1"/>
                <w:sz w:val="18"/>
                <w:szCs w:val="18"/>
                <w:lang w:val="hr-HR"/>
              </w:rPr>
              <w:t>Izloženost</w:t>
            </w:r>
            <w:bookmarkEnd w:id="1410"/>
          </w:p>
        </w:tc>
        <w:tc>
          <w:tcPr>
            <w:tcW w:w="1343" w:type="dxa"/>
            <w:vAlign w:val="center"/>
          </w:tcPr>
          <w:p w14:paraId="0209F0C2"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11" w:name="_Toc67329058"/>
            <w:r w:rsidRPr="001E3356">
              <w:rPr>
                <w:rFonts w:ascii="Arial" w:eastAsia="Calibri" w:hAnsi="Arial" w:cs="Arial"/>
                <w:b/>
                <w:bCs/>
                <w:iCs/>
                <w:color w:val="000000" w:themeColor="text1"/>
                <w:sz w:val="18"/>
                <w:szCs w:val="18"/>
                <w:lang w:val="hr-HR"/>
              </w:rPr>
              <w:t>Obveze</w:t>
            </w:r>
            <w:bookmarkEnd w:id="1411"/>
          </w:p>
        </w:tc>
        <w:tc>
          <w:tcPr>
            <w:tcW w:w="1347" w:type="dxa"/>
            <w:gridSpan w:val="2"/>
            <w:vAlign w:val="center"/>
          </w:tcPr>
          <w:p w14:paraId="5266028A"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12" w:name="_Toc67329059"/>
            <w:r w:rsidRPr="001E3356">
              <w:rPr>
                <w:rFonts w:ascii="Arial" w:eastAsia="Calibri" w:hAnsi="Arial" w:cs="Arial"/>
                <w:b/>
                <w:bCs/>
                <w:iCs/>
                <w:color w:val="000000" w:themeColor="text1"/>
                <w:sz w:val="18"/>
                <w:szCs w:val="18"/>
                <w:lang w:val="hr-HR"/>
              </w:rPr>
              <w:t>Izloženost</w:t>
            </w:r>
            <w:bookmarkEnd w:id="1412"/>
          </w:p>
        </w:tc>
        <w:tc>
          <w:tcPr>
            <w:tcW w:w="1348" w:type="dxa"/>
            <w:vAlign w:val="center"/>
          </w:tcPr>
          <w:p w14:paraId="2E7C4D97"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13" w:name="_Toc67329060"/>
            <w:r w:rsidRPr="001E3356">
              <w:rPr>
                <w:rFonts w:ascii="Arial" w:eastAsia="Calibri" w:hAnsi="Arial" w:cs="Arial"/>
                <w:b/>
                <w:bCs/>
                <w:iCs/>
                <w:color w:val="000000" w:themeColor="text1"/>
                <w:sz w:val="18"/>
                <w:szCs w:val="18"/>
                <w:lang w:val="hr-HR"/>
              </w:rPr>
              <w:t>Obveze</w:t>
            </w:r>
            <w:bookmarkEnd w:id="1413"/>
          </w:p>
        </w:tc>
      </w:tr>
      <w:tr w:rsidR="004E2F51" w:rsidRPr="001E3356" w14:paraId="764AB7FA" w14:textId="77777777" w:rsidTr="00E032FC">
        <w:trPr>
          <w:trHeight w:hRule="exact" w:val="615"/>
          <w:jc w:val="center"/>
        </w:trPr>
        <w:tc>
          <w:tcPr>
            <w:tcW w:w="3760" w:type="dxa"/>
            <w:vAlign w:val="bottom"/>
          </w:tcPr>
          <w:p w14:paraId="6FF4C3BA"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p>
        </w:tc>
        <w:tc>
          <w:tcPr>
            <w:tcW w:w="1344" w:type="dxa"/>
            <w:vAlign w:val="center"/>
          </w:tcPr>
          <w:p w14:paraId="1C059967"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14" w:name="_Toc67329061"/>
            <w:r w:rsidRPr="001E3356">
              <w:rPr>
                <w:rFonts w:ascii="Arial" w:eastAsia="Calibri" w:hAnsi="Arial" w:cs="Arial"/>
                <w:b/>
                <w:bCs/>
                <w:iCs/>
                <w:color w:val="000000" w:themeColor="text1"/>
                <w:sz w:val="18"/>
                <w:szCs w:val="18"/>
                <w:lang w:val="hr-HR"/>
              </w:rPr>
              <w:t>31. prosinca 202</w:t>
            </w:r>
            <w:r>
              <w:rPr>
                <w:rFonts w:ascii="Arial" w:eastAsia="Calibri" w:hAnsi="Arial" w:cs="Arial"/>
                <w:b/>
                <w:bCs/>
                <w:iCs/>
                <w:color w:val="000000" w:themeColor="text1"/>
                <w:sz w:val="18"/>
                <w:szCs w:val="18"/>
                <w:lang w:val="hr-HR"/>
              </w:rPr>
              <w:t>2</w:t>
            </w:r>
            <w:r w:rsidRPr="001E3356">
              <w:rPr>
                <w:rFonts w:ascii="Arial" w:eastAsia="Calibri" w:hAnsi="Arial" w:cs="Arial"/>
                <w:b/>
                <w:bCs/>
                <w:iCs/>
                <w:color w:val="000000" w:themeColor="text1"/>
                <w:sz w:val="18"/>
                <w:szCs w:val="18"/>
                <w:lang w:val="hr-HR"/>
              </w:rPr>
              <w:t>.</w:t>
            </w:r>
            <w:bookmarkEnd w:id="1414"/>
          </w:p>
        </w:tc>
        <w:tc>
          <w:tcPr>
            <w:tcW w:w="1343" w:type="dxa"/>
            <w:vAlign w:val="center"/>
          </w:tcPr>
          <w:p w14:paraId="1DDACE60"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15" w:name="_Toc67329062"/>
            <w:r w:rsidRPr="001E3356">
              <w:rPr>
                <w:rFonts w:ascii="Arial" w:eastAsia="Calibri" w:hAnsi="Arial" w:cs="Arial"/>
                <w:b/>
                <w:bCs/>
                <w:iCs/>
                <w:color w:val="000000" w:themeColor="text1"/>
                <w:sz w:val="18"/>
                <w:szCs w:val="18"/>
                <w:lang w:val="hr-HR"/>
              </w:rPr>
              <w:t>31. prosinca 202</w:t>
            </w:r>
            <w:r>
              <w:rPr>
                <w:rFonts w:ascii="Arial" w:eastAsia="Calibri" w:hAnsi="Arial" w:cs="Arial"/>
                <w:b/>
                <w:bCs/>
                <w:iCs/>
                <w:color w:val="000000" w:themeColor="text1"/>
                <w:sz w:val="18"/>
                <w:szCs w:val="18"/>
                <w:lang w:val="hr-HR"/>
              </w:rPr>
              <w:t>2</w:t>
            </w:r>
            <w:r w:rsidRPr="001E3356">
              <w:rPr>
                <w:rFonts w:ascii="Arial" w:eastAsia="Calibri" w:hAnsi="Arial" w:cs="Arial"/>
                <w:b/>
                <w:bCs/>
                <w:iCs/>
                <w:color w:val="000000" w:themeColor="text1"/>
                <w:sz w:val="18"/>
                <w:szCs w:val="18"/>
                <w:lang w:val="hr-HR"/>
              </w:rPr>
              <w:t>.</w:t>
            </w:r>
            <w:bookmarkEnd w:id="1415"/>
          </w:p>
        </w:tc>
        <w:tc>
          <w:tcPr>
            <w:tcW w:w="1341" w:type="dxa"/>
            <w:vAlign w:val="center"/>
          </w:tcPr>
          <w:p w14:paraId="6E2BF710"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16" w:name="_Toc67329063"/>
            <w:r w:rsidRPr="001E3356">
              <w:rPr>
                <w:rFonts w:ascii="Arial" w:eastAsia="Calibri" w:hAnsi="Arial" w:cs="Arial"/>
                <w:b/>
                <w:bCs/>
                <w:iCs/>
                <w:color w:val="000000" w:themeColor="text1"/>
                <w:sz w:val="18"/>
                <w:szCs w:val="18"/>
                <w:lang w:val="hr-HR"/>
              </w:rPr>
              <w:t>31. prosinca 202</w:t>
            </w:r>
            <w:r>
              <w:rPr>
                <w:rFonts w:ascii="Arial" w:eastAsia="Calibri" w:hAnsi="Arial" w:cs="Arial"/>
                <w:b/>
                <w:bCs/>
                <w:iCs/>
                <w:color w:val="000000" w:themeColor="text1"/>
                <w:sz w:val="18"/>
                <w:szCs w:val="18"/>
                <w:lang w:val="hr-HR"/>
              </w:rPr>
              <w:t>1</w:t>
            </w:r>
            <w:r w:rsidRPr="001E3356">
              <w:rPr>
                <w:rFonts w:ascii="Arial" w:eastAsia="Calibri" w:hAnsi="Arial" w:cs="Arial"/>
                <w:b/>
                <w:bCs/>
                <w:iCs/>
                <w:color w:val="000000" w:themeColor="text1"/>
                <w:sz w:val="18"/>
                <w:szCs w:val="18"/>
                <w:lang w:val="hr-HR"/>
              </w:rPr>
              <w:t>.</w:t>
            </w:r>
            <w:bookmarkEnd w:id="1416"/>
          </w:p>
        </w:tc>
        <w:tc>
          <w:tcPr>
            <w:tcW w:w="1354" w:type="dxa"/>
            <w:gridSpan w:val="2"/>
            <w:vAlign w:val="center"/>
          </w:tcPr>
          <w:p w14:paraId="27B217E0"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17" w:name="_Toc67329064"/>
            <w:r w:rsidRPr="001E3356">
              <w:rPr>
                <w:rFonts w:ascii="Arial" w:eastAsia="Calibri" w:hAnsi="Arial" w:cs="Arial"/>
                <w:b/>
                <w:bCs/>
                <w:iCs/>
                <w:color w:val="000000" w:themeColor="text1"/>
                <w:sz w:val="18"/>
                <w:szCs w:val="18"/>
                <w:lang w:val="hr-HR"/>
              </w:rPr>
              <w:t>31. prosinca 202</w:t>
            </w:r>
            <w:r>
              <w:rPr>
                <w:rFonts w:ascii="Arial" w:eastAsia="Calibri" w:hAnsi="Arial" w:cs="Arial"/>
                <w:b/>
                <w:bCs/>
                <w:iCs/>
                <w:color w:val="000000" w:themeColor="text1"/>
                <w:sz w:val="18"/>
                <w:szCs w:val="18"/>
                <w:lang w:val="hr-HR"/>
              </w:rPr>
              <w:t>1</w:t>
            </w:r>
            <w:r w:rsidRPr="001E3356">
              <w:rPr>
                <w:rFonts w:ascii="Arial" w:eastAsia="Calibri" w:hAnsi="Arial" w:cs="Arial"/>
                <w:b/>
                <w:bCs/>
                <w:iCs/>
                <w:color w:val="000000" w:themeColor="text1"/>
                <w:sz w:val="18"/>
                <w:szCs w:val="18"/>
                <w:lang w:val="hr-HR"/>
              </w:rPr>
              <w:t>.</w:t>
            </w:r>
            <w:bookmarkEnd w:id="1417"/>
          </w:p>
        </w:tc>
      </w:tr>
      <w:tr w:rsidR="004E2F51" w:rsidRPr="001E3356" w14:paraId="6F597644" w14:textId="77777777" w:rsidTr="00E032FC">
        <w:trPr>
          <w:trHeight w:hRule="exact" w:val="284"/>
          <w:jc w:val="center"/>
        </w:trPr>
        <w:tc>
          <w:tcPr>
            <w:tcW w:w="3760" w:type="dxa"/>
            <w:vAlign w:val="bottom"/>
          </w:tcPr>
          <w:p w14:paraId="2B80D63A"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p>
        </w:tc>
        <w:tc>
          <w:tcPr>
            <w:tcW w:w="1344" w:type="dxa"/>
            <w:tcBorders>
              <w:top w:val="nil"/>
              <w:left w:val="nil"/>
              <w:bottom w:val="nil"/>
              <w:right w:val="nil"/>
            </w:tcBorders>
          </w:tcPr>
          <w:p w14:paraId="08A731D6"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18" w:name="_Toc67329065"/>
            <w:r w:rsidRPr="001E3356">
              <w:rPr>
                <w:rFonts w:ascii="Arial" w:eastAsia="Calibri" w:hAnsi="Arial" w:cs="Arial"/>
                <w:b/>
                <w:bCs/>
                <w:color w:val="000000" w:themeColor="text1"/>
                <w:sz w:val="18"/>
                <w:szCs w:val="18"/>
                <w:lang w:val="hr-HR"/>
              </w:rPr>
              <w:t>000 kuna</w:t>
            </w:r>
            <w:bookmarkEnd w:id="1418"/>
          </w:p>
        </w:tc>
        <w:tc>
          <w:tcPr>
            <w:tcW w:w="1343" w:type="dxa"/>
            <w:tcBorders>
              <w:top w:val="nil"/>
              <w:left w:val="nil"/>
              <w:bottom w:val="nil"/>
              <w:right w:val="nil"/>
            </w:tcBorders>
          </w:tcPr>
          <w:p w14:paraId="112F8C27"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19" w:name="_Toc67329066"/>
            <w:r w:rsidRPr="001E3356">
              <w:rPr>
                <w:rFonts w:ascii="Arial" w:eastAsia="Calibri" w:hAnsi="Arial" w:cs="Arial"/>
                <w:b/>
                <w:bCs/>
                <w:color w:val="000000" w:themeColor="text1"/>
                <w:sz w:val="18"/>
                <w:szCs w:val="18"/>
                <w:lang w:val="hr-HR"/>
              </w:rPr>
              <w:t>000 kuna</w:t>
            </w:r>
            <w:bookmarkEnd w:id="1419"/>
          </w:p>
        </w:tc>
        <w:tc>
          <w:tcPr>
            <w:tcW w:w="1341" w:type="dxa"/>
            <w:tcBorders>
              <w:top w:val="nil"/>
              <w:left w:val="nil"/>
              <w:bottom w:val="nil"/>
              <w:right w:val="nil"/>
            </w:tcBorders>
          </w:tcPr>
          <w:p w14:paraId="68206A7D"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20" w:name="_Toc67329067"/>
            <w:r w:rsidRPr="001E3356">
              <w:rPr>
                <w:rFonts w:ascii="Arial" w:eastAsia="Calibri" w:hAnsi="Arial" w:cs="Arial"/>
                <w:b/>
                <w:bCs/>
                <w:color w:val="000000" w:themeColor="text1"/>
                <w:sz w:val="18"/>
                <w:szCs w:val="18"/>
                <w:lang w:val="hr-HR"/>
              </w:rPr>
              <w:t>000 kuna</w:t>
            </w:r>
            <w:bookmarkEnd w:id="1420"/>
          </w:p>
        </w:tc>
        <w:tc>
          <w:tcPr>
            <w:tcW w:w="1354" w:type="dxa"/>
            <w:gridSpan w:val="2"/>
            <w:tcBorders>
              <w:top w:val="nil"/>
              <w:left w:val="nil"/>
              <w:bottom w:val="nil"/>
              <w:right w:val="nil"/>
            </w:tcBorders>
          </w:tcPr>
          <w:p w14:paraId="3EA231B3"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21" w:name="_Toc67329068"/>
            <w:r w:rsidRPr="001E3356">
              <w:rPr>
                <w:rFonts w:ascii="Arial" w:eastAsia="Calibri" w:hAnsi="Arial" w:cs="Arial"/>
                <w:b/>
                <w:bCs/>
                <w:color w:val="000000" w:themeColor="text1"/>
                <w:sz w:val="18"/>
                <w:szCs w:val="18"/>
                <w:lang w:val="hr-HR"/>
              </w:rPr>
              <w:t>000 kuna</w:t>
            </w:r>
            <w:bookmarkEnd w:id="1421"/>
          </w:p>
        </w:tc>
      </w:tr>
      <w:tr w:rsidR="004E2F51" w:rsidRPr="001E3356" w14:paraId="7047F63F" w14:textId="77777777" w:rsidTr="00E032FC">
        <w:trPr>
          <w:trHeight w:hRule="exact" w:val="284"/>
          <w:jc w:val="center"/>
        </w:trPr>
        <w:tc>
          <w:tcPr>
            <w:tcW w:w="3760" w:type="dxa"/>
            <w:vAlign w:val="bottom"/>
          </w:tcPr>
          <w:p w14:paraId="561B1187"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bookmarkStart w:id="1422" w:name="_Toc67329069"/>
            <w:r w:rsidRPr="001E3356">
              <w:rPr>
                <w:rFonts w:ascii="Arial" w:eastAsia="Calibri" w:hAnsi="Arial" w:cs="Arial"/>
                <w:color w:val="000000" w:themeColor="text1"/>
                <w:sz w:val="18"/>
                <w:szCs w:val="18"/>
                <w:lang w:val="hr-HR"/>
              </w:rPr>
              <w:t>Vlasnik</w:t>
            </w:r>
            <w:bookmarkEnd w:id="1422"/>
          </w:p>
        </w:tc>
        <w:tc>
          <w:tcPr>
            <w:tcW w:w="1344" w:type="dxa"/>
            <w:shd w:val="clear" w:color="auto" w:fill="auto"/>
            <w:vAlign w:val="bottom"/>
          </w:tcPr>
          <w:p w14:paraId="677C4793" w14:textId="77777777" w:rsidR="004E2F51" w:rsidRPr="00A64C49" w:rsidRDefault="004E2F51" w:rsidP="00E032FC">
            <w:pPr>
              <w:tabs>
                <w:tab w:val="right" w:pos="1202"/>
              </w:tabs>
              <w:spacing w:line="280" w:lineRule="exact"/>
              <w:jc w:val="right"/>
              <w:outlineLvl w:val="0"/>
              <w:rPr>
                <w:rFonts w:ascii="Arial" w:hAnsi="Arial" w:cs="Arial"/>
                <w:color w:val="000000"/>
                <w:sz w:val="18"/>
                <w:szCs w:val="18"/>
              </w:rPr>
            </w:pPr>
            <w:r w:rsidRPr="00A64C49">
              <w:rPr>
                <w:rFonts w:ascii="Arial" w:hAnsi="Arial" w:cs="Arial"/>
                <w:color w:val="000000"/>
                <w:sz w:val="18"/>
                <w:szCs w:val="18"/>
              </w:rPr>
              <w:t>3.123.836</w:t>
            </w:r>
          </w:p>
        </w:tc>
        <w:tc>
          <w:tcPr>
            <w:tcW w:w="1343" w:type="dxa"/>
            <w:shd w:val="clear" w:color="auto" w:fill="auto"/>
            <w:vAlign w:val="bottom"/>
          </w:tcPr>
          <w:p w14:paraId="25D2C2F2" w14:textId="77777777" w:rsidR="004E2F51" w:rsidRPr="00A64C49" w:rsidRDefault="004E2F51" w:rsidP="00E032FC">
            <w:pPr>
              <w:tabs>
                <w:tab w:val="right" w:pos="1202"/>
              </w:tabs>
              <w:spacing w:line="280" w:lineRule="exact"/>
              <w:jc w:val="right"/>
              <w:outlineLvl w:val="0"/>
              <w:rPr>
                <w:rFonts w:ascii="Arial" w:hAnsi="Arial" w:cs="Arial"/>
                <w:color w:val="000000"/>
                <w:sz w:val="18"/>
                <w:szCs w:val="18"/>
              </w:rPr>
            </w:pPr>
            <w:r w:rsidRPr="00A64C49">
              <w:rPr>
                <w:rFonts w:ascii="Arial" w:hAnsi="Arial" w:cs="Arial"/>
                <w:color w:val="000000"/>
                <w:sz w:val="18"/>
                <w:szCs w:val="18"/>
              </w:rPr>
              <w:t>3.511.639</w:t>
            </w:r>
          </w:p>
        </w:tc>
        <w:tc>
          <w:tcPr>
            <w:tcW w:w="1341" w:type="dxa"/>
            <w:shd w:val="clear" w:color="auto" w:fill="auto"/>
            <w:vAlign w:val="bottom"/>
          </w:tcPr>
          <w:p w14:paraId="218D9103"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hAnsi="Arial" w:cs="Arial"/>
                <w:color w:val="000000"/>
                <w:sz w:val="18"/>
                <w:szCs w:val="18"/>
              </w:rPr>
              <w:t>3.348.080</w:t>
            </w:r>
          </w:p>
        </w:tc>
        <w:tc>
          <w:tcPr>
            <w:tcW w:w="1354" w:type="dxa"/>
            <w:gridSpan w:val="2"/>
            <w:shd w:val="clear" w:color="auto" w:fill="auto"/>
            <w:vAlign w:val="bottom"/>
          </w:tcPr>
          <w:p w14:paraId="4F00E46D"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hAnsi="Arial" w:cs="Arial"/>
                <w:color w:val="000000"/>
                <w:sz w:val="18"/>
                <w:szCs w:val="18"/>
              </w:rPr>
              <w:t>1.853.263</w:t>
            </w:r>
          </w:p>
        </w:tc>
      </w:tr>
      <w:tr w:rsidR="004E2F51" w:rsidRPr="001E3356" w14:paraId="1DD3F1BD" w14:textId="77777777" w:rsidTr="00E032FC">
        <w:trPr>
          <w:trHeight w:hRule="exact" w:val="284"/>
          <w:jc w:val="center"/>
        </w:trPr>
        <w:tc>
          <w:tcPr>
            <w:tcW w:w="3760" w:type="dxa"/>
            <w:vAlign w:val="bottom"/>
          </w:tcPr>
          <w:p w14:paraId="13BEC820"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bookmarkStart w:id="1423" w:name="_Toc67329074"/>
            <w:r w:rsidRPr="001E3356">
              <w:rPr>
                <w:rFonts w:ascii="Arial" w:eastAsia="Calibri" w:hAnsi="Arial" w:cs="Arial"/>
                <w:color w:val="000000" w:themeColor="text1"/>
                <w:sz w:val="18"/>
                <w:szCs w:val="18"/>
                <w:lang w:val="hr-HR"/>
              </w:rPr>
              <w:t>Državni fondovi, izvršna tijela i agencije</w:t>
            </w:r>
            <w:bookmarkEnd w:id="1423"/>
          </w:p>
        </w:tc>
        <w:tc>
          <w:tcPr>
            <w:tcW w:w="1344" w:type="dxa"/>
            <w:shd w:val="clear" w:color="auto" w:fill="auto"/>
            <w:vAlign w:val="bottom"/>
          </w:tcPr>
          <w:p w14:paraId="19102335" w14:textId="77777777" w:rsidR="004E2F51" w:rsidRPr="00A64C49" w:rsidRDefault="004E2F51" w:rsidP="00E032FC">
            <w:pPr>
              <w:tabs>
                <w:tab w:val="right" w:pos="1202"/>
              </w:tabs>
              <w:spacing w:line="280" w:lineRule="exact"/>
              <w:jc w:val="right"/>
              <w:outlineLvl w:val="0"/>
              <w:rPr>
                <w:rFonts w:ascii="Arial" w:hAnsi="Arial" w:cs="Arial"/>
                <w:color w:val="000000"/>
                <w:sz w:val="18"/>
                <w:szCs w:val="18"/>
              </w:rPr>
            </w:pPr>
            <w:r w:rsidRPr="00A64C49">
              <w:rPr>
                <w:rFonts w:ascii="Arial" w:hAnsi="Arial" w:cs="Arial"/>
                <w:color w:val="000000"/>
                <w:sz w:val="18"/>
                <w:szCs w:val="18"/>
              </w:rPr>
              <w:t>4.812.668</w:t>
            </w:r>
          </w:p>
        </w:tc>
        <w:tc>
          <w:tcPr>
            <w:tcW w:w="1343" w:type="dxa"/>
            <w:shd w:val="clear" w:color="auto" w:fill="auto"/>
            <w:vAlign w:val="bottom"/>
          </w:tcPr>
          <w:p w14:paraId="1B2368D8" w14:textId="77777777" w:rsidR="004E2F51" w:rsidRPr="00A64C49" w:rsidRDefault="004E2F51" w:rsidP="00E032FC">
            <w:pPr>
              <w:tabs>
                <w:tab w:val="right" w:pos="1202"/>
              </w:tabs>
              <w:spacing w:line="280" w:lineRule="exact"/>
              <w:jc w:val="right"/>
              <w:outlineLvl w:val="0"/>
              <w:rPr>
                <w:rFonts w:ascii="Arial" w:hAnsi="Arial" w:cs="Arial"/>
                <w:color w:val="000000"/>
                <w:sz w:val="18"/>
                <w:szCs w:val="18"/>
              </w:rPr>
            </w:pPr>
            <w:r w:rsidRPr="00A64C49">
              <w:rPr>
                <w:rFonts w:ascii="Arial" w:hAnsi="Arial" w:cs="Arial"/>
                <w:color w:val="000000"/>
                <w:sz w:val="18"/>
                <w:szCs w:val="18"/>
              </w:rPr>
              <w:t>236.690</w:t>
            </w:r>
          </w:p>
        </w:tc>
        <w:tc>
          <w:tcPr>
            <w:tcW w:w="1341" w:type="dxa"/>
            <w:shd w:val="clear" w:color="auto" w:fill="auto"/>
            <w:vAlign w:val="bottom"/>
          </w:tcPr>
          <w:p w14:paraId="3879EFF9"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hAnsi="Arial" w:cs="Arial"/>
                <w:color w:val="000000"/>
                <w:sz w:val="18"/>
                <w:szCs w:val="18"/>
              </w:rPr>
              <w:t>4.563.167</w:t>
            </w:r>
          </w:p>
        </w:tc>
        <w:tc>
          <w:tcPr>
            <w:tcW w:w="1354" w:type="dxa"/>
            <w:gridSpan w:val="2"/>
            <w:shd w:val="clear" w:color="auto" w:fill="auto"/>
            <w:vAlign w:val="bottom"/>
          </w:tcPr>
          <w:p w14:paraId="38F80491"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hAnsi="Arial" w:cs="Arial"/>
                <w:color w:val="000000"/>
                <w:sz w:val="18"/>
                <w:szCs w:val="18"/>
              </w:rPr>
              <w:t>257.009</w:t>
            </w:r>
          </w:p>
        </w:tc>
      </w:tr>
      <w:tr w:rsidR="004E2F51" w:rsidRPr="001E3356" w14:paraId="5062EE2E" w14:textId="77777777" w:rsidTr="00E032FC">
        <w:trPr>
          <w:trHeight w:hRule="exact" w:val="284"/>
          <w:jc w:val="center"/>
        </w:trPr>
        <w:tc>
          <w:tcPr>
            <w:tcW w:w="3760" w:type="dxa"/>
            <w:vAlign w:val="bottom"/>
          </w:tcPr>
          <w:p w14:paraId="66EDA8F0"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bookmarkStart w:id="1424" w:name="_Toc67329079"/>
            <w:r w:rsidRPr="001E3356">
              <w:rPr>
                <w:rFonts w:ascii="Arial" w:eastAsia="Calibri" w:hAnsi="Arial" w:cs="Arial"/>
                <w:color w:val="000000" w:themeColor="text1"/>
                <w:sz w:val="18"/>
                <w:szCs w:val="18"/>
                <w:lang w:val="hr-HR"/>
              </w:rPr>
              <w:t>Državna trgovačka društva</w:t>
            </w:r>
            <w:bookmarkEnd w:id="1424"/>
          </w:p>
        </w:tc>
        <w:tc>
          <w:tcPr>
            <w:tcW w:w="1344" w:type="dxa"/>
            <w:shd w:val="clear" w:color="auto" w:fill="auto"/>
            <w:vAlign w:val="bottom"/>
          </w:tcPr>
          <w:p w14:paraId="4676F1C1" w14:textId="5638D0DA" w:rsidR="004E2F51" w:rsidRPr="00A64C49" w:rsidRDefault="004E2F51" w:rsidP="00E032FC">
            <w:pPr>
              <w:tabs>
                <w:tab w:val="right" w:pos="1202"/>
              </w:tabs>
              <w:spacing w:line="280" w:lineRule="exact"/>
              <w:jc w:val="right"/>
              <w:outlineLvl w:val="0"/>
              <w:rPr>
                <w:rFonts w:ascii="Arial" w:hAnsi="Arial" w:cs="Arial"/>
                <w:color w:val="000000"/>
                <w:sz w:val="18"/>
                <w:szCs w:val="18"/>
              </w:rPr>
            </w:pPr>
            <w:r w:rsidRPr="00A64C49">
              <w:rPr>
                <w:rFonts w:ascii="Arial" w:hAnsi="Arial" w:cs="Arial"/>
                <w:color w:val="000000"/>
                <w:sz w:val="18"/>
                <w:szCs w:val="18"/>
              </w:rPr>
              <w:t>1.</w:t>
            </w:r>
            <w:r>
              <w:rPr>
                <w:rFonts w:ascii="Arial" w:hAnsi="Arial" w:cs="Arial"/>
                <w:color w:val="000000"/>
                <w:sz w:val="18"/>
                <w:szCs w:val="18"/>
              </w:rPr>
              <w:t>645.654</w:t>
            </w:r>
          </w:p>
        </w:tc>
        <w:tc>
          <w:tcPr>
            <w:tcW w:w="1343" w:type="dxa"/>
            <w:shd w:val="clear" w:color="auto" w:fill="auto"/>
            <w:vAlign w:val="bottom"/>
          </w:tcPr>
          <w:p w14:paraId="5C254889" w14:textId="77777777" w:rsidR="004E2F51" w:rsidRPr="00A64C49" w:rsidRDefault="004E2F51" w:rsidP="00E032FC">
            <w:pPr>
              <w:tabs>
                <w:tab w:val="right" w:pos="1202"/>
              </w:tabs>
              <w:spacing w:line="280" w:lineRule="exact"/>
              <w:jc w:val="right"/>
              <w:outlineLvl w:val="0"/>
              <w:rPr>
                <w:rFonts w:ascii="Arial" w:hAnsi="Arial" w:cs="Arial"/>
                <w:color w:val="000000"/>
                <w:sz w:val="18"/>
                <w:szCs w:val="18"/>
              </w:rPr>
            </w:pPr>
            <w:r w:rsidRPr="00A64C49">
              <w:rPr>
                <w:rFonts w:ascii="Arial" w:hAnsi="Arial" w:cs="Arial"/>
                <w:color w:val="000000"/>
                <w:sz w:val="18"/>
                <w:szCs w:val="18"/>
              </w:rPr>
              <w:t>5.969</w:t>
            </w:r>
          </w:p>
        </w:tc>
        <w:tc>
          <w:tcPr>
            <w:tcW w:w="1341" w:type="dxa"/>
            <w:shd w:val="clear" w:color="auto" w:fill="auto"/>
            <w:vAlign w:val="bottom"/>
          </w:tcPr>
          <w:p w14:paraId="1D5C9E4B"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eastAsia="Calibri" w:hAnsi="Arial" w:cs="Arial"/>
                <w:bCs/>
                <w:iCs/>
                <w:color w:val="000000" w:themeColor="text1"/>
                <w:sz w:val="18"/>
                <w:szCs w:val="18"/>
              </w:rPr>
              <w:t>914.412</w:t>
            </w:r>
          </w:p>
        </w:tc>
        <w:tc>
          <w:tcPr>
            <w:tcW w:w="1354" w:type="dxa"/>
            <w:gridSpan w:val="2"/>
            <w:shd w:val="clear" w:color="auto" w:fill="auto"/>
            <w:vAlign w:val="bottom"/>
          </w:tcPr>
          <w:p w14:paraId="053153A7"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eastAsia="Calibri" w:hAnsi="Arial" w:cs="Arial"/>
                <w:bCs/>
                <w:iCs/>
                <w:color w:val="000000" w:themeColor="text1"/>
                <w:sz w:val="18"/>
                <w:szCs w:val="18"/>
              </w:rPr>
              <w:t>54</w:t>
            </w:r>
          </w:p>
        </w:tc>
      </w:tr>
      <w:tr w:rsidR="004E2F51" w:rsidRPr="001E3356" w14:paraId="7C08FFEF" w14:textId="77777777" w:rsidTr="00E032FC">
        <w:trPr>
          <w:trHeight w:hRule="exact" w:val="284"/>
          <w:jc w:val="center"/>
        </w:trPr>
        <w:tc>
          <w:tcPr>
            <w:tcW w:w="3760" w:type="dxa"/>
            <w:vAlign w:val="bottom"/>
          </w:tcPr>
          <w:p w14:paraId="7E58439B"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bookmarkStart w:id="1425" w:name="_Toc67329084"/>
            <w:r w:rsidRPr="001E3356">
              <w:rPr>
                <w:rFonts w:ascii="Arial" w:eastAsia="Calibri" w:hAnsi="Arial" w:cs="Arial"/>
                <w:color w:val="000000" w:themeColor="text1"/>
                <w:sz w:val="18"/>
                <w:szCs w:val="18"/>
                <w:lang w:val="hr-HR"/>
              </w:rPr>
              <w:t>Ovisna društva</w:t>
            </w:r>
            <w:bookmarkEnd w:id="1425"/>
          </w:p>
        </w:tc>
        <w:tc>
          <w:tcPr>
            <w:tcW w:w="1344" w:type="dxa"/>
            <w:shd w:val="clear" w:color="auto" w:fill="auto"/>
            <w:vAlign w:val="bottom"/>
          </w:tcPr>
          <w:p w14:paraId="1B269CE7" w14:textId="77777777" w:rsidR="004E2F51" w:rsidRPr="00A64C49" w:rsidRDefault="004E2F51" w:rsidP="00E032FC">
            <w:pPr>
              <w:tabs>
                <w:tab w:val="right" w:pos="1202"/>
              </w:tabs>
              <w:spacing w:line="280" w:lineRule="exact"/>
              <w:jc w:val="right"/>
              <w:outlineLvl w:val="0"/>
              <w:rPr>
                <w:rFonts w:ascii="Arial" w:hAnsi="Arial" w:cs="Arial"/>
                <w:color w:val="000000"/>
                <w:sz w:val="18"/>
                <w:szCs w:val="18"/>
              </w:rPr>
            </w:pPr>
            <w:r w:rsidRPr="00A64C49">
              <w:rPr>
                <w:rFonts w:ascii="Arial" w:hAnsi="Arial" w:cs="Arial"/>
                <w:color w:val="000000"/>
                <w:sz w:val="18"/>
                <w:szCs w:val="18"/>
              </w:rPr>
              <w:t>56.124</w:t>
            </w:r>
          </w:p>
        </w:tc>
        <w:tc>
          <w:tcPr>
            <w:tcW w:w="1343" w:type="dxa"/>
            <w:shd w:val="clear" w:color="auto" w:fill="auto"/>
            <w:vAlign w:val="bottom"/>
          </w:tcPr>
          <w:p w14:paraId="335E0CAE" w14:textId="77777777" w:rsidR="004E2F51" w:rsidRPr="00A64C49" w:rsidRDefault="004E2F51" w:rsidP="00E032FC">
            <w:pPr>
              <w:tabs>
                <w:tab w:val="right" w:pos="1202"/>
              </w:tabs>
              <w:spacing w:line="280" w:lineRule="exact"/>
              <w:jc w:val="right"/>
              <w:outlineLvl w:val="0"/>
              <w:rPr>
                <w:rFonts w:ascii="Arial" w:hAnsi="Arial" w:cs="Arial"/>
                <w:color w:val="000000"/>
                <w:sz w:val="18"/>
                <w:szCs w:val="18"/>
              </w:rPr>
            </w:pPr>
            <w:r>
              <w:rPr>
                <w:rFonts w:ascii="Arial" w:hAnsi="Arial" w:cs="Arial"/>
                <w:color w:val="000000"/>
                <w:sz w:val="18"/>
                <w:szCs w:val="18"/>
              </w:rPr>
              <w:t>-</w:t>
            </w:r>
          </w:p>
        </w:tc>
        <w:tc>
          <w:tcPr>
            <w:tcW w:w="1341" w:type="dxa"/>
            <w:shd w:val="clear" w:color="auto" w:fill="auto"/>
            <w:vAlign w:val="bottom"/>
          </w:tcPr>
          <w:p w14:paraId="3A1942FB"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eastAsia="Calibri" w:hAnsi="Arial" w:cs="Arial"/>
                <w:bCs/>
                <w:iCs/>
                <w:color w:val="000000" w:themeColor="text1"/>
                <w:sz w:val="18"/>
                <w:szCs w:val="18"/>
              </w:rPr>
              <w:t>36.124</w:t>
            </w:r>
          </w:p>
        </w:tc>
        <w:tc>
          <w:tcPr>
            <w:tcW w:w="1354" w:type="dxa"/>
            <w:gridSpan w:val="2"/>
            <w:shd w:val="clear" w:color="auto" w:fill="auto"/>
            <w:vAlign w:val="bottom"/>
          </w:tcPr>
          <w:p w14:paraId="762B73DE"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eastAsia="Calibri" w:hAnsi="Arial" w:cs="Arial"/>
                <w:bCs/>
                <w:iCs/>
                <w:color w:val="000000" w:themeColor="text1"/>
                <w:sz w:val="18"/>
                <w:szCs w:val="18"/>
              </w:rPr>
              <w:t>-</w:t>
            </w:r>
          </w:p>
        </w:tc>
      </w:tr>
      <w:tr w:rsidR="004E2F51" w:rsidRPr="001E3356" w14:paraId="3AE8E0DE" w14:textId="77777777" w:rsidTr="00E032FC">
        <w:trPr>
          <w:trHeight w:hRule="exact" w:val="284"/>
          <w:jc w:val="center"/>
        </w:trPr>
        <w:tc>
          <w:tcPr>
            <w:tcW w:w="3760" w:type="dxa"/>
            <w:vAlign w:val="bottom"/>
          </w:tcPr>
          <w:p w14:paraId="004F706F" w14:textId="77777777" w:rsidR="004E2F51" w:rsidRPr="001E3356" w:rsidRDefault="004E2F51" w:rsidP="00E032FC">
            <w:pPr>
              <w:tabs>
                <w:tab w:val="right" w:pos="1202"/>
              </w:tabs>
              <w:outlineLvl w:val="0"/>
              <w:rPr>
                <w:rFonts w:ascii="Arial" w:eastAsia="Calibri" w:hAnsi="Arial" w:cs="Arial"/>
                <w:bCs/>
                <w:color w:val="000000" w:themeColor="text1"/>
                <w:sz w:val="18"/>
                <w:szCs w:val="18"/>
                <w:lang w:val="hr-HR"/>
              </w:rPr>
            </w:pPr>
            <w:bookmarkStart w:id="1426" w:name="_Toc67329089"/>
            <w:r w:rsidRPr="001E3356">
              <w:rPr>
                <w:rFonts w:ascii="Arial" w:eastAsia="Calibri" w:hAnsi="Arial" w:cs="Arial"/>
                <w:color w:val="000000" w:themeColor="text1"/>
                <w:sz w:val="18"/>
                <w:szCs w:val="18"/>
                <w:lang w:val="hr-HR"/>
              </w:rPr>
              <w:t>Pridružena društva</w:t>
            </w:r>
            <w:bookmarkEnd w:id="1426"/>
          </w:p>
        </w:tc>
        <w:tc>
          <w:tcPr>
            <w:tcW w:w="1344" w:type="dxa"/>
            <w:shd w:val="clear" w:color="auto" w:fill="auto"/>
            <w:vAlign w:val="bottom"/>
          </w:tcPr>
          <w:p w14:paraId="02990880" w14:textId="77777777" w:rsidR="004E2F51" w:rsidRPr="00A64C49" w:rsidRDefault="004E2F51" w:rsidP="00E032FC">
            <w:pPr>
              <w:tabs>
                <w:tab w:val="right" w:pos="1202"/>
              </w:tabs>
              <w:spacing w:line="280" w:lineRule="exact"/>
              <w:jc w:val="right"/>
              <w:outlineLvl w:val="0"/>
              <w:rPr>
                <w:rFonts w:ascii="Arial" w:hAnsi="Arial" w:cs="Arial"/>
                <w:color w:val="000000"/>
                <w:sz w:val="18"/>
                <w:szCs w:val="18"/>
              </w:rPr>
            </w:pPr>
            <w:r>
              <w:rPr>
                <w:rFonts w:ascii="Arial" w:hAnsi="Arial" w:cs="Arial"/>
                <w:color w:val="000000"/>
                <w:sz w:val="18"/>
                <w:szCs w:val="18"/>
              </w:rPr>
              <w:t>-</w:t>
            </w:r>
          </w:p>
        </w:tc>
        <w:tc>
          <w:tcPr>
            <w:tcW w:w="1343" w:type="dxa"/>
            <w:shd w:val="clear" w:color="auto" w:fill="auto"/>
            <w:vAlign w:val="bottom"/>
          </w:tcPr>
          <w:p w14:paraId="43E7D67E" w14:textId="77777777" w:rsidR="004E2F51" w:rsidRPr="00A64C49" w:rsidRDefault="004E2F51" w:rsidP="00E032FC">
            <w:pPr>
              <w:tabs>
                <w:tab w:val="right" w:pos="1202"/>
              </w:tabs>
              <w:spacing w:line="280" w:lineRule="exact"/>
              <w:jc w:val="right"/>
              <w:outlineLvl w:val="0"/>
              <w:rPr>
                <w:rFonts w:ascii="Arial" w:hAnsi="Arial" w:cs="Arial"/>
                <w:color w:val="000000"/>
                <w:sz w:val="18"/>
                <w:szCs w:val="18"/>
              </w:rPr>
            </w:pPr>
            <w:r>
              <w:rPr>
                <w:rFonts w:ascii="Arial" w:hAnsi="Arial" w:cs="Arial"/>
                <w:color w:val="000000"/>
                <w:sz w:val="18"/>
                <w:szCs w:val="18"/>
              </w:rPr>
              <w:t>-</w:t>
            </w:r>
          </w:p>
        </w:tc>
        <w:tc>
          <w:tcPr>
            <w:tcW w:w="1341" w:type="dxa"/>
            <w:shd w:val="clear" w:color="auto" w:fill="auto"/>
            <w:vAlign w:val="bottom"/>
          </w:tcPr>
          <w:p w14:paraId="301C6645"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eastAsia="Calibri" w:hAnsi="Arial" w:cs="Arial"/>
                <w:bCs/>
                <w:iCs/>
                <w:color w:val="000000" w:themeColor="text1"/>
                <w:sz w:val="18"/>
                <w:szCs w:val="18"/>
              </w:rPr>
              <w:t>7</w:t>
            </w:r>
          </w:p>
        </w:tc>
        <w:tc>
          <w:tcPr>
            <w:tcW w:w="1354" w:type="dxa"/>
            <w:gridSpan w:val="2"/>
            <w:shd w:val="clear" w:color="auto" w:fill="auto"/>
            <w:vAlign w:val="bottom"/>
          </w:tcPr>
          <w:p w14:paraId="4C8C3C0F"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eastAsia="Calibri" w:hAnsi="Arial" w:cs="Arial"/>
                <w:bCs/>
                <w:iCs/>
                <w:color w:val="000000" w:themeColor="text1"/>
                <w:sz w:val="18"/>
                <w:szCs w:val="18"/>
              </w:rPr>
              <w:t>-</w:t>
            </w:r>
          </w:p>
        </w:tc>
      </w:tr>
      <w:tr w:rsidR="004E2F51" w:rsidRPr="001E3356" w14:paraId="6087435C" w14:textId="77777777" w:rsidTr="00E032FC">
        <w:trPr>
          <w:trHeight w:hRule="exact" w:val="284"/>
          <w:jc w:val="center"/>
        </w:trPr>
        <w:tc>
          <w:tcPr>
            <w:tcW w:w="3760" w:type="dxa"/>
            <w:vAlign w:val="bottom"/>
          </w:tcPr>
          <w:p w14:paraId="13078130" w14:textId="77777777" w:rsidR="004E2F51" w:rsidRPr="001E3356" w:rsidRDefault="004E2F51" w:rsidP="00E032FC">
            <w:pPr>
              <w:tabs>
                <w:tab w:val="right" w:pos="1202"/>
              </w:tabs>
              <w:outlineLvl w:val="0"/>
              <w:rPr>
                <w:rFonts w:ascii="Arial" w:eastAsia="Calibri" w:hAnsi="Arial" w:cs="Arial"/>
                <w:bCs/>
                <w:color w:val="000000" w:themeColor="text1"/>
                <w:sz w:val="18"/>
                <w:szCs w:val="18"/>
                <w:lang w:val="hr-HR"/>
              </w:rPr>
            </w:pPr>
            <w:bookmarkStart w:id="1427" w:name="_Toc67329094"/>
            <w:r w:rsidRPr="001E3356">
              <w:rPr>
                <w:rFonts w:ascii="Arial" w:eastAsia="Calibri" w:hAnsi="Arial" w:cs="Arial"/>
                <w:bCs/>
                <w:color w:val="000000" w:themeColor="text1"/>
                <w:sz w:val="18"/>
                <w:szCs w:val="18"/>
                <w:lang w:val="hr-HR"/>
              </w:rPr>
              <w:t>Ključni članovi rukovodstva</w:t>
            </w:r>
            <w:bookmarkEnd w:id="1427"/>
          </w:p>
        </w:tc>
        <w:tc>
          <w:tcPr>
            <w:tcW w:w="1344" w:type="dxa"/>
            <w:tcBorders>
              <w:bottom w:val="single" w:sz="4" w:space="0" w:color="000000"/>
            </w:tcBorders>
            <w:shd w:val="clear" w:color="auto" w:fill="auto"/>
          </w:tcPr>
          <w:p w14:paraId="21F3CE6E" w14:textId="77777777" w:rsidR="004E2F51" w:rsidRPr="00A64C49" w:rsidRDefault="004E2F51" w:rsidP="00E032FC">
            <w:pPr>
              <w:tabs>
                <w:tab w:val="right" w:pos="1202"/>
              </w:tabs>
              <w:spacing w:line="280" w:lineRule="exact"/>
              <w:jc w:val="right"/>
              <w:outlineLvl w:val="0"/>
              <w:rPr>
                <w:rFonts w:ascii="Arial" w:eastAsia="Calibri" w:hAnsi="Arial" w:cs="Arial"/>
                <w:bCs/>
                <w:iCs/>
                <w:color w:val="000000" w:themeColor="text1"/>
                <w:sz w:val="18"/>
                <w:szCs w:val="18"/>
              </w:rPr>
            </w:pPr>
            <w:r w:rsidRPr="00A64C49">
              <w:rPr>
                <w:rFonts w:ascii="Arial" w:eastAsia="Calibri" w:hAnsi="Arial" w:cs="Arial"/>
                <w:bCs/>
                <w:iCs/>
                <w:color w:val="000000" w:themeColor="text1"/>
                <w:sz w:val="18"/>
                <w:szCs w:val="18"/>
              </w:rPr>
              <w:t>2.</w:t>
            </w:r>
            <w:r>
              <w:rPr>
                <w:rFonts w:ascii="Arial" w:eastAsia="Calibri" w:hAnsi="Arial" w:cs="Arial"/>
                <w:bCs/>
                <w:iCs/>
                <w:color w:val="000000" w:themeColor="text1"/>
                <w:sz w:val="18"/>
                <w:szCs w:val="18"/>
              </w:rPr>
              <w:t>292</w:t>
            </w:r>
          </w:p>
        </w:tc>
        <w:tc>
          <w:tcPr>
            <w:tcW w:w="1343" w:type="dxa"/>
            <w:tcBorders>
              <w:bottom w:val="single" w:sz="4" w:space="0" w:color="000000"/>
            </w:tcBorders>
            <w:shd w:val="clear" w:color="auto" w:fill="auto"/>
          </w:tcPr>
          <w:p w14:paraId="21430A16" w14:textId="77777777" w:rsidR="004E2F51" w:rsidRPr="00A64C49" w:rsidRDefault="004E2F51" w:rsidP="00E032FC">
            <w:pPr>
              <w:tabs>
                <w:tab w:val="right" w:pos="1202"/>
              </w:tabs>
              <w:spacing w:line="280" w:lineRule="exact"/>
              <w:jc w:val="right"/>
              <w:outlineLvl w:val="0"/>
              <w:rPr>
                <w:rFonts w:ascii="Arial" w:eastAsia="Calibri" w:hAnsi="Arial" w:cs="Arial"/>
                <w:bCs/>
                <w:iCs/>
                <w:color w:val="000000" w:themeColor="text1"/>
                <w:sz w:val="18"/>
                <w:szCs w:val="18"/>
              </w:rPr>
            </w:pPr>
            <w:r w:rsidRPr="00A64C49">
              <w:rPr>
                <w:rFonts w:ascii="Arial" w:eastAsia="Calibri" w:hAnsi="Arial" w:cs="Arial"/>
                <w:bCs/>
                <w:iCs/>
                <w:color w:val="000000" w:themeColor="text1"/>
                <w:sz w:val="18"/>
                <w:szCs w:val="18"/>
              </w:rPr>
              <w:t>2.646</w:t>
            </w:r>
          </w:p>
        </w:tc>
        <w:tc>
          <w:tcPr>
            <w:tcW w:w="1341" w:type="dxa"/>
            <w:tcBorders>
              <w:bottom w:val="single" w:sz="4" w:space="0" w:color="000000"/>
            </w:tcBorders>
            <w:shd w:val="clear" w:color="auto" w:fill="auto"/>
            <w:vAlign w:val="bottom"/>
          </w:tcPr>
          <w:p w14:paraId="23E6A358"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eastAsia="Calibri" w:hAnsi="Arial" w:cs="Arial"/>
                <w:bCs/>
                <w:iCs/>
                <w:color w:val="000000" w:themeColor="text1"/>
                <w:sz w:val="18"/>
                <w:szCs w:val="18"/>
              </w:rPr>
              <w:t>3.393</w:t>
            </w:r>
          </w:p>
        </w:tc>
        <w:tc>
          <w:tcPr>
            <w:tcW w:w="1354" w:type="dxa"/>
            <w:gridSpan w:val="2"/>
            <w:tcBorders>
              <w:bottom w:val="single" w:sz="4" w:space="0" w:color="000000"/>
            </w:tcBorders>
            <w:shd w:val="clear" w:color="auto" w:fill="auto"/>
            <w:vAlign w:val="bottom"/>
          </w:tcPr>
          <w:p w14:paraId="62152708" w14:textId="77777777" w:rsidR="004E2F51" w:rsidRPr="001E3356" w:rsidRDefault="004E2F51" w:rsidP="00E032FC">
            <w:pPr>
              <w:tabs>
                <w:tab w:val="right" w:pos="1202"/>
              </w:tabs>
              <w:spacing w:line="280" w:lineRule="exact"/>
              <w:jc w:val="right"/>
              <w:outlineLvl w:val="0"/>
              <w:rPr>
                <w:rFonts w:ascii="Arial" w:eastAsia="Calibri" w:hAnsi="Arial" w:cs="Arial"/>
                <w:bCs/>
                <w:iCs/>
                <w:color w:val="000000" w:themeColor="text1"/>
                <w:sz w:val="18"/>
                <w:szCs w:val="18"/>
                <w:lang w:val="hr-HR"/>
              </w:rPr>
            </w:pPr>
            <w:r w:rsidRPr="001E3356">
              <w:rPr>
                <w:rFonts w:ascii="Arial" w:eastAsia="Calibri" w:hAnsi="Arial" w:cs="Arial"/>
                <w:bCs/>
                <w:iCs/>
                <w:color w:val="000000" w:themeColor="text1"/>
                <w:sz w:val="18"/>
                <w:szCs w:val="18"/>
              </w:rPr>
              <w:t>2.585</w:t>
            </w:r>
          </w:p>
        </w:tc>
      </w:tr>
      <w:tr w:rsidR="004E2F51" w:rsidRPr="001E3356" w14:paraId="261E01D7" w14:textId="77777777" w:rsidTr="00E032FC">
        <w:trPr>
          <w:trHeight w:val="329"/>
          <w:jc w:val="center"/>
        </w:trPr>
        <w:tc>
          <w:tcPr>
            <w:tcW w:w="3760" w:type="dxa"/>
            <w:vAlign w:val="bottom"/>
          </w:tcPr>
          <w:p w14:paraId="402FF803" w14:textId="77777777" w:rsidR="004E2F51" w:rsidRPr="001E3356" w:rsidRDefault="004E2F51" w:rsidP="00E032FC">
            <w:pPr>
              <w:tabs>
                <w:tab w:val="right" w:pos="1202"/>
              </w:tabs>
              <w:outlineLvl w:val="0"/>
              <w:rPr>
                <w:rFonts w:ascii="Arial" w:eastAsia="Calibri" w:hAnsi="Arial" w:cs="Arial"/>
                <w:b/>
                <w:color w:val="000000" w:themeColor="text1"/>
                <w:sz w:val="18"/>
                <w:szCs w:val="18"/>
                <w:lang w:val="hr-HR"/>
              </w:rPr>
            </w:pPr>
            <w:bookmarkStart w:id="1428" w:name="_Toc67329099"/>
            <w:r w:rsidRPr="001E3356">
              <w:rPr>
                <w:rFonts w:ascii="Arial" w:eastAsia="Calibri" w:hAnsi="Arial" w:cs="Arial"/>
                <w:b/>
                <w:color w:val="000000" w:themeColor="text1"/>
                <w:sz w:val="18"/>
                <w:szCs w:val="18"/>
                <w:lang w:val="hr-HR"/>
              </w:rPr>
              <w:t>Ukupno</w:t>
            </w:r>
            <w:bookmarkEnd w:id="1428"/>
          </w:p>
        </w:tc>
        <w:tc>
          <w:tcPr>
            <w:tcW w:w="1344" w:type="dxa"/>
            <w:tcBorders>
              <w:top w:val="single" w:sz="4" w:space="0" w:color="auto"/>
              <w:bottom w:val="single" w:sz="12" w:space="0" w:color="auto"/>
              <w:right w:val="nil"/>
            </w:tcBorders>
            <w:shd w:val="clear" w:color="auto" w:fill="auto"/>
            <w:vAlign w:val="bottom"/>
          </w:tcPr>
          <w:p w14:paraId="0B4A71E5" w14:textId="122A38CE" w:rsidR="004E2F51" w:rsidRPr="001E3356" w:rsidRDefault="004E2F51" w:rsidP="00E032FC">
            <w:pPr>
              <w:tabs>
                <w:tab w:val="right" w:pos="1202"/>
              </w:tabs>
              <w:jc w:val="right"/>
              <w:outlineLvl w:val="0"/>
              <w:rPr>
                <w:rFonts w:ascii="Arial" w:hAnsi="Arial" w:cs="Arial"/>
                <w:b/>
                <w:color w:val="000000" w:themeColor="text1"/>
                <w:sz w:val="18"/>
                <w:szCs w:val="18"/>
                <w:lang w:val="hr-HR"/>
              </w:rPr>
            </w:pPr>
            <w:r w:rsidRPr="00A64C49">
              <w:rPr>
                <w:rFonts w:ascii="Arial" w:hAnsi="Arial" w:cs="Arial"/>
                <w:b/>
                <w:color w:val="000000" w:themeColor="text1"/>
                <w:sz w:val="18"/>
                <w:szCs w:val="18"/>
                <w:lang w:val="hr-HR"/>
              </w:rPr>
              <w:t>9.</w:t>
            </w:r>
            <w:r>
              <w:rPr>
                <w:rFonts w:ascii="Arial" w:hAnsi="Arial" w:cs="Arial"/>
                <w:b/>
                <w:color w:val="000000" w:themeColor="text1"/>
                <w:sz w:val="18"/>
                <w:szCs w:val="18"/>
                <w:lang w:val="hr-HR"/>
              </w:rPr>
              <w:t>640.574</w:t>
            </w:r>
          </w:p>
        </w:tc>
        <w:tc>
          <w:tcPr>
            <w:tcW w:w="1343" w:type="dxa"/>
            <w:tcBorders>
              <w:top w:val="single" w:sz="4" w:space="0" w:color="auto"/>
              <w:left w:val="nil"/>
              <w:bottom w:val="single" w:sz="12" w:space="0" w:color="auto"/>
              <w:right w:val="nil"/>
            </w:tcBorders>
            <w:shd w:val="clear" w:color="auto" w:fill="auto"/>
            <w:vAlign w:val="bottom"/>
          </w:tcPr>
          <w:p w14:paraId="420019C2" w14:textId="77777777" w:rsidR="004E2F51" w:rsidRPr="001E3356" w:rsidRDefault="004E2F51" w:rsidP="00E032FC">
            <w:pPr>
              <w:tabs>
                <w:tab w:val="right" w:pos="1202"/>
              </w:tabs>
              <w:jc w:val="right"/>
              <w:outlineLvl w:val="0"/>
              <w:rPr>
                <w:rFonts w:ascii="Arial" w:hAnsi="Arial" w:cs="Arial"/>
                <w:b/>
                <w:color w:val="000000" w:themeColor="text1"/>
                <w:sz w:val="18"/>
                <w:szCs w:val="18"/>
                <w:lang w:val="hr-HR"/>
              </w:rPr>
            </w:pPr>
            <w:r w:rsidRPr="00A64C49">
              <w:rPr>
                <w:rFonts w:ascii="Arial" w:hAnsi="Arial" w:cs="Arial"/>
                <w:b/>
                <w:color w:val="000000" w:themeColor="text1"/>
                <w:sz w:val="18"/>
                <w:szCs w:val="18"/>
                <w:lang w:val="hr-HR"/>
              </w:rPr>
              <w:t>3.756.944</w:t>
            </w:r>
          </w:p>
        </w:tc>
        <w:tc>
          <w:tcPr>
            <w:tcW w:w="1341" w:type="dxa"/>
            <w:tcBorders>
              <w:top w:val="single" w:sz="4" w:space="0" w:color="auto"/>
              <w:bottom w:val="single" w:sz="12" w:space="0" w:color="auto"/>
              <w:right w:val="nil"/>
            </w:tcBorders>
            <w:shd w:val="clear" w:color="auto" w:fill="auto"/>
            <w:vAlign w:val="bottom"/>
          </w:tcPr>
          <w:p w14:paraId="18E910D4" w14:textId="77777777" w:rsidR="004E2F51" w:rsidRPr="001E3356" w:rsidRDefault="004E2F51" w:rsidP="00E032FC">
            <w:pPr>
              <w:tabs>
                <w:tab w:val="right" w:pos="1202"/>
              </w:tabs>
              <w:jc w:val="right"/>
              <w:outlineLvl w:val="0"/>
              <w:rPr>
                <w:rFonts w:ascii="Arial" w:eastAsia="Calibri" w:hAnsi="Arial" w:cs="Arial"/>
                <w:b/>
                <w:bCs/>
                <w:color w:val="000000" w:themeColor="text1"/>
                <w:sz w:val="18"/>
                <w:szCs w:val="18"/>
                <w:lang w:val="hr-HR"/>
              </w:rPr>
            </w:pPr>
            <w:r w:rsidRPr="001E3356">
              <w:rPr>
                <w:rFonts w:ascii="Arial" w:hAnsi="Arial" w:cs="Arial"/>
                <w:b/>
                <w:color w:val="000000" w:themeColor="text1"/>
                <w:sz w:val="18"/>
                <w:szCs w:val="18"/>
              </w:rPr>
              <w:t>8.865.183</w:t>
            </w:r>
          </w:p>
        </w:tc>
        <w:tc>
          <w:tcPr>
            <w:tcW w:w="1354" w:type="dxa"/>
            <w:gridSpan w:val="2"/>
            <w:tcBorders>
              <w:top w:val="single" w:sz="4" w:space="0" w:color="auto"/>
              <w:left w:val="nil"/>
              <w:bottom w:val="single" w:sz="12" w:space="0" w:color="auto"/>
              <w:right w:val="nil"/>
            </w:tcBorders>
            <w:shd w:val="clear" w:color="auto" w:fill="auto"/>
            <w:vAlign w:val="bottom"/>
          </w:tcPr>
          <w:p w14:paraId="40375754" w14:textId="77777777" w:rsidR="004E2F51" w:rsidRPr="001E3356" w:rsidRDefault="004E2F51" w:rsidP="00E032FC">
            <w:pPr>
              <w:tabs>
                <w:tab w:val="right" w:pos="1202"/>
              </w:tabs>
              <w:jc w:val="right"/>
              <w:outlineLvl w:val="0"/>
              <w:rPr>
                <w:rFonts w:ascii="Arial" w:eastAsia="Calibri" w:hAnsi="Arial" w:cs="Arial"/>
                <w:b/>
                <w:bCs/>
                <w:color w:val="000000" w:themeColor="text1"/>
                <w:sz w:val="18"/>
                <w:szCs w:val="18"/>
                <w:lang w:val="hr-HR"/>
              </w:rPr>
            </w:pPr>
            <w:r w:rsidRPr="001E3356">
              <w:rPr>
                <w:rFonts w:ascii="Arial" w:hAnsi="Arial" w:cs="Arial"/>
                <w:b/>
                <w:color w:val="000000" w:themeColor="text1"/>
                <w:sz w:val="18"/>
                <w:szCs w:val="18"/>
              </w:rPr>
              <w:t>2.112.911</w:t>
            </w:r>
          </w:p>
        </w:tc>
      </w:tr>
    </w:tbl>
    <w:p w14:paraId="68396427" w14:textId="77777777" w:rsidR="004E2F51" w:rsidRPr="001E3356" w:rsidRDefault="004E2F51" w:rsidP="004E2F51">
      <w:pPr>
        <w:pStyle w:val="T1"/>
        <w:spacing w:before="0" w:after="0" w:line="240" w:lineRule="auto"/>
        <w:rPr>
          <w:rFonts w:cs="Arial"/>
          <w:b w:val="0"/>
          <w:color w:val="000000" w:themeColor="text1"/>
          <w:sz w:val="20"/>
          <w:lang w:val="hr-HR"/>
        </w:rPr>
      </w:pPr>
    </w:p>
    <w:p w14:paraId="7CC41E35" w14:textId="77777777" w:rsidR="004E2F51" w:rsidRPr="001E3356" w:rsidRDefault="004E2F51" w:rsidP="004E2F51">
      <w:pPr>
        <w:keepNext/>
        <w:jc w:val="both"/>
        <w:rPr>
          <w:rFonts w:ascii="Arial" w:hAnsi="Arial" w:cs="Arial"/>
          <w:bCs/>
          <w:color w:val="000000" w:themeColor="text1"/>
          <w:sz w:val="20"/>
          <w:szCs w:val="20"/>
          <w:highlight w:val="yellow"/>
          <w:lang w:val="hr-HR"/>
        </w:rPr>
      </w:pPr>
    </w:p>
    <w:tbl>
      <w:tblPr>
        <w:tblW w:w="4849" w:type="pct"/>
        <w:jc w:val="center"/>
        <w:tblLayout w:type="fixed"/>
        <w:tblCellMar>
          <w:left w:w="113" w:type="dxa"/>
          <w:right w:w="85" w:type="dxa"/>
        </w:tblCellMar>
        <w:tblLook w:val="00A0" w:firstRow="1" w:lastRow="0" w:firstColumn="1" w:lastColumn="0" w:noHBand="0" w:noVBand="0"/>
      </w:tblPr>
      <w:tblGrid>
        <w:gridCol w:w="3805"/>
        <w:gridCol w:w="1316"/>
        <w:gridCol w:w="1317"/>
        <w:gridCol w:w="1317"/>
        <w:gridCol w:w="1317"/>
      </w:tblGrid>
      <w:tr w:rsidR="004E2F51" w:rsidRPr="001E3356" w14:paraId="28B287B4" w14:textId="77777777" w:rsidTr="00E032FC">
        <w:trPr>
          <w:trHeight w:val="14"/>
          <w:jc w:val="center"/>
        </w:trPr>
        <w:tc>
          <w:tcPr>
            <w:tcW w:w="3805" w:type="dxa"/>
            <w:vAlign w:val="bottom"/>
          </w:tcPr>
          <w:p w14:paraId="0AC7C2A1"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bookmarkStart w:id="1429" w:name="_Toc67329104"/>
            <w:r w:rsidRPr="001E3356">
              <w:rPr>
                <w:rFonts w:ascii="Arial" w:eastAsia="Calibri" w:hAnsi="Arial" w:cs="Arial"/>
                <w:b/>
                <w:color w:val="000000" w:themeColor="text1"/>
                <w:sz w:val="18"/>
                <w:szCs w:val="18"/>
                <w:lang w:val="hr-HR"/>
              </w:rPr>
              <w:t>Banka</w:t>
            </w:r>
            <w:bookmarkEnd w:id="1429"/>
          </w:p>
        </w:tc>
        <w:tc>
          <w:tcPr>
            <w:tcW w:w="1316" w:type="dxa"/>
            <w:vAlign w:val="center"/>
          </w:tcPr>
          <w:p w14:paraId="2C825934"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30" w:name="_Toc67329105"/>
            <w:r w:rsidRPr="001E3356">
              <w:rPr>
                <w:rFonts w:ascii="Arial" w:eastAsia="Calibri" w:hAnsi="Arial" w:cs="Arial"/>
                <w:b/>
                <w:bCs/>
                <w:iCs/>
                <w:color w:val="000000" w:themeColor="text1"/>
                <w:sz w:val="18"/>
                <w:szCs w:val="18"/>
                <w:lang w:val="hr-HR"/>
              </w:rPr>
              <w:t>Prihodi</w:t>
            </w:r>
            <w:bookmarkEnd w:id="1430"/>
          </w:p>
        </w:tc>
        <w:tc>
          <w:tcPr>
            <w:tcW w:w="1317" w:type="dxa"/>
            <w:vAlign w:val="center"/>
          </w:tcPr>
          <w:p w14:paraId="1FA4FB01"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31" w:name="_Toc67329106"/>
            <w:r w:rsidRPr="001E3356">
              <w:rPr>
                <w:rFonts w:ascii="Arial" w:eastAsia="Calibri" w:hAnsi="Arial" w:cs="Arial"/>
                <w:b/>
                <w:bCs/>
                <w:iCs/>
                <w:color w:val="000000" w:themeColor="text1"/>
                <w:sz w:val="18"/>
                <w:szCs w:val="18"/>
                <w:lang w:val="hr-HR"/>
              </w:rPr>
              <w:t>Rashodi</w:t>
            </w:r>
            <w:bookmarkEnd w:id="1431"/>
          </w:p>
        </w:tc>
        <w:tc>
          <w:tcPr>
            <w:tcW w:w="1317" w:type="dxa"/>
            <w:vAlign w:val="center"/>
          </w:tcPr>
          <w:p w14:paraId="173E2A69"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32" w:name="_Toc67329107"/>
            <w:r w:rsidRPr="001E3356">
              <w:rPr>
                <w:rFonts w:ascii="Arial" w:eastAsia="Calibri" w:hAnsi="Arial" w:cs="Arial"/>
                <w:b/>
                <w:bCs/>
                <w:iCs/>
                <w:color w:val="000000" w:themeColor="text1"/>
                <w:sz w:val="18"/>
                <w:szCs w:val="18"/>
                <w:lang w:val="hr-HR"/>
              </w:rPr>
              <w:t>Prihodi</w:t>
            </w:r>
            <w:bookmarkEnd w:id="1432"/>
          </w:p>
        </w:tc>
        <w:tc>
          <w:tcPr>
            <w:tcW w:w="1317" w:type="dxa"/>
            <w:vAlign w:val="center"/>
          </w:tcPr>
          <w:p w14:paraId="46EDB7D7"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33" w:name="_Toc67329108"/>
            <w:r w:rsidRPr="001E3356">
              <w:rPr>
                <w:rFonts w:ascii="Arial" w:eastAsia="Calibri" w:hAnsi="Arial" w:cs="Arial"/>
                <w:b/>
                <w:bCs/>
                <w:iCs/>
                <w:color w:val="000000" w:themeColor="text1"/>
                <w:sz w:val="18"/>
                <w:szCs w:val="18"/>
                <w:lang w:val="hr-HR"/>
              </w:rPr>
              <w:t>Rashodi</w:t>
            </w:r>
            <w:bookmarkEnd w:id="1433"/>
          </w:p>
        </w:tc>
      </w:tr>
      <w:tr w:rsidR="004E2F51" w:rsidRPr="001E3356" w14:paraId="21D4E112" w14:textId="77777777" w:rsidTr="00E032FC">
        <w:trPr>
          <w:trHeight w:hRule="exact" w:val="555"/>
          <w:jc w:val="center"/>
        </w:trPr>
        <w:tc>
          <w:tcPr>
            <w:tcW w:w="3805" w:type="dxa"/>
            <w:vAlign w:val="bottom"/>
          </w:tcPr>
          <w:p w14:paraId="640CBAA3" w14:textId="77777777" w:rsidR="004E2F51" w:rsidRPr="001E3356" w:rsidRDefault="004E2F51" w:rsidP="00E032FC">
            <w:pPr>
              <w:tabs>
                <w:tab w:val="right" w:pos="1202"/>
              </w:tabs>
              <w:outlineLvl w:val="0"/>
              <w:rPr>
                <w:rFonts w:ascii="Arial" w:eastAsia="Calibri" w:hAnsi="Arial" w:cs="Arial"/>
                <w:b/>
                <w:color w:val="000000" w:themeColor="text1"/>
                <w:sz w:val="18"/>
                <w:szCs w:val="18"/>
                <w:lang w:val="hr-HR"/>
              </w:rPr>
            </w:pPr>
          </w:p>
        </w:tc>
        <w:tc>
          <w:tcPr>
            <w:tcW w:w="1316" w:type="dxa"/>
            <w:vAlign w:val="center"/>
          </w:tcPr>
          <w:p w14:paraId="5760EC89"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34" w:name="_Toc67329109"/>
            <w:r w:rsidRPr="001E3356">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2</w:t>
            </w:r>
            <w:r w:rsidRPr="001E3356">
              <w:rPr>
                <w:rFonts w:ascii="Arial" w:eastAsia="Calibri" w:hAnsi="Arial" w:cs="Arial"/>
                <w:b/>
                <w:bCs/>
                <w:iCs/>
                <w:color w:val="000000" w:themeColor="text1"/>
                <w:sz w:val="18"/>
                <w:szCs w:val="18"/>
                <w:lang w:val="hr-HR"/>
              </w:rPr>
              <w:t>.</w:t>
            </w:r>
            <w:bookmarkEnd w:id="1434"/>
          </w:p>
        </w:tc>
        <w:tc>
          <w:tcPr>
            <w:tcW w:w="1317" w:type="dxa"/>
            <w:vAlign w:val="center"/>
          </w:tcPr>
          <w:p w14:paraId="3C5F1E22"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35" w:name="_Toc67329110"/>
            <w:r w:rsidRPr="001E3356">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2</w:t>
            </w:r>
            <w:r w:rsidRPr="001E3356">
              <w:rPr>
                <w:rFonts w:ascii="Arial" w:eastAsia="Calibri" w:hAnsi="Arial" w:cs="Arial"/>
                <w:b/>
                <w:bCs/>
                <w:iCs/>
                <w:color w:val="000000" w:themeColor="text1"/>
                <w:sz w:val="18"/>
                <w:szCs w:val="18"/>
                <w:lang w:val="hr-HR"/>
              </w:rPr>
              <w:t>.</w:t>
            </w:r>
            <w:bookmarkEnd w:id="1435"/>
          </w:p>
        </w:tc>
        <w:tc>
          <w:tcPr>
            <w:tcW w:w="1317" w:type="dxa"/>
            <w:vAlign w:val="center"/>
          </w:tcPr>
          <w:p w14:paraId="2813DA71"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36" w:name="_Toc67329111"/>
            <w:r w:rsidRPr="001E3356">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1</w:t>
            </w:r>
            <w:r w:rsidRPr="001E3356">
              <w:rPr>
                <w:rFonts w:ascii="Arial" w:eastAsia="Calibri" w:hAnsi="Arial" w:cs="Arial"/>
                <w:b/>
                <w:bCs/>
                <w:iCs/>
                <w:color w:val="000000" w:themeColor="text1"/>
                <w:sz w:val="18"/>
                <w:szCs w:val="18"/>
                <w:lang w:val="hr-HR"/>
              </w:rPr>
              <w:t>.</w:t>
            </w:r>
            <w:bookmarkEnd w:id="1436"/>
          </w:p>
        </w:tc>
        <w:tc>
          <w:tcPr>
            <w:tcW w:w="1317" w:type="dxa"/>
            <w:vAlign w:val="center"/>
          </w:tcPr>
          <w:p w14:paraId="1CAFDD98"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37" w:name="_Toc67329112"/>
            <w:r w:rsidRPr="001E3356">
              <w:rPr>
                <w:rFonts w:ascii="Arial" w:eastAsia="Calibri" w:hAnsi="Arial" w:cs="Arial"/>
                <w:b/>
                <w:bCs/>
                <w:iCs/>
                <w:color w:val="000000" w:themeColor="text1"/>
                <w:sz w:val="18"/>
                <w:szCs w:val="18"/>
                <w:lang w:val="hr-HR"/>
              </w:rPr>
              <w:t>1.1. – 31.12. 202</w:t>
            </w:r>
            <w:r>
              <w:rPr>
                <w:rFonts w:ascii="Arial" w:eastAsia="Calibri" w:hAnsi="Arial" w:cs="Arial"/>
                <w:b/>
                <w:bCs/>
                <w:iCs/>
                <w:color w:val="000000" w:themeColor="text1"/>
                <w:sz w:val="18"/>
                <w:szCs w:val="18"/>
                <w:lang w:val="hr-HR"/>
              </w:rPr>
              <w:t>1</w:t>
            </w:r>
            <w:r w:rsidRPr="001E3356">
              <w:rPr>
                <w:rFonts w:ascii="Arial" w:eastAsia="Calibri" w:hAnsi="Arial" w:cs="Arial"/>
                <w:b/>
                <w:bCs/>
                <w:iCs/>
                <w:color w:val="000000" w:themeColor="text1"/>
                <w:sz w:val="18"/>
                <w:szCs w:val="18"/>
                <w:lang w:val="hr-HR"/>
              </w:rPr>
              <w:t>.</w:t>
            </w:r>
            <w:bookmarkEnd w:id="1437"/>
          </w:p>
        </w:tc>
      </w:tr>
      <w:tr w:rsidR="004E2F51" w:rsidRPr="001E3356" w14:paraId="57275174" w14:textId="77777777" w:rsidTr="00E032FC">
        <w:trPr>
          <w:trHeight w:hRule="exact" w:val="284"/>
          <w:jc w:val="center"/>
        </w:trPr>
        <w:tc>
          <w:tcPr>
            <w:tcW w:w="3805" w:type="dxa"/>
            <w:vAlign w:val="bottom"/>
          </w:tcPr>
          <w:p w14:paraId="7ECB22A3" w14:textId="77777777" w:rsidR="004E2F51" w:rsidRPr="001E3356" w:rsidRDefault="004E2F51" w:rsidP="00E032FC">
            <w:pPr>
              <w:tabs>
                <w:tab w:val="right" w:pos="1202"/>
              </w:tabs>
              <w:outlineLvl w:val="0"/>
              <w:rPr>
                <w:rFonts w:ascii="Arial" w:eastAsia="Calibri" w:hAnsi="Arial" w:cs="Arial"/>
                <w:b/>
                <w:color w:val="000000" w:themeColor="text1"/>
                <w:sz w:val="18"/>
                <w:szCs w:val="18"/>
                <w:lang w:val="hr-HR"/>
              </w:rPr>
            </w:pPr>
          </w:p>
        </w:tc>
        <w:tc>
          <w:tcPr>
            <w:tcW w:w="1316" w:type="dxa"/>
            <w:tcBorders>
              <w:top w:val="nil"/>
              <w:left w:val="nil"/>
              <w:bottom w:val="nil"/>
              <w:right w:val="nil"/>
            </w:tcBorders>
          </w:tcPr>
          <w:p w14:paraId="51FCC2C5"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38" w:name="_Toc67329113"/>
            <w:r w:rsidRPr="001E3356">
              <w:rPr>
                <w:rFonts w:ascii="Arial" w:eastAsia="Calibri" w:hAnsi="Arial" w:cs="Arial"/>
                <w:b/>
                <w:bCs/>
                <w:color w:val="000000" w:themeColor="text1"/>
                <w:sz w:val="18"/>
                <w:szCs w:val="18"/>
                <w:lang w:val="hr-HR"/>
              </w:rPr>
              <w:t>000 kuna</w:t>
            </w:r>
            <w:bookmarkEnd w:id="1438"/>
          </w:p>
        </w:tc>
        <w:tc>
          <w:tcPr>
            <w:tcW w:w="1317" w:type="dxa"/>
            <w:tcBorders>
              <w:top w:val="nil"/>
              <w:left w:val="nil"/>
              <w:bottom w:val="nil"/>
              <w:right w:val="nil"/>
            </w:tcBorders>
          </w:tcPr>
          <w:p w14:paraId="68C8EDA2"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39" w:name="_Toc67329114"/>
            <w:r w:rsidRPr="001E3356">
              <w:rPr>
                <w:rFonts w:ascii="Arial" w:eastAsia="Calibri" w:hAnsi="Arial" w:cs="Arial"/>
                <w:b/>
                <w:bCs/>
                <w:color w:val="000000" w:themeColor="text1"/>
                <w:sz w:val="18"/>
                <w:szCs w:val="18"/>
                <w:lang w:val="hr-HR"/>
              </w:rPr>
              <w:t>000 kuna</w:t>
            </w:r>
            <w:bookmarkEnd w:id="1439"/>
          </w:p>
        </w:tc>
        <w:tc>
          <w:tcPr>
            <w:tcW w:w="1317" w:type="dxa"/>
            <w:tcBorders>
              <w:top w:val="nil"/>
              <w:left w:val="nil"/>
              <w:bottom w:val="nil"/>
              <w:right w:val="nil"/>
            </w:tcBorders>
          </w:tcPr>
          <w:p w14:paraId="7F515988"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40" w:name="_Toc67329115"/>
            <w:r w:rsidRPr="001E3356">
              <w:rPr>
                <w:rFonts w:ascii="Arial" w:eastAsia="Calibri" w:hAnsi="Arial" w:cs="Arial"/>
                <w:b/>
                <w:bCs/>
                <w:color w:val="000000" w:themeColor="text1"/>
                <w:sz w:val="18"/>
                <w:szCs w:val="18"/>
                <w:lang w:val="hr-HR"/>
              </w:rPr>
              <w:t>000 kuna</w:t>
            </w:r>
            <w:bookmarkEnd w:id="1440"/>
          </w:p>
        </w:tc>
        <w:tc>
          <w:tcPr>
            <w:tcW w:w="1317" w:type="dxa"/>
            <w:tcBorders>
              <w:top w:val="nil"/>
              <w:left w:val="nil"/>
              <w:bottom w:val="nil"/>
              <w:right w:val="nil"/>
            </w:tcBorders>
          </w:tcPr>
          <w:p w14:paraId="6EE4B602" w14:textId="77777777" w:rsidR="004E2F51" w:rsidRPr="001E3356" w:rsidRDefault="004E2F51" w:rsidP="00E032FC">
            <w:pPr>
              <w:tabs>
                <w:tab w:val="right" w:pos="1202"/>
              </w:tabs>
              <w:jc w:val="right"/>
              <w:outlineLvl w:val="0"/>
              <w:rPr>
                <w:rFonts w:ascii="Arial" w:eastAsia="Calibri" w:hAnsi="Arial" w:cs="Arial"/>
                <w:b/>
                <w:bCs/>
                <w:iCs/>
                <w:color w:val="000000" w:themeColor="text1"/>
                <w:sz w:val="18"/>
                <w:szCs w:val="18"/>
                <w:lang w:val="hr-HR"/>
              </w:rPr>
            </w:pPr>
            <w:bookmarkStart w:id="1441" w:name="_Toc67329116"/>
            <w:r w:rsidRPr="001E3356">
              <w:rPr>
                <w:rFonts w:ascii="Arial" w:eastAsia="Calibri" w:hAnsi="Arial" w:cs="Arial"/>
                <w:b/>
                <w:bCs/>
                <w:color w:val="000000" w:themeColor="text1"/>
                <w:sz w:val="18"/>
                <w:szCs w:val="18"/>
                <w:lang w:val="hr-HR"/>
              </w:rPr>
              <w:t>000 kuna</w:t>
            </w:r>
            <w:bookmarkEnd w:id="1441"/>
          </w:p>
        </w:tc>
      </w:tr>
      <w:tr w:rsidR="004E2F51" w:rsidRPr="001E3356" w14:paraId="3C0AE7F4" w14:textId="77777777" w:rsidTr="00E032FC">
        <w:trPr>
          <w:trHeight w:hRule="exact" w:val="284"/>
          <w:jc w:val="center"/>
        </w:trPr>
        <w:tc>
          <w:tcPr>
            <w:tcW w:w="3805" w:type="dxa"/>
            <w:vAlign w:val="bottom"/>
          </w:tcPr>
          <w:p w14:paraId="1A6CAA2E"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bookmarkStart w:id="1442" w:name="_Toc67329117"/>
            <w:r w:rsidRPr="001E3356">
              <w:rPr>
                <w:rFonts w:ascii="Arial" w:eastAsia="Calibri" w:hAnsi="Arial" w:cs="Arial"/>
                <w:color w:val="000000" w:themeColor="text1"/>
                <w:sz w:val="18"/>
                <w:szCs w:val="18"/>
                <w:lang w:val="hr-HR"/>
              </w:rPr>
              <w:t>Vlasnik</w:t>
            </w:r>
            <w:bookmarkEnd w:id="1442"/>
          </w:p>
        </w:tc>
        <w:tc>
          <w:tcPr>
            <w:tcW w:w="1316" w:type="dxa"/>
            <w:shd w:val="clear" w:color="auto" w:fill="auto"/>
            <w:vAlign w:val="bottom"/>
          </w:tcPr>
          <w:p w14:paraId="55C974C9" w14:textId="77777777" w:rsidR="004E2F51" w:rsidRPr="00A64C49" w:rsidRDefault="004E2F51" w:rsidP="00E032FC">
            <w:pPr>
              <w:tabs>
                <w:tab w:val="right" w:pos="1202"/>
              </w:tabs>
              <w:jc w:val="right"/>
              <w:outlineLvl w:val="0"/>
              <w:rPr>
                <w:rFonts w:ascii="Arial" w:eastAsia="Calibri" w:hAnsi="Arial" w:cs="Arial"/>
                <w:bCs/>
                <w:iCs/>
                <w:color w:val="000000" w:themeColor="text1"/>
                <w:sz w:val="18"/>
                <w:szCs w:val="18"/>
              </w:rPr>
            </w:pPr>
            <w:r w:rsidRPr="00A64C49">
              <w:rPr>
                <w:rFonts w:ascii="Arial" w:eastAsia="Calibri" w:hAnsi="Arial" w:cs="Arial"/>
                <w:bCs/>
                <w:iCs/>
                <w:color w:val="000000" w:themeColor="text1"/>
                <w:sz w:val="18"/>
                <w:szCs w:val="18"/>
              </w:rPr>
              <w:t>41.738</w:t>
            </w:r>
          </w:p>
        </w:tc>
        <w:tc>
          <w:tcPr>
            <w:tcW w:w="1317" w:type="dxa"/>
            <w:shd w:val="clear" w:color="auto" w:fill="auto"/>
            <w:vAlign w:val="bottom"/>
          </w:tcPr>
          <w:p w14:paraId="2C922733" w14:textId="77777777" w:rsidR="004E2F51" w:rsidRPr="00A64C49" w:rsidRDefault="004E2F51" w:rsidP="00E032FC">
            <w:pPr>
              <w:tabs>
                <w:tab w:val="right" w:pos="1202"/>
              </w:tabs>
              <w:jc w:val="right"/>
              <w:outlineLvl w:val="0"/>
              <w:rPr>
                <w:rFonts w:ascii="Arial" w:eastAsia="Calibri" w:hAnsi="Arial" w:cs="Arial"/>
                <w:bCs/>
                <w:iCs/>
                <w:color w:val="000000" w:themeColor="text1"/>
                <w:sz w:val="18"/>
                <w:szCs w:val="18"/>
              </w:rPr>
            </w:pPr>
            <w:r w:rsidRPr="00A64C49">
              <w:rPr>
                <w:rFonts w:ascii="Arial" w:eastAsia="Calibri" w:hAnsi="Arial" w:cs="Arial"/>
                <w:bCs/>
                <w:iCs/>
                <w:color w:val="000000" w:themeColor="text1"/>
                <w:sz w:val="18"/>
                <w:szCs w:val="18"/>
              </w:rPr>
              <w:t>15.957</w:t>
            </w:r>
          </w:p>
        </w:tc>
        <w:tc>
          <w:tcPr>
            <w:tcW w:w="1317" w:type="dxa"/>
            <w:shd w:val="clear" w:color="auto" w:fill="auto"/>
            <w:vAlign w:val="bottom"/>
          </w:tcPr>
          <w:p w14:paraId="7DF6A3BE"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eastAsia="Calibri" w:hAnsi="Arial" w:cs="Arial"/>
                <w:bCs/>
                <w:iCs/>
                <w:color w:val="000000" w:themeColor="text1"/>
                <w:sz w:val="18"/>
                <w:szCs w:val="18"/>
              </w:rPr>
              <w:t>50.497</w:t>
            </w:r>
          </w:p>
        </w:tc>
        <w:tc>
          <w:tcPr>
            <w:tcW w:w="1317" w:type="dxa"/>
            <w:shd w:val="clear" w:color="auto" w:fill="auto"/>
            <w:vAlign w:val="bottom"/>
          </w:tcPr>
          <w:p w14:paraId="79F4B684"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eastAsia="Calibri" w:hAnsi="Arial" w:cs="Arial"/>
                <w:bCs/>
                <w:iCs/>
                <w:color w:val="000000" w:themeColor="text1"/>
                <w:sz w:val="18"/>
                <w:szCs w:val="18"/>
              </w:rPr>
              <w:t>28.730</w:t>
            </w:r>
          </w:p>
        </w:tc>
      </w:tr>
      <w:tr w:rsidR="004E2F51" w:rsidRPr="001E3356" w14:paraId="290448C4" w14:textId="77777777" w:rsidTr="00E032FC">
        <w:trPr>
          <w:trHeight w:hRule="exact" w:val="284"/>
          <w:jc w:val="center"/>
        </w:trPr>
        <w:tc>
          <w:tcPr>
            <w:tcW w:w="3805" w:type="dxa"/>
            <w:vAlign w:val="bottom"/>
          </w:tcPr>
          <w:p w14:paraId="09715B2E"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bookmarkStart w:id="1443" w:name="_Toc67329122"/>
            <w:r w:rsidRPr="001E3356">
              <w:rPr>
                <w:rFonts w:ascii="Arial" w:eastAsia="Calibri" w:hAnsi="Arial" w:cs="Arial"/>
                <w:color w:val="000000" w:themeColor="text1"/>
                <w:sz w:val="18"/>
                <w:szCs w:val="18"/>
                <w:lang w:val="hr-HR"/>
              </w:rPr>
              <w:t>Državni fondovi, izvršna tijela i agencije</w:t>
            </w:r>
            <w:bookmarkEnd w:id="1443"/>
          </w:p>
        </w:tc>
        <w:tc>
          <w:tcPr>
            <w:tcW w:w="1316" w:type="dxa"/>
            <w:shd w:val="clear" w:color="auto" w:fill="auto"/>
            <w:vAlign w:val="bottom"/>
          </w:tcPr>
          <w:p w14:paraId="5CC39786" w14:textId="77777777" w:rsidR="004E2F51" w:rsidRPr="00A64C49" w:rsidRDefault="004E2F51" w:rsidP="00E032FC">
            <w:pPr>
              <w:tabs>
                <w:tab w:val="right" w:pos="1202"/>
              </w:tabs>
              <w:jc w:val="right"/>
              <w:outlineLvl w:val="0"/>
              <w:rPr>
                <w:rFonts w:ascii="Arial" w:eastAsia="Calibri" w:hAnsi="Arial" w:cs="Arial"/>
                <w:bCs/>
                <w:iCs/>
                <w:color w:val="000000" w:themeColor="text1"/>
                <w:sz w:val="18"/>
                <w:szCs w:val="18"/>
              </w:rPr>
            </w:pPr>
            <w:r w:rsidRPr="00A64C49">
              <w:rPr>
                <w:rFonts w:ascii="Arial" w:eastAsia="Calibri" w:hAnsi="Arial" w:cs="Arial"/>
                <w:bCs/>
                <w:iCs/>
                <w:color w:val="000000" w:themeColor="text1"/>
                <w:sz w:val="18"/>
                <w:szCs w:val="18"/>
              </w:rPr>
              <w:t>96.470</w:t>
            </w:r>
          </w:p>
        </w:tc>
        <w:tc>
          <w:tcPr>
            <w:tcW w:w="1317" w:type="dxa"/>
            <w:shd w:val="clear" w:color="auto" w:fill="auto"/>
            <w:vAlign w:val="bottom"/>
          </w:tcPr>
          <w:p w14:paraId="5698E923" w14:textId="77777777" w:rsidR="004E2F51" w:rsidRPr="00A64C49" w:rsidRDefault="004E2F51" w:rsidP="00E032FC">
            <w:pPr>
              <w:tabs>
                <w:tab w:val="right" w:pos="1202"/>
              </w:tabs>
              <w:jc w:val="right"/>
              <w:outlineLvl w:val="0"/>
              <w:rPr>
                <w:rFonts w:ascii="Arial" w:eastAsia="Calibri" w:hAnsi="Arial" w:cs="Arial"/>
                <w:bCs/>
                <w:iCs/>
                <w:color w:val="000000" w:themeColor="text1"/>
                <w:sz w:val="18"/>
                <w:szCs w:val="18"/>
              </w:rPr>
            </w:pPr>
            <w:r w:rsidRPr="00A64C49">
              <w:rPr>
                <w:rFonts w:ascii="Arial" w:eastAsia="Calibri" w:hAnsi="Arial" w:cs="Arial"/>
                <w:bCs/>
                <w:iCs/>
                <w:color w:val="000000" w:themeColor="text1"/>
                <w:sz w:val="18"/>
                <w:szCs w:val="18"/>
              </w:rPr>
              <w:t>12.284</w:t>
            </w:r>
          </w:p>
        </w:tc>
        <w:tc>
          <w:tcPr>
            <w:tcW w:w="1317" w:type="dxa"/>
            <w:shd w:val="clear" w:color="auto" w:fill="auto"/>
            <w:vAlign w:val="bottom"/>
          </w:tcPr>
          <w:p w14:paraId="4334CE6A"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eastAsia="Calibri" w:hAnsi="Arial" w:cs="Arial"/>
                <w:bCs/>
                <w:iCs/>
                <w:color w:val="000000" w:themeColor="text1"/>
                <w:sz w:val="18"/>
                <w:szCs w:val="18"/>
              </w:rPr>
              <w:t>88.324</w:t>
            </w:r>
          </w:p>
        </w:tc>
        <w:tc>
          <w:tcPr>
            <w:tcW w:w="1317" w:type="dxa"/>
            <w:shd w:val="clear" w:color="auto" w:fill="auto"/>
            <w:vAlign w:val="bottom"/>
          </w:tcPr>
          <w:p w14:paraId="5BDF8528"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eastAsia="Calibri" w:hAnsi="Arial" w:cs="Arial"/>
                <w:bCs/>
                <w:iCs/>
                <w:color w:val="000000" w:themeColor="text1"/>
                <w:sz w:val="18"/>
                <w:szCs w:val="18"/>
              </w:rPr>
              <w:t>1.003</w:t>
            </w:r>
          </w:p>
        </w:tc>
      </w:tr>
      <w:tr w:rsidR="004E2F51" w:rsidRPr="001E3356" w14:paraId="3429C33E" w14:textId="77777777" w:rsidTr="00E032FC">
        <w:trPr>
          <w:trHeight w:hRule="exact" w:val="284"/>
          <w:jc w:val="center"/>
        </w:trPr>
        <w:tc>
          <w:tcPr>
            <w:tcW w:w="3805" w:type="dxa"/>
            <w:vAlign w:val="bottom"/>
          </w:tcPr>
          <w:p w14:paraId="24685CFF" w14:textId="77777777" w:rsidR="004E2F51" w:rsidRPr="001E3356" w:rsidRDefault="004E2F51" w:rsidP="00E032FC">
            <w:pPr>
              <w:tabs>
                <w:tab w:val="right" w:pos="1202"/>
              </w:tabs>
              <w:outlineLvl w:val="0"/>
              <w:rPr>
                <w:rFonts w:ascii="Arial" w:eastAsia="Calibri" w:hAnsi="Arial" w:cs="Arial"/>
                <w:color w:val="000000" w:themeColor="text1"/>
                <w:sz w:val="18"/>
                <w:szCs w:val="18"/>
                <w:lang w:val="hr-HR"/>
              </w:rPr>
            </w:pPr>
            <w:bookmarkStart w:id="1444" w:name="_Toc67329127"/>
            <w:r w:rsidRPr="001E3356">
              <w:rPr>
                <w:rFonts w:ascii="Arial" w:eastAsia="Calibri" w:hAnsi="Arial" w:cs="Arial"/>
                <w:color w:val="000000" w:themeColor="text1"/>
                <w:sz w:val="18"/>
                <w:szCs w:val="18"/>
                <w:lang w:val="hr-HR"/>
              </w:rPr>
              <w:t>Državna trgovačka društva</w:t>
            </w:r>
            <w:bookmarkEnd w:id="1444"/>
          </w:p>
        </w:tc>
        <w:tc>
          <w:tcPr>
            <w:tcW w:w="1316" w:type="dxa"/>
            <w:shd w:val="clear" w:color="auto" w:fill="auto"/>
            <w:vAlign w:val="bottom"/>
          </w:tcPr>
          <w:p w14:paraId="52C47BA7" w14:textId="77777777" w:rsidR="004E2F51" w:rsidRPr="00A64C49" w:rsidRDefault="004E2F51" w:rsidP="00E032FC">
            <w:pPr>
              <w:tabs>
                <w:tab w:val="right" w:pos="1202"/>
              </w:tabs>
              <w:jc w:val="right"/>
              <w:outlineLvl w:val="0"/>
              <w:rPr>
                <w:rFonts w:ascii="Arial" w:eastAsia="Calibri" w:hAnsi="Arial" w:cs="Arial"/>
                <w:bCs/>
                <w:iCs/>
                <w:color w:val="000000" w:themeColor="text1"/>
                <w:sz w:val="18"/>
                <w:szCs w:val="18"/>
              </w:rPr>
            </w:pPr>
            <w:r w:rsidRPr="00A64C49">
              <w:rPr>
                <w:rFonts w:ascii="Arial" w:eastAsia="Calibri" w:hAnsi="Arial" w:cs="Arial"/>
                <w:bCs/>
                <w:iCs/>
                <w:color w:val="000000" w:themeColor="text1"/>
                <w:sz w:val="18"/>
                <w:szCs w:val="18"/>
              </w:rPr>
              <w:t>75.853</w:t>
            </w:r>
          </w:p>
        </w:tc>
        <w:tc>
          <w:tcPr>
            <w:tcW w:w="1317" w:type="dxa"/>
            <w:shd w:val="clear" w:color="auto" w:fill="auto"/>
            <w:vAlign w:val="bottom"/>
          </w:tcPr>
          <w:p w14:paraId="56C8876A" w14:textId="77777777" w:rsidR="004E2F51" w:rsidRPr="00A64C49" w:rsidRDefault="004E2F51" w:rsidP="00E032FC">
            <w:pPr>
              <w:tabs>
                <w:tab w:val="right" w:pos="1202"/>
              </w:tabs>
              <w:jc w:val="right"/>
              <w:outlineLvl w:val="0"/>
              <w:rPr>
                <w:rFonts w:ascii="Arial" w:eastAsia="Calibri" w:hAnsi="Arial" w:cs="Arial"/>
                <w:bCs/>
                <w:iCs/>
                <w:color w:val="000000" w:themeColor="text1"/>
                <w:sz w:val="18"/>
                <w:szCs w:val="18"/>
              </w:rPr>
            </w:pPr>
            <w:r w:rsidRPr="00A64C49">
              <w:rPr>
                <w:rFonts w:ascii="Arial" w:eastAsia="Calibri" w:hAnsi="Arial" w:cs="Arial"/>
                <w:bCs/>
                <w:iCs/>
                <w:color w:val="000000" w:themeColor="text1"/>
                <w:sz w:val="18"/>
                <w:szCs w:val="18"/>
              </w:rPr>
              <w:t>55.964</w:t>
            </w:r>
          </w:p>
        </w:tc>
        <w:tc>
          <w:tcPr>
            <w:tcW w:w="1317" w:type="dxa"/>
            <w:shd w:val="clear" w:color="auto" w:fill="auto"/>
            <w:vAlign w:val="bottom"/>
          </w:tcPr>
          <w:p w14:paraId="65FFCDDD"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eastAsia="Calibri" w:hAnsi="Arial" w:cs="Arial"/>
                <w:bCs/>
                <w:iCs/>
                <w:color w:val="000000" w:themeColor="text1"/>
                <w:sz w:val="18"/>
                <w:szCs w:val="18"/>
              </w:rPr>
              <w:t>45.248</w:t>
            </w:r>
          </w:p>
        </w:tc>
        <w:tc>
          <w:tcPr>
            <w:tcW w:w="1317" w:type="dxa"/>
            <w:shd w:val="clear" w:color="auto" w:fill="auto"/>
            <w:vAlign w:val="bottom"/>
          </w:tcPr>
          <w:p w14:paraId="218987C1"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eastAsia="Calibri" w:hAnsi="Arial" w:cs="Arial"/>
                <w:bCs/>
                <w:iCs/>
                <w:color w:val="000000" w:themeColor="text1"/>
                <w:sz w:val="18"/>
                <w:szCs w:val="18"/>
              </w:rPr>
              <w:t>49.484</w:t>
            </w:r>
          </w:p>
        </w:tc>
      </w:tr>
      <w:tr w:rsidR="004E2F51" w:rsidRPr="001E3356" w14:paraId="2EE3BDB3" w14:textId="77777777" w:rsidTr="00E032FC">
        <w:trPr>
          <w:trHeight w:hRule="exact" w:val="284"/>
          <w:jc w:val="center"/>
        </w:trPr>
        <w:tc>
          <w:tcPr>
            <w:tcW w:w="3805" w:type="dxa"/>
            <w:vAlign w:val="bottom"/>
          </w:tcPr>
          <w:p w14:paraId="4133E9FB" w14:textId="77777777" w:rsidR="004E2F51" w:rsidRPr="001E3356" w:rsidRDefault="004E2F51" w:rsidP="00E032FC">
            <w:pPr>
              <w:tabs>
                <w:tab w:val="right" w:pos="1202"/>
              </w:tabs>
              <w:outlineLvl w:val="0"/>
              <w:rPr>
                <w:rFonts w:ascii="Arial" w:eastAsia="Calibri" w:hAnsi="Arial" w:cs="Arial"/>
                <w:bCs/>
                <w:color w:val="000000" w:themeColor="text1"/>
                <w:sz w:val="18"/>
                <w:szCs w:val="18"/>
                <w:lang w:val="hr-HR"/>
              </w:rPr>
            </w:pPr>
            <w:bookmarkStart w:id="1445" w:name="_Toc67329137"/>
            <w:r w:rsidRPr="001E3356">
              <w:rPr>
                <w:rFonts w:ascii="Arial" w:eastAsia="Calibri" w:hAnsi="Arial" w:cs="Arial"/>
                <w:color w:val="000000" w:themeColor="text1"/>
                <w:sz w:val="18"/>
                <w:szCs w:val="18"/>
                <w:lang w:val="hr-HR"/>
              </w:rPr>
              <w:t>Pridružena društva</w:t>
            </w:r>
            <w:bookmarkEnd w:id="1445"/>
          </w:p>
        </w:tc>
        <w:tc>
          <w:tcPr>
            <w:tcW w:w="1316" w:type="dxa"/>
            <w:shd w:val="clear" w:color="auto" w:fill="auto"/>
            <w:vAlign w:val="bottom"/>
          </w:tcPr>
          <w:p w14:paraId="7FA40E75" w14:textId="77777777" w:rsidR="004E2F51" w:rsidRPr="00A64C49" w:rsidRDefault="004E2F51" w:rsidP="00E032FC">
            <w:pPr>
              <w:tabs>
                <w:tab w:val="right" w:pos="1202"/>
              </w:tabs>
              <w:jc w:val="right"/>
              <w:outlineLvl w:val="0"/>
              <w:rPr>
                <w:rFonts w:ascii="Arial" w:eastAsia="Calibri" w:hAnsi="Arial" w:cs="Arial"/>
                <w:bCs/>
                <w:iCs/>
                <w:color w:val="000000" w:themeColor="text1"/>
                <w:sz w:val="18"/>
                <w:szCs w:val="18"/>
              </w:rPr>
            </w:pPr>
            <w:r w:rsidRPr="00A64C49">
              <w:rPr>
                <w:rFonts w:ascii="Arial" w:eastAsia="Calibri" w:hAnsi="Arial" w:cs="Arial"/>
                <w:bCs/>
                <w:iCs/>
                <w:color w:val="000000" w:themeColor="text1"/>
                <w:sz w:val="18"/>
                <w:szCs w:val="18"/>
              </w:rPr>
              <w:t>-</w:t>
            </w:r>
          </w:p>
        </w:tc>
        <w:tc>
          <w:tcPr>
            <w:tcW w:w="1317" w:type="dxa"/>
            <w:shd w:val="clear" w:color="auto" w:fill="auto"/>
            <w:vAlign w:val="bottom"/>
          </w:tcPr>
          <w:p w14:paraId="53CB9B42" w14:textId="77777777" w:rsidR="004E2F51" w:rsidRPr="00A64C49" w:rsidRDefault="004E2F51" w:rsidP="00E032FC">
            <w:pPr>
              <w:tabs>
                <w:tab w:val="right" w:pos="1202"/>
              </w:tabs>
              <w:jc w:val="right"/>
              <w:outlineLvl w:val="0"/>
              <w:rPr>
                <w:rFonts w:ascii="Arial" w:eastAsia="Calibri" w:hAnsi="Arial" w:cs="Arial"/>
                <w:bCs/>
                <w:iCs/>
                <w:color w:val="000000" w:themeColor="text1"/>
                <w:sz w:val="18"/>
                <w:szCs w:val="18"/>
              </w:rPr>
            </w:pPr>
            <w:r w:rsidRPr="00A64C49">
              <w:rPr>
                <w:rFonts w:ascii="Arial" w:eastAsia="Calibri" w:hAnsi="Arial" w:cs="Arial"/>
                <w:bCs/>
                <w:iCs/>
                <w:color w:val="000000" w:themeColor="text1"/>
                <w:sz w:val="18"/>
                <w:szCs w:val="18"/>
              </w:rPr>
              <w:t>-</w:t>
            </w:r>
          </w:p>
        </w:tc>
        <w:tc>
          <w:tcPr>
            <w:tcW w:w="1317" w:type="dxa"/>
            <w:shd w:val="clear" w:color="auto" w:fill="auto"/>
            <w:vAlign w:val="bottom"/>
          </w:tcPr>
          <w:p w14:paraId="45101D73"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eastAsia="Calibri" w:hAnsi="Arial" w:cs="Arial"/>
                <w:bCs/>
                <w:iCs/>
                <w:color w:val="000000" w:themeColor="text1"/>
                <w:sz w:val="18"/>
                <w:szCs w:val="18"/>
              </w:rPr>
              <w:t>26</w:t>
            </w:r>
          </w:p>
        </w:tc>
        <w:tc>
          <w:tcPr>
            <w:tcW w:w="1317" w:type="dxa"/>
            <w:shd w:val="clear" w:color="auto" w:fill="auto"/>
            <w:vAlign w:val="bottom"/>
          </w:tcPr>
          <w:p w14:paraId="1646A2E4"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eastAsia="Calibri" w:hAnsi="Arial" w:cs="Arial"/>
                <w:bCs/>
                <w:iCs/>
                <w:color w:val="000000" w:themeColor="text1"/>
                <w:sz w:val="18"/>
                <w:szCs w:val="18"/>
              </w:rPr>
              <w:t>1</w:t>
            </w:r>
          </w:p>
        </w:tc>
      </w:tr>
      <w:tr w:rsidR="004E2F51" w:rsidRPr="001E3356" w14:paraId="4F77C330" w14:textId="77777777" w:rsidTr="00E032FC">
        <w:trPr>
          <w:trHeight w:hRule="exact" w:val="284"/>
          <w:jc w:val="center"/>
        </w:trPr>
        <w:tc>
          <w:tcPr>
            <w:tcW w:w="3805" w:type="dxa"/>
            <w:vAlign w:val="bottom"/>
          </w:tcPr>
          <w:p w14:paraId="71F150B2" w14:textId="77777777" w:rsidR="004E2F51" w:rsidRPr="001E3356" w:rsidRDefault="004E2F51" w:rsidP="00E032FC">
            <w:pPr>
              <w:tabs>
                <w:tab w:val="right" w:pos="1202"/>
              </w:tabs>
              <w:outlineLvl w:val="0"/>
              <w:rPr>
                <w:rFonts w:ascii="Arial" w:eastAsia="Calibri" w:hAnsi="Arial" w:cs="Arial"/>
                <w:bCs/>
                <w:color w:val="000000" w:themeColor="text1"/>
                <w:sz w:val="18"/>
                <w:szCs w:val="18"/>
                <w:lang w:val="hr-HR"/>
              </w:rPr>
            </w:pPr>
            <w:bookmarkStart w:id="1446" w:name="_Toc67329142"/>
            <w:r w:rsidRPr="001E3356">
              <w:rPr>
                <w:rFonts w:ascii="Arial" w:eastAsia="Calibri" w:hAnsi="Arial" w:cs="Arial"/>
                <w:bCs/>
                <w:color w:val="000000" w:themeColor="text1"/>
                <w:sz w:val="18"/>
                <w:szCs w:val="18"/>
                <w:lang w:val="hr-HR"/>
              </w:rPr>
              <w:t>Ključni članovi rukovodstva</w:t>
            </w:r>
            <w:bookmarkEnd w:id="1446"/>
          </w:p>
        </w:tc>
        <w:tc>
          <w:tcPr>
            <w:tcW w:w="1316" w:type="dxa"/>
            <w:tcBorders>
              <w:bottom w:val="single" w:sz="4" w:space="0" w:color="000000"/>
            </w:tcBorders>
            <w:shd w:val="clear" w:color="auto" w:fill="auto"/>
            <w:vAlign w:val="bottom"/>
          </w:tcPr>
          <w:p w14:paraId="51B1A03E" w14:textId="77777777" w:rsidR="004E2F51" w:rsidRPr="00A64C49" w:rsidRDefault="004E2F51" w:rsidP="00E032FC">
            <w:pPr>
              <w:tabs>
                <w:tab w:val="right" w:pos="1202"/>
              </w:tabs>
              <w:jc w:val="right"/>
              <w:outlineLvl w:val="0"/>
              <w:rPr>
                <w:rFonts w:ascii="Arial" w:eastAsia="Calibri" w:hAnsi="Arial" w:cs="Arial"/>
                <w:bCs/>
                <w:iCs/>
                <w:color w:val="000000" w:themeColor="text1"/>
                <w:sz w:val="18"/>
                <w:szCs w:val="18"/>
              </w:rPr>
            </w:pPr>
            <w:r w:rsidRPr="00A64C49">
              <w:rPr>
                <w:rFonts w:ascii="Arial" w:eastAsia="Calibri" w:hAnsi="Arial" w:cs="Arial"/>
                <w:bCs/>
                <w:iCs/>
                <w:color w:val="000000" w:themeColor="text1"/>
                <w:sz w:val="18"/>
                <w:szCs w:val="18"/>
              </w:rPr>
              <w:t>6</w:t>
            </w:r>
            <w:r>
              <w:rPr>
                <w:rFonts w:ascii="Arial" w:eastAsia="Calibri" w:hAnsi="Arial" w:cs="Arial"/>
                <w:bCs/>
                <w:iCs/>
                <w:color w:val="000000" w:themeColor="text1"/>
                <w:sz w:val="18"/>
                <w:szCs w:val="18"/>
              </w:rPr>
              <w:t>9</w:t>
            </w:r>
          </w:p>
        </w:tc>
        <w:tc>
          <w:tcPr>
            <w:tcW w:w="1317" w:type="dxa"/>
            <w:tcBorders>
              <w:bottom w:val="single" w:sz="4" w:space="0" w:color="000000"/>
            </w:tcBorders>
            <w:shd w:val="clear" w:color="auto" w:fill="auto"/>
            <w:vAlign w:val="bottom"/>
          </w:tcPr>
          <w:p w14:paraId="265D53CD" w14:textId="77777777" w:rsidR="004E2F51" w:rsidRPr="00A64C49" w:rsidRDefault="004E2F51" w:rsidP="00E032FC">
            <w:pPr>
              <w:tabs>
                <w:tab w:val="right" w:pos="1202"/>
              </w:tabs>
              <w:jc w:val="right"/>
              <w:outlineLvl w:val="0"/>
              <w:rPr>
                <w:rFonts w:ascii="Arial" w:eastAsia="Calibri" w:hAnsi="Arial" w:cs="Arial"/>
                <w:bCs/>
                <w:iCs/>
                <w:color w:val="000000" w:themeColor="text1"/>
                <w:sz w:val="18"/>
                <w:szCs w:val="18"/>
              </w:rPr>
            </w:pPr>
            <w:r w:rsidRPr="00A64C49">
              <w:rPr>
                <w:rFonts w:ascii="Arial" w:eastAsia="Calibri" w:hAnsi="Arial" w:cs="Arial"/>
                <w:bCs/>
                <w:iCs/>
                <w:color w:val="000000" w:themeColor="text1"/>
                <w:sz w:val="18"/>
                <w:szCs w:val="18"/>
              </w:rPr>
              <w:t>7.948</w:t>
            </w:r>
          </w:p>
        </w:tc>
        <w:tc>
          <w:tcPr>
            <w:tcW w:w="1317" w:type="dxa"/>
            <w:tcBorders>
              <w:bottom w:val="single" w:sz="4" w:space="0" w:color="000000"/>
            </w:tcBorders>
            <w:shd w:val="clear" w:color="auto" w:fill="auto"/>
            <w:vAlign w:val="bottom"/>
          </w:tcPr>
          <w:p w14:paraId="65649AD0"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eastAsia="Calibri" w:hAnsi="Arial" w:cs="Arial"/>
                <w:bCs/>
                <w:iCs/>
                <w:color w:val="000000" w:themeColor="text1"/>
                <w:sz w:val="18"/>
                <w:szCs w:val="18"/>
              </w:rPr>
              <w:t>3.738</w:t>
            </w:r>
          </w:p>
        </w:tc>
        <w:tc>
          <w:tcPr>
            <w:tcW w:w="1317" w:type="dxa"/>
            <w:tcBorders>
              <w:bottom w:val="single" w:sz="4" w:space="0" w:color="000000"/>
            </w:tcBorders>
            <w:shd w:val="clear" w:color="auto" w:fill="auto"/>
            <w:vAlign w:val="bottom"/>
          </w:tcPr>
          <w:p w14:paraId="5F94185E" w14:textId="77777777" w:rsidR="004E2F51" w:rsidRPr="001E3356" w:rsidRDefault="004E2F51" w:rsidP="00E032FC">
            <w:pPr>
              <w:tabs>
                <w:tab w:val="right" w:pos="1202"/>
              </w:tabs>
              <w:jc w:val="right"/>
              <w:outlineLvl w:val="0"/>
              <w:rPr>
                <w:rFonts w:ascii="Arial" w:hAnsi="Arial" w:cs="Arial"/>
                <w:bCs/>
                <w:iCs/>
                <w:color w:val="000000" w:themeColor="text1"/>
                <w:sz w:val="18"/>
                <w:szCs w:val="18"/>
                <w:lang w:val="hr-HR"/>
              </w:rPr>
            </w:pPr>
            <w:r w:rsidRPr="001E3356">
              <w:rPr>
                <w:rFonts w:ascii="Arial" w:eastAsia="Calibri" w:hAnsi="Arial" w:cs="Arial"/>
                <w:bCs/>
                <w:iCs/>
                <w:color w:val="000000" w:themeColor="text1"/>
                <w:sz w:val="18"/>
                <w:szCs w:val="18"/>
              </w:rPr>
              <w:t>7.340</w:t>
            </w:r>
          </w:p>
        </w:tc>
      </w:tr>
      <w:tr w:rsidR="004E2F51" w:rsidRPr="001E3356" w14:paraId="0FDD7806" w14:textId="77777777" w:rsidTr="00E032FC">
        <w:trPr>
          <w:trHeight w:val="371"/>
          <w:jc w:val="center"/>
        </w:trPr>
        <w:tc>
          <w:tcPr>
            <w:tcW w:w="3805" w:type="dxa"/>
            <w:vAlign w:val="bottom"/>
          </w:tcPr>
          <w:p w14:paraId="4087D7A3" w14:textId="77777777" w:rsidR="004E2F51" w:rsidRPr="001E3356" w:rsidRDefault="004E2F51" w:rsidP="00E032FC">
            <w:pPr>
              <w:tabs>
                <w:tab w:val="right" w:pos="1202"/>
              </w:tabs>
              <w:outlineLvl w:val="0"/>
              <w:rPr>
                <w:rFonts w:ascii="Arial" w:eastAsia="Calibri" w:hAnsi="Arial" w:cs="Arial"/>
                <w:b/>
                <w:color w:val="000000" w:themeColor="text1"/>
                <w:sz w:val="18"/>
                <w:szCs w:val="18"/>
                <w:lang w:val="hr-HR"/>
              </w:rPr>
            </w:pPr>
            <w:bookmarkStart w:id="1447" w:name="_Toc67329147"/>
            <w:r w:rsidRPr="001E3356">
              <w:rPr>
                <w:rFonts w:ascii="Arial" w:eastAsia="Calibri" w:hAnsi="Arial" w:cs="Arial"/>
                <w:b/>
                <w:color w:val="000000" w:themeColor="text1"/>
                <w:sz w:val="18"/>
                <w:szCs w:val="18"/>
                <w:lang w:val="hr-HR"/>
              </w:rPr>
              <w:t>Ukupno</w:t>
            </w:r>
            <w:bookmarkEnd w:id="1447"/>
          </w:p>
        </w:tc>
        <w:tc>
          <w:tcPr>
            <w:tcW w:w="1316" w:type="dxa"/>
            <w:tcBorders>
              <w:top w:val="single" w:sz="4" w:space="0" w:color="auto"/>
              <w:bottom w:val="single" w:sz="12" w:space="0" w:color="auto"/>
              <w:right w:val="nil"/>
            </w:tcBorders>
            <w:shd w:val="clear" w:color="auto" w:fill="auto"/>
            <w:vAlign w:val="bottom"/>
          </w:tcPr>
          <w:p w14:paraId="366861D4" w14:textId="77777777" w:rsidR="004E2F51" w:rsidRPr="001E3356" w:rsidRDefault="004E2F51" w:rsidP="00E032FC">
            <w:pPr>
              <w:tabs>
                <w:tab w:val="right" w:pos="1202"/>
              </w:tabs>
              <w:jc w:val="right"/>
              <w:outlineLvl w:val="0"/>
              <w:rPr>
                <w:rFonts w:ascii="Arial" w:eastAsia="Calibri" w:hAnsi="Arial" w:cs="Arial"/>
                <w:b/>
                <w:bCs/>
                <w:color w:val="000000" w:themeColor="text1"/>
                <w:sz w:val="18"/>
                <w:szCs w:val="18"/>
                <w:lang w:val="hr-HR"/>
              </w:rPr>
            </w:pPr>
            <w:r w:rsidRPr="00A64C49">
              <w:rPr>
                <w:rFonts w:ascii="Arial" w:eastAsia="Calibri" w:hAnsi="Arial" w:cs="Arial"/>
                <w:b/>
                <w:bCs/>
                <w:color w:val="000000" w:themeColor="text1"/>
                <w:sz w:val="18"/>
                <w:szCs w:val="18"/>
                <w:lang w:val="hr-HR"/>
              </w:rPr>
              <w:t>214.1</w:t>
            </w:r>
            <w:r>
              <w:rPr>
                <w:rFonts w:ascii="Arial" w:eastAsia="Calibri" w:hAnsi="Arial" w:cs="Arial"/>
                <w:b/>
                <w:bCs/>
                <w:color w:val="000000" w:themeColor="text1"/>
                <w:sz w:val="18"/>
                <w:szCs w:val="18"/>
                <w:lang w:val="hr-HR"/>
              </w:rPr>
              <w:t>30</w:t>
            </w:r>
          </w:p>
        </w:tc>
        <w:tc>
          <w:tcPr>
            <w:tcW w:w="1317" w:type="dxa"/>
            <w:tcBorders>
              <w:top w:val="single" w:sz="4" w:space="0" w:color="auto"/>
              <w:left w:val="nil"/>
              <w:bottom w:val="single" w:sz="12" w:space="0" w:color="auto"/>
              <w:right w:val="nil"/>
            </w:tcBorders>
            <w:shd w:val="clear" w:color="auto" w:fill="auto"/>
            <w:vAlign w:val="bottom"/>
          </w:tcPr>
          <w:p w14:paraId="5D7DE525" w14:textId="77777777" w:rsidR="004E2F51" w:rsidRPr="001E3356" w:rsidRDefault="004E2F51" w:rsidP="00E032FC">
            <w:pPr>
              <w:tabs>
                <w:tab w:val="right" w:pos="1202"/>
              </w:tabs>
              <w:jc w:val="right"/>
              <w:outlineLvl w:val="0"/>
              <w:rPr>
                <w:rFonts w:ascii="Arial" w:eastAsia="Calibri" w:hAnsi="Arial" w:cs="Arial"/>
                <w:b/>
                <w:bCs/>
                <w:color w:val="000000" w:themeColor="text1"/>
                <w:sz w:val="18"/>
                <w:szCs w:val="18"/>
                <w:lang w:val="hr-HR"/>
              </w:rPr>
            </w:pPr>
            <w:r w:rsidRPr="00A64C49">
              <w:rPr>
                <w:rFonts w:ascii="Arial" w:eastAsia="Calibri" w:hAnsi="Arial" w:cs="Arial"/>
                <w:b/>
                <w:bCs/>
                <w:color w:val="000000" w:themeColor="text1"/>
                <w:sz w:val="18"/>
                <w:szCs w:val="18"/>
                <w:lang w:val="hr-HR"/>
              </w:rPr>
              <w:t>92.153</w:t>
            </w:r>
          </w:p>
        </w:tc>
        <w:tc>
          <w:tcPr>
            <w:tcW w:w="1317" w:type="dxa"/>
            <w:tcBorders>
              <w:top w:val="single" w:sz="4" w:space="0" w:color="auto"/>
              <w:bottom w:val="single" w:sz="12" w:space="0" w:color="auto"/>
              <w:right w:val="nil"/>
            </w:tcBorders>
            <w:shd w:val="clear" w:color="auto" w:fill="auto"/>
            <w:vAlign w:val="bottom"/>
          </w:tcPr>
          <w:p w14:paraId="41CCA232" w14:textId="77777777" w:rsidR="004E2F51" w:rsidRPr="001E3356" w:rsidRDefault="004E2F51" w:rsidP="00E032FC">
            <w:pPr>
              <w:tabs>
                <w:tab w:val="right" w:pos="1202"/>
              </w:tabs>
              <w:jc w:val="right"/>
              <w:outlineLvl w:val="0"/>
              <w:rPr>
                <w:rFonts w:ascii="Arial" w:hAnsi="Arial" w:cs="Arial"/>
                <w:b/>
                <w:iCs/>
                <w:color w:val="000000" w:themeColor="text1"/>
                <w:sz w:val="18"/>
                <w:szCs w:val="18"/>
                <w:lang w:val="hr-HR"/>
              </w:rPr>
            </w:pPr>
            <w:r w:rsidRPr="001E3356">
              <w:rPr>
                <w:rFonts w:ascii="Arial" w:eastAsia="Calibri" w:hAnsi="Arial" w:cs="Arial"/>
                <w:b/>
                <w:bCs/>
                <w:color w:val="000000" w:themeColor="text1"/>
                <w:sz w:val="18"/>
                <w:szCs w:val="18"/>
              </w:rPr>
              <w:t>187.833</w:t>
            </w:r>
          </w:p>
        </w:tc>
        <w:tc>
          <w:tcPr>
            <w:tcW w:w="1317" w:type="dxa"/>
            <w:tcBorders>
              <w:top w:val="single" w:sz="4" w:space="0" w:color="auto"/>
              <w:left w:val="nil"/>
              <w:bottom w:val="single" w:sz="12" w:space="0" w:color="auto"/>
              <w:right w:val="nil"/>
            </w:tcBorders>
            <w:shd w:val="clear" w:color="auto" w:fill="auto"/>
            <w:vAlign w:val="bottom"/>
          </w:tcPr>
          <w:p w14:paraId="62772543" w14:textId="77777777" w:rsidR="004E2F51" w:rsidRPr="001E3356" w:rsidRDefault="004E2F51" w:rsidP="00E032FC">
            <w:pPr>
              <w:tabs>
                <w:tab w:val="right" w:pos="1202"/>
              </w:tabs>
              <w:jc w:val="right"/>
              <w:outlineLvl w:val="0"/>
              <w:rPr>
                <w:rFonts w:ascii="Arial" w:hAnsi="Arial" w:cs="Arial"/>
                <w:b/>
                <w:iCs/>
                <w:color w:val="000000" w:themeColor="text1"/>
                <w:sz w:val="18"/>
                <w:szCs w:val="18"/>
                <w:lang w:val="hr-HR"/>
              </w:rPr>
            </w:pPr>
            <w:r w:rsidRPr="001E3356">
              <w:rPr>
                <w:rFonts w:ascii="Arial" w:eastAsia="Calibri" w:hAnsi="Arial" w:cs="Arial"/>
                <w:b/>
                <w:bCs/>
                <w:color w:val="000000" w:themeColor="text1"/>
                <w:sz w:val="18"/>
                <w:szCs w:val="18"/>
              </w:rPr>
              <w:t>86.558</w:t>
            </w:r>
          </w:p>
        </w:tc>
      </w:tr>
    </w:tbl>
    <w:p w14:paraId="3E523B3F" w14:textId="77777777" w:rsidR="004E2F51" w:rsidRPr="001E3356" w:rsidRDefault="004E2F51" w:rsidP="004E2F51">
      <w:pPr>
        <w:keepNext/>
        <w:jc w:val="both"/>
        <w:rPr>
          <w:rFonts w:ascii="Arial" w:hAnsi="Arial" w:cs="Arial"/>
          <w:bCs/>
          <w:color w:val="000000" w:themeColor="text1"/>
          <w:sz w:val="20"/>
          <w:szCs w:val="20"/>
          <w:highlight w:val="yellow"/>
          <w:lang w:val="hr-HR"/>
        </w:rPr>
      </w:pPr>
    </w:p>
    <w:p w14:paraId="73B7BB26" w14:textId="77777777" w:rsidR="004E2F51" w:rsidRPr="001E3356" w:rsidRDefault="004E2F51" w:rsidP="004E2F51">
      <w:pPr>
        <w:pStyle w:val="TT"/>
        <w:tabs>
          <w:tab w:val="left" w:pos="9180"/>
        </w:tabs>
        <w:spacing w:line="240" w:lineRule="auto"/>
        <w:jc w:val="both"/>
        <w:rPr>
          <w:rFonts w:cs="Arial"/>
          <w:color w:val="000000" w:themeColor="text1"/>
          <w:sz w:val="20"/>
          <w:lang w:val="hr-HR"/>
        </w:rPr>
      </w:pPr>
      <w:bookmarkStart w:id="1448" w:name="_Toc67329152"/>
      <w:r w:rsidRPr="001E3356">
        <w:rPr>
          <w:rFonts w:cs="Arial"/>
          <w:color w:val="000000" w:themeColor="text1"/>
          <w:sz w:val="20"/>
          <w:lang w:val="hr-HR"/>
        </w:rPr>
        <w:t>Imovina sadrži kredite ostalim korisnicima, dužničke vrijednosne papire po amortiziranom trošku, financijsku imovinu po fer vrijednosti kroz ostalu sveobuhvatnu dobit, ostalu imovinu i izvanbilačnu izloženost koja se odnosi na preuzete obveze.</w:t>
      </w:r>
      <w:bookmarkEnd w:id="1448"/>
    </w:p>
    <w:p w14:paraId="6A9383C8" w14:textId="77777777" w:rsidR="004E2F51" w:rsidRPr="001E3356" w:rsidRDefault="004E2F51" w:rsidP="004E2F51">
      <w:pPr>
        <w:pStyle w:val="TT"/>
        <w:tabs>
          <w:tab w:val="left" w:pos="9180"/>
        </w:tabs>
        <w:spacing w:line="240" w:lineRule="auto"/>
        <w:jc w:val="both"/>
        <w:rPr>
          <w:rFonts w:cs="Arial"/>
          <w:color w:val="000000" w:themeColor="text1"/>
          <w:sz w:val="20"/>
          <w:lang w:val="hr-HR"/>
        </w:rPr>
      </w:pPr>
    </w:p>
    <w:p w14:paraId="38338DE9" w14:textId="77777777" w:rsidR="004E2F51" w:rsidRPr="001E3356" w:rsidRDefault="004E2F51" w:rsidP="004E2F51">
      <w:pPr>
        <w:pStyle w:val="TT"/>
        <w:tabs>
          <w:tab w:val="left" w:pos="9180"/>
        </w:tabs>
        <w:spacing w:line="240" w:lineRule="auto"/>
        <w:jc w:val="both"/>
        <w:rPr>
          <w:rFonts w:cs="Arial"/>
          <w:color w:val="000000" w:themeColor="text1"/>
          <w:sz w:val="20"/>
          <w:lang w:val="hr-HR"/>
        </w:rPr>
      </w:pPr>
      <w:bookmarkStart w:id="1449" w:name="_Toc67329153"/>
      <w:r w:rsidRPr="001E3356">
        <w:rPr>
          <w:rFonts w:cs="Arial"/>
          <w:color w:val="000000" w:themeColor="text1"/>
          <w:sz w:val="20"/>
          <w:lang w:val="hr-HR"/>
        </w:rPr>
        <w:t>Obveze sadrže obveze po depozitima, obveze za plaće, rezerviranja u ime otpremnina i jubilarnih nagrada ključnih članova rukovodstva te ostale obveze.</w:t>
      </w:r>
      <w:bookmarkEnd w:id="1449"/>
    </w:p>
    <w:p w14:paraId="2CD7FFF5" w14:textId="77777777" w:rsidR="004E2F51" w:rsidRPr="001E3356" w:rsidRDefault="004E2F51" w:rsidP="004E2F51">
      <w:pPr>
        <w:pStyle w:val="TT"/>
        <w:tabs>
          <w:tab w:val="clear" w:pos="1202"/>
          <w:tab w:val="right" w:pos="284"/>
          <w:tab w:val="left" w:pos="426"/>
        </w:tabs>
        <w:spacing w:line="240" w:lineRule="auto"/>
        <w:rPr>
          <w:rFonts w:cs="Arial"/>
          <w:color w:val="000000" w:themeColor="text1"/>
          <w:sz w:val="20"/>
          <w:lang w:val="hr-HR"/>
        </w:rPr>
      </w:pPr>
    </w:p>
    <w:p w14:paraId="75832B73" w14:textId="77777777" w:rsidR="004E2F51" w:rsidRPr="001E3356" w:rsidRDefault="004E2F51" w:rsidP="004E2F51">
      <w:pPr>
        <w:pStyle w:val="TT"/>
        <w:tabs>
          <w:tab w:val="left" w:pos="9180"/>
        </w:tabs>
        <w:spacing w:line="240" w:lineRule="auto"/>
        <w:jc w:val="both"/>
        <w:rPr>
          <w:rFonts w:cs="Arial"/>
          <w:color w:val="000000" w:themeColor="text1"/>
          <w:sz w:val="20"/>
          <w:lang w:val="hr-HR"/>
        </w:rPr>
      </w:pPr>
      <w:bookmarkStart w:id="1450" w:name="_Toc67329154"/>
      <w:r w:rsidRPr="001E3356">
        <w:rPr>
          <w:rFonts w:cs="Arial"/>
          <w:color w:val="000000" w:themeColor="text1"/>
          <w:sz w:val="20"/>
          <w:lang w:val="hr-HR"/>
        </w:rPr>
        <w:t>Prihodi sadrže prihode od kamata i naknada, te prihode od ukidanja umanjenja vrijednosti i rezerviranja.</w:t>
      </w:r>
      <w:bookmarkEnd w:id="1450"/>
    </w:p>
    <w:p w14:paraId="4426C5A0" w14:textId="77777777" w:rsidR="004E2F51" w:rsidRPr="001E3356" w:rsidRDefault="004E2F51" w:rsidP="004E2F51">
      <w:pPr>
        <w:pStyle w:val="TT"/>
        <w:tabs>
          <w:tab w:val="left" w:pos="9180"/>
        </w:tabs>
        <w:spacing w:line="240" w:lineRule="auto"/>
        <w:jc w:val="both"/>
        <w:rPr>
          <w:rFonts w:cs="Arial"/>
          <w:color w:val="000000" w:themeColor="text1"/>
          <w:sz w:val="20"/>
          <w:lang w:val="hr-HR"/>
        </w:rPr>
      </w:pPr>
    </w:p>
    <w:p w14:paraId="1E7865DE" w14:textId="77777777" w:rsidR="004E2F51" w:rsidRPr="001E3356" w:rsidRDefault="004E2F51" w:rsidP="004E2F51">
      <w:pPr>
        <w:pStyle w:val="TT"/>
        <w:tabs>
          <w:tab w:val="left" w:pos="9180"/>
        </w:tabs>
        <w:spacing w:line="240" w:lineRule="auto"/>
        <w:jc w:val="both"/>
        <w:rPr>
          <w:rFonts w:cs="Arial"/>
          <w:color w:val="000000" w:themeColor="text1"/>
          <w:sz w:val="20"/>
          <w:lang w:val="hr-HR"/>
        </w:rPr>
      </w:pPr>
      <w:bookmarkStart w:id="1451" w:name="_Toc67329155"/>
      <w:r w:rsidRPr="001E3356">
        <w:rPr>
          <w:rFonts w:cs="Arial"/>
          <w:color w:val="000000" w:themeColor="text1"/>
          <w:sz w:val="20"/>
          <w:lang w:val="hr-HR"/>
        </w:rPr>
        <w:t>Rashodi sadrže rashode za plaće ključnih članova rukovodstva, gubitak od umanjenja vrijednosti i rezerviranja.</w:t>
      </w:r>
      <w:bookmarkEnd w:id="1451"/>
    </w:p>
    <w:p w14:paraId="0BE8A7DB" w14:textId="77777777" w:rsidR="004E2F51" w:rsidRPr="00B91D09" w:rsidRDefault="004E2F51" w:rsidP="004E2F51">
      <w:pPr>
        <w:pStyle w:val="T1"/>
        <w:spacing w:before="0" w:after="0" w:line="240" w:lineRule="auto"/>
        <w:rPr>
          <w:rFonts w:cs="Arial"/>
          <w:b w:val="0"/>
          <w:color w:val="000000" w:themeColor="text1"/>
          <w:sz w:val="22"/>
          <w:szCs w:val="22"/>
          <w:lang w:val="hr-HR"/>
        </w:rPr>
      </w:pPr>
    </w:p>
    <w:p w14:paraId="777C247E" w14:textId="77777777" w:rsidR="004E2F51" w:rsidRPr="00B91D09" w:rsidRDefault="004E2F51" w:rsidP="004E2F51">
      <w:pPr>
        <w:pStyle w:val="TT"/>
        <w:tabs>
          <w:tab w:val="left" w:pos="9180"/>
        </w:tabs>
        <w:spacing w:line="240" w:lineRule="auto"/>
        <w:jc w:val="both"/>
        <w:rPr>
          <w:rFonts w:cs="Arial"/>
          <w:color w:val="000000" w:themeColor="text1"/>
          <w:sz w:val="22"/>
          <w:szCs w:val="22"/>
          <w:lang w:val="hr-HR"/>
        </w:rPr>
        <w:sectPr w:rsidR="004E2F51" w:rsidRPr="00B91D09" w:rsidSect="00623DBA">
          <w:footerReference w:type="default" r:id="rId159"/>
          <w:pgSz w:w="11907" w:h="16840" w:code="9"/>
          <w:pgMar w:top="1418" w:right="1134" w:bottom="1134" w:left="1418" w:header="851" w:footer="851" w:gutter="0"/>
          <w:cols w:space="720"/>
          <w:noEndnote/>
        </w:sectPr>
      </w:pPr>
    </w:p>
    <w:p w14:paraId="7090EEDB" w14:textId="77777777" w:rsidR="004E2F51" w:rsidRPr="00B91D09" w:rsidRDefault="004E2F51" w:rsidP="004E2F51">
      <w:pPr>
        <w:pStyle w:val="TT"/>
        <w:tabs>
          <w:tab w:val="left" w:pos="9180"/>
        </w:tabs>
        <w:spacing w:line="240" w:lineRule="auto"/>
        <w:jc w:val="both"/>
        <w:rPr>
          <w:rFonts w:cs="Arial"/>
          <w:color w:val="000000" w:themeColor="text1"/>
          <w:sz w:val="22"/>
          <w:szCs w:val="22"/>
          <w:lang w:val="hr-HR"/>
        </w:rPr>
      </w:pPr>
    </w:p>
    <w:p w14:paraId="032835C8" w14:textId="77777777" w:rsidR="004E2F51" w:rsidRPr="00B91D09" w:rsidRDefault="004E2F51" w:rsidP="004E2F51">
      <w:pPr>
        <w:pStyle w:val="TT"/>
        <w:tabs>
          <w:tab w:val="left" w:pos="9180"/>
        </w:tabs>
        <w:spacing w:line="240" w:lineRule="auto"/>
        <w:jc w:val="both"/>
        <w:rPr>
          <w:rFonts w:cs="Arial"/>
          <w:color w:val="000000" w:themeColor="text1"/>
          <w:sz w:val="22"/>
          <w:szCs w:val="22"/>
          <w:lang w:val="hr-HR"/>
        </w:rPr>
      </w:pPr>
    </w:p>
    <w:p w14:paraId="38A3F4A0" w14:textId="77777777" w:rsidR="004E2F51" w:rsidRPr="00B91D09" w:rsidRDefault="004E2F51" w:rsidP="004E2F51">
      <w:pPr>
        <w:pStyle w:val="TT"/>
        <w:tabs>
          <w:tab w:val="left" w:pos="9180"/>
        </w:tabs>
        <w:spacing w:line="240" w:lineRule="auto"/>
        <w:jc w:val="both"/>
        <w:rPr>
          <w:rFonts w:cs="Arial"/>
          <w:color w:val="000000" w:themeColor="text1"/>
          <w:sz w:val="22"/>
          <w:szCs w:val="22"/>
          <w:lang w:val="hr-HR"/>
        </w:rPr>
      </w:pPr>
    </w:p>
    <w:p w14:paraId="04EC7619" w14:textId="77777777" w:rsidR="004E2F51" w:rsidRPr="00B91D09" w:rsidRDefault="004E2F51" w:rsidP="004E2F51">
      <w:pPr>
        <w:pStyle w:val="TT"/>
        <w:tabs>
          <w:tab w:val="left" w:pos="9180"/>
        </w:tabs>
        <w:spacing w:line="240" w:lineRule="auto"/>
        <w:jc w:val="both"/>
        <w:rPr>
          <w:rFonts w:cs="Arial"/>
          <w:color w:val="000000" w:themeColor="text1"/>
          <w:sz w:val="22"/>
          <w:szCs w:val="22"/>
          <w:lang w:val="hr-HR"/>
        </w:rPr>
      </w:pPr>
    </w:p>
    <w:p w14:paraId="7E7B4AA3" w14:textId="77777777" w:rsidR="004E2F51" w:rsidRDefault="004E2F51" w:rsidP="004E2F51">
      <w:pPr>
        <w:pStyle w:val="T1"/>
        <w:tabs>
          <w:tab w:val="left" w:pos="567"/>
          <w:tab w:val="left" w:pos="709"/>
        </w:tabs>
        <w:spacing w:before="0" w:after="0" w:line="240" w:lineRule="auto"/>
        <w:rPr>
          <w:rFonts w:cs="Arial"/>
          <w:bCs w:val="0"/>
          <w:color w:val="000000" w:themeColor="text1"/>
          <w:sz w:val="22"/>
          <w:szCs w:val="22"/>
          <w:lang w:val="hr-HR"/>
        </w:rPr>
        <w:sectPr w:rsidR="004E2F51" w:rsidSect="00623DBA">
          <w:footerReference w:type="default" r:id="rId160"/>
          <w:type w:val="continuous"/>
          <w:pgSz w:w="11907" w:h="16840" w:code="9"/>
          <w:pgMar w:top="1418" w:right="1134" w:bottom="1134" w:left="1418" w:header="851" w:footer="851" w:gutter="0"/>
          <w:cols w:space="720"/>
          <w:noEndnote/>
        </w:sectPr>
      </w:pPr>
    </w:p>
    <w:p w14:paraId="5AEB39D6" w14:textId="77777777" w:rsidR="004E2F51" w:rsidRPr="001E3356" w:rsidRDefault="004E2F51" w:rsidP="004E2F51">
      <w:pPr>
        <w:pStyle w:val="T1"/>
        <w:tabs>
          <w:tab w:val="left" w:pos="567"/>
          <w:tab w:val="left" w:pos="709"/>
        </w:tabs>
        <w:spacing w:before="0" w:after="0" w:line="240" w:lineRule="auto"/>
        <w:rPr>
          <w:rFonts w:cs="Arial"/>
          <w:bCs w:val="0"/>
          <w:color w:val="000000" w:themeColor="text1"/>
          <w:sz w:val="20"/>
          <w:lang w:val="hr-HR"/>
        </w:rPr>
      </w:pPr>
    </w:p>
    <w:p w14:paraId="0D16B2DE" w14:textId="77777777" w:rsidR="004E2F51" w:rsidRPr="001E3356" w:rsidRDefault="004E2F51" w:rsidP="004E2F51">
      <w:pPr>
        <w:pStyle w:val="T1"/>
        <w:tabs>
          <w:tab w:val="left" w:pos="567"/>
          <w:tab w:val="left" w:pos="709"/>
        </w:tabs>
        <w:spacing w:before="0" w:after="0" w:line="240" w:lineRule="auto"/>
        <w:rPr>
          <w:rFonts w:cs="Arial"/>
          <w:bCs w:val="0"/>
          <w:color w:val="000000" w:themeColor="text1"/>
          <w:sz w:val="20"/>
          <w:lang w:val="hr-HR"/>
        </w:rPr>
      </w:pPr>
      <w:r w:rsidRPr="001E3356">
        <w:rPr>
          <w:rFonts w:cs="Arial"/>
          <w:bCs w:val="0"/>
          <w:color w:val="000000" w:themeColor="text1"/>
          <w:sz w:val="20"/>
          <w:lang w:val="hr-HR"/>
        </w:rPr>
        <w:t>3</w:t>
      </w:r>
      <w:r>
        <w:rPr>
          <w:rFonts w:cs="Arial"/>
          <w:bCs w:val="0"/>
          <w:color w:val="000000" w:themeColor="text1"/>
          <w:sz w:val="20"/>
          <w:lang w:val="hr-HR"/>
        </w:rPr>
        <w:t>0</w:t>
      </w:r>
      <w:r w:rsidRPr="001E3356">
        <w:rPr>
          <w:rFonts w:cs="Arial"/>
          <w:bCs w:val="0"/>
          <w:color w:val="000000" w:themeColor="text1"/>
          <w:sz w:val="20"/>
          <w:lang w:val="hr-HR"/>
        </w:rPr>
        <w:t>.</w:t>
      </w:r>
      <w:r w:rsidRPr="001E3356">
        <w:rPr>
          <w:rFonts w:cs="Arial"/>
          <w:bCs w:val="0"/>
          <w:color w:val="000000" w:themeColor="text1"/>
          <w:sz w:val="20"/>
          <w:lang w:val="hr-HR"/>
        </w:rPr>
        <w:tab/>
        <w:t>Transakcije s povezanim stranama (nastavak)</w:t>
      </w:r>
    </w:p>
    <w:p w14:paraId="3AD8A63F" w14:textId="77777777" w:rsidR="004E2F51" w:rsidRPr="001E3356" w:rsidRDefault="004E2F51" w:rsidP="004E2F51">
      <w:pPr>
        <w:pStyle w:val="TT"/>
        <w:tabs>
          <w:tab w:val="clear" w:pos="1202"/>
          <w:tab w:val="right" w:pos="284"/>
          <w:tab w:val="left" w:pos="426"/>
        </w:tabs>
        <w:spacing w:line="240" w:lineRule="auto"/>
        <w:rPr>
          <w:rFonts w:cs="Arial"/>
          <w:color w:val="000000" w:themeColor="text1"/>
          <w:sz w:val="20"/>
          <w:lang w:val="hr-HR"/>
        </w:rPr>
      </w:pPr>
    </w:p>
    <w:p w14:paraId="246E9030" w14:textId="77777777" w:rsidR="004E2F51" w:rsidRPr="001E3356" w:rsidRDefault="004E2F51" w:rsidP="004E2F51">
      <w:pPr>
        <w:pStyle w:val="TT"/>
        <w:tabs>
          <w:tab w:val="left" w:pos="9180"/>
        </w:tabs>
        <w:spacing w:line="240" w:lineRule="auto"/>
        <w:jc w:val="both"/>
        <w:rPr>
          <w:rFonts w:cs="Arial"/>
          <w:color w:val="000000" w:themeColor="text1"/>
          <w:sz w:val="20"/>
          <w:lang w:val="hr-HR"/>
        </w:rPr>
      </w:pPr>
    </w:p>
    <w:p w14:paraId="409E37FC" w14:textId="77777777" w:rsidR="004E2F51" w:rsidRPr="001E3356" w:rsidRDefault="004E2F51" w:rsidP="004E2F51">
      <w:pPr>
        <w:pStyle w:val="TT"/>
        <w:tabs>
          <w:tab w:val="clear" w:pos="1202"/>
          <w:tab w:val="right" w:pos="284"/>
          <w:tab w:val="left" w:pos="567"/>
        </w:tabs>
        <w:spacing w:line="240" w:lineRule="auto"/>
        <w:rPr>
          <w:rFonts w:cs="Arial"/>
          <w:color w:val="000000" w:themeColor="text1"/>
          <w:sz w:val="20"/>
          <w:lang w:val="hr-HR"/>
        </w:rPr>
      </w:pPr>
      <w:bookmarkStart w:id="1452" w:name="_Toc67329156"/>
      <w:r w:rsidRPr="001E3356">
        <w:rPr>
          <w:rFonts w:cs="Arial"/>
          <w:color w:val="000000" w:themeColor="text1"/>
          <w:sz w:val="20"/>
          <w:lang w:val="hr-HR"/>
        </w:rPr>
        <w:t>b)</w:t>
      </w:r>
      <w:r w:rsidRPr="001E3356">
        <w:rPr>
          <w:rFonts w:cs="Arial"/>
          <w:color w:val="000000" w:themeColor="text1"/>
          <w:sz w:val="20"/>
          <w:lang w:val="hr-HR"/>
        </w:rPr>
        <w:tab/>
      </w:r>
      <w:r w:rsidRPr="001E3356">
        <w:rPr>
          <w:rFonts w:cs="Arial"/>
          <w:color w:val="000000" w:themeColor="text1"/>
          <w:sz w:val="20"/>
          <w:lang w:val="hr-HR"/>
        </w:rPr>
        <w:tab/>
        <w:t>Primljeni instrumenti osiguranja</w:t>
      </w:r>
      <w:bookmarkEnd w:id="1452"/>
    </w:p>
    <w:p w14:paraId="10D6A161" w14:textId="77777777" w:rsidR="004E2F51" w:rsidRPr="001E3356" w:rsidRDefault="004E2F51" w:rsidP="004E2F51">
      <w:pPr>
        <w:pStyle w:val="TT"/>
        <w:tabs>
          <w:tab w:val="clear" w:pos="1202"/>
          <w:tab w:val="right" w:pos="284"/>
          <w:tab w:val="left" w:pos="567"/>
        </w:tabs>
        <w:spacing w:line="240" w:lineRule="auto"/>
        <w:rPr>
          <w:rFonts w:cs="Arial"/>
          <w:color w:val="000000" w:themeColor="text1"/>
          <w:sz w:val="20"/>
          <w:lang w:val="hr-HR"/>
        </w:rPr>
      </w:pPr>
    </w:p>
    <w:tbl>
      <w:tblPr>
        <w:tblW w:w="4997" w:type="pct"/>
        <w:tblLayout w:type="fixed"/>
        <w:tblCellMar>
          <w:left w:w="56" w:type="dxa"/>
          <w:right w:w="56" w:type="dxa"/>
        </w:tblCellMar>
        <w:tblLook w:val="00A0" w:firstRow="1" w:lastRow="0" w:firstColumn="1" w:lastColumn="0" w:noHBand="0" w:noVBand="0"/>
      </w:tblPr>
      <w:tblGrid>
        <w:gridCol w:w="2411"/>
        <w:gridCol w:w="1733"/>
        <w:gridCol w:w="1737"/>
        <w:gridCol w:w="1733"/>
        <w:gridCol w:w="1735"/>
      </w:tblGrid>
      <w:tr w:rsidR="004E2F51" w:rsidRPr="001E3356" w14:paraId="581B80CD" w14:textId="77777777" w:rsidTr="00E032FC">
        <w:trPr>
          <w:trHeight w:val="240"/>
        </w:trPr>
        <w:tc>
          <w:tcPr>
            <w:tcW w:w="1289" w:type="pct"/>
            <w:vAlign w:val="bottom"/>
          </w:tcPr>
          <w:p w14:paraId="14F9D01F" w14:textId="77777777" w:rsidR="004E2F51" w:rsidRPr="001E3356" w:rsidRDefault="004E2F51" w:rsidP="00E032FC">
            <w:pPr>
              <w:pStyle w:val="TH"/>
              <w:jc w:val="right"/>
              <w:rPr>
                <w:rFonts w:cs="Arial"/>
                <w:color w:val="000000" w:themeColor="text1"/>
                <w:sz w:val="18"/>
                <w:szCs w:val="18"/>
                <w:lang w:val="hr-HR"/>
              </w:rPr>
            </w:pPr>
          </w:p>
        </w:tc>
        <w:tc>
          <w:tcPr>
            <w:tcW w:w="1856" w:type="pct"/>
            <w:gridSpan w:val="2"/>
            <w:vAlign w:val="bottom"/>
          </w:tcPr>
          <w:p w14:paraId="4EB1EC7C" w14:textId="77777777" w:rsidR="004E2F51" w:rsidRPr="001E3356" w:rsidRDefault="004E2F51" w:rsidP="00E032FC">
            <w:pPr>
              <w:pStyle w:val="TH"/>
              <w:jc w:val="right"/>
              <w:rPr>
                <w:rFonts w:cs="Arial"/>
                <w:color w:val="000000" w:themeColor="text1"/>
                <w:sz w:val="18"/>
                <w:szCs w:val="18"/>
                <w:lang w:val="hr-HR"/>
              </w:rPr>
            </w:pPr>
            <w:bookmarkStart w:id="1453" w:name="_Toc67329157"/>
            <w:r w:rsidRPr="001E3356">
              <w:rPr>
                <w:rFonts w:cs="Arial"/>
                <w:color w:val="000000" w:themeColor="text1"/>
                <w:sz w:val="18"/>
                <w:szCs w:val="18"/>
                <w:lang w:val="hr-HR"/>
              </w:rPr>
              <w:t>Grupa</w:t>
            </w:r>
            <w:bookmarkEnd w:id="1453"/>
          </w:p>
        </w:tc>
        <w:tc>
          <w:tcPr>
            <w:tcW w:w="1855" w:type="pct"/>
            <w:gridSpan w:val="2"/>
            <w:vAlign w:val="bottom"/>
          </w:tcPr>
          <w:p w14:paraId="1ACA25DE" w14:textId="77777777" w:rsidR="004E2F51" w:rsidRPr="001E3356" w:rsidRDefault="004E2F51" w:rsidP="00E032FC">
            <w:pPr>
              <w:pStyle w:val="TH"/>
              <w:jc w:val="right"/>
              <w:rPr>
                <w:rFonts w:cs="Arial"/>
                <w:color w:val="000000" w:themeColor="text1"/>
                <w:sz w:val="18"/>
                <w:szCs w:val="18"/>
                <w:lang w:val="hr-HR"/>
              </w:rPr>
            </w:pPr>
            <w:bookmarkStart w:id="1454" w:name="_Toc67329158"/>
            <w:r w:rsidRPr="001E3356">
              <w:rPr>
                <w:rFonts w:cs="Arial"/>
                <w:color w:val="000000" w:themeColor="text1"/>
                <w:sz w:val="18"/>
                <w:szCs w:val="18"/>
                <w:lang w:val="hr-HR"/>
              </w:rPr>
              <w:t>Banka</w:t>
            </w:r>
            <w:bookmarkEnd w:id="1454"/>
          </w:p>
        </w:tc>
      </w:tr>
      <w:tr w:rsidR="004E2F51" w:rsidRPr="001E3356" w14:paraId="7EBF5212" w14:textId="77777777" w:rsidTr="00E032FC">
        <w:trPr>
          <w:trHeight w:val="167"/>
        </w:trPr>
        <w:tc>
          <w:tcPr>
            <w:tcW w:w="1289" w:type="pct"/>
            <w:vAlign w:val="bottom"/>
          </w:tcPr>
          <w:p w14:paraId="3229196E" w14:textId="77777777" w:rsidR="004E2F51" w:rsidRPr="001E3356" w:rsidRDefault="004E2F51" w:rsidP="00E032FC">
            <w:pPr>
              <w:pStyle w:val="TH"/>
              <w:jc w:val="right"/>
              <w:rPr>
                <w:rFonts w:cs="Arial"/>
                <w:color w:val="000000" w:themeColor="text1"/>
                <w:sz w:val="18"/>
                <w:szCs w:val="18"/>
                <w:lang w:val="hr-HR"/>
              </w:rPr>
            </w:pPr>
          </w:p>
        </w:tc>
        <w:tc>
          <w:tcPr>
            <w:tcW w:w="927" w:type="pct"/>
            <w:vAlign w:val="bottom"/>
          </w:tcPr>
          <w:p w14:paraId="6DC16C72" w14:textId="77777777" w:rsidR="004E2F51" w:rsidRDefault="004E2F51" w:rsidP="00E032FC">
            <w:pPr>
              <w:pStyle w:val="TH"/>
              <w:jc w:val="right"/>
              <w:rPr>
                <w:rFonts w:cs="Arial"/>
                <w:color w:val="000000" w:themeColor="text1"/>
                <w:sz w:val="18"/>
                <w:szCs w:val="18"/>
                <w:lang w:val="hr-HR"/>
              </w:rPr>
            </w:pPr>
            <w:bookmarkStart w:id="1455" w:name="_Toc67329159"/>
            <w:r w:rsidRPr="001E3356">
              <w:rPr>
                <w:rFonts w:cs="Arial"/>
                <w:color w:val="000000" w:themeColor="text1"/>
                <w:sz w:val="18"/>
                <w:szCs w:val="18"/>
                <w:lang w:val="hr-HR"/>
              </w:rPr>
              <w:t xml:space="preserve">31. prosinca </w:t>
            </w:r>
          </w:p>
          <w:p w14:paraId="306A494D" w14:textId="77777777" w:rsidR="004E2F51" w:rsidRPr="001E3356" w:rsidRDefault="004E2F51" w:rsidP="00E032FC">
            <w:pPr>
              <w:pStyle w:val="TH"/>
              <w:jc w:val="right"/>
              <w:rPr>
                <w:rFonts w:cs="Arial"/>
                <w:color w:val="000000" w:themeColor="text1"/>
                <w:sz w:val="18"/>
                <w:szCs w:val="18"/>
                <w:lang w:val="hr-HR"/>
              </w:rPr>
            </w:pPr>
            <w:r w:rsidRPr="001E3356">
              <w:rPr>
                <w:rFonts w:cs="Arial"/>
                <w:color w:val="000000" w:themeColor="text1"/>
                <w:sz w:val="18"/>
                <w:szCs w:val="18"/>
                <w:lang w:val="hr-HR"/>
              </w:rPr>
              <w:t>202</w:t>
            </w:r>
            <w:r>
              <w:rPr>
                <w:rFonts w:cs="Arial"/>
                <w:color w:val="000000" w:themeColor="text1"/>
                <w:sz w:val="18"/>
                <w:szCs w:val="18"/>
                <w:lang w:val="hr-HR"/>
              </w:rPr>
              <w:t>2</w:t>
            </w:r>
            <w:r w:rsidRPr="001E3356">
              <w:rPr>
                <w:rFonts w:cs="Arial"/>
                <w:color w:val="000000" w:themeColor="text1"/>
                <w:sz w:val="18"/>
                <w:szCs w:val="18"/>
                <w:lang w:val="hr-HR"/>
              </w:rPr>
              <w:t>.</w:t>
            </w:r>
            <w:bookmarkEnd w:id="1455"/>
          </w:p>
        </w:tc>
        <w:tc>
          <w:tcPr>
            <w:tcW w:w="929" w:type="pct"/>
            <w:vAlign w:val="bottom"/>
          </w:tcPr>
          <w:p w14:paraId="788ADA6C" w14:textId="77777777" w:rsidR="004E2F51" w:rsidRDefault="004E2F51" w:rsidP="00E032FC">
            <w:pPr>
              <w:pStyle w:val="TH"/>
              <w:jc w:val="right"/>
              <w:rPr>
                <w:rFonts w:cs="Arial"/>
                <w:color w:val="000000" w:themeColor="text1"/>
                <w:sz w:val="18"/>
                <w:szCs w:val="18"/>
                <w:lang w:val="hr-HR"/>
              </w:rPr>
            </w:pPr>
            <w:bookmarkStart w:id="1456" w:name="_Toc67329160"/>
            <w:r w:rsidRPr="001E3356">
              <w:rPr>
                <w:rFonts w:cs="Arial"/>
                <w:color w:val="000000" w:themeColor="text1"/>
                <w:sz w:val="18"/>
                <w:szCs w:val="18"/>
                <w:lang w:val="hr-HR"/>
              </w:rPr>
              <w:t xml:space="preserve">31. prosinca </w:t>
            </w:r>
          </w:p>
          <w:p w14:paraId="01EA5E12" w14:textId="77777777" w:rsidR="004E2F51" w:rsidRPr="001E3356" w:rsidRDefault="004E2F51" w:rsidP="00E032FC">
            <w:pPr>
              <w:pStyle w:val="TH"/>
              <w:jc w:val="right"/>
              <w:rPr>
                <w:rFonts w:cs="Arial"/>
                <w:color w:val="000000" w:themeColor="text1"/>
                <w:sz w:val="18"/>
                <w:szCs w:val="18"/>
                <w:lang w:val="hr-HR"/>
              </w:rPr>
            </w:pPr>
            <w:r w:rsidRPr="001E3356">
              <w:rPr>
                <w:rFonts w:cs="Arial"/>
                <w:color w:val="000000" w:themeColor="text1"/>
                <w:sz w:val="18"/>
                <w:szCs w:val="18"/>
                <w:lang w:val="hr-HR"/>
              </w:rPr>
              <w:t>202</w:t>
            </w:r>
            <w:r>
              <w:rPr>
                <w:rFonts w:cs="Arial"/>
                <w:color w:val="000000" w:themeColor="text1"/>
                <w:sz w:val="18"/>
                <w:szCs w:val="18"/>
                <w:lang w:val="hr-HR"/>
              </w:rPr>
              <w:t>1</w:t>
            </w:r>
            <w:r w:rsidRPr="001E3356">
              <w:rPr>
                <w:rFonts w:cs="Arial"/>
                <w:color w:val="000000" w:themeColor="text1"/>
                <w:sz w:val="18"/>
                <w:szCs w:val="18"/>
                <w:lang w:val="hr-HR"/>
              </w:rPr>
              <w:t>.</w:t>
            </w:r>
            <w:bookmarkEnd w:id="1456"/>
          </w:p>
        </w:tc>
        <w:tc>
          <w:tcPr>
            <w:tcW w:w="927" w:type="pct"/>
            <w:vAlign w:val="bottom"/>
          </w:tcPr>
          <w:p w14:paraId="17277D55" w14:textId="77777777" w:rsidR="004E2F51" w:rsidRDefault="004E2F51" w:rsidP="00E032FC">
            <w:pPr>
              <w:pStyle w:val="TH"/>
              <w:jc w:val="right"/>
              <w:rPr>
                <w:rFonts w:cs="Arial"/>
                <w:color w:val="000000" w:themeColor="text1"/>
                <w:sz w:val="18"/>
                <w:szCs w:val="18"/>
                <w:lang w:val="hr-HR"/>
              </w:rPr>
            </w:pPr>
            <w:bookmarkStart w:id="1457" w:name="_Toc67329161"/>
            <w:r w:rsidRPr="001E3356">
              <w:rPr>
                <w:rFonts w:cs="Arial"/>
                <w:color w:val="000000" w:themeColor="text1"/>
                <w:sz w:val="18"/>
                <w:szCs w:val="18"/>
                <w:lang w:val="hr-HR"/>
              </w:rPr>
              <w:t xml:space="preserve">31. prosinca </w:t>
            </w:r>
          </w:p>
          <w:p w14:paraId="60FFE079" w14:textId="77777777" w:rsidR="004E2F51" w:rsidRPr="001E3356" w:rsidRDefault="004E2F51" w:rsidP="00E032FC">
            <w:pPr>
              <w:pStyle w:val="TH"/>
              <w:jc w:val="right"/>
              <w:rPr>
                <w:rFonts w:cs="Arial"/>
                <w:color w:val="000000" w:themeColor="text1"/>
                <w:sz w:val="18"/>
                <w:szCs w:val="18"/>
                <w:lang w:val="hr-HR"/>
              </w:rPr>
            </w:pPr>
            <w:r w:rsidRPr="001E3356">
              <w:rPr>
                <w:rFonts w:cs="Arial"/>
                <w:color w:val="000000" w:themeColor="text1"/>
                <w:sz w:val="18"/>
                <w:szCs w:val="18"/>
                <w:lang w:val="hr-HR"/>
              </w:rPr>
              <w:t>202</w:t>
            </w:r>
            <w:r>
              <w:rPr>
                <w:rFonts w:cs="Arial"/>
                <w:color w:val="000000" w:themeColor="text1"/>
                <w:sz w:val="18"/>
                <w:szCs w:val="18"/>
                <w:lang w:val="hr-HR"/>
              </w:rPr>
              <w:t>2</w:t>
            </w:r>
            <w:r w:rsidRPr="001E3356">
              <w:rPr>
                <w:rFonts w:cs="Arial"/>
                <w:color w:val="000000" w:themeColor="text1"/>
                <w:sz w:val="18"/>
                <w:szCs w:val="18"/>
                <w:lang w:val="hr-HR"/>
              </w:rPr>
              <w:t>.</w:t>
            </w:r>
            <w:bookmarkEnd w:id="1457"/>
          </w:p>
        </w:tc>
        <w:tc>
          <w:tcPr>
            <w:tcW w:w="928" w:type="pct"/>
            <w:vAlign w:val="bottom"/>
          </w:tcPr>
          <w:p w14:paraId="53537472" w14:textId="77777777" w:rsidR="004E2F51" w:rsidRDefault="004E2F51" w:rsidP="00E032FC">
            <w:pPr>
              <w:pStyle w:val="TH"/>
              <w:jc w:val="right"/>
              <w:rPr>
                <w:rFonts w:cs="Arial"/>
                <w:color w:val="000000" w:themeColor="text1"/>
                <w:sz w:val="18"/>
                <w:szCs w:val="18"/>
                <w:lang w:val="hr-HR"/>
              </w:rPr>
            </w:pPr>
            <w:bookmarkStart w:id="1458" w:name="_Toc67329162"/>
            <w:r w:rsidRPr="001E3356">
              <w:rPr>
                <w:rFonts w:cs="Arial"/>
                <w:color w:val="000000" w:themeColor="text1"/>
                <w:sz w:val="18"/>
                <w:szCs w:val="18"/>
                <w:lang w:val="hr-HR"/>
              </w:rPr>
              <w:t xml:space="preserve">31. prosinca </w:t>
            </w:r>
          </w:p>
          <w:p w14:paraId="43A7283C" w14:textId="77777777" w:rsidR="004E2F51" w:rsidRPr="001E3356" w:rsidRDefault="004E2F51" w:rsidP="00E032FC">
            <w:pPr>
              <w:pStyle w:val="TH"/>
              <w:jc w:val="right"/>
              <w:rPr>
                <w:rFonts w:cs="Arial"/>
                <w:color w:val="000000" w:themeColor="text1"/>
                <w:sz w:val="18"/>
                <w:szCs w:val="18"/>
                <w:lang w:val="hr-HR"/>
              </w:rPr>
            </w:pPr>
            <w:r w:rsidRPr="001E3356">
              <w:rPr>
                <w:rFonts w:cs="Arial"/>
                <w:color w:val="000000" w:themeColor="text1"/>
                <w:sz w:val="18"/>
                <w:szCs w:val="18"/>
                <w:lang w:val="hr-HR"/>
              </w:rPr>
              <w:t>202</w:t>
            </w:r>
            <w:r>
              <w:rPr>
                <w:rFonts w:cs="Arial"/>
                <w:color w:val="000000" w:themeColor="text1"/>
                <w:sz w:val="18"/>
                <w:szCs w:val="18"/>
                <w:lang w:val="hr-HR"/>
              </w:rPr>
              <w:t>1</w:t>
            </w:r>
            <w:r w:rsidRPr="001E3356">
              <w:rPr>
                <w:rFonts w:cs="Arial"/>
                <w:color w:val="000000" w:themeColor="text1"/>
                <w:sz w:val="18"/>
                <w:szCs w:val="18"/>
                <w:lang w:val="hr-HR"/>
              </w:rPr>
              <w:t>.</w:t>
            </w:r>
            <w:bookmarkEnd w:id="1458"/>
          </w:p>
        </w:tc>
      </w:tr>
      <w:tr w:rsidR="004E2F51" w:rsidRPr="001E3356" w14:paraId="1EDEAA73" w14:textId="77777777" w:rsidTr="00E032FC">
        <w:trPr>
          <w:trHeight w:val="293"/>
        </w:trPr>
        <w:tc>
          <w:tcPr>
            <w:tcW w:w="1289" w:type="pct"/>
            <w:vAlign w:val="bottom"/>
          </w:tcPr>
          <w:p w14:paraId="0CBC794C" w14:textId="77777777" w:rsidR="004E2F51" w:rsidRPr="001E3356" w:rsidRDefault="004E2F51" w:rsidP="00E032FC">
            <w:pPr>
              <w:pStyle w:val="TT"/>
              <w:rPr>
                <w:rFonts w:cs="Arial"/>
                <w:color w:val="000000" w:themeColor="text1"/>
                <w:sz w:val="18"/>
                <w:szCs w:val="18"/>
                <w:lang w:val="hr-HR"/>
              </w:rPr>
            </w:pPr>
          </w:p>
        </w:tc>
        <w:tc>
          <w:tcPr>
            <w:tcW w:w="927" w:type="pct"/>
            <w:vAlign w:val="bottom"/>
          </w:tcPr>
          <w:p w14:paraId="35861CB8" w14:textId="77777777" w:rsidR="004E2F51" w:rsidRPr="001E3356" w:rsidRDefault="004E2F51" w:rsidP="00E032FC">
            <w:pPr>
              <w:pStyle w:val="TT"/>
              <w:jc w:val="right"/>
              <w:rPr>
                <w:rFonts w:cs="Arial"/>
                <w:b/>
                <w:bCs/>
                <w:color w:val="000000" w:themeColor="text1"/>
                <w:sz w:val="18"/>
                <w:szCs w:val="18"/>
                <w:lang w:val="hr-HR"/>
              </w:rPr>
            </w:pPr>
            <w:bookmarkStart w:id="1459" w:name="_Toc67329163"/>
            <w:r w:rsidRPr="001E3356">
              <w:rPr>
                <w:rFonts w:cs="Arial"/>
                <w:b/>
                <w:bCs/>
                <w:color w:val="000000" w:themeColor="text1"/>
                <w:sz w:val="18"/>
                <w:szCs w:val="18"/>
                <w:lang w:val="hr-HR"/>
              </w:rPr>
              <w:t>000 kuna</w:t>
            </w:r>
            <w:bookmarkEnd w:id="1459"/>
          </w:p>
        </w:tc>
        <w:tc>
          <w:tcPr>
            <w:tcW w:w="929" w:type="pct"/>
            <w:vAlign w:val="bottom"/>
          </w:tcPr>
          <w:p w14:paraId="75089CF3" w14:textId="77777777" w:rsidR="004E2F51" w:rsidRPr="001E3356" w:rsidRDefault="004E2F51" w:rsidP="00E032FC">
            <w:pPr>
              <w:pStyle w:val="TT"/>
              <w:jc w:val="right"/>
              <w:rPr>
                <w:rFonts w:cs="Arial"/>
                <w:b/>
                <w:bCs/>
                <w:color w:val="000000" w:themeColor="text1"/>
                <w:sz w:val="18"/>
                <w:szCs w:val="18"/>
                <w:lang w:val="hr-HR"/>
              </w:rPr>
            </w:pPr>
            <w:bookmarkStart w:id="1460" w:name="_Toc67329164"/>
            <w:r w:rsidRPr="001E3356">
              <w:rPr>
                <w:rFonts w:cs="Arial"/>
                <w:b/>
                <w:bCs/>
                <w:color w:val="000000" w:themeColor="text1"/>
                <w:sz w:val="18"/>
                <w:szCs w:val="18"/>
                <w:lang w:val="hr-HR"/>
              </w:rPr>
              <w:t>000 kuna</w:t>
            </w:r>
            <w:bookmarkEnd w:id="1460"/>
          </w:p>
        </w:tc>
        <w:tc>
          <w:tcPr>
            <w:tcW w:w="927" w:type="pct"/>
            <w:vAlign w:val="bottom"/>
          </w:tcPr>
          <w:p w14:paraId="667A1BDF" w14:textId="77777777" w:rsidR="004E2F51" w:rsidRPr="001E3356" w:rsidRDefault="004E2F51" w:rsidP="00E032FC">
            <w:pPr>
              <w:pStyle w:val="TT"/>
              <w:jc w:val="right"/>
              <w:rPr>
                <w:rFonts w:cs="Arial"/>
                <w:b/>
                <w:bCs/>
                <w:color w:val="000000" w:themeColor="text1"/>
                <w:sz w:val="18"/>
                <w:szCs w:val="18"/>
                <w:lang w:val="hr-HR"/>
              </w:rPr>
            </w:pPr>
            <w:bookmarkStart w:id="1461" w:name="_Toc67329165"/>
            <w:r w:rsidRPr="001E3356">
              <w:rPr>
                <w:rFonts w:cs="Arial"/>
                <w:b/>
                <w:bCs/>
                <w:color w:val="000000" w:themeColor="text1"/>
                <w:sz w:val="18"/>
                <w:szCs w:val="18"/>
                <w:lang w:val="hr-HR"/>
              </w:rPr>
              <w:t>000 kuna</w:t>
            </w:r>
            <w:bookmarkEnd w:id="1461"/>
          </w:p>
        </w:tc>
        <w:tc>
          <w:tcPr>
            <w:tcW w:w="928" w:type="pct"/>
            <w:vAlign w:val="bottom"/>
          </w:tcPr>
          <w:p w14:paraId="758C351E" w14:textId="77777777" w:rsidR="004E2F51" w:rsidRPr="001E3356" w:rsidRDefault="004E2F51" w:rsidP="00E032FC">
            <w:pPr>
              <w:pStyle w:val="TT"/>
              <w:jc w:val="right"/>
              <w:rPr>
                <w:rFonts w:cs="Arial"/>
                <w:b/>
                <w:bCs/>
                <w:color w:val="000000" w:themeColor="text1"/>
                <w:sz w:val="18"/>
                <w:szCs w:val="18"/>
                <w:lang w:val="hr-HR"/>
              </w:rPr>
            </w:pPr>
            <w:bookmarkStart w:id="1462" w:name="_Toc67329166"/>
            <w:r w:rsidRPr="001E3356">
              <w:rPr>
                <w:rFonts w:cs="Arial"/>
                <w:b/>
                <w:bCs/>
                <w:color w:val="000000" w:themeColor="text1"/>
                <w:sz w:val="18"/>
                <w:szCs w:val="18"/>
                <w:lang w:val="hr-HR"/>
              </w:rPr>
              <w:t>000 kuna</w:t>
            </w:r>
            <w:bookmarkEnd w:id="1462"/>
          </w:p>
        </w:tc>
      </w:tr>
      <w:tr w:rsidR="004E2F51" w:rsidRPr="001E3356" w14:paraId="4F8A8409" w14:textId="77777777" w:rsidTr="00E032FC">
        <w:trPr>
          <w:trHeight w:val="182"/>
        </w:trPr>
        <w:tc>
          <w:tcPr>
            <w:tcW w:w="1289" w:type="pct"/>
            <w:vAlign w:val="bottom"/>
          </w:tcPr>
          <w:p w14:paraId="5F3DBCA4" w14:textId="77777777" w:rsidR="004E2F51" w:rsidRPr="001E3356" w:rsidRDefault="004E2F51" w:rsidP="00E032FC">
            <w:pPr>
              <w:pStyle w:val="TT"/>
              <w:spacing w:line="120" w:lineRule="exact"/>
              <w:rPr>
                <w:rFonts w:cs="Arial"/>
                <w:b/>
                <w:color w:val="000000" w:themeColor="text1"/>
                <w:sz w:val="18"/>
                <w:szCs w:val="18"/>
                <w:lang w:val="hr-HR"/>
              </w:rPr>
            </w:pPr>
          </w:p>
        </w:tc>
        <w:tc>
          <w:tcPr>
            <w:tcW w:w="927" w:type="pct"/>
            <w:vAlign w:val="bottom"/>
          </w:tcPr>
          <w:p w14:paraId="5E7AC8A0" w14:textId="77777777" w:rsidR="004E2F51" w:rsidRPr="001E3356" w:rsidRDefault="004E2F51" w:rsidP="00E032FC">
            <w:pPr>
              <w:pStyle w:val="TT"/>
              <w:spacing w:line="120" w:lineRule="exact"/>
              <w:jc w:val="right"/>
              <w:rPr>
                <w:rFonts w:cs="Arial"/>
                <w:bCs/>
                <w:color w:val="000000" w:themeColor="text1"/>
                <w:sz w:val="18"/>
                <w:szCs w:val="18"/>
                <w:lang w:val="hr-HR"/>
              </w:rPr>
            </w:pPr>
          </w:p>
        </w:tc>
        <w:tc>
          <w:tcPr>
            <w:tcW w:w="929" w:type="pct"/>
            <w:vAlign w:val="bottom"/>
          </w:tcPr>
          <w:p w14:paraId="276F954B" w14:textId="77777777" w:rsidR="004E2F51" w:rsidRPr="001E3356" w:rsidRDefault="004E2F51" w:rsidP="00E032FC">
            <w:pPr>
              <w:pStyle w:val="TT"/>
              <w:spacing w:line="120" w:lineRule="exact"/>
              <w:jc w:val="right"/>
              <w:rPr>
                <w:rFonts w:cs="Arial"/>
                <w:bCs/>
                <w:color w:val="000000" w:themeColor="text1"/>
                <w:sz w:val="18"/>
                <w:szCs w:val="18"/>
                <w:lang w:val="hr-HR"/>
              </w:rPr>
            </w:pPr>
          </w:p>
        </w:tc>
        <w:tc>
          <w:tcPr>
            <w:tcW w:w="927" w:type="pct"/>
            <w:vAlign w:val="bottom"/>
          </w:tcPr>
          <w:p w14:paraId="7EBF18B0" w14:textId="77777777" w:rsidR="004E2F51" w:rsidRPr="001E3356" w:rsidRDefault="004E2F51" w:rsidP="00E032FC">
            <w:pPr>
              <w:pStyle w:val="TT"/>
              <w:spacing w:line="120" w:lineRule="exact"/>
              <w:jc w:val="right"/>
              <w:rPr>
                <w:rFonts w:cs="Arial"/>
                <w:bCs/>
                <w:color w:val="000000" w:themeColor="text1"/>
                <w:sz w:val="18"/>
                <w:szCs w:val="18"/>
                <w:lang w:val="hr-HR"/>
              </w:rPr>
            </w:pPr>
          </w:p>
        </w:tc>
        <w:tc>
          <w:tcPr>
            <w:tcW w:w="928" w:type="pct"/>
            <w:vAlign w:val="bottom"/>
          </w:tcPr>
          <w:p w14:paraId="04230BDB" w14:textId="77777777" w:rsidR="004E2F51" w:rsidRPr="001E3356" w:rsidRDefault="004E2F51" w:rsidP="00E032FC">
            <w:pPr>
              <w:pStyle w:val="TT"/>
              <w:spacing w:line="120" w:lineRule="exact"/>
              <w:jc w:val="right"/>
              <w:rPr>
                <w:rFonts w:cs="Arial"/>
                <w:bCs/>
                <w:color w:val="000000" w:themeColor="text1"/>
                <w:sz w:val="18"/>
                <w:szCs w:val="18"/>
                <w:lang w:val="hr-HR"/>
              </w:rPr>
            </w:pPr>
          </w:p>
        </w:tc>
      </w:tr>
      <w:tr w:rsidR="004E2F51" w:rsidRPr="001E3356" w14:paraId="404E3D20" w14:textId="77777777" w:rsidTr="00E032FC">
        <w:trPr>
          <w:trHeight w:val="293"/>
        </w:trPr>
        <w:tc>
          <w:tcPr>
            <w:tcW w:w="1289" w:type="pct"/>
            <w:vAlign w:val="bottom"/>
          </w:tcPr>
          <w:p w14:paraId="0FF81EF2" w14:textId="77777777" w:rsidR="004E2F51" w:rsidRPr="001E3356" w:rsidRDefault="004E2F51" w:rsidP="00E032FC">
            <w:pPr>
              <w:pStyle w:val="TT"/>
              <w:rPr>
                <w:rFonts w:cs="Arial"/>
                <w:color w:val="000000" w:themeColor="text1"/>
                <w:sz w:val="18"/>
                <w:szCs w:val="18"/>
                <w:lang w:val="hr-HR"/>
              </w:rPr>
            </w:pPr>
            <w:bookmarkStart w:id="1463" w:name="_Toc67329167"/>
            <w:r w:rsidRPr="001E3356">
              <w:rPr>
                <w:rFonts w:cs="Arial"/>
                <w:color w:val="000000" w:themeColor="text1"/>
                <w:sz w:val="18"/>
                <w:szCs w:val="18"/>
                <w:lang w:val="hr-HR"/>
              </w:rPr>
              <w:t>Republika Hrvatska</w:t>
            </w:r>
            <w:bookmarkEnd w:id="1463"/>
          </w:p>
        </w:tc>
        <w:tc>
          <w:tcPr>
            <w:tcW w:w="927" w:type="pct"/>
            <w:vAlign w:val="bottom"/>
          </w:tcPr>
          <w:p w14:paraId="3CC7DCF1" w14:textId="77777777" w:rsidR="004E2F51" w:rsidRPr="001E3356" w:rsidRDefault="004E2F51" w:rsidP="00E032FC">
            <w:pPr>
              <w:pStyle w:val="TT"/>
              <w:jc w:val="right"/>
              <w:rPr>
                <w:rFonts w:cs="Arial"/>
                <w:color w:val="000000" w:themeColor="text1"/>
                <w:sz w:val="18"/>
                <w:szCs w:val="18"/>
                <w:lang w:val="hr-HR"/>
              </w:rPr>
            </w:pPr>
            <w:r w:rsidRPr="00FF1C89">
              <w:rPr>
                <w:rFonts w:cs="Arial"/>
                <w:color w:val="000000" w:themeColor="text1"/>
                <w:sz w:val="18"/>
                <w:szCs w:val="18"/>
                <w:lang w:val="hr-HR"/>
              </w:rPr>
              <w:t>8.338.812</w:t>
            </w:r>
          </w:p>
        </w:tc>
        <w:tc>
          <w:tcPr>
            <w:tcW w:w="929" w:type="pct"/>
            <w:vAlign w:val="bottom"/>
          </w:tcPr>
          <w:p w14:paraId="5A73D7C6" w14:textId="77777777" w:rsidR="004E2F51" w:rsidRPr="001E3356" w:rsidRDefault="004E2F51" w:rsidP="00E032FC">
            <w:pPr>
              <w:pStyle w:val="TT"/>
              <w:jc w:val="right"/>
              <w:rPr>
                <w:rFonts w:cs="Arial"/>
                <w:bCs/>
                <w:color w:val="000000" w:themeColor="text1"/>
                <w:sz w:val="18"/>
                <w:szCs w:val="18"/>
                <w:lang w:val="hr-HR"/>
              </w:rPr>
            </w:pPr>
            <w:r w:rsidRPr="001E3356">
              <w:rPr>
                <w:rFonts w:cs="Arial"/>
                <w:color w:val="000000" w:themeColor="text1"/>
                <w:sz w:val="18"/>
                <w:szCs w:val="18"/>
                <w:lang w:val="hr-HR"/>
              </w:rPr>
              <w:t>5.243.064</w:t>
            </w:r>
          </w:p>
        </w:tc>
        <w:tc>
          <w:tcPr>
            <w:tcW w:w="927" w:type="pct"/>
            <w:vAlign w:val="bottom"/>
          </w:tcPr>
          <w:p w14:paraId="2929B90C" w14:textId="77777777" w:rsidR="004E2F51" w:rsidRPr="001E3356" w:rsidRDefault="004E2F51" w:rsidP="00E032FC">
            <w:pPr>
              <w:pStyle w:val="TT"/>
              <w:jc w:val="right"/>
              <w:rPr>
                <w:rFonts w:cs="Arial"/>
                <w:bCs/>
                <w:color w:val="000000" w:themeColor="text1"/>
                <w:sz w:val="18"/>
                <w:szCs w:val="18"/>
                <w:lang w:val="hr-HR"/>
              </w:rPr>
            </w:pPr>
            <w:r w:rsidRPr="00A64C49">
              <w:rPr>
                <w:rFonts w:cs="Arial"/>
                <w:bCs/>
                <w:color w:val="000000" w:themeColor="text1"/>
                <w:sz w:val="18"/>
                <w:szCs w:val="18"/>
                <w:lang w:val="hr-HR"/>
              </w:rPr>
              <w:t>8.337.030</w:t>
            </w:r>
          </w:p>
        </w:tc>
        <w:tc>
          <w:tcPr>
            <w:tcW w:w="928" w:type="pct"/>
            <w:vAlign w:val="bottom"/>
          </w:tcPr>
          <w:p w14:paraId="40ACCD56" w14:textId="77777777" w:rsidR="004E2F51" w:rsidRPr="001E3356" w:rsidRDefault="004E2F51" w:rsidP="00E032FC">
            <w:pPr>
              <w:pStyle w:val="TT"/>
              <w:jc w:val="right"/>
              <w:rPr>
                <w:rFonts w:cs="Arial"/>
                <w:bCs/>
                <w:color w:val="000000" w:themeColor="text1"/>
                <w:sz w:val="18"/>
                <w:szCs w:val="18"/>
                <w:lang w:val="hr-HR"/>
              </w:rPr>
            </w:pPr>
            <w:r w:rsidRPr="001E3356">
              <w:rPr>
                <w:rFonts w:cs="Arial"/>
                <w:bCs/>
                <w:color w:val="000000" w:themeColor="text1"/>
                <w:sz w:val="18"/>
                <w:szCs w:val="18"/>
                <w:lang w:val="hr-HR"/>
              </w:rPr>
              <w:t>5.242.142</w:t>
            </w:r>
          </w:p>
        </w:tc>
      </w:tr>
      <w:tr w:rsidR="004E2F51" w:rsidRPr="001E3356" w14:paraId="05F1CEB1" w14:textId="77777777" w:rsidTr="00E032FC">
        <w:trPr>
          <w:trHeight w:val="293"/>
        </w:trPr>
        <w:tc>
          <w:tcPr>
            <w:tcW w:w="1289" w:type="pct"/>
            <w:vAlign w:val="bottom"/>
          </w:tcPr>
          <w:p w14:paraId="148BC926" w14:textId="77777777" w:rsidR="004E2F51" w:rsidRPr="001E3356" w:rsidRDefault="004E2F51" w:rsidP="00E032FC">
            <w:pPr>
              <w:pStyle w:val="TT"/>
              <w:rPr>
                <w:rFonts w:cs="Arial"/>
                <w:color w:val="000000" w:themeColor="text1"/>
                <w:sz w:val="18"/>
                <w:szCs w:val="18"/>
                <w:lang w:val="hr-HR"/>
              </w:rPr>
            </w:pPr>
            <w:bookmarkStart w:id="1464" w:name="_Toc67329172"/>
            <w:r w:rsidRPr="001E3356">
              <w:rPr>
                <w:rFonts w:cs="Arial"/>
                <w:color w:val="000000" w:themeColor="text1"/>
                <w:sz w:val="18"/>
                <w:szCs w:val="18"/>
                <w:lang w:val="hr-HR"/>
              </w:rPr>
              <w:t>Državne agencije</w:t>
            </w:r>
            <w:bookmarkEnd w:id="1464"/>
          </w:p>
        </w:tc>
        <w:tc>
          <w:tcPr>
            <w:tcW w:w="927" w:type="pct"/>
            <w:tcBorders>
              <w:bottom w:val="single" w:sz="8" w:space="0" w:color="auto"/>
            </w:tcBorders>
            <w:vAlign w:val="bottom"/>
          </w:tcPr>
          <w:p w14:paraId="51B06615" w14:textId="77777777" w:rsidR="004E2F51" w:rsidRPr="001E3356" w:rsidRDefault="004E2F51" w:rsidP="00E032FC">
            <w:pPr>
              <w:pStyle w:val="TT"/>
              <w:jc w:val="right"/>
              <w:rPr>
                <w:rFonts w:cs="Arial"/>
                <w:color w:val="000000" w:themeColor="text1"/>
                <w:sz w:val="18"/>
                <w:szCs w:val="18"/>
                <w:lang w:val="hr-HR"/>
              </w:rPr>
            </w:pPr>
            <w:r w:rsidRPr="00FF1C89">
              <w:rPr>
                <w:rFonts w:cs="Arial"/>
                <w:color w:val="000000" w:themeColor="text1"/>
                <w:sz w:val="18"/>
                <w:szCs w:val="18"/>
                <w:lang w:val="hr-HR"/>
              </w:rPr>
              <w:t>466.131</w:t>
            </w:r>
          </w:p>
        </w:tc>
        <w:tc>
          <w:tcPr>
            <w:tcW w:w="929" w:type="pct"/>
            <w:tcBorders>
              <w:bottom w:val="single" w:sz="8" w:space="0" w:color="auto"/>
            </w:tcBorders>
            <w:vAlign w:val="bottom"/>
          </w:tcPr>
          <w:p w14:paraId="77492511" w14:textId="77777777" w:rsidR="004E2F51" w:rsidRPr="001E3356" w:rsidRDefault="004E2F51" w:rsidP="00E032FC">
            <w:pPr>
              <w:pStyle w:val="TT"/>
              <w:jc w:val="right"/>
              <w:rPr>
                <w:rFonts w:cs="Arial"/>
                <w:bCs/>
                <w:color w:val="000000" w:themeColor="text1"/>
                <w:sz w:val="18"/>
                <w:szCs w:val="18"/>
                <w:lang w:val="hr-HR"/>
              </w:rPr>
            </w:pPr>
            <w:r w:rsidRPr="001E3356">
              <w:rPr>
                <w:rFonts w:cs="Arial"/>
                <w:color w:val="000000" w:themeColor="text1"/>
                <w:sz w:val="18"/>
                <w:szCs w:val="18"/>
                <w:lang w:val="hr-HR"/>
              </w:rPr>
              <w:t>590.684</w:t>
            </w:r>
          </w:p>
        </w:tc>
        <w:tc>
          <w:tcPr>
            <w:tcW w:w="927" w:type="pct"/>
            <w:tcBorders>
              <w:bottom w:val="single" w:sz="8" w:space="0" w:color="auto"/>
            </w:tcBorders>
            <w:vAlign w:val="bottom"/>
          </w:tcPr>
          <w:p w14:paraId="4C1FFD87" w14:textId="77777777" w:rsidR="004E2F51" w:rsidRPr="001E3356" w:rsidRDefault="004E2F51" w:rsidP="00E032FC">
            <w:pPr>
              <w:pStyle w:val="TT"/>
              <w:jc w:val="right"/>
              <w:rPr>
                <w:rFonts w:cs="Arial"/>
                <w:bCs/>
                <w:color w:val="000000" w:themeColor="text1"/>
                <w:sz w:val="18"/>
                <w:szCs w:val="18"/>
                <w:lang w:val="hr-HR"/>
              </w:rPr>
            </w:pPr>
            <w:r w:rsidRPr="00A64C49">
              <w:rPr>
                <w:rFonts w:cs="Arial"/>
                <w:bCs/>
                <w:color w:val="000000" w:themeColor="text1"/>
                <w:sz w:val="18"/>
                <w:szCs w:val="18"/>
                <w:lang w:val="hr-HR"/>
              </w:rPr>
              <w:t>466.131</w:t>
            </w:r>
          </w:p>
        </w:tc>
        <w:tc>
          <w:tcPr>
            <w:tcW w:w="928" w:type="pct"/>
            <w:tcBorders>
              <w:bottom w:val="single" w:sz="8" w:space="0" w:color="auto"/>
            </w:tcBorders>
            <w:vAlign w:val="bottom"/>
          </w:tcPr>
          <w:p w14:paraId="024E03BB" w14:textId="77777777" w:rsidR="004E2F51" w:rsidRPr="001E3356" w:rsidRDefault="004E2F51" w:rsidP="00E032FC">
            <w:pPr>
              <w:pStyle w:val="TT"/>
              <w:jc w:val="right"/>
              <w:rPr>
                <w:rFonts w:cs="Arial"/>
                <w:bCs/>
                <w:color w:val="000000" w:themeColor="text1"/>
                <w:sz w:val="18"/>
                <w:szCs w:val="18"/>
                <w:lang w:val="hr-HR"/>
              </w:rPr>
            </w:pPr>
            <w:r w:rsidRPr="001E3356">
              <w:rPr>
                <w:rFonts w:cs="Arial"/>
                <w:bCs/>
                <w:color w:val="000000" w:themeColor="text1"/>
                <w:sz w:val="18"/>
                <w:szCs w:val="18"/>
                <w:lang w:val="hr-HR"/>
              </w:rPr>
              <w:t>590.684</w:t>
            </w:r>
          </w:p>
        </w:tc>
      </w:tr>
      <w:tr w:rsidR="004E2F51" w:rsidRPr="001E3356" w14:paraId="7FEBB48B" w14:textId="77777777" w:rsidTr="00E032FC">
        <w:trPr>
          <w:trHeight w:val="305"/>
        </w:trPr>
        <w:tc>
          <w:tcPr>
            <w:tcW w:w="1289" w:type="pct"/>
            <w:vAlign w:val="bottom"/>
          </w:tcPr>
          <w:p w14:paraId="289300CC" w14:textId="77777777" w:rsidR="004E2F51" w:rsidRPr="001E3356" w:rsidRDefault="004E2F51" w:rsidP="00E032FC">
            <w:pPr>
              <w:pStyle w:val="TT"/>
              <w:rPr>
                <w:rFonts w:cs="Arial"/>
                <w:b/>
                <w:color w:val="000000" w:themeColor="text1"/>
                <w:sz w:val="18"/>
                <w:szCs w:val="18"/>
                <w:lang w:val="hr-HR"/>
              </w:rPr>
            </w:pPr>
            <w:bookmarkStart w:id="1465" w:name="_Toc67329177"/>
            <w:r w:rsidRPr="001E3356">
              <w:rPr>
                <w:rFonts w:cs="Arial"/>
                <w:b/>
                <w:color w:val="000000" w:themeColor="text1"/>
                <w:sz w:val="18"/>
                <w:szCs w:val="18"/>
                <w:lang w:val="hr-HR"/>
              </w:rPr>
              <w:t>Ukupno</w:t>
            </w:r>
            <w:bookmarkEnd w:id="1465"/>
          </w:p>
        </w:tc>
        <w:tc>
          <w:tcPr>
            <w:tcW w:w="927" w:type="pct"/>
            <w:tcBorders>
              <w:top w:val="single" w:sz="8" w:space="0" w:color="auto"/>
              <w:bottom w:val="single" w:sz="12" w:space="0" w:color="auto"/>
            </w:tcBorders>
            <w:vAlign w:val="bottom"/>
          </w:tcPr>
          <w:p w14:paraId="2A9247D3" w14:textId="77777777" w:rsidR="004E2F51" w:rsidRPr="001E3356" w:rsidRDefault="004E2F51" w:rsidP="00E032FC">
            <w:pPr>
              <w:pStyle w:val="TT"/>
              <w:jc w:val="right"/>
              <w:rPr>
                <w:rFonts w:cs="Arial"/>
                <w:b/>
                <w:bCs/>
                <w:color w:val="000000" w:themeColor="text1"/>
                <w:sz w:val="18"/>
                <w:szCs w:val="18"/>
                <w:lang w:val="hr-HR"/>
              </w:rPr>
            </w:pPr>
            <w:r w:rsidRPr="00FF1C89">
              <w:rPr>
                <w:rFonts w:cs="Arial"/>
                <w:b/>
                <w:bCs/>
                <w:color w:val="000000" w:themeColor="text1"/>
                <w:sz w:val="18"/>
                <w:szCs w:val="18"/>
                <w:lang w:val="hr-HR"/>
              </w:rPr>
              <w:t>8.804.943</w:t>
            </w:r>
          </w:p>
        </w:tc>
        <w:tc>
          <w:tcPr>
            <w:tcW w:w="929" w:type="pct"/>
            <w:tcBorders>
              <w:top w:val="single" w:sz="8" w:space="0" w:color="auto"/>
              <w:bottom w:val="single" w:sz="12" w:space="0" w:color="auto"/>
            </w:tcBorders>
            <w:vAlign w:val="bottom"/>
          </w:tcPr>
          <w:p w14:paraId="48DA3D4F" w14:textId="77777777" w:rsidR="004E2F51" w:rsidRPr="001E3356" w:rsidRDefault="004E2F51" w:rsidP="00E032FC">
            <w:pPr>
              <w:pStyle w:val="TT"/>
              <w:jc w:val="right"/>
              <w:rPr>
                <w:rFonts w:cs="Arial"/>
                <w:b/>
                <w:bCs/>
                <w:color w:val="000000" w:themeColor="text1"/>
                <w:sz w:val="18"/>
                <w:szCs w:val="18"/>
                <w:lang w:val="hr-HR"/>
              </w:rPr>
            </w:pPr>
            <w:r w:rsidRPr="001E3356">
              <w:rPr>
                <w:rFonts w:cs="Arial"/>
                <w:b/>
                <w:bCs/>
                <w:color w:val="000000" w:themeColor="text1"/>
                <w:sz w:val="18"/>
                <w:szCs w:val="18"/>
                <w:lang w:val="hr-HR"/>
              </w:rPr>
              <w:t>5.833.748</w:t>
            </w:r>
          </w:p>
        </w:tc>
        <w:tc>
          <w:tcPr>
            <w:tcW w:w="927" w:type="pct"/>
            <w:tcBorders>
              <w:top w:val="single" w:sz="8" w:space="0" w:color="auto"/>
              <w:bottom w:val="single" w:sz="12" w:space="0" w:color="auto"/>
            </w:tcBorders>
            <w:vAlign w:val="bottom"/>
          </w:tcPr>
          <w:p w14:paraId="776EE51D" w14:textId="77777777" w:rsidR="004E2F51" w:rsidRPr="001E3356" w:rsidRDefault="004E2F51" w:rsidP="00E032FC">
            <w:pPr>
              <w:pStyle w:val="TT"/>
              <w:jc w:val="right"/>
              <w:rPr>
                <w:rFonts w:cs="Arial"/>
                <w:b/>
                <w:bCs/>
                <w:color w:val="000000" w:themeColor="text1"/>
                <w:sz w:val="18"/>
                <w:szCs w:val="18"/>
                <w:lang w:val="hr-HR"/>
              </w:rPr>
            </w:pPr>
            <w:r w:rsidRPr="00A64C49">
              <w:rPr>
                <w:rFonts w:cs="Arial"/>
                <w:b/>
                <w:bCs/>
                <w:color w:val="000000" w:themeColor="text1"/>
                <w:sz w:val="18"/>
                <w:szCs w:val="18"/>
                <w:lang w:val="hr-HR"/>
              </w:rPr>
              <w:t>8.803.161</w:t>
            </w:r>
          </w:p>
        </w:tc>
        <w:tc>
          <w:tcPr>
            <w:tcW w:w="928" w:type="pct"/>
            <w:tcBorders>
              <w:top w:val="single" w:sz="8" w:space="0" w:color="auto"/>
              <w:bottom w:val="single" w:sz="12" w:space="0" w:color="auto"/>
            </w:tcBorders>
            <w:vAlign w:val="bottom"/>
          </w:tcPr>
          <w:p w14:paraId="745870C9" w14:textId="77777777" w:rsidR="004E2F51" w:rsidRPr="001E3356" w:rsidRDefault="004E2F51" w:rsidP="00E032FC">
            <w:pPr>
              <w:pStyle w:val="TT"/>
              <w:jc w:val="right"/>
              <w:rPr>
                <w:rFonts w:cs="Arial"/>
                <w:b/>
                <w:bCs/>
                <w:color w:val="000000" w:themeColor="text1"/>
                <w:sz w:val="18"/>
                <w:szCs w:val="18"/>
                <w:lang w:val="hr-HR"/>
              </w:rPr>
            </w:pPr>
            <w:r w:rsidRPr="001E3356">
              <w:rPr>
                <w:rFonts w:cs="Arial"/>
                <w:b/>
                <w:bCs/>
                <w:color w:val="000000" w:themeColor="text1"/>
                <w:sz w:val="18"/>
                <w:szCs w:val="18"/>
                <w:lang w:val="hr-HR"/>
              </w:rPr>
              <w:t>5.832.826</w:t>
            </w:r>
          </w:p>
        </w:tc>
      </w:tr>
    </w:tbl>
    <w:p w14:paraId="107A3D7F" w14:textId="77777777" w:rsidR="004E2F51" w:rsidRPr="001E3356" w:rsidRDefault="004E2F51" w:rsidP="004E2F51">
      <w:pPr>
        <w:pStyle w:val="T1"/>
        <w:keepNext w:val="0"/>
        <w:spacing w:before="0" w:after="0" w:line="240" w:lineRule="auto"/>
        <w:rPr>
          <w:rFonts w:cs="Arial"/>
          <w:bCs w:val="0"/>
          <w:color w:val="000000" w:themeColor="text1"/>
          <w:sz w:val="20"/>
          <w:lang w:val="hr-HR"/>
        </w:rPr>
      </w:pPr>
    </w:p>
    <w:p w14:paraId="3C95F47F" w14:textId="77777777" w:rsidR="004E2F51" w:rsidRPr="001E3356" w:rsidRDefault="004E2F51" w:rsidP="004E2F51">
      <w:pPr>
        <w:pStyle w:val="T1"/>
        <w:spacing w:before="0" w:after="0" w:line="240" w:lineRule="auto"/>
        <w:rPr>
          <w:rFonts w:cs="Arial"/>
          <w:b w:val="0"/>
          <w:color w:val="000000" w:themeColor="text1"/>
          <w:sz w:val="20"/>
          <w:lang w:val="hr-HR"/>
        </w:rPr>
      </w:pPr>
      <w:r w:rsidRPr="001E3356">
        <w:rPr>
          <w:rFonts w:cs="Arial"/>
          <w:b w:val="0"/>
          <w:color w:val="000000" w:themeColor="text1"/>
          <w:sz w:val="20"/>
          <w:lang w:val="hr-HR"/>
        </w:rPr>
        <w:t xml:space="preserve">Primljeni instrumenti osiguranja odnose se na prvorazredne instrumente osiguranja zaprimljene u svrhu osiguranja plasmana Banke, a čine ih: jamstvo Republike Hrvatske, jamstvo HAMAG-BICRO-a, polica osiguranja od političkih i/ili komercijalnih rizika te zakonska jamstva u slučaju kada za obveze klijenta zakonskim aktima jamči Republika Hrvatska ili druga državna tijela. </w:t>
      </w:r>
    </w:p>
    <w:p w14:paraId="5FD1914A" w14:textId="77777777" w:rsidR="004E2F51" w:rsidRPr="001E3356" w:rsidRDefault="004E2F51" w:rsidP="004E2F51">
      <w:pPr>
        <w:pStyle w:val="T1"/>
        <w:spacing w:before="0" w:after="0" w:line="240" w:lineRule="auto"/>
        <w:rPr>
          <w:rFonts w:cs="Arial"/>
          <w:b w:val="0"/>
          <w:color w:val="000000" w:themeColor="text1"/>
          <w:sz w:val="20"/>
          <w:lang w:val="hr-HR"/>
        </w:rPr>
      </w:pPr>
    </w:p>
    <w:p w14:paraId="05BFA5F8" w14:textId="77777777" w:rsidR="004E2F51" w:rsidRPr="001E3356" w:rsidRDefault="004E2F51" w:rsidP="004E2F51">
      <w:pPr>
        <w:pStyle w:val="T1"/>
        <w:spacing w:before="0" w:after="0" w:line="240" w:lineRule="auto"/>
        <w:rPr>
          <w:rStyle w:val="CommentReference"/>
          <w:rFonts w:cs="Arial"/>
          <w:b w:val="0"/>
          <w:bCs w:val="0"/>
          <w:color w:val="000000" w:themeColor="text1"/>
          <w:sz w:val="20"/>
          <w:lang w:val="hr-HR"/>
        </w:rPr>
      </w:pPr>
      <w:r w:rsidRPr="001E3356">
        <w:rPr>
          <w:rFonts w:cs="Arial"/>
          <w:b w:val="0"/>
          <w:color w:val="000000" w:themeColor="text1"/>
          <w:sz w:val="20"/>
          <w:lang w:val="hr-HR"/>
        </w:rPr>
        <w:t>Temeljem Ugovora o kvotnom reosiguranju između HBOR-a, u ime i za račun Republike Hrvatske, i HKO d.d. provodi se reosiguranje, odnosno, pokriva razmjerni dio (kvotno reosiguranje) političkih i komercijalnih rizika kod izvoznih kredita i potraživanja nastalih prilikom izvoza roba i usluga. Reosiguratelj pokriva sve neutržive (netržišne) rizike koje je preuzeo Osiguratelj odnosno Hrvatsko kreditno osiguranje, dioničko društvo za osiguranje u rasponu od 15% do 90% osigurane svote.</w:t>
      </w:r>
      <w:r w:rsidRPr="001E3356" w:rsidDel="00F947BE">
        <w:rPr>
          <w:rStyle w:val="CommentReference"/>
          <w:rFonts w:cs="Arial"/>
          <w:b w:val="0"/>
          <w:bCs w:val="0"/>
          <w:color w:val="000000" w:themeColor="text1"/>
          <w:sz w:val="20"/>
          <w:lang w:val="hr-HR"/>
        </w:rPr>
        <w:t xml:space="preserve"> </w:t>
      </w:r>
    </w:p>
    <w:p w14:paraId="244EC5A8" w14:textId="77777777" w:rsidR="004E2F51" w:rsidRPr="001E3356" w:rsidRDefault="004E2F51" w:rsidP="004E2F51">
      <w:pPr>
        <w:pStyle w:val="T1"/>
        <w:spacing w:before="0" w:after="0" w:line="240" w:lineRule="auto"/>
        <w:rPr>
          <w:rStyle w:val="CommentReference"/>
          <w:rFonts w:cs="Arial"/>
          <w:b w:val="0"/>
          <w:bCs w:val="0"/>
          <w:color w:val="000000" w:themeColor="text1"/>
          <w:sz w:val="20"/>
          <w:lang w:val="hr-HR"/>
        </w:rPr>
      </w:pPr>
    </w:p>
    <w:p w14:paraId="7D017819" w14:textId="77777777" w:rsidR="004E2F51" w:rsidRPr="001E3356" w:rsidRDefault="004E2F51" w:rsidP="004E2F51">
      <w:pPr>
        <w:tabs>
          <w:tab w:val="left" w:pos="426"/>
        </w:tabs>
        <w:rPr>
          <w:rFonts w:ascii="Arial" w:hAnsi="Arial" w:cs="Arial"/>
          <w:color w:val="000000" w:themeColor="text1"/>
          <w:sz w:val="20"/>
          <w:szCs w:val="20"/>
          <w:lang w:val="hr-HR"/>
        </w:rPr>
      </w:pPr>
      <w:r w:rsidRPr="001E3356">
        <w:rPr>
          <w:rFonts w:ascii="Arial" w:hAnsi="Arial" w:cs="Arial"/>
          <w:color w:val="000000" w:themeColor="text1"/>
          <w:sz w:val="20"/>
          <w:szCs w:val="20"/>
          <w:lang w:val="hr-HR"/>
        </w:rPr>
        <w:t>c)</w:t>
      </w:r>
      <w:r w:rsidRPr="001E3356">
        <w:rPr>
          <w:rFonts w:ascii="Arial" w:hAnsi="Arial" w:cs="Arial"/>
          <w:color w:val="000000" w:themeColor="text1"/>
          <w:sz w:val="20"/>
          <w:szCs w:val="20"/>
          <w:lang w:val="hr-HR"/>
        </w:rPr>
        <w:tab/>
        <w:t xml:space="preserve">Plaće ključnih članova rukovodstva </w:t>
      </w:r>
    </w:p>
    <w:p w14:paraId="3C694E85" w14:textId="77777777" w:rsidR="004E2F51" w:rsidRPr="001E3356" w:rsidRDefault="004E2F51" w:rsidP="004E2F51">
      <w:pPr>
        <w:tabs>
          <w:tab w:val="left" w:pos="426"/>
        </w:tabs>
        <w:rPr>
          <w:rFonts w:ascii="Arial" w:hAnsi="Arial" w:cs="Arial"/>
          <w:color w:val="000000" w:themeColor="text1"/>
          <w:sz w:val="20"/>
          <w:szCs w:val="20"/>
          <w:lang w:val="hr-HR"/>
        </w:rPr>
      </w:pPr>
      <w:r w:rsidRPr="001E3356">
        <w:rPr>
          <w:rFonts w:ascii="Arial" w:hAnsi="Arial" w:cs="Arial"/>
          <w:color w:val="000000" w:themeColor="text1"/>
          <w:sz w:val="20"/>
          <w:szCs w:val="20"/>
          <w:lang w:val="hr-HR"/>
        </w:rPr>
        <w:t xml:space="preserve"> </w:t>
      </w:r>
    </w:p>
    <w:p w14:paraId="2EF60C79" w14:textId="77777777" w:rsidR="004E2F51" w:rsidRPr="001E3356" w:rsidRDefault="004E2F51" w:rsidP="004E2F51">
      <w:pPr>
        <w:pStyle w:val="T1"/>
        <w:keepNext w:val="0"/>
        <w:spacing w:before="0" w:after="0" w:line="240" w:lineRule="auto"/>
        <w:rPr>
          <w:rFonts w:cs="Arial"/>
          <w:b w:val="0"/>
          <w:color w:val="000000" w:themeColor="text1"/>
          <w:sz w:val="20"/>
          <w:lang w:val="hr-HR"/>
        </w:rPr>
      </w:pPr>
      <w:r w:rsidRPr="001E3356">
        <w:rPr>
          <w:rFonts w:cs="Arial"/>
          <w:b w:val="0"/>
          <w:color w:val="000000" w:themeColor="text1"/>
          <w:sz w:val="20"/>
          <w:lang w:val="hr-HR"/>
        </w:rPr>
        <w:t xml:space="preserve">Ključni članovi rukovodstva Grupe i Banke uključuju članove Uprave, izvršne direktore, predstojnika Ureda Uprave, direktore, pomoćnika direktora, savjetnike Uprave te prokurista. </w:t>
      </w:r>
    </w:p>
    <w:p w14:paraId="304954BA" w14:textId="77777777" w:rsidR="004E2F51" w:rsidRPr="001E3356" w:rsidRDefault="004E2F51" w:rsidP="004E2F51">
      <w:pPr>
        <w:pStyle w:val="T1"/>
        <w:keepNext w:val="0"/>
        <w:spacing w:before="0" w:after="0" w:line="240" w:lineRule="auto"/>
        <w:rPr>
          <w:rFonts w:cs="Arial"/>
          <w:b w:val="0"/>
          <w:color w:val="000000" w:themeColor="text1"/>
          <w:sz w:val="20"/>
          <w:lang w:val="hr-HR"/>
        </w:rPr>
      </w:pPr>
      <w:r w:rsidRPr="001E3356">
        <w:rPr>
          <w:rFonts w:cs="Arial"/>
          <w:b w:val="0"/>
          <w:color w:val="000000" w:themeColor="text1"/>
          <w:sz w:val="20"/>
          <w:lang w:val="hr-HR"/>
        </w:rPr>
        <w:t>Plaće uključuju redovan rad, godišnji odmor, državni praznik, plaćeni dopust, naknadu plaće za vrijeme bolovanja, minuli rad te isplate prema ugovorima. Iznos plaće za Grupu u 202</w:t>
      </w:r>
      <w:r>
        <w:rPr>
          <w:rFonts w:cs="Arial"/>
          <w:b w:val="0"/>
          <w:color w:val="000000" w:themeColor="text1"/>
          <w:sz w:val="20"/>
          <w:lang w:val="hr-HR"/>
        </w:rPr>
        <w:t>2</w:t>
      </w:r>
      <w:r w:rsidRPr="001E3356">
        <w:rPr>
          <w:rFonts w:cs="Arial"/>
          <w:b w:val="0"/>
          <w:color w:val="000000" w:themeColor="text1"/>
          <w:sz w:val="20"/>
          <w:lang w:val="hr-HR"/>
        </w:rPr>
        <w:t xml:space="preserve">. godini iznosi </w:t>
      </w:r>
      <w:r>
        <w:rPr>
          <w:rFonts w:cs="Arial"/>
          <w:b w:val="0"/>
          <w:color w:val="000000" w:themeColor="text1"/>
          <w:sz w:val="20"/>
          <w:lang w:val="hr-HR"/>
        </w:rPr>
        <w:t>9.519</w:t>
      </w:r>
      <w:r w:rsidRPr="001E3356">
        <w:rPr>
          <w:rFonts w:cs="Arial"/>
          <w:b w:val="0"/>
          <w:color w:val="000000" w:themeColor="text1"/>
          <w:sz w:val="20"/>
          <w:lang w:val="hr-HR"/>
        </w:rPr>
        <w:t xml:space="preserve"> tisuća kuna (31. prosinca 202</w:t>
      </w:r>
      <w:r>
        <w:rPr>
          <w:rFonts w:cs="Arial"/>
          <w:b w:val="0"/>
          <w:color w:val="000000" w:themeColor="text1"/>
          <w:sz w:val="20"/>
          <w:lang w:val="hr-HR"/>
        </w:rPr>
        <w:t>1</w:t>
      </w:r>
      <w:r w:rsidRPr="001E3356">
        <w:rPr>
          <w:rFonts w:cs="Arial"/>
          <w:b w:val="0"/>
          <w:color w:val="000000" w:themeColor="text1"/>
          <w:sz w:val="20"/>
          <w:lang w:val="hr-HR"/>
        </w:rPr>
        <w:t xml:space="preserve">.: </w:t>
      </w:r>
      <w:r w:rsidRPr="006A0B91">
        <w:rPr>
          <w:rFonts w:cs="Arial"/>
          <w:b w:val="0"/>
          <w:color w:val="000000" w:themeColor="text1"/>
          <w:sz w:val="20"/>
          <w:lang w:val="hr-HR"/>
        </w:rPr>
        <w:t xml:space="preserve">8.891 </w:t>
      </w:r>
      <w:r w:rsidRPr="001E3356">
        <w:rPr>
          <w:rFonts w:cs="Arial"/>
          <w:b w:val="0"/>
          <w:color w:val="000000" w:themeColor="text1"/>
          <w:sz w:val="20"/>
          <w:lang w:val="hr-HR"/>
        </w:rPr>
        <w:t xml:space="preserve">tisuća kuna), a za Banku iznosi </w:t>
      </w:r>
      <w:r w:rsidRPr="00A64C49">
        <w:rPr>
          <w:rFonts w:cs="Arial"/>
          <w:b w:val="0"/>
          <w:color w:val="000000" w:themeColor="text1"/>
          <w:sz w:val="20"/>
          <w:lang w:val="hr-HR"/>
        </w:rPr>
        <w:t>7.948</w:t>
      </w:r>
      <w:r>
        <w:rPr>
          <w:rFonts w:cs="Arial"/>
          <w:b w:val="0"/>
          <w:color w:val="000000" w:themeColor="text1"/>
          <w:sz w:val="20"/>
          <w:lang w:val="hr-HR"/>
        </w:rPr>
        <w:t xml:space="preserve"> </w:t>
      </w:r>
      <w:r w:rsidRPr="001E3356">
        <w:rPr>
          <w:rFonts w:cs="Arial"/>
          <w:b w:val="0"/>
          <w:color w:val="000000" w:themeColor="text1"/>
          <w:sz w:val="20"/>
          <w:lang w:val="hr-HR"/>
        </w:rPr>
        <w:t>tisuća kuna (31. prosinca 202</w:t>
      </w:r>
      <w:r>
        <w:rPr>
          <w:rFonts w:cs="Arial"/>
          <w:b w:val="0"/>
          <w:color w:val="000000" w:themeColor="text1"/>
          <w:sz w:val="20"/>
          <w:lang w:val="hr-HR"/>
        </w:rPr>
        <w:t>1</w:t>
      </w:r>
      <w:r w:rsidRPr="001E3356">
        <w:rPr>
          <w:rFonts w:cs="Arial"/>
          <w:b w:val="0"/>
          <w:color w:val="000000" w:themeColor="text1"/>
          <w:sz w:val="20"/>
          <w:lang w:val="hr-HR"/>
        </w:rPr>
        <w:t xml:space="preserve">.: </w:t>
      </w:r>
      <w:r w:rsidRPr="006A0B91">
        <w:rPr>
          <w:rFonts w:cs="Arial"/>
          <w:b w:val="0"/>
          <w:color w:val="000000" w:themeColor="text1"/>
          <w:sz w:val="20"/>
          <w:lang w:val="hr-HR"/>
        </w:rPr>
        <w:t xml:space="preserve">7.337 </w:t>
      </w:r>
      <w:r w:rsidRPr="001E3356">
        <w:rPr>
          <w:rFonts w:cs="Arial"/>
          <w:b w:val="0"/>
          <w:color w:val="000000" w:themeColor="text1"/>
          <w:sz w:val="20"/>
          <w:lang w:val="hr-HR"/>
        </w:rPr>
        <w:t>tisuća kuna).</w:t>
      </w:r>
    </w:p>
    <w:p w14:paraId="08442416" w14:textId="77777777" w:rsidR="004E2F51" w:rsidRPr="001E3356" w:rsidRDefault="004E2F51" w:rsidP="004E2F51">
      <w:pPr>
        <w:pStyle w:val="T1"/>
        <w:keepNext w:val="0"/>
        <w:spacing w:before="0" w:after="0" w:line="240" w:lineRule="auto"/>
        <w:rPr>
          <w:rFonts w:cs="Arial"/>
          <w:b w:val="0"/>
          <w:color w:val="000000" w:themeColor="text1"/>
          <w:sz w:val="20"/>
          <w:lang w:val="hr-HR"/>
        </w:rPr>
      </w:pPr>
    </w:p>
    <w:p w14:paraId="39292287" w14:textId="77777777" w:rsidR="004E2F51" w:rsidRPr="001E3356" w:rsidRDefault="004E2F51" w:rsidP="004E2F51">
      <w:pPr>
        <w:pStyle w:val="T1"/>
        <w:keepNext w:val="0"/>
        <w:spacing w:before="0" w:after="0" w:line="240" w:lineRule="auto"/>
        <w:rPr>
          <w:rFonts w:cs="Arial"/>
          <w:b w:val="0"/>
          <w:color w:val="000000" w:themeColor="text1"/>
          <w:sz w:val="20"/>
          <w:lang w:val="hr-HR"/>
        </w:rPr>
      </w:pPr>
      <w:r w:rsidRPr="001E3356">
        <w:rPr>
          <w:rFonts w:cs="Arial"/>
          <w:b w:val="0"/>
          <w:color w:val="000000" w:themeColor="text1"/>
          <w:sz w:val="20"/>
          <w:lang w:val="hr-HR"/>
        </w:rPr>
        <w:t>Nagrade za rad članovima Nadzornog odbora iznosile su u 202</w:t>
      </w:r>
      <w:r>
        <w:rPr>
          <w:rFonts w:cs="Arial"/>
          <w:b w:val="0"/>
          <w:color w:val="000000" w:themeColor="text1"/>
          <w:sz w:val="20"/>
          <w:lang w:val="hr-HR"/>
        </w:rPr>
        <w:t>2</w:t>
      </w:r>
      <w:r w:rsidRPr="001E3356">
        <w:rPr>
          <w:rFonts w:cs="Arial"/>
          <w:b w:val="0"/>
          <w:color w:val="000000" w:themeColor="text1"/>
          <w:sz w:val="20"/>
          <w:lang w:val="hr-HR"/>
        </w:rPr>
        <w:t xml:space="preserve">. godini za Grupu </w:t>
      </w:r>
      <w:r>
        <w:rPr>
          <w:rFonts w:eastAsia="Calibri" w:cs="Arial"/>
          <w:b w:val="0"/>
          <w:bCs w:val="0"/>
          <w:color w:val="000000"/>
          <w:sz w:val="20"/>
          <w:lang w:val="hr-HR"/>
        </w:rPr>
        <w:t>103</w:t>
      </w:r>
      <w:r w:rsidRPr="001E3356">
        <w:rPr>
          <w:rFonts w:eastAsia="Calibri" w:cs="Arial"/>
          <w:b w:val="0"/>
          <w:bCs w:val="0"/>
          <w:color w:val="000000"/>
          <w:sz w:val="20"/>
          <w:lang w:val="hr-HR"/>
        </w:rPr>
        <w:t xml:space="preserve"> </w:t>
      </w:r>
      <w:r w:rsidRPr="001E3356">
        <w:rPr>
          <w:rFonts w:cs="Arial"/>
          <w:b w:val="0"/>
          <w:color w:val="000000" w:themeColor="text1"/>
          <w:sz w:val="20"/>
          <w:lang w:val="hr-HR"/>
        </w:rPr>
        <w:t>tisuća kuna (31. prosinca 202</w:t>
      </w:r>
      <w:r>
        <w:rPr>
          <w:rFonts w:cs="Arial"/>
          <w:b w:val="0"/>
          <w:color w:val="000000" w:themeColor="text1"/>
          <w:sz w:val="20"/>
          <w:lang w:val="hr-HR"/>
        </w:rPr>
        <w:t>1</w:t>
      </w:r>
      <w:r w:rsidRPr="001E3356">
        <w:rPr>
          <w:rFonts w:cs="Arial"/>
          <w:b w:val="0"/>
          <w:color w:val="000000" w:themeColor="text1"/>
          <w:sz w:val="20"/>
          <w:lang w:val="hr-HR"/>
        </w:rPr>
        <w:t xml:space="preserve">.: </w:t>
      </w:r>
      <w:r>
        <w:rPr>
          <w:rFonts w:cs="Arial"/>
          <w:b w:val="0"/>
          <w:color w:val="000000" w:themeColor="text1"/>
          <w:sz w:val="20"/>
          <w:lang w:val="hr-HR"/>
        </w:rPr>
        <w:t>85</w:t>
      </w:r>
      <w:r w:rsidRPr="001E3356">
        <w:rPr>
          <w:rFonts w:cs="Arial"/>
          <w:b w:val="0"/>
          <w:color w:val="000000" w:themeColor="text1"/>
          <w:sz w:val="20"/>
          <w:lang w:val="hr-HR"/>
        </w:rPr>
        <w:t xml:space="preserve"> tisuća kuna), a za Banku </w:t>
      </w:r>
      <w:r>
        <w:rPr>
          <w:rFonts w:cs="Arial"/>
          <w:b w:val="0"/>
          <w:color w:val="000000" w:themeColor="text1"/>
          <w:sz w:val="20"/>
          <w:lang w:val="hr-HR"/>
        </w:rPr>
        <w:t>0</w:t>
      </w:r>
      <w:r w:rsidRPr="001E3356">
        <w:rPr>
          <w:rFonts w:cs="Arial"/>
          <w:b w:val="0"/>
          <w:color w:val="000000" w:themeColor="text1"/>
          <w:sz w:val="20"/>
          <w:lang w:val="hr-HR"/>
        </w:rPr>
        <w:t xml:space="preserve"> tisuća kuna (31. prosinca 202</w:t>
      </w:r>
      <w:r>
        <w:rPr>
          <w:rFonts w:cs="Arial"/>
          <w:b w:val="0"/>
          <w:color w:val="000000" w:themeColor="text1"/>
          <w:sz w:val="20"/>
          <w:lang w:val="hr-HR"/>
        </w:rPr>
        <w:t>1</w:t>
      </w:r>
      <w:r w:rsidRPr="001E3356">
        <w:rPr>
          <w:rFonts w:cs="Arial"/>
          <w:b w:val="0"/>
          <w:color w:val="000000" w:themeColor="text1"/>
          <w:sz w:val="20"/>
          <w:lang w:val="hr-HR"/>
        </w:rPr>
        <w:t xml:space="preserve">.: </w:t>
      </w:r>
      <w:r>
        <w:rPr>
          <w:rFonts w:cs="Arial"/>
          <w:b w:val="0"/>
          <w:color w:val="000000" w:themeColor="text1"/>
          <w:sz w:val="20"/>
          <w:lang w:val="hr-HR"/>
        </w:rPr>
        <w:t>3</w:t>
      </w:r>
      <w:r w:rsidRPr="001E3356">
        <w:rPr>
          <w:rFonts w:cs="Arial"/>
          <w:b w:val="0"/>
          <w:color w:val="000000" w:themeColor="text1"/>
          <w:sz w:val="20"/>
          <w:lang w:val="hr-HR"/>
        </w:rPr>
        <w:t xml:space="preserve"> tisuća kuna) i odnose se na članove nadzornih odbora u pridruženim društvima i ovisnom društvu koje imenuje HBOR.</w:t>
      </w:r>
      <w:r w:rsidRPr="001E3356">
        <w:rPr>
          <w:rFonts w:cs="Arial"/>
          <w:color w:val="000000" w:themeColor="text1"/>
          <w:sz w:val="20"/>
          <w:lang w:val="hr-HR"/>
        </w:rPr>
        <w:t xml:space="preserve"> </w:t>
      </w:r>
    </w:p>
    <w:p w14:paraId="7A1E7A45" w14:textId="77777777" w:rsidR="004E2F51" w:rsidRPr="00B91D09" w:rsidRDefault="004E2F51" w:rsidP="004E2F51">
      <w:pPr>
        <w:pStyle w:val="T1"/>
        <w:spacing w:before="0" w:after="0" w:line="240" w:lineRule="auto"/>
        <w:rPr>
          <w:rFonts w:cs="Arial"/>
          <w:bCs w:val="0"/>
          <w:color w:val="000000" w:themeColor="text1"/>
          <w:sz w:val="22"/>
          <w:szCs w:val="22"/>
          <w:lang w:val="hr-HR"/>
        </w:rPr>
        <w:sectPr w:rsidR="004E2F51" w:rsidRPr="00B91D09" w:rsidSect="001E3356">
          <w:pgSz w:w="11907" w:h="16840" w:code="9"/>
          <w:pgMar w:top="1418" w:right="1134" w:bottom="1134" w:left="1418" w:header="851" w:footer="851" w:gutter="0"/>
          <w:cols w:space="720"/>
          <w:noEndnote/>
        </w:sectPr>
      </w:pPr>
    </w:p>
    <w:p w14:paraId="7E45921D" w14:textId="77777777" w:rsidR="004E2F51" w:rsidRPr="00D14589" w:rsidRDefault="004E2F51" w:rsidP="004E2F51">
      <w:pPr>
        <w:pStyle w:val="T1"/>
        <w:spacing w:before="0" w:after="0" w:line="240" w:lineRule="auto"/>
        <w:rPr>
          <w:rFonts w:cs="Arial"/>
          <w:color w:val="000000" w:themeColor="text1"/>
          <w:sz w:val="20"/>
          <w:lang w:val="hr-HR"/>
        </w:rPr>
      </w:pPr>
    </w:p>
    <w:p w14:paraId="4E0355D9" w14:textId="77777777" w:rsidR="004E2F51" w:rsidRPr="00D14589" w:rsidRDefault="004E2F51" w:rsidP="004E2F51">
      <w:pPr>
        <w:pStyle w:val="T1"/>
        <w:tabs>
          <w:tab w:val="left" w:pos="567"/>
        </w:tabs>
        <w:spacing w:before="0" w:after="0" w:line="240" w:lineRule="auto"/>
        <w:rPr>
          <w:rFonts w:cs="Arial"/>
          <w:color w:val="000000" w:themeColor="text1"/>
          <w:sz w:val="20"/>
          <w:lang w:val="hr-HR"/>
        </w:rPr>
      </w:pPr>
      <w:bookmarkStart w:id="1466" w:name="_Hlk126921128"/>
      <w:r w:rsidRPr="00D14589">
        <w:rPr>
          <w:rFonts w:cs="Arial"/>
          <w:color w:val="000000" w:themeColor="text1"/>
          <w:sz w:val="20"/>
          <w:lang w:val="hr-HR"/>
        </w:rPr>
        <w:t>3</w:t>
      </w:r>
      <w:r>
        <w:rPr>
          <w:rFonts w:cs="Arial"/>
          <w:color w:val="000000" w:themeColor="text1"/>
          <w:sz w:val="20"/>
          <w:lang w:val="hr-HR"/>
        </w:rPr>
        <w:t>1</w:t>
      </w:r>
      <w:r w:rsidRPr="00D14589">
        <w:rPr>
          <w:rFonts w:cs="Arial"/>
          <w:color w:val="000000" w:themeColor="text1"/>
          <w:sz w:val="20"/>
          <w:lang w:val="hr-HR"/>
        </w:rPr>
        <w:t>.</w:t>
      </w:r>
      <w:r w:rsidRPr="00D14589">
        <w:rPr>
          <w:rFonts w:cs="Arial"/>
          <w:color w:val="000000" w:themeColor="text1"/>
          <w:sz w:val="20"/>
          <w:lang w:val="hr-HR"/>
        </w:rPr>
        <w:tab/>
        <w:t>Upravljanje rizicima</w:t>
      </w:r>
    </w:p>
    <w:p w14:paraId="710154A6" w14:textId="77777777" w:rsidR="004E2F51" w:rsidRPr="00D14589" w:rsidRDefault="004E2F51" w:rsidP="004E2F51">
      <w:pPr>
        <w:pStyle w:val="T1"/>
        <w:spacing w:before="0" w:after="0" w:line="240" w:lineRule="auto"/>
        <w:rPr>
          <w:rFonts w:cs="Arial"/>
          <w:color w:val="000000" w:themeColor="text1"/>
          <w:sz w:val="20"/>
          <w:lang w:val="hr-HR"/>
        </w:rPr>
      </w:pPr>
    </w:p>
    <w:p w14:paraId="5B1956F2"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Temeljem Zakona o Hrvatskoj banci za obnovu i razvitak, </w:t>
      </w:r>
      <w:r>
        <w:rPr>
          <w:rFonts w:ascii="Arial" w:hAnsi="Arial" w:cs="Arial"/>
          <w:color w:val="000000" w:themeColor="text1"/>
          <w:sz w:val="20"/>
          <w:szCs w:val="20"/>
          <w:lang w:val="hr-HR"/>
        </w:rPr>
        <w:t xml:space="preserve">Banka </w:t>
      </w:r>
      <w:r w:rsidRPr="00D14589">
        <w:rPr>
          <w:rFonts w:ascii="Arial" w:hAnsi="Arial" w:cs="Arial"/>
          <w:color w:val="000000" w:themeColor="text1"/>
          <w:sz w:val="20"/>
          <w:szCs w:val="20"/>
          <w:lang w:val="hr-HR"/>
        </w:rPr>
        <w:t xml:space="preserve">je dužna rizike u poslovanju svoditi na najmanju mjeru rukovodeći se načelima bankarskog poslovanja. </w:t>
      </w:r>
    </w:p>
    <w:p w14:paraId="76295874" w14:textId="77777777" w:rsidR="004E2F51" w:rsidRPr="00D14589" w:rsidRDefault="004E2F51" w:rsidP="004E2F51">
      <w:pPr>
        <w:pStyle w:val="accountingpolicytitle"/>
        <w:rPr>
          <w:rFonts w:cs="Arial"/>
          <w:b w:val="0"/>
          <w:color w:val="000000" w:themeColor="text1"/>
          <w:sz w:val="20"/>
          <w:lang w:val="hr-HR"/>
        </w:rPr>
      </w:pPr>
    </w:p>
    <w:p w14:paraId="2B33527A" w14:textId="77777777" w:rsidR="004E2F51" w:rsidRPr="00D14589" w:rsidRDefault="004E2F51" w:rsidP="004E2F51">
      <w:pPr>
        <w:pStyle w:val="accountingpolicytitle"/>
        <w:rPr>
          <w:rFonts w:cs="Arial"/>
          <w:b w:val="0"/>
          <w:color w:val="000000" w:themeColor="text1"/>
          <w:sz w:val="20"/>
          <w:lang w:val="hr-HR"/>
        </w:rPr>
      </w:pPr>
      <w:r>
        <w:rPr>
          <w:rFonts w:cs="Arial"/>
          <w:b w:val="0"/>
          <w:color w:val="000000" w:themeColor="text1"/>
          <w:sz w:val="20"/>
          <w:lang w:val="hr-HR"/>
        </w:rPr>
        <w:t>Banka</w:t>
      </w:r>
      <w:r w:rsidRPr="00D14589">
        <w:rPr>
          <w:rFonts w:cs="Arial"/>
          <w:b w:val="0"/>
          <w:color w:val="000000" w:themeColor="text1"/>
          <w:sz w:val="20"/>
          <w:lang w:val="hr-HR"/>
        </w:rPr>
        <w:t xml:space="preserve"> u procesu upravljanja rizicima </w:t>
      </w:r>
      <w:r>
        <w:rPr>
          <w:rFonts w:cs="Arial"/>
          <w:b w:val="0"/>
          <w:color w:val="000000" w:themeColor="text1"/>
          <w:sz w:val="20"/>
          <w:lang w:val="hr-HR"/>
        </w:rPr>
        <w:t xml:space="preserve">kontinuirano </w:t>
      </w:r>
      <w:r w:rsidRPr="00D14589">
        <w:rPr>
          <w:rFonts w:cs="Arial"/>
          <w:b w:val="0"/>
          <w:color w:val="000000" w:themeColor="text1"/>
          <w:sz w:val="20"/>
          <w:lang w:val="hr-HR"/>
        </w:rPr>
        <w:t xml:space="preserve">utvrđuje, procjenjuje, odnosno mjeri, prati, ovladava i kontrolira rizike kojima je u poslovanju izložena ili bi mogla biti izložena te o njima izvještava nadležna tijela.  Navedenim postupcima i pripadajućim internim aktima osiguran je sveobuhvatan i cjelovit sustav upravljanja rizicima.  </w:t>
      </w:r>
    </w:p>
    <w:p w14:paraId="6AEFE15E" w14:textId="77777777" w:rsidR="004E2F51" w:rsidRPr="00D14589" w:rsidRDefault="004E2F51" w:rsidP="004E2F51">
      <w:pPr>
        <w:widowControl w:val="0"/>
        <w:jc w:val="both"/>
        <w:rPr>
          <w:rFonts w:ascii="Arial" w:hAnsi="Arial" w:cs="Arial"/>
          <w:color w:val="000000" w:themeColor="text1"/>
          <w:sz w:val="20"/>
          <w:szCs w:val="20"/>
          <w:lang w:val="hr-HR"/>
        </w:rPr>
      </w:pPr>
    </w:p>
    <w:p w14:paraId="0FA5C531" w14:textId="77777777" w:rsidR="004E2F51" w:rsidRPr="00D14589" w:rsidRDefault="004E2F51" w:rsidP="004E2F51">
      <w:pPr>
        <w:widowControl w:val="0"/>
        <w:jc w:val="both"/>
        <w:rPr>
          <w:rFonts w:ascii="Arial" w:hAnsi="Arial" w:cs="Arial"/>
          <w:b/>
          <w:color w:val="000000" w:themeColor="text1"/>
          <w:sz w:val="20"/>
          <w:szCs w:val="20"/>
          <w:lang w:val="hr-HR"/>
        </w:rPr>
      </w:pPr>
      <w:r w:rsidRPr="00D14589">
        <w:rPr>
          <w:rFonts w:ascii="Arial" w:hAnsi="Arial" w:cs="Arial"/>
          <w:color w:val="000000" w:themeColor="text1"/>
          <w:sz w:val="20"/>
          <w:szCs w:val="20"/>
          <w:lang w:val="hr-HR"/>
        </w:rPr>
        <w:t xml:space="preserve">Najznačajniji rizici kojima je </w:t>
      </w:r>
      <w:r>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u svakodnevnom poslovanju izložena su kreditni rizik, rizik likvidnosti, kamatni rizik, valutni rizik, operativni rizik i rizik eksternalizacije. Navedenim rizicima svakodnevno se upravlja temeljem politika, pravilnika, metodologija, uputa i sustava limita, kontrola te odluka/zaključaka Nadzornog odbora, Uprave i odbora za upravljanje rizicima. </w:t>
      </w:r>
    </w:p>
    <w:p w14:paraId="658AADF5" w14:textId="77777777" w:rsidR="004E2F51" w:rsidRPr="00D14589" w:rsidRDefault="004E2F51" w:rsidP="004E2F51">
      <w:pPr>
        <w:pStyle w:val="accountingpolicytitle"/>
        <w:rPr>
          <w:rFonts w:cs="Arial"/>
          <w:b w:val="0"/>
          <w:color w:val="000000" w:themeColor="text1"/>
          <w:sz w:val="20"/>
          <w:lang w:val="hr-HR"/>
        </w:rPr>
      </w:pPr>
    </w:p>
    <w:p w14:paraId="144082F2" w14:textId="77777777" w:rsidR="004E2F51" w:rsidRPr="00D14589" w:rsidRDefault="004E2F51" w:rsidP="004E2F51">
      <w:pPr>
        <w:pStyle w:val="accountingpolicytitle"/>
        <w:rPr>
          <w:rFonts w:cs="Arial"/>
          <w:b w:val="0"/>
          <w:color w:val="000000" w:themeColor="text1"/>
          <w:sz w:val="20"/>
          <w:lang w:val="hr-HR"/>
        </w:rPr>
      </w:pPr>
      <w:r w:rsidRPr="00D14589">
        <w:rPr>
          <w:rFonts w:cs="Arial"/>
          <w:b w:val="0"/>
          <w:color w:val="000000" w:themeColor="text1"/>
          <w:sz w:val="20"/>
          <w:lang w:val="hr-HR"/>
        </w:rPr>
        <w:t>Banka provodi analize osjetljivosti i analize scenarija pod pretpostavkom promjene jednoga, odnosno više faktora rizika u redovnim i stresnim okolnostima te se o rezultatima izvještavaju nadležna tijela HBOR-a. Kontinuirano se razvijaju sustavi proaktivnog upravljanja rizicima radi smanjenja potencijalnih budućih rizika.</w:t>
      </w:r>
    </w:p>
    <w:p w14:paraId="09EC49D2" w14:textId="77777777" w:rsidR="004E2F51" w:rsidRPr="00D14589" w:rsidRDefault="004E2F51" w:rsidP="004E2F51">
      <w:pPr>
        <w:pStyle w:val="accountingpolicytitle"/>
        <w:rPr>
          <w:rFonts w:cs="Arial"/>
          <w:color w:val="000000" w:themeColor="text1"/>
          <w:sz w:val="20"/>
          <w:lang w:val="hr-HR"/>
        </w:rPr>
      </w:pPr>
    </w:p>
    <w:p w14:paraId="48D8B0D7" w14:textId="77777777" w:rsidR="004E2F51" w:rsidRPr="00D14589" w:rsidRDefault="004E2F51" w:rsidP="004E2F51">
      <w:pPr>
        <w:tabs>
          <w:tab w:val="left" w:pos="567"/>
          <w:tab w:val="left" w:pos="709"/>
        </w:tabs>
        <w:spacing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Pr>
          <w:rFonts w:ascii="Arial" w:hAnsi="Arial" w:cs="Arial"/>
          <w:b/>
          <w:color w:val="000000" w:themeColor="text1"/>
          <w:sz w:val="20"/>
          <w:szCs w:val="20"/>
          <w:lang w:val="hr-HR"/>
        </w:rPr>
        <w:t>1</w:t>
      </w:r>
      <w:r w:rsidRPr="00D14589">
        <w:rPr>
          <w:rFonts w:ascii="Arial" w:hAnsi="Arial" w:cs="Arial"/>
          <w:b/>
          <w:color w:val="000000" w:themeColor="text1"/>
          <w:sz w:val="20"/>
          <w:szCs w:val="20"/>
          <w:lang w:val="hr-HR"/>
        </w:rPr>
        <w:t>.1.</w:t>
      </w:r>
      <w:r w:rsidRPr="00D14589">
        <w:rPr>
          <w:rFonts w:ascii="Arial" w:hAnsi="Arial" w:cs="Arial"/>
          <w:b/>
          <w:color w:val="000000" w:themeColor="text1"/>
          <w:sz w:val="20"/>
          <w:szCs w:val="20"/>
          <w:lang w:val="hr-HR"/>
        </w:rPr>
        <w:tab/>
        <w:t>Pregled najvažnijih rizika</w:t>
      </w:r>
    </w:p>
    <w:p w14:paraId="3C0500BF" w14:textId="77777777" w:rsidR="004E2F51" w:rsidRPr="00D14589" w:rsidRDefault="004E2F51" w:rsidP="004E2F51">
      <w:pPr>
        <w:jc w:val="both"/>
        <w:rPr>
          <w:rFonts w:ascii="Arial" w:hAnsi="Arial" w:cs="Arial"/>
          <w:color w:val="000000" w:themeColor="text1"/>
          <w:sz w:val="20"/>
          <w:szCs w:val="20"/>
          <w:lang w:val="hr-HR"/>
        </w:rPr>
      </w:pPr>
    </w:p>
    <w:p w14:paraId="26FA74A8" w14:textId="77777777" w:rsidR="004E2F51" w:rsidRPr="00D14589" w:rsidRDefault="004E2F51" w:rsidP="004E2F51">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 xml:space="preserve">Kreditni rizik </w:t>
      </w:r>
    </w:p>
    <w:p w14:paraId="715A1FA1" w14:textId="77777777" w:rsidR="004E2F51" w:rsidRPr="00D14589" w:rsidRDefault="004E2F51" w:rsidP="004E2F51">
      <w:pPr>
        <w:jc w:val="both"/>
        <w:rPr>
          <w:rFonts w:ascii="Arial" w:hAnsi="Arial" w:cs="Arial"/>
          <w:color w:val="000000" w:themeColor="text1"/>
          <w:sz w:val="20"/>
          <w:szCs w:val="20"/>
          <w:lang w:val="hr-HR"/>
        </w:rPr>
      </w:pPr>
    </w:p>
    <w:p w14:paraId="297C5216" w14:textId="77777777" w:rsidR="004E2F51" w:rsidRPr="00D14589" w:rsidRDefault="004E2F51" w:rsidP="004E2F51">
      <w:pPr>
        <w:jc w:val="both"/>
        <w:rPr>
          <w:rFonts w:ascii="Arial" w:hAnsi="Arial" w:cs="Arial"/>
          <w:color w:val="000000" w:themeColor="text1"/>
          <w:sz w:val="20"/>
          <w:szCs w:val="20"/>
          <w:lang w:val="hr-HR"/>
        </w:rPr>
      </w:pPr>
      <w:bookmarkStart w:id="1467" w:name="_Hlk517963905"/>
      <w:r w:rsidRPr="00D14589">
        <w:rPr>
          <w:rFonts w:ascii="Arial" w:hAnsi="Arial" w:cs="Arial"/>
          <w:color w:val="000000" w:themeColor="text1"/>
          <w:sz w:val="20"/>
          <w:szCs w:val="20"/>
          <w:lang w:val="hr-HR"/>
        </w:rPr>
        <w:t>Banka kontrolira kreditni rizik putem kreditnih politika</w:t>
      </w:r>
      <w:r>
        <w:rPr>
          <w:rFonts w:ascii="Arial" w:hAnsi="Arial" w:cs="Arial"/>
          <w:color w:val="000000" w:themeColor="text1"/>
          <w:sz w:val="20"/>
          <w:szCs w:val="20"/>
          <w:lang w:val="hr-HR"/>
        </w:rPr>
        <w:t xml:space="preserve"> i </w:t>
      </w:r>
      <w:r w:rsidRPr="00D14589">
        <w:rPr>
          <w:rFonts w:ascii="Arial" w:hAnsi="Arial" w:cs="Arial"/>
          <w:color w:val="000000" w:themeColor="text1"/>
          <w:sz w:val="20"/>
          <w:szCs w:val="20"/>
          <w:lang w:val="hr-HR"/>
        </w:rPr>
        <w:t>pravilnika</w:t>
      </w:r>
      <w:r>
        <w:rPr>
          <w:rFonts w:ascii="Arial" w:hAnsi="Arial" w:cs="Arial"/>
          <w:color w:val="000000" w:themeColor="text1"/>
          <w:sz w:val="20"/>
          <w:szCs w:val="20"/>
          <w:lang w:val="hr-HR"/>
        </w:rPr>
        <w:t xml:space="preserve"> o</w:t>
      </w:r>
      <w:r w:rsidRPr="00D14589">
        <w:rPr>
          <w:rFonts w:ascii="Arial" w:hAnsi="Arial" w:cs="Arial"/>
          <w:color w:val="000000" w:themeColor="text1"/>
          <w:sz w:val="20"/>
          <w:szCs w:val="20"/>
          <w:lang w:val="hr-HR"/>
        </w:rPr>
        <w:t xml:space="preserve"> </w:t>
      </w:r>
      <w:r w:rsidRPr="00B8170C">
        <w:rPr>
          <w:rFonts w:ascii="Arial" w:hAnsi="Arial" w:cs="Arial"/>
          <w:color w:val="000000" w:themeColor="text1"/>
          <w:sz w:val="20"/>
          <w:szCs w:val="20"/>
          <w:lang w:val="hr-HR"/>
        </w:rPr>
        <w:t>upravljanju ovim rizikom</w:t>
      </w:r>
      <w:r w:rsidRPr="00D14589">
        <w:rPr>
          <w:rFonts w:ascii="Arial" w:hAnsi="Arial" w:cs="Arial"/>
          <w:color w:val="000000" w:themeColor="text1"/>
          <w:sz w:val="20"/>
          <w:szCs w:val="20"/>
          <w:lang w:val="hr-HR"/>
        </w:rPr>
        <w:t xml:space="preserve"> u kojima su </w:t>
      </w:r>
      <w:r>
        <w:rPr>
          <w:rFonts w:ascii="Arial" w:hAnsi="Arial" w:cs="Arial"/>
          <w:color w:val="000000" w:themeColor="text1"/>
          <w:sz w:val="20"/>
          <w:szCs w:val="20"/>
          <w:lang w:val="hr-HR"/>
        </w:rPr>
        <w:t>propisani</w:t>
      </w:r>
      <w:r w:rsidRPr="00D14589">
        <w:rPr>
          <w:rFonts w:ascii="Arial" w:hAnsi="Arial" w:cs="Arial"/>
          <w:color w:val="000000" w:themeColor="text1"/>
          <w:sz w:val="20"/>
          <w:szCs w:val="20"/>
          <w:lang w:val="hr-HR"/>
        </w:rPr>
        <w:t xml:space="preserve"> sustavi unutarnjih kontrola s ciljem preventivnog djelovanja na rizik.</w:t>
      </w:r>
    </w:p>
    <w:bookmarkEnd w:id="1467"/>
    <w:p w14:paraId="2165CD5E" w14:textId="77777777" w:rsidR="004E2F51" w:rsidRPr="00D14589" w:rsidRDefault="004E2F51" w:rsidP="004E2F51">
      <w:pPr>
        <w:jc w:val="both"/>
        <w:rPr>
          <w:rFonts w:ascii="Arial" w:hAnsi="Arial" w:cs="Arial"/>
          <w:color w:val="000000" w:themeColor="text1"/>
          <w:sz w:val="20"/>
          <w:szCs w:val="20"/>
          <w:lang w:val="hr-HR"/>
        </w:rPr>
      </w:pPr>
    </w:p>
    <w:p w14:paraId="59844B8A" w14:textId="77777777" w:rsidR="004E2F51" w:rsidRPr="00D14589" w:rsidRDefault="004E2F51" w:rsidP="004E2F51">
      <w:pPr>
        <w:jc w:val="both"/>
        <w:rPr>
          <w:rFonts w:ascii="Arial" w:hAnsi="Arial" w:cs="Arial"/>
          <w:color w:val="000000" w:themeColor="text1"/>
          <w:sz w:val="20"/>
          <w:szCs w:val="20"/>
          <w:lang w:val="hr-HR"/>
        </w:rPr>
      </w:pPr>
      <w:bookmarkStart w:id="1468" w:name="_Hlk517961382"/>
      <w:r w:rsidRPr="00D14589">
        <w:rPr>
          <w:rFonts w:ascii="Arial" w:hAnsi="Arial" w:cs="Arial"/>
          <w:color w:val="000000" w:themeColor="text1"/>
          <w:sz w:val="20"/>
          <w:szCs w:val="20"/>
          <w:lang w:val="hr-HR"/>
        </w:rPr>
        <w:t xml:space="preserve">Sustav upravljanja kreditnim rizikom čini najvažniji dio poslovne politike </w:t>
      </w:r>
      <w:r>
        <w:rPr>
          <w:rFonts w:ascii="Arial" w:hAnsi="Arial" w:cs="Arial"/>
          <w:color w:val="000000" w:themeColor="text1"/>
          <w:sz w:val="20"/>
          <w:szCs w:val="20"/>
          <w:lang w:val="hr-HR"/>
        </w:rPr>
        <w:t xml:space="preserve">Banke </w:t>
      </w:r>
      <w:r w:rsidRPr="00D14589">
        <w:rPr>
          <w:rFonts w:ascii="Arial" w:hAnsi="Arial" w:cs="Arial"/>
          <w:color w:val="000000" w:themeColor="text1"/>
          <w:sz w:val="20"/>
          <w:szCs w:val="20"/>
          <w:lang w:val="hr-HR"/>
        </w:rPr>
        <w:t xml:space="preserve">i bitan je </w:t>
      </w:r>
      <w:r>
        <w:rPr>
          <w:rFonts w:ascii="Arial" w:hAnsi="Arial" w:cs="Arial"/>
          <w:color w:val="000000" w:themeColor="text1"/>
          <w:sz w:val="20"/>
          <w:szCs w:val="20"/>
          <w:lang w:val="hr-HR"/>
        </w:rPr>
        <w:t>čimbenik</w:t>
      </w:r>
      <w:r w:rsidRPr="00D14589">
        <w:rPr>
          <w:rFonts w:ascii="Arial" w:hAnsi="Arial" w:cs="Arial"/>
          <w:color w:val="000000" w:themeColor="text1"/>
          <w:sz w:val="20"/>
          <w:szCs w:val="20"/>
          <w:lang w:val="hr-HR"/>
        </w:rPr>
        <w:t xml:space="preserve"> njezine strategije poslovanja.</w:t>
      </w:r>
    </w:p>
    <w:bookmarkEnd w:id="1468"/>
    <w:p w14:paraId="4352D668" w14:textId="77777777" w:rsidR="004E2F51" w:rsidRPr="00D14589" w:rsidRDefault="004E2F51" w:rsidP="004E2F51">
      <w:pPr>
        <w:jc w:val="both"/>
        <w:rPr>
          <w:rFonts w:ascii="Arial" w:hAnsi="Arial" w:cs="Arial"/>
          <w:color w:val="000000" w:themeColor="text1"/>
          <w:sz w:val="20"/>
          <w:szCs w:val="20"/>
          <w:lang w:val="hr-HR"/>
        </w:rPr>
      </w:pPr>
    </w:p>
    <w:p w14:paraId="5BF8357D" w14:textId="77777777" w:rsidR="004E2F51" w:rsidRPr="00D14589" w:rsidRDefault="004E2F51" w:rsidP="004E2F51">
      <w:pPr>
        <w:jc w:val="both"/>
        <w:rPr>
          <w:rFonts w:ascii="Arial" w:hAnsi="Arial" w:cs="Arial"/>
          <w:b/>
          <w:color w:val="000000" w:themeColor="text1"/>
          <w:sz w:val="20"/>
          <w:szCs w:val="20"/>
          <w:lang w:val="hr-HR"/>
        </w:rPr>
      </w:pPr>
      <w:bookmarkStart w:id="1469" w:name="_Hlk517961445"/>
      <w:r w:rsidRPr="00D14589">
        <w:rPr>
          <w:rFonts w:ascii="Arial" w:hAnsi="Arial" w:cs="Arial"/>
          <w:b/>
          <w:color w:val="000000" w:themeColor="text1"/>
          <w:sz w:val="20"/>
          <w:szCs w:val="20"/>
          <w:lang w:val="hr-HR"/>
        </w:rPr>
        <w:t>Rizik likvidnosti, valutni rizik i kamatni rizik</w:t>
      </w:r>
    </w:p>
    <w:p w14:paraId="5C28D0DA" w14:textId="77777777" w:rsidR="004E2F51" w:rsidRPr="00D14589" w:rsidRDefault="004E2F51" w:rsidP="004E2F51">
      <w:pPr>
        <w:jc w:val="both"/>
        <w:rPr>
          <w:rFonts w:ascii="Arial" w:hAnsi="Arial" w:cs="Arial"/>
          <w:color w:val="000000" w:themeColor="text1"/>
          <w:sz w:val="20"/>
          <w:szCs w:val="20"/>
          <w:lang w:val="hr-HR"/>
        </w:rPr>
      </w:pPr>
    </w:p>
    <w:p w14:paraId="24E1303C"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Kroz djelovanje Odbora za upravljanje aktivom i pasivom, Banka osigurava adekvatno upravljanje rizikom likvidnosti te valutnim rizikom i kamatnim rizikom. Upravljanje ovim rizicima podrazumijeva svođenje kamatnog i valutnog rizika te rizika likvidnosti na najmanju mjeru. Izravnim i neizravnim uključivanjem većine organizacijskih jedinica Banke u rad Odbora za upravljanje aktivom i pasivom nastoji se osigurati kvalitetan, integriran i sveobuhvatan sustav upravljanja navedenim rizicima. </w:t>
      </w:r>
    </w:p>
    <w:bookmarkEnd w:id="1469"/>
    <w:p w14:paraId="6E043CFE" w14:textId="77777777" w:rsidR="004E2F51" w:rsidRPr="00D14589" w:rsidRDefault="004E2F51" w:rsidP="004E2F51">
      <w:pPr>
        <w:jc w:val="both"/>
        <w:rPr>
          <w:rFonts w:ascii="Arial" w:hAnsi="Arial" w:cs="Arial"/>
          <w:color w:val="000000" w:themeColor="text1"/>
          <w:sz w:val="20"/>
          <w:szCs w:val="20"/>
          <w:lang w:val="hr-HR"/>
        </w:rPr>
      </w:pPr>
    </w:p>
    <w:p w14:paraId="33A4DC41" w14:textId="77777777" w:rsidR="004E2F51" w:rsidRPr="00D14589" w:rsidRDefault="004E2F51" w:rsidP="004E2F51">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Rizik likvidnosti</w:t>
      </w:r>
    </w:p>
    <w:p w14:paraId="56A26661" w14:textId="77777777" w:rsidR="004E2F51" w:rsidRPr="00D14589" w:rsidRDefault="004E2F51" w:rsidP="004E2F51">
      <w:pPr>
        <w:jc w:val="both"/>
        <w:rPr>
          <w:rFonts w:ascii="Arial" w:hAnsi="Arial" w:cs="Arial"/>
          <w:color w:val="000000" w:themeColor="text1"/>
          <w:sz w:val="20"/>
          <w:szCs w:val="20"/>
          <w:lang w:val="hr-HR"/>
        </w:rPr>
      </w:pPr>
    </w:p>
    <w:p w14:paraId="2F3E7CFE" w14:textId="77777777" w:rsidR="004E2F51" w:rsidRPr="00D14589" w:rsidRDefault="004E2F51" w:rsidP="004E2F51">
      <w:pPr>
        <w:jc w:val="both"/>
        <w:rPr>
          <w:rFonts w:ascii="Arial" w:hAnsi="Arial" w:cs="Arial"/>
          <w:color w:val="000000" w:themeColor="text1"/>
          <w:sz w:val="20"/>
          <w:szCs w:val="20"/>
          <w:lang w:val="hr-HR"/>
        </w:rPr>
      </w:pPr>
      <w:bookmarkStart w:id="1470" w:name="_Hlk517961744"/>
      <w:r w:rsidRPr="00D14589">
        <w:rPr>
          <w:rFonts w:ascii="Arial" w:hAnsi="Arial" w:cs="Arial"/>
          <w:color w:val="000000" w:themeColor="text1"/>
          <w:sz w:val="20"/>
          <w:szCs w:val="20"/>
          <w:lang w:val="hr-HR"/>
        </w:rPr>
        <w:t xml:space="preserve">Temeljna načela i principi upravljanja rizikom likvidnosti HBOR-a utvrđeni su internim aktima te odlukama i zaključcima Nadzornog odbora, Uprave i Odbora za upravljanje aktivom i pasivom. </w:t>
      </w:r>
    </w:p>
    <w:p w14:paraId="0B4DE961" w14:textId="77777777" w:rsidR="004E2F51" w:rsidRPr="00D14589" w:rsidRDefault="004E2F51" w:rsidP="004E2F51">
      <w:pPr>
        <w:jc w:val="both"/>
        <w:rPr>
          <w:rFonts w:ascii="Arial" w:hAnsi="Arial" w:cs="Arial"/>
          <w:color w:val="000000" w:themeColor="text1"/>
          <w:sz w:val="20"/>
          <w:szCs w:val="20"/>
          <w:lang w:val="hr-HR"/>
        </w:rPr>
      </w:pPr>
    </w:p>
    <w:p w14:paraId="46FEDE31"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 svrhu upravljanja rizikom likvidnosti, Banka je uspostavila sustav limita i signala ranog upozorenja te prati i kontrolira njihovo poštivanje, održava potrebnu razinu rezerve likvidnosti, kontinuirano prati tekuću i planiranu likvidnost, osigurava dostatna kunska i devizna sredstva potrebna za pravovremeno podmirenje obveza te za isplate po odobrenim kreditima i planiranim odobrenjima kredita. Pri upravljanju rizikom likvidnosti nastoji se postići ročna usklađenost postojećih i planiranih plasmana i njihovih izvora. Banka nema depozite građana te nije izložena značajnijim dnevnim oscilacijama likvidnosti. </w:t>
      </w:r>
      <w:bookmarkEnd w:id="1470"/>
    </w:p>
    <w:p w14:paraId="3A9EE13B" w14:textId="77777777" w:rsidR="004E2F51" w:rsidRPr="00D14589" w:rsidRDefault="004E2F51" w:rsidP="004E2F51">
      <w:pPr>
        <w:rPr>
          <w:rFonts w:ascii="Arial" w:hAnsi="Arial" w:cs="Arial"/>
          <w:color w:val="000000" w:themeColor="text1"/>
          <w:sz w:val="20"/>
          <w:szCs w:val="20"/>
          <w:lang w:val="hr-HR"/>
        </w:rPr>
        <w:sectPr w:rsidR="004E2F51" w:rsidRPr="00D14589" w:rsidSect="00623DBA">
          <w:footerReference w:type="default" r:id="rId161"/>
          <w:pgSz w:w="11907" w:h="16840" w:code="9"/>
          <w:pgMar w:top="1418" w:right="1134" w:bottom="1134" w:left="1418" w:header="851" w:footer="851" w:gutter="0"/>
          <w:cols w:space="720"/>
          <w:noEndnote/>
        </w:sectPr>
      </w:pPr>
    </w:p>
    <w:p w14:paraId="7C336FB1" w14:textId="77777777" w:rsidR="004E2F51" w:rsidRPr="00D14589" w:rsidRDefault="004E2F51" w:rsidP="004E2F51">
      <w:pPr>
        <w:rPr>
          <w:rFonts w:ascii="Arial" w:hAnsi="Arial" w:cs="Arial"/>
          <w:color w:val="000000" w:themeColor="text1"/>
          <w:sz w:val="20"/>
          <w:szCs w:val="20"/>
          <w:lang w:val="hr-HR"/>
        </w:rPr>
      </w:pPr>
    </w:p>
    <w:p w14:paraId="5C50E2A5" w14:textId="77777777" w:rsidR="004E2F51" w:rsidRPr="00D14589" w:rsidRDefault="004E2F51" w:rsidP="004E2F51">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Pr>
          <w:rFonts w:ascii="Arial" w:hAnsi="Arial" w:cs="Arial"/>
          <w:b/>
          <w:color w:val="000000" w:themeColor="text1"/>
          <w:sz w:val="20"/>
          <w:szCs w:val="20"/>
          <w:lang w:val="hr-HR" w:eastAsia="hr-HR"/>
        </w:rPr>
        <w:t>1</w:t>
      </w:r>
      <w:r w:rsidRPr="00D14589">
        <w:rPr>
          <w:rFonts w:ascii="Arial" w:hAnsi="Arial" w:cs="Arial"/>
          <w:b/>
          <w:color w:val="000000" w:themeColor="text1"/>
          <w:sz w:val="20"/>
          <w:szCs w:val="20"/>
          <w:lang w:val="hr-HR" w:eastAsia="hr-HR"/>
        </w:rPr>
        <w:t>.</w:t>
      </w:r>
      <w:r w:rsidRPr="00D14589">
        <w:rPr>
          <w:rFonts w:ascii="Arial" w:hAnsi="Arial" w:cs="Arial"/>
          <w:b/>
          <w:color w:val="000000" w:themeColor="text1"/>
          <w:sz w:val="20"/>
          <w:szCs w:val="20"/>
          <w:lang w:val="hr-HR"/>
        </w:rPr>
        <w:tab/>
        <w:t>Upravljanje rizicima (nastavak)</w:t>
      </w:r>
    </w:p>
    <w:p w14:paraId="2613ABD6" w14:textId="77777777" w:rsidR="004E2F51" w:rsidRPr="00D14589" w:rsidRDefault="004E2F51" w:rsidP="004E2F51">
      <w:pPr>
        <w:jc w:val="both"/>
        <w:rPr>
          <w:rFonts w:ascii="Arial" w:hAnsi="Arial" w:cs="Arial"/>
          <w:color w:val="000000" w:themeColor="text1"/>
          <w:sz w:val="20"/>
          <w:szCs w:val="20"/>
          <w:lang w:val="hr-HR"/>
        </w:rPr>
      </w:pPr>
    </w:p>
    <w:p w14:paraId="5BB3E6B0" w14:textId="77777777" w:rsidR="004E2F51" w:rsidRPr="00D14589" w:rsidRDefault="004E2F51" w:rsidP="004E2F51">
      <w:pPr>
        <w:tabs>
          <w:tab w:val="left" w:pos="567"/>
        </w:tabs>
        <w:spacing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Pr>
          <w:rFonts w:ascii="Arial" w:hAnsi="Arial" w:cs="Arial"/>
          <w:b/>
          <w:color w:val="000000" w:themeColor="text1"/>
          <w:sz w:val="20"/>
          <w:szCs w:val="20"/>
          <w:lang w:val="hr-HR"/>
        </w:rPr>
        <w:t>1</w:t>
      </w:r>
      <w:r w:rsidRPr="00D14589">
        <w:rPr>
          <w:rFonts w:ascii="Arial" w:hAnsi="Arial" w:cs="Arial"/>
          <w:b/>
          <w:color w:val="000000" w:themeColor="text1"/>
          <w:sz w:val="20"/>
          <w:szCs w:val="20"/>
          <w:lang w:val="hr-HR"/>
        </w:rPr>
        <w:t>.1.</w:t>
      </w:r>
      <w:r w:rsidRPr="00D14589">
        <w:rPr>
          <w:rFonts w:ascii="Arial" w:hAnsi="Arial" w:cs="Arial"/>
          <w:b/>
          <w:color w:val="000000" w:themeColor="text1"/>
          <w:sz w:val="20"/>
          <w:szCs w:val="20"/>
          <w:lang w:val="hr-HR"/>
        </w:rPr>
        <w:tab/>
        <w:t>Pregled najvažnijih rizika (nastavak)</w:t>
      </w:r>
    </w:p>
    <w:p w14:paraId="1FA5E5C0" w14:textId="77777777" w:rsidR="004E2F51" w:rsidRPr="00D14589" w:rsidRDefault="004E2F51" w:rsidP="004E2F51">
      <w:pPr>
        <w:spacing w:line="300" w:lineRule="exact"/>
        <w:jc w:val="both"/>
        <w:rPr>
          <w:rFonts w:ascii="Arial" w:hAnsi="Arial" w:cs="Arial"/>
          <w:b/>
          <w:color w:val="000000" w:themeColor="text1"/>
          <w:sz w:val="20"/>
          <w:szCs w:val="20"/>
          <w:lang w:val="hr-HR"/>
        </w:rPr>
      </w:pPr>
    </w:p>
    <w:p w14:paraId="3A6BBB3C" w14:textId="77777777" w:rsidR="004E2F51" w:rsidRPr="00D14589" w:rsidRDefault="004E2F51" w:rsidP="004E2F51">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Rizik likvidnosti (nastavak)</w:t>
      </w:r>
    </w:p>
    <w:p w14:paraId="51FAC762" w14:textId="77777777" w:rsidR="004E2F51" w:rsidRPr="00D14589" w:rsidRDefault="004E2F51" w:rsidP="004E2F51">
      <w:pPr>
        <w:jc w:val="both"/>
        <w:rPr>
          <w:rFonts w:ascii="Arial" w:hAnsi="Arial" w:cs="Arial"/>
          <w:color w:val="000000" w:themeColor="text1"/>
          <w:sz w:val="20"/>
          <w:szCs w:val="20"/>
          <w:lang w:val="hr-HR"/>
        </w:rPr>
      </w:pPr>
    </w:p>
    <w:p w14:paraId="1CBFEB99" w14:textId="77777777" w:rsidR="004E2F51" w:rsidRPr="00D14589" w:rsidRDefault="004E2F51" w:rsidP="004E2F51">
      <w:pPr>
        <w:jc w:val="both"/>
        <w:rPr>
          <w:rFonts w:ascii="Arial" w:hAnsi="Arial" w:cs="Arial"/>
          <w:color w:val="000000" w:themeColor="text1"/>
          <w:sz w:val="20"/>
          <w:szCs w:val="20"/>
          <w:lang w:val="hr-HR"/>
        </w:rPr>
      </w:pPr>
      <w:bookmarkStart w:id="1471" w:name="_Hlk517961811"/>
      <w:r w:rsidRPr="00D14589">
        <w:rPr>
          <w:rFonts w:ascii="Arial" w:hAnsi="Arial" w:cs="Arial"/>
          <w:color w:val="000000" w:themeColor="text1"/>
          <w:sz w:val="20"/>
          <w:szCs w:val="20"/>
          <w:lang w:val="hr-HR"/>
        </w:rPr>
        <w:t xml:space="preserve">Praćenje rizika likvidnosti Banka provodi i kroz analize scenarija ili analize osjetljivosti pod pretpostavkom redovnih i stresnih uvjeta poslovanja. Pravilnikom o upravljanju rizikom likvidnosti utvrđeni su i postupci u slučaju naznake kao i nastupa krize likvidnosti. </w:t>
      </w:r>
    </w:p>
    <w:p w14:paraId="09BDFCC4" w14:textId="77777777" w:rsidR="004E2F51" w:rsidRPr="00D14589" w:rsidRDefault="004E2F51" w:rsidP="004E2F51">
      <w:pPr>
        <w:jc w:val="both"/>
        <w:rPr>
          <w:rFonts w:ascii="Arial" w:eastAsia="Calibri" w:hAnsi="Arial" w:cs="Arial"/>
          <w:b/>
          <w:bCs/>
          <w:color w:val="000000" w:themeColor="text1"/>
          <w:spacing w:val="-3"/>
          <w:sz w:val="20"/>
          <w:szCs w:val="20"/>
          <w:lang w:val="hr-HR"/>
        </w:rPr>
      </w:pPr>
    </w:p>
    <w:bookmarkEnd w:id="1471"/>
    <w:p w14:paraId="589696CF" w14:textId="77777777" w:rsidR="004E2F51" w:rsidRPr="00D14589" w:rsidRDefault="004E2F51" w:rsidP="004E2F51">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Kamatni rizik</w:t>
      </w:r>
    </w:p>
    <w:p w14:paraId="24247877" w14:textId="77777777" w:rsidR="004E2F51" w:rsidRPr="00D14589" w:rsidRDefault="004E2F51" w:rsidP="004E2F51">
      <w:pPr>
        <w:jc w:val="both"/>
        <w:rPr>
          <w:rFonts w:ascii="Arial" w:hAnsi="Arial" w:cs="Arial"/>
          <w:color w:val="000000" w:themeColor="text1"/>
          <w:sz w:val="20"/>
          <w:szCs w:val="20"/>
          <w:lang w:val="hr-HR"/>
        </w:rPr>
      </w:pPr>
    </w:p>
    <w:p w14:paraId="262E2AF9"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Temeljna načela i principi upravljanja kamatnim rizikom Banke utvrđeni su internim aktima te odlukama i zaključcima Uprave i Odbora za upravljanje aktivom i pasivom. Za mjerenje i praćenje kamatnog rizika Banka provodi analizu kamatnog jaza. Kamatni se jaz izrađuje za određena razdoblja prema mogućnosti promjene kamatnih stopa i koristi se za sagledavanje osjetljivost Banke na promjene kamatnih stopa u redovnim i stresnim uvjetima poslovanja. Provodi se i detaljna razrada kamatnih stopa po valuti, vrsti i visini kamatne stope te se izrađuju projekcije kretanja prosječnih ponderiranih kamatnih stopa izvora i plasmana. Pored usklađivanja kamatnih stopa izvora i plasmana prate se trenutni tržišni uvjeti i prognoze kretanja osnovnih tržišnih pokazatelja.</w:t>
      </w:r>
    </w:p>
    <w:p w14:paraId="54335FB5" w14:textId="77777777" w:rsidR="004E2F51" w:rsidRPr="00D14589" w:rsidRDefault="004E2F51" w:rsidP="004E2F51">
      <w:pPr>
        <w:jc w:val="both"/>
        <w:rPr>
          <w:rFonts w:ascii="Arial" w:hAnsi="Arial" w:cs="Arial"/>
          <w:color w:val="000000" w:themeColor="text1"/>
          <w:sz w:val="20"/>
          <w:szCs w:val="20"/>
          <w:lang w:val="hr-HR"/>
        </w:rPr>
      </w:pPr>
    </w:p>
    <w:p w14:paraId="51EB8702" w14:textId="77777777" w:rsidR="004E2F51" w:rsidRPr="00D14589" w:rsidRDefault="004E2F51" w:rsidP="004E2F51">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Valutni rizik</w:t>
      </w:r>
    </w:p>
    <w:p w14:paraId="53A732EA" w14:textId="77777777" w:rsidR="004E2F51" w:rsidRPr="00D14589" w:rsidRDefault="004E2F51" w:rsidP="004E2F51">
      <w:pPr>
        <w:jc w:val="both"/>
        <w:rPr>
          <w:rFonts w:ascii="Arial" w:hAnsi="Arial" w:cs="Arial"/>
          <w:color w:val="000000" w:themeColor="text1"/>
          <w:sz w:val="20"/>
          <w:szCs w:val="20"/>
          <w:lang w:val="hr-HR"/>
        </w:rPr>
      </w:pPr>
    </w:p>
    <w:p w14:paraId="50591705"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Temeljna načela i principi upravljanja valutnim rizikom HBOR-a utvrđeni su internim aktima te odlukama i zaključcima Uprave i Odbora za upravljanje aktivom i pasivom. Postavljene su metode za mjerenje, odnosno procjenu, praćenje i upravljanje valutnim rizikom, utvrđeni su limiti i signali ranog upozorenja, postupci u slučaju naznake, kao i nastupa krize te su definirana izvješća potrebna za cjelovito ovladavanje ovim rizikom. </w:t>
      </w:r>
    </w:p>
    <w:p w14:paraId="04D4F6C2" w14:textId="77777777" w:rsidR="004E2F51" w:rsidRPr="00D14589" w:rsidRDefault="004E2F51" w:rsidP="004E2F51">
      <w:pPr>
        <w:jc w:val="both"/>
        <w:rPr>
          <w:rFonts w:ascii="Arial" w:hAnsi="Arial" w:cs="Arial"/>
          <w:color w:val="000000" w:themeColor="text1"/>
          <w:sz w:val="20"/>
          <w:szCs w:val="20"/>
          <w:lang w:val="hr-HR"/>
        </w:rPr>
      </w:pPr>
    </w:p>
    <w:p w14:paraId="790B1F14"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Za mjerenje izloženosti valutnom riziku prati se otvorenost devizne pozicije. Osim dnevnog praćenja otvorenosti devizne pozicije i projiciranja njezinog kretanja, za potrebe procjene i mjerenja valutnog rizika izračunava se rizična vrijednost te redovito izvještava nadležna tijela o najvećim potencijalnim gubicima po značajnim valutama. Provode se analize osjetljivosti pod pretpostavkom redovnih i stresnih uvjeta poslovanja. </w:t>
      </w:r>
    </w:p>
    <w:p w14:paraId="3AB441B8" w14:textId="77777777" w:rsidR="004E2F51" w:rsidRPr="00D14589" w:rsidRDefault="004E2F51" w:rsidP="004E2F51">
      <w:pPr>
        <w:jc w:val="both"/>
        <w:rPr>
          <w:rFonts w:ascii="Arial" w:hAnsi="Arial" w:cs="Arial"/>
          <w:color w:val="000000" w:themeColor="text1"/>
          <w:sz w:val="20"/>
          <w:szCs w:val="20"/>
          <w:lang w:val="hr-HR"/>
        </w:rPr>
      </w:pPr>
    </w:p>
    <w:p w14:paraId="304A08A3" w14:textId="77777777" w:rsidR="004E2F51" w:rsidRPr="00D14589" w:rsidRDefault="004E2F51" w:rsidP="004E2F51">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 xml:space="preserve">Operativni rizik </w:t>
      </w:r>
    </w:p>
    <w:p w14:paraId="233A120F" w14:textId="77777777" w:rsidR="004E2F51" w:rsidRPr="00D14589" w:rsidRDefault="004E2F51" w:rsidP="004E2F51">
      <w:pPr>
        <w:jc w:val="both"/>
        <w:rPr>
          <w:rFonts w:ascii="Arial" w:hAnsi="Arial" w:cs="Arial"/>
          <w:color w:val="000000" w:themeColor="text1"/>
          <w:sz w:val="20"/>
          <w:szCs w:val="20"/>
          <w:lang w:val="hr-HR"/>
        </w:rPr>
      </w:pPr>
    </w:p>
    <w:p w14:paraId="05D38FD0" w14:textId="77777777" w:rsidR="004E2F51" w:rsidRPr="00D14589" w:rsidRDefault="004E2F51" w:rsidP="004E2F51">
      <w:pPr>
        <w:widowControl w:val="0"/>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 xml:space="preserve">HBOR ima uspostavljen okvir za upravljanje operativnim rizikom koji je usklađen sa regulativom HNB-a primjenjivoj na poslovanje Banke kao posebne financijske institucije te sa dobrim bankarskim praksama u dijelu upravljanja rizicima.  </w:t>
      </w:r>
    </w:p>
    <w:p w14:paraId="2040C12E" w14:textId="77777777" w:rsidR="004E2F51" w:rsidRPr="00D14589" w:rsidRDefault="004E2F51" w:rsidP="004E2F51">
      <w:pPr>
        <w:jc w:val="both"/>
        <w:rPr>
          <w:rFonts w:ascii="Arial" w:hAnsi="Arial" w:cs="Arial"/>
          <w:color w:val="000000" w:themeColor="text1"/>
          <w:sz w:val="20"/>
          <w:szCs w:val="20"/>
          <w:lang w:val="hr-HR"/>
        </w:rPr>
        <w:sectPr w:rsidR="004E2F51" w:rsidRPr="00D14589" w:rsidSect="00623DBA">
          <w:footerReference w:type="default" r:id="rId162"/>
          <w:pgSz w:w="11907" w:h="16840" w:code="9"/>
          <w:pgMar w:top="1418" w:right="1134" w:bottom="1134" w:left="1418" w:header="851" w:footer="851" w:gutter="0"/>
          <w:cols w:space="720"/>
          <w:noEndnote/>
        </w:sectPr>
      </w:pPr>
    </w:p>
    <w:p w14:paraId="6F3FD867" w14:textId="77777777" w:rsidR="004E2F51" w:rsidRPr="00D14589" w:rsidRDefault="004E2F51" w:rsidP="004E2F51">
      <w:pPr>
        <w:jc w:val="both"/>
        <w:rPr>
          <w:rFonts w:ascii="Arial" w:hAnsi="Arial" w:cs="Arial"/>
          <w:color w:val="000000" w:themeColor="text1"/>
          <w:sz w:val="20"/>
          <w:szCs w:val="20"/>
          <w:lang w:val="hr-HR"/>
        </w:rPr>
      </w:pPr>
    </w:p>
    <w:p w14:paraId="7F5DC753" w14:textId="77777777" w:rsidR="004E2F51" w:rsidRPr="00D14589" w:rsidRDefault="004E2F51" w:rsidP="004E2F51">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Pr>
          <w:rFonts w:ascii="Arial" w:hAnsi="Arial" w:cs="Arial"/>
          <w:b/>
          <w:color w:val="000000" w:themeColor="text1"/>
          <w:sz w:val="20"/>
          <w:szCs w:val="20"/>
          <w:lang w:val="hr-HR" w:eastAsia="hr-HR"/>
        </w:rPr>
        <w:t>1</w:t>
      </w:r>
      <w:r w:rsidRPr="00D14589">
        <w:rPr>
          <w:rFonts w:ascii="Arial" w:hAnsi="Arial" w:cs="Arial"/>
          <w:b/>
          <w:color w:val="000000" w:themeColor="text1"/>
          <w:sz w:val="20"/>
          <w:szCs w:val="20"/>
          <w:lang w:val="hr-HR" w:eastAsia="hr-HR"/>
        </w:rPr>
        <w:t>.</w:t>
      </w:r>
      <w:r w:rsidRPr="00D14589">
        <w:rPr>
          <w:rFonts w:ascii="Arial" w:hAnsi="Arial" w:cs="Arial"/>
          <w:b/>
          <w:color w:val="000000" w:themeColor="text1"/>
          <w:sz w:val="20"/>
          <w:szCs w:val="20"/>
          <w:lang w:val="hr-HR"/>
        </w:rPr>
        <w:tab/>
        <w:t>Upravljanje rizicima (nastavak)</w:t>
      </w:r>
    </w:p>
    <w:p w14:paraId="4BB4A82C" w14:textId="77777777" w:rsidR="004E2F51" w:rsidRPr="00D14589" w:rsidRDefault="004E2F51" w:rsidP="004E2F51">
      <w:pPr>
        <w:jc w:val="both"/>
        <w:rPr>
          <w:rFonts w:ascii="Arial" w:hAnsi="Arial" w:cs="Arial"/>
          <w:color w:val="000000" w:themeColor="text1"/>
          <w:sz w:val="20"/>
          <w:szCs w:val="20"/>
          <w:lang w:val="hr-HR"/>
        </w:rPr>
      </w:pPr>
    </w:p>
    <w:p w14:paraId="6CA484E9" w14:textId="77777777" w:rsidR="004E2F51" w:rsidRPr="00D14589" w:rsidRDefault="004E2F51" w:rsidP="004E2F51">
      <w:pPr>
        <w:tabs>
          <w:tab w:val="left" w:pos="567"/>
        </w:tabs>
        <w:spacing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Pr>
          <w:rFonts w:ascii="Arial" w:hAnsi="Arial" w:cs="Arial"/>
          <w:b/>
          <w:color w:val="000000" w:themeColor="text1"/>
          <w:sz w:val="20"/>
          <w:szCs w:val="20"/>
          <w:lang w:val="hr-HR"/>
        </w:rPr>
        <w:t>1</w:t>
      </w:r>
      <w:r w:rsidRPr="00D14589">
        <w:rPr>
          <w:rFonts w:ascii="Arial" w:hAnsi="Arial" w:cs="Arial"/>
          <w:b/>
          <w:color w:val="000000" w:themeColor="text1"/>
          <w:sz w:val="20"/>
          <w:szCs w:val="20"/>
          <w:lang w:val="hr-HR"/>
        </w:rPr>
        <w:t>.1.</w:t>
      </w:r>
      <w:r w:rsidRPr="00D14589">
        <w:rPr>
          <w:rFonts w:ascii="Arial" w:hAnsi="Arial" w:cs="Arial"/>
          <w:b/>
          <w:color w:val="000000" w:themeColor="text1"/>
          <w:sz w:val="20"/>
          <w:szCs w:val="20"/>
          <w:lang w:val="hr-HR"/>
        </w:rPr>
        <w:tab/>
        <w:t>Pregled najvažnijih rizika (nastavak)</w:t>
      </w:r>
    </w:p>
    <w:p w14:paraId="7E8BD22E" w14:textId="77777777" w:rsidR="004E2F51" w:rsidRPr="00D14589" w:rsidRDefault="004E2F51" w:rsidP="004E2F51">
      <w:pPr>
        <w:spacing w:line="300" w:lineRule="exact"/>
        <w:jc w:val="both"/>
        <w:rPr>
          <w:rFonts w:ascii="Arial" w:hAnsi="Arial" w:cs="Arial"/>
          <w:b/>
          <w:color w:val="000000" w:themeColor="text1"/>
          <w:sz w:val="20"/>
          <w:szCs w:val="20"/>
          <w:lang w:val="hr-HR"/>
        </w:rPr>
      </w:pPr>
    </w:p>
    <w:p w14:paraId="550B3282" w14:textId="77777777" w:rsidR="004E2F51" w:rsidRPr="00D14589" w:rsidRDefault="004E2F51" w:rsidP="004E2F51">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Operativni rizik (nastavak)</w:t>
      </w:r>
    </w:p>
    <w:p w14:paraId="299D928C" w14:textId="77777777" w:rsidR="004E2F51" w:rsidRPr="00D14589" w:rsidRDefault="004E2F51" w:rsidP="004E2F51">
      <w:pPr>
        <w:jc w:val="both"/>
        <w:rPr>
          <w:rFonts w:ascii="Arial" w:hAnsi="Arial" w:cs="Arial"/>
          <w:b/>
          <w:color w:val="000000" w:themeColor="text1"/>
          <w:sz w:val="20"/>
          <w:szCs w:val="20"/>
          <w:lang w:val="hr-HR"/>
        </w:rPr>
      </w:pPr>
    </w:p>
    <w:p w14:paraId="1D0BDF3A"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Temeljna načela upravljanja operativnim rizikom utvrđena su Politikom upravljanja operativnim rizikom kao krovnim aktom, kojom je uspostavljena struktura upravljanja i odgovornosti u sustavu, utvrđen pristup za izračun kapitalnog zahtjeva za operativni rizik, uspostavljen sustav izvještavanja te načini utvrđivanja, ovladavanja i praćenja izloženosti operativnom riziku.</w:t>
      </w:r>
    </w:p>
    <w:p w14:paraId="6B7F69CB" w14:textId="77777777" w:rsidR="004E2F51" w:rsidRPr="00D14589" w:rsidRDefault="004E2F51" w:rsidP="004E2F51">
      <w:pPr>
        <w:jc w:val="both"/>
        <w:rPr>
          <w:rFonts w:ascii="Arial" w:hAnsi="Arial" w:cs="Arial"/>
          <w:b/>
          <w:color w:val="000000" w:themeColor="text1"/>
          <w:sz w:val="20"/>
          <w:szCs w:val="20"/>
          <w:lang w:val="hr-HR"/>
        </w:rPr>
      </w:pPr>
      <w:r w:rsidRPr="00D14589">
        <w:rPr>
          <w:rFonts w:ascii="Arial" w:hAnsi="Arial" w:cs="Arial"/>
          <w:color w:val="000000" w:themeColor="text1"/>
          <w:sz w:val="20"/>
          <w:szCs w:val="20"/>
          <w:lang w:val="hr-HR"/>
        </w:rPr>
        <w:t>Sustavom upravljanja obuhvaćen je i operativni rizik kod poslovnih promjena, uključujući nove proizvode, te operativni rizik koji se javlja pri eksternalizaciji aktivnosti.</w:t>
      </w:r>
    </w:p>
    <w:p w14:paraId="120A73A8" w14:textId="77777777" w:rsidR="004E2F51" w:rsidRPr="00D14589" w:rsidRDefault="004E2F51" w:rsidP="004E2F51">
      <w:pPr>
        <w:jc w:val="both"/>
        <w:rPr>
          <w:rFonts w:ascii="Arial" w:hAnsi="Arial" w:cs="Arial"/>
          <w:b/>
          <w:color w:val="000000" w:themeColor="text1"/>
          <w:sz w:val="20"/>
          <w:szCs w:val="20"/>
          <w:lang w:val="hr-HR"/>
        </w:rPr>
      </w:pPr>
    </w:p>
    <w:p w14:paraId="36039E84"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praćenje i nadziranje rada informacijskog sustava zadužen je Odbor za upravljanje informacijskim sustavom čiji je cilj upravljanje resursima informacijskog sustava uz uspostavljanje odgovarajuće razine učinkovitosti i sigurnosti informacijskog sustava kako bi se osiguralo, između ostalog, primjereno upravljanje rizicima koji proizlaze iz korištenja informacijske tehnologije. Nadzor nad sigurnošću informacijskog sustava obavlja funkcija Voditelja sigurnosti informacijskog sustava. U okviru ove funkcije uspostavljen je sustav upravljanja kontinuitetom poslovanja HBOR-a.</w:t>
      </w:r>
    </w:p>
    <w:p w14:paraId="43E5076B" w14:textId="77777777" w:rsidR="004E2F51" w:rsidRPr="00D14589" w:rsidRDefault="004E2F51" w:rsidP="004E2F51">
      <w:pPr>
        <w:jc w:val="both"/>
        <w:rPr>
          <w:rFonts w:ascii="Arial" w:hAnsi="Arial" w:cs="Arial"/>
          <w:color w:val="000000" w:themeColor="text1"/>
          <w:sz w:val="20"/>
          <w:szCs w:val="20"/>
          <w:lang w:val="hr-HR"/>
        </w:rPr>
      </w:pPr>
    </w:p>
    <w:p w14:paraId="445A6911" w14:textId="77777777" w:rsidR="004E2F51" w:rsidRPr="00B8170C" w:rsidRDefault="004E2F51" w:rsidP="004E2F51">
      <w:pPr>
        <w:jc w:val="both"/>
        <w:rPr>
          <w:rFonts w:ascii="Arial" w:eastAsia="SimSun" w:hAnsi="Arial" w:cs="Arial"/>
          <w:sz w:val="20"/>
          <w:szCs w:val="20"/>
          <w:lang w:val="hr-HR"/>
        </w:rPr>
      </w:pPr>
      <w:r w:rsidRPr="00B8170C">
        <w:rPr>
          <w:rFonts w:ascii="Arial" w:eastAsia="SimSun" w:hAnsi="Arial" w:cs="Arial"/>
          <w:sz w:val="20"/>
          <w:szCs w:val="20"/>
          <w:lang w:val="hr-HR"/>
        </w:rPr>
        <w:t xml:space="preserve">U 2022. godini </w:t>
      </w:r>
      <w:r>
        <w:rPr>
          <w:rFonts w:ascii="Arial" w:eastAsia="SimSun" w:hAnsi="Arial" w:cs="Arial"/>
          <w:sz w:val="20"/>
          <w:szCs w:val="20"/>
          <w:lang w:val="hr-HR"/>
        </w:rPr>
        <w:t xml:space="preserve">bio je </w:t>
      </w:r>
      <w:r w:rsidRPr="00B8170C">
        <w:rPr>
          <w:rFonts w:ascii="Arial" w:eastAsia="SimSun" w:hAnsi="Arial" w:cs="Arial"/>
          <w:sz w:val="20"/>
          <w:szCs w:val="20"/>
          <w:lang w:val="hr-HR"/>
        </w:rPr>
        <w:t>prisutan</w:t>
      </w:r>
      <w:r>
        <w:rPr>
          <w:rFonts w:ascii="Arial" w:eastAsia="SimSun" w:hAnsi="Arial" w:cs="Arial"/>
          <w:sz w:val="20"/>
          <w:szCs w:val="20"/>
          <w:lang w:val="hr-HR"/>
        </w:rPr>
        <w:t xml:space="preserve"> </w:t>
      </w:r>
      <w:r w:rsidRPr="00B8170C">
        <w:rPr>
          <w:rFonts w:ascii="Arial" w:eastAsia="SimSun" w:hAnsi="Arial" w:cs="Arial"/>
          <w:sz w:val="20"/>
          <w:szCs w:val="20"/>
          <w:lang w:val="hr-HR"/>
        </w:rPr>
        <w:t>utjecaj značajnog događaja operativnog rizika na poslovanje Banke – potres u Zagrebu. Krizni događaj je evidentiran 2020. godine u bazu za operativni rizik, gdje se kontinuirano ažuriraju njegovi financijski efekti. Ujedno, s ciljem osiguranja neprekidnosti poslovanja uslijed nemogućnosti korištenja potresom oštećene glavne poslovne zgrade Banke, za radnike je omogućen nastavak djelomičnog rada od kuće.</w:t>
      </w:r>
    </w:p>
    <w:p w14:paraId="5B7D78CE" w14:textId="77777777" w:rsidR="004E2F51" w:rsidRPr="00B8170C" w:rsidRDefault="004E2F51" w:rsidP="004E2F51">
      <w:pPr>
        <w:jc w:val="both"/>
        <w:rPr>
          <w:rFonts w:ascii="Arial" w:eastAsia="SimSun" w:hAnsi="Arial" w:cs="Arial"/>
          <w:sz w:val="20"/>
          <w:szCs w:val="20"/>
          <w:lang w:val="hr-HR"/>
        </w:rPr>
      </w:pPr>
    </w:p>
    <w:p w14:paraId="7790698C" w14:textId="77777777" w:rsidR="004E2F51" w:rsidRPr="00D14589" w:rsidRDefault="004E2F51" w:rsidP="004E2F51">
      <w:pPr>
        <w:jc w:val="both"/>
        <w:rPr>
          <w:rFonts w:ascii="Arial" w:hAnsi="Arial" w:cs="Arial"/>
          <w:sz w:val="20"/>
          <w:szCs w:val="20"/>
          <w:lang w:val="hr-HR"/>
        </w:rPr>
      </w:pPr>
      <w:r w:rsidRPr="00B8170C">
        <w:rPr>
          <w:rFonts w:ascii="Arial" w:eastAsia="SimSun" w:hAnsi="Arial" w:cs="Arial"/>
          <w:sz w:val="20"/>
          <w:szCs w:val="20"/>
          <w:lang w:val="hr-HR"/>
        </w:rPr>
        <w:t>Dodatno, u 2022. na izloženost HBOR-a operativnom riziku</w:t>
      </w:r>
      <w:r>
        <w:rPr>
          <w:rFonts w:ascii="Arial" w:eastAsia="SimSun" w:hAnsi="Arial" w:cs="Arial"/>
          <w:sz w:val="20"/>
          <w:szCs w:val="20"/>
          <w:lang w:val="hr-HR"/>
        </w:rPr>
        <w:t xml:space="preserve"> je</w:t>
      </w:r>
      <w:r w:rsidRPr="00B8170C">
        <w:rPr>
          <w:rFonts w:ascii="Arial" w:eastAsia="SimSun" w:hAnsi="Arial" w:cs="Arial"/>
          <w:sz w:val="20"/>
          <w:szCs w:val="20"/>
          <w:lang w:val="hr-HR"/>
        </w:rPr>
        <w:t xml:space="preserve"> značajno </w:t>
      </w:r>
      <w:r>
        <w:rPr>
          <w:rFonts w:ascii="Arial" w:eastAsia="SimSun" w:hAnsi="Arial" w:cs="Arial"/>
          <w:sz w:val="20"/>
          <w:szCs w:val="20"/>
          <w:lang w:val="hr-HR"/>
        </w:rPr>
        <w:t>utjecao</w:t>
      </w:r>
      <w:r w:rsidRPr="00B8170C">
        <w:rPr>
          <w:rFonts w:ascii="Arial" w:eastAsia="SimSun" w:hAnsi="Arial" w:cs="Arial"/>
          <w:sz w:val="20"/>
          <w:szCs w:val="20"/>
          <w:lang w:val="hr-HR"/>
        </w:rPr>
        <w:t xml:space="preserve"> i projekt uvođenja EUR-a koji ima za cilj pravodobno usklađenje HBOR-a s Nacionalnim planom zamjene hrvatske kune eurom, Zakonom o uvođenu eura kao službene valute u RH kao i prilagodbe sa drugim zakonskim propisima kojima HBOR podliježe. Kako bi se osiguralo ispunjenje rokova, neprekidnost i cjelovitost poslovanja po prelasku na euro kao službenu valutu, HBOR-u je u fokusu</w:t>
      </w:r>
      <w:r>
        <w:rPr>
          <w:rFonts w:ascii="Arial" w:eastAsia="SimSun" w:hAnsi="Arial" w:cs="Arial"/>
          <w:sz w:val="20"/>
          <w:szCs w:val="20"/>
          <w:lang w:val="hr-HR"/>
        </w:rPr>
        <w:t xml:space="preserve"> bio</w:t>
      </w:r>
      <w:r w:rsidRPr="00B8170C">
        <w:rPr>
          <w:rFonts w:ascii="Arial" w:eastAsia="SimSun" w:hAnsi="Arial" w:cs="Arial"/>
          <w:sz w:val="20"/>
          <w:szCs w:val="20"/>
          <w:lang w:val="hr-HR"/>
        </w:rPr>
        <w:t xml:space="preserve"> prioritet</w:t>
      </w:r>
      <w:r>
        <w:rPr>
          <w:rFonts w:ascii="Arial" w:eastAsia="SimSun" w:hAnsi="Arial" w:cs="Arial"/>
          <w:sz w:val="20"/>
          <w:szCs w:val="20"/>
          <w:lang w:val="hr-HR"/>
        </w:rPr>
        <w:t xml:space="preserve"> ovog projekta</w:t>
      </w:r>
      <w:r w:rsidRPr="00B8170C">
        <w:rPr>
          <w:rFonts w:ascii="Arial" w:eastAsia="SimSun" w:hAnsi="Arial" w:cs="Arial"/>
          <w:sz w:val="20"/>
          <w:szCs w:val="20"/>
          <w:lang w:val="hr-HR"/>
        </w:rPr>
        <w:t xml:space="preserve"> i raspoloživost resursa za</w:t>
      </w:r>
      <w:r>
        <w:rPr>
          <w:rFonts w:ascii="Arial" w:eastAsia="SimSun" w:hAnsi="Arial" w:cs="Arial"/>
          <w:sz w:val="20"/>
          <w:szCs w:val="20"/>
          <w:lang w:val="hr-HR"/>
        </w:rPr>
        <w:t xml:space="preserve"> njegovo </w:t>
      </w:r>
      <w:r w:rsidRPr="00B8170C">
        <w:rPr>
          <w:rFonts w:ascii="Arial" w:eastAsia="SimSun" w:hAnsi="Arial" w:cs="Arial"/>
          <w:sz w:val="20"/>
          <w:szCs w:val="20"/>
          <w:lang w:val="hr-HR"/>
        </w:rPr>
        <w:t>pravodobno provođenje</w:t>
      </w:r>
    </w:p>
    <w:p w14:paraId="7A2E2395" w14:textId="77777777" w:rsidR="004E2F51" w:rsidRPr="00D14589" w:rsidRDefault="004E2F51" w:rsidP="004E2F51">
      <w:pPr>
        <w:jc w:val="both"/>
        <w:rPr>
          <w:rFonts w:ascii="Arial" w:hAnsi="Arial" w:cs="Arial"/>
          <w:b/>
          <w:color w:val="000000" w:themeColor="text1"/>
          <w:sz w:val="20"/>
          <w:szCs w:val="20"/>
          <w:lang w:val="hr-HR"/>
        </w:rPr>
      </w:pPr>
    </w:p>
    <w:p w14:paraId="5717F18E" w14:textId="77777777" w:rsidR="004E2F51" w:rsidRPr="00D14589" w:rsidRDefault="004E2F51" w:rsidP="004E2F51">
      <w:pPr>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Rizik eksternalizacije</w:t>
      </w:r>
    </w:p>
    <w:p w14:paraId="4C9ABA1D" w14:textId="77777777" w:rsidR="004E2F51" w:rsidRPr="00D14589" w:rsidRDefault="004E2F51" w:rsidP="004E2F51">
      <w:pPr>
        <w:jc w:val="both"/>
        <w:rPr>
          <w:rFonts w:ascii="Arial" w:hAnsi="Arial" w:cs="Arial"/>
          <w:color w:val="000000" w:themeColor="text1"/>
          <w:sz w:val="20"/>
          <w:szCs w:val="20"/>
          <w:lang w:val="hr-HR"/>
        </w:rPr>
      </w:pPr>
    </w:p>
    <w:p w14:paraId="66E2C918"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HBOR upravlja rizikom eksternalizacije temeljem internih akata usklađenih s regulativom HNB-a primjenjivom na HBOR kao posebnu financijsku instituciju. Internim aktima kojima je propisano upravljanje ovim rizikom utvrđeni su postupci provođenja eksternaliziranih aktivnosti, upravljanje odnosima s pružateljima usluga te svođenje rizika na najmanju mjeru.</w:t>
      </w:r>
    </w:p>
    <w:p w14:paraId="25498067" w14:textId="77777777" w:rsidR="004E2F51" w:rsidRPr="00D14589" w:rsidRDefault="004E2F51" w:rsidP="004E2F51">
      <w:pPr>
        <w:jc w:val="both"/>
        <w:rPr>
          <w:rFonts w:ascii="Arial" w:hAnsi="Arial" w:cs="Arial"/>
          <w:color w:val="000000" w:themeColor="text1"/>
          <w:sz w:val="20"/>
          <w:szCs w:val="20"/>
          <w:lang w:val="hr-HR"/>
        </w:rPr>
      </w:pPr>
    </w:p>
    <w:p w14:paraId="0FCFAB5D"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Uspostavljena je centralna evidencija o eksternaliziranim aktivnostima, a o materijalno značajnim eksternalizacijama godišnje se izvještava Uprava i Nadzorni odbor Banke.  </w:t>
      </w:r>
    </w:p>
    <w:p w14:paraId="2CEDCE40" w14:textId="77777777" w:rsidR="004E2F51" w:rsidRPr="00D14589" w:rsidRDefault="004E2F51" w:rsidP="004E2F51">
      <w:pPr>
        <w:jc w:val="both"/>
        <w:rPr>
          <w:rFonts w:ascii="Arial" w:hAnsi="Arial" w:cs="Arial"/>
          <w:color w:val="000000" w:themeColor="text1"/>
          <w:sz w:val="20"/>
          <w:szCs w:val="20"/>
          <w:lang w:val="hr-HR"/>
        </w:rPr>
      </w:pPr>
    </w:p>
    <w:p w14:paraId="3A0E4152" w14:textId="77777777" w:rsidR="004E2F51" w:rsidRPr="00D14589" w:rsidRDefault="004E2F51" w:rsidP="004E2F51">
      <w:pPr>
        <w:jc w:val="both"/>
        <w:rPr>
          <w:rFonts w:ascii="Arial" w:hAnsi="Arial" w:cs="Arial"/>
          <w:color w:val="000000" w:themeColor="text1"/>
          <w:sz w:val="20"/>
          <w:szCs w:val="20"/>
          <w:lang w:val="hr-HR"/>
        </w:rPr>
      </w:pPr>
      <w:r w:rsidRPr="00B8170C">
        <w:rPr>
          <w:rFonts w:ascii="Arial" w:hAnsi="Arial" w:cs="Arial"/>
          <w:color w:val="000000" w:themeColor="text1"/>
          <w:sz w:val="20"/>
          <w:szCs w:val="20"/>
          <w:lang w:val="hr-HR"/>
        </w:rPr>
        <w:t>Projekt uvođenja EUR-a</w:t>
      </w:r>
      <w:r>
        <w:rPr>
          <w:rFonts w:ascii="Arial" w:hAnsi="Arial" w:cs="Arial"/>
          <w:color w:val="000000" w:themeColor="text1"/>
          <w:sz w:val="20"/>
          <w:szCs w:val="20"/>
          <w:lang w:val="hr-HR"/>
        </w:rPr>
        <w:t xml:space="preserve"> je imao </w:t>
      </w:r>
      <w:r w:rsidRPr="00B8170C">
        <w:rPr>
          <w:rFonts w:ascii="Arial" w:hAnsi="Arial" w:cs="Arial"/>
          <w:color w:val="000000" w:themeColor="text1"/>
          <w:sz w:val="20"/>
          <w:szCs w:val="20"/>
          <w:lang w:val="hr-HR"/>
        </w:rPr>
        <w:t>imati će utjecaj i na rizik eksternalizacije za eksternalizirane ključne („core“) aktivnosti, s obzirom na kompleksnost projekta i zakonski rok, te</w:t>
      </w:r>
      <w:r>
        <w:rPr>
          <w:rFonts w:ascii="Arial" w:hAnsi="Arial" w:cs="Arial"/>
          <w:color w:val="000000" w:themeColor="text1"/>
          <w:sz w:val="20"/>
          <w:szCs w:val="20"/>
          <w:lang w:val="hr-HR"/>
        </w:rPr>
        <w:t xml:space="preserve"> je</w:t>
      </w:r>
      <w:r w:rsidRPr="00B8170C">
        <w:rPr>
          <w:rFonts w:ascii="Arial" w:hAnsi="Arial" w:cs="Arial"/>
          <w:color w:val="000000" w:themeColor="text1"/>
          <w:sz w:val="20"/>
          <w:szCs w:val="20"/>
          <w:lang w:val="hr-HR"/>
        </w:rPr>
        <w:t xml:space="preserve"> HBOR u suradnji s ključnim pružateljima usluga provodi potrebne mjere </w:t>
      </w:r>
      <w:r>
        <w:rPr>
          <w:rFonts w:ascii="Arial" w:hAnsi="Arial" w:cs="Arial"/>
          <w:color w:val="000000" w:themeColor="text1"/>
          <w:sz w:val="20"/>
          <w:szCs w:val="20"/>
          <w:lang w:val="hr-HR"/>
        </w:rPr>
        <w:t>svođenja</w:t>
      </w:r>
      <w:r w:rsidRPr="00B8170C">
        <w:rPr>
          <w:rFonts w:ascii="Arial" w:hAnsi="Arial" w:cs="Arial"/>
          <w:color w:val="000000" w:themeColor="text1"/>
          <w:sz w:val="20"/>
          <w:szCs w:val="20"/>
          <w:lang w:val="hr-HR"/>
        </w:rPr>
        <w:t xml:space="preserve"> ovog rizika na najmanju mjeru</w:t>
      </w:r>
      <w:r>
        <w:rPr>
          <w:rFonts w:ascii="Arial" w:hAnsi="Arial" w:cs="Arial"/>
          <w:color w:val="000000" w:themeColor="text1"/>
          <w:sz w:val="20"/>
          <w:szCs w:val="20"/>
          <w:lang w:val="hr-HR"/>
        </w:rPr>
        <w:t>.</w:t>
      </w:r>
    </w:p>
    <w:p w14:paraId="4FECB8FC" w14:textId="77777777" w:rsidR="004E2F51" w:rsidRPr="00D14589" w:rsidRDefault="004E2F51" w:rsidP="004E2F51">
      <w:pPr>
        <w:jc w:val="both"/>
        <w:rPr>
          <w:rFonts w:ascii="Arial" w:hAnsi="Arial" w:cs="Arial"/>
          <w:color w:val="000000" w:themeColor="text1"/>
          <w:sz w:val="20"/>
          <w:szCs w:val="20"/>
          <w:lang w:val="hr-HR"/>
        </w:rPr>
        <w:sectPr w:rsidR="004E2F51" w:rsidRPr="00D14589" w:rsidSect="00F625B3">
          <w:footerReference w:type="default" r:id="rId163"/>
          <w:pgSz w:w="11907" w:h="16840" w:code="9"/>
          <w:pgMar w:top="1418" w:right="1134" w:bottom="1134" w:left="1418" w:header="851" w:footer="851" w:gutter="0"/>
          <w:cols w:space="720"/>
          <w:noEndnote/>
        </w:sectPr>
      </w:pPr>
    </w:p>
    <w:p w14:paraId="47817F5A" w14:textId="77777777" w:rsidR="004E2F51" w:rsidRPr="00D14589" w:rsidRDefault="004E2F51" w:rsidP="004E2F51">
      <w:pPr>
        <w:jc w:val="both"/>
        <w:rPr>
          <w:rFonts w:ascii="Arial" w:hAnsi="Arial" w:cs="Arial"/>
          <w:color w:val="000000" w:themeColor="text1"/>
          <w:sz w:val="20"/>
          <w:szCs w:val="20"/>
          <w:lang w:val="hr-HR"/>
        </w:rPr>
      </w:pPr>
    </w:p>
    <w:p w14:paraId="4DFF7770" w14:textId="77777777" w:rsidR="004E2F51" w:rsidRPr="00D14589" w:rsidRDefault="004E2F51" w:rsidP="004E2F51">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Pr>
          <w:rFonts w:ascii="Arial" w:hAnsi="Arial" w:cs="Arial"/>
          <w:b/>
          <w:color w:val="000000" w:themeColor="text1"/>
          <w:sz w:val="20"/>
          <w:szCs w:val="20"/>
          <w:lang w:val="hr-HR" w:eastAsia="hr-HR"/>
        </w:rPr>
        <w:t>1</w:t>
      </w:r>
      <w:r w:rsidRPr="00D14589">
        <w:rPr>
          <w:rFonts w:ascii="Arial" w:hAnsi="Arial" w:cs="Arial"/>
          <w:b/>
          <w:color w:val="000000" w:themeColor="text1"/>
          <w:sz w:val="20"/>
          <w:szCs w:val="20"/>
          <w:lang w:val="hr-HR" w:eastAsia="hr-HR"/>
        </w:rPr>
        <w:t>.</w:t>
      </w:r>
      <w:r w:rsidRPr="00D14589">
        <w:rPr>
          <w:rFonts w:ascii="Arial" w:hAnsi="Arial" w:cs="Arial"/>
          <w:b/>
          <w:color w:val="000000" w:themeColor="text1"/>
          <w:sz w:val="20"/>
          <w:szCs w:val="20"/>
          <w:lang w:val="hr-HR"/>
        </w:rPr>
        <w:tab/>
        <w:t>Upravljanje rizicima (nastavak)</w:t>
      </w:r>
    </w:p>
    <w:p w14:paraId="5C95D210" w14:textId="77777777" w:rsidR="004E2F51" w:rsidRPr="00D14589" w:rsidRDefault="004E2F51" w:rsidP="004E2F51">
      <w:pPr>
        <w:jc w:val="both"/>
        <w:rPr>
          <w:rFonts w:ascii="Arial" w:hAnsi="Arial" w:cs="Arial"/>
          <w:color w:val="000000" w:themeColor="text1"/>
          <w:sz w:val="20"/>
          <w:szCs w:val="20"/>
          <w:lang w:val="hr-HR"/>
        </w:rPr>
      </w:pPr>
    </w:p>
    <w:p w14:paraId="7AA88980" w14:textId="77777777" w:rsidR="004E2F51" w:rsidRPr="00D14589" w:rsidRDefault="004E2F51" w:rsidP="004E2F51">
      <w:pPr>
        <w:tabs>
          <w:tab w:val="left" w:pos="567"/>
        </w:tabs>
        <w:spacing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Pr>
          <w:rFonts w:ascii="Arial" w:hAnsi="Arial" w:cs="Arial"/>
          <w:b/>
          <w:color w:val="000000" w:themeColor="text1"/>
          <w:sz w:val="20"/>
          <w:szCs w:val="20"/>
          <w:lang w:val="hr-HR"/>
        </w:rPr>
        <w:t>1</w:t>
      </w:r>
      <w:r w:rsidRPr="00D14589">
        <w:rPr>
          <w:rFonts w:ascii="Arial" w:hAnsi="Arial" w:cs="Arial"/>
          <w:b/>
          <w:color w:val="000000" w:themeColor="text1"/>
          <w:sz w:val="20"/>
          <w:szCs w:val="20"/>
          <w:lang w:val="hr-HR"/>
        </w:rPr>
        <w:t>.2.</w:t>
      </w:r>
      <w:r w:rsidRPr="00D14589">
        <w:rPr>
          <w:rFonts w:ascii="Arial" w:hAnsi="Arial" w:cs="Arial"/>
          <w:b/>
          <w:color w:val="000000" w:themeColor="text1"/>
          <w:sz w:val="20"/>
          <w:szCs w:val="20"/>
          <w:lang w:val="hr-HR"/>
        </w:rPr>
        <w:tab/>
        <w:t>Strategija i sustavi upravljanja rizicima</w:t>
      </w:r>
    </w:p>
    <w:p w14:paraId="2EAFDD9A" w14:textId="77777777" w:rsidR="004E2F51" w:rsidRPr="00D14589" w:rsidRDefault="004E2F51" w:rsidP="004E2F51">
      <w:pPr>
        <w:spacing w:before="120" w:line="300" w:lineRule="exact"/>
        <w:jc w:val="both"/>
        <w:rPr>
          <w:rFonts w:ascii="Arial" w:hAnsi="Arial" w:cs="Arial"/>
          <w:color w:val="000000" w:themeColor="text1"/>
          <w:sz w:val="20"/>
          <w:szCs w:val="20"/>
          <w:lang w:val="hr-HR"/>
        </w:rPr>
      </w:pPr>
      <w:r w:rsidRPr="00D14589">
        <w:rPr>
          <w:rFonts w:ascii="Arial" w:hAnsi="Arial" w:cs="Arial"/>
          <w:b/>
          <w:color w:val="000000" w:themeColor="text1"/>
          <w:sz w:val="20"/>
          <w:szCs w:val="20"/>
          <w:lang w:val="hr-HR"/>
        </w:rPr>
        <w:t xml:space="preserve">Nadzorni odbor </w:t>
      </w:r>
      <w:r w:rsidRPr="00D14589">
        <w:rPr>
          <w:rFonts w:ascii="Arial" w:hAnsi="Arial" w:cs="Arial"/>
          <w:color w:val="000000" w:themeColor="text1"/>
          <w:sz w:val="20"/>
          <w:szCs w:val="20"/>
          <w:lang w:val="hr-HR"/>
        </w:rPr>
        <w:t>odgovoran je za nadgledanje primjerenosti i učinkovitosti procesa upravljanja rizicima u Grupi. Nadzorni odbor donosi Strategiju upravljanja rizicima HBOR-a kojom se uspostavljaju osnovna načela i standardi upravljanja rizicima te se definira sklonost preuzimanju rizika.</w:t>
      </w:r>
    </w:p>
    <w:p w14:paraId="2BD51837" w14:textId="77777777" w:rsidR="004E2F51" w:rsidRPr="00D14589" w:rsidRDefault="004E2F51" w:rsidP="004E2F51">
      <w:pPr>
        <w:spacing w:before="120"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 xml:space="preserve">Uprava Banke </w:t>
      </w:r>
      <w:r w:rsidRPr="00D14589">
        <w:rPr>
          <w:rFonts w:ascii="Arial" w:hAnsi="Arial" w:cs="Arial"/>
          <w:color w:val="000000" w:themeColor="text1"/>
          <w:sz w:val="20"/>
          <w:szCs w:val="20"/>
          <w:lang w:val="hr-HR"/>
        </w:rPr>
        <w:t>odgovorna je za provođenje strategije upravljanja rizicima te uspostavljanje učinkovitog i pouzdanog sustava upravljanja svim rizicima. Za potrebu ostvarenja svoje funkcije Uprava je svoja ovlaštenja za upravljanje rizicima delegirala na tri odbora.</w:t>
      </w:r>
      <w:r w:rsidRPr="00D14589">
        <w:rPr>
          <w:rFonts w:ascii="Arial" w:hAnsi="Arial" w:cs="Arial"/>
          <w:b/>
          <w:color w:val="000000" w:themeColor="text1"/>
          <w:sz w:val="20"/>
          <w:szCs w:val="20"/>
          <w:lang w:val="hr-HR"/>
        </w:rPr>
        <w:t xml:space="preserve"> </w:t>
      </w:r>
    </w:p>
    <w:p w14:paraId="290EC375" w14:textId="77777777" w:rsidR="004E2F51" w:rsidRPr="00D14589" w:rsidRDefault="004E2F51" w:rsidP="004E2F51">
      <w:pPr>
        <w:keepNext/>
        <w:widowControl w:val="0"/>
        <w:tabs>
          <w:tab w:val="left" w:pos="426"/>
        </w:tabs>
        <w:spacing w:before="240" w:line="300" w:lineRule="exact"/>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Odbori za upravljanje rizicima</w:t>
      </w:r>
    </w:p>
    <w:p w14:paraId="366D324D" w14:textId="77777777" w:rsidR="004E2F51" w:rsidRPr="00D14589" w:rsidRDefault="004E2F51">
      <w:pPr>
        <w:numPr>
          <w:ilvl w:val="0"/>
          <w:numId w:val="42"/>
        </w:numPr>
        <w:suppressAutoHyphens w:val="0"/>
        <w:autoSpaceDN/>
        <w:spacing w:before="120" w:line="300" w:lineRule="exact"/>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Odbor za upravljanje aktivom i pasivom</w:t>
      </w:r>
      <w:r w:rsidRPr="00D14589">
        <w:rPr>
          <w:rFonts w:ascii="Arial" w:hAnsi="Arial" w:cs="Arial"/>
          <w:color w:val="000000" w:themeColor="text1"/>
          <w:sz w:val="20"/>
          <w:szCs w:val="20"/>
          <w:lang w:val="hr-HR"/>
        </w:rPr>
        <w:t xml:space="preserve"> – upravlja rizikom likvidnosti, kamatnim rizikom i valutnim rizikom sukladno odredbama: Pravilnika o upravljanju rizikom likvidnosti, Pravilnika o upravljanju valutnim rizikom, Procedura upravljanja kamatnim rizikom, Pravilnika o knjizi trgovanja,  Politika upravljanja aktivom i pasivom te ostalih akata Banke kojima je regulirano ovo područje,</w:t>
      </w:r>
      <w:r w:rsidRPr="00D14589">
        <w:rPr>
          <w:rFonts w:ascii="Arial" w:hAnsi="Arial" w:cs="Arial"/>
          <w:b/>
          <w:color w:val="000000" w:themeColor="text1"/>
          <w:sz w:val="20"/>
          <w:szCs w:val="20"/>
          <w:lang w:val="hr-HR"/>
        </w:rPr>
        <w:t xml:space="preserve"> </w:t>
      </w:r>
    </w:p>
    <w:p w14:paraId="162F82CD" w14:textId="77777777" w:rsidR="004E2F51" w:rsidRPr="00D14589" w:rsidRDefault="004E2F51">
      <w:pPr>
        <w:numPr>
          <w:ilvl w:val="0"/>
          <w:numId w:val="42"/>
        </w:numPr>
        <w:suppressAutoHyphens w:val="0"/>
        <w:autoSpaceDN/>
        <w:spacing w:before="120" w:line="300" w:lineRule="exact"/>
        <w:jc w:val="both"/>
        <w:rPr>
          <w:rFonts w:ascii="Arial" w:hAnsi="Arial" w:cs="Arial"/>
          <w:color w:val="000000" w:themeColor="text1"/>
          <w:sz w:val="20"/>
          <w:szCs w:val="20"/>
          <w:lang w:val="hr-HR"/>
        </w:rPr>
      </w:pPr>
      <w:r w:rsidRPr="00D14589">
        <w:rPr>
          <w:rFonts w:ascii="Arial" w:hAnsi="Arial" w:cs="Arial"/>
          <w:b/>
          <w:color w:val="000000" w:themeColor="text1"/>
          <w:sz w:val="20"/>
          <w:szCs w:val="20"/>
          <w:lang w:val="hr-HR"/>
        </w:rPr>
        <w:t xml:space="preserve">Odbor za procjenu i mjerenje kreditnog rizika </w:t>
      </w:r>
      <w:r w:rsidRPr="00D14589">
        <w:rPr>
          <w:rFonts w:ascii="Arial" w:hAnsi="Arial" w:cs="Arial"/>
          <w:color w:val="000000" w:themeColor="text1"/>
          <w:sz w:val="20"/>
          <w:szCs w:val="20"/>
          <w:lang w:val="hr-HR"/>
        </w:rPr>
        <w:t>– upravlja kreditnim rizikom u okviru propisanih Kreditnih politika, Pravilnika o upravljanju kreditnim rizikom, metodologija i ostalih internih akata koji obuhvaćaju problematiku vezanu uz kreditni rizik,</w:t>
      </w:r>
    </w:p>
    <w:p w14:paraId="37B9A93F" w14:textId="77777777" w:rsidR="004E2F51" w:rsidRPr="00D14589" w:rsidRDefault="004E2F51">
      <w:pPr>
        <w:numPr>
          <w:ilvl w:val="0"/>
          <w:numId w:val="42"/>
        </w:numPr>
        <w:suppressAutoHyphens w:val="0"/>
        <w:autoSpaceDN/>
        <w:spacing w:before="120" w:line="300" w:lineRule="exact"/>
        <w:jc w:val="both"/>
        <w:rPr>
          <w:rFonts w:ascii="Arial" w:hAnsi="Arial" w:cs="Arial"/>
          <w:color w:val="000000" w:themeColor="text1"/>
          <w:sz w:val="20"/>
          <w:szCs w:val="20"/>
          <w:lang w:val="hr-HR"/>
        </w:rPr>
      </w:pPr>
      <w:r w:rsidRPr="00D14589">
        <w:rPr>
          <w:rFonts w:ascii="Arial" w:hAnsi="Arial" w:cs="Arial"/>
          <w:b/>
          <w:color w:val="000000" w:themeColor="text1"/>
          <w:sz w:val="20"/>
          <w:szCs w:val="20"/>
          <w:lang w:val="hr-HR"/>
        </w:rPr>
        <w:t xml:space="preserve">Odbor za upravljanje informacijskim sustavom HBOR-a </w:t>
      </w:r>
      <w:r w:rsidRPr="00D14589">
        <w:rPr>
          <w:rFonts w:ascii="Arial" w:hAnsi="Arial" w:cs="Arial"/>
          <w:color w:val="000000" w:themeColor="text1"/>
          <w:sz w:val="20"/>
          <w:szCs w:val="20"/>
          <w:lang w:val="hr-HR"/>
        </w:rPr>
        <w:t>– upravlja resursima informacijskog sustava uz primjereno upravljanje rizicima koji proizlaze iz korištenja informacijske tehnologije.</w:t>
      </w:r>
    </w:p>
    <w:p w14:paraId="689EA742" w14:textId="77777777" w:rsidR="004E2F51" w:rsidRPr="00D14589" w:rsidRDefault="004E2F51" w:rsidP="004E2F51">
      <w:pPr>
        <w:spacing w:before="120" w:line="300" w:lineRule="exact"/>
        <w:jc w:val="both"/>
        <w:rPr>
          <w:rFonts w:ascii="Arial" w:hAnsi="Arial" w:cs="Arial"/>
          <w:color w:val="000000" w:themeColor="text1"/>
          <w:sz w:val="20"/>
          <w:szCs w:val="20"/>
          <w:lang w:val="hr-HR"/>
        </w:rPr>
      </w:pPr>
    </w:p>
    <w:p w14:paraId="298372DC" w14:textId="77777777" w:rsidR="004E2F51" w:rsidRPr="00D14589" w:rsidRDefault="004E2F51" w:rsidP="004E2F51">
      <w:pPr>
        <w:keepNext/>
        <w:widowControl w:val="0"/>
        <w:tabs>
          <w:tab w:val="left" w:pos="426"/>
        </w:tabs>
        <w:spacing w:line="300" w:lineRule="exact"/>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Sektor upravljan</w:t>
      </w:r>
      <w:r>
        <w:rPr>
          <w:rFonts w:ascii="Arial" w:hAnsi="Arial" w:cs="Arial"/>
          <w:b/>
          <w:color w:val="000000" w:themeColor="text1"/>
          <w:sz w:val="20"/>
          <w:szCs w:val="20"/>
          <w:lang w:val="hr-HR"/>
        </w:rPr>
        <w:t>j</w:t>
      </w:r>
      <w:r w:rsidRPr="00D14589">
        <w:rPr>
          <w:rFonts w:ascii="Arial" w:hAnsi="Arial" w:cs="Arial"/>
          <w:b/>
          <w:color w:val="000000" w:themeColor="text1"/>
          <w:sz w:val="20"/>
          <w:szCs w:val="20"/>
          <w:lang w:val="hr-HR"/>
        </w:rPr>
        <w:t>a rizicima</w:t>
      </w:r>
    </w:p>
    <w:p w14:paraId="32DA1A45" w14:textId="77777777" w:rsidR="004E2F51" w:rsidRPr="00D14589" w:rsidRDefault="004E2F51" w:rsidP="004E2F51">
      <w:pPr>
        <w:jc w:val="both"/>
        <w:rPr>
          <w:rFonts w:ascii="Arial" w:hAnsi="Arial" w:cs="Arial"/>
          <w:color w:val="000000" w:themeColor="text1"/>
          <w:sz w:val="20"/>
          <w:szCs w:val="20"/>
          <w:lang w:val="hr-HR"/>
        </w:rPr>
      </w:pPr>
    </w:p>
    <w:p w14:paraId="742E9351"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Sektor upravljanja rizicima je stalna funkcija kontrole rizika, funkcionalno i organizacijski neovisna o poslovnim procesima i aktivnostima u kojima rizik nastaje odnosno koje prati i nadzire. Odgovoran je za kontrolu, utvrđivanje, mjerenje odnosno procjenu i nadzor rizika kojima je HBOR u svom poslovanju izložen ili bi mogao biti izložen.</w:t>
      </w:r>
    </w:p>
    <w:p w14:paraId="39D68ADB" w14:textId="77777777" w:rsidR="004E2F51" w:rsidRPr="00D14589" w:rsidRDefault="004E2F51" w:rsidP="004E2F51">
      <w:pPr>
        <w:jc w:val="both"/>
        <w:rPr>
          <w:rFonts w:ascii="Arial" w:hAnsi="Arial" w:cs="Arial"/>
          <w:color w:val="000000" w:themeColor="text1"/>
          <w:sz w:val="20"/>
          <w:szCs w:val="20"/>
          <w:lang w:val="hr-HR"/>
        </w:rPr>
      </w:pPr>
    </w:p>
    <w:p w14:paraId="7699B3EB"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Svoju funkciju Sektor upravljanja rizicima ostvaruje analizom te procjenom, odnosno mjerenjem rizika, razvojem pravilnika, politika i metodologija za upravljanje rizicima, nadzorom i praćenjem njihove primjene, predlaganjem i kontrolom poštivanja usvojenih limita izloženosti, davanjem prijedloga i preporuka za primjereno upravljanje rizicima te izvješćivanjem nadležnih tijela. </w:t>
      </w:r>
    </w:p>
    <w:p w14:paraId="01983FB4" w14:textId="77777777" w:rsidR="004E2F51" w:rsidRPr="00D14589" w:rsidRDefault="004E2F51" w:rsidP="004E2F51">
      <w:pPr>
        <w:jc w:val="both"/>
        <w:rPr>
          <w:rFonts w:ascii="Arial" w:hAnsi="Arial" w:cs="Arial"/>
          <w:color w:val="000000" w:themeColor="text1"/>
          <w:sz w:val="20"/>
          <w:szCs w:val="20"/>
          <w:lang w:val="hr-HR"/>
        </w:rPr>
      </w:pPr>
    </w:p>
    <w:p w14:paraId="48D07D49" w14:textId="77777777" w:rsidR="004E2F51" w:rsidRPr="00D14589" w:rsidRDefault="004E2F51" w:rsidP="004E2F51">
      <w:pPr>
        <w:jc w:val="both"/>
        <w:rPr>
          <w:rFonts w:ascii="Arial" w:hAnsi="Arial" w:cs="Arial"/>
          <w:color w:val="000000" w:themeColor="text1"/>
          <w:sz w:val="20"/>
          <w:szCs w:val="20"/>
          <w:lang w:val="hr-HR"/>
        </w:rPr>
        <w:sectPr w:rsidR="004E2F51" w:rsidRPr="00D14589" w:rsidSect="00623DBA">
          <w:footerReference w:type="default" r:id="rId164"/>
          <w:pgSz w:w="11907" w:h="16840" w:code="9"/>
          <w:pgMar w:top="1418" w:right="1134" w:bottom="1134" w:left="1418" w:header="851" w:footer="851" w:gutter="0"/>
          <w:cols w:space="720"/>
          <w:noEndnote/>
        </w:sectPr>
      </w:pPr>
      <w:r w:rsidRPr="00D14589">
        <w:rPr>
          <w:rFonts w:ascii="Arial" w:hAnsi="Arial" w:cs="Arial"/>
          <w:color w:val="000000" w:themeColor="text1"/>
          <w:sz w:val="20"/>
          <w:szCs w:val="20"/>
          <w:lang w:val="hr-HR"/>
        </w:rPr>
        <w:t>Strategija upravljanja rizicima usmjerena je prema postizanju i održavanju kvalitetnog i učinkovitog sustava upravljanja rizicima</w:t>
      </w:r>
      <w:r>
        <w:rPr>
          <w:rFonts w:ascii="Arial" w:hAnsi="Arial" w:cs="Arial"/>
          <w:color w:val="000000" w:themeColor="text1"/>
          <w:sz w:val="20"/>
          <w:szCs w:val="20"/>
          <w:lang w:val="hr-HR"/>
        </w:rPr>
        <w:t xml:space="preserve">, </w:t>
      </w:r>
      <w:r w:rsidRPr="00064D07">
        <w:rPr>
          <w:rFonts w:ascii="Arial" w:hAnsi="Arial" w:cs="Arial"/>
          <w:color w:val="000000" w:themeColor="text1"/>
          <w:sz w:val="20"/>
          <w:szCs w:val="20"/>
          <w:lang w:val="hr-HR"/>
        </w:rPr>
        <w:t>na daljnji razvoj i unapređenje tog sustava u smjeru usklađenja s bankovnom regulativom te relevantnim preporukama i smjernicama, uvažavajući specifičnosti HBOR-a kao razvojne i izvozne banke i posebne financijske institucije</w:t>
      </w:r>
      <w:r>
        <w:rPr>
          <w:rFonts w:ascii="Arial" w:hAnsi="Arial" w:cs="Arial"/>
          <w:color w:val="000000" w:themeColor="text1"/>
          <w:sz w:val="20"/>
          <w:szCs w:val="20"/>
          <w:lang w:val="hr-HR"/>
        </w:rPr>
        <w:t>.</w:t>
      </w:r>
    </w:p>
    <w:p w14:paraId="01632966" w14:textId="77777777" w:rsidR="004E2F51" w:rsidRPr="00D14589" w:rsidRDefault="004E2F51" w:rsidP="004E2F51">
      <w:pPr>
        <w:jc w:val="both"/>
        <w:rPr>
          <w:rFonts w:ascii="Arial" w:hAnsi="Arial" w:cs="Arial"/>
          <w:b/>
          <w:color w:val="000000" w:themeColor="text1"/>
          <w:sz w:val="20"/>
          <w:szCs w:val="20"/>
          <w:lang w:val="hr-HR" w:eastAsia="hr-HR"/>
        </w:rPr>
      </w:pPr>
    </w:p>
    <w:p w14:paraId="5437DEC2" w14:textId="77777777" w:rsidR="004E2F51" w:rsidRPr="00D14589" w:rsidRDefault="004E2F51" w:rsidP="004E2F51">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Pr>
          <w:rFonts w:ascii="Arial" w:hAnsi="Arial" w:cs="Arial"/>
          <w:b/>
          <w:color w:val="000000" w:themeColor="text1"/>
          <w:sz w:val="20"/>
          <w:szCs w:val="20"/>
          <w:lang w:val="hr-HR" w:eastAsia="hr-HR"/>
        </w:rPr>
        <w:t>1</w:t>
      </w:r>
      <w:r w:rsidRPr="00D14589">
        <w:rPr>
          <w:rFonts w:ascii="Arial" w:hAnsi="Arial" w:cs="Arial"/>
          <w:b/>
          <w:color w:val="000000" w:themeColor="text1"/>
          <w:sz w:val="20"/>
          <w:szCs w:val="20"/>
          <w:lang w:val="hr-HR" w:eastAsia="hr-HR"/>
        </w:rPr>
        <w:t>.</w:t>
      </w:r>
      <w:r w:rsidRPr="00D14589">
        <w:rPr>
          <w:rFonts w:ascii="Arial" w:hAnsi="Arial" w:cs="Arial"/>
          <w:b/>
          <w:color w:val="000000" w:themeColor="text1"/>
          <w:sz w:val="20"/>
          <w:szCs w:val="20"/>
          <w:lang w:val="hr-HR"/>
        </w:rPr>
        <w:tab/>
        <w:t>Upravljanje rizicima (nastavak)</w:t>
      </w:r>
    </w:p>
    <w:p w14:paraId="7E6994DC" w14:textId="77777777" w:rsidR="004E2F51" w:rsidRPr="00D14589" w:rsidRDefault="004E2F51" w:rsidP="004E2F51">
      <w:pPr>
        <w:jc w:val="both"/>
        <w:rPr>
          <w:rFonts w:ascii="Arial" w:hAnsi="Arial" w:cs="Arial"/>
          <w:b/>
          <w:color w:val="000000" w:themeColor="text1"/>
          <w:sz w:val="20"/>
          <w:szCs w:val="20"/>
          <w:lang w:val="hr-HR"/>
        </w:rPr>
      </w:pPr>
    </w:p>
    <w:p w14:paraId="3380C62A" w14:textId="77777777" w:rsidR="004E2F51" w:rsidRPr="00D14589" w:rsidRDefault="004E2F51" w:rsidP="004E2F51">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3</w:t>
      </w:r>
      <w:r>
        <w:rPr>
          <w:rFonts w:ascii="Arial" w:hAnsi="Arial" w:cs="Arial"/>
          <w:b/>
          <w:color w:val="000000" w:themeColor="text1"/>
          <w:sz w:val="20"/>
          <w:szCs w:val="20"/>
          <w:lang w:val="hr-HR"/>
        </w:rPr>
        <w:t>1</w:t>
      </w:r>
      <w:r w:rsidRPr="00D14589">
        <w:rPr>
          <w:rFonts w:ascii="Arial" w:hAnsi="Arial" w:cs="Arial"/>
          <w:b/>
          <w:color w:val="000000" w:themeColor="text1"/>
          <w:sz w:val="20"/>
          <w:szCs w:val="20"/>
          <w:lang w:val="hr-HR"/>
        </w:rPr>
        <w:t>.2.</w:t>
      </w:r>
      <w:r w:rsidRPr="00D14589">
        <w:rPr>
          <w:rFonts w:ascii="Arial" w:hAnsi="Arial" w:cs="Arial"/>
          <w:b/>
          <w:color w:val="000000" w:themeColor="text1"/>
          <w:sz w:val="20"/>
          <w:szCs w:val="20"/>
          <w:lang w:val="hr-HR"/>
        </w:rPr>
        <w:tab/>
        <w:t>Strategija i sustavi upravljanja rizicima (nastavak)</w:t>
      </w:r>
    </w:p>
    <w:p w14:paraId="6E3F180A" w14:textId="77777777" w:rsidR="004E2F51" w:rsidRPr="00D14589" w:rsidRDefault="004E2F51" w:rsidP="004E2F51">
      <w:pPr>
        <w:keepNext/>
        <w:widowControl w:val="0"/>
        <w:tabs>
          <w:tab w:val="left" w:pos="426"/>
        </w:tabs>
        <w:spacing w:line="300" w:lineRule="exact"/>
        <w:rPr>
          <w:rFonts w:ascii="Arial" w:hAnsi="Arial" w:cs="Arial"/>
          <w:b/>
          <w:color w:val="000000" w:themeColor="text1"/>
          <w:sz w:val="20"/>
          <w:szCs w:val="20"/>
          <w:lang w:val="hr-HR"/>
        </w:rPr>
      </w:pPr>
    </w:p>
    <w:p w14:paraId="058A2F39" w14:textId="6909AA57" w:rsidR="004E2F51" w:rsidRDefault="004E2F51" w:rsidP="004E2F51">
      <w:pPr>
        <w:keepNext/>
        <w:widowControl w:val="0"/>
        <w:tabs>
          <w:tab w:val="left" w:pos="426"/>
        </w:tabs>
        <w:spacing w:line="300" w:lineRule="exact"/>
        <w:rPr>
          <w:rFonts w:ascii="Arial" w:hAnsi="Arial" w:cs="Arial"/>
          <w:b/>
          <w:color w:val="000000" w:themeColor="text1"/>
          <w:sz w:val="20"/>
          <w:szCs w:val="20"/>
          <w:lang w:val="hr-HR"/>
        </w:rPr>
      </w:pPr>
      <w:r w:rsidRPr="00D14589">
        <w:rPr>
          <w:rFonts w:ascii="Arial" w:hAnsi="Arial" w:cs="Arial"/>
          <w:b/>
          <w:color w:val="000000" w:themeColor="text1"/>
          <w:sz w:val="20"/>
          <w:szCs w:val="20"/>
          <w:lang w:val="hr-HR"/>
        </w:rPr>
        <w:t>Mjerenje rizika i sustavi izvješćivanja</w:t>
      </w:r>
    </w:p>
    <w:p w14:paraId="32D8BF39" w14:textId="77777777" w:rsidR="00324128" w:rsidRPr="00D14589" w:rsidRDefault="00324128" w:rsidP="004E2F51">
      <w:pPr>
        <w:keepNext/>
        <w:widowControl w:val="0"/>
        <w:tabs>
          <w:tab w:val="left" w:pos="426"/>
        </w:tabs>
        <w:spacing w:line="300" w:lineRule="exact"/>
        <w:rPr>
          <w:rFonts w:ascii="Arial" w:hAnsi="Arial" w:cs="Arial"/>
          <w:b/>
          <w:color w:val="000000" w:themeColor="text1"/>
          <w:sz w:val="20"/>
          <w:szCs w:val="20"/>
          <w:lang w:val="hr-HR"/>
        </w:rPr>
      </w:pPr>
    </w:p>
    <w:p w14:paraId="21424D4A" w14:textId="77777777" w:rsidR="004E2F51" w:rsidRPr="00D14589" w:rsidRDefault="004E2F51" w:rsidP="00324128">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Pri procjeni, odnosno mjerenju rizika uvažavaju se povijesni podaci, planovi poslovanja, trenutni i očekivani tržišni uvjeti te specifičnosti Banke kao posebne financijske institucije.</w:t>
      </w:r>
    </w:p>
    <w:p w14:paraId="079BD07A" w14:textId="77777777" w:rsidR="004E2F51" w:rsidRPr="00324128" w:rsidRDefault="004E2F51" w:rsidP="00324128">
      <w:pPr>
        <w:jc w:val="both"/>
        <w:rPr>
          <w:rFonts w:ascii="Arial" w:hAnsi="Arial" w:cs="Arial"/>
          <w:color w:val="000000" w:themeColor="text1"/>
          <w:sz w:val="20"/>
          <w:szCs w:val="20"/>
          <w:lang w:val="hr-HR"/>
        </w:rPr>
      </w:pPr>
    </w:p>
    <w:p w14:paraId="7F997B75" w14:textId="00E7D30E" w:rsidR="004E2F51" w:rsidRDefault="004E2F51" w:rsidP="00324128">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Rezultati procjene odnosno mjerenja, provedenih analiza te testiranja otpornosti na stres izlažu se na sjednicama odbora</w:t>
      </w:r>
      <w:r w:rsidRPr="00324128">
        <w:rPr>
          <w:rFonts w:ascii="Arial" w:hAnsi="Arial" w:cs="Arial"/>
          <w:color w:val="000000" w:themeColor="text1"/>
          <w:sz w:val="20"/>
          <w:szCs w:val="20"/>
          <w:lang w:val="hr-HR"/>
        </w:rPr>
        <w:t xml:space="preserve"> </w:t>
      </w:r>
      <w:r w:rsidRPr="00D14589">
        <w:rPr>
          <w:rFonts w:ascii="Arial" w:hAnsi="Arial" w:cs="Arial"/>
          <w:color w:val="000000" w:themeColor="text1"/>
          <w:sz w:val="20"/>
          <w:szCs w:val="20"/>
          <w:lang w:val="hr-HR"/>
        </w:rPr>
        <w:t>za upravljanje rizicima</w:t>
      </w:r>
      <w:r>
        <w:rPr>
          <w:rFonts w:ascii="Arial" w:hAnsi="Arial" w:cs="Arial"/>
          <w:color w:val="000000" w:themeColor="text1"/>
          <w:sz w:val="20"/>
          <w:szCs w:val="20"/>
          <w:lang w:val="hr-HR"/>
        </w:rPr>
        <w:t xml:space="preserve"> i </w:t>
      </w:r>
      <w:r w:rsidRPr="00D14589">
        <w:rPr>
          <w:rFonts w:ascii="Arial" w:hAnsi="Arial" w:cs="Arial"/>
          <w:color w:val="000000" w:themeColor="text1"/>
          <w:sz w:val="20"/>
          <w:szCs w:val="20"/>
          <w:lang w:val="hr-HR"/>
        </w:rPr>
        <w:t xml:space="preserve">Uprave. U svrhu praćenja i kontrole rizika utvrđeni su sustavi limita za upravljanje kreditnim rizikom, rizikom likvidnosti, kamatnim rizikom i valutnim rizikom. </w:t>
      </w:r>
    </w:p>
    <w:p w14:paraId="5898628D" w14:textId="77777777" w:rsidR="00324128" w:rsidRPr="00D14589" w:rsidRDefault="00324128" w:rsidP="00324128">
      <w:pPr>
        <w:jc w:val="both"/>
        <w:rPr>
          <w:rFonts w:ascii="Arial" w:hAnsi="Arial" w:cs="Arial"/>
          <w:color w:val="000000" w:themeColor="text1"/>
          <w:sz w:val="20"/>
          <w:szCs w:val="20"/>
          <w:lang w:val="hr-HR"/>
        </w:rPr>
      </w:pPr>
    </w:p>
    <w:p w14:paraId="3E223EFA" w14:textId="77777777" w:rsidR="004E2F51" w:rsidRPr="00D14589" w:rsidRDefault="004E2F51" w:rsidP="00324128">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Nadležna tijela sustavno se izvještava o: kvaliteti kreditnog portfelja, velikoj izloženosti i najvišoj dopuštenoj izloženosti, adekvatnosti kapitala, naplati potraživanja i rizičnih plasmana, promjenama internih rejtinga poslovnih banaka i poduzetim aktivnostima u slučaju njihova pogoršanja, nizu pokazatelja stanja i projekcija likvidnosti, projekcijama otvorenosti devizne pozicije, utjecaju promjena deviznih tečajeva i kamatnih stopa na rezultat poslovanja, kamatnom jazu, projekcijama prosječnih ponderiranih kamatnih stopa na izvore i plasmane financijskih institucija i sl. Dinamika izvještavanja te metodologije mjerenja i procjene rizika propisani su internim aktima </w:t>
      </w:r>
      <w:r>
        <w:rPr>
          <w:rFonts w:ascii="Arial" w:hAnsi="Arial" w:cs="Arial"/>
          <w:color w:val="000000" w:themeColor="text1"/>
          <w:sz w:val="20"/>
          <w:szCs w:val="20"/>
          <w:lang w:val="hr-HR"/>
        </w:rPr>
        <w:t>Banke</w:t>
      </w:r>
      <w:r w:rsidRPr="00D14589">
        <w:rPr>
          <w:rFonts w:ascii="Arial" w:hAnsi="Arial" w:cs="Arial"/>
          <w:color w:val="000000" w:themeColor="text1"/>
          <w:sz w:val="20"/>
          <w:szCs w:val="20"/>
          <w:lang w:val="hr-HR"/>
        </w:rPr>
        <w:t>.</w:t>
      </w:r>
    </w:p>
    <w:p w14:paraId="42D6BFE2" w14:textId="77777777" w:rsidR="004E2F51" w:rsidRPr="00324128" w:rsidRDefault="004E2F51" w:rsidP="00324128">
      <w:pPr>
        <w:jc w:val="both"/>
        <w:rPr>
          <w:rFonts w:ascii="Arial" w:hAnsi="Arial" w:cs="Arial"/>
          <w:color w:val="000000" w:themeColor="text1"/>
          <w:sz w:val="20"/>
          <w:szCs w:val="20"/>
          <w:lang w:val="hr-HR"/>
        </w:rPr>
      </w:pPr>
    </w:p>
    <w:p w14:paraId="438C0A62" w14:textId="77777777" w:rsidR="004E2F51" w:rsidRPr="00D14589" w:rsidRDefault="004E2F51" w:rsidP="004E2F51">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 xml:space="preserve">Kreditni rizik </w:t>
      </w:r>
    </w:p>
    <w:p w14:paraId="6E771DCD" w14:textId="77777777" w:rsidR="004E2F51" w:rsidRPr="00D14589" w:rsidRDefault="004E2F51" w:rsidP="004E2F51">
      <w:pPr>
        <w:jc w:val="both"/>
        <w:rPr>
          <w:rFonts w:ascii="Arial" w:hAnsi="Arial" w:cs="Arial"/>
          <w:color w:val="000000" w:themeColor="text1"/>
          <w:sz w:val="20"/>
          <w:szCs w:val="20"/>
          <w:lang w:val="hr-HR"/>
        </w:rPr>
      </w:pPr>
    </w:p>
    <w:p w14:paraId="6ABF3742"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Banka kontrolira kreditni rizik putem kreditnih politika</w:t>
      </w:r>
      <w:r>
        <w:rPr>
          <w:rFonts w:ascii="Arial" w:hAnsi="Arial" w:cs="Arial"/>
          <w:color w:val="000000" w:themeColor="text1"/>
          <w:sz w:val="20"/>
          <w:szCs w:val="20"/>
          <w:lang w:val="hr-HR"/>
        </w:rPr>
        <w:t xml:space="preserve"> </w:t>
      </w:r>
      <w:r w:rsidRPr="00D14589">
        <w:rPr>
          <w:rFonts w:ascii="Arial" w:hAnsi="Arial" w:cs="Arial"/>
          <w:color w:val="000000" w:themeColor="text1"/>
          <w:sz w:val="20"/>
          <w:szCs w:val="20"/>
          <w:lang w:val="hr-HR"/>
        </w:rPr>
        <w:t>o upravljanju ovim rizikom u kojima su utvrđeni sustavi unutarnjih kontrola s ciljem preventivnog djelovanja na rizik.</w:t>
      </w:r>
    </w:p>
    <w:p w14:paraId="44B7CD7F" w14:textId="77777777" w:rsidR="004E2F51" w:rsidRPr="00D14589" w:rsidRDefault="004E2F51" w:rsidP="004E2F51">
      <w:pPr>
        <w:jc w:val="both"/>
        <w:rPr>
          <w:rFonts w:ascii="Arial" w:hAnsi="Arial" w:cs="Arial"/>
          <w:color w:val="000000" w:themeColor="text1"/>
          <w:sz w:val="20"/>
          <w:szCs w:val="20"/>
          <w:lang w:val="hr-HR"/>
        </w:rPr>
      </w:pPr>
    </w:p>
    <w:p w14:paraId="5A5357E7"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Sustav upravljanja kreditnim rizikom čini najvažniji dio poslovne politike Banke i bitan je činitelj njezine strategije poslovanja, zbog čega je ovo područje regulirano </w:t>
      </w:r>
      <w:r w:rsidRPr="00B8170C">
        <w:rPr>
          <w:rFonts w:ascii="Arial" w:hAnsi="Arial" w:cs="Arial"/>
          <w:color w:val="000000" w:themeColor="text1"/>
          <w:sz w:val="20"/>
          <w:szCs w:val="20"/>
          <w:lang w:val="hr-HR"/>
        </w:rPr>
        <w:t xml:space="preserve">Politikom o upravljanju kreditnim rizikom i </w:t>
      </w:r>
      <w:r w:rsidRPr="00D14589">
        <w:rPr>
          <w:rFonts w:ascii="Arial" w:hAnsi="Arial" w:cs="Arial"/>
          <w:color w:val="000000" w:themeColor="text1"/>
          <w:sz w:val="20"/>
          <w:szCs w:val="20"/>
          <w:lang w:val="hr-HR"/>
        </w:rPr>
        <w:t xml:space="preserve">Pravilnikom o upravljanju kreditnim rizikom, koji se primjenjuje na sve faze kreditnog procesa (od razvoja novih bankarskih proizvoda, odnosno od zahtjeva za kredit, praćenja poslovanja klijenta do konačne otplate kredita). </w:t>
      </w:r>
    </w:p>
    <w:p w14:paraId="4A601FCB" w14:textId="77777777" w:rsidR="004E2F51" w:rsidRPr="00D14589" w:rsidRDefault="004E2F51" w:rsidP="004E2F51">
      <w:pPr>
        <w:jc w:val="both"/>
        <w:rPr>
          <w:rFonts w:ascii="Arial" w:hAnsi="Arial" w:cs="Arial"/>
          <w:color w:val="000000" w:themeColor="text1"/>
          <w:sz w:val="20"/>
          <w:szCs w:val="20"/>
          <w:lang w:val="hr-HR"/>
        </w:rPr>
      </w:pPr>
    </w:p>
    <w:p w14:paraId="64B097A5"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Uz </w:t>
      </w:r>
      <w:r>
        <w:rPr>
          <w:rFonts w:ascii="Arial" w:hAnsi="Arial" w:cs="Arial"/>
          <w:color w:val="000000" w:themeColor="text1"/>
          <w:sz w:val="20"/>
          <w:szCs w:val="20"/>
          <w:lang w:val="hr-HR"/>
        </w:rPr>
        <w:t xml:space="preserve">Politiku i </w:t>
      </w:r>
      <w:r w:rsidRPr="00D14589">
        <w:rPr>
          <w:rFonts w:ascii="Arial" w:hAnsi="Arial" w:cs="Arial"/>
          <w:color w:val="000000" w:themeColor="text1"/>
          <w:sz w:val="20"/>
          <w:szCs w:val="20"/>
          <w:lang w:val="hr-HR"/>
        </w:rPr>
        <w:t>Pravilnik o upravljanju kreditnim rizikom propisane su metodologije kao zasebni interni akti namijenjeni ocjeni poslovanja različitih ciljanih skupina klijenata.</w:t>
      </w:r>
    </w:p>
    <w:p w14:paraId="65B67A2B" w14:textId="77777777" w:rsidR="004E2F51" w:rsidRPr="00D14589" w:rsidRDefault="004E2F51" w:rsidP="004E2F51">
      <w:pPr>
        <w:jc w:val="both"/>
        <w:rPr>
          <w:rFonts w:ascii="Arial" w:hAnsi="Arial" w:cs="Arial"/>
          <w:color w:val="000000" w:themeColor="text1"/>
          <w:sz w:val="20"/>
          <w:szCs w:val="20"/>
          <w:lang w:val="hr-HR"/>
        </w:rPr>
      </w:pPr>
    </w:p>
    <w:p w14:paraId="2479ACAC"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 slučaju izravnog kreditiranja, za ocjenjivanje kreditne sposobnosti koristi se Metodologija za ocjenu kreditnog rizika (za bruto izloženosti iznad 3.000 tisuće kuna) ili Metodologijom kreditnog bodovanja (kod bruto izloženosti ispod 3.000 tisuće kuna). Metodologija kreditnog bodovanja služi za ocjenu kreditne sposobnosti klijenata koji pripadaju „portfelju malih kredita“, a sadrži sedam modela bodovanja: </w:t>
      </w:r>
    </w:p>
    <w:p w14:paraId="6AE20F49" w14:textId="77777777" w:rsidR="004E2F51" w:rsidRPr="00D14589" w:rsidRDefault="004E2F51">
      <w:pPr>
        <w:pStyle w:val="ListParagraph"/>
        <w:numPr>
          <w:ilvl w:val="0"/>
          <w:numId w:val="66"/>
        </w:numPr>
        <w:suppressAutoHyphens w:val="0"/>
        <w:autoSpaceDN/>
        <w:ind w:left="567" w:hanging="283"/>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plasmani do 300 tisuća kuna za trgovačka društva, obrtnike i poljoprivrednike, </w:t>
      </w:r>
    </w:p>
    <w:p w14:paraId="7D714453" w14:textId="77777777" w:rsidR="004E2F51" w:rsidRPr="00D14589" w:rsidRDefault="004E2F51">
      <w:pPr>
        <w:pStyle w:val="ListParagraph"/>
        <w:numPr>
          <w:ilvl w:val="0"/>
          <w:numId w:val="65"/>
        </w:numPr>
        <w:suppressAutoHyphens w:val="0"/>
        <w:autoSpaceDN/>
        <w:ind w:left="567" w:hanging="283"/>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plasmani početnicima do 300 tisuća kuna, </w:t>
      </w:r>
    </w:p>
    <w:p w14:paraId="7D571810" w14:textId="77777777" w:rsidR="004E2F51" w:rsidRPr="00D14589" w:rsidRDefault="004E2F51">
      <w:pPr>
        <w:pStyle w:val="ListParagraph"/>
        <w:numPr>
          <w:ilvl w:val="0"/>
          <w:numId w:val="65"/>
        </w:numPr>
        <w:suppressAutoHyphens w:val="0"/>
        <w:autoSpaceDN/>
        <w:ind w:left="567" w:hanging="283"/>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plasmani od 300 tisuća kuna do 1.500 tisuća kuna za trgovačka društva, </w:t>
      </w:r>
    </w:p>
    <w:p w14:paraId="11431E05" w14:textId="77777777" w:rsidR="004E2F51" w:rsidRPr="00D14589" w:rsidRDefault="004E2F51">
      <w:pPr>
        <w:pStyle w:val="ListParagraph"/>
        <w:numPr>
          <w:ilvl w:val="0"/>
          <w:numId w:val="65"/>
        </w:numPr>
        <w:suppressAutoHyphens w:val="0"/>
        <w:autoSpaceDN/>
        <w:ind w:left="567" w:hanging="283"/>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plasmani početnicima od 300 tisuća kuna do 1.500 tisuća kuna,</w:t>
      </w:r>
    </w:p>
    <w:p w14:paraId="56E35133" w14:textId="77777777" w:rsidR="004E2F51" w:rsidRPr="00D14589" w:rsidRDefault="004E2F51">
      <w:pPr>
        <w:pStyle w:val="ListParagraph"/>
        <w:numPr>
          <w:ilvl w:val="0"/>
          <w:numId w:val="65"/>
        </w:numPr>
        <w:suppressAutoHyphens w:val="0"/>
        <w:autoSpaceDN/>
        <w:ind w:left="567" w:hanging="283"/>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plasmani od 300 tisuća kuna do 1.500 tisuća kuna za sve ostale poduzetnike,</w:t>
      </w:r>
    </w:p>
    <w:p w14:paraId="69AEF1E2" w14:textId="77777777" w:rsidR="004E2F51" w:rsidRPr="00D14589" w:rsidRDefault="004E2F51">
      <w:pPr>
        <w:pStyle w:val="ListParagraph"/>
        <w:numPr>
          <w:ilvl w:val="0"/>
          <w:numId w:val="65"/>
        </w:numPr>
        <w:suppressAutoHyphens w:val="0"/>
        <w:autoSpaceDN/>
        <w:ind w:left="567" w:hanging="283"/>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plasmani od 1.500 tisuća kuna do 3.000 tisuća kuna za trgovačka društva i plasmani početnicima i</w:t>
      </w:r>
    </w:p>
    <w:p w14:paraId="77825B91" w14:textId="77777777" w:rsidR="004E2F51" w:rsidRPr="00D14589" w:rsidRDefault="004E2F51">
      <w:pPr>
        <w:pStyle w:val="ListParagraph"/>
        <w:numPr>
          <w:ilvl w:val="0"/>
          <w:numId w:val="65"/>
        </w:numPr>
        <w:suppressAutoHyphens w:val="0"/>
        <w:autoSpaceDN/>
        <w:ind w:left="567" w:hanging="283"/>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ostalim poduzetnicima od 1.500 tisuća kuna do 3.000 tisuća kuna.</w:t>
      </w:r>
    </w:p>
    <w:p w14:paraId="5EFFBC2A" w14:textId="77777777" w:rsidR="004E2F51" w:rsidRPr="00D14589" w:rsidRDefault="004E2F51" w:rsidP="004E2F51">
      <w:pPr>
        <w:jc w:val="both"/>
        <w:rPr>
          <w:rFonts w:ascii="Arial" w:hAnsi="Arial" w:cs="Arial"/>
          <w:color w:val="000000" w:themeColor="text1"/>
          <w:sz w:val="20"/>
          <w:szCs w:val="20"/>
          <w:lang w:val="hr-HR"/>
        </w:rPr>
        <w:sectPr w:rsidR="004E2F51" w:rsidRPr="00D14589" w:rsidSect="00623DBA">
          <w:footerReference w:type="default" r:id="rId165"/>
          <w:pgSz w:w="11907" w:h="16840" w:code="9"/>
          <w:pgMar w:top="1418" w:right="1134" w:bottom="1134" w:left="1418" w:header="851" w:footer="851" w:gutter="0"/>
          <w:cols w:space="720"/>
          <w:noEndnote/>
        </w:sectPr>
      </w:pPr>
    </w:p>
    <w:p w14:paraId="13E28614" w14:textId="77777777" w:rsidR="004E2F51" w:rsidRPr="00D14589" w:rsidRDefault="004E2F51" w:rsidP="004E2F51">
      <w:pPr>
        <w:jc w:val="both"/>
        <w:rPr>
          <w:rFonts w:ascii="Arial" w:hAnsi="Arial" w:cs="Arial"/>
          <w:color w:val="000000" w:themeColor="text1"/>
          <w:sz w:val="20"/>
          <w:szCs w:val="20"/>
          <w:lang w:val="hr-HR"/>
        </w:rPr>
      </w:pPr>
    </w:p>
    <w:p w14:paraId="743E798A" w14:textId="77777777" w:rsidR="004E2F51" w:rsidRPr="00D14589" w:rsidRDefault="004E2F51" w:rsidP="004E2F51">
      <w:pPr>
        <w:tabs>
          <w:tab w:val="left" w:pos="567"/>
        </w:tabs>
        <w:jc w:val="both"/>
        <w:rPr>
          <w:rFonts w:ascii="Arial" w:hAnsi="Arial" w:cs="Arial"/>
          <w:b/>
          <w:color w:val="000000" w:themeColor="text1"/>
          <w:sz w:val="20"/>
          <w:szCs w:val="20"/>
          <w:lang w:val="hr-HR"/>
        </w:rPr>
      </w:pPr>
      <w:r w:rsidRPr="00D14589">
        <w:rPr>
          <w:rFonts w:ascii="Arial" w:hAnsi="Arial" w:cs="Arial"/>
          <w:b/>
          <w:color w:val="000000" w:themeColor="text1"/>
          <w:sz w:val="20"/>
          <w:szCs w:val="20"/>
          <w:lang w:val="hr-HR" w:eastAsia="hr-HR"/>
        </w:rPr>
        <w:t>3</w:t>
      </w:r>
      <w:r>
        <w:rPr>
          <w:rFonts w:ascii="Arial" w:hAnsi="Arial" w:cs="Arial"/>
          <w:b/>
          <w:color w:val="000000" w:themeColor="text1"/>
          <w:sz w:val="20"/>
          <w:szCs w:val="20"/>
          <w:lang w:val="hr-HR" w:eastAsia="hr-HR"/>
        </w:rPr>
        <w:t>1</w:t>
      </w:r>
      <w:r w:rsidRPr="00D14589">
        <w:rPr>
          <w:rFonts w:ascii="Arial" w:hAnsi="Arial" w:cs="Arial"/>
          <w:b/>
          <w:color w:val="000000" w:themeColor="text1"/>
          <w:sz w:val="20"/>
          <w:szCs w:val="20"/>
          <w:lang w:val="hr-HR" w:eastAsia="hr-HR"/>
        </w:rPr>
        <w:t>.</w:t>
      </w:r>
      <w:r w:rsidRPr="00D14589">
        <w:rPr>
          <w:rFonts w:ascii="Arial" w:hAnsi="Arial" w:cs="Arial"/>
          <w:b/>
          <w:color w:val="000000" w:themeColor="text1"/>
          <w:sz w:val="20"/>
          <w:szCs w:val="20"/>
          <w:lang w:val="hr-HR"/>
        </w:rPr>
        <w:tab/>
        <w:t>Upravljanje rizicima (nastavak)</w:t>
      </w:r>
    </w:p>
    <w:p w14:paraId="1BC99FE4" w14:textId="77777777" w:rsidR="004E2F51" w:rsidRPr="00D14589" w:rsidRDefault="004E2F51" w:rsidP="004E2F51">
      <w:pPr>
        <w:jc w:val="both"/>
        <w:rPr>
          <w:rFonts w:ascii="Arial" w:eastAsia="Calibri" w:hAnsi="Arial" w:cs="Arial"/>
          <w:b/>
          <w:color w:val="000000" w:themeColor="text1"/>
          <w:sz w:val="20"/>
          <w:szCs w:val="20"/>
          <w:lang w:val="hr-HR"/>
        </w:rPr>
      </w:pPr>
    </w:p>
    <w:p w14:paraId="2107B1F1" w14:textId="77777777" w:rsidR="004E2F51" w:rsidRPr="00D14589" w:rsidRDefault="004E2F51" w:rsidP="004E2F51">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3F42224C" w14:textId="77777777" w:rsidR="004E2F51" w:rsidRPr="00D14589" w:rsidRDefault="004E2F51" w:rsidP="004E2F51">
      <w:pPr>
        <w:tabs>
          <w:tab w:val="left" w:pos="567"/>
        </w:tabs>
        <w:spacing w:line="300" w:lineRule="exact"/>
        <w:rPr>
          <w:rFonts w:ascii="Arial" w:eastAsia="Calibri" w:hAnsi="Arial" w:cs="Arial"/>
          <w:b/>
          <w:color w:val="000000" w:themeColor="text1"/>
          <w:sz w:val="20"/>
          <w:szCs w:val="20"/>
          <w:lang w:val="hr-HR"/>
        </w:rPr>
      </w:pPr>
    </w:p>
    <w:p w14:paraId="672A9CD7" w14:textId="77777777" w:rsidR="004E2F51" w:rsidRPr="00D14589" w:rsidRDefault="004E2F51" w:rsidP="004E2F51">
      <w:pPr>
        <w:jc w:val="both"/>
        <w:rPr>
          <w:rFonts w:ascii="Arial" w:eastAsia="Calibri" w:hAnsi="Arial" w:cs="Arial"/>
          <w:b/>
          <w:bCs/>
          <w:color w:val="000000" w:themeColor="text1"/>
          <w:spacing w:val="-3"/>
          <w:sz w:val="20"/>
          <w:szCs w:val="20"/>
          <w:lang w:val="hr-HR"/>
        </w:rPr>
      </w:pPr>
      <w:r w:rsidRPr="00D14589">
        <w:rPr>
          <w:rFonts w:ascii="Arial" w:hAnsi="Arial" w:cs="Arial"/>
          <w:color w:val="000000" w:themeColor="text1"/>
          <w:sz w:val="20"/>
          <w:szCs w:val="20"/>
          <w:lang w:val="hr-HR"/>
        </w:rPr>
        <w:t>Metodologija za ocjenu kreditnog rejtinga se koristi za ocjenu rizika klijenata koji pripadaju portfelju individualno značajnih klijenata odnosno za bruto izloženosti iznad 3.000 tisuća kuna. Ocjena rizika može biti sadržana u ocjeni kreditne sposobnosti klijenta, ocjeni uspješnosti investicijskog projekta i ocjeni kreditne sposobnosti klijenta s analizom budućeg poslovanja.</w:t>
      </w:r>
    </w:p>
    <w:p w14:paraId="68CFDF23" w14:textId="77777777" w:rsidR="004E2F51" w:rsidRPr="00D14589" w:rsidRDefault="004E2F51" w:rsidP="004E2F51">
      <w:pPr>
        <w:jc w:val="both"/>
        <w:rPr>
          <w:rFonts w:ascii="Arial" w:eastAsia="Calibri" w:hAnsi="Arial" w:cs="Arial"/>
          <w:b/>
          <w:bCs/>
          <w:color w:val="000000" w:themeColor="text1"/>
          <w:spacing w:val="-3"/>
          <w:sz w:val="20"/>
          <w:szCs w:val="20"/>
          <w:lang w:val="hr-HR"/>
        </w:rPr>
      </w:pPr>
    </w:p>
    <w:p w14:paraId="09B0254C" w14:textId="77777777" w:rsidR="004E2F51" w:rsidRPr="00D14589" w:rsidRDefault="004E2F51" w:rsidP="004E2F51">
      <w:pPr>
        <w:jc w:val="both"/>
        <w:rPr>
          <w:rFonts w:ascii="Arial" w:hAnsi="Arial" w:cs="Arial"/>
          <w:b/>
          <w:color w:val="000000" w:themeColor="text1"/>
          <w:sz w:val="20"/>
          <w:szCs w:val="20"/>
          <w:lang w:val="hr-HR"/>
        </w:rPr>
      </w:pPr>
      <w:r w:rsidRPr="00D14589">
        <w:rPr>
          <w:rFonts w:ascii="Arial" w:hAnsi="Arial" w:cs="Arial"/>
          <w:color w:val="000000" w:themeColor="text1"/>
          <w:sz w:val="20"/>
          <w:szCs w:val="20"/>
          <w:lang w:val="hr-HR"/>
        </w:rPr>
        <w:t>Sukladno Zakonu o HBOR-u Banka dio svojih plasmana odobrava putem poslovnih banaka i leasing društava pri čemu se za ocjenu banaka primjenjuju Metodologija za ocjenu i odabir banaka i Metodologija za ocjenu i odabir inozemnih banaka, a za ocjenu leasing društava Metodologija za ocjenu i odabir leasing društava. Radi lakše dostupnosti sredstava HBOR-a, dio svojih plasmana plasira se po modelu podjele rizika prema kojem u financiranju klijenata sudjeluje poslovna banka i HBOR u unaprijed dogovorenim omjerima financiranja.</w:t>
      </w:r>
    </w:p>
    <w:p w14:paraId="45939772" w14:textId="77777777" w:rsidR="004E2F51" w:rsidRPr="00D14589" w:rsidRDefault="004E2F51" w:rsidP="004E2F51">
      <w:pPr>
        <w:jc w:val="both"/>
        <w:rPr>
          <w:rFonts w:ascii="Arial" w:hAnsi="Arial" w:cs="Arial"/>
          <w:color w:val="000000" w:themeColor="text1"/>
          <w:sz w:val="20"/>
          <w:szCs w:val="20"/>
          <w:lang w:val="hr-HR"/>
        </w:rPr>
      </w:pPr>
    </w:p>
    <w:p w14:paraId="4A25CB27"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Banka kao razvojna financijska institucija podupire rast i razvoj hrvatskog gospodarstva kroz investicijsko ulaganje. Iz tog razloga klijenti se najčešće javljaju sa zahtjevima za kreditno praćenje razvojnih investicijskih projekata. Kako bi se rizik sveo na najmanju mjeru i što objektivnije procijenilo koji projekti su ekonomski održivi te osiguravaju povrat uloženog, Banka stalno unapređuje postojeća organizacijsko-tehnološka rješenja, izvještaje i akte te daje prijedloge novih organizacijskih propisa i provedbenih uputa.</w:t>
      </w:r>
    </w:p>
    <w:p w14:paraId="26EF6FBC" w14:textId="77777777" w:rsidR="004E2F51" w:rsidRPr="00D14589" w:rsidRDefault="004E2F51" w:rsidP="004E2F51">
      <w:pPr>
        <w:jc w:val="both"/>
        <w:rPr>
          <w:rFonts w:ascii="Arial" w:hAnsi="Arial" w:cs="Arial"/>
          <w:color w:val="000000" w:themeColor="text1"/>
          <w:sz w:val="20"/>
          <w:szCs w:val="20"/>
          <w:lang w:val="hr-HR"/>
        </w:rPr>
      </w:pPr>
    </w:p>
    <w:p w14:paraId="4A9E4D99"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Stalnim praćenjem i ocjenjivanjem poslovanja klijenata nastoje se pravovremeno uočiti poteškoće u njihovom poslovanju. Kod klijenata koji su suočeni s problemima Banka pronalazi primjerene načine naplate potraživanja sagledavajući mogućnosti novih uvjeta otplate potraživanja s ciljem nastavka proizvodnog procesa i povećanja zapošljavanja. Posebno se uočavaju i prate uzroci loših plasmana te se postupci za njihovu prevenciju ugrađuju u procedure rada u svrhu smanjenja udjela rizičnih plasmana.</w:t>
      </w:r>
    </w:p>
    <w:p w14:paraId="3613B94E" w14:textId="77777777" w:rsidR="004E2F51" w:rsidRPr="00D14589" w:rsidRDefault="004E2F51" w:rsidP="004E2F51">
      <w:pPr>
        <w:jc w:val="both"/>
        <w:rPr>
          <w:rFonts w:ascii="Arial" w:hAnsi="Arial" w:cs="Arial"/>
          <w:color w:val="000000" w:themeColor="text1"/>
          <w:sz w:val="20"/>
          <w:szCs w:val="20"/>
          <w:lang w:val="hr-HR"/>
        </w:rPr>
      </w:pPr>
    </w:p>
    <w:p w14:paraId="2DB8AD32" w14:textId="77777777" w:rsidR="004E2F51" w:rsidRPr="00D14589" w:rsidRDefault="004E2F51" w:rsidP="004E2F51">
      <w:pPr>
        <w:jc w:val="both"/>
        <w:rPr>
          <w:rFonts w:ascii="Arial" w:hAnsi="Arial" w:cs="Arial"/>
          <w:color w:val="000000"/>
          <w:sz w:val="20"/>
          <w:szCs w:val="20"/>
          <w:lang w:val="hr-HR"/>
        </w:rPr>
      </w:pPr>
      <w:bookmarkStart w:id="1472" w:name="_Hlk65485201"/>
      <w:r w:rsidRPr="00D14589">
        <w:rPr>
          <w:rFonts w:ascii="Arial" w:hAnsi="Arial" w:cs="Arial"/>
          <w:color w:val="000000"/>
          <w:sz w:val="20"/>
          <w:szCs w:val="20"/>
          <w:lang w:val="hr-HR"/>
        </w:rPr>
        <w:t>Radi ublažavanja negativnih posljedica pandemije koronavirusa, Banka je s ciljem očuvanja razine gospodarske aktivnosti i likvidnosti gospodarskih subjekata te najvažnije – očuvanja radnih mjesta  omogućila reprogramiranje obveza.</w:t>
      </w:r>
    </w:p>
    <w:p w14:paraId="20D9120F" w14:textId="77777777" w:rsidR="004E2F51" w:rsidRPr="00D14589" w:rsidRDefault="004E2F51" w:rsidP="004E2F51">
      <w:pPr>
        <w:jc w:val="both"/>
        <w:rPr>
          <w:rFonts w:ascii="Arial" w:hAnsi="Arial" w:cs="Arial"/>
          <w:color w:val="000000"/>
          <w:sz w:val="20"/>
          <w:szCs w:val="20"/>
          <w:lang w:val="hr-HR"/>
        </w:rPr>
      </w:pPr>
    </w:p>
    <w:p w14:paraId="42969A72" w14:textId="77777777" w:rsidR="004E2F51" w:rsidRPr="00D14589" w:rsidRDefault="004E2F51" w:rsidP="004E2F51">
      <w:pPr>
        <w:jc w:val="both"/>
        <w:rPr>
          <w:rFonts w:ascii="Arial" w:hAnsi="Arial" w:cs="Arial"/>
          <w:color w:val="000000"/>
          <w:sz w:val="20"/>
          <w:szCs w:val="20"/>
          <w:lang w:val="hr-HR"/>
        </w:rPr>
      </w:pPr>
      <w:r w:rsidRPr="00D14589">
        <w:rPr>
          <w:rFonts w:ascii="Arial" w:hAnsi="Arial" w:cs="Arial"/>
          <w:color w:val="000000"/>
          <w:sz w:val="20"/>
          <w:szCs w:val="20"/>
          <w:lang w:val="hr-HR"/>
        </w:rPr>
        <w:t>Zbog odobravanja većeg broja kredita u relativno kratkom vremenu u 2020. godini skraćene su pojedine aktivnosti u postojećem načinu i procesu obrade kreditnih zahtjeva propisane Pravilnikom o upravljanju kreditnim rizikom koje su obuhvaćene zasebnom Uputom koja se primjenjivala na COVID-19 kredite i kredite za potresom uništena područja i u</w:t>
      </w:r>
      <w:r>
        <w:rPr>
          <w:rFonts w:ascii="Arial" w:hAnsi="Arial" w:cs="Arial"/>
          <w:color w:val="000000"/>
          <w:sz w:val="20"/>
          <w:szCs w:val="20"/>
          <w:lang w:val="hr-HR"/>
        </w:rPr>
        <w:t xml:space="preserve"> prvoj polovici 2022</w:t>
      </w:r>
      <w:r w:rsidRPr="00D14589">
        <w:rPr>
          <w:rFonts w:ascii="Arial" w:hAnsi="Arial" w:cs="Arial"/>
          <w:color w:val="000000"/>
          <w:sz w:val="20"/>
          <w:szCs w:val="20"/>
          <w:lang w:val="hr-HR"/>
        </w:rPr>
        <w:t>. godin</w:t>
      </w:r>
      <w:r>
        <w:rPr>
          <w:rFonts w:ascii="Arial" w:hAnsi="Arial" w:cs="Arial"/>
          <w:color w:val="000000"/>
          <w:sz w:val="20"/>
          <w:szCs w:val="20"/>
          <w:lang w:val="hr-HR"/>
        </w:rPr>
        <w:t xml:space="preserve">e </w:t>
      </w:r>
      <w:r w:rsidRPr="00064D07">
        <w:rPr>
          <w:rFonts w:ascii="Arial" w:hAnsi="Arial" w:cs="Arial"/>
          <w:color w:val="000000"/>
          <w:sz w:val="20"/>
          <w:szCs w:val="20"/>
          <w:lang w:val="hr-HR"/>
        </w:rPr>
        <w:t>te za klijente pogođene krizom izazvanom izravnim ili neizravnim učinkom ruske agresije na Ukrajinu.</w:t>
      </w:r>
    </w:p>
    <w:p w14:paraId="26AFEED1" w14:textId="77777777" w:rsidR="004E2F51" w:rsidRPr="00D14589" w:rsidRDefault="004E2F51" w:rsidP="004E2F51">
      <w:pPr>
        <w:jc w:val="both"/>
        <w:rPr>
          <w:rFonts w:ascii="Arial" w:hAnsi="Arial" w:cs="Arial"/>
          <w:color w:val="000000"/>
          <w:sz w:val="20"/>
          <w:szCs w:val="20"/>
          <w:lang w:val="hr-HR"/>
        </w:rPr>
      </w:pPr>
    </w:p>
    <w:p w14:paraId="466994E1"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U svrhu praćenja i kontrole rizika utvrđeni su sustavi limita za upravljanje kreditnim rizikom.</w:t>
      </w:r>
      <w:r w:rsidRPr="00D14589">
        <w:rPr>
          <w:rFonts w:ascii="Arial" w:hAnsi="Arial" w:cs="Arial"/>
          <w:b/>
          <w:color w:val="000000" w:themeColor="text1"/>
          <w:sz w:val="20"/>
          <w:szCs w:val="20"/>
          <w:lang w:val="hr-HR"/>
        </w:rPr>
        <w:t xml:space="preserve"> </w:t>
      </w:r>
      <w:r w:rsidRPr="00D14589">
        <w:rPr>
          <w:rFonts w:ascii="Arial" w:hAnsi="Arial" w:cs="Arial"/>
          <w:color w:val="000000" w:themeColor="text1"/>
          <w:sz w:val="20"/>
          <w:szCs w:val="20"/>
          <w:lang w:val="hr-HR"/>
        </w:rPr>
        <w:t>Utvrđeni su limiti velike izloženosti i maksimalno dozvoljeni iznos kreditne izloženosti prema pojedinom korisniku i s njim povezanim osobama.</w:t>
      </w:r>
    </w:p>
    <w:p w14:paraId="5B81441E" w14:textId="77777777" w:rsidR="004E2F51" w:rsidRPr="00D14589" w:rsidRDefault="004E2F51" w:rsidP="004E2F51">
      <w:pPr>
        <w:jc w:val="both"/>
        <w:rPr>
          <w:rFonts w:ascii="Arial" w:hAnsi="Arial" w:cs="Arial"/>
          <w:color w:val="000000"/>
          <w:sz w:val="20"/>
          <w:szCs w:val="20"/>
          <w:lang w:val="hr-HR"/>
        </w:rPr>
      </w:pPr>
    </w:p>
    <w:bookmarkEnd w:id="1472"/>
    <w:p w14:paraId="091F1E93" w14:textId="77777777" w:rsidR="004E2F51" w:rsidRPr="00D14589" w:rsidRDefault="004E2F51" w:rsidP="004E2F51">
      <w:pPr>
        <w:jc w:val="both"/>
        <w:rPr>
          <w:rFonts w:ascii="Arial" w:hAnsi="Arial" w:cs="Arial"/>
          <w:color w:val="000000" w:themeColor="text1"/>
          <w:sz w:val="20"/>
          <w:szCs w:val="20"/>
          <w:lang w:val="hr-HR"/>
        </w:rPr>
        <w:sectPr w:rsidR="004E2F51" w:rsidRPr="00D14589" w:rsidSect="00623DBA">
          <w:footerReference w:type="default" r:id="rId166"/>
          <w:pgSz w:w="11907" w:h="16840" w:code="9"/>
          <w:pgMar w:top="1418" w:right="1134" w:bottom="1134" w:left="1418" w:header="851" w:footer="851" w:gutter="0"/>
          <w:cols w:space="720"/>
          <w:noEndnote/>
        </w:sectPr>
      </w:pPr>
    </w:p>
    <w:p w14:paraId="09E4A18E" w14:textId="77777777" w:rsidR="004E2F51" w:rsidRPr="00D14589" w:rsidRDefault="004E2F51" w:rsidP="004E2F51">
      <w:pPr>
        <w:jc w:val="both"/>
        <w:rPr>
          <w:rFonts w:ascii="Arial" w:hAnsi="Arial" w:cs="Arial"/>
          <w:color w:val="000000" w:themeColor="text1"/>
          <w:sz w:val="20"/>
          <w:szCs w:val="20"/>
          <w:lang w:val="hr-HR"/>
        </w:rPr>
      </w:pPr>
    </w:p>
    <w:p w14:paraId="23168840" w14:textId="77777777" w:rsidR="004E2F51" w:rsidRPr="00D14589" w:rsidRDefault="004E2F51" w:rsidP="004E2F51">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3275B38D" w14:textId="77777777" w:rsidR="004E2F51" w:rsidRPr="00D14589" w:rsidRDefault="004E2F51" w:rsidP="004E2F51">
      <w:pPr>
        <w:jc w:val="both"/>
        <w:rPr>
          <w:rFonts w:ascii="Arial" w:hAnsi="Arial" w:cs="Arial"/>
          <w:color w:val="000000" w:themeColor="text1"/>
          <w:sz w:val="20"/>
          <w:szCs w:val="20"/>
          <w:lang w:val="hr-HR"/>
        </w:rPr>
      </w:pPr>
    </w:p>
    <w:p w14:paraId="6875F9D1" w14:textId="77777777" w:rsidR="004E2F51" w:rsidRPr="00D14589" w:rsidRDefault="004E2F51" w:rsidP="004E2F51">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10FDBFB7" w14:textId="77777777" w:rsidR="004E2F51" w:rsidRPr="00D14589" w:rsidRDefault="004E2F51" w:rsidP="004E2F51">
      <w:pPr>
        <w:jc w:val="both"/>
        <w:rPr>
          <w:rFonts w:ascii="Arial" w:hAnsi="Arial" w:cs="Arial"/>
          <w:color w:val="000000" w:themeColor="text1"/>
          <w:sz w:val="20"/>
          <w:szCs w:val="20"/>
          <w:lang w:val="hr-HR"/>
        </w:rPr>
      </w:pPr>
    </w:p>
    <w:p w14:paraId="71B07B76" w14:textId="77777777" w:rsidR="004E2F51" w:rsidRPr="00D14589" w:rsidRDefault="004E2F51" w:rsidP="004E2F51">
      <w:pPr>
        <w:tabs>
          <w:tab w:val="left" w:pos="567"/>
          <w:tab w:val="left" w:pos="851"/>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.3.1.</w:t>
      </w:r>
      <w:r w:rsidRPr="00D14589">
        <w:rPr>
          <w:rFonts w:ascii="Arial" w:eastAsia="Calibri" w:hAnsi="Arial" w:cs="Arial"/>
          <w:b/>
          <w:color w:val="000000" w:themeColor="text1"/>
          <w:sz w:val="20"/>
          <w:szCs w:val="20"/>
          <w:lang w:val="hr-HR"/>
        </w:rPr>
        <w:tab/>
        <w:t>Rizik povezan s kreditnim odobrenjima</w:t>
      </w:r>
    </w:p>
    <w:p w14:paraId="1A7D4F9C" w14:textId="77777777" w:rsidR="004E2F51" w:rsidRPr="00D14589" w:rsidRDefault="004E2F51" w:rsidP="004E2F51">
      <w:pPr>
        <w:jc w:val="both"/>
        <w:rPr>
          <w:rFonts w:ascii="Arial" w:hAnsi="Arial" w:cs="Arial"/>
          <w:color w:val="000000" w:themeColor="text1"/>
          <w:sz w:val="20"/>
          <w:szCs w:val="20"/>
          <w:lang w:val="hr-HR"/>
        </w:rPr>
      </w:pPr>
    </w:p>
    <w:p w14:paraId="5463E352"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Klijentima banke omogućeno je izdavanje garancija i akreditiva s odgođenim polaganjem pokrića (pokriće je moguće i iz kredita), po identičnoj proceduri koja je propisana za izravne klijente kod odobravanja kredita.</w:t>
      </w:r>
    </w:p>
    <w:p w14:paraId="17149DDA" w14:textId="77777777" w:rsidR="004E2F51" w:rsidRPr="00D14589" w:rsidRDefault="004E2F51" w:rsidP="004E2F51">
      <w:pPr>
        <w:jc w:val="both"/>
        <w:rPr>
          <w:rFonts w:ascii="Arial" w:hAnsi="Arial" w:cs="Arial"/>
          <w:color w:val="000000" w:themeColor="text1"/>
          <w:sz w:val="20"/>
          <w:szCs w:val="20"/>
          <w:lang w:val="hr-HR"/>
        </w:rPr>
      </w:pPr>
    </w:p>
    <w:p w14:paraId="0CF87E9A" w14:textId="77777777" w:rsidR="004E2F51" w:rsidRPr="00D14589" w:rsidRDefault="004E2F51" w:rsidP="004E2F51">
      <w:pPr>
        <w:tabs>
          <w:tab w:val="left" w:pos="2694"/>
        </w:tabs>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Sve garancije prate se prema rokovima važnosti, a akreditivi s odgođenim polaganjem pokrića prema dospijećima. Ukoliko dođe do poziva za plaćanje Banka je obvezna izvršiti plaćanje u ime klijenta. Takve obveze Banku izlažu rizicima koji su slični kreditnima, a umanjuju se istim postupcima koji se primjenjuju na kredite.</w:t>
      </w:r>
    </w:p>
    <w:p w14:paraId="341D9B95" w14:textId="77777777" w:rsidR="004E2F51" w:rsidRPr="00D14589" w:rsidRDefault="004E2F51" w:rsidP="004E2F51">
      <w:pPr>
        <w:jc w:val="both"/>
        <w:rPr>
          <w:rFonts w:ascii="Arial" w:eastAsia="Calibri" w:hAnsi="Arial" w:cs="Arial"/>
          <w:b/>
          <w:bCs/>
          <w:color w:val="000000" w:themeColor="text1"/>
          <w:spacing w:val="-3"/>
          <w:sz w:val="20"/>
          <w:szCs w:val="20"/>
          <w:lang w:val="hr-HR"/>
        </w:rPr>
      </w:pPr>
    </w:p>
    <w:p w14:paraId="6EE68176" w14:textId="77777777" w:rsidR="004E2F51" w:rsidRPr="00D14589" w:rsidRDefault="004E2F51" w:rsidP="004E2F51">
      <w:pPr>
        <w:tabs>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w:t>
      </w:r>
      <w:r w:rsidRPr="00D14589">
        <w:rPr>
          <w:rFonts w:ascii="Arial" w:eastAsia="Calibri" w:hAnsi="Arial" w:cs="Arial"/>
          <w:b/>
          <w:color w:val="000000" w:themeColor="text1"/>
          <w:sz w:val="20"/>
          <w:szCs w:val="20"/>
          <w:lang w:val="hr-HR"/>
        </w:rPr>
        <w:tab/>
        <w:t xml:space="preserve">Procjena umanjenja vrijednosti </w:t>
      </w:r>
    </w:p>
    <w:p w14:paraId="1C018002" w14:textId="77777777" w:rsidR="004E2F51" w:rsidRPr="00D14589" w:rsidRDefault="004E2F51" w:rsidP="004E2F51">
      <w:pPr>
        <w:jc w:val="both"/>
        <w:rPr>
          <w:rFonts w:ascii="Arial" w:hAnsi="Arial" w:cs="Arial"/>
          <w:color w:val="000000" w:themeColor="text1"/>
          <w:sz w:val="20"/>
          <w:szCs w:val="20"/>
          <w:lang w:val="hr-HR"/>
        </w:rPr>
      </w:pPr>
    </w:p>
    <w:p w14:paraId="00989530"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Umanjenje vrijednosti formira se u skladu s Međunarodnim standardom financijskog izvještavanja 9, aktima HNB-a primjenjivim na HBOR i internim pravilnicima i metodologijama rada.</w:t>
      </w:r>
    </w:p>
    <w:p w14:paraId="789FF859" w14:textId="77777777" w:rsidR="004E2F51" w:rsidRPr="00D14589" w:rsidRDefault="004E2F51" w:rsidP="004E2F51">
      <w:pPr>
        <w:jc w:val="both"/>
        <w:rPr>
          <w:rFonts w:ascii="Arial" w:hAnsi="Arial" w:cs="Arial"/>
          <w:color w:val="000000" w:themeColor="text1"/>
          <w:sz w:val="20"/>
          <w:szCs w:val="20"/>
          <w:lang w:val="hr-HR"/>
        </w:rPr>
      </w:pPr>
    </w:p>
    <w:p w14:paraId="2C076B17"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 obzirom na procijenjenu razinu kreditnog rizika te način izračuna očekivanih kreditnih gubitaka, klijenti se razvrstavaju u sljedeće kategorije:</w:t>
      </w:r>
      <w:bookmarkStart w:id="1473" w:name="_Hlk498950823"/>
    </w:p>
    <w:bookmarkEnd w:id="1473"/>
    <w:p w14:paraId="33A42101" w14:textId="77777777" w:rsidR="004E2F51" w:rsidRPr="00D14589" w:rsidRDefault="004E2F51">
      <w:pPr>
        <w:numPr>
          <w:ilvl w:val="0"/>
          <w:numId w:val="43"/>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1. stupanj - obuhvaća sve klijente niskog kreditnog rizika i klijente kod kojih je procijenjeno da nije došlo do značajnog povećanja kreditnog rizika,</w:t>
      </w:r>
    </w:p>
    <w:p w14:paraId="3A93006D" w14:textId="77777777" w:rsidR="004E2F51" w:rsidRPr="00D14589" w:rsidRDefault="004E2F51">
      <w:pPr>
        <w:numPr>
          <w:ilvl w:val="0"/>
          <w:numId w:val="43"/>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2. stupanj - obuhvaća sve klijente kod kojih je došlo do značajnog povećanja kreditnog rizika nakon početnog priznavanja,</w:t>
      </w:r>
    </w:p>
    <w:p w14:paraId="34842001" w14:textId="77777777" w:rsidR="004E2F51" w:rsidRPr="00D14589" w:rsidRDefault="004E2F51">
      <w:pPr>
        <w:numPr>
          <w:ilvl w:val="0"/>
          <w:numId w:val="43"/>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3. stupanj - obuhvaća klijente u statusu neispunjavanja obveza odnosno klijente kod kojih postoje objektivni dokazi o umanjenju vrijednosti </w:t>
      </w:r>
    </w:p>
    <w:p w14:paraId="4BCC8800" w14:textId="77777777" w:rsidR="004E2F51" w:rsidRPr="00D14589" w:rsidRDefault="004E2F51">
      <w:pPr>
        <w:numPr>
          <w:ilvl w:val="0"/>
          <w:numId w:val="43"/>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te zasebnu kategoriju - kupljenu ili stvorenu kreditno umanjenu financijsku imovinu (eng. Purchased or originated credit impaired asset, POCI).</w:t>
      </w:r>
    </w:p>
    <w:p w14:paraId="008A4657" w14:textId="77777777" w:rsidR="004E2F51" w:rsidRPr="00D14589" w:rsidRDefault="004E2F51" w:rsidP="004E2F51">
      <w:pPr>
        <w:jc w:val="both"/>
        <w:rPr>
          <w:rFonts w:ascii="Arial" w:hAnsi="Arial" w:cs="Arial"/>
          <w:color w:val="000000" w:themeColor="text1"/>
          <w:sz w:val="20"/>
          <w:szCs w:val="20"/>
          <w:lang w:val="hr-HR"/>
        </w:rPr>
      </w:pPr>
    </w:p>
    <w:p w14:paraId="53B91F04"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Tijekom ugovornog odnosa s klijentom procjenjuje se razina očekivanih kreditnih gubitaka klijenta. Procjena se provodi praćenjem slijedeća tri kriterija:</w:t>
      </w:r>
    </w:p>
    <w:p w14:paraId="7FE7CB1F" w14:textId="77777777" w:rsidR="004E2F51" w:rsidRPr="00D14589" w:rsidRDefault="004E2F51">
      <w:pPr>
        <w:numPr>
          <w:ilvl w:val="0"/>
          <w:numId w:val="44"/>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kreditne sposobnosti dužnika</w:t>
      </w:r>
    </w:p>
    <w:p w14:paraId="7A68546D" w14:textId="77777777" w:rsidR="004E2F51" w:rsidRPr="00D14589" w:rsidRDefault="004E2F51">
      <w:pPr>
        <w:numPr>
          <w:ilvl w:val="0"/>
          <w:numId w:val="44"/>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urednosti podmirivanja obveza i</w:t>
      </w:r>
    </w:p>
    <w:p w14:paraId="0F7BD6A8" w14:textId="77777777" w:rsidR="004E2F51" w:rsidRPr="00D14589" w:rsidRDefault="004E2F51">
      <w:pPr>
        <w:numPr>
          <w:ilvl w:val="0"/>
          <w:numId w:val="44"/>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kvalitete instrumenata osiguranja.</w:t>
      </w:r>
    </w:p>
    <w:p w14:paraId="1CE6A4A7" w14:textId="77777777" w:rsidR="004E2F51" w:rsidRPr="00D14589" w:rsidRDefault="004E2F51" w:rsidP="004E2F51">
      <w:pPr>
        <w:jc w:val="both"/>
        <w:rPr>
          <w:rFonts w:ascii="Arial" w:hAnsi="Arial" w:cs="Arial"/>
          <w:color w:val="000000" w:themeColor="text1"/>
          <w:sz w:val="20"/>
          <w:szCs w:val="20"/>
          <w:lang w:val="hr-HR"/>
        </w:rPr>
        <w:sectPr w:rsidR="004E2F51" w:rsidRPr="00D14589" w:rsidSect="00623DBA">
          <w:footerReference w:type="default" r:id="rId167"/>
          <w:pgSz w:w="11907" w:h="16840" w:code="9"/>
          <w:pgMar w:top="1418" w:right="1134" w:bottom="1134" w:left="1418" w:header="851" w:footer="851" w:gutter="0"/>
          <w:cols w:space="720"/>
          <w:noEndnote/>
        </w:sectPr>
      </w:pPr>
    </w:p>
    <w:p w14:paraId="5747684B" w14:textId="77777777" w:rsidR="004E2F51" w:rsidRPr="00D14589" w:rsidRDefault="004E2F51" w:rsidP="004E2F51">
      <w:pPr>
        <w:jc w:val="both"/>
        <w:rPr>
          <w:rFonts w:ascii="Arial" w:hAnsi="Arial" w:cs="Arial"/>
          <w:color w:val="000000" w:themeColor="text1"/>
          <w:sz w:val="20"/>
          <w:szCs w:val="20"/>
          <w:lang w:val="hr-HR"/>
        </w:rPr>
      </w:pPr>
    </w:p>
    <w:p w14:paraId="6978E5FA" w14:textId="77777777" w:rsidR="004E2F51" w:rsidRPr="00D14589" w:rsidRDefault="004E2F51" w:rsidP="004E2F51">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5E1B94C4" w14:textId="77777777" w:rsidR="004E2F51" w:rsidRPr="00D14589" w:rsidRDefault="004E2F51" w:rsidP="004E2F51">
      <w:pPr>
        <w:jc w:val="both"/>
        <w:rPr>
          <w:rFonts w:ascii="Arial" w:hAnsi="Arial" w:cs="Arial"/>
          <w:color w:val="000000" w:themeColor="text1"/>
          <w:sz w:val="20"/>
          <w:szCs w:val="20"/>
          <w:lang w:val="hr-HR"/>
        </w:rPr>
      </w:pPr>
    </w:p>
    <w:p w14:paraId="63270116" w14:textId="77777777" w:rsidR="004E2F51" w:rsidRPr="00D14589" w:rsidRDefault="004E2F51" w:rsidP="004E2F51">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6A6199AF" w14:textId="77777777" w:rsidR="004E2F51" w:rsidRPr="00D14589" w:rsidRDefault="004E2F51" w:rsidP="004E2F51">
      <w:pPr>
        <w:jc w:val="both"/>
        <w:rPr>
          <w:rFonts w:ascii="Arial" w:hAnsi="Arial" w:cs="Arial"/>
          <w:color w:val="000000" w:themeColor="text1"/>
          <w:sz w:val="20"/>
          <w:szCs w:val="20"/>
          <w:lang w:val="hr-HR"/>
        </w:rPr>
      </w:pPr>
    </w:p>
    <w:p w14:paraId="3D51AF9B" w14:textId="77777777" w:rsidR="004E2F51" w:rsidRPr="00D14589" w:rsidRDefault="004E2F51" w:rsidP="004E2F51">
      <w:pPr>
        <w:tabs>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w:t>
      </w:r>
      <w:r w:rsidRPr="00D14589">
        <w:rPr>
          <w:rFonts w:ascii="Arial" w:eastAsia="Calibri" w:hAnsi="Arial" w:cs="Arial"/>
          <w:b/>
          <w:color w:val="000000" w:themeColor="text1"/>
          <w:sz w:val="20"/>
          <w:szCs w:val="20"/>
          <w:lang w:val="hr-HR"/>
        </w:rPr>
        <w:tab/>
        <w:t>Procjena umanjenja vrijednosti (nastavak)</w:t>
      </w:r>
    </w:p>
    <w:p w14:paraId="01CAAFC5" w14:textId="77777777" w:rsidR="004E2F51" w:rsidRPr="00D14589" w:rsidRDefault="004E2F51" w:rsidP="004E2F51">
      <w:pPr>
        <w:jc w:val="both"/>
        <w:rPr>
          <w:rFonts w:ascii="Arial" w:hAnsi="Arial" w:cs="Arial"/>
          <w:color w:val="000000" w:themeColor="text1"/>
          <w:sz w:val="20"/>
          <w:szCs w:val="20"/>
          <w:lang w:val="hr-HR"/>
        </w:rPr>
      </w:pPr>
    </w:p>
    <w:p w14:paraId="57C5BF9A"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cijelo vrijeme trajanja ugovornog odnosa procjenjuje se kreditna sposobnost dužnika s ciljem utvrđivanja moguće promjene financijskog položaja klijenta (dužnika) odnosno vjerojatnosti pogoršanja njegove kreditne sposobnosti. Kod utvrđivanja kreditne sposobnosti klijenta uzima se u obzir i grupa povezanih osoba zbog efekta zaraze odnosno mogućnosti prelijevanja rizika između povezanih osoba. Kreditna sposobnost klijenta se prati putem:</w:t>
      </w:r>
    </w:p>
    <w:p w14:paraId="58546923" w14:textId="77777777" w:rsidR="004E2F51" w:rsidRPr="00D14589" w:rsidRDefault="004E2F51">
      <w:pPr>
        <w:numPr>
          <w:ilvl w:val="0"/>
          <w:numId w:val="45"/>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promjene financijskog rejtinga klijenta i s njim povezanih osoba, </w:t>
      </w:r>
    </w:p>
    <w:p w14:paraId="39524DAA" w14:textId="77777777" w:rsidR="004E2F51" w:rsidRPr="00D14589" w:rsidRDefault="004E2F51">
      <w:pPr>
        <w:numPr>
          <w:ilvl w:val="0"/>
          <w:numId w:val="45"/>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kriterija kojima je svrha utvrđivanje financijskih poteškoća klijenta,</w:t>
      </w:r>
    </w:p>
    <w:p w14:paraId="257A4674" w14:textId="77777777" w:rsidR="004E2F51" w:rsidRPr="00D14589" w:rsidRDefault="004E2F51">
      <w:pPr>
        <w:numPr>
          <w:ilvl w:val="0"/>
          <w:numId w:val="45"/>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kriterija s Liste za pojačano praćenje klijenta te</w:t>
      </w:r>
    </w:p>
    <w:p w14:paraId="5EEDA5DB" w14:textId="77777777" w:rsidR="004E2F51" w:rsidRPr="00D14589" w:rsidRDefault="004E2F51">
      <w:pPr>
        <w:numPr>
          <w:ilvl w:val="0"/>
          <w:numId w:val="45"/>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kriterija za uočavanje povećanog kreditnog rizika.</w:t>
      </w:r>
    </w:p>
    <w:p w14:paraId="5E00BAF8" w14:textId="77777777" w:rsidR="004E2F51" w:rsidRPr="00D14589" w:rsidRDefault="004E2F51" w:rsidP="004E2F51">
      <w:pPr>
        <w:jc w:val="both"/>
        <w:rPr>
          <w:rFonts w:ascii="Arial" w:hAnsi="Arial" w:cs="Arial"/>
          <w:color w:val="000000" w:themeColor="text1"/>
          <w:sz w:val="20"/>
          <w:szCs w:val="20"/>
          <w:lang w:val="hr-HR"/>
        </w:rPr>
      </w:pPr>
    </w:p>
    <w:p w14:paraId="5D1191F6"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Klijent se smatra urednim ako sve svoje obveze podmiruje u cijelosti (glavnica, kamate, provizije, naknade i druge troškove) u ugovorenim iznosima i ugovorenim rokovima dospijeća pri čemu se svi plasmani i izvanbilančne obveze jednog klijenta promatraju kao jedan.</w:t>
      </w:r>
    </w:p>
    <w:p w14:paraId="06196A5B" w14:textId="77777777" w:rsidR="004E2F51" w:rsidRPr="00D14589" w:rsidRDefault="004E2F51" w:rsidP="004E2F51">
      <w:pPr>
        <w:jc w:val="both"/>
        <w:rPr>
          <w:rFonts w:ascii="Arial" w:hAnsi="Arial" w:cs="Arial"/>
          <w:color w:val="000000" w:themeColor="text1"/>
          <w:sz w:val="20"/>
          <w:szCs w:val="20"/>
          <w:lang w:val="hr-HR"/>
        </w:rPr>
      </w:pPr>
    </w:p>
    <w:p w14:paraId="1811CC53"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Procjena instrumenata osiguranja temelji se na njihovoj kvaliteti, procjeni vrijednosti i rokovima naplativosti.</w:t>
      </w:r>
    </w:p>
    <w:p w14:paraId="7DD84685" w14:textId="77777777" w:rsidR="004E2F51" w:rsidRPr="00D14589" w:rsidRDefault="004E2F51" w:rsidP="004E2F51">
      <w:pPr>
        <w:jc w:val="both"/>
        <w:rPr>
          <w:rFonts w:ascii="Arial" w:hAnsi="Arial" w:cs="Arial"/>
          <w:color w:val="000000" w:themeColor="text1"/>
          <w:sz w:val="20"/>
          <w:szCs w:val="20"/>
          <w:lang w:val="hr-HR"/>
        </w:rPr>
      </w:pPr>
    </w:p>
    <w:p w14:paraId="6D164942" w14:textId="77777777" w:rsidR="004E2F51" w:rsidRPr="00D14589" w:rsidRDefault="004E2F51" w:rsidP="004E2F51">
      <w:pPr>
        <w:tabs>
          <w:tab w:val="left" w:pos="993"/>
          <w:tab w:val="left" w:pos="1276"/>
        </w:tabs>
        <w:spacing w:line="300" w:lineRule="exact"/>
        <w:jc w:val="both"/>
        <w:rPr>
          <w:rFonts w:ascii="Arial" w:eastAsia="Calibri" w:hAnsi="Arial" w:cs="Arial"/>
          <w:b/>
          <w:color w:val="000000" w:themeColor="text1"/>
          <w:sz w:val="20"/>
          <w:szCs w:val="20"/>
          <w:lang w:val="hr-HR"/>
        </w:rPr>
      </w:pPr>
      <w:bookmarkStart w:id="1474" w:name="_Hlk513704657"/>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.3.2.1.</w:t>
      </w:r>
      <w:r w:rsidRPr="00D14589">
        <w:rPr>
          <w:rFonts w:ascii="Arial" w:eastAsia="Calibri" w:hAnsi="Arial" w:cs="Arial"/>
          <w:b/>
          <w:color w:val="000000" w:themeColor="text1"/>
          <w:sz w:val="20"/>
          <w:szCs w:val="20"/>
          <w:lang w:val="hr-HR"/>
        </w:rPr>
        <w:tab/>
        <w:t xml:space="preserve">Definicija statusa neispunjenja ugovornih obveza (engl. default) i izlaska iz statusa neispunjenja obveza (oporavka) </w:t>
      </w:r>
    </w:p>
    <w:bookmarkEnd w:id="1474"/>
    <w:p w14:paraId="0B056D61" w14:textId="77777777" w:rsidR="004E2F51" w:rsidRPr="00D14589" w:rsidRDefault="004E2F51" w:rsidP="004E2F51">
      <w:pPr>
        <w:jc w:val="both"/>
        <w:rPr>
          <w:rFonts w:ascii="Arial" w:hAnsi="Arial" w:cs="Arial"/>
          <w:color w:val="000000" w:themeColor="text1"/>
          <w:sz w:val="20"/>
          <w:szCs w:val="20"/>
          <w:lang w:val="hr-HR"/>
        </w:rPr>
      </w:pPr>
    </w:p>
    <w:p w14:paraId="6A41D437"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Status neispunjenja obveza pojedinog klijenta je nastao kada je ispunjen jedan od sljedećih uvjeta ili oba sljedeća uvjeta:</w:t>
      </w:r>
    </w:p>
    <w:p w14:paraId="7A7721BC" w14:textId="77777777" w:rsidR="004E2F51" w:rsidRPr="00D14589" w:rsidRDefault="004E2F51">
      <w:pPr>
        <w:numPr>
          <w:ilvl w:val="0"/>
          <w:numId w:val="46"/>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ocjenjuje se vjerojatnim da klijent neće u cijelosti podmiriti svoje obveze prema HBOR-u ne uzimajući u obzir mogućnost naplate iz instrumenata osiguranja,</w:t>
      </w:r>
    </w:p>
    <w:p w14:paraId="47562EBE" w14:textId="77777777" w:rsidR="004E2F51" w:rsidRDefault="004E2F51">
      <w:pPr>
        <w:numPr>
          <w:ilvl w:val="0"/>
          <w:numId w:val="46"/>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klijent više od 90 dana nije ispunio svoju dospjelu obvezu po bilo kojoj značajnoj kreditnoj obvezi.</w:t>
      </w:r>
    </w:p>
    <w:p w14:paraId="504C1C31" w14:textId="77777777" w:rsidR="004E2F51" w:rsidRDefault="004E2F51" w:rsidP="004E2F51">
      <w:pPr>
        <w:jc w:val="both"/>
        <w:rPr>
          <w:rFonts w:ascii="Arial" w:hAnsi="Arial" w:cs="Arial"/>
          <w:color w:val="000000" w:themeColor="text1"/>
          <w:sz w:val="20"/>
          <w:szCs w:val="20"/>
          <w:lang w:val="hr-HR"/>
        </w:rPr>
      </w:pPr>
    </w:p>
    <w:p w14:paraId="12E27698" w14:textId="77777777" w:rsidR="004E2F51" w:rsidRDefault="004E2F51" w:rsidP="004E2F51">
      <w:pPr>
        <w:jc w:val="both"/>
        <w:rPr>
          <w:rFonts w:ascii="Arial" w:hAnsi="Arial" w:cs="Arial"/>
          <w:color w:val="000000" w:themeColor="text1"/>
          <w:sz w:val="20"/>
          <w:szCs w:val="20"/>
          <w:lang w:val="hr-HR"/>
        </w:rPr>
      </w:pPr>
      <w:r w:rsidRPr="000276A1">
        <w:rPr>
          <w:rFonts w:ascii="Arial" w:hAnsi="Arial" w:cs="Arial"/>
          <w:color w:val="000000" w:themeColor="text1"/>
          <w:sz w:val="20"/>
          <w:szCs w:val="20"/>
          <w:lang w:val="hr-HR"/>
        </w:rPr>
        <w:t>Prag značajnosti iznosi 750 kuna za stanovništvo, a za ostale klijente 3.750 kuna, računa se na nivou klijenta zbrajanjem dospjelih obveza po svim plasmanima klijenta.</w:t>
      </w:r>
    </w:p>
    <w:p w14:paraId="14EC6330" w14:textId="77777777" w:rsidR="004E2F51" w:rsidRPr="00D14589" w:rsidRDefault="004E2F51" w:rsidP="004E2F51">
      <w:pPr>
        <w:jc w:val="both"/>
        <w:rPr>
          <w:rFonts w:ascii="Arial" w:hAnsi="Arial" w:cs="Arial"/>
          <w:color w:val="000000" w:themeColor="text1"/>
          <w:sz w:val="20"/>
          <w:szCs w:val="20"/>
          <w:lang w:val="hr-HR"/>
        </w:rPr>
      </w:pPr>
    </w:p>
    <w:p w14:paraId="4BA5E43B"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Pri procjeni vjerojatnosti da dužnik neće u cijelosti podmiriti svoje obveze uzimaju se u obzir slijedeći elementi:</w:t>
      </w:r>
    </w:p>
    <w:p w14:paraId="36318353" w14:textId="77777777" w:rsidR="004E2F51" w:rsidRPr="00D14589" w:rsidRDefault="004E2F51">
      <w:pPr>
        <w:numPr>
          <w:ilvl w:val="0"/>
          <w:numId w:val="47"/>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priznato je umanjenje vrijednosti za kreditne gubitke zbog uočenoga značajnog pogoršanja kreditne kvalitete dužnika, </w:t>
      </w:r>
    </w:p>
    <w:p w14:paraId="2487E377" w14:textId="77777777" w:rsidR="004E2F51" w:rsidRPr="00D14589" w:rsidRDefault="004E2F51">
      <w:pPr>
        <w:numPr>
          <w:ilvl w:val="0"/>
          <w:numId w:val="47"/>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prodaja kreditne izloženosti uz značajan ekonomski gubitak,</w:t>
      </w:r>
    </w:p>
    <w:p w14:paraId="0C2E1DAE" w14:textId="77777777" w:rsidR="004E2F51" w:rsidRPr="00D14589" w:rsidRDefault="004E2F51">
      <w:pPr>
        <w:numPr>
          <w:ilvl w:val="0"/>
          <w:numId w:val="47"/>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reprogramiranje ili restrukturiranje kreditne izloženosti zbog financijskih poteškoća dužnika,</w:t>
      </w:r>
    </w:p>
    <w:p w14:paraId="603560B2" w14:textId="77777777" w:rsidR="004E2F51" w:rsidRPr="00D14589" w:rsidRDefault="004E2F51">
      <w:pPr>
        <w:numPr>
          <w:ilvl w:val="0"/>
          <w:numId w:val="47"/>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stečajni ili sličan postupak (PSN, likvidacija) nad dužnikom,</w:t>
      </w:r>
    </w:p>
    <w:p w14:paraId="7ACB6740" w14:textId="77777777" w:rsidR="004E2F51" w:rsidRPr="00D14589" w:rsidRDefault="004E2F51">
      <w:pPr>
        <w:numPr>
          <w:ilvl w:val="0"/>
          <w:numId w:val="47"/>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imenovana posebna uprava, ukinuto odobrenje za rad, pokrenute mjere rane intervencije,</w:t>
      </w:r>
    </w:p>
    <w:p w14:paraId="6844F33D" w14:textId="77777777" w:rsidR="004E2F51" w:rsidRPr="00D14589" w:rsidRDefault="004E2F51">
      <w:pPr>
        <w:numPr>
          <w:ilvl w:val="0"/>
          <w:numId w:val="47"/>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otkaz ugovora,</w:t>
      </w:r>
    </w:p>
    <w:p w14:paraId="38346811" w14:textId="77777777" w:rsidR="004E2F51" w:rsidRPr="00D14589" w:rsidRDefault="004E2F51">
      <w:pPr>
        <w:pStyle w:val="ListParagraph"/>
        <w:numPr>
          <w:ilvl w:val="0"/>
          <w:numId w:val="47"/>
        </w:numPr>
        <w:suppressAutoHyphens w:val="0"/>
        <w:autoSpaceDN/>
        <w:rPr>
          <w:rFonts w:ascii="Arial" w:hAnsi="Arial" w:cs="Arial"/>
          <w:color w:val="000000" w:themeColor="text1"/>
          <w:sz w:val="20"/>
          <w:szCs w:val="20"/>
          <w:lang w:val="hr-HR"/>
        </w:rPr>
      </w:pPr>
      <w:r w:rsidRPr="00D14589">
        <w:rPr>
          <w:rFonts w:ascii="Arial" w:hAnsi="Arial" w:cs="Arial"/>
          <w:color w:val="000000" w:themeColor="text1"/>
          <w:sz w:val="20"/>
          <w:szCs w:val="20"/>
          <w:lang w:val="hr-HR"/>
        </w:rPr>
        <w:t>plaćanje po garanciji.</w:t>
      </w:r>
    </w:p>
    <w:p w14:paraId="4D892626" w14:textId="77777777" w:rsidR="004E2F51" w:rsidRPr="00D14589" w:rsidRDefault="004E2F51" w:rsidP="004E2F51">
      <w:pPr>
        <w:jc w:val="both"/>
        <w:rPr>
          <w:rFonts w:ascii="Arial" w:hAnsi="Arial" w:cs="Arial"/>
          <w:color w:val="000000" w:themeColor="text1"/>
          <w:sz w:val="20"/>
          <w:szCs w:val="20"/>
          <w:lang w:val="hr-HR"/>
        </w:rPr>
        <w:sectPr w:rsidR="004E2F51" w:rsidRPr="00D14589" w:rsidSect="00623DBA">
          <w:footerReference w:type="default" r:id="rId168"/>
          <w:pgSz w:w="11907" w:h="16840" w:code="9"/>
          <w:pgMar w:top="1418" w:right="1134" w:bottom="1134" w:left="1418" w:header="851" w:footer="851" w:gutter="0"/>
          <w:cols w:space="720"/>
          <w:noEndnote/>
        </w:sectPr>
      </w:pPr>
    </w:p>
    <w:p w14:paraId="21894EB5" w14:textId="77777777" w:rsidR="004E2F51" w:rsidRPr="00D14589" w:rsidRDefault="004E2F51" w:rsidP="004E2F51">
      <w:pPr>
        <w:jc w:val="both"/>
        <w:rPr>
          <w:rFonts w:ascii="Arial" w:hAnsi="Arial" w:cs="Arial"/>
          <w:color w:val="000000" w:themeColor="text1"/>
          <w:sz w:val="20"/>
          <w:szCs w:val="20"/>
          <w:lang w:val="hr-HR"/>
        </w:rPr>
      </w:pPr>
    </w:p>
    <w:p w14:paraId="2B9D337F" w14:textId="77777777" w:rsidR="004E2F51" w:rsidRPr="00D14589" w:rsidRDefault="004E2F51" w:rsidP="004E2F51">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48CD5C63" w14:textId="77777777" w:rsidR="004E2F51" w:rsidRPr="00D14589" w:rsidRDefault="004E2F51" w:rsidP="004E2F51">
      <w:pPr>
        <w:jc w:val="both"/>
        <w:rPr>
          <w:rFonts w:ascii="Arial" w:hAnsi="Arial" w:cs="Arial"/>
          <w:color w:val="000000" w:themeColor="text1"/>
          <w:sz w:val="20"/>
          <w:szCs w:val="20"/>
          <w:lang w:val="hr-HR"/>
        </w:rPr>
      </w:pPr>
    </w:p>
    <w:p w14:paraId="095E2639" w14:textId="77777777" w:rsidR="004E2F51" w:rsidRPr="00D14589" w:rsidRDefault="004E2F51" w:rsidP="004E2F51">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7BED0D87" w14:textId="77777777" w:rsidR="004E2F51" w:rsidRPr="00D14589" w:rsidRDefault="004E2F51" w:rsidP="004E2F51">
      <w:pPr>
        <w:spacing w:line="300" w:lineRule="exact"/>
        <w:jc w:val="both"/>
        <w:rPr>
          <w:rFonts w:ascii="Arial" w:eastAsia="Calibri" w:hAnsi="Arial" w:cs="Arial"/>
          <w:b/>
          <w:color w:val="000000" w:themeColor="text1"/>
          <w:sz w:val="20"/>
          <w:szCs w:val="20"/>
          <w:lang w:val="hr-HR"/>
        </w:rPr>
      </w:pPr>
    </w:p>
    <w:p w14:paraId="502CF66B" w14:textId="77777777" w:rsidR="004E2F51" w:rsidRPr="00D14589" w:rsidRDefault="004E2F51" w:rsidP="004E2F51">
      <w:pPr>
        <w:tabs>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w:t>
      </w:r>
      <w:r w:rsidRPr="00D14589">
        <w:rPr>
          <w:rFonts w:ascii="Arial" w:eastAsia="Calibri" w:hAnsi="Arial" w:cs="Arial"/>
          <w:b/>
          <w:color w:val="000000" w:themeColor="text1"/>
          <w:sz w:val="20"/>
          <w:szCs w:val="20"/>
          <w:lang w:val="hr-HR"/>
        </w:rPr>
        <w:tab/>
        <w:t>Procjena umanjenja vrijednosti (nastavak)</w:t>
      </w:r>
    </w:p>
    <w:p w14:paraId="67F642CE" w14:textId="77777777" w:rsidR="004E2F51" w:rsidRPr="00D14589" w:rsidRDefault="004E2F51" w:rsidP="004E2F51">
      <w:pPr>
        <w:spacing w:line="300" w:lineRule="exact"/>
        <w:jc w:val="both"/>
        <w:rPr>
          <w:rFonts w:ascii="Arial" w:eastAsia="Calibri" w:hAnsi="Arial" w:cs="Arial"/>
          <w:b/>
          <w:color w:val="000000" w:themeColor="text1"/>
          <w:sz w:val="20"/>
          <w:szCs w:val="20"/>
          <w:lang w:val="hr-HR"/>
        </w:rPr>
      </w:pPr>
    </w:p>
    <w:p w14:paraId="6D6DD42A" w14:textId="77777777" w:rsidR="004E2F51" w:rsidRPr="00D14589" w:rsidRDefault="004E2F51" w:rsidP="004E2F51">
      <w:pPr>
        <w:spacing w:after="120"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.3.2.1. Definicija statusa neispunjenja ugovornih obveza (engl. default) i izlaska iz statusa neispunjenja obveza (oporavka) (nastavak)</w:t>
      </w:r>
    </w:p>
    <w:p w14:paraId="29714EB6"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Osim navedenog, prilikom utvrđivanja statusa neispunjenja obveza uzimaju se u obzir i odnosi unutar grupe povezanih osoba ako postoji status neispunjavanja obveza kod jednog dužnika unutar grupe povezanih osoba koji dovodi do učinka širenja statusa neispunjavanja obveza na druge subjekte unutar te grupe. </w:t>
      </w:r>
    </w:p>
    <w:p w14:paraId="7AE574E7" w14:textId="77777777" w:rsidR="004E2F51" w:rsidRPr="00D14589" w:rsidRDefault="004E2F51" w:rsidP="004E2F51">
      <w:pPr>
        <w:jc w:val="both"/>
        <w:rPr>
          <w:rFonts w:ascii="Arial" w:hAnsi="Arial" w:cs="Arial"/>
          <w:color w:val="000000" w:themeColor="text1"/>
          <w:sz w:val="20"/>
          <w:szCs w:val="20"/>
          <w:lang w:val="hr-HR"/>
        </w:rPr>
      </w:pPr>
    </w:p>
    <w:p w14:paraId="4FC2CB7C"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Svi</w:t>
      </w:r>
      <w:r w:rsidRPr="00D14589">
        <w:rPr>
          <w:rFonts w:ascii="Arial" w:hAnsi="Arial" w:cs="Arial"/>
          <w:b/>
          <w:color w:val="000000" w:themeColor="text1"/>
          <w:sz w:val="20"/>
          <w:szCs w:val="20"/>
          <w:lang w:val="hr-HR"/>
        </w:rPr>
        <w:t xml:space="preserve"> </w:t>
      </w:r>
      <w:r w:rsidRPr="00D14589">
        <w:rPr>
          <w:rFonts w:ascii="Arial" w:hAnsi="Arial" w:cs="Arial"/>
          <w:color w:val="000000" w:themeColor="text1"/>
          <w:sz w:val="20"/>
          <w:szCs w:val="20"/>
          <w:lang w:val="hr-HR"/>
        </w:rPr>
        <w:t>financijski instrumenti klijenta u statusu neispunjenja obveza se klasificiraju u 3. stupanj.</w:t>
      </w:r>
    </w:p>
    <w:p w14:paraId="7F0540C4" w14:textId="77777777" w:rsidR="004E2F51" w:rsidRPr="00D14589" w:rsidRDefault="004E2F51" w:rsidP="004E2F51">
      <w:pPr>
        <w:jc w:val="both"/>
        <w:rPr>
          <w:rFonts w:ascii="Arial" w:hAnsi="Arial" w:cs="Arial"/>
          <w:color w:val="000000" w:themeColor="text1"/>
          <w:sz w:val="20"/>
          <w:szCs w:val="20"/>
          <w:lang w:val="hr-HR"/>
        </w:rPr>
      </w:pPr>
    </w:p>
    <w:p w14:paraId="07928E8D"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Plasmani klijentima u statusu neispunjenja obveza zbog materijalnog kašnjenja u plaćanju obveza preko 90 dana mogu se klasificirati u ozdravljene/rehabilitirane ukoliko je prošlo 150 dana od trenutka ne postojanja okidača za status neispunjenja obveza. U razdoblju kušnje od 150 dana klijent ne smije kasniti u plaćanju obveza preko 30 dana u materijalno značajnom iznosu.</w:t>
      </w:r>
    </w:p>
    <w:p w14:paraId="1C7367B4" w14:textId="77777777" w:rsidR="004E2F51" w:rsidRPr="00D14589" w:rsidRDefault="004E2F51" w:rsidP="004E2F51">
      <w:pPr>
        <w:jc w:val="both"/>
        <w:rPr>
          <w:rFonts w:ascii="Arial" w:hAnsi="Arial" w:cs="Arial"/>
          <w:color w:val="000000" w:themeColor="text1"/>
          <w:sz w:val="20"/>
          <w:szCs w:val="20"/>
          <w:lang w:val="hr-HR"/>
        </w:rPr>
      </w:pPr>
    </w:p>
    <w:p w14:paraId="125E2BE0"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Po proteku 150 dana ozdravljenim klijentima se smatraju samo klijenti za koje je utvrđeno da nisu u financijskim poteškoćama. Ako postoje naznake ponovnog ulaska u status neispunjenja obveza, status se ne mijenja sve do stvarnog i trajnog poboljšanja kreditne kvalitete klijenta.</w:t>
      </w:r>
    </w:p>
    <w:p w14:paraId="41C5EECA" w14:textId="77777777" w:rsidR="004E2F51" w:rsidRPr="00D14589" w:rsidRDefault="004E2F51" w:rsidP="004E2F51">
      <w:pPr>
        <w:jc w:val="both"/>
        <w:rPr>
          <w:rFonts w:ascii="Arial" w:hAnsi="Arial" w:cs="Arial"/>
          <w:color w:val="000000" w:themeColor="text1"/>
          <w:sz w:val="20"/>
          <w:szCs w:val="20"/>
          <w:lang w:val="hr-HR"/>
        </w:rPr>
      </w:pPr>
    </w:p>
    <w:p w14:paraId="6166A0FC"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Restrukturirane izloženosti kojima su uzrok financijske poteškoće i problemi u otplati se mogu klasificirati kao ozdravljene/rehabilitirane nakon dvije godine od posljednjeg među događajima:</w:t>
      </w:r>
    </w:p>
    <w:p w14:paraId="393AC913" w14:textId="77777777" w:rsidR="004E2F51" w:rsidRPr="00D14589" w:rsidRDefault="004E2F51">
      <w:pPr>
        <w:numPr>
          <w:ilvl w:val="0"/>
          <w:numId w:val="48"/>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od dana restrukturiranja,</w:t>
      </w:r>
    </w:p>
    <w:p w14:paraId="1F40BC77" w14:textId="77777777" w:rsidR="004E2F51" w:rsidRPr="00D14589" w:rsidRDefault="004E2F51">
      <w:pPr>
        <w:numPr>
          <w:ilvl w:val="0"/>
          <w:numId w:val="48"/>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od datuma dodjele statusa neispunjenja obveza,</w:t>
      </w:r>
    </w:p>
    <w:p w14:paraId="118ADD8D" w14:textId="77777777" w:rsidR="004E2F51" w:rsidRPr="00D14589" w:rsidRDefault="004E2F51">
      <w:pPr>
        <w:numPr>
          <w:ilvl w:val="0"/>
          <w:numId w:val="48"/>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od proteka počeka ukoliko je odobren u sklopu restrukturiranja.</w:t>
      </w:r>
    </w:p>
    <w:p w14:paraId="1762262B" w14:textId="77777777" w:rsidR="004E2F51" w:rsidRPr="00D14589" w:rsidRDefault="004E2F51" w:rsidP="004E2F51">
      <w:pPr>
        <w:jc w:val="both"/>
        <w:rPr>
          <w:rFonts w:ascii="Arial" w:hAnsi="Arial" w:cs="Arial"/>
          <w:color w:val="000000" w:themeColor="text1"/>
          <w:sz w:val="20"/>
          <w:szCs w:val="20"/>
          <w:lang w:val="hr-HR"/>
        </w:rPr>
      </w:pPr>
      <w:bookmarkStart w:id="1475" w:name="_Hlk518041750"/>
    </w:p>
    <w:p w14:paraId="2B5EFF16"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Tijekom razdoblja kušnje od dvije godine u izloženosti u statusu ispunjavanja obveza se mogu klasificirati izloženosti kojima su ispunjeni svi sljedeći uvjeti :</w:t>
      </w:r>
    </w:p>
    <w:p w14:paraId="766CC30F" w14:textId="77777777" w:rsidR="004E2F51" w:rsidRPr="00D14589" w:rsidRDefault="004E2F51">
      <w:pPr>
        <w:numPr>
          <w:ilvl w:val="0"/>
          <w:numId w:val="49"/>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dužnik je uredno platio po dospijeću najmanje iznos restrukturiranih obveza u visini dospjelih u trenutku provedbe restrukturiranja,</w:t>
      </w:r>
    </w:p>
    <w:p w14:paraId="45840F02" w14:textId="77777777" w:rsidR="004E2F51" w:rsidRPr="00D14589" w:rsidRDefault="004E2F51">
      <w:pPr>
        <w:numPr>
          <w:ilvl w:val="0"/>
          <w:numId w:val="49"/>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dužnik je redovito plaćao dospjele obveze u skladu s planom otplate (ili uz kašnjenje do 30 dana),</w:t>
      </w:r>
    </w:p>
    <w:p w14:paraId="7640A39A" w14:textId="77777777" w:rsidR="004E2F51" w:rsidRPr="00D14589" w:rsidRDefault="004E2F51">
      <w:pPr>
        <w:numPr>
          <w:ilvl w:val="0"/>
          <w:numId w:val="49"/>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nema vjerojatnosti stupanja u status neispunjenja obveza,</w:t>
      </w:r>
    </w:p>
    <w:p w14:paraId="28D15005" w14:textId="77777777" w:rsidR="004E2F51" w:rsidRPr="00D14589" w:rsidRDefault="004E2F51">
      <w:pPr>
        <w:numPr>
          <w:ilvl w:val="0"/>
          <w:numId w:val="49"/>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nema dospjelih nepodmirenih obveza nakon restrukturiranja,</w:t>
      </w:r>
    </w:p>
    <w:p w14:paraId="00F79A13" w14:textId="77777777" w:rsidR="004E2F51" w:rsidRPr="00D14589" w:rsidRDefault="004E2F51">
      <w:pPr>
        <w:numPr>
          <w:ilvl w:val="0"/>
          <w:numId w:val="49"/>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nema sumnje da dužnik neće plaćati i nadalje svoje obveze po dospijeću. </w:t>
      </w:r>
    </w:p>
    <w:p w14:paraId="35DE7E9B"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Svi ovi uvjeti trebaju biti zadovoljeni i za nove plasmane istom klijentu. Reklasificirati se u ozdravljene mogu samo plasmani klijentu koji nije u financijskim poteškoćama.</w:t>
      </w:r>
    </w:p>
    <w:p w14:paraId="33ABC086" w14:textId="77777777" w:rsidR="004E2F51" w:rsidRPr="00D14589" w:rsidRDefault="004E2F51" w:rsidP="004E2F51">
      <w:pPr>
        <w:jc w:val="both"/>
        <w:rPr>
          <w:rFonts w:ascii="Arial" w:hAnsi="Arial" w:cs="Arial"/>
          <w:color w:val="000000" w:themeColor="text1"/>
          <w:sz w:val="20"/>
          <w:szCs w:val="20"/>
          <w:lang w:val="hr-HR"/>
        </w:rPr>
      </w:pPr>
    </w:p>
    <w:p w14:paraId="5F05AD2B"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Financijski instrumenti rehabilitiranih/ozdravljenih klijenata se nakon ispunjenja svih uvjeta iz razdoblja kušnje klasificiraju u prihodujuće izloženosti. Svi plasmani klijenata nakon reprograma/restrukuriranja smatraju se reprogramiranima (engl. Forbearance) još dvije godine od kad su klasificirani kao prihodujuće izloženosti i u tom periodu se klasificiraju u 2. stupanj rizika. </w:t>
      </w:r>
    </w:p>
    <w:p w14:paraId="77D13850" w14:textId="77777777" w:rsidR="004E2F51" w:rsidRPr="00D14589" w:rsidRDefault="004E2F51" w:rsidP="004E2F51">
      <w:pPr>
        <w:jc w:val="both"/>
        <w:rPr>
          <w:rFonts w:ascii="Arial" w:hAnsi="Arial" w:cs="Arial"/>
          <w:color w:val="000000" w:themeColor="text1"/>
          <w:sz w:val="20"/>
          <w:szCs w:val="20"/>
          <w:lang w:val="hr-HR"/>
        </w:rPr>
      </w:pPr>
    </w:p>
    <w:p w14:paraId="306A5245"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Svi klijenti kojima nisu odobreni ustupci zbog financij</w:t>
      </w:r>
      <w:r>
        <w:rPr>
          <w:rFonts w:ascii="Arial" w:hAnsi="Arial" w:cs="Arial"/>
          <w:color w:val="000000" w:themeColor="text1"/>
          <w:sz w:val="20"/>
          <w:szCs w:val="20"/>
          <w:lang w:val="hr-HR"/>
        </w:rPr>
        <w:t>s</w:t>
      </w:r>
      <w:r w:rsidRPr="00D14589">
        <w:rPr>
          <w:rFonts w:ascii="Arial" w:hAnsi="Arial" w:cs="Arial"/>
          <w:color w:val="000000" w:themeColor="text1"/>
          <w:sz w:val="20"/>
          <w:szCs w:val="20"/>
          <w:lang w:val="hr-HR"/>
        </w:rPr>
        <w:t>kih poteškoća, a HBOR-ova izloženost prema njima je prestala biti neprihodujuća, nakon ozdravljenja klasificiraju se u 1. stupanj rizika.</w:t>
      </w:r>
    </w:p>
    <w:p w14:paraId="79E2E89F" w14:textId="77777777" w:rsidR="004E2F51" w:rsidRPr="00D14589" w:rsidRDefault="004E2F51" w:rsidP="004E2F51">
      <w:pPr>
        <w:jc w:val="both"/>
        <w:rPr>
          <w:rFonts w:ascii="Arial" w:hAnsi="Arial" w:cs="Arial"/>
          <w:color w:val="000000" w:themeColor="text1"/>
          <w:sz w:val="20"/>
          <w:szCs w:val="20"/>
          <w:lang w:val="hr-HR"/>
        </w:rPr>
        <w:sectPr w:rsidR="004E2F51" w:rsidRPr="00D14589" w:rsidSect="007F5B1C">
          <w:footerReference w:type="default" r:id="rId169"/>
          <w:pgSz w:w="11907" w:h="16840" w:code="9"/>
          <w:pgMar w:top="1418" w:right="1134" w:bottom="993" w:left="1418" w:header="851" w:footer="851" w:gutter="0"/>
          <w:cols w:space="720"/>
          <w:noEndnote/>
        </w:sectPr>
      </w:pPr>
    </w:p>
    <w:p w14:paraId="11030783" w14:textId="77777777" w:rsidR="004E2F51" w:rsidRPr="00D14589" w:rsidRDefault="004E2F51" w:rsidP="004E2F51">
      <w:pPr>
        <w:jc w:val="both"/>
        <w:rPr>
          <w:rFonts w:ascii="Arial" w:hAnsi="Arial" w:cs="Arial"/>
          <w:color w:val="000000" w:themeColor="text1"/>
          <w:sz w:val="20"/>
          <w:szCs w:val="20"/>
          <w:lang w:val="hr-HR"/>
        </w:rPr>
      </w:pPr>
    </w:p>
    <w:bookmarkEnd w:id="1475"/>
    <w:p w14:paraId="3C43E7DC" w14:textId="77777777" w:rsidR="004E2F51" w:rsidRPr="00D14589" w:rsidRDefault="004E2F51" w:rsidP="004E2F51">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1422B067" w14:textId="77777777" w:rsidR="004E2F51" w:rsidRPr="00D14589" w:rsidRDefault="004E2F51" w:rsidP="004E2F51">
      <w:pPr>
        <w:jc w:val="both"/>
        <w:rPr>
          <w:rFonts w:ascii="Arial" w:hAnsi="Arial" w:cs="Arial"/>
          <w:color w:val="000000" w:themeColor="text1"/>
          <w:sz w:val="20"/>
          <w:szCs w:val="20"/>
          <w:lang w:val="hr-HR"/>
        </w:rPr>
      </w:pPr>
    </w:p>
    <w:p w14:paraId="11D60BDB" w14:textId="77777777" w:rsidR="004E2F51" w:rsidRPr="00D14589" w:rsidRDefault="004E2F51" w:rsidP="004E2F51">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5B917905" w14:textId="77777777" w:rsidR="004E2F51" w:rsidRPr="00D14589" w:rsidRDefault="004E2F51" w:rsidP="004E2F51">
      <w:pPr>
        <w:tabs>
          <w:tab w:val="left" w:pos="851"/>
        </w:tabs>
        <w:spacing w:line="300" w:lineRule="exact"/>
        <w:jc w:val="both"/>
        <w:rPr>
          <w:rFonts w:ascii="Arial" w:eastAsia="Calibri" w:hAnsi="Arial" w:cs="Arial"/>
          <w:b/>
          <w:color w:val="000000" w:themeColor="text1"/>
          <w:sz w:val="20"/>
          <w:szCs w:val="20"/>
          <w:lang w:val="hr-HR"/>
        </w:rPr>
      </w:pPr>
    </w:p>
    <w:p w14:paraId="76DC91F3" w14:textId="77777777" w:rsidR="004E2F51" w:rsidRPr="00D14589" w:rsidRDefault="004E2F51" w:rsidP="004E2F51">
      <w:pPr>
        <w:tabs>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w:t>
      </w:r>
      <w:r w:rsidRPr="00D14589">
        <w:rPr>
          <w:rFonts w:ascii="Arial" w:eastAsia="Calibri" w:hAnsi="Arial" w:cs="Arial"/>
          <w:b/>
          <w:color w:val="000000" w:themeColor="text1"/>
          <w:sz w:val="20"/>
          <w:szCs w:val="20"/>
          <w:lang w:val="hr-HR"/>
        </w:rPr>
        <w:tab/>
        <w:t>Procjena umanjenja vrijednosti (nastavak)</w:t>
      </w:r>
    </w:p>
    <w:p w14:paraId="06D80F04" w14:textId="77777777" w:rsidR="004E2F51" w:rsidRPr="00D14589" w:rsidRDefault="004E2F51" w:rsidP="004E2F51">
      <w:pPr>
        <w:keepNext/>
        <w:tabs>
          <w:tab w:val="left" w:pos="426"/>
        </w:tabs>
        <w:jc w:val="both"/>
        <w:rPr>
          <w:rFonts w:ascii="Arial" w:hAnsi="Arial" w:cs="Arial"/>
          <w:b/>
          <w:bCs/>
          <w:color w:val="000000" w:themeColor="text1"/>
          <w:sz w:val="20"/>
          <w:szCs w:val="20"/>
          <w:lang w:val="hr-HR" w:eastAsia="hr-HR"/>
        </w:rPr>
      </w:pPr>
    </w:p>
    <w:p w14:paraId="29C4CA1F" w14:textId="77777777" w:rsidR="004E2F51" w:rsidRPr="00D14589" w:rsidRDefault="004E2F51" w:rsidP="004E2F51">
      <w:pPr>
        <w:tabs>
          <w:tab w:val="left" w:pos="567"/>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.3.2.2.</w:t>
      </w:r>
      <w:r w:rsidRPr="00D14589">
        <w:rPr>
          <w:rFonts w:ascii="Arial" w:eastAsia="Calibri" w:hAnsi="Arial" w:cs="Arial"/>
          <w:b/>
          <w:color w:val="000000" w:themeColor="text1"/>
          <w:sz w:val="20"/>
          <w:szCs w:val="20"/>
          <w:lang w:val="hr-HR"/>
        </w:rPr>
        <w:tab/>
        <w:t>Bančin postupak procjene internog rejtinga i vjerojatnosti neispunjenja ugovornih obveza (PD)</w:t>
      </w:r>
    </w:p>
    <w:p w14:paraId="7D8ACD8B" w14:textId="77777777" w:rsidR="004E2F51" w:rsidRPr="00D14589" w:rsidRDefault="004E2F51" w:rsidP="004E2F51">
      <w:pPr>
        <w:jc w:val="both"/>
        <w:rPr>
          <w:rFonts w:ascii="Arial" w:hAnsi="Arial" w:cs="Arial"/>
          <w:color w:val="000000" w:themeColor="text1"/>
          <w:sz w:val="20"/>
          <w:szCs w:val="20"/>
          <w:lang w:val="hr-HR"/>
        </w:rPr>
      </w:pPr>
    </w:p>
    <w:p w14:paraId="50FC35DF"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Za modeliranje PD-ja koristi se pristup temeljen na TTC (engl. Through-the-Cycle) migracijskim matricama za izloženosti u homogenim skupinama izravnih korisnika i ostalo. Definirane su rizične skupine (eng. bucket) te se provodi analiza kretanja izloženosti između navedenih skupina. </w:t>
      </w:r>
    </w:p>
    <w:p w14:paraId="76AB86E6" w14:textId="77777777" w:rsidR="004E2F51" w:rsidRPr="00D14589" w:rsidRDefault="004E2F51" w:rsidP="004E2F51">
      <w:pPr>
        <w:jc w:val="both"/>
        <w:rPr>
          <w:rFonts w:ascii="Arial" w:hAnsi="Arial" w:cs="Arial"/>
          <w:color w:val="000000" w:themeColor="text1"/>
          <w:sz w:val="20"/>
          <w:szCs w:val="20"/>
          <w:lang w:val="hr-HR"/>
        </w:rPr>
      </w:pPr>
    </w:p>
    <w:p w14:paraId="2D630C0F"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navedene izloženosti, rizične skupine su definirane temeljem dana kašnjenja i statusa restrukturiranih izloženosti. Modeliranju PD-ja prethodi prikupljanje podataka za prethodno relevantno razdoblje.</w:t>
      </w:r>
    </w:p>
    <w:p w14:paraId="4BD26182" w14:textId="77777777" w:rsidR="004E2F51" w:rsidRPr="00D14589" w:rsidRDefault="004E2F51" w:rsidP="004E2F51">
      <w:pPr>
        <w:jc w:val="both"/>
        <w:rPr>
          <w:rFonts w:ascii="Arial" w:hAnsi="Arial" w:cs="Arial"/>
          <w:color w:val="000000" w:themeColor="text1"/>
          <w:sz w:val="20"/>
          <w:szCs w:val="20"/>
          <w:lang w:val="hr-HR"/>
        </w:rPr>
      </w:pPr>
    </w:p>
    <w:p w14:paraId="60F38BB2"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Pri modeliranju PD-ja, analizira se kretanje izloženosti između sljedećih skupina:</w:t>
      </w:r>
    </w:p>
    <w:p w14:paraId="7A4312D6" w14:textId="77777777" w:rsidR="004E2F51" w:rsidRPr="00D14589" w:rsidRDefault="004E2F51">
      <w:pPr>
        <w:numPr>
          <w:ilvl w:val="0"/>
          <w:numId w:val="50"/>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od 0 do 30 dana kašnjenja - skupina 1,</w:t>
      </w:r>
    </w:p>
    <w:p w14:paraId="7A36A083" w14:textId="77777777" w:rsidR="004E2F51" w:rsidRPr="00D14589" w:rsidRDefault="004E2F51">
      <w:pPr>
        <w:numPr>
          <w:ilvl w:val="0"/>
          <w:numId w:val="50"/>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od 31 do 90 dana kašnjenja - skupina 2,</w:t>
      </w:r>
    </w:p>
    <w:p w14:paraId="1CB8BCB3" w14:textId="77777777" w:rsidR="004E2F51" w:rsidRPr="00D14589" w:rsidRDefault="004E2F51">
      <w:pPr>
        <w:numPr>
          <w:ilvl w:val="0"/>
          <w:numId w:val="50"/>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više od 90 dana kašnjenja i restrukturiranje – događaj statusa neispunjenja obveza (defaulta).</w:t>
      </w:r>
    </w:p>
    <w:p w14:paraId="762BE349" w14:textId="77777777" w:rsidR="004E2F51" w:rsidRPr="00D14589" w:rsidRDefault="004E2F51" w:rsidP="004E2F51">
      <w:pPr>
        <w:jc w:val="both"/>
        <w:rPr>
          <w:rFonts w:ascii="Arial" w:hAnsi="Arial" w:cs="Arial"/>
          <w:color w:val="000000" w:themeColor="text1"/>
          <w:sz w:val="20"/>
          <w:szCs w:val="20"/>
          <w:lang w:val="hr-HR"/>
        </w:rPr>
      </w:pPr>
    </w:p>
    <w:p w14:paraId="0CBB5392"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Temeljem matrica kretanja izloženosti iz skupine u skupinu, izračunava se 12-mjesečna vrijednost PD-ja. Daljnjim množenjem matrica izračunavaju se granične vrijednosti PD-ja putem kojih se kreira vektor. Vektor graničnih vrijednosti PD-ja predstavlja osnovu pomoću koje se izračunava vrijednost cjeloživotnog PD-ja. Vrijednost cjeloživotnog PD-ja ovisi o tenoru, odnosno preostalom razdoblju do dospijeća pojedine izloženosti.</w:t>
      </w:r>
    </w:p>
    <w:p w14:paraId="0981B8D2" w14:textId="77777777" w:rsidR="004E2F51" w:rsidRPr="00D14589" w:rsidRDefault="004E2F51" w:rsidP="004E2F51">
      <w:pPr>
        <w:jc w:val="both"/>
        <w:rPr>
          <w:rFonts w:ascii="Arial" w:hAnsi="Arial" w:cs="Arial"/>
          <w:color w:val="000000" w:themeColor="text1"/>
          <w:sz w:val="20"/>
          <w:szCs w:val="20"/>
          <w:lang w:val="hr-HR"/>
        </w:rPr>
      </w:pPr>
    </w:p>
    <w:p w14:paraId="509C0D48" w14:textId="77777777" w:rsidR="004E2F51" w:rsidRPr="00D14589" w:rsidRDefault="004E2F51" w:rsidP="004E2F51">
      <w:pPr>
        <w:tabs>
          <w:tab w:val="left" w:pos="2694"/>
        </w:tabs>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Pristup temeljen na vanjskom rejtingu koji objavljuju vanjske kreditne rejting agencije korišten je prilikom izračuna PD-ja za izloženosti iz homogenih skupina financijske institucije te središnja država i lokalna i područna (regionalna) samouprava.</w:t>
      </w:r>
    </w:p>
    <w:p w14:paraId="0DB65774" w14:textId="77777777" w:rsidR="004E2F51" w:rsidRPr="00D14589" w:rsidRDefault="004E2F51" w:rsidP="004E2F51">
      <w:pPr>
        <w:jc w:val="both"/>
        <w:rPr>
          <w:rFonts w:ascii="Arial" w:hAnsi="Arial" w:cs="Arial"/>
          <w:color w:val="000000" w:themeColor="text1"/>
          <w:sz w:val="20"/>
          <w:szCs w:val="20"/>
          <w:lang w:val="hr-HR"/>
        </w:rPr>
      </w:pPr>
    </w:p>
    <w:p w14:paraId="2745BDE1"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izloženosti prema domaćim financijskim institucijama, obzirom da ne postoji vanjski rejting za sve financijske institucije u portfelju Grupe, postojeći interni rejtinzi domaćih financijskih institucija mapirani su na vanjski rejting pri čemu se kao polazna točka mapiranja koristi financijska institucija koja ima vanjski rejting, slijedom čega je interni rejting u Grupi izjednačen s rejtingom S&amp;P-a "BB</w:t>
      </w:r>
      <w:r>
        <w:rPr>
          <w:rFonts w:ascii="Arial" w:hAnsi="Arial" w:cs="Arial"/>
          <w:color w:val="000000" w:themeColor="text1"/>
          <w:sz w:val="20"/>
          <w:szCs w:val="20"/>
          <w:lang w:val="hr-HR"/>
        </w:rPr>
        <w:t>B+</w:t>
      </w:r>
      <w:r w:rsidRPr="00D14589">
        <w:rPr>
          <w:rFonts w:ascii="Arial" w:hAnsi="Arial" w:cs="Arial"/>
          <w:color w:val="000000" w:themeColor="text1"/>
          <w:sz w:val="20"/>
          <w:szCs w:val="20"/>
          <w:lang w:val="hr-HR"/>
        </w:rPr>
        <w:t>". Time je utvrđena gornja granica za domaće financijske institucije na razini rejtinga države. Distribucija vrijednosti PD-ja za preostale interne rejtinge određuje se metodom linearne interpolacije.</w:t>
      </w:r>
    </w:p>
    <w:p w14:paraId="3992382E" w14:textId="77777777" w:rsidR="004E2F51" w:rsidRPr="00D14589" w:rsidRDefault="004E2F51" w:rsidP="004E2F51">
      <w:pPr>
        <w:jc w:val="both"/>
        <w:rPr>
          <w:rFonts w:ascii="Arial" w:hAnsi="Arial" w:cs="Arial"/>
          <w:color w:val="000000" w:themeColor="text1"/>
          <w:sz w:val="20"/>
          <w:szCs w:val="20"/>
          <w:lang w:val="hr-HR"/>
        </w:rPr>
      </w:pPr>
    </w:p>
    <w:p w14:paraId="39821594"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izloženosti prema inozemnim financijskim institucijama koriste se rejtinzi vanjskih kreditnih rejting agencija i sukladno tome primjenjuje odgovarajuća vrijednost PD-ja iz njihovih matrica, a ako nema onda se koristi interni rejting, odnosno primjenjuju se pravila istovjetna domaćim financijskim institucijama.</w:t>
      </w:r>
    </w:p>
    <w:p w14:paraId="4E829293" w14:textId="77777777" w:rsidR="004E2F51" w:rsidRPr="00D14589" w:rsidRDefault="004E2F51" w:rsidP="004E2F51">
      <w:pPr>
        <w:jc w:val="both"/>
        <w:rPr>
          <w:rFonts w:ascii="Arial" w:hAnsi="Arial" w:cs="Arial"/>
          <w:color w:val="000000" w:themeColor="text1"/>
          <w:sz w:val="20"/>
          <w:szCs w:val="20"/>
          <w:lang w:val="hr-HR"/>
        </w:rPr>
      </w:pPr>
    </w:p>
    <w:p w14:paraId="023DFA02" w14:textId="77777777" w:rsidR="004E2F51" w:rsidRPr="00D14589" w:rsidRDefault="004E2F51" w:rsidP="004E2F51">
      <w:pPr>
        <w:tabs>
          <w:tab w:val="left" w:pos="2694"/>
        </w:tabs>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Vrijednost 12-mjesečnog PD-ja procjenjuje se množenjem TTC matrice sa samom sobom. Vrijednost cjeloživotnog PD-ja predstavlja kumulativnu vrijednost graničnih vrijednosti PD-ja, odnosno zbroj graničnih vrijednosti PD-ja, ovisno o tenoru izloženosti.</w:t>
      </w:r>
    </w:p>
    <w:p w14:paraId="1EACC1B8" w14:textId="77777777" w:rsidR="004E2F51" w:rsidRPr="00D14589" w:rsidRDefault="004E2F51" w:rsidP="004E2F51">
      <w:pPr>
        <w:tabs>
          <w:tab w:val="left" w:pos="2694"/>
        </w:tabs>
        <w:jc w:val="both"/>
        <w:rPr>
          <w:rFonts w:ascii="Arial" w:hAnsi="Arial" w:cs="Arial"/>
          <w:color w:val="000000" w:themeColor="text1"/>
          <w:sz w:val="20"/>
          <w:szCs w:val="20"/>
          <w:lang w:val="hr-HR"/>
        </w:rPr>
      </w:pPr>
    </w:p>
    <w:p w14:paraId="64908304" w14:textId="77777777" w:rsidR="004E2F51" w:rsidRPr="00D14589" w:rsidRDefault="004E2F51" w:rsidP="004E2F51">
      <w:pPr>
        <w:tabs>
          <w:tab w:val="left" w:pos="2694"/>
        </w:tabs>
        <w:jc w:val="both"/>
        <w:rPr>
          <w:rFonts w:ascii="Arial" w:hAnsi="Arial" w:cs="Arial"/>
          <w:color w:val="000000" w:themeColor="text1"/>
          <w:sz w:val="20"/>
          <w:szCs w:val="20"/>
          <w:lang w:val="hr-HR"/>
        </w:rPr>
      </w:pPr>
    </w:p>
    <w:p w14:paraId="16FF12C3" w14:textId="77777777" w:rsidR="004E2F51" w:rsidRPr="00D14589" w:rsidRDefault="004E2F51" w:rsidP="004E2F51">
      <w:pPr>
        <w:jc w:val="both"/>
        <w:rPr>
          <w:rFonts w:ascii="Arial" w:eastAsia="Calibri" w:hAnsi="Arial" w:cs="Arial"/>
          <w:bCs/>
          <w:color w:val="000000" w:themeColor="text1"/>
          <w:spacing w:val="-3"/>
          <w:sz w:val="20"/>
          <w:szCs w:val="20"/>
          <w:lang w:val="hr-HR"/>
        </w:rPr>
        <w:sectPr w:rsidR="004E2F51" w:rsidRPr="00D14589" w:rsidSect="00623DBA">
          <w:footerReference w:type="default" r:id="rId170"/>
          <w:pgSz w:w="11907" w:h="16840" w:code="9"/>
          <w:pgMar w:top="1418" w:right="1134" w:bottom="1134" w:left="1418" w:header="851" w:footer="851" w:gutter="0"/>
          <w:cols w:space="720"/>
          <w:noEndnote/>
        </w:sectPr>
      </w:pPr>
    </w:p>
    <w:p w14:paraId="527F824E" w14:textId="77777777" w:rsidR="004E2F51" w:rsidRPr="00D14589" w:rsidRDefault="004E2F51" w:rsidP="004E2F51">
      <w:pPr>
        <w:jc w:val="both"/>
        <w:rPr>
          <w:rFonts w:ascii="Arial" w:eastAsia="Calibri" w:hAnsi="Arial" w:cs="Arial"/>
          <w:bCs/>
          <w:color w:val="000000" w:themeColor="text1"/>
          <w:spacing w:val="-3"/>
          <w:sz w:val="20"/>
          <w:szCs w:val="20"/>
          <w:lang w:val="hr-HR"/>
        </w:rPr>
      </w:pPr>
    </w:p>
    <w:p w14:paraId="00B6BE69" w14:textId="77777777" w:rsidR="004E2F51" w:rsidRPr="00D14589" w:rsidRDefault="004E2F51" w:rsidP="004E2F51">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7DB36DF9" w14:textId="77777777" w:rsidR="004E2F51" w:rsidRPr="00D14589" w:rsidRDefault="004E2F51" w:rsidP="004E2F51">
      <w:pPr>
        <w:jc w:val="both"/>
        <w:rPr>
          <w:rFonts w:ascii="Arial" w:hAnsi="Arial" w:cs="Arial"/>
          <w:color w:val="000000" w:themeColor="text1"/>
          <w:sz w:val="20"/>
          <w:szCs w:val="20"/>
          <w:lang w:val="hr-HR"/>
        </w:rPr>
      </w:pPr>
    </w:p>
    <w:p w14:paraId="678EF3A0" w14:textId="77777777" w:rsidR="004E2F51" w:rsidRPr="00D14589" w:rsidRDefault="004E2F51" w:rsidP="004E2F51">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72252467" w14:textId="77777777" w:rsidR="004E2F51" w:rsidRPr="00D14589" w:rsidRDefault="004E2F51" w:rsidP="004E2F51">
      <w:pPr>
        <w:jc w:val="both"/>
        <w:rPr>
          <w:rFonts w:ascii="Arial" w:hAnsi="Arial" w:cs="Arial"/>
          <w:color w:val="000000" w:themeColor="text1"/>
          <w:sz w:val="20"/>
          <w:szCs w:val="20"/>
          <w:lang w:val="hr-HR"/>
        </w:rPr>
      </w:pPr>
    </w:p>
    <w:p w14:paraId="15F2771C" w14:textId="77777777" w:rsidR="004E2F51" w:rsidRPr="00D14589" w:rsidRDefault="004E2F51" w:rsidP="004E2F51">
      <w:pPr>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w:t>
      </w:r>
      <w:r w:rsidRPr="00D14589">
        <w:rPr>
          <w:rFonts w:ascii="Arial" w:eastAsia="Calibri" w:hAnsi="Arial" w:cs="Arial"/>
          <w:b/>
          <w:color w:val="000000" w:themeColor="text1"/>
          <w:sz w:val="20"/>
          <w:szCs w:val="20"/>
          <w:lang w:val="hr-HR"/>
        </w:rPr>
        <w:tab/>
        <w:t>Procjena umanjenja vrijednosti (nastavak)</w:t>
      </w:r>
    </w:p>
    <w:p w14:paraId="11D03209" w14:textId="77777777" w:rsidR="004E2F51" w:rsidRPr="00D14589" w:rsidRDefault="004E2F51" w:rsidP="004E2F51">
      <w:pPr>
        <w:spacing w:line="300" w:lineRule="exact"/>
        <w:rPr>
          <w:rFonts w:ascii="Arial" w:eastAsia="Calibri" w:hAnsi="Arial" w:cs="Arial"/>
          <w:b/>
          <w:color w:val="000000" w:themeColor="text1"/>
          <w:sz w:val="20"/>
          <w:szCs w:val="20"/>
          <w:lang w:val="hr-HR"/>
        </w:rPr>
      </w:pPr>
    </w:p>
    <w:p w14:paraId="7B1C33F8" w14:textId="77777777" w:rsidR="004E2F51" w:rsidRPr="00D14589" w:rsidRDefault="004E2F51" w:rsidP="004E2F51">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 xml:space="preserve">.3.2.3. Izloženost u trenutku nastanka statusa neispunjenja obveza </w:t>
      </w:r>
    </w:p>
    <w:p w14:paraId="0402B3D9" w14:textId="77777777" w:rsidR="004E2F51" w:rsidRPr="00D14589" w:rsidRDefault="004E2F51" w:rsidP="004E2F51">
      <w:pPr>
        <w:jc w:val="both"/>
        <w:rPr>
          <w:rFonts w:ascii="Arial" w:hAnsi="Arial" w:cs="Arial"/>
          <w:color w:val="000000" w:themeColor="text1"/>
          <w:sz w:val="20"/>
          <w:szCs w:val="20"/>
          <w:lang w:val="hr-HR"/>
        </w:rPr>
      </w:pPr>
    </w:p>
    <w:p w14:paraId="76BA3DF5"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potrebe modeliranja izloženosti u trenutku nastanka statusa neispunjenja obveza (engl. Exposure at Default, dalje: EAD), odnosno za potrebe izračuna kreditnog konverzijskog parametra (dalje: CCF, eng. Credit Conversion Factor) i omjera prijevremene otplate, razmatraju se podaci za proteklo petogodišnje razdoblje.</w:t>
      </w:r>
    </w:p>
    <w:p w14:paraId="61E7CDB2" w14:textId="77777777" w:rsidR="004E2F51" w:rsidRPr="00D14589" w:rsidRDefault="004E2F51" w:rsidP="004E2F51">
      <w:pPr>
        <w:jc w:val="both"/>
        <w:rPr>
          <w:rFonts w:ascii="Arial" w:hAnsi="Arial" w:cs="Arial"/>
          <w:color w:val="000000" w:themeColor="text1"/>
          <w:sz w:val="20"/>
          <w:szCs w:val="20"/>
          <w:lang w:val="hr-HR"/>
        </w:rPr>
      </w:pPr>
    </w:p>
    <w:p w14:paraId="14CB22DF"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Temeljem navedenih povijesnih podataka utvrđen je omjer prijevremene naplate približno jednak nuli te kreditni konverzijski faktor jednak 1.</w:t>
      </w:r>
    </w:p>
    <w:p w14:paraId="50058C7E" w14:textId="77777777" w:rsidR="004E2F51" w:rsidRPr="00D14589" w:rsidRDefault="004E2F51" w:rsidP="004E2F51">
      <w:pPr>
        <w:jc w:val="both"/>
        <w:rPr>
          <w:rFonts w:ascii="Arial" w:hAnsi="Arial" w:cs="Arial"/>
          <w:color w:val="000000" w:themeColor="text1"/>
          <w:sz w:val="20"/>
          <w:szCs w:val="20"/>
          <w:lang w:val="hr-HR"/>
        </w:rPr>
      </w:pPr>
    </w:p>
    <w:p w14:paraId="7FEBA28C"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EAD se izračunava za svaki ugovor. Dva su pristupa izračunu EAD-a</w:t>
      </w:r>
      <w:r w:rsidRPr="0002282A">
        <w:rPr>
          <w:lang w:val="it-IT"/>
        </w:rPr>
        <w:t xml:space="preserve"> </w:t>
      </w:r>
      <w:r w:rsidRPr="000276A1">
        <w:rPr>
          <w:rFonts w:ascii="Arial" w:hAnsi="Arial" w:cs="Arial"/>
          <w:color w:val="000000" w:themeColor="text1"/>
          <w:sz w:val="20"/>
          <w:szCs w:val="20"/>
          <w:lang w:val="hr-HR"/>
        </w:rPr>
        <w:t>ako za izloženost</w:t>
      </w:r>
      <w:r>
        <w:rPr>
          <w:rFonts w:ascii="Arial" w:hAnsi="Arial" w:cs="Arial"/>
          <w:color w:val="000000" w:themeColor="text1"/>
          <w:sz w:val="20"/>
          <w:szCs w:val="20"/>
          <w:lang w:val="hr-HR"/>
        </w:rPr>
        <w:t>:</w:t>
      </w:r>
    </w:p>
    <w:p w14:paraId="0DC7E0D4" w14:textId="77777777" w:rsidR="004E2F51" w:rsidRPr="00D14589" w:rsidRDefault="004E2F51">
      <w:pPr>
        <w:numPr>
          <w:ilvl w:val="0"/>
          <w:numId w:val="51"/>
        </w:numPr>
        <w:suppressAutoHyphens w:val="0"/>
        <w:autoSpaceDN/>
        <w:contextualSpacing/>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postoji plan otplate - temeljem novčanog toka iz plana otplate,</w:t>
      </w:r>
    </w:p>
    <w:p w14:paraId="4808E42E" w14:textId="77777777" w:rsidR="004E2F51" w:rsidRPr="00D14589" w:rsidRDefault="004E2F51">
      <w:pPr>
        <w:numPr>
          <w:ilvl w:val="0"/>
          <w:numId w:val="51"/>
        </w:numPr>
        <w:suppressAutoHyphens w:val="0"/>
        <w:autoSpaceDN/>
        <w:contextualSpacing/>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ne postoji plan otplate - temeljem iznosa izloženosti na izvještajni datum.</w:t>
      </w:r>
    </w:p>
    <w:p w14:paraId="18269746" w14:textId="77777777" w:rsidR="004E2F51" w:rsidRPr="00D14589" w:rsidRDefault="004E2F51" w:rsidP="004E2F51">
      <w:pPr>
        <w:jc w:val="both"/>
        <w:rPr>
          <w:rFonts w:ascii="Arial" w:hAnsi="Arial" w:cs="Arial"/>
          <w:color w:val="000000" w:themeColor="text1"/>
          <w:sz w:val="20"/>
          <w:szCs w:val="20"/>
          <w:lang w:val="hr-HR"/>
        </w:rPr>
      </w:pPr>
    </w:p>
    <w:p w14:paraId="1B8614C0"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Za izloženosti klasificirane u 1. stupanj rizika te za dospjele izloženosti EAD je jednak trenutnoj izloženosti. </w:t>
      </w:r>
    </w:p>
    <w:p w14:paraId="01D6C5B2" w14:textId="77777777" w:rsidR="004E2F51" w:rsidRPr="00D14589" w:rsidRDefault="004E2F51" w:rsidP="004E2F51">
      <w:pPr>
        <w:jc w:val="both"/>
        <w:rPr>
          <w:rFonts w:ascii="Arial" w:hAnsi="Arial" w:cs="Arial"/>
          <w:color w:val="000000" w:themeColor="text1"/>
          <w:sz w:val="20"/>
          <w:szCs w:val="20"/>
          <w:lang w:val="hr-HR"/>
        </w:rPr>
      </w:pPr>
    </w:p>
    <w:p w14:paraId="276AFD21"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Za nedospjele izloženosti, cjeloživotni EAD se izračunava temeljem plana otplate, uvažavajući iznose i razdoblje dospijeća, a maksimalno do posljednjeg datuma dospijeća izloženosti (tenora). </w:t>
      </w:r>
    </w:p>
    <w:p w14:paraId="4E7DAF0F" w14:textId="77777777" w:rsidR="004E2F51" w:rsidRPr="00D14589" w:rsidRDefault="004E2F51" w:rsidP="004E2F51">
      <w:pPr>
        <w:spacing w:line="300" w:lineRule="exact"/>
        <w:rPr>
          <w:rFonts w:ascii="Arial" w:eastAsia="Calibri" w:hAnsi="Arial" w:cs="Arial"/>
          <w:b/>
          <w:color w:val="000000" w:themeColor="text1"/>
          <w:sz w:val="20"/>
          <w:szCs w:val="20"/>
          <w:lang w:val="hr-HR"/>
        </w:rPr>
      </w:pPr>
    </w:p>
    <w:p w14:paraId="46B1BBA6" w14:textId="77777777" w:rsidR="004E2F51" w:rsidRPr="00D14589" w:rsidRDefault="004E2F51" w:rsidP="004E2F51">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.3.2.4. Gubitak u trenutku nastanka statusa neispunjenja obveza</w:t>
      </w:r>
    </w:p>
    <w:p w14:paraId="2B78AA0B" w14:textId="77777777" w:rsidR="004E2F51" w:rsidRPr="00D14589" w:rsidRDefault="004E2F51" w:rsidP="004E2F51">
      <w:pPr>
        <w:autoSpaceDE w:val="0"/>
        <w:adjustRightInd w:val="0"/>
        <w:jc w:val="both"/>
        <w:rPr>
          <w:rFonts w:ascii="Arial" w:hAnsi="Arial" w:cs="Arial"/>
          <w:color w:val="000000" w:themeColor="text1"/>
          <w:sz w:val="20"/>
          <w:szCs w:val="20"/>
          <w:lang w:val="hr-HR"/>
        </w:rPr>
      </w:pPr>
    </w:p>
    <w:p w14:paraId="4F204090"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Za skupine izravnih korisnika i ostalo, gubitak u trenutku nastanka statusa neispunjenja obveza (engl. Loss Given Default, dalje: LGD) se procjenjuje temeljem transakcija nakon datuma nastanka statusa neispunjenja obveza klijenta. Svaka se transakcija diskontira na datum nastanka statusa neispunjenja obveza odgovarajućom diskontnom stopom, a diskontni faktor ovisi o proteklom vremenu. Pojedinačnoj izloženosti se pribrajaju sva povećanja nakon datuma nastanka statusa neispunjenja obveza. Rezultat navedenog izračuna je stopa naplate za svaku izloženost u nekoj homogenoj skupini, a ukupnu stopu naplate za pojedinu homogenu skupinu čini težinski prosjek stopa naplate svih pojedinačnih izloženosti. </w:t>
      </w:r>
    </w:p>
    <w:p w14:paraId="2359A29D" w14:textId="77777777" w:rsidR="004E2F51" w:rsidRPr="00D14589" w:rsidRDefault="004E2F51" w:rsidP="004E2F51">
      <w:pPr>
        <w:jc w:val="both"/>
        <w:rPr>
          <w:rFonts w:ascii="Arial" w:hAnsi="Arial" w:cs="Arial"/>
          <w:color w:val="000000" w:themeColor="text1"/>
          <w:sz w:val="20"/>
          <w:szCs w:val="20"/>
          <w:lang w:val="hr-HR"/>
        </w:rPr>
      </w:pPr>
    </w:p>
    <w:p w14:paraId="40C033C2"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U izračun LGD-a također je uzeta u obzir i vjerojatnost izlaska iz statusa neispunjenja obveza. </w:t>
      </w:r>
    </w:p>
    <w:p w14:paraId="288E6156" w14:textId="77777777" w:rsidR="004E2F51" w:rsidRPr="00D14589" w:rsidRDefault="004E2F51" w:rsidP="004E2F51">
      <w:pPr>
        <w:autoSpaceDE w:val="0"/>
        <w:adjustRightInd w:val="0"/>
        <w:jc w:val="both"/>
        <w:rPr>
          <w:rFonts w:ascii="Arial" w:hAnsi="Arial" w:cs="Arial"/>
          <w:color w:val="000000" w:themeColor="text1"/>
          <w:sz w:val="20"/>
          <w:szCs w:val="20"/>
          <w:lang w:val="hr-HR"/>
        </w:rPr>
      </w:pPr>
    </w:p>
    <w:p w14:paraId="7938DB22" w14:textId="77777777" w:rsidR="004E2F51" w:rsidRPr="00D14589" w:rsidRDefault="004E2F51" w:rsidP="004E2F51">
      <w:pPr>
        <w:autoSpaceDE w:val="0"/>
        <w:adjustRightInd w:val="0"/>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Kao podloga za određivanje LGD-a za skupine središnja država i lokalna i područna (regionalna) samouprava i financijske institucije koristi se izvještaj vanjskih kreditnih rejting agencija. U godišnjim izvještajima o stopama nastanka statusa neispunjenja obveza i naplate, kreditne rejting agencije objavljuju i povijesne i tržišne stope naplate. Tržišna stopa naplate je tržišna cijena obveznice u odnosu na njezinu vrijednost neposredno prije defaulta ili u trenutku defaulta obveznice. Temeljem tržišnih stopa naplate za neosigurani nadređeni dug („senior unsecured debt“), određuje se stopa naplate ponderirana izdavateljem obveznica (eng. issuer-weighted recovery rate). </w:t>
      </w:r>
    </w:p>
    <w:p w14:paraId="153B9EB7" w14:textId="77777777" w:rsidR="004E2F51" w:rsidRPr="00D14589" w:rsidRDefault="004E2F51" w:rsidP="004E2F51">
      <w:pPr>
        <w:autoSpaceDE w:val="0"/>
        <w:adjustRightInd w:val="0"/>
        <w:jc w:val="both"/>
        <w:rPr>
          <w:rFonts w:ascii="Arial" w:hAnsi="Arial" w:cs="Arial"/>
          <w:color w:val="000000" w:themeColor="text1"/>
          <w:sz w:val="20"/>
          <w:szCs w:val="20"/>
          <w:lang w:val="hr-HR"/>
        </w:rPr>
      </w:pPr>
    </w:p>
    <w:p w14:paraId="2B449398" w14:textId="77777777" w:rsidR="004E2F51" w:rsidRPr="00D14589" w:rsidRDefault="004E2F51" w:rsidP="004E2F51">
      <w:pPr>
        <w:tabs>
          <w:tab w:val="left" w:pos="2694"/>
        </w:tabs>
        <w:jc w:val="both"/>
        <w:rPr>
          <w:rFonts w:ascii="Arial" w:hAnsi="Arial" w:cs="Arial"/>
          <w:color w:val="000000" w:themeColor="text1"/>
          <w:sz w:val="20"/>
          <w:szCs w:val="20"/>
          <w:lang w:val="hr-HR"/>
        </w:rPr>
      </w:pPr>
    </w:p>
    <w:p w14:paraId="00DF0225" w14:textId="77777777" w:rsidR="004E2F51" w:rsidRPr="00D14589" w:rsidRDefault="004E2F51" w:rsidP="004E2F51">
      <w:pPr>
        <w:autoSpaceDE w:val="0"/>
        <w:adjustRightInd w:val="0"/>
        <w:jc w:val="both"/>
        <w:rPr>
          <w:rFonts w:ascii="Arial" w:hAnsi="Arial" w:cs="Arial"/>
          <w:color w:val="000000" w:themeColor="text1"/>
          <w:sz w:val="20"/>
          <w:szCs w:val="20"/>
          <w:lang w:val="hr-HR"/>
        </w:rPr>
        <w:sectPr w:rsidR="004E2F51" w:rsidRPr="00D14589" w:rsidSect="00623DBA">
          <w:footerReference w:type="default" r:id="rId171"/>
          <w:pgSz w:w="11907" w:h="16840" w:code="9"/>
          <w:pgMar w:top="1418" w:right="1134" w:bottom="1134" w:left="1418" w:header="851" w:footer="851" w:gutter="0"/>
          <w:cols w:space="720"/>
          <w:noEndnote/>
        </w:sectPr>
      </w:pPr>
    </w:p>
    <w:p w14:paraId="0661E357" w14:textId="77777777" w:rsidR="004E2F51" w:rsidRPr="00D14589" w:rsidRDefault="004E2F51" w:rsidP="004E2F51">
      <w:pPr>
        <w:autoSpaceDE w:val="0"/>
        <w:adjustRightInd w:val="0"/>
        <w:jc w:val="both"/>
        <w:rPr>
          <w:rFonts w:ascii="Arial" w:hAnsi="Arial" w:cs="Arial"/>
          <w:color w:val="000000" w:themeColor="text1"/>
          <w:sz w:val="20"/>
          <w:szCs w:val="20"/>
          <w:lang w:val="hr-HR"/>
        </w:rPr>
      </w:pPr>
    </w:p>
    <w:p w14:paraId="745B4649" w14:textId="77777777" w:rsidR="004E2F51" w:rsidRPr="00D14589" w:rsidRDefault="004E2F51" w:rsidP="004E2F51">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6CA4675E" w14:textId="77777777" w:rsidR="004E2F51" w:rsidRPr="00D14589" w:rsidRDefault="004E2F51" w:rsidP="004E2F51">
      <w:pPr>
        <w:jc w:val="both"/>
        <w:rPr>
          <w:rFonts w:ascii="Arial" w:hAnsi="Arial" w:cs="Arial"/>
          <w:color w:val="000000" w:themeColor="text1"/>
          <w:sz w:val="20"/>
          <w:szCs w:val="20"/>
          <w:lang w:val="hr-HR"/>
        </w:rPr>
      </w:pPr>
    </w:p>
    <w:p w14:paraId="7A1E840C" w14:textId="77777777" w:rsidR="004E2F51" w:rsidRPr="00D14589" w:rsidRDefault="004E2F51" w:rsidP="004E2F51">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7FBCA6C8" w14:textId="77777777" w:rsidR="004E2F51" w:rsidRPr="00D14589" w:rsidRDefault="004E2F51" w:rsidP="004E2F51">
      <w:pPr>
        <w:jc w:val="both"/>
        <w:rPr>
          <w:rFonts w:ascii="Arial" w:hAnsi="Arial" w:cs="Arial"/>
          <w:color w:val="000000" w:themeColor="text1"/>
          <w:sz w:val="20"/>
          <w:szCs w:val="20"/>
          <w:lang w:val="hr-HR"/>
        </w:rPr>
      </w:pPr>
    </w:p>
    <w:p w14:paraId="0357528D" w14:textId="77777777" w:rsidR="004E2F51" w:rsidRPr="00D14589" w:rsidRDefault="004E2F51" w:rsidP="004E2F51">
      <w:pPr>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 Procjena umanjenja vrijednosti (nastavak)</w:t>
      </w:r>
    </w:p>
    <w:p w14:paraId="4806A37E" w14:textId="77777777" w:rsidR="004E2F51" w:rsidRPr="00D14589" w:rsidRDefault="004E2F51" w:rsidP="004E2F51">
      <w:pPr>
        <w:spacing w:line="300" w:lineRule="exact"/>
        <w:rPr>
          <w:rFonts w:ascii="Arial" w:eastAsia="Calibri" w:hAnsi="Arial" w:cs="Arial"/>
          <w:b/>
          <w:color w:val="000000" w:themeColor="text1"/>
          <w:sz w:val="20"/>
          <w:szCs w:val="20"/>
          <w:lang w:val="hr-HR"/>
        </w:rPr>
      </w:pPr>
    </w:p>
    <w:p w14:paraId="41BB026C" w14:textId="77777777" w:rsidR="004E2F51" w:rsidRPr="00D14589" w:rsidRDefault="004E2F51" w:rsidP="004E2F51">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 xml:space="preserve">.3.2.5. Značajno povećanje kreditnog rizika </w:t>
      </w:r>
    </w:p>
    <w:p w14:paraId="3E58C76B" w14:textId="77777777" w:rsidR="004E2F51" w:rsidRPr="00D14589" w:rsidRDefault="004E2F51" w:rsidP="004E2F51">
      <w:pPr>
        <w:jc w:val="both"/>
        <w:rPr>
          <w:rFonts w:ascii="Arial" w:hAnsi="Arial" w:cs="Arial"/>
          <w:color w:val="000000" w:themeColor="text1"/>
          <w:sz w:val="20"/>
          <w:szCs w:val="20"/>
          <w:lang w:val="hr-HR"/>
        </w:rPr>
      </w:pPr>
    </w:p>
    <w:p w14:paraId="6EE73A12"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U svrhu utvrđivanja povećanog kreditnog rizika kontinuirano, a najmanje jednom godišnje prate se promjene za sve klijente Banke. Svi plasmani klijentu kod kojeg je utvrđen povećan kreditni rizik ili u slučaju individualno značajnih klijenata čija je izloženost iznad 3.000 tisuća kuna, a nalaze se na Listi za pojačano praćenje, na slijedeći izvještajni datum se svi financijski instrumenti klijenta povećanog kreditnog rizika klasificiraju u 2. stupanj temeljem uočenih kriterija kao na primjer:</w:t>
      </w:r>
    </w:p>
    <w:p w14:paraId="37ABBB73" w14:textId="77777777" w:rsidR="004E2F51" w:rsidRPr="00D14589" w:rsidRDefault="004E2F51">
      <w:pPr>
        <w:numPr>
          <w:ilvl w:val="0"/>
          <w:numId w:val="52"/>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klijentovo kašnjenje u podmirenju bilo koje značajne dospjele obveze prema HBOR-u duže od 30 dana (a kraće od 90 dana), </w:t>
      </w:r>
    </w:p>
    <w:p w14:paraId="52430ECE" w14:textId="77777777" w:rsidR="004E2F51" w:rsidRPr="00D14589" w:rsidRDefault="004E2F51">
      <w:pPr>
        <w:numPr>
          <w:ilvl w:val="0"/>
          <w:numId w:val="52"/>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klijent je u financijskim poteškoćama, ali nije u statusu neispunjenja obveza, </w:t>
      </w:r>
    </w:p>
    <w:p w14:paraId="719BE17B" w14:textId="77777777" w:rsidR="004E2F51" w:rsidRPr="00D14589" w:rsidRDefault="004E2F51">
      <w:pPr>
        <w:numPr>
          <w:ilvl w:val="0"/>
          <w:numId w:val="52"/>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pogoršanje rejtinga, nizak kreditni rejting klijenta,</w:t>
      </w:r>
    </w:p>
    <w:p w14:paraId="04261410" w14:textId="77777777" w:rsidR="004E2F51" w:rsidRPr="00D14589" w:rsidRDefault="004E2F51">
      <w:pPr>
        <w:numPr>
          <w:ilvl w:val="0"/>
          <w:numId w:val="52"/>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nepoštivanje ugovornih odredbi</w:t>
      </w:r>
    </w:p>
    <w:p w14:paraId="43DC5E56" w14:textId="77777777" w:rsidR="004E2F51" w:rsidRPr="00D14589" w:rsidRDefault="004E2F51">
      <w:pPr>
        <w:numPr>
          <w:ilvl w:val="0"/>
          <w:numId w:val="52"/>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gubitak ključnih kupaca ili dobavljača i sl.</w:t>
      </w:r>
    </w:p>
    <w:p w14:paraId="781BEFBE" w14:textId="77777777" w:rsidR="004E2F51" w:rsidRPr="00D14589" w:rsidRDefault="004E2F51" w:rsidP="004E2F51">
      <w:pPr>
        <w:jc w:val="both"/>
        <w:rPr>
          <w:rFonts w:ascii="Arial" w:hAnsi="Arial" w:cs="Arial"/>
          <w:color w:val="000000" w:themeColor="text1"/>
          <w:sz w:val="20"/>
          <w:szCs w:val="20"/>
          <w:lang w:val="hr-HR"/>
        </w:rPr>
      </w:pPr>
    </w:p>
    <w:p w14:paraId="62C93871"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Izlazak iz statusa povećanog kreditnog rizika uvjetovan je nepostojanjem svih kriterija koji su svrstali klijenta u predmetni status po njegovom događaju, a provjera svih pokazatelja provodi se najmanje jednom godišnje u okviru godišnjeg praćenja klijenta. Deaktiviranje dijela pokazatelja moguće je provesti nakon šest mjeseci. Pokazatelji povećanog kreditnog rizika su aktivni godinu dana, nakon čega ih je potrebno provjeriti te temeljem rezultata praćenja ponovo aktivirati odnosno deaktivirati. Rezultat promjene je reklasifikacija financijskih instrumenata klijenta u 1. stupanj odnosno njihovim ostankom u 2. stupnju rizika.</w:t>
      </w:r>
    </w:p>
    <w:p w14:paraId="5C8740F5" w14:textId="77777777" w:rsidR="004E2F51" w:rsidRPr="00D14589" w:rsidRDefault="004E2F51" w:rsidP="004E2F51">
      <w:pPr>
        <w:jc w:val="both"/>
        <w:rPr>
          <w:rFonts w:ascii="Arial" w:hAnsi="Arial" w:cs="Arial"/>
          <w:color w:val="000000" w:themeColor="text1"/>
          <w:sz w:val="20"/>
          <w:szCs w:val="20"/>
          <w:lang w:val="hr-HR"/>
        </w:rPr>
      </w:pPr>
    </w:p>
    <w:p w14:paraId="4BD3E526"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Financijski instrumenti klijenta s investicijskim rejtingom vanjskih kreditnih rejting agencija smatraju se financijskim instrumentima niskog kreditnog rizika. Sve izloženosti prema Republici Hrvatskoj i jedinicama lokalne i područne (regionalne) samouprave (JLP(R)S), HNB-u, Europskoj investicijskoj banci (EIB) te ostalim razvojnim bankama smatraju se također financijskim instrumentima klijenata niskog kreditnog rizika. Financijski instrumenti klijenata niskog kreditnog rizika se uvijek raspoređuju u 1. stupanj.</w:t>
      </w:r>
    </w:p>
    <w:p w14:paraId="1B0ABD19" w14:textId="77777777" w:rsidR="004E2F51" w:rsidRPr="00D14589" w:rsidRDefault="004E2F51" w:rsidP="004E2F51">
      <w:pPr>
        <w:keepNext/>
        <w:tabs>
          <w:tab w:val="left" w:pos="426"/>
        </w:tabs>
        <w:jc w:val="both"/>
        <w:rPr>
          <w:rFonts w:ascii="Arial" w:hAnsi="Arial" w:cs="Arial"/>
          <w:b/>
          <w:bCs/>
          <w:color w:val="000000" w:themeColor="text1"/>
          <w:sz w:val="20"/>
          <w:szCs w:val="20"/>
          <w:lang w:val="hr-HR" w:eastAsia="hr-HR"/>
        </w:rPr>
      </w:pPr>
    </w:p>
    <w:p w14:paraId="060516D7" w14:textId="77777777" w:rsidR="004E2F51" w:rsidRPr="00D14589" w:rsidRDefault="004E2F51" w:rsidP="004E2F51">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.3.2.6. Svrstavanje financijske imovine koja se mjeri na skupnoj osnovi</w:t>
      </w:r>
    </w:p>
    <w:p w14:paraId="0C49F6C6" w14:textId="77777777" w:rsidR="004E2F51" w:rsidRPr="00D14589" w:rsidRDefault="004E2F51" w:rsidP="004E2F51">
      <w:pPr>
        <w:jc w:val="both"/>
        <w:rPr>
          <w:rFonts w:ascii="Arial" w:hAnsi="Arial" w:cs="Arial"/>
          <w:color w:val="000000" w:themeColor="text1"/>
          <w:sz w:val="20"/>
          <w:szCs w:val="20"/>
          <w:lang w:val="hr-HR"/>
        </w:rPr>
      </w:pPr>
    </w:p>
    <w:p w14:paraId="0C8CB40B"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Kreditni rizik se procjenjuje na skupnoj osnovi za sve</w:t>
      </w:r>
      <w:r>
        <w:rPr>
          <w:rFonts w:ascii="Arial" w:hAnsi="Arial" w:cs="Arial"/>
          <w:color w:val="000000" w:themeColor="text1"/>
          <w:sz w:val="20"/>
          <w:szCs w:val="20"/>
          <w:lang w:val="hr-HR"/>
        </w:rPr>
        <w:t xml:space="preserve"> </w:t>
      </w:r>
      <w:r w:rsidRPr="00064D07">
        <w:rPr>
          <w:rFonts w:ascii="Arial" w:hAnsi="Arial" w:cs="Arial"/>
          <w:color w:val="000000" w:themeColor="text1"/>
          <w:sz w:val="20"/>
          <w:szCs w:val="20"/>
          <w:lang w:val="hr-HR"/>
        </w:rPr>
        <w:t>izloženosti prema</w:t>
      </w:r>
      <w:r w:rsidRPr="00D14589">
        <w:rPr>
          <w:rFonts w:ascii="Arial" w:hAnsi="Arial" w:cs="Arial"/>
          <w:color w:val="000000" w:themeColor="text1"/>
          <w:sz w:val="20"/>
          <w:szCs w:val="20"/>
          <w:lang w:val="hr-HR"/>
        </w:rPr>
        <w:t xml:space="preserve"> klijent</w:t>
      </w:r>
      <w:r>
        <w:rPr>
          <w:rFonts w:ascii="Arial" w:hAnsi="Arial" w:cs="Arial"/>
          <w:color w:val="000000" w:themeColor="text1"/>
          <w:sz w:val="20"/>
          <w:szCs w:val="20"/>
          <w:lang w:val="hr-HR"/>
        </w:rPr>
        <w:t>ima</w:t>
      </w:r>
      <w:r w:rsidRPr="00D14589">
        <w:rPr>
          <w:rFonts w:ascii="Arial" w:hAnsi="Arial" w:cs="Arial"/>
          <w:color w:val="000000" w:themeColor="text1"/>
          <w:sz w:val="20"/>
          <w:szCs w:val="20"/>
          <w:lang w:val="hr-HR"/>
        </w:rPr>
        <w:t xml:space="preserve"> klasificiran</w:t>
      </w:r>
      <w:r>
        <w:rPr>
          <w:rFonts w:ascii="Arial" w:hAnsi="Arial" w:cs="Arial"/>
          <w:color w:val="000000" w:themeColor="text1"/>
          <w:sz w:val="20"/>
          <w:szCs w:val="20"/>
          <w:lang w:val="hr-HR"/>
        </w:rPr>
        <w:t>im</w:t>
      </w:r>
      <w:r w:rsidRPr="00D14589">
        <w:rPr>
          <w:rFonts w:ascii="Arial" w:hAnsi="Arial" w:cs="Arial"/>
          <w:color w:val="000000" w:themeColor="text1"/>
          <w:sz w:val="20"/>
          <w:szCs w:val="20"/>
          <w:lang w:val="hr-HR"/>
        </w:rPr>
        <w:t xml:space="preserve"> u 1. i 2. stupanj rizika te u 3. stupnju rizika</w:t>
      </w:r>
      <w:r>
        <w:rPr>
          <w:rFonts w:ascii="Arial" w:hAnsi="Arial" w:cs="Arial"/>
          <w:color w:val="000000" w:themeColor="text1"/>
          <w:sz w:val="20"/>
          <w:szCs w:val="20"/>
          <w:lang w:val="hr-HR"/>
        </w:rPr>
        <w:t xml:space="preserve"> </w:t>
      </w:r>
      <w:r w:rsidRPr="00064D07">
        <w:rPr>
          <w:rFonts w:ascii="Arial" w:hAnsi="Arial" w:cs="Arial"/>
          <w:color w:val="000000" w:themeColor="text1"/>
          <w:sz w:val="20"/>
          <w:szCs w:val="20"/>
          <w:lang w:val="hr-HR"/>
        </w:rPr>
        <w:t>i POCI imovinu klijenata</w:t>
      </w:r>
      <w:r w:rsidRPr="00D14589">
        <w:rPr>
          <w:rFonts w:ascii="Arial" w:hAnsi="Arial" w:cs="Arial"/>
          <w:color w:val="000000" w:themeColor="text1"/>
          <w:sz w:val="20"/>
          <w:szCs w:val="20"/>
          <w:lang w:val="hr-HR"/>
        </w:rPr>
        <w:t xml:space="preserve"> koji pripadaju portfelju malih kredita. Klijenti koji pripadaju portfelju malih kredita su klijenti prema kojima je HBOR izložen u bruto iznosu jednakom ili manjem od 3.000 tisuća kuna.</w:t>
      </w:r>
    </w:p>
    <w:p w14:paraId="0CE3C09F" w14:textId="77777777" w:rsidR="004E2F51" w:rsidRPr="00D14589" w:rsidRDefault="004E2F51" w:rsidP="004E2F51">
      <w:pPr>
        <w:jc w:val="both"/>
        <w:rPr>
          <w:rFonts w:ascii="Arial" w:hAnsi="Arial" w:cs="Arial"/>
          <w:color w:val="000000" w:themeColor="text1"/>
          <w:sz w:val="20"/>
          <w:szCs w:val="20"/>
          <w:lang w:val="hr-HR"/>
        </w:rPr>
      </w:pPr>
    </w:p>
    <w:p w14:paraId="18615733"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potrebe određivanja značajnog povećanja kreditnog rizika i priznavanja rezervacija za umanjenje vrijednosti na skupnoj osnovi, financijski instrumenti su grupirani u sljedeće skupine, i to na temelju zajedničkih obilježja kreditnog rizika, radi lakše procjene značajnog povećanja kreditnog rizika:</w:t>
      </w:r>
    </w:p>
    <w:p w14:paraId="695B0549" w14:textId="77777777" w:rsidR="004E2F51" w:rsidRPr="00D14589" w:rsidRDefault="004E2F51">
      <w:pPr>
        <w:numPr>
          <w:ilvl w:val="0"/>
          <w:numId w:val="55"/>
        </w:numPr>
        <w:tabs>
          <w:tab w:val="left" w:pos="8640"/>
        </w:tabs>
        <w:suppressAutoHyphens w:val="0"/>
        <w:autoSpaceDN/>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financijske institucije,</w:t>
      </w:r>
    </w:p>
    <w:p w14:paraId="63E69F7A" w14:textId="77777777" w:rsidR="004E2F51" w:rsidRPr="00D14589" w:rsidRDefault="004E2F51">
      <w:pPr>
        <w:numPr>
          <w:ilvl w:val="0"/>
          <w:numId w:val="55"/>
        </w:numPr>
        <w:tabs>
          <w:tab w:val="left" w:pos="8640"/>
        </w:tabs>
        <w:suppressAutoHyphens w:val="0"/>
        <w:autoSpaceDN/>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središnja država i lokalna i područna (regionalna) samouprava,</w:t>
      </w:r>
    </w:p>
    <w:p w14:paraId="218102FC" w14:textId="77777777" w:rsidR="004E2F51" w:rsidRPr="00D14589" w:rsidRDefault="004E2F51">
      <w:pPr>
        <w:numPr>
          <w:ilvl w:val="0"/>
          <w:numId w:val="55"/>
        </w:numPr>
        <w:tabs>
          <w:tab w:val="left" w:pos="8640"/>
        </w:tabs>
        <w:suppressAutoHyphens w:val="0"/>
        <w:autoSpaceDN/>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izravni korisnici – veliki,</w:t>
      </w:r>
    </w:p>
    <w:p w14:paraId="6D5C3418" w14:textId="77777777" w:rsidR="004E2F51" w:rsidRPr="00D14589" w:rsidRDefault="004E2F51" w:rsidP="004E2F51">
      <w:pPr>
        <w:jc w:val="both"/>
        <w:rPr>
          <w:rFonts w:ascii="Arial" w:hAnsi="Arial" w:cs="Arial"/>
          <w:color w:val="000000" w:themeColor="text1"/>
          <w:sz w:val="20"/>
          <w:szCs w:val="20"/>
          <w:lang w:val="hr-HR"/>
        </w:rPr>
        <w:sectPr w:rsidR="004E2F51" w:rsidRPr="00D14589" w:rsidSect="00623DBA">
          <w:footerReference w:type="default" r:id="rId172"/>
          <w:pgSz w:w="11907" w:h="16840" w:code="9"/>
          <w:pgMar w:top="1418" w:right="1134" w:bottom="1134" w:left="1418" w:header="851" w:footer="851" w:gutter="0"/>
          <w:cols w:space="720"/>
          <w:noEndnote/>
        </w:sectPr>
      </w:pPr>
    </w:p>
    <w:p w14:paraId="05475F8E" w14:textId="77777777" w:rsidR="004E2F51" w:rsidRPr="00D14589" w:rsidRDefault="004E2F51" w:rsidP="004E2F51">
      <w:pPr>
        <w:jc w:val="both"/>
        <w:rPr>
          <w:rFonts w:ascii="Arial" w:hAnsi="Arial" w:cs="Arial"/>
          <w:color w:val="000000" w:themeColor="text1"/>
          <w:sz w:val="20"/>
          <w:szCs w:val="20"/>
          <w:lang w:val="hr-HR"/>
        </w:rPr>
      </w:pPr>
    </w:p>
    <w:p w14:paraId="1E296E2E" w14:textId="77777777" w:rsidR="004E2F51" w:rsidRPr="00D14589" w:rsidRDefault="004E2F51" w:rsidP="004E2F51">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367498E7" w14:textId="77777777" w:rsidR="004E2F51" w:rsidRPr="00D14589" w:rsidRDefault="004E2F51" w:rsidP="004E2F51">
      <w:pPr>
        <w:jc w:val="both"/>
        <w:rPr>
          <w:rFonts w:ascii="Arial" w:hAnsi="Arial" w:cs="Arial"/>
          <w:color w:val="000000" w:themeColor="text1"/>
          <w:sz w:val="20"/>
          <w:szCs w:val="20"/>
          <w:lang w:val="hr-HR"/>
        </w:rPr>
      </w:pPr>
    </w:p>
    <w:p w14:paraId="321AA69E" w14:textId="77777777" w:rsidR="004E2F51" w:rsidRPr="00D14589" w:rsidRDefault="004E2F51" w:rsidP="004E2F51">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4376C6ED" w14:textId="77777777" w:rsidR="004E2F51" w:rsidRPr="00D14589" w:rsidRDefault="004E2F51" w:rsidP="004E2F51">
      <w:pPr>
        <w:jc w:val="both"/>
        <w:rPr>
          <w:rFonts w:ascii="Arial" w:hAnsi="Arial" w:cs="Arial"/>
          <w:color w:val="000000" w:themeColor="text1"/>
          <w:sz w:val="20"/>
          <w:szCs w:val="20"/>
          <w:lang w:val="hr-HR"/>
        </w:rPr>
      </w:pPr>
    </w:p>
    <w:p w14:paraId="3EBA4F89" w14:textId="77777777" w:rsidR="004E2F51" w:rsidRPr="00D14589" w:rsidRDefault="004E2F51" w:rsidP="004E2F51">
      <w:pPr>
        <w:tabs>
          <w:tab w:val="left" w:pos="851"/>
          <w:tab w:val="left" w:pos="1134"/>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w:t>
      </w:r>
      <w:r w:rsidRPr="00D14589">
        <w:rPr>
          <w:rFonts w:ascii="Arial" w:eastAsia="Calibri" w:hAnsi="Arial" w:cs="Arial"/>
          <w:b/>
          <w:color w:val="000000" w:themeColor="text1"/>
          <w:sz w:val="20"/>
          <w:szCs w:val="20"/>
          <w:lang w:val="hr-HR"/>
        </w:rPr>
        <w:tab/>
        <w:t>Procjena umanjenja vrijednosti (nastavak)</w:t>
      </w:r>
    </w:p>
    <w:p w14:paraId="0C8A01A8" w14:textId="77777777" w:rsidR="004E2F51" w:rsidRPr="00D14589" w:rsidRDefault="004E2F51" w:rsidP="004E2F51">
      <w:pPr>
        <w:jc w:val="both"/>
        <w:rPr>
          <w:rFonts w:ascii="Arial" w:hAnsi="Arial" w:cs="Arial"/>
          <w:color w:val="000000" w:themeColor="text1"/>
          <w:sz w:val="20"/>
          <w:szCs w:val="20"/>
          <w:lang w:val="hr-HR"/>
        </w:rPr>
      </w:pPr>
    </w:p>
    <w:p w14:paraId="256E3711" w14:textId="77777777" w:rsidR="004E2F51" w:rsidRPr="00D14589" w:rsidRDefault="004E2F51" w:rsidP="004E2F51">
      <w:pPr>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.3.2.6. Svrstavanje financijske imovine koja se mjeri na skupnoj osnovi (nastavak)</w:t>
      </w:r>
    </w:p>
    <w:p w14:paraId="10434106" w14:textId="77777777" w:rsidR="004E2F51" w:rsidRPr="00D14589" w:rsidRDefault="004E2F51" w:rsidP="004E2F51">
      <w:pPr>
        <w:spacing w:line="300" w:lineRule="exact"/>
        <w:rPr>
          <w:rFonts w:ascii="Arial" w:eastAsia="Calibri" w:hAnsi="Arial" w:cs="Arial"/>
          <w:b/>
          <w:color w:val="000000" w:themeColor="text1"/>
          <w:sz w:val="20"/>
          <w:szCs w:val="20"/>
          <w:lang w:val="hr-HR"/>
        </w:rPr>
      </w:pPr>
    </w:p>
    <w:p w14:paraId="7F223F58" w14:textId="77777777" w:rsidR="004E2F51" w:rsidRPr="00D14589" w:rsidRDefault="004E2F51">
      <w:pPr>
        <w:numPr>
          <w:ilvl w:val="0"/>
          <w:numId w:val="55"/>
        </w:numPr>
        <w:tabs>
          <w:tab w:val="left" w:pos="8640"/>
        </w:tabs>
        <w:suppressAutoHyphens w:val="0"/>
        <w:autoSpaceDN/>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 xml:space="preserve">izravni korisnici – mali i srednji, </w:t>
      </w:r>
    </w:p>
    <w:p w14:paraId="5FE50DB3" w14:textId="77777777" w:rsidR="004E2F51" w:rsidRPr="00D14589" w:rsidRDefault="004E2F51">
      <w:pPr>
        <w:numPr>
          <w:ilvl w:val="0"/>
          <w:numId w:val="55"/>
        </w:numPr>
        <w:tabs>
          <w:tab w:val="left" w:pos="8640"/>
        </w:tabs>
        <w:suppressAutoHyphens w:val="0"/>
        <w:autoSpaceDN/>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 xml:space="preserve">izravni korisnici – mikro, </w:t>
      </w:r>
    </w:p>
    <w:p w14:paraId="714B7A3F" w14:textId="77777777" w:rsidR="004E2F51" w:rsidRPr="00D14589" w:rsidRDefault="004E2F51">
      <w:pPr>
        <w:numPr>
          <w:ilvl w:val="0"/>
          <w:numId w:val="55"/>
        </w:numPr>
        <w:tabs>
          <w:tab w:val="left" w:pos="8640"/>
        </w:tabs>
        <w:suppressAutoHyphens w:val="0"/>
        <w:autoSpaceDN/>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izravni korisnici – stanovništvo,</w:t>
      </w:r>
    </w:p>
    <w:p w14:paraId="779DA424" w14:textId="77777777" w:rsidR="004E2F51" w:rsidRPr="00D14589" w:rsidRDefault="004E2F51">
      <w:pPr>
        <w:numPr>
          <w:ilvl w:val="0"/>
          <w:numId w:val="55"/>
        </w:numPr>
        <w:tabs>
          <w:tab w:val="left" w:pos="8640"/>
        </w:tabs>
        <w:suppressAutoHyphens w:val="0"/>
        <w:autoSpaceDN/>
        <w:ind w:right="57"/>
        <w:contextualSpacing/>
        <w:jc w:val="both"/>
        <w:rPr>
          <w:rFonts w:ascii="Arial" w:eastAsia="PMingLiU" w:hAnsi="Arial" w:cs="Arial"/>
          <w:color w:val="000000" w:themeColor="text1"/>
          <w:sz w:val="20"/>
          <w:szCs w:val="20"/>
          <w:lang w:val="hr-HR" w:eastAsia="hr-HR" w:bidi="hr-HR"/>
        </w:rPr>
      </w:pPr>
      <w:r w:rsidRPr="00D14589">
        <w:rPr>
          <w:rFonts w:ascii="Arial" w:eastAsia="PMingLiU" w:hAnsi="Arial" w:cs="Arial"/>
          <w:color w:val="000000" w:themeColor="text1"/>
          <w:sz w:val="20"/>
          <w:szCs w:val="20"/>
          <w:lang w:val="hr-HR" w:eastAsia="hr-HR" w:bidi="hr-HR"/>
        </w:rPr>
        <w:t>ostalo.</w:t>
      </w:r>
    </w:p>
    <w:p w14:paraId="75AEF096" w14:textId="77777777" w:rsidR="004E2F51" w:rsidRPr="00D14589" w:rsidRDefault="004E2F51" w:rsidP="004E2F51">
      <w:pPr>
        <w:jc w:val="both"/>
        <w:rPr>
          <w:rFonts w:ascii="Arial" w:hAnsi="Arial" w:cs="Arial"/>
          <w:color w:val="000000" w:themeColor="text1"/>
          <w:sz w:val="20"/>
          <w:szCs w:val="20"/>
          <w:lang w:val="hr-HR"/>
        </w:rPr>
      </w:pPr>
    </w:p>
    <w:p w14:paraId="53509FE7"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Grupiranjem financijskih instrumenata u homogene skupine se osigurava da se u slučaju značajnog povećanja kreditnog rizika ispuni cilj priznavanja očekivanih kreditnih gubitaka tijekom cijelog vijeka trajanja financijskog instrumenta, čak i ako dokaz takvog značajnog povećanja kreditnog rizika još uvijek nije dostupan na razini pojedinog instrumenta.</w:t>
      </w:r>
    </w:p>
    <w:p w14:paraId="57135308" w14:textId="77777777" w:rsidR="004E2F51" w:rsidRPr="00D14589" w:rsidRDefault="004E2F51" w:rsidP="004E2F51">
      <w:pPr>
        <w:jc w:val="both"/>
        <w:rPr>
          <w:rFonts w:ascii="Arial" w:hAnsi="Arial" w:cs="Arial"/>
          <w:color w:val="000000" w:themeColor="text1"/>
          <w:sz w:val="20"/>
          <w:szCs w:val="20"/>
          <w:lang w:val="hr-HR"/>
        </w:rPr>
      </w:pPr>
    </w:p>
    <w:p w14:paraId="1B654C40" w14:textId="77777777" w:rsidR="004E2F51" w:rsidRPr="00D14589" w:rsidRDefault="004E2F51" w:rsidP="004E2F51">
      <w:pPr>
        <w:tabs>
          <w:tab w:val="left" w:pos="851"/>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.3.3.</w:t>
      </w:r>
      <w:r w:rsidRPr="00D14589">
        <w:rPr>
          <w:rFonts w:ascii="Arial" w:eastAsia="Calibri" w:hAnsi="Arial" w:cs="Arial"/>
          <w:b/>
          <w:color w:val="000000" w:themeColor="text1"/>
          <w:sz w:val="20"/>
          <w:szCs w:val="20"/>
          <w:lang w:val="hr-HR"/>
        </w:rPr>
        <w:tab/>
        <w:t>Analiza inputa za ECL model u okviru utjecaja makroekonomskih uvjeta na PD</w:t>
      </w:r>
    </w:p>
    <w:p w14:paraId="182AEDC6" w14:textId="77777777" w:rsidR="004E2F51" w:rsidRPr="00D14589" w:rsidRDefault="004E2F51" w:rsidP="004E2F51">
      <w:pPr>
        <w:jc w:val="both"/>
        <w:rPr>
          <w:rFonts w:ascii="Arial" w:hAnsi="Arial" w:cs="Arial"/>
          <w:color w:val="000000" w:themeColor="text1"/>
          <w:sz w:val="20"/>
          <w:szCs w:val="20"/>
          <w:lang w:val="hr-HR"/>
        </w:rPr>
      </w:pPr>
    </w:p>
    <w:p w14:paraId="41F07316"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Prilikom uključivanja informacija o budućnosti, koriste se dostupni izvori (HNB, DZS) o makroekonomskim uvjetima kako bi se projicirao njihov utjecaj na sadašnju vrijednost rizičnih parametara.</w:t>
      </w:r>
    </w:p>
    <w:p w14:paraId="407BE8A3" w14:textId="77777777" w:rsidR="004E2F51" w:rsidRPr="00D14589" w:rsidRDefault="004E2F51" w:rsidP="004E2F51">
      <w:pPr>
        <w:jc w:val="both"/>
        <w:rPr>
          <w:rFonts w:ascii="Arial" w:hAnsi="Arial" w:cs="Arial"/>
          <w:color w:val="000000" w:themeColor="text1"/>
          <w:sz w:val="20"/>
          <w:szCs w:val="20"/>
          <w:lang w:val="hr-HR"/>
        </w:rPr>
      </w:pPr>
    </w:p>
    <w:p w14:paraId="6C98804A"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Temeljem povijesne analize utjecaja makroekonomskih uvjeta i dostupnim makroekonomskim prognozama, utvrđuje se potencijalni utjecaj budućeg kretanja makroekonomskih uvjeta na vrijednost rizičnih parametara koristeći scenarije s pripadajućim vjerojatnostima nastanka pojedinog scenarija.</w:t>
      </w:r>
    </w:p>
    <w:p w14:paraId="317E973C" w14:textId="77777777" w:rsidR="004E2F51" w:rsidRPr="00D14589" w:rsidRDefault="004E2F51" w:rsidP="004E2F51">
      <w:pPr>
        <w:jc w:val="both"/>
        <w:rPr>
          <w:rFonts w:ascii="Arial" w:hAnsi="Arial" w:cs="Arial"/>
          <w:color w:val="000000" w:themeColor="text1"/>
          <w:sz w:val="20"/>
          <w:szCs w:val="20"/>
          <w:lang w:val="hr-HR"/>
        </w:rPr>
      </w:pPr>
    </w:p>
    <w:p w14:paraId="607CB87B"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Kod procjene očekivanih kreditnih gubitaka primjenom ranijih iskustava o kreditnim gubicima, podaci o ranijim stopama kreditnog gubitka se primjenjuju na cjelokupni portfelj izravnih kredita, a primjenom određene metode omogućeno je povezivanje pojedine skupine financijskih instrumenata s podacima o ranijem iskustvu o kreditnim gubicima u skupinama financijskih instrumenata sličnih karakteristika kreditnog rizika, kao i s važnim odgovarajućim podacima koji odražavaju postojeće stanje. </w:t>
      </w:r>
    </w:p>
    <w:p w14:paraId="2BBE1ECD" w14:textId="77777777" w:rsidR="004E2F51" w:rsidRPr="00D14589" w:rsidRDefault="004E2F51" w:rsidP="004E2F51">
      <w:pPr>
        <w:jc w:val="both"/>
        <w:rPr>
          <w:rFonts w:ascii="Arial" w:hAnsi="Arial" w:cs="Arial"/>
          <w:color w:val="000000" w:themeColor="text1"/>
          <w:sz w:val="20"/>
          <w:szCs w:val="20"/>
          <w:lang w:val="hr-HR"/>
        </w:rPr>
      </w:pPr>
    </w:p>
    <w:p w14:paraId="37B06954"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Očekivani kreditni gubici odražavaju očekivanja </w:t>
      </w:r>
      <w:r>
        <w:rPr>
          <w:rFonts w:ascii="Arial" w:hAnsi="Arial" w:cs="Arial"/>
          <w:color w:val="000000" w:themeColor="text1"/>
          <w:sz w:val="20"/>
          <w:szCs w:val="20"/>
          <w:lang w:val="hr-HR"/>
        </w:rPr>
        <w:t>Banke</w:t>
      </w:r>
      <w:r w:rsidRPr="00D14589">
        <w:rPr>
          <w:rFonts w:ascii="Arial" w:hAnsi="Arial" w:cs="Arial"/>
          <w:color w:val="000000" w:themeColor="text1"/>
          <w:sz w:val="20"/>
          <w:szCs w:val="20"/>
          <w:lang w:val="hr-HR"/>
        </w:rPr>
        <w:t xml:space="preserve"> u pogledu kreditnih gubitaka. Međutim, kada pri procjeni očekivanih kreditnih gubitaka razmatra sve razumne i pouzdane podatke koji su dostupni bez nepotrebnih troškova i napora, </w:t>
      </w:r>
      <w:r>
        <w:rPr>
          <w:rFonts w:ascii="Arial" w:hAnsi="Arial" w:cs="Arial"/>
          <w:color w:val="000000" w:themeColor="text1"/>
          <w:sz w:val="20"/>
          <w:szCs w:val="20"/>
          <w:lang w:val="hr-HR"/>
        </w:rPr>
        <w:t>Banka</w:t>
      </w:r>
      <w:r w:rsidRPr="00D14589">
        <w:rPr>
          <w:rFonts w:ascii="Arial" w:hAnsi="Arial" w:cs="Arial"/>
          <w:color w:val="000000" w:themeColor="text1"/>
          <w:sz w:val="20"/>
          <w:szCs w:val="20"/>
          <w:lang w:val="hr-HR"/>
        </w:rPr>
        <w:t xml:space="preserve"> razmatra i odgovarajuće tržišne podatke o kreditnom riziku određenog financijskog instrumenta ili sličnih financijskih instrumenata. </w:t>
      </w:r>
    </w:p>
    <w:p w14:paraId="05C5809A" w14:textId="77777777" w:rsidR="004E2F51" w:rsidRPr="00D14589" w:rsidRDefault="004E2F51" w:rsidP="004E2F51">
      <w:pPr>
        <w:tabs>
          <w:tab w:val="left" w:pos="851"/>
        </w:tabs>
        <w:spacing w:line="300" w:lineRule="exact"/>
        <w:jc w:val="both"/>
        <w:rPr>
          <w:rFonts w:ascii="Arial" w:hAnsi="Arial" w:cs="Arial"/>
          <w:color w:val="000000" w:themeColor="text1"/>
          <w:sz w:val="20"/>
          <w:szCs w:val="20"/>
          <w:lang w:val="hr-HR"/>
        </w:rPr>
      </w:pPr>
    </w:p>
    <w:p w14:paraId="04E3598F"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Banka za potrebe izračuna očekivanih kreditnih gubitaka koristi veći broj makroekonomskih uvjeta od kojih je za jedan (</w:t>
      </w:r>
      <w:bookmarkStart w:id="1476" w:name="_Hlk65485396"/>
      <w:r w:rsidRPr="00D14589">
        <w:rPr>
          <w:rFonts w:ascii="Arial" w:hAnsi="Arial" w:cs="Arial"/>
          <w:color w:val="000000" w:themeColor="text1"/>
          <w:sz w:val="20"/>
          <w:szCs w:val="20"/>
          <w:lang w:val="hr-HR"/>
        </w:rPr>
        <w:t xml:space="preserve">realna stopa rasta BDP-a) </w:t>
      </w:r>
      <w:bookmarkEnd w:id="1476"/>
      <w:r w:rsidRPr="00D14589">
        <w:rPr>
          <w:rFonts w:ascii="Arial" w:hAnsi="Arial" w:cs="Arial"/>
          <w:color w:val="000000" w:themeColor="text1"/>
          <w:sz w:val="20"/>
          <w:szCs w:val="20"/>
          <w:lang w:val="hr-HR"/>
        </w:rPr>
        <w:t>utvrđena korelacija ukupnog PD-ja za cjelokupni portfelj izravnih kredita.</w:t>
      </w:r>
    </w:p>
    <w:p w14:paraId="20EF6C9D" w14:textId="77777777" w:rsidR="004E2F51" w:rsidRPr="00D14589" w:rsidRDefault="004E2F51" w:rsidP="004E2F51">
      <w:pPr>
        <w:spacing w:line="300" w:lineRule="exact"/>
        <w:rPr>
          <w:rFonts w:ascii="Arial" w:eastAsia="Calibri" w:hAnsi="Arial" w:cs="Arial"/>
          <w:b/>
          <w:color w:val="000000" w:themeColor="text1"/>
          <w:sz w:val="20"/>
          <w:szCs w:val="20"/>
          <w:lang w:val="hr-HR"/>
        </w:rPr>
        <w:sectPr w:rsidR="004E2F51" w:rsidRPr="00D14589" w:rsidSect="00623DBA">
          <w:footerReference w:type="default" r:id="rId173"/>
          <w:pgSz w:w="11907" w:h="16840" w:code="9"/>
          <w:pgMar w:top="1418" w:right="1134" w:bottom="1134" w:left="1418" w:header="851" w:footer="851" w:gutter="0"/>
          <w:cols w:space="720"/>
          <w:noEndnote/>
        </w:sectPr>
      </w:pPr>
    </w:p>
    <w:p w14:paraId="1C267637" w14:textId="77777777" w:rsidR="004E2F51" w:rsidRPr="00D14589" w:rsidRDefault="004E2F51" w:rsidP="004E2F51">
      <w:pPr>
        <w:spacing w:line="300" w:lineRule="exact"/>
        <w:rPr>
          <w:rFonts w:ascii="Arial" w:eastAsia="Calibri" w:hAnsi="Arial" w:cs="Arial"/>
          <w:b/>
          <w:color w:val="000000" w:themeColor="text1"/>
          <w:sz w:val="20"/>
          <w:szCs w:val="20"/>
          <w:lang w:val="hr-HR"/>
        </w:rPr>
      </w:pPr>
    </w:p>
    <w:p w14:paraId="0A91D1C8" w14:textId="77777777" w:rsidR="004E2F51" w:rsidRPr="00D14589" w:rsidRDefault="004E2F51" w:rsidP="004E2F51">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1729A92B" w14:textId="77777777" w:rsidR="004E2F51" w:rsidRPr="00D14589" w:rsidRDefault="004E2F51" w:rsidP="004E2F51">
      <w:pPr>
        <w:jc w:val="both"/>
        <w:rPr>
          <w:rFonts w:ascii="Arial" w:hAnsi="Arial" w:cs="Arial"/>
          <w:color w:val="000000" w:themeColor="text1"/>
          <w:sz w:val="20"/>
          <w:szCs w:val="20"/>
          <w:lang w:val="hr-HR"/>
        </w:rPr>
      </w:pPr>
    </w:p>
    <w:p w14:paraId="344BA359" w14:textId="77777777" w:rsidR="004E2F51" w:rsidRPr="00D14589" w:rsidRDefault="004E2F51" w:rsidP="004E2F51">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54C6672C" w14:textId="77777777" w:rsidR="004E2F51" w:rsidRPr="00D14589" w:rsidRDefault="004E2F51" w:rsidP="004E2F51">
      <w:pPr>
        <w:tabs>
          <w:tab w:val="left" w:pos="567"/>
        </w:tabs>
        <w:spacing w:line="300" w:lineRule="exact"/>
        <w:rPr>
          <w:rFonts w:ascii="Arial" w:eastAsia="Calibri" w:hAnsi="Arial" w:cs="Arial"/>
          <w:b/>
          <w:color w:val="000000" w:themeColor="text1"/>
          <w:sz w:val="20"/>
          <w:szCs w:val="20"/>
          <w:lang w:val="hr-HR"/>
        </w:rPr>
      </w:pPr>
    </w:p>
    <w:p w14:paraId="5A70D4A8" w14:textId="77777777" w:rsidR="004E2F51" w:rsidRPr="00D14589" w:rsidRDefault="004E2F51" w:rsidP="004E2F51">
      <w:pPr>
        <w:tabs>
          <w:tab w:val="left" w:pos="851"/>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.3.3.</w:t>
      </w:r>
      <w:r w:rsidRPr="00D14589">
        <w:rPr>
          <w:rFonts w:ascii="Arial" w:eastAsia="Calibri" w:hAnsi="Arial" w:cs="Arial"/>
          <w:b/>
          <w:color w:val="000000" w:themeColor="text1"/>
          <w:sz w:val="20"/>
          <w:szCs w:val="20"/>
          <w:lang w:val="hr-HR"/>
        </w:rPr>
        <w:tab/>
        <w:t>Analiza inputa za ECL model u okviru utjecaja makroekonomskih uvjeta na PD (nastavak)</w:t>
      </w:r>
    </w:p>
    <w:p w14:paraId="359B0A6C" w14:textId="77777777" w:rsidR="004E2F51" w:rsidRPr="00D14589" w:rsidRDefault="004E2F51" w:rsidP="004E2F51">
      <w:pPr>
        <w:tabs>
          <w:tab w:val="left" w:pos="567"/>
        </w:tabs>
        <w:spacing w:line="300" w:lineRule="exact"/>
        <w:rPr>
          <w:rFonts w:ascii="Arial" w:eastAsia="Calibri" w:hAnsi="Arial" w:cs="Arial"/>
          <w:b/>
          <w:color w:val="000000" w:themeColor="text1"/>
          <w:sz w:val="20"/>
          <w:szCs w:val="20"/>
          <w:lang w:val="hr-HR"/>
        </w:rPr>
      </w:pPr>
    </w:p>
    <w:p w14:paraId="17EB9F76"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Kako bi se odredio utjecaj budućih makroekonomskih uvjeta na očekivane kreditne gubitke, putem analize na temelju povijesnih podataka, utvrđuje se veza između makroekonomskih uvjeta i PD-ja. Nakon toga, procjenjuje se utjecaj makroekonomskih prognoza na vrijednosti PD-ja i računa se koeficijent pomoću kojeg se korigira procijenjena vrijednost PD-ja u dva scenarija, optimistični i pesimistični.</w:t>
      </w:r>
    </w:p>
    <w:p w14:paraId="45513D9F" w14:textId="77777777" w:rsidR="004E2F51" w:rsidRPr="00D14589" w:rsidRDefault="004E2F51" w:rsidP="004E2F51">
      <w:pPr>
        <w:jc w:val="both"/>
        <w:rPr>
          <w:rFonts w:ascii="Arial" w:hAnsi="Arial" w:cs="Arial"/>
          <w:color w:val="000000" w:themeColor="text1"/>
          <w:sz w:val="20"/>
          <w:szCs w:val="20"/>
          <w:lang w:val="hr-HR"/>
        </w:rPr>
      </w:pPr>
    </w:p>
    <w:p w14:paraId="58B5C8BD" w14:textId="77777777" w:rsidR="004E2F51" w:rsidRPr="00D14589" w:rsidRDefault="004E2F51" w:rsidP="004E2F51">
      <w:pPr>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eastAsia="hr-HR"/>
        </w:rPr>
        <w:t>3</w:t>
      </w:r>
      <w:r>
        <w:rPr>
          <w:rFonts w:ascii="Arial" w:eastAsia="Calibri" w:hAnsi="Arial" w:cs="Arial"/>
          <w:b/>
          <w:color w:val="000000" w:themeColor="text1"/>
          <w:sz w:val="20"/>
          <w:szCs w:val="20"/>
          <w:lang w:val="hr-HR" w:eastAsia="hr-HR"/>
        </w:rPr>
        <w:t>1</w:t>
      </w:r>
      <w:r w:rsidRPr="00D14589">
        <w:rPr>
          <w:rFonts w:ascii="Arial" w:eastAsia="Calibri" w:hAnsi="Arial" w:cs="Arial"/>
          <w:b/>
          <w:color w:val="000000" w:themeColor="text1"/>
          <w:sz w:val="20"/>
          <w:szCs w:val="20"/>
          <w:lang w:val="hr-HR" w:eastAsia="hr-HR"/>
        </w:rPr>
        <w:t>.3.4.</w:t>
      </w:r>
      <w:r w:rsidRPr="00D14589">
        <w:rPr>
          <w:rFonts w:ascii="Arial" w:eastAsia="Calibri" w:hAnsi="Arial" w:cs="Arial"/>
          <w:b/>
          <w:color w:val="000000" w:themeColor="text1"/>
          <w:sz w:val="20"/>
          <w:szCs w:val="20"/>
          <w:lang w:val="hr-HR" w:eastAsia="hr-HR"/>
        </w:rPr>
        <w:tab/>
      </w:r>
      <w:r w:rsidRPr="00D14589">
        <w:rPr>
          <w:rFonts w:ascii="Arial" w:eastAsia="Calibri" w:hAnsi="Arial" w:cs="Arial"/>
          <w:b/>
          <w:color w:val="000000" w:themeColor="text1"/>
          <w:sz w:val="20"/>
          <w:szCs w:val="20"/>
          <w:lang w:val="hr-HR"/>
        </w:rPr>
        <w:t xml:space="preserve">Kvantitativna analiza pouzdanosti informacija koje se koriste za izračun rezervacije za ECL </w:t>
      </w:r>
    </w:p>
    <w:p w14:paraId="50E2DB8B" w14:textId="77777777" w:rsidR="004E2F51" w:rsidRPr="00D14589" w:rsidRDefault="004E2F51" w:rsidP="004E2F51">
      <w:pPr>
        <w:jc w:val="both"/>
        <w:rPr>
          <w:rFonts w:ascii="Arial" w:hAnsi="Arial" w:cs="Arial"/>
          <w:color w:val="000000" w:themeColor="text1"/>
          <w:sz w:val="20"/>
          <w:szCs w:val="20"/>
          <w:lang w:val="hr-HR"/>
        </w:rPr>
      </w:pPr>
    </w:p>
    <w:p w14:paraId="2A0D3804"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Za primjenu makroekonomskih faktora Banka koristi metodologiju sa nivoom pouzdanosti od 90%.</w:t>
      </w:r>
    </w:p>
    <w:p w14:paraId="582AC718" w14:textId="77777777" w:rsidR="004E2F51" w:rsidRPr="00D14589" w:rsidRDefault="004E2F51" w:rsidP="004E2F51">
      <w:pPr>
        <w:keepNext/>
        <w:tabs>
          <w:tab w:val="left" w:pos="426"/>
        </w:tabs>
        <w:jc w:val="both"/>
        <w:rPr>
          <w:rFonts w:ascii="Arial" w:hAnsi="Arial" w:cs="Arial"/>
          <w:b/>
          <w:bCs/>
          <w:color w:val="000000" w:themeColor="text1"/>
          <w:sz w:val="20"/>
          <w:szCs w:val="20"/>
          <w:lang w:val="hr-HR" w:eastAsia="hr-HR"/>
        </w:rPr>
      </w:pPr>
    </w:p>
    <w:p w14:paraId="7C24D528" w14:textId="77777777" w:rsidR="004E2F51" w:rsidRPr="00D14589" w:rsidRDefault="004E2F51" w:rsidP="004E2F51">
      <w:pPr>
        <w:tabs>
          <w:tab w:val="left" w:pos="851"/>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.3.5.</w:t>
      </w:r>
      <w:r w:rsidRPr="00D14589">
        <w:rPr>
          <w:rFonts w:ascii="Arial" w:eastAsia="Calibri" w:hAnsi="Arial" w:cs="Arial"/>
          <w:b/>
          <w:color w:val="000000" w:themeColor="text1"/>
          <w:sz w:val="20"/>
          <w:szCs w:val="20"/>
          <w:lang w:val="hr-HR"/>
        </w:rPr>
        <w:tab/>
        <w:t>Pregled modificiranih i restrukturiranih kredita</w:t>
      </w:r>
    </w:p>
    <w:p w14:paraId="2C125FE3" w14:textId="77777777" w:rsidR="004E2F51" w:rsidRPr="00D14589" w:rsidRDefault="004E2F51" w:rsidP="004E2F51">
      <w:pPr>
        <w:jc w:val="both"/>
        <w:rPr>
          <w:rFonts w:ascii="Arial" w:hAnsi="Arial" w:cs="Arial"/>
          <w:color w:val="000000" w:themeColor="text1"/>
          <w:sz w:val="20"/>
          <w:szCs w:val="20"/>
          <w:lang w:val="hr-HR"/>
        </w:rPr>
      </w:pPr>
    </w:p>
    <w:p w14:paraId="57F540C9"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Modifikacijom se smatra svaka izmjena ugovornih odredbi koja rezultira izmjenom ugovorenih novčanih tokova od financijske imovine.</w:t>
      </w:r>
    </w:p>
    <w:p w14:paraId="76C33722"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Izmjena uvjeta po plasmanu obuhvaća promjene određenih ugovorom definiranih uvjeta najčešće radi prilagodbe promjenama u provedbi investicije, a moguće i tijekom otplate, koje nisu uzrokovane financijskim poteškoćama klijenta. Najčešće bi izmijenjeni uvjeti bili prihvaćeni kod odobrenja da su bili poznati ili su rezultat okolnosti koje nisu pod kontrolom klijenta.</w:t>
      </w:r>
    </w:p>
    <w:p w14:paraId="3A270492" w14:textId="77777777" w:rsidR="004E2F51" w:rsidRPr="00D14589" w:rsidRDefault="004E2F51" w:rsidP="004E2F51">
      <w:pPr>
        <w:jc w:val="both"/>
        <w:rPr>
          <w:rFonts w:ascii="Arial" w:hAnsi="Arial" w:cs="Arial"/>
          <w:color w:val="000000" w:themeColor="text1"/>
          <w:sz w:val="20"/>
          <w:szCs w:val="20"/>
          <w:lang w:val="hr-HR"/>
        </w:rPr>
      </w:pPr>
    </w:p>
    <w:p w14:paraId="05E71A34"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Sve promjene ugovornih obveza kojima se čini ustupak klijentu, a koji je u financijskim poteškoćama smatraju se reprogramom ili restrukturiranjem. Ustupak se može odnositi na bilo koju od sljedećih mjera:</w:t>
      </w:r>
    </w:p>
    <w:p w14:paraId="0DE4E31C" w14:textId="77777777" w:rsidR="004E2F51" w:rsidRPr="00D14589" w:rsidRDefault="004E2F51">
      <w:pPr>
        <w:numPr>
          <w:ilvl w:val="0"/>
          <w:numId w:val="53"/>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izmjena ranijih uvjeta ugovora za koje se smatra da ih klijent ne može ispuniti a dovode do gubitka njegove sposobnosti podmirivanja obveza i koji ne bi bili odobreni da dužnik nema financijske poteškoće (npr. smanjenje kamatne stope, smanjenje ili otpis kamatnog prihoda, promjena visine glavnice, promjena tj. produženje rokova otplate i sl.)</w:t>
      </w:r>
    </w:p>
    <w:p w14:paraId="20E94EB7" w14:textId="77777777" w:rsidR="004E2F51" w:rsidRPr="00D14589" w:rsidRDefault="004E2F51">
      <w:pPr>
        <w:numPr>
          <w:ilvl w:val="0"/>
          <w:numId w:val="53"/>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potpuno ili djelomično refinanciranje plasmana koje ne bi bilo odobreno da dužnik nema financijske poteškoće.</w:t>
      </w:r>
    </w:p>
    <w:p w14:paraId="317D7608" w14:textId="77777777" w:rsidR="004E2F51" w:rsidRPr="00D14589" w:rsidRDefault="004E2F51" w:rsidP="004E2F51">
      <w:pPr>
        <w:jc w:val="both"/>
        <w:rPr>
          <w:rFonts w:ascii="Arial" w:hAnsi="Arial" w:cs="Arial"/>
          <w:color w:val="000000" w:themeColor="text1"/>
          <w:sz w:val="20"/>
          <w:szCs w:val="20"/>
          <w:lang w:val="hr-HR"/>
        </w:rPr>
      </w:pPr>
    </w:p>
    <w:p w14:paraId="3525E98C"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Dokaz o ustupku uključuje sljedeće:</w:t>
      </w:r>
    </w:p>
    <w:p w14:paraId="0A7D7522" w14:textId="77777777" w:rsidR="004E2F51" w:rsidRPr="00D14589" w:rsidRDefault="004E2F51">
      <w:pPr>
        <w:numPr>
          <w:ilvl w:val="0"/>
          <w:numId w:val="54"/>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razliku u korist klijenta između izmijenjenih uvjeta ugovora i ranijih uvjeta ugovora,</w:t>
      </w:r>
    </w:p>
    <w:p w14:paraId="0A034197" w14:textId="77777777" w:rsidR="004E2F51" w:rsidRPr="00D14589" w:rsidRDefault="004E2F51">
      <w:pPr>
        <w:numPr>
          <w:ilvl w:val="0"/>
          <w:numId w:val="54"/>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uvrštenje povoljnijih uvjeta u izmijenjeni ugovor u odnosu na uvjete koje bi mogli postići drugi dužnici sa sličnim profilom rizičnosti u portfelju Banke.</w:t>
      </w:r>
    </w:p>
    <w:p w14:paraId="39F80616" w14:textId="77777777" w:rsidR="004E2F51" w:rsidRPr="00D14589" w:rsidRDefault="004E2F51" w:rsidP="004E2F51">
      <w:pPr>
        <w:spacing w:line="300" w:lineRule="exact"/>
        <w:rPr>
          <w:rFonts w:ascii="Arial" w:eastAsia="Calibri" w:hAnsi="Arial" w:cs="Arial"/>
          <w:b/>
          <w:color w:val="000000" w:themeColor="text1"/>
          <w:sz w:val="20"/>
          <w:szCs w:val="20"/>
          <w:lang w:val="hr-HR"/>
        </w:rPr>
      </w:pPr>
    </w:p>
    <w:p w14:paraId="7B0E57B9"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Reprogramom se smatra promjena prvobitno ugovorenih uvjeta kreditiranja zbog privremenih financijskih poteškoća klijenta. Restrukturiranjem se smatra promjena prvobitno ugovorenih uvjeta kreditiranja zbog značajnih financijskih poteškoća klijenta, kojemu je potrebno financijsko, poslovno i operativno restrukturiranje, odnosno klijentu koji se već nalazi u statusu neispunjenja obveza.</w:t>
      </w:r>
    </w:p>
    <w:p w14:paraId="70485D53" w14:textId="77777777" w:rsidR="004E2F51" w:rsidRPr="00D14589" w:rsidRDefault="004E2F51" w:rsidP="004E2F51">
      <w:pPr>
        <w:jc w:val="both"/>
        <w:rPr>
          <w:rFonts w:ascii="Arial" w:hAnsi="Arial" w:cs="Arial"/>
          <w:color w:val="000000" w:themeColor="text1"/>
          <w:sz w:val="20"/>
          <w:szCs w:val="20"/>
          <w:lang w:val="hr-HR"/>
        </w:rPr>
        <w:sectPr w:rsidR="004E2F51" w:rsidRPr="00D14589" w:rsidSect="00453529">
          <w:footerReference w:type="default" r:id="rId174"/>
          <w:pgSz w:w="11907" w:h="16840" w:code="9"/>
          <w:pgMar w:top="1418" w:right="1134" w:bottom="1134" w:left="1418" w:header="851" w:footer="851" w:gutter="0"/>
          <w:cols w:space="720"/>
          <w:noEndnote/>
        </w:sectPr>
      </w:pPr>
    </w:p>
    <w:p w14:paraId="23312294" w14:textId="77777777" w:rsidR="004E2F51" w:rsidRPr="00D14589" w:rsidRDefault="004E2F51" w:rsidP="004E2F51">
      <w:pPr>
        <w:rPr>
          <w:rFonts w:ascii="Arial" w:eastAsia="Calibri" w:hAnsi="Arial" w:cs="Arial"/>
          <w:b/>
          <w:color w:val="000000" w:themeColor="text1"/>
          <w:sz w:val="20"/>
          <w:szCs w:val="20"/>
          <w:lang w:val="hr-HR"/>
        </w:rPr>
      </w:pPr>
    </w:p>
    <w:p w14:paraId="2F08511F" w14:textId="77777777" w:rsidR="004E2F51" w:rsidRPr="00D14589" w:rsidRDefault="004E2F51" w:rsidP="004E2F51">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6D1CE56E" w14:textId="77777777" w:rsidR="004E2F51" w:rsidRPr="00D14589" w:rsidRDefault="004E2F51" w:rsidP="004E2F51">
      <w:pPr>
        <w:jc w:val="both"/>
        <w:rPr>
          <w:rFonts w:ascii="Arial" w:hAnsi="Arial" w:cs="Arial"/>
          <w:color w:val="000000" w:themeColor="text1"/>
          <w:sz w:val="20"/>
          <w:szCs w:val="20"/>
          <w:lang w:val="hr-HR"/>
        </w:rPr>
      </w:pPr>
    </w:p>
    <w:p w14:paraId="089A9EA2" w14:textId="77777777" w:rsidR="004E2F51" w:rsidRPr="00D14589" w:rsidRDefault="004E2F51" w:rsidP="004E2F51">
      <w:pPr>
        <w:tabs>
          <w:tab w:val="left" w:pos="567"/>
        </w:tabs>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2EC44F18" w14:textId="77777777" w:rsidR="004E2F51" w:rsidRPr="00D14589" w:rsidRDefault="004E2F51" w:rsidP="004E2F51">
      <w:pPr>
        <w:rPr>
          <w:rFonts w:ascii="Arial" w:eastAsia="Calibri" w:hAnsi="Arial" w:cs="Arial"/>
          <w:b/>
          <w:color w:val="000000" w:themeColor="text1"/>
          <w:sz w:val="20"/>
          <w:szCs w:val="20"/>
          <w:lang w:val="hr-HR"/>
        </w:rPr>
      </w:pPr>
    </w:p>
    <w:p w14:paraId="3C1B25EF" w14:textId="77777777" w:rsidR="004E2F51" w:rsidRPr="00D14589" w:rsidRDefault="004E2F51" w:rsidP="004E2F51">
      <w:pPr>
        <w:tabs>
          <w:tab w:val="left" w:pos="851"/>
        </w:tabs>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.3.6.</w:t>
      </w:r>
      <w:r w:rsidRPr="00D14589">
        <w:rPr>
          <w:rFonts w:ascii="Arial" w:eastAsia="Calibri" w:hAnsi="Arial" w:cs="Arial"/>
          <w:b/>
          <w:color w:val="000000" w:themeColor="text1"/>
          <w:sz w:val="20"/>
          <w:szCs w:val="20"/>
          <w:lang w:val="hr-HR"/>
        </w:rPr>
        <w:tab/>
        <w:t>Analiza koncentracije rizika</w:t>
      </w:r>
    </w:p>
    <w:p w14:paraId="788B0FF9" w14:textId="77777777" w:rsidR="004E2F51" w:rsidRPr="00D14589" w:rsidRDefault="004E2F51" w:rsidP="004E2F51">
      <w:pPr>
        <w:jc w:val="both"/>
        <w:rPr>
          <w:rFonts w:ascii="Arial" w:hAnsi="Arial" w:cs="Arial"/>
          <w:color w:val="000000" w:themeColor="text1"/>
          <w:sz w:val="20"/>
          <w:szCs w:val="20"/>
          <w:lang w:val="hr-HR"/>
        </w:rPr>
      </w:pPr>
    </w:p>
    <w:p w14:paraId="09F0AE9C"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Banka kroz razvojne programe kreditiranja obuhvaća područje cijele Republike Hrvatske s naglaskom na potpomognuta područja. Kreditni rizik rasprostranjen je po geografskim područjima, djelatnostima, sektorima te kreditnim programima. Banka nastoji izbjeći pretjeranu koncentraciju kreditnog rizika te povoljnijim uvjetima i novim kreditnim programima (proizvodima) potaknuti razvoj slabije razvijenih područja Republike Hrvatske u skladu s državnom strategijom razvoja pojedinih djelatnosti. </w:t>
      </w:r>
    </w:p>
    <w:p w14:paraId="7167408E" w14:textId="77777777" w:rsidR="004E2F51" w:rsidRPr="00D14589" w:rsidRDefault="004E2F51" w:rsidP="004E2F51">
      <w:pPr>
        <w:jc w:val="both"/>
        <w:rPr>
          <w:rFonts w:ascii="Arial" w:hAnsi="Arial" w:cs="Arial"/>
          <w:color w:val="000000" w:themeColor="text1"/>
          <w:sz w:val="20"/>
          <w:szCs w:val="20"/>
          <w:lang w:val="hr-HR"/>
        </w:rPr>
      </w:pPr>
    </w:p>
    <w:p w14:paraId="21247608"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Kreditiranjem različitih grana djelatnosti uz poticanje proizvodnje i razvoja s ciljem razvoja hrvatske privrede Banka stvara bolju bazu za povrate kredita i smanjenje rizika.</w:t>
      </w:r>
    </w:p>
    <w:p w14:paraId="0ED0E0DC" w14:textId="77777777" w:rsidR="004E2F51" w:rsidRPr="00D14589" w:rsidRDefault="004E2F51" w:rsidP="004E2F51">
      <w:pPr>
        <w:jc w:val="both"/>
        <w:rPr>
          <w:rFonts w:ascii="Arial" w:hAnsi="Arial" w:cs="Arial"/>
          <w:color w:val="000000" w:themeColor="text1"/>
          <w:sz w:val="20"/>
          <w:szCs w:val="20"/>
          <w:lang w:val="hr-HR"/>
        </w:rPr>
      </w:pPr>
    </w:p>
    <w:p w14:paraId="7E4F0420" w14:textId="77777777" w:rsidR="004E2F51" w:rsidRPr="00D14589" w:rsidRDefault="004E2F51" w:rsidP="004E2F51">
      <w:pPr>
        <w:jc w:val="both"/>
        <w:rPr>
          <w:rFonts w:ascii="Arial" w:hAnsi="Arial" w:cs="Arial"/>
          <w:color w:val="000000" w:themeColor="text1"/>
          <w:sz w:val="20"/>
          <w:szCs w:val="20"/>
          <w:lang w:val="hr-HR"/>
        </w:rPr>
      </w:pPr>
      <w:r w:rsidRPr="001C3D60">
        <w:rPr>
          <w:rFonts w:ascii="Arial" w:hAnsi="Arial" w:cs="Arial"/>
          <w:color w:val="000000" w:themeColor="text1"/>
          <w:sz w:val="20"/>
          <w:szCs w:val="20"/>
          <w:lang w:val="hr-HR"/>
        </w:rPr>
        <w:t>Najveća kreditna izloženost prema jednom dužniku na 31. prosinca 2022. za Grupu i za Banku iznosi 2.314.804 tisuća kuna (31. prosinca 2021.: 2.102.579 tisuća kuna za Grupu i Banku), bez uzimanja u obzir primljenih instrumenata osiguranja.</w:t>
      </w:r>
    </w:p>
    <w:p w14:paraId="385E4646" w14:textId="77777777" w:rsidR="004E2F51" w:rsidRPr="00D14589" w:rsidRDefault="004E2F51" w:rsidP="004E2F51">
      <w:pPr>
        <w:jc w:val="both"/>
        <w:rPr>
          <w:rFonts w:ascii="Arial" w:hAnsi="Arial" w:cs="Arial"/>
          <w:color w:val="000000" w:themeColor="text1"/>
          <w:sz w:val="20"/>
          <w:szCs w:val="20"/>
          <w:lang w:val="hr-HR"/>
        </w:rPr>
      </w:pPr>
    </w:p>
    <w:p w14:paraId="13BAAEA5"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eastAsia="Calibri" w:hAnsi="Arial" w:cs="Arial"/>
          <w:color w:val="000000" w:themeColor="text1"/>
          <w:sz w:val="20"/>
          <w:szCs w:val="20"/>
          <w:lang w:val="hr-HR"/>
        </w:rPr>
        <w:t xml:space="preserve">Banka kao posebna financijska institucija provodi svoju razvojnu ulogu odobravajući plasmane krajnjim korisnicima kredita putem financijskih institucija s kojima ima sklopljene ugovore o poslovnoj suradnji. </w:t>
      </w:r>
    </w:p>
    <w:p w14:paraId="7BCAA0CB" w14:textId="77777777" w:rsidR="004E2F51" w:rsidRPr="00D14589" w:rsidRDefault="004E2F51" w:rsidP="004E2F51">
      <w:pPr>
        <w:pStyle w:val="Default"/>
        <w:rPr>
          <w:b/>
          <w:bCs/>
          <w:color w:val="000000" w:themeColor="text1"/>
          <w:sz w:val="20"/>
          <w:szCs w:val="20"/>
        </w:rPr>
      </w:pPr>
    </w:p>
    <w:p w14:paraId="27877612" w14:textId="77777777" w:rsidR="004E2F51" w:rsidRPr="00D14589" w:rsidRDefault="004E2F51" w:rsidP="004E2F51">
      <w:pPr>
        <w:pStyle w:val="Default"/>
        <w:tabs>
          <w:tab w:val="left" w:pos="851"/>
        </w:tabs>
        <w:rPr>
          <w:b/>
          <w:bCs/>
          <w:color w:val="000000" w:themeColor="text1"/>
          <w:sz w:val="20"/>
          <w:szCs w:val="20"/>
        </w:rPr>
      </w:pPr>
      <w:r w:rsidRPr="00D14589">
        <w:rPr>
          <w:b/>
          <w:bCs/>
          <w:color w:val="000000" w:themeColor="text1"/>
          <w:sz w:val="20"/>
          <w:szCs w:val="20"/>
        </w:rPr>
        <w:t>3</w:t>
      </w:r>
      <w:r>
        <w:rPr>
          <w:b/>
          <w:bCs/>
          <w:color w:val="000000" w:themeColor="text1"/>
          <w:sz w:val="20"/>
          <w:szCs w:val="20"/>
        </w:rPr>
        <w:t>1</w:t>
      </w:r>
      <w:r w:rsidRPr="00D14589">
        <w:rPr>
          <w:b/>
          <w:bCs/>
          <w:color w:val="000000" w:themeColor="text1"/>
          <w:sz w:val="20"/>
          <w:szCs w:val="20"/>
        </w:rPr>
        <w:t>.3.7.</w:t>
      </w:r>
      <w:r w:rsidRPr="00D14589">
        <w:rPr>
          <w:b/>
          <w:bCs/>
          <w:color w:val="000000" w:themeColor="text1"/>
          <w:sz w:val="20"/>
          <w:szCs w:val="20"/>
        </w:rPr>
        <w:tab/>
        <w:t>Model podjele rizika</w:t>
      </w:r>
    </w:p>
    <w:p w14:paraId="12C960CA" w14:textId="77777777" w:rsidR="004E2F51" w:rsidRPr="00D14589" w:rsidRDefault="004E2F51" w:rsidP="004E2F51">
      <w:pPr>
        <w:jc w:val="both"/>
        <w:rPr>
          <w:rFonts w:ascii="Arial" w:hAnsi="Arial" w:cs="Arial"/>
          <w:color w:val="000000" w:themeColor="text1"/>
          <w:sz w:val="20"/>
          <w:szCs w:val="20"/>
          <w:lang w:val="hr-HR"/>
        </w:rPr>
      </w:pPr>
    </w:p>
    <w:p w14:paraId="5292ED77" w14:textId="77777777" w:rsidR="004E2F51" w:rsidRPr="00D14589" w:rsidRDefault="004E2F51" w:rsidP="004E2F51">
      <w:pPr>
        <w:pStyle w:val="Default"/>
        <w:jc w:val="both"/>
        <w:rPr>
          <w:color w:val="000000" w:themeColor="text1"/>
          <w:sz w:val="20"/>
          <w:szCs w:val="20"/>
        </w:rPr>
      </w:pPr>
      <w:r w:rsidRPr="00D14589">
        <w:rPr>
          <w:color w:val="000000" w:themeColor="text1"/>
          <w:sz w:val="20"/>
          <w:szCs w:val="20"/>
        </w:rPr>
        <w:t xml:space="preserve">Model podjele rizika je način provedbe programa kreditiranja HBOR-a u suradnji s poslovnim bankama, pri čemu HBOR snosi dio rizika izravnog kredita (npr. 50%), dok za drugi dio kredita (neovisno je li isti financiran iz sredstava HBOR-a ili sredstava poslovne banke) rizik snosi poslovna banka. </w:t>
      </w:r>
    </w:p>
    <w:p w14:paraId="69ACBE07" w14:textId="77777777" w:rsidR="004E2F51" w:rsidRPr="00D14589" w:rsidRDefault="004E2F51" w:rsidP="004E2F51">
      <w:pPr>
        <w:pStyle w:val="Default"/>
        <w:jc w:val="both"/>
        <w:rPr>
          <w:color w:val="000000" w:themeColor="text1"/>
          <w:sz w:val="20"/>
          <w:szCs w:val="20"/>
        </w:rPr>
      </w:pPr>
    </w:p>
    <w:p w14:paraId="2302FD8B"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Krediti po modelima podjele rizika po kreditnim programima HBOR-a (prvenstveno krediti za investicije i restrukturiranja, a manjim djelom za likvidnost) se provode na način da su poslovne banke uključene u transakcije i nadalje agenti (administrativni, platni i agenti osiguranja), ali HBOR provodi uobičajenu proceduru kao i za bilo koji drugi izravni kredit te unosi, kako izloženosti tako i kolaterale, u poslovne knjige nakon ugovaranja odnosno provedbe osiguranja plasmana.</w:t>
      </w:r>
    </w:p>
    <w:p w14:paraId="44C57FA8" w14:textId="77777777" w:rsidR="004E2F51" w:rsidRPr="00D14589" w:rsidRDefault="004E2F51" w:rsidP="004E2F51">
      <w:pPr>
        <w:jc w:val="both"/>
        <w:rPr>
          <w:rFonts w:ascii="Arial" w:hAnsi="Arial" w:cs="Arial"/>
          <w:color w:val="000000" w:themeColor="text1"/>
          <w:sz w:val="20"/>
          <w:szCs w:val="20"/>
          <w:lang w:val="hr-HR"/>
        </w:rPr>
        <w:sectPr w:rsidR="004E2F51" w:rsidRPr="00D14589" w:rsidSect="00623DBA">
          <w:footerReference w:type="default" r:id="rId175"/>
          <w:pgSz w:w="11907" w:h="16840" w:code="9"/>
          <w:pgMar w:top="1418" w:right="1134" w:bottom="1134" w:left="1418" w:header="851" w:footer="851" w:gutter="0"/>
          <w:cols w:space="720"/>
          <w:noEndnote/>
        </w:sectPr>
      </w:pPr>
    </w:p>
    <w:p w14:paraId="67BF38C7" w14:textId="77777777" w:rsidR="004E2F51" w:rsidRPr="00D14589" w:rsidRDefault="004E2F51" w:rsidP="004E2F51">
      <w:pPr>
        <w:jc w:val="both"/>
        <w:rPr>
          <w:rFonts w:ascii="Arial" w:hAnsi="Arial" w:cs="Arial"/>
          <w:color w:val="000000" w:themeColor="text1"/>
          <w:sz w:val="20"/>
          <w:szCs w:val="20"/>
          <w:lang w:val="hr-HR"/>
        </w:rPr>
      </w:pPr>
    </w:p>
    <w:p w14:paraId="2DF227F3" w14:textId="77777777" w:rsidR="004E2F51" w:rsidRPr="00D14589" w:rsidRDefault="004E2F51" w:rsidP="004E2F51">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3DF36035" w14:textId="77777777" w:rsidR="004E2F51" w:rsidRPr="00D14589" w:rsidRDefault="004E2F51" w:rsidP="004E2F51">
      <w:pPr>
        <w:jc w:val="both"/>
        <w:rPr>
          <w:rFonts w:ascii="Arial" w:hAnsi="Arial" w:cs="Arial"/>
          <w:color w:val="000000" w:themeColor="text1"/>
          <w:sz w:val="20"/>
          <w:szCs w:val="20"/>
          <w:lang w:val="hr-HR"/>
        </w:rPr>
      </w:pPr>
    </w:p>
    <w:p w14:paraId="3CBE9D4F" w14:textId="77777777" w:rsidR="004E2F51" w:rsidRPr="00D14589" w:rsidRDefault="004E2F51" w:rsidP="004E2F51">
      <w:pPr>
        <w:tabs>
          <w:tab w:val="left" w:pos="567"/>
        </w:tabs>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77A5A12F" w14:textId="77777777" w:rsidR="004E2F51" w:rsidRPr="00D14589" w:rsidRDefault="004E2F51" w:rsidP="004E2F51">
      <w:pPr>
        <w:rPr>
          <w:rFonts w:ascii="Arial" w:eastAsia="Calibri" w:hAnsi="Arial" w:cs="Arial"/>
          <w:b/>
          <w:color w:val="000000" w:themeColor="text1"/>
          <w:sz w:val="20"/>
          <w:szCs w:val="20"/>
          <w:lang w:val="hr-HR"/>
        </w:rPr>
      </w:pPr>
    </w:p>
    <w:p w14:paraId="28257ED6" w14:textId="77777777" w:rsidR="004E2F51" w:rsidRPr="00D14589" w:rsidRDefault="004E2F51" w:rsidP="004E2F51">
      <w:pPr>
        <w:pStyle w:val="Default"/>
        <w:tabs>
          <w:tab w:val="left" w:pos="851"/>
        </w:tabs>
        <w:rPr>
          <w:b/>
          <w:bCs/>
          <w:color w:val="000000" w:themeColor="text1"/>
          <w:sz w:val="20"/>
          <w:szCs w:val="20"/>
        </w:rPr>
      </w:pPr>
      <w:r w:rsidRPr="00D14589">
        <w:rPr>
          <w:b/>
          <w:bCs/>
          <w:color w:val="000000" w:themeColor="text1"/>
          <w:sz w:val="20"/>
          <w:szCs w:val="20"/>
        </w:rPr>
        <w:t>3</w:t>
      </w:r>
      <w:r>
        <w:rPr>
          <w:b/>
          <w:bCs/>
          <w:color w:val="000000" w:themeColor="text1"/>
          <w:sz w:val="20"/>
          <w:szCs w:val="20"/>
        </w:rPr>
        <w:t>1</w:t>
      </w:r>
      <w:r w:rsidRPr="00D14589">
        <w:rPr>
          <w:b/>
          <w:bCs/>
          <w:color w:val="000000" w:themeColor="text1"/>
          <w:sz w:val="20"/>
          <w:szCs w:val="20"/>
        </w:rPr>
        <w:t>.3.7.</w:t>
      </w:r>
      <w:r w:rsidRPr="00D14589">
        <w:rPr>
          <w:b/>
          <w:bCs/>
          <w:color w:val="000000" w:themeColor="text1"/>
          <w:sz w:val="20"/>
          <w:szCs w:val="20"/>
        </w:rPr>
        <w:tab/>
        <w:t>Model podjele rizika (nastavak)</w:t>
      </w:r>
    </w:p>
    <w:p w14:paraId="417FADD6" w14:textId="77777777" w:rsidR="004E2F51" w:rsidRPr="00D14589" w:rsidRDefault="004E2F51" w:rsidP="004E2F51">
      <w:pPr>
        <w:rPr>
          <w:rFonts w:ascii="Arial" w:eastAsia="Calibri" w:hAnsi="Arial" w:cs="Arial"/>
          <w:b/>
          <w:color w:val="000000" w:themeColor="text1"/>
          <w:sz w:val="20"/>
          <w:szCs w:val="20"/>
          <w:lang w:val="hr-HR"/>
        </w:rPr>
      </w:pPr>
    </w:p>
    <w:p w14:paraId="5A3CB944" w14:textId="77777777" w:rsidR="004E2F51" w:rsidRPr="00D14589" w:rsidRDefault="004E2F51" w:rsidP="004E2F51">
      <w:pPr>
        <w:jc w:val="both"/>
        <w:rPr>
          <w:rFonts w:ascii="Arial" w:eastAsia="Calibri" w:hAnsi="Arial" w:cs="Arial"/>
          <w:color w:val="000000"/>
          <w:sz w:val="20"/>
          <w:szCs w:val="20"/>
          <w:lang w:val="hr-HR"/>
        </w:rPr>
      </w:pPr>
      <w:r w:rsidRPr="00D14589">
        <w:rPr>
          <w:rFonts w:ascii="Arial" w:eastAsia="Calibri" w:hAnsi="Arial" w:cs="Arial"/>
          <w:color w:val="000000"/>
          <w:sz w:val="20"/>
          <w:szCs w:val="20"/>
          <w:lang w:val="hr-HR"/>
        </w:rPr>
        <w:t xml:space="preserve">U sklopu mjera za pomoć gospodarstvu uslijed </w:t>
      </w:r>
      <w:r>
        <w:rPr>
          <w:rFonts w:ascii="Arial" w:eastAsia="Calibri" w:hAnsi="Arial" w:cs="Arial"/>
          <w:color w:val="000000"/>
          <w:sz w:val="20"/>
          <w:szCs w:val="20"/>
          <w:lang w:val="hr-HR"/>
        </w:rPr>
        <w:t>ove krize</w:t>
      </w:r>
      <w:r w:rsidRPr="00D14589">
        <w:rPr>
          <w:rFonts w:ascii="Arial" w:eastAsia="Calibri" w:hAnsi="Arial" w:cs="Arial"/>
          <w:color w:val="000000"/>
          <w:sz w:val="20"/>
          <w:szCs w:val="20"/>
          <w:lang w:val="hr-HR"/>
        </w:rPr>
        <w:t xml:space="preserve"> omogućeno je odobravanje novih kredita za likvidnost poduzetnicima koji su pogođeni krizom izazvanom</w:t>
      </w:r>
      <w:r w:rsidRPr="00FC79CD">
        <w:rPr>
          <w:rFonts w:ascii="Arial" w:eastAsia="Calibri" w:hAnsi="Arial" w:cs="Arial"/>
          <w:color w:val="000000"/>
          <w:sz w:val="20"/>
          <w:szCs w:val="20"/>
          <w:lang w:val="hr-HR"/>
        </w:rPr>
        <w:t xml:space="preserve"> izravnim ili neizravnim učinkom ruske agresije na Ukrajinu</w:t>
      </w:r>
      <w:r w:rsidRPr="00D14589">
        <w:rPr>
          <w:rFonts w:ascii="Arial" w:eastAsia="Calibri" w:hAnsi="Arial" w:cs="Arial"/>
          <w:color w:val="000000"/>
          <w:sz w:val="20"/>
          <w:szCs w:val="20"/>
          <w:lang w:val="hr-HR"/>
        </w:rPr>
        <w:t xml:space="preserve"> po modelu podjele rizika s poslovnim bankama. Zbog kratkog roka za obradu većeg broja kreditnih zahtjeva, postojeći kreditni proces propisan Pravilnikom o upravljanju kreditnim rizikom je za ovu svrhu ubrzan i skraćen.</w:t>
      </w:r>
    </w:p>
    <w:p w14:paraId="669C4D54" w14:textId="77777777" w:rsidR="004E2F51" w:rsidRPr="00D14589" w:rsidRDefault="004E2F51" w:rsidP="004E2F51">
      <w:pPr>
        <w:jc w:val="both"/>
        <w:rPr>
          <w:rFonts w:ascii="Arial" w:hAnsi="Arial" w:cs="Arial"/>
          <w:color w:val="000000" w:themeColor="text1"/>
          <w:sz w:val="20"/>
          <w:szCs w:val="20"/>
          <w:lang w:val="hr-HR"/>
        </w:rPr>
      </w:pPr>
    </w:p>
    <w:p w14:paraId="154F7160"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U HBOR-u praćenje klijenata prema kojima HBOR ima bruto izloženost višu od 3.000 tisuća kuna po proceduri za izravne kredite, a obzirom da Banka često nema izravan kontakt s klijentom sve potrebne informacije za potrebe praćenja koristi kvartalna izvješća ili se informira kod poslovne banke.</w:t>
      </w:r>
    </w:p>
    <w:p w14:paraId="23BD2BE5" w14:textId="77777777" w:rsidR="004E2F51" w:rsidRPr="00D14589" w:rsidRDefault="004E2F51" w:rsidP="004E2F51">
      <w:pPr>
        <w:jc w:val="both"/>
        <w:rPr>
          <w:rFonts w:ascii="Arial" w:hAnsi="Arial" w:cs="Arial"/>
          <w:color w:val="000000" w:themeColor="text1"/>
          <w:sz w:val="20"/>
          <w:szCs w:val="20"/>
          <w:lang w:val="hr-HR"/>
        </w:rPr>
      </w:pPr>
    </w:p>
    <w:p w14:paraId="2B49B6A0" w14:textId="77777777" w:rsidR="004E2F51" w:rsidRPr="00D14589" w:rsidRDefault="004E2F51" w:rsidP="004E2F51">
      <w:pPr>
        <w:tabs>
          <w:tab w:val="left" w:pos="851"/>
        </w:tabs>
        <w:spacing w:line="300" w:lineRule="exact"/>
        <w:rPr>
          <w:rFonts w:ascii="Arial" w:eastAsia="Calibri" w:hAnsi="Arial" w:cs="Arial"/>
          <w:b/>
          <w:color w:val="000000" w:themeColor="text1"/>
          <w:sz w:val="20"/>
          <w:szCs w:val="20"/>
          <w:lang w:val="hr-HR"/>
        </w:rPr>
      </w:pPr>
      <w:bookmarkStart w:id="1477" w:name="_Hlk96425018"/>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.3.8.</w:t>
      </w:r>
      <w:r w:rsidRPr="00D14589">
        <w:rPr>
          <w:rFonts w:ascii="Arial" w:eastAsia="Calibri" w:hAnsi="Arial" w:cs="Arial"/>
          <w:b/>
          <w:color w:val="000000" w:themeColor="text1"/>
          <w:sz w:val="20"/>
          <w:szCs w:val="20"/>
          <w:lang w:val="hr-HR"/>
        </w:rPr>
        <w:tab/>
        <w:t>Instrumenti osiguranja i ostala poboljšanja kvalitete kredita (kreditne sposobnosti)</w:t>
      </w:r>
    </w:p>
    <w:bookmarkEnd w:id="1477"/>
    <w:p w14:paraId="45EFE813" w14:textId="77777777" w:rsidR="004E2F51" w:rsidRPr="00D14589" w:rsidRDefault="004E2F51" w:rsidP="004E2F51">
      <w:pPr>
        <w:jc w:val="both"/>
        <w:rPr>
          <w:rFonts w:ascii="Arial" w:hAnsi="Arial" w:cs="Arial"/>
          <w:color w:val="000000" w:themeColor="text1"/>
          <w:sz w:val="20"/>
          <w:szCs w:val="20"/>
          <w:lang w:val="hr-HR"/>
        </w:rPr>
      </w:pPr>
    </w:p>
    <w:p w14:paraId="1FA6F37A" w14:textId="77777777" w:rsidR="004E2F51" w:rsidRPr="00D14589" w:rsidRDefault="004E2F51" w:rsidP="004E2F51">
      <w:pPr>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Instrumenti osiguranja plasmana Banke su:</w:t>
      </w:r>
    </w:p>
    <w:p w14:paraId="62D7493D" w14:textId="77777777" w:rsidR="004E2F51" w:rsidRPr="00D14589" w:rsidRDefault="004E2F51">
      <w:pPr>
        <w:numPr>
          <w:ilvl w:val="0"/>
          <w:numId w:val="31"/>
        </w:numPr>
        <w:suppressAutoHyphens w:val="0"/>
        <w:autoSpaceDN/>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obvezni (mjenice i zadužnice),</w:t>
      </w:r>
    </w:p>
    <w:p w14:paraId="782192A8" w14:textId="77777777" w:rsidR="004E2F51" w:rsidRPr="00D14589" w:rsidRDefault="004E2F51">
      <w:pPr>
        <w:numPr>
          <w:ilvl w:val="0"/>
          <w:numId w:val="31"/>
        </w:numPr>
        <w:suppressAutoHyphens w:val="0"/>
        <w:autoSpaceDE w:val="0"/>
        <w:adjustRightInd w:val="0"/>
        <w:ind w:right="-2"/>
        <w:jc w:val="both"/>
        <w:rPr>
          <w:rFonts w:ascii="Arial" w:hAnsi="Arial" w:cs="Arial"/>
          <w:b/>
          <w:color w:val="000000" w:themeColor="text1"/>
          <w:sz w:val="20"/>
          <w:szCs w:val="20"/>
          <w:lang w:val="hr-HR"/>
        </w:rPr>
      </w:pPr>
      <w:r w:rsidRPr="00D14589">
        <w:rPr>
          <w:rFonts w:ascii="Arial" w:hAnsi="Arial" w:cs="Arial"/>
          <w:color w:val="000000" w:themeColor="text1"/>
          <w:sz w:val="20"/>
          <w:szCs w:val="20"/>
          <w:lang w:val="hr-HR"/>
        </w:rPr>
        <w:t>uobičajeni (nekretnine, brodovi, zrakoplovi, bankarska garancija, jamstvo Republike Hrvatske, jamstvo jedinica lokalne i područne (regionalne) samouprave, jamstvo HAMAG-BICRO-a, polica osiguranja od političkih i/ili komercijalnih rizika), te</w:t>
      </w:r>
    </w:p>
    <w:p w14:paraId="3B042DA5" w14:textId="77777777" w:rsidR="004E2F51" w:rsidRPr="00D14589" w:rsidRDefault="004E2F51">
      <w:pPr>
        <w:numPr>
          <w:ilvl w:val="0"/>
          <w:numId w:val="31"/>
        </w:numPr>
        <w:suppressAutoHyphens w:val="0"/>
        <w:autoSpaceDE w:val="0"/>
        <w:adjustRightInd w:val="0"/>
        <w:ind w:right="-2"/>
        <w:jc w:val="both"/>
        <w:rPr>
          <w:rFonts w:ascii="Arial" w:hAnsi="Arial" w:cs="Arial"/>
          <w:b/>
          <w:color w:val="000000" w:themeColor="text1"/>
          <w:sz w:val="20"/>
          <w:szCs w:val="20"/>
          <w:lang w:val="hr-HR"/>
        </w:rPr>
      </w:pPr>
      <w:r w:rsidRPr="00D14589">
        <w:rPr>
          <w:rFonts w:ascii="Arial" w:hAnsi="Arial" w:cs="Arial"/>
          <w:color w:val="000000" w:themeColor="text1"/>
          <w:sz w:val="20"/>
          <w:szCs w:val="20"/>
          <w:lang w:val="hr-HR"/>
        </w:rPr>
        <w:t>ostali instrumenti osiguranja (pokretna imovina, mjenice ili jamstva drugih trgovačkih društva solidnog boniteta, prijenos vlasništva ili zalog dionica odnosno udjela trgovačkog društva, pljenidba novčanih potraživanja odnosno cesija naplativih potraživanja, pljenidba depozita, vinkuliranje police osiguranja imovine i/ili osoba, zalog na žigu ili robnoj marki i sl.).</w:t>
      </w:r>
    </w:p>
    <w:p w14:paraId="2A57DB19" w14:textId="77777777" w:rsidR="004E2F51" w:rsidRPr="00D14589" w:rsidRDefault="004E2F51" w:rsidP="004E2F51">
      <w:pPr>
        <w:autoSpaceDE w:val="0"/>
        <w:adjustRightInd w:val="0"/>
        <w:ind w:right="426"/>
        <w:jc w:val="both"/>
        <w:rPr>
          <w:rFonts w:ascii="Arial" w:hAnsi="Arial" w:cs="Arial"/>
          <w:color w:val="000000" w:themeColor="text1"/>
          <w:sz w:val="20"/>
          <w:szCs w:val="20"/>
          <w:lang w:val="hr-HR"/>
        </w:rPr>
      </w:pPr>
    </w:p>
    <w:p w14:paraId="077D24DA" w14:textId="77777777" w:rsidR="004E2F51" w:rsidRPr="00D14589" w:rsidRDefault="004E2F51" w:rsidP="004E2F51">
      <w:pPr>
        <w:autoSpaceDE w:val="0"/>
        <w:adjustRightInd w:val="0"/>
        <w:ind w:right="-1"/>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Svi plasmani Banke moraju biti osigurani obveznim instrumentima osiguranja. Plasmani manjih iznosa moraju biti osigurani barem jednim obveznim instrumentom osiguranja. Izbor prihvatljivih instrumenata osiguranja ne ovisi samo o postignutom omjeru osiguranja nego i o utvrđenim rizicima, pri čemu prednost imaju brže utrživi i vrjedniji instrumenti osiguranja.</w:t>
      </w:r>
    </w:p>
    <w:p w14:paraId="66FB7FB5" w14:textId="77777777" w:rsidR="004E2F51" w:rsidRPr="00D14589" w:rsidRDefault="004E2F51" w:rsidP="004E2F51">
      <w:pPr>
        <w:autoSpaceDE w:val="0"/>
        <w:adjustRightInd w:val="0"/>
        <w:ind w:right="426"/>
        <w:jc w:val="both"/>
        <w:rPr>
          <w:rFonts w:ascii="Arial" w:hAnsi="Arial" w:cs="Arial"/>
          <w:color w:val="000000" w:themeColor="text1"/>
          <w:sz w:val="20"/>
          <w:szCs w:val="20"/>
          <w:lang w:val="hr-HR"/>
        </w:rPr>
      </w:pPr>
    </w:p>
    <w:p w14:paraId="595F2BA7" w14:textId="77777777" w:rsidR="004E2F51" w:rsidRPr="00D14589" w:rsidRDefault="004E2F51" w:rsidP="004E2F51">
      <w:pPr>
        <w:autoSpaceDE w:val="0"/>
        <w:adjustRightInd w:val="0"/>
        <w:ind w:right="-2"/>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Prihvatljivi uobičajeni i ostali instrumenti osiguranja razvrstani su prema kvaliteti u pet skupina. Ocjena instrumenata osiguranja temelji se na njihovoj kvaliteti koja se utvrđuje na bazi njihove tržišne unovčivosti, dokumentiranosti i mogućnosti nadzora od strane Banke te mogućnosti prisilne naplate. </w:t>
      </w:r>
    </w:p>
    <w:p w14:paraId="331A8AE6" w14:textId="77777777" w:rsidR="004E2F51" w:rsidRPr="00D14589" w:rsidRDefault="004E2F51" w:rsidP="004E2F51">
      <w:pPr>
        <w:autoSpaceDE w:val="0"/>
        <w:adjustRightInd w:val="0"/>
        <w:ind w:right="-2"/>
        <w:jc w:val="both"/>
        <w:rPr>
          <w:rFonts w:ascii="Arial" w:hAnsi="Arial" w:cs="Arial"/>
          <w:color w:val="000000" w:themeColor="text1"/>
          <w:sz w:val="20"/>
          <w:szCs w:val="20"/>
          <w:lang w:val="hr-HR"/>
        </w:rPr>
      </w:pPr>
    </w:p>
    <w:p w14:paraId="1C4F5C3E" w14:textId="77777777" w:rsidR="004E2F51" w:rsidRPr="00D14589" w:rsidRDefault="004E2F51" w:rsidP="004E2F51">
      <w:pPr>
        <w:autoSpaceDE w:val="0"/>
        <w:adjustRightInd w:val="0"/>
        <w:ind w:right="-2"/>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Pri donošenju odluke o odobrenju kredita slaba se kreditna sposobnost ne može zamijeniti kvalitetom instrumenata osiguranja, osim u slučajevima osiguranja prvorazrednim instrumentima osiguranja: jamstvom Republike Hrvatske, jamstvom lokalne/područne (regionalne) samouprave (JLPS), jamstvom HAMAG-BICRO-a, policom osiguranja kredita i kada za obveze klijenta zakonskim aktima jamče Republika Hrvatska, JLPS ili druga državna tijela.</w:t>
      </w:r>
    </w:p>
    <w:p w14:paraId="2B928354" w14:textId="77777777" w:rsidR="004E2F51" w:rsidRPr="00D14589" w:rsidRDefault="004E2F51" w:rsidP="004E2F51">
      <w:pPr>
        <w:autoSpaceDE w:val="0"/>
        <w:adjustRightInd w:val="0"/>
        <w:ind w:right="426"/>
        <w:jc w:val="both"/>
        <w:rPr>
          <w:rFonts w:ascii="Arial" w:hAnsi="Arial" w:cs="Arial"/>
          <w:color w:val="000000" w:themeColor="text1"/>
          <w:sz w:val="20"/>
          <w:szCs w:val="20"/>
          <w:lang w:val="hr-HR"/>
        </w:rPr>
        <w:sectPr w:rsidR="004E2F51" w:rsidRPr="00D14589" w:rsidSect="00623DBA">
          <w:footerReference w:type="default" r:id="rId176"/>
          <w:pgSz w:w="11907" w:h="16840" w:code="9"/>
          <w:pgMar w:top="1418" w:right="1134" w:bottom="1134" w:left="1418" w:header="851" w:footer="851" w:gutter="0"/>
          <w:cols w:space="720"/>
          <w:noEndnote/>
        </w:sectPr>
      </w:pPr>
    </w:p>
    <w:p w14:paraId="2EC4E7F6" w14:textId="77777777" w:rsidR="004E2F51" w:rsidRPr="00D14589" w:rsidRDefault="004E2F51" w:rsidP="004E2F51">
      <w:pPr>
        <w:autoSpaceDE w:val="0"/>
        <w:adjustRightInd w:val="0"/>
        <w:ind w:right="426"/>
        <w:jc w:val="both"/>
        <w:rPr>
          <w:rFonts w:ascii="Arial" w:hAnsi="Arial" w:cs="Arial"/>
          <w:color w:val="000000" w:themeColor="text1"/>
          <w:sz w:val="20"/>
          <w:szCs w:val="20"/>
          <w:lang w:val="hr-HR"/>
        </w:rPr>
      </w:pPr>
    </w:p>
    <w:p w14:paraId="530395EB" w14:textId="77777777" w:rsidR="004E2F51" w:rsidRPr="00D14589" w:rsidRDefault="004E2F51" w:rsidP="004E2F51">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4B9B3223" w14:textId="77777777" w:rsidR="004E2F51" w:rsidRPr="00D14589" w:rsidRDefault="004E2F51" w:rsidP="004E2F51">
      <w:pPr>
        <w:jc w:val="both"/>
        <w:rPr>
          <w:rFonts w:ascii="Arial" w:hAnsi="Arial" w:cs="Arial"/>
          <w:color w:val="000000" w:themeColor="text1"/>
          <w:sz w:val="20"/>
          <w:szCs w:val="20"/>
          <w:lang w:val="hr-HR"/>
        </w:rPr>
      </w:pPr>
    </w:p>
    <w:p w14:paraId="1BDF336C" w14:textId="77777777" w:rsidR="004E2F51" w:rsidRPr="00D14589" w:rsidRDefault="004E2F51" w:rsidP="004E2F51">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5CC46D61" w14:textId="77777777" w:rsidR="004E2F51" w:rsidRPr="00D14589" w:rsidRDefault="004E2F51" w:rsidP="004E2F51">
      <w:pPr>
        <w:autoSpaceDE w:val="0"/>
        <w:adjustRightInd w:val="0"/>
        <w:ind w:right="426"/>
        <w:jc w:val="both"/>
        <w:rPr>
          <w:rFonts w:ascii="Arial" w:hAnsi="Arial" w:cs="Arial"/>
          <w:color w:val="000000" w:themeColor="text1"/>
          <w:sz w:val="20"/>
          <w:szCs w:val="20"/>
          <w:lang w:val="hr-HR"/>
        </w:rPr>
      </w:pPr>
    </w:p>
    <w:p w14:paraId="76A51673" w14:textId="77777777" w:rsidR="004E2F51" w:rsidRPr="00D14589" w:rsidRDefault="004E2F51" w:rsidP="004E2F51">
      <w:pPr>
        <w:tabs>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.3.8.</w:t>
      </w:r>
      <w:r w:rsidRPr="00D14589">
        <w:rPr>
          <w:rFonts w:ascii="Arial" w:eastAsia="Calibri" w:hAnsi="Arial" w:cs="Arial"/>
          <w:b/>
          <w:color w:val="000000" w:themeColor="text1"/>
          <w:sz w:val="20"/>
          <w:szCs w:val="20"/>
          <w:lang w:val="hr-HR"/>
        </w:rPr>
        <w:tab/>
        <w:t>Instrumenti osiguranja i ostala poboljšanja kvalitete kredita (kreditne sposobnosti) (nastavak)</w:t>
      </w:r>
    </w:p>
    <w:p w14:paraId="365B2F6A" w14:textId="77777777" w:rsidR="004E2F51" w:rsidRPr="00D14589" w:rsidRDefault="004E2F51" w:rsidP="004E2F51">
      <w:pPr>
        <w:autoSpaceDE w:val="0"/>
        <w:adjustRightInd w:val="0"/>
        <w:ind w:right="426"/>
        <w:jc w:val="both"/>
        <w:rPr>
          <w:rFonts w:ascii="Arial" w:hAnsi="Arial" w:cs="Arial"/>
          <w:color w:val="000000" w:themeColor="text1"/>
          <w:sz w:val="20"/>
          <w:szCs w:val="20"/>
          <w:lang w:val="hr-HR"/>
        </w:rPr>
      </w:pPr>
    </w:p>
    <w:p w14:paraId="6336D63D" w14:textId="77777777" w:rsidR="004E2F51" w:rsidRPr="00D14589" w:rsidRDefault="004E2F51" w:rsidP="004E2F51">
      <w:pPr>
        <w:autoSpaceDE w:val="0"/>
        <w:adjustRightInd w:val="0"/>
        <w:ind w:right="-2"/>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U svrhu ublažavanja kreditnog rizika i smanjenja troškova poslovanja, a sukladno Zakonu o HBOR-u, dio svojih plasmana Banka odobrava putem financijskih institucija. Za osiguranje plasmana odobrenih krajnjim korisnicima putem financijskih institucija Banka uzima obvezne instrumente osiguranja od poslovnih banaka i leasing društava. Financijska institucija ih je dužna deponirati temeljem</w:t>
      </w:r>
      <w:r w:rsidRPr="00D14589">
        <w:rPr>
          <w:rFonts w:ascii="Arial" w:eastAsia="Calibri" w:hAnsi="Arial" w:cs="Arial"/>
          <w:color w:val="000000" w:themeColor="text1"/>
          <w:sz w:val="20"/>
          <w:szCs w:val="20"/>
          <w:lang w:val="hr-HR"/>
        </w:rPr>
        <w:t xml:space="preserve"> Ugovora o međusobnoj poslovnoj suradnji, a ne za svaki pojedinačni plasman krajnjem korisniku zaključen temeljem tog Ugovora. U svakom pojedinačnom ugovoru o plasmanu za krajnjeg korisnika ugovara se pravo korištenja obveznih instrumenata osiguranja </w:t>
      </w:r>
      <w:r w:rsidRPr="00D14589">
        <w:rPr>
          <w:rFonts w:ascii="Arial" w:hAnsi="Arial" w:cs="Arial"/>
          <w:color w:val="000000" w:themeColor="text1"/>
          <w:sz w:val="20"/>
          <w:szCs w:val="20"/>
          <w:lang w:val="hr-HR"/>
        </w:rPr>
        <w:t xml:space="preserve">deponiranih uz Ugovor o međusobnoj poslovnoj suradnji. Obzirom da financijske institucije snose rizik povrata plasmana krajnjeg korisnika ostavljena im je mogućnost ugovaranja dostatnih instrumenata osiguranja od krajnjeg korisnika kredita/leasinga. </w:t>
      </w:r>
    </w:p>
    <w:p w14:paraId="49C5CF1B" w14:textId="77777777" w:rsidR="004E2F51" w:rsidRPr="00D14589" w:rsidRDefault="004E2F51" w:rsidP="004E2F51">
      <w:pPr>
        <w:autoSpaceDE w:val="0"/>
        <w:adjustRightInd w:val="0"/>
        <w:ind w:right="426"/>
        <w:jc w:val="both"/>
        <w:rPr>
          <w:rFonts w:ascii="Arial" w:hAnsi="Arial" w:cs="Arial"/>
          <w:color w:val="000000" w:themeColor="text1"/>
          <w:sz w:val="20"/>
          <w:szCs w:val="20"/>
          <w:lang w:val="hr-HR"/>
        </w:rPr>
      </w:pPr>
    </w:p>
    <w:p w14:paraId="44A71CB2" w14:textId="77777777" w:rsidR="004E2F51" w:rsidRPr="00D14589" w:rsidRDefault="004E2F51" w:rsidP="004E2F51">
      <w:pPr>
        <w:autoSpaceDE w:val="0"/>
        <w:adjustRightInd w:val="0"/>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Kod odobrenja kredita putem poslovnih banaka, ovisno o njezinom internom rejtingu, zasniva se i nadhipoteka. Tada poslovna banka prenosi vlasništvo na predmetu osiguranja u svoju korist, uz zasnivanje založnog prava u korist Banke ili zasniva hipoteku na predmetu osiguranja u svoju korist, uz nadhipoteku u korist Banke.</w:t>
      </w:r>
    </w:p>
    <w:p w14:paraId="5A04A2FE" w14:textId="77777777" w:rsidR="004E2F51" w:rsidRPr="00D14589" w:rsidRDefault="004E2F51" w:rsidP="004E2F51">
      <w:pPr>
        <w:autoSpaceDE w:val="0"/>
        <w:adjustRightInd w:val="0"/>
        <w:ind w:right="426"/>
        <w:jc w:val="both"/>
        <w:rPr>
          <w:rFonts w:ascii="Arial" w:hAnsi="Arial" w:cs="Arial"/>
          <w:color w:val="000000" w:themeColor="text1"/>
          <w:sz w:val="20"/>
          <w:szCs w:val="20"/>
          <w:lang w:val="hr-HR"/>
        </w:rPr>
      </w:pPr>
    </w:p>
    <w:p w14:paraId="7EEDCB4D" w14:textId="77777777" w:rsidR="004E2F51" w:rsidRPr="00D14589" w:rsidRDefault="004E2F51" w:rsidP="004E2F51">
      <w:pPr>
        <w:autoSpaceDE w:val="0"/>
        <w:adjustRightInd w:val="0"/>
        <w:ind w:right="-2"/>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Potpisom Ugovora o međusobnoj poslovnoj suradnji ugovara se prijenos tražbina poslovne banke iz ugovora</w:t>
      </w:r>
      <w:r w:rsidRPr="00D14589">
        <w:rPr>
          <w:rFonts w:ascii="Arial" w:eastAsia="Calibri" w:hAnsi="Arial" w:cs="Arial"/>
          <w:color w:val="000000" w:themeColor="text1"/>
          <w:sz w:val="20"/>
          <w:szCs w:val="20"/>
          <w:lang w:val="hr-HR"/>
        </w:rPr>
        <w:t xml:space="preserve"> o kreditu s krajnjim korisnikom kredita na HBOR. Ugovorom poslovna banka ovlašćuje HBOR </w:t>
      </w:r>
      <w:r w:rsidRPr="00D14589">
        <w:rPr>
          <w:rFonts w:ascii="Arial" w:hAnsi="Arial" w:cs="Arial"/>
          <w:color w:val="000000" w:themeColor="text1"/>
          <w:sz w:val="20"/>
          <w:szCs w:val="20"/>
          <w:lang w:val="hr-HR"/>
        </w:rPr>
        <w:t>da može jednostranom pisanom izjavom obavijestiti poslovnu banku da, u slučaju nelikvidnosti poslovne banke ili prijetećeg stečaja, neurednog ispunjavanja, odnosno neispunjavanja obveza iz ugovora o međubankarskom kreditu te otvaranja stečaja ili redovne likvidacije poslovne banke, nastupa ustupanje potraživanja prema krajnjem korisniku s poslovne banke na HBOR s učinkom cesije umjesto ispunjenja.</w:t>
      </w:r>
    </w:p>
    <w:p w14:paraId="039D51CC" w14:textId="77777777" w:rsidR="004E2F51" w:rsidRPr="00D14589" w:rsidRDefault="004E2F51" w:rsidP="004E2F51">
      <w:pPr>
        <w:autoSpaceDE w:val="0"/>
        <w:adjustRightInd w:val="0"/>
        <w:ind w:right="426"/>
        <w:jc w:val="both"/>
        <w:rPr>
          <w:rFonts w:ascii="Arial" w:hAnsi="Arial" w:cs="Arial"/>
          <w:color w:val="000000" w:themeColor="text1"/>
          <w:sz w:val="20"/>
          <w:szCs w:val="20"/>
          <w:lang w:val="hr-HR"/>
        </w:rPr>
      </w:pPr>
    </w:p>
    <w:p w14:paraId="4557A64C" w14:textId="77777777" w:rsidR="004E2F51" w:rsidRPr="00D14589" w:rsidRDefault="004E2F51" w:rsidP="004E2F51">
      <w:pPr>
        <w:autoSpaceDE w:val="0"/>
        <w:adjustRightInd w:val="0"/>
        <w:ind w:right="-2"/>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Također, poslovna banka ovlašćuje HBOR da se temeljem ugovora o međusobnoj poslovnoj suradnji i navedene izjave može bez ikakve njezine daljnje suglasnosti ili odobrenja upisati u sve javne registre, knjige i upisnike umjesto poslovne banke na mjesto vjerovnika po provedenim osiguranjima za ustupljene tražbine te u svim drugim postupcima stupiti na mjesto vjerovnika. </w:t>
      </w:r>
    </w:p>
    <w:p w14:paraId="4E938B5F" w14:textId="77777777" w:rsidR="004E2F51" w:rsidRPr="00D14589" w:rsidRDefault="004E2F51" w:rsidP="004E2F51">
      <w:pPr>
        <w:widowControl w:val="0"/>
        <w:jc w:val="both"/>
        <w:rPr>
          <w:rFonts w:ascii="Arial" w:hAnsi="Arial" w:cs="Arial"/>
          <w:color w:val="000000" w:themeColor="text1"/>
          <w:sz w:val="20"/>
          <w:szCs w:val="20"/>
          <w:lang w:val="hr-HR"/>
        </w:rPr>
      </w:pPr>
    </w:p>
    <w:p w14:paraId="0D56AC95" w14:textId="77777777" w:rsidR="004E2F51" w:rsidRPr="00D14589" w:rsidRDefault="004E2F51" w:rsidP="004E2F51">
      <w:pPr>
        <w:autoSpaceDE w:val="0"/>
        <w:adjustRightInd w:val="0"/>
        <w:ind w:right="-2"/>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Od trenutka ustupanja, krajnji korisnik kredita je u obvezi sva plaćanja po ustupljenoj tražbini izvršavati izravno HBOR-u. Ako u tom slučaju poslovna banka eventualno primi neke uplate na ime naplate ustupljenog potraživanja, obvezna je sve što primi bez odgode proslijediti HBOR-u.</w:t>
      </w:r>
    </w:p>
    <w:p w14:paraId="51278747" w14:textId="77777777" w:rsidR="004E2F51" w:rsidRPr="00D14589" w:rsidRDefault="004E2F51" w:rsidP="004E2F51">
      <w:pPr>
        <w:widowControl w:val="0"/>
        <w:jc w:val="both"/>
        <w:rPr>
          <w:rFonts w:ascii="Arial" w:hAnsi="Arial" w:cs="Arial"/>
          <w:color w:val="000000" w:themeColor="text1"/>
          <w:sz w:val="20"/>
          <w:szCs w:val="20"/>
          <w:lang w:val="hr-HR"/>
        </w:rPr>
      </w:pPr>
    </w:p>
    <w:p w14:paraId="747D7CA4" w14:textId="77777777" w:rsidR="004E2F51" w:rsidRPr="00D14589" w:rsidRDefault="004E2F51" w:rsidP="004E2F51">
      <w:pPr>
        <w:autoSpaceDE w:val="0"/>
        <w:adjustRightInd w:val="0"/>
        <w:ind w:right="-1"/>
        <w:jc w:val="both"/>
        <w:rPr>
          <w:rFonts w:ascii="Arial" w:hAnsi="Arial" w:cs="Arial"/>
          <w:color w:val="000000" w:themeColor="text1"/>
          <w:sz w:val="20"/>
          <w:szCs w:val="20"/>
          <w:lang w:val="hr-HR"/>
        </w:rPr>
      </w:pPr>
      <w:r w:rsidRPr="00D14589">
        <w:rPr>
          <w:rFonts w:ascii="Arial" w:eastAsia="Calibri" w:hAnsi="Arial" w:cs="Arial"/>
          <w:color w:val="000000" w:themeColor="text1"/>
          <w:sz w:val="20"/>
          <w:szCs w:val="20"/>
          <w:lang w:val="hr-HR"/>
        </w:rPr>
        <w:t xml:space="preserve">Svi izravni plasmani uglavnom su osigurani prijenosom vlasništva ili hipotekom na nekretninama te, ako je to moguće, kao osiguranje od kreditnog rizika Banka pribavlja jamstvo Hrvatske agencije za malo gospodarstvo, inovacije i investicije (HAMAG-BICRO), jamstvo EIF-a (Europski investicijski fond), jamstvo jedinice lokalne i područne (regionalne) </w:t>
      </w:r>
      <w:r w:rsidRPr="00D14589">
        <w:rPr>
          <w:rFonts w:ascii="Arial" w:hAnsi="Arial" w:cs="Arial"/>
          <w:color w:val="000000" w:themeColor="text1"/>
          <w:sz w:val="20"/>
          <w:szCs w:val="20"/>
          <w:lang w:val="hr-HR"/>
        </w:rPr>
        <w:t xml:space="preserve">samouprave, jamstvo Republike Hrvatske i slično. </w:t>
      </w:r>
    </w:p>
    <w:p w14:paraId="0D239538" w14:textId="77777777" w:rsidR="004E2F51" w:rsidRPr="00D14589" w:rsidRDefault="004E2F51" w:rsidP="004E2F51">
      <w:pPr>
        <w:autoSpaceDE w:val="0"/>
        <w:adjustRightInd w:val="0"/>
        <w:ind w:right="426"/>
        <w:jc w:val="both"/>
        <w:rPr>
          <w:rFonts w:ascii="Arial" w:hAnsi="Arial" w:cs="Arial"/>
          <w:color w:val="000000" w:themeColor="text1"/>
          <w:sz w:val="20"/>
          <w:szCs w:val="20"/>
          <w:lang w:val="hr-HR"/>
        </w:rPr>
      </w:pPr>
    </w:p>
    <w:p w14:paraId="29203FB7" w14:textId="77777777" w:rsidR="004E2F51" w:rsidRPr="00D14589" w:rsidRDefault="004E2F51" w:rsidP="004E2F51">
      <w:pPr>
        <w:autoSpaceDE w:val="0"/>
        <w:adjustRightInd w:val="0"/>
        <w:ind w:right="426"/>
        <w:jc w:val="both"/>
        <w:rPr>
          <w:rFonts w:ascii="Arial" w:hAnsi="Arial" w:cs="Arial"/>
          <w:color w:val="000000" w:themeColor="text1"/>
          <w:sz w:val="20"/>
          <w:szCs w:val="20"/>
          <w:lang w:val="hr-HR"/>
        </w:rPr>
        <w:sectPr w:rsidR="004E2F51" w:rsidRPr="00D14589" w:rsidSect="00623DBA">
          <w:footerReference w:type="default" r:id="rId177"/>
          <w:pgSz w:w="11907" w:h="16840" w:code="9"/>
          <w:pgMar w:top="1418" w:right="1134" w:bottom="1134" w:left="1418" w:header="851" w:footer="851" w:gutter="0"/>
          <w:cols w:space="720"/>
          <w:noEndnote/>
        </w:sectPr>
      </w:pPr>
      <w:r w:rsidRPr="00D14589">
        <w:rPr>
          <w:rFonts w:ascii="Arial" w:hAnsi="Arial" w:cs="Arial"/>
          <w:color w:val="000000" w:themeColor="text1"/>
          <w:sz w:val="20"/>
          <w:szCs w:val="20"/>
          <w:lang w:val="hr-HR"/>
        </w:rPr>
        <w:t xml:space="preserve">Banka je ovlaštena izvršiti verifikaciju procjene vrijednosti i tako utvrđena procjena se smatra konačnom vrijednosti instrumenta osiguranja. </w:t>
      </w:r>
    </w:p>
    <w:p w14:paraId="55391610" w14:textId="77777777" w:rsidR="004E2F51" w:rsidRPr="00D14589" w:rsidRDefault="004E2F51" w:rsidP="004E2F51">
      <w:pPr>
        <w:autoSpaceDE w:val="0"/>
        <w:adjustRightInd w:val="0"/>
        <w:ind w:right="426"/>
        <w:jc w:val="both"/>
        <w:rPr>
          <w:rFonts w:ascii="Arial" w:hAnsi="Arial" w:cs="Arial"/>
          <w:color w:val="000000" w:themeColor="text1"/>
          <w:sz w:val="20"/>
          <w:szCs w:val="20"/>
          <w:lang w:val="hr-HR"/>
        </w:rPr>
      </w:pPr>
    </w:p>
    <w:p w14:paraId="0A1041B4" w14:textId="77777777" w:rsidR="004E2F51" w:rsidRPr="00D14589" w:rsidRDefault="004E2F51" w:rsidP="004E2F51">
      <w:pPr>
        <w:keepNext/>
        <w:tabs>
          <w:tab w:val="left" w:pos="567"/>
        </w:tabs>
        <w:jc w:val="both"/>
        <w:rPr>
          <w:rFonts w:ascii="Arial" w:hAnsi="Arial" w:cs="Arial"/>
          <w:b/>
          <w:bCs/>
          <w:color w:val="000000" w:themeColor="text1"/>
          <w:sz w:val="20"/>
          <w:szCs w:val="20"/>
          <w:lang w:val="hr-HR"/>
        </w:rPr>
      </w:pPr>
      <w:r w:rsidRPr="00D14589">
        <w:rPr>
          <w:rFonts w:ascii="Arial" w:hAnsi="Arial" w:cs="Arial"/>
          <w:b/>
          <w:bCs/>
          <w:color w:val="000000" w:themeColor="text1"/>
          <w:sz w:val="20"/>
          <w:szCs w:val="20"/>
          <w:lang w:val="hr-HR" w:eastAsia="hr-HR"/>
        </w:rPr>
        <w:t>3</w:t>
      </w:r>
      <w:r>
        <w:rPr>
          <w:rFonts w:ascii="Arial" w:hAnsi="Arial" w:cs="Arial"/>
          <w:b/>
          <w:bCs/>
          <w:color w:val="000000" w:themeColor="text1"/>
          <w:sz w:val="20"/>
          <w:szCs w:val="20"/>
          <w:lang w:val="hr-HR" w:eastAsia="hr-HR"/>
        </w:rPr>
        <w:t>1</w:t>
      </w:r>
      <w:r w:rsidRPr="00D14589">
        <w:rPr>
          <w:rFonts w:ascii="Arial" w:hAnsi="Arial" w:cs="Arial"/>
          <w:b/>
          <w:bCs/>
          <w:color w:val="000000" w:themeColor="text1"/>
          <w:sz w:val="20"/>
          <w:szCs w:val="20"/>
          <w:lang w:val="hr-HR" w:eastAsia="hr-HR"/>
        </w:rPr>
        <w:t>.</w:t>
      </w:r>
      <w:r w:rsidRPr="00D14589">
        <w:rPr>
          <w:rFonts w:ascii="Arial" w:hAnsi="Arial" w:cs="Arial"/>
          <w:b/>
          <w:bCs/>
          <w:color w:val="000000" w:themeColor="text1"/>
          <w:sz w:val="20"/>
          <w:szCs w:val="20"/>
          <w:lang w:val="hr-HR"/>
        </w:rPr>
        <w:tab/>
        <w:t>Upravljanje rizicima (nastavak)</w:t>
      </w:r>
    </w:p>
    <w:p w14:paraId="2CB53A5C" w14:textId="77777777" w:rsidR="004E2F51" w:rsidRPr="00D14589" w:rsidRDefault="004E2F51" w:rsidP="004E2F51">
      <w:pPr>
        <w:jc w:val="both"/>
        <w:rPr>
          <w:rFonts w:ascii="Arial" w:hAnsi="Arial" w:cs="Arial"/>
          <w:color w:val="000000" w:themeColor="text1"/>
          <w:sz w:val="20"/>
          <w:szCs w:val="20"/>
          <w:lang w:val="hr-HR"/>
        </w:rPr>
      </w:pPr>
    </w:p>
    <w:p w14:paraId="3F8C9617" w14:textId="77777777" w:rsidR="004E2F51" w:rsidRPr="00D14589" w:rsidRDefault="004E2F51" w:rsidP="004E2F51">
      <w:pPr>
        <w:tabs>
          <w:tab w:val="left" w:pos="567"/>
        </w:tabs>
        <w:spacing w:line="300" w:lineRule="exact"/>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w:t>
      </w:r>
      <w:r w:rsidRPr="00D14589">
        <w:rPr>
          <w:rFonts w:ascii="Arial" w:eastAsia="Calibri" w:hAnsi="Arial" w:cs="Arial"/>
          <w:b/>
          <w:color w:val="000000" w:themeColor="text1"/>
          <w:sz w:val="20"/>
          <w:szCs w:val="20"/>
          <w:lang w:val="hr-HR"/>
        </w:rPr>
        <w:tab/>
        <w:t>Kreditni rizik (nastavak)</w:t>
      </w:r>
    </w:p>
    <w:p w14:paraId="0F66D2D1" w14:textId="77777777" w:rsidR="004E2F51" w:rsidRPr="00D14589" w:rsidRDefault="004E2F51" w:rsidP="004E2F51">
      <w:pPr>
        <w:spacing w:line="300" w:lineRule="exact"/>
        <w:jc w:val="both"/>
        <w:rPr>
          <w:rFonts w:ascii="Arial" w:eastAsia="Calibri" w:hAnsi="Arial" w:cs="Arial"/>
          <w:b/>
          <w:color w:val="000000" w:themeColor="text1"/>
          <w:sz w:val="20"/>
          <w:szCs w:val="20"/>
          <w:lang w:val="hr-HR"/>
        </w:rPr>
      </w:pPr>
    </w:p>
    <w:p w14:paraId="76B242F6" w14:textId="77777777" w:rsidR="004E2F51" w:rsidRPr="00D14589" w:rsidRDefault="004E2F51" w:rsidP="004E2F51">
      <w:pPr>
        <w:tabs>
          <w:tab w:val="left" w:pos="567"/>
          <w:tab w:val="left" w:pos="851"/>
        </w:tabs>
        <w:spacing w:line="300" w:lineRule="exact"/>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1</w:t>
      </w:r>
      <w:r w:rsidRPr="00D14589">
        <w:rPr>
          <w:rFonts w:ascii="Arial" w:eastAsia="Calibri" w:hAnsi="Arial" w:cs="Arial"/>
          <w:b/>
          <w:color w:val="000000" w:themeColor="text1"/>
          <w:sz w:val="20"/>
          <w:szCs w:val="20"/>
          <w:lang w:val="hr-HR"/>
        </w:rPr>
        <w:t>.3.8.</w:t>
      </w:r>
      <w:r w:rsidRPr="00D14589">
        <w:rPr>
          <w:rFonts w:ascii="Arial" w:eastAsia="Calibri" w:hAnsi="Arial" w:cs="Arial"/>
          <w:b/>
          <w:color w:val="000000" w:themeColor="text1"/>
          <w:sz w:val="20"/>
          <w:szCs w:val="20"/>
          <w:lang w:val="hr-HR"/>
        </w:rPr>
        <w:tab/>
        <w:t>Instrumenti osiguranja i ostala poboljšanja kvalitete kredita (kreditne sposobnosti) (nastavak)</w:t>
      </w:r>
    </w:p>
    <w:p w14:paraId="2FBFC98F" w14:textId="77777777" w:rsidR="004E2F51" w:rsidRPr="00D14589" w:rsidRDefault="004E2F51" w:rsidP="004E2F51">
      <w:pPr>
        <w:autoSpaceDE w:val="0"/>
        <w:adjustRightInd w:val="0"/>
        <w:ind w:right="426"/>
        <w:jc w:val="both"/>
        <w:rPr>
          <w:rFonts w:ascii="Arial" w:hAnsi="Arial" w:cs="Arial"/>
          <w:color w:val="000000" w:themeColor="text1"/>
          <w:sz w:val="20"/>
          <w:szCs w:val="20"/>
          <w:lang w:val="hr-HR"/>
        </w:rPr>
      </w:pPr>
    </w:p>
    <w:p w14:paraId="6BA445E4" w14:textId="77777777" w:rsidR="004E2F51" w:rsidRPr="00D14589" w:rsidRDefault="004E2F51" w:rsidP="004E2F51">
      <w:pPr>
        <w:autoSpaceDE w:val="0"/>
        <w:adjustRightInd w:val="0"/>
        <w:ind w:right="-1"/>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Ovisno o vrsti instrumenta osiguranja, kreditnom programu, općim uvjetima osiguranja ili odluci nadležnog tijela, Banka je odredila potreban omjer plasmana i osiguranja. </w:t>
      </w:r>
    </w:p>
    <w:p w14:paraId="181A3EF5" w14:textId="77777777" w:rsidR="004E2F51" w:rsidRPr="00D14589" w:rsidRDefault="004E2F51" w:rsidP="004E2F51">
      <w:pPr>
        <w:keepNext/>
        <w:tabs>
          <w:tab w:val="left" w:pos="426"/>
        </w:tabs>
        <w:jc w:val="both"/>
        <w:rPr>
          <w:rFonts w:ascii="Arial" w:hAnsi="Arial" w:cs="Arial"/>
          <w:b/>
          <w:bCs/>
          <w:color w:val="000000" w:themeColor="text1"/>
          <w:sz w:val="20"/>
          <w:szCs w:val="20"/>
          <w:lang w:val="hr-HR" w:eastAsia="hr-HR"/>
        </w:rPr>
      </w:pPr>
    </w:p>
    <w:p w14:paraId="41EDEBAF" w14:textId="77777777" w:rsidR="004E2F51" w:rsidRPr="00D14589" w:rsidRDefault="004E2F51" w:rsidP="004E2F51">
      <w:pPr>
        <w:autoSpaceDE w:val="0"/>
        <w:adjustRightInd w:val="0"/>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Za nekretnine je potreban omjer iznosa plasmana i procijenjene prometne vrijednosti nekretnine 1:1,3, osim kod ulaganja na otocima, potpomognutim područjima gdje je taj omjer 1:1,2. Za pokretnine je potreban omjer iznosa plasmana i procijenjene prometne vrijednosti pokretnine 1:2. </w:t>
      </w:r>
      <w:r w:rsidRPr="00D14589">
        <w:rPr>
          <w:rFonts w:ascii="Arial" w:eastAsia="Arial" w:hAnsi="Arial" w:cs="Arial"/>
          <w:color w:val="000000" w:themeColor="text1"/>
          <w:sz w:val="20"/>
          <w:szCs w:val="20"/>
          <w:lang w:val="hr-HR"/>
        </w:rPr>
        <w:t xml:space="preserve">Za slučaj predlaganja nižeg omjera vrijednosti osiguranja od propisanog, obrazlažu se razlozi i opravdanosti odstupanja od propisanog. </w:t>
      </w:r>
      <w:r>
        <w:rPr>
          <w:rFonts w:ascii="Arial" w:eastAsia="Arial" w:hAnsi="Arial" w:cs="Arial"/>
          <w:color w:val="000000" w:themeColor="text1"/>
          <w:sz w:val="20"/>
          <w:szCs w:val="20"/>
          <w:lang w:val="hr-HR"/>
        </w:rPr>
        <w:t xml:space="preserve">Osiguranje za </w:t>
      </w:r>
      <w:r w:rsidRPr="00D14589">
        <w:rPr>
          <w:rFonts w:ascii="Arial" w:eastAsia="Arial" w:hAnsi="Arial" w:cs="Arial"/>
          <w:color w:val="000000" w:themeColor="text1"/>
          <w:sz w:val="20"/>
          <w:szCs w:val="20"/>
          <w:lang w:val="hr-HR"/>
        </w:rPr>
        <w:t>izravno kreditiranje likvidnosti poduzetnika putem COVID -19 kredita ili kredit</w:t>
      </w:r>
      <w:r>
        <w:rPr>
          <w:rFonts w:ascii="Arial" w:eastAsia="Arial" w:hAnsi="Arial" w:cs="Arial"/>
          <w:color w:val="000000" w:themeColor="text1"/>
          <w:sz w:val="20"/>
          <w:szCs w:val="20"/>
          <w:lang w:val="hr-HR"/>
        </w:rPr>
        <w:t>e</w:t>
      </w:r>
      <w:r w:rsidRPr="00D14589">
        <w:rPr>
          <w:rFonts w:ascii="Arial" w:eastAsia="Arial" w:hAnsi="Arial" w:cs="Arial"/>
          <w:color w:val="000000" w:themeColor="text1"/>
          <w:sz w:val="20"/>
          <w:szCs w:val="20"/>
          <w:lang w:val="hr-HR"/>
        </w:rPr>
        <w:t xml:space="preserve"> za potresom pogođena područja Sisačko-moslavačke županije </w:t>
      </w:r>
      <w:r>
        <w:rPr>
          <w:rFonts w:ascii="Arial" w:eastAsia="Arial" w:hAnsi="Arial" w:cs="Arial"/>
          <w:color w:val="000000" w:themeColor="text1"/>
          <w:sz w:val="20"/>
          <w:szCs w:val="20"/>
          <w:lang w:val="hr-HR"/>
        </w:rPr>
        <w:t>t</w:t>
      </w:r>
      <w:r w:rsidRPr="000276A1">
        <w:rPr>
          <w:rFonts w:ascii="Arial" w:eastAsia="Arial" w:hAnsi="Arial" w:cs="Arial"/>
          <w:color w:val="000000" w:themeColor="text1"/>
          <w:sz w:val="20"/>
          <w:szCs w:val="20"/>
          <w:lang w:val="hr-HR"/>
        </w:rPr>
        <w:t xml:space="preserve">e kredite za likvidnost po novoj mjeri OBS KRIZA 2022 </w:t>
      </w:r>
      <w:r w:rsidRPr="00D14589">
        <w:rPr>
          <w:rFonts w:ascii="Arial" w:eastAsia="Arial" w:hAnsi="Arial" w:cs="Arial"/>
          <w:color w:val="000000" w:themeColor="text1"/>
          <w:sz w:val="20"/>
          <w:szCs w:val="20"/>
          <w:lang w:val="hr-HR"/>
        </w:rPr>
        <w:t xml:space="preserve"> je omogućeno uz pokriće kredita instrumentima osiguranja najmanje 70%. </w:t>
      </w:r>
    </w:p>
    <w:p w14:paraId="5F7778A1" w14:textId="77777777" w:rsidR="004E2F51" w:rsidRPr="00D14589" w:rsidRDefault="004E2F51" w:rsidP="004E2F51">
      <w:pPr>
        <w:autoSpaceDE w:val="0"/>
        <w:adjustRightInd w:val="0"/>
        <w:jc w:val="both"/>
        <w:rPr>
          <w:rFonts w:ascii="Arial" w:hAnsi="Arial" w:cs="Arial"/>
          <w:color w:val="000000" w:themeColor="text1"/>
          <w:sz w:val="20"/>
          <w:szCs w:val="20"/>
          <w:lang w:val="hr-HR"/>
        </w:rPr>
      </w:pPr>
    </w:p>
    <w:p w14:paraId="055BB373" w14:textId="77777777" w:rsidR="004E2F51" w:rsidRPr="00D14589" w:rsidRDefault="004E2F51" w:rsidP="004E2F51">
      <w:pPr>
        <w:autoSpaceDE w:val="0"/>
        <w:adjustRightInd w:val="0"/>
        <w:ind w:right="-1"/>
        <w:jc w:val="both"/>
        <w:rPr>
          <w:rFonts w:ascii="Arial" w:eastAsia="Calibri" w:hAnsi="Arial" w:cs="Arial"/>
          <w:color w:val="000000" w:themeColor="text1"/>
          <w:sz w:val="20"/>
          <w:szCs w:val="20"/>
          <w:lang w:val="hr-HR"/>
        </w:rPr>
      </w:pPr>
      <w:r w:rsidRPr="00D14589">
        <w:rPr>
          <w:rFonts w:ascii="Arial" w:hAnsi="Arial" w:cs="Arial"/>
          <w:color w:val="000000" w:themeColor="text1"/>
          <w:sz w:val="20"/>
          <w:szCs w:val="20"/>
          <w:lang w:val="hr-HR"/>
        </w:rPr>
        <w:t>Banka kontinuirano prati vrijednost instrumenata osiguranja ponovnom procjenom ili potvrdom/verifikacijom vrijednosti. Praćenje vrijednosti založene nekretnine obavlja se za poslovne nekretnine jednom godišnje, a za stambene</w:t>
      </w:r>
      <w:r w:rsidRPr="00D14589">
        <w:rPr>
          <w:rFonts w:ascii="Arial" w:eastAsia="Calibri" w:hAnsi="Arial" w:cs="Arial"/>
          <w:color w:val="000000" w:themeColor="text1"/>
          <w:sz w:val="20"/>
          <w:szCs w:val="20"/>
          <w:lang w:val="hr-HR"/>
        </w:rPr>
        <w:t xml:space="preserve"> nekretnine svake tri godine. Banka ima formiranu posebnu organizacijsku jedinicu za:</w:t>
      </w:r>
    </w:p>
    <w:p w14:paraId="29FFF907" w14:textId="77777777" w:rsidR="004E2F51" w:rsidRPr="00D14589" w:rsidRDefault="004E2F51">
      <w:pPr>
        <w:numPr>
          <w:ilvl w:val="0"/>
          <w:numId w:val="32"/>
        </w:numPr>
        <w:tabs>
          <w:tab w:val="right" w:pos="9129"/>
        </w:tabs>
        <w:suppressAutoHyphens w:val="0"/>
        <w:autoSpaceDN/>
        <w:ind w:right="-1"/>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 xml:space="preserve">procjenu vrijednosti i verifikaciju već procijenjenih vrijednosti ponuđenih instrumenata osiguranja (nekretnine i pokretnine), </w:t>
      </w:r>
    </w:p>
    <w:p w14:paraId="5C014880" w14:textId="77777777" w:rsidR="004E2F51" w:rsidRPr="00D14589" w:rsidRDefault="004E2F51">
      <w:pPr>
        <w:numPr>
          <w:ilvl w:val="0"/>
          <w:numId w:val="32"/>
        </w:numPr>
        <w:tabs>
          <w:tab w:val="right" w:pos="9129"/>
        </w:tabs>
        <w:suppressAutoHyphens w:val="0"/>
        <w:autoSpaceDN/>
        <w:ind w:right="-1"/>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 xml:space="preserve">tehničko-tehnološku analizu investicijskih projekata kao i </w:t>
      </w:r>
    </w:p>
    <w:p w14:paraId="384730DD" w14:textId="77777777" w:rsidR="004E2F51" w:rsidRPr="00D14589" w:rsidRDefault="004E2F51">
      <w:pPr>
        <w:numPr>
          <w:ilvl w:val="0"/>
          <w:numId w:val="32"/>
        </w:numPr>
        <w:tabs>
          <w:tab w:val="right" w:pos="9129"/>
        </w:tabs>
        <w:suppressAutoHyphens w:val="0"/>
        <w:autoSpaceDN/>
        <w:ind w:right="-1"/>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financijski nadzor nad korištenjem sredstava kredita u svrhu izvedbe investicijskog projekta.</w:t>
      </w:r>
    </w:p>
    <w:p w14:paraId="1E2A6A60" w14:textId="77777777" w:rsidR="004E2F51" w:rsidRPr="00D14589" w:rsidRDefault="004E2F51" w:rsidP="004E2F51">
      <w:pPr>
        <w:autoSpaceDE w:val="0"/>
        <w:adjustRightInd w:val="0"/>
        <w:ind w:right="-1"/>
        <w:jc w:val="both"/>
        <w:rPr>
          <w:rFonts w:ascii="Arial" w:hAnsi="Arial" w:cs="Arial"/>
          <w:color w:val="000000" w:themeColor="text1"/>
          <w:sz w:val="20"/>
          <w:szCs w:val="20"/>
          <w:lang w:val="hr-HR"/>
        </w:rPr>
      </w:pPr>
    </w:p>
    <w:p w14:paraId="5C3FA16A" w14:textId="77777777" w:rsidR="004E2F51" w:rsidRPr="00D14589" w:rsidRDefault="004E2F51" w:rsidP="004E2F51">
      <w:pPr>
        <w:autoSpaceDE w:val="0"/>
        <w:adjustRightInd w:val="0"/>
        <w:ind w:right="-1"/>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U slučaju nemogućnosti naplate iz redovnog poslovanja Banka pokreće raspoložive instrumente osiguranja u svrhu naplate svojih potraživanja. To podrazumijeva pokretanje naplate iz obveznih instrumenata osiguranja zatim iz prvorazrednih bezuvjetnih na prvi poziv naplativih instrumenata, a zatim iz zaloga ili fiducije nad nekretninama ili pokretninama, uključujući i njihovo preuzimanje u vlasništvo Banke sa svrhom smanjenja ili naplate potraživanja. Preuzetu imovinu Banka ne koristi za svoje poslovne namjene.</w:t>
      </w:r>
    </w:p>
    <w:p w14:paraId="102056B9" w14:textId="77777777" w:rsidR="004E2F51" w:rsidRPr="00D14589" w:rsidRDefault="004E2F51" w:rsidP="004E2F51">
      <w:pPr>
        <w:autoSpaceDE w:val="0"/>
        <w:adjustRightInd w:val="0"/>
        <w:ind w:right="-1"/>
        <w:jc w:val="both"/>
        <w:rPr>
          <w:rFonts w:ascii="Arial" w:hAnsi="Arial" w:cs="Arial"/>
          <w:color w:val="000000" w:themeColor="text1"/>
          <w:sz w:val="20"/>
          <w:szCs w:val="20"/>
          <w:lang w:val="hr-HR"/>
        </w:rPr>
      </w:pPr>
    </w:p>
    <w:p w14:paraId="43ABAA4F" w14:textId="77777777" w:rsidR="004E2F51" w:rsidRPr="00D14589" w:rsidRDefault="004E2F51" w:rsidP="004E2F51">
      <w:pPr>
        <w:autoSpaceDE w:val="0"/>
        <w:adjustRightInd w:val="0"/>
        <w:ind w:right="-1"/>
        <w:jc w:val="both"/>
        <w:rPr>
          <w:rFonts w:ascii="Arial" w:hAnsi="Arial" w:cs="Arial"/>
          <w:color w:val="000000" w:themeColor="text1"/>
          <w:sz w:val="20"/>
          <w:szCs w:val="20"/>
          <w:lang w:val="hr-HR"/>
        </w:rPr>
      </w:pPr>
      <w:r w:rsidRPr="00D14589">
        <w:rPr>
          <w:rFonts w:ascii="Arial" w:hAnsi="Arial" w:cs="Arial"/>
          <w:color w:val="000000" w:themeColor="text1"/>
          <w:sz w:val="20"/>
          <w:szCs w:val="20"/>
          <w:lang w:val="hr-HR"/>
        </w:rPr>
        <w:t xml:space="preserve">Kod modela podjele rizika, osiguranje se provodi ovisno o modelu: </w:t>
      </w:r>
    </w:p>
    <w:p w14:paraId="2BB16DE5" w14:textId="77777777" w:rsidR="004E2F51" w:rsidRPr="00D14589" w:rsidRDefault="004E2F51">
      <w:pPr>
        <w:numPr>
          <w:ilvl w:val="0"/>
          <w:numId w:val="36"/>
        </w:numPr>
        <w:suppressAutoHyphens w:val="0"/>
        <w:autoSpaceDN/>
        <w:ind w:left="709" w:right="-1" w:hanging="349"/>
        <w:contextualSpacing/>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poslovna banka - sukladno vlastitim internim aktima i dobrim bankarskim praksama te se ne primjenjuju akti HBOR-a i njima propisani omjeri osiguranja,</w:t>
      </w:r>
    </w:p>
    <w:p w14:paraId="50D1B1D2" w14:textId="77777777" w:rsidR="004E2F51" w:rsidRPr="00D14589" w:rsidRDefault="004E2F51">
      <w:pPr>
        <w:numPr>
          <w:ilvl w:val="0"/>
          <w:numId w:val="36"/>
        </w:numPr>
        <w:suppressAutoHyphens w:val="0"/>
        <w:autoSpaceDE w:val="0"/>
        <w:adjustRightInd w:val="0"/>
        <w:ind w:left="709" w:right="-1" w:hanging="349"/>
        <w:contextualSpacing/>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ili poslovna banka i HBOR - svaka za svoj dio kredita provodi osiguranje sukladno vlastitim aktima odlukama i/ili procedurama,</w:t>
      </w:r>
    </w:p>
    <w:p w14:paraId="179FB802" w14:textId="77777777" w:rsidR="004E2F51" w:rsidRDefault="004E2F51">
      <w:pPr>
        <w:numPr>
          <w:ilvl w:val="0"/>
          <w:numId w:val="36"/>
        </w:numPr>
        <w:suppressAutoHyphens w:val="0"/>
        <w:autoSpaceDE w:val="0"/>
        <w:adjustRightInd w:val="0"/>
        <w:ind w:left="709" w:right="-1" w:hanging="349"/>
        <w:contextualSpacing/>
        <w:jc w:val="both"/>
        <w:rPr>
          <w:rFonts w:ascii="Arial" w:eastAsia="Calibri" w:hAnsi="Arial" w:cs="Arial"/>
          <w:color w:val="000000" w:themeColor="text1"/>
          <w:sz w:val="20"/>
          <w:szCs w:val="20"/>
          <w:lang w:val="hr-HR"/>
        </w:rPr>
      </w:pPr>
      <w:r w:rsidRPr="00D14589">
        <w:rPr>
          <w:rFonts w:ascii="Arial" w:eastAsia="Calibri" w:hAnsi="Arial" w:cs="Arial"/>
          <w:color w:val="000000" w:themeColor="text1"/>
          <w:sz w:val="20"/>
          <w:szCs w:val="20"/>
          <w:lang w:val="hr-HR"/>
        </w:rPr>
        <w:t>kod kredita za likvidnost poduzetnicima koji su snažno pogođeni krizom izazvanom pandemijom koronavirusa za osiguranje kredita su uzimani isti instrumenti koje je uzela banka, uz pokriće kredita instrumentima osiguranja najmanje 50%</w:t>
      </w:r>
      <w:r>
        <w:rPr>
          <w:rFonts w:ascii="Arial" w:eastAsia="Calibri" w:hAnsi="Arial" w:cs="Arial"/>
          <w:color w:val="000000" w:themeColor="text1"/>
          <w:sz w:val="20"/>
          <w:szCs w:val="20"/>
          <w:lang w:val="hr-HR"/>
        </w:rPr>
        <w:t>,</w:t>
      </w:r>
    </w:p>
    <w:p w14:paraId="6562DBB9" w14:textId="77777777" w:rsidR="004E2F51" w:rsidRPr="00FC79CD" w:rsidRDefault="004E2F51">
      <w:pPr>
        <w:pStyle w:val="ListParagraph"/>
        <w:numPr>
          <w:ilvl w:val="0"/>
          <w:numId w:val="36"/>
        </w:numPr>
        <w:suppressAutoHyphens w:val="0"/>
        <w:autoSpaceDN/>
        <w:jc w:val="both"/>
        <w:rPr>
          <w:rFonts w:ascii="Arial" w:eastAsia="Calibri" w:hAnsi="Arial" w:cs="Arial"/>
          <w:color w:val="000000" w:themeColor="text1"/>
          <w:sz w:val="20"/>
          <w:szCs w:val="20"/>
          <w:lang w:val="hr-HR"/>
        </w:rPr>
      </w:pPr>
      <w:r w:rsidRPr="00FC79CD">
        <w:rPr>
          <w:rFonts w:ascii="Arial" w:eastAsia="Calibri" w:hAnsi="Arial" w:cs="Arial"/>
          <w:color w:val="000000" w:themeColor="text1"/>
          <w:sz w:val="20"/>
          <w:szCs w:val="20"/>
          <w:lang w:val="hr-HR"/>
        </w:rPr>
        <w:t>a kod kredita za likvidnost poduzetnicima koji su pogođeni krizom izazvanom agresijom na Ukrajinu za osiguranje kredita su uzimani također isti instrumenti ali uz pokriće kredita instrumentima osiguranja najmanje 70%.</w:t>
      </w:r>
    </w:p>
    <w:p w14:paraId="1C942E7D" w14:textId="77777777" w:rsidR="004E2F51" w:rsidRPr="00D14589" w:rsidRDefault="004E2F51" w:rsidP="004E2F51">
      <w:pPr>
        <w:autoSpaceDE w:val="0"/>
        <w:adjustRightInd w:val="0"/>
        <w:ind w:right="-1"/>
        <w:contextualSpacing/>
        <w:jc w:val="both"/>
        <w:rPr>
          <w:rFonts w:ascii="Arial" w:eastAsia="Calibri" w:hAnsi="Arial" w:cs="Arial"/>
          <w:b/>
          <w:color w:val="000000" w:themeColor="text1"/>
          <w:sz w:val="20"/>
          <w:szCs w:val="20"/>
          <w:lang w:val="hr-HR"/>
        </w:rPr>
      </w:pPr>
    </w:p>
    <w:p w14:paraId="7BC8228F" w14:textId="77777777" w:rsidR="004E2F51" w:rsidRPr="00D14589" w:rsidRDefault="004E2F51" w:rsidP="004E2F51">
      <w:pPr>
        <w:autoSpaceDE w:val="0"/>
        <w:adjustRightInd w:val="0"/>
        <w:ind w:right="-1"/>
        <w:contextualSpacing/>
        <w:jc w:val="both"/>
        <w:rPr>
          <w:rFonts w:ascii="Arial" w:eastAsia="Calibri" w:hAnsi="Arial" w:cs="Arial"/>
          <w:b/>
          <w:color w:val="000000" w:themeColor="text1"/>
          <w:sz w:val="20"/>
          <w:szCs w:val="20"/>
          <w:lang w:val="hr-HR"/>
        </w:rPr>
      </w:pPr>
      <w:r w:rsidRPr="00D14589">
        <w:rPr>
          <w:rFonts w:ascii="Arial" w:eastAsia="Calibri" w:hAnsi="Arial" w:cs="Arial"/>
          <w:b/>
          <w:color w:val="000000" w:themeColor="text1"/>
          <w:sz w:val="20"/>
          <w:szCs w:val="20"/>
          <w:lang w:val="hr-HR"/>
        </w:rPr>
        <w:t>Otpisi</w:t>
      </w:r>
    </w:p>
    <w:p w14:paraId="47E2CE25" w14:textId="77777777" w:rsidR="004E2F51" w:rsidRPr="00D14589" w:rsidRDefault="004E2F51" w:rsidP="004E2F51">
      <w:pPr>
        <w:autoSpaceDE w:val="0"/>
        <w:ind w:right="-1"/>
        <w:rPr>
          <w:rFonts w:ascii="Arial" w:hAnsi="Arial" w:cs="Arial"/>
          <w:color w:val="000000" w:themeColor="text1"/>
          <w:sz w:val="20"/>
          <w:szCs w:val="20"/>
          <w:lang w:val="hr-HR"/>
        </w:rPr>
      </w:pPr>
      <w:r w:rsidRPr="00D14589">
        <w:rPr>
          <w:rFonts w:ascii="Arial" w:hAnsi="Arial" w:cs="Arial"/>
          <w:color w:val="000000" w:themeColor="text1"/>
          <w:sz w:val="20"/>
          <w:szCs w:val="20"/>
          <w:lang w:val="hr-HR"/>
        </w:rPr>
        <w:t>Otpis se provodi sukladno Metodologiji otpisa potraživanja.</w:t>
      </w:r>
    </w:p>
    <w:p w14:paraId="630B4791" w14:textId="77777777" w:rsidR="004E2F51" w:rsidRPr="00D14589" w:rsidRDefault="004E2F51" w:rsidP="004E2F51">
      <w:pPr>
        <w:autoSpaceDE w:val="0"/>
        <w:ind w:right="-1"/>
        <w:rPr>
          <w:rFonts w:ascii="Arial" w:hAnsi="Arial" w:cs="Arial"/>
          <w:color w:val="000000" w:themeColor="text1"/>
          <w:sz w:val="20"/>
          <w:szCs w:val="20"/>
          <w:lang w:val="hr-HR" w:eastAsia="hr-HR"/>
        </w:rPr>
      </w:pPr>
      <w:r w:rsidRPr="00D14589">
        <w:rPr>
          <w:rFonts w:ascii="Arial" w:hAnsi="Arial" w:cs="Arial"/>
          <w:color w:val="000000" w:themeColor="text1"/>
          <w:sz w:val="20"/>
          <w:szCs w:val="20"/>
          <w:lang w:val="hr-HR" w:eastAsia="hr-HR"/>
        </w:rPr>
        <w:t>Kriteriji razmatranja otpisa potraživanja mogu se grupirati u 3 osnovne skupine:</w:t>
      </w:r>
    </w:p>
    <w:p w14:paraId="42C5759E" w14:textId="77777777" w:rsidR="004E2F51" w:rsidRPr="00D14589" w:rsidRDefault="004E2F51" w:rsidP="004E2F51">
      <w:pPr>
        <w:autoSpaceDE w:val="0"/>
        <w:ind w:right="-1" w:firstLine="680"/>
        <w:rPr>
          <w:rFonts w:ascii="Arial" w:hAnsi="Arial" w:cs="Arial"/>
          <w:color w:val="000000" w:themeColor="text1"/>
          <w:sz w:val="20"/>
          <w:szCs w:val="20"/>
          <w:lang w:val="hr-HR" w:eastAsia="hr-HR"/>
        </w:rPr>
      </w:pPr>
      <w:r w:rsidRPr="00D14589">
        <w:rPr>
          <w:rFonts w:ascii="Arial" w:hAnsi="Arial" w:cs="Arial"/>
          <w:color w:val="000000" w:themeColor="text1"/>
          <w:sz w:val="20"/>
          <w:szCs w:val="20"/>
          <w:lang w:val="hr-HR" w:eastAsia="hr-HR"/>
        </w:rPr>
        <w:t>A. iscrpljenost svih raspoloživih oblika redovne i prisilne naplate;</w:t>
      </w:r>
    </w:p>
    <w:p w14:paraId="2C3E167A" w14:textId="77777777" w:rsidR="004E2F51" w:rsidRPr="00D14589" w:rsidRDefault="004E2F51" w:rsidP="004E2F51">
      <w:pPr>
        <w:autoSpaceDE w:val="0"/>
        <w:ind w:right="-1" w:firstLine="680"/>
        <w:rPr>
          <w:rFonts w:ascii="Arial" w:hAnsi="Arial" w:cs="Arial"/>
          <w:color w:val="000000" w:themeColor="text1"/>
          <w:sz w:val="20"/>
          <w:szCs w:val="20"/>
          <w:lang w:val="hr-HR" w:eastAsia="hr-HR"/>
        </w:rPr>
      </w:pPr>
      <w:r w:rsidRPr="00D14589">
        <w:rPr>
          <w:rFonts w:ascii="Arial" w:hAnsi="Arial" w:cs="Arial"/>
          <w:color w:val="000000" w:themeColor="text1"/>
          <w:sz w:val="20"/>
          <w:szCs w:val="20"/>
          <w:lang w:val="hr-HR" w:eastAsia="hr-HR"/>
        </w:rPr>
        <w:t>B. ostvarivanje nagodbe, prodaje potraživanja ili restrukturiranja plasmana;</w:t>
      </w:r>
    </w:p>
    <w:p w14:paraId="64F10542" w14:textId="77777777" w:rsidR="004E2F51" w:rsidRPr="00D14589" w:rsidRDefault="004E2F51" w:rsidP="004E2F51">
      <w:pPr>
        <w:ind w:right="-1" w:firstLine="680"/>
        <w:rPr>
          <w:rFonts w:ascii="Arial" w:hAnsi="Arial" w:cs="Arial"/>
          <w:color w:val="000000" w:themeColor="text1"/>
          <w:sz w:val="20"/>
          <w:szCs w:val="20"/>
          <w:lang w:val="hr-HR" w:eastAsia="hr-HR"/>
        </w:rPr>
      </w:pPr>
      <w:r w:rsidRPr="00D14589">
        <w:rPr>
          <w:rFonts w:ascii="Arial" w:hAnsi="Arial" w:cs="Arial"/>
          <w:color w:val="000000" w:themeColor="text1"/>
          <w:sz w:val="20"/>
          <w:szCs w:val="20"/>
          <w:lang w:val="hr-HR" w:eastAsia="hr-HR"/>
        </w:rPr>
        <w:t>C. teško socijalno i/ili zdravstveno stanje dužnika (i/ili sudužnika, jamca).</w:t>
      </w:r>
    </w:p>
    <w:p w14:paraId="0D63A4FF" w14:textId="77777777" w:rsidR="004E2F51" w:rsidRPr="00D14589" w:rsidRDefault="004E2F51" w:rsidP="004E2F51">
      <w:pPr>
        <w:autoSpaceDE w:val="0"/>
        <w:adjustRightInd w:val="0"/>
        <w:ind w:right="426"/>
        <w:jc w:val="both"/>
        <w:rPr>
          <w:rFonts w:ascii="Arial" w:hAnsi="Arial" w:cs="Arial"/>
          <w:color w:val="000000" w:themeColor="text1"/>
          <w:sz w:val="20"/>
          <w:szCs w:val="20"/>
          <w:lang w:val="hr-HR"/>
        </w:rPr>
      </w:pPr>
    </w:p>
    <w:bookmarkEnd w:id="1466"/>
    <w:p w14:paraId="42BD9351" w14:textId="77777777" w:rsidR="004E2F51" w:rsidRPr="00392683" w:rsidRDefault="004E2F51" w:rsidP="004E2F51">
      <w:pPr>
        <w:autoSpaceDE w:val="0"/>
        <w:adjustRightInd w:val="0"/>
        <w:ind w:right="426"/>
        <w:contextualSpacing/>
        <w:jc w:val="both"/>
        <w:rPr>
          <w:rFonts w:ascii="Arial" w:eastAsia="Calibri" w:hAnsi="Arial" w:cs="Arial"/>
          <w:color w:val="000000" w:themeColor="text1"/>
          <w:sz w:val="20"/>
          <w:szCs w:val="20"/>
          <w:lang w:val="hr-HR"/>
        </w:rPr>
        <w:sectPr w:rsidR="004E2F51" w:rsidRPr="00392683" w:rsidSect="00623DBA">
          <w:footerReference w:type="default" r:id="rId178"/>
          <w:pgSz w:w="11907" w:h="16840" w:code="9"/>
          <w:pgMar w:top="1418" w:right="1134" w:bottom="1134" w:left="1418" w:header="851" w:footer="851" w:gutter="0"/>
          <w:cols w:space="720"/>
          <w:noEndnote/>
        </w:sectPr>
      </w:pPr>
    </w:p>
    <w:p w14:paraId="7DC96B9B" w14:textId="77777777" w:rsidR="004E2F51" w:rsidRPr="00C651CA" w:rsidRDefault="004E2F51" w:rsidP="004E2F51">
      <w:pPr>
        <w:pStyle w:val="T1"/>
        <w:spacing w:before="0" w:after="0" w:line="240" w:lineRule="auto"/>
        <w:rPr>
          <w:rFonts w:cs="Arial"/>
          <w:color w:val="000000" w:themeColor="text1"/>
          <w:sz w:val="20"/>
          <w:lang w:val="hr-HR"/>
        </w:rPr>
      </w:pPr>
    </w:p>
    <w:p w14:paraId="333209B4" w14:textId="77777777" w:rsidR="004E2F51" w:rsidRPr="00C651CA" w:rsidRDefault="004E2F51" w:rsidP="004E2F51">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Pr>
          <w:rFonts w:cs="Arial"/>
          <w:color w:val="000000" w:themeColor="text1"/>
          <w:sz w:val="20"/>
          <w:lang w:val="hr-HR"/>
        </w:rPr>
        <w:t>1</w:t>
      </w:r>
      <w:r w:rsidRPr="00C651CA">
        <w:rPr>
          <w:rFonts w:cs="Arial"/>
          <w:color w:val="000000" w:themeColor="text1"/>
          <w:sz w:val="20"/>
          <w:lang w:val="hr-HR"/>
        </w:rPr>
        <w:t>.</w:t>
      </w:r>
      <w:r w:rsidRPr="00C651CA">
        <w:rPr>
          <w:rFonts w:cs="Arial"/>
          <w:color w:val="000000" w:themeColor="text1"/>
          <w:sz w:val="20"/>
          <w:lang w:val="hr-HR"/>
        </w:rPr>
        <w:tab/>
        <w:t>Upravljanje rizicima (nastavak)</w:t>
      </w:r>
    </w:p>
    <w:p w14:paraId="21AB038D" w14:textId="77777777" w:rsidR="004E2F51" w:rsidRPr="00C651CA" w:rsidRDefault="004E2F51" w:rsidP="004E2F51">
      <w:pPr>
        <w:pStyle w:val="T1"/>
        <w:spacing w:before="0" w:after="0" w:line="240" w:lineRule="auto"/>
        <w:rPr>
          <w:rFonts w:cs="Arial"/>
          <w:color w:val="000000" w:themeColor="text1"/>
          <w:sz w:val="20"/>
          <w:lang w:val="hr-HR"/>
        </w:rPr>
      </w:pPr>
    </w:p>
    <w:p w14:paraId="38B404CD" w14:textId="77777777" w:rsidR="004E2F51" w:rsidRPr="00C651CA" w:rsidRDefault="004E2F51" w:rsidP="004E2F51">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Pr>
          <w:rFonts w:cs="Arial"/>
          <w:color w:val="000000" w:themeColor="text1"/>
          <w:sz w:val="20"/>
          <w:lang w:val="hr-HR"/>
        </w:rPr>
        <w:t>1</w:t>
      </w:r>
      <w:r w:rsidRPr="00C651CA">
        <w:rPr>
          <w:rFonts w:cs="Arial"/>
          <w:color w:val="000000" w:themeColor="text1"/>
          <w:sz w:val="20"/>
          <w:lang w:val="hr-HR"/>
        </w:rPr>
        <w:t xml:space="preserve">.3. </w:t>
      </w:r>
      <w:r w:rsidRPr="00C651CA">
        <w:rPr>
          <w:rFonts w:cs="Arial"/>
          <w:color w:val="000000" w:themeColor="text1"/>
          <w:sz w:val="20"/>
          <w:lang w:val="hr-HR"/>
        </w:rPr>
        <w:tab/>
        <w:t>Kreditni rizik (nastavak)</w:t>
      </w:r>
    </w:p>
    <w:p w14:paraId="6D28F85F" w14:textId="77777777" w:rsidR="004E2F51" w:rsidRPr="00C651CA" w:rsidRDefault="004E2F51" w:rsidP="004E2F51">
      <w:pPr>
        <w:pStyle w:val="T1"/>
        <w:spacing w:before="0" w:after="0" w:line="240" w:lineRule="auto"/>
        <w:rPr>
          <w:rFonts w:cs="Arial"/>
          <w:color w:val="000000" w:themeColor="text1"/>
          <w:sz w:val="20"/>
          <w:lang w:val="hr-HR"/>
        </w:rPr>
      </w:pPr>
    </w:p>
    <w:p w14:paraId="57CD54CA" w14:textId="77777777" w:rsidR="004E2F51" w:rsidRPr="00C651CA" w:rsidRDefault="004E2F51" w:rsidP="004E2F51">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 izloženost kreditnom riziku</w:t>
      </w:r>
    </w:p>
    <w:p w14:paraId="7B3AA205" w14:textId="77777777" w:rsidR="004E2F51" w:rsidRPr="00C651CA" w:rsidRDefault="004E2F51" w:rsidP="004E2F51">
      <w:pPr>
        <w:pStyle w:val="accountingpolicytitle"/>
        <w:rPr>
          <w:rFonts w:cs="Arial"/>
          <w:b w:val="0"/>
          <w:color w:val="000000" w:themeColor="text1"/>
          <w:sz w:val="20"/>
          <w:lang w:val="hr-HR"/>
        </w:rPr>
      </w:pPr>
    </w:p>
    <w:p w14:paraId="13669573" w14:textId="77777777" w:rsidR="004E2F51" w:rsidRPr="00C651CA" w:rsidRDefault="004E2F51" w:rsidP="004E2F51">
      <w:pPr>
        <w:pStyle w:val="accountingpolicytitle"/>
        <w:rPr>
          <w:rFonts w:cs="Arial"/>
          <w:b w:val="0"/>
          <w:color w:val="000000" w:themeColor="text1"/>
          <w:sz w:val="20"/>
          <w:lang w:val="hr-HR"/>
        </w:rPr>
      </w:pPr>
      <w:r w:rsidRPr="00C651CA">
        <w:rPr>
          <w:rFonts w:cs="Arial"/>
          <w:b w:val="0"/>
          <w:color w:val="000000" w:themeColor="text1"/>
          <w:sz w:val="20"/>
          <w:lang w:val="hr-HR"/>
        </w:rPr>
        <w:t>Tabela u nastavku prikazuje neto najveću izloženost kreditnom riziku prema pozicijama izvještaja o financijskom položaju i garancija i preuzetih obveza na dan izvještavanja, bez umanjenja za vrijednost sredstava osiguranja naplate:</w:t>
      </w:r>
    </w:p>
    <w:p w14:paraId="61802B86" w14:textId="77777777" w:rsidR="004E2F51" w:rsidRDefault="004E2F51" w:rsidP="004E2F51">
      <w:pPr>
        <w:pStyle w:val="accountingpolicytitle"/>
        <w:rPr>
          <w:rFonts w:cs="Arial"/>
          <w:b w:val="0"/>
          <w:color w:val="000000" w:themeColor="text1"/>
          <w:sz w:val="20"/>
          <w:lang w:val="hr-HR"/>
        </w:rPr>
      </w:pPr>
    </w:p>
    <w:p w14:paraId="0D12B037" w14:textId="77777777" w:rsidR="004E2F51" w:rsidRPr="00C651CA" w:rsidRDefault="004E2F51" w:rsidP="004E2F51">
      <w:pPr>
        <w:pStyle w:val="accountingpolicytitle"/>
        <w:rPr>
          <w:rFonts w:cs="Arial"/>
          <w:b w:val="0"/>
          <w:color w:val="000000" w:themeColor="text1"/>
          <w:sz w:val="20"/>
          <w:lang w:val="hr-HR"/>
        </w:rPr>
      </w:pPr>
    </w:p>
    <w:tbl>
      <w:tblPr>
        <w:tblW w:w="4944" w:type="pct"/>
        <w:tblLayout w:type="fixed"/>
        <w:tblCellMar>
          <w:left w:w="0" w:type="dxa"/>
          <w:right w:w="57" w:type="dxa"/>
        </w:tblCellMar>
        <w:tblLook w:val="0000" w:firstRow="0" w:lastRow="0" w:firstColumn="0" w:lastColumn="0" w:noHBand="0" w:noVBand="0"/>
      </w:tblPr>
      <w:tblGrid>
        <w:gridCol w:w="3830"/>
        <w:gridCol w:w="1354"/>
        <w:gridCol w:w="1356"/>
        <w:gridCol w:w="1354"/>
        <w:gridCol w:w="1356"/>
      </w:tblGrid>
      <w:tr w:rsidR="004E2F51" w:rsidRPr="009C411C" w14:paraId="2B6FDF34" w14:textId="77777777" w:rsidTr="00E032FC">
        <w:trPr>
          <w:trHeight w:val="235"/>
        </w:trPr>
        <w:tc>
          <w:tcPr>
            <w:tcW w:w="2070" w:type="pct"/>
          </w:tcPr>
          <w:p w14:paraId="20FEDD1D" w14:textId="77777777" w:rsidR="004E2F51" w:rsidRPr="009C411C" w:rsidRDefault="004E2F51" w:rsidP="00E032FC">
            <w:pPr>
              <w:pStyle w:val="accountingpolicytitle"/>
              <w:spacing w:line="360" w:lineRule="auto"/>
              <w:rPr>
                <w:rFonts w:cs="Arial"/>
                <w:b w:val="0"/>
                <w:bCs/>
                <w:color w:val="000000" w:themeColor="text1"/>
                <w:sz w:val="18"/>
                <w:szCs w:val="18"/>
                <w:lang w:val="hr-HR"/>
              </w:rPr>
            </w:pPr>
          </w:p>
        </w:tc>
        <w:tc>
          <w:tcPr>
            <w:tcW w:w="1465" w:type="pct"/>
            <w:gridSpan w:val="2"/>
          </w:tcPr>
          <w:p w14:paraId="6C755EAD" w14:textId="77777777" w:rsidR="004E2F51" w:rsidRPr="009C411C" w:rsidRDefault="004E2F51" w:rsidP="00E032FC">
            <w:pPr>
              <w:pStyle w:val="accountingpolicytitle"/>
              <w:spacing w:line="360" w:lineRule="auto"/>
              <w:jc w:val="right"/>
              <w:rPr>
                <w:rFonts w:cs="Arial"/>
                <w:color w:val="000000" w:themeColor="text1"/>
                <w:sz w:val="18"/>
                <w:szCs w:val="18"/>
                <w:lang w:val="hr-HR"/>
              </w:rPr>
            </w:pPr>
            <w:r w:rsidRPr="009C411C">
              <w:rPr>
                <w:rFonts w:cs="Arial"/>
                <w:color w:val="000000" w:themeColor="text1"/>
                <w:sz w:val="18"/>
                <w:szCs w:val="18"/>
                <w:lang w:val="hr-HR"/>
              </w:rPr>
              <w:t>Grupa</w:t>
            </w:r>
          </w:p>
        </w:tc>
        <w:tc>
          <w:tcPr>
            <w:tcW w:w="1465" w:type="pct"/>
            <w:gridSpan w:val="2"/>
          </w:tcPr>
          <w:p w14:paraId="6DBDF514" w14:textId="77777777" w:rsidR="004E2F51" w:rsidRPr="009C411C" w:rsidRDefault="004E2F51" w:rsidP="00E032FC">
            <w:pPr>
              <w:pStyle w:val="accountingpolicytitle"/>
              <w:spacing w:line="360" w:lineRule="auto"/>
              <w:jc w:val="right"/>
              <w:rPr>
                <w:rFonts w:cs="Arial"/>
                <w:color w:val="000000" w:themeColor="text1"/>
                <w:sz w:val="18"/>
                <w:szCs w:val="18"/>
                <w:lang w:val="hr-HR"/>
              </w:rPr>
            </w:pPr>
            <w:r w:rsidRPr="009C411C">
              <w:rPr>
                <w:rFonts w:cs="Arial"/>
                <w:color w:val="000000" w:themeColor="text1"/>
                <w:sz w:val="18"/>
                <w:szCs w:val="18"/>
                <w:lang w:val="hr-HR"/>
              </w:rPr>
              <w:t>Banka</w:t>
            </w:r>
          </w:p>
        </w:tc>
      </w:tr>
      <w:tr w:rsidR="004E2F51" w:rsidRPr="009C411C" w14:paraId="4A322BA6" w14:textId="77777777" w:rsidTr="00E032FC">
        <w:trPr>
          <w:trHeight w:val="764"/>
        </w:trPr>
        <w:tc>
          <w:tcPr>
            <w:tcW w:w="2070" w:type="pct"/>
          </w:tcPr>
          <w:p w14:paraId="7DD286C2" w14:textId="77777777" w:rsidR="004E2F51" w:rsidRPr="009C411C" w:rsidRDefault="004E2F51" w:rsidP="00E032FC">
            <w:pPr>
              <w:rPr>
                <w:rFonts w:ascii="Arial" w:hAnsi="Arial" w:cs="Arial"/>
                <w:color w:val="000000" w:themeColor="text1"/>
                <w:sz w:val="18"/>
                <w:szCs w:val="18"/>
                <w:lang w:val="hr-HR"/>
              </w:rPr>
            </w:pPr>
            <w:r w:rsidRPr="009C411C">
              <w:rPr>
                <w:rFonts w:ascii="Arial" w:hAnsi="Arial" w:cs="Arial"/>
                <w:b/>
                <w:bCs/>
                <w:color w:val="000000" w:themeColor="text1"/>
                <w:sz w:val="18"/>
                <w:szCs w:val="18"/>
                <w:lang w:val="hr-HR"/>
              </w:rPr>
              <w:br w:type="page"/>
            </w:r>
          </w:p>
        </w:tc>
        <w:tc>
          <w:tcPr>
            <w:tcW w:w="732" w:type="pct"/>
            <w:vAlign w:val="center"/>
          </w:tcPr>
          <w:p w14:paraId="1088BB83" w14:textId="77777777" w:rsidR="004E2F51" w:rsidRPr="009C411C" w:rsidRDefault="004E2F51" w:rsidP="00E032FC">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Neto najveća izloženost</w:t>
            </w:r>
          </w:p>
          <w:p w14:paraId="688E4DF4" w14:textId="77777777" w:rsidR="004E2F51" w:rsidRPr="009C411C" w:rsidRDefault="004E2F51" w:rsidP="00E032FC">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prosinca 2022.</w:t>
            </w:r>
          </w:p>
        </w:tc>
        <w:tc>
          <w:tcPr>
            <w:tcW w:w="733" w:type="pct"/>
            <w:vAlign w:val="center"/>
          </w:tcPr>
          <w:p w14:paraId="365180C7" w14:textId="77777777" w:rsidR="004E2F51" w:rsidRPr="009C411C" w:rsidRDefault="004E2F51" w:rsidP="00E032FC">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Neto najveća izloženost</w:t>
            </w:r>
          </w:p>
          <w:p w14:paraId="6FC624C9" w14:textId="77777777" w:rsidR="004E2F51" w:rsidRPr="009C411C" w:rsidRDefault="004E2F51" w:rsidP="00E032FC">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prosinca 2021.</w:t>
            </w:r>
          </w:p>
        </w:tc>
        <w:tc>
          <w:tcPr>
            <w:tcW w:w="732" w:type="pct"/>
            <w:vAlign w:val="center"/>
          </w:tcPr>
          <w:p w14:paraId="1F7E32B3" w14:textId="77777777" w:rsidR="004E2F51" w:rsidRPr="009C411C" w:rsidRDefault="004E2F51" w:rsidP="00E032FC">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Neto najveća izloženost</w:t>
            </w:r>
          </w:p>
          <w:p w14:paraId="476BC449" w14:textId="77777777" w:rsidR="004E2F51" w:rsidRPr="009C411C" w:rsidRDefault="004E2F51" w:rsidP="00E032FC">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prosinca  2022.</w:t>
            </w:r>
          </w:p>
        </w:tc>
        <w:tc>
          <w:tcPr>
            <w:tcW w:w="733" w:type="pct"/>
            <w:vAlign w:val="center"/>
          </w:tcPr>
          <w:p w14:paraId="0C55F466" w14:textId="77777777" w:rsidR="004E2F51" w:rsidRPr="009C411C" w:rsidRDefault="004E2F51" w:rsidP="00E032FC">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Neto najveća izloženost</w:t>
            </w:r>
          </w:p>
          <w:p w14:paraId="588D924B" w14:textId="77777777" w:rsidR="004E2F51" w:rsidRPr="009C411C" w:rsidRDefault="004E2F51" w:rsidP="00E032FC">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31. prosinca 2021.</w:t>
            </w:r>
          </w:p>
        </w:tc>
      </w:tr>
      <w:tr w:rsidR="004E2F51" w:rsidRPr="009C411C" w14:paraId="66E6F59B" w14:textId="77777777" w:rsidTr="00E032FC">
        <w:tc>
          <w:tcPr>
            <w:tcW w:w="2070" w:type="pct"/>
          </w:tcPr>
          <w:p w14:paraId="01C1686F" w14:textId="77777777" w:rsidR="004E2F51" w:rsidRPr="009C411C" w:rsidRDefault="004E2F51" w:rsidP="00E032FC">
            <w:pPr>
              <w:rPr>
                <w:rFonts w:ascii="Arial" w:hAnsi="Arial" w:cs="Arial"/>
                <w:color w:val="000000" w:themeColor="text1"/>
                <w:sz w:val="18"/>
                <w:szCs w:val="18"/>
                <w:lang w:val="hr-HR"/>
              </w:rPr>
            </w:pPr>
          </w:p>
        </w:tc>
        <w:tc>
          <w:tcPr>
            <w:tcW w:w="732" w:type="pct"/>
          </w:tcPr>
          <w:p w14:paraId="73D017BA" w14:textId="77777777" w:rsidR="004E2F51" w:rsidRPr="009C411C" w:rsidRDefault="004E2F51" w:rsidP="00E032FC">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 kuna</w:t>
            </w:r>
          </w:p>
        </w:tc>
        <w:tc>
          <w:tcPr>
            <w:tcW w:w="733" w:type="pct"/>
          </w:tcPr>
          <w:p w14:paraId="112B3DA0" w14:textId="77777777" w:rsidR="004E2F51" w:rsidRPr="009C411C" w:rsidRDefault="004E2F51" w:rsidP="00E032FC">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 kuna</w:t>
            </w:r>
          </w:p>
        </w:tc>
        <w:tc>
          <w:tcPr>
            <w:tcW w:w="732" w:type="pct"/>
          </w:tcPr>
          <w:p w14:paraId="42E7E1B1" w14:textId="77777777" w:rsidR="004E2F51" w:rsidRPr="009C411C" w:rsidRDefault="004E2F51" w:rsidP="00E032FC">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 kuna</w:t>
            </w:r>
          </w:p>
        </w:tc>
        <w:tc>
          <w:tcPr>
            <w:tcW w:w="733" w:type="pct"/>
          </w:tcPr>
          <w:p w14:paraId="54CA107A" w14:textId="77777777" w:rsidR="004E2F51" w:rsidRPr="009C411C" w:rsidRDefault="004E2F51" w:rsidP="00E032FC">
            <w:pPr>
              <w:jc w:val="right"/>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 kuna</w:t>
            </w:r>
          </w:p>
        </w:tc>
      </w:tr>
      <w:tr w:rsidR="004E2F51" w:rsidRPr="009C411C" w14:paraId="52B65949" w14:textId="77777777" w:rsidTr="00E032FC">
        <w:tc>
          <w:tcPr>
            <w:tcW w:w="2070" w:type="pct"/>
          </w:tcPr>
          <w:p w14:paraId="45691A9E" w14:textId="77777777" w:rsidR="004E2F51" w:rsidRPr="009C411C" w:rsidRDefault="004E2F51" w:rsidP="00E032FC">
            <w:pPr>
              <w:pStyle w:val="TT"/>
              <w:rPr>
                <w:rFonts w:cs="Arial"/>
                <w:b/>
                <w:bCs/>
                <w:color w:val="000000" w:themeColor="text1"/>
                <w:sz w:val="18"/>
                <w:szCs w:val="18"/>
                <w:lang w:val="hr-HR"/>
              </w:rPr>
            </w:pPr>
            <w:bookmarkStart w:id="1478" w:name="_Toc67329182"/>
            <w:r w:rsidRPr="009C411C">
              <w:rPr>
                <w:rFonts w:cs="Arial"/>
                <w:b/>
                <w:bCs/>
                <w:color w:val="000000" w:themeColor="text1"/>
                <w:sz w:val="18"/>
                <w:szCs w:val="18"/>
                <w:lang w:val="hr-HR"/>
              </w:rPr>
              <w:t>Imovina</w:t>
            </w:r>
            <w:bookmarkEnd w:id="1478"/>
          </w:p>
        </w:tc>
        <w:tc>
          <w:tcPr>
            <w:tcW w:w="732" w:type="pct"/>
          </w:tcPr>
          <w:p w14:paraId="6C2EFB09" w14:textId="77777777" w:rsidR="004E2F51" w:rsidRPr="009C411C" w:rsidRDefault="004E2F51" w:rsidP="00E032FC">
            <w:pPr>
              <w:pStyle w:val="TT"/>
              <w:jc w:val="right"/>
              <w:rPr>
                <w:rFonts w:cs="Arial"/>
                <w:b/>
                <w:bCs/>
                <w:color w:val="000000" w:themeColor="text1"/>
                <w:sz w:val="18"/>
                <w:szCs w:val="18"/>
                <w:lang w:val="hr-HR"/>
              </w:rPr>
            </w:pPr>
          </w:p>
        </w:tc>
        <w:tc>
          <w:tcPr>
            <w:tcW w:w="733" w:type="pct"/>
          </w:tcPr>
          <w:p w14:paraId="616167BA" w14:textId="77777777" w:rsidR="004E2F51" w:rsidRPr="009C411C" w:rsidRDefault="004E2F51" w:rsidP="00E032FC">
            <w:pPr>
              <w:pStyle w:val="TT"/>
              <w:jc w:val="right"/>
              <w:rPr>
                <w:rFonts w:cs="Arial"/>
                <w:b/>
                <w:bCs/>
                <w:color w:val="000000" w:themeColor="text1"/>
                <w:sz w:val="18"/>
                <w:szCs w:val="18"/>
                <w:lang w:val="hr-HR"/>
              </w:rPr>
            </w:pPr>
          </w:p>
        </w:tc>
        <w:tc>
          <w:tcPr>
            <w:tcW w:w="732" w:type="pct"/>
          </w:tcPr>
          <w:p w14:paraId="70D5344B" w14:textId="77777777" w:rsidR="004E2F51" w:rsidRPr="009C411C" w:rsidRDefault="004E2F51" w:rsidP="00E032FC">
            <w:pPr>
              <w:pStyle w:val="TT"/>
              <w:jc w:val="right"/>
              <w:rPr>
                <w:rFonts w:cs="Arial"/>
                <w:b/>
                <w:bCs/>
                <w:color w:val="000000" w:themeColor="text1"/>
                <w:sz w:val="18"/>
                <w:szCs w:val="18"/>
                <w:lang w:val="hr-HR"/>
              </w:rPr>
            </w:pPr>
          </w:p>
        </w:tc>
        <w:tc>
          <w:tcPr>
            <w:tcW w:w="733" w:type="pct"/>
          </w:tcPr>
          <w:p w14:paraId="3E440666" w14:textId="77777777" w:rsidR="004E2F51" w:rsidRPr="009C411C" w:rsidRDefault="004E2F51" w:rsidP="00E032FC">
            <w:pPr>
              <w:pStyle w:val="TT"/>
              <w:jc w:val="right"/>
              <w:rPr>
                <w:rFonts w:cs="Arial"/>
                <w:b/>
                <w:bCs/>
                <w:color w:val="000000" w:themeColor="text1"/>
                <w:sz w:val="18"/>
                <w:szCs w:val="18"/>
                <w:lang w:val="hr-HR"/>
              </w:rPr>
            </w:pPr>
          </w:p>
        </w:tc>
      </w:tr>
      <w:tr w:rsidR="004E2F51" w:rsidRPr="009C411C" w14:paraId="3D68100F" w14:textId="77777777" w:rsidTr="00E032FC">
        <w:tc>
          <w:tcPr>
            <w:tcW w:w="2070" w:type="pct"/>
          </w:tcPr>
          <w:p w14:paraId="388C2461" w14:textId="77777777" w:rsidR="004E2F51" w:rsidRPr="009C411C" w:rsidRDefault="004E2F51" w:rsidP="00E032FC">
            <w:pPr>
              <w:pStyle w:val="TT"/>
              <w:rPr>
                <w:rFonts w:cs="Arial"/>
                <w:color w:val="000000" w:themeColor="text1"/>
                <w:sz w:val="18"/>
                <w:szCs w:val="18"/>
                <w:lang w:val="hr-HR"/>
              </w:rPr>
            </w:pPr>
            <w:bookmarkStart w:id="1479" w:name="_Toc67329183"/>
            <w:r w:rsidRPr="009C411C">
              <w:rPr>
                <w:rFonts w:cs="Arial"/>
                <w:color w:val="000000" w:themeColor="text1"/>
                <w:sz w:val="18"/>
                <w:szCs w:val="18"/>
                <w:lang w:val="hr-HR"/>
              </w:rPr>
              <w:t>Novčana sredstva i računi kod banaka</w:t>
            </w:r>
            <w:bookmarkEnd w:id="1479"/>
          </w:p>
        </w:tc>
        <w:tc>
          <w:tcPr>
            <w:tcW w:w="732" w:type="pct"/>
            <w:tcBorders>
              <w:top w:val="nil"/>
              <w:left w:val="nil"/>
              <w:bottom w:val="nil"/>
              <w:right w:val="nil"/>
            </w:tcBorders>
            <w:shd w:val="clear" w:color="auto" w:fill="auto"/>
            <w:vAlign w:val="bottom"/>
          </w:tcPr>
          <w:p w14:paraId="735C756D"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1.721.919</w:t>
            </w:r>
          </w:p>
        </w:tc>
        <w:tc>
          <w:tcPr>
            <w:tcW w:w="733" w:type="pct"/>
            <w:tcBorders>
              <w:top w:val="nil"/>
              <w:left w:val="nil"/>
              <w:bottom w:val="nil"/>
              <w:right w:val="nil"/>
            </w:tcBorders>
            <w:shd w:val="clear" w:color="auto" w:fill="auto"/>
            <w:vAlign w:val="bottom"/>
          </w:tcPr>
          <w:p w14:paraId="3D11CEC8"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1.961.985</w:t>
            </w:r>
          </w:p>
        </w:tc>
        <w:tc>
          <w:tcPr>
            <w:tcW w:w="732" w:type="pct"/>
            <w:tcBorders>
              <w:top w:val="nil"/>
              <w:left w:val="nil"/>
              <w:bottom w:val="nil"/>
              <w:right w:val="nil"/>
            </w:tcBorders>
            <w:shd w:val="clear" w:color="auto" w:fill="auto"/>
            <w:vAlign w:val="bottom"/>
          </w:tcPr>
          <w:p w14:paraId="6F36B5FB"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1.716.519</w:t>
            </w:r>
          </w:p>
        </w:tc>
        <w:tc>
          <w:tcPr>
            <w:tcW w:w="733" w:type="pct"/>
            <w:tcBorders>
              <w:top w:val="nil"/>
              <w:left w:val="nil"/>
              <w:bottom w:val="nil"/>
              <w:right w:val="nil"/>
            </w:tcBorders>
            <w:shd w:val="clear" w:color="auto" w:fill="auto"/>
            <w:vAlign w:val="bottom"/>
          </w:tcPr>
          <w:p w14:paraId="20F04A88" w14:textId="77777777" w:rsidR="004E2F51" w:rsidRPr="009C411C" w:rsidRDefault="004E2F51" w:rsidP="00E032FC">
            <w:pPr>
              <w:tabs>
                <w:tab w:val="right" w:pos="1202"/>
              </w:tabs>
              <w:spacing w:line="301" w:lineRule="exact"/>
              <w:jc w:val="right"/>
              <w:outlineLvl w:val="0"/>
              <w:rPr>
                <w:rFonts w:ascii="Arial" w:hAnsi="Arial" w:cs="Arial"/>
                <w:snapToGrid w:val="0"/>
                <w:color w:val="000000" w:themeColor="text1"/>
                <w:sz w:val="18"/>
                <w:szCs w:val="18"/>
                <w:lang w:val="hr-HR"/>
              </w:rPr>
            </w:pPr>
            <w:r w:rsidRPr="009C411C">
              <w:rPr>
                <w:rFonts w:ascii="Arial" w:hAnsi="Arial" w:cs="Arial"/>
                <w:color w:val="000000" w:themeColor="text1"/>
                <w:sz w:val="18"/>
                <w:szCs w:val="18"/>
                <w:lang w:val="hr-HR"/>
              </w:rPr>
              <w:t>1.958.619</w:t>
            </w:r>
          </w:p>
        </w:tc>
      </w:tr>
      <w:tr w:rsidR="004E2F51" w:rsidRPr="009C411C" w14:paraId="0A37F838" w14:textId="77777777" w:rsidTr="00E032FC">
        <w:tc>
          <w:tcPr>
            <w:tcW w:w="2070" w:type="pct"/>
          </w:tcPr>
          <w:p w14:paraId="5C3CE252" w14:textId="77777777" w:rsidR="004E2F51" w:rsidRPr="009C411C" w:rsidRDefault="004E2F51" w:rsidP="00E032FC">
            <w:pPr>
              <w:pStyle w:val="TT"/>
              <w:rPr>
                <w:rFonts w:cs="Arial"/>
                <w:color w:val="000000" w:themeColor="text1"/>
                <w:sz w:val="18"/>
                <w:szCs w:val="18"/>
                <w:lang w:val="hr-HR"/>
              </w:rPr>
            </w:pPr>
            <w:bookmarkStart w:id="1480" w:name="_Toc67329188"/>
            <w:r w:rsidRPr="009C411C">
              <w:rPr>
                <w:rFonts w:cs="Arial"/>
                <w:color w:val="000000" w:themeColor="text1"/>
                <w:sz w:val="18"/>
                <w:szCs w:val="18"/>
                <w:lang w:val="hr-HR"/>
              </w:rPr>
              <w:t>Depoziti kod drugih banaka</w:t>
            </w:r>
            <w:bookmarkEnd w:id="1480"/>
          </w:p>
        </w:tc>
        <w:tc>
          <w:tcPr>
            <w:tcW w:w="732" w:type="pct"/>
            <w:tcBorders>
              <w:top w:val="nil"/>
              <w:left w:val="nil"/>
              <w:bottom w:val="nil"/>
              <w:right w:val="nil"/>
            </w:tcBorders>
            <w:shd w:val="clear" w:color="auto" w:fill="auto"/>
            <w:vAlign w:val="bottom"/>
          </w:tcPr>
          <w:p w14:paraId="26C33995"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33.180</w:t>
            </w:r>
          </w:p>
        </w:tc>
        <w:tc>
          <w:tcPr>
            <w:tcW w:w="733" w:type="pct"/>
            <w:tcBorders>
              <w:top w:val="nil"/>
              <w:left w:val="nil"/>
              <w:bottom w:val="nil"/>
              <w:right w:val="nil"/>
            </w:tcBorders>
            <w:shd w:val="clear" w:color="auto" w:fill="auto"/>
            <w:vAlign w:val="bottom"/>
          </w:tcPr>
          <w:p w14:paraId="2A84E225"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7.500</w:t>
            </w:r>
          </w:p>
        </w:tc>
        <w:tc>
          <w:tcPr>
            <w:tcW w:w="732" w:type="pct"/>
            <w:tcBorders>
              <w:top w:val="nil"/>
              <w:left w:val="nil"/>
              <w:bottom w:val="nil"/>
              <w:right w:val="nil"/>
            </w:tcBorders>
            <w:shd w:val="clear" w:color="auto" w:fill="auto"/>
            <w:vAlign w:val="bottom"/>
          </w:tcPr>
          <w:p w14:paraId="46E47730"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10.596</w:t>
            </w:r>
          </w:p>
        </w:tc>
        <w:tc>
          <w:tcPr>
            <w:tcW w:w="733" w:type="pct"/>
            <w:tcBorders>
              <w:top w:val="nil"/>
              <w:left w:val="nil"/>
              <w:bottom w:val="nil"/>
              <w:right w:val="nil"/>
            </w:tcBorders>
            <w:shd w:val="clear" w:color="auto" w:fill="auto"/>
            <w:vAlign w:val="bottom"/>
          </w:tcPr>
          <w:p w14:paraId="45BD4CCC" w14:textId="77777777" w:rsidR="004E2F51" w:rsidRPr="009C411C" w:rsidRDefault="004E2F51" w:rsidP="00E032FC">
            <w:pPr>
              <w:tabs>
                <w:tab w:val="right" w:pos="1202"/>
              </w:tabs>
              <w:spacing w:line="301" w:lineRule="exact"/>
              <w:jc w:val="right"/>
              <w:outlineLvl w:val="0"/>
              <w:rPr>
                <w:rFonts w:ascii="Arial" w:hAnsi="Arial" w:cs="Arial"/>
                <w:snapToGrid w:val="0"/>
                <w:color w:val="000000" w:themeColor="text1"/>
                <w:sz w:val="18"/>
                <w:szCs w:val="18"/>
                <w:lang w:val="hr-HR"/>
              </w:rPr>
            </w:pPr>
            <w:r w:rsidRPr="009C411C">
              <w:rPr>
                <w:rFonts w:ascii="Arial" w:hAnsi="Arial" w:cs="Arial"/>
                <w:color w:val="000000" w:themeColor="text1"/>
                <w:sz w:val="18"/>
                <w:szCs w:val="18"/>
                <w:lang w:val="hr-HR"/>
              </w:rPr>
              <w:t>7.500</w:t>
            </w:r>
          </w:p>
        </w:tc>
      </w:tr>
      <w:tr w:rsidR="004E2F51" w:rsidRPr="009C411C" w14:paraId="5C877252" w14:textId="77777777" w:rsidTr="00E032FC">
        <w:tc>
          <w:tcPr>
            <w:tcW w:w="2070" w:type="pct"/>
          </w:tcPr>
          <w:p w14:paraId="203A221C" w14:textId="77777777" w:rsidR="004E2F51" w:rsidRPr="009C411C" w:rsidRDefault="004E2F51" w:rsidP="00E032FC">
            <w:pPr>
              <w:pStyle w:val="TT"/>
              <w:rPr>
                <w:rFonts w:cs="Arial"/>
                <w:color w:val="000000" w:themeColor="text1"/>
                <w:sz w:val="18"/>
                <w:szCs w:val="18"/>
                <w:lang w:val="hr-HR"/>
              </w:rPr>
            </w:pPr>
            <w:bookmarkStart w:id="1481" w:name="_Toc67329193"/>
            <w:r w:rsidRPr="009C411C">
              <w:rPr>
                <w:rFonts w:cs="Arial"/>
                <w:color w:val="000000" w:themeColor="text1"/>
                <w:sz w:val="18"/>
                <w:szCs w:val="18"/>
                <w:lang w:val="hr-HR"/>
              </w:rPr>
              <w:t>Krediti financijskim institucijama</w:t>
            </w:r>
            <w:bookmarkEnd w:id="1481"/>
          </w:p>
        </w:tc>
        <w:tc>
          <w:tcPr>
            <w:tcW w:w="732" w:type="pct"/>
            <w:tcBorders>
              <w:top w:val="nil"/>
              <w:left w:val="nil"/>
              <w:bottom w:val="nil"/>
              <w:right w:val="nil"/>
            </w:tcBorders>
            <w:shd w:val="clear" w:color="auto" w:fill="auto"/>
            <w:vAlign w:val="bottom"/>
          </w:tcPr>
          <w:p w14:paraId="713B54A0"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6.984.712</w:t>
            </w:r>
          </w:p>
        </w:tc>
        <w:tc>
          <w:tcPr>
            <w:tcW w:w="733" w:type="pct"/>
            <w:tcBorders>
              <w:top w:val="nil"/>
              <w:left w:val="nil"/>
              <w:bottom w:val="nil"/>
              <w:right w:val="nil"/>
            </w:tcBorders>
            <w:shd w:val="clear" w:color="auto" w:fill="auto"/>
            <w:vAlign w:val="bottom"/>
          </w:tcPr>
          <w:p w14:paraId="0C2A70C5"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7.050.143</w:t>
            </w:r>
          </w:p>
        </w:tc>
        <w:tc>
          <w:tcPr>
            <w:tcW w:w="732" w:type="pct"/>
            <w:tcBorders>
              <w:top w:val="nil"/>
              <w:left w:val="nil"/>
              <w:bottom w:val="nil"/>
              <w:right w:val="nil"/>
            </w:tcBorders>
            <w:shd w:val="clear" w:color="auto" w:fill="auto"/>
            <w:vAlign w:val="bottom"/>
          </w:tcPr>
          <w:p w14:paraId="5334E5BF"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6.984.712</w:t>
            </w:r>
          </w:p>
        </w:tc>
        <w:tc>
          <w:tcPr>
            <w:tcW w:w="733" w:type="pct"/>
            <w:tcBorders>
              <w:top w:val="nil"/>
              <w:left w:val="nil"/>
              <w:bottom w:val="nil"/>
              <w:right w:val="nil"/>
            </w:tcBorders>
            <w:shd w:val="clear" w:color="auto" w:fill="auto"/>
            <w:vAlign w:val="bottom"/>
          </w:tcPr>
          <w:p w14:paraId="2F5EA25C" w14:textId="77777777" w:rsidR="004E2F51" w:rsidRPr="009C411C" w:rsidRDefault="004E2F51" w:rsidP="00E032FC">
            <w:pPr>
              <w:tabs>
                <w:tab w:val="right" w:pos="1202"/>
              </w:tabs>
              <w:spacing w:line="301" w:lineRule="exact"/>
              <w:jc w:val="right"/>
              <w:outlineLvl w:val="0"/>
              <w:rPr>
                <w:rFonts w:ascii="Arial" w:hAnsi="Arial" w:cs="Arial"/>
                <w:snapToGrid w:val="0"/>
                <w:color w:val="000000" w:themeColor="text1"/>
                <w:sz w:val="18"/>
                <w:szCs w:val="18"/>
                <w:lang w:val="hr-HR"/>
              </w:rPr>
            </w:pPr>
            <w:r w:rsidRPr="009C411C">
              <w:rPr>
                <w:rFonts w:ascii="Arial" w:hAnsi="Arial" w:cs="Arial"/>
                <w:color w:val="000000" w:themeColor="text1"/>
                <w:sz w:val="18"/>
                <w:szCs w:val="18"/>
                <w:lang w:val="hr-HR"/>
              </w:rPr>
              <w:t>7.050.143</w:t>
            </w:r>
          </w:p>
        </w:tc>
      </w:tr>
      <w:tr w:rsidR="004E2F51" w:rsidRPr="009C411C" w14:paraId="10D0FD30" w14:textId="77777777" w:rsidTr="00E032FC">
        <w:tc>
          <w:tcPr>
            <w:tcW w:w="2070" w:type="pct"/>
          </w:tcPr>
          <w:p w14:paraId="533997E4" w14:textId="77777777" w:rsidR="004E2F51" w:rsidRPr="009C411C" w:rsidRDefault="004E2F51" w:rsidP="00E032FC">
            <w:pPr>
              <w:pStyle w:val="TT"/>
              <w:rPr>
                <w:rFonts w:cs="Arial"/>
                <w:color w:val="000000" w:themeColor="text1"/>
                <w:sz w:val="18"/>
                <w:szCs w:val="18"/>
                <w:lang w:val="hr-HR"/>
              </w:rPr>
            </w:pPr>
            <w:bookmarkStart w:id="1482" w:name="_Toc67329198"/>
            <w:r w:rsidRPr="009C411C">
              <w:rPr>
                <w:rFonts w:cs="Arial"/>
                <w:color w:val="000000" w:themeColor="text1"/>
                <w:sz w:val="18"/>
                <w:szCs w:val="18"/>
                <w:lang w:val="hr-HR"/>
              </w:rPr>
              <w:t>Krediti ostalim korisnicima</w:t>
            </w:r>
            <w:bookmarkEnd w:id="1482"/>
          </w:p>
        </w:tc>
        <w:tc>
          <w:tcPr>
            <w:tcW w:w="732" w:type="pct"/>
            <w:tcBorders>
              <w:top w:val="nil"/>
              <w:left w:val="nil"/>
              <w:bottom w:val="nil"/>
              <w:right w:val="nil"/>
            </w:tcBorders>
            <w:shd w:val="clear" w:color="auto" w:fill="auto"/>
            <w:vAlign w:val="bottom"/>
          </w:tcPr>
          <w:p w14:paraId="6384F971"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17.402.666</w:t>
            </w:r>
          </w:p>
        </w:tc>
        <w:tc>
          <w:tcPr>
            <w:tcW w:w="733" w:type="pct"/>
            <w:tcBorders>
              <w:top w:val="nil"/>
              <w:left w:val="nil"/>
              <w:bottom w:val="nil"/>
              <w:right w:val="nil"/>
            </w:tcBorders>
            <w:shd w:val="clear" w:color="auto" w:fill="auto"/>
            <w:vAlign w:val="bottom"/>
          </w:tcPr>
          <w:p w14:paraId="7F62484D"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15.964.376</w:t>
            </w:r>
          </w:p>
        </w:tc>
        <w:tc>
          <w:tcPr>
            <w:tcW w:w="732" w:type="pct"/>
            <w:tcBorders>
              <w:top w:val="nil"/>
              <w:left w:val="nil"/>
              <w:bottom w:val="nil"/>
              <w:right w:val="nil"/>
            </w:tcBorders>
            <w:shd w:val="clear" w:color="auto" w:fill="auto"/>
            <w:vAlign w:val="bottom"/>
          </w:tcPr>
          <w:p w14:paraId="787CB385"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17.402.666</w:t>
            </w:r>
          </w:p>
        </w:tc>
        <w:tc>
          <w:tcPr>
            <w:tcW w:w="733" w:type="pct"/>
            <w:tcBorders>
              <w:top w:val="nil"/>
              <w:left w:val="nil"/>
              <w:bottom w:val="nil"/>
              <w:right w:val="nil"/>
            </w:tcBorders>
            <w:shd w:val="clear" w:color="auto" w:fill="auto"/>
            <w:vAlign w:val="bottom"/>
          </w:tcPr>
          <w:p w14:paraId="62FFF7C4" w14:textId="77777777" w:rsidR="004E2F51" w:rsidRPr="009C411C" w:rsidRDefault="004E2F51" w:rsidP="00E032FC">
            <w:pPr>
              <w:tabs>
                <w:tab w:val="right" w:pos="1202"/>
              </w:tabs>
              <w:spacing w:line="301" w:lineRule="exact"/>
              <w:jc w:val="right"/>
              <w:outlineLvl w:val="0"/>
              <w:rPr>
                <w:rFonts w:ascii="Arial" w:hAnsi="Arial" w:cs="Arial"/>
                <w:color w:val="000000" w:themeColor="text1"/>
                <w:spacing w:val="-2"/>
                <w:sz w:val="18"/>
                <w:szCs w:val="18"/>
                <w:lang w:val="hr-HR"/>
              </w:rPr>
            </w:pPr>
            <w:r w:rsidRPr="009C411C">
              <w:rPr>
                <w:rFonts w:ascii="Arial" w:hAnsi="Arial" w:cs="Arial"/>
                <w:color w:val="000000" w:themeColor="text1"/>
                <w:sz w:val="18"/>
                <w:szCs w:val="18"/>
                <w:lang w:val="hr-HR"/>
              </w:rPr>
              <w:t>15.964.376</w:t>
            </w:r>
          </w:p>
        </w:tc>
      </w:tr>
      <w:tr w:rsidR="004E2F51" w:rsidRPr="009C411C" w14:paraId="4C1E602A" w14:textId="77777777" w:rsidTr="00E032FC">
        <w:tc>
          <w:tcPr>
            <w:tcW w:w="2070" w:type="pct"/>
          </w:tcPr>
          <w:p w14:paraId="3C8DCBE4" w14:textId="77777777" w:rsidR="004E2F51" w:rsidRPr="009C411C" w:rsidRDefault="004E2F51" w:rsidP="00E032FC">
            <w:pPr>
              <w:pStyle w:val="TT"/>
              <w:rPr>
                <w:rFonts w:cs="Arial"/>
                <w:color w:val="000000" w:themeColor="text1"/>
                <w:sz w:val="18"/>
                <w:szCs w:val="18"/>
                <w:lang w:val="hr-HR"/>
              </w:rPr>
            </w:pPr>
            <w:bookmarkStart w:id="1483" w:name="_Toc67329203"/>
            <w:r w:rsidRPr="009C411C">
              <w:rPr>
                <w:rFonts w:cs="Arial"/>
                <w:color w:val="000000" w:themeColor="text1"/>
                <w:sz w:val="18"/>
                <w:szCs w:val="18"/>
                <w:lang w:val="hr-HR"/>
              </w:rPr>
              <w:t>Financijska imovina po fer vrijednosti kroz dobit ili gubitak</w:t>
            </w:r>
            <w:bookmarkEnd w:id="1483"/>
            <w:r w:rsidRPr="009C411C">
              <w:rPr>
                <w:rFonts w:cs="Arial"/>
                <w:color w:val="000000" w:themeColor="text1"/>
                <w:sz w:val="18"/>
                <w:szCs w:val="18"/>
                <w:lang w:val="hr-HR"/>
              </w:rPr>
              <w:t xml:space="preserve">      </w:t>
            </w:r>
          </w:p>
        </w:tc>
        <w:tc>
          <w:tcPr>
            <w:tcW w:w="732" w:type="pct"/>
            <w:tcBorders>
              <w:top w:val="nil"/>
              <w:left w:val="nil"/>
              <w:bottom w:val="nil"/>
              <w:right w:val="nil"/>
            </w:tcBorders>
            <w:shd w:val="clear" w:color="auto" w:fill="auto"/>
            <w:vAlign w:val="bottom"/>
          </w:tcPr>
          <w:p w14:paraId="26D3BF2C"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23.87</w:t>
            </w:r>
            <w:r>
              <w:rPr>
                <w:rFonts w:ascii="Arial" w:hAnsi="Arial" w:cs="Arial"/>
                <w:color w:val="000000" w:themeColor="text1"/>
                <w:sz w:val="18"/>
                <w:szCs w:val="18"/>
                <w:lang w:val="hr-HR"/>
              </w:rPr>
              <w:t>0</w:t>
            </w:r>
          </w:p>
        </w:tc>
        <w:tc>
          <w:tcPr>
            <w:tcW w:w="733" w:type="pct"/>
            <w:tcBorders>
              <w:top w:val="nil"/>
              <w:left w:val="nil"/>
              <w:bottom w:val="nil"/>
              <w:right w:val="nil"/>
            </w:tcBorders>
            <w:shd w:val="clear" w:color="auto" w:fill="auto"/>
            <w:vAlign w:val="bottom"/>
          </w:tcPr>
          <w:p w14:paraId="2459D08E"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16.375</w:t>
            </w:r>
          </w:p>
        </w:tc>
        <w:tc>
          <w:tcPr>
            <w:tcW w:w="732" w:type="pct"/>
            <w:tcBorders>
              <w:top w:val="nil"/>
              <w:left w:val="nil"/>
              <w:bottom w:val="nil"/>
              <w:right w:val="nil"/>
            </w:tcBorders>
            <w:shd w:val="clear" w:color="auto" w:fill="auto"/>
            <w:vAlign w:val="bottom"/>
          </w:tcPr>
          <w:p w14:paraId="24A29BB3"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23.87</w:t>
            </w:r>
            <w:r>
              <w:rPr>
                <w:rFonts w:ascii="Arial" w:hAnsi="Arial" w:cs="Arial"/>
                <w:color w:val="000000" w:themeColor="text1"/>
                <w:sz w:val="18"/>
                <w:szCs w:val="18"/>
                <w:lang w:val="hr-HR"/>
              </w:rPr>
              <w:t>0</w:t>
            </w:r>
          </w:p>
        </w:tc>
        <w:tc>
          <w:tcPr>
            <w:tcW w:w="733" w:type="pct"/>
            <w:tcBorders>
              <w:top w:val="nil"/>
              <w:left w:val="nil"/>
              <w:bottom w:val="nil"/>
              <w:right w:val="nil"/>
            </w:tcBorders>
            <w:shd w:val="clear" w:color="auto" w:fill="auto"/>
            <w:vAlign w:val="bottom"/>
          </w:tcPr>
          <w:p w14:paraId="0D3BD9C7" w14:textId="77777777" w:rsidR="004E2F51" w:rsidRPr="009C411C" w:rsidRDefault="004E2F51" w:rsidP="00E032FC">
            <w:pPr>
              <w:tabs>
                <w:tab w:val="right" w:pos="1202"/>
              </w:tabs>
              <w:spacing w:line="301" w:lineRule="exact"/>
              <w:jc w:val="right"/>
              <w:outlineLvl w:val="0"/>
              <w:rPr>
                <w:rFonts w:ascii="Arial" w:hAnsi="Arial" w:cs="Arial"/>
                <w:color w:val="000000" w:themeColor="text1"/>
                <w:spacing w:val="-2"/>
                <w:sz w:val="18"/>
                <w:szCs w:val="18"/>
                <w:lang w:val="hr-HR"/>
              </w:rPr>
            </w:pPr>
            <w:r w:rsidRPr="009C411C">
              <w:rPr>
                <w:rFonts w:ascii="Arial" w:hAnsi="Arial" w:cs="Arial"/>
                <w:color w:val="000000" w:themeColor="text1"/>
                <w:sz w:val="18"/>
                <w:szCs w:val="18"/>
                <w:lang w:val="hr-HR"/>
              </w:rPr>
              <w:t>16.375</w:t>
            </w:r>
          </w:p>
        </w:tc>
      </w:tr>
      <w:tr w:rsidR="004E2F51" w:rsidRPr="009C411C" w14:paraId="06B9009C" w14:textId="77777777" w:rsidTr="00E032FC">
        <w:tc>
          <w:tcPr>
            <w:tcW w:w="2070" w:type="pct"/>
          </w:tcPr>
          <w:p w14:paraId="445BFFED" w14:textId="77777777" w:rsidR="004E2F51" w:rsidRPr="009C411C" w:rsidRDefault="004E2F51" w:rsidP="00E032FC">
            <w:pPr>
              <w:pStyle w:val="TT"/>
              <w:rPr>
                <w:rFonts w:cs="Arial"/>
                <w:color w:val="000000" w:themeColor="text1"/>
                <w:sz w:val="18"/>
                <w:szCs w:val="18"/>
                <w:lang w:val="hr-HR"/>
              </w:rPr>
            </w:pPr>
            <w:bookmarkStart w:id="1484" w:name="_Toc67329208"/>
            <w:r w:rsidRPr="009C411C">
              <w:rPr>
                <w:rFonts w:cs="Arial"/>
                <w:color w:val="000000" w:themeColor="text1"/>
                <w:sz w:val="18"/>
                <w:szCs w:val="18"/>
                <w:lang w:val="hr-HR"/>
              </w:rPr>
              <w:t>Financijska imovina po fer vrijednosti kroz ostalu sveobuhvatnu dobit</w:t>
            </w:r>
            <w:bookmarkEnd w:id="1484"/>
            <w:r w:rsidRPr="009C411C">
              <w:rPr>
                <w:rFonts w:cs="Arial"/>
                <w:color w:val="000000" w:themeColor="text1"/>
                <w:sz w:val="18"/>
                <w:szCs w:val="18"/>
                <w:lang w:val="hr-HR"/>
              </w:rPr>
              <w:t xml:space="preserve">        </w:t>
            </w:r>
          </w:p>
        </w:tc>
        <w:tc>
          <w:tcPr>
            <w:tcW w:w="732" w:type="pct"/>
            <w:tcBorders>
              <w:top w:val="nil"/>
              <w:left w:val="nil"/>
              <w:bottom w:val="nil"/>
              <w:right w:val="nil"/>
            </w:tcBorders>
            <w:shd w:val="clear" w:color="auto" w:fill="auto"/>
            <w:vAlign w:val="bottom"/>
          </w:tcPr>
          <w:p w14:paraId="18760AAE"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2.633.44</w:t>
            </w:r>
            <w:r>
              <w:rPr>
                <w:rFonts w:ascii="Arial" w:hAnsi="Arial" w:cs="Arial"/>
                <w:color w:val="000000" w:themeColor="text1"/>
                <w:sz w:val="18"/>
                <w:szCs w:val="18"/>
                <w:lang w:val="hr-HR"/>
              </w:rPr>
              <w:t>7</w:t>
            </w:r>
          </w:p>
        </w:tc>
        <w:tc>
          <w:tcPr>
            <w:tcW w:w="733" w:type="pct"/>
            <w:tcBorders>
              <w:top w:val="nil"/>
              <w:left w:val="nil"/>
              <w:bottom w:val="nil"/>
              <w:right w:val="nil"/>
            </w:tcBorders>
            <w:shd w:val="clear" w:color="auto" w:fill="auto"/>
            <w:vAlign w:val="bottom"/>
          </w:tcPr>
          <w:p w14:paraId="0384780D"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2.929.514</w:t>
            </w:r>
          </w:p>
        </w:tc>
        <w:tc>
          <w:tcPr>
            <w:tcW w:w="732" w:type="pct"/>
            <w:tcBorders>
              <w:top w:val="nil"/>
              <w:left w:val="nil"/>
              <w:bottom w:val="nil"/>
              <w:right w:val="nil"/>
            </w:tcBorders>
            <w:shd w:val="clear" w:color="auto" w:fill="auto"/>
            <w:vAlign w:val="bottom"/>
          </w:tcPr>
          <w:p w14:paraId="0BFE3F1A"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2.586.297</w:t>
            </w:r>
          </w:p>
        </w:tc>
        <w:tc>
          <w:tcPr>
            <w:tcW w:w="733" w:type="pct"/>
            <w:tcBorders>
              <w:top w:val="nil"/>
              <w:left w:val="nil"/>
              <w:bottom w:val="nil"/>
              <w:right w:val="nil"/>
            </w:tcBorders>
            <w:shd w:val="clear" w:color="auto" w:fill="auto"/>
            <w:vAlign w:val="bottom"/>
          </w:tcPr>
          <w:p w14:paraId="33C77AA6"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2.872.688</w:t>
            </w:r>
          </w:p>
        </w:tc>
      </w:tr>
      <w:tr w:rsidR="004E2F51" w:rsidRPr="009C411C" w14:paraId="2CF1AC82" w14:textId="77777777" w:rsidTr="00E032FC">
        <w:tc>
          <w:tcPr>
            <w:tcW w:w="2070" w:type="pct"/>
          </w:tcPr>
          <w:p w14:paraId="02590D09" w14:textId="77777777" w:rsidR="004E2F51" w:rsidRPr="009C411C" w:rsidRDefault="004E2F51" w:rsidP="00E032FC">
            <w:pPr>
              <w:pStyle w:val="TT"/>
              <w:rPr>
                <w:rFonts w:cs="Arial"/>
                <w:color w:val="000000" w:themeColor="text1"/>
                <w:sz w:val="18"/>
                <w:szCs w:val="18"/>
                <w:lang w:val="hr-HR"/>
              </w:rPr>
            </w:pPr>
            <w:bookmarkStart w:id="1485" w:name="_Toc67329218"/>
            <w:r w:rsidRPr="009C411C">
              <w:rPr>
                <w:rFonts w:cs="Arial"/>
                <w:color w:val="000000" w:themeColor="text1"/>
                <w:sz w:val="18"/>
                <w:szCs w:val="18"/>
                <w:lang w:val="hr-HR"/>
              </w:rPr>
              <w:t>Ostala imovina</w:t>
            </w:r>
            <w:bookmarkEnd w:id="1485"/>
          </w:p>
        </w:tc>
        <w:tc>
          <w:tcPr>
            <w:tcW w:w="732" w:type="pct"/>
            <w:tcBorders>
              <w:top w:val="nil"/>
              <w:left w:val="nil"/>
              <w:bottom w:val="single" w:sz="4" w:space="0" w:color="auto"/>
              <w:right w:val="nil"/>
            </w:tcBorders>
            <w:shd w:val="clear" w:color="auto" w:fill="auto"/>
            <w:vAlign w:val="bottom"/>
          </w:tcPr>
          <w:p w14:paraId="2D55B3C4"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9.71</w:t>
            </w:r>
            <w:r>
              <w:rPr>
                <w:rFonts w:ascii="Arial" w:hAnsi="Arial" w:cs="Arial"/>
                <w:color w:val="000000" w:themeColor="text1"/>
                <w:sz w:val="18"/>
                <w:szCs w:val="18"/>
                <w:lang w:val="hr-HR"/>
              </w:rPr>
              <w:t>8</w:t>
            </w:r>
          </w:p>
        </w:tc>
        <w:tc>
          <w:tcPr>
            <w:tcW w:w="733" w:type="pct"/>
            <w:tcBorders>
              <w:top w:val="nil"/>
              <w:left w:val="nil"/>
              <w:bottom w:val="single" w:sz="4" w:space="0" w:color="auto"/>
              <w:right w:val="nil"/>
            </w:tcBorders>
            <w:shd w:val="clear" w:color="auto" w:fill="auto"/>
            <w:vAlign w:val="bottom"/>
          </w:tcPr>
          <w:p w14:paraId="4BDE2119"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7.311</w:t>
            </w:r>
          </w:p>
        </w:tc>
        <w:tc>
          <w:tcPr>
            <w:tcW w:w="732" w:type="pct"/>
            <w:tcBorders>
              <w:top w:val="nil"/>
              <w:left w:val="nil"/>
              <w:bottom w:val="single" w:sz="4" w:space="0" w:color="auto"/>
              <w:right w:val="nil"/>
            </w:tcBorders>
            <w:shd w:val="clear" w:color="auto" w:fill="auto"/>
            <w:vAlign w:val="bottom"/>
          </w:tcPr>
          <w:p w14:paraId="23A8A416" w14:textId="77777777" w:rsidR="004E2F51" w:rsidRPr="0093619B"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3.74</w:t>
            </w:r>
            <w:r>
              <w:rPr>
                <w:rFonts w:ascii="Arial" w:hAnsi="Arial" w:cs="Arial"/>
                <w:color w:val="000000" w:themeColor="text1"/>
                <w:sz w:val="18"/>
                <w:szCs w:val="18"/>
                <w:lang w:val="hr-HR"/>
              </w:rPr>
              <w:t>5</w:t>
            </w:r>
          </w:p>
        </w:tc>
        <w:tc>
          <w:tcPr>
            <w:tcW w:w="733" w:type="pct"/>
            <w:tcBorders>
              <w:top w:val="nil"/>
              <w:left w:val="nil"/>
              <w:bottom w:val="single" w:sz="4" w:space="0" w:color="auto"/>
              <w:right w:val="nil"/>
            </w:tcBorders>
            <w:shd w:val="clear" w:color="auto" w:fill="auto"/>
            <w:vAlign w:val="bottom"/>
          </w:tcPr>
          <w:p w14:paraId="17AB97F7" w14:textId="77777777" w:rsidR="004E2F51" w:rsidRPr="009C411C" w:rsidRDefault="004E2F51" w:rsidP="00E032FC">
            <w:pPr>
              <w:tabs>
                <w:tab w:val="right" w:pos="1202"/>
              </w:tabs>
              <w:spacing w:line="301" w:lineRule="exact"/>
              <w:jc w:val="right"/>
              <w:outlineLvl w:val="0"/>
              <w:rPr>
                <w:rFonts w:ascii="Arial" w:hAnsi="Arial" w:cs="Arial"/>
                <w:snapToGrid w:val="0"/>
                <w:color w:val="000000" w:themeColor="text1"/>
                <w:sz w:val="18"/>
                <w:szCs w:val="18"/>
                <w:lang w:val="hr-HR"/>
              </w:rPr>
            </w:pPr>
            <w:r w:rsidRPr="009C411C">
              <w:rPr>
                <w:rFonts w:ascii="Arial" w:hAnsi="Arial" w:cs="Arial"/>
                <w:color w:val="000000" w:themeColor="text1"/>
                <w:sz w:val="18"/>
                <w:szCs w:val="18"/>
                <w:lang w:val="hr-HR"/>
              </w:rPr>
              <w:t>4.699</w:t>
            </w:r>
          </w:p>
        </w:tc>
      </w:tr>
      <w:tr w:rsidR="004E2F51" w:rsidRPr="009C411C" w14:paraId="49379574" w14:textId="77777777" w:rsidTr="00E032FC">
        <w:trPr>
          <w:trHeight w:val="327"/>
        </w:trPr>
        <w:tc>
          <w:tcPr>
            <w:tcW w:w="2070" w:type="pct"/>
            <w:vAlign w:val="bottom"/>
          </w:tcPr>
          <w:p w14:paraId="4E73BF88" w14:textId="77777777" w:rsidR="004E2F51" w:rsidRPr="009C411C" w:rsidRDefault="004E2F51" w:rsidP="00E032FC">
            <w:pPr>
              <w:pStyle w:val="Tot"/>
              <w:rPr>
                <w:rFonts w:cs="Arial"/>
                <w:b/>
                <w:bCs/>
                <w:color w:val="000000" w:themeColor="text1"/>
                <w:sz w:val="18"/>
                <w:szCs w:val="18"/>
                <w:lang w:val="hr-HR"/>
              </w:rPr>
            </w:pPr>
            <w:bookmarkStart w:id="1486" w:name="_Toc67329223"/>
            <w:r w:rsidRPr="009C411C">
              <w:rPr>
                <w:rFonts w:cs="Arial"/>
                <w:b/>
                <w:bCs/>
                <w:color w:val="000000" w:themeColor="text1"/>
                <w:sz w:val="18"/>
                <w:szCs w:val="18"/>
                <w:lang w:val="hr-HR"/>
              </w:rPr>
              <w:t>Ukupno</w:t>
            </w:r>
            <w:bookmarkEnd w:id="1486"/>
          </w:p>
        </w:tc>
        <w:tc>
          <w:tcPr>
            <w:tcW w:w="732" w:type="pct"/>
            <w:tcBorders>
              <w:top w:val="single" w:sz="4" w:space="0" w:color="auto"/>
              <w:bottom w:val="single" w:sz="12" w:space="0" w:color="auto"/>
            </w:tcBorders>
            <w:vAlign w:val="bottom"/>
          </w:tcPr>
          <w:p w14:paraId="4987A91C" w14:textId="77777777" w:rsidR="004E2F51" w:rsidRPr="009C411C" w:rsidRDefault="004E2F51" w:rsidP="00E032FC">
            <w:pPr>
              <w:pStyle w:val="Tot"/>
              <w:jc w:val="right"/>
              <w:rPr>
                <w:rFonts w:cs="Arial"/>
                <w:b/>
                <w:bCs/>
                <w:color w:val="000000" w:themeColor="text1"/>
                <w:sz w:val="18"/>
                <w:szCs w:val="18"/>
                <w:lang w:val="hr-HR"/>
              </w:rPr>
            </w:pPr>
            <w:r w:rsidRPr="0093619B">
              <w:rPr>
                <w:rFonts w:cs="Arial"/>
                <w:b/>
                <w:bCs/>
                <w:color w:val="000000" w:themeColor="text1"/>
                <w:sz w:val="18"/>
                <w:szCs w:val="18"/>
                <w:lang w:val="hr-HR"/>
              </w:rPr>
              <w:t>28.809.512</w:t>
            </w:r>
          </w:p>
        </w:tc>
        <w:tc>
          <w:tcPr>
            <w:tcW w:w="733" w:type="pct"/>
            <w:tcBorders>
              <w:top w:val="single" w:sz="4" w:space="0" w:color="auto"/>
              <w:bottom w:val="single" w:sz="12" w:space="0" w:color="auto"/>
            </w:tcBorders>
            <w:vAlign w:val="bottom"/>
          </w:tcPr>
          <w:p w14:paraId="746F75CE" w14:textId="77777777" w:rsidR="004E2F51" w:rsidRPr="009C411C" w:rsidRDefault="004E2F51" w:rsidP="00E032FC">
            <w:pPr>
              <w:pStyle w:val="Tot"/>
              <w:jc w:val="right"/>
              <w:rPr>
                <w:rFonts w:cs="Arial"/>
                <w:b/>
                <w:bCs/>
                <w:color w:val="000000" w:themeColor="text1"/>
                <w:sz w:val="18"/>
                <w:szCs w:val="18"/>
                <w:lang w:val="hr-HR"/>
              </w:rPr>
            </w:pPr>
            <w:r w:rsidRPr="009C411C">
              <w:rPr>
                <w:rFonts w:cs="Arial"/>
                <w:b/>
                <w:bCs/>
                <w:color w:val="000000" w:themeColor="text1"/>
                <w:sz w:val="18"/>
                <w:szCs w:val="18"/>
                <w:lang w:val="hr-HR"/>
              </w:rPr>
              <w:t>27.937.204</w:t>
            </w:r>
          </w:p>
        </w:tc>
        <w:tc>
          <w:tcPr>
            <w:tcW w:w="732" w:type="pct"/>
            <w:tcBorders>
              <w:top w:val="single" w:sz="4" w:space="0" w:color="auto"/>
              <w:bottom w:val="single" w:sz="12" w:space="0" w:color="auto"/>
            </w:tcBorders>
            <w:vAlign w:val="bottom"/>
          </w:tcPr>
          <w:p w14:paraId="7307497B" w14:textId="77777777" w:rsidR="004E2F51" w:rsidRPr="009C411C" w:rsidRDefault="004E2F51" w:rsidP="00E032FC">
            <w:pPr>
              <w:pStyle w:val="Tot"/>
              <w:jc w:val="right"/>
              <w:rPr>
                <w:rFonts w:cs="Arial"/>
                <w:b/>
                <w:bCs/>
                <w:color w:val="000000" w:themeColor="text1"/>
                <w:sz w:val="18"/>
                <w:szCs w:val="18"/>
                <w:lang w:val="hr-HR"/>
              </w:rPr>
            </w:pPr>
            <w:r w:rsidRPr="0093619B">
              <w:rPr>
                <w:rFonts w:cs="Arial"/>
                <w:b/>
                <w:bCs/>
                <w:color w:val="000000" w:themeColor="text1"/>
                <w:sz w:val="18"/>
                <w:szCs w:val="18"/>
                <w:lang w:val="hr-HR"/>
              </w:rPr>
              <w:t>28.728.405</w:t>
            </w:r>
          </w:p>
        </w:tc>
        <w:tc>
          <w:tcPr>
            <w:tcW w:w="733" w:type="pct"/>
            <w:tcBorders>
              <w:top w:val="single" w:sz="4" w:space="0" w:color="auto"/>
              <w:bottom w:val="single" w:sz="12" w:space="0" w:color="auto"/>
            </w:tcBorders>
            <w:vAlign w:val="bottom"/>
          </w:tcPr>
          <w:p w14:paraId="799AF861" w14:textId="77777777" w:rsidR="004E2F51" w:rsidRPr="009C411C" w:rsidRDefault="004E2F51" w:rsidP="00E032FC">
            <w:pPr>
              <w:pStyle w:val="Tot"/>
              <w:jc w:val="right"/>
              <w:rPr>
                <w:rFonts w:cs="Arial"/>
                <w:b/>
                <w:bCs/>
                <w:color w:val="000000" w:themeColor="text1"/>
                <w:sz w:val="18"/>
                <w:szCs w:val="18"/>
                <w:lang w:val="hr-HR"/>
              </w:rPr>
            </w:pPr>
            <w:r w:rsidRPr="009C411C">
              <w:rPr>
                <w:rFonts w:cs="Arial"/>
                <w:b/>
                <w:bCs/>
                <w:color w:val="000000" w:themeColor="text1"/>
                <w:sz w:val="18"/>
                <w:szCs w:val="18"/>
                <w:lang w:val="hr-HR"/>
              </w:rPr>
              <w:t>27.874.400</w:t>
            </w:r>
          </w:p>
        </w:tc>
      </w:tr>
      <w:tr w:rsidR="004E2F51" w:rsidRPr="009C411C" w14:paraId="532F269F" w14:textId="77777777" w:rsidTr="00E032FC">
        <w:tc>
          <w:tcPr>
            <w:tcW w:w="2070" w:type="pct"/>
          </w:tcPr>
          <w:p w14:paraId="746D527D" w14:textId="77777777" w:rsidR="004E2F51" w:rsidRPr="009C411C" w:rsidRDefault="004E2F51" w:rsidP="00E032FC">
            <w:pPr>
              <w:pStyle w:val="TT"/>
              <w:rPr>
                <w:rFonts w:cs="Arial"/>
                <w:b/>
                <w:bCs/>
                <w:color w:val="000000" w:themeColor="text1"/>
                <w:sz w:val="18"/>
                <w:szCs w:val="18"/>
                <w:lang w:val="hr-HR"/>
              </w:rPr>
            </w:pPr>
            <w:bookmarkStart w:id="1487" w:name="_Toc67329228"/>
            <w:r w:rsidRPr="009C411C">
              <w:rPr>
                <w:rFonts w:cs="Arial"/>
                <w:b/>
                <w:bCs/>
                <w:color w:val="000000" w:themeColor="text1"/>
                <w:sz w:val="18"/>
                <w:szCs w:val="18"/>
                <w:lang w:val="hr-HR"/>
              </w:rPr>
              <w:t>Garancije i preuzete obveze</w:t>
            </w:r>
            <w:bookmarkEnd w:id="1487"/>
          </w:p>
        </w:tc>
        <w:tc>
          <w:tcPr>
            <w:tcW w:w="732" w:type="pct"/>
            <w:tcBorders>
              <w:top w:val="single" w:sz="12" w:space="0" w:color="auto"/>
            </w:tcBorders>
            <w:vAlign w:val="bottom"/>
          </w:tcPr>
          <w:p w14:paraId="21026CF7" w14:textId="77777777" w:rsidR="004E2F51" w:rsidRPr="009C411C" w:rsidRDefault="004E2F51" w:rsidP="00E032FC">
            <w:pPr>
              <w:pStyle w:val="TT"/>
              <w:jc w:val="right"/>
              <w:rPr>
                <w:rFonts w:cs="Arial"/>
                <w:b/>
                <w:bCs/>
                <w:color w:val="000000" w:themeColor="text1"/>
                <w:sz w:val="18"/>
                <w:szCs w:val="18"/>
                <w:lang w:val="hr-HR"/>
              </w:rPr>
            </w:pPr>
          </w:p>
        </w:tc>
        <w:tc>
          <w:tcPr>
            <w:tcW w:w="733" w:type="pct"/>
            <w:tcBorders>
              <w:top w:val="single" w:sz="12" w:space="0" w:color="auto"/>
            </w:tcBorders>
            <w:vAlign w:val="bottom"/>
          </w:tcPr>
          <w:p w14:paraId="751AF467" w14:textId="77777777" w:rsidR="004E2F51" w:rsidRPr="009C411C" w:rsidRDefault="004E2F51" w:rsidP="00E032FC">
            <w:pPr>
              <w:pStyle w:val="TT"/>
              <w:jc w:val="right"/>
              <w:rPr>
                <w:rFonts w:cs="Arial"/>
                <w:b/>
                <w:bCs/>
                <w:color w:val="000000" w:themeColor="text1"/>
                <w:sz w:val="18"/>
                <w:szCs w:val="18"/>
                <w:lang w:val="hr-HR"/>
              </w:rPr>
            </w:pPr>
          </w:p>
        </w:tc>
        <w:tc>
          <w:tcPr>
            <w:tcW w:w="732" w:type="pct"/>
            <w:tcBorders>
              <w:top w:val="single" w:sz="12" w:space="0" w:color="auto"/>
            </w:tcBorders>
            <w:vAlign w:val="bottom"/>
          </w:tcPr>
          <w:p w14:paraId="261F07DC" w14:textId="77777777" w:rsidR="004E2F51" w:rsidRPr="009C411C" w:rsidRDefault="004E2F51" w:rsidP="00E032FC">
            <w:pPr>
              <w:pStyle w:val="TT"/>
              <w:jc w:val="right"/>
              <w:rPr>
                <w:rFonts w:cs="Arial"/>
                <w:b/>
                <w:bCs/>
                <w:color w:val="000000" w:themeColor="text1"/>
                <w:sz w:val="18"/>
                <w:szCs w:val="18"/>
                <w:lang w:val="hr-HR"/>
              </w:rPr>
            </w:pPr>
          </w:p>
        </w:tc>
        <w:tc>
          <w:tcPr>
            <w:tcW w:w="733" w:type="pct"/>
            <w:tcBorders>
              <w:top w:val="single" w:sz="12" w:space="0" w:color="auto"/>
            </w:tcBorders>
            <w:vAlign w:val="bottom"/>
          </w:tcPr>
          <w:p w14:paraId="0F7D40E4" w14:textId="77777777" w:rsidR="004E2F51" w:rsidRPr="009C411C" w:rsidRDefault="004E2F51" w:rsidP="00E032FC">
            <w:pPr>
              <w:pStyle w:val="TT"/>
              <w:jc w:val="right"/>
              <w:rPr>
                <w:rFonts w:cs="Arial"/>
                <w:b/>
                <w:bCs/>
                <w:color w:val="000000" w:themeColor="text1"/>
                <w:sz w:val="18"/>
                <w:szCs w:val="18"/>
                <w:lang w:val="hr-HR"/>
              </w:rPr>
            </w:pPr>
          </w:p>
        </w:tc>
      </w:tr>
      <w:tr w:rsidR="004E2F51" w:rsidRPr="009C411C" w14:paraId="5891AF02" w14:textId="77777777" w:rsidTr="00E032FC">
        <w:tc>
          <w:tcPr>
            <w:tcW w:w="2070" w:type="pct"/>
          </w:tcPr>
          <w:p w14:paraId="52E979A7" w14:textId="77777777" w:rsidR="004E2F51" w:rsidRPr="009C411C" w:rsidRDefault="004E2F51" w:rsidP="00E032FC">
            <w:pPr>
              <w:pStyle w:val="TT"/>
              <w:rPr>
                <w:rFonts w:cs="Arial"/>
                <w:b/>
                <w:bCs/>
                <w:color w:val="000000" w:themeColor="text1"/>
                <w:sz w:val="18"/>
                <w:szCs w:val="18"/>
                <w:lang w:val="hr-HR"/>
              </w:rPr>
            </w:pPr>
            <w:bookmarkStart w:id="1488" w:name="_Toc67329229"/>
            <w:r w:rsidRPr="009C411C">
              <w:rPr>
                <w:rFonts w:cs="Arial"/>
                <w:color w:val="000000" w:themeColor="text1"/>
                <w:sz w:val="18"/>
                <w:szCs w:val="18"/>
                <w:lang w:val="hr-HR"/>
              </w:rPr>
              <w:t>Izdane garancije u kunama</w:t>
            </w:r>
            <w:bookmarkEnd w:id="1488"/>
          </w:p>
        </w:tc>
        <w:tc>
          <w:tcPr>
            <w:tcW w:w="732" w:type="pct"/>
            <w:tcBorders>
              <w:top w:val="nil"/>
              <w:left w:val="nil"/>
              <w:bottom w:val="nil"/>
              <w:right w:val="nil"/>
            </w:tcBorders>
            <w:shd w:val="clear" w:color="auto" w:fill="auto"/>
            <w:vAlign w:val="bottom"/>
          </w:tcPr>
          <w:p w14:paraId="61ECD7FA" w14:textId="77777777" w:rsidR="004E2F51" w:rsidRPr="009C411C" w:rsidRDefault="004E2F51" w:rsidP="00E032FC">
            <w:pPr>
              <w:pStyle w:val="TT"/>
              <w:jc w:val="right"/>
              <w:rPr>
                <w:rFonts w:cs="Arial"/>
                <w:color w:val="000000" w:themeColor="text1"/>
                <w:sz w:val="18"/>
                <w:szCs w:val="18"/>
                <w:lang w:val="hr-HR"/>
              </w:rPr>
            </w:pPr>
            <w:r w:rsidRPr="00407705">
              <w:t>86.470</w:t>
            </w:r>
          </w:p>
        </w:tc>
        <w:tc>
          <w:tcPr>
            <w:tcW w:w="733" w:type="pct"/>
            <w:tcBorders>
              <w:top w:val="nil"/>
              <w:left w:val="nil"/>
              <w:bottom w:val="nil"/>
              <w:right w:val="nil"/>
            </w:tcBorders>
            <w:shd w:val="clear" w:color="auto" w:fill="auto"/>
            <w:vAlign w:val="bottom"/>
          </w:tcPr>
          <w:p w14:paraId="562689A1" w14:textId="77777777" w:rsidR="004E2F51" w:rsidRPr="009C411C" w:rsidRDefault="004E2F51" w:rsidP="00E032FC">
            <w:pPr>
              <w:pStyle w:val="TT"/>
              <w:jc w:val="right"/>
              <w:rPr>
                <w:rFonts w:cs="Arial"/>
                <w:bCs/>
                <w:color w:val="000000" w:themeColor="text1"/>
                <w:sz w:val="18"/>
                <w:szCs w:val="18"/>
                <w:lang w:val="hr-HR"/>
              </w:rPr>
            </w:pPr>
            <w:r w:rsidRPr="009C411C">
              <w:rPr>
                <w:rFonts w:cs="Arial"/>
                <w:color w:val="000000" w:themeColor="text1"/>
                <w:sz w:val="18"/>
                <w:szCs w:val="18"/>
                <w:lang w:val="hr-HR"/>
              </w:rPr>
              <w:t>140.113</w:t>
            </w:r>
          </w:p>
        </w:tc>
        <w:tc>
          <w:tcPr>
            <w:tcW w:w="732" w:type="pct"/>
            <w:tcBorders>
              <w:top w:val="nil"/>
              <w:left w:val="nil"/>
              <w:bottom w:val="nil"/>
              <w:right w:val="nil"/>
            </w:tcBorders>
            <w:shd w:val="clear" w:color="auto" w:fill="auto"/>
            <w:vAlign w:val="bottom"/>
          </w:tcPr>
          <w:p w14:paraId="1F7AD057" w14:textId="77777777" w:rsidR="004E2F51" w:rsidRPr="009C411C" w:rsidRDefault="004E2F51" w:rsidP="00E032FC">
            <w:pPr>
              <w:pStyle w:val="TT"/>
              <w:jc w:val="right"/>
              <w:rPr>
                <w:rFonts w:cs="Arial"/>
                <w:color w:val="000000" w:themeColor="text1"/>
                <w:sz w:val="18"/>
                <w:szCs w:val="18"/>
                <w:lang w:val="hr-HR"/>
              </w:rPr>
            </w:pPr>
            <w:r w:rsidRPr="0078265B">
              <w:t>86.470</w:t>
            </w:r>
          </w:p>
        </w:tc>
        <w:tc>
          <w:tcPr>
            <w:tcW w:w="733" w:type="pct"/>
            <w:tcBorders>
              <w:top w:val="nil"/>
              <w:left w:val="nil"/>
              <w:bottom w:val="nil"/>
              <w:right w:val="nil"/>
            </w:tcBorders>
            <w:shd w:val="clear" w:color="auto" w:fill="auto"/>
            <w:vAlign w:val="bottom"/>
          </w:tcPr>
          <w:p w14:paraId="45974DD5" w14:textId="77777777" w:rsidR="004E2F51" w:rsidRPr="009C411C" w:rsidRDefault="004E2F51" w:rsidP="00E032FC">
            <w:pPr>
              <w:pStyle w:val="TT"/>
              <w:jc w:val="right"/>
              <w:rPr>
                <w:rFonts w:cs="Arial"/>
                <w:bCs/>
                <w:color w:val="000000" w:themeColor="text1"/>
                <w:sz w:val="18"/>
                <w:szCs w:val="18"/>
                <w:lang w:val="hr-HR"/>
              </w:rPr>
            </w:pPr>
            <w:r w:rsidRPr="009C411C">
              <w:rPr>
                <w:rFonts w:cs="Arial"/>
                <w:color w:val="000000" w:themeColor="text1"/>
                <w:sz w:val="18"/>
                <w:szCs w:val="18"/>
                <w:lang w:val="hr-HR"/>
              </w:rPr>
              <w:t>140.113</w:t>
            </w:r>
          </w:p>
        </w:tc>
      </w:tr>
      <w:tr w:rsidR="004E2F51" w:rsidRPr="009C411C" w14:paraId="163FBC70" w14:textId="77777777" w:rsidTr="00E032FC">
        <w:tc>
          <w:tcPr>
            <w:tcW w:w="2070" w:type="pct"/>
          </w:tcPr>
          <w:p w14:paraId="67F3B644" w14:textId="77777777" w:rsidR="004E2F51" w:rsidRPr="009C411C" w:rsidRDefault="004E2F51" w:rsidP="00E032FC">
            <w:pPr>
              <w:pStyle w:val="TT"/>
              <w:rPr>
                <w:rFonts w:cs="Arial"/>
                <w:color w:val="000000" w:themeColor="text1"/>
                <w:sz w:val="18"/>
                <w:szCs w:val="18"/>
                <w:lang w:val="hr-HR"/>
              </w:rPr>
            </w:pPr>
            <w:bookmarkStart w:id="1489" w:name="_Toc67329234"/>
            <w:r w:rsidRPr="009C411C">
              <w:rPr>
                <w:rFonts w:cs="Arial"/>
                <w:color w:val="000000" w:themeColor="text1"/>
                <w:sz w:val="18"/>
                <w:szCs w:val="18"/>
                <w:lang w:val="hr-HR"/>
              </w:rPr>
              <w:t>Izdane garancije u devizama</w:t>
            </w:r>
            <w:bookmarkEnd w:id="1489"/>
          </w:p>
        </w:tc>
        <w:tc>
          <w:tcPr>
            <w:tcW w:w="732" w:type="pct"/>
            <w:tcBorders>
              <w:top w:val="nil"/>
              <w:left w:val="nil"/>
              <w:bottom w:val="nil"/>
              <w:right w:val="nil"/>
            </w:tcBorders>
            <w:shd w:val="clear" w:color="auto" w:fill="auto"/>
            <w:vAlign w:val="bottom"/>
          </w:tcPr>
          <w:p w14:paraId="0BA4470B" w14:textId="77777777" w:rsidR="004E2F51" w:rsidRPr="009C411C" w:rsidRDefault="004E2F51" w:rsidP="00E032FC">
            <w:pPr>
              <w:pStyle w:val="TT"/>
              <w:jc w:val="right"/>
              <w:rPr>
                <w:rFonts w:cs="Arial"/>
                <w:color w:val="000000" w:themeColor="text1"/>
                <w:sz w:val="18"/>
                <w:szCs w:val="18"/>
                <w:lang w:val="hr-HR"/>
              </w:rPr>
            </w:pPr>
            <w:r w:rsidRPr="00407705">
              <w:t>162.516</w:t>
            </w:r>
          </w:p>
        </w:tc>
        <w:tc>
          <w:tcPr>
            <w:tcW w:w="733" w:type="pct"/>
            <w:tcBorders>
              <w:top w:val="nil"/>
              <w:left w:val="nil"/>
              <w:bottom w:val="nil"/>
              <w:right w:val="nil"/>
            </w:tcBorders>
            <w:shd w:val="clear" w:color="auto" w:fill="auto"/>
            <w:vAlign w:val="bottom"/>
          </w:tcPr>
          <w:p w14:paraId="38461988" w14:textId="77777777" w:rsidR="004E2F51" w:rsidRPr="009C411C" w:rsidRDefault="004E2F51" w:rsidP="00E032FC">
            <w:pPr>
              <w:pStyle w:val="TT"/>
              <w:jc w:val="right"/>
              <w:rPr>
                <w:rFonts w:cs="Arial"/>
                <w:color w:val="000000" w:themeColor="text1"/>
                <w:sz w:val="18"/>
                <w:szCs w:val="18"/>
                <w:lang w:val="hr-HR"/>
              </w:rPr>
            </w:pPr>
            <w:r w:rsidRPr="009C411C">
              <w:rPr>
                <w:rFonts w:cs="Arial"/>
                <w:color w:val="000000" w:themeColor="text1"/>
                <w:sz w:val="18"/>
                <w:szCs w:val="18"/>
                <w:lang w:val="hr-HR"/>
              </w:rPr>
              <w:t>260.705</w:t>
            </w:r>
          </w:p>
        </w:tc>
        <w:tc>
          <w:tcPr>
            <w:tcW w:w="732" w:type="pct"/>
            <w:tcBorders>
              <w:top w:val="nil"/>
              <w:left w:val="nil"/>
              <w:bottom w:val="nil"/>
              <w:right w:val="nil"/>
            </w:tcBorders>
            <w:shd w:val="clear" w:color="auto" w:fill="auto"/>
            <w:vAlign w:val="bottom"/>
          </w:tcPr>
          <w:p w14:paraId="744E5A82" w14:textId="77777777" w:rsidR="004E2F51" w:rsidRPr="009C411C" w:rsidRDefault="004E2F51" w:rsidP="00E032FC">
            <w:pPr>
              <w:pStyle w:val="TT"/>
              <w:jc w:val="right"/>
              <w:rPr>
                <w:rFonts w:cs="Arial"/>
                <w:color w:val="000000" w:themeColor="text1"/>
                <w:sz w:val="18"/>
                <w:szCs w:val="18"/>
                <w:lang w:val="hr-HR"/>
              </w:rPr>
            </w:pPr>
            <w:r w:rsidRPr="0078265B">
              <w:t>162.516</w:t>
            </w:r>
          </w:p>
        </w:tc>
        <w:tc>
          <w:tcPr>
            <w:tcW w:w="733" w:type="pct"/>
            <w:tcBorders>
              <w:top w:val="nil"/>
              <w:left w:val="nil"/>
              <w:bottom w:val="nil"/>
              <w:right w:val="nil"/>
            </w:tcBorders>
            <w:shd w:val="clear" w:color="auto" w:fill="auto"/>
            <w:vAlign w:val="bottom"/>
          </w:tcPr>
          <w:p w14:paraId="7CF320D6" w14:textId="77777777" w:rsidR="004E2F51" w:rsidRPr="009C411C" w:rsidRDefault="004E2F51" w:rsidP="00E032FC">
            <w:pPr>
              <w:pStyle w:val="TT"/>
              <w:jc w:val="right"/>
              <w:rPr>
                <w:rFonts w:cs="Arial"/>
                <w:color w:val="000000" w:themeColor="text1"/>
                <w:sz w:val="18"/>
                <w:szCs w:val="18"/>
                <w:lang w:val="hr-HR"/>
              </w:rPr>
            </w:pPr>
            <w:r w:rsidRPr="009C411C">
              <w:rPr>
                <w:rFonts w:cs="Arial"/>
                <w:color w:val="000000" w:themeColor="text1"/>
                <w:sz w:val="18"/>
                <w:szCs w:val="18"/>
                <w:lang w:val="hr-HR"/>
              </w:rPr>
              <w:t>260.705</w:t>
            </w:r>
          </w:p>
        </w:tc>
      </w:tr>
      <w:tr w:rsidR="004E2F51" w:rsidRPr="009C411C" w14:paraId="7B19617B" w14:textId="77777777" w:rsidTr="00E032FC">
        <w:tc>
          <w:tcPr>
            <w:tcW w:w="2070" w:type="pct"/>
          </w:tcPr>
          <w:p w14:paraId="262CD08F" w14:textId="77777777" w:rsidR="004E2F51" w:rsidRPr="009C411C" w:rsidRDefault="004E2F51" w:rsidP="00E032FC">
            <w:pPr>
              <w:pStyle w:val="TT"/>
              <w:rPr>
                <w:rFonts w:cs="Arial"/>
                <w:color w:val="000000" w:themeColor="text1"/>
                <w:sz w:val="18"/>
                <w:szCs w:val="18"/>
                <w:lang w:val="hr-HR"/>
              </w:rPr>
            </w:pPr>
            <w:bookmarkStart w:id="1490" w:name="_Toc67329239"/>
            <w:r w:rsidRPr="009C411C">
              <w:rPr>
                <w:rFonts w:cs="Arial"/>
                <w:color w:val="000000" w:themeColor="text1"/>
                <w:sz w:val="18"/>
                <w:szCs w:val="18"/>
                <w:lang w:val="hr-HR"/>
              </w:rPr>
              <w:t>Otvoreni akreditivi u devizama</w:t>
            </w:r>
            <w:bookmarkEnd w:id="1490"/>
          </w:p>
        </w:tc>
        <w:tc>
          <w:tcPr>
            <w:tcW w:w="732" w:type="pct"/>
            <w:tcBorders>
              <w:top w:val="nil"/>
              <w:left w:val="nil"/>
              <w:bottom w:val="nil"/>
              <w:right w:val="nil"/>
            </w:tcBorders>
            <w:shd w:val="clear" w:color="auto" w:fill="auto"/>
            <w:vAlign w:val="bottom"/>
          </w:tcPr>
          <w:p w14:paraId="2049B673" w14:textId="77777777" w:rsidR="004E2F51" w:rsidRPr="009C411C" w:rsidRDefault="004E2F51" w:rsidP="00E032FC">
            <w:pPr>
              <w:pStyle w:val="TT"/>
              <w:jc w:val="right"/>
              <w:rPr>
                <w:rFonts w:cs="Arial"/>
                <w:color w:val="000000" w:themeColor="text1"/>
                <w:sz w:val="18"/>
                <w:szCs w:val="18"/>
                <w:lang w:val="hr-HR"/>
              </w:rPr>
            </w:pPr>
            <w:r w:rsidRPr="00407705">
              <w:t>1.243</w:t>
            </w:r>
          </w:p>
        </w:tc>
        <w:tc>
          <w:tcPr>
            <w:tcW w:w="733" w:type="pct"/>
            <w:tcBorders>
              <w:top w:val="nil"/>
              <w:left w:val="nil"/>
              <w:bottom w:val="nil"/>
              <w:right w:val="nil"/>
            </w:tcBorders>
            <w:shd w:val="clear" w:color="auto" w:fill="auto"/>
            <w:vAlign w:val="bottom"/>
          </w:tcPr>
          <w:p w14:paraId="46E90B9B" w14:textId="77777777" w:rsidR="004E2F51" w:rsidRPr="009C411C" w:rsidRDefault="004E2F51" w:rsidP="00E032FC">
            <w:pPr>
              <w:pStyle w:val="TT"/>
              <w:jc w:val="right"/>
              <w:rPr>
                <w:rFonts w:cs="Arial"/>
                <w:color w:val="000000" w:themeColor="text1"/>
                <w:sz w:val="18"/>
                <w:szCs w:val="18"/>
                <w:lang w:val="hr-HR"/>
              </w:rPr>
            </w:pPr>
            <w:r w:rsidRPr="009C411C">
              <w:rPr>
                <w:rFonts w:cs="Arial"/>
                <w:color w:val="000000" w:themeColor="text1"/>
                <w:sz w:val="18"/>
                <w:szCs w:val="18"/>
                <w:lang w:val="hr-HR"/>
              </w:rPr>
              <w:t>-</w:t>
            </w:r>
          </w:p>
        </w:tc>
        <w:tc>
          <w:tcPr>
            <w:tcW w:w="732" w:type="pct"/>
            <w:tcBorders>
              <w:top w:val="nil"/>
              <w:left w:val="nil"/>
              <w:bottom w:val="nil"/>
              <w:right w:val="nil"/>
            </w:tcBorders>
            <w:shd w:val="clear" w:color="auto" w:fill="auto"/>
            <w:vAlign w:val="bottom"/>
          </w:tcPr>
          <w:p w14:paraId="756F0B21" w14:textId="77777777" w:rsidR="004E2F51" w:rsidRPr="009C411C" w:rsidRDefault="004E2F51" w:rsidP="00E032FC">
            <w:pPr>
              <w:pStyle w:val="TT"/>
              <w:jc w:val="right"/>
              <w:rPr>
                <w:rFonts w:cs="Arial"/>
                <w:color w:val="000000" w:themeColor="text1"/>
                <w:sz w:val="18"/>
                <w:szCs w:val="18"/>
                <w:lang w:val="hr-HR"/>
              </w:rPr>
            </w:pPr>
            <w:r w:rsidRPr="0078265B">
              <w:t>1.243</w:t>
            </w:r>
          </w:p>
        </w:tc>
        <w:tc>
          <w:tcPr>
            <w:tcW w:w="733" w:type="pct"/>
            <w:tcBorders>
              <w:top w:val="nil"/>
              <w:left w:val="nil"/>
              <w:bottom w:val="nil"/>
              <w:right w:val="nil"/>
            </w:tcBorders>
            <w:shd w:val="clear" w:color="auto" w:fill="auto"/>
            <w:vAlign w:val="bottom"/>
          </w:tcPr>
          <w:p w14:paraId="400AD851" w14:textId="77777777" w:rsidR="004E2F51" w:rsidRPr="009C411C" w:rsidRDefault="004E2F51" w:rsidP="00E032FC">
            <w:pPr>
              <w:pStyle w:val="TT"/>
              <w:jc w:val="right"/>
              <w:rPr>
                <w:rFonts w:cs="Arial"/>
                <w:color w:val="000000" w:themeColor="text1"/>
                <w:sz w:val="18"/>
                <w:szCs w:val="18"/>
                <w:lang w:val="hr-HR"/>
              </w:rPr>
            </w:pPr>
            <w:r w:rsidRPr="009C411C">
              <w:rPr>
                <w:rFonts w:cs="Arial"/>
                <w:color w:val="000000" w:themeColor="text1"/>
                <w:sz w:val="18"/>
                <w:szCs w:val="18"/>
                <w:lang w:val="hr-HR"/>
              </w:rPr>
              <w:t>-</w:t>
            </w:r>
          </w:p>
        </w:tc>
      </w:tr>
      <w:tr w:rsidR="004E2F51" w:rsidRPr="009C411C" w14:paraId="1CC641DA" w14:textId="77777777" w:rsidTr="00E032FC">
        <w:tc>
          <w:tcPr>
            <w:tcW w:w="2070" w:type="pct"/>
          </w:tcPr>
          <w:p w14:paraId="17BDA585" w14:textId="77777777" w:rsidR="004E2F51" w:rsidRPr="009C411C" w:rsidRDefault="004E2F51" w:rsidP="00E032FC">
            <w:pPr>
              <w:pStyle w:val="TT"/>
              <w:rPr>
                <w:rFonts w:cs="Arial"/>
                <w:color w:val="000000" w:themeColor="text1"/>
                <w:sz w:val="18"/>
                <w:szCs w:val="18"/>
                <w:lang w:val="hr-HR"/>
              </w:rPr>
            </w:pPr>
            <w:bookmarkStart w:id="1491" w:name="_Toc67329244"/>
            <w:r w:rsidRPr="009C411C">
              <w:rPr>
                <w:rFonts w:cs="Arial"/>
                <w:color w:val="000000" w:themeColor="text1"/>
                <w:sz w:val="18"/>
                <w:szCs w:val="18"/>
                <w:lang w:val="hr-HR"/>
              </w:rPr>
              <w:t>Preuzete obveze po kreditima</w:t>
            </w:r>
            <w:bookmarkEnd w:id="1491"/>
          </w:p>
        </w:tc>
        <w:tc>
          <w:tcPr>
            <w:tcW w:w="732" w:type="pct"/>
            <w:tcBorders>
              <w:top w:val="nil"/>
              <w:left w:val="nil"/>
              <w:bottom w:val="nil"/>
              <w:right w:val="nil"/>
            </w:tcBorders>
            <w:shd w:val="clear" w:color="auto" w:fill="auto"/>
            <w:vAlign w:val="bottom"/>
          </w:tcPr>
          <w:p w14:paraId="6183A047" w14:textId="77777777" w:rsidR="004E2F51" w:rsidRPr="009C411C" w:rsidRDefault="004E2F51" w:rsidP="00E032FC">
            <w:pPr>
              <w:pStyle w:val="TT"/>
              <w:jc w:val="right"/>
              <w:rPr>
                <w:rFonts w:cs="Arial"/>
                <w:color w:val="000000" w:themeColor="text1"/>
                <w:sz w:val="18"/>
                <w:szCs w:val="18"/>
                <w:lang w:val="hr-HR"/>
              </w:rPr>
            </w:pPr>
            <w:r w:rsidRPr="00407705">
              <w:t>2.647.931</w:t>
            </w:r>
          </w:p>
        </w:tc>
        <w:tc>
          <w:tcPr>
            <w:tcW w:w="733" w:type="pct"/>
            <w:tcBorders>
              <w:top w:val="nil"/>
              <w:left w:val="nil"/>
              <w:bottom w:val="nil"/>
              <w:right w:val="nil"/>
            </w:tcBorders>
            <w:shd w:val="clear" w:color="auto" w:fill="auto"/>
            <w:vAlign w:val="bottom"/>
          </w:tcPr>
          <w:p w14:paraId="11A8B024" w14:textId="77777777" w:rsidR="004E2F51" w:rsidRPr="009C411C" w:rsidRDefault="004E2F51" w:rsidP="00E032FC">
            <w:pPr>
              <w:pStyle w:val="TT"/>
              <w:jc w:val="right"/>
              <w:rPr>
                <w:rFonts w:cs="Arial"/>
                <w:color w:val="000000" w:themeColor="text1"/>
                <w:sz w:val="18"/>
                <w:szCs w:val="18"/>
                <w:lang w:val="hr-HR"/>
              </w:rPr>
            </w:pPr>
            <w:r w:rsidRPr="009C411C">
              <w:rPr>
                <w:rFonts w:cs="Arial"/>
                <w:color w:val="000000" w:themeColor="text1"/>
                <w:sz w:val="18"/>
                <w:szCs w:val="18"/>
                <w:lang w:val="hr-HR"/>
              </w:rPr>
              <w:t>3.457.291</w:t>
            </w:r>
          </w:p>
        </w:tc>
        <w:tc>
          <w:tcPr>
            <w:tcW w:w="732" w:type="pct"/>
            <w:tcBorders>
              <w:top w:val="nil"/>
              <w:left w:val="nil"/>
              <w:bottom w:val="nil"/>
              <w:right w:val="nil"/>
            </w:tcBorders>
            <w:shd w:val="clear" w:color="auto" w:fill="auto"/>
            <w:vAlign w:val="bottom"/>
          </w:tcPr>
          <w:p w14:paraId="0F7A2195" w14:textId="77777777" w:rsidR="004E2F51" w:rsidRPr="009C411C" w:rsidRDefault="004E2F51" w:rsidP="00E032FC">
            <w:pPr>
              <w:pStyle w:val="TT"/>
              <w:jc w:val="right"/>
              <w:rPr>
                <w:rFonts w:cs="Arial"/>
                <w:color w:val="000000" w:themeColor="text1"/>
                <w:sz w:val="18"/>
                <w:szCs w:val="18"/>
                <w:lang w:val="hr-HR"/>
              </w:rPr>
            </w:pPr>
            <w:r w:rsidRPr="0078265B">
              <w:t>2.647.931</w:t>
            </w:r>
          </w:p>
        </w:tc>
        <w:tc>
          <w:tcPr>
            <w:tcW w:w="733" w:type="pct"/>
            <w:tcBorders>
              <w:top w:val="nil"/>
              <w:left w:val="nil"/>
              <w:bottom w:val="nil"/>
              <w:right w:val="nil"/>
            </w:tcBorders>
            <w:shd w:val="clear" w:color="auto" w:fill="auto"/>
            <w:vAlign w:val="bottom"/>
          </w:tcPr>
          <w:p w14:paraId="5B671610" w14:textId="77777777" w:rsidR="004E2F51" w:rsidRPr="009C411C" w:rsidRDefault="004E2F51" w:rsidP="00E032FC">
            <w:pPr>
              <w:pStyle w:val="TT"/>
              <w:jc w:val="right"/>
              <w:rPr>
                <w:rFonts w:cs="Arial"/>
                <w:color w:val="000000" w:themeColor="text1"/>
                <w:sz w:val="18"/>
                <w:szCs w:val="18"/>
                <w:lang w:val="hr-HR"/>
              </w:rPr>
            </w:pPr>
            <w:r w:rsidRPr="009C411C">
              <w:rPr>
                <w:rFonts w:cs="Arial"/>
                <w:color w:val="000000" w:themeColor="text1"/>
                <w:sz w:val="18"/>
                <w:szCs w:val="18"/>
                <w:lang w:val="hr-HR"/>
              </w:rPr>
              <w:t>3.457.291</w:t>
            </w:r>
          </w:p>
        </w:tc>
      </w:tr>
      <w:tr w:rsidR="004E2F51" w:rsidRPr="009C411C" w14:paraId="18E01669" w14:textId="77777777" w:rsidTr="00E032FC">
        <w:tc>
          <w:tcPr>
            <w:tcW w:w="2070" w:type="pct"/>
          </w:tcPr>
          <w:p w14:paraId="7CD8FA18" w14:textId="77777777" w:rsidR="004E2F51" w:rsidRPr="009C411C" w:rsidRDefault="004E2F51" w:rsidP="00E032FC">
            <w:pPr>
              <w:pStyle w:val="Tot"/>
              <w:rPr>
                <w:rFonts w:cs="Arial"/>
                <w:b/>
                <w:bCs/>
                <w:color w:val="000000" w:themeColor="text1"/>
                <w:sz w:val="18"/>
                <w:szCs w:val="18"/>
                <w:lang w:val="hr-HR"/>
              </w:rPr>
            </w:pPr>
            <w:bookmarkStart w:id="1492" w:name="_Toc67329254"/>
            <w:r w:rsidRPr="009C411C">
              <w:rPr>
                <w:rFonts w:cs="Arial"/>
                <w:b/>
                <w:bCs/>
                <w:color w:val="000000" w:themeColor="text1"/>
                <w:sz w:val="18"/>
                <w:szCs w:val="18"/>
                <w:lang w:val="hr-HR"/>
              </w:rPr>
              <w:t>Ukupno</w:t>
            </w:r>
            <w:bookmarkEnd w:id="1492"/>
          </w:p>
        </w:tc>
        <w:tc>
          <w:tcPr>
            <w:tcW w:w="732" w:type="pct"/>
            <w:tcBorders>
              <w:top w:val="single" w:sz="4" w:space="0" w:color="auto"/>
              <w:bottom w:val="single" w:sz="12" w:space="0" w:color="auto"/>
            </w:tcBorders>
            <w:vAlign w:val="bottom"/>
          </w:tcPr>
          <w:p w14:paraId="2AFF69E0" w14:textId="77777777" w:rsidR="004E2F51" w:rsidRPr="009C411C" w:rsidRDefault="004E2F51" w:rsidP="00E032FC">
            <w:pPr>
              <w:pStyle w:val="Tot"/>
              <w:jc w:val="right"/>
              <w:rPr>
                <w:rFonts w:cs="Arial"/>
                <w:b/>
                <w:bCs/>
                <w:color w:val="000000" w:themeColor="text1"/>
                <w:sz w:val="18"/>
                <w:szCs w:val="18"/>
                <w:lang w:val="hr-HR"/>
              </w:rPr>
            </w:pPr>
            <w:r w:rsidRPr="0093619B">
              <w:rPr>
                <w:rFonts w:cs="Arial"/>
                <w:b/>
                <w:bCs/>
                <w:color w:val="000000" w:themeColor="text1"/>
                <w:sz w:val="18"/>
                <w:szCs w:val="18"/>
                <w:lang w:val="hr-HR"/>
              </w:rPr>
              <w:t>2.898.160</w:t>
            </w:r>
          </w:p>
        </w:tc>
        <w:tc>
          <w:tcPr>
            <w:tcW w:w="733" w:type="pct"/>
            <w:tcBorders>
              <w:top w:val="single" w:sz="4" w:space="0" w:color="auto"/>
              <w:bottom w:val="single" w:sz="12" w:space="0" w:color="auto"/>
            </w:tcBorders>
            <w:vAlign w:val="bottom"/>
          </w:tcPr>
          <w:p w14:paraId="238D734B" w14:textId="77777777" w:rsidR="004E2F51" w:rsidRPr="009C411C" w:rsidRDefault="004E2F51" w:rsidP="00E032FC">
            <w:pPr>
              <w:pStyle w:val="Tot"/>
              <w:jc w:val="right"/>
              <w:rPr>
                <w:rFonts w:cs="Arial"/>
                <w:b/>
                <w:bCs/>
                <w:color w:val="000000" w:themeColor="text1"/>
                <w:sz w:val="18"/>
                <w:szCs w:val="18"/>
                <w:lang w:val="hr-HR"/>
              </w:rPr>
            </w:pPr>
            <w:r w:rsidRPr="009C411C">
              <w:rPr>
                <w:rFonts w:cs="Arial"/>
                <w:b/>
                <w:bCs/>
                <w:color w:val="000000" w:themeColor="text1"/>
                <w:sz w:val="18"/>
                <w:szCs w:val="18"/>
                <w:lang w:val="hr-HR"/>
              </w:rPr>
              <w:t>3.858.109</w:t>
            </w:r>
          </w:p>
        </w:tc>
        <w:tc>
          <w:tcPr>
            <w:tcW w:w="732" w:type="pct"/>
            <w:tcBorders>
              <w:top w:val="single" w:sz="4" w:space="0" w:color="auto"/>
              <w:bottom w:val="single" w:sz="12" w:space="0" w:color="auto"/>
            </w:tcBorders>
            <w:vAlign w:val="bottom"/>
          </w:tcPr>
          <w:p w14:paraId="048CD193" w14:textId="77777777" w:rsidR="004E2F51" w:rsidRPr="009C411C" w:rsidRDefault="004E2F51" w:rsidP="00E032FC">
            <w:pPr>
              <w:pStyle w:val="Tot"/>
              <w:jc w:val="right"/>
              <w:rPr>
                <w:rFonts w:cs="Arial"/>
                <w:b/>
                <w:bCs/>
                <w:color w:val="000000" w:themeColor="text1"/>
                <w:sz w:val="18"/>
                <w:szCs w:val="18"/>
                <w:lang w:val="hr-HR"/>
              </w:rPr>
            </w:pPr>
            <w:r w:rsidRPr="0093619B">
              <w:rPr>
                <w:rFonts w:cs="Arial"/>
                <w:b/>
                <w:bCs/>
                <w:color w:val="000000" w:themeColor="text1"/>
                <w:sz w:val="18"/>
                <w:szCs w:val="18"/>
                <w:lang w:val="hr-HR"/>
              </w:rPr>
              <w:t>2.898.160</w:t>
            </w:r>
          </w:p>
        </w:tc>
        <w:tc>
          <w:tcPr>
            <w:tcW w:w="733" w:type="pct"/>
            <w:tcBorders>
              <w:top w:val="single" w:sz="4" w:space="0" w:color="auto"/>
              <w:bottom w:val="single" w:sz="12" w:space="0" w:color="auto"/>
            </w:tcBorders>
            <w:vAlign w:val="bottom"/>
          </w:tcPr>
          <w:p w14:paraId="2950B943" w14:textId="77777777" w:rsidR="004E2F51" w:rsidRPr="009C411C" w:rsidRDefault="004E2F51" w:rsidP="00E032FC">
            <w:pPr>
              <w:pStyle w:val="Tot"/>
              <w:jc w:val="right"/>
              <w:rPr>
                <w:rFonts w:cs="Arial"/>
                <w:b/>
                <w:bCs/>
                <w:color w:val="000000" w:themeColor="text1"/>
                <w:sz w:val="18"/>
                <w:szCs w:val="18"/>
                <w:lang w:val="hr-HR"/>
              </w:rPr>
            </w:pPr>
            <w:r w:rsidRPr="009C411C">
              <w:rPr>
                <w:rFonts w:cs="Arial"/>
                <w:b/>
                <w:bCs/>
                <w:color w:val="000000" w:themeColor="text1"/>
                <w:sz w:val="18"/>
                <w:szCs w:val="18"/>
                <w:lang w:val="hr-HR"/>
              </w:rPr>
              <w:t>3.858.109</w:t>
            </w:r>
          </w:p>
        </w:tc>
      </w:tr>
      <w:tr w:rsidR="004E2F51" w:rsidRPr="009C411C" w14:paraId="21111806" w14:textId="77777777" w:rsidTr="00E032FC">
        <w:trPr>
          <w:trHeight w:val="421"/>
        </w:trPr>
        <w:tc>
          <w:tcPr>
            <w:tcW w:w="2070" w:type="pct"/>
            <w:vAlign w:val="bottom"/>
          </w:tcPr>
          <w:p w14:paraId="67C8702A" w14:textId="77777777" w:rsidR="004E2F51" w:rsidRPr="009C411C" w:rsidRDefault="004E2F51" w:rsidP="00E032FC">
            <w:pPr>
              <w:pStyle w:val="Tot"/>
              <w:rPr>
                <w:rFonts w:cs="Arial"/>
                <w:b/>
                <w:bCs/>
                <w:color w:val="000000" w:themeColor="text1"/>
                <w:sz w:val="18"/>
                <w:szCs w:val="18"/>
                <w:lang w:val="hr-HR"/>
              </w:rPr>
            </w:pPr>
            <w:bookmarkStart w:id="1493" w:name="_Toc67329259"/>
            <w:r w:rsidRPr="009C411C">
              <w:rPr>
                <w:rFonts w:cs="Arial"/>
                <w:b/>
                <w:bCs/>
                <w:color w:val="000000" w:themeColor="text1"/>
                <w:sz w:val="18"/>
                <w:szCs w:val="18"/>
                <w:lang w:val="hr-HR"/>
              </w:rPr>
              <w:t>Ukupna izloženost kreditnom riziku</w:t>
            </w:r>
            <w:bookmarkEnd w:id="1493"/>
          </w:p>
        </w:tc>
        <w:tc>
          <w:tcPr>
            <w:tcW w:w="732" w:type="pct"/>
            <w:tcBorders>
              <w:top w:val="single" w:sz="12" w:space="0" w:color="auto"/>
              <w:bottom w:val="single" w:sz="12" w:space="0" w:color="auto"/>
            </w:tcBorders>
            <w:vAlign w:val="bottom"/>
          </w:tcPr>
          <w:p w14:paraId="0F83FA0A" w14:textId="77777777" w:rsidR="004E2F51" w:rsidRPr="009C411C" w:rsidRDefault="004E2F51" w:rsidP="00E032FC">
            <w:pPr>
              <w:pStyle w:val="Tot"/>
              <w:jc w:val="right"/>
              <w:rPr>
                <w:rFonts w:cs="Arial"/>
                <w:b/>
                <w:bCs/>
                <w:color w:val="000000" w:themeColor="text1"/>
                <w:sz w:val="18"/>
                <w:szCs w:val="18"/>
                <w:lang w:val="hr-HR"/>
              </w:rPr>
            </w:pPr>
            <w:r w:rsidRPr="0093619B">
              <w:rPr>
                <w:rFonts w:cs="Arial"/>
                <w:b/>
                <w:bCs/>
                <w:color w:val="000000" w:themeColor="text1"/>
                <w:sz w:val="18"/>
                <w:szCs w:val="18"/>
                <w:lang w:val="hr-HR"/>
              </w:rPr>
              <w:t>31.707.672</w:t>
            </w:r>
          </w:p>
        </w:tc>
        <w:tc>
          <w:tcPr>
            <w:tcW w:w="733" w:type="pct"/>
            <w:tcBorders>
              <w:top w:val="single" w:sz="12" w:space="0" w:color="auto"/>
              <w:bottom w:val="single" w:sz="12" w:space="0" w:color="auto"/>
            </w:tcBorders>
            <w:vAlign w:val="bottom"/>
          </w:tcPr>
          <w:p w14:paraId="551C11FF" w14:textId="77777777" w:rsidR="004E2F51" w:rsidRPr="009C411C" w:rsidRDefault="004E2F51" w:rsidP="00E032FC">
            <w:pPr>
              <w:pStyle w:val="Tot"/>
              <w:jc w:val="right"/>
              <w:rPr>
                <w:rFonts w:cs="Arial"/>
                <w:b/>
                <w:bCs/>
                <w:color w:val="000000" w:themeColor="text1"/>
                <w:sz w:val="18"/>
                <w:szCs w:val="18"/>
                <w:lang w:val="hr-HR"/>
              </w:rPr>
            </w:pPr>
            <w:r w:rsidRPr="009C411C">
              <w:rPr>
                <w:rFonts w:cs="Arial"/>
                <w:b/>
                <w:bCs/>
                <w:color w:val="000000" w:themeColor="text1"/>
                <w:sz w:val="18"/>
                <w:szCs w:val="18"/>
                <w:lang w:val="hr-HR"/>
              </w:rPr>
              <w:t>31.795.313</w:t>
            </w:r>
          </w:p>
        </w:tc>
        <w:tc>
          <w:tcPr>
            <w:tcW w:w="732" w:type="pct"/>
            <w:tcBorders>
              <w:top w:val="single" w:sz="12" w:space="0" w:color="auto"/>
              <w:bottom w:val="single" w:sz="12" w:space="0" w:color="auto"/>
            </w:tcBorders>
            <w:vAlign w:val="bottom"/>
          </w:tcPr>
          <w:p w14:paraId="30EB3E9A" w14:textId="77777777" w:rsidR="004E2F51" w:rsidRPr="009C411C" w:rsidRDefault="004E2F51" w:rsidP="00E032FC">
            <w:pPr>
              <w:pStyle w:val="Tot"/>
              <w:jc w:val="right"/>
              <w:rPr>
                <w:rFonts w:cs="Arial"/>
                <w:b/>
                <w:bCs/>
                <w:color w:val="000000" w:themeColor="text1"/>
                <w:sz w:val="18"/>
                <w:szCs w:val="18"/>
                <w:lang w:val="hr-HR"/>
              </w:rPr>
            </w:pPr>
            <w:r w:rsidRPr="0093619B">
              <w:rPr>
                <w:rFonts w:cs="Arial"/>
                <w:b/>
                <w:bCs/>
                <w:color w:val="000000" w:themeColor="text1"/>
                <w:sz w:val="18"/>
                <w:szCs w:val="18"/>
                <w:lang w:val="hr-HR"/>
              </w:rPr>
              <w:t>31.626.565</w:t>
            </w:r>
          </w:p>
        </w:tc>
        <w:tc>
          <w:tcPr>
            <w:tcW w:w="733" w:type="pct"/>
            <w:tcBorders>
              <w:top w:val="single" w:sz="12" w:space="0" w:color="auto"/>
              <w:bottom w:val="single" w:sz="12" w:space="0" w:color="auto"/>
            </w:tcBorders>
            <w:vAlign w:val="bottom"/>
          </w:tcPr>
          <w:p w14:paraId="4BCD610D" w14:textId="77777777" w:rsidR="004E2F51" w:rsidRPr="009C411C" w:rsidRDefault="004E2F51" w:rsidP="00E032FC">
            <w:pPr>
              <w:pStyle w:val="Tot"/>
              <w:jc w:val="right"/>
              <w:rPr>
                <w:rFonts w:cs="Arial"/>
                <w:b/>
                <w:bCs/>
                <w:color w:val="000000" w:themeColor="text1"/>
                <w:sz w:val="18"/>
                <w:szCs w:val="18"/>
                <w:lang w:val="hr-HR"/>
              </w:rPr>
            </w:pPr>
            <w:r w:rsidRPr="009C411C">
              <w:rPr>
                <w:rFonts w:cs="Arial"/>
                <w:b/>
                <w:bCs/>
                <w:color w:val="000000" w:themeColor="text1"/>
                <w:sz w:val="18"/>
                <w:szCs w:val="18"/>
                <w:lang w:val="hr-HR"/>
              </w:rPr>
              <w:t>31.732.509</w:t>
            </w:r>
          </w:p>
        </w:tc>
      </w:tr>
    </w:tbl>
    <w:p w14:paraId="27D37207" w14:textId="77777777" w:rsidR="004E2F51" w:rsidRPr="00C651CA" w:rsidRDefault="004E2F51" w:rsidP="004E2F51">
      <w:pPr>
        <w:pStyle w:val="accountingpolicytitle"/>
        <w:rPr>
          <w:rFonts w:cs="Arial"/>
          <w:b w:val="0"/>
          <w:i/>
          <w:color w:val="000000" w:themeColor="text1"/>
          <w:sz w:val="20"/>
          <w:lang w:val="hr-HR"/>
        </w:rPr>
      </w:pPr>
    </w:p>
    <w:p w14:paraId="75CA33D5" w14:textId="77777777" w:rsidR="004E2F51" w:rsidRPr="00C651CA" w:rsidRDefault="004E2F51" w:rsidP="004E2F51">
      <w:pPr>
        <w:pStyle w:val="accountingpolicytitle"/>
        <w:spacing w:line="360" w:lineRule="auto"/>
        <w:rPr>
          <w:rFonts w:cs="Arial"/>
          <w:color w:val="000000" w:themeColor="text1"/>
          <w:sz w:val="20"/>
          <w:lang w:val="hr-HR"/>
        </w:rPr>
      </w:pPr>
    </w:p>
    <w:p w14:paraId="6933628B" w14:textId="77777777" w:rsidR="004E2F51" w:rsidRPr="00C651CA" w:rsidRDefault="004E2F51" w:rsidP="004E2F51">
      <w:pPr>
        <w:pStyle w:val="accountingpolicytitle"/>
        <w:spacing w:line="360" w:lineRule="auto"/>
        <w:rPr>
          <w:rFonts w:cs="Arial"/>
          <w:color w:val="000000" w:themeColor="text1"/>
          <w:sz w:val="20"/>
          <w:lang w:val="hr-HR"/>
        </w:rPr>
      </w:pPr>
    </w:p>
    <w:p w14:paraId="73586B8C" w14:textId="77777777" w:rsidR="004E2F51" w:rsidRPr="00C651CA" w:rsidRDefault="004E2F51" w:rsidP="004E2F51">
      <w:pPr>
        <w:pStyle w:val="accountingpolicytitle"/>
        <w:spacing w:line="360" w:lineRule="auto"/>
        <w:rPr>
          <w:rFonts w:cs="Arial"/>
          <w:color w:val="000000" w:themeColor="text1"/>
          <w:sz w:val="20"/>
          <w:lang w:val="hr-HR"/>
        </w:rPr>
        <w:sectPr w:rsidR="004E2F51" w:rsidRPr="00C651CA" w:rsidSect="00623DBA">
          <w:footerReference w:type="default" r:id="rId179"/>
          <w:pgSz w:w="11907" w:h="16840" w:code="9"/>
          <w:pgMar w:top="1418" w:right="1134" w:bottom="1134" w:left="1418" w:header="851" w:footer="851" w:gutter="0"/>
          <w:cols w:space="720"/>
          <w:noEndnote/>
        </w:sectPr>
      </w:pPr>
    </w:p>
    <w:p w14:paraId="2222E022" w14:textId="77777777" w:rsidR="004E2F51" w:rsidRPr="00C651CA" w:rsidRDefault="004E2F51" w:rsidP="004E2F51">
      <w:pPr>
        <w:pStyle w:val="T1"/>
        <w:spacing w:before="0" w:after="0" w:line="240" w:lineRule="auto"/>
        <w:rPr>
          <w:rFonts w:cs="Arial"/>
          <w:color w:val="000000" w:themeColor="text1"/>
          <w:sz w:val="20"/>
          <w:lang w:val="hr-HR"/>
        </w:rPr>
      </w:pPr>
    </w:p>
    <w:p w14:paraId="2EFD3F03" w14:textId="77777777" w:rsidR="004E2F51" w:rsidRPr="00C651CA" w:rsidRDefault="004E2F51" w:rsidP="004E2F51">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Pr>
          <w:rFonts w:cs="Arial"/>
          <w:color w:val="000000" w:themeColor="text1"/>
          <w:sz w:val="20"/>
          <w:lang w:val="hr-HR"/>
        </w:rPr>
        <w:t>1</w:t>
      </w:r>
      <w:r w:rsidRPr="00C651CA">
        <w:rPr>
          <w:rFonts w:cs="Arial"/>
          <w:color w:val="000000" w:themeColor="text1"/>
          <w:sz w:val="20"/>
          <w:lang w:val="hr-HR"/>
        </w:rPr>
        <w:t>.</w:t>
      </w:r>
      <w:r w:rsidRPr="00C651CA">
        <w:rPr>
          <w:rFonts w:cs="Arial"/>
          <w:color w:val="000000" w:themeColor="text1"/>
          <w:sz w:val="20"/>
          <w:lang w:val="hr-HR"/>
        </w:rPr>
        <w:tab/>
        <w:t>Upravljanje rizicima (nastavak)</w:t>
      </w:r>
    </w:p>
    <w:p w14:paraId="44671495" w14:textId="77777777" w:rsidR="004E2F51" w:rsidRPr="00C651CA" w:rsidRDefault="004E2F51" w:rsidP="004E2F51">
      <w:pPr>
        <w:pStyle w:val="accountingpolicytitle"/>
        <w:rPr>
          <w:rFonts w:cs="Arial"/>
          <w:color w:val="000000" w:themeColor="text1"/>
          <w:sz w:val="20"/>
          <w:lang w:val="hr-HR"/>
        </w:rPr>
      </w:pPr>
    </w:p>
    <w:p w14:paraId="418D5E56" w14:textId="77777777" w:rsidR="004E2F51" w:rsidRPr="00C651CA" w:rsidRDefault="004E2F51" w:rsidP="004E2F51">
      <w:pPr>
        <w:pStyle w:val="accountingpolicytitle"/>
        <w:rPr>
          <w:rFonts w:cs="Arial"/>
          <w:color w:val="000000" w:themeColor="text1"/>
          <w:sz w:val="20"/>
          <w:lang w:val="hr-HR"/>
        </w:rPr>
      </w:pPr>
      <w:r w:rsidRPr="00C651CA">
        <w:rPr>
          <w:rFonts w:cs="Arial"/>
          <w:color w:val="000000" w:themeColor="text1"/>
          <w:sz w:val="20"/>
          <w:lang w:val="hr-HR"/>
        </w:rPr>
        <w:t>3</w:t>
      </w:r>
      <w:r>
        <w:rPr>
          <w:rFonts w:cs="Arial"/>
          <w:color w:val="000000" w:themeColor="text1"/>
          <w:sz w:val="20"/>
          <w:lang w:val="hr-HR"/>
        </w:rPr>
        <w:t>1</w:t>
      </w:r>
      <w:r w:rsidRPr="00C651CA">
        <w:rPr>
          <w:rFonts w:cs="Arial"/>
          <w:color w:val="000000" w:themeColor="text1"/>
          <w:sz w:val="20"/>
          <w:lang w:val="hr-HR"/>
        </w:rPr>
        <w:t xml:space="preserve">.3. </w:t>
      </w:r>
      <w:r w:rsidRPr="00C651CA">
        <w:rPr>
          <w:rFonts w:cs="Arial"/>
          <w:color w:val="000000" w:themeColor="text1"/>
          <w:sz w:val="20"/>
          <w:lang w:val="hr-HR"/>
        </w:rPr>
        <w:tab/>
        <w:t>Kreditni rizik (nastavak)</w:t>
      </w:r>
    </w:p>
    <w:p w14:paraId="6768EAA6" w14:textId="77777777" w:rsidR="004E2F51" w:rsidRPr="00C651CA" w:rsidRDefault="004E2F51" w:rsidP="004E2F51">
      <w:pPr>
        <w:pStyle w:val="accountingpolicytitle"/>
        <w:rPr>
          <w:rFonts w:cs="Arial"/>
          <w:color w:val="000000" w:themeColor="text1"/>
          <w:sz w:val="20"/>
          <w:lang w:val="hr-HR"/>
        </w:rPr>
      </w:pPr>
    </w:p>
    <w:p w14:paraId="3EFEC13D" w14:textId="77777777" w:rsidR="004E2F51" w:rsidRPr="00C651CA" w:rsidRDefault="004E2F51" w:rsidP="004E2F51">
      <w:pPr>
        <w:pStyle w:val="accountingpolicytitle"/>
        <w:rPr>
          <w:rFonts w:cs="Arial"/>
          <w:color w:val="000000" w:themeColor="text1"/>
          <w:sz w:val="20"/>
          <w:lang w:val="hr-HR"/>
        </w:rPr>
      </w:pPr>
      <w:r w:rsidRPr="00C651CA">
        <w:rPr>
          <w:rFonts w:cs="Arial"/>
          <w:color w:val="000000" w:themeColor="text1"/>
          <w:sz w:val="20"/>
          <w:lang w:val="hr-HR"/>
        </w:rPr>
        <w:t>Koncentracija rizika i maksimalna izloženost kreditnom riziku (nastavak)</w:t>
      </w:r>
    </w:p>
    <w:p w14:paraId="4E482052" w14:textId="77777777" w:rsidR="004E2F51" w:rsidRPr="00C651CA" w:rsidRDefault="004E2F51" w:rsidP="004E2F51">
      <w:pPr>
        <w:pStyle w:val="T1"/>
        <w:spacing w:before="0" w:after="0" w:line="240" w:lineRule="auto"/>
        <w:rPr>
          <w:rFonts w:cs="Arial"/>
          <w:b w:val="0"/>
          <w:bCs w:val="0"/>
          <w:color w:val="000000" w:themeColor="text1"/>
          <w:sz w:val="20"/>
          <w:lang w:val="hr-HR"/>
        </w:rPr>
      </w:pPr>
    </w:p>
    <w:p w14:paraId="400CB77D" w14:textId="77777777" w:rsidR="004E2F51" w:rsidRPr="00C651CA" w:rsidRDefault="004E2F51" w:rsidP="004E2F51">
      <w:pPr>
        <w:pStyle w:val="T1"/>
        <w:spacing w:before="0" w:after="0" w:line="240" w:lineRule="auto"/>
        <w:rPr>
          <w:rFonts w:cs="Arial"/>
          <w:b w:val="0"/>
          <w:bCs w:val="0"/>
          <w:color w:val="000000" w:themeColor="text1"/>
          <w:sz w:val="20"/>
          <w:lang w:val="hr-HR"/>
        </w:rPr>
      </w:pPr>
      <w:r w:rsidRPr="00C651CA">
        <w:rPr>
          <w:rFonts w:cs="Arial"/>
          <w:b w:val="0"/>
          <w:bCs w:val="0"/>
          <w:color w:val="000000" w:themeColor="text1"/>
          <w:sz w:val="20"/>
          <w:lang w:val="hr-HR"/>
        </w:rPr>
        <w:t xml:space="preserve">Koncentracija imovine i garancija te preuzetih obveza prema zemljopisnim segmentima, neto izloženost, </w:t>
      </w:r>
      <w:r w:rsidRPr="00C651CA">
        <w:rPr>
          <w:rFonts w:cs="Arial"/>
          <w:b w:val="0"/>
          <w:color w:val="000000" w:themeColor="text1"/>
          <w:sz w:val="20"/>
          <w:lang w:val="hr-HR"/>
        </w:rPr>
        <w:t>bez umanjenja za vrijednost sredstava osiguranja naplate</w:t>
      </w:r>
      <w:r w:rsidRPr="00C651CA">
        <w:rPr>
          <w:rFonts w:cs="Arial"/>
          <w:b w:val="0"/>
          <w:bCs w:val="0"/>
          <w:color w:val="000000" w:themeColor="text1"/>
          <w:sz w:val="20"/>
          <w:lang w:val="hr-HR"/>
        </w:rPr>
        <w:t xml:space="preserve">: </w:t>
      </w:r>
    </w:p>
    <w:p w14:paraId="42E81E1C" w14:textId="77777777" w:rsidR="004E2F51" w:rsidRDefault="004E2F51" w:rsidP="004E2F51">
      <w:pPr>
        <w:pStyle w:val="T1"/>
        <w:spacing w:before="0" w:after="0" w:line="240" w:lineRule="auto"/>
        <w:rPr>
          <w:rFonts w:cs="Arial"/>
          <w:b w:val="0"/>
          <w:bCs w:val="0"/>
          <w:color w:val="000000" w:themeColor="text1"/>
          <w:sz w:val="20"/>
          <w:lang w:val="hr-HR"/>
        </w:rPr>
      </w:pPr>
    </w:p>
    <w:p w14:paraId="5DD800FF" w14:textId="77777777" w:rsidR="004E2F51" w:rsidRPr="00C651CA" w:rsidRDefault="004E2F51" w:rsidP="004E2F51">
      <w:pPr>
        <w:pStyle w:val="T1"/>
        <w:spacing w:before="0" w:after="0" w:line="240" w:lineRule="auto"/>
        <w:rPr>
          <w:rFonts w:cs="Arial"/>
          <w:b w:val="0"/>
          <w:bCs w:val="0"/>
          <w:color w:val="000000" w:themeColor="text1"/>
          <w:sz w:val="20"/>
          <w:lang w:val="hr-HR"/>
        </w:rPr>
      </w:pPr>
    </w:p>
    <w:tbl>
      <w:tblPr>
        <w:tblW w:w="4985" w:type="pct"/>
        <w:tblLayout w:type="fixed"/>
        <w:tblCellMar>
          <w:left w:w="30" w:type="dxa"/>
          <w:right w:w="30" w:type="dxa"/>
        </w:tblCellMar>
        <w:tblLook w:val="0000" w:firstRow="0" w:lastRow="0" w:firstColumn="0" w:lastColumn="0" w:noHBand="0" w:noVBand="0"/>
      </w:tblPr>
      <w:tblGrid>
        <w:gridCol w:w="4761"/>
        <w:gridCol w:w="1142"/>
        <w:gridCol w:w="1142"/>
        <w:gridCol w:w="1142"/>
        <w:gridCol w:w="1140"/>
      </w:tblGrid>
      <w:tr w:rsidR="004E2F51" w:rsidRPr="009C411C" w14:paraId="4F5A0739" w14:textId="77777777" w:rsidTr="00E032FC">
        <w:trPr>
          <w:cantSplit/>
          <w:trHeight w:val="265"/>
          <w:tblHeader/>
        </w:trPr>
        <w:tc>
          <w:tcPr>
            <w:tcW w:w="2552" w:type="pct"/>
          </w:tcPr>
          <w:p w14:paraId="42AB14E6" w14:textId="77777777" w:rsidR="004E2F51" w:rsidRPr="009C411C" w:rsidRDefault="004E2F51" w:rsidP="00E032FC">
            <w:pPr>
              <w:tabs>
                <w:tab w:val="right" w:pos="1202"/>
              </w:tabs>
              <w:spacing w:line="240" w:lineRule="atLeast"/>
              <w:outlineLvl w:val="0"/>
              <w:rPr>
                <w:rFonts w:ascii="Arial" w:hAnsi="Arial" w:cs="Arial"/>
                <w:b/>
                <w:color w:val="000000" w:themeColor="text1"/>
                <w:sz w:val="18"/>
                <w:szCs w:val="18"/>
                <w:lang w:val="hr-HR"/>
              </w:rPr>
            </w:pPr>
            <w:bookmarkStart w:id="1494" w:name="_Toc67329264"/>
            <w:bookmarkStart w:id="1495" w:name="_Hlk499021691"/>
            <w:r w:rsidRPr="009C411C">
              <w:rPr>
                <w:rFonts w:ascii="Arial" w:hAnsi="Arial" w:cs="Arial"/>
                <w:b/>
                <w:color w:val="000000" w:themeColor="text1"/>
                <w:sz w:val="18"/>
                <w:szCs w:val="18"/>
                <w:lang w:val="hr-HR"/>
              </w:rPr>
              <w:t>Grupa</w:t>
            </w:r>
            <w:bookmarkEnd w:id="1494"/>
          </w:p>
          <w:p w14:paraId="384D825D" w14:textId="77777777" w:rsidR="004E2F51" w:rsidRPr="009C411C" w:rsidRDefault="004E2F51" w:rsidP="00E032FC">
            <w:pPr>
              <w:tabs>
                <w:tab w:val="right" w:pos="1202"/>
              </w:tabs>
              <w:spacing w:line="240" w:lineRule="atLeast"/>
              <w:outlineLvl w:val="0"/>
              <w:rPr>
                <w:rFonts w:ascii="Arial" w:hAnsi="Arial" w:cs="Arial"/>
                <w:b/>
                <w:color w:val="000000" w:themeColor="text1"/>
                <w:sz w:val="18"/>
                <w:szCs w:val="18"/>
                <w:lang w:val="hr-HR"/>
              </w:rPr>
            </w:pPr>
          </w:p>
          <w:p w14:paraId="108EF637" w14:textId="77777777" w:rsidR="004E2F51" w:rsidRPr="009C411C" w:rsidRDefault="004E2F51" w:rsidP="00E032FC">
            <w:pPr>
              <w:tabs>
                <w:tab w:val="right" w:pos="1202"/>
              </w:tabs>
              <w:spacing w:line="240" w:lineRule="atLeast"/>
              <w:outlineLvl w:val="0"/>
              <w:rPr>
                <w:rFonts w:ascii="Arial" w:hAnsi="Arial" w:cs="Arial"/>
                <w:b/>
                <w:color w:val="000000" w:themeColor="text1"/>
                <w:sz w:val="18"/>
                <w:szCs w:val="18"/>
                <w:lang w:val="hr-HR"/>
              </w:rPr>
            </w:pPr>
            <w:bookmarkStart w:id="1496" w:name="_Toc67329265"/>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2</w:t>
            </w:r>
            <w:r w:rsidRPr="009C411C">
              <w:rPr>
                <w:rFonts w:ascii="Arial" w:hAnsi="Arial" w:cs="Arial"/>
                <w:b/>
                <w:color w:val="000000" w:themeColor="text1"/>
                <w:sz w:val="18"/>
                <w:szCs w:val="18"/>
                <w:lang w:val="hr-HR"/>
              </w:rPr>
              <w:t>.</w:t>
            </w:r>
            <w:bookmarkEnd w:id="1496"/>
            <w:r w:rsidRPr="009C411C">
              <w:rPr>
                <w:rFonts w:ascii="Arial" w:hAnsi="Arial" w:cs="Arial"/>
                <w:b/>
                <w:color w:val="000000" w:themeColor="text1"/>
                <w:sz w:val="18"/>
                <w:szCs w:val="18"/>
                <w:lang w:val="hr-HR"/>
              </w:rPr>
              <w:t xml:space="preserve"> </w:t>
            </w:r>
          </w:p>
        </w:tc>
        <w:tc>
          <w:tcPr>
            <w:tcW w:w="612" w:type="pct"/>
            <w:vAlign w:val="bottom"/>
          </w:tcPr>
          <w:p w14:paraId="578859F2"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497" w:name="_Toc67329266"/>
            <w:r w:rsidRPr="009C411C">
              <w:rPr>
                <w:rFonts w:ascii="Arial" w:hAnsi="Arial" w:cs="Arial"/>
                <w:b/>
                <w:color w:val="000000" w:themeColor="text1"/>
                <w:sz w:val="18"/>
                <w:szCs w:val="18"/>
                <w:lang w:val="hr-HR"/>
              </w:rPr>
              <w:t>Republika Hrvatska</w:t>
            </w:r>
            <w:bookmarkEnd w:id="1497"/>
          </w:p>
        </w:tc>
        <w:tc>
          <w:tcPr>
            <w:tcW w:w="612" w:type="pct"/>
            <w:vAlign w:val="bottom"/>
          </w:tcPr>
          <w:p w14:paraId="24EF7B12"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498" w:name="_Toc67329267"/>
            <w:r w:rsidRPr="009C411C">
              <w:rPr>
                <w:rFonts w:ascii="Arial" w:hAnsi="Arial" w:cs="Arial"/>
                <w:b/>
                <w:color w:val="000000" w:themeColor="text1"/>
                <w:sz w:val="18"/>
                <w:szCs w:val="18"/>
                <w:lang w:val="hr-HR"/>
              </w:rPr>
              <w:t>Zemlje Europske unije</w:t>
            </w:r>
            <w:bookmarkEnd w:id="1498"/>
          </w:p>
        </w:tc>
        <w:tc>
          <w:tcPr>
            <w:tcW w:w="612" w:type="pct"/>
            <w:vAlign w:val="bottom"/>
          </w:tcPr>
          <w:p w14:paraId="1251396F"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499" w:name="_Toc67329268"/>
            <w:r w:rsidRPr="009C411C">
              <w:rPr>
                <w:rFonts w:ascii="Arial" w:hAnsi="Arial" w:cs="Arial"/>
                <w:b/>
                <w:color w:val="000000" w:themeColor="text1"/>
                <w:sz w:val="18"/>
                <w:szCs w:val="18"/>
                <w:lang w:val="hr-HR"/>
              </w:rPr>
              <w:t>Ostale</w:t>
            </w:r>
            <w:bookmarkEnd w:id="1499"/>
            <w:r w:rsidRPr="009C411C">
              <w:rPr>
                <w:rFonts w:ascii="Arial" w:hAnsi="Arial" w:cs="Arial"/>
                <w:b/>
                <w:color w:val="000000" w:themeColor="text1"/>
                <w:sz w:val="18"/>
                <w:szCs w:val="18"/>
                <w:lang w:val="hr-HR"/>
              </w:rPr>
              <w:t xml:space="preserve"> </w:t>
            </w:r>
          </w:p>
          <w:p w14:paraId="51150D46"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00" w:name="_Toc67329269"/>
            <w:r w:rsidRPr="009C411C">
              <w:rPr>
                <w:rFonts w:ascii="Arial" w:hAnsi="Arial" w:cs="Arial"/>
                <w:b/>
                <w:color w:val="000000" w:themeColor="text1"/>
                <w:sz w:val="18"/>
                <w:szCs w:val="18"/>
                <w:lang w:val="hr-HR"/>
              </w:rPr>
              <w:t>zemlje</w:t>
            </w:r>
            <w:bookmarkEnd w:id="1500"/>
            <w:r w:rsidRPr="009C411C">
              <w:rPr>
                <w:rFonts w:ascii="Arial" w:hAnsi="Arial" w:cs="Arial"/>
                <w:b/>
                <w:color w:val="000000" w:themeColor="text1"/>
                <w:sz w:val="18"/>
                <w:szCs w:val="18"/>
                <w:lang w:val="hr-HR"/>
              </w:rPr>
              <w:t xml:space="preserve"> </w:t>
            </w:r>
          </w:p>
        </w:tc>
        <w:tc>
          <w:tcPr>
            <w:tcW w:w="611" w:type="pct"/>
            <w:vAlign w:val="bottom"/>
          </w:tcPr>
          <w:p w14:paraId="2FAB07E1"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01" w:name="_Toc67329270"/>
            <w:r w:rsidRPr="009C411C">
              <w:rPr>
                <w:rFonts w:ascii="Arial" w:hAnsi="Arial" w:cs="Arial"/>
                <w:b/>
                <w:color w:val="000000" w:themeColor="text1"/>
                <w:sz w:val="18"/>
                <w:szCs w:val="18"/>
                <w:lang w:val="hr-HR"/>
              </w:rPr>
              <w:t>Ukupno</w:t>
            </w:r>
            <w:bookmarkEnd w:id="1501"/>
          </w:p>
        </w:tc>
      </w:tr>
      <w:tr w:rsidR="004E2F51" w:rsidRPr="009C411C" w14:paraId="65A226AD" w14:textId="77777777" w:rsidTr="00E032FC">
        <w:trPr>
          <w:cantSplit/>
          <w:trHeight w:val="265"/>
          <w:tblHeader/>
        </w:trPr>
        <w:tc>
          <w:tcPr>
            <w:tcW w:w="2552" w:type="pct"/>
          </w:tcPr>
          <w:p w14:paraId="4BD3F04C" w14:textId="77777777" w:rsidR="004E2F51" w:rsidRPr="009C411C" w:rsidRDefault="004E2F51" w:rsidP="00E032FC">
            <w:pPr>
              <w:ind w:left="113" w:hanging="113"/>
              <w:rPr>
                <w:rFonts w:ascii="Arial" w:hAnsi="Arial" w:cs="Arial"/>
                <w:color w:val="000000" w:themeColor="text1"/>
                <w:sz w:val="18"/>
                <w:szCs w:val="18"/>
                <w:lang w:val="hr-HR"/>
              </w:rPr>
            </w:pPr>
          </w:p>
        </w:tc>
        <w:tc>
          <w:tcPr>
            <w:tcW w:w="612" w:type="pct"/>
            <w:vAlign w:val="bottom"/>
          </w:tcPr>
          <w:p w14:paraId="1CB65E3E"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02" w:name="_Toc67329271"/>
            <w:r w:rsidRPr="009C411C">
              <w:rPr>
                <w:rFonts w:ascii="Arial" w:hAnsi="Arial" w:cs="Arial"/>
                <w:b/>
                <w:color w:val="000000" w:themeColor="text1"/>
                <w:sz w:val="18"/>
                <w:szCs w:val="18"/>
                <w:lang w:val="hr-HR"/>
              </w:rPr>
              <w:t>000 kuna</w:t>
            </w:r>
            <w:bookmarkEnd w:id="1502"/>
          </w:p>
        </w:tc>
        <w:tc>
          <w:tcPr>
            <w:tcW w:w="612" w:type="pct"/>
            <w:vAlign w:val="bottom"/>
          </w:tcPr>
          <w:p w14:paraId="1B4A20B4"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03" w:name="_Toc67329272"/>
            <w:r w:rsidRPr="009C411C">
              <w:rPr>
                <w:rFonts w:ascii="Arial" w:hAnsi="Arial" w:cs="Arial"/>
                <w:b/>
                <w:color w:val="000000" w:themeColor="text1"/>
                <w:sz w:val="18"/>
                <w:szCs w:val="18"/>
                <w:lang w:val="hr-HR"/>
              </w:rPr>
              <w:t>000 kuna</w:t>
            </w:r>
            <w:bookmarkEnd w:id="1503"/>
          </w:p>
        </w:tc>
        <w:tc>
          <w:tcPr>
            <w:tcW w:w="612" w:type="pct"/>
            <w:vAlign w:val="bottom"/>
          </w:tcPr>
          <w:p w14:paraId="05D56B5E"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04" w:name="_Toc67329273"/>
            <w:r w:rsidRPr="009C411C">
              <w:rPr>
                <w:rFonts w:ascii="Arial" w:hAnsi="Arial" w:cs="Arial"/>
                <w:b/>
                <w:color w:val="000000" w:themeColor="text1"/>
                <w:sz w:val="18"/>
                <w:szCs w:val="18"/>
                <w:lang w:val="hr-HR"/>
              </w:rPr>
              <w:t>000 kuna</w:t>
            </w:r>
            <w:bookmarkEnd w:id="1504"/>
          </w:p>
        </w:tc>
        <w:tc>
          <w:tcPr>
            <w:tcW w:w="611" w:type="pct"/>
            <w:vAlign w:val="bottom"/>
          </w:tcPr>
          <w:p w14:paraId="67849DAF"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05" w:name="_Toc67329274"/>
            <w:r w:rsidRPr="009C411C">
              <w:rPr>
                <w:rFonts w:ascii="Arial" w:hAnsi="Arial" w:cs="Arial"/>
                <w:b/>
                <w:color w:val="000000" w:themeColor="text1"/>
                <w:sz w:val="18"/>
                <w:szCs w:val="18"/>
                <w:lang w:val="hr-HR"/>
              </w:rPr>
              <w:t>000 kuna</w:t>
            </w:r>
            <w:bookmarkEnd w:id="1505"/>
          </w:p>
        </w:tc>
      </w:tr>
      <w:tr w:rsidR="004E2F51" w:rsidRPr="009C411C" w14:paraId="68EAC3C1" w14:textId="77777777" w:rsidTr="00E032FC">
        <w:trPr>
          <w:cantSplit/>
          <w:trHeight w:val="265"/>
          <w:tblHeader/>
        </w:trPr>
        <w:tc>
          <w:tcPr>
            <w:tcW w:w="2552" w:type="pct"/>
          </w:tcPr>
          <w:p w14:paraId="18B2AE77" w14:textId="77777777" w:rsidR="004E2F51" w:rsidRPr="009C411C" w:rsidRDefault="004E2F51" w:rsidP="00E032FC">
            <w:pPr>
              <w:ind w:left="113" w:hanging="113"/>
              <w:rPr>
                <w:rFonts w:ascii="Arial" w:hAnsi="Arial" w:cs="Arial"/>
                <w:color w:val="000000" w:themeColor="text1"/>
                <w:sz w:val="18"/>
                <w:szCs w:val="18"/>
                <w:lang w:val="hr-HR"/>
              </w:rPr>
            </w:pPr>
          </w:p>
        </w:tc>
        <w:tc>
          <w:tcPr>
            <w:tcW w:w="612" w:type="pct"/>
          </w:tcPr>
          <w:p w14:paraId="19DBC920" w14:textId="77777777" w:rsidR="004E2F51" w:rsidRPr="009C411C" w:rsidRDefault="004E2F51" w:rsidP="00E032FC">
            <w:pPr>
              <w:jc w:val="right"/>
              <w:rPr>
                <w:rFonts w:ascii="Arial" w:hAnsi="Arial" w:cs="Arial"/>
                <w:color w:val="000000" w:themeColor="text1"/>
                <w:sz w:val="18"/>
                <w:szCs w:val="18"/>
                <w:lang w:val="hr-HR"/>
              </w:rPr>
            </w:pPr>
          </w:p>
        </w:tc>
        <w:tc>
          <w:tcPr>
            <w:tcW w:w="612" w:type="pct"/>
          </w:tcPr>
          <w:p w14:paraId="1FBF8574" w14:textId="77777777" w:rsidR="004E2F51" w:rsidRPr="009C411C" w:rsidRDefault="004E2F51" w:rsidP="00E032FC">
            <w:pPr>
              <w:jc w:val="right"/>
              <w:rPr>
                <w:rFonts w:ascii="Arial" w:hAnsi="Arial" w:cs="Arial"/>
                <w:color w:val="000000" w:themeColor="text1"/>
                <w:sz w:val="18"/>
                <w:szCs w:val="18"/>
                <w:lang w:val="hr-HR"/>
              </w:rPr>
            </w:pPr>
          </w:p>
        </w:tc>
        <w:tc>
          <w:tcPr>
            <w:tcW w:w="612" w:type="pct"/>
          </w:tcPr>
          <w:p w14:paraId="116F68CB" w14:textId="77777777" w:rsidR="004E2F51" w:rsidRPr="009C411C" w:rsidRDefault="004E2F51" w:rsidP="00E032FC">
            <w:pPr>
              <w:jc w:val="right"/>
              <w:rPr>
                <w:rFonts w:ascii="Arial" w:hAnsi="Arial" w:cs="Arial"/>
                <w:color w:val="000000" w:themeColor="text1"/>
                <w:sz w:val="18"/>
                <w:szCs w:val="18"/>
                <w:lang w:val="hr-HR"/>
              </w:rPr>
            </w:pPr>
          </w:p>
        </w:tc>
        <w:tc>
          <w:tcPr>
            <w:tcW w:w="611" w:type="pct"/>
          </w:tcPr>
          <w:p w14:paraId="7A13E951" w14:textId="77777777" w:rsidR="004E2F51" w:rsidRPr="009C411C" w:rsidRDefault="004E2F51" w:rsidP="00E032FC">
            <w:pPr>
              <w:jc w:val="center"/>
              <w:rPr>
                <w:rFonts w:ascii="Arial" w:hAnsi="Arial" w:cs="Arial"/>
                <w:color w:val="000000" w:themeColor="text1"/>
                <w:sz w:val="18"/>
                <w:szCs w:val="18"/>
                <w:lang w:val="hr-HR"/>
              </w:rPr>
            </w:pPr>
          </w:p>
        </w:tc>
      </w:tr>
      <w:tr w:rsidR="004E2F51" w:rsidRPr="009C411C" w14:paraId="05F02BBF" w14:textId="77777777" w:rsidTr="00E032FC">
        <w:trPr>
          <w:cantSplit/>
          <w:trHeight w:val="265"/>
          <w:tblHeader/>
        </w:trPr>
        <w:tc>
          <w:tcPr>
            <w:tcW w:w="2552" w:type="pct"/>
          </w:tcPr>
          <w:p w14:paraId="1164C2B8" w14:textId="77777777" w:rsidR="004E2F51" w:rsidRPr="009C411C" w:rsidRDefault="004E2F51" w:rsidP="00E032FC">
            <w:pPr>
              <w:tabs>
                <w:tab w:val="right" w:pos="1202"/>
              </w:tabs>
              <w:spacing w:line="301" w:lineRule="exact"/>
              <w:outlineLvl w:val="0"/>
              <w:rPr>
                <w:rFonts w:ascii="Arial" w:hAnsi="Arial" w:cs="Arial"/>
                <w:b/>
                <w:bCs/>
                <w:color w:val="000000" w:themeColor="text1"/>
                <w:sz w:val="18"/>
                <w:szCs w:val="18"/>
                <w:lang w:val="hr-HR"/>
              </w:rPr>
            </w:pPr>
            <w:bookmarkStart w:id="1506" w:name="_Toc67329275"/>
            <w:r w:rsidRPr="009C411C">
              <w:rPr>
                <w:rFonts w:ascii="Arial" w:hAnsi="Arial" w:cs="Arial"/>
                <w:b/>
                <w:bCs/>
                <w:color w:val="000000" w:themeColor="text1"/>
                <w:sz w:val="18"/>
                <w:szCs w:val="18"/>
                <w:lang w:val="hr-HR"/>
              </w:rPr>
              <w:t>Imovina</w:t>
            </w:r>
            <w:bookmarkEnd w:id="1506"/>
          </w:p>
        </w:tc>
        <w:tc>
          <w:tcPr>
            <w:tcW w:w="612" w:type="pct"/>
          </w:tcPr>
          <w:p w14:paraId="618ECD21" w14:textId="77777777" w:rsidR="004E2F51" w:rsidRPr="009C411C" w:rsidRDefault="004E2F51" w:rsidP="00E032FC">
            <w:pPr>
              <w:jc w:val="right"/>
              <w:rPr>
                <w:rFonts w:ascii="Arial" w:hAnsi="Arial" w:cs="Arial"/>
                <w:color w:val="000000" w:themeColor="text1"/>
                <w:sz w:val="18"/>
                <w:szCs w:val="18"/>
                <w:lang w:val="hr-HR"/>
              </w:rPr>
            </w:pPr>
          </w:p>
        </w:tc>
        <w:tc>
          <w:tcPr>
            <w:tcW w:w="612" w:type="pct"/>
          </w:tcPr>
          <w:p w14:paraId="3E606559" w14:textId="77777777" w:rsidR="004E2F51" w:rsidRPr="009C411C" w:rsidRDefault="004E2F51" w:rsidP="00E032FC">
            <w:pPr>
              <w:jc w:val="right"/>
              <w:rPr>
                <w:rFonts w:ascii="Arial" w:hAnsi="Arial" w:cs="Arial"/>
                <w:color w:val="000000" w:themeColor="text1"/>
                <w:sz w:val="18"/>
                <w:szCs w:val="18"/>
                <w:lang w:val="hr-HR"/>
              </w:rPr>
            </w:pPr>
          </w:p>
        </w:tc>
        <w:tc>
          <w:tcPr>
            <w:tcW w:w="612" w:type="pct"/>
          </w:tcPr>
          <w:p w14:paraId="131CD290" w14:textId="77777777" w:rsidR="004E2F51" w:rsidRPr="009C411C" w:rsidRDefault="004E2F51" w:rsidP="00E032FC">
            <w:pPr>
              <w:jc w:val="right"/>
              <w:rPr>
                <w:rFonts w:ascii="Arial" w:hAnsi="Arial" w:cs="Arial"/>
                <w:color w:val="000000" w:themeColor="text1"/>
                <w:sz w:val="18"/>
                <w:szCs w:val="18"/>
                <w:lang w:val="hr-HR"/>
              </w:rPr>
            </w:pPr>
          </w:p>
        </w:tc>
        <w:tc>
          <w:tcPr>
            <w:tcW w:w="611" w:type="pct"/>
          </w:tcPr>
          <w:p w14:paraId="53C69FE0" w14:textId="77777777" w:rsidR="004E2F51" w:rsidRPr="009C411C" w:rsidRDefault="004E2F51" w:rsidP="00E032FC">
            <w:pPr>
              <w:jc w:val="center"/>
              <w:rPr>
                <w:rFonts w:ascii="Arial" w:hAnsi="Arial" w:cs="Arial"/>
                <w:color w:val="000000" w:themeColor="text1"/>
                <w:sz w:val="18"/>
                <w:szCs w:val="18"/>
                <w:lang w:val="hr-HR"/>
              </w:rPr>
            </w:pPr>
          </w:p>
        </w:tc>
      </w:tr>
      <w:tr w:rsidR="004E2F51" w:rsidRPr="009C411C" w14:paraId="5EBA7685" w14:textId="77777777" w:rsidTr="00E032FC">
        <w:trPr>
          <w:cantSplit/>
          <w:trHeight w:val="265"/>
          <w:tblHeader/>
        </w:trPr>
        <w:tc>
          <w:tcPr>
            <w:tcW w:w="2552" w:type="pct"/>
            <w:vAlign w:val="bottom"/>
          </w:tcPr>
          <w:p w14:paraId="69CAE9EB"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07" w:name="_Toc67329276"/>
            <w:r w:rsidRPr="009C411C">
              <w:rPr>
                <w:rFonts w:ascii="Arial" w:hAnsi="Arial" w:cs="Arial"/>
                <w:color w:val="000000" w:themeColor="text1"/>
                <w:sz w:val="18"/>
                <w:szCs w:val="18"/>
                <w:lang w:val="hr-HR"/>
              </w:rPr>
              <w:t>Novčana sredstva i računi kod banaka</w:t>
            </w:r>
            <w:bookmarkEnd w:id="1507"/>
          </w:p>
        </w:tc>
        <w:tc>
          <w:tcPr>
            <w:tcW w:w="612" w:type="pct"/>
            <w:tcBorders>
              <w:top w:val="nil"/>
              <w:left w:val="nil"/>
              <w:bottom w:val="nil"/>
              <w:right w:val="nil"/>
            </w:tcBorders>
            <w:shd w:val="clear" w:color="auto" w:fill="auto"/>
            <w:vAlign w:val="bottom"/>
          </w:tcPr>
          <w:p w14:paraId="287CCAAB"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1.621.810</w:t>
            </w:r>
          </w:p>
        </w:tc>
        <w:tc>
          <w:tcPr>
            <w:tcW w:w="612" w:type="pct"/>
            <w:tcBorders>
              <w:top w:val="nil"/>
              <w:left w:val="nil"/>
              <w:bottom w:val="nil"/>
              <w:right w:val="nil"/>
            </w:tcBorders>
            <w:shd w:val="clear" w:color="auto" w:fill="auto"/>
            <w:vAlign w:val="bottom"/>
          </w:tcPr>
          <w:p w14:paraId="5677C3FB"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85.475 </w:t>
            </w:r>
          </w:p>
        </w:tc>
        <w:tc>
          <w:tcPr>
            <w:tcW w:w="612" w:type="pct"/>
            <w:tcBorders>
              <w:top w:val="nil"/>
              <w:left w:val="nil"/>
              <w:bottom w:val="nil"/>
              <w:right w:val="nil"/>
            </w:tcBorders>
            <w:shd w:val="clear" w:color="auto" w:fill="auto"/>
            <w:vAlign w:val="bottom"/>
          </w:tcPr>
          <w:p w14:paraId="4BA6676C"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14.634 </w:t>
            </w:r>
          </w:p>
        </w:tc>
        <w:tc>
          <w:tcPr>
            <w:tcW w:w="611" w:type="pct"/>
            <w:tcBorders>
              <w:top w:val="nil"/>
              <w:left w:val="nil"/>
              <w:bottom w:val="nil"/>
              <w:right w:val="nil"/>
            </w:tcBorders>
            <w:shd w:val="clear" w:color="auto" w:fill="auto"/>
            <w:vAlign w:val="bottom"/>
          </w:tcPr>
          <w:p w14:paraId="49DA8203"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1.721.919</w:t>
            </w:r>
          </w:p>
        </w:tc>
      </w:tr>
      <w:tr w:rsidR="004E2F51" w:rsidRPr="009C411C" w14:paraId="709133BC" w14:textId="77777777" w:rsidTr="00E032FC">
        <w:trPr>
          <w:cantSplit/>
          <w:trHeight w:val="265"/>
          <w:tblHeader/>
        </w:trPr>
        <w:tc>
          <w:tcPr>
            <w:tcW w:w="2552" w:type="pct"/>
            <w:vAlign w:val="bottom"/>
          </w:tcPr>
          <w:p w14:paraId="3261A675"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08" w:name="_Toc67329281"/>
            <w:r w:rsidRPr="009C411C">
              <w:rPr>
                <w:rFonts w:ascii="Arial" w:hAnsi="Arial" w:cs="Arial"/>
                <w:color w:val="000000" w:themeColor="text1"/>
                <w:sz w:val="18"/>
                <w:szCs w:val="18"/>
                <w:lang w:val="hr-HR"/>
              </w:rPr>
              <w:t>Depoziti kod drugih banaka</w:t>
            </w:r>
            <w:bookmarkEnd w:id="1508"/>
          </w:p>
        </w:tc>
        <w:tc>
          <w:tcPr>
            <w:tcW w:w="612" w:type="pct"/>
            <w:tcBorders>
              <w:top w:val="nil"/>
              <w:left w:val="nil"/>
              <w:bottom w:val="nil"/>
              <w:right w:val="nil"/>
            </w:tcBorders>
            <w:shd w:val="clear" w:color="auto" w:fill="auto"/>
            <w:vAlign w:val="bottom"/>
          </w:tcPr>
          <w:p w14:paraId="673B9DAF"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22.584</w:t>
            </w:r>
          </w:p>
        </w:tc>
        <w:tc>
          <w:tcPr>
            <w:tcW w:w="612" w:type="pct"/>
            <w:tcBorders>
              <w:top w:val="nil"/>
              <w:left w:val="nil"/>
              <w:bottom w:val="nil"/>
              <w:right w:val="nil"/>
            </w:tcBorders>
            <w:shd w:val="clear" w:color="auto" w:fill="auto"/>
            <w:vAlign w:val="bottom"/>
          </w:tcPr>
          <w:p w14:paraId="751D31D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10.596 </w:t>
            </w:r>
          </w:p>
        </w:tc>
        <w:tc>
          <w:tcPr>
            <w:tcW w:w="612" w:type="pct"/>
            <w:tcBorders>
              <w:top w:val="nil"/>
              <w:left w:val="nil"/>
              <w:bottom w:val="nil"/>
              <w:right w:val="nil"/>
            </w:tcBorders>
            <w:shd w:val="clear" w:color="auto" w:fill="auto"/>
            <w:vAlign w:val="bottom"/>
          </w:tcPr>
          <w:p w14:paraId="7C0DFB30"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3F6A6AD5"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33.180</w:t>
            </w:r>
          </w:p>
        </w:tc>
      </w:tr>
      <w:tr w:rsidR="004E2F51" w:rsidRPr="009C411C" w14:paraId="60271A4B" w14:textId="77777777" w:rsidTr="00E032FC">
        <w:trPr>
          <w:cantSplit/>
          <w:trHeight w:val="265"/>
          <w:tblHeader/>
        </w:trPr>
        <w:tc>
          <w:tcPr>
            <w:tcW w:w="2552" w:type="pct"/>
            <w:vAlign w:val="bottom"/>
          </w:tcPr>
          <w:p w14:paraId="0D7AA2A5"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09" w:name="_Toc67329286"/>
            <w:r w:rsidRPr="009C411C">
              <w:rPr>
                <w:rFonts w:ascii="Arial" w:hAnsi="Arial" w:cs="Arial"/>
                <w:color w:val="000000" w:themeColor="text1"/>
                <w:sz w:val="18"/>
                <w:szCs w:val="18"/>
                <w:lang w:val="hr-HR"/>
              </w:rPr>
              <w:t>Krediti financijskim institucijama</w:t>
            </w:r>
            <w:bookmarkEnd w:id="1509"/>
          </w:p>
        </w:tc>
        <w:tc>
          <w:tcPr>
            <w:tcW w:w="612" w:type="pct"/>
            <w:tcBorders>
              <w:top w:val="nil"/>
              <w:left w:val="nil"/>
              <w:bottom w:val="nil"/>
              <w:right w:val="nil"/>
            </w:tcBorders>
            <w:shd w:val="clear" w:color="auto" w:fill="auto"/>
            <w:vAlign w:val="bottom"/>
          </w:tcPr>
          <w:p w14:paraId="34BE446C"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6.984.712 </w:t>
            </w:r>
          </w:p>
        </w:tc>
        <w:tc>
          <w:tcPr>
            <w:tcW w:w="612" w:type="pct"/>
            <w:tcBorders>
              <w:top w:val="nil"/>
              <w:left w:val="nil"/>
              <w:bottom w:val="nil"/>
              <w:right w:val="nil"/>
            </w:tcBorders>
            <w:shd w:val="clear" w:color="auto" w:fill="auto"/>
            <w:vAlign w:val="bottom"/>
          </w:tcPr>
          <w:p w14:paraId="0253AAB8"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   </w:t>
            </w:r>
          </w:p>
        </w:tc>
        <w:tc>
          <w:tcPr>
            <w:tcW w:w="612" w:type="pct"/>
            <w:tcBorders>
              <w:top w:val="nil"/>
              <w:left w:val="nil"/>
              <w:bottom w:val="nil"/>
              <w:right w:val="nil"/>
            </w:tcBorders>
            <w:shd w:val="clear" w:color="auto" w:fill="auto"/>
            <w:vAlign w:val="bottom"/>
          </w:tcPr>
          <w:p w14:paraId="5EC91342"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   </w:t>
            </w:r>
          </w:p>
        </w:tc>
        <w:tc>
          <w:tcPr>
            <w:tcW w:w="611" w:type="pct"/>
            <w:tcBorders>
              <w:top w:val="nil"/>
              <w:left w:val="nil"/>
              <w:bottom w:val="nil"/>
              <w:right w:val="nil"/>
            </w:tcBorders>
            <w:shd w:val="clear" w:color="auto" w:fill="auto"/>
            <w:vAlign w:val="bottom"/>
          </w:tcPr>
          <w:p w14:paraId="62F4B094"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6.984.712 </w:t>
            </w:r>
          </w:p>
        </w:tc>
      </w:tr>
      <w:tr w:rsidR="004E2F51" w:rsidRPr="009C411C" w14:paraId="7AE36DA2" w14:textId="77777777" w:rsidTr="00E032FC">
        <w:trPr>
          <w:cantSplit/>
          <w:trHeight w:val="265"/>
          <w:tblHeader/>
        </w:trPr>
        <w:tc>
          <w:tcPr>
            <w:tcW w:w="2552" w:type="pct"/>
            <w:vAlign w:val="bottom"/>
          </w:tcPr>
          <w:p w14:paraId="5728AB1A"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10" w:name="_Toc67329291"/>
            <w:r w:rsidRPr="009C411C">
              <w:rPr>
                <w:rFonts w:ascii="Arial" w:hAnsi="Arial" w:cs="Arial"/>
                <w:color w:val="000000" w:themeColor="text1"/>
                <w:sz w:val="18"/>
                <w:szCs w:val="18"/>
                <w:lang w:val="hr-HR"/>
              </w:rPr>
              <w:t>Krediti ostalim korisnicima</w:t>
            </w:r>
            <w:bookmarkEnd w:id="1510"/>
          </w:p>
        </w:tc>
        <w:tc>
          <w:tcPr>
            <w:tcW w:w="612" w:type="pct"/>
            <w:tcBorders>
              <w:top w:val="nil"/>
              <w:left w:val="nil"/>
              <w:bottom w:val="nil"/>
              <w:right w:val="nil"/>
            </w:tcBorders>
            <w:shd w:val="clear" w:color="auto" w:fill="auto"/>
            <w:vAlign w:val="bottom"/>
          </w:tcPr>
          <w:p w14:paraId="4E38E7F3"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17.317.730 </w:t>
            </w:r>
          </w:p>
        </w:tc>
        <w:tc>
          <w:tcPr>
            <w:tcW w:w="612" w:type="pct"/>
            <w:tcBorders>
              <w:top w:val="nil"/>
              <w:left w:val="nil"/>
              <w:bottom w:val="nil"/>
              <w:right w:val="nil"/>
            </w:tcBorders>
            <w:shd w:val="clear" w:color="auto" w:fill="auto"/>
            <w:vAlign w:val="bottom"/>
          </w:tcPr>
          <w:p w14:paraId="78273781"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   </w:t>
            </w:r>
          </w:p>
        </w:tc>
        <w:tc>
          <w:tcPr>
            <w:tcW w:w="612" w:type="pct"/>
            <w:tcBorders>
              <w:top w:val="nil"/>
              <w:left w:val="nil"/>
              <w:bottom w:val="nil"/>
              <w:right w:val="nil"/>
            </w:tcBorders>
            <w:shd w:val="clear" w:color="auto" w:fill="auto"/>
            <w:vAlign w:val="bottom"/>
          </w:tcPr>
          <w:p w14:paraId="1389551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84.936 </w:t>
            </w:r>
          </w:p>
        </w:tc>
        <w:tc>
          <w:tcPr>
            <w:tcW w:w="611" w:type="pct"/>
            <w:tcBorders>
              <w:top w:val="nil"/>
              <w:left w:val="nil"/>
              <w:bottom w:val="nil"/>
              <w:right w:val="nil"/>
            </w:tcBorders>
            <w:shd w:val="clear" w:color="auto" w:fill="auto"/>
            <w:vAlign w:val="bottom"/>
          </w:tcPr>
          <w:p w14:paraId="16920556"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17.402.666 </w:t>
            </w:r>
          </w:p>
        </w:tc>
      </w:tr>
      <w:tr w:rsidR="004E2F51" w:rsidRPr="009C411C" w14:paraId="335EC94C" w14:textId="77777777" w:rsidTr="00E032FC">
        <w:trPr>
          <w:cantSplit/>
          <w:trHeight w:val="265"/>
          <w:tblHeader/>
        </w:trPr>
        <w:tc>
          <w:tcPr>
            <w:tcW w:w="2552" w:type="pct"/>
            <w:vAlign w:val="bottom"/>
          </w:tcPr>
          <w:p w14:paraId="01F1E54E"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11" w:name="_Toc67329296"/>
            <w:r w:rsidRPr="009C411C">
              <w:rPr>
                <w:rFonts w:ascii="Arial" w:hAnsi="Arial" w:cs="Arial"/>
                <w:color w:val="000000" w:themeColor="text1"/>
                <w:sz w:val="18"/>
                <w:szCs w:val="18"/>
                <w:lang w:val="hr-HR"/>
              </w:rPr>
              <w:t>Financijska imovina po fer vrijednosti kroz dobit ili gubitak</w:t>
            </w:r>
            <w:bookmarkEnd w:id="1511"/>
          </w:p>
        </w:tc>
        <w:tc>
          <w:tcPr>
            <w:tcW w:w="612" w:type="pct"/>
            <w:tcBorders>
              <w:top w:val="nil"/>
              <w:left w:val="nil"/>
              <w:bottom w:val="nil"/>
              <w:right w:val="nil"/>
            </w:tcBorders>
            <w:shd w:val="clear" w:color="auto" w:fill="auto"/>
            <w:vAlign w:val="bottom"/>
          </w:tcPr>
          <w:p w14:paraId="37F681C8"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23.87</w:t>
            </w:r>
            <w:r>
              <w:rPr>
                <w:rFonts w:ascii="Arial" w:hAnsi="Arial" w:cs="Arial"/>
                <w:color w:val="000000" w:themeColor="text1"/>
                <w:sz w:val="18"/>
                <w:szCs w:val="18"/>
                <w:lang w:val="hr-HR"/>
              </w:rPr>
              <w:t>0</w:t>
            </w:r>
          </w:p>
        </w:tc>
        <w:tc>
          <w:tcPr>
            <w:tcW w:w="612" w:type="pct"/>
            <w:tcBorders>
              <w:top w:val="nil"/>
              <w:left w:val="nil"/>
              <w:bottom w:val="nil"/>
              <w:right w:val="nil"/>
            </w:tcBorders>
            <w:shd w:val="clear" w:color="auto" w:fill="auto"/>
            <w:vAlign w:val="bottom"/>
          </w:tcPr>
          <w:p w14:paraId="06DDA21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w:t>
            </w:r>
          </w:p>
        </w:tc>
        <w:tc>
          <w:tcPr>
            <w:tcW w:w="612" w:type="pct"/>
            <w:tcBorders>
              <w:top w:val="nil"/>
              <w:left w:val="nil"/>
              <w:bottom w:val="nil"/>
              <w:right w:val="nil"/>
            </w:tcBorders>
            <w:shd w:val="clear" w:color="auto" w:fill="auto"/>
            <w:vAlign w:val="bottom"/>
          </w:tcPr>
          <w:p w14:paraId="7F9FFAF5"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376B8875"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23.87</w:t>
            </w:r>
            <w:r>
              <w:rPr>
                <w:rFonts w:ascii="Arial" w:hAnsi="Arial" w:cs="Arial"/>
                <w:color w:val="000000" w:themeColor="text1"/>
                <w:sz w:val="18"/>
                <w:szCs w:val="18"/>
                <w:lang w:val="hr-HR"/>
              </w:rPr>
              <w:t>0</w:t>
            </w:r>
          </w:p>
        </w:tc>
      </w:tr>
      <w:tr w:rsidR="004E2F51" w:rsidRPr="009C411C" w14:paraId="3911C8AD" w14:textId="77777777" w:rsidTr="00E032FC">
        <w:trPr>
          <w:cantSplit/>
          <w:trHeight w:val="265"/>
          <w:tblHeader/>
        </w:trPr>
        <w:tc>
          <w:tcPr>
            <w:tcW w:w="2552" w:type="pct"/>
          </w:tcPr>
          <w:p w14:paraId="565D2573"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12" w:name="_Toc67329301"/>
            <w:r w:rsidRPr="009C411C">
              <w:rPr>
                <w:rFonts w:ascii="Arial" w:hAnsi="Arial" w:cs="Arial"/>
                <w:color w:val="000000" w:themeColor="text1"/>
                <w:sz w:val="18"/>
                <w:szCs w:val="18"/>
                <w:lang w:val="hr-HR"/>
              </w:rPr>
              <w:t>Financijska imovina po fer vrijednosti kroz ostalu sveobuhvatnu dobit</w:t>
            </w:r>
            <w:bookmarkEnd w:id="1512"/>
            <w:r w:rsidRPr="009C411C">
              <w:rPr>
                <w:rFonts w:ascii="Arial" w:hAnsi="Arial" w:cs="Arial"/>
                <w:color w:val="000000" w:themeColor="text1"/>
                <w:sz w:val="18"/>
                <w:szCs w:val="18"/>
                <w:lang w:val="hr-HR"/>
              </w:rPr>
              <w:t xml:space="preserve">  </w:t>
            </w:r>
          </w:p>
        </w:tc>
        <w:tc>
          <w:tcPr>
            <w:tcW w:w="612" w:type="pct"/>
            <w:tcBorders>
              <w:top w:val="nil"/>
              <w:left w:val="nil"/>
              <w:bottom w:val="nil"/>
              <w:right w:val="nil"/>
            </w:tcBorders>
            <w:shd w:val="clear" w:color="auto" w:fill="auto"/>
            <w:vAlign w:val="bottom"/>
          </w:tcPr>
          <w:p w14:paraId="4E72997F"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2.631.97</w:t>
            </w:r>
            <w:r>
              <w:rPr>
                <w:rFonts w:ascii="Arial" w:hAnsi="Arial" w:cs="Arial"/>
                <w:color w:val="000000" w:themeColor="text1"/>
                <w:sz w:val="18"/>
                <w:szCs w:val="18"/>
                <w:lang w:val="hr-HR"/>
              </w:rPr>
              <w:t>5</w:t>
            </w:r>
          </w:p>
        </w:tc>
        <w:tc>
          <w:tcPr>
            <w:tcW w:w="612" w:type="pct"/>
            <w:tcBorders>
              <w:top w:val="nil"/>
              <w:left w:val="nil"/>
              <w:bottom w:val="nil"/>
              <w:right w:val="nil"/>
            </w:tcBorders>
            <w:shd w:val="clear" w:color="auto" w:fill="auto"/>
            <w:vAlign w:val="bottom"/>
          </w:tcPr>
          <w:p w14:paraId="1D778C7C"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1.472</w:t>
            </w:r>
          </w:p>
        </w:tc>
        <w:tc>
          <w:tcPr>
            <w:tcW w:w="612" w:type="pct"/>
            <w:tcBorders>
              <w:top w:val="nil"/>
              <w:left w:val="nil"/>
              <w:bottom w:val="nil"/>
              <w:right w:val="nil"/>
            </w:tcBorders>
            <w:shd w:val="clear" w:color="auto" w:fill="auto"/>
            <w:vAlign w:val="bottom"/>
          </w:tcPr>
          <w:p w14:paraId="0E552161"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72EE3FC8"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2.633.44</w:t>
            </w:r>
            <w:r>
              <w:rPr>
                <w:rFonts w:ascii="Arial" w:hAnsi="Arial" w:cs="Arial"/>
                <w:color w:val="000000" w:themeColor="text1"/>
                <w:sz w:val="18"/>
                <w:szCs w:val="18"/>
                <w:lang w:val="hr-HR"/>
              </w:rPr>
              <w:t>7</w:t>
            </w:r>
          </w:p>
        </w:tc>
      </w:tr>
      <w:tr w:rsidR="004E2F51" w:rsidRPr="009C411C" w14:paraId="04BEFC81" w14:textId="77777777" w:rsidTr="00E032FC">
        <w:trPr>
          <w:cantSplit/>
          <w:trHeight w:val="265"/>
          <w:tblHeader/>
        </w:trPr>
        <w:tc>
          <w:tcPr>
            <w:tcW w:w="2552" w:type="pct"/>
            <w:vAlign w:val="bottom"/>
          </w:tcPr>
          <w:p w14:paraId="7A4C79C6"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13" w:name="_Toc67329311"/>
            <w:r w:rsidRPr="009C411C">
              <w:rPr>
                <w:rFonts w:ascii="Arial" w:hAnsi="Arial" w:cs="Arial"/>
                <w:color w:val="000000" w:themeColor="text1"/>
                <w:sz w:val="18"/>
                <w:szCs w:val="18"/>
                <w:lang w:val="hr-HR"/>
              </w:rPr>
              <w:t>Ostala imovina</w:t>
            </w:r>
            <w:bookmarkEnd w:id="1513"/>
          </w:p>
        </w:tc>
        <w:tc>
          <w:tcPr>
            <w:tcW w:w="612" w:type="pct"/>
            <w:tcBorders>
              <w:top w:val="nil"/>
              <w:left w:val="nil"/>
              <w:bottom w:val="single" w:sz="4" w:space="0" w:color="auto"/>
              <w:right w:val="nil"/>
            </w:tcBorders>
            <w:shd w:val="clear" w:color="auto" w:fill="auto"/>
            <w:vAlign w:val="bottom"/>
          </w:tcPr>
          <w:p w14:paraId="62E89478"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5.2</w:t>
            </w:r>
            <w:r>
              <w:rPr>
                <w:rFonts w:ascii="Arial" w:hAnsi="Arial" w:cs="Arial"/>
                <w:color w:val="000000" w:themeColor="text1"/>
                <w:sz w:val="18"/>
                <w:szCs w:val="18"/>
                <w:lang w:val="hr-HR"/>
              </w:rPr>
              <w:t>79</w:t>
            </w:r>
          </w:p>
        </w:tc>
        <w:tc>
          <w:tcPr>
            <w:tcW w:w="612" w:type="pct"/>
            <w:tcBorders>
              <w:top w:val="nil"/>
              <w:left w:val="nil"/>
              <w:bottom w:val="single" w:sz="4" w:space="0" w:color="auto"/>
              <w:right w:val="nil"/>
            </w:tcBorders>
            <w:shd w:val="clear" w:color="auto" w:fill="auto"/>
            <w:vAlign w:val="bottom"/>
          </w:tcPr>
          <w:p w14:paraId="0F949D08"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1.370</w:t>
            </w:r>
          </w:p>
        </w:tc>
        <w:tc>
          <w:tcPr>
            <w:tcW w:w="612" w:type="pct"/>
            <w:tcBorders>
              <w:top w:val="nil"/>
              <w:left w:val="nil"/>
              <w:bottom w:val="single" w:sz="4" w:space="0" w:color="auto"/>
              <w:right w:val="nil"/>
            </w:tcBorders>
            <w:shd w:val="clear" w:color="auto" w:fill="auto"/>
            <w:vAlign w:val="bottom"/>
          </w:tcPr>
          <w:p w14:paraId="535902CA"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3.069</w:t>
            </w:r>
          </w:p>
        </w:tc>
        <w:tc>
          <w:tcPr>
            <w:tcW w:w="611" w:type="pct"/>
            <w:tcBorders>
              <w:top w:val="nil"/>
              <w:left w:val="nil"/>
              <w:bottom w:val="single" w:sz="4" w:space="0" w:color="auto"/>
              <w:right w:val="nil"/>
            </w:tcBorders>
            <w:shd w:val="clear" w:color="auto" w:fill="auto"/>
            <w:vAlign w:val="bottom"/>
          </w:tcPr>
          <w:p w14:paraId="18CCD2C8"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9.718</w:t>
            </w:r>
          </w:p>
        </w:tc>
      </w:tr>
      <w:tr w:rsidR="004E2F51" w:rsidRPr="009C411C" w14:paraId="0E48E897" w14:textId="77777777" w:rsidTr="00E032FC">
        <w:trPr>
          <w:cantSplit/>
          <w:trHeight w:val="315"/>
          <w:tblHeader/>
        </w:trPr>
        <w:tc>
          <w:tcPr>
            <w:tcW w:w="2552" w:type="pct"/>
            <w:vAlign w:val="bottom"/>
          </w:tcPr>
          <w:p w14:paraId="2DE99D08" w14:textId="77777777" w:rsidR="004E2F51" w:rsidRPr="009C411C" w:rsidRDefault="004E2F51" w:rsidP="00E032FC">
            <w:pPr>
              <w:tabs>
                <w:tab w:val="right" w:pos="1202"/>
              </w:tabs>
              <w:spacing w:line="301" w:lineRule="exact"/>
              <w:outlineLvl w:val="0"/>
              <w:rPr>
                <w:rFonts w:ascii="Arial" w:hAnsi="Arial" w:cs="Arial"/>
                <w:b/>
                <w:bCs/>
                <w:color w:val="000000" w:themeColor="text1"/>
                <w:sz w:val="18"/>
                <w:szCs w:val="18"/>
                <w:lang w:val="hr-HR"/>
              </w:rPr>
            </w:pPr>
            <w:bookmarkStart w:id="1514" w:name="_Toc67329316"/>
            <w:r w:rsidRPr="009C411C">
              <w:rPr>
                <w:rFonts w:ascii="Arial" w:hAnsi="Arial" w:cs="Arial"/>
                <w:b/>
                <w:bCs/>
                <w:color w:val="000000" w:themeColor="text1"/>
                <w:sz w:val="18"/>
                <w:szCs w:val="18"/>
                <w:lang w:val="hr-HR"/>
              </w:rPr>
              <w:t>Ukupno</w:t>
            </w:r>
            <w:bookmarkEnd w:id="1514"/>
            <w:r w:rsidRPr="009C411C">
              <w:rPr>
                <w:rFonts w:ascii="Arial" w:hAnsi="Arial" w:cs="Arial"/>
                <w:b/>
                <w:bCs/>
                <w:color w:val="000000" w:themeColor="text1"/>
                <w:sz w:val="18"/>
                <w:szCs w:val="18"/>
                <w:lang w:val="hr-HR"/>
              </w:rPr>
              <w:t xml:space="preserve"> </w:t>
            </w:r>
          </w:p>
        </w:tc>
        <w:tc>
          <w:tcPr>
            <w:tcW w:w="612" w:type="pct"/>
            <w:tcBorders>
              <w:top w:val="nil"/>
              <w:left w:val="nil"/>
              <w:bottom w:val="single" w:sz="8" w:space="0" w:color="auto"/>
              <w:right w:val="nil"/>
            </w:tcBorders>
            <w:shd w:val="clear" w:color="auto" w:fill="auto"/>
            <w:vAlign w:val="bottom"/>
          </w:tcPr>
          <w:p w14:paraId="763A1046"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3619B">
              <w:rPr>
                <w:rFonts w:ascii="Arial" w:hAnsi="Arial" w:cs="Arial"/>
                <w:b/>
                <w:bCs/>
                <w:color w:val="000000" w:themeColor="text1"/>
                <w:sz w:val="18"/>
                <w:szCs w:val="18"/>
                <w:lang w:val="hr-HR"/>
              </w:rPr>
              <w:t>28.607.960</w:t>
            </w:r>
          </w:p>
        </w:tc>
        <w:tc>
          <w:tcPr>
            <w:tcW w:w="612" w:type="pct"/>
            <w:tcBorders>
              <w:top w:val="nil"/>
              <w:left w:val="nil"/>
              <w:bottom w:val="single" w:sz="8" w:space="0" w:color="auto"/>
              <w:right w:val="nil"/>
            </w:tcBorders>
            <w:shd w:val="clear" w:color="auto" w:fill="auto"/>
            <w:vAlign w:val="bottom"/>
          </w:tcPr>
          <w:p w14:paraId="2C8F3B80"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3619B">
              <w:rPr>
                <w:rFonts w:ascii="Arial" w:hAnsi="Arial" w:cs="Arial"/>
                <w:b/>
                <w:bCs/>
                <w:color w:val="000000" w:themeColor="text1"/>
                <w:sz w:val="18"/>
                <w:szCs w:val="18"/>
                <w:lang w:val="hr-HR"/>
              </w:rPr>
              <w:t>98.913</w:t>
            </w:r>
          </w:p>
        </w:tc>
        <w:tc>
          <w:tcPr>
            <w:tcW w:w="612" w:type="pct"/>
            <w:tcBorders>
              <w:top w:val="nil"/>
              <w:left w:val="nil"/>
              <w:bottom w:val="single" w:sz="8" w:space="0" w:color="auto"/>
              <w:right w:val="nil"/>
            </w:tcBorders>
            <w:shd w:val="clear" w:color="auto" w:fill="auto"/>
            <w:vAlign w:val="bottom"/>
          </w:tcPr>
          <w:p w14:paraId="0DEA70E6"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3619B">
              <w:rPr>
                <w:rFonts w:ascii="Arial" w:hAnsi="Arial" w:cs="Arial"/>
                <w:b/>
                <w:bCs/>
                <w:color w:val="000000" w:themeColor="text1"/>
                <w:sz w:val="18"/>
                <w:szCs w:val="18"/>
                <w:lang w:val="hr-HR"/>
              </w:rPr>
              <w:t>102.639</w:t>
            </w:r>
          </w:p>
        </w:tc>
        <w:tc>
          <w:tcPr>
            <w:tcW w:w="611" w:type="pct"/>
            <w:tcBorders>
              <w:top w:val="nil"/>
              <w:left w:val="nil"/>
              <w:bottom w:val="single" w:sz="8" w:space="0" w:color="auto"/>
              <w:right w:val="nil"/>
            </w:tcBorders>
            <w:shd w:val="clear" w:color="auto" w:fill="auto"/>
            <w:vAlign w:val="bottom"/>
          </w:tcPr>
          <w:p w14:paraId="75F9E165"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3619B">
              <w:rPr>
                <w:rFonts w:ascii="Arial" w:hAnsi="Arial" w:cs="Arial"/>
                <w:b/>
                <w:bCs/>
                <w:color w:val="000000" w:themeColor="text1"/>
                <w:sz w:val="18"/>
                <w:szCs w:val="18"/>
                <w:lang w:val="hr-HR"/>
              </w:rPr>
              <w:t>28.809.512</w:t>
            </w:r>
          </w:p>
        </w:tc>
      </w:tr>
      <w:tr w:rsidR="004E2F51" w:rsidRPr="009C411C" w14:paraId="22A14A6F" w14:textId="77777777" w:rsidTr="00E032FC">
        <w:tblPrEx>
          <w:tblCellMar>
            <w:left w:w="31" w:type="dxa"/>
            <w:right w:w="31" w:type="dxa"/>
          </w:tblCellMar>
        </w:tblPrEx>
        <w:trPr>
          <w:cantSplit/>
          <w:trHeight w:val="265"/>
          <w:tblHeader/>
        </w:trPr>
        <w:tc>
          <w:tcPr>
            <w:tcW w:w="2552" w:type="pct"/>
            <w:vAlign w:val="bottom"/>
          </w:tcPr>
          <w:p w14:paraId="1E0F96F0" w14:textId="77777777" w:rsidR="004E2F51" w:rsidRPr="009C411C" w:rsidRDefault="004E2F51" w:rsidP="00E032FC">
            <w:pPr>
              <w:tabs>
                <w:tab w:val="right" w:pos="1202"/>
              </w:tabs>
              <w:spacing w:line="301" w:lineRule="exact"/>
              <w:outlineLvl w:val="0"/>
              <w:rPr>
                <w:rFonts w:ascii="Arial" w:hAnsi="Arial" w:cs="Arial"/>
                <w:b/>
                <w:bCs/>
                <w:color w:val="000000" w:themeColor="text1"/>
                <w:sz w:val="18"/>
                <w:szCs w:val="18"/>
                <w:lang w:val="hr-HR"/>
              </w:rPr>
            </w:pPr>
          </w:p>
        </w:tc>
        <w:tc>
          <w:tcPr>
            <w:tcW w:w="612" w:type="pct"/>
            <w:tcBorders>
              <w:top w:val="single" w:sz="12" w:space="0" w:color="auto"/>
            </w:tcBorders>
            <w:vAlign w:val="bottom"/>
          </w:tcPr>
          <w:p w14:paraId="571E43DC"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3F1E447C"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073622AA"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611" w:type="pct"/>
            <w:tcBorders>
              <w:top w:val="single" w:sz="12" w:space="0" w:color="auto"/>
            </w:tcBorders>
            <w:vAlign w:val="bottom"/>
          </w:tcPr>
          <w:p w14:paraId="42DC9086"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r>
      <w:tr w:rsidR="004E2F51" w:rsidRPr="009C411C" w14:paraId="795A8BDD" w14:textId="77777777" w:rsidTr="00E032FC">
        <w:tblPrEx>
          <w:tblCellMar>
            <w:left w:w="31" w:type="dxa"/>
            <w:right w:w="31" w:type="dxa"/>
          </w:tblCellMar>
        </w:tblPrEx>
        <w:trPr>
          <w:cantSplit/>
          <w:trHeight w:val="265"/>
          <w:tblHeader/>
        </w:trPr>
        <w:tc>
          <w:tcPr>
            <w:tcW w:w="2552" w:type="pct"/>
          </w:tcPr>
          <w:p w14:paraId="20B1516D" w14:textId="77777777" w:rsidR="004E2F51" w:rsidRPr="009C411C" w:rsidRDefault="004E2F51" w:rsidP="00E032FC">
            <w:pPr>
              <w:tabs>
                <w:tab w:val="right" w:pos="1202"/>
              </w:tabs>
              <w:spacing w:line="301" w:lineRule="exact"/>
              <w:outlineLvl w:val="0"/>
              <w:rPr>
                <w:rFonts w:ascii="Arial" w:hAnsi="Arial" w:cs="Arial"/>
                <w:b/>
                <w:bCs/>
                <w:color w:val="000000" w:themeColor="text1"/>
                <w:sz w:val="18"/>
                <w:szCs w:val="18"/>
                <w:lang w:val="hr-HR"/>
              </w:rPr>
            </w:pPr>
            <w:bookmarkStart w:id="1515" w:name="_Toc67329321"/>
            <w:r w:rsidRPr="009C411C">
              <w:rPr>
                <w:rFonts w:ascii="Arial" w:hAnsi="Arial" w:cs="Arial"/>
                <w:b/>
                <w:bCs/>
                <w:color w:val="000000" w:themeColor="text1"/>
                <w:sz w:val="18"/>
                <w:szCs w:val="18"/>
                <w:lang w:val="hr-HR"/>
              </w:rPr>
              <w:t>Garancije i preuzete obveze</w:t>
            </w:r>
            <w:bookmarkEnd w:id="1515"/>
          </w:p>
        </w:tc>
        <w:tc>
          <w:tcPr>
            <w:tcW w:w="612" w:type="pct"/>
            <w:vAlign w:val="bottom"/>
          </w:tcPr>
          <w:p w14:paraId="4D8D98EA"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612" w:type="pct"/>
            <w:vAlign w:val="bottom"/>
          </w:tcPr>
          <w:p w14:paraId="4C302C70"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612" w:type="pct"/>
            <w:vAlign w:val="bottom"/>
          </w:tcPr>
          <w:p w14:paraId="6F259FF3"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611" w:type="pct"/>
            <w:vAlign w:val="bottom"/>
          </w:tcPr>
          <w:p w14:paraId="11761043"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r>
      <w:tr w:rsidR="004E2F51" w:rsidRPr="009C411C" w14:paraId="525E2DA4" w14:textId="77777777" w:rsidTr="00E032FC">
        <w:tblPrEx>
          <w:tblCellMar>
            <w:left w:w="31" w:type="dxa"/>
            <w:right w:w="31" w:type="dxa"/>
          </w:tblCellMar>
        </w:tblPrEx>
        <w:trPr>
          <w:cantSplit/>
          <w:trHeight w:val="265"/>
          <w:tblHeader/>
        </w:trPr>
        <w:tc>
          <w:tcPr>
            <w:tcW w:w="2552" w:type="pct"/>
          </w:tcPr>
          <w:p w14:paraId="21B49FF6" w14:textId="77777777" w:rsidR="004E2F51" w:rsidRPr="009C411C" w:rsidRDefault="004E2F51" w:rsidP="00E032FC">
            <w:pPr>
              <w:tabs>
                <w:tab w:val="right" w:pos="1202"/>
              </w:tabs>
              <w:spacing w:line="301" w:lineRule="exact"/>
              <w:outlineLvl w:val="0"/>
              <w:rPr>
                <w:rFonts w:ascii="Arial" w:hAnsi="Arial" w:cs="Arial"/>
                <w:b/>
                <w:bCs/>
                <w:color w:val="000000" w:themeColor="text1"/>
                <w:sz w:val="18"/>
                <w:szCs w:val="18"/>
                <w:lang w:val="hr-HR"/>
              </w:rPr>
            </w:pPr>
            <w:bookmarkStart w:id="1516" w:name="_Toc67329322"/>
            <w:r w:rsidRPr="009C411C">
              <w:rPr>
                <w:rFonts w:ascii="Arial" w:hAnsi="Arial" w:cs="Arial"/>
                <w:color w:val="000000" w:themeColor="text1"/>
                <w:sz w:val="18"/>
                <w:szCs w:val="18"/>
                <w:lang w:val="hr-HR"/>
              </w:rPr>
              <w:t>Izdane garancije u kunama</w:t>
            </w:r>
            <w:bookmarkEnd w:id="1516"/>
          </w:p>
        </w:tc>
        <w:tc>
          <w:tcPr>
            <w:tcW w:w="612" w:type="pct"/>
            <w:tcBorders>
              <w:top w:val="nil"/>
              <w:left w:val="nil"/>
              <w:bottom w:val="nil"/>
              <w:right w:val="nil"/>
            </w:tcBorders>
            <w:shd w:val="clear" w:color="auto" w:fill="auto"/>
            <w:vAlign w:val="bottom"/>
          </w:tcPr>
          <w:p w14:paraId="296971D1"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86.470 </w:t>
            </w:r>
          </w:p>
        </w:tc>
        <w:tc>
          <w:tcPr>
            <w:tcW w:w="612" w:type="pct"/>
            <w:tcBorders>
              <w:top w:val="nil"/>
              <w:left w:val="nil"/>
              <w:bottom w:val="nil"/>
              <w:right w:val="nil"/>
            </w:tcBorders>
            <w:shd w:val="clear" w:color="auto" w:fill="auto"/>
            <w:vAlign w:val="bottom"/>
          </w:tcPr>
          <w:p w14:paraId="4D402369"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2" w:type="pct"/>
            <w:tcBorders>
              <w:top w:val="nil"/>
              <w:left w:val="nil"/>
              <w:bottom w:val="nil"/>
              <w:right w:val="nil"/>
            </w:tcBorders>
            <w:shd w:val="clear" w:color="auto" w:fill="auto"/>
            <w:vAlign w:val="bottom"/>
          </w:tcPr>
          <w:p w14:paraId="309B4DBC"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5101EFED"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86.470 </w:t>
            </w:r>
          </w:p>
        </w:tc>
      </w:tr>
      <w:tr w:rsidR="004E2F51" w:rsidRPr="009C411C" w14:paraId="0258C553" w14:textId="77777777" w:rsidTr="00E032FC">
        <w:tblPrEx>
          <w:tblCellMar>
            <w:left w:w="31" w:type="dxa"/>
            <w:right w:w="31" w:type="dxa"/>
          </w:tblCellMar>
        </w:tblPrEx>
        <w:trPr>
          <w:cantSplit/>
          <w:trHeight w:val="265"/>
          <w:tblHeader/>
        </w:trPr>
        <w:tc>
          <w:tcPr>
            <w:tcW w:w="2552" w:type="pct"/>
            <w:vAlign w:val="bottom"/>
          </w:tcPr>
          <w:p w14:paraId="0209BE8E"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17" w:name="_Toc67329327"/>
            <w:r w:rsidRPr="009C411C">
              <w:rPr>
                <w:rFonts w:ascii="Arial" w:hAnsi="Arial" w:cs="Arial"/>
                <w:color w:val="000000" w:themeColor="text1"/>
                <w:sz w:val="18"/>
                <w:szCs w:val="18"/>
                <w:lang w:val="hr-HR"/>
              </w:rPr>
              <w:t>Izdane garancije u devizama</w:t>
            </w:r>
            <w:bookmarkEnd w:id="1517"/>
          </w:p>
        </w:tc>
        <w:tc>
          <w:tcPr>
            <w:tcW w:w="612" w:type="pct"/>
            <w:tcBorders>
              <w:top w:val="nil"/>
              <w:left w:val="nil"/>
              <w:bottom w:val="nil"/>
              <w:right w:val="nil"/>
            </w:tcBorders>
            <w:shd w:val="clear" w:color="auto" w:fill="auto"/>
            <w:vAlign w:val="bottom"/>
          </w:tcPr>
          <w:p w14:paraId="4ADFF61F"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162.516 </w:t>
            </w:r>
          </w:p>
        </w:tc>
        <w:tc>
          <w:tcPr>
            <w:tcW w:w="612" w:type="pct"/>
            <w:tcBorders>
              <w:top w:val="nil"/>
              <w:left w:val="nil"/>
              <w:bottom w:val="nil"/>
              <w:right w:val="nil"/>
            </w:tcBorders>
            <w:shd w:val="clear" w:color="auto" w:fill="auto"/>
            <w:vAlign w:val="bottom"/>
          </w:tcPr>
          <w:p w14:paraId="0CF1E75F"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2" w:type="pct"/>
            <w:tcBorders>
              <w:top w:val="nil"/>
              <w:left w:val="nil"/>
              <w:bottom w:val="nil"/>
              <w:right w:val="nil"/>
            </w:tcBorders>
            <w:shd w:val="clear" w:color="auto" w:fill="auto"/>
            <w:vAlign w:val="bottom"/>
          </w:tcPr>
          <w:p w14:paraId="3745E56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0F7E7B9C"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162.516 </w:t>
            </w:r>
          </w:p>
        </w:tc>
      </w:tr>
      <w:tr w:rsidR="004E2F51" w:rsidRPr="009C411C" w14:paraId="15A8E9B0" w14:textId="77777777" w:rsidTr="00E032FC">
        <w:tblPrEx>
          <w:tblCellMar>
            <w:left w:w="31" w:type="dxa"/>
            <w:right w:w="31" w:type="dxa"/>
          </w:tblCellMar>
        </w:tblPrEx>
        <w:trPr>
          <w:cantSplit/>
          <w:trHeight w:val="265"/>
          <w:tblHeader/>
        </w:trPr>
        <w:tc>
          <w:tcPr>
            <w:tcW w:w="2552" w:type="pct"/>
            <w:vAlign w:val="bottom"/>
          </w:tcPr>
          <w:p w14:paraId="2296B6BA"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Otvoreni akreditivi u devizama</w:t>
            </w:r>
          </w:p>
        </w:tc>
        <w:tc>
          <w:tcPr>
            <w:tcW w:w="612" w:type="pct"/>
            <w:tcBorders>
              <w:top w:val="nil"/>
              <w:left w:val="nil"/>
              <w:bottom w:val="nil"/>
              <w:right w:val="nil"/>
            </w:tcBorders>
            <w:shd w:val="clear" w:color="auto" w:fill="auto"/>
            <w:vAlign w:val="bottom"/>
          </w:tcPr>
          <w:p w14:paraId="0AECD28B"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1.243 </w:t>
            </w:r>
          </w:p>
        </w:tc>
        <w:tc>
          <w:tcPr>
            <w:tcW w:w="612" w:type="pct"/>
            <w:tcBorders>
              <w:top w:val="nil"/>
              <w:left w:val="nil"/>
              <w:bottom w:val="nil"/>
              <w:right w:val="nil"/>
            </w:tcBorders>
            <w:shd w:val="clear" w:color="auto" w:fill="auto"/>
            <w:vAlign w:val="bottom"/>
          </w:tcPr>
          <w:p w14:paraId="3A55E83A"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2" w:type="pct"/>
            <w:tcBorders>
              <w:top w:val="nil"/>
              <w:left w:val="nil"/>
              <w:bottom w:val="nil"/>
              <w:right w:val="nil"/>
            </w:tcBorders>
            <w:shd w:val="clear" w:color="auto" w:fill="auto"/>
            <w:vAlign w:val="bottom"/>
          </w:tcPr>
          <w:p w14:paraId="0CBAC8B9"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74B317E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1.243 </w:t>
            </w:r>
          </w:p>
        </w:tc>
      </w:tr>
      <w:tr w:rsidR="004E2F51" w:rsidRPr="009C411C" w14:paraId="728B2F5C" w14:textId="77777777" w:rsidTr="00E032FC">
        <w:tblPrEx>
          <w:tblCellMar>
            <w:left w:w="31" w:type="dxa"/>
            <w:right w:w="31" w:type="dxa"/>
          </w:tblCellMar>
        </w:tblPrEx>
        <w:trPr>
          <w:cantSplit/>
          <w:trHeight w:val="265"/>
          <w:tblHeader/>
        </w:trPr>
        <w:tc>
          <w:tcPr>
            <w:tcW w:w="2552" w:type="pct"/>
            <w:vAlign w:val="bottom"/>
          </w:tcPr>
          <w:p w14:paraId="0C19C6A7"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18" w:name="_Toc67329337"/>
            <w:r w:rsidRPr="009C411C">
              <w:rPr>
                <w:rFonts w:ascii="Arial" w:hAnsi="Arial" w:cs="Arial"/>
                <w:color w:val="000000" w:themeColor="text1"/>
                <w:sz w:val="18"/>
                <w:szCs w:val="18"/>
                <w:lang w:val="hr-HR"/>
              </w:rPr>
              <w:t>Preuzete obveze po kreditima</w:t>
            </w:r>
            <w:bookmarkEnd w:id="1518"/>
          </w:p>
        </w:tc>
        <w:tc>
          <w:tcPr>
            <w:tcW w:w="612" w:type="pct"/>
            <w:tcBorders>
              <w:top w:val="nil"/>
              <w:left w:val="nil"/>
              <w:bottom w:val="single" w:sz="4" w:space="0" w:color="auto"/>
              <w:right w:val="nil"/>
            </w:tcBorders>
            <w:shd w:val="clear" w:color="auto" w:fill="auto"/>
            <w:vAlign w:val="bottom"/>
          </w:tcPr>
          <w:p w14:paraId="53E6B39B"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2.647.931 </w:t>
            </w:r>
          </w:p>
        </w:tc>
        <w:tc>
          <w:tcPr>
            <w:tcW w:w="612" w:type="pct"/>
            <w:tcBorders>
              <w:top w:val="nil"/>
              <w:left w:val="nil"/>
              <w:bottom w:val="single" w:sz="4" w:space="0" w:color="auto"/>
              <w:right w:val="nil"/>
            </w:tcBorders>
            <w:shd w:val="clear" w:color="auto" w:fill="auto"/>
            <w:vAlign w:val="bottom"/>
          </w:tcPr>
          <w:p w14:paraId="54853153"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2" w:type="pct"/>
            <w:tcBorders>
              <w:top w:val="nil"/>
              <w:left w:val="nil"/>
              <w:bottom w:val="single" w:sz="4" w:space="0" w:color="auto"/>
              <w:right w:val="nil"/>
            </w:tcBorders>
            <w:shd w:val="clear" w:color="auto" w:fill="auto"/>
            <w:vAlign w:val="bottom"/>
          </w:tcPr>
          <w:p w14:paraId="14C22C33"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11" w:type="pct"/>
            <w:tcBorders>
              <w:top w:val="nil"/>
              <w:left w:val="nil"/>
              <w:bottom w:val="single" w:sz="4" w:space="0" w:color="auto"/>
              <w:right w:val="nil"/>
            </w:tcBorders>
            <w:shd w:val="clear" w:color="auto" w:fill="auto"/>
            <w:vAlign w:val="bottom"/>
          </w:tcPr>
          <w:p w14:paraId="78265B58"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2.647.931 </w:t>
            </w:r>
          </w:p>
        </w:tc>
      </w:tr>
      <w:tr w:rsidR="004E2F51" w:rsidRPr="009C411C" w14:paraId="75226A51" w14:textId="77777777" w:rsidTr="00E032FC">
        <w:tblPrEx>
          <w:tblCellMar>
            <w:left w:w="31" w:type="dxa"/>
            <w:right w:w="31" w:type="dxa"/>
          </w:tblCellMar>
        </w:tblPrEx>
        <w:trPr>
          <w:cantSplit/>
          <w:trHeight w:val="393"/>
          <w:tblHeader/>
        </w:trPr>
        <w:tc>
          <w:tcPr>
            <w:tcW w:w="2552" w:type="pct"/>
            <w:vAlign w:val="bottom"/>
          </w:tcPr>
          <w:p w14:paraId="60A4C7F1"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19" w:name="_Toc67329347"/>
            <w:r w:rsidRPr="009C411C">
              <w:rPr>
                <w:rFonts w:ascii="Arial" w:hAnsi="Arial" w:cs="Arial"/>
                <w:b/>
                <w:bCs/>
                <w:color w:val="000000" w:themeColor="text1"/>
                <w:sz w:val="18"/>
                <w:szCs w:val="18"/>
                <w:lang w:val="hr-HR"/>
              </w:rPr>
              <w:t>Ukupno</w:t>
            </w:r>
            <w:bookmarkEnd w:id="1519"/>
          </w:p>
        </w:tc>
        <w:tc>
          <w:tcPr>
            <w:tcW w:w="612" w:type="pct"/>
            <w:tcBorders>
              <w:top w:val="single" w:sz="4" w:space="0" w:color="auto"/>
              <w:left w:val="nil"/>
              <w:bottom w:val="single" w:sz="12" w:space="0" w:color="auto"/>
              <w:right w:val="nil"/>
            </w:tcBorders>
            <w:shd w:val="clear" w:color="auto" w:fill="auto"/>
            <w:vAlign w:val="bottom"/>
          </w:tcPr>
          <w:p w14:paraId="2C975B91"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3619B">
              <w:rPr>
                <w:rFonts w:ascii="Arial" w:hAnsi="Arial" w:cs="Arial"/>
                <w:b/>
                <w:bCs/>
                <w:color w:val="000000" w:themeColor="text1"/>
                <w:sz w:val="18"/>
                <w:szCs w:val="18"/>
                <w:lang w:val="hr-HR"/>
              </w:rPr>
              <w:t>2.898.160</w:t>
            </w:r>
          </w:p>
        </w:tc>
        <w:tc>
          <w:tcPr>
            <w:tcW w:w="612" w:type="pct"/>
            <w:tcBorders>
              <w:top w:val="single" w:sz="4" w:space="0" w:color="auto"/>
              <w:left w:val="nil"/>
              <w:bottom w:val="single" w:sz="12" w:space="0" w:color="auto"/>
              <w:right w:val="nil"/>
            </w:tcBorders>
            <w:shd w:val="clear" w:color="auto" w:fill="auto"/>
            <w:vAlign w:val="bottom"/>
          </w:tcPr>
          <w:p w14:paraId="45A09C8C"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612" w:type="pct"/>
            <w:tcBorders>
              <w:top w:val="single" w:sz="4" w:space="0" w:color="auto"/>
              <w:left w:val="nil"/>
              <w:bottom w:val="single" w:sz="12" w:space="0" w:color="auto"/>
              <w:right w:val="nil"/>
            </w:tcBorders>
            <w:shd w:val="clear" w:color="auto" w:fill="auto"/>
            <w:vAlign w:val="bottom"/>
          </w:tcPr>
          <w:p w14:paraId="3DA27CA7"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611" w:type="pct"/>
            <w:tcBorders>
              <w:top w:val="single" w:sz="4" w:space="0" w:color="auto"/>
              <w:left w:val="nil"/>
              <w:bottom w:val="single" w:sz="12" w:space="0" w:color="auto"/>
              <w:right w:val="nil"/>
            </w:tcBorders>
            <w:shd w:val="clear" w:color="auto" w:fill="auto"/>
            <w:vAlign w:val="bottom"/>
          </w:tcPr>
          <w:p w14:paraId="1D94EBAF"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3619B">
              <w:rPr>
                <w:rFonts w:ascii="Arial" w:hAnsi="Arial" w:cs="Arial"/>
                <w:b/>
                <w:bCs/>
                <w:color w:val="000000" w:themeColor="text1"/>
                <w:sz w:val="18"/>
                <w:szCs w:val="18"/>
                <w:lang w:val="hr-HR"/>
              </w:rPr>
              <w:t>2.898.160</w:t>
            </w:r>
          </w:p>
        </w:tc>
      </w:tr>
      <w:tr w:rsidR="004E2F51" w:rsidRPr="009C411C" w14:paraId="22B8F2A8" w14:textId="77777777" w:rsidTr="00E032FC">
        <w:tblPrEx>
          <w:tblCellMar>
            <w:left w:w="31" w:type="dxa"/>
            <w:right w:w="31" w:type="dxa"/>
          </w:tblCellMar>
        </w:tblPrEx>
        <w:trPr>
          <w:cantSplit/>
          <w:trHeight w:hRule="exact" w:val="120"/>
          <w:tblHeader/>
        </w:trPr>
        <w:tc>
          <w:tcPr>
            <w:tcW w:w="2552" w:type="pct"/>
            <w:vAlign w:val="bottom"/>
          </w:tcPr>
          <w:p w14:paraId="4455AC26"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25B9F810"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p>
        </w:tc>
        <w:tc>
          <w:tcPr>
            <w:tcW w:w="612" w:type="pct"/>
            <w:tcBorders>
              <w:top w:val="single" w:sz="12" w:space="0" w:color="auto"/>
            </w:tcBorders>
            <w:vAlign w:val="bottom"/>
          </w:tcPr>
          <w:p w14:paraId="6A6E3183"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p>
        </w:tc>
        <w:tc>
          <w:tcPr>
            <w:tcW w:w="612" w:type="pct"/>
            <w:tcBorders>
              <w:top w:val="single" w:sz="12" w:space="0" w:color="auto"/>
            </w:tcBorders>
            <w:vAlign w:val="bottom"/>
          </w:tcPr>
          <w:p w14:paraId="206E552B"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p>
        </w:tc>
        <w:tc>
          <w:tcPr>
            <w:tcW w:w="611" w:type="pct"/>
            <w:tcBorders>
              <w:top w:val="single" w:sz="12" w:space="0" w:color="auto"/>
            </w:tcBorders>
            <w:vAlign w:val="bottom"/>
          </w:tcPr>
          <w:p w14:paraId="43C61FA6"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p>
        </w:tc>
      </w:tr>
      <w:tr w:rsidR="004E2F51" w:rsidRPr="009C411C" w14:paraId="0E71BB63" w14:textId="77777777" w:rsidTr="00E032FC">
        <w:tblPrEx>
          <w:tblCellMar>
            <w:left w:w="31" w:type="dxa"/>
            <w:right w:w="31" w:type="dxa"/>
          </w:tblCellMar>
        </w:tblPrEx>
        <w:trPr>
          <w:cantSplit/>
          <w:trHeight w:val="375"/>
          <w:tblHeader/>
        </w:trPr>
        <w:tc>
          <w:tcPr>
            <w:tcW w:w="2552" w:type="pct"/>
            <w:vAlign w:val="bottom"/>
          </w:tcPr>
          <w:p w14:paraId="2C41D838" w14:textId="77777777" w:rsidR="004E2F51" w:rsidRPr="009C411C" w:rsidRDefault="004E2F51" w:rsidP="00E032FC">
            <w:pPr>
              <w:tabs>
                <w:tab w:val="right" w:pos="1202"/>
              </w:tabs>
              <w:spacing w:line="301" w:lineRule="exact"/>
              <w:outlineLvl w:val="0"/>
              <w:rPr>
                <w:rFonts w:ascii="Arial" w:hAnsi="Arial" w:cs="Arial"/>
                <w:b/>
                <w:bCs/>
                <w:color w:val="000000" w:themeColor="text1"/>
                <w:sz w:val="18"/>
                <w:szCs w:val="18"/>
                <w:lang w:val="hr-HR"/>
              </w:rPr>
            </w:pPr>
            <w:bookmarkStart w:id="1520" w:name="_Toc67329352"/>
            <w:r w:rsidRPr="009C411C">
              <w:rPr>
                <w:rFonts w:ascii="Arial" w:hAnsi="Arial" w:cs="Arial"/>
                <w:b/>
                <w:bCs/>
                <w:color w:val="000000" w:themeColor="text1"/>
                <w:sz w:val="18"/>
                <w:szCs w:val="18"/>
                <w:lang w:val="hr-HR"/>
              </w:rPr>
              <w:t>Ukupna izloženost kreditnom riziku</w:t>
            </w:r>
            <w:bookmarkEnd w:id="1520"/>
          </w:p>
        </w:tc>
        <w:tc>
          <w:tcPr>
            <w:tcW w:w="612" w:type="pct"/>
            <w:tcBorders>
              <w:top w:val="nil"/>
              <w:left w:val="nil"/>
              <w:bottom w:val="single" w:sz="12" w:space="0" w:color="auto"/>
              <w:right w:val="nil"/>
            </w:tcBorders>
            <w:shd w:val="clear" w:color="auto" w:fill="auto"/>
            <w:vAlign w:val="bottom"/>
          </w:tcPr>
          <w:p w14:paraId="7510B73B"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3619B">
              <w:rPr>
                <w:rFonts w:ascii="Arial" w:hAnsi="Arial" w:cs="Arial"/>
                <w:b/>
                <w:bCs/>
                <w:color w:val="000000" w:themeColor="text1"/>
                <w:sz w:val="18"/>
                <w:szCs w:val="18"/>
                <w:lang w:val="hr-HR"/>
              </w:rPr>
              <w:t>31.506.120</w:t>
            </w:r>
          </w:p>
        </w:tc>
        <w:tc>
          <w:tcPr>
            <w:tcW w:w="612" w:type="pct"/>
            <w:tcBorders>
              <w:top w:val="nil"/>
              <w:left w:val="nil"/>
              <w:bottom w:val="single" w:sz="12" w:space="0" w:color="auto"/>
              <w:right w:val="nil"/>
            </w:tcBorders>
            <w:shd w:val="clear" w:color="auto" w:fill="auto"/>
            <w:vAlign w:val="bottom"/>
          </w:tcPr>
          <w:p w14:paraId="1D5238F0"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3619B">
              <w:rPr>
                <w:rFonts w:ascii="Arial" w:hAnsi="Arial" w:cs="Arial"/>
                <w:b/>
                <w:bCs/>
                <w:color w:val="000000" w:themeColor="text1"/>
                <w:sz w:val="18"/>
                <w:szCs w:val="18"/>
                <w:lang w:val="hr-HR"/>
              </w:rPr>
              <w:t>98.913</w:t>
            </w:r>
          </w:p>
        </w:tc>
        <w:tc>
          <w:tcPr>
            <w:tcW w:w="612" w:type="pct"/>
            <w:tcBorders>
              <w:top w:val="nil"/>
              <w:left w:val="nil"/>
              <w:bottom w:val="single" w:sz="12" w:space="0" w:color="auto"/>
              <w:right w:val="nil"/>
            </w:tcBorders>
            <w:shd w:val="clear" w:color="auto" w:fill="auto"/>
            <w:vAlign w:val="bottom"/>
          </w:tcPr>
          <w:p w14:paraId="765F153E"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3619B">
              <w:rPr>
                <w:rFonts w:ascii="Arial" w:hAnsi="Arial" w:cs="Arial"/>
                <w:b/>
                <w:bCs/>
                <w:color w:val="000000" w:themeColor="text1"/>
                <w:sz w:val="18"/>
                <w:szCs w:val="18"/>
                <w:lang w:val="hr-HR"/>
              </w:rPr>
              <w:t>102.639</w:t>
            </w:r>
          </w:p>
        </w:tc>
        <w:tc>
          <w:tcPr>
            <w:tcW w:w="611" w:type="pct"/>
            <w:tcBorders>
              <w:top w:val="nil"/>
              <w:left w:val="nil"/>
              <w:bottom w:val="single" w:sz="12" w:space="0" w:color="auto"/>
              <w:right w:val="nil"/>
            </w:tcBorders>
            <w:shd w:val="clear" w:color="auto" w:fill="auto"/>
            <w:vAlign w:val="bottom"/>
          </w:tcPr>
          <w:p w14:paraId="38BEE55C"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3619B">
              <w:rPr>
                <w:rFonts w:ascii="Arial" w:hAnsi="Arial" w:cs="Arial"/>
                <w:b/>
                <w:bCs/>
                <w:color w:val="000000" w:themeColor="text1"/>
                <w:sz w:val="18"/>
                <w:szCs w:val="18"/>
                <w:lang w:val="hr-HR"/>
              </w:rPr>
              <w:t>31.707.672</w:t>
            </w:r>
          </w:p>
        </w:tc>
      </w:tr>
      <w:bookmarkEnd w:id="1495"/>
    </w:tbl>
    <w:p w14:paraId="3C2E8AF3" w14:textId="77777777" w:rsidR="004E2F51" w:rsidRPr="00C651CA" w:rsidRDefault="004E2F51" w:rsidP="004E2F51">
      <w:pPr>
        <w:rPr>
          <w:rFonts w:ascii="Arial" w:hAnsi="Arial" w:cs="Arial"/>
          <w:b/>
          <w:bCs/>
          <w:color w:val="000000" w:themeColor="text1"/>
          <w:sz w:val="20"/>
          <w:szCs w:val="20"/>
          <w:lang w:val="hr-HR"/>
        </w:rPr>
      </w:pPr>
    </w:p>
    <w:p w14:paraId="609558C7" w14:textId="77777777" w:rsidR="004E2F51" w:rsidRPr="00C651CA" w:rsidRDefault="004E2F51" w:rsidP="004E2F51">
      <w:pPr>
        <w:rPr>
          <w:rFonts w:ascii="Arial" w:hAnsi="Arial" w:cs="Arial"/>
          <w:b/>
          <w:bCs/>
          <w:color w:val="000000" w:themeColor="text1"/>
          <w:sz w:val="20"/>
          <w:szCs w:val="20"/>
          <w:lang w:val="hr-HR"/>
        </w:rPr>
      </w:pPr>
    </w:p>
    <w:p w14:paraId="5C7BB597" w14:textId="77777777" w:rsidR="004E2F51" w:rsidRPr="00C651CA" w:rsidRDefault="004E2F51" w:rsidP="004E2F51">
      <w:pPr>
        <w:rPr>
          <w:rFonts w:ascii="Arial" w:hAnsi="Arial" w:cs="Arial"/>
          <w:b/>
          <w:bCs/>
          <w:color w:val="000000" w:themeColor="text1"/>
          <w:sz w:val="20"/>
          <w:szCs w:val="20"/>
          <w:lang w:val="hr-HR"/>
        </w:rPr>
        <w:sectPr w:rsidR="004E2F51" w:rsidRPr="00C651CA" w:rsidSect="00623DBA">
          <w:footerReference w:type="default" r:id="rId180"/>
          <w:pgSz w:w="11907" w:h="16840" w:code="9"/>
          <w:pgMar w:top="1418" w:right="1134" w:bottom="1134" w:left="1418" w:header="851" w:footer="851" w:gutter="0"/>
          <w:cols w:space="720"/>
          <w:noEndnote/>
        </w:sectPr>
      </w:pPr>
    </w:p>
    <w:p w14:paraId="10F23FE5" w14:textId="77777777" w:rsidR="004E2F51" w:rsidRPr="00C651CA" w:rsidRDefault="004E2F51" w:rsidP="004E2F51">
      <w:pPr>
        <w:pStyle w:val="T1"/>
        <w:spacing w:before="0" w:after="0" w:line="240" w:lineRule="auto"/>
        <w:rPr>
          <w:rFonts w:cs="Arial"/>
          <w:color w:val="000000" w:themeColor="text1"/>
          <w:sz w:val="20"/>
          <w:lang w:val="hr-HR"/>
        </w:rPr>
      </w:pPr>
    </w:p>
    <w:p w14:paraId="3889E618" w14:textId="77777777" w:rsidR="004E2F51" w:rsidRPr="00C651CA" w:rsidRDefault="004E2F51" w:rsidP="004E2F51">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Pr>
          <w:rFonts w:cs="Arial"/>
          <w:color w:val="000000" w:themeColor="text1"/>
          <w:sz w:val="20"/>
          <w:lang w:val="hr-HR"/>
        </w:rPr>
        <w:t>1</w:t>
      </w:r>
      <w:r w:rsidRPr="00C651CA">
        <w:rPr>
          <w:rFonts w:cs="Arial"/>
          <w:color w:val="000000" w:themeColor="text1"/>
          <w:sz w:val="20"/>
          <w:lang w:val="hr-HR"/>
        </w:rPr>
        <w:t>.</w:t>
      </w:r>
      <w:r w:rsidRPr="00C651CA">
        <w:rPr>
          <w:rFonts w:cs="Arial"/>
          <w:color w:val="000000" w:themeColor="text1"/>
          <w:sz w:val="20"/>
          <w:lang w:val="hr-HR"/>
        </w:rPr>
        <w:tab/>
        <w:t>Upravljanje rizicima (nastavak)</w:t>
      </w:r>
    </w:p>
    <w:p w14:paraId="1D4CFF83" w14:textId="77777777" w:rsidR="004E2F51" w:rsidRPr="00C651CA" w:rsidRDefault="004E2F51" w:rsidP="004E2F51">
      <w:pPr>
        <w:pStyle w:val="T1"/>
        <w:spacing w:before="0" w:after="0" w:line="240" w:lineRule="auto"/>
        <w:rPr>
          <w:rFonts w:cs="Arial"/>
          <w:color w:val="000000" w:themeColor="text1"/>
          <w:sz w:val="20"/>
          <w:lang w:val="hr-HR"/>
        </w:rPr>
      </w:pPr>
    </w:p>
    <w:p w14:paraId="2DF3016F" w14:textId="77777777" w:rsidR="004E2F51" w:rsidRPr="00C651CA" w:rsidRDefault="004E2F51" w:rsidP="004E2F51">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Pr>
          <w:rFonts w:cs="Arial"/>
          <w:color w:val="000000" w:themeColor="text1"/>
          <w:sz w:val="20"/>
          <w:lang w:val="hr-HR"/>
        </w:rPr>
        <w:t>1</w:t>
      </w:r>
      <w:r w:rsidRPr="00C651CA">
        <w:rPr>
          <w:rFonts w:cs="Arial"/>
          <w:color w:val="000000" w:themeColor="text1"/>
          <w:sz w:val="20"/>
          <w:lang w:val="hr-HR"/>
        </w:rPr>
        <w:t xml:space="preserve">.3. </w:t>
      </w:r>
      <w:r w:rsidRPr="00C651CA">
        <w:rPr>
          <w:rFonts w:cs="Arial"/>
          <w:color w:val="000000" w:themeColor="text1"/>
          <w:sz w:val="20"/>
          <w:lang w:val="hr-HR"/>
        </w:rPr>
        <w:tab/>
        <w:t>Kreditni rizik (nastavak)</w:t>
      </w:r>
    </w:p>
    <w:p w14:paraId="5E8AC5AE" w14:textId="77777777" w:rsidR="004E2F51" w:rsidRPr="00C651CA" w:rsidRDefault="004E2F51" w:rsidP="004E2F51">
      <w:pPr>
        <w:pStyle w:val="T1"/>
        <w:spacing w:before="0" w:after="0" w:line="240" w:lineRule="auto"/>
        <w:rPr>
          <w:rFonts w:cs="Arial"/>
          <w:color w:val="000000" w:themeColor="text1"/>
          <w:sz w:val="20"/>
          <w:lang w:val="hr-HR"/>
        </w:rPr>
      </w:pPr>
    </w:p>
    <w:p w14:paraId="0CCE938F" w14:textId="77777777" w:rsidR="004E2F51" w:rsidRPr="00C651CA" w:rsidRDefault="004E2F51" w:rsidP="004E2F51">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 izloženost kreditnom riziku (nastavak)</w:t>
      </w:r>
    </w:p>
    <w:p w14:paraId="6BFF8547" w14:textId="77777777" w:rsidR="004E2F51" w:rsidRPr="00C651CA" w:rsidRDefault="004E2F51" w:rsidP="004E2F51">
      <w:pPr>
        <w:pStyle w:val="T1"/>
        <w:spacing w:before="0" w:after="0" w:line="240" w:lineRule="auto"/>
        <w:rPr>
          <w:rFonts w:cs="Arial"/>
          <w:b w:val="0"/>
          <w:bCs w:val="0"/>
          <w:color w:val="000000" w:themeColor="text1"/>
          <w:sz w:val="20"/>
          <w:lang w:val="hr-HR"/>
        </w:rPr>
      </w:pPr>
    </w:p>
    <w:p w14:paraId="44A8D4B4" w14:textId="77777777" w:rsidR="004E2F51" w:rsidRPr="00C651CA" w:rsidRDefault="004E2F51" w:rsidP="004E2F51">
      <w:pPr>
        <w:pStyle w:val="T1"/>
        <w:spacing w:before="0" w:after="0" w:line="240" w:lineRule="auto"/>
        <w:rPr>
          <w:rFonts w:cs="Arial"/>
          <w:b w:val="0"/>
          <w:bCs w:val="0"/>
          <w:color w:val="000000" w:themeColor="text1"/>
          <w:sz w:val="20"/>
          <w:lang w:val="hr-HR"/>
        </w:rPr>
      </w:pPr>
      <w:r w:rsidRPr="00C651CA">
        <w:rPr>
          <w:rFonts w:cs="Arial"/>
          <w:b w:val="0"/>
          <w:bCs w:val="0"/>
          <w:color w:val="000000" w:themeColor="text1"/>
          <w:sz w:val="20"/>
          <w:lang w:val="hr-HR"/>
        </w:rPr>
        <w:t xml:space="preserve">Koncentracija imovine i garancija te preuzetih obveza prema zemljopisnim segmentima, neto izloženost, </w:t>
      </w:r>
      <w:r w:rsidRPr="00C651CA">
        <w:rPr>
          <w:rFonts w:cs="Arial"/>
          <w:b w:val="0"/>
          <w:color w:val="000000" w:themeColor="text1"/>
          <w:sz w:val="20"/>
          <w:lang w:val="hr-HR"/>
        </w:rPr>
        <w:t>bez umanjenja za vrijednost sredstava osiguranja naplate</w:t>
      </w:r>
      <w:r w:rsidRPr="00C651CA">
        <w:rPr>
          <w:rFonts w:cs="Arial"/>
          <w:b w:val="0"/>
          <w:bCs w:val="0"/>
          <w:color w:val="000000" w:themeColor="text1"/>
          <w:sz w:val="20"/>
          <w:lang w:val="hr-HR"/>
        </w:rPr>
        <w:t xml:space="preserve"> (nastavak): </w:t>
      </w:r>
    </w:p>
    <w:p w14:paraId="1BF4C40D" w14:textId="77777777" w:rsidR="004E2F51" w:rsidRDefault="004E2F51" w:rsidP="004E2F51">
      <w:pPr>
        <w:pStyle w:val="T1"/>
        <w:spacing w:before="0" w:after="0" w:line="240" w:lineRule="auto"/>
        <w:rPr>
          <w:rFonts w:cs="Arial"/>
          <w:b w:val="0"/>
          <w:bCs w:val="0"/>
          <w:color w:val="000000" w:themeColor="text1"/>
          <w:sz w:val="20"/>
          <w:lang w:val="hr-HR"/>
        </w:rPr>
      </w:pPr>
    </w:p>
    <w:p w14:paraId="1811E537" w14:textId="77777777" w:rsidR="004E2F51" w:rsidRPr="00C651CA" w:rsidRDefault="004E2F51" w:rsidP="004E2F51">
      <w:pPr>
        <w:pStyle w:val="T1"/>
        <w:spacing w:before="0" w:after="0" w:line="240" w:lineRule="auto"/>
        <w:rPr>
          <w:rFonts w:cs="Arial"/>
          <w:b w:val="0"/>
          <w:bCs w:val="0"/>
          <w:color w:val="000000" w:themeColor="text1"/>
          <w:sz w:val="20"/>
          <w:lang w:val="hr-HR"/>
        </w:rPr>
      </w:pPr>
    </w:p>
    <w:tbl>
      <w:tblPr>
        <w:tblW w:w="4985" w:type="pct"/>
        <w:tblLayout w:type="fixed"/>
        <w:tblCellMar>
          <w:left w:w="30" w:type="dxa"/>
          <w:right w:w="30" w:type="dxa"/>
        </w:tblCellMar>
        <w:tblLook w:val="0000" w:firstRow="0" w:lastRow="0" w:firstColumn="0" w:lastColumn="0" w:noHBand="0" w:noVBand="0"/>
      </w:tblPr>
      <w:tblGrid>
        <w:gridCol w:w="4761"/>
        <w:gridCol w:w="1142"/>
        <w:gridCol w:w="1142"/>
        <w:gridCol w:w="1142"/>
        <w:gridCol w:w="1140"/>
      </w:tblGrid>
      <w:tr w:rsidR="004E2F51" w:rsidRPr="009C411C" w14:paraId="670C43EA" w14:textId="77777777" w:rsidTr="00E032FC">
        <w:trPr>
          <w:cantSplit/>
          <w:trHeight w:val="265"/>
          <w:tblHeader/>
        </w:trPr>
        <w:tc>
          <w:tcPr>
            <w:tcW w:w="2552" w:type="pct"/>
          </w:tcPr>
          <w:p w14:paraId="01933531" w14:textId="77777777" w:rsidR="004E2F51" w:rsidRPr="009C411C" w:rsidRDefault="004E2F51" w:rsidP="00E032FC">
            <w:pPr>
              <w:tabs>
                <w:tab w:val="right" w:pos="1202"/>
              </w:tabs>
              <w:spacing w:line="240" w:lineRule="atLeas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Grupa</w:t>
            </w:r>
          </w:p>
          <w:p w14:paraId="076C53D9" w14:textId="77777777" w:rsidR="004E2F51" w:rsidRPr="009C411C" w:rsidRDefault="004E2F51" w:rsidP="00E032FC">
            <w:pPr>
              <w:tabs>
                <w:tab w:val="right" w:pos="1202"/>
              </w:tabs>
              <w:spacing w:line="240" w:lineRule="atLeast"/>
              <w:outlineLvl w:val="0"/>
              <w:rPr>
                <w:rFonts w:ascii="Arial" w:hAnsi="Arial" w:cs="Arial"/>
                <w:b/>
                <w:color w:val="000000" w:themeColor="text1"/>
                <w:sz w:val="18"/>
                <w:szCs w:val="18"/>
                <w:lang w:val="hr-HR"/>
              </w:rPr>
            </w:pPr>
          </w:p>
          <w:p w14:paraId="61D96467" w14:textId="77777777" w:rsidR="004E2F51" w:rsidRPr="009C411C" w:rsidRDefault="004E2F51" w:rsidP="00E032FC">
            <w:pPr>
              <w:tabs>
                <w:tab w:val="right" w:pos="1202"/>
              </w:tabs>
              <w:spacing w:line="240" w:lineRule="atLeas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31. prosinca 2021. </w:t>
            </w:r>
          </w:p>
        </w:tc>
        <w:tc>
          <w:tcPr>
            <w:tcW w:w="612" w:type="pct"/>
            <w:vAlign w:val="bottom"/>
          </w:tcPr>
          <w:p w14:paraId="6BEDAE13"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Republika Hrvatska</w:t>
            </w:r>
          </w:p>
        </w:tc>
        <w:tc>
          <w:tcPr>
            <w:tcW w:w="612" w:type="pct"/>
            <w:vAlign w:val="bottom"/>
          </w:tcPr>
          <w:p w14:paraId="183C1194"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Zemlje Europske unije</w:t>
            </w:r>
          </w:p>
        </w:tc>
        <w:tc>
          <w:tcPr>
            <w:tcW w:w="612" w:type="pct"/>
            <w:vAlign w:val="bottom"/>
          </w:tcPr>
          <w:p w14:paraId="537B2C36"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Ostale </w:t>
            </w:r>
          </w:p>
          <w:p w14:paraId="375BFE77"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 xml:space="preserve">zemlje </w:t>
            </w:r>
          </w:p>
        </w:tc>
        <w:tc>
          <w:tcPr>
            <w:tcW w:w="611" w:type="pct"/>
            <w:vAlign w:val="bottom"/>
          </w:tcPr>
          <w:p w14:paraId="5F3DF5D1"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Ukupno</w:t>
            </w:r>
          </w:p>
        </w:tc>
      </w:tr>
      <w:tr w:rsidR="004E2F51" w:rsidRPr="009C411C" w14:paraId="2242971E" w14:textId="77777777" w:rsidTr="00E032FC">
        <w:trPr>
          <w:cantSplit/>
          <w:trHeight w:val="265"/>
          <w:tblHeader/>
        </w:trPr>
        <w:tc>
          <w:tcPr>
            <w:tcW w:w="2552" w:type="pct"/>
          </w:tcPr>
          <w:p w14:paraId="5C9664E9" w14:textId="77777777" w:rsidR="004E2F51" w:rsidRPr="009C411C" w:rsidRDefault="004E2F51" w:rsidP="00E032FC">
            <w:pPr>
              <w:ind w:left="113" w:hanging="113"/>
              <w:rPr>
                <w:rFonts w:ascii="Arial" w:hAnsi="Arial" w:cs="Arial"/>
                <w:color w:val="000000" w:themeColor="text1"/>
                <w:sz w:val="18"/>
                <w:szCs w:val="18"/>
                <w:lang w:val="hr-HR"/>
              </w:rPr>
            </w:pPr>
          </w:p>
        </w:tc>
        <w:tc>
          <w:tcPr>
            <w:tcW w:w="612" w:type="pct"/>
            <w:vAlign w:val="bottom"/>
          </w:tcPr>
          <w:p w14:paraId="10AA36FC"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 kuna</w:t>
            </w:r>
          </w:p>
        </w:tc>
        <w:tc>
          <w:tcPr>
            <w:tcW w:w="612" w:type="pct"/>
            <w:vAlign w:val="bottom"/>
          </w:tcPr>
          <w:p w14:paraId="6D0C0A15"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 kuna</w:t>
            </w:r>
          </w:p>
        </w:tc>
        <w:tc>
          <w:tcPr>
            <w:tcW w:w="612" w:type="pct"/>
            <w:vAlign w:val="bottom"/>
          </w:tcPr>
          <w:p w14:paraId="01EBABBD"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 kuna</w:t>
            </w:r>
          </w:p>
        </w:tc>
        <w:tc>
          <w:tcPr>
            <w:tcW w:w="611" w:type="pct"/>
            <w:vAlign w:val="bottom"/>
          </w:tcPr>
          <w:p w14:paraId="4928188C"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r w:rsidRPr="009C411C">
              <w:rPr>
                <w:rFonts w:ascii="Arial" w:hAnsi="Arial" w:cs="Arial"/>
                <w:b/>
                <w:color w:val="000000" w:themeColor="text1"/>
                <w:sz w:val="18"/>
                <w:szCs w:val="18"/>
                <w:lang w:val="hr-HR"/>
              </w:rPr>
              <w:t>000 kuna</w:t>
            </w:r>
          </w:p>
        </w:tc>
      </w:tr>
      <w:tr w:rsidR="004E2F51" w:rsidRPr="009C411C" w14:paraId="7DD617AC" w14:textId="77777777" w:rsidTr="00E032FC">
        <w:trPr>
          <w:cantSplit/>
          <w:trHeight w:val="265"/>
          <w:tblHeader/>
        </w:trPr>
        <w:tc>
          <w:tcPr>
            <w:tcW w:w="2552" w:type="pct"/>
          </w:tcPr>
          <w:p w14:paraId="6FAC25B9" w14:textId="77777777" w:rsidR="004E2F51" w:rsidRPr="009C411C" w:rsidRDefault="004E2F51" w:rsidP="00E032FC">
            <w:pPr>
              <w:ind w:left="113" w:hanging="113"/>
              <w:rPr>
                <w:rFonts w:ascii="Arial" w:hAnsi="Arial" w:cs="Arial"/>
                <w:color w:val="000000" w:themeColor="text1"/>
                <w:sz w:val="18"/>
                <w:szCs w:val="18"/>
                <w:lang w:val="hr-HR"/>
              </w:rPr>
            </w:pPr>
          </w:p>
        </w:tc>
        <w:tc>
          <w:tcPr>
            <w:tcW w:w="612" w:type="pct"/>
          </w:tcPr>
          <w:p w14:paraId="3A302384" w14:textId="77777777" w:rsidR="004E2F51" w:rsidRPr="009C411C" w:rsidRDefault="004E2F51" w:rsidP="00E032FC">
            <w:pPr>
              <w:jc w:val="right"/>
              <w:rPr>
                <w:rFonts w:ascii="Arial" w:hAnsi="Arial" w:cs="Arial"/>
                <w:color w:val="000000" w:themeColor="text1"/>
                <w:sz w:val="18"/>
                <w:szCs w:val="18"/>
                <w:lang w:val="hr-HR"/>
              </w:rPr>
            </w:pPr>
          </w:p>
        </w:tc>
        <w:tc>
          <w:tcPr>
            <w:tcW w:w="612" w:type="pct"/>
          </w:tcPr>
          <w:p w14:paraId="63CF5BCA" w14:textId="77777777" w:rsidR="004E2F51" w:rsidRPr="009C411C" w:rsidRDefault="004E2F51" w:rsidP="00E032FC">
            <w:pPr>
              <w:jc w:val="right"/>
              <w:rPr>
                <w:rFonts w:ascii="Arial" w:hAnsi="Arial" w:cs="Arial"/>
                <w:color w:val="000000" w:themeColor="text1"/>
                <w:sz w:val="18"/>
                <w:szCs w:val="18"/>
                <w:lang w:val="hr-HR"/>
              </w:rPr>
            </w:pPr>
          </w:p>
        </w:tc>
        <w:tc>
          <w:tcPr>
            <w:tcW w:w="612" w:type="pct"/>
          </w:tcPr>
          <w:p w14:paraId="2501303F" w14:textId="77777777" w:rsidR="004E2F51" w:rsidRPr="009C411C" w:rsidRDefault="004E2F51" w:rsidP="00E032FC">
            <w:pPr>
              <w:jc w:val="right"/>
              <w:rPr>
                <w:rFonts w:ascii="Arial" w:hAnsi="Arial" w:cs="Arial"/>
                <w:color w:val="000000" w:themeColor="text1"/>
                <w:sz w:val="18"/>
                <w:szCs w:val="18"/>
                <w:lang w:val="hr-HR"/>
              </w:rPr>
            </w:pPr>
          </w:p>
        </w:tc>
        <w:tc>
          <w:tcPr>
            <w:tcW w:w="611" w:type="pct"/>
          </w:tcPr>
          <w:p w14:paraId="39A4AEE3" w14:textId="77777777" w:rsidR="004E2F51" w:rsidRPr="009C411C" w:rsidRDefault="004E2F51" w:rsidP="00E032FC">
            <w:pPr>
              <w:jc w:val="center"/>
              <w:rPr>
                <w:rFonts w:ascii="Arial" w:hAnsi="Arial" w:cs="Arial"/>
                <w:color w:val="000000" w:themeColor="text1"/>
                <w:sz w:val="18"/>
                <w:szCs w:val="18"/>
                <w:lang w:val="hr-HR"/>
              </w:rPr>
            </w:pPr>
          </w:p>
        </w:tc>
      </w:tr>
      <w:tr w:rsidR="004E2F51" w:rsidRPr="009C411C" w14:paraId="4407022F" w14:textId="77777777" w:rsidTr="00E032FC">
        <w:trPr>
          <w:cantSplit/>
          <w:trHeight w:val="265"/>
          <w:tblHeader/>
        </w:trPr>
        <w:tc>
          <w:tcPr>
            <w:tcW w:w="2552" w:type="pct"/>
          </w:tcPr>
          <w:p w14:paraId="19572031" w14:textId="77777777" w:rsidR="004E2F51" w:rsidRPr="009C411C" w:rsidRDefault="004E2F51" w:rsidP="00E032FC">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Imovina</w:t>
            </w:r>
          </w:p>
        </w:tc>
        <w:tc>
          <w:tcPr>
            <w:tcW w:w="612" w:type="pct"/>
          </w:tcPr>
          <w:p w14:paraId="3E7AB145" w14:textId="77777777" w:rsidR="004E2F51" w:rsidRPr="009C411C" w:rsidRDefault="004E2F51" w:rsidP="00E032FC">
            <w:pPr>
              <w:jc w:val="right"/>
              <w:rPr>
                <w:rFonts w:ascii="Arial" w:hAnsi="Arial" w:cs="Arial"/>
                <w:color w:val="000000" w:themeColor="text1"/>
                <w:sz w:val="18"/>
                <w:szCs w:val="18"/>
                <w:lang w:val="hr-HR"/>
              </w:rPr>
            </w:pPr>
          </w:p>
        </w:tc>
        <w:tc>
          <w:tcPr>
            <w:tcW w:w="612" w:type="pct"/>
          </w:tcPr>
          <w:p w14:paraId="03EF8A1F" w14:textId="77777777" w:rsidR="004E2F51" w:rsidRPr="009C411C" w:rsidRDefault="004E2F51" w:rsidP="00E032FC">
            <w:pPr>
              <w:jc w:val="right"/>
              <w:rPr>
                <w:rFonts w:ascii="Arial" w:hAnsi="Arial" w:cs="Arial"/>
                <w:color w:val="000000" w:themeColor="text1"/>
                <w:sz w:val="18"/>
                <w:szCs w:val="18"/>
                <w:lang w:val="hr-HR"/>
              </w:rPr>
            </w:pPr>
          </w:p>
        </w:tc>
        <w:tc>
          <w:tcPr>
            <w:tcW w:w="612" w:type="pct"/>
          </w:tcPr>
          <w:p w14:paraId="179289E0" w14:textId="77777777" w:rsidR="004E2F51" w:rsidRPr="009C411C" w:rsidRDefault="004E2F51" w:rsidP="00E032FC">
            <w:pPr>
              <w:jc w:val="right"/>
              <w:rPr>
                <w:rFonts w:ascii="Arial" w:hAnsi="Arial" w:cs="Arial"/>
                <w:color w:val="000000" w:themeColor="text1"/>
                <w:sz w:val="18"/>
                <w:szCs w:val="18"/>
                <w:lang w:val="hr-HR"/>
              </w:rPr>
            </w:pPr>
          </w:p>
        </w:tc>
        <w:tc>
          <w:tcPr>
            <w:tcW w:w="611" w:type="pct"/>
          </w:tcPr>
          <w:p w14:paraId="6BC01C35" w14:textId="77777777" w:rsidR="004E2F51" w:rsidRPr="009C411C" w:rsidRDefault="004E2F51" w:rsidP="00E032FC">
            <w:pPr>
              <w:jc w:val="center"/>
              <w:rPr>
                <w:rFonts w:ascii="Arial" w:hAnsi="Arial" w:cs="Arial"/>
                <w:color w:val="000000" w:themeColor="text1"/>
                <w:sz w:val="18"/>
                <w:szCs w:val="18"/>
                <w:lang w:val="hr-HR"/>
              </w:rPr>
            </w:pPr>
          </w:p>
        </w:tc>
      </w:tr>
      <w:tr w:rsidR="004E2F51" w:rsidRPr="009C411C" w14:paraId="57686D3F" w14:textId="77777777" w:rsidTr="00E032FC">
        <w:trPr>
          <w:cantSplit/>
          <w:trHeight w:val="265"/>
          <w:tblHeader/>
        </w:trPr>
        <w:tc>
          <w:tcPr>
            <w:tcW w:w="2552" w:type="pct"/>
            <w:vAlign w:val="bottom"/>
          </w:tcPr>
          <w:p w14:paraId="5BEB9253"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Novčana sredstva i računi kod banaka</w:t>
            </w:r>
          </w:p>
        </w:tc>
        <w:tc>
          <w:tcPr>
            <w:tcW w:w="612" w:type="pct"/>
            <w:tcBorders>
              <w:top w:val="nil"/>
              <w:left w:val="nil"/>
              <w:bottom w:val="nil"/>
              <w:right w:val="nil"/>
            </w:tcBorders>
            <w:shd w:val="clear" w:color="auto" w:fill="auto"/>
            <w:vAlign w:val="bottom"/>
          </w:tcPr>
          <w:p w14:paraId="77595E6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1.881.083</w:t>
            </w:r>
          </w:p>
        </w:tc>
        <w:tc>
          <w:tcPr>
            <w:tcW w:w="612" w:type="pct"/>
            <w:tcBorders>
              <w:top w:val="nil"/>
              <w:left w:val="nil"/>
              <w:bottom w:val="nil"/>
              <w:right w:val="nil"/>
            </w:tcBorders>
            <w:shd w:val="clear" w:color="auto" w:fill="auto"/>
            <w:vAlign w:val="bottom"/>
          </w:tcPr>
          <w:p w14:paraId="3A8796F8"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25.319</w:t>
            </w:r>
          </w:p>
        </w:tc>
        <w:tc>
          <w:tcPr>
            <w:tcW w:w="612" w:type="pct"/>
            <w:tcBorders>
              <w:top w:val="nil"/>
              <w:left w:val="nil"/>
              <w:bottom w:val="nil"/>
              <w:right w:val="nil"/>
            </w:tcBorders>
            <w:shd w:val="clear" w:color="auto" w:fill="auto"/>
            <w:vAlign w:val="bottom"/>
          </w:tcPr>
          <w:p w14:paraId="7EB7842D"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55.583</w:t>
            </w:r>
          </w:p>
        </w:tc>
        <w:tc>
          <w:tcPr>
            <w:tcW w:w="611" w:type="pct"/>
            <w:tcBorders>
              <w:top w:val="nil"/>
              <w:left w:val="nil"/>
              <w:bottom w:val="nil"/>
              <w:right w:val="nil"/>
            </w:tcBorders>
            <w:shd w:val="clear" w:color="auto" w:fill="auto"/>
            <w:vAlign w:val="bottom"/>
          </w:tcPr>
          <w:p w14:paraId="6156BB9D"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1.961.985</w:t>
            </w:r>
          </w:p>
        </w:tc>
      </w:tr>
      <w:tr w:rsidR="004E2F51" w:rsidRPr="009C411C" w14:paraId="6D11F189" w14:textId="77777777" w:rsidTr="00E032FC">
        <w:trPr>
          <w:cantSplit/>
          <w:trHeight w:val="265"/>
          <w:tblHeader/>
        </w:trPr>
        <w:tc>
          <w:tcPr>
            <w:tcW w:w="2552" w:type="pct"/>
            <w:vAlign w:val="bottom"/>
          </w:tcPr>
          <w:p w14:paraId="5C33E35A"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Depoziti kod drugih banaka</w:t>
            </w:r>
          </w:p>
        </w:tc>
        <w:tc>
          <w:tcPr>
            <w:tcW w:w="612" w:type="pct"/>
            <w:tcBorders>
              <w:top w:val="nil"/>
              <w:left w:val="nil"/>
              <w:bottom w:val="nil"/>
              <w:right w:val="nil"/>
            </w:tcBorders>
            <w:shd w:val="clear" w:color="auto" w:fill="auto"/>
            <w:vAlign w:val="bottom"/>
          </w:tcPr>
          <w:p w14:paraId="4DA5C8E3"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w:t>
            </w:r>
          </w:p>
        </w:tc>
        <w:tc>
          <w:tcPr>
            <w:tcW w:w="612" w:type="pct"/>
            <w:tcBorders>
              <w:top w:val="nil"/>
              <w:left w:val="nil"/>
              <w:bottom w:val="nil"/>
              <w:right w:val="nil"/>
            </w:tcBorders>
            <w:shd w:val="clear" w:color="auto" w:fill="auto"/>
            <w:vAlign w:val="bottom"/>
          </w:tcPr>
          <w:p w14:paraId="6C189A75"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7.500</w:t>
            </w:r>
          </w:p>
        </w:tc>
        <w:tc>
          <w:tcPr>
            <w:tcW w:w="612" w:type="pct"/>
            <w:tcBorders>
              <w:top w:val="nil"/>
              <w:left w:val="nil"/>
              <w:bottom w:val="nil"/>
              <w:right w:val="nil"/>
            </w:tcBorders>
            <w:shd w:val="clear" w:color="auto" w:fill="auto"/>
            <w:vAlign w:val="bottom"/>
          </w:tcPr>
          <w:p w14:paraId="06EA6D39"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w:t>
            </w:r>
          </w:p>
        </w:tc>
        <w:tc>
          <w:tcPr>
            <w:tcW w:w="611" w:type="pct"/>
            <w:tcBorders>
              <w:top w:val="nil"/>
              <w:left w:val="nil"/>
              <w:bottom w:val="nil"/>
              <w:right w:val="nil"/>
            </w:tcBorders>
            <w:shd w:val="clear" w:color="auto" w:fill="auto"/>
            <w:vAlign w:val="bottom"/>
          </w:tcPr>
          <w:p w14:paraId="6A6CDAC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7.500</w:t>
            </w:r>
          </w:p>
        </w:tc>
      </w:tr>
      <w:tr w:rsidR="004E2F51" w:rsidRPr="009C411C" w14:paraId="635978CF" w14:textId="77777777" w:rsidTr="00E032FC">
        <w:trPr>
          <w:cantSplit/>
          <w:trHeight w:val="265"/>
          <w:tblHeader/>
        </w:trPr>
        <w:tc>
          <w:tcPr>
            <w:tcW w:w="2552" w:type="pct"/>
            <w:vAlign w:val="bottom"/>
          </w:tcPr>
          <w:p w14:paraId="646C0E87"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Krediti financijskim institucijama</w:t>
            </w:r>
          </w:p>
        </w:tc>
        <w:tc>
          <w:tcPr>
            <w:tcW w:w="612" w:type="pct"/>
            <w:tcBorders>
              <w:top w:val="nil"/>
              <w:left w:val="nil"/>
              <w:bottom w:val="nil"/>
              <w:right w:val="nil"/>
            </w:tcBorders>
            <w:shd w:val="clear" w:color="auto" w:fill="auto"/>
            <w:vAlign w:val="bottom"/>
          </w:tcPr>
          <w:p w14:paraId="20763154"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7.050.143</w:t>
            </w:r>
          </w:p>
        </w:tc>
        <w:tc>
          <w:tcPr>
            <w:tcW w:w="612" w:type="pct"/>
            <w:tcBorders>
              <w:top w:val="nil"/>
              <w:left w:val="nil"/>
              <w:bottom w:val="nil"/>
              <w:right w:val="nil"/>
            </w:tcBorders>
            <w:shd w:val="clear" w:color="auto" w:fill="auto"/>
            <w:vAlign w:val="bottom"/>
          </w:tcPr>
          <w:p w14:paraId="714F26A6"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w:t>
            </w:r>
          </w:p>
        </w:tc>
        <w:tc>
          <w:tcPr>
            <w:tcW w:w="612" w:type="pct"/>
            <w:tcBorders>
              <w:top w:val="nil"/>
              <w:left w:val="nil"/>
              <w:bottom w:val="nil"/>
              <w:right w:val="nil"/>
            </w:tcBorders>
            <w:shd w:val="clear" w:color="auto" w:fill="auto"/>
            <w:vAlign w:val="bottom"/>
          </w:tcPr>
          <w:p w14:paraId="048AA4EC"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w:t>
            </w:r>
          </w:p>
        </w:tc>
        <w:tc>
          <w:tcPr>
            <w:tcW w:w="611" w:type="pct"/>
            <w:tcBorders>
              <w:top w:val="nil"/>
              <w:left w:val="nil"/>
              <w:bottom w:val="nil"/>
              <w:right w:val="nil"/>
            </w:tcBorders>
            <w:shd w:val="clear" w:color="auto" w:fill="auto"/>
            <w:vAlign w:val="bottom"/>
          </w:tcPr>
          <w:p w14:paraId="55E5938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7.050.143</w:t>
            </w:r>
          </w:p>
        </w:tc>
      </w:tr>
      <w:tr w:rsidR="004E2F51" w:rsidRPr="009C411C" w14:paraId="524EFAFB" w14:textId="77777777" w:rsidTr="00E032FC">
        <w:trPr>
          <w:cantSplit/>
          <w:trHeight w:val="265"/>
          <w:tblHeader/>
        </w:trPr>
        <w:tc>
          <w:tcPr>
            <w:tcW w:w="2552" w:type="pct"/>
            <w:vAlign w:val="bottom"/>
          </w:tcPr>
          <w:p w14:paraId="7A7C8413"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Krediti ostalim korisnicima</w:t>
            </w:r>
          </w:p>
        </w:tc>
        <w:tc>
          <w:tcPr>
            <w:tcW w:w="612" w:type="pct"/>
            <w:tcBorders>
              <w:top w:val="nil"/>
              <w:left w:val="nil"/>
              <w:bottom w:val="nil"/>
              <w:right w:val="nil"/>
            </w:tcBorders>
            <w:shd w:val="clear" w:color="auto" w:fill="auto"/>
            <w:vAlign w:val="bottom"/>
          </w:tcPr>
          <w:p w14:paraId="15E3B5CE"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15.681.740</w:t>
            </w:r>
          </w:p>
        </w:tc>
        <w:tc>
          <w:tcPr>
            <w:tcW w:w="612" w:type="pct"/>
            <w:tcBorders>
              <w:top w:val="nil"/>
              <w:left w:val="nil"/>
              <w:bottom w:val="nil"/>
              <w:right w:val="nil"/>
            </w:tcBorders>
            <w:shd w:val="clear" w:color="auto" w:fill="auto"/>
            <w:vAlign w:val="bottom"/>
          </w:tcPr>
          <w:p w14:paraId="5BC25EB3"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w:t>
            </w:r>
          </w:p>
        </w:tc>
        <w:tc>
          <w:tcPr>
            <w:tcW w:w="612" w:type="pct"/>
            <w:tcBorders>
              <w:top w:val="nil"/>
              <w:left w:val="nil"/>
              <w:bottom w:val="nil"/>
              <w:right w:val="nil"/>
            </w:tcBorders>
            <w:shd w:val="clear" w:color="auto" w:fill="auto"/>
            <w:vAlign w:val="bottom"/>
          </w:tcPr>
          <w:p w14:paraId="4AB7E214"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282.636</w:t>
            </w:r>
          </w:p>
        </w:tc>
        <w:tc>
          <w:tcPr>
            <w:tcW w:w="611" w:type="pct"/>
            <w:tcBorders>
              <w:top w:val="nil"/>
              <w:left w:val="nil"/>
              <w:bottom w:val="nil"/>
              <w:right w:val="nil"/>
            </w:tcBorders>
            <w:shd w:val="clear" w:color="auto" w:fill="auto"/>
            <w:vAlign w:val="bottom"/>
          </w:tcPr>
          <w:p w14:paraId="0B68E612"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15.964.376</w:t>
            </w:r>
          </w:p>
        </w:tc>
      </w:tr>
      <w:tr w:rsidR="004E2F51" w:rsidRPr="009C411C" w14:paraId="76B054E3" w14:textId="77777777" w:rsidTr="00E032FC">
        <w:trPr>
          <w:cantSplit/>
          <w:trHeight w:val="265"/>
          <w:tblHeader/>
        </w:trPr>
        <w:tc>
          <w:tcPr>
            <w:tcW w:w="2552" w:type="pct"/>
            <w:vAlign w:val="bottom"/>
          </w:tcPr>
          <w:p w14:paraId="3AFF6319"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Financijska imovina po fer vrijednosti kroz dobit ili gubitak</w:t>
            </w:r>
          </w:p>
        </w:tc>
        <w:tc>
          <w:tcPr>
            <w:tcW w:w="612" w:type="pct"/>
            <w:tcBorders>
              <w:top w:val="nil"/>
              <w:left w:val="nil"/>
              <w:bottom w:val="nil"/>
              <w:right w:val="nil"/>
            </w:tcBorders>
            <w:shd w:val="clear" w:color="auto" w:fill="auto"/>
            <w:vAlign w:val="bottom"/>
          </w:tcPr>
          <w:p w14:paraId="72898FD8"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16.375</w:t>
            </w:r>
          </w:p>
        </w:tc>
        <w:tc>
          <w:tcPr>
            <w:tcW w:w="612" w:type="pct"/>
            <w:tcBorders>
              <w:top w:val="nil"/>
              <w:left w:val="nil"/>
              <w:bottom w:val="nil"/>
              <w:right w:val="nil"/>
            </w:tcBorders>
            <w:shd w:val="clear" w:color="auto" w:fill="auto"/>
            <w:vAlign w:val="bottom"/>
          </w:tcPr>
          <w:p w14:paraId="2260428A"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w:t>
            </w:r>
          </w:p>
        </w:tc>
        <w:tc>
          <w:tcPr>
            <w:tcW w:w="612" w:type="pct"/>
            <w:tcBorders>
              <w:top w:val="nil"/>
              <w:left w:val="nil"/>
              <w:bottom w:val="nil"/>
              <w:right w:val="nil"/>
            </w:tcBorders>
            <w:shd w:val="clear" w:color="auto" w:fill="auto"/>
            <w:vAlign w:val="bottom"/>
          </w:tcPr>
          <w:p w14:paraId="61E55F5A"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w:t>
            </w:r>
          </w:p>
        </w:tc>
        <w:tc>
          <w:tcPr>
            <w:tcW w:w="611" w:type="pct"/>
            <w:tcBorders>
              <w:top w:val="nil"/>
              <w:left w:val="nil"/>
              <w:bottom w:val="nil"/>
              <w:right w:val="nil"/>
            </w:tcBorders>
            <w:shd w:val="clear" w:color="auto" w:fill="auto"/>
            <w:vAlign w:val="bottom"/>
          </w:tcPr>
          <w:p w14:paraId="3787FAE1"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16.375</w:t>
            </w:r>
          </w:p>
        </w:tc>
      </w:tr>
      <w:tr w:rsidR="004E2F51" w:rsidRPr="009C411C" w14:paraId="12F51E1F" w14:textId="77777777" w:rsidTr="00E032FC">
        <w:trPr>
          <w:cantSplit/>
          <w:trHeight w:val="265"/>
          <w:tblHeader/>
        </w:trPr>
        <w:tc>
          <w:tcPr>
            <w:tcW w:w="2552" w:type="pct"/>
          </w:tcPr>
          <w:p w14:paraId="65B58FC9"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 xml:space="preserve">Financijska imovina po fer vrijednosti kroz ostalu sveobuhvatnu dobit  </w:t>
            </w:r>
          </w:p>
        </w:tc>
        <w:tc>
          <w:tcPr>
            <w:tcW w:w="612" w:type="pct"/>
            <w:tcBorders>
              <w:top w:val="nil"/>
              <w:left w:val="nil"/>
              <w:bottom w:val="nil"/>
              <w:right w:val="nil"/>
            </w:tcBorders>
            <w:shd w:val="clear" w:color="auto" w:fill="auto"/>
            <w:vAlign w:val="bottom"/>
          </w:tcPr>
          <w:p w14:paraId="0159EDA9"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2.928.045</w:t>
            </w:r>
          </w:p>
        </w:tc>
        <w:tc>
          <w:tcPr>
            <w:tcW w:w="612" w:type="pct"/>
            <w:tcBorders>
              <w:top w:val="nil"/>
              <w:left w:val="nil"/>
              <w:bottom w:val="nil"/>
              <w:right w:val="nil"/>
            </w:tcBorders>
            <w:shd w:val="clear" w:color="auto" w:fill="auto"/>
            <w:vAlign w:val="bottom"/>
          </w:tcPr>
          <w:p w14:paraId="71FF257D"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1.469</w:t>
            </w:r>
          </w:p>
        </w:tc>
        <w:tc>
          <w:tcPr>
            <w:tcW w:w="612" w:type="pct"/>
            <w:tcBorders>
              <w:top w:val="nil"/>
              <w:left w:val="nil"/>
              <w:bottom w:val="nil"/>
              <w:right w:val="nil"/>
            </w:tcBorders>
            <w:shd w:val="clear" w:color="auto" w:fill="auto"/>
            <w:vAlign w:val="bottom"/>
          </w:tcPr>
          <w:p w14:paraId="644E15FC"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w:t>
            </w:r>
          </w:p>
        </w:tc>
        <w:tc>
          <w:tcPr>
            <w:tcW w:w="611" w:type="pct"/>
            <w:tcBorders>
              <w:top w:val="nil"/>
              <w:left w:val="nil"/>
              <w:bottom w:val="nil"/>
              <w:right w:val="nil"/>
            </w:tcBorders>
            <w:shd w:val="clear" w:color="auto" w:fill="auto"/>
            <w:vAlign w:val="bottom"/>
          </w:tcPr>
          <w:p w14:paraId="22AE4761"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2.929.514</w:t>
            </w:r>
          </w:p>
        </w:tc>
      </w:tr>
      <w:tr w:rsidR="004E2F51" w:rsidRPr="009C411C" w14:paraId="335AA70B" w14:textId="77777777" w:rsidTr="00E032FC">
        <w:trPr>
          <w:cantSplit/>
          <w:trHeight w:val="265"/>
          <w:tblHeader/>
        </w:trPr>
        <w:tc>
          <w:tcPr>
            <w:tcW w:w="2552" w:type="pct"/>
            <w:vAlign w:val="bottom"/>
          </w:tcPr>
          <w:p w14:paraId="6091427B"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Ostala imovina</w:t>
            </w:r>
          </w:p>
        </w:tc>
        <w:tc>
          <w:tcPr>
            <w:tcW w:w="612" w:type="pct"/>
            <w:tcBorders>
              <w:top w:val="nil"/>
              <w:left w:val="nil"/>
              <w:bottom w:val="single" w:sz="4" w:space="0" w:color="auto"/>
              <w:right w:val="nil"/>
            </w:tcBorders>
            <w:shd w:val="clear" w:color="auto" w:fill="auto"/>
            <w:vAlign w:val="bottom"/>
          </w:tcPr>
          <w:p w14:paraId="3FB063DE"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6.430</w:t>
            </w:r>
          </w:p>
        </w:tc>
        <w:tc>
          <w:tcPr>
            <w:tcW w:w="612" w:type="pct"/>
            <w:tcBorders>
              <w:top w:val="nil"/>
              <w:left w:val="nil"/>
              <w:bottom w:val="single" w:sz="4" w:space="0" w:color="auto"/>
              <w:right w:val="nil"/>
            </w:tcBorders>
            <w:shd w:val="clear" w:color="auto" w:fill="auto"/>
            <w:vAlign w:val="bottom"/>
          </w:tcPr>
          <w:p w14:paraId="6CF406CD"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254</w:t>
            </w:r>
          </w:p>
        </w:tc>
        <w:tc>
          <w:tcPr>
            <w:tcW w:w="612" w:type="pct"/>
            <w:tcBorders>
              <w:top w:val="nil"/>
              <w:left w:val="nil"/>
              <w:bottom w:val="single" w:sz="4" w:space="0" w:color="auto"/>
              <w:right w:val="nil"/>
            </w:tcBorders>
            <w:shd w:val="clear" w:color="auto" w:fill="auto"/>
            <w:vAlign w:val="bottom"/>
          </w:tcPr>
          <w:p w14:paraId="68B5C76D"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627</w:t>
            </w:r>
          </w:p>
        </w:tc>
        <w:tc>
          <w:tcPr>
            <w:tcW w:w="611" w:type="pct"/>
            <w:tcBorders>
              <w:top w:val="nil"/>
              <w:left w:val="nil"/>
              <w:bottom w:val="single" w:sz="4" w:space="0" w:color="auto"/>
              <w:right w:val="nil"/>
            </w:tcBorders>
            <w:shd w:val="clear" w:color="auto" w:fill="auto"/>
            <w:vAlign w:val="bottom"/>
          </w:tcPr>
          <w:p w14:paraId="20B0A29A"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7.311</w:t>
            </w:r>
          </w:p>
        </w:tc>
      </w:tr>
      <w:tr w:rsidR="004E2F51" w:rsidRPr="009C411C" w14:paraId="3D4B416B" w14:textId="77777777" w:rsidTr="00E032FC">
        <w:trPr>
          <w:cantSplit/>
          <w:trHeight w:val="315"/>
          <w:tblHeader/>
        </w:trPr>
        <w:tc>
          <w:tcPr>
            <w:tcW w:w="2552" w:type="pct"/>
            <w:vAlign w:val="bottom"/>
          </w:tcPr>
          <w:p w14:paraId="37C71435" w14:textId="77777777" w:rsidR="004E2F51" w:rsidRPr="009C411C" w:rsidRDefault="004E2F51" w:rsidP="00E032FC">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 xml:space="preserve">Ukupno </w:t>
            </w:r>
          </w:p>
        </w:tc>
        <w:tc>
          <w:tcPr>
            <w:tcW w:w="612" w:type="pct"/>
            <w:tcBorders>
              <w:top w:val="nil"/>
              <w:left w:val="nil"/>
              <w:bottom w:val="single" w:sz="8" w:space="0" w:color="auto"/>
              <w:right w:val="nil"/>
            </w:tcBorders>
            <w:shd w:val="clear" w:color="auto" w:fill="auto"/>
            <w:vAlign w:val="bottom"/>
          </w:tcPr>
          <w:p w14:paraId="6B5F0C78"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27.563.816</w:t>
            </w:r>
          </w:p>
        </w:tc>
        <w:tc>
          <w:tcPr>
            <w:tcW w:w="612" w:type="pct"/>
            <w:tcBorders>
              <w:top w:val="nil"/>
              <w:left w:val="nil"/>
              <w:bottom w:val="single" w:sz="8" w:space="0" w:color="auto"/>
              <w:right w:val="nil"/>
            </w:tcBorders>
            <w:shd w:val="clear" w:color="auto" w:fill="auto"/>
            <w:vAlign w:val="bottom"/>
          </w:tcPr>
          <w:p w14:paraId="386E41EB"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34.542</w:t>
            </w:r>
          </w:p>
        </w:tc>
        <w:tc>
          <w:tcPr>
            <w:tcW w:w="612" w:type="pct"/>
            <w:tcBorders>
              <w:top w:val="nil"/>
              <w:left w:val="nil"/>
              <w:bottom w:val="single" w:sz="8" w:space="0" w:color="auto"/>
              <w:right w:val="nil"/>
            </w:tcBorders>
            <w:shd w:val="clear" w:color="auto" w:fill="auto"/>
            <w:vAlign w:val="bottom"/>
          </w:tcPr>
          <w:p w14:paraId="78E3A49E"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338.846</w:t>
            </w:r>
          </w:p>
        </w:tc>
        <w:tc>
          <w:tcPr>
            <w:tcW w:w="611" w:type="pct"/>
            <w:tcBorders>
              <w:top w:val="nil"/>
              <w:left w:val="nil"/>
              <w:bottom w:val="single" w:sz="8" w:space="0" w:color="auto"/>
              <w:right w:val="nil"/>
            </w:tcBorders>
            <w:shd w:val="clear" w:color="auto" w:fill="auto"/>
            <w:vAlign w:val="bottom"/>
          </w:tcPr>
          <w:p w14:paraId="502F2FD8"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27.937.204</w:t>
            </w:r>
          </w:p>
        </w:tc>
      </w:tr>
      <w:tr w:rsidR="004E2F51" w:rsidRPr="009C411C" w14:paraId="72B85E71" w14:textId="77777777" w:rsidTr="00E032FC">
        <w:tblPrEx>
          <w:tblCellMar>
            <w:left w:w="31" w:type="dxa"/>
            <w:right w:w="31" w:type="dxa"/>
          </w:tblCellMar>
        </w:tblPrEx>
        <w:trPr>
          <w:cantSplit/>
          <w:trHeight w:val="265"/>
          <w:tblHeader/>
        </w:trPr>
        <w:tc>
          <w:tcPr>
            <w:tcW w:w="2552" w:type="pct"/>
            <w:vAlign w:val="bottom"/>
          </w:tcPr>
          <w:p w14:paraId="0B197872" w14:textId="77777777" w:rsidR="004E2F51" w:rsidRPr="009C411C" w:rsidRDefault="004E2F51" w:rsidP="00E032FC">
            <w:pPr>
              <w:tabs>
                <w:tab w:val="right" w:pos="1202"/>
              </w:tabs>
              <w:spacing w:line="301" w:lineRule="exact"/>
              <w:outlineLvl w:val="0"/>
              <w:rPr>
                <w:rFonts w:ascii="Arial" w:hAnsi="Arial" w:cs="Arial"/>
                <w:b/>
                <w:bCs/>
                <w:color w:val="000000" w:themeColor="text1"/>
                <w:sz w:val="18"/>
                <w:szCs w:val="18"/>
                <w:lang w:val="hr-HR"/>
              </w:rPr>
            </w:pPr>
          </w:p>
        </w:tc>
        <w:tc>
          <w:tcPr>
            <w:tcW w:w="612" w:type="pct"/>
            <w:tcBorders>
              <w:top w:val="single" w:sz="12" w:space="0" w:color="auto"/>
            </w:tcBorders>
            <w:vAlign w:val="bottom"/>
          </w:tcPr>
          <w:p w14:paraId="6B2E6755"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6E3F1160"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048A867E"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611" w:type="pct"/>
            <w:tcBorders>
              <w:top w:val="single" w:sz="12" w:space="0" w:color="auto"/>
            </w:tcBorders>
            <w:vAlign w:val="bottom"/>
          </w:tcPr>
          <w:p w14:paraId="51563191"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r>
      <w:tr w:rsidR="004E2F51" w:rsidRPr="009C411C" w14:paraId="58F1DF2C" w14:textId="77777777" w:rsidTr="00E032FC">
        <w:tblPrEx>
          <w:tblCellMar>
            <w:left w:w="31" w:type="dxa"/>
            <w:right w:w="31" w:type="dxa"/>
          </w:tblCellMar>
        </w:tblPrEx>
        <w:trPr>
          <w:cantSplit/>
          <w:trHeight w:val="265"/>
          <w:tblHeader/>
        </w:trPr>
        <w:tc>
          <w:tcPr>
            <w:tcW w:w="2552" w:type="pct"/>
          </w:tcPr>
          <w:p w14:paraId="260BFBEE" w14:textId="77777777" w:rsidR="004E2F51" w:rsidRPr="009C411C" w:rsidRDefault="004E2F51" w:rsidP="00E032FC">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Garancije i preuzete obveze</w:t>
            </w:r>
          </w:p>
        </w:tc>
        <w:tc>
          <w:tcPr>
            <w:tcW w:w="612" w:type="pct"/>
            <w:vAlign w:val="bottom"/>
          </w:tcPr>
          <w:p w14:paraId="34CC9C13"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612" w:type="pct"/>
            <w:vAlign w:val="bottom"/>
          </w:tcPr>
          <w:p w14:paraId="288C4ABD"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612" w:type="pct"/>
            <w:vAlign w:val="bottom"/>
          </w:tcPr>
          <w:p w14:paraId="291BF33A"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611" w:type="pct"/>
            <w:vAlign w:val="bottom"/>
          </w:tcPr>
          <w:p w14:paraId="304EC53F"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r>
      <w:tr w:rsidR="004E2F51" w:rsidRPr="009C411C" w14:paraId="5B580463" w14:textId="77777777" w:rsidTr="00E032FC">
        <w:tblPrEx>
          <w:tblCellMar>
            <w:left w:w="31" w:type="dxa"/>
            <w:right w:w="31" w:type="dxa"/>
          </w:tblCellMar>
        </w:tblPrEx>
        <w:trPr>
          <w:cantSplit/>
          <w:trHeight w:val="265"/>
          <w:tblHeader/>
        </w:trPr>
        <w:tc>
          <w:tcPr>
            <w:tcW w:w="2552" w:type="pct"/>
          </w:tcPr>
          <w:p w14:paraId="520B7A4B" w14:textId="77777777" w:rsidR="004E2F51" w:rsidRPr="009C411C" w:rsidRDefault="004E2F51" w:rsidP="00E032FC">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color w:val="000000" w:themeColor="text1"/>
                <w:sz w:val="18"/>
                <w:szCs w:val="18"/>
                <w:lang w:val="hr-HR"/>
              </w:rPr>
              <w:t>Izdane garancije u kunama</w:t>
            </w:r>
          </w:p>
        </w:tc>
        <w:tc>
          <w:tcPr>
            <w:tcW w:w="612" w:type="pct"/>
            <w:tcBorders>
              <w:top w:val="nil"/>
              <w:left w:val="nil"/>
              <w:bottom w:val="nil"/>
              <w:right w:val="nil"/>
            </w:tcBorders>
            <w:shd w:val="clear" w:color="auto" w:fill="auto"/>
            <w:vAlign w:val="bottom"/>
          </w:tcPr>
          <w:p w14:paraId="1D5F6AE3"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140.113</w:t>
            </w:r>
          </w:p>
        </w:tc>
        <w:tc>
          <w:tcPr>
            <w:tcW w:w="612" w:type="pct"/>
            <w:tcBorders>
              <w:top w:val="nil"/>
              <w:left w:val="nil"/>
              <w:bottom w:val="nil"/>
              <w:right w:val="nil"/>
            </w:tcBorders>
            <w:shd w:val="clear" w:color="auto" w:fill="auto"/>
            <w:vAlign w:val="bottom"/>
          </w:tcPr>
          <w:p w14:paraId="70943F8F"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w:t>
            </w:r>
          </w:p>
        </w:tc>
        <w:tc>
          <w:tcPr>
            <w:tcW w:w="612" w:type="pct"/>
            <w:tcBorders>
              <w:top w:val="nil"/>
              <w:left w:val="nil"/>
              <w:bottom w:val="nil"/>
              <w:right w:val="nil"/>
            </w:tcBorders>
            <w:shd w:val="clear" w:color="auto" w:fill="auto"/>
            <w:vAlign w:val="bottom"/>
          </w:tcPr>
          <w:p w14:paraId="02573A8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676CFDF8"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140.113</w:t>
            </w:r>
          </w:p>
        </w:tc>
      </w:tr>
      <w:tr w:rsidR="004E2F51" w:rsidRPr="009C411C" w14:paraId="63178835" w14:textId="77777777" w:rsidTr="00E032FC">
        <w:tblPrEx>
          <w:tblCellMar>
            <w:left w:w="31" w:type="dxa"/>
            <w:right w:w="31" w:type="dxa"/>
          </w:tblCellMar>
        </w:tblPrEx>
        <w:trPr>
          <w:cantSplit/>
          <w:trHeight w:val="265"/>
          <w:tblHeader/>
        </w:trPr>
        <w:tc>
          <w:tcPr>
            <w:tcW w:w="2552" w:type="pct"/>
            <w:vAlign w:val="bottom"/>
          </w:tcPr>
          <w:p w14:paraId="5AAD2D05"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Izdane garancije u devizama</w:t>
            </w:r>
          </w:p>
        </w:tc>
        <w:tc>
          <w:tcPr>
            <w:tcW w:w="612" w:type="pct"/>
            <w:tcBorders>
              <w:top w:val="nil"/>
              <w:left w:val="nil"/>
              <w:bottom w:val="nil"/>
              <w:right w:val="nil"/>
            </w:tcBorders>
            <w:shd w:val="clear" w:color="auto" w:fill="auto"/>
            <w:vAlign w:val="bottom"/>
          </w:tcPr>
          <w:p w14:paraId="40A4F79A"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260.705</w:t>
            </w:r>
          </w:p>
        </w:tc>
        <w:tc>
          <w:tcPr>
            <w:tcW w:w="612" w:type="pct"/>
            <w:tcBorders>
              <w:top w:val="nil"/>
              <w:left w:val="nil"/>
              <w:bottom w:val="nil"/>
              <w:right w:val="nil"/>
            </w:tcBorders>
            <w:shd w:val="clear" w:color="auto" w:fill="auto"/>
            <w:vAlign w:val="bottom"/>
          </w:tcPr>
          <w:p w14:paraId="13BBA02C"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w:t>
            </w:r>
          </w:p>
        </w:tc>
        <w:tc>
          <w:tcPr>
            <w:tcW w:w="612" w:type="pct"/>
            <w:tcBorders>
              <w:top w:val="nil"/>
              <w:left w:val="nil"/>
              <w:bottom w:val="nil"/>
              <w:right w:val="nil"/>
            </w:tcBorders>
            <w:shd w:val="clear" w:color="auto" w:fill="auto"/>
            <w:vAlign w:val="bottom"/>
          </w:tcPr>
          <w:p w14:paraId="1FFC6791"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w:t>
            </w:r>
          </w:p>
        </w:tc>
        <w:tc>
          <w:tcPr>
            <w:tcW w:w="611" w:type="pct"/>
            <w:tcBorders>
              <w:top w:val="nil"/>
              <w:left w:val="nil"/>
              <w:bottom w:val="nil"/>
              <w:right w:val="nil"/>
            </w:tcBorders>
            <w:shd w:val="clear" w:color="auto" w:fill="auto"/>
            <w:vAlign w:val="bottom"/>
          </w:tcPr>
          <w:p w14:paraId="311DE644"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260.705</w:t>
            </w:r>
          </w:p>
        </w:tc>
      </w:tr>
      <w:tr w:rsidR="004E2F51" w:rsidRPr="009C411C" w14:paraId="399D3C26" w14:textId="77777777" w:rsidTr="00E032FC">
        <w:tblPrEx>
          <w:tblCellMar>
            <w:left w:w="31" w:type="dxa"/>
            <w:right w:w="31" w:type="dxa"/>
          </w:tblCellMar>
        </w:tblPrEx>
        <w:trPr>
          <w:cantSplit/>
          <w:trHeight w:val="265"/>
          <w:tblHeader/>
        </w:trPr>
        <w:tc>
          <w:tcPr>
            <w:tcW w:w="2552" w:type="pct"/>
            <w:vAlign w:val="bottom"/>
          </w:tcPr>
          <w:p w14:paraId="18D13A5D"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Preuzete obveze po kreditima</w:t>
            </w:r>
          </w:p>
        </w:tc>
        <w:tc>
          <w:tcPr>
            <w:tcW w:w="612" w:type="pct"/>
            <w:tcBorders>
              <w:top w:val="nil"/>
              <w:left w:val="nil"/>
              <w:bottom w:val="single" w:sz="4" w:space="0" w:color="auto"/>
              <w:right w:val="nil"/>
            </w:tcBorders>
            <w:shd w:val="clear" w:color="auto" w:fill="auto"/>
            <w:vAlign w:val="bottom"/>
          </w:tcPr>
          <w:p w14:paraId="2DB8C4D9"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3.454.685</w:t>
            </w:r>
          </w:p>
        </w:tc>
        <w:tc>
          <w:tcPr>
            <w:tcW w:w="612" w:type="pct"/>
            <w:tcBorders>
              <w:top w:val="nil"/>
              <w:left w:val="nil"/>
              <w:bottom w:val="single" w:sz="4" w:space="0" w:color="auto"/>
              <w:right w:val="nil"/>
            </w:tcBorders>
            <w:shd w:val="clear" w:color="auto" w:fill="auto"/>
            <w:vAlign w:val="bottom"/>
          </w:tcPr>
          <w:p w14:paraId="2464821D"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w:t>
            </w:r>
          </w:p>
        </w:tc>
        <w:tc>
          <w:tcPr>
            <w:tcW w:w="612" w:type="pct"/>
            <w:tcBorders>
              <w:top w:val="nil"/>
              <w:left w:val="nil"/>
              <w:bottom w:val="single" w:sz="4" w:space="0" w:color="auto"/>
              <w:right w:val="nil"/>
            </w:tcBorders>
            <w:shd w:val="clear" w:color="auto" w:fill="auto"/>
            <w:vAlign w:val="bottom"/>
          </w:tcPr>
          <w:p w14:paraId="3EE05EBD"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2.606</w:t>
            </w:r>
          </w:p>
        </w:tc>
        <w:tc>
          <w:tcPr>
            <w:tcW w:w="611" w:type="pct"/>
            <w:tcBorders>
              <w:top w:val="nil"/>
              <w:left w:val="nil"/>
              <w:bottom w:val="single" w:sz="4" w:space="0" w:color="auto"/>
              <w:right w:val="nil"/>
            </w:tcBorders>
            <w:shd w:val="clear" w:color="auto" w:fill="auto"/>
            <w:vAlign w:val="bottom"/>
          </w:tcPr>
          <w:p w14:paraId="409F4816"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3.457.291</w:t>
            </w:r>
          </w:p>
        </w:tc>
      </w:tr>
      <w:tr w:rsidR="004E2F51" w:rsidRPr="009C411C" w14:paraId="4FF76D8A" w14:textId="77777777" w:rsidTr="00E032FC">
        <w:tblPrEx>
          <w:tblCellMar>
            <w:left w:w="31" w:type="dxa"/>
            <w:right w:w="31" w:type="dxa"/>
          </w:tblCellMar>
        </w:tblPrEx>
        <w:trPr>
          <w:cantSplit/>
          <w:trHeight w:val="393"/>
          <w:tblHeader/>
        </w:trPr>
        <w:tc>
          <w:tcPr>
            <w:tcW w:w="2552" w:type="pct"/>
            <w:vAlign w:val="bottom"/>
          </w:tcPr>
          <w:p w14:paraId="60195492"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b/>
                <w:bCs/>
                <w:color w:val="000000" w:themeColor="text1"/>
                <w:sz w:val="18"/>
                <w:szCs w:val="18"/>
                <w:lang w:val="hr-HR"/>
              </w:rPr>
              <w:t>Ukupno</w:t>
            </w:r>
          </w:p>
        </w:tc>
        <w:tc>
          <w:tcPr>
            <w:tcW w:w="612" w:type="pct"/>
            <w:tcBorders>
              <w:top w:val="single" w:sz="4" w:space="0" w:color="auto"/>
              <w:left w:val="nil"/>
              <w:bottom w:val="single" w:sz="12" w:space="0" w:color="auto"/>
              <w:right w:val="nil"/>
            </w:tcBorders>
            <w:shd w:val="clear" w:color="auto" w:fill="auto"/>
            <w:vAlign w:val="bottom"/>
          </w:tcPr>
          <w:p w14:paraId="46CE4BEA"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3.855.503</w:t>
            </w:r>
          </w:p>
        </w:tc>
        <w:tc>
          <w:tcPr>
            <w:tcW w:w="612" w:type="pct"/>
            <w:tcBorders>
              <w:top w:val="single" w:sz="4" w:space="0" w:color="auto"/>
              <w:left w:val="nil"/>
              <w:bottom w:val="single" w:sz="12" w:space="0" w:color="auto"/>
              <w:right w:val="nil"/>
            </w:tcBorders>
            <w:shd w:val="clear" w:color="auto" w:fill="auto"/>
            <w:vAlign w:val="bottom"/>
          </w:tcPr>
          <w:p w14:paraId="734338E8"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w:t>
            </w:r>
          </w:p>
        </w:tc>
        <w:tc>
          <w:tcPr>
            <w:tcW w:w="612" w:type="pct"/>
            <w:tcBorders>
              <w:top w:val="single" w:sz="4" w:space="0" w:color="auto"/>
              <w:left w:val="nil"/>
              <w:bottom w:val="single" w:sz="12" w:space="0" w:color="auto"/>
              <w:right w:val="nil"/>
            </w:tcBorders>
            <w:shd w:val="clear" w:color="auto" w:fill="auto"/>
            <w:vAlign w:val="bottom"/>
          </w:tcPr>
          <w:p w14:paraId="74EB0182"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2.606</w:t>
            </w:r>
          </w:p>
        </w:tc>
        <w:tc>
          <w:tcPr>
            <w:tcW w:w="611" w:type="pct"/>
            <w:tcBorders>
              <w:top w:val="single" w:sz="4" w:space="0" w:color="auto"/>
              <w:left w:val="nil"/>
              <w:bottom w:val="single" w:sz="12" w:space="0" w:color="auto"/>
              <w:right w:val="nil"/>
            </w:tcBorders>
            <w:shd w:val="clear" w:color="auto" w:fill="auto"/>
            <w:vAlign w:val="bottom"/>
          </w:tcPr>
          <w:p w14:paraId="76A5C159"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3.858.109</w:t>
            </w:r>
          </w:p>
        </w:tc>
      </w:tr>
      <w:tr w:rsidR="004E2F51" w:rsidRPr="009C411C" w14:paraId="0CF3D741" w14:textId="77777777" w:rsidTr="00E032FC">
        <w:tblPrEx>
          <w:tblCellMar>
            <w:left w:w="31" w:type="dxa"/>
            <w:right w:w="31" w:type="dxa"/>
          </w:tblCellMar>
        </w:tblPrEx>
        <w:trPr>
          <w:cantSplit/>
          <w:trHeight w:hRule="exact" w:val="120"/>
          <w:tblHeader/>
        </w:trPr>
        <w:tc>
          <w:tcPr>
            <w:tcW w:w="2552" w:type="pct"/>
            <w:vAlign w:val="bottom"/>
          </w:tcPr>
          <w:p w14:paraId="62322ADC"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p>
        </w:tc>
        <w:tc>
          <w:tcPr>
            <w:tcW w:w="612" w:type="pct"/>
            <w:tcBorders>
              <w:top w:val="single" w:sz="12" w:space="0" w:color="auto"/>
            </w:tcBorders>
            <w:vAlign w:val="bottom"/>
          </w:tcPr>
          <w:p w14:paraId="39A3310F"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p>
        </w:tc>
        <w:tc>
          <w:tcPr>
            <w:tcW w:w="612" w:type="pct"/>
            <w:tcBorders>
              <w:top w:val="single" w:sz="12" w:space="0" w:color="auto"/>
            </w:tcBorders>
            <w:vAlign w:val="bottom"/>
          </w:tcPr>
          <w:p w14:paraId="449DDEF2"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p>
        </w:tc>
        <w:tc>
          <w:tcPr>
            <w:tcW w:w="612" w:type="pct"/>
            <w:tcBorders>
              <w:top w:val="single" w:sz="12" w:space="0" w:color="auto"/>
            </w:tcBorders>
            <w:vAlign w:val="bottom"/>
          </w:tcPr>
          <w:p w14:paraId="777EC33A"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p>
        </w:tc>
        <w:tc>
          <w:tcPr>
            <w:tcW w:w="611" w:type="pct"/>
            <w:tcBorders>
              <w:top w:val="single" w:sz="12" w:space="0" w:color="auto"/>
            </w:tcBorders>
            <w:vAlign w:val="bottom"/>
          </w:tcPr>
          <w:p w14:paraId="551475B0"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p>
        </w:tc>
      </w:tr>
      <w:tr w:rsidR="004E2F51" w:rsidRPr="009C411C" w14:paraId="2FA779B8" w14:textId="77777777" w:rsidTr="00E032FC">
        <w:tblPrEx>
          <w:tblCellMar>
            <w:left w:w="31" w:type="dxa"/>
            <w:right w:w="31" w:type="dxa"/>
          </w:tblCellMar>
        </w:tblPrEx>
        <w:trPr>
          <w:cantSplit/>
          <w:trHeight w:val="375"/>
          <w:tblHeader/>
        </w:trPr>
        <w:tc>
          <w:tcPr>
            <w:tcW w:w="2552" w:type="pct"/>
            <w:vAlign w:val="bottom"/>
          </w:tcPr>
          <w:p w14:paraId="019584D3" w14:textId="77777777" w:rsidR="004E2F51" w:rsidRPr="009C411C" w:rsidRDefault="004E2F51" w:rsidP="00E032FC">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Ukupna izloženost kreditnom riziku</w:t>
            </w:r>
          </w:p>
        </w:tc>
        <w:tc>
          <w:tcPr>
            <w:tcW w:w="612" w:type="pct"/>
            <w:tcBorders>
              <w:top w:val="nil"/>
              <w:left w:val="nil"/>
              <w:bottom w:val="single" w:sz="12" w:space="0" w:color="auto"/>
              <w:right w:val="nil"/>
            </w:tcBorders>
            <w:shd w:val="clear" w:color="auto" w:fill="auto"/>
            <w:vAlign w:val="bottom"/>
          </w:tcPr>
          <w:p w14:paraId="60154C92"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31.419.319</w:t>
            </w:r>
          </w:p>
        </w:tc>
        <w:tc>
          <w:tcPr>
            <w:tcW w:w="612" w:type="pct"/>
            <w:tcBorders>
              <w:top w:val="nil"/>
              <w:left w:val="nil"/>
              <w:bottom w:val="single" w:sz="12" w:space="0" w:color="auto"/>
              <w:right w:val="nil"/>
            </w:tcBorders>
            <w:shd w:val="clear" w:color="auto" w:fill="auto"/>
            <w:vAlign w:val="bottom"/>
          </w:tcPr>
          <w:p w14:paraId="2C27668A"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34.542</w:t>
            </w:r>
          </w:p>
        </w:tc>
        <w:tc>
          <w:tcPr>
            <w:tcW w:w="612" w:type="pct"/>
            <w:tcBorders>
              <w:top w:val="nil"/>
              <w:left w:val="nil"/>
              <w:bottom w:val="single" w:sz="12" w:space="0" w:color="auto"/>
              <w:right w:val="nil"/>
            </w:tcBorders>
            <w:shd w:val="clear" w:color="auto" w:fill="auto"/>
            <w:vAlign w:val="bottom"/>
          </w:tcPr>
          <w:p w14:paraId="7E9597D7"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341.452</w:t>
            </w:r>
          </w:p>
        </w:tc>
        <w:tc>
          <w:tcPr>
            <w:tcW w:w="611" w:type="pct"/>
            <w:tcBorders>
              <w:top w:val="nil"/>
              <w:left w:val="nil"/>
              <w:bottom w:val="single" w:sz="12" w:space="0" w:color="auto"/>
              <w:right w:val="nil"/>
            </w:tcBorders>
            <w:shd w:val="clear" w:color="auto" w:fill="auto"/>
            <w:vAlign w:val="bottom"/>
          </w:tcPr>
          <w:p w14:paraId="4BEF1FE5"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31.795.313</w:t>
            </w:r>
          </w:p>
        </w:tc>
      </w:tr>
    </w:tbl>
    <w:p w14:paraId="46F56667" w14:textId="77777777" w:rsidR="004E2F51" w:rsidRPr="00C651CA" w:rsidRDefault="004E2F51" w:rsidP="004E2F51">
      <w:pPr>
        <w:pStyle w:val="T1"/>
        <w:spacing w:before="0" w:after="0" w:line="240" w:lineRule="auto"/>
        <w:rPr>
          <w:rFonts w:cs="Arial"/>
          <w:b w:val="0"/>
          <w:bCs w:val="0"/>
          <w:color w:val="000000" w:themeColor="text1"/>
          <w:sz w:val="20"/>
          <w:lang w:val="hr-HR"/>
        </w:rPr>
      </w:pPr>
    </w:p>
    <w:p w14:paraId="4F666019" w14:textId="77777777" w:rsidR="004E2F51" w:rsidRPr="00C651CA" w:rsidRDefault="004E2F51" w:rsidP="004E2F51">
      <w:pPr>
        <w:pStyle w:val="T1"/>
        <w:spacing w:before="0" w:after="0" w:line="240" w:lineRule="auto"/>
        <w:rPr>
          <w:rFonts w:cs="Arial"/>
          <w:b w:val="0"/>
          <w:bCs w:val="0"/>
          <w:color w:val="000000" w:themeColor="text1"/>
          <w:sz w:val="20"/>
          <w:lang w:val="hr-HR"/>
        </w:rPr>
      </w:pPr>
    </w:p>
    <w:p w14:paraId="25818164" w14:textId="77777777" w:rsidR="004E2F51" w:rsidRPr="00C651CA" w:rsidRDefault="004E2F51" w:rsidP="004E2F51">
      <w:pPr>
        <w:rPr>
          <w:rFonts w:ascii="Arial" w:hAnsi="Arial" w:cs="Arial"/>
          <w:color w:val="000000" w:themeColor="text1"/>
          <w:sz w:val="20"/>
          <w:szCs w:val="20"/>
          <w:lang w:val="hr-HR"/>
        </w:rPr>
      </w:pPr>
    </w:p>
    <w:p w14:paraId="744D98CA" w14:textId="77777777" w:rsidR="004E2F51" w:rsidRPr="00C651CA" w:rsidRDefault="004E2F51" w:rsidP="004E2F51">
      <w:pPr>
        <w:pStyle w:val="T1"/>
        <w:spacing w:before="120" w:after="0"/>
        <w:rPr>
          <w:rFonts w:cs="Arial"/>
          <w:b w:val="0"/>
          <w:bCs w:val="0"/>
          <w:color w:val="000000" w:themeColor="text1"/>
          <w:sz w:val="20"/>
          <w:lang w:val="hr-HR"/>
        </w:rPr>
      </w:pPr>
    </w:p>
    <w:p w14:paraId="5FEB77D0" w14:textId="77777777" w:rsidR="004E2F51" w:rsidRPr="00C651CA" w:rsidRDefault="004E2F51" w:rsidP="004E2F51">
      <w:pPr>
        <w:pStyle w:val="T1"/>
        <w:spacing w:before="120" w:after="0"/>
        <w:rPr>
          <w:rFonts w:cs="Arial"/>
          <w:b w:val="0"/>
          <w:bCs w:val="0"/>
          <w:color w:val="000000" w:themeColor="text1"/>
          <w:sz w:val="20"/>
          <w:lang w:val="hr-HR"/>
        </w:rPr>
      </w:pPr>
    </w:p>
    <w:p w14:paraId="67605F45" w14:textId="77777777" w:rsidR="004E2F51" w:rsidRPr="00C651CA" w:rsidRDefault="004E2F51" w:rsidP="004E2F51">
      <w:pPr>
        <w:pStyle w:val="T1"/>
        <w:spacing w:before="120" w:after="0"/>
        <w:rPr>
          <w:rFonts w:cs="Arial"/>
          <w:b w:val="0"/>
          <w:bCs w:val="0"/>
          <w:color w:val="000000" w:themeColor="text1"/>
          <w:sz w:val="20"/>
          <w:lang w:val="hr-HR"/>
        </w:rPr>
        <w:sectPr w:rsidR="004E2F51" w:rsidRPr="00C651CA" w:rsidSect="00623DBA">
          <w:footerReference w:type="default" r:id="rId181"/>
          <w:pgSz w:w="11907" w:h="16840" w:code="9"/>
          <w:pgMar w:top="1418" w:right="1134" w:bottom="1134" w:left="1418" w:header="851" w:footer="851" w:gutter="0"/>
          <w:cols w:space="720"/>
          <w:noEndnote/>
        </w:sectPr>
      </w:pPr>
    </w:p>
    <w:p w14:paraId="7733CBCE" w14:textId="77777777" w:rsidR="004E2F51" w:rsidRPr="00C651CA" w:rsidRDefault="004E2F51" w:rsidP="004E2F51">
      <w:pPr>
        <w:pStyle w:val="T1"/>
        <w:spacing w:before="0" w:after="0" w:line="240" w:lineRule="auto"/>
        <w:rPr>
          <w:rFonts w:cs="Arial"/>
          <w:color w:val="000000" w:themeColor="text1"/>
          <w:sz w:val="20"/>
          <w:lang w:val="hr-HR"/>
        </w:rPr>
      </w:pPr>
    </w:p>
    <w:p w14:paraId="191E93B3" w14:textId="77777777" w:rsidR="004E2F51" w:rsidRPr="00C651CA" w:rsidRDefault="004E2F51" w:rsidP="004E2F51">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Pr>
          <w:rFonts w:cs="Arial"/>
          <w:color w:val="000000" w:themeColor="text1"/>
          <w:sz w:val="20"/>
          <w:lang w:val="hr-HR"/>
        </w:rPr>
        <w:t>1</w:t>
      </w:r>
      <w:r w:rsidRPr="00C651CA">
        <w:rPr>
          <w:rFonts w:cs="Arial"/>
          <w:color w:val="000000" w:themeColor="text1"/>
          <w:sz w:val="20"/>
          <w:lang w:val="hr-HR"/>
        </w:rPr>
        <w:t>.</w:t>
      </w:r>
      <w:r w:rsidRPr="00C651CA">
        <w:rPr>
          <w:rFonts w:cs="Arial"/>
          <w:color w:val="000000" w:themeColor="text1"/>
          <w:sz w:val="20"/>
          <w:lang w:val="hr-HR"/>
        </w:rPr>
        <w:tab/>
        <w:t>Upravljanje rizicima (nastavak)</w:t>
      </w:r>
    </w:p>
    <w:p w14:paraId="4515093A" w14:textId="77777777" w:rsidR="004E2F51" w:rsidRPr="00C651CA" w:rsidRDefault="004E2F51" w:rsidP="004E2F51">
      <w:pPr>
        <w:pStyle w:val="T1"/>
        <w:spacing w:before="0" w:after="0" w:line="240" w:lineRule="auto"/>
        <w:rPr>
          <w:rFonts w:cs="Arial"/>
          <w:color w:val="000000" w:themeColor="text1"/>
          <w:sz w:val="20"/>
          <w:lang w:val="hr-HR"/>
        </w:rPr>
      </w:pPr>
    </w:p>
    <w:p w14:paraId="530FCFAF" w14:textId="77777777" w:rsidR="004E2F51" w:rsidRPr="00C651CA" w:rsidRDefault="004E2F51" w:rsidP="004E2F51">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Pr>
          <w:rFonts w:cs="Arial"/>
          <w:color w:val="000000" w:themeColor="text1"/>
          <w:sz w:val="20"/>
          <w:lang w:val="hr-HR"/>
        </w:rPr>
        <w:t>1</w:t>
      </w:r>
      <w:r w:rsidRPr="00C651CA">
        <w:rPr>
          <w:rFonts w:cs="Arial"/>
          <w:color w:val="000000" w:themeColor="text1"/>
          <w:sz w:val="20"/>
          <w:lang w:val="hr-HR"/>
        </w:rPr>
        <w:t xml:space="preserve">.3. </w:t>
      </w:r>
      <w:r w:rsidRPr="00C651CA">
        <w:rPr>
          <w:rFonts w:cs="Arial"/>
          <w:color w:val="000000" w:themeColor="text1"/>
          <w:sz w:val="20"/>
          <w:lang w:val="hr-HR"/>
        </w:rPr>
        <w:tab/>
        <w:t>Kreditni rizik (nastavak)</w:t>
      </w:r>
    </w:p>
    <w:p w14:paraId="209F4FB5" w14:textId="77777777" w:rsidR="004E2F51" w:rsidRPr="00C651CA" w:rsidRDefault="004E2F51" w:rsidP="004E2F51">
      <w:pPr>
        <w:pStyle w:val="T1"/>
        <w:spacing w:before="0" w:after="0" w:line="240" w:lineRule="auto"/>
        <w:rPr>
          <w:rFonts w:cs="Arial"/>
          <w:color w:val="000000" w:themeColor="text1"/>
          <w:sz w:val="20"/>
          <w:lang w:val="hr-HR"/>
        </w:rPr>
      </w:pPr>
    </w:p>
    <w:p w14:paraId="1AC19225" w14:textId="77777777" w:rsidR="004E2F51" w:rsidRPr="00C651CA" w:rsidRDefault="004E2F51" w:rsidP="004E2F51">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 izloženost kreditnom riziku (nastavak)</w:t>
      </w:r>
    </w:p>
    <w:p w14:paraId="0F10628C" w14:textId="77777777" w:rsidR="004E2F51" w:rsidRPr="00C651CA" w:rsidRDefault="004E2F51" w:rsidP="004E2F51">
      <w:pPr>
        <w:pStyle w:val="T1"/>
        <w:spacing w:before="0" w:after="0" w:line="240" w:lineRule="auto"/>
        <w:rPr>
          <w:rFonts w:cs="Arial"/>
          <w:b w:val="0"/>
          <w:bCs w:val="0"/>
          <w:color w:val="000000" w:themeColor="text1"/>
          <w:sz w:val="20"/>
          <w:lang w:val="hr-HR"/>
        </w:rPr>
      </w:pPr>
    </w:p>
    <w:p w14:paraId="02A144D1" w14:textId="77777777" w:rsidR="004E2F51" w:rsidRPr="00C651CA" w:rsidRDefault="004E2F51" w:rsidP="004E2F51">
      <w:pPr>
        <w:pStyle w:val="T1"/>
        <w:spacing w:before="0" w:after="0" w:line="240" w:lineRule="auto"/>
        <w:rPr>
          <w:rFonts w:cs="Arial"/>
          <w:b w:val="0"/>
          <w:bCs w:val="0"/>
          <w:color w:val="000000" w:themeColor="text1"/>
          <w:sz w:val="20"/>
          <w:lang w:val="hr-HR"/>
        </w:rPr>
      </w:pPr>
      <w:r w:rsidRPr="00C651CA">
        <w:rPr>
          <w:rFonts w:cs="Arial"/>
          <w:b w:val="0"/>
          <w:bCs w:val="0"/>
          <w:color w:val="000000" w:themeColor="text1"/>
          <w:sz w:val="20"/>
          <w:lang w:val="hr-HR"/>
        </w:rPr>
        <w:t xml:space="preserve">Koncentracija imovine i garancija te preuzetih obveza prema zemljopisnim segmentima, neto izloženost, </w:t>
      </w:r>
      <w:r w:rsidRPr="00C651CA">
        <w:rPr>
          <w:rFonts w:cs="Arial"/>
          <w:b w:val="0"/>
          <w:color w:val="000000" w:themeColor="text1"/>
          <w:sz w:val="20"/>
          <w:lang w:val="hr-HR"/>
        </w:rPr>
        <w:t>bez umanjenja za vrijednost sredstava osiguranja naplate</w:t>
      </w:r>
      <w:r w:rsidRPr="00C651CA">
        <w:rPr>
          <w:rFonts w:cs="Arial"/>
          <w:b w:val="0"/>
          <w:bCs w:val="0"/>
          <w:color w:val="000000" w:themeColor="text1"/>
          <w:sz w:val="20"/>
          <w:lang w:val="hr-HR"/>
        </w:rPr>
        <w:t xml:space="preserve"> (nastavak): </w:t>
      </w:r>
    </w:p>
    <w:p w14:paraId="7FD9C2FD" w14:textId="77777777" w:rsidR="004E2F51" w:rsidRDefault="004E2F51" w:rsidP="004E2F51">
      <w:pPr>
        <w:pStyle w:val="T1"/>
        <w:spacing w:before="0" w:after="0" w:line="240" w:lineRule="auto"/>
        <w:rPr>
          <w:rFonts w:cs="Arial"/>
          <w:b w:val="0"/>
          <w:bCs w:val="0"/>
          <w:color w:val="000000" w:themeColor="text1"/>
          <w:sz w:val="20"/>
          <w:lang w:val="hr-HR"/>
        </w:rPr>
      </w:pPr>
    </w:p>
    <w:p w14:paraId="601A6589" w14:textId="77777777" w:rsidR="004E2F51" w:rsidRPr="00C651CA" w:rsidRDefault="004E2F51" w:rsidP="004E2F51">
      <w:pPr>
        <w:pStyle w:val="T1"/>
        <w:spacing w:before="0" w:after="0" w:line="240" w:lineRule="auto"/>
        <w:rPr>
          <w:rFonts w:cs="Arial"/>
          <w:b w:val="0"/>
          <w:bCs w:val="0"/>
          <w:color w:val="000000" w:themeColor="text1"/>
          <w:sz w:val="20"/>
          <w:lang w:val="hr-HR"/>
        </w:rPr>
      </w:pPr>
    </w:p>
    <w:tbl>
      <w:tblPr>
        <w:tblW w:w="5000" w:type="pct"/>
        <w:tblLayout w:type="fixed"/>
        <w:tblCellMar>
          <w:left w:w="30" w:type="dxa"/>
          <w:right w:w="30" w:type="dxa"/>
        </w:tblCellMar>
        <w:tblLook w:val="0000" w:firstRow="0" w:lastRow="0" w:firstColumn="0" w:lastColumn="0" w:noHBand="0" w:noVBand="0"/>
      </w:tblPr>
      <w:tblGrid>
        <w:gridCol w:w="4680"/>
        <w:gridCol w:w="1169"/>
        <w:gridCol w:w="1169"/>
        <w:gridCol w:w="1169"/>
        <w:gridCol w:w="1168"/>
      </w:tblGrid>
      <w:tr w:rsidR="004E2F51" w:rsidRPr="009C411C" w14:paraId="0918CFB2" w14:textId="77777777" w:rsidTr="00E032FC">
        <w:trPr>
          <w:cantSplit/>
          <w:trHeight w:val="784"/>
          <w:tblHeader/>
        </w:trPr>
        <w:tc>
          <w:tcPr>
            <w:tcW w:w="2501" w:type="pct"/>
          </w:tcPr>
          <w:p w14:paraId="6FB632D3" w14:textId="77777777" w:rsidR="004E2F51" w:rsidRPr="009C411C" w:rsidRDefault="004E2F51" w:rsidP="00E032FC">
            <w:pPr>
              <w:pStyle w:val="TH"/>
              <w:rPr>
                <w:rFonts w:cs="Arial"/>
                <w:color w:val="000000" w:themeColor="text1"/>
                <w:sz w:val="18"/>
                <w:szCs w:val="18"/>
                <w:lang w:val="hr-HR"/>
              </w:rPr>
            </w:pPr>
            <w:bookmarkStart w:id="1521" w:name="_Toc67329450"/>
            <w:r w:rsidRPr="009C411C">
              <w:rPr>
                <w:rFonts w:cs="Arial"/>
                <w:color w:val="000000" w:themeColor="text1"/>
                <w:sz w:val="18"/>
                <w:szCs w:val="18"/>
                <w:lang w:val="hr-HR"/>
              </w:rPr>
              <w:t>Banka</w:t>
            </w:r>
            <w:bookmarkEnd w:id="1521"/>
          </w:p>
          <w:p w14:paraId="3BC8C4BC" w14:textId="77777777" w:rsidR="004E2F51" w:rsidRPr="009C411C" w:rsidRDefault="004E2F51" w:rsidP="00E032FC">
            <w:pPr>
              <w:pStyle w:val="TH"/>
              <w:rPr>
                <w:rFonts w:cs="Arial"/>
                <w:color w:val="000000" w:themeColor="text1"/>
                <w:sz w:val="18"/>
                <w:szCs w:val="18"/>
                <w:lang w:val="hr-HR"/>
              </w:rPr>
            </w:pPr>
          </w:p>
          <w:p w14:paraId="20303258" w14:textId="77777777" w:rsidR="004E2F51" w:rsidRPr="009C411C" w:rsidRDefault="004E2F51" w:rsidP="00E032FC">
            <w:pPr>
              <w:pStyle w:val="TH"/>
              <w:rPr>
                <w:rFonts w:cs="Arial"/>
                <w:color w:val="000000" w:themeColor="text1"/>
                <w:sz w:val="18"/>
                <w:szCs w:val="18"/>
                <w:lang w:val="hr-HR"/>
              </w:rPr>
            </w:pPr>
            <w:bookmarkStart w:id="1522" w:name="_Toc67329451"/>
            <w:r w:rsidRPr="009C411C">
              <w:rPr>
                <w:rFonts w:eastAsia="Calibri" w:cs="Arial"/>
                <w:bCs/>
                <w:iCs/>
                <w:color w:val="000000" w:themeColor="text1"/>
                <w:sz w:val="18"/>
                <w:szCs w:val="18"/>
                <w:lang w:val="hr-HR"/>
              </w:rPr>
              <w:t xml:space="preserve">31. prosinca </w:t>
            </w:r>
            <w:r w:rsidRPr="009C411C">
              <w:rPr>
                <w:rFonts w:cs="Arial"/>
                <w:color w:val="000000" w:themeColor="text1"/>
                <w:sz w:val="18"/>
                <w:szCs w:val="18"/>
                <w:lang w:val="hr-HR"/>
              </w:rPr>
              <w:t>202</w:t>
            </w:r>
            <w:r>
              <w:rPr>
                <w:rFonts w:cs="Arial"/>
                <w:color w:val="000000" w:themeColor="text1"/>
                <w:sz w:val="18"/>
                <w:szCs w:val="18"/>
                <w:lang w:val="hr-HR"/>
              </w:rPr>
              <w:t>2</w:t>
            </w:r>
            <w:r w:rsidRPr="009C411C">
              <w:rPr>
                <w:rFonts w:cs="Arial"/>
                <w:color w:val="000000" w:themeColor="text1"/>
                <w:sz w:val="18"/>
                <w:szCs w:val="18"/>
                <w:lang w:val="hr-HR"/>
              </w:rPr>
              <w:t>.</w:t>
            </w:r>
            <w:bookmarkEnd w:id="1522"/>
            <w:r w:rsidRPr="009C411C">
              <w:rPr>
                <w:rFonts w:cs="Arial"/>
                <w:color w:val="000000" w:themeColor="text1"/>
                <w:sz w:val="18"/>
                <w:szCs w:val="18"/>
                <w:lang w:val="hr-HR"/>
              </w:rPr>
              <w:t xml:space="preserve"> </w:t>
            </w:r>
          </w:p>
        </w:tc>
        <w:tc>
          <w:tcPr>
            <w:tcW w:w="625" w:type="pct"/>
            <w:vAlign w:val="bottom"/>
          </w:tcPr>
          <w:p w14:paraId="74082FD5" w14:textId="77777777" w:rsidR="004E2F51" w:rsidRPr="009C411C" w:rsidRDefault="004E2F51" w:rsidP="00E032FC">
            <w:pPr>
              <w:pStyle w:val="TH"/>
              <w:jc w:val="right"/>
              <w:rPr>
                <w:rFonts w:cs="Arial"/>
                <w:color w:val="000000" w:themeColor="text1"/>
                <w:sz w:val="18"/>
                <w:szCs w:val="18"/>
                <w:lang w:val="hr-HR"/>
              </w:rPr>
            </w:pPr>
            <w:bookmarkStart w:id="1523" w:name="_Toc67329452"/>
            <w:r w:rsidRPr="009C411C">
              <w:rPr>
                <w:rFonts w:cs="Arial"/>
                <w:color w:val="000000" w:themeColor="text1"/>
                <w:sz w:val="18"/>
                <w:szCs w:val="18"/>
                <w:lang w:val="hr-HR"/>
              </w:rPr>
              <w:t>Republika Hrvatska</w:t>
            </w:r>
            <w:bookmarkEnd w:id="1523"/>
          </w:p>
        </w:tc>
        <w:tc>
          <w:tcPr>
            <w:tcW w:w="625" w:type="pct"/>
            <w:vAlign w:val="bottom"/>
          </w:tcPr>
          <w:p w14:paraId="792004B9" w14:textId="77777777" w:rsidR="004E2F51" w:rsidRPr="009C411C" w:rsidRDefault="004E2F51" w:rsidP="00E032FC">
            <w:pPr>
              <w:pStyle w:val="TH"/>
              <w:jc w:val="right"/>
              <w:rPr>
                <w:rFonts w:cs="Arial"/>
                <w:color w:val="000000" w:themeColor="text1"/>
                <w:sz w:val="18"/>
                <w:szCs w:val="18"/>
                <w:lang w:val="hr-HR"/>
              </w:rPr>
            </w:pPr>
            <w:bookmarkStart w:id="1524" w:name="_Toc67329453"/>
            <w:r w:rsidRPr="009C411C">
              <w:rPr>
                <w:rFonts w:cs="Arial"/>
                <w:color w:val="000000" w:themeColor="text1"/>
                <w:sz w:val="18"/>
                <w:szCs w:val="18"/>
                <w:lang w:val="hr-HR"/>
              </w:rPr>
              <w:t>Zemlje Europske unije</w:t>
            </w:r>
            <w:bookmarkEnd w:id="1524"/>
          </w:p>
        </w:tc>
        <w:tc>
          <w:tcPr>
            <w:tcW w:w="625" w:type="pct"/>
            <w:vAlign w:val="bottom"/>
          </w:tcPr>
          <w:p w14:paraId="5C622145" w14:textId="77777777" w:rsidR="004E2F51" w:rsidRPr="009C411C" w:rsidRDefault="004E2F51" w:rsidP="00E032FC">
            <w:pPr>
              <w:pStyle w:val="TH"/>
              <w:jc w:val="right"/>
              <w:rPr>
                <w:rFonts w:cs="Arial"/>
                <w:color w:val="000000" w:themeColor="text1"/>
                <w:sz w:val="18"/>
                <w:szCs w:val="18"/>
                <w:lang w:val="hr-HR"/>
              </w:rPr>
            </w:pPr>
            <w:bookmarkStart w:id="1525" w:name="_Toc67329454"/>
            <w:r w:rsidRPr="009C411C">
              <w:rPr>
                <w:rFonts w:cs="Arial"/>
                <w:color w:val="000000" w:themeColor="text1"/>
                <w:sz w:val="18"/>
                <w:szCs w:val="18"/>
                <w:lang w:val="hr-HR"/>
              </w:rPr>
              <w:t>Ostale</w:t>
            </w:r>
            <w:bookmarkEnd w:id="1525"/>
            <w:r w:rsidRPr="009C411C">
              <w:rPr>
                <w:rFonts w:cs="Arial"/>
                <w:color w:val="000000" w:themeColor="text1"/>
                <w:sz w:val="18"/>
                <w:szCs w:val="18"/>
                <w:lang w:val="hr-HR"/>
              </w:rPr>
              <w:t xml:space="preserve"> </w:t>
            </w:r>
          </w:p>
          <w:p w14:paraId="3BA33BD8" w14:textId="77777777" w:rsidR="004E2F51" w:rsidRPr="009C411C" w:rsidRDefault="004E2F51" w:rsidP="00E032FC">
            <w:pPr>
              <w:pStyle w:val="TH"/>
              <w:jc w:val="right"/>
              <w:rPr>
                <w:rFonts w:cs="Arial"/>
                <w:color w:val="000000" w:themeColor="text1"/>
                <w:sz w:val="18"/>
                <w:szCs w:val="18"/>
                <w:lang w:val="hr-HR"/>
              </w:rPr>
            </w:pPr>
            <w:bookmarkStart w:id="1526" w:name="_Toc67329455"/>
            <w:r w:rsidRPr="009C411C">
              <w:rPr>
                <w:rFonts w:cs="Arial"/>
                <w:color w:val="000000" w:themeColor="text1"/>
                <w:sz w:val="18"/>
                <w:szCs w:val="18"/>
                <w:lang w:val="hr-HR"/>
              </w:rPr>
              <w:t>zemlje</w:t>
            </w:r>
            <w:bookmarkEnd w:id="1526"/>
            <w:r w:rsidRPr="009C411C">
              <w:rPr>
                <w:rFonts w:cs="Arial"/>
                <w:color w:val="000000" w:themeColor="text1"/>
                <w:sz w:val="18"/>
                <w:szCs w:val="18"/>
                <w:lang w:val="hr-HR"/>
              </w:rPr>
              <w:t xml:space="preserve"> </w:t>
            </w:r>
          </w:p>
        </w:tc>
        <w:tc>
          <w:tcPr>
            <w:tcW w:w="624" w:type="pct"/>
            <w:vAlign w:val="bottom"/>
          </w:tcPr>
          <w:p w14:paraId="003B96E7" w14:textId="77777777" w:rsidR="004E2F51" w:rsidRPr="009C411C" w:rsidRDefault="004E2F51" w:rsidP="00E032FC">
            <w:pPr>
              <w:pStyle w:val="TH"/>
              <w:jc w:val="right"/>
              <w:rPr>
                <w:rFonts w:cs="Arial"/>
                <w:color w:val="000000" w:themeColor="text1"/>
                <w:sz w:val="18"/>
                <w:szCs w:val="18"/>
                <w:lang w:val="hr-HR"/>
              </w:rPr>
            </w:pPr>
            <w:bookmarkStart w:id="1527" w:name="_Toc67329456"/>
            <w:r w:rsidRPr="009C411C">
              <w:rPr>
                <w:rFonts w:cs="Arial"/>
                <w:color w:val="000000" w:themeColor="text1"/>
                <w:sz w:val="18"/>
                <w:szCs w:val="18"/>
                <w:lang w:val="hr-HR"/>
              </w:rPr>
              <w:t>Ukupno</w:t>
            </w:r>
            <w:bookmarkEnd w:id="1527"/>
          </w:p>
        </w:tc>
      </w:tr>
      <w:tr w:rsidR="004E2F51" w:rsidRPr="009C411C" w14:paraId="7EE7849F" w14:textId="77777777" w:rsidTr="00E032FC">
        <w:trPr>
          <w:cantSplit/>
          <w:trHeight w:val="250"/>
          <w:tblHeader/>
        </w:trPr>
        <w:tc>
          <w:tcPr>
            <w:tcW w:w="2501" w:type="pct"/>
          </w:tcPr>
          <w:p w14:paraId="17E4A6DA" w14:textId="77777777" w:rsidR="004E2F51" w:rsidRPr="009C411C" w:rsidRDefault="004E2F51" w:rsidP="00E032FC">
            <w:pPr>
              <w:ind w:left="113" w:hanging="113"/>
              <w:rPr>
                <w:rFonts w:ascii="Arial" w:hAnsi="Arial" w:cs="Arial"/>
                <w:color w:val="000000" w:themeColor="text1"/>
                <w:sz w:val="18"/>
                <w:szCs w:val="18"/>
                <w:lang w:val="hr-HR"/>
              </w:rPr>
            </w:pPr>
          </w:p>
        </w:tc>
        <w:tc>
          <w:tcPr>
            <w:tcW w:w="625" w:type="pct"/>
            <w:vAlign w:val="bottom"/>
          </w:tcPr>
          <w:p w14:paraId="39E1AA1D" w14:textId="77777777" w:rsidR="004E2F51" w:rsidRPr="009C411C" w:rsidRDefault="004E2F51" w:rsidP="00E032FC">
            <w:pPr>
              <w:pStyle w:val="TH"/>
              <w:jc w:val="right"/>
              <w:rPr>
                <w:rFonts w:cs="Arial"/>
                <w:color w:val="000000" w:themeColor="text1"/>
                <w:sz w:val="18"/>
                <w:szCs w:val="18"/>
                <w:lang w:val="hr-HR"/>
              </w:rPr>
            </w:pPr>
            <w:bookmarkStart w:id="1528" w:name="_Toc67329457"/>
            <w:r w:rsidRPr="009C411C">
              <w:rPr>
                <w:rFonts w:cs="Arial"/>
                <w:color w:val="000000" w:themeColor="text1"/>
                <w:sz w:val="18"/>
                <w:szCs w:val="18"/>
                <w:lang w:val="hr-HR"/>
              </w:rPr>
              <w:t>000 kuna</w:t>
            </w:r>
            <w:bookmarkEnd w:id="1528"/>
          </w:p>
        </w:tc>
        <w:tc>
          <w:tcPr>
            <w:tcW w:w="625" w:type="pct"/>
            <w:vAlign w:val="bottom"/>
          </w:tcPr>
          <w:p w14:paraId="2147FC95" w14:textId="77777777" w:rsidR="004E2F51" w:rsidRPr="009C411C" w:rsidRDefault="004E2F51" w:rsidP="00E032FC">
            <w:pPr>
              <w:pStyle w:val="TH"/>
              <w:jc w:val="right"/>
              <w:rPr>
                <w:rFonts w:cs="Arial"/>
                <w:color w:val="000000" w:themeColor="text1"/>
                <w:sz w:val="18"/>
                <w:szCs w:val="18"/>
                <w:lang w:val="hr-HR"/>
              </w:rPr>
            </w:pPr>
            <w:bookmarkStart w:id="1529" w:name="_Toc67329458"/>
            <w:r w:rsidRPr="009C411C">
              <w:rPr>
                <w:rFonts w:cs="Arial"/>
                <w:color w:val="000000" w:themeColor="text1"/>
                <w:sz w:val="18"/>
                <w:szCs w:val="18"/>
                <w:lang w:val="hr-HR"/>
              </w:rPr>
              <w:t>000 kuna</w:t>
            </w:r>
            <w:bookmarkEnd w:id="1529"/>
          </w:p>
        </w:tc>
        <w:tc>
          <w:tcPr>
            <w:tcW w:w="625" w:type="pct"/>
            <w:vAlign w:val="bottom"/>
          </w:tcPr>
          <w:p w14:paraId="61B19A6C" w14:textId="77777777" w:rsidR="004E2F51" w:rsidRPr="009C411C" w:rsidRDefault="004E2F51" w:rsidP="00E032FC">
            <w:pPr>
              <w:pStyle w:val="TH"/>
              <w:jc w:val="right"/>
              <w:rPr>
                <w:rFonts w:cs="Arial"/>
                <w:color w:val="000000" w:themeColor="text1"/>
                <w:sz w:val="18"/>
                <w:szCs w:val="18"/>
                <w:lang w:val="hr-HR"/>
              </w:rPr>
            </w:pPr>
            <w:bookmarkStart w:id="1530" w:name="_Toc67329459"/>
            <w:r w:rsidRPr="009C411C">
              <w:rPr>
                <w:rFonts w:cs="Arial"/>
                <w:color w:val="000000" w:themeColor="text1"/>
                <w:sz w:val="18"/>
                <w:szCs w:val="18"/>
                <w:lang w:val="hr-HR"/>
              </w:rPr>
              <w:t>000 kuna</w:t>
            </w:r>
            <w:bookmarkEnd w:id="1530"/>
          </w:p>
        </w:tc>
        <w:tc>
          <w:tcPr>
            <w:tcW w:w="624" w:type="pct"/>
            <w:vAlign w:val="bottom"/>
          </w:tcPr>
          <w:p w14:paraId="757E0735" w14:textId="77777777" w:rsidR="004E2F51" w:rsidRPr="009C411C" w:rsidRDefault="004E2F51" w:rsidP="00E032FC">
            <w:pPr>
              <w:pStyle w:val="TH"/>
              <w:jc w:val="right"/>
              <w:rPr>
                <w:rFonts w:cs="Arial"/>
                <w:color w:val="000000" w:themeColor="text1"/>
                <w:sz w:val="18"/>
                <w:szCs w:val="18"/>
                <w:lang w:val="hr-HR"/>
              </w:rPr>
            </w:pPr>
            <w:bookmarkStart w:id="1531" w:name="_Toc67329460"/>
            <w:r w:rsidRPr="009C411C">
              <w:rPr>
                <w:rFonts w:cs="Arial"/>
                <w:color w:val="000000" w:themeColor="text1"/>
                <w:sz w:val="18"/>
                <w:szCs w:val="18"/>
                <w:lang w:val="hr-HR"/>
              </w:rPr>
              <w:t>000 kuna</w:t>
            </w:r>
            <w:bookmarkEnd w:id="1531"/>
          </w:p>
        </w:tc>
      </w:tr>
      <w:tr w:rsidR="004E2F51" w:rsidRPr="009C411C" w14:paraId="5559BBA8" w14:textId="77777777" w:rsidTr="00E032FC">
        <w:trPr>
          <w:cantSplit/>
          <w:trHeight w:val="250"/>
          <w:tblHeader/>
        </w:trPr>
        <w:tc>
          <w:tcPr>
            <w:tcW w:w="2501" w:type="pct"/>
          </w:tcPr>
          <w:p w14:paraId="12D7B815" w14:textId="77777777" w:rsidR="004E2F51" w:rsidRPr="009C411C" w:rsidRDefault="004E2F51" w:rsidP="00E032FC">
            <w:pPr>
              <w:ind w:left="113" w:hanging="113"/>
              <w:rPr>
                <w:rFonts w:ascii="Arial" w:hAnsi="Arial" w:cs="Arial"/>
                <w:color w:val="000000" w:themeColor="text1"/>
                <w:sz w:val="18"/>
                <w:szCs w:val="18"/>
                <w:lang w:val="hr-HR"/>
              </w:rPr>
            </w:pPr>
          </w:p>
        </w:tc>
        <w:tc>
          <w:tcPr>
            <w:tcW w:w="625" w:type="pct"/>
          </w:tcPr>
          <w:p w14:paraId="78BDBBE4" w14:textId="77777777" w:rsidR="004E2F51" w:rsidRPr="009C411C" w:rsidRDefault="004E2F51" w:rsidP="00E032FC">
            <w:pPr>
              <w:jc w:val="right"/>
              <w:rPr>
                <w:rFonts w:ascii="Arial" w:hAnsi="Arial" w:cs="Arial"/>
                <w:color w:val="000000" w:themeColor="text1"/>
                <w:sz w:val="18"/>
                <w:szCs w:val="18"/>
                <w:lang w:val="hr-HR"/>
              </w:rPr>
            </w:pPr>
          </w:p>
        </w:tc>
        <w:tc>
          <w:tcPr>
            <w:tcW w:w="625" w:type="pct"/>
          </w:tcPr>
          <w:p w14:paraId="21DE17DC" w14:textId="77777777" w:rsidR="004E2F51" w:rsidRPr="009C411C" w:rsidRDefault="004E2F51" w:rsidP="00E032FC">
            <w:pPr>
              <w:jc w:val="right"/>
              <w:rPr>
                <w:rFonts w:ascii="Arial" w:hAnsi="Arial" w:cs="Arial"/>
                <w:color w:val="000000" w:themeColor="text1"/>
                <w:sz w:val="18"/>
                <w:szCs w:val="18"/>
                <w:lang w:val="hr-HR"/>
              </w:rPr>
            </w:pPr>
          </w:p>
        </w:tc>
        <w:tc>
          <w:tcPr>
            <w:tcW w:w="625" w:type="pct"/>
          </w:tcPr>
          <w:p w14:paraId="60461A7A" w14:textId="77777777" w:rsidR="004E2F51" w:rsidRPr="009C411C" w:rsidRDefault="004E2F51" w:rsidP="00E032FC">
            <w:pPr>
              <w:jc w:val="right"/>
              <w:rPr>
                <w:rFonts w:ascii="Arial" w:hAnsi="Arial" w:cs="Arial"/>
                <w:color w:val="000000" w:themeColor="text1"/>
                <w:sz w:val="18"/>
                <w:szCs w:val="18"/>
                <w:lang w:val="hr-HR"/>
              </w:rPr>
            </w:pPr>
          </w:p>
        </w:tc>
        <w:tc>
          <w:tcPr>
            <w:tcW w:w="624" w:type="pct"/>
          </w:tcPr>
          <w:p w14:paraId="7C72A610" w14:textId="77777777" w:rsidR="004E2F51" w:rsidRPr="009C411C" w:rsidRDefault="004E2F51" w:rsidP="00E032FC">
            <w:pPr>
              <w:jc w:val="center"/>
              <w:rPr>
                <w:rFonts w:ascii="Arial" w:hAnsi="Arial" w:cs="Arial"/>
                <w:color w:val="000000" w:themeColor="text1"/>
                <w:sz w:val="18"/>
                <w:szCs w:val="18"/>
                <w:lang w:val="hr-HR"/>
              </w:rPr>
            </w:pPr>
          </w:p>
        </w:tc>
      </w:tr>
      <w:tr w:rsidR="004E2F51" w:rsidRPr="009C411C" w14:paraId="6C97AF5F" w14:textId="77777777" w:rsidTr="00E032FC">
        <w:trPr>
          <w:cantSplit/>
          <w:trHeight w:val="92"/>
          <w:tblHeader/>
        </w:trPr>
        <w:tc>
          <w:tcPr>
            <w:tcW w:w="2501" w:type="pct"/>
          </w:tcPr>
          <w:p w14:paraId="6E810202" w14:textId="77777777" w:rsidR="004E2F51" w:rsidRPr="009C411C" w:rsidRDefault="004E2F51" w:rsidP="00E032FC">
            <w:pPr>
              <w:pStyle w:val="TT"/>
              <w:rPr>
                <w:rFonts w:cs="Arial"/>
                <w:b/>
                <w:bCs/>
                <w:color w:val="000000" w:themeColor="text1"/>
                <w:sz w:val="18"/>
                <w:szCs w:val="18"/>
                <w:lang w:val="hr-HR"/>
              </w:rPr>
            </w:pPr>
            <w:bookmarkStart w:id="1532" w:name="_Toc67329461"/>
            <w:r w:rsidRPr="009C411C">
              <w:rPr>
                <w:rFonts w:cs="Arial"/>
                <w:b/>
                <w:bCs/>
                <w:color w:val="000000" w:themeColor="text1"/>
                <w:sz w:val="18"/>
                <w:szCs w:val="18"/>
                <w:lang w:val="hr-HR"/>
              </w:rPr>
              <w:t>Imovina</w:t>
            </w:r>
            <w:bookmarkEnd w:id="1532"/>
          </w:p>
        </w:tc>
        <w:tc>
          <w:tcPr>
            <w:tcW w:w="625" w:type="pct"/>
          </w:tcPr>
          <w:p w14:paraId="6636E8BB" w14:textId="77777777" w:rsidR="004E2F51" w:rsidRPr="009C411C" w:rsidRDefault="004E2F51" w:rsidP="00E032FC">
            <w:pPr>
              <w:jc w:val="right"/>
              <w:rPr>
                <w:rFonts w:ascii="Arial" w:hAnsi="Arial" w:cs="Arial"/>
                <w:color w:val="000000" w:themeColor="text1"/>
                <w:sz w:val="18"/>
                <w:szCs w:val="18"/>
                <w:lang w:val="hr-HR"/>
              </w:rPr>
            </w:pPr>
          </w:p>
        </w:tc>
        <w:tc>
          <w:tcPr>
            <w:tcW w:w="625" w:type="pct"/>
          </w:tcPr>
          <w:p w14:paraId="638B3E40" w14:textId="77777777" w:rsidR="004E2F51" w:rsidRPr="009C411C" w:rsidRDefault="004E2F51" w:rsidP="00E032FC">
            <w:pPr>
              <w:jc w:val="right"/>
              <w:rPr>
                <w:rFonts w:ascii="Arial" w:hAnsi="Arial" w:cs="Arial"/>
                <w:color w:val="000000" w:themeColor="text1"/>
                <w:sz w:val="18"/>
                <w:szCs w:val="18"/>
                <w:lang w:val="hr-HR"/>
              </w:rPr>
            </w:pPr>
          </w:p>
        </w:tc>
        <w:tc>
          <w:tcPr>
            <w:tcW w:w="625" w:type="pct"/>
          </w:tcPr>
          <w:p w14:paraId="6FE001CD" w14:textId="77777777" w:rsidR="004E2F51" w:rsidRPr="009C411C" w:rsidRDefault="004E2F51" w:rsidP="00E032FC">
            <w:pPr>
              <w:jc w:val="right"/>
              <w:rPr>
                <w:rFonts w:ascii="Arial" w:hAnsi="Arial" w:cs="Arial"/>
                <w:color w:val="000000" w:themeColor="text1"/>
                <w:sz w:val="18"/>
                <w:szCs w:val="18"/>
                <w:lang w:val="hr-HR"/>
              </w:rPr>
            </w:pPr>
          </w:p>
        </w:tc>
        <w:tc>
          <w:tcPr>
            <w:tcW w:w="624" w:type="pct"/>
          </w:tcPr>
          <w:p w14:paraId="7FB20C88" w14:textId="77777777" w:rsidR="004E2F51" w:rsidRPr="009C411C" w:rsidRDefault="004E2F51" w:rsidP="00E032FC">
            <w:pPr>
              <w:jc w:val="center"/>
              <w:rPr>
                <w:rFonts w:ascii="Arial" w:hAnsi="Arial" w:cs="Arial"/>
                <w:color w:val="000000" w:themeColor="text1"/>
                <w:sz w:val="18"/>
                <w:szCs w:val="18"/>
                <w:lang w:val="hr-HR"/>
              </w:rPr>
            </w:pPr>
          </w:p>
        </w:tc>
      </w:tr>
      <w:tr w:rsidR="004E2F51" w:rsidRPr="009C411C" w14:paraId="585FC98F" w14:textId="77777777" w:rsidTr="00E032FC">
        <w:trPr>
          <w:cantSplit/>
          <w:trHeight w:val="250"/>
          <w:tblHeader/>
        </w:trPr>
        <w:tc>
          <w:tcPr>
            <w:tcW w:w="2501" w:type="pct"/>
            <w:vAlign w:val="bottom"/>
          </w:tcPr>
          <w:p w14:paraId="122FB3FE" w14:textId="77777777" w:rsidR="004E2F51" w:rsidRPr="009C411C" w:rsidRDefault="004E2F51" w:rsidP="00E032FC">
            <w:pPr>
              <w:pStyle w:val="TT"/>
              <w:rPr>
                <w:rFonts w:cs="Arial"/>
                <w:color w:val="000000" w:themeColor="text1"/>
                <w:sz w:val="18"/>
                <w:szCs w:val="18"/>
                <w:lang w:val="hr-HR"/>
              </w:rPr>
            </w:pPr>
            <w:bookmarkStart w:id="1533" w:name="_Toc67329462"/>
            <w:r w:rsidRPr="009C411C">
              <w:rPr>
                <w:rFonts w:cs="Arial"/>
                <w:color w:val="000000" w:themeColor="text1"/>
                <w:sz w:val="18"/>
                <w:szCs w:val="18"/>
                <w:lang w:val="hr-HR"/>
              </w:rPr>
              <w:t>Novčana sredstva i računi kod banaka</w:t>
            </w:r>
            <w:bookmarkEnd w:id="1533"/>
          </w:p>
        </w:tc>
        <w:tc>
          <w:tcPr>
            <w:tcW w:w="625" w:type="pct"/>
            <w:tcBorders>
              <w:top w:val="nil"/>
              <w:left w:val="nil"/>
              <w:bottom w:val="nil"/>
              <w:right w:val="nil"/>
            </w:tcBorders>
            <w:shd w:val="clear" w:color="auto" w:fill="auto"/>
            <w:vAlign w:val="bottom"/>
          </w:tcPr>
          <w:p w14:paraId="4B18E114"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1.616.410 </w:t>
            </w:r>
          </w:p>
        </w:tc>
        <w:tc>
          <w:tcPr>
            <w:tcW w:w="625" w:type="pct"/>
            <w:tcBorders>
              <w:top w:val="nil"/>
              <w:left w:val="nil"/>
              <w:bottom w:val="nil"/>
              <w:right w:val="nil"/>
            </w:tcBorders>
            <w:shd w:val="clear" w:color="auto" w:fill="auto"/>
            <w:vAlign w:val="bottom"/>
          </w:tcPr>
          <w:p w14:paraId="147F92E3"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85.475 </w:t>
            </w:r>
          </w:p>
        </w:tc>
        <w:tc>
          <w:tcPr>
            <w:tcW w:w="625" w:type="pct"/>
            <w:tcBorders>
              <w:top w:val="nil"/>
              <w:left w:val="nil"/>
              <w:bottom w:val="nil"/>
              <w:right w:val="nil"/>
            </w:tcBorders>
            <w:shd w:val="clear" w:color="auto" w:fill="auto"/>
            <w:vAlign w:val="bottom"/>
          </w:tcPr>
          <w:p w14:paraId="7D32C10A"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14.634 </w:t>
            </w:r>
          </w:p>
        </w:tc>
        <w:tc>
          <w:tcPr>
            <w:tcW w:w="624" w:type="pct"/>
            <w:tcBorders>
              <w:top w:val="nil"/>
              <w:left w:val="nil"/>
              <w:bottom w:val="nil"/>
              <w:right w:val="nil"/>
            </w:tcBorders>
            <w:shd w:val="clear" w:color="auto" w:fill="auto"/>
            <w:vAlign w:val="bottom"/>
          </w:tcPr>
          <w:p w14:paraId="1F248DC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1.716.519 </w:t>
            </w:r>
          </w:p>
        </w:tc>
      </w:tr>
      <w:tr w:rsidR="004E2F51" w:rsidRPr="009C411C" w14:paraId="6F7E1FED" w14:textId="77777777" w:rsidTr="00E032FC">
        <w:trPr>
          <w:cantSplit/>
          <w:trHeight w:val="250"/>
          <w:tblHeader/>
        </w:trPr>
        <w:tc>
          <w:tcPr>
            <w:tcW w:w="2501" w:type="pct"/>
            <w:vAlign w:val="bottom"/>
          </w:tcPr>
          <w:p w14:paraId="6DC44A9D" w14:textId="77777777" w:rsidR="004E2F51" w:rsidRPr="009C411C" w:rsidRDefault="004E2F51" w:rsidP="00E032FC">
            <w:pPr>
              <w:pStyle w:val="TT"/>
              <w:rPr>
                <w:rFonts w:cs="Arial"/>
                <w:color w:val="000000" w:themeColor="text1"/>
                <w:sz w:val="18"/>
                <w:szCs w:val="18"/>
                <w:lang w:val="hr-HR"/>
              </w:rPr>
            </w:pPr>
            <w:bookmarkStart w:id="1534" w:name="_Toc67329467"/>
            <w:r w:rsidRPr="009C411C">
              <w:rPr>
                <w:rFonts w:cs="Arial"/>
                <w:color w:val="000000" w:themeColor="text1"/>
                <w:sz w:val="18"/>
                <w:szCs w:val="18"/>
                <w:lang w:val="hr-HR"/>
              </w:rPr>
              <w:t>Depoziti kod drugih banaka</w:t>
            </w:r>
            <w:bookmarkEnd w:id="1534"/>
          </w:p>
        </w:tc>
        <w:tc>
          <w:tcPr>
            <w:tcW w:w="625" w:type="pct"/>
            <w:tcBorders>
              <w:top w:val="nil"/>
              <w:left w:val="nil"/>
              <w:bottom w:val="nil"/>
              <w:right w:val="nil"/>
            </w:tcBorders>
            <w:shd w:val="clear" w:color="auto" w:fill="auto"/>
            <w:vAlign w:val="bottom"/>
          </w:tcPr>
          <w:p w14:paraId="1E6F56CF"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   </w:t>
            </w:r>
          </w:p>
        </w:tc>
        <w:tc>
          <w:tcPr>
            <w:tcW w:w="625" w:type="pct"/>
            <w:tcBorders>
              <w:top w:val="nil"/>
              <w:left w:val="nil"/>
              <w:bottom w:val="nil"/>
              <w:right w:val="nil"/>
            </w:tcBorders>
            <w:shd w:val="clear" w:color="auto" w:fill="auto"/>
            <w:vAlign w:val="bottom"/>
          </w:tcPr>
          <w:p w14:paraId="3061FAB9"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10.596 </w:t>
            </w:r>
          </w:p>
        </w:tc>
        <w:tc>
          <w:tcPr>
            <w:tcW w:w="625" w:type="pct"/>
            <w:tcBorders>
              <w:top w:val="nil"/>
              <w:left w:val="nil"/>
              <w:bottom w:val="nil"/>
              <w:right w:val="nil"/>
            </w:tcBorders>
            <w:shd w:val="clear" w:color="auto" w:fill="auto"/>
            <w:vAlign w:val="bottom"/>
          </w:tcPr>
          <w:p w14:paraId="39DC5589"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   </w:t>
            </w:r>
          </w:p>
        </w:tc>
        <w:tc>
          <w:tcPr>
            <w:tcW w:w="624" w:type="pct"/>
            <w:tcBorders>
              <w:top w:val="nil"/>
              <w:left w:val="nil"/>
              <w:bottom w:val="nil"/>
              <w:right w:val="nil"/>
            </w:tcBorders>
            <w:shd w:val="clear" w:color="auto" w:fill="auto"/>
            <w:vAlign w:val="bottom"/>
          </w:tcPr>
          <w:p w14:paraId="54CA49CD"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10.596 </w:t>
            </w:r>
          </w:p>
        </w:tc>
      </w:tr>
      <w:tr w:rsidR="004E2F51" w:rsidRPr="009C411C" w14:paraId="2F9A5810" w14:textId="77777777" w:rsidTr="00E032FC">
        <w:trPr>
          <w:cantSplit/>
          <w:trHeight w:val="250"/>
          <w:tblHeader/>
        </w:trPr>
        <w:tc>
          <w:tcPr>
            <w:tcW w:w="2501" w:type="pct"/>
            <w:vAlign w:val="bottom"/>
          </w:tcPr>
          <w:p w14:paraId="549BBADC" w14:textId="77777777" w:rsidR="004E2F51" w:rsidRPr="009C411C" w:rsidRDefault="004E2F51" w:rsidP="00E032FC">
            <w:pPr>
              <w:pStyle w:val="TT"/>
              <w:rPr>
                <w:rFonts w:cs="Arial"/>
                <w:color w:val="000000" w:themeColor="text1"/>
                <w:sz w:val="18"/>
                <w:szCs w:val="18"/>
                <w:lang w:val="hr-HR"/>
              </w:rPr>
            </w:pPr>
            <w:bookmarkStart w:id="1535" w:name="_Toc67329472"/>
            <w:r w:rsidRPr="009C411C">
              <w:rPr>
                <w:rFonts w:cs="Arial"/>
                <w:color w:val="000000" w:themeColor="text1"/>
                <w:sz w:val="18"/>
                <w:szCs w:val="18"/>
                <w:lang w:val="hr-HR"/>
              </w:rPr>
              <w:t>Krediti financijskim institucijama</w:t>
            </w:r>
            <w:bookmarkEnd w:id="1535"/>
          </w:p>
        </w:tc>
        <w:tc>
          <w:tcPr>
            <w:tcW w:w="625" w:type="pct"/>
            <w:tcBorders>
              <w:top w:val="nil"/>
              <w:left w:val="nil"/>
              <w:bottom w:val="nil"/>
              <w:right w:val="nil"/>
            </w:tcBorders>
            <w:shd w:val="clear" w:color="auto" w:fill="auto"/>
            <w:vAlign w:val="bottom"/>
          </w:tcPr>
          <w:p w14:paraId="755C7C2F"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6.984.712 </w:t>
            </w:r>
          </w:p>
        </w:tc>
        <w:tc>
          <w:tcPr>
            <w:tcW w:w="625" w:type="pct"/>
            <w:tcBorders>
              <w:top w:val="nil"/>
              <w:left w:val="nil"/>
              <w:bottom w:val="nil"/>
              <w:right w:val="nil"/>
            </w:tcBorders>
            <w:shd w:val="clear" w:color="auto" w:fill="auto"/>
            <w:vAlign w:val="bottom"/>
          </w:tcPr>
          <w:p w14:paraId="78151759"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   </w:t>
            </w:r>
          </w:p>
        </w:tc>
        <w:tc>
          <w:tcPr>
            <w:tcW w:w="625" w:type="pct"/>
            <w:tcBorders>
              <w:top w:val="nil"/>
              <w:left w:val="nil"/>
              <w:bottom w:val="nil"/>
              <w:right w:val="nil"/>
            </w:tcBorders>
            <w:shd w:val="clear" w:color="auto" w:fill="auto"/>
            <w:vAlign w:val="bottom"/>
          </w:tcPr>
          <w:p w14:paraId="5C2DB056"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   </w:t>
            </w:r>
          </w:p>
        </w:tc>
        <w:tc>
          <w:tcPr>
            <w:tcW w:w="624" w:type="pct"/>
            <w:tcBorders>
              <w:top w:val="nil"/>
              <w:left w:val="nil"/>
              <w:bottom w:val="nil"/>
              <w:right w:val="nil"/>
            </w:tcBorders>
            <w:shd w:val="clear" w:color="auto" w:fill="auto"/>
            <w:vAlign w:val="bottom"/>
          </w:tcPr>
          <w:p w14:paraId="5FD2A895"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6.984.712 </w:t>
            </w:r>
          </w:p>
        </w:tc>
      </w:tr>
      <w:tr w:rsidR="004E2F51" w:rsidRPr="009C411C" w14:paraId="097553BF" w14:textId="77777777" w:rsidTr="00E032FC">
        <w:trPr>
          <w:cantSplit/>
          <w:trHeight w:val="250"/>
          <w:tblHeader/>
        </w:trPr>
        <w:tc>
          <w:tcPr>
            <w:tcW w:w="2501" w:type="pct"/>
            <w:vAlign w:val="bottom"/>
          </w:tcPr>
          <w:p w14:paraId="4F3121EC" w14:textId="77777777" w:rsidR="004E2F51" w:rsidRPr="009C411C" w:rsidRDefault="004E2F51" w:rsidP="00E032FC">
            <w:pPr>
              <w:pStyle w:val="TT"/>
              <w:rPr>
                <w:rFonts w:cs="Arial"/>
                <w:color w:val="000000" w:themeColor="text1"/>
                <w:sz w:val="18"/>
                <w:szCs w:val="18"/>
                <w:lang w:val="hr-HR"/>
              </w:rPr>
            </w:pPr>
            <w:bookmarkStart w:id="1536" w:name="_Toc67329477"/>
            <w:r w:rsidRPr="009C411C">
              <w:rPr>
                <w:rFonts w:cs="Arial"/>
                <w:color w:val="000000" w:themeColor="text1"/>
                <w:sz w:val="18"/>
                <w:szCs w:val="18"/>
                <w:lang w:val="hr-HR"/>
              </w:rPr>
              <w:t>Krediti ostalim korisnicima</w:t>
            </w:r>
            <w:bookmarkEnd w:id="1536"/>
          </w:p>
        </w:tc>
        <w:tc>
          <w:tcPr>
            <w:tcW w:w="625" w:type="pct"/>
            <w:tcBorders>
              <w:top w:val="nil"/>
              <w:left w:val="nil"/>
              <w:bottom w:val="nil"/>
              <w:right w:val="nil"/>
            </w:tcBorders>
            <w:shd w:val="clear" w:color="auto" w:fill="auto"/>
            <w:vAlign w:val="bottom"/>
          </w:tcPr>
          <w:p w14:paraId="2AEF38D9"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17.317.730 </w:t>
            </w:r>
          </w:p>
        </w:tc>
        <w:tc>
          <w:tcPr>
            <w:tcW w:w="625" w:type="pct"/>
            <w:tcBorders>
              <w:top w:val="nil"/>
              <w:left w:val="nil"/>
              <w:bottom w:val="nil"/>
              <w:right w:val="nil"/>
            </w:tcBorders>
            <w:shd w:val="clear" w:color="auto" w:fill="auto"/>
            <w:vAlign w:val="bottom"/>
          </w:tcPr>
          <w:p w14:paraId="366495B4"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   </w:t>
            </w:r>
          </w:p>
        </w:tc>
        <w:tc>
          <w:tcPr>
            <w:tcW w:w="625" w:type="pct"/>
            <w:tcBorders>
              <w:top w:val="nil"/>
              <w:left w:val="nil"/>
              <w:bottom w:val="nil"/>
              <w:right w:val="nil"/>
            </w:tcBorders>
            <w:shd w:val="clear" w:color="auto" w:fill="auto"/>
            <w:vAlign w:val="bottom"/>
          </w:tcPr>
          <w:p w14:paraId="4BCFEF0F"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84.936 </w:t>
            </w:r>
          </w:p>
        </w:tc>
        <w:tc>
          <w:tcPr>
            <w:tcW w:w="624" w:type="pct"/>
            <w:tcBorders>
              <w:top w:val="nil"/>
              <w:left w:val="nil"/>
              <w:bottom w:val="nil"/>
              <w:right w:val="nil"/>
            </w:tcBorders>
            <w:shd w:val="clear" w:color="auto" w:fill="auto"/>
            <w:vAlign w:val="bottom"/>
          </w:tcPr>
          <w:p w14:paraId="0312F608"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 xml:space="preserve"> 17.402.666 </w:t>
            </w:r>
          </w:p>
        </w:tc>
      </w:tr>
      <w:tr w:rsidR="004E2F51" w:rsidRPr="009C411C" w14:paraId="327C130B" w14:textId="77777777" w:rsidTr="00E032FC">
        <w:trPr>
          <w:cantSplit/>
          <w:trHeight w:val="250"/>
          <w:tblHeader/>
        </w:trPr>
        <w:tc>
          <w:tcPr>
            <w:tcW w:w="2501" w:type="pct"/>
            <w:vAlign w:val="bottom"/>
          </w:tcPr>
          <w:p w14:paraId="751A7AC3" w14:textId="77777777" w:rsidR="004E2F51" w:rsidRPr="009C411C" w:rsidRDefault="004E2F51" w:rsidP="00E032FC">
            <w:pPr>
              <w:pStyle w:val="TT"/>
              <w:rPr>
                <w:rFonts w:cs="Arial"/>
                <w:color w:val="000000" w:themeColor="text1"/>
                <w:sz w:val="18"/>
                <w:szCs w:val="18"/>
                <w:lang w:val="hr-HR"/>
              </w:rPr>
            </w:pPr>
            <w:bookmarkStart w:id="1537" w:name="_Toc67329482"/>
            <w:r w:rsidRPr="009C411C">
              <w:rPr>
                <w:rFonts w:cs="Arial"/>
                <w:color w:val="000000" w:themeColor="text1"/>
                <w:sz w:val="18"/>
                <w:szCs w:val="18"/>
                <w:lang w:val="hr-HR"/>
              </w:rPr>
              <w:t>Financijska imovina po fer vrijednosti kroz dobit ili gubitak</w:t>
            </w:r>
            <w:bookmarkEnd w:id="1537"/>
          </w:p>
        </w:tc>
        <w:tc>
          <w:tcPr>
            <w:tcW w:w="625" w:type="pct"/>
            <w:tcBorders>
              <w:top w:val="nil"/>
              <w:left w:val="nil"/>
              <w:bottom w:val="nil"/>
              <w:right w:val="nil"/>
            </w:tcBorders>
            <w:shd w:val="clear" w:color="auto" w:fill="auto"/>
            <w:vAlign w:val="bottom"/>
          </w:tcPr>
          <w:p w14:paraId="13E47A6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23.87</w:t>
            </w:r>
            <w:r>
              <w:rPr>
                <w:rFonts w:ascii="Arial" w:hAnsi="Arial" w:cs="Arial"/>
                <w:color w:val="000000" w:themeColor="text1"/>
                <w:sz w:val="18"/>
                <w:szCs w:val="18"/>
                <w:lang w:val="hr-HR"/>
              </w:rPr>
              <w:t>0</w:t>
            </w:r>
          </w:p>
        </w:tc>
        <w:tc>
          <w:tcPr>
            <w:tcW w:w="625" w:type="pct"/>
            <w:tcBorders>
              <w:top w:val="nil"/>
              <w:left w:val="nil"/>
              <w:bottom w:val="nil"/>
              <w:right w:val="nil"/>
            </w:tcBorders>
            <w:shd w:val="clear" w:color="auto" w:fill="auto"/>
            <w:vAlign w:val="bottom"/>
          </w:tcPr>
          <w:p w14:paraId="3F387771"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w:t>
            </w:r>
          </w:p>
        </w:tc>
        <w:tc>
          <w:tcPr>
            <w:tcW w:w="625" w:type="pct"/>
            <w:tcBorders>
              <w:top w:val="nil"/>
              <w:left w:val="nil"/>
              <w:bottom w:val="nil"/>
              <w:right w:val="nil"/>
            </w:tcBorders>
            <w:shd w:val="clear" w:color="auto" w:fill="auto"/>
            <w:vAlign w:val="bottom"/>
          </w:tcPr>
          <w:p w14:paraId="744B027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w:t>
            </w:r>
          </w:p>
        </w:tc>
        <w:tc>
          <w:tcPr>
            <w:tcW w:w="624" w:type="pct"/>
            <w:tcBorders>
              <w:top w:val="nil"/>
              <w:left w:val="nil"/>
              <w:bottom w:val="nil"/>
              <w:right w:val="nil"/>
            </w:tcBorders>
            <w:shd w:val="clear" w:color="auto" w:fill="auto"/>
            <w:vAlign w:val="bottom"/>
          </w:tcPr>
          <w:p w14:paraId="7CAA75F4"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23.87</w:t>
            </w:r>
            <w:r>
              <w:rPr>
                <w:rFonts w:ascii="Arial" w:hAnsi="Arial" w:cs="Arial"/>
                <w:color w:val="000000" w:themeColor="text1"/>
                <w:sz w:val="18"/>
                <w:szCs w:val="18"/>
                <w:lang w:val="hr-HR"/>
              </w:rPr>
              <w:t>0</w:t>
            </w:r>
          </w:p>
        </w:tc>
      </w:tr>
      <w:tr w:rsidR="004E2F51" w:rsidRPr="009C411C" w14:paraId="35A0F59C" w14:textId="77777777" w:rsidTr="00E032FC">
        <w:trPr>
          <w:cantSplit/>
          <w:trHeight w:val="250"/>
          <w:tblHeader/>
        </w:trPr>
        <w:tc>
          <w:tcPr>
            <w:tcW w:w="2501" w:type="pct"/>
          </w:tcPr>
          <w:p w14:paraId="5CF35B25" w14:textId="77777777" w:rsidR="004E2F51" w:rsidRPr="009C411C" w:rsidRDefault="004E2F51" w:rsidP="00E032FC">
            <w:pPr>
              <w:pStyle w:val="TT"/>
              <w:rPr>
                <w:rFonts w:cs="Arial"/>
                <w:color w:val="000000" w:themeColor="text1"/>
                <w:sz w:val="18"/>
                <w:szCs w:val="18"/>
                <w:lang w:val="hr-HR"/>
              </w:rPr>
            </w:pPr>
            <w:bookmarkStart w:id="1538" w:name="_Toc67329487"/>
            <w:r w:rsidRPr="009C411C">
              <w:rPr>
                <w:rFonts w:cs="Arial"/>
                <w:color w:val="000000" w:themeColor="text1"/>
                <w:sz w:val="18"/>
                <w:szCs w:val="18"/>
                <w:lang w:val="hr-HR"/>
              </w:rPr>
              <w:t>Financijska imovina po fer vrijednosti kroz ostalu sveobuhvatnu dobit</w:t>
            </w:r>
            <w:bookmarkEnd w:id="1538"/>
            <w:r w:rsidRPr="009C411C">
              <w:rPr>
                <w:rFonts w:cs="Arial"/>
                <w:color w:val="000000" w:themeColor="text1"/>
                <w:sz w:val="18"/>
                <w:szCs w:val="18"/>
                <w:lang w:val="hr-HR"/>
              </w:rPr>
              <w:t xml:space="preserve">        </w:t>
            </w:r>
          </w:p>
        </w:tc>
        <w:tc>
          <w:tcPr>
            <w:tcW w:w="625" w:type="pct"/>
            <w:tcBorders>
              <w:top w:val="nil"/>
              <w:left w:val="nil"/>
              <w:bottom w:val="nil"/>
              <w:right w:val="nil"/>
            </w:tcBorders>
            <w:shd w:val="clear" w:color="auto" w:fill="auto"/>
            <w:vAlign w:val="bottom"/>
          </w:tcPr>
          <w:p w14:paraId="7EFC8596"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2.584.825</w:t>
            </w:r>
          </w:p>
        </w:tc>
        <w:tc>
          <w:tcPr>
            <w:tcW w:w="625" w:type="pct"/>
            <w:tcBorders>
              <w:top w:val="nil"/>
              <w:left w:val="nil"/>
              <w:bottom w:val="nil"/>
              <w:right w:val="nil"/>
            </w:tcBorders>
            <w:shd w:val="clear" w:color="auto" w:fill="auto"/>
            <w:vAlign w:val="bottom"/>
          </w:tcPr>
          <w:p w14:paraId="389DC1F4"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1.472</w:t>
            </w:r>
          </w:p>
        </w:tc>
        <w:tc>
          <w:tcPr>
            <w:tcW w:w="625" w:type="pct"/>
            <w:tcBorders>
              <w:top w:val="nil"/>
              <w:left w:val="nil"/>
              <w:bottom w:val="nil"/>
              <w:right w:val="nil"/>
            </w:tcBorders>
            <w:shd w:val="clear" w:color="auto" w:fill="auto"/>
            <w:vAlign w:val="bottom"/>
          </w:tcPr>
          <w:p w14:paraId="17268E3A"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w:t>
            </w:r>
          </w:p>
        </w:tc>
        <w:tc>
          <w:tcPr>
            <w:tcW w:w="624" w:type="pct"/>
            <w:tcBorders>
              <w:top w:val="nil"/>
              <w:left w:val="nil"/>
              <w:bottom w:val="nil"/>
              <w:right w:val="nil"/>
            </w:tcBorders>
            <w:shd w:val="clear" w:color="auto" w:fill="auto"/>
            <w:vAlign w:val="bottom"/>
          </w:tcPr>
          <w:p w14:paraId="3D2AFFB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2.586.297</w:t>
            </w:r>
          </w:p>
        </w:tc>
      </w:tr>
      <w:tr w:rsidR="004E2F51" w:rsidRPr="009C411C" w14:paraId="124DDACA" w14:textId="77777777" w:rsidTr="00E032FC">
        <w:trPr>
          <w:cantSplit/>
          <w:trHeight w:val="250"/>
          <w:tblHeader/>
        </w:trPr>
        <w:tc>
          <w:tcPr>
            <w:tcW w:w="2501" w:type="pct"/>
            <w:vAlign w:val="bottom"/>
          </w:tcPr>
          <w:p w14:paraId="7AFB2B40" w14:textId="77777777" w:rsidR="004E2F51" w:rsidRPr="009C411C" w:rsidRDefault="004E2F51" w:rsidP="00E032FC">
            <w:pPr>
              <w:pStyle w:val="TT"/>
              <w:rPr>
                <w:rFonts w:cs="Arial"/>
                <w:color w:val="000000" w:themeColor="text1"/>
                <w:sz w:val="18"/>
                <w:szCs w:val="18"/>
                <w:lang w:val="hr-HR"/>
              </w:rPr>
            </w:pPr>
            <w:bookmarkStart w:id="1539" w:name="_Toc67329492"/>
            <w:r w:rsidRPr="009C411C">
              <w:rPr>
                <w:rFonts w:cs="Arial"/>
                <w:color w:val="000000" w:themeColor="text1"/>
                <w:sz w:val="18"/>
                <w:szCs w:val="18"/>
                <w:lang w:val="hr-HR"/>
              </w:rPr>
              <w:t>Ostala imovina</w:t>
            </w:r>
            <w:bookmarkEnd w:id="1539"/>
          </w:p>
        </w:tc>
        <w:tc>
          <w:tcPr>
            <w:tcW w:w="625" w:type="pct"/>
            <w:tcBorders>
              <w:top w:val="nil"/>
              <w:left w:val="nil"/>
              <w:bottom w:val="nil"/>
              <w:right w:val="nil"/>
            </w:tcBorders>
            <w:shd w:val="clear" w:color="auto" w:fill="auto"/>
            <w:vAlign w:val="bottom"/>
          </w:tcPr>
          <w:p w14:paraId="10B71E54"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3.74</w:t>
            </w:r>
            <w:r>
              <w:rPr>
                <w:rFonts w:ascii="Arial" w:hAnsi="Arial" w:cs="Arial"/>
                <w:color w:val="000000" w:themeColor="text1"/>
                <w:sz w:val="18"/>
                <w:szCs w:val="18"/>
                <w:lang w:val="hr-HR"/>
              </w:rPr>
              <w:t>5</w:t>
            </w:r>
          </w:p>
        </w:tc>
        <w:tc>
          <w:tcPr>
            <w:tcW w:w="625" w:type="pct"/>
            <w:tcBorders>
              <w:top w:val="nil"/>
              <w:left w:val="nil"/>
              <w:bottom w:val="nil"/>
              <w:right w:val="nil"/>
            </w:tcBorders>
            <w:shd w:val="clear" w:color="auto" w:fill="auto"/>
            <w:vAlign w:val="bottom"/>
          </w:tcPr>
          <w:p w14:paraId="5C133B8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25" w:type="pct"/>
            <w:tcBorders>
              <w:top w:val="nil"/>
              <w:left w:val="nil"/>
              <w:bottom w:val="nil"/>
              <w:right w:val="nil"/>
            </w:tcBorders>
            <w:shd w:val="clear" w:color="auto" w:fill="auto"/>
            <w:vAlign w:val="bottom"/>
          </w:tcPr>
          <w:p w14:paraId="68DFA10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624" w:type="pct"/>
            <w:tcBorders>
              <w:top w:val="nil"/>
              <w:left w:val="nil"/>
              <w:bottom w:val="nil"/>
              <w:right w:val="nil"/>
            </w:tcBorders>
            <w:shd w:val="clear" w:color="auto" w:fill="auto"/>
            <w:vAlign w:val="bottom"/>
          </w:tcPr>
          <w:p w14:paraId="6631747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3.74</w:t>
            </w:r>
            <w:r>
              <w:rPr>
                <w:rFonts w:ascii="Arial" w:hAnsi="Arial" w:cs="Arial"/>
                <w:color w:val="000000" w:themeColor="text1"/>
                <w:sz w:val="18"/>
                <w:szCs w:val="18"/>
                <w:lang w:val="hr-HR"/>
              </w:rPr>
              <w:t>5</w:t>
            </w:r>
          </w:p>
        </w:tc>
      </w:tr>
      <w:tr w:rsidR="004E2F51" w:rsidRPr="009C411C" w14:paraId="369E94EA" w14:textId="77777777" w:rsidTr="00E032FC">
        <w:trPr>
          <w:cantSplit/>
          <w:trHeight w:hRule="exact" w:val="391"/>
          <w:tblHeader/>
        </w:trPr>
        <w:tc>
          <w:tcPr>
            <w:tcW w:w="2501" w:type="pct"/>
            <w:vAlign w:val="bottom"/>
          </w:tcPr>
          <w:p w14:paraId="4FCF3DE4" w14:textId="77777777" w:rsidR="004E2F51" w:rsidRPr="009C411C" w:rsidRDefault="004E2F51" w:rsidP="00E032FC">
            <w:pPr>
              <w:pStyle w:val="TT"/>
              <w:rPr>
                <w:rFonts w:cs="Arial"/>
                <w:b/>
                <w:bCs/>
                <w:color w:val="000000" w:themeColor="text1"/>
                <w:sz w:val="18"/>
                <w:szCs w:val="18"/>
                <w:lang w:val="hr-HR"/>
              </w:rPr>
            </w:pPr>
            <w:bookmarkStart w:id="1540" w:name="_Toc67329497"/>
            <w:r w:rsidRPr="009C411C">
              <w:rPr>
                <w:rFonts w:cs="Arial"/>
                <w:b/>
                <w:bCs/>
                <w:color w:val="000000" w:themeColor="text1"/>
                <w:sz w:val="18"/>
                <w:szCs w:val="18"/>
                <w:lang w:val="hr-HR"/>
              </w:rPr>
              <w:t>Ukupno</w:t>
            </w:r>
            <w:bookmarkEnd w:id="1540"/>
            <w:r w:rsidRPr="009C411C">
              <w:rPr>
                <w:rFonts w:cs="Arial"/>
                <w:b/>
                <w:bCs/>
                <w:color w:val="000000" w:themeColor="text1"/>
                <w:sz w:val="18"/>
                <w:szCs w:val="18"/>
                <w:lang w:val="hr-HR"/>
              </w:rPr>
              <w:t xml:space="preserve"> </w:t>
            </w:r>
          </w:p>
        </w:tc>
        <w:tc>
          <w:tcPr>
            <w:tcW w:w="625" w:type="pct"/>
            <w:tcBorders>
              <w:top w:val="single" w:sz="8" w:space="0" w:color="auto"/>
              <w:left w:val="nil"/>
              <w:bottom w:val="single" w:sz="8" w:space="0" w:color="auto"/>
              <w:right w:val="nil"/>
            </w:tcBorders>
            <w:shd w:val="clear" w:color="auto" w:fill="auto"/>
            <w:vAlign w:val="bottom"/>
          </w:tcPr>
          <w:p w14:paraId="5C862ABE"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3619B">
              <w:rPr>
                <w:rFonts w:ascii="Arial" w:hAnsi="Arial" w:cs="Arial"/>
                <w:b/>
                <w:bCs/>
                <w:color w:val="000000" w:themeColor="text1"/>
                <w:sz w:val="18"/>
                <w:szCs w:val="18"/>
                <w:lang w:val="hr-HR"/>
              </w:rPr>
              <w:t>28.531.292</w:t>
            </w:r>
          </w:p>
        </w:tc>
        <w:tc>
          <w:tcPr>
            <w:tcW w:w="625" w:type="pct"/>
            <w:tcBorders>
              <w:top w:val="single" w:sz="8" w:space="0" w:color="auto"/>
              <w:left w:val="nil"/>
              <w:bottom w:val="single" w:sz="8" w:space="0" w:color="auto"/>
              <w:right w:val="nil"/>
            </w:tcBorders>
            <w:shd w:val="clear" w:color="auto" w:fill="auto"/>
            <w:vAlign w:val="bottom"/>
          </w:tcPr>
          <w:p w14:paraId="2222AFD7"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3619B">
              <w:rPr>
                <w:rFonts w:ascii="Arial" w:hAnsi="Arial" w:cs="Arial"/>
                <w:b/>
                <w:bCs/>
                <w:color w:val="000000" w:themeColor="text1"/>
                <w:sz w:val="18"/>
                <w:szCs w:val="18"/>
                <w:lang w:val="hr-HR"/>
              </w:rPr>
              <w:t>97.543</w:t>
            </w:r>
          </w:p>
        </w:tc>
        <w:tc>
          <w:tcPr>
            <w:tcW w:w="625" w:type="pct"/>
            <w:tcBorders>
              <w:top w:val="single" w:sz="8" w:space="0" w:color="auto"/>
              <w:left w:val="nil"/>
              <w:bottom w:val="single" w:sz="8" w:space="0" w:color="auto"/>
              <w:right w:val="nil"/>
            </w:tcBorders>
            <w:shd w:val="clear" w:color="auto" w:fill="auto"/>
            <w:vAlign w:val="bottom"/>
          </w:tcPr>
          <w:p w14:paraId="27C08567"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3619B">
              <w:rPr>
                <w:rFonts w:ascii="Arial" w:hAnsi="Arial" w:cs="Arial"/>
                <w:b/>
                <w:bCs/>
                <w:color w:val="000000" w:themeColor="text1"/>
                <w:sz w:val="18"/>
                <w:szCs w:val="18"/>
                <w:lang w:val="hr-HR"/>
              </w:rPr>
              <w:t>99.570</w:t>
            </w:r>
          </w:p>
        </w:tc>
        <w:tc>
          <w:tcPr>
            <w:tcW w:w="624" w:type="pct"/>
            <w:tcBorders>
              <w:top w:val="single" w:sz="8" w:space="0" w:color="auto"/>
              <w:left w:val="nil"/>
              <w:bottom w:val="single" w:sz="8" w:space="0" w:color="auto"/>
              <w:right w:val="nil"/>
            </w:tcBorders>
            <w:shd w:val="clear" w:color="auto" w:fill="auto"/>
            <w:vAlign w:val="bottom"/>
          </w:tcPr>
          <w:p w14:paraId="1FCA8009"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3619B">
              <w:rPr>
                <w:rFonts w:ascii="Arial" w:hAnsi="Arial" w:cs="Arial"/>
                <w:b/>
                <w:bCs/>
                <w:color w:val="000000" w:themeColor="text1"/>
                <w:sz w:val="18"/>
                <w:szCs w:val="18"/>
                <w:lang w:val="hr-HR"/>
              </w:rPr>
              <w:t>28.728.405</w:t>
            </w:r>
          </w:p>
        </w:tc>
      </w:tr>
      <w:tr w:rsidR="004E2F51" w:rsidRPr="009C411C" w14:paraId="0399D209" w14:textId="77777777" w:rsidTr="00E032FC">
        <w:tblPrEx>
          <w:tblCellMar>
            <w:left w:w="31" w:type="dxa"/>
            <w:right w:w="31" w:type="dxa"/>
          </w:tblCellMar>
        </w:tblPrEx>
        <w:trPr>
          <w:cantSplit/>
          <w:trHeight w:val="250"/>
          <w:tblHeader/>
        </w:trPr>
        <w:tc>
          <w:tcPr>
            <w:tcW w:w="2501" w:type="pct"/>
            <w:vAlign w:val="bottom"/>
          </w:tcPr>
          <w:p w14:paraId="7CC39EF5" w14:textId="77777777" w:rsidR="004E2F51" w:rsidRPr="009C411C" w:rsidRDefault="004E2F51" w:rsidP="00E032FC">
            <w:pPr>
              <w:pStyle w:val="TT"/>
              <w:rPr>
                <w:rFonts w:cs="Arial"/>
                <w:b/>
                <w:bCs/>
                <w:color w:val="000000" w:themeColor="text1"/>
                <w:sz w:val="18"/>
                <w:szCs w:val="18"/>
                <w:lang w:val="hr-HR"/>
              </w:rPr>
            </w:pPr>
          </w:p>
        </w:tc>
        <w:tc>
          <w:tcPr>
            <w:tcW w:w="625" w:type="pct"/>
            <w:tcBorders>
              <w:top w:val="single" w:sz="12" w:space="0" w:color="auto"/>
            </w:tcBorders>
            <w:vAlign w:val="bottom"/>
          </w:tcPr>
          <w:p w14:paraId="77B627EB" w14:textId="77777777" w:rsidR="004E2F51" w:rsidRPr="009C411C" w:rsidRDefault="004E2F51" w:rsidP="00E032FC">
            <w:pPr>
              <w:pStyle w:val="TT"/>
              <w:jc w:val="right"/>
              <w:rPr>
                <w:rFonts w:cs="Arial"/>
                <w:color w:val="000000" w:themeColor="text1"/>
                <w:sz w:val="18"/>
                <w:szCs w:val="18"/>
                <w:lang w:val="hr-HR"/>
              </w:rPr>
            </w:pPr>
          </w:p>
        </w:tc>
        <w:tc>
          <w:tcPr>
            <w:tcW w:w="625" w:type="pct"/>
            <w:tcBorders>
              <w:top w:val="single" w:sz="12" w:space="0" w:color="auto"/>
            </w:tcBorders>
            <w:vAlign w:val="bottom"/>
          </w:tcPr>
          <w:p w14:paraId="22265996" w14:textId="77777777" w:rsidR="004E2F51" w:rsidRPr="009C411C" w:rsidRDefault="004E2F51" w:rsidP="00E032FC">
            <w:pPr>
              <w:pStyle w:val="TT"/>
              <w:jc w:val="right"/>
              <w:rPr>
                <w:rFonts w:cs="Arial"/>
                <w:color w:val="000000" w:themeColor="text1"/>
                <w:sz w:val="18"/>
                <w:szCs w:val="18"/>
                <w:lang w:val="hr-HR"/>
              </w:rPr>
            </w:pPr>
          </w:p>
        </w:tc>
        <w:tc>
          <w:tcPr>
            <w:tcW w:w="625" w:type="pct"/>
            <w:tcBorders>
              <w:top w:val="single" w:sz="12" w:space="0" w:color="auto"/>
            </w:tcBorders>
            <w:vAlign w:val="bottom"/>
          </w:tcPr>
          <w:p w14:paraId="344782AB" w14:textId="77777777" w:rsidR="004E2F51" w:rsidRPr="009C411C" w:rsidRDefault="004E2F51" w:rsidP="00E032FC">
            <w:pPr>
              <w:pStyle w:val="TT"/>
              <w:jc w:val="right"/>
              <w:rPr>
                <w:rFonts w:cs="Arial"/>
                <w:color w:val="000000" w:themeColor="text1"/>
                <w:sz w:val="18"/>
                <w:szCs w:val="18"/>
                <w:lang w:val="hr-HR"/>
              </w:rPr>
            </w:pPr>
          </w:p>
        </w:tc>
        <w:tc>
          <w:tcPr>
            <w:tcW w:w="624" w:type="pct"/>
            <w:tcBorders>
              <w:top w:val="single" w:sz="12" w:space="0" w:color="auto"/>
            </w:tcBorders>
            <w:vAlign w:val="bottom"/>
          </w:tcPr>
          <w:p w14:paraId="366CB649" w14:textId="77777777" w:rsidR="004E2F51" w:rsidRPr="009C411C" w:rsidRDefault="004E2F51" w:rsidP="00E032FC">
            <w:pPr>
              <w:pStyle w:val="TT"/>
              <w:jc w:val="right"/>
              <w:rPr>
                <w:rFonts w:cs="Arial"/>
                <w:color w:val="000000" w:themeColor="text1"/>
                <w:sz w:val="18"/>
                <w:szCs w:val="18"/>
                <w:lang w:val="hr-HR"/>
              </w:rPr>
            </w:pPr>
          </w:p>
        </w:tc>
      </w:tr>
      <w:tr w:rsidR="004E2F51" w:rsidRPr="009C411C" w14:paraId="5449CB33" w14:textId="77777777" w:rsidTr="00E032FC">
        <w:tblPrEx>
          <w:tblCellMar>
            <w:left w:w="31" w:type="dxa"/>
            <w:right w:w="31" w:type="dxa"/>
          </w:tblCellMar>
        </w:tblPrEx>
        <w:trPr>
          <w:cantSplit/>
          <w:trHeight w:val="250"/>
          <w:tblHeader/>
        </w:trPr>
        <w:tc>
          <w:tcPr>
            <w:tcW w:w="2501" w:type="pct"/>
          </w:tcPr>
          <w:p w14:paraId="3F1B49A2" w14:textId="77777777" w:rsidR="004E2F51" w:rsidRPr="009C411C" w:rsidRDefault="004E2F51" w:rsidP="00E032FC">
            <w:pPr>
              <w:pStyle w:val="TT"/>
              <w:rPr>
                <w:rFonts w:cs="Arial"/>
                <w:b/>
                <w:bCs/>
                <w:color w:val="000000" w:themeColor="text1"/>
                <w:sz w:val="18"/>
                <w:szCs w:val="18"/>
                <w:lang w:val="hr-HR"/>
              </w:rPr>
            </w:pPr>
            <w:bookmarkStart w:id="1541" w:name="_Toc67329502"/>
            <w:r w:rsidRPr="009C411C">
              <w:rPr>
                <w:rFonts w:cs="Arial"/>
                <w:b/>
                <w:bCs/>
                <w:color w:val="000000" w:themeColor="text1"/>
                <w:sz w:val="18"/>
                <w:szCs w:val="18"/>
                <w:lang w:val="hr-HR"/>
              </w:rPr>
              <w:t>Garancije i preuzete obveze</w:t>
            </w:r>
            <w:bookmarkEnd w:id="1541"/>
          </w:p>
        </w:tc>
        <w:tc>
          <w:tcPr>
            <w:tcW w:w="625" w:type="pct"/>
            <w:vAlign w:val="bottom"/>
          </w:tcPr>
          <w:p w14:paraId="14E4A5B2" w14:textId="77777777" w:rsidR="004E2F51" w:rsidRPr="009C411C" w:rsidRDefault="004E2F51" w:rsidP="00E032FC">
            <w:pPr>
              <w:pStyle w:val="TT"/>
              <w:jc w:val="right"/>
              <w:rPr>
                <w:rFonts w:cs="Arial"/>
                <w:color w:val="000000" w:themeColor="text1"/>
                <w:sz w:val="18"/>
                <w:szCs w:val="18"/>
                <w:lang w:val="hr-HR"/>
              </w:rPr>
            </w:pPr>
          </w:p>
        </w:tc>
        <w:tc>
          <w:tcPr>
            <w:tcW w:w="625" w:type="pct"/>
            <w:vAlign w:val="bottom"/>
          </w:tcPr>
          <w:p w14:paraId="22B548FA" w14:textId="77777777" w:rsidR="004E2F51" w:rsidRPr="009C411C" w:rsidRDefault="004E2F51" w:rsidP="00E032FC">
            <w:pPr>
              <w:pStyle w:val="TT"/>
              <w:jc w:val="right"/>
              <w:rPr>
                <w:rFonts w:cs="Arial"/>
                <w:color w:val="000000" w:themeColor="text1"/>
                <w:sz w:val="18"/>
                <w:szCs w:val="18"/>
                <w:lang w:val="hr-HR"/>
              </w:rPr>
            </w:pPr>
          </w:p>
        </w:tc>
        <w:tc>
          <w:tcPr>
            <w:tcW w:w="625" w:type="pct"/>
            <w:vAlign w:val="bottom"/>
          </w:tcPr>
          <w:p w14:paraId="1FBD51D9" w14:textId="77777777" w:rsidR="004E2F51" w:rsidRPr="009C411C" w:rsidRDefault="004E2F51" w:rsidP="00E032FC">
            <w:pPr>
              <w:pStyle w:val="TT"/>
              <w:jc w:val="right"/>
              <w:rPr>
                <w:rFonts w:cs="Arial"/>
                <w:color w:val="000000" w:themeColor="text1"/>
                <w:sz w:val="18"/>
                <w:szCs w:val="18"/>
                <w:lang w:val="hr-HR"/>
              </w:rPr>
            </w:pPr>
          </w:p>
        </w:tc>
        <w:tc>
          <w:tcPr>
            <w:tcW w:w="624" w:type="pct"/>
            <w:vAlign w:val="bottom"/>
          </w:tcPr>
          <w:p w14:paraId="3CF9C00F" w14:textId="77777777" w:rsidR="004E2F51" w:rsidRPr="009C411C" w:rsidRDefault="004E2F51" w:rsidP="00E032FC">
            <w:pPr>
              <w:pStyle w:val="TT"/>
              <w:jc w:val="right"/>
              <w:rPr>
                <w:rFonts w:cs="Arial"/>
                <w:color w:val="000000" w:themeColor="text1"/>
                <w:sz w:val="18"/>
                <w:szCs w:val="18"/>
                <w:lang w:val="hr-HR"/>
              </w:rPr>
            </w:pPr>
          </w:p>
        </w:tc>
      </w:tr>
      <w:tr w:rsidR="004E2F51" w:rsidRPr="009C411C" w14:paraId="5FCA436F" w14:textId="77777777" w:rsidTr="00E032FC">
        <w:tblPrEx>
          <w:tblCellMar>
            <w:left w:w="31" w:type="dxa"/>
            <w:right w:w="31" w:type="dxa"/>
          </w:tblCellMar>
        </w:tblPrEx>
        <w:trPr>
          <w:cantSplit/>
          <w:trHeight w:val="250"/>
          <w:tblHeader/>
        </w:trPr>
        <w:tc>
          <w:tcPr>
            <w:tcW w:w="2501" w:type="pct"/>
          </w:tcPr>
          <w:p w14:paraId="2E0555DF" w14:textId="77777777" w:rsidR="004E2F51" w:rsidRPr="009C411C" w:rsidRDefault="004E2F51" w:rsidP="00E032FC">
            <w:pPr>
              <w:tabs>
                <w:tab w:val="right" w:pos="1202"/>
              </w:tabs>
              <w:spacing w:line="301" w:lineRule="exact"/>
              <w:outlineLvl w:val="0"/>
              <w:rPr>
                <w:rFonts w:ascii="Arial" w:hAnsi="Arial" w:cs="Arial"/>
                <w:b/>
                <w:bCs/>
                <w:color w:val="000000" w:themeColor="text1"/>
                <w:sz w:val="18"/>
                <w:szCs w:val="18"/>
                <w:lang w:val="hr-HR"/>
              </w:rPr>
            </w:pPr>
            <w:bookmarkStart w:id="1542" w:name="_Toc67329503"/>
            <w:r w:rsidRPr="009C411C">
              <w:rPr>
                <w:rFonts w:ascii="Arial" w:hAnsi="Arial" w:cs="Arial"/>
                <w:color w:val="000000" w:themeColor="text1"/>
                <w:sz w:val="18"/>
                <w:szCs w:val="18"/>
                <w:lang w:val="hr-HR"/>
              </w:rPr>
              <w:t>Izdane garancije u kunama</w:t>
            </w:r>
            <w:bookmarkEnd w:id="1542"/>
          </w:p>
        </w:tc>
        <w:tc>
          <w:tcPr>
            <w:tcW w:w="625" w:type="pct"/>
            <w:tcBorders>
              <w:top w:val="nil"/>
              <w:left w:val="nil"/>
              <w:bottom w:val="nil"/>
              <w:right w:val="nil"/>
            </w:tcBorders>
            <w:shd w:val="clear" w:color="auto" w:fill="auto"/>
            <w:vAlign w:val="bottom"/>
          </w:tcPr>
          <w:p w14:paraId="1DBC0688" w14:textId="77777777" w:rsidR="004E2F51" w:rsidRPr="009C411C" w:rsidRDefault="004E2F51" w:rsidP="00E032FC">
            <w:pPr>
              <w:pStyle w:val="TT"/>
              <w:jc w:val="right"/>
              <w:rPr>
                <w:rFonts w:cs="Arial"/>
                <w:color w:val="000000" w:themeColor="text1"/>
                <w:sz w:val="18"/>
                <w:szCs w:val="18"/>
                <w:lang w:val="hr-HR"/>
              </w:rPr>
            </w:pPr>
            <w:r w:rsidRPr="00C51026">
              <w:t xml:space="preserve"> 86.470 </w:t>
            </w:r>
          </w:p>
        </w:tc>
        <w:tc>
          <w:tcPr>
            <w:tcW w:w="625" w:type="pct"/>
            <w:tcBorders>
              <w:top w:val="nil"/>
              <w:left w:val="nil"/>
              <w:bottom w:val="nil"/>
              <w:right w:val="nil"/>
            </w:tcBorders>
            <w:shd w:val="clear" w:color="auto" w:fill="auto"/>
            <w:vAlign w:val="bottom"/>
          </w:tcPr>
          <w:p w14:paraId="515363ED" w14:textId="77777777" w:rsidR="004E2F51" w:rsidRPr="009C411C" w:rsidRDefault="004E2F51" w:rsidP="00E032FC">
            <w:pPr>
              <w:pStyle w:val="TT"/>
              <w:jc w:val="right"/>
              <w:rPr>
                <w:rFonts w:cs="Arial"/>
                <w:color w:val="000000" w:themeColor="text1"/>
                <w:sz w:val="18"/>
                <w:szCs w:val="18"/>
                <w:lang w:val="hr-HR"/>
              </w:rPr>
            </w:pPr>
            <w:r>
              <w:rPr>
                <w:rFonts w:cs="Arial"/>
                <w:color w:val="000000" w:themeColor="text1"/>
                <w:sz w:val="18"/>
                <w:szCs w:val="18"/>
                <w:lang w:val="hr-HR"/>
              </w:rPr>
              <w:t>-</w:t>
            </w:r>
          </w:p>
        </w:tc>
        <w:tc>
          <w:tcPr>
            <w:tcW w:w="625" w:type="pct"/>
            <w:tcBorders>
              <w:top w:val="nil"/>
              <w:left w:val="nil"/>
              <w:bottom w:val="nil"/>
              <w:right w:val="nil"/>
            </w:tcBorders>
            <w:shd w:val="clear" w:color="auto" w:fill="auto"/>
            <w:vAlign w:val="bottom"/>
          </w:tcPr>
          <w:p w14:paraId="072D50BF" w14:textId="77777777" w:rsidR="004E2F51" w:rsidRPr="009C411C" w:rsidRDefault="004E2F51" w:rsidP="00E032FC">
            <w:pPr>
              <w:pStyle w:val="TT"/>
              <w:jc w:val="right"/>
              <w:rPr>
                <w:rFonts w:cs="Arial"/>
                <w:color w:val="000000" w:themeColor="text1"/>
                <w:sz w:val="18"/>
                <w:szCs w:val="18"/>
                <w:lang w:val="hr-HR"/>
              </w:rPr>
            </w:pPr>
            <w:r>
              <w:rPr>
                <w:rFonts w:cs="Arial"/>
                <w:color w:val="000000" w:themeColor="text1"/>
                <w:sz w:val="18"/>
                <w:szCs w:val="18"/>
                <w:lang w:val="hr-HR"/>
              </w:rPr>
              <w:t>-</w:t>
            </w:r>
          </w:p>
        </w:tc>
        <w:tc>
          <w:tcPr>
            <w:tcW w:w="624" w:type="pct"/>
            <w:tcBorders>
              <w:top w:val="nil"/>
              <w:left w:val="nil"/>
              <w:bottom w:val="nil"/>
              <w:right w:val="nil"/>
            </w:tcBorders>
            <w:shd w:val="clear" w:color="auto" w:fill="auto"/>
            <w:vAlign w:val="bottom"/>
          </w:tcPr>
          <w:p w14:paraId="707F5419" w14:textId="77777777" w:rsidR="004E2F51" w:rsidRPr="009C411C" w:rsidRDefault="004E2F51" w:rsidP="00E032FC">
            <w:pPr>
              <w:pStyle w:val="TT"/>
              <w:jc w:val="right"/>
              <w:rPr>
                <w:rFonts w:cs="Arial"/>
                <w:color w:val="000000" w:themeColor="text1"/>
                <w:sz w:val="18"/>
                <w:szCs w:val="18"/>
                <w:lang w:val="hr-HR"/>
              </w:rPr>
            </w:pPr>
            <w:r w:rsidRPr="00C51026">
              <w:t xml:space="preserve"> 86.470 </w:t>
            </w:r>
          </w:p>
        </w:tc>
      </w:tr>
      <w:tr w:rsidR="004E2F51" w:rsidRPr="009C411C" w14:paraId="3CBBAD97" w14:textId="77777777" w:rsidTr="00E032FC">
        <w:tblPrEx>
          <w:tblCellMar>
            <w:left w:w="31" w:type="dxa"/>
            <w:right w:w="31" w:type="dxa"/>
          </w:tblCellMar>
        </w:tblPrEx>
        <w:trPr>
          <w:cantSplit/>
          <w:trHeight w:val="250"/>
          <w:tblHeader/>
        </w:trPr>
        <w:tc>
          <w:tcPr>
            <w:tcW w:w="2501" w:type="pct"/>
            <w:vAlign w:val="bottom"/>
          </w:tcPr>
          <w:p w14:paraId="6D89D901"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43" w:name="_Toc67329508"/>
            <w:r w:rsidRPr="009C411C">
              <w:rPr>
                <w:rFonts w:ascii="Arial" w:hAnsi="Arial" w:cs="Arial"/>
                <w:color w:val="000000" w:themeColor="text1"/>
                <w:sz w:val="18"/>
                <w:szCs w:val="18"/>
                <w:lang w:val="hr-HR"/>
              </w:rPr>
              <w:t>Izdane garancije u devizama</w:t>
            </w:r>
            <w:bookmarkEnd w:id="1543"/>
          </w:p>
        </w:tc>
        <w:tc>
          <w:tcPr>
            <w:tcW w:w="625" w:type="pct"/>
            <w:tcBorders>
              <w:top w:val="nil"/>
              <w:left w:val="nil"/>
              <w:bottom w:val="nil"/>
              <w:right w:val="nil"/>
            </w:tcBorders>
            <w:shd w:val="clear" w:color="auto" w:fill="auto"/>
            <w:vAlign w:val="bottom"/>
          </w:tcPr>
          <w:p w14:paraId="5C56F9D7" w14:textId="77777777" w:rsidR="004E2F51" w:rsidRPr="009C411C" w:rsidRDefault="004E2F51" w:rsidP="00E032FC">
            <w:pPr>
              <w:pStyle w:val="TT"/>
              <w:jc w:val="right"/>
              <w:rPr>
                <w:rFonts w:cs="Arial"/>
                <w:color w:val="000000" w:themeColor="text1"/>
                <w:sz w:val="18"/>
                <w:szCs w:val="18"/>
                <w:lang w:val="hr-HR"/>
              </w:rPr>
            </w:pPr>
            <w:r w:rsidRPr="00C51026">
              <w:t xml:space="preserve"> 162.516 </w:t>
            </w:r>
          </w:p>
        </w:tc>
        <w:tc>
          <w:tcPr>
            <w:tcW w:w="625" w:type="pct"/>
            <w:tcBorders>
              <w:top w:val="nil"/>
              <w:left w:val="nil"/>
              <w:bottom w:val="nil"/>
              <w:right w:val="nil"/>
            </w:tcBorders>
            <w:shd w:val="clear" w:color="auto" w:fill="auto"/>
            <w:vAlign w:val="bottom"/>
          </w:tcPr>
          <w:p w14:paraId="0FBB9E53" w14:textId="77777777" w:rsidR="004E2F51" w:rsidRPr="009C411C" w:rsidRDefault="004E2F51" w:rsidP="00E032FC">
            <w:pPr>
              <w:pStyle w:val="TT"/>
              <w:jc w:val="right"/>
              <w:rPr>
                <w:rFonts w:cs="Arial"/>
                <w:color w:val="000000" w:themeColor="text1"/>
                <w:sz w:val="18"/>
                <w:szCs w:val="18"/>
                <w:lang w:val="hr-HR"/>
              </w:rPr>
            </w:pPr>
            <w:r>
              <w:rPr>
                <w:rFonts w:cs="Arial"/>
                <w:color w:val="000000" w:themeColor="text1"/>
                <w:sz w:val="18"/>
                <w:szCs w:val="18"/>
                <w:lang w:val="hr-HR"/>
              </w:rPr>
              <w:t>-</w:t>
            </w:r>
          </w:p>
        </w:tc>
        <w:tc>
          <w:tcPr>
            <w:tcW w:w="625" w:type="pct"/>
            <w:tcBorders>
              <w:top w:val="nil"/>
              <w:left w:val="nil"/>
              <w:bottom w:val="nil"/>
              <w:right w:val="nil"/>
            </w:tcBorders>
            <w:shd w:val="clear" w:color="auto" w:fill="auto"/>
            <w:vAlign w:val="bottom"/>
          </w:tcPr>
          <w:p w14:paraId="2BB59B3D" w14:textId="77777777" w:rsidR="004E2F51" w:rsidRPr="009C411C" w:rsidRDefault="004E2F51" w:rsidP="00E032FC">
            <w:pPr>
              <w:pStyle w:val="TT"/>
              <w:jc w:val="right"/>
              <w:rPr>
                <w:rFonts w:cs="Arial"/>
                <w:color w:val="000000" w:themeColor="text1"/>
                <w:sz w:val="18"/>
                <w:szCs w:val="18"/>
                <w:lang w:val="hr-HR"/>
              </w:rPr>
            </w:pPr>
            <w:r>
              <w:rPr>
                <w:rFonts w:cs="Arial"/>
                <w:color w:val="000000" w:themeColor="text1"/>
                <w:sz w:val="18"/>
                <w:szCs w:val="18"/>
                <w:lang w:val="hr-HR"/>
              </w:rPr>
              <w:t>-</w:t>
            </w:r>
          </w:p>
        </w:tc>
        <w:tc>
          <w:tcPr>
            <w:tcW w:w="624" w:type="pct"/>
            <w:tcBorders>
              <w:top w:val="nil"/>
              <w:left w:val="nil"/>
              <w:bottom w:val="nil"/>
              <w:right w:val="nil"/>
            </w:tcBorders>
            <w:shd w:val="clear" w:color="auto" w:fill="auto"/>
            <w:vAlign w:val="bottom"/>
          </w:tcPr>
          <w:p w14:paraId="711138C4" w14:textId="77777777" w:rsidR="004E2F51" w:rsidRPr="009C411C" w:rsidRDefault="004E2F51" w:rsidP="00E032FC">
            <w:pPr>
              <w:pStyle w:val="TT"/>
              <w:jc w:val="right"/>
              <w:rPr>
                <w:rFonts w:cs="Arial"/>
                <w:color w:val="000000" w:themeColor="text1"/>
                <w:sz w:val="18"/>
                <w:szCs w:val="18"/>
                <w:lang w:val="hr-HR"/>
              </w:rPr>
            </w:pPr>
            <w:r w:rsidRPr="00C51026">
              <w:t xml:space="preserve"> 162.516 </w:t>
            </w:r>
          </w:p>
        </w:tc>
      </w:tr>
      <w:tr w:rsidR="004E2F51" w:rsidRPr="009C411C" w14:paraId="4C961D2B" w14:textId="77777777" w:rsidTr="00E032FC">
        <w:tblPrEx>
          <w:tblCellMar>
            <w:left w:w="31" w:type="dxa"/>
            <w:right w:w="31" w:type="dxa"/>
          </w:tblCellMar>
        </w:tblPrEx>
        <w:trPr>
          <w:cantSplit/>
          <w:trHeight w:val="250"/>
          <w:tblHeader/>
        </w:trPr>
        <w:tc>
          <w:tcPr>
            <w:tcW w:w="2501" w:type="pct"/>
            <w:vAlign w:val="bottom"/>
          </w:tcPr>
          <w:p w14:paraId="06FF5366"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r w:rsidRPr="0093619B">
              <w:rPr>
                <w:rFonts w:ascii="Arial" w:hAnsi="Arial" w:cs="Arial"/>
                <w:color w:val="000000" w:themeColor="text1"/>
                <w:sz w:val="18"/>
                <w:szCs w:val="18"/>
                <w:lang w:val="hr-HR"/>
              </w:rPr>
              <w:t>Otvoreni akreditivi u devizama</w:t>
            </w:r>
          </w:p>
        </w:tc>
        <w:tc>
          <w:tcPr>
            <w:tcW w:w="625" w:type="pct"/>
            <w:tcBorders>
              <w:top w:val="nil"/>
              <w:left w:val="nil"/>
              <w:bottom w:val="nil"/>
              <w:right w:val="nil"/>
            </w:tcBorders>
            <w:shd w:val="clear" w:color="auto" w:fill="auto"/>
            <w:vAlign w:val="bottom"/>
          </w:tcPr>
          <w:p w14:paraId="0C2F25DB" w14:textId="77777777" w:rsidR="004E2F51" w:rsidRPr="009C411C" w:rsidRDefault="004E2F51" w:rsidP="00E032FC">
            <w:pPr>
              <w:pStyle w:val="TT"/>
              <w:jc w:val="right"/>
              <w:rPr>
                <w:rFonts w:cs="Arial"/>
                <w:color w:val="000000" w:themeColor="text1"/>
                <w:sz w:val="18"/>
                <w:szCs w:val="18"/>
                <w:lang w:val="hr-HR"/>
              </w:rPr>
            </w:pPr>
            <w:r w:rsidRPr="00C51026">
              <w:t xml:space="preserve"> 1.243 </w:t>
            </w:r>
          </w:p>
        </w:tc>
        <w:tc>
          <w:tcPr>
            <w:tcW w:w="625" w:type="pct"/>
            <w:tcBorders>
              <w:top w:val="nil"/>
              <w:left w:val="nil"/>
              <w:bottom w:val="nil"/>
              <w:right w:val="nil"/>
            </w:tcBorders>
            <w:shd w:val="clear" w:color="auto" w:fill="auto"/>
            <w:vAlign w:val="bottom"/>
          </w:tcPr>
          <w:p w14:paraId="07CC0613" w14:textId="77777777" w:rsidR="004E2F51" w:rsidRPr="009C411C" w:rsidRDefault="004E2F51" w:rsidP="00E032FC">
            <w:pPr>
              <w:pStyle w:val="TT"/>
              <w:jc w:val="right"/>
              <w:rPr>
                <w:rFonts w:cs="Arial"/>
                <w:color w:val="000000" w:themeColor="text1"/>
                <w:sz w:val="18"/>
                <w:szCs w:val="18"/>
                <w:lang w:val="hr-HR"/>
              </w:rPr>
            </w:pPr>
            <w:r>
              <w:rPr>
                <w:rFonts w:cs="Arial"/>
                <w:color w:val="000000" w:themeColor="text1"/>
                <w:sz w:val="18"/>
                <w:szCs w:val="18"/>
                <w:lang w:val="hr-HR"/>
              </w:rPr>
              <w:t>-</w:t>
            </w:r>
          </w:p>
        </w:tc>
        <w:tc>
          <w:tcPr>
            <w:tcW w:w="625" w:type="pct"/>
            <w:tcBorders>
              <w:top w:val="nil"/>
              <w:left w:val="nil"/>
              <w:bottom w:val="nil"/>
              <w:right w:val="nil"/>
            </w:tcBorders>
            <w:shd w:val="clear" w:color="auto" w:fill="auto"/>
            <w:vAlign w:val="bottom"/>
          </w:tcPr>
          <w:p w14:paraId="3911AD44" w14:textId="77777777" w:rsidR="004E2F51" w:rsidRPr="009C411C" w:rsidRDefault="004E2F51" w:rsidP="00E032FC">
            <w:pPr>
              <w:pStyle w:val="TT"/>
              <w:jc w:val="right"/>
              <w:rPr>
                <w:rFonts w:cs="Arial"/>
                <w:color w:val="000000" w:themeColor="text1"/>
                <w:sz w:val="18"/>
                <w:szCs w:val="18"/>
                <w:lang w:val="hr-HR"/>
              </w:rPr>
            </w:pPr>
            <w:r>
              <w:rPr>
                <w:rFonts w:cs="Arial"/>
                <w:color w:val="000000" w:themeColor="text1"/>
                <w:sz w:val="18"/>
                <w:szCs w:val="18"/>
                <w:lang w:val="hr-HR"/>
              </w:rPr>
              <w:t>-</w:t>
            </w:r>
          </w:p>
        </w:tc>
        <w:tc>
          <w:tcPr>
            <w:tcW w:w="624" w:type="pct"/>
            <w:tcBorders>
              <w:top w:val="nil"/>
              <w:left w:val="nil"/>
              <w:bottom w:val="nil"/>
              <w:right w:val="nil"/>
            </w:tcBorders>
            <w:shd w:val="clear" w:color="auto" w:fill="auto"/>
            <w:vAlign w:val="bottom"/>
          </w:tcPr>
          <w:p w14:paraId="7630E38A" w14:textId="77777777" w:rsidR="004E2F51" w:rsidRPr="009C411C" w:rsidRDefault="004E2F51" w:rsidP="00E032FC">
            <w:pPr>
              <w:pStyle w:val="TT"/>
              <w:jc w:val="right"/>
              <w:rPr>
                <w:rFonts w:cs="Arial"/>
                <w:color w:val="000000" w:themeColor="text1"/>
                <w:sz w:val="18"/>
                <w:szCs w:val="18"/>
                <w:lang w:val="hr-HR"/>
              </w:rPr>
            </w:pPr>
            <w:r w:rsidRPr="00C51026">
              <w:t xml:space="preserve"> 1.243 </w:t>
            </w:r>
          </w:p>
        </w:tc>
      </w:tr>
      <w:tr w:rsidR="004E2F51" w:rsidRPr="009C411C" w14:paraId="3B77429F" w14:textId="77777777" w:rsidTr="00E032FC">
        <w:tblPrEx>
          <w:tblCellMar>
            <w:left w:w="31" w:type="dxa"/>
            <w:right w:w="31" w:type="dxa"/>
          </w:tblCellMar>
        </w:tblPrEx>
        <w:trPr>
          <w:cantSplit/>
          <w:trHeight w:val="250"/>
          <w:tblHeader/>
        </w:trPr>
        <w:tc>
          <w:tcPr>
            <w:tcW w:w="2501" w:type="pct"/>
            <w:vAlign w:val="bottom"/>
          </w:tcPr>
          <w:p w14:paraId="35E9D429"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44" w:name="_Toc67329518"/>
            <w:r w:rsidRPr="009C411C">
              <w:rPr>
                <w:rFonts w:ascii="Arial" w:hAnsi="Arial" w:cs="Arial"/>
                <w:color w:val="000000" w:themeColor="text1"/>
                <w:sz w:val="18"/>
                <w:szCs w:val="18"/>
                <w:lang w:val="hr-HR"/>
              </w:rPr>
              <w:t>Preuzete obveze po kreditima</w:t>
            </w:r>
            <w:bookmarkEnd w:id="1544"/>
          </w:p>
        </w:tc>
        <w:tc>
          <w:tcPr>
            <w:tcW w:w="625" w:type="pct"/>
            <w:tcBorders>
              <w:top w:val="nil"/>
              <w:left w:val="nil"/>
              <w:bottom w:val="single" w:sz="4" w:space="0" w:color="auto"/>
              <w:right w:val="nil"/>
            </w:tcBorders>
            <w:shd w:val="clear" w:color="auto" w:fill="auto"/>
            <w:vAlign w:val="bottom"/>
          </w:tcPr>
          <w:p w14:paraId="667D050E" w14:textId="77777777" w:rsidR="004E2F51" w:rsidRPr="009C411C" w:rsidRDefault="004E2F51" w:rsidP="00E032FC">
            <w:pPr>
              <w:pStyle w:val="TT"/>
              <w:jc w:val="right"/>
              <w:rPr>
                <w:rFonts w:cs="Arial"/>
                <w:color w:val="000000" w:themeColor="text1"/>
                <w:sz w:val="18"/>
                <w:szCs w:val="18"/>
                <w:lang w:val="hr-HR"/>
              </w:rPr>
            </w:pPr>
            <w:r w:rsidRPr="00C51026">
              <w:t xml:space="preserve"> 2.647.931 </w:t>
            </w:r>
          </w:p>
        </w:tc>
        <w:tc>
          <w:tcPr>
            <w:tcW w:w="625" w:type="pct"/>
            <w:tcBorders>
              <w:top w:val="nil"/>
              <w:left w:val="nil"/>
              <w:bottom w:val="single" w:sz="4" w:space="0" w:color="auto"/>
              <w:right w:val="nil"/>
            </w:tcBorders>
            <w:shd w:val="clear" w:color="auto" w:fill="auto"/>
            <w:vAlign w:val="bottom"/>
          </w:tcPr>
          <w:p w14:paraId="6537D3F5" w14:textId="77777777" w:rsidR="004E2F51" w:rsidRPr="009C411C" w:rsidRDefault="004E2F51" w:rsidP="00E032FC">
            <w:pPr>
              <w:pStyle w:val="TT"/>
              <w:jc w:val="right"/>
              <w:rPr>
                <w:rFonts w:cs="Arial"/>
                <w:color w:val="000000" w:themeColor="text1"/>
                <w:sz w:val="18"/>
                <w:szCs w:val="18"/>
                <w:lang w:val="hr-HR"/>
              </w:rPr>
            </w:pPr>
            <w:r>
              <w:rPr>
                <w:rFonts w:cs="Arial"/>
                <w:color w:val="000000" w:themeColor="text1"/>
                <w:sz w:val="18"/>
                <w:szCs w:val="18"/>
                <w:lang w:val="hr-HR"/>
              </w:rPr>
              <w:t>-</w:t>
            </w:r>
          </w:p>
        </w:tc>
        <w:tc>
          <w:tcPr>
            <w:tcW w:w="625" w:type="pct"/>
            <w:tcBorders>
              <w:top w:val="nil"/>
              <w:left w:val="nil"/>
              <w:bottom w:val="single" w:sz="4" w:space="0" w:color="auto"/>
              <w:right w:val="nil"/>
            </w:tcBorders>
            <w:shd w:val="clear" w:color="auto" w:fill="auto"/>
            <w:vAlign w:val="bottom"/>
          </w:tcPr>
          <w:p w14:paraId="29CB5118" w14:textId="77777777" w:rsidR="004E2F51" w:rsidRPr="009C411C" w:rsidRDefault="004E2F51" w:rsidP="00E032FC">
            <w:pPr>
              <w:pStyle w:val="TT"/>
              <w:jc w:val="right"/>
              <w:rPr>
                <w:rFonts w:cs="Arial"/>
                <w:color w:val="000000" w:themeColor="text1"/>
                <w:sz w:val="18"/>
                <w:szCs w:val="18"/>
                <w:lang w:val="hr-HR"/>
              </w:rPr>
            </w:pPr>
            <w:r>
              <w:rPr>
                <w:rFonts w:cs="Arial"/>
                <w:color w:val="000000" w:themeColor="text1"/>
                <w:sz w:val="18"/>
                <w:szCs w:val="18"/>
                <w:lang w:val="hr-HR"/>
              </w:rPr>
              <w:t>-</w:t>
            </w:r>
          </w:p>
        </w:tc>
        <w:tc>
          <w:tcPr>
            <w:tcW w:w="624" w:type="pct"/>
            <w:tcBorders>
              <w:top w:val="nil"/>
              <w:left w:val="nil"/>
              <w:bottom w:val="single" w:sz="4" w:space="0" w:color="auto"/>
              <w:right w:val="nil"/>
            </w:tcBorders>
            <w:shd w:val="clear" w:color="auto" w:fill="auto"/>
            <w:vAlign w:val="bottom"/>
          </w:tcPr>
          <w:p w14:paraId="77F2DF8E" w14:textId="77777777" w:rsidR="004E2F51" w:rsidRPr="009C411C" w:rsidRDefault="004E2F51" w:rsidP="00E032FC">
            <w:pPr>
              <w:pStyle w:val="TT"/>
              <w:jc w:val="right"/>
              <w:rPr>
                <w:rFonts w:cs="Arial"/>
                <w:color w:val="000000" w:themeColor="text1"/>
                <w:sz w:val="18"/>
                <w:szCs w:val="18"/>
                <w:lang w:val="hr-HR"/>
              </w:rPr>
            </w:pPr>
            <w:r w:rsidRPr="00C51026">
              <w:t xml:space="preserve"> 2.647.931 </w:t>
            </w:r>
          </w:p>
        </w:tc>
      </w:tr>
      <w:tr w:rsidR="004E2F51" w:rsidRPr="009C411C" w14:paraId="63262AF3" w14:textId="77777777" w:rsidTr="00E032FC">
        <w:tblPrEx>
          <w:tblCellMar>
            <w:left w:w="31" w:type="dxa"/>
            <w:right w:w="31" w:type="dxa"/>
          </w:tblCellMar>
        </w:tblPrEx>
        <w:trPr>
          <w:cantSplit/>
          <w:trHeight w:val="399"/>
          <w:tblHeader/>
        </w:trPr>
        <w:tc>
          <w:tcPr>
            <w:tcW w:w="2501" w:type="pct"/>
            <w:vAlign w:val="bottom"/>
          </w:tcPr>
          <w:p w14:paraId="6943A74D" w14:textId="77777777" w:rsidR="004E2F51" w:rsidRPr="009C411C" w:rsidRDefault="004E2F51" w:rsidP="00E032FC">
            <w:pPr>
              <w:pStyle w:val="TT"/>
              <w:rPr>
                <w:rFonts w:cs="Arial"/>
                <w:b/>
                <w:bCs/>
                <w:color w:val="000000" w:themeColor="text1"/>
                <w:sz w:val="18"/>
                <w:szCs w:val="18"/>
                <w:lang w:val="hr-HR"/>
              </w:rPr>
            </w:pPr>
            <w:bookmarkStart w:id="1545" w:name="_Toc67329528"/>
            <w:r w:rsidRPr="009C411C">
              <w:rPr>
                <w:rFonts w:cs="Arial"/>
                <w:b/>
                <w:bCs/>
                <w:color w:val="000000" w:themeColor="text1"/>
                <w:sz w:val="18"/>
                <w:szCs w:val="18"/>
                <w:lang w:val="hr-HR"/>
              </w:rPr>
              <w:t>Ukupno</w:t>
            </w:r>
            <w:bookmarkEnd w:id="1545"/>
          </w:p>
        </w:tc>
        <w:tc>
          <w:tcPr>
            <w:tcW w:w="625" w:type="pct"/>
            <w:tcBorders>
              <w:top w:val="single" w:sz="4" w:space="0" w:color="auto"/>
              <w:left w:val="nil"/>
              <w:bottom w:val="single" w:sz="12" w:space="0" w:color="auto"/>
              <w:right w:val="nil"/>
            </w:tcBorders>
            <w:shd w:val="clear" w:color="auto" w:fill="auto"/>
            <w:vAlign w:val="bottom"/>
          </w:tcPr>
          <w:p w14:paraId="63761122"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3619B">
              <w:rPr>
                <w:rFonts w:ascii="Arial" w:hAnsi="Arial" w:cs="Arial"/>
                <w:b/>
                <w:bCs/>
                <w:color w:val="000000" w:themeColor="text1"/>
                <w:sz w:val="18"/>
                <w:szCs w:val="18"/>
                <w:lang w:val="hr-HR"/>
              </w:rPr>
              <w:t>2.898.160</w:t>
            </w:r>
          </w:p>
        </w:tc>
        <w:tc>
          <w:tcPr>
            <w:tcW w:w="625" w:type="pct"/>
            <w:tcBorders>
              <w:top w:val="single" w:sz="4" w:space="0" w:color="auto"/>
              <w:left w:val="nil"/>
              <w:bottom w:val="single" w:sz="12" w:space="0" w:color="auto"/>
              <w:right w:val="nil"/>
            </w:tcBorders>
            <w:shd w:val="clear" w:color="auto" w:fill="auto"/>
            <w:vAlign w:val="bottom"/>
          </w:tcPr>
          <w:p w14:paraId="437C2F3A"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625" w:type="pct"/>
            <w:tcBorders>
              <w:top w:val="single" w:sz="4" w:space="0" w:color="auto"/>
              <w:left w:val="nil"/>
              <w:bottom w:val="single" w:sz="12" w:space="0" w:color="auto"/>
              <w:right w:val="nil"/>
            </w:tcBorders>
            <w:shd w:val="clear" w:color="auto" w:fill="auto"/>
            <w:vAlign w:val="bottom"/>
          </w:tcPr>
          <w:p w14:paraId="0E2C90CD"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624" w:type="pct"/>
            <w:tcBorders>
              <w:top w:val="single" w:sz="4" w:space="0" w:color="auto"/>
              <w:left w:val="nil"/>
              <w:bottom w:val="single" w:sz="12" w:space="0" w:color="auto"/>
              <w:right w:val="nil"/>
            </w:tcBorders>
            <w:shd w:val="clear" w:color="auto" w:fill="auto"/>
            <w:vAlign w:val="bottom"/>
          </w:tcPr>
          <w:p w14:paraId="5EBBBBF2"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3619B">
              <w:rPr>
                <w:rFonts w:ascii="Arial" w:hAnsi="Arial" w:cs="Arial"/>
                <w:b/>
                <w:bCs/>
                <w:color w:val="000000" w:themeColor="text1"/>
                <w:sz w:val="18"/>
                <w:szCs w:val="18"/>
                <w:lang w:val="hr-HR"/>
              </w:rPr>
              <w:t>2.898.160</w:t>
            </w:r>
          </w:p>
        </w:tc>
      </w:tr>
      <w:tr w:rsidR="004E2F51" w:rsidRPr="009C411C" w14:paraId="72D69556" w14:textId="77777777" w:rsidTr="00E032FC">
        <w:tblPrEx>
          <w:tblCellMar>
            <w:left w:w="31" w:type="dxa"/>
            <w:right w:w="31" w:type="dxa"/>
          </w:tblCellMar>
        </w:tblPrEx>
        <w:trPr>
          <w:cantSplit/>
          <w:trHeight w:hRule="exact" w:val="113"/>
          <w:tblHeader/>
        </w:trPr>
        <w:tc>
          <w:tcPr>
            <w:tcW w:w="2501" w:type="pct"/>
            <w:vAlign w:val="bottom"/>
          </w:tcPr>
          <w:p w14:paraId="4A4A85AB" w14:textId="77777777" w:rsidR="004E2F51" w:rsidRPr="009C411C" w:rsidRDefault="004E2F51" w:rsidP="00E032FC">
            <w:pPr>
              <w:pStyle w:val="TT"/>
              <w:spacing w:line="240" w:lineRule="auto"/>
              <w:rPr>
                <w:rFonts w:cs="Arial"/>
                <w:b/>
                <w:bCs/>
                <w:color w:val="000000" w:themeColor="text1"/>
                <w:sz w:val="18"/>
                <w:szCs w:val="18"/>
                <w:lang w:val="hr-HR"/>
              </w:rPr>
            </w:pPr>
          </w:p>
        </w:tc>
        <w:tc>
          <w:tcPr>
            <w:tcW w:w="625" w:type="pct"/>
            <w:tcBorders>
              <w:top w:val="single" w:sz="12" w:space="0" w:color="auto"/>
            </w:tcBorders>
            <w:vAlign w:val="bottom"/>
          </w:tcPr>
          <w:p w14:paraId="27F6BF59" w14:textId="77777777" w:rsidR="004E2F51" w:rsidRPr="009C411C" w:rsidRDefault="004E2F51" w:rsidP="00E032FC">
            <w:pPr>
              <w:tabs>
                <w:tab w:val="right" w:pos="1202"/>
              </w:tabs>
              <w:jc w:val="right"/>
              <w:outlineLvl w:val="0"/>
              <w:rPr>
                <w:rFonts w:ascii="Arial" w:hAnsi="Arial" w:cs="Arial"/>
                <w:b/>
                <w:color w:val="000000" w:themeColor="text1"/>
                <w:sz w:val="18"/>
                <w:szCs w:val="18"/>
                <w:lang w:val="hr-HR"/>
              </w:rPr>
            </w:pPr>
          </w:p>
        </w:tc>
        <w:tc>
          <w:tcPr>
            <w:tcW w:w="625" w:type="pct"/>
            <w:tcBorders>
              <w:top w:val="single" w:sz="12" w:space="0" w:color="auto"/>
            </w:tcBorders>
            <w:vAlign w:val="bottom"/>
          </w:tcPr>
          <w:p w14:paraId="40178516" w14:textId="77777777" w:rsidR="004E2F51" w:rsidRPr="009C411C" w:rsidRDefault="004E2F51" w:rsidP="00E032FC">
            <w:pPr>
              <w:tabs>
                <w:tab w:val="right" w:pos="1202"/>
              </w:tabs>
              <w:jc w:val="right"/>
              <w:outlineLvl w:val="0"/>
              <w:rPr>
                <w:rFonts w:ascii="Arial" w:hAnsi="Arial" w:cs="Arial"/>
                <w:b/>
                <w:color w:val="000000" w:themeColor="text1"/>
                <w:sz w:val="18"/>
                <w:szCs w:val="18"/>
                <w:lang w:val="hr-HR"/>
              </w:rPr>
            </w:pPr>
          </w:p>
        </w:tc>
        <w:tc>
          <w:tcPr>
            <w:tcW w:w="625" w:type="pct"/>
            <w:tcBorders>
              <w:top w:val="single" w:sz="12" w:space="0" w:color="auto"/>
            </w:tcBorders>
            <w:vAlign w:val="bottom"/>
          </w:tcPr>
          <w:p w14:paraId="615968F8" w14:textId="77777777" w:rsidR="004E2F51" w:rsidRPr="009C411C" w:rsidRDefault="004E2F51" w:rsidP="00E032FC">
            <w:pPr>
              <w:tabs>
                <w:tab w:val="right" w:pos="1202"/>
              </w:tabs>
              <w:jc w:val="right"/>
              <w:outlineLvl w:val="0"/>
              <w:rPr>
                <w:rFonts w:ascii="Arial" w:hAnsi="Arial" w:cs="Arial"/>
                <w:b/>
                <w:color w:val="000000" w:themeColor="text1"/>
                <w:sz w:val="18"/>
                <w:szCs w:val="18"/>
                <w:lang w:val="hr-HR"/>
              </w:rPr>
            </w:pPr>
          </w:p>
        </w:tc>
        <w:tc>
          <w:tcPr>
            <w:tcW w:w="624" w:type="pct"/>
            <w:tcBorders>
              <w:top w:val="single" w:sz="12" w:space="0" w:color="auto"/>
            </w:tcBorders>
            <w:vAlign w:val="bottom"/>
          </w:tcPr>
          <w:p w14:paraId="3E1CD2FA" w14:textId="77777777" w:rsidR="004E2F51" w:rsidRPr="009C411C" w:rsidRDefault="004E2F51" w:rsidP="00E032FC">
            <w:pPr>
              <w:tabs>
                <w:tab w:val="right" w:pos="1202"/>
              </w:tabs>
              <w:jc w:val="right"/>
              <w:outlineLvl w:val="0"/>
              <w:rPr>
                <w:rFonts w:ascii="Arial" w:hAnsi="Arial" w:cs="Arial"/>
                <w:b/>
                <w:color w:val="000000" w:themeColor="text1"/>
                <w:sz w:val="18"/>
                <w:szCs w:val="18"/>
                <w:lang w:val="hr-HR"/>
              </w:rPr>
            </w:pPr>
          </w:p>
        </w:tc>
      </w:tr>
      <w:tr w:rsidR="004E2F51" w:rsidRPr="009C411C" w14:paraId="2A1DFF27" w14:textId="77777777" w:rsidTr="00E032FC">
        <w:tblPrEx>
          <w:tblCellMar>
            <w:left w:w="31" w:type="dxa"/>
            <w:right w:w="31" w:type="dxa"/>
          </w:tblCellMar>
        </w:tblPrEx>
        <w:trPr>
          <w:cantSplit/>
          <w:trHeight w:val="70"/>
          <w:tblHeader/>
        </w:trPr>
        <w:tc>
          <w:tcPr>
            <w:tcW w:w="2501" w:type="pct"/>
            <w:vAlign w:val="bottom"/>
          </w:tcPr>
          <w:p w14:paraId="2D2C0040" w14:textId="77777777" w:rsidR="004E2F51" w:rsidRPr="009C411C" w:rsidRDefault="004E2F51" w:rsidP="00E032FC">
            <w:pPr>
              <w:pStyle w:val="TT"/>
              <w:spacing w:before="120" w:line="300" w:lineRule="exact"/>
              <w:jc w:val="both"/>
              <w:outlineLvl w:val="9"/>
              <w:rPr>
                <w:rFonts w:cs="Arial"/>
                <w:b/>
                <w:bCs/>
                <w:color w:val="000000" w:themeColor="text1"/>
                <w:sz w:val="18"/>
                <w:szCs w:val="18"/>
                <w:lang w:val="hr-HR"/>
              </w:rPr>
            </w:pPr>
            <w:r w:rsidRPr="009C411C">
              <w:rPr>
                <w:rFonts w:cs="Arial"/>
                <w:b/>
                <w:bCs/>
                <w:color w:val="000000" w:themeColor="text1"/>
                <w:sz w:val="18"/>
                <w:szCs w:val="18"/>
                <w:lang w:val="hr-HR"/>
              </w:rPr>
              <w:t>Ukupna izloženost kreditnom riziku</w:t>
            </w:r>
          </w:p>
        </w:tc>
        <w:tc>
          <w:tcPr>
            <w:tcW w:w="625" w:type="pct"/>
            <w:tcBorders>
              <w:top w:val="nil"/>
              <w:left w:val="nil"/>
              <w:bottom w:val="single" w:sz="12" w:space="0" w:color="auto"/>
              <w:right w:val="nil"/>
            </w:tcBorders>
            <w:shd w:val="clear" w:color="auto" w:fill="auto"/>
            <w:vAlign w:val="bottom"/>
          </w:tcPr>
          <w:p w14:paraId="0C126268"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8B57F3">
              <w:rPr>
                <w:rFonts w:ascii="Arial" w:hAnsi="Arial" w:cs="Arial"/>
                <w:b/>
                <w:bCs/>
                <w:color w:val="000000" w:themeColor="text1"/>
                <w:sz w:val="18"/>
                <w:szCs w:val="18"/>
                <w:lang w:val="hr-HR"/>
              </w:rPr>
              <w:t xml:space="preserve">31.429.452 </w:t>
            </w:r>
          </w:p>
        </w:tc>
        <w:tc>
          <w:tcPr>
            <w:tcW w:w="625" w:type="pct"/>
            <w:tcBorders>
              <w:top w:val="nil"/>
              <w:left w:val="nil"/>
              <w:bottom w:val="single" w:sz="12" w:space="0" w:color="auto"/>
              <w:right w:val="nil"/>
            </w:tcBorders>
            <w:shd w:val="clear" w:color="auto" w:fill="auto"/>
            <w:vAlign w:val="bottom"/>
          </w:tcPr>
          <w:p w14:paraId="3855EA60"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8B57F3">
              <w:rPr>
                <w:rFonts w:ascii="Arial" w:hAnsi="Arial" w:cs="Arial"/>
                <w:b/>
                <w:bCs/>
                <w:color w:val="000000" w:themeColor="text1"/>
                <w:sz w:val="18"/>
                <w:szCs w:val="18"/>
                <w:lang w:val="hr-HR"/>
              </w:rPr>
              <w:t xml:space="preserve"> 97.543 </w:t>
            </w:r>
          </w:p>
        </w:tc>
        <w:tc>
          <w:tcPr>
            <w:tcW w:w="625" w:type="pct"/>
            <w:tcBorders>
              <w:top w:val="nil"/>
              <w:left w:val="nil"/>
              <w:bottom w:val="single" w:sz="12" w:space="0" w:color="auto"/>
              <w:right w:val="nil"/>
            </w:tcBorders>
            <w:shd w:val="clear" w:color="auto" w:fill="auto"/>
            <w:vAlign w:val="bottom"/>
          </w:tcPr>
          <w:p w14:paraId="530D405D"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8B57F3">
              <w:rPr>
                <w:rFonts w:ascii="Arial" w:hAnsi="Arial" w:cs="Arial"/>
                <w:b/>
                <w:bCs/>
                <w:color w:val="000000" w:themeColor="text1"/>
                <w:sz w:val="18"/>
                <w:szCs w:val="18"/>
                <w:lang w:val="hr-HR"/>
              </w:rPr>
              <w:t xml:space="preserve"> 99.570 </w:t>
            </w:r>
          </w:p>
        </w:tc>
        <w:tc>
          <w:tcPr>
            <w:tcW w:w="624" w:type="pct"/>
            <w:tcBorders>
              <w:top w:val="nil"/>
              <w:left w:val="nil"/>
              <w:bottom w:val="single" w:sz="12" w:space="0" w:color="auto"/>
              <w:right w:val="nil"/>
            </w:tcBorders>
            <w:shd w:val="clear" w:color="auto" w:fill="auto"/>
            <w:vAlign w:val="bottom"/>
          </w:tcPr>
          <w:p w14:paraId="3E6B014F"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8B57F3">
              <w:rPr>
                <w:rFonts w:ascii="Arial" w:hAnsi="Arial" w:cs="Arial"/>
                <w:b/>
                <w:bCs/>
                <w:color w:val="000000" w:themeColor="text1"/>
                <w:sz w:val="18"/>
                <w:szCs w:val="18"/>
                <w:lang w:val="hr-HR"/>
              </w:rPr>
              <w:t xml:space="preserve">31.626.565 </w:t>
            </w:r>
          </w:p>
        </w:tc>
      </w:tr>
    </w:tbl>
    <w:p w14:paraId="5BD251A2" w14:textId="77777777" w:rsidR="004E2F51" w:rsidRPr="00C651CA" w:rsidRDefault="004E2F51" w:rsidP="004E2F51">
      <w:pPr>
        <w:spacing w:before="120" w:line="300" w:lineRule="exact"/>
        <w:jc w:val="both"/>
        <w:rPr>
          <w:rFonts w:ascii="Arial" w:hAnsi="Arial" w:cs="Arial"/>
          <w:color w:val="000000" w:themeColor="text1"/>
          <w:sz w:val="20"/>
          <w:szCs w:val="20"/>
          <w:lang w:val="hr-HR"/>
        </w:rPr>
      </w:pPr>
    </w:p>
    <w:p w14:paraId="2E92A538" w14:textId="77777777" w:rsidR="004E2F51" w:rsidRPr="00C651CA" w:rsidRDefault="004E2F51" w:rsidP="004E2F51">
      <w:pPr>
        <w:spacing w:before="120" w:line="300" w:lineRule="exact"/>
        <w:jc w:val="both"/>
        <w:rPr>
          <w:rFonts w:ascii="Arial" w:hAnsi="Arial" w:cs="Arial"/>
          <w:color w:val="000000" w:themeColor="text1"/>
          <w:sz w:val="20"/>
          <w:szCs w:val="20"/>
          <w:lang w:val="hr-HR"/>
        </w:rPr>
        <w:sectPr w:rsidR="004E2F51" w:rsidRPr="00C651CA" w:rsidSect="00623DBA">
          <w:footerReference w:type="default" r:id="rId182"/>
          <w:pgSz w:w="11907" w:h="16840" w:code="9"/>
          <w:pgMar w:top="1418" w:right="1134" w:bottom="1134" w:left="1418" w:header="851" w:footer="851" w:gutter="0"/>
          <w:cols w:space="720"/>
          <w:noEndnote/>
        </w:sectPr>
      </w:pPr>
    </w:p>
    <w:p w14:paraId="4AD9285D" w14:textId="77777777" w:rsidR="004E2F51" w:rsidRPr="00C651CA" w:rsidRDefault="004E2F51" w:rsidP="004E2F51">
      <w:pPr>
        <w:pStyle w:val="T1"/>
        <w:spacing w:before="0" w:after="0" w:line="240" w:lineRule="auto"/>
        <w:rPr>
          <w:rFonts w:cs="Arial"/>
          <w:color w:val="000000" w:themeColor="text1"/>
          <w:sz w:val="20"/>
          <w:lang w:val="hr-HR"/>
        </w:rPr>
      </w:pPr>
    </w:p>
    <w:p w14:paraId="07EE5B85" w14:textId="77777777" w:rsidR="004E2F51" w:rsidRPr="00C651CA" w:rsidRDefault="004E2F51" w:rsidP="004E2F51">
      <w:pPr>
        <w:pStyle w:val="T1"/>
        <w:tabs>
          <w:tab w:val="left" w:pos="567"/>
        </w:tabs>
        <w:spacing w:before="0" w:after="0" w:line="240" w:lineRule="auto"/>
        <w:rPr>
          <w:rFonts w:cs="Arial"/>
          <w:color w:val="000000" w:themeColor="text1"/>
          <w:sz w:val="20"/>
          <w:lang w:val="hr-HR"/>
        </w:rPr>
      </w:pPr>
      <w:r w:rsidRPr="00C651CA">
        <w:rPr>
          <w:rFonts w:cs="Arial"/>
          <w:color w:val="000000" w:themeColor="text1"/>
          <w:sz w:val="20"/>
          <w:lang w:val="hr-HR"/>
        </w:rPr>
        <w:t>3</w:t>
      </w:r>
      <w:r>
        <w:rPr>
          <w:rFonts w:cs="Arial"/>
          <w:color w:val="000000" w:themeColor="text1"/>
          <w:sz w:val="20"/>
          <w:lang w:val="hr-HR"/>
        </w:rPr>
        <w:t>1</w:t>
      </w:r>
      <w:r w:rsidRPr="00C651CA">
        <w:rPr>
          <w:rFonts w:cs="Arial"/>
          <w:color w:val="000000" w:themeColor="text1"/>
          <w:sz w:val="20"/>
          <w:lang w:val="hr-HR"/>
        </w:rPr>
        <w:t>.</w:t>
      </w:r>
      <w:r w:rsidRPr="00C651CA">
        <w:rPr>
          <w:rFonts w:cs="Arial"/>
          <w:color w:val="000000" w:themeColor="text1"/>
          <w:sz w:val="20"/>
          <w:lang w:val="hr-HR"/>
        </w:rPr>
        <w:tab/>
        <w:t>Upravljanje rizicima (nastavak)</w:t>
      </w:r>
    </w:p>
    <w:p w14:paraId="5E39A7B9" w14:textId="77777777" w:rsidR="004E2F51" w:rsidRPr="00C651CA" w:rsidRDefault="004E2F51" w:rsidP="004E2F51">
      <w:pPr>
        <w:pStyle w:val="T1"/>
        <w:spacing w:before="0" w:after="0" w:line="240" w:lineRule="auto"/>
        <w:rPr>
          <w:rFonts w:cs="Arial"/>
          <w:color w:val="000000" w:themeColor="text1"/>
          <w:sz w:val="20"/>
          <w:lang w:val="hr-HR"/>
        </w:rPr>
      </w:pPr>
    </w:p>
    <w:p w14:paraId="64E45D10" w14:textId="77777777" w:rsidR="004E2F51" w:rsidRPr="00C651CA" w:rsidRDefault="004E2F51" w:rsidP="004E2F51">
      <w:pPr>
        <w:pStyle w:val="T1"/>
        <w:tabs>
          <w:tab w:val="left" w:pos="567"/>
        </w:tabs>
        <w:spacing w:before="0" w:after="0" w:line="240" w:lineRule="auto"/>
        <w:rPr>
          <w:rFonts w:cs="Arial"/>
          <w:color w:val="000000" w:themeColor="text1"/>
          <w:sz w:val="20"/>
          <w:lang w:val="hr-HR"/>
        </w:rPr>
      </w:pPr>
      <w:r w:rsidRPr="00C651CA">
        <w:rPr>
          <w:rFonts w:cs="Arial"/>
          <w:color w:val="000000" w:themeColor="text1"/>
          <w:sz w:val="20"/>
          <w:lang w:val="hr-HR"/>
        </w:rPr>
        <w:t>3</w:t>
      </w:r>
      <w:r>
        <w:rPr>
          <w:rFonts w:cs="Arial"/>
          <w:color w:val="000000" w:themeColor="text1"/>
          <w:sz w:val="20"/>
          <w:lang w:val="hr-HR"/>
        </w:rPr>
        <w:t>1</w:t>
      </w:r>
      <w:r w:rsidRPr="00C651CA">
        <w:rPr>
          <w:rFonts w:cs="Arial"/>
          <w:color w:val="000000" w:themeColor="text1"/>
          <w:sz w:val="20"/>
          <w:lang w:val="hr-HR"/>
        </w:rPr>
        <w:t xml:space="preserve">.3. </w:t>
      </w:r>
      <w:r w:rsidRPr="00C651CA">
        <w:rPr>
          <w:rFonts w:cs="Arial"/>
          <w:color w:val="000000" w:themeColor="text1"/>
          <w:sz w:val="20"/>
          <w:lang w:val="hr-HR"/>
        </w:rPr>
        <w:tab/>
        <w:t>Kreditni rizik (nastavak)</w:t>
      </w:r>
    </w:p>
    <w:p w14:paraId="27D32E7E" w14:textId="77777777" w:rsidR="004E2F51" w:rsidRPr="00C651CA" w:rsidRDefault="004E2F51" w:rsidP="004E2F51">
      <w:pPr>
        <w:pStyle w:val="T1"/>
        <w:spacing w:before="0" w:after="0" w:line="240" w:lineRule="auto"/>
        <w:rPr>
          <w:rFonts w:cs="Arial"/>
          <w:color w:val="000000" w:themeColor="text1"/>
          <w:sz w:val="20"/>
          <w:lang w:val="hr-HR"/>
        </w:rPr>
      </w:pPr>
    </w:p>
    <w:p w14:paraId="6BAB5F07" w14:textId="77777777" w:rsidR="004E2F51" w:rsidRPr="00C651CA" w:rsidRDefault="004E2F51" w:rsidP="004E2F51">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 izloženost kreditnom riziku (nastavak)</w:t>
      </w:r>
    </w:p>
    <w:p w14:paraId="286985C8" w14:textId="77777777" w:rsidR="004E2F51" w:rsidRPr="00C651CA" w:rsidRDefault="004E2F51" w:rsidP="004E2F51">
      <w:pPr>
        <w:pStyle w:val="T1"/>
        <w:spacing w:before="0" w:after="0" w:line="240" w:lineRule="auto"/>
        <w:rPr>
          <w:rFonts w:cs="Arial"/>
          <w:b w:val="0"/>
          <w:bCs w:val="0"/>
          <w:color w:val="000000" w:themeColor="text1"/>
          <w:sz w:val="20"/>
          <w:lang w:val="hr-HR"/>
        </w:rPr>
      </w:pPr>
    </w:p>
    <w:p w14:paraId="733E1568" w14:textId="77777777" w:rsidR="004E2F51" w:rsidRPr="00C651CA" w:rsidRDefault="004E2F51" w:rsidP="004E2F51">
      <w:pPr>
        <w:pStyle w:val="T1"/>
        <w:spacing w:before="0" w:after="0" w:line="240" w:lineRule="auto"/>
        <w:rPr>
          <w:rFonts w:cs="Arial"/>
          <w:b w:val="0"/>
          <w:bCs w:val="0"/>
          <w:color w:val="000000" w:themeColor="text1"/>
          <w:sz w:val="20"/>
          <w:lang w:val="hr-HR"/>
        </w:rPr>
      </w:pPr>
      <w:r w:rsidRPr="00C651CA">
        <w:rPr>
          <w:rFonts w:cs="Arial"/>
          <w:b w:val="0"/>
          <w:bCs w:val="0"/>
          <w:color w:val="000000" w:themeColor="text1"/>
          <w:sz w:val="20"/>
          <w:lang w:val="hr-HR"/>
        </w:rPr>
        <w:t xml:space="preserve">Koncentracija imovine i garancija te preuzetih obveza prema zemljopisnim segmentima, neto izloženost, </w:t>
      </w:r>
      <w:r w:rsidRPr="00C651CA">
        <w:rPr>
          <w:rFonts w:cs="Arial"/>
          <w:b w:val="0"/>
          <w:color w:val="000000" w:themeColor="text1"/>
          <w:sz w:val="20"/>
          <w:lang w:val="hr-HR"/>
        </w:rPr>
        <w:t>bez umanjenja za vrijednost sredstava osiguranja naplate</w:t>
      </w:r>
      <w:r w:rsidRPr="00C651CA">
        <w:rPr>
          <w:rFonts w:cs="Arial"/>
          <w:b w:val="0"/>
          <w:bCs w:val="0"/>
          <w:color w:val="000000" w:themeColor="text1"/>
          <w:sz w:val="20"/>
          <w:lang w:val="hr-HR"/>
        </w:rPr>
        <w:t xml:space="preserve"> (nastavak): </w:t>
      </w:r>
    </w:p>
    <w:p w14:paraId="2FC82920" w14:textId="77777777" w:rsidR="004E2F51" w:rsidRPr="00C651CA" w:rsidRDefault="004E2F51" w:rsidP="004E2F51">
      <w:pPr>
        <w:pStyle w:val="T1"/>
        <w:spacing w:before="0" w:after="0" w:line="240" w:lineRule="auto"/>
        <w:rPr>
          <w:rFonts w:cs="Arial"/>
          <w:b w:val="0"/>
          <w:bCs w:val="0"/>
          <w:color w:val="000000" w:themeColor="text1"/>
          <w:sz w:val="20"/>
          <w:lang w:val="hr-HR"/>
        </w:rPr>
      </w:pPr>
    </w:p>
    <w:p w14:paraId="2CDE6B4C" w14:textId="77777777" w:rsidR="004E2F51" w:rsidRPr="00C651CA" w:rsidRDefault="004E2F51" w:rsidP="004E2F51">
      <w:pPr>
        <w:pStyle w:val="T1"/>
        <w:spacing w:before="0" w:after="0" w:line="240" w:lineRule="auto"/>
        <w:rPr>
          <w:rFonts w:cs="Arial"/>
          <w:b w:val="0"/>
          <w:bCs w:val="0"/>
          <w:color w:val="000000" w:themeColor="text1"/>
          <w:sz w:val="20"/>
          <w:lang w:val="hr-HR"/>
        </w:rPr>
      </w:pPr>
    </w:p>
    <w:tbl>
      <w:tblPr>
        <w:tblW w:w="5000" w:type="pct"/>
        <w:tblLayout w:type="fixed"/>
        <w:tblCellMar>
          <w:left w:w="30" w:type="dxa"/>
          <w:right w:w="30" w:type="dxa"/>
        </w:tblCellMar>
        <w:tblLook w:val="0000" w:firstRow="0" w:lastRow="0" w:firstColumn="0" w:lastColumn="0" w:noHBand="0" w:noVBand="0"/>
      </w:tblPr>
      <w:tblGrid>
        <w:gridCol w:w="4680"/>
        <w:gridCol w:w="1169"/>
        <w:gridCol w:w="1169"/>
        <w:gridCol w:w="1169"/>
        <w:gridCol w:w="1168"/>
      </w:tblGrid>
      <w:tr w:rsidR="004E2F51" w:rsidRPr="009C411C" w14:paraId="16D0E6F3" w14:textId="77777777" w:rsidTr="00E032FC">
        <w:trPr>
          <w:cantSplit/>
          <w:trHeight w:val="784"/>
          <w:tblHeader/>
        </w:trPr>
        <w:tc>
          <w:tcPr>
            <w:tcW w:w="2501" w:type="pct"/>
          </w:tcPr>
          <w:p w14:paraId="6BC6FEB3" w14:textId="77777777" w:rsidR="004E2F51" w:rsidRPr="009C411C" w:rsidRDefault="004E2F51" w:rsidP="00E032FC">
            <w:pPr>
              <w:pStyle w:val="TH"/>
              <w:rPr>
                <w:rFonts w:cs="Arial"/>
                <w:color w:val="000000" w:themeColor="text1"/>
                <w:sz w:val="18"/>
                <w:szCs w:val="18"/>
                <w:lang w:val="hr-HR"/>
              </w:rPr>
            </w:pPr>
            <w:r w:rsidRPr="009C411C">
              <w:rPr>
                <w:rFonts w:cs="Arial"/>
                <w:color w:val="000000" w:themeColor="text1"/>
                <w:sz w:val="18"/>
                <w:szCs w:val="18"/>
                <w:lang w:val="hr-HR"/>
              </w:rPr>
              <w:t>Banka</w:t>
            </w:r>
          </w:p>
          <w:p w14:paraId="4C260CCB" w14:textId="77777777" w:rsidR="004E2F51" w:rsidRPr="009C411C" w:rsidRDefault="004E2F51" w:rsidP="00E032FC">
            <w:pPr>
              <w:pStyle w:val="TH"/>
              <w:rPr>
                <w:rFonts w:cs="Arial"/>
                <w:color w:val="000000" w:themeColor="text1"/>
                <w:sz w:val="18"/>
                <w:szCs w:val="18"/>
                <w:lang w:val="hr-HR"/>
              </w:rPr>
            </w:pPr>
          </w:p>
          <w:p w14:paraId="6AC593A5" w14:textId="77777777" w:rsidR="004E2F51" w:rsidRPr="009C411C" w:rsidRDefault="004E2F51" w:rsidP="00E032FC">
            <w:pPr>
              <w:pStyle w:val="TH"/>
              <w:rPr>
                <w:rFonts w:cs="Arial"/>
                <w:color w:val="000000" w:themeColor="text1"/>
                <w:sz w:val="18"/>
                <w:szCs w:val="18"/>
                <w:lang w:val="hr-HR"/>
              </w:rPr>
            </w:pPr>
            <w:r w:rsidRPr="009C411C">
              <w:rPr>
                <w:rFonts w:eastAsia="Calibri" w:cs="Arial"/>
                <w:bCs/>
                <w:iCs/>
                <w:color w:val="000000" w:themeColor="text1"/>
                <w:sz w:val="18"/>
                <w:szCs w:val="18"/>
                <w:lang w:val="hr-HR"/>
              </w:rPr>
              <w:t xml:space="preserve">31. prosinca </w:t>
            </w:r>
            <w:r w:rsidRPr="009C411C">
              <w:rPr>
                <w:rFonts w:cs="Arial"/>
                <w:color w:val="000000" w:themeColor="text1"/>
                <w:sz w:val="18"/>
                <w:szCs w:val="18"/>
                <w:lang w:val="hr-HR"/>
              </w:rPr>
              <w:t xml:space="preserve">2021. </w:t>
            </w:r>
          </w:p>
        </w:tc>
        <w:tc>
          <w:tcPr>
            <w:tcW w:w="625" w:type="pct"/>
            <w:vAlign w:val="bottom"/>
          </w:tcPr>
          <w:p w14:paraId="38BE2138" w14:textId="77777777" w:rsidR="004E2F51" w:rsidRPr="009C411C" w:rsidRDefault="004E2F51" w:rsidP="00E032FC">
            <w:pPr>
              <w:pStyle w:val="TH"/>
              <w:jc w:val="right"/>
              <w:rPr>
                <w:rFonts w:cs="Arial"/>
                <w:color w:val="000000" w:themeColor="text1"/>
                <w:sz w:val="18"/>
                <w:szCs w:val="18"/>
                <w:lang w:val="hr-HR"/>
              </w:rPr>
            </w:pPr>
            <w:r w:rsidRPr="009C411C">
              <w:rPr>
                <w:rFonts w:cs="Arial"/>
                <w:color w:val="000000" w:themeColor="text1"/>
                <w:sz w:val="18"/>
                <w:szCs w:val="18"/>
                <w:lang w:val="hr-HR"/>
              </w:rPr>
              <w:t>Republika Hrvatska</w:t>
            </w:r>
          </w:p>
        </w:tc>
        <w:tc>
          <w:tcPr>
            <w:tcW w:w="625" w:type="pct"/>
            <w:vAlign w:val="bottom"/>
          </w:tcPr>
          <w:p w14:paraId="710D39FB" w14:textId="77777777" w:rsidR="004E2F51" w:rsidRPr="009C411C" w:rsidRDefault="004E2F51" w:rsidP="00E032FC">
            <w:pPr>
              <w:pStyle w:val="TH"/>
              <w:jc w:val="right"/>
              <w:rPr>
                <w:rFonts w:cs="Arial"/>
                <w:color w:val="000000" w:themeColor="text1"/>
                <w:sz w:val="18"/>
                <w:szCs w:val="18"/>
                <w:lang w:val="hr-HR"/>
              </w:rPr>
            </w:pPr>
            <w:r w:rsidRPr="009C411C">
              <w:rPr>
                <w:rFonts w:cs="Arial"/>
                <w:color w:val="000000" w:themeColor="text1"/>
                <w:sz w:val="18"/>
                <w:szCs w:val="18"/>
                <w:lang w:val="hr-HR"/>
              </w:rPr>
              <w:t>Zemlje Europske unije</w:t>
            </w:r>
          </w:p>
        </w:tc>
        <w:tc>
          <w:tcPr>
            <w:tcW w:w="625" w:type="pct"/>
            <w:vAlign w:val="bottom"/>
          </w:tcPr>
          <w:p w14:paraId="23764DD1" w14:textId="77777777" w:rsidR="004E2F51" w:rsidRPr="009C411C" w:rsidRDefault="004E2F51" w:rsidP="00E032FC">
            <w:pPr>
              <w:pStyle w:val="TH"/>
              <w:jc w:val="right"/>
              <w:rPr>
                <w:rFonts w:cs="Arial"/>
                <w:color w:val="000000" w:themeColor="text1"/>
                <w:sz w:val="18"/>
                <w:szCs w:val="18"/>
                <w:lang w:val="hr-HR"/>
              </w:rPr>
            </w:pPr>
            <w:r w:rsidRPr="009C411C">
              <w:rPr>
                <w:rFonts w:cs="Arial"/>
                <w:color w:val="000000" w:themeColor="text1"/>
                <w:sz w:val="18"/>
                <w:szCs w:val="18"/>
                <w:lang w:val="hr-HR"/>
              </w:rPr>
              <w:t xml:space="preserve">Ostale </w:t>
            </w:r>
          </w:p>
          <w:p w14:paraId="0C9419AE" w14:textId="77777777" w:rsidR="004E2F51" w:rsidRPr="009C411C" w:rsidRDefault="004E2F51" w:rsidP="00E032FC">
            <w:pPr>
              <w:pStyle w:val="TH"/>
              <w:jc w:val="right"/>
              <w:rPr>
                <w:rFonts w:cs="Arial"/>
                <w:color w:val="000000" w:themeColor="text1"/>
                <w:sz w:val="18"/>
                <w:szCs w:val="18"/>
                <w:lang w:val="hr-HR"/>
              </w:rPr>
            </w:pPr>
            <w:r w:rsidRPr="009C411C">
              <w:rPr>
                <w:rFonts w:cs="Arial"/>
                <w:color w:val="000000" w:themeColor="text1"/>
                <w:sz w:val="18"/>
                <w:szCs w:val="18"/>
                <w:lang w:val="hr-HR"/>
              </w:rPr>
              <w:t xml:space="preserve">zemlje </w:t>
            </w:r>
          </w:p>
        </w:tc>
        <w:tc>
          <w:tcPr>
            <w:tcW w:w="625" w:type="pct"/>
            <w:vAlign w:val="bottom"/>
          </w:tcPr>
          <w:p w14:paraId="28A9D804" w14:textId="77777777" w:rsidR="004E2F51" w:rsidRPr="009C411C" w:rsidRDefault="004E2F51" w:rsidP="00E032FC">
            <w:pPr>
              <w:pStyle w:val="TH"/>
              <w:jc w:val="right"/>
              <w:rPr>
                <w:rFonts w:cs="Arial"/>
                <w:color w:val="000000" w:themeColor="text1"/>
                <w:sz w:val="18"/>
                <w:szCs w:val="18"/>
                <w:lang w:val="hr-HR"/>
              </w:rPr>
            </w:pPr>
            <w:r w:rsidRPr="009C411C">
              <w:rPr>
                <w:rFonts w:cs="Arial"/>
                <w:color w:val="000000" w:themeColor="text1"/>
                <w:sz w:val="18"/>
                <w:szCs w:val="18"/>
                <w:lang w:val="hr-HR"/>
              </w:rPr>
              <w:t>Ukupno</w:t>
            </w:r>
          </w:p>
        </w:tc>
      </w:tr>
      <w:tr w:rsidR="004E2F51" w:rsidRPr="009C411C" w14:paraId="44AA699C" w14:textId="77777777" w:rsidTr="00E032FC">
        <w:trPr>
          <w:cantSplit/>
          <w:trHeight w:val="250"/>
          <w:tblHeader/>
        </w:trPr>
        <w:tc>
          <w:tcPr>
            <w:tcW w:w="2501" w:type="pct"/>
          </w:tcPr>
          <w:p w14:paraId="6738B56B" w14:textId="77777777" w:rsidR="004E2F51" w:rsidRPr="009C411C" w:rsidRDefault="004E2F51" w:rsidP="00E032FC">
            <w:pPr>
              <w:ind w:left="113" w:hanging="113"/>
              <w:rPr>
                <w:rFonts w:ascii="Arial" w:hAnsi="Arial" w:cs="Arial"/>
                <w:color w:val="000000" w:themeColor="text1"/>
                <w:sz w:val="18"/>
                <w:szCs w:val="18"/>
                <w:lang w:val="hr-HR"/>
              </w:rPr>
            </w:pPr>
          </w:p>
        </w:tc>
        <w:tc>
          <w:tcPr>
            <w:tcW w:w="625" w:type="pct"/>
            <w:vAlign w:val="bottom"/>
          </w:tcPr>
          <w:p w14:paraId="0594AC1B" w14:textId="77777777" w:rsidR="004E2F51" w:rsidRPr="009C411C" w:rsidRDefault="004E2F51" w:rsidP="00E032FC">
            <w:pPr>
              <w:pStyle w:val="TH"/>
              <w:jc w:val="right"/>
              <w:rPr>
                <w:rFonts w:cs="Arial"/>
                <w:color w:val="000000" w:themeColor="text1"/>
                <w:sz w:val="18"/>
                <w:szCs w:val="18"/>
                <w:lang w:val="hr-HR"/>
              </w:rPr>
            </w:pPr>
            <w:r w:rsidRPr="009C411C">
              <w:rPr>
                <w:rFonts w:cs="Arial"/>
                <w:color w:val="000000" w:themeColor="text1"/>
                <w:sz w:val="18"/>
                <w:szCs w:val="18"/>
                <w:lang w:val="hr-HR"/>
              </w:rPr>
              <w:t>000 kuna</w:t>
            </w:r>
          </w:p>
        </w:tc>
        <w:tc>
          <w:tcPr>
            <w:tcW w:w="625" w:type="pct"/>
            <w:vAlign w:val="bottom"/>
          </w:tcPr>
          <w:p w14:paraId="339B404E" w14:textId="77777777" w:rsidR="004E2F51" w:rsidRPr="009C411C" w:rsidRDefault="004E2F51" w:rsidP="00E032FC">
            <w:pPr>
              <w:pStyle w:val="TH"/>
              <w:jc w:val="right"/>
              <w:rPr>
                <w:rFonts w:cs="Arial"/>
                <w:color w:val="000000" w:themeColor="text1"/>
                <w:sz w:val="18"/>
                <w:szCs w:val="18"/>
                <w:lang w:val="hr-HR"/>
              </w:rPr>
            </w:pPr>
            <w:r w:rsidRPr="009C411C">
              <w:rPr>
                <w:rFonts w:cs="Arial"/>
                <w:color w:val="000000" w:themeColor="text1"/>
                <w:sz w:val="18"/>
                <w:szCs w:val="18"/>
                <w:lang w:val="hr-HR"/>
              </w:rPr>
              <w:t>000 kuna</w:t>
            </w:r>
          </w:p>
        </w:tc>
        <w:tc>
          <w:tcPr>
            <w:tcW w:w="625" w:type="pct"/>
            <w:vAlign w:val="bottom"/>
          </w:tcPr>
          <w:p w14:paraId="65FEC886" w14:textId="77777777" w:rsidR="004E2F51" w:rsidRPr="009C411C" w:rsidRDefault="004E2F51" w:rsidP="00E032FC">
            <w:pPr>
              <w:pStyle w:val="TH"/>
              <w:jc w:val="right"/>
              <w:rPr>
                <w:rFonts w:cs="Arial"/>
                <w:color w:val="000000" w:themeColor="text1"/>
                <w:sz w:val="18"/>
                <w:szCs w:val="18"/>
                <w:lang w:val="hr-HR"/>
              </w:rPr>
            </w:pPr>
            <w:r w:rsidRPr="009C411C">
              <w:rPr>
                <w:rFonts w:cs="Arial"/>
                <w:color w:val="000000" w:themeColor="text1"/>
                <w:sz w:val="18"/>
                <w:szCs w:val="18"/>
                <w:lang w:val="hr-HR"/>
              </w:rPr>
              <w:t>000 kuna</w:t>
            </w:r>
          </w:p>
        </w:tc>
        <w:tc>
          <w:tcPr>
            <w:tcW w:w="625" w:type="pct"/>
            <w:vAlign w:val="bottom"/>
          </w:tcPr>
          <w:p w14:paraId="7A5FB4DD" w14:textId="77777777" w:rsidR="004E2F51" w:rsidRPr="009C411C" w:rsidRDefault="004E2F51" w:rsidP="00E032FC">
            <w:pPr>
              <w:pStyle w:val="TH"/>
              <w:jc w:val="right"/>
              <w:rPr>
                <w:rFonts w:cs="Arial"/>
                <w:color w:val="000000" w:themeColor="text1"/>
                <w:sz w:val="18"/>
                <w:szCs w:val="18"/>
                <w:lang w:val="hr-HR"/>
              </w:rPr>
            </w:pPr>
            <w:r w:rsidRPr="009C411C">
              <w:rPr>
                <w:rFonts w:cs="Arial"/>
                <w:color w:val="000000" w:themeColor="text1"/>
                <w:sz w:val="18"/>
                <w:szCs w:val="18"/>
                <w:lang w:val="hr-HR"/>
              </w:rPr>
              <w:t>000 kuna</w:t>
            </w:r>
          </w:p>
        </w:tc>
      </w:tr>
      <w:tr w:rsidR="004E2F51" w:rsidRPr="009C411C" w14:paraId="6936AFEA" w14:textId="77777777" w:rsidTr="00E032FC">
        <w:trPr>
          <w:cantSplit/>
          <w:trHeight w:val="250"/>
          <w:tblHeader/>
        </w:trPr>
        <w:tc>
          <w:tcPr>
            <w:tcW w:w="2501" w:type="pct"/>
          </w:tcPr>
          <w:p w14:paraId="58A27218" w14:textId="77777777" w:rsidR="004E2F51" w:rsidRPr="009C411C" w:rsidRDefault="004E2F51" w:rsidP="00E032FC">
            <w:pPr>
              <w:ind w:left="113" w:hanging="113"/>
              <w:rPr>
                <w:rFonts w:ascii="Arial" w:hAnsi="Arial" w:cs="Arial"/>
                <w:color w:val="000000" w:themeColor="text1"/>
                <w:sz w:val="18"/>
                <w:szCs w:val="18"/>
                <w:lang w:val="hr-HR"/>
              </w:rPr>
            </w:pPr>
          </w:p>
        </w:tc>
        <w:tc>
          <w:tcPr>
            <w:tcW w:w="625" w:type="pct"/>
          </w:tcPr>
          <w:p w14:paraId="6AFFD630" w14:textId="77777777" w:rsidR="004E2F51" w:rsidRPr="009C411C" w:rsidRDefault="004E2F51" w:rsidP="00E032FC">
            <w:pPr>
              <w:jc w:val="right"/>
              <w:rPr>
                <w:rFonts w:ascii="Arial" w:hAnsi="Arial" w:cs="Arial"/>
                <w:color w:val="000000" w:themeColor="text1"/>
                <w:sz w:val="18"/>
                <w:szCs w:val="18"/>
                <w:lang w:val="hr-HR"/>
              </w:rPr>
            </w:pPr>
          </w:p>
        </w:tc>
        <w:tc>
          <w:tcPr>
            <w:tcW w:w="625" w:type="pct"/>
          </w:tcPr>
          <w:p w14:paraId="73C8D69C" w14:textId="77777777" w:rsidR="004E2F51" w:rsidRPr="009C411C" w:rsidRDefault="004E2F51" w:rsidP="00E032FC">
            <w:pPr>
              <w:jc w:val="right"/>
              <w:rPr>
                <w:rFonts w:ascii="Arial" w:hAnsi="Arial" w:cs="Arial"/>
                <w:color w:val="000000" w:themeColor="text1"/>
                <w:sz w:val="18"/>
                <w:szCs w:val="18"/>
                <w:lang w:val="hr-HR"/>
              </w:rPr>
            </w:pPr>
          </w:p>
        </w:tc>
        <w:tc>
          <w:tcPr>
            <w:tcW w:w="625" w:type="pct"/>
          </w:tcPr>
          <w:p w14:paraId="7ADE2384" w14:textId="77777777" w:rsidR="004E2F51" w:rsidRPr="009C411C" w:rsidRDefault="004E2F51" w:rsidP="00E032FC">
            <w:pPr>
              <w:jc w:val="right"/>
              <w:rPr>
                <w:rFonts w:ascii="Arial" w:hAnsi="Arial" w:cs="Arial"/>
                <w:color w:val="000000" w:themeColor="text1"/>
                <w:sz w:val="18"/>
                <w:szCs w:val="18"/>
                <w:lang w:val="hr-HR"/>
              </w:rPr>
            </w:pPr>
          </w:p>
        </w:tc>
        <w:tc>
          <w:tcPr>
            <w:tcW w:w="625" w:type="pct"/>
          </w:tcPr>
          <w:p w14:paraId="3705811B" w14:textId="77777777" w:rsidR="004E2F51" w:rsidRPr="009C411C" w:rsidRDefault="004E2F51" w:rsidP="00E032FC">
            <w:pPr>
              <w:jc w:val="center"/>
              <w:rPr>
                <w:rFonts w:ascii="Arial" w:hAnsi="Arial" w:cs="Arial"/>
                <w:color w:val="000000" w:themeColor="text1"/>
                <w:sz w:val="18"/>
                <w:szCs w:val="18"/>
                <w:lang w:val="hr-HR"/>
              </w:rPr>
            </w:pPr>
          </w:p>
        </w:tc>
      </w:tr>
      <w:tr w:rsidR="004E2F51" w:rsidRPr="009C411C" w14:paraId="2999940C" w14:textId="77777777" w:rsidTr="00E032FC">
        <w:trPr>
          <w:cantSplit/>
          <w:trHeight w:val="92"/>
          <w:tblHeader/>
        </w:trPr>
        <w:tc>
          <w:tcPr>
            <w:tcW w:w="2501" w:type="pct"/>
          </w:tcPr>
          <w:p w14:paraId="72078C4E" w14:textId="77777777" w:rsidR="004E2F51" w:rsidRPr="009C411C" w:rsidRDefault="004E2F51" w:rsidP="00E032FC">
            <w:pPr>
              <w:pStyle w:val="TT"/>
              <w:rPr>
                <w:rFonts w:cs="Arial"/>
                <w:b/>
                <w:bCs/>
                <w:color w:val="000000" w:themeColor="text1"/>
                <w:sz w:val="18"/>
                <w:szCs w:val="18"/>
                <w:lang w:val="hr-HR"/>
              </w:rPr>
            </w:pPr>
            <w:r w:rsidRPr="009C411C">
              <w:rPr>
                <w:rFonts w:cs="Arial"/>
                <w:b/>
                <w:bCs/>
                <w:color w:val="000000" w:themeColor="text1"/>
                <w:sz w:val="18"/>
                <w:szCs w:val="18"/>
                <w:lang w:val="hr-HR"/>
              </w:rPr>
              <w:t>Imovina</w:t>
            </w:r>
          </w:p>
        </w:tc>
        <w:tc>
          <w:tcPr>
            <w:tcW w:w="625" w:type="pct"/>
          </w:tcPr>
          <w:p w14:paraId="269E868C" w14:textId="77777777" w:rsidR="004E2F51" w:rsidRPr="009C411C" w:rsidRDefault="004E2F51" w:rsidP="00E032FC">
            <w:pPr>
              <w:jc w:val="right"/>
              <w:rPr>
                <w:rFonts w:ascii="Arial" w:hAnsi="Arial" w:cs="Arial"/>
                <w:color w:val="000000" w:themeColor="text1"/>
                <w:sz w:val="18"/>
                <w:szCs w:val="18"/>
                <w:lang w:val="hr-HR"/>
              </w:rPr>
            </w:pPr>
          </w:p>
        </w:tc>
        <w:tc>
          <w:tcPr>
            <w:tcW w:w="625" w:type="pct"/>
          </w:tcPr>
          <w:p w14:paraId="2A9C663A" w14:textId="77777777" w:rsidR="004E2F51" w:rsidRPr="009C411C" w:rsidRDefault="004E2F51" w:rsidP="00E032FC">
            <w:pPr>
              <w:jc w:val="right"/>
              <w:rPr>
                <w:rFonts w:ascii="Arial" w:hAnsi="Arial" w:cs="Arial"/>
                <w:color w:val="000000" w:themeColor="text1"/>
                <w:sz w:val="18"/>
                <w:szCs w:val="18"/>
                <w:lang w:val="hr-HR"/>
              </w:rPr>
            </w:pPr>
          </w:p>
        </w:tc>
        <w:tc>
          <w:tcPr>
            <w:tcW w:w="625" w:type="pct"/>
          </w:tcPr>
          <w:p w14:paraId="4D0A8FD8" w14:textId="77777777" w:rsidR="004E2F51" w:rsidRPr="009C411C" w:rsidRDefault="004E2F51" w:rsidP="00E032FC">
            <w:pPr>
              <w:jc w:val="right"/>
              <w:rPr>
                <w:rFonts w:ascii="Arial" w:hAnsi="Arial" w:cs="Arial"/>
                <w:color w:val="000000" w:themeColor="text1"/>
                <w:sz w:val="18"/>
                <w:szCs w:val="18"/>
                <w:lang w:val="hr-HR"/>
              </w:rPr>
            </w:pPr>
          </w:p>
        </w:tc>
        <w:tc>
          <w:tcPr>
            <w:tcW w:w="625" w:type="pct"/>
          </w:tcPr>
          <w:p w14:paraId="293D23F7" w14:textId="77777777" w:rsidR="004E2F51" w:rsidRPr="009C411C" w:rsidRDefault="004E2F51" w:rsidP="00E032FC">
            <w:pPr>
              <w:jc w:val="center"/>
              <w:rPr>
                <w:rFonts w:ascii="Arial" w:hAnsi="Arial" w:cs="Arial"/>
                <w:color w:val="000000" w:themeColor="text1"/>
                <w:sz w:val="18"/>
                <w:szCs w:val="18"/>
                <w:lang w:val="hr-HR"/>
              </w:rPr>
            </w:pPr>
          </w:p>
        </w:tc>
      </w:tr>
      <w:tr w:rsidR="004E2F51" w:rsidRPr="009C411C" w14:paraId="2ED1E96C" w14:textId="77777777" w:rsidTr="00E032FC">
        <w:trPr>
          <w:cantSplit/>
          <w:trHeight w:val="250"/>
          <w:tblHeader/>
        </w:trPr>
        <w:tc>
          <w:tcPr>
            <w:tcW w:w="2501" w:type="pct"/>
            <w:vAlign w:val="bottom"/>
          </w:tcPr>
          <w:p w14:paraId="03D1579F" w14:textId="77777777" w:rsidR="004E2F51" w:rsidRPr="009C411C" w:rsidRDefault="004E2F51" w:rsidP="00E032FC">
            <w:pPr>
              <w:pStyle w:val="TT"/>
              <w:rPr>
                <w:rFonts w:cs="Arial"/>
                <w:color w:val="000000" w:themeColor="text1"/>
                <w:sz w:val="18"/>
                <w:szCs w:val="18"/>
                <w:lang w:val="hr-HR"/>
              </w:rPr>
            </w:pPr>
            <w:r w:rsidRPr="009C411C">
              <w:rPr>
                <w:rFonts w:cs="Arial"/>
                <w:color w:val="000000" w:themeColor="text1"/>
                <w:sz w:val="18"/>
                <w:szCs w:val="18"/>
                <w:lang w:val="hr-HR"/>
              </w:rPr>
              <w:t>Novčana sredstva i računi kod banaka</w:t>
            </w:r>
          </w:p>
        </w:tc>
        <w:tc>
          <w:tcPr>
            <w:tcW w:w="625" w:type="pct"/>
            <w:tcBorders>
              <w:top w:val="nil"/>
              <w:left w:val="nil"/>
              <w:bottom w:val="nil"/>
              <w:right w:val="nil"/>
            </w:tcBorders>
            <w:shd w:val="clear" w:color="auto" w:fill="auto"/>
            <w:vAlign w:val="bottom"/>
          </w:tcPr>
          <w:p w14:paraId="111B1846"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 xml:space="preserve"> 1.877.717 </w:t>
            </w:r>
          </w:p>
        </w:tc>
        <w:tc>
          <w:tcPr>
            <w:tcW w:w="625" w:type="pct"/>
            <w:tcBorders>
              <w:top w:val="nil"/>
              <w:left w:val="nil"/>
              <w:bottom w:val="nil"/>
              <w:right w:val="nil"/>
            </w:tcBorders>
            <w:shd w:val="clear" w:color="auto" w:fill="auto"/>
            <w:vAlign w:val="bottom"/>
          </w:tcPr>
          <w:p w14:paraId="577F0108"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 xml:space="preserve"> 25.319 </w:t>
            </w:r>
          </w:p>
        </w:tc>
        <w:tc>
          <w:tcPr>
            <w:tcW w:w="625" w:type="pct"/>
            <w:tcBorders>
              <w:top w:val="nil"/>
              <w:left w:val="nil"/>
              <w:bottom w:val="nil"/>
              <w:right w:val="nil"/>
            </w:tcBorders>
            <w:shd w:val="clear" w:color="auto" w:fill="auto"/>
            <w:vAlign w:val="bottom"/>
          </w:tcPr>
          <w:p w14:paraId="3E577450"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 xml:space="preserve"> 55.583 </w:t>
            </w:r>
          </w:p>
        </w:tc>
        <w:tc>
          <w:tcPr>
            <w:tcW w:w="625" w:type="pct"/>
            <w:tcBorders>
              <w:top w:val="nil"/>
              <w:left w:val="nil"/>
              <w:bottom w:val="nil"/>
              <w:right w:val="nil"/>
            </w:tcBorders>
            <w:shd w:val="clear" w:color="auto" w:fill="auto"/>
            <w:vAlign w:val="bottom"/>
          </w:tcPr>
          <w:p w14:paraId="3C15E3D3"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 xml:space="preserve"> 1.958.619 </w:t>
            </w:r>
          </w:p>
        </w:tc>
      </w:tr>
      <w:tr w:rsidR="004E2F51" w:rsidRPr="009C411C" w14:paraId="33CEFF0A" w14:textId="77777777" w:rsidTr="00E032FC">
        <w:trPr>
          <w:cantSplit/>
          <w:trHeight w:val="250"/>
          <w:tblHeader/>
        </w:trPr>
        <w:tc>
          <w:tcPr>
            <w:tcW w:w="2501" w:type="pct"/>
            <w:vAlign w:val="bottom"/>
          </w:tcPr>
          <w:p w14:paraId="45F4B0EC" w14:textId="77777777" w:rsidR="004E2F51" w:rsidRPr="009C411C" w:rsidRDefault="004E2F51" w:rsidP="00E032FC">
            <w:pPr>
              <w:pStyle w:val="TT"/>
              <w:rPr>
                <w:rFonts w:cs="Arial"/>
                <w:color w:val="000000" w:themeColor="text1"/>
                <w:sz w:val="18"/>
                <w:szCs w:val="18"/>
                <w:lang w:val="hr-HR"/>
              </w:rPr>
            </w:pPr>
            <w:r w:rsidRPr="009C411C">
              <w:rPr>
                <w:rFonts w:cs="Arial"/>
                <w:color w:val="000000" w:themeColor="text1"/>
                <w:sz w:val="18"/>
                <w:szCs w:val="18"/>
                <w:lang w:val="hr-HR"/>
              </w:rPr>
              <w:t>Depoziti kod drugih banaka</w:t>
            </w:r>
          </w:p>
        </w:tc>
        <w:tc>
          <w:tcPr>
            <w:tcW w:w="625" w:type="pct"/>
            <w:tcBorders>
              <w:top w:val="nil"/>
              <w:left w:val="nil"/>
              <w:bottom w:val="nil"/>
              <w:right w:val="nil"/>
            </w:tcBorders>
            <w:shd w:val="clear" w:color="auto" w:fill="auto"/>
            <w:vAlign w:val="bottom"/>
          </w:tcPr>
          <w:p w14:paraId="57341BA9"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 xml:space="preserve"> -   </w:t>
            </w:r>
          </w:p>
        </w:tc>
        <w:tc>
          <w:tcPr>
            <w:tcW w:w="625" w:type="pct"/>
            <w:tcBorders>
              <w:top w:val="nil"/>
              <w:left w:val="nil"/>
              <w:bottom w:val="nil"/>
              <w:right w:val="nil"/>
            </w:tcBorders>
            <w:shd w:val="clear" w:color="auto" w:fill="auto"/>
            <w:vAlign w:val="bottom"/>
          </w:tcPr>
          <w:p w14:paraId="0515F8A4"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 xml:space="preserve"> 7.500 </w:t>
            </w:r>
          </w:p>
        </w:tc>
        <w:tc>
          <w:tcPr>
            <w:tcW w:w="625" w:type="pct"/>
            <w:tcBorders>
              <w:top w:val="nil"/>
              <w:left w:val="nil"/>
              <w:bottom w:val="nil"/>
              <w:right w:val="nil"/>
            </w:tcBorders>
            <w:shd w:val="clear" w:color="auto" w:fill="auto"/>
            <w:vAlign w:val="bottom"/>
          </w:tcPr>
          <w:p w14:paraId="36F061AD"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 xml:space="preserve"> -   </w:t>
            </w:r>
          </w:p>
        </w:tc>
        <w:tc>
          <w:tcPr>
            <w:tcW w:w="625" w:type="pct"/>
            <w:tcBorders>
              <w:top w:val="nil"/>
              <w:left w:val="nil"/>
              <w:bottom w:val="nil"/>
              <w:right w:val="nil"/>
            </w:tcBorders>
            <w:shd w:val="clear" w:color="auto" w:fill="auto"/>
            <w:vAlign w:val="bottom"/>
          </w:tcPr>
          <w:p w14:paraId="3EE0093B"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 xml:space="preserve"> 7.500 </w:t>
            </w:r>
          </w:p>
        </w:tc>
      </w:tr>
      <w:tr w:rsidR="004E2F51" w:rsidRPr="009C411C" w14:paraId="5DFBC727" w14:textId="77777777" w:rsidTr="00E032FC">
        <w:trPr>
          <w:cantSplit/>
          <w:trHeight w:val="250"/>
          <w:tblHeader/>
        </w:trPr>
        <w:tc>
          <w:tcPr>
            <w:tcW w:w="2501" w:type="pct"/>
            <w:vAlign w:val="bottom"/>
          </w:tcPr>
          <w:p w14:paraId="271AFDF9" w14:textId="77777777" w:rsidR="004E2F51" w:rsidRPr="009C411C" w:rsidRDefault="004E2F51" w:rsidP="00E032FC">
            <w:pPr>
              <w:pStyle w:val="TT"/>
              <w:rPr>
                <w:rFonts w:cs="Arial"/>
                <w:color w:val="000000" w:themeColor="text1"/>
                <w:sz w:val="18"/>
                <w:szCs w:val="18"/>
                <w:lang w:val="hr-HR"/>
              </w:rPr>
            </w:pPr>
            <w:r w:rsidRPr="009C411C">
              <w:rPr>
                <w:rFonts w:cs="Arial"/>
                <w:color w:val="000000" w:themeColor="text1"/>
                <w:sz w:val="18"/>
                <w:szCs w:val="18"/>
                <w:lang w:val="hr-HR"/>
              </w:rPr>
              <w:t>Krediti financijskim institucijama</w:t>
            </w:r>
          </w:p>
        </w:tc>
        <w:tc>
          <w:tcPr>
            <w:tcW w:w="625" w:type="pct"/>
            <w:tcBorders>
              <w:top w:val="nil"/>
              <w:left w:val="nil"/>
              <w:bottom w:val="nil"/>
              <w:right w:val="nil"/>
            </w:tcBorders>
            <w:shd w:val="clear" w:color="auto" w:fill="auto"/>
            <w:vAlign w:val="bottom"/>
          </w:tcPr>
          <w:p w14:paraId="518DFD0B"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 xml:space="preserve"> 7.050.143 </w:t>
            </w:r>
          </w:p>
        </w:tc>
        <w:tc>
          <w:tcPr>
            <w:tcW w:w="625" w:type="pct"/>
            <w:tcBorders>
              <w:top w:val="nil"/>
              <w:left w:val="nil"/>
              <w:bottom w:val="nil"/>
              <w:right w:val="nil"/>
            </w:tcBorders>
            <w:shd w:val="clear" w:color="auto" w:fill="auto"/>
            <w:vAlign w:val="bottom"/>
          </w:tcPr>
          <w:p w14:paraId="4F3162B1"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 xml:space="preserve"> -   </w:t>
            </w:r>
          </w:p>
        </w:tc>
        <w:tc>
          <w:tcPr>
            <w:tcW w:w="625" w:type="pct"/>
            <w:tcBorders>
              <w:top w:val="nil"/>
              <w:left w:val="nil"/>
              <w:bottom w:val="nil"/>
              <w:right w:val="nil"/>
            </w:tcBorders>
            <w:shd w:val="clear" w:color="auto" w:fill="auto"/>
            <w:vAlign w:val="bottom"/>
          </w:tcPr>
          <w:p w14:paraId="34A3F605"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 xml:space="preserve"> -   </w:t>
            </w:r>
          </w:p>
        </w:tc>
        <w:tc>
          <w:tcPr>
            <w:tcW w:w="625" w:type="pct"/>
            <w:tcBorders>
              <w:top w:val="nil"/>
              <w:left w:val="nil"/>
              <w:bottom w:val="nil"/>
              <w:right w:val="nil"/>
            </w:tcBorders>
            <w:shd w:val="clear" w:color="auto" w:fill="auto"/>
            <w:vAlign w:val="bottom"/>
          </w:tcPr>
          <w:p w14:paraId="1121EFDE"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 xml:space="preserve"> 7.050.143 </w:t>
            </w:r>
          </w:p>
        </w:tc>
      </w:tr>
      <w:tr w:rsidR="004E2F51" w:rsidRPr="009C411C" w14:paraId="7AC8162E" w14:textId="77777777" w:rsidTr="00E032FC">
        <w:trPr>
          <w:cantSplit/>
          <w:trHeight w:val="250"/>
          <w:tblHeader/>
        </w:trPr>
        <w:tc>
          <w:tcPr>
            <w:tcW w:w="2501" w:type="pct"/>
            <w:vAlign w:val="bottom"/>
          </w:tcPr>
          <w:p w14:paraId="1F140327" w14:textId="77777777" w:rsidR="004E2F51" w:rsidRPr="009C411C" w:rsidRDefault="004E2F51" w:rsidP="00E032FC">
            <w:pPr>
              <w:pStyle w:val="TT"/>
              <w:rPr>
                <w:rFonts w:cs="Arial"/>
                <w:color w:val="000000" w:themeColor="text1"/>
                <w:sz w:val="18"/>
                <w:szCs w:val="18"/>
                <w:lang w:val="hr-HR"/>
              </w:rPr>
            </w:pPr>
            <w:r w:rsidRPr="009C411C">
              <w:rPr>
                <w:rFonts w:cs="Arial"/>
                <w:color w:val="000000" w:themeColor="text1"/>
                <w:sz w:val="18"/>
                <w:szCs w:val="18"/>
                <w:lang w:val="hr-HR"/>
              </w:rPr>
              <w:t>Krediti ostalim korisnicima</w:t>
            </w:r>
          </w:p>
        </w:tc>
        <w:tc>
          <w:tcPr>
            <w:tcW w:w="625" w:type="pct"/>
            <w:tcBorders>
              <w:top w:val="nil"/>
              <w:left w:val="nil"/>
              <w:bottom w:val="nil"/>
              <w:right w:val="nil"/>
            </w:tcBorders>
            <w:shd w:val="clear" w:color="auto" w:fill="auto"/>
            <w:vAlign w:val="bottom"/>
          </w:tcPr>
          <w:p w14:paraId="5DC9BCCB"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 xml:space="preserve"> 15.681.740 </w:t>
            </w:r>
          </w:p>
        </w:tc>
        <w:tc>
          <w:tcPr>
            <w:tcW w:w="625" w:type="pct"/>
            <w:tcBorders>
              <w:top w:val="nil"/>
              <w:left w:val="nil"/>
              <w:bottom w:val="nil"/>
              <w:right w:val="nil"/>
            </w:tcBorders>
            <w:shd w:val="clear" w:color="auto" w:fill="auto"/>
            <w:vAlign w:val="bottom"/>
          </w:tcPr>
          <w:p w14:paraId="1F5C987B"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 xml:space="preserve"> -   </w:t>
            </w:r>
          </w:p>
        </w:tc>
        <w:tc>
          <w:tcPr>
            <w:tcW w:w="625" w:type="pct"/>
            <w:tcBorders>
              <w:top w:val="nil"/>
              <w:left w:val="nil"/>
              <w:bottom w:val="nil"/>
              <w:right w:val="nil"/>
            </w:tcBorders>
            <w:shd w:val="clear" w:color="auto" w:fill="auto"/>
            <w:vAlign w:val="bottom"/>
          </w:tcPr>
          <w:p w14:paraId="3E526D44"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 xml:space="preserve"> 282.636 </w:t>
            </w:r>
          </w:p>
        </w:tc>
        <w:tc>
          <w:tcPr>
            <w:tcW w:w="625" w:type="pct"/>
            <w:tcBorders>
              <w:top w:val="nil"/>
              <w:left w:val="nil"/>
              <w:bottom w:val="nil"/>
              <w:right w:val="nil"/>
            </w:tcBorders>
            <w:shd w:val="clear" w:color="auto" w:fill="auto"/>
            <w:vAlign w:val="bottom"/>
          </w:tcPr>
          <w:p w14:paraId="7B36A796"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 xml:space="preserve"> 15.964.376 </w:t>
            </w:r>
          </w:p>
        </w:tc>
      </w:tr>
      <w:tr w:rsidR="004E2F51" w:rsidRPr="009C411C" w14:paraId="12DFA1CF" w14:textId="77777777" w:rsidTr="00E032FC">
        <w:trPr>
          <w:cantSplit/>
          <w:trHeight w:val="250"/>
          <w:tblHeader/>
        </w:trPr>
        <w:tc>
          <w:tcPr>
            <w:tcW w:w="2501" w:type="pct"/>
            <w:vAlign w:val="bottom"/>
          </w:tcPr>
          <w:p w14:paraId="6907EA1B" w14:textId="77777777" w:rsidR="004E2F51" w:rsidRPr="009C411C" w:rsidRDefault="004E2F51" w:rsidP="00E032FC">
            <w:pPr>
              <w:pStyle w:val="TT"/>
              <w:rPr>
                <w:rFonts w:cs="Arial"/>
                <w:color w:val="000000" w:themeColor="text1"/>
                <w:sz w:val="18"/>
                <w:szCs w:val="18"/>
                <w:lang w:val="hr-HR"/>
              </w:rPr>
            </w:pPr>
            <w:r w:rsidRPr="009C411C">
              <w:rPr>
                <w:rFonts w:cs="Arial"/>
                <w:color w:val="000000" w:themeColor="text1"/>
                <w:sz w:val="18"/>
                <w:szCs w:val="18"/>
                <w:lang w:val="hr-HR"/>
              </w:rPr>
              <w:t>Financijska imovina po fer vrijednosti kroz dobit ili gubitak</w:t>
            </w:r>
          </w:p>
        </w:tc>
        <w:tc>
          <w:tcPr>
            <w:tcW w:w="625" w:type="pct"/>
            <w:tcBorders>
              <w:top w:val="nil"/>
              <w:left w:val="nil"/>
              <w:bottom w:val="nil"/>
              <w:right w:val="nil"/>
            </w:tcBorders>
            <w:shd w:val="clear" w:color="auto" w:fill="auto"/>
            <w:vAlign w:val="bottom"/>
          </w:tcPr>
          <w:p w14:paraId="6FACF056"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16.375</w:t>
            </w:r>
          </w:p>
        </w:tc>
        <w:tc>
          <w:tcPr>
            <w:tcW w:w="625" w:type="pct"/>
            <w:tcBorders>
              <w:top w:val="nil"/>
              <w:left w:val="nil"/>
              <w:bottom w:val="nil"/>
              <w:right w:val="nil"/>
            </w:tcBorders>
            <w:shd w:val="clear" w:color="auto" w:fill="auto"/>
            <w:vAlign w:val="bottom"/>
          </w:tcPr>
          <w:p w14:paraId="588D0DF9"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w:t>
            </w:r>
          </w:p>
        </w:tc>
        <w:tc>
          <w:tcPr>
            <w:tcW w:w="625" w:type="pct"/>
            <w:tcBorders>
              <w:top w:val="nil"/>
              <w:left w:val="nil"/>
              <w:bottom w:val="nil"/>
              <w:right w:val="nil"/>
            </w:tcBorders>
            <w:shd w:val="clear" w:color="auto" w:fill="auto"/>
            <w:vAlign w:val="bottom"/>
          </w:tcPr>
          <w:p w14:paraId="365DF7AD"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w:t>
            </w:r>
          </w:p>
        </w:tc>
        <w:tc>
          <w:tcPr>
            <w:tcW w:w="625" w:type="pct"/>
            <w:tcBorders>
              <w:top w:val="nil"/>
              <w:left w:val="nil"/>
              <w:bottom w:val="nil"/>
              <w:right w:val="nil"/>
            </w:tcBorders>
            <w:shd w:val="clear" w:color="auto" w:fill="auto"/>
            <w:vAlign w:val="bottom"/>
          </w:tcPr>
          <w:p w14:paraId="4DF3891B"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16.375</w:t>
            </w:r>
          </w:p>
        </w:tc>
      </w:tr>
      <w:tr w:rsidR="004E2F51" w:rsidRPr="009C411C" w14:paraId="72FF003A" w14:textId="77777777" w:rsidTr="00E032FC">
        <w:trPr>
          <w:cantSplit/>
          <w:trHeight w:val="250"/>
          <w:tblHeader/>
        </w:trPr>
        <w:tc>
          <w:tcPr>
            <w:tcW w:w="2501" w:type="pct"/>
          </w:tcPr>
          <w:p w14:paraId="284F433D" w14:textId="77777777" w:rsidR="004E2F51" w:rsidRPr="009C411C" w:rsidRDefault="004E2F51" w:rsidP="00E032FC">
            <w:pPr>
              <w:pStyle w:val="TT"/>
              <w:rPr>
                <w:rFonts w:cs="Arial"/>
                <w:color w:val="000000" w:themeColor="text1"/>
                <w:sz w:val="18"/>
                <w:szCs w:val="18"/>
                <w:lang w:val="hr-HR"/>
              </w:rPr>
            </w:pPr>
            <w:r w:rsidRPr="009C411C">
              <w:rPr>
                <w:rFonts w:cs="Arial"/>
                <w:color w:val="000000" w:themeColor="text1"/>
                <w:sz w:val="18"/>
                <w:szCs w:val="18"/>
                <w:lang w:val="hr-HR"/>
              </w:rPr>
              <w:t xml:space="preserve">Financijska imovina po fer vrijednosti kroz ostalu sveobuhvatnu dobit        </w:t>
            </w:r>
          </w:p>
        </w:tc>
        <w:tc>
          <w:tcPr>
            <w:tcW w:w="625" w:type="pct"/>
            <w:tcBorders>
              <w:top w:val="nil"/>
              <w:left w:val="nil"/>
              <w:bottom w:val="nil"/>
              <w:right w:val="nil"/>
            </w:tcBorders>
            <w:shd w:val="clear" w:color="auto" w:fill="auto"/>
            <w:vAlign w:val="bottom"/>
          </w:tcPr>
          <w:p w14:paraId="03D3481E"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2.871.219</w:t>
            </w:r>
          </w:p>
        </w:tc>
        <w:tc>
          <w:tcPr>
            <w:tcW w:w="625" w:type="pct"/>
            <w:tcBorders>
              <w:top w:val="nil"/>
              <w:left w:val="nil"/>
              <w:bottom w:val="nil"/>
              <w:right w:val="nil"/>
            </w:tcBorders>
            <w:shd w:val="clear" w:color="auto" w:fill="auto"/>
            <w:vAlign w:val="bottom"/>
          </w:tcPr>
          <w:p w14:paraId="5B8248EA"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1.469</w:t>
            </w:r>
          </w:p>
        </w:tc>
        <w:tc>
          <w:tcPr>
            <w:tcW w:w="625" w:type="pct"/>
            <w:tcBorders>
              <w:top w:val="nil"/>
              <w:left w:val="nil"/>
              <w:bottom w:val="nil"/>
              <w:right w:val="nil"/>
            </w:tcBorders>
            <w:shd w:val="clear" w:color="auto" w:fill="auto"/>
            <w:vAlign w:val="bottom"/>
          </w:tcPr>
          <w:p w14:paraId="303424AE"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w:t>
            </w:r>
          </w:p>
        </w:tc>
        <w:tc>
          <w:tcPr>
            <w:tcW w:w="625" w:type="pct"/>
            <w:tcBorders>
              <w:top w:val="nil"/>
              <w:left w:val="nil"/>
              <w:bottom w:val="nil"/>
              <w:right w:val="nil"/>
            </w:tcBorders>
            <w:shd w:val="clear" w:color="auto" w:fill="auto"/>
            <w:vAlign w:val="bottom"/>
          </w:tcPr>
          <w:p w14:paraId="5B7001B9"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2.872.688</w:t>
            </w:r>
          </w:p>
        </w:tc>
      </w:tr>
      <w:tr w:rsidR="004E2F51" w:rsidRPr="009C411C" w14:paraId="36C4E964" w14:textId="77777777" w:rsidTr="00E032FC">
        <w:trPr>
          <w:cantSplit/>
          <w:trHeight w:val="250"/>
          <w:tblHeader/>
        </w:trPr>
        <w:tc>
          <w:tcPr>
            <w:tcW w:w="2501" w:type="pct"/>
            <w:vAlign w:val="bottom"/>
          </w:tcPr>
          <w:p w14:paraId="3BB8B219" w14:textId="77777777" w:rsidR="004E2F51" w:rsidRPr="009C411C" w:rsidRDefault="004E2F51" w:rsidP="00E032FC">
            <w:pPr>
              <w:pStyle w:val="TT"/>
              <w:rPr>
                <w:rFonts w:cs="Arial"/>
                <w:color w:val="000000" w:themeColor="text1"/>
                <w:sz w:val="18"/>
                <w:szCs w:val="18"/>
                <w:lang w:val="hr-HR"/>
              </w:rPr>
            </w:pPr>
            <w:r w:rsidRPr="009C411C">
              <w:rPr>
                <w:rFonts w:cs="Arial"/>
                <w:color w:val="000000" w:themeColor="text1"/>
                <w:sz w:val="18"/>
                <w:szCs w:val="18"/>
                <w:lang w:val="hr-HR"/>
              </w:rPr>
              <w:t>Ostala imovina</w:t>
            </w:r>
          </w:p>
        </w:tc>
        <w:tc>
          <w:tcPr>
            <w:tcW w:w="625" w:type="pct"/>
            <w:tcBorders>
              <w:top w:val="nil"/>
              <w:left w:val="nil"/>
              <w:bottom w:val="nil"/>
              <w:right w:val="nil"/>
            </w:tcBorders>
            <w:shd w:val="clear" w:color="auto" w:fill="auto"/>
            <w:vAlign w:val="bottom"/>
          </w:tcPr>
          <w:p w14:paraId="37953AD4"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4.699</w:t>
            </w:r>
          </w:p>
        </w:tc>
        <w:tc>
          <w:tcPr>
            <w:tcW w:w="625" w:type="pct"/>
            <w:tcBorders>
              <w:top w:val="nil"/>
              <w:left w:val="nil"/>
              <w:bottom w:val="nil"/>
              <w:right w:val="nil"/>
            </w:tcBorders>
            <w:shd w:val="clear" w:color="auto" w:fill="auto"/>
            <w:vAlign w:val="bottom"/>
          </w:tcPr>
          <w:p w14:paraId="72FEB75F"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w:t>
            </w:r>
          </w:p>
        </w:tc>
        <w:tc>
          <w:tcPr>
            <w:tcW w:w="625" w:type="pct"/>
            <w:tcBorders>
              <w:top w:val="nil"/>
              <w:left w:val="nil"/>
              <w:bottom w:val="nil"/>
              <w:right w:val="nil"/>
            </w:tcBorders>
            <w:shd w:val="clear" w:color="auto" w:fill="auto"/>
            <w:vAlign w:val="bottom"/>
          </w:tcPr>
          <w:p w14:paraId="30CDA7FB"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w:t>
            </w:r>
          </w:p>
        </w:tc>
        <w:tc>
          <w:tcPr>
            <w:tcW w:w="625" w:type="pct"/>
            <w:tcBorders>
              <w:top w:val="nil"/>
              <w:left w:val="nil"/>
              <w:bottom w:val="nil"/>
              <w:right w:val="nil"/>
            </w:tcBorders>
            <w:shd w:val="clear" w:color="auto" w:fill="auto"/>
            <w:vAlign w:val="bottom"/>
          </w:tcPr>
          <w:p w14:paraId="5CB21462"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4.699</w:t>
            </w:r>
          </w:p>
        </w:tc>
      </w:tr>
      <w:tr w:rsidR="004E2F51" w:rsidRPr="009C411C" w14:paraId="08E7E1E6" w14:textId="77777777" w:rsidTr="00E032FC">
        <w:trPr>
          <w:cantSplit/>
          <w:trHeight w:hRule="exact" w:val="391"/>
          <w:tblHeader/>
        </w:trPr>
        <w:tc>
          <w:tcPr>
            <w:tcW w:w="2501" w:type="pct"/>
            <w:vAlign w:val="bottom"/>
          </w:tcPr>
          <w:p w14:paraId="3B3A697C" w14:textId="77777777" w:rsidR="004E2F51" w:rsidRPr="009C411C" w:rsidRDefault="004E2F51" w:rsidP="00E032FC">
            <w:pPr>
              <w:pStyle w:val="TT"/>
              <w:rPr>
                <w:rFonts w:cs="Arial"/>
                <w:b/>
                <w:bCs/>
                <w:color w:val="000000" w:themeColor="text1"/>
                <w:sz w:val="18"/>
                <w:szCs w:val="18"/>
                <w:lang w:val="hr-HR"/>
              </w:rPr>
            </w:pPr>
            <w:r w:rsidRPr="009C411C">
              <w:rPr>
                <w:rFonts w:cs="Arial"/>
                <w:b/>
                <w:bCs/>
                <w:color w:val="000000" w:themeColor="text1"/>
                <w:sz w:val="18"/>
                <w:szCs w:val="18"/>
                <w:lang w:val="hr-HR"/>
              </w:rPr>
              <w:t xml:space="preserve">Ukupno </w:t>
            </w:r>
          </w:p>
        </w:tc>
        <w:tc>
          <w:tcPr>
            <w:tcW w:w="625" w:type="pct"/>
            <w:tcBorders>
              <w:top w:val="single" w:sz="8" w:space="0" w:color="auto"/>
              <w:left w:val="nil"/>
              <w:bottom w:val="single" w:sz="8" w:space="0" w:color="auto"/>
              <w:right w:val="nil"/>
            </w:tcBorders>
            <w:shd w:val="clear" w:color="auto" w:fill="auto"/>
            <w:vAlign w:val="bottom"/>
          </w:tcPr>
          <w:p w14:paraId="4AED90D0"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27.501.893</w:t>
            </w:r>
          </w:p>
        </w:tc>
        <w:tc>
          <w:tcPr>
            <w:tcW w:w="625" w:type="pct"/>
            <w:tcBorders>
              <w:top w:val="single" w:sz="8" w:space="0" w:color="auto"/>
              <w:left w:val="nil"/>
              <w:bottom w:val="single" w:sz="8" w:space="0" w:color="auto"/>
              <w:right w:val="nil"/>
            </w:tcBorders>
            <w:shd w:val="clear" w:color="auto" w:fill="auto"/>
            <w:vAlign w:val="bottom"/>
          </w:tcPr>
          <w:p w14:paraId="16D96271"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34.288</w:t>
            </w:r>
          </w:p>
        </w:tc>
        <w:tc>
          <w:tcPr>
            <w:tcW w:w="625" w:type="pct"/>
            <w:tcBorders>
              <w:top w:val="single" w:sz="8" w:space="0" w:color="auto"/>
              <w:left w:val="nil"/>
              <w:bottom w:val="single" w:sz="8" w:space="0" w:color="auto"/>
              <w:right w:val="nil"/>
            </w:tcBorders>
            <w:shd w:val="clear" w:color="auto" w:fill="auto"/>
            <w:vAlign w:val="bottom"/>
          </w:tcPr>
          <w:p w14:paraId="2CA24B97"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338.219</w:t>
            </w:r>
          </w:p>
        </w:tc>
        <w:tc>
          <w:tcPr>
            <w:tcW w:w="625" w:type="pct"/>
            <w:tcBorders>
              <w:top w:val="single" w:sz="8" w:space="0" w:color="auto"/>
              <w:left w:val="nil"/>
              <w:bottom w:val="single" w:sz="8" w:space="0" w:color="auto"/>
              <w:right w:val="nil"/>
            </w:tcBorders>
            <w:shd w:val="clear" w:color="auto" w:fill="auto"/>
            <w:vAlign w:val="bottom"/>
          </w:tcPr>
          <w:p w14:paraId="693A9EB8"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27.874.400</w:t>
            </w:r>
          </w:p>
        </w:tc>
      </w:tr>
      <w:tr w:rsidR="004E2F51" w:rsidRPr="009C411C" w14:paraId="68042AB1" w14:textId="77777777" w:rsidTr="00E032FC">
        <w:tblPrEx>
          <w:tblCellMar>
            <w:left w:w="31" w:type="dxa"/>
            <w:right w:w="31" w:type="dxa"/>
          </w:tblCellMar>
        </w:tblPrEx>
        <w:trPr>
          <w:cantSplit/>
          <w:trHeight w:val="250"/>
          <w:tblHeader/>
        </w:trPr>
        <w:tc>
          <w:tcPr>
            <w:tcW w:w="2501" w:type="pct"/>
            <w:vAlign w:val="bottom"/>
          </w:tcPr>
          <w:p w14:paraId="42D1DAFE" w14:textId="77777777" w:rsidR="004E2F51" w:rsidRPr="009C411C" w:rsidRDefault="004E2F51" w:rsidP="00E032FC">
            <w:pPr>
              <w:pStyle w:val="TT"/>
              <w:rPr>
                <w:rFonts w:cs="Arial"/>
                <w:b/>
                <w:bCs/>
                <w:color w:val="000000" w:themeColor="text1"/>
                <w:sz w:val="18"/>
                <w:szCs w:val="18"/>
                <w:lang w:val="hr-HR"/>
              </w:rPr>
            </w:pPr>
          </w:p>
        </w:tc>
        <w:tc>
          <w:tcPr>
            <w:tcW w:w="625" w:type="pct"/>
            <w:tcBorders>
              <w:top w:val="single" w:sz="12" w:space="0" w:color="auto"/>
            </w:tcBorders>
            <w:vAlign w:val="bottom"/>
          </w:tcPr>
          <w:p w14:paraId="07CB2316" w14:textId="77777777" w:rsidR="004E2F51" w:rsidRPr="009C411C" w:rsidRDefault="004E2F51" w:rsidP="00E032FC">
            <w:pPr>
              <w:pStyle w:val="TT"/>
              <w:jc w:val="right"/>
              <w:rPr>
                <w:rFonts w:cs="Arial"/>
                <w:color w:val="000000" w:themeColor="text1"/>
                <w:sz w:val="18"/>
                <w:szCs w:val="18"/>
                <w:lang w:val="hr-HR"/>
              </w:rPr>
            </w:pPr>
          </w:p>
        </w:tc>
        <w:tc>
          <w:tcPr>
            <w:tcW w:w="625" w:type="pct"/>
            <w:tcBorders>
              <w:top w:val="single" w:sz="12" w:space="0" w:color="auto"/>
            </w:tcBorders>
            <w:vAlign w:val="bottom"/>
          </w:tcPr>
          <w:p w14:paraId="170DAA2F" w14:textId="77777777" w:rsidR="004E2F51" w:rsidRPr="009C411C" w:rsidRDefault="004E2F51" w:rsidP="00E032FC">
            <w:pPr>
              <w:pStyle w:val="TT"/>
              <w:jc w:val="right"/>
              <w:rPr>
                <w:rFonts w:cs="Arial"/>
                <w:color w:val="000000" w:themeColor="text1"/>
                <w:sz w:val="18"/>
                <w:szCs w:val="18"/>
                <w:lang w:val="hr-HR"/>
              </w:rPr>
            </w:pPr>
          </w:p>
        </w:tc>
        <w:tc>
          <w:tcPr>
            <w:tcW w:w="625" w:type="pct"/>
            <w:tcBorders>
              <w:top w:val="single" w:sz="12" w:space="0" w:color="auto"/>
            </w:tcBorders>
            <w:vAlign w:val="bottom"/>
          </w:tcPr>
          <w:p w14:paraId="0246807B" w14:textId="77777777" w:rsidR="004E2F51" w:rsidRPr="009C411C" w:rsidRDefault="004E2F51" w:rsidP="00E032FC">
            <w:pPr>
              <w:pStyle w:val="TT"/>
              <w:jc w:val="right"/>
              <w:rPr>
                <w:rFonts w:cs="Arial"/>
                <w:color w:val="000000" w:themeColor="text1"/>
                <w:sz w:val="18"/>
                <w:szCs w:val="18"/>
                <w:lang w:val="hr-HR"/>
              </w:rPr>
            </w:pPr>
          </w:p>
        </w:tc>
        <w:tc>
          <w:tcPr>
            <w:tcW w:w="625" w:type="pct"/>
            <w:tcBorders>
              <w:top w:val="single" w:sz="12" w:space="0" w:color="auto"/>
            </w:tcBorders>
            <w:vAlign w:val="bottom"/>
          </w:tcPr>
          <w:p w14:paraId="65BB9306" w14:textId="77777777" w:rsidR="004E2F51" w:rsidRPr="009C411C" w:rsidRDefault="004E2F51" w:rsidP="00E032FC">
            <w:pPr>
              <w:pStyle w:val="TT"/>
              <w:jc w:val="right"/>
              <w:rPr>
                <w:rFonts w:cs="Arial"/>
                <w:color w:val="000000" w:themeColor="text1"/>
                <w:sz w:val="18"/>
                <w:szCs w:val="18"/>
                <w:lang w:val="hr-HR"/>
              </w:rPr>
            </w:pPr>
          </w:p>
        </w:tc>
      </w:tr>
      <w:tr w:rsidR="004E2F51" w:rsidRPr="009C411C" w14:paraId="1593E804" w14:textId="77777777" w:rsidTr="00E032FC">
        <w:tblPrEx>
          <w:tblCellMar>
            <w:left w:w="31" w:type="dxa"/>
            <w:right w:w="31" w:type="dxa"/>
          </w:tblCellMar>
        </w:tblPrEx>
        <w:trPr>
          <w:cantSplit/>
          <w:trHeight w:val="250"/>
          <w:tblHeader/>
        </w:trPr>
        <w:tc>
          <w:tcPr>
            <w:tcW w:w="2501" w:type="pct"/>
          </w:tcPr>
          <w:p w14:paraId="02E6AD29" w14:textId="77777777" w:rsidR="004E2F51" w:rsidRPr="009C411C" w:rsidRDefault="004E2F51" w:rsidP="00E032FC">
            <w:pPr>
              <w:pStyle w:val="TT"/>
              <w:rPr>
                <w:rFonts w:cs="Arial"/>
                <w:b/>
                <w:bCs/>
                <w:color w:val="000000" w:themeColor="text1"/>
                <w:sz w:val="18"/>
                <w:szCs w:val="18"/>
                <w:lang w:val="hr-HR"/>
              </w:rPr>
            </w:pPr>
            <w:r w:rsidRPr="009C411C">
              <w:rPr>
                <w:rFonts w:cs="Arial"/>
                <w:b/>
                <w:bCs/>
                <w:color w:val="000000" w:themeColor="text1"/>
                <w:sz w:val="18"/>
                <w:szCs w:val="18"/>
                <w:lang w:val="hr-HR"/>
              </w:rPr>
              <w:t>Garancije i preuzete obveze</w:t>
            </w:r>
          </w:p>
        </w:tc>
        <w:tc>
          <w:tcPr>
            <w:tcW w:w="625" w:type="pct"/>
            <w:vAlign w:val="bottom"/>
          </w:tcPr>
          <w:p w14:paraId="668D9DBD" w14:textId="77777777" w:rsidR="004E2F51" w:rsidRPr="009C411C" w:rsidRDefault="004E2F51" w:rsidP="00E032FC">
            <w:pPr>
              <w:pStyle w:val="TT"/>
              <w:jc w:val="right"/>
              <w:rPr>
                <w:rFonts w:cs="Arial"/>
                <w:color w:val="000000" w:themeColor="text1"/>
                <w:sz w:val="18"/>
                <w:szCs w:val="18"/>
                <w:lang w:val="hr-HR"/>
              </w:rPr>
            </w:pPr>
          </w:p>
        </w:tc>
        <w:tc>
          <w:tcPr>
            <w:tcW w:w="625" w:type="pct"/>
            <w:vAlign w:val="bottom"/>
          </w:tcPr>
          <w:p w14:paraId="61E93D11" w14:textId="77777777" w:rsidR="004E2F51" w:rsidRPr="009C411C" w:rsidRDefault="004E2F51" w:rsidP="00E032FC">
            <w:pPr>
              <w:pStyle w:val="TT"/>
              <w:jc w:val="right"/>
              <w:rPr>
                <w:rFonts w:cs="Arial"/>
                <w:color w:val="000000" w:themeColor="text1"/>
                <w:sz w:val="18"/>
                <w:szCs w:val="18"/>
                <w:lang w:val="hr-HR"/>
              </w:rPr>
            </w:pPr>
          </w:p>
        </w:tc>
        <w:tc>
          <w:tcPr>
            <w:tcW w:w="625" w:type="pct"/>
            <w:vAlign w:val="bottom"/>
          </w:tcPr>
          <w:p w14:paraId="4BD8AB1D" w14:textId="77777777" w:rsidR="004E2F51" w:rsidRPr="009C411C" w:rsidRDefault="004E2F51" w:rsidP="00E032FC">
            <w:pPr>
              <w:pStyle w:val="TT"/>
              <w:jc w:val="right"/>
              <w:rPr>
                <w:rFonts w:cs="Arial"/>
                <w:color w:val="000000" w:themeColor="text1"/>
                <w:sz w:val="18"/>
                <w:szCs w:val="18"/>
                <w:lang w:val="hr-HR"/>
              </w:rPr>
            </w:pPr>
          </w:p>
        </w:tc>
        <w:tc>
          <w:tcPr>
            <w:tcW w:w="625" w:type="pct"/>
            <w:vAlign w:val="bottom"/>
          </w:tcPr>
          <w:p w14:paraId="52294DA1" w14:textId="77777777" w:rsidR="004E2F51" w:rsidRPr="009C411C" w:rsidRDefault="004E2F51" w:rsidP="00E032FC">
            <w:pPr>
              <w:pStyle w:val="TT"/>
              <w:jc w:val="right"/>
              <w:rPr>
                <w:rFonts w:cs="Arial"/>
                <w:color w:val="000000" w:themeColor="text1"/>
                <w:sz w:val="18"/>
                <w:szCs w:val="18"/>
                <w:lang w:val="hr-HR"/>
              </w:rPr>
            </w:pPr>
          </w:p>
        </w:tc>
      </w:tr>
      <w:tr w:rsidR="004E2F51" w:rsidRPr="009C411C" w14:paraId="3E60B420" w14:textId="77777777" w:rsidTr="00E032FC">
        <w:tblPrEx>
          <w:tblCellMar>
            <w:left w:w="31" w:type="dxa"/>
            <w:right w:w="31" w:type="dxa"/>
          </w:tblCellMar>
        </w:tblPrEx>
        <w:trPr>
          <w:cantSplit/>
          <w:trHeight w:val="250"/>
          <w:tblHeader/>
        </w:trPr>
        <w:tc>
          <w:tcPr>
            <w:tcW w:w="2501" w:type="pct"/>
          </w:tcPr>
          <w:p w14:paraId="6638A2B7" w14:textId="77777777" w:rsidR="004E2F51" w:rsidRPr="009C411C" w:rsidRDefault="004E2F51" w:rsidP="00E032FC">
            <w:pPr>
              <w:tabs>
                <w:tab w:val="right" w:pos="1202"/>
              </w:tabs>
              <w:spacing w:line="301" w:lineRule="exact"/>
              <w:outlineLvl w:val="0"/>
              <w:rPr>
                <w:rFonts w:ascii="Arial" w:hAnsi="Arial" w:cs="Arial"/>
                <w:b/>
                <w:bCs/>
                <w:color w:val="000000" w:themeColor="text1"/>
                <w:sz w:val="18"/>
                <w:szCs w:val="18"/>
                <w:lang w:val="hr-HR"/>
              </w:rPr>
            </w:pPr>
            <w:r w:rsidRPr="009C411C">
              <w:rPr>
                <w:rFonts w:ascii="Arial" w:hAnsi="Arial" w:cs="Arial"/>
                <w:color w:val="000000" w:themeColor="text1"/>
                <w:sz w:val="18"/>
                <w:szCs w:val="18"/>
                <w:lang w:val="hr-HR"/>
              </w:rPr>
              <w:t>Izdane garancije u kunama</w:t>
            </w:r>
          </w:p>
        </w:tc>
        <w:tc>
          <w:tcPr>
            <w:tcW w:w="625" w:type="pct"/>
            <w:tcBorders>
              <w:top w:val="nil"/>
              <w:left w:val="nil"/>
              <w:bottom w:val="nil"/>
              <w:right w:val="nil"/>
            </w:tcBorders>
            <w:shd w:val="clear" w:color="auto" w:fill="auto"/>
            <w:vAlign w:val="bottom"/>
          </w:tcPr>
          <w:p w14:paraId="25C72857" w14:textId="77777777" w:rsidR="004E2F51" w:rsidRPr="009C411C" w:rsidRDefault="004E2F51" w:rsidP="00E032FC">
            <w:pPr>
              <w:pStyle w:val="TT"/>
              <w:jc w:val="right"/>
              <w:rPr>
                <w:rFonts w:cs="Arial"/>
                <w:color w:val="000000" w:themeColor="text1"/>
                <w:sz w:val="18"/>
                <w:szCs w:val="18"/>
                <w:lang w:val="hr-HR"/>
              </w:rPr>
            </w:pPr>
            <w:r w:rsidRPr="009C411C">
              <w:rPr>
                <w:rFonts w:cs="Arial"/>
                <w:sz w:val="18"/>
                <w:szCs w:val="18"/>
              </w:rPr>
              <w:t xml:space="preserve"> 140.113 </w:t>
            </w:r>
          </w:p>
        </w:tc>
        <w:tc>
          <w:tcPr>
            <w:tcW w:w="625" w:type="pct"/>
            <w:tcBorders>
              <w:top w:val="nil"/>
              <w:left w:val="nil"/>
              <w:bottom w:val="nil"/>
              <w:right w:val="nil"/>
            </w:tcBorders>
            <w:shd w:val="clear" w:color="auto" w:fill="auto"/>
            <w:vAlign w:val="bottom"/>
          </w:tcPr>
          <w:p w14:paraId="64634D9F" w14:textId="77777777" w:rsidR="004E2F51" w:rsidRPr="009C411C" w:rsidRDefault="004E2F51" w:rsidP="00E032FC">
            <w:pPr>
              <w:pStyle w:val="TT"/>
              <w:jc w:val="right"/>
              <w:rPr>
                <w:rFonts w:cs="Arial"/>
                <w:color w:val="000000" w:themeColor="text1"/>
                <w:sz w:val="18"/>
                <w:szCs w:val="18"/>
                <w:lang w:val="hr-HR"/>
              </w:rPr>
            </w:pPr>
            <w:r w:rsidRPr="009C411C">
              <w:rPr>
                <w:rFonts w:cs="Arial"/>
                <w:sz w:val="18"/>
                <w:szCs w:val="18"/>
              </w:rPr>
              <w:t xml:space="preserve"> -   </w:t>
            </w:r>
          </w:p>
        </w:tc>
        <w:tc>
          <w:tcPr>
            <w:tcW w:w="625" w:type="pct"/>
            <w:tcBorders>
              <w:top w:val="nil"/>
              <w:left w:val="nil"/>
              <w:bottom w:val="nil"/>
              <w:right w:val="nil"/>
            </w:tcBorders>
            <w:shd w:val="clear" w:color="auto" w:fill="auto"/>
            <w:vAlign w:val="bottom"/>
          </w:tcPr>
          <w:p w14:paraId="50A5B98F" w14:textId="77777777" w:rsidR="004E2F51" w:rsidRPr="009C411C" w:rsidRDefault="004E2F51" w:rsidP="00E032FC">
            <w:pPr>
              <w:pStyle w:val="TT"/>
              <w:jc w:val="right"/>
              <w:rPr>
                <w:rFonts w:cs="Arial"/>
                <w:color w:val="000000" w:themeColor="text1"/>
                <w:sz w:val="18"/>
                <w:szCs w:val="18"/>
                <w:lang w:val="hr-HR"/>
              </w:rPr>
            </w:pPr>
            <w:r w:rsidRPr="009C411C">
              <w:rPr>
                <w:rFonts w:cs="Arial"/>
                <w:sz w:val="18"/>
                <w:szCs w:val="18"/>
              </w:rPr>
              <w:t xml:space="preserve"> -   </w:t>
            </w:r>
          </w:p>
        </w:tc>
        <w:tc>
          <w:tcPr>
            <w:tcW w:w="625" w:type="pct"/>
            <w:tcBorders>
              <w:top w:val="nil"/>
              <w:left w:val="nil"/>
              <w:bottom w:val="nil"/>
              <w:right w:val="nil"/>
            </w:tcBorders>
            <w:shd w:val="clear" w:color="auto" w:fill="auto"/>
            <w:vAlign w:val="bottom"/>
          </w:tcPr>
          <w:p w14:paraId="00CC72E7" w14:textId="77777777" w:rsidR="004E2F51" w:rsidRPr="009C411C" w:rsidRDefault="004E2F51" w:rsidP="00E032FC">
            <w:pPr>
              <w:pStyle w:val="TT"/>
              <w:jc w:val="right"/>
              <w:rPr>
                <w:rFonts w:cs="Arial"/>
                <w:color w:val="000000" w:themeColor="text1"/>
                <w:sz w:val="18"/>
                <w:szCs w:val="18"/>
                <w:lang w:val="hr-HR"/>
              </w:rPr>
            </w:pPr>
            <w:r w:rsidRPr="009C411C">
              <w:rPr>
                <w:rFonts w:cs="Arial"/>
                <w:sz w:val="18"/>
                <w:szCs w:val="18"/>
              </w:rPr>
              <w:t xml:space="preserve"> 140.113 </w:t>
            </w:r>
          </w:p>
        </w:tc>
      </w:tr>
      <w:tr w:rsidR="004E2F51" w:rsidRPr="009C411C" w14:paraId="06444DBD" w14:textId="77777777" w:rsidTr="00E032FC">
        <w:tblPrEx>
          <w:tblCellMar>
            <w:left w:w="31" w:type="dxa"/>
            <w:right w:w="31" w:type="dxa"/>
          </w:tblCellMar>
        </w:tblPrEx>
        <w:trPr>
          <w:cantSplit/>
          <w:trHeight w:val="250"/>
          <w:tblHeader/>
        </w:trPr>
        <w:tc>
          <w:tcPr>
            <w:tcW w:w="2501" w:type="pct"/>
            <w:vAlign w:val="bottom"/>
          </w:tcPr>
          <w:p w14:paraId="1EEB0FE9"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Izdane garancije u devizama</w:t>
            </w:r>
          </w:p>
        </w:tc>
        <w:tc>
          <w:tcPr>
            <w:tcW w:w="625" w:type="pct"/>
            <w:tcBorders>
              <w:top w:val="nil"/>
              <w:left w:val="nil"/>
              <w:bottom w:val="nil"/>
              <w:right w:val="nil"/>
            </w:tcBorders>
            <w:shd w:val="clear" w:color="auto" w:fill="auto"/>
            <w:vAlign w:val="bottom"/>
          </w:tcPr>
          <w:p w14:paraId="3ACE2C3F" w14:textId="77777777" w:rsidR="004E2F51" w:rsidRPr="009C411C" w:rsidRDefault="004E2F51" w:rsidP="00E032FC">
            <w:pPr>
              <w:pStyle w:val="TT"/>
              <w:jc w:val="right"/>
              <w:rPr>
                <w:rFonts w:cs="Arial"/>
                <w:color w:val="000000" w:themeColor="text1"/>
                <w:sz w:val="18"/>
                <w:szCs w:val="18"/>
                <w:lang w:val="hr-HR"/>
              </w:rPr>
            </w:pPr>
            <w:r w:rsidRPr="009C411C">
              <w:rPr>
                <w:rFonts w:cs="Arial"/>
                <w:sz w:val="18"/>
                <w:szCs w:val="18"/>
              </w:rPr>
              <w:t xml:space="preserve"> 260.705 </w:t>
            </w:r>
          </w:p>
        </w:tc>
        <w:tc>
          <w:tcPr>
            <w:tcW w:w="625" w:type="pct"/>
            <w:tcBorders>
              <w:top w:val="nil"/>
              <w:left w:val="nil"/>
              <w:bottom w:val="nil"/>
              <w:right w:val="nil"/>
            </w:tcBorders>
            <w:shd w:val="clear" w:color="auto" w:fill="auto"/>
            <w:vAlign w:val="bottom"/>
          </w:tcPr>
          <w:p w14:paraId="1284351F" w14:textId="77777777" w:rsidR="004E2F51" w:rsidRPr="009C411C" w:rsidRDefault="004E2F51" w:rsidP="00E032FC">
            <w:pPr>
              <w:pStyle w:val="TT"/>
              <w:jc w:val="right"/>
              <w:rPr>
                <w:rFonts w:cs="Arial"/>
                <w:color w:val="000000" w:themeColor="text1"/>
                <w:sz w:val="18"/>
                <w:szCs w:val="18"/>
                <w:lang w:val="hr-HR"/>
              </w:rPr>
            </w:pPr>
            <w:r w:rsidRPr="009C411C">
              <w:rPr>
                <w:rFonts w:cs="Arial"/>
                <w:sz w:val="18"/>
                <w:szCs w:val="18"/>
              </w:rPr>
              <w:t xml:space="preserve"> -   </w:t>
            </w:r>
          </w:p>
        </w:tc>
        <w:tc>
          <w:tcPr>
            <w:tcW w:w="625" w:type="pct"/>
            <w:tcBorders>
              <w:top w:val="nil"/>
              <w:left w:val="nil"/>
              <w:bottom w:val="nil"/>
              <w:right w:val="nil"/>
            </w:tcBorders>
            <w:shd w:val="clear" w:color="auto" w:fill="auto"/>
            <w:vAlign w:val="bottom"/>
          </w:tcPr>
          <w:p w14:paraId="74F69DA1" w14:textId="77777777" w:rsidR="004E2F51" w:rsidRPr="009C411C" w:rsidRDefault="004E2F51" w:rsidP="00E032FC">
            <w:pPr>
              <w:pStyle w:val="TT"/>
              <w:jc w:val="right"/>
              <w:rPr>
                <w:rFonts w:cs="Arial"/>
                <w:color w:val="000000" w:themeColor="text1"/>
                <w:sz w:val="18"/>
                <w:szCs w:val="18"/>
                <w:lang w:val="hr-HR"/>
              </w:rPr>
            </w:pPr>
            <w:r w:rsidRPr="009C411C">
              <w:rPr>
                <w:rFonts w:cs="Arial"/>
                <w:sz w:val="18"/>
                <w:szCs w:val="18"/>
              </w:rPr>
              <w:t xml:space="preserve"> -   </w:t>
            </w:r>
          </w:p>
        </w:tc>
        <w:tc>
          <w:tcPr>
            <w:tcW w:w="625" w:type="pct"/>
            <w:tcBorders>
              <w:top w:val="nil"/>
              <w:left w:val="nil"/>
              <w:bottom w:val="nil"/>
              <w:right w:val="nil"/>
            </w:tcBorders>
            <w:shd w:val="clear" w:color="auto" w:fill="auto"/>
            <w:vAlign w:val="bottom"/>
          </w:tcPr>
          <w:p w14:paraId="340A329C" w14:textId="77777777" w:rsidR="004E2F51" w:rsidRPr="009C411C" w:rsidRDefault="004E2F51" w:rsidP="00E032FC">
            <w:pPr>
              <w:pStyle w:val="TT"/>
              <w:jc w:val="right"/>
              <w:rPr>
                <w:rFonts w:cs="Arial"/>
                <w:color w:val="000000" w:themeColor="text1"/>
                <w:sz w:val="18"/>
                <w:szCs w:val="18"/>
                <w:lang w:val="hr-HR"/>
              </w:rPr>
            </w:pPr>
            <w:r w:rsidRPr="009C411C">
              <w:rPr>
                <w:rFonts w:cs="Arial"/>
                <w:sz w:val="18"/>
                <w:szCs w:val="18"/>
              </w:rPr>
              <w:t xml:space="preserve"> 260.705 </w:t>
            </w:r>
          </w:p>
        </w:tc>
      </w:tr>
      <w:tr w:rsidR="004E2F51" w:rsidRPr="009C411C" w14:paraId="4D98FA07" w14:textId="77777777" w:rsidTr="00E032FC">
        <w:tblPrEx>
          <w:tblCellMar>
            <w:left w:w="31" w:type="dxa"/>
            <w:right w:w="31" w:type="dxa"/>
          </w:tblCellMar>
        </w:tblPrEx>
        <w:trPr>
          <w:cantSplit/>
          <w:trHeight w:val="250"/>
          <w:tblHeader/>
        </w:trPr>
        <w:tc>
          <w:tcPr>
            <w:tcW w:w="2501" w:type="pct"/>
            <w:vAlign w:val="bottom"/>
          </w:tcPr>
          <w:p w14:paraId="0566EE95"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r w:rsidRPr="009C411C">
              <w:rPr>
                <w:rFonts w:ascii="Arial" w:hAnsi="Arial" w:cs="Arial"/>
                <w:color w:val="000000" w:themeColor="text1"/>
                <w:sz w:val="18"/>
                <w:szCs w:val="18"/>
                <w:lang w:val="hr-HR"/>
              </w:rPr>
              <w:t>Preuzete obveze po kreditima</w:t>
            </w:r>
          </w:p>
        </w:tc>
        <w:tc>
          <w:tcPr>
            <w:tcW w:w="625" w:type="pct"/>
            <w:tcBorders>
              <w:top w:val="nil"/>
              <w:left w:val="nil"/>
              <w:bottom w:val="single" w:sz="4" w:space="0" w:color="auto"/>
              <w:right w:val="nil"/>
            </w:tcBorders>
            <w:shd w:val="clear" w:color="auto" w:fill="auto"/>
            <w:vAlign w:val="bottom"/>
          </w:tcPr>
          <w:p w14:paraId="58DB6FF7" w14:textId="77777777" w:rsidR="004E2F51" w:rsidRPr="009C411C" w:rsidRDefault="004E2F51" w:rsidP="00E032FC">
            <w:pPr>
              <w:pStyle w:val="TT"/>
              <w:jc w:val="right"/>
              <w:rPr>
                <w:rFonts w:cs="Arial"/>
                <w:color w:val="000000" w:themeColor="text1"/>
                <w:sz w:val="18"/>
                <w:szCs w:val="18"/>
                <w:lang w:val="hr-HR"/>
              </w:rPr>
            </w:pPr>
            <w:r w:rsidRPr="009C411C">
              <w:rPr>
                <w:rFonts w:cs="Arial"/>
                <w:sz w:val="18"/>
                <w:szCs w:val="18"/>
              </w:rPr>
              <w:t xml:space="preserve"> 3.454.685 </w:t>
            </w:r>
          </w:p>
        </w:tc>
        <w:tc>
          <w:tcPr>
            <w:tcW w:w="625" w:type="pct"/>
            <w:tcBorders>
              <w:top w:val="nil"/>
              <w:left w:val="nil"/>
              <w:bottom w:val="single" w:sz="4" w:space="0" w:color="auto"/>
              <w:right w:val="nil"/>
            </w:tcBorders>
            <w:shd w:val="clear" w:color="auto" w:fill="auto"/>
            <w:vAlign w:val="bottom"/>
          </w:tcPr>
          <w:p w14:paraId="75634C84" w14:textId="77777777" w:rsidR="004E2F51" w:rsidRPr="009C411C" w:rsidRDefault="004E2F51" w:rsidP="00E032FC">
            <w:pPr>
              <w:pStyle w:val="TT"/>
              <w:jc w:val="right"/>
              <w:rPr>
                <w:rFonts w:cs="Arial"/>
                <w:color w:val="000000" w:themeColor="text1"/>
                <w:sz w:val="18"/>
                <w:szCs w:val="18"/>
                <w:lang w:val="hr-HR"/>
              </w:rPr>
            </w:pPr>
            <w:r w:rsidRPr="009C411C">
              <w:rPr>
                <w:rFonts w:cs="Arial"/>
                <w:sz w:val="18"/>
                <w:szCs w:val="18"/>
              </w:rPr>
              <w:t xml:space="preserve"> -   </w:t>
            </w:r>
          </w:p>
        </w:tc>
        <w:tc>
          <w:tcPr>
            <w:tcW w:w="625" w:type="pct"/>
            <w:tcBorders>
              <w:top w:val="nil"/>
              <w:left w:val="nil"/>
              <w:bottom w:val="single" w:sz="4" w:space="0" w:color="auto"/>
              <w:right w:val="nil"/>
            </w:tcBorders>
            <w:shd w:val="clear" w:color="auto" w:fill="auto"/>
            <w:vAlign w:val="bottom"/>
          </w:tcPr>
          <w:p w14:paraId="7D7B5278" w14:textId="77777777" w:rsidR="004E2F51" w:rsidRPr="009C411C" w:rsidRDefault="004E2F51" w:rsidP="00E032FC">
            <w:pPr>
              <w:pStyle w:val="TT"/>
              <w:jc w:val="right"/>
              <w:rPr>
                <w:rFonts w:cs="Arial"/>
                <w:color w:val="000000" w:themeColor="text1"/>
                <w:sz w:val="18"/>
                <w:szCs w:val="18"/>
                <w:lang w:val="hr-HR"/>
              </w:rPr>
            </w:pPr>
            <w:r w:rsidRPr="009C411C">
              <w:rPr>
                <w:rFonts w:cs="Arial"/>
                <w:sz w:val="18"/>
                <w:szCs w:val="18"/>
              </w:rPr>
              <w:t xml:space="preserve"> 2.606 </w:t>
            </w:r>
          </w:p>
        </w:tc>
        <w:tc>
          <w:tcPr>
            <w:tcW w:w="625" w:type="pct"/>
            <w:tcBorders>
              <w:top w:val="nil"/>
              <w:left w:val="nil"/>
              <w:bottom w:val="single" w:sz="4" w:space="0" w:color="auto"/>
              <w:right w:val="nil"/>
            </w:tcBorders>
            <w:shd w:val="clear" w:color="auto" w:fill="auto"/>
            <w:vAlign w:val="bottom"/>
          </w:tcPr>
          <w:p w14:paraId="7F17C2CC" w14:textId="77777777" w:rsidR="004E2F51" w:rsidRPr="009C411C" w:rsidRDefault="004E2F51" w:rsidP="00E032FC">
            <w:pPr>
              <w:pStyle w:val="TT"/>
              <w:jc w:val="right"/>
              <w:rPr>
                <w:rFonts w:cs="Arial"/>
                <w:color w:val="000000" w:themeColor="text1"/>
                <w:sz w:val="18"/>
                <w:szCs w:val="18"/>
                <w:lang w:val="hr-HR"/>
              </w:rPr>
            </w:pPr>
            <w:r w:rsidRPr="009C411C">
              <w:rPr>
                <w:rFonts w:cs="Arial"/>
                <w:sz w:val="18"/>
                <w:szCs w:val="18"/>
              </w:rPr>
              <w:t xml:space="preserve"> 3.457.291 </w:t>
            </w:r>
          </w:p>
        </w:tc>
      </w:tr>
      <w:tr w:rsidR="004E2F51" w:rsidRPr="009C411C" w14:paraId="200AA28D" w14:textId="77777777" w:rsidTr="00E032FC">
        <w:tblPrEx>
          <w:tblCellMar>
            <w:left w:w="31" w:type="dxa"/>
            <w:right w:w="31" w:type="dxa"/>
          </w:tblCellMar>
        </w:tblPrEx>
        <w:trPr>
          <w:cantSplit/>
          <w:trHeight w:val="399"/>
          <w:tblHeader/>
        </w:trPr>
        <w:tc>
          <w:tcPr>
            <w:tcW w:w="2501" w:type="pct"/>
            <w:vAlign w:val="bottom"/>
          </w:tcPr>
          <w:p w14:paraId="00BCCA5E" w14:textId="77777777" w:rsidR="004E2F51" w:rsidRPr="009C411C" w:rsidRDefault="004E2F51" w:rsidP="00E032FC">
            <w:pPr>
              <w:pStyle w:val="TT"/>
              <w:rPr>
                <w:rFonts w:cs="Arial"/>
                <w:b/>
                <w:bCs/>
                <w:color w:val="000000" w:themeColor="text1"/>
                <w:sz w:val="18"/>
                <w:szCs w:val="18"/>
                <w:lang w:val="hr-HR"/>
              </w:rPr>
            </w:pPr>
            <w:r w:rsidRPr="009C411C">
              <w:rPr>
                <w:rFonts w:cs="Arial"/>
                <w:b/>
                <w:bCs/>
                <w:color w:val="000000" w:themeColor="text1"/>
                <w:sz w:val="18"/>
                <w:szCs w:val="18"/>
                <w:lang w:val="hr-HR"/>
              </w:rPr>
              <w:t>Ukupno</w:t>
            </w:r>
          </w:p>
        </w:tc>
        <w:tc>
          <w:tcPr>
            <w:tcW w:w="625" w:type="pct"/>
            <w:tcBorders>
              <w:top w:val="single" w:sz="4" w:space="0" w:color="auto"/>
              <w:left w:val="nil"/>
              <w:bottom w:val="single" w:sz="12" w:space="0" w:color="auto"/>
              <w:right w:val="nil"/>
            </w:tcBorders>
            <w:shd w:val="clear" w:color="auto" w:fill="auto"/>
            <w:vAlign w:val="bottom"/>
          </w:tcPr>
          <w:p w14:paraId="65AC3A3C"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 xml:space="preserve"> 3.855.503 </w:t>
            </w:r>
          </w:p>
        </w:tc>
        <w:tc>
          <w:tcPr>
            <w:tcW w:w="625" w:type="pct"/>
            <w:tcBorders>
              <w:top w:val="single" w:sz="4" w:space="0" w:color="auto"/>
              <w:left w:val="nil"/>
              <w:bottom w:val="single" w:sz="12" w:space="0" w:color="auto"/>
              <w:right w:val="nil"/>
            </w:tcBorders>
            <w:shd w:val="clear" w:color="auto" w:fill="auto"/>
            <w:vAlign w:val="bottom"/>
          </w:tcPr>
          <w:p w14:paraId="1B42F195"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 xml:space="preserve"> -   </w:t>
            </w:r>
          </w:p>
        </w:tc>
        <w:tc>
          <w:tcPr>
            <w:tcW w:w="625" w:type="pct"/>
            <w:tcBorders>
              <w:top w:val="single" w:sz="4" w:space="0" w:color="auto"/>
              <w:left w:val="nil"/>
              <w:bottom w:val="single" w:sz="12" w:space="0" w:color="auto"/>
              <w:right w:val="nil"/>
            </w:tcBorders>
            <w:shd w:val="clear" w:color="auto" w:fill="auto"/>
            <w:vAlign w:val="bottom"/>
          </w:tcPr>
          <w:p w14:paraId="723AA1A4"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 xml:space="preserve"> 2.606 </w:t>
            </w:r>
          </w:p>
        </w:tc>
        <w:tc>
          <w:tcPr>
            <w:tcW w:w="625" w:type="pct"/>
            <w:tcBorders>
              <w:top w:val="single" w:sz="4" w:space="0" w:color="auto"/>
              <w:left w:val="nil"/>
              <w:bottom w:val="single" w:sz="12" w:space="0" w:color="auto"/>
              <w:right w:val="nil"/>
            </w:tcBorders>
            <w:shd w:val="clear" w:color="auto" w:fill="auto"/>
            <w:vAlign w:val="bottom"/>
          </w:tcPr>
          <w:p w14:paraId="4E57F97A"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 xml:space="preserve"> 3.858.109 </w:t>
            </w:r>
          </w:p>
        </w:tc>
      </w:tr>
      <w:tr w:rsidR="004E2F51" w:rsidRPr="009C411C" w14:paraId="304C32BA" w14:textId="77777777" w:rsidTr="00E032FC">
        <w:tblPrEx>
          <w:tblCellMar>
            <w:left w:w="31" w:type="dxa"/>
            <w:right w:w="31" w:type="dxa"/>
          </w:tblCellMar>
        </w:tblPrEx>
        <w:trPr>
          <w:cantSplit/>
          <w:trHeight w:hRule="exact" w:val="113"/>
          <w:tblHeader/>
        </w:trPr>
        <w:tc>
          <w:tcPr>
            <w:tcW w:w="2501" w:type="pct"/>
            <w:vAlign w:val="bottom"/>
          </w:tcPr>
          <w:p w14:paraId="530ABDE8" w14:textId="77777777" w:rsidR="004E2F51" w:rsidRPr="009C411C" w:rsidRDefault="004E2F51" w:rsidP="00E032FC">
            <w:pPr>
              <w:pStyle w:val="TT"/>
              <w:spacing w:line="240" w:lineRule="auto"/>
              <w:rPr>
                <w:rFonts w:cs="Arial"/>
                <w:b/>
                <w:bCs/>
                <w:color w:val="000000" w:themeColor="text1"/>
                <w:sz w:val="18"/>
                <w:szCs w:val="18"/>
                <w:lang w:val="hr-HR"/>
              </w:rPr>
            </w:pPr>
          </w:p>
        </w:tc>
        <w:tc>
          <w:tcPr>
            <w:tcW w:w="625" w:type="pct"/>
            <w:tcBorders>
              <w:top w:val="single" w:sz="12" w:space="0" w:color="auto"/>
            </w:tcBorders>
            <w:vAlign w:val="bottom"/>
          </w:tcPr>
          <w:p w14:paraId="5E246072" w14:textId="77777777" w:rsidR="004E2F51" w:rsidRPr="009C411C" w:rsidRDefault="004E2F51" w:rsidP="00E032FC">
            <w:pPr>
              <w:tabs>
                <w:tab w:val="right" w:pos="1202"/>
              </w:tabs>
              <w:jc w:val="right"/>
              <w:outlineLvl w:val="0"/>
              <w:rPr>
                <w:rFonts w:ascii="Arial" w:hAnsi="Arial" w:cs="Arial"/>
                <w:b/>
                <w:color w:val="000000" w:themeColor="text1"/>
                <w:sz w:val="18"/>
                <w:szCs w:val="18"/>
                <w:lang w:val="hr-HR"/>
              </w:rPr>
            </w:pPr>
          </w:p>
        </w:tc>
        <w:tc>
          <w:tcPr>
            <w:tcW w:w="625" w:type="pct"/>
            <w:tcBorders>
              <w:top w:val="single" w:sz="12" w:space="0" w:color="auto"/>
            </w:tcBorders>
            <w:vAlign w:val="bottom"/>
          </w:tcPr>
          <w:p w14:paraId="3494D639" w14:textId="77777777" w:rsidR="004E2F51" w:rsidRPr="009C411C" w:rsidRDefault="004E2F51" w:rsidP="00E032FC">
            <w:pPr>
              <w:tabs>
                <w:tab w:val="right" w:pos="1202"/>
              </w:tabs>
              <w:jc w:val="right"/>
              <w:outlineLvl w:val="0"/>
              <w:rPr>
                <w:rFonts w:ascii="Arial" w:hAnsi="Arial" w:cs="Arial"/>
                <w:b/>
                <w:color w:val="000000" w:themeColor="text1"/>
                <w:sz w:val="18"/>
                <w:szCs w:val="18"/>
                <w:lang w:val="hr-HR"/>
              </w:rPr>
            </w:pPr>
          </w:p>
        </w:tc>
        <w:tc>
          <w:tcPr>
            <w:tcW w:w="625" w:type="pct"/>
            <w:tcBorders>
              <w:top w:val="single" w:sz="12" w:space="0" w:color="auto"/>
            </w:tcBorders>
            <w:vAlign w:val="bottom"/>
          </w:tcPr>
          <w:p w14:paraId="4CEB1642" w14:textId="77777777" w:rsidR="004E2F51" w:rsidRPr="009C411C" w:rsidRDefault="004E2F51" w:rsidP="00E032FC">
            <w:pPr>
              <w:tabs>
                <w:tab w:val="right" w:pos="1202"/>
              </w:tabs>
              <w:jc w:val="right"/>
              <w:outlineLvl w:val="0"/>
              <w:rPr>
                <w:rFonts w:ascii="Arial" w:hAnsi="Arial" w:cs="Arial"/>
                <w:b/>
                <w:color w:val="000000" w:themeColor="text1"/>
                <w:sz w:val="18"/>
                <w:szCs w:val="18"/>
                <w:lang w:val="hr-HR"/>
              </w:rPr>
            </w:pPr>
          </w:p>
        </w:tc>
        <w:tc>
          <w:tcPr>
            <w:tcW w:w="625" w:type="pct"/>
            <w:tcBorders>
              <w:top w:val="single" w:sz="12" w:space="0" w:color="auto"/>
            </w:tcBorders>
            <w:vAlign w:val="bottom"/>
          </w:tcPr>
          <w:p w14:paraId="71C1BBBD" w14:textId="77777777" w:rsidR="004E2F51" w:rsidRPr="009C411C" w:rsidRDefault="004E2F51" w:rsidP="00E032FC">
            <w:pPr>
              <w:tabs>
                <w:tab w:val="right" w:pos="1202"/>
              </w:tabs>
              <w:jc w:val="right"/>
              <w:outlineLvl w:val="0"/>
              <w:rPr>
                <w:rFonts w:ascii="Arial" w:hAnsi="Arial" w:cs="Arial"/>
                <w:b/>
                <w:color w:val="000000" w:themeColor="text1"/>
                <w:sz w:val="18"/>
                <w:szCs w:val="18"/>
                <w:lang w:val="hr-HR"/>
              </w:rPr>
            </w:pPr>
          </w:p>
        </w:tc>
      </w:tr>
      <w:tr w:rsidR="004E2F51" w:rsidRPr="009C411C" w14:paraId="44E7146D" w14:textId="77777777" w:rsidTr="00E032FC">
        <w:tblPrEx>
          <w:tblCellMar>
            <w:left w:w="31" w:type="dxa"/>
            <w:right w:w="31" w:type="dxa"/>
          </w:tblCellMar>
        </w:tblPrEx>
        <w:trPr>
          <w:cantSplit/>
          <w:trHeight w:val="70"/>
          <w:tblHeader/>
        </w:trPr>
        <w:tc>
          <w:tcPr>
            <w:tcW w:w="2501" w:type="pct"/>
            <w:vAlign w:val="bottom"/>
          </w:tcPr>
          <w:p w14:paraId="7642E727" w14:textId="77777777" w:rsidR="004E2F51" w:rsidRPr="009C411C" w:rsidRDefault="004E2F51" w:rsidP="00E032FC">
            <w:pPr>
              <w:pStyle w:val="TT"/>
              <w:spacing w:before="120" w:line="300" w:lineRule="exact"/>
              <w:jc w:val="both"/>
              <w:outlineLvl w:val="9"/>
              <w:rPr>
                <w:rFonts w:cs="Arial"/>
                <w:b/>
                <w:bCs/>
                <w:color w:val="000000" w:themeColor="text1"/>
                <w:sz w:val="18"/>
                <w:szCs w:val="18"/>
                <w:lang w:val="hr-HR"/>
              </w:rPr>
            </w:pPr>
            <w:r w:rsidRPr="009C411C">
              <w:rPr>
                <w:rFonts w:cs="Arial"/>
                <w:b/>
                <w:bCs/>
                <w:color w:val="000000" w:themeColor="text1"/>
                <w:sz w:val="18"/>
                <w:szCs w:val="18"/>
                <w:lang w:val="hr-HR"/>
              </w:rPr>
              <w:t>Ukupna izloženost kreditnom riziku</w:t>
            </w:r>
          </w:p>
        </w:tc>
        <w:tc>
          <w:tcPr>
            <w:tcW w:w="625" w:type="pct"/>
            <w:tcBorders>
              <w:top w:val="nil"/>
              <w:left w:val="nil"/>
              <w:bottom w:val="single" w:sz="12" w:space="0" w:color="auto"/>
              <w:right w:val="nil"/>
            </w:tcBorders>
            <w:shd w:val="clear" w:color="auto" w:fill="auto"/>
            <w:vAlign w:val="bottom"/>
          </w:tcPr>
          <w:p w14:paraId="7FAABE59"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 xml:space="preserve"> 31.357.396 </w:t>
            </w:r>
          </w:p>
        </w:tc>
        <w:tc>
          <w:tcPr>
            <w:tcW w:w="625" w:type="pct"/>
            <w:tcBorders>
              <w:top w:val="nil"/>
              <w:left w:val="nil"/>
              <w:bottom w:val="single" w:sz="12" w:space="0" w:color="auto"/>
              <w:right w:val="nil"/>
            </w:tcBorders>
            <w:shd w:val="clear" w:color="auto" w:fill="auto"/>
            <w:vAlign w:val="bottom"/>
          </w:tcPr>
          <w:p w14:paraId="54554DD9"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 xml:space="preserve"> 34.288 </w:t>
            </w:r>
          </w:p>
        </w:tc>
        <w:tc>
          <w:tcPr>
            <w:tcW w:w="625" w:type="pct"/>
            <w:tcBorders>
              <w:top w:val="nil"/>
              <w:left w:val="nil"/>
              <w:bottom w:val="single" w:sz="12" w:space="0" w:color="auto"/>
              <w:right w:val="nil"/>
            </w:tcBorders>
            <w:shd w:val="clear" w:color="auto" w:fill="auto"/>
            <w:vAlign w:val="bottom"/>
          </w:tcPr>
          <w:p w14:paraId="67985EDD"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 xml:space="preserve"> 340.825 </w:t>
            </w:r>
          </w:p>
        </w:tc>
        <w:tc>
          <w:tcPr>
            <w:tcW w:w="625" w:type="pct"/>
            <w:tcBorders>
              <w:top w:val="nil"/>
              <w:left w:val="nil"/>
              <w:bottom w:val="single" w:sz="12" w:space="0" w:color="auto"/>
              <w:right w:val="nil"/>
            </w:tcBorders>
            <w:shd w:val="clear" w:color="auto" w:fill="auto"/>
            <w:vAlign w:val="bottom"/>
          </w:tcPr>
          <w:p w14:paraId="5B7C26BD" w14:textId="77777777" w:rsidR="004E2F51" w:rsidRPr="009C411C"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9C411C">
              <w:rPr>
                <w:rFonts w:ascii="Arial" w:hAnsi="Arial" w:cs="Arial"/>
                <w:b/>
                <w:bCs/>
                <w:sz w:val="18"/>
                <w:szCs w:val="18"/>
              </w:rPr>
              <w:t xml:space="preserve"> 31.732.509 </w:t>
            </w:r>
          </w:p>
        </w:tc>
      </w:tr>
    </w:tbl>
    <w:p w14:paraId="7007656C" w14:textId="77777777" w:rsidR="004E2F51" w:rsidRPr="00C651CA" w:rsidRDefault="004E2F51" w:rsidP="004E2F51">
      <w:pPr>
        <w:pStyle w:val="T1"/>
        <w:spacing w:before="0" w:after="0" w:line="240" w:lineRule="auto"/>
        <w:rPr>
          <w:rFonts w:cs="Arial"/>
          <w:b w:val="0"/>
          <w:bCs w:val="0"/>
          <w:color w:val="000000" w:themeColor="text1"/>
          <w:sz w:val="20"/>
          <w:lang w:val="hr-HR"/>
        </w:rPr>
      </w:pPr>
    </w:p>
    <w:p w14:paraId="66CAD98B" w14:textId="77777777" w:rsidR="004E2F51" w:rsidRPr="00C651CA" w:rsidRDefault="004E2F51" w:rsidP="004E2F51">
      <w:pPr>
        <w:rPr>
          <w:rFonts w:ascii="Arial" w:hAnsi="Arial" w:cs="Arial"/>
          <w:color w:val="000000" w:themeColor="text1"/>
          <w:sz w:val="20"/>
          <w:szCs w:val="20"/>
          <w:lang w:val="hr-HR"/>
        </w:rPr>
      </w:pPr>
    </w:p>
    <w:p w14:paraId="0F088656" w14:textId="77777777" w:rsidR="004E2F51" w:rsidRPr="00C651CA" w:rsidRDefault="004E2F51" w:rsidP="004E2F51">
      <w:pPr>
        <w:tabs>
          <w:tab w:val="left" w:pos="2520"/>
        </w:tabs>
        <w:rPr>
          <w:rFonts w:ascii="Arial" w:hAnsi="Arial" w:cs="Arial"/>
          <w:color w:val="000000" w:themeColor="text1"/>
          <w:sz w:val="20"/>
          <w:szCs w:val="20"/>
          <w:lang w:val="hr-HR"/>
        </w:rPr>
      </w:pPr>
      <w:r w:rsidRPr="00C651CA">
        <w:rPr>
          <w:rFonts w:ascii="Arial" w:hAnsi="Arial" w:cs="Arial"/>
          <w:color w:val="000000" w:themeColor="text1"/>
          <w:sz w:val="20"/>
          <w:szCs w:val="20"/>
          <w:lang w:val="hr-HR"/>
        </w:rPr>
        <w:tab/>
      </w:r>
    </w:p>
    <w:p w14:paraId="551646BD" w14:textId="77777777" w:rsidR="004E2F51" w:rsidRPr="00C651CA" w:rsidRDefault="004E2F51" w:rsidP="004E2F51">
      <w:pPr>
        <w:rPr>
          <w:rFonts w:ascii="Arial" w:hAnsi="Arial" w:cs="Arial"/>
          <w:color w:val="000000" w:themeColor="text1"/>
          <w:sz w:val="20"/>
          <w:szCs w:val="20"/>
          <w:lang w:val="hr-HR"/>
        </w:rPr>
      </w:pPr>
    </w:p>
    <w:p w14:paraId="52A4B506" w14:textId="77777777" w:rsidR="004E2F51" w:rsidRPr="00C651CA" w:rsidRDefault="004E2F51" w:rsidP="004E2F51">
      <w:pPr>
        <w:rPr>
          <w:rFonts w:ascii="Arial" w:hAnsi="Arial" w:cs="Arial"/>
          <w:color w:val="000000" w:themeColor="text1"/>
          <w:sz w:val="20"/>
          <w:szCs w:val="20"/>
          <w:lang w:val="hr-HR"/>
        </w:rPr>
        <w:sectPr w:rsidR="004E2F51" w:rsidRPr="00C651CA" w:rsidSect="00623DBA">
          <w:footerReference w:type="default" r:id="rId183"/>
          <w:pgSz w:w="11907" w:h="16840" w:code="9"/>
          <w:pgMar w:top="1418" w:right="1134" w:bottom="1134" w:left="1418" w:header="851" w:footer="851" w:gutter="0"/>
          <w:cols w:space="720"/>
          <w:noEndnote/>
        </w:sectPr>
      </w:pPr>
    </w:p>
    <w:p w14:paraId="13C18465" w14:textId="77777777" w:rsidR="004E2F51" w:rsidRPr="00C651CA" w:rsidRDefault="004E2F51" w:rsidP="004E2F51">
      <w:pPr>
        <w:jc w:val="right"/>
        <w:rPr>
          <w:rFonts w:ascii="Arial" w:hAnsi="Arial" w:cs="Arial"/>
          <w:b/>
          <w:bCs/>
          <w:color w:val="000000" w:themeColor="text1"/>
          <w:sz w:val="20"/>
          <w:szCs w:val="20"/>
          <w:lang w:val="hr-HR"/>
          <w14:shadow w14:blurRad="50800" w14:dist="38100" w14:dir="2700000" w14:sx="100000" w14:sy="100000" w14:kx="0" w14:ky="0" w14:algn="tl">
            <w14:srgbClr w14:val="000000">
              <w14:alpha w14:val="60000"/>
            </w14:srgbClr>
          </w14:shadow>
        </w:rPr>
      </w:pPr>
    </w:p>
    <w:p w14:paraId="0200C8AC" w14:textId="77777777" w:rsidR="004E2F51" w:rsidRPr="00C651CA" w:rsidRDefault="004E2F51" w:rsidP="004E2F51">
      <w:pPr>
        <w:jc w:val="right"/>
        <w:rPr>
          <w:rFonts w:ascii="Arial" w:hAnsi="Arial" w:cs="Arial"/>
          <w:b/>
          <w:bCs/>
          <w:color w:val="000000" w:themeColor="text1"/>
          <w:sz w:val="20"/>
          <w:szCs w:val="20"/>
          <w:lang w:val="hr-HR"/>
          <w14:shadow w14:blurRad="50800" w14:dist="38100" w14:dir="2700000" w14:sx="100000" w14:sy="100000" w14:kx="0" w14:ky="0" w14:algn="tl">
            <w14:srgbClr w14:val="000000">
              <w14:alpha w14:val="60000"/>
            </w14:srgbClr>
          </w14:shadow>
        </w:rPr>
        <w:sectPr w:rsidR="004E2F51" w:rsidRPr="00C651CA" w:rsidSect="00623DBA">
          <w:type w:val="continuous"/>
          <w:pgSz w:w="11907" w:h="16840" w:code="9"/>
          <w:pgMar w:top="1418" w:right="1134" w:bottom="1134" w:left="1418" w:header="851" w:footer="851" w:gutter="0"/>
          <w:cols w:space="720"/>
          <w:noEndnote/>
        </w:sectPr>
      </w:pPr>
    </w:p>
    <w:p w14:paraId="731F27E0" w14:textId="77777777" w:rsidR="004E2F51" w:rsidRPr="00C651CA" w:rsidRDefault="004E2F51" w:rsidP="004E2F51">
      <w:pPr>
        <w:pStyle w:val="T1"/>
        <w:spacing w:before="0" w:after="0" w:line="240" w:lineRule="auto"/>
        <w:rPr>
          <w:rFonts w:cs="Arial"/>
          <w:color w:val="000000" w:themeColor="text1"/>
          <w:sz w:val="20"/>
          <w:lang w:val="hr-HR"/>
        </w:rPr>
      </w:pPr>
    </w:p>
    <w:p w14:paraId="0D49C1D4" w14:textId="77777777" w:rsidR="004E2F51" w:rsidRPr="00C651CA" w:rsidRDefault="004E2F51" w:rsidP="004E2F51">
      <w:pPr>
        <w:pStyle w:val="T1"/>
        <w:tabs>
          <w:tab w:val="left" w:pos="567"/>
        </w:tabs>
        <w:spacing w:before="0" w:after="0" w:line="240" w:lineRule="auto"/>
        <w:rPr>
          <w:rFonts w:cs="Arial"/>
          <w:color w:val="000000" w:themeColor="text1"/>
          <w:sz w:val="20"/>
          <w:lang w:val="hr-HR"/>
        </w:rPr>
      </w:pPr>
      <w:r w:rsidRPr="00C651CA">
        <w:rPr>
          <w:rFonts w:cs="Arial"/>
          <w:color w:val="000000" w:themeColor="text1"/>
          <w:sz w:val="20"/>
          <w:lang w:val="hr-HR"/>
        </w:rPr>
        <w:t>3</w:t>
      </w:r>
      <w:r>
        <w:rPr>
          <w:rFonts w:cs="Arial"/>
          <w:color w:val="000000" w:themeColor="text1"/>
          <w:sz w:val="20"/>
          <w:lang w:val="hr-HR"/>
        </w:rPr>
        <w:t>1</w:t>
      </w:r>
      <w:r w:rsidRPr="00C651CA">
        <w:rPr>
          <w:rFonts w:cs="Arial"/>
          <w:color w:val="000000" w:themeColor="text1"/>
          <w:sz w:val="20"/>
          <w:lang w:val="hr-HR"/>
        </w:rPr>
        <w:t>.</w:t>
      </w:r>
      <w:r w:rsidRPr="00C651CA">
        <w:rPr>
          <w:rFonts w:cs="Arial"/>
          <w:color w:val="000000" w:themeColor="text1"/>
          <w:sz w:val="20"/>
          <w:lang w:val="hr-HR"/>
        </w:rPr>
        <w:tab/>
        <w:t>Upravljanje rizicima (nastavak)</w:t>
      </w:r>
    </w:p>
    <w:p w14:paraId="619D9963" w14:textId="77777777" w:rsidR="004E2F51" w:rsidRPr="00C651CA" w:rsidRDefault="004E2F51" w:rsidP="004E2F51">
      <w:pPr>
        <w:pStyle w:val="T1"/>
        <w:spacing w:before="0" w:after="0" w:line="240" w:lineRule="auto"/>
        <w:rPr>
          <w:rFonts w:cs="Arial"/>
          <w:color w:val="000000" w:themeColor="text1"/>
          <w:sz w:val="20"/>
          <w:lang w:val="hr-HR"/>
        </w:rPr>
      </w:pPr>
    </w:p>
    <w:p w14:paraId="76124DB8" w14:textId="77777777" w:rsidR="004E2F51" w:rsidRPr="00C651CA" w:rsidRDefault="004E2F51" w:rsidP="004E2F51">
      <w:pPr>
        <w:pStyle w:val="T1"/>
        <w:tabs>
          <w:tab w:val="left" w:pos="567"/>
        </w:tabs>
        <w:spacing w:before="0" w:after="0" w:line="240" w:lineRule="auto"/>
        <w:rPr>
          <w:rFonts w:cs="Arial"/>
          <w:color w:val="000000" w:themeColor="text1"/>
          <w:sz w:val="20"/>
          <w:lang w:val="hr-HR"/>
        </w:rPr>
      </w:pPr>
      <w:r w:rsidRPr="00C651CA">
        <w:rPr>
          <w:rFonts w:cs="Arial"/>
          <w:color w:val="000000" w:themeColor="text1"/>
          <w:sz w:val="20"/>
          <w:lang w:val="hr-HR"/>
        </w:rPr>
        <w:t>3</w:t>
      </w:r>
      <w:r>
        <w:rPr>
          <w:rFonts w:cs="Arial"/>
          <w:color w:val="000000" w:themeColor="text1"/>
          <w:sz w:val="20"/>
          <w:lang w:val="hr-HR"/>
        </w:rPr>
        <w:t>1</w:t>
      </w:r>
      <w:r w:rsidRPr="00C651CA">
        <w:rPr>
          <w:rFonts w:cs="Arial"/>
          <w:color w:val="000000" w:themeColor="text1"/>
          <w:sz w:val="20"/>
          <w:lang w:val="hr-HR"/>
        </w:rPr>
        <w:t xml:space="preserve">.3. </w:t>
      </w:r>
      <w:r w:rsidRPr="00C651CA">
        <w:rPr>
          <w:rFonts w:cs="Arial"/>
          <w:color w:val="000000" w:themeColor="text1"/>
          <w:sz w:val="20"/>
          <w:lang w:val="hr-HR"/>
        </w:rPr>
        <w:tab/>
        <w:t>Kreditni rizik (nastavak)</w:t>
      </w:r>
    </w:p>
    <w:p w14:paraId="373C751E" w14:textId="77777777" w:rsidR="004E2F51" w:rsidRPr="00C651CA" w:rsidRDefault="004E2F51" w:rsidP="004E2F51">
      <w:pPr>
        <w:pStyle w:val="T1"/>
        <w:spacing w:before="0" w:after="0" w:line="240" w:lineRule="auto"/>
        <w:rPr>
          <w:rFonts w:cs="Arial"/>
          <w:color w:val="000000" w:themeColor="text1"/>
          <w:sz w:val="20"/>
          <w:lang w:val="hr-HR"/>
        </w:rPr>
      </w:pPr>
    </w:p>
    <w:p w14:paraId="2565E1AF" w14:textId="77777777" w:rsidR="004E2F51" w:rsidRPr="00C651CA" w:rsidRDefault="004E2F51" w:rsidP="004E2F51">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 izloženost kreditnom riziku (nastavak)</w:t>
      </w:r>
    </w:p>
    <w:p w14:paraId="508FAB9F" w14:textId="77777777" w:rsidR="004E2F51" w:rsidRPr="00C651CA" w:rsidRDefault="004E2F51" w:rsidP="004E2F51">
      <w:pPr>
        <w:pStyle w:val="TH"/>
        <w:spacing w:line="240" w:lineRule="auto"/>
        <w:rPr>
          <w:rFonts w:cs="Arial"/>
          <w:b w:val="0"/>
          <w:color w:val="000000" w:themeColor="text1"/>
          <w:sz w:val="20"/>
          <w:lang w:val="hr-HR"/>
        </w:rPr>
      </w:pPr>
    </w:p>
    <w:p w14:paraId="32B7E3AE" w14:textId="77777777" w:rsidR="004E2F51" w:rsidRPr="00C651CA" w:rsidRDefault="004E2F51" w:rsidP="004E2F51">
      <w:pPr>
        <w:pStyle w:val="TH"/>
        <w:spacing w:line="240" w:lineRule="auto"/>
        <w:jc w:val="both"/>
        <w:rPr>
          <w:rFonts w:cs="Arial"/>
          <w:b w:val="0"/>
          <w:color w:val="000000" w:themeColor="text1"/>
          <w:sz w:val="20"/>
          <w:lang w:val="hr-HR"/>
        </w:rPr>
      </w:pPr>
      <w:bookmarkStart w:id="1546" w:name="_Toc67329624"/>
      <w:r w:rsidRPr="00C651CA">
        <w:rPr>
          <w:rFonts w:cs="Arial"/>
          <w:b w:val="0"/>
          <w:color w:val="000000" w:themeColor="text1"/>
          <w:sz w:val="20"/>
          <w:lang w:val="hr-HR"/>
        </w:rPr>
        <w:t>Koncentracija imovine i garancija te preuzetih obveza prema industrijskim granama, neto</w:t>
      </w:r>
      <w:r w:rsidRPr="00C651CA">
        <w:rPr>
          <w:rFonts w:cs="Arial"/>
          <w:color w:val="000000" w:themeColor="text1"/>
          <w:sz w:val="20"/>
          <w:lang w:val="hr-HR"/>
        </w:rPr>
        <w:t xml:space="preserve"> </w:t>
      </w:r>
      <w:r w:rsidRPr="00C651CA">
        <w:rPr>
          <w:rFonts w:cs="Arial"/>
          <w:b w:val="0"/>
          <w:color w:val="000000" w:themeColor="text1"/>
          <w:sz w:val="20"/>
          <w:lang w:val="hr-HR"/>
        </w:rPr>
        <w:t>izloženost, prije i nakon uzimanja u obzir primljenih instrumenata osiguranja:</w:t>
      </w:r>
      <w:bookmarkEnd w:id="1546"/>
    </w:p>
    <w:p w14:paraId="53A659C9" w14:textId="77777777" w:rsidR="004E2F51" w:rsidRPr="00C651CA" w:rsidRDefault="004E2F51" w:rsidP="004E2F51">
      <w:pPr>
        <w:pStyle w:val="TH"/>
        <w:spacing w:line="240" w:lineRule="auto"/>
        <w:rPr>
          <w:rFonts w:cs="Arial"/>
          <w:b w:val="0"/>
          <w:color w:val="000000" w:themeColor="text1"/>
          <w:sz w:val="20"/>
          <w:lang w:val="hr-HR"/>
        </w:rPr>
      </w:pPr>
    </w:p>
    <w:tbl>
      <w:tblPr>
        <w:tblpPr w:leftFromText="181" w:rightFromText="181" w:vertAnchor="text" w:tblpY="1"/>
        <w:tblOverlap w:val="never"/>
        <w:tblW w:w="4909" w:type="pct"/>
        <w:tblLayout w:type="fixed"/>
        <w:tblCellMar>
          <w:left w:w="30" w:type="dxa"/>
          <w:right w:w="30" w:type="dxa"/>
        </w:tblCellMar>
        <w:tblLook w:val="0000" w:firstRow="0" w:lastRow="0" w:firstColumn="0" w:lastColumn="0" w:noHBand="0" w:noVBand="0"/>
      </w:tblPr>
      <w:tblGrid>
        <w:gridCol w:w="4652"/>
        <w:gridCol w:w="1134"/>
        <w:gridCol w:w="1133"/>
        <w:gridCol w:w="1133"/>
        <w:gridCol w:w="1133"/>
      </w:tblGrid>
      <w:tr w:rsidR="00185239" w:rsidRPr="0002282A" w14:paraId="0103885C" w14:textId="77777777" w:rsidTr="00185239">
        <w:trPr>
          <w:cantSplit/>
          <w:trHeight w:val="709"/>
          <w:tblHeader/>
        </w:trPr>
        <w:tc>
          <w:tcPr>
            <w:tcW w:w="2531" w:type="pct"/>
            <w:vAlign w:val="bottom"/>
          </w:tcPr>
          <w:p w14:paraId="2FCF4A1D" w14:textId="77777777" w:rsidR="004E2F51" w:rsidRPr="009C411C" w:rsidRDefault="004E2F51" w:rsidP="00E032FC">
            <w:pPr>
              <w:tabs>
                <w:tab w:val="right" w:pos="1202"/>
              </w:tabs>
              <w:spacing w:line="240" w:lineRule="atLeast"/>
              <w:outlineLvl w:val="0"/>
              <w:rPr>
                <w:rFonts w:ascii="Arial" w:hAnsi="Arial" w:cs="Arial"/>
                <w:b/>
                <w:color w:val="000000" w:themeColor="text1"/>
                <w:sz w:val="18"/>
                <w:szCs w:val="18"/>
                <w:lang w:val="hr-HR"/>
              </w:rPr>
            </w:pPr>
            <w:bookmarkStart w:id="1547" w:name="_Toc67329625"/>
            <w:r w:rsidRPr="009C411C">
              <w:rPr>
                <w:rFonts w:ascii="Arial" w:hAnsi="Arial" w:cs="Arial"/>
                <w:b/>
                <w:color w:val="000000" w:themeColor="text1"/>
                <w:sz w:val="18"/>
                <w:szCs w:val="18"/>
                <w:lang w:val="hr-HR"/>
              </w:rPr>
              <w:t>Grupa</w:t>
            </w:r>
            <w:bookmarkEnd w:id="1547"/>
          </w:p>
        </w:tc>
        <w:tc>
          <w:tcPr>
            <w:tcW w:w="617" w:type="pct"/>
            <w:vAlign w:val="bottom"/>
          </w:tcPr>
          <w:p w14:paraId="3E5B090F"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48" w:name="_Toc67329626"/>
            <w:r w:rsidRPr="009C411C">
              <w:rPr>
                <w:rFonts w:ascii="Arial" w:hAnsi="Arial" w:cs="Arial"/>
                <w:b/>
                <w:color w:val="000000" w:themeColor="text1"/>
                <w:sz w:val="18"/>
                <w:szCs w:val="18"/>
                <w:lang w:val="hr-HR"/>
              </w:rPr>
              <w:t>Neto najveća izloženost</w:t>
            </w:r>
            <w:bookmarkEnd w:id="1548"/>
          </w:p>
        </w:tc>
        <w:tc>
          <w:tcPr>
            <w:tcW w:w="617" w:type="pct"/>
            <w:vAlign w:val="bottom"/>
          </w:tcPr>
          <w:p w14:paraId="45776C13"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49" w:name="_Toc67329627"/>
            <w:r w:rsidRPr="009C411C">
              <w:rPr>
                <w:rFonts w:ascii="Arial" w:hAnsi="Arial" w:cs="Arial"/>
                <w:b/>
                <w:color w:val="000000" w:themeColor="text1"/>
                <w:sz w:val="18"/>
                <w:szCs w:val="18"/>
                <w:lang w:val="hr-HR"/>
              </w:rPr>
              <w:t>Neto najveća izloženost nakon umanjenja za sredstva osiguranja</w:t>
            </w:r>
            <w:bookmarkEnd w:id="1549"/>
          </w:p>
        </w:tc>
        <w:tc>
          <w:tcPr>
            <w:tcW w:w="617" w:type="pct"/>
            <w:vAlign w:val="bottom"/>
          </w:tcPr>
          <w:p w14:paraId="1179F6C3"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50" w:name="_Toc67329628"/>
            <w:r w:rsidRPr="009C411C">
              <w:rPr>
                <w:rFonts w:ascii="Arial" w:hAnsi="Arial" w:cs="Arial"/>
                <w:b/>
                <w:color w:val="000000" w:themeColor="text1"/>
                <w:sz w:val="18"/>
                <w:szCs w:val="18"/>
                <w:lang w:val="hr-HR"/>
              </w:rPr>
              <w:t>Neto najveća izloženost</w:t>
            </w:r>
            <w:bookmarkEnd w:id="1550"/>
          </w:p>
        </w:tc>
        <w:tc>
          <w:tcPr>
            <w:tcW w:w="617" w:type="pct"/>
            <w:vAlign w:val="bottom"/>
          </w:tcPr>
          <w:p w14:paraId="0EFC52DC"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51" w:name="_Toc67329629"/>
            <w:r w:rsidRPr="009C411C">
              <w:rPr>
                <w:rFonts w:ascii="Arial" w:hAnsi="Arial" w:cs="Arial"/>
                <w:b/>
                <w:color w:val="000000" w:themeColor="text1"/>
                <w:sz w:val="18"/>
                <w:szCs w:val="18"/>
                <w:lang w:val="hr-HR"/>
              </w:rPr>
              <w:t>Neto najveća izloženost  nakon umanjenja za sredstva osiguranja</w:t>
            </w:r>
            <w:bookmarkEnd w:id="1551"/>
          </w:p>
        </w:tc>
      </w:tr>
      <w:tr w:rsidR="00185239" w:rsidRPr="009C411C" w14:paraId="2AEB9C4B" w14:textId="77777777" w:rsidTr="00185239">
        <w:trPr>
          <w:cantSplit/>
          <w:trHeight w:val="250"/>
          <w:tblHeader/>
        </w:trPr>
        <w:tc>
          <w:tcPr>
            <w:tcW w:w="2531" w:type="pct"/>
          </w:tcPr>
          <w:p w14:paraId="34B2BD25" w14:textId="77777777" w:rsidR="004E2F51" w:rsidRPr="009C411C" w:rsidRDefault="004E2F51" w:rsidP="00E032FC">
            <w:pPr>
              <w:ind w:left="113" w:hanging="113"/>
              <w:rPr>
                <w:rFonts w:ascii="Arial" w:hAnsi="Arial" w:cs="Arial"/>
                <w:color w:val="000000" w:themeColor="text1"/>
                <w:sz w:val="18"/>
                <w:szCs w:val="18"/>
                <w:lang w:val="hr-HR"/>
              </w:rPr>
            </w:pPr>
          </w:p>
        </w:tc>
        <w:tc>
          <w:tcPr>
            <w:tcW w:w="617" w:type="pct"/>
            <w:vAlign w:val="bottom"/>
          </w:tcPr>
          <w:p w14:paraId="480F0417"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52" w:name="_Toc67329630"/>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2</w:t>
            </w:r>
            <w:r w:rsidRPr="009C411C">
              <w:rPr>
                <w:rFonts w:ascii="Arial" w:hAnsi="Arial" w:cs="Arial"/>
                <w:b/>
                <w:color w:val="000000" w:themeColor="text1"/>
                <w:sz w:val="18"/>
                <w:szCs w:val="18"/>
                <w:lang w:val="hr-HR"/>
              </w:rPr>
              <w:t>.</w:t>
            </w:r>
            <w:bookmarkEnd w:id="1552"/>
          </w:p>
        </w:tc>
        <w:tc>
          <w:tcPr>
            <w:tcW w:w="617" w:type="pct"/>
            <w:vAlign w:val="bottom"/>
          </w:tcPr>
          <w:p w14:paraId="031CC36C"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53" w:name="_Toc67329631"/>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2</w:t>
            </w:r>
            <w:r w:rsidRPr="009C411C">
              <w:rPr>
                <w:rFonts w:ascii="Arial" w:hAnsi="Arial" w:cs="Arial"/>
                <w:b/>
                <w:color w:val="000000" w:themeColor="text1"/>
                <w:sz w:val="18"/>
                <w:szCs w:val="18"/>
                <w:lang w:val="hr-HR"/>
              </w:rPr>
              <w:t>.</w:t>
            </w:r>
            <w:bookmarkEnd w:id="1553"/>
          </w:p>
        </w:tc>
        <w:tc>
          <w:tcPr>
            <w:tcW w:w="617" w:type="pct"/>
            <w:vAlign w:val="bottom"/>
          </w:tcPr>
          <w:p w14:paraId="0181AA47"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54" w:name="_Toc67329632"/>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1</w:t>
            </w:r>
            <w:r w:rsidRPr="009C411C">
              <w:rPr>
                <w:rFonts w:ascii="Arial" w:hAnsi="Arial" w:cs="Arial"/>
                <w:b/>
                <w:color w:val="000000" w:themeColor="text1"/>
                <w:sz w:val="18"/>
                <w:szCs w:val="18"/>
                <w:lang w:val="hr-HR"/>
              </w:rPr>
              <w:t>.</w:t>
            </w:r>
            <w:bookmarkEnd w:id="1554"/>
          </w:p>
        </w:tc>
        <w:tc>
          <w:tcPr>
            <w:tcW w:w="617" w:type="pct"/>
            <w:vAlign w:val="bottom"/>
          </w:tcPr>
          <w:p w14:paraId="666E276E"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55" w:name="_Toc67329633"/>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1</w:t>
            </w:r>
            <w:r w:rsidRPr="009C411C">
              <w:rPr>
                <w:rFonts w:ascii="Arial" w:hAnsi="Arial" w:cs="Arial"/>
                <w:b/>
                <w:color w:val="000000" w:themeColor="text1"/>
                <w:sz w:val="18"/>
                <w:szCs w:val="18"/>
                <w:lang w:val="hr-HR"/>
              </w:rPr>
              <w:t>.</w:t>
            </w:r>
            <w:bookmarkEnd w:id="1555"/>
          </w:p>
        </w:tc>
      </w:tr>
      <w:tr w:rsidR="00185239" w:rsidRPr="009C411C" w14:paraId="04572FB7" w14:textId="77777777" w:rsidTr="00185239">
        <w:trPr>
          <w:cantSplit/>
          <w:trHeight w:val="250"/>
          <w:tblHeader/>
        </w:trPr>
        <w:tc>
          <w:tcPr>
            <w:tcW w:w="2531" w:type="pct"/>
          </w:tcPr>
          <w:p w14:paraId="2BD7C137" w14:textId="77777777" w:rsidR="004E2F51" w:rsidRPr="009C411C" w:rsidRDefault="004E2F51" w:rsidP="00E032FC">
            <w:pPr>
              <w:ind w:left="113" w:hanging="113"/>
              <w:rPr>
                <w:rFonts w:ascii="Arial" w:hAnsi="Arial" w:cs="Arial"/>
                <w:color w:val="000000" w:themeColor="text1"/>
                <w:sz w:val="18"/>
                <w:szCs w:val="18"/>
                <w:lang w:val="hr-HR"/>
              </w:rPr>
            </w:pPr>
          </w:p>
        </w:tc>
        <w:tc>
          <w:tcPr>
            <w:tcW w:w="617" w:type="pct"/>
            <w:vAlign w:val="bottom"/>
          </w:tcPr>
          <w:p w14:paraId="0F1C17E7"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56" w:name="_Toc67329634"/>
            <w:r w:rsidRPr="009C411C">
              <w:rPr>
                <w:rFonts w:ascii="Arial" w:hAnsi="Arial" w:cs="Arial"/>
                <w:b/>
                <w:color w:val="000000" w:themeColor="text1"/>
                <w:sz w:val="18"/>
                <w:szCs w:val="18"/>
                <w:lang w:val="hr-HR"/>
              </w:rPr>
              <w:t>000 kuna</w:t>
            </w:r>
            <w:bookmarkEnd w:id="1556"/>
          </w:p>
        </w:tc>
        <w:tc>
          <w:tcPr>
            <w:tcW w:w="617" w:type="pct"/>
            <w:vAlign w:val="bottom"/>
          </w:tcPr>
          <w:p w14:paraId="43CD9FE1"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57" w:name="_Toc67329635"/>
            <w:r w:rsidRPr="009C411C">
              <w:rPr>
                <w:rFonts w:ascii="Arial" w:hAnsi="Arial" w:cs="Arial"/>
                <w:b/>
                <w:color w:val="000000" w:themeColor="text1"/>
                <w:sz w:val="18"/>
                <w:szCs w:val="18"/>
                <w:lang w:val="hr-HR"/>
              </w:rPr>
              <w:t>000 kuna</w:t>
            </w:r>
            <w:bookmarkEnd w:id="1557"/>
          </w:p>
        </w:tc>
        <w:tc>
          <w:tcPr>
            <w:tcW w:w="617" w:type="pct"/>
            <w:vAlign w:val="bottom"/>
          </w:tcPr>
          <w:p w14:paraId="427B65F6"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58" w:name="_Toc67329636"/>
            <w:r w:rsidRPr="009C411C">
              <w:rPr>
                <w:rFonts w:ascii="Arial" w:hAnsi="Arial" w:cs="Arial"/>
                <w:b/>
                <w:color w:val="000000" w:themeColor="text1"/>
                <w:sz w:val="18"/>
                <w:szCs w:val="18"/>
                <w:lang w:val="hr-HR"/>
              </w:rPr>
              <w:t>000 kuna</w:t>
            </w:r>
            <w:bookmarkEnd w:id="1558"/>
          </w:p>
        </w:tc>
        <w:tc>
          <w:tcPr>
            <w:tcW w:w="617" w:type="pct"/>
            <w:vAlign w:val="bottom"/>
          </w:tcPr>
          <w:p w14:paraId="13036570"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59" w:name="_Toc67329637"/>
            <w:r w:rsidRPr="009C411C">
              <w:rPr>
                <w:rFonts w:ascii="Arial" w:hAnsi="Arial" w:cs="Arial"/>
                <w:b/>
                <w:color w:val="000000" w:themeColor="text1"/>
                <w:sz w:val="18"/>
                <w:szCs w:val="18"/>
                <w:lang w:val="hr-HR"/>
              </w:rPr>
              <w:t>000 kuna</w:t>
            </w:r>
            <w:bookmarkEnd w:id="1559"/>
          </w:p>
        </w:tc>
      </w:tr>
      <w:tr w:rsidR="00185239" w:rsidRPr="009C411C" w14:paraId="349C169A" w14:textId="77777777" w:rsidTr="00185239">
        <w:trPr>
          <w:cantSplit/>
          <w:trHeight w:val="56"/>
          <w:tblHeader/>
        </w:trPr>
        <w:tc>
          <w:tcPr>
            <w:tcW w:w="2531" w:type="pct"/>
            <w:vAlign w:val="bottom"/>
          </w:tcPr>
          <w:p w14:paraId="1FCE3189" w14:textId="77777777" w:rsidR="004E2F51" w:rsidRPr="009C411C" w:rsidRDefault="004E2F51" w:rsidP="00E032FC">
            <w:pPr>
              <w:ind w:left="113" w:hanging="113"/>
              <w:jc w:val="right"/>
              <w:rPr>
                <w:rFonts w:ascii="Arial" w:hAnsi="Arial" w:cs="Arial"/>
                <w:color w:val="000000" w:themeColor="text1"/>
                <w:sz w:val="18"/>
                <w:szCs w:val="18"/>
                <w:lang w:val="hr-HR"/>
              </w:rPr>
            </w:pPr>
          </w:p>
        </w:tc>
        <w:tc>
          <w:tcPr>
            <w:tcW w:w="617" w:type="pct"/>
          </w:tcPr>
          <w:p w14:paraId="444F1522" w14:textId="77777777" w:rsidR="004E2F51" w:rsidRPr="009C411C" w:rsidRDefault="004E2F51" w:rsidP="00E032FC">
            <w:pPr>
              <w:tabs>
                <w:tab w:val="right" w:pos="1202"/>
              </w:tabs>
              <w:jc w:val="right"/>
              <w:outlineLvl w:val="0"/>
              <w:rPr>
                <w:rFonts w:ascii="Arial" w:hAnsi="Arial" w:cs="Arial"/>
                <w:b/>
                <w:color w:val="000000" w:themeColor="text1"/>
                <w:sz w:val="18"/>
                <w:szCs w:val="18"/>
                <w:lang w:val="hr-HR"/>
              </w:rPr>
            </w:pPr>
          </w:p>
        </w:tc>
        <w:tc>
          <w:tcPr>
            <w:tcW w:w="617" w:type="pct"/>
          </w:tcPr>
          <w:p w14:paraId="28EA9451" w14:textId="77777777" w:rsidR="004E2F51" w:rsidRPr="009C411C" w:rsidRDefault="004E2F51" w:rsidP="00E032FC">
            <w:pPr>
              <w:tabs>
                <w:tab w:val="right" w:pos="1202"/>
              </w:tabs>
              <w:jc w:val="right"/>
              <w:outlineLvl w:val="0"/>
              <w:rPr>
                <w:rFonts w:ascii="Arial" w:hAnsi="Arial" w:cs="Arial"/>
                <w:b/>
                <w:color w:val="000000" w:themeColor="text1"/>
                <w:sz w:val="18"/>
                <w:szCs w:val="18"/>
                <w:lang w:val="hr-HR"/>
              </w:rPr>
            </w:pPr>
          </w:p>
        </w:tc>
        <w:tc>
          <w:tcPr>
            <w:tcW w:w="617" w:type="pct"/>
          </w:tcPr>
          <w:p w14:paraId="4A48AE88" w14:textId="77777777" w:rsidR="004E2F51" w:rsidRPr="009C411C" w:rsidRDefault="004E2F51" w:rsidP="00E032FC">
            <w:pPr>
              <w:tabs>
                <w:tab w:val="right" w:pos="1202"/>
              </w:tabs>
              <w:jc w:val="right"/>
              <w:outlineLvl w:val="0"/>
              <w:rPr>
                <w:rFonts w:ascii="Arial" w:hAnsi="Arial" w:cs="Arial"/>
                <w:b/>
                <w:color w:val="000000" w:themeColor="text1"/>
                <w:sz w:val="18"/>
                <w:szCs w:val="18"/>
                <w:lang w:val="hr-HR"/>
              </w:rPr>
            </w:pPr>
          </w:p>
        </w:tc>
        <w:tc>
          <w:tcPr>
            <w:tcW w:w="617" w:type="pct"/>
          </w:tcPr>
          <w:p w14:paraId="615C7FB4" w14:textId="77777777" w:rsidR="004E2F51" w:rsidRPr="009C411C" w:rsidRDefault="004E2F51" w:rsidP="00E032FC">
            <w:pPr>
              <w:tabs>
                <w:tab w:val="right" w:pos="1202"/>
              </w:tabs>
              <w:jc w:val="right"/>
              <w:outlineLvl w:val="0"/>
              <w:rPr>
                <w:rFonts w:ascii="Arial" w:hAnsi="Arial" w:cs="Arial"/>
                <w:b/>
                <w:color w:val="000000" w:themeColor="text1"/>
                <w:sz w:val="18"/>
                <w:szCs w:val="18"/>
                <w:lang w:val="hr-HR"/>
              </w:rPr>
            </w:pPr>
          </w:p>
        </w:tc>
      </w:tr>
      <w:tr w:rsidR="00185239" w:rsidRPr="009C411C" w14:paraId="2ACC26AE" w14:textId="77777777" w:rsidTr="00185239">
        <w:trPr>
          <w:cantSplit/>
          <w:trHeight w:val="250"/>
          <w:tblHeader/>
        </w:trPr>
        <w:tc>
          <w:tcPr>
            <w:tcW w:w="2531" w:type="pct"/>
            <w:vAlign w:val="bottom"/>
          </w:tcPr>
          <w:p w14:paraId="631BCF3C"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60" w:name="_Toc67329638"/>
            <w:r w:rsidRPr="009C411C">
              <w:rPr>
                <w:rFonts w:ascii="Arial" w:hAnsi="Arial" w:cs="Arial"/>
                <w:color w:val="000000" w:themeColor="text1"/>
                <w:sz w:val="18"/>
                <w:szCs w:val="18"/>
                <w:lang w:val="hr-HR"/>
              </w:rPr>
              <w:t>Financijske djelatnosti i djelatnosti osiguranja</w:t>
            </w:r>
            <w:bookmarkEnd w:id="1560"/>
          </w:p>
        </w:tc>
        <w:tc>
          <w:tcPr>
            <w:tcW w:w="617" w:type="pct"/>
            <w:tcBorders>
              <w:top w:val="nil"/>
              <w:left w:val="nil"/>
              <w:bottom w:val="nil"/>
              <w:right w:val="nil"/>
            </w:tcBorders>
            <w:shd w:val="clear" w:color="auto" w:fill="auto"/>
            <w:vAlign w:val="bottom"/>
          </w:tcPr>
          <w:p w14:paraId="3CEA20F7"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9.904.362</w:t>
            </w:r>
          </w:p>
        </w:tc>
        <w:tc>
          <w:tcPr>
            <w:tcW w:w="617" w:type="pct"/>
            <w:tcBorders>
              <w:top w:val="nil"/>
              <w:left w:val="nil"/>
              <w:bottom w:val="nil"/>
              <w:right w:val="nil"/>
            </w:tcBorders>
            <w:shd w:val="clear" w:color="auto" w:fill="auto"/>
            <w:vAlign w:val="bottom"/>
          </w:tcPr>
          <w:p w14:paraId="7CFF7A58" w14:textId="77777777" w:rsidR="004E2F51" w:rsidRPr="008B57F3" w:rsidRDefault="004E2F51" w:rsidP="00E032FC">
            <w:pPr>
              <w:tabs>
                <w:tab w:val="right" w:pos="1202"/>
              </w:tabs>
              <w:spacing w:line="301" w:lineRule="exact"/>
              <w:jc w:val="right"/>
              <w:outlineLvl w:val="0"/>
              <w:rPr>
                <w:rFonts w:ascii="Arial" w:hAnsi="Arial" w:cs="Arial"/>
                <w:sz w:val="18"/>
                <w:szCs w:val="18"/>
              </w:rPr>
            </w:pPr>
            <w:r>
              <w:rPr>
                <w:rFonts w:ascii="Arial" w:hAnsi="Arial" w:cs="Arial"/>
                <w:sz w:val="18"/>
                <w:szCs w:val="18"/>
              </w:rPr>
              <w:t>-</w:t>
            </w:r>
          </w:p>
        </w:tc>
        <w:tc>
          <w:tcPr>
            <w:tcW w:w="617" w:type="pct"/>
            <w:tcBorders>
              <w:top w:val="nil"/>
              <w:left w:val="nil"/>
              <w:bottom w:val="nil"/>
              <w:right w:val="nil"/>
            </w:tcBorders>
            <w:shd w:val="clear" w:color="auto" w:fill="auto"/>
            <w:vAlign w:val="bottom"/>
          </w:tcPr>
          <w:p w14:paraId="70058145"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10.805.364</w:t>
            </w:r>
          </w:p>
        </w:tc>
        <w:tc>
          <w:tcPr>
            <w:tcW w:w="617" w:type="pct"/>
            <w:tcBorders>
              <w:top w:val="nil"/>
              <w:left w:val="nil"/>
              <w:bottom w:val="nil"/>
              <w:right w:val="nil"/>
            </w:tcBorders>
            <w:shd w:val="clear" w:color="auto" w:fill="auto"/>
            <w:vAlign w:val="bottom"/>
          </w:tcPr>
          <w:p w14:paraId="1E3D2549"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w:t>
            </w:r>
          </w:p>
        </w:tc>
      </w:tr>
      <w:tr w:rsidR="00185239" w:rsidRPr="009C411C" w14:paraId="41B8B9CE" w14:textId="77777777" w:rsidTr="00185239">
        <w:trPr>
          <w:cantSplit/>
          <w:trHeight w:val="250"/>
          <w:tblHeader/>
        </w:trPr>
        <w:tc>
          <w:tcPr>
            <w:tcW w:w="2531" w:type="pct"/>
            <w:vAlign w:val="bottom"/>
          </w:tcPr>
          <w:p w14:paraId="74F4ADC9" w14:textId="77777777" w:rsidR="004E2F51" w:rsidRPr="009C411C" w:rsidRDefault="004E2F51" w:rsidP="00E032FC">
            <w:pPr>
              <w:tabs>
                <w:tab w:val="right" w:pos="1202"/>
              </w:tabs>
              <w:outlineLvl w:val="0"/>
              <w:rPr>
                <w:rFonts w:ascii="Arial" w:hAnsi="Arial" w:cs="Arial"/>
                <w:color w:val="000000" w:themeColor="text1"/>
                <w:sz w:val="18"/>
                <w:szCs w:val="18"/>
                <w:lang w:val="hr-HR"/>
              </w:rPr>
            </w:pPr>
            <w:bookmarkStart w:id="1561" w:name="_Toc67329643"/>
            <w:r w:rsidRPr="009C411C">
              <w:rPr>
                <w:rFonts w:ascii="Arial" w:hAnsi="Arial" w:cs="Arial"/>
                <w:color w:val="000000" w:themeColor="text1"/>
                <w:sz w:val="18"/>
                <w:szCs w:val="18"/>
                <w:lang w:val="hr-HR"/>
              </w:rPr>
              <w:t>Vodoopskrba, opskrba električnom energijom i ostala infrastruktura</w:t>
            </w:r>
            <w:bookmarkEnd w:id="1561"/>
          </w:p>
        </w:tc>
        <w:tc>
          <w:tcPr>
            <w:tcW w:w="617" w:type="pct"/>
            <w:tcBorders>
              <w:top w:val="nil"/>
              <w:left w:val="nil"/>
              <w:bottom w:val="nil"/>
              <w:right w:val="nil"/>
            </w:tcBorders>
            <w:shd w:val="clear" w:color="auto" w:fill="auto"/>
            <w:vAlign w:val="bottom"/>
          </w:tcPr>
          <w:p w14:paraId="69BBEA48"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2.547.152</w:t>
            </w:r>
          </w:p>
        </w:tc>
        <w:tc>
          <w:tcPr>
            <w:tcW w:w="617" w:type="pct"/>
            <w:tcBorders>
              <w:top w:val="nil"/>
              <w:left w:val="nil"/>
              <w:bottom w:val="nil"/>
              <w:right w:val="nil"/>
            </w:tcBorders>
            <w:shd w:val="clear" w:color="auto" w:fill="auto"/>
            <w:vAlign w:val="bottom"/>
          </w:tcPr>
          <w:p w14:paraId="6917CC82"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1.061.323</w:t>
            </w:r>
          </w:p>
        </w:tc>
        <w:tc>
          <w:tcPr>
            <w:tcW w:w="617" w:type="pct"/>
            <w:tcBorders>
              <w:top w:val="nil"/>
              <w:left w:val="nil"/>
              <w:bottom w:val="nil"/>
              <w:right w:val="nil"/>
            </w:tcBorders>
            <w:shd w:val="clear" w:color="auto" w:fill="auto"/>
            <w:vAlign w:val="bottom"/>
          </w:tcPr>
          <w:p w14:paraId="510D76D6"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1.925.271</w:t>
            </w:r>
          </w:p>
        </w:tc>
        <w:tc>
          <w:tcPr>
            <w:tcW w:w="617" w:type="pct"/>
            <w:tcBorders>
              <w:top w:val="nil"/>
              <w:left w:val="nil"/>
              <w:bottom w:val="nil"/>
              <w:right w:val="nil"/>
            </w:tcBorders>
            <w:shd w:val="clear" w:color="auto" w:fill="auto"/>
            <w:vAlign w:val="bottom"/>
          </w:tcPr>
          <w:p w14:paraId="0C94C0E5"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973.895</w:t>
            </w:r>
          </w:p>
        </w:tc>
      </w:tr>
      <w:tr w:rsidR="00185239" w:rsidRPr="009C411C" w14:paraId="5F05C070" w14:textId="77777777" w:rsidTr="00185239">
        <w:trPr>
          <w:cantSplit/>
          <w:trHeight w:val="250"/>
          <w:tblHeader/>
        </w:trPr>
        <w:tc>
          <w:tcPr>
            <w:tcW w:w="2531" w:type="pct"/>
            <w:vAlign w:val="bottom"/>
          </w:tcPr>
          <w:p w14:paraId="66BCD88B"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62" w:name="_Toc67329648"/>
            <w:r w:rsidRPr="009C411C">
              <w:rPr>
                <w:rFonts w:ascii="Arial" w:hAnsi="Arial" w:cs="Arial"/>
                <w:color w:val="000000" w:themeColor="text1"/>
                <w:sz w:val="18"/>
                <w:szCs w:val="18"/>
                <w:lang w:val="hr-HR"/>
              </w:rPr>
              <w:t>Turizam</w:t>
            </w:r>
            <w:bookmarkEnd w:id="1562"/>
          </w:p>
        </w:tc>
        <w:tc>
          <w:tcPr>
            <w:tcW w:w="617" w:type="pct"/>
            <w:tcBorders>
              <w:top w:val="nil"/>
              <w:left w:val="nil"/>
              <w:bottom w:val="nil"/>
              <w:right w:val="nil"/>
            </w:tcBorders>
            <w:shd w:val="clear" w:color="auto" w:fill="auto"/>
            <w:vAlign w:val="bottom"/>
          </w:tcPr>
          <w:p w14:paraId="75CC3BFD"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3.376.218</w:t>
            </w:r>
          </w:p>
        </w:tc>
        <w:tc>
          <w:tcPr>
            <w:tcW w:w="617" w:type="pct"/>
            <w:tcBorders>
              <w:top w:val="nil"/>
              <w:left w:val="nil"/>
              <w:bottom w:val="nil"/>
              <w:right w:val="nil"/>
            </w:tcBorders>
            <w:shd w:val="clear" w:color="auto" w:fill="auto"/>
            <w:vAlign w:val="bottom"/>
          </w:tcPr>
          <w:p w14:paraId="37263D8A"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236.823</w:t>
            </w:r>
          </w:p>
        </w:tc>
        <w:tc>
          <w:tcPr>
            <w:tcW w:w="617" w:type="pct"/>
            <w:tcBorders>
              <w:top w:val="nil"/>
              <w:left w:val="nil"/>
              <w:bottom w:val="nil"/>
              <w:right w:val="nil"/>
            </w:tcBorders>
            <w:shd w:val="clear" w:color="auto" w:fill="auto"/>
            <w:vAlign w:val="bottom"/>
          </w:tcPr>
          <w:p w14:paraId="5113AEE0"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3.648.347</w:t>
            </w:r>
          </w:p>
        </w:tc>
        <w:tc>
          <w:tcPr>
            <w:tcW w:w="617" w:type="pct"/>
            <w:tcBorders>
              <w:top w:val="nil"/>
              <w:left w:val="nil"/>
              <w:bottom w:val="nil"/>
              <w:right w:val="nil"/>
            </w:tcBorders>
            <w:shd w:val="clear" w:color="auto" w:fill="auto"/>
            <w:vAlign w:val="bottom"/>
          </w:tcPr>
          <w:p w14:paraId="7B2895BF"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657.484</w:t>
            </w:r>
          </w:p>
        </w:tc>
      </w:tr>
      <w:tr w:rsidR="00185239" w:rsidRPr="009C411C" w14:paraId="42D3B37B" w14:textId="77777777" w:rsidTr="00185239">
        <w:trPr>
          <w:cantSplit/>
          <w:trHeight w:val="250"/>
          <w:tblHeader/>
        </w:trPr>
        <w:tc>
          <w:tcPr>
            <w:tcW w:w="2531" w:type="pct"/>
            <w:vAlign w:val="bottom"/>
          </w:tcPr>
          <w:p w14:paraId="7AB472DC"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63" w:name="_Toc67329653"/>
            <w:r w:rsidRPr="009C411C">
              <w:rPr>
                <w:rFonts w:ascii="Arial" w:hAnsi="Arial" w:cs="Arial"/>
                <w:color w:val="000000" w:themeColor="text1"/>
                <w:sz w:val="18"/>
                <w:szCs w:val="18"/>
                <w:lang w:val="hr-HR"/>
              </w:rPr>
              <w:t>Prijevoz, skladištenje i veze</w:t>
            </w:r>
            <w:bookmarkEnd w:id="1563"/>
          </w:p>
        </w:tc>
        <w:tc>
          <w:tcPr>
            <w:tcW w:w="617" w:type="pct"/>
            <w:tcBorders>
              <w:top w:val="nil"/>
              <w:left w:val="nil"/>
              <w:bottom w:val="nil"/>
              <w:right w:val="nil"/>
            </w:tcBorders>
            <w:shd w:val="clear" w:color="auto" w:fill="auto"/>
            <w:vAlign w:val="bottom"/>
          </w:tcPr>
          <w:p w14:paraId="77A74A85"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2.932.463</w:t>
            </w:r>
          </w:p>
        </w:tc>
        <w:tc>
          <w:tcPr>
            <w:tcW w:w="617" w:type="pct"/>
            <w:tcBorders>
              <w:top w:val="nil"/>
              <w:left w:val="nil"/>
              <w:bottom w:val="nil"/>
              <w:right w:val="nil"/>
            </w:tcBorders>
            <w:shd w:val="clear" w:color="auto" w:fill="auto"/>
            <w:vAlign w:val="bottom"/>
          </w:tcPr>
          <w:p w14:paraId="67E2C008"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541.457</w:t>
            </w:r>
          </w:p>
        </w:tc>
        <w:tc>
          <w:tcPr>
            <w:tcW w:w="617" w:type="pct"/>
            <w:tcBorders>
              <w:top w:val="nil"/>
              <w:left w:val="nil"/>
              <w:bottom w:val="nil"/>
              <w:right w:val="nil"/>
            </w:tcBorders>
            <w:shd w:val="clear" w:color="auto" w:fill="auto"/>
            <w:vAlign w:val="bottom"/>
          </w:tcPr>
          <w:p w14:paraId="00EDEC85"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2.496.070</w:t>
            </w:r>
          </w:p>
        </w:tc>
        <w:tc>
          <w:tcPr>
            <w:tcW w:w="617" w:type="pct"/>
            <w:tcBorders>
              <w:top w:val="nil"/>
              <w:left w:val="nil"/>
              <w:bottom w:val="nil"/>
              <w:right w:val="nil"/>
            </w:tcBorders>
            <w:shd w:val="clear" w:color="auto" w:fill="auto"/>
            <w:vAlign w:val="bottom"/>
          </w:tcPr>
          <w:p w14:paraId="42975639"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481.157</w:t>
            </w:r>
          </w:p>
        </w:tc>
      </w:tr>
      <w:tr w:rsidR="00185239" w:rsidRPr="009C411C" w14:paraId="0501B168" w14:textId="77777777" w:rsidTr="00185239">
        <w:trPr>
          <w:cantSplit/>
          <w:trHeight w:val="250"/>
          <w:tblHeader/>
        </w:trPr>
        <w:tc>
          <w:tcPr>
            <w:tcW w:w="2531" w:type="pct"/>
            <w:vAlign w:val="bottom"/>
          </w:tcPr>
          <w:p w14:paraId="4E9954C4"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64" w:name="_Toc67329658"/>
            <w:r w:rsidRPr="009C411C">
              <w:rPr>
                <w:rFonts w:ascii="Arial" w:hAnsi="Arial" w:cs="Arial"/>
                <w:color w:val="000000" w:themeColor="text1"/>
                <w:sz w:val="18"/>
                <w:szCs w:val="18"/>
                <w:lang w:val="hr-HR"/>
              </w:rPr>
              <w:t>Brodogradnja</w:t>
            </w:r>
            <w:bookmarkEnd w:id="1564"/>
          </w:p>
        </w:tc>
        <w:tc>
          <w:tcPr>
            <w:tcW w:w="617" w:type="pct"/>
            <w:tcBorders>
              <w:top w:val="nil"/>
              <w:left w:val="nil"/>
              <w:bottom w:val="nil"/>
              <w:right w:val="nil"/>
            </w:tcBorders>
            <w:shd w:val="clear" w:color="auto" w:fill="auto"/>
            <w:vAlign w:val="bottom"/>
          </w:tcPr>
          <w:p w14:paraId="6B55D04C"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1.496.753</w:t>
            </w:r>
          </w:p>
        </w:tc>
        <w:tc>
          <w:tcPr>
            <w:tcW w:w="617" w:type="pct"/>
            <w:tcBorders>
              <w:top w:val="nil"/>
              <w:left w:val="nil"/>
              <w:bottom w:val="nil"/>
              <w:right w:val="nil"/>
            </w:tcBorders>
            <w:shd w:val="clear" w:color="auto" w:fill="auto"/>
            <w:vAlign w:val="bottom"/>
          </w:tcPr>
          <w:p w14:paraId="5624DF6E"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42.393</w:t>
            </w:r>
          </w:p>
        </w:tc>
        <w:tc>
          <w:tcPr>
            <w:tcW w:w="617" w:type="pct"/>
            <w:tcBorders>
              <w:top w:val="nil"/>
              <w:left w:val="nil"/>
              <w:bottom w:val="nil"/>
              <w:right w:val="nil"/>
            </w:tcBorders>
            <w:shd w:val="clear" w:color="auto" w:fill="auto"/>
            <w:vAlign w:val="bottom"/>
          </w:tcPr>
          <w:p w14:paraId="5F9C677C"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1.481.871</w:t>
            </w:r>
          </w:p>
        </w:tc>
        <w:tc>
          <w:tcPr>
            <w:tcW w:w="617" w:type="pct"/>
            <w:tcBorders>
              <w:top w:val="nil"/>
              <w:left w:val="nil"/>
              <w:bottom w:val="nil"/>
              <w:right w:val="nil"/>
            </w:tcBorders>
            <w:shd w:val="clear" w:color="auto" w:fill="auto"/>
            <w:vAlign w:val="bottom"/>
          </w:tcPr>
          <w:p w14:paraId="0E3AE8CD"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88.546</w:t>
            </w:r>
          </w:p>
        </w:tc>
      </w:tr>
      <w:tr w:rsidR="00185239" w:rsidRPr="009C411C" w14:paraId="53B085B9" w14:textId="77777777" w:rsidTr="00185239">
        <w:trPr>
          <w:cantSplit/>
          <w:trHeight w:val="250"/>
          <w:tblHeader/>
        </w:trPr>
        <w:tc>
          <w:tcPr>
            <w:tcW w:w="2531" w:type="pct"/>
            <w:vAlign w:val="bottom"/>
          </w:tcPr>
          <w:p w14:paraId="2CFF8759" w14:textId="77777777" w:rsidR="004E2F51" w:rsidRPr="009C411C" w:rsidDel="00FF5490"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65" w:name="_Toc67329663"/>
            <w:r w:rsidRPr="009C411C">
              <w:rPr>
                <w:rFonts w:ascii="Arial" w:hAnsi="Arial" w:cs="Arial"/>
                <w:color w:val="000000" w:themeColor="text1"/>
                <w:sz w:val="18"/>
                <w:szCs w:val="18"/>
                <w:lang w:val="hr-HR"/>
              </w:rPr>
              <w:t>Poljoprivreda i ribarstvo</w:t>
            </w:r>
            <w:bookmarkEnd w:id="1565"/>
          </w:p>
        </w:tc>
        <w:tc>
          <w:tcPr>
            <w:tcW w:w="617" w:type="pct"/>
            <w:tcBorders>
              <w:top w:val="nil"/>
              <w:left w:val="nil"/>
              <w:bottom w:val="nil"/>
              <w:right w:val="nil"/>
            </w:tcBorders>
            <w:shd w:val="clear" w:color="auto" w:fill="auto"/>
            <w:vAlign w:val="bottom"/>
          </w:tcPr>
          <w:p w14:paraId="61F82D62"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589.652</w:t>
            </w:r>
          </w:p>
        </w:tc>
        <w:tc>
          <w:tcPr>
            <w:tcW w:w="617" w:type="pct"/>
            <w:tcBorders>
              <w:top w:val="nil"/>
              <w:left w:val="nil"/>
              <w:bottom w:val="nil"/>
              <w:right w:val="nil"/>
            </w:tcBorders>
            <w:shd w:val="clear" w:color="auto" w:fill="auto"/>
            <w:vAlign w:val="bottom"/>
          </w:tcPr>
          <w:p w14:paraId="08F1F075"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95.161</w:t>
            </w:r>
          </w:p>
        </w:tc>
        <w:tc>
          <w:tcPr>
            <w:tcW w:w="617" w:type="pct"/>
            <w:tcBorders>
              <w:top w:val="nil"/>
              <w:left w:val="nil"/>
              <w:bottom w:val="nil"/>
              <w:right w:val="nil"/>
            </w:tcBorders>
            <w:shd w:val="clear" w:color="auto" w:fill="auto"/>
            <w:vAlign w:val="bottom"/>
          </w:tcPr>
          <w:p w14:paraId="44A2628A"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596.042</w:t>
            </w:r>
          </w:p>
        </w:tc>
        <w:tc>
          <w:tcPr>
            <w:tcW w:w="617" w:type="pct"/>
            <w:tcBorders>
              <w:top w:val="nil"/>
              <w:left w:val="nil"/>
              <w:bottom w:val="nil"/>
              <w:right w:val="nil"/>
            </w:tcBorders>
            <w:shd w:val="clear" w:color="auto" w:fill="auto"/>
            <w:vAlign w:val="bottom"/>
          </w:tcPr>
          <w:p w14:paraId="24AB1E2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164.847</w:t>
            </w:r>
          </w:p>
        </w:tc>
      </w:tr>
      <w:tr w:rsidR="00185239" w:rsidRPr="009C411C" w14:paraId="14D65AC2" w14:textId="77777777" w:rsidTr="00185239">
        <w:trPr>
          <w:cantSplit/>
          <w:trHeight w:val="250"/>
          <w:tblHeader/>
        </w:trPr>
        <w:tc>
          <w:tcPr>
            <w:tcW w:w="2531" w:type="pct"/>
            <w:vAlign w:val="bottom"/>
          </w:tcPr>
          <w:p w14:paraId="3606F5F4" w14:textId="77777777" w:rsidR="004E2F51" w:rsidRPr="009C411C" w:rsidDel="00FF5490"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66" w:name="_Toc67329668"/>
            <w:r w:rsidRPr="009C411C">
              <w:rPr>
                <w:rFonts w:ascii="Arial" w:hAnsi="Arial" w:cs="Arial"/>
                <w:color w:val="000000" w:themeColor="text1"/>
                <w:sz w:val="18"/>
                <w:szCs w:val="18"/>
                <w:lang w:val="hr-HR"/>
              </w:rPr>
              <w:t>Proizvodnja prehrambenih proizvoda</w:t>
            </w:r>
            <w:bookmarkEnd w:id="1566"/>
          </w:p>
        </w:tc>
        <w:tc>
          <w:tcPr>
            <w:tcW w:w="617" w:type="pct"/>
            <w:tcBorders>
              <w:top w:val="nil"/>
              <w:left w:val="nil"/>
              <w:bottom w:val="nil"/>
              <w:right w:val="nil"/>
            </w:tcBorders>
            <w:shd w:val="clear" w:color="auto" w:fill="auto"/>
            <w:vAlign w:val="bottom"/>
          </w:tcPr>
          <w:p w14:paraId="4416731F"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857.580</w:t>
            </w:r>
          </w:p>
        </w:tc>
        <w:tc>
          <w:tcPr>
            <w:tcW w:w="617" w:type="pct"/>
            <w:tcBorders>
              <w:top w:val="nil"/>
              <w:left w:val="nil"/>
              <w:bottom w:val="nil"/>
              <w:right w:val="nil"/>
            </w:tcBorders>
            <w:shd w:val="clear" w:color="auto" w:fill="auto"/>
            <w:vAlign w:val="bottom"/>
          </w:tcPr>
          <w:p w14:paraId="2C4B522A"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121.117</w:t>
            </w:r>
          </w:p>
        </w:tc>
        <w:tc>
          <w:tcPr>
            <w:tcW w:w="617" w:type="pct"/>
            <w:tcBorders>
              <w:top w:val="nil"/>
              <w:left w:val="nil"/>
              <w:bottom w:val="nil"/>
              <w:right w:val="nil"/>
            </w:tcBorders>
            <w:shd w:val="clear" w:color="auto" w:fill="auto"/>
            <w:vAlign w:val="bottom"/>
          </w:tcPr>
          <w:p w14:paraId="609BF04B"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966.929</w:t>
            </w:r>
          </w:p>
        </w:tc>
        <w:tc>
          <w:tcPr>
            <w:tcW w:w="617" w:type="pct"/>
            <w:tcBorders>
              <w:top w:val="nil"/>
              <w:left w:val="nil"/>
              <w:bottom w:val="nil"/>
              <w:right w:val="nil"/>
            </w:tcBorders>
            <w:shd w:val="clear" w:color="auto" w:fill="auto"/>
            <w:vAlign w:val="bottom"/>
          </w:tcPr>
          <w:p w14:paraId="595E61AF"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192.536</w:t>
            </w:r>
          </w:p>
        </w:tc>
      </w:tr>
      <w:tr w:rsidR="00185239" w:rsidRPr="009C411C" w14:paraId="5FEB5201" w14:textId="77777777" w:rsidTr="00185239">
        <w:trPr>
          <w:cantSplit/>
          <w:trHeight w:val="250"/>
          <w:tblHeader/>
        </w:trPr>
        <w:tc>
          <w:tcPr>
            <w:tcW w:w="2531" w:type="pct"/>
            <w:vAlign w:val="bottom"/>
          </w:tcPr>
          <w:p w14:paraId="7E647254" w14:textId="77777777" w:rsidR="004E2F51" w:rsidRPr="009C411C" w:rsidDel="00FF5490"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67" w:name="_Toc67329673"/>
            <w:r w:rsidRPr="009C411C">
              <w:rPr>
                <w:rFonts w:ascii="Arial" w:hAnsi="Arial" w:cs="Arial"/>
                <w:color w:val="000000" w:themeColor="text1"/>
                <w:sz w:val="18"/>
                <w:szCs w:val="18"/>
                <w:lang w:val="hr-HR"/>
              </w:rPr>
              <w:t>Građevinarstvo</w:t>
            </w:r>
            <w:bookmarkEnd w:id="1567"/>
          </w:p>
        </w:tc>
        <w:tc>
          <w:tcPr>
            <w:tcW w:w="617" w:type="pct"/>
            <w:tcBorders>
              <w:top w:val="nil"/>
              <w:left w:val="nil"/>
              <w:bottom w:val="nil"/>
              <w:right w:val="nil"/>
            </w:tcBorders>
            <w:shd w:val="clear" w:color="auto" w:fill="auto"/>
            <w:vAlign w:val="bottom"/>
          </w:tcPr>
          <w:p w14:paraId="6E830702"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2.702.414</w:t>
            </w:r>
          </w:p>
        </w:tc>
        <w:tc>
          <w:tcPr>
            <w:tcW w:w="617" w:type="pct"/>
            <w:tcBorders>
              <w:top w:val="nil"/>
              <w:left w:val="nil"/>
              <w:bottom w:val="nil"/>
              <w:right w:val="nil"/>
            </w:tcBorders>
            <w:shd w:val="clear" w:color="auto" w:fill="auto"/>
            <w:vAlign w:val="bottom"/>
          </w:tcPr>
          <w:p w14:paraId="33B0D9BA"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82.968</w:t>
            </w:r>
          </w:p>
        </w:tc>
        <w:tc>
          <w:tcPr>
            <w:tcW w:w="617" w:type="pct"/>
            <w:tcBorders>
              <w:top w:val="nil"/>
              <w:left w:val="nil"/>
              <w:bottom w:val="nil"/>
              <w:right w:val="nil"/>
            </w:tcBorders>
            <w:shd w:val="clear" w:color="auto" w:fill="auto"/>
            <w:vAlign w:val="bottom"/>
          </w:tcPr>
          <w:p w14:paraId="229D941B"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2.836.586</w:t>
            </w:r>
          </w:p>
        </w:tc>
        <w:tc>
          <w:tcPr>
            <w:tcW w:w="617" w:type="pct"/>
            <w:tcBorders>
              <w:top w:val="nil"/>
              <w:left w:val="nil"/>
              <w:bottom w:val="nil"/>
              <w:right w:val="nil"/>
            </w:tcBorders>
            <w:shd w:val="clear" w:color="auto" w:fill="auto"/>
            <w:vAlign w:val="bottom"/>
          </w:tcPr>
          <w:p w14:paraId="124799FE"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124.601</w:t>
            </w:r>
          </w:p>
        </w:tc>
      </w:tr>
      <w:tr w:rsidR="00185239" w:rsidRPr="009C411C" w14:paraId="185F2519" w14:textId="77777777" w:rsidTr="00185239">
        <w:trPr>
          <w:cantSplit/>
          <w:trHeight w:val="250"/>
          <w:tblHeader/>
        </w:trPr>
        <w:tc>
          <w:tcPr>
            <w:tcW w:w="2531" w:type="pct"/>
            <w:vAlign w:val="bottom"/>
          </w:tcPr>
          <w:p w14:paraId="61B5DB0F" w14:textId="77777777" w:rsidR="004E2F51" w:rsidRPr="009C411C" w:rsidDel="00FF5490"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68" w:name="_Toc67329678"/>
            <w:r w:rsidRPr="009C411C">
              <w:rPr>
                <w:rFonts w:ascii="Arial" w:hAnsi="Arial" w:cs="Arial"/>
                <w:color w:val="000000" w:themeColor="text1"/>
                <w:sz w:val="18"/>
                <w:szCs w:val="18"/>
                <w:lang w:val="hr-HR"/>
              </w:rPr>
              <w:t>Ostala industrija</w:t>
            </w:r>
            <w:bookmarkEnd w:id="1568"/>
          </w:p>
        </w:tc>
        <w:tc>
          <w:tcPr>
            <w:tcW w:w="617" w:type="pct"/>
            <w:tcBorders>
              <w:top w:val="nil"/>
              <w:left w:val="nil"/>
              <w:bottom w:val="nil"/>
              <w:right w:val="nil"/>
            </w:tcBorders>
            <w:shd w:val="clear" w:color="auto" w:fill="auto"/>
            <w:vAlign w:val="bottom"/>
          </w:tcPr>
          <w:p w14:paraId="18A1C178"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897.991</w:t>
            </w:r>
          </w:p>
        </w:tc>
        <w:tc>
          <w:tcPr>
            <w:tcW w:w="617" w:type="pct"/>
            <w:tcBorders>
              <w:top w:val="nil"/>
              <w:left w:val="nil"/>
              <w:bottom w:val="nil"/>
              <w:right w:val="nil"/>
            </w:tcBorders>
            <w:shd w:val="clear" w:color="auto" w:fill="auto"/>
            <w:vAlign w:val="bottom"/>
          </w:tcPr>
          <w:p w14:paraId="1087C51B"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206.998</w:t>
            </w:r>
          </w:p>
        </w:tc>
        <w:tc>
          <w:tcPr>
            <w:tcW w:w="617" w:type="pct"/>
            <w:tcBorders>
              <w:top w:val="nil"/>
              <w:left w:val="nil"/>
              <w:bottom w:val="nil"/>
              <w:right w:val="nil"/>
            </w:tcBorders>
            <w:shd w:val="clear" w:color="auto" w:fill="auto"/>
          </w:tcPr>
          <w:p w14:paraId="43A14C3D" w14:textId="77777777" w:rsidR="004E2F51" w:rsidRPr="002D7BE9" w:rsidRDefault="004E2F51" w:rsidP="00E032FC">
            <w:pPr>
              <w:tabs>
                <w:tab w:val="right" w:pos="1202"/>
              </w:tabs>
              <w:spacing w:line="301" w:lineRule="exact"/>
              <w:jc w:val="right"/>
              <w:outlineLvl w:val="0"/>
              <w:rPr>
                <w:rFonts w:ascii="Arial" w:hAnsi="Arial" w:cs="Arial"/>
                <w:sz w:val="18"/>
                <w:szCs w:val="18"/>
              </w:rPr>
            </w:pPr>
            <w:r w:rsidRPr="002D7BE9">
              <w:rPr>
                <w:rFonts w:ascii="Arial" w:hAnsi="Arial" w:cs="Arial"/>
                <w:sz w:val="18"/>
                <w:szCs w:val="18"/>
              </w:rPr>
              <w:t>587.645</w:t>
            </w:r>
          </w:p>
        </w:tc>
        <w:tc>
          <w:tcPr>
            <w:tcW w:w="617" w:type="pct"/>
            <w:tcBorders>
              <w:top w:val="nil"/>
              <w:left w:val="nil"/>
              <w:bottom w:val="nil"/>
              <w:right w:val="nil"/>
            </w:tcBorders>
            <w:shd w:val="clear" w:color="auto" w:fill="auto"/>
          </w:tcPr>
          <w:p w14:paraId="1DF6992D" w14:textId="77777777" w:rsidR="004E2F51" w:rsidRPr="002D7BE9" w:rsidRDefault="004E2F51" w:rsidP="00E032FC">
            <w:pPr>
              <w:tabs>
                <w:tab w:val="right" w:pos="1202"/>
              </w:tabs>
              <w:spacing w:line="301" w:lineRule="exact"/>
              <w:jc w:val="right"/>
              <w:outlineLvl w:val="0"/>
              <w:rPr>
                <w:rFonts w:ascii="Arial" w:hAnsi="Arial" w:cs="Arial"/>
                <w:sz w:val="18"/>
                <w:szCs w:val="18"/>
              </w:rPr>
            </w:pPr>
            <w:r w:rsidRPr="002D7BE9">
              <w:rPr>
                <w:rFonts w:ascii="Arial" w:hAnsi="Arial" w:cs="Arial"/>
                <w:sz w:val="18"/>
                <w:szCs w:val="18"/>
              </w:rPr>
              <w:t>199.143</w:t>
            </w:r>
          </w:p>
        </w:tc>
      </w:tr>
      <w:tr w:rsidR="00185239" w:rsidRPr="009C411C" w14:paraId="2F046141" w14:textId="77777777" w:rsidTr="00185239">
        <w:trPr>
          <w:cantSplit/>
          <w:trHeight w:val="250"/>
          <w:tblHeader/>
        </w:trPr>
        <w:tc>
          <w:tcPr>
            <w:tcW w:w="2531" w:type="pct"/>
            <w:vAlign w:val="bottom"/>
          </w:tcPr>
          <w:p w14:paraId="151EEA14" w14:textId="77777777" w:rsidR="004E2F51" w:rsidRPr="009C411C" w:rsidDel="00FF5490"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69" w:name="_Toc67329683"/>
            <w:r w:rsidRPr="009C411C">
              <w:rPr>
                <w:rFonts w:ascii="Arial" w:hAnsi="Arial" w:cs="Arial"/>
                <w:color w:val="000000" w:themeColor="text1"/>
                <w:sz w:val="18"/>
                <w:szCs w:val="18"/>
                <w:lang w:val="hr-HR"/>
              </w:rPr>
              <w:t>Javna uprava</w:t>
            </w:r>
            <w:bookmarkEnd w:id="1569"/>
          </w:p>
        </w:tc>
        <w:tc>
          <w:tcPr>
            <w:tcW w:w="617" w:type="pct"/>
            <w:tcBorders>
              <w:top w:val="nil"/>
              <w:left w:val="nil"/>
              <w:bottom w:val="nil"/>
              <w:right w:val="nil"/>
            </w:tcBorders>
            <w:shd w:val="clear" w:color="auto" w:fill="auto"/>
            <w:vAlign w:val="bottom"/>
          </w:tcPr>
          <w:p w14:paraId="5E06CB5E"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2.743.933</w:t>
            </w:r>
          </w:p>
        </w:tc>
        <w:tc>
          <w:tcPr>
            <w:tcW w:w="617" w:type="pct"/>
            <w:tcBorders>
              <w:top w:val="nil"/>
              <w:left w:val="nil"/>
              <w:bottom w:val="nil"/>
              <w:right w:val="nil"/>
            </w:tcBorders>
            <w:shd w:val="clear" w:color="auto" w:fill="auto"/>
            <w:vAlign w:val="bottom"/>
          </w:tcPr>
          <w:p w14:paraId="45B4C7A4"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2.740.753</w:t>
            </w:r>
          </w:p>
        </w:tc>
        <w:tc>
          <w:tcPr>
            <w:tcW w:w="617" w:type="pct"/>
            <w:tcBorders>
              <w:top w:val="nil"/>
              <w:left w:val="nil"/>
              <w:bottom w:val="nil"/>
              <w:right w:val="nil"/>
            </w:tcBorders>
            <w:shd w:val="clear" w:color="auto" w:fill="auto"/>
            <w:vAlign w:val="bottom"/>
          </w:tcPr>
          <w:p w14:paraId="435BA709"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2.918.243</w:t>
            </w:r>
          </w:p>
        </w:tc>
        <w:tc>
          <w:tcPr>
            <w:tcW w:w="617" w:type="pct"/>
            <w:tcBorders>
              <w:top w:val="nil"/>
              <w:left w:val="nil"/>
              <w:bottom w:val="nil"/>
              <w:right w:val="nil"/>
            </w:tcBorders>
            <w:shd w:val="clear" w:color="auto" w:fill="auto"/>
            <w:vAlign w:val="bottom"/>
          </w:tcPr>
          <w:p w14:paraId="2E23D08C"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2.914.897</w:t>
            </w:r>
          </w:p>
        </w:tc>
      </w:tr>
      <w:tr w:rsidR="00185239" w:rsidRPr="009C411C" w14:paraId="2C59A67E" w14:textId="77777777" w:rsidTr="00185239">
        <w:trPr>
          <w:cantSplit/>
          <w:trHeight w:val="250"/>
          <w:tblHeader/>
        </w:trPr>
        <w:tc>
          <w:tcPr>
            <w:tcW w:w="2531" w:type="pct"/>
            <w:vAlign w:val="bottom"/>
          </w:tcPr>
          <w:p w14:paraId="5613BEA6" w14:textId="77777777" w:rsidR="004E2F51" w:rsidRPr="009C411C" w:rsidDel="00FF5490"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70" w:name="_Toc67329688"/>
            <w:r w:rsidRPr="009C411C">
              <w:rPr>
                <w:rFonts w:ascii="Arial" w:hAnsi="Arial" w:cs="Arial"/>
                <w:color w:val="000000" w:themeColor="text1"/>
                <w:sz w:val="18"/>
                <w:szCs w:val="18"/>
                <w:lang w:val="hr-HR"/>
              </w:rPr>
              <w:t>Obrazovanje</w:t>
            </w:r>
            <w:bookmarkEnd w:id="1570"/>
          </w:p>
        </w:tc>
        <w:tc>
          <w:tcPr>
            <w:tcW w:w="617" w:type="pct"/>
            <w:tcBorders>
              <w:top w:val="nil"/>
              <w:left w:val="nil"/>
              <w:bottom w:val="nil"/>
              <w:right w:val="nil"/>
            </w:tcBorders>
            <w:shd w:val="clear" w:color="auto" w:fill="auto"/>
            <w:vAlign w:val="bottom"/>
          </w:tcPr>
          <w:p w14:paraId="4E85BD72"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66.234</w:t>
            </w:r>
          </w:p>
        </w:tc>
        <w:tc>
          <w:tcPr>
            <w:tcW w:w="617" w:type="pct"/>
            <w:tcBorders>
              <w:top w:val="nil"/>
              <w:left w:val="nil"/>
              <w:bottom w:val="nil"/>
              <w:right w:val="nil"/>
            </w:tcBorders>
            <w:shd w:val="clear" w:color="auto" w:fill="auto"/>
            <w:vAlign w:val="bottom"/>
          </w:tcPr>
          <w:p w14:paraId="7BC1A1C4"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63.440</w:t>
            </w:r>
          </w:p>
        </w:tc>
        <w:tc>
          <w:tcPr>
            <w:tcW w:w="617" w:type="pct"/>
            <w:tcBorders>
              <w:top w:val="nil"/>
              <w:left w:val="nil"/>
              <w:bottom w:val="nil"/>
              <w:right w:val="nil"/>
            </w:tcBorders>
            <w:shd w:val="clear" w:color="auto" w:fill="auto"/>
            <w:vAlign w:val="bottom"/>
          </w:tcPr>
          <w:p w14:paraId="4E67D6DC"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32.142</w:t>
            </w:r>
          </w:p>
        </w:tc>
        <w:tc>
          <w:tcPr>
            <w:tcW w:w="617" w:type="pct"/>
            <w:tcBorders>
              <w:top w:val="nil"/>
              <w:left w:val="nil"/>
              <w:bottom w:val="nil"/>
              <w:right w:val="nil"/>
            </w:tcBorders>
            <w:shd w:val="clear" w:color="auto" w:fill="auto"/>
            <w:vAlign w:val="bottom"/>
          </w:tcPr>
          <w:p w14:paraId="00AA9D1A"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29.789</w:t>
            </w:r>
          </w:p>
        </w:tc>
      </w:tr>
      <w:tr w:rsidR="00185239" w:rsidRPr="009C411C" w14:paraId="512284F8" w14:textId="77777777" w:rsidTr="00185239">
        <w:trPr>
          <w:cantSplit/>
          <w:trHeight w:val="395"/>
          <w:tblHeader/>
        </w:trPr>
        <w:tc>
          <w:tcPr>
            <w:tcW w:w="2531" w:type="pct"/>
            <w:vAlign w:val="bottom"/>
          </w:tcPr>
          <w:p w14:paraId="06550486" w14:textId="77777777" w:rsidR="004E2F51" w:rsidRPr="009C411C" w:rsidRDefault="004E2F51" w:rsidP="00E032FC">
            <w:pPr>
              <w:tabs>
                <w:tab w:val="right" w:pos="1202"/>
              </w:tabs>
              <w:outlineLvl w:val="0"/>
              <w:rPr>
                <w:rFonts w:ascii="Arial" w:hAnsi="Arial" w:cs="Arial"/>
                <w:color w:val="000000" w:themeColor="text1"/>
                <w:sz w:val="18"/>
                <w:szCs w:val="18"/>
                <w:lang w:val="hr-HR"/>
              </w:rPr>
            </w:pPr>
            <w:bookmarkStart w:id="1571" w:name="_Toc67329693"/>
            <w:r w:rsidRPr="009C411C">
              <w:rPr>
                <w:rFonts w:ascii="Arial" w:hAnsi="Arial" w:cs="Arial"/>
                <w:color w:val="000000" w:themeColor="text1"/>
                <w:sz w:val="18"/>
                <w:szCs w:val="18"/>
                <w:lang w:val="hr-HR"/>
              </w:rPr>
              <w:t>Proizvodnja metala i gotovih metalnih proizvoda, osim strojeva i opreme</w:t>
            </w:r>
            <w:bookmarkEnd w:id="1571"/>
            <w:r w:rsidRPr="009C411C">
              <w:rPr>
                <w:rFonts w:ascii="Arial" w:hAnsi="Arial" w:cs="Arial"/>
                <w:color w:val="000000" w:themeColor="text1"/>
                <w:sz w:val="18"/>
                <w:szCs w:val="18"/>
                <w:lang w:val="hr-HR"/>
              </w:rPr>
              <w:t xml:space="preserve"> </w:t>
            </w:r>
          </w:p>
        </w:tc>
        <w:tc>
          <w:tcPr>
            <w:tcW w:w="617" w:type="pct"/>
            <w:tcBorders>
              <w:top w:val="nil"/>
              <w:left w:val="nil"/>
              <w:bottom w:val="nil"/>
              <w:right w:val="nil"/>
            </w:tcBorders>
            <w:shd w:val="clear" w:color="auto" w:fill="auto"/>
            <w:vAlign w:val="bottom"/>
          </w:tcPr>
          <w:p w14:paraId="069B3202"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390.908</w:t>
            </w:r>
          </w:p>
        </w:tc>
        <w:tc>
          <w:tcPr>
            <w:tcW w:w="617" w:type="pct"/>
            <w:tcBorders>
              <w:top w:val="nil"/>
              <w:left w:val="nil"/>
              <w:bottom w:val="nil"/>
              <w:right w:val="nil"/>
            </w:tcBorders>
            <w:shd w:val="clear" w:color="auto" w:fill="auto"/>
            <w:vAlign w:val="bottom"/>
          </w:tcPr>
          <w:p w14:paraId="0ADA1DBB"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52.061</w:t>
            </w:r>
          </w:p>
        </w:tc>
        <w:tc>
          <w:tcPr>
            <w:tcW w:w="617" w:type="pct"/>
            <w:tcBorders>
              <w:top w:val="nil"/>
              <w:left w:val="nil"/>
              <w:bottom w:val="nil"/>
              <w:right w:val="nil"/>
            </w:tcBorders>
            <w:shd w:val="clear" w:color="auto" w:fill="auto"/>
            <w:vAlign w:val="bottom"/>
          </w:tcPr>
          <w:p w14:paraId="6CB34418"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281.395</w:t>
            </w:r>
          </w:p>
        </w:tc>
        <w:tc>
          <w:tcPr>
            <w:tcW w:w="617" w:type="pct"/>
            <w:tcBorders>
              <w:top w:val="nil"/>
              <w:left w:val="nil"/>
              <w:bottom w:val="nil"/>
              <w:right w:val="nil"/>
            </w:tcBorders>
            <w:shd w:val="clear" w:color="auto" w:fill="auto"/>
            <w:vAlign w:val="bottom"/>
          </w:tcPr>
          <w:p w14:paraId="344834E8"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46.890</w:t>
            </w:r>
          </w:p>
        </w:tc>
      </w:tr>
      <w:tr w:rsidR="00185239" w:rsidRPr="009C411C" w14:paraId="351A7325" w14:textId="77777777" w:rsidTr="00185239">
        <w:trPr>
          <w:cantSplit/>
          <w:trHeight w:val="250"/>
          <w:tblHeader/>
        </w:trPr>
        <w:tc>
          <w:tcPr>
            <w:tcW w:w="2531" w:type="pct"/>
            <w:vAlign w:val="bottom"/>
          </w:tcPr>
          <w:p w14:paraId="3453EC05"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72" w:name="_Toc67329698"/>
            <w:r w:rsidRPr="009C411C">
              <w:rPr>
                <w:rFonts w:ascii="Arial" w:hAnsi="Arial" w:cs="Arial"/>
                <w:color w:val="000000" w:themeColor="text1"/>
                <w:sz w:val="18"/>
                <w:szCs w:val="18"/>
                <w:lang w:val="hr-HR"/>
              </w:rPr>
              <w:t>Proizvodnja kemikalija i kemijskih proizvoda</w:t>
            </w:r>
            <w:bookmarkEnd w:id="1572"/>
          </w:p>
        </w:tc>
        <w:tc>
          <w:tcPr>
            <w:tcW w:w="617" w:type="pct"/>
            <w:tcBorders>
              <w:top w:val="nil"/>
              <w:left w:val="nil"/>
              <w:bottom w:val="nil"/>
              <w:right w:val="nil"/>
            </w:tcBorders>
            <w:shd w:val="clear" w:color="auto" w:fill="auto"/>
            <w:vAlign w:val="bottom"/>
          </w:tcPr>
          <w:p w14:paraId="12925210"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50.772</w:t>
            </w:r>
          </w:p>
        </w:tc>
        <w:tc>
          <w:tcPr>
            <w:tcW w:w="617" w:type="pct"/>
            <w:tcBorders>
              <w:top w:val="nil"/>
              <w:left w:val="nil"/>
              <w:bottom w:val="nil"/>
              <w:right w:val="nil"/>
            </w:tcBorders>
            <w:shd w:val="clear" w:color="auto" w:fill="auto"/>
            <w:vAlign w:val="bottom"/>
          </w:tcPr>
          <w:p w14:paraId="1262E5EA"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1.949</w:t>
            </w:r>
          </w:p>
        </w:tc>
        <w:tc>
          <w:tcPr>
            <w:tcW w:w="617" w:type="pct"/>
            <w:tcBorders>
              <w:top w:val="nil"/>
              <w:left w:val="nil"/>
              <w:bottom w:val="nil"/>
              <w:right w:val="nil"/>
            </w:tcBorders>
            <w:shd w:val="clear" w:color="auto" w:fill="auto"/>
            <w:vAlign w:val="bottom"/>
          </w:tcPr>
          <w:p w14:paraId="771AFB06"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86.151</w:t>
            </w:r>
          </w:p>
        </w:tc>
        <w:tc>
          <w:tcPr>
            <w:tcW w:w="617" w:type="pct"/>
            <w:tcBorders>
              <w:top w:val="nil"/>
              <w:left w:val="nil"/>
              <w:bottom w:val="nil"/>
              <w:right w:val="nil"/>
            </w:tcBorders>
            <w:shd w:val="clear" w:color="auto" w:fill="auto"/>
            <w:vAlign w:val="bottom"/>
          </w:tcPr>
          <w:p w14:paraId="611D1E26"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22.533</w:t>
            </w:r>
          </w:p>
        </w:tc>
      </w:tr>
      <w:tr w:rsidR="00185239" w:rsidRPr="009C411C" w14:paraId="7C163472" w14:textId="77777777" w:rsidTr="00185239">
        <w:trPr>
          <w:cantSplit/>
          <w:trHeight w:val="250"/>
          <w:tblHeader/>
        </w:trPr>
        <w:tc>
          <w:tcPr>
            <w:tcW w:w="2531" w:type="pct"/>
            <w:vAlign w:val="bottom"/>
          </w:tcPr>
          <w:p w14:paraId="52C01607"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73" w:name="_Toc67329703"/>
            <w:r w:rsidRPr="009C411C">
              <w:rPr>
                <w:rFonts w:ascii="Arial" w:hAnsi="Arial" w:cs="Arial"/>
                <w:color w:val="000000" w:themeColor="text1"/>
                <w:sz w:val="18"/>
                <w:szCs w:val="18"/>
                <w:lang w:val="hr-HR"/>
              </w:rPr>
              <w:t>Proizvodnja ostalih nemetalnih mineralnih proizvoda</w:t>
            </w:r>
            <w:bookmarkEnd w:id="1573"/>
            <w:r w:rsidRPr="009C411C">
              <w:rPr>
                <w:rFonts w:ascii="Arial" w:hAnsi="Arial" w:cs="Arial"/>
                <w:color w:val="000000" w:themeColor="text1"/>
                <w:sz w:val="18"/>
                <w:szCs w:val="18"/>
                <w:lang w:val="hr-HR"/>
              </w:rPr>
              <w:t xml:space="preserve"> </w:t>
            </w:r>
          </w:p>
        </w:tc>
        <w:tc>
          <w:tcPr>
            <w:tcW w:w="617" w:type="pct"/>
            <w:tcBorders>
              <w:top w:val="nil"/>
              <w:left w:val="nil"/>
              <w:bottom w:val="nil"/>
              <w:right w:val="nil"/>
            </w:tcBorders>
            <w:shd w:val="clear" w:color="auto" w:fill="auto"/>
            <w:vAlign w:val="bottom"/>
          </w:tcPr>
          <w:p w14:paraId="2E19DE3D"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250.825</w:t>
            </w:r>
          </w:p>
        </w:tc>
        <w:tc>
          <w:tcPr>
            <w:tcW w:w="617" w:type="pct"/>
            <w:tcBorders>
              <w:top w:val="nil"/>
              <w:left w:val="nil"/>
              <w:bottom w:val="nil"/>
              <w:right w:val="nil"/>
            </w:tcBorders>
            <w:shd w:val="clear" w:color="auto" w:fill="auto"/>
            <w:vAlign w:val="bottom"/>
          </w:tcPr>
          <w:p w14:paraId="316F9FE1"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119.955</w:t>
            </w:r>
          </w:p>
        </w:tc>
        <w:tc>
          <w:tcPr>
            <w:tcW w:w="617" w:type="pct"/>
            <w:tcBorders>
              <w:top w:val="nil"/>
              <w:left w:val="nil"/>
              <w:bottom w:val="nil"/>
              <w:right w:val="nil"/>
            </w:tcBorders>
            <w:shd w:val="clear" w:color="auto" w:fill="auto"/>
            <w:vAlign w:val="bottom"/>
          </w:tcPr>
          <w:p w14:paraId="22554CC9"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171.322</w:t>
            </w:r>
          </w:p>
        </w:tc>
        <w:tc>
          <w:tcPr>
            <w:tcW w:w="617" w:type="pct"/>
            <w:tcBorders>
              <w:top w:val="nil"/>
              <w:left w:val="nil"/>
              <w:bottom w:val="nil"/>
              <w:right w:val="nil"/>
            </w:tcBorders>
            <w:shd w:val="clear" w:color="auto" w:fill="auto"/>
            <w:vAlign w:val="bottom"/>
          </w:tcPr>
          <w:p w14:paraId="3D6F90E3"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126.355</w:t>
            </w:r>
          </w:p>
        </w:tc>
      </w:tr>
      <w:tr w:rsidR="00185239" w:rsidRPr="009C411C" w14:paraId="761A8A78" w14:textId="77777777" w:rsidTr="00185239">
        <w:trPr>
          <w:cantSplit/>
          <w:trHeight w:val="250"/>
          <w:tblHeader/>
        </w:trPr>
        <w:tc>
          <w:tcPr>
            <w:tcW w:w="2531" w:type="pct"/>
            <w:vAlign w:val="bottom"/>
          </w:tcPr>
          <w:p w14:paraId="7AE6ED66"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74" w:name="_Toc67329708"/>
            <w:r w:rsidRPr="009C411C">
              <w:rPr>
                <w:rFonts w:ascii="Arial" w:hAnsi="Arial" w:cs="Arial"/>
                <w:color w:val="000000" w:themeColor="text1"/>
                <w:sz w:val="18"/>
                <w:szCs w:val="18"/>
                <w:lang w:val="hr-HR"/>
              </w:rPr>
              <w:t>Proizvodnja farmaceutskih pripravaka</w:t>
            </w:r>
            <w:bookmarkEnd w:id="1574"/>
          </w:p>
        </w:tc>
        <w:tc>
          <w:tcPr>
            <w:tcW w:w="617" w:type="pct"/>
            <w:tcBorders>
              <w:top w:val="nil"/>
              <w:left w:val="nil"/>
              <w:bottom w:val="nil"/>
              <w:right w:val="nil"/>
            </w:tcBorders>
            <w:shd w:val="clear" w:color="auto" w:fill="auto"/>
            <w:vAlign w:val="bottom"/>
          </w:tcPr>
          <w:p w14:paraId="082E6927"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538.195</w:t>
            </w:r>
          </w:p>
        </w:tc>
        <w:tc>
          <w:tcPr>
            <w:tcW w:w="617" w:type="pct"/>
            <w:tcBorders>
              <w:top w:val="nil"/>
              <w:left w:val="nil"/>
              <w:bottom w:val="nil"/>
              <w:right w:val="nil"/>
            </w:tcBorders>
            <w:shd w:val="clear" w:color="auto" w:fill="auto"/>
            <w:vAlign w:val="bottom"/>
          </w:tcPr>
          <w:p w14:paraId="7784C3D3"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99.847</w:t>
            </w:r>
          </w:p>
        </w:tc>
        <w:tc>
          <w:tcPr>
            <w:tcW w:w="617" w:type="pct"/>
            <w:tcBorders>
              <w:top w:val="nil"/>
              <w:left w:val="nil"/>
              <w:bottom w:val="nil"/>
              <w:right w:val="nil"/>
            </w:tcBorders>
            <w:shd w:val="clear" w:color="auto" w:fill="auto"/>
            <w:vAlign w:val="bottom"/>
          </w:tcPr>
          <w:p w14:paraId="3B595A82"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416.205</w:t>
            </w:r>
          </w:p>
        </w:tc>
        <w:tc>
          <w:tcPr>
            <w:tcW w:w="617" w:type="pct"/>
            <w:tcBorders>
              <w:top w:val="nil"/>
              <w:left w:val="nil"/>
              <w:bottom w:val="nil"/>
              <w:right w:val="nil"/>
            </w:tcBorders>
            <w:shd w:val="clear" w:color="auto" w:fill="auto"/>
            <w:vAlign w:val="bottom"/>
          </w:tcPr>
          <w:p w14:paraId="6DF1F395"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379.399</w:t>
            </w:r>
          </w:p>
        </w:tc>
      </w:tr>
      <w:tr w:rsidR="00185239" w:rsidRPr="009C411C" w14:paraId="2F470E41" w14:textId="77777777" w:rsidTr="00185239">
        <w:trPr>
          <w:cantSplit/>
          <w:trHeight w:val="250"/>
          <w:tblHeader/>
        </w:trPr>
        <w:tc>
          <w:tcPr>
            <w:tcW w:w="2531" w:type="pct"/>
            <w:vAlign w:val="bottom"/>
          </w:tcPr>
          <w:p w14:paraId="733F1ACC"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75" w:name="_Toc67329713"/>
            <w:r w:rsidRPr="009C411C">
              <w:rPr>
                <w:rFonts w:ascii="Arial" w:hAnsi="Arial" w:cs="Arial"/>
                <w:color w:val="000000" w:themeColor="text1"/>
                <w:sz w:val="18"/>
                <w:szCs w:val="18"/>
                <w:lang w:val="hr-HR"/>
              </w:rPr>
              <w:t>Proizvodnja motornih vozila, prikolica i poluprikolica</w:t>
            </w:r>
            <w:bookmarkEnd w:id="1575"/>
          </w:p>
        </w:tc>
        <w:tc>
          <w:tcPr>
            <w:tcW w:w="617" w:type="pct"/>
            <w:tcBorders>
              <w:top w:val="nil"/>
              <w:left w:val="nil"/>
              <w:bottom w:val="nil"/>
              <w:right w:val="nil"/>
            </w:tcBorders>
            <w:shd w:val="clear" w:color="auto" w:fill="auto"/>
            <w:vAlign w:val="bottom"/>
          </w:tcPr>
          <w:p w14:paraId="56F3F207"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115.047</w:t>
            </w:r>
          </w:p>
        </w:tc>
        <w:tc>
          <w:tcPr>
            <w:tcW w:w="617" w:type="pct"/>
            <w:tcBorders>
              <w:top w:val="nil"/>
              <w:left w:val="nil"/>
              <w:bottom w:val="nil"/>
              <w:right w:val="nil"/>
            </w:tcBorders>
            <w:shd w:val="clear" w:color="auto" w:fill="auto"/>
            <w:vAlign w:val="bottom"/>
          </w:tcPr>
          <w:p w14:paraId="6798E25D"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3.208</w:t>
            </w:r>
          </w:p>
        </w:tc>
        <w:tc>
          <w:tcPr>
            <w:tcW w:w="617" w:type="pct"/>
            <w:tcBorders>
              <w:top w:val="nil"/>
              <w:left w:val="nil"/>
              <w:bottom w:val="nil"/>
              <w:right w:val="nil"/>
            </w:tcBorders>
            <w:shd w:val="clear" w:color="auto" w:fill="auto"/>
            <w:vAlign w:val="bottom"/>
          </w:tcPr>
          <w:p w14:paraId="6F30F23C"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266.004</w:t>
            </w:r>
          </w:p>
        </w:tc>
        <w:tc>
          <w:tcPr>
            <w:tcW w:w="617" w:type="pct"/>
            <w:tcBorders>
              <w:top w:val="nil"/>
              <w:left w:val="nil"/>
              <w:bottom w:val="nil"/>
              <w:right w:val="nil"/>
            </w:tcBorders>
            <w:shd w:val="clear" w:color="auto" w:fill="auto"/>
            <w:vAlign w:val="bottom"/>
          </w:tcPr>
          <w:p w14:paraId="43C9C994"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17.411</w:t>
            </w:r>
          </w:p>
        </w:tc>
      </w:tr>
      <w:tr w:rsidR="00185239" w:rsidRPr="009C411C" w14:paraId="2850B6C8" w14:textId="77777777" w:rsidTr="00185239">
        <w:trPr>
          <w:cantSplit/>
          <w:trHeight w:val="250"/>
          <w:tblHeader/>
        </w:trPr>
        <w:tc>
          <w:tcPr>
            <w:tcW w:w="2531" w:type="pct"/>
            <w:vAlign w:val="bottom"/>
          </w:tcPr>
          <w:p w14:paraId="53FAA522"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r w:rsidRPr="008B57F3">
              <w:rPr>
                <w:rFonts w:ascii="Arial" w:hAnsi="Arial" w:cs="Arial"/>
                <w:color w:val="000000" w:themeColor="text1"/>
                <w:sz w:val="18"/>
                <w:szCs w:val="18"/>
                <w:lang w:val="hr-HR"/>
              </w:rPr>
              <w:t>Proizvodnja električne opreme</w:t>
            </w:r>
          </w:p>
        </w:tc>
        <w:tc>
          <w:tcPr>
            <w:tcW w:w="617" w:type="pct"/>
            <w:tcBorders>
              <w:top w:val="nil"/>
              <w:left w:val="nil"/>
              <w:bottom w:val="nil"/>
              <w:right w:val="nil"/>
            </w:tcBorders>
            <w:shd w:val="clear" w:color="auto" w:fill="auto"/>
            <w:vAlign w:val="bottom"/>
          </w:tcPr>
          <w:p w14:paraId="519DFB2B"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120.131</w:t>
            </w:r>
          </w:p>
        </w:tc>
        <w:tc>
          <w:tcPr>
            <w:tcW w:w="617" w:type="pct"/>
            <w:tcBorders>
              <w:top w:val="nil"/>
              <w:left w:val="nil"/>
              <w:bottom w:val="nil"/>
              <w:right w:val="nil"/>
            </w:tcBorders>
            <w:shd w:val="clear" w:color="auto" w:fill="auto"/>
            <w:vAlign w:val="bottom"/>
          </w:tcPr>
          <w:p w14:paraId="34B97717"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56.688</w:t>
            </w:r>
          </w:p>
        </w:tc>
        <w:tc>
          <w:tcPr>
            <w:tcW w:w="617" w:type="pct"/>
            <w:tcBorders>
              <w:top w:val="nil"/>
              <w:left w:val="nil"/>
              <w:bottom w:val="nil"/>
              <w:right w:val="nil"/>
            </w:tcBorders>
            <w:shd w:val="clear" w:color="auto" w:fill="auto"/>
            <w:vAlign w:val="bottom"/>
          </w:tcPr>
          <w:p w14:paraId="4A1A785C" w14:textId="77777777" w:rsidR="004E2F51" w:rsidRPr="009C411C" w:rsidRDefault="004E2F51" w:rsidP="00E032FC">
            <w:pPr>
              <w:tabs>
                <w:tab w:val="right" w:pos="1202"/>
              </w:tabs>
              <w:spacing w:line="301" w:lineRule="exact"/>
              <w:jc w:val="right"/>
              <w:outlineLvl w:val="0"/>
              <w:rPr>
                <w:rFonts w:ascii="Arial" w:hAnsi="Arial" w:cs="Arial"/>
                <w:sz w:val="18"/>
                <w:szCs w:val="18"/>
              </w:rPr>
            </w:pPr>
            <w:r w:rsidRPr="002D7BE9">
              <w:rPr>
                <w:rFonts w:ascii="Arial" w:hAnsi="Arial" w:cs="Arial"/>
                <w:sz w:val="18"/>
                <w:szCs w:val="18"/>
              </w:rPr>
              <w:t>78.975</w:t>
            </w:r>
          </w:p>
        </w:tc>
        <w:tc>
          <w:tcPr>
            <w:tcW w:w="617" w:type="pct"/>
            <w:tcBorders>
              <w:top w:val="nil"/>
              <w:left w:val="nil"/>
              <w:bottom w:val="nil"/>
              <w:right w:val="nil"/>
            </w:tcBorders>
            <w:shd w:val="clear" w:color="auto" w:fill="auto"/>
            <w:vAlign w:val="bottom"/>
          </w:tcPr>
          <w:p w14:paraId="74883471" w14:textId="77777777" w:rsidR="004E2F51" w:rsidRPr="009C411C" w:rsidRDefault="004E2F51" w:rsidP="00E032FC">
            <w:pPr>
              <w:tabs>
                <w:tab w:val="right" w:pos="1202"/>
              </w:tabs>
              <w:spacing w:line="301" w:lineRule="exact"/>
              <w:jc w:val="right"/>
              <w:outlineLvl w:val="0"/>
              <w:rPr>
                <w:rFonts w:ascii="Arial" w:hAnsi="Arial" w:cs="Arial"/>
                <w:sz w:val="18"/>
                <w:szCs w:val="18"/>
              </w:rPr>
            </w:pPr>
            <w:r w:rsidRPr="002D7BE9">
              <w:rPr>
                <w:rFonts w:ascii="Arial" w:hAnsi="Arial" w:cs="Arial"/>
                <w:sz w:val="18"/>
                <w:szCs w:val="18"/>
              </w:rPr>
              <w:t>24.512</w:t>
            </w:r>
          </w:p>
        </w:tc>
      </w:tr>
      <w:tr w:rsidR="00185239" w:rsidRPr="009C411C" w14:paraId="69BA81CE" w14:textId="77777777" w:rsidTr="00185239">
        <w:trPr>
          <w:cantSplit/>
          <w:trHeight w:val="250"/>
          <w:tblHeader/>
        </w:trPr>
        <w:tc>
          <w:tcPr>
            <w:tcW w:w="2531" w:type="pct"/>
            <w:vAlign w:val="bottom"/>
          </w:tcPr>
          <w:p w14:paraId="3B80E781"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r w:rsidRPr="008B57F3">
              <w:rPr>
                <w:rFonts w:ascii="Arial" w:hAnsi="Arial" w:cs="Arial"/>
                <w:color w:val="000000" w:themeColor="text1"/>
                <w:sz w:val="18"/>
                <w:szCs w:val="18"/>
                <w:lang w:val="hr-HR"/>
              </w:rPr>
              <w:t>Proizvodnja strojeva i uređaja</w:t>
            </w:r>
          </w:p>
        </w:tc>
        <w:tc>
          <w:tcPr>
            <w:tcW w:w="617" w:type="pct"/>
            <w:tcBorders>
              <w:top w:val="nil"/>
              <w:left w:val="nil"/>
              <w:bottom w:val="nil"/>
              <w:right w:val="nil"/>
            </w:tcBorders>
            <w:shd w:val="clear" w:color="auto" w:fill="auto"/>
            <w:vAlign w:val="bottom"/>
          </w:tcPr>
          <w:p w14:paraId="5B3E1954"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150.558</w:t>
            </w:r>
          </w:p>
        </w:tc>
        <w:tc>
          <w:tcPr>
            <w:tcW w:w="617" w:type="pct"/>
            <w:tcBorders>
              <w:top w:val="nil"/>
              <w:left w:val="nil"/>
              <w:bottom w:val="nil"/>
              <w:right w:val="nil"/>
            </w:tcBorders>
            <w:shd w:val="clear" w:color="auto" w:fill="auto"/>
            <w:vAlign w:val="bottom"/>
          </w:tcPr>
          <w:p w14:paraId="785E80B5"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22.494</w:t>
            </w:r>
          </w:p>
        </w:tc>
        <w:tc>
          <w:tcPr>
            <w:tcW w:w="617" w:type="pct"/>
            <w:tcBorders>
              <w:top w:val="nil"/>
              <w:left w:val="nil"/>
              <w:bottom w:val="nil"/>
              <w:right w:val="nil"/>
            </w:tcBorders>
            <w:shd w:val="clear" w:color="auto" w:fill="auto"/>
            <w:vAlign w:val="bottom"/>
          </w:tcPr>
          <w:p w14:paraId="5C7C8DBF" w14:textId="77777777" w:rsidR="004E2F51" w:rsidRPr="009C411C" w:rsidRDefault="004E2F51" w:rsidP="00E032FC">
            <w:pPr>
              <w:tabs>
                <w:tab w:val="right" w:pos="1202"/>
              </w:tabs>
              <w:spacing w:line="301" w:lineRule="exact"/>
              <w:jc w:val="right"/>
              <w:outlineLvl w:val="0"/>
              <w:rPr>
                <w:rFonts w:ascii="Arial" w:hAnsi="Arial" w:cs="Arial"/>
                <w:sz w:val="18"/>
                <w:szCs w:val="18"/>
              </w:rPr>
            </w:pPr>
            <w:r w:rsidRPr="002D7BE9">
              <w:rPr>
                <w:rFonts w:ascii="Arial" w:hAnsi="Arial" w:cs="Arial"/>
                <w:sz w:val="18"/>
                <w:szCs w:val="18"/>
              </w:rPr>
              <w:t>63.954</w:t>
            </w:r>
          </w:p>
        </w:tc>
        <w:tc>
          <w:tcPr>
            <w:tcW w:w="617" w:type="pct"/>
            <w:tcBorders>
              <w:top w:val="nil"/>
              <w:left w:val="nil"/>
              <w:bottom w:val="nil"/>
              <w:right w:val="nil"/>
            </w:tcBorders>
            <w:shd w:val="clear" w:color="auto" w:fill="auto"/>
            <w:vAlign w:val="bottom"/>
          </w:tcPr>
          <w:p w14:paraId="3156CB1A" w14:textId="77777777" w:rsidR="004E2F51" w:rsidRPr="009C411C" w:rsidRDefault="004E2F51" w:rsidP="00E032FC">
            <w:pPr>
              <w:tabs>
                <w:tab w:val="right" w:pos="1202"/>
              </w:tabs>
              <w:spacing w:line="301" w:lineRule="exact"/>
              <w:jc w:val="right"/>
              <w:outlineLvl w:val="0"/>
              <w:rPr>
                <w:rFonts w:ascii="Arial" w:hAnsi="Arial" w:cs="Arial"/>
                <w:sz w:val="18"/>
                <w:szCs w:val="18"/>
              </w:rPr>
            </w:pPr>
            <w:r w:rsidRPr="002D7BE9">
              <w:rPr>
                <w:rFonts w:ascii="Arial" w:hAnsi="Arial" w:cs="Arial"/>
                <w:sz w:val="18"/>
                <w:szCs w:val="18"/>
              </w:rPr>
              <w:t>16.644</w:t>
            </w:r>
          </w:p>
        </w:tc>
      </w:tr>
      <w:tr w:rsidR="00185239" w:rsidRPr="009C411C" w14:paraId="54A75EAC" w14:textId="77777777" w:rsidTr="00185239">
        <w:trPr>
          <w:cantSplit/>
          <w:trHeight w:val="250"/>
          <w:tblHeader/>
        </w:trPr>
        <w:tc>
          <w:tcPr>
            <w:tcW w:w="2531" w:type="pct"/>
            <w:vAlign w:val="bottom"/>
          </w:tcPr>
          <w:p w14:paraId="3312A21D"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76" w:name="_Toc67329718"/>
            <w:r w:rsidRPr="009C411C">
              <w:rPr>
                <w:rFonts w:ascii="Arial" w:hAnsi="Arial" w:cs="Arial"/>
                <w:color w:val="000000" w:themeColor="text1"/>
                <w:sz w:val="18"/>
                <w:szCs w:val="18"/>
                <w:lang w:val="hr-HR"/>
              </w:rPr>
              <w:t>Ostalo</w:t>
            </w:r>
            <w:bookmarkEnd w:id="1576"/>
          </w:p>
        </w:tc>
        <w:tc>
          <w:tcPr>
            <w:tcW w:w="617" w:type="pct"/>
            <w:tcBorders>
              <w:top w:val="nil"/>
              <w:left w:val="nil"/>
              <w:bottom w:val="nil"/>
              <w:right w:val="nil"/>
            </w:tcBorders>
            <w:shd w:val="clear" w:color="auto" w:fill="auto"/>
            <w:vAlign w:val="bottom"/>
          </w:tcPr>
          <w:p w14:paraId="6CE20A0D"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1.976.484</w:t>
            </w:r>
          </w:p>
        </w:tc>
        <w:tc>
          <w:tcPr>
            <w:tcW w:w="617" w:type="pct"/>
            <w:tcBorders>
              <w:top w:val="nil"/>
              <w:left w:val="nil"/>
              <w:bottom w:val="nil"/>
              <w:right w:val="nil"/>
            </w:tcBorders>
            <w:shd w:val="clear" w:color="auto" w:fill="auto"/>
            <w:vAlign w:val="bottom"/>
          </w:tcPr>
          <w:p w14:paraId="36A8748F"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982B04">
              <w:rPr>
                <w:rFonts w:ascii="Arial" w:hAnsi="Arial" w:cs="Arial"/>
                <w:sz w:val="18"/>
                <w:szCs w:val="18"/>
              </w:rPr>
              <w:t>474.935</w:t>
            </w:r>
          </w:p>
        </w:tc>
        <w:tc>
          <w:tcPr>
            <w:tcW w:w="617" w:type="pct"/>
            <w:tcBorders>
              <w:top w:val="nil"/>
              <w:left w:val="nil"/>
              <w:bottom w:val="nil"/>
              <w:right w:val="nil"/>
            </w:tcBorders>
            <w:shd w:val="clear" w:color="auto" w:fill="auto"/>
            <w:vAlign w:val="bottom"/>
          </w:tcPr>
          <w:p w14:paraId="778C51B6"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2.136.797</w:t>
            </w:r>
          </w:p>
        </w:tc>
        <w:tc>
          <w:tcPr>
            <w:tcW w:w="617" w:type="pct"/>
            <w:tcBorders>
              <w:top w:val="nil"/>
              <w:left w:val="nil"/>
              <w:bottom w:val="nil"/>
              <w:right w:val="nil"/>
            </w:tcBorders>
            <w:shd w:val="clear" w:color="auto" w:fill="auto"/>
            <w:vAlign w:val="bottom"/>
          </w:tcPr>
          <w:p w14:paraId="5D27A30F"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291.527</w:t>
            </w:r>
          </w:p>
        </w:tc>
      </w:tr>
      <w:tr w:rsidR="00185239" w:rsidRPr="009C411C" w14:paraId="5F681D20" w14:textId="77777777" w:rsidTr="00185239">
        <w:tblPrEx>
          <w:tblCellMar>
            <w:left w:w="31" w:type="dxa"/>
            <w:right w:w="31" w:type="dxa"/>
          </w:tblCellMar>
        </w:tblPrEx>
        <w:trPr>
          <w:cantSplit/>
          <w:trHeight w:hRule="exact" w:val="113"/>
          <w:tblHeader/>
        </w:trPr>
        <w:tc>
          <w:tcPr>
            <w:tcW w:w="2531" w:type="pct"/>
            <w:vAlign w:val="bottom"/>
          </w:tcPr>
          <w:p w14:paraId="33E7DFBA" w14:textId="77777777" w:rsidR="004E2F51" w:rsidRPr="009C411C" w:rsidRDefault="004E2F51" w:rsidP="00E032FC">
            <w:pPr>
              <w:rPr>
                <w:rFonts w:ascii="Arial" w:hAnsi="Arial" w:cs="Arial"/>
                <w:b/>
                <w:bCs/>
                <w:color w:val="000000" w:themeColor="text1"/>
                <w:sz w:val="18"/>
                <w:szCs w:val="18"/>
                <w:lang w:val="hr-HR"/>
              </w:rPr>
            </w:pPr>
          </w:p>
        </w:tc>
        <w:tc>
          <w:tcPr>
            <w:tcW w:w="617" w:type="pct"/>
            <w:tcBorders>
              <w:top w:val="single" w:sz="8" w:space="0" w:color="auto"/>
            </w:tcBorders>
            <w:shd w:val="clear" w:color="auto" w:fill="auto"/>
          </w:tcPr>
          <w:p w14:paraId="617EA3FB" w14:textId="77777777" w:rsidR="004E2F51" w:rsidRPr="009C411C" w:rsidRDefault="004E2F51" w:rsidP="00E032FC">
            <w:pPr>
              <w:tabs>
                <w:tab w:val="right" w:pos="1202"/>
              </w:tabs>
              <w:jc w:val="right"/>
              <w:outlineLvl w:val="0"/>
              <w:rPr>
                <w:rFonts w:ascii="Arial" w:hAnsi="Arial" w:cs="Arial"/>
                <w:noProof/>
                <w:color w:val="000000" w:themeColor="text1"/>
                <w:sz w:val="18"/>
                <w:szCs w:val="18"/>
                <w:lang w:val="hr-HR" w:eastAsia="hr-HR"/>
              </w:rPr>
            </w:pPr>
          </w:p>
        </w:tc>
        <w:tc>
          <w:tcPr>
            <w:tcW w:w="617" w:type="pct"/>
            <w:tcBorders>
              <w:top w:val="single" w:sz="8" w:space="0" w:color="auto"/>
            </w:tcBorders>
            <w:shd w:val="clear" w:color="auto" w:fill="auto"/>
          </w:tcPr>
          <w:p w14:paraId="5265C3FA" w14:textId="77777777" w:rsidR="004E2F51" w:rsidRPr="009C411C" w:rsidRDefault="004E2F51" w:rsidP="00E032FC">
            <w:pPr>
              <w:tabs>
                <w:tab w:val="right" w:pos="1202"/>
              </w:tabs>
              <w:jc w:val="right"/>
              <w:outlineLvl w:val="0"/>
              <w:rPr>
                <w:rFonts w:ascii="Arial" w:hAnsi="Arial" w:cs="Arial"/>
                <w:noProof/>
                <w:color w:val="000000" w:themeColor="text1"/>
                <w:sz w:val="18"/>
                <w:szCs w:val="18"/>
                <w:lang w:val="hr-HR" w:eastAsia="hr-HR"/>
              </w:rPr>
            </w:pPr>
          </w:p>
        </w:tc>
        <w:tc>
          <w:tcPr>
            <w:tcW w:w="617" w:type="pct"/>
            <w:tcBorders>
              <w:top w:val="single" w:sz="8" w:space="0" w:color="auto"/>
            </w:tcBorders>
            <w:shd w:val="clear" w:color="auto" w:fill="auto"/>
            <w:vAlign w:val="bottom"/>
          </w:tcPr>
          <w:p w14:paraId="251C27F6" w14:textId="77777777" w:rsidR="004E2F51" w:rsidRPr="009C411C" w:rsidRDefault="004E2F51" w:rsidP="00E032FC">
            <w:pPr>
              <w:tabs>
                <w:tab w:val="right" w:pos="1202"/>
              </w:tabs>
              <w:jc w:val="right"/>
              <w:outlineLvl w:val="0"/>
              <w:rPr>
                <w:rFonts w:ascii="Arial" w:hAnsi="Arial" w:cs="Arial"/>
                <w:noProof/>
                <w:color w:val="000000" w:themeColor="text1"/>
                <w:sz w:val="18"/>
                <w:szCs w:val="18"/>
                <w:lang w:val="hr-HR" w:eastAsia="hr-HR"/>
              </w:rPr>
            </w:pPr>
          </w:p>
        </w:tc>
        <w:tc>
          <w:tcPr>
            <w:tcW w:w="617" w:type="pct"/>
            <w:tcBorders>
              <w:top w:val="single" w:sz="8" w:space="0" w:color="auto"/>
            </w:tcBorders>
            <w:shd w:val="clear" w:color="auto" w:fill="auto"/>
            <w:vAlign w:val="bottom"/>
          </w:tcPr>
          <w:p w14:paraId="4435CF8D" w14:textId="77777777" w:rsidR="004E2F51" w:rsidRPr="009C411C" w:rsidRDefault="004E2F51" w:rsidP="00E032FC">
            <w:pPr>
              <w:tabs>
                <w:tab w:val="right" w:pos="1202"/>
              </w:tabs>
              <w:jc w:val="right"/>
              <w:outlineLvl w:val="0"/>
              <w:rPr>
                <w:rFonts w:ascii="Arial" w:hAnsi="Arial" w:cs="Arial"/>
                <w:noProof/>
                <w:color w:val="000000" w:themeColor="text1"/>
                <w:sz w:val="18"/>
                <w:szCs w:val="18"/>
                <w:lang w:val="hr-HR" w:eastAsia="hr-HR"/>
              </w:rPr>
            </w:pPr>
          </w:p>
        </w:tc>
      </w:tr>
      <w:tr w:rsidR="00185239" w:rsidRPr="009C411C" w14:paraId="04F7B8B0" w14:textId="77777777" w:rsidTr="00185239">
        <w:tblPrEx>
          <w:tblCellMar>
            <w:left w:w="31" w:type="dxa"/>
            <w:right w:w="31" w:type="dxa"/>
          </w:tblCellMar>
        </w:tblPrEx>
        <w:trPr>
          <w:cantSplit/>
          <w:trHeight w:val="143"/>
          <w:tblHeader/>
        </w:trPr>
        <w:tc>
          <w:tcPr>
            <w:tcW w:w="2531" w:type="pct"/>
            <w:vAlign w:val="bottom"/>
          </w:tcPr>
          <w:p w14:paraId="38324AB6" w14:textId="77777777" w:rsidR="004E2F51" w:rsidRPr="009C411C" w:rsidRDefault="004E2F51" w:rsidP="00E032FC">
            <w:pPr>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Ukupna izloženost kreditnom riziku</w:t>
            </w:r>
          </w:p>
        </w:tc>
        <w:tc>
          <w:tcPr>
            <w:tcW w:w="617" w:type="pct"/>
            <w:tcBorders>
              <w:left w:val="nil"/>
              <w:bottom w:val="single" w:sz="12" w:space="0" w:color="auto"/>
              <w:right w:val="nil"/>
            </w:tcBorders>
            <w:shd w:val="clear" w:color="auto" w:fill="auto"/>
          </w:tcPr>
          <w:p w14:paraId="7C690C25" w14:textId="77777777" w:rsidR="004E2F51" w:rsidRPr="009C411C" w:rsidRDefault="004E2F51" w:rsidP="00E032FC">
            <w:pPr>
              <w:tabs>
                <w:tab w:val="right" w:pos="1202"/>
              </w:tabs>
              <w:jc w:val="right"/>
              <w:outlineLvl w:val="0"/>
              <w:rPr>
                <w:rFonts w:ascii="Arial" w:hAnsi="Arial" w:cs="Arial"/>
                <w:b/>
                <w:bCs/>
                <w:noProof/>
                <w:color w:val="000000" w:themeColor="text1"/>
                <w:sz w:val="18"/>
                <w:szCs w:val="18"/>
                <w:lang w:val="hr-HR" w:eastAsia="hr-HR"/>
              </w:rPr>
            </w:pPr>
            <w:r w:rsidRPr="00982B04">
              <w:rPr>
                <w:rFonts w:ascii="Arial" w:hAnsi="Arial" w:cs="Arial"/>
                <w:b/>
                <w:bCs/>
                <w:noProof/>
                <w:color w:val="000000" w:themeColor="text1"/>
                <w:sz w:val="18"/>
                <w:szCs w:val="18"/>
                <w:lang w:val="hr-HR" w:eastAsia="hr-HR"/>
              </w:rPr>
              <w:t>31.707.672</w:t>
            </w:r>
          </w:p>
        </w:tc>
        <w:tc>
          <w:tcPr>
            <w:tcW w:w="617" w:type="pct"/>
            <w:tcBorders>
              <w:left w:val="nil"/>
              <w:bottom w:val="single" w:sz="12" w:space="0" w:color="auto"/>
              <w:right w:val="nil"/>
            </w:tcBorders>
            <w:shd w:val="clear" w:color="auto" w:fill="auto"/>
          </w:tcPr>
          <w:p w14:paraId="6503D416" w14:textId="77777777" w:rsidR="004E2F51" w:rsidRPr="009C411C" w:rsidRDefault="004E2F51" w:rsidP="00E032FC">
            <w:pPr>
              <w:tabs>
                <w:tab w:val="right" w:pos="1202"/>
              </w:tabs>
              <w:jc w:val="right"/>
              <w:outlineLvl w:val="0"/>
              <w:rPr>
                <w:rFonts w:ascii="Arial" w:hAnsi="Arial" w:cs="Arial"/>
                <w:b/>
                <w:bCs/>
                <w:color w:val="000000" w:themeColor="text1"/>
                <w:sz w:val="18"/>
                <w:szCs w:val="18"/>
                <w:lang w:val="hr-HR"/>
              </w:rPr>
            </w:pPr>
            <w:r w:rsidRPr="00982B04">
              <w:rPr>
                <w:rFonts w:ascii="Arial" w:hAnsi="Arial" w:cs="Arial"/>
                <w:b/>
                <w:bCs/>
                <w:color w:val="000000" w:themeColor="text1"/>
                <w:sz w:val="18"/>
                <w:szCs w:val="18"/>
                <w:lang w:val="hr-HR"/>
              </w:rPr>
              <w:t>6.023.570</w:t>
            </w:r>
          </w:p>
        </w:tc>
        <w:tc>
          <w:tcPr>
            <w:tcW w:w="617" w:type="pct"/>
            <w:tcBorders>
              <w:left w:val="nil"/>
              <w:bottom w:val="single" w:sz="12" w:space="0" w:color="auto"/>
              <w:right w:val="nil"/>
            </w:tcBorders>
            <w:shd w:val="clear" w:color="auto" w:fill="auto"/>
            <w:vAlign w:val="bottom"/>
          </w:tcPr>
          <w:p w14:paraId="5EEC3884" w14:textId="77777777" w:rsidR="004E2F51" w:rsidRPr="009C411C" w:rsidRDefault="004E2F51" w:rsidP="00E032FC">
            <w:pPr>
              <w:tabs>
                <w:tab w:val="right" w:pos="1202"/>
              </w:tabs>
              <w:jc w:val="right"/>
              <w:outlineLvl w:val="0"/>
              <w:rPr>
                <w:rFonts w:ascii="Arial" w:hAnsi="Arial" w:cs="Arial"/>
                <w:b/>
                <w:noProof/>
                <w:color w:val="000000" w:themeColor="text1"/>
                <w:sz w:val="18"/>
                <w:szCs w:val="18"/>
                <w:lang w:val="hr-HR" w:eastAsia="hr-HR"/>
              </w:rPr>
            </w:pPr>
            <w:r w:rsidRPr="009C411C">
              <w:rPr>
                <w:rFonts w:ascii="Arial" w:hAnsi="Arial" w:cs="Arial"/>
                <w:b/>
                <w:bCs/>
                <w:sz w:val="18"/>
                <w:szCs w:val="18"/>
              </w:rPr>
              <w:t>31.795.313</w:t>
            </w:r>
          </w:p>
        </w:tc>
        <w:tc>
          <w:tcPr>
            <w:tcW w:w="617" w:type="pct"/>
            <w:tcBorders>
              <w:left w:val="nil"/>
              <w:bottom w:val="single" w:sz="12" w:space="0" w:color="auto"/>
              <w:right w:val="nil"/>
            </w:tcBorders>
            <w:shd w:val="clear" w:color="auto" w:fill="auto"/>
            <w:vAlign w:val="bottom"/>
          </w:tcPr>
          <w:p w14:paraId="274108B4" w14:textId="77777777" w:rsidR="004E2F51" w:rsidRPr="009C411C" w:rsidRDefault="004E2F51" w:rsidP="00E032FC">
            <w:pPr>
              <w:tabs>
                <w:tab w:val="right" w:pos="1202"/>
              </w:tabs>
              <w:jc w:val="right"/>
              <w:outlineLvl w:val="0"/>
              <w:rPr>
                <w:rFonts w:ascii="Arial" w:hAnsi="Arial" w:cs="Arial"/>
                <w:b/>
                <w:color w:val="000000" w:themeColor="text1"/>
                <w:sz w:val="18"/>
                <w:szCs w:val="18"/>
                <w:lang w:val="hr-HR"/>
              </w:rPr>
            </w:pPr>
            <w:r w:rsidRPr="009C411C">
              <w:rPr>
                <w:rFonts w:ascii="Arial" w:hAnsi="Arial" w:cs="Arial"/>
                <w:b/>
                <w:bCs/>
                <w:sz w:val="18"/>
                <w:szCs w:val="18"/>
              </w:rPr>
              <w:t>6.752.166</w:t>
            </w:r>
          </w:p>
        </w:tc>
      </w:tr>
    </w:tbl>
    <w:p w14:paraId="2E74DC81" w14:textId="77777777" w:rsidR="004E2F51" w:rsidRPr="00C651CA" w:rsidRDefault="004E2F51" w:rsidP="004E2F51">
      <w:pPr>
        <w:pStyle w:val="TH"/>
        <w:spacing w:line="360" w:lineRule="auto"/>
        <w:rPr>
          <w:rFonts w:cs="Arial"/>
          <w:b w:val="0"/>
          <w:color w:val="000000" w:themeColor="text1"/>
          <w:sz w:val="20"/>
          <w:lang w:val="hr-HR"/>
        </w:rPr>
      </w:pPr>
    </w:p>
    <w:p w14:paraId="543C0CEA" w14:textId="77777777" w:rsidR="004E2F51" w:rsidRPr="00C651CA" w:rsidRDefault="004E2F51" w:rsidP="004E2F51">
      <w:pPr>
        <w:pStyle w:val="TH"/>
        <w:spacing w:line="360" w:lineRule="auto"/>
        <w:rPr>
          <w:rFonts w:cs="Arial"/>
          <w:b w:val="0"/>
          <w:color w:val="000000" w:themeColor="text1"/>
          <w:sz w:val="20"/>
          <w:lang w:val="hr-HR"/>
        </w:rPr>
      </w:pPr>
    </w:p>
    <w:p w14:paraId="1EC854DC" w14:textId="77777777" w:rsidR="004E2F51" w:rsidRPr="00C651CA" w:rsidRDefault="004E2F51" w:rsidP="004E2F51">
      <w:pPr>
        <w:pStyle w:val="TH"/>
        <w:spacing w:line="360" w:lineRule="auto"/>
        <w:rPr>
          <w:rFonts w:cs="Arial"/>
          <w:b w:val="0"/>
          <w:color w:val="000000" w:themeColor="text1"/>
          <w:sz w:val="20"/>
          <w:lang w:val="hr-HR"/>
        </w:rPr>
      </w:pPr>
    </w:p>
    <w:p w14:paraId="066C4C53" w14:textId="77777777" w:rsidR="004E2F51" w:rsidRPr="00C651CA" w:rsidRDefault="004E2F51" w:rsidP="004E2F51">
      <w:pPr>
        <w:pStyle w:val="TH"/>
        <w:spacing w:line="360" w:lineRule="auto"/>
        <w:rPr>
          <w:rFonts w:cs="Arial"/>
          <w:b w:val="0"/>
          <w:color w:val="000000" w:themeColor="text1"/>
          <w:sz w:val="20"/>
          <w:lang w:val="hr-HR"/>
        </w:rPr>
        <w:sectPr w:rsidR="004E2F51" w:rsidRPr="00C651CA" w:rsidSect="00623DBA">
          <w:footerReference w:type="default" r:id="rId184"/>
          <w:pgSz w:w="11907" w:h="16840" w:code="9"/>
          <w:pgMar w:top="1418" w:right="1134" w:bottom="1134" w:left="1418" w:header="851" w:footer="851" w:gutter="0"/>
          <w:cols w:space="720"/>
          <w:noEndnote/>
        </w:sectPr>
      </w:pPr>
    </w:p>
    <w:p w14:paraId="03B8BBD0" w14:textId="77777777" w:rsidR="004E2F51" w:rsidRPr="00C651CA" w:rsidRDefault="004E2F51" w:rsidP="004E2F51">
      <w:pPr>
        <w:pStyle w:val="T1"/>
        <w:spacing w:before="0" w:after="0" w:line="240" w:lineRule="auto"/>
        <w:rPr>
          <w:rFonts w:cs="Arial"/>
          <w:color w:val="000000" w:themeColor="text1"/>
          <w:sz w:val="20"/>
          <w:lang w:val="hr-HR"/>
        </w:rPr>
      </w:pPr>
    </w:p>
    <w:p w14:paraId="6109BBC1" w14:textId="77777777" w:rsidR="004E2F51" w:rsidRPr="00C651CA" w:rsidRDefault="004E2F51" w:rsidP="004E2F51">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Pr>
          <w:rFonts w:cs="Arial"/>
          <w:color w:val="000000" w:themeColor="text1"/>
          <w:sz w:val="20"/>
          <w:lang w:val="hr-HR"/>
        </w:rPr>
        <w:t>1</w:t>
      </w:r>
      <w:r w:rsidRPr="00C651CA">
        <w:rPr>
          <w:rFonts w:cs="Arial"/>
          <w:color w:val="000000" w:themeColor="text1"/>
          <w:sz w:val="20"/>
          <w:lang w:val="hr-HR"/>
        </w:rPr>
        <w:t>.</w:t>
      </w:r>
      <w:r w:rsidRPr="00C651CA">
        <w:rPr>
          <w:rFonts w:cs="Arial"/>
          <w:color w:val="000000" w:themeColor="text1"/>
          <w:sz w:val="20"/>
          <w:lang w:val="hr-HR"/>
        </w:rPr>
        <w:tab/>
        <w:t>Upravljanje rizicima (nastavak)</w:t>
      </w:r>
    </w:p>
    <w:p w14:paraId="4D74C6DC" w14:textId="77777777" w:rsidR="004E2F51" w:rsidRPr="00C651CA" w:rsidRDefault="004E2F51" w:rsidP="004E2F51">
      <w:pPr>
        <w:pStyle w:val="T1"/>
        <w:spacing w:before="0" w:after="0" w:line="240" w:lineRule="auto"/>
        <w:rPr>
          <w:rFonts w:cs="Arial"/>
          <w:color w:val="000000" w:themeColor="text1"/>
          <w:sz w:val="20"/>
          <w:lang w:val="hr-HR"/>
        </w:rPr>
      </w:pPr>
    </w:p>
    <w:p w14:paraId="13FDC768" w14:textId="77777777" w:rsidR="004E2F51" w:rsidRPr="00C651CA" w:rsidRDefault="004E2F51" w:rsidP="004E2F51">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Pr>
          <w:rFonts w:cs="Arial"/>
          <w:color w:val="000000" w:themeColor="text1"/>
          <w:sz w:val="20"/>
          <w:lang w:val="hr-HR"/>
        </w:rPr>
        <w:t>1</w:t>
      </w:r>
      <w:r w:rsidRPr="00C651CA">
        <w:rPr>
          <w:rFonts w:cs="Arial"/>
          <w:color w:val="000000" w:themeColor="text1"/>
          <w:sz w:val="20"/>
          <w:lang w:val="hr-HR"/>
        </w:rPr>
        <w:t xml:space="preserve">.3. </w:t>
      </w:r>
      <w:r w:rsidRPr="00C651CA">
        <w:rPr>
          <w:rFonts w:cs="Arial"/>
          <w:color w:val="000000" w:themeColor="text1"/>
          <w:sz w:val="20"/>
          <w:lang w:val="hr-HR"/>
        </w:rPr>
        <w:tab/>
        <w:t>Kreditni rizik (nastavak)</w:t>
      </w:r>
    </w:p>
    <w:p w14:paraId="09D7A053" w14:textId="77777777" w:rsidR="004E2F51" w:rsidRPr="00C651CA" w:rsidRDefault="004E2F51" w:rsidP="004E2F51">
      <w:pPr>
        <w:pStyle w:val="T1"/>
        <w:spacing w:before="0" w:after="0" w:line="240" w:lineRule="auto"/>
        <w:rPr>
          <w:rFonts w:cs="Arial"/>
          <w:color w:val="000000" w:themeColor="text1"/>
          <w:sz w:val="20"/>
          <w:lang w:val="hr-HR"/>
        </w:rPr>
      </w:pPr>
    </w:p>
    <w:p w14:paraId="302E44D4" w14:textId="77777777" w:rsidR="004E2F51" w:rsidRPr="00C651CA" w:rsidRDefault="004E2F51" w:rsidP="004E2F51">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 izloženost kreditnom riziku (nastavak)</w:t>
      </w:r>
    </w:p>
    <w:p w14:paraId="7A134716" w14:textId="77777777" w:rsidR="004E2F51" w:rsidRPr="00C651CA" w:rsidRDefault="004E2F51" w:rsidP="004E2F51">
      <w:pPr>
        <w:pStyle w:val="T1"/>
        <w:spacing w:before="0" w:after="0" w:line="240" w:lineRule="auto"/>
        <w:rPr>
          <w:rFonts w:cs="Arial"/>
          <w:color w:val="000000" w:themeColor="text1"/>
          <w:sz w:val="20"/>
          <w:lang w:val="hr-HR"/>
        </w:rPr>
      </w:pPr>
    </w:p>
    <w:p w14:paraId="509B2189" w14:textId="77777777" w:rsidR="004E2F51" w:rsidRPr="00C651CA" w:rsidRDefault="004E2F51" w:rsidP="004E2F51">
      <w:pPr>
        <w:pStyle w:val="TH"/>
        <w:spacing w:line="240" w:lineRule="auto"/>
        <w:jc w:val="both"/>
        <w:rPr>
          <w:rFonts w:cs="Arial"/>
          <w:b w:val="0"/>
          <w:color w:val="000000" w:themeColor="text1"/>
          <w:sz w:val="20"/>
          <w:lang w:val="hr-HR"/>
        </w:rPr>
      </w:pPr>
      <w:bookmarkStart w:id="1577" w:name="_Toc67329727"/>
      <w:r w:rsidRPr="00C651CA">
        <w:rPr>
          <w:rFonts w:cs="Arial"/>
          <w:b w:val="0"/>
          <w:color w:val="000000" w:themeColor="text1"/>
          <w:sz w:val="20"/>
          <w:lang w:val="hr-HR"/>
        </w:rPr>
        <w:t>Koncentracija imovine i garancija te preuzetih obveza prema industrijskim granama, neto</w:t>
      </w:r>
      <w:r w:rsidRPr="00C651CA">
        <w:rPr>
          <w:rFonts w:cs="Arial"/>
          <w:color w:val="000000" w:themeColor="text1"/>
          <w:sz w:val="20"/>
          <w:lang w:val="hr-HR"/>
        </w:rPr>
        <w:t xml:space="preserve"> </w:t>
      </w:r>
      <w:r w:rsidRPr="00C651CA">
        <w:rPr>
          <w:rFonts w:cs="Arial"/>
          <w:b w:val="0"/>
          <w:color w:val="000000" w:themeColor="text1"/>
          <w:sz w:val="20"/>
          <w:lang w:val="hr-HR"/>
        </w:rPr>
        <w:t>izloženost, prije i nakon uzimanja u obzir primljenih instrumenata osiguranja:</w:t>
      </w:r>
      <w:bookmarkEnd w:id="1577"/>
    </w:p>
    <w:tbl>
      <w:tblPr>
        <w:tblpPr w:leftFromText="180" w:rightFromText="180" w:vertAnchor="text" w:horzAnchor="margin" w:tblpY="290"/>
        <w:tblOverlap w:val="never"/>
        <w:tblW w:w="4911" w:type="pct"/>
        <w:tblLayout w:type="fixed"/>
        <w:tblCellMar>
          <w:left w:w="30" w:type="dxa"/>
          <w:right w:w="30" w:type="dxa"/>
        </w:tblCellMar>
        <w:tblLook w:val="0000" w:firstRow="0" w:lastRow="0" w:firstColumn="0" w:lastColumn="0" w:noHBand="0" w:noVBand="0"/>
      </w:tblPr>
      <w:tblGrid>
        <w:gridCol w:w="4652"/>
        <w:gridCol w:w="1134"/>
        <w:gridCol w:w="1134"/>
        <w:gridCol w:w="1134"/>
        <w:gridCol w:w="1134"/>
      </w:tblGrid>
      <w:tr w:rsidR="004E2F51" w:rsidRPr="0002282A" w14:paraId="1460C45A" w14:textId="77777777" w:rsidTr="00185239">
        <w:trPr>
          <w:cantSplit/>
          <w:trHeight w:val="250"/>
          <w:tblHeader/>
        </w:trPr>
        <w:tc>
          <w:tcPr>
            <w:tcW w:w="2532" w:type="pct"/>
            <w:vAlign w:val="bottom"/>
          </w:tcPr>
          <w:p w14:paraId="6A625910" w14:textId="77777777" w:rsidR="004E2F51" w:rsidRPr="009C411C" w:rsidRDefault="004E2F51" w:rsidP="00E032FC">
            <w:pPr>
              <w:pStyle w:val="TH"/>
              <w:rPr>
                <w:rFonts w:cs="Arial"/>
                <w:color w:val="000000" w:themeColor="text1"/>
                <w:sz w:val="18"/>
                <w:szCs w:val="18"/>
                <w:lang w:val="hr-HR"/>
              </w:rPr>
            </w:pPr>
            <w:bookmarkStart w:id="1578" w:name="_Toc67329728"/>
            <w:r w:rsidRPr="009C411C">
              <w:rPr>
                <w:rFonts w:cs="Arial"/>
                <w:color w:val="000000" w:themeColor="text1"/>
                <w:sz w:val="18"/>
                <w:szCs w:val="18"/>
                <w:lang w:val="hr-HR"/>
              </w:rPr>
              <w:t>Banka</w:t>
            </w:r>
            <w:bookmarkEnd w:id="1578"/>
          </w:p>
        </w:tc>
        <w:tc>
          <w:tcPr>
            <w:tcW w:w="617" w:type="pct"/>
            <w:vAlign w:val="bottom"/>
          </w:tcPr>
          <w:p w14:paraId="59FFA1EA" w14:textId="77777777" w:rsidR="004E2F51" w:rsidRPr="009C411C" w:rsidRDefault="004E2F51" w:rsidP="00E032FC">
            <w:pPr>
              <w:pStyle w:val="TH"/>
              <w:jc w:val="right"/>
              <w:rPr>
                <w:rFonts w:cs="Arial"/>
                <w:color w:val="000000" w:themeColor="text1"/>
                <w:sz w:val="18"/>
                <w:szCs w:val="18"/>
                <w:lang w:val="hr-HR"/>
              </w:rPr>
            </w:pPr>
            <w:bookmarkStart w:id="1579" w:name="_Toc67329729"/>
            <w:r w:rsidRPr="009C411C">
              <w:rPr>
                <w:rFonts w:cs="Arial"/>
                <w:color w:val="000000" w:themeColor="text1"/>
                <w:sz w:val="18"/>
                <w:szCs w:val="18"/>
                <w:lang w:val="hr-HR"/>
              </w:rPr>
              <w:t>Neto najveća izloženost</w:t>
            </w:r>
            <w:bookmarkEnd w:id="1579"/>
          </w:p>
        </w:tc>
        <w:tc>
          <w:tcPr>
            <w:tcW w:w="617" w:type="pct"/>
            <w:vAlign w:val="bottom"/>
          </w:tcPr>
          <w:p w14:paraId="3EF36573" w14:textId="77777777" w:rsidR="004E2F51" w:rsidRPr="009C411C" w:rsidRDefault="004E2F51" w:rsidP="00E032FC">
            <w:pPr>
              <w:pStyle w:val="TH"/>
              <w:jc w:val="right"/>
              <w:rPr>
                <w:rFonts w:cs="Arial"/>
                <w:color w:val="000000" w:themeColor="text1"/>
                <w:sz w:val="18"/>
                <w:szCs w:val="18"/>
                <w:lang w:val="hr-HR"/>
              </w:rPr>
            </w:pPr>
            <w:bookmarkStart w:id="1580" w:name="_Toc67329730"/>
            <w:r w:rsidRPr="009C411C">
              <w:rPr>
                <w:rFonts w:cs="Arial"/>
                <w:color w:val="000000" w:themeColor="text1"/>
                <w:sz w:val="18"/>
                <w:szCs w:val="18"/>
                <w:lang w:val="hr-HR"/>
              </w:rPr>
              <w:t xml:space="preserve">Neto najveća izloženost </w:t>
            </w:r>
            <w:r w:rsidRPr="009C411C">
              <w:rPr>
                <w:rFonts w:cs="Arial"/>
                <w:b w:val="0"/>
                <w:color w:val="000000" w:themeColor="text1"/>
                <w:sz w:val="18"/>
                <w:szCs w:val="18"/>
                <w:lang w:val="hr-HR"/>
              </w:rPr>
              <w:t xml:space="preserve"> </w:t>
            </w:r>
            <w:r w:rsidRPr="009C411C">
              <w:rPr>
                <w:rFonts w:cs="Arial"/>
                <w:color w:val="000000" w:themeColor="text1"/>
                <w:sz w:val="18"/>
                <w:szCs w:val="18"/>
                <w:lang w:val="hr-HR"/>
              </w:rPr>
              <w:t>nakon umanjenja za sredstva osiguranja</w:t>
            </w:r>
            <w:bookmarkEnd w:id="1580"/>
          </w:p>
        </w:tc>
        <w:tc>
          <w:tcPr>
            <w:tcW w:w="617" w:type="pct"/>
            <w:vAlign w:val="bottom"/>
          </w:tcPr>
          <w:p w14:paraId="1A87C5A5" w14:textId="77777777" w:rsidR="004E2F51" w:rsidRPr="009C411C" w:rsidRDefault="004E2F51" w:rsidP="00E032FC">
            <w:pPr>
              <w:pStyle w:val="TH"/>
              <w:jc w:val="right"/>
              <w:rPr>
                <w:rFonts w:cs="Arial"/>
                <w:color w:val="000000" w:themeColor="text1"/>
                <w:sz w:val="18"/>
                <w:szCs w:val="18"/>
                <w:lang w:val="hr-HR"/>
              </w:rPr>
            </w:pPr>
            <w:bookmarkStart w:id="1581" w:name="_Toc67329731"/>
            <w:r w:rsidRPr="009C411C">
              <w:rPr>
                <w:rFonts w:cs="Arial"/>
                <w:color w:val="000000" w:themeColor="text1"/>
                <w:sz w:val="18"/>
                <w:szCs w:val="18"/>
                <w:lang w:val="hr-HR"/>
              </w:rPr>
              <w:t>Neto najveća izloženost</w:t>
            </w:r>
            <w:bookmarkEnd w:id="1581"/>
          </w:p>
        </w:tc>
        <w:tc>
          <w:tcPr>
            <w:tcW w:w="617" w:type="pct"/>
            <w:vAlign w:val="bottom"/>
          </w:tcPr>
          <w:p w14:paraId="65B60EC0" w14:textId="77777777" w:rsidR="004E2F51" w:rsidRPr="009C411C" w:rsidRDefault="004E2F51" w:rsidP="00E032FC">
            <w:pPr>
              <w:pStyle w:val="TH"/>
              <w:jc w:val="right"/>
              <w:rPr>
                <w:rFonts w:cs="Arial"/>
                <w:color w:val="000000" w:themeColor="text1"/>
                <w:sz w:val="18"/>
                <w:szCs w:val="18"/>
                <w:lang w:val="hr-HR"/>
              </w:rPr>
            </w:pPr>
            <w:bookmarkStart w:id="1582" w:name="_Toc67329732"/>
            <w:r w:rsidRPr="009C411C">
              <w:rPr>
                <w:rFonts w:cs="Arial"/>
                <w:color w:val="000000" w:themeColor="text1"/>
                <w:sz w:val="18"/>
                <w:szCs w:val="18"/>
                <w:lang w:val="hr-HR"/>
              </w:rPr>
              <w:t>Neto najveća izloženost  nakon umanjenja za sredstva osiguranja</w:t>
            </w:r>
            <w:bookmarkEnd w:id="1582"/>
          </w:p>
        </w:tc>
      </w:tr>
      <w:tr w:rsidR="004E2F51" w:rsidRPr="009C411C" w14:paraId="69F952A8" w14:textId="77777777" w:rsidTr="00185239">
        <w:trPr>
          <w:cantSplit/>
          <w:trHeight w:val="250"/>
          <w:tblHeader/>
        </w:trPr>
        <w:tc>
          <w:tcPr>
            <w:tcW w:w="2532" w:type="pct"/>
          </w:tcPr>
          <w:p w14:paraId="1B7B9D84" w14:textId="77777777" w:rsidR="004E2F51" w:rsidRPr="009C411C" w:rsidRDefault="004E2F51" w:rsidP="00E032FC">
            <w:pPr>
              <w:ind w:left="113" w:hanging="113"/>
              <w:rPr>
                <w:rFonts w:ascii="Arial" w:hAnsi="Arial" w:cs="Arial"/>
                <w:color w:val="000000" w:themeColor="text1"/>
                <w:sz w:val="18"/>
                <w:szCs w:val="18"/>
                <w:lang w:val="hr-HR"/>
              </w:rPr>
            </w:pPr>
          </w:p>
        </w:tc>
        <w:tc>
          <w:tcPr>
            <w:tcW w:w="617" w:type="pct"/>
            <w:vAlign w:val="bottom"/>
          </w:tcPr>
          <w:p w14:paraId="7056A073"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83" w:name="_Toc67329733"/>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2</w:t>
            </w:r>
            <w:r w:rsidRPr="009C411C">
              <w:rPr>
                <w:rFonts w:ascii="Arial" w:hAnsi="Arial" w:cs="Arial"/>
                <w:b/>
                <w:color w:val="000000" w:themeColor="text1"/>
                <w:sz w:val="18"/>
                <w:szCs w:val="18"/>
                <w:lang w:val="hr-HR"/>
              </w:rPr>
              <w:t>.</w:t>
            </w:r>
            <w:bookmarkEnd w:id="1583"/>
          </w:p>
        </w:tc>
        <w:tc>
          <w:tcPr>
            <w:tcW w:w="617" w:type="pct"/>
            <w:vAlign w:val="bottom"/>
          </w:tcPr>
          <w:p w14:paraId="46565144"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84" w:name="_Toc67329734"/>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2</w:t>
            </w:r>
            <w:r w:rsidRPr="009C411C">
              <w:rPr>
                <w:rFonts w:ascii="Arial" w:hAnsi="Arial" w:cs="Arial"/>
                <w:b/>
                <w:color w:val="000000" w:themeColor="text1"/>
                <w:sz w:val="18"/>
                <w:szCs w:val="18"/>
                <w:lang w:val="hr-HR"/>
              </w:rPr>
              <w:t>.</w:t>
            </w:r>
            <w:bookmarkEnd w:id="1584"/>
          </w:p>
        </w:tc>
        <w:tc>
          <w:tcPr>
            <w:tcW w:w="617" w:type="pct"/>
            <w:vAlign w:val="bottom"/>
          </w:tcPr>
          <w:p w14:paraId="78787059"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85" w:name="_Toc67329735"/>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1</w:t>
            </w:r>
            <w:r w:rsidRPr="009C411C">
              <w:rPr>
                <w:rFonts w:ascii="Arial" w:hAnsi="Arial" w:cs="Arial"/>
                <w:b/>
                <w:color w:val="000000" w:themeColor="text1"/>
                <w:sz w:val="18"/>
                <w:szCs w:val="18"/>
                <w:lang w:val="hr-HR"/>
              </w:rPr>
              <w:t>.</w:t>
            </w:r>
            <w:bookmarkEnd w:id="1585"/>
          </w:p>
        </w:tc>
        <w:tc>
          <w:tcPr>
            <w:tcW w:w="617" w:type="pct"/>
            <w:vAlign w:val="bottom"/>
          </w:tcPr>
          <w:p w14:paraId="3F7AED95" w14:textId="77777777" w:rsidR="004E2F51" w:rsidRPr="009C411C" w:rsidRDefault="004E2F51" w:rsidP="00E032FC">
            <w:pPr>
              <w:tabs>
                <w:tab w:val="right" w:pos="1202"/>
              </w:tabs>
              <w:spacing w:line="240" w:lineRule="atLeast"/>
              <w:jc w:val="right"/>
              <w:outlineLvl w:val="0"/>
              <w:rPr>
                <w:rFonts w:ascii="Arial" w:hAnsi="Arial" w:cs="Arial"/>
                <w:b/>
                <w:color w:val="000000" w:themeColor="text1"/>
                <w:sz w:val="18"/>
                <w:szCs w:val="18"/>
                <w:lang w:val="hr-HR"/>
              </w:rPr>
            </w:pPr>
            <w:bookmarkStart w:id="1586" w:name="_Toc67329736"/>
            <w:r w:rsidRPr="009C411C">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1</w:t>
            </w:r>
            <w:r w:rsidRPr="009C411C">
              <w:rPr>
                <w:rFonts w:ascii="Arial" w:hAnsi="Arial" w:cs="Arial"/>
                <w:b/>
                <w:color w:val="000000" w:themeColor="text1"/>
                <w:sz w:val="18"/>
                <w:szCs w:val="18"/>
                <w:lang w:val="hr-HR"/>
              </w:rPr>
              <w:t>.</w:t>
            </w:r>
            <w:bookmarkEnd w:id="1586"/>
          </w:p>
        </w:tc>
      </w:tr>
      <w:tr w:rsidR="004E2F51" w:rsidRPr="009C411C" w14:paraId="0E518E90" w14:textId="77777777" w:rsidTr="00185239">
        <w:trPr>
          <w:cantSplit/>
          <w:trHeight w:val="250"/>
          <w:tblHeader/>
        </w:trPr>
        <w:tc>
          <w:tcPr>
            <w:tcW w:w="2532" w:type="pct"/>
          </w:tcPr>
          <w:p w14:paraId="1CE4D598" w14:textId="77777777" w:rsidR="004E2F51" w:rsidRPr="009C411C" w:rsidRDefault="004E2F51" w:rsidP="00E032FC">
            <w:pPr>
              <w:ind w:left="113" w:hanging="113"/>
              <w:rPr>
                <w:rFonts w:ascii="Arial" w:hAnsi="Arial" w:cs="Arial"/>
                <w:color w:val="000000" w:themeColor="text1"/>
                <w:sz w:val="18"/>
                <w:szCs w:val="18"/>
                <w:lang w:val="hr-HR"/>
              </w:rPr>
            </w:pPr>
          </w:p>
        </w:tc>
        <w:tc>
          <w:tcPr>
            <w:tcW w:w="617" w:type="pct"/>
            <w:vAlign w:val="bottom"/>
          </w:tcPr>
          <w:p w14:paraId="11E2E48A" w14:textId="77777777" w:rsidR="004E2F51" w:rsidRPr="009C411C" w:rsidRDefault="004E2F51" w:rsidP="00E032FC">
            <w:pPr>
              <w:pStyle w:val="TH"/>
              <w:jc w:val="right"/>
              <w:rPr>
                <w:rFonts w:cs="Arial"/>
                <w:color w:val="000000" w:themeColor="text1"/>
                <w:sz w:val="18"/>
                <w:szCs w:val="18"/>
                <w:lang w:val="hr-HR"/>
              </w:rPr>
            </w:pPr>
            <w:bookmarkStart w:id="1587" w:name="_Toc67329737"/>
            <w:r w:rsidRPr="009C411C">
              <w:rPr>
                <w:rFonts w:cs="Arial"/>
                <w:color w:val="000000" w:themeColor="text1"/>
                <w:sz w:val="18"/>
                <w:szCs w:val="18"/>
                <w:lang w:val="hr-HR"/>
              </w:rPr>
              <w:t>000 kuna</w:t>
            </w:r>
            <w:bookmarkEnd w:id="1587"/>
          </w:p>
        </w:tc>
        <w:tc>
          <w:tcPr>
            <w:tcW w:w="617" w:type="pct"/>
            <w:vAlign w:val="bottom"/>
          </w:tcPr>
          <w:p w14:paraId="48663E13" w14:textId="77777777" w:rsidR="004E2F51" w:rsidRPr="009C411C" w:rsidRDefault="004E2F51" w:rsidP="00E032FC">
            <w:pPr>
              <w:pStyle w:val="TH"/>
              <w:jc w:val="right"/>
              <w:rPr>
                <w:rFonts w:cs="Arial"/>
                <w:color w:val="000000" w:themeColor="text1"/>
                <w:sz w:val="18"/>
                <w:szCs w:val="18"/>
                <w:lang w:val="hr-HR"/>
              </w:rPr>
            </w:pPr>
            <w:bookmarkStart w:id="1588" w:name="_Toc67329738"/>
            <w:r w:rsidRPr="009C411C">
              <w:rPr>
                <w:rFonts w:cs="Arial"/>
                <w:color w:val="000000" w:themeColor="text1"/>
                <w:sz w:val="18"/>
                <w:szCs w:val="18"/>
                <w:lang w:val="hr-HR"/>
              </w:rPr>
              <w:t>000 kuna</w:t>
            </w:r>
            <w:bookmarkEnd w:id="1588"/>
          </w:p>
        </w:tc>
        <w:tc>
          <w:tcPr>
            <w:tcW w:w="617" w:type="pct"/>
            <w:vAlign w:val="bottom"/>
          </w:tcPr>
          <w:p w14:paraId="156844BC" w14:textId="77777777" w:rsidR="004E2F51" w:rsidRPr="009C411C" w:rsidRDefault="004E2F51" w:rsidP="00E032FC">
            <w:pPr>
              <w:pStyle w:val="TH"/>
              <w:jc w:val="right"/>
              <w:rPr>
                <w:rFonts w:cs="Arial"/>
                <w:color w:val="000000" w:themeColor="text1"/>
                <w:sz w:val="18"/>
                <w:szCs w:val="18"/>
                <w:lang w:val="hr-HR"/>
              </w:rPr>
            </w:pPr>
            <w:bookmarkStart w:id="1589" w:name="_Toc67329739"/>
            <w:r w:rsidRPr="009C411C">
              <w:rPr>
                <w:rFonts w:cs="Arial"/>
                <w:color w:val="000000" w:themeColor="text1"/>
                <w:sz w:val="18"/>
                <w:szCs w:val="18"/>
                <w:lang w:val="hr-HR"/>
              </w:rPr>
              <w:t>000 kuna</w:t>
            </w:r>
            <w:bookmarkEnd w:id="1589"/>
          </w:p>
        </w:tc>
        <w:tc>
          <w:tcPr>
            <w:tcW w:w="617" w:type="pct"/>
            <w:vAlign w:val="bottom"/>
          </w:tcPr>
          <w:p w14:paraId="5C218E00" w14:textId="77777777" w:rsidR="004E2F51" w:rsidRPr="009C411C" w:rsidRDefault="004E2F51" w:rsidP="00E032FC">
            <w:pPr>
              <w:pStyle w:val="TH"/>
              <w:jc w:val="right"/>
              <w:rPr>
                <w:rFonts w:cs="Arial"/>
                <w:color w:val="000000" w:themeColor="text1"/>
                <w:sz w:val="18"/>
                <w:szCs w:val="18"/>
                <w:lang w:val="hr-HR"/>
              </w:rPr>
            </w:pPr>
            <w:bookmarkStart w:id="1590" w:name="_Toc67329740"/>
            <w:r w:rsidRPr="009C411C">
              <w:rPr>
                <w:rFonts w:cs="Arial"/>
                <w:color w:val="000000" w:themeColor="text1"/>
                <w:sz w:val="18"/>
                <w:szCs w:val="18"/>
                <w:lang w:val="hr-HR"/>
              </w:rPr>
              <w:t>000 kuna</w:t>
            </w:r>
            <w:bookmarkEnd w:id="1590"/>
          </w:p>
        </w:tc>
      </w:tr>
      <w:tr w:rsidR="004E2F51" w:rsidRPr="009C411C" w14:paraId="2721375A" w14:textId="77777777" w:rsidTr="00185239">
        <w:trPr>
          <w:cantSplit/>
          <w:trHeight w:val="56"/>
          <w:tblHeader/>
        </w:trPr>
        <w:tc>
          <w:tcPr>
            <w:tcW w:w="2532" w:type="pct"/>
            <w:vAlign w:val="bottom"/>
          </w:tcPr>
          <w:p w14:paraId="69D6E7C0" w14:textId="77777777" w:rsidR="004E2F51" w:rsidRPr="009C411C" w:rsidRDefault="004E2F51" w:rsidP="00E032FC">
            <w:pPr>
              <w:ind w:left="113" w:hanging="113"/>
              <w:jc w:val="right"/>
              <w:rPr>
                <w:rFonts w:ascii="Arial" w:hAnsi="Arial" w:cs="Arial"/>
                <w:color w:val="000000" w:themeColor="text1"/>
                <w:sz w:val="18"/>
                <w:szCs w:val="18"/>
                <w:lang w:val="hr-HR"/>
              </w:rPr>
            </w:pPr>
          </w:p>
        </w:tc>
        <w:tc>
          <w:tcPr>
            <w:tcW w:w="617" w:type="pct"/>
            <w:vAlign w:val="bottom"/>
          </w:tcPr>
          <w:p w14:paraId="7485AEDA" w14:textId="77777777" w:rsidR="004E2F51" w:rsidRPr="009C411C" w:rsidRDefault="004E2F51" w:rsidP="00E032FC">
            <w:pPr>
              <w:pStyle w:val="TH"/>
              <w:spacing w:line="240" w:lineRule="auto"/>
              <w:jc w:val="right"/>
              <w:rPr>
                <w:rFonts w:cs="Arial"/>
                <w:color w:val="000000" w:themeColor="text1"/>
                <w:sz w:val="18"/>
                <w:szCs w:val="18"/>
                <w:lang w:val="hr-HR"/>
              </w:rPr>
            </w:pPr>
          </w:p>
        </w:tc>
        <w:tc>
          <w:tcPr>
            <w:tcW w:w="617" w:type="pct"/>
            <w:vAlign w:val="bottom"/>
          </w:tcPr>
          <w:p w14:paraId="4791D5EF" w14:textId="77777777" w:rsidR="004E2F51" w:rsidRPr="009C411C" w:rsidRDefault="004E2F51" w:rsidP="00E032FC">
            <w:pPr>
              <w:pStyle w:val="TH"/>
              <w:spacing w:line="240" w:lineRule="auto"/>
              <w:jc w:val="right"/>
              <w:rPr>
                <w:rFonts w:cs="Arial"/>
                <w:color w:val="000000" w:themeColor="text1"/>
                <w:sz w:val="18"/>
                <w:szCs w:val="18"/>
                <w:lang w:val="hr-HR"/>
              </w:rPr>
            </w:pPr>
          </w:p>
        </w:tc>
        <w:tc>
          <w:tcPr>
            <w:tcW w:w="617" w:type="pct"/>
            <w:vAlign w:val="bottom"/>
          </w:tcPr>
          <w:p w14:paraId="40C90BAA" w14:textId="77777777" w:rsidR="004E2F51" w:rsidRPr="009C411C" w:rsidRDefault="004E2F51" w:rsidP="00E032FC">
            <w:pPr>
              <w:pStyle w:val="TH"/>
              <w:spacing w:line="240" w:lineRule="auto"/>
              <w:jc w:val="right"/>
              <w:rPr>
                <w:rFonts w:cs="Arial"/>
                <w:color w:val="000000" w:themeColor="text1"/>
                <w:sz w:val="18"/>
                <w:szCs w:val="18"/>
                <w:lang w:val="hr-HR"/>
              </w:rPr>
            </w:pPr>
          </w:p>
        </w:tc>
        <w:tc>
          <w:tcPr>
            <w:tcW w:w="617" w:type="pct"/>
            <w:vAlign w:val="bottom"/>
          </w:tcPr>
          <w:p w14:paraId="7BD14A6D" w14:textId="77777777" w:rsidR="004E2F51" w:rsidRPr="009C411C" w:rsidRDefault="004E2F51" w:rsidP="00E032FC">
            <w:pPr>
              <w:pStyle w:val="TH"/>
              <w:spacing w:line="240" w:lineRule="auto"/>
              <w:jc w:val="right"/>
              <w:rPr>
                <w:rFonts w:cs="Arial"/>
                <w:color w:val="000000" w:themeColor="text1"/>
                <w:sz w:val="18"/>
                <w:szCs w:val="18"/>
                <w:lang w:val="hr-HR"/>
              </w:rPr>
            </w:pPr>
          </w:p>
        </w:tc>
      </w:tr>
      <w:tr w:rsidR="004E2F51" w:rsidRPr="009C411C" w14:paraId="3AD2E440" w14:textId="77777777" w:rsidTr="00185239">
        <w:trPr>
          <w:cantSplit/>
          <w:trHeight w:val="250"/>
          <w:tblHeader/>
        </w:trPr>
        <w:tc>
          <w:tcPr>
            <w:tcW w:w="2532" w:type="pct"/>
            <w:vAlign w:val="center"/>
          </w:tcPr>
          <w:p w14:paraId="405545FF"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91" w:name="_Toc67329741"/>
            <w:r w:rsidRPr="009C411C">
              <w:rPr>
                <w:rFonts w:ascii="Arial" w:hAnsi="Arial" w:cs="Arial"/>
                <w:color w:val="000000" w:themeColor="text1"/>
                <w:sz w:val="18"/>
                <w:szCs w:val="18"/>
                <w:lang w:val="hr-HR"/>
              </w:rPr>
              <w:t>Financijske djelatnosti i djelatnosti osiguranja</w:t>
            </w:r>
            <w:bookmarkEnd w:id="1591"/>
          </w:p>
        </w:tc>
        <w:tc>
          <w:tcPr>
            <w:tcW w:w="617" w:type="pct"/>
            <w:tcBorders>
              <w:top w:val="nil"/>
              <w:left w:val="nil"/>
              <w:bottom w:val="nil"/>
              <w:right w:val="nil"/>
            </w:tcBorders>
            <w:shd w:val="clear" w:color="auto" w:fill="auto"/>
            <w:vAlign w:val="bottom"/>
          </w:tcPr>
          <w:p w14:paraId="226B1A5C"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9.871.949</w:t>
            </w:r>
          </w:p>
        </w:tc>
        <w:tc>
          <w:tcPr>
            <w:tcW w:w="617" w:type="pct"/>
            <w:tcBorders>
              <w:top w:val="nil"/>
              <w:left w:val="nil"/>
              <w:bottom w:val="nil"/>
              <w:right w:val="nil"/>
            </w:tcBorders>
            <w:shd w:val="clear" w:color="auto" w:fill="auto"/>
            <w:vAlign w:val="bottom"/>
          </w:tcPr>
          <w:p w14:paraId="01DF0348"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w:t>
            </w:r>
          </w:p>
        </w:tc>
        <w:tc>
          <w:tcPr>
            <w:tcW w:w="617" w:type="pct"/>
            <w:tcBorders>
              <w:top w:val="nil"/>
              <w:left w:val="nil"/>
              <w:bottom w:val="nil"/>
              <w:right w:val="nil"/>
            </w:tcBorders>
            <w:shd w:val="clear" w:color="auto" w:fill="auto"/>
            <w:vAlign w:val="bottom"/>
          </w:tcPr>
          <w:p w14:paraId="638D9C0C"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10.801.196</w:t>
            </w:r>
          </w:p>
        </w:tc>
        <w:tc>
          <w:tcPr>
            <w:tcW w:w="617" w:type="pct"/>
            <w:tcBorders>
              <w:top w:val="nil"/>
              <w:left w:val="nil"/>
              <w:bottom w:val="nil"/>
              <w:right w:val="nil"/>
            </w:tcBorders>
            <w:shd w:val="clear" w:color="auto" w:fill="auto"/>
            <w:vAlign w:val="bottom"/>
          </w:tcPr>
          <w:p w14:paraId="4AA86FB9"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w:t>
            </w:r>
          </w:p>
        </w:tc>
      </w:tr>
      <w:tr w:rsidR="004E2F51" w:rsidRPr="009C411C" w14:paraId="4F9F3BB6" w14:textId="77777777" w:rsidTr="00185239">
        <w:trPr>
          <w:cantSplit/>
          <w:trHeight w:val="250"/>
          <w:tblHeader/>
        </w:trPr>
        <w:tc>
          <w:tcPr>
            <w:tcW w:w="2532" w:type="pct"/>
            <w:vAlign w:val="center"/>
          </w:tcPr>
          <w:p w14:paraId="478B2F23" w14:textId="77777777" w:rsidR="004E2F51" w:rsidRPr="009C411C" w:rsidRDefault="004E2F51" w:rsidP="00E032FC">
            <w:pPr>
              <w:tabs>
                <w:tab w:val="right" w:pos="1202"/>
              </w:tabs>
              <w:outlineLvl w:val="0"/>
              <w:rPr>
                <w:rFonts w:ascii="Arial" w:hAnsi="Arial" w:cs="Arial"/>
                <w:color w:val="000000" w:themeColor="text1"/>
                <w:sz w:val="18"/>
                <w:szCs w:val="18"/>
                <w:lang w:val="hr-HR"/>
              </w:rPr>
            </w:pPr>
            <w:bookmarkStart w:id="1592" w:name="_Toc67329746"/>
            <w:r w:rsidRPr="009C411C">
              <w:rPr>
                <w:rFonts w:ascii="Arial" w:eastAsia="Calibri" w:hAnsi="Arial" w:cs="Arial"/>
                <w:color w:val="000000" w:themeColor="text1"/>
                <w:sz w:val="18"/>
                <w:szCs w:val="18"/>
                <w:lang w:val="hr-HR"/>
              </w:rPr>
              <w:t>Vodoopskrba, opskrba električnom energijom i ostala infrastruktura</w:t>
            </w:r>
            <w:bookmarkEnd w:id="1592"/>
          </w:p>
        </w:tc>
        <w:tc>
          <w:tcPr>
            <w:tcW w:w="617" w:type="pct"/>
            <w:tcBorders>
              <w:top w:val="nil"/>
              <w:left w:val="nil"/>
              <w:bottom w:val="nil"/>
              <w:right w:val="nil"/>
            </w:tcBorders>
            <w:shd w:val="clear" w:color="auto" w:fill="auto"/>
            <w:vAlign w:val="bottom"/>
          </w:tcPr>
          <w:p w14:paraId="419C1AEC"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2.547.152</w:t>
            </w:r>
          </w:p>
        </w:tc>
        <w:tc>
          <w:tcPr>
            <w:tcW w:w="617" w:type="pct"/>
            <w:tcBorders>
              <w:top w:val="nil"/>
              <w:left w:val="nil"/>
              <w:bottom w:val="nil"/>
              <w:right w:val="nil"/>
            </w:tcBorders>
            <w:shd w:val="clear" w:color="auto" w:fill="auto"/>
            <w:vAlign w:val="bottom"/>
          </w:tcPr>
          <w:p w14:paraId="1CC194F8"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1.061.323</w:t>
            </w:r>
          </w:p>
        </w:tc>
        <w:tc>
          <w:tcPr>
            <w:tcW w:w="617" w:type="pct"/>
            <w:tcBorders>
              <w:top w:val="nil"/>
              <w:left w:val="nil"/>
              <w:bottom w:val="nil"/>
              <w:right w:val="nil"/>
            </w:tcBorders>
            <w:shd w:val="clear" w:color="auto" w:fill="auto"/>
            <w:vAlign w:val="bottom"/>
          </w:tcPr>
          <w:p w14:paraId="497CC1A3"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1.925.271</w:t>
            </w:r>
          </w:p>
        </w:tc>
        <w:tc>
          <w:tcPr>
            <w:tcW w:w="617" w:type="pct"/>
            <w:tcBorders>
              <w:top w:val="nil"/>
              <w:left w:val="nil"/>
              <w:bottom w:val="nil"/>
              <w:right w:val="nil"/>
            </w:tcBorders>
            <w:shd w:val="clear" w:color="auto" w:fill="auto"/>
            <w:vAlign w:val="bottom"/>
          </w:tcPr>
          <w:p w14:paraId="521D785C"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973.895</w:t>
            </w:r>
          </w:p>
        </w:tc>
      </w:tr>
      <w:tr w:rsidR="004E2F51" w:rsidRPr="009C411C" w14:paraId="62D1C2B7" w14:textId="77777777" w:rsidTr="00185239">
        <w:trPr>
          <w:cantSplit/>
          <w:trHeight w:val="250"/>
          <w:tblHeader/>
        </w:trPr>
        <w:tc>
          <w:tcPr>
            <w:tcW w:w="2532" w:type="pct"/>
            <w:vAlign w:val="center"/>
          </w:tcPr>
          <w:p w14:paraId="2AC28A3D"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93" w:name="_Toc67329751"/>
            <w:r w:rsidRPr="009C411C">
              <w:rPr>
                <w:rFonts w:ascii="Arial" w:hAnsi="Arial" w:cs="Arial"/>
                <w:color w:val="000000" w:themeColor="text1"/>
                <w:sz w:val="18"/>
                <w:szCs w:val="18"/>
                <w:lang w:val="hr-HR"/>
              </w:rPr>
              <w:t>Turizam</w:t>
            </w:r>
            <w:bookmarkEnd w:id="1593"/>
          </w:p>
        </w:tc>
        <w:tc>
          <w:tcPr>
            <w:tcW w:w="617" w:type="pct"/>
            <w:tcBorders>
              <w:top w:val="nil"/>
              <w:left w:val="nil"/>
              <w:bottom w:val="nil"/>
              <w:right w:val="nil"/>
            </w:tcBorders>
            <w:shd w:val="clear" w:color="auto" w:fill="auto"/>
            <w:vAlign w:val="bottom"/>
          </w:tcPr>
          <w:p w14:paraId="043E06D4"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3.376.218</w:t>
            </w:r>
          </w:p>
        </w:tc>
        <w:tc>
          <w:tcPr>
            <w:tcW w:w="617" w:type="pct"/>
            <w:tcBorders>
              <w:top w:val="nil"/>
              <w:left w:val="nil"/>
              <w:bottom w:val="nil"/>
              <w:right w:val="nil"/>
            </w:tcBorders>
            <w:shd w:val="clear" w:color="auto" w:fill="auto"/>
            <w:vAlign w:val="bottom"/>
          </w:tcPr>
          <w:p w14:paraId="5A989D20"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236.823</w:t>
            </w:r>
          </w:p>
        </w:tc>
        <w:tc>
          <w:tcPr>
            <w:tcW w:w="617" w:type="pct"/>
            <w:tcBorders>
              <w:top w:val="nil"/>
              <w:left w:val="nil"/>
              <w:bottom w:val="nil"/>
              <w:right w:val="nil"/>
            </w:tcBorders>
            <w:shd w:val="clear" w:color="auto" w:fill="auto"/>
            <w:vAlign w:val="bottom"/>
          </w:tcPr>
          <w:p w14:paraId="2BD0B19D"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3.648.347</w:t>
            </w:r>
          </w:p>
        </w:tc>
        <w:tc>
          <w:tcPr>
            <w:tcW w:w="617" w:type="pct"/>
            <w:tcBorders>
              <w:top w:val="nil"/>
              <w:left w:val="nil"/>
              <w:bottom w:val="nil"/>
              <w:right w:val="nil"/>
            </w:tcBorders>
            <w:shd w:val="clear" w:color="auto" w:fill="auto"/>
            <w:vAlign w:val="bottom"/>
          </w:tcPr>
          <w:p w14:paraId="003A977A"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657.484</w:t>
            </w:r>
          </w:p>
        </w:tc>
      </w:tr>
      <w:tr w:rsidR="004E2F51" w:rsidRPr="009C411C" w14:paraId="17BB1F9F" w14:textId="77777777" w:rsidTr="00185239">
        <w:trPr>
          <w:cantSplit/>
          <w:trHeight w:val="250"/>
          <w:tblHeader/>
        </w:trPr>
        <w:tc>
          <w:tcPr>
            <w:tcW w:w="2532" w:type="pct"/>
            <w:vAlign w:val="center"/>
          </w:tcPr>
          <w:p w14:paraId="2427C472"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94" w:name="_Toc67329756"/>
            <w:r w:rsidRPr="009C411C">
              <w:rPr>
                <w:rFonts w:ascii="Arial" w:hAnsi="Arial" w:cs="Arial"/>
                <w:color w:val="000000" w:themeColor="text1"/>
                <w:sz w:val="18"/>
                <w:szCs w:val="18"/>
                <w:lang w:val="hr-HR"/>
              </w:rPr>
              <w:t>Prijevoz, skladištenje i veze</w:t>
            </w:r>
            <w:bookmarkEnd w:id="1594"/>
          </w:p>
        </w:tc>
        <w:tc>
          <w:tcPr>
            <w:tcW w:w="617" w:type="pct"/>
            <w:tcBorders>
              <w:top w:val="nil"/>
              <w:left w:val="nil"/>
              <w:bottom w:val="nil"/>
              <w:right w:val="nil"/>
            </w:tcBorders>
            <w:shd w:val="clear" w:color="auto" w:fill="auto"/>
            <w:vAlign w:val="bottom"/>
          </w:tcPr>
          <w:p w14:paraId="24A802BC"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2.932.413</w:t>
            </w:r>
          </w:p>
        </w:tc>
        <w:tc>
          <w:tcPr>
            <w:tcW w:w="617" w:type="pct"/>
            <w:tcBorders>
              <w:top w:val="nil"/>
              <w:left w:val="nil"/>
              <w:bottom w:val="nil"/>
              <w:right w:val="nil"/>
            </w:tcBorders>
            <w:shd w:val="clear" w:color="auto" w:fill="auto"/>
            <w:vAlign w:val="bottom"/>
          </w:tcPr>
          <w:p w14:paraId="5C7DBE69"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541.407</w:t>
            </w:r>
          </w:p>
        </w:tc>
        <w:tc>
          <w:tcPr>
            <w:tcW w:w="617" w:type="pct"/>
            <w:tcBorders>
              <w:top w:val="nil"/>
              <w:left w:val="nil"/>
              <w:bottom w:val="nil"/>
              <w:right w:val="nil"/>
            </w:tcBorders>
            <w:shd w:val="clear" w:color="auto" w:fill="auto"/>
            <w:vAlign w:val="bottom"/>
          </w:tcPr>
          <w:p w14:paraId="5EFEB35C"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2.495.987</w:t>
            </w:r>
          </w:p>
        </w:tc>
        <w:tc>
          <w:tcPr>
            <w:tcW w:w="617" w:type="pct"/>
            <w:tcBorders>
              <w:top w:val="nil"/>
              <w:left w:val="nil"/>
              <w:bottom w:val="nil"/>
              <w:right w:val="nil"/>
            </w:tcBorders>
            <w:shd w:val="clear" w:color="auto" w:fill="auto"/>
            <w:vAlign w:val="bottom"/>
          </w:tcPr>
          <w:p w14:paraId="6C33BBDE"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481.074</w:t>
            </w:r>
          </w:p>
        </w:tc>
      </w:tr>
      <w:tr w:rsidR="004E2F51" w:rsidRPr="009C411C" w14:paraId="2019FAE2" w14:textId="77777777" w:rsidTr="00185239">
        <w:trPr>
          <w:cantSplit/>
          <w:trHeight w:val="250"/>
          <w:tblHeader/>
        </w:trPr>
        <w:tc>
          <w:tcPr>
            <w:tcW w:w="2532" w:type="pct"/>
            <w:vAlign w:val="center"/>
          </w:tcPr>
          <w:p w14:paraId="00B8E6DD" w14:textId="77777777" w:rsidR="004E2F51" w:rsidRPr="009C411C" w:rsidDel="00FF5490"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95" w:name="_Toc67329761"/>
            <w:r w:rsidRPr="009C411C">
              <w:rPr>
                <w:rFonts w:ascii="Arial" w:hAnsi="Arial" w:cs="Arial"/>
                <w:color w:val="000000" w:themeColor="text1"/>
                <w:sz w:val="18"/>
                <w:szCs w:val="18"/>
                <w:lang w:val="hr-HR"/>
              </w:rPr>
              <w:t>Brodogradnja</w:t>
            </w:r>
            <w:bookmarkEnd w:id="1595"/>
          </w:p>
        </w:tc>
        <w:tc>
          <w:tcPr>
            <w:tcW w:w="617" w:type="pct"/>
            <w:tcBorders>
              <w:top w:val="nil"/>
              <w:left w:val="nil"/>
              <w:bottom w:val="nil"/>
              <w:right w:val="nil"/>
            </w:tcBorders>
            <w:shd w:val="clear" w:color="auto" w:fill="auto"/>
            <w:vAlign w:val="bottom"/>
          </w:tcPr>
          <w:p w14:paraId="507D666E"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1.496.753</w:t>
            </w:r>
          </w:p>
        </w:tc>
        <w:tc>
          <w:tcPr>
            <w:tcW w:w="617" w:type="pct"/>
            <w:tcBorders>
              <w:top w:val="nil"/>
              <w:left w:val="nil"/>
              <w:bottom w:val="nil"/>
              <w:right w:val="nil"/>
            </w:tcBorders>
            <w:shd w:val="clear" w:color="auto" w:fill="auto"/>
            <w:vAlign w:val="bottom"/>
          </w:tcPr>
          <w:p w14:paraId="75CF6200"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42.393</w:t>
            </w:r>
          </w:p>
        </w:tc>
        <w:tc>
          <w:tcPr>
            <w:tcW w:w="617" w:type="pct"/>
            <w:tcBorders>
              <w:top w:val="nil"/>
              <w:left w:val="nil"/>
              <w:bottom w:val="nil"/>
              <w:right w:val="nil"/>
            </w:tcBorders>
            <w:shd w:val="clear" w:color="auto" w:fill="auto"/>
            <w:vAlign w:val="bottom"/>
          </w:tcPr>
          <w:p w14:paraId="2FEF8FB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1.481.871</w:t>
            </w:r>
          </w:p>
        </w:tc>
        <w:tc>
          <w:tcPr>
            <w:tcW w:w="617" w:type="pct"/>
            <w:tcBorders>
              <w:top w:val="nil"/>
              <w:left w:val="nil"/>
              <w:bottom w:val="nil"/>
              <w:right w:val="nil"/>
            </w:tcBorders>
            <w:shd w:val="clear" w:color="auto" w:fill="auto"/>
            <w:vAlign w:val="bottom"/>
          </w:tcPr>
          <w:p w14:paraId="146920BF"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88.546</w:t>
            </w:r>
          </w:p>
        </w:tc>
      </w:tr>
      <w:tr w:rsidR="004E2F51" w:rsidRPr="009C411C" w14:paraId="1E2CA05B" w14:textId="77777777" w:rsidTr="00185239">
        <w:trPr>
          <w:cantSplit/>
          <w:trHeight w:val="250"/>
          <w:tblHeader/>
        </w:trPr>
        <w:tc>
          <w:tcPr>
            <w:tcW w:w="2532" w:type="pct"/>
            <w:vAlign w:val="center"/>
          </w:tcPr>
          <w:p w14:paraId="1FBA6C1F" w14:textId="77777777" w:rsidR="004E2F51" w:rsidRPr="009C411C" w:rsidDel="00FF5490"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96" w:name="_Toc67329766"/>
            <w:r w:rsidRPr="009C411C">
              <w:rPr>
                <w:rFonts w:ascii="Arial" w:hAnsi="Arial" w:cs="Arial"/>
                <w:color w:val="000000" w:themeColor="text1"/>
                <w:sz w:val="18"/>
                <w:szCs w:val="18"/>
                <w:lang w:val="hr-HR"/>
              </w:rPr>
              <w:t>Poljoprivreda i ribarstvo</w:t>
            </w:r>
            <w:bookmarkEnd w:id="1596"/>
          </w:p>
        </w:tc>
        <w:tc>
          <w:tcPr>
            <w:tcW w:w="617" w:type="pct"/>
            <w:tcBorders>
              <w:top w:val="nil"/>
              <w:left w:val="nil"/>
              <w:bottom w:val="nil"/>
              <w:right w:val="nil"/>
            </w:tcBorders>
            <w:shd w:val="clear" w:color="auto" w:fill="auto"/>
            <w:vAlign w:val="bottom"/>
          </w:tcPr>
          <w:p w14:paraId="4DD2A7B2"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589.593</w:t>
            </w:r>
          </w:p>
        </w:tc>
        <w:tc>
          <w:tcPr>
            <w:tcW w:w="617" w:type="pct"/>
            <w:tcBorders>
              <w:top w:val="nil"/>
              <w:left w:val="nil"/>
              <w:bottom w:val="nil"/>
              <w:right w:val="nil"/>
            </w:tcBorders>
            <w:shd w:val="clear" w:color="auto" w:fill="auto"/>
            <w:vAlign w:val="bottom"/>
          </w:tcPr>
          <w:p w14:paraId="2578279D"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95.102</w:t>
            </w:r>
          </w:p>
        </w:tc>
        <w:tc>
          <w:tcPr>
            <w:tcW w:w="617" w:type="pct"/>
            <w:tcBorders>
              <w:top w:val="nil"/>
              <w:left w:val="nil"/>
              <w:bottom w:val="nil"/>
              <w:right w:val="nil"/>
            </w:tcBorders>
            <w:shd w:val="clear" w:color="auto" w:fill="auto"/>
            <w:vAlign w:val="bottom"/>
          </w:tcPr>
          <w:p w14:paraId="0D94849C"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595.896</w:t>
            </w:r>
          </w:p>
        </w:tc>
        <w:tc>
          <w:tcPr>
            <w:tcW w:w="617" w:type="pct"/>
            <w:tcBorders>
              <w:top w:val="nil"/>
              <w:left w:val="nil"/>
              <w:bottom w:val="nil"/>
              <w:right w:val="nil"/>
            </w:tcBorders>
            <w:shd w:val="clear" w:color="auto" w:fill="auto"/>
            <w:vAlign w:val="bottom"/>
          </w:tcPr>
          <w:p w14:paraId="15B00E98"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164.701</w:t>
            </w:r>
          </w:p>
        </w:tc>
      </w:tr>
      <w:tr w:rsidR="004E2F51" w:rsidRPr="009C411C" w14:paraId="5428A9E9" w14:textId="77777777" w:rsidTr="00185239">
        <w:trPr>
          <w:cantSplit/>
          <w:trHeight w:val="250"/>
          <w:tblHeader/>
        </w:trPr>
        <w:tc>
          <w:tcPr>
            <w:tcW w:w="2532" w:type="pct"/>
            <w:vAlign w:val="center"/>
          </w:tcPr>
          <w:p w14:paraId="3110934F" w14:textId="77777777" w:rsidR="004E2F51" w:rsidRPr="009C411C" w:rsidDel="00FF5490"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97" w:name="_Toc67329771"/>
            <w:r w:rsidRPr="009C411C">
              <w:rPr>
                <w:rFonts w:ascii="Arial" w:hAnsi="Arial" w:cs="Arial"/>
                <w:color w:val="000000" w:themeColor="text1"/>
                <w:sz w:val="18"/>
                <w:szCs w:val="18"/>
                <w:lang w:val="hr-HR"/>
              </w:rPr>
              <w:t>Proizvodnja prehrambenih proizvoda</w:t>
            </w:r>
            <w:bookmarkEnd w:id="1597"/>
          </w:p>
        </w:tc>
        <w:tc>
          <w:tcPr>
            <w:tcW w:w="617" w:type="pct"/>
            <w:tcBorders>
              <w:top w:val="nil"/>
              <w:left w:val="nil"/>
              <w:bottom w:val="nil"/>
              <w:right w:val="nil"/>
            </w:tcBorders>
            <w:shd w:val="clear" w:color="auto" w:fill="auto"/>
            <w:vAlign w:val="bottom"/>
          </w:tcPr>
          <w:p w14:paraId="63F005C7"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857.510</w:t>
            </w:r>
          </w:p>
        </w:tc>
        <w:tc>
          <w:tcPr>
            <w:tcW w:w="617" w:type="pct"/>
            <w:tcBorders>
              <w:top w:val="nil"/>
              <w:left w:val="nil"/>
              <w:bottom w:val="nil"/>
              <w:right w:val="nil"/>
            </w:tcBorders>
            <w:shd w:val="clear" w:color="auto" w:fill="auto"/>
            <w:vAlign w:val="bottom"/>
          </w:tcPr>
          <w:p w14:paraId="0A1A9975"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121.047</w:t>
            </w:r>
          </w:p>
        </w:tc>
        <w:tc>
          <w:tcPr>
            <w:tcW w:w="617" w:type="pct"/>
            <w:tcBorders>
              <w:top w:val="nil"/>
              <w:left w:val="nil"/>
              <w:bottom w:val="nil"/>
              <w:right w:val="nil"/>
            </w:tcBorders>
            <w:shd w:val="clear" w:color="auto" w:fill="auto"/>
            <w:vAlign w:val="bottom"/>
          </w:tcPr>
          <w:p w14:paraId="397DE224"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966.803</w:t>
            </w:r>
          </w:p>
        </w:tc>
        <w:tc>
          <w:tcPr>
            <w:tcW w:w="617" w:type="pct"/>
            <w:tcBorders>
              <w:top w:val="nil"/>
              <w:left w:val="nil"/>
              <w:bottom w:val="nil"/>
              <w:right w:val="nil"/>
            </w:tcBorders>
            <w:shd w:val="clear" w:color="auto" w:fill="auto"/>
            <w:vAlign w:val="bottom"/>
          </w:tcPr>
          <w:p w14:paraId="2D59413E"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192.409</w:t>
            </w:r>
          </w:p>
        </w:tc>
      </w:tr>
      <w:tr w:rsidR="004E2F51" w:rsidRPr="009C411C" w14:paraId="15DB89FC" w14:textId="77777777" w:rsidTr="00185239">
        <w:trPr>
          <w:cantSplit/>
          <w:trHeight w:val="250"/>
          <w:tblHeader/>
        </w:trPr>
        <w:tc>
          <w:tcPr>
            <w:tcW w:w="2532" w:type="pct"/>
            <w:vAlign w:val="center"/>
          </w:tcPr>
          <w:p w14:paraId="370B26F0" w14:textId="77777777" w:rsidR="004E2F51" w:rsidRPr="009C411C" w:rsidDel="00FF5490"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98" w:name="_Toc67329776"/>
            <w:r w:rsidRPr="009C411C">
              <w:rPr>
                <w:rFonts w:ascii="Arial" w:hAnsi="Arial" w:cs="Arial"/>
                <w:color w:val="000000" w:themeColor="text1"/>
                <w:sz w:val="18"/>
                <w:szCs w:val="18"/>
                <w:lang w:val="hr-HR"/>
              </w:rPr>
              <w:t>Građevinarstvo</w:t>
            </w:r>
            <w:bookmarkEnd w:id="1598"/>
          </w:p>
        </w:tc>
        <w:tc>
          <w:tcPr>
            <w:tcW w:w="617" w:type="pct"/>
            <w:tcBorders>
              <w:top w:val="nil"/>
              <w:left w:val="nil"/>
              <w:bottom w:val="nil"/>
              <w:right w:val="nil"/>
            </w:tcBorders>
            <w:shd w:val="clear" w:color="auto" w:fill="auto"/>
            <w:vAlign w:val="bottom"/>
          </w:tcPr>
          <w:p w14:paraId="41E1901E"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2.702.238</w:t>
            </w:r>
          </w:p>
        </w:tc>
        <w:tc>
          <w:tcPr>
            <w:tcW w:w="617" w:type="pct"/>
            <w:tcBorders>
              <w:top w:val="nil"/>
              <w:left w:val="nil"/>
              <w:bottom w:val="nil"/>
              <w:right w:val="nil"/>
            </w:tcBorders>
            <w:shd w:val="clear" w:color="auto" w:fill="auto"/>
            <w:vAlign w:val="bottom"/>
          </w:tcPr>
          <w:p w14:paraId="05629AF4"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82.792</w:t>
            </w:r>
          </w:p>
        </w:tc>
        <w:tc>
          <w:tcPr>
            <w:tcW w:w="617" w:type="pct"/>
            <w:tcBorders>
              <w:top w:val="nil"/>
              <w:left w:val="nil"/>
              <w:bottom w:val="nil"/>
              <w:right w:val="nil"/>
            </w:tcBorders>
            <w:shd w:val="clear" w:color="auto" w:fill="auto"/>
            <w:vAlign w:val="bottom"/>
          </w:tcPr>
          <w:p w14:paraId="32DF4421"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2.836.306</w:t>
            </w:r>
          </w:p>
        </w:tc>
        <w:tc>
          <w:tcPr>
            <w:tcW w:w="617" w:type="pct"/>
            <w:tcBorders>
              <w:top w:val="nil"/>
              <w:left w:val="nil"/>
              <w:bottom w:val="nil"/>
              <w:right w:val="nil"/>
            </w:tcBorders>
            <w:shd w:val="clear" w:color="auto" w:fill="auto"/>
            <w:vAlign w:val="bottom"/>
          </w:tcPr>
          <w:p w14:paraId="3A457663"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124.321</w:t>
            </w:r>
          </w:p>
        </w:tc>
      </w:tr>
      <w:tr w:rsidR="004E2F51" w:rsidRPr="009C411C" w14:paraId="6EA56360" w14:textId="77777777" w:rsidTr="00185239">
        <w:trPr>
          <w:cantSplit/>
          <w:trHeight w:val="250"/>
          <w:tblHeader/>
        </w:trPr>
        <w:tc>
          <w:tcPr>
            <w:tcW w:w="2532" w:type="pct"/>
            <w:vAlign w:val="center"/>
          </w:tcPr>
          <w:p w14:paraId="2249501B" w14:textId="77777777" w:rsidR="004E2F51" w:rsidRPr="009C411C" w:rsidDel="00FF5490" w:rsidRDefault="004E2F51" w:rsidP="00E032FC">
            <w:pPr>
              <w:tabs>
                <w:tab w:val="right" w:pos="1202"/>
              </w:tabs>
              <w:spacing w:line="301" w:lineRule="exact"/>
              <w:outlineLvl w:val="0"/>
              <w:rPr>
                <w:rFonts w:ascii="Arial" w:hAnsi="Arial" w:cs="Arial"/>
                <w:color w:val="000000" w:themeColor="text1"/>
                <w:sz w:val="18"/>
                <w:szCs w:val="18"/>
                <w:lang w:val="hr-HR"/>
              </w:rPr>
            </w:pPr>
            <w:bookmarkStart w:id="1599" w:name="_Toc67329781"/>
            <w:r w:rsidRPr="009C411C">
              <w:rPr>
                <w:rFonts w:ascii="Arial" w:hAnsi="Arial" w:cs="Arial"/>
                <w:color w:val="000000" w:themeColor="text1"/>
                <w:sz w:val="18"/>
                <w:szCs w:val="18"/>
                <w:lang w:val="hr-HR"/>
              </w:rPr>
              <w:t>Ostala industrija</w:t>
            </w:r>
            <w:bookmarkEnd w:id="1599"/>
          </w:p>
        </w:tc>
        <w:tc>
          <w:tcPr>
            <w:tcW w:w="617" w:type="pct"/>
            <w:tcBorders>
              <w:top w:val="nil"/>
              <w:left w:val="nil"/>
              <w:bottom w:val="nil"/>
              <w:right w:val="nil"/>
            </w:tcBorders>
            <w:shd w:val="clear" w:color="auto" w:fill="auto"/>
            <w:vAlign w:val="bottom"/>
          </w:tcPr>
          <w:p w14:paraId="7192E131"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897.496</w:t>
            </w:r>
          </w:p>
        </w:tc>
        <w:tc>
          <w:tcPr>
            <w:tcW w:w="617" w:type="pct"/>
            <w:tcBorders>
              <w:top w:val="nil"/>
              <w:left w:val="nil"/>
              <w:bottom w:val="nil"/>
              <w:right w:val="nil"/>
            </w:tcBorders>
            <w:shd w:val="clear" w:color="auto" w:fill="auto"/>
            <w:vAlign w:val="bottom"/>
          </w:tcPr>
          <w:p w14:paraId="2AD5F649"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206.503</w:t>
            </w:r>
          </w:p>
        </w:tc>
        <w:tc>
          <w:tcPr>
            <w:tcW w:w="617" w:type="pct"/>
            <w:tcBorders>
              <w:top w:val="nil"/>
              <w:left w:val="nil"/>
              <w:bottom w:val="nil"/>
              <w:right w:val="nil"/>
            </w:tcBorders>
            <w:shd w:val="clear" w:color="auto" w:fill="auto"/>
            <w:vAlign w:val="bottom"/>
          </w:tcPr>
          <w:p w14:paraId="6D560E22"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587.382</w:t>
            </w:r>
          </w:p>
        </w:tc>
        <w:tc>
          <w:tcPr>
            <w:tcW w:w="617" w:type="pct"/>
            <w:tcBorders>
              <w:top w:val="nil"/>
              <w:left w:val="nil"/>
              <w:bottom w:val="nil"/>
              <w:right w:val="nil"/>
            </w:tcBorders>
            <w:shd w:val="clear" w:color="auto" w:fill="auto"/>
            <w:vAlign w:val="bottom"/>
          </w:tcPr>
          <w:p w14:paraId="1969105C"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198.880</w:t>
            </w:r>
          </w:p>
        </w:tc>
      </w:tr>
      <w:tr w:rsidR="004E2F51" w:rsidRPr="009C411C" w14:paraId="4D8347C8" w14:textId="77777777" w:rsidTr="00185239">
        <w:trPr>
          <w:cantSplit/>
          <w:trHeight w:val="250"/>
          <w:tblHeader/>
        </w:trPr>
        <w:tc>
          <w:tcPr>
            <w:tcW w:w="2532" w:type="pct"/>
            <w:vAlign w:val="center"/>
          </w:tcPr>
          <w:p w14:paraId="59E23E6D" w14:textId="77777777" w:rsidR="004E2F51" w:rsidRPr="009C411C" w:rsidDel="00FF5490" w:rsidRDefault="004E2F51" w:rsidP="00E032FC">
            <w:pPr>
              <w:tabs>
                <w:tab w:val="right" w:pos="1202"/>
              </w:tabs>
              <w:spacing w:line="301" w:lineRule="exact"/>
              <w:outlineLvl w:val="0"/>
              <w:rPr>
                <w:rFonts w:ascii="Arial" w:hAnsi="Arial" w:cs="Arial"/>
                <w:color w:val="000000" w:themeColor="text1"/>
                <w:sz w:val="18"/>
                <w:szCs w:val="18"/>
                <w:lang w:val="hr-HR"/>
              </w:rPr>
            </w:pPr>
            <w:bookmarkStart w:id="1600" w:name="_Toc67329786"/>
            <w:r w:rsidRPr="009C411C">
              <w:rPr>
                <w:rFonts w:ascii="Arial" w:hAnsi="Arial" w:cs="Arial"/>
                <w:color w:val="000000" w:themeColor="text1"/>
                <w:sz w:val="18"/>
                <w:szCs w:val="18"/>
                <w:lang w:val="hr-HR"/>
              </w:rPr>
              <w:t>Javna uprava</w:t>
            </w:r>
            <w:bookmarkEnd w:id="1600"/>
          </w:p>
        </w:tc>
        <w:tc>
          <w:tcPr>
            <w:tcW w:w="617" w:type="pct"/>
            <w:tcBorders>
              <w:top w:val="nil"/>
              <w:left w:val="nil"/>
              <w:bottom w:val="nil"/>
              <w:right w:val="nil"/>
            </w:tcBorders>
            <w:shd w:val="clear" w:color="auto" w:fill="auto"/>
            <w:vAlign w:val="bottom"/>
          </w:tcPr>
          <w:p w14:paraId="5781D2CF"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2.698.642</w:t>
            </w:r>
          </w:p>
        </w:tc>
        <w:tc>
          <w:tcPr>
            <w:tcW w:w="617" w:type="pct"/>
            <w:tcBorders>
              <w:top w:val="nil"/>
              <w:left w:val="nil"/>
              <w:bottom w:val="nil"/>
              <w:right w:val="nil"/>
            </w:tcBorders>
            <w:shd w:val="clear" w:color="auto" w:fill="auto"/>
            <w:vAlign w:val="bottom"/>
          </w:tcPr>
          <w:p w14:paraId="2A8128AA"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2.695.462</w:t>
            </w:r>
          </w:p>
        </w:tc>
        <w:tc>
          <w:tcPr>
            <w:tcW w:w="617" w:type="pct"/>
            <w:tcBorders>
              <w:top w:val="nil"/>
              <w:left w:val="nil"/>
              <w:bottom w:val="nil"/>
              <w:right w:val="nil"/>
            </w:tcBorders>
            <w:shd w:val="clear" w:color="auto" w:fill="auto"/>
            <w:vAlign w:val="bottom"/>
          </w:tcPr>
          <w:p w14:paraId="3801D6F4"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2.863.812</w:t>
            </w:r>
          </w:p>
        </w:tc>
        <w:tc>
          <w:tcPr>
            <w:tcW w:w="617" w:type="pct"/>
            <w:tcBorders>
              <w:top w:val="nil"/>
              <w:left w:val="nil"/>
              <w:bottom w:val="nil"/>
              <w:right w:val="nil"/>
            </w:tcBorders>
            <w:shd w:val="clear" w:color="auto" w:fill="auto"/>
            <w:vAlign w:val="bottom"/>
          </w:tcPr>
          <w:p w14:paraId="39A01646"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2.860.466</w:t>
            </w:r>
          </w:p>
        </w:tc>
      </w:tr>
      <w:tr w:rsidR="004E2F51" w:rsidRPr="009C411C" w14:paraId="3130502F" w14:textId="77777777" w:rsidTr="00185239">
        <w:trPr>
          <w:cantSplit/>
          <w:trHeight w:val="250"/>
          <w:tblHeader/>
        </w:trPr>
        <w:tc>
          <w:tcPr>
            <w:tcW w:w="2532" w:type="pct"/>
            <w:vAlign w:val="center"/>
          </w:tcPr>
          <w:p w14:paraId="4065A104" w14:textId="77777777" w:rsidR="004E2F51" w:rsidRPr="009C411C" w:rsidDel="00FF5490" w:rsidRDefault="004E2F51" w:rsidP="00E032FC">
            <w:pPr>
              <w:tabs>
                <w:tab w:val="right" w:pos="1202"/>
              </w:tabs>
              <w:spacing w:line="301" w:lineRule="exact"/>
              <w:outlineLvl w:val="0"/>
              <w:rPr>
                <w:rFonts w:ascii="Arial" w:hAnsi="Arial" w:cs="Arial"/>
                <w:color w:val="000000" w:themeColor="text1"/>
                <w:sz w:val="18"/>
                <w:szCs w:val="18"/>
                <w:lang w:val="hr-HR"/>
              </w:rPr>
            </w:pPr>
            <w:bookmarkStart w:id="1601" w:name="_Toc67329791"/>
            <w:r w:rsidRPr="009C411C">
              <w:rPr>
                <w:rFonts w:ascii="Arial" w:hAnsi="Arial" w:cs="Arial"/>
                <w:color w:val="000000" w:themeColor="text1"/>
                <w:sz w:val="18"/>
                <w:szCs w:val="18"/>
                <w:lang w:val="hr-HR"/>
              </w:rPr>
              <w:t>Obrazovanje</w:t>
            </w:r>
            <w:bookmarkEnd w:id="1601"/>
          </w:p>
        </w:tc>
        <w:tc>
          <w:tcPr>
            <w:tcW w:w="617" w:type="pct"/>
            <w:tcBorders>
              <w:top w:val="nil"/>
              <w:left w:val="nil"/>
              <w:bottom w:val="nil"/>
              <w:right w:val="nil"/>
            </w:tcBorders>
            <w:shd w:val="clear" w:color="auto" w:fill="auto"/>
            <w:vAlign w:val="bottom"/>
          </w:tcPr>
          <w:p w14:paraId="15DEFCBC"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66.234</w:t>
            </w:r>
          </w:p>
        </w:tc>
        <w:tc>
          <w:tcPr>
            <w:tcW w:w="617" w:type="pct"/>
            <w:tcBorders>
              <w:top w:val="nil"/>
              <w:left w:val="nil"/>
              <w:bottom w:val="nil"/>
              <w:right w:val="nil"/>
            </w:tcBorders>
            <w:shd w:val="clear" w:color="auto" w:fill="auto"/>
            <w:vAlign w:val="bottom"/>
          </w:tcPr>
          <w:p w14:paraId="26926974"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63.440</w:t>
            </w:r>
          </w:p>
        </w:tc>
        <w:tc>
          <w:tcPr>
            <w:tcW w:w="617" w:type="pct"/>
            <w:tcBorders>
              <w:top w:val="nil"/>
              <w:left w:val="nil"/>
              <w:bottom w:val="nil"/>
              <w:right w:val="nil"/>
            </w:tcBorders>
            <w:shd w:val="clear" w:color="auto" w:fill="auto"/>
            <w:vAlign w:val="bottom"/>
          </w:tcPr>
          <w:p w14:paraId="59E4409C"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32.142</w:t>
            </w:r>
          </w:p>
        </w:tc>
        <w:tc>
          <w:tcPr>
            <w:tcW w:w="617" w:type="pct"/>
            <w:tcBorders>
              <w:top w:val="nil"/>
              <w:left w:val="nil"/>
              <w:bottom w:val="nil"/>
              <w:right w:val="nil"/>
            </w:tcBorders>
            <w:shd w:val="clear" w:color="auto" w:fill="auto"/>
            <w:vAlign w:val="bottom"/>
          </w:tcPr>
          <w:p w14:paraId="248F86BA"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29.789</w:t>
            </w:r>
          </w:p>
        </w:tc>
      </w:tr>
      <w:tr w:rsidR="004E2F51" w:rsidRPr="009C411C" w14:paraId="27FEC19F" w14:textId="77777777" w:rsidTr="00185239">
        <w:trPr>
          <w:cantSplit/>
          <w:trHeight w:val="20"/>
          <w:tblHeader/>
        </w:trPr>
        <w:tc>
          <w:tcPr>
            <w:tcW w:w="2532" w:type="pct"/>
            <w:vAlign w:val="center"/>
          </w:tcPr>
          <w:p w14:paraId="2580E0E9" w14:textId="77777777" w:rsidR="004E2F51" w:rsidRPr="009C411C" w:rsidRDefault="004E2F51" w:rsidP="00E032FC">
            <w:pPr>
              <w:tabs>
                <w:tab w:val="right" w:pos="1202"/>
              </w:tabs>
              <w:outlineLvl w:val="0"/>
              <w:rPr>
                <w:rFonts w:ascii="Arial" w:hAnsi="Arial" w:cs="Arial"/>
                <w:color w:val="000000" w:themeColor="text1"/>
                <w:sz w:val="18"/>
                <w:szCs w:val="18"/>
                <w:lang w:val="hr-HR"/>
              </w:rPr>
            </w:pPr>
            <w:bookmarkStart w:id="1602" w:name="_Toc67329796"/>
            <w:r w:rsidRPr="009C411C">
              <w:rPr>
                <w:rFonts w:ascii="Arial" w:eastAsia="Calibri" w:hAnsi="Arial" w:cs="Arial"/>
                <w:color w:val="000000" w:themeColor="text1"/>
                <w:sz w:val="18"/>
                <w:szCs w:val="18"/>
                <w:lang w:val="hr-HR"/>
              </w:rPr>
              <w:t>Proizvodnja metala i gotovih metalnih proizvoda, osim strojeva i opreme</w:t>
            </w:r>
            <w:bookmarkEnd w:id="1602"/>
            <w:r w:rsidRPr="009C411C">
              <w:rPr>
                <w:rFonts w:ascii="Arial" w:hAnsi="Arial" w:cs="Arial"/>
                <w:color w:val="000000" w:themeColor="text1"/>
                <w:sz w:val="18"/>
                <w:szCs w:val="18"/>
                <w:lang w:val="hr-HR"/>
              </w:rPr>
              <w:t xml:space="preserve"> </w:t>
            </w:r>
          </w:p>
        </w:tc>
        <w:tc>
          <w:tcPr>
            <w:tcW w:w="617" w:type="pct"/>
            <w:tcBorders>
              <w:top w:val="nil"/>
              <w:left w:val="nil"/>
              <w:bottom w:val="nil"/>
              <w:right w:val="nil"/>
            </w:tcBorders>
            <w:shd w:val="clear" w:color="auto" w:fill="auto"/>
            <w:vAlign w:val="bottom"/>
          </w:tcPr>
          <w:p w14:paraId="5C410935"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390.864</w:t>
            </w:r>
          </w:p>
        </w:tc>
        <w:tc>
          <w:tcPr>
            <w:tcW w:w="617" w:type="pct"/>
            <w:tcBorders>
              <w:top w:val="nil"/>
              <w:left w:val="nil"/>
              <w:bottom w:val="nil"/>
              <w:right w:val="nil"/>
            </w:tcBorders>
            <w:shd w:val="clear" w:color="auto" w:fill="auto"/>
            <w:vAlign w:val="bottom"/>
          </w:tcPr>
          <w:p w14:paraId="460B29CB"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52.017</w:t>
            </w:r>
          </w:p>
        </w:tc>
        <w:tc>
          <w:tcPr>
            <w:tcW w:w="617" w:type="pct"/>
            <w:tcBorders>
              <w:top w:val="nil"/>
              <w:left w:val="nil"/>
              <w:bottom w:val="nil"/>
              <w:right w:val="nil"/>
            </w:tcBorders>
            <w:shd w:val="clear" w:color="auto" w:fill="auto"/>
            <w:vAlign w:val="bottom"/>
          </w:tcPr>
          <w:p w14:paraId="354F2E08"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281.312</w:t>
            </w:r>
          </w:p>
        </w:tc>
        <w:tc>
          <w:tcPr>
            <w:tcW w:w="617" w:type="pct"/>
            <w:tcBorders>
              <w:top w:val="nil"/>
              <w:left w:val="nil"/>
              <w:bottom w:val="nil"/>
              <w:right w:val="nil"/>
            </w:tcBorders>
            <w:shd w:val="clear" w:color="auto" w:fill="auto"/>
            <w:vAlign w:val="bottom"/>
          </w:tcPr>
          <w:p w14:paraId="39A5C83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46.808</w:t>
            </w:r>
          </w:p>
        </w:tc>
      </w:tr>
      <w:tr w:rsidR="004E2F51" w:rsidRPr="009C411C" w14:paraId="1CE6B7BE" w14:textId="77777777" w:rsidTr="00185239">
        <w:trPr>
          <w:cantSplit/>
          <w:trHeight w:val="250"/>
          <w:tblHeader/>
        </w:trPr>
        <w:tc>
          <w:tcPr>
            <w:tcW w:w="2532" w:type="pct"/>
            <w:vAlign w:val="center"/>
          </w:tcPr>
          <w:p w14:paraId="7356A9DB"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603" w:name="_Toc67329801"/>
            <w:r w:rsidRPr="009C411C">
              <w:rPr>
                <w:rFonts w:ascii="Arial" w:hAnsi="Arial" w:cs="Arial"/>
                <w:color w:val="000000" w:themeColor="text1"/>
                <w:sz w:val="18"/>
                <w:szCs w:val="18"/>
                <w:lang w:val="hr-HR"/>
              </w:rPr>
              <w:t>Proizvodnja kemikalija i kemijskih proizvoda</w:t>
            </w:r>
            <w:bookmarkEnd w:id="1603"/>
          </w:p>
        </w:tc>
        <w:tc>
          <w:tcPr>
            <w:tcW w:w="617" w:type="pct"/>
            <w:tcBorders>
              <w:top w:val="nil"/>
              <w:left w:val="nil"/>
              <w:bottom w:val="nil"/>
              <w:right w:val="nil"/>
            </w:tcBorders>
            <w:shd w:val="clear" w:color="auto" w:fill="auto"/>
            <w:vAlign w:val="bottom"/>
          </w:tcPr>
          <w:p w14:paraId="5EBF2022"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50.772</w:t>
            </w:r>
          </w:p>
        </w:tc>
        <w:tc>
          <w:tcPr>
            <w:tcW w:w="617" w:type="pct"/>
            <w:tcBorders>
              <w:top w:val="nil"/>
              <w:left w:val="nil"/>
              <w:bottom w:val="nil"/>
              <w:right w:val="nil"/>
            </w:tcBorders>
            <w:shd w:val="clear" w:color="auto" w:fill="auto"/>
            <w:vAlign w:val="bottom"/>
          </w:tcPr>
          <w:p w14:paraId="65408FA4"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1.949</w:t>
            </w:r>
          </w:p>
        </w:tc>
        <w:tc>
          <w:tcPr>
            <w:tcW w:w="617" w:type="pct"/>
            <w:tcBorders>
              <w:top w:val="nil"/>
              <w:left w:val="nil"/>
              <w:bottom w:val="nil"/>
              <w:right w:val="nil"/>
            </w:tcBorders>
            <w:shd w:val="clear" w:color="auto" w:fill="auto"/>
            <w:vAlign w:val="bottom"/>
          </w:tcPr>
          <w:p w14:paraId="78D377DE"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86.151</w:t>
            </w:r>
          </w:p>
        </w:tc>
        <w:tc>
          <w:tcPr>
            <w:tcW w:w="617" w:type="pct"/>
            <w:tcBorders>
              <w:top w:val="nil"/>
              <w:left w:val="nil"/>
              <w:bottom w:val="nil"/>
              <w:right w:val="nil"/>
            </w:tcBorders>
            <w:shd w:val="clear" w:color="auto" w:fill="auto"/>
            <w:vAlign w:val="bottom"/>
          </w:tcPr>
          <w:p w14:paraId="63AA7210"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22.533</w:t>
            </w:r>
          </w:p>
        </w:tc>
      </w:tr>
      <w:tr w:rsidR="004E2F51" w:rsidRPr="009C411C" w14:paraId="03316699" w14:textId="77777777" w:rsidTr="00185239">
        <w:trPr>
          <w:cantSplit/>
          <w:trHeight w:val="250"/>
          <w:tblHeader/>
        </w:trPr>
        <w:tc>
          <w:tcPr>
            <w:tcW w:w="2532" w:type="pct"/>
            <w:vAlign w:val="center"/>
          </w:tcPr>
          <w:p w14:paraId="5A23A506"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604" w:name="_Toc67329806"/>
            <w:r w:rsidRPr="009C411C">
              <w:rPr>
                <w:rFonts w:ascii="Arial" w:hAnsi="Arial" w:cs="Arial"/>
                <w:color w:val="000000" w:themeColor="text1"/>
                <w:sz w:val="18"/>
                <w:szCs w:val="18"/>
                <w:lang w:val="hr-HR"/>
              </w:rPr>
              <w:t>Proizvodnja ostalih nemetalnih mineralnih proizvoda</w:t>
            </w:r>
            <w:bookmarkEnd w:id="1604"/>
            <w:r w:rsidRPr="009C411C">
              <w:rPr>
                <w:rFonts w:ascii="Arial" w:hAnsi="Arial" w:cs="Arial"/>
                <w:color w:val="000000" w:themeColor="text1"/>
                <w:sz w:val="18"/>
                <w:szCs w:val="18"/>
                <w:lang w:val="hr-HR"/>
              </w:rPr>
              <w:t xml:space="preserve"> </w:t>
            </w:r>
          </w:p>
        </w:tc>
        <w:tc>
          <w:tcPr>
            <w:tcW w:w="617" w:type="pct"/>
            <w:tcBorders>
              <w:top w:val="nil"/>
              <w:left w:val="nil"/>
              <w:bottom w:val="nil"/>
              <w:right w:val="nil"/>
            </w:tcBorders>
            <w:shd w:val="clear" w:color="auto" w:fill="auto"/>
            <w:vAlign w:val="bottom"/>
          </w:tcPr>
          <w:p w14:paraId="247ECF71"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250.825</w:t>
            </w:r>
          </w:p>
        </w:tc>
        <w:tc>
          <w:tcPr>
            <w:tcW w:w="617" w:type="pct"/>
            <w:tcBorders>
              <w:top w:val="nil"/>
              <w:left w:val="nil"/>
              <w:bottom w:val="nil"/>
              <w:right w:val="nil"/>
            </w:tcBorders>
            <w:shd w:val="clear" w:color="auto" w:fill="auto"/>
            <w:vAlign w:val="bottom"/>
          </w:tcPr>
          <w:p w14:paraId="2FE8E9FC"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119.955</w:t>
            </w:r>
          </w:p>
        </w:tc>
        <w:tc>
          <w:tcPr>
            <w:tcW w:w="617" w:type="pct"/>
            <w:tcBorders>
              <w:top w:val="nil"/>
              <w:left w:val="nil"/>
              <w:bottom w:val="nil"/>
              <w:right w:val="nil"/>
            </w:tcBorders>
            <w:shd w:val="clear" w:color="auto" w:fill="auto"/>
            <w:vAlign w:val="bottom"/>
          </w:tcPr>
          <w:p w14:paraId="15652A69"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171.322</w:t>
            </w:r>
          </w:p>
        </w:tc>
        <w:tc>
          <w:tcPr>
            <w:tcW w:w="617" w:type="pct"/>
            <w:tcBorders>
              <w:top w:val="nil"/>
              <w:left w:val="nil"/>
              <w:bottom w:val="nil"/>
              <w:right w:val="nil"/>
            </w:tcBorders>
            <w:shd w:val="clear" w:color="auto" w:fill="auto"/>
            <w:vAlign w:val="bottom"/>
          </w:tcPr>
          <w:p w14:paraId="6518CB05"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126.355</w:t>
            </w:r>
          </w:p>
        </w:tc>
      </w:tr>
      <w:tr w:rsidR="004E2F51" w:rsidRPr="009C411C" w14:paraId="648CFBA1" w14:textId="77777777" w:rsidTr="00185239">
        <w:trPr>
          <w:cantSplit/>
          <w:trHeight w:val="250"/>
          <w:tblHeader/>
        </w:trPr>
        <w:tc>
          <w:tcPr>
            <w:tcW w:w="2532" w:type="pct"/>
            <w:vAlign w:val="center"/>
          </w:tcPr>
          <w:p w14:paraId="19399EA7"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605" w:name="_Toc67329811"/>
            <w:r w:rsidRPr="009C411C">
              <w:rPr>
                <w:rFonts w:ascii="Arial" w:hAnsi="Arial" w:cs="Arial"/>
                <w:color w:val="000000" w:themeColor="text1"/>
                <w:sz w:val="18"/>
                <w:szCs w:val="18"/>
                <w:lang w:val="hr-HR"/>
              </w:rPr>
              <w:t>Proizvodnja farmaceutskih pripravaka</w:t>
            </w:r>
            <w:bookmarkEnd w:id="1605"/>
          </w:p>
        </w:tc>
        <w:tc>
          <w:tcPr>
            <w:tcW w:w="617" w:type="pct"/>
            <w:tcBorders>
              <w:top w:val="nil"/>
              <w:left w:val="nil"/>
              <w:bottom w:val="nil"/>
              <w:right w:val="nil"/>
            </w:tcBorders>
            <w:shd w:val="clear" w:color="auto" w:fill="auto"/>
            <w:vAlign w:val="bottom"/>
          </w:tcPr>
          <w:p w14:paraId="52882072"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537.233</w:t>
            </w:r>
          </w:p>
        </w:tc>
        <w:tc>
          <w:tcPr>
            <w:tcW w:w="617" w:type="pct"/>
            <w:tcBorders>
              <w:top w:val="nil"/>
              <w:left w:val="nil"/>
              <w:bottom w:val="nil"/>
              <w:right w:val="nil"/>
            </w:tcBorders>
            <w:shd w:val="clear" w:color="auto" w:fill="auto"/>
            <w:vAlign w:val="bottom"/>
          </w:tcPr>
          <w:p w14:paraId="4B519399"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98.885</w:t>
            </w:r>
          </w:p>
        </w:tc>
        <w:tc>
          <w:tcPr>
            <w:tcW w:w="617" w:type="pct"/>
            <w:tcBorders>
              <w:top w:val="nil"/>
              <w:left w:val="nil"/>
              <w:bottom w:val="nil"/>
              <w:right w:val="nil"/>
            </w:tcBorders>
            <w:shd w:val="clear" w:color="auto" w:fill="auto"/>
            <w:vAlign w:val="bottom"/>
          </w:tcPr>
          <w:p w14:paraId="13983ACA"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414.615</w:t>
            </w:r>
          </w:p>
        </w:tc>
        <w:tc>
          <w:tcPr>
            <w:tcW w:w="617" w:type="pct"/>
            <w:tcBorders>
              <w:top w:val="nil"/>
              <w:left w:val="nil"/>
              <w:bottom w:val="nil"/>
              <w:right w:val="nil"/>
            </w:tcBorders>
            <w:shd w:val="clear" w:color="auto" w:fill="auto"/>
            <w:vAlign w:val="bottom"/>
          </w:tcPr>
          <w:p w14:paraId="52140191"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377.809</w:t>
            </w:r>
          </w:p>
        </w:tc>
      </w:tr>
      <w:tr w:rsidR="004E2F51" w:rsidRPr="009C411C" w14:paraId="135732FE" w14:textId="77777777" w:rsidTr="00185239">
        <w:trPr>
          <w:cantSplit/>
          <w:trHeight w:val="250"/>
          <w:tblHeader/>
        </w:trPr>
        <w:tc>
          <w:tcPr>
            <w:tcW w:w="2532" w:type="pct"/>
            <w:vAlign w:val="center"/>
          </w:tcPr>
          <w:p w14:paraId="0F9E352B"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606" w:name="_Toc67329816"/>
            <w:r w:rsidRPr="009C411C">
              <w:rPr>
                <w:rFonts w:ascii="Arial" w:hAnsi="Arial" w:cs="Arial"/>
                <w:color w:val="000000" w:themeColor="text1"/>
                <w:sz w:val="18"/>
                <w:szCs w:val="18"/>
                <w:lang w:val="hr-HR"/>
              </w:rPr>
              <w:t>Proizvodnja motornih vozila, prikolica i poluprikolica</w:t>
            </w:r>
            <w:bookmarkEnd w:id="1606"/>
          </w:p>
        </w:tc>
        <w:tc>
          <w:tcPr>
            <w:tcW w:w="617" w:type="pct"/>
            <w:tcBorders>
              <w:top w:val="nil"/>
              <w:left w:val="nil"/>
              <w:bottom w:val="nil"/>
              <w:right w:val="nil"/>
            </w:tcBorders>
            <w:shd w:val="clear" w:color="auto" w:fill="auto"/>
            <w:vAlign w:val="bottom"/>
          </w:tcPr>
          <w:p w14:paraId="436A78C1"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115.047</w:t>
            </w:r>
          </w:p>
        </w:tc>
        <w:tc>
          <w:tcPr>
            <w:tcW w:w="617" w:type="pct"/>
            <w:tcBorders>
              <w:top w:val="nil"/>
              <w:left w:val="nil"/>
              <w:bottom w:val="nil"/>
              <w:right w:val="nil"/>
            </w:tcBorders>
            <w:shd w:val="clear" w:color="auto" w:fill="auto"/>
            <w:vAlign w:val="bottom"/>
          </w:tcPr>
          <w:p w14:paraId="66A75E8D"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3.208</w:t>
            </w:r>
          </w:p>
        </w:tc>
        <w:tc>
          <w:tcPr>
            <w:tcW w:w="617" w:type="pct"/>
            <w:tcBorders>
              <w:top w:val="nil"/>
              <w:left w:val="nil"/>
              <w:bottom w:val="nil"/>
              <w:right w:val="nil"/>
            </w:tcBorders>
            <w:shd w:val="clear" w:color="auto" w:fill="auto"/>
            <w:vAlign w:val="bottom"/>
          </w:tcPr>
          <w:p w14:paraId="3DE32A47"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266.004</w:t>
            </w:r>
          </w:p>
        </w:tc>
        <w:tc>
          <w:tcPr>
            <w:tcW w:w="617" w:type="pct"/>
            <w:tcBorders>
              <w:top w:val="nil"/>
              <w:left w:val="nil"/>
              <w:bottom w:val="nil"/>
              <w:right w:val="nil"/>
            </w:tcBorders>
            <w:shd w:val="clear" w:color="auto" w:fill="auto"/>
            <w:vAlign w:val="bottom"/>
          </w:tcPr>
          <w:p w14:paraId="4ED9C494"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17.411</w:t>
            </w:r>
          </w:p>
        </w:tc>
      </w:tr>
      <w:tr w:rsidR="004E2F51" w:rsidRPr="009C411C" w14:paraId="20FA789F" w14:textId="77777777" w:rsidTr="00185239">
        <w:trPr>
          <w:cantSplit/>
          <w:trHeight w:val="250"/>
          <w:tblHeader/>
        </w:trPr>
        <w:tc>
          <w:tcPr>
            <w:tcW w:w="2532" w:type="pct"/>
            <w:vAlign w:val="center"/>
          </w:tcPr>
          <w:p w14:paraId="134BE9DB"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r w:rsidRPr="008B57F3">
              <w:rPr>
                <w:rFonts w:ascii="Arial" w:hAnsi="Arial" w:cs="Arial"/>
                <w:color w:val="000000" w:themeColor="text1"/>
                <w:sz w:val="18"/>
                <w:szCs w:val="18"/>
                <w:lang w:val="hr-HR"/>
              </w:rPr>
              <w:t>Proizvodnja električne opreme</w:t>
            </w:r>
          </w:p>
        </w:tc>
        <w:tc>
          <w:tcPr>
            <w:tcW w:w="617" w:type="pct"/>
            <w:tcBorders>
              <w:top w:val="nil"/>
              <w:left w:val="nil"/>
              <w:bottom w:val="nil"/>
              <w:right w:val="nil"/>
            </w:tcBorders>
            <w:shd w:val="clear" w:color="auto" w:fill="auto"/>
            <w:vAlign w:val="bottom"/>
          </w:tcPr>
          <w:p w14:paraId="62573725"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120.131</w:t>
            </w:r>
          </w:p>
        </w:tc>
        <w:tc>
          <w:tcPr>
            <w:tcW w:w="617" w:type="pct"/>
            <w:tcBorders>
              <w:top w:val="nil"/>
              <w:left w:val="nil"/>
              <w:bottom w:val="nil"/>
              <w:right w:val="nil"/>
            </w:tcBorders>
            <w:shd w:val="clear" w:color="auto" w:fill="auto"/>
            <w:vAlign w:val="bottom"/>
          </w:tcPr>
          <w:p w14:paraId="46EB764F"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56.688</w:t>
            </w:r>
          </w:p>
        </w:tc>
        <w:tc>
          <w:tcPr>
            <w:tcW w:w="617" w:type="pct"/>
            <w:tcBorders>
              <w:top w:val="nil"/>
              <w:left w:val="nil"/>
              <w:bottom w:val="nil"/>
              <w:right w:val="nil"/>
            </w:tcBorders>
            <w:shd w:val="clear" w:color="auto" w:fill="auto"/>
            <w:vAlign w:val="bottom"/>
          </w:tcPr>
          <w:p w14:paraId="522695CE" w14:textId="77777777" w:rsidR="004E2F51" w:rsidRPr="009C411C"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78.975</w:t>
            </w:r>
          </w:p>
        </w:tc>
        <w:tc>
          <w:tcPr>
            <w:tcW w:w="617" w:type="pct"/>
            <w:tcBorders>
              <w:top w:val="nil"/>
              <w:left w:val="nil"/>
              <w:bottom w:val="nil"/>
              <w:right w:val="nil"/>
            </w:tcBorders>
            <w:shd w:val="clear" w:color="auto" w:fill="auto"/>
            <w:vAlign w:val="bottom"/>
          </w:tcPr>
          <w:p w14:paraId="2D4DE943" w14:textId="77777777" w:rsidR="004E2F51" w:rsidRPr="009C411C"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24.512</w:t>
            </w:r>
          </w:p>
        </w:tc>
      </w:tr>
      <w:tr w:rsidR="004E2F51" w:rsidRPr="009C411C" w14:paraId="1FBBEB9B" w14:textId="77777777" w:rsidTr="00185239">
        <w:trPr>
          <w:cantSplit/>
          <w:trHeight w:val="250"/>
          <w:tblHeader/>
        </w:trPr>
        <w:tc>
          <w:tcPr>
            <w:tcW w:w="2532" w:type="pct"/>
            <w:vAlign w:val="center"/>
          </w:tcPr>
          <w:p w14:paraId="43F237F7"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r w:rsidRPr="008B57F3">
              <w:rPr>
                <w:rFonts w:ascii="Arial" w:hAnsi="Arial" w:cs="Arial"/>
                <w:color w:val="000000" w:themeColor="text1"/>
                <w:sz w:val="18"/>
                <w:szCs w:val="18"/>
                <w:lang w:val="hr-HR"/>
              </w:rPr>
              <w:t>Proizvodnja strojeva i uređaja</w:t>
            </w:r>
          </w:p>
        </w:tc>
        <w:tc>
          <w:tcPr>
            <w:tcW w:w="617" w:type="pct"/>
            <w:tcBorders>
              <w:top w:val="nil"/>
              <w:left w:val="nil"/>
              <w:bottom w:val="nil"/>
              <w:right w:val="nil"/>
            </w:tcBorders>
            <w:shd w:val="clear" w:color="auto" w:fill="auto"/>
            <w:vAlign w:val="bottom"/>
          </w:tcPr>
          <w:p w14:paraId="3E59CE28"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150.558</w:t>
            </w:r>
          </w:p>
        </w:tc>
        <w:tc>
          <w:tcPr>
            <w:tcW w:w="617" w:type="pct"/>
            <w:tcBorders>
              <w:top w:val="nil"/>
              <w:left w:val="nil"/>
              <w:bottom w:val="nil"/>
              <w:right w:val="nil"/>
            </w:tcBorders>
            <w:shd w:val="clear" w:color="auto" w:fill="auto"/>
            <w:vAlign w:val="bottom"/>
          </w:tcPr>
          <w:p w14:paraId="16469CB1"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22.494</w:t>
            </w:r>
          </w:p>
        </w:tc>
        <w:tc>
          <w:tcPr>
            <w:tcW w:w="617" w:type="pct"/>
            <w:tcBorders>
              <w:top w:val="nil"/>
              <w:left w:val="nil"/>
              <w:bottom w:val="nil"/>
              <w:right w:val="nil"/>
            </w:tcBorders>
            <w:shd w:val="clear" w:color="auto" w:fill="auto"/>
            <w:vAlign w:val="bottom"/>
          </w:tcPr>
          <w:p w14:paraId="2DF5E2B5" w14:textId="77777777" w:rsidR="004E2F51" w:rsidRPr="009C411C"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63.954</w:t>
            </w:r>
          </w:p>
        </w:tc>
        <w:tc>
          <w:tcPr>
            <w:tcW w:w="617" w:type="pct"/>
            <w:tcBorders>
              <w:top w:val="nil"/>
              <w:left w:val="nil"/>
              <w:bottom w:val="nil"/>
              <w:right w:val="nil"/>
            </w:tcBorders>
            <w:shd w:val="clear" w:color="auto" w:fill="auto"/>
            <w:vAlign w:val="bottom"/>
          </w:tcPr>
          <w:p w14:paraId="4D06FA44" w14:textId="77777777" w:rsidR="004E2F51" w:rsidRPr="009C411C"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16.644</w:t>
            </w:r>
          </w:p>
        </w:tc>
      </w:tr>
      <w:tr w:rsidR="004E2F51" w:rsidRPr="009C411C" w14:paraId="63DE60DD" w14:textId="77777777" w:rsidTr="00185239">
        <w:trPr>
          <w:cantSplit/>
          <w:trHeight w:val="250"/>
          <w:tblHeader/>
        </w:trPr>
        <w:tc>
          <w:tcPr>
            <w:tcW w:w="2532" w:type="pct"/>
            <w:vAlign w:val="bottom"/>
          </w:tcPr>
          <w:p w14:paraId="074A582D" w14:textId="77777777" w:rsidR="004E2F51" w:rsidRPr="009C411C" w:rsidRDefault="004E2F51" w:rsidP="00E032FC">
            <w:pPr>
              <w:tabs>
                <w:tab w:val="right" w:pos="1202"/>
              </w:tabs>
              <w:spacing w:line="301" w:lineRule="exact"/>
              <w:outlineLvl w:val="0"/>
              <w:rPr>
                <w:rFonts w:ascii="Arial" w:hAnsi="Arial" w:cs="Arial"/>
                <w:color w:val="000000" w:themeColor="text1"/>
                <w:sz w:val="18"/>
                <w:szCs w:val="18"/>
                <w:lang w:val="hr-HR"/>
              </w:rPr>
            </w:pPr>
            <w:bookmarkStart w:id="1607" w:name="_Toc67329821"/>
            <w:r w:rsidRPr="009C411C">
              <w:rPr>
                <w:rFonts w:ascii="Arial" w:hAnsi="Arial" w:cs="Arial"/>
                <w:color w:val="000000" w:themeColor="text1"/>
                <w:sz w:val="18"/>
                <w:szCs w:val="18"/>
                <w:lang w:val="hr-HR"/>
              </w:rPr>
              <w:t>Ostalo</w:t>
            </w:r>
            <w:bookmarkEnd w:id="1607"/>
          </w:p>
        </w:tc>
        <w:tc>
          <w:tcPr>
            <w:tcW w:w="617" w:type="pct"/>
            <w:tcBorders>
              <w:top w:val="nil"/>
              <w:left w:val="nil"/>
              <w:bottom w:val="nil"/>
              <w:right w:val="nil"/>
            </w:tcBorders>
            <w:shd w:val="clear" w:color="auto" w:fill="auto"/>
            <w:vAlign w:val="bottom"/>
          </w:tcPr>
          <w:p w14:paraId="4A257909"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1.974.937</w:t>
            </w:r>
          </w:p>
        </w:tc>
        <w:tc>
          <w:tcPr>
            <w:tcW w:w="617" w:type="pct"/>
            <w:tcBorders>
              <w:top w:val="nil"/>
              <w:left w:val="nil"/>
              <w:bottom w:val="nil"/>
              <w:right w:val="nil"/>
            </w:tcBorders>
            <w:shd w:val="clear" w:color="auto" w:fill="auto"/>
            <w:vAlign w:val="bottom"/>
          </w:tcPr>
          <w:p w14:paraId="1AA11B13" w14:textId="77777777" w:rsidR="004E2F51" w:rsidRPr="008B57F3" w:rsidRDefault="004E2F51" w:rsidP="00E032FC">
            <w:pPr>
              <w:tabs>
                <w:tab w:val="right" w:pos="1202"/>
              </w:tabs>
              <w:spacing w:line="301" w:lineRule="exact"/>
              <w:jc w:val="right"/>
              <w:outlineLvl w:val="0"/>
              <w:rPr>
                <w:rFonts w:ascii="Arial" w:hAnsi="Arial" w:cs="Arial"/>
                <w:sz w:val="18"/>
                <w:szCs w:val="18"/>
              </w:rPr>
            </w:pPr>
            <w:r w:rsidRPr="008B57F3">
              <w:rPr>
                <w:rFonts w:ascii="Arial" w:hAnsi="Arial" w:cs="Arial"/>
                <w:sz w:val="18"/>
                <w:szCs w:val="18"/>
              </w:rPr>
              <w:t>473.387</w:t>
            </w:r>
          </w:p>
        </w:tc>
        <w:tc>
          <w:tcPr>
            <w:tcW w:w="617" w:type="pct"/>
            <w:tcBorders>
              <w:top w:val="nil"/>
              <w:left w:val="nil"/>
              <w:bottom w:val="nil"/>
              <w:right w:val="nil"/>
            </w:tcBorders>
            <w:shd w:val="clear" w:color="auto" w:fill="auto"/>
            <w:vAlign w:val="bottom"/>
          </w:tcPr>
          <w:p w14:paraId="31986259"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2.135.163</w:t>
            </w:r>
          </w:p>
        </w:tc>
        <w:tc>
          <w:tcPr>
            <w:tcW w:w="617" w:type="pct"/>
            <w:tcBorders>
              <w:top w:val="nil"/>
              <w:left w:val="nil"/>
              <w:bottom w:val="nil"/>
              <w:right w:val="nil"/>
            </w:tcBorders>
            <w:shd w:val="clear" w:color="auto" w:fill="auto"/>
            <w:vAlign w:val="bottom"/>
          </w:tcPr>
          <w:p w14:paraId="3E01BDE2" w14:textId="77777777" w:rsidR="004E2F51" w:rsidRPr="009C411C"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9C411C">
              <w:rPr>
                <w:rFonts w:ascii="Arial" w:hAnsi="Arial" w:cs="Arial"/>
                <w:sz w:val="18"/>
                <w:szCs w:val="18"/>
              </w:rPr>
              <w:t>289.893</w:t>
            </w:r>
          </w:p>
        </w:tc>
      </w:tr>
      <w:tr w:rsidR="004E2F51" w:rsidRPr="009C411C" w14:paraId="096E8FA1" w14:textId="77777777" w:rsidTr="00185239">
        <w:tblPrEx>
          <w:tblCellMar>
            <w:left w:w="31" w:type="dxa"/>
            <w:right w:w="31" w:type="dxa"/>
          </w:tblCellMar>
        </w:tblPrEx>
        <w:trPr>
          <w:cantSplit/>
          <w:trHeight w:hRule="exact" w:val="90"/>
          <w:tblHeader/>
        </w:trPr>
        <w:tc>
          <w:tcPr>
            <w:tcW w:w="2532" w:type="pct"/>
            <w:vAlign w:val="center"/>
          </w:tcPr>
          <w:p w14:paraId="6536EF5A" w14:textId="77777777" w:rsidR="004E2F51" w:rsidRPr="009C411C" w:rsidRDefault="004E2F51" w:rsidP="00E032FC">
            <w:pPr>
              <w:rPr>
                <w:rFonts w:ascii="Arial" w:hAnsi="Arial" w:cs="Arial"/>
                <w:b/>
                <w:bCs/>
                <w:color w:val="000000" w:themeColor="text1"/>
                <w:sz w:val="18"/>
                <w:szCs w:val="18"/>
                <w:lang w:val="hr-HR"/>
              </w:rPr>
            </w:pPr>
          </w:p>
        </w:tc>
        <w:tc>
          <w:tcPr>
            <w:tcW w:w="617" w:type="pct"/>
            <w:tcBorders>
              <w:top w:val="single" w:sz="8" w:space="0" w:color="auto"/>
            </w:tcBorders>
            <w:shd w:val="clear" w:color="auto" w:fill="auto"/>
            <w:vAlign w:val="bottom"/>
          </w:tcPr>
          <w:p w14:paraId="07892D36" w14:textId="77777777" w:rsidR="004E2F51" w:rsidRPr="009C411C" w:rsidRDefault="004E2F51" w:rsidP="00E032FC">
            <w:pPr>
              <w:tabs>
                <w:tab w:val="right" w:pos="1202"/>
              </w:tabs>
              <w:jc w:val="right"/>
              <w:outlineLvl w:val="0"/>
              <w:rPr>
                <w:rFonts w:ascii="Arial" w:hAnsi="Arial" w:cs="Arial"/>
                <w:noProof/>
                <w:color w:val="000000" w:themeColor="text1"/>
                <w:sz w:val="18"/>
                <w:szCs w:val="18"/>
                <w:lang w:val="hr-HR" w:eastAsia="hr-HR"/>
              </w:rPr>
            </w:pPr>
          </w:p>
        </w:tc>
        <w:tc>
          <w:tcPr>
            <w:tcW w:w="617" w:type="pct"/>
            <w:tcBorders>
              <w:top w:val="single" w:sz="8" w:space="0" w:color="auto"/>
            </w:tcBorders>
            <w:shd w:val="clear" w:color="auto" w:fill="auto"/>
            <w:vAlign w:val="bottom"/>
          </w:tcPr>
          <w:p w14:paraId="3498181B" w14:textId="77777777" w:rsidR="004E2F51" w:rsidRPr="009C411C" w:rsidRDefault="004E2F51" w:rsidP="00E032FC">
            <w:pPr>
              <w:tabs>
                <w:tab w:val="right" w:pos="1202"/>
              </w:tabs>
              <w:jc w:val="right"/>
              <w:outlineLvl w:val="0"/>
              <w:rPr>
                <w:rFonts w:ascii="Arial" w:hAnsi="Arial" w:cs="Arial"/>
                <w:b/>
                <w:color w:val="000000" w:themeColor="text1"/>
                <w:sz w:val="18"/>
                <w:szCs w:val="18"/>
                <w:lang w:val="hr-HR"/>
              </w:rPr>
            </w:pPr>
          </w:p>
        </w:tc>
        <w:tc>
          <w:tcPr>
            <w:tcW w:w="617" w:type="pct"/>
            <w:tcBorders>
              <w:top w:val="single" w:sz="8" w:space="0" w:color="auto"/>
            </w:tcBorders>
            <w:shd w:val="clear" w:color="auto" w:fill="auto"/>
            <w:vAlign w:val="bottom"/>
          </w:tcPr>
          <w:p w14:paraId="49E19315" w14:textId="77777777" w:rsidR="004E2F51" w:rsidRPr="009C411C" w:rsidRDefault="004E2F51" w:rsidP="00E032FC">
            <w:pPr>
              <w:tabs>
                <w:tab w:val="right" w:pos="1202"/>
              </w:tabs>
              <w:jc w:val="right"/>
              <w:outlineLvl w:val="0"/>
              <w:rPr>
                <w:rFonts w:ascii="Arial" w:hAnsi="Arial" w:cs="Arial"/>
                <w:noProof/>
                <w:color w:val="000000" w:themeColor="text1"/>
                <w:sz w:val="18"/>
                <w:szCs w:val="18"/>
                <w:lang w:val="hr-HR" w:eastAsia="hr-HR"/>
              </w:rPr>
            </w:pPr>
          </w:p>
        </w:tc>
        <w:tc>
          <w:tcPr>
            <w:tcW w:w="617" w:type="pct"/>
            <w:tcBorders>
              <w:top w:val="single" w:sz="8" w:space="0" w:color="auto"/>
            </w:tcBorders>
            <w:shd w:val="clear" w:color="auto" w:fill="auto"/>
            <w:vAlign w:val="bottom"/>
          </w:tcPr>
          <w:p w14:paraId="6DD46D36" w14:textId="77777777" w:rsidR="004E2F51" w:rsidRPr="009C411C" w:rsidRDefault="004E2F51" w:rsidP="00E032FC">
            <w:pPr>
              <w:tabs>
                <w:tab w:val="right" w:pos="1202"/>
              </w:tabs>
              <w:jc w:val="right"/>
              <w:outlineLvl w:val="0"/>
              <w:rPr>
                <w:rFonts w:ascii="Arial" w:hAnsi="Arial" w:cs="Arial"/>
                <w:b/>
                <w:color w:val="000000" w:themeColor="text1"/>
                <w:sz w:val="18"/>
                <w:szCs w:val="18"/>
                <w:lang w:val="hr-HR"/>
              </w:rPr>
            </w:pPr>
          </w:p>
        </w:tc>
      </w:tr>
      <w:tr w:rsidR="004E2F51" w:rsidRPr="009C411C" w14:paraId="461708BC" w14:textId="77777777" w:rsidTr="00185239">
        <w:tblPrEx>
          <w:tblCellMar>
            <w:left w:w="31" w:type="dxa"/>
            <w:right w:w="31" w:type="dxa"/>
          </w:tblCellMar>
        </w:tblPrEx>
        <w:trPr>
          <w:cantSplit/>
          <w:trHeight w:val="322"/>
          <w:tblHeader/>
        </w:trPr>
        <w:tc>
          <w:tcPr>
            <w:tcW w:w="2532" w:type="pct"/>
            <w:vAlign w:val="bottom"/>
          </w:tcPr>
          <w:p w14:paraId="7188D340" w14:textId="77777777" w:rsidR="004E2F51" w:rsidRPr="009C411C" w:rsidRDefault="004E2F51" w:rsidP="00E032FC">
            <w:pPr>
              <w:rPr>
                <w:rFonts w:ascii="Arial" w:hAnsi="Arial" w:cs="Arial"/>
                <w:b/>
                <w:bCs/>
                <w:color w:val="000000" w:themeColor="text1"/>
                <w:sz w:val="18"/>
                <w:szCs w:val="18"/>
                <w:lang w:val="hr-HR"/>
              </w:rPr>
            </w:pPr>
            <w:r w:rsidRPr="009C411C">
              <w:rPr>
                <w:rFonts w:ascii="Arial" w:hAnsi="Arial" w:cs="Arial"/>
                <w:b/>
                <w:bCs/>
                <w:color w:val="000000" w:themeColor="text1"/>
                <w:sz w:val="18"/>
                <w:szCs w:val="18"/>
                <w:lang w:val="hr-HR"/>
              </w:rPr>
              <w:t>Ukupna izloženost kreditnom riziku</w:t>
            </w:r>
          </w:p>
        </w:tc>
        <w:tc>
          <w:tcPr>
            <w:tcW w:w="617" w:type="pct"/>
            <w:tcBorders>
              <w:left w:val="nil"/>
              <w:bottom w:val="single" w:sz="12" w:space="0" w:color="auto"/>
              <w:right w:val="nil"/>
            </w:tcBorders>
            <w:shd w:val="clear" w:color="auto" w:fill="auto"/>
            <w:vAlign w:val="bottom"/>
          </w:tcPr>
          <w:p w14:paraId="291D2E32" w14:textId="77777777" w:rsidR="004E2F51" w:rsidRPr="009C411C" w:rsidRDefault="004E2F51" w:rsidP="00E032FC">
            <w:pPr>
              <w:tabs>
                <w:tab w:val="right" w:pos="1202"/>
              </w:tabs>
              <w:jc w:val="right"/>
              <w:outlineLvl w:val="0"/>
              <w:rPr>
                <w:rFonts w:ascii="Arial" w:hAnsi="Arial" w:cs="Arial"/>
                <w:b/>
                <w:bCs/>
                <w:noProof/>
                <w:color w:val="000000" w:themeColor="text1"/>
                <w:sz w:val="18"/>
                <w:szCs w:val="18"/>
                <w:lang w:val="hr-HR" w:eastAsia="hr-HR"/>
              </w:rPr>
            </w:pPr>
            <w:r w:rsidRPr="008B57F3">
              <w:rPr>
                <w:rFonts w:ascii="Arial" w:hAnsi="Arial" w:cs="Arial"/>
                <w:b/>
                <w:bCs/>
                <w:noProof/>
                <w:color w:val="000000" w:themeColor="text1"/>
                <w:sz w:val="18"/>
                <w:szCs w:val="18"/>
                <w:lang w:val="hr-HR" w:eastAsia="hr-HR"/>
              </w:rPr>
              <w:t>31.626.565</w:t>
            </w:r>
          </w:p>
        </w:tc>
        <w:tc>
          <w:tcPr>
            <w:tcW w:w="617" w:type="pct"/>
            <w:tcBorders>
              <w:left w:val="nil"/>
              <w:bottom w:val="single" w:sz="12" w:space="0" w:color="auto"/>
              <w:right w:val="nil"/>
            </w:tcBorders>
            <w:shd w:val="clear" w:color="auto" w:fill="auto"/>
            <w:vAlign w:val="bottom"/>
          </w:tcPr>
          <w:p w14:paraId="5F81F606" w14:textId="77777777" w:rsidR="004E2F51" w:rsidRPr="009C411C" w:rsidRDefault="004E2F51" w:rsidP="00E032FC">
            <w:pPr>
              <w:tabs>
                <w:tab w:val="right" w:pos="1202"/>
              </w:tabs>
              <w:jc w:val="right"/>
              <w:outlineLvl w:val="0"/>
              <w:rPr>
                <w:rFonts w:ascii="Arial" w:hAnsi="Arial" w:cs="Arial"/>
                <w:b/>
                <w:bCs/>
                <w:color w:val="000000" w:themeColor="text1"/>
                <w:sz w:val="18"/>
                <w:szCs w:val="18"/>
                <w:lang w:val="hr-HR"/>
              </w:rPr>
            </w:pPr>
            <w:r w:rsidRPr="008B57F3">
              <w:rPr>
                <w:rFonts w:ascii="Arial" w:hAnsi="Arial" w:cs="Arial"/>
                <w:b/>
                <w:bCs/>
                <w:noProof/>
                <w:color w:val="000000" w:themeColor="text1"/>
                <w:sz w:val="18"/>
                <w:szCs w:val="18"/>
                <w:lang w:val="hr-HR" w:eastAsia="hr-HR"/>
              </w:rPr>
              <w:t>5.974.875</w:t>
            </w:r>
          </w:p>
        </w:tc>
        <w:tc>
          <w:tcPr>
            <w:tcW w:w="617" w:type="pct"/>
            <w:tcBorders>
              <w:left w:val="nil"/>
              <w:bottom w:val="single" w:sz="12" w:space="0" w:color="auto"/>
              <w:right w:val="nil"/>
            </w:tcBorders>
            <w:shd w:val="clear" w:color="auto" w:fill="auto"/>
            <w:vAlign w:val="bottom"/>
          </w:tcPr>
          <w:p w14:paraId="17C8376C" w14:textId="77777777" w:rsidR="004E2F51" w:rsidRPr="009C411C" w:rsidRDefault="004E2F51" w:rsidP="00E032FC">
            <w:pPr>
              <w:tabs>
                <w:tab w:val="right" w:pos="1202"/>
              </w:tabs>
              <w:jc w:val="right"/>
              <w:outlineLvl w:val="0"/>
              <w:rPr>
                <w:rFonts w:ascii="Arial" w:hAnsi="Arial" w:cs="Arial"/>
                <w:b/>
                <w:noProof/>
                <w:color w:val="000000" w:themeColor="text1"/>
                <w:sz w:val="18"/>
                <w:szCs w:val="18"/>
                <w:lang w:val="hr-HR" w:eastAsia="hr-HR"/>
              </w:rPr>
            </w:pPr>
            <w:r w:rsidRPr="009C411C">
              <w:rPr>
                <w:rFonts w:ascii="Arial" w:hAnsi="Arial" w:cs="Arial"/>
                <w:b/>
                <w:bCs/>
                <w:sz w:val="18"/>
                <w:szCs w:val="18"/>
              </w:rPr>
              <w:t>31.732.509</w:t>
            </w:r>
          </w:p>
        </w:tc>
        <w:tc>
          <w:tcPr>
            <w:tcW w:w="617" w:type="pct"/>
            <w:tcBorders>
              <w:left w:val="nil"/>
              <w:bottom w:val="single" w:sz="12" w:space="0" w:color="auto"/>
              <w:right w:val="nil"/>
            </w:tcBorders>
            <w:shd w:val="clear" w:color="auto" w:fill="auto"/>
            <w:vAlign w:val="bottom"/>
          </w:tcPr>
          <w:p w14:paraId="7702EBA5" w14:textId="77777777" w:rsidR="004E2F51" w:rsidRPr="009C411C" w:rsidRDefault="004E2F51" w:rsidP="00E032FC">
            <w:pPr>
              <w:tabs>
                <w:tab w:val="right" w:pos="1202"/>
              </w:tabs>
              <w:jc w:val="right"/>
              <w:outlineLvl w:val="0"/>
              <w:rPr>
                <w:rFonts w:ascii="Arial" w:hAnsi="Arial" w:cs="Arial"/>
                <w:b/>
                <w:color w:val="000000" w:themeColor="text1"/>
                <w:sz w:val="18"/>
                <w:szCs w:val="18"/>
                <w:lang w:val="hr-HR"/>
              </w:rPr>
            </w:pPr>
            <w:r w:rsidRPr="009C411C">
              <w:rPr>
                <w:rFonts w:ascii="Arial" w:hAnsi="Arial" w:cs="Arial"/>
                <w:b/>
                <w:bCs/>
                <w:sz w:val="18"/>
                <w:szCs w:val="18"/>
              </w:rPr>
              <w:t>6.693.530</w:t>
            </w:r>
          </w:p>
        </w:tc>
      </w:tr>
    </w:tbl>
    <w:p w14:paraId="7CB6EE6F" w14:textId="77777777" w:rsidR="004E2F51" w:rsidRPr="00C651CA" w:rsidRDefault="004E2F51" w:rsidP="004E2F51">
      <w:pPr>
        <w:pStyle w:val="T1"/>
        <w:spacing w:before="0" w:after="0" w:line="240" w:lineRule="auto"/>
        <w:rPr>
          <w:rFonts w:cs="Arial"/>
          <w:b w:val="0"/>
          <w:color w:val="000000" w:themeColor="text1"/>
          <w:sz w:val="20"/>
          <w:lang w:val="hr-HR"/>
        </w:rPr>
      </w:pPr>
    </w:p>
    <w:p w14:paraId="10E605DF" w14:textId="77777777" w:rsidR="004E2F51" w:rsidRPr="00C651CA" w:rsidRDefault="004E2F51" w:rsidP="004E2F51">
      <w:pPr>
        <w:pStyle w:val="T1"/>
        <w:spacing w:before="0" w:after="0" w:line="240" w:lineRule="auto"/>
        <w:rPr>
          <w:rFonts w:cs="Arial"/>
          <w:b w:val="0"/>
          <w:color w:val="000000" w:themeColor="text1"/>
          <w:sz w:val="20"/>
          <w:lang w:val="hr-HR"/>
        </w:rPr>
      </w:pPr>
    </w:p>
    <w:p w14:paraId="637C0511" w14:textId="77777777" w:rsidR="004E2F51" w:rsidRPr="00C651CA" w:rsidRDefault="004E2F51" w:rsidP="004E2F51">
      <w:pPr>
        <w:pStyle w:val="T1"/>
        <w:spacing w:before="0" w:after="0" w:line="240" w:lineRule="auto"/>
        <w:rPr>
          <w:rFonts w:cs="Arial"/>
          <w:b w:val="0"/>
          <w:color w:val="000000" w:themeColor="text1"/>
          <w:sz w:val="20"/>
          <w:lang w:val="hr-HR"/>
        </w:rPr>
      </w:pPr>
      <w:r w:rsidRPr="00C651CA">
        <w:rPr>
          <w:rFonts w:cs="Arial"/>
          <w:b w:val="0"/>
          <w:color w:val="000000" w:themeColor="text1"/>
          <w:sz w:val="20"/>
          <w:lang w:val="hr-HR"/>
        </w:rPr>
        <w:t xml:space="preserve">Koncentracija imovine i garancija i preuzetih obveza prema industrijskim granama za obje godine sastavljena je sukladno Nacionalnoj klasifikaciji djelatnosti iz 2007. godine („NKD 2007.“). </w:t>
      </w:r>
    </w:p>
    <w:p w14:paraId="27DB3AD7" w14:textId="77777777" w:rsidR="004E2F51" w:rsidRPr="00C651CA" w:rsidRDefault="004E2F51" w:rsidP="004E2F51">
      <w:pPr>
        <w:pStyle w:val="T1"/>
        <w:spacing w:before="0" w:after="0" w:line="240" w:lineRule="auto"/>
        <w:rPr>
          <w:rFonts w:cs="Arial"/>
          <w:color w:val="000000" w:themeColor="text1"/>
          <w:sz w:val="20"/>
          <w:lang w:val="hr-HR"/>
        </w:rPr>
      </w:pPr>
    </w:p>
    <w:p w14:paraId="206CFF88" w14:textId="77777777" w:rsidR="004E2F51" w:rsidRPr="00C651CA" w:rsidRDefault="004E2F51" w:rsidP="004E2F51">
      <w:pPr>
        <w:jc w:val="both"/>
        <w:rPr>
          <w:rFonts w:ascii="Arial" w:hAnsi="Arial" w:cs="Arial"/>
          <w:color w:val="000000" w:themeColor="text1"/>
          <w:sz w:val="20"/>
          <w:szCs w:val="20"/>
          <w:lang w:val="hr-HR"/>
        </w:rPr>
        <w:sectPr w:rsidR="004E2F51" w:rsidRPr="00C651CA" w:rsidSect="00623DBA">
          <w:footerReference w:type="default" r:id="rId185"/>
          <w:pgSz w:w="11907" w:h="16840" w:code="9"/>
          <w:pgMar w:top="1418" w:right="1134" w:bottom="1134" w:left="1418" w:header="851" w:footer="851" w:gutter="0"/>
          <w:cols w:space="720"/>
          <w:noEndnote/>
        </w:sectPr>
      </w:pPr>
      <w:r w:rsidRPr="00C651CA">
        <w:rPr>
          <w:rFonts w:ascii="Arial" w:hAnsi="Arial" w:cs="Arial"/>
          <w:color w:val="000000" w:themeColor="text1"/>
          <w:sz w:val="20"/>
          <w:szCs w:val="20"/>
          <w:lang w:val="hr-HR"/>
        </w:rPr>
        <w:t xml:space="preserve">Pri sastavljanju bilješke primjenjuje se kombinirani pristup koji uvažava djelatnosti dužnika, zadržava nazive djelatnosti drugačije od onih u Nacionalnoj klasifikaciji djelatnosti te objedinjuje slične djelatnosti. </w:t>
      </w:r>
    </w:p>
    <w:p w14:paraId="1093CB71" w14:textId="77777777" w:rsidR="004E2F51" w:rsidRPr="00C651CA" w:rsidRDefault="004E2F51" w:rsidP="004E2F51">
      <w:pPr>
        <w:pStyle w:val="T1"/>
        <w:spacing w:before="0" w:after="0" w:line="240" w:lineRule="auto"/>
        <w:rPr>
          <w:rFonts w:cs="Arial"/>
          <w:color w:val="000000" w:themeColor="text1"/>
          <w:sz w:val="20"/>
          <w:lang w:val="hr-HR"/>
        </w:rPr>
      </w:pPr>
    </w:p>
    <w:p w14:paraId="10F06906" w14:textId="77777777" w:rsidR="004E2F51" w:rsidRPr="00C651CA" w:rsidRDefault="004E2F51" w:rsidP="004E2F51">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Pr>
          <w:rFonts w:cs="Arial"/>
          <w:color w:val="000000" w:themeColor="text1"/>
          <w:sz w:val="20"/>
          <w:lang w:val="hr-HR"/>
        </w:rPr>
        <w:t>1</w:t>
      </w:r>
      <w:r w:rsidRPr="00C651CA">
        <w:rPr>
          <w:rFonts w:cs="Arial"/>
          <w:color w:val="000000" w:themeColor="text1"/>
          <w:sz w:val="20"/>
          <w:lang w:val="hr-HR"/>
        </w:rPr>
        <w:t>.</w:t>
      </w:r>
      <w:r w:rsidRPr="00C651CA">
        <w:rPr>
          <w:rFonts w:cs="Arial"/>
          <w:color w:val="000000" w:themeColor="text1"/>
          <w:sz w:val="20"/>
          <w:lang w:val="hr-HR"/>
        </w:rPr>
        <w:tab/>
        <w:t>Upravljanje rizicima (nastavak)</w:t>
      </w:r>
    </w:p>
    <w:p w14:paraId="71F9BCC8" w14:textId="77777777" w:rsidR="004E2F51" w:rsidRPr="00C651CA" w:rsidRDefault="004E2F51" w:rsidP="004E2F51">
      <w:pPr>
        <w:pStyle w:val="T1"/>
        <w:spacing w:before="0" w:after="0" w:line="240" w:lineRule="auto"/>
        <w:rPr>
          <w:rFonts w:cs="Arial"/>
          <w:color w:val="000000" w:themeColor="text1"/>
          <w:sz w:val="20"/>
          <w:lang w:val="hr-HR"/>
        </w:rPr>
      </w:pPr>
    </w:p>
    <w:p w14:paraId="14CC27F0" w14:textId="77777777" w:rsidR="004E2F51" w:rsidRPr="00C651CA" w:rsidRDefault="004E2F51" w:rsidP="004E2F51">
      <w:pPr>
        <w:pStyle w:val="T1"/>
        <w:spacing w:before="0" w:after="0" w:line="240" w:lineRule="auto"/>
        <w:rPr>
          <w:rFonts w:cs="Arial"/>
          <w:color w:val="000000" w:themeColor="text1"/>
          <w:sz w:val="20"/>
          <w:lang w:val="hr-HR"/>
        </w:rPr>
      </w:pPr>
      <w:r w:rsidRPr="00C651CA">
        <w:rPr>
          <w:rFonts w:cs="Arial"/>
          <w:color w:val="000000" w:themeColor="text1"/>
          <w:sz w:val="20"/>
          <w:lang w:val="hr-HR"/>
        </w:rPr>
        <w:t>3</w:t>
      </w:r>
      <w:r>
        <w:rPr>
          <w:rFonts w:cs="Arial"/>
          <w:color w:val="000000" w:themeColor="text1"/>
          <w:sz w:val="20"/>
          <w:lang w:val="hr-HR"/>
        </w:rPr>
        <w:t>1</w:t>
      </w:r>
      <w:r w:rsidRPr="00C651CA">
        <w:rPr>
          <w:rFonts w:cs="Arial"/>
          <w:color w:val="000000" w:themeColor="text1"/>
          <w:sz w:val="20"/>
          <w:lang w:val="hr-HR"/>
        </w:rPr>
        <w:t xml:space="preserve">.3. </w:t>
      </w:r>
      <w:r w:rsidRPr="00C651CA">
        <w:rPr>
          <w:rFonts w:cs="Arial"/>
          <w:color w:val="000000" w:themeColor="text1"/>
          <w:sz w:val="20"/>
          <w:lang w:val="hr-HR"/>
        </w:rPr>
        <w:tab/>
        <w:t>Kreditni rizik (nastavak)</w:t>
      </w:r>
    </w:p>
    <w:p w14:paraId="7724EF96" w14:textId="77777777" w:rsidR="004E2F51" w:rsidRPr="00C651CA" w:rsidRDefault="004E2F51" w:rsidP="004E2F51">
      <w:pPr>
        <w:pStyle w:val="T1"/>
        <w:spacing w:before="0" w:after="0" w:line="240" w:lineRule="auto"/>
        <w:rPr>
          <w:rFonts w:cs="Arial"/>
          <w:color w:val="000000" w:themeColor="text1"/>
          <w:sz w:val="20"/>
          <w:lang w:val="hr-HR"/>
        </w:rPr>
      </w:pPr>
    </w:p>
    <w:p w14:paraId="5F083FAE" w14:textId="77777777" w:rsidR="004E2F51" w:rsidRPr="00C651CA" w:rsidRDefault="004E2F51" w:rsidP="004E2F51">
      <w:pPr>
        <w:pStyle w:val="T1"/>
        <w:spacing w:before="0" w:after="0" w:line="240" w:lineRule="auto"/>
        <w:rPr>
          <w:rFonts w:cs="Arial"/>
          <w:color w:val="000000" w:themeColor="text1"/>
          <w:sz w:val="20"/>
          <w:lang w:val="hr-HR"/>
        </w:rPr>
      </w:pPr>
      <w:r w:rsidRPr="00C651CA">
        <w:rPr>
          <w:rFonts w:cs="Arial"/>
          <w:color w:val="000000" w:themeColor="text1"/>
          <w:sz w:val="20"/>
          <w:lang w:val="hr-HR"/>
        </w:rPr>
        <w:t>Koncentracija rizika i maksimalna izloženost kreditnom riziku (nastavak)</w:t>
      </w:r>
    </w:p>
    <w:p w14:paraId="5A7FEF85" w14:textId="77777777" w:rsidR="004E2F51" w:rsidRPr="00C651CA" w:rsidRDefault="004E2F51" w:rsidP="004E2F51">
      <w:pPr>
        <w:tabs>
          <w:tab w:val="right" w:pos="9129"/>
        </w:tabs>
        <w:jc w:val="both"/>
        <w:rPr>
          <w:rFonts w:ascii="Arial" w:hAnsi="Arial" w:cs="Arial"/>
          <w:bCs/>
          <w:color w:val="000000" w:themeColor="text1"/>
          <w:sz w:val="20"/>
          <w:szCs w:val="20"/>
          <w:lang w:val="hr-HR"/>
        </w:rPr>
      </w:pPr>
    </w:p>
    <w:p w14:paraId="79149E13" w14:textId="77777777" w:rsidR="004E2F51" w:rsidRPr="00C651CA" w:rsidRDefault="004E2F51" w:rsidP="004E2F51">
      <w:pPr>
        <w:tabs>
          <w:tab w:val="right" w:pos="9129"/>
        </w:tabs>
        <w:jc w:val="both"/>
        <w:rPr>
          <w:rFonts w:ascii="Arial" w:hAnsi="Arial" w:cs="Arial"/>
          <w:bCs/>
          <w:color w:val="000000" w:themeColor="text1"/>
          <w:sz w:val="20"/>
          <w:szCs w:val="20"/>
          <w:lang w:val="hr-HR"/>
        </w:rPr>
      </w:pPr>
      <w:r w:rsidRPr="00C651CA">
        <w:rPr>
          <w:rFonts w:ascii="Arial" w:hAnsi="Arial" w:cs="Arial"/>
          <w:bCs/>
          <w:color w:val="000000" w:themeColor="text1"/>
          <w:sz w:val="20"/>
          <w:szCs w:val="20"/>
          <w:lang w:val="hr-HR"/>
        </w:rPr>
        <w:t xml:space="preserve">Fer vrijednost instrumenata osiguranja </w:t>
      </w:r>
      <w:bookmarkStart w:id="1608" w:name="_Hlk28596413"/>
      <w:r w:rsidRPr="00C651CA">
        <w:rPr>
          <w:rFonts w:ascii="Arial" w:hAnsi="Arial" w:cs="Arial"/>
          <w:bCs/>
          <w:color w:val="000000" w:themeColor="text1"/>
          <w:sz w:val="20"/>
          <w:szCs w:val="20"/>
          <w:lang w:val="hr-HR"/>
        </w:rPr>
        <w:t>u 202</w:t>
      </w:r>
      <w:r>
        <w:rPr>
          <w:rFonts w:ascii="Arial" w:hAnsi="Arial" w:cs="Arial"/>
          <w:bCs/>
          <w:color w:val="000000" w:themeColor="text1"/>
          <w:sz w:val="20"/>
          <w:szCs w:val="20"/>
          <w:lang w:val="hr-HR"/>
        </w:rPr>
        <w:t>2</w:t>
      </w:r>
      <w:r w:rsidRPr="00C651CA">
        <w:rPr>
          <w:rFonts w:ascii="Arial" w:hAnsi="Arial" w:cs="Arial"/>
          <w:bCs/>
          <w:color w:val="000000" w:themeColor="text1"/>
          <w:sz w:val="20"/>
          <w:szCs w:val="20"/>
          <w:lang w:val="hr-HR"/>
        </w:rPr>
        <w:t xml:space="preserve">. godini </w:t>
      </w:r>
      <w:bookmarkEnd w:id="1608"/>
      <w:r w:rsidRPr="00C651CA">
        <w:rPr>
          <w:rFonts w:ascii="Arial" w:hAnsi="Arial" w:cs="Arial"/>
          <w:bCs/>
          <w:color w:val="000000" w:themeColor="text1"/>
          <w:sz w:val="20"/>
          <w:szCs w:val="20"/>
          <w:lang w:val="hr-HR"/>
        </w:rPr>
        <w:t xml:space="preserve">za Grupu iznosi </w:t>
      </w:r>
      <w:r w:rsidRPr="00734068">
        <w:rPr>
          <w:rFonts w:ascii="Arial" w:hAnsi="Arial" w:cs="Arial"/>
          <w:bCs/>
          <w:color w:val="000000" w:themeColor="text1"/>
          <w:sz w:val="20"/>
          <w:szCs w:val="20"/>
          <w:lang w:val="hr-HR"/>
        </w:rPr>
        <w:t xml:space="preserve">25.684.102 </w:t>
      </w:r>
      <w:r w:rsidRPr="00C651CA">
        <w:rPr>
          <w:rFonts w:ascii="Arial" w:hAnsi="Arial" w:cs="Arial"/>
          <w:bCs/>
          <w:color w:val="000000" w:themeColor="text1"/>
          <w:sz w:val="20"/>
          <w:szCs w:val="20"/>
          <w:lang w:val="hr-HR"/>
        </w:rPr>
        <w:t>tisuća kuna (31. prosinca 202</w:t>
      </w:r>
      <w:r>
        <w:rPr>
          <w:rFonts w:ascii="Arial" w:hAnsi="Arial" w:cs="Arial"/>
          <w:bCs/>
          <w:color w:val="000000" w:themeColor="text1"/>
          <w:sz w:val="20"/>
          <w:szCs w:val="20"/>
          <w:lang w:val="hr-HR"/>
        </w:rPr>
        <w:t>1</w:t>
      </w:r>
      <w:r w:rsidRPr="00C651CA">
        <w:rPr>
          <w:rFonts w:ascii="Arial" w:hAnsi="Arial" w:cs="Arial"/>
          <w:bCs/>
          <w:color w:val="000000" w:themeColor="text1"/>
          <w:sz w:val="20"/>
          <w:szCs w:val="20"/>
          <w:lang w:val="hr-HR"/>
        </w:rPr>
        <w:t xml:space="preserve">.: </w:t>
      </w:r>
      <w:r w:rsidRPr="008720E1">
        <w:rPr>
          <w:rFonts w:ascii="Arial" w:hAnsi="Arial" w:cs="Arial"/>
          <w:bCs/>
          <w:color w:val="000000" w:themeColor="text1"/>
          <w:sz w:val="20"/>
          <w:szCs w:val="20"/>
          <w:lang w:val="hr-HR"/>
        </w:rPr>
        <w:t xml:space="preserve">25.043.147 </w:t>
      </w:r>
      <w:r w:rsidRPr="00C651CA">
        <w:rPr>
          <w:rFonts w:ascii="Arial" w:hAnsi="Arial" w:cs="Arial"/>
          <w:bCs/>
          <w:color w:val="000000" w:themeColor="text1"/>
          <w:sz w:val="20"/>
          <w:szCs w:val="20"/>
          <w:lang w:val="hr-HR"/>
        </w:rPr>
        <w:t xml:space="preserve">tisuća kuna), a za Banku iznosi </w:t>
      </w:r>
      <w:r w:rsidRPr="00D3303B">
        <w:rPr>
          <w:rFonts w:ascii="Arial" w:hAnsi="Arial" w:cs="Arial"/>
          <w:bCs/>
          <w:color w:val="000000" w:themeColor="text1"/>
          <w:sz w:val="20"/>
          <w:szCs w:val="20"/>
          <w:lang w:val="hr-HR"/>
        </w:rPr>
        <w:t>25.651.690</w:t>
      </w:r>
      <w:r>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tisuća kuna (31. prosinca 202</w:t>
      </w:r>
      <w:r>
        <w:rPr>
          <w:rFonts w:ascii="Arial" w:hAnsi="Arial" w:cs="Arial"/>
          <w:bCs/>
          <w:color w:val="000000" w:themeColor="text1"/>
          <w:sz w:val="20"/>
          <w:szCs w:val="20"/>
          <w:lang w:val="hr-HR"/>
        </w:rPr>
        <w:t>1</w:t>
      </w:r>
      <w:r w:rsidRPr="00C651CA">
        <w:rPr>
          <w:rFonts w:ascii="Arial" w:hAnsi="Arial" w:cs="Arial"/>
          <w:bCs/>
          <w:color w:val="000000" w:themeColor="text1"/>
          <w:sz w:val="20"/>
          <w:szCs w:val="20"/>
          <w:lang w:val="hr-HR"/>
        </w:rPr>
        <w:t xml:space="preserve">.: </w:t>
      </w:r>
      <w:r w:rsidRPr="008720E1">
        <w:rPr>
          <w:rFonts w:ascii="Arial" w:hAnsi="Arial" w:cs="Arial"/>
          <w:bCs/>
          <w:color w:val="000000" w:themeColor="text1"/>
          <w:sz w:val="20"/>
          <w:szCs w:val="20"/>
          <w:lang w:val="hr-HR"/>
        </w:rPr>
        <w:t xml:space="preserve">25.038.979 </w:t>
      </w:r>
      <w:r w:rsidRPr="00C651CA">
        <w:rPr>
          <w:rFonts w:ascii="Arial" w:hAnsi="Arial" w:cs="Arial"/>
          <w:bCs/>
          <w:color w:val="000000" w:themeColor="text1"/>
          <w:sz w:val="20"/>
          <w:szCs w:val="20"/>
          <w:lang w:val="hr-HR"/>
        </w:rPr>
        <w:t>tisuća kuna).</w:t>
      </w:r>
    </w:p>
    <w:p w14:paraId="27013A29" w14:textId="77777777" w:rsidR="004E2F51" w:rsidRPr="00C651CA" w:rsidRDefault="004E2F51" w:rsidP="004E2F51">
      <w:pPr>
        <w:tabs>
          <w:tab w:val="right" w:pos="9129"/>
        </w:tabs>
        <w:jc w:val="both"/>
        <w:rPr>
          <w:rFonts w:ascii="Arial" w:hAnsi="Arial" w:cs="Arial"/>
          <w:bCs/>
          <w:color w:val="000000" w:themeColor="text1"/>
          <w:sz w:val="20"/>
          <w:szCs w:val="20"/>
          <w:highlight w:val="yellow"/>
          <w:lang w:val="hr-HR"/>
        </w:rPr>
      </w:pPr>
    </w:p>
    <w:p w14:paraId="75210917" w14:textId="77777777" w:rsidR="004E2F51" w:rsidRPr="00C651CA" w:rsidRDefault="004E2F51" w:rsidP="004E2F51">
      <w:pPr>
        <w:tabs>
          <w:tab w:val="right" w:pos="9129"/>
        </w:tabs>
        <w:jc w:val="both"/>
        <w:rPr>
          <w:rFonts w:ascii="Arial" w:eastAsia="Calibri" w:hAnsi="Arial" w:cs="Arial"/>
          <w:color w:val="000000" w:themeColor="text1"/>
          <w:sz w:val="20"/>
          <w:szCs w:val="20"/>
          <w:lang w:val="hr-HR"/>
        </w:rPr>
      </w:pPr>
      <w:r w:rsidRPr="00C651CA">
        <w:rPr>
          <w:rFonts w:ascii="Arial" w:eastAsia="Calibri" w:hAnsi="Arial" w:cs="Arial"/>
          <w:bCs/>
          <w:color w:val="000000" w:themeColor="text1"/>
          <w:sz w:val="20"/>
          <w:szCs w:val="20"/>
          <w:lang w:val="hr-HR"/>
        </w:rPr>
        <w:t>Neto najveća izloženost u 202</w:t>
      </w:r>
      <w:r>
        <w:rPr>
          <w:rFonts w:ascii="Arial" w:eastAsia="Calibri" w:hAnsi="Arial" w:cs="Arial"/>
          <w:bCs/>
          <w:color w:val="000000" w:themeColor="text1"/>
          <w:sz w:val="20"/>
          <w:szCs w:val="20"/>
          <w:lang w:val="hr-HR"/>
        </w:rPr>
        <w:t>2</w:t>
      </w:r>
      <w:r w:rsidRPr="00C651CA">
        <w:rPr>
          <w:rFonts w:ascii="Arial" w:eastAsia="Calibri" w:hAnsi="Arial" w:cs="Arial"/>
          <w:bCs/>
          <w:color w:val="000000" w:themeColor="text1"/>
          <w:sz w:val="20"/>
          <w:szCs w:val="20"/>
          <w:lang w:val="hr-HR"/>
        </w:rPr>
        <w:t>. godini. za Grupu iznosi</w:t>
      </w:r>
      <w:bookmarkStart w:id="1609" w:name="_Hlk28596462"/>
      <w:r w:rsidRPr="00C651CA">
        <w:rPr>
          <w:rFonts w:ascii="Arial" w:eastAsia="Calibri" w:hAnsi="Arial" w:cs="Arial"/>
          <w:bCs/>
          <w:color w:val="000000" w:themeColor="text1"/>
          <w:sz w:val="20"/>
          <w:szCs w:val="20"/>
          <w:lang w:val="hr-HR"/>
        </w:rPr>
        <w:t xml:space="preserve"> </w:t>
      </w:r>
      <w:bookmarkEnd w:id="1609"/>
      <w:r>
        <w:rPr>
          <w:rFonts w:ascii="Arial" w:eastAsia="Calibri" w:hAnsi="Arial" w:cs="Arial"/>
          <w:bCs/>
          <w:color w:val="000000" w:themeColor="text1"/>
          <w:sz w:val="20"/>
          <w:szCs w:val="20"/>
          <w:lang w:val="hr-HR"/>
        </w:rPr>
        <w:t xml:space="preserve">6.023.570 </w:t>
      </w:r>
      <w:r w:rsidRPr="00C651CA">
        <w:rPr>
          <w:rFonts w:ascii="Arial" w:eastAsia="Calibri" w:hAnsi="Arial" w:cs="Arial"/>
          <w:color w:val="000000" w:themeColor="text1"/>
          <w:sz w:val="20"/>
          <w:szCs w:val="20"/>
          <w:lang w:val="hr-HR"/>
        </w:rPr>
        <w:t>tisuća kuna (31. prosinca 202</w:t>
      </w:r>
      <w:r>
        <w:rPr>
          <w:rFonts w:ascii="Arial" w:eastAsia="Calibri" w:hAnsi="Arial" w:cs="Arial"/>
          <w:color w:val="000000" w:themeColor="text1"/>
          <w:sz w:val="20"/>
          <w:szCs w:val="20"/>
          <w:lang w:val="hr-HR"/>
        </w:rPr>
        <w:t>1</w:t>
      </w:r>
      <w:r w:rsidRPr="00C651CA">
        <w:rPr>
          <w:rFonts w:ascii="Arial" w:eastAsia="Calibri" w:hAnsi="Arial" w:cs="Arial"/>
          <w:color w:val="000000" w:themeColor="text1"/>
          <w:sz w:val="20"/>
          <w:szCs w:val="20"/>
          <w:lang w:val="hr-HR"/>
        </w:rPr>
        <w:t xml:space="preserve">.: </w:t>
      </w:r>
      <w:r w:rsidRPr="008720E1">
        <w:rPr>
          <w:rFonts w:ascii="Arial" w:eastAsia="Calibri" w:hAnsi="Arial" w:cs="Arial"/>
          <w:bCs/>
          <w:color w:val="000000" w:themeColor="text1"/>
          <w:sz w:val="20"/>
          <w:szCs w:val="20"/>
          <w:lang w:val="hr-HR"/>
        </w:rPr>
        <w:t xml:space="preserve">6.752.166 </w:t>
      </w:r>
      <w:r w:rsidRPr="00C651CA">
        <w:rPr>
          <w:rFonts w:ascii="Arial" w:eastAsia="Calibri" w:hAnsi="Arial" w:cs="Arial"/>
          <w:color w:val="000000" w:themeColor="text1"/>
          <w:sz w:val="20"/>
          <w:szCs w:val="20"/>
          <w:lang w:val="hr-HR"/>
        </w:rPr>
        <w:t xml:space="preserve">tisuća kuna), a za Banku </w:t>
      </w:r>
      <w:r w:rsidRPr="00A94E1E">
        <w:rPr>
          <w:rFonts w:ascii="Arial" w:eastAsia="Calibri" w:hAnsi="Arial" w:cs="Arial"/>
          <w:color w:val="000000" w:themeColor="text1"/>
          <w:sz w:val="20"/>
          <w:szCs w:val="20"/>
          <w:lang w:val="hr-HR"/>
        </w:rPr>
        <w:t>5.974.875</w:t>
      </w:r>
      <w:r>
        <w:rPr>
          <w:rFonts w:ascii="Arial" w:eastAsia="Calibri" w:hAnsi="Arial" w:cs="Arial"/>
          <w:color w:val="000000" w:themeColor="text1"/>
          <w:sz w:val="20"/>
          <w:szCs w:val="20"/>
          <w:lang w:val="hr-HR"/>
        </w:rPr>
        <w:t xml:space="preserve"> </w:t>
      </w:r>
      <w:r w:rsidRPr="00C651CA">
        <w:rPr>
          <w:rFonts w:ascii="Arial" w:eastAsia="Calibri" w:hAnsi="Arial" w:cs="Arial"/>
          <w:color w:val="000000" w:themeColor="text1"/>
          <w:sz w:val="20"/>
          <w:szCs w:val="20"/>
          <w:lang w:val="hr-HR"/>
        </w:rPr>
        <w:t>tisuća kuna (31. prosinca 202</w:t>
      </w:r>
      <w:r>
        <w:rPr>
          <w:rFonts w:ascii="Arial" w:eastAsia="Calibri" w:hAnsi="Arial" w:cs="Arial"/>
          <w:color w:val="000000" w:themeColor="text1"/>
          <w:sz w:val="20"/>
          <w:szCs w:val="20"/>
          <w:lang w:val="hr-HR"/>
        </w:rPr>
        <w:t>1</w:t>
      </w:r>
      <w:r w:rsidRPr="00C651CA">
        <w:rPr>
          <w:rFonts w:ascii="Arial" w:eastAsia="Calibri" w:hAnsi="Arial" w:cs="Arial"/>
          <w:color w:val="000000" w:themeColor="text1"/>
          <w:sz w:val="20"/>
          <w:szCs w:val="20"/>
          <w:lang w:val="hr-HR"/>
        </w:rPr>
        <w:t xml:space="preserve">.: </w:t>
      </w:r>
      <w:r w:rsidRPr="008720E1">
        <w:rPr>
          <w:rFonts w:ascii="Arial" w:eastAsia="Calibri" w:hAnsi="Arial" w:cs="Arial"/>
          <w:color w:val="000000" w:themeColor="text1"/>
          <w:sz w:val="20"/>
          <w:szCs w:val="20"/>
          <w:lang w:val="hr-HR"/>
        </w:rPr>
        <w:t xml:space="preserve">6.693.530 </w:t>
      </w:r>
      <w:r w:rsidRPr="00C651CA">
        <w:rPr>
          <w:rFonts w:ascii="Arial" w:eastAsia="Calibri" w:hAnsi="Arial" w:cs="Arial"/>
          <w:color w:val="000000" w:themeColor="text1"/>
          <w:sz w:val="20"/>
          <w:szCs w:val="20"/>
          <w:lang w:val="hr-HR"/>
        </w:rPr>
        <w:t>tisuća kuna).</w:t>
      </w:r>
    </w:p>
    <w:p w14:paraId="0F669B2A" w14:textId="77777777" w:rsidR="004E2F51" w:rsidRPr="00C651CA" w:rsidRDefault="004E2F51" w:rsidP="004E2F51">
      <w:pPr>
        <w:tabs>
          <w:tab w:val="right" w:pos="9129"/>
        </w:tabs>
        <w:jc w:val="both"/>
        <w:rPr>
          <w:rFonts w:ascii="Arial" w:eastAsia="Calibri" w:hAnsi="Arial" w:cs="Arial"/>
          <w:color w:val="000000" w:themeColor="text1"/>
          <w:sz w:val="20"/>
          <w:szCs w:val="20"/>
          <w:highlight w:val="yellow"/>
          <w:lang w:val="hr-HR"/>
        </w:rPr>
      </w:pPr>
    </w:p>
    <w:p w14:paraId="6E5B4BA2" w14:textId="77777777" w:rsidR="004E2F51" w:rsidRPr="00C651CA" w:rsidRDefault="004E2F51" w:rsidP="004E2F51">
      <w:pPr>
        <w:jc w:val="both"/>
        <w:rPr>
          <w:rFonts w:ascii="Arial" w:hAnsi="Arial" w:cs="Arial"/>
          <w:b/>
          <w:bCs/>
          <w:color w:val="FF0000"/>
          <w:sz w:val="20"/>
          <w:szCs w:val="20"/>
          <w:lang w:val="hr-HR"/>
        </w:rPr>
      </w:pPr>
      <w:bookmarkStart w:id="1610" w:name="_Hlk28596620"/>
      <w:r w:rsidRPr="00C651CA">
        <w:rPr>
          <w:rFonts w:ascii="Arial" w:eastAsia="Calibri" w:hAnsi="Arial" w:cs="Arial"/>
          <w:bCs/>
          <w:color w:val="000000" w:themeColor="text1"/>
          <w:sz w:val="20"/>
          <w:szCs w:val="20"/>
          <w:lang w:val="hr-HR"/>
        </w:rPr>
        <w:t>U ukupnoj neto najvećoj izloženosti nakon umanjenja za sredstva osiguranja u 202</w:t>
      </w:r>
      <w:r>
        <w:rPr>
          <w:rFonts w:ascii="Arial" w:eastAsia="Calibri" w:hAnsi="Arial" w:cs="Arial"/>
          <w:bCs/>
          <w:color w:val="000000" w:themeColor="text1"/>
          <w:sz w:val="20"/>
          <w:szCs w:val="20"/>
          <w:lang w:val="hr-HR"/>
        </w:rPr>
        <w:t>2</w:t>
      </w:r>
      <w:r w:rsidRPr="00C651CA">
        <w:rPr>
          <w:rFonts w:ascii="Arial" w:eastAsia="Calibri" w:hAnsi="Arial" w:cs="Arial"/>
          <w:bCs/>
          <w:color w:val="000000" w:themeColor="text1"/>
          <w:sz w:val="20"/>
          <w:szCs w:val="20"/>
          <w:lang w:val="hr-HR"/>
        </w:rPr>
        <w:t xml:space="preserve">. godini iznos kreditnog rizika od </w:t>
      </w:r>
      <w:r w:rsidRPr="00BB61E2">
        <w:rPr>
          <w:rFonts w:ascii="Arial" w:eastAsia="Calibri" w:hAnsi="Arial" w:cs="Arial"/>
          <w:bCs/>
          <w:color w:val="000000" w:themeColor="text1"/>
          <w:sz w:val="20"/>
          <w:szCs w:val="20"/>
          <w:lang w:val="hr-HR"/>
        </w:rPr>
        <w:t>4.083.428</w:t>
      </w:r>
      <w:r>
        <w:rPr>
          <w:rFonts w:ascii="Arial" w:eastAsia="Calibri" w:hAnsi="Arial" w:cs="Arial"/>
          <w:bCs/>
          <w:color w:val="000000" w:themeColor="text1"/>
          <w:sz w:val="20"/>
          <w:szCs w:val="20"/>
          <w:lang w:val="hr-HR"/>
        </w:rPr>
        <w:t xml:space="preserve"> </w:t>
      </w:r>
      <w:r w:rsidRPr="00C651CA">
        <w:rPr>
          <w:rFonts w:ascii="Arial" w:eastAsia="Calibri" w:hAnsi="Arial" w:cs="Arial"/>
          <w:bCs/>
          <w:color w:val="000000" w:themeColor="text1"/>
          <w:sz w:val="20"/>
          <w:szCs w:val="20"/>
          <w:lang w:val="hr-HR"/>
        </w:rPr>
        <w:t>tisuća kuna za Grupu (31. prosinca 20</w:t>
      </w:r>
      <w:r w:rsidRPr="00C651CA">
        <w:rPr>
          <w:rFonts w:ascii="Arial" w:hAnsi="Arial" w:cs="Arial"/>
          <w:bCs/>
          <w:color w:val="000000" w:themeColor="text1"/>
          <w:sz w:val="20"/>
          <w:szCs w:val="20"/>
          <w:lang w:val="hr-HR"/>
        </w:rPr>
        <w:t>2</w:t>
      </w:r>
      <w:r>
        <w:rPr>
          <w:rFonts w:ascii="Arial" w:hAnsi="Arial" w:cs="Arial"/>
          <w:bCs/>
          <w:color w:val="000000" w:themeColor="text1"/>
          <w:sz w:val="20"/>
          <w:szCs w:val="20"/>
          <w:lang w:val="hr-HR"/>
        </w:rPr>
        <w:t>1</w:t>
      </w:r>
      <w:r w:rsidRPr="00C651CA">
        <w:rPr>
          <w:rFonts w:ascii="Arial" w:eastAsia="Calibri" w:hAnsi="Arial" w:cs="Arial"/>
          <w:bCs/>
          <w:color w:val="000000" w:themeColor="text1"/>
          <w:sz w:val="20"/>
          <w:szCs w:val="20"/>
          <w:lang w:val="hr-HR"/>
        </w:rPr>
        <w:t xml:space="preserve">.: </w:t>
      </w:r>
      <w:r w:rsidRPr="003F7756">
        <w:rPr>
          <w:rFonts w:ascii="Arial" w:eastAsia="Calibri" w:hAnsi="Arial" w:cs="Arial"/>
          <w:bCs/>
          <w:color w:val="000000" w:themeColor="text1"/>
          <w:sz w:val="20"/>
          <w:szCs w:val="20"/>
          <w:lang w:val="hr-HR"/>
        </w:rPr>
        <w:t>4.361.928</w:t>
      </w:r>
      <w:r w:rsidRPr="008720E1">
        <w:rPr>
          <w:rFonts w:ascii="Arial" w:eastAsia="Calibri" w:hAnsi="Arial" w:cs="Arial"/>
          <w:bCs/>
          <w:color w:val="000000" w:themeColor="text1"/>
          <w:sz w:val="20"/>
          <w:szCs w:val="20"/>
          <w:lang w:val="hr-HR"/>
        </w:rPr>
        <w:t xml:space="preserve"> </w:t>
      </w:r>
      <w:r w:rsidRPr="00C651CA">
        <w:rPr>
          <w:rFonts w:ascii="Arial" w:eastAsia="Calibri" w:hAnsi="Arial" w:cs="Arial"/>
          <w:bCs/>
          <w:color w:val="000000" w:themeColor="text1"/>
          <w:sz w:val="20"/>
          <w:szCs w:val="20"/>
          <w:lang w:val="hr-HR"/>
        </w:rPr>
        <w:t xml:space="preserve">tisuća kuna) i </w:t>
      </w:r>
      <w:r w:rsidRPr="00BB61E2">
        <w:rPr>
          <w:rFonts w:ascii="Arial" w:eastAsia="Calibri" w:hAnsi="Arial" w:cs="Arial"/>
          <w:bCs/>
          <w:color w:val="000000" w:themeColor="text1"/>
          <w:sz w:val="20"/>
          <w:szCs w:val="20"/>
          <w:lang w:val="hr-HR"/>
        </w:rPr>
        <w:t>4.038.458</w:t>
      </w:r>
      <w:r>
        <w:rPr>
          <w:rFonts w:ascii="Arial" w:eastAsia="Calibri" w:hAnsi="Arial" w:cs="Arial"/>
          <w:bCs/>
          <w:color w:val="000000" w:themeColor="text1"/>
          <w:sz w:val="20"/>
          <w:szCs w:val="20"/>
          <w:lang w:val="hr-HR"/>
        </w:rPr>
        <w:t xml:space="preserve"> </w:t>
      </w:r>
      <w:r w:rsidRPr="00C651CA">
        <w:rPr>
          <w:rFonts w:ascii="Arial" w:eastAsia="Calibri" w:hAnsi="Arial" w:cs="Arial"/>
          <w:bCs/>
          <w:color w:val="000000" w:themeColor="text1"/>
          <w:sz w:val="20"/>
          <w:szCs w:val="20"/>
          <w:lang w:val="hr-HR"/>
        </w:rPr>
        <w:t>tisuća kuna za Banku (31. prosinca 20</w:t>
      </w:r>
      <w:r w:rsidRPr="00C651CA">
        <w:rPr>
          <w:rFonts w:ascii="Arial" w:hAnsi="Arial" w:cs="Arial"/>
          <w:bCs/>
          <w:color w:val="000000" w:themeColor="text1"/>
          <w:sz w:val="20"/>
          <w:szCs w:val="20"/>
          <w:lang w:val="hr-HR"/>
        </w:rPr>
        <w:t>2</w:t>
      </w:r>
      <w:r>
        <w:rPr>
          <w:rFonts w:ascii="Arial" w:hAnsi="Arial" w:cs="Arial"/>
          <w:bCs/>
          <w:color w:val="000000" w:themeColor="text1"/>
          <w:sz w:val="20"/>
          <w:szCs w:val="20"/>
          <w:lang w:val="hr-HR"/>
        </w:rPr>
        <w:t>1</w:t>
      </w:r>
      <w:r w:rsidRPr="00C651CA">
        <w:rPr>
          <w:rFonts w:ascii="Arial" w:eastAsia="Calibri" w:hAnsi="Arial" w:cs="Arial"/>
          <w:bCs/>
          <w:color w:val="000000" w:themeColor="text1"/>
          <w:sz w:val="20"/>
          <w:szCs w:val="20"/>
          <w:lang w:val="hr-HR"/>
        </w:rPr>
        <w:t xml:space="preserve">.: </w:t>
      </w:r>
      <w:r w:rsidRPr="008720E1">
        <w:rPr>
          <w:rFonts w:ascii="Arial" w:eastAsia="Calibri" w:hAnsi="Arial" w:cs="Arial"/>
          <w:bCs/>
          <w:color w:val="000000" w:themeColor="text1"/>
          <w:sz w:val="20"/>
          <w:szCs w:val="20"/>
          <w:lang w:val="hr-HR"/>
        </w:rPr>
        <w:t xml:space="preserve">4.307.497 </w:t>
      </w:r>
      <w:r w:rsidRPr="00C651CA">
        <w:rPr>
          <w:rFonts w:ascii="Arial" w:eastAsia="Calibri" w:hAnsi="Arial" w:cs="Arial"/>
          <w:bCs/>
          <w:color w:val="000000" w:themeColor="text1"/>
          <w:sz w:val="20"/>
          <w:szCs w:val="20"/>
          <w:lang w:val="hr-HR"/>
        </w:rPr>
        <w:t xml:space="preserve">tisuća kuna) </w:t>
      </w:r>
      <w:bookmarkEnd w:id="1610"/>
      <w:r w:rsidRPr="00C651CA">
        <w:rPr>
          <w:rFonts w:ascii="Arial" w:hAnsi="Arial" w:cs="Arial"/>
          <w:bCs/>
          <w:color w:val="000000" w:themeColor="text1"/>
          <w:sz w:val="20"/>
          <w:szCs w:val="20"/>
          <w:lang w:val="hr-HR"/>
        </w:rPr>
        <w:t>nije pokriven uobičajenim instrumentima osiguranja, ali se odnosi na potraživanja i primljena sredstva od Republike Hrvatske</w:t>
      </w:r>
      <w:r w:rsidRPr="00C651CA">
        <w:rPr>
          <w:rFonts w:ascii="Arial" w:hAnsi="Arial" w:cs="Arial"/>
          <w:color w:val="000000" w:themeColor="text1"/>
          <w:sz w:val="20"/>
          <w:szCs w:val="20"/>
          <w:lang w:val="hr-HR"/>
        </w:rPr>
        <w:t xml:space="preserve"> </w:t>
      </w:r>
      <w:r w:rsidRPr="00291059">
        <w:rPr>
          <w:rFonts w:ascii="Arial" w:hAnsi="Arial" w:cs="Arial"/>
          <w:bCs/>
          <w:color w:val="000000" w:themeColor="text1"/>
          <w:sz w:val="20"/>
          <w:szCs w:val="20"/>
          <w:lang w:val="hr-HR"/>
        </w:rPr>
        <w:t>za Grupu i Banku</w:t>
      </w:r>
      <w:r w:rsidRPr="00C651CA">
        <w:rPr>
          <w:rFonts w:ascii="Arial" w:hAnsi="Arial" w:cs="Arial"/>
          <w:bCs/>
          <w:color w:val="000000" w:themeColor="text1"/>
          <w:sz w:val="20"/>
          <w:szCs w:val="20"/>
          <w:lang w:val="hr-HR"/>
        </w:rPr>
        <w:t xml:space="preserve"> u iznosu od </w:t>
      </w:r>
      <w:r w:rsidRPr="00BB61E2">
        <w:rPr>
          <w:rFonts w:ascii="Arial" w:hAnsi="Arial" w:cs="Arial"/>
          <w:bCs/>
          <w:color w:val="000000" w:themeColor="text1"/>
          <w:sz w:val="20"/>
          <w:szCs w:val="20"/>
          <w:lang w:val="hr-HR"/>
        </w:rPr>
        <w:t>540.460</w:t>
      </w:r>
      <w:r>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tisuća kuna (31. prosinca 202</w:t>
      </w:r>
      <w:r>
        <w:rPr>
          <w:rFonts w:ascii="Arial" w:hAnsi="Arial" w:cs="Arial"/>
          <w:bCs/>
          <w:color w:val="000000" w:themeColor="text1"/>
          <w:sz w:val="20"/>
          <w:szCs w:val="20"/>
          <w:lang w:val="hr-HR"/>
        </w:rPr>
        <w:t>1</w:t>
      </w:r>
      <w:r w:rsidRPr="00C651CA">
        <w:rPr>
          <w:rFonts w:ascii="Arial" w:hAnsi="Arial" w:cs="Arial"/>
          <w:bCs/>
          <w:color w:val="000000" w:themeColor="text1"/>
          <w:sz w:val="20"/>
          <w:szCs w:val="20"/>
          <w:lang w:val="hr-HR"/>
        </w:rPr>
        <w:t xml:space="preserve">.: </w:t>
      </w:r>
      <w:r w:rsidRPr="008720E1">
        <w:rPr>
          <w:rFonts w:ascii="Arial" w:hAnsi="Arial" w:cs="Arial"/>
          <w:bCs/>
          <w:color w:val="000000" w:themeColor="text1"/>
          <w:sz w:val="20"/>
          <w:szCs w:val="20"/>
          <w:lang w:val="hr-HR"/>
        </w:rPr>
        <w:t xml:space="preserve">478.914 </w:t>
      </w:r>
      <w:r w:rsidRPr="00C651CA">
        <w:rPr>
          <w:rFonts w:ascii="Arial" w:hAnsi="Arial" w:cs="Arial"/>
          <w:bCs/>
          <w:color w:val="000000" w:themeColor="text1"/>
          <w:sz w:val="20"/>
          <w:szCs w:val="20"/>
          <w:lang w:val="hr-HR"/>
        </w:rPr>
        <w:t xml:space="preserve">tisuća kuna), jedinica lokalne i područne (regionalne) samouprave u iznosu od </w:t>
      </w:r>
      <w:r w:rsidRPr="00BB61E2">
        <w:rPr>
          <w:rFonts w:ascii="Arial" w:hAnsi="Arial" w:cs="Arial"/>
          <w:bCs/>
          <w:color w:val="000000" w:themeColor="text1"/>
          <w:sz w:val="20"/>
          <w:szCs w:val="20"/>
          <w:lang w:val="hr-HR"/>
        </w:rPr>
        <w:t>757.542</w:t>
      </w:r>
      <w:r>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tisuća kuna (31. prosinca 202</w:t>
      </w:r>
      <w:r>
        <w:rPr>
          <w:rFonts w:ascii="Arial" w:hAnsi="Arial" w:cs="Arial"/>
          <w:bCs/>
          <w:color w:val="000000" w:themeColor="text1"/>
          <w:sz w:val="20"/>
          <w:szCs w:val="20"/>
          <w:lang w:val="hr-HR"/>
        </w:rPr>
        <w:t>1</w:t>
      </w:r>
      <w:r w:rsidRPr="00C651CA">
        <w:rPr>
          <w:rFonts w:ascii="Arial" w:hAnsi="Arial" w:cs="Arial"/>
          <w:bCs/>
          <w:color w:val="000000" w:themeColor="text1"/>
          <w:sz w:val="20"/>
          <w:szCs w:val="20"/>
          <w:lang w:val="hr-HR"/>
        </w:rPr>
        <w:t xml:space="preserve">.: </w:t>
      </w:r>
      <w:r w:rsidRPr="003F7756">
        <w:rPr>
          <w:rFonts w:ascii="Arial" w:hAnsi="Arial" w:cs="Arial"/>
          <w:bCs/>
          <w:color w:val="000000" w:themeColor="text1"/>
          <w:sz w:val="20"/>
          <w:szCs w:val="20"/>
          <w:lang w:val="hr-HR"/>
        </w:rPr>
        <w:t xml:space="preserve">777.947 </w:t>
      </w:r>
      <w:r w:rsidRPr="00C651CA">
        <w:rPr>
          <w:rFonts w:ascii="Arial" w:hAnsi="Arial" w:cs="Arial"/>
          <w:bCs/>
          <w:color w:val="000000" w:themeColor="text1"/>
          <w:sz w:val="20"/>
          <w:szCs w:val="20"/>
          <w:lang w:val="hr-HR"/>
        </w:rPr>
        <w:t xml:space="preserve">tisuća kuna), državnih trgovačkih društava za čije obveze Republika Hrvatska odgovara solidarno i neograničeno u iznosu od </w:t>
      </w:r>
      <w:r w:rsidRPr="00291059">
        <w:rPr>
          <w:rFonts w:ascii="Arial" w:hAnsi="Arial" w:cs="Arial"/>
          <w:bCs/>
          <w:color w:val="000000" w:themeColor="text1"/>
          <w:sz w:val="20"/>
          <w:szCs w:val="20"/>
          <w:lang w:val="hr-HR"/>
        </w:rPr>
        <w:t>156.091</w:t>
      </w:r>
      <w:r>
        <w:rPr>
          <w:rFonts w:ascii="Arial" w:hAnsi="Arial" w:cs="Arial"/>
          <w:bCs/>
          <w:color w:val="000000" w:themeColor="text1"/>
          <w:sz w:val="20"/>
          <w:szCs w:val="20"/>
          <w:lang w:val="hr-HR"/>
        </w:rPr>
        <w:t xml:space="preserve"> </w:t>
      </w:r>
      <w:r w:rsidRPr="00C651CA">
        <w:rPr>
          <w:rFonts w:ascii="Arial" w:hAnsi="Arial" w:cs="Arial"/>
          <w:bCs/>
          <w:color w:val="000000" w:themeColor="text1"/>
          <w:sz w:val="20"/>
          <w:szCs w:val="20"/>
          <w:lang w:val="hr-HR"/>
        </w:rPr>
        <w:t>tisuća kuna (31. prosinca 202</w:t>
      </w:r>
      <w:r>
        <w:rPr>
          <w:rFonts w:ascii="Arial" w:hAnsi="Arial" w:cs="Arial"/>
          <w:bCs/>
          <w:color w:val="000000" w:themeColor="text1"/>
          <w:sz w:val="20"/>
          <w:szCs w:val="20"/>
          <w:lang w:val="hr-HR"/>
        </w:rPr>
        <w:t>1</w:t>
      </w:r>
      <w:r w:rsidRPr="00C651CA">
        <w:rPr>
          <w:rFonts w:ascii="Arial" w:hAnsi="Arial" w:cs="Arial"/>
          <w:bCs/>
          <w:color w:val="000000" w:themeColor="text1"/>
          <w:sz w:val="20"/>
          <w:szCs w:val="20"/>
          <w:lang w:val="hr-HR"/>
        </w:rPr>
        <w:t xml:space="preserve">.: </w:t>
      </w:r>
      <w:r w:rsidRPr="003F7756">
        <w:rPr>
          <w:rFonts w:ascii="Arial" w:hAnsi="Arial" w:cs="Arial"/>
          <w:bCs/>
          <w:color w:val="000000" w:themeColor="text1"/>
          <w:sz w:val="20"/>
          <w:szCs w:val="20"/>
          <w:lang w:val="hr-HR"/>
        </w:rPr>
        <w:t xml:space="preserve">180.112 </w:t>
      </w:r>
      <w:r w:rsidRPr="00C651CA">
        <w:rPr>
          <w:rFonts w:ascii="Arial" w:hAnsi="Arial" w:cs="Arial"/>
          <w:bCs/>
          <w:color w:val="000000" w:themeColor="text1"/>
          <w:sz w:val="20"/>
          <w:szCs w:val="20"/>
          <w:lang w:val="hr-HR"/>
        </w:rPr>
        <w:t xml:space="preserve">tisuća kuna), republičkih fondova u iznosu od </w:t>
      </w:r>
      <w:r>
        <w:rPr>
          <w:rFonts w:ascii="Arial" w:hAnsi="Arial" w:cs="Arial"/>
          <w:bCs/>
          <w:color w:val="000000" w:themeColor="text1"/>
          <w:sz w:val="20"/>
          <w:szCs w:val="20"/>
          <w:lang w:val="hr-HR"/>
        </w:rPr>
        <w:t>36</w:t>
      </w:r>
      <w:r w:rsidRPr="00C651CA">
        <w:rPr>
          <w:rFonts w:ascii="Arial" w:hAnsi="Arial" w:cs="Arial"/>
          <w:bCs/>
          <w:color w:val="000000" w:themeColor="text1"/>
          <w:sz w:val="20"/>
          <w:szCs w:val="20"/>
          <w:lang w:val="hr-HR"/>
        </w:rPr>
        <w:t xml:space="preserve"> tisuća kuna (31. prosinca 202</w:t>
      </w:r>
      <w:r>
        <w:rPr>
          <w:rFonts w:ascii="Arial" w:hAnsi="Arial" w:cs="Arial"/>
          <w:bCs/>
          <w:color w:val="000000" w:themeColor="text1"/>
          <w:sz w:val="20"/>
          <w:szCs w:val="20"/>
          <w:lang w:val="hr-HR"/>
        </w:rPr>
        <w:t>1</w:t>
      </w:r>
      <w:r w:rsidRPr="00C651CA">
        <w:rPr>
          <w:rFonts w:ascii="Arial" w:hAnsi="Arial" w:cs="Arial"/>
          <w:bCs/>
          <w:color w:val="000000" w:themeColor="text1"/>
          <w:sz w:val="20"/>
          <w:szCs w:val="20"/>
          <w:lang w:val="hr-HR"/>
        </w:rPr>
        <w:t>.: 1</w:t>
      </w:r>
      <w:r>
        <w:rPr>
          <w:rFonts w:ascii="Arial" w:hAnsi="Arial" w:cs="Arial"/>
          <w:bCs/>
          <w:color w:val="000000" w:themeColor="text1"/>
          <w:sz w:val="20"/>
          <w:szCs w:val="20"/>
          <w:lang w:val="hr-HR"/>
        </w:rPr>
        <w:t>2</w:t>
      </w:r>
      <w:r w:rsidRPr="00C651CA">
        <w:rPr>
          <w:rFonts w:ascii="Arial" w:hAnsi="Arial" w:cs="Arial"/>
          <w:bCs/>
          <w:color w:val="000000" w:themeColor="text1"/>
          <w:sz w:val="20"/>
          <w:szCs w:val="20"/>
          <w:lang w:val="hr-HR"/>
        </w:rPr>
        <w:t xml:space="preserve"> tisuća kuna), obveznica RH i trezorskih zapisa Ministarstva financija u iznosu od </w:t>
      </w:r>
      <w:r w:rsidRPr="00291059">
        <w:rPr>
          <w:rFonts w:ascii="Arial" w:hAnsi="Arial" w:cs="Arial"/>
          <w:sz w:val="20"/>
          <w:szCs w:val="20"/>
          <w:lang w:val="hr-HR"/>
        </w:rPr>
        <w:t>2.629.299</w:t>
      </w:r>
      <w:r>
        <w:rPr>
          <w:rFonts w:ascii="Arial" w:hAnsi="Arial" w:cs="Arial"/>
          <w:sz w:val="20"/>
          <w:szCs w:val="20"/>
          <w:lang w:val="hr-HR"/>
        </w:rPr>
        <w:t xml:space="preserve"> </w:t>
      </w:r>
      <w:r w:rsidRPr="00C651CA">
        <w:rPr>
          <w:rFonts w:ascii="Arial" w:hAnsi="Arial" w:cs="Arial"/>
          <w:bCs/>
          <w:color w:val="000000" w:themeColor="text1"/>
          <w:sz w:val="20"/>
          <w:szCs w:val="20"/>
          <w:lang w:val="hr-HR"/>
        </w:rPr>
        <w:t xml:space="preserve">tisuća kuna za Grupu i </w:t>
      </w:r>
      <w:r w:rsidRPr="00291059">
        <w:rPr>
          <w:rFonts w:ascii="Arial" w:hAnsi="Arial" w:cs="Arial"/>
          <w:bCs/>
          <w:color w:val="000000" w:themeColor="text1"/>
          <w:sz w:val="20"/>
          <w:szCs w:val="20"/>
          <w:lang w:val="hr-HR"/>
        </w:rPr>
        <w:t>2.584.329</w:t>
      </w:r>
      <w:r>
        <w:rPr>
          <w:rFonts w:ascii="Arial" w:hAnsi="Arial" w:cs="Arial"/>
          <w:bCs/>
          <w:color w:val="000000" w:themeColor="text1"/>
          <w:sz w:val="20"/>
          <w:szCs w:val="20"/>
          <w:lang w:val="hr-HR"/>
        </w:rPr>
        <w:t xml:space="preserve"> </w:t>
      </w:r>
      <w:r w:rsidRPr="00C651CA">
        <w:rPr>
          <w:rFonts w:ascii="Arial" w:eastAsia="Calibri" w:hAnsi="Arial" w:cs="Arial"/>
          <w:bCs/>
          <w:color w:val="000000" w:themeColor="text1"/>
          <w:sz w:val="20"/>
          <w:szCs w:val="20"/>
          <w:lang w:val="hr-HR"/>
        </w:rPr>
        <w:t>tisuća kuna za Banku</w:t>
      </w:r>
      <w:r w:rsidRPr="00C651CA">
        <w:rPr>
          <w:rFonts w:ascii="Arial" w:hAnsi="Arial" w:cs="Arial"/>
          <w:bCs/>
          <w:color w:val="000000" w:themeColor="text1"/>
          <w:sz w:val="20"/>
          <w:szCs w:val="20"/>
          <w:lang w:val="hr-HR"/>
        </w:rPr>
        <w:t xml:space="preserve"> (31. prosinca 202</w:t>
      </w:r>
      <w:r>
        <w:rPr>
          <w:rFonts w:ascii="Arial" w:hAnsi="Arial" w:cs="Arial"/>
          <w:bCs/>
          <w:color w:val="000000" w:themeColor="text1"/>
          <w:sz w:val="20"/>
          <w:szCs w:val="20"/>
          <w:lang w:val="hr-HR"/>
        </w:rPr>
        <w:t>1</w:t>
      </w:r>
      <w:r w:rsidRPr="00C651CA">
        <w:rPr>
          <w:rFonts w:ascii="Arial" w:hAnsi="Arial" w:cs="Arial"/>
          <w:bCs/>
          <w:color w:val="000000" w:themeColor="text1"/>
          <w:sz w:val="20"/>
          <w:szCs w:val="20"/>
          <w:lang w:val="hr-HR"/>
        </w:rPr>
        <w:t xml:space="preserve">.: </w:t>
      </w:r>
      <w:r w:rsidRPr="003F7756">
        <w:rPr>
          <w:rFonts w:ascii="Arial" w:hAnsi="Arial" w:cs="Arial"/>
          <w:bCs/>
          <w:color w:val="000000" w:themeColor="text1"/>
          <w:sz w:val="20"/>
          <w:szCs w:val="20"/>
          <w:lang w:val="hr-HR"/>
        </w:rPr>
        <w:t xml:space="preserve">2.924.943 </w:t>
      </w:r>
      <w:r w:rsidRPr="00C651CA">
        <w:rPr>
          <w:rFonts w:ascii="Arial" w:hAnsi="Arial" w:cs="Arial"/>
          <w:bCs/>
          <w:color w:val="000000" w:themeColor="text1"/>
          <w:sz w:val="20"/>
          <w:szCs w:val="20"/>
          <w:lang w:val="hr-HR"/>
        </w:rPr>
        <w:t xml:space="preserve">tisuća kuna za Grupu i </w:t>
      </w:r>
      <w:r w:rsidRPr="003F7756">
        <w:rPr>
          <w:rFonts w:ascii="Arial" w:hAnsi="Arial" w:cs="Arial"/>
          <w:bCs/>
          <w:color w:val="000000" w:themeColor="text1"/>
          <w:sz w:val="20"/>
          <w:szCs w:val="20"/>
          <w:lang w:val="hr-HR"/>
        </w:rPr>
        <w:t xml:space="preserve">2.870.512 </w:t>
      </w:r>
      <w:r w:rsidRPr="00C651CA">
        <w:rPr>
          <w:rFonts w:ascii="Arial" w:hAnsi="Arial" w:cs="Arial"/>
          <w:bCs/>
          <w:color w:val="000000" w:themeColor="text1"/>
          <w:sz w:val="20"/>
          <w:szCs w:val="20"/>
          <w:lang w:val="hr-HR"/>
        </w:rPr>
        <w:t>tisuća kuna za Banku).</w:t>
      </w:r>
    </w:p>
    <w:p w14:paraId="3F717A97" w14:textId="77777777" w:rsidR="004E2F51" w:rsidRPr="00C651CA" w:rsidRDefault="004E2F51" w:rsidP="004E2F51">
      <w:pPr>
        <w:tabs>
          <w:tab w:val="left" w:pos="6924"/>
        </w:tabs>
        <w:jc w:val="both"/>
        <w:rPr>
          <w:rFonts w:ascii="Arial" w:hAnsi="Arial" w:cs="Arial"/>
          <w:bCs/>
          <w:color w:val="000000" w:themeColor="text1"/>
          <w:sz w:val="20"/>
          <w:szCs w:val="20"/>
          <w:lang w:val="hr-HR"/>
        </w:rPr>
      </w:pPr>
      <w:r w:rsidRPr="00C651CA">
        <w:rPr>
          <w:rFonts w:ascii="Arial" w:hAnsi="Arial" w:cs="Arial"/>
          <w:bCs/>
          <w:color w:val="000000" w:themeColor="text1"/>
          <w:sz w:val="20"/>
          <w:szCs w:val="20"/>
          <w:lang w:val="hr-HR"/>
        </w:rPr>
        <w:tab/>
      </w:r>
    </w:p>
    <w:p w14:paraId="7F78CCB1" w14:textId="77777777" w:rsidR="004E2F51" w:rsidRPr="00C651CA" w:rsidRDefault="004E2F51" w:rsidP="004E2F51">
      <w:pPr>
        <w:tabs>
          <w:tab w:val="right" w:pos="9129"/>
        </w:tabs>
        <w:jc w:val="both"/>
        <w:rPr>
          <w:rFonts w:ascii="Arial" w:eastAsia="Calibri" w:hAnsi="Arial" w:cs="Arial"/>
          <w:bCs/>
          <w:color w:val="000000" w:themeColor="text1"/>
          <w:sz w:val="20"/>
          <w:szCs w:val="20"/>
          <w:lang w:val="hr-HR"/>
        </w:rPr>
      </w:pPr>
      <w:r w:rsidRPr="00C651CA">
        <w:rPr>
          <w:rFonts w:ascii="Arial" w:eastAsia="Calibri" w:hAnsi="Arial" w:cs="Arial"/>
          <w:bCs/>
          <w:color w:val="000000" w:themeColor="text1"/>
          <w:sz w:val="20"/>
          <w:szCs w:val="20"/>
          <w:lang w:val="hr-HR"/>
        </w:rPr>
        <w:t xml:space="preserve">Dio plasmana koji imaju iskazanu neto izloženost odnosi se na plasmane koji su privremeno djelomično pokriveni instrumentima osiguranja te je daljnje plasiranje po odobrenom plasmanu obustavljeno sve do pribavljanja instrumenata osiguranja potrebnih za udovoljavanje potrebnog omjera vrijednosti predmeta osiguranja i plasmana. </w:t>
      </w:r>
    </w:p>
    <w:p w14:paraId="58519A56" w14:textId="77777777" w:rsidR="004E2F51" w:rsidRPr="00C651CA" w:rsidRDefault="004E2F51" w:rsidP="004E2F51">
      <w:pPr>
        <w:tabs>
          <w:tab w:val="right" w:pos="9129"/>
        </w:tabs>
        <w:jc w:val="both"/>
        <w:rPr>
          <w:rFonts w:ascii="Arial" w:eastAsia="Calibri" w:hAnsi="Arial" w:cs="Arial"/>
          <w:bCs/>
          <w:color w:val="000000" w:themeColor="text1"/>
          <w:sz w:val="20"/>
          <w:szCs w:val="20"/>
          <w:lang w:val="hr-HR"/>
        </w:rPr>
      </w:pPr>
    </w:p>
    <w:p w14:paraId="4D9AAEC8" w14:textId="77777777" w:rsidR="004E2F51" w:rsidRPr="00C651CA" w:rsidRDefault="004E2F51" w:rsidP="004E2F51">
      <w:pPr>
        <w:tabs>
          <w:tab w:val="right" w:pos="9129"/>
        </w:tabs>
        <w:jc w:val="both"/>
        <w:rPr>
          <w:rFonts w:ascii="Arial" w:eastAsia="Calibri" w:hAnsi="Arial" w:cs="Arial"/>
          <w:bCs/>
          <w:color w:val="000000" w:themeColor="text1"/>
          <w:sz w:val="20"/>
          <w:szCs w:val="20"/>
          <w:lang w:val="hr-HR"/>
        </w:rPr>
      </w:pPr>
      <w:r w:rsidRPr="00C651CA">
        <w:rPr>
          <w:rFonts w:ascii="Arial" w:eastAsia="Calibri" w:hAnsi="Arial" w:cs="Arial"/>
          <w:bCs/>
          <w:color w:val="000000" w:themeColor="text1"/>
          <w:sz w:val="20"/>
          <w:szCs w:val="20"/>
          <w:lang w:val="hr-HR"/>
        </w:rPr>
        <w:t>Djelatnost financijskog posredovanja najvećim dijelom uključuje poslovne banke.</w:t>
      </w:r>
    </w:p>
    <w:p w14:paraId="42300AD1" w14:textId="77777777" w:rsidR="004E2F51" w:rsidRPr="00B91D09" w:rsidRDefault="004E2F51" w:rsidP="004E2F51">
      <w:pPr>
        <w:jc w:val="both"/>
        <w:rPr>
          <w:rFonts w:ascii="Arial" w:hAnsi="Arial" w:cs="Arial"/>
          <w:b/>
          <w:bCs/>
          <w:color w:val="000000" w:themeColor="text1"/>
          <w:sz w:val="22"/>
          <w:szCs w:val="22"/>
          <w:lang w:val="hr-HR"/>
          <w14:shadow w14:blurRad="50800" w14:dist="38100" w14:dir="2700000" w14:sx="100000" w14:sy="100000" w14:kx="0" w14:ky="0" w14:algn="tl">
            <w14:srgbClr w14:val="000000">
              <w14:alpha w14:val="60000"/>
            </w14:srgbClr>
          </w14:shadow>
        </w:rPr>
        <w:sectPr w:rsidR="004E2F51" w:rsidRPr="00B91D09" w:rsidSect="00623DBA">
          <w:footerReference w:type="default" r:id="rId186"/>
          <w:type w:val="continuous"/>
          <w:pgSz w:w="11907" w:h="16840" w:code="9"/>
          <w:pgMar w:top="1418" w:right="1134" w:bottom="1134" w:left="1418" w:header="851" w:footer="851" w:gutter="0"/>
          <w:cols w:space="720"/>
          <w:noEndnote/>
        </w:sectPr>
      </w:pPr>
    </w:p>
    <w:p w14:paraId="481BDDCD" w14:textId="77777777" w:rsidR="004E2F51" w:rsidRPr="004275B9" w:rsidRDefault="004E2F51" w:rsidP="004E2F51">
      <w:pPr>
        <w:pStyle w:val="T1"/>
        <w:spacing w:before="120" w:line="240" w:lineRule="auto"/>
        <w:rPr>
          <w:rFonts w:cs="Arial"/>
          <w:color w:val="000000" w:themeColor="text1"/>
          <w:sz w:val="18"/>
          <w:szCs w:val="18"/>
          <w:lang w:val="hr-HR"/>
        </w:rPr>
      </w:pPr>
      <w:r w:rsidRPr="004275B9">
        <w:rPr>
          <w:rFonts w:cs="Arial"/>
          <w:color w:val="000000" w:themeColor="text1"/>
          <w:sz w:val="18"/>
          <w:szCs w:val="18"/>
          <w:lang w:val="hr-HR"/>
        </w:rPr>
        <w:lastRenderedPageBreak/>
        <w:t>3</w:t>
      </w:r>
      <w:r>
        <w:rPr>
          <w:rFonts w:cs="Arial"/>
          <w:color w:val="000000" w:themeColor="text1"/>
          <w:sz w:val="18"/>
          <w:szCs w:val="18"/>
          <w:lang w:val="hr-HR"/>
        </w:rPr>
        <w:t>1</w:t>
      </w:r>
      <w:r w:rsidRPr="004275B9">
        <w:rPr>
          <w:rFonts w:cs="Arial"/>
          <w:color w:val="000000" w:themeColor="text1"/>
          <w:sz w:val="18"/>
          <w:szCs w:val="18"/>
          <w:lang w:val="hr-HR"/>
        </w:rPr>
        <w:t>.</w:t>
      </w:r>
      <w:r w:rsidRPr="004275B9">
        <w:rPr>
          <w:rFonts w:cs="Arial"/>
          <w:color w:val="000000" w:themeColor="text1"/>
          <w:sz w:val="18"/>
          <w:szCs w:val="18"/>
          <w:lang w:val="hr-HR"/>
        </w:rPr>
        <w:tab/>
        <w:t>Upravljanje rizicima (nastavak)</w:t>
      </w:r>
    </w:p>
    <w:p w14:paraId="7018CE32" w14:textId="77777777" w:rsidR="004E2F51" w:rsidRPr="004275B9" w:rsidRDefault="004E2F51" w:rsidP="004E2F51">
      <w:pPr>
        <w:pStyle w:val="T1"/>
        <w:spacing w:before="120" w:line="240" w:lineRule="auto"/>
        <w:rPr>
          <w:rFonts w:cs="Arial"/>
          <w:color w:val="000000" w:themeColor="text1"/>
          <w:sz w:val="18"/>
          <w:szCs w:val="18"/>
          <w:lang w:val="hr-HR"/>
        </w:rPr>
      </w:pPr>
      <w:r w:rsidRPr="004275B9">
        <w:rPr>
          <w:rFonts w:cs="Arial"/>
          <w:color w:val="000000" w:themeColor="text1"/>
          <w:sz w:val="18"/>
          <w:szCs w:val="18"/>
          <w:lang w:val="hr-HR"/>
        </w:rPr>
        <w:t>3</w:t>
      </w:r>
      <w:r>
        <w:rPr>
          <w:rFonts w:cs="Arial"/>
          <w:color w:val="000000" w:themeColor="text1"/>
          <w:sz w:val="18"/>
          <w:szCs w:val="18"/>
          <w:lang w:val="hr-HR"/>
        </w:rPr>
        <w:t>1</w:t>
      </w:r>
      <w:r w:rsidRPr="004275B9">
        <w:rPr>
          <w:rFonts w:cs="Arial"/>
          <w:color w:val="000000" w:themeColor="text1"/>
          <w:sz w:val="18"/>
          <w:szCs w:val="18"/>
          <w:lang w:val="hr-HR"/>
        </w:rPr>
        <w:t xml:space="preserve">.3. </w:t>
      </w:r>
      <w:r w:rsidRPr="004275B9">
        <w:rPr>
          <w:rFonts w:cs="Arial"/>
          <w:color w:val="000000" w:themeColor="text1"/>
          <w:sz w:val="18"/>
          <w:szCs w:val="18"/>
          <w:lang w:val="hr-HR"/>
        </w:rPr>
        <w:tab/>
        <w:t>Kreditni rizik (nastavak)</w:t>
      </w:r>
    </w:p>
    <w:p w14:paraId="02AB545F" w14:textId="77777777" w:rsidR="004E2F51" w:rsidRPr="004275B9" w:rsidRDefault="004E2F51" w:rsidP="004E2F51">
      <w:pPr>
        <w:pStyle w:val="T1"/>
        <w:spacing w:before="120" w:line="240" w:lineRule="auto"/>
        <w:rPr>
          <w:rFonts w:cs="Arial"/>
          <w:color w:val="000000" w:themeColor="text1"/>
          <w:sz w:val="18"/>
          <w:szCs w:val="18"/>
          <w:lang w:val="hr-HR"/>
        </w:rPr>
      </w:pPr>
      <w:r w:rsidRPr="004275B9">
        <w:rPr>
          <w:rFonts w:cs="Arial"/>
          <w:color w:val="000000" w:themeColor="text1"/>
          <w:sz w:val="18"/>
          <w:szCs w:val="18"/>
          <w:lang w:val="hr-HR"/>
        </w:rPr>
        <w:t xml:space="preserve">Kvaliteta kreditnog rizika prema vrsti financijske imovine </w:t>
      </w:r>
    </w:p>
    <w:p w14:paraId="01D06BE6" w14:textId="77777777" w:rsidR="004E2F51" w:rsidRPr="004275B9" w:rsidRDefault="004E2F51" w:rsidP="004E2F51">
      <w:pPr>
        <w:jc w:val="both"/>
        <w:rPr>
          <w:rFonts w:ascii="Arial" w:hAnsi="Arial" w:cs="Arial"/>
          <w:color w:val="000000" w:themeColor="text1"/>
          <w:sz w:val="18"/>
          <w:szCs w:val="18"/>
          <w:lang w:val="hr-HR"/>
        </w:rPr>
      </w:pPr>
      <w:r w:rsidRPr="004275B9">
        <w:rPr>
          <w:rFonts w:ascii="Arial" w:hAnsi="Arial" w:cs="Arial"/>
          <w:color w:val="000000" w:themeColor="text1"/>
          <w:sz w:val="18"/>
          <w:szCs w:val="18"/>
          <w:lang w:val="hr-HR"/>
        </w:rPr>
        <w:t>Analiza kreditnog rizika, neto izloženost, prije i nakon uzimanja u obzir primljenih instrumenata osiguranja, prema vrsti financijske imovine na pozicijama imovine i garancija i preuzetih obveza prema rizičnim skupinama:</w:t>
      </w:r>
    </w:p>
    <w:p w14:paraId="33C8108D" w14:textId="77777777" w:rsidR="004E2F51" w:rsidRPr="00B91D09" w:rsidRDefault="004E2F51" w:rsidP="004E2F51">
      <w:pPr>
        <w:jc w:val="both"/>
        <w:rPr>
          <w:rFonts w:ascii="Arial" w:hAnsi="Arial" w:cs="Arial"/>
          <w:color w:val="000000" w:themeColor="text1"/>
          <w:sz w:val="20"/>
          <w:szCs w:val="20"/>
          <w:lang w:val="hr-HR"/>
        </w:rPr>
      </w:pPr>
    </w:p>
    <w:tbl>
      <w:tblPr>
        <w:tblW w:w="5191" w:type="pct"/>
        <w:jc w:val="center"/>
        <w:tblLayout w:type="fixed"/>
        <w:tblLook w:val="0000" w:firstRow="0" w:lastRow="0" w:firstColumn="0" w:lastColumn="0" w:noHBand="0" w:noVBand="0"/>
      </w:tblPr>
      <w:tblGrid>
        <w:gridCol w:w="2636"/>
        <w:gridCol w:w="947"/>
        <w:gridCol w:w="944"/>
        <w:gridCol w:w="936"/>
        <w:gridCol w:w="909"/>
        <w:gridCol w:w="986"/>
        <w:gridCol w:w="1054"/>
        <w:gridCol w:w="1044"/>
        <w:gridCol w:w="1047"/>
        <w:gridCol w:w="1047"/>
        <w:gridCol w:w="1047"/>
        <w:gridCol w:w="1190"/>
        <w:gridCol w:w="1047"/>
      </w:tblGrid>
      <w:tr w:rsidR="004E2F51" w:rsidRPr="0002282A" w14:paraId="6253741B" w14:textId="77777777" w:rsidTr="00E032FC">
        <w:trPr>
          <w:trHeight w:val="1607"/>
          <w:jc w:val="center"/>
        </w:trPr>
        <w:tc>
          <w:tcPr>
            <w:tcW w:w="888" w:type="pct"/>
          </w:tcPr>
          <w:p w14:paraId="1D2FD254" w14:textId="77777777" w:rsidR="004E2F51" w:rsidRPr="004275B9" w:rsidRDefault="004E2F51" w:rsidP="00E032FC">
            <w:pPr>
              <w:rPr>
                <w:rFonts w:ascii="Arial" w:eastAsia="Calibri" w:hAnsi="Arial" w:cs="Arial"/>
                <w:b/>
                <w:bCs/>
                <w:color w:val="000000" w:themeColor="text1"/>
                <w:sz w:val="14"/>
                <w:szCs w:val="14"/>
                <w:lang w:val="hr-HR"/>
              </w:rPr>
            </w:pPr>
            <w:bookmarkStart w:id="1611" w:name="_Hlk530060318"/>
            <w:r w:rsidRPr="004275B9">
              <w:rPr>
                <w:rFonts w:ascii="Arial" w:eastAsia="Calibri" w:hAnsi="Arial" w:cs="Arial"/>
                <w:b/>
                <w:bCs/>
                <w:color w:val="000000" w:themeColor="text1"/>
                <w:sz w:val="14"/>
                <w:szCs w:val="14"/>
                <w:lang w:val="hr-HR"/>
              </w:rPr>
              <w:br w:type="page"/>
              <w:t>Grupa</w:t>
            </w:r>
          </w:p>
          <w:p w14:paraId="4EA49BEF" w14:textId="77777777" w:rsidR="004E2F51" w:rsidRPr="004275B9" w:rsidRDefault="004E2F51" w:rsidP="00E032FC">
            <w:pPr>
              <w:rPr>
                <w:rFonts w:ascii="Arial" w:eastAsia="Calibri" w:hAnsi="Arial" w:cs="Arial"/>
                <w:b/>
                <w:bCs/>
                <w:color w:val="000000" w:themeColor="text1"/>
                <w:sz w:val="14"/>
                <w:szCs w:val="14"/>
                <w:lang w:val="hr-HR"/>
              </w:rPr>
            </w:pPr>
          </w:p>
          <w:p w14:paraId="1BFEFB3D" w14:textId="77777777" w:rsidR="004E2F51" w:rsidRPr="004275B9" w:rsidRDefault="004E2F51" w:rsidP="00E032FC">
            <w:pPr>
              <w:rPr>
                <w:rFonts w:ascii="Arial" w:eastAsia="Calibri" w:hAnsi="Arial" w:cs="Arial"/>
                <w:color w:val="000000" w:themeColor="text1"/>
                <w:sz w:val="14"/>
                <w:szCs w:val="14"/>
                <w:lang w:val="hr-HR"/>
              </w:rPr>
            </w:pPr>
            <w:r w:rsidRPr="004275B9">
              <w:rPr>
                <w:rFonts w:ascii="Arial" w:eastAsia="Calibri" w:hAnsi="Arial" w:cs="Arial"/>
                <w:b/>
                <w:bCs/>
                <w:color w:val="000000" w:themeColor="text1"/>
                <w:sz w:val="14"/>
                <w:szCs w:val="14"/>
                <w:lang w:val="hr-HR"/>
              </w:rPr>
              <w:t>31. prosinca 202</w:t>
            </w:r>
            <w:r>
              <w:rPr>
                <w:rFonts w:ascii="Arial" w:eastAsia="Calibri" w:hAnsi="Arial" w:cs="Arial"/>
                <w:b/>
                <w:bCs/>
                <w:color w:val="000000" w:themeColor="text1"/>
                <w:sz w:val="14"/>
                <w:szCs w:val="14"/>
                <w:lang w:val="hr-HR"/>
              </w:rPr>
              <w:t>2</w:t>
            </w:r>
            <w:r w:rsidRPr="004275B9">
              <w:rPr>
                <w:rFonts w:ascii="Arial" w:eastAsia="Calibri" w:hAnsi="Arial" w:cs="Arial"/>
                <w:b/>
                <w:bCs/>
                <w:color w:val="000000" w:themeColor="text1"/>
                <w:sz w:val="14"/>
                <w:szCs w:val="14"/>
                <w:lang w:val="hr-HR"/>
              </w:rPr>
              <w:t xml:space="preserve">. </w:t>
            </w:r>
          </w:p>
        </w:tc>
        <w:tc>
          <w:tcPr>
            <w:tcW w:w="319" w:type="pct"/>
            <w:vAlign w:val="bottom"/>
          </w:tcPr>
          <w:p w14:paraId="1FF91DB7"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portfelja - stupanj 1</w:t>
            </w:r>
          </w:p>
        </w:tc>
        <w:tc>
          <w:tcPr>
            <w:tcW w:w="318" w:type="pct"/>
            <w:vAlign w:val="bottom"/>
          </w:tcPr>
          <w:p w14:paraId="32F5C50E"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portfelja - stupanj 2</w:t>
            </w:r>
          </w:p>
        </w:tc>
        <w:tc>
          <w:tcPr>
            <w:tcW w:w="315" w:type="pct"/>
            <w:vAlign w:val="bottom"/>
          </w:tcPr>
          <w:p w14:paraId="1995802E"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portfelja - stupanj 3</w:t>
            </w:r>
          </w:p>
        </w:tc>
        <w:tc>
          <w:tcPr>
            <w:tcW w:w="306" w:type="pct"/>
            <w:vAlign w:val="bottom"/>
          </w:tcPr>
          <w:p w14:paraId="1763333D"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portfelja rizične skupine POCI</w:t>
            </w:r>
          </w:p>
        </w:tc>
        <w:tc>
          <w:tcPr>
            <w:tcW w:w="332" w:type="pct"/>
            <w:vAlign w:val="bottom"/>
          </w:tcPr>
          <w:p w14:paraId="53B16C6C"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eastAsia="Calibri" w:hAnsi="Arial" w:cs="Arial"/>
                <w:b/>
                <w:color w:val="000000" w:themeColor="text1"/>
                <w:sz w:val="14"/>
                <w:szCs w:val="14"/>
                <w:lang w:val="hr-HR"/>
              </w:rPr>
              <w:t>Financijska imovina koja se ne raspoređuje u rizične skupine po MSFI-ju 9</w:t>
            </w:r>
          </w:p>
        </w:tc>
        <w:tc>
          <w:tcPr>
            <w:tcW w:w="355" w:type="pct"/>
            <w:vAlign w:val="bottom"/>
          </w:tcPr>
          <w:p w14:paraId="58994D17"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ukupnog portfelja</w:t>
            </w:r>
          </w:p>
        </w:tc>
        <w:tc>
          <w:tcPr>
            <w:tcW w:w="352" w:type="pct"/>
            <w:vAlign w:val="bottom"/>
          </w:tcPr>
          <w:p w14:paraId="0C2F4DBD"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portfelja nakon umanjenja za instrumente osiguranja- stupanj 1</w:t>
            </w:r>
          </w:p>
        </w:tc>
        <w:tc>
          <w:tcPr>
            <w:tcW w:w="353" w:type="pct"/>
            <w:vAlign w:val="bottom"/>
          </w:tcPr>
          <w:p w14:paraId="0DC61219"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portfelja nakon umanjenja za instrumente osiguranja- stupanj 2</w:t>
            </w:r>
          </w:p>
        </w:tc>
        <w:tc>
          <w:tcPr>
            <w:tcW w:w="353" w:type="pct"/>
            <w:vAlign w:val="bottom"/>
          </w:tcPr>
          <w:p w14:paraId="02B0F2AC"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portfelja nakon umanjenja za instrumente osiguranja- stupanj 3</w:t>
            </w:r>
          </w:p>
        </w:tc>
        <w:tc>
          <w:tcPr>
            <w:tcW w:w="353" w:type="pct"/>
            <w:vAlign w:val="bottom"/>
          </w:tcPr>
          <w:p w14:paraId="595A5CB1"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portfelja nakon umanjenja za instrumente osiguranja- rizične skupine POCI</w:t>
            </w:r>
          </w:p>
        </w:tc>
        <w:tc>
          <w:tcPr>
            <w:tcW w:w="401" w:type="pct"/>
            <w:vAlign w:val="bottom"/>
          </w:tcPr>
          <w:p w14:paraId="7AA2D295"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Financijska imovina  koja se ne raspoređuje u rizične skupine po MSFI-ju 9 nakon umanjenja za instrumente osiguranja</w:t>
            </w:r>
          </w:p>
        </w:tc>
        <w:tc>
          <w:tcPr>
            <w:tcW w:w="353" w:type="pct"/>
            <w:vAlign w:val="bottom"/>
          </w:tcPr>
          <w:p w14:paraId="53759EA1"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ukupnog portfelja nakon umanjenja za instrumente osiguranja</w:t>
            </w:r>
          </w:p>
        </w:tc>
      </w:tr>
      <w:tr w:rsidR="004E2F51" w:rsidRPr="004275B9" w14:paraId="7A66B435" w14:textId="77777777" w:rsidTr="00E032FC">
        <w:trPr>
          <w:trHeight w:val="160"/>
          <w:jc w:val="center"/>
        </w:trPr>
        <w:tc>
          <w:tcPr>
            <w:tcW w:w="888" w:type="pct"/>
          </w:tcPr>
          <w:p w14:paraId="369A260C" w14:textId="77777777" w:rsidR="004E2F51" w:rsidRPr="004275B9" w:rsidRDefault="004E2F51" w:rsidP="00E032FC">
            <w:pPr>
              <w:rPr>
                <w:rFonts w:ascii="Arial" w:eastAsia="Calibri" w:hAnsi="Arial" w:cs="Arial"/>
                <w:b/>
                <w:bCs/>
                <w:color w:val="000000" w:themeColor="text1"/>
                <w:sz w:val="14"/>
                <w:szCs w:val="14"/>
                <w:lang w:val="hr-HR"/>
              </w:rPr>
            </w:pPr>
          </w:p>
        </w:tc>
        <w:tc>
          <w:tcPr>
            <w:tcW w:w="319" w:type="pct"/>
          </w:tcPr>
          <w:p w14:paraId="52B265F6"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18" w:type="pct"/>
          </w:tcPr>
          <w:p w14:paraId="20FE72C6"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15" w:type="pct"/>
          </w:tcPr>
          <w:p w14:paraId="5C85D8B0"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06" w:type="pct"/>
          </w:tcPr>
          <w:p w14:paraId="15D6D213"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32" w:type="pct"/>
          </w:tcPr>
          <w:p w14:paraId="6D45D939"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55" w:type="pct"/>
          </w:tcPr>
          <w:p w14:paraId="2BAB53FF"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52" w:type="pct"/>
          </w:tcPr>
          <w:p w14:paraId="66C233E1"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53" w:type="pct"/>
          </w:tcPr>
          <w:p w14:paraId="434D1B33"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53" w:type="pct"/>
          </w:tcPr>
          <w:p w14:paraId="001952EA"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53" w:type="pct"/>
          </w:tcPr>
          <w:p w14:paraId="668E9740"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401" w:type="pct"/>
          </w:tcPr>
          <w:p w14:paraId="074D4D98"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53" w:type="pct"/>
          </w:tcPr>
          <w:p w14:paraId="3BA66B14"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r>
      <w:tr w:rsidR="004E2F51" w:rsidRPr="004275B9" w14:paraId="356FEC95" w14:textId="77777777" w:rsidTr="00E032FC">
        <w:trPr>
          <w:trHeight w:val="117"/>
          <w:jc w:val="center"/>
        </w:trPr>
        <w:tc>
          <w:tcPr>
            <w:tcW w:w="888" w:type="pct"/>
          </w:tcPr>
          <w:p w14:paraId="511C3C34" w14:textId="77777777" w:rsidR="004E2F51" w:rsidRPr="004275B9" w:rsidRDefault="004E2F51" w:rsidP="00E032FC">
            <w:pPr>
              <w:tabs>
                <w:tab w:val="right" w:pos="1202"/>
              </w:tabs>
              <w:spacing w:line="301" w:lineRule="exact"/>
              <w:outlineLvl w:val="0"/>
              <w:rPr>
                <w:rFonts w:ascii="Arial" w:eastAsia="Calibri" w:hAnsi="Arial" w:cs="Arial"/>
                <w:b/>
                <w:bCs/>
                <w:color w:val="000000" w:themeColor="text1"/>
                <w:sz w:val="14"/>
                <w:szCs w:val="14"/>
                <w:lang w:val="hr-HR"/>
              </w:rPr>
            </w:pPr>
            <w:bookmarkStart w:id="1612" w:name="_Toc67329830"/>
            <w:r w:rsidRPr="004275B9">
              <w:rPr>
                <w:rFonts w:ascii="Arial" w:eastAsia="Calibri" w:hAnsi="Arial" w:cs="Arial"/>
                <w:b/>
                <w:bCs/>
                <w:color w:val="000000" w:themeColor="text1"/>
                <w:sz w:val="14"/>
                <w:szCs w:val="14"/>
                <w:lang w:val="hr-HR"/>
              </w:rPr>
              <w:t>Imovina</w:t>
            </w:r>
            <w:bookmarkEnd w:id="1612"/>
          </w:p>
        </w:tc>
        <w:tc>
          <w:tcPr>
            <w:tcW w:w="319" w:type="pct"/>
            <w:vAlign w:val="bottom"/>
          </w:tcPr>
          <w:p w14:paraId="433E86E9"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18" w:type="pct"/>
            <w:vAlign w:val="bottom"/>
          </w:tcPr>
          <w:p w14:paraId="50CA6153"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15" w:type="pct"/>
            <w:vAlign w:val="bottom"/>
          </w:tcPr>
          <w:p w14:paraId="7F048E55"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06" w:type="pct"/>
            <w:vAlign w:val="bottom"/>
          </w:tcPr>
          <w:p w14:paraId="6CD54345"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32" w:type="pct"/>
            <w:vAlign w:val="bottom"/>
          </w:tcPr>
          <w:p w14:paraId="4C829997"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55" w:type="pct"/>
            <w:vAlign w:val="bottom"/>
          </w:tcPr>
          <w:p w14:paraId="494B0282"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52" w:type="pct"/>
            <w:vAlign w:val="bottom"/>
          </w:tcPr>
          <w:p w14:paraId="5DAC0819"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53" w:type="pct"/>
            <w:vAlign w:val="bottom"/>
          </w:tcPr>
          <w:p w14:paraId="2BBF7CE0"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53" w:type="pct"/>
            <w:vAlign w:val="bottom"/>
          </w:tcPr>
          <w:p w14:paraId="6C267663"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53" w:type="pct"/>
            <w:vAlign w:val="bottom"/>
          </w:tcPr>
          <w:p w14:paraId="1A98AC14"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401" w:type="pct"/>
            <w:vAlign w:val="bottom"/>
          </w:tcPr>
          <w:p w14:paraId="6E0E3555"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53" w:type="pct"/>
            <w:vAlign w:val="bottom"/>
          </w:tcPr>
          <w:p w14:paraId="3220F551"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r>
      <w:tr w:rsidR="004E2F51" w:rsidRPr="004275B9" w14:paraId="720F9537" w14:textId="77777777" w:rsidTr="00E032FC">
        <w:trPr>
          <w:trHeight w:val="189"/>
          <w:jc w:val="center"/>
        </w:trPr>
        <w:tc>
          <w:tcPr>
            <w:tcW w:w="888" w:type="pct"/>
            <w:vAlign w:val="bottom"/>
          </w:tcPr>
          <w:p w14:paraId="21D3E6E6" w14:textId="77777777" w:rsidR="004E2F51" w:rsidRPr="004275B9" w:rsidRDefault="004E2F51" w:rsidP="00E032FC">
            <w:pPr>
              <w:tabs>
                <w:tab w:val="right" w:pos="1202"/>
              </w:tabs>
              <w:outlineLvl w:val="0"/>
              <w:rPr>
                <w:rFonts w:ascii="Arial" w:eastAsia="Calibri" w:hAnsi="Arial" w:cs="Arial"/>
                <w:color w:val="000000" w:themeColor="text1"/>
                <w:sz w:val="14"/>
                <w:szCs w:val="14"/>
                <w:lang w:val="hr-HR"/>
              </w:rPr>
            </w:pPr>
            <w:bookmarkStart w:id="1613" w:name="_Toc67329831"/>
            <w:r w:rsidRPr="004275B9">
              <w:rPr>
                <w:rFonts w:ascii="Arial" w:eastAsia="Calibri" w:hAnsi="Arial" w:cs="Arial"/>
                <w:color w:val="000000" w:themeColor="text1"/>
                <w:sz w:val="14"/>
                <w:szCs w:val="14"/>
                <w:lang w:val="hr-HR"/>
              </w:rPr>
              <w:t>Novčana sredstva i računi kod banaka</w:t>
            </w:r>
            <w:bookmarkEnd w:id="1613"/>
          </w:p>
        </w:tc>
        <w:tc>
          <w:tcPr>
            <w:tcW w:w="319" w:type="pct"/>
            <w:tcBorders>
              <w:top w:val="nil"/>
              <w:left w:val="nil"/>
              <w:bottom w:val="nil"/>
              <w:right w:val="nil"/>
            </w:tcBorders>
            <w:shd w:val="clear" w:color="auto" w:fill="auto"/>
            <w:vAlign w:val="bottom"/>
          </w:tcPr>
          <w:p w14:paraId="594DC611"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1.721.919 </w:t>
            </w:r>
          </w:p>
        </w:tc>
        <w:tc>
          <w:tcPr>
            <w:tcW w:w="318" w:type="pct"/>
            <w:tcBorders>
              <w:top w:val="nil"/>
              <w:left w:val="nil"/>
              <w:bottom w:val="nil"/>
              <w:right w:val="nil"/>
            </w:tcBorders>
            <w:shd w:val="clear" w:color="auto" w:fill="auto"/>
            <w:vAlign w:val="bottom"/>
          </w:tcPr>
          <w:p w14:paraId="17B46314"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15" w:type="pct"/>
            <w:tcBorders>
              <w:top w:val="nil"/>
              <w:left w:val="nil"/>
              <w:bottom w:val="nil"/>
              <w:right w:val="nil"/>
            </w:tcBorders>
            <w:shd w:val="clear" w:color="auto" w:fill="auto"/>
            <w:vAlign w:val="bottom"/>
          </w:tcPr>
          <w:p w14:paraId="7E49B521"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06" w:type="pct"/>
            <w:tcBorders>
              <w:top w:val="nil"/>
              <w:left w:val="nil"/>
              <w:bottom w:val="nil"/>
              <w:right w:val="nil"/>
            </w:tcBorders>
            <w:shd w:val="clear" w:color="auto" w:fill="auto"/>
            <w:vAlign w:val="bottom"/>
          </w:tcPr>
          <w:p w14:paraId="6CB69C09"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32" w:type="pct"/>
            <w:tcBorders>
              <w:top w:val="nil"/>
              <w:left w:val="nil"/>
              <w:bottom w:val="nil"/>
              <w:right w:val="nil"/>
            </w:tcBorders>
            <w:shd w:val="clear" w:color="auto" w:fill="auto"/>
            <w:vAlign w:val="bottom"/>
          </w:tcPr>
          <w:p w14:paraId="348CF896"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55" w:type="pct"/>
            <w:tcBorders>
              <w:top w:val="nil"/>
              <w:left w:val="nil"/>
              <w:bottom w:val="nil"/>
              <w:right w:val="nil"/>
            </w:tcBorders>
            <w:shd w:val="clear" w:color="auto" w:fill="auto"/>
            <w:vAlign w:val="bottom"/>
          </w:tcPr>
          <w:p w14:paraId="1F295AF3"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1.721.919 </w:t>
            </w:r>
          </w:p>
        </w:tc>
        <w:tc>
          <w:tcPr>
            <w:tcW w:w="352" w:type="pct"/>
            <w:tcBorders>
              <w:top w:val="nil"/>
              <w:left w:val="nil"/>
              <w:bottom w:val="nil"/>
              <w:right w:val="nil"/>
            </w:tcBorders>
            <w:vAlign w:val="bottom"/>
          </w:tcPr>
          <w:p w14:paraId="1092E88F"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vAlign w:val="bottom"/>
          </w:tcPr>
          <w:p w14:paraId="6EF065FA"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vAlign w:val="bottom"/>
          </w:tcPr>
          <w:p w14:paraId="17851239"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vAlign w:val="bottom"/>
          </w:tcPr>
          <w:p w14:paraId="6718C57C"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401" w:type="pct"/>
            <w:tcBorders>
              <w:top w:val="nil"/>
              <w:left w:val="nil"/>
              <w:bottom w:val="nil"/>
              <w:right w:val="nil"/>
            </w:tcBorders>
            <w:vAlign w:val="bottom"/>
          </w:tcPr>
          <w:p w14:paraId="3C5D0967"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vAlign w:val="bottom"/>
          </w:tcPr>
          <w:p w14:paraId="583E88B6"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r>
      <w:tr w:rsidR="004E2F51" w:rsidRPr="004275B9" w14:paraId="498E078C" w14:textId="77777777" w:rsidTr="00E032FC">
        <w:trPr>
          <w:trHeight w:val="189"/>
          <w:jc w:val="center"/>
        </w:trPr>
        <w:tc>
          <w:tcPr>
            <w:tcW w:w="888" w:type="pct"/>
            <w:vAlign w:val="bottom"/>
          </w:tcPr>
          <w:p w14:paraId="5ADC5CC9" w14:textId="77777777" w:rsidR="004E2F51" w:rsidRPr="004275B9" w:rsidRDefault="004E2F51" w:rsidP="00E032FC">
            <w:pPr>
              <w:tabs>
                <w:tab w:val="right" w:pos="1202"/>
              </w:tabs>
              <w:outlineLvl w:val="0"/>
              <w:rPr>
                <w:rFonts w:ascii="Arial" w:eastAsia="Calibri" w:hAnsi="Arial" w:cs="Arial"/>
                <w:color w:val="000000" w:themeColor="text1"/>
                <w:sz w:val="14"/>
                <w:szCs w:val="14"/>
                <w:lang w:val="hr-HR"/>
              </w:rPr>
            </w:pPr>
            <w:bookmarkStart w:id="1614" w:name="_Toc67329832"/>
            <w:r w:rsidRPr="004275B9">
              <w:rPr>
                <w:rFonts w:ascii="Arial" w:eastAsia="Calibri" w:hAnsi="Arial" w:cs="Arial"/>
                <w:color w:val="000000" w:themeColor="text1"/>
                <w:sz w:val="14"/>
                <w:szCs w:val="14"/>
                <w:lang w:val="hr-HR"/>
              </w:rPr>
              <w:t>Depoziti kod drugih banaka</w:t>
            </w:r>
            <w:bookmarkEnd w:id="1614"/>
          </w:p>
        </w:tc>
        <w:tc>
          <w:tcPr>
            <w:tcW w:w="319" w:type="pct"/>
            <w:tcBorders>
              <w:top w:val="nil"/>
              <w:left w:val="nil"/>
              <w:bottom w:val="nil"/>
              <w:right w:val="nil"/>
            </w:tcBorders>
            <w:shd w:val="clear" w:color="auto" w:fill="auto"/>
            <w:vAlign w:val="bottom"/>
          </w:tcPr>
          <w:p w14:paraId="52E063F5"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33.180 </w:t>
            </w:r>
          </w:p>
        </w:tc>
        <w:tc>
          <w:tcPr>
            <w:tcW w:w="318" w:type="pct"/>
            <w:tcBorders>
              <w:top w:val="nil"/>
              <w:left w:val="nil"/>
              <w:bottom w:val="nil"/>
              <w:right w:val="nil"/>
            </w:tcBorders>
            <w:shd w:val="clear" w:color="auto" w:fill="auto"/>
            <w:vAlign w:val="bottom"/>
          </w:tcPr>
          <w:p w14:paraId="05679F26"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15" w:type="pct"/>
            <w:tcBorders>
              <w:top w:val="nil"/>
              <w:left w:val="nil"/>
              <w:bottom w:val="nil"/>
              <w:right w:val="nil"/>
            </w:tcBorders>
            <w:shd w:val="clear" w:color="auto" w:fill="auto"/>
            <w:vAlign w:val="bottom"/>
          </w:tcPr>
          <w:p w14:paraId="735132EB"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06" w:type="pct"/>
            <w:tcBorders>
              <w:top w:val="nil"/>
              <w:left w:val="nil"/>
              <w:bottom w:val="nil"/>
              <w:right w:val="nil"/>
            </w:tcBorders>
            <w:shd w:val="clear" w:color="auto" w:fill="auto"/>
            <w:vAlign w:val="bottom"/>
          </w:tcPr>
          <w:p w14:paraId="0D1B5178"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32" w:type="pct"/>
            <w:tcBorders>
              <w:top w:val="nil"/>
              <w:left w:val="nil"/>
              <w:bottom w:val="nil"/>
              <w:right w:val="nil"/>
            </w:tcBorders>
            <w:shd w:val="clear" w:color="auto" w:fill="auto"/>
            <w:vAlign w:val="bottom"/>
          </w:tcPr>
          <w:p w14:paraId="6C1111E0"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55" w:type="pct"/>
            <w:tcBorders>
              <w:top w:val="nil"/>
              <w:left w:val="nil"/>
              <w:bottom w:val="nil"/>
              <w:right w:val="nil"/>
            </w:tcBorders>
            <w:shd w:val="clear" w:color="auto" w:fill="auto"/>
            <w:vAlign w:val="bottom"/>
          </w:tcPr>
          <w:p w14:paraId="65E7C1CC"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33.180 </w:t>
            </w:r>
          </w:p>
        </w:tc>
        <w:tc>
          <w:tcPr>
            <w:tcW w:w="352" w:type="pct"/>
            <w:tcBorders>
              <w:top w:val="nil"/>
              <w:left w:val="nil"/>
              <w:bottom w:val="nil"/>
              <w:right w:val="nil"/>
            </w:tcBorders>
            <w:vAlign w:val="bottom"/>
          </w:tcPr>
          <w:p w14:paraId="0702A008"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vAlign w:val="bottom"/>
          </w:tcPr>
          <w:p w14:paraId="0AC1FC1F"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vAlign w:val="bottom"/>
          </w:tcPr>
          <w:p w14:paraId="4EF1E0FE"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vAlign w:val="bottom"/>
          </w:tcPr>
          <w:p w14:paraId="30513ECD"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401" w:type="pct"/>
            <w:tcBorders>
              <w:top w:val="nil"/>
              <w:left w:val="nil"/>
              <w:bottom w:val="nil"/>
              <w:right w:val="nil"/>
            </w:tcBorders>
            <w:vAlign w:val="bottom"/>
          </w:tcPr>
          <w:p w14:paraId="37E2FFBC"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vAlign w:val="bottom"/>
          </w:tcPr>
          <w:p w14:paraId="1A79B128"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r>
      <w:tr w:rsidR="004E2F51" w:rsidRPr="004275B9" w14:paraId="7DF6DBEA" w14:textId="77777777" w:rsidTr="00E032FC">
        <w:trPr>
          <w:trHeight w:val="189"/>
          <w:jc w:val="center"/>
        </w:trPr>
        <w:tc>
          <w:tcPr>
            <w:tcW w:w="888" w:type="pct"/>
            <w:vAlign w:val="bottom"/>
          </w:tcPr>
          <w:p w14:paraId="68C472A7" w14:textId="77777777" w:rsidR="004E2F51" w:rsidRPr="004275B9" w:rsidRDefault="004E2F51" w:rsidP="00E032FC">
            <w:pPr>
              <w:tabs>
                <w:tab w:val="right" w:pos="1202"/>
              </w:tabs>
              <w:outlineLvl w:val="0"/>
              <w:rPr>
                <w:rFonts w:ascii="Arial" w:eastAsia="Calibri" w:hAnsi="Arial" w:cs="Arial"/>
                <w:color w:val="000000" w:themeColor="text1"/>
                <w:sz w:val="14"/>
                <w:szCs w:val="14"/>
                <w:lang w:val="hr-HR"/>
              </w:rPr>
            </w:pPr>
            <w:bookmarkStart w:id="1615" w:name="_Toc67329833"/>
            <w:r w:rsidRPr="004275B9">
              <w:rPr>
                <w:rFonts w:ascii="Arial" w:eastAsia="Calibri" w:hAnsi="Arial" w:cs="Arial"/>
                <w:color w:val="000000" w:themeColor="text1"/>
                <w:sz w:val="14"/>
                <w:szCs w:val="14"/>
                <w:lang w:val="hr-HR"/>
              </w:rPr>
              <w:t>Krediti financijskim institucijama</w:t>
            </w:r>
            <w:bookmarkEnd w:id="1615"/>
          </w:p>
        </w:tc>
        <w:tc>
          <w:tcPr>
            <w:tcW w:w="319" w:type="pct"/>
            <w:tcBorders>
              <w:top w:val="nil"/>
              <w:left w:val="nil"/>
              <w:bottom w:val="nil"/>
              <w:right w:val="nil"/>
            </w:tcBorders>
            <w:shd w:val="clear" w:color="auto" w:fill="auto"/>
            <w:vAlign w:val="bottom"/>
          </w:tcPr>
          <w:p w14:paraId="536F66FB"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6.706.507 </w:t>
            </w:r>
          </w:p>
        </w:tc>
        <w:tc>
          <w:tcPr>
            <w:tcW w:w="318" w:type="pct"/>
            <w:tcBorders>
              <w:top w:val="nil"/>
              <w:left w:val="nil"/>
              <w:bottom w:val="nil"/>
              <w:right w:val="nil"/>
            </w:tcBorders>
            <w:shd w:val="clear" w:color="auto" w:fill="auto"/>
            <w:vAlign w:val="bottom"/>
          </w:tcPr>
          <w:p w14:paraId="73CE7DC0"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275.864 </w:t>
            </w:r>
          </w:p>
        </w:tc>
        <w:tc>
          <w:tcPr>
            <w:tcW w:w="315" w:type="pct"/>
            <w:tcBorders>
              <w:top w:val="nil"/>
              <w:left w:val="nil"/>
              <w:bottom w:val="nil"/>
              <w:right w:val="nil"/>
            </w:tcBorders>
            <w:shd w:val="clear" w:color="auto" w:fill="auto"/>
            <w:vAlign w:val="bottom"/>
          </w:tcPr>
          <w:p w14:paraId="53BB3565"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2.341 </w:t>
            </w:r>
          </w:p>
        </w:tc>
        <w:tc>
          <w:tcPr>
            <w:tcW w:w="306" w:type="pct"/>
            <w:tcBorders>
              <w:top w:val="nil"/>
              <w:left w:val="nil"/>
              <w:bottom w:val="nil"/>
              <w:right w:val="nil"/>
            </w:tcBorders>
            <w:shd w:val="clear" w:color="auto" w:fill="auto"/>
            <w:vAlign w:val="bottom"/>
          </w:tcPr>
          <w:p w14:paraId="4FFC4D44"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32" w:type="pct"/>
            <w:tcBorders>
              <w:top w:val="nil"/>
              <w:left w:val="nil"/>
              <w:bottom w:val="nil"/>
              <w:right w:val="nil"/>
            </w:tcBorders>
            <w:shd w:val="clear" w:color="auto" w:fill="auto"/>
            <w:vAlign w:val="bottom"/>
          </w:tcPr>
          <w:p w14:paraId="1D2D00EC"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55" w:type="pct"/>
            <w:tcBorders>
              <w:top w:val="nil"/>
              <w:left w:val="nil"/>
              <w:bottom w:val="nil"/>
              <w:right w:val="nil"/>
            </w:tcBorders>
            <w:shd w:val="clear" w:color="auto" w:fill="auto"/>
            <w:vAlign w:val="bottom"/>
          </w:tcPr>
          <w:p w14:paraId="628921B1"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6.984.712 </w:t>
            </w:r>
          </w:p>
        </w:tc>
        <w:tc>
          <w:tcPr>
            <w:tcW w:w="352" w:type="pct"/>
            <w:tcBorders>
              <w:top w:val="nil"/>
              <w:left w:val="nil"/>
              <w:bottom w:val="nil"/>
              <w:right w:val="nil"/>
            </w:tcBorders>
            <w:vAlign w:val="bottom"/>
          </w:tcPr>
          <w:p w14:paraId="41DE79D6"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vAlign w:val="bottom"/>
          </w:tcPr>
          <w:p w14:paraId="0EF4EE39"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vAlign w:val="bottom"/>
          </w:tcPr>
          <w:p w14:paraId="6563AE43"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vAlign w:val="bottom"/>
          </w:tcPr>
          <w:p w14:paraId="3C212AF7"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401" w:type="pct"/>
            <w:tcBorders>
              <w:top w:val="nil"/>
              <w:left w:val="nil"/>
              <w:bottom w:val="nil"/>
              <w:right w:val="nil"/>
            </w:tcBorders>
            <w:vAlign w:val="bottom"/>
          </w:tcPr>
          <w:p w14:paraId="5F7A0B6A"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vAlign w:val="bottom"/>
          </w:tcPr>
          <w:p w14:paraId="6814B87F"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r>
      <w:tr w:rsidR="004E2F51" w:rsidRPr="004275B9" w14:paraId="1F8DF525" w14:textId="77777777" w:rsidTr="00E032FC">
        <w:trPr>
          <w:trHeight w:val="189"/>
          <w:jc w:val="center"/>
        </w:trPr>
        <w:tc>
          <w:tcPr>
            <w:tcW w:w="888" w:type="pct"/>
            <w:vAlign w:val="bottom"/>
          </w:tcPr>
          <w:p w14:paraId="025FA2E9" w14:textId="77777777" w:rsidR="004E2F51" w:rsidRPr="004275B9" w:rsidRDefault="004E2F51" w:rsidP="00E032FC">
            <w:pPr>
              <w:tabs>
                <w:tab w:val="right" w:pos="1202"/>
              </w:tabs>
              <w:outlineLvl w:val="0"/>
              <w:rPr>
                <w:rFonts w:ascii="Arial" w:eastAsia="Calibri" w:hAnsi="Arial" w:cs="Arial"/>
                <w:color w:val="000000" w:themeColor="text1"/>
                <w:sz w:val="14"/>
                <w:szCs w:val="14"/>
                <w:lang w:val="hr-HR"/>
              </w:rPr>
            </w:pPr>
            <w:bookmarkStart w:id="1616" w:name="_Toc67329834"/>
            <w:r w:rsidRPr="004275B9">
              <w:rPr>
                <w:rFonts w:ascii="Arial" w:eastAsia="Calibri" w:hAnsi="Arial" w:cs="Arial"/>
                <w:color w:val="000000" w:themeColor="text1"/>
                <w:sz w:val="14"/>
                <w:szCs w:val="14"/>
                <w:lang w:val="hr-HR"/>
              </w:rPr>
              <w:t>Krediti ostalim korisnicima</w:t>
            </w:r>
            <w:bookmarkEnd w:id="1616"/>
          </w:p>
        </w:tc>
        <w:tc>
          <w:tcPr>
            <w:tcW w:w="319" w:type="pct"/>
            <w:tcBorders>
              <w:top w:val="nil"/>
              <w:left w:val="nil"/>
              <w:bottom w:val="nil"/>
              <w:right w:val="nil"/>
            </w:tcBorders>
            <w:shd w:val="clear" w:color="auto" w:fill="auto"/>
            <w:vAlign w:val="bottom"/>
          </w:tcPr>
          <w:p w14:paraId="29F984B6"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13.637.783 </w:t>
            </w:r>
          </w:p>
        </w:tc>
        <w:tc>
          <w:tcPr>
            <w:tcW w:w="318" w:type="pct"/>
            <w:tcBorders>
              <w:top w:val="nil"/>
              <w:left w:val="nil"/>
              <w:bottom w:val="nil"/>
              <w:right w:val="nil"/>
            </w:tcBorders>
            <w:shd w:val="clear" w:color="auto" w:fill="auto"/>
            <w:vAlign w:val="bottom"/>
          </w:tcPr>
          <w:p w14:paraId="6464F935"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1.434.690 </w:t>
            </w:r>
          </w:p>
        </w:tc>
        <w:tc>
          <w:tcPr>
            <w:tcW w:w="315" w:type="pct"/>
            <w:tcBorders>
              <w:top w:val="nil"/>
              <w:left w:val="nil"/>
              <w:bottom w:val="nil"/>
              <w:right w:val="nil"/>
            </w:tcBorders>
            <w:shd w:val="clear" w:color="auto" w:fill="auto"/>
            <w:vAlign w:val="bottom"/>
          </w:tcPr>
          <w:p w14:paraId="10B954DA"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1.145.398 </w:t>
            </w:r>
          </w:p>
        </w:tc>
        <w:tc>
          <w:tcPr>
            <w:tcW w:w="306" w:type="pct"/>
            <w:tcBorders>
              <w:top w:val="nil"/>
              <w:left w:val="nil"/>
              <w:bottom w:val="nil"/>
              <w:right w:val="nil"/>
            </w:tcBorders>
            <w:shd w:val="clear" w:color="auto" w:fill="auto"/>
            <w:vAlign w:val="bottom"/>
          </w:tcPr>
          <w:p w14:paraId="30F8E692"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1.184.795 </w:t>
            </w:r>
          </w:p>
        </w:tc>
        <w:tc>
          <w:tcPr>
            <w:tcW w:w="332" w:type="pct"/>
            <w:tcBorders>
              <w:top w:val="nil"/>
              <w:left w:val="nil"/>
              <w:bottom w:val="nil"/>
              <w:right w:val="nil"/>
            </w:tcBorders>
            <w:shd w:val="clear" w:color="auto" w:fill="auto"/>
            <w:vAlign w:val="bottom"/>
          </w:tcPr>
          <w:p w14:paraId="57B22B6E"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55" w:type="pct"/>
            <w:tcBorders>
              <w:top w:val="nil"/>
              <w:left w:val="nil"/>
              <w:bottom w:val="nil"/>
              <w:right w:val="nil"/>
            </w:tcBorders>
            <w:shd w:val="clear" w:color="auto" w:fill="auto"/>
            <w:vAlign w:val="bottom"/>
          </w:tcPr>
          <w:p w14:paraId="6939043C"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17.402.666 </w:t>
            </w:r>
          </w:p>
        </w:tc>
        <w:tc>
          <w:tcPr>
            <w:tcW w:w="352" w:type="pct"/>
            <w:tcBorders>
              <w:top w:val="nil"/>
              <w:left w:val="nil"/>
              <w:bottom w:val="nil"/>
              <w:right w:val="nil"/>
            </w:tcBorders>
            <w:vAlign w:val="bottom"/>
          </w:tcPr>
          <w:p w14:paraId="4B645381"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2.318.955 </w:t>
            </w:r>
          </w:p>
        </w:tc>
        <w:tc>
          <w:tcPr>
            <w:tcW w:w="353" w:type="pct"/>
            <w:tcBorders>
              <w:top w:val="nil"/>
              <w:left w:val="nil"/>
              <w:bottom w:val="nil"/>
              <w:right w:val="nil"/>
            </w:tcBorders>
            <w:vAlign w:val="bottom"/>
          </w:tcPr>
          <w:p w14:paraId="62E4504E"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140.046 </w:t>
            </w:r>
          </w:p>
        </w:tc>
        <w:tc>
          <w:tcPr>
            <w:tcW w:w="353" w:type="pct"/>
            <w:tcBorders>
              <w:top w:val="nil"/>
              <w:left w:val="nil"/>
              <w:bottom w:val="nil"/>
              <w:right w:val="nil"/>
            </w:tcBorders>
            <w:vAlign w:val="bottom"/>
          </w:tcPr>
          <w:p w14:paraId="6BE9B55F"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104.570 </w:t>
            </w:r>
          </w:p>
        </w:tc>
        <w:tc>
          <w:tcPr>
            <w:tcW w:w="353" w:type="pct"/>
            <w:tcBorders>
              <w:top w:val="nil"/>
              <w:left w:val="nil"/>
              <w:bottom w:val="nil"/>
              <w:right w:val="nil"/>
            </w:tcBorders>
            <w:vAlign w:val="bottom"/>
          </w:tcPr>
          <w:p w14:paraId="7FDFF312"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173.746 </w:t>
            </w:r>
          </w:p>
        </w:tc>
        <w:tc>
          <w:tcPr>
            <w:tcW w:w="401" w:type="pct"/>
            <w:tcBorders>
              <w:top w:val="nil"/>
              <w:left w:val="nil"/>
              <w:bottom w:val="nil"/>
              <w:right w:val="nil"/>
            </w:tcBorders>
            <w:vAlign w:val="bottom"/>
          </w:tcPr>
          <w:p w14:paraId="4D7CF997"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vAlign w:val="bottom"/>
          </w:tcPr>
          <w:p w14:paraId="4E800007"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2.737.317 </w:t>
            </w:r>
          </w:p>
        </w:tc>
      </w:tr>
      <w:tr w:rsidR="004E2F51" w:rsidRPr="004275B9" w14:paraId="5449643E" w14:textId="77777777" w:rsidTr="00E032FC">
        <w:trPr>
          <w:trHeight w:val="189"/>
          <w:jc w:val="center"/>
        </w:trPr>
        <w:tc>
          <w:tcPr>
            <w:tcW w:w="888" w:type="pct"/>
            <w:vAlign w:val="bottom"/>
          </w:tcPr>
          <w:p w14:paraId="240255CC" w14:textId="77777777" w:rsidR="004E2F51" w:rsidRPr="004275B9" w:rsidRDefault="004E2F51" w:rsidP="00E032FC">
            <w:pPr>
              <w:tabs>
                <w:tab w:val="right" w:pos="1202"/>
              </w:tabs>
              <w:outlineLvl w:val="0"/>
              <w:rPr>
                <w:rFonts w:ascii="Arial" w:eastAsia="Calibri" w:hAnsi="Arial" w:cs="Arial"/>
                <w:color w:val="000000" w:themeColor="text1"/>
                <w:sz w:val="14"/>
                <w:szCs w:val="14"/>
                <w:lang w:val="hr-HR"/>
              </w:rPr>
            </w:pPr>
            <w:bookmarkStart w:id="1617" w:name="_Toc67329835"/>
            <w:r w:rsidRPr="004275B9">
              <w:rPr>
                <w:rFonts w:ascii="Arial" w:eastAsia="Calibri" w:hAnsi="Arial" w:cs="Arial"/>
                <w:color w:val="000000" w:themeColor="text1"/>
                <w:sz w:val="14"/>
                <w:szCs w:val="14"/>
                <w:lang w:val="hr-HR"/>
              </w:rPr>
              <w:t>Financijska imovina po fer vrijednosti kroz dobit ili gubitak</w:t>
            </w:r>
            <w:bookmarkEnd w:id="1617"/>
          </w:p>
        </w:tc>
        <w:tc>
          <w:tcPr>
            <w:tcW w:w="319" w:type="pct"/>
            <w:tcBorders>
              <w:top w:val="nil"/>
              <w:left w:val="nil"/>
              <w:bottom w:val="nil"/>
              <w:right w:val="nil"/>
            </w:tcBorders>
            <w:shd w:val="clear" w:color="auto" w:fill="auto"/>
            <w:vAlign w:val="bottom"/>
          </w:tcPr>
          <w:p w14:paraId="08A24649" w14:textId="77777777" w:rsidR="004E2F51" w:rsidRPr="004275B9" w:rsidRDefault="004E2F51" w:rsidP="00E032FC">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18" w:type="pct"/>
            <w:tcBorders>
              <w:top w:val="nil"/>
              <w:left w:val="nil"/>
              <w:bottom w:val="nil"/>
              <w:right w:val="nil"/>
            </w:tcBorders>
            <w:shd w:val="clear" w:color="auto" w:fill="auto"/>
            <w:vAlign w:val="bottom"/>
          </w:tcPr>
          <w:p w14:paraId="546F0375"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15" w:type="pct"/>
            <w:tcBorders>
              <w:top w:val="nil"/>
              <w:left w:val="nil"/>
              <w:bottom w:val="nil"/>
              <w:right w:val="nil"/>
            </w:tcBorders>
            <w:shd w:val="clear" w:color="auto" w:fill="auto"/>
            <w:vAlign w:val="bottom"/>
          </w:tcPr>
          <w:p w14:paraId="41E48E66"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06" w:type="pct"/>
            <w:tcBorders>
              <w:top w:val="nil"/>
              <w:left w:val="nil"/>
              <w:bottom w:val="nil"/>
              <w:right w:val="nil"/>
            </w:tcBorders>
            <w:shd w:val="clear" w:color="auto" w:fill="auto"/>
            <w:vAlign w:val="bottom"/>
          </w:tcPr>
          <w:p w14:paraId="7837B24C"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32" w:type="pct"/>
            <w:tcBorders>
              <w:top w:val="nil"/>
              <w:left w:val="nil"/>
              <w:bottom w:val="nil"/>
              <w:right w:val="nil"/>
            </w:tcBorders>
            <w:shd w:val="clear" w:color="auto" w:fill="auto"/>
            <w:vAlign w:val="bottom"/>
          </w:tcPr>
          <w:p w14:paraId="0BC0063F"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23.87</w:t>
            </w:r>
            <w:r>
              <w:rPr>
                <w:rFonts w:ascii="Arial" w:eastAsia="Calibri" w:hAnsi="Arial" w:cs="Arial"/>
                <w:color w:val="000000" w:themeColor="text1"/>
                <w:sz w:val="14"/>
                <w:szCs w:val="14"/>
                <w:lang w:val="hr-HR"/>
              </w:rPr>
              <w:t>0</w:t>
            </w:r>
            <w:r w:rsidRPr="000D6F0B">
              <w:rPr>
                <w:rFonts w:ascii="Arial" w:eastAsia="Calibri" w:hAnsi="Arial" w:cs="Arial"/>
                <w:color w:val="000000" w:themeColor="text1"/>
                <w:sz w:val="14"/>
                <w:szCs w:val="14"/>
                <w:lang w:val="hr-HR"/>
              </w:rPr>
              <w:t xml:space="preserve"> </w:t>
            </w:r>
          </w:p>
        </w:tc>
        <w:tc>
          <w:tcPr>
            <w:tcW w:w="355" w:type="pct"/>
            <w:tcBorders>
              <w:top w:val="nil"/>
              <w:left w:val="nil"/>
              <w:bottom w:val="nil"/>
              <w:right w:val="nil"/>
            </w:tcBorders>
            <w:shd w:val="clear" w:color="auto" w:fill="auto"/>
            <w:vAlign w:val="bottom"/>
          </w:tcPr>
          <w:p w14:paraId="60BC6372"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23.87</w:t>
            </w:r>
            <w:r>
              <w:rPr>
                <w:rFonts w:ascii="Arial" w:eastAsia="Calibri" w:hAnsi="Arial" w:cs="Arial"/>
                <w:color w:val="000000" w:themeColor="text1"/>
                <w:sz w:val="14"/>
                <w:szCs w:val="14"/>
                <w:lang w:val="hr-HR"/>
              </w:rPr>
              <w:t>0</w:t>
            </w:r>
            <w:r w:rsidRPr="000D6F0B">
              <w:rPr>
                <w:rFonts w:ascii="Arial" w:eastAsia="Calibri" w:hAnsi="Arial" w:cs="Arial"/>
                <w:color w:val="000000" w:themeColor="text1"/>
                <w:sz w:val="14"/>
                <w:szCs w:val="14"/>
                <w:lang w:val="hr-HR"/>
              </w:rPr>
              <w:t xml:space="preserve"> </w:t>
            </w:r>
          </w:p>
        </w:tc>
        <w:tc>
          <w:tcPr>
            <w:tcW w:w="352" w:type="pct"/>
            <w:tcBorders>
              <w:top w:val="nil"/>
              <w:left w:val="nil"/>
              <w:bottom w:val="nil"/>
              <w:right w:val="nil"/>
            </w:tcBorders>
            <w:vAlign w:val="bottom"/>
          </w:tcPr>
          <w:p w14:paraId="363FEDF9"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vAlign w:val="bottom"/>
          </w:tcPr>
          <w:p w14:paraId="4D992FF7"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vAlign w:val="bottom"/>
          </w:tcPr>
          <w:p w14:paraId="08D1EDA7"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vAlign w:val="bottom"/>
          </w:tcPr>
          <w:p w14:paraId="7896C7C0"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401" w:type="pct"/>
            <w:tcBorders>
              <w:top w:val="nil"/>
              <w:left w:val="nil"/>
              <w:bottom w:val="nil"/>
              <w:right w:val="nil"/>
            </w:tcBorders>
            <w:shd w:val="clear" w:color="auto" w:fill="auto"/>
            <w:vAlign w:val="bottom"/>
          </w:tcPr>
          <w:p w14:paraId="4B7A17C5"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shd w:val="clear" w:color="auto" w:fill="auto"/>
            <w:vAlign w:val="bottom"/>
          </w:tcPr>
          <w:p w14:paraId="25EEC6B2"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r>
      <w:tr w:rsidR="004E2F51" w:rsidRPr="004275B9" w14:paraId="7AC0C217" w14:textId="77777777" w:rsidTr="00E032FC">
        <w:trPr>
          <w:trHeight w:val="189"/>
          <w:jc w:val="center"/>
        </w:trPr>
        <w:tc>
          <w:tcPr>
            <w:tcW w:w="888" w:type="pct"/>
            <w:vAlign w:val="bottom"/>
          </w:tcPr>
          <w:p w14:paraId="1E97869A" w14:textId="77777777" w:rsidR="004E2F51" w:rsidRPr="004275B9" w:rsidRDefault="004E2F51" w:rsidP="00E032FC">
            <w:pPr>
              <w:tabs>
                <w:tab w:val="right" w:pos="1202"/>
              </w:tabs>
              <w:outlineLvl w:val="0"/>
              <w:rPr>
                <w:rFonts w:ascii="Arial" w:eastAsia="Calibri" w:hAnsi="Arial" w:cs="Arial"/>
                <w:color w:val="000000" w:themeColor="text1"/>
                <w:sz w:val="14"/>
                <w:szCs w:val="14"/>
                <w:lang w:val="hr-HR"/>
              </w:rPr>
            </w:pPr>
            <w:bookmarkStart w:id="1618" w:name="_Toc67329836"/>
            <w:r w:rsidRPr="004275B9">
              <w:rPr>
                <w:rFonts w:ascii="Arial" w:eastAsia="Calibri" w:hAnsi="Arial" w:cs="Arial"/>
                <w:color w:val="000000" w:themeColor="text1"/>
                <w:sz w:val="14"/>
                <w:szCs w:val="14"/>
                <w:lang w:val="hr-HR"/>
              </w:rPr>
              <w:t>Financijska imovina po fer vrijednosti kroz ostalu sveobuhvatnu dobit</w:t>
            </w:r>
            <w:bookmarkEnd w:id="1618"/>
          </w:p>
        </w:tc>
        <w:tc>
          <w:tcPr>
            <w:tcW w:w="319" w:type="pct"/>
            <w:tcBorders>
              <w:top w:val="nil"/>
              <w:left w:val="nil"/>
              <w:bottom w:val="nil"/>
              <w:right w:val="nil"/>
            </w:tcBorders>
            <w:shd w:val="clear" w:color="auto" w:fill="auto"/>
            <w:vAlign w:val="bottom"/>
          </w:tcPr>
          <w:p w14:paraId="361380E3"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2.631.47</w:t>
            </w:r>
            <w:r>
              <w:rPr>
                <w:rFonts w:ascii="Arial" w:eastAsia="Calibri" w:hAnsi="Arial" w:cs="Arial"/>
                <w:color w:val="000000" w:themeColor="text1"/>
                <w:sz w:val="14"/>
                <w:szCs w:val="14"/>
                <w:lang w:val="hr-HR"/>
              </w:rPr>
              <w:t>9</w:t>
            </w:r>
            <w:r w:rsidRPr="000D6F0B">
              <w:rPr>
                <w:rFonts w:ascii="Arial" w:eastAsia="Calibri" w:hAnsi="Arial" w:cs="Arial"/>
                <w:color w:val="000000" w:themeColor="text1"/>
                <w:sz w:val="14"/>
                <w:szCs w:val="14"/>
                <w:lang w:val="hr-HR"/>
              </w:rPr>
              <w:t xml:space="preserve"> </w:t>
            </w:r>
          </w:p>
        </w:tc>
        <w:tc>
          <w:tcPr>
            <w:tcW w:w="318" w:type="pct"/>
            <w:tcBorders>
              <w:top w:val="nil"/>
              <w:left w:val="nil"/>
              <w:bottom w:val="nil"/>
              <w:right w:val="nil"/>
            </w:tcBorders>
            <w:shd w:val="clear" w:color="auto" w:fill="auto"/>
            <w:vAlign w:val="bottom"/>
          </w:tcPr>
          <w:p w14:paraId="25444E1F"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496 </w:t>
            </w:r>
          </w:p>
        </w:tc>
        <w:tc>
          <w:tcPr>
            <w:tcW w:w="315" w:type="pct"/>
            <w:tcBorders>
              <w:top w:val="nil"/>
              <w:left w:val="nil"/>
              <w:bottom w:val="nil"/>
              <w:right w:val="nil"/>
            </w:tcBorders>
            <w:shd w:val="clear" w:color="auto" w:fill="auto"/>
            <w:vAlign w:val="bottom"/>
          </w:tcPr>
          <w:p w14:paraId="4875C3F1"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1.472 </w:t>
            </w:r>
          </w:p>
        </w:tc>
        <w:tc>
          <w:tcPr>
            <w:tcW w:w="306" w:type="pct"/>
            <w:tcBorders>
              <w:top w:val="nil"/>
              <w:left w:val="nil"/>
              <w:bottom w:val="nil"/>
              <w:right w:val="nil"/>
            </w:tcBorders>
            <w:shd w:val="clear" w:color="auto" w:fill="auto"/>
            <w:vAlign w:val="bottom"/>
          </w:tcPr>
          <w:p w14:paraId="68EAD5BB"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32" w:type="pct"/>
            <w:tcBorders>
              <w:top w:val="nil"/>
              <w:left w:val="nil"/>
              <w:bottom w:val="nil"/>
              <w:right w:val="nil"/>
            </w:tcBorders>
            <w:shd w:val="clear" w:color="auto" w:fill="auto"/>
            <w:vAlign w:val="bottom"/>
          </w:tcPr>
          <w:p w14:paraId="14165754"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55" w:type="pct"/>
            <w:tcBorders>
              <w:top w:val="nil"/>
              <w:left w:val="nil"/>
              <w:bottom w:val="nil"/>
              <w:right w:val="nil"/>
            </w:tcBorders>
            <w:shd w:val="clear" w:color="auto" w:fill="auto"/>
            <w:vAlign w:val="bottom"/>
          </w:tcPr>
          <w:p w14:paraId="3820F6AD"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2.633.44</w:t>
            </w:r>
            <w:r>
              <w:rPr>
                <w:rFonts w:ascii="Arial" w:eastAsia="Calibri" w:hAnsi="Arial" w:cs="Arial"/>
                <w:color w:val="000000" w:themeColor="text1"/>
                <w:sz w:val="14"/>
                <w:szCs w:val="14"/>
                <w:lang w:val="hr-HR"/>
              </w:rPr>
              <w:t>7</w:t>
            </w:r>
            <w:r w:rsidRPr="000D6F0B">
              <w:rPr>
                <w:rFonts w:ascii="Arial" w:eastAsia="Calibri" w:hAnsi="Arial" w:cs="Arial"/>
                <w:color w:val="000000" w:themeColor="text1"/>
                <w:sz w:val="14"/>
                <w:szCs w:val="14"/>
                <w:lang w:val="hr-HR"/>
              </w:rPr>
              <w:t xml:space="preserve"> </w:t>
            </w:r>
          </w:p>
        </w:tc>
        <w:tc>
          <w:tcPr>
            <w:tcW w:w="352" w:type="pct"/>
            <w:tcBorders>
              <w:top w:val="nil"/>
              <w:left w:val="nil"/>
              <w:bottom w:val="nil"/>
              <w:right w:val="nil"/>
            </w:tcBorders>
            <w:shd w:val="clear" w:color="auto" w:fill="auto"/>
            <w:vAlign w:val="bottom"/>
          </w:tcPr>
          <w:p w14:paraId="63A4176C"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2.631.478 </w:t>
            </w:r>
          </w:p>
        </w:tc>
        <w:tc>
          <w:tcPr>
            <w:tcW w:w="353" w:type="pct"/>
            <w:tcBorders>
              <w:top w:val="nil"/>
              <w:left w:val="nil"/>
              <w:bottom w:val="nil"/>
              <w:right w:val="nil"/>
            </w:tcBorders>
            <w:shd w:val="clear" w:color="auto" w:fill="auto"/>
            <w:vAlign w:val="bottom"/>
          </w:tcPr>
          <w:p w14:paraId="29237C80"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496 </w:t>
            </w:r>
          </w:p>
        </w:tc>
        <w:tc>
          <w:tcPr>
            <w:tcW w:w="353" w:type="pct"/>
            <w:tcBorders>
              <w:top w:val="nil"/>
              <w:left w:val="nil"/>
              <w:bottom w:val="nil"/>
              <w:right w:val="nil"/>
            </w:tcBorders>
            <w:shd w:val="clear" w:color="auto" w:fill="auto"/>
            <w:vAlign w:val="bottom"/>
          </w:tcPr>
          <w:p w14:paraId="516C146A"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1.472 </w:t>
            </w:r>
          </w:p>
        </w:tc>
        <w:tc>
          <w:tcPr>
            <w:tcW w:w="353" w:type="pct"/>
            <w:tcBorders>
              <w:top w:val="nil"/>
              <w:left w:val="nil"/>
              <w:bottom w:val="nil"/>
              <w:right w:val="nil"/>
            </w:tcBorders>
            <w:shd w:val="clear" w:color="auto" w:fill="auto"/>
            <w:vAlign w:val="bottom"/>
          </w:tcPr>
          <w:p w14:paraId="3A57FF26"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401" w:type="pct"/>
            <w:tcBorders>
              <w:top w:val="nil"/>
              <w:left w:val="nil"/>
              <w:bottom w:val="nil"/>
              <w:right w:val="nil"/>
            </w:tcBorders>
            <w:shd w:val="clear" w:color="auto" w:fill="auto"/>
            <w:vAlign w:val="bottom"/>
          </w:tcPr>
          <w:p w14:paraId="5CE42A12"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shd w:val="clear" w:color="auto" w:fill="auto"/>
            <w:vAlign w:val="bottom"/>
          </w:tcPr>
          <w:p w14:paraId="382EE981"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2.633.446 </w:t>
            </w:r>
          </w:p>
        </w:tc>
      </w:tr>
      <w:tr w:rsidR="004E2F51" w:rsidRPr="004275B9" w14:paraId="0D7862AB" w14:textId="77777777" w:rsidTr="00E032FC">
        <w:trPr>
          <w:trHeight w:val="189"/>
          <w:jc w:val="center"/>
        </w:trPr>
        <w:tc>
          <w:tcPr>
            <w:tcW w:w="888" w:type="pct"/>
            <w:vAlign w:val="bottom"/>
          </w:tcPr>
          <w:p w14:paraId="4FE2F074" w14:textId="77777777" w:rsidR="004E2F51" w:rsidRPr="004275B9" w:rsidRDefault="004E2F51" w:rsidP="00E032FC">
            <w:pPr>
              <w:tabs>
                <w:tab w:val="right" w:pos="1202"/>
              </w:tabs>
              <w:outlineLvl w:val="0"/>
              <w:rPr>
                <w:rFonts w:ascii="Arial" w:eastAsia="Calibri" w:hAnsi="Arial" w:cs="Arial"/>
                <w:color w:val="000000" w:themeColor="text1"/>
                <w:sz w:val="14"/>
                <w:szCs w:val="14"/>
                <w:lang w:val="hr-HR"/>
              </w:rPr>
            </w:pPr>
            <w:bookmarkStart w:id="1619" w:name="_Toc67329838"/>
            <w:r w:rsidRPr="004275B9">
              <w:rPr>
                <w:rFonts w:ascii="Arial" w:eastAsia="Calibri" w:hAnsi="Arial" w:cs="Arial"/>
                <w:color w:val="000000" w:themeColor="text1"/>
                <w:sz w:val="14"/>
                <w:szCs w:val="14"/>
                <w:lang w:val="hr-HR"/>
              </w:rPr>
              <w:t>Ostala imovina</w:t>
            </w:r>
            <w:bookmarkEnd w:id="1619"/>
          </w:p>
        </w:tc>
        <w:tc>
          <w:tcPr>
            <w:tcW w:w="319" w:type="pct"/>
            <w:tcBorders>
              <w:top w:val="nil"/>
              <w:left w:val="nil"/>
              <w:bottom w:val="single" w:sz="8" w:space="0" w:color="auto"/>
              <w:right w:val="nil"/>
            </w:tcBorders>
            <w:shd w:val="clear" w:color="auto" w:fill="auto"/>
            <w:vAlign w:val="bottom"/>
          </w:tcPr>
          <w:p w14:paraId="502F74F8"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8.228 </w:t>
            </w:r>
          </w:p>
        </w:tc>
        <w:tc>
          <w:tcPr>
            <w:tcW w:w="318" w:type="pct"/>
            <w:tcBorders>
              <w:top w:val="nil"/>
              <w:left w:val="nil"/>
              <w:bottom w:val="single" w:sz="8" w:space="0" w:color="auto"/>
              <w:right w:val="nil"/>
            </w:tcBorders>
            <w:shd w:val="clear" w:color="auto" w:fill="auto"/>
            <w:vAlign w:val="bottom"/>
          </w:tcPr>
          <w:p w14:paraId="47A73E56"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2 </w:t>
            </w:r>
          </w:p>
        </w:tc>
        <w:tc>
          <w:tcPr>
            <w:tcW w:w="315" w:type="pct"/>
            <w:tcBorders>
              <w:top w:val="nil"/>
              <w:left w:val="nil"/>
              <w:bottom w:val="single" w:sz="8" w:space="0" w:color="auto"/>
              <w:right w:val="nil"/>
            </w:tcBorders>
            <w:shd w:val="clear" w:color="auto" w:fill="auto"/>
            <w:vAlign w:val="bottom"/>
          </w:tcPr>
          <w:p w14:paraId="760F46D3"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1.430 </w:t>
            </w:r>
          </w:p>
        </w:tc>
        <w:tc>
          <w:tcPr>
            <w:tcW w:w="306" w:type="pct"/>
            <w:tcBorders>
              <w:top w:val="nil"/>
              <w:left w:val="nil"/>
              <w:bottom w:val="single" w:sz="8" w:space="0" w:color="auto"/>
              <w:right w:val="nil"/>
            </w:tcBorders>
            <w:shd w:val="clear" w:color="auto" w:fill="auto"/>
            <w:vAlign w:val="bottom"/>
          </w:tcPr>
          <w:p w14:paraId="431D07D6"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58 </w:t>
            </w:r>
          </w:p>
        </w:tc>
        <w:tc>
          <w:tcPr>
            <w:tcW w:w="332" w:type="pct"/>
            <w:tcBorders>
              <w:top w:val="nil"/>
              <w:left w:val="nil"/>
              <w:bottom w:val="single" w:sz="8" w:space="0" w:color="auto"/>
              <w:right w:val="nil"/>
            </w:tcBorders>
            <w:shd w:val="clear" w:color="auto" w:fill="auto"/>
            <w:vAlign w:val="bottom"/>
          </w:tcPr>
          <w:p w14:paraId="4BC267E5"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 </w:t>
            </w:r>
          </w:p>
        </w:tc>
        <w:tc>
          <w:tcPr>
            <w:tcW w:w="355" w:type="pct"/>
            <w:tcBorders>
              <w:top w:val="nil"/>
              <w:left w:val="nil"/>
              <w:bottom w:val="single" w:sz="8" w:space="0" w:color="auto"/>
              <w:right w:val="nil"/>
            </w:tcBorders>
            <w:shd w:val="clear" w:color="auto" w:fill="auto"/>
            <w:vAlign w:val="bottom"/>
          </w:tcPr>
          <w:p w14:paraId="7C189D25"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9.718 </w:t>
            </w:r>
          </w:p>
        </w:tc>
        <w:tc>
          <w:tcPr>
            <w:tcW w:w="352" w:type="pct"/>
            <w:tcBorders>
              <w:top w:val="nil"/>
              <w:left w:val="nil"/>
              <w:bottom w:val="single" w:sz="8" w:space="0" w:color="auto"/>
              <w:right w:val="nil"/>
            </w:tcBorders>
            <w:vAlign w:val="bottom"/>
          </w:tcPr>
          <w:p w14:paraId="5751964B"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2.139 </w:t>
            </w:r>
          </w:p>
        </w:tc>
        <w:tc>
          <w:tcPr>
            <w:tcW w:w="353" w:type="pct"/>
            <w:tcBorders>
              <w:top w:val="nil"/>
              <w:left w:val="nil"/>
              <w:bottom w:val="single" w:sz="8" w:space="0" w:color="auto"/>
              <w:right w:val="nil"/>
            </w:tcBorders>
            <w:vAlign w:val="bottom"/>
          </w:tcPr>
          <w:p w14:paraId="6FFF8CD7"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2 </w:t>
            </w:r>
          </w:p>
        </w:tc>
        <w:tc>
          <w:tcPr>
            <w:tcW w:w="353" w:type="pct"/>
            <w:tcBorders>
              <w:top w:val="nil"/>
              <w:left w:val="nil"/>
              <w:bottom w:val="single" w:sz="8" w:space="0" w:color="auto"/>
              <w:right w:val="nil"/>
            </w:tcBorders>
            <w:vAlign w:val="bottom"/>
          </w:tcPr>
          <w:p w14:paraId="39CB0CE4"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1.428 </w:t>
            </w:r>
          </w:p>
        </w:tc>
        <w:tc>
          <w:tcPr>
            <w:tcW w:w="353" w:type="pct"/>
            <w:tcBorders>
              <w:top w:val="nil"/>
              <w:left w:val="nil"/>
              <w:bottom w:val="single" w:sz="8" w:space="0" w:color="auto"/>
              <w:right w:val="nil"/>
            </w:tcBorders>
            <w:vAlign w:val="bottom"/>
          </w:tcPr>
          <w:p w14:paraId="3DBA592D"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58 </w:t>
            </w:r>
          </w:p>
        </w:tc>
        <w:tc>
          <w:tcPr>
            <w:tcW w:w="401" w:type="pct"/>
            <w:tcBorders>
              <w:top w:val="nil"/>
              <w:left w:val="nil"/>
              <w:bottom w:val="single" w:sz="8" w:space="0" w:color="auto"/>
              <w:right w:val="nil"/>
            </w:tcBorders>
            <w:vAlign w:val="bottom"/>
          </w:tcPr>
          <w:p w14:paraId="30FBDEBA" w14:textId="77777777" w:rsidR="004E2F51" w:rsidRPr="004275B9" w:rsidRDefault="004E2F51" w:rsidP="00E032FC">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53" w:type="pct"/>
            <w:tcBorders>
              <w:top w:val="nil"/>
              <w:left w:val="nil"/>
              <w:bottom w:val="single" w:sz="8" w:space="0" w:color="auto"/>
              <w:right w:val="nil"/>
            </w:tcBorders>
            <w:vAlign w:val="bottom"/>
          </w:tcPr>
          <w:p w14:paraId="499C5512" w14:textId="77777777" w:rsidR="004E2F51" w:rsidRPr="004275B9" w:rsidRDefault="004E2F51" w:rsidP="00E032FC">
            <w:pPr>
              <w:jc w:val="right"/>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 xml:space="preserve"> 3.627 </w:t>
            </w:r>
          </w:p>
        </w:tc>
      </w:tr>
      <w:tr w:rsidR="004E2F51" w:rsidRPr="004275B9" w14:paraId="7AE664C3" w14:textId="77777777" w:rsidTr="00E032FC">
        <w:trPr>
          <w:trHeight w:val="201"/>
          <w:jc w:val="center"/>
        </w:trPr>
        <w:tc>
          <w:tcPr>
            <w:tcW w:w="888" w:type="pct"/>
            <w:vAlign w:val="bottom"/>
          </w:tcPr>
          <w:p w14:paraId="5E6DE667" w14:textId="77777777" w:rsidR="004E2F51" w:rsidRPr="004275B9" w:rsidRDefault="004E2F51" w:rsidP="00E032FC">
            <w:pPr>
              <w:tabs>
                <w:tab w:val="right" w:pos="1202"/>
              </w:tabs>
              <w:spacing w:line="301" w:lineRule="exact"/>
              <w:outlineLvl w:val="0"/>
              <w:rPr>
                <w:rFonts w:ascii="Arial" w:eastAsia="Calibri" w:hAnsi="Arial" w:cs="Arial"/>
                <w:b/>
                <w:bCs/>
                <w:color w:val="000000" w:themeColor="text1"/>
                <w:sz w:val="14"/>
                <w:szCs w:val="14"/>
                <w:lang w:val="hr-HR"/>
              </w:rPr>
            </w:pPr>
            <w:bookmarkStart w:id="1620" w:name="_Toc67329839"/>
            <w:r w:rsidRPr="004275B9">
              <w:rPr>
                <w:rFonts w:ascii="Arial" w:eastAsia="Calibri" w:hAnsi="Arial" w:cs="Arial"/>
                <w:b/>
                <w:bCs/>
                <w:color w:val="000000" w:themeColor="text1"/>
                <w:sz w:val="14"/>
                <w:szCs w:val="14"/>
                <w:lang w:val="hr-HR"/>
              </w:rPr>
              <w:t>Ukupno</w:t>
            </w:r>
            <w:bookmarkEnd w:id="1620"/>
          </w:p>
        </w:tc>
        <w:tc>
          <w:tcPr>
            <w:tcW w:w="319" w:type="pct"/>
            <w:tcBorders>
              <w:top w:val="nil"/>
              <w:left w:val="nil"/>
              <w:bottom w:val="single" w:sz="12" w:space="0" w:color="auto"/>
              <w:right w:val="nil"/>
            </w:tcBorders>
            <w:shd w:val="clear" w:color="auto" w:fill="auto"/>
            <w:vAlign w:val="bottom"/>
          </w:tcPr>
          <w:p w14:paraId="392CE4AB"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24.739.09</w:t>
            </w:r>
            <w:r>
              <w:rPr>
                <w:rFonts w:ascii="Arial" w:eastAsia="Calibri" w:hAnsi="Arial" w:cs="Arial"/>
                <w:b/>
                <w:bCs/>
                <w:color w:val="000000" w:themeColor="text1"/>
                <w:sz w:val="14"/>
                <w:szCs w:val="14"/>
                <w:lang w:val="hr-HR"/>
              </w:rPr>
              <w:t>6</w:t>
            </w:r>
            <w:r w:rsidRPr="006D54AB">
              <w:rPr>
                <w:rFonts w:ascii="Arial" w:eastAsia="Calibri" w:hAnsi="Arial" w:cs="Arial"/>
                <w:b/>
                <w:bCs/>
                <w:color w:val="000000" w:themeColor="text1"/>
                <w:sz w:val="14"/>
                <w:szCs w:val="14"/>
                <w:lang w:val="hr-HR"/>
              </w:rPr>
              <w:t xml:space="preserve"> </w:t>
            </w:r>
          </w:p>
        </w:tc>
        <w:tc>
          <w:tcPr>
            <w:tcW w:w="318" w:type="pct"/>
            <w:tcBorders>
              <w:top w:val="nil"/>
              <w:left w:val="nil"/>
              <w:bottom w:val="single" w:sz="12" w:space="0" w:color="auto"/>
              <w:right w:val="nil"/>
            </w:tcBorders>
            <w:shd w:val="clear" w:color="auto" w:fill="auto"/>
            <w:vAlign w:val="bottom"/>
          </w:tcPr>
          <w:p w14:paraId="0A4D5981"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1.711.052 </w:t>
            </w:r>
          </w:p>
        </w:tc>
        <w:tc>
          <w:tcPr>
            <w:tcW w:w="315" w:type="pct"/>
            <w:tcBorders>
              <w:top w:val="nil"/>
              <w:left w:val="nil"/>
              <w:bottom w:val="single" w:sz="12" w:space="0" w:color="auto"/>
              <w:right w:val="nil"/>
            </w:tcBorders>
            <w:shd w:val="clear" w:color="auto" w:fill="auto"/>
            <w:vAlign w:val="bottom"/>
          </w:tcPr>
          <w:p w14:paraId="546F541F"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1.150.641 </w:t>
            </w:r>
          </w:p>
        </w:tc>
        <w:tc>
          <w:tcPr>
            <w:tcW w:w="306" w:type="pct"/>
            <w:tcBorders>
              <w:top w:val="nil"/>
              <w:left w:val="nil"/>
              <w:bottom w:val="single" w:sz="12" w:space="0" w:color="auto"/>
              <w:right w:val="nil"/>
            </w:tcBorders>
            <w:shd w:val="clear" w:color="auto" w:fill="auto"/>
            <w:vAlign w:val="bottom"/>
          </w:tcPr>
          <w:p w14:paraId="4DFB142F"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1.184.853 </w:t>
            </w:r>
          </w:p>
        </w:tc>
        <w:tc>
          <w:tcPr>
            <w:tcW w:w="332" w:type="pct"/>
            <w:tcBorders>
              <w:top w:val="nil"/>
              <w:left w:val="nil"/>
              <w:bottom w:val="single" w:sz="12" w:space="0" w:color="auto"/>
              <w:right w:val="nil"/>
            </w:tcBorders>
            <w:shd w:val="clear" w:color="auto" w:fill="auto"/>
            <w:vAlign w:val="bottom"/>
          </w:tcPr>
          <w:p w14:paraId="344230A2"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23.87</w:t>
            </w:r>
            <w:r>
              <w:rPr>
                <w:rFonts w:ascii="Arial" w:eastAsia="Calibri" w:hAnsi="Arial" w:cs="Arial"/>
                <w:b/>
                <w:bCs/>
                <w:color w:val="000000" w:themeColor="text1"/>
                <w:sz w:val="14"/>
                <w:szCs w:val="14"/>
                <w:lang w:val="hr-HR"/>
              </w:rPr>
              <w:t>0</w:t>
            </w:r>
            <w:r w:rsidRPr="006D54AB">
              <w:rPr>
                <w:rFonts w:ascii="Arial" w:eastAsia="Calibri" w:hAnsi="Arial" w:cs="Arial"/>
                <w:b/>
                <w:bCs/>
                <w:color w:val="000000" w:themeColor="text1"/>
                <w:sz w:val="14"/>
                <w:szCs w:val="14"/>
                <w:lang w:val="hr-HR"/>
              </w:rPr>
              <w:t xml:space="preserve"> </w:t>
            </w:r>
          </w:p>
        </w:tc>
        <w:tc>
          <w:tcPr>
            <w:tcW w:w="355" w:type="pct"/>
            <w:tcBorders>
              <w:top w:val="nil"/>
              <w:left w:val="nil"/>
              <w:bottom w:val="single" w:sz="12" w:space="0" w:color="auto"/>
              <w:right w:val="nil"/>
            </w:tcBorders>
            <w:shd w:val="clear" w:color="auto" w:fill="auto"/>
            <w:vAlign w:val="bottom"/>
          </w:tcPr>
          <w:p w14:paraId="6A507D5B"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28.809.512 </w:t>
            </w:r>
          </w:p>
        </w:tc>
        <w:tc>
          <w:tcPr>
            <w:tcW w:w="352" w:type="pct"/>
            <w:tcBorders>
              <w:top w:val="nil"/>
              <w:left w:val="nil"/>
              <w:bottom w:val="single" w:sz="12" w:space="0" w:color="auto"/>
              <w:right w:val="nil"/>
            </w:tcBorders>
            <w:vAlign w:val="bottom"/>
          </w:tcPr>
          <w:p w14:paraId="2CE60957"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4.952.572 </w:t>
            </w:r>
          </w:p>
        </w:tc>
        <w:tc>
          <w:tcPr>
            <w:tcW w:w="353" w:type="pct"/>
            <w:tcBorders>
              <w:top w:val="nil"/>
              <w:left w:val="nil"/>
              <w:bottom w:val="single" w:sz="12" w:space="0" w:color="auto"/>
              <w:right w:val="nil"/>
            </w:tcBorders>
            <w:vAlign w:val="bottom"/>
          </w:tcPr>
          <w:p w14:paraId="10011D0F"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140.544 </w:t>
            </w:r>
          </w:p>
        </w:tc>
        <w:tc>
          <w:tcPr>
            <w:tcW w:w="353" w:type="pct"/>
            <w:tcBorders>
              <w:top w:val="nil"/>
              <w:left w:val="nil"/>
              <w:bottom w:val="single" w:sz="12" w:space="0" w:color="auto"/>
              <w:right w:val="nil"/>
            </w:tcBorders>
            <w:vAlign w:val="bottom"/>
          </w:tcPr>
          <w:p w14:paraId="15C482BF"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107.470 </w:t>
            </w:r>
          </w:p>
        </w:tc>
        <w:tc>
          <w:tcPr>
            <w:tcW w:w="353" w:type="pct"/>
            <w:tcBorders>
              <w:top w:val="nil"/>
              <w:left w:val="nil"/>
              <w:bottom w:val="single" w:sz="12" w:space="0" w:color="auto"/>
              <w:right w:val="nil"/>
            </w:tcBorders>
            <w:vAlign w:val="bottom"/>
          </w:tcPr>
          <w:p w14:paraId="2ED89901"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173.804 </w:t>
            </w:r>
          </w:p>
        </w:tc>
        <w:tc>
          <w:tcPr>
            <w:tcW w:w="401" w:type="pct"/>
            <w:tcBorders>
              <w:top w:val="nil"/>
              <w:left w:val="nil"/>
              <w:bottom w:val="single" w:sz="12" w:space="0" w:color="auto"/>
              <w:right w:val="nil"/>
            </w:tcBorders>
            <w:vAlign w:val="bottom"/>
          </w:tcPr>
          <w:p w14:paraId="46727702"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 </w:t>
            </w:r>
          </w:p>
        </w:tc>
        <w:tc>
          <w:tcPr>
            <w:tcW w:w="353" w:type="pct"/>
            <w:tcBorders>
              <w:top w:val="nil"/>
              <w:left w:val="nil"/>
              <w:bottom w:val="single" w:sz="12" w:space="0" w:color="auto"/>
              <w:right w:val="nil"/>
            </w:tcBorders>
            <w:vAlign w:val="bottom"/>
          </w:tcPr>
          <w:p w14:paraId="304C51AF"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5.374.390 </w:t>
            </w:r>
          </w:p>
        </w:tc>
      </w:tr>
      <w:tr w:rsidR="004E2F51" w:rsidRPr="004275B9" w14:paraId="106C0120" w14:textId="77777777" w:rsidTr="00E032FC">
        <w:trPr>
          <w:trHeight w:val="168"/>
          <w:jc w:val="center"/>
        </w:trPr>
        <w:tc>
          <w:tcPr>
            <w:tcW w:w="888" w:type="pct"/>
            <w:vAlign w:val="bottom"/>
          </w:tcPr>
          <w:p w14:paraId="73B483E6" w14:textId="77777777" w:rsidR="004E2F51" w:rsidRPr="004275B9" w:rsidRDefault="004E2F51" w:rsidP="00E032FC">
            <w:pPr>
              <w:tabs>
                <w:tab w:val="right" w:pos="1202"/>
              </w:tabs>
              <w:spacing w:line="200" w:lineRule="exact"/>
              <w:outlineLvl w:val="0"/>
              <w:rPr>
                <w:rFonts w:ascii="Arial" w:eastAsia="Calibri" w:hAnsi="Arial" w:cs="Arial"/>
                <w:b/>
                <w:bCs/>
                <w:color w:val="000000" w:themeColor="text1"/>
                <w:sz w:val="14"/>
                <w:szCs w:val="14"/>
                <w:lang w:val="hr-HR"/>
              </w:rPr>
            </w:pPr>
            <w:bookmarkStart w:id="1621" w:name="_Toc67329840"/>
            <w:r w:rsidRPr="004275B9">
              <w:rPr>
                <w:rFonts w:ascii="Arial" w:eastAsia="Calibri" w:hAnsi="Arial" w:cs="Arial"/>
                <w:b/>
                <w:bCs/>
                <w:color w:val="000000" w:themeColor="text1"/>
                <w:sz w:val="14"/>
                <w:szCs w:val="14"/>
                <w:lang w:val="hr-HR"/>
              </w:rPr>
              <w:t>Garancije i preuzete obveze</w:t>
            </w:r>
            <w:bookmarkEnd w:id="1621"/>
          </w:p>
        </w:tc>
        <w:tc>
          <w:tcPr>
            <w:tcW w:w="319" w:type="pct"/>
            <w:tcBorders>
              <w:top w:val="nil"/>
              <w:left w:val="nil"/>
              <w:bottom w:val="nil"/>
              <w:right w:val="nil"/>
            </w:tcBorders>
            <w:shd w:val="clear" w:color="auto" w:fill="auto"/>
            <w:vAlign w:val="bottom"/>
          </w:tcPr>
          <w:p w14:paraId="6F350085" w14:textId="77777777" w:rsidR="004E2F51" w:rsidRPr="004275B9" w:rsidRDefault="004E2F51" w:rsidP="00E032FC">
            <w:pPr>
              <w:jc w:val="right"/>
              <w:rPr>
                <w:rFonts w:ascii="Arial" w:eastAsia="Calibri" w:hAnsi="Arial" w:cs="Arial"/>
                <w:color w:val="000000" w:themeColor="text1"/>
                <w:sz w:val="14"/>
                <w:szCs w:val="14"/>
                <w:lang w:val="hr-HR"/>
              </w:rPr>
            </w:pPr>
          </w:p>
        </w:tc>
        <w:tc>
          <w:tcPr>
            <w:tcW w:w="318" w:type="pct"/>
            <w:tcBorders>
              <w:top w:val="nil"/>
              <w:left w:val="nil"/>
              <w:bottom w:val="nil"/>
              <w:right w:val="nil"/>
            </w:tcBorders>
            <w:shd w:val="clear" w:color="auto" w:fill="auto"/>
            <w:vAlign w:val="bottom"/>
          </w:tcPr>
          <w:p w14:paraId="5F61D2CB" w14:textId="77777777" w:rsidR="004E2F51" w:rsidRPr="004275B9" w:rsidRDefault="004E2F51" w:rsidP="00E032FC">
            <w:pPr>
              <w:jc w:val="right"/>
              <w:rPr>
                <w:rFonts w:ascii="Arial" w:eastAsia="Calibri" w:hAnsi="Arial" w:cs="Arial"/>
                <w:color w:val="000000" w:themeColor="text1"/>
                <w:sz w:val="14"/>
                <w:szCs w:val="14"/>
                <w:lang w:val="hr-HR"/>
              </w:rPr>
            </w:pPr>
          </w:p>
        </w:tc>
        <w:tc>
          <w:tcPr>
            <w:tcW w:w="315" w:type="pct"/>
            <w:tcBorders>
              <w:top w:val="nil"/>
              <w:left w:val="nil"/>
              <w:bottom w:val="nil"/>
              <w:right w:val="nil"/>
            </w:tcBorders>
            <w:shd w:val="clear" w:color="auto" w:fill="auto"/>
            <w:vAlign w:val="bottom"/>
          </w:tcPr>
          <w:p w14:paraId="46E0A5EA" w14:textId="77777777" w:rsidR="004E2F51" w:rsidRPr="004275B9" w:rsidRDefault="004E2F51" w:rsidP="00E032FC">
            <w:pPr>
              <w:jc w:val="right"/>
              <w:rPr>
                <w:rFonts w:ascii="Arial" w:eastAsia="Calibri" w:hAnsi="Arial" w:cs="Arial"/>
                <w:color w:val="000000" w:themeColor="text1"/>
                <w:sz w:val="14"/>
                <w:szCs w:val="14"/>
                <w:lang w:val="hr-HR"/>
              </w:rPr>
            </w:pPr>
          </w:p>
        </w:tc>
        <w:tc>
          <w:tcPr>
            <w:tcW w:w="306" w:type="pct"/>
            <w:tcBorders>
              <w:top w:val="nil"/>
              <w:left w:val="nil"/>
              <w:bottom w:val="nil"/>
              <w:right w:val="nil"/>
            </w:tcBorders>
            <w:shd w:val="clear" w:color="auto" w:fill="auto"/>
            <w:vAlign w:val="bottom"/>
          </w:tcPr>
          <w:p w14:paraId="3349D8A0" w14:textId="77777777" w:rsidR="004E2F51" w:rsidRPr="004275B9" w:rsidRDefault="004E2F51" w:rsidP="00E032FC">
            <w:pPr>
              <w:jc w:val="right"/>
              <w:rPr>
                <w:rFonts w:ascii="Arial" w:eastAsia="Calibri" w:hAnsi="Arial" w:cs="Arial"/>
                <w:color w:val="000000" w:themeColor="text1"/>
                <w:sz w:val="14"/>
                <w:szCs w:val="14"/>
                <w:lang w:val="hr-HR"/>
              </w:rPr>
            </w:pPr>
          </w:p>
        </w:tc>
        <w:tc>
          <w:tcPr>
            <w:tcW w:w="332" w:type="pct"/>
            <w:tcBorders>
              <w:top w:val="nil"/>
              <w:left w:val="nil"/>
              <w:bottom w:val="nil"/>
              <w:right w:val="nil"/>
            </w:tcBorders>
            <w:shd w:val="clear" w:color="auto" w:fill="auto"/>
            <w:vAlign w:val="bottom"/>
          </w:tcPr>
          <w:p w14:paraId="33084B11" w14:textId="77777777" w:rsidR="004E2F51" w:rsidRPr="004275B9" w:rsidRDefault="004E2F51" w:rsidP="00E032FC">
            <w:pPr>
              <w:jc w:val="right"/>
              <w:rPr>
                <w:rFonts w:ascii="Arial" w:eastAsia="Calibri" w:hAnsi="Arial" w:cs="Arial"/>
                <w:color w:val="000000" w:themeColor="text1"/>
                <w:sz w:val="14"/>
                <w:szCs w:val="14"/>
                <w:lang w:val="hr-HR"/>
              </w:rPr>
            </w:pPr>
          </w:p>
        </w:tc>
        <w:tc>
          <w:tcPr>
            <w:tcW w:w="355" w:type="pct"/>
            <w:tcBorders>
              <w:top w:val="nil"/>
              <w:left w:val="nil"/>
              <w:bottom w:val="nil"/>
              <w:right w:val="nil"/>
            </w:tcBorders>
            <w:shd w:val="clear" w:color="auto" w:fill="auto"/>
            <w:vAlign w:val="bottom"/>
          </w:tcPr>
          <w:p w14:paraId="603495F4" w14:textId="77777777" w:rsidR="004E2F51" w:rsidRPr="004275B9" w:rsidRDefault="004E2F51" w:rsidP="00E032FC">
            <w:pPr>
              <w:jc w:val="right"/>
              <w:rPr>
                <w:rFonts w:ascii="Arial" w:eastAsia="Calibri" w:hAnsi="Arial" w:cs="Arial"/>
                <w:color w:val="000000" w:themeColor="text1"/>
                <w:sz w:val="14"/>
                <w:szCs w:val="14"/>
                <w:lang w:val="hr-HR"/>
              </w:rPr>
            </w:pPr>
          </w:p>
        </w:tc>
        <w:tc>
          <w:tcPr>
            <w:tcW w:w="352" w:type="pct"/>
            <w:tcBorders>
              <w:top w:val="nil"/>
              <w:left w:val="nil"/>
              <w:bottom w:val="nil"/>
              <w:right w:val="nil"/>
            </w:tcBorders>
            <w:vAlign w:val="bottom"/>
          </w:tcPr>
          <w:p w14:paraId="5C69961E" w14:textId="77777777" w:rsidR="004E2F51" w:rsidRPr="004275B9" w:rsidRDefault="004E2F51" w:rsidP="00E032FC">
            <w:pPr>
              <w:jc w:val="right"/>
              <w:rPr>
                <w:rFonts w:ascii="Arial" w:eastAsia="Calibri" w:hAnsi="Arial" w:cs="Arial"/>
                <w:color w:val="000000" w:themeColor="text1"/>
                <w:sz w:val="14"/>
                <w:szCs w:val="14"/>
                <w:lang w:val="hr-HR"/>
              </w:rPr>
            </w:pPr>
          </w:p>
        </w:tc>
        <w:tc>
          <w:tcPr>
            <w:tcW w:w="353" w:type="pct"/>
            <w:tcBorders>
              <w:top w:val="nil"/>
              <w:left w:val="nil"/>
              <w:bottom w:val="nil"/>
              <w:right w:val="nil"/>
            </w:tcBorders>
            <w:vAlign w:val="bottom"/>
          </w:tcPr>
          <w:p w14:paraId="59B0ECFD" w14:textId="77777777" w:rsidR="004E2F51" w:rsidRPr="004275B9" w:rsidRDefault="004E2F51" w:rsidP="00E032FC">
            <w:pPr>
              <w:jc w:val="right"/>
              <w:rPr>
                <w:rFonts w:ascii="Arial" w:eastAsia="Calibri" w:hAnsi="Arial" w:cs="Arial"/>
                <w:color w:val="000000" w:themeColor="text1"/>
                <w:sz w:val="14"/>
                <w:szCs w:val="14"/>
                <w:lang w:val="hr-HR"/>
              </w:rPr>
            </w:pPr>
          </w:p>
        </w:tc>
        <w:tc>
          <w:tcPr>
            <w:tcW w:w="353" w:type="pct"/>
            <w:tcBorders>
              <w:top w:val="nil"/>
              <w:left w:val="nil"/>
              <w:bottom w:val="nil"/>
              <w:right w:val="nil"/>
            </w:tcBorders>
            <w:vAlign w:val="bottom"/>
          </w:tcPr>
          <w:p w14:paraId="73809BEB" w14:textId="77777777" w:rsidR="004E2F51" w:rsidRPr="004275B9" w:rsidRDefault="004E2F51" w:rsidP="00E032FC">
            <w:pPr>
              <w:jc w:val="right"/>
              <w:rPr>
                <w:rFonts w:ascii="Arial" w:eastAsia="Calibri" w:hAnsi="Arial" w:cs="Arial"/>
                <w:color w:val="000000" w:themeColor="text1"/>
                <w:sz w:val="14"/>
                <w:szCs w:val="14"/>
                <w:lang w:val="hr-HR"/>
              </w:rPr>
            </w:pPr>
          </w:p>
        </w:tc>
        <w:tc>
          <w:tcPr>
            <w:tcW w:w="353" w:type="pct"/>
            <w:tcBorders>
              <w:top w:val="nil"/>
              <w:left w:val="nil"/>
              <w:bottom w:val="nil"/>
              <w:right w:val="nil"/>
            </w:tcBorders>
            <w:vAlign w:val="bottom"/>
          </w:tcPr>
          <w:p w14:paraId="27EA89CC" w14:textId="77777777" w:rsidR="004E2F51" w:rsidRPr="004275B9" w:rsidRDefault="004E2F51" w:rsidP="00E032FC">
            <w:pPr>
              <w:jc w:val="right"/>
              <w:rPr>
                <w:rFonts w:ascii="Arial" w:eastAsia="Calibri" w:hAnsi="Arial" w:cs="Arial"/>
                <w:color w:val="000000" w:themeColor="text1"/>
                <w:sz w:val="14"/>
                <w:szCs w:val="14"/>
                <w:lang w:val="hr-HR"/>
              </w:rPr>
            </w:pPr>
          </w:p>
        </w:tc>
        <w:tc>
          <w:tcPr>
            <w:tcW w:w="401" w:type="pct"/>
            <w:tcBorders>
              <w:top w:val="nil"/>
              <w:left w:val="nil"/>
              <w:bottom w:val="nil"/>
              <w:right w:val="nil"/>
            </w:tcBorders>
            <w:vAlign w:val="bottom"/>
          </w:tcPr>
          <w:p w14:paraId="6BB521A9" w14:textId="77777777" w:rsidR="004E2F51" w:rsidRPr="004275B9" w:rsidRDefault="004E2F51" w:rsidP="00E032FC">
            <w:pPr>
              <w:jc w:val="right"/>
              <w:rPr>
                <w:rFonts w:ascii="Arial" w:eastAsia="Calibri" w:hAnsi="Arial" w:cs="Arial"/>
                <w:color w:val="000000" w:themeColor="text1"/>
                <w:sz w:val="14"/>
                <w:szCs w:val="14"/>
                <w:lang w:val="hr-HR"/>
              </w:rPr>
            </w:pPr>
          </w:p>
        </w:tc>
        <w:tc>
          <w:tcPr>
            <w:tcW w:w="353" w:type="pct"/>
            <w:tcBorders>
              <w:top w:val="nil"/>
              <w:left w:val="nil"/>
              <w:bottom w:val="nil"/>
              <w:right w:val="nil"/>
            </w:tcBorders>
            <w:vAlign w:val="bottom"/>
          </w:tcPr>
          <w:p w14:paraId="1ED94656" w14:textId="77777777" w:rsidR="004E2F51" w:rsidRPr="004275B9" w:rsidRDefault="004E2F51" w:rsidP="00E032FC">
            <w:pPr>
              <w:jc w:val="right"/>
              <w:rPr>
                <w:rFonts w:ascii="Arial" w:eastAsia="Calibri" w:hAnsi="Arial" w:cs="Arial"/>
                <w:color w:val="000000" w:themeColor="text1"/>
                <w:sz w:val="14"/>
                <w:szCs w:val="14"/>
                <w:lang w:val="hr-HR"/>
              </w:rPr>
            </w:pPr>
          </w:p>
        </w:tc>
      </w:tr>
      <w:tr w:rsidR="004E2F51" w:rsidRPr="004275B9" w14:paraId="4823F341" w14:textId="77777777" w:rsidTr="00E032FC">
        <w:trPr>
          <w:trHeight w:val="189"/>
          <w:jc w:val="center"/>
        </w:trPr>
        <w:tc>
          <w:tcPr>
            <w:tcW w:w="888" w:type="pct"/>
            <w:vAlign w:val="bottom"/>
          </w:tcPr>
          <w:p w14:paraId="1A73DEBA" w14:textId="77777777" w:rsidR="004E2F51" w:rsidRPr="004275B9" w:rsidRDefault="004E2F51" w:rsidP="00E032FC">
            <w:pPr>
              <w:tabs>
                <w:tab w:val="right" w:pos="1202"/>
              </w:tabs>
              <w:outlineLvl w:val="0"/>
              <w:rPr>
                <w:rFonts w:ascii="Arial" w:eastAsia="Calibri" w:hAnsi="Arial" w:cs="Arial"/>
                <w:b/>
                <w:bCs/>
                <w:color w:val="000000" w:themeColor="text1"/>
                <w:sz w:val="14"/>
                <w:szCs w:val="14"/>
                <w:lang w:val="hr-HR"/>
              </w:rPr>
            </w:pPr>
            <w:bookmarkStart w:id="1622" w:name="_Toc67329841"/>
            <w:r w:rsidRPr="004275B9">
              <w:rPr>
                <w:rFonts w:ascii="Arial" w:eastAsia="Calibri" w:hAnsi="Arial" w:cs="Arial"/>
                <w:color w:val="000000" w:themeColor="text1"/>
                <w:sz w:val="14"/>
                <w:szCs w:val="14"/>
                <w:lang w:val="hr-HR"/>
              </w:rPr>
              <w:t>Izdane garancije u kunama</w:t>
            </w:r>
            <w:bookmarkEnd w:id="1622"/>
          </w:p>
        </w:tc>
        <w:tc>
          <w:tcPr>
            <w:tcW w:w="319" w:type="pct"/>
            <w:tcBorders>
              <w:top w:val="nil"/>
              <w:left w:val="nil"/>
              <w:bottom w:val="nil"/>
              <w:right w:val="nil"/>
            </w:tcBorders>
            <w:shd w:val="clear" w:color="auto" w:fill="auto"/>
            <w:vAlign w:val="bottom"/>
          </w:tcPr>
          <w:p w14:paraId="6A343E97"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22.390 </w:t>
            </w:r>
          </w:p>
        </w:tc>
        <w:tc>
          <w:tcPr>
            <w:tcW w:w="318" w:type="pct"/>
            <w:tcBorders>
              <w:top w:val="nil"/>
              <w:left w:val="nil"/>
              <w:bottom w:val="nil"/>
              <w:right w:val="nil"/>
            </w:tcBorders>
            <w:shd w:val="clear" w:color="auto" w:fill="auto"/>
            <w:vAlign w:val="bottom"/>
          </w:tcPr>
          <w:p w14:paraId="71520975"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2.574 </w:t>
            </w:r>
          </w:p>
        </w:tc>
        <w:tc>
          <w:tcPr>
            <w:tcW w:w="315" w:type="pct"/>
            <w:tcBorders>
              <w:top w:val="nil"/>
              <w:left w:val="nil"/>
              <w:bottom w:val="nil"/>
              <w:right w:val="nil"/>
            </w:tcBorders>
            <w:shd w:val="clear" w:color="auto" w:fill="auto"/>
            <w:vAlign w:val="bottom"/>
          </w:tcPr>
          <w:p w14:paraId="7341CF34"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61.506 </w:t>
            </w:r>
          </w:p>
        </w:tc>
        <w:tc>
          <w:tcPr>
            <w:tcW w:w="306" w:type="pct"/>
            <w:tcBorders>
              <w:top w:val="nil"/>
              <w:left w:val="nil"/>
              <w:bottom w:val="nil"/>
              <w:right w:val="nil"/>
            </w:tcBorders>
            <w:shd w:val="clear" w:color="auto" w:fill="auto"/>
            <w:vAlign w:val="bottom"/>
          </w:tcPr>
          <w:p w14:paraId="3EB6E7EA"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32" w:type="pct"/>
            <w:tcBorders>
              <w:top w:val="nil"/>
              <w:left w:val="nil"/>
              <w:bottom w:val="nil"/>
              <w:right w:val="nil"/>
            </w:tcBorders>
            <w:shd w:val="clear" w:color="auto" w:fill="auto"/>
            <w:vAlign w:val="bottom"/>
          </w:tcPr>
          <w:p w14:paraId="09EBD6C0"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55" w:type="pct"/>
            <w:tcBorders>
              <w:top w:val="nil"/>
              <w:left w:val="nil"/>
              <w:bottom w:val="nil"/>
              <w:right w:val="nil"/>
            </w:tcBorders>
            <w:shd w:val="clear" w:color="auto" w:fill="auto"/>
            <w:vAlign w:val="bottom"/>
          </w:tcPr>
          <w:p w14:paraId="379A35F4"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86.470 </w:t>
            </w:r>
          </w:p>
        </w:tc>
        <w:tc>
          <w:tcPr>
            <w:tcW w:w="352" w:type="pct"/>
            <w:tcBorders>
              <w:top w:val="nil"/>
              <w:left w:val="nil"/>
              <w:bottom w:val="nil"/>
              <w:right w:val="nil"/>
            </w:tcBorders>
            <w:vAlign w:val="bottom"/>
          </w:tcPr>
          <w:p w14:paraId="32149FF1"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20.517 </w:t>
            </w:r>
          </w:p>
        </w:tc>
        <w:tc>
          <w:tcPr>
            <w:tcW w:w="353" w:type="pct"/>
            <w:tcBorders>
              <w:top w:val="nil"/>
              <w:left w:val="nil"/>
              <w:bottom w:val="nil"/>
              <w:right w:val="nil"/>
            </w:tcBorders>
            <w:vAlign w:val="bottom"/>
          </w:tcPr>
          <w:p w14:paraId="5C48B345"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7 </w:t>
            </w:r>
          </w:p>
        </w:tc>
        <w:tc>
          <w:tcPr>
            <w:tcW w:w="353" w:type="pct"/>
            <w:tcBorders>
              <w:top w:val="nil"/>
              <w:left w:val="nil"/>
              <w:bottom w:val="nil"/>
              <w:right w:val="nil"/>
            </w:tcBorders>
            <w:vAlign w:val="bottom"/>
          </w:tcPr>
          <w:p w14:paraId="6C124C49"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36.831 </w:t>
            </w:r>
          </w:p>
        </w:tc>
        <w:tc>
          <w:tcPr>
            <w:tcW w:w="353" w:type="pct"/>
            <w:tcBorders>
              <w:top w:val="nil"/>
              <w:left w:val="nil"/>
              <w:bottom w:val="nil"/>
              <w:right w:val="nil"/>
            </w:tcBorders>
            <w:vAlign w:val="bottom"/>
          </w:tcPr>
          <w:p w14:paraId="15056DC8"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401" w:type="pct"/>
            <w:tcBorders>
              <w:top w:val="nil"/>
              <w:left w:val="nil"/>
              <w:bottom w:val="nil"/>
              <w:right w:val="nil"/>
            </w:tcBorders>
            <w:vAlign w:val="bottom"/>
          </w:tcPr>
          <w:p w14:paraId="0C513C72"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vAlign w:val="bottom"/>
          </w:tcPr>
          <w:p w14:paraId="23888A07"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57.355 </w:t>
            </w:r>
          </w:p>
        </w:tc>
      </w:tr>
      <w:tr w:rsidR="004E2F51" w:rsidRPr="004275B9" w14:paraId="0BDC38AF" w14:textId="77777777" w:rsidTr="00E032FC">
        <w:trPr>
          <w:trHeight w:val="189"/>
          <w:jc w:val="center"/>
        </w:trPr>
        <w:tc>
          <w:tcPr>
            <w:tcW w:w="888" w:type="pct"/>
            <w:vAlign w:val="bottom"/>
          </w:tcPr>
          <w:p w14:paraId="2637CDBF" w14:textId="77777777" w:rsidR="004E2F51" w:rsidRPr="004275B9" w:rsidRDefault="004E2F51" w:rsidP="00E032FC">
            <w:pPr>
              <w:tabs>
                <w:tab w:val="right" w:pos="1202"/>
              </w:tabs>
              <w:outlineLvl w:val="0"/>
              <w:rPr>
                <w:rFonts w:ascii="Arial" w:eastAsia="Calibri" w:hAnsi="Arial" w:cs="Arial"/>
                <w:color w:val="000000" w:themeColor="text1"/>
                <w:sz w:val="14"/>
                <w:szCs w:val="14"/>
                <w:lang w:val="hr-HR"/>
              </w:rPr>
            </w:pPr>
            <w:bookmarkStart w:id="1623" w:name="_Toc67329842"/>
            <w:r w:rsidRPr="004275B9">
              <w:rPr>
                <w:rFonts w:ascii="Arial" w:eastAsia="Calibri" w:hAnsi="Arial" w:cs="Arial"/>
                <w:color w:val="000000" w:themeColor="text1"/>
                <w:sz w:val="14"/>
                <w:szCs w:val="14"/>
                <w:lang w:val="hr-HR"/>
              </w:rPr>
              <w:t>Izdane garancije u devizama</w:t>
            </w:r>
            <w:bookmarkEnd w:id="1623"/>
          </w:p>
        </w:tc>
        <w:tc>
          <w:tcPr>
            <w:tcW w:w="319" w:type="pct"/>
            <w:tcBorders>
              <w:top w:val="nil"/>
              <w:left w:val="nil"/>
              <w:bottom w:val="nil"/>
              <w:right w:val="nil"/>
            </w:tcBorders>
            <w:shd w:val="clear" w:color="auto" w:fill="auto"/>
            <w:vAlign w:val="bottom"/>
          </w:tcPr>
          <w:p w14:paraId="45DCD6A7"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97.756 </w:t>
            </w:r>
          </w:p>
        </w:tc>
        <w:tc>
          <w:tcPr>
            <w:tcW w:w="318" w:type="pct"/>
            <w:tcBorders>
              <w:top w:val="nil"/>
              <w:left w:val="nil"/>
              <w:bottom w:val="nil"/>
              <w:right w:val="nil"/>
            </w:tcBorders>
            <w:shd w:val="clear" w:color="auto" w:fill="auto"/>
            <w:vAlign w:val="bottom"/>
          </w:tcPr>
          <w:p w14:paraId="44239C56"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317 </w:t>
            </w:r>
          </w:p>
        </w:tc>
        <w:tc>
          <w:tcPr>
            <w:tcW w:w="315" w:type="pct"/>
            <w:tcBorders>
              <w:top w:val="nil"/>
              <w:left w:val="nil"/>
              <w:bottom w:val="nil"/>
              <w:right w:val="nil"/>
            </w:tcBorders>
            <w:shd w:val="clear" w:color="auto" w:fill="auto"/>
            <w:vAlign w:val="bottom"/>
          </w:tcPr>
          <w:p w14:paraId="253156A7"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64.443 </w:t>
            </w:r>
          </w:p>
        </w:tc>
        <w:tc>
          <w:tcPr>
            <w:tcW w:w="306" w:type="pct"/>
            <w:tcBorders>
              <w:top w:val="nil"/>
              <w:left w:val="nil"/>
              <w:bottom w:val="nil"/>
              <w:right w:val="nil"/>
            </w:tcBorders>
            <w:shd w:val="clear" w:color="auto" w:fill="auto"/>
            <w:vAlign w:val="bottom"/>
          </w:tcPr>
          <w:p w14:paraId="70D5FC1D"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32" w:type="pct"/>
            <w:tcBorders>
              <w:top w:val="nil"/>
              <w:left w:val="nil"/>
              <w:bottom w:val="nil"/>
              <w:right w:val="nil"/>
            </w:tcBorders>
            <w:shd w:val="clear" w:color="auto" w:fill="auto"/>
            <w:vAlign w:val="bottom"/>
          </w:tcPr>
          <w:p w14:paraId="5C35CE42"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55" w:type="pct"/>
            <w:tcBorders>
              <w:top w:val="nil"/>
              <w:left w:val="nil"/>
              <w:bottom w:val="nil"/>
              <w:right w:val="nil"/>
            </w:tcBorders>
            <w:shd w:val="clear" w:color="auto" w:fill="auto"/>
            <w:vAlign w:val="bottom"/>
          </w:tcPr>
          <w:p w14:paraId="17369F35"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162.516 </w:t>
            </w:r>
          </w:p>
        </w:tc>
        <w:tc>
          <w:tcPr>
            <w:tcW w:w="352" w:type="pct"/>
            <w:tcBorders>
              <w:top w:val="nil"/>
              <w:left w:val="nil"/>
              <w:bottom w:val="nil"/>
              <w:right w:val="nil"/>
            </w:tcBorders>
            <w:vAlign w:val="bottom"/>
          </w:tcPr>
          <w:p w14:paraId="258676F1"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96.454 </w:t>
            </w:r>
          </w:p>
        </w:tc>
        <w:tc>
          <w:tcPr>
            <w:tcW w:w="353" w:type="pct"/>
            <w:tcBorders>
              <w:top w:val="nil"/>
              <w:left w:val="nil"/>
              <w:bottom w:val="nil"/>
              <w:right w:val="nil"/>
            </w:tcBorders>
            <w:vAlign w:val="bottom"/>
          </w:tcPr>
          <w:p w14:paraId="328DC85A"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vAlign w:val="bottom"/>
          </w:tcPr>
          <w:p w14:paraId="044C0582"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30.609 </w:t>
            </w:r>
          </w:p>
        </w:tc>
        <w:tc>
          <w:tcPr>
            <w:tcW w:w="353" w:type="pct"/>
            <w:tcBorders>
              <w:top w:val="nil"/>
              <w:left w:val="nil"/>
              <w:bottom w:val="nil"/>
              <w:right w:val="nil"/>
            </w:tcBorders>
            <w:vAlign w:val="bottom"/>
          </w:tcPr>
          <w:p w14:paraId="737BF369"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401" w:type="pct"/>
            <w:tcBorders>
              <w:top w:val="nil"/>
              <w:left w:val="nil"/>
              <w:bottom w:val="nil"/>
              <w:right w:val="nil"/>
            </w:tcBorders>
            <w:vAlign w:val="bottom"/>
          </w:tcPr>
          <w:p w14:paraId="75360345"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53" w:type="pct"/>
            <w:tcBorders>
              <w:top w:val="nil"/>
              <w:left w:val="nil"/>
              <w:bottom w:val="nil"/>
              <w:right w:val="nil"/>
            </w:tcBorders>
            <w:vAlign w:val="bottom"/>
          </w:tcPr>
          <w:p w14:paraId="34285F49"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127.063 </w:t>
            </w:r>
          </w:p>
        </w:tc>
      </w:tr>
      <w:tr w:rsidR="004E2F51" w:rsidRPr="004275B9" w14:paraId="676D542A" w14:textId="77777777" w:rsidTr="00E032FC">
        <w:trPr>
          <w:trHeight w:val="189"/>
          <w:jc w:val="center"/>
        </w:trPr>
        <w:tc>
          <w:tcPr>
            <w:tcW w:w="888" w:type="pct"/>
            <w:vAlign w:val="bottom"/>
          </w:tcPr>
          <w:p w14:paraId="1A7737CA" w14:textId="77777777" w:rsidR="004E2F51" w:rsidRPr="004275B9" w:rsidRDefault="004E2F51" w:rsidP="00E032FC">
            <w:pPr>
              <w:tabs>
                <w:tab w:val="right" w:pos="1202"/>
              </w:tabs>
              <w:outlineLvl w:val="0"/>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Otvoreni akreditivi u devizama</w:t>
            </w:r>
          </w:p>
        </w:tc>
        <w:tc>
          <w:tcPr>
            <w:tcW w:w="319" w:type="pct"/>
            <w:tcBorders>
              <w:top w:val="nil"/>
              <w:left w:val="nil"/>
              <w:bottom w:val="nil"/>
              <w:right w:val="nil"/>
            </w:tcBorders>
            <w:shd w:val="clear" w:color="auto" w:fill="auto"/>
            <w:vAlign w:val="bottom"/>
          </w:tcPr>
          <w:p w14:paraId="6AA40C48"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18" w:type="pct"/>
            <w:tcBorders>
              <w:top w:val="nil"/>
              <w:left w:val="nil"/>
              <w:bottom w:val="nil"/>
              <w:right w:val="nil"/>
            </w:tcBorders>
            <w:shd w:val="clear" w:color="auto" w:fill="auto"/>
            <w:vAlign w:val="bottom"/>
          </w:tcPr>
          <w:p w14:paraId="3278266F"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15" w:type="pct"/>
            <w:tcBorders>
              <w:top w:val="nil"/>
              <w:left w:val="nil"/>
              <w:bottom w:val="nil"/>
              <w:right w:val="nil"/>
            </w:tcBorders>
            <w:shd w:val="clear" w:color="auto" w:fill="auto"/>
            <w:vAlign w:val="bottom"/>
          </w:tcPr>
          <w:p w14:paraId="466748F7"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06" w:type="pct"/>
            <w:tcBorders>
              <w:top w:val="nil"/>
              <w:left w:val="nil"/>
              <w:bottom w:val="nil"/>
              <w:right w:val="nil"/>
            </w:tcBorders>
            <w:shd w:val="clear" w:color="auto" w:fill="auto"/>
            <w:vAlign w:val="bottom"/>
          </w:tcPr>
          <w:p w14:paraId="03670101"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32" w:type="pct"/>
            <w:tcBorders>
              <w:top w:val="nil"/>
              <w:left w:val="nil"/>
              <w:bottom w:val="nil"/>
              <w:right w:val="nil"/>
            </w:tcBorders>
            <w:shd w:val="clear" w:color="auto" w:fill="auto"/>
            <w:vAlign w:val="bottom"/>
          </w:tcPr>
          <w:p w14:paraId="219E2B9A"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1.243 </w:t>
            </w:r>
          </w:p>
        </w:tc>
        <w:tc>
          <w:tcPr>
            <w:tcW w:w="355" w:type="pct"/>
            <w:tcBorders>
              <w:top w:val="nil"/>
              <w:left w:val="nil"/>
              <w:bottom w:val="nil"/>
              <w:right w:val="nil"/>
            </w:tcBorders>
            <w:shd w:val="clear" w:color="auto" w:fill="auto"/>
            <w:vAlign w:val="bottom"/>
          </w:tcPr>
          <w:p w14:paraId="4BFB7B2D"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1.243 </w:t>
            </w:r>
          </w:p>
        </w:tc>
        <w:tc>
          <w:tcPr>
            <w:tcW w:w="352" w:type="pct"/>
            <w:tcBorders>
              <w:top w:val="nil"/>
              <w:left w:val="nil"/>
              <w:bottom w:val="nil"/>
              <w:right w:val="nil"/>
            </w:tcBorders>
            <w:vAlign w:val="bottom"/>
          </w:tcPr>
          <w:p w14:paraId="09B14B16" w14:textId="77777777" w:rsidR="004E2F51" w:rsidRPr="004275B9" w:rsidRDefault="004E2F51" w:rsidP="00E032FC">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53" w:type="pct"/>
            <w:tcBorders>
              <w:top w:val="nil"/>
              <w:left w:val="nil"/>
              <w:bottom w:val="nil"/>
              <w:right w:val="nil"/>
            </w:tcBorders>
            <w:vAlign w:val="bottom"/>
          </w:tcPr>
          <w:p w14:paraId="719A4762" w14:textId="77777777" w:rsidR="004E2F51" w:rsidRPr="004275B9" w:rsidRDefault="004E2F51" w:rsidP="00E032FC">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53" w:type="pct"/>
            <w:tcBorders>
              <w:top w:val="nil"/>
              <w:left w:val="nil"/>
              <w:bottom w:val="nil"/>
              <w:right w:val="nil"/>
            </w:tcBorders>
            <w:vAlign w:val="bottom"/>
          </w:tcPr>
          <w:p w14:paraId="46B163E0" w14:textId="77777777" w:rsidR="004E2F51" w:rsidRPr="004275B9" w:rsidRDefault="004E2F51" w:rsidP="00E032FC">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53" w:type="pct"/>
            <w:tcBorders>
              <w:top w:val="nil"/>
              <w:left w:val="nil"/>
              <w:bottom w:val="nil"/>
              <w:right w:val="nil"/>
            </w:tcBorders>
            <w:vAlign w:val="bottom"/>
          </w:tcPr>
          <w:p w14:paraId="1E516A29" w14:textId="77777777" w:rsidR="004E2F51" w:rsidRPr="004275B9" w:rsidRDefault="004E2F51" w:rsidP="00E032FC">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401" w:type="pct"/>
            <w:tcBorders>
              <w:top w:val="nil"/>
              <w:left w:val="nil"/>
              <w:bottom w:val="nil"/>
              <w:right w:val="nil"/>
            </w:tcBorders>
            <w:vAlign w:val="bottom"/>
          </w:tcPr>
          <w:p w14:paraId="34625BF2" w14:textId="77777777" w:rsidR="004E2F51" w:rsidRPr="004275B9" w:rsidRDefault="004E2F51" w:rsidP="00E032FC">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53" w:type="pct"/>
            <w:tcBorders>
              <w:top w:val="nil"/>
              <w:left w:val="nil"/>
              <w:bottom w:val="nil"/>
              <w:right w:val="nil"/>
            </w:tcBorders>
            <w:vAlign w:val="bottom"/>
          </w:tcPr>
          <w:p w14:paraId="3C6E1D78"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r>
      <w:tr w:rsidR="004E2F51" w:rsidRPr="004275B9" w14:paraId="3042D7C8" w14:textId="77777777" w:rsidTr="00E032FC">
        <w:trPr>
          <w:trHeight w:val="189"/>
          <w:jc w:val="center"/>
        </w:trPr>
        <w:tc>
          <w:tcPr>
            <w:tcW w:w="888" w:type="pct"/>
            <w:vAlign w:val="bottom"/>
          </w:tcPr>
          <w:p w14:paraId="6842CBB6" w14:textId="77777777" w:rsidR="004E2F51" w:rsidRPr="004275B9" w:rsidRDefault="004E2F51" w:rsidP="00E032FC">
            <w:pPr>
              <w:tabs>
                <w:tab w:val="right" w:pos="1202"/>
              </w:tabs>
              <w:outlineLvl w:val="0"/>
              <w:rPr>
                <w:rFonts w:ascii="Arial" w:eastAsia="Calibri" w:hAnsi="Arial" w:cs="Arial"/>
                <w:color w:val="000000" w:themeColor="text1"/>
                <w:sz w:val="14"/>
                <w:szCs w:val="14"/>
                <w:lang w:val="hr-HR"/>
              </w:rPr>
            </w:pPr>
            <w:bookmarkStart w:id="1624" w:name="_Toc67329844"/>
            <w:r w:rsidRPr="004275B9">
              <w:rPr>
                <w:rFonts w:ascii="Arial" w:eastAsia="Calibri" w:hAnsi="Arial" w:cs="Arial"/>
                <w:color w:val="000000" w:themeColor="text1"/>
                <w:sz w:val="14"/>
                <w:szCs w:val="14"/>
                <w:lang w:val="hr-HR"/>
              </w:rPr>
              <w:t>Preuzete obveze po kreditima</w:t>
            </w:r>
            <w:bookmarkEnd w:id="1624"/>
          </w:p>
        </w:tc>
        <w:tc>
          <w:tcPr>
            <w:tcW w:w="319" w:type="pct"/>
            <w:tcBorders>
              <w:top w:val="nil"/>
              <w:left w:val="nil"/>
              <w:bottom w:val="single" w:sz="6" w:space="0" w:color="auto"/>
              <w:right w:val="nil"/>
            </w:tcBorders>
            <w:shd w:val="clear" w:color="auto" w:fill="auto"/>
            <w:vAlign w:val="bottom"/>
          </w:tcPr>
          <w:p w14:paraId="658DFA01"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2.449.837 </w:t>
            </w:r>
          </w:p>
        </w:tc>
        <w:tc>
          <w:tcPr>
            <w:tcW w:w="318" w:type="pct"/>
            <w:tcBorders>
              <w:top w:val="nil"/>
              <w:left w:val="nil"/>
              <w:bottom w:val="single" w:sz="6" w:space="0" w:color="auto"/>
              <w:right w:val="nil"/>
            </w:tcBorders>
            <w:shd w:val="clear" w:color="auto" w:fill="auto"/>
            <w:vAlign w:val="bottom"/>
          </w:tcPr>
          <w:p w14:paraId="12BCDFFE"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73.847 </w:t>
            </w:r>
          </w:p>
        </w:tc>
        <w:tc>
          <w:tcPr>
            <w:tcW w:w="315" w:type="pct"/>
            <w:tcBorders>
              <w:top w:val="nil"/>
              <w:left w:val="nil"/>
              <w:bottom w:val="single" w:sz="6" w:space="0" w:color="auto"/>
              <w:right w:val="nil"/>
            </w:tcBorders>
            <w:shd w:val="clear" w:color="auto" w:fill="auto"/>
            <w:vAlign w:val="bottom"/>
          </w:tcPr>
          <w:p w14:paraId="72E9CEC4"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06" w:type="pct"/>
            <w:tcBorders>
              <w:top w:val="nil"/>
              <w:left w:val="nil"/>
              <w:bottom w:val="single" w:sz="6" w:space="0" w:color="auto"/>
              <w:right w:val="nil"/>
            </w:tcBorders>
            <w:shd w:val="clear" w:color="auto" w:fill="auto"/>
            <w:vAlign w:val="bottom"/>
          </w:tcPr>
          <w:p w14:paraId="0EAE1796"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124.247 </w:t>
            </w:r>
          </w:p>
        </w:tc>
        <w:tc>
          <w:tcPr>
            <w:tcW w:w="332" w:type="pct"/>
            <w:tcBorders>
              <w:top w:val="nil"/>
              <w:left w:val="nil"/>
              <w:bottom w:val="single" w:sz="6" w:space="0" w:color="auto"/>
              <w:right w:val="nil"/>
            </w:tcBorders>
            <w:shd w:val="clear" w:color="auto" w:fill="auto"/>
            <w:vAlign w:val="bottom"/>
          </w:tcPr>
          <w:p w14:paraId="47CB9C00"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55" w:type="pct"/>
            <w:tcBorders>
              <w:top w:val="nil"/>
              <w:left w:val="nil"/>
              <w:bottom w:val="single" w:sz="6" w:space="0" w:color="auto"/>
              <w:right w:val="nil"/>
            </w:tcBorders>
            <w:shd w:val="clear" w:color="auto" w:fill="auto"/>
            <w:vAlign w:val="bottom"/>
          </w:tcPr>
          <w:p w14:paraId="692C82EA"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2.647.931 </w:t>
            </w:r>
          </w:p>
        </w:tc>
        <w:tc>
          <w:tcPr>
            <w:tcW w:w="352" w:type="pct"/>
            <w:tcBorders>
              <w:top w:val="nil"/>
              <w:left w:val="nil"/>
              <w:bottom w:val="single" w:sz="6" w:space="0" w:color="auto"/>
              <w:right w:val="nil"/>
            </w:tcBorders>
            <w:vAlign w:val="bottom"/>
          </w:tcPr>
          <w:p w14:paraId="6BA73FD2"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455.003 </w:t>
            </w:r>
          </w:p>
        </w:tc>
        <w:tc>
          <w:tcPr>
            <w:tcW w:w="353" w:type="pct"/>
            <w:tcBorders>
              <w:top w:val="nil"/>
              <w:left w:val="nil"/>
              <w:bottom w:val="single" w:sz="6" w:space="0" w:color="auto"/>
              <w:right w:val="nil"/>
            </w:tcBorders>
            <w:vAlign w:val="bottom"/>
          </w:tcPr>
          <w:p w14:paraId="0A483BF3"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9.758 </w:t>
            </w:r>
          </w:p>
        </w:tc>
        <w:tc>
          <w:tcPr>
            <w:tcW w:w="353" w:type="pct"/>
            <w:tcBorders>
              <w:top w:val="nil"/>
              <w:left w:val="nil"/>
              <w:bottom w:val="single" w:sz="6" w:space="0" w:color="auto"/>
              <w:right w:val="nil"/>
            </w:tcBorders>
            <w:vAlign w:val="bottom"/>
          </w:tcPr>
          <w:p w14:paraId="1030990B"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53" w:type="pct"/>
            <w:tcBorders>
              <w:top w:val="nil"/>
              <w:left w:val="nil"/>
              <w:bottom w:val="single" w:sz="6" w:space="0" w:color="auto"/>
              <w:right w:val="nil"/>
            </w:tcBorders>
            <w:vAlign w:val="bottom"/>
          </w:tcPr>
          <w:p w14:paraId="336C0494"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401" w:type="pct"/>
            <w:tcBorders>
              <w:top w:val="nil"/>
              <w:left w:val="nil"/>
              <w:bottom w:val="single" w:sz="6" w:space="0" w:color="auto"/>
              <w:right w:val="nil"/>
            </w:tcBorders>
            <w:vAlign w:val="bottom"/>
          </w:tcPr>
          <w:p w14:paraId="51F8637A"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53" w:type="pct"/>
            <w:tcBorders>
              <w:top w:val="nil"/>
              <w:left w:val="nil"/>
              <w:bottom w:val="single" w:sz="6" w:space="0" w:color="auto"/>
              <w:right w:val="nil"/>
            </w:tcBorders>
            <w:vAlign w:val="bottom"/>
          </w:tcPr>
          <w:p w14:paraId="410D24A0" w14:textId="77777777" w:rsidR="004E2F51" w:rsidRPr="004275B9"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464.761 </w:t>
            </w:r>
          </w:p>
        </w:tc>
      </w:tr>
      <w:tr w:rsidR="004E2F51" w:rsidRPr="004275B9" w14:paraId="566CCB01" w14:textId="77777777" w:rsidTr="00E032FC">
        <w:trPr>
          <w:trHeight w:val="267"/>
          <w:jc w:val="center"/>
        </w:trPr>
        <w:tc>
          <w:tcPr>
            <w:tcW w:w="888" w:type="pct"/>
            <w:vAlign w:val="bottom"/>
          </w:tcPr>
          <w:p w14:paraId="0F5CDC57" w14:textId="77777777" w:rsidR="004E2F51" w:rsidRPr="004275B9" w:rsidRDefault="004E2F51" w:rsidP="00E032FC">
            <w:pPr>
              <w:tabs>
                <w:tab w:val="right" w:pos="1202"/>
              </w:tabs>
              <w:spacing w:line="301" w:lineRule="exact"/>
              <w:outlineLvl w:val="0"/>
              <w:rPr>
                <w:rFonts w:ascii="Arial" w:eastAsia="Calibri" w:hAnsi="Arial" w:cs="Arial"/>
                <w:b/>
                <w:bCs/>
                <w:color w:val="000000" w:themeColor="text1"/>
                <w:sz w:val="14"/>
                <w:szCs w:val="14"/>
                <w:lang w:val="hr-HR"/>
              </w:rPr>
            </w:pPr>
            <w:bookmarkStart w:id="1625" w:name="_Toc67329846"/>
            <w:r w:rsidRPr="004275B9">
              <w:rPr>
                <w:rFonts w:ascii="Arial" w:eastAsia="Calibri" w:hAnsi="Arial" w:cs="Arial"/>
                <w:b/>
                <w:bCs/>
                <w:color w:val="000000" w:themeColor="text1"/>
                <w:sz w:val="14"/>
                <w:szCs w:val="14"/>
                <w:lang w:val="hr-HR"/>
              </w:rPr>
              <w:t>Ukupno</w:t>
            </w:r>
            <w:bookmarkEnd w:id="1625"/>
          </w:p>
        </w:tc>
        <w:tc>
          <w:tcPr>
            <w:tcW w:w="319" w:type="pct"/>
            <w:tcBorders>
              <w:top w:val="single" w:sz="6" w:space="0" w:color="auto"/>
              <w:left w:val="nil"/>
              <w:bottom w:val="single" w:sz="12" w:space="0" w:color="auto"/>
              <w:right w:val="nil"/>
            </w:tcBorders>
            <w:shd w:val="clear" w:color="auto" w:fill="auto"/>
            <w:vAlign w:val="bottom"/>
          </w:tcPr>
          <w:p w14:paraId="787DB06C" w14:textId="77777777" w:rsidR="004E2F51" w:rsidRPr="004275B9" w:rsidRDefault="004E2F51" w:rsidP="00E032FC">
            <w:pPr>
              <w:jc w:val="right"/>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2.569.983 </w:t>
            </w:r>
          </w:p>
        </w:tc>
        <w:tc>
          <w:tcPr>
            <w:tcW w:w="318" w:type="pct"/>
            <w:tcBorders>
              <w:top w:val="single" w:sz="6" w:space="0" w:color="auto"/>
              <w:left w:val="nil"/>
              <w:bottom w:val="single" w:sz="12" w:space="0" w:color="auto"/>
              <w:right w:val="nil"/>
            </w:tcBorders>
            <w:shd w:val="clear" w:color="auto" w:fill="auto"/>
            <w:vAlign w:val="bottom"/>
          </w:tcPr>
          <w:p w14:paraId="08E60FA1" w14:textId="77777777" w:rsidR="004E2F51" w:rsidRPr="004275B9" w:rsidRDefault="004E2F51" w:rsidP="00E032FC">
            <w:pPr>
              <w:jc w:val="right"/>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76.738 </w:t>
            </w:r>
          </w:p>
        </w:tc>
        <w:tc>
          <w:tcPr>
            <w:tcW w:w="315" w:type="pct"/>
            <w:tcBorders>
              <w:top w:val="single" w:sz="6" w:space="0" w:color="auto"/>
              <w:left w:val="nil"/>
              <w:bottom w:val="single" w:sz="12" w:space="0" w:color="auto"/>
              <w:right w:val="nil"/>
            </w:tcBorders>
            <w:shd w:val="clear" w:color="auto" w:fill="auto"/>
            <w:vAlign w:val="bottom"/>
          </w:tcPr>
          <w:p w14:paraId="7CF258A5" w14:textId="77777777" w:rsidR="004E2F51" w:rsidRPr="004275B9" w:rsidRDefault="004E2F51" w:rsidP="00E032FC">
            <w:pPr>
              <w:jc w:val="right"/>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125.949 </w:t>
            </w:r>
          </w:p>
        </w:tc>
        <w:tc>
          <w:tcPr>
            <w:tcW w:w="306" w:type="pct"/>
            <w:tcBorders>
              <w:top w:val="single" w:sz="6" w:space="0" w:color="auto"/>
              <w:left w:val="nil"/>
              <w:bottom w:val="single" w:sz="12" w:space="0" w:color="auto"/>
              <w:right w:val="nil"/>
            </w:tcBorders>
            <w:shd w:val="clear" w:color="auto" w:fill="auto"/>
            <w:vAlign w:val="bottom"/>
          </w:tcPr>
          <w:p w14:paraId="783FA4E1" w14:textId="77777777" w:rsidR="004E2F51" w:rsidRPr="004275B9" w:rsidRDefault="004E2F51" w:rsidP="00E032FC">
            <w:pPr>
              <w:jc w:val="right"/>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124.247 </w:t>
            </w:r>
          </w:p>
        </w:tc>
        <w:tc>
          <w:tcPr>
            <w:tcW w:w="332" w:type="pct"/>
            <w:tcBorders>
              <w:top w:val="single" w:sz="6" w:space="0" w:color="auto"/>
              <w:left w:val="nil"/>
              <w:bottom w:val="single" w:sz="12" w:space="0" w:color="auto"/>
              <w:right w:val="nil"/>
            </w:tcBorders>
            <w:shd w:val="clear" w:color="auto" w:fill="auto"/>
            <w:vAlign w:val="bottom"/>
          </w:tcPr>
          <w:p w14:paraId="3CA53E28" w14:textId="77777777" w:rsidR="004E2F51" w:rsidRPr="004275B9" w:rsidRDefault="004E2F51" w:rsidP="00E032FC">
            <w:pPr>
              <w:jc w:val="right"/>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1.243 </w:t>
            </w:r>
          </w:p>
        </w:tc>
        <w:tc>
          <w:tcPr>
            <w:tcW w:w="355" w:type="pct"/>
            <w:tcBorders>
              <w:top w:val="single" w:sz="6" w:space="0" w:color="auto"/>
              <w:left w:val="nil"/>
              <w:bottom w:val="single" w:sz="12" w:space="0" w:color="auto"/>
              <w:right w:val="nil"/>
            </w:tcBorders>
            <w:shd w:val="clear" w:color="auto" w:fill="auto"/>
            <w:vAlign w:val="bottom"/>
          </w:tcPr>
          <w:p w14:paraId="2A4E4618" w14:textId="77777777" w:rsidR="004E2F51" w:rsidRPr="004275B9" w:rsidRDefault="004E2F51" w:rsidP="00E032FC">
            <w:pPr>
              <w:jc w:val="right"/>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2.898.160 </w:t>
            </w:r>
          </w:p>
        </w:tc>
        <w:tc>
          <w:tcPr>
            <w:tcW w:w="352" w:type="pct"/>
            <w:tcBorders>
              <w:top w:val="single" w:sz="6" w:space="0" w:color="auto"/>
              <w:left w:val="nil"/>
              <w:bottom w:val="single" w:sz="12" w:space="0" w:color="auto"/>
              <w:right w:val="nil"/>
            </w:tcBorders>
            <w:vAlign w:val="bottom"/>
          </w:tcPr>
          <w:p w14:paraId="17E3DE17" w14:textId="77777777" w:rsidR="004E2F51" w:rsidRPr="004275B9" w:rsidRDefault="004E2F51" w:rsidP="00E032FC">
            <w:pPr>
              <w:jc w:val="right"/>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571.974 </w:t>
            </w:r>
          </w:p>
        </w:tc>
        <w:tc>
          <w:tcPr>
            <w:tcW w:w="353" w:type="pct"/>
            <w:tcBorders>
              <w:top w:val="single" w:sz="6" w:space="0" w:color="auto"/>
              <w:left w:val="nil"/>
              <w:bottom w:val="single" w:sz="12" w:space="0" w:color="auto"/>
              <w:right w:val="nil"/>
            </w:tcBorders>
            <w:vAlign w:val="bottom"/>
          </w:tcPr>
          <w:p w14:paraId="1BCBC3E4" w14:textId="77777777" w:rsidR="004E2F51" w:rsidRPr="004275B9" w:rsidRDefault="004E2F51" w:rsidP="00E032FC">
            <w:pPr>
              <w:jc w:val="right"/>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9.765 </w:t>
            </w:r>
          </w:p>
        </w:tc>
        <w:tc>
          <w:tcPr>
            <w:tcW w:w="353" w:type="pct"/>
            <w:tcBorders>
              <w:top w:val="single" w:sz="6" w:space="0" w:color="auto"/>
              <w:left w:val="nil"/>
              <w:bottom w:val="single" w:sz="12" w:space="0" w:color="auto"/>
              <w:right w:val="nil"/>
            </w:tcBorders>
            <w:vAlign w:val="bottom"/>
          </w:tcPr>
          <w:p w14:paraId="7326C9C2" w14:textId="77777777" w:rsidR="004E2F51" w:rsidRPr="004275B9" w:rsidRDefault="004E2F51" w:rsidP="00E032FC">
            <w:pPr>
              <w:jc w:val="right"/>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67.440 </w:t>
            </w:r>
          </w:p>
        </w:tc>
        <w:tc>
          <w:tcPr>
            <w:tcW w:w="353" w:type="pct"/>
            <w:tcBorders>
              <w:top w:val="single" w:sz="6" w:space="0" w:color="auto"/>
              <w:left w:val="nil"/>
              <w:bottom w:val="single" w:sz="12" w:space="0" w:color="auto"/>
              <w:right w:val="nil"/>
            </w:tcBorders>
            <w:vAlign w:val="bottom"/>
          </w:tcPr>
          <w:p w14:paraId="3216FFB4" w14:textId="77777777" w:rsidR="004E2F51" w:rsidRPr="004275B9" w:rsidRDefault="004E2F51" w:rsidP="00E032FC">
            <w:pPr>
              <w:jc w:val="right"/>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 </w:t>
            </w:r>
          </w:p>
        </w:tc>
        <w:tc>
          <w:tcPr>
            <w:tcW w:w="401" w:type="pct"/>
            <w:tcBorders>
              <w:top w:val="single" w:sz="6" w:space="0" w:color="auto"/>
              <w:left w:val="nil"/>
              <w:bottom w:val="single" w:sz="12" w:space="0" w:color="auto"/>
              <w:right w:val="nil"/>
            </w:tcBorders>
            <w:vAlign w:val="bottom"/>
          </w:tcPr>
          <w:p w14:paraId="375C6958" w14:textId="77777777" w:rsidR="004E2F51" w:rsidRPr="004275B9" w:rsidRDefault="004E2F51" w:rsidP="00E032FC">
            <w:pPr>
              <w:jc w:val="right"/>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 </w:t>
            </w:r>
          </w:p>
        </w:tc>
        <w:tc>
          <w:tcPr>
            <w:tcW w:w="353" w:type="pct"/>
            <w:tcBorders>
              <w:top w:val="single" w:sz="6" w:space="0" w:color="auto"/>
              <w:left w:val="nil"/>
              <w:bottom w:val="single" w:sz="12" w:space="0" w:color="auto"/>
              <w:right w:val="nil"/>
            </w:tcBorders>
            <w:vAlign w:val="bottom"/>
          </w:tcPr>
          <w:p w14:paraId="6F421D59" w14:textId="77777777" w:rsidR="004E2F51" w:rsidRPr="004275B9" w:rsidRDefault="004E2F51" w:rsidP="00E032FC">
            <w:pPr>
              <w:jc w:val="right"/>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649.179 </w:t>
            </w:r>
          </w:p>
        </w:tc>
      </w:tr>
      <w:tr w:rsidR="004E2F51" w:rsidRPr="004275B9" w14:paraId="4513A586" w14:textId="77777777" w:rsidTr="00E032FC">
        <w:trPr>
          <w:trHeight w:val="55"/>
          <w:jc w:val="center"/>
        </w:trPr>
        <w:tc>
          <w:tcPr>
            <w:tcW w:w="888" w:type="pct"/>
            <w:vAlign w:val="bottom"/>
          </w:tcPr>
          <w:p w14:paraId="26B4BFF4" w14:textId="77777777" w:rsidR="004E2F51" w:rsidRPr="004275B9" w:rsidRDefault="004E2F51" w:rsidP="00E032FC">
            <w:pPr>
              <w:tabs>
                <w:tab w:val="right" w:pos="1202"/>
              </w:tabs>
              <w:spacing w:line="301" w:lineRule="exact"/>
              <w:outlineLvl w:val="0"/>
              <w:rPr>
                <w:rFonts w:ascii="Arial" w:eastAsia="Calibri" w:hAnsi="Arial" w:cs="Arial"/>
                <w:b/>
                <w:bCs/>
                <w:color w:val="000000" w:themeColor="text1"/>
                <w:sz w:val="14"/>
                <w:szCs w:val="14"/>
                <w:lang w:val="hr-HR"/>
              </w:rPr>
            </w:pPr>
            <w:bookmarkStart w:id="1626" w:name="_Toc67329847"/>
            <w:r w:rsidRPr="004275B9">
              <w:rPr>
                <w:rFonts w:ascii="Arial" w:eastAsia="Calibri" w:hAnsi="Arial" w:cs="Arial"/>
                <w:b/>
                <w:bCs/>
                <w:color w:val="000000" w:themeColor="text1"/>
                <w:sz w:val="14"/>
                <w:szCs w:val="14"/>
                <w:lang w:val="hr-HR"/>
              </w:rPr>
              <w:t>Ukupna izloženost kreditnom riziku</w:t>
            </w:r>
            <w:bookmarkEnd w:id="1626"/>
          </w:p>
        </w:tc>
        <w:tc>
          <w:tcPr>
            <w:tcW w:w="319" w:type="pct"/>
            <w:tcBorders>
              <w:top w:val="nil"/>
              <w:left w:val="nil"/>
              <w:bottom w:val="single" w:sz="12" w:space="0" w:color="auto"/>
              <w:right w:val="nil"/>
            </w:tcBorders>
            <w:shd w:val="clear" w:color="auto" w:fill="auto"/>
            <w:vAlign w:val="bottom"/>
          </w:tcPr>
          <w:p w14:paraId="7F34BE44"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27.309.07</w:t>
            </w:r>
            <w:r>
              <w:rPr>
                <w:rFonts w:ascii="Arial" w:eastAsia="Calibri" w:hAnsi="Arial" w:cs="Arial"/>
                <w:b/>
                <w:bCs/>
                <w:color w:val="000000" w:themeColor="text1"/>
                <w:sz w:val="14"/>
                <w:szCs w:val="14"/>
                <w:lang w:val="hr-HR"/>
              </w:rPr>
              <w:t>9</w:t>
            </w:r>
            <w:r w:rsidRPr="006D54AB">
              <w:rPr>
                <w:rFonts w:ascii="Arial" w:eastAsia="Calibri" w:hAnsi="Arial" w:cs="Arial"/>
                <w:b/>
                <w:bCs/>
                <w:color w:val="000000" w:themeColor="text1"/>
                <w:sz w:val="14"/>
                <w:szCs w:val="14"/>
                <w:lang w:val="hr-HR"/>
              </w:rPr>
              <w:t xml:space="preserve"> </w:t>
            </w:r>
          </w:p>
        </w:tc>
        <w:tc>
          <w:tcPr>
            <w:tcW w:w="318" w:type="pct"/>
            <w:tcBorders>
              <w:top w:val="nil"/>
              <w:left w:val="nil"/>
              <w:bottom w:val="single" w:sz="12" w:space="0" w:color="auto"/>
              <w:right w:val="nil"/>
            </w:tcBorders>
            <w:shd w:val="clear" w:color="auto" w:fill="auto"/>
            <w:vAlign w:val="bottom"/>
          </w:tcPr>
          <w:p w14:paraId="2574339C"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1.787.790 </w:t>
            </w:r>
          </w:p>
        </w:tc>
        <w:tc>
          <w:tcPr>
            <w:tcW w:w="315" w:type="pct"/>
            <w:tcBorders>
              <w:top w:val="nil"/>
              <w:left w:val="nil"/>
              <w:bottom w:val="single" w:sz="12" w:space="0" w:color="auto"/>
              <w:right w:val="nil"/>
            </w:tcBorders>
            <w:shd w:val="clear" w:color="auto" w:fill="auto"/>
            <w:vAlign w:val="bottom"/>
          </w:tcPr>
          <w:p w14:paraId="75ECB9B7"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1.276.590 </w:t>
            </w:r>
          </w:p>
        </w:tc>
        <w:tc>
          <w:tcPr>
            <w:tcW w:w="306" w:type="pct"/>
            <w:tcBorders>
              <w:top w:val="nil"/>
              <w:left w:val="nil"/>
              <w:bottom w:val="single" w:sz="12" w:space="0" w:color="auto"/>
              <w:right w:val="nil"/>
            </w:tcBorders>
            <w:shd w:val="clear" w:color="auto" w:fill="auto"/>
            <w:vAlign w:val="bottom"/>
          </w:tcPr>
          <w:p w14:paraId="159D9DB7"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1.309.100 </w:t>
            </w:r>
          </w:p>
        </w:tc>
        <w:tc>
          <w:tcPr>
            <w:tcW w:w="332" w:type="pct"/>
            <w:tcBorders>
              <w:top w:val="nil"/>
              <w:left w:val="nil"/>
              <w:bottom w:val="single" w:sz="12" w:space="0" w:color="auto"/>
              <w:right w:val="nil"/>
            </w:tcBorders>
            <w:shd w:val="clear" w:color="auto" w:fill="auto"/>
            <w:vAlign w:val="bottom"/>
          </w:tcPr>
          <w:p w14:paraId="5AB82F40"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25.11</w:t>
            </w:r>
            <w:r>
              <w:rPr>
                <w:rFonts w:ascii="Arial" w:eastAsia="Calibri" w:hAnsi="Arial" w:cs="Arial"/>
                <w:b/>
                <w:bCs/>
                <w:color w:val="000000" w:themeColor="text1"/>
                <w:sz w:val="14"/>
                <w:szCs w:val="14"/>
                <w:lang w:val="hr-HR"/>
              </w:rPr>
              <w:t>3</w:t>
            </w:r>
            <w:r w:rsidRPr="006D54AB">
              <w:rPr>
                <w:rFonts w:ascii="Arial" w:eastAsia="Calibri" w:hAnsi="Arial" w:cs="Arial"/>
                <w:b/>
                <w:bCs/>
                <w:color w:val="000000" w:themeColor="text1"/>
                <w:sz w:val="14"/>
                <w:szCs w:val="14"/>
                <w:lang w:val="hr-HR"/>
              </w:rPr>
              <w:t xml:space="preserve"> </w:t>
            </w:r>
          </w:p>
        </w:tc>
        <w:tc>
          <w:tcPr>
            <w:tcW w:w="355" w:type="pct"/>
            <w:tcBorders>
              <w:top w:val="nil"/>
              <w:left w:val="nil"/>
              <w:bottom w:val="single" w:sz="12" w:space="0" w:color="auto"/>
              <w:right w:val="nil"/>
            </w:tcBorders>
            <w:shd w:val="clear" w:color="auto" w:fill="auto"/>
            <w:vAlign w:val="bottom"/>
          </w:tcPr>
          <w:p w14:paraId="66F985CF"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31.707.672 </w:t>
            </w:r>
          </w:p>
        </w:tc>
        <w:tc>
          <w:tcPr>
            <w:tcW w:w="352" w:type="pct"/>
            <w:tcBorders>
              <w:top w:val="nil"/>
              <w:left w:val="nil"/>
              <w:bottom w:val="single" w:sz="12" w:space="0" w:color="auto"/>
              <w:right w:val="nil"/>
            </w:tcBorders>
            <w:vAlign w:val="bottom"/>
          </w:tcPr>
          <w:p w14:paraId="0D8F550E"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5.524.546 </w:t>
            </w:r>
          </w:p>
        </w:tc>
        <w:tc>
          <w:tcPr>
            <w:tcW w:w="353" w:type="pct"/>
            <w:tcBorders>
              <w:top w:val="nil"/>
              <w:left w:val="nil"/>
              <w:bottom w:val="single" w:sz="12" w:space="0" w:color="auto"/>
              <w:right w:val="nil"/>
            </w:tcBorders>
            <w:vAlign w:val="bottom"/>
          </w:tcPr>
          <w:p w14:paraId="4EBEC16B"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150.309 </w:t>
            </w:r>
          </w:p>
        </w:tc>
        <w:tc>
          <w:tcPr>
            <w:tcW w:w="353" w:type="pct"/>
            <w:tcBorders>
              <w:top w:val="nil"/>
              <w:left w:val="nil"/>
              <w:bottom w:val="single" w:sz="12" w:space="0" w:color="auto"/>
              <w:right w:val="nil"/>
            </w:tcBorders>
            <w:vAlign w:val="bottom"/>
          </w:tcPr>
          <w:p w14:paraId="070EFCB7"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174.910 </w:t>
            </w:r>
          </w:p>
        </w:tc>
        <w:tc>
          <w:tcPr>
            <w:tcW w:w="353" w:type="pct"/>
            <w:tcBorders>
              <w:top w:val="nil"/>
              <w:left w:val="nil"/>
              <w:bottom w:val="single" w:sz="12" w:space="0" w:color="auto"/>
              <w:right w:val="nil"/>
            </w:tcBorders>
            <w:vAlign w:val="bottom"/>
          </w:tcPr>
          <w:p w14:paraId="6501BFF6"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173.804 </w:t>
            </w:r>
          </w:p>
        </w:tc>
        <w:tc>
          <w:tcPr>
            <w:tcW w:w="401" w:type="pct"/>
            <w:tcBorders>
              <w:top w:val="nil"/>
              <w:left w:val="nil"/>
              <w:bottom w:val="single" w:sz="12" w:space="0" w:color="auto"/>
              <w:right w:val="nil"/>
            </w:tcBorders>
            <w:vAlign w:val="bottom"/>
          </w:tcPr>
          <w:p w14:paraId="0F2E2526"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 </w:t>
            </w:r>
          </w:p>
        </w:tc>
        <w:tc>
          <w:tcPr>
            <w:tcW w:w="353" w:type="pct"/>
            <w:tcBorders>
              <w:top w:val="nil"/>
              <w:left w:val="nil"/>
              <w:bottom w:val="single" w:sz="12" w:space="0" w:color="auto"/>
              <w:right w:val="nil"/>
            </w:tcBorders>
            <w:vAlign w:val="bottom"/>
          </w:tcPr>
          <w:p w14:paraId="7853E20B" w14:textId="77777777" w:rsidR="004E2F51" w:rsidRPr="004275B9" w:rsidRDefault="004E2F51" w:rsidP="00E032FC">
            <w:pPr>
              <w:jc w:val="right"/>
              <w:rPr>
                <w:rFonts w:ascii="Arial" w:eastAsia="Calibri" w:hAnsi="Arial" w:cs="Arial"/>
                <w:b/>
                <w:bCs/>
                <w:color w:val="000000" w:themeColor="text1"/>
                <w:sz w:val="14"/>
                <w:szCs w:val="14"/>
                <w:lang w:val="hr-HR"/>
              </w:rPr>
            </w:pPr>
            <w:r w:rsidRPr="006D54AB">
              <w:rPr>
                <w:rFonts w:ascii="Arial" w:eastAsia="Calibri" w:hAnsi="Arial" w:cs="Arial"/>
                <w:b/>
                <w:bCs/>
                <w:color w:val="000000" w:themeColor="text1"/>
                <w:sz w:val="14"/>
                <w:szCs w:val="14"/>
                <w:lang w:val="hr-HR"/>
              </w:rPr>
              <w:t xml:space="preserve"> 6.023.569 </w:t>
            </w:r>
          </w:p>
        </w:tc>
      </w:tr>
      <w:bookmarkEnd w:id="1611"/>
    </w:tbl>
    <w:p w14:paraId="1DC1E451" w14:textId="77777777" w:rsidR="004E2F51" w:rsidRPr="00B91D09" w:rsidRDefault="004E2F51" w:rsidP="004E2F51">
      <w:pPr>
        <w:spacing w:before="120" w:line="260" w:lineRule="exact"/>
        <w:jc w:val="both"/>
        <w:rPr>
          <w:rFonts w:ascii="Arial" w:hAnsi="Arial" w:cs="Arial"/>
          <w:color w:val="000000" w:themeColor="text1"/>
          <w:sz w:val="22"/>
          <w:szCs w:val="22"/>
          <w:lang w:val="hr-HR"/>
        </w:rPr>
        <w:sectPr w:rsidR="004E2F51" w:rsidRPr="00B91D09" w:rsidSect="00623DBA">
          <w:footerReference w:type="default" r:id="rId187"/>
          <w:pgSz w:w="16840" w:h="11907" w:orient="landscape" w:code="9"/>
          <w:pgMar w:top="1134" w:right="1134" w:bottom="1418" w:left="1418" w:header="851" w:footer="851" w:gutter="0"/>
          <w:cols w:space="720"/>
          <w:noEndnote/>
          <w:docGrid w:linePitch="326"/>
        </w:sectPr>
      </w:pPr>
    </w:p>
    <w:p w14:paraId="3260BAB6" w14:textId="77777777" w:rsidR="004E2F51" w:rsidRPr="007C416F" w:rsidRDefault="004E2F51" w:rsidP="004E2F51">
      <w:pPr>
        <w:pStyle w:val="T1"/>
        <w:spacing w:before="120" w:line="240" w:lineRule="auto"/>
        <w:rPr>
          <w:rFonts w:cs="Arial"/>
          <w:color w:val="000000" w:themeColor="text1"/>
          <w:sz w:val="18"/>
          <w:szCs w:val="18"/>
          <w:lang w:val="hr-HR"/>
        </w:rPr>
      </w:pPr>
      <w:r w:rsidRPr="007C416F">
        <w:rPr>
          <w:rFonts w:cs="Arial"/>
          <w:color w:val="000000" w:themeColor="text1"/>
          <w:sz w:val="18"/>
          <w:szCs w:val="18"/>
          <w:lang w:val="hr-HR"/>
        </w:rPr>
        <w:lastRenderedPageBreak/>
        <w:t>3</w:t>
      </w:r>
      <w:r>
        <w:rPr>
          <w:rFonts w:cs="Arial"/>
          <w:color w:val="000000" w:themeColor="text1"/>
          <w:sz w:val="18"/>
          <w:szCs w:val="18"/>
          <w:lang w:val="hr-HR"/>
        </w:rPr>
        <w:t>1</w:t>
      </w:r>
      <w:r w:rsidRPr="007C416F">
        <w:rPr>
          <w:rFonts w:cs="Arial"/>
          <w:color w:val="000000" w:themeColor="text1"/>
          <w:sz w:val="18"/>
          <w:szCs w:val="18"/>
          <w:lang w:val="hr-HR"/>
        </w:rPr>
        <w:t>.</w:t>
      </w:r>
      <w:r w:rsidRPr="007C416F">
        <w:rPr>
          <w:rFonts w:cs="Arial"/>
          <w:color w:val="000000" w:themeColor="text1"/>
          <w:sz w:val="18"/>
          <w:szCs w:val="18"/>
          <w:lang w:val="hr-HR"/>
        </w:rPr>
        <w:tab/>
        <w:t>Upravljanje rizicima (nastavak)</w:t>
      </w:r>
    </w:p>
    <w:p w14:paraId="43E7B64D" w14:textId="77777777" w:rsidR="004E2F51" w:rsidRPr="007C416F" w:rsidRDefault="004E2F51" w:rsidP="004E2F51">
      <w:pPr>
        <w:pStyle w:val="T1"/>
        <w:spacing w:before="120" w:line="240" w:lineRule="auto"/>
        <w:rPr>
          <w:rFonts w:cs="Arial"/>
          <w:color w:val="000000" w:themeColor="text1"/>
          <w:sz w:val="18"/>
          <w:szCs w:val="18"/>
          <w:lang w:val="hr-HR"/>
        </w:rPr>
      </w:pPr>
      <w:r w:rsidRPr="007C416F">
        <w:rPr>
          <w:rFonts w:cs="Arial"/>
          <w:color w:val="000000" w:themeColor="text1"/>
          <w:sz w:val="18"/>
          <w:szCs w:val="18"/>
          <w:lang w:val="hr-HR"/>
        </w:rPr>
        <w:t>3</w:t>
      </w:r>
      <w:r>
        <w:rPr>
          <w:rFonts w:cs="Arial"/>
          <w:color w:val="000000" w:themeColor="text1"/>
          <w:sz w:val="18"/>
          <w:szCs w:val="18"/>
          <w:lang w:val="hr-HR"/>
        </w:rPr>
        <w:t>1</w:t>
      </w:r>
      <w:r w:rsidRPr="007C416F">
        <w:rPr>
          <w:rFonts w:cs="Arial"/>
          <w:color w:val="000000" w:themeColor="text1"/>
          <w:sz w:val="18"/>
          <w:szCs w:val="18"/>
          <w:lang w:val="hr-HR"/>
        </w:rPr>
        <w:t xml:space="preserve">.3. </w:t>
      </w:r>
      <w:r w:rsidRPr="007C416F">
        <w:rPr>
          <w:rFonts w:cs="Arial"/>
          <w:color w:val="000000" w:themeColor="text1"/>
          <w:sz w:val="18"/>
          <w:szCs w:val="18"/>
          <w:lang w:val="hr-HR"/>
        </w:rPr>
        <w:tab/>
        <w:t>Kreditni rizik (nastavak)</w:t>
      </w:r>
    </w:p>
    <w:p w14:paraId="2B498E2D" w14:textId="77777777" w:rsidR="004E2F51" w:rsidRPr="007C416F" w:rsidRDefault="004E2F51" w:rsidP="004E2F51">
      <w:pPr>
        <w:pStyle w:val="T1"/>
        <w:spacing w:before="120" w:line="240" w:lineRule="auto"/>
        <w:rPr>
          <w:rFonts w:cs="Arial"/>
          <w:color w:val="000000" w:themeColor="text1"/>
          <w:sz w:val="18"/>
          <w:szCs w:val="18"/>
          <w:lang w:val="hr-HR"/>
        </w:rPr>
      </w:pPr>
      <w:r w:rsidRPr="007C416F">
        <w:rPr>
          <w:rFonts w:cs="Arial"/>
          <w:color w:val="000000" w:themeColor="text1"/>
          <w:sz w:val="18"/>
          <w:szCs w:val="18"/>
          <w:lang w:val="hr-HR"/>
        </w:rPr>
        <w:t xml:space="preserve">Kvaliteta kreditnog rizika prema vrsti financijske imovine </w:t>
      </w:r>
    </w:p>
    <w:p w14:paraId="3FE024E5" w14:textId="77777777" w:rsidR="004E2F51" w:rsidRPr="007C416F" w:rsidRDefault="004E2F51" w:rsidP="004E2F51">
      <w:pPr>
        <w:jc w:val="both"/>
        <w:rPr>
          <w:rFonts w:ascii="Arial" w:hAnsi="Arial" w:cs="Arial"/>
          <w:color w:val="000000" w:themeColor="text1"/>
          <w:sz w:val="18"/>
          <w:szCs w:val="18"/>
          <w:lang w:val="hr-HR"/>
        </w:rPr>
      </w:pPr>
      <w:r w:rsidRPr="007C416F">
        <w:rPr>
          <w:rFonts w:ascii="Arial" w:hAnsi="Arial" w:cs="Arial"/>
          <w:color w:val="000000" w:themeColor="text1"/>
          <w:sz w:val="18"/>
          <w:szCs w:val="18"/>
          <w:lang w:val="hr-HR"/>
        </w:rPr>
        <w:t>Analiza kreditnog rizika, neto izloženost, prije i nakon uzimanja u obzir primljenih instrumenata osiguranja, prema vrsti financijske imovine na pozicijama imovine i garancija i preuzetih obveza prema rizičnim skupinama:</w:t>
      </w:r>
    </w:p>
    <w:p w14:paraId="14F44926" w14:textId="77777777" w:rsidR="004E2F51" w:rsidRPr="007C416F" w:rsidRDefault="004E2F51" w:rsidP="004E2F51">
      <w:pPr>
        <w:pStyle w:val="T1"/>
        <w:spacing w:before="0" w:after="0" w:line="240" w:lineRule="auto"/>
        <w:rPr>
          <w:rFonts w:cs="Arial"/>
          <w:color w:val="000000" w:themeColor="text1"/>
          <w:sz w:val="18"/>
          <w:szCs w:val="18"/>
          <w:lang w:val="hr-HR"/>
        </w:rPr>
      </w:pPr>
    </w:p>
    <w:p w14:paraId="7AA6F61E" w14:textId="77777777" w:rsidR="004E2F51" w:rsidRDefault="004E2F51" w:rsidP="004E2F51">
      <w:pPr>
        <w:pStyle w:val="T1"/>
        <w:spacing w:before="0" w:after="0" w:line="240" w:lineRule="auto"/>
        <w:rPr>
          <w:rFonts w:cs="Arial"/>
          <w:color w:val="000000" w:themeColor="text1"/>
          <w:sz w:val="22"/>
          <w:szCs w:val="22"/>
          <w:lang w:val="hr-HR"/>
        </w:rPr>
      </w:pPr>
    </w:p>
    <w:tbl>
      <w:tblPr>
        <w:tblW w:w="5191" w:type="pct"/>
        <w:jc w:val="center"/>
        <w:tblLayout w:type="fixed"/>
        <w:tblLook w:val="0000" w:firstRow="0" w:lastRow="0" w:firstColumn="0" w:lastColumn="0" w:noHBand="0" w:noVBand="0"/>
      </w:tblPr>
      <w:tblGrid>
        <w:gridCol w:w="2636"/>
        <w:gridCol w:w="947"/>
        <w:gridCol w:w="944"/>
        <w:gridCol w:w="936"/>
        <w:gridCol w:w="909"/>
        <w:gridCol w:w="986"/>
        <w:gridCol w:w="1054"/>
        <w:gridCol w:w="1044"/>
        <w:gridCol w:w="1047"/>
        <w:gridCol w:w="1047"/>
        <w:gridCol w:w="1047"/>
        <w:gridCol w:w="1190"/>
        <w:gridCol w:w="1047"/>
      </w:tblGrid>
      <w:tr w:rsidR="004E2F51" w:rsidRPr="0002282A" w14:paraId="0B0F0D0E" w14:textId="77777777" w:rsidTr="00E032FC">
        <w:trPr>
          <w:trHeight w:val="1607"/>
          <w:jc w:val="center"/>
        </w:trPr>
        <w:tc>
          <w:tcPr>
            <w:tcW w:w="888" w:type="pct"/>
          </w:tcPr>
          <w:p w14:paraId="723CC964" w14:textId="77777777" w:rsidR="004E2F51" w:rsidRPr="004275B9" w:rsidRDefault="004E2F51" w:rsidP="00E032FC">
            <w:pPr>
              <w:rPr>
                <w:rFonts w:ascii="Arial" w:eastAsia="Calibri" w:hAnsi="Arial" w:cs="Arial"/>
                <w:b/>
                <w:bCs/>
                <w:color w:val="000000" w:themeColor="text1"/>
                <w:sz w:val="14"/>
                <w:szCs w:val="14"/>
                <w:lang w:val="hr-HR"/>
              </w:rPr>
            </w:pPr>
            <w:r w:rsidRPr="004275B9">
              <w:rPr>
                <w:rFonts w:ascii="Arial" w:eastAsia="Calibri" w:hAnsi="Arial" w:cs="Arial"/>
                <w:b/>
                <w:bCs/>
                <w:color w:val="000000" w:themeColor="text1"/>
                <w:sz w:val="14"/>
                <w:szCs w:val="14"/>
                <w:lang w:val="hr-HR"/>
              </w:rPr>
              <w:br w:type="page"/>
              <w:t>Grupa</w:t>
            </w:r>
          </w:p>
          <w:p w14:paraId="21070222" w14:textId="77777777" w:rsidR="004E2F51" w:rsidRPr="004275B9" w:rsidRDefault="004E2F51" w:rsidP="00E032FC">
            <w:pPr>
              <w:rPr>
                <w:rFonts w:ascii="Arial" w:eastAsia="Calibri" w:hAnsi="Arial" w:cs="Arial"/>
                <w:b/>
                <w:bCs/>
                <w:color w:val="000000" w:themeColor="text1"/>
                <w:sz w:val="14"/>
                <w:szCs w:val="14"/>
                <w:lang w:val="hr-HR"/>
              </w:rPr>
            </w:pPr>
          </w:p>
          <w:p w14:paraId="24E98F1F" w14:textId="77777777" w:rsidR="004E2F51" w:rsidRPr="004275B9" w:rsidRDefault="004E2F51" w:rsidP="00E032FC">
            <w:pPr>
              <w:rPr>
                <w:rFonts w:ascii="Arial" w:eastAsia="Calibri" w:hAnsi="Arial" w:cs="Arial"/>
                <w:color w:val="000000" w:themeColor="text1"/>
                <w:sz w:val="14"/>
                <w:szCs w:val="14"/>
                <w:lang w:val="hr-HR"/>
              </w:rPr>
            </w:pPr>
            <w:r w:rsidRPr="004275B9">
              <w:rPr>
                <w:rFonts w:ascii="Arial" w:eastAsia="Calibri" w:hAnsi="Arial" w:cs="Arial"/>
                <w:b/>
                <w:bCs/>
                <w:color w:val="000000" w:themeColor="text1"/>
                <w:sz w:val="14"/>
                <w:szCs w:val="14"/>
                <w:lang w:val="hr-HR"/>
              </w:rPr>
              <w:t xml:space="preserve">31. prosinca 2021. </w:t>
            </w:r>
          </w:p>
        </w:tc>
        <w:tc>
          <w:tcPr>
            <w:tcW w:w="319" w:type="pct"/>
            <w:vAlign w:val="bottom"/>
          </w:tcPr>
          <w:p w14:paraId="2F2457A7"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portfelja - stupanj 1</w:t>
            </w:r>
          </w:p>
        </w:tc>
        <w:tc>
          <w:tcPr>
            <w:tcW w:w="318" w:type="pct"/>
            <w:vAlign w:val="bottom"/>
          </w:tcPr>
          <w:p w14:paraId="20436EC5"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portfelja - stupanj 2</w:t>
            </w:r>
          </w:p>
        </w:tc>
        <w:tc>
          <w:tcPr>
            <w:tcW w:w="315" w:type="pct"/>
            <w:vAlign w:val="bottom"/>
          </w:tcPr>
          <w:p w14:paraId="55FD51E2"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portfelja - stupanj 3</w:t>
            </w:r>
          </w:p>
        </w:tc>
        <w:tc>
          <w:tcPr>
            <w:tcW w:w="306" w:type="pct"/>
            <w:vAlign w:val="bottom"/>
          </w:tcPr>
          <w:p w14:paraId="723B2E87"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portfelja rizične skupine POCI</w:t>
            </w:r>
          </w:p>
        </w:tc>
        <w:tc>
          <w:tcPr>
            <w:tcW w:w="332" w:type="pct"/>
            <w:vAlign w:val="bottom"/>
          </w:tcPr>
          <w:p w14:paraId="6374F2AB"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eastAsia="Calibri" w:hAnsi="Arial" w:cs="Arial"/>
                <w:b/>
                <w:color w:val="000000" w:themeColor="text1"/>
                <w:sz w:val="14"/>
                <w:szCs w:val="14"/>
                <w:lang w:val="hr-HR"/>
              </w:rPr>
              <w:t>Financijska imovina koja se ne raspoređuje u rizične skupine po MSFI-ju 9</w:t>
            </w:r>
          </w:p>
        </w:tc>
        <w:tc>
          <w:tcPr>
            <w:tcW w:w="355" w:type="pct"/>
            <w:vAlign w:val="bottom"/>
          </w:tcPr>
          <w:p w14:paraId="188E6D41"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ukupnog portfelja</w:t>
            </w:r>
          </w:p>
        </w:tc>
        <w:tc>
          <w:tcPr>
            <w:tcW w:w="352" w:type="pct"/>
            <w:vAlign w:val="bottom"/>
          </w:tcPr>
          <w:p w14:paraId="2B021601"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portfelja nakon umanjenja za instrumente osiguranja- stupanj 1</w:t>
            </w:r>
          </w:p>
        </w:tc>
        <w:tc>
          <w:tcPr>
            <w:tcW w:w="353" w:type="pct"/>
            <w:vAlign w:val="bottom"/>
          </w:tcPr>
          <w:p w14:paraId="0A12F178"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portfelja nakon umanjenja za instrumente osiguranja- stupanj 2</w:t>
            </w:r>
          </w:p>
        </w:tc>
        <w:tc>
          <w:tcPr>
            <w:tcW w:w="353" w:type="pct"/>
            <w:vAlign w:val="bottom"/>
          </w:tcPr>
          <w:p w14:paraId="13C6388D"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portfelja nakon umanjenja za instrumente osiguranja- stupanj 3</w:t>
            </w:r>
          </w:p>
        </w:tc>
        <w:tc>
          <w:tcPr>
            <w:tcW w:w="353" w:type="pct"/>
            <w:vAlign w:val="bottom"/>
          </w:tcPr>
          <w:p w14:paraId="3674364A"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portfelja nakon umanjenja za instrumente osiguranja- rizične skupine POCI</w:t>
            </w:r>
          </w:p>
        </w:tc>
        <w:tc>
          <w:tcPr>
            <w:tcW w:w="401" w:type="pct"/>
            <w:vAlign w:val="bottom"/>
          </w:tcPr>
          <w:p w14:paraId="23539026"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Financijska imovina  koja se ne raspoređuje u rizične skupine po MSFI-ju 9 nakon umanjenja za instrumente osiguranja</w:t>
            </w:r>
          </w:p>
        </w:tc>
        <w:tc>
          <w:tcPr>
            <w:tcW w:w="353" w:type="pct"/>
            <w:vAlign w:val="bottom"/>
          </w:tcPr>
          <w:p w14:paraId="57CDBE6C"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Neto izloženost ukupnog portfelja nakon umanjenja za instrumente osiguranja</w:t>
            </w:r>
          </w:p>
        </w:tc>
      </w:tr>
      <w:tr w:rsidR="004E2F51" w:rsidRPr="004275B9" w14:paraId="78FAD714" w14:textId="77777777" w:rsidTr="00E032FC">
        <w:trPr>
          <w:trHeight w:val="160"/>
          <w:jc w:val="center"/>
        </w:trPr>
        <w:tc>
          <w:tcPr>
            <w:tcW w:w="888" w:type="pct"/>
          </w:tcPr>
          <w:p w14:paraId="5B748111" w14:textId="77777777" w:rsidR="004E2F51" w:rsidRPr="004275B9" w:rsidRDefault="004E2F51" w:rsidP="00E032FC">
            <w:pPr>
              <w:rPr>
                <w:rFonts w:ascii="Arial" w:eastAsia="Calibri" w:hAnsi="Arial" w:cs="Arial"/>
                <w:b/>
                <w:bCs/>
                <w:color w:val="000000" w:themeColor="text1"/>
                <w:sz w:val="14"/>
                <w:szCs w:val="14"/>
                <w:lang w:val="hr-HR"/>
              </w:rPr>
            </w:pPr>
          </w:p>
        </w:tc>
        <w:tc>
          <w:tcPr>
            <w:tcW w:w="319" w:type="pct"/>
          </w:tcPr>
          <w:p w14:paraId="1F883EBF"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18" w:type="pct"/>
          </w:tcPr>
          <w:p w14:paraId="48DBE97F"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15" w:type="pct"/>
          </w:tcPr>
          <w:p w14:paraId="37998B3F"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06" w:type="pct"/>
          </w:tcPr>
          <w:p w14:paraId="187FCF20"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32" w:type="pct"/>
          </w:tcPr>
          <w:p w14:paraId="7A39ACED"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55" w:type="pct"/>
          </w:tcPr>
          <w:p w14:paraId="11AC0A0B"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52" w:type="pct"/>
          </w:tcPr>
          <w:p w14:paraId="100A0AE9"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53" w:type="pct"/>
          </w:tcPr>
          <w:p w14:paraId="6C5147FC"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53" w:type="pct"/>
          </w:tcPr>
          <w:p w14:paraId="0543895C"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53" w:type="pct"/>
          </w:tcPr>
          <w:p w14:paraId="0AF936D0"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401" w:type="pct"/>
          </w:tcPr>
          <w:p w14:paraId="15B8795F"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c>
          <w:tcPr>
            <w:tcW w:w="353" w:type="pct"/>
          </w:tcPr>
          <w:p w14:paraId="6114E0A4" w14:textId="77777777" w:rsidR="004E2F51" w:rsidRPr="004275B9" w:rsidRDefault="004E2F51" w:rsidP="00E032FC">
            <w:pPr>
              <w:jc w:val="right"/>
              <w:rPr>
                <w:rFonts w:ascii="Arial" w:eastAsia="Calibri" w:hAnsi="Arial" w:cs="Arial"/>
                <w:b/>
                <w:color w:val="000000" w:themeColor="text1"/>
                <w:sz w:val="14"/>
                <w:szCs w:val="14"/>
                <w:lang w:val="hr-HR"/>
              </w:rPr>
            </w:pPr>
            <w:r w:rsidRPr="004275B9">
              <w:rPr>
                <w:rFonts w:ascii="Arial" w:eastAsia="Calibri" w:hAnsi="Arial" w:cs="Arial"/>
                <w:b/>
                <w:color w:val="000000" w:themeColor="text1"/>
                <w:sz w:val="14"/>
                <w:szCs w:val="14"/>
                <w:lang w:val="hr-HR"/>
              </w:rPr>
              <w:t>000 kuna</w:t>
            </w:r>
          </w:p>
        </w:tc>
      </w:tr>
      <w:tr w:rsidR="004E2F51" w:rsidRPr="004275B9" w14:paraId="3F23489F" w14:textId="77777777" w:rsidTr="00E032FC">
        <w:trPr>
          <w:trHeight w:val="117"/>
          <w:jc w:val="center"/>
        </w:trPr>
        <w:tc>
          <w:tcPr>
            <w:tcW w:w="888" w:type="pct"/>
          </w:tcPr>
          <w:p w14:paraId="4A1A22DC" w14:textId="77777777" w:rsidR="004E2F51" w:rsidRPr="004275B9" w:rsidRDefault="004E2F51" w:rsidP="00E032FC">
            <w:pPr>
              <w:tabs>
                <w:tab w:val="right" w:pos="1202"/>
              </w:tabs>
              <w:spacing w:line="301" w:lineRule="exact"/>
              <w:outlineLvl w:val="0"/>
              <w:rPr>
                <w:rFonts w:ascii="Arial" w:eastAsia="Calibri" w:hAnsi="Arial" w:cs="Arial"/>
                <w:b/>
                <w:bCs/>
                <w:color w:val="000000" w:themeColor="text1"/>
                <w:sz w:val="14"/>
                <w:szCs w:val="14"/>
                <w:lang w:val="hr-HR"/>
              </w:rPr>
            </w:pPr>
            <w:r w:rsidRPr="004275B9">
              <w:rPr>
                <w:rFonts w:ascii="Arial" w:eastAsia="Calibri" w:hAnsi="Arial" w:cs="Arial"/>
                <w:b/>
                <w:bCs/>
                <w:color w:val="000000" w:themeColor="text1"/>
                <w:sz w:val="14"/>
                <w:szCs w:val="14"/>
                <w:lang w:val="hr-HR"/>
              </w:rPr>
              <w:t>Imovina</w:t>
            </w:r>
          </w:p>
        </w:tc>
        <w:tc>
          <w:tcPr>
            <w:tcW w:w="319" w:type="pct"/>
            <w:vAlign w:val="bottom"/>
          </w:tcPr>
          <w:p w14:paraId="67B830DB"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18" w:type="pct"/>
            <w:vAlign w:val="bottom"/>
          </w:tcPr>
          <w:p w14:paraId="203720B8"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15" w:type="pct"/>
            <w:vAlign w:val="bottom"/>
          </w:tcPr>
          <w:p w14:paraId="7DEF008A"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06" w:type="pct"/>
            <w:vAlign w:val="bottom"/>
          </w:tcPr>
          <w:p w14:paraId="54F4BC32"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32" w:type="pct"/>
            <w:vAlign w:val="bottom"/>
          </w:tcPr>
          <w:p w14:paraId="4BE4B2FD"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55" w:type="pct"/>
            <w:vAlign w:val="bottom"/>
          </w:tcPr>
          <w:p w14:paraId="1FB3722C"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52" w:type="pct"/>
            <w:vAlign w:val="bottom"/>
          </w:tcPr>
          <w:p w14:paraId="422FC8CB"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53" w:type="pct"/>
            <w:vAlign w:val="bottom"/>
          </w:tcPr>
          <w:p w14:paraId="3E36E02C"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53" w:type="pct"/>
            <w:vAlign w:val="bottom"/>
          </w:tcPr>
          <w:p w14:paraId="5A42DC50"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53" w:type="pct"/>
            <w:vAlign w:val="bottom"/>
          </w:tcPr>
          <w:p w14:paraId="520ACB38"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401" w:type="pct"/>
            <w:vAlign w:val="bottom"/>
          </w:tcPr>
          <w:p w14:paraId="0322FB3D"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53" w:type="pct"/>
            <w:vAlign w:val="bottom"/>
          </w:tcPr>
          <w:p w14:paraId="700D091B" w14:textId="77777777" w:rsidR="004E2F51" w:rsidRPr="004275B9"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r>
      <w:tr w:rsidR="004E2F51" w:rsidRPr="004275B9" w14:paraId="3504EDEF" w14:textId="77777777" w:rsidTr="00E032FC">
        <w:trPr>
          <w:trHeight w:val="189"/>
          <w:jc w:val="center"/>
        </w:trPr>
        <w:tc>
          <w:tcPr>
            <w:tcW w:w="888" w:type="pct"/>
            <w:vAlign w:val="bottom"/>
          </w:tcPr>
          <w:p w14:paraId="47A5D740" w14:textId="77777777" w:rsidR="004E2F51" w:rsidRPr="004275B9" w:rsidRDefault="004E2F51" w:rsidP="00E032FC">
            <w:pPr>
              <w:tabs>
                <w:tab w:val="right" w:pos="1202"/>
              </w:tabs>
              <w:outlineLvl w:val="0"/>
              <w:rPr>
                <w:rFonts w:ascii="Arial" w:eastAsia="Calibri" w:hAnsi="Arial" w:cs="Arial"/>
                <w:color w:val="000000" w:themeColor="text1"/>
                <w:sz w:val="14"/>
                <w:szCs w:val="14"/>
                <w:lang w:val="hr-HR"/>
              </w:rPr>
            </w:pPr>
            <w:r w:rsidRPr="004275B9">
              <w:rPr>
                <w:rFonts w:ascii="Arial" w:eastAsia="Calibri" w:hAnsi="Arial" w:cs="Arial"/>
                <w:color w:val="000000" w:themeColor="text1"/>
                <w:sz w:val="14"/>
                <w:szCs w:val="14"/>
                <w:lang w:val="hr-HR"/>
              </w:rPr>
              <w:t>Novčana sredstva i računi kod banaka</w:t>
            </w:r>
          </w:p>
        </w:tc>
        <w:tc>
          <w:tcPr>
            <w:tcW w:w="319" w:type="pct"/>
            <w:tcBorders>
              <w:top w:val="nil"/>
              <w:left w:val="nil"/>
              <w:bottom w:val="nil"/>
              <w:right w:val="nil"/>
            </w:tcBorders>
            <w:shd w:val="clear" w:color="auto" w:fill="auto"/>
            <w:vAlign w:val="bottom"/>
          </w:tcPr>
          <w:p w14:paraId="403F83C6"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1.961.985 </w:t>
            </w:r>
          </w:p>
        </w:tc>
        <w:tc>
          <w:tcPr>
            <w:tcW w:w="318" w:type="pct"/>
            <w:tcBorders>
              <w:top w:val="nil"/>
              <w:left w:val="nil"/>
              <w:bottom w:val="nil"/>
              <w:right w:val="nil"/>
            </w:tcBorders>
            <w:shd w:val="clear" w:color="auto" w:fill="auto"/>
            <w:vAlign w:val="bottom"/>
          </w:tcPr>
          <w:p w14:paraId="5FAF0E62"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15" w:type="pct"/>
            <w:tcBorders>
              <w:top w:val="nil"/>
              <w:left w:val="nil"/>
              <w:bottom w:val="nil"/>
              <w:right w:val="nil"/>
            </w:tcBorders>
            <w:shd w:val="clear" w:color="auto" w:fill="auto"/>
            <w:vAlign w:val="bottom"/>
          </w:tcPr>
          <w:p w14:paraId="59C79C11"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06" w:type="pct"/>
            <w:tcBorders>
              <w:top w:val="nil"/>
              <w:left w:val="nil"/>
              <w:bottom w:val="nil"/>
              <w:right w:val="nil"/>
            </w:tcBorders>
            <w:shd w:val="clear" w:color="auto" w:fill="auto"/>
            <w:vAlign w:val="bottom"/>
          </w:tcPr>
          <w:p w14:paraId="59BB298B"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32" w:type="pct"/>
            <w:tcBorders>
              <w:top w:val="nil"/>
              <w:left w:val="nil"/>
              <w:bottom w:val="nil"/>
              <w:right w:val="nil"/>
            </w:tcBorders>
            <w:shd w:val="clear" w:color="auto" w:fill="auto"/>
            <w:vAlign w:val="bottom"/>
          </w:tcPr>
          <w:p w14:paraId="7C358C83"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5" w:type="pct"/>
            <w:tcBorders>
              <w:top w:val="nil"/>
              <w:left w:val="nil"/>
              <w:bottom w:val="nil"/>
              <w:right w:val="nil"/>
            </w:tcBorders>
            <w:shd w:val="clear" w:color="auto" w:fill="auto"/>
            <w:vAlign w:val="bottom"/>
          </w:tcPr>
          <w:p w14:paraId="2D5C87AF"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1.961.985 </w:t>
            </w:r>
          </w:p>
        </w:tc>
        <w:tc>
          <w:tcPr>
            <w:tcW w:w="352" w:type="pct"/>
            <w:tcBorders>
              <w:top w:val="nil"/>
              <w:left w:val="nil"/>
              <w:bottom w:val="nil"/>
              <w:right w:val="nil"/>
            </w:tcBorders>
            <w:vAlign w:val="bottom"/>
          </w:tcPr>
          <w:p w14:paraId="51CE156C"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vAlign w:val="bottom"/>
          </w:tcPr>
          <w:p w14:paraId="6A18A9B2"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vAlign w:val="bottom"/>
          </w:tcPr>
          <w:p w14:paraId="4F330D38"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vAlign w:val="bottom"/>
          </w:tcPr>
          <w:p w14:paraId="748F0B56"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401" w:type="pct"/>
            <w:tcBorders>
              <w:top w:val="nil"/>
              <w:left w:val="nil"/>
              <w:bottom w:val="nil"/>
              <w:right w:val="nil"/>
            </w:tcBorders>
            <w:vAlign w:val="bottom"/>
          </w:tcPr>
          <w:p w14:paraId="2EB2D4F5"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vAlign w:val="bottom"/>
          </w:tcPr>
          <w:p w14:paraId="1DA09871"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r>
      <w:tr w:rsidR="004E2F51" w:rsidRPr="004275B9" w14:paraId="7B891B91" w14:textId="77777777" w:rsidTr="00E032FC">
        <w:trPr>
          <w:trHeight w:val="189"/>
          <w:jc w:val="center"/>
        </w:trPr>
        <w:tc>
          <w:tcPr>
            <w:tcW w:w="888" w:type="pct"/>
            <w:vAlign w:val="bottom"/>
          </w:tcPr>
          <w:p w14:paraId="1928BD39" w14:textId="77777777" w:rsidR="004E2F51" w:rsidRPr="004275B9" w:rsidRDefault="004E2F51" w:rsidP="00E032FC">
            <w:pPr>
              <w:tabs>
                <w:tab w:val="right" w:pos="1202"/>
              </w:tabs>
              <w:outlineLvl w:val="0"/>
              <w:rPr>
                <w:rFonts w:ascii="Arial" w:eastAsia="Calibri" w:hAnsi="Arial" w:cs="Arial"/>
                <w:color w:val="000000" w:themeColor="text1"/>
                <w:sz w:val="14"/>
                <w:szCs w:val="14"/>
                <w:lang w:val="hr-HR"/>
              </w:rPr>
            </w:pPr>
            <w:r w:rsidRPr="004275B9">
              <w:rPr>
                <w:rFonts w:ascii="Arial" w:eastAsia="Calibri" w:hAnsi="Arial" w:cs="Arial"/>
                <w:color w:val="000000" w:themeColor="text1"/>
                <w:sz w:val="14"/>
                <w:szCs w:val="14"/>
                <w:lang w:val="hr-HR"/>
              </w:rPr>
              <w:t>Depoziti kod drugih banaka</w:t>
            </w:r>
          </w:p>
        </w:tc>
        <w:tc>
          <w:tcPr>
            <w:tcW w:w="319" w:type="pct"/>
            <w:tcBorders>
              <w:top w:val="nil"/>
              <w:left w:val="nil"/>
              <w:bottom w:val="nil"/>
              <w:right w:val="nil"/>
            </w:tcBorders>
            <w:shd w:val="clear" w:color="auto" w:fill="auto"/>
            <w:vAlign w:val="bottom"/>
          </w:tcPr>
          <w:p w14:paraId="4AEFED8D"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7.500 </w:t>
            </w:r>
          </w:p>
        </w:tc>
        <w:tc>
          <w:tcPr>
            <w:tcW w:w="318" w:type="pct"/>
            <w:tcBorders>
              <w:top w:val="nil"/>
              <w:left w:val="nil"/>
              <w:bottom w:val="nil"/>
              <w:right w:val="nil"/>
            </w:tcBorders>
            <w:shd w:val="clear" w:color="auto" w:fill="auto"/>
            <w:vAlign w:val="bottom"/>
          </w:tcPr>
          <w:p w14:paraId="71791CC0"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15" w:type="pct"/>
            <w:tcBorders>
              <w:top w:val="nil"/>
              <w:left w:val="nil"/>
              <w:bottom w:val="nil"/>
              <w:right w:val="nil"/>
            </w:tcBorders>
            <w:shd w:val="clear" w:color="auto" w:fill="auto"/>
            <w:vAlign w:val="bottom"/>
          </w:tcPr>
          <w:p w14:paraId="4E50EC7B"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06" w:type="pct"/>
            <w:tcBorders>
              <w:top w:val="nil"/>
              <w:left w:val="nil"/>
              <w:bottom w:val="nil"/>
              <w:right w:val="nil"/>
            </w:tcBorders>
            <w:shd w:val="clear" w:color="auto" w:fill="auto"/>
            <w:vAlign w:val="bottom"/>
          </w:tcPr>
          <w:p w14:paraId="118D18E8"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32" w:type="pct"/>
            <w:tcBorders>
              <w:top w:val="nil"/>
              <w:left w:val="nil"/>
              <w:bottom w:val="nil"/>
              <w:right w:val="nil"/>
            </w:tcBorders>
            <w:shd w:val="clear" w:color="auto" w:fill="auto"/>
            <w:vAlign w:val="bottom"/>
          </w:tcPr>
          <w:p w14:paraId="6D01372C"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5" w:type="pct"/>
            <w:tcBorders>
              <w:top w:val="nil"/>
              <w:left w:val="nil"/>
              <w:bottom w:val="nil"/>
              <w:right w:val="nil"/>
            </w:tcBorders>
            <w:shd w:val="clear" w:color="auto" w:fill="auto"/>
            <w:vAlign w:val="bottom"/>
          </w:tcPr>
          <w:p w14:paraId="62AE8A58"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7.500 </w:t>
            </w:r>
          </w:p>
        </w:tc>
        <w:tc>
          <w:tcPr>
            <w:tcW w:w="352" w:type="pct"/>
            <w:tcBorders>
              <w:top w:val="nil"/>
              <w:left w:val="nil"/>
              <w:bottom w:val="nil"/>
              <w:right w:val="nil"/>
            </w:tcBorders>
            <w:vAlign w:val="bottom"/>
          </w:tcPr>
          <w:p w14:paraId="5CFE3971"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vAlign w:val="bottom"/>
          </w:tcPr>
          <w:p w14:paraId="1FEE9E56"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vAlign w:val="bottom"/>
          </w:tcPr>
          <w:p w14:paraId="203D0D81"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vAlign w:val="bottom"/>
          </w:tcPr>
          <w:p w14:paraId="613BD38B"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401" w:type="pct"/>
            <w:tcBorders>
              <w:top w:val="nil"/>
              <w:left w:val="nil"/>
              <w:bottom w:val="nil"/>
              <w:right w:val="nil"/>
            </w:tcBorders>
            <w:vAlign w:val="bottom"/>
          </w:tcPr>
          <w:p w14:paraId="4F2F78DA"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vAlign w:val="bottom"/>
          </w:tcPr>
          <w:p w14:paraId="6B3C189C"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r>
      <w:tr w:rsidR="004E2F51" w:rsidRPr="004275B9" w14:paraId="6AF5FE5E" w14:textId="77777777" w:rsidTr="00E032FC">
        <w:trPr>
          <w:trHeight w:val="189"/>
          <w:jc w:val="center"/>
        </w:trPr>
        <w:tc>
          <w:tcPr>
            <w:tcW w:w="888" w:type="pct"/>
            <w:vAlign w:val="bottom"/>
          </w:tcPr>
          <w:p w14:paraId="55F39677" w14:textId="77777777" w:rsidR="004E2F51" w:rsidRPr="004275B9" w:rsidRDefault="004E2F51" w:rsidP="00E032FC">
            <w:pPr>
              <w:tabs>
                <w:tab w:val="right" w:pos="1202"/>
              </w:tabs>
              <w:outlineLvl w:val="0"/>
              <w:rPr>
                <w:rFonts w:ascii="Arial" w:eastAsia="Calibri" w:hAnsi="Arial" w:cs="Arial"/>
                <w:color w:val="000000" w:themeColor="text1"/>
                <w:sz w:val="14"/>
                <w:szCs w:val="14"/>
                <w:lang w:val="hr-HR"/>
              </w:rPr>
            </w:pPr>
            <w:r w:rsidRPr="004275B9">
              <w:rPr>
                <w:rFonts w:ascii="Arial" w:eastAsia="Calibri" w:hAnsi="Arial" w:cs="Arial"/>
                <w:color w:val="000000" w:themeColor="text1"/>
                <w:sz w:val="14"/>
                <w:szCs w:val="14"/>
                <w:lang w:val="hr-HR"/>
              </w:rPr>
              <w:t>Krediti financijskim institucijama</w:t>
            </w:r>
          </w:p>
        </w:tc>
        <w:tc>
          <w:tcPr>
            <w:tcW w:w="319" w:type="pct"/>
            <w:tcBorders>
              <w:top w:val="nil"/>
              <w:left w:val="nil"/>
              <w:bottom w:val="nil"/>
              <w:right w:val="nil"/>
            </w:tcBorders>
            <w:shd w:val="clear" w:color="auto" w:fill="auto"/>
            <w:vAlign w:val="bottom"/>
          </w:tcPr>
          <w:p w14:paraId="7CE038C1"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6.865.821 </w:t>
            </w:r>
          </w:p>
        </w:tc>
        <w:tc>
          <w:tcPr>
            <w:tcW w:w="318" w:type="pct"/>
            <w:tcBorders>
              <w:top w:val="nil"/>
              <w:left w:val="nil"/>
              <w:bottom w:val="nil"/>
              <w:right w:val="nil"/>
            </w:tcBorders>
            <w:shd w:val="clear" w:color="auto" w:fill="auto"/>
            <w:vAlign w:val="bottom"/>
          </w:tcPr>
          <w:p w14:paraId="40EE4909"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180.760 </w:t>
            </w:r>
          </w:p>
        </w:tc>
        <w:tc>
          <w:tcPr>
            <w:tcW w:w="315" w:type="pct"/>
            <w:tcBorders>
              <w:top w:val="nil"/>
              <w:left w:val="nil"/>
              <w:bottom w:val="nil"/>
              <w:right w:val="nil"/>
            </w:tcBorders>
            <w:shd w:val="clear" w:color="auto" w:fill="auto"/>
            <w:vAlign w:val="bottom"/>
          </w:tcPr>
          <w:p w14:paraId="1074C11A"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3.562 </w:t>
            </w:r>
          </w:p>
        </w:tc>
        <w:tc>
          <w:tcPr>
            <w:tcW w:w="306" w:type="pct"/>
            <w:tcBorders>
              <w:top w:val="nil"/>
              <w:left w:val="nil"/>
              <w:bottom w:val="nil"/>
              <w:right w:val="nil"/>
            </w:tcBorders>
            <w:shd w:val="clear" w:color="auto" w:fill="auto"/>
            <w:vAlign w:val="bottom"/>
          </w:tcPr>
          <w:p w14:paraId="6A20CC53"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32" w:type="pct"/>
            <w:tcBorders>
              <w:top w:val="nil"/>
              <w:left w:val="nil"/>
              <w:bottom w:val="nil"/>
              <w:right w:val="nil"/>
            </w:tcBorders>
            <w:shd w:val="clear" w:color="auto" w:fill="auto"/>
            <w:vAlign w:val="bottom"/>
          </w:tcPr>
          <w:p w14:paraId="074B69BE"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5" w:type="pct"/>
            <w:tcBorders>
              <w:top w:val="nil"/>
              <w:left w:val="nil"/>
              <w:bottom w:val="nil"/>
              <w:right w:val="nil"/>
            </w:tcBorders>
            <w:shd w:val="clear" w:color="auto" w:fill="auto"/>
            <w:vAlign w:val="bottom"/>
          </w:tcPr>
          <w:p w14:paraId="73244C7A"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7.050.143 </w:t>
            </w:r>
          </w:p>
        </w:tc>
        <w:tc>
          <w:tcPr>
            <w:tcW w:w="352" w:type="pct"/>
            <w:tcBorders>
              <w:top w:val="nil"/>
              <w:left w:val="nil"/>
              <w:bottom w:val="nil"/>
              <w:right w:val="nil"/>
            </w:tcBorders>
            <w:vAlign w:val="bottom"/>
          </w:tcPr>
          <w:p w14:paraId="5296D5D6"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vAlign w:val="bottom"/>
          </w:tcPr>
          <w:p w14:paraId="7F9653C5"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vAlign w:val="bottom"/>
          </w:tcPr>
          <w:p w14:paraId="4518B563"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vAlign w:val="bottom"/>
          </w:tcPr>
          <w:p w14:paraId="5FF36484"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401" w:type="pct"/>
            <w:tcBorders>
              <w:top w:val="nil"/>
              <w:left w:val="nil"/>
              <w:bottom w:val="nil"/>
              <w:right w:val="nil"/>
            </w:tcBorders>
            <w:vAlign w:val="bottom"/>
          </w:tcPr>
          <w:p w14:paraId="1763F5B8"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vAlign w:val="bottom"/>
          </w:tcPr>
          <w:p w14:paraId="70D65E8B"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r>
      <w:tr w:rsidR="004E2F51" w:rsidRPr="004275B9" w14:paraId="4EA8E7FD" w14:textId="77777777" w:rsidTr="00E032FC">
        <w:trPr>
          <w:trHeight w:val="189"/>
          <w:jc w:val="center"/>
        </w:trPr>
        <w:tc>
          <w:tcPr>
            <w:tcW w:w="888" w:type="pct"/>
            <w:vAlign w:val="bottom"/>
          </w:tcPr>
          <w:p w14:paraId="7A2C505C" w14:textId="77777777" w:rsidR="004E2F51" w:rsidRPr="004275B9" w:rsidRDefault="004E2F51" w:rsidP="00E032FC">
            <w:pPr>
              <w:tabs>
                <w:tab w:val="right" w:pos="1202"/>
              </w:tabs>
              <w:outlineLvl w:val="0"/>
              <w:rPr>
                <w:rFonts w:ascii="Arial" w:eastAsia="Calibri" w:hAnsi="Arial" w:cs="Arial"/>
                <w:color w:val="000000" w:themeColor="text1"/>
                <w:sz w:val="14"/>
                <w:szCs w:val="14"/>
                <w:lang w:val="hr-HR"/>
              </w:rPr>
            </w:pPr>
            <w:r w:rsidRPr="004275B9">
              <w:rPr>
                <w:rFonts w:ascii="Arial" w:eastAsia="Calibri" w:hAnsi="Arial" w:cs="Arial"/>
                <w:color w:val="000000" w:themeColor="text1"/>
                <w:sz w:val="14"/>
                <w:szCs w:val="14"/>
                <w:lang w:val="hr-HR"/>
              </w:rPr>
              <w:t>Krediti ostalim korisnicima</w:t>
            </w:r>
          </w:p>
        </w:tc>
        <w:tc>
          <w:tcPr>
            <w:tcW w:w="319" w:type="pct"/>
            <w:tcBorders>
              <w:top w:val="nil"/>
              <w:left w:val="nil"/>
              <w:bottom w:val="nil"/>
              <w:right w:val="nil"/>
            </w:tcBorders>
            <w:shd w:val="clear" w:color="auto" w:fill="auto"/>
            <w:vAlign w:val="bottom"/>
          </w:tcPr>
          <w:p w14:paraId="1113CF23"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12.779.081 </w:t>
            </w:r>
          </w:p>
        </w:tc>
        <w:tc>
          <w:tcPr>
            <w:tcW w:w="318" w:type="pct"/>
            <w:tcBorders>
              <w:top w:val="nil"/>
              <w:left w:val="nil"/>
              <w:bottom w:val="nil"/>
              <w:right w:val="nil"/>
            </w:tcBorders>
            <w:shd w:val="clear" w:color="auto" w:fill="auto"/>
            <w:vAlign w:val="bottom"/>
          </w:tcPr>
          <w:p w14:paraId="3FFE32FA"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827.965 </w:t>
            </w:r>
          </w:p>
        </w:tc>
        <w:tc>
          <w:tcPr>
            <w:tcW w:w="315" w:type="pct"/>
            <w:tcBorders>
              <w:top w:val="nil"/>
              <w:left w:val="nil"/>
              <w:bottom w:val="nil"/>
              <w:right w:val="nil"/>
            </w:tcBorders>
            <w:shd w:val="clear" w:color="auto" w:fill="auto"/>
            <w:vAlign w:val="bottom"/>
          </w:tcPr>
          <w:p w14:paraId="15F682AE"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1.163.771 </w:t>
            </w:r>
          </w:p>
        </w:tc>
        <w:tc>
          <w:tcPr>
            <w:tcW w:w="306" w:type="pct"/>
            <w:tcBorders>
              <w:top w:val="nil"/>
              <w:left w:val="nil"/>
              <w:bottom w:val="nil"/>
              <w:right w:val="nil"/>
            </w:tcBorders>
            <w:shd w:val="clear" w:color="auto" w:fill="auto"/>
            <w:vAlign w:val="bottom"/>
          </w:tcPr>
          <w:p w14:paraId="2D00093B"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1.193.559 </w:t>
            </w:r>
          </w:p>
        </w:tc>
        <w:tc>
          <w:tcPr>
            <w:tcW w:w="332" w:type="pct"/>
            <w:tcBorders>
              <w:top w:val="nil"/>
              <w:left w:val="nil"/>
              <w:bottom w:val="nil"/>
              <w:right w:val="nil"/>
            </w:tcBorders>
            <w:shd w:val="clear" w:color="auto" w:fill="auto"/>
            <w:vAlign w:val="bottom"/>
          </w:tcPr>
          <w:p w14:paraId="756EE2DD"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5" w:type="pct"/>
            <w:tcBorders>
              <w:top w:val="nil"/>
              <w:left w:val="nil"/>
              <w:bottom w:val="nil"/>
              <w:right w:val="nil"/>
            </w:tcBorders>
            <w:shd w:val="clear" w:color="auto" w:fill="auto"/>
            <w:vAlign w:val="bottom"/>
          </w:tcPr>
          <w:p w14:paraId="3A022E99"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15.964.376 </w:t>
            </w:r>
          </w:p>
        </w:tc>
        <w:tc>
          <w:tcPr>
            <w:tcW w:w="352" w:type="pct"/>
            <w:tcBorders>
              <w:top w:val="nil"/>
              <w:left w:val="nil"/>
              <w:bottom w:val="nil"/>
              <w:right w:val="nil"/>
            </w:tcBorders>
            <w:vAlign w:val="bottom"/>
          </w:tcPr>
          <w:p w14:paraId="00C2763B"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2.855.314 </w:t>
            </w:r>
          </w:p>
        </w:tc>
        <w:tc>
          <w:tcPr>
            <w:tcW w:w="353" w:type="pct"/>
            <w:tcBorders>
              <w:top w:val="nil"/>
              <w:left w:val="nil"/>
              <w:bottom w:val="nil"/>
              <w:right w:val="nil"/>
            </w:tcBorders>
            <w:vAlign w:val="bottom"/>
          </w:tcPr>
          <w:p w14:paraId="3F3E7652"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92.792 </w:t>
            </w:r>
          </w:p>
        </w:tc>
        <w:tc>
          <w:tcPr>
            <w:tcW w:w="353" w:type="pct"/>
            <w:tcBorders>
              <w:top w:val="nil"/>
              <w:left w:val="nil"/>
              <w:bottom w:val="nil"/>
              <w:right w:val="nil"/>
            </w:tcBorders>
            <w:vAlign w:val="bottom"/>
          </w:tcPr>
          <w:p w14:paraId="5A4E0D2B"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205.605 </w:t>
            </w:r>
          </w:p>
        </w:tc>
        <w:tc>
          <w:tcPr>
            <w:tcW w:w="353" w:type="pct"/>
            <w:tcBorders>
              <w:top w:val="nil"/>
              <w:left w:val="nil"/>
              <w:bottom w:val="nil"/>
              <w:right w:val="nil"/>
            </w:tcBorders>
            <w:vAlign w:val="bottom"/>
          </w:tcPr>
          <w:p w14:paraId="7F5C06B4"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34.769 </w:t>
            </w:r>
          </w:p>
        </w:tc>
        <w:tc>
          <w:tcPr>
            <w:tcW w:w="401" w:type="pct"/>
            <w:tcBorders>
              <w:top w:val="nil"/>
              <w:left w:val="nil"/>
              <w:bottom w:val="nil"/>
              <w:right w:val="nil"/>
            </w:tcBorders>
            <w:vAlign w:val="bottom"/>
          </w:tcPr>
          <w:p w14:paraId="087A30AA"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vAlign w:val="bottom"/>
          </w:tcPr>
          <w:p w14:paraId="52A9943E"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3.188.480 </w:t>
            </w:r>
          </w:p>
        </w:tc>
      </w:tr>
      <w:tr w:rsidR="004E2F51" w:rsidRPr="004275B9" w14:paraId="15EFF791" w14:textId="77777777" w:rsidTr="00E032FC">
        <w:trPr>
          <w:trHeight w:val="189"/>
          <w:jc w:val="center"/>
        </w:trPr>
        <w:tc>
          <w:tcPr>
            <w:tcW w:w="888" w:type="pct"/>
            <w:vAlign w:val="bottom"/>
          </w:tcPr>
          <w:p w14:paraId="40D8AA1B" w14:textId="77777777" w:rsidR="004E2F51" w:rsidRPr="004275B9" w:rsidRDefault="004E2F51" w:rsidP="00E032FC">
            <w:pPr>
              <w:tabs>
                <w:tab w:val="right" w:pos="1202"/>
              </w:tabs>
              <w:outlineLvl w:val="0"/>
              <w:rPr>
                <w:rFonts w:ascii="Arial" w:eastAsia="Calibri" w:hAnsi="Arial" w:cs="Arial"/>
                <w:color w:val="000000" w:themeColor="text1"/>
                <w:sz w:val="14"/>
                <w:szCs w:val="14"/>
                <w:lang w:val="hr-HR"/>
              </w:rPr>
            </w:pPr>
            <w:r w:rsidRPr="004275B9">
              <w:rPr>
                <w:rFonts w:ascii="Arial" w:eastAsia="Calibri" w:hAnsi="Arial" w:cs="Arial"/>
                <w:color w:val="000000" w:themeColor="text1"/>
                <w:sz w:val="14"/>
                <w:szCs w:val="14"/>
                <w:lang w:val="hr-HR"/>
              </w:rPr>
              <w:t>Financijska imovina po fer vrijednosti kroz dobit ili gubitak</w:t>
            </w:r>
          </w:p>
        </w:tc>
        <w:tc>
          <w:tcPr>
            <w:tcW w:w="319" w:type="pct"/>
            <w:tcBorders>
              <w:top w:val="nil"/>
              <w:left w:val="nil"/>
              <w:bottom w:val="nil"/>
              <w:right w:val="nil"/>
            </w:tcBorders>
            <w:shd w:val="clear" w:color="auto" w:fill="auto"/>
            <w:vAlign w:val="bottom"/>
          </w:tcPr>
          <w:p w14:paraId="53029570"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lang w:val="it-IT"/>
              </w:rPr>
              <w:t xml:space="preserve"> </w:t>
            </w:r>
            <w:r w:rsidRPr="004275B9">
              <w:rPr>
                <w:rFonts w:ascii="Arial" w:hAnsi="Arial" w:cs="Arial"/>
                <w:sz w:val="14"/>
                <w:szCs w:val="14"/>
              </w:rPr>
              <w:t xml:space="preserve">- </w:t>
            </w:r>
          </w:p>
        </w:tc>
        <w:tc>
          <w:tcPr>
            <w:tcW w:w="318" w:type="pct"/>
            <w:tcBorders>
              <w:top w:val="nil"/>
              <w:left w:val="nil"/>
              <w:bottom w:val="nil"/>
              <w:right w:val="nil"/>
            </w:tcBorders>
            <w:shd w:val="clear" w:color="auto" w:fill="auto"/>
            <w:vAlign w:val="bottom"/>
          </w:tcPr>
          <w:p w14:paraId="252BDC68"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15" w:type="pct"/>
            <w:tcBorders>
              <w:top w:val="nil"/>
              <w:left w:val="nil"/>
              <w:bottom w:val="nil"/>
              <w:right w:val="nil"/>
            </w:tcBorders>
            <w:shd w:val="clear" w:color="auto" w:fill="auto"/>
            <w:vAlign w:val="bottom"/>
          </w:tcPr>
          <w:p w14:paraId="1EB338C8"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06" w:type="pct"/>
            <w:tcBorders>
              <w:top w:val="nil"/>
              <w:left w:val="nil"/>
              <w:bottom w:val="nil"/>
              <w:right w:val="nil"/>
            </w:tcBorders>
            <w:shd w:val="clear" w:color="auto" w:fill="auto"/>
            <w:vAlign w:val="bottom"/>
          </w:tcPr>
          <w:p w14:paraId="5C961092"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32" w:type="pct"/>
            <w:tcBorders>
              <w:top w:val="nil"/>
              <w:left w:val="nil"/>
              <w:bottom w:val="nil"/>
              <w:right w:val="nil"/>
            </w:tcBorders>
            <w:shd w:val="clear" w:color="auto" w:fill="auto"/>
            <w:vAlign w:val="bottom"/>
          </w:tcPr>
          <w:p w14:paraId="0406888F"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16.375 </w:t>
            </w:r>
          </w:p>
        </w:tc>
        <w:tc>
          <w:tcPr>
            <w:tcW w:w="355" w:type="pct"/>
            <w:tcBorders>
              <w:top w:val="nil"/>
              <w:left w:val="nil"/>
              <w:bottom w:val="nil"/>
              <w:right w:val="nil"/>
            </w:tcBorders>
            <w:shd w:val="clear" w:color="auto" w:fill="auto"/>
            <w:vAlign w:val="bottom"/>
          </w:tcPr>
          <w:p w14:paraId="09B18F6C"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16.375 </w:t>
            </w:r>
          </w:p>
        </w:tc>
        <w:tc>
          <w:tcPr>
            <w:tcW w:w="352" w:type="pct"/>
            <w:tcBorders>
              <w:top w:val="nil"/>
              <w:left w:val="nil"/>
              <w:bottom w:val="nil"/>
              <w:right w:val="nil"/>
            </w:tcBorders>
            <w:vAlign w:val="bottom"/>
          </w:tcPr>
          <w:p w14:paraId="7BD7E1EC"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vAlign w:val="bottom"/>
          </w:tcPr>
          <w:p w14:paraId="240303B6"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vAlign w:val="bottom"/>
          </w:tcPr>
          <w:p w14:paraId="22B22307"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vAlign w:val="bottom"/>
          </w:tcPr>
          <w:p w14:paraId="26F68914"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401" w:type="pct"/>
            <w:tcBorders>
              <w:top w:val="nil"/>
              <w:left w:val="nil"/>
              <w:bottom w:val="nil"/>
              <w:right w:val="nil"/>
            </w:tcBorders>
            <w:shd w:val="clear" w:color="auto" w:fill="auto"/>
            <w:vAlign w:val="bottom"/>
          </w:tcPr>
          <w:p w14:paraId="5AF58D52"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16.375 </w:t>
            </w:r>
          </w:p>
        </w:tc>
        <w:tc>
          <w:tcPr>
            <w:tcW w:w="353" w:type="pct"/>
            <w:tcBorders>
              <w:top w:val="nil"/>
              <w:left w:val="nil"/>
              <w:bottom w:val="nil"/>
              <w:right w:val="nil"/>
            </w:tcBorders>
            <w:shd w:val="clear" w:color="auto" w:fill="auto"/>
            <w:vAlign w:val="bottom"/>
          </w:tcPr>
          <w:p w14:paraId="193B6074"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16.375 </w:t>
            </w:r>
          </w:p>
        </w:tc>
      </w:tr>
      <w:tr w:rsidR="004E2F51" w:rsidRPr="004275B9" w14:paraId="212D5930" w14:textId="77777777" w:rsidTr="00E032FC">
        <w:trPr>
          <w:trHeight w:val="189"/>
          <w:jc w:val="center"/>
        </w:trPr>
        <w:tc>
          <w:tcPr>
            <w:tcW w:w="888" w:type="pct"/>
            <w:vAlign w:val="bottom"/>
          </w:tcPr>
          <w:p w14:paraId="31F93CB6" w14:textId="77777777" w:rsidR="004E2F51" w:rsidRPr="004275B9" w:rsidRDefault="004E2F51" w:rsidP="00E032FC">
            <w:pPr>
              <w:tabs>
                <w:tab w:val="right" w:pos="1202"/>
              </w:tabs>
              <w:outlineLvl w:val="0"/>
              <w:rPr>
                <w:rFonts w:ascii="Arial" w:eastAsia="Calibri" w:hAnsi="Arial" w:cs="Arial"/>
                <w:color w:val="000000" w:themeColor="text1"/>
                <w:sz w:val="14"/>
                <w:szCs w:val="14"/>
                <w:lang w:val="hr-HR"/>
              </w:rPr>
            </w:pPr>
            <w:r w:rsidRPr="004275B9">
              <w:rPr>
                <w:rFonts w:ascii="Arial" w:eastAsia="Calibri" w:hAnsi="Arial" w:cs="Arial"/>
                <w:color w:val="000000" w:themeColor="text1"/>
                <w:sz w:val="14"/>
                <w:szCs w:val="14"/>
                <w:lang w:val="hr-HR"/>
              </w:rPr>
              <w:t>Financijska imovina po fer vrijednosti kroz ostalu sveobuhvatnu dobit</w:t>
            </w:r>
          </w:p>
        </w:tc>
        <w:tc>
          <w:tcPr>
            <w:tcW w:w="319" w:type="pct"/>
            <w:tcBorders>
              <w:top w:val="nil"/>
              <w:left w:val="nil"/>
              <w:bottom w:val="nil"/>
              <w:right w:val="nil"/>
            </w:tcBorders>
            <w:shd w:val="clear" w:color="auto" w:fill="auto"/>
            <w:vAlign w:val="bottom"/>
          </w:tcPr>
          <w:p w14:paraId="419ACD16"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2.928.045 </w:t>
            </w:r>
          </w:p>
        </w:tc>
        <w:tc>
          <w:tcPr>
            <w:tcW w:w="318" w:type="pct"/>
            <w:tcBorders>
              <w:top w:val="nil"/>
              <w:left w:val="nil"/>
              <w:bottom w:val="nil"/>
              <w:right w:val="nil"/>
            </w:tcBorders>
            <w:shd w:val="clear" w:color="auto" w:fill="auto"/>
            <w:vAlign w:val="bottom"/>
          </w:tcPr>
          <w:p w14:paraId="6ABA9CF5"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15" w:type="pct"/>
            <w:tcBorders>
              <w:top w:val="nil"/>
              <w:left w:val="nil"/>
              <w:bottom w:val="nil"/>
              <w:right w:val="nil"/>
            </w:tcBorders>
            <w:shd w:val="clear" w:color="auto" w:fill="auto"/>
            <w:vAlign w:val="bottom"/>
          </w:tcPr>
          <w:p w14:paraId="14244649"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1.469 </w:t>
            </w:r>
          </w:p>
        </w:tc>
        <w:tc>
          <w:tcPr>
            <w:tcW w:w="306" w:type="pct"/>
            <w:tcBorders>
              <w:top w:val="nil"/>
              <w:left w:val="nil"/>
              <w:bottom w:val="nil"/>
              <w:right w:val="nil"/>
            </w:tcBorders>
            <w:shd w:val="clear" w:color="auto" w:fill="auto"/>
            <w:vAlign w:val="bottom"/>
          </w:tcPr>
          <w:p w14:paraId="4EA92BD8"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32" w:type="pct"/>
            <w:tcBorders>
              <w:top w:val="nil"/>
              <w:left w:val="nil"/>
              <w:bottom w:val="nil"/>
              <w:right w:val="nil"/>
            </w:tcBorders>
            <w:shd w:val="clear" w:color="auto" w:fill="auto"/>
            <w:vAlign w:val="bottom"/>
          </w:tcPr>
          <w:p w14:paraId="4B03E8B1"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5" w:type="pct"/>
            <w:tcBorders>
              <w:top w:val="nil"/>
              <w:left w:val="nil"/>
              <w:bottom w:val="nil"/>
              <w:right w:val="nil"/>
            </w:tcBorders>
            <w:shd w:val="clear" w:color="auto" w:fill="auto"/>
            <w:vAlign w:val="bottom"/>
          </w:tcPr>
          <w:p w14:paraId="7002A55D"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2.929.514 </w:t>
            </w:r>
          </w:p>
        </w:tc>
        <w:tc>
          <w:tcPr>
            <w:tcW w:w="352" w:type="pct"/>
            <w:tcBorders>
              <w:top w:val="nil"/>
              <w:left w:val="nil"/>
              <w:bottom w:val="nil"/>
              <w:right w:val="nil"/>
            </w:tcBorders>
            <w:shd w:val="clear" w:color="auto" w:fill="auto"/>
            <w:vAlign w:val="bottom"/>
          </w:tcPr>
          <w:p w14:paraId="308EE389"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2.928.045 </w:t>
            </w:r>
          </w:p>
        </w:tc>
        <w:tc>
          <w:tcPr>
            <w:tcW w:w="353" w:type="pct"/>
            <w:tcBorders>
              <w:top w:val="nil"/>
              <w:left w:val="nil"/>
              <w:bottom w:val="nil"/>
              <w:right w:val="nil"/>
            </w:tcBorders>
            <w:shd w:val="clear" w:color="auto" w:fill="auto"/>
            <w:vAlign w:val="bottom"/>
          </w:tcPr>
          <w:p w14:paraId="74BBD742"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shd w:val="clear" w:color="auto" w:fill="auto"/>
            <w:vAlign w:val="bottom"/>
          </w:tcPr>
          <w:p w14:paraId="653DECAB"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1.469 </w:t>
            </w:r>
          </w:p>
        </w:tc>
        <w:tc>
          <w:tcPr>
            <w:tcW w:w="353" w:type="pct"/>
            <w:tcBorders>
              <w:top w:val="nil"/>
              <w:left w:val="nil"/>
              <w:bottom w:val="nil"/>
              <w:right w:val="nil"/>
            </w:tcBorders>
            <w:shd w:val="clear" w:color="auto" w:fill="auto"/>
            <w:vAlign w:val="bottom"/>
          </w:tcPr>
          <w:p w14:paraId="13AD5954"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401" w:type="pct"/>
            <w:tcBorders>
              <w:top w:val="nil"/>
              <w:left w:val="nil"/>
              <w:bottom w:val="nil"/>
              <w:right w:val="nil"/>
            </w:tcBorders>
            <w:shd w:val="clear" w:color="auto" w:fill="auto"/>
            <w:vAlign w:val="bottom"/>
          </w:tcPr>
          <w:p w14:paraId="7C48B2FE"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shd w:val="clear" w:color="auto" w:fill="auto"/>
            <w:vAlign w:val="bottom"/>
          </w:tcPr>
          <w:p w14:paraId="0C07C56B"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2.929.514 </w:t>
            </w:r>
          </w:p>
        </w:tc>
      </w:tr>
      <w:tr w:rsidR="004E2F51" w:rsidRPr="004275B9" w14:paraId="3B99774D" w14:textId="77777777" w:rsidTr="00E032FC">
        <w:trPr>
          <w:trHeight w:val="189"/>
          <w:jc w:val="center"/>
        </w:trPr>
        <w:tc>
          <w:tcPr>
            <w:tcW w:w="888" w:type="pct"/>
            <w:vAlign w:val="bottom"/>
          </w:tcPr>
          <w:p w14:paraId="63C34C92" w14:textId="77777777" w:rsidR="004E2F51" w:rsidRPr="004275B9" w:rsidRDefault="004E2F51" w:rsidP="00E032FC">
            <w:pPr>
              <w:tabs>
                <w:tab w:val="right" w:pos="1202"/>
              </w:tabs>
              <w:outlineLvl w:val="0"/>
              <w:rPr>
                <w:rFonts w:ascii="Arial" w:eastAsia="Calibri" w:hAnsi="Arial" w:cs="Arial"/>
                <w:color w:val="000000" w:themeColor="text1"/>
                <w:sz w:val="14"/>
                <w:szCs w:val="14"/>
                <w:lang w:val="hr-HR"/>
              </w:rPr>
            </w:pPr>
            <w:r w:rsidRPr="004275B9">
              <w:rPr>
                <w:rFonts w:ascii="Arial" w:eastAsia="Calibri" w:hAnsi="Arial" w:cs="Arial"/>
                <w:color w:val="000000" w:themeColor="text1"/>
                <w:sz w:val="14"/>
                <w:szCs w:val="14"/>
                <w:lang w:val="hr-HR"/>
              </w:rPr>
              <w:t>Ostala imovina</w:t>
            </w:r>
          </w:p>
        </w:tc>
        <w:tc>
          <w:tcPr>
            <w:tcW w:w="319" w:type="pct"/>
            <w:tcBorders>
              <w:top w:val="nil"/>
              <w:left w:val="nil"/>
              <w:bottom w:val="single" w:sz="8" w:space="0" w:color="auto"/>
              <w:right w:val="nil"/>
            </w:tcBorders>
            <w:shd w:val="clear" w:color="auto" w:fill="auto"/>
            <w:vAlign w:val="bottom"/>
          </w:tcPr>
          <w:p w14:paraId="565D577A"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5.938 </w:t>
            </w:r>
          </w:p>
        </w:tc>
        <w:tc>
          <w:tcPr>
            <w:tcW w:w="318" w:type="pct"/>
            <w:tcBorders>
              <w:top w:val="nil"/>
              <w:left w:val="nil"/>
              <w:bottom w:val="single" w:sz="8" w:space="0" w:color="auto"/>
              <w:right w:val="nil"/>
            </w:tcBorders>
            <w:shd w:val="clear" w:color="auto" w:fill="auto"/>
            <w:vAlign w:val="bottom"/>
          </w:tcPr>
          <w:p w14:paraId="55F1C660"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12 </w:t>
            </w:r>
          </w:p>
        </w:tc>
        <w:tc>
          <w:tcPr>
            <w:tcW w:w="315" w:type="pct"/>
            <w:tcBorders>
              <w:top w:val="nil"/>
              <w:left w:val="nil"/>
              <w:bottom w:val="single" w:sz="8" w:space="0" w:color="auto"/>
              <w:right w:val="nil"/>
            </w:tcBorders>
            <w:shd w:val="clear" w:color="auto" w:fill="auto"/>
            <w:vAlign w:val="bottom"/>
          </w:tcPr>
          <w:p w14:paraId="37542FA9"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1.310 </w:t>
            </w:r>
          </w:p>
        </w:tc>
        <w:tc>
          <w:tcPr>
            <w:tcW w:w="306" w:type="pct"/>
            <w:tcBorders>
              <w:top w:val="nil"/>
              <w:left w:val="nil"/>
              <w:bottom w:val="single" w:sz="8" w:space="0" w:color="auto"/>
              <w:right w:val="nil"/>
            </w:tcBorders>
            <w:shd w:val="clear" w:color="auto" w:fill="auto"/>
            <w:vAlign w:val="bottom"/>
          </w:tcPr>
          <w:p w14:paraId="33B5379E"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51 </w:t>
            </w:r>
          </w:p>
        </w:tc>
        <w:tc>
          <w:tcPr>
            <w:tcW w:w="332" w:type="pct"/>
            <w:tcBorders>
              <w:top w:val="nil"/>
              <w:left w:val="nil"/>
              <w:bottom w:val="single" w:sz="8" w:space="0" w:color="auto"/>
              <w:right w:val="nil"/>
            </w:tcBorders>
            <w:shd w:val="clear" w:color="auto" w:fill="auto"/>
            <w:vAlign w:val="bottom"/>
          </w:tcPr>
          <w:p w14:paraId="4A237E57"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5" w:type="pct"/>
            <w:tcBorders>
              <w:top w:val="nil"/>
              <w:left w:val="nil"/>
              <w:bottom w:val="single" w:sz="8" w:space="0" w:color="auto"/>
              <w:right w:val="nil"/>
            </w:tcBorders>
            <w:shd w:val="clear" w:color="auto" w:fill="auto"/>
            <w:vAlign w:val="bottom"/>
          </w:tcPr>
          <w:p w14:paraId="4EB2B68E"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7.311 </w:t>
            </w:r>
          </w:p>
        </w:tc>
        <w:tc>
          <w:tcPr>
            <w:tcW w:w="352" w:type="pct"/>
            <w:tcBorders>
              <w:top w:val="nil"/>
              <w:left w:val="nil"/>
              <w:bottom w:val="single" w:sz="8" w:space="0" w:color="auto"/>
              <w:right w:val="nil"/>
            </w:tcBorders>
            <w:vAlign w:val="bottom"/>
          </w:tcPr>
          <w:p w14:paraId="39125574"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2.398 </w:t>
            </w:r>
          </w:p>
        </w:tc>
        <w:tc>
          <w:tcPr>
            <w:tcW w:w="353" w:type="pct"/>
            <w:tcBorders>
              <w:top w:val="nil"/>
              <w:left w:val="nil"/>
              <w:bottom w:val="single" w:sz="8" w:space="0" w:color="auto"/>
              <w:right w:val="nil"/>
            </w:tcBorders>
            <w:vAlign w:val="bottom"/>
          </w:tcPr>
          <w:p w14:paraId="0F652440"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12 </w:t>
            </w:r>
          </w:p>
        </w:tc>
        <w:tc>
          <w:tcPr>
            <w:tcW w:w="353" w:type="pct"/>
            <w:tcBorders>
              <w:top w:val="nil"/>
              <w:left w:val="nil"/>
              <w:bottom w:val="single" w:sz="8" w:space="0" w:color="auto"/>
              <w:right w:val="nil"/>
            </w:tcBorders>
            <w:vAlign w:val="bottom"/>
          </w:tcPr>
          <w:p w14:paraId="362C6E50"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749 </w:t>
            </w:r>
          </w:p>
        </w:tc>
        <w:tc>
          <w:tcPr>
            <w:tcW w:w="353" w:type="pct"/>
            <w:tcBorders>
              <w:top w:val="nil"/>
              <w:left w:val="nil"/>
              <w:bottom w:val="single" w:sz="8" w:space="0" w:color="auto"/>
              <w:right w:val="nil"/>
            </w:tcBorders>
            <w:vAlign w:val="bottom"/>
          </w:tcPr>
          <w:p w14:paraId="6190BC57"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51 </w:t>
            </w:r>
          </w:p>
        </w:tc>
        <w:tc>
          <w:tcPr>
            <w:tcW w:w="401" w:type="pct"/>
            <w:tcBorders>
              <w:top w:val="nil"/>
              <w:left w:val="nil"/>
              <w:bottom w:val="single" w:sz="8" w:space="0" w:color="auto"/>
              <w:right w:val="nil"/>
            </w:tcBorders>
            <w:vAlign w:val="bottom"/>
          </w:tcPr>
          <w:p w14:paraId="0896482D"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eastAsia="Calibri" w:hAnsi="Arial" w:cs="Arial"/>
                <w:color w:val="000000" w:themeColor="text1"/>
                <w:sz w:val="14"/>
                <w:szCs w:val="14"/>
                <w:lang w:val="hr-HR"/>
              </w:rPr>
              <w:t>-</w:t>
            </w:r>
          </w:p>
        </w:tc>
        <w:tc>
          <w:tcPr>
            <w:tcW w:w="353" w:type="pct"/>
            <w:tcBorders>
              <w:top w:val="nil"/>
              <w:left w:val="nil"/>
              <w:bottom w:val="single" w:sz="8" w:space="0" w:color="auto"/>
              <w:right w:val="nil"/>
            </w:tcBorders>
            <w:vAlign w:val="bottom"/>
          </w:tcPr>
          <w:p w14:paraId="085B8F69"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3.210 </w:t>
            </w:r>
          </w:p>
        </w:tc>
      </w:tr>
      <w:tr w:rsidR="004E2F51" w:rsidRPr="004275B9" w14:paraId="177DC38B" w14:textId="77777777" w:rsidTr="00E032FC">
        <w:trPr>
          <w:trHeight w:val="201"/>
          <w:jc w:val="center"/>
        </w:trPr>
        <w:tc>
          <w:tcPr>
            <w:tcW w:w="888" w:type="pct"/>
            <w:vAlign w:val="bottom"/>
          </w:tcPr>
          <w:p w14:paraId="09829BBE" w14:textId="77777777" w:rsidR="004E2F51" w:rsidRPr="004275B9" w:rsidRDefault="004E2F51" w:rsidP="00E032FC">
            <w:pPr>
              <w:tabs>
                <w:tab w:val="right" w:pos="1202"/>
              </w:tabs>
              <w:spacing w:line="301" w:lineRule="exact"/>
              <w:outlineLvl w:val="0"/>
              <w:rPr>
                <w:rFonts w:ascii="Arial" w:eastAsia="Calibri" w:hAnsi="Arial" w:cs="Arial"/>
                <w:b/>
                <w:bCs/>
                <w:color w:val="000000" w:themeColor="text1"/>
                <w:sz w:val="14"/>
                <w:szCs w:val="14"/>
                <w:lang w:val="hr-HR"/>
              </w:rPr>
            </w:pPr>
            <w:r w:rsidRPr="004275B9">
              <w:rPr>
                <w:rFonts w:ascii="Arial" w:eastAsia="Calibri" w:hAnsi="Arial" w:cs="Arial"/>
                <w:b/>
                <w:bCs/>
                <w:color w:val="000000" w:themeColor="text1"/>
                <w:sz w:val="14"/>
                <w:szCs w:val="14"/>
                <w:lang w:val="hr-HR"/>
              </w:rPr>
              <w:t>Ukupno</w:t>
            </w:r>
          </w:p>
        </w:tc>
        <w:tc>
          <w:tcPr>
            <w:tcW w:w="319" w:type="pct"/>
            <w:tcBorders>
              <w:top w:val="nil"/>
              <w:left w:val="nil"/>
              <w:bottom w:val="single" w:sz="12" w:space="0" w:color="auto"/>
              <w:right w:val="nil"/>
            </w:tcBorders>
            <w:shd w:val="clear" w:color="auto" w:fill="auto"/>
            <w:vAlign w:val="bottom"/>
          </w:tcPr>
          <w:p w14:paraId="729D8889"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24.548.370 </w:t>
            </w:r>
          </w:p>
        </w:tc>
        <w:tc>
          <w:tcPr>
            <w:tcW w:w="318" w:type="pct"/>
            <w:tcBorders>
              <w:top w:val="nil"/>
              <w:left w:val="nil"/>
              <w:bottom w:val="single" w:sz="12" w:space="0" w:color="auto"/>
              <w:right w:val="nil"/>
            </w:tcBorders>
            <w:shd w:val="clear" w:color="auto" w:fill="auto"/>
            <w:vAlign w:val="bottom"/>
          </w:tcPr>
          <w:p w14:paraId="208BD8AC"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1.008.737 </w:t>
            </w:r>
          </w:p>
        </w:tc>
        <w:tc>
          <w:tcPr>
            <w:tcW w:w="315" w:type="pct"/>
            <w:tcBorders>
              <w:top w:val="nil"/>
              <w:left w:val="nil"/>
              <w:bottom w:val="single" w:sz="12" w:space="0" w:color="auto"/>
              <w:right w:val="nil"/>
            </w:tcBorders>
            <w:shd w:val="clear" w:color="auto" w:fill="auto"/>
            <w:vAlign w:val="bottom"/>
          </w:tcPr>
          <w:p w14:paraId="3003FD5A"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1.170.112 </w:t>
            </w:r>
          </w:p>
        </w:tc>
        <w:tc>
          <w:tcPr>
            <w:tcW w:w="306" w:type="pct"/>
            <w:tcBorders>
              <w:top w:val="nil"/>
              <w:left w:val="nil"/>
              <w:bottom w:val="single" w:sz="12" w:space="0" w:color="auto"/>
              <w:right w:val="nil"/>
            </w:tcBorders>
            <w:shd w:val="clear" w:color="auto" w:fill="auto"/>
            <w:vAlign w:val="bottom"/>
          </w:tcPr>
          <w:p w14:paraId="241B2862"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1.193.610 </w:t>
            </w:r>
          </w:p>
        </w:tc>
        <w:tc>
          <w:tcPr>
            <w:tcW w:w="332" w:type="pct"/>
            <w:tcBorders>
              <w:top w:val="nil"/>
              <w:left w:val="nil"/>
              <w:bottom w:val="single" w:sz="12" w:space="0" w:color="auto"/>
              <w:right w:val="nil"/>
            </w:tcBorders>
            <w:shd w:val="clear" w:color="auto" w:fill="auto"/>
            <w:vAlign w:val="bottom"/>
          </w:tcPr>
          <w:p w14:paraId="40E90467"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16.375 </w:t>
            </w:r>
          </w:p>
        </w:tc>
        <w:tc>
          <w:tcPr>
            <w:tcW w:w="355" w:type="pct"/>
            <w:tcBorders>
              <w:top w:val="nil"/>
              <w:left w:val="nil"/>
              <w:bottom w:val="single" w:sz="12" w:space="0" w:color="auto"/>
              <w:right w:val="nil"/>
            </w:tcBorders>
            <w:shd w:val="clear" w:color="auto" w:fill="auto"/>
            <w:vAlign w:val="bottom"/>
          </w:tcPr>
          <w:p w14:paraId="465AC43A"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27.937.204 </w:t>
            </w:r>
          </w:p>
        </w:tc>
        <w:tc>
          <w:tcPr>
            <w:tcW w:w="352" w:type="pct"/>
            <w:tcBorders>
              <w:top w:val="nil"/>
              <w:left w:val="nil"/>
              <w:bottom w:val="single" w:sz="12" w:space="0" w:color="auto"/>
              <w:right w:val="nil"/>
            </w:tcBorders>
            <w:vAlign w:val="bottom"/>
          </w:tcPr>
          <w:p w14:paraId="2326B2A0"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5.785.757 </w:t>
            </w:r>
          </w:p>
        </w:tc>
        <w:tc>
          <w:tcPr>
            <w:tcW w:w="353" w:type="pct"/>
            <w:tcBorders>
              <w:top w:val="nil"/>
              <w:left w:val="nil"/>
              <w:bottom w:val="single" w:sz="12" w:space="0" w:color="auto"/>
              <w:right w:val="nil"/>
            </w:tcBorders>
            <w:vAlign w:val="bottom"/>
          </w:tcPr>
          <w:p w14:paraId="1E9F5787"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92.804 </w:t>
            </w:r>
          </w:p>
        </w:tc>
        <w:tc>
          <w:tcPr>
            <w:tcW w:w="353" w:type="pct"/>
            <w:tcBorders>
              <w:top w:val="nil"/>
              <w:left w:val="nil"/>
              <w:bottom w:val="single" w:sz="12" w:space="0" w:color="auto"/>
              <w:right w:val="nil"/>
            </w:tcBorders>
            <w:vAlign w:val="bottom"/>
          </w:tcPr>
          <w:p w14:paraId="61EDA0BF"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207.823 </w:t>
            </w:r>
          </w:p>
        </w:tc>
        <w:tc>
          <w:tcPr>
            <w:tcW w:w="353" w:type="pct"/>
            <w:tcBorders>
              <w:top w:val="nil"/>
              <w:left w:val="nil"/>
              <w:bottom w:val="single" w:sz="12" w:space="0" w:color="auto"/>
              <w:right w:val="nil"/>
            </w:tcBorders>
            <w:vAlign w:val="bottom"/>
          </w:tcPr>
          <w:p w14:paraId="743C9CE5"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34.820 </w:t>
            </w:r>
          </w:p>
        </w:tc>
        <w:tc>
          <w:tcPr>
            <w:tcW w:w="401" w:type="pct"/>
            <w:tcBorders>
              <w:top w:val="nil"/>
              <w:left w:val="nil"/>
              <w:bottom w:val="single" w:sz="12" w:space="0" w:color="auto"/>
              <w:right w:val="nil"/>
            </w:tcBorders>
            <w:vAlign w:val="bottom"/>
          </w:tcPr>
          <w:p w14:paraId="545BF167"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16.375 </w:t>
            </w:r>
          </w:p>
        </w:tc>
        <w:tc>
          <w:tcPr>
            <w:tcW w:w="353" w:type="pct"/>
            <w:tcBorders>
              <w:top w:val="nil"/>
              <w:left w:val="nil"/>
              <w:bottom w:val="single" w:sz="12" w:space="0" w:color="auto"/>
              <w:right w:val="nil"/>
            </w:tcBorders>
            <w:vAlign w:val="bottom"/>
          </w:tcPr>
          <w:p w14:paraId="6648F221"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6.137.579 </w:t>
            </w:r>
          </w:p>
        </w:tc>
      </w:tr>
      <w:tr w:rsidR="004E2F51" w:rsidRPr="004275B9" w14:paraId="3E6EE704" w14:textId="77777777" w:rsidTr="00E032FC">
        <w:trPr>
          <w:trHeight w:val="168"/>
          <w:jc w:val="center"/>
        </w:trPr>
        <w:tc>
          <w:tcPr>
            <w:tcW w:w="888" w:type="pct"/>
            <w:vAlign w:val="bottom"/>
          </w:tcPr>
          <w:p w14:paraId="4EC36005" w14:textId="77777777" w:rsidR="004E2F51" w:rsidRPr="004275B9" w:rsidRDefault="004E2F51" w:rsidP="00E032FC">
            <w:pPr>
              <w:tabs>
                <w:tab w:val="right" w:pos="1202"/>
              </w:tabs>
              <w:spacing w:line="200" w:lineRule="exact"/>
              <w:outlineLvl w:val="0"/>
              <w:rPr>
                <w:rFonts w:ascii="Arial" w:eastAsia="Calibri" w:hAnsi="Arial" w:cs="Arial"/>
                <w:b/>
                <w:bCs/>
                <w:color w:val="000000" w:themeColor="text1"/>
                <w:sz w:val="14"/>
                <w:szCs w:val="14"/>
                <w:lang w:val="hr-HR"/>
              </w:rPr>
            </w:pPr>
            <w:r w:rsidRPr="004275B9">
              <w:rPr>
                <w:rFonts w:ascii="Arial" w:eastAsia="Calibri" w:hAnsi="Arial" w:cs="Arial"/>
                <w:b/>
                <w:bCs/>
                <w:color w:val="000000" w:themeColor="text1"/>
                <w:sz w:val="14"/>
                <w:szCs w:val="14"/>
                <w:lang w:val="hr-HR"/>
              </w:rPr>
              <w:t>Garancije i preuzete obveze</w:t>
            </w:r>
          </w:p>
        </w:tc>
        <w:tc>
          <w:tcPr>
            <w:tcW w:w="319" w:type="pct"/>
            <w:tcBorders>
              <w:top w:val="nil"/>
              <w:left w:val="nil"/>
              <w:bottom w:val="nil"/>
              <w:right w:val="nil"/>
            </w:tcBorders>
            <w:shd w:val="clear" w:color="auto" w:fill="auto"/>
            <w:vAlign w:val="bottom"/>
          </w:tcPr>
          <w:p w14:paraId="38478652" w14:textId="77777777" w:rsidR="004E2F51" w:rsidRPr="004275B9" w:rsidRDefault="004E2F51" w:rsidP="00E032FC">
            <w:pPr>
              <w:jc w:val="right"/>
              <w:rPr>
                <w:rFonts w:ascii="Arial" w:eastAsia="Calibri" w:hAnsi="Arial" w:cs="Arial"/>
                <w:color w:val="000000" w:themeColor="text1"/>
                <w:sz w:val="14"/>
                <w:szCs w:val="14"/>
                <w:lang w:val="hr-HR"/>
              </w:rPr>
            </w:pPr>
          </w:p>
        </w:tc>
        <w:tc>
          <w:tcPr>
            <w:tcW w:w="318" w:type="pct"/>
            <w:tcBorders>
              <w:top w:val="nil"/>
              <w:left w:val="nil"/>
              <w:bottom w:val="nil"/>
              <w:right w:val="nil"/>
            </w:tcBorders>
            <w:shd w:val="clear" w:color="auto" w:fill="auto"/>
            <w:vAlign w:val="bottom"/>
          </w:tcPr>
          <w:p w14:paraId="2AF8BDD9" w14:textId="77777777" w:rsidR="004E2F51" w:rsidRPr="004275B9" w:rsidRDefault="004E2F51" w:rsidP="00E032FC">
            <w:pPr>
              <w:jc w:val="right"/>
              <w:rPr>
                <w:rFonts w:ascii="Arial" w:eastAsia="Calibri" w:hAnsi="Arial" w:cs="Arial"/>
                <w:color w:val="000000" w:themeColor="text1"/>
                <w:sz w:val="14"/>
                <w:szCs w:val="14"/>
                <w:lang w:val="hr-HR"/>
              </w:rPr>
            </w:pPr>
          </w:p>
        </w:tc>
        <w:tc>
          <w:tcPr>
            <w:tcW w:w="315" w:type="pct"/>
            <w:tcBorders>
              <w:top w:val="nil"/>
              <w:left w:val="nil"/>
              <w:bottom w:val="nil"/>
              <w:right w:val="nil"/>
            </w:tcBorders>
            <w:shd w:val="clear" w:color="auto" w:fill="auto"/>
            <w:vAlign w:val="bottom"/>
          </w:tcPr>
          <w:p w14:paraId="2398014E" w14:textId="77777777" w:rsidR="004E2F51" w:rsidRPr="004275B9" w:rsidRDefault="004E2F51" w:rsidP="00E032FC">
            <w:pPr>
              <w:jc w:val="right"/>
              <w:rPr>
                <w:rFonts w:ascii="Arial" w:eastAsia="Calibri" w:hAnsi="Arial" w:cs="Arial"/>
                <w:color w:val="000000" w:themeColor="text1"/>
                <w:sz w:val="14"/>
                <w:szCs w:val="14"/>
                <w:lang w:val="hr-HR"/>
              </w:rPr>
            </w:pPr>
          </w:p>
        </w:tc>
        <w:tc>
          <w:tcPr>
            <w:tcW w:w="306" w:type="pct"/>
            <w:tcBorders>
              <w:top w:val="nil"/>
              <w:left w:val="nil"/>
              <w:bottom w:val="nil"/>
              <w:right w:val="nil"/>
            </w:tcBorders>
            <w:shd w:val="clear" w:color="auto" w:fill="auto"/>
            <w:vAlign w:val="bottom"/>
          </w:tcPr>
          <w:p w14:paraId="1976CE27" w14:textId="77777777" w:rsidR="004E2F51" w:rsidRPr="004275B9" w:rsidRDefault="004E2F51" w:rsidP="00E032FC">
            <w:pPr>
              <w:jc w:val="right"/>
              <w:rPr>
                <w:rFonts w:ascii="Arial" w:eastAsia="Calibri" w:hAnsi="Arial" w:cs="Arial"/>
                <w:color w:val="000000" w:themeColor="text1"/>
                <w:sz w:val="14"/>
                <w:szCs w:val="14"/>
                <w:lang w:val="hr-HR"/>
              </w:rPr>
            </w:pPr>
          </w:p>
        </w:tc>
        <w:tc>
          <w:tcPr>
            <w:tcW w:w="332" w:type="pct"/>
            <w:tcBorders>
              <w:top w:val="nil"/>
              <w:left w:val="nil"/>
              <w:bottom w:val="nil"/>
              <w:right w:val="nil"/>
            </w:tcBorders>
            <w:shd w:val="clear" w:color="auto" w:fill="auto"/>
            <w:vAlign w:val="bottom"/>
          </w:tcPr>
          <w:p w14:paraId="7DCF6636" w14:textId="77777777" w:rsidR="004E2F51" w:rsidRPr="004275B9" w:rsidRDefault="004E2F51" w:rsidP="00E032FC">
            <w:pPr>
              <w:jc w:val="right"/>
              <w:rPr>
                <w:rFonts w:ascii="Arial" w:eastAsia="Calibri" w:hAnsi="Arial" w:cs="Arial"/>
                <w:color w:val="000000" w:themeColor="text1"/>
                <w:sz w:val="14"/>
                <w:szCs w:val="14"/>
                <w:lang w:val="hr-HR"/>
              </w:rPr>
            </w:pPr>
          </w:p>
        </w:tc>
        <w:tc>
          <w:tcPr>
            <w:tcW w:w="355" w:type="pct"/>
            <w:tcBorders>
              <w:top w:val="nil"/>
              <w:left w:val="nil"/>
              <w:bottom w:val="nil"/>
              <w:right w:val="nil"/>
            </w:tcBorders>
            <w:shd w:val="clear" w:color="auto" w:fill="auto"/>
            <w:vAlign w:val="bottom"/>
          </w:tcPr>
          <w:p w14:paraId="189120BA" w14:textId="77777777" w:rsidR="004E2F51" w:rsidRPr="004275B9" w:rsidRDefault="004E2F51" w:rsidP="00E032FC">
            <w:pPr>
              <w:jc w:val="right"/>
              <w:rPr>
                <w:rFonts w:ascii="Arial" w:eastAsia="Calibri" w:hAnsi="Arial" w:cs="Arial"/>
                <w:color w:val="000000" w:themeColor="text1"/>
                <w:sz w:val="14"/>
                <w:szCs w:val="14"/>
                <w:lang w:val="hr-HR"/>
              </w:rPr>
            </w:pPr>
          </w:p>
        </w:tc>
        <w:tc>
          <w:tcPr>
            <w:tcW w:w="352" w:type="pct"/>
            <w:tcBorders>
              <w:top w:val="nil"/>
              <w:left w:val="nil"/>
              <w:bottom w:val="nil"/>
              <w:right w:val="nil"/>
            </w:tcBorders>
            <w:vAlign w:val="bottom"/>
          </w:tcPr>
          <w:p w14:paraId="12A143D5" w14:textId="77777777" w:rsidR="004E2F51" w:rsidRPr="004275B9" w:rsidRDefault="004E2F51" w:rsidP="00E032FC">
            <w:pPr>
              <w:jc w:val="right"/>
              <w:rPr>
                <w:rFonts w:ascii="Arial" w:eastAsia="Calibri" w:hAnsi="Arial" w:cs="Arial"/>
                <w:color w:val="000000" w:themeColor="text1"/>
                <w:sz w:val="14"/>
                <w:szCs w:val="14"/>
                <w:lang w:val="hr-HR"/>
              </w:rPr>
            </w:pPr>
          </w:p>
        </w:tc>
        <w:tc>
          <w:tcPr>
            <w:tcW w:w="353" w:type="pct"/>
            <w:tcBorders>
              <w:top w:val="nil"/>
              <w:left w:val="nil"/>
              <w:bottom w:val="nil"/>
              <w:right w:val="nil"/>
            </w:tcBorders>
            <w:vAlign w:val="bottom"/>
          </w:tcPr>
          <w:p w14:paraId="4FB40810" w14:textId="77777777" w:rsidR="004E2F51" w:rsidRPr="004275B9" w:rsidRDefault="004E2F51" w:rsidP="00E032FC">
            <w:pPr>
              <w:jc w:val="right"/>
              <w:rPr>
                <w:rFonts w:ascii="Arial" w:eastAsia="Calibri" w:hAnsi="Arial" w:cs="Arial"/>
                <w:color w:val="000000" w:themeColor="text1"/>
                <w:sz w:val="14"/>
                <w:szCs w:val="14"/>
                <w:lang w:val="hr-HR"/>
              </w:rPr>
            </w:pPr>
          </w:p>
        </w:tc>
        <w:tc>
          <w:tcPr>
            <w:tcW w:w="353" w:type="pct"/>
            <w:tcBorders>
              <w:top w:val="nil"/>
              <w:left w:val="nil"/>
              <w:bottom w:val="nil"/>
              <w:right w:val="nil"/>
            </w:tcBorders>
            <w:vAlign w:val="bottom"/>
          </w:tcPr>
          <w:p w14:paraId="48A624CE" w14:textId="77777777" w:rsidR="004E2F51" w:rsidRPr="004275B9" w:rsidRDefault="004E2F51" w:rsidP="00E032FC">
            <w:pPr>
              <w:jc w:val="right"/>
              <w:rPr>
                <w:rFonts w:ascii="Arial" w:eastAsia="Calibri" w:hAnsi="Arial" w:cs="Arial"/>
                <w:color w:val="000000" w:themeColor="text1"/>
                <w:sz w:val="14"/>
                <w:szCs w:val="14"/>
                <w:lang w:val="hr-HR"/>
              </w:rPr>
            </w:pPr>
          </w:p>
        </w:tc>
        <w:tc>
          <w:tcPr>
            <w:tcW w:w="353" w:type="pct"/>
            <w:tcBorders>
              <w:top w:val="nil"/>
              <w:left w:val="nil"/>
              <w:bottom w:val="nil"/>
              <w:right w:val="nil"/>
            </w:tcBorders>
            <w:vAlign w:val="bottom"/>
          </w:tcPr>
          <w:p w14:paraId="28DEC842" w14:textId="77777777" w:rsidR="004E2F51" w:rsidRPr="004275B9" w:rsidRDefault="004E2F51" w:rsidP="00E032FC">
            <w:pPr>
              <w:jc w:val="right"/>
              <w:rPr>
                <w:rFonts w:ascii="Arial" w:eastAsia="Calibri" w:hAnsi="Arial" w:cs="Arial"/>
                <w:color w:val="000000" w:themeColor="text1"/>
                <w:sz w:val="14"/>
                <w:szCs w:val="14"/>
                <w:lang w:val="hr-HR"/>
              </w:rPr>
            </w:pPr>
          </w:p>
        </w:tc>
        <w:tc>
          <w:tcPr>
            <w:tcW w:w="401" w:type="pct"/>
            <w:tcBorders>
              <w:top w:val="nil"/>
              <w:left w:val="nil"/>
              <w:bottom w:val="nil"/>
              <w:right w:val="nil"/>
            </w:tcBorders>
            <w:vAlign w:val="bottom"/>
          </w:tcPr>
          <w:p w14:paraId="05B54227" w14:textId="77777777" w:rsidR="004E2F51" w:rsidRPr="004275B9" w:rsidRDefault="004E2F51" w:rsidP="00E032FC">
            <w:pPr>
              <w:jc w:val="right"/>
              <w:rPr>
                <w:rFonts w:ascii="Arial" w:eastAsia="Calibri" w:hAnsi="Arial" w:cs="Arial"/>
                <w:color w:val="000000" w:themeColor="text1"/>
                <w:sz w:val="14"/>
                <w:szCs w:val="14"/>
                <w:lang w:val="hr-HR"/>
              </w:rPr>
            </w:pPr>
          </w:p>
        </w:tc>
        <w:tc>
          <w:tcPr>
            <w:tcW w:w="353" w:type="pct"/>
            <w:tcBorders>
              <w:top w:val="nil"/>
              <w:left w:val="nil"/>
              <w:bottom w:val="nil"/>
              <w:right w:val="nil"/>
            </w:tcBorders>
            <w:vAlign w:val="bottom"/>
          </w:tcPr>
          <w:p w14:paraId="15B79229" w14:textId="77777777" w:rsidR="004E2F51" w:rsidRPr="004275B9" w:rsidRDefault="004E2F51" w:rsidP="00E032FC">
            <w:pPr>
              <w:jc w:val="right"/>
              <w:rPr>
                <w:rFonts w:ascii="Arial" w:eastAsia="Calibri" w:hAnsi="Arial" w:cs="Arial"/>
                <w:color w:val="000000" w:themeColor="text1"/>
                <w:sz w:val="14"/>
                <w:szCs w:val="14"/>
                <w:lang w:val="hr-HR"/>
              </w:rPr>
            </w:pPr>
          </w:p>
        </w:tc>
      </w:tr>
      <w:tr w:rsidR="004E2F51" w:rsidRPr="004275B9" w14:paraId="376BDD28" w14:textId="77777777" w:rsidTr="00E032FC">
        <w:trPr>
          <w:trHeight w:val="189"/>
          <w:jc w:val="center"/>
        </w:trPr>
        <w:tc>
          <w:tcPr>
            <w:tcW w:w="888" w:type="pct"/>
            <w:vAlign w:val="bottom"/>
          </w:tcPr>
          <w:p w14:paraId="3FA1602A" w14:textId="77777777" w:rsidR="004E2F51" w:rsidRPr="004275B9" w:rsidRDefault="004E2F51" w:rsidP="00E032FC">
            <w:pPr>
              <w:tabs>
                <w:tab w:val="right" w:pos="1202"/>
              </w:tabs>
              <w:outlineLvl w:val="0"/>
              <w:rPr>
                <w:rFonts w:ascii="Arial" w:eastAsia="Calibri" w:hAnsi="Arial" w:cs="Arial"/>
                <w:b/>
                <w:bCs/>
                <w:color w:val="000000" w:themeColor="text1"/>
                <w:sz w:val="14"/>
                <w:szCs w:val="14"/>
                <w:lang w:val="hr-HR"/>
              </w:rPr>
            </w:pPr>
            <w:r w:rsidRPr="004275B9">
              <w:rPr>
                <w:rFonts w:ascii="Arial" w:eastAsia="Calibri" w:hAnsi="Arial" w:cs="Arial"/>
                <w:color w:val="000000" w:themeColor="text1"/>
                <w:sz w:val="14"/>
                <w:szCs w:val="14"/>
                <w:lang w:val="hr-HR"/>
              </w:rPr>
              <w:t>Izdane garancije u kunama</w:t>
            </w:r>
          </w:p>
        </w:tc>
        <w:tc>
          <w:tcPr>
            <w:tcW w:w="319" w:type="pct"/>
            <w:tcBorders>
              <w:top w:val="nil"/>
              <w:left w:val="nil"/>
              <w:bottom w:val="nil"/>
              <w:right w:val="nil"/>
            </w:tcBorders>
            <w:shd w:val="clear" w:color="auto" w:fill="auto"/>
            <w:vAlign w:val="bottom"/>
          </w:tcPr>
          <w:p w14:paraId="2CF311B0"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71.262 </w:t>
            </w:r>
          </w:p>
        </w:tc>
        <w:tc>
          <w:tcPr>
            <w:tcW w:w="318" w:type="pct"/>
            <w:tcBorders>
              <w:top w:val="nil"/>
              <w:left w:val="nil"/>
              <w:bottom w:val="nil"/>
              <w:right w:val="nil"/>
            </w:tcBorders>
            <w:shd w:val="clear" w:color="auto" w:fill="auto"/>
            <w:vAlign w:val="bottom"/>
          </w:tcPr>
          <w:p w14:paraId="03FA4C08"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22.713 </w:t>
            </w:r>
          </w:p>
        </w:tc>
        <w:tc>
          <w:tcPr>
            <w:tcW w:w="315" w:type="pct"/>
            <w:tcBorders>
              <w:top w:val="nil"/>
              <w:left w:val="nil"/>
              <w:bottom w:val="nil"/>
              <w:right w:val="nil"/>
            </w:tcBorders>
            <w:shd w:val="clear" w:color="auto" w:fill="auto"/>
            <w:vAlign w:val="bottom"/>
          </w:tcPr>
          <w:p w14:paraId="34438023"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46.138 </w:t>
            </w:r>
          </w:p>
        </w:tc>
        <w:tc>
          <w:tcPr>
            <w:tcW w:w="306" w:type="pct"/>
            <w:tcBorders>
              <w:top w:val="nil"/>
              <w:left w:val="nil"/>
              <w:bottom w:val="nil"/>
              <w:right w:val="nil"/>
            </w:tcBorders>
            <w:shd w:val="clear" w:color="auto" w:fill="auto"/>
            <w:vAlign w:val="bottom"/>
          </w:tcPr>
          <w:p w14:paraId="1C977F28"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32" w:type="pct"/>
            <w:tcBorders>
              <w:top w:val="nil"/>
              <w:left w:val="nil"/>
              <w:bottom w:val="nil"/>
              <w:right w:val="nil"/>
            </w:tcBorders>
            <w:shd w:val="clear" w:color="auto" w:fill="auto"/>
            <w:vAlign w:val="bottom"/>
          </w:tcPr>
          <w:p w14:paraId="7AF5DD19"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5" w:type="pct"/>
            <w:tcBorders>
              <w:top w:val="nil"/>
              <w:left w:val="nil"/>
              <w:bottom w:val="nil"/>
              <w:right w:val="nil"/>
            </w:tcBorders>
            <w:shd w:val="clear" w:color="auto" w:fill="auto"/>
            <w:vAlign w:val="bottom"/>
          </w:tcPr>
          <w:p w14:paraId="452FF16E"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140.113 </w:t>
            </w:r>
          </w:p>
        </w:tc>
        <w:tc>
          <w:tcPr>
            <w:tcW w:w="352" w:type="pct"/>
            <w:tcBorders>
              <w:top w:val="nil"/>
              <w:left w:val="nil"/>
              <w:bottom w:val="nil"/>
              <w:right w:val="nil"/>
            </w:tcBorders>
            <w:vAlign w:val="bottom"/>
          </w:tcPr>
          <w:p w14:paraId="5B4DF1C9"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30.516 </w:t>
            </w:r>
          </w:p>
        </w:tc>
        <w:tc>
          <w:tcPr>
            <w:tcW w:w="353" w:type="pct"/>
            <w:tcBorders>
              <w:top w:val="nil"/>
              <w:left w:val="nil"/>
              <w:bottom w:val="nil"/>
              <w:right w:val="nil"/>
            </w:tcBorders>
            <w:vAlign w:val="bottom"/>
          </w:tcPr>
          <w:p w14:paraId="58418A47"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18.957 </w:t>
            </w:r>
          </w:p>
        </w:tc>
        <w:tc>
          <w:tcPr>
            <w:tcW w:w="353" w:type="pct"/>
            <w:tcBorders>
              <w:top w:val="nil"/>
              <w:left w:val="nil"/>
              <w:bottom w:val="nil"/>
              <w:right w:val="nil"/>
            </w:tcBorders>
            <w:vAlign w:val="bottom"/>
          </w:tcPr>
          <w:p w14:paraId="6562B2F6"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20.938 </w:t>
            </w:r>
          </w:p>
        </w:tc>
        <w:tc>
          <w:tcPr>
            <w:tcW w:w="353" w:type="pct"/>
            <w:tcBorders>
              <w:top w:val="nil"/>
              <w:left w:val="nil"/>
              <w:bottom w:val="nil"/>
              <w:right w:val="nil"/>
            </w:tcBorders>
            <w:vAlign w:val="bottom"/>
          </w:tcPr>
          <w:p w14:paraId="16787A29"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401" w:type="pct"/>
            <w:tcBorders>
              <w:top w:val="nil"/>
              <w:left w:val="nil"/>
              <w:bottom w:val="nil"/>
              <w:right w:val="nil"/>
            </w:tcBorders>
            <w:vAlign w:val="bottom"/>
          </w:tcPr>
          <w:p w14:paraId="26F334DD"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vAlign w:val="bottom"/>
          </w:tcPr>
          <w:p w14:paraId="5B3FBE14"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70.411 </w:t>
            </w:r>
          </w:p>
        </w:tc>
      </w:tr>
      <w:tr w:rsidR="004E2F51" w:rsidRPr="004275B9" w14:paraId="41E644AB" w14:textId="77777777" w:rsidTr="00E032FC">
        <w:trPr>
          <w:trHeight w:val="189"/>
          <w:jc w:val="center"/>
        </w:trPr>
        <w:tc>
          <w:tcPr>
            <w:tcW w:w="888" w:type="pct"/>
            <w:vAlign w:val="bottom"/>
          </w:tcPr>
          <w:p w14:paraId="401023D8" w14:textId="77777777" w:rsidR="004E2F51" w:rsidRPr="004275B9" w:rsidRDefault="004E2F51" w:rsidP="00E032FC">
            <w:pPr>
              <w:tabs>
                <w:tab w:val="right" w:pos="1202"/>
              </w:tabs>
              <w:outlineLvl w:val="0"/>
              <w:rPr>
                <w:rFonts w:ascii="Arial" w:eastAsia="Calibri" w:hAnsi="Arial" w:cs="Arial"/>
                <w:color w:val="000000" w:themeColor="text1"/>
                <w:sz w:val="14"/>
                <w:szCs w:val="14"/>
                <w:lang w:val="hr-HR"/>
              </w:rPr>
            </w:pPr>
            <w:r w:rsidRPr="004275B9">
              <w:rPr>
                <w:rFonts w:ascii="Arial" w:eastAsia="Calibri" w:hAnsi="Arial" w:cs="Arial"/>
                <w:color w:val="000000" w:themeColor="text1"/>
                <w:sz w:val="14"/>
                <w:szCs w:val="14"/>
                <w:lang w:val="hr-HR"/>
              </w:rPr>
              <w:t>Izdane garancije u devizama</w:t>
            </w:r>
          </w:p>
        </w:tc>
        <w:tc>
          <w:tcPr>
            <w:tcW w:w="319" w:type="pct"/>
            <w:tcBorders>
              <w:top w:val="nil"/>
              <w:left w:val="nil"/>
              <w:bottom w:val="nil"/>
              <w:right w:val="nil"/>
            </w:tcBorders>
            <w:shd w:val="clear" w:color="auto" w:fill="auto"/>
            <w:vAlign w:val="bottom"/>
          </w:tcPr>
          <w:p w14:paraId="463BE6EA"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62.694 </w:t>
            </w:r>
          </w:p>
        </w:tc>
        <w:tc>
          <w:tcPr>
            <w:tcW w:w="318" w:type="pct"/>
            <w:tcBorders>
              <w:top w:val="nil"/>
              <w:left w:val="nil"/>
              <w:bottom w:val="nil"/>
              <w:right w:val="nil"/>
            </w:tcBorders>
            <w:shd w:val="clear" w:color="auto" w:fill="auto"/>
            <w:vAlign w:val="bottom"/>
          </w:tcPr>
          <w:p w14:paraId="031689DC"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377 </w:t>
            </w:r>
          </w:p>
        </w:tc>
        <w:tc>
          <w:tcPr>
            <w:tcW w:w="315" w:type="pct"/>
            <w:tcBorders>
              <w:top w:val="nil"/>
              <w:left w:val="nil"/>
              <w:bottom w:val="nil"/>
              <w:right w:val="nil"/>
            </w:tcBorders>
            <w:shd w:val="clear" w:color="auto" w:fill="auto"/>
            <w:vAlign w:val="bottom"/>
          </w:tcPr>
          <w:p w14:paraId="12B37126"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197.634 </w:t>
            </w:r>
          </w:p>
        </w:tc>
        <w:tc>
          <w:tcPr>
            <w:tcW w:w="306" w:type="pct"/>
            <w:tcBorders>
              <w:top w:val="nil"/>
              <w:left w:val="nil"/>
              <w:bottom w:val="nil"/>
              <w:right w:val="nil"/>
            </w:tcBorders>
            <w:shd w:val="clear" w:color="auto" w:fill="auto"/>
            <w:vAlign w:val="bottom"/>
          </w:tcPr>
          <w:p w14:paraId="09088970"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32" w:type="pct"/>
            <w:tcBorders>
              <w:top w:val="nil"/>
              <w:left w:val="nil"/>
              <w:bottom w:val="nil"/>
              <w:right w:val="nil"/>
            </w:tcBorders>
            <w:shd w:val="clear" w:color="auto" w:fill="auto"/>
            <w:vAlign w:val="bottom"/>
          </w:tcPr>
          <w:p w14:paraId="278D54DF"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5" w:type="pct"/>
            <w:tcBorders>
              <w:top w:val="nil"/>
              <w:left w:val="nil"/>
              <w:bottom w:val="nil"/>
              <w:right w:val="nil"/>
            </w:tcBorders>
            <w:shd w:val="clear" w:color="auto" w:fill="auto"/>
            <w:vAlign w:val="bottom"/>
          </w:tcPr>
          <w:p w14:paraId="73FDB7EA"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260.705 </w:t>
            </w:r>
          </w:p>
        </w:tc>
        <w:tc>
          <w:tcPr>
            <w:tcW w:w="352" w:type="pct"/>
            <w:tcBorders>
              <w:top w:val="nil"/>
              <w:left w:val="nil"/>
              <w:bottom w:val="nil"/>
              <w:right w:val="nil"/>
            </w:tcBorders>
            <w:vAlign w:val="bottom"/>
          </w:tcPr>
          <w:p w14:paraId="67858218"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49.764 </w:t>
            </w:r>
          </w:p>
        </w:tc>
        <w:tc>
          <w:tcPr>
            <w:tcW w:w="353" w:type="pct"/>
            <w:tcBorders>
              <w:top w:val="nil"/>
              <w:left w:val="nil"/>
              <w:bottom w:val="nil"/>
              <w:right w:val="nil"/>
            </w:tcBorders>
            <w:vAlign w:val="bottom"/>
          </w:tcPr>
          <w:p w14:paraId="07DCB6C0"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vAlign w:val="bottom"/>
          </w:tcPr>
          <w:p w14:paraId="395BAA09"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71.433 </w:t>
            </w:r>
          </w:p>
        </w:tc>
        <w:tc>
          <w:tcPr>
            <w:tcW w:w="353" w:type="pct"/>
            <w:tcBorders>
              <w:top w:val="nil"/>
              <w:left w:val="nil"/>
              <w:bottom w:val="nil"/>
              <w:right w:val="nil"/>
            </w:tcBorders>
            <w:vAlign w:val="bottom"/>
          </w:tcPr>
          <w:p w14:paraId="0C96DD49"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401" w:type="pct"/>
            <w:tcBorders>
              <w:top w:val="nil"/>
              <w:left w:val="nil"/>
              <w:bottom w:val="nil"/>
              <w:right w:val="nil"/>
            </w:tcBorders>
            <w:vAlign w:val="bottom"/>
          </w:tcPr>
          <w:p w14:paraId="12B3EDF9"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nil"/>
              <w:right w:val="nil"/>
            </w:tcBorders>
            <w:vAlign w:val="bottom"/>
          </w:tcPr>
          <w:p w14:paraId="1BBD22A1"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121.197 </w:t>
            </w:r>
          </w:p>
        </w:tc>
      </w:tr>
      <w:tr w:rsidR="004E2F51" w:rsidRPr="004275B9" w14:paraId="04810F66" w14:textId="77777777" w:rsidTr="00E032FC">
        <w:trPr>
          <w:trHeight w:val="189"/>
          <w:jc w:val="center"/>
        </w:trPr>
        <w:tc>
          <w:tcPr>
            <w:tcW w:w="888" w:type="pct"/>
            <w:vAlign w:val="bottom"/>
          </w:tcPr>
          <w:p w14:paraId="39E52738" w14:textId="77777777" w:rsidR="004E2F51" w:rsidRPr="004275B9" w:rsidRDefault="004E2F51" w:rsidP="00E032FC">
            <w:pPr>
              <w:tabs>
                <w:tab w:val="right" w:pos="1202"/>
              </w:tabs>
              <w:outlineLvl w:val="0"/>
              <w:rPr>
                <w:rFonts w:ascii="Arial" w:eastAsia="Calibri" w:hAnsi="Arial" w:cs="Arial"/>
                <w:color w:val="000000" w:themeColor="text1"/>
                <w:sz w:val="14"/>
                <w:szCs w:val="14"/>
                <w:lang w:val="hr-HR"/>
              </w:rPr>
            </w:pPr>
            <w:r w:rsidRPr="004275B9">
              <w:rPr>
                <w:rFonts w:ascii="Arial" w:eastAsia="Calibri" w:hAnsi="Arial" w:cs="Arial"/>
                <w:color w:val="000000" w:themeColor="text1"/>
                <w:sz w:val="14"/>
                <w:szCs w:val="14"/>
                <w:lang w:val="hr-HR"/>
              </w:rPr>
              <w:t>Preuzete obveze po kreditima</w:t>
            </w:r>
          </w:p>
        </w:tc>
        <w:tc>
          <w:tcPr>
            <w:tcW w:w="319" w:type="pct"/>
            <w:tcBorders>
              <w:top w:val="nil"/>
              <w:left w:val="nil"/>
              <w:bottom w:val="single" w:sz="6" w:space="0" w:color="auto"/>
              <w:right w:val="nil"/>
            </w:tcBorders>
            <w:shd w:val="clear" w:color="auto" w:fill="auto"/>
            <w:vAlign w:val="bottom"/>
          </w:tcPr>
          <w:p w14:paraId="271E53AE"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3.167.285 </w:t>
            </w:r>
          </w:p>
        </w:tc>
        <w:tc>
          <w:tcPr>
            <w:tcW w:w="318" w:type="pct"/>
            <w:tcBorders>
              <w:top w:val="nil"/>
              <w:left w:val="nil"/>
              <w:bottom w:val="single" w:sz="6" w:space="0" w:color="auto"/>
              <w:right w:val="nil"/>
            </w:tcBorders>
            <w:shd w:val="clear" w:color="auto" w:fill="auto"/>
            <w:vAlign w:val="bottom"/>
          </w:tcPr>
          <w:p w14:paraId="517D06DD"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253.401 </w:t>
            </w:r>
          </w:p>
        </w:tc>
        <w:tc>
          <w:tcPr>
            <w:tcW w:w="315" w:type="pct"/>
            <w:tcBorders>
              <w:top w:val="nil"/>
              <w:left w:val="nil"/>
              <w:bottom w:val="single" w:sz="6" w:space="0" w:color="auto"/>
              <w:right w:val="nil"/>
            </w:tcBorders>
            <w:shd w:val="clear" w:color="auto" w:fill="auto"/>
            <w:vAlign w:val="bottom"/>
          </w:tcPr>
          <w:p w14:paraId="447D1F28"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06" w:type="pct"/>
            <w:tcBorders>
              <w:top w:val="nil"/>
              <w:left w:val="nil"/>
              <w:bottom w:val="single" w:sz="6" w:space="0" w:color="auto"/>
              <w:right w:val="nil"/>
            </w:tcBorders>
            <w:shd w:val="clear" w:color="auto" w:fill="auto"/>
            <w:vAlign w:val="bottom"/>
          </w:tcPr>
          <w:p w14:paraId="0F211754"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36.605 </w:t>
            </w:r>
          </w:p>
        </w:tc>
        <w:tc>
          <w:tcPr>
            <w:tcW w:w="332" w:type="pct"/>
            <w:tcBorders>
              <w:top w:val="nil"/>
              <w:left w:val="nil"/>
              <w:bottom w:val="single" w:sz="6" w:space="0" w:color="auto"/>
              <w:right w:val="nil"/>
            </w:tcBorders>
            <w:shd w:val="clear" w:color="auto" w:fill="auto"/>
            <w:vAlign w:val="bottom"/>
          </w:tcPr>
          <w:p w14:paraId="0388A42C"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5" w:type="pct"/>
            <w:tcBorders>
              <w:top w:val="nil"/>
              <w:left w:val="nil"/>
              <w:bottom w:val="single" w:sz="6" w:space="0" w:color="auto"/>
              <w:right w:val="nil"/>
            </w:tcBorders>
            <w:shd w:val="clear" w:color="auto" w:fill="auto"/>
            <w:vAlign w:val="bottom"/>
          </w:tcPr>
          <w:p w14:paraId="2C0ED75F"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3.457.291 </w:t>
            </w:r>
          </w:p>
        </w:tc>
        <w:tc>
          <w:tcPr>
            <w:tcW w:w="352" w:type="pct"/>
            <w:tcBorders>
              <w:top w:val="nil"/>
              <w:left w:val="nil"/>
              <w:bottom w:val="single" w:sz="6" w:space="0" w:color="auto"/>
              <w:right w:val="nil"/>
            </w:tcBorders>
            <w:vAlign w:val="bottom"/>
          </w:tcPr>
          <w:p w14:paraId="50691181"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282.102 </w:t>
            </w:r>
          </w:p>
        </w:tc>
        <w:tc>
          <w:tcPr>
            <w:tcW w:w="353" w:type="pct"/>
            <w:tcBorders>
              <w:top w:val="nil"/>
              <w:left w:val="nil"/>
              <w:bottom w:val="single" w:sz="6" w:space="0" w:color="auto"/>
              <w:right w:val="nil"/>
            </w:tcBorders>
            <w:vAlign w:val="bottom"/>
          </w:tcPr>
          <w:p w14:paraId="69D17254"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140.095 </w:t>
            </w:r>
          </w:p>
        </w:tc>
        <w:tc>
          <w:tcPr>
            <w:tcW w:w="353" w:type="pct"/>
            <w:tcBorders>
              <w:top w:val="nil"/>
              <w:left w:val="nil"/>
              <w:bottom w:val="single" w:sz="6" w:space="0" w:color="auto"/>
              <w:right w:val="nil"/>
            </w:tcBorders>
            <w:vAlign w:val="bottom"/>
          </w:tcPr>
          <w:p w14:paraId="231BF302"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single" w:sz="6" w:space="0" w:color="auto"/>
              <w:right w:val="nil"/>
            </w:tcBorders>
            <w:vAlign w:val="bottom"/>
          </w:tcPr>
          <w:p w14:paraId="02465C30"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782 </w:t>
            </w:r>
          </w:p>
        </w:tc>
        <w:tc>
          <w:tcPr>
            <w:tcW w:w="401" w:type="pct"/>
            <w:tcBorders>
              <w:top w:val="nil"/>
              <w:left w:val="nil"/>
              <w:bottom w:val="single" w:sz="6" w:space="0" w:color="auto"/>
              <w:right w:val="nil"/>
            </w:tcBorders>
            <w:vAlign w:val="bottom"/>
          </w:tcPr>
          <w:p w14:paraId="604B4359"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 </w:t>
            </w:r>
          </w:p>
        </w:tc>
        <w:tc>
          <w:tcPr>
            <w:tcW w:w="353" w:type="pct"/>
            <w:tcBorders>
              <w:top w:val="nil"/>
              <w:left w:val="nil"/>
              <w:bottom w:val="single" w:sz="6" w:space="0" w:color="auto"/>
              <w:right w:val="nil"/>
            </w:tcBorders>
            <w:vAlign w:val="bottom"/>
          </w:tcPr>
          <w:p w14:paraId="4263AA17" w14:textId="77777777" w:rsidR="004E2F51" w:rsidRPr="004275B9" w:rsidRDefault="004E2F51" w:rsidP="00E032FC">
            <w:pPr>
              <w:jc w:val="right"/>
              <w:rPr>
                <w:rFonts w:ascii="Arial" w:eastAsia="Calibri" w:hAnsi="Arial" w:cs="Arial"/>
                <w:color w:val="000000" w:themeColor="text1"/>
                <w:sz w:val="14"/>
                <w:szCs w:val="14"/>
                <w:lang w:val="hr-HR"/>
              </w:rPr>
            </w:pPr>
            <w:r w:rsidRPr="004275B9">
              <w:rPr>
                <w:rFonts w:ascii="Arial" w:hAnsi="Arial" w:cs="Arial"/>
                <w:sz w:val="14"/>
                <w:szCs w:val="14"/>
              </w:rPr>
              <w:t xml:space="preserve"> 422.979 </w:t>
            </w:r>
          </w:p>
        </w:tc>
      </w:tr>
      <w:tr w:rsidR="004E2F51" w:rsidRPr="004275B9" w14:paraId="4E3BD75D" w14:textId="77777777" w:rsidTr="00E032FC">
        <w:trPr>
          <w:trHeight w:val="267"/>
          <w:jc w:val="center"/>
        </w:trPr>
        <w:tc>
          <w:tcPr>
            <w:tcW w:w="888" w:type="pct"/>
            <w:vAlign w:val="bottom"/>
          </w:tcPr>
          <w:p w14:paraId="663863C4" w14:textId="77777777" w:rsidR="004E2F51" w:rsidRPr="004275B9" w:rsidRDefault="004E2F51" w:rsidP="00E032FC">
            <w:pPr>
              <w:tabs>
                <w:tab w:val="right" w:pos="1202"/>
              </w:tabs>
              <w:spacing w:line="301" w:lineRule="exact"/>
              <w:outlineLvl w:val="0"/>
              <w:rPr>
                <w:rFonts w:ascii="Arial" w:eastAsia="Calibri" w:hAnsi="Arial" w:cs="Arial"/>
                <w:b/>
                <w:bCs/>
                <w:color w:val="000000" w:themeColor="text1"/>
                <w:sz w:val="14"/>
                <w:szCs w:val="14"/>
                <w:lang w:val="hr-HR"/>
              </w:rPr>
            </w:pPr>
            <w:r w:rsidRPr="004275B9">
              <w:rPr>
                <w:rFonts w:ascii="Arial" w:eastAsia="Calibri" w:hAnsi="Arial" w:cs="Arial"/>
                <w:b/>
                <w:bCs/>
                <w:color w:val="000000" w:themeColor="text1"/>
                <w:sz w:val="14"/>
                <w:szCs w:val="14"/>
                <w:lang w:val="hr-HR"/>
              </w:rPr>
              <w:t>Ukupno</w:t>
            </w:r>
          </w:p>
        </w:tc>
        <w:tc>
          <w:tcPr>
            <w:tcW w:w="319" w:type="pct"/>
            <w:tcBorders>
              <w:top w:val="single" w:sz="6" w:space="0" w:color="auto"/>
              <w:left w:val="nil"/>
              <w:bottom w:val="single" w:sz="12" w:space="0" w:color="auto"/>
              <w:right w:val="nil"/>
            </w:tcBorders>
            <w:shd w:val="clear" w:color="auto" w:fill="auto"/>
            <w:vAlign w:val="bottom"/>
          </w:tcPr>
          <w:p w14:paraId="1C583A62"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3.301.241 </w:t>
            </w:r>
          </w:p>
        </w:tc>
        <w:tc>
          <w:tcPr>
            <w:tcW w:w="318" w:type="pct"/>
            <w:tcBorders>
              <w:top w:val="single" w:sz="6" w:space="0" w:color="auto"/>
              <w:left w:val="nil"/>
              <w:bottom w:val="single" w:sz="12" w:space="0" w:color="auto"/>
              <w:right w:val="nil"/>
            </w:tcBorders>
            <w:shd w:val="clear" w:color="auto" w:fill="auto"/>
            <w:vAlign w:val="bottom"/>
          </w:tcPr>
          <w:p w14:paraId="7FC495D1"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276.491 </w:t>
            </w:r>
          </w:p>
        </w:tc>
        <w:tc>
          <w:tcPr>
            <w:tcW w:w="315" w:type="pct"/>
            <w:tcBorders>
              <w:top w:val="single" w:sz="6" w:space="0" w:color="auto"/>
              <w:left w:val="nil"/>
              <w:bottom w:val="single" w:sz="12" w:space="0" w:color="auto"/>
              <w:right w:val="nil"/>
            </w:tcBorders>
            <w:shd w:val="clear" w:color="auto" w:fill="auto"/>
            <w:vAlign w:val="bottom"/>
          </w:tcPr>
          <w:p w14:paraId="33B4796C"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243.772 </w:t>
            </w:r>
          </w:p>
        </w:tc>
        <w:tc>
          <w:tcPr>
            <w:tcW w:w="306" w:type="pct"/>
            <w:tcBorders>
              <w:top w:val="single" w:sz="6" w:space="0" w:color="auto"/>
              <w:left w:val="nil"/>
              <w:bottom w:val="single" w:sz="12" w:space="0" w:color="auto"/>
              <w:right w:val="nil"/>
            </w:tcBorders>
            <w:shd w:val="clear" w:color="auto" w:fill="auto"/>
            <w:vAlign w:val="bottom"/>
          </w:tcPr>
          <w:p w14:paraId="2DA2FFE0"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36.605 </w:t>
            </w:r>
          </w:p>
        </w:tc>
        <w:tc>
          <w:tcPr>
            <w:tcW w:w="332" w:type="pct"/>
            <w:tcBorders>
              <w:top w:val="single" w:sz="6" w:space="0" w:color="auto"/>
              <w:left w:val="nil"/>
              <w:bottom w:val="single" w:sz="12" w:space="0" w:color="auto"/>
              <w:right w:val="nil"/>
            </w:tcBorders>
            <w:shd w:val="clear" w:color="auto" w:fill="auto"/>
            <w:vAlign w:val="bottom"/>
          </w:tcPr>
          <w:p w14:paraId="613EED78"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 </w:t>
            </w:r>
          </w:p>
        </w:tc>
        <w:tc>
          <w:tcPr>
            <w:tcW w:w="355" w:type="pct"/>
            <w:tcBorders>
              <w:top w:val="single" w:sz="6" w:space="0" w:color="auto"/>
              <w:left w:val="nil"/>
              <w:bottom w:val="single" w:sz="12" w:space="0" w:color="auto"/>
              <w:right w:val="nil"/>
            </w:tcBorders>
            <w:shd w:val="clear" w:color="auto" w:fill="auto"/>
            <w:vAlign w:val="bottom"/>
          </w:tcPr>
          <w:p w14:paraId="4628FE2B"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3.858.109 </w:t>
            </w:r>
          </w:p>
        </w:tc>
        <w:tc>
          <w:tcPr>
            <w:tcW w:w="352" w:type="pct"/>
            <w:tcBorders>
              <w:top w:val="single" w:sz="6" w:space="0" w:color="auto"/>
              <w:left w:val="nil"/>
              <w:bottom w:val="single" w:sz="12" w:space="0" w:color="auto"/>
              <w:right w:val="nil"/>
            </w:tcBorders>
            <w:vAlign w:val="bottom"/>
          </w:tcPr>
          <w:p w14:paraId="2DAB8ED7"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362.382 </w:t>
            </w:r>
          </w:p>
        </w:tc>
        <w:tc>
          <w:tcPr>
            <w:tcW w:w="353" w:type="pct"/>
            <w:tcBorders>
              <w:top w:val="single" w:sz="6" w:space="0" w:color="auto"/>
              <w:left w:val="nil"/>
              <w:bottom w:val="single" w:sz="12" w:space="0" w:color="auto"/>
              <w:right w:val="nil"/>
            </w:tcBorders>
            <w:vAlign w:val="bottom"/>
          </w:tcPr>
          <w:p w14:paraId="29939211"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159.052 </w:t>
            </w:r>
          </w:p>
        </w:tc>
        <w:tc>
          <w:tcPr>
            <w:tcW w:w="353" w:type="pct"/>
            <w:tcBorders>
              <w:top w:val="single" w:sz="6" w:space="0" w:color="auto"/>
              <w:left w:val="nil"/>
              <w:bottom w:val="single" w:sz="12" w:space="0" w:color="auto"/>
              <w:right w:val="nil"/>
            </w:tcBorders>
            <w:vAlign w:val="bottom"/>
          </w:tcPr>
          <w:p w14:paraId="1D57665A"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92.371 </w:t>
            </w:r>
          </w:p>
        </w:tc>
        <w:tc>
          <w:tcPr>
            <w:tcW w:w="353" w:type="pct"/>
            <w:tcBorders>
              <w:top w:val="single" w:sz="6" w:space="0" w:color="auto"/>
              <w:left w:val="nil"/>
              <w:bottom w:val="single" w:sz="12" w:space="0" w:color="auto"/>
              <w:right w:val="nil"/>
            </w:tcBorders>
            <w:vAlign w:val="bottom"/>
          </w:tcPr>
          <w:p w14:paraId="3CFE4BCF"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782 </w:t>
            </w:r>
          </w:p>
        </w:tc>
        <w:tc>
          <w:tcPr>
            <w:tcW w:w="401" w:type="pct"/>
            <w:tcBorders>
              <w:top w:val="single" w:sz="6" w:space="0" w:color="auto"/>
              <w:left w:val="nil"/>
              <w:bottom w:val="single" w:sz="12" w:space="0" w:color="auto"/>
              <w:right w:val="nil"/>
            </w:tcBorders>
            <w:vAlign w:val="bottom"/>
          </w:tcPr>
          <w:p w14:paraId="02AF181F"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 </w:t>
            </w:r>
          </w:p>
        </w:tc>
        <w:tc>
          <w:tcPr>
            <w:tcW w:w="353" w:type="pct"/>
            <w:tcBorders>
              <w:top w:val="single" w:sz="6" w:space="0" w:color="auto"/>
              <w:left w:val="nil"/>
              <w:bottom w:val="single" w:sz="12" w:space="0" w:color="auto"/>
              <w:right w:val="nil"/>
            </w:tcBorders>
            <w:vAlign w:val="bottom"/>
          </w:tcPr>
          <w:p w14:paraId="123D2186"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614.587 </w:t>
            </w:r>
          </w:p>
        </w:tc>
      </w:tr>
      <w:tr w:rsidR="004E2F51" w:rsidRPr="004275B9" w14:paraId="5324566F" w14:textId="77777777" w:rsidTr="00E032FC">
        <w:trPr>
          <w:trHeight w:val="55"/>
          <w:jc w:val="center"/>
        </w:trPr>
        <w:tc>
          <w:tcPr>
            <w:tcW w:w="888" w:type="pct"/>
            <w:vAlign w:val="bottom"/>
          </w:tcPr>
          <w:p w14:paraId="68C1F8C7" w14:textId="77777777" w:rsidR="004E2F51" w:rsidRPr="004275B9" w:rsidRDefault="004E2F51" w:rsidP="00E032FC">
            <w:pPr>
              <w:tabs>
                <w:tab w:val="right" w:pos="1202"/>
              </w:tabs>
              <w:spacing w:line="301" w:lineRule="exact"/>
              <w:outlineLvl w:val="0"/>
              <w:rPr>
                <w:rFonts w:ascii="Arial" w:eastAsia="Calibri" w:hAnsi="Arial" w:cs="Arial"/>
                <w:b/>
                <w:bCs/>
                <w:color w:val="000000" w:themeColor="text1"/>
                <w:sz w:val="14"/>
                <w:szCs w:val="14"/>
                <w:lang w:val="hr-HR"/>
              </w:rPr>
            </w:pPr>
            <w:r w:rsidRPr="004275B9">
              <w:rPr>
                <w:rFonts w:ascii="Arial" w:eastAsia="Calibri" w:hAnsi="Arial" w:cs="Arial"/>
                <w:b/>
                <w:bCs/>
                <w:color w:val="000000" w:themeColor="text1"/>
                <w:sz w:val="14"/>
                <w:szCs w:val="14"/>
                <w:lang w:val="hr-HR"/>
              </w:rPr>
              <w:t>Ukupna izloženost kreditnom riziku</w:t>
            </w:r>
          </w:p>
        </w:tc>
        <w:tc>
          <w:tcPr>
            <w:tcW w:w="319" w:type="pct"/>
            <w:tcBorders>
              <w:top w:val="nil"/>
              <w:left w:val="nil"/>
              <w:bottom w:val="single" w:sz="12" w:space="0" w:color="auto"/>
              <w:right w:val="nil"/>
            </w:tcBorders>
            <w:shd w:val="clear" w:color="auto" w:fill="auto"/>
            <w:vAlign w:val="bottom"/>
          </w:tcPr>
          <w:p w14:paraId="7471DD01"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27.849.611 </w:t>
            </w:r>
          </w:p>
        </w:tc>
        <w:tc>
          <w:tcPr>
            <w:tcW w:w="318" w:type="pct"/>
            <w:tcBorders>
              <w:top w:val="nil"/>
              <w:left w:val="nil"/>
              <w:bottom w:val="single" w:sz="12" w:space="0" w:color="auto"/>
              <w:right w:val="nil"/>
            </w:tcBorders>
            <w:shd w:val="clear" w:color="auto" w:fill="auto"/>
            <w:vAlign w:val="bottom"/>
          </w:tcPr>
          <w:p w14:paraId="4F387316"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1.285.228 </w:t>
            </w:r>
          </w:p>
        </w:tc>
        <w:tc>
          <w:tcPr>
            <w:tcW w:w="315" w:type="pct"/>
            <w:tcBorders>
              <w:top w:val="nil"/>
              <w:left w:val="nil"/>
              <w:bottom w:val="single" w:sz="12" w:space="0" w:color="auto"/>
              <w:right w:val="nil"/>
            </w:tcBorders>
            <w:shd w:val="clear" w:color="auto" w:fill="auto"/>
            <w:vAlign w:val="bottom"/>
          </w:tcPr>
          <w:p w14:paraId="43A3F96B"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1.413.884 </w:t>
            </w:r>
          </w:p>
        </w:tc>
        <w:tc>
          <w:tcPr>
            <w:tcW w:w="306" w:type="pct"/>
            <w:tcBorders>
              <w:top w:val="nil"/>
              <w:left w:val="nil"/>
              <w:bottom w:val="single" w:sz="12" w:space="0" w:color="auto"/>
              <w:right w:val="nil"/>
            </w:tcBorders>
            <w:shd w:val="clear" w:color="auto" w:fill="auto"/>
            <w:vAlign w:val="bottom"/>
          </w:tcPr>
          <w:p w14:paraId="04A46354"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1.230.215 </w:t>
            </w:r>
          </w:p>
        </w:tc>
        <w:tc>
          <w:tcPr>
            <w:tcW w:w="332" w:type="pct"/>
            <w:tcBorders>
              <w:top w:val="nil"/>
              <w:left w:val="nil"/>
              <w:bottom w:val="single" w:sz="12" w:space="0" w:color="auto"/>
              <w:right w:val="nil"/>
            </w:tcBorders>
            <w:shd w:val="clear" w:color="auto" w:fill="auto"/>
            <w:vAlign w:val="bottom"/>
          </w:tcPr>
          <w:p w14:paraId="31833EBF"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16.375 </w:t>
            </w:r>
          </w:p>
        </w:tc>
        <w:tc>
          <w:tcPr>
            <w:tcW w:w="355" w:type="pct"/>
            <w:tcBorders>
              <w:top w:val="nil"/>
              <w:left w:val="nil"/>
              <w:bottom w:val="single" w:sz="12" w:space="0" w:color="auto"/>
              <w:right w:val="nil"/>
            </w:tcBorders>
            <w:shd w:val="clear" w:color="auto" w:fill="auto"/>
            <w:vAlign w:val="bottom"/>
          </w:tcPr>
          <w:p w14:paraId="130AE5D4"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31.795.313 </w:t>
            </w:r>
          </w:p>
        </w:tc>
        <w:tc>
          <w:tcPr>
            <w:tcW w:w="352" w:type="pct"/>
            <w:tcBorders>
              <w:top w:val="nil"/>
              <w:left w:val="nil"/>
              <w:bottom w:val="single" w:sz="12" w:space="0" w:color="auto"/>
              <w:right w:val="nil"/>
            </w:tcBorders>
            <w:vAlign w:val="bottom"/>
          </w:tcPr>
          <w:p w14:paraId="241FB196"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6.148.139 </w:t>
            </w:r>
          </w:p>
        </w:tc>
        <w:tc>
          <w:tcPr>
            <w:tcW w:w="353" w:type="pct"/>
            <w:tcBorders>
              <w:top w:val="nil"/>
              <w:left w:val="nil"/>
              <w:bottom w:val="single" w:sz="12" w:space="0" w:color="auto"/>
              <w:right w:val="nil"/>
            </w:tcBorders>
            <w:vAlign w:val="bottom"/>
          </w:tcPr>
          <w:p w14:paraId="6EEC8A7A"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251.856 </w:t>
            </w:r>
          </w:p>
        </w:tc>
        <w:tc>
          <w:tcPr>
            <w:tcW w:w="353" w:type="pct"/>
            <w:tcBorders>
              <w:top w:val="nil"/>
              <w:left w:val="nil"/>
              <w:bottom w:val="single" w:sz="12" w:space="0" w:color="auto"/>
              <w:right w:val="nil"/>
            </w:tcBorders>
            <w:vAlign w:val="bottom"/>
          </w:tcPr>
          <w:p w14:paraId="03895300"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300.194 </w:t>
            </w:r>
          </w:p>
        </w:tc>
        <w:tc>
          <w:tcPr>
            <w:tcW w:w="353" w:type="pct"/>
            <w:tcBorders>
              <w:top w:val="nil"/>
              <w:left w:val="nil"/>
              <w:bottom w:val="single" w:sz="12" w:space="0" w:color="auto"/>
              <w:right w:val="nil"/>
            </w:tcBorders>
            <w:vAlign w:val="bottom"/>
          </w:tcPr>
          <w:p w14:paraId="4641D109"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35.602 </w:t>
            </w:r>
          </w:p>
        </w:tc>
        <w:tc>
          <w:tcPr>
            <w:tcW w:w="401" w:type="pct"/>
            <w:tcBorders>
              <w:top w:val="nil"/>
              <w:left w:val="nil"/>
              <w:bottom w:val="single" w:sz="12" w:space="0" w:color="auto"/>
              <w:right w:val="nil"/>
            </w:tcBorders>
            <w:vAlign w:val="bottom"/>
          </w:tcPr>
          <w:p w14:paraId="65FD1C49"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16.375 </w:t>
            </w:r>
          </w:p>
        </w:tc>
        <w:tc>
          <w:tcPr>
            <w:tcW w:w="353" w:type="pct"/>
            <w:tcBorders>
              <w:top w:val="nil"/>
              <w:left w:val="nil"/>
              <w:bottom w:val="single" w:sz="12" w:space="0" w:color="auto"/>
              <w:right w:val="nil"/>
            </w:tcBorders>
            <w:vAlign w:val="bottom"/>
          </w:tcPr>
          <w:p w14:paraId="3A330A71" w14:textId="77777777" w:rsidR="004E2F51" w:rsidRPr="004275B9" w:rsidRDefault="004E2F51" w:rsidP="00E032FC">
            <w:pPr>
              <w:jc w:val="right"/>
              <w:rPr>
                <w:rFonts w:ascii="Arial" w:eastAsia="Calibri" w:hAnsi="Arial" w:cs="Arial"/>
                <w:b/>
                <w:bCs/>
                <w:color w:val="000000" w:themeColor="text1"/>
                <w:sz w:val="14"/>
                <w:szCs w:val="14"/>
                <w:lang w:val="hr-HR"/>
              </w:rPr>
            </w:pPr>
            <w:r w:rsidRPr="004275B9">
              <w:rPr>
                <w:rFonts w:ascii="Arial" w:hAnsi="Arial" w:cs="Arial"/>
                <w:b/>
                <w:bCs/>
                <w:sz w:val="14"/>
                <w:szCs w:val="14"/>
              </w:rPr>
              <w:t xml:space="preserve"> 6.752.166 </w:t>
            </w:r>
          </w:p>
        </w:tc>
      </w:tr>
    </w:tbl>
    <w:p w14:paraId="3414C1CF" w14:textId="77777777" w:rsidR="004E2F51" w:rsidRPr="00B91D09" w:rsidRDefault="004E2F51" w:rsidP="004E2F51">
      <w:pPr>
        <w:pStyle w:val="T1"/>
        <w:spacing w:before="0" w:after="0" w:line="240" w:lineRule="auto"/>
        <w:rPr>
          <w:rFonts w:cs="Arial"/>
          <w:color w:val="000000" w:themeColor="text1"/>
          <w:sz w:val="22"/>
          <w:szCs w:val="22"/>
          <w:lang w:val="hr-HR"/>
        </w:rPr>
        <w:sectPr w:rsidR="004E2F51" w:rsidRPr="00B91D09" w:rsidSect="00623DBA">
          <w:footerReference w:type="default" r:id="rId188"/>
          <w:pgSz w:w="16840" w:h="11907" w:orient="landscape" w:code="9"/>
          <w:pgMar w:top="1418" w:right="1418" w:bottom="1134" w:left="1134" w:header="851" w:footer="851" w:gutter="0"/>
          <w:cols w:space="720"/>
          <w:noEndnote/>
          <w:docGrid w:linePitch="326"/>
        </w:sectPr>
      </w:pPr>
    </w:p>
    <w:p w14:paraId="1B5BE1BE" w14:textId="77777777" w:rsidR="004E2F51" w:rsidRPr="00B91D09" w:rsidRDefault="004E2F51" w:rsidP="004E2F51">
      <w:pPr>
        <w:pStyle w:val="T1"/>
        <w:spacing w:before="120" w:line="240" w:lineRule="auto"/>
        <w:rPr>
          <w:rFonts w:cs="Arial"/>
          <w:color w:val="000000" w:themeColor="text1"/>
          <w:sz w:val="20"/>
          <w:lang w:val="hr-HR"/>
        </w:rPr>
      </w:pPr>
      <w:r w:rsidRPr="00B91D09">
        <w:rPr>
          <w:rFonts w:cs="Arial"/>
          <w:color w:val="000000" w:themeColor="text1"/>
          <w:sz w:val="20"/>
          <w:lang w:val="hr-HR"/>
        </w:rPr>
        <w:lastRenderedPageBreak/>
        <w:t>3</w:t>
      </w:r>
      <w:r>
        <w:rPr>
          <w:rFonts w:cs="Arial"/>
          <w:color w:val="000000" w:themeColor="text1"/>
          <w:sz w:val="20"/>
          <w:lang w:val="hr-HR"/>
        </w:rPr>
        <w:t>1</w:t>
      </w:r>
      <w:r w:rsidRPr="00B91D09">
        <w:rPr>
          <w:rFonts w:cs="Arial"/>
          <w:color w:val="000000" w:themeColor="text1"/>
          <w:sz w:val="20"/>
          <w:lang w:val="hr-HR"/>
        </w:rPr>
        <w:t>.</w:t>
      </w:r>
      <w:r w:rsidRPr="00B91D09">
        <w:rPr>
          <w:rFonts w:cs="Arial"/>
          <w:color w:val="000000" w:themeColor="text1"/>
          <w:sz w:val="20"/>
          <w:lang w:val="hr-HR"/>
        </w:rPr>
        <w:tab/>
        <w:t>Upravljanje rizicima (nastavak)</w:t>
      </w:r>
    </w:p>
    <w:p w14:paraId="2EEFEAB3" w14:textId="77777777" w:rsidR="004E2F51" w:rsidRPr="00B91D09" w:rsidRDefault="004E2F51" w:rsidP="004E2F51">
      <w:pPr>
        <w:pStyle w:val="T1"/>
        <w:spacing w:before="120" w:line="240" w:lineRule="auto"/>
        <w:rPr>
          <w:rFonts w:cs="Arial"/>
          <w:color w:val="000000" w:themeColor="text1"/>
          <w:sz w:val="20"/>
          <w:lang w:val="hr-HR"/>
        </w:rPr>
      </w:pPr>
      <w:r w:rsidRPr="00B91D09">
        <w:rPr>
          <w:rFonts w:cs="Arial"/>
          <w:color w:val="000000" w:themeColor="text1"/>
          <w:sz w:val="20"/>
          <w:lang w:val="hr-HR"/>
        </w:rPr>
        <w:t>3</w:t>
      </w:r>
      <w:r>
        <w:rPr>
          <w:rFonts w:cs="Arial"/>
          <w:color w:val="000000" w:themeColor="text1"/>
          <w:sz w:val="20"/>
          <w:lang w:val="hr-HR"/>
        </w:rPr>
        <w:t>1</w:t>
      </w:r>
      <w:r w:rsidRPr="00B91D09">
        <w:rPr>
          <w:rFonts w:cs="Arial"/>
          <w:color w:val="000000" w:themeColor="text1"/>
          <w:sz w:val="20"/>
          <w:lang w:val="hr-HR"/>
        </w:rPr>
        <w:t xml:space="preserve">.3. </w:t>
      </w:r>
      <w:r w:rsidRPr="00B91D09">
        <w:rPr>
          <w:rFonts w:cs="Arial"/>
          <w:color w:val="000000" w:themeColor="text1"/>
          <w:sz w:val="20"/>
          <w:lang w:val="hr-HR"/>
        </w:rPr>
        <w:tab/>
        <w:t>Kreditni rizik (nastavak)</w:t>
      </w:r>
    </w:p>
    <w:p w14:paraId="450BA31A" w14:textId="77777777" w:rsidR="004E2F51" w:rsidRPr="00B91D09" w:rsidRDefault="004E2F51" w:rsidP="004E2F51">
      <w:pPr>
        <w:pStyle w:val="T1"/>
        <w:spacing w:before="120" w:line="240" w:lineRule="auto"/>
        <w:rPr>
          <w:rFonts w:cs="Arial"/>
          <w:color w:val="000000" w:themeColor="text1"/>
          <w:sz w:val="20"/>
          <w:lang w:val="hr-HR"/>
        </w:rPr>
      </w:pPr>
      <w:r w:rsidRPr="00B91D09">
        <w:rPr>
          <w:rFonts w:cs="Arial"/>
          <w:color w:val="000000" w:themeColor="text1"/>
          <w:sz w:val="20"/>
          <w:lang w:val="hr-HR"/>
        </w:rPr>
        <w:t>Kvaliteta kreditnog rizika prema vrsti financijske imovine (nastavak)</w:t>
      </w:r>
    </w:p>
    <w:p w14:paraId="6A7D009F" w14:textId="77777777" w:rsidR="004E2F51" w:rsidRPr="00B91D09" w:rsidRDefault="004E2F51" w:rsidP="004E2F51">
      <w:pPr>
        <w:spacing w:before="120" w:after="120"/>
        <w:jc w:val="both"/>
        <w:rPr>
          <w:rFonts w:ascii="Arial" w:hAnsi="Arial" w:cs="Arial"/>
          <w:color w:val="000000" w:themeColor="text1"/>
          <w:sz w:val="20"/>
          <w:szCs w:val="20"/>
          <w:lang w:val="hr-HR"/>
        </w:rPr>
      </w:pPr>
      <w:r w:rsidRPr="00B91D09">
        <w:rPr>
          <w:rFonts w:ascii="Arial" w:hAnsi="Arial" w:cs="Arial"/>
          <w:color w:val="000000" w:themeColor="text1"/>
          <w:sz w:val="20"/>
          <w:szCs w:val="20"/>
          <w:lang w:val="hr-HR"/>
        </w:rPr>
        <w:t>Analiza kreditnog rizika, neto</w:t>
      </w:r>
      <w:r w:rsidRPr="00B91D09">
        <w:rPr>
          <w:rFonts w:ascii="Arial" w:hAnsi="Arial" w:cs="Arial"/>
          <w:color w:val="000000" w:themeColor="text1"/>
          <w:lang w:val="hr-HR"/>
        </w:rPr>
        <w:t xml:space="preserve"> </w:t>
      </w:r>
      <w:r w:rsidRPr="00B91D09">
        <w:rPr>
          <w:rFonts w:ascii="Arial" w:hAnsi="Arial" w:cs="Arial"/>
          <w:color w:val="000000" w:themeColor="text1"/>
          <w:sz w:val="20"/>
          <w:szCs w:val="20"/>
          <w:lang w:val="hr-HR"/>
        </w:rPr>
        <w:t>izloženost, prije i nakon uzimanja u obzir primljenih instrumenata osiguranja, prema vrsti financijske imovine na pozicijama imovine i garancija i preuzetih obveza prema rizičnim skupinama (nastavak):</w:t>
      </w:r>
    </w:p>
    <w:tbl>
      <w:tblPr>
        <w:tblW w:w="5240" w:type="pct"/>
        <w:jc w:val="center"/>
        <w:tblLayout w:type="fixed"/>
        <w:tblLook w:val="0000" w:firstRow="0" w:lastRow="0" w:firstColumn="0" w:lastColumn="0" w:noHBand="0" w:noVBand="0"/>
      </w:tblPr>
      <w:tblGrid>
        <w:gridCol w:w="2741"/>
        <w:gridCol w:w="956"/>
        <w:gridCol w:w="932"/>
        <w:gridCol w:w="940"/>
        <w:gridCol w:w="937"/>
        <w:gridCol w:w="1021"/>
        <w:gridCol w:w="937"/>
        <w:gridCol w:w="1084"/>
        <w:gridCol w:w="1084"/>
        <w:gridCol w:w="1084"/>
        <w:gridCol w:w="1084"/>
        <w:gridCol w:w="1135"/>
        <w:gridCol w:w="1039"/>
      </w:tblGrid>
      <w:tr w:rsidR="004E2F51" w:rsidRPr="0002282A" w14:paraId="7F72C0A2" w14:textId="77777777" w:rsidTr="00E032FC">
        <w:trPr>
          <w:trHeight w:val="453"/>
          <w:jc w:val="center"/>
        </w:trPr>
        <w:tc>
          <w:tcPr>
            <w:tcW w:w="915" w:type="pct"/>
          </w:tcPr>
          <w:p w14:paraId="588DCE58" w14:textId="77777777" w:rsidR="004E2F51" w:rsidRPr="00882573" w:rsidRDefault="004E2F51" w:rsidP="00E032FC">
            <w:pPr>
              <w:rPr>
                <w:rFonts w:ascii="Arial" w:eastAsia="Calibri" w:hAnsi="Arial" w:cs="Arial"/>
                <w:b/>
                <w:bCs/>
                <w:color w:val="000000" w:themeColor="text1"/>
                <w:sz w:val="14"/>
                <w:szCs w:val="14"/>
                <w:lang w:val="hr-HR"/>
              </w:rPr>
            </w:pPr>
            <w:r w:rsidRPr="00882573">
              <w:rPr>
                <w:rFonts w:ascii="Arial" w:eastAsia="Calibri" w:hAnsi="Arial" w:cs="Arial"/>
                <w:b/>
                <w:bCs/>
                <w:color w:val="000000" w:themeColor="text1"/>
                <w:sz w:val="14"/>
                <w:szCs w:val="14"/>
                <w:lang w:val="hr-HR"/>
              </w:rPr>
              <w:br w:type="page"/>
              <w:t xml:space="preserve">Banka </w:t>
            </w:r>
          </w:p>
          <w:p w14:paraId="5331E61A" w14:textId="77777777" w:rsidR="004E2F51" w:rsidRPr="00882573" w:rsidRDefault="004E2F51" w:rsidP="00E032FC">
            <w:pPr>
              <w:rPr>
                <w:rFonts w:ascii="Arial" w:eastAsia="Calibri" w:hAnsi="Arial" w:cs="Arial"/>
                <w:b/>
                <w:bCs/>
                <w:color w:val="000000" w:themeColor="text1"/>
                <w:sz w:val="14"/>
                <w:szCs w:val="14"/>
                <w:lang w:val="hr-HR"/>
              </w:rPr>
            </w:pPr>
          </w:p>
          <w:p w14:paraId="3C554F02" w14:textId="77777777" w:rsidR="004E2F51" w:rsidRPr="00882573" w:rsidRDefault="004E2F51" w:rsidP="00E032FC">
            <w:pPr>
              <w:rPr>
                <w:rFonts w:ascii="Arial" w:eastAsia="Calibri" w:hAnsi="Arial" w:cs="Arial"/>
                <w:color w:val="000000" w:themeColor="text1"/>
                <w:sz w:val="14"/>
                <w:szCs w:val="14"/>
                <w:lang w:val="hr-HR"/>
              </w:rPr>
            </w:pPr>
            <w:r w:rsidRPr="00882573">
              <w:rPr>
                <w:rFonts w:ascii="Arial" w:eastAsia="Calibri" w:hAnsi="Arial" w:cs="Arial"/>
                <w:b/>
                <w:bCs/>
                <w:color w:val="000000" w:themeColor="text1"/>
                <w:sz w:val="14"/>
                <w:szCs w:val="14"/>
                <w:lang w:val="hr-HR"/>
              </w:rPr>
              <w:t>31. prosinca 202</w:t>
            </w:r>
            <w:r>
              <w:rPr>
                <w:rFonts w:ascii="Arial" w:eastAsia="Calibri" w:hAnsi="Arial" w:cs="Arial"/>
                <w:b/>
                <w:bCs/>
                <w:color w:val="000000" w:themeColor="text1"/>
                <w:sz w:val="14"/>
                <w:szCs w:val="14"/>
                <w:lang w:val="hr-HR"/>
              </w:rPr>
              <w:t>2</w:t>
            </w:r>
            <w:r w:rsidRPr="00882573">
              <w:rPr>
                <w:rFonts w:ascii="Arial" w:eastAsia="Calibri" w:hAnsi="Arial" w:cs="Arial"/>
                <w:b/>
                <w:bCs/>
                <w:color w:val="000000" w:themeColor="text1"/>
                <w:sz w:val="14"/>
                <w:szCs w:val="14"/>
                <w:lang w:val="hr-HR"/>
              </w:rPr>
              <w:t xml:space="preserve">. </w:t>
            </w:r>
          </w:p>
        </w:tc>
        <w:tc>
          <w:tcPr>
            <w:tcW w:w="319" w:type="pct"/>
            <w:vAlign w:val="bottom"/>
          </w:tcPr>
          <w:p w14:paraId="2FC4D838"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portfelja - stupanj 1</w:t>
            </w:r>
          </w:p>
        </w:tc>
        <w:tc>
          <w:tcPr>
            <w:tcW w:w="311" w:type="pct"/>
            <w:vAlign w:val="bottom"/>
          </w:tcPr>
          <w:p w14:paraId="2DA7A3AD"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portfelja - stupanj 2</w:t>
            </w:r>
          </w:p>
        </w:tc>
        <w:tc>
          <w:tcPr>
            <w:tcW w:w="314" w:type="pct"/>
            <w:vAlign w:val="bottom"/>
          </w:tcPr>
          <w:p w14:paraId="133EFAB1"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portfelja - stupanj 3</w:t>
            </w:r>
          </w:p>
        </w:tc>
        <w:tc>
          <w:tcPr>
            <w:tcW w:w="313" w:type="pct"/>
            <w:vAlign w:val="bottom"/>
          </w:tcPr>
          <w:p w14:paraId="72241FC8"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portfelja rizične skupine POCI</w:t>
            </w:r>
          </w:p>
        </w:tc>
        <w:tc>
          <w:tcPr>
            <w:tcW w:w="341" w:type="pct"/>
            <w:vAlign w:val="bottom"/>
          </w:tcPr>
          <w:p w14:paraId="6EE4206F"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eastAsia="Calibri" w:hAnsi="Arial" w:cs="Arial"/>
                <w:b/>
                <w:color w:val="000000" w:themeColor="text1"/>
                <w:sz w:val="14"/>
                <w:szCs w:val="14"/>
                <w:lang w:val="hr-HR"/>
              </w:rPr>
              <w:t>Financijska imovina koja se ne raspoređuje u rizične skupine po MSFI-ju 9</w:t>
            </w:r>
          </w:p>
        </w:tc>
        <w:tc>
          <w:tcPr>
            <w:tcW w:w="313" w:type="pct"/>
            <w:vAlign w:val="bottom"/>
          </w:tcPr>
          <w:p w14:paraId="40BD2801"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ukupnog portfelja</w:t>
            </w:r>
          </w:p>
        </w:tc>
        <w:tc>
          <w:tcPr>
            <w:tcW w:w="362" w:type="pct"/>
            <w:vAlign w:val="bottom"/>
          </w:tcPr>
          <w:p w14:paraId="33B47492"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portfelja nakon umanjenja za instrumente osiguranja- stupanj 1</w:t>
            </w:r>
          </w:p>
        </w:tc>
        <w:tc>
          <w:tcPr>
            <w:tcW w:w="362" w:type="pct"/>
            <w:vAlign w:val="bottom"/>
          </w:tcPr>
          <w:p w14:paraId="2CE8E673"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portfelja nakon umanjenja za instrumente osiguranja- stupanj 2</w:t>
            </w:r>
          </w:p>
        </w:tc>
        <w:tc>
          <w:tcPr>
            <w:tcW w:w="362" w:type="pct"/>
            <w:vAlign w:val="bottom"/>
          </w:tcPr>
          <w:p w14:paraId="7DDD8258"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portfelja nakon umanjenja za instrumente osiguranja- stupanj 3</w:t>
            </w:r>
          </w:p>
        </w:tc>
        <w:tc>
          <w:tcPr>
            <w:tcW w:w="362" w:type="pct"/>
            <w:vAlign w:val="bottom"/>
          </w:tcPr>
          <w:p w14:paraId="35DE6F7E"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portfelja nakon umanjenja za instrumente osiguranja- rizične skupine POCI</w:t>
            </w:r>
          </w:p>
        </w:tc>
        <w:tc>
          <w:tcPr>
            <w:tcW w:w="379" w:type="pct"/>
            <w:vAlign w:val="bottom"/>
          </w:tcPr>
          <w:p w14:paraId="316802A0"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Financijska imovina  koja se ne raspoređuje u rizične skupine po MSFI-ju 9 nakon umanjenja za instrumente osiguranja</w:t>
            </w:r>
          </w:p>
        </w:tc>
        <w:tc>
          <w:tcPr>
            <w:tcW w:w="347" w:type="pct"/>
            <w:vAlign w:val="bottom"/>
          </w:tcPr>
          <w:p w14:paraId="7E398365"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ukupnog portfelja nakon umanjenja za instrumente osiguranja</w:t>
            </w:r>
          </w:p>
        </w:tc>
      </w:tr>
      <w:tr w:rsidR="004E2F51" w:rsidRPr="00882573" w14:paraId="7E71A4AA" w14:textId="77777777" w:rsidTr="00E032FC">
        <w:trPr>
          <w:trHeight w:val="167"/>
          <w:jc w:val="center"/>
        </w:trPr>
        <w:tc>
          <w:tcPr>
            <w:tcW w:w="915" w:type="pct"/>
          </w:tcPr>
          <w:p w14:paraId="70550C4C" w14:textId="77777777" w:rsidR="004E2F51" w:rsidRPr="00882573" w:rsidRDefault="004E2F51" w:rsidP="00E032FC">
            <w:pPr>
              <w:rPr>
                <w:rFonts w:ascii="Arial" w:eastAsia="Calibri" w:hAnsi="Arial" w:cs="Arial"/>
                <w:b/>
                <w:bCs/>
                <w:color w:val="000000" w:themeColor="text1"/>
                <w:sz w:val="14"/>
                <w:szCs w:val="14"/>
                <w:lang w:val="hr-HR"/>
              </w:rPr>
            </w:pPr>
          </w:p>
        </w:tc>
        <w:tc>
          <w:tcPr>
            <w:tcW w:w="319" w:type="pct"/>
          </w:tcPr>
          <w:p w14:paraId="09C5ACC9"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11" w:type="pct"/>
          </w:tcPr>
          <w:p w14:paraId="7F824128"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14" w:type="pct"/>
          </w:tcPr>
          <w:p w14:paraId="430A86D4"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13" w:type="pct"/>
          </w:tcPr>
          <w:p w14:paraId="05E3510E"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41" w:type="pct"/>
          </w:tcPr>
          <w:p w14:paraId="7CA937FC"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13" w:type="pct"/>
          </w:tcPr>
          <w:p w14:paraId="02D5BDB4"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62" w:type="pct"/>
          </w:tcPr>
          <w:p w14:paraId="5CDB5F4E"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62" w:type="pct"/>
          </w:tcPr>
          <w:p w14:paraId="66E42707"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62" w:type="pct"/>
          </w:tcPr>
          <w:p w14:paraId="59BA1367"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62" w:type="pct"/>
          </w:tcPr>
          <w:p w14:paraId="52874AC8"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79" w:type="pct"/>
          </w:tcPr>
          <w:p w14:paraId="2B4CB7DE"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47" w:type="pct"/>
          </w:tcPr>
          <w:p w14:paraId="393697FD"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r>
      <w:tr w:rsidR="004E2F51" w:rsidRPr="00882573" w14:paraId="5B175B2C" w14:textId="77777777" w:rsidTr="00E032FC">
        <w:trPr>
          <w:trHeight w:val="150"/>
          <w:jc w:val="center"/>
        </w:trPr>
        <w:tc>
          <w:tcPr>
            <w:tcW w:w="915" w:type="pct"/>
          </w:tcPr>
          <w:p w14:paraId="68C71334" w14:textId="77777777" w:rsidR="004E2F51" w:rsidRPr="00882573" w:rsidRDefault="004E2F51" w:rsidP="00E032FC">
            <w:pPr>
              <w:tabs>
                <w:tab w:val="right" w:pos="1202"/>
              </w:tabs>
              <w:spacing w:line="301" w:lineRule="exact"/>
              <w:outlineLvl w:val="0"/>
              <w:rPr>
                <w:rFonts w:ascii="Arial" w:eastAsia="Calibri" w:hAnsi="Arial" w:cs="Arial"/>
                <w:b/>
                <w:bCs/>
                <w:color w:val="000000" w:themeColor="text1"/>
                <w:sz w:val="14"/>
                <w:szCs w:val="14"/>
                <w:lang w:val="hr-HR"/>
              </w:rPr>
            </w:pPr>
            <w:bookmarkStart w:id="1627" w:name="_Toc67329878"/>
            <w:r w:rsidRPr="00882573">
              <w:rPr>
                <w:rFonts w:ascii="Arial" w:eastAsia="Calibri" w:hAnsi="Arial" w:cs="Arial"/>
                <w:b/>
                <w:bCs/>
                <w:color w:val="000000" w:themeColor="text1"/>
                <w:sz w:val="14"/>
                <w:szCs w:val="14"/>
                <w:lang w:val="hr-HR"/>
              </w:rPr>
              <w:t>Imovina</w:t>
            </w:r>
            <w:bookmarkEnd w:id="1627"/>
          </w:p>
        </w:tc>
        <w:tc>
          <w:tcPr>
            <w:tcW w:w="319" w:type="pct"/>
            <w:vAlign w:val="bottom"/>
          </w:tcPr>
          <w:p w14:paraId="38389F10"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11" w:type="pct"/>
            <w:vAlign w:val="bottom"/>
          </w:tcPr>
          <w:p w14:paraId="6F3AF53D"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14" w:type="pct"/>
            <w:vAlign w:val="bottom"/>
          </w:tcPr>
          <w:p w14:paraId="43DF097D"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13" w:type="pct"/>
            <w:vAlign w:val="bottom"/>
          </w:tcPr>
          <w:p w14:paraId="5E7BE2A4"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41" w:type="pct"/>
            <w:vAlign w:val="bottom"/>
          </w:tcPr>
          <w:p w14:paraId="51B28C70"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13" w:type="pct"/>
            <w:vAlign w:val="bottom"/>
          </w:tcPr>
          <w:p w14:paraId="49C27CE1"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62" w:type="pct"/>
            <w:vAlign w:val="bottom"/>
          </w:tcPr>
          <w:p w14:paraId="453D958F"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62" w:type="pct"/>
            <w:vAlign w:val="bottom"/>
          </w:tcPr>
          <w:p w14:paraId="669F7646"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62" w:type="pct"/>
            <w:vAlign w:val="bottom"/>
          </w:tcPr>
          <w:p w14:paraId="0E8947C8"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62" w:type="pct"/>
            <w:vAlign w:val="bottom"/>
          </w:tcPr>
          <w:p w14:paraId="439369CB"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79" w:type="pct"/>
            <w:vAlign w:val="bottom"/>
          </w:tcPr>
          <w:p w14:paraId="094E7C0C"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47" w:type="pct"/>
            <w:vAlign w:val="bottom"/>
          </w:tcPr>
          <w:p w14:paraId="22F99008"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r>
      <w:tr w:rsidR="004E2F51" w:rsidRPr="00882573" w14:paraId="6F2684B6" w14:textId="77777777" w:rsidTr="00E032FC">
        <w:trPr>
          <w:trHeight w:val="180"/>
          <w:jc w:val="center"/>
        </w:trPr>
        <w:tc>
          <w:tcPr>
            <w:tcW w:w="915" w:type="pct"/>
            <w:vAlign w:val="bottom"/>
          </w:tcPr>
          <w:p w14:paraId="2A117FC7" w14:textId="77777777" w:rsidR="004E2F51" w:rsidRPr="00882573" w:rsidRDefault="004E2F51" w:rsidP="00E032FC">
            <w:pPr>
              <w:tabs>
                <w:tab w:val="right" w:pos="1202"/>
              </w:tabs>
              <w:outlineLvl w:val="0"/>
              <w:rPr>
                <w:rFonts w:ascii="Arial" w:eastAsia="Calibri" w:hAnsi="Arial" w:cs="Arial"/>
                <w:color w:val="000000" w:themeColor="text1"/>
                <w:sz w:val="14"/>
                <w:szCs w:val="14"/>
                <w:lang w:val="hr-HR"/>
              </w:rPr>
            </w:pPr>
            <w:bookmarkStart w:id="1628" w:name="_Toc67329879"/>
            <w:r w:rsidRPr="00882573">
              <w:rPr>
                <w:rFonts w:ascii="Arial" w:eastAsia="Calibri" w:hAnsi="Arial" w:cs="Arial"/>
                <w:color w:val="000000" w:themeColor="text1"/>
                <w:sz w:val="14"/>
                <w:szCs w:val="14"/>
                <w:lang w:val="hr-HR"/>
              </w:rPr>
              <w:t>Novčana sredstva i računi kod banaka</w:t>
            </w:r>
            <w:bookmarkEnd w:id="1628"/>
          </w:p>
        </w:tc>
        <w:tc>
          <w:tcPr>
            <w:tcW w:w="319" w:type="pct"/>
            <w:tcBorders>
              <w:top w:val="nil"/>
              <w:left w:val="nil"/>
              <w:bottom w:val="nil"/>
              <w:right w:val="nil"/>
            </w:tcBorders>
            <w:shd w:val="clear" w:color="auto" w:fill="auto"/>
            <w:vAlign w:val="bottom"/>
          </w:tcPr>
          <w:p w14:paraId="7C5FB222"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1.716.519 </w:t>
            </w:r>
          </w:p>
        </w:tc>
        <w:tc>
          <w:tcPr>
            <w:tcW w:w="311" w:type="pct"/>
            <w:tcBorders>
              <w:top w:val="nil"/>
              <w:left w:val="nil"/>
              <w:bottom w:val="nil"/>
              <w:right w:val="nil"/>
            </w:tcBorders>
            <w:shd w:val="clear" w:color="auto" w:fill="auto"/>
            <w:vAlign w:val="bottom"/>
          </w:tcPr>
          <w:p w14:paraId="7E41AF12"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14" w:type="pct"/>
            <w:tcBorders>
              <w:top w:val="nil"/>
              <w:left w:val="nil"/>
              <w:bottom w:val="nil"/>
              <w:right w:val="nil"/>
            </w:tcBorders>
            <w:shd w:val="clear" w:color="auto" w:fill="auto"/>
            <w:vAlign w:val="bottom"/>
          </w:tcPr>
          <w:p w14:paraId="38E634F5"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728A78BD"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41" w:type="pct"/>
            <w:tcBorders>
              <w:top w:val="nil"/>
              <w:left w:val="nil"/>
              <w:bottom w:val="nil"/>
              <w:right w:val="nil"/>
            </w:tcBorders>
            <w:shd w:val="clear" w:color="auto" w:fill="auto"/>
            <w:vAlign w:val="bottom"/>
          </w:tcPr>
          <w:p w14:paraId="4546CD6A"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484344EF"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1.716.519 </w:t>
            </w:r>
          </w:p>
        </w:tc>
        <w:tc>
          <w:tcPr>
            <w:tcW w:w="362" w:type="pct"/>
            <w:tcBorders>
              <w:top w:val="nil"/>
              <w:left w:val="nil"/>
              <w:bottom w:val="nil"/>
              <w:right w:val="nil"/>
            </w:tcBorders>
            <w:vAlign w:val="bottom"/>
          </w:tcPr>
          <w:p w14:paraId="57B84E1A"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62" w:type="pct"/>
            <w:tcBorders>
              <w:top w:val="nil"/>
              <w:left w:val="nil"/>
              <w:bottom w:val="nil"/>
              <w:right w:val="nil"/>
            </w:tcBorders>
            <w:vAlign w:val="bottom"/>
          </w:tcPr>
          <w:p w14:paraId="54992E02"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62" w:type="pct"/>
            <w:tcBorders>
              <w:top w:val="nil"/>
              <w:left w:val="nil"/>
              <w:bottom w:val="nil"/>
              <w:right w:val="nil"/>
            </w:tcBorders>
            <w:vAlign w:val="bottom"/>
          </w:tcPr>
          <w:p w14:paraId="1386F884"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62" w:type="pct"/>
            <w:tcBorders>
              <w:top w:val="nil"/>
              <w:left w:val="nil"/>
              <w:bottom w:val="nil"/>
              <w:right w:val="nil"/>
            </w:tcBorders>
            <w:vAlign w:val="bottom"/>
          </w:tcPr>
          <w:p w14:paraId="3BF8A81C"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79" w:type="pct"/>
            <w:tcBorders>
              <w:top w:val="nil"/>
              <w:left w:val="nil"/>
              <w:bottom w:val="nil"/>
              <w:right w:val="nil"/>
            </w:tcBorders>
            <w:vAlign w:val="bottom"/>
          </w:tcPr>
          <w:p w14:paraId="4D5610F0"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47" w:type="pct"/>
            <w:tcBorders>
              <w:top w:val="nil"/>
              <w:left w:val="nil"/>
              <w:bottom w:val="nil"/>
              <w:right w:val="nil"/>
            </w:tcBorders>
            <w:vAlign w:val="bottom"/>
          </w:tcPr>
          <w:p w14:paraId="79D4AE10"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r>
      <w:tr w:rsidR="004E2F51" w:rsidRPr="00882573" w14:paraId="1FB77CCC" w14:textId="77777777" w:rsidTr="00E032FC">
        <w:trPr>
          <w:trHeight w:val="197"/>
          <w:jc w:val="center"/>
        </w:trPr>
        <w:tc>
          <w:tcPr>
            <w:tcW w:w="915" w:type="pct"/>
            <w:vAlign w:val="bottom"/>
          </w:tcPr>
          <w:p w14:paraId="33BE1F59" w14:textId="77777777" w:rsidR="004E2F51" w:rsidRPr="00882573" w:rsidRDefault="004E2F51" w:rsidP="00E032FC">
            <w:pPr>
              <w:tabs>
                <w:tab w:val="right" w:pos="1202"/>
              </w:tabs>
              <w:outlineLvl w:val="0"/>
              <w:rPr>
                <w:rFonts w:ascii="Arial" w:eastAsia="Calibri" w:hAnsi="Arial" w:cs="Arial"/>
                <w:color w:val="000000" w:themeColor="text1"/>
                <w:sz w:val="14"/>
                <w:szCs w:val="14"/>
                <w:lang w:val="hr-HR"/>
              </w:rPr>
            </w:pPr>
            <w:bookmarkStart w:id="1629" w:name="_Toc67329892"/>
            <w:r w:rsidRPr="00882573">
              <w:rPr>
                <w:rFonts w:ascii="Arial" w:eastAsia="Calibri" w:hAnsi="Arial" w:cs="Arial"/>
                <w:color w:val="000000" w:themeColor="text1"/>
                <w:sz w:val="14"/>
                <w:szCs w:val="14"/>
                <w:lang w:val="hr-HR"/>
              </w:rPr>
              <w:t>Depoziti kod drugih banaka</w:t>
            </w:r>
            <w:bookmarkEnd w:id="1629"/>
          </w:p>
        </w:tc>
        <w:tc>
          <w:tcPr>
            <w:tcW w:w="319" w:type="pct"/>
            <w:tcBorders>
              <w:top w:val="nil"/>
              <w:left w:val="nil"/>
              <w:bottom w:val="nil"/>
              <w:right w:val="nil"/>
            </w:tcBorders>
            <w:shd w:val="clear" w:color="auto" w:fill="auto"/>
            <w:vAlign w:val="bottom"/>
          </w:tcPr>
          <w:p w14:paraId="1FC55C18"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10.596 </w:t>
            </w:r>
          </w:p>
        </w:tc>
        <w:tc>
          <w:tcPr>
            <w:tcW w:w="311" w:type="pct"/>
            <w:tcBorders>
              <w:top w:val="nil"/>
              <w:left w:val="nil"/>
              <w:bottom w:val="nil"/>
              <w:right w:val="nil"/>
            </w:tcBorders>
            <w:shd w:val="clear" w:color="auto" w:fill="auto"/>
            <w:vAlign w:val="bottom"/>
          </w:tcPr>
          <w:p w14:paraId="716AD87C"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14" w:type="pct"/>
            <w:tcBorders>
              <w:top w:val="nil"/>
              <w:left w:val="nil"/>
              <w:bottom w:val="nil"/>
              <w:right w:val="nil"/>
            </w:tcBorders>
            <w:shd w:val="clear" w:color="auto" w:fill="auto"/>
            <w:vAlign w:val="bottom"/>
          </w:tcPr>
          <w:p w14:paraId="2B001019"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3C765D15"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41" w:type="pct"/>
            <w:tcBorders>
              <w:top w:val="nil"/>
              <w:left w:val="nil"/>
              <w:bottom w:val="nil"/>
              <w:right w:val="nil"/>
            </w:tcBorders>
            <w:shd w:val="clear" w:color="auto" w:fill="auto"/>
            <w:vAlign w:val="bottom"/>
          </w:tcPr>
          <w:p w14:paraId="23DDCBD7"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0EE1CF73"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10.596 </w:t>
            </w:r>
          </w:p>
        </w:tc>
        <w:tc>
          <w:tcPr>
            <w:tcW w:w="362" w:type="pct"/>
            <w:tcBorders>
              <w:top w:val="nil"/>
              <w:left w:val="nil"/>
              <w:bottom w:val="nil"/>
              <w:right w:val="nil"/>
            </w:tcBorders>
            <w:vAlign w:val="bottom"/>
          </w:tcPr>
          <w:p w14:paraId="07E0282D"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62" w:type="pct"/>
            <w:tcBorders>
              <w:top w:val="nil"/>
              <w:left w:val="nil"/>
              <w:bottom w:val="nil"/>
              <w:right w:val="nil"/>
            </w:tcBorders>
            <w:vAlign w:val="bottom"/>
          </w:tcPr>
          <w:p w14:paraId="3D71FF12"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62" w:type="pct"/>
            <w:tcBorders>
              <w:top w:val="nil"/>
              <w:left w:val="nil"/>
              <w:bottom w:val="nil"/>
              <w:right w:val="nil"/>
            </w:tcBorders>
            <w:vAlign w:val="bottom"/>
          </w:tcPr>
          <w:p w14:paraId="59531C45"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62" w:type="pct"/>
            <w:tcBorders>
              <w:top w:val="nil"/>
              <w:left w:val="nil"/>
              <w:bottom w:val="nil"/>
              <w:right w:val="nil"/>
            </w:tcBorders>
            <w:vAlign w:val="bottom"/>
          </w:tcPr>
          <w:p w14:paraId="64706EE3"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79" w:type="pct"/>
            <w:tcBorders>
              <w:top w:val="nil"/>
              <w:left w:val="nil"/>
              <w:bottom w:val="nil"/>
              <w:right w:val="nil"/>
            </w:tcBorders>
            <w:vAlign w:val="bottom"/>
          </w:tcPr>
          <w:p w14:paraId="485AE2EA"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47" w:type="pct"/>
            <w:tcBorders>
              <w:top w:val="nil"/>
              <w:left w:val="nil"/>
              <w:bottom w:val="nil"/>
              <w:right w:val="nil"/>
            </w:tcBorders>
            <w:vAlign w:val="bottom"/>
          </w:tcPr>
          <w:p w14:paraId="61C00CCA"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r>
      <w:tr w:rsidR="004E2F51" w:rsidRPr="00882573" w14:paraId="6A4D0AA7" w14:textId="77777777" w:rsidTr="00E032FC">
        <w:trPr>
          <w:trHeight w:val="197"/>
          <w:jc w:val="center"/>
        </w:trPr>
        <w:tc>
          <w:tcPr>
            <w:tcW w:w="915" w:type="pct"/>
            <w:vAlign w:val="bottom"/>
          </w:tcPr>
          <w:p w14:paraId="5D3B68A9" w14:textId="77777777" w:rsidR="004E2F51" w:rsidRPr="00882573" w:rsidRDefault="004E2F51" w:rsidP="00E032FC">
            <w:pPr>
              <w:tabs>
                <w:tab w:val="right" w:pos="1202"/>
              </w:tabs>
              <w:outlineLvl w:val="0"/>
              <w:rPr>
                <w:rFonts w:ascii="Arial" w:eastAsia="Calibri" w:hAnsi="Arial" w:cs="Arial"/>
                <w:color w:val="000000" w:themeColor="text1"/>
                <w:sz w:val="14"/>
                <w:szCs w:val="14"/>
                <w:lang w:val="hr-HR"/>
              </w:rPr>
            </w:pPr>
            <w:bookmarkStart w:id="1630" w:name="_Toc67329893"/>
            <w:r w:rsidRPr="00882573">
              <w:rPr>
                <w:rFonts w:ascii="Arial" w:eastAsia="Calibri" w:hAnsi="Arial" w:cs="Arial"/>
                <w:color w:val="000000" w:themeColor="text1"/>
                <w:sz w:val="14"/>
                <w:szCs w:val="14"/>
                <w:lang w:val="hr-HR"/>
              </w:rPr>
              <w:t>Krediti financijskim institucijama</w:t>
            </w:r>
            <w:bookmarkEnd w:id="1630"/>
          </w:p>
        </w:tc>
        <w:tc>
          <w:tcPr>
            <w:tcW w:w="319" w:type="pct"/>
            <w:tcBorders>
              <w:top w:val="nil"/>
              <w:left w:val="nil"/>
              <w:bottom w:val="nil"/>
              <w:right w:val="nil"/>
            </w:tcBorders>
            <w:shd w:val="clear" w:color="auto" w:fill="auto"/>
            <w:vAlign w:val="bottom"/>
          </w:tcPr>
          <w:p w14:paraId="4B2B1155"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6.706.507 </w:t>
            </w:r>
          </w:p>
        </w:tc>
        <w:tc>
          <w:tcPr>
            <w:tcW w:w="311" w:type="pct"/>
            <w:tcBorders>
              <w:top w:val="nil"/>
              <w:left w:val="nil"/>
              <w:bottom w:val="nil"/>
              <w:right w:val="nil"/>
            </w:tcBorders>
            <w:shd w:val="clear" w:color="auto" w:fill="auto"/>
            <w:vAlign w:val="bottom"/>
          </w:tcPr>
          <w:p w14:paraId="4E44BFF9"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275.864 </w:t>
            </w:r>
          </w:p>
        </w:tc>
        <w:tc>
          <w:tcPr>
            <w:tcW w:w="314" w:type="pct"/>
            <w:tcBorders>
              <w:top w:val="nil"/>
              <w:left w:val="nil"/>
              <w:bottom w:val="nil"/>
              <w:right w:val="nil"/>
            </w:tcBorders>
            <w:shd w:val="clear" w:color="auto" w:fill="auto"/>
            <w:vAlign w:val="bottom"/>
          </w:tcPr>
          <w:p w14:paraId="3E8581FB"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2.341 </w:t>
            </w:r>
          </w:p>
        </w:tc>
        <w:tc>
          <w:tcPr>
            <w:tcW w:w="313" w:type="pct"/>
            <w:tcBorders>
              <w:top w:val="nil"/>
              <w:left w:val="nil"/>
              <w:bottom w:val="nil"/>
              <w:right w:val="nil"/>
            </w:tcBorders>
            <w:shd w:val="clear" w:color="auto" w:fill="auto"/>
            <w:vAlign w:val="bottom"/>
          </w:tcPr>
          <w:p w14:paraId="22D861D0"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41" w:type="pct"/>
            <w:tcBorders>
              <w:top w:val="nil"/>
              <w:left w:val="nil"/>
              <w:bottom w:val="nil"/>
              <w:right w:val="nil"/>
            </w:tcBorders>
            <w:shd w:val="clear" w:color="auto" w:fill="auto"/>
            <w:vAlign w:val="bottom"/>
          </w:tcPr>
          <w:p w14:paraId="622D240E"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78CD0F77"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6.984.712 </w:t>
            </w:r>
          </w:p>
        </w:tc>
        <w:tc>
          <w:tcPr>
            <w:tcW w:w="362" w:type="pct"/>
            <w:tcBorders>
              <w:top w:val="nil"/>
              <w:left w:val="nil"/>
              <w:bottom w:val="nil"/>
              <w:right w:val="nil"/>
            </w:tcBorders>
            <w:vAlign w:val="bottom"/>
          </w:tcPr>
          <w:p w14:paraId="6DD73506"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62" w:type="pct"/>
            <w:tcBorders>
              <w:top w:val="nil"/>
              <w:left w:val="nil"/>
              <w:bottom w:val="nil"/>
              <w:right w:val="nil"/>
            </w:tcBorders>
            <w:vAlign w:val="bottom"/>
          </w:tcPr>
          <w:p w14:paraId="741A1D7D"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62" w:type="pct"/>
            <w:tcBorders>
              <w:top w:val="nil"/>
              <w:left w:val="nil"/>
              <w:bottom w:val="nil"/>
              <w:right w:val="nil"/>
            </w:tcBorders>
            <w:vAlign w:val="bottom"/>
          </w:tcPr>
          <w:p w14:paraId="28EA3D6C"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62" w:type="pct"/>
            <w:tcBorders>
              <w:top w:val="nil"/>
              <w:left w:val="nil"/>
              <w:bottom w:val="nil"/>
              <w:right w:val="nil"/>
            </w:tcBorders>
            <w:vAlign w:val="bottom"/>
          </w:tcPr>
          <w:p w14:paraId="3D431933"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79" w:type="pct"/>
            <w:tcBorders>
              <w:top w:val="nil"/>
              <w:left w:val="nil"/>
              <w:bottom w:val="nil"/>
              <w:right w:val="nil"/>
            </w:tcBorders>
            <w:vAlign w:val="bottom"/>
          </w:tcPr>
          <w:p w14:paraId="522A7F82"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47" w:type="pct"/>
            <w:tcBorders>
              <w:top w:val="nil"/>
              <w:left w:val="nil"/>
              <w:bottom w:val="nil"/>
              <w:right w:val="nil"/>
            </w:tcBorders>
            <w:vAlign w:val="bottom"/>
          </w:tcPr>
          <w:p w14:paraId="436A9117"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r>
      <w:tr w:rsidR="004E2F51" w:rsidRPr="00882573" w14:paraId="042E2B2B" w14:textId="77777777" w:rsidTr="00E032FC">
        <w:trPr>
          <w:trHeight w:val="197"/>
          <w:jc w:val="center"/>
        </w:trPr>
        <w:tc>
          <w:tcPr>
            <w:tcW w:w="915" w:type="pct"/>
            <w:vAlign w:val="bottom"/>
          </w:tcPr>
          <w:p w14:paraId="289E86B4" w14:textId="77777777" w:rsidR="004E2F51" w:rsidRPr="00882573" w:rsidRDefault="004E2F51" w:rsidP="00E032FC">
            <w:pPr>
              <w:tabs>
                <w:tab w:val="right" w:pos="1202"/>
              </w:tabs>
              <w:outlineLvl w:val="0"/>
              <w:rPr>
                <w:rFonts w:ascii="Arial" w:eastAsia="Calibri" w:hAnsi="Arial" w:cs="Arial"/>
                <w:color w:val="000000" w:themeColor="text1"/>
                <w:sz w:val="14"/>
                <w:szCs w:val="14"/>
                <w:lang w:val="hr-HR"/>
              </w:rPr>
            </w:pPr>
            <w:bookmarkStart w:id="1631" w:name="_Toc67329894"/>
            <w:r w:rsidRPr="00882573">
              <w:rPr>
                <w:rFonts w:ascii="Arial" w:eastAsia="Calibri" w:hAnsi="Arial" w:cs="Arial"/>
                <w:color w:val="000000" w:themeColor="text1"/>
                <w:sz w:val="14"/>
                <w:szCs w:val="14"/>
                <w:lang w:val="hr-HR"/>
              </w:rPr>
              <w:t>Krediti ostalim korisnicima</w:t>
            </w:r>
            <w:bookmarkEnd w:id="1631"/>
          </w:p>
        </w:tc>
        <w:tc>
          <w:tcPr>
            <w:tcW w:w="319" w:type="pct"/>
            <w:tcBorders>
              <w:top w:val="nil"/>
              <w:left w:val="nil"/>
              <w:bottom w:val="nil"/>
              <w:right w:val="nil"/>
            </w:tcBorders>
            <w:shd w:val="clear" w:color="auto" w:fill="auto"/>
            <w:vAlign w:val="bottom"/>
          </w:tcPr>
          <w:p w14:paraId="64A27FA7"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13.637.783 </w:t>
            </w:r>
          </w:p>
        </w:tc>
        <w:tc>
          <w:tcPr>
            <w:tcW w:w="311" w:type="pct"/>
            <w:tcBorders>
              <w:top w:val="nil"/>
              <w:left w:val="nil"/>
              <w:bottom w:val="nil"/>
              <w:right w:val="nil"/>
            </w:tcBorders>
            <w:shd w:val="clear" w:color="auto" w:fill="auto"/>
            <w:vAlign w:val="bottom"/>
          </w:tcPr>
          <w:p w14:paraId="490828D2"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1.434.690 </w:t>
            </w:r>
          </w:p>
        </w:tc>
        <w:tc>
          <w:tcPr>
            <w:tcW w:w="314" w:type="pct"/>
            <w:tcBorders>
              <w:top w:val="nil"/>
              <w:left w:val="nil"/>
              <w:bottom w:val="nil"/>
              <w:right w:val="nil"/>
            </w:tcBorders>
            <w:shd w:val="clear" w:color="auto" w:fill="auto"/>
            <w:vAlign w:val="bottom"/>
          </w:tcPr>
          <w:p w14:paraId="5912E37E"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1.145.398 </w:t>
            </w:r>
          </w:p>
        </w:tc>
        <w:tc>
          <w:tcPr>
            <w:tcW w:w="313" w:type="pct"/>
            <w:tcBorders>
              <w:top w:val="nil"/>
              <w:left w:val="nil"/>
              <w:bottom w:val="nil"/>
              <w:right w:val="nil"/>
            </w:tcBorders>
            <w:shd w:val="clear" w:color="auto" w:fill="auto"/>
            <w:vAlign w:val="bottom"/>
          </w:tcPr>
          <w:p w14:paraId="44AE457F"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1.184.795 </w:t>
            </w:r>
          </w:p>
        </w:tc>
        <w:tc>
          <w:tcPr>
            <w:tcW w:w="341" w:type="pct"/>
            <w:tcBorders>
              <w:top w:val="nil"/>
              <w:left w:val="nil"/>
              <w:bottom w:val="nil"/>
              <w:right w:val="nil"/>
            </w:tcBorders>
            <w:shd w:val="clear" w:color="auto" w:fill="auto"/>
            <w:vAlign w:val="bottom"/>
          </w:tcPr>
          <w:p w14:paraId="6CACE21D"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3F6B6F97"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17.402.666 </w:t>
            </w:r>
          </w:p>
        </w:tc>
        <w:tc>
          <w:tcPr>
            <w:tcW w:w="362" w:type="pct"/>
            <w:tcBorders>
              <w:top w:val="nil"/>
              <w:left w:val="nil"/>
              <w:bottom w:val="nil"/>
              <w:right w:val="nil"/>
            </w:tcBorders>
            <w:vAlign w:val="bottom"/>
          </w:tcPr>
          <w:p w14:paraId="17A4D3D7"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2.318.955 </w:t>
            </w:r>
          </w:p>
        </w:tc>
        <w:tc>
          <w:tcPr>
            <w:tcW w:w="362" w:type="pct"/>
            <w:tcBorders>
              <w:top w:val="nil"/>
              <w:left w:val="nil"/>
              <w:bottom w:val="nil"/>
              <w:right w:val="nil"/>
            </w:tcBorders>
            <w:vAlign w:val="bottom"/>
          </w:tcPr>
          <w:p w14:paraId="295FACBC"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140.046 </w:t>
            </w:r>
          </w:p>
        </w:tc>
        <w:tc>
          <w:tcPr>
            <w:tcW w:w="362" w:type="pct"/>
            <w:tcBorders>
              <w:top w:val="nil"/>
              <w:left w:val="nil"/>
              <w:bottom w:val="nil"/>
              <w:right w:val="nil"/>
            </w:tcBorders>
            <w:vAlign w:val="bottom"/>
          </w:tcPr>
          <w:p w14:paraId="567262AA"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104.570 </w:t>
            </w:r>
          </w:p>
        </w:tc>
        <w:tc>
          <w:tcPr>
            <w:tcW w:w="362" w:type="pct"/>
            <w:tcBorders>
              <w:top w:val="nil"/>
              <w:left w:val="nil"/>
              <w:bottom w:val="nil"/>
              <w:right w:val="nil"/>
            </w:tcBorders>
            <w:vAlign w:val="bottom"/>
          </w:tcPr>
          <w:p w14:paraId="7D4000B3"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173.746 </w:t>
            </w:r>
          </w:p>
        </w:tc>
        <w:tc>
          <w:tcPr>
            <w:tcW w:w="379" w:type="pct"/>
            <w:tcBorders>
              <w:top w:val="nil"/>
              <w:left w:val="nil"/>
              <w:bottom w:val="nil"/>
              <w:right w:val="nil"/>
            </w:tcBorders>
            <w:vAlign w:val="bottom"/>
          </w:tcPr>
          <w:p w14:paraId="1B67D747"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47" w:type="pct"/>
            <w:tcBorders>
              <w:top w:val="nil"/>
              <w:left w:val="nil"/>
              <w:bottom w:val="nil"/>
              <w:right w:val="nil"/>
            </w:tcBorders>
            <w:vAlign w:val="bottom"/>
          </w:tcPr>
          <w:p w14:paraId="79BA8932"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2.737.317 </w:t>
            </w:r>
          </w:p>
        </w:tc>
      </w:tr>
      <w:tr w:rsidR="004E2F51" w:rsidRPr="00882573" w14:paraId="397C2D1F" w14:textId="77777777" w:rsidTr="00E032FC">
        <w:trPr>
          <w:trHeight w:val="197"/>
          <w:jc w:val="center"/>
        </w:trPr>
        <w:tc>
          <w:tcPr>
            <w:tcW w:w="915" w:type="pct"/>
            <w:vAlign w:val="bottom"/>
          </w:tcPr>
          <w:p w14:paraId="7A3AC897" w14:textId="77777777" w:rsidR="004E2F51" w:rsidRPr="00882573" w:rsidRDefault="004E2F51" w:rsidP="00E032FC">
            <w:pPr>
              <w:tabs>
                <w:tab w:val="right" w:pos="1202"/>
              </w:tabs>
              <w:outlineLvl w:val="0"/>
              <w:rPr>
                <w:rFonts w:ascii="Arial" w:eastAsia="Calibri" w:hAnsi="Arial" w:cs="Arial"/>
                <w:color w:val="000000" w:themeColor="text1"/>
                <w:sz w:val="14"/>
                <w:szCs w:val="14"/>
                <w:lang w:val="hr-HR"/>
              </w:rPr>
            </w:pPr>
            <w:bookmarkStart w:id="1632" w:name="_Toc67329895"/>
            <w:r w:rsidRPr="00882573">
              <w:rPr>
                <w:rFonts w:ascii="Arial" w:eastAsia="Calibri" w:hAnsi="Arial" w:cs="Arial"/>
                <w:color w:val="000000" w:themeColor="text1"/>
                <w:sz w:val="14"/>
                <w:szCs w:val="14"/>
                <w:lang w:val="hr-HR"/>
              </w:rPr>
              <w:t>Financijska imovina po fer vrijednosti kroz dobit ili gubitak</w:t>
            </w:r>
            <w:bookmarkEnd w:id="1632"/>
          </w:p>
        </w:tc>
        <w:tc>
          <w:tcPr>
            <w:tcW w:w="319" w:type="pct"/>
            <w:tcBorders>
              <w:top w:val="nil"/>
              <w:left w:val="nil"/>
              <w:bottom w:val="nil"/>
              <w:right w:val="nil"/>
            </w:tcBorders>
            <w:shd w:val="clear" w:color="auto" w:fill="auto"/>
            <w:vAlign w:val="bottom"/>
          </w:tcPr>
          <w:p w14:paraId="3C2E3CFF"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Pr>
                <w:rFonts w:ascii="Arial" w:eastAsia="Calibri" w:hAnsi="Arial" w:cs="Arial"/>
                <w:color w:val="000000" w:themeColor="text1"/>
                <w:sz w:val="14"/>
                <w:szCs w:val="14"/>
                <w:lang w:val="hr-HR"/>
              </w:rPr>
              <w:t>-</w:t>
            </w:r>
          </w:p>
        </w:tc>
        <w:tc>
          <w:tcPr>
            <w:tcW w:w="311" w:type="pct"/>
            <w:tcBorders>
              <w:top w:val="nil"/>
              <w:left w:val="nil"/>
              <w:bottom w:val="nil"/>
              <w:right w:val="nil"/>
            </w:tcBorders>
            <w:shd w:val="clear" w:color="auto" w:fill="auto"/>
            <w:vAlign w:val="bottom"/>
          </w:tcPr>
          <w:p w14:paraId="54E6CB17"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Pr>
                <w:rFonts w:ascii="Arial" w:eastAsia="Calibri" w:hAnsi="Arial" w:cs="Arial"/>
                <w:color w:val="000000" w:themeColor="text1"/>
                <w:sz w:val="14"/>
                <w:szCs w:val="14"/>
                <w:lang w:val="hr-HR"/>
              </w:rPr>
              <w:t>-</w:t>
            </w:r>
          </w:p>
        </w:tc>
        <w:tc>
          <w:tcPr>
            <w:tcW w:w="314" w:type="pct"/>
            <w:tcBorders>
              <w:top w:val="nil"/>
              <w:left w:val="nil"/>
              <w:bottom w:val="nil"/>
              <w:right w:val="nil"/>
            </w:tcBorders>
            <w:shd w:val="clear" w:color="auto" w:fill="auto"/>
            <w:vAlign w:val="bottom"/>
          </w:tcPr>
          <w:p w14:paraId="350A23FF"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6113C407"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Pr>
                <w:rFonts w:ascii="Arial" w:eastAsia="Calibri" w:hAnsi="Arial" w:cs="Arial"/>
                <w:color w:val="000000" w:themeColor="text1"/>
                <w:sz w:val="14"/>
                <w:szCs w:val="14"/>
                <w:lang w:val="hr-HR"/>
              </w:rPr>
              <w:t>-</w:t>
            </w:r>
          </w:p>
        </w:tc>
        <w:tc>
          <w:tcPr>
            <w:tcW w:w="341" w:type="pct"/>
            <w:tcBorders>
              <w:top w:val="nil"/>
              <w:left w:val="nil"/>
              <w:bottom w:val="nil"/>
              <w:right w:val="nil"/>
            </w:tcBorders>
            <w:shd w:val="clear" w:color="auto" w:fill="auto"/>
            <w:vAlign w:val="bottom"/>
          </w:tcPr>
          <w:p w14:paraId="4E542AF1"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sidRPr="002D7BE9">
              <w:rPr>
                <w:rFonts w:ascii="Arial" w:eastAsia="Calibri" w:hAnsi="Arial" w:cs="Arial"/>
                <w:color w:val="000000" w:themeColor="text1"/>
                <w:sz w:val="14"/>
                <w:szCs w:val="14"/>
                <w:lang w:val="hr-HR"/>
              </w:rPr>
              <w:t xml:space="preserve"> 23.87</w:t>
            </w:r>
            <w:r>
              <w:rPr>
                <w:rFonts w:ascii="Arial" w:eastAsia="Calibri" w:hAnsi="Arial" w:cs="Arial"/>
                <w:color w:val="000000" w:themeColor="text1"/>
                <w:sz w:val="14"/>
                <w:szCs w:val="14"/>
                <w:lang w:val="hr-HR"/>
              </w:rPr>
              <w:t>0</w:t>
            </w:r>
            <w:r w:rsidRPr="002D7BE9">
              <w:rPr>
                <w:rFonts w:ascii="Arial" w:eastAsia="Calibri" w:hAnsi="Arial" w:cs="Arial"/>
                <w:color w:val="000000" w:themeColor="text1"/>
                <w:sz w:val="14"/>
                <w:szCs w:val="14"/>
                <w:lang w:val="hr-HR"/>
              </w:rPr>
              <w:t xml:space="preserve"> </w:t>
            </w:r>
          </w:p>
        </w:tc>
        <w:tc>
          <w:tcPr>
            <w:tcW w:w="313" w:type="pct"/>
            <w:tcBorders>
              <w:top w:val="nil"/>
              <w:left w:val="nil"/>
              <w:bottom w:val="nil"/>
              <w:right w:val="nil"/>
            </w:tcBorders>
            <w:shd w:val="clear" w:color="auto" w:fill="auto"/>
            <w:vAlign w:val="bottom"/>
          </w:tcPr>
          <w:p w14:paraId="0E0036B2"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sidRPr="002D7BE9">
              <w:rPr>
                <w:rFonts w:ascii="Arial" w:eastAsia="Calibri" w:hAnsi="Arial" w:cs="Arial"/>
                <w:color w:val="000000" w:themeColor="text1"/>
                <w:sz w:val="14"/>
                <w:szCs w:val="14"/>
                <w:lang w:val="hr-HR"/>
              </w:rPr>
              <w:t xml:space="preserve"> 23.87</w:t>
            </w:r>
            <w:r>
              <w:rPr>
                <w:rFonts w:ascii="Arial" w:eastAsia="Calibri" w:hAnsi="Arial" w:cs="Arial"/>
                <w:color w:val="000000" w:themeColor="text1"/>
                <w:sz w:val="14"/>
                <w:szCs w:val="14"/>
                <w:lang w:val="hr-HR"/>
              </w:rPr>
              <w:t>0</w:t>
            </w:r>
            <w:r w:rsidRPr="002D7BE9">
              <w:rPr>
                <w:rFonts w:ascii="Arial" w:eastAsia="Calibri" w:hAnsi="Arial" w:cs="Arial"/>
                <w:color w:val="000000" w:themeColor="text1"/>
                <w:sz w:val="14"/>
                <w:szCs w:val="14"/>
                <w:lang w:val="hr-HR"/>
              </w:rPr>
              <w:t xml:space="preserve"> </w:t>
            </w:r>
          </w:p>
        </w:tc>
        <w:tc>
          <w:tcPr>
            <w:tcW w:w="362" w:type="pct"/>
            <w:tcBorders>
              <w:top w:val="nil"/>
              <w:left w:val="nil"/>
              <w:bottom w:val="nil"/>
              <w:right w:val="nil"/>
            </w:tcBorders>
            <w:vAlign w:val="bottom"/>
          </w:tcPr>
          <w:p w14:paraId="393F07A8"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Pr>
                <w:rFonts w:ascii="Arial" w:eastAsia="Calibri" w:hAnsi="Arial" w:cs="Arial"/>
                <w:color w:val="000000" w:themeColor="text1"/>
                <w:sz w:val="14"/>
                <w:szCs w:val="14"/>
                <w:lang w:val="hr-HR"/>
              </w:rPr>
              <w:t>-</w:t>
            </w:r>
          </w:p>
        </w:tc>
        <w:tc>
          <w:tcPr>
            <w:tcW w:w="362" w:type="pct"/>
            <w:tcBorders>
              <w:top w:val="nil"/>
              <w:left w:val="nil"/>
              <w:bottom w:val="nil"/>
              <w:right w:val="nil"/>
            </w:tcBorders>
            <w:vAlign w:val="bottom"/>
          </w:tcPr>
          <w:p w14:paraId="42158C53"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Pr>
                <w:rFonts w:ascii="Arial" w:eastAsia="Calibri" w:hAnsi="Arial" w:cs="Arial"/>
                <w:color w:val="000000" w:themeColor="text1"/>
                <w:sz w:val="14"/>
                <w:szCs w:val="14"/>
                <w:lang w:val="hr-HR"/>
              </w:rPr>
              <w:t>-</w:t>
            </w:r>
          </w:p>
        </w:tc>
        <w:tc>
          <w:tcPr>
            <w:tcW w:w="362" w:type="pct"/>
            <w:tcBorders>
              <w:top w:val="nil"/>
              <w:left w:val="nil"/>
              <w:bottom w:val="nil"/>
              <w:right w:val="nil"/>
            </w:tcBorders>
            <w:vAlign w:val="bottom"/>
          </w:tcPr>
          <w:p w14:paraId="4FB53341"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Pr>
                <w:rFonts w:ascii="Arial" w:eastAsia="Calibri" w:hAnsi="Arial" w:cs="Arial"/>
                <w:color w:val="000000" w:themeColor="text1"/>
                <w:sz w:val="14"/>
                <w:szCs w:val="14"/>
                <w:lang w:val="hr-HR"/>
              </w:rPr>
              <w:t>-</w:t>
            </w:r>
          </w:p>
        </w:tc>
        <w:tc>
          <w:tcPr>
            <w:tcW w:w="362" w:type="pct"/>
            <w:tcBorders>
              <w:top w:val="nil"/>
              <w:left w:val="nil"/>
              <w:bottom w:val="nil"/>
              <w:right w:val="nil"/>
            </w:tcBorders>
            <w:vAlign w:val="bottom"/>
          </w:tcPr>
          <w:p w14:paraId="757C1C0D"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Pr>
                <w:rFonts w:ascii="Arial" w:eastAsia="Calibri" w:hAnsi="Arial" w:cs="Arial"/>
                <w:color w:val="000000" w:themeColor="text1"/>
                <w:sz w:val="14"/>
                <w:szCs w:val="14"/>
                <w:lang w:val="hr-HR"/>
              </w:rPr>
              <w:t>-</w:t>
            </w:r>
          </w:p>
        </w:tc>
        <w:tc>
          <w:tcPr>
            <w:tcW w:w="379" w:type="pct"/>
            <w:tcBorders>
              <w:top w:val="nil"/>
              <w:left w:val="nil"/>
              <w:bottom w:val="nil"/>
              <w:right w:val="nil"/>
            </w:tcBorders>
            <w:shd w:val="clear" w:color="auto" w:fill="auto"/>
            <w:vAlign w:val="bottom"/>
          </w:tcPr>
          <w:p w14:paraId="354D1DF4"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Pr>
                <w:rFonts w:ascii="Arial" w:eastAsia="Calibri" w:hAnsi="Arial" w:cs="Arial"/>
                <w:color w:val="000000" w:themeColor="text1"/>
                <w:sz w:val="14"/>
                <w:szCs w:val="14"/>
                <w:lang w:val="hr-HR"/>
              </w:rPr>
              <w:t>-</w:t>
            </w:r>
          </w:p>
        </w:tc>
        <w:tc>
          <w:tcPr>
            <w:tcW w:w="347" w:type="pct"/>
            <w:tcBorders>
              <w:top w:val="nil"/>
              <w:left w:val="nil"/>
              <w:bottom w:val="nil"/>
              <w:right w:val="nil"/>
            </w:tcBorders>
            <w:shd w:val="clear" w:color="auto" w:fill="auto"/>
            <w:vAlign w:val="bottom"/>
          </w:tcPr>
          <w:p w14:paraId="6A82DD99"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sidRPr="002D7BE9">
              <w:rPr>
                <w:rFonts w:ascii="Arial" w:eastAsia="Calibri" w:hAnsi="Arial" w:cs="Arial"/>
                <w:color w:val="000000" w:themeColor="text1"/>
                <w:sz w:val="14"/>
                <w:szCs w:val="14"/>
                <w:lang w:val="hr-HR"/>
              </w:rPr>
              <w:t xml:space="preserve"> - </w:t>
            </w:r>
          </w:p>
        </w:tc>
      </w:tr>
      <w:tr w:rsidR="004E2F51" w:rsidRPr="00882573" w14:paraId="4AA72B78" w14:textId="77777777" w:rsidTr="00E032FC">
        <w:trPr>
          <w:trHeight w:val="197"/>
          <w:jc w:val="center"/>
        </w:trPr>
        <w:tc>
          <w:tcPr>
            <w:tcW w:w="915" w:type="pct"/>
            <w:vAlign w:val="bottom"/>
          </w:tcPr>
          <w:p w14:paraId="6BDBBF5F" w14:textId="77777777" w:rsidR="004E2F51" w:rsidRPr="00882573" w:rsidRDefault="004E2F51" w:rsidP="00E032FC">
            <w:pPr>
              <w:tabs>
                <w:tab w:val="right" w:pos="1202"/>
              </w:tabs>
              <w:outlineLvl w:val="0"/>
              <w:rPr>
                <w:rFonts w:ascii="Arial" w:eastAsia="Calibri" w:hAnsi="Arial" w:cs="Arial"/>
                <w:color w:val="000000" w:themeColor="text1"/>
                <w:sz w:val="14"/>
                <w:szCs w:val="14"/>
                <w:lang w:val="hr-HR"/>
              </w:rPr>
            </w:pPr>
            <w:bookmarkStart w:id="1633" w:name="_Toc67329908"/>
            <w:r w:rsidRPr="00882573">
              <w:rPr>
                <w:rFonts w:ascii="Arial" w:eastAsia="Calibri" w:hAnsi="Arial" w:cs="Arial"/>
                <w:color w:val="000000" w:themeColor="text1"/>
                <w:sz w:val="14"/>
                <w:szCs w:val="14"/>
                <w:lang w:val="hr-HR"/>
              </w:rPr>
              <w:t>Financijska imovina po fer vrijednosti kroz ostalu sveobuhvatnu dobit</w:t>
            </w:r>
            <w:bookmarkEnd w:id="1633"/>
          </w:p>
        </w:tc>
        <w:tc>
          <w:tcPr>
            <w:tcW w:w="319" w:type="pct"/>
            <w:tcBorders>
              <w:top w:val="nil"/>
              <w:left w:val="nil"/>
              <w:bottom w:val="nil"/>
              <w:right w:val="nil"/>
            </w:tcBorders>
            <w:shd w:val="clear" w:color="auto" w:fill="auto"/>
            <w:vAlign w:val="bottom"/>
          </w:tcPr>
          <w:p w14:paraId="684999CB"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2.584.329 </w:t>
            </w:r>
          </w:p>
        </w:tc>
        <w:tc>
          <w:tcPr>
            <w:tcW w:w="311" w:type="pct"/>
            <w:tcBorders>
              <w:top w:val="nil"/>
              <w:left w:val="nil"/>
              <w:bottom w:val="nil"/>
              <w:right w:val="nil"/>
            </w:tcBorders>
            <w:shd w:val="clear" w:color="auto" w:fill="auto"/>
            <w:vAlign w:val="bottom"/>
          </w:tcPr>
          <w:p w14:paraId="6A9DEB5E"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496 </w:t>
            </w:r>
          </w:p>
        </w:tc>
        <w:tc>
          <w:tcPr>
            <w:tcW w:w="314" w:type="pct"/>
            <w:tcBorders>
              <w:top w:val="nil"/>
              <w:left w:val="nil"/>
              <w:bottom w:val="nil"/>
              <w:right w:val="nil"/>
            </w:tcBorders>
            <w:shd w:val="clear" w:color="auto" w:fill="auto"/>
            <w:vAlign w:val="bottom"/>
          </w:tcPr>
          <w:p w14:paraId="475B6132"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1.472 </w:t>
            </w:r>
          </w:p>
        </w:tc>
        <w:tc>
          <w:tcPr>
            <w:tcW w:w="313" w:type="pct"/>
            <w:tcBorders>
              <w:top w:val="nil"/>
              <w:left w:val="nil"/>
              <w:bottom w:val="nil"/>
              <w:right w:val="nil"/>
            </w:tcBorders>
            <w:shd w:val="clear" w:color="auto" w:fill="auto"/>
            <w:vAlign w:val="bottom"/>
          </w:tcPr>
          <w:p w14:paraId="17AC9229"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41" w:type="pct"/>
            <w:tcBorders>
              <w:top w:val="nil"/>
              <w:left w:val="nil"/>
              <w:bottom w:val="nil"/>
              <w:right w:val="nil"/>
            </w:tcBorders>
            <w:shd w:val="clear" w:color="auto" w:fill="auto"/>
            <w:vAlign w:val="bottom"/>
          </w:tcPr>
          <w:p w14:paraId="526FDDF3"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28A28FD1"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2.586.297 </w:t>
            </w:r>
          </w:p>
        </w:tc>
        <w:tc>
          <w:tcPr>
            <w:tcW w:w="362" w:type="pct"/>
            <w:tcBorders>
              <w:top w:val="nil"/>
              <w:left w:val="nil"/>
              <w:bottom w:val="nil"/>
              <w:right w:val="nil"/>
            </w:tcBorders>
            <w:shd w:val="clear" w:color="auto" w:fill="auto"/>
            <w:vAlign w:val="bottom"/>
          </w:tcPr>
          <w:p w14:paraId="7F7404E9"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2.584.329 </w:t>
            </w:r>
          </w:p>
        </w:tc>
        <w:tc>
          <w:tcPr>
            <w:tcW w:w="362" w:type="pct"/>
            <w:tcBorders>
              <w:top w:val="nil"/>
              <w:left w:val="nil"/>
              <w:bottom w:val="nil"/>
              <w:right w:val="nil"/>
            </w:tcBorders>
            <w:shd w:val="clear" w:color="auto" w:fill="auto"/>
            <w:vAlign w:val="bottom"/>
          </w:tcPr>
          <w:p w14:paraId="20ED637F"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496 </w:t>
            </w:r>
          </w:p>
        </w:tc>
        <w:tc>
          <w:tcPr>
            <w:tcW w:w="362" w:type="pct"/>
            <w:tcBorders>
              <w:top w:val="nil"/>
              <w:left w:val="nil"/>
              <w:bottom w:val="nil"/>
              <w:right w:val="nil"/>
            </w:tcBorders>
            <w:shd w:val="clear" w:color="auto" w:fill="auto"/>
            <w:vAlign w:val="bottom"/>
          </w:tcPr>
          <w:p w14:paraId="4E0EB48F"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1.472 </w:t>
            </w:r>
          </w:p>
        </w:tc>
        <w:tc>
          <w:tcPr>
            <w:tcW w:w="362" w:type="pct"/>
            <w:tcBorders>
              <w:top w:val="nil"/>
              <w:left w:val="nil"/>
              <w:bottom w:val="nil"/>
              <w:right w:val="nil"/>
            </w:tcBorders>
            <w:shd w:val="clear" w:color="auto" w:fill="auto"/>
            <w:vAlign w:val="bottom"/>
          </w:tcPr>
          <w:p w14:paraId="2531BF59"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79" w:type="pct"/>
            <w:tcBorders>
              <w:top w:val="nil"/>
              <w:left w:val="nil"/>
              <w:bottom w:val="nil"/>
              <w:right w:val="nil"/>
            </w:tcBorders>
            <w:shd w:val="clear" w:color="auto" w:fill="auto"/>
            <w:vAlign w:val="bottom"/>
          </w:tcPr>
          <w:p w14:paraId="0086744E"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47" w:type="pct"/>
            <w:tcBorders>
              <w:top w:val="nil"/>
              <w:left w:val="nil"/>
              <w:bottom w:val="nil"/>
              <w:right w:val="nil"/>
            </w:tcBorders>
            <w:shd w:val="clear" w:color="auto" w:fill="auto"/>
            <w:vAlign w:val="bottom"/>
          </w:tcPr>
          <w:p w14:paraId="412885F0"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2.586.297 </w:t>
            </w:r>
          </w:p>
        </w:tc>
      </w:tr>
      <w:tr w:rsidR="004E2F51" w:rsidRPr="00882573" w14:paraId="4B97C61B" w14:textId="77777777" w:rsidTr="00E032FC">
        <w:trPr>
          <w:trHeight w:val="197"/>
          <w:jc w:val="center"/>
        </w:trPr>
        <w:tc>
          <w:tcPr>
            <w:tcW w:w="915" w:type="pct"/>
            <w:vAlign w:val="bottom"/>
          </w:tcPr>
          <w:p w14:paraId="0A3B7363" w14:textId="77777777" w:rsidR="004E2F51" w:rsidRPr="00882573" w:rsidRDefault="004E2F51" w:rsidP="00E032FC">
            <w:pPr>
              <w:tabs>
                <w:tab w:val="right" w:pos="1202"/>
              </w:tabs>
              <w:outlineLvl w:val="0"/>
              <w:rPr>
                <w:rFonts w:ascii="Arial" w:eastAsia="Calibri" w:hAnsi="Arial" w:cs="Arial"/>
                <w:color w:val="000000" w:themeColor="text1"/>
                <w:sz w:val="14"/>
                <w:szCs w:val="14"/>
                <w:lang w:val="hr-HR"/>
              </w:rPr>
            </w:pPr>
            <w:bookmarkStart w:id="1634" w:name="_Toc67329921"/>
            <w:r w:rsidRPr="00882573">
              <w:rPr>
                <w:rFonts w:ascii="Arial" w:eastAsia="Calibri" w:hAnsi="Arial" w:cs="Arial"/>
                <w:color w:val="000000" w:themeColor="text1"/>
                <w:sz w:val="14"/>
                <w:szCs w:val="14"/>
                <w:lang w:val="hr-HR"/>
              </w:rPr>
              <w:t>Ostala imovina</w:t>
            </w:r>
            <w:bookmarkEnd w:id="1634"/>
          </w:p>
        </w:tc>
        <w:tc>
          <w:tcPr>
            <w:tcW w:w="319" w:type="pct"/>
            <w:tcBorders>
              <w:top w:val="nil"/>
              <w:left w:val="nil"/>
              <w:bottom w:val="single" w:sz="8" w:space="0" w:color="auto"/>
              <w:right w:val="nil"/>
            </w:tcBorders>
            <w:shd w:val="clear" w:color="auto" w:fill="auto"/>
            <w:vAlign w:val="bottom"/>
          </w:tcPr>
          <w:p w14:paraId="25C659CF"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2.25</w:t>
            </w:r>
            <w:r>
              <w:rPr>
                <w:rFonts w:ascii="Arial" w:eastAsia="Calibri" w:hAnsi="Arial" w:cs="Arial"/>
                <w:color w:val="000000" w:themeColor="text1"/>
                <w:sz w:val="14"/>
                <w:szCs w:val="14"/>
                <w:lang w:val="hr-HR"/>
              </w:rPr>
              <w:t>5</w:t>
            </w:r>
            <w:r w:rsidRPr="002D7BE9">
              <w:rPr>
                <w:rFonts w:ascii="Arial" w:eastAsia="Calibri" w:hAnsi="Arial" w:cs="Arial"/>
                <w:color w:val="000000" w:themeColor="text1"/>
                <w:sz w:val="14"/>
                <w:szCs w:val="14"/>
                <w:lang w:val="hr-HR"/>
              </w:rPr>
              <w:t xml:space="preserve"> </w:t>
            </w:r>
          </w:p>
        </w:tc>
        <w:tc>
          <w:tcPr>
            <w:tcW w:w="311" w:type="pct"/>
            <w:tcBorders>
              <w:top w:val="nil"/>
              <w:left w:val="nil"/>
              <w:bottom w:val="single" w:sz="8" w:space="0" w:color="auto"/>
              <w:right w:val="nil"/>
            </w:tcBorders>
            <w:shd w:val="clear" w:color="auto" w:fill="auto"/>
            <w:vAlign w:val="bottom"/>
          </w:tcPr>
          <w:p w14:paraId="4570208F"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2 </w:t>
            </w:r>
          </w:p>
        </w:tc>
        <w:tc>
          <w:tcPr>
            <w:tcW w:w="314" w:type="pct"/>
            <w:tcBorders>
              <w:top w:val="nil"/>
              <w:left w:val="nil"/>
              <w:bottom w:val="single" w:sz="8" w:space="0" w:color="auto"/>
              <w:right w:val="nil"/>
            </w:tcBorders>
            <w:shd w:val="clear" w:color="auto" w:fill="auto"/>
            <w:vAlign w:val="bottom"/>
          </w:tcPr>
          <w:p w14:paraId="799DD6ED"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1.430 </w:t>
            </w:r>
          </w:p>
        </w:tc>
        <w:tc>
          <w:tcPr>
            <w:tcW w:w="313" w:type="pct"/>
            <w:tcBorders>
              <w:top w:val="nil"/>
              <w:left w:val="nil"/>
              <w:bottom w:val="single" w:sz="8" w:space="0" w:color="auto"/>
              <w:right w:val="nil"/>
            </w:tcBorders>
            <w:shd w:val="clear" w:color="auto" w:fill="auto"/>
            <w:vAlign w:val="bottom"/>
          </w:tcPr>
          <w:p w14:paraId="374B3F27"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58 </w:t>
            </w:r>
          </w:p>
        </w:tc>
        <w:tc>
          <w:tcPr>
            <w:tcW w:w="341" w:type="pct"/>
            <w:tcBorders>
              <w:top w:val="nil"/>
              <w:left w:val="nil"/>
              <w:bottom w:val="single" w:sz="8" w:space="0" w:color="auto"/>
              <w:right w:val="nil"/>
            </w:tcBorders>
            <w:shd w:val="clear" w:color="auto" w:fill="auto"/>
            <w:vAlign w:val="bottom"/>
          </w:tcPr>
          <w:p w14:paraId="5CC29B26"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13" w:type="pct"/>
            <w:tcBorders>
              <w:top w:val="nil"/>
              <w:left w:val="nil"/>
              <w:bottom w:val="single" w:sz="8" w:space="0" w:color="auto"/>
              <w:right w:val="nil"/>
            </w:tcBorders>
            <w:shd w:val="clear" w:color="auto" w:fill="auto"/>
            <w:vAlign w:val="bottom"/>
          </w:tcPr>
          <w:p w14:paraId="30C6F4CC"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3.74</w:t>
            </w:r>
            <w:r>
              <w:rPr>
                <w:rFonts w:ascii="Arial" w:eastAsia="Calibri" w:hAnsi="Arial" w:cs="Arial"/>
                <w:color w:val="000000" w:themeColor="text1"/>
                <w:sz w:val="14"/>
                <w:szCs w:val="14"/>
                <w:lang w:val="hr-HR"/>
              </w:rPr>
              <w:t>5</w:t>
            </w:r>
            <w:r w:rsidRPr="002D7BE9">
              <w:rPr>
                <w:rFonts w:ascii="Arial" w:eastAsia="Calibri" w:hAnsi="Arial" w:cs="Arial"/>
                <w:color w:val="000000" w:themeColor="text1"/>
                <w:sz w:val="14"/>
                <w:szCs w:val="14"/>
                <w:lang w:val="hr-HR"/>
              </w:rPr>
              <w:t xml:space="preserve"> </w:t>
            </w:r>
          </w:p>
        </w:tc>
        <w:tc>
          <w:tcPr>
            <w:tcW w:w="362" w:type="pct"/>
            <w:tcBorders>
              <w:top w:val="nil"/>
              <w:left w:val="nil"/>
              <w:bottom w:val="single" w:sz="8" w:space="0" w:color="auto"/>
              <w:right w:val="nil"/>
            </w:tcBorders>
            <w:vAlign w:val="bottom"/>
          </w:tcPr>
          <w:p w14:paraId="5BA9F07A"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594 </w:t>
            </w:r>
          </w:p>
        </w:tc>
        <w:tc>
          <w:tcPr>
            <w:tcW w:w="362" w:type="pct"/>
            <w:tcBorders>
              <w:top w:val="nil"/>
              <w:left w:val="nil"/>
              <w:bottom w:val="single" w:sz="8" w:space="0" w:color="auto"/>
              <w:right w:val="nil"/>
            </w:tcBorders>
            <w:vAlign w:val="bottom"/>
          </w:tcPr>
          <w:p w14:paraId="217B6545"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2 </w:t>
            </w:r>
          </w:p>
        </w:tc>
        <w:tc>
          <w:tcPr>
            <w:tcW w:w="362" w:type="pct"/>
            <w:tcBorders>
              <w:top w:val="nil"/>
              <w:left w:val="nil"/>
              <w:bottom w:val="single" w:sz="8" w:space="0" w:color="auto"/>
              <w:right w:val="nil"/>
            </w:tcBorders>
            <w:vAlign w:val="bottom"/>
          </w:tcPr>
          <w:p w14:paraId="15E8BF97"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1.428 </w:t>
            </w:r>
          </w:p>
        </w:tc>
        <w:tc>
          <w:tcPr>
            <w:tcW w:w="362" w:type="pct"/>
            <w:tcBorders>
              <w:top w:val="nil"/>
              <w:left w:val="nil"/>
              <w:bottom w:val="single" w:sz="8" w:space="0" w:color="auto"/>
              <w:right w:val="nil"/>
            </w:tcBorders>
            <w:vAlign w:val="bottom"/>
          </w:tcPr>
          <w:p w14:paraId="1D0ACE30"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58 </w:t>
            </w:r>
          </w:p>
        </w:tc>
        <w:tc>
          <w:tcPr>
            <w:tcW w:w="379" w:type="pct"/>
            <w:tcBorders>
              <w:top w:val="nil"/>
              <w:left w:val="nil"/>
              <w:bottom w:val="single" w:sz="8" w:space="0" w:color="auto"/>
              <w:right w:val="nil"/>
            </w:tcBorders>
            <w:vAlign w:val="bottom"/>
          </w:tcPr>
          <w:p w14:paraId="4294C21B"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47" w:type="pct"/>
            <w:tcBorders>
              <w:top w:val="nil"/>
              <w:left w:val="nil"/>
              <w:bottom w:val="single" w:sz="8" w:space="0" w:color="auto"/>
              <w:right w:val="nil"/>
            </w:tcBorders>
            <w:vAlign w:val="bottom"/>
          </w:tcPr>
          <w:p w14:paraId="5FE76843"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2D7BE9">
              <w:rPr>
                <w:rFonts w:ascii="Arial" w:eastAsia="Calibri" w:hAnsi="Arial" w:cs="Arial"/>
                <w:color w:val="000000" w:themeColor="text1"/>
                <w:sz w:val="14"/>
                <w:szCs w:val="14"/>
                <w:lang w:val="hr-HR"/>
              </w:rPr>
              <w:t xml:space="preserve"> 2.082 </w:t>
            </w:r>
          </w:p>
        </w:tc>
      </w:tr>
      <w:tr w:rsidR="004E2F51" w:rsidRPr="00882573" w14:paraId="578F10AD" w14:textId="77777777" w:rsidTr="00E032FC">
        <w:trPr>
          <w:trHeight w:val="57"/>
          <w:jc w:val="center"/>
        </w:trPr>
        <w:tc>
          <w:tcPr>
            <w:tcW w:w="915" w:type="pct"/>
          </w:tcPr>
          <w:p w14:paraId="1897C5A4" w14:textId="77777777" w:rsidR="004E2F51" w:rsidRPr="00882573" w:rsidRDefault="004E2F51" w:rsidP="00E032FC">
            <w:pPr>
              <w:tabs>
                <w:tab w:val="right" w:pos="1202"/>
              </w:tabs>
              <w:spacing w:line="301" w:lineRule="exact"/>
              <w:outlineLvl w:val="0"/>
              <w:rPr>
                <w:rFonts w:ascii="Arial" w:eastAsia="Calibri" w:hAnsi="Arial" w:cs="Arial"/>
                <w:b/>
                <w:bCs/>
                <w:color w:val="000000" w:themeColor="text1"/>
                <w:sz w:val="14"/>
                <w:szCs w:val="14"/>
                <w:lang w:val="hr-HR"/>
              </w:rPr>
            </w:pPr>
            <w:bookmarkStart w:id="1635" w:name="_Toc67329934"/>
            <w:r w:rsidRPr="00882573">
              <w:rPr>
                <w:rFonts w:ascii="Arial" w:eastAsia="Calibri" w:hAnsi="Arial" w:cs="Arial"/>
                <w:b/>
                <w:bCs/>
                <w:color w:val="000000" w:themeColor="text1"/>
                <w:sz w:val="14"/>
                <w:szCs w:val="14"/>
                <w:lang w:val="hr-HR"/>
              </w:rPr>
              <w:t>Ukupno</w:t>
            </w:r>
            <w:bookmarkEnd w:id="1635"/>
          </w:p>
        </w:tc>
        <w:tc>
          <w:tcPr>
            <w:tcW w:w="319" w:type="pct"/>
            <w:tcBorders>
              <w:top w:val="nil"/>
              <w:left w:val="nil"/>
              <w:bottom w:val="single" w:sz="12" w:space="0" w:color="auto"/>
              <w:right w:val="nil"/>
            </w:tcBorders>
            <w:shd w:val="clear" w:color="auto" w:fill="auto"/>
            <w:vAlign w:val="bottom"/>
          </w:tcPr>
          <w:p w14:paraId="1185D12A"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24.657.98</w:t>
            </w:r>
            <w:r>
              <w:rPr>
                <w:rFonts w:ascii="Arial" w:eastAsia="Calibri" w:hAnsi="Arial" w:cs="Arial"/>
                <w:b/>
                <w:bCs/>
                <w:color w:val="000000" w:themeColor="text1"/>
                <w:sz w:val="14"/>
                <w:szCs w:val="14"/>
                <w:lang w:val="hr-HR"/>
              </w:rPr>
              <w:t>9</w:t>
            </w:r>
            <w:r w:rsidRPr="002D7BE9">
              <w:rPr>
                <w:rFonts w:ascii="Arial" w:eastAsia="Calibri" w:hAnsi="Arial" w:cs="Arial"/>
                <w:b/>
                <w:bCs/>
                <w:color w:val="000000" w:themeColor="text1"/>
                <w:sz w:val="14"/>
                <w:szCs w:val="14"/>
                <w:lang w:val="hr-HR"/>
              </w:rPr>
              <w:t xml:space="preserve"> </w:t>
            </w:r>
          </w:p>
        </w:tc>
        <w:tc>
          <w:tcPr>
            <w:tcW w:w="311" w:type="pct"/>
            <w:tcBorders>
              <w:top w:val="nil"/>
              <w:left w:val="nil"/>
              <w:bottom w:val="single" w:sz="12" w:space="0" w:color="auto"/>
              <w:right w:val="nil"/>
            </w:tcBorders>
            <w:shd w:val="clear" w:color="auto" w:fill="auto"/>
            <w:vAlign w:val="bottom"/>
          </w:tcPr>
          <w:p w14:paraId="55B5EEA8"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1.711.052 </w:t>
            </w:r>
          </w:p>
        </w:tc>
        <w:tc>
          <w:tcPr>
            <w:tcW w:w="314" w:type="pct"/>
            <w:tcBorders>
              <w:top w:val="nil"/>
              <w:left w:val="nil"/>
              <w:bottom w:val="single" w:sz="12" w:space="0" w:color="auto"/>
              <w:right w:val="nil"/>
            </w:tcBorders>
            <w:shd w:val="clear" w:color="auto" w:fill="auto"/>
            <w:vAlign w:val="bottom"/>
          </w:tcPr>
          <w:p w14:paraId="3F9177ED"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1.150.641 </w:t>
            </w:r>
          </w:p>
        </w:tc>
        <w:tc>
          <w:tcPr>
            <w:tcW w:w="313" w:type="pct"/>
            <w:tcBorders>
              <w:top w:val="nil"/>
              <w:left w:val="nil"/>
              <w:bottom w:val="single" w:sz="12" w:space="0" w:color="auto"/>
              <w:right w:val="nil"/>
            </w:tcBorders>
            <w:shd w:val="clear" w:color="auto" w:fill="auto"/>
            <w:vAlign w:val="bottom"/>
          </w:tcPr>
          <w:p w14:paraId="4AB29138"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1.184.853 </w:t>
            </w:r>
          </w:p>
        </w:tc>
        <w:tc>
          <w:tcPr>
            <w:tcW w:w="341" w:type="pct"/>
            <w:tcBorders>
              <w:top w:val="nil"/>
              <w:left w:val="nil"/>
              <w:bottom w:val="single" w:sz="12" w:space="0" w:color="auto"/>
              <w:right w:val="nil"/>
            </w:tcBorders>
            <w:shd w:val="clear" w:color="auto" w:fill="auto"/>
            <w:vAlign w:val="bottom"/>
          </w:tcPr>
          <w:p w14:paraId="3F79EE2E"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23.87</w:t>
            </w:r>
            <w:r>
              <w:rPr>
                <w:rFonts w:ascii="Arial" w:eastAsia="Calibri" w:hAnsi="Arial" w:cs="Arial"/>
                <w:b/>
                <w:bCs/>
                <w:color w:val="000000" w:themeColor="text1"/>
                <w:sz w:val="14"/>
                <w:szCs w:val="14"/>
                <w:lang w:val="hr-HR"/>
              </w:rPr>
              <w:t>0</w:t>
            </w:r>
            <w:r w:rsidRPr="002D7BE9">
              <w:rPr>
                <w:rFonts w:ascii="Arial" w:eastAsia="Calibri" w:hAnsi="Arial" w:cs="Arial"/>
                <w:b/>
                <w:bCs/>
                <w:color w:val="000000" w:themeColor="text1"/>
                <w:sz w:val="14"/>
                <w:szCs w:val="14"/>
                <w:lang w:val="hr-HR"/>
              </w:rPr>
              <w:t xml:space="preserve"> </w:t>
            </w:r>
          </w:p>
        </w:tc>
        <w:tc>
          <w:tcPr>
            <w:tcW w:w="313" w:type="pct"/>
            <w:tcBorders>
              <w:top w:val="nil"/>
              <w:left w:val="nil"/>
              <w:bottom w:val="single" w:sz="12" w:space="0" w:color="auto"/>
              <w:right w:val="nil"/>
            </w:tcBorders>
            <w:shd w:val="clear" w:color="auto" w:fill="auto"/>
            <w:vAlign w:val="bottom"/>
          </w:tcPr>
          <w:p w14:paraId="43B33693"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28.728.405 </w:t>
            </w:r>
          </w:p>
        </w:tc>
        <w:tc>
          <w:tcPr>
            <w:tcW w:w="362" w:type="pct"/>
            <w:tcBorders>
              <w:top w:val="nil"/>
              <w:left w:val="nil"/>
              <w:bottom w:val="single" w:sz="12" w:space="0" w:color="auto"/>
              <w:right w:val="nil"/>
            </w:tcBorders>
            <w:vAlign w:val="bottom"/>
          </w:tcPr>
          <w:p w14:paraId="4D417367"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4.903.878 </w:t>
            </w:r>
          </w:p>
        </w:tc>
        <w:tc>
          <w:tcPr>
            <w:tcW w:w="362" w:type="pct"/>
            <w:tcBorders>
              <w:top w:val="nil"/>
              <w:left w:val="nil"/>
              <w:bottom w:val="single" w:sz="12" w:space="0" w:color="auto"/>
              <w:right w:val="nil"/>
            </w:tcBorders>
            <w:vAlign w:val="bottom"/>
          </w:tcPr>
          <w:p w14:paraId="62F513A1"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140.544 </w:t>
            </w:r>
          </w:p>
        </w:tc>
        <w:tc>
          <w:tcPr>
            <w:tcW w:w="362" w:type="pct"/>
            <w:tcBorders>
              <w:top w:val="nil"/>
              <w:left w:val="nil"/>
              <w:bottom w:val="single" w:sz="12" w:space="0" w:color="auto"/>
              <w:right w:val="nil"/>
            </w:tcBorders>
            <w:vAlign w:val="bottom"/>
          </w:tcPr>
          <w:p w14:paraId="6EFEDFD4"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107.470 </w:t>
            </w:r>
          </w:p>
        </w:tc>
        <w:tc>
          <w:tcPr>
            <w:tcW w:w="362" w:type="pct"/>
            <w:tcBorders>
              <w:top w:val="nil"/>
              <w:left w:val="nil"/>
              <w:bottom w:val="single" w:sz="12" w:space="0" w:color="auto"/>
              <w:right w:val="nil"/>
            </w:tcBorders>
            <w:vAlign w:val="bottom"/>
          </w:tcPr>
          <w:p w14:paraId="42DDA7C6"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173.804 </w:t>
            </w:r>
          </w:p>
        </w:tc>
        <w:tc>
          <w:tcPr>
            <w:tcW w:w="379" w:type="pct"/>
            <w:tcBorders>
              <w:top w:val="nil"/>
              <w:left w:val="nil"/>
              <w:bottom w:val="single" w:sz="12" w:space="0" w:color="auto"/>
              <w:right w:val="nil"/>
            </w:tcBorders>
            <w:vAlign w:val="bottom"/>
          </w:tcPr>
          <w:p w14:paraId="4C7A362A"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 </w:t>
            </w:r>
          </w:p>
        </w:tc>
        <w:tc>
          <w:tcPr>
            <w:tcW w:w="347" w:type="pct"/>
            <w:tcBorders>
              <w:top w:val="nil"/>
              <w:left w:val="nil"/>
              <w:bottom w:val="single" w:sz="12" w:space="0" w:color="auto"/>
              <w:right w:val="nil"/>
            </w:tcBorders>
            <w:vAlign w:val="bottom"/>
          </w:tcPr>
          <w:p w14:paraId="077CBDEE"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5.325.696 </w:t>
            </w:r>
          </w:p>
        </w:tc>
      </w:tr>
      <w:tr w:rsidR="004E2F51" w:rsidRPr="00882573" w14:paraId="48DFFC8B" w14:textId="77777777" w:rsidTr="00E032FC">
        <w:trPr>
          <w:trHeight w:val="175"/>
          <w:jc w:val="center"/>
        </w:trPr>
        <w:tc>
          <w:tcPr>
            <w:tcW w:w="915" w:type="pct"/>
          </w:tcPr>
          <w:p w14:paraId="267FA60D" w14:textId="77777777" w:rsidR="004E2F51" w:rsidRPr="00882573" w:rsidRDefault="004E2F51" w:rsidP="00E032FC">
            <w:pPr>
              <w:tabs>
                <w:tab w:val="right" w:pos="1202"/>
              </w:tabs>
              <w:spacing w:line="200" w:lineRule="exact"/>
              <w:outlineLvl w:val="0"/>
              <w:rPr>
                <w:rFonts w:ascii="Arial" w:eastAsia="Calibri" w:hAnsi="Arial" w:cs="Arial"/>
                <w:b/>
                <w:bCs/>
                <w:color w:val="000000" w:themeColor="text1"/>
                <w:sz w:val="14"/>
                <w:szCs w:val="14"/>
                <w:lang w:val="hr-HR"/>
              </w:rPr>
            </w:pPr>
            <w:bookmarkStart w:id="1636" w:name="_Toc67329947"/>
            <w:r w:rsidRPr="00882573">
              <w:rPr>
                <w:rFonts w:ascii="Arial" w:eastAsia="Calibri" w:hAnsi="Arial" w:cs="Arial"/>
                <w:b/>
                <w:bCs/>
                <w:color w:val="000000" w:themeColor="text1"/>
                <w:sz w:val="14"/>
                <w:szCs w:val="14"/>
                <w:lang w:val="hr-HR"/>
              </w:rPr>
              <w:t>Garancije i preuzete obveze</w:t>
            </w:r>
            <w:bookmarkEnd w:id="1636"/>
          </w:p>
        </w:tc>
        <w:tc>
          <w:tcPr>
            <w:tcW w:w="319" w:type="pct"/>
            <w:tcBorders>
              <w:top w:val="nil"/>
              <w:left w:val="nil"/>
              <w:bottom w:val="nil"/>
              <w:right w:val="nil"/>
            </w:tcBorders>
            <w:shd w:val="clear" w:color="auto" w:fill="auto"/>
            <w:vAlign w:val="bottom"/>
          </w:tcPr>
          <w:p w14:paraId="0A11F51A"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11" w:type="pct"/>
            <w:tcBorders>
              <w:top w:val="nil"/>
              <w:left w:val="nil"/>
              <w:bottom w:val="nil"/>
              <w:right w:val="nil"/>
            </w:tcBorders>
            <w:shd w:val="clear" w:color="auto" w:fill="auto"/>
            <w:vAlign w:val="bottom"/>
          </w:tcPr>
          <w:p w14:paraId="6DF498A5"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14" w:type="pct"/>
            <w:tcBorders>
              <w:top w:val="nil"/>
              <w:left w:val="nil"/>
              <w:bottom w:val="nil"/>
              <w:right w:val="nil"/>
            </w:tcBorders>
            <w:shd w:val="clear" w:color="auto" w:fill="auto"/>
            <w:vAlign w:val="bottom"/>
          </w:tcPr>
          <w:p w14:paraId="5B90E69A"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13" w:type="pct"/>
            <w:tcBorders>
              <w:top w:val="nil"/>
              <w:left w:val="nil"/>
              <w:bottom w:val="nil"/>
              <w:right w:val="nil"/>
            </w:tcBorders>
            <w:shd w:val="clear" w:color="auto" w:fill="auto"/>
            <w:vAlign w:val="bottom"/>
          </w:tcPr>
          <w:p w14:paraId="60EB9B1A"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41" w:type="pct"/>
            <w:tcBorders>
              <w:top w:val="nil"/>
              <w:left w:val="nil"/>
              <w:bottom w:val="nil"/>
              <w:right w:val="nil"/>
            </w:tcBorders>
            <w:shd w:val="clear" w:color="auto" w:fill="auto"/>
            <w:vAlign w:val="bottom"/>
          </w:tcPr>
          <w:p w14:paraId="49AA29A2"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13" w:type="pct"/>
            <w:tcBorders>
              <w:top w:val="nil"/>
              <w:left w:val="nil"/>
              <w:bottom w:val="nil"/>
              <w:right w:val="nil"/>
            </w:tcBorders>
            <w:shd w:val="clear" w:color="auto" w:fill="auto"/>
            <w:vAlign w:val="bottom"/>
          </w:tcPr>
          <w:p w14:paraId="200C08FD"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62" w:type="pct"/>
            <w:tcBorders>
              <w:top w:val="nil"/>
              <w:left w:val="nil"/>
              <w:bottom w:val="nil"/>
              <w:right w:val="nil"/>
            </w:tcBorders>
            <w:vAlign w:val="bottom"/>
          </w:tcPr>
          <w:p w14:paraId="08C1A349"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62" w:type="pct"/>
            <w:tcBorders>
              <w:top w:val="nil"/>
              <w:left w:val="nil"/>
              <w:bottom w:val="nil"/>
              <w:right w:val="nil"/>
            </w:tcBorders>
            <w:vAlign w:val="bottom"/>
          </w:tcPr>
          <w:p w14:paraId="07A1E50A"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62" w:type="pct"/>
            <w:tcBorders>
              <w:top w:val="nil"/>
              <w:left w:val="nil"/>
              <w:bottom w:val="nil"/>
              <w:right w:val="nil"/>
            </w:tcBorders>
            <w:vAlign w:val="bottom"/>
          </w:tcPr>
          <w:p w14:paraId="68DC68FA"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62" w:type="pct"/>
            <w:tcBorders>
              <w:top w:val="nil"/>
              <w:left w:val="nil"/>
              <w:bottom w:val="nil"/>
              <w:right w:val="nil"/>
            </w:tcBorders>
            <w:vAlign w:val="bottom"/>
          </w:tcPr>
          <w:p w14:paraId="6AB42F6F"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79" w:type="pct"/>
            <w:tcBorders>
              <w:top w:val="nil"/>
              <w:left w:val="nil"/>
              <w:bottom w:val="nil"/>
              <w:right w:val="nil"/>
            </w:tcBorders>
            <w:vAlign w:val="bottom"/>
          </w:tcPr>
          <w:p w14:paraId="1D8CB5C1"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47" w:type="pct"/>
            <w:tcBorders>
              <w:top w:val="nil"/>
              <w:left w:val="nil"/>
              <w:bottom w:val="nil"/>
              <w:right w:val="nil"/>
            </w:tcBorders>
            <w:vAlign w:val="bottom"/>
          </w:tcPr>
          <w:p w14:paraId="3A256D54"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r>
      <w:tr w:rsidR="004E2F51" w:rsidRPr="00882573" w14:paraId="7D5D3604" w14:textId="77777777" w:rsidTr="00E032FC">
        <w:trPr>
          <w:trHeight w:val="197"/>
          <w:jc w:val="center"/>
        </w:trPr>
        <w:tc>
          <w:tcPr>
            <w:tcW w:w="915" w:type="pct"/>
            <w:vAlign w:val="bottom"/>
          </w:tcPr>
          <w:p w14:paraId="53E82FD8" w14:textId="77777777" w:rsidR="004E2F51" w:rsidRPr="00882573" w:rsidRDefault="004E2F51" w:rsidP="00E032FC">
            <w:pPr>
              <w:tabs>
                <w:tab w:val="right" w:pos="1202"/>
              </w:tabs>
              <w:outlineLvl w:val="0"/>
              <w:rPr>
                <w:rFonts w:ascii="Arial" w:eastAsia="Calibri" w:hAnsi="Arial" w:cs="Arial"/>
                <w:b/>
                <w:bCs/>
                <w:color w:val="000000" w:themeColor="text1"/>
                <w:sz w:val="14"/>
                <w:szCs w:val="14"/>
                <w:lang w:val="hr-HR"/>
              </w:rPr>
            </w:pPr>
            <w:bookmarkStart w:id="1637" w:name="_Toc67329948"/>
            <w:r w:rsidRPr="00882573">
              <w:rPr>
                <w:rFonts w:ascii="Arial" w:eastAsia="Calibri" w:hAnsi="Arial" w:cs="Arial"/>
                <w:color w:val="000000" w:themeColor="text1"/>
                <w:sz w:val="14"/>
                <w:szCs w:val="14"/>
                <w:lang w:val="hr-HR"/>
              </w:rPr>
              <w:t>Izdane garancije u kunama</w:t>
            </w:r>
            <w:bookmarkEnd w:id="1637"/>
          </w:p>
        </w:tc>
        <w:tc>
          <w:tcPr>
            <w:tcW w:w="319" w:type="pct"/>
            <w:tcBorders>
              <w:top w:val="nil"/>
              <w:left w:val="nil"/>
              <w:bottom w:val="nil"/>
              <w:right w:val="nil"/>
            </w:tcBorders>
            <w:shd w:val="clear" w:color="auto" w:fill="auto"/>
            <w:vAlign w:val="bottom"/>
          </w:tcPr>
          <w:p w14:paraId="0D805906"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22.390 </w:t>
            </w:r>
          </w:p>
        </w:tc>
        <w:tc>
          <w:tcPr>
            <w:tcW w:w="311" w:type="pct"/>
            <w:tcBorders>
              <w:top w:val="nil"/>
              <w:left w:val="nil"/>
              <w:bottom w:val="nil"/>
              <w:right w:val="nil"/>
            </w:tcBorders>
            <w:shd w:val="clear" w:color="auto" w:fill="auto"/>
            <w:vAlign w:val="bottom"/>
          </w:tcPr>
          <w:p w14:paraId="0FE3EFB5"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2.574 </w:t>
            </w:r>
          </w:p>
        </w:tc>
        <w:tc>
          <w:tcPr>
            <w:tcW w:w="314" w:type="pct"/>
            <w:tcBorders>
              <w:top w:val="nil"/>
              <w:left w:val="nil"/>
              <w:bottom w:val="nil"/>
              <w:right w:val="nil"/>
            </w:tcBorders>
            <w:shd w:val="clear" w:color="auto" w:fill="auto"/>
            <w:vAlign w:val="bottom"/>
          </w:tcPr>
          <w:p w14:paraId="366FB2E5"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61.506 </w:t>
            </w:r>
          </w:p>
        </w:tc>
        <w:tc>
          <w:tcPr>
            <w:tcW w:w="313" w:type="pct"/>
            <w:tcBorders>
              <w:top w:val="nil"/>
              <w:left w:val="nil"/>
              <w:bottom w:val="nil"/>
              <w:right w:val="nil"/>
            </w:tcBorders>
            <w:shd w:val="clear" w:color="auto" w:fill="auto"/>
            <w:vAlign w:val="bottom"/>
          </w:tcPr>
          <w:p w14:paraId="762EC13F"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41" w:type="pct"/>
            <w:tcBorders>
              <w:top w:val="nil"/>
              <w:left w:val="nil"/>
              <w:bottom w:val="nil"/>
              <w:right w:val="nil"/>
            </w:tcBorders>
            <w:shd w:val="clear" w:color="auto" w:fill="auto"/>
            <w:vAlign w:val="bottom"/>
          </w:tcPr>
          <w:p w14:paraId="7AB887B8"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143B852C"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86.470 </w:t>
            </w:r>
          </w:p>
        </w:tc>
        <w:tc>
          <w:tcPr>
            <w:tcW w:w="362" w:type="pct"/>
            <w:tcBorders>
              <w:top w:val="nil"/>
              <w:left w:val="nil"/>
              <w:bottom w:val="nil"/>
              <w:right w:val="nil"/>
            </w:tcBorders>
            <w:vAlign w:val="bottom"/>
          </w:tcPr>
          <w:p w14:paraId="4A70AF0B"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20.517 </w:t>
            </w:r>
          </w:p>
        </w:tc>
        <w:tc>
          <w:tcPr>
            <w:tcW w:w="362" w:type="pct"/>
            <w:tcBorders>
              <w:top w:val="nil"/>
              <w:left w:val="nil"/>
              <w:bottom w:val="nil"/>
              <w:right w:val="nil"/>
            </w:tcBorders>
            <w:vAlign w:val="bottom"/>
          </w:tcPr>
          <w:p w14:paraId="5FF80C77"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7 </w:t>
            </w:r>
          </w:p>
        </w:tc>
        <w:tc>
          <w:tcPr>
            <w:tcW w:w="362" w:type="pct"/>
            <w:tcBorders>
              <w:top w:val="nil"/>
              <w:left w:val="nil"/>
              <w:bottom w:val="nil"/>
              <w:right w:val="nil"/>
            </w:tcBorders>
            <w:vAlign w:val="bottom"/>
          </w:tcPr>
          <w:p w14:paraId="4A031868"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36.831 </w:t>
            </w:r>
          </w:p>
        </w:tc>
        <w:tc>
          <w:tcPr>
            <w:tcW w:w="362" w:type="pct"/>
            <w:tcBorders>
              <w:top w:val="nil"/>
              <w:left w:val="nil"/>
              <w:bottom w:val="nil"/>
              <w:right w:val="nil"/>
            </w:tcBorders>
            <w:vAlign w:val="bottom"/>
          </w:tcPr>
          <w:p w14:paraId="73CC2C30"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79" w:type="pct"/>
            <w:tcBorders>
              <w:top w:val="nil"/>
              <w:left w:val="nil"/>
              <w:bottom w:val="nil"/>
              <w:right w:val="nil"/>
            </w:tcBorders>
            <w:vAlign w:val="bottom"/>
          </w:tcPr>
          <w:p w14:paraId="7AC8288B"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47" w:type="pct"/>
            <w:tcBorders>
              <w:top w:val="nil"/>
              <w:left w:val="nil"/>
              <w:bottom w:val="nil"/>
              <w:right w:val="nil"/>
            </w:tcBorders>
            <w:vAlign w:val="bottom"/>
          </w:tcPr>
          <w:p w14:paraId="6BC8471E"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57.355 </w:t>
            </w:r>
          </w:p>
        </w:tc>
      </w:tr>
      <w:tr w:rsidR="004E2F51" w:rsidRPr="00882573" w14:paraId="048D4B56" w14:textId="77777777" w:rsidTr="00E032FC">
        <w:trPr>
          <w:trHeight w:val="197"/>
          <w:jc w:val="center"/>
        </w:trPr>
        <w:tc>
          <w:tcPr>
            <w:tcW w:w="915" w:type="pct"/>
            <w:vAlign w:val="bottom"/>
          </w:tcPr>
          <w:p w14:paraId="7BEE3BD9" w14:textId="77777777" w:rsidR="004E2F51" w:rsidRPr="00882573" w:rsidRDefault="004E2F51" w:rsidP="00E032FC">
            <w:pPr>
              <w:tabs>
                <w:tab w:val="right" w:pos="1202"/>
              </w:tabs>
              <w:outlineLvl w:val="0"/>
              <w:rPr>
                <w:rFonts w:ascii="Arial" w:eastAsia="Calibri" w:hAnsi="Arial" w:cs="Arial"/>
                <w:color w:val="000000" w:themeColor="text1"/>
                <w:sz w:val="14"/>
                <w:szCs w:val="14"/>
                <w:lang w:val="hr-HR"/>
              </w:rPr>
            </w:pPr>
            <w:bookmarkStart w:id="1638" w:name="_Toc67329949"/>
            <w:r w:rsidRPr="00882573">
              <w:rPr>
                <w:rFonts w:ascii="Arial" w:eastAsia="Calibri" w:hAnsi="Arial" w:cs="Arial"/>
                <w:color w:val="000000" w:themeColor="text1"/>
                <w:sz w:val="14"/>
                <w:szCs w:val="14"/>
                <w:lang w:val="hr-HR"/>
              </w:rPr>
              <w:t>Izdane garancije u devizama</w:t>
            </w:r>
            <w:bookmarkEnd w:id="1638"/>
          </w:p>
        </w:tc>
        <w:tc>
          <w:tcPr>
            <w:tcW w:w="319" w:type="pct"/>
            <w:tcBorders>
              <w:top w:val="nil"/>
              <w:left w:val="nil"/>
              <w:bottom w:val="nil"/>
              <w:right w:val="nil"/>
            </w:tcBorders>
            <w:shd w:val="clear" w:color="auto" w:fill="auto"/>
            <w:vAlign w:val="bottom"/>
          </w:tcPr>
          <w:p w14:paraId="7D7AF288"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97.756 </w:t>
            </w:r>
          </w:p>
        </w:tc>
        <w:tc>
          <w:tcPr>
            <w:tcW w:w="311" w:type="pct"/>
            <w:tcBorders>
              <w:top w:val="nil"/>
              <w:left w:val="nil"/>
              <w:bottom w:val="nil"/>
              <w:right w:val="nil"/>
            </w:tcBorders>
            <w:shd w:val="clear" w:color="auto" w:fill="auto"/>
            <w:vAlign w:val="bottom"/>
          </w:tcPr>
          <w:p w14:paraId="70B7519A"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317 </w:t>
            </w:r>
          </w:p>
        </w:tc>
        <w:tc>
          <w:tcPr>
            <w:tcW w:w="314" w:type="pct"/>
            <w:tcBorders>
              <w:top w:val="nil"/>
              <w:left w:val="nil"/>
              <w:bottom w:val="nil"/>
              <w:right w:val="nil"/>
            </w:tcBorders>
            <w:shd w:val="clear" w:color="auto" w:fill="auto"/>
            <w:vAlign w:val="bottom"/>
          </w:tcPr>
          <w:p w14:paraId="43C26713"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64.443 </w:t>
            </w:r>
          </w:p>
        </w:tc>
        <w:tc>
          <w:tcPr>
            <w:tcW w:w="313" w:type="pct"/>
            <w:tcBorders>
              <w:top w:val="nil"/>
              <w:left w:val="nil"/>
              <w:bottom w:val="nil"/>
              <w:right w:val="nil"/>
            </w:tcBorders>
            <w:shd w:val="clear" w:color="auto" w:fill="auto"/>
            <w:vAlign w:val="bottom"/>
          </w:tcPr>
          <w:p w14:paraId="13F90D8F"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41" w:type="pct"/>
            <w:tcBorders>
              <w:top w:val="nil"/>
              <w:left w:val="nil"/>
              <w:bottom w:val="nil"/>
              <w:right w:val="nil"/>
            </w:tcBorders>
            <w:shd w:val="clear" w:color="auto" w:fill="auto"/>
            <w:vAlign w:val="bottom"/>
          </w:tcPr>
          <w:p w14:paraId="5489EFA1"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4ABAD4AC"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162.516 </w:t>
            </w:r>
          </w:p>
        </w:tc>
        <w:tc>
          <w:tcPr>
            <w:tcW w:w="362" w:type="pct"/>
            <w:tcBorders>
              <w:top w:val="nil"/>
              <w:left w:val="nil"/>
              <w:bottom w:val="nil"/>
              <w:right w:val="nil"/>
            </w:tcBorders>
            <w:vAlign w:val="bottom"/>
          </w:tcPr>
          <w:p w14:paraId="7C7D9483"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96.454 </w:t>
            </w:r>
          </w:p>
        </w:tc>
        <w:tc>
          <w:tcPr>
            <w:tcW w:w="362" w:type="pct"/>
            <w:tcBorders>
              <w:top w:val="nil"/>
              <w:left w:val="nil"/>
              <w:bottom w:val="nil"/>
              <w:right w:val="nil"/>
            </w:tcBorders>
            <w:vAlign w:val="bottom"/>
          </w:tcPr>
          <w:p w14:paraId="78B7511C"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62" w:type="pct"/>
            <w:tcBorders>
              <w:top w:val="nil"/>
              <w:left w:val="nil"/>
              <w:bottom w:val="nil"/>
              <w:right w:val="nil"/>
            </w:tcBorders>
            <w:vAlign w:val="bottom"/>
          </w:tcPr>
          <w:p w14:paraId="2BAF9230"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30.609 </w:t>
            </w:r>
          </w:p>
        </w:tc>
        <w:tc>
          <w:tcPr>
            <w:tcW w:w="362" w:type="pct"/>
            <w:tcBorders>
              <w:top w:val="nil"/>
              <w:left w:val="nil"/>
              <w:bottom w:val="nil"/>
              <w:right w:val="nil"/>
            </w:tcBorders>
            <w:vAlign w:val="bottom"/>
          </w:tcPr>
          <w:p w14:paraId="09880E63"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79" w:type="pct"/>
            <w:tcBorders>
              <w:top w:val="nil"/>
              <w:left w:val="nil"/>
              <w:bottom w:val="nil"/>
              <w:right w:val="nil"/>
            </w:tcBorders>
            <w:vAlign w:val="bottom"/>
          </w:tcPr>
          <w:p w14:paraId="439CA25D"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47" w:type="pct"/>
            <w:tcBorders>
              <w:top w:val="nil"/>
              <w:left w:val="nil"/>
              <w:bottom w:val="nil"/>
              <w:right w:val="nil"/>
            </w:tcBorders>
            <w:vAlign w:val="bottom"/>
          </w:tcPr>
          <w:p w14:paraId="6B0D9EAD"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127.063 </w:t>
            </w:r>
          </w:p>
        </w:tc>
      </w:tr>
      <w:tr w:rsidR="004E2F51" w:rsidRPr="00882573" w14:paraId="21482559" w14:textId="77777777" w:rsidTr="00E032FC">
        <w:trPr>
          <w:trHeight w:val="197"/>
          <w:jc w:val="center"/>
        </w:trPr>
        <w:tc>
          <w:tcPr>
            <w:tcW w:w="915" w:type="pct"/>
            <w:vAlign w:val="bottom"/>
          </w:tcPr>
          <w:p w14:paraId="3B8FD8B7" w14:textId="77777777" w:rsidR="004E2F51" w:rsidRPr="00882573" w:rsidRDefault="004E2F51" w:rsidP="00E032FC">
            <w:pPr>
              <w:tabs>
                <w:tab w:val="right" w:pos="1202"/>
              </w:tabs>
              <w:outlineLvl w:val="0"/>
              <w:rPr>
                <w:rFonts w:ascii="Arial" w:eastAsia="Calibri" w:hAnsi="Arial" w:cs="Arial"/>
                <w:color w:val="000000" w:themeColor="text1"/>
                <w:sz w:val="14"/>
                <w:szCs w:val="14"/>
                <w:lang w:val="hr-HR"/>
              </w:rPr>
            </w:pPr>
            <w:r w:rsidRPr="000D6F0B">
              <w:rPr>
                <w:rFonts w:ascii="Arial" w:eastAsia="Calibri" w:hAnsi="Arial" w:cs="Arial"/>
                <w:color w:val="000000" w:themeColor="text1"/>
                <w:sz w:val="14"/>
                <w:szCs w:val="14"/>
                <w:lang w:val="hr-HR"/>
              </w:rPr>
              <w:t>Otvoreni akreditivi u devizama</w:t>
            </w:r>
          </w:p>
        </w:tc>
        <w:tc>
          <w:tcPr>
            <w:tcW w:w="319" w:type="pct"/>
            <w:tcBorders>
              <w:top w:val="nil"/>
              <w:left w:val="nil"/>
              <w:bottom w:val="nil"/>
              <w:right w:val="nil"/>
            </w:tcBorders>
            <w:shd w:val="clear" w:color="auto" w:fill="auto"/>
            <w:vAlign w:val="bottom"/>
          </w:tcPr>
          <w:p w14:paraId="1879C058"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11" w:type="pct"/>
            <w:tcBorders>
              <w:top w:val="nil"/>
              <w:left w:val="nil"/>
              <w:bottom w:val="nil"/>
              <w:right w:val="nil"/>
            </w:tcBorders>
            <w:shd w:val="clear" w:color="auto" w:fill="auto"/>
            <w:vAlign w:val="bottom"/>
          </w:tcPr>
          <w:p w14:paraId="11D4BDF9"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14" w:type="pct"/>
            <w:tcBorders>
              <w:top w:val="nil"/>
              <w:left w:val="nil"/>
              <w:bottom w:val="nil"/>
              <w:right w:val="nil"/>
            </w:tcBorders>
            <w:shd w:val="clear" w:color="auto" w:fill="auto"/>
            <w:vAlign w:val="bottom"/>
          </w:tcPr>
          <w:p w14:paraId="2988B04E"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7BE078AC"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41" w:type="pct"/>
            <w:tcBorders>
              <w:top w:val="nil"/>
              <w:left w:val="nil"/>
              <w:bottom w:val="nil"/>
              <w:right w:val="nil"/>
            </w:tcBorders>
            <w:shd w:val="clear" w:color="auto" w:fill="auto"/>
            <w:vAlign w:val="bottom"/>
          </w:tcPr>
          <w:p w14:paraId="6D82649B"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1.243 </w:t>
            </w:r>
          </w:p>
        </w:tc>
        <w:tc>
          <w:tcPr>
            <w:tcW w:w="313" w:type="pct"/>
            <w:tcBorders>
              <w:top w:val="nil"/>
              <w:left w:val="nil"/>
              <w:bottom w:val="nil"/>
              <w:right w:val="nil"/>
            </w:tcBorders>
            <w:shd w:val="clear" w:color="auto" w:fill="auto"/>
            <w:vAlign w:val="bottom"/>
          </w:tcPr>
          <w:p w14:paraId="3E5A6D8B"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1.243 </w:t>
            </w:r>
          </w:p>
        </w:tc>
        <w:tc>
          <w:tcPr>
            <w:tcW w:w="362" w:type="pct"/>
            <w:tcBorders>
              <w:top w:val="nil"/>
              <w:left w:val="nil"/>
              <w:bottom w:val="nil"/>
              <w:right w:val="nil"/>
            </w:tcBorders>
            <w:vAlign w:val="bottom"/>
          </w:tcPr>
          <w:p w14:paraId="2E29423E" w14:textId="77777777" w:rsidR="004E2F51" w:rsidRPr="00882573" w:rsidRDefault="004E2F51" w:rsidP="00E032FC">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62" w:type="pct"/>
            <w:tcBorders>
              <w:top w:val="nil"/>
              <w:left w:val="nil"/>
              <w:bottom w:val="nil"/>
              <w:right w:val="nil"/>
            </w:tcBorders>
            <w:vAlign w:val="bottom"/>
          </w:tcPr>
          <w:p w14:paraId="7FDF08B4" w14:textId="77777777" w:rsidR="004E2F51" w:rsidRPr="00882573" w:rsidRDefault="004E2F51" w:rsidP="00E032FC">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62" w:type="pct"/>
            <w:tcBorders>
              <w:top w:val="nil"/>
              <w:left w:val="nil"/>
              <w:bottom w:val="nil"/>
              <w:right w:val="nil"/>
            </w:tcBorders>
            <w:vAlign w:val="bottom"/>
          </w:tcPr>
          <w:p w14:paraId="2A5DECD5" w14:textId="77777777" w:rsidR="004E2F51" w:rsidRPr="00882573" w:rsidRDefault="004E2F51" w:rsidP="00E032FC">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62" w:type="pct"/>
            <w:tcBorders>
              <w:top w:val="nil"/>
              <w:left w:val="nil"/>
              <w:bottom w:val="nil"/>
              <w:right w:val="nil"/>
            </w:tcBorders>
            <w:vAlign w:val="bottom"/>
          </w:tcPr>
          <w:p w14:paraId="70538290" w14:textId="77777777" w:rsidR="004E2F51" w:rsidRPr="00882573" w:rsidRDefault="004E2F51" w:rsidP="00E032FC">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79" w:type="pct"/>
            <w:tcBorders>
              <w:top w:val="nil"/>
              <w:left w:val="nil"/>
              <w:bottom w:val="nil"/>
              <w:right w:val="nil"/>
            </w:tcBorders>
            <w:vAlign w:val="bottom"/>
          </w:tcPr>
          <w:p w14:paraId="4EC4D0B0" w14:textId="77777777" w:rsidR="004E2F51" w:rsidRPr="00882573" w:rsidRDefault="004E2F51" w:rsidP="00E032FC">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w:t>
            </w:r>
          </w:p>
        </w:tc>
        <w:tc>
          <w:tcPr>
            <w:tcW w:w="347" w:type="pct"/>
            <w:tcBorders>
              <w:top w:val="nil"/>
              <w:left w:val="nil"/>
              <w:bottom w:val="nil"/>
              <w:right w:val="nil"/>
            </w:tcBorders>
            <w:vAlign w:val="bottom"/>
          </w:tcPr>
          <w:p w14:paraId="6F86CBDF"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r>
      <w:tr w:rsidR="004E2F51" w:rsidRPr="00882573" w14:paraId="42C95E81" w14:textId="77777777" w:rsidTr="00E032FC">
        <w:trPr>
          <w:trHeight w:val="197"/>
          <w:jc w:val="center"/>
        </w:trPr>
        <w:tc>
          <w:tcPr>
            <w:tcW w:w="915" w:type="pct"/>
            <w:vAlign w:val="bottom"/>
          </w:tcPr>
          <w:p w14:paraId="67CD7A35" w14:textId="77777777" w:rsidR="004E2F51" w:rsidRPr="00882573" w:rsidRDefault="004E2F51" w:rsidP="00E032FC">
            <w:pPr>
              <w:tabs>
                <w:tab w:val="right" w:pos="1202"/>
              </w:tabs>
              <w:outlineLvl w:val="0"/>
              <w:rPr>
                <w:rFonts w:ascii="Arial" w:eastAsia="Calibri" w:hAnsi="Arial" w:cs="Arial"/>
                <w:color w:val="000000" w:themeColor="text1"/>
                <w:sz w:val="14"/>
                <w:szCs w:val="14"/>
                <w:lang w:val="hr-HR"/>
              </w:rPr>
            </w:pPr>
            <w:bookmarkStart w:id="1639" w:name="_Toc67329951"/>
            <w:r w:rsidRPr="00882573">
              <w:rPr>
                <w:rFonts w:ascii="Arial" w:eastAsia="Calibri" w:hAnsi="Arial" w:cs="Arial"/>
                <w:color w:val="000000" w:themeColor="text1"/>
                <w:sz w:val="14"/>
                <w:szCs w:val="14"/>
                <w:lang w:val="hr-HR"/>
              </w:rPr>
              <w:t>Preuzete obveze po kreditima</w:t>
            </w:r>
            <w:bookmarkEnd w:id="1639"/>
          </w:p>
        </w:tc>
        <w:tc>
          <w:tcPr>
            <w:tcW w:w="319" w:type="pct"/>
            <w:tcBorders>
              <w:top w:val="nil"/>
              <w:left w:val="nil"/>
              <w:bottom w:val="single" w:sz="6" w:space="0" w:color="auto"/>
              <w:right w:val="nil"/>
            </w:tcBorders>
            <w:shd w:val="clear" w:color="auto" w:fill="auto"/>
            <w:vAlign w:val="bottom"/>
          </w:tcPr>
          <w:p w14:paraId="50D629E8"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2.449.837 </w:t>
            </w:r>
          </w:p>
        </w:tc>
        <w:tc>
          <w:tcPr>
            <w:tcW w:w="311" w:type="pct"/>
            <w:tcBorders>
              <w:top w:val="nil"/>
              <w:left w:val="nil"/>
              <w:bottom w:val="single" w:sz="6" w:space="0" w:color="auto"/>
              <w:right w:val="nil"/>
            </w:tcBorders>
            <w:shd w:val="clear" w:color="auto" w:fill="auto"/>
            <w:vAlign w:val="bottom"/>
          </w:tcPr>
          <w:p w14:paraId="43127D47"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73.847 </w:t>
            </w:r>
          </w:p>
        </w:tc>
        <w:tc>
          <w:tcPr>
            <w:tcW w:w="314" w:type="pct"/>
            <w:tcBorders>
              <w:top w:val="nil"/>
              <w:left w:val="nil"/>
              <w:bottom w:val="single" w:sz="6" w:space="0" w:color="auto"/>
              <w:right w:val="nil"/>
            </w:tcBorders>
            <w:shd w:val="clear" w:color="auto" w:fill="auto"/>
            <w:vAlign w:val="bottom"/>
          </w:tcPr>
          <w:p w14:paraId="375CD806"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13" w:type="pct"/>
            <w:tcBorders>
              <w:top w:val="nil"/>
              <w:left w:val="nil"/>
              <w:bottom w:val="single" w:sz="6" w:space="0" w:color="auto"/>
              <w:right w:val="nil"/>
            </w:tcBorders>
            <w:shd w:val="clear" w:color="auto" w:fill="auto"/>
            <w:vAlign w:val="bottom"/>
          </w:tcPr>
          <w:p w14:paraId="7FD81FBD"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124.247 </w:t>
            </w:r>
          </w:p>
        </w:tc>
        <w:tc>
          <w:tcPr>
            <w:tcW w:w="341" w:type="pct"/>
            <w:tcBorders>
              <w:top w:val="nil"/>
              <w:left w:val="nil"/>
              <w:bottom w:val="single" w:sz="6" w:space="0" w:color="auto"/>
              <w:right w:val="nil"/>
            </w:tcBorders>
            <w:shd w:val="clear" w:color="auto" w:fill="auto"/>
            <w:vAlign w:val="bottom"/>
          </w:tcPr>
          <w:p w14:paraId="21469364"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13" w:type="pct"/>
            <w:tcBorders>
              <w:top w:val="nil"/>
              <w:left w:val="nil"/>
              <w:bottom w:val="single" w:sz="6" w:space="0" w:color="auto"/>
              <w:right w:val="nil"/>
            </w:tcBorders>
            <w:shd w:val="clear" w:color="auto" w:fill="auto"/>
            <w:vAlign w:val="bottom"/>
          </w:tcPr>
          <w:p w14:paraId="2B913560"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2.647.931 </w:t>
            </w:r>
          </w:p>
        </w:tc>
        <w:tc>
          <w:tcPr>
            <w:tcW w:w="362" w:type="pct"/>
            <w:tcBorders>
              <w:top w:val="nil"/>
              <w:left w:val="nil"/>
              <w:bottom w:val="single" w:sz="6" w:space="0" w:color="auto"/>
              <w:right w:val="nil"/>
            </w:tcBorders>
            <w:vAlign w:val="bottom"/>
          </w:tcPr>
          <w:p w14:paraId="7CB979BD"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455.003 </w:t>
            </w:r>
          </w:p>
        </w:tc>
        <w:tc>
          <w:tcPr>
            <w:tcW w:w="362" w:type="pct"/>
            <w:tcBorders>
              <w:top w:val="nil"/>
              <w:left w:val="nil"/>
              <w:bottom w:val="single" w:sz="6" w:space="0" w:color="auto"/>
              <w:right w:val="nil"/>
            </w:tcBorders>
            <w:vAlign w:val="bottom"/>
          </w:tcPr>
          <w:p w14:paraId="72804E01"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9.758 </w:t>
            </w:r>
          </w:p>
        </w:tc>
        <w:tc>
          <w:tcPr>
            <w:tcW w:w="362" w:type="pct"/>
            <w:tcBorders>
              <w:top w:val="nil"/>
              <w:left w:val="nil"/>
              <w:bottom w:val="single" w:sz="6" w:space="0" w:color="auto"/>
              <w:right w:val="nil"/>
            </w:tcBorders>
            <w:vAlign w:val="bottom"/>
          </w:tcPr>
          <w:p w14:paraId="3F3D706D"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62" w:type="pct"/>
            <w:tcBorders>
              <w:top w:val="nil"/>
              <w:left w:val="nil"/>
              <w:bottom w:val="single" w:sz="6" w:space="0" w:color="auto"/>
              <w:right w:val="nil"/>
            </w:tcBorders>
            <w:vAlign w:val="bottom"/>
          </w:tcPr>
          <w:p w14:paraId="330EED60"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79" w:type="pct"/>
            <w:tcBorders>
              <w:top w:val="nil"/>
              <w:left w:val="nil"/>
              <w:bottom w:val="single" w:sz="6" w:space="0" w:color="auto"/>
              <w:right w:val="nil"/>
            </w:tcBorders>
            <w:vAlign w:val="bottom"/>
          </w:tcPr>
          <w:p w14:paraId="5EB5454E"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 </w:t>
            </w:r>
          </w:p>
        </w:tc>
        <w:tc>
          <w:tcPr>
            <w:tcW w:w="347" w:type="pct"/>
            <w:tcBorders>
              <w:top w:val="nil"/>
              <w:left w:val="nil"/>
              <w:bottom w:val="single" w:sz="6" w:space="0" w:color="auto"/>
              <w:right w:val="nil"/>
            </w:tcBorders>
            <w:vAlign w:val="bottom"/>
          </w:tcPr>
          <w:p w14:paraId="6B309B79" w14:textId="77777777" w:rsidR="004E2F51" w:rsidRPr="00882573" w:rsidRDefault="004E2F51" w:rsidP="00E032FC">
            <w:pPr>
              <w:jc w:val="right"/>
              <w:rPr>
                <w:rFonts w:ascii="Arial" w:eastAsia="Calibri" w:hAnsi="Arial" w:cs="Arial"/>
                <w:color w:val="000000" w:themeColor="text1"/>
                <w:sz w:val="14"/>
                <w:szCs w:val="14"/>
                <w:lang w:val="hr-HR"/>
              </w:rPr>
            </w:pPr>
            <w:r w:rsidRPr="002D7BE9">
              <w:rPr>
                <w:rFonts w:ascii="Arial" w:eastAsia="Calibri" w:hAnsi="Arial" w:cs="Arial"/>
                <w:color w:val="000000" w:themeColor="text1"/>
                <w:sz w:val="14"/>
                <w:szCs w:val="14"/>
                <w:lang w:val="hr-HR"/>
              </w:rPr>
              <w:t xml:space="preserve"> 464.761 </w:t>
            </w:r>
          </w:p>
        </w:tc>
      </w:tr>
      <w:tr w:rsidR="004E2F51" w:rsidRPr="00882573" w14:paraId="0E4BAF37" w14:textId="77777777" w:rsidTr="00E032FC">
        <w:trPr>
          <w:trHeight w:val="57"/>
          <w:jc w:val="center"/>
        </w:trPr>
        <w:tc>
          <w:tcPr>
            <w:tcW w:w="915" w:type="pct"/>
          </w:tcPr>
          <w:p w14:paraId="423B43EB" w14:textId="77777777" w:rsidR="004E2F51" w:rsidRPr="00882573" w:rsidRDefault="004E2F51" w:rsidP="00E032FC">
            <w:pPr>
              <w:tabs>
                <w:tab w:val="right" w:pos="1202"/>
              </w:tabs>
              <w:spacing w:line="301" w:lineRule="exact"/>
              <w:outlineLvl w:val="0"/>
              <w:rPr>
                <w:rFonts w:ascii="Arial" w:eastAsia="Calibri" w:hAnsi="Arial" w:cs="Arial"/>
                <w:b/>
                <w:bCs/>
                <w:color w:val="000000" w:themeColor="text1"/>
                <w:sz w:val="14"/>
                <w:szCs w:val="14"/>
                <w:lang w:val="hr-HR"/>
              </w:rPr>
            </w:pPr>
            <w:bookmarkStart w:id="1640" w:name="_Toc67329953"/>
            <w:r w:rsidRPr="00882573">
              <w:rPr>
                <w:rFonts w:ascii="Arial" w:eastAsia="Calibri" w:hAnsi="Arial" w:cs="Arial"/>
                <w:b/>
                <w:bCs/>
                <w:color w:val="000000" w:themeColor="text1"/>
                <w:sz w:val="14"/>
                <w:szCs w:val="14"/>
                <w:lang w:val="hr-HR"/>
              </w:rPr>
              <w:t>Ukupno</w:t>
            </w:r>
            <w:bookmarkEnd w:id="1640"/>
          </w:p>
        </w:tc>
        <w:tc>
          <w:tcPr>
            <w:tcW w:w="319" w:type="pct"/>
            <w:tcBorders>
              <w:top w:val="single" w:sz="6" w:space="0" w:color="auto"/>
              <w:left w:val="nil"/>
              <w:bottom w:val="single" w:sz="12" w:space="0" w:color="auto"/>
              <w:right w:val="nil"/>
            </w:tcBorders>
            <w:shd w:val="clear" w:color="auto" w:fill="auto"/>
            <w:vAlign w:val="bottom"/>
          </w:tcPr>
          <w:p w14:paraId="76A96C07"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2.569.983 </w:t>
            </w:r>
          </w:p>
        </w:tc>
        <w:tc>
          <w:tcPr>
            <w:tcW w:w="311" w:type="pct"/>
            <w:tcBorders>
              <w:top w:val="single" w:sz="6" w:space="0" w:color="auto"/>
              <w:left w:val="nil"/>
              <w:bottom w:val="single" w:sz="12" w:space="0" w:color="auto"/>
              <w:right w:val="nil"/>
            </w:tcBorders>
            <w:shd w:val="clear" w:color="auto" w:fill="auto"/>
            <w:vAlign w:val="bottom"/>
          </w:tcPr>
          <w:p w14:paraId="5CA24AB1"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76.738 </w:t>
            </w:r>
          </w:p>
        </w:tc>
        <w:tc>
          <w:tcPr>
            <w:tcW w:w="314" w:type="pct"/>
            <w:tcBorders>
              <w:top w:val="single" w:sz="6" w:space="0" w:color="auto"/>
              <w:left w:val="nil"/>
              <w:bottom w:val="single" w:sz="12" w:space="0" w:color="auto"/>
              <w:right w:val="nil"/>
            </w:tcBorders>
            <w:shd w:val="clear" w:color="auto" w:fill="auto"/>
            <w:vAlign w:val="bottom"/>
          </w:tcPr>
          <w:p w14:paraId="591855C5"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125.949 </w:t>
            </w:r>
          </w:p>
        </w:tc>
        <w:tc>
          <w:tcPr>
            <w:tcW w:w="313" w:type="pct"/>
            <w:tcBorders>
              <w:top w:val="single" w:sz="6" w:space="0" w:color="auto"/>
              <w:left w:val="nil"/>
              <w:bottom w:val="single" w:sz="12" w:space="0" w:color="auto"/>
              <w:right w:val="nil"/>
            </w:tcBorders>
            <w:shd w:val="clear" w:color="auto" w:fill="auto"/>
            <w:vAlign w:val="bottom"/>
          </w:tcPr>
          <w:p w14:paraId="159F4EDF"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124.247 </w:t>
            </w:r>
          </w:p>
        </w:tc>
        <w:tc>
          <w:tcPr>
            <w:tcW w:w="341" w:type="pct"/>
            <w:tcBorders>
              <w:top w:val="single" w:sz="6" w:space="0" w:color="auto"/>
              <w:left w:val="nil"/>
              <w:bottom w:val="single" w:sz="12" w:space="0" w:color="auto"/>
              <w:right w:val="nil"/>
            </w:tcBorders>
            <w:shd w:val="clear" w:color="auto" w:fill="auto"/>
            <w:vAlign w:val="bottom"/>
          </w:tcPr>
          <w:p w14:paraId="1BA16E7F"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1.243 </w:t>
            </w:r>
          </w:p>
        </w:tc>
        <w:tc>
          <w:tcPr>
            <w:tcW w:w="313" w:type="pct"/>
            <w:tcBorders>
              <w:top w:val="single" w:sz="6" w:space="0" w:color="auto"/>
              <w:left w:val="nil"/>
              <w:bottom w:val="single" w:sz="12" w:space="0" w:color="auto"/>
              <w:right w:val="nil"/>
            </w:tcBorders>
            <w:shd w:val="clear" w:color="auto" w:fill="auto"/>
            <w:vAlign w:val="bottom"/>
          </w:tcPr>
          <w:p w14:paraId="1B18BB6E"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2.898.160 </w:t>
            </w:r>
          </w:p>
        </w:tc>
        <w:tc>
          <w:tcPr>
            <w:tcW w:w="362" w:type="pct"/>
            <w:tcBorders>
              <w:top w:val="single" w:sz="6" w:space="0" w:color="auto"/>
              <w:left w:val="nil"/>
              <w:bottom w:val="single" w:sz="12" w:space="0" w:color="auto"/>
              <w:right w:val="nil"/>
            </w:tcBorders>
            <w:vAlign w:val="bottom"/>
          </w:tcPr>
          <w:p w14:paraId="1EDB34C5"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571.974 </w:t>
            </w:r>
          </w:p>
        </w:tc>
        <w:tc>
          <w:tcPr>
            <w:tcW w:w="362" w:type="pct"/>
            <w:tcBorders>
              <w:top w:val="single" w:sz="6" w:space="0" w:color="auto"/>
              <w:left w:val="nil"/>
              <w:bottom w:val="single" w:sz="12" w:space="0" w:color="auto"/>
              <w:right w:val="nil"/>
            </w:tcBorders>
            <w:vAlign w:val="bottom"/>
          </w:tcPr>
          <w:p w14:paraId="5A8419D2"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9.765 </w:t>
            </w:r>
          </w:p>
        </w:tc>
        <w:tc>
          <w:tcPr>
            <w:tcW w:w="362" w:type="pct"/>
            <w:tcBorders>
              <w:top w:val="single" w:sz="6" w:space="0" w:color="auto"/>
              <w:left w:val="nil"/>
              <w:bottom w:val="single" w:sz="12" w:space="0" w:color="auto"/>
              <w:right w:val="nil"/>
            </w:tcBorders>
            <w:vAlign w:val="bottom"/>
          </w:tcPr>
          <w:p w14:paraId="18DF663B"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67.440 </w:t>
            </w:r>
          </w:p>
        </w:tc>
        <w:tc>
          <w:tcPr>
            <w:tcW w:w="362" w:type="pct"/>
            <w:tcBorders>
              <w:top w:val="single" w:sz="6" w:space="0" w:color="auto"/>
              <w:left w:val="nil"/>
              <w:bottom w:val="single" w:sz="12" w:space="0" w:color="auto"/>
              <w:right w:val="nil"/>
            </w:tcBorders>
            <w:vAlign w:val="bottom"/>
          </w:tcPr>
          <w:p w14:paraId="4D61B036"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 </w:t>
            </w:r>
          </w:p>
        </w:tc>
        <w:tc>
          <w:tcPr>
            <w:tcW w:w="379" w:type="pct"/>
            <w:tcBorders>
              <w:top w:val="single" w:sz="6" w:space="0" w:color="auto"/>
              <w:left w:val="nil"/>
              <w:bottom w:val="single" w:sz="12" w:space="0" w:color="auto"/>
              <w:right w:val="nil"/>
            </w:tcBorders>
            <w:vAlign w:val="bottom"/>
          </w:tcPr>
          <w:p w14:paraId="37B1EC19"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 </w:t>
            </w:r>
          </w:p>
        </w:tc>
        <w:tc>
          <w:tcPr>
            <w:tcW w:w="347" w:type="pct"/>
            <w:tcBorders>
              <w:top w:val="single" w:sz="6" w:space="0" w:color="auto"/>
              <w:left w:val="nil"/>
              <w:bottom w:val="single" w:sz="12" w:space="0" w:color="auto"/>
              <w:right w:val="nil"/>
            </w:tcBorders>
            <w:vAlign w:val="bottom"/>
          </w:tcPr>
          <w:p w14:paraId="3FBB44D0"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649.179 </w:t>
            </w:r>
          </w:p>
        </w:tc>
      </w:tr>
      <w:tr w:rsidR="004E2F51" w:rsidRPr="00882573" w14:paraId="576424B0" w14:textId="77777777" w:rsidTr="00E032FC">
        <w:trPr>
          <w:trHeight w:val="44"/>
          <w:jc w:val="center"/>
        </w:trPr>
        <w:tc>
          <w:tcPr>
            <w:tcW w:w="915" w:type="pct"/>
            <w:vAlign w:val="center"/>
          </w:tcPr>
          <w:p w14:paraId="088D87AF" w14:textId="77777777" w:rsidR="004E2F51" w:rsidRPr="00882573" w:rsidRDefault="004E2F51" w:rsidP="00E032FC">
            <w:pPr>
              <w:tabs>
                <w:tab w:val="right" w:pos="1202"/>
              </w:tabs>
              <w:spacing w:line="301" w:lineRule="exact"/>
              <w:outlineLvl w:val="0"/>
              <w:rPr>
                <w:rFonts w:ascii="Arial" w:eastAsia="Calibri" w:hAnsi="Arial" w:cs="Arial"/>
                <w:b/>
                <w:bCs/>
                <w:color w:val="000000" w:themeColor="text1"/>
                <w:sz w:val="14"/>
                <w:szCs w:val="14"/>
                <w:lang w:val="hr-HR"/>
              </w:rPr>
            </w:pPr>
            <w:bookmarkStart w:id="1641" w:name="_Toc67329966"/>
            <w:r w:rsidRPr="00882573">
              <w:rPr>
                <w:rFonts w:ascii="Arial" w:eastAsia="Calibri" w:hAnsi="Arial" w:cs="Arial"/>
                <w:b/>
                <w:bCs/>
                <w:color w:val="000000" w:themeColor="text1"/>
                <w:sz w:val="14"/>
                <w:szCs w:val="14"/>
                <w:lang w:val="hr-HR"/>
              </w:rPr>
              <w:t>Ukupna izloženost kreditnom riziku</w:t>
            </w:r>
            <w:bookmarkEnd w:id="1641"/>
          </w:p>
        </w:tc>
        <w:tc>
          <w:tcPr>
            <w:tcW w:w="319" w:type="pct"/>
            <w:tcBorders>
              <w:top w:val="nil"/>
              <w:left w:val="nil"/>
              <w:bottom w:val="single" w:sz="12" w:space="0" w:color="auto"/>
              <w:right w:val="nil"/>
            </w:tcBorders>
            <w:shd w:val="clear" w:color="auto" w:fill="auto"/>
            <w:vAlign w:val="bottom"/>
          </w:tcPr>
          <w:p w14:paraId="389AE89E"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27.227.97</w:t>
            </w:r>
            <w:r>
              <w:rPr>
                <w:rFonts w:ascii="Arial" w:eastAsia="Calibri" w:hAnsi="Arial" w:cs="Arial"/>
                <w:b/>
                <w:bCs/>
                <w:color w:val="000000" w:themeColor="text1"/>
                <w:sz w:val="14"/>
                <w:szCs w:val="14"/>
                <w:lang w:val="hr-HR"/>
              </w:rPr>
              <w:t>2</w:t>
            </w:r>
            <w:r w:rsidRPr="002D7BE9">
              <w:rPr>
                <w:rFonts w:ascii="Arial" w:eastAsia="Calibri" w:hAnsi="Arial" w:cs="Arial"/>
                <w:b/>
                <w:bCs/>
                <w:color w:val="000000" w:themeColor="text1"/>
                <w:sz w:val="14"/>
                <w:szCs w:val="14"/>
                <w:lang w:val="hr-HR"/>
              </w:rPr>
              <w:t xml:space="preserve"> </w:t>
            </w:r>
          </w:p>
        </w:tc>
        <w:tc>
          <w:tcPr>
            <w:tcW w:w="311" w:type="pct"/>
            <w:tcBorders>
              <w:top w:val="nil"/>
              <w:left w:val="nil"/>
              <w:bottom w:val="single" w:sz="12" w:space="0" w:color="auto"/>
              <w:right w:val="nil"/>
            </w:tcBorders>
            <w:shd w:val="clear" w:color="auto" w:fill="auto"/>
            <w:vAlign w:val="bottom"/>
          </w:tcPr>
          <w:p w14:paraId="29DAB70A"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1.787.790 </w:t>
            </w:r>
          </w:p>
        </w:tc>
        <w:tc>
          <w:tcPr>
            <w:tcW w:w="314" w:type="pct"/>
            <w:tcBorders>
              <w:top w:val="nil"/>
              <w:left w:val="nil"/>
              <w:bottom w:val="single" w:sz="12" w:space="0" w:color="auto"/>
              <w:right w:val="nil"/>
            </w:tcBorders>
            <w:shd w:val="clear" w:color="auto" w:fill="auto"/>
            <w:vAlign w:val="bottom"/>
          </w:tcPr>
          <w:p w14:paraId="46ACB29B"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1.276.590 </w:t>
            </w:r>
          </w:p>
        </w:tc>
        <w:tc>
          <w:tcPr>
            <w:tcW w:w="313" w:type="pct"/>
            <w:tcBorders>
              <w:top w:val="nil"/>
              <w:left w:val="nil"/>
              <w:bottom w:val="single" w:sz="12" w:space="0" w:color="auto"/>
              <w:right w:val="nil"/>
            </w:tcBorders>
            <w:shd w:val="clear" w:color="auto" w:fill="auto"/>
            <w:vAlign w:val="bottom"/>
          </w:tcPr>
          <w:p w14:paraId="6A4CB215"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1.309.100 </w:t>
            </w:r>
          </w:p>
        </w:tc>
        <w:tc>
          <w:tcPr>
            <w:tcW w:w="341" w:type="pct"/>
            <w:tcBorders>
              <w:top w:val="nil"/>
              <w:left w:val="nil"/>
              <w:bottom w:val="single" w:sz="12" w:space="0" w:color="auto"/>
              <w:right w:val="nil"/>
            </w:tcBorders>
            <w:shd w:val="clear" w:color="auto" w:fill="auto"/>
            <w:vAlign w:val="bottom"/>
          </w:tcPr>
          <w:p w14:paraId="1B58BE4D"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25.11</w:t>
            </w:r>
            <w:r>
              <w:rPr>
                <w:rFonts w:ascii="Arial" w:eastAsia="Calibri" w:hAnsi="Arial" w:cs="Arial"/>
                <w:b/>
                <w:bCs/>
                <w:color w:val="000000" w:themeColor="text1"/>
                <w:sz w:val="14"/>
                <w:szCs w:val="14"/>
                <w:lang w:val="hr-HR"/>
              </w:rPr>
              <w:t>3</w:t>
            </w:r>
            <w:r w:rsidRPr="002D7BE9">
              <w:rPr>
                <w:rFonts w:ascii="Arial" w:eastAsia="Calibri" w:hAnsi="Arial" w:cs="Arial"/>
                <w:b/>
                <w:bCs/>
                <w:color w:val="000000" w:themeColor="text1"/>
                <w:sz w:val="14"/>
                <w:szCs w:val="14"/>
                <w:lang w:val="hr-HR"/>
              </w:rPr>
              <w:t xml:space="preserve"> </w:t>
            </w:r>
          </w:p>
        </w:tc>
        <w:tc>
          <w:tcPr>
            <w:tcW w:w="313" w:type="pct"/>
            <w:tcBorders>
              <w:top w:val="nil"/>
              <w:left w:val="nil"/>
              <w:bottom w:val="single" w:sz="12" w:space="0" w:color="auto"/>
              <w:right w:val="nil"/>
            </w:tcBorders>
            <w:shd w:val="clear" w:color="auto" w:fill="auto"/>
            <w:vAlign w:val="bottom"/>
          </w:tcPr>
          <w:p w14:paraId="36894E50"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31.626.565 </w:t>
            </w:r>
          </w:p>
        </w:tc>
        <w:tc>
          <w:tcPr>
            <w:tcW w:w="362" w:type="pct"/>
            <w:tcBorders>
              <w:top w:val="nil"/>
              <w:left w:val="nil"/>
              <w:bottom w:val="single" w:sz="12" w:space="0" w:color="auto"/>
              <w:right w:val="nil"/>
            </w:tcBorders>
            <w:vAlign w:val="bottom"/>
          </w:tcPr>
          <w:p w14:paraId="4C8E31B2"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5.475.852 </w:t>
            </w:r>
          </w:p>
        </w:tc>
        <w:tc>
          <w:tcPr>
            <w:tcW w:w="362" w:type="pct"/>
            <w:tcBorders>
              <w:top w:val="nil"/>
              <w:left w:val="nil"/>
              <w:bottom w:val="single" w:sz="12" w:space="0" w:color="auto"/>
              <w:right w:val="nil"/>
            </w:tcBorders>
            <w:vAlign w:val="bottom"/>
          </w:tcPr>
          <w:p w14:paraId="06156351"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150.309 </w:t>
            </w:r>
          </w:p>
        </w:tc>
        <w:tc>
          <w:tcPr>
            <w:tcW w:w="362" w:type="pct"/>
            <w:tcBorders>
              <w:top w:val="nil"/>
              <w:left w:val="nil"/>
              <w:bottom w:val="single" w:sz="12" w:space="0" w:color="auto"/>
              <w:right w:val="nil"/>
            </w:tcBorders>
            <w:vAlign w:val="bottom"/>
          </w:tcPr>
          <w:p w14:paraId="7D8FD23E"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174.910 </w:t>
            </w:r>
          </w:p>
        </w:tc>
        <w:tc>
          <w:tcPr>
            <w:tcW w:w="362" w:type="pct"/>
            <w:tcBorders>
              <w:top w:val="nil"/>
              <w:left w:val="nil"/>
              <w:bottom w:val="single" w:sz="12" w:space="0" w:color="auto"/>
              <w:right w:val="nil"/>
            </w:tcBorders>
            <w:vAlign w:val="bottom"/>
          </w:tcPr>
          <w:p w14:paraId="1181A118"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173.804 </w:t>
            </w:r>
          </w:p>
        </w:tc>
        <w:tc>
          <w:tcPr>
            <w:tcW w:w="379" w:type="pct"/>
            <w:tcBorders>
              <w:top w:val="nil"/>
              <w:left w:val="nil"/>
              <w:bottom w:val="single" w:sz="12" w:space="0" w:color="auto"/>
              <w:right w:val="nil"/>
            </w:tcBorders>
            <w:vAlign w:val="bottom"/>
          </w:tcPr>
          <w:p w14:paraId="350DBFE8"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 </w:t>
            </w:r>
          </w:p>
        </w:tc>
        <w:tc>
          <w:tcPr>
            <w:tcW w:w="347" w:type="pct"/>
            <w:tcBorders>
              <w:top w:val="nil"/>
              <w:left w:val="nil"/>
              <w:bottom w:val="single" w:sz="12" w:space="0" w:color="auto"/>
              <w:right w:val="nil"/>
            </w:tcBorders>
            <w:vAlign w:val="bottom"/>
          </w:tcPr>
          <w:p w14:paraId="6B87E4DF"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2D7BE9">
              <w:rPr>
                <w:rFonts w:ascii="Arial" w:eastAsia="Calibri" w:hAnsi="Arial" w:cs="Arial"/>
                <w:b/>
                <w:bCs/>
                <w:color w:val="000000" w:themeColor="text1"/>
                <w:sz w:val="14"/>
                <w:szCs w:val="14"/>
                <w:lang w:val="hr-HR"/>
              </w:rPr>
              <w:t xml:space="preserve"> 5.974.875 </w:t>
            </w:r>
          </w:p>
        </w:tc>
      </w:tr>
    </w:tbl>
    <w:p w14:paraId="37E06082" w14:textId="77777777" w:rsidR="004E2F51" w:rsidRPr="00B91D09" w:rsidRDefault="004E2F51" w:rsidP="004E2F51">
      <w:pPr>
        <w:pStyle w:val="T1"/>
        <w:spacing w:before="0" w:after="0" w:line="240" w:lineRule="auto"/>
        <w:rPr>
          <w:rFonts w:cs="Arial"/>
          <w:color w:val="000000" w:themeColor="text1"/>
          <w:sz w:val="22"/>
          <w:szCs w:val="22"/>
          <w:lang w:val="hr-HR"/>
        </w:rPr>
      </w:pPr>
    </w:p>
    <w:p w14:paraId="35E33CA2" w14:textId="77777777" w:rsidR="004E2F51" w:rsidRPr="00B91D09" w:rsidRDefault="004E2F51" w:rsidP="004E2F51">
      <w:pPr>
        <w:pStyle w:val="T1"/>
        <w:spacing w:before="0" w:after="0" w:line="240" w:lineRule="auto"/>
        <w:rPr>
          <w:rFonts w:cs="Arial"/>
          <w:color w:val="000000" w:themeColor="text1"/>
          <w:sz w:val="22"/>
          <w:szCs w:val="22"/>
          <w:lang w:val="hr-HR"/>
        </w:rPr>
        <w:sectPr w:rsidR="004E2F51" w:rsidRPr="00B91D09" w:rsidSect="00623DBA">
          <w:footerReference w:type="default" r:id="rId189"/>
          <w:pgSz w:w="16840" w:h="11907" w:orient="landscape" w:code="9"/>
          <w:pgMar w:top="1418" w:right="1418" w:bottom="1134" w:left="1134" w:header="851" w:footer="851" w:gutter="0"/>
          <w:cols w:space="720"/>
          <w:noEndnote/>
          <w:docGrid w:linePitch="326"/>
        </w:sectPr>
      </w:pPr>
    </w:p>
    <w:p w14:paraId="6999F1C9" w14:textId="77777777" w:rsidR="004E2F51" w:rsidRPr="00B91D09" w:rsidRDefault="004E2F51" w:rsidP="004E2F51">
      <w:pPr>
        <w:pStyle w:val="T1"/>
        <w:spacing w:before="120" w:line="240" w:lineRule="auto"/>
        <w:rPr>
          <w:rFonts w:cs="Arial"/>
          <w:color w:val="000000" w:themeColor="text1"/>
          <w:sz w:val="20"/>
          <w:lang w:val="hr-HR"/>
        </w:rPr>
      </w:pPr>
      <w:r w:rsidRPr="00B91D09">
        <w:rPr>
          <w:rFonts w:cs="Arial"/>
          <w:color w:val="000000" w:themeColor="text1"/>
          <w:sz w:val="20"/>
          <w:lang w:val="hr-HR"/>
        </w:rPr>
        <w:lastRenderedPageBreak/>
        <w:t>3</w:t>
      </w:r>
      <w:r>
        <w:rPr>
          <w:rFonts w:cs="Arial"/>
          <w:color w:val="000000" w:themeColor="text1"/>
          <w:sz w:val="20"/>
          <w:lang w:val="hr-HR"/>
        </w:rPr>
        <w:t>1</w:t>
      </w:r>
      <w:r w:rsidRPr="00B91D09">
        <w:rPr>
          <w:rFonts w:cs="Arial"/>
          <w:color w:val="000000" w:themeColor="text1"/>
          <w:sz w:val="20"/>
          <w:lang w:val="hr-HR"/>
        </w:rPr>
        <w:t>.</w:t>
      </w:r>
      <w:r w:rsidRPr="00B91D09">
        <w:rPr>
          <w:rFonts w:cs="Arial"/>
          <w:color w:val="000000" w:themeColor="text1"/>
          <w:sz w:val="20"/>
          <w:lang w:val="hr-HR"/>
        </w:rPr>
        <w:tab/>
        <w:t>Upravljanje rizicima (nastavak)</w:t>
      </w:r>
    </w:p>
    <w:p w14:paraId="51DD8B2D" w14:textId="77777777" w:rsidR="004E2F51" w:rsidRPr="00B91D09" w:rsidRDefault="004E2F51" w:rsidP="004E2F51">
      <w:pPr>
        <w:pStyle w:val="T1"/>
        <w:spacing w:before="120" w:line="240" w:lineRule="auto"/>
        <w:rPr>
          <w:rFonts w:cs="Arial"/>
          <w:color w:val="000000" w:themeColor="text1"/>
          <w:sz w:val="20"/>
          <w:lang w:val="hr-HR"/>
        </w:rPr>
      </w:pPr>
      <w:r w:rsidRPr="00B91D09">
        <w:rPr>
          <w:rFonts w:cs="Arial"/>
          <w:color w:val="000000" w:themeColor="text1"/>
          <w:sz w:val="20"/>
          <w:lang w:val="hr-HR"/>
        </w:rPr>
        <w:t>3</w:t>
      </w:r>
      <w:r>
        <w:rPr>
          <w:rFonts w:cs="Arial"/>
          <w:color w:val="000000" w:themeColor="text1"/>
          <w:sz w:val="20"/>
          <w:lang w:val="hr-HR"/>
        </w:rPr>
        <w:t>1</w:t>
      </w:r>
      <w:r w:rsidRPr="00B91D09">
        <w:rPr>
          <w:rFonts w:cs="Arial"/>
          <w:color w:val="000000" w:themeColor="text1"/>
          <w:sz w:val="20"/>
          <w:lang w:val="hr-HR"/>
        </w:rPr>
        <w:t xml:space="preserve">.3. </w:t>
      </w:r>
      <w:r w:rsidRPr="00B91D09">
        <w:rPr>
          <w:rFonts w:cs="Arial"/>
          <w:color w:val="000000" w:themeColor="text1"/>
          <w:sz w:val="20"/>
          <w:lang w:val="hr-HR"/>
        </w:rPr>
        <w:tab/>
        <w:t>Kreditni rizik (nastavak)</w:t>
      </w:r>
    </w:p>
    <w:p w14:paraId="3B31316A" w14:textId="77777777" w:rsidR="004E2F51" w:rsidRPr="00B91D09" w:rsidRDefault="004E2F51" w:rsidP="004E2F51">
      <w:pPr>
        <w:pStyle w:val="T1"/>
        <w:spacing w:before="120" w:line="240" w:lineRule="auto"/>
        <w:rPr>
          <w:rFonts w:cs="Arial"/>
          <w:color w:val="000000" w:themeColor="text1"/>
          <w:sz w:val="20"/>
          <w:lang w:val="hr-HR"/>
        </w:rPr>
      </w:pPr>
      <w:r w:rsidRPr="00B91D09">
        <w:rPr>
          <w:rFonts w:cs="Arial"/>
          <w:color w:val="000000" w:themeColor="text1"/>
          <w:sz w:val="20"/>
          <w:lang w:val="hr-HR"/>
        </w:rPr>
        <w:t>Kvaliteta kreditnog rizika prema vrsti financijske imovine (nastavak)</w:t>
      </w:r>
    </w:p>
    <w:p w14:paraId="694170D8" w14:textId="77777777" w:rsidR="004E2F51" w:rsidRPr="00B91D09" w:rsidRDefault="004E2F51" w:rsidP="004E2F51">
      <w:pPr>
        <w:spacing w:before="120" w:after="120"/>
        <w:jc w:val="both"/>
        <w:rPr>
          <w:rFonts w:ascii="Arial" w:hAnsi="Arial" w:cs="Arial"/>
          <w:color w:val="000000" w:themeColor="text1"/>
          <w:sz w:val="20"/>
          <w:szCs w:val="20"/>
          <w:lang w:val="hr-HR"/>
        </w:rPr>
      </w:pPr>
      <w:r w:rsidRPr="00B91D09">
        <w:rPr>
          <w:rFonts w:ascii="Arial" w:hAnsi="Arial" w:cs="Arial"/>
          <w:color w:val="000000" w:themeColor="text1"/>
          <w:sz w:val="20"/>
          <w:szCs w:val="20"/>
          <w:lang w:val="hr-HR"/>
        </w:rPr>
        <w:t>Analiza kreditnog rizika, neto</w:t>
      </w:r>
      <w:r w:rsidRPr="00B91D09">
        <w:rPr>
          <w:rFonts w:ascii="Arial" w:hAnsi="Arial" w:cs="Arial"/>
          <w:color w:val="000000" w:themeColor="text1"/>
          <w:lang w:val="hr-HR"/>
        </w:rPr>
        <w:t xml:space="preserve"> </w:t>
      </w:r>
      <w:r w:rsidRPr="00B91D09">
        <w:rPr>
          <w:rFonts w:ascii="Arial" w:hAnsi="Arial" w:cs="Arial"/>
          <w:color w:val="000000" w:themeColor="text1"/>
          <w:sz w:val="20"/>
          <w:szCs w:val="20"/>
          <w:lang w:val="hr-HR"/>
        </w:rPr>
        <w:t>izloženost, prije i nakon uzimanja u obzir primljenih instrumenata osiguranja, prema vrsti financijske imovine na pozicijama imovine i garancija i preuzetih obveza prema rizičnim skupinama (nastavak):</w:t>
      </w:r>
    </w:p>
    <w:p w14:paraId="0E92F74C" w14:textId="77777777" w:rsidR="004E2F51" w:rsidRPr="00B91D09" w:rsidRDefault="004E2F51" w:rsidP="004E2F51">
      <w:pPr>
        <w:pStyle w:val="T1"/>
        <w:spacing w:before="0" w:after="0" w:line="240" w:lineRule="auto"/>
        <w:rPr>
          <w:rFonts w:cs="Arial"/>
          <w:color w:val="000000" w:themeColor="text1"/>
          <w:sz w:val="22"/>
          <w:szCs w:val="22"/>
          <w:lang w:val="hr-HR"/>
        </w:rPr>
      </w:pPr>
    </w:p>
    <w:p w14:paraId="3725D682" w14:textId="77777777" w:rsidR="004E2F51" w:rsidRPr="00B91D09" w:rsidRDefault="004E2F51" w:rsidP="004E2F51">
      <w:pPr>
        <w:pStyle w:val="T1"/>
        <w:spacing w:before="0" w:after="0" w:line="240" w:lineRule="auto"/>
        <w:rPr>
          <w:rFonts w:cs="Arial"/>
          <w:color w:val="000000" w:themeColor="text1"/>
          <w:sz w:val="22"/>
          <w:szCs w:val="22"/>
          <w:lang w:val="hr-HR"/>
        </w:rPr>
      </w:pPr>
    </w:p>
    <w:tbl>
      <w:tblPr>
        <w:tblW w:w="5240" w:type="pct"/>
        <w:jc w:val="center"/>
        <w:tblLayout w:type="fixed"/>
        <w:tblLook w:val="0000" w:firstRow="0" w:lastRow="0" w:firstColumn="0" w:lastColumn="0" w:noHBand="0" w:noVBand="0"/>
      </w:tblPr>
      <w:tblGrid>
        <w:gridCol w:w="2741"/>
        <w:gridCol w:w="956"/>
        <w:gridCol w:w="932"/>
        <w:gridCol w:w="940"/>
        <w:gridCol w:w="937"/>
        <w:gridCol w:w="1021"/>
        <w:gridCol w:w="937"/>
        <w:gridCol w:w="1084"/>
        <w:gridCol w:w="1084"/>
        <w:gridCol w:w="1084"/>
        <w:gridCol w:w="1084"/>
        <w:gridCol w:w="1135"/>
        <w:gridCol w:w="1039"/>
      </w:tblGrid>
      <w:tr w:rsidR="004E2F51" w:rsidRPr="0002282A" w14:paraId="7520BDBA" w14:textId="77777777" w:rsidTr="00E032FC">
        <w:trPr>
          <w:trHeight w:val="453"/>
          <w:jc w:val="center"/>
        </w:trPr>
        <w:tc>
          <w:tcPr>
            <w:tcW w:w="915" w:type="pct"/>
          </w:tcPr>
          <w:p w14:paraId="41A30009" w14:textId="77777777" w:rsidR="004E2F51" w:rsidRPr="00882573" w:rsidRDefault="004E2F51" w:rsidP="00E032FC">
            <w:pPr>
              <w:rPr>
                <w:rFonts w:ascii="Arial" w:eastAsia="Calibri" w:hAnsi="Arial" w:cs="Arial"/>
                <w:b/>
                <w:bCs/>
                <w:color w:val="000000" w:themeColor="text1"/>
                <w:sz w:val="14"/>
                <w:szCs w:val="14"/>
                <w:lang w:val="hr-HR"/>
              </w:rPr>
            </w:pPr>
            <w:r w:rsidRPr="00882573">
              <w:rPr>
                <w:rFonts w:ascii="Arial" w:eastAsia="Calibri" w:hAnsi="Arial" w:cs="Arial"/>
                <w:b/>
                <w:bCs/>
                <w:color w:val="000000" w:themeColor="text1"/>
                <w:sz w:val="14"/>
                <w:szCs w:val="14"/>
                <w:lang w:val="hr-HR"/>
              </w:rPr>
              <w:br w:type="page"/>
              <w:t xml:space="preserve">Banka </w:t>
            </w:r>
          </w:p>
          <w:p w14:paraId="254525B3" w14:textId="77777777" w:rsidR="004E2F51" w:rsidRPr="00882573" w:rsidRDefault="004E2F51" w:rsidP="00E032FC">
            <w:pPr>
              <w:rPr>
                <w:rFonts w:ascii="Arial" w:eastAsia="Calibri" w:hAnsi="Arial" w:cs="Arial"/>
                <w:b/>
                <w:bCs/>
                <w:color w:val="000000" w:themeColor="text1"/>
                <w:sz w:val="14"/>
                <w:szCs w:val="14"/>
                <w:lang w:val="hr-HR"/>
              </w:rPr>
            </w:pPr>
          </w:p>
          <w:p w14:paraId="68C401FE" w14:textId="77777777" w:rsidR="004E2F51" w:rsidRPr="00882573" w:rsidRDefault="004E2F51" w:rsidP="00E032FC">
            <w:pPr>
              <w:rPr>
                <w:rFonts w:ascii="Arial" w:eastAsia="Calibri" w:hAnsi="Arial" w:cs="Arial"/>
                <w:color w:val="000000" w:themeColor="text1"/>
                <w:sz w:val="14"/>
                <w:szCs w:val="14"/>
                <w:lang w:val="hr-HR"/>
              </w:rPr>
            </w:pPr>
            <w:r w:rsidRPr="00882573">
              <w:rPr>
                <w:rFonts w:ascii="Arial" w:eastAsia="Calibri" w:hAnsi="Arial" w:cs="Arial"/>
                <w:b/>
                <w:bCs/>
                <w:color w:val="000000" w:themeColor="text1"/>
                <w:sz w:val="14"/>
                <w:szCs w:val="14"/>
                <w:lang w:val="hr-HR"/>
              </w:rPr>
              <w:t xml:space="preserve">31. prosinca 2021. </w:t>
            </w:r>
          </w:p>
        </w:tc>
        <w:tc>
          <w:tcPr>
            <w:tcW w:w="319" w:type="pct"/>
            <w:vAlign w:val="bottom"/>
          </w:tcPr>
          <w:p w14:paraId="428D4F6E"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portfelja - stupanj 1</w:t>
            </w:r>
          </w:p>
        </w:tc>
        <w:tc>
          <w:tcPr>
            <w:tcW w:w="311" w:type="pct"/>
            <w:vAlign w:val="bottom"/>
          </w:tcPr>
          <w:p w14:paraId="422D06DA"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portfelja - stupanj 2</w:t>
            </w:r>
          </w:p>
        </w:tc>
        <w:tc>
          <w:tcPr>
            <w:tcW w:w="314" w:type="pct"/>
            <w:vAlign w:val="bottom"/>
          </w:tcPr>
          <w:p w14:paraId="546CB582"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portfelja - stupanj 3</w:t>
            </w:r>
          </w:p>
        </w:tc>
        <w:tc>
          <w:tcPr>
            <w:tcW w:w="313" w:type="pct"/>
            <w:vAlign w:val="bottom"/>
          </w:tcPr>
          <w:p w14:paraId="697C0DAC"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portfelja rizične skupine POCI</w:t>
            </w:r>
          </w:p>
        </w:tc>
        <w:tc>
          <w:tcPr>
            <w:tcW w:w="341" w:type="pct"/>
            <w:vAlign w:val="bottom"/>
          </w:tcPr>
          <w:p w14:paraId="57256A55"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eastAsia="Calibri" w:hAnsi="Arial" w:cs="Arial"/>
                <w:b/>
                <w:color w:val="000000" w:themeColor="text1"/>
                <w:sz w:val="14"/>
                <w:szCs w:val="14"/>
                <w:lang w:val="hr-HR"/>
              </w:rPr>
              <w:t>Financijska imovina koja se ne raspoređuje u rizične skupine po MSFI-ju 9</w:t>
            </w:r>
          </w:p>
        </w:tc>
        <w:tc>
          <w:tcPr>
            <w:tcW w:w="313" w:type="pct"/>
            <w:vAlign w:val="bottom"/>
          </w:tcPr>
          <w:p w14:paraId="516D1977"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ukupnog portfelja</w:t>
            </w:r>
          </w:p>
        </w:tc>
        <w:tc>
          <w:tcPr>
            <w:tcW w:w="362" w:type="pct"/>
            <w:vAlign w:val="bottom"/>
          </w:tcPr>
          <w:p w14:paraId="6176DB38"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portfelja nakon umanjenja za instrumente osiguranja- stupanj 1</w:t>
            </w:r>
          </w:p>
        </w:tc>
        <w:tc>
          <w:tcPr>
            <w:tcW w:w="362" w:type="pct"/>
            <w:vAlign w:val="bottom"/>
          </w:tcPr>
          <w:p w14:paraId="27C4F040"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portfelja nakon umanjenja za instrumente osiguranja- stupanj 2</w:t>
            </w:r>
          </w:p>
        </w:tc>
        <w:tc>
          <w:tcPr>
            <w:tcW w:w="362" w:type="pct"/>
            <w:vAlign w:val="bottom"/>
          </w:tcPr>
          <w:p w14:paraId="49419939"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portfelja nakon umanjenja za instrumente osiguranja- stupanj 3</w:t>
            </w:r>
          </w:p>
        </w:tc>
        <w:tc>
          <w:tcPr>
            <w:tcW w:w="362" w:type="pct"/>
            <w:vAlign w:val="bottom"/>
          </w:tcPr>
          <w:p w14:paraId="749FEE9B"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portfelja nakon umanjenja za instrumente osiguranja- rizične skupine POCI</w:t>
            </w:r>
          </w:p>
        </w:tc>
        <w:tc>
          <w:tcPr>
            <w:tcW w:w="379" w:type="pct"/>
            <w:vAlign w:val="bottom"/>
          </w:tcPr>
          <w:p w14:paraId="3691946A"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Financijska imovina  koja se ne raspoređuje u rizične skupine po MSFI-ju 9 nakon umanjenja za instrumente osiguranja</w:t>
            </w:r>
          </w:p>
        </w:tc>
        <w:tc>
          <w:tcPr>
            <w:tcW w:w="349" w:type="pct"/>
            <w:vAlign w:val="bottom"/>
          </w:tcPr>
          <w:p w14:paraId="09F773C3"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Neto izloženost ukupnog portfelja nakon umanjenja za instrumente osiguranja</w:t>
            </w:r>
          </w:p>
        </w:tc>
      </w:tr>
      <w:tr w:rsidR="004E2F51" w:rsidRPr="00882573" w14:paraId="0B41F01A" w14:textId="77777777" w:rsidTr="00E032FC">
        <w:trPr>
          <w:trHeight w:val="167"/>
          <w:jc w:val="center"/>
        </w:trPr>
        <w:tc>
          <w:tcPr>
            <w:tcW w:w="915" w:type="pct"/>
          </w:tcPr>
          <w:p w14:paraId="041B8A20" w14:textId="77777777" w:rsidR="004E2F51" w:rsidRPr="00882573" w:rsidRDefault="004E2F51" w:rsidP="00E032FC">
            <w:pPr>
              <w:rPr>
                <w:rFonts w:ascii="Arial" w:eastAsia="Calibri" w:hAnsi="Arial" w:cs="Arial"/>
                <w:b/>
                <w:bCs/>
                <w:color w:val="000000" w:themeColor="text1"/>
                <w:sz w:val="14"/>
                <w:szCs w:val="14"/>
                <w:lang w:val="hr-HR"/>
              </w:rPr>
            </w:pPr>
          </w:p>
        </w:tc>
        <w:tc>
          <w:tcPr>
            <w:tcW w:w="319" w:type="pct"/>
          </w:tcPr>
          <w:p w14:paraId="2F8EA35A"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11" w:type="pct"/>
          </w:tcPr>
          <w:p w14:paraId="0E1D703E"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14" w:type="pct"/>
          </w:tcPr>
          <w:p w14:paraId="1A67A503"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13" w:type="pct"/>
          </w:tcPr>
          <w:p w14:paraId="15321732"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41" w:type="pct"/>
          </w:tcPr>
          <w:p w14:paraId="3DB087FF"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13" w:type="pct"/>
          </w:tcPr>
          <w:p w14:paraId="385E0945"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62" w:type="pct"/>
          </w:tcPr>
          <w:p w14:paraId="0A96686C"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62" w:type="pct"/>
          </w:tcPr>
          <w:p w14:paraId="4730AE3B"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62" w:type="pct"/>
          </w:tcPr>
          <w:p w14:paraId="3198F3B6"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62" w:type="pct"/>
          </w:tcPr>
          <w:p w14:paraId="53CA64A2"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79" w:type="pct"/>
          </w:tcPr>
          <w:p w14:paraId="16837AB0"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c>
          <w:tcPr>
            <w:tcW w:w="349" w:type="pct"/>
          </w:tcPr>
          <w:p w14:paraId="4D0671A0" w14:textId="77777777" w:rsidR="004E2F51" w:rsidRPr="00882573" w:rsidRDefault="004E2F51" w:rsidP="00E032FC">
            <w:pPr>
              <w:jc w:val="right"/>
              <w:rPr>
                <w:rFonts w:ascii="Arial" w:eastAsia="Calibri" w:hAnsi="Arial" w:cs="Arial"/>
                <w:b/>
                <w:color w:val="000000" w:themeColor="text1"/>
                <w:sz w:val="14"/>
                <w:szCs w:val="14"/>
                <w:lang w:val="hr-HR"/>
              </w:rPr>
            </w:pPr>
            <w:r w:rsidRPr="00882573">
              <w:rPr>
                <w:rFonts w:ascii="Arial" w:eastAsia="Calibri" w:hAnsi="Arial" w:cs="Arial"/>
                <w:b/>
                <w:color w:val="000000" w:themeColor="text1"/>
                <w:sz w:val="14"/>
                <w:szCs w:val="14"/>
                <w:lang w:val="hr-HR"/>
              </w:rPr>
              <w:t>000 kuna</w:t>
            </w:r>
          </w:p>
        </w:tc>
      </w:tr>
      <w:tr w:rsidR="004E2F51" w:rsidRPr="00882573" w14:paraId="2DFA5ACB" w14:textId="77777777" w:rsidTr="00E032FC">
        <w:trPr>
          <w:trHeight w:val="150"/>
          <w:jc w:val="center"/>
        </w:trPr>
        <w:tc>
          <w:tcPr>
            <w:tcW w:w="915" w:type="pct"/>
          </w:tcPr>
          <w:p w14:paraId="7BA4DB46" w14:textId="77777777" w:rsidR="004E2F51" w:rsidRPr="00882573" w:rsidRDefault="004E2F51" w:rsidP="00E032FC">
            <w:pPr>
              <w:tabs>
                <w:tab w:val="right" w:pos="1202"/>
              </w:tabs>
              <w:spacing w:line="301" w:lineRule="exact"/>
              <w:outlineLvl w:val="0"/>
              <w:rPr>
                <w:rFonts w:ascii="Arial" w:eastAsia="Calibri" w:hAnsi="Arial" w:cs="Arial"/>
                <w:b/>
                <w:bCs/>
                <w:color w:val="000000" w:themeColor="text1"/>
                <w:sz w:val="14"/>
                <w:szCs w:val="14"/>
                <w:lang w:val="hr-HR"/>
              </w:rPr>
            </w:pPr>
            <w:r w:rsidRPr="00882573">
              <w:rPr>
                <w:rFonts w:ascii="Arial" w:eastAsia="Calibri" w:hAnsi="Arial" w:cs="Arial"/>
                <w:b/>
                <w:bCs/>
                <w:color w:val="000000" w:themeColor="text1"/>
                <w:sz w:val="14"/>
                <w:szCs w:val="14"/>
                <w:lang w:val="hr-HR"/>
              </w:rPr>
              <w:t>Imovina</w:t>
            </w:r>
          </w:p>
        </w:tc>
        <w:tc>
          <w:tcPr>
            <w:tcW w:w="319" w:type="pct"/>
            <w:vAlign w:val="bottom"/>
          </w:tcPr>
          <w:p w14:paraId="7E7D17B8"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11" w:type="pct"/>
            <w:vAlign w:val="bottom"/>
          </w:tcPr>
          <w:p w14:paraId="2003E176"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14" w:type="pct"/>
            <w:vAlign w:val="bottom"/>
          </w:tcPr>
          <w:p w14:paraId="4FED29D5"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13" w:type="pct"/>
            <w:vAlign w:val="bottom"/>
          </w:tcPr>
          <w:p w14:paraId="586AB289"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41" w:type="pct"/>
            <w:vAlign w:val="bottom"/>
          </w:tcPr>
          <w:p w14:paraId="105009AA"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13" w:type="pct"/>
            <w:vAlign w:val="bottom"/>
          </w:tcPr>
          <w:p w14:paraId="698F74B4"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62" w:type="pct"/>
            <w:vAlign w:val="bottom"/>
          </w:tcPr>
          <w:p w14:paraId="3F7D1534"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62" w:type="pct"/>
            <w:vAlign w:val="bottom"/>
          </w:tcPr>
          <w:p w14:paraId="3CA33060"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62" w:type="pct"/>
            <w:vAlign w:val="bottom"/>
          </w:tcPr>
          <w:p w14:paraId="5B83AD76"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62" w:type="pct"/>
            <w:vAlign w:val="bottom"/>
          </w:tcPr>
          <w:p w14:paraId="65A278DB"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79" w:type="pct"/>
            <w:vAlign w:val="bottom"/>
          </w:tcPr>
          <w:p w14:paraId="25036677"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c>
          <w:tcPr>
            <w:tcW w:w="349" w:type="pct"/>
            <w:vAlign w:val="bottom"/>
          </w:tcPr>
          <w:p w14:paraId="0E7EB535"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p>
        </w:tc>
      </w:tr>
      <w:tr w:rsidR="004E2F51" w:rsidRPr="00882573" w14:paraId="2CBAECD6" w14:textId="77777777" w:rsidTr="00E032FC">
        <w:trPr>
          <w:trHeight w:val="180"/>
          <w:jc w:val="center"/>
        </w:trPr>
        <w:tc>
          <w:tcPr>
            <w:tcW w:w="915" w:type="pct"/>
            <w:vAlign w:val="bottom"/>
          </w:tcPr>
          <w:p w14:paraId="7879DB7C" w14:textId="77777777" w:rsidR="004E2F51" w:rsidRPr="00882573" w:rsidRDefault="004E2F51" w:rsidP="00E032FC">
            <w:pPr>
              <w:tabs>
                <w:tab w:val="right" w:pos="1202"/>
              </w:tabs>
              <w:outlineLvl w:val="0"/>
              <w:rPr>
                <w:rFonts w:ascii="Arial" w:eastAsia="Calibri" w:hAnsi="Arial" w:cs="Arial"/>
                <w:color w:val="000000" w:themeColor="text1"/>
                <w:sz w:val="14"/>
                <w:szCs w:val="14"/>
                <w:lang w:val="hr-HR"/>
              </w:rPr>
            </w:pPr>
            <w:r w:rsidRPr="00882573">
              <w:rPr>
                <w:rFonts w:ascii="Arial" w:eastAsia="Calibri" w:hAnsi="Arial" w:cs="Arial"/>
                <w:color w:val="000000" w:themeColor="text1"/>
                <w:sz w:val="14"/>
                <w:szCs w:val="14"/>
                <w:lang w:val="hr-HR"/>
              </w:rPr>
              <w:t>Novčana sredstva i računi kod banaka</w:t>
            </w:r>
          </w:p>
        </w:tc>
        <w:tc>
          <w:tcPr>
            <w:tcW w:w="319" w:type="pct"/>
            <w:tcBorders>
              <w:top w:val="nil"/>
              <w:left w:val="nil"/>
              <w:bottom w:val="nil"/>
              <w:right w:val="nil"/>
            </w:tcBorders>
            <w:shd w:val="clear" w:color="auto" w:fill="auto"/>
            <w:vAlign w:val="bottom"/>
          </w:tcPr>
          <w:p w14:paraId="75E617A9"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882573">
              <w:rPr>
                <w:rFonts w:ascii="Arial" w:hAnsi="Arial" w:cs="Arial"/>
                <w:sz w:val="14"/>
                <w:szCs w:val="14"/>
              </w:rPr>
              <w:t xml:space="preserve"> 1.958.619 </w:t>
            </w:r>
          </w:p>
        </w:tc>
        <w:tc>
          <w:tcPr>
            <w:tcW w:w="311" w:type="pct"/>
            <w:tcBorders>
              <w:top w:val="nil"/>
              <w:left w:val="nil"/>
              <w:bottom w:val="nil"/>
              <w:right w:val="nil"/>
            </w:tcBorders>
            <w:shd w:val="clear" w:color="auto" w:fill="auto"/>
            <w:vAlign w:val="bottom"/>
          </w:tcPr>
          <w:p w14:paraId="172692BA"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14" w:type="pct"/>
            <w:tcBorders>
              <w:top w:val="nil"/>
              <w:left w:val="nil"/>
              <w:bottom w:val="nil"/>
              <w:right w:val="nil"/>
            </w:tcBorders>
            <w:shd w:val="clear" w:color="auto" w:fill="auto"/>
            <w:vAlign w:val="bottom"/>
          </w:tcPr>
          <w:p w14:paraId="3DD7A570"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14F2988D"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41" w:type="pct"/>
            <w:tcBorders>
              <w:top w:val="nil"/>
              <w:left w:val="nil"/>
              <w:bottom w:val="nil"/>
              <w:right w:val="nil"/>
            </w:tcBorders>
            <w:shd w:val="clear" w:color="auto" w:fill="auto"/>
            <w:vAlign w:val="bottom"/>
          </w:tcPr>
          <w:p w14:paraId="39D30B0D"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705BC38B"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882573">
              <w:rPr>
                <w:rFonts w:ascii="Arial" w:hAnsi="Arial" w:cs="Arial"/>
                <w:sz w:val="14"/>
                <w:szCs w:val="14"/>
              </w:rPr>
              <w:t xml:space="preserve"> 1.958.619 </w:t>
            </w:r>
          </w:p>
        </w:tc>
        <w:tc>
          <w:tcPr>
            <w:tcW w:w="362" w:type="pct"/>
            <w:tcBorders>
              <w:top w:val="nil"/>
              <w:left w:val="nil"/>
              <w:bottom w:val="nil"/>
              <w:right w:val="nil"/>
            </w:tcBorders>
            <w:vAlign w:val="bottom"/>
          </w:tcPr>
          <w:p w14:paraId="0B6992D3"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62" w:type="pct"/>
            <w:tcBorders>
              <w:top w:val="nil"/>
              <w:left w:val="nil"/>
              <w:bottom w:val="nil"/>
              <w:right w:val="nil"/>
            </w:tcBorders>
            <w:vAlign w:val="bottom"/>
          </w:tcPr>
          <w:p w14:paraId="6C326EB5"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62" w:type="pct"/>
            <w:tcBorders>
              <w:top w:val="nil"/>
              <w:left w:val="nil"/>
              <w:bottom w:val="nil"/>
              <w:right w:val="nil"/>
            </w:tcBorders>
            <w:vAlign w:val="bottom"/>
          </w:tcPr>
          <w:p w14:paraId="65CE0F96"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62" w:type="pct"/>
            <w:tcBorders>
              <w:top w:val="nil"/>
              <w:left w:val="nil"/>
              <w:bottom w:val="nil"/>
              <w:right w:val="nil"/>
            </w:tcBorders>
            <w:vAlign w:val="bottom"/>
          </w:tcPr>
          <w:p w14:paraId="2D38D4D2"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79" w:type="pct"/>
            <w:tcBorders>
              <w:top w:val="nil"/>
              <w:left w:val="nil"/>
              <w:bottom w:val="nil"/>
              <w:right w:val="nil"/>
            </w:tcBorders>
            <w:vAlign w:val="bottom"/>
          </w:tcPr>
          <w:p w14:paraId="78494245"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49" w:type="pct"/>
            <w:tcBorders>
              <w:top w:val="nil"/>
              <w:left w:val="nil"/>
              <w:bottom w:val="nil"/>
              <w:right w:val="nil"/>
            </w:tcBorders>
            <w:vAlign w:val="bottom"/>
          </w:tcPr>
          <w:p w14:paraId="2D8043EF" w14:textId="77777777" w:rsidR="004E2F51" w:rsidRPr="00882573" w:rsidRDefault="004E2F51" w:rsidP="00E032FC">
            <w:pPr>
              <w:tabs>
                <w:tab w:val="right" w:pos="1202"/>
              </w:tabs>
              <w:jc w:val="right"/>
              <w:outlineLvl w:val="0"/>
              <w:rPr>
                <w:rFonts w:ascii="Arial" w:eastAsia="Calibri" w:hAnsi="Arial" w:cs="Arial"/>
                <w:color w:val="000000" w:themeColor="text1"/>
                <w:sz w:val="14"/>
                <w:szCs w:val="14"/>
                <w:lang w:val="hr-HR"/>
              </w:rPr>
            </w:pPr>
            <w:r w:rsidRPr="00882573">
              <w:rPr>
                <w:rFonts w:ascii="Arial" w:hAnsi="Arial" w:cs="Arial"/>
                <w:sz w:val="14"/>
                <w:szCs w:val="14"/>
              </w:rPr>
              <w:t xml:space="preserve"> - </w:t>
            </w:r>
          </w:p>
        </w:tc>
      </w:tr>
      <w:tr w:rsidR="004E2F51" w:rsidRPr="00882573" w14:paraId="5AD8D9E0" w14:textId="77777777" w:rsidTr="00E032FC">
        <w:trPr>
          <w:trHeight w:val="197"/>
          <w:jc w:val="center"/>
        </w:trPr>
        <w:tc>
          <w:tcPr>
            <w:tcW w:w="915" w:type="pct"/>
            <w:vAlign w:val="bottom"/>
          </w:tcPr>
          <w:p w14:paraId="1A1C8C63" w14:textId="77777777" w:rsidR="004E2F51" w:rsidRPr="00882573" w:rsidRDefault="004E2F51" w:rsidP="00E032FC">
            <w:pPr>
              <w:tabs>
                <w:tab w:val="right" w:pos="1202"/>
              </w:tabs>
              <w:outlineLvl w:val="0"/>
              <w:rPr>
                <w:rFonts w:ascii="Arial" w:eastAsia="Calibri" w:hAnsi="Arial" w:cs="Arial"/>
                <w:color w:val="000000" w:themeColor="text1"/>
                <w:sz w:val="14"/>
                <w:szCs w:val="14"/>
                <w:lang w:val="hr-HR"/>
              </w:rPr>
            </w:pPr>
            <w:r w:rsidRPr="00882573">
              <w:rPr>
                <w:rFonts w:ascii="Arial" w:eastAsia="Calibri" w:hAnsi="Arial" w:cs="Arial"/>
                <w:color w:val="000000" w:themeColor="text1"/>
                <w:sz w:val="14"/>
                <w:szCs w:val="14"/>
                <w:lang w:val="hr-HR"/>
              </w:rPr>
              <w:t>Depoziti kod drugih banaka</w:t>
            </w:r>
          </w:p>
        </w:tc>
        <w:tc>
          <w:tcPr>
            <w:tcW w:w="319" w:type="pct"/>
            <w:tcBorders>
              <w:top w:val="nil"/>
              <w:left w:val="nil"/>
              <w:bottom w:val="nil"/>
              <w:right w:val="nil"/>
            </w:tcBorders>
            <w:shd w:val="clear" w:color="auto" w:fill="auto"/>
            <w:vAlign w:val="bottom"/>
          </w:tcPr>
          <w:p w14:paraId="54425FBF"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7.500 </w:t>
            </w:r>
          </w:p>
        </w:tc>
        <w:tc>
          <w:tcPr>
            <w:tcW w:w="311" w:type="pct"/>
            <w:tcBorders>
              <w:top w:val="nil"/>
              <w:left w:val="nil"/>
              <w:bottom w:val="nil"/>
              <w:right w:val="nil"/>
            </w:tcBorders>
            <w:shd w:val="clear" w:color="auto" w:fill="auto"/>
            <w:vAlign w:val="bottom"/>
          </w:tcPr>
          <w:p w14:paraId="115FFB8E"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14" w:type="pct"/>
            <w:tcBorders>
              <w:top w:val="nil"/>
              <w:left w:val="nil"/>
              <w:bottom w:val="nil"/>
              <w:right w:val="nil"/>
            </w:tcBorders>
            <w:shd w:val="clear" w:color="auto" w:fill="auto"/>
            <w:vAlign w:val="bottom"/>
          </w:tcPr>
          <w:p w14:paraId="2A422FE8"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4834AF66"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41" w:type="pct"/>
            <w:tcBorders>
              <w:top w:val="nil"/>
              <w:left w:val="nil"/>
              <w:bottom w:val="nil"/>
              <w:right w:val="nil"/>
            </w:tcBorders>
            <w:shd w:val="clear" w:color="auto" w:fill="auto"/>
            <w:vAlign w:val="bottom"/>
          </w:tcPr>
          <w:p w14:paraId="2839A6E9"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46C4FDBA"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7.500 </w:t>
            </w:r>
          </w:p>
        </w:tc>
        <w:tc>
          <w:tcPr>
            <w:tcW w:w="362" w:type="pct"/>
            <w:tcBorders>
              <w:top w:val="nil"/>
              <w:left w:val="nil"/>
              <w:bottom w:val="nil"/>
              <w:right w:val="nil"/>
            </w:tcBorders>
            <w:vAlign w:val="bottom"/>
          </w:tcPr>
          <w:p w14:paraId="0E46B48C"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62" w:type="pct"/>
            <w:tcBorders>
              <w:top w:val="nil"/>
              <w:left w:val="nil"/>
              <w:bottom w:val="nil"/>
              <w:right w:val="nil"/>
            </w:tcBorders>
            <w:vAlign w:val="bottom"/>
          </w:tcPr>
          <w:p w14:paraId="49890885"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62" w:type="pct"/>
            <w:tcBorders>
              <w:top w:val="nil"/>
              <w:left w:val="nil"/>
              <w:bottom w:val="nil"/>
              <w:right w:val="nil"/>
            </w:tcBorders>
            <w:vAlign w:val="bottom"/>
          </w:tcPr>
          <w:p w14:paraId="2918AFDC"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62" w:type="pct"/>
            <w:tcBorders>
              <w:top w:val="nil"/>
              <w:left w:val="nil"/>
              <w:bottom w:val="nil"/>
              <w:right w:val="nil"/>
            </w:tcBorders>
            <w:vAlign w:val="bottom"/>
          </w:tcPr>
          <w:p w14:paraId="331F40B9"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79" w:type="pct"/>
            <w:tcBorders>
              <w:top w:val="nil"/>
              <w:left w:val="nil"/>
              <w:bottom w:val="nil"/>
              <w:right w:val="nil"/>
            </w:tcBorders>
            <w:vAlign w:val="bottom"/>
          </w:tcPr>
          <w:p w14:paraId="5102BCB7"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49" w:type="pct"/>
            <w:tcBorders>
              <w:top w:val="nil"/>
              <w:left w:val="nil"/>
              <w:bottom w:val="nil"/>
              <w:right w:val="nil"/>
            </w:tcBorders>
            <w:vAlign w:val="bottom"/>
          </w:tcPr>
          <w:p w14:paraId="710EAB91"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r>
      <w:tr w:rsidR="004E2F51" w:rsidRPr="00882573" w14:paraId="45629ED4" w14:textId="77777777" w:rsidTr="00E032FC">
        <w:trPr>
          <w:trHeight w:val="197"/>
          <w:jc w:val="center"/>
        </w:trPr>
        <w:tc>
          <w:tcPr>
            <w:tcW w:w="915" w:type="pct"/>
            <w:vAlign w:val="bottom"/>
          </w:tcPr>
          <w:p w14:paraId="4C2B5E7C" w14:textId="77777777" w:rsidR="004E2F51" w:rsidRPr="00882573" w:rsidRDefault="004E2F51" w:rsidP="00E032FC">
            <w:pPr>
              <w:tabs>
                <w:tab w:val="right" w:pos="1202"/>
              </w:tabs>
              <w:outlineLvl w:val="0"/>
              <w:rPr>
                <w:rFonts w:ascii="Arial" w:eastAsia="Calibri" w:hAnsi="Arial" w:cs="Arial"/>
                <w:color w:val="000000" w:themeColor="text1"/>
                <w:sz w:val="14"/>
                <w:szCs w:val="14"/>
                <w:lang w:val="hr-HR"/>
              </w:rPr>
            </w:pPr>
            <w:r w:rsidRPr="00882573">
              <w:rPr>
                <w:rFonts w:ascii="Arial" w:eastAsia="Calibri" w:hAnsi="Arial" w:cs="Arial"/>
                <w:color w:val="000000" w:themeColor="text1"/>
                <w:sz w:val="14"/>
                <w:szCs w:val="14"/>
                <w:lang w:val="hr-HR"/>
              </w:rPr>
              <w:t>Krediti financijskim institucijama</w:t>
            </w:r>
          </w:p>
        </w:tc>
        <w:tc>
          <w:tcPr>
            <w:tcW w:w="319" w:type="pct"/>
            <w:tcBorders>
              <w:top w:val="nil"/>
              <w:left w:val="nil"/>
              <w:bottom w:val="nil"/>
              <w:right w:val="nil"/>
            </w:tcBorders>
            <w:shd w:val="clear" w:color="auto" w:fill="auto"/>
            <w:vAlign w:val="bottom"/>
          </w:tcPr>
          <w:p w14:paraId="36D49B68"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6.865.821 </w:t>
            </w:r>
          </w:p>
        </w:tc>
        <w:tc>
          <w:tcPr>
            <w:tcW w:w="311" w:type="pct"/>
            <w:tcBorders>
              <w:top w:val="nil"/>
              <w:left w:val="nil"/>
              <w:bottom w:val="nil"/>
              <w:right w:val="nil"/>
            </w:tcBorders>
            <w:shd w:val="clear" w:color="auto" w:fill="auto"/>
            <w:vAlign w:val="bottom"/>
          </w:tcPr>
          <w:p w14:paraId="155AAEE3"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180.760 </w:t>
            </w:r>
          </w:p>
        </w:tc>
        <w:tc>
          <w:tcPr>
            <w:tcW w:w="314" w:type="pct"/>
            <w:tcBorders>
              <w:top w:val="nil"/>
              <w:left w:val="nil"/>
              <w:bottom w:val="nil"/>
              <w:right w:val="nil"/>
            </w:tcBorders>
            <w:shd w:val="clear" w:color="auto" w:fill="auto"/>
            <w:vAlign w:val="bottom"/>
          </w:tcPr>
          <w:p w14:paraId="52F40697"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3.562 </w:t>
            </w:r>
          </w:p>
        </w:tc>
        <w:tc>
          <w:tcPr>
            <w:tcW w:w="313" w:type="pct"/>
            <w:tcBorders>
              <w:top w:val="nil"/>
              <w:left w:val="nil"/>
              <w:bottom w:val="nil"/>
              <w:right w:val="nil"/>
            </w:tcBorders>
            <w:shd w:val="clear" w:color="auto" w:fill="auto"/>
            <w:vAlign w:val="bottom"/>
          </w:tcPr>
          <w:p w14:paraId="76ADBDAC"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41" w:type="pct"/>
            <w:tcBorders>
              <w:top w:val="nil"/>
              <w:left w:val="nil"/>
              <w:bottom w:val="nil"/>
              <w:right w:val="nil"/>
            </w:tcBorders>
            <w:shd w:val="clear" w:color="auto" w:fill="auto"/>
            <w:vAlign w:val="bottom"/>
          </w:tcPr>
          <w:p w14:paraId="02526221"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2D8B3C2B"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7.050.143 </w:t>
            </w:r>
          </w:p>
        </w:tc>
        <w:tc>
          <w:tcPr>
            <w:tcW w:w="362" w:type="pct"/>
            <w:tcBorders>
              <w:top w:val="nil"/>
              <w:left w:val="nil"/>
              <w:bottom w:val="nil"/>
              <w:right w:val="nil"/>
            </w:tcBorders>
            <w:vAlign w:val="bottom"/>
          </w:tcPr>
          <w:p w14:paraId="51900F98"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62" w:type="pct"/>
            <w:tcBorders>
              <w:top w:val="nil"/>
              <w:left w:val="nil"/>
              <w:bottom w:val="nil"/>
              <w:right w:val="nil"/>
            </w:tcBorders>
            <w:vAlign w:val="bottom"/>
          </w:tcPr>
          <w:p w14:paraId="1EB32020"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62" w:type="pct"/>
            <w:tcBorders>
              <w:top w:val="nil"/>
              <w:left w:val="nil"/>
              <w:bottom w:val="nil"/>
              <w:right w:val="nil"/>
            </w:tcBorders>
            <w:vAlign w:val="bottom"/>
          </w:tcPr>
          <w:p w14:paraId="58E4204C"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62" w:type="pct"/>
            <w:tcBorders>
              <w:top w:val="nil"/>
              <w:left w:val="nil"/>
              <w:bottom w:val="nil"/>
              <w:right w:val="nil"/>
            </w:tcBorders>
            <w:vAlign w:val="bottom"/>
          </w:tcPr>
          <w:p w14:paraId="42B7F80C"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79" w:type="pct"/>
            <w:tcBorders>
              <w:top w:val="nil"/>
              <w:left w:val="nil"/>
              <w:bottom w:val="nil"/>
              <w:right w:val="nil"/>
            </w:tcBorders>
            <w:vAlign w:val="bottom"/>
          </w:tcPr>
          <w:p w14:paraId="26B3C88A"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49" w:type="pct"/>
            <w:tcBorders>
              <w:top w:val="nil"/>
              <w:left w:val="nil"/>
              <w:bottom w:val="nil"/>
              <w:right w:val="nil"/>
            </w:tcBorders>
            <w:vAlign w:val="bottom"/>
          </w:tcPr>
          <w:p w14:paraId="5A212A5A"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r>
      <w:tr w:rsidR="004E2F51" w:rsidRPr="00882573" w14:paraId="3E420583" w14:textId="77777777" w:rsidTr="00E032FC">
        <w:trPr>
          <w:trHeight w:val="197"/>
          <w:jc w:val="center"/>
        </w:trPr>
        <w:tc>
          <w:tcPr>
            <w:tcW w:w="915" w:type="pct"/>
            <w:vAlign w:val="bottom"/>
          </w:tcPr>
          <w:p w14:paraId="73740693" w14:textId="77777777" w:rsidR="004E2F51" w:rsidRPr="00882573" w:rsidRDefault="004E2F51" w:rsidP="00E032FC">
            <w:pPr>
              <w:tabs>
                <w:tab w:val="right" w:pos="1202"/>
              </w:tabs>
              <w:outlineLvl w:val="0"/>
              <w:rPr>
                <w:rFonts w:ascii="Arial" w:eastAsia="Calibri" w:hAnsi="Arial" w:cs="Arial"/>
                <w:color w:val="000000" w:themeColor="text1"/>
                <w:sz w:val="14"/>
                <w:szCs w:val="14"/>
                <w:lang w:val="hr-HR"/>
              </w:rPr>
            </w:pPr>
            <w:r w:rsidRPr="00882573">
              <w:rPr>
                <w:rFonts w:ascii="Arial" w:eastAsia="Calibri" w:hAnsi="Arial" w:cs="Arial"/>
                <w:color w:val="000000" w:themeColor="text1"/>
                <w:sz w:val="14"/>
                <w:szCs w:val="14"/>
                <w:lang w:val="hr-HR"/>
              </w:rPr>
              <w:t>Krediti ostalim korisnicima</w:t>
            </w:r>
          </w:p>
        </w:tc>
        <w:tc>
          <w:tcPr>
            <w:tcW w:w="319" w:type="pct"/>
            <w:tcBorders>
              <w:top w:val="nil"/>
              <w:left w:val="nil"/>
              <w:bottom w:val="nil"/>
              <w:right w:val="nil"/>
            </w:tcBorders>
            <w:shd w:val="clear" w:color="auto" w:fill="auto"/>
            <w:vAlign w:val="bottom"/>
          </w:tcPr>
          <w:p w14:paraId="452D3442"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12.779.081 </w:t>
            </w:r>
          </w:p>
        </w:tc>
        <w:tc>
          <w:tcPr>
            <w:tcW w:w="311" w:type="pct"/>
            <w:tcBorders>
              <w:top w:val="nil"/>
              <w:left w:val="nil"/>
              <w:bottom w:val="nil"/>
              <w:right w:val="nil"/>
            </w:tcBorders>
            <w:shd w:val="clear" w:color="auto" w:fill="auto"/>
            <w:vAlign w:val="bottom"/>
          </w:tcPr>
          <w:p w14:paraId="723A8F61"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827.965 </w:t>
            </w:r>
          </w:p>
        </w:tc>
        <w:tc>
          <w:tcPr>
            <w:tcW w:w="314" w:type="pct"/>
            <w:tcBorders>
              <w:top w:val="nil"/>
              <w:left w:val="nil"/>
              <w:bottom w:val="nil"/>
              <w:right w:val="nil"/>
            </w:tcBorders>
            <w:shd w:val="clear" w:color="auto" w:fill="auto"/>
            <w:vAlign w:val="bottom"/>
          </w:tcPr>
          <w:p w14:paraId="4B9B8069"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1.163.771 </w:t>
            </w:r>
          </w:p>
        </w:tc>
        <w:tc>
          <w:tcPr>
            <w:tcW w:w="313" w:type="pct"/>
            <w:tcBorders>
              <w:top w:val="nil"/>
              <w:left w:val="nil"/>
              <w:bottom w:val="nil"/>
              <w:right w:val="nil"/>
            </w:tcBorders>
            <w:shd w:val="clear" w:color="auto" w:fill="auto"/>
            <w:vAlign w:val="bottom"/>
          </w:tcPr>
          <w:p w14:paraId="279A25DF"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1.193.559 </w:t>
            </w:r>
          </w:p>
        </w:tc>
        <w:tc>
          <w:tcPr>
            <w:tcW w:w="341" w:type="pct"/>
            <w:tcBorders>
              <w:top w:val="nil"/>
              <w:left w:val="nil"/>
              <w:bottom w:val="nil"/>
              <w:right w:val="nil"/>
            </w:tcBorders>
            <w:shd w:val="clear" w:color="auto" w:fill="auto"/>
            <w:vAlign w:val="bottom"/>
          </w:tcPr>
          <w:p w14:paraId="5FAB9ACD"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555E8C8E"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15.964.376 </w:t>
            </w:r>
          </w:p>
        </w:tc>
        <w:tc>
          <w:tcPr>
            <w:tcW w:w="362" w:type="pct"/>
            <w:tcBorders>
              <w:top w:val="nil"/>
              <w:left w:val="nil"/>
              <w:bottom w:val="nil"/>
              <w:right w:val="nil"/>
            </w:tcBorders>
            <w:vAlign w:val="bottom"/>
          </w:tcPr>
          <w:p w14:paraId="2742F483"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2.855.314 </w:t>
            </w:r>
          </w:p>
        </w:tc>
        <w:tc>
          <w:tcPr>
            <w:tcW w:w="362" w:type="pct"/>
            <w:tcBorders>
              <w:top w:val="nil"/>
              <w:left w:val="nil"/>
              <w:bottom w:val="nil"/>
              <w:right w:val="nil"/>
            </w:tcBorders>
            <w:vAlign w:val="bottom"/>
          </w:tcPr>
          <w:p w14:paraId="4EAAFFA9"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92.792 </w:t>
            </w:r>
          </w:p>
        </w:tc>
        <w:tc>
          <w:tcPr>
            <w:tcW w:w="362" w:type="pct"/>
            <w:tcBorders>
              <w:top w:val="nil"/>
              <w:left w:val="nil"/>
              <w:bottom w:val="nil"/>
              <w:right w:val="nil"/>
            </w:tcBorders>
            <w:vAlign w:val="bottom"/>
          </w:tcPr>
          <w:p w14:paraId="111EC778"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205.605 </w:t>
            </w:r>
          </w:p>
        </w:tc>
        <w:tc>
          <w:tcPr>
            <w:tcW w:w="362" w:type="pct"/>
            <w:tcBorders>
              <w:top w:val="nil"/>
              <w:left w:val="nil"/>
              <w:bottom w:val="nil"/>
              <w:right w:val="nil"/>
            </w:tcBorders>
            <w:vAlign w:val="bottom"/>
          </w:tcPr>
          <w:p w14:paraId="64D70E99"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34.769 </w:t>
            </w:r>
          </w:p>
        </w:tc>
        <w:tc>
          <w:tcPr>
            <w:tcW w:w="379" w:type="pct"/>
            <w:tcBorders>
              <w:top w:val="nil"/>
              <w:left w:val="nil"/>
              <w:bottom w:val="nil"/>
              <w:right w:val="nil"/>
            </w:tcBorders>
            <w:vAlign w:val="bottom"/>
          </w:tcPr>
          <w:p w14:paraId="2957F2C7"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49" w:type="pct"/>
            <w:tcBorders>
              <w:top w:val="nil"/>
              <w:left w:val="nil"/>
              <w:bottom w:val="nil"/>
              <w:right w:val="nil"/>
            </w:tcBorders>
            <w:vAlign w:val="bottom"/>
          </w:tcPr>
          <w:p w14:paraId="2E09850D"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3.188.480 </w:t>
            </w:r>
          </w:p>
        </w:tc>
      </w:tr>
      <w:tr w:rsidR="004E2F51" w:rsidRPr="00882573" w14:paraId="64905938" w14:textId="77777777" w:rsidTr="00E032FC">
        <w:trPr>
          <w:trHeight w:val="197"/>
          <w:jc w:val="center"/>
        </w:trPr>
        <w:tc>
          <w:tcPr>
            <w:tcW w:w="915" w:type="pct"/>
            <w:vAlign w:val="bottom"/>
          </w:tcPr>
          <w:p w14:paraId="05DA3880" w14:textId="77777777" w:rsidR="004E2F51" w:rsidRPr="00882573" w:rsidRDefault="004E2F51" w:rsidP="00E032FC">
            <w:pPr>
              <w:tabs>
                <w:tab w:val="right" w:pos="1202"/>
              </w:tabs>
              <w:outlineLvl w:val="0"/>
              <w:rPr>
                <w:rFonts w:ascii="Arial" w:eastAsia="Calibri" w:hAnsi="Arial" w:cs="Arial"/>
                <w:color w:val="000000" w:themeColor="text1"/>
                <w:sz w:val="14"/>
                <w:szCs w:val="14"/>
                <w:lang w:val="hr-HR"/>
              </w:rPr>
            </w:pPr>
            <w:r w:rsidRPr="00882573">
              <w:rPr>
                <w:rFonts w:ascii="Arial" w:eastAsia="Calibri" w:hAnsi="Arial" w:cs="Arial"/>
                <w:color w:val="000000" w:themeColor="text1"/>
                <w:sz w:val="14"/>
                <w:szCs w:val="14"/>
                <w:lang w:val="hr-HR"/>
              </w:rPr>
              <w:t>Financijska imovina po fer vrijednosti kroz dobit ili gubitak</w:t>
            </w:r>
          </w:p>
        </w:tc>
        <w:tc>
          <w:tcPr>
            <w:tcW w:w="319" w:type="pct"/>
            <w:tcBorders>
              <w:top w:val="nil"/>
              <w:left w:val="nil"/>
              <w:bottom w:val="nil"/>
              <w:right w:val="nil"/>
            </w:tcBorders>
            <w:shd w:val="clear" w:color="auto" w:fill="auto"/>
            <w:vAlign w:val="bottom"/>
          </w:tcPr>
          <w:p w14:paraId="1FB64C09"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sidRPr="00882573">
              <w:rPr>
                <w:rFonts w:ascii="Arial" w:hAnsi="Arial" w:cs="Arial"/>
                <w:sz w:val="14"/>
                <w:szCs w:val="14"/>
                <w:lang w:val="it-IT"/>
              </w:rPr>
              <w:t xml:space="preserve"> </w:t>
            </w:r>
            <w:r w:rsidRPr="00882573">
              <w:rPr>
                <w:rFonts w:ascii="Arial" w:hAnsi="Arial" w:cs="Arial"/>
                <w:sz w:val="14"/>
                <w:szCs w:val="14"/>
              </w:rPr>
              <w:t xml:space="preserve">- </w:t>
            </w:r>
          </w:p>
        </w:tc>
        <w:tc>
          <w:tcPr>
            <w:tcW w:w="311" w:type="pct"/>
            <w:tcBorders>
              <w:top w:val="nil"/>
              <w:left w:val="nil"/>
              <w:bottom w:val="nil"/>
              <w:right w:val="nil"/>
            </w:tcBorders>
            <w:shd w:val="clear" w:color="auto" w:fill="auto"/>
            <w:vAlign w:val="bottom"/>
          </w:tcPr>
          <w:p w14:paraId="2F8FBE53"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sidRPr="00882573">
              <w:rPr>
                <w:rFonts w:ascii="Arial" w:hAnsi="Arial" w:cs="Arial"/>
                <w:sz w:val="14"/>
                <w:szCs w:val="14"/>
              </w:rPr>
              <w:t xml:space="preserve"> - </w:t>
            </w:r>
          </w:p>
        </w:tc>
        <w:tc>
          <w:tcPr>
            <w:tcW w:w="314" w:type="pct"/>
            <w:tcBorders>
              <w:top w:val="nil"/>
              <w:left w:val="nil"/>
              <w:bottom w:val="nil"/>
              <w:right w:val="nil"/>
            </w:tcBorders>
            <w:shd w:val="clear" w:color="auto" w:fill="auto"/>
            <w:vAlign w:val="bottom"/>
          </w:tcPr>
          <w:p w14:paraId="388553D0"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sidRPr="00882573">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6DED2E59"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sidRPr="00882573">
              <w:rPr>
                <w:rFonts w:ascii="Arial" w:hAnsi="Arial" w:cs="Arial"/>
                <w:sz w:val="14"/>
                <w:szCs w:val="14"/>
              </w:rPr>
              <w:t xml:space="preserve"> - </w:t>
            </w:r>
          </w:p>
        </w:tc>
        <w:tc>
          <w:tcPr>
            <w:tcW w:w="341" w:type="pct"/>
            <w:tcBorders>
              <w:top w:val="nil"/>
              <w:left w:val="nil"/>
              <w:bottom w:val="nil"/>
              <w:right w:val="nil"/>
            </w:tcBorders>
            <w:shd w:val="clear" w:color="auto" w:fill="auto"/>
            <w:vAlign w:val="bottom"/>
          </w:tcPr>
          <w:p w14:paraId="3F17F9BA"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sidRPr="00882573">
              <w:rPr>
                <w:rFonts w:ascii="Arial" w:hAnsi="Arial" w:cs="Arial"/>
                <w:sz w:val="14"/>
                <w:szCs w:val="14"/>
              </w:rPr>
              <w:t xml:space="preserve"> 16.375 </w:t>
            </w:r>
          </w:p>
        </w:tc>
        <w:tc>
          <w:tcPr>
            <w:tcW w:w="313" w:type="pct"/>
            <w:tcBorders>
              <w:top w:val="nil"/>
              <w:left w:val="nil"/>
              <w:bottom w:val="nil"/>
              <w:right w:val="nil"/>
            </w:tcBorders>
            <w:shd w:val="clear" w:color="auto" w:fill="auto"/>
            <w:vAlign w:val="bottom"/>
          </w:tcPr>
          <w:p w14:paraId="15D435E8"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sidRPr="00882573">
              <w:rPr>
                <w:rFonts w:ascii="Arial" w:hAnsi="Arial" w:cs="Arial"/>
                <w:sz w:val="14"/>
                <w:szCs w:val="14"/>
              </w:rPr>
              <w:t xml:space="preserve"> 16.375 </w:t>
            </w:r>
          </w:p>
        </w:tc>
        <w:tc>
          <w:tcPr>
            <w:tcW w:w="362" w:type="pct"/>
            <w:tcBorders>
              <w:top w:val="nil"/>
              <w:left w:val="nil"/>
              <w:bottom w:val="nil"/>
              <w:right w:val="nil"/>
            </w:tcBorders>
            <w:vAlign w:val="bottom"/>
          </w:tcPr>
          <w:p w14:paraId="0924B6E3"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sidRPr="00882573">
              <w:rPr>
                <w:rFonts w:ascii="Arial" w:hAnsi="Arial" w:cs="Arial"/>
                <w:sz w:val="14"/>
                <w:szCs w:val="14"/>
              </w:rPr>
              <w:t xml:space="preserve"> - </w:t>
            </w:r>
          </w:p>
        </w:tc>
        <w:tc>
          <w:tcPr>
            <w:tcW w:w="362" w:type="pct"/>
            <w:tcBorders>
              <w:top w:val="nil"/>
              <w:left w:val="nil"/>
              <w:bottom w:val="nil"/>
              <w:right w:val="nil"/>
            </w:tcBorders>
            <w:vAlign w:val="bottom"/>
          </w:tcPr>
          <w:p w14:paraId="6088DF61"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sidRPr="00882573">
              <w:rPr>
                <w:rFonts w:ascii="Arial" w:hAnsi="Arial" w:cs="Arial"/>
                <w:sz w:val="14"/>
                <w:szCs w:val="14"/>
              </w:rPr>
              <w:t xml:space="preserve"> - </w:t>
            </w:r>
          </w:p>
        </w:tc>
        <w:tc>
          <w:tcPr>
            <w:tcW w:w="362" w:type="pct"/>
            <w:tcBorders>
              <w:top w:val="nil"/>
              <w:left w:val="nil"/>
              <w:bottom w:val="nil"/>
              <w:right w:val="nil"/>
            </w:tcBorders>
            <w:vAlign w:val="bottom"/>
          </w:tcPr>
          <w:p w14:paraId="7DEE7FED"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sidRPr="00882573">
              <w:rPr>
                <w:rFonts w:ascii="Arial" w:hAnsi="Arial" w:cs="Arial"/>
                <w:sz w:val="14"/>
                <w:szCs w:val="14"/>
              </w:rPr>
              <w:t xml:space="preserve"> - </w:t>
            </w:r>
          </w:p>
        </w:tc>
        <w:tc>
          <w:tcPr>
            <w:tcW w:w="362" w:type="pct"/>
            <w:tcBorders>
              <w:top w:val="nil"/>
              <w:left w:val="nil"/>
              <w:bottom w:val="nil"/>
              <w:right w:val="nil"/>
            </w:tcBorders>
            <w:vAlign w:val="bottom"/>
          </w:tcPr>
          <w:p w14:paraId="41AE9252"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sidRPr="00882573">
              <w:rPr>
                <w:rFonts w:ascii="Arial" w:hAnsi="Arial" w:cs="Arial"/>
                <w:sz w:val="14"/>
                <w:szCs w:val="14"/>
              </w:rPr>
              <w:t xml:space="preserve"> - </w:t>
            </w:r>
          </w:p>
        </w:tc>
        <w:tc>
          <w:tcPr>
            <w:tcW w:w="379" w:type="pct"/>
            <w:tcBorders>
              <w:top w:val="nil"/>
              <w:left w:val="nil"/>
              <w:bottom w:val="nil"/>
              <w:right w:val="nil"/>
            </w:tcBorders>
            <w:shd w:val="clear" w:color="auto" w:fill="auto"/>
            <w:vAlign w:val="bottom"/>
          </w:tcPr>
          <w:p w14:paraId="61302AEE"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sidRPr="00882573">
              <w:rPr>
                <w:rFonts w:ascii="Arial" w:hAnsi="Arial" w:cs="Arial"/>
                <w:sz w:val="14"/>
                <w:szCs w:val="14"/>
              </w:rPr>
              <w:t xml:space="preserve"> 16.375 </w:t>
            </w:r>
          </w:p>
        </w:tc>
        <w:tc>
          <w:tcPr>
            <w:tcW w:w="349" w:type="pct"/>
            <w:tcBorders>
              <w:top w:val="nil"/>
              <w:left w:val="nil"/>
              <w:bottom w:val="nil"/>
              <w:right w:val="nil"/>
            </w:tcBorders>
            <w:shd w:val="clear" w:color="auto" w:fill="auto"/>
            <w:vAlign w:val="bottom"/>
          </w:tcPr>
          <w:p w14:paraId="0FEBCFD2" w14:textId="77777777" w:rsidR="004E2F51" w:rsidRPr="00882573" w:rsidRDefault="004E2F51" w:rsidP="00E032FC">
            <w:pPr>
              <w:tabs>
                <w:tab w:val="right" w:pos="1202"/>
              </w:tabs>
              <w:spacing w:line="301" w:lineRule="exact"/>
              <w:jc w:val="right"/>
              <w:outlineLvl w:val="0"/>
              <w:rPr>
                <w:rFonts w:ascii="Arial" w:eastAsia="Calibri" w:hAnsi="Arial" w:cs="Arial"/>
                <w:color w:val="000000" w:themeColor="text1"/>
                <w:spacing w:val="-2"/>
                <w:sz w:val="14"/>
                <w:szCs w:val="14"/>
                <w:lang w:val="hr-HR"/>
              </w:rPr>
            </w:pPr>
            <w:r w:rsidRPr="00882573">
              <w:rPr>
                <w:rFonts w:ascii="Arial" w:hAnsi="Arial" w:cs="Arial"/>
                <w:sz w:val="14"/>
                <w:szCs w:val="14"/>
              </w:rPr>
              <w:t xml:space="preserve"> 16.375 </w:t>
            </w:r>
          </w:p>
        </w:tc>
      </w:tr>
      <w:tr w:rsidR="004E2F51" w:rsidRPr="00882573" w14:paraId="775A9DB8" w14:textId="77777777" w:rsidTr="00E032FC">
        <w:trPr>
          <w:trHeight w:val="197"/>
          <w:jc w:val="center"/>
        </w:trPr>
        <w:tc>
          <w:tcPr>
            <w:tcW w:w="915" w:type="pct"/>
            <w:vAlign w:val="bottom"/>
          </w:tcPr>
          <w:p w14:paraId="10BBA073" w14:textId="77777777" w:rsidR="004E2F51" w:rsidRPr="00882573" w:rsidRDefault="004E2F51" w:rsidP="00E032FC">
            <w:pPr>
              <w:tabs>
                <w:tab w:val="right" w:pos="1202"/>
              </w:tabs>
              <w:outlineLvl w:val="0"/>
              <w:rPr>
                <w:rFonts w:ascii="Arial" w:eastAsia="Calibri" w:hAnsi="Arial" w:cs="Arial"/>
                <w:color w:val="000000" w:themeColor="text1"/>
                <w:sz w:val="14"/>
                <w:szCs w:val="14"/>
                <w:lang w:val="hr-HR"/>
              </w:rPr>
            </w:pPr>
            <w:r w:rsidRPr="00882573">
              <w:rPr>
                <w:rFonts w:ascii="Arial" w:eastAsia="Calibri" w:hAnsi="Arial" w:cs="Arial"/>
                <w:color w:val="000000" w:themeColor="text1"/>
                <w:sz w:val="14"/>
                <w:szCs w:val="14"/>
                <w:lang w:val="hr-HR"/>
              </w:rPr>
              <w:t>Financijska imovina po fer vrijednosti kroz ostalu sveobuhvatnu dobit</w:t>
            </w:r>
          </w:p>
        </w:tc>
        <w:tc>
          <w:tcPr>
            <w:tcW w:w="319" w:type="pct"/>
            <w:tcBorders>
              <w:top w:val="nil"/>
              <w:left w:val="nil"/>
              <w:bottom w:val="nil"/>
              <w:right w:val="nil"/>
            </w:tcBorders>
            <w:shd w:val="clear" w:color="auto" w:fill="auto"/>
            <w:vAlign w:val="bottom"/>
          </w:tcPr>
          <w:p w14:paraId="09070CDC"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2.871.219 </w:t>
            </w:r>
          </w:p>
        </w:tc>
        <w:tc>
          <w:tcPr>
            <w:tcW w:w="311" w:type="pct"/>
            <w:tcBorders>
              <w:top w:val="nil"/>
              <w:left w:val="nil"/>
              <w:bottom w:val="nil"/>
              <w:right w:val="nil"/>
            </w:tcBorders>
            <w:shd w:val="clear" w:color="auto" w:fill="auto"/>
            <w:vAlign w:val="bottom"/>
          </w:tcPr>
          <w:p w14:paraId="6E85066C"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 </w:t>
            </w:r>
          </w:p>
        </w:tc>
        <w:tc>
          <w:tcPr>
            <w:tcW w:w="314" w:type="pct"/>
            <w:tcBorders>
              <w:top w:val="nil"/>
              <w:left w:val="nil"/>
              <w:bottom w:val="nil"/>
              <w:right w:val="nil"/>
            </w:tcBorders>
            <w:shd w:val="clear" w:color="auto" w:fill="auto"/>
            <w:vAlign w:val="bottom"/>
          </w:tcPr>
          <w:p w14:paraId="00544769"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1.469 </w:t>
            </w:r>
          </w:p>
        </w:tc>
        <w:tc>
          <w:tcPr>
            <w:tcW w:w="313" w:type="pct"/>
            <w:tcBorders>
              <w:top w:val="nil"/>
              <w:left w:val="nil"/>
              <w:bottom w:val="nil"/>
              <w:right w:val="nil"/>
            </w:tcBorders>
            <w:shd w:val="clear" w:color="auto" w:fill="auto"/>
            <w:vAlign w:val="bottom"/>
          </w:tcPr>
          <w:p w14:paraId="3C444975"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 </w:t>
            </w:r>
          </w:p>
        </w:tc>
        <w:tc>
          <w:tcPr>
            <w:tcW w:w="341" w:type="pct"/>
            <w:tcBorders>
              <w:top w:val="nil"/>
              <w:left w:val="nil"/>
              <w:bottom w:val="nil"/>
              <w:right w:val="nil"/>
            </w:tcBorders>
            <w:shd w:val="clear" w:color="auto" w:fill="auto"/>
            <w:vAlign w:val="bottom"/>
          </w:tcPr>
          <w:p w14:paraId="22C2DDD5"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28C4EB74"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2.872.688 </w:t>
            </w:r>
          </w:p>
        </w:tc>
        <w:tc>
          <w:tcPr>
            <w:tcW w:w="362" w:type="pct"/>
            <w:tcBorders>
              <w:top w:val="nil"/>
              <w:left w:val="nil"/>
              <w:bottom w:val="nil"/>
              <w:right w:val="nil"/>
            </w:tcBorders>
            <w:shd w:val="clear" w:color="auto" w:fill="auto"/>
            <w:vAlign w:val="bottom"/>
          </w:tcPr>
          <w:p w14:paraId="25898806"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2.871.219 </w:t>
            </w:r>
          </w:p>
        </w:tc>
        <w:tc>
          <w:tcPr>
            <w:tcW w:w="362" w:type="pct"/>
            <w:tcBorders>
              <w:top w:val="nil"/>
              <w:left w:val="nil"/>
              <w:bottom w:val="nil"/>
              <w:right w:val="nil"/>
            </w:tcBorders>
            <w:shd w:val="clear" w:color="auto" w:fill="auto"/>
            <w:vAlign w:val="bottom"/>
          </w:tcPr>
          <w:p w14:paraId="28342194"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 </w:t>
            </w:r>
          </w:p>
        </w:tc>
        <w:tc>
          <w:tcPr>
            <w:tcW w:w="362" w:type="pct"/>
            <w:tcBorders>
              <w:top w:val="nil"/>
              <w:left w:val="nil"/>
              <w:bottom w:val="nil"/>
              <w:right w:val="nil"/>
            </w:tcBorders>
            <w:shd w:val="clear" w:color="auto" w:fill="auto"/>
            <w:vAlign w:val="bottom"/>
          </w:tcPr>
          <w:p w14:paraId="72F8E49C"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1.469 </w:t>
            </w:r>
          </w:p>
        </w:tc>
        <w:tc>
          <w:tcPr>
            <w:tcW w:w="362" w:type="pct"/>
            <w:tcBorders>
              <w:top w:val="nil"/>
              <w:left w:val="nil"/>
              <w:bottom w:val="nil"/>
              <w:right w:val="nil"/>
            </w:tcBorders>
            <w:shd w:val="clear" w:color="auto" w:fill="auto"/>
            <w:vAlign w:val="bottom"/>
          </w:tcPr>
          <w:p w14:paraId="51671734"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 </w:t>
            </w:r>
          </w:p>
        </w:tc>
        <w:tc>
          <w:tcPr>
            <w:tcW w:w="379" w:type="pct"/>
            <w:tcBorders>
              <w:top w:val="nil"/>
              <w:left w:val="nil"/>
              <w:bottom w:val="nil"/>
              <w:right w:val="nil"/>
            </w:tcBorders>
            <w:shd w:val="clear" w:color="auto" w:fill="auto"/>
            <w:vAlign w:val="bottom"/>
          </w:tcPr>
          <w:p w14:paraId="7AF1FA55"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 </w:t>
            </w:r>
          </w:p>
        </w:tc>
        <w:tc>
          <w:tcPr>
            <w:tcW w:w="349" w:type="pct"/>
            <w:tcBorders>
              <w:top w:val="nil"/>
              <w:left w:val="nil"/>
              <w:bottom w:val="nil"/>
              <w:right w:val="nil"/>
            </w:tcBorders>
            <w:shd w:val="clear" w:color="auto" w:fill="auto"/>
            <w:vAlign w:val="bottom"/>
          </w:tcPr>
          <w:p w14:paraId="301D83EB" w14:textId="77777777" w:rsidR="004E2F51" w:rsidRPr="00882573" w:rsidRDefault="004E2F51" w:rsidP="00E032FC">
            <w:pPr>
              <w:tabs>
                <w:tab w:val="right" w:pos="1202"/>
              </w:tabs>
              <w:spacing w:line="301" w:lineRule="exact"/>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2.872.688 </w:t>
            </w:r>
          </w:p>
        </w:tc>
      </w:tr>
      <w:tr w:rsidR="004E2F51" w:rsidRPr="00882573" w14:paraId="400FB228" w14:textId="77777777" w:rsidTr="00E032FC">
        <w:trPr>
          <w:trHeight w:val="197"/>
          <w:jc w:val="center"/>
        </w:trPr>
        <w:tc>
          <w:tcPr>
            <w:tcW w:w="915" w:type="pct"/>
            <w:vAlign w:val="bottom"/>
          </w:tcPr>
          <w:p w14:paraId="6A618364" w14:textId="77777777" w:rsidR="004E2F51" w:rsidRPr="00882573" w:rsidRDefault="004E2F51" w:rsidP="00E032FC">
            <w:pPr>
              <w:tabs>
                <w:tab w:val="right" w:pos="1202"/>
              </w:tabs>
              <w:outlineLvl w:val="0"/>
              <w:rPr>
                <w:rFonts w:ascii="Arial" w:eastAsia="Calibri" w:hAnsi="Arial" w:cs="Arial"/>
                <w:color w:val="000000" w:themeColor="text1"/>
                <w:sz w:val="14"/>
                <w:szCs w:val="14"/>
                <w:lang w:val="hr-HR"/>
              </w:rPr>
            </w:pPr>
            <w:r w:rsidRPr="00882573">
              <w:rPr>
                <w:rFonts w:ascii="Arial" w:eastAsia="Calibri" w:hAnsi="Arial" w:cs="Arial"/>
                <w:color w:val="000000" w:themeColor="text1"/>
                <w:sz w:val="14"/>
                <w:szCs w:val="14"/>
                <w:lang w:val="hr-HR"/>
              </w:rPr>
              <w:t>Ostala imovina</w:t>
            </w:r>
          </w:p>
        </w:tc>
        <w:tc>
          <w:tcPr>
            <w:tcW w:w="319" w:type="pct"/>
            <w:tcBorders>
              <w:top w:val="nil"/>
              <w:left w:val="nil"/>
              <w:bottom w:val="single" w:sz="8" w:space="0" w:color="auto"/>
              <w:right w:val="nil"/>
            </w:tcBorders>
            <w:shd w:val="clear" w:color="auto" w:fill="auto"/>
            <w:vAlign w:val="bottom"/>
          </w:tcPr>
          <w:p w14:paraId="39FA94BB"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3.326 </w:t>
            </w:r>
          </w:p>
        </w:tc>
        <w:tc>
          <w:tcPr>
            <w:tcW w:w="311" w:type="pct"/>
            <w:tcBorders>
              <w:top w:val="nil"/>
              <w:left w:val="nil"/>
              <w:bottom w:val="single" w:sz="8" w:space="0" w:color="auto"/>
              <w:right w:val="nil"/>
            </w:tcBorders>
            <w:shd w:val="clear" w:color="auto" w:fill="auto"/>
            <w:vAlign w:val="bottom"/>
          </w:tcPr>
          <w:p w14:paraId="5D289802"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12 </w:t>
            </w:r>
          </w:p>
        </w:tc>
        <w:tc>
          <w:tcPr>
            <w:tcW w:w="314" w:type="pct"/>
            <w:tcBorders>
              <w:top w:val="nil"/>
              <w:left w:val="nil"/>
              <w:bottom w:val="single" w:sz="8" w:space="0" w:color="auto"/>
              <w:right w:val="nil"/>
            </w:tcBorders>
            <w:shd w:val="clear" w:color="auto" w:fill="auto"/>
            <w:vAlign w:val="bottom"/>
          </w:tcPr>
          <w:p w14:paraId="795C68E7"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1.310 </w:t>
            </w:r>
          </w:p>
        </w:tc>
        <w:tc>
          <w:tcPr>
            <w:tcW w:w="313" w:type="pct"/>
            <w:tcBorders>
              <w:top w:val="nil"/>
              <w:left w:val="nil"/>
              <w:bottom w:val="single" w:sz="8" w:space="0" w:color="auto"/>
              <w:right w:val="nil"/>
            </w:tcBorders>
            <w:shd w:val="clear" w:color="auto" w:fill="auto"/>
            <w:vAlign w:val="bottom"/>
          </w:tcPr>
          <w:p w14:paraId="69316080"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51 </w:t>
            </w:r>
          </w:p>
        </w:tc>
        <w:tc>
          <w:tcPr>
            <w:tcW w:w="341" w:type="pct"/>
            <w:tcBorders>
              <w:top w:val="nil"/>
              <w:left w:val="nil"/>
              <w:bottom w:val="single" w:sz="8" w:space="0" w:color="auto"/>
              <w:right w:val="nil"/>
            </w:tcBorders>
            <w:shd w:val="clear" w:color="auto" w:fill="auto"/>
            <w:vAlign w:val="bottom"/>
          </w:tcPr>
          <w:p w14:paraId="264FEEA3"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 </w:t>
            </w:r>
          </w:p>
        </w:tc>
        <w:tc>
          <w:tcPr>
            <w:tcW w:w="313" w:type="pct"/>
            <w:tcBorders>
              <w:top w:val="nil"/>
              <w:left w:val="nil"/>
              <w:bottom w:val="single" w:sz="8" w:space="0" w:color="auto"/>
              <w:right w:val="nil"/>
            </w:tcBorders>
            <w:shd w:val="clear" w:color="auto" w:fill="auto"/>
            <w:vAlign w:val="bottom"/>
          </w:tcPr>
          <w:p w14:paraId="63829869"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4.699 </w:t>
            </w:r>
          </w:p>
        </w:tc>
        <w:tc>
          <w:tcPr>
            <w:tcW w:w="362" w:type="pct"/>
            <w:tcBorders>
              <w:top w:val="nil"/>
              <w:left w:val="nil"/>
              <w:bottom w:val="single" w:sz="8" w:space="0" w:color="auto"/>
              <w:right w:val="nil"/>
            </w:tcBorders>
            <w:vAlign w:val="bottom"/>
          </w:tcPr>
          <w:p w14:paraId="241DF300"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588 </w:t>
            </w:r>
          </w:p>
        </w:tc>
        <w:tc>
          <w:tcPr>
            <w:tcW w:w="362" w:type="pct"/>
            <w:tcBorders>
              <w:top w:val="nil"/>
              <w:left w:val="nil"/>
              <w:bottom w:val="single" w:sz="8" w:space="0" w:color="auto"/>
              <w:right w:val="nil"/>
            </w:tcBorders>
            <w:vAlign w:val="bottom"/>
          </w:tcPr>
          <w:p w14:paraId="2C000E55"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12 </w:t>
            </w:r>
          </w:p>
        </w:tc>
        <w:tc>
          <w:tcPr>
            <w:tcW w:w="362" w:type="pct"/>
            <w:tcBorders>
              <w:top w:val="nil"/>
              <w:left w:val="nil"/>
              <w:bottom w:val="single" w:sz="8" w:space="0" w:color="auto"/>
              <w:right w:val="nil"/>
            </w:tcBorders>
            <w:vAlign w:val="bottom"/>
          </w:tcPr>
          <w:p w14:paraId="1932A9B9"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749 </w:t>
            </w:r>
          </w:p>
        </w:tc>
        <w:tc>
          <w:tcPr>
            <w:tcW w:w="362" w:type="pct"/>
            <w:tcBorders>
              <w:top w:val="nil"/>
              <w:left w:val="nil"/>
              <w:bottom w:val="single" w:sz="8" w:space="0" w:color="auto"/>
              <w:right w:val="nil"/>
            </w:tcBorders>
            <w:vAlign w:val="bottom"/>
          </w:tcPr>
          <w:p w14:paraId="47A5E5B0"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51 </w:t>
            </w:r>
          </w:p>
        </w:tc>
        <w:tc>
          <w:tcPr>
            <w:tcW w:w="379" w:type="pct"/>
            <w:tcBorders>
              <w:top w:val="nil"/>
              <w:left w:val="nil"/>
              <w:bottom w:val="single" w:sz="8" w:space="0" w:color="auto"/>
              <w:right w:val="nil"/>
            </w:tcBorders>
            <w:vAlign w:val="bottom"/>
          </w:tcPr>
          <w:p w14:paraId="426975B7"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 </w:t>
            </w:r>
          </w:p>
        </w:tc>
        <w:tc>
          <w:tcPr>
            <w:tcW w:w="349" w:type="pct"/>
            <w:tcBorders>
              <w:top w:val="nil"/>
              <w:left w:val="nil"/>
              <w:bottom w:val="single" w:sz="8" w:space="0" w:color="auto"/>
              <w:right w:val="nil"/>
            </w:tcBorders>
            <w:vAlign w:val="bottom"/>
          </w:tcPr>
          <w:p w14:paraId="62D5D315"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r w:rsidRPr="00882573">
              <w:rPr>
                <w:rFonts w:ascii="Arial" w:hAnsi="Arial" w:cs="Arial"/>
                <w:sz w:val="14"/>
                <w:szCs w:val="14"/>
              </w:rPr>
              <w:t xml:space="preserve"> 1.400 </w:t>
            </w:r>
          </w:p>
        </w:tc>
      </w:tr>
      <w:tr w:rsidR="004E2F51" w:rsidRPr="00882573" w14:paraId="0CAF4B67" w14:textId="77777777" w:rsidTr="00E032FC">
        <w:trPr>
          <w:trHeight w:val="57"/>
          <w:jc w:val="center"/>
        </w:trPr>
        <w:tc>
          <w:tcPr>
            <w:tcW w:w="915" w:type="pct"/>
          </w:tcPr>
          <w:p w14:paraId="35328717" w14:textId="77777777" w:rsidR="004E2F51" w:rsidRPr="00882573" w:rsidRDefault="004E2F51" w:rsidP="00E032FC">
            <w:pPr>
              <w:tabs>
                <w:tab w:val="right" w:pos="1202"/>
              </w:tabs>
              <w:spacing w:line="301" w:lineRule="exact"/>
              <w:outlineLvl w:val="0"/>
              <w:rPr>
                <w:rFonts w:ascii="Arial" w:eastAsia="Calibri" w:hAnsi="Arial" w:cs="Arial"/>
                <w:b/>
                <w:bCs/>
                <w:color w:val="000000" w:themeColor="text1"/>
                <w:sz w:val="14"/>
                <w:szCs w:val="14"/>
                <w:lang w:val="hr-HR"/>
              </w:rPr>
            </w:pPr>
            <w:r w:rsidRPr="00882573">
              <w:rPr>
                <w:rFonts w:ascii="Arial" w:eastAsia="Calibri" w:hAnsi="Arial" w:cs="Arial"/>
                <w:b/>
                <w:bCs/>
                <w:color w:val="000000" w:themeColor="text1"/>
                <w:sz w:val="14"/>
                <w:szCs w:val="14"/>
                <w:lang w:val="hr-HR"/>
              </w:rPr>
              <w:t>Ukupno</w:t>
            </w:r>
          </w:p>
        </w:tc>
        <w:tc>
          <w:tcPr>
            <w:tcW w:w="319" w:type="pct"/>
            <w:tcBorders>
              <w:top w:val="nil"/>
              <w:left w:val="nil"/>
              <w:bottom w:val="single" w:sz="12" w:space="0" w:color="auto"/>
              <w:right w:val="nil"/>
            </w:tcBorders>
            <w:shd w:val="clear" w:color="auto" w:fill="auto"/>
            <w:vAlign w:val="bottom"/>
          </w:tcPr>
          <w:p w14:paraId="6E756009"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24.485.566 </w:t>
            </w:r>
          </w:p>
        </w:tc>
        <w:tc>
          <w:tcPr>
            <w:tcW w:w="311" w:type="pct"/>
            <w:tcBorders>
              <w:top w:val="nil"/>
              <w:left w:val="nil"/>
              <w:bottom w:val="single" w:sz="12" w:space="0" w:color="auto"/>
              <w:right w:val="nil"/>
            </w:tcBorders>
            <w:shd w:val="clear" w:color="auto" w:fill="auto"/>
            <w:vAlign w:val="bottom"/>
          </w:tcPr>
          <w:p w14:paraId="27F21B94"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1.008.737 </w:t>
            </w:r>
          </w:p>
        </w:tc>
        <w:tc>
          <w:tcPr>
            <w:tcW w:w="314" w:type="pct"/>
            <w:tcBorders>
              <w:top w:val="nil"/>
              <w:left w:val="nil"/>
              <w:bottom w:val="single" w:sz="12" w:space="0" w:color="auto"/>
              <w:right w:val="nil"/>
            </w:tcBorders>
            <w:shd w:val="clear" w:color="auto" w:fill="auto"/>
            <w:vAlign w:val="bottom"/>
          </w:tcPr>
          <w:p w14:paraId="0E18BC3C"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1.170.112 </w:t>
            </w:r>
          </w:p>
        </w:tc>
        <w:tc>
          <w:tcPr>
            <w:tcW w:w="313" w:type="pct"/>
            <w:tcBorders>
              <w:top w:val="nil"/>
              <w:left w:val="nil"/>
              <w:bottom w:val="single" w:sz="12" w:space="0" w:color="auto"/>
              <w:right w:val="nil"/>
            </w:tcBorders>
            <w:shd w:val="clear" w:color="auto" w:fill="auto"/>
            <w:vAlign w:val="bottom"/>
          </w:tcPr>
          <w:p w14:paraId="65F9F780"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1.193.610 </w:t>
            </w:r>
          </w:p>
        </w:tc>
        <w:tc>
          <w:tcPr>
            <w:tcW w:w="341" w:type="pct"/>
            <w:tcBorders>
              <w:top w:val="nil"/>
              <w:left w:val="nil"/>
              <w:bottom w:val="single" w:sz="12" w:space="0" w:color="auto"/>
              <w:right w:val="nil"/>
            </w:tcBorders>
            <w:shd w:val="clear" w:color="auto" w:fill="auto"/>
            <w:vAlign w:val="bottom"/>
          </w:tcPr>
          <w:p w14:paraId="4198E20F"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16.375 </w:t>
            </w:r>
          </w:p>
        </w:tc>
        <w:tc>
          <w:tcPr>
            <w:tcW w:w="313" w:type="pct"/>
            <w:tcBorders>
              <w:top w:val="nil"/>
              <w:left w:val="nil"/>
              <w:bottom w:val="single" w:sz="12" w:space="0" w:color="auto"/>
              <w:right w:val="nil"/>
            </w:tcBorders>
            <w:shd w:val="clear" w:color="auto" w:fill="auto"/>
            <w:vAlign w:val="bottom"/>
          </w:tcPr>
          <w:p w14:paraId="21253D42"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27.874.400 </w:t>
            </w:r>
          </w:p>
        </w:tc>
        <w:tc>
          <w:tcPr>
            <w:tcW w:w="362" w:type="pct"/>
            <w:tcBorders>
              <w:top w:val="nil"/>
              <w:left w:val="nil"/>
              <w:bottom w:val="single" w:sz="12" w:space="0" w:color="auto"/>
              <w:right w:val="nil"/>
            </w:tcBorders>
            <w:vAlign w:val="bottom"/>
          </w:tcPr>
          <w:p w14:paraId="2CABBE5B"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5.727.121 </w:t>
            </w:r>
          </w:p>
        </w:tc>
        <w:tc>
          <w:tcPr>
            <w:tcW w:w="362" w:type="pct"/>
            <w:tcBorders>
              <w:top w:val="nil"/>
              <w:left w:val="nil"/>
              <w:bottom w:val="single" w:sz="12" w:space="0" w:color="auto"/>
              <w:right w:val="nil"/>
            </w:tcBorders>
            <w:vAlign w:val="bottom"/>
          </w:tcPr>
          <w:p w14:paraId="53B2776F"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92.804 </w:t>
            </w:r>
          </w:p>
        </w:tc>
        <w:tc>
          <w:tcPr>
            <w:tcW w:w="362" w:type="pct"/>
            <w:tcBorders>
              <w:top w:val="nil"/>
              <w:left w:val="nil"/>
              <w:bottom w:val="single" w:sz="12" w:space="0" w:color="auto"/>
              <w:right w:val="nil"/>
            </w:tcBorders>
            <w:vAlign w:val="bottom"/>
          </w:tcPr>
          <w:p w14:paraId="009CB705"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207.823 </w:t>
            </w:r>
          </w:p>
        </w:tc>
        <w:tc>
          <w:tcPr>
            <w:tcW w:w="362" w:type="pct"/>
            <w:tcBorders>
              <w:top w:val="nil"/>
              <w:left w:val="nil"/>
              <w:bottom w:val="single" w:sz="12" w:space="0" w:color="auto"/>
              <w:right w:val="nil"/>
            </w:tcBorders>
            <w:vAlign w:val="bottom"/>
          </w:tcPr>
          <w:p w14:paraId="1725D831"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34.820 </w:t>
            </w:r>
          </w:p>
        </w:tc>
        <w:tc>
          <w:tcPr>
            <w:tcW w:w="379" w:type="pct"/>
            <w:tcBorders>
              <w:top w:val="nil"/>
              <w:left w:val="nil"/>
              <w:bottom w:val="single" w:sz="12" w:space="0" w:color="auto"/>
              <w:right w:val="nil"/>
            </w:tcBorders>
            <w:vAlign w:val="bottom"/>
          </w:tcPr>
          <w:p w14:paraId="21E38B13"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16.375 </w:t>
            </w:r>
          </w:p>
        </w:tc>
        <w:tc>
          <w:tcPr>
            <w:tcW w:w="349" w:type="pct"/>
            <w:tcBorders>
              <w:top w:val="nil"/>
              <w:left w:val="nil"/>
              <w:bottom w:val="single" w:sz="12" w:space="0" w:color="auto"/>
              <w:right w:val="nil"/>
            </w:tcBorders>
            <w:vAlign w:val="bottom"/>
          </w:tcPr>
          <w:p w14:paraId="315B0A85"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6.078.943 </w:t>
            </w:r>
          </w:p>
        </w:tc>
      </w:tr>
      <w:tr w:rsidR="004E2F51" w:rsidRPr="00882573" w14:paraId="34A79375" w14:textId="77777777" w:rsidTr="00E032FC">
        <w:trPr>
          <w:trHeight w:val="175"/>
          <w:jc w:val="center"/>
        </w:trPr>
        <w:tc>
          <w:tcPr>
            <w:tcW w:w="915" w:type="pct"/>
          </w:tcPr>
          <w:p w14:paraId="3BEC574B" w14:textId="77777777" w:rsidR="004E2F51" w:rsidRPr="00882573" w:rsidRDefault="004E2F51" w:rsidP="00E032FC">
            <w:pPr>
              <w:tabs>
                <w:tab w:val="right" w:pos="1202"/>
              </w:tabs>
              <w:spacing w:line="200" w:lineRule="exact"/>
              <w:outlineLvl w:val="0"/>
              <w:rPr>
                <w:rFonts w:ascii="Arial" w:eastAsia="Calibri" w:hAnsi="Arial" w:cs="Arial"/>
                <w:b/>
                <w:bCs/>
                <w:color w:val="000000" w:themeColor="text1"/>
                <w:sz w:val="14"/>
                <w:szCs w:val="14"/>
                <w:lang w:val="hr-HR"/>
              </w:rPr>
            </w:pPr>
            <w:r w:rsidRPr="00882573">
              <w:rPr>
                <w:rFonts w:ascii="Arial" w:eastAsia="Calibri" w:hAnsi="Arial" w:cs="Arial"/>
                <w:b/>
                <w:bCs/>
                <w:color w:val="000000" w:themeColor="text1"/>
                <w:sz w:val="14"/>
                <w:szCs w:val="14"/>
                <w:lang w:val="hr-HR"/>
              </w:rPr>
              <w:t>Garancije i preuzete obveze</w:t>
            </w:r>
          </w:p>
        </w:tc>
        <w:tc>
          <w:tcPr>
            <w:tcW w:w="319" w:type="pct"/>
            <w:tcBorders>
              <w:top w:val="nil"/>
              <w:left w:val="nil"/>
              <w:bottom w:val="nil"/>
              <w:right w:val="nil"/>
            </w:tcBorders>
            <w:shd w:val="clear" w:color="auto" w:fill="auto"/>
            <w:vAlign w:val="bottom"/>
          </w:tcPr>
          <w:p w14:paraId="74DDA229"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11" w:type="pct"/>
            <w:tcBorders>
              <w:top w:val="nil"/>
              <w:left w:val="nil"/>
              <w:bottom w:val="nil"/>
              <w:right w:val="nil"/>
            </w:tcBorders>
            <w:shd w:val="clear" w:color="auto" w:fill="auto"/>
            <w:vAlign w:val="bottom"/>
          </w:tcPr>
          <w:p w14:paraId="75A2F32E"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14" w:type="pct"/>
            <w:tcBorders>
              <w:top w:val="nil"/>
              <w:left w:val="nil"/>
              <w:bottom w:val="nil"/>
              <w:right w:val="nil"/>
            </w:tcBorders>
            <w:shd w:val="clear" w:color="auto" w:fill="auto"/>
            <w:vAlign w:val="bottom"/>
          </w:tcPr>
          <w:p w14:paraId="07582852"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13" w:type="pct"/>
            <w:tcBorders>
              <w:top w:val="nil"/>
              <w:left w:val="nil"/>
              <w:bottom w:val="nil"/>
              <w:right w:val="nil"/>
            </w:tcBorders>
            <w:shd w:val="clear" w:color="auto" w:fill="auto"/>
            <w:vAlign w:val="bottom"/>
          </w:tcPr>
          <w:p w14:paraId="5C0F87F6"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41" w:type="pct"/>
            <w:tcBorders>
              <w:top w:val="nil"/>
              <w:left w:val="nil"/>
              <w:bottom w:val="nil"/>
              <w:right w:val="nil"/>
            </w:tcBorders>
            <w:shd w:val="clear" w:color="auto" w:fill="auto"/>
            <w:vAlign w:val="bottom"/>
          </w:tcPr>
          <w:p w14:paraId="5ADFCEB8"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13" w:type="pct"/>
            <w:tcBorders>
              <w:top w:val="nil"/>
              <w:left w:val="nil"/>
              <w:bottom w:val="nil"/>
              <w:right w:val="nil"/>
            </w:tcBorders>
            <w:shd w:val="clear" w:color="auto" w:fill="auto"/>
            <w:vAlign w:val="bottom"/>
          </w:tcPr>
          <w:p w14:paraId="570A4754"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62" w:type="pct"/>
            <w:tcBorders>
              <w:top w:val="nil"/>
              <w:left w:val="nil"/>
              <w:bottom w:val="nil"/>
              <w:right w:val="nil"/>
            </w:tcBorders>
            <w:vAlign w:val="bottom"/>
          </w:tcPr>
          <w:p w14:paraId="405F3D3A"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62" w:type="pct"/>
            <w:tcBorders>
              <w:top w:val="nil"/>
              <w:left w:val="nil"/>
              <w:bottom w:val="nil"/>
              <w:right w:val="nil"/>
            </w:tcBorders>
            <w:vAlign w:val="bottom"/>
          </w:tcPr>
          <w:p w14:paraId="20BCC080"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62" w:type="pct"/>
            <w:tcBorders>
              <w:top w:val="nil"/>
              <w:left w:val="nil"/>
              <w:bottom w:val="nil"/>
              <w:right w:val="nil"/>
            </w:tcBorders>
            <w:vAlign w:val="bottom"/>
          </w:tcPr>
          <w:p w14:paraId="0431AD98"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62" w:type="pct"/>
            <w:tcBorders>
              <w:top w:val="nil"/>
              <w:left w:val="nil"/>
              <w:bottom w:val="nil"/>
              <w:right w:val="nil"/>
            </w:tcBorders>
            <w:vAlign w:val="bottom"/>
          </w:tcPr>
          <w:p w14:paraId="00DD5173"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79" w:type="pct"/>
            <w:tcBorders>
              <w:top w:val="nil"/>
              <w:left w:val="nil"/>
              <w:bottom w:val="nil"/>
              <w:right w:val="nil"/>
            </w:tcBorders>
            <w:vAlign w:val="bottom"/>
          </w:tcPr>
          <w:p w14:paraId="458A6937"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c>
          <w:tcPr>
            <w:tcW w:w="349" w:type="pct"/>
            <w:tcBorders>
              <w:top w:val="nil"/>
              <w:left w:val="nil"/>
              <w:bottom w:val="nil"/>
              <w:right w:val="nil"/>
            </w:tcBorders>
            <w:vAlign w:val="bottom"/>
          </w:tcPr>
          <w:p w14:paraId="69F344E9" w14:textId="77777777" w:rsidR="004E2F51" w:rsidRPr="00882573" w:rsidRDefault="004E2F51" w:rsidP="00E032FC">
            <w:pPr>
              <w:tabs>
                <w:tab w:val="right" w:pos="1202"/>
              </w:tabs>
              <w:jc w:val="right"/>
              <w:outlineLvl w:val="0"/>
              <w:rPr>
                <w:rFonts w:ascii="Arial" w:eastAsia="Calibri" w:hAnsi="Arial" w:cs="Arial"/>
                <w:snapToGrid w:val="0"/>
                <w:color w:val="000000" w:themeColor="text1"/>
                <w:sz w:val="14"/>
                <w:szCs w:val="14"/>
                <w:lang w:val="hr-HR"/>
              </w:rPr>
            </w:pPr>
          </w:p>
        </w:tc>
      </w:tr>
      <w:tr w:rsidR="004E2F51" w:rsidRPr="00882573" w14:paraId="6C71139E" w14:textId="77777777" w:rsidTr="00E032FC">
        <w:trPr>
          <w:trHeight w:val="197"/>
          <w:jc w:val="center"/>
        </w:trPr>
        <w:tc>
          <w:tcPr>
            <w:tcW w:w="915" w:type="pct"/>
            <w:vAlign w:val="bottom"/>
          </w:tcPr>
          <w:p w14:paraId="1BD0D02A" w14:textId="77777777" w:rsidR="004E2F51" w:rsidRPr="00882573" w:rsidRDefault="004E2F51" w:rsidP="00E032FC">
            <w:pPr>
              <w:tabs>
                <w:tab w:val="right" w:pos="1202"/>
              </w:tabs>
              <w:outlineLvl w:val="0"/>
              <w:rPr>
                <w:rFonts w:ascii="Arial" w:eastAsia="Calibri" w:hAnsi="Arial" w:cs="Arial"/>
                <w:b/>
                <w:bCs/>
                <w:color w:val="000000" w:themeColor="text1"/>
                <w:sz w:val="14"/>
                <w:szCs w:val="14"/>
                <w:lang w:val="hr-HR"/>
              </w:rPr>
            </w:pPr>
            <w:r w:rsidRPr="00882573">
              <w:rPr>
                <w:rFonts w:ascii="Arial" w:eastAsia="Calibri" w:hAnsi="Arial" w:cs="Arial"/>
                <w:color w:val="000000" w:themeColor="text1"/>
                <w:sz w:val="14"/>
                <w:szCs w:val="14"/>
                <w:lang w:val="hr-HR"/>
              </w:rPr>
              <w:t>Izdane garancije u kunama</w:t>
            </w:r>
          </w:p>
        </w:tc>
        <w:tc>
          <w:tcPr>
            <w:tcW w:w="319" w:type="pct"/>
            <w:tcBorders>
              <w:top w:val="nil"/>
              <w:left w:val="nil"/>
              <w:bottom w:val="nil"/>
              <w:right w:val="nil"/>
            </w:tcBorders>
            <w:shd w:val="clear" w:color="auto" w:fill="auto"/>
            <w:vAlign w:val="bottom"/>
          </w:tcPr>
          <w:p w14:paraId="34CE9ADF"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71.262 </w:t>
            </w:r>
          </w:p>
        </w:tc>
        <w:tc>
          <w:tcPr>
            <w:tcW w:w="311" w:type="pct"/>
            <w:tcBorders>
              <w:top w:val="nil"/>
              <w:left w:val="nil"/>
              <w:bottom w:val="nil"/>
              <w:right w:val="nil"/>
            </w:tcBorders>
            <w:shd w:val="clear" w:color="auto" w:fill="auto"/>
            <w:vAlign w:val="bottom"/>
          </w:tcPr>
          <w:p w14:paraId="75183F04"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22.713 </w:t>
            </w:r>
          </w:p>
        </w:tc>
        <w:tc>
          <w:tcPr>
            <w:tcW w:w="314" w:type="pct"/>
            <w:tcBorders>
              <w:top w:val="nil"/>
              <w:left w:val="nil"/>
              <w:bottom w:val="nil"/>
              <w:right w:val="nil"/>
            </w:tcBorders>
            <w:shd w:val="clear" w:color="auto" w:fill="auto"/>
            <w:vAlign w:val="bottom"/>
          </w:tcPr>
          <w:p w14:paraId="3E366CC5"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46.138 </w:t>
            </w:r>
          </w:p>
        </w:tc>
        <w:tc>
          <w:tcPr>
            <w:tcW w:w="313" w:type="pct"/>
            <w:tcBorders>
              <w:top w:val="nil"/>
              <w:left w:val="nil"/>
              <w:bottom w:val="nil"/>
              <w:right w:val="nil"/>
            </w:tcBorders>
            <w:shd w:val="clear" w:color="auto" w:fill="auto"/>
            <w:vAlign w:val="bottom"/>
          </w:tcPr>
          <w:p w14:paraId="48F7A632"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41" w:type="pct"/>
            <w:tcBorders>
              <w:top w:val="nil"/>
              <w:left w:val="nil"/>
              <w:bottom w:val="nil"/>
              <w:right w:val="nil"/>
            </w:tcBorders>
            <w:shd w:val="clear" w:color="auto" w:fill="auto"/>
            <w:vAlign w:val="bottom"/>
          </w:tcPr>
          <w:p w14:paraId="5FAFA3D4"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702CE9C8"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140.113 </w:t>
            </w:r>
          </w:p>
        </w:tc>
        <w:tc>
          <w:tcPr>
            <w:tcW w:w="362" w:type="pct"/>
            <w:tcBorders>
              <w:top w:val="nil"/>
              <w:left w:val="nil"/>
              <w:bottom w:val="nil"/>
              <w:right w:val="nil"/>
            </w:tcBorders>
            <w:vAlign w:val="bottom"/>
          </w:tcPr>
          <w:p w14:paraId="0611A1D5"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30.516 </w:t>
            </w:r>
          </w:p>
        </w:tc>
        <w:tc>
          <w:tcPr>
            <w:tcW w:w="362" w:type="pct"/>
            <w:tcBorders>
              <w:top w:val="nil"/>
              <w:left w:val="nil"/>
              <w:bottom w:val="nil"/>
              <w:right w:val="nil"/>
            </w:tcBorders>
            <w:vAlign w:val="bottom"/>
          </w:tcPr>
          <w:p w14:paraId="6D7A2BBD"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18.957 </w:t>
            </w:r>
          </w:p>
        </w:tc>
        <w:tc>
          <w:tcPr>
            <w:tcW w:w="362" w:type="pct"/>
            <w:tcBorders>
              <w:top w:val="nil"/>
              <w:left w:val="nil"/>
              <w:bottom w:val="nil"/>
              <w:right w:val="nil"/>
            </w:tcBorders>
            <w:vAlign w:val="bottom"/>
          </w:tcPr>
          <w:p w14:paraId="02ECD6D1"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20.938 </w:t>
            </w:r>
          </w:p>
        </w:tc>
        <w:tc>
          <w:tcPr>
            <w:tcW w:w="362" w:type="pct"/>
            <w:tcBorders>
              <w:top w:val="nil"/>
              <w:left w:val="nil"/>
              <w:bottom w:val="nil"/>
              <w:right w:val="nil"/>
            </w:tcBorders>
            <w:vAlign w:val="bottom"/>
          </w:tcPr>
          <w:p w14:paraId="52F9CBCB"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79" w:type="pct"/>
            <w:tcBorders>
              <w:top w:val="nil"/>
              <w:left w:val="nil"/>
              <w:bottom w:val="nil"/>
              <w:right w:val="nil"/>
            </w:tcBorders>
            <w:vAlign w:val="bottom"/>
          </w:tcPr>
          <w:p w14:paraId="540C099B"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49" w:type="pct"/>
            <w:tcBorders>
              <w:top w:val="nil"/>
              <w:left w:val="nil"/>
              <w:bottom w:val="nil"/>
              <w:right w:val="nil"/>
            </w:tcBorders>
            <w:vAlign w:val="bottom"/>
          </w:tcPr>
          <w:p w14:paraId="6CD96E80"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70.411 </w:t>
            </w:r>
          </w:p>
        </w:tc>
      </w:tr>
      <w:tr w:rsidR="004E2F51" w:rsidRPr="00882573" w14:paraId="28C7B59C" w14:textId="77777777" w:rsidTr="00E032FC">
        <w:trPr>
          <w:trHeight w:val="197"/>
          <w:jc w:val="center"/>
        </w:trPr>
        <w:tc>
          <w:tcPr>
            <w:tcW w:w="915" w:type="pct"/>
            <w:vAlign w:val="bottom"/>
          </w:tcPr>
          <w:p w14:paraId="490A7CA0" w14:textId="77777777" w:rsidR="004E2F51" w:rsidRPr="00882573" w:rsidRDefault="004E2F51" w:rsidP="00E032FC">
            <w:pPr>
              <w:tabs>
                <w:tab w:val="right" w:pos="1202"/>
              </w:tabs>
              <w:outlineLvl w:val="0"/>
              <w:rPr>
                <w:rFonts w:ascii="Arial" w:eastAsia="Calibri" w:hAnsi="Arial" w:cs="Arial"/>
                <w:color w:val="000000" w:themeColor="text1"/>
                <w:sz w:val="14"/>
                <w:szCs w:val="14"/>
                <w:lang w:val="hr-HR"/>
              </w:rPr>
            </w:pPr>
            <w:r w:rsidRPr="00882573">
              <w:rPr>
                <w:rFonts w:ascii="Arial" w:eastAsia="Calibri" w:hAnsi="Arial" w:cs="Arial"/>
                <w:color w:val="000000" w:themeColor="text1"/>
                <w:sz w:val="14"/>
                <w:szCs w:val="14"/>
                <w:lang w:val="hr-HR"/>
              </w:rPr>
              <w:t>Izdane garancije u devizama</w:t>
            </w:r>
          </w:p>
        </w:tc>
        <w:tc>
          <w:tcPr>
            <w:tcW w:w="319" w:type="pct"/>
            <w:tcBorders>
              <w:top w:val="nil"/>
              <w:left w:val="nil"/>
              <w:bottom w:val="nil"/>
              <w:right w:val="nil"/>
            </w:tcBorders>
            <w:shd w:val="clear" w:color="auto" w:fill="auto"/>
            <w:vAlign w:val="bottom"/>
          </w:tcPr>
          <w:p w14:paraId="325BD314"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62.694 </w:t>
            </w:r>
          </w:p>
        </w:tc>
        <w:tc>
          <w:tcPr>
            <w:tcW w:w="311" w:type="pct"/>
            <w:tcBorders>
              <w:top w:val="nil"/>
              <w:left w:val="nil"/>
              <w:bottom w:val="nil"/>
              <w:right w:val="nil"/>
            </w:tcBorders>
            <w:shd w:val="clear" w:color="auto" w:fill="auto"/>
            <w:vAlign w:val="bottom"/>
          </w:tcPr>
          <w:p w14:paraId="07BD6EA6"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377 </w:t>
            </w:r>
          </w:p>
        </w:tc>
        <w:tc>
          <w:tcPr>
            <w:tcW w:w="314" w:type="pct"/>
            <w:tcBorders>
              <w:top w:val="nil"/>
              <w:left w:val="nil"/>
              <w:bottom w:val="nil"/>
              <w:right w:val="nil"/>
            </w:tcBorders>
            <w:shd w:val="clear" w:color="auto" w:fill="auto"/>
            <w:vAlign w:val="bottom"/>
          </w:tcPr>
          <w:p w14:paraId="094A9B9E"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197.634 </w:t>
            </w:r>
          </w:p>
        </w:tc>
        <w:tc>
          <w:tcPr>
            <w:tcW w:w="313" w:type="pct"/>
            <w:tcBorders>
              <w:top w:val="nil"/>
              <w:left w:val="nil"/>
              <w:bottom w:val="nil"/>
              <w:right w:val="nil"/>
            </w:tcBorders>
            <w:shd w:val="clear" w:color="auto" w:fill="auto"/>
            <w:vAlign w:val="bottom"/>
          </w:tcPr>
          <w:p w14:paraId="0E40B08D"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41" w:type="pct"/>
            <w:tcBorders>
              <w:top w:val="nil"/>
              <w:left w:val="nil"/>
              <w:bottom w:val="nil"/>
              <w:right w:val="nil"/>
            </w:tcBorders>
            <w:shd w:val="clear" w:color="auto" w:fill="auto"/>
            <w:vAlign w:val="bottom"/>
          </w:tcPr>
          <w:p w14:paraId="62C1D4E2"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4110BCC4"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260.705 </w:t>
            </w:r>
          </w:p>
        </w:tc>
        <w:tc>
          <w:tcPr>
            <w:tcW w:w="362" w:type="pct"/>
            <w:tcBorders>
              <w:top w:val="nil"/>
              <w:left w:val="nil"/>
              <w:bottom w:val="nil"/>
              <w:right w:val="nil"/>
            </w:tcBorders>
            <w:vAlign w:val="bottom"/>
          </w:tcPr>
          <w:p w14:paraId="3A267CCD"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49.764 </w:t>
            </w:r>
          </w:p>
        </w:tc>
        <w:tc>
          <w:tcPr>
            <w:tcW w:w="362" w:type="pct"/>
            <w:tcBorders>
              <w:top w:val="nil"/>
              <w:left w:val="nil"/>
              <w:bottom w:val="nil"/>
              <w:right w:val="nil"/>
            </w:tcBorders>
            <w:vAlign w:val="bottom"/>
          </w:tcPr>
          <w:p w14:paraId="718E96E4"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62" w:type="pct"/>
            <w:tcBorders>
              <w:top w:val="nil"/>
              <w:left w:val="nil"/>
              <w:bottom w:val="nil"/>
              <w:right w:val="nil"/>
            </w:tcBorders>
            <w:vAlign w:val="bottom"/>
          </w:tcPr>
          <w:p w14:paraId="063FA18B"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71.433 </w:t>
            </w:r>
          </w:p>
        </w:tc>
        <w:tc>
          <w:tcPr>
            <w:tcW w:w="362" w:type="pct"/>
            <w:tcBorders>
              <w:top w:val="nil"/>
              <w:left w:val="nil"/>
              <w:bottom w:val="nil"/>
              <w:right w:val="nil"/>
            </w:tcBorders>
            <w:vAlign w:val="bottom"/>
          </w:tcPr>
          <w:p w14:paraId="5224F696"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79" w:type="pct"/>
            <w:tcBorders>
              <w:top w:val="nil"/>
              <w:left w:val="nil"/>
              <w:bottom w:val="nil"/>
              <w:right w:val="nil"/>
            </w:tcBorders>
            <w:vAlign w:val="bottom"/>
          </w:tcPr>
          <w:p w14:paraId="6F14AEF5"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49" w:type="pct"/>
            <w:tcBorders>
              <w:top w:val="nil"/>
              <w:left w:val="nil"/>
              <w:bottom w:val="nil"/>
              <w:right w:val="nil"/>
            </w:tcBorders>
            <w:vAlign w:val="bottom"/>
          </w:tcPr>
          <w:p w14:paraId="0788DE60"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121.197 </w:t>
            </w:r>
          </w:p>
        </w:tc>
      </w:tr>
      <w:tr w:rsidR="004E2F51" w:rsidRPr="00882573" w14:paraId="688DE266" w14:textId="77777777" w:rsidTr="00E032FC">
        <w:trPr>
          <w:trHeight w:val="197"/>
          <w:jc w:val="center"/>
        </w:trPr>
        <w:tc>
          <w:tcPr>
            <w:tcW w:w="915" w:type="pct"/>
            <w:vAlign w:val="bottom"/>
          </w:tcPr>
          <w:p w14:paraId="108EE602" w14:textId="77777777" w:rsidR="004E2F51" w:rsidRPr="00882573" w:rsidRDefault="004E2F51" w:rsidP="00E032FC">
            <w:pPr>
              <w:tabs>
                <w:tab w:val="right" w:pos="1202"/>
              </w:tabs>
              <w:outlineLvl w:val="0"/>
              <w:rPr>
                <w:rFonts w:ascii="Arial" w:eastAsia="Calibri" w:hAnsi="Arial" w:cs="Arial"/>
                <w:color w:val="000000" w:themeColor="text1"/>
                <w:sz w:val="14"/>
                <w:szCs w:val="14"/>
                <w:lang w:val="hr-HR"/>
              </w:rPr>
            </w:pPr>
            <w:r w:rsidRPr="00882573">
              <w:rPr>
                <w:rFonts w:ascii="Arial" w:eastAsia="Calibri" w:hAnsi="Arial" w:cs="Arial"/>
                <w:color w:val="000000" w:themeColor="text1"/>
                <w:sz w:val="14"/>
                <w:szCs w:val="14"/>
                <w:lang w:val="hr-HR"/>
              </w:rPr>
              <w:t>Preuzete obveze po kreditima</w:t>
            </w:r>
          </w:p>
        </w:tc>
        <w:tc>
          <w:tcPr>
            <w:tcW w:w="319" w:type="pct"/>
            <w:tcBorders>
              <w:top w:val="nil"/>
              <w:left w:val="nil"/>
              <w:bottom w:val="single" w:sz="6" w:space="0" w:color="auto"/>
              <w:right w:val="nil"/>
            </w:tcBorders>
            <w:shd w:val="clear" w:color="auto" w:fill="auto"/>
            <w:vAlign w:val="bottom"/>
          </w:tcPr>
          <w:p w14:paraId="551AA761"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3.167.285 </w:t>
            </w:r>
          </w:p>
        </w:tc>
        <w:tc>
          <w:tcPr>
            <w:tcW w:w="311" w:type="pct"/>
            <w:tcBorders>
              <w:top w:val="nil"/>
              <w:left w:val="nil"/>
              <w:bottom w:val="single" w:sz="6" w:space="0" w:color="auto"/>
              <w:right w:val="nil"/>
            </w:tcBorders>
            <w:shd w:val="clear" w:color="auto" w:fill="auto"/>
            <w:vAlign w:val="bottom"/>
          </w:tcPr>
          <w:p w14:paraId="7A94071B"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253.401 </w:t>
            </w:r>
          </w:p>
        </w:tc>
        <w:tc>
          <w:tcPr>
            <w:tcW w:w="314" w:type="pct"/>
            <w:tcBorders>
              <w:top w:val="nil"/>
              <w:left w:val="nil"/>
              <w:bottom w:val="single" w:sz="6" w:space="0" w:color="auto"/>
              <w:right w:val="nil"/>
            </w:tcBorders>
            <w:shd w:val="clear" w:color="auto" w:fill="auto"/>
            <w:vAlign w:val="bottom"/>
          </w:tcPr>
          <w:p w14:paraId="1BE192F8"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13" w:type="pct"/>
            <w:tcBorders>
              <w:top w:val="nil"/>
              <w:left w:val="nil"/>
              <w:bottom w:val="single" w:sz="6" w:space="0" w:color="auto"/>
              <w:right w:val="nil"/>
            </w:tcBorders>
            <w:shd w:val="clear" w:color="auto" w:fill="auto"/>
            <w:vAlign w:val="bottom"/>
          </w:tcPr>
          <w:p w14:paraId="37CFE6D2"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36.605 </w:t>
            </w:r>
          </w:p>
        </w:tc>
        <w:tc>
          <w:tcPr>
            <w:tcW w:w="341" w:type="pct"/>
            <w:tcBorders>
              <w:top w:val="nil"/>
              <w:left w:val="nil"/>
              <w:bottom w:val="single" w:sz="6" w:space="0" w:color="auto"/>
              <w:right w:val="nil"/>
            </w:tcBorders>
            <w:shd w:val="clear" w:color="auto" w:fill="auto"/>
            <w:vAlign w:val="bottom"/>
          </w:tcPr>
          <w:p w14:paraId="3DD6DF01"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13" w:type="pct"/>
            <w:tcBorders>
              <w:top w:val="nil"/>
              <w:left w:val="nil"/>
              <w:bottom w:val="single" w:sz="6" w:space="0" w:color="auto"/>
              <w:right w:val="nil"/>
            </w:tcBorders>
            <w:shd w:val="clear" w:color="auto" w:fill="auto"/>
            <w:vAlign w:val="bottom"/>
          </w:tcPr>
          <w:p w14:paraId="77360599"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3.457.291 </w:t>
            </w:r>
          </w:p>
        </w:tc>
        <w:tc>
          <w:tcPr>
            <w:tcW w:w="362" w:type="pct"/>
            <w:tcBorders>
              <w:top w:val="nil"/>
              <w:left w:val="nil"/>
              <w:bottom w:val="single" w:sz="6" w:space="0" w:color="auto"/>
              <w:right w:val="nil"/>
            </w:tcBorders>
            <w:vAlign w:val="bottom"/>
          </w:tcPr>
          <w:p w14:paraId="6E81AF6C"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282.102 </w:t>
            </w:r>
          </w:p>
        </w:tc>
        <w:tc>
          <w:tcPr>
            <w:tcW w:w="362" w:type="pct"/>
            <w:tcBorders>
              <w:top w:val="nil"/>
              <w:left w:val="nil"/>
              <w:bottom w:val="single" w:sz="6" w:space="0" w:color="auto"/>
              <w:right w:val="nil"/>
            </w:tcBorders>
            <w:vAlign w:val="bottom"/>
          </w:tcPr>
          <w:p w14:paraId="0033B15B"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140.095 </w:t>
            </w:r>
          </w:p>
        </w:tc>
        <w:tc>
          <w:tcPr>
            <w:tcW w:w="362" w:type="pct"/>
            <w:tcBorders>
              <w:top w:val="nil"/>
              <w:left w:val="nil"/>
              <w:bottom w:val="single" w:sz="6" w:space="0" w:color="auto"/>
              <w:right w:val="nil"/>
            </w:tcBorders>
            <w:vAlign w:val="bottom"/>
          </w:tcPr>
          <w:p w14:paraId="5A27B1EB"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62" w:type="pct"/>
            <w:tcBorders>
              <w:top w:val="nil"/>
              <w:left w:val="nil"/>
              <w:bottom w:val="single" w:sz="6" w:space="0" w:color="auto"/>
              <w:right w:val="nil"/>
            </w:tcBorders>
            <w:vAlign w:val="bottom"/>
          </w:tcPr>
          <w:p w14:paraId="3FE1779D"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782 </w:t>
            </w:r>
          </w:p>
        </w:tc>
        <w:tc>
          <w:tcPr>
            <w:tcW w:w="379" w:type="pct"/>
            <w:tcBorders>
              <w:top w:val="nil"/>
              <w:left w:val="nil"/>
              <w:bottom w:val="single" w:sz="6" w:space="0" w:color="auto"/>
              <w:right w:val="nil"/>
            </w:tcBorders>
            <w:vAlign w:val="bottom"/>
          </w:tcPr>
          <w:p w14:paraId="47B691D5"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 </w:t>
            </w:r>
          </w:p>
        </w:tc>
        <w:tc>
          <w:tcPr>
            <w:tcW w:w="349" w:type="pct"/>
            <w:tcBorders>
              <w:top w:val="nil"/>
              <w:left w:val="nil"/>
              <w:bottom w:val="single" w:sz="6" w:space="0" w:color="auto"/>
              <w:right w:val="nil"/>
            </w:tcBorders>
            <w:vAlign w:val="bottom"/>
          </w:tcPr>
          <w:p w14:paraId="42058360" w14:textId="77777777" w:rsidR="004E2F51" w:rsidRPr="00882573" w:rsidRDefault="004E2F51" w:rsidP="00E032FC">
            <w:pPr>
              <w:jc w:val="right"/>
              <w:rPr>
                <w:rFonts w:ascii="Arial" w:eastAsia="Calibri" w:hAnsi="Arial" w:cs="Arial"/>
                <w:color w:val="000000" w:themeColor="text1"/>
                <w:sz w:val="14"/>
                <w:szCs w:val="14"/>
                <w:lang w:val="hr-HR"/>
              </w:rPr>
            </w:pPr>
            <w:r w:rsidRPr="00882573">
              <w:rPr>
                <w:rFonts w:ascii="Arial" w:hAnsi="Arial" w:cs="Arial"/>
                <w:sz w:val="14"/>
                <w:szCs w:val="14"/>
              </w:rPr>
              <w:t xml:space="preserve"> 422.979 </w:t>
            </w:r>
          </w:p>
        </w:tc>
      </w:tr>
      <w:tr w:rsidR="004E2F51" w:rsidRPr="00882573" w14:paraId="0494D3BB" w14:textId="77777777" w:rsidTr="00E032FC">
        <w:trPr>
          <w:trHeight w:val="57"/>
          <w:jc w:val="center"/>
        </w:trPr>
        <w:tc>
          <w:tcPr>
            <w:tcW w:w="915" w:type="pct"/>
          </w:tcPr>
          <w:p w14:paraId="26334BCE" w14:textId="77777777" w:rsidR="004E2F51" w:rsidRPr="00882573" w:rsidRDefault="004E2F51" w:rsidP="00E032FC">
            <w:pPr>
              <w:tabs>
                <w:tab w:val="right" w:pos="1202"/>
              </w:tabs>
              <w:spacing w:line="301" w:lineRule="exact"/>
              <w:outlineLvl w:val="0"/>
              <w:rPr>
                <w:rFonts w:ascii="Arial" w:eastAsia="Calibri" w:hAnsi="Arial" w:cs="Arial"/>
                <w:b/>
                <w:bCs/>
                <w:color w:val="000000" w:themeColor="text1"/>
                <w:sz w:val="14"/>
                <w:szCs w:val="14"/>
                <w:lang w:val="hr-HR"/>
              </w:rPr>
            </w:pPr>
            <w:r w:rsidRPr="00882573">
              <w:rPr>
                <w:rFonts w:ascii="Arial" w:eastAsia="Calibri" w:hAnsi="Arial" w:cs="Arial"/>
                <w:b/>
                <w:bCs/>
                <w:color w:val="000000" w:themeColor="text1"/>
                <w:sz w:val="14"/>
                <w:szCs w:val="14"/>
                <w:lang w:val="hr-HR"/>
              </w:rPr>
              <w:t>Ukupno</w:t>
            </w:r>
          </w:p>
        </w:tc>
        <w:tc>
          <w:tcPr>
            <w:tcW w:w="319" w:type="pct"/>
            <w:tcBorders>
              <w:top w:val="single" w:sz="6" w:space="0" w:color="auto"/>
              <w:left w:val="nil"/>
              <w:bottom w:val="single" w:sz="12" w:space="0" w:color="auto"/>
              <w:right w:val="nil"/>
            </w:tcBorders>
            <w:shd w:val="clear" w:color="auto" w:fill="auto"/>
            <w:vAlign w:val="bottom"/>
          </w:tcPr>
          <w:p w14:paraId="18EFF521"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3.301.241 </w:t>
            </w:r>
          </w:p>
        </w:tc>
        <w:tc>
          <w:tcPr>
            <w:tcW w:w="311" w:type="pct"/>
            <w:tcBorders>
              <w:top w:val="single" w:sz="6" w:space="0" w:color="auto"/>
              <w:left w:val="nil"/>
              <w:bottom w:val="single" w:sz="12" w:space="0" w:color="auto"/>
              <w:right w:val="nil"/>
            </w:tcBorders>
            <w:shd w:val="clear" w:color="auto" w:fill="auto"/>
            <w:vAlign w:val="bottom"/>
          </w:tcPr>
          <w:p w14:paraId="489BBDEB"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276.491 </w:t>
            </w:r>
          </w:p>
        </w:tc>
        <w:tc>
          <w:tcPr>
            <w:tcW w:w="314" w:type="pct"/>
            <w:tcBorders>
              <w:top w:val="single" w:sz="6" w:space="0" w:color="auto"/>
              <w:left w:val="nil"/>
              <w:bottom w:val="single" w:sz="12" w:space="0" w:color="auto"/>
              <w:right w:val="nil"/>
            </w:tcBorders>
            <w:shd w:val="clear" w:color="auto" w:fill="auto"/>
            <w:vAlign w:val="bottom"/>
          </w:tcPr>
          <w:p w14:paraId="19D1AC6D"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243.772 </w:t>
            </w:r>
          </w:p>
        </w:tc>
        <w:tc>
          <w:tcPr>
            <w:tcW w:w="313" w:type="pct"/>
            <w:tcBorders>
              <w:top w:val="single" w:sz="6" w:space="0" w:color="auto"/>
              <w:left w:val="nil"/>
              <w:bottom w:val="single" w:sz="12" w:space="0" w:color="auto"/>
              <w:right w:val="nil"/>
            </w:tcBorders>
            <w:shd w:val="clear" w:color="auto" w:fill="auto"/>
            <w:vAlign w:val="bottom"/>
          </w:tcPr>
          <w:p w14:paraId="1BD09316"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36.605 </w:t>
            </w:r>
          </w:p>
        </w:tc>
        <w:tc>
          <w:tcPr>
            <w:tcW w:w="341" w:type="pct"/>
            <w:tcBorders>
              <w:top w:val="single" w:sz="6" w:space="0" w:color="auto"/>
              <w:left w:val="nil"/>
              <w:bottom w:val="single" w:sz="12" w:space="0" w:color="auto"/>
              <w:right w:val="nil"/>
            </w:tcBorders>
            <w:shd w:val="clear" w:color="auto" w:fill="auto"/>
            <w:vAlign w:val="bottom"/>
          </w:tcPr>
          <w:p w14:paraId="2BA78364"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 </w:t>
            </w:r>
          </w:p>
        </w:tc>
        <w:tc>
          <w:tcPr>
            <w:tcW w:w="313" w:type="pct"/>
            <w:tcBorders>
              <w:top w:val="single" w:sz="6" w:space="0" w:color="auto"/>
              <w:left w:val="nil"/>
              <w:bottom w:val="single" w:sz="12" w:space="0" w:color="auto"/>
              <w:right w:val="nil"/>
            </w:tcBorders>
            <w:shd w:val="clear" w:color="auto" w:fill="auto"/>
            <w:vAlign w:val="bottom"/>
          </w:tcPr>
          <w:p w14:paraId="54686958"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3.858.109 </w:t>
            </w:r>
          </w:p>
        </w:tc>
        <w:tc>
          <w:tcPr>
            <w:tcW w:w="362" w:type="pct"/>
            <w:tcBorders>
              <w:top w:val="single" w:sz="6" w:space="0" w:color="auto"/>
              <w:left w:val="nil"/>
              <w:bottom w:val="single" w:sz="12" w:space="0" w:color="auto"/>
              <w:right w:val="nil"/>
            </w:tcBorders>
            <w:vAlign w:val="bottom"/>
          </w:tcPr>
          <w:p w14:paraId="449E42E3"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362.382 </w:t>
            </w:r>
          </w:p>
        </w:tc>
        <w:tc>
          <w:tcPr>
            <w:tcW w:w="362" w:type="pct"/>
            <w:tcBorders>
              <w:top w:val="single" w:sz="6" w:space="0" w:color="auto"/>
              <w:left w:val="nil"/>
              <w:bottom w:val="single" w:sz="12" w:space="0" w:color="auto"/>
              <w:right w:val="nil"/>
            </w:tcBorders>
            <w:vAlign w:val="bottom"/>
          </w:tcPr>
          <w:p w14:paraId="0678EA37"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159.052 </w:t>
            </w:r>
          </w:p>
        </w:tc>
        <w:tc>
          <w:tcPr>
            <w:tcW w:w="362" w:type="pct"/>
            <w:tcBorders>
              <w:top w:val="single" w:sz="6" w:space="0" w:color="auto"/>
              <w:left w:val="nil"/>
              <w:bottom w:val="single" w:sz="12" w:space="0" w:color="auto"/>
              <w:right w:val="nil"/>
            </w:tcBorders>
            <w:vAlign w:val="bottom"/>
          </w:tcPr>
          <w:p w14:paraId="67BDFB19"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92.371 </w:t>
            </w:r>
          </w:p>
        </w:tc>
        <w:tc>
          <w:tcPr>
            <w:tcW w:w="362" w:type="pct"/>
            <w:tcBorders>
              <w:top w:val="single" w:sz="6" w:space="0" w:color="auto"/>
              <w:left w:val="nil"/>
              <w:bottom w:val="single" w:sz="12" w:space="0" w:color="auto"/>
              <w:right w:val="nil"/>
            </w:tcBorders>
            <w:vAlign w:val="bottom"/>
          </w:tcPr>
          <w:p w14:paraId="7E56D3FB"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782 </w:t>
            </w:r>
          </w:p>
        </w:tc>
        <w:tc>
          <w:tcPr>
            <w:tcW w:w="379" w:type="pct"/>
            <w:tcBorders>
              <w:top w:val="single" w:sz="6" w:space="0" w:color="auto"/>
              <w:left w:val="nil"/>
              <w:bottom w:val="single" w:sz="12" w:space="0" w:color="auto"/>
              <w:right w:val="nil"/>
            </w:tcBorders>
            <w:vAlign w:val="bottom"/>
          </w:tcPr>
          <w:p w14:paraId="640F4595"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 </w:t>
            </w:r>
          </w:p>
        </w:tc>
        <w:tc>
          <w:tcPr>
            <w:tcW w:w="349" w:type="pct"/>
            <w:tcBorders>
              <w:top w:val="single" w:sz="6" w:space="0" w:color="auto"/>
              <w:left w:val="nil"/>
              <w:bottom w:val="single" w:sz="12" w:space="0" w:color="auto"/>
              <w:right w:val="nil"/>
            </w:tcBorders>
            <w:vAlign w:val="bottom"/>
          </w:tcPr>
          <w:p w14:paraId="38ED59A5"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614.587 </w:t>
            </w:r>
          </w:p>
        </w:tc>
      </w:tr>
      <w:tr w:rsidR="004E2F51" w:rsidRPr="00882573" w14:paraId="14FC3BE1" w14:textId="77777777" w:rsidTr="00E032FC">
        <w:trPr>
          <w:trHeight w:val="44"/>
          <w:jc w:val="center"/>
        </w:trPr>
        <w:tc>
          <w:tcPr>
            <w:tcW w:w="915" w:type="pct"/>
            <w:vAlign w:val="center"/>
          </w:tcPr>
          <w:p w14:paraId="5C8B56AB" w14:textId="77777777" w:rsidR="004E2F51" w:rsidRPr="00882573" w:rsidRDefault="004E2F51" w:rsidP="00E032FC">
            <w:pPr>
              <w:tabs>
                <w:tab w:val="right" w:pos="1202"/>
              </w:tabs>
              <w:spacing w:line="301" w:lineRule="exact"/>
              <w:outlineLvl w:val="0"/>
              <w:rPr>
                <w:rFonts w:ascii="Arial" w:eastAsia="Calibri" w:hAnsi="Arial" w:cs="Arial"/>
                <w:b/>
                <w:bCs/>
                <w:color w:val="000000" w:themeColor="text1"/>
                <w:sz w:val="14"/>
                <w:szCs w:val="14"/>
                <w:lang w:val="hr-HR"/>
              </w:rPr>
            </w:pPr>
            <w:r w:rsidRPr="00882573">
              <w:rPr>
                <w:rFonts w:ascii="Arial" w:eastAsia="Calibri" w:hAnsi="Arial" w:cs="Arial"/>
                <w:b/>
                <w:bCs/>
                <w:color w:val="000000" w:themeColor="text1"/>
                <w:sz w:val="14"/>
                <w:szCs w:val="14"/>
                <w:lang w:val="hr-HR"/>
              </w:rPr>
              <w:t>Ukupna izloženost kreditnom riziku</w:t>
            </w:r>
          </w:p>
        </w:tc>
        <w:tc>
          <w:tcPr>
            <w:tcW w:w="319" w:type="pct"/>
            <w:tcBorders>
              <w:top w:val="nil"/>
              <w:left w:val="nil"/>
              <w:bottom w:val="single" w:sz="12" w:space="0" w:color="auto"/>
              <w:right w:val="nil"/>
            </w:tcBorders>
            <w:shd w:val="clear" w:color="auto" w:fill="auto"/>
            <w:vAlign w:val="bottom"/>
          </w:tcPr>
          <w:p w14:paraId="6888BEA0"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27.786.807 </w:t>
            </w:r>
          </w:p>
        </w:tc>
        <w:tc>
          <w:tcPr>
            <w:tcW w:w="311" w:type="pct"/>
            <w:tcBorders>
              <w:top w:val="nil"/>
              <w:left w:val="nil"/>
              <w:bottom w:val="single" w:sz="12" w:space="0" w:color="auto"/>
              <w:right w:val="nil"/>
            </w:tcBorders>
            <w:shd w:val="clear" w:color="auto" w:fill="auto"/>
            <w:vAlign w:val="bottom"/>
          </w:tcPr>
          <w:p w14:paraId="6105FE87"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1.285.228 </w:t>
            </w:r>
          </w:p>
        </w:tc>
        <w:tc>
          <w:tcPr>
            <w:tcW w:w="314" w:type="pct"/>
            <w:tcBorders>
              <w:top w:val="nil"/>
              <w:left w:val="nil"/>
              <w:bottom w:val="single" w:sz="12" w:space="0" w:color="auto"/>
              <w:right w:val="nil"/>
            </w:tcBorders>
            <w:shd w:val="clear" w:color="auto" w:fill="auto"/>
            <w:vAlign w:val="bottom"/>
          </w:tcPr>
          <w:p w14:paraId="3E026B4B"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1.413.884 </w:t>
            </w:r>
          </w:p>
        </w:tc>
        <w:tc>
          <w:tcPr>
            <w:tcW w:w="313" w:type="pct"/>
            <w:tcBorders>
              <w:top w:val="nil"/>
              <w:left w:val="nil"/>
              <w:bottom w:val="single" w:sz="12" w:space="0" w:color="auto"/>
              <w:right w:val="nil"/>
            </w:tcBorders>
            <w:shd w:val="clear" w:color="auto" w:fill="auto"/>
            <w:vAlign w:val="bottom"/>
          </w:tcPr>
          <w:p w14:paraId="7DDAE573"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1.230.215 </w:t>
            </w:r>
          </w:p>
        </w:tc>
        <w:tc>
          <w:tcPr>
            <w:tcW w:w="341" w:type="pct"/>
            <w:tcBorders>
              <w:top w:val="nil"/>
              <w:left w:val="nil"/>
              <w:bottom w:val="single" w:sz="12" w:space="0" w:color="auto"/>
              <w:right w:val="nil"/>
            </w:tcBorders>
            <w:shd w:val="clear" w:color="auto" w:fill="auto"/>
            <w:vAlign w:val="bottom"/>
          </w:tcPr>
          <w:p w14:paraId="51A15860"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16.375 </w:t>
            </w:r>
          </w:p>
        </w:tc>
        <w:tc>
          <w:tcPr>
            <w:tcW w:w="313" w:type="pct"/>
            <w:tcBorders>
              <w:top w:val="nil"/>
              <w:left w:val="nil"/>
              <w:bottom w:val="single" w:sz="12" w:space="0" w:color="auto"/>
              <w:right w:val="nil"/>
            </w:tcBorders>
            <w:shd w:val="clear" w:color="auto" w:fill="auto"/>
            <w:vAlign w:val="bottom"/>
          </w:tcPr>
          <w:p w14:paraId="35C82E6C"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31.732.509 </w:t>
            </w:r>
          </w:p>
        </w:tc>
        <w:tc>
          <w:tcPr>
            <w:tcW w:w="362" w:type="pct"/>
            <w:tcBorders>
              <w:top w:val="nil"/>
              <w:left w:val="nil"/>
              <w:bottom w:val="single" w:sz="12" w:space="0" w:color="auto"/>
              <w:right w:val="nil"/>
            </w:tcBorders>
            <w:vAlign w:val="bottom"/>
          </w:tcPr>
          <w:p w14:paraId="5BA9AD04"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6.089.503 </w:t>
            </w:r>
          </w:p>
        </w:tc>
        <w:tc>
          <w:tcPr>
            <w:tcW w:w="362" w:type="pct"/>
            <w:tcBorders>
              <w:top w:val="nil"/>
              <w:left w:val="nil"/>
              <w:bottom w:val="single" w:sz="12" w:space="0" w:color="auto"/>
              <w:right w:val="nil"/>
            </w:tcBorders>
            <w:vAlign w:val="bottom"/>
          </w:tcPr>
          <w:p w14:paraId="175F4CBF"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251.856 </w:t>
            </w:r>
          </w:p>
        </w:tc>
        <w:tc>
          <w:tcPr>
            <w:tcW w:w="362" w:type="pct"/>
            <w:tcBorders>
              <w:top w:val="nil"/>
              <w:left w:val="nil"/>
              <w:bottom w:val="single" w:sz="12" w:space="0" w:color="auto"/>
              <w:right w:val="nil"/>
            </w:tcBorders>
            <w:vAlign w:val="bottom"/>
          </w:tcPr>
          <w:p w14:paraId="3E0FEA24"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300.194 </w:t>
            </w:r>
          </w:p>
        </w:tc>
        <w:tc>
          <w:tcPr>
            <w:tcW w:w="362" w:type="pct"/>
            <w:tcBorders>
              <w:top w:val="nil"/>
              <w:left w:val="nil"/>
              <w:bottom w:val="single" w:sz="12" w:space="0" w:color="auto"/>
              <w:right w:val="nil"/>
            </w:tcBorders>
            <w:vAlign w:val="bottom"/>
          </w:tcPr>
          <w:p w14:paraId="03964E1C"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35.602 </w:t>
            </w:r>
          </w:p>
        </w:tc>
        <w:tc>
          <w:tcPr>
            <w:tcW w:w="379" w:type="pct"/>
            <w:tcBorders>
              <w:top w:val="nil"/>
              <w:left w:val="nil"/>
              <w:bottom w:val="single" w:sz="12" w:space="0" w:color="auto"/>
              <w:right w:val="nil"/>
            </w:tcBorders>
            <w:vAlign w:val="bottom"/>
          </w:tcPr>
          <w:p w14:paraId="383F3248"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16.375 </w:t>
            </w:r>
          </w:p>
        </w:tc>
        <w:tc>
          <w:tcPr>
            <w:tcW w:w="349" w:type="pct"/>
            <w:tcBorders>
              <w:top w:val="nil"/>
              <w:left w:val="nil"/>
              <w:bottom w:val="single" w:sz="12" w:space="0" w:color="auto"/>
              <w:right w:val="nil"/>
            </w:tcBorders>
            <w:vAlign w:val="bottom"/>
          </w:tcPr>
          <w:p w14:paraId="6B78D124" w14:textId="77777777" w:rsidR="004E2F51" w:rsidRPr="00882573" w:rsidRDefault="004E2F51" w:rsidP="00E032FC">
            <w:pPr>
              <w:tabs>
                <w:tab w:val="right" w:pos="1202"/>
              </w:tabs>
              <w:spacing w:line="301" w:lineRule="exact"/>
              <w:jc w:val="right"/>
              <w:outlineLvl w:val="0"/>
              <w:rPr>
                <w:rFonts w:ascii="Arial" w:eastAsia="Calibri" w:hAnsi="Arial" w:cs="Arial"/>
                <w:b/>
                <w:bCs/>
                <w:color w:val="000000" w:themeColor="text1"/>
                <w:sz w:val="14"/>
                <w:szCs w:val="14"/>
                <w:lang w:val="hr-HR"/>
              </w:rPr>
            </w:pPr>
            <w:r w:rsidRPr="00882573">
              <w:rPr>
                <w:rFonts w:ascii="Arial" w:hAnsi="Arial" w:cs="Arial"/>
                <w:b/>
                <w:bCs/>
                <w:sz w:val="14"/>
                <w:szCs w:val="14"/>
              </w:rPr>
              <w:t xml:space="preserve"> 6.693.530 </w:t>
            </w:r>
          </w:p>
        </w:tc>
      </w:tr>
    </w:tbl>
    <w:p w14:paraId="2B91EC80" w14:textId="77777777" w:rsidR="004E2F51" w:rsidRPr="00B91D09" w:rsidRDefault="004E2F51" w:rsidP="004E2F51">
      <w:pPr>
        <w:pStyle w:val="T1"/>
        <w:spacing w:before="0" w:after="0" w:line="240" w:lineRule="auto"/>
        <w:rPr>
          <w:rFonts w:cs="Arial"/>
          <w:color w:val="000000" w:themeColor="text1"/>
          <w:sz w:val="22"/>
          <w:szCs w:val="22"/>
          <w:lang w:val="hr-HR"/>
        </w:rPr>
        <w:sectPr w:rsidR="004E2F51" w:rsidRPr="00B91D09" w:rsidSect="00623DBA">
          <w:footerReference w:type="default" r:id="rId190"/>
          <w:pgSz w:w="16840" w:h="11907" w:orient="landscape" w:code="9"/>
          <w:pgMar w:top="1418" w:right="1418" w:bottom="1134" w:left="1134" w:header="851" w:footer="851" w:gutter="0"/>
          <w:cols w:space="720"/>
          <w:noEndnote/>
          <w:docGrid w:linePitch="326"/>
        </w:sectPr>
      </w:pPr>
    </w:p>
    <w:p w14:paraId="182AA219" w14:textId="77777777" w:rsidR="004E2F51" w:rsidRPr="00AD5A5C" w:rsidRDefault="004E2F51" w:rsidP="004E2F51">
      <w:pPr>
        <w:pStyle w:val="T1"/>
        <w:spacing w:before="0" w:after="0" w:line="240" w:lineRule="auto"/>
        <w:rPr>
          <w:rFonts w:cs="Arial"/>
          <w:color w:val="000000" w:themeColor="text1"/>
          <w:sz w:val="20"/>
          <w:lang w:val="hr-HR"/>
        </w:rPr>
      </w:pPr>
    </w:p>
    <w:p w14:paraId="36996A61" w14:textId="77777777" w:rsidR="004E2F51" w:rsidRPr="00AD5A5C" w:rsidRDefault="004E2F51" w:rsidP="004E2F51">
      <w:pPr>
        <w:pStyle w:val="T1"/>
        <w:spacing w:before="0" w:after="0" w:line="240" w:lineRule="auto"/>
        <w:rPr>
          <w:rFonts w:cs="Arial"/>
          <w:color w:val="000000" w:themeColor="text1"/>
          <w:sz w:val="20"/>
          <w:lang w:val="hr-HR"/>
        </w:rPr>
      </w:pPr>
      <w:r w:rsidRPr="00AD5A5C">
        <w:rPr>
          <w:rFonts w:cs="Arial"/>
          <w:color w:val="000000" w:themeColor="text1"/>
          <w:sz w:val="20"/>
          <w:lang w:val="hr-HR"/>
        </w:rPr>
        <w:t>3</w:t>
      </w:r>
      <w:r>
        <w:rPr>
          <w:rFonts w:cs="Arial"/>
          <w:color w:val="000000" w:themeColor="text1"/>
          <w:sz w:val="20"/>
          <w:lang w:val="hr-HR"/>
        </w:rPr>
        <w:t>1</w:t>
      </w:r>
      <w:r w:rsidRPr="00AD5A5C">
        <w:rPr>
          <w:rFonts w:cs="Arial"/>
          <w:color w:val="000000" w:themeColor="text1"/>
          <w:sz w:val="20"/>
          <w:lang w:val="hr-HR"/>
        </w:rPr>
        <w:t>.</w:t>
      </w:r>
      <w:r w:rsidRPr="00AD5A5C">
        <w:rPr>
          <w:rFonts w:cs="Arial"/>
          <w:color w:val="000000" w:themeColor="text1"/>
          <w:sz w:val="20"/>
          <w:lang w:val="hr-HR"/>
        </w:rPr>
        <w:tab/>
        <w:t>Upravljanje rizicima (nastavak)</w:t>
      </w:r>
    </w:p>
    <w:p w14:paraId="3692E826" w14:textId="77777777" w:rsidR="004E2F51" w:rsidRPr="00AD5A5C" w:rsidRDefault="004E2F51" w:rsidP="004E2F51">
      <w:pPr>
        <w:pStyle w:val="T1"/>
        <w:spacing w:before="0" w:after="0" w:line="240" w:lineRule="auto"/>
        <w:rPr>
          <w:rFonts w:cs="Arial"/>
          <w:color w:val="000000" w:themeColor="text1"/>
          <w:sz w:val="20"/>
          <w:lang w:val="hr-HR"/>
        </w:rPr>
      </w:pPr>
    </w:p>
    <w:p w14:paraId="3CE0DCA3" w14:textId="77777777" w:rsidR="004E2F51" w:rsidRPr="00AD5A5C" w:rsidRDefault="004E2F51" w:rsidP="004E2F51">
      <w:pPr>
        <w:pStyle w:val="T1"/>
        <w:spacing w:before="0" w:after="0" w:line="240" w:lineRule="auto"/>
        <w:rPr>
          <w:rFonts w:cs="Arial"/>
          <w:color w:val="000000" w:themeColor="text1"/>
          <w:sz w:val="20"/>
          <w:lang w:val="hr-HR"/>
        </w:rPr>
      </w:pPr>
      <w:r w:rsidRPr="00AD5A5C">
        <w:rPr>
          <w:rFonts w:cs="Arial"/>
          <w:color w:val="000000" w:themeColor="text1"/>
          <w:sz w:val="20"/>
          <w:lang w:val="hr-HR"/>
        </w:rPr>
        <w:t>3</w:t>
      </w:r>
      <w:r>
        <w:rPr>
          <w:rFonts w:cs="Arial"/>
          <w:color w:val="000000" w:themeColor="text1"/>
          <w:sz w:val="20"/>
          <w:lang w:val="hr-HR"/>
        </w:rPr>
        <w:t>1</w:t>
      </w:r>
      <w:r w:rsidRPr="00AD5A5C">
        <w:rPr>
          <w:rFonts w:cs="Arial"/>
          <w:color w:val="000000" w:themeColor="text1"/>
          <w:sz w:val="20"/>
          <w:lang w:val="hr-HR"/>
        </w:rPr>
        <w:t xml:space="preserve">.3. </w:t>
      </w:r>
      <w:r w:rsidRPr="00AD5A5C">
        <w:rPr>
          <w:rFonts w:cs="Arial"/>
          <w:color w:val="000000" w:themeColor="text1"/>
          <w:sz w:val="20"/>
          <w:lang w:val="hr-HR"/>
        </w:rPr>
        <w:tab/>
        <w:t>Kreditni rizik (nastavak)</w:t>
      </w:r>
    </w:p>
    <w:p w14:paraId="197D2319" w14:textId="77777777" w:rsidR="004E2F51" w:rsidRPr="00AD5A5C" w:rsidRDefault="004E2F51" w:rsidP="004E2F51">
      <w:pPr>
        <w:pStyle w:val="T1"/>
        <w:spacing w:before="0" w:after="0" w:line="240" w:lineRule="auto"/>
        <w:rPr>
          <w:rFonts w:cs="Arial"/>
          <w:color w:val="000000" w:themeColor="text1"/>
          <w:sz w:val="20"/>
          <w:lang w:val="hr-HR"/>
        </w:rPr>
      </w:pPr>
    </w:p>
    <w:p w14:paraId="70B82D4D" w14:textId="77777777" w:rsidR="004E2F51" w:rsidRPr="00AD5A5C" w:rsidRDefault="004E2F51" w:rsidP="004E2F51">
      <w:pPr>
        <w:pStyle w:val="T1"/>
        <w:spacing w:before="120" w:after="0" w:line="240" w:lineRule="auto"/>
        <w:rPr>
          <w:rFonts w:cs="Arial"/>
          <w:color w:val="000000" w:themeColor="text1"/>
          <w:sz w:val="20"/>
          <w:lang w:val="hr-HR"/>
        </w:rPr>
      </w:pPr>
      <w:r w:rsidRPr="00AD5A5C">
        <w:rPr>
          <w:rFonts w:cs="Arial"/>
          <w:color w:val="000000" w:themeColor="text1"/>
          <w:sz w:val="20"/>
          <w:lang w:val="hr-HR"/>
        </w:rPr>
        <w:t>Kvaliteta kreditnog rizika prema vrsti financijske imovine (nastavak)</w:t>
      </w:r>
    </w:p>
    <w:p w14:paraId="64AEDE27" w14:textId="77777777" w:rsidR="004E2F51" w:rsidRPr="00AD5A5C" w:rsidRDefault="004E2F51" w:rsidP="004E2F51">
      <w:pPr>
        <w:tabs>
          <w:tab w:val="left" w:pos="9180"/>
        </w:tabs>
        <w:jc w:val="both"/>
        <w:rPr>
          <w:rFonts w:ascii="Arial" w:eastAsia="Calibri" w:hAnsi="Arial" w:cs="Arial"/>
          <w:bCs/>
          <w:color w:val="000000" w:themeColor="text1"/>
          <w:sz w:val="20"/>
          <w:szCs w:val="20"/>
          <w:lang w:val="hr-HR"/>
        </w:rPr>
      </w:pPr>
    </w:p>
    <w:p w14:paraId="238D6FB0" w14:textId="77777777" w:rsidR="004E2F51" w:rsidRPr="00AD5A5C" w:rsidRDefault="004E2F51" w:rsidP="004E2F51">
      <w:pPr>
        <w:jc w:val="both"/>
        <w:rPr>
          <w:rFonts w:ascii="Arial" w:hAnsi="Arial" w:cs="Arial"/>
          <w:sz w:val="20"/>
          <w:szCs w:val="20"/>
          <w:lang w:val="hr-HR"/>
        </w:rPr>
      </w:pPr>
      <w:r w:rsidRPr="00AD5A5C">
        <w:rPr>
          <w:rFonts w:ascii="Arial" w:eastAsia="Calibri" w:hAnsi="Arial" w:cs="Arial"/>
          <w:bCs/>
          <w:color w:val="000000" w:themeColor="text1"/>
          <w:sz w:val="20"/>
          <w:szCs w:val="20"/>
          <w:lang w:val="hr-HR"/>
        </w:rPr>
        <w:t>Na dan 31. prosinca 202</w:t>
      </w:r>
      <w:r>
        <w:rPr>
          <w:rFonts w:ascii="Arial" w:eastAsia="Calibri" w:hAnsi="Arial" w:cs="Arial"/>
          <w:bCs/>
          <w:color w:val="000000" w:themeColor="text1"/>
          <w:sz w:val="20"/>
          <w:szCs w:val="20"/>
          <w:lang w:val="hr-HR"/>
        </w:rPr>
        <w:t>2</w:t>
      </w:r>
      <w:r w:rsidRPr="00AD5A5C">
        <w:rPr>
          <w:rFonts w:ascii="Arial" w:eastAsia="Calibri" w:hAnsi="Arial" w:cs="Arial"/>
          <w:bCs/>
          <w:color w:val="000000" w:themeColor="text1"/>
          <w:sz w:val="20"/>
          <w:szCs w:val="20"/>
          <w:lang w:val="hr-HR"/>
        </w:rPr>
        <w:t>. u ukupnoj neto najvećoj izloženosti Grupe i Banke i</w:t>
      </w:r>
      <w:r w:rsidRPr="00AD5A5C">
        <w:rPr>
          <w:rFonts w:ascii="Arial" w:eastAsia="Calibri" w:hAnsi="Arial" w:cs="Arial"/>
          <w:color w:val="000000" w:themeColor="text1"/>
          <w:sz w:val="20"/>
          <w:szCs w:val="20"/>
          <w:lang w:val="hr-HR"/>
        </w:rPr>
        <w:t xml:space="preserve">znos kredita ostalim korisnicima od </w:t>
      </w:r>
      <w:r w:rsidRPr="00291059">
        <w:rPr>
          <w:rFonts w:ascii="Arial" w:hAnsi="Arial" w:cs="Arial"/>
          <w:sz w:val="20"/>
          <w:szCs w:val="20"/>
          <w:lang w:val="hr-HR"/>
        </w:rPr>
        <w:t>1.453.948</w:t>
      </w:r>
      <w:r>
        <w:rPr>
          <w:rFonts w:ascii="Arial" w:hAnsi="Arial" w:cs="Arial"/>
          <w:sz w:val="20"/>
          <w:szCs w:val="20"/>
          <w:lang w:val="hr-HR"/>
        </w:rPr>
        <w:t xml:space="preserve"> </w:t>
      </w:r>
      <w:r w:rsidRPr="00AD5A5C">
        <w:rPr>
          <w:rFonts w:ascii="Arial" w:eastAsia="Calibri" w:hAnsi="Arial" w:cs="Arial"/>
          <w:color w:val="000000" w:themeColor="text1"/>
          <w:sz w:val="20"/>
          <w:szCs w:val="20"/>
          <w:lang w:val="hr-HR"/>
        </w:rPr>
        <w:t xml:space="preserve">tisuća kuna nije pokriven uobičajenim instrumentima osiguranja, ali se odnosi na potraživanja i primljena sredstva od Republike Hrvatske u iznosu od </w:t>
      </w:r>
      <w:r w:rsidRPr="00291059">
        <w:rPr>
          <w:rFonts w:ascii="Arial" w:hAnsi="Arial" w:cs="Arial"/>
          <w:sz w:val="20"/>
          <w:szCs w:val="20"/>
          <w:lang w:val="hr-HR"/>
        </w:rPr>
        <w:t>540.315</w:t>
      </w:r>
      <w:r>
        <w:rPr>
          <w:rFonts w:ascii="Arial" w:hAnsi="Arial" w:cs="Arial"/>
          <w:sz w:val="20"/>
          <w:szCs w:val="20"/>
          <w:lang w:val="hr-HR"/>
        </w:rPr>
        <w:t xml:space="preserve"> </w:t>
      </w:r>
      <w:r w:rsidRPr="00AD5A5C">
        <w:rPr>
          <w:rFonts w:ascii="Arial" w:eastAsia="Calibri" w:hAnsi="Arial" w:cs="Arial"/>
          <w:color w:val="000000" w:themeColor="text1"/>
          <w:sz w:val="20"/>
          <w:szCs w:val="20"/>
          <w:lang w:val="hr-HR"/>
        </w:rPr>
        <w:t xml:space="preserve">tisuća kuna, jedinica lokalne i područne (regionalne) samouprave u iznosu od </w:t>
      </w:r>
      <w:r w:rsidRPr="00291059">
        <w:rPr>
          <w:rFonts w:ascii="Arial" w:hAnsi="Arial" w:cs="Arial"/>
          <w:sz w:val="20"/>
          <w:szCs w:val="20"/>
          <w:lang w:val="hr-HR"/>
        </w:rPr>
        <w:t>757.542</w:t>
      </w:r>
      <w:r>
        <w:rPr>
          <w:rFonts w:ascii="Arial" w:hAnsi="Arial" w:cs="Arial"/>
          <w:sz w:val="20"/>
          <w:szCs w:val="20"/>
          <w:lang w:val="hr-HR"/>
        </w:rPr>
        <w:t xml:space="preserve"> </w:t>
      </w:r>
      <w:r w:rsidRPr="00AD5A5C">
        <w:rPr>
          <w:rFonts w:ascii="Arial" w:eastAsia="Calibri" w:hAnsi="Arial" w:cs="Arial"/>
          <w:color w:val="000000" w:themeColor="text1"/>
          <w:sz w:val="20"/>
          <w:szCs w:val="20"/>
          <w:lang w:val="hr-HR"/>
        </w:rPr>
        <w:t xml:space="preserve">tisuća kuna te državnih trgovačkih društava za čije obveze Republika Hrvatska odgovara solidarno i neograničeno u iznosu od </w:t>
      </w:r>
      <w:r w:rsidRPr="00291059">
        <w:rPr>
          <w:rFonts w:ascii="Arial" w:hAnsi="Arial" w:cs="Arial"/>
          <w:sz w:val="20"/>
          <w:szCs w:val="20"/>
          <w:lang w:val="hr-HR"/>
        </w:rPr>
        <w:t>156.091</w:t>
      </w:r>
      <w:r>
        <w:rPr>
          <w:rFonts w:ascii="Arial" w:hAnsi="Arial" w:cs="Arial"/>
          <w:sz w:val="20"/>
          <w:szCs w:val="20"/>
          <w:lang w:val="hr-HR"/>
        </w:rPr>
        <w:t xml:space="preserve"> </w:t>
      </w:r>
      <w:r w:rsidRPr="00AD5A5C">
        <w:rPr>
          <w:rFonts w:ascii="Arial" w:eastAsia="Calibri" w:hAnsi="Arial" w:cs="Arial"/>
          <w:color w:val="000000" w:themeColor="text1"/>
          <w:sz w:val="20"/>
          <w:szCs w:val="20"/>
          <w:lang w:val="hr-HR"/>
        </w:rPr>
        <w:t>tisuća</w:t>
      </w:r>
      <w:r>
        <w:rPr>
          <w:rFonts w:ascii="Arial" w:eastAsia="Calibri" w:hAnsi="Arial" w:cs="Arial"/>
          <w:color w:val="000000" w:themeColor="text1"/>
          <w:sz w:val="20"/>
          <w:szCs w:val="20"/>
          <w:lang w:val="hr-HR"/>
        </w:rPr>
        <w:t xml:space="preserve"> kuna</w:t>
      </w:r>
      <w:r w:rsidRPr="00AD5A5C">
        <w:rPr>
          <w:rFonts w:ascii="Arial" w:eastAsia="Calibri" w:hAnsi="Arial" w:cs="Arial"/>
          <w:color w:val="000000" w:themeColor="text1"/>
          <w:sz w:val="20"/>
          <w:szCs w:val="20"/>
          <w:lang w:val="hr-HR"/>
        </w:rPr>
        <w:t xml:space="preserve">. </w:t>
      </w:r>
    </w:p>
    <w:p w14:paraId="04026D89" w14:textId="77777777" w:rsidR="004E2F51" w:rsidRPr="00AD5A5C" w:rsidRDefault="004E2F51" w:rsidP="004E2F51">
      <w:pPr>
        <w:tabs>
          <w:tab w:val="left" w:pos="9180"/>
        </w:tabs>
        <w:ind w:right="-289"/>
        <w:jc w:val="both"/>
        <w:rPr>
          <w:rFonts w:ascii="Arial" w:eastAsia="Calibri" w:hAnsi="Arial" w:cs="Arial"/>
          <w:color w:val="000000" w:themeColor="text1"/>
          <w:sz w:val="20"/>
          <w:szCs w:val="20"/>
          <w:lang w:val="hr-HR"/>
        </w:rPr>
      </w:pPr>
    </w:p>
    <w:p w14:paraId="6C30D5E4" w14:textId="77777777" w:rsidR="004E2F51" w:rsidRPr="00AD5A5C" w:rsidRDefault="004E2F51" w:rsidP="004E2F51">
      <w:pPr>
        <w:jc w:val="both"/>
        <w:rPr>
          <w:rFonts w:ascii="Arial" w:hAnsi="Arial" w:cs="Arial"/>
          <w:b/>
          <w:bCs/>
          <w:color w:val="FF0000"/>
          <w:sz w:val="20"/>
          <w:szCs w:val="20"/>
          <w:lang w:val="hr-HR"/>
        </w:rPr>
      </w:pPr>
      <w:r w:rsidRPr="00AD5A5C">
        <w:rPr>
          <w:rFonts w:ascii="Arial" w:eastAsia="Calibri" w:hAnsi="Arial" w:cs="Arial"/>
          <w:bCs/>
          <w:color w:val="000000" w:themeColor="text1"/>
          <w:sz w:val="20"/>
          <w:szCs w:val="20"/>
          <w:lang w:val="hr-HR"/>
        </w:rPr>
        <w:t>Na dan 31. prosinca 202</w:t>
      </w:r>
      <w:r>
        <w:rPr>
          <w:rFonts w:ascii="Arial" w:eastAsia="Calibri" w:hAnsi="Arial" w:cs="Arial"/>
          <w:bCs/>
          <w:color w:val="000000" w:themeColor="text1"/>
          <w:sz w:val="20"/>
          <w:szCs w:val="20"/>
          <w:lang w:val="hr-HR"/>
        </w:rPr>
        <w:t>2</w:t>
      </w:r>
      <w:r w:rsidRPr="00AD5A5C">
        <w:rPr>
          <w:rFonts w:ascii="Arial" w:eastAsia="Calibri" w:hAnsi="Arial" w:cs="Arial"/>
          <w:bCs/>
          <w:color w:val="000000" w:themeColor="text1"/>
          <w:sz w:val="20"/>
          <w:szCs w:val="20"/>
          <w:lang w:val="hr-HR"/>
        </w:rPr>
        <w:t xml:space="preserve">. </w:t>
      </w:r>
      <w:r w:rsidRPr="00AD5A5C">
        <w:rPr>
          <w:rFonts w:ascii="Arial" w:eastAsia="Calibri" w:hAnsi="Arial" w:cs="Arial"/>
          <w:color w:val="000000" w:themeColor="text1"/>
          <w:sz w:val="20"/>
          <w:szCs w:val="20"/>
          <w:lang w:val="hr-HR"/>
        </w:rPr>
        <w:t xml:space="preserve">iznos financijske imovine po fer vrijednosti kroz ostalu sveobuhvatnu nije pokriven uobičajenim instrumentima, ali se odnosi na obveznice Republike Hrvatske i trezorske zapise Ministarstva financija u iznosu od </w:t>
      </w:r>
      <w:r w:rsidRPr="00291059">
        <w:rPr>
          <w:rFonts w:ascii="Arial" w:hAnsi="Arial" w:cs="Arial"/>
          <w:sz w:val="20"/>
          <w:szCs w:val="20"/>
          <w:lang w:val="hr-HR"/>
        </w:rPr>
        <w:t>2.629.299</w:t>
      </w:r>
      <w:r>
        <w:rPr>
          <w:rFonts w:ascii="Arial" w:hAnsi="Arial" w:cs="Arial"/>
          <w:sz w:val="20"/>
          <w:szCs w:val="20"/>
          <w:lang w:val="hr-HR"/>
        </w:rPr>
        <w:t xml:space="preserve"> </w:t>
      </w:r>
      <w:r w:rsidRPr="00AD5A5C">
        <w:rPr>
          <w:rFonts w:ascii="Arial" w:eastAsia="Calibri" w:hAnsi="Arial" w:cs="Arial"/>
          <w:sz w:val="20"/>
          <w:szCs w:val="20"/>
          <w:lang w:val="hr-HR"/>
        </w:rPr>
        <w:t xml:space="preserve">tisuća </w:t>
      </w:r>
      <w:r w:rsidRPr="00AD5A5C">
        <w:rPr>
          <w:rFonts w:ascii="Arial" w:eastAsia="Calibri" w:hAnsi="Arial" w:cs="Arial"/>
          <w:color w:val="000000" w:themeColor="text1"/>
          <w:sz w:val="20"/>
          <w:szCs w:val="20"/>
          <w:lang w:val="hr-HR"/>
        </w:rPr>
        <w:t xml:space="preserve">kuna kod Grupe i </w:t>
      </w:r>
      <w:r w:rsidRPr="00291059">
        <w:rPr>
          <w:rFonts w:ascii="Arial" w:hAnsi="Arial" w:cs="Arial"/>
          <w:sz w:val="20"/>
          <w:szCs w:val="20"/>
          <w:lang w:val="hr-HR"/>
        </w:rPr>
        <w:t>2.584.329</w:t>
      </w:r>
      <w:r>
        <w:rPr>
          <w:rFonts w:ascii="Arial" w:hAnsi="Arial" w:cs="Arial"/>
          <w:sz w:val="20"/>
          <w:szCs w:val="20"/>
          <w:lang w:val="hr-HR"/>
        </w:rPr>
        <w:t xml:space="preserve"> </w:t>
      </w:r>
      <w:r w:rsidRPr="00AD5A5C">
        <w:rPr>
          <w:rFonts w:ascii="Arial" w:eastAsia="Calibri" w:hAnsi="Arial" w:cs="Arial"/>
          <w:color w:val="000000" w:themeColor="text1"/>
          <w:sz w:val="20"/>
          <w:szCs w:val="20"/>
          <w:lang w:val="hr-HR"/>
        </w:rPr>
        <w:t>tisuća kuna kod Banke.</w:t>
      </w:r>
    </w:p>
    <w:p w14:paraId="288A83B7" w14:textId="77777777" w:rsidR="004E2F51" w:rsidRPr="00AD5A5C" w:rsidRDefault="004E2F51" w:rsidP="004E2F51">
      <w:pPr>
        <w:tabs>
          <w:tab w:val="left" w:pos="9180"/>
        </w:tabs>
        <w:jc w:val="both"/>
        <w:rPr>
          <w:rFonts w:ascii="Arial" w:eastAsia="Calibri" w:hAnsi="Arial" w:cs="Arial"/>
          <w:color w:val="000000" w:themeColor="text1"/>
          <w:sz w:val="20"/>
          <w:szCs w:val="20"/>
          <w:lang w:val="hr-HR"/>
        </w:rPr>
      </w:pPr>
    </w:p>
    <w:p w14:paraId="64EBCEEE" w14:textId="77777777" w:rsidR="004E2F51" w:rsidRPr="00AD5A5C" w:rsidRDefault="004E2F51" w:rsidP="004E2F51">
      <w:pPr>
        <w:tabs>
          <w:tab w:val="left" w:pos="9180"/>
        </w:tabs>
        <w:jc w:val="both"/>
        <w:rPr>
          <w:rFonts w:ascii="Arial" w:eastAsia="Calibri" w:hAnsi="Arial" w:cs="Arial"/>
          <w:color w:val="000000" w:themeColor="text1"/>
          <w:sz w:val="20"/>
          <w:szCs w:val="20"/>
          <w:lang w:val="hr-HR"/>
        </w:rPr>
      </w:pPr>
      <w:r w:rsidRPr="00AD5A5C">
        <w:rPr>
          <w:rFonts w:ascii="Arial" w:eastAsia="Calibri" w:hAnsi="Arial" w:cs="Arial"/>
          <w:bCs/>
          <w:color w:val="000000" w:themeColor="text1"/>
          <w:sz w:val="20"/>
          <w:szCs w:val="20"/>
          <w:lang w:val="hr-HR"/>
        </w:rPr>
        <w:t>Na dan 31. prosinca 202</w:t>
      </w:r>
      <w:r>
        <w:rPr>
          <w:rFonts w:ascii="Arial" w:eastAsia="Calibri" w:hAnsi="Arial" w:cs="Arial"/>
          <w:bCs/>
          <w:color w:val="000000" w:themeColor="text1"/>
          <w:sz w:val="20"/>
          <w:szCs w:val="20"/>
          <w:lang w:val="hr-HR"/>
        </w:rPr>
        <w:t>2</w:t>
      </w:r>
      <w:r w:rsidRPr="00AD5A5C">
        <w:rPr>
          <w:rFonts w:ascii="Arial" w:eastAsia="Calibri" w:hAnsi="Arial" w:cs="Arial"/>
          <w:bCs/>
          <w:color w:val="000000" w:themeColor="text1"/>
          <w:sz w:val="20"/>
          <w:szCs w:val="20"/>
          <w:lang w:val="hr-HR"/>
        </w:rPr>
        <w:t xml:space="preserve">. </w:t>
      </w:r>
      <w:r w:rsidRPr="00AD5A5C">
        <w:rPr>
          <w:rFonts w:ascii="Arial" w:eastAsia="Calibri" w:hAnsi="Arial" w:cs="Arial"/>
          <w:color w:val="000000" w:themeColor="text1"/>
          <w:sz w:val="20"/>
          <w:szCs w:val="20"/>
          <w:lang w:val="hr-HR"/>
        </w:rPr>
        <w:t xml:space="preserve">ostala imovina u iznosu od </w:t>
      </w:r>
      <w:r>
        <w:rPr>
          <w:rFonts w:ascii="Arial" w:eastAsia="Calibri" w:hAnsi="Arial" w:cs="Arial"/>
          <w:color w:val="000000" w:themeColor="text1"/>
          <w:sz w:val="20"/>
          <w:szCs w:val="20"/>
          <w:lang w:val="hr-HR"/>
        </w:rPr>
        <w:t>181</w:t>
      </w:r>
      <w:r w:rsidRPr="00AD5A5C">
        <w:rPr>
          <w:rFonts w:ascii="Arial" w:eastAsia="Calibri" w:hAnsi="Arial" w:cs="Arial"/>
          <w:color w:val="000000" w:themeColor="text1"/>
          <w:sz w:val="20"/>
          <w:szCs w:val="20"/>
          <w:lang w:val="hr-HR"/>
        </w:rPr>
        <w:t xml:space="preserve"> tisuća kuna nije pokrivena uobičajenim instrumentima osiguranja, ali se odnosi na potraživanja od Republike Hrvatske i republičkih fondova. </w:t>
      </w:r>
    </w:p>
    <w:p w14:paraId="456E7D4B" w14:textId="77777777" w:rsidR="004E2F51" w:rsidRPr="00AD5A5C" w:rsidRDefault="004E2F51" w:rsidP="004E2F51">
      <w:pPr>
        <w:tabs>
          <w:tab w:val="left" w:pos="9180"/>
        </w:tabs>
        <w:ind w:right="-289"/>
        <w:jc w:val="both"/>
        <w:rPr>
          <w:rFonts w:ascii="Arial" w:eastAsia="Calibri" w:hAnsi="Arial" w:cs="Arial"/>
          <w:bCs/>
          <w:color w:val="000000" w:themeColor="text1"/>
          <w:sz w:val="20"/>
          <w:szCs w:val="20"/>
          <w:lang w:val="hr-HR"/>
        </w:rPr>
      </w:pPr>
    </w:p>
    <w:p w14:paraId="3AC97140" w14:textId="77777777" w:rsidR="004E2F51" w:rsidRPr="00AD5A5C" w:rsidRDefault="004E2F51" w:rsidP="004E2F51">
      <w:pPr>
        <w:tabs>
          <w:tab w:val="left" w:pos="9180"/>
        </w:tabs>
        <w:jc w:val="both"/>
        <w:rPr>
          <w:rFonts w:ascii="Arial" w:eastAsia="Calibri" w:hAnsi="Arial" w:cs="Arial"/>
          <w:bCs/>
          <w:color w:val="000000" w:themeColor="text1"/>
          <w:sz w:val="20"/>
          <w:szCs w:val="20"/>
          <w:lang w:val="hr-HR"/>
        </w:rPr>
      </w:pPr>
      <w:r w:rsidRPr="00AD5A5C">
        <w:rPr>
          <w:rFonts w:ascii="Arial" w:eastAsia="Calibri" w:hAnsi="Arial" w:cs="Arial"/>
          <w:bCs/>
          <w:color w:val="000000" w:themeColor="text1"/>
          <w:sz w:val="20"/>
          <w:szCs w:val="20"/>
          <w:lang w:val="hr-HR"/>
        </w:rPr>
        <w:t>Na dan 31. prosinca 2021. u ukupnoj neto najvećoj izloženosti Grupe i Banke iznos kredita ostalim korisnicima od 1.436.818 tisuća kuna nije pokriven uobičajenim instrumentima osiguranja, ali se odnosi na potraživanja i primljena sredstva od Republike Hrvatske u iznosu od 478.759 tisuća kuna, jedinica lokalne i područne (regionalne) samouprave u iznosu od 777.947 tisuća kuna te državnih trgovačkih društava za čije obveze Republika Hrvatska odgovara solidarno i neograničeno u iznosu od 180.112 tisuća</w:t>
      </w:r>
      <w:r>
        <w:rPr>
          <w:rFonts w:ascii="Arial" w:eastAsia="Calibri" w:hAnsi="Arial" w:cs="Arial"/>
          <w:bCs/>
          <w:color w:val="000000" w:themeColor="text1"/>
          <w:sz w:val="20"/>
          <w:szCs w:val="20"/>
          <w:lang w:val="hr-HR"/>
        </w:rPr>
        <w:t xml:space="preserve"> kuna</w:t>
      </w:r>
      <w:r w:rsidRPr="00AD5A5C">
        <w:rPr>
          <w:rFonts w:ascii="Arial" w:eastAsia="Calibri" w:hAnsi="Arial" w:cs="Arial"/>
          <w:bCs/>
          <w:color w:val="000000" w:themeColor="text1"/>
          <w:sz w:val="20"/>
          <w:szCs w:val="20"/>
          <w:lang w:val="hr-HR"/>
        </w:rPr>
        <w:t xml:space="preserve">. </w:t>
      </w:r>
    </w:p>
    <w:p w14:paraId="5D0A7745" w14:textId="77777777" w:rsidR="004E2F51" w:rsidRPr="00AD5A5C" w:rsidRDefault="004E2F51" w:rsidP="004E2F51">
      <w:pPr>
        <w:tabs>
          <w:tab w:val="left" w:pos="9180"/>
        </w:tabs>
        <w:jc w:val="both"/>
        <w:rPr>
          <w:rFonts w:ascii="Arial" w:eastAsia="Calibri" w:hAnsi="Arial" w:cs="Arial"/>
          <w:bCs/>
          <w:color w:val="000000" w:themeColor="text1"/>
          <w:sz w:val="20"/>
          <w:szCs w:val="20"/>
          <w:lang w:val="hr-HR"/>
        </w:rPr>
      </w:pPr>
    </w:p>
    <w:p w14:paraId="758E75CB" w14:textId="77777777" w:rsidR="004E2F51" w:rsidRPr="00AD5A5C" w:rsidRDefault="004E2F51" w:rsidP="004E2F51">
      <w:pPr>
        <w:tabs>
          <w:tab w:val="left" w:pos="9180"/>
        </w:tabs>
        <w:jc w:val="both"/>
        <w:rPr>
          <w:rFonts w:ascii="Arial" w:eastAsia="Calibri" w:hAnsi="Arial" w:cs="Arial"/>
          <w:bCs/>
          <w:color w:val="000000" w:themeColor="text1"/>
          <w:sz w:val="20"/>
          <w:szCs w:val="20"/>
          <w:lang w:val="hr-HR"/>
        </w:rPr>
      </w:pPr>
      <w:r w:rsidRPr="00AD5A5C">
        <w:rPr>
          <w:rFonts w:ascii="Arial" w:eastAsia="Calibri" w:hAnsi="Arial" w:cs="Arial"/>
          <w:bCs/>
          <w:color w:val="000000" w:themeColor="text1"/>
          <w:sz w:val="20"/>
          <w:szCs w:val="20"/>
          <w:lang w:val="hr-HR"/>
        </w:rPr>
        <w:t>Na dan 31. prosinca 2021. iznos financijske imovine po fer vrijednosti kroz ostalu sveobuhvatnu nije pokriven uobičajenim instrumentima, ali se odnosi na obveznice Republike Hrvatske i trezorske zapise Ministarstva financija u iznosu od 2.924.943 tisuća kuna kod Grupe i 2.870.512 tisuća kuna kod Banke.</w:t>
      </w:r>
    </w:p>
    <w:p w14:paraId="7549E3E1" w14:textId="77777777" w:rsidR="004E2F51" w:rsidRPr="00AD5A5C" w:rsidRDefault="004E2F51" w:rsidP="004E2F51">
      <w:pPr>
        <w:tabs>
          <w:tab w:val="left" w:pos="9180"/>
        </w:tabs>
        <w:jc w:val="both"/>
        <w:rPr>
          <w:rFonts w:ascii="Arial" w:eastAsia="Calibri" w:hAnsi="Arial" w:cs="Arial"/>
          <w:bCs/>
          <w:color w:val="000000" w:themeColor="text1"/>
          <w:sz w:val="20"/>
          <w:szCs w:val="20"/>
          <w:lang w:val="hr-HR"/>
        </w:rPr>
      </w:pPr>
    </w:p>
    <w:p w14:paraId="2EB827C0" w14:textId="77777777" w:rsidR="004E2F51" w:rsidRPr="00AD5A5C" w:rsidRDefault="004E2F51" w:rsidP="004E2F51">
      <w:pPr>
        <w:tabs>
          <w:tab w:val="left" w:pos="9180"/>
        </w:tabs>
        <w:jc w:val="both"/>
        <w:rPr>
          <w:rFonts w:ascii="Arial" w:eastAsia="Calibri" w:hAnsi="Arial" w:cs="Arial"/>
          <w:color w:val="000000" w:themeColor="text1"/>
          <w:sz w:val="20"/>
          <w:szCs w:val="20"/>
          <w:lang w:val="hr-HR"/>
        </w:rPr>
      </w:pPr>
      <w:r w:rsidRPr="00AD5A5C">
        <w:rPr>
          <w:rFonts w:ascii="Arial" w:eastAsia="Calibri" w:hAnsi="Arial" w:cs="Arial"/>
          <w:bCs/>
          <w:color w:val="000000" w:themeColor="text1"/>
          <w:sz w:val="20"/>
          <w:szCs w:val="20"/>
          <w:lang w:val="hr-HR"/>
        </w:rPr>
        <w:t>Na dan 31. prosinca 2021. ostala imovina u iznosu od 167 tisuća kuna nije pokrivena uobičajenim instrumentima osiguranja, ali se odnosi na potraživanja od Republike Hrvatske i republičkih fondova.</w:t>
      </w:r>
    </w:p>
    <w:p w14:paraId="69D9B1B6" w14:textId="77777777" w:rsidR="004E2F51" w:rsidRPr="00AD5A5C" w:rsidRDefault="004E2F51" w:rsidP="004E2F51">
      <w:pPr>
        <w:pStyle w:val="T1"/>
        <w:spacing w:before="0" w:after="0" w:line="240" w:lineRule="auto"/>
        <w:rPr>
          <w:rFonts w:cs="Arial"/>
          <w:color w:val="000000" w:themeColor="text1"/>
          <w:sz w:val="20"/>
          <w:lang w:val="hr-HR"/>
        </w:rPr>
      </w:pPr>
    </w:p>
    <w:p w14:paraId="5F837F76" w14:textId="77777777" w:rsidR="004E2F51" w:rsidRPr="00B91D09" w:rsidRDefault="004E2F51" w:rsidP="004E2F51">
      <w:pPr>
        <w:pStyle w:val="T1"/>
        <w:spacing w:before="0" w:after="0" w:line="240" w:lineRule="auto"/>
        <w:rPr>
          <w:rFonts w:cs="Arial"/>
          <w:color w:val="000000" w:themeColor="text1"/>
          <w:sz w:val="22"/>
          <w:szCs w:val="22"/>
          <w:lang w:val="hr-HR"/>
        </w:rPr>
      </w:pPr>
    </w:p>
    <w:p w14:paraId="52BDC4BB" w14:textId="77777777" w:rsidR="004E2F51" w:rsidRPr="00B91D09" w:rsidRDefault="004E2F51" w:rsidP="004E2F51">
      <w:pPr>
        <w:pStyle w:val="T1"/>
        <w:spacing w:before="0" w:after="0" w:line="240" w:lineRule="auto"/>
        <w:rPr>
          <w:rFonts w:cs="Arial"/>
          <w:color w:val="000000" w:themeColor="text1"/>
          <w:sz w:val="22"/>
          <w:szCs w:val="22"/>
          <w:lang w:val="hr-HR"/>
        </w:rPr>
        <w:sectPr w:rsidR="004E2F51" w:rsidRPr="00B91D09" w:rsidSect="00623DBA">
          <w:footerReference w:type="default" r:id="rId191"/>
          <w:pgSz w:w="11907" w:h="16840" w:code="9"/>
          <w:pgMar w:top="1418" w:right="1134" w:bottom="1134" w:left="1418" w:header="851" w:footer="851" w:gutter="0"/>
          <w:cols w:space="720"/>
          <w:noEndnote/>
        </w:sectPr>
      </w:pPr>
    </w:p>
    <w:p w14:paraId="5531253B" w14:textId="77777777" w:rsidR="004E2F51" w:rsidRPr="001B015B" w:rsidRDefault="004E2F51" w:rsidP="004E2F51">
      <w:pPr>
        <w:pStyle w:val="T1"/>
        <w:spacing w:before="0" w:after="0" w:line="240" w:lineRule="auto"/>
        <w:rPr>
          <w:rFonts w:cs="Arial"/>
          <w:color w:val="000000" w:themeColor="text1"/>
          <w:sz w:val="20"/>
          <w:lang w:val="hr-HR"/>
        </w:rPr>
      </w:pPr>
    </w:p>
    <w:p w14:paraId="596E2678" w14:textId="77777777" w:rsidR="004E2F51" w:rsidRPr="001B015B" w:rsidRDefault="004E2F51" w:rsidP="004E2F51">
      <w:pPr>
        <w:pStyle w:val="T1"/>
        <w:spacing w:before="0" w:after="0" w:line="240" w:lineRule="auto"/>
        <w:rPr>
          <w:rFonts w:cs="Arial"/>
          <w:color w:val="000000" w:themeColor="text1"/>
          <w:sz w:val="20"/>
          <w:lang w:val="hr-HR"/>
        </w:rPr>
      </w:pPr>
      <w:bookmarkStart w:id="1642" w:name="_Hlk1732888"/>
      <w:bookmarkStart w:id="1643" w:name="_Hlk1733949"/>
      <w:r w:rsidRPr="001B015B">
        <w:rPr>
          <w:rFonts w:cs="Arial"/>
          <w:color w:val="000000" w:themeColor="text1"/>
          <w:sz w:val="20"/>
          <w:lang w:val="hr-HR"/>
        </w:rPr>
        <w:t>3</w:t>
      </w:r>
      <w:r>
        <w:rPr>
          <w:rFonts w:cs="Arial"/>
          <w:color w:val="000000" w:themeColor="text1"/>
          <w:sz w:val="20"/>
          <w:lang w:val="hr-HR"/>
        </w:rPr>
        <w:t>1</w:t>
      </w:r>
      <w:r w:rsidRPr="001B015B">
        <w:rPr>
          <w:rFonts w:cs="Arial"/>
          <w:color w:val="000000" w:themeColor="text1"/>
          <w:sz w:val="20"/>
          <w:lang w:val="hr-HR"/>
        </w:rPr>
        <w:t>.</w:t>
      </w:r>
      <w:r w:rsidRPr="001B015B">
        <w:rPr>
          <w:rFonts w:cs="Arial"/>
          <w:color w:val="000000" w:themeColor="text1"/>
          <w:sz w:val="20"/>
          <w:lang w:val="hr-HR"/>
        </w:rPr>
        <w:tab/>
        <w:t>Upravljanje rizicima (nastavak)</w:t>
      </w:r>
    </w:p>
    <w:p w14:paraId="71C6A1DB" w14:textId="77777777" w:rsidR="004E2F51" w:rsidRPr="001B015B" w:rsidRDefault="004E2F51" w:rsidP="004E2F51">
      <w:pPr>
        <w:pStyle w:val="T1"/>
        <w:spacing w:before="0" w:after="0" w:line="240" w:lineRule="auto"/>
        <w:rPr>
          <w:rFonts w:cs="Arial"/>
          <w:color w:val="000000" w:themeColor="text1"/>
          <w:sz w:val="20"/>
          <w:lang w:val="hr-HR"/>
        </w:rPr>
      </w:pPr>
    </w:p>
    <w:p w14:paraId="6C3C4DB6" w14:textId="77777777" w:rsidR="004E2F51" w:rsidRPr="001B015B" w:rsidRDefault="004E2F51" w:rsidP="004E2F51">
      <w:pPr>
        <w:pStyle w:val="T1"/>
        <w:spacing w:before="0" w:after="0" w:line="240" w:lineRule="auto"/>
        <w:rPr>
          <w:rFonts w:cs="Arial"/>
          <w:color w:val="000000" w:themeColor="text1"/>
          <w:sz w:val="20"/>
          <w:lang w:val="hr-HR"/>
        </w:rPr>
      </w:pPr>
      <w:r w:rsidRPr="001B015B">
        <w:rPr>
          <w:rFonts w:cs="Arial"/>
          <w:color w:val="000000" w:themeColor="text1"/>
          <w:sz w:val="20"/>
          <w:lang w:val="hr-HR"/>
        </w:rPr>
        <w:t>3</w:t>
      </w:r>
      <w:r>
        <w:rPr>
          <w:rFonts w:cs="Arial"/>
          <w:color w:val="000000" w:themeColor="text1"/>
          <w:sz w:val="20"/>
          <w:lang w:val="hr-HR"/>
        </w:rPr>
        <w:t>1</w:t>
      </w:r>
      <w:r w:rsidRPr="001B015B">
        <w:rPr>
          <w:rFonts w:cs="Arial"/>
          <w:color w:val="000000" w:themeColor="text1"/>
          <w:sz w:val="20"/>
          <w:lang w:val="hr-HR"/>
        </w:rPr>
        <w:t xml:space="preserve">.3. </w:t>
      </w:r>
      <w:r w:rsidRPr="001B015B">
        <w:rPr>
          <w:rFonts w:cs="Arial"/>
          <w:color w:val="000000" w:themeColor="text1"/>
          <w:sz w:val="20"/>
          <w:lang w:val="hr-HR"/>
        </w:rPr>
        <w:tab/>
        <w:t>Kreditni rizik (nastavak)</w:t>
      </w:r>
    </w:p>
    <w:p w14:paraId="607E2265" w14:textId="77777777" w:rsidR="004E2F51" w:rsidRPr="001B015B" w:rsidRDefault="004E2F51" w:rsidP="004E2F51">
      <w:pPr>
        <w:pStyle w:val="T1"/>
        <w:spacing w:before="0" w:after="0" w:line="240" w:lineRule="auto"/>
        <w:rPr>
          <w:rFonts w:cs="Arial"/>
          <w:color w:val="000000" w:themeColor="text1"/>
          <w:sz w:val="20"/>
          <w:lang w:val="hr-HR"/>
        </w:rPr>
      </w:pPr>
    </w:p>
    <w:p w14:paraId="61FA7074" w14:textId="77777777" w:rsidR="004E2F51" w:rsidRPr="001B015B" w:rsidRDefault="004E2F51">
      <w:pPr>
        <w:pStyle w:val="T1"/>
        <w:numPr>
          <w:ilvl w:val="8"/>
          <w:numId w:val="64"/>
        </w:numPr>
        <w:suppressAutoHyphens w:val="0"/>
        <w:autoSpaceDN/>
        <w:spacing w:before="0" w:after="0" w:line="240" w:lineRule="auto"/>
        <w:ind w:left="284" w:hanging="284"/>
        <w:jc w:val="left"/>
        <w:outlineLvl w:val="9"/>
        <w:rPr>
          <w:rFonts w:cs="Arial"/>
          <w:b w:val="0"/>
          <w:i/>
          <w:color w:val="000000" w:themeColor="text1"/>
          <w:sz w:val="20"/>
          <w:lang w:val="hr-HR"/>
        </w:rPr>
      </w:pPr>
      <w:bookmarkStart w:id="1644" w:name="_Hlk1734146"/>
      <w:r w:rsidRPr="001B015B">
        <w:rPr>
          <w:rFonts w:cs="Arial"/>
          <w:b w:val="0"/>
          <w:i/>
          <w:color w:val="000000" w:themeColor="text1"/>
          <w:sz w:val="20"/>
          <w:lang w:val="hr-HR"/>
        </w:rPr>
        <w:t>Promjene po rezerviranjima</w:t>
      </w:r>
    </w:p>
    <w:bookmarkEnd w:id="1642"/>
    <w:p w14:paraId="5FB90454" w14:textId="77777777" w:rsidR="004E2F51" w:rsidRPr="001B015B" w:rsidRDefault="004E2F51" w:rsidP="004E2F51">
      <w:pPr>
        <w:pStyle w:val="T1"/>
        <w:spacing w:before="0" w:after="0" w:line="240" w:lineRule="auto"/>
        <w:jc w:val="left"/>
        <w:rPr>
          <w:rFonts w:cs="Arial"/>
          <w:b w:val="0"/>
          <w:i/>
          <w:color w:val="000000" w:themeColor="text1"/>
          <w:sz w:val="20"/>
          <w:lang w:val="hr-HR"/>
        </w:rPr>
      </w:pPr>
    </w:p>
    <w:p w14:paraId="57E803D3" w14:textId="77777777" w:rsidR="004E2F51" w:rsidRPr="001B015B" w:rsidRDefault="004E2F51" w:rsidP="004E2F51">
      <w:pPr>
        <w:pStyle w:val="T1"/>
        <w:spacing w:before="0" w:after="0" w:line="240" w:lineRule="auto"/>
        <w:jc w:val="left"/>
        <w:rPr>
          <w:rFonts w:cs="Arial"/>
          <w:b w:val="0"/>
          <w:color w:val="000000" w:themeColor="text1"/>
          <w:sz w:val="20"/>
          <w:lang w:val="hr-HR"/>
        </w:rPr>
      </w:pPr>
      <w:r w:rsidRPr="001B015B">
        <w:rPr>
          <w:rFonts w:cs="Arial"/>
          <w:b w:val="0"/>
          <w:color w:val="000000" w:themeColor="text1"/>
          <w:sz w:val="20"/>
          <w:lang w:val="hr-HR"/>
        </w:rPr>
        <w:t>U sljedećim tablicama prikazuju se promjene po rezerviranjima od početnog do završnog stanja prema vrsti financijskog instrumenta i prema rizičnim skupinama:</w:t>
      </w:r>
    </w:p>
    <w:p w14:paraId="7AE79269" w14:textId="77777777" w:rsidR="004E2F51" w:rsidRPr="001B015B" w:rsidRDefault="004E2F51" w:rsidP="004E2F51">
      <w:pPr>
        <w:pStyle w:val="T1"/>
        <w:spacing w:before="0" w:after="0" w:line="240" w:lineRule="auto"/>
        <w:jc w:val="left"/>
        <w:rPr>
          <w:rFonts w:cs="Arial"/>
          <w:b w:val="0"/>
          <w:i/>
          <w:color w:val="000000" w:themeColor="text1"/>
          <w:sz w:val="20"/>
          <w:lang w:val="hr-HR"/>
        </w:rPr>
      </w:pPr>
    </w:p>
    <w:p w14:paraId="20E8C167" w14:textId="77777777" w:rsidR="004E2F51" w:rsidRPr="001B015B" w:rsidRDefault="004E2F51" w:rsidP="004E2F51">
      <w:pPr>
        <w:pStyle w:val="T1"/>
        <w:spacing w:before="0" w:after="0" w:line="240" w:lineRule="auto"/>
        <w:jc w:val="left"/>
        <w:rPr>
          <w:rFonts w:cs="Arial"/>
          <w:color w:val="000000" w:themeColor="text1"/>
          <w:sz w:val="20"/>
          <w:lang w:val="hr-HR"/>
        </w:rPr>
      </w:pPr>
      <w:r w:rsidRPr="001B015B">
        <w:rPr>
          <w:rFonts w:cs="Arial"/>
          <w:color w:val="000000" w:themeColor="text1"/>
          <w:sz w:val="20"/>
          <w:lang w:val="hr-HR"/>
        </w:rPr>
        <w:t>Novčana sredstva i računi kod banaka</w:t>
      </w:r>
    </w:p>
    <w:p w14:paraId="1C505E9E" w14:textId="77777777" w:rsidR="004E2F51" w:rsidRPr="001B015B" w:rsidRDefault="004E2F51" w:rsidP="004E2F51">
      <w:pPr>
        <w:keepNext/>
        <w:jc w:val="both"/>
        <w:rPr>
          <w:rFonts w:ascii="Arial" w:hAnsi="Arial" w:cs="Arial"/>
          <w:b/>
          <w:bCs/>
          <w:color w:val="000000" w:themeColor="text1"/>
          <w:sz w:val="20"/>
          <w:szCs w:val="20"/>
          <w:lang w:val="hr-HR"/>
        </w:rPr>
      </w:pPr>
    </w:p>
    <w:tbl>
      <w:tblPr>
        <w:tblW w:w="9411" w:type="dxa"/>
        <w:tblInd w:w="-142" w:type="dxa"/>
        <w:tblLook w:val="04A0" w:firstRow="1" w:lastRow="0" w:firstColumn="1" w:lastColumn="0" w:noHBand="0" w:noVBand="1"/>
      </w:tblPr>
      <w:tblGrid>
        <w:gridCol w:w="3889"/>
        <w:gridCol w:w="1098"/>
        <w:gridCol w:w="1089"/>
        <w:gridCol w:w="1089"/>
        <w:gridCol w:w="1084"/>
        <w:gridCol w:w="1162"/>
      </w:tblGrid>
      <w:tr w:rsidR="004E2F51" w:rsidRPr="001B015B" w14:paraId="46D808AA" w14:textId="77777777" w:rsidTr="00E032FC">
        <w:trPr>
          <w:trHeight w:val="164"/>
        </w:trPr>
        <w:tc>
          <w:tcPr>
            <w:tcW w:w="3889" w:type="dxa"/>
            <w:tcBorders>
              <w:top w:val="nil"/>
              <w:left w:val="nil"/>
              <w:bottom w:val="nil"/>
              <w:right w:val="nil"/>
            </w:tcBorders>
            <w:shd w:val="clear" w:color="auto" w:fill="auto"/>
            <w:vAlign w:val="center"/>
          </w:tcPr>
          <w:p w14:paraId="524A90D7"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Grupa </w:t>
            </w:r>
          </w:p>
        </w:tc>
        <w:tc>
          <w:tcPr>
            <w:tcW w:w="1098" w:type="dxa"/>
            <w:tcBorders>
              <w:top w:val="nil"/>
              <w:left w:val="nil"/>
              <w:bottom w:val="nil"/>
              <w:right w:val="nil"/>
            </w:tcBorders>
            <w:shd w:val="clear" w:color="auto" w:fill="auto"/>
            <w:vAlign w:val="center"/>
          </w:tcPr>
          <w:p w14:paraId="11A35FDA"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43A0D635"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0C4688F2"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09006FA7"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62" w:type="dxa"/>
            <w:tcBorders>
              <w:top w:val="nil"/>
              <w:left w:val="nil"/>
              <w:bottom w:val="nil"/>
              <w:right w:val="nil"/>
            </w:tcBorders>
            <w:shd w:val="clear" w:color="auto" w:fill="auto"/>
            <w:vAlign w:val="center"/>
          </w:tcPr>
          <w:p w14:paraId="70C814EF"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0FB8FBDA" w14:textId="77777777" w:rsidTr="00E032FC">
        <w:trPr>
          <w:trHeight w:val="164"/>
        </w:trPr>
        <w:tc>
          <w:tcPr>
            <w:tcW w:w="3889" w:type="dxa"/>
            <w:tcBorders>
              <w:top w:val="nil"/>
              <w:left w:val="nil"/>
              <w:bottom w:val="nil"/>
              <w:right w:val="nil"/>
            </w:tcBorders>
            <w:shd w:val="clear" w:color="auto" w:fill="auto"/>
            <w:vAlign w:val="center"/>
            <w:hideMark/>
          </w:tcPr>
          <w:p w14:paraId="68D134B4"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098" w:type="dxa"/>
            <w:tcBorders>
              <w:top w:val="nil"/>
              <w:left w:val="nil"/>
              <w:bottom w:val="nil"/>
              <w:right w:val="nil"/>
            </w:tcBorders>
            <w:shd w:val="clear" w:color="auto" w:fill="auto"/>
            <w:vAlign w:val="center"/>
            <w:hideMark/>
          </w:tcPr>
          <w:p w14:paraId="3CDFBA27"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89" w:type="dxa"/>
            <w:tcBorders>
              <w:top w:val="nil"/>
              <w:left w:val="nil"/>
              <w:bottom w:val="nil"/>
              <w:right w:val="nil"/>
            </w:tcBorders>
            <w:shd w:val="clear" w:color="auto" w:fill="auto"/>
            <w:vAlign w:val="center"/>
            <w:hideMark/>
          </w:tcPr>
          <w:p w14:paraId="6DF53F0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89" w:type="dxa"/>
            <w:tcBorders>
              <w:top w:val="nil"/>
              <w:left w:val="nil"/>
              <w:bottom w:val="nil"/>
              <w:right w:val="nil"/>
            </w:tcBorders>
            <w:shd w:val="clear" w:color="auto" w:fill="auto"/>
            <w:vAlign w:val="center"/>
            <w:hideMark/>
          </w:tcPr>
          <w:p w14:paraId="74811AEE"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84" w:type="dxa"/>
            <w:tcBorders>
              <w:top w:val="nil"/>
              <w:left w:val="nil"/>
              <w:bottom w:val="nil"/>
              <w:right w:val="nil"/>
            </w:tcBorders>
            <w:shd w:val="clear" w:color="auto" w:fill="auto"/>
            <w:vAlign w:val="center"/>
            <w:hideMark/>
          </w:tcPr>
          <w:p w14:paraId="17F31FAA"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62" w:type="dxa"/>
            <w:tcBorders>
              <w:top w:val="nil"/>
              <w:left w:val="nil"/>
              <w:bottom w:val="nil"/>
              <w:right w:val="nil"/>
            </w:tcBorders>
            <w:shd w:val="clear" w:color="auto" w:fill="auto"/>
            <w:vAlign w:val="center"/>
            <w:hideMark/>
          </w:tcPr>
          <w:p w14:paraId="65127254"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005B1C81" w14:textId="77777777" w:rsidTr="00E032FC">
        <w:trPr>
          <w:trHeight w:val="164"/>
        </w:trPr>
        <w:tc>
          <w:tcPr>
            <w:tcW w:w="3889" w:type="dxa"/>
            <w:tcBorders>
              <w:top w:val="nil"/>
              <w:left w:val="nil"/>
              <w:bottom w:val="nil"/>
              <w:right w:val="nil"/>
            </w:tcBorders>
            <w:shd w:val="clear" w:color="auto" w:fill="auto"/>
            <w:vAlign w:val="center"/>
            <w:hideMark/>
          </w:tcPr>
          <w:p w14:paraId="46A28CEC"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hideMark/>
          </w:tcPr>
          <w:p w14:paraId="6505127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89" w:type="dxa"/>
            <w:tcBorders>
              <w:top w:val="nil"/>
              <w:left w:val="nil"/>
              <w:bottom w:val="nil"/>
              <w:right w:val="nil"/>
            </w:tcBorders>
            <w:shd w:val="clear" w:color="auto" w:fill="auto"/>
            <w:vAlign w:val="center"/>
            <w:hideMark/>
          </w:tcPr>
          <w:p w14:paraId="0EA1A204"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89" w:type="dxa"/>
            <w:tcBorders>
              <w:top w:val="nil"/>
              <w:left w:val="nil"/>
              <w:bottom w:val="nil"/>
              <w:right w:val="nil"/>
            </w:tcBorders>
            <w:shd w:val="clear" w:color="auto" w:fill="auto"/>
            <w:vAlign w:val="center"/>
            <w:hideMark/>
          </w:tcPr>
          <w:p w14:paraId="69D13DEE"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84" w:type="dxa"/>
            <w:tcBorders>
              <w:top w:val="nil"/>
              <w:left w:val="nil"/>
              <w:bottom w:val="nil"/>
              <w:right w:val="nil"/>
            </w:tcBorders>
            <w:shd w:val="clear" w:color="auto" w:fill="auto"/>
            <w:vAlign w:val="center"/>
            <w:hideMark/>
          </w:tcPr>
          <w:p w14:paraId="1B41C26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162" w:type="dxa"/>
            <w:tcBorders>
              <w:top w:val="nil"/>
              <w:left w:val="nil"/>
              <w:bottom w:val="nil"/>
              <w:right w:val="nil"/>
            </w:tcBorders>
            <w:shd w:val="clear" w:color="auto" w:fill="auto"/>
            <w:vAlign w:val="center"/>
            <w:hideMark/>
          </w:tcPr>
          <w:p w14:paraId="44CCD02D"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742BDA13" w14:textId="77777777" w:rsidTr="00E032FC">
        <w:trPr>
          <w:trHeight w:val="164"/>
        </w:trPr>
        <w:tc>
          <w:tcPr>
            <w:tcW w:w="3889" w:type="dxa"/>
            <w:tcBorders>
              <w:top w:val="nil"/>
              <w:left w:val="nil"/>
              <w:bottom w:val="nil"/>
              <w:right w:val="nil"/>
            </w:tcBorders>
            <w:shd w:val="clear" w:color="auto" w:fill="auto"/>
            <w:vAlign w:val="center"/>
          </w:tcPr>
          <w:p w14:paraId="42611F49"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22FA039F"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6C69B34A"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2E10177E"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3A620F1F"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62" w:type="dxa"/>
            <w:tcBorders>
              <w:top w:val="nil"/>
              <w:left w:val="nil"/>
              <w:bottom w:val="nil"/>
              <w:right w:val="nil"/>
            </w:tcBorders>
            <w:shd w:val="clear" w:color="auto" w:fill="auto"/>
            <w:vAlign w:val="center"/>
          </w:tcPr>
          <w:p w14:paraId="5EEAE3A3"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4F13B7CB" w14:textId="77777777" w:rsidTr="00E032FC">
        <w:trPr>
          <w:trHeight w:val="164"/>
        </w:trPr>
        <w:tc>
          <w:tcPr>
            <w:tcW w:w="3889" w:type="dxa"/>
            <w:tcBorders>
              <w:top w:val="nil"/>
              <w:left w:val="nil"/>
              <w:bottom w:val="nil"/>
              <w:right w:val="nil"/>
            </w:tcBorders>
            <w:shd w:val="clear" w:color="auto" w:fill="auto"/>
            <w:vAlign w:val="center"/>
            <w:hideMark/>
          </w:tcPr>
          <w:p w14:paraId="515A0064"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2</w:t>
            </w:r>
            <w:r w:rsidRPr="001B015B">
              <w:rPr>
                <w:rFonts w:ascii="Arial" w:eastAsia="Calibri" w:hAnsi="Arial" w:cs="Arial"/>
                <w:color w:val="000000" w:themeColor="text1"/>
                <w:sz w:val="18"/>
                <w:szCs w:val="18"/>
                <w:lang w:val="hr-HR"/>
              </w:rPr>
              <w:t xml:space="preserve">. </w:t>
            </w:r>
          </w:p>
        </w:tc>
        <w:tc>
          <w:tcPr>
            <w:tcW w:w="1098" w:type="dxa"/>
            <w:shd w:val="clear" w:color="auto" w:fill="auto"/>
          </w:tcPr>
          <w:p w14:paraId="04CDCEFA" w14:textId="77777777" w:rsidR="004E2F51" w:rsidRPr="001B015B" w:rsidRDefault="004E2F51" w:rsidP="00E032FC">
            <w:pPr>
              <w:jc w:val="right"/>
              <w:rPr>
                <w:rFonts w:ascii="Arial" w:eastAsia="Calibri" w:hAnsi="Arial" w:cs="Arial"/>
                <w:color w:val="000000" w:themeColor="text1"/>
                <w:sz w:val="18"/>
                <w:szCs w:val="18"/>
                <w:lang w:val="hr-HR"/>
              </w:rPr>
            </w:pPr>
            <w:r w:rsidRPr="001C3D60">
              <w:rPr>
                <w:rFonts w:ascii="Arial" w:eastAsia="Calibri" w:hAnsi="Arial" w:cs="Arial"/>
                <w:color w:val="000000" w:themeColor="text1"/>
                <w:sz w:val="18"/>
                <w:szCs w:val="18"/>
                <w:lang w:val="hr-HR"/>
              </w:rPr>
              <w:t>1.809</w:t>
            </w:r>
          </w:p>
        </w:tc>
        <w:tc>
          <w:tcPr>
            <w:tcW w:w="1089" w:type="dxa"/>
            <w:shd w:val="clear" w:color="auto" w:fill="auto"/>
          </w:tcPr>
          <w:p w14:paraId="668A0DB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9" w:type="dxa"/>
            <w:shd w:val="clear" w:color="auto" w:fill="auto"/>
          </w:tcPr>
          <w:p w14:paraId="593CBE2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4" w:type="dxa"/>
            <w:shd w:val="clear" w:color="auto" w:fill="auto"/>
          </w:tcPr>
          <w:p w14:paraId="0A56EEF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62" w:type="dxa"/>
            <w:shd w:val="clear" w:color="auto" w:fill="auto"/>
          </w:tcPr>
          <w:p w14:paraId="441AB161" w14:textId="77777777" w:rsidR="004E2F51" w:rsidRPr="001B015B" w:rsidRDefault="004E2F51" w:rsidP="00E032FC">
            <w:pPr>
              <w:jc w:val="right"/>
              <w:rPr>
                <w:rFonts w:ascii="Arial" w:eastAsia="Calibri" w:hAnsi="Arial" w:cs="Arial"/>
                <w:color w:val="000000" w:themeColor="text1"/>
                <w:sz w:val="18"/>
                <w:szCs w:val="18"/>
                <w:lang w:val="hr-HR"/>
              </w:rPr>
            </w:pPr>
            <w:r w:rsidRPr="001C3D60">
              <w:rPr>
                <w:rFonts w:ascii="Arial" w:eastAsia="Calibri" w:hAnsi="Arial" w:cs="Arial"/>
                <w:color w:val="000000" w:themeColor="text1"/>
                <w:sz w:val="18"/>
                <w:szCs w:val="18"/>
                <w:lang w:val="hr-HR"/>
              </w:rPr>
              <w:t>1.809</w:t>
            </w:r>
          </w:p>
        </w:tc>
      </w:tr>
      <w:tr w:rsidR="004E2F51" w:rsidRPr="001B015B" w14:paraId="5B325E20" w14:textId="77777777" w:rsidTr="00E032FC">
        <w:trPr>
          <w:trHeight w:val="164"/>
        </w:trPr>
        <w:tc>
          <w:tcPr>
            <w:tcW w:w="3889" w:type="dxa"/>
            <w:tcBorders>
              <w:top w:val="nil"/>
              <w:left w:val="nil"/>
              <w:bottom w:val="nil"/>
              <w:right w:val="nil"/>
            </w:tcBorders>
            <w:shd w:val="clear" w:color="auto" w:fill="auto"/>
            <w:vAlign w:val="center"/>
            <w:hideMark/>
          </w:tcPr>
          <w:p w14:paraId="427ED39E"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8" w:type="dxa"/>
            <w:shd w:val="clear" w:color="auto" w:fill="auto"/>
            <w:vAlign w:val="bottom"/>
          </w:tcPr>
          <w:p w14:paraId="16892B51"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shd w:val="clear" w:color="auto" w:fill="auto"/>
            <w:vAlign w:val="bottom"/>
          </w:tcPr>
          <w:p w14:paraId="274F90E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89" w:type="dxa"/>
            <w:shd w:val="clear" w:color="auto" w:fill="auto"/>
            <w:vAlign w:val="bottom"/>
          </w:tcPr>
          <w:p w14:paraId="3275C20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84" w:type="dxa"/>
            <w:shd w:val="clear" w:color="auto" w:fill="auto"/>
            <w:vAlign w:val="bottom"/>
          </w:tcPr>
          <w:p w14:paraId="6AA192E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162" w:type="dxa"/>
            <w:shd w:val="clear" w:color="auto" w:fill="auto"/>
            <w:vAlign w:val="bottom"/>
          </w:tcPr>
          <w:p w14:paraId="538CCA1B"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r>
      <w:tr w:rsidR="004E2F51" w:rsidRPr="001B015B" w14:paraId="3890ACB2" w14:textId="77777777" w:rsidTr="00E032FC">
        <w:trPr>
          <w:trHeight w:val="164"/>
        </w:trPr>
        <w:tc>
          <w:tcPr>
            <w:tcW w:w="3889" w:type="dxa"/>
            <w:tcBorders>
              <w:top w:val="nil"/>
              <w:left w:val="nil"/>
              <w:bottom w:val="nil"/>
              <w:right w:val="nil"/>
            </w:tcBorders>
            <w:shd w:val="clear" w:color="auto" w:fill="auto"/>
            <w:vAlign w:val="center"/>
          </w:tcPr>
          <w:p w14:paraId="3651D62E"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8" w:type="dxa"/>
            <w:shd w:val="clear" w:color="auto" w:fill="auto"/>
            <w:vAlign w:val="bottom"/>
          </w:tcPr>
          <w:p w14:paraId="7C927368"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shd w:val="clear" w:color="auto" w:fill="auto"/>
            <w:vAlign w:val="bottom"/>
          </w:tcPr>
          <w:p w14:paraId="19624EA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89" w:type="dxa"/>
            <w:shd w:val="clear" w:color="auto" w:fill="auto"/>
            <w:vAlign w:val="bottom"/>
          </w:tcPr>
          <w:p w14:paraId="6B70F9E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84" w:type="dxa"/>
            <w:shd w:val="clear" w:color="auto" w:fill="auto"/>
            <w:vAlign w:val="bottom"/>
          </w:tcPr>
          <w:p w14:paraId="6830999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162" w:type="dxa"/>
            <w:shd w:val="clear" w:color="auto" w:fill="auto"/>
            <w:vAlign w:val="bottom"/>
          </w:tcPr>
          <w:p w14:paraId="2B8215F2"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r>
      <w:tr w:rsidR="004E2F51" w:rsidRPr="001B015B" w14:paraId="486B97C5" w14:textId="77777777" w:rsidTr="00E032FC">
        <w:trPr>
          <w:trHeight w:val="164"/>
        </w:trPr>
        <w:tc>
          <w:tcPr>
            <w:tcW w:w="3889" w:type="dxa"/>
            <w:tcBorders>
              <w:top w:val="nil"/>
              <w:left w:val="nil"/>
              <w:bottom w:val="nil"/>
              <w:right w:val="nil"/>
            </w:tcBorders>
            <w:shd w:val="clear" w:color="auto" w:fill="auto"/>
            <w:vAlign w:val="center"/>
          </w:tcPr>
          <w:p w14:paraId="213E02F4"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8" w:type="dxa"/>
            <w:shd w:val="clear" w:color="auto" w:fill="auto"/>
            <w:vAlign w:val="bottom"/>
          </w:tcPr>
          <w:p w14:paraId="63041FC2"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89" w:type="dxa"/>
            <w:shd w:val="clear" w:color="auto" w:fill="auto"/>
            <w:vAlign w:val="bottom"/>
          </w:tcPr>
          <w:p w14:paraId="30433C8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89" w:type="dxa"/>
            <w:shd w:val="clear" w:color="auto" w:fill="auto"/>
            <w:vAlign w:val="bottom"/>
          </w:tcPr>
          <w:p w14:paraId="1E74F15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84" w:type="dxa"/>
            <w:shd w:val="clear" w:color="auto" w:fill="auto"/>
            <w:vAlign w:val="bottom"/>
          </w:tcPr>
          <w:p w14:paraId="075B4D3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162" w:type="dxa"/>
            <w:shd w:val="clear" w:color="auto" w:fill="auto"/>
            <w:vAlign w:val="bottom"/>
          </w:tcPr>
          <w:p w14:paraId="54AE93DE"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r>
      <w:tr w:rsidR="004E2F51" w:rsidRPr="001B015B" w14:paraId="476A44A3" w14:textId="77777777" w:rsidTr="00E032FC">
        <w:trPr>
          <w:trHeight w:val="235"/>
        </w:trPr>
        <w:tc>
          <w:tcPr>
            <w:tcW w:w="3889" w:type="dxa"/>
            <w:tcBorders>
              <w:top w:val="nil"/>
              <w:left w:val="nil"/>
              <w:bottom w:val="nil"/>
              <w:right w:val="nil"/>
            </w:tcBorders>
            <w:shd w:val="clear" w:color="auto" w:fill="auto"/>
            <w:vAlign w:val="center"/>
            <w:hideMark/>
          </w:tcPr>
          <w:p w14:paraId="62AA3E86"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1C3D60">
              <w:rPr>
                <w:rFonts w:ascii="Arial" w:eastAsia="Calibri" w:hAnsi="Arial" w:cs="Arial"/>
                <w:color w:val="000000" w:themeColor="text1"/>
                <w:sz w:val="18"/>
                <w:szCs w:val="18"/>
                <w:lang w:val="hr-HR"/>
              </w:rPr>
              <w:t>povećanje</w:t>
            </w:r>
            <w:r w:rsidRPr="001B015B">
              <w:rPr>
                <w:rFonts w:ascii="Arial" w:eastAsia="Calibri" w:hAnsi="Arial" w:cs="Arial"/>
                <w:color w:val="000000" w:themeColor="text1"/>
                <w:sz w:val="18"/>
                <w:szCs w:val="18"/>
                <w:lang w:val="hr-HR"/>
              </w:rPr>
              <w:t xml:space="preserve"> rezerviranja za očekivane gubitke </w:t>
            </w:r>
          </w:p>
        </w:tc>
        <w:tc>
          <w:tcPr>
            <w:tcW w:w="1098" w:type="dxa"/>
            <w:shd w:val="clear" w:color="auto" w:fill="auto"/>
            <w:vAlign w:val="bottom"/>
          </w:tcPr>
          <w:p w14:paraId="382D9257" w14:textId="77777777" w:rsidR="004E2F51" w:rsidRPr="001B015B" w:rsidRDefault="004E2F51" w:rsidP="00E032FC">
            <w:pPr>
              <w:jc w:val="right"/>
              <w:rPr>
                <w:rFonts w:ascii="Arial" w:eastAsia="Calibri" w:hAnsi="Arial" w:cs="Arial"/>
                <w:color w:val="000000" w:themeColor="text1"/>
                <w:sz w:val="18"/>
                <w:szCs w:val="18"/>
                <w:lang w:val="hr-HR"/>
              </w:rPr>
            </w:pPr>
            <w:r w:rsidRPr="001C3D60">
              <w:rPr>
                <w:rFonts w:ascii="Arial" w:eastAsia="Calibri" w:hAnsi="Arial" w:cs="Arial"/>
                <w:color w:val="000000" w:themeColor="text1"/>
                <w:sz w:val="18"/>
                <w:szCs w:val="18"/>
                <w:lang w:val="hr-HR"/>
              </w:rPr>
              <w:t>4.250</w:t>
            </w:r>
          </w:p>
        </w:tc>
        <w:tc>
          <w:tcPr>
            <w:tcW w:w="1089" w:type="dxa"/>
            <w:shd w:val="clear" w:color="auto" w:fill="auto"/>
            <w:vAlign w:val="bottom"/>
          </w:tcPr>
          <w:p w14:paraId="4753F08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9" w:type="dxa"/>
            <w:shd w:val="clear" w:color="auto" w:fill="auto"/>
            <w:vAlign w:val="bottom"/>
          </w:tcPr>
          <w:p w14:paraId="7A3EDAC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4" w:type="dxa"/>
            <w:shd w:val="clear" w:color="auto" w:fill="auto"/>
            <w:vAlign w:val="bottom"/>
          </w:tcPr>
          <w:p w14:paraId="585C1AE6"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62" w:type="dxa"/>
            <w:shd w:val="clear" w:color="auto" w:fill="auto"/>
            <w:vAlign w:val="bottom"/>
          </w:tcPr>
          <w:p w14:paraId="6080C74A" w14:textId="77777777" w:rsidR="004E2F51" w:rsidRPr="001B015B" w:rsidRDefault="004E2F51" w:rsidP="00E032FC">
            <w:pPr>
              <w:jc w:val="right"/>
              <w:rPr>
                <w:rFonts w:ascii="Arial" w:eastAsia="Calibri" w:hAnsi="Arial" w:cs="Arial"/>
                <w:color w:val="000000" w:themeColor="text1"/>
                <w:sz w:val="18"/>
                <w:szCs w:val="18"/>
                <w:lang w:val="hr-HR"/>
              </w:rPr>
            </w:pPr>
            <w:r w:rsidRPr="001C3D60">
              <w:rPr>
                <w:rFonts w:ascii="Arial" w:eastAsia="Calibri" w:hAnsi="Arial" w:cs="Arial"/>
                <w:color w:val="000000" w:themeColor="text1"/>
                <w:sz w:val="18"/>
                <w:szCs w:val="18"/>
                <w:lang w:val="hr-HR"/>
              </w:rPr>
              <w:t>4.250</w:t>
            </w:r>
          </w:p>
        </w:tc>
      </w:tr>
      <w:tr w:rsidR="004E2F51" w:rsidRPr="001B015B" w14:paraId="5FE16C4D" w14:textId="77777777" w:rsidTr="00E032FC">
        <w:trPr>
          <w:trHeight w:val="235"/>
        </w:trPr>
        <w:tc>
          <w:tcPr>
            <w:tcW w:w="3889" w:type="dxa"/>
            <w:tcBorders>
              <w:top w:val="nil"/>
              <w:left w:val="nil"/>
              <w:bottom w:val="nil"/>
              <w:right w:val="nil"/>
            </w:tcBorders>
            <w:shd w:val="clear" w:color="auto" w:fill="auto"/>
            <w:vAlign w:val="center"/>
          </w:tcPr>
          <w:p w14:paraId="52D80A7D"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98" w:type="dxa"/>
            <w:shd w:val="clear" w:color="auto" w:fill="auto"/>
            <w:vAlign w:val="bottom"/>
          </w:tcPr>
          <w:p w14:paraId="45173F1E" w14:textId="77777777" w:rsidR="004E2F51" w:rsidRPr="001B015B" w:rsidRDefault="004E2F51" w:rsidP="00E032FC">
            <w:pPr>
              <w:jc w:val="right"/>
              <w:rPr>
                <w:rFonts w:ascii="Arial" w:eastAsia="Calibri" w:hAnsi="Arial" w:cs="Arial"/>
                <w:color w:val="000000" w:themeColor="text1"/>
                <w:sz w:val="18"/>
                <w:szCs w:val="18"/>
                <w:lang w:val="hr-HR"/>
              </w:rPr>
            </w:pPr>
            <w:r w:rsidRPr="001C3D60">
              <w:rPr>
                <w:rFonts w:ascii="Arial" w:eastAsia="Calibri" w:hAnsi="Arial" w:cs="Arial"/>
                <w:color w:val="000000" w:themeColor="text1"/>
                <w:sz w:val="18"/>
                <w:szCs w:val="18"/>
                <w:lang w:val="hr-HR"/>
              </w:rPr>
              <w:t>5</w:t>
            </w:r>
          </w:p>
        </w:tc>
        <w:tc>
          <w:tcPr>
            <w:tcW w:w="1089" w:type="dxa"/>
            <w:shd w:val="clear" w:color="auto" w:fill="auto"/>
            <w:vAlign w:val="bottom"/>
          </w:tcPr>
          <w:p w14:paraId="27DD365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9" w:type="dxa"/>
            <w:shd w:val="clear" w:color="auto" w:fill="auto"/>
            <w:vAlign w:val="bottom"/>
          </w:tcPr>
          <w:p w14:paraId="6C7A9CA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4" w:type="dxa"/>
            <w:shd w:val="clear" w:color="auto" w:fill="auto"/>
            <w:vAlign w:val="bottom"/>
          </w:tcPr>
          <w:p w14:paraId="36D8352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62" w:type="dxa"/>
            <w:shd w:val="clear" w:color="auto" w:fill="auto"/>
            <w:vAlign w:val="bottom"/>
          </w:tcPr>
          <w:p w14:paraId="1F7B7FC5" w14:textId="77777777" w:rsidR="004E2F51" w:rsidRPr="001B015B" w:rsidRDefault="004E2F51" w:rsidP="00E032FC">
            <w:pPr>
              <w:jc w:val="right"/>
              <w:rPr>
                <w:rFonts w:ascii="Arial" w:eastAsia="Calibri" w:hAnsi="Arial" w:cs="Arial"/>
                <w:color w:val="000000" w:themeColor="text1"/>
                <w:sz w:val="18"/>
                <w:szCs w:val="18"/>
                <w:lang w:val="hr-HR"/>
              </w:rPr>
            </w:pPr>
            <w:r w:rsidRPr="001C3D60">
              <w:rPr>
                <w:rFonts w:ascii="Arial" w:eastAsia="Calibri" w:hAnsi="Arial" w:cs="Arial"/>
                <w:color w:val="000000" w:themeColor="text1"/>
                <w:sz w:val="18"/>
                <w:szCs w:val="18"/>
                <w:lang w:val="hr-HR"/>
              </w:rPr>
              <w:t>5</w:t>
            </w:r>
          </w:p>
        </w:tc>
      </w:tr>
      <w:tr w:rsidR="004E2F51" w:rsidRPr="001B015B" w14:paraId="2B9DB3A0" w14:textId="77777777" w:rsidTr="00E032FC">
        <w:trPr>
          <w:trHeight w:val="172"/>
        </w:trPr>
        <w:tc>
          <w:tcPr>
            <w:tcW w:w="3889" w:type="dxa"/>
            <w:tcBorders>
              <w:top w:val="nil"/>
              <w:left w:val="nil"/>
              <w:bottom w:val="nil"/>
              <w:right w:val="nil"/>
            </w:tcBorders>
            <w:shd w:val="clear" w:color="auto" w:fill="auto"/>
            <w:vAlign w:val="bottom"/>
            <w:hideMark/>
          </w:tcPr>
          <w:p w14:paraId="6604A79A"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098" w:type="dxa"/>
            <w:tcBorders>
              <w:top w:val="single" w:sz="4" w:space="0" w:color="auto"/>
              <w:left w:val="nil"/>
              <w:bottom w:val="single" w:sz="12" w:space="0" w:color="auto"/>
              <w:right w:val="nil"/>
            </w:tcBorders>
            <w:shd w:val="clear" w:color="auto" w:fill="auto"/>
          </w:tcPr>
          <w:p w14:paraId="5B9EB2C8" w14:textId="77777777" w:rsidR="004E2F51" w:rsidRPr="001B015B" w:rsidRDefault="004E2F51" w:rsidP="00E032FC">
            <w:pPr>
              <w:jc w:val="right"/>
              <w:rPr>
                <w:rFonts w:ascii="Arial" w:eastAsia="Calibri" w:hAnsi="Arial" w:cs="Arial"/>
                <w:b/>
                <w:bCs/>
                <w:color w:val="000000" w:themeColor="text1"/>
                <w:sz w:val="18"/>
                <w:szCs w:val="18"/>
                <w:lang w:val="hr-HR"/>
              </w:rPr>
            </w:pPr>
            <w:r w:rsidRPr="001C3D60">
              <w:rPr>
                <w:rFonts w:ascii="Arial" w:eastAsia="Calibri" w:hAnsi="Arial" w:cs="Arial"/>
                <w:b/>
                <w:bCs/>
                <w:color w:val="000000" w:themeColor="text1"/>
                <w:sz w:val="18"/>
                <w:szCs w:val="18"/>
                <w:lang w:val="hr-HR"/>
              </w:rPr>
              <w:t>6.064</w:t>
            </w:r>
          </w:p>
        </w:tc>
        <w:tc>
          <w:tcPr>
            <w:tcW w:w="1089" w:type="dxa"/>
            <w:tcBorders>
              <w:top w:val="single" w:sz="4" w:space="0" w:color="auto"/>
              <w:left w:val="nil"/>
              <w:bottom w:val="single" w:sz="12" w:space="0" w:color="auto"/>
              <w:right w:val="nil"/>
            </w:tcBorders>
            <w:shd w:val="clear" w:color="auto" w:fill="auto"/>
          </w:tcPr>
          <w:p w14:paraId="723D9BD0"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 </w:t>
            </w:r>
          </w:p>
        </w:tc>
        <w:tc>
          <w:tcPr>
            <w:tcW w:w="1089" w:type="dxa"/>
            <w:tcBorders>
              <w:top w:val="single" w:sz="4" w:space="0" w:color="auto"/>
              <w:left w:val="nil"/>
              <w:bottom w:val="single" w:sz="12" w:space="0" w:color="auto"/>
              <w:right w:val="nil"/>
            </w:tcBorders>
            <w:shd w:val="clear" w:color="auto" w:fill="auto"/>
          </w:tcPr>
          <w:p w14:paraId="408F6FC0"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 </w:t>
            </w:r>
          </w:p>
        </w:tc>
        <w:tc>
          <w:tcPr>
            <w:tcW w:w="1084" w:type="dxa"/>
            <w:tcBorders>
              <w:top w:val="single" w:sz="4" w:space="0" w:color="auto"/>
              <w:left w:val="nil"/>
              <w:bottom w:val="single" w:sz="12" w:space="0" w:color="auto"/>
              <w:right w:val="nil"/>
            </w:tcBorders>
            <w:shd w:val="clear" w:color="auto" w:fill="auto"/>
          </w:tcPr>
          <w:p w14:paraId="59BEF5E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 </w:t>
            </w:r>
          </w:p>
        </w:tc>
        <w:tc>
          <w:tcPr>
            <w:tcW w:w="1162" w:type="dxa"/>
            <w:tcBorders>
              <w:top w:val="single" w:sz="4" w:space="0" w:color="auto"/>
              <w:left w:val="nil"/>
              <w:bottom w:val="single" w:sz="12" w:space="0" w:color="auto"/>
              <w:right w:val="nil"/>
            </w:tcBorders>
            <w:shd w:val="clear" w:color="auto" w:fill="auto"/>
          </w:tcPr>
          <w:p w14:paraId="0DEBD6D7" w14:textId="77777777" w:rsidR="004E2F51" w:rsidRPr="001B015B" w:rsidRDefault="004E2F51" w:rsidP="00E032FC">
            <w:pPr>
              <w:jc w:val="right"/>
              <w:rPr>
                <w:rFonts w:ascii="Arial" w:eastAsia="Calibri" w:hAnsi="Arial" w:cs="Arial"/>
                <w:b/>
                <w:bCs/>
                <w:color w:val="000000" w:themeColor="text1"/>
                <w:sz w:val="18"/>
                <w:szCs w:val="18"/>
                <w:lang w:val="hr-HR"/>
              </w:rPr>
            </w:pPr>
            <w:r w:rsidRPr="001C3D60">
              <w:rPr>
                <w:rFonts w:ascii="Arial" w:eastAsia="Calibri" w:hAnsi="Arial" w:cs="Arial"/>
                <w:b/>
                <w:bCs/>
                <w:color w:val="000000" w:themeColor="text1"/>
                <w:sz w:val="18"/>
                <w:szCs w:val="18"/>
                <w:lang w:val="hr-HR"/>
              </w:rPr>
              <w:t>6.064</w:t>
            </w:r>
          </w:p>
        </w:tc>
      </w:tr>
    </w:tbl>
    <w:p w14:paraId="5C00B978" w14:textId="77777777" w:rsidR="004E2F51" w:rsidRPr="001B015B" w:rsidRDefault="004E2F51" w:rsidP="004E2F51">
      <w:pPr>
        <w:rPr>
          <w:rFonts w:ascii="Arial" w:eastAsia="Calibri" w:hAnsi="Arial" w:cs="Arial"/>
          <w:color w:val="000000" w:themeColor="text1"/>
          <w:sz w:val="20"/>
          <w:szCs w:val="20"/>
          <w:lang w:val="hr-HR"/>
        </w:rPr>
      </w:pPr>
    </w:p>
    <w:p w14:paraId="22D82137" w14:textId="77777777" w:rsidR="004E2F51" w:rsidRPr="001B015B" w:rsidRDefault="004E2F51" w:rsidP="004E2F51">
      <w:pPr>
        <w:rPr>
          <w:rFonts w:ascii="Arial" w:eastAsia="Calibri" w:hAnsi="Arial" w:cs="Arial"/>
          <w:color w:val="000000" w:themeColor="text1"/>
          <w:sz w:val="20"/>
          <w:szCs w:val="20"/>
          <w:lang w:val="hr-HR"/>
        </w:rPr>
      </w:pPr>
    </w:p>
    <w:tbl>
      <w:tblPr>
        <w:tblW w:w="9411" w:type="dxa"/>
        <w:tblInd w:w="-142" w:type="dxa"/>
        <w:tblLook w:val="04A0" w:firstRow="1" w:lastRow="0" w:firstColumn="1" w:lastColumn="0" w:noHBand="0" w:noVBand="1"/>
      </w:tblPr>
      <w:tblGrid>
        <w:gridCol w:w="3889"/>
        <w:gridCol w:w="1098"/>
        <w:gridCol w:w="1089"/>
        <w:gridCol w:w="1089"/>
        <w:gridCol w:w="1084"/>
        <w:gridCol w:w="1162"/>
      </w:tblGrid>
      <w:tr w:rsidR="004E2F51" w:rsidRPr="001B015B" w14:paraId="01FEA224" w14:textId="77777777" w:rsidTr="00E032FC">
        <w:trPr>
          <w:trHeight w:val="164"/>
        </w:trPr>
        <w:tc>
          <w:tcPr>
            <w:tcW w:w="3889" w:type="dxa"/>
            <w:tcBorders>
              <w:top w:val="nil"/>
              <w:left w:val="nil"/>
              <w:bottom w:val="nil"/>
              <w:right w:val="nil"/>
            </w:tcBorders>
            <w:shd w:val="clear" w:color="auto" w:fill="auto"/>
            <w:vAlign w:val="center"/>
          </w:tcPr>
          <w:p w14:paraId="587EEEAE"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Grupa </w:t>
            </w:r>
          </w:p>
        </w:tc>
        <w:tc>
          <w:tcPr>
            <w:tcW w:w="1098" w:type="dxa"/>
            <w:tcBorders>
              <w:top w:val="nil"/>
              <w:left w:val="nil"/>
              <w:bottom w:val="nil"/>
              <w:right w:val="nil"/>
            </w:tcBorders>
            <w:shd w:val="clear" w:color="auto" w:fill="auto"/>
            <w:vAlign w:val="center"/>
          </w:tcPr>
          <w:p w14:paraId="18976FCA"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04A8656A"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4B473C7E"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06E89554"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62" w:type="dxa"/>
            <w:tcBorders>
              <w:top w:val="nil"/>
              <w:left w:val="nil"/>
              <w:bottom w:val="nil"/>
              <w:right w:val="nil"/>
            </w:tcBorders>
            <w:shd w:val="clear" w:color="auto" w:fill="auto"/>
            <w:vAlign w:val="center"/>
          </w:tcPr>
          <w:p w14:paraId="23B56C0B"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31AE359E" w14:textId="77777777" w:rsidTr="00E032FC">
        <w:trPr>
          <w:trHeight w:val="164"/>
        </w:trPr>
        <w:tc>
          <w:tcPr>
            <w:tcW w:w="3889" w:type="dxa"/>
            <w:tcBorders>
              <w:top w:val="nil"/>
              <w:left w:val="nil"/>
              <w:bottom w:val="nil"/>
              <w:right w:val="nil"/>
            </w:tcBorders>
            <w:shd w:val="clear" w:color="auto" w:fill="auto"/>
            <w:vAlign w:val="center"/>
            <w:hideMark/>
          </w:tcPr>
          <w:p w14:paraId="209EDEC6"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2021.</w:t>
            </w:r>
          </w:p>
        </w:tc>
        <w:tc>
          <w:tcPr>
            <w:tcW w:w="1098" w:type="dxa"/>
            <w:tcBorders>
              <w:top w:val="nil"/>
              <w:left w:val="nil"/>
              <w:bottom w:val="nil"/>
              <w:right w:val="nil"/>
            </w:tcBorders>
            <w:shd w:val="clear" w:color="auto" w:fill="auto"/>
            <w:vAlign w:val="center"/>
            <w:hideMark/>
          </w:tcPr>
          <w:p w14:paraId="09D52568"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89" w:type="dxa"/>
            <w:tcBorders>
              <w:top w:val="nil"/>
              <w:left w:val="nil"/>
              <w:bottom w:val="nil"/>
              <w:right w:val="nil"/>
            </w:tcBorders>
            <w:shd w:val="clear" w:color="auto" w:fill="auto"/>
            <w:vAlign w:val="center"/>
            <w:hideMark/>
          </w:tcPr>
          <w:p w14:paraId="5108B83C"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89" w:type="dxa"/>
            <w:tcBorders>
              <w:top w:val="nil"/>
              <w:left w:val="nil"/>
              <w:bottom w:val="nil"/>
              <w:right w:val="nil"/>
            </w:tcBorders>
            <w:shd w:val="clear" w:color="auto" w:fill="auto"/>
            <w:vAlign w:val="center"/>
            <w:hideMark/>
          </w:tcPr>
          <w:p w14:paraId="5690AB24"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84" w:type="dxa"/>
            <w:tcBorders>
              <w:top w:val="nil"/>
              <w:left w:val="nil"/>
              <w:bottom w:val="nil"/>
              <w:right w:val="nil"/>
            </w:tcBorders>
            <w:shd w:val="clear" w:color="auto" w:fill="auto"/>
            <w:vAlign w:val="center"/>
            <w:hideMark/>
          </w:tcPr>
          <w:p w14:paraId="070259A6"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62" w:type="dxa"/>
            <w:tcBorders>
              <w:top w:val="nil"/>
              <w:left w:val="nil"/>
              <w:bottom w:val="nil"/>
              <w:right w:val="nil"/>
            </w:tcBorders>
            <w:shd w:val="clear" w:color="auto" w:fill="auto"/>
            <w:vAlign w:val="center"/>
            <w:hideMark/>
          </w:tcPr>
          <w:p w14:paraId="0035F96B"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01EEF781" w14:textId="77777777" w:rsidTr="00E032FC">
        <w:trPr>
          <w:trHeight w:val="164"/>
        </w:trPr>
        <w:tc>
          <w:tcPr>
            <w:tcW w:w="3889" w:type="dxa"/>
            <w:tcBorders>
              <w:top w:val="nil"/>
              <w:left w:val="nil"/>
              <w:bottom w:val="nil"/>
              <w:right w:val="nil"/>
            </w:tcBorders>
            <w:shd w:val="clear" w:color="auto" w:fill="auto"/>
            <w:vAlign w:val="center"/>
            <w:hideMark/>
          </w:tcPr>
          <w:p w14:paraId="034BCDA3"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hideMark/>
          </w:tcPr>
          <w:p w14:paraId="0E1CA2E9"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89" w:type="dxa"/>
            <w:tcBorders>
              <w:top w:val="nil"/>
              <w:left w:val="nil"/>
              <w:bottom w:val="nil"/>
              <w:right w:val="nil"/>
            </w:tcBorders>
            <w:shd w:val="clear" w:color="auto" w:fill="auto"/>
            <w:vAlign w:val="center"/>
            <w:hideMark/>
          </w:tcPr>
          <w:p w14:paraId="7BA27D11"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89" w:type="dxa"/>
            <w:tcBorders>
              <w:top w:val="nil"/>
              <w:left w:val="nil"/>
              <w:bottom w:val="nil"/>
              <w:right w:val="nil"/>
            </w:tcBorders>
            <w:shd w:val="clear" w:color="auto" w:fill="auto"/>
            <w:vAlign w:val="center"/>
            <w:hideMark/>
          </w:tcPr>
          <w:p w14:paraId="23A4DD67"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84" w:type="dxa"/>
            <w:tcBorders>
              <w:top w:val="nil"/>
              <w:left w:val="nil"/>
              <w:bottom w:val="nil"/>
              <w:right w:val="nil"/>
            </w:tcBorders>
            <w:shd w:val="clear" w:color="auto" w:fill="auto"/>
            <w:vAlign w:val="center"/>
            <w:hideMark/>
          </w:tcPr>
          <w:p w14:paraId="06CE8560"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162" w:type="dxa"/>
            <w:tcBorders>
              <w:top w:val="nil"/>
              <w:left w:val="nil"/>
              <w:bottom w:val="nil"/>
              <w:right w:val="nil"/>
            </w:tcBorders>
            <w:shd w:val="clear" w:color="auto" w:fill="auto"/>
            <w:vAlign w:val="center"/>
            <w:hideMark/>
          </w:tcPr>
          <w:p w14:paraId="3BDF55E5"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32AA239E" w14:textId="77777777" w:rsidTr="00E032FC">
        <w:trPr>
          <w:trHeight w:val="164"/>
        </w:trPr>
        <w:tc>
          <w:tcPr>
            <w:tcW w:w="3889" w:type="dxa"/>
            <w:tcBorders>
              <w:top w:val="nil"/>
              <w:left w:val="nil"/>
              <w:bottom w:val="nil"/>
              <w:right w:val="nil"/>
            </w:tcBorders>
            <w:shd w:val="clear" w:color="auto" w:fill="auto"/>
            <w:vAlign w:val="center"/>
          </w:tcPr>
          <w:p w14:paraId="4799C403"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7101911D"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6428F733"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9" w:type="dxa"/>
            <w:tcBorders>
              <w:top w:val="nil"/>
              <w:left w:val="nil"/>
              <w:bottom w:val="nil"/>
              <w:right w:val="nil"/>
            </w:tcBorders>
            <w:shd w:val="clear" w:color="auto" w:fill="auto"/>
            <w:vAlign w:val="center"/>
          </w:tcPr>
          <w:p w14:paraId="12A04E80"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2AF0385A"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62" w:type="dxa"/>
            <w:tcBorders>
              <w:top w:val="nil"/>
              <w:left w:val="nil"/>
              <w:bottom w:val="nil"/>
              <w:right w:val="nil"/>
            </w:tcBorders>
            <w:shd w:val="clear" w:color="auto" w:fill="auto"/>
            <w:vAlign w:val="center"/>
          </w:tcPr>
          <w:p w14:paraId="5CAEA2D8"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63BBEC0D" w14:textId="77777777" w:rsidTr="00E032FC">
        <w:trPr>
          <w:trHeight w:val="164"/>
        </w:trPr>
        <w:tc>
          <w:tcPr>
            <w:tcW w:w="3889" w:type="dxa"/>
            <w:tcBorders>
              <w:top w:val="nil"/>
              <w:left w:val="nil"/>
              <w:bottom w:val="nil"/>
              <w:right w:val="nil"/>
            </w:tcBorders>
            <w:shd w:val="clear" w:color="auto" w:fill="auto"/>
            <w:vAlign w:val="center"/>
            <w:hideMark/>
          </w:tcPr>
          <w:p w14:paraId="4425347F"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Stanje 1. siječnja 2021. </w:t>
            </w:r>
          </w:p>
        </w:tc>
        <w:tc>
          <w:tcPr>
            <w:tcW w:w="1098" w:type="dxa"/>
            <w:shd w:val="clear" w:color="auto" w:fill="auto"/>
          </w:tcPr>
          <w:p w14:paraId="625BCCA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1.652 </w:t>
            </w:r>
          </w:p>
        </w:tc>
        <w:tc>
          <w:tcPr>
            <w:tcW w:w="1089" w:type="dxa"/>
            <w:shd w:val="clear" w:color="auto" w:fill="auto"/>
          </w:tcPr>
          <w:p w14:paraId="76C6ADF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9" w:type="dxa"/>
            <w:shd w:val="clear" w:color="auto" w:fill="auto"/>
          </w:tcPr>
          <w:p w14:paraId="3F0D606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4" w:type="dxa"/>
            <w:shd w:val="clear" w:color="auto" w:fill="auto"/>
          </w:tcPr>
          <w:p w14:paraId="7F394BA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62" w:type="dxa"/>
            <w:shd w:val="clear" w:color="auto" w:fill="auto"/>
          </w:tcPr>
          <w:p w14:paraId="5419256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1.652 </w:t>
            </w:r>
          </w:p>
        </w:tc>
      </w:tr>
      <w:tr w:rsidR="004E2F51" w:rsidRPr="001B015B" w14:paraId="1062E671" w14:textId="77777777" w:rsidTr="00E032FC">
        <w:trPr>
          <w:trHeight w:val="164"/>
        </w:trPr>
        <w:tc>
          <w:tcPr>
            <w:tcW w:w="3889" w:type="dxa"/>
            <w:tcBorders>
              <w:top w:val="nil"/>
              <w:left w:val="nil"/>
              <w:bottom w:val="nil"/>
              <w:right w:val="nil"/>
            </w:tcBorders>
            <w:shd w:val="clear" w:color="auto" w:fill="auto"/>
            <w:vAlign w:val="center"/>
            <w:hideMark/>
          </w:tcPr>
          <w:p w14:paraId="3B5BAB8E"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8" w:type="dxa"/>
            <w:shd w:val="clear" w:color="auto" w:fill="auto"/>
            <w:vAlign w:val="bottom"/>
          </w:tcPr>
          <w:p w14:paraId="46D1319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89" w:type="dxa"/>
            <w:shd w:val="clear" w:color="auto" w:fill="auto"/>
            <w:vAlign w:val="bottom"/>
          </w:tcPr>
          <w:p w14:paraId="626840E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89" w:type="dxa"/>
            <w:shd w:val="clear" w:color="auto" w:fill="auto"/>
            <w:vAlign w:val="bottom"/>
          </w:tcPr>
          <w:p w14:paraId="548DB51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84" w:type="dxa"/>
            <w:shd w:val="clear" w:color="auto" w:fill="auto"/>
            <w:vAlign w:val="bottom"/>
          </w:tcPr>
          <w:p w14:paraId="5B699D9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162" w:type="dxa"/>
            <w:shd w:val="clear" w:color="auto" w:fill="auto"/>
            <w:vAlign w:val="bottom"/>
          </w:tcPr>
          <w:p w14:paraId="7DCF2F9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r>
      <w:tr w:rsidR="004E2F51" w:rsidRPr="001B015B" w14:paraId="34659E35" w14:textId="77777777" w:rsidTr="00E032FC">
        <w:trPr>
          <w:trHeight w:val="164"/>
        </w:trPr>
        <w:tc>
          <w:tcPr>
            <w:tcW w:w="3889" w:type="dxa"/>
            <w:tcBorders>
              <w:top w:val="nil"/>
              <w:left w:val="nil"/>
              <w:bottom w:val="nil"/>
              <w:right w:val="nil"/>
            </w:tcBorders>
            <w:shd w:val="clear" w:color="auto" w:fill="auto"/>
            <w:vAlign w:val="center"/>
          </w:tcPr>
          <w:p w14:paraId="3D2F444F"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8" w:type="dxa"/>
            <w:shd w:val="clear" w:color="auto" w:fill="auto"/>
            <w:vAlign w:val="bottom"/>
          </w:tcPr>
          <w:p w14:paraId="595C5A9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89" w:type="dxa"/>
            <w:shd w:val="clear" w:color="auto" w:fill="auto"/>
            <w:vAlign w:val="bottom"/>
          </w:tcPr>
          <w:p w14:paraId="470B850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89" w:type="dxa"/>
            <w:shd w:val="clear" w:color="auto" w:fill="auto"/>
            <w:vAlign w:val="bottom"/>
          </w:tcPr>
          <w:p w14:paraId="1FFA5BC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84" w:type="dxa"/>
            <w:shd w:val="clear" w:color="auto" w:fill="auto"/>
            <w:vAlign w:val="bottom"/>
          </w:tcPr>
          <w:p w14:paraId="629F575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162" w:type="dxa"/>
            <w:shd w:val="clear" w:color="auto" w:fill="auto"/>
            <w:vAlign w:val="bottom"/>
          </w:tcPr>
          <w:p w14:paraId="15E6054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r>
      <w:tr w:rsidR="004E2F51" w:rsidRPr="001B015B" w14:paraId="0F8AFB09" w14:textId="77777777" w:rsidTr="00E032FC">
        <w:trPr>
          <w:trHeight w:val="164"/>
        </w:trPr>
        <w:tc>
          <w:tcPr>
            <w:tcW w:w="3889" w:type="dxa"/>
            <w:tcBorders>
              <w:top w:val="nil"/>
              <w:left w:val="nil"/>
              <w:bottom w:val="nil"/>
              <w:right w:val="nil"/>
            </w:tcBorders>
            <w:shd w:val="clear" w:color="auto" w:fill="auto"/>
            <w:vAlign w:val="center"/>
          </w:tcPr>
          <w:p w14:paraId="3973252E"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8" w:type="dxa"/>
            <w:shd w:val="clear" w:color="auto" w:fill="auto"/>
            <w:vAlign w:val="bottom"/>
          </w:tcPr>
          <w:p w14:paraId="11662BF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89" w:type="dxa"/>
            <w:shd w:val="clear" w:color="auto" w:fill="auto"/>
            <w:vAlign w:val="bottom"/>
          </w:tcPr>
          <w:p w14:paraId="17B10C1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89" w:type="dxa"/>
            <w:shd w:val="clear" w:color="auto" w:fill="auto"/>
            <w:vAlign w:val="bottom"/>
          </w:tcPr>
          <w:p w14:paraId="7E2A20D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84" w:type="dxa"/>
            <w:shd w:val="clear" w:color="auto" w:fill="auto"/>
            <w:vAlign w:val="bottom"/>
          </w:tcPr>
          <w:p w14:paraId="313A479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162" w:type="dxa"/>
            <w:shd w:val="clear" w:color="auto" w:fill="auto"/>
            <w:vAlign w:val="bottom"/>
          </w:tcPr>
          <w:p w14:paraId="23DA7A1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r>
      <w:tr w:rsidR="004E2F51" w:rsidRPr="001B015B" w14:paraId="4AFE813B" w14:textId="77777777" w:rsidTr="00E032FC">
        <w:trPr>
          <w:trHeight w:val="235"/>
        </w:trPr>
        <w:tc>
          <w:tcPr>
            <w:tcW w:w="3889" w:type="dxa"/>
            <w:tcBorders>
              <w:top w:val="nil"/>
              <w:left w:val="nil"/>
              <w:bottom w:val="nil"/>
              <w:right w:val="nil"/>
            </w:tcBorders>
            <w:shd w:val="clear" w:color="auto" w:fill="auto"/>
            <w:vAlign w:val="center"/>
            <w:hideMark/>
          </w:tcPr>
          <w:p w14:paraId="61CD3599"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povećanje rezerviranja za očekivane gubitke </w:t>
            </w:r>
          </w:p>
        </w:tc>
        <w:tc>
          <w:tcPr>
            <w:tcW w:w="1098" w:type="dxa"/>
            <w:shd w:val="clear" w:color="auto" w:fill="auto"/>
            <w:vAlign w:val="bottom"/>
          </w:tcPr>
          <w:p w14:paraId="188E2AA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lang w:val="it-IT"/>
              </w:rPr>
              <w:t xml:space="preserve"> </w:t>
            </w:r>
            <w:r w:rsidRPr="001B015B">
              <w:rPr>
                <w:rFonts w:ascii="Arial" w:hAnsi="Arial" w:cs="Arial"/>
                <w:sz w:val="18"/>
                <w:szCs w:val="18"/>
              </w:rPr>
              <w:t xml:space="preserve">156 </w:t>
            </w:r>
          </w:p>
        </w:tc>
        <w:tc>
          <w:tcPr>
            <w:tcW w:w="1089" w:type="dxa"/>
            <w:shd w:val="clear" w:color="auto" w:fill="auto"/>
            <w:vAlign w:val="bottom"/>
          </w:tcPr>
          <w:p w14:paraId="21078DC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9" w:type="dxa"/>
            <w:shd w:val="clear" w:color="auto" w:fill="auto"/>
            <w:vAlign w:val="bottom"/>
          </w:tcPr>
          <w:p w14:paraId="39D7EDB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4" w:type="dxa"/>
            <w:shd w:val="clear" w:color="auto" w:fill="auto"/>
            <w:vAlign w:val="bottom"/>
          </w:tcPr>
          <w:p w14:paraId="2BC6F26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62" w:type="dxa"/>
            <w:shd w:val="clear" w:color="auto" w:fill="auto"/>
            <w:vAlign w:val="bottom"/>
          </w:tcPr>
          <w:p w14:paraId="0A4D1A8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156 </w:t>
            </w:r>
          </w:p>
        </w:tc>
      </w:tr>
      <w:tr w:rsidR="004E2F51" w:rsidRPr="001B015B" w14:paraId="1CB3348C" w14:textId="77777777" w:rsidTr="00E032FC">
        <w:trPr>
          <w:trHeight w:val="235"/>
        </w:trPr>
        <w:tc>
          <w:tcPr>
            <w:tcW w:w="3889" w:type="dxa"/>
            <w:tcBorders>
              <w:top w:val="nil"/>
              <w:left w:val="nil"/>
              <w:bottom w:val="nil"/>
              <w:right w:val="nil"/>
            </w:tcBorders>
            <w:shd w:val="clear" w:color="auto" w:fill="auto"/>
            <w:vAlign w:val="center"/>
          </w:tcPr>
          <w:p w14:paraId="20B0A162"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98" w:type="dxa"/>
            <w:shd w:val="clear" w:color="auto" w:fill="auto"/>
            <w:vAlign w:val="bottom"/>
          </w:tcPr>
          <w:p w14:paraId="332BE42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 </w:t>
            </w:r>
          </w:p>
        </w:tc>
        <w:tc>
          <w:tcPr>
            <w:tcW w:w="1089" w:type="dxa"/>
            <w:shd w:val="clear" w:color="auto" w:fill="auto"/>
            <w:vAlign w:val="bottom"/>
          </w:tcPr>
          <w:p w14:paraId="35DB69F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9" w:type="dxa"/>
            <w:shd w:val="clear" w:color="auto" w:fill="auto"/>
            <w:vAlign w:val="bottom"/>
          </w:tcPr>
          <w:p w14:paraId="3D7C96A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4" w:type="dxa"/>
            <w:shd w:val="clear" w:color="auto" w:fill="auto"/>
            <w:vAlign w:val="bottom"/>
          </w:tcPr>
          <w:p w14:paraId="6FAD26F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62" w:type="dxa"/>
            <w:shd w:val="clear" w:color="auto" w:fill="auto"/>
            <w:vAlign w:val="bottom"/>
          </w:tcPr>
          <w:p w14:paraId="60BBB8F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 </w:t>
            </w:r>
          </w:p>
        </w:tc>
      </w:tr>
      <w:tr w:rsidR="004E2F51" w:rsidRPr="001B015B" w14:paraId="6D44F2CC" w14:textId="77777777" w:rsidTr="00E032FC">
        <w:trPr>
          <w:trHeight w:val="172"/>
        </w:trPr>
        <w:tc>
          <w:tcPr>
            <w:tcW w:w="3889" w:type="dxa"/>
            <w:tcBorders>
              <w:top w:val="nil"/>
              <w:left w:val="nil"/>
              <w:bottom w:val="nil"/>
              <w:right w:val="nil"/>
            </w:tcBorders>
            <w:shd w:val="clear" w:color="auto" w:fill="auto"/>
            <w:vAlign w:val="bottom"/>
            <w:hideMark/>
          </w:tcPr>
          <w:p w14:paraId="21F3926A"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2021.</w:t>
            </w:r>
          </w:p>
        </w:tc>
        <w:tc>
          <w:tcPr>
            <w:tcW w:w="1098" w:type="dxa"/>
            <w:tcBorders>
              <w:top w:val="single" w:sz="4" w:space="0" w:color="auto"/>
              <w:left w:val="nil"/>
              <w:bottom w:val="single" w:sz="12" w:space="0" w:color="auto"/>
              <w:right w:val="nil"/>
            </w:tcBorders>
            <w:shd w:val="clear" w:color="auto" w:fill="auto"/>
          </w:tcPr>
          <w:p w14:paraId="18449ECA"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1.809 </w:t>
            </w:r>
          </w:p>
        </w:tc>
        <w:tc>
          <w:tcPr>
            <w:tcW w:w="1089" w:type="dxa"/>
            <w:tcBorders>
              <w:top w:val="single" w:sz="4" w:space="0" w:color="auto"/>
              <w:left w:val="nil"/>
              <w:bottom w:val="single" w:sz="12" w:space="0" w:color="auto"/>
              <w:right w:val="nil"/>
            </w:tcBorders>
            <w:shd w:val="clear" w:color="auto" w:fill="auto"/>
          </w:tcPr>
          <w:p w14:paraId="1B8C5A4A"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 </w:t>
            </w:r>
          </w:p>
        </w:tc>
        <w:tc>
          <w:tcPr>
            <w:tcW w:w="1089" w:type="dxa"/>
            <w:tcBorders>
              <w:top w:val="single" w:sz="4" w:space="0" w:color="auto"/>
              <w:left w:val="nil"/>
              <w:bottom w:val="single" w:sz="12" w:space="0" w:color="auto"/>
              <w:right w:val="nil"/>
            </w:tcBorders>
            <w:shd w:val="clear" w:color="auto" w:fill="auto"/>
          </w:tcPr>
          <w:p w14:paraId="7270977B"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 </w:t>
            </w:r>
          </w:p>
        </w:tc>
        <w:tc>
          <w:tcPr>
            <w:tcW w:w="1084" w:type="dxa"/>
            <w:tcBorders>
              <w:top w:val="single" w:sz="4" w:space="0" w:color="auto"/>
              <w:left w:val="nil"/>
              <w:bottom w:val="single" w:sz="12" w:space="0" w:color="auto"/>
              <w:right w:val="nil"/>
            </w:tcBorders>
            <w:shd w:val="clear" w:color="auto" w:fill="auto"/>
          </w:tcPr>
          <w:p w14:paraId="64703847"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 </w:t>
            </w:r>
          </w:p>
        </w:tc>
        <w:tc>
          <w:tcPr>
            <w:tcW w:w="1162" w:type="dxa"/>
            <w:tcBorders>
              <w:top w:val="single" w:sz="4" w:space="0" w:color="auto"/>
              <w:left w:val="nil"/>
              <w:bottom w:val="single" w:sz="12" w:space="0" w:color="auto"/>
              <w:right w:val="nil"/>
            </w:tcBorders>
            <w:shd w:val="clear" w:color="auto" w:fill="auto"/>
          </w:tcPr>
          <w:p w14:paraId="402BD987"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1.809 </w:t>
            </w:r>
          </w:p>
        </w:tc>
      </w:tr>
    </w:tbl>
    <w:p w14:paraId="09236563" w14:textId="77777777" w:rsidR="004E2F51" w:rsidRPr="001B015B" w:rsidRDefault="004E2F51" w:rsidP="004E2F51">
      <w:pPr>
        <w:rPr>
          <w:rFonts w:ascii="Arial" w:eastAsia="Calibri" w:hAnsi="Arial" w:cs="Arial"/>
          <w:color w:val="000000" w:themeColor="text1"/>
          <w:sz w:val="20"/>
          <w:szCs w:val="20"/>
          <w:lang w:val="hr-HR"/>
        </w:rPr>
      </w:pPr>
    </w:p>
    <w:p w14:paraId="2DF54262" w14:textId="77777777" w:rsidR="004E2F51" w:rsidRPr="001B015B" w:rsidRDefault="004E2F51" w:rsidP="004E2F51">
      <w:pPr>
        <w:rPr>
          <w:rFonts w:ascii="Arial" w:eastAsia="Calibri" w:hAnsi="Arial" w:cs="Arial"/>
          <w:color w:val="000000" w:themeColor="text1"/>
          <w:sz w:val="20"/>
          <w:szCs w:val="20"/>
          <w:lang w:val="hr-HR"/>
        </w:rPr>
      </w:pPr>
    </w:p>
    <w:p w14:paraId="35008504" w14:textId="77777777" w:rsidR="004E2F51" w:rsidRPr="001B015B" w:rsidRDefault="004E2F51" w:rsidP="004E2F51">
      <w:pPr>
        <w:rPr>
          <w:rFonts w:ascii="Arial" w:eastAsia="Calibri" w:hAnsi="Arial" w:cs="Arial"/>
          <w:color w:val="000000" w:themeColor="text1"/>
          <w:sz w:val="20"/>
          <w:szCs w:val="20"/>
          <w:lang w:val="hr-HR"/>
        </w:rPr>
      </w:pPr>
    </w:p>
    <w:p w14:paraId="6FFBB501" w14:textId="77777777" w:rsidR="004E2F51" w:rsidRPr="00B91D09" w:rsidRDefault="004E2F51" w:rsidP="004E2F51">
      <w:pPr>
        <w:rPr>
          <w:rFonts w:ascii="Arial" w:eastAsia="Calibri" w:hAnsi="Arial" w:cs="Arial"/>
          <w:color w:val="000000" w:themeColor="text1"/>
          <w:sz w:val="22"/>
          <w:szCs w:val="22"/>
          <w:lang w:val="hr-HR"/>
        </w:rPr>
        <w:sectPr w:rsidR="004E2F51" w:rsidRPr="00B91D09" w:rsidSect="00623DBA">
          <w:footerReference w:type="default" r:id="rId192"/>
          <w:pgSz w:w="11906" w:h="16838"/>
          <w:pgMar w:top="1418" w:right="1134" w:bottom="1134" w:left="1418" w:header="708" w:footer="708" w:gutter="0"/>
          <w:cols w:space="708"/>
          <w:docGrid w:linePitch="360"/>
        </w:sectPr>
      </w:pPr>
    </w:p>
    <w:p w14:paraId="265BDD4D" w14:textId="77777777" w:rsidR="004E2F51" w:rsidRPr="001B015B" w:rsidRDefault="004E2F51" w:rsidP="004E2F51">
      <w:pPr>
        <w:keepNext/>
        <w:jc w:val="both"/>
        <w:rPr>
          <w:rFonts w:ascii="Arial" w:hAnsi="Arial" w:cs="Arial"/>
          <w:b/>
          <w:bCs/>
          <w:color w:val="000000" w:themeColor="text1"/>
          <w:sz w:val="20"/>
          <w:szCs w:val="20"/>
          <w:lang w:val="hr-HR"/>
        </w:rPr>
      </w:pPr>
    </w:p>
    <w:p w14:paraId="2D45A937"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w:t>
      </w:r>
      <w:r w:rsidRPr="001B015B">
        <w:rPr>
          <w:rFonts w:ascii="Arial" w:hAnsi="Arial" w:cs="Arial"/>
          <w:b/>
          <w:bCs/>
          <w:color w:val="000000" w:themeColor="text1"/>
          <w:sz w:val="20"/>
          <w:szCs w:val="20"/>
          <w:lang w:val="hr-HR"/>
        </w:rPr>
        <w:tab/>
        <w:t>Upravljanje rizicima (nastavak)</w:t>
      </w:r>
    </w:p>
    <w:p w14:paraId="64797F71" w14:textId="77777777" w:rsidR="004E2F51" w:rsidRPr="001B015B" w:rsidRDefault="004E2F51" w:rsidP="004E2F51">
      <w:pPr>
        <w:keepNext/>
        <w:jc w:val="both"/>
        <w:rPr>
          <w:rFonts w:ascii="Arial" w:hAnsi="Arial" w:cs="Arial"/>
          <w:b/>
          <w:bCs/>
          <w:color w:val="000000" w:themeColor="text1"/>
          <w:sz w:val="20"/>
          <w:szCs w:val="20"/>
          <w:lang w:val="hr-HR"/>
        </w:rPr>
      </w:pPr>
    </w:p>
    <w:p w14:paraId="241AF170"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 xml:space="preserve">.3. </w:t>
      </w:r>
      <w:r w:rsidRPr="001B015B">
        <w:rPr>
          <w:rFonts w:ascii="Arial" w:hAnsi="Arial" w:cs="Arial"/>
          <w:b/>
          <w:bCs/>
          <w:color w:val="000000" w:themeColor="text1"/>
          <w:sz w:val="20"/>
          <w:szCs w:val="20"/>
          <w:lang w:val="hr-HR"/>
        </w:rPr>
        <w:tab/>
        <w:t>Kreditni rizik (nastavak)</w:t>
      </w:r>
    </w:p>
    <w:p w14:paraId="38AD11EE" w14:textId="77777777" w:rsidR="004E2F51" w:rsidRPr="001B015B" w:rsidRDefault="004E2F51" w:rsidP="004E2F51">
      <w:pPr>
        <w:keepNext/>
        <w:jc w:val="both"/>
        <w:rPr>
          <w:rFonts w:ascii="Arial" w:hAnsi="Arial" w:cs="Arial"/>
          <w:b/>
          <w:bCs/>
          <w:color w:val="000000" w:themeColor="text1"/>
          <w:sz w:val="20"/>
          <w:szCs w:val="20"/>
          <w:lang w:val="hr-HR"/>
        </w:rPr>
      </w:pPr>
    </w:p>
    <w:p w14:paraId="6295B2CC" w14:textId="77777777" w:rsidR="004E2F51" w:rsidRPr="001B015B" w:rsidRDefault="004E2F51" w:rsidP="004E2F51">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23F9260F" w14:textId="77777777" w:rsidR="004E2F51" w:rsidRPr="001B015B" w:rsidRDefault="004E2F51" w:rsidP="004E2F51">
      <w:pPr>
        <w:keepNext/>
        <w:rPr>
          <w:rFonts w:ascii="Arial" w:hAnsi="Arial" w:cs="Arial"/>
          <w:bCs/>
          <w:i/>
          <w:color w:val="000000" w:themeColor="text1"/>
          <w:sz w:val="20"/>
          <w:szCs w:val="20"/>
          <w:lang w:val="hr-HR"/>
        </w:rPr>
      </w:pPr>
    </w:p>
    <w:p w14:paraId="2835E125" w14:textId="77777777" w:rsidR="004E2F51" w:rsidRPr="001B015B" w:rsidRDefault="004E2F51" w:rsidP="004E2F51">
      <w:pPr>
        <w:keepNext/>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Novčana sredstva i računi kod banaka (nastavak)</w:t>
      </w:r>
    </w:p>
    <w:p w14:paraId="360B1E29" w14:textId="77777777" w:rsidR="004E2F51" w:rsidRPr="001B015B" w:rsidRDefault="004E2F51" w:rsidP="004E2F51">
      <w:pPr>
        <w:keepNext/>
        <w:jc w:val="both"/>
        <w:rPr>
          <w:rFonts w:ascii="Arial" w:hAnsi="Arial" w:cs="Arial"/>
          <w:b/>
          <w:bCs/>
          <w:color w:val="000000" w:themeColor="text1"/>
          <w:sz w:val="20"/>
          <w:szCs w:val="20"/>
          <w:lang w:val="hr-HR"/>
        </w:rPr>
      </w:pPr>
    </w:p>
    <w:tbl>
      <w:tblPr>
        <w:tblW w:w="9369" w:type="dxa"/>
        <w:tblInd w:w="-180" w:type="dxa"/>
        <w:tblLook w:val="04A0" w:firstRow="1" w:lastRow="0" w:firstColumn="1" w:lastColumn="0" w:noHBand="0" w:noVBand="1"/>
      </w:tblPr>
      <w:tblGrid>
        <w:gridCol w:w="4097"/>
        <w:gridCol w:w="1098"/>
        <w:gridCol w:w="1028"/>
        <w:gridCol w:w="1028"/>
        <w:gridCol w:w="1020"/>
        <w:gridCol w:w="1098"/>
      </w:tblGrid>
      <w:tr w:rsidR="004E2F51" w:rsidRPr="001B015B" w14:paraId="478286D7" w14:textId="77777777" w:rsidTr="00E032FC">
        <w:trPr>
          <w:trHeight w:val="173"/>
        </w:trPr>
        <w:tc>
          <w:tcPr>
            <w:tcW w:w="4097" w:type="dxa"/>
            <w:tcBorders>
              <w:top w:val="nil"/>
              <w:left w:val="nil"/>
              <w:bottom w:val="nil"/>
              <w:right w:val="nil"/>
            </w:tcBorders>
            <w:shd w:val="clear" w:color="auto" w:fill="auto"/>
            <w:vAlign w:val="center"/>
          </w:tcPr>
          <w:p w14:paraId="6390DCF0" w14:textId="77777777" w:rsidR="004E2F51" w:rsidRPr="001B015B" w:rsidRDefault="004E2F51" w:rsidP="00E032FC">
            <w:pPr>
              <w:rPr>
                <w:rFonts w:ascii="Arial" w:eastAsia="Calibri" w:hAnsi="Arial" w:cs="Arial"/>
                <w:b/>
                <w:bCs/>
                <w:color w:val="000000" w:themeColor="text1"/>
                <w:sz w:val="18"/>
                <w:szCs w:val="18"/>
                <w:lang w:val="hr-HR"/>
              </w:rPr>
            </w:pPr>
            <w:bookmarkStart w:id="1645" w:name="_Hlk24387129"/>
            <w:r w:rsidRPr="001B015B">
              <w:rPr>
                <w:rFonts w:ascii="Arial" w:eastAsia="Calibri" w:hAnsi="Arial" w:cs="Arial"/>
                <w:b/>
                <w:bCs/>
                <w:color w:val="000000" w:themeColor="text1"/>
                <w:sz w:val="18"/>
                <w:szCs w:val="18"/>
                <w:lang w:val="hr-HR"/>
              </w:rPr>
              <w:t>Banka</w:t>
            </w:r>
          </w:p>
        </w:tc>
        <w:tc>
          <w:tcPr>
            <w:tcW w:w="1098" w:type="dxa"/>
            <w:tcBorders>
              <w:top w:val="nil"/>
              <w:left w:val="nil"/>
              <w:bottom w:val="nil"/>
              <w:right w:val="nil"/>
            </w:tcBorders>
            <w:shd w:val="clear" w:color="auto" w:fill="auto"/>
            <w:vAlign w:val="center"/>
          </w:tcPr>
          <w:p w14:paraId="4778DF6B"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031FEBDC"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7AA7FE2E"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0" w:type="dxa"/>
            <w:tcBorders>
              <w:top w:val="nil"/>
              <w:left w:val="nil"/>
              <w:bottom w:val="nil"/>
              <w:right w:val="nil"/>
            </w:tcBorders>
            <w:shd w:val="clear" w:color="auto" w:fill="auto"/>
            <w:vAlign w:val="center"/>
          </w:tcPr>
          <w:p w14:paraId="19CF31D0"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3CB6AFC9"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6F82CB1F" w14:textId="77777777" w:rsidTr="00E032FC">
        <w:trPr>
          <w:trHeight w:val="173"/>
        </w:trPr>
        <w:tc>
          <w:tcPr>
            <w:tcW w:w="4097" w:type="dxa"/>
            <w:tcBorders>
              <w:top w:val="nil"/>
              <w:left w:val="nil"/>
              <w:bottom w:val="nil"/>
              <w:right w:val="nil"/>
            </w:tcBorders>
            <w:shd w:val="clear" w:color="auto" w:fill="auto"/>
            <w:vAlign w:val="center"/>
            <w:hideMark/>
          </w:tcPr>
          <w:p w14:paraId="757BB141"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098" w:type="dxa"/>
            <w:tcBorders>
              <w:top w:val="nil"/>
              <w:left w:val="nil"/>
              <w:bottom w:val="nil"/>
              <w:right w:val="nil"/>
            </w:tcBorders>
            <w:shd w:val="clear" w:color="auto" w:fill="auto"/>
            <w:vAlign w:val="center"/>
            <w:hideMark/>
          </w:tcPr>
          <w:p w14:paraId="254C11F0"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28" w:type="dxa"/>
            <w:tcBorders>
              <w:top w:val="nil"/>
              <w:left w:val="nil"/>
              <w:bottom w:val="nil"/>
              <w:right w:val="nil"/>
            </w:tcBorders>
            <w:shd w:val="clear" w:color="auto" w:fill="auto"/>
            <w:vAlign w:val="center"/>
            <w:hideMark/>
          </w:tcPr>
          <w:p w14:paraId="7258D975"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28" w:type="dxa"/>
            <w:tcBorders>
              <w:top w:val="nil"/>
              <w:left w:val="nil"/>
              <w:bottom w:val="nil"/>
              <w:right w:val="nil"/>
            </w:tcBorders>
            <w:shd w:val="clear" w:color="auto" w:fill="auto"/>
            <w:vAlign w:val="center"/>
            <w:hideMark/>
          </w:tcPr>
          <w:p w14:paraId="559B635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0" w:type="dxa"/>
            <w:tcBorders>
              <w:top w:val="nil"/>
              <w:left w:val="nil"/>
              <w:bottom w:val="nil"/>
              <w:right w:val="nil"/>
            </w:tcBorders>
            <w:shd w:val="clear" w:color="auto" w:fill="auto"/>
            <w:vAlign w:val="center"/>
            <w:hideMark/>
          </w:tcPr>
          <w:p w14:paraId="453E50E0"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8" w:type="dxa"/>
            <w:tcBorders>
              <w:top w:val="nil"/>
              <w:left w:val="nil"/>
              <w:bottom w:val="nil"/>
              <w:right w:val="nil"/>
            </w:tcBorders>
            <w:shd w:val="clear" w:color="auto" w:fill="auto"/>
            <w:vAlign w:val="center"/>
            <w:hideMark/>
          </w:tcPr>
          <w:p w14:paraId="02B18688"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5892B4AB" w14:textId="77777777" w:rsidTr="00E032FC">
        <w:trPr>
          <w:trHeight w:val="173"/>
        </w:trPr>
        <w:tc>
          <w:tcPr>
            <w:tcW w:w="4097" w:type="dxa"/>
            <w:tcBorders>
              <w:top w:val="nil"/>
              <w:left w:val="nil"/>
              <w:bottom w:val="nil"/>
              <w:right w:val="nil"/>
            </w:tcBorders>
            <w:shd w:val="clear" w:color="auto" w:fill="auto"/>
            <w:vAlign w:val="center"/>
            <w:hideMark/>
          </w:tcPr>
          <w:p w14:paraId="07B75B8E"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hideMark/>
          </w:tcPr>
          <w:p w14:paraId="2040015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28" w:type="dxa"/>
            <w:tcBorders>
              <w:top w:val="nil"/>
              <w:left w:val="nil"/>
              <w:bottom w:val="nil"/>
              <w:right w:val="nil"/>
            </w:tcBorders>
            <w:shd w:val="clear" w:color="auto" w:fill="auto"/>
            <w:vAlign w:val="center"/>
            <w:hideMark/>
          </w:tcPr>
          <w:p w14:paraId="5281687C"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28" w:type="dxa"/>
            <w:tcBorders>
              <w:top w:val="nil"/>
              <w:left w:val="nil"/>
              <w:bottom w:val="nil"/>
              <w:right w:val="nil"/>
            </w:tcBorders>
            <w:shd w:val="clear" w:color="auto" w:fill="auto"/>
            <w:vAlign w:val="center"/>
            <w:hideMark/>
          </w:tcPr>
          <w:p w14:paraId="4992481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20" w:type="dxa"/>
            <w:tcBorders>
              <w:top w:val="nil"/>
              <w:left w:val="nil"/>
              <w:bottom w:val="nil"/>
              <w:right w:val="nil"/>
            </w:tcBorders>
            <w:shd w:val="clear" w:color="auto" w:fill="auto"/>
            <w:vAlign w:val="center"/>
            <w:hideMark/>
          </w:tcPr>
          <w:p w14:paraId="0BE59665"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8" w:type="dxa"/>
            <w:tcBorders>
              <w:top w:val="nil"/>
              <w:left w:val="nil"/>
              <w:bottom w:val="nil"/>
              <w:right w:val="nil"/>
            </w:tcBorders>
            <w:shd w:val="clear" w:color="auto" w:fill="auto"/>
            <w:vAlign w:val="center"/>
            <w:hideMark/>
          </w:tcPr>
          <w:p w14:paraId="01C75EF6"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3A417AB5" w14:textId="77777777" w:rsidTr="00E032FC">
        <w:trPr>
          <w:trHeight w:val="173"/>
        </w:trPr>
        <w:tc>
          <w:tcPr>
            <w:tcW w:w="4097" w:type="dxa"/>
            <w:tcBorders>
              <w:top w:val="nil"/>
              <w:left w:val="nil"/>
              <w:bottom w:val="nil"/>
              <w:right w:val="nil"/>
            </w:tcBorders>
            <w:shd w:val="clear" w:color="auto" w:fill="auto"/>
            <w:vAlign w:val="center"/>
          </w:tcPr>
          <w:p w14:paraId="0F29F1E6"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5731ACA4"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27B8F03D"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7CE513C5"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0" w:type="dxa"/>
            <w:tcBorders>
              <w:top w:val="nil"/>
              <w:left w:val="nil"/>
              <w:bottom w:val="nil"/>
              <w:right w:val="nil"/>
            </w:tcBorders>
            <w:shd w:val="clear" w:color="auto" w:fill="auto"/>
            <w:vAlign w:val="center"/>
          </w:tcPr>
          <w:p w14:paraId="7B3474EF"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2676E525"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693AF969" w14:textId="77777777" w:rsidTr="00E032FC">
        <w:trPr>
          <w:trHeight w:val="173"/>
        </w:trPr>
        <w:tc>
          <w:tcPr>
            <w:tcW w:w="4097" w:type="dxa"/>
            <w:tcBorders>
              <w:top w:val="nil"/>
              <w:left w:val="nil"/>
              <w:bottom w:val="nil"/>
              <w:right w:val="nil"/>
            </w:tcBorders>
            <w:shd w:val="clear" w:color="auto" w:fill="auto"/>
            <w:vAlign w:val="center"/>
            <w:hideMark/>
          </w:tcPr>
          <w:p w14:paraId="7D0D496B"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2</w:t>
            </w:r>
            <w:r w:rsidRPr="001B015B">
              <w:rPr>
                <w:rFonts w:ascii="Arial" w:eastAsia="Calibri" w:hAnsi="Arial" w:cs="Arial"/>
                <w:color w:val="000000" w:themeColor="text1"/>
                <w:sz w:val="18"/>
                <w:szCs w:val="18"/>
                <w:lang w:val="hr-HR"/>
              </w:rPr>
              <w:t xml:space="preserve">. </w:t>
            </w:r>
          </w:p>
        </w:tc>
        <w:tc>
          <w:tcPr>
            <w:tcW w:w="1098" w:type="dxa"/>
            <w:tcBorders>
              <w:top w:val="nil"/>
              <w:left w:val="nil"/>
              <w:bottom w:val="nil"/>
              <w:right w:val="nil"/>
            </w:tcBorders>
            <w:shd w:val="clear" w:color="auto" w:fill="auto"/>
            <w:vAlign w:val="bottom"/>
          </w:tcPr>
          <w:p w14:paraId="01C67BA5" w14:textId="77777777" w:rsidR="004E2F51" w:rsidRPr="001B015B" w:rsidRDefault="004E2F51" w:rsidP="00E032FC">
            <w:pPr>
              <w:jc w:val="right"/>
              <w:rPr>
                <w:rFonts w:ascii="Arial" w:eastAsia="Calibri" w:hAnsi="Arial" w:cs="Arial"/>
                <w:color w:val="000000" w:themeColor="text1"/>
                <w:sz w:val="18"/>
                <w:szCs w:val="18"/>
                <w:lang w:val="hr-HR"/>
              </w:rPr>
            </w:pPr>
            <w:r w:rsidRPr="001C3D60">
              <w:rPr>
                <w:rFonts w:ascii="Arial" w:eastAsia="Calibri" w:hAnsi="Arial" w:cs="Arial"/>
                <w:color w:val="000000" w:themeColor="text1"/>
                <w:sz w:val="18"/>
                <w:szCs w:val="18"/>
                <w:lang w:val="hr-HR"/>
              </w:rPr>
              <w:t>1.804</w:t>
            </w:r>
          </w:p>
        </w:tc>
        <w:tc>
          <w:tcPr>
            <w:tcW w:w="1028" w:type="dxa"/>
            <w:tcBorders>
              <w:top w:val="nil"/>
              <w:left w:val="nil"/>
              <w:bottom w:val="nil"/>
              <w:right w:val="nil"/>
            </w:tcBorders>
            <w:shd w:val="clear" w:color="auto" w:fill="auto"/>
            <w:vAlign w:val="bottom"/>
          </w:tcPr>
          <w:p w14:paraId="3682207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39243F9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20" w:type="dxa"/>
            <w:tcBorders>
              <w:top w:val="nil"/>
              <w:left w:val="nil"/>
              <w:bottom w:val="nil"/>
              <w:right w:val="nil"/>
            </w:tcBorders>
            <w:shd w:val="clear" w:color="auto" w:fill="auto"/>
            <w:vAlign w:val="bottom"/>
          </w:tcPr>
          <w:p w14:paraId="3EA748F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98" w:type="dxa"/>
            <w:tcBorders>
              <w:top w:val="nil"/>
              <w:left w:val="nil"/>
              <w:bottom w:val="nil"/>
              <w:right w:val="nil"/>
            </w:tcBorders>
            <w:shd w:val="clear" w:color="auto" w:fill="auto"/>
            <w:vAlign w:val="bottom"/>
          </w:tcPr>
          <w:p w14:paraId="32A7C4F0" w14:textId="77777777" w:rsidR="004E2F51" w:rsidRPr="001B015B" w:rsidRDefault="004E2F51" w:rsidP="00E032FC">
            <w:pPr>
              <w:jc w:val="right"/>
              <w:rPr>
                <w:rFonts w:ascii="Arial" w:eastAsia="Calibri" w:hAnsi="Arial" w:cs="Arial"/>
                <w:color w:val="000000" w:themeColor="text1"/>
                <w:sz w:val="18"/>
                <w:szCs w:val="18"/>
                <w:lang w:val="hr-HR"/>
              </w:rPr>
            </w:pPr>
            <w:r w:rsidRPr="001C3D60">
              <w:rPr>
                <w:rFonts w:ascii="Arial" w:eastAsia="Calibri" w:hAnsi="Arial" w:cs="Arial"/>
                <w:color w:val="000000" w:themeColor="text1"/>
                <w:sz w:val="18"/>
                <w:szCs w:val="18"/>
                <w:lang w:val="hr-HR"/>
              </w:rPr>
              <w:t>1.804</w:t>
            </w:r>
          </w:p>
        </w:tc>
      </w:tr>
      <w:tr w:rsidR="004E2F51" w:rsidRPr="001B015B" w14:paraId="62570D0C" w14:textId="77777777" w:rsidTr="00E032FC">
        <w:trPr>
          <w:trHeight w:val="173"/>
        </w:trPr>
        <w:tc>
          <w:tcPr>
            <w:tcW w:w="4097" w:type="dxa"/>
            <w:tcBorders>
              <w:top w:val="nil"/>
              <w:left w:val="nil"/>
              <w:bottom w:val="nil"/>
              <w:right w:val="nil"/>
            </w:tcBorders>
            <w:shd w:val="clear" w:color="auto" w:fill="auto"/>
            <w:vAlign w:val="center"/>
            <w:hideMark/>
          </w:tcPr>
          <w:p w14:paraId="167F2343"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8" w:type="dxa"/>
            <w:tcBorders>
              <w:top w:val="nil"/>
              <w:left w:val="nil"/>
              <w:right w:val="nil"/>
            </w:tcBorders>
            <w:shd w:val="clear" w:color="auto" w:fill="auto"/>
            <w:vAlign w:val="bottom"/>
          </w:tcPr>
          <w:p w14:paraId="26788D52"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right w:val="nil"/>
            </w:tcBorders>
            <w:shd w:val="clear" w:color="auto" w:fill="auto"/>
            <w:vAlign w:val="bottom"/>
          </w:tcPr>
          <w:p w14:paraId="79D23D4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28" w:type="dxa"/>
            <w:tcBorders>
              <w:top w:val="nil"/>
              <w:left w:val="nil"/>
              <w:right w:val="nil"/>
            </w:tcBorders>
            <w:shd w:val="clear" w:color="auto" w:fill="auto"/>
            <w:vAlign w:val="bottom"/>
          </w:tcPr>
          <w:p w14:paraId="1186D43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20" w:type="dxa"/>
            <w:tcBorders>
              <w:top w:val="nil"/>
              <w:left w:val="nil"/>
              <w:right w:val="nil"/>
            </w:tcBorders>
            <w:shd w:val="clear" w:color="auto" w:fill="auto"/>
            <w:vAlign w:val="bottom"/>
          </w:tcPr>
          <w:p w14:paraId="7C883DF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8" w:type="dxa"/>
            <w:tcBorders>
              <w:top w:val="nil"/>
              <w:left w:val="nil"/>
              <w:right w:val="nil"/>
            </w:tcBorders>
            <w:shd w:val="clear" w:color="auto" w:fill="auto"/>
            <w:vAlign w:val="bottom"/>
          </w:tcPr>
          <w:p w14:paraId="11BEDDFE"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r>
      <w:tr w:rsidR="004E2F51" w:rsidRPr="001B015B" w14:paraId="144243DB" w14:textId="77777777" w:rsidTr="00E032FC">
        <w:trPr>
          <w:trHeight w:val="173"/>
        </w:trPr>
        <w:tc>
          <w:tcPr>
            <w:tcW w:w="4097" w:type="dxa"/>
            <w:tcBorders>
              <w:top w:val="nil"/>
              <w:left w:val="nil"/>
              <w:bottom w:val="nil"/>
              <w:right w:val="nil"/>
            </w:tcBorders>
            <w:shd w:val="clear" w:color="auto" w:fill="auto"/>
            <w:vAlign w:val="center"/>
          </w:tcPr>
          <w:p w14:paraId="409C72E8"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8" w:type="dxa"/>
            <w:tcBorders>
              <w:top w:val="nil"/>
              <w:left w:val="nil"/>
              <w:right w:val="nil"/>
            </w:tcBorders>
            <w:shd w:val="clear" w:color="auto" w:fill="auto"/>
            <w:vAlign w:val="bottom"/>
          </w:tcPr>
          <w:p w14:paraId="4CF0F730"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right w:val="nil"/>
            </w:tcBorders>
            <w:shd w:val="clear" w:color="auto" w:fill="auto"/>
            <w:vAlign w:val="bottom"/>
          </w:tcPr>
          <w:p w14:paraId="5347BC2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28" w:type="dxa"/>
            <w:tcBorders>
              <w:top w:val="nil"/>
              <w:left w:val="nil"/>
              <w:right w:val="nil"/>
            </w:tcBorders>
            <w:shd w:val="clear" w:color="auto" w:fill="auto"/>
            <w:vAlign w:val="bottom"/>
          </w:tcPr>
          <w:p w14:paraId="020A54E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20" w:type="dxa"/>
            <w:tcBorders>
              <w:top w:val="nil"/>
              <w:left w:val="nil"/>
              <w:right w:val="nil"/>
            </w:tcBorders>
            <w:shd w:val="clear" w:color="auto" w:fill="auto"/>
            <w:vAlign w:val="bottom"/>
          </w:tcPr>
          <w:p w14:paraId="6168CE6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8" w:type="dxa"/>
            <w:tcBorders>
              <w:top w:val="nil"/>
              <w:left w:val="nil"/>
              <w:right w:val="nil"/>
            </w:tcBorders>
            <w:shd w:val="clear" w:color="auto" w:fill="auto"/>
            <w:vAlign w:val="bottom"/>
          </w:tcPr>
          <w:p w14:paraId="0CC2479F"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r>
      <w:tr w:rsidR="004E2F51" w:rsidRPr="001B015B" w14:paraId="1285CDEB" w14:textId="77777777" w:rsidTr="00E032FC">
        <w:trPr>
          <w:trHeight w:val="173"/>
        </w:trPr>
        <w:tc>
          <w:tcPr>
            <w:tcW w:w="4097" w:type="dxa"/>
            <w:tcBorders>
              <w:top w:val="nil"/>
              <w:left w:val="nil"/>
              <w:bottom w:val="nil"/>
              <w:right w:val="nil"/>
            </w:tcBorders>
            <w:shd w:val="clear" w:color="auto" w:fill="auto"/>
            <w:vAlign w:val="center"/>
          </w:tcPr>
          <w:p w14:paraId="4D31D8A9"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8" w:type="dxa"/>
            <w:tcBorders>
              <w:top w:val="nil"/>
              <w:left w:val="nil"/>
              <w:right w:val="nil"/>
            </w:tcBorders>
            <w:shd w:val="clear" w:color="auto" w:fill="auto"/>
            <w:vAlign w:val="bottom"/>
          </w:tcPr>
          <w:p w14:paraId="0C51BCC4"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28" w:type="dxa"/>
            <w:tcBorders>
              <w:top w:val="nil"/>
              <w:left w:val="nil"/>
              <w:right w:val="nil"/>
            </w:tcBorders>
            <w:shd w:val="clear" w:color="auto" w:fill="auto"/>
            <w:vAlign w:val="bottom"/>
          </w:tcPr>
          <w:p w14:paraId="36C357D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28" w:type="dxa"/>
            <w:tcBorders>
              <w:top w:val="nil"/>
              <w:left w:val="nil"/>
              <w:right w:val="nil"/>
            </w:tcBorders>
            <w:shd w:val="clear" w:color="auto" w:fill="auto"/>
            <w:vAlign w:val="bottom"/>
          </w:tcPr>
          <w:p w14:paraId="7F0E76A6"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20" w:type="dxa"/>
            <w:tcBorders>
              <w:top w:val="nil"/>
              <w:left w:val="nil"/>
              <w:right w:val="nil"/>
            </w:tcBorders>
            <w:shd w:val="clear" w:color="auto" w:fill="auto"/>
            <w:vAlign w:val="bottom"/>
          </w:tcPr>
          <w:p w14:paraId="68EAB57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8" w:type="dxa"/>
            <w:tcBorders>
              <w:top w:val="nil"/>
              <w:left w:val="nil"/>
              <w:right w:val="nil"/>
            </w:tcBorders>
            <w:shd w:val="clear" w:color="auto" w:fill="auto"/>
            <w:vAlign w:val="bottom"/>
          </w:tcPr>
          <w:p w14:paraId="0F3F82B3"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r>
      <w:tr w:rsidR="004E2F51" w:rsidRPr="001B015B" w14:paraId="0AC6B03A" w14:textId="77777777" w:rsidTr="00E032FC">
        <w:trPr>
          <w:trHeight w:val="250"/>
        </w:trPr>
        <w:tc>
          <w:tcPr>
            <w:tcW w:w="4097" w:type="dxa"/>
            <w:tcBorders>
              <w:top w:val="nil"/>
              <w:left w:val="nil"/>
              <w:bottom w:val="nil"/>
              <w:right w:val="nil"/>
            </w:tcBorders>
            <w:shd w:val="clear" w:color="auto" w:fill="auto"/>
            <w:vAlign w:val="center"/>
            <w:hideMark/>
          </w:tcPr>
          <w:p w14:paraId="32396F63"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1C3D60">
              <w:rPr>
                <w:rFonts w:ascii="Arial" w:eastAsia="Calibri" w:hAnsi="Arial" w:cs="Arial"/>
                <w:color w:val="000000" w:themeColor="text1"/>
                <w:sz w:val="18"/>
                <w:szCs w:val="18"/>
                <w:lang w:val="hr-HR"/>
              </w:rPr>
              <w:t>povećanje</w:t>
            </w:r>
            <w:r w:rsidRPr="001B015B">
              <w:rPr>
                <w:rFonts w:ascii="Arial" w:eastAsia="Calibri" w:hAnsi="Arial" w:cs="Arial"/>
                <w:color w:val="000000" w:themeColor="text1"/>
                <w:sz w:val="18"/>
                <w:szCs w:val="18"/>
                <w:lang w:val="hr-HR"/>
              </w:rPr>
              <w:t xml:space="preserve"> rezerviranja za očekivane gubitke </w:t>
            </w:r>
          </w:p>
        </w:tc>
        <w:tc>
          <w:tcPr>
            <w:tcW w:w="1098" w:type="dxa"/>
            <w:tcBorders>
              <w:top w:val="nil"/>
              <w:left w:val="nil"/>
              <w:right w:val="nil"/>
            </w:tcBorders>
            <w:shd w:val="clear" w:color="auto" w:fill="auto"/>
            <w:vAlign w:val="bottom"/>
          </w:tcPr>
          <w:p w14:paraId="6072F996" w14:textId="77777777" w:rsidR="004E2F51" w:rsidRPr="001B015B" w:rsidRDefault="004E2F51" w:rsidP="00E032FC">
            <w:pPr>
              <w:jc w:val="right"/>
              <w:rPr>
                <w:rFonts w:ascii="Arial" w:eastAsia="Calibri" w:hAnsi="Arial" w:cs="Arial"/>
                <w:color w:val="000000" w:themeColor="text1"/>
                <w:sz w:val="18"/>
                <w:szCs w:val="18"/>
                <w:lang w:val="hr-HR"/>
              </w:rPr>
            </w:pPr>
            <w:r w:rsidRPr="001C3D60">
              <w:rPr>
                <w:rFonts w:ascii="Arial" w:eastAsia="Calibri" w:hAnsi="Arial" w:cs="Arial"/>
                <w:color w:val="000000" w:themeColor="text1"/>
                <w:sz w:val="18"/>
                <w:szCs w:val="18"/>
                <w:lang w:val="hr-HR"/>
              </w:rPr>
              <w:t>4.250</w:t>
            </w:r>
          </w:p>
        </w:tc>
        <w:tc>
          <w:tcPr>
            <w:tcW w:w="1028" w:type="dxa"/>
            <w:tcBorders>
              <w:top w:val="nil"/>
              <w:left w:val="nil"/>
              <w:right w:val="nil"/>
            </w:tcBorders>
            <w:shd w:val="clear" w:color="auto" w:fill="auto"/>
            <w:vAlign w:val="bottom"/>
          </w:tcPr>
          <w:p w14:paraId="35DDDA6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28" w:type="dxa"/>
            <w:tcBorders>
              <w:top w:val="nil"/>
              <w:left w:val="nil"/>
              <w:right w:val="nil"/>
            </w:tcBorders>
            <w:shd w:val="clear" w:color="auto" w:fill="auto"/>
            <w:vAlign w:val="bottom"/>
          </w:tcPr>
          <w:p w14:paraId="1B10F61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20" w:type="dxa"/>
            <w:tcBorders>
              <w:top w:val="nil"/>
              <w:left w:val="nil"/>
              <w:right w:val="nil"/>
            </w:tcBorders>
            <w:shd w:val="clear" w:color="auto" w:fill="auto"/>
            <w:vAlign w:val="bottom"/>
          </w:tcPr>
          <w:p w14:paraId="74BCB0A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98" w:type="dxa"/>
            <w:tcBorders>
              <w:top w:val="nil"/>
              <w:left w:val="nil"/>
              <w:right w:val="nil"/>
            </w:tcBorders>
            <w:shd w:val="clear" w:color="auto" w:fill="auto"/>
            <w:vAlign w:val="bottom"/>
          </w:tcPr>
          <w:p w14:paraId="05D3007F" w14:textId="77777777" w:rsidR="004E2F51" w:rsidRPr="001B015B" w:rsidRDefault="004E2F51" w:rsidP="00E032FC">
            <w:pPr>
              <w:jc w:val="right"/>
              <w:rPr>
                <w:rFonts w:ascii="Arial" w:eastAsia="Calibri" w:hAnsi="Arial" w:cs="Arial"/>
                <w:color w:val="000000" w:themeColor="text1"/>
                <w:sz w:val="18"/>
                <w:szCs w:val="18"/>
                <w:lang w:val="hr-HR"/>
              </w:rPr>
            </w:pPr>
            <w:r w:rsidRPr="001C3D60">
              <w:rPr>
                <w:rFonts w:ascii="Arial" w:eastAsia="Calibri" w:hAnsi="Arial" w:cs="Arial"/>
                <w:color w:val="000000" w:themeColor="text1"/>
                <w:sz w:val="18"/>
                <w:szCs w:val="18"/>
                <w:lang w:val="hr-HR"/>
              </w:rPr>
              <w:t>4.250</w:t>
            </w:r>
          </w:p>
        </w:tc>
      </w:tr>
      <w:tr w:rsidR="004E2F51" w:rsidRPr="001B015B" w14:paraId="725A17B6" w14:textId="77777777" w:rsidTr="00E032FC">
        <w:trPr>
          <w:trHeight w:val="250"/>
        </w:trPr>
        <w:tc>
          <w:tcPr>
            <w:tcW w:w="4097" w:type="dxa"/>
            <w:tcBorders>
              <w:top w:val="nil"/>
              <w:left w:val="nil"/>
              <w:bottom w:val="nil"/>
              <w:right w:val="nil"/>
            </w:tcBorders>
            <w:shd w:val="clear" w:color="auto" w:fill="auto"/>
            <w:vAlign w:val="center"/>
          </w:tcPr>
          <w:p w14:paraId="03635B5E"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98" w:type="dxa"/>
            <w:tcBorders>
              <w:top w:val="nil"/>
              <w:left w:val="nil"/>
              <w:bottom w:val="single" w:sz="4" w:space="0" w:color="auto"/>
              <w:right w:val="nil"/>
            </w:tcBorders>
            <w:shd w:val="clear" w:color="auto" w:fill="auto"/>
            <w:vAlign w:val="bottom"/>
          </w:tcPr>
          <w:p w14:paraId="15B4E4C4" w14:textId="77777777" w:rsidR="004E2F51" w:rsidRPr="001B015B" w:rsidRDefault="004E2F51" w:rsidP="00E032FC">
            <w:pPr>
              <w:jc w:val="right"/>
              <w:rPr>
                <w:rFonts w:ascii="Arial" w:eastAsia="Calibri" w:hAnsi="Arial" w:cs="Arial"/>
                <w:color w:val="000000" w:themeColor="text1"/>
                <w:sz w:val="18"/>
                <w:szCs w:val="18"/>
                <w:lang w:val="hr-HR"/>
              </w:rPr>
            </w:pPr>
            <w:r w:rsidRPr="001C3D60">
              <w:rPr>
                <w:rFonts w:ascii="Arial" w:eastAsia="Calibri" w:hAnsi="Arial" w:cs="Arial"/>
                <w:color w:val="000000" w:themeColor="text1"/>
                <w:sz w:val="18"/>
                <w:szCs w:val="18"/>
                <w:lang w:val="hr-HR"/>
              </w:rPr>
              <w:t>5</w:t>
            </w:r>
          </w:p>
        </w:tc>
        <w:tc>
          <w:tcPr>
            <w:tcW w:w="1028" w:type="dxa"/>
            <w:tcBorders>
              <w:top w:val="nil"/>
              <w:left w:val="nil"/>
              <w:bottom w:val="single" w:sz="4" w:space="0" w:color="auto"/>
              <w:right w:val="nil"/>
            </w:tcBorders>
            <w:shd w:val="clear" w:color="auto" w:fill="auto"/>
            <w:vAlign w:val="bottom"/>
          </w:tcPr>
          <w:p w14:paraId="57B8EED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28" w:type="dxa"/>
            <w:tcBorders>
              <w:top w:val="nil"/>
              <w:left w:val="nil"/>
              <w:bottom w:val="single" w:sz="4" w:space="0" w:color="auto"/>
              <w:right w:val="nil"/>
            </w:tcBorders>
            <w:shd w:val="clear" w:color="auto" w:fill="auto"/>
            <w:vAlign w:val="bottom"/>
          </w:tcPr>
          <w:p w14:paraId="6CAFC4C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20" w:type="dxa"/>
            <w:tcBorders>
              <w:top w:val="nil"/>
              <w:left w:val="nil"/>
              <w:bottom w:val="single" w:sz="4" w:space="0" w:color="auto"/>
              <w:right w:val="nil"/>
            </w:tcBorders>
            <w:shd w:val="clear" w:color="auto" w:fill="auto"/>
            <w:vAlign w:val="bottom"/>
          </w:tcPr>
          <w:p w14:paraId="2E1D379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98" w:type="dxa"/>
            <w:tcBorders>
              <w:top w:val="nil"/>
              <w:left w:val="nil"/>
              <w:bottom w:val="single" w:sz="4" w:space="0" w:color="auto"/>
              <w:right w:val="nil"/>
            </w:tcBorders>
            <w:shd w:val="clear" w:color="auto" w:fill="auto"/>
            <w:vAlign w:val="bottom"/>
          </w:tcPr>
          <w:p w14:paraId="31E9D340" w14:textId="77777777" w:rsidR="004E2F51" w:rsidRPr="001B015B" w:rsidRDefault="004E2F51" w:rsidP="00E032FC">
            <w:pPr>
              <w:jc w:val="right"/>
              <w:rPr>
                <w:rFonts w:ascii="Arial" w:eastAsia="Calibri" w:hAnsi="Arial" w:cs="Arial"/>
                <w:color w:val="000000" w:themeColor="text1"/>
                <w:sz w:val="18"/>
                <w:szCs w:val="18"/>
                <w:lang w:val="hr-HR"/>
              </w:rPr>
            </w:pPr>
            <w:r w:rsidRPr="001C3D60">
              <w:rPr>
                <w:rFonts w:ascii="Arial" w:eastAsia="Calibri" w:hAnsi="Arial" w:cs="Arial"/>
                <w:color w:val="000000" w:themeColor="text1"/>
                <w:sz w:val="18"/>
                <w:szCs w:val="18"/>
                <w:lang w:val="hr-HR"/>
              </w:rPr>
              <w:t>5</w:t>
            </w:r>
          </w:p>
        </w:tc>
      </w:tr>
      <w:tr w:rsidR="004E2F51" w:rsidRPr="001B015B" w14:paraId="145B2296" w14:textId="77777777" w:rsidTr="00E032FC">
        <w:trPr>
          <w:trHeight w:val="182"/>
        </w:trPr>
        <w:tc>
          <w:tcPr>
            <w:tcW w:w="4097" w:type="dxa"/>
            <w:tcBorders>
              <w:top w:val="nil"/>
              <w:left w:val="nil"/>
              <w:bottom w:val="nil"/>
              <w:right w:val="nil"/>
            </w:tcBorders>
            <w:shd w:val="clear" w:color="auto" w:fill="auto"/>
            <w:vAlign w:val="center"/>
            <w:hideMark/>
          </w:tcPr>
          <w:p w14:paraId="054C9CAE"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098" w:type="dxa"/>
            <w:tcBorders>
              <w:top w:val="single" w:sz="4" w:space="0" w:color="auto"/>
              <w:left w:val="nil"/>
              <w:bottom w:val="single" w:sz="12" w:space="0" w:color="auto"/>
              <w:right w:val="nil"/>
            </w:tcBorders>
            <w:shd w:val="clear" w:color="auto" w:fill="auto"/>
          </w:tcPr>
          <w:p w14:paraId="6723608D" w14:textId="77777777" w:rsidR="004E2F51" w:rsidRPr="001B015B" w:rsidRDefault="004E2F51" w:rsidP="00E032FC">
            <w:pPr>
              <w:jc w:val="right"/>
              <w:rPr>
                <w:rFonts w:ascii="Arial" w:eastAsia="Calibri" w:hAnsi="Arial" w:cs="Arial"/>
                <w:b/>
                <w:bCs/>
                <w:color w:val="000000" w:themeColor="text1"/>
                <w:sz w:val="18"/>
                <w:szCs w:val="18"/>
                <w:lang w:val="hr-HR"/>
              </w:rPr>
            </w:pPr>
            <w:r w:rsidRPr="001C3D60">
              <w:rPr>
                <w:rFonts w:ascii="Arial" w:eastAsia="Calibri" w:hAnsi="Arial" w:cs="Arial"/>
                <w:b/>
                <w:bCs/>
                <w:color w:val="000000" w:themeColor="text1"/>
                <w:sz w:val="18"/>
                <w:szCs w:val="18"/>
                <w:lang w:val="hr-HR"/>
              </w:rPr>
              <w:t>6.059</w:t>
            </w:r>
          </w:p>
        </w:tc>
        <w:tc>
          <w:tcPr>
            <w:tcW w:w="1028" w:type="dxa"/>
            <w:tcBorders>
              <w:top w:val="single" w:sz="4" w:space="0" w:color="auto"/>
              <w:left w:val="nil"/>
              <w:bottom w:val="single" w:sz="12" w:space="0" w:color="auto"/>
              <w:right w:val="nil"/>
            </w:tcBorders>
            <w:shd w:val="clear" w:color="auto" w:fill="auto"/>
          </w:tcPr>
          <w:p w14:paraId="533BFAE8"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 </w:t>
            </w:r>
          </w:p>
        </w:tc>
        <w:tc>
          <w:tcPr>
            <w:tcW w:w="1028" w:type="dxa"/>
            <w:tcBorders>
              <w:top w:val="single" w:sz="4" w:space="0" w:color="auto"/>
              <w:left w:val="nil"/>
              <w:bottom w:val="single" w:sz="12" w:space="0" w:color="auto"/>
              <w:right w:val="nil"/>
            </w:tcBorders>
            <w:shd w:val="clear" w:color="auto" w:fill="auto"/>
          </w:tcPr>
          <w:p w14:paraId="3F156F85"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 </w:t>
            </w:r>
          </w:p>
        </w:tc>
        <w:tc>
          <w:tcPr>
            <w:tcW w:w="1020" w:type="dxa"/>
            <w:tcBorders>
              <w:top w:val="single" w:sz="4" w:space="0" w:color="auto"/>
              <w:left w:val="nil"/>
              <w:bottom w:val="single" w:sz="12" w:space="0" w:color="auto"/>
              <w:right w:val="nil"/>
            </w:tcBorders>
            <w:shd w:val="clear" w:color="auto" w:fill="auto"/>
          </w:tcPr>
          <w:p w14:paraId="346427F8"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 </w:t>
            </w:r>
          </w:p>
        </w:tc>
        <w:tc>
          <w:tcPr>
            <w:tcW w:w="1098" w:type="dxa"/>
            <w:tcBorders>
              <w:top w:val="single" w:sz="4" w:space="0" w:color="auto"/>
              <w:left w:val="nil"/>
              <w:bottom w:val="single" w:sz="12" w:space="0" w:color="auto"/>
              <w:right w:val="nil"/>
            </w:tcBorders>
            <w:shd w:val="clear" w:color="auto" w:fill="auto"/>
          </w:tcPr>
          <w:p w14:paraId="015E2918" w14:textId="77777777" w:rsidR="004E2F51" w:rsidRPr="001B015B" w:rsidRDefault="004E2F51" w:rsidP="00E032FC">
            <w:pPr>
              <w:jc w:val="right"/>
              <w:rPr>
                <w:rFonts w:ascii="Arial" w:eastAsia="Calibri" w:hAnsi="Arial" w:cs="Arial"/>
                <w:b/>
                <w:bCs/>
                <w:color w:val="000000" w:themeColor="text1"/>
                <w:sz w:val="18"/>
                <w:szCs w:val="18"/>
                <w:lang w:val="hr-HR"/>
              </w:rPr>
            </w:pPr>
            <w:r w:rsidRPr="001C3D60">
              <w:rPr>
                <w:rFonts w:ascii="Arial" w:eastAsia="Calibri" w:hAnsi="Arial" w:cs="Arial"/>
                <w:b/>
                <w:bCs/>
                <w:color w:val="000000" w:themeColor="text1"/>
                <w:sz w:val="18"/>
                <w:szCs w:val="18"/>
                <w:lang w:val="hr-HR"/>
              </w:rPr>
              <w:t>6.059</w:t>
            </w:r>
          </w:p>
        </w:tc>
      </w:tr>
      <w:bookmarkEnd w:id="1645"/>
    </w:tbl>
    <w:p w14:paraId="074A960F" w14:textId="77777777" w:rsidR="004E2F51" w:rsidRPr="001B015B" w:rsidRDefault="004E2F51" w:rsidP="004E2F51">
      <w:pPr>
        <w:keepNext/>
        <w:jc w:val="both"/>
        <w:rPr>
          <w:rFonts w:ascii="Arial" w:hAnsi="Arial" w:cs="Arial"/>
          <w:b/>
          <w:bCs/>
          <w:color w:val="000000" w:themeColor="text1"/>
          <w:sz w:val="20"/>
          <w:szCs w:val="20"/>
          <w:lang w:val="hr-HR"/>
        </w:rPr>
      </w:pPr>
    </w:p>
    <w:p w14:paraId="536B79F4" w14:textId="77777777" w:rsidR="004E2F51" w:rsidRPr="001B015B" w:rsidRDefault="004E2F51" w:rsidP="004E2F51">
      <w:pPr>
        <w:rPr>
          <w:rFonts w:ascii="Arial" w:eastAsia="Calibri" w:hAnsi="Arial" w:cs="Arial"/>
          <w:color w:val="000000" w:themeColor="text1"/>
          <w:sz w:val="20"/>
          <w:szCs w:val="20"/>
          <w:lang w:val="hr-HR"/>
        </w:rPr>
      </w:pPr>
    </w:p>
    <w:p w14:paraId="5D32662F" w14:textId="77777777" w:rsidR="004E2F51" w:rsidRPr="001B015B" w:rsidRDefault="004E2F51" w:rsidP="004E2F51">
      <w:pPr>
        <w:rPr>
          <w:rFonts w:ascii="Arial" w:eastAsia="Calibri" w:hAnsi="Arial" w:cs="Arial"/>
          <w:color w:val="000000" w:themeColor="text1"/>
          <w:sz w:val="20"/>
          <w:szCs w:val="20"/>
          <w:lang w:val="hr-HR"/>
        </w:rPr>
      </w:pPr>
    </w:p>
    <w:tbl>
      <w:tblPr>
        <w:tblW w:w="9369" w:type="dxa"/>
        <w:tblInd w:w="-180" w:type="dxa"/>
        <w:tblLook w:val="04A0" w:firstRow="1" w:lastRow="0" w:firstColumn="1" w:lastColumn="0" w:noHBand="0" w:noVBand="1"/>
      </w:tblPr>
      <w:tblGrid>
        <w:gridCol w:w="4097"/>
        <w:gridCol w:w="1098"/>
        <w:gridCol w:w="1028"/>
        <w:gridCol w:w="1028"/>
        <w:gridCol w:w="1020"/>
        <w:gridCol w:w="1098"/>
      </w:tblGrid>
      <w:tr w:rsidR="004E2F51" w:rsidRPr="001B015B" w14:paraId="3D2F238F" w14:textId="77777777" w:rsidTr="00E032FC">
        <w:trPr>
          <w:trHeight w:val="173"/>
        </w:trPr>
        <w:tc>
          <w:tcPr>
            <w:tcW w:w="4097" w:type="dxa"/>
            <w:tcBorders>
              <w:top w:val="nil"/>
              <w:left w:val="nil"/>
              <w:bottom w:val="nil"/>
              <w:right w:val="nil"/>
            </w:tcBorders>
            <w:shd w:val="clear" w:color="auto" w:fill="auto"/>
            <w:vAlign w:val="center"/>
          </w:tcPr>
          <w:p w14:paraId="718707D1"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Banka</w:t>
            </w:r>
          </w:p>
        </w:tc>
        <w:tc>
          <w:tcPr>
            <w:tcW w:w="1098" w:type="dxa"/>
            <w:tcBorders>
              <w:top w:val="nil"/>
              <w:left w:val="nil"/>
              <w:bottom w:val="nil"/>
              <w:right w:val="nil"/>
            </w:tcBorders>
            <w:shd w:val="clear" w:color="auto" w:fill="auto"/>
            <w:vAlign w:val="center"/>
          </w:tcPr>
          <w:p w14:paraId="6443C899"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1773702C"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42A3129D"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0" w:type="dxa"/>
            <w:tcBorders>
              <w:top w:val="nil"/>
              <w:left w:val="nil"/>
              <w:bottom w:val="nil"/>
              <w:right w:val="nil"/>
            </w:tcBorders>
            <w:shd w:val="clear" w:color="auto" w:fill="auto"/>
            <w:vAlign w:val="center"/>
          </w:tcPr>
          <w:p w14:paraId="050DE795"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0179EABE"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62C6D853" w14:textId="77777777" w:rsidTr="00E032FC">
        <w:trPr>
          <w:trHeight w:val="173"/>
        </w:trPr>
        <w:tc>
          <w:tcPr>
            <w:tcW w:w="4097" w:type="dxa"/>
            <w:tcBorders>
              <w:top w:val="nil"/>
              <w:left w:val="nil"/>
              <w:bottom w:val="nil"/>
              <w:right w:val="nil"/>
            </w:tcBorders>
            <w:shd w:val="clear" w:color="auto" w:fill="auto"/>
            <w:vAlign w:val="center"/>
            <w:hideMark/>
          </w:tcPr>
          <w:p w14:paraId="5474090E"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2021.</w:t>
            </w:r>
          </w:p>
        </w:tc>
        <w:tc>
          <w:tcPr>
            <w:tcW w:w="1098" w:type="dxa"/>
            <w:tcBorders>
              <w:top w:val="nil"/>
              <w:left w:val="nil"/>
              <w:bottom w:val="nil"/>
              <w:right w:val="nil"/>
            </w:tcBorders>
            <w:shd w:val="clear" w:color="auto" w:fill="auto"/>
            <w:vAlign w:val="center"/>
            <w:hideMark/>
          </w:tcPr>
          <w:p w14:paraId="028C36CE"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28" w:type="dxa"/>
            <w:tcBorders>
              <w:top w:val="nil"/>
              <w:left w:val="nil"/>
              <w:bottom w:val="nil"/>
              <w:right w:val="nil"/>
            </w:tcBorders>
            <w:shd w:val="clear" w:color="auto" w:fill="auto"/>
            <w:vAlign w:val="center"/>
            <w:hideMark/>
          </w:tcPr>
          <w:p w14:paraId="581F32B5"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28" w:type="dxa"/>
            <w:tcBorders>
              <w:top w:val="nil"/>
              <w:left w:val="nil"/>
              <w:bottom w:val="nil"/>
              <w:right w:val="nil"/>
            </w:tcBorders>
            <w:shd w:val="clear" w:color="auto" w:fill="auto"/>
            <w:vAlign w:val="center"/>
            <w:hideMark/>
          </w:tcPr>
          <w:p w14:paraId="3FE93A99"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0" w:type="dxa"/>
            <w:tcBorders>
              <w:top w:val="nil"/>
              <w:left w:val="nil"/>
              <w:bottom w:val="nil"/>
              <w:right w:val="nil"/>
            </w:tcBorders>
            <w:shd w:val="clear" w:color="auto" w:fill="auto"/>
            <w:vAlign w:val="center"/>
            <w:hideMark/>
          </w:tcPr>
          <w:p w14:paraId="7179DF30"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8" w:type="dxa"/>
            <w:tcBorders>
              <w:top w:val="nil"/>
              <w:left w:val="nil"/>
              <w:bottom w:val="nil"/>
              <w:right w:val="nil"/>
            </w:tcBorders>
            <w:shd w:val="clear" w:color="auto" w:fill="auto"/>
            <w:vAlign w:val="center"/>
            <w:hideMark/>
          </w:tcPr>
          <w:p w14:paraId="6B742BF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6C367B1E" w14:textId="77777777" w:rsidTr="00E032FC">
        <w:trPr>
          <w:trHeight w:val="173"/>
        </w:trPr>
        <w:tc>
          <w:tcPr>
            <w:tcW w:w="4097" w:type="dxa"/>
            <w:tcBorders>
              <w:top w:val="nil"/>
              <w:left w:val="nil"/>
              <w:bottom w:val="nil"/>
              <w:right w:val="nil"/>
            </w:tcBorders>
            <w:shd w:val="clear" w:color="auto" w:fill="auto"/>
            <w:vAlign w:val="center"/>
            <w:hideMark/>
          </w:tcPr>
          <w:p w14:paraId="0165DA46"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hideMark/>
          </w:tcPr>
          <w:p w14:paraId="3B73550B"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28" w:type="dxa"/>
            <w:tcBorders>
              <w:top w:val="nil"/>
              <w:left w:val="nil"/>
              <w:bottom w:val="nil"/>
              <w:right w:val="nil"/>
            </w:tcBorders>
            <w:shd w:val="clear" w:color="auto" w:fill="auto"/>
            <w:vAlign w:val="center"/>
            <w:hideMark/>
          </w:tcPr>
          <w:p w14:paraId="529267E1"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28" w:type="dxa"/>
            <w:tcBorders>
              <w:top w:val="nil"/>
              <w:left w:val="nil"/>
              <w:bottom w:val="nil"/>
              <w:right w:val="nil"/>
            </w:tcBorders>
            <w:shd w:val="clear" w:color="auto" w:fill="auto"/>
            <w:vAlign w:val="center"/>
            <w:hideMark/>
          </w:tcPr>
          <w:p w14:paraId="55A802B8"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20" w:type="dxa"/>
            <w:tcBorders>
              <w:top w:val="nil"/>
              <w:left w:val="nil"/>
              <w:bottom w:val="nil"/>
              <w:right w:val="nil"/>
            </w:tcBorders>
            <w:shd w:val="clear" w:color="auto" w:fill="auto"/>
            <w:vAlign w:val="center"/>
            <w:hideMark/>
          </w:tcPr>
          <w:p w14:paraId="297D40D6"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8" w:type="dxa"/>
            <w:tcBorders>
              <w:top w:val="nil"/>
              <w:left w:val="nil"/>
              <w:bottom w:val="nil"/>
              <w:right w:val="nil"/>
            </w:tcBorders>
            <w:shd w:val="clear" w:color="auto" w:fill="auto"/>
            <w:vAlign w:val="center"/>
            <w:hideMark/>
          </w:tcPr>
          <w:p w14:paraId="452D0C1D"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09EB642E" w14:textId="77777777" w:rsidTr="00E032FC">
        <w:trPr>
          <w:trHeight w:val="173"/>
        </w:trPr>
        <w:tc>
          <w:tcPr>
            <w:tcW w:w="4097" w:type="dxa"/>
            <w:tcBorders>
              <w:top w:val="nil"/>
              <w:left w:val="nil"/>
              <w:bottom w:val="nil"/>
              <w:right w:val="nil"/>
            </w:tcBorders>
            <w:shd w:val="clear" w:color="auto" w:fill="auto"/>
            <w:vAlign w:val="center"/>
          </w:tcPr>
          <w:p w14:paraId="011E0BCA"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78B6E86C"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1BFF5F3D"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2EF56AAC"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0" w:type="dxa"/>
            <w:tcBorders>
              <w:top w:val="nil"/>
              <w:left w:val="nil"/>
              <w:bottom w:val="nil"/>
              <w:right w:val="nil"/>
            </w:tcBorders>
            <w:shd w:val="clear" w:color="auto" w:fill="auto"/>
            <w:vAlign w:val="center"/>
          </w:tcPr>
          <w:p w14:paraId="180A1537"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8" w:type="dxa"/>
            <w:tcBorders>
              <w:top w:val="nil"/>
              <w:left w:val="nil"/>
              <w:bottom w:val="nil"/>
              <w:right w:val="nil"/>
            </w:tcBorders>
            <w:shd w:val="clear" w:color="auto" w:fill="auto"/>
            <w:vAlign w:val="center"/>
          </w:tcPr>
          <w:p w14:paraId="55DC9275"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7B8F6BC9" w14:textId="77777777" w:rsidTr="00E032FC">
        <w:trPr>
          <w:trHeight w:val="173"/>
        </w:trPr>
        <w:tc>
          <w:tcPr>
            <w:tcW w:w="4097" w:type="dxa"/>
            <w:tcBorders>
              <w:top w:val="nil"/>
              <w:left w:val="nil"/>
              <w:bottom w:val="nil"/>
              <w:right w:val="nil"/>
            </w:tcBorders>
            <w:shd w:val="clear" w:color="auto" w:fill="auto"/>
            <w:vAlign w:val="center"/>
            <w:hideMark/>
          </w:tcPr>
          <w:p w14:paraId="266EEBBD"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Stanje 1. siječnja 2021. </w:t>
            </w:r>
          </w:p>
        </w:tc>
        <w:tc>
          <w:tcPr>
            <w:tcW w:w="1098" w:type="dxa"/>
            <w:tcBorders>
              <w:top w:val="nil"/>
              <w:left w:val="nil"/>
              <w:bottom w:val="nil"/>
              <w:right w:val="nil"/>
            </w:tcBorders>
            <w:shd w:val="clear" w:color="auto" w:fill="auto"/>
            <w:vAlign w:val="bottom"/>
          </w:tcPr>
          <w:p w14:paraId="08567FE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1.643 </w:t>
            </w:r>
          </w:p>
        </w:tc>
        <w:tc>
          <w:tcPr>
            <w:tcW w:w="1028" w:type="dxa"/>
            <w:tcBorders>
              <w:top w:val="nil"/>
              <w:left w:val="nil"/>
              <w:bottom w:val="nil"/>
              <w:right w:val="nil"/>
            </w:tcBorders>
            <w:shd w:val="clear" w:color="auto" w:fill="auto"/>
            <w:vAlign w:val="bottom"/>
          </w:tcPr>
          <w:p w14:paraId="7974F33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28" w:type="dxa"/>
            <w:tcBorders>
              <w:top w:val="nil"/>
              <w:left w:val="nil"/>
              <w:bottom w:val="nil"/>
              <w:right w:val="nil"/>
            </w:tcBorders>
            <w:shd w:val="clear" w:color="auto" w:fill="auto"/>
            <w:vAlign w:val="bottom"/>
          </w:tcPr>
          <w:p w14:paraId="16A3775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20" w:type="dxa"/>
            <w:tcBorders>
              <w:top w:val="nil"/>
              <w:left w:val="nil"/>
              <w:bottom w:val="nil"/>
              <w:right w:val="nil"/>
            </w:tcBorders>
            <w:shd w:val="clear" w:color="auto" w:fill="auto"/>
            <w:vAlign w:val="bottom"/>
          </w:tcPr>
          <w:p w14:paraId="182565D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98" w:type="dxa"/>
            <w:tcBorders>
              <w:top w:val="nil"/>
              <w:left w:val="nil"/>
              <w:bottom w:val="nil"/>
              <w:right w:val="nil"/>
            </w:tcBorders>
            <w:shd w:val="clear" w:color="auto" w:fill="auto"/>
            <w:vAlign w:val="bottom"/>
          </w:tcPr>
          <w:p w14:paraId="6DC00BB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1.643 </w:t>
            </w:r>
          </w:p>
        </w:tc>
      </w:tr>
      <w:tr w:rsidR="004E2F51" w:rsidRPr="001B015B" w14:paraId="2F691BC1" w14:textId="77777777" w:rsidTr="00E032FC">
        <w:trPr>
          <w:trHeight w:val="173"/>
        </w:trPr>
        <w:tc>
          <w:tcPr>
            <w:tcW w:w="4097" w:type="dxa"/>
            <w:tcBorders>
              <w:top w:val="nil"/>
              <w:left w:val="nil"/>
              <w:bottom w:val="nil"/>
              <w:right w:val="nil"/>
            </w:tcBorders>
            <w:shd w:val="clear" w:color="auto" w:fill="auto"/>
            <w:vAlign w:val="center"/>
            <w:hideMark/>
          </w:tcPr>
          <w:p w14:paraId="4826F049"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8" w:type="dxa"/>
            <w:tcBorders>
              <w:top w:val="nil"/>
              <w:left w:val="nil"/>
              <w:right w:val="nil"/>
            </w:tcBorders>
            <w:shd w:val="clear" w:color="auto" w:fill="auto"/>
            <w:vAlign w:val="bottom"/>
          </w:tcPr>
          <w:p w14:paraId="18DCFA8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28" w:type="dxa"/>
            <w:tcBorders>
              <w:top w:val="nil"/>
              <w:left w:val="nil"/>
              <w:right w:val="nil"/>
            </w:tcBorders>
            <w:shd w:val="clear" w:color="auto" w:fill="auto"/>
            <w:vAlign w:val="bottom"/>
          </w:tcPr>
          <w:p w14:paraId="70832CD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28" w:type="dxa"/>
            <w:tcBorders>
              <w:top w:val="nil"/>
              <w:left w:val="nil"/>
              <w:right w:val="nil"/>
            </w:tcBorders>
            <w:shd w:val="clear" w:color="auto" w:fill="auto"/>
            <w:vAlign w:val="bottom"/>
          </w:tcPr>
          <w:p w14:paraId="735BDEE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20" w:type="dxa"/>
            <w:tcBorders>
              <w:top w:val="nil"/>
              <w:left w:val="nil"/>
              <w:right w:val="nil"/>
            </w:tcBorders>
            <w:shd w:val="clear" w:color="auto" w:fill="auto"/>
            <w:vAlign w:val="bottom"/>
          </w:tcPr>
          <w:p w14:paraId="26829FE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8" w:type="dxa"/>
            <w:tcBorders>
              <w:top w:val="nil"/>
              <w:left w:val="nil"/>
              <w:right w:val="nil"/>
            </w:tcBorders>
            <w:shd w:val="clear" w:color="auto" w:fill="auto"/>
            <w:vAlign w:val="bottom"/>
          </w:tcPr>
          <w:p w14:paraId="7C3C467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r>
      <w:tr w:rsidR="004E2F51" w:rsidRPr="001B015B" w14:paraId="69FF428E" w14:textId="77777777" w:rsidTr="00E032FC">
        <w:trPr>
          <w:trHeight w:val="173"/>
        </w:trPr>
        <w:tc>
          <w:tcPr>
            <w:tcW w:w="4097" w:type="dxa"/>
            <w:tcBorders>
              <w:top w:val="nil"/>
              <w:left w:val="nil"/>
              <w:bottom w:val="nil"/>
              <w:right w:val="nil"/>
            </w:tcBorders>
            <w:shd w:val="clear" w:color="auto" w:fill="auto"/>
            <w:vAlign w:val="center"/>
          </w:tcPr>
          <w:p w14:paraId="6E5A75C8"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8" w:type="dxa"/>
            <w:tcBorders>
              <w:top w:val="nil"/>
              <w:left w:val="nil"/>
              <w:right w:val="nil"/>
            </w:tcBorders>
            <w:shd w:val="clear" w:color="auto" w:fill="auto"/>
            <w:vAlign w:val="bottom"/>
          </w:tcPr>
          <w:p w14:paraId="1F655C1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28" w:type="dxa"/>
            <w:tcBorders>
              <w:top w:val="nil"/>
              <w:left w:val="nil"/>
              <w:right w:val="nil"/>
            </w:tcBorders>
            <w:shd w:val="clear" w:color="auto" w:fill="auto"/>
            <w:vAlign w:val="bottom"/>
          </w:tcPr>
          <w:p w14:paraId="0E8B921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28" w:type="dxa"/>
            <w:tcBorders>
              <w:top w:val="nil"/>
              <w:left w:val="nil"/>
              <w:right w:val="nil"/>
            </w:tcBorders>
            <w:shd w:val="clear" w:color="auto" w:fill="auto"/>
            <w:vAlign w:val="bottom"/>
          </w:tcPr>
          <w:p w14:paraId="1B702FC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20" w:type="dxa"/>
            <w:tcBorders>
              <w:top w:val="nil"/>
              <w:left w:val="nil"/>
              <w:right w:val="nil"/>
            </w:tcBorders>
            <w:shd w:val="clear" w:color="auto" w:fill="auto"/>
            <w:vAlign w:val="bottom"/>
          </w:tcPr>
          <w:p w14:paraId="39E4F02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8" w:type="dxa"/>
            <w:tcBorders>
              <w:top w:val="nil"/>
              <w:left w:val="nil"/>
              <w:right w:val="nil"/>
            </w:tcBorders>
            <w:shd w:val="clear" w:color="auto" w:fill="auto"/>
            <w:vAlign w:val="bottom"/>
          </w:tcPr>
          <w:p w14:paraId="1EDEF23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r>
      <w:tr w:rsidR="004E2F51" w:rsidRPr="001B015B" w14:paraId="193AFE6C" w14:textId="77777777" w:rsidTr="00E032FC">
        <w:trPr>
          <w:trHeight w:val="173"/>
        </w:trPr>
        <w:tc>
          <w:tcPr>
            <w:tcW w:w="4097" w:type="dxa"/>
            <w:tcBorders>
              <w:top w:val="nil"/>
              <w:left w:val="nil"/>
              <w:bottom w:val="nil"/>
              <w:right w:val="nil"/>
            </w:tcBorders>
            <w:shd w:val="clear" w:color="auto" w:fill="auto"/>
            <w:vAlign w:val="center"/>
          </w:tcPr>
          <w:p w14:paraId="00A9373A"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8" w:type="dxa"/>
            <w:tcBorders>
              <w:top w:val="nil"/>
              <w:left w:val="nil"/>
              <w:right w:val="nil"/>
            </w:tcBorders>
            <w:shd w:val="clear" w:color="auto" w:fill="auto"/>
            <w:vAlign w:val="bottom"/>
          </w:tcPr>
          <w:p w14:paraId="76B8664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28" w:type="dxa"/>
            <w:tcBorders>
              <w:top w:val="nil"/>
              <w:left w:val="nil"/>
              <w:right w:val="nil"/>
            </w:tcBorders>
            <w:shd w:val="clear" w:color="auto" w:fill="auto"/>
            <w:vAlign w:val="bottom"/>
          </w:tcPr>
          <w:p w14:paraId="1B3903E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28" w:type="dxa"/>
            <w:tcBorders>
              <w:top w:val="nil"/>
              <w:left w:val="nil"/>
              <w:right w:val="nil"/>
            </w:tcBorders>
            <w:shd w:val="clear" w:color="auto" w:fill="auto"/>
            <w:vAlign w:val="bottom"/>
          </w:tcPr>
          <w:p w14:paraId="7557337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20" w:type="dxa"/>
            <w:tcBorders>
              <w:top w:val="nil"/>
              <w:left w:val="nil"/>
              <w:right w:val="nil"/>
            </w:tcBorders>
            <w:shd w:val="clear" w:color="auto" w:fill="auto"/>
            <w:vAlign w:val="bottom"/>
          </w:tcPr>
          <w:p w14:paraId="2D5F57A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8" w:type="dxa"/>
            <w:tcBorders>
              <w:top w:val="nil"/>
              <w:left w:val="nil"/>
              <w:right w:val="nil"/>
            </w:tcBorders>
            <w:shd w:val="clear" w:color="auto" w:fill="auto"/>
            <w:vAlign w:val="bottom"/>
          </w:tcPr>
          <w:p w14:paraId="3DB30E5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r>
      <w:tr w:rsidR="004E2F51" w:rsidRPr="001B015B" w14:paraId="657E58B5" w14:textId="77777777" w:rsidTr="00E032FC">
        <w:trPr>
          <w:trHeight w:val="250"/>
        </w:trPr>
        <w:tc>
          <w:tcPr>
            <w:tcW w:w="4097" w:type="dxa"/>
            <w:tcBorders>
              <w:top w:val="nil"/>
              <w:left w:val="nil"/>
              <w:bottom w:val="nil"/>
              <w:right w:val="nil"/>
            </w:tcBorders>
            <w:shd w:val="clear" w:color="auto" w:fill="auto"/>
            <w:vAlign w:val="center"/>
            <w:hideMark/>
          </w:tcPr>
          <w:p w14:paraId="073F39A6"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povećanje rezerviranja za očekivane gubitke </w:t>
            </w:r>
          </w:p>
        </w:tc>
        <w:tc>
          <w:tcPr>
            <w:tcW w:w="1098" w:type="dxa"/>
            <w:tcBorders>
              <w:top w:val="nil"/>
              <w:left w:val="nil"/>
              <w:right w:val="nil"/>
            </w:tcBorders>
            <w:shd w:val="clear" w:color="auto" w:fill="auto"/>
            <w:vAlign w:val="bottom"/>
          </w:tcPr>
          <w:p w14:paraId="1F93429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lang w:val="it-IT"/>
              </w:rPr>
              <w:t xml:space="preserve"> </w:t>
            </w:r>
            <w:r w:rsidRPr="001B015B">
              <w:rPr>
                <w:rFonts w:ascii="Arial" w:hAnsi="Arial" w:cs="Arial"/>
                <w:sz w:val="18"/>
                <w:szCs w:val="18"/>
              </w:rPr>
              <w:t xml:space="preserve">160 </w:t>
            </w:r>
          </w:p>
        </w:tc>
        <w:tc>
          <w:tcPr>
            <w:tcW w:w="1028" w:type="dxa"/>
            <w:tcBorders>
              <w:top w:val="nil"/>
              <w:left w:val="nil"/>
              <w:right w:val="nil"/>
            </w:tcBorders>
            <w:shd w:val="clear" w:color="auto" w:fill="auto"/>
            <w:vAlign w:val="bottom"/>
          </w:tcPr>
          <w:p w14:paraId="6F6D5D0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28" w:type="dxa"/>
            <w:tcBorders>
              <w:top w:val="nil"/>
              <w:left w:val="nil"/>
              <w:right w:val="nil"/>
            </w:tcBorders>
            <w:shd w:val="clear" w:color="auto" w:fill="auto"/>
            <w:vAlign w:val="bottom"/>
          </w:tcPr>
          <w:p w14:paraId="519804F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20" w:type="dxa"/>
            <w:tcBorders>
              <w:top w:val="nil"/>
              <w:left w:val="nil"/>
              <w:right w:val="nil"/>
            </w:tcBorders>
            <w:shd w:val="clear" w:color="auto" w:fill="auto"/>
            <w:vAlign w:val="bottom"/>
          </w:tcPr>
          <w:p w14:paraId="5003E6D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98" w:type="dxa"/>
            <w:tcBorders>
              <w:top w:val="nil"/>
              <w:left w:val="nil"/>
              <w:right w:val="nil"/>
            </w:tcBorders>
            <w:shd w:val="clear" w:color="auto" w:fill="auto"/>
            <w:vAlign w:val="bottom"/>
          </w:tcPr>
          <w:p w14:paraId="40BB1E1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160 </w:t>
            </w:r>
          </w:p>
        </w:tc>
      </w:tr>
      <w:tr w:rsidR="004E2F51" w:rsidRPr="001B015B" w14:paraId="6F40EBFB" w14:textId="77777777" w:rsidTr="00E032FC">
        <w:trPr>
          <w:trHeight w:val="250"/>
        </w:trPr>
        <w:tc>
          <w:tcPr>
            <w:tcW w:w="4097" w:type="dxa"/>
            <w:tcBorders>
              <w:top w:val="nil"/>
              <w:left w:val="nil"/>
              <w:bottom w:val="nil"/>
              <w:right w:val="nil"/>
            </w:tcBorders>
            <w:shd w:val="clear" w:color="auto" w:fill="auto"/>
            <w:vAlign w:val="center"/>
          </w:tcPr>
          <w:p w14:paraId="3B1DF75D"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98" w:type="dxa"/>
            <w:tcBorders>
              <w:top w:val="nil"/>
              <w:left w:val="nil"/>
              <w:bottom w:val="single" w:sz="4" w:space="0" w:color="auto"/>
              <w:right w:val="nil"/>
            </w:tcBorders>
            <w:shd w:val="clear" w:color="auto" w:fill="auto"/>
            <w:vAlign w:val="bottom"/>
          </w:tcPr>
          <w:p w14:paraId="07A77BF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 </w:t>
            </w:r>
          </w:p>
        </w:tc>
        <w:tc>
          <w:tcPr>
            <w:tcW w:w="1028" w:type="dxa"/>
            <w:tcBorders>
              <w:top w:val="nil"/>
              <w:left w:val="nil"/>
              <w:bottom w:val="single" w:sz="4" w:space="0" w:color="auto"/>
              <w:right w:val="nil"/>
            </w:tcBorders>
            <w:shd w:val="clear" w:color="auto" w:fill="auto"/>
            <w:vAlign w:val="bottom"/>
          </w:tcPr>
          <w:p w14:paraId="3F4A4EC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28" w:type="dxa"/>
            <w:tcBorders>
              <w:top w:val="nil"/>
              <w:left w:val="nil"/>
              <w:bottom w:val="single" w:sz="4" w:space="0" w:color="auto"/>
              <w:right w:val="nil"/>
            </w:tcBorders>
            <w:shd w:val="clear" w:color="auto" w:fill="auto"/>
            <w:vAlign w:val="bottom"/>
          </w:tcPr>
          <w:p w14:paraId="20BDD32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20" w:type="dxa"/>
            <w:tcBorders>
              <w:top w:val="nil"/>
              <w:left w:val="nil"/>
              <w:bottom w:val="single" w:sz="4" w:space="0" w:color="auto"/>
              <w:right w:val="nil"/>
            </w:tcBorders>
            <w:shd w:val="clear" w:color="auto" w:fill="auto"/>
            <w:vAlign w:val="bottom"/>
          </w:tcPr>
          <w:p w14:paraId="2D5B7B3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98" w:type="dxa"/>
            <w:tcBorders>
              <w:top w:val="nil"/>
              <w:left w:val="nil"/>
              <w:bottom w:val="single" w:sz="4" w:space="0" w:color="auto"/>
              <w:right w:val="nil"/>
            </w:tcBorders>
            <w:shd w:val="clear" w:color="auto" w:fill="auto"/>
            <w:vAlign w:val="bottom"/>
          </w:tcPr>
          <w:p w14:paraId="29925E8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 </w:t>
            </w:r>
          </w:p>
        </w:tc>
      </w:tr>
      <w:tr w:rsidR="004E2F51" w:rsidRPr="001B015B" w14:paraId="4761BAD3" w14:textId="77777777" w:rsidTr="00E032FC">
        <w:trPr>
          <w:trHeight w:val="182"/>
        </w:trPr>
        <w:tc>
          <w:tcPr>
            <w:tcW w:w="4097" w:type="dxa"/>
            <w:tcBorders>
              <w:top w:val="nil"/>
              <w:left w:val="nil"/>
              <w:bottom w:val="nil"/>
              <w:right w:val="nil"/>
            </w:tcBorders>
            <w:shd w:val="clear" w:color="auto" w:fill="auto"/>
            <w:vAlign w:val="center"/>
            <w:hideMark/>
          </w:tcPr>
          <w:p w14:paraId="28A9E9F5"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2021.</w:t>
            </w:r>
          </w:p>
        </w:tc>
        <w:tc>
          <w:tcPr>
            <w:tcW w:w="1098" w:type="dxa"/>
            <w:tcBorders>
              <w:top w:val="single" w:sz="4" w:space="0" w:color="auto"/>
              <w:left w:val="nil"/>
              <w:bottom w:val="single" w:sz="12" w:space="0" w:color="auto"/>
              <w:right w:val="nil"/>
            </w:tcBorders>
            <w:shd w:val="clear" w:color="auto" w:fill="auto"/>
          </w:tcPr>
          <w:p w14:paraId="19811387"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1.804 </w:t>
            </w:r>
          </w:p>
        </w:tc>
        <w:tc>
          <w:tcPr>
            <w:tcW w:w="1028" w:type="dxa"/>
            <w:tcBorders>
              <w:top w:val="single" w:sz="4" w:space="0" w:color="auto"/>
              <w:left w:val="nil"/>
              <w:bottom w:val="single" w:sz="12" w:space="0" w:color="auto"/>
              <w:right w:val="nil"/>
            </w:tcBorders>
            <w:shd w:val="clear" w:color="auto" w:fill="auto"/>
          </w:tcPr>
          <w:p w14:paraId="07D6EC60"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 </w:t>
            </w:r>
          </w:p>
        </w:tc>
        <w:tc>
          <w:tcPr>
            <w:tcW w:w="1028" w:type="dxa"/>
            <w:tcBorders>
              <w:top w:val="single" w:sz="4" w:space="0" w:color="auto"/>
              <w:left w:val="nil"/>
              <w:bottom w:val="single" w:sz="12" w:space="0" w:color="auto"/>
              <w:right w:val="nil"/>
            </w:tcBorders>
            <w:shd w:val="clear" w:color="auto" w:fill="auto"/>
          </w:tcPr>
          <w:p w14:paraId="5B36D98B"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 </w:t>
            </w:r>
          </w:p>
        </w:tc>
        <w:tc>
          <w:tcPr>
            <w:tcW w:w="1020" w:type="dxa"/>
            <w:tcBorders>
              <w:top w:val="single" w:sz="4" w:space="0" w:color="auto"/>
              <w:left w:val="nil"/>
              <w:bottom w:val="single" w:sz="12" w:space="0" w:color="auto"/>
              <w:right w:val="nil"/>
            </w:tcBorders>
            <w:shd w:val="clear" w:color="auto" w:fill="auto"/>
          </w:tcPr>
          <w:p w14:paraId="62448BF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 </w:t>
            </w:r>
          </w:p>
        </w:tc>
        <w:tc>
          <w:tcPr>
            <w:tcW w:w="1098" w:type="dxa"/>
            <w:tcBorders>
              <w:top w:val="single" w:sz="4" w:space="0" w:color="auto"/>
              <w:left w:val="nil"/>
              <w:bottom w:val="single" w:sz="12" w:space="0" w:color="auto"/>
              <w:right w:val="nil"/>
            </w:tcBorders>
            <w:shd w:val="clear" w:color="auto" w:fill="auto"/>
          </w:tcPr>
          <w:p w14:paraId="7AB9DD0A"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1.804 </w:t>
            </w:r>
          </w:p>
        </w:tc>
      </w:tr>
    </w:tbl>
    <w:p w14:paraId="0B49039A" w14:textId="77777777" w:rsidR="004E2F51" w:rsidRDefault="004E2F51" w:rsidP="004E2F51">
      <w:pPr>
        <w:rPr>
          <w:rFonts w:ascii="Arial" w:eastAsia="Calibri" w:hAnsi="Arial" w:cs="Arial"/>
          <w:color w:val="000000" w:themeColor="text1"/>
          <w:sz w:val="20"/>
          <w:szCs w:val="20"/>
          <w:lang w:val="hr-HR"/>
        </w:rPr>
        <w:sectPr w:rsidR="004E2F51" w:rsidSect="00623DBA">
          <w:footerReference w:type="default" r:id="rId193"/>
          <w:pgSz w:w="11906" w:h="16838"/>
          <w:pgMar w:top="1418" w:right="1134" w:bottom="1134" w:left="1418" w:header="708" w:footer="708" w:gutter="0"/>
          <w:cols w:space="708"/>
          <w:docGrid w:linePitch="360"/>
        </w:sectPr>
      </w:pPr>
    </w:p>
    <w:p w14:paraId="0B1BE159" w14:textId="77777777" w:rsidR="004E2F51" w:rsidRPr="001B015B" w:rsidRDefault="004E2F51" w:rsidP="004E2F51">
      <w:pPr>
        <w:keepNext/>
        <w:jc w:val="both"/>
        <w:rPr>
          <w:rFonts w:ascii="Arial" w:hAnsi="Arial" w:cs="Arial"/>
          <w:b/>
          <w:bCs/>
          <w:color w:val="000000" w:themeColor="text1"/>
          <w:sz w:val="20"/>
          <w:szCs w:val="20"/>
          <w:lang w:val="hr-HR"/>
        </w:rPr>
      </w:pPr>
    </w:p>
    <w:p w14:paraId="47A0C1DD"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w:t>
      </w:r>
      <w:r w:rsidRPr="001B015B">
        <w:rPr>
          <w:rFonts w:ascii="Arial" w:hAnsi="Arial" w:cs="Arial"/>
          <w:b/>
          <w:bCs/>
          <w:color w:val="000000" w:themeColor="text1"/>
          <w:sz w:val="20"/>
          <w:szCs w:val="20"/>
          <w:lang w:val="hr-HR"/>
        </w:rPr>
        <w:tab/>
        <w:t>Upravljanje rizicima (nastavak)</w:t>
      </w:r>
    </w:p>
    <w:p w14:paraId="7D3A0D67" w14:textId="77777777" w:rsidR="004E2F51" w:rsidRPr="001B015B" w:rsidRDefault="004E2F51" w:rsidP="004E2F51">
      <w:pPr>
        <w:keepNext/>
        <w:jc w:val="both"/>
        <w:rPr>
          <w:rFonts w:ascii="Arial" w:hAnsi="Arial" w:cs="Arial"/>
          <w:b/>
          <w:bCs/>
          <w:color w:val="000000" w:themeColor="text1"/>
          <w:sz w:val="20"/>
          <w:szCs w:val="20"/>
          <w:lang w:val="hr-HR"/>
        </w:rPr>
      </w:pPr>
    </w:p>
    <w:p w14:paraId="37212B9E"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 xml:space="preserve">.3. </w:t>
      </w:r>
      <w:r w:rsidRPr="001B015B">
        <w:rPr>
          <w:rFonts w:ascii="Arial" w:hAnsi="Arial" w:cs="Arial"/>
          <w:b/>
          <w:bCs/>
          <w:color w:val="000000" w:themeColor="text1"/>
          <w:sz w:val="20"/>
          <w:szCs w:val="20"/>
          <w:lang w:val="hr-HR"/>
        </w:rPr>
        <w:tab/>
        <w:t>Kreditni rizik (nastavak)</w:t>
      </w:r>
    </w:p>
    <w:p w14:paraId="0E932857" w14:textId="77777777" w:rsidR="004E2F51" w:rsidRPr="001B015B" w:rsidRDefault="004E2F51" w:rsidP="004E2F51">
      <w:pPr>
        <w:keepNext/>
        <w:jc w:val="both"/>
        <w:rPr>
          <w:rFonts w:ascii="Arial" w:hAnsi="Arial" w:cs="Arial"/>
          <w:b/>
          <w:bCs/>
          <w:color w:val="000000" w:themeColor="text1"/>
          <w:sz w:val="20"/>
          <w:szCs w:val="20"/>
          <w:lang w:val="hr-HR"/>
        </w:rPr>
      </w:pPr>
    </w:p>
    <w:p w14:paraId="3E7F4036" w14:textId="77777777" w:rsidR="004E2F51" w:rsidRPr="001B015B" w:rsidRDefault="004E2F51">
      <w:pPr>
        <w:keepNext/>
        <w:numPr>
          <w:ilvl w:val="8"/>
          <w:numId w:val="60"/>
        </w:numPr>
        <w:suppressAutoHyphens w:val="0"/>
        <w:autoSpaceDN/>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Promjene po rezerviranjima (nastavak)</w:t>
      </w:r>
    </w:p>
    <w:p w14:paraId="32CF30B5" w14:textId="77777777" w:rsidR="004E2F51" w:rsidRPr="001B015B" w:rsidRDefault="004E2F51" w:rsidP="004E2F51">
      <w:pPr>
        <w:keepNext/>
        <w:rPr>
          <w:rFonts w:ascii="Arial" w:hAnsi="Arial" w:cs="Arial"/>
          <w:bCs/>
          <w:i/>
          <w:color w:val="000000" w:themeColor="text1"/>
          <w:sz w:val="20"/>
          <w:szCs w:val="20"/>
          <w:lang w:val="hr-HR"/>
        </w:rPr>
      </w:pPr>
    </w:p>
    <w:p w14:paraId="518C6878" w14:textId="77777777" w:rsidR="004E2F51" w:rsidRPr="001B015B" w:rsidRDefault="004E2F51" w:rsidP="004E2F51">
      <w:pPr>
        <w:keepNext/>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Depoziti kod drugih banaka</w:t>
      </w:r>
    </w:p>
    <w:p w14:paraId="12909FD5" w14:textId="77777777" w:rsidR="004E2F51" w:rsidRPr="001B015B" w:rsidRDefault="004E2F51" w:rsidP="004E2F51">
      <w:pPr>
        <w:rPr>
          <w:rFonts w:ascii="Arial" w:eastAsia="Calibri" w:hAnsi="Arial" w:cs="Arial"/>
          <w:color w:val="000000" w:themeColor="text1"/>
          <w:sz w:val="20"/>
          <w:szCs w:val="20"/>
          <w:lang w:val="hr-HR"/>
        </w:rPr>
      </w:pPr>
    </w:p>
    <w:tbl>
      <w:tblPr>
        <w:tblW w:w="9381" w:type="dxa"/>
        <w:tblInd w:w="-142" w:type="dxa"/>
        <w:tblLook w:val="04A0" w:firstRow="1" w:lastRow="0" w:firstColumn="1" w:lastColumn="0" w:noHBand="0" w:noVBand="1"/>
      </w:tblPr>
      <w:tblGrid>
        <w:gridCol w:w="3931"/>
        <w:gridCol w:w="1090"/>
        <w:gridCol w:w="1090"/>
        <w:gridCol w:w="1090"/>
        <w:gridCol w:w="1090"/>
        <w:gridCol w:w="1090"/>
      </w:tblGrid>
      <w:tr w:rsidR="004E2F51" w:rsidRPr="001B015B" w14:paraId="60D7F620" w14:textId="77777777" w:rsidTr="00E032FC">
        <w:trPr>
          <w:trHeight w:val="164"/>
        </w:trPr>
        <w:tc>
          <w:tcPr>
            <w:tcW w:w="3931" w:type="dxa"/>
            <w:tcBorders>
              <w:top w:val="nil"/>
              <w:left w:val="nil"/>
              <w:bottom w:val="nil"/>
              <w:right w:val="nil"/>
            </w:tcBorders>
            <w:shd w:val="clear" w:color="auto" w:fill="auto"/>
            <w:vAlign w:val="center"/>
          </w:tcPr>
          <w:p w14:paraId="515078DB" w14:textId="77777777" w:rsidR="004E2F51" w:rsidRPr="001B015B" w:rsidRDefault="004E2F51" w:rsidP="00E032FC">
            <w:pPr>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Grupa</w:t>
            </w:r>
          </w:p>
        </w:tc>
        <w:tc>
          <w:tcPr>
            <w:tcW w:w="1090" w:type="dxa"/>
            <w:tcBorders>
              <w:top w:val="nil"/>
              <w:left w:val="nil"/>
              <w:bottom w:val="nil"/>
              <w:right w:val="nil"/>
            </w:tcBorders>
            <w:shd w:val="clear" w:color="auto" w:fill="auto"/>
            <w:vAlign w:val="center"/>
          </w:tcPr>
          <w:p w14:paraId="17395888"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0E060D43"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19376B21"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7E1595C5"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1D1F9D08" w14:textId="51876896"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234F436B" w14:textId="77777777" w:rsidTr="00E032FC">
        <w:trPr>
          <w:trHeight w:val="164"/>
        </w:trPr>
        <w:tc>
          <w:tcPr>
            <w:tcW w:w="3931" w:type="dxa"/>
            <w:tcBorders>
              <w:top w:val="nil"/>
              <w:left w:val="nil"/>
              <w:bottom w:val="nil"/>
              <w:right w:val="nil"/>
            </w:tcBorders>
            <w:shd w:val="clear" w:color="auto" w:fill="auto"/>
            <w:vAlign w:val="center"/>
            <w:hideMark/>
          </w:tcPr>
          <w:p w14:paraId="580A08A2"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090" w:type="dxa"/>
            <w:tcBorders>
              <w:top w:val="nil"/>
              <w:left w:val="nil"/>
              <w:bottom w:val="nil"/>
              <w:right w:val="nil"/>
            </w:tcBorders>
            <w:shd w:val="clear" w:color="auto" w:fill="auto"/>
            <w:vAlign w:val="center"/>
            <w:hideMark/>
          </w:tcPr>
          <w:p w14:paraId="13FA14FB"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90" w:type="dxa"/>
            <w:tcBorders>
              <w:top w:val="nil"/>
              <w:left w:val="nil"/>
              <w:bottom w:val="nil"/>
              <w:right w:val="nil"/>
            </w:tcBorders>
            <w:shd w:val="clear" w:color="auto" w:fill="auto"/>
            <w:vAlign w:val="center"/>
            <w:hideMark/>
          </w:tcPr>
          <w:p w14:paraId="7C03AAC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90" w:type="dxa"/>
            <w:tcBorders>
              <w:top w:val="nil"/>
              <w:left w:val="nil"/>
              <w:bottom w:val="nil"/>
              <w:right w:val="nil"/>
            </w:tcBorders>
            <w:shd w:val="clear" w:color="auto" w:fill="auto"/>
            <w:vAlign w:val="center"/>
            <w:hideMark/>
          </w:tcPr>
          <w:p w14:paraId="33BAE2EB"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90" w:type="dxa"/>
            <w:tcBorders>
              <w:top w:val="nil"/>
              <w:left w:val="nil"/>
              <w:bottom w:val="nil"/>
              <w:right w:val="nil"/>
            </w:tcBorders>
            <w:shd w:val="clear" w:color="auto" w:fill="auto"/>
            <w:vAlign w:val="center"/>
            <w:hideMark/>
          </w:tcPr>
          <w:p w14:paraId="23A0106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0" w:type="dxa"/>
            <w:tcBorders>
              <w:top w:val="nil"/>
              <w:left w:val="nil"/>
              <w:bottom w:val="nil"/>
              <w:right w:val="nil"/>
            </w:tcBorders>
            <w:shd w:val="clear" w:color="auto" w:fill="auto"/>
            <w:vAlign w:val="center"/>
            <w:hideMark/>
          </w:tcPr>
          <w:p w14:paraId="4EA17696"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516D8BEC" w14:textId="77777777" w:rsidTr="00E032FC">
        <w:trPr>
          <w:trHeight w:val="164"/>
        </w:trPr>
        <w:tc>
          <w:tcPr>
            <w:tcW w:w="3931" w:type="dxa"/>
            <w:tcBorders>
              <w:top w:val="nil"/>
              <w:left w:val="nil"/>
              <w:bottom w:val="nil"/>
              <w:right w:val="nil"/>
            </w:tcBorders>
            <w:shd w:val="clear" w:color="auto" w:fill="auto"/>
            <w:vAlign w:val="center"/>
            <w:hideMark/>
          </w:tcPr>
          <w:p w14:paraId="32DA1B11"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hideMark/>
          </w:tcPr>
          <w:p w14:paraId="744D21AE"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0" w:type="dxa"/>
            <w:tcBorders>
              <w:top w:val="nil"/>
              <w:left w:val="nil"/>
              <w:bottom w:val="nil"/>
              <w:right w:val="nil"/>
            </w:tcBorders>
            <w:shd w:val="clear" w:color="auto" w:fill="auto"/>
            <w:vAlign w:val="center"/>
            <w:hideMark/>
          </w:tcPr>
          <w:p w14:paraId="4E120D7E"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0" w:type="dxa"/>
            <w:tcBorders>
              <w:top w:val="nil"/>
              <w:left w:val="nil"/>
              <w:bottom w:val="nil"/>
              <w:right w:val="nil"/>
            </w:tcBorders>
            <w:shd w:val="clear" w:color="auto" w:fill="auto"/>
            <w:vAlign w:val="center"/>
            <w:hideMark/>
          </w:tcPr>
          <w:p w14:paraId="259C693A"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0" w:type="dxa"/>
            <w:tcBorders>
              <w:top w:val="nil"/>
              <w:left w:val="nil"/>
              <w:bottom w:val="nil"/>
              <w:right w:val="nil"/>
            </w:tcBorders>
            <w:shd w:val="clear" w:color="auto" w:fill="auto"/>
            <w:vAlign w:val="center"/>
            <w:hideMark/>
          </w:tcPr>
          <w:p w14:paraId="7C7D905C"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0" w:type="dxa"/>
            <w:tcBorders>
              <w:top w:val="nil"/>
              <w:left w:val="nil"/>
              <w:bottom w:val="nil"/>
              <w:right w:val="nil"/>
            </w:tcBorders>
            <w:shd w:val="clear" w:color="auto" w:fill="auto"/>
            <w:vAlign w:val="center"/>
            <w:hideMark/>
          </w:tcPr>
          <w:p w14:paraId="781825C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445FBA60" w14:textId="77777777" w:rsidTr="00E032FC">
        <w:trPr>
          <w:trHeight w:val="164"/>
        </w:trPr>
        <w:tc>
          <w:tcPr>
            <w:tcW w:w="3931" w:type="dxa"/>
            <w:tcBorders>
              <w:top w:val="nil"/>
              <w:left w:val="nil"/>
              <w:bottom w:val="nil"/>
              <w:right w:val="nil"/>
            </w:tcBorders>
            <w:shd w:val="clear" w:color="auto" w:fill="auto"/>
            <w:vAlign w:val="center"/>
          </w:tcPr>
          <w:p w14:paraId="729DADBB"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261EC656"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05AB9E33"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23E0AC8C"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7D483C2A"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57391822"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420DE98F" w14:textId="77777777" w:rsidTr="00E032FC">
        <w:trPr>
          <w:trHeight w:val="164"/>
        </w:trPr>
        <w:tc>
          <w:tcPr>
            <w:tcW w:w="3931" w:type="dxa"/>
            <w:tcBorders>
              <w:top w:val="nil"/>
              <w:left w:val="nil"/>
              <w:bottom w:val="nil"/>
              <w:right w:val="nil"/>
            </w:tcBorders>
            <w:shd w:val="clear" w:color="auto" w:fill="auto"/>
            <w:vAlign w:val="center"/>
            <w:hideMark/>
          </w:tcPr>
          <w:p w14:paraId="277DCF8A"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2</w:t>
            </w:r>
            <w:r w:rsidRPr="001B015B">
              <w:rPr>
                <w:rFonts w:ascii="Arial" w:eastAsia="Calibri" w:hAnsi="Arial" w:cs="Arial"/>
                <w:color w:val="000000" w:themeColor="text1"/>
                <w:sz w:val="18"/>
                <w:szCs w:val="18"/>
                <w:lang w:val="hr-HR"/>
              </w:rPr>
              <w:t xml:space="preserve">. </w:t>
            </w:r>
          </w:p>
        </w:tc>
        <w:tc>
          <w:tcPr>
            <w:tcW w:w="1090" w:type="dxa"/>
            <w:shd w:val="clear" w:color="auto" w:fill="auto"/>
            <w:vAlign w:val="bottom"/>
          </w:tcPr>
          <w:p w14:paraId="208FB2BB" w14:textId="77777777" w:rsidR="004E2F51" w:rsidRPr="001B015B" w:rsidRDefault="004E2F51" w:rsidP="00E032FC">
            <w:pPr>
              <w:jc w:val="right"/>
              <w:rPr>
                <w:rFonts w:ascii="Arial" w:eastAsia="Calibri" w:hAnsi="Arial" w:cs="Arial"/>
                <w:color w:val="000000" w:themeColor="text1"/>
                <w:sz w:val="18"/>
                <w:szCs w:val="18"/>
                <w:lang w:val="hr-HR"/>
              </w:rPr>
            </w:pPr>
            <w:r w:rsidRPr="00852BF5">
              <w:rPr>
                <w:rFonts w:ascii="Arial" w:eastAsia="Calibri" w:hAnsi="Arial" w:cs="Arial"/>
                <w:color w:val="000000" w:themeColor="text1"/>
                <w:sz w:val="18"/>
                <w:szCs w:val="18"/>
                <w:lang w:val="hr-HR"/>
              </w:rPr>
              <w:t>1</w:t>
            </w:r>
          </w:p>
        </w:tc>
        <w:tc>
          <w:tcPr>
            <w:tcW w:w="1090" w:type="dxa"/>
            <w:shd w:val="clear" w:color="auto" w:fill="auto"/>
            <w:vAlign w:val="bottom"/>
          </w:tcPr>
          <w:p w14:paraId="43C8825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shd w:val="clear" w:color="auto" w:fill="auto"/>
            <w:vAlign w:val="bottom"/>
          </w:tcPr>
          <w:p w14:paraId="7E3DAF6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shd w:val="clear" w:color="auto" w:fill="auto"/>
            <w:vAlign w:val="bottom"/>
          </w:tcPr>
          <w:p w14:paraId="1F7EF42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shd w:val="clear" w:color="auto" w:fill="auto"/>
            <w:vAlign w:val="bottom"/>
          </w:tcPr>
          <w:p w14:paraId="6469988B" w14:textId="77777777" w:rsidR="004E2F51" w:rsidRPr="001B015B" w:rsidRDefault="004E2F51" w:rsidP="00E032FC">
            <w:pPr>
              <w:jc w:val="right"/>
              <w:rPr>
                <w:rFonts w:ascii="Arial" w:eastAsia="Calibri" w:hAnsi="Arial" w:cs="Arial"/>
                <w:color w:val="000000" w:themeColor="text1"/>
                <w:sz w:val="18"/>
                <w:szCs w:val="18"/>
                <w:lang w:val="hr-HR"/>
              </w:rPr>
            </w:pPr>
            <w:r w:rsidRPr="00852BF5">
              <w:rPr>
                <w:rFonts w:ascii="Arial" w:eastAsia="Calibri" w:hAnsi="Arial" w:cs="Arial"/>
                <w:color w:val="000000" w:themeColor="text1"/>
                <w:sz w:val="18"/>
                <w:szCs w:val="18"/>
                <w:lang w:val="hr-HR"/>
              </w:rPr>
              <w:t>1</w:t>
            </w:r>
          </w:p>
        </w:tc>
      </w:tr>
      <w:tr w:rsidR="004E2F51" w:rsidRPr="001B015B" w14:paraId="78577BEF" w14:textId="77777777" w:rsidTr="00E032FC">
        <w:trPr>
          <w:trHeight w:val="164"/>
        </w:trPr>
        <w:tc>
          <w:tcPr>
            <w:tcW w:w="3931" w:type="dxa"/>
            <w:tcBorders>
              <w:top w:val="nil"/>
              <w:left w:val="nil"/>
              <w:bottom w:val="nil"/>
              <w:right w:val="nil"/>
            </w:tcBorders>
            <w:shd w:val="clear" w:color="auto" w:fill="auto"/>
            <w:hideMark/>
          </w:tcPr>
          <w:p w14:paraId="2AC5DD5B"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0" w:type="dxa"/>
            <w:tcBorders>
              <w:top w:val="nil"/>
              <w:left w:val="nil"/>
              <w:right w:val="nil"/>
            </w:tcBorders>
            <w:shd w:val="clear" w:color="auto" w:fill="auto"/>
            <w:vAlign w:val="bottom"/>
          </w:tcPr>
          <w:p w14:paraId="03C9ADB3"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6B1963F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481E21C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470297C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49846D07"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r>
      <w:tr w:rsidR="004E2F51" w:rsidRPr="001B015B" w14:paraId="1F9BCC0F" w14:textId="77777777" w:rsidTr="00E032FC">
        <w:trPr>
          <w:trHeight w:val="164"/>
        </w:trPr>
        <w:tc>
          <w:tcPr>
            <w:tcW w:w="3931" w:type="dxa"/>
            <w:tcBorders>
              <w:top w:val="nil"/>
              <w:left w:val="nil"/>
              <w:bottom w:val="nil"/>
              <w:right w:val="nil"/>
            </w:tcBorders>
            <w:shd w:val="clear" w:color="auto" w:fill="auto"/>
          </w:tcPr>
          <w:p w14:paraId="4F3A6A39"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0" w:type="dxa"/>
            <w:tcBorders>
              <w:top w:val="nil"/>
              <w:left w:val="nil"/>
              <w:right w:val="nil"/>
            </w:tcBorders>
            <w:shd w:val="clear" w:color="auto" w:fill="auto"/>
            <w:vAlign w:val="bottom"/>
          </w:tcPr>
          <w:p w14:paraId="0F09E3DA"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0976DF3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305D08B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7C24D50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2C0D91B6"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r>
      <w:tr w:rsidR="004E2F51" w:rsidRPr="001B015B" w14:paraId="2701E752" w14:textId="77777777" w:rsidTr="00E032FC">
        <w:trPr>
          <w:trHeight w:val="164"/>
        </w:trPr>
        <w:tc>
          <w:tcPr>
            <w:tcW w:w="3931" w:type="dxa"/>
            <w:tcBorders>
              <w:top w:val="nil"/>
              <w:left w:val="nil"/>
              <w:bottom w:val="nil"/>
              <w:right w:val="nil"/>
            </w:tcBorders>
            <w:shd w:val="clear" w:color="auto" w:fill="auto"/>
          </w:tcPr>
          <w:p w14:paraId="36F0263B"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0" w:type="dxa"/>
            <w:tcBorders>
              <w:top w:val="nil"/>
              <w:left w:val="nil"/>
              <w:right w:val="nil"/>
            </w:tcBorders>
            <w:shd w:val="clear" w:color="auto" w:fill="auto"/>
            <w:vAlign w:val="bottom"/>
          </w:tcPr>
          <w:p w14:paraId="35F7638D"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6EB2E1F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5F931D4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29D77D0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4AE3FA30"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r>
      <w:tr w:rsidR="004E2F51" w:rsidRPr="001B015B" w14:paraId="5B5B2AD1" w14:textId="77777777" w:rsidTr="00E032FC">
        <w:trPr>
          <w:trHeight w:val="204"/>
        </w:trPr>
        <w:tc>
          <w:tcPr>
            <w:tcW w:w="3931" w:type="dxa"/>
            <w:tcBorders>
              <w:top w:val="nil"/>
              <w:left w:val="nil"/>
              <w:bottom w:val="nil"/>
              <w:right w:val="nil"/>
            </w:tcBorders>
            <w:shd w:val="clear" w:color="auto" w:fill="auto"/>
            <w:vAlign w:val="center"/>
            <w:hideMark/>
          </w:tcPr>
          <w:p w14:paraId="0F13ED23"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Pr>
                <w:rFonts w:ascii="Arial" w:eastAsia="Calibri" w:hAnsi="Arial" w:cs="Arial"/>
                <w:color w:val="000000" w:themeColor="text1"/>
                <w:sz w:val="18"/>
                <w:szCs w:val="18"/>
                <w:lang w:val="hr-HR"/>
              </w:rPr>
              <w:t>povećanje</w:t>
            </w:r>
            <w:r w:rsidRPr="001B015B">
              <w:rPr>
                <w:rFonts w:ascii="Arial" w:eastAsia="Calibri" w:hAnsi="Arial" w:cs="Arial"/>
                <w:color w:val="000000" w:themeColor="text1"/>
                <w:sz w:val="18"/>
                <w:szCs w:val="18"/>
                <w:lang w:val="hr-HR"/>
              </w:rPr>
              <w:t xml:space="preserve"> rezerviranja za očekivane gubitke </w:t>
            </w:r>
          </w:p>
        </w:tc>
        <w:tc>
          <w:tcPr>
            <w:tcW w:w="1090" w:type="dxa"/>
            <w:shd w:val="clear" w:color="auto" w:fill="auto"/>
            <w:vAlign w:val="bottom"/>
          </w:tcPr>
          <w:p w14:paraId="0A7D21F9"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28</w:t>
            </w:r>
          </w:p>
        </w:tc>
        <w:tc>
          <w:tcPr>
            <w:tcW w:w="1090" w:type="dxa"/>
            <w:tcBorders>
              <w:top w:val="nil"/>
              <w:left w:val="nil"/>
              <w:right w:val="nil"/>
            </w:tcBorders>
            <w:shd w:val="clear" w:color="auto" w:fill="auto"/>
            <w:vAlign w:val="bottom"/>
          </w:tcPr>
          <w:p w14:paraId="7D8D012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2572421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2B5EF946"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shd w:val="clear" w:color="auto" w:fill="auto"/>
            <w:vAlign w:val="bottom"/>
          </w:tcPr>
          <w:p w14:paraId="758DC8BE"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28</w:t>
            </w:r>
          </w:p>
        </w:tc>
      </w:tr>
      <w:tr w:rsidR="004E2F51" w:rsidRPr="001B015B" w14:paraId="63BDEAA5" w14:textId="77777777" w:rsidTr="00E032FC">
        <w:trPr>
          <w:trHeight w:val="172"/>
        </w:trPr>
        <w:tc>
          <w:tcPr>
            <w:tcW w:w="3931" w:type="dxa"/>
            <w:tcBorders>
              <w:top w:val="nil"/>
              <w:left w:val="nil"/>
              <w:bottom w:val="nil"/>
              <w:right w:val="nil"/>
            </w:tcBorders>
            <w:shd w:val="clear" w:color="auto" w:fill="auto"/>
            <w:vAlign w:val="center"/>
            <w:hideMark/>
          </w:tcPr>
          <w:p w14:paraId="53866F43"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90" w:type="dxa"/>
            <w:tcBorders>
              <w:top w:val="nil"/>
              <w:left w:val="nil"/>
              <w:bottom w:val="single" w:sz="4" w:space="0" w:color="auto"/>
              <w:right w:val="nil"/>
            </w:tcBorders>
            <w:shd w:val="clear" w:color="auto" w:fill="auto"/>
            <w:vAlign w:val="bottom"/>
          </w:tcPr>
          <w:p w14:paraId="67674749"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2</w:t>
            </w:r>
          </w:p>
        </w:tc>
        <w:tc>
          <w:tcPr>
            <w:tcW w:w="1090" w:type="dxa"/>
            <w:tcBorders>
              <w:top w:val="nil"/>
              <w:left w:val="nil"/>
              <w:bottom w:val="single" w:sz="4" w:space="0" w:color="auto"/>
              <w:right w:val="nil"/>
            </w:tcBorders>
            <w:shd w:val="clear" w:color="auto" w:fill="auto"/>
            <w:vAlign w:val="bottom"/>
          </w:tcPr>
          <w:p w14:paraId="0026B59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bottom w:val="single" w:sz="4" w:space="0" w:color="auto"/>
              <w:right w:val="nil"/>
            </w:tcBorders>
            <w:shd w:val="clear" w:color="auto" w:fill="auto"/>
            <w:vAlign w:val="bottom"/>
          </w:tcPr>
          <w:p w14:paraId="6810C47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bottom w:val="single" w:sz="4" w:space="0" w:color="auto"/>
              <w:right w:val="nil"/>
            </w:tcBorders>
            <w:shd w:val="clear" w:color="auto" w:fill="auto"/>
            <w:vAlign w:val="bottom"/>
          </w:tcPr>
          <w:p w14:paraId="664E9B1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bottom w:val="single" w:sz="4" w:space="0" w:color="auto"/>
              <w:right w:val="nil"/>
            </w:tcBorders>
            <w:shd w:val="clear" w:color="auto" w:fill="auto"/>
            <w:vAlign w:val="bottom"/>
          </w:tcPr>
          <w:p w14:paraId="70A0CBF8"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2</w:t>
            </w:r>
          </w:p>
        </w:tc>
      </w:tr>
      <w:tr w:rsidR="004E2F51" w:rsidRPr="001B015B" w14:paraId="37B1AD69" w14:textId="77777777" w:rsidTr="00E032FC">
        <w:trPr>
          <w:trHeight w:val="172"/>
        </w:trPr>
        <w:tc>
          <w:tcPr>
            <w:tcW w:w="3931" w:type="dxa"/>
            <w:tcBorders>
              <w:top w:val="nil"/>
              <w:left w:val="nil"/>
              <w:bottom w:val="nil"/>
              <w:right w:val="nil"/>
            </w:tcBorders>
            <w:shd w:val="clear" w:color="auto" w:fill="auto"/>
            <w:vAlign w:val="bottom"/>
            <w:hideMark/>
          </w:tcPr>
          <w:p w14:paraId="07DF9808"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27D82773" w14:textId="77777777" w:rsidR="004E2F51" w:rsidRPr="001B015B" w:rsidRDefault="004E2F51" w:rsidP="00E032FC">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31</w:t>
            </w:r>
          </w:p>
        </w:tc>
        <w:tc>
          <w:tcPr>
            <w:tcW w:w="1090" w:type="dxa"/>
            <w:tcBorders>
              <w:top w:val="single" w:sz="4" w:space="0" w:color="auto"/>
              <w:left w:val="nil"/>
              <w:bottom w:val="single" w:sz="12" w:space="0" w:color="auto"/>
              <w:right w:val="nil"/>
            </w:tcBorders>
            <w:shd w:val="clear" w:color="auto" w:fill="auto"/>
          </w:tcPr>
          <w:p w14:paraId="2A6E37A0"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sz w:val="18"/>
                <w:szCs w:val="18"/>
              </w:rPr>
              <w:t>-</w:t>
            </w:r>
          </w:p>
        </w:tc>
        <w:tc>
          <w:tcPr>
            <w:tcW w:w="1090" w:type="dxa"/>
            <w:tcBorders>
              <w:top w:val="single" w:sz="4" w:space="0" w:color="auto"/>
              <w:left w:val="nil"/>
              <w:bottom w:val="single" w:sz="12" w:space="0" w:color="auto"/>
              <w:right w:val="nil"/>
            </w:tcBorders>
            <w:shd w:val="clear" w:color="auto" w:fill="auto"/>
          </w:tcPr>
          <w:p w14:paraId="6158CE96"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sz w:val="18"/>
                <w:szCs w:val="18"/>
              </w:rPr>
              <w:t>-</w:t>
            </w:r>
          </w:p>
        </w:tc>
        <w:tc>
          <w:tcPr>
            <w:tcW w:w="1090" w:type="dxa"/>
            <w:tcBorders>
              <w:top w:val="single" w:sz="4" w:space="0" w:color="auto"/>
              <w:left w:val="nil"/>
              <w:bottom w:val="single" w:sz="12" w:space="0" w:color="auto"/>
              <w:right w:val="nil"/>
            </w:tcBorders>
            <w:shd w:val="clear" w:color="auto" w:fill="auto"/>
          </w:tcPr>
          <w:p w14:paraId="26FA4C0D"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sz w:val="18"/>
                <w:szCs w:val="18"/>
              </w:rPr>
              <w:t>-</w:t>
            </w:r>
          </w:p>
        </w:tc>
        <w:tc>
          <w:tcPr>
            <w:tcW w:w="1090" w:type="dxa"/>
            <w:tcBorders>
              <w:top w:val="single" w:sz="4" w:space="0" w:color="auto"/>
              <w:left w:val="nil"/>
              <w:bottom w:val="single" w:sz="12" w:space="0" w:color="auto"/>
              <w:right w:val="nil"/>
            </w:tcBorders>
            <w:shd w:val="clear" w:color="auto" w:fill="auto"/>
            <w:vAlign w:val="bottom"/>
          </w:tcPr>
          <w:p w14:paraId="6B44565A" w14:textId="77777777" w:rsidR="004E2F51" w:rsidRPr="001B015B" w:rsidRDefault="004E2F51" w:rsidP="00E032FC">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31</w:t>
            </w:r>
          </w:p>
        </w:tc>
      </w:tr>
    </w:tbl>
    <w:p w14:paraId="36567295" w14:textId="77777777" w:rsidR="004E2F51" w:rsidRPr="001B015B" w:rsidRDefault="004E2F51" w:rsidP="004E2F51">
      <w:pPr>
        <w:rPr>
          <w:rFonts w:ascii="Arial" w:eastAsia="Calibri" w:hAnsi="Arial" w:cs="Arial"/>
          <w:color w:val="000000" w:themeColor="text1"/>
          <w:sz w:val="20"/>
          <w:szCs w:val="20"/>
          <w:lang w:val="hr-HR"/>
        </w:rPr>
      </w:pPr>
    </w:p>
    <w:p w14:paraId="2D768503" w14:textId="77777777" w:rsidR="004E2F51" w:rsidRPr="001B015B" w:rsidRDefault="004E2F51" w:rsidP="004E2F51">
      <w:pPr>
        <w:rPr>
          <w:rFonts w:ascii="Arial" w:eastAsia="Calibri" w:hAnsi="Arial" w:cs="Arial"/>
          <w:color w:val="000000" w:themeColor="text1"/>
          <w:sz w:val="20"/>
          <w:szCs w:val="20"/>
          <w:lang w:val="hr-HR"/>
        </w:rPr>
      </w:pPr>
    </w:p>
    <w:p w14:paraId="36D9977C" w14:textId="77777777" w:rsidR="004E2F51" w:rsidRPr="001B015B" w:rsidRDefault="004E2F51" w:rsidP="004E2F51">
      <w:pPr>
        <w:rPr>
          <w:rFonts w:ascii="Arial" w:eastAsia="Calibri" w:hAnsi="Arial" w:cs="Arial"/>
          <w:color w:val="000000" w:themeColor="text1"/>
          <w:sz w:val="20"/>
          <w:szCs w:val="20"/>
          <w:lang w:val="hr-HR"/>
        </w:rPr>
      </w:pPr>
    </w:p>
    <w:tbl>
      <w:tblPr>
        <w:tblW w:w="9381" w:type="dxa"/>
        <w:tblInd w:w="-142" w:type="dxa"/>
        <w:tblLook w:val="04A0" w:firstRow="1" w:lastRow="0" w:firstColumn="1" w:lastColumn="0" w:noHBand="0" w:noVBand="1"/>
      </w:tblPr>
      <w:tblGrid>
        <w:gridCol w:w="3931"/>
        <w:gridCol w:w="1090"/>
        <w:gridCol w:w="1090"/>
        <w:gridCol w:w="1090"/>
        <w:gridCol w:w="1090"/>
        <w:gridCol w:w="1090"/>
      </w:tblGrid>
      <w:tr w:rsidR="004E2F51" w:rsidRPr="001B015B" w14:paraId="65DB1CF2" w14:textId="77777777" w:rsidTr="00E032FC">
        <w:trPr>
          <w:trHeight w:val="164"/>
        </w:trPr>
        <w:tc>
          <w:tcPr>
            <w:tcW w:w="3931" w:type="dxa"/>
            <w:tcBorders>
              <w:top w:val="nil"/>
              <w:left w:val="nil"/>
              <w:bottom w:val="nil"/>
              <w:right w:val="nil"/>
            </w:tcBorders>
            <w:shd w:val="clear" w:color="auto" w:fill="auto"/>
            <w:vAlign w:val="center"/>
          </w:tcPr>
          <w:p w14:paraId="54955041" w14:textId="77777777" w:rsidR="004E2F51" w:rsidRPr="001B015B" w:rsidRDefault="004E2F51" w:rsidP="00E032FC">
            <w:pPr>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Grupa</w:t>
            </w:r>
          </w:p>
        </w:tc>
        <w:tc>
          <w:tcPr>
            <w:tcW w:w="1090" w:type="dxa"/>
            <w:tcBorders>
              <w:top w:val="nil"/>
              <w:left w:val="nil"/>
              <w:bottom w:val="nil"/>
              <w:right w:val="nil"/>
            </w:tcBorders>
            <w:shd w:val="clear" w:color="auto" w:fill="auto"/>
            <w:vAlign w:val="center"/>
          </w:tcPr>
          <w:p w14:paraId="7F34B024"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23564FD0"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4140A66B"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683D3820"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0F9F1AFD" w14:textId="52C4122D"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70899C46" w14:textId="77777777" w:rsidTr="00E032FC">
        <w:trPr>
          <w:trHeight w:val="164"/>
        </w:trPr>
        <w:tc>
          <w:tcPr>
            <w:tcW w:w="3931" w:type="dxa"/>
            <w:tcBorders>
              <w:top w:val="nil"/>
              <w:left w:val="nil"/>
              <w:bottom w:val="nil"/>
              <w:right w:val="nil"/>
            </w:tcBorders>
            <w:shd w:val="clear" w:color="auto" w:fill="auto"/>
            <w:vAlign w:val="center"/>
            <w:hideMark/>
          </w:tcPr>
          <w:p w14:paraId="21F2633B"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2021.</w:t>
            </w:r>
          </w:p>
        </w:tc>
        <w:tc>
          <w:tcPr>
            <w:tcW w:w="1090" w:type="dxa"/>
            <w:tcBorders>
              <w:top w:val="nil"/>
              <w:left w:val="nil"/>
              <w:bottom w:val="nil"/>
              <w:right w:val="nil"/>
            </w:tcBorders>
            <w:shd w:val="clear" w:color="auto" w:fill="auto"/>
            <w:vAlign w:val="center"/>
            <w:hideMark/>
          </w:tcPr>
          <w:p w14:paraId="6AD596D0"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90" w:type="dxa"/>
            <w:tcBorders>
              <w:top w:val="nil"/>
              <w:left w:val="nil"/>
              <w:bottom w:val="nil"/>
              <w:right w:val="nil"/>
            </w:tcBorders>
            <w:shd w:val="clear" w:color="auto" w:fill="auto"/>
            <w:vAlign w:val="center"/>
            <w:hideMark/>
          </w:tcPr>
          <w:p w14:paraId="1F07953D"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90" w:type="dxa"/>
            <w:tcBorders>
              <w:top w:val="nil"/>
              <w:left w:val="nil"/>
              <w:bottom w:val="nil"/>
              <w:right w:val="nil"/>
            </w:tcBorders>
            <w:shd w:val="clear" w:color="auto" w:fill="auto"/>
            <w:vAlign w:val="center"/>
            <w:hideMark/>
          </w:tcPr>
          <w:p w14:paraId="00F4F964"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90" w:type="dxa"/>
            <w:tcBorders>
              <w:top w:val="nil"/>
              <w:left w:val="nil"/>
              <w:bottom w:val="nil"/>
              <w:right w:val="nil"/>
            </w:tcBorders>
            <w:shd w:val="clear" w:color="auto" w:fill="auto"/>
            <w:vAlign w:val="center"/>
            <w:hideMark/>
          </w:tcPr>
          <w:p w14:paraId="51101598"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0" w:type="dxa"/>
            <w:tcBorders>
              <w:top w:val="nil"/>
              <w:left w:val="nil"/>
              <w:bottom w:val="nil"/>
              <w:right w:val="nil"/>
            </w:tcBorders>
            <w:shd w:val="clear" w:color="auto" w:fill="auto"/>
            <w:vAlign w:val="center"/>
            <w:hideMark/>
          </w:tcPr>
          <w:p w14:paraId="71193EC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16C2D50D" w14:textId="77777777" w:rsidTr="00E032FC">
        <w:trPr>
          <w:trHeight w:val="164"/>
        </w:trPr>
        <w:tc>
          <w:tcPr>
            <w:tcW w:w="3931" w:type="dxa"/>
            <w:tcBorders>
              <w:top w:val="nil"/>
              <w:left w:val="nil"/>
              <w:bottom w:val="nil"/>
              <w:right w:val="nil"/>
            </w:tcBorders>
            <w:shd w:val="clear" w:color="auto" w:fill="auto"/>
            <w:vAlign w:val="center"/>
            <w:hideMark/>
          </w:tcPr>
          <w:p w14:paraId="6A3D16BF"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hideMark/>
          </w:tcPr>
          <w:p w14:paraId="449E9E30"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0" w:type="dxa"/>
            <w:tcBorders>
              <w:top w:val="nil"/>
              <w:left w:val="nil"/>
              <w:bottom w:val="nil"/>
              <w:right w:val="nil"/>
            </w:tcBorders>
            <w:shd w:val="clear" w:color="auto" w:fill="auto"/>
            <w:vAlign w:val="center"/>
            <w:hideMark/>
          </w:tcPr>
          <w:p w14:paraId="14277A7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0" w:type="dxa"/>
            <w:tcBorders>
              <w:top w:val="nil"/>
              <w:left w:val="nil"/>
              <w:bottom w:val="nil"/>
              <w:right w:val="nil"/>
            </w:tcBorders>
            <w:shd w:val="clear" w:color="auto" w:fill="auto"/>
            <w:vAlign w:val="center"/>
            <w:hideMark/>
          </w:tcPr>
          <w:p w14:paraId="4993128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0" w:type="dxa"/>
            <w:tcBorders>
              <w:top w:val="nil"/>
              <w:left w:val="nil"/>
              <w:bottom w:val="nil"/>
              <w:right w:val="nil"/>
            </w:tcBorders>
            <w:shd w:val="clear" w:color="auto" w:fill="auto"/>
            <w:vAlign w:val="center"/>
            <w:hideMark/>
          </w:tcPr>
          <w:p w14:paraId="2A3BC92C"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0" w:type="dxa"/>
            <w:tcBorders>
              <w:top w:val="nil"/>
              <w:left w:val="nil"/>
              <w:bottom w:val="nil"/>
              <w:right w:val="nil"/>
            </w:tcBorders>
            <w:shd w:val="clear" w:color="auto" w:fill="auto"/>
            <w:vAlign w:val="center"/>
            <w:hideMark/>
          </w:tcPr>
          <w:p w14:paraId="52A172ED"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0B54D9A4" w14:textId="77777777" w:rsidTr="00E032FC">
        <w:trPr>
          <w:trHeight w:val="164"/>
        </w:trPr>
        <w:tc>
          <w:tcPr>
            <w:tcW w:w="3931" w:type="dxa"/>
            <w:tcBorders>
              <w:top w:val="nil"/>
              <w:left w:val="nil"/>
              <w:bottom w:val="nil"/>
              <w:right w:val="nil"/>
            </w:tcBorders>
            <w:shd w:val="clear" w:color="auto" w:fill="auto"/>
            <w:vAlign w:val="center"/>
          </w:tcPr>
          <w:p w14:paraId="4B741D3A"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40921B2D"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402976C6"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11BE5336"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4D8B0AD2"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6A2AE9B6"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15125F48" w14:textId="77777777" w:rsidTr="00E032FC">
        <w:trPr>
          <w:trHeight w:val="164"/>
        </w:trPr>
        <w:tc>
          <w:tcPr>
            <w:tcW w:w="3931" w:type="dxa"/>
            <w:tcBorders>
              <w:top w:val="nil"/>
              <w:left w:val="nil"/>
              <w:bottom w:val="nil"/>
              <w:right w:val="nil"/>
            </w:tcBorders>
            <w:shd w:val="clear" w:color="auto" w:fill="auto"/>
            <w:vAlign w:val="center"/>
            <w:hideMark/>
          </w:tcPr>
          <w:p w14:paraId="512E18FB"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Stanje 1. siječnja 2021. </w:t>
            </w:r>
          </w:p>
        </w:tc>
        <w:tc>
          <w:tcPr>
            <w:tcW w:w="1090" w:type="dxa"/>
            <w:shd w:val="clear" w:color="auto" w:fill="auto"/>
            <w:vAlign w:val="bottom"/>
          </w:tcPr>
          <w:p w14:paraId="70813C0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1</w:t>
            </w:r>
          </w:p>
        </w:tc>
        <w:tc>
          <w:tcPr>
            <w:tcW w:w="1090" w:type="dxa"/>
            <w:shd w:val="clear" w:color="auto" w:fill="auto"/>
            <w:vAlign w:val="bottom"/>
          </w:tcPr>
          <w:p w14:paraId="28E9F45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shd w:val="clear" w:color="auto" w:fill="auto"/>
            <w:vAlign w:val="bottom"/>
          </w:tcPr>
          <w:p w14:paraId="324FDF9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shd w:val="clear" w:color="auto" w:fill="auto"/>
            <w:vAlign w:val="bottom"/>
          </w:tcPr>
          <w:p w14:paraId="3D405A0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shd w:val="clear" w:color="auto" w:fill="auto"/>
            <w:vAlign w:val="bottom"/>
          </w:tcPr>
          <w:p w14:paraId="68C97EC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1</w:t>
            </w:r>
          </w:p>
        </w:tc>
      </w:tr>
      <w:tr w:rsidR="004E2F51" w:rsidRPr="001B015B" w14:paraId="0AF1ECC3" w14:textId="77777777" w:rsidTr="00E032FC">
        <w:trPr>
          <w:trHeight w:val="164"/>
        </w:trPr>
        <w:tc>
          <w:tcPr>
            <w:tcW w:w="3931" w:type="dxa"/>
            <w:tcBorders>
              <w:top w:val="nil"/>
              <w:left w:val="nil"/>
              <w:bottom w:val="nil"/>
              <w:right w:val="nil"/>
            </w:tcBorders>
            <w:shd w:val="clear" w:color="auto" w:fill="auto"/>
            <w:hideMark/>
          </w:tcPr>
          <w:p w14:paraId="7CDE1AB4"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0" w:type="dxa"/>
            <w:tcBorders>
              <w:top w:val="nil"/>
              <w:left w:val="nil"/>
              <w:right w:val="nil"/>
            </w:tcBorders>
            <w:shd w:val="clear" w:color="auto" w:fill="auto"/>
            <w:vAlign w:val="bottom"/>
          </w:tcPr>
          <w:p w14:paraId="6FB36B8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5130982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504A952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5848790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6F5780B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r>
      <w:tr w:rsidR="004E2F51" w:rsidRPr="001B015B" w14:paraId="21F044A1" w14:textId="77777777" w:rsidTr="00E032FC">
        <w:trPr>
          <w:trHeight w:val="164"/>
        </w:trPr>
        <w:tc>
          <w:tcPr>
            <w:tcW w:w="3931" w:type="dxa"/>
            <w:tcBorders>
              <w:top w:val="nil"/>
              <w:left w:val="nil"/>
              <w:bottom w:val="nil"/>
              <w:right w:val="nil"/>
            </w:tcBorders>
            <w:shd w:val="clear" w:color="auto" w:fill="auto"/>
          </w:tcPr>
          <w:p w14:paraId="7E14A71D"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0" w:type="dxa"/>
            <w:tcBorders>
              <w:top w:val="nil"/>
              <w:left w:val="nil"/>
              <w:right w:val="nil"/>
            </w:tcBorders>
            <w:shd w:val="clear" w:color="auto" w:fill="auto"/>
            <w:vAlign w:val="bottom"/>
          </w:tcPr>
          <w:p w14:paraId="795BFF2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5958E35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421789C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1C0C8D9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28A01FC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r>
      <w:tr w:rsidR="004E2F51" w:rsidRPr="001B015B" w14:paraId="3D480275" w14:textId="77777777" w:rsidTr="00E032FC">
        <w:trPr>
          <w:trHeight w:val="164"/>
        </w:trPr>
        <w:tc>
          <w:tcPr>
            <w:tcW w:w="3931" w:type="dxa"/>
            <w:tcBorders>
              <w:top w:val="nil"/>
              <w:left w:val="nil"/>
              <w:bottom w:val="nil"/>
              <w:right w:val="nil"/>
            </w:tcBorders>
            <w:shd w:val="clear" w:color="auto" w:fill="auto"/>
          </w:tcPr>
          <w:p w14:paraId="19858977"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0" w:type="dxa"/>
            <w:tcBorders>
              <w:top w:val="nil"/>
              <w:left w:val="nil"/>
              <w:right w:val="nil"/>
            </w:tcBorders>
            <w:shd w:val="clear" w:color="auto" w:fill="auto"/>
            <w:vAlign w:val="bottom"/>
          </w:tcPr>
          <w:p w14:paraId="32F75DD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56D6EE9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0E8D1F7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56FD83B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56B372C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r>
      <w:tr w:rsidR="004E2F51" w:rsidRPr="001B015B" w14:paraId="1AB9F3BE" w14:textId="77777777" w:rsidTr="00E032FC">
        <w:trPr>
          <w:trHeight w:val="204"/>
        </w:trPr>
        <w:tc>
          <w:tcPr>
            <w:tcW w:w="3931" w:type="dxa"/>
            <w:tcBorders>
              <w:top w:val="nil"/>
              <w:left w:val="nil"/>
              <w:bottom w:val="nil"/>
              <w:right w:val="nil"/>
            </w:tcBorders>
            <w:shd w:val="clear" w:color="auto" w:fill="auto"/>
            <w:vAlign w:val="center"/>
            <w:hideMark/>
          </w:tcPr>
          <w:p w14:paraId="0E931022"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smanjenje rezerviranja za očekivane gubitke </w:t>
            </w:r>
          </w:p>
        </w:tc>
        <w:tc>
          <w:tcPr>
            <w:tcW w:w="1090" w:type="dxa"/>
            <w:shd w:val="clear" w:color="auto" w:fill="auto"/>
            <w:vAlign w:val="bottom"/>
          </w:tcPr>
          <w:p w14:paraId="3ADEA2B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(1)</w:t>
            </w:r>
          </w:p>
        </w:tc>
        <w:tc>
          <w:tcPr>
            <w:tcW w:w="1090" w:type="dxa"/>
            <w:tcBorders>
              <w:top w:val="nil"/>
              <w:left w:val="nil"/>
              <w:right w:val="nil"/>
            </w:tcBorders>
            <w:shd w:val="clear" w:color="auto" w:fill="auto"/>
            <w:vAlign w:val="bottom"/>
          </w:tcPr>
          <w:p w14:paraId="0A1559C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7022784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756CB96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shd w:val="clear" w:color="auto" w:fill="auto"/>
            <w:vAlign w:val="bottom"/>
          </w:tcPr>
          <w:p w14:paraId="671138B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(1)</w:t>
            </w:r>
          </w:p>
        </w:tc>
      </w:tr>
      <w:tr w:rsidR="004E2F51" w:rsidRPr="001B015B" w14:paraId="66745BD6" w14:textId="77777777" w:rsidTr="00E032FC">
        <w:trPr>
          <w:trHeight w:val="172"/>
        </w:trPr>
        <w:tc>
          <w:tcPr>
            <w:tcW w:w="3931" w:type="dxa"/>
            <w:tcBorders>
              <w:top w:val="nil"/>
              <w:left w:val="nil"/>
              <w:bottom w:val="nil"/>
              <w:right w:val="nil"/>
            </w:tcBorders>
            <w:shd w:val="clear" w:color="auto" w:fill="auto"/>
            <w:vAlign w:val="center"/>
            <w:hideMark/>
          </w:tcPr>
          <w:p w14:paraId="6AC86E07"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90" w:type="dxa"/>
            <w:tcBorders>
              <w:top w:val="nil"/>
              <w:left w:val="nil"/>
              <w:bottom w:val="single" w:sz="4" w:space="0" w:color="auto"/>
              <w:right w:val="nil"/>
            </w:tcBorders>
            <w:shd w:val="clear" w:color="auto" w:fill="auto"/>
            <w:vAlign w:val="bottom"/>
          </w:tcPr>
          <w:p w14:paraId="2631F09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1</w:t>
            </w:r>
          </w:p>
        </w:tc>
        <w:tc>
          <w:tcPr>
            <w:tcW w:w="1090" w:type="dxa"/>
            <w:tcBorders>
              <w:top w:val="nil"/>
              <w:left w:val="nil"/>
              <w:bottom w:val="single" w:sz="4" w:space="0" w:color="auto"/>
              <w:right w:val="nil"/>
            </w:tcBorders>
            <w:shd w:val="clear" w:color="auto" w:fill="auto"/>
            <w:vAlign w:val="bottom"/>
          </w:tcPr>
          <w:p w14:paraId="64E88A6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bottom w:val="single" w:sz="4" w:space="0" w:color="auto"/>
              <w:right w:val="nil"/>
            </w:tcBorders>
            <w:shd w:val="clear" w:color="auto" w:fill="auto"/>
            <w:vAlign w:val="bottom"/>
          </w:tcPr>
          <w:p w14:paraId="48137E2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bottom w:val="single" w:sz="4" w:space="0" w:color="auto"/>
              <w:right w:val="nil"/>
            </w:tcBorders>
            <w:shd w:val="clear" w:color="auto" w:fill="auto"/>
            <w:vAlign w:val="bottom"/>
          </w:tcPr>
          <w:p w14:paraId="2EDC1A2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bottom w:val="single" w:sz="4" w:space="0" w:color="auto"/>
              <w:right w:val="nil"/>
            </w:tcBorders>
            <w:shd w:val="clear" w:color="auto" w:fill="auto"/>
            <w:vAlign w:val="bottom"/>
          </w:tcPr>
          <w:p w14:paraId="4CE41E8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1</w:t>
            </w:r>
          </w:p>
        </w:tc>
      </w:tr>
      <w:tr w:rsidR="004E2F51" w:rsidRPr="001B015B" w14:paraId="0664DC35" w14:textId="77777777" w:rsidTr="00E032FC">
        <w:trPr>
          <w:trHeight w:val="172"/>
        </w:trPr>
        <w:tc>
          <w:tcPr>
            <w:tcW w:w="3931" w:type="dxa"/>
            <w:tcBorders>
              <w:top w:val="nil"/>
              <w:left w:val="nil"/>
              <w:bottom w:val="nil"/>
              <w:right w:val="nil"/>
            </w:tcBorders>
            <w:shd w:val="clear" w:color="auto" w:fill="auto"/>
            <w:vAlign w:val="bottom"/>
            <w:hideMark/>
          </w:tcPr>
          <w:p w14:paraId="18F41A6E"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2021.</w:t>
            </w:r>
          </w:p>
        </w:tc>
        <w:tc>
          <w:tcPr>
            <w:tcW w:w="1090" w:type="dxa"/>
            <w:tcBorders>
              <w:top w:val="single" w:sz="4" w:space="0" w:color="auto"/>
              <w:left w:val="nil"/>
              <w:bottom w:val="single" w:sz="12" w:space="0" w:color="auto"/>
              <w:right w:val="nil"/>
            </w:tcBorders>
            <w:shd w:val="clear" w:color="auto" w:fill="auto"/>
            <w:vAlign w:val="bottom"/>
          </w:tcPr>
          <w:p w14:paraId="67A6A0D6"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1</w:t>
            </w:r>
          </w:p>
        </w:tc>
        <w:tc>
          <w:tcPr>
            <w:tcW w:w="1090" w:type="dxa"/>
            <w:tcBorders>
              <w:top w:val="single" w:sz="4" w:space="0" w:color="auto"/>
              <w:left w:val="nil"/>
              <w:bottom w:val="single" w:sz="12" w:space="0" w:color="auto"/>
              <w:right w:val="nil"/>
            </w:tcBorders>
            <w:shd w:val="clear" w:color="auto" w:fill="auto"/>
          </w:tcPr>
          <w:p w14:paraId="7E751864"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sz w:val="18"/>
                <w:szCs w:val="18"/>
              </w:rPr>
              <w:t>-</w:t>
            </w:r>
          </w:p>
        </w:tc>
        <w:tc>
          <w:tcPr>
            <w:tcW w:w="1090" w:type="dxa"/>
            <w:tcBorders>
              <w:top w:val="single" w:sz="4" w:space="0" w:color="auto"/>
              <w:left w:val="nil"/>
              <w:bottom w:val="single" w:sz="12" w:space="0" w:color="auto"/>
              <w:right w:val="nil"/>
            </w:tcBorders>
            <w:shd w:val="clear" w:color="auto" w:fill="auto"/>
          </w:tcPr>
          <w:p w14:paraId="6D35AEA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sz w:val="18"/>
                <w:szCs w:val="18"/>
              </w:rPr>
              <w:t>-</w:t>
            </w:r>
          </w:p>
        </w:tc>
        <w:tc>
          <w:tcPr>
            <w:tcW w:w="1090" w:type="dxa"/>
            <w:tcBorders>
              <w:top w:val="single" w:sz="4" w:space="0" w:color="auto"/>
              <w:left w:val="nil"/>
              <w:bottom w:val="single" w:sz="12" w:space="0" w:color="auto"/>
              <w:right w:val="nil"/>
            </w:tcBorders>
            <w:shd w:val="clear" w:color="auto" w:fill="auto"/>
          </w:tcPr>
          <w:p w14:paraId="3F7B613E"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sz w:val="18"/>
                <w:szCs w:val="18"/>
              </w:rPr>
              <w:t>-</w:t>
            </w:r>
          </w:p>
        </w:tc>
        <w:tc>
          <w:tcPr>
            <w:tcW w:w="1090" w:type="dxa"/>
            <w:tcBorders>
              <w:top w:val="single" w:sz="4" w:space="0" w:color="auto"/>
              <w:left w:val="nil"/>
              <w:bottom w:val="single" w:sz="12" w:space="0" w:color="auto"/>
              <w:right w:val="nil"/>
            </w:tcBorders>
            <w:shd w:val="clear" w:color="auto" w:fill="auto"/>
            <w:vAlign w:val="bottom"/>
          </w:tcPr>
          <w:p w14:paraId="7B4E5020"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1</w:t>
            </w:r>
          </w:p>
        </w:tc>
      </w:tr>
    </w:tbl>
    <w:p w14:paraId="6660850A" w14:textId="77777777" w:rsidR="004E2F51" w:rsidRPr="001B015B" w:rsidRDefault="004E2F51" w:rsidP="004E2F51">
      <w:pPr>
        <w:rPr>
          <w:rFonts w:ascii="Arial" w:eastAsia="Calibri" w:hAnsi="Arial" w:cs="Arial"/>
          <w:color w:val="000000" w:themeColor="text1"/>
          <w:sz w:val="20"/>
          <w:szCs w:val="20"/>
          <w:lang w:val="hr-HR"/>
        </w:rPr>
      </w:pPr>
    </w:p>
    <w:p w14:paraId="1FDCBBC8" w14:textId="77777777" w:rsidR="004E2F51" w:rsidRDefault="004E2F51" w:rsidP="004E2F51">
      <w:pPr>
        <w:rPr>
          <w:rFonts w:ascii="Arial" w:eastAsia="Calibri" w:hAnsi="Arial" w:cs="Arial"/>
          <w:color w:val="000000" w:themeColor="text1"/>
          <w:sz w:val="20"/>
          <w:szCs w:val="20"/>
          <w:lang w:val="hr-HR"/>
        </w:rPr>
      </w:pPr>
    </w:p>
    <w:p w14:paraId="721CB7C0" w14:textId="77777777" w:rsidR="004E2F51" w:rsidRPr="001B015B" w:rsidRDefault="004E2F51" w:rsidP="004E2F51">
      <w:pPr>
        <w:rPr>
          <w:rFonts w:ascii="Arial" w:eastAsia="Calibri" w:hAnsi="Arial" w:cs="Arial"/>
          <w:color w:val="000000" w:themeColor="text1"/>
          <w:sz w:val="20"/>
          <w:szCs w:val="20"/>
          <w:lang w:val="hr-HR"/>
        </w:rPr>
      </w:pPr>
    </w:p>
    <w:p w14:paraId="52C2479F" w14:textId="77777777" w:rsidR="004E2F51" w:rsidRPr="001B015B" w:rsidRDefault="004E2F51" w:rsidP="004E2F51">
      <w:pPr>
        <w:rPr>
          <w:rFonts w:ascii="Arial" w:eastAsia="Calibri" w:hAnsi="Arial" w:cs="Arial"/>
          <w:color w:val="000000" w:themeColor="text1"/>
          <w:sz w:val="20"/>
          <w:szCs w:val="20"/>
          <w:lang w:val="hr-HR"/>
        </w:rPr>
        <w:sectPr w:rsidR="004E2F51" w:rsidRPr="001B015B" w:rsidSect="00623DBA">
          <w:footerReference w:type="default" r:id="rId194"/>
          <w:pgSz w:w="11906" w:h="16838"/>
          <w:pgMar w:top="1418" w:right="1134" w:bottom="1134" w:left="1418" w:header="708" w:footer="708" w:gutter="0"/>
          <w:cols w:space="708"/>
          <w:docGrid w:linePitch="360"/>
        </w:sectPr>
      </w:pPr>
    </w:p>
    <w:p w14:paraId="024276CE" w14:textId="77777777" w:rsidR="004E2F51" w:rsidRPr="001B015B" w:rsidRDefault="004E2F51" w:rsidP="004E2F51">
      <w:pPr>
        <w:keepNext/>
        <w:jc w:val="both"/>
        <w:rPr>
          <w:rFonts w:ascii="Arial" w:hAnsi="Arial" w:cs="Arial"/>
          <w:b/>
          <w:bCs/>
          <w:color w:val="000000" w:themeColor="text1"/>
          <w:sz w:val="20"/>
          <w:szCs w:val="20"/>
          <w:lang w:val="hr-HR"/>
        </w:rPr>
      </w:pPr>
    </w:p>
    <w:p w14:paraId="4AD480B8"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w:t>
      </w:r>
      <w:r w:rsidRPr="001B015B">
        <w:rPr>
          <w:rFonts w:ascii="Arial" w:hAnsi="Arial" w:cs="Arial"/>
          <w:b/>
          <w:bCs/>
          <w:color w:val="000000" w:themeColor="text1"/>
          <w:sz w:val="20"/>
          <w:szCs w:val="20"/>
          <w:lang w:val="hr-HR"/>
        </w:rPr>
        <w:tab/>
        <w:t>Upravljanje rizicima (nastavak)</w:t>
      </w:r>
    </w:p>
    <w:p w14:paraId="555B026A" w14:textId="77777777" w:rsidR="004E2F51" w:rsidRPr="001B015B" w:rsidRDefault="004E2F51" w:rsidP="004E2F51">
      <w:pPr>
        <w:keepNext/>
        <w:jc w:val="both"/>
        <w:rPr>
          <w:rFonts w:ascii="Arial" w:hAnsi="Arial" w:cs="Arial"/>
          <w:b/>
          <w:bCs/>
          <w:color w:val="000000" w:themeColor="text1"/>
          <w:sz w:val="20"/>
          <w:szCs w:val="20"/>
          <w:lang w:val="hr-HR"/>
        </w:rPr>
      </w:pPr>
    </w:p>
    <w:p w14:paraId="1F7878BF"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 xml:space="preserve">.3. </w:t>
      </w:r>
      <w:r w:rsidRPr="001B015B">
        <w:rPr>
          <w:rFonts w:ascii="Arial" w:hAnsi="Arial" w:cs="Arial"/>
          <w:b/>
          <w:bCs/>
          <w:color w:val="000000" w:themeColor="text1"/>
          <w:sz w:val="20"/>
          <w:szCs w:val="20"/>
          <w:lang w:val="hr-HR"/>
        </w:rPr>
        <w:tab/>
        <w:t>Kreditni rizik (nastavak)</w:t>
      </w:r>
    </w:p>
    <w:p w14:paraId="6BBD01DD" w14:textId="77777777" w:rsidR="004E2F51" w:rsidRPr="001B015B" w:rsidRDefault="004E2F51" w:rsidP="004E2F51">
      <w:pPr>
        <w:keepNext/>
        <w:jc w:val="both"/>
        <w:rPr>
          <w:rFonts w:ascii="Arial" w:hAnsi="Arial" w:cs="Arial"/>
          <w:b/>
          <w:bCs/>
          <w:color w:val="000000" w:themeColor="text1"/>
          <w:sz w:val="20"/>
          <w:szCs w:val="20"/>
          <w:lang w:val="hr-HR"/>
        </w:rPr>
      </w:pPr>
    </w:p>
    <w:p w14:paraId="4CFD6A41" w14:textId="77777777" w:rsidR="004E2F51" w:rsidRPr="001B015B" w:rsidRDefault="004E2F51">
      <w:pPr>
        <w:keepNext/>
        <w:numPr>
          <w:ilvl w:val="8"/>
          <w:numId w:val="60"/>
        </w:numPr>
        <w:suppressAutoHyphens w:val="0"/>
        <w:autoSpaceDN/>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Promjene po rezerviranjima (nastavak)</w:t>
      </w:r>
    </w:p>
    <w:p w14:paraId="30E219E7" w14:textId="77777777" w:rsidR="004E2F51" w:rsidRPr="001B015B" w:rsidRDefault="004E2F51" w:rsidP="004E2F51">
      <w:pPr>
        <w:keepNext/>
        <w:rPr>
          <w:rFonts w:ascii="Arial" w:hAnsi="Arial" w:cs="Arial"/>
          <w:bCs/>
          <w:i/>
          <w:color w:val="000000" w:themeColor="text1"/>
          <w:sz w:val="20"/>
          <w:szCs w:val="20"/>
          <w:lang w:val="hr-HR"/>
        </w:rPr>
      </w:pPr>
    </w:p>
    <w:p w14:paraId="6D088809" w14:textId="77777777" w:rsidR="004E2F51" w:rsidRPr="001B015B" w:rsidRDefault="004E2F51" w:rsidP="004E2F51">
      <w:pPr>
        <w:keepNext/>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Depoziti kod drugih banaka</w:t>
      </w:r>
    </w:p>
    <w:p w14:paraId="7B57A84B" w14:textId="77777777" w:rsidR="004E2F51" w:rsidRPr="001B015B" w:rsidRDefault="004E2F51" w:rsidP="004E2F51">
      <w:pPr>
        <w:rPr>
          <w:rFonts w:ascii="Arial" w:eastAsia="Calibri" w:hAnsi="Arial" w:cs="Arial"/>
          <w:color w:val="000000" w:themeColor="text1"/>
          <w:sz w:val="20"/>
          <w:szCs w:val="20"/>
          <w:lang w:val="hr-HR"/>
        </w:rPr>
      </w:pPr>
    </w:p>
    <w:tbl>
      <w:tblPr>
        <w:tblW w:w="9381" w:type="dxa"/>
        <w:tblInd w:w="-142" w:type="dxa"/>
        <w:tblLook w:val="04A0" w:firstRow="1" w:lastRow="0" w:firstColumn="1" w:lastColumn="0" w:noHBand="0" w:noVBand="1"/>
      </w:tblPr>
      <w:tblGrid>
        <w:gridCol w:w="3931"/>
        <w:gridCol w:w="1090"/>
        <w:gridCol w:w="1090"/>
        <w:gridCol w:w="1090"/>
        <w:gridCol w:w="1090"/>
        <w:gridCol w:w="1090"/>
      </w:tblGrid>
      <w:tr w:rsidR="004E2F51" w:rsidRPr="001B015B" w14:paraId="732C97CC" w14:textId="77777777" w:rsidTr="00E032FC">
        <w:trPr>
          <w:trHeight w:val="164"/>
        </w:trPr>
        <w:tc>
          <w:tcPr>
            <w:tcW w:w="3931" w:type="dxa"/>
            <w:tcBorders>
              <w:top w:val="nil"/>
              <w:left w:val="nil"/>
              <w:bottom w:val="nil"/>
              <w:right w:val="nil"/>
            </w:tcBorders>
            <w:shd w:val="clear" w:color="auto" w:fill="auto"/>
            <w:vAlign w:val="center"/>
          </w:tcPr>
          <w:p w14:paraId="6CE03C28" w14:textId="77777777" w:rsidR="004E2F51" w:rsidRPr="001B015B" w:rsidRDefault="004E2F51" w:rsidP="00E032FC">
            <w:pPr>
              <w:rPr>
                <w:rFonts w:ascii="Arial" w:eastAsia="Calibri" w:hAnsi="Arial" w:cs="Arial"/>
                <w:b/>
                <w:bCs/>
                <w:color w:val="000000" w:themeColor="text1"/>
                <w:sz w:val="18"/>
                <w:szCs w:val="18"/>
                <w:lang w:val="hr-HR"/>
              </w:rPr>
            </w:pPr>
            <w:bookmarkStart w:id="1646" w:name="_Hlk24387098"/>
            <w:r w:rsidRPr="001B015B">
              <w:rPr>
                <w:rFonts w:ascii="Arial" w:eastAsia="Calibri" w:hAnsi="Arial" w:cs="Arial"/>
                <w:b/>
                <w:bCs/>
                <w:color w:val="000000" w:themeColor="text1"/>
                <w:sz w:val="18"/>
                <w:szCs w:val="18"/>
                <w:lang w:val="hr-HR"/>
              </w:rPr>
              <w:t>Banka</w:t>
            </w:r>
          </w:p>
        </w:tc>
        <w:tc>
          <w:tcPr>
            <w:tcW w:w="1090" w:type="dxa"/>
            <w:tcBorders>
              <w:top w:val="nil"/>
              <w:left w:val="nil"/>
              <w:bottom w:val="nil"/>
              <w:right w:val="nil"/>
            </w:tcBorders>
            <w:shd w:val="clear" w:color="auto" w:fill="auto"/>
            <w:vAlign w:val="center"/>
          </w:tcPr>
          <w:p w14:paraId="7170AE8F"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0AE590AC"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23EBDF8B"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2AEB8ECB"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29D1DD89" w14:textId="2F8D0F0E"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15E0A7D2" w14:textId="77777777" w:rsidTr="00E032FC">
        <w:trPr>
          <w:trHeight w:val="164"/>
        </w:trPr>
        <w:tc>
          <w:tcPr>
            <w:tcW w:w="3931" w:type="dxa"/>
            <w:tcBorders>
              <w:top w:val="nil"/>
              <w:left w:val="nil"/>
              <w:bottom w:val="nil"/>
              <w:right w:val="nil"/>
            </w:tcBorders>
            <w:shd w:val="clear" w:color="auto" w:fill="auto"/>
            <w:vAlign w:val="center"/>
            <w:hideMark/>
          </w:tcPr>
          <w:p w14:paraId="10C874CF"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090" w:type="dxa"/>
            <w:tcBorders>
              <w:top w:val="nil"/>
              <w:left w:val="nil"/>
              <w:bottom w:val="nil"/>
              <w:right w:val="nil"/>
            </w:tcBorders>
            <w:shd w:val="clear" w:color="auto" w:fill="auto"/>
            <w:vAlign w:val="center"/>
            <w:hideMark/>
          </w:tcPr>
          <w:p w14:paraId="7535DAE0"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90" w:type="dxa"/>
            <w:tcBorders>
              <w:top w:val="nil"/>
              <w:left w:val="nil"/>
              <w:bottom w:val="nil"/>
              <w:right w:val="nil"/>
            </w:tcBorders>
            <w:shd w:val="clear" w:color="auto" w:fill="auto"/>
            <w:vAlign w:val="center"/>
            <w:hideMark/>
          </w:tcPr>
          <w:p w14:paraId="2E1AADA0"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90" w:type="dxa"/>
            <w:tcBorders>
              <w:top w:val="nil"/>
              <w:left w:val="nil"/>
              <w:bottom w:val="nil"/>
              <w:right w:val="nil"/>
            </w:tcBorders>
            <w:shd w:val="clear" w:color="auto" w:fill="auto"/>
            <w:vAlign w:val="center"/>
            <w:hideMark/>
          </w:tcPr>
          <w:p w14:paraId="50839C7B"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90" w:type="dxa"/>
            <w:tcBorders>
              <w:top w:val="nil"/>
              <w:left w:val="nil"/>
              <w:bottom w:val="nil"/>
              <w:right w:val="nil"/>
            </w:tcBorders>
            <w:shd w:val="clear" w:color="auto" w:fill="auto"/>
            <w:vAlign w:val="center"/>
            <w:hideMark/>
          </w:tcPr>
          <w:p w14:paraId="6416EDDA"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0" w:type="dxa"/>
            <w:tcBorders>
              <w:top w:val="nil"/>
              <w:left w:val="nil"/>
              <w:bottom w:val="nil"/>
              <w:right w:val="nil"/>
            </w:tcBorders>
            <w:shd w:val="clear" w:color="auto" w:fill="auto"/>
            <w:vAlign w:val="center"/>
            <w:hideMark/>
          </w:tcPr>
          <w:p w14:paraId="5EAFB5DC"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735B33CB" w14:textId="77777777" w:rsidTr="00E032FC">
        <w:trPr>
          <w:trHeight w:val="164"/>
        </w:trPr>
        <w:tc>
          <w:tcPr>
            <w:tcW w:w="3931" w:type="dxa"/>
            <w:tcBorders>
              <w:top w:val="nil"/>
              <w:left w:val="nil"/>
              <w:bottom w:val="nil"/>
              <w:right w:val="nil"/>
            </w:tcBorders>
            <w:shd w:val="clear" w:color="auto" w:fill="auto"/>
            <w:vAlign w:val="center"/>
            <w:hideMark/>
          </w:tcPr>
          <w:p w14:paraId="6692D02B"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hideMark/>
          </w:tcPr>
          <w:p w14:paraId="2948FA4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0" w:type="dxa"/>
            <w:tcBorders>
              <w:top w:val="nil"/>
              <w:left w:val="nil"/>
              <w:bottom w:val="nil"/>
              <w:right w:val="nil"/>
            </w:tcBorders>
            <w:shd w:val="clear" w:color="auto" w:fill="auto"/>
            <w:vAlign w:val="center"/>
            <w:hideMark/>
          </w:tcPr>
          <w:p w14:paraId="6FB57A6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0" w:type="dxa"/>
            <w:tcBorders>
              <w:top w:val="nil"/>
              <w:left w:val="nil"/>
              <w:bottom w:val="nil"/>
              <w:right w:val="nil"/>
            </w:tcBorders>
            <w:shd w:val="clear" w:color="auto" w:fill="auto"/>
            <w:vAlign w:val="center"/>
            <w:hideMark/>
          </w:tcPr>
          <w:p w14:paraId="2024FB96"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0" w:type="dxa"/>
            <w:tcBorders>
              <w:top w:val="nil"/>
              <w:left w:val="nil"/>
              <w:bottom w:val="nil"/>
              <w:right w:val="nil"/>
            </w:tcBorders>
            <w:shd w:val="clear" w:color="auto" w:fill="auto"/>
            <w:vAlign w:val="center"/>
            <w:hideMark/>
          </w:tcPr>
          <w:p w14:paraId="45D4783E"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0" w:type="dxa"/>
            <w:tcBorders>
              <w:top w:val="nil"/>
              <w:left w:val="nil"/>
              <w:bottom w:val="nil"/>
              <w:right w:val="nil"/>
            </w:tcBorders>
            <w:shd w:val="clear" w:color="auto" w:fill="auto"/>
            <w:vAlign w:val="center"/>
            <w:hideMark/>
          </w:tcPr>
          <w:p w14:paraId="0315B8B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663A3601" w14:textId="77777777" w:rsidTr="00E032FC">
        <w:trPr>
          <w:trHeight w:val="164"/>
        </w:trPr>
        <w:tc>
          <w:tcPr>
            <w:tcW w:w="3931" w:type="dxa"/>
            <w:tcBorders>
              <w:top w:val="nil"/>
              <w:left w:val="nil"/>
              <w:bottom w:val="nil"/>
              <w:right w:val="nil"/>
            </w:tcBorders>
            <w:shd w:val="clear" w:color="auto" w:fill="auto"/>
            <w:vAlign w:val="center"/>
          </w:tcPr>
          <w:p w14:paraId="0CDED642"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5BCE4E8F"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14A8A0B7"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242A3B03"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0326B437"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7EDC5873"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3F6C266C" w14:textId="77777777" w:rsidTr="00E032FC">
        <w:trPr>
          <w:trHeight w:val="164"/>
        </w:trPr>
        <w:tc>
          <w:tcPr>
            <w:tcW w:w="3931" w:type="dxa"/>
            <w:tcBorders>
              <w:top w:val="nil"/>
              <w:left w:val="nil"/>
              <w:bottom w:val="nil"/>
              <w:right w:val="nil"/>
            </w:tcBorders>
            <w:shd w:val="clear" w:color="auto" w:fill="auto"/>
            <w:vAlign w:val="center"/>
            <w:hideMark/>
          </w:tcPr>
          <w:p w14:paraId="6236A971"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2</w:t>
            </w:r>
            <w:r w:rsidRPr="001B015B">
              <w:rPr>
                <w:rFonts w:ascii="Arial" w:eastAsia="Calibri" w:hAnsi="Arial" w:cs="Arial"/>
                <w:color w:val="000000" w:themeColor="text1"/>
                <w:sz w:val="18"/>
                <w:szCs w:val="18"/>
                <w:lang w:val="hr-HR"/>
              </w:rPr>
              <w:t xml:space="preserve">. </w:t>
            </w:r>
          </w:p>
        </w:tc>
        <w:tc>
          <w:tcPr>
            <w:tcW w:w="1090" w:type="dxa"/>
            <w:shd w:val="clear" w:color="auto" w:fill="auto"/>
            <w:vAlign w:val="bottom"/>
          </w:tcPr>
          <w:p w14:paraId="660F2F29" w14:textId="77777777" w:rsidR="004E2F51" w:rsidRPr="001B015B" w:rsidRDefault="004E2F51" w:rsidP="00E032FC">
            <w:pPr>
              <w:jc w:val="right"/>
              <w:rPr>
                <w:rFonts w:ascii="Arial" w:eastAsia="Calibri" w:hAnsi="Arial" w:cs="Arial"/>
                <w:color w:val="000000" w:themeColor="text1"/>
                <w:sz w:val="18"/>
                <w:szCs w:val="18"/>
                <w:lang w:val="hr-HR"/>
              </w:rPr>
            </w:pPr>
            <w:r w:rsidRPr="00852BF5">
              <w:rPr>
                <w:rFonts w:ascii="Arial" w:eastAsia="Calibri" w:hAnsi="Arial" w:cs="Arial"/>
                <w:color w:val="000000" w:themeColor="text1"/>
                <w:sz w:val="18"/>
                <w:szCs w:val="18"/>
                <w:lang w:val="hr-HR"/>
              </w:rPr>
              <w:t>1</w:t>
            </w:r>
          </w:p>
        </w:tc>
        <w:tc>
          <w:tcPr>
            <w:tcW w:w="1090" w:type="dxa"/>
            <w:shd w:val="clear" w:color="auto" w:fill="auto"/>
            <w:vAlign w:val="bottom"/>
          </w:tcPr>
          <w:p w14:paraId="6F91334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shd w:val="clear" w:color="auto" w:fill="auto"/>
            <w:vAlign w:val="bottom"/>
          </w:tcPr>
          <w:p w14:paraId="3069F10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shd w:val="clear" w:color="auto" w:fill="auto"/>
            <w:vAlign w:val="bottom"/>
          </w:tcPr>
          <w:p w14:paraId="6B5094A6"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shd w:val="clear" w:color="auto" w:fill="auto"/>
            <w:vAlign w:val="bottom"/>
          </w:tcPr>
          <w:p w14:paraId="0D638EDB" w14:textId="77777777" w:rsidR="004E2F51" w:rsidRPr="001B015B" w:rsidRDefault="004E2F51" w:rsidP="00E032FC">
            <w:pPr>
              <w:jc w:val="right"/>
              <w:rPr>
                <w:rFonts w:ascii="Arial" w:eastAsia="Calibri" w:hAnsi="Arial" w:cs="Arial"/>
                <w:color w:val="000000" w:themeColor="text1"/>
                <w:sz w:val="18"/>
                <w:szCs w:val="18"/>
                <w:lang w:val="hr-HR"/>
              </w:rPr>
            </w:pPr>
            <w:r w:rsidRPr="00852BF5">
              <w:rPr>
                <w:rFonts w:ascii="Arial" w:eastAsia="Calibri" w:hAnsi="Arial" w:cs="Arial"/>
                <w:color w:val="000000" w:themeColor="text1"/>
                <w:sz w:val="18"/>
                <w:szCs w:val="18"/>
                <w:lang w:val="hr-HR"/>
              </w:rPr>
              <w:t>1</w:t>
            </w:r>
          </w:p>
        </w:tc>
      </w:tr>
      <w:tr w:rsidR="004E2F51" w:rsidRPr="001B015B" w14:paraId="70F4D874" w14:textId="77777777" w:rsidTr="00E032FC">
        <w:trPr>
          <w:trHeight w:val="164"/>
        </w:trPr>
        <w:tc>
          <w:tcPr>
            <w:tcW w:w="3931" w:type="dxa"/>
            <w:tcBorders>
              <w:top w:val="nil"/>
              <w:left w:val="nil"/>
              <w:bottom w:val="nil"/>
              <w:right w:val="nil"/>
            </w:tcBorders>
            <w:shd w:val="clear" w:color="auto" w:fill="auto"/>
            <w:hideMark/>
          </w:tcPr>
          <w:p w14:paraId="330AE649"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0" w:type="dxa"/>
            <w:tcBorders>
              <w:top w:val="nil"/>
              <w:left w:val="nil"/>
              <w:right w:val="nil"/>
            </w:tcBorders>
            <w:shd w:val="clear" w:color="auto" w:fill="auto"/>
            <w:vAlign w:val="bottom"/>
          </w:tcPr>
          <w:p w14:paraId="44314B52"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3223699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1396E02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1E21521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7F581399"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r>
      <w:tr w:rsidR="004E2F51" w:rsidRPr="001B015B" w14:paraId="6E36DC66" w14:textId="77777777" w:rsidTr="00E032FC">
        <w:trPr>
          <w:trHeight w:val="164"/>
        </w:trPr>
        <w:tc>
          <w:tcPr>
            <w:tcW w:w="3931" w:type="dxa"/>
            <w:tcBorders>
              <w:top w:val="nil"/>
              <w:left w:val="nil"/>
              <w:bottom w:val="nil"/>
              <w:right w:val="nil"/>
            </w:tcBorders>
            <w:shd w:val="clear" w:color="auto" w:fill="auto"/>
          </w:tcPr>
          <w:p w14:paraId="7C20CE5A"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0" w:type="dxa"/>
            <w:tcBorders>
              <w:top w:val="nil"/>
              <w:left w:val="nil"/>
              <w:right w:val="nil"/>
            </w:tcBorders>
            <w:shd w:val="clear" w:color="auto" w:fill="auto"/>
            <w:vAlign w:val="bottom"/>
          </w:tcPr>
          <w:p w14:paraId="11994869"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407BA56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628568A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330C179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71F20F03"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r>
      <w:tr w:rsidR="004E2F51" w:rsidRPr="001B015B" w14:paraId="7BAE79A8" w14:textId="77777777" w:rsidTr="00E032FC">
        <w:trPr>
          <w:trHeight w:val="164"/>
        </w:trPr>
        <w:tc>
          <w:tcPr>
            <w:tcW w:w="3931" w:type="dxa"/>
            <w:tcBorders>
              <w:top w:val="nil"/>
              <w:left w:val="nil"/>
              <w:bottom w:val="nil"/>
              <w:right w:val="nil"/>
            </w:tcBorders>
            <w:shd w:val="clear" w:color="auto" w:fill="auto"/>
          </w:tcPr>
          <w:p w14:paraId="49B22E10"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0" w:type="dxa"/>
            <w:tcBorders>
              <w:top w:val="nil"/>
              <w:left w:val="nil"/>
              <w:right w:val="nil"/>
            </w:tcBorders>
            <w:shd w:val="clear" w:color="auto" w:fill="auto"/>
            <w:vAlign w:val="bottom"/>
          </w:tcPr>
          <w:p w14:paraId="539E0323"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6FEB420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2F522C5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7E7AE46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4B9A5B54"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w:t>
            </w:r>
          </w:p>
        </w:tc>
      </w:tr>
      <w:tr w:rsidR="004E2F51" w:rsidRPr="001B015B" w14:paraId="67D3BBE5" w14:textId="77777777" w:rsidTr="00E032FC">
        <w:trPr>
          <w:trHeight w:val="204"/>
        </w:trPr>
        <w:tc>
          <w:tcPr>
            <w:tcW w:w="3931" w:type="dxa"/>
            <w:tcBorders>
              <w:top w:val="nil"/>
              <w:left w:val="nil"/>
              <w:bottom w:val="nil"/>
              <w:right w:val="nil"/>
            </w:tcBorders>
            <w:shd w:val="clear" w:color="auto" w:fill="auto"/>
            <w:vAlign w:val="center"/>
            <w:hideMark/>
          </w:tcPr>
          <w:p w14:paraId="6F7E218F"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852BF5">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90" w:type="dxa"/>
            <w:shd w:val="clear" w:color="auto" w:fill="auto"/>
            <w:vAlign w:val="bottom"/>
          </w:tcPr>
          <w:p w14:paraId="54DA4AC8" w14:textId="77777777" w:rsidR="004E2F51" w:rsidRPr="001B015B" w:rsidRDefault="004E2F51" w:rsidP="00E032FC">
            <w:pPr>
              <w:jc w:val="right"/>
              <w:rPr>
                <w:rFonts w:ascii="Arial" w:eastAsia="Calibri" w:hAnsi="Arial" w:cs="Arial"/>
                <w:color w:val="000000" w:themeColor="text1"/>
                <w:sz w:val="18"/>
                <w:szCs w:val="18"/>
                <w:lang w:val="hr-HR"/>
              </w:rPr>
            </w:pPr>
            <w:r w:rsidRPr="00852BF5">
              <w:rPr>
                <w:rFonts w:ascii="Arial" w:eastAsia="Calibri" w:hAnsi="Arial" w:cs="Arial"/>
                <w:color w:val="000000" w:themeColor="text1"/>
                <w:sz w:val="18"/>
                <w:szCs w:val="18"/>
                <w:lang w:val="hr-HR"/>
              </w:rPr>
              <w:t>(2)</w:t>
            </w:r>
          </w:p>
        </w:tc>
        <w:tc>
          <w:tcPr>
            <w:tcW w:w="1090" w:type="dxa"/>
            <w:tcBorders>
              <w:top w:val="nil"/>
              <w:left w:val="nil"/>
              <w:right w:val="nil"/>
            </w:tcBorders>
            <w:shd w:val="clear" w:color="auto" w:fill="auto"/>
            <w:vAlign w:val="bottom"/>
          </w:tcPr>
          <w:p w14:paraId="5573C0C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54B7A89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24CBDDA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shd w:val="clear" w:color="auto" w:fill="auto"/>
            <w:vAlign w:val="bottom"/>
          </w:tcPr>
          <w:p w14:paraId="3C035B56" w14:textId="77777777" w:rsidR="004E2F51" w:rsidRPr="001B015B" w:rsidRDefault="004E2F51" w:rsidP="00E032FC">
            <w:pPr>
              <w:jc w:val="right"/>
              <w:rPr>
                <w:rFonts w:ascii="Arial" w:eastAsia="Calibri" w:hAnsi="Arial" w:cs="Arial"/>
                <w:color w:val="000000" w:themeColor="text1"/>
                <w:sz w:val="18"/>
                <w:szCs w:val="18"/>
                <w:lang w:val="hr-HR"/>
              </w:rPr>
            </w:pPr>
            <w:r w:rsidRPr="00852BF5">
              <w:rPr>
                <w:rFonts w:ascii="Arial" w:eastAsia="Calibri" w:hAnsi="Arial" w:cs="Arial"/>
                <w:color w:val="000000" w:themeColor="text1"/>
                <w:sz w:val="18"/>
                <w:szCs w:val="18"/>
                <w:lang w:val="hr-HR"/>
              </w:rPr>
              <w:t>(2)</w:t>
            </w:r>
          </w:p>
        </w:tc>
      </w:tr>
      <w:tr w:rsidR="004E2F51" w:rsidRPr="001B015B" w14:paraId="4C907ED0" w14:textId="77777777" w:rsidTr="00E032FC">
        <w:trPr>
          <w:trHeight w:val="172"/>
        </w:trPr>
        <w:tc>
          <w:tcPr>
            <w:tcW w:w="3931" w:type="dxa"/>
            <w:tcBorders>
              <w:top w:val="nil"/>
              <w:left w:val="nil"/>
              <w:bottom w:val="nil"/>
              <w:right w:val="nil"/>
            </w:tcBorders>
            <w:shd w:val="clear" w:color="auto" w:fill="auto"/>
            <w:vAlign w:val="center"/>
            <w:hideMark/>
          </w:tcPr>
          <w:p w14:paraId="40DC2F3C"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90" w:type="dxa"/>
            <w:tcBorders>
              <w:top w:val="nil"/>
              <w:left w:val="nil"/>
              <w:bottom w:val="single" w:sz="4" w:space="0" w:color="auto"/>
              <w:right w:val="nil"/>
            </w:tcBorders>
            <w:shd w:val="clear" w:color="auto" w:fill="auto"/>
            <w:vAlign w:val="bottom"/>
          </w:tcPr>
          <w:p w14:paraId="5A0CF1FA"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2</w:t>
            </w:r>
          </w:p>
        </w:tc>
        <w:tc>
          <w:tcPr>
            <w:tcW w:w="1090" w:type="dxa"/>
            <w:tcBorders>
              <w:top w:val="nil"/>
              <w:left w:val="nil"/>
              <w:bottom w:val="single" w:sz="4" w:space="0" w:color="auto"/>
              <w:right w:val="nil"/>
            </w:tcBorders>
            <w:shd w:val="clear" w:color="auto" w:fill="auto"/>
            <w:vAlign w:val="bottom"/>
          </w:tcPr>
          <w:p w14:paraId="3DABF43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bottom w:val="single" w:sz="4" w:space="0" w:color="auto"/>
              <w:right w:val="nil"/>
            </w:tcBorders>
            <w:shd w:val="clear" w:color="auto" w:fill="auto"/>
            <w:vAlign w:val="bottom"/>
          </w:tcPr>
          <w:p w14:paraId="08C4A72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bottom w:val="single" w:sz="4" w:space="0" w:color="auto"/>
              <w:right w:val="nil"/>
            </w:tcBorders>
            <w:shd w:val="clear" w:color="auto" w:fill="auto"/>
            <w:vAlign w:val="bottom"/>
          </w:tcPr>
          <w:p w14:paraId="7B4CDCA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bottom w:val="single" w:sz="4" w:space="0" w:color="auto"/>
              <w:right w:val="nil"/>
            </w:tcBorders>
            <w:shd w:val="clear" w:color="auto" w:fill="auto"/>
            <w:vAlign w:val="bottom"/>
          </w:tcPr>
          <w:p w14:paraId="4EB9E4EF" w14:textId="77777777" w:rsidR="004E2F51" w:rsidRPr="001B015B" w:rsidRDefault="004E2F51" w:rsidP="00E032FC">
            <w:pPr>
              <w:jc w:val="right"/>
              <w:rPr>
                <w:rFonts w:ascii="Arial" w:eastAsia="Calibri" w:hAnsi="Arial" w:cs="Arial"/>
                <w:color w:val="000000" w:themeColor="text1"/>
                <w:sz w:val="18"/>
                <w:szCs w:val="18"/>
                <w:lang w:val="hr-HR"/>
              </w:rPr>
            </w:pPr>
            <w:r>
              <w:rPr>
                <w:rFonts w:ascii="Arial" w:eastAsia="Calibri" w:hAnsi="Arial" w:cs="Arial"/>
                <w:color w:val="000000" w:themeColor="text1"/>
                <w:sz w:val="18"/>
                <w:szCs w:val="18"/>
                <w:lang w:val="hr-HR"/>
              </w:rPr>
              <w:t>2</w:t>
            </w:r>
          </w:p>
        </w:tc>
      </w:tr>
      <w:tr w:rsidR="004E2F51" w:rsidRPr="001B015B" w14:paraId="5E006132" w14:textId="77777777" w:rsidTr="00E032FC">
        <w:trPr>
          <w:trHeight w:val="172"/>
        </w:trPr>
        <w:tc>
          <w:tcPr>
            <w:tcW w:w="3931" w:type="dxa"/>
            <w:tcBorders>
              <w:top w:val="nil"/>
              <w:left w:val="nil"/>
              <w:bottom w:val="nil"/>
              <w:right w:val="nil"/>
            </w:tcBorders>
            <w:shd w:val="clear" w:color="auto" w:fill="auto"/>
            <w:vAlign w:val="bottom"/>
            <w:hideMark/>
          </w:tcPr>
          <w:p w14:paraId="5E5DD12B"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090" w:type="dxa"/>
            <w:tcBorders>
              <w:top w:val="single" w:sz="4" w:space="0" w:color="auto"/>
              <w:left w:val="nil"/>
              <w:bottom w:val="single" w:sz="12" w:space="0" w:color="auto"/>
              <w:right w:val="nil"/>
            </w:tcBorders>
            <w:shd w:val="clear" w:color="auto" w:fill="auto"/>
            <w:vAlign w:val="bottom"/>
          </w:tcPr>
          <w:p w14:paraId="502E5622" w14:textId="77777777" w:rsidR="004E2F51" w:rsidRPr="001B015B" w:rsidRDefault="004E2F51" w:rsidP="00E032FC">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w:t>
            </w:r>
          </w:p>
        </w:tc>
        <w:tc>
          <w:tcPr>
            <w:tcW w:w="1090" w:type="dxa"/>
            <w:tcBorders>
              <w:top w:val="single" w:sz="4" w:space="0" w:color="auto"/>
              <w:left w:val="nil"/>
              <w:bottom w:val="single" w:sz="12" w:space="0" w:color="auto"/>
              <w:right w:val="nil"/>
            </w:tcBorders>
            <w:shd w:val="clear" w:color="auto" w:fill="auto"/>
          </w:tcPr>
          <w:p w14:paraId="1CAB2554"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sz w:val="18"/>
                <w:szCs w:val="18"/>
              </w:rPr>
              <w:t>-</w:t>
            </w:r>
          </w:p>
        </w:tc>
        <w:tc>
          <w:tcPr>
            <w:tcW w:w="1090" w:type="dxa"/>
            <w:tcBorders>
              <w:top w:val="single" w:sz="4" w:space="0" w:color="auto"/>
              <w:left w:val="nil"/>
              <w:bottom w:val="single" w:sz="12" w:space="0" w:color="auto"/>
              <w:right w:val="nil"/>
            </w:tcBorders>
            <w:shd w:val="clear" w:color="auto" w:fill="auto"/>
          </w:tcPr>
          <w:p w14:paraId="6CC3CC39"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sz w:val="18"/>
                <w:szCs w:val="18"/>
              </w:rPr>
              <w:t>-</w:t>
            </w:r>
          </w:p>
        </w:tc>
        <w:tc>
          <w:tcPr>
            <w:tcW w:w="1090" w:type="dxa"/>
            <w:tcBorders>
              <w:top w:val="single" w:sz="4" w:space="0" w:color="auto"/>
              <w:left w:val="nil"/>
              <w:bottom w:val="single" w:sz="12" w:space="0" w:color="auto"/>
              <w:right w:val="nil"/>
            </w:tcBorders>
            <w:shd w:val="clear" w:color="auto" w:fill="auto"/>
          </w:tcPr>
          <w:p w14:paraId="2E7E9634"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sz w:val="18"/>
                <w:szCs w:val="18"/>
              </w:rPr>
              <w:t>-</w:t>
            </w:r>
          </w:p>
        </w:tc>
        <w:tc>
          <w:tcPr>
            <w:tcW w:w="1090" w:type="dxa"/>
            <w:tcBorders>
              <w:top w:val="single" w:sz="4" w:space="0" w:color="auto"/>
              <w:left w:val="nil"/>
              <w:bottom w:val="single" w:sz="12" w:space="0" w:color="auto"/>
              <w:right w:val="nil"/>
            </w:tcBorders>
            <w:shd w:val="clear" w:color="auto" w:fill="auto"/>
            <w:vAlign w:val="bottom"/>
          </w:tcPr>
          <w:p w14:paraId="49550728" w14:textId="77777777" w:rsidR="004E2F51" w:rsidRPr="001B015B" w:rsidRDefault="004E2F51" w:rsidP="00E032FC">
            <w:pPr>
              <w:jc w:val="right"/>
              <w:rPr>
                <w:rFonts w:ascii="Arial" w:eastAsia="Calibri" w:hAnsi="Arial" w:cs="Arial"/>
                <w:b/>
                <w:bCs/>
                <w:color w:val="000000" w:themeColor="text1"/>
                <w:sz w:val="18"/>
                <w:szCs w:val="18"/>
                <w:lang w:val="hr-HR"/>
              </w:rPr>
            </w:pPr>
            <w:r>
              <w:rPr>
                <w:rFonts w:ascii="Arial" w:eastAsia="Calibri" w:hAnsi="Arial" w:cs="Arial"/>
                <w:b/>
                <w:bCs/>
                <w:color w:val="000000" w:themeColor="text1"/>
                <w:sz w:val="18"/>
                <w:szCs w:val="18"/>
                <w:lang w:val="hr-HR"/>
              </w:rPr>
              <w:t>1</w:t>
            </w:r>
          </w:p>
        </w:tc>
      </w:tr>
      <w:bookmarkEnd w:id="1646"/>
    </w:tbl>
    <w:p w14:paraId="4F9DA8EF" w14:textId="77777777" w:rsidR="004E2F51" w:rsidRPr="001B015B" w:rsidRDefault="004E2F51" w:rsidP="004E2F51">
      <w:pPr>
        <w:rPr>
          <w:rFonts w:ascii="Arial" w:eastAsia="Calibri" w:hAnsi="Arial" w:cs="Arial"/>
          <w:color w:val="000000" w:themeColor="text1"/>
          <w:sz w:val="20"/>
          <w:szCs w:val="20"/>
          <w:lang w:val="hr-HR"/>
        </w:rPr>
      </w:pPr>
    </w:p>
    <w:p w14:paraId="6E66B6A2" w14:textId="77777777" w:rsidR="004E2F51" w:rsidRPr="001B015B" w:rsidRDefault="004E2F51" w:rsidP="004E2F51">
      <w:pPr>
        <w:rPr>
          <w:rFonts w:ascii="Arial" w:eastAsia="Calibri" w:hAnsi="Arial" w:cs="Arial"/>
          <w:color w:val="000000" w:themeColor="text1"/>
          <w:sz w:val="20"/>
          <w:szCs w:val="20"/>
          <w:lang w:val="hr-HR"/>
        </w:rPr>
      </w:pPr>
    </w:p>
    <w:p w14:paraId="75794E93" w14:textId="77777777" w:rsidR="004E2F51" w:rsidRPr="001B015B" w:rsidRDefault="004E2F51" w:rsidP="004E2F51">
      <w:pPr>
        <w:rPr>
          <w:rFonts w:ascii="Arial" w:eastAsia="Calibri" w:hAnsi="Arial" w:cs="Arial"/>
          <w:color w:val="000000" w:themeColor="text1"/>
          <w:sz w:val="20"/>
          <w:szCs w:val="20"/>
          <w:lang w:val="hr-HR"/>
        </w:rPr>
      </w:pPr>
    </w:p>
    <w:tbl>
      <w:tblPr>
        <w:tblW w:w="9381" w:type="dxa"/>
        <w:tblInd w:w="-142" w:type="dxa"/>
        <w:tblLook w:val="04A0" w:firstRow="1" w:lastRow="0" w:firstColumn="1" w:lastColumn="0" w:noHBand="0" w:noVBand="1"/>
      </w:tblPr>
      <w:tblGrid>
        <w:gridCol w:w="3931"/>
        <w:gridCol w:w="1090"/>
        <w:gridCol w:w="1090"/>
        <w:gridCol w:w="1090"/>
        <w:gridCol w:w="1090"/>
        <w:gridCol w:w="1090"/>
      </w:tblGrid>
      <w:tr w:rsidR="004E2F51" w:rsidRPr="001B015B" w14:paraId="73779192" w14:textId="77777777" w:rsidTr="00E032FC">
        <w:trPr>
          <w:trHeight w:val="164"/>
        </w:trPr>
        <w:tc>
          <w:tcPr>
            <w:tcW w:w="3931" w:type="dxa"/>
            <w:tcBorders>
              <w:top w:val="nil"/>
              <w:left w:val="nil"/>
              <w:bottom w:val="nil"/>
              <w:right w:val="nil"/>
            </w:tcBorders>
            <w:shd w:val="clear" w:color="auto" w:fill="auto"/>
            <w:vAlign w:val="center"/>
          </w:tcPr>
          <w:p w14:paraId="49C842A1"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Banka</w:t>
            </w:r>
          </w:p>
        </w:tc>
        <w:tc>
          <w:tcPr>
            <w:tcW w:w="1090" w:type="dxa"/>
            <w:tcBorders>
              <w:top w:val="nil"/>
              <w:left w:val="nil"/>
              <w:bottom w:val="nil"/>
              <w:right w:val="nil"/>
            </w:tcBorders>
            <w:shd w:val="clear" w:color="auto" w:fill="auto"/>
            <w:vAlign w:val="center"/>
          </w:tcPr>
          <w:p w14:paraId="22B1039D"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7BE471CD"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05EEC887"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348F8AAE"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01C8126D" w14:textId="2A80F03D"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0B7117B1" w14:textId="77777777" w:rsidTr="00E032FC">
        <w:trPr>
          <w:trHeight w:val="164"/>
        </w:trPr>
        <w:tc>
          <w:tcPr>
            <w:tcW w:w="3931" w:type="dxa"/>
            <w:tcBorders>
              <w:top w:val="nil"/>
              <w:left w:val="nil"/>
              <w:bottom w:val="nil"/>
              <w:right w:val="nil"/>
            </w:tcBorders>
            <w:shd w:val="clear" w:color="auto" w:fill="auto"/>
            <w:vAlign w:val="center"/>
            <w:hideMark/>
          </w:tcPr>
          <w:p w14:paraId="4D18942A"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2021.</w:t>
            </w:r>
          </w:p>
        </w:tc>
        <w:tc>
          <w:tcPr>
            <w:tcW w:w="1090" w:type="dxa"/>
            <w:tcBorders>
              <w:top w:val="nil"/>
              <w:left w:val="nil"/>
              <w:bottom w:val="nil"/>
              <w:right w:val="nil"/>
            </w:tcBorders>
            <w:shd w:val="clear" w:color="auto" w:fill="auto"/>
            <w:vAlign w:val="center"/>
            <w:hideMark/>
          </w:tcPr>
          <w:p w14:paraId="42F8DF0E"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90" w:type="dxa"/>
            <w:tcBorders>
              <w:top w:val="nil"/>
              <w:left w:val="nil"/>
              <w:bottom w:val="nil"/>
              <w:right w:val="nil"/>
            </w:tcBorders>
            <w:shd w:val="clear" w:color="auto" w:fill="auto"/>
            <w:vAlign w:val="center"/>
            <w:hideMark/>
          </w:tcPr>
          <w:p w14:paraId="60920715"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90" w:type="dxa"/>
            <w:tcBorders>
              <w:top w:val="nil"/>
              <w:left w:val="nil"/>
              <w:bottom w:val="nil"/>
              <w:right w:val="nil"/>
            </w:tcBorders>
            <w:shd w:val="clear" w:color="auto" w:fill="auto"/>
            <w:vAlign w:val="center"/>
            <w:hideMark/>
          </w:tcPr>
          <w:p w14:paraId="5D269927"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90" w:type="dxa"/>
            <w:tcBorders>
              <w:top w:val="nil"/>
              <w:left w:val="nil"/>
              <w:bottom w:val="nil"/>
              <w:right w:val="nil"/>
            </w:tcBorders>
            <w:shd w:val="clear" w:color="auto" w:fill="auto"/>
            <w:vAlign w:val="center"/>
            <w:hideMark/>
          </w:tcPr>
          <w:p w14:paraId="2CCE55EB"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0" w:type="dxa"/>
            <w:tcBorders>
              <w:top w:val="nil"/>
              <w:left w:val="nil"/>
              <w:bottom w:val="nil"/>
              <w:right w:val="nil"/>
            </w:tcBorders>
            <w:shd w:val="clear" w:color="auto" w:fill="auto"/>
            <w:vAlign w:val="center"/>
            <w:hideMark/>
          </w:tcPr>
          <w:p w14:paraId="02C2EFAB"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26C33138" w14:textId="77777777" w:rsidTr="00E032FC">
        <w:trPr>
          <w:trHeight w:val="164"/>
        </w:trPr>
        <w:tc>
          <w:tcPr>
            <w:tcW w:w="3931" w:type="dxa"/>
            <w:tcBorders>
              <w:top w:val="nil"/>
              <w:left w:val="nil"/>
              <w:bottom w:val="nil"/>
              <w:right w:val="nil"/>
            </w:tcBorders>
            <w:shd w:val="clear" w:color="auto" w:fill="auto"/>
            <w:vAlign w:val="center"/>
            <w:hideMark/>
          </w:tcPr>
          <w:p w14:paraId="0CA686FF"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hideMark/>
          </w:tcPr>
          <w:p w14:paraId="6B9596C1"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0" w:type="dxa"/>
            <w:tcBorders>
              <w:top w:val="nil"/>
              <w:left w:val="nil"/>
              <w:bottom w:val="nil"/>
              <w:right w:val="nil"/>
            </w:tcBorders>
            <w:shd w:val="clear" w:color="auto" w:fill="auto"/>
            <w:vAlign w:val="center"/>
            <w:hideMark/>
          </w:tcPr>
          <w:p w14:paraId="64C5488D"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0" w:type="dxa"/>
            <w:tcBorders>
              <w:top w:val="nil"/>
              <w:left w:val="nil"/>
              <w:bottom w:val="nil"/>
              <w:right w:val="nil"/>
            </w:tcBorders>
            <w:shd w:val="clear" w:color="auto" w:fill="auto"/>
            <w:vAlign w:val="center"/>
            <w:hideMark/>
          </w:tcPr>
          <w:p w14:paraId="7F7D2575"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0" w:type="dxa"/>
            <w:tcBorders>
              <w:top w:val="nil"/>
              <w:left w:val="nil"/>
              <w:bottom w:val="nil"/>
              <w:right w:val="nil"/>
            </w:tcBorders>
            <w:shd w:val="clear" w:color="auto" w:fill="auto"/>
            <w:vAlign w:val="center"/>
            <w:hideMark/>
          </w:tcPr>
          <w:p w14:paraId="7F12EA58"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0" w:type="dxa"/>
            <w:tcBorders>
              <w:top w:val="nil"/>
              <w:left w:val="nil"/>
              <w:bottom w:val="nil"/>
              <w:right w:val="nil"/>
            </w:tcBorders>
            <w:shd w:val="clear" w:color="auto" w:fill="auto"/>
            <w:vAlign w:val="center"/>
            <w:hideMark/>
          </w:tcPr>
          <w:p w14:paraId="13B52117"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12F934DC" w14:textId="77777777" w:rsidTr="00E032FC">
        <w:trPr>
          <w:trHeight w:val="164"/>
        </w:trPr>
        <w:tc>
          <w:tcPr>
            <w:tcW w:w="3931" w:type="dxa"/>
            <w:tcBorders>
              <w:top w:val="nil"/>
              <w:left w:val="nil"/>
              <w:bottom w:val="nil"/>
              <w:right w:val="nil"/>
            </w:tcBorders>
            <w:shd w:val="clear" w:color="auto" w:fill="auto"/>
            <w:vAlign w:val="center"/>
          </w:tcPr>
          <w:p w14:paraId="2943FE39"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307C921F"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35FE78B1"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7E68F870"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1C0FCE3C"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0" w:type="dxa"/>
            <w:tcBorders>
              <w:top w:val="nil"/>
              <w:left w:val="nil"/>
              <w:bottom w:val="nil"/>
              <w:right w:val="nil"/>
            </w:tcBorders>
            <w:shd w:val="clear" w:color="auto" w:fill="auto"/>
            <w:vAlign w:val="center"/>
          </w:tcPr>
          <w:p w14:paraId="25679CDB"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3B6EBD80" w14:textId="77777777" w:rsidTr="00E032FC">
        <w:trPr>
          <w:trHeight w:val="164"/>
        </w:trPr>
        <w:tc>
          <w:tcPr>
            <w:tcW w:w="3931" w:type="dxa"/>
            <w:tcBorders>
              <w:top w:val="nil"/>
              <w:left w:val="nil"/>
              <w:bottom w:val="nil"/>
              <w:right w:val="nil"/>
            </w:tcBorders>
            <w:shd w:val="clear" w:color="auto" w:fill="auto"/>
            <w:vAlign w:val="center"/>
            <w:hideMark/>
          </w:tcPr>
          <w:p w14:paraId="7D6D9158"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Stanje 1. siječnja 2021. </w:t>
            </w:r>
          </w:p>
        </w:tc>
        <w:tc>
          <w:tcPr>
            <w:tcW w:w="1090" w:type="dxa"/>
            <w:shd w:val="clear" w:color="auto" w:fill="auto"/>
            <w:vAlign w:val="bottom"/>
          </w:tcPr>
          <w:p w14:paraId="6F6DCA5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1</w:t>
            </w:r>
          </w:p>
        </w:tc>
        <w:tc>
          <w:tcPr>
            <w:tcW w:w="1090" w:type="dxa"/>
            <w:shd w:val="clear" w:color="auto" w:fill="auto"/>
            <w:vAlign w:val="bottom"/>
          </w:tcPr>
          <w:p w14:paraId="61F9331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shd w:val="clear" w:color="auto" w:fill="auto"/>
            <w:vAlign w:val="bottom"/>
          </w:tcPr>
          <w:p w14:paraId="302ADDF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shd w:val="clear" w:color="auto" w:fill="auto"/>
            <w:vAlign w:val="bottom"/>
          </w:tcPr>
          <w:p w14:paraId="77912A6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shd w:val="clear" w:color="auto" w:fill="auto"/>
            <w:vAlign w:val="bottom"/>
          </w:tcPr>
          <w:p w14:paraId="1715D3E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1</w:t>
            </w:r>
          </w:p>
        </w:tc>
      </w:tr>
      <w:tr w:rsidR="004E2F51" w:rsidRPr="001B015B" w14:paraId="6210CB21" w14:textId="77777777" w:rsidTr="00E032FC">
        <w:trPr>
          <w:trHeight w:val="164"/>
        </w:trPr>
        <w:tc>
          <w:tcPr>
            <w:tcW w:w="3931" w:type="dxa"/>
            <w:tcBorders>
              <w:top w:val="nil"/>
              <w:left w:val="nil"/>
              <w:bottom w:val="nil"/>
              <w:right w:val="nil"/>
            </w:tcBorders>
            <w:shd w:val="clear" w:color="auto" w:fill="auto"/>
            <w:hideMark/>
          </w:tcPr>
          <w:p w14:paraId="2268B204"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90" w:type="dxa"/>
            <w:tcBorders>
              <w:top w:val="nil"/>
              <w:left w:val="nil"/>
              <w:right w:val="nil"/>
            </w:tcBorders>
            <w:shd w:val="clear" w:color="auto" w:fill="auto"/>
            <w:vAlign w:val="bottom"/>
          </w:tcPr>
          <w:p w14:paraId="2582071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0857BE3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29287C2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112EAA0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463E60B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r>
      <w:tr w:rsidR="004E2F51" w:rsidRPr="001B015B" w14:paraId="28F2E0FF" w14:textId="77777777" w:rsidTr="00E032FC">
        <w:trPr>
          <w:trHeight w:val="164"/>
        </w:trPr>
        <w:tc>
          <w:tcPr>
            <w:tcW w:w="3931" w:type="dxa"/>
            <w:tcBorders>
              <w:top w:val="nil"/>
              <w:left w:val="nil"/>
              <w:bottom w:val="nil"/>
              <w:right w:val="nil"/>
            </w:tcBorders>
            <w:shd w:val="clear" w:color="auto" w:fill="auto"/>
          </w:tcPr>
          <w:p w14:paraId="394DA6DA"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90" w:type="dxa"/>
            <w:tcBorders>
              <w:top w:val="nil"/>
              <w:left w:val="nil"/>
              <w:right w:val="nil"/>
            </w:tcBorders>
            <w:shd w:val="clear" w:color="auto" w:fill="auto"/>
            <w:vAlign w:val="bottom"/>
          </w:tcPr>
          <w:p w14:paraId="7306C85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663FC46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375FBDA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6EFB75A6"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3FDD542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r>
      <w:tr w:rsidR="004E2F51" w:rsidRPr="001B015B" w14:paraId="6134AC17" w14:textId="77777777" w:rsidTr="00E032FC">
        <w:trPr>
          <w:trHeight w:val="164"/>
        </w:trPr>
        <w:tc>
          <w:tcPr>
            <w:tcW w:w="3931" w:type="dxa"/>
            <w:tcBorders>
              <w:top w:val="nil"/>
              <w:left w:val="nil"/>
              <w:bottom w:val="nil"/>
              <w:right w:val="nil"/>
            </w:tcBorders>
            <w:shd w:val="clear" w:color="auto" w:fill="auto"/>
          </w:tcPr>
          <w:p w14:paraId="08AE5548"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90" w:type="dxa"/>
            <w:tcBorders>
              <w:top w:val="nil"/>
              <w:left w:val="nil"/>
              <w:right w:val="nil"/>
            </w:tcBorders>
            <w:shd w:val="clear" w:color="auto" w:fill="auto"/>
            <w:vAlign w:val="bottom"/>
          </w:tcPr>
          <w:p w14:paraId="230A58F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5F02C85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08CD046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3C2DD55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455ECEE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r>
      <w:tr w:rsidR="004E2F51" w:rsidRPr="001B015B" w14:paraId="1278C1AE" w14:textId="77777777" w:rsidTr="00E032FC">
        <w:trPr>
          <w:trHeight w:val="204"/>
        </w:trPr>
        <w:tc>
          <w:tcPr>
            <w:tcW w:w="3931" w:type="dxa"/>
            <w:tcBorders>
              <w:top w:val="nil"/>
              <w:left w:val="nil"/>
              <w:bottom w:val="nil"/>
              <w:right w:val="nil"/>
            </w:tcBorders>
            <w:shd w:val="clear" w:color="auto" w:fill="auto"/>
            <w:vAlign w:val="center"/>
            <w:hideMark/>
          </w:tcPr>
          <w:p w14:paraId="3CBADA54"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smanjenje rezerviranja za očekivane gubitke </w:t>
            </w:r>
          </w:p>
        </w:tc>
        <w:tc>
          <w:tcPr>
            <w:tcW w:w="1090" w:type="dxa"/>
            <w:shd w:val="clear" w:color="auto" w:fill="auto"/>
            <w:vAlign w:val="bottom"/>
          </w:tcPr>
          <w:p w14:paraId="6756988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(1)</w:t>
            </w:r>
          </w:p>
        </w:tc>
        <w:tc>
          <w:tcPr>
            <w:tcW w:w="1090" w:type="dxa"/>
            <w:tcBorders>
              <w:top w:val="nil"/>
              <w:left w:val="nil"/>
              <w:right w:val="nil"/>
            </w:tcBorders>
            <w:shd w:val="clear" w:color="auto" w:fill="auto"/>
            <w:vAlign w:val="bottom"/>
          </w:tcPr>
          <w:p w14:paraId="0026BFA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699405A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right w:val="nil"/>
            </w:tcBorders>
            <w:shd w:val="clear" w:color="auto" w:fill="auto"/>
            <w:vAlign w:val="bottom"/>
          </w:tcPr>
          <w:p w14:paraId="6EA974D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shd w:val="clear" w:color="auto" w:fill="auto"/>
            <w:vAlign w:val="bottom"/>
          </w:tcPr>
          <w:p w14:paraId="75F3510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(1)</w:t>
            </w:r>
          </w:p>
        </w:tc>
      </w:tr>
      <w:tr w:rsidR="004E2F51" w:rsidRPr="001B015B" w14:paraId="77C15168" w14:textId="77777777" w:rsidTr="00E032FC">
        <w:trPr>
          <w:trHeight w:val="172"/>
        </w:trPr>
        <w:tc>
          <w:tcPr>
            <w:tcW w:w="3931" w:type="dxa"/>
            <w:tcBorders>
              <w:top w:val="nil"/>
              <w:left w:val="nil"/>
              <w:bottom w:val="nil"/>
              <w:right w:val="nil"/>
            </w:tcBorders>
            <w:shd w:val="clear" w:color="auto" w:fill="auto"/>
            <w:vAlign w:val="center"/>
            <w:hideMark/>
          </w:tcPr>
          <w:p w14:paraId="3DAAE9FB"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90" w:type="dxa"/>
            <w:tcBorders>
              <w:top w:val="nil"/>
              <w:left w:val="nil"/>
              <w:bottom w:val="single" w:sz="4" w:space="0" w:color="auto"/>
              <w:right w:val="nil"/>
            </w:tcBorders>
            <w:shd w:val="clear" w:color="auto" w:fill="auto"/>
            <w:vAlign w:val="bottom"/>
          </w:tcPr>
          <w:p w14:paraId="60DF1DB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1</w:t>
            </w:r>
          </w:p>
        </w:tc>
        <w:tc>
          <w:tcPr>
            <w:tcW w:w="1090" w:type="dxa"/>
            <w:tcBorders>
              <w:top w:val="nil"/>
              <w:left w:val="nil"/>
              <w:bottom w:val="single" w:sz="4" w:space="0" w:color="auto"/>
              <w:right w:val="nil"/>
            </w:tcBorders>
            <w:shd w:val="clear" w:color="auto" w:fill="auto"/>
            <w:vAlign w:val="bottom"/>
          </w:tcPr>
          <w:p w14:paraId="6A8500E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bottom w:val="single" w:sz="4" w:space="0" w:color="auto"/>
              <w:right w:val="nil"/>
            </w:tcBorders>
            <w:shd w:val="clear" w:color="auto" w:fill="auto"/>
            <w:vAlign w:val="bottom"/>
          </w:tcPr>
          <w:p w14:paraId="0B7F7F1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bottom w:val="single" w:sz="4" w:space="0" w:color="auto"/>
              <w:right w:val="nil"/>
            </w:tcBorders>
            <w:shd w:val="clear" w:color="auto" w:fill="auto"/>
            <w:vAlign w:val="bottom"/>
          </w:tcPr>
          <w:p w14:paraId="353AAC6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90" w:type="dxa"/>
            <w:tcBorders>
              <w:top w:val="nil"/>
              <w:left w:val="nil"/>
              <w:bottom w:val="single" w:sz="4" w:space="0" w:color="auto"/>
              <w:right w:val="nil"/>
            </w:tcBorders>
            <w:shd w:val="clear" w:color="auto" w:fill="auto"/>
            <w:vAlign w:val="bottom"/>
          </w:tcPr>
          <w:p w14:paraId="26F3F316"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1</w:t>
            </w:r>
          </w:p>
        </w:tc>
      </w:tr>
      <w:tr w:rsidR="004E2F51" w:rsidRPr="001B015B" w14:paraId="147A9C07" w14:textId="77777777" w:rsidTr="00E032FC">
        <w:trPr>
          <w:trHeight w:val="172"/>
        </w:trPr>
        <w:tc>
          <w:tcPr>
            <w:tcW w:w="3931" w:type="dxa"/>
            <w:tcBorders>
              <w:top w:val="nil"/>
              <w:left w:val="nil"/>
              <w:bottom w:val="nil"/>
              <w:right w:val="nil"/>
            </w:tcBorders>
            <w:shd w:val="clear" w:color="auto" w:fill="auto"/>
            <w:vAlign w:val="bottom"/>
            <w:hideMark/>
          </w:tcPr>
          <w:p w14:paraId="4E5CE862"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2021.</w:t>
            </w:r>
          </w:p>
        </w:tc>
        <w:tc>
          <w:tcPr>
            <w:tcW w:w="1090" w:type="dxa"/>
            <w:tcBorders>
              <w:top w:val="single" w:sz="4" w:space="0" w:color="auto"/>
              <w:left w:val="nil"/>
              <w:bottom w:val="single" w:sz="12" w:space="0" w:color="auto"/>
              <w:right w:val="nil"/>
            </w:tcBorders>
            <w:shd w:val="clear" w:color="auto" w:fill="auto"/>
            <w:vAlign w:val="bottom"/>
          </w:tcPr>
          <w:p w14:paraId="5D4BDD21"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1</w:t>
            </w:r>
          </w:p>
        </w:tc>
        <w:tc>
          <w:tcPr>
            <w:tcW w:w="1090" w:type="dxa"/>
            <w:tcBorders>
              <w:top w:val="single" w:sz="4" w:space="0" w:color="auto"/>
              <w:left w:val="nil"/>
              <w:bottom w:val="single" w:sz="12" w:space="0" w:color="auto"/>
              <w:right w:val="nil"/>
            </w:tcBorders>
            <w:shd w:val="clear" w:color="auto" w:fill="auto"/>
          </w:tcPr>
          <w:p w14:paraId="426F198C"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sz w:val="18"/>
                <w:szCs w:val="18"/>
              </w:rPr>
              <w:t>-</w:t>
            </w:r>
          </w:p>
        </w:tc>
        <w:tc>
          <w:tcPr>
            <w:tcW w:w="1090" w:type="dxa"/>
            <w:tcBorders>
              <w:top w:val="single" w:sz="4" w:space="0" w:color="auto"/>
              <w:left w:val="nil"/>
              <w:bottom w:val="single" w:sz="12" w:space="0" w:color="auto"/>
              <w:right w:val="nil"/>
            </w:tcBorders>
            <w:shd w:val="clear" w:color="auto" w:fill="auto"/>
          </w:tcPr>
          <w:p w14:paraId="3B33F28A"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sz w:val="18"/>
                <w:szCs w:val="18"/>
              </w:rPr>
              <w:t>-</w:t>
            </w:r>
          </w:p>
        </w:tc>
        <w:tc>
          <w:tcPr>
            <w:tcW w:w="1090" w:type="dxa"/>
            <w:tcBorders>
              <w:top w:val="single" w:sz="4" w:space="0" w:color="auto"/>
              <w:left w:val="nil"/>
              <w:bottom w:val="single" w:sz="12" w:space="0" w:color="auto"/>
              <w:right w:val="nil"/>
            </w:tcBorders>
            <w:shd w:val="clear" w:color="auto" w:fill="auto"/>
          </w:tcPr>
          <w:p w14:paraId="52EC7A70"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sz w:val="18"/>
                <w:szCs w:val="18"/>
              </w:rPr>
              <w:t>-</w:t>
            </w:r>
          </w:p>
        </w:tc>
        <w:tc>
          <w:tcPr>
            <w:tcW w:w="1090" w:type="dxa"/>
            <w:tcBorders>
              <w:top w:val="single" w:sz="4" w:space="0" w:color="auto"/>
              <w:left w:val="nil"/>
              <w:bottom w:val="single" w:sz="12" w:space="0" w:color="auto"/>
              <w:right w:val="nil"/>
            </w:tcBorders>
            <w:shd w:val="clear" w:color="auto" w:fill="auto"/>
            <w:vAlign w:val="bottom"/>
          </w:tcPr>
          <w:p w14:paraId="55220084"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1</w:t>
            </w:r>
          </w:p>
        </w:tc>
      </w:tr>
    </w:tbl>
    <w:p w14:paraId="3EC06460" w14:textId="77777777" w:rsidR="004E2F51" w:rsidRPr="001B015B" w:rsidRDefault="004E2F51" w:rsidP="004E2F51">
      <w:pPr>
        <w:rPr>
          <w:rFonts w:ascii="Arial" w:eastAsia="Calibri" w:hAnsi="Arial" w:cs="Arial"/>
          <w:color w:val="000000" w:themeColor="text1"/>
          <w:sz w:val="20"/>
          <w:szCs w:val="20"/>
          <w:lang w:val="hr-HR"/>
        </w:rPr>
      </w:pPr>
    </w:p>
    <w:p w14:paraId="75D79AAD" w14:textId="77777777" w:rsidR="004E2F51" w:rsidRPr="001B015B" w:rsidRDefault="004E2F51" w:rsidP="004E2F51">
      <w:pPr>
        <w:rPr>
          <w:rFonts w:ascii="Arial" w:eastAsia="Calibri" w:hAnsi="Arial" w:cs="Arial"/>
          <w:color w:val="000000" w:themeColor="text1"/>
          <w:sz w:val="20"/>
          <w:szCs w:val="20"/>
          <w:lang w:val="hr-HR"/>
        </w:rPr>
        <w:sectPr w:rsidR="004E2F51" w:rsidRPr="001B015B" w:rsidSect="00623DBA">
          <w:footerReference w:type="default" r:id="rId195"/>
          <w:pgSz w:w="11906" w:h="16838"/>
          <w:pgMar w:top="1418" w:right="1134" w:bottom="1134" w:left="1418" w:header="708" w:footer="708" w:gutter="0"/>
          <w:cols w:space="708"/>
          <w:docGrid w:linePitch="360"/>
        </w:sectPr>
      </w:pPr>
    </w:p>
    <w:p w14:paraId="6B55DCF3" w14:textId="77777777" w:rsidR="004E2F51" w:rsidRPr="001B015B" w:rsidRDefault="004E2F51" w:rsidP="004E2F51">
      <w:pPr>
        <w:keepNext/>
        <w:jc w:val="both"/>
        <w:rPr>
          <w:rFonts w:ascii="Arial" w:hAnsi="Arial" w:cs="Arial"/>
          <w:b/>
          <w:bCs/>
          <w:color w:val="000000" w:themeColor="text1"/>
          <w:sz w:val="20"/>
          <w:szCs w:val="20"/>
          <w:lang w:val="hr-HR"/>
        </w:rPr>
      </w:pPr>
    </w:p>
    <w:p w14:paraId="580A4B17"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w:t>
      </w:r>
      <w:r w:rsidRPr="001B015B">
        <w:rPr>
          <w:rFonts w:ascii="Arial" w:hAnsi="Arial" w:cs="Arial"/>
          <w:b/>
          <w:bCs/>
          <w:color w:val="000000" w:themeColor="text1"/>
          <w:sz w:val="20"/>
          <w:szCs w:val="20"/>
          <w:lang w:val="hr-HR"/>
        </w:rPr>
        <w:tab/>
        <w:t>Upravljanje rizicima (nastavak)</w:t>
      </w:r>
    </w:p>
    <w:p w14:paraId="1DEF9217" w14:textId="77777777" w:rsidR="004E2F51" w:rsidRPr="001B015B" w:rsidRDefault="004E2F51" w:rsidP="004E2F51">
      <w:pPr>
        <w:keepNext/>
        <w:jc w:val="both"/>
        <w:rPr>
          <w:rFonts w:ascii="Arial" w:hAnsi="Arial" w:cs="Arial"/>
          <w:b/>
          <w:bCs/>
          <w:color w:val="000000" w:themeColor="text1"/>
          <w:sz w:val="20"/>
          <w:szCs w:val="20"/>
          <w:lang w:val="hr-HR"/>
        </w:rPr>
      </w:pPr>
    </w:p>
    <w:p w14:paraId="0AC442F1"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 xml:space="preserve">.3. </w:t>
      </w:r>
      <w:r w:rsidRPr="001B015B">
        <w:rPr>
          <w:rFonts w:ascii="Arial" w:hAnsi="Arial" w:cs="Arial"/>
          <w:b/>
          <w:bCs/>
          <w:color w:val="000000" w:themeColor="text1"/>
          <w:sz w:val="20"/>
          <w:szCs w:val="20"/>
          <w:lang w:val="hr-HR"/>
        </w:rPr>
        <w:tab/>
        <w:t>Kreditni rizik (nastavak)</w:t>
      </w:r>
    </w:p>
    <w:p w14:paraId="2648CF13" w14:textId="77777777" w:rsidR="004E2F51" w:rsidRPr="001B015B" w:rsidRDefault="004E2F51" w:rsidP="004E2F51">
      <w:pPr>
        <w:keepNext/>
        <w:jc w:val="both"/>
        <w:rPr>
          <w:rFonts w:ascii="Arial" w:hAnsi="Arial" w:cs="Arial"/>
          <w:b/>
          <w:bCs/>
          <w:color w:val="000000" w:themeColor="text1"/>
          <w:sz w:val="20"/>
          <w:szCs w:val="20"/>
          <w:lang w:val="hr-HR"/>
        </w:rPr>
      </w:pPr>
    </w:p>
    <w:p w14:paraId="523CD63B" w14:textId="77777777" w:rsidR="004E2F51" w:rsidRPr="001B015B" w:rsidRDefault="004E2F51" w:rsidP="004E2F51">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02F37678" w14:textId="77777777" w:rsidR="004E2F51" w:rsidRPr="001B015B" w:rsidRDefault="004E2F51" w:rsidP="004E2F51">
      <w:pPr>
        <w:keepNext/>
        <w:jc w:val="both"/>
        <w:rPr>
          <w:rFonts w:ascii="Arial" w:hAnsi="Arial" w:cs="Arial"/>
          <w:b/>
          <w:bCs/>
          <w:color w:val="000000" w:themeColor="text1"/>
          <w:sz w:val="20"/>
          <w:szCs w:val="20"/>
          <w:lang w:val="hr-HR"/>
        </w:rPr>
      </w:pPr>
    </w:p>
    <w:p w14:paraId="511495AF"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Krediti financijskim institucijama</w:t>
      </w:r>
    </w:p>
    <w:p w14:paraId="1DBF4E58" w14:textId="77777777" w:rsidR="004E2F51" w:rsidRPr="001B015B" w:rsidRDefault="004E2F51" w:rsidP="004E2F51">
      <w:pPr>
        <w:keepNext/>
        <w:jc w:val="both"/>
        <w:rPr>
          <w:rFonts w:ascii="Arial" w:hAnsi="Arial" w:cs="Arial"/>
          <w:b/>
          <w:bCs/>
          <w:color w:val="000000" w:themeColor="text1"/>
          <w:sz w:val="20"/>
          <w:szCs w:val="20"/>
          <w:lang w:val="hr-HR"/>
        </w:rPr>
      </w:pPr>
    </w:p>
    <w:tbl>
      <w:tblPr>
        <w:tblW w:w="9369" w:type="dxa"/>
        <w:tblInd w:w="-180" w:type="dxa"/>
        <w:tblLook w:val="04A0" w:firstRow="1" w:lastRow="0" w:firstColumn="1" w:lastColumn="0" w:noHBand="0" w:noVBand="1"/>
      </w:tblPr>
      <w:tblGrid>
        <w:gridCol w:w="3946"/>
        <w:gridCol w:w="1084"/>
        <w:gridCol w:w="1084"/>
        <w:gridCol w:w="1085"/>
        <w:gridCol w:w="1084"/>
        <w:gridCol w:w="1086"/>
      </w:tblGrid>
      <w:tr w:rsidR="004E2F51" w:rsidRPr="001B015B" w14:paraId="07E136CA" w14:textId="77777777" w:rsidTr="00E032FC">
        <w:trPr>
          <w:trHeight w:val="174"/>
        </w:trPr>
        <w:tc>
          <w:tcPr>
            <w:tcW w:w="3946" w:type="dxa"/>
            <w:tcBorders>
              <w:top w:val="nil"/>
              <w:left w:val="nil"/>
              <w:bottom w:val="nil"/>
              <w:right w:val="nil"/>
            </w:tcBorders>
            <w:shd w:val="clear" w:color="auto" w:fill="auto"/>
            <w:vAlign w:val="center"/>
          </w:tcPr>
          <w:p w14:paraId="4F2D426F" w14:textId="77777777" w:rsidR="004E2F51" w:rsidRPr="001B015B" w:rsidRDefault="004E2F51" w:rsidP="00E032FC">
            <w:pPr>
              <w:rPr>
                <w:rFonts w:ascii="Arial" w:eastAsia="Calibri" w:hAnsi="Arial" w:cs="Arial"/>
                <w:b/>
                <w:bCs/>
                <w:color w:val="000000" w:themeColor="text1"/>
                <w:sz w:val="18"/>
                <w:szCs w:val="18"/>
                <w:lang w:val="hr-HR"/>
              </w:rPr>
            </w:pPr>
            <w:bookmarkStart w:id="1647" w:name="_Hlk24387081"/>
            <w:r w:rsidRPr="001B015B">
              <w:rPr>
                <w:rFonts w:ascii="Arial" w:eastAsia="Calibri" w:hAnsi="Arial" w:cs="Arial"/>
                <w:b/>
                <w:bCs/>
                <w:color w:val="000000" w:themeColor="text1"/>
                <w:sz w:val="18"/>
                <w:szCs w:val="18"/>
                <w:lang w:val="hr-HR"/>
              </w:rPr>
              <w:t>Grupa i Banka</w:t>
            </w:r>
          </w:p>
        </w:tc>
        <w:tc>
          <w:tcPr>
            <w:tcW w:w="1084" w:type="dxa"/>
            <w:tcBorders>
              <w:top w:val="nil"/>
              <w:left w:val="nil"/>
              <w:bottom w:val="nil"/>
              <w:right w:val="nil"/>
            </w:tcBorders>
            <w:shd w:val="clear" w:color="auto" w:fill="auto"/>
            <w:vAlign w:val="center"/>
          </w:tcPr>
          <w:p w14:paraId="165A8C92"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2ACF7443"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5" w:type="dxa"/>
            <w:tcBorders>
              <w:top w:val="nil"/>
              <w:left w:val="nil"/>
              <w:bottom w:val="nil"/>
              <w:right w:val="nil"/>
            </w:tcBorders>
            <w:shd w:val="clear" w:color="auto" w:fill="auto"/>
            <w:vAlign w:val="center"/>
          </w:tcPr>
          <w:p w14:paraId="73AC0328"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2902070D"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6" w:type="dxa"/>
            <w:tcBorders>
              <w:top w:val="nil"/>
              <w:left w:val="nil"/>
              <w:bottom w:val="nil"/>
              <w:right w:val="nil"/>
            </w:tcBorders>
            <w:shd w:val="clear" w:color="auto" w:fill="auto"/>
            <w:vAlign w:val="center"/>
          </w:tcPr>
          <w:p w14:paraId="4DD53864"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09BFBDE0" w14:textId="77777777" w:rsidTr="00E032FC">
        <w:trPr>
          <w:trHeight w:val="174"/>
        </w:trPr>
        <w:tc>
          <w:tcPr>
            <w:tcW w:w="3946" w:type="dxa"/>
            <w:tcBorders>
              <w:top w:val="nil"/>
              <w:left w:val="nil"/>
              <w:bottom w:val="nil"/>
              <w:right w:val="nil"/>
            </w:tcBorders>
            <w:shd w:val="clear" w:color="auto" w:fill="auto"/>
            <w:vAlign w:val="center"/>
            <w:hideMark/>
          </w:tcPr>
          <w:p w14:paraId="65FF8A6B"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084" w:type="dxa"/>
            <w:tcBorders>
              <w:top w:val="nil"/>
              <w:left w:val="nil"/>
              <w:bottom w:val="nil"/>
              <w:right w:val="nil"/>
            </w:tcBorders>
            <w:shd w:val="clear" w:color="auto" w:fill="auto"/>
            <w:vAlign w:val="center"/>
            <w:hideMark/>
          </w:tcPr>
          <w:p w14:paraId="176E1D11"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84" w:type="dxa"/>
            <w:tcBorders>
              <w:top w:val="nil"/>
              <w:left w:val="nil"/>
              <w:bottom w:val="nil"/>
              <w:right w:val="nil"/>
            </w:tcBorders>
            <w:shd w:val="clear" w:color="auto" w:fill="auto"/>
            <w:vAlign w:val="center"/>
            <w:hideMark/>
          </w:tcPr>
          <w:p w14:paraId="765DC1C1"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85" w:type="dxa"/>
            <w:tcBorders>
              <w:top w:val="nil"/>
              <w:left w:val="nil"/>
              <w:bottom w:val="nil"/>
              <w:right w:val="nil"/>
            </w:tcBorders>
            <w:shd w:val="clear" w:color="auto" w:fill="auto"/>
            <w:vAlign w:val="center"/>
            <w:hideMark/>
          </w:tcPr>
          <w:p w14:paraId="05DF0C3E"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84" w:type="dxa"/>
            <w:tcBorders>
              <w:top w:val="nil"/>
              <w:left w:val="nil"/>
              <w:bottom w:val="nil"/>
              <w:right w:val="nil"/>
            </w:tcBorders>
            <w:shd w:val="clear" w:color="auto" w:fill="auto"/>
            <w:vAlign w:val="center"/>
            <w:hideMark/>
          </w:tcPr>
          <w:p w14:paraId="58E55534"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86" w:type="dxa"/>
            <w:tcBorders>
              <w:top w:val="nil"/>
              <w:left w:val="nil"/>
              <w:bottom w:val="nil"/>
              <w:right w:val="nil"/>
            </w:tcBorders>
            <w:shd w:val="clear" w:color="auto" w:fill="auto"/>
            <w:vAlign w:val="center"/>
            <w:hideMark/>
          </w:tcPr>
          <w:p w14:paraId="71028BF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25ACE868" w14:textId="77777777" w:rsidTr="00E032FC">
        <w:trPr>
          <w:trHeight w:val="174"/>
        </w:trPr>
        <w:tc>
          <w:tcPr>
            <w:tcW w:w="3946" w:type="dxa"/>
            <w:tcBorders>
              <w:top w:val="nil"/>
              <w:left w:val="nil"/>
              <w:bottom w:val="nil"/>
              <w:right w:val="nil"/>
            </w:tcBorders>
            <w:shd w:val="clear" w:color="auto" w:fill="auto"/>
            <w:vAlign w:val="center"/>
            <w:hideMark/>
          </w:tcPr>
          <w:p w14:paraId="1BE3F0B3"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hideMark/>
          </w:tcPr>
          <w:p w14:paraId="1295D0F5"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84" w:type="dxa"/>
            <w:tcBorders>
              <w:top w:val="nil"/>
              <w:left w:val="nil"/>
              <w:bottom w:val="nil"/>
              <w:right w:val="nil"/>
            </w:tcBorders>
            <w:shd w:val="clear" w:color="auto" w:fill="auto"/>
            <w:vAlign w:val="center"/>
            <w:hideMark/>
          </w:tcPr>
          <w:p w14:paraId="187DF6E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85" w:type="dxa"/>
            <w:tcBorders>
              <w:top w:val="nil"/>
              <w:left w:val="nil"/>
              <w:bottom w:val="nil"/>
              <w:right w:val="nil"/>
            </w:tcBorders>
            <w:shd w:val="clear" w:color="auto" w:fill="auto"/>
            <w:vAlign w:val="center"/>
            <w:hideMark/>
          </w:tcPr>
          <w:p w14:paraId="33751890"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84" w:type="dxa"/>
            <w:tcBorders>
              <w:top w:val="nil"/>
              <w:left w:val="nil"/>
              <w:bottom w:val="nil"/>
              <w:right w:val="nil"/>
            </w:tcBorders>
            <w:shd w:val="clear" w:color="auto" w:fill="auto"/>
            <w:vAlign w:val="center"/>
            <w:hideMark/>
          </w:tcPr>
          <w:p w14:paraId="2E3C2BB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86" w:type="dxa"/>
            <w:tcBorders>
              <w:top w:val="nil"/>
              <w:left w:val="nil"/>
              <w:bottom w:val="nil"/>
              <w:right w:val="nil"/>
            </w:tcBorders>
            <w:shd w:val="clear" w:color="auto" w:fill="auto"/>
            <w:vAlign w:val="center"/>
            <w:hideMark/>
          </w:tcPr>
          <w:p w14:paraId="55652E45"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4F876078" w14:textId="77777777" w:rsidTr="00E032FC">
        <w:trPr>
          <w:trHeight w:val="174"/>
        </w:trPr>
        <w:tc>
          <w:tcPr>
            <w:tcW w:w="3946" w:type="dxa"/>
            <w:tcBorders>
              <w:top w:val="nil"/>
              <w:left w:val="nil"/>
              <w:bottom w:val="nil"/>
              <w:right w:val="nil"/>
            </w:tcBorders>
            <w:shd w:val="clear" w:color="auto" w:fill="auto"/>
            <w:vAlign w:val="center"/>
          </w:tcPr>
          <w:p w14:paraId="755CA15D"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7DA766D7"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1A214244"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5" w:type="dxa"/>
            <w:tcBorders>
              <w:top w:val="nil"/>
              <w:left w:val="nil"/>
              <w:bottom w:val="nil"/>
              <w:right w:val="nil"/>
            </w:tcBorders>
            <w:shd w:val="clear" w:color="auto" w:fill="auto"/>
            <w:vAlign w:val="center"/>
          </w:tcPr>
          <w:p w14:paraId="08F7DD6F"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27F69DAE"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6" w:type="dxa"/>
            <w:tcBorders>
              <w:top w:val="nil"/>
              <w:left w:val="nil"/>
              <w:bottom w:val="nil"/>
              <w:right w:val="nil"/>
            </w:tcBorders>
            <w:shd w:val="clear" w:color="auto" w:fill="auto"/>
            <w:vAlign w:val="center"/>
          </w:tcPr>
          <w:p w14:paraId="3B0BD216"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17819BA5" w14:textId="77777777" w:rsidTr="00E032FC">
        <w:trPr>
          <w:trHeight w:val="174"/>
        </w:trPr>
        <w:tc>
          <w:tcPr>
            <w:tcW w:w="3946" w:type="dxa"/>
            <w:tcBorders>
              <w:top w:val="nil"/>
              <w:left w:val="nil"/>
              <w:bottom w:val="nil"/>
              <w:right w:val="nil"/>
            </w:tcBorders>
            <w:shd w:val="clear" w:color="auto" w:fill="auto"/>
            <w:vAlign w:val="center"/>
            <w:hideMark/>
          </w:tcPr>
          <w:p w14:paraId="178CCA91"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2</w:t>
            </w:r>
            <w:r w:rsidRPr="001B015B">
              <w:rPr>
                <w:rFonts w:ascii="Arial" w:eastAsia="Calibri" w:hAnsi="Arial" w:cs="Arial"/>
                <w:color w:val="000000" w:themeColor="text1"/>
                <w:sz w:val="18"/>
                <w:szCs w:val="18"/>
                <w:lang w:val="hr-HR"/>
              </w:rPr>
              <w:t xml:space="preserve">. </w:t>
            </w:r>
          </w:p>
        </w:tc>
        <w:tc>
          <w:tcPr>
            <w:tcW w:w="1084" w:type="dxa"/>
            <w:tcBorders>
              <w:top w:val="nil"/>
              <w:left w:val="nil"/>
              <w:bottom w:val="nil"/>
              <w:right w:val="nil"/>
            </w:tcBorders>
            <w:shd w:val="clear" w:color="auto" w:fill="auto"/>
            <w:vAlign w:val="bottom"/>
          </w:tcPr>
          <w:p w14:paraId="0F43D088"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29.554 </w:t>
            </w:r>
          </w:p>
        </w:tc>
        <w:tc>
          <w:tcPr>
            <w:tcW w:w="1084" w:type="dxa"/>
            <w:tcBorders>
              <w:top w:val="nil"/>
              <w:left w:val="nil"/>
              <w:bottom w:val="nil"/>
              <w:right w:val="nil"/>
            </w:tcBorders>
            <w:shd w:val="clear" w:color="auto" w:fill="auto"/>
            <w:vAlign w:val="bottom"/>
          </w:tcPr>
          <w:p w14:paraId="37A39932"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23.184 </w:t>
            </w:r>
          </w:p>
        </w:tc>
        <w:tc>
          <w:tcPr>
            <w:tcW w:w="1085" w:type="dxa"/>
            <w:tcBorders>
              <w:top w:val="nil"/>
              <w:left w:val="nil"/>
              <w:bottom w:val="nil"/>
              <w:right w:val="nil"/>
            </w:tcBorders>
            <w:shd w:val="clear" w:color="auto" w:fill="auto"/>
            <w:vAlign w:val="bottom"/>
          </w:tcPr>
          <w:p w14:paraId="1A38D7F3"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6.162 </w:t>
            </w:r>
          </w:p>
        </w:tc>
        <w:tc>
          <w:tcPr>
            <w:tcW w:w="1084" w:type="dxa"/>
            <w:tcBorders>
              <w:top w:val="nil"/>
              <w:left w:val="nil"/>
              <w:bottom w:val="nil"/>
              <w:right w:val="nil"/>
            </w:tcBorders>
            <w:shd w:val="clear" w:color="auto" w:fill="auto"/>
            <w:vAlign w:val="bottom"/>
          </w:tcPr>
          <w:p w14:paraId="11C15561"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086" w:type="dxa"/>
            <w:tcBorders>
              <w:top w:val="nil"/>
              <w:left w:val="nil"/>
              <w:bottom w:val="nil"/>
              <w:right w:val="nil"/>
            </w:tcBorders>
            <w:shd w:val="clear" w:color="auto" w:fill="auto"/>
            <w:vAlign w:val="bottom"/>
          </w:tcPr>
          <w:p w14:paraId="40F52462"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58.900 </w:t>
            </w:r>
          </w:p>
        </w:tc>
      </w:tr>
      <w:tr w:rsidR="004E2F51" w:rsidRPr="001B015B" w14:paraId="0F2FC086" w14:textId="77777777" w:rsidTr="00E032FC">
        <w:trPr>
          <w:trHeight w:val="174"/>
        </w:trPr>
        <w:tc>
          <w:tcPr>
            <w:tcW w:w="3946" w:type="dxa"/>
            <w:tcBorders>
              <w:top w:val="nil"/>
              <w:left w:val="nil"/>
              <w:bottom w:val="nil"/>
              <w:right w:val="nil"/>
            </w:tcBorders>
            <w:shd w:val="clear" w:color="auto" w:fill="auto"/>
            <w:hideMark/>
          </w:tcPr>
          <w:p w14:paraId="623CCCD3"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84" w:type="dxa"/>
            <w:tcBorders>
              <w:top w:val="nil"/>
              <w:left w:val="nil"/>
              <w:bottom w:val="nil"/>
              <w:right w:val="nil"/>
            </w:tcBorders>
            <w:shd w:val="clear" w:color="auto" w:fill="auto"/>
            <w:vAlign w:val="bottom"/>
          </w:tcPr>
          <w:p w14:paraId="518AAA38"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134 </w:t>
            </w:r>
          </w:p>
        </w:tc>
        <w:tc>
          <w:tcPr>
            <w:tcW w:w="1084" w:type="dxa"/>
            <w:tcBorders>
              <w:top w:val="nil"/>
              <w:left w:val="nil"/>
              <w:bottom w:val="nil"/>
              <w:right w:val="nil"/>
            </w:tcBorders>
            <w:shd w:val="clear" w:color="auto" w:fill="auto"/>
            <w:vAlign w:val="bottom"/>
          </w:tcPr>
          <w:p w14:paraId="4FB111F1"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(134)</w:t>
            </w:r>
          </w:p>
        </w:tc>
        <w:tc>
          <w:tcPr>
            <w:tcW w:w="1085" w:type="dxa"/>
            <w:tcBorders>
              <w:top w:val="nil"/>
              <w:left w:val="nil"/>
              <w:bottom w:val="nil"/>
              <w:right w:val="nil"/>
            </w:tcBorders>
            <w:shd w:val="clear" w:color="auto" w:fill="auto"/>
            <w:vAlign w:val="bottom"/>
          </w:tcPr>
          <w:p w14:paraId="570A1E18" w14:textId="77777777" w:rsidR="004E2F51" w:rsidRPr="00852BF5" w:rsidRDefault="004E2F51" w:rsidP="00E032FC">
            <w:pPr>
              <w:jc w:val="right"/>
              <w:rPr>
                <w:rFonts w:ascii="Arial" w:hAnsi="Arial" w:cs="Arial"/>
                <w:sz w:val="18"/>
                <w:szCs w:val="18"/>
              </w:rPr>
            </w:pPr>
          </w:p>
        </w:tc>
        <w:tc>
          <w:tcPr>
            <w:tcW w:w="1084" w:type="dxa"/>
            <w:tcBorders>
              <w:top w:val="nil"/>
              <w:left w:val="nil"/>
              <w:bottom w:val="nil"/>
              <w:right w:val="nil"/>
            </w:tcBorders>
            <w:shd w:val="clear" w:color="auto" w:fill="auto"/>
            <w:vAlign w:val="bottom"/>
          </w:tcPr>
          <w:p w14:paraId="3A316CDD"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086" w:type="dxa"/>
            <w:tcBorders>
              <w:top w:val="nil"/>
              <w:left w:val="nil"/>
              <w:bottom w:val="nil"/>
              <w:right w:val="nil"/>
            </w:tcBorders>
            <w:shd w:val="clear" w:color="auto" w:fill="auto"/>
            <w:vAlign w:val="bottom"/>
          </w:tcPr>
          <w:p w14:paraId="152A3494"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r>
      <w:tr w:rsidR="004E2F51" w:rsidRPr="001B015B" w14:paraId="6ADDEF7C" w14:textId="77777777" w:rsidTr="00E032FC">
        <w:trPr>
          <w:trHeight w:val="174"/>
        </w:trPr>
        <w:tc>
          <w:tcPr>
            <w:tcW w:w="3946" w:type="dxa"/>
            <w:tcBorders>
              <w:top w:val="nil"/>
              <w:left w:val="nil"/>
              <w:bottom w:val="nil"/>
              <w:right w:val="nil"/>
            </w:tcBorders>
            <w:shd w:val="clear" w:color="auto" w:fill="auto"/>
          </w:tcPr>
          <w:p w14:paraId="35F99558"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84" w:type="dxa"/>
            <w:tcBorders>
              <w:top w:val="nil"/>
              <w:left w:val="nil"/>
              <w:bottom w:val="nil"/>
              <w:right w:val="nil"/>
            </w:tcBorders>
            <w:shd w:val="clear" w:color="auto" w:fill="auto"/>
            <w:vAlign w:val="bottom"/>
          </w:tcPr>
          <w:p w14:paraId="42E32171"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(1.916)</w:t>
            </w:r>
          </w:p>
        </w:tc>
        <w:tc>
          <w:tcPr>
            <w:tcW w:w="1084" w:type="dxa"/>
            <w:tcBorders>
              <w:top w:val="nil"/>
              <w:left w:val="nil"/>
              <w:bottom w:val="nil"/>
              <w:right w:val="nil"/>
            </w:tcBorders>
            <w:shd w:val="clear" w:color="auto" w:fill="auto"/>
            <w:vAlign w:val="bottom"/>
          </w:tcPr>
          <w:p w14:paraId="1E86C90A"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1.916 </w:t>
            </w:r>
          </w:p>
        </w:tc>
        <w:tc>
          <w:tcPr>
            <w:tcW w:w="1085" w:type="dxa"/>
            <w:tcBorders>
              <w:top w:val="nil"/>
              <w:left w:val="nil"/>
              <w:bottom w:val="nil"/>
              <w:right w:val="nil"/>
            </w:tcBorders>
            <w:shd w:val="clear" w:color="auto" w:fill="auto"/>
            <w:vAlign w:val="bottom"/>
          </w:tcPr>
          <w:p w14:paraId="33DB4812"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084" w:type="dxa"/>
            <w:tcBorders>
              <w:top w:val="nil"/>
              <w:left w:val="nil"/>
              <w:bottom w:val="nil"/>
              <w:right w:val="nil"/>
            </w:tcBorders>
            <w:shd w:val="clear" w:color="auto" w:fill="auto"/>
            <w:vAlign w:val="bottom"/>
          </w:tcPr>
          <w:p w14:paraId="7E68A04B"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086" w:type="dxa"/>
            <w:tcBorders>
              <w:top w:val="nil"/>
              <w:left w:val="nil"/>
              <w:bottom w:val="nil"/>
              <w:right w:val="nil"/>
            </w:tcBorders>
            <w:shd w:val="clear" w:color="auto" w:fill="auto"/>
            <w:vAlign w:val="bottom"/>
          </w:tcPr>
          <w:p w14:paraId="0EDA6193"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r>
      <w:tr w:rsidR="004E2F51" w:rsidRPr="001B015B" w14:paraId="5114D04A" w14:textId="77777777" w:rsidTr="00E032FC">
        <w:trPr>
          <w:trHeight w:val="174"/>
        </w:trPr>
        <w:tc>
          <w:tcPr>
            <w:tcW w:w="3946" w:type="dxa"/>
            <w:tcBorders>
              <w:top w:val="nil"/>
              <w:left w:val="nil"/>
              <w:bottom w:val="nil"/>
              <w:right w:val="nil"/>
            </w:tcBorders>
            <w:shd w:val="clear" w:color="auto" w:fill="auto"/>
          </w:tcPr>
          <w:p w14:paraId="5F3952E5"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84" w:type="dxa"/>
            <w:tcBorders>
              <w:top w:val="nil"/>
              <w:left w:val="nil"/>
              <w:bottom w:val="nil"/>
              <w:right w:val="nil"/>
            </w:tcBorders>
            <w:shd w:val="clear" w:color="auto" w:fill="auto"/>
            <w:vAlign w:val="bottom"/>
          </w:tcPr>
          <w:p w14:paraId="352DF5EE"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084" w:type="dxa"/>
            <w:tcBorders>
              <w:top w:val="nil"/>
              <w:left w:val="nil"/>
              <w:bottom w:val="nil"/>
              <w:right w:val="nil"/>
            </w:tcBorders>
            <w:shd w:val="clear" w:color="auto" w:fill="auto"/>
            <w:vAlign w:val="bottom"/>
          </w:tcPr>
          <w:p w14:paraId="3F408407"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085" w:type="dxa"/>
            <w:tcBorders>
              <w:top w:val="nil"/>
              <w:left w:val="nil"/>
              <w:bottom w:val="nil"/>
              <w:right w:val="nil"/>
            </w:tcBorders>
            <w:shd w:val="clear" w:color="auto" w:fill="auto"/>
            <w:vAlign w:val="bottom"/>
          </w:tcPr>
          <w:p w14:paraId="2915CED8"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084" w:type="dxa"/>
            <w:tcBorders>
              <w:top w:val="nil"/>
              <w:left w:val="nil"/>
              <w:bottom w:val="nil"/>
              <w:right w:val="nil"/>
            </w:tcBorders>
            <w:shd w:val="clear" w:color="auto" w:fill="auto"/>
            <w:vAlign w:val="bottom"/>
          </w:tcPr>
          <w:p w14:paraId="44AD0731"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086" w:type="dxa"/>
            <w:tcBorders>
              <w:top w:val="nil"/>
              <w:left w:val="nil"/>
              <w:bottom w:val="nil"/>
              <w:right w:val="nil"/>
            </w:tcBorders>
            <w:shd w:val="clear" w:color="auto" w:fill="auto"/>
            <w:vAlign w:val="bottom"/>
          </w:tcPr>
          <w:p w14:paraId="3CF9AAA8"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r>
      <w:tr w:rsidR="004E2F51" w:rsidRPr="001B015B" w14:paraId="74BE2BDD" w14:textId="77777777" w:rsidTr="00E032FC">
        <w:trPr>
          <w:trHeight w:val="249"/>
        </w:trPr>
        <w:tc>
          <w:tcPr>
            <w:tcW w:w="3946" w:type="dxa"/>
            <w:tcBorders>
              <w:top w:val="nil"/>
              <w:left w:val="nil"/>
              <w:bottom w:val="nil"/>
              <w:right w:val="nil"/>
            </w:tcBorders>
            <w:shd w:val="clear" w:color="auto" w:fill="auto"/>
            <w:vAlign w:val="center"/>
            <w:hideMark/>
          </w:tcPr>
          <w:p w14:paraId="268777E2" w14:textId="77777777" w:rsidR="004E2F51" w:rsidRPr="001B015B" w:rsidRDefault="004E2F51" w:rsidP="00E032FC">
            <w:pPr>
              <w:rPr>
                <w:rFonts w:ascii="Arial" w:eastAsia="Calibri" w:hAnsi="Arial" w:cs="Arial"/>
                <w:color w:val="000000" w:themeColor="text1"/>
                <w:sz w:val="18"/>
                <w:szCs w:val="18"/>
                <w:lang w:val="hr-HR"/>
              </w:rPr>
            </w:pPr>
            <w:r w:rsidRPr="00852BF5">
              <w:rPr>
                <w:rFonts w:ascii="Arial" w:eastAsia="Calibri" w:hAnsi="Arial" w:cs="Arial"/>
                <w:color w:val="000000" w:themeColor="text1"/>
                <w:sz w:val="18"/>
                <w:szCs w:val="18"/>
                <w:lang w:val="hr-HR"/>
              </w:rPr>
              <w:t>Neto (smanjenje)/</w:t>
            </w:r>
            <w:r>
              <w:rPr>
                <w:rFonts w:ascii="Arial" w:eastAsia="Calibri" w:hAnsi="Arial" w:cs="Arial"/>
                <w:color w:val="000000" w:themeColor="text1"/>
                <w:sz w:val="18"/>
                <w:szCs w:val="18"/>
                <w:lang w:val="hr-HR"/>
              </w:rPr>
              <w:t>povećanje</w:t>
            </w:r>
            <w:r w:rsidRPr="001B015B">
              <w:rPr>
                <w:rFonts w:ascii="Arial" w:eastAsia="Calibri" w:hAnsi="Arial" w:cs="Arial"/>
                <w:color w:val="000000" w:themeColor="text1"/>
                <w:sz w:val="18"/>
                <w:szCs w:val="18"/>
                <w:lang w:val="hr-HR"/>
              </w:rPr>
              <w:t xml:space="preserve"> rezerviranja za očekivane gubitke </w:t>
            </w:r>
          </w:p>
        </w:tc>
        <w:tc>
          <w:tcPr>
            <w:tcW w:w="1084" w:type="dxa"/>
            <w:tcBorders>
              <w:top w:val="nil"/>
              <w:left w:val="nil"/>
              <w:bottom w:val="nil"/>
              <w:right w:val="nil"/>
            </w:tcBorders>
            <w:shd w:val="clear" w:color="auto" w:fill="auto"/>
            <w:vAlign w:val="bottom"/>
          </w:tcPr>
          <w:p w14:paraId="360EDA24"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(1.110)</w:t>
            </w:r>
          </w:p>
        </w:tc>
        <w:tc>
          <w:tcPr>
            <w:tcW w:w="1084" w:type="dxa"/>
            <w:tcBorders>
              <w:top w:val="nil"/>
              <w:left w:val="nil"/>
              <w:bottom w:val="nil"/>
              <w:right w:val="nil"/>
            </w:tcBorders>
            <w:shd w:val="clear" w:color="auto" w:fill="auto"/>
            <w:vAlign w:val="bottom"/>
          </w:tcPr>
          <w:p w14:paraId="72D36407"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2.403 </w:t>
            </w:r>
          </w:p>
        </w:tc>
        <w:tc>
          <w:tcPr>
            <w:tcW w:w="1085" w:type="dxa"/>
            <w:tcBorders>
              <w:top w:val="nil"/>
              <w:left w:val="nil"/>
              <w:bottom w:val="nil"/>
              <w:right w:val="nil"/>
            </w:tcBorders>
            <w:shd w:val="clear" w:color="auto" w:fill="auto"/>
            <w:vAlign w:val="bottom"/>
          </w:tcPr>
          <w:p w14:paraId="32B14F4A"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613 </w:t>
            </w:r>
          </w:p>
        </w:tc>
        <w:tc>
          <w:tcPr>
            <w:tcW w:w="1084" w:type="dxa"/>
            <w:tcBorders>
              <w:top w:val="nil"/>
              <w:left w:val="nil"/>
              <w:bottom w:val="nil"/>
              <w:right w:val="nil"/>
            </w:tcBorders>
            <w:shd w:val="clear" w:color="auto" w:fill="auto"/>
            <w:vAlign w:val="bottom"/>
          </w:tcPr>
          <w:p w14:paraId="573B8F57"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086" w:type="dxa"/>
            <w:tcBorders>
              <w:top w:val="nil"/>
              <w:left w:val="nil"/>
              <w:bottom w:val="nil"/>
              <w:right w:val="nil"/>
            </w:tcBorders>
            <w:shd w:val="clear" w:color="auto" w:fill="auto"/>
            <w:vAlign w:val="bottom"/>
          </w:tcPr>
          <w:p w14:paraId="22F6E50F"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1.906 </w:t>
            </w:r>
          </w:p>
        </w:tc>
      </w:tr>
      <w:tr w:rsidR="004E2F51" w:rsidRPr="001B015B" w14:paraId="21357D1B" w14:textId="77777777" w:rsidTr="00E032FC">
        <w:trPr>
          <w:trHeight w:val="249"/>
        </w:trPr>
        <w:tc>
          <w:tcPr>
            <w:tcW w:w="3946" w:type="dxa"/>
            <w:tcBorders>
              <w:top w:val="nil"/>
              <w:left w:val="nil"/>
              <w:bottom w:val="nil"/>
              <w:right w:val="nil"/>
            </w:tcBorders>
            <w:shd w:val="clear" w:color="auto" w:fill="auto"/>
          </w:tcPr>
          <w:p w14:paraId="3EA5BF10"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Unwinding - promjena uslijed proteka vremena</w:t>
            </w:r>
          </w:p>
        </w:tc>
        <w:tc>
          <w:tcPr>
            <w:tcW w:w="1084" w:type="dxa"/>
            <w:tcBorders>
              <w:top w:val="nil"/>
              <w:left w:val="nil"/>
              <w:bottom w:val="nil"/>
              <w:right w:val="nil"/>
            </w:tcBorders>
            <w:shd w:val="clear" w:color="auto" w:fill="auto"/>
            <w:vAlign w:val="bottom"/>
          </w:tcPr>
          <w:p w14:paraId="779F935D" w14:textId="77777777" w:rsidR="004E2F51" w:rsidRPr="00852BF5" w:rsidRDefault="004E2F51" w:rsidP="00E032FC">
            <w:pPr>
              <w:jc w:val="right"/>
              <w:rPr>
                <w:rFonts w:ascii="Arial" w:hAnsi="Arial" w:cs="Arial"/>
                <w:sz w:val="18"/>
                <w:szCs w:val="18"/>
              </w:rPr>
            </w:pPr>
          </w:p>
        </w:tc>
        <w:tc>
          <w:tcPr>
            <w:tcW w:w="1084" w:type="dxa"/>
            <w:tcBorders>
              <w:top w:val="nil"/>
              <w:left w:val="nil"/>
              <w:bottom w:val="nil"/>
              <w:right w:val="nil"/>
            </w:tcBorders>
            <w:shd w:val="clear" w:color="auto" w:fill="auto"/>
            <w:vAlign w:val="bottom"/>
          </w:tcPr>
          <w:p w14:paraId="3FE54CB9"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085" w:type="dxa"/>
            <w:tcBorders>
              <w:top w:val="nil"/>
              <w:left w:val="nil"/>
              <w:bottom w:val="nil"/>
              <w:right w:val="nil"/>
            </w:tcBorders>
            <w:shd w:val="clear" w:color="auto" w:fill="auto"/>
            <w:vAlign w:val="bottom"/>
          </w:tcPr>
          <w:p w14:paraId="5ABD2B73"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(5)</w:t>
            </w:r>
          </w:p>
        </w:tc>
        <w:tc>
          <w:tcPr>
            <w:tcW w:w="1084" w:type="dxa"/>
            <w:tcBorders>
              <w:top w:val="nil"/>
              <w:left w:val="nil"/>
              <w:bottom w:val="nil"/>
              <w:right w:val="nil"/>
            </w:tcBorders>
            <w:shd w:val="clear" w:color="auto" w:fill="auto"/>
            <w:vAlign w:val="bottom"/>
          </w:tcPr>
          <w:p w14:paraId="2638B73E"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086" w:type="dxa"/>
            <w:tcBorders>
              <w:top w:val="nil"/>
              <w:left w:val="nil"/>
              <w:bottom w:val="nil"/>
              <w:right w:val="nil"/>
            </w:tcBorders>
            <w:shd w:val="clear" w:color="auto" w:fill="auto"/>
            <w:vAlign w:val="bottom"/>
          </w:tcPr>
          <w:p w14:paraId="68DA7E8B"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(5)</w:t>
            </w:r>
          </w:p>
        </w:tc>
      </w:tr>
      <w:tr w:rsidR="004E2F51" w:rsidRPr="001B015B" w14:paraId="51634A76" w14:textId="77777777" w:rsidTr="00E032FC">
        <w:trPr>
          <w:trHeight w:val="182"/>
        </w:trPr>
        <w:tc>
          <w:tcPr>
            <w:tcW w:w="3946" w:type="dxa"/>
            <w:tcBorders>
              <w:top w:val="nil"/>
              <w:left w:val="nil"/>
              <w:bottom w:val="nil"/>
              <w:right w:val="nil"/>
            </w:tcBorders>
            <w:shd w:val="clear" w:color="auto" w:fill="auto"/>
            <w:vAlign w:val="center"/>
            <w:hideMark/>
          </w:tcPr>
          <w:p w14:paraId="1C0D29C9"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84" w:type="dxa"/>
            <w:tcBorders>
              <w:top w:val="nil"/>
              <w:left w:val="nil"/>
              <w:bottom w:val="single" w:sz="8" w:space="0" w:color="auto"/>
              <w:right w:val="nil"/>
            </w:tcBorders>
            <w:shd w:val="clear" w:color="auto" w:fill="auto"/>
            <w:vAlign w:val="bottom"/>
          </w:tcPr>
          <w:p w14:paraId="4008C79B"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37 </w:t>
            </w:r>
          </w:p>
        </w:tc>
        <w:tc>
          <w:tcPr>
            <w:tcW w:w="1084" w:type="dxa"/>
            <w:tcBorders>
              <w:top w:val="nil"/>
              <w:left w:val="nil"/>
              <w:bottom w:val="single" w:sz="8" w:space="0" w:color="auto"/>
              <w:right w:val="nil"/>
            </w:tcBorders>
            <w:shd w:val="clear" w:color="auto" w:fill="auto"/>
            <w:vAlign w:val="bottom"/>
          </w:tcPr>
          <w:p w14:paraId="2BDE5901"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21 </w:t>
            </w:r>
          </w:p>
        </w:tc>
        <w:tc>
          <w:tcPr>
            <w:tcW w:w="1085" w:type="dxa"/>
            <w:tcBorders>
              <w:top w:val="nil"/>
              <w:left w:val="nil"/>
              <w:bottom w:val="single" w:sz="8" w:space="0" w:color="auto"/>
              <w:right w:val="nil"/>
            </w:tcBorders>
            <w:shd w:val="clear" w:color="auto" w:fill="auto"/>
            <w:vAlign w:val="bottom"/>
          </w:tcPr>
          <w:p w14:paraId="0C095116"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3 </w:t>
            </w:r>
          </w:p>
        </w:tc>
        <w:tc>
          <w:tcPr>
            <w:tcW w:w="1084" w:type="dxa"/>
            <w:tcBorders>
              <w:top w:val="nil"/>
              <w:left w:val="nil"/>
              <w:bottom w:val="single" w:sz="8" w:space="0" w:color="auto"/>
              <w:right w:val="nil"/>
            </w:tcBorders>
            <w:shd w:val="clear" w:color="auto" w:fill="auto"/>
            <w:vAlign w:val="bottom"/>
          </w:tcPr>
          <w:p w14:paraId="5C7864AD"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086" w:type="dxa"/>
            <w:tcBorders>
              <w:top w:val="nil"/>
              <w:left w:val="nil"/>
              <w:bottom w:val="single" w:sz="8" w:space="0" w:color="auto"/>
              <w:right w:val="nil"/>
            </w:tcBorders>
            <w:shd w:val="clear" w:color="auto" w:fill="auto"/>
            <w:vAlign w:val="bottom"/>
          </w:tcPr>
          <w:p w14:paraId="11BB16B8"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61 </w:t>
            </w:r>
          </w:p>
        </w:tc>
      </w:tr>
      <w:tr w:rsidR="004E2F51" w:rsidRPr="001B015B" w14:paraId="05C81A3C" w14:textId="77777777" w:rsidTr="00E032FC">
        <w:trPr>
          <w:trHeight w:val="182"/>
        </w:trPr>
        <w:tc>
          <w:tcPr>
            <w:tcW w:w="3946" w:type="dxa"/>
            <w:tcBorders>
              <w:top w:val="nil"/>
              <w:left w:val="nil"/>
              <w:bottom w:val="nil"/>
              <w:right w:val="nil"/>
            </w:tcBorders>
            <w:shd w:val="clear" w:color="auto" w:fill="auto"/>
            <w:vAlign w:val="bottom"/>
            <w:hideMark/>
          </w:tcPr>
          <w:p w14:paraId="692C84DB"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084" w:type="dxa"/>
            <w:tcBorders>
              <w:top w:val="nil"/>
              <w:left w:val="nil"/>
              <w:bottom w:val="single" w:sz="12" w:space="0" w:color="auto"/>
              <w:right w:val="nil"/>
            </w:tcBorders>
            <w:shd w:val="clear" w:color="auto" w:fill="auto"/>
            <w:vAlign w:val="bottom"/>
          </w:tcPr>
          <w:p w14:paraId="6BF1A64A" w14:textId="77777777" w:rsidR="004E2F51" w:rsidRPr="00852BF5" w:rsidRDefault="004E2F51" w:rsidP="00E032FC">
            <w:pPr>
              <w:jc w:val="right"/>
              <w:rPr>
                <w:rFonts w:ascii="Arial" w:hAnsi="Arial" w:cs="Arial"/>
                <w:b/>
                <w:bCs/>
                <w:sz w:val="18"/>
                <w:szCs w:val="18"/>
              </w:rPr>
            </w:pPr>
            <w:r w:rsidRPr="00852BF5">
              <w:rPr>
                <w:rFonts w:ascii="Arial" w:hAnsi="Arial" w:cs="Arial"/>
                <w:b/>
                <w:bCs/>
                <w:sz w:val="18"/>
                <w:szCs w:val="18"/>
              </w:rPr>
              <w:t xml:space="preserve"> 26.699 </w:t>
            </w:r>
          </w:p>
        </w:tc>
        <w:tc>
          <w:tcPr>
            <w:tcW w:w="1084" w:type="dxa"/>
            <w:tcBorders>
              <w:top w:val="nil"/>
              <w:left w:val="nil"/>
              <w:bottom w:val="single" w:sz="12" w:space="0" w:color="auto"/>
              <w:right w:val="nil"/>
            </w:tcBorders>
            <w:shd w:val="clear" w:color="auto" w:fill="auto"/>
            <w:vAlign w:val="bottom"/>
          </w:tcPr>
          <w:p w14:paraId="308551D4" w14:textId="77777777" w:rsidR="004E2F51" w:rsidRPr="00852BF5" w:rsidRDefault="004E2F51" w:rsidP="00E032FC">
            <w:pPr>
              <w:jc w:val="right"/>
              <w:rPr>
                <w:rFonts w:ascii="Arial" w:hAnsi="Arial" w:cs="Arial"/>
                <w:b/>
                <w:bCs/>
                <w:sz w:val="18"/>
                <w:szCs w:val="18"/>
              </w:rPr>
            </w:pPr>
            <w:r w:rsidRPr="00852BF5">
              <w:rPr>
                <w:rFonts w:ascii="Arial" w:hAnsi="Arial" w:cs="Arial"/>
                <w:b/>
                <w:bCs/>
                <w:sz w:val="18"/>
                <w:szCs w:val="18"/>
              </w:rPr>
              <w:t xml:space="preserve"> 27.390 </w:t>
            </w:r>
          </w:p>
        </w:tc>
        <w:tc>
          <w:tcPr>
            <w:tcW w:w="1085" w:type="dxa"/>
            <w:tcBorders>
              <w:top w:val="nil"/>
              <w:left w:val="nil"/>
              <w:bottom w:val="single" w:sz="12" w:space="0" w:color="auto"/>
              <w:right w:val="nil"/>
            </w:tcBorders>
            <w:shd w:val="clear" w:color="auto" w:fill="auto"/>
            <w:vAlign w:val="bottom"/>
          </w:tcPr>
          <w:p w14:paraId="05A1100E" w14:textId="77777777" w:rsidR="004E2F51" w:rsidRPr="00852BF5" w:rsidRDefault="004E2F51" w:rsidP="00E032FC">
            <w:pPr>
              <w:jc w:val="right"/>
              <w:rPr>
                <w:rFonts w:ascii="Arial" w:hAnsi="Arial" w:cs="Arial"/>
                <w:b/>
                <w:bCs/>
                <w:sz w:val="18"/>
                <w:szCs w:val="18"/>
              </w:rPr>
            </w:pPr>
            <w:r w:rsidRPr="00852BF5">
              <w:rPr>
                <w:rFonts w:ascii="Arial" w:hAnsi="Arial" w:cs="Arial"/>
                <w:b/>
                <w:bCs/>
                <w:sz w:val="18"/>
                <w:szCs w:val="18"/>
              </w:rPr>
              <w:t xml:space="preserve"> 6.773 </w:t>
            </w:r>
          </w:p>
        </w:tc>
        <w:tc>
          <w:tcPr>
            <w:tcW w:w="1084" w:type="dxa"/>
            <w:tcBorders>
              <w:top w:val="nil"/>
              <w:left w:val="nil"/>
              <w:bottom w:val="single" w:sz="12" w:space="0" w:color="auto"/>
              <w:right w:val="nil"/>
            </w:tcBorders>
            <w:shd w:val="clear" w:color="auto" w:fill="auto"/>
            <w:vAlign w:val="bottom"/>
          </w:tcPr>
          <w:p w14:paraId="0EF19AFE" w14:textId="77777777" w:rsidR="004E2F51" w:rsidRPr="00852BF5" w:rsidRDefault="004E2F51" w:rsidP="00E032FC">
            <w:pPr>
              <w:jc w:val="right"/>
              <w:rPr>
                <w:rFonts w:ascii="Arial" w:hAnsi="Arial" w:cs="Arial"/>
                <w:b/>
                <w:bCs/>
                <w:sz w:val="18"/>
                <w:szCs w:val="18"/>
              </w:rPr>
            </w:pPr>
            <w:r w:rsidRPr="00852BF5">
              <w:rPr>
                <w:rFonts w:ascii="Arial" w:hAnsi="Arial" w:cs="Arial"/>
                <w:b/>
                <w:bCs/>
                <w:sz w:val="18"/>
                <w:szCs w:val="18"/>
              </w:rPr>
              <w:t xml:space="preserve"> - </w:t>
            </w:r>
          </w:p>
        </w:tc>
        <w:tc>
          <w:tcPr>
            <w:tcW w:w="1086" w:type="dxa"/>
            <w:tcBorders>
              <w:top w:val="nil"/>
              <w:left w:val="nil"/>
              <w:bottom w:val="single" w:sz="12" w:space="0" w:color="auto"/>
              <w:right w:val="nil"/>
            </w:tcBorders>
            <w:shd w:val="clear" w:color="auto" w:fill="auto"/>
            <w:vAlign w:val="bottom"/>
          </w:tcPr>
          <w:p w14:paraId="65D3B4B3" w14:textId="77777777" w:rsidR="004E2F51" w:rsidRPr="00852BF5" w:rsidRDefault="004E2F51" w:rsidP="00E032FC">
            <w:pPr>
              <w:jc w:val="right"/>
              <w:rPr>
                <w:rFonts w:ascii="Arial" w:hAnsi="Arial" w:cs="Arial"/>
                <w:b/>
                <w:bCs/>
                <w:sz w:val="18"/>
                <w:szCs w:val="18"/>
              </w:rPr>
            </w:pPr>
            <w:r w:rsidRPr="00852BF5">
              <w:rPr>
                <w:rFonts w:ascii="Arial" w:hAnsi="Arial" w:cs="Arial"/>
                <w:b/>
                <w:bCs/>
                <w:sz w:val="18"/>
                <w:szCs w:val="18"/>
              </w:rPr>
              <w:t xml:space="preserve"> 60.862 </w:t>
            </w:r>
          </w:p>
        </w:tc>
      </w:tr>
      <w:bookmarkEnd w:id="1647"/>
    </w:tbl>
    <w:p w14:paraId="68A33627" w14:textId="77777777" w:rsidR="004E2F51" w:rsidRPr="001B015B" w:rsidRDefault="004E2F51" w:rsidP="004E2F51">
      <w:pPr>
        <w:keepNext/>
        <w:jc w:val="both"/>
        <w:rPr>
          <w:rFonts w:ascii="Arial" w:hAnsi="Arial" w:cs="Arial"/>
          <w:b/>
          <w:bCs/>
          <w:color w:val="000000" w:themeColor="text1"/>
          <w:sz w:val="20"/>
          <w:szCs w:val="20"/>
          <w:lang w:val="hr-HR"/>
        </w:rPr>
      </w:pPr>
    </w:p>
    <w:p w14:paraId="58616583" w14:textId="77777777" w:rsidR="004E2F51" w:rsidRDefault="004E2F51" w:rsidP="004E2F51">
      <w:pPr>
        <w:keepNext/>
        <w:jc w:val="both"/>
        <w:rPr>
          <w:rFonts w:ascii="Arial" w:hAnsi="Arial" w:cs="Arial"/>
          <w:b/>
          <w:bCs/>
          <w:color w:val="000000" w:themeColor="text1"/>
          <w:sz w:val="20"/>
          <w:szCs w:val="20"/>
          <w:lang w:val="hr-HR"/>
        </w:rPr>
      </w:pPr>
    </w:p>
    <w:p w14:paraId="2B802949" w14:textId="77777777" w:rsidR="004E2F51" w:rsidRPr="001B015B" w:rsidRDefault="004E2F51" w:rsidP="004E2F51">
      <w:pPr>
        <w:keepNext/>
        <w:jc w:val="both"/>
        <w:rPr>
          <w:rFonts w:ascii="Arial" w:hAnsi="Arial" w:cs="Arial"/>
          <w:b/>
          <w:bCs/>
          <w:color w:val="000000" w:themeColor="text1"/>
          <w:sz w:val="20"/>
          <w:szCs w:val="20"/>
          <w:lang w:val="hr-HR"/>
        </w:rPr>
      </w:pPr>
    </w:p>
    <w:tbl>
      <w:tblPr>
        <w:tblW w:w="9369" w:type="dxa"/>
        <w:tblInd w:w="-180" w:type="dxa"/>
        <w:tblLook w:val="04A0" w:firstRow="1" w:lastRow="0" w:firstColumn="1" w:lastColumn="0" w:noHBand="0" w:noVBand="1"/>
      </w:tblPr>
      <w:tblGrid>
        <w:gridCol w:w="3946"/>
        <w:gridCol w:w="1084"/>
        <w:gridCol w:w="1084"/>
        <w:gridCol w:w="1085"/>
        <w:gridCol w:w="1084"/>
        <w:gridCol w:w="1086"/>
      </w:tblGrid>
      <w:tr w:rsidR="004E2F51" w:rsidRPr="001B015B" w14:paraId="04383D08" w14:textId="77777777" w:rsidTr="00E032FC">
        <w:trPr>
          <w:trHeight w:val="174"/>
        </w:trPr>
        <w:tc>
          <w:tcPr>
            <w:tcW w:w="3946" w:type="dxa"/>
            <w:tcBorders>
              <w:top w:val="nil"/>
              <w:left w:val="nil"/>
              <w:bottom w:val="nil"/>
              <w:right w:val="nil"/>
            </w:tcBorders>
            <w:shd w:val="clear" w:color="auto" w:fill="auto"/>
            <w:vAlign w:val="center"/>
          </w:tcPr>
          <w:p w14:paraId="6EBC8F10"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Grupa i Banka</w:t>
            </w:r>
          </w:p>
        </w:tc>
        <w:tc>
          <w:tcPr>
            <w:tcW w:w="1084" w:type="dxa"/>
            <w:tcBorders>
              <w:top w:val="nil"/>
              <w:left w:val="nil"/>
              <w:bottom w:val="nil"/>
              <w:right w:val="nil"/>
            </w:tcBorders>
            <w:shd w:val="clear" w:color="auto" w:fill="auto"/>
            <w:vAlign w:val="center"/>
          </w:tcPr>
          <w:p w14:paraId="52C945D5"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0E88E150"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5" w:type="dxa"/>
            <w:tcBorders>
              <w:top w:val="nil"/>
              <w:left w:val="nil"/>
              <w:bottom w:val="nil"/>
              <w:right w:val="nil"/>
            </w:tcBorders>
            <w:shd w:val="clear" w:color="auto" w:fill="auto"/>
            <w:vAlign w:val="center"/>
          </w:tcPr>
          <w:p w14:paraId="343860E0"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71E94EA8"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6" w:type="dxa"/>
            <w:tcBorders>
              <w:top w:val="nil"/>
              <w:left w:val="nil"/>
              <w:bottom w:val="nil"/>
              <w:right w:val="nil"/>
            </w:tcBorders>
            <w:shd w:val="clear" w:color="auto" w:fill="auto"/>
            <w:vAlign w:val="center"/>
          </w:tcPr>
          <w:p w14:paraId="1E7B88B5"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2D6D4BC5" w14:textId="77777777" w:rsidTr="00E032FC">
        <w:trPr>
          <w:trHeight w:val="174"/>
        </w:trPr>
        <w:tc>
          <w:tcPr>
            <w:tcW w:w="3946" w:type="dxa"/>
            <w:tcBorders>
              <w:top w:val="nil"/>
              <w:left w:val="nil"/>
              <w:bottom w:val="nil"/>
              <w:right w:val="nil"/>
            </w:tcBorders>
            <w:shd w:val="clear" w:color="auto" w:fill="auto"/>
            <w:vAlign w:val="center"/>
            <w:hideMark/>
          </w:tcPr>
          <w:p w14:paraId="7C8A1500"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2021.</w:t>
            </w:r>
          </w:p>
        </w:tc>
        <w:tc>
          <w:tcPr>
            <w:tcW w:w="1084" w:type="dxa"/>
            <w:tcBorders>
              <w:top w:val="nil"/>
              <w:left w:val="nil"/>
              <w:bottom w:val="nil"/>
              <w:right w:val="nil"/>
            </w:tcBorders>
            <w:shd w:val="clear" w:color="auto" w:fill="auto"/>
            <w:vAlign w:val="center"/>
            <w:hideMark/>
          </w:tcPr>
          <w:p w14:paraId="58548A9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84" w:type="dxa"/>
            <w:tcBorders>
              <w:top w:val="nil"/>
              <w:left w:val="nil"/>
              <w:bottom w:val="nil"/>
              <w:right w:val="nil"/>
            </w:tcBorders>
            <w:shd w:val="clear" w:color="auto" w:fill="auto"/>
            <w:vAlign w:val="center"/>
            <w:hideMark/>
          </w:tcPr>
          <w:p w14:paraId="3E5500B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85" w:type="dxa"/>
            <w:tcBorders>
              <w:top w:val="nil"/>
              <w:left w:val="nil"/>
              <w:bottom w:val="nil"/>
              <w:right w:val="nil"/>
            </w:tcBorders>
            <w:shd w:val="clear" w:color="auto" w:fill="auto"/>
            <w:vAlign w:val="center"/>
            <w:hideMark/>
          </w:tcPr>
          <w:p w14:paraId="5E087797"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84" w:type="dxa"/>
            <w:tcBorders>
              <w:top w:val="nil"/>
              <w:left w:val="nil"/>
              <w:bottom w:val="nil"/>
              <w:right w:val="nil"/>
            </w:tcBorders>
            <w:shd w:val="clear" w:color="auto" w:fill="auto"/>
            <w:vAlign w:val="center"/>
            <w:hideMark/>
          </w:tcPr>
          <w:p w14:paraId="05E0CE46"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86" w:type="dxa"/>
            <w:tcBorders>
              <w:top w:val="nil"/>
              <w:left w:val="nil"/>
              <w:bottom w:val="nil"/>
              <w:right w:val="nil"/>
            </w:tcBorders>
            <w:shd w:val="clear" w:color="auto" w:fill="auto"/>
            <w:vAlign w:val="center"/>
            <w:hideMark/>
          </w:tcPr>
          <w:p w14:paraId="1C5614EB"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207CB887" w14:textId="77777777" w:rsidTr="00E032FC">
        <w:trPr>
          <w:trHeight w:val="174"/>
        </w:trPr>
        <w:tc>
          <w:tcPr>
            <w:tcW w:w="3946" w:type="dxa"/>
            <w:tcBorders>
              <w:top w:val="nil"/>
              <w:left w:val="nil"/>
              <w:bottom w:val="nil"/>
              <w:right w:val="nil"/>
            </w:tcBorders>
            <w:shd w:val="clear" w:color="auto" w:fill="auto"/>
            <w:vAlign w:val="center"/>
            <w:hideMark/>
          </w:tcPr>
          <w:p w14:paraId="55009A95"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hideMark/>
          </w:tcPr>
          <w:p w14:paraId="1337340D"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84" w:type="dxa"/>
            <w:tcBorders>
              <w:top w:val="nil"/>
              <w:left w:val="nil"/>
              <w:bottom w:val="nil"/>
              <w:right w:val="nil"/>
            </w:tcBorders>
            <w:shd w:val="clear" w:color="auto" w:fill="auto"/>
            <w:vAlign w:val="center"/>
            <w:hideMark/>
          </w:tcPr>
          <w:p w14:paraId="47D49C1B"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85" w:type="dxa"/>
            <w:tcBorders>
              <w:top w:val="nil"/>
              <w:left w:val="nil"/>
              <w:bottom w:val="nil"/>
              <w:right w:val="nil"/>
            </w:tcBorders>
            <w:shd w:val="clear" w:color="auto" w:fill="auto"/>
            <w:vAlign w:val="center"/>
            <w:hideMark/>
          </w:tcPr>
          <w:p w14:paraId="4275994A"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84" w:type="dxa"/>
            <w:tcBorders>
              <w:top w:val="nil"/>
              <w:left w:val="nil"/>
              <w:bottom w:val="nil"/>
              <w:right w:val="nil"/>
            </w:tcBorders>
            <w:shd w:val="clear" w:color="auto" w:fill="auto"/>
            <w:vAlign w:val="center"/>
            <w:hideMark/>
          </w:tcPr>
          <w:p w14:paraId="348691C9"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86" w:type="dxa"/>
            <w:tcBorders>
              <w:top w:val="nil"/>
              <w:left w:val="nil"/>
              <w:bottom w:val="nil"/>
              <w:right w:val="nil"/>
            </w:tcBorders>
            <w:shd w:val="clear" w:color="auto" w:fill="auto"/>
            <w:vAlign w:val="center"/>
            <w:hideMark/>
          </w:tcPr>
          <w:p w14:paraId="2993A70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7B22108C" w14:textId="77777777" w:rsidTr="00E032FC">
        <w:trPr>
          <w:trHeight w:val="174"/>
        </w:trPr>
        <w:tc>
          <w:tcPr>
            <w:tcW w:w="3946" w:type="dxa"/>
            <w:tcBorders>
              <w:top w:val="nil"/>
              <w:left w:val="nil"/>
              <w:bottom w:val="nil"/>
              <w:right w:val="nil"/>
            </w:tcBorders>
            <w:shd w:val="clear" w:color="auto" w:fill="auto"/>
            <w:vAlign w:val="center"/>
          </w:tcPr>
          <w:p w14:paraId="6BBFD0DB"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38BC5C24"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2D27B136"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5" w:type="dxa"/>
            <w:tcBorders>
              <w:top w:val="nil"/>
              <w:left w:val="nil"/>
              <w:bottom w:val="nil"/>
              <w:right w:val="nil"/>
            </w:tcBorders>
            <w:shd w:val="clear" w:color="auto" w:fill="auto"/>
            <w:vAlign w:val="center"/>
          </w:tcPr>
          <w:p w14:paraId="66C6402D"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4" w:type="dxa"/>
            <w:tcBorders>
              <w:top w:val="nil"/>
              <w:left w:val="nil"/>
              <w:bottom w:val="nil"/>
              <w:right w:val="nil"/>
            </w:tcBorders>
            <w:shd w:val="clear" w:color="auto" w:fill="auto"/>
            <w:vAlign w:val="center"/>
          </w:tcPr>
          <w:p w14:paraId="5E98FD33"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86" w:type="dxa"/>
            <w:tcBorders>
              <w:top w:val="nil"/>
              <w:left w:val="nil"/>
              <w:bottom w:val="nil"/>
              <w:right w:val="nil"/>
            </w:tcBorders>
            <w:shd w:val="clear" w:color="auto" w:fill="auto"/>
            <w:vAlign w:val="center"/>
          </w:tcPr>
          <w:p w14:paraId="2E367B39"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001D7CDC" w14:textId="77777777" w:rsidTr="00E032FC">
        <w:trPr>
          <w:trHeight w:val="174"/>
        </w:trPr>
        <w:tc>
          <w:tcPr>
            <w:tcW w:w="3946" w:type="dxa"/>
            <w:tcBorders>
              <w:top w:val="nil"/>
              <w:left w:val="nil"/>
              <w:bottom w:val="nil"/>
              <w:right w:val="nil"/>
            </w:tcBorders>
            <w:shd w:val="clear" w:color="auto" w:fill="auto"/>
            <w:vAlign w:val="center"/>
            <w:hideMark/>
          </w:tcPr>
          <w:p w14:paraId="64E1B8B4"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Stanje 1. siječnja 2021. </w:t>
            </w:r>
          </w:p>
        </w:tc>
        <w:tc>
          <w:tcPr>
            <w:tcW w:w="1084" w:type="dxa"/>
            <w:tcBorders>
              <w:top w:val="nil"/>
              <w:left w:val="nil"/>
              <w:bottom w:val="nil"/>
              <w:right w:val="nil"/>
            </w:tcBorders>
            <w:shd w:val="clear" w:color="auto" w:fill="auto"/>
          </w:tcPr>
          <w:p w14:paraId="4277B65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36.795 </w:t>
            </w:r>
          </w:p>
        </w:tc>
        <w:tc>
          <w:tcPr>
            <w:tcW w:w="1084" w:type="dxa"/>
            <w:tcBorders>
              <w:top w:val="nil"/>
              <w:left w:val="nil"/>
              <w:bottom w:val="nil"/>
              <w:right w:val="nil"/>
            </w:tcBorders>
            <w:shd w:val="clear" w:color="auto" w:fill="auto"/>
          </w:tcPr>
          <w:p w14:paraId="059A34F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35.435 </w:t>
            </w:r>
          </w:p>
        </w:tc>
        <w:tc>
          <w:tcPr>
            <w:tcW w:w="1085" w:type="dxa"/>
            <w:tcBorders>
              <w:top w:val="nil"/>
              <w:left w:val="nil"/>
              <w:bottom w:val="nil"/>
              <w:right w:val="nil"/>
            </w:tcBorders>
            <w:shd w:val="clear" w:color="auto" w:fill="auto"/>
          </w:tcPr>
          <w:p w14:paraId="07EEC50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10.567 </w:t>
            </w:r>
          </w:p>
        </w:tc>
        <w:tc>
          <w:tcPr>
            <w:tcW w:w="1084" w:type="dxa"/>
            <w:tcBorders>
              <w:top w:val="nil"/>
              <w:left w:val="nil"/>
              <w:bottom w:val="nil"/>
              <w:right w:val="nil"/>
            </w:tcBorders>
            <w:shd w:val="clear" w:color="auto" w:fill="auto"/>
          </w:tcPr>
          <w:p w14:paraId="6E0909C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6" w:type="dxa"/>
            <w:tcBorders>
              <w:top w:val="nil"/>
              <w:left w:val="nil"/>
              <w:bottom w:val="nil"/>
              <w:right w:val="nil"/>
            </w:tcBorders>
            <w:shd w:val="clear" w:color="auto" w:fill="auto"/>
          </w:tcPr>
          <w:p w14:paraId="6BC8597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82.797 </w:t>
            </w:r>
          </w:p>
        </w:tc>
      </w:tr>
      <w:tr w:rsidR="004E2F51" w:rsidRPr="001B015B" w14:paraId="13AE7F7B" w14:textId="77777777" w:rsidTr="00E032FC">
        <w:trPr>
          <w:trHeight w:val="174"/>
        </w:trPr>
        <w:tc>
          <w:tcPr>
            <w:tcW w:w="3946" w:type="dxa"/>
            <w:tcBorders>
              <w:top w:val="nil"/>
              <w:left w:val="nil"/>
              <w:bottom w:val="nil"/>
              <w:right w:val="nil"/>
            </w:tcBorders>
            <w:shd w:val="clear" w:color="auto" w:fill="auto"/>
            <w:hideMark/>
          </w:tcPr>
          <w:p w14:paraId="064BA7D1"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84" w:type="dxa"/>
            <w:tcBorders>
              <w:top w:val="nil"/>
              <w:left w:val="nil"/>
              <w:bottom w:val="nil"/>
              <w:right w:val="nil"/>
            </w:tcBorders>
            <w:shd w:val="clear" w:color="auto" w:fill="auto"/>
          </w:tcPr>
          <w:p w14:paraId="1F71B0A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1.730 </w:t>
            </w:r>
          </w:p>
        </w:tc>
        <w:tc>
          <w:tcPr>
            <w:tcW w:w="1084" w:type="dxa"/>
            <w:tcBorders>
              <w:top w:val="nil"/>
              <w:left w:val="nil"/>
              <w:bottom w:val="nil"/>
              <w:right w:val="nil"/>
            </w:tcBorders>
            <w:shd w:val="clear" w:color="auto" w:fill="auto"/>
          </w:tcPr>
          <w:p w14:paraId="6791DF1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(17)</w:t>
            </w:r>
          </w:p>
        </w:tc>
        <w:tc>
          <w:tcPr>
            <w:tcW w:w="1085" w:type="dxa"/>
            <w:tcBorders>
              <w:top w:val="nil"/>
              <w:left w:val="nil"/>
              <w:bottom w:val="nil"/>
              <w:right w:val="nil"/>
            </w:tcBorders>
            <w:shd w:val="clear" w:color="auto" w:fill="auto"/>
          </w:tcPr>
          <w:p w14:paraId="6227B39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(1.713)</w:t>
            </w:r>
          </w:p>
        </w:tc>
        <w:tc>
          <w:tcPr>
            <w:tcW w:w="1084" w:type="dxa"/>
            <w:tcBorders>
              <w:top w:val="nil"/>
              <w:left w:val="nil"/>
              <w:bottom w:val="nil"/>
              <w:right w:val="nil"/>
            </w:tcBorders>
            <w:shd w:val="clear" w:color="auto" w:fill="auto"/>
          </w:tcPr>
          <w:p w14:paraId="28221F6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6" w:type="dxa"/>
            <w:tcBorders>
              <w:top w:val="nil"/>
              <w:left w:val="nil"/>
              <w:bottom w:val="nil"/>
              <w:right w:val="nil"/>
            </w:tcBorders>
            <w:shd w:val="clear" w:color="auto" w:fill="auto"/>
          </w:tcPr>
          <w:p w14:paraId="401C2B1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r>
      <w:tr w:rsidR="004E2F51" w:rsidRPr="001B015B" w14:paraId="7FF6AD53" w14:textId="77777777" w:rsidTr="00E032FC">
        <w:trPr>
          <w:trHeight w:val="174"/>
        </w:trPr>
        <w:tc>
          <w:tcPr>
            <w:tcW w:w="3946" w:type="dxa"/>
            <w:tcBorders>
              <w:top w:val="nil"/>
              <w:left w:val="nil"/>
              <w:bottom w:val="nil"/>
              <w:right w:val="nil"/>
            </w:tcBorders>
            <w:shd w:val="clear" w:color="auto" w:fill="auto"/>
          </w:tcPr>
          <w:p w14:paraId="285D4EE7"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84" w:type="dxa"/>
            <w:tcBorders>
              <w:top w:val="nil"/>
              <w:left w:val="nil"/>
              <w:bottom w:val="nil"/>
              <w:right w:val="nil"/>
            </w:tcBorders>
            <w:shd w:val="clear" w:color="auto" w:fill="auto"/>
          </w:tcPr>
          <w:p w14:paraId="1EA8B6C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(64)</w:t>
            </w:r>
          </w:p>
        </w:tc>
        <w:tc>
          <w:tcPr>
            <w:tcW w:w="1084" w:type="dxa"/>
            <w:tcBorders>
              <w:top w:val="nil"/>
              <w:left w:val="nil"/>
              <w:bottom w:val="nil"/>
              <w:right w:val="nil"/>
            </w:tcBorders>
            <w:shd w:val="clear" w:color="auto" w:fill="auto"/>
          </w:tcPr>
          <w:p w14:paraId="4977E4D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64 </w:t>
            </w:r>
          </w:p>
        </w:tc>
        <w:tc>
          <w:tcPr>
            <w:tcW w:w="1085" w:type="dxa"/>
            <w:tcBorders>
              <w:top w:val="nil"/>
              <w:left w:val="nil"/>
              <w:bottom w:val="nil"/>
              <w:right w:val="nil"/>
            </w:tcBorders>
            <w:shd w:val="clear" w:color="auto" w:fill="auto"/>
          </w:tcPr>
          <w:p w14:paraId="179357C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4" w:type="dxa"/>
            <w:tcBorders>
              <w:top w:val="nil"/>
              <w:left w:val="nil"/>
              <w:bottom w:val="nil"/>
              <w:right w:val="nil"/>
            </w:tcBorders>
            <w:shd w:val="clear" w:color="auto" w:fill="auto"/>
          </w:tcPr>
          <w:p w14:paraId="0A9AA22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6" w:type="dxa"/>
            <w:tcBorders>
              <w:top w:val="nil"/>
              <w:left w:val="nil"/>
              <w:bottom w:val="nil"/>
              <w:right w:val="nil"/>
            </w:tcBorders>
            <w:shd w:val="clear" w:color="auto" w:fill="auto"/>
          </w:tcPr>
          <w:p w14:paraId="694B11C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r>
      <w:tr w:rsidR="004E2F51" w:rsidRPr="001B015B" w14:paraId="16986121" w14:textId="77777777" w:rsidTr="00E032FC">
        <w:trPr>
          <w:trHeight w:val="174"/>
        </w:trPr>
        <w:tc>
          <w:tcPr>
            <w:tcW w:w="3946" w:type="dxa"/>
            <w:tcBorders>
              <w:top w:val="nil"/>
              <w:left w:val="nil"/>
              <w:bottom w:val="nil"/>
              <w:right w:val="nil"/>
            </w:tcBorders>
            <w:shd w:val="clear" w:color="auto" w:fill="auto"/>
          </w:tcPr>
          <w:p w14:paraId="356450C6"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84" w:type="dxa"/>
            <w:tcBorders>
              <w:top w:val="nil"/>
              <w:left w:val="nil"/>
              <w:bottom w:val="nil"/>
              <w:right w:val="nil"/>
            </w:tcBorders>
            <w:shd w:val="clear" w:color="auto" w:fill="auto"/>
          </w:tcPr>
          <w:p w14:paraId="647B8D1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4" w:type="dxa"/>
            <w:tcBorders>
              <w:top w:val="nil"/>
              <w:left w:val="nil"/>
              <w:bottom w:val="nil"/>
              <w:right w:val="nil"/>
            </w:tcBorders>
            <w:shd w:val="clear" w:color="auto" w:fill="auto"/>
          </w:tcPr>
          <w:p w14:paraId="72E0073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5" w:type="dxa"/>
            <w:tcBorders>
              <w:top w:val="nil"/>
              <w:left w:val="nil"/>
              <w:bottom w:val="nil"/>
              <w:right w:val="nil"/>
            </w:tcBorders>
            <w:shd w:val="clear" w:color="auto" w:fill="auto"/>
          </w:tcPr>
          <w:p w14:paraId="17829A3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4" w:type="dxa"/>
            <w:tcBorders>
              <w:top w:val="nil"/>
              <w:left w:val="nil"/>
              <w:bottom w:val="nil"/>
              <w:right w:val="nil"/>
            </w:tcBorders>
            <w:shd w:val="clear" w:color="auto" w:fill="auto"/>
          </w:tcPr>
          <w:p w14:paraId="0863B90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6" w:type="dxa"/>
            <w:tcBorders>
              <w:top w:val="nil"/>
              <w:left w:val="nil"/>
              <w:bottom w:val="nil"/>
              <w:right w:val="nil"/>
            </w:tcBorders>
            <w:shd w:val="clear" w:color="auto" w:fill="auto"/>
          </w:tcPr>
          <w:p w14:paraId="74BD209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r>
      <w:tr w:rsidR="004E2F51" w:rsidRPr="001B015B" w14:paraId="021C6246" w14:textId="77777777" w:rsidTr="00E032FC">
        <w:trPr>
          <w:trHeight w:val="249"/>
        </w:trPr>
        <w:tc>
          <w:tcPr>
            <w:tcW w:w="3946" w:type="dxa"/>
            <w:tcBorders>
              <w:top w:val="nil"/>
              <w:left w:val="nil"/>
              <w:bottom w:val="nil"/>
              <w:right w:val="nil"/>
            </w:tcBorders>
            <w:shd w:val="clear" w:color="auto" w:fill="auto"/>
            <w:vAlign w:val="center"/>
            <w:hideMark/>
          </w:tcPr>
          <w:p w14:paraId="6ED2F6D8"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(smanjenje) rezerviranja za očekivane gubitke </w:t>
            </w:r>
          </w:p>
        </w:tc>
        <w:tc>
          <w:tcPr>
            <w:tcW w:w="1084" w:type="dxa"/>
            <w:tcBorders>
              <w:top w:val="nil"/>
              <w:left w:val="nil"/>
              <w:bottom w:val="nil"/>
              <w:right w:val="nil"/>
            </w:tcBorders>
            <w:shd w:val="clear" w:color="auto" w:fill="auto"/>
            <w:vAlign w:val="bottom"/>
          </w:tcPr>
          <w:p w14:paraId="2E549DB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(8.809)</w:t>
            </w:r>
          </w:p>
        </w:tc>
        <w:tc>
          <w:tcPr>
            <w:tcW w:w="1084" w:type="dxa"/>
            <w:tcBorders>
              <w:top w:val="nil"/>
              <w:left w:val="nil"/>
              <w:bottom w:val="nil"/>
              <w:right w:val="nil"/>
            </w:tcBorders>
            <w:shd w:val="clear" w:color="auto" w:fill="auto"/>
            <w:vAlign w:val="bottom"/>
          </w:tcPr>
          <w:p w14:paraId="7F33B9B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(12.240)</w:t>
            </w:r>
          </w:p>
        </w:tc>
        <w:tc>
          <w:tcPr>
            <w:tcW w:w="1085" w:type="dxa"/>
            <w:tcBorders>
              <w:top w:val="nil"/>
              <w:left w:val="nil"/>
              <w:bottom w:val="nil"/>
              <w:right w:val="nil"/>
            </w:tcBorders>
            <w:shd w:val="clear" w:color="auto" w:fill="auto"/>
            <w:vAlign w:val="bottom"/>
          </w:tcPr>
          <w:p w14:paraId="7E6896D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(2.649)</w:t>
            </w:r>
          </w:p>
        </w:tc>
        <w:tc>
          <w:tcPr>
            <w:tcW w:w="1084" w:type="dxa"/>
            <w:tcBorders>
              <w:top w:val="nil"/>
              <w:left w:val="nil"/>
              <w:bottom w:val="nil"/>
              <w:right w:val="nil"/>
            </w:tcBorders>
            <w:shd w:val="clear" w:color="auto" w:fill="auto"/>
            <w:vAlign w:val="bottom"/>
          </w:tcPr>
          <w:p w14:paraId="0D6EBB2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6" w:type="dxa"/>
            <w:tcBorders>
              <w:top w:val="nil"/>
              <w:left w:val="nil"/>
              <w:bottom w:val="nil"/>
              <w:right w:val="nil"/>
            </w:tcBorders>
            <w:shd w:val="clear" w:color="auto" w:fill="auto"/>
            <w:vAlign w:val="bottom"/>
          </w:tcPr>
          <w:p w14:paraId="6C0E77F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(23.698)</w:t>
            </w:r>
          </w:p>
        </w:tc>
      </w:tr>
      <w:tr w:rsidR="004E2F51" w:rsidRPr="001B015B" w14:paraId="34F99410" w14:textId="77777777" w:rsidTr="00E032FC">
        <w:trPr>
          <w:trHeight w:val="249"/>
        </w:trPr>
        <w:tc>
          <w:tcPr>
            <w:tcW w:w="3946" w:type="dxa"/>
            <w:tcBorders>
              <w:top w:val="nil"/>
              <w:left w:val="nil"/>
              <w:bottom w:val="nil"/>
              <w:right w:val="nil"/>
            </w:tcBorders>
            <w:shd w:val="clear" w:color="auto" w:fill="auto"/>
          </w:tcPr>
          <w:p w14:paraId="15F2C583"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Unwinding - promjena uslijed proteka vremena</w:t>
            </w:r>
          </w:p>
        </w:tc>
        <w:tc>
          <w:tcPr>
            <w:tcW w:w="1084" w:type="dxa"/>
            <w:tcBorders>
              <w:top w:val="nil"/>
              <w:left w:val="nil"/>
              <w:bottom w:val="nil"/>
              <w:right w:val="nil"/>
            </w:tcBorders>
            <w:shd w:val="clear" w:color="auto" w:fill="auto"/>
            <w:vAlign w:val="bottom"/>
          </w:tcPr>
          <w:p w14:paraId="1D90014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(45)</w:t>
            </w:r>
          </w:p>
        </w:tc>
        <w:tc>
          <w:tcPr>
            <w:tcW w:w="1084" w:type="dxa"/>
            <w:tcBorders>
              <w:top w:val="nil"/>
              <w:left w:val="nil"/>
              <w:bottom w:val="nil"/>
              <w:right w:val="nil"/>
            </w:tcBorders>
            <w:shd w:val="clear" w:color="auto" w:fill="auto"/>
            <w:vAlign w:val="bottom"/>
          </w:tcPr>
          <w:p w14:paraId="388D73E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5" w:type="dxa"/>
            <w:tcBorders>
              <w:top w:val="nil"/>
              <w:left w:val="nil"/>
              <w:bottom w:val="nil"/>
              <w:right w:val="nil"/>
            </w:tcBorders>
            <w:shd w:val="clear" w:color="auto" w:fill="auto"/>
            <w:vAlign w:val="bottom"/>
          </w:tcPr>
          <w:p w14:paraId="25A45BD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(41)</w:t>
            </w:r>
          </w:p>
        </w:tc>
        <w:tc>
          <w:tcPr>
            <w:tcW w:w="1084" w:type="dxa"/>
            <w:tcBorders>
              <w:top w:val="nil"/>
              <w:left w:val="nil"/>
              <w:bottom w:val="nil"/>
              <w:right w:val="nil"/>
            </w:tcBorders>
            <w:shd w:val="clear" w:color="auto" w:fill="auto"/>
            <w:vAlign w:val="bottom"/>
          </w:tcPr>
          <w:p w14:paraId="2D63B7F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6" w:type="dxa"/>
            <w:tcBorders>
              <w:top w:val="nil"/>
              <w:left w:val="nil"/>
              <w:bottom w:val="nil"/>
              <w:right w:val="nil"/>
            </w:tcBorders>
            <w:shd w:val="clear" w:color="auto" w:fill="auto"/>
            <w:vAlign w:val="bottom"/>
          </w:tcPr>
          <w:p w14:paraId="65958AC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(86)</w:t>
            </w:r>
          </w:p>
        </w:tc>
      </w:tr>
      <w:tr w:rsidR="004E2F51" w:rsidRPr="001B015B" w14:paraId="12E26512" w14:textId="77777777" w:rsidTr="00E032FC">
        <w:trPr>
          <w:trHeight w:val="249"/>
        </w:trPr>
        <w:tc>
          <w:tcPr>
            <w:tcW w:w="3946" w:type="dxa"/>
            <w:tcBorders>
              <w:top w:val="nil"/>
              <w:left w:val="nil"/>
              <w:bottom w:val="nil"/>
              <w:right w:val="nil"/>
            </w:tcBorders>
            <w:shd w:val="clear" w:color="auto" w:fill="auto"/>
          </w:tcPr>
          <w:p w14:paraId="65B20440"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na)/donos sa kredita ostalim korisnicima</w:t>
            </w:r>
          </w:p>
        </w:tc>
        <w:tc>
          <w:tcPr>
            <w:tcW w:w="1084" w:type="dxa"/>
            <w:tcBorders>
              <w:top w:val="nil"/>
              <w:left w:val="nil"/>
              <w:bottom w:val="nil"/>
              <w:right w:val="nil"/>
            </w:tcBorders>
            <w:shd w:val="clear" w:color="auto" w:fill="auto"/>
            <w:vAlign w:val="bottom"/>
          </w:tcPr>
          <w:p w14:paraId="7959EE4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lang w:val="it-IT"/>
              </w:rPr>
              <w:t xml:space="preserve"> </w:t>
            </w:r>
            <w:r w:rsidRPr="001B015B">
              <w:rPr>
                <w:rFonts w:ascii="Arial" w:hAnsi="Arial" w:cs="Arial"/>
                <w:sz w:val="18"/>
                <w:szCs w:val="18"/>
              </w:rPr>
              <w:t xml:space="preserve">- </w:t>
            </w:r>
          </w:p>
        </w:tc>
        <w:tc>
          <w:tcPr>
            <w:tcW w:w="1084" w:type="dxa"/>
            <w:tcBorders>
              <w:top w:val="nil"/>
              <w:left w:val="nil"/>
              <w:bottom w:val="nil"/>
              <w:right w:val="nil"/>
            </w:tcBorders>
            <w:shd w:val="clear" w:color="auto" w:fill="auto"/>
            <w:vAlign w:val="bottom"/>
          </w:tcPr>
          <w:p w14:paraId="0A18052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(16)</w:t>
            </w:r>
          </w:p>
        </w:tc>
        <w:tc>
          <w:tcPr>
            <w:tcW w:w="1085" w:type="dxa"/>
            <w:tcBorders>
              <w:top w:val="nil"/>
              <w:left w:val="nil"/>
              <w:bottom w:val="nil"/>
              <w:right w:val="nil"/>
            </w:tcBorders>
            <w:shd w:val="clear" w:color="auto" w:fill="auto"/>
            <w:vAlign w:val="bottom"/>
          </w:tcPr>
          <w:p w14:paraId="5689478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4" w:type="dxa"/>
            <w:tcBorders>
              <w:top w:val="nil"/>
              <w:left w:val="nil"/>
              <w:bottom w:val="nil"/>
              <w:right w:val="nil"/>
            </w:tcBorders>
            <w:shd w:val="clear" w:color="auto" w:fill="auto"/>
            <w:vAlign w:val="bottom"/>
          </w:tcPr>
          <w:p w14:paraId="6B8B15D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6" w:type="dxa"/>
            <w:tcBorders>
              <w:top w:val="nil"/>
              <w:left w:val="nil"/>
              <w:bottom w:val="nil"/>
              <w:right w:val="nil"/>
            </w:tcBorders>
            <w:shd w:val="clear" w:color="auto" w:fill="auto"/>
            <w:vAlign w:val="bottom"/>
          </w:tcPr>
          <w:p w14:paraId="51D27BC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(16)</w:t>
            </w:r>
          </w:p>
        </w:tc>
      </w:tr>
      <w:tr w:rsidR="004E2F51" w:rsidRPr="001B015B" w14:paraId="2D9FDDBA" w14:textId="77777777" w:rsidTr="00E032FC">
        <w:trPr>
          <w:trHeight w:val="182"/>
        </w:trPr>
        <w:tc>
          <w:tcPr>
            <w:tcW w:w="3946" w:type="dxa"/>
            <w:tcBorders>
              <w:top w:val="nil"/>
              <w:left w:val="nil"/>
              <w:bottom w:val="nil"/>
              <w:right w:val="nil"/>
            </w:tcBorders>
            <w:shd w:val="clear" w:color="auto" w:fill="auto"/>
            <w:vAlign w:val="center"/>
            <w:hideMark/>
          </w:tcPr>
          <w:p w14:paraId="124C21BC"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84" w:type="dxa"/>
            <w:tcBorders>
              <w:top w:val="nil"/>
              <w:left w:val="nil"/>
              <w:bottom w:val="single" w:sz="8" w:space="0" w:color="auto"/>
              <w:right w:val="nil"/>
            </w:tcBorders>
            <w:shd w:val="clear" w:color="auto" w:fill="auto"/>
            <w:vAlign w:val="bottom"/>
          </w:tcPr>
          <w:p w14:paraId="0DB6D3A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(53)</w:t>
            </w:r>
          </w:p>
        </w:tc>
        <w:tc>
          <w:tcPr>
            <w:tcW w:w="1084" w:type="dxa"/>
            <w:tcBorders>
              <w:top w:val="nil"/>
              <w:left w:val="nil"/>
              <w:bottom w:val="single" w:sz="8" w:space="0" w:color="auto"/>
              <w:right w:val="nil"/>
            </w:tcBorders>
            <w:shd w:val="clear" w:color="auto" w:fill="auto"/>
            <w:vAlign w:val="bottom"/>
          </w:tcPr>
          <w:p w14:paraId="39E1B96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(42)</w:t>
            </w:r>
          </w:p>
        </w:tc>
        <w:tc>
          <w:tcPr>
            <w:tcW w:w="1085" w:type="dxa"/>
            <w:tcBorders>
              <w:top w:val="nil"/>
              <w:left w:val="nil"/>
              <w:bottom w:val="single" w:sz="8" w:space="0" w:color="auto"/>
              <w:right w:val="nil"/>
            </w:tcBorders>
            <w:shd w:val="clear" w:color="auto" w:fill="auto"/>
            <w:vAlign w:val="bottom"/>
          </w:tcPr>
          <w:p w14:paraId="23919BA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w:t>
            </w:r>
          </w:p>
        </w:tc>
        <w:tc>
          <w:tcPr>
            <w:tcW w:w="1084" w:type="dxa"/>
            <w:tcBorders>
              <w:top w:val="nil"/>
              <w:left w:val="nil"/>
              <w:bottom w:val="single" w:sz="8" w:space="0" w:color="auto"/>
              <w:right w:val="nil"/>
            </w:tcBorders>
            <w:shd w:val="clear" w:color="auto" w:fill="auto"/>
            <w:vAlign w:val="bottom"/>
          </w:tcPr>
          <w:p w14:paraId="240E02B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6" w:type="dxa"/>
            <w:tcBorders>
              <w:top w:val="nil"/>
              <w:left w:val="nil"/>
              <w:bottom w:val="single" w:sz="8" w:space="0" w:color="auto"/>
              <w:right w:val="nil"/>
            </w:tcBorders>
            <w:shd w:val="clear" w:color="auto" w:fill="auto"/>
            <w:vAlign w:val="bottom"/>
          </w:tcPr>
          <w:p w14:paraId="488B935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(97)</w:t>
            </w:r>
          </w:p>
        </w:tc>
      </w:tr>
      <w:tr w:rsidR="004E2F51" w:rsidRPr="001B015B" w14:paraId="18365757" w14:textId="77777777" w:rsidTr="00E032FC">
        <w:trPr>
          <w:trHeight w:val="182"/>
        </w:trPr>
        <w:tc>
          <w:tcPr>
            <w:tcW w:w="3946" w:type="dxa"/>
            <w:tcBorders>
              <w:top w:val="nil"/>
              <w:left w:val="nil"/>
              <w:bottom w:val="nil"/>
              <w:right w:val="nil"/>
            </w:tcBorders>
            <w:shd w:val="clear" w:color="auto" w:fill="auto"/>
            <w:vAlign w:val="bottom"/>
            <w:hideMark/>
          </w:tcPr>
          <w:p w14:paraId="6909E4BC"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2021.</w:t>
            </w:r>
          </w:p>
        </w:tc>
        <w:tc>
          <w:tcPr>
            <w:tcW w:w="1084" w:type="dxa"/>
            <w:tcBorders>
              <w:top w:val="nil"/>
              <w:left w:val="nil"/>
              <w:bottom w:val="single" w:sz="12" w:space="0" w:color="auto"/>
              <w:right w:val="nil"/>
            </w:tcBorders>
            <w:shd w:val="clear" w:color="auto" w:fill="auto"/>
          </w:tcPr>
          <w:p w14:paraId="3B98FB08"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29.554 </w:t>
            </w:r>
          </w:p>
        </w:tc>
        <w:tc>
          <w:tcPr>
            <w:tcW w:w="1084" w:type="dxa"/>
            <w:tcBorders>
              <w:top w:val="nil"/>
              <w:left w:val="nil"/>
              <w:bottom w:val="single" w:sz="12" w:space="0" w:color="auto"/>
              <w:right w:val="nil"/>
            </w:tcBorders>
            <w:shd w:val="clear" w:color="auto" w:fill="auto"/>
          </w:tcPr>
          <w:p w14:paraId="76E3299C"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23.184 </w:t>
            </w:r>
          </w:p>
        </w:tc>
        <w:tc>
          <w:tcPr>
            <w:tcW w:w="1085" w:type="dxa"/>
            <w:tcBorders>
              <w:top w:val="nil"/>
              <w:left w:val="nil"/>
              <w:bottom w:val="single" w:sz="12" w:space="0" w:color="auto"/>
              <w:right w:val="nil"/>
            </w:tcBorders>
            <w:shd w:val="clear" w:color="auto" w:fill="auto"/>
          </w:tcPr>
          <w:p w14:paraId="03C03F5C"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6.162 </w:t>
            </w:r>
          </w:p>
        </w:tc>
        <w:tc>
          <w:tcPr>
            <w:tcW w:w="1084" w:type="dxa"/>
            <w:tcBorders>
              <w:top w:val="nil"/>
              <w:left w:val="nil"/>
              <w:bottom w:val="single" w:sz="12" w:space="0" w:color="auto"/>
              <w:right w:val="nil"/>
            </w:tcBorders>
            <w:shd w:val="clear" w:color="auto" w:fill="auto"/>
          </w:tcPr>
          <w:p w14:paraId="014B5F4D"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 </w:t>
            </w:r>
          </w:p>
        </w:tc>
        <w:tc>
          <w:tcPr>
            <w:tcW w:w="1086" w:type="dxa"/>
            <w:tcBorders>
              <w:top w:val="nil"/>
              <w:left w:val="nil"/>
              <w:bottom w:val="single" w:sz="12" w:space="0" w:color="auto"/>
              <w:right w:val="nil"/>
            </w:tcBorders>
            <w:shd w:val="clear" w:color="auto" w:fill="auto"/>
          </w:tcPr>
          <w:p w14:paraId="4393CD4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58.900 </w:t>
            </w:r>
          </w:p>
        </w:tc>
      </w:tr>
    </w:tbl>
    <w:p w14:paraId="77C154EE" w14:textId="77777777" w:rsidR="004E2F51" w:rsidRPr="001B015B" w:rsidRDefault="004E2F51" w:rsidP="004E2F51">
      <w:pPr>
        <w:keepNext/>
        <w:jc w:val="both"/>
        <w:rPr>
          <w:rFonts w:ascii="Arial" w:hAnsi="Arial" w:cs="Arial"/>
          <w:b/>
          <w:bCs/>
          <w:color w:val="000000" w:themeColor="text1"/>
          <w:sz w:val="20"/>
          <w:szCs w:val="20"/>
          <w:lang w:val="hr-HR"/>
        </w:rPr>
      </w:pPr>
    </w:p>
    <w:p w14:paraId="4EE434BB" w14:textId="77777777" w:rsidR="004E2F51" w:rsidRPr="001B015B" w:rsidRDefault="004E2F51" w:rsidP="004E2F51">
      <w:pPr>
        <w:keepNext/>
        <w:jc w:val="both"/>
        <w:rPr>
          <w:rFonts w:ascii="Arial" w:hAnsi="Arial" w:cs="Arial"/>
          <w:b/>
          <w:bCs/>
          <w:color w:val="000000" w:themeColor="text1"/>
          <w:sz w:val="20"/>
          <w:szCs w:val="20"/>
          <w:lang w:val="hr-HR"/>
        </w:rPr>
      </w:pPr>
    </w:p>
    <w:p w14:paraId="23C7D6F5" w14:textId="77777777" w:rsidR="004E2F51" w:rsidRPr="00B91D09" w:rsidRDefault="004E2F51" w:rsidP="004E2F51">
      <w:pPr>
        <w:rPr>
          <w:rFonts w:ascii="Arial" w:eastAsia="Calibri" w:hAnsi="Arial" w:cs="Arial"/>
          <w:color w:val="000000" w:themeColor="text1"/>
          <w:sz w:val="22"/>
          <w:szCs w:val="22"/>
          <w:lang w:val="hr-HR"/>
        </w:rPr>
        <w:sectPr w:rsidR="004E2F51" w:rsidRPr="00B91D09" w:rsidSect="00623DBA">
          <w:footerReference w:type="default" r:id="rId196"/>
          <w:pgSz w:w="11906" w:h="16838"/>
          <w:pgMar w:top="1418" w:right="1134" w:bottom="1134" w:left="1418" w:header="708" w:footer="708" w:gutter="0"/>
          <w:cols w:space="708"/>
          <w:docGrid w:linePitch="360"/>
        </w:sectPr>
      </w:pPr>
    </w:p>
    <w:p w14:paraId="448E337F" w14:textId="77777777" w:rsidR="004E2F51" w:rsidRPr="001B015B" w:rsidRDefault="004E2F51" w:rsidP="004E2F51">
      <w:pPr>
        <w:keepNext/>
        <w:jc w:val="both"/>
        <w:rPr>
          <w:rFonts w:ascii="Arial" w:hAnsi="Arial" w:cs="Arial"/>
          <w:b/>
          <w:bCs/>
          <w:color w:val="000000" w:themeColor="text1"/>
          <w:sz w:val="20"/>
          <w:szCs w:val="20"/>
          <w:lang w:val="hr-HR"/>
        </w:rPr>
      </w:pPr>
    </w:p>
    <w:p w14:paraId="1E5A5559"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w:t>
      </w:r>
      <w:r w:rsidRPr="001B015B">
        <w:rPr>
          <w:rFonts w:ascii="Arial" w:hAnsi="Arial" w:cs="Arial"/>
          <w:b/>
          <w:bCs/>
          <w:color w:val="000000" w:themeColor="text1"/>
          <w:sz w:val="20"/>
          <w:szCs w:val="20"/>
          <w:lang w:val="hr-HR"/>
        </w:rPr>
        <w:tab/>
        <w:t>Upravljanje rizicima (nastavak)</w:t>
      </w:r>
    </w:p>
    <w:p w14:paraId="0A88F261" w14:textId="77777777" w:rsidR="004E2F51" w:rsidRPr="001B015B" w:rsidRDefault="004E2F51" w:rsidP="004E2F51">
      <w:pPr>
        <w:keepNext/>
        <w:jc w:val="both"/>
        <w:rPr>
          <w:rFonts w:ascii="Arial" w:hAnsi="Arial" w:cs="Arial"/>
          <w:b/>
          <w:bCs/>
          <w:color w:val="000000" w:themeColor="text1"/>
          <w:sz w:val="20"/>
          <w:szCs w:val="20"/>
          <w:lang w:val="hr-HR"/>
        </w:rPr>
      </w:pPr>
    </w:p>
    <w:p w14:paraId="42C72BCF"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 xml:space="preserve">.3. </w:t>
      </w:r>
      <w:r w:rsidRPr="001B015B">
        <w:rPr>
          <w:rFonts w:ascii="Arial" w:hAnsi="Arial" w:cs="Arial"/>
          <w:b/>
          <w:bCs/>
          <w:color w:val="000000" w:themeColor="text1"/>
          <w:sz w:val="20"/>
          <w:szCs w:val="20"/>
          <w:lang w:val="hr-HR"/>
        </w:rPr>
        <w:tab/>
        <w:t>Kreditni rizik (nastavak)</w:t>
      </w:r>
    </w:p>
    <w:p w14:paraId="6DE8835B" w14:textId="77777777" w:rsidR="004E2F51" w:rsidRPr="001B015B" w:rsidRDefault="004E2F51" w:rsidP="004E2F51">
      <w:pPr>
        <w:keepNext/>
        <w:jc w:val="both"/>
        <w:rPr>
          <w:rFonts w:ascii="Arial" w:hAnsi="Arial" w:cs="Arial"/>
          <w:b/>
          <w:bCs/>
          <w:color w:val="000000" w:themeColor="text1"/>
          <w:sz w:val="20"/>
          <w:szCs w:val="20"/>
          <w:lang w:val="hr-HR"/>
        </w:rPr>
      </w:pPr>
    </w:p>
    <w:p w14:paraId="0C042E20" w14:textId="77777777" w:rsidR="004E2F51" w:rsidRPr="001B015B" w:rsidRDefault="004E2F51" w:rsidP="004E2F51">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176A430A" w14:textId="77777777" w:rsidR="004E2F51" w:rsidRPr="001B015B" w:rsidRDefault="004E2F51" w:rsidP="004E2F51">
      <w:pPr>
        <w:keepNext/>
        <w:jc w:val="both"/>
        <w:rPr>
          <w:rFonts w:ascii="Arial" w:hAnsi="Arial" w:cs="Arial"/>
          <w:b/>
          <w:bCs/>
          <w:color w:val="000000" w:themeColor="text1"/>
          <w:sz w:val="20"/>
          <w:szCs w:val="20"/>
          <w:lang w:val="hr-HR"/>
        </w:rPr>
      </w:pPr>
    </w:p>
    <w:p w14:paraId="629AA010"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Krediti ostalim korisnicima</w:t>
      </w:r>
    </w:p>
    <w:p w14:paraId="60FB5FF3" w14:textId="77777777" w:rsidR="004E2F51" w:rsidRPr="001B015B" w:rsidRDefault="004E2F51" w:rsidP="004E2F51">
      <w:pPr>
        <w:keepNext/>
        <w:jc w:val="both"/>
        <w:rPr>
          <w:rFonts w:ascii="Arial" w:hAnsi="Arial" w:cs="Arial"/>
          <w:b/>
          <w:bCs/>
          <w:color w:val="000000" w:themeColor="text1"/>
          <w:sz w:val="20"/>
          <w:szCs w:val="20"/>
          <w:lang w:val="hr-HR"/>
        </w:rPr>
      </w:pPr>
    </w:p>
    <w:tbl>
      <w:tblPr>
        <w:tblW w:w="9363" w:type="dxa"/>
        <w:tblInd w:w="-180" w:type="dxa"/>
        <w:tblLayout w:type="fixed"/>
        <w:tblLook w:val="04A0" w:firstRow="1" w:lastRow="0" w:firstColumn="1" w:lastColumn="0" w:noHBand="0" w:noVBand="1"/>
      </w:tblPr>
      <w:tblGrid>
        <w:gridCol w:w="3912"/>
        <w:gridCol w:w="1081"/>
        <w:gridCol w:w="1082"/>
        <w:gridCol w:w="1081"/>
        <w:gridCol w:w="1048"/>
        <w:gridCol w:w="1159"/>
      </w:tblGrid>
      <w:tr w:rsidR="004E2F51" w:rsidRPr="001B015B" w14:paraId="1FD8028B" w14:textId="77777777" w:rsidTr="00E032FC">
        <w:trPr>
          <w:trHeight w:val="159"/>
        </w:trPr>
        <w:tc>
          <w:tcPr>
            <w:tcW w:w="3912" w:type="dxa"/>
            <w:vAlign w:val="center"/>
            <w:hideMark/>
          </w:tcPr>
          <w:p w14:paraId="269CDAD3" w14:textId="77777777" w:rsidR="004E2F51" w:rsidRPr="001B015B" w:rsidRDefault="004E2F51" w:rsidP="00E032FC">
            <w:pPr>
              <w:spacing w:line="256" w:lineRule="auto"/>
              <w:rPr>
                <w:rFonts w:ascii="Arial" w:eastAsia="Calibri" w:hAnsi="Arial" w:cs="Arial"/>
                <w:b/>
                <w:bCs/>
                <w:color w:val="000000" w:themeColor="text1"/>
                <w:sz w:val="18"/>
                <w:szCs w:val="18"/>
              </w:rPr>
            </w:pPr>
            <w:bookmarkStart w:id="1648" w:name="_Hlk24387066"/>
            <w:r w:rsidRPr="001B015B">
              <w:rPr>
                <w:rFonts w:ascii="Arial" w:eastAsia="Calibri" w:hAnsi="Arial" w:cs="Arial"/>
                <w:b/>
                <w:bCs/>
                <w:color w:val="000000" w:themeColor="text1"/>
                <w:sz w:val="18"/>
                <w:szCs w:val="18"/>
              </w:rPr>
              <w:t>Grupa i Banka</w:t>
            </w:r>
          </w:p>
        </w:tc>
        <w:tc>
          <w:tcPr>
            <w:tcW w:w="1081" w:type="dxa"/>
            <w:vAlign w:val="center"/>
          </w:tcPr>
          <w:p w14:paraId="6A83998E"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p>
        </w:tc>
        <w:tc>
          <w:tcPr>
            <w:tcW w:w="1082" w:type="dxa"/>
            <w:vAlign w:val="center"/>
          </w:tcPr>
          <w:p w14:paraId="55A6D2AC"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p>
        </w:tc>
        <w:tc>
          <w:tcPr>
            <w:tcW w:w="1081" w:type="dxa"/>
            <w:vAlign w:val="center"/>
          </w:tcPr>
          <w:p w14:paraId="7BECF483"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p>
        </w:tc>
        <w:tc>
          <w:tcPr>
            <w:tcW w:w="1048" w:type="dxa"/>
            <w:vAlign w:val="center"/>
          </w:tcPr>
          <w:p w14:paraId="4C6D323C"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p>
        </w:tc>
        <w:tc>
          <w:tcPr>
            <w:tcW w:w="1159" w:type="dxa"/>
            <w:vAlign w:val="center"/>
          </w:tcPr>
          <w:p w14:paraId="142D1053"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p>
        </w:tc>
      </w:tr>
      <w:tr w:rsidR="004E2F51" w:rsidRPr="001B015B" w14:paraId="0D854450" w14:textId="77777777" w:rsidTr="00E032FC">
        <w:trPr>
          <w:trHeight w:val="159"/>
        </w:trPr>
        <w:tc>
          <w:tcPr>
            <w:tcW w:w="3912" w:type="dxa"/>
            <w:vAlign w:val="center"/>
            <w:hideMark/>
          </w:tcPr>
          <w:p w14:paraId="3CE63F6D" w14:textId="77777777" w:rsidR="004E2F51" w:rsidRPr="001B015B" w:rsidRDefault="004E2F51" w:rsidP="00E032FC">
            <w:pPr>
              <w:spacing w:line="256" w:lineRule="auto"/>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 xml:space="preserve">31. </w:t>
            </w:r>
            <w:proofErr w:type="spellStart"/>
            <w:r w:rsidRPr="001B015B">
              <w:rPr>
                <w:rFonts w:ascii="Arial" w:eastAsia="Calibri" w:hAnsi="Arial" w:cs="Arial"/>
                <w:b/>
                <w:bCs/>
                <w:color w:val="000000" w:themeColor="text1"/>
                <w:sz w:val="18"/>
                <w:szCs w:val="18"/>
              </w:rPr>
              <w:t>prosinca</w:t>
            </w:r>
            <w:proofErr w:type="spellEnd"/>
            <w:r w:rsidRPr="001B015B">
              <w:rPr>
                <w:rFonts w:ascii="Arial" w:eastAsia="Calibri" w:hAnsi="Arial" w:cs="Arial"/>
                <w:b/>
                <w:bCs/>
                <w:color w:val="000000" w:themeColor="text1"/>
                <w:sz w:val="18"/>
                <w:szCs w:val="18"/>
              </w:rPr>
              <w:t xml:space="preserve"> 202</w:t>
            </w:r>
            <w:r>
              <w:rPr>
                <w:rFonts w:ascii="Arial" w:eastAsia="Calibri" w:hAnsi="Arial" w:cs="Arial"/>
                <w:b/>
                <w:bCs/>
                <w:color w:val="000000" w:themeColor="text1"/>
                <w:sz w:val="18"/>
                <w:szCs w:val="18"/>
              </w:rPr>
              <w:t>2</w:t>
            </w:r>
            <w:r w:rsidRPr="001B015B">
              <w:rPr>
                <w:rFonts w:ascii="Arial" w:eastAsia="Calibri" w:hAnsi="Arial" w:cs="Arial"/>
                <w:b/>
                <w:bCs/>
                <w:color w:val="000000" w:themeColor="text1"/>
                <w:sz w:val="18"/>
                <w:szCs w:val="18"/>
              </w:rPr>
              <w:t>.</w:t>
            </w:r>
          </w:p>
        </w:tc>
        <w:tc>
          <w:tcPr>
            <w:tcW w:w="1081" w:type="dxa"/>
            <w:vAlign w:val="center"/>
            <w:hideMark/>
          </w:tcPr>
          <w:p w14:paraId="681C0386"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Stupanj</w:t>
            </w:r>
            <w:proofErr w:type="spellEnd"/>
            <w:r w:rsidRPr="001B015B">
              <w:rPr>
                <w:rFonts w:ascii="Arial" w:eastAsia="Calibri" w:hAnsi="Arial" w:cs="Arial"/>
                <w:b/>
                <w:bCs/>
                <w:color w:val="000000" w:themeColor="text1"/>
                <w:sz w:val="18"/>
                <w:szCs w:val="18"/>
              </w:rPr>
              <w:t xml:space="preserve"> 1</w:t>
            </w:r>
          </w:p>
        </w:tc>
        <w:tc>
          <w:tcPr>
            <w:tcW w:w="1082" w:type="dxa"/>
            <w:vAlign w:val="center"/>
            <w:hideMark/>
          </w:tcPr>
          <w:p w14:paraId="15C01E19"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Stupanj</w:t>
            </w:r>
            <w:proofErr w:type="spellEnd"/>
            <w:r w:rsidRPr="001B015B">
              <w:rPr>
                <w:rFonts w:ascii="Arial" w:eastAsia="Calibri" w:hAnsi="Arial" w:cs="Arial"/>
                <w:b/>
                <w:bCs/>
                <w:color w:val="000000" w:themeColor="text1"/>
                <w:sz w:val="18"/>
                <w:szCs w:val="18"/>
              </w:rPr>
              <w:t xml:space="preserve"> 2</w:t>
            </w:r>
          </w:p>
        </w:tc>
        <w:tc>
          <w:tcPr>
            <w:tcW w:w="1081" w:type="dxa"/>
            <w:vAlign w:val="center"/>
            <w:hideMark/>
          </w:tcPr>
          <w:p w14:paraId="064F6693"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Stupanj</w:t>
            </w:r>
            <w:proofErr w:type="spellEnd"/>
            <w:r w:rsidRPr="001B015B">
              <w:rPr>
                <w:rFonts w:ascii="Arial" w:eastAsia="Calibri" w:hAnsi="Arial" w:cs="Arial"/>
                <w:b/>
                <w:bCs/>
                <w:color w:val="000000" w:themeColor="text1"/>
                <w:sz w:val="18"/>
                <w:szCs w:val="18"/>
              </w:rPr>
              <w:t xml:space="preserve"> 3</w:t>
            </w:r>
          </w:p>
        </w:tc>
        <w:tc>
          <w:tcPr>
            <w:tcW w:w="1048" w:type="dxa"/>
            <w:vAlign w:val="center"/>
            <w:hideMark/>
          </w:tcPr>
          <w:p w14:paraId="2F1EBF70"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POCI</w:t>
            </w:r>
          </w:p>
        </w:tc>
        <w:tc>
          <w:tcPr>
            <w:tcW w:w="1159" w:type="dxa"/>
            <w:vAlign w:val="center"/>
            <w:hideMark/>
          </w:tcPr>
          <w:p w14:paraId="49A301B4"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Ukupno</w:t>
            </w:r>
            <w:proofErr w:type="spellEnd"/>
          </w:p>
        </w:tc>
      </w:tr>
      <w:tr w:rsidR="004E2F51" w:rsidRPr="001B015B" w14:paraId="34A85EA3" w14:textId="77777777" w:rsidTr="00E032FC">
        <w:trPr>
          <w:trHeight w:val="159"/>
        </w:trPr>
        <w:tc>
          <w:tcPr>
            <w:tcW w:w="3912" w:type="dxa"/>
            <w:vAlign w:val="center"/>
            <w:hideMark/>
          </w:tcPr>
          <w:p w14:paraId="4C9A7672" w14:textId="77777777" w:rsidR="004E2F51" w:rsidRPr="001B015B" w:rsidRDefault="004E2F51" w:rsidP="00E032FC">
            <w:pPr>
              <w:rPr>
                <w:rFonts w:ascii="Arial" w:eastAsia="Calibri" w:hAnsi="Arial" w:cs="Arial"/>
                <w:b/>
                <w:bCs/>
                <w:color w:val="000000" w:themeColor="text1"/>
                <w:sz w:val="18"/>
                <w:szCs w:val="18"/>
              </w:rPr>
            </w:pPr>
          </w:p>
        </w:tc>
        <w:tc>
          <w:tcPr>
            <w:tcW w:w="1081" w:type="dxa"/>
            <w:vAlign w:val="center"/>
            <w:hideMark/>
          </w:tcPr>
          <w:p w14:paraId="5CBED4E5"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 xml:space="preserve">000 </w:t>
            </w:r>
            <w:proofErr w:type="spellStart"/>
            <w:r w:rsidRPr="001B015B">
              <w:rPr>
                <w:rFonts w:ascii="Arial" w:eastAsia="Calibri" w:hAnsi="Arial" w:cs="Arial"/>
                <w:b/>
                <w:bCs/>
                <w:color w:val="000000" w:themeColor="text1"/>
                <w:sz w:val="18"/>
                <w:szCs w:val="18"/>
              </w:rPr>
              <w:t>kuna</w:t>
            </w:r>
            <w:proofErr w:type="spellEnd"/>
          </w:p>
        </w:tc>
        <w:tc>
          <w:tcPr>
            <w:tcW w:w="1082" w:type="dxa"/>
            <w:vAlign w:val="center"/>
            <w:hideMark/>
          </w:tcPr>
          <w:p w14:paraId="1FFA3B19"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 xml:space="preserve">000 </w:t>
            </w:r>
            <w:proofErr w:type="spellStart"/>
            <w:r w:rsidRPr="001B015B">
              <w:rPr>
                <w:rFonts w:ascii="Arial" w:eastAsia="Calibri" w:hAnsi="Arial" w:cs="Arial"/>
                <w:b/>
                <w:bCs/>
                <w:color w:val="000000" w:themeColor="text1"/>
                <w:sz w:val="18"/>
                <w:szCs w:val="18"/>
              </w:rPr>
              <w:t>kuna</w:t>
            </w:r>
            <w:proofErr w:type="spellEnd"/>
          </w:p>
        </w:tc>
        <w:tc>
          <w:tcPr>
            <w:tcW w:w="1081" w:type="dxa"/>
            <w:vAlign w:val="center"/>
            <w:hideMark/>
          </w:tcPr>
          <w:p w14:paraId="5DB9E2C1"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 xml:space="preserve">000 </w:t>
            </w:r>
            <w:proofErr w:type="spellStart"/>
            <w:r w:rsidRPr="001B015B">
              <w:rPr>
                <w:rFonts w:ascii="Arial" w:eastAsia="Calibri" w:hAnsi="Arial" w:cs="Arial"/>
                <w:b/>
                <w:bCs/>
                <w:color w:val="000000" w:themeColor="text1"/>
                <w:sz w:val="18"/>
                <w:szCs w:val="18"/>
              </w:rPr>
              <w:t>kuna</w:t>
            </w:r>
            <w:proofErr w:type="spellEnd"/>
          </w:p>
        </w:tc>
        <w:tc>
          <w:tcPr>
            <w:tcW w:w="1048" w:type="dxa"/>
            <w:vAlign w:val="center"/>
            <w:hideMark/>
          </w:tcPr>
          <w:p w14:paraId="3F3CFA8D"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 xml:space="preserve">000 </w:t>
            </w:r>
            <w:proofErr w:type="spellStart"/>
            <w:r w:rsidRPr="001B015B">
              <w:rPr>
                <w:rFonts w:ascii="Arial" w:eastAsia="Calibri" w:hAnsi="Arial" w:cs="Arial"/>
                <w:b/>
                <w:bCs/>
                <w:color w:val="000000" w:themeColor="text1"/>
                <w:sz w:val="18"/>
                <w:szCs w:val="18"/>
              </w:rPr>
              <w:t>kuna</w:t>
            </w:r>
            <w:proofErr w:type="spellEnd"/>
          </w:p>
        </w:tc>
        <w:tc>
          <w:tcPr>
            <w:tcW w:w="1159" w:type="dxa"/>
            <w:vAlign w:val="center"/>
            <w:hideMark/>
          </w:tcPr>
          <w:p w14:paraId="2164D767"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 xml:space="preserve">000 </w:t>
            </w:r>
            <w:proofErr w:type="spellStart"/>
            <w:r w:rsidRPr="001B015B">
              <w:rPr>
                <w:rFonts w:ascii="Arial" w:eastAsia="Calibri" w:hAnsi="Arial" w:cs="Arial"/>
                <w:b/>
                <w:bCs/>
                <w:color w:val="000000" w:themeColor="text1"/>
                <w:sz w:val="18"/>
                <w:szCs w:val="18"/>
              </w:rPr>
              <w:t>kuna</w:t>
            </w:r>
            <w:proofErr w:type="spellEnd"/>
          </w:p>
        </w:tc>
      </w:tr>
      <w:tr w:rsidR="004E2F51" w:rsidRPr="001B015B" w14:paraId="58191BBC" w14:textId="77777777" w:rsidTr="00E032FC">
        <w:trPr>
          <w:trHeight w:val="159"/>
        </w:trPr>
        <w:tc>
          <w:tcPr>
            <w:tcW w:w="3912" w:type="dxa"/>
            <w:vAlign w:val="center"/>
          </w:tcPr>
          <w:p w14:paraId="3A437359" w14:textId="77777777" w:rsidR="004E2F51" w:rsidRPr="001B015B" w:rsidRDefault="004E2F51" w:rsidP="00E032FC">
            <w:pPr>
              <w:spacing w:line="256" w:lineRule="auto"/>
              <w:rPr>
                <w:rFonts w:ascii="Arial" w:eastAsia="Calibri" w:hAnsi="Arial" w:cs="Arial"/>
                <w:b/>
                <w:bCs/>
                <w:color w:val="000000" w:themeColor="text1"/>
                <w:sz w:val="18"/>
                <w:szCs w:val="18"/>
              </w:rPr>
            </w:pPr>
          </w:p>
        </w:tc>
        <w:tc>
          <w:tcPr>
            <w:tcW w:w="1081" w:type="dxa"/>
            <w:vAlign w:val="center"/>
          </w:tcPr>
          <w:p w14:paraId="48ACF8E5" w14:textId="77777777" w:rsidR="004E2F51" w:rsidRPr="001B015B" w:rsidRDefault="004E2F51" w:rsidP="00E032FC">
            <w:pPr>
              <w:spacing w:line="256" w:lineRule="auto"/>
              <w:rPr>
                <w:rFonts w:ascii="Arial" w:eastAsia="Calibri" w:hAnsi="Arial" w:cs="Arial"/>
                <w:b/>
                <w:bCs/>
                <w:color w:val="000000" w:themeColor="text1"/>
                <w:sz w:val="18"/>
                <w:szCs w:val="18"/>
              </w:rPr>
            </w:pPr>
          </w:p>
        </w:tc>
        <w:tc>
          <w:tcPr>
            <w:tcW w:w="1082" w:type="dxa"/>
            <w:vAlign w:val="center"/>
          </w:tcPr>
          <w:p w14:paraId="2ED541AF" w14:textId="77777777" w:rsidR="004E2F51" w:rsidRPr="001B015B" w:rsidRDefault="004E2F51" w:rsidP="00E032FC">
            <w:pPr>
              <w:spacing w:line="256" w:lineRule="auto"/>
              <w:rPr>
                <w:rFonts w:ascii="Arial" w:eastAsia="Calibri" w:hAnsi="Arial" w:cs="Arial"/>
                <w:b/>
                <w:bCs/>
                <w:color w:val="000000" w:themeColor="text1"/>
                <w:sz w:val="18"/>
                <w:szCs w:val="18"/>
              </w:rPr>
            </w:pPr>
          </w:p>
        </w:tc>
        <w:tc>
          <w:tcPr>
            <w:tcW w:w="1081" w:type="dxa"/>
            <w:vAlign w:val="center"/>
          </w:tcPr>
          <w:p w14:paraId="46459DE8" w14:textId="77777777" w:rsidR="004E2F51" w:rsidRPr="001B015B" w:rsidRDefault="004E2F51" w:rsidP="00E032FC">
            <w:pPr>
              <w:spacing w:line="256" w:lineRule="auto"/>
              <w:rPr>
                <w:rFonts w:ascii="Arial" w:eastAsia="Calibri" w:hAnsi="Arial" w:cs="Arial"/>
                <w:b/>
                <w:bCs/>
                <w:color w:val="000000" w:themeColor="text1"/>
                <w:sz w:val="18"/>
                <w:szCs w:val="18"/>
              </w:rPr>
            </w:pPr>
          </w:p>
        </w:tc>
        <w:tc>
          <w:tcPr>
            <w:tcW w:w="1048" w:type="dxa"/>
            <w:vAlign w:val="center"/>
          </w:tcPr>
          <w:p w14:paraId="77C7A41F" w14:textId="77777777" w:rsidR="004E2F51" w:rsidRPr="001B015B" w:rsidRDefault="004E2F51" w:rsidP="00E032FC">
            <w:pPr>
              <w:spacing w:line="256" w:lineRule="auto"/>
              <w:rPr>
                <w:rFonts w:ascii="Arial" w:eastAsia="Calibri" w:hAnsi="Arial" w:cs="Arial"/>
                <w:b/>
                <w:bCs/>
                <w:color w:val="000000" w:themeColor="text1"/>
                <w:sz w:val="18"/>
                <w:szCs w:val="18"/>
              </w:rPr>
            </w:pPr>
          </w:p>
        </w:tc>
        <w:tc>
          <w:tcPr>
            <w:tcW w:w="1159" w:type="dxa"/>
            <w:vAlign w:val="center"/>
          </w:tcPr>
          <w:p w14:paraId="40F0271B" w14:textId="77777777" w:rsidR="004E2F51" w:rsidRPr="001B015B" w:rsidRDefault="004E2F51" w:rsidP="00E032FC">
            <w:pPr>
              <w:spacing w:line="256" w:lineRule="auto"/>
              <w:rPr>
                <w:rFonts w:ascii="Arial" w:eastAsia="Calibri" w:hAnsi="Arial" w:cs="Arial"/>
                <w:b/>
                <w:bCs/>
                <w:color w:val="000000" w:themeColor="text1"/>
                <w:sz w:val="18"/>
                <w:szCs w:val="18"/>
              </w:rPr>
            </w:pPr>
          </w:p>
        </w:tc>
      </w:tr>
      <w:tr w:rsidR="004E2F51" w:rsidRPr="001B015B" w14:paraId="1E377D63" w14:textId="77777777" w:rsidTr="00E032FC">
        <w:trPr>
          <w:trHeight w:val="159"/>
        </w:trPr>
        <w:tc>
          <w:tcPr>
            <w:tcW w:w="3912" w:type="dxa"/>
            <w:vAlign w:val="center"/>
            <w:hideMark/>
          </w:tcPr>
          <w:p w14:paraId="5649EED6" w14:textId="77777777" w:rsidR="004E2F51" w:rsidRPr="001B015B" w:rsidRDefault="004E2F51" w:rsidP="00E032FC">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2</w:t>
            </w:r>
            <w:r w:rsidRPr="001B015B">
              <w:rPr>
                <w:rFonts w:ascii="Arial" w:eastAsia="Calibri" w:hAnsi="Arial" w:cs="Arial"/>
                <w:color w:val="000000" w:themeColor="text1"/>
                <w:sz w:val="18"/>
                <w:szCs w:val="18"/>
                <w:lang w:val="hr-HR"/>
              </w:rPr>
              <w:t xml:space="preserve">. </w:t>
            </w:r>
          </w:p>
        </w:tc>
        <w:tc>
          <w:tcPr>
            <w:tcW w:w="1081" w:type="dxa"/>
            <w:vAlign w:val="bottom"/>
          </w:tcPr>
          <w:p w14:paraId="6D5C6507"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381.609 </w:t>
            </w:r>
          </w:p>
        </w:tc>
        <w:tc>
          <w:tcPr>
            <w:tcW w:w="1082" w:type="dxa"/>
            <w:vAlign w:val="bottom"/>
          </w:tcPr>
          <w:p w14:paraId="0C9C9CDB" w14:textId="77777777" w:rsidR="004E2F51" w:rsidRPr="00852BF5" w:rsidRDefault="004E2F51" w:rsidP="00E032FC">
            <w:pPr>
              <w:spacing w:line="256" w:lineRule="auto"/>
              <w:jc w:val="right"/>
              <w:rPr>
                <w:rFonts w:ascii="Arial" w:hAnsi="Arial" w:cs="Arial"/>
                <w:sz w:val="18"/>
                <w:szCs w:val="18"/>
              </w:rPr>
            </w:pPr>
            <w:r w:rsidRPr="00852BF5">
              <w:rPr>
                <w:rFonts w:ascii="Arial" w:hAnsi="Arial" w:cs="Arial"/>
                <w:sz w:val="18"/>
                <w:szCs w:val="18"/>
              </w:rPr>
              <w:t xml:space="preserve"> 555.807 </w:t>
            </w:r>
          </w:p>
        </w:tc>
        <w:tc>
          <w:tcPr>
            <w:tcW w:w="1081" w:type="dxa"/>
            <w:vAlign w:val="bottom"/>
          </w:tcPr>
          <w:p w14:paraId="6F3A32D4" w14:textId="77777777" w:rsidR="004E2F51" w:rsidRPr="00852BF5" w:rsidRDefault="004E2F51" w:rsidP="00E032FC">
            <w:pPr>
              <w:spacing w:line="256" w:lineRule="auto"/>
              <w:jc w:val="right"/>
              <w:rPr>
                <w:rFonts w:ascii="Arial" w:hAnsi="Arial" w:cs="Arial"/>
                <w:sz w:val="18"/>
                <w:szCs w:val="18"/>
              </w:rPr>
            </w:pPr>
            <w:r w:rsidRPr="00852BF5">
              <w:rPr>
                <w:rFonts w:ascii="Arial" w:hAnsi="Arial" w:cs="Arial"/>
                <w:sz w:val="18"/>
                <w:szCs w:val="18"/>
              </w:rPr>
              <w:t xml:space="preserve"> 2.099.064 </w:t>
            </w:r>
          </w:p>
        </w:tc>
        <w:tc>
          <w:tcPr>
            <w:tcW w:w="1048" w:type="dxa"/>
            <w:vAlign w:val="bottom"/>
          </w:tcPr>
          <w:p w14:paraId="26BCF4D7" w14:textId="77777777" w:rsidR="004E2F51" w:rsidRPr="00852BF5" w:rsidRDefault="004E2F51" w:rsidP="00E032FC">
            <w:pPr>
              <w:spacing w:line="256" w:lineRule="auto"/>
              <w:jc w:val="right"/>
              <w:rPr>
                <w:rFonts w:ascii="Arial" w:hAnsi="Arial" w:cs="Arial"/>
                <w:sz w:val="18"/>
                <w:szCs w:val="18"/>
              </w:rPr>
            </w:pPr>
            <w:r w:rsidRPr="00852BF5">
              <w:rPr>
                <w:rFonts w:ascii="Arial" w:hAnsi="Arial" w:cs="Arial"/>
                <w:sz w:val="18"/>
                <w:szCs w:val="18"/>
              </w:rPr>
              <w:t xml:space="preserve"> 219.436 </w:t>
            </w:r>
          </w:p>
        </w:tc>
        <w:tc>
          <w:tcPr>
            <w:tcW w:w="1159" w:type="dxa"/>
            <w:vAlign w:val="bottom"/>
          </w:tcPr>
          <w:p w14:paraId="3A099F77" w14:textId="77777777" w:rsidR="004E2F51" w:rsidRPr="00852BF5" w:rsidRDefault="004E2F51" w:rsidP="00E032FC">
            <w:pPr>
              <w:spacing w:line="256" w:lineRule="auto"/>
              <w:jc w:val="right"/>
              <w:rPr>
                <w:rFonts w:ascii="Arial" w:hAnsi="Arial" w:cs="Arial"/>
                <w:sz w:val="18"/>
                <w:szCs w:val="18"/>
              </w:rPr>
            </w:pPr>
            <w:r w:rsidRPr="00852BF5">
              <w:rPr>
                <w:rFonts w:ascii="Arial" w:hAnsi="Arial" w:cs="Arial"/>
                <w:sz w:val="18"/>
                <w:szCs w:val="18"/>
              </w:rPr>
              <w:t xml:space="preserve"> 3.255.916 </w:t>
            </w:r>
          </w:p>
        </w:tc>
      </w:tr>
      <w:tr w:rsidR="004E2F51" w:rsidRPr="001B015B" w14:paraId="25412638" w14:textId="77777777" w:rsidTr="00E032FC">
        <w:trPr>
          <w:trHeight w:val="159"/>
        </w:trPr>
        <w:tc>
          <w:tcPr>
            <w:tcW w:w="3912" w:type="dxa"/>
            <w:hideMark/>
          </w:tcPr>
          <w:p w14:paraId="51D1FAAF" w14:textId="77777777" w:rsidR="004E2F51" w:rsidRPr="001B015B" w:rsidRDefault="004E2F51" w:rsidP="00E032FC">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81" w:type="dxa"/>
            <w:vAlign w:val="bottom"/>
          </w:tcPr>
          <w:p w14:paraId="7F8ADC7E"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292.122 </w:t>
            </w:r>
          </w:p>
        </w:tc>
        <w:tc>
          <w:tcPr>
            <w:tcW w:w="1082" w:type="dxa"/>
            <w:vAlign w:val="bottom"/>
          </w:tcPr>
          <w:p w14:paraId="0D39D493"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(127.637)</w:t>
            </w:r>
          </w:p>
        </w:tc>
        <w:tc>
          <w:tcPr>
            <w:tcW w:w="1081" w:type="dxa"/>
            <w:vAlign w:val="bottom"/>
          </w:tcPr>
          <w:p w14:paraId="7E9CB62F"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(164.485)</w:t>
            </w:r>
          </w:p>
        </w:tc>
        <w:tc>
          <w:tcPr>
            <w:tcW w:w="1048" w:type="dxa"/>
            <w:vAlign w:val="bottom"/>
          </w:tcPr>
          <w:p w14:paraId="5D061E69"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159" w:type="dxa"/>
            <w:vAlign w:val="bottom"/>
          </w:tcPr>
          <w:p w14:paraId="4EC98D5E"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r>
      <w:tr w:rsidR="004E2F51" w:rsidRPr="001B015B" w14:paraId="2E2A9F02" w14:textId="77777777" w:rsidTr="00E032FC">
        <w:trPr>
          <w:trHeight w:val="159"/>
        </w:trPr>
        <w:tc>
          <w:tcPr>
            <w:tcW w:w="3912" w:type="dxa"/>
          </w:tcPr>
          <w:p w14:paraId="4F63E85E" w14:textId="77777777" w:rsidR="004E2F51" w:rsidRPr="001B015B" w:rsidRDefault="004E2F51" w:rsidP="00E032FC">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81" w:type="dxa"/>
            <w:vAlign w:val="bottom"/>
          </w:tcPr>
          <w:p w14:paraId="46D63690"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(80.150)</w:t>
            </w:r>
          </w:p>
        </w:tc>
        <w:tc>
          <w:tcPr>
            <w:tcW w:w="1082" w:type="dxa"/>
            <w:vAlign w:val="bottom"/>
          </w:tcPr>
          <w:p w14:paraId="22F8190B"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83.568 </w:t>
            </w:r>
          </w:p>
        </w:tc>
        <w:tc>
          <w:tcPr>
            <w:tcW w:w="1081" w:type="dxa"/>
            <w:vAlign w:val="bottom"/>
          </w:tcPr>
          <w:p w14:paraId="22E56F99"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(3.418)</w:t>
            </w:r>
          </w:p>
        </w:tc>
        <w:tc>
          <w:tcPr>
            <w:tcW w:w="1048" w:type="dxa"/>
            <w:vAlign w:val="bottom"/>
          </w:tcPr>
          <w:p w14:paraId="56F707B0"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159" w:type="dxa"/>
            <w:vAlign w:val="bottom"/>
          </w:tcPr>
          <w:p w14:paraId="5DEED33C"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r>
      <w:tr w:rsidR="004E2F51" w:rsidRPr="001B015B" w14:paraId="5774ACA2" w14:textId="77777777" w:rsidTr="00E032FC">
        <w:trPr>
          <w:trHeight w:val="159"/>
        </w:trPr>
        <w:tc>
          <w:tcPr>
            <w:tcW w:w="3912" w:type="dxa"/>
          </w:tcPr>
          <w:p w14:paraId="3422CD05" w14:textId="77777777" w:rsidR="004E2F51" w:rsidRPr="001B015B" w:rsidRDefault="004E2F51" w:rsidP="00E032FC">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81" w:type="dxa"/>
            <w:vAlign w:val="bottom"/>
          </w:tcPr>
          <w:p w14:paraId="3620029F"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(38)</w:t>
            </w:r>
          </w:p>
        </w:tc>
        <w:tc>
          <w:tcPr>
            <w:tcW w:w="1082" w:type="dxa"/>
            <w:vAlign w:val="bottom"/>
          </w:tcPr>
          <w:p w14:paraId="05116462"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(253.762)</w:t>
            </w:r>
          </w:p>
        </w:tc>
        <w:tc>
          <w:tcPr>
            <w:tcW w:w="1081" w:type="dxa"/>
            <w:vAlign w:val="bottom"/>
          </w:tcPr>
          <w:p w14:paraId="0744B62F"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236.203 </w:t>
            </w:r>
          </w:p>
        </w:tc>
        <w:tc>
          <w:tcPr>
            <w:tcW w:w="1048" w:type="dxa"/>
            <w:vAlign w:val="bottom"/>
          </w:tcPr>
          <w:p w14:paraId="720DCD7D"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17.597 </w:t>
            </w:r>
          </w:p>
        </w:tc>
        <w:tc>
          <w:tcPr>
            <w:tcW w:w="1159" w:type="dxa"/>
            <w:vAlign w:val="bottom"/>
          </w:tcPr>
          <w:p w14:paraId="169118E4"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r>
      <w:tr w:rsidR="004E2F51" w:rsidRPr="001B015B" w14:paraId="09945731" w14:textId="77777777" w:rsidTr="00E032FC">
        <w:trPr>
          <w:trHeight w:val="198"/>
        </w:trPr>
        <w:tc>
          <w:tcPr>
            <w:tcW w:w="3912" w:type="dxa"/>
            <w:vAlign w:val="bottom"/>
            <w:hideMark/>
          </w:tcPr>
          <w:p w14:paraId="320F9978" w14:textId="77777777" w:rsidR="004E2F51" w:rsidRPr="001B015B" w:rsidRDefault="004E2F51" w:rsidP="00E032FC">
            <w:pPr>
              <w:spacing w:line="256" w:lineRule="auto"/>
              <w:rPr>
                <w:rFonts w:ascii="Arial" w:eastAsia="Calibri" w:hAnsi="Arial" w:cs="Arial"/>
                <w:color w:val="000000" w:themeColor="text1"/>
                <w:sz w:val="18"/>
                <w:szCs w:val="18"/>
                <w:lang w:val="hr-HR"/>
              </w:rPr>
            </w:pPr>
            <w:bookmarkStart w:id="1649" w:name="_Hlk35351133"/>
            <w:r w:rsidRPr="001B015B">
              <w:rPr>
                <w:rFonts w:ascii="Arial" w:eastAsia="Calibri" w:hAnsi="Arial" w:cs="Arial"/>
                <w:color w:val="000000" w:themeColor="text1"/>
                <w:sz w:val="18"/>
                <w:szCs w:val="18"/>
                <w:lang w:val="hr-HR"/>
              </w:rPr>
              <w:t xml:space="preserve">Neto </w:t>
            </w:r>
            <w:r w:rsidRPr="00852BF5">
              <w:rPr>
                <w:rFonts w:ascii="Arial" w:eastAsia="Calibri" w:hAnsi="Arial" w:cs="Arial"/>
                <w:color w:val="000000" w:themeColor="text1"/>
                <w:sz w:val="18"/>
                <w:szCs w:val="18"/>
                <w:lang w:val="hr-HR"/>
              </w:rPr>
              <w:t>(smanjenje)/povećanje</w:t>
            </w:r>
            <w:r>
              <w:rPr>
                <w:rFonts w:ascii="Arial" w:eastAsia="Calibri" w:hAnsi="Arial" w:cs="Arial"/>
                <w:color w:val="000000" w:themeColor="text1"/>
                <w:sz w:val="18"/>
                <w:szCs w:val="18"/>
                <w:lang w:val="hr-HR"/>
              </w:rPr>
              <w:t xml:space="preserve"> </w:t>
            </w:r>
            <w:r w:rsidRPr="001B015B">
              <w:rPr>
                <w:rFonts w:ascii="Arial" w:eastAsia="Calibri" w:hAnsi="Arial" w:cs="Arial"/>
                <w:color w:val="000000" w:themeColor="text1"/>
                <w:sz w:val="18"/>
                <w:szCs w:val="18"/>
                <w:lang w:val="hr-HR"/>
              </w:rPr>
              <w:t xml:space="preserve">rezerviranja za očekivane gubitke </w:t>
            </w:r>
            <w:bookmarkEnd w:id="1649"/>
          </w:p>
        </w:tc>
        <w:tc>
          <w:tcPr>
            <w:tcW w:w="1081" w:type="dxa"/>
            <w:vAlign w:val="bottom"/>
          </w:tcPr>
          <w:p w14:paraId="1B7F6989"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(230.023)</w:t>
            </w:r>
          </w:p>
        </w:tc>
        <w:tc>
          <w:tcPr>
            <w:tcW w:w="1082" w:type="dxa"/>
            <w:vAlign w:val="bottom"/>
          </w:tcPr>
          <w:p w14:paraId="0200778D"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525.969 </w:t>
            </w:r>
          </w:p>
        </w:tc>
        <w:tc>
          <w:tcPr>
            <w:tcW w:w="1081" w:type="dxa"/>
            <w:vAlign w:val="bottom"/>
          </w:tcPr>
          <w:p w14:paraId="66F71A56"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(40.533)</w:t>
            </w:r>
          </w:p>
        </w:tc>
        <w:tc>
          <w:tcPr>
            <w:tcW w:w="1048" w:type="dxa"/>
            <w:vAlign w:val="bottom"/>
          </w:tcPr>
          <w:p w14:paraId="30BA4557"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(125.423)</w:t>
            </w:r>
          </w:p>
        </w:tc>
        <w:tc>
          <w:tcPr>
            <w:tcW w:w="1159" w:type="dxa"/>
            <w:vAlign w:val="bottom"/>
          </w:tcPr>
          <w:p w14:paraId="7502DAE4"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129.990 </w:t>
            </w:r>
          </w:p>
        </w:tc>
      </w:tr>
      <w:tr w:rsidR="004E2F51" w:rsidRPr="001B015B" w14:paraId="541F5737" w14:textId="77777777" w:rsidTr="00E032FC">
        <w:trPr>
          <w:trHeight w:val="228"/>
        </w:trPr>
        <w:tc>
          <w:tcPr>
            <w:tcW w:w="3912" w:type="dxa"/>
            <w:hideMark/>
          </w:tcPr>
          <w:p w14:paraId="1AE197BE" w14:textId="77777777" w:rsidR="004E2F51" w:rsidRPr="001B015B" w:rsidRDefault="004E2F51" w:rsidP="00E032FC">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081" w:type="dxa"/>
            <w:vAlign w:val="bottom"/>
          </w:tcPr>
          <w:p w14:paraId="5B871C8D"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082" w:type="dxa"/>
            <w:vAlign w:val="bottom"/>
          </w:tcPr>
          <w:p w14:paraId="695F46D4"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081" w:type="dxa"/>
            <w:vAlign w:val="bottom"/>
          </w:tcPr>
          <w:p w14:paraId="072D2BA7"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(48.304)</w:t>
            </w:r>
          </w:p>
        </w:tc>
        <w:tc>
          <w:tcPr>
            <w:tcW w:w="1048" w:type="dxa"/>
            <w:vAlign w:val="bottom"/>
          </w:tcPr>
          <w:p w14:paraId="6AF06A13"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159" w:type="dxa"/>
            <w:vAlign w:val="bottom"/>
          </w:tcPr>
          <w:p w14:paraId="242254E3"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(48.304)</w:t>
            </w:r>
          </w:p>
        </w:tc>
      </w:tr>
      <w:tr w:rsidR="004E2F51" w:rsidRPr="001B015B" w14:paraId="2FC95730" w14:textId="77777777" w:rsidTr="00E032FC">
        <w:trPr>
          <w:trHeight w:val="228"/>
        </w:trPr>
        <w:tc>
          <w:tcPr>
            <w:tcW w:w="3912" w:type="dxa"/>
            <w:hideMark/>
          </w:tcPr>
          <w:p w14:paraId="5161AF26" w14:textId="77777777" w:rsidR="004E2F51" w:rsidRPr="001B015B" w:rsidRDefault="004E2F51" w:rsidP="00E032FC">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Unwinding - promjena uslijed proteka vremena</w:t>
            </w:r>
          </w:p>
        </w:tc>
        <w:tc>
          <w:tcPr>
            <w:tcW w:w="1081" w:type="dxa"/>
            <w:vAlign w:val="bottom"/>
          </w:tcPr>
          <w:p w14:paraId="2B891A4D"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(10.282)</w:t>
            </w:r>
          </w:p>
        </w:tc>
        <w:tc>
          <w:tcPr>
            <w:tcW w:w="1082" w:type="dxa"/>
            <w:vAlign w:val="bottom"/>
          </w:tcPr>
          <w:p w14:paraId="45C2B91D"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(994)</w:t>
            </w:r>
          </w:p>
        </w:tc>
        <w:tc>
          <w:tcPr>
            <w:tcW w:w="1081" w:type="dxa"/>
            <w:vAlign w:val="bottom"/>
          </w:tcPr>
          <w:p w14:paraId="5A446FC4"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6.997 </w:t>
            </w:r>
          </w:p>
        </w:tc>
        <w:tc>
          <w:tcPr>
            <w:tcW w:w="1048" w:type="dxa"/>
            <w:vAlign w:val="bottom"/>
          </w:tcPr>
          <w:p w14:paraId="0E809111"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18.138 </w:t>
            </w:r>
          </w:p>
        </w:tc>
        <w:tc>
          <w:tcPr>
            <w:tcW w:w="1159" w:type="dxa"/>
            <w:vAlign w:val="bottom"/>
          </w:tcPr>
          <w:p w14:paraId="7549EB00"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13.859 </w:t>
            </w:r>
          </w:p>
        </w:tc>
      </w:tr>
      <w:tr w:rsidR="004E2F51" w:rsidRPr="001B015B" w14:paraId="7B951219" w14:textId="77777777" w:rsidTr="00E032FC">
        <w:trPr>
          <w:trHeight w:val="228"/>
        </w:trPr>
        <w:tc>
          <w:tcPr>
            <w:tcW w:w="3912" w:type="dxa"/>
          </w:tcPr>
          <w:p w14:paraId="5A228D66" w14:textId="77777777" w:rsidR="004E2F51" w:rsidRPr="001B015B" w:rsidRDefault="004E2F51" w:rsidP="00E032FC">
            <w:pPr>
              <w:spacing w:line="256" w:lineRule="auto"/>
              <w:rPr>
                <w:rFonts w:ascii="Arial" w:eastAsia="Calibri" w:hAnsi="Arial" w:cs="Arial"/>
                <w:color w:val="000000" w:themeColor="text1"/>
                <w:sz w:val="18"/>
                <w:szCs w:val="18"/>
                <w:lang w:val="hr-HR"/>
              </w:rPr>
            </w:pPr>
            <w:bookmarkStart w:id="1650" w:name="_Hlk24387049"/>
            <w:r w:rsidRPr="001B015B">
              <w:rPr>
                <w:rFonts w:ascii="Arial" w:eastAsia="Calibri" w:hAnsi="Arial" w:cs="Arial"/>
                <w:color w:val="000000" w:themeColor="text1"/>
                <w:sz w:val="18"/>
                <w:szCs w:val="18"/>
                <w:lang w:val="hr-HR"/>
              </w:rPr>
              <w:t>Ostalo</w:t>
            </w:r>
          </w:p>
        </w:tc>
        <w:tc>
          <w:tcPr>
            <w:tcW w:w="1081" w:type="dxa"/>
            <w:vAlign w:val="bottom"/>
          </w:tcPr>
          <w:p w14:paraId="7A976E66"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082" w:type="dxa"/>
            <w:vAlign w:val="bottom"/>
          </w:tcPr>
          <w:p w14:paraId="1E7331EC"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081" w:type="dxa"/>
            <w:vAlign w:val="bottom"/>
          </w:tcPr>
          <w:p w14:paraId="444EEFBE"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 </w:t>
            </w:r>
          </w:p>
        </w:tc>
        <w:tc>
          <w:tcPr>
            <w:tcW w:w="1048" w:type="dxa"/>
            <w:vAlign w:val="bottom"/>
          </w:tcPr>
          <w:p w14:paraId="23503107"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93.386 </w:t>
            </w:r>
          </w:p>
        </w:tc>
        <w:tc>
          <w:tcPr>
            <w:tcW w:w="1159" w:type="dxa"/>
            <w:vAlign w:val="bottom"/>
          </w:tcPr>
          <w:p w14:paraId="5675ADB0"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93.386 </w:t>
            </w:r>
          </w:p>
        </w:tc>
      </w:tr>
      <w:tr w:rsidR="004E2F51" w:rsidRPr="001B015B" w14:paraId="654F4F54" w14:textId="77777777" w:rsidTr="00E032FC">
        <w:trPr>
          <w:trHeight w:val="167"/>
        </w:trPr>
        <w:tc>
          <w:tcPr>
            <w:tcW w:w="3912" w:type="dxa"/>
            <w:vAlign w:val="center"/>
            <w:hideMark/>
          </w:tcPr>
          <w:p w14:paraId="20E44F22" w14:textId="77777777" w:rsidR="004E2F51" w:rsidRPr="001B015B" w:rsidRDefault="004E2F51" w:rsidP="00E032FC">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81" w:type="dxa"/>
            <w:tcBorders>
              <w:top w:val="nil"/>
              <w:left w:val="nil"/>
              <w:bottom w:val="single" w:sz="4" w:space="0" w:color="auto"/>
              <w:right w:val="nil"/>
            </w:tcBorders>
            <w:vAlign w:val="bottom"/>
          </w:tcPr>
          <w:p w14:paraId="71BC7D2D"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2.993 </w:t>
            </w:r>
          </w:p>
        </w:tc>
        <w:tc>
          <w:tcPr>
            <w:tcW w:w="1082" w:type="dxa"/>
            <w:tcBorders>
              <w:top w:val="nil"/>
              <w:left w:val="nil"/>
              <w:bottom w:val="single" w:sz="4" w:space="0" w:color="auto"/>
              <w:right w:val="nil"/>
            </w:tcBorders>
            <w:vAlign w:val="bottom"/>
          </w:tcPr>
          <w:p w14:paraId="671B1F88"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1.138 </w:t>
            </w:r>
          </w:p>
        </w:tc>
        <w:tc>
          <w:tcPr>
            <w:tcW w:w="1081" w:type="dxa"/>
            <w:tcBorders>
              <w:top w:val="nil"/>
              <w:left w:val="nil"/>
              <w:bottom w:val="single" w:sz="4" w:space="0" w:color="auto"/>
              <w:right w:val="nil"/>
            </w:tcBorders>
            <w:vAlign w:val="bottom"/>
          </w:tcPr>
          <w:p w14:paraId="16958BBC"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6.339 </w:t>
            </w:r>
          </w:p>
        </w:tc>
        <w:tc>
          <w:tcPr>
            <w:tcW w:w="1048" w:type="dxa"/>
            <w:tcBorders>
              <w:top w:val="nil"/>
              <w:left w:val="nil"/>
              <w:bottom w:val="single" w:sz="4" w:space="0" w:color="auto"/>
              <w:right w:val="nil"/>
            </w:tcBorders>
            <w:vAlign w:val="bottom"/>
          </w:tcPr>
          <w:p w14:paraId="021E7149"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(292)</w:t>
            </w:r>
          </w:p>
        </w:tc>
        <w:tc>
          <w:tcPr>
            <w:tcW w:w="1159" w:type="dxa"/>
            <w:tcBorders>
              <w:top w:val="nil"/>
              <w:left w:val="nil"/>
              <w:bottom w:val="single" w:sz="4" w:space="0" w:color="auto"/>
              <w:right w:val="nil"/>
            </w:tcBorders>
            <w:vAlign w:val="bottom"/>
          </w:tcPr>
          <w:p w14:paraId="64ECA3A8" w14:textId="77777777" w:rsidR="004E2F51" w:rsidRPr="00852BF5" w:rsidRDefault="004E2F51" w:rsidP="00E032FC">
            <w:pPr>
              <w:jc w:val="right"/>
              <w:rPr>
                <w:rFonts w:ascii="Arial" w:hAnsi="Arial" w:cs="Arial"/>
                <w:sz w:val="18"/>
                <w:szCs w:val="18"/>
              </w:rPr>
            </w:pPr>
            <w:r w:rsidRPr="00852BF5">
              <w:rPr>
                <w:rFonts w:ascii="Arial" w:hAnsi="Arial" w:cs="Arial"/>
                <w:sz w:val="18"/>
                <w:szCs w:val="18"/>
              </w:rPr>
              <w:t xml:space="preserve"> 10.178 </w:t>
            </w:r>
          </w:p>
        </w:tc>
      </w:tr>
      <w:tr w:rsidR="004E2F51" w:rsidRPr="001B015B" w14:paraId="2F2EE434" w14:textId="77777777" w:rsidTr="00E032FC">
        <w:trPr>
          <w:trHeight w:val="276"/>
        </w:trPr>
        <w:tc>
          <w:tcPr>
            <w:tcW w:w="3912" w:type="dxa"/>
            <w:vAlign w:val="bottom"/>
            <w:hideMark/>
          </w:tcPr>
          <w:p w14:paraId="2EA33E8E" w14:textId="77777777" w:rsidR="004E2F51" w:rsidRPr="001B015B" w:rsidRDefault="004E2F51" w:rsidP="00E032FC">
            <w:pPr>
              <w:spacing w:line="256" w:lineRule="auto"/>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081" w:type="dxa"/>
            <w:tcBorders>
              <w:top w:val="single" w:sz="4" w:space="0" w:color="auto"/>
              <w:left w:val="nil"/>
              <w:bottom w:val="single" w:sz="12" w:space="0" w:color="auto"/>
              <w:right w:val="nil"/>
            </w:tcBorders>
            <w:shd w:val="clear" w:color="auto" w:fill="auto"/>
            <w:vAlign w:val="bottom"/>
          </w:tcPr>
          <w:p w14:paraId="47A39CC9" w14:textId="77777777" w:rsidR="004E2F51" w:rsidRPr="00852BF5" w:rsidRDefault="004E2F51" w:rsidP="00E032FC">
            <w:pPr>
              <w:jc w:val="right"/>
              <w:rPr>
                <w:rFonts w:ascii="Arial" w:hAnsi="Arial" w:cs="Arial"/>
                <w:b/>
                <w:bCs/>
                <w:sz w:val="18"/>
                <w:szCs w:val="18"/>
              </w:rPr>
            </w:pPr>
            <w:r w:rsidRPr="00852BF5">
              <w:rPr>
                <w:rFonts w:ascii="Arial" w:hAnsi="Arial" w:cs="Arial"/>
                <w:b/>
                <w:bCs/>
                <w:sz w:val="18"/>
                <w:szCs w:val="18"/>
              </w:rPr>
              <w:t xml:space="preserve"> 356.231 </w:t>
            </w:r>
          </w:p>
        </w:tc>
        <w:tc>
          <w:tcPr>
            <w:tcW w:w="1082" w:type="dxa"/>
            <w:tcBorders>
              <w:top w:val="single" w:sz="4" w:space="0" w:color="auto"/>
              <w:left w:val="nil"/>
              <w:bottom w:val="single" w:sz="12" w:space="0" w:color="auto"/>
              <w:right w:val="nil"/>
            </w:tcBorders>
            <w:shd w:val="clear" w:color="auto" w:fill="auto"/>
            <w:vAlign w:val="bottom"/>
          </w:tcPr>
          <w:p w14:paraId="6AC2A4A2" w14:textId="77777777" w:rsidR="004E2F51" w:rsidRPr="00852BF5" w:rsidRDefault="004E2F51" w:rsidP="00E032FC">
            <w:pPr>
              <w:jc w:val="right"/>
              <w:rPr>
                <w:rFonts w:ascii="Arial" w:hAnsi="Arial" w:cs="Arial"/>
                <w:b/>
                <w:bCs/>
                <w:sz w:val="18"/>
                <w:szCs w:val="18"/>
              </w:rPr>
            </w:pPr>
            <w:r w:rsidRPr="00852BF5">
              <w:rPr>
                <w:rFonts w:ascii="Arial" w:hAnsi="Arial" w:cs="Arial"/>
                <w:b/>
                <w:bCs/>
                <w:sz w:val="18"/>
                <w:szCs w:val="18"/>
              </w:rPr>
              <w:t xml:space="preserve"> 784.089 </w:t>
            </w:r>
          </w:p>
        </w:tc>
        <w:tc>
          <w:tcPr>
            <w:tcW w:w="1081" w:type="dxa"/>
            <w:tcBorders>
              <w:top w:val="single" w:sz="4" w:space="0" w:color="auto"/>
              <w:left w:val="nil"/>
              <w:bottom w:val="single" w:sz="12" w:space="0" w:color="auto"/>
              <w:right w:val="nil"/>
            </w:tcBorders>
            <w:shd w:val="clear" w:color="auto" w:fill="auto"/>
            <w:vAlign w:val="bottom"/>
          </w:tcPr>
          <w:p w14:paraId="4832BDFB" w14:textId="77777777" w:rsidR="004E2F51" w:rsidRPr="00852BF5" w:rsidRDefault="004E2F51" w:rsidP="00E032FC">
            <w:pPr>
              <w:jc w:val="right"/>
              <w:rPr>
                <w:rFonts w:ascii="Arial" w:hAnsi="Arial" w:cs="Arial"/>
                <w:b/>
                <w:bCs/>
                <w:sz w:val="18"/>
                <w:szCs w:val="18"/>
              </w:rPr>
            </w:pPr>
            <w:r w:rsidRPr="00852BF5">
              <w:rPr>
                <w:rFonts w:ascii="Arial" w:hAnsi="Arial" w:cs="Arial"/>
                <w:b/>
                <w:bCs/>
                <w:sz w:val="18"/>
                <w:szCs w:val="18"/>
              </w:rPr>
              <w:t xml:space="preserve"> 2.091.863 </w:t>
            </w:r>
          </w:p>
        </w:tc>
        <w:tc>
          <w:tcPr>
            <w:tcW w:w="1048" w:type="dxa"/>
            <w:tcBorders>
              <w:top w:val="single" w:sz="4" w:space="0" w:color="auto"/>
              <w:left w:val="nil"/>
              <w:bottom w:val="single" w:sz="12" w:space="0" w:color="auto"/>
              <w:right w:val="nil"/>
            </w:tcBorders>
            <w:shd w:val="clear" w:color="auto" w:fill="auto"/>
            <w:vAlign w:val="bottom"/>
          </w:tcPr>
          <w:p w14:paraId="5DAF2BEF" w14:textId="77777777" w:rsidR="004E2F51" w:rsidRPr="00852BF5" w:rsidRDefault="004E2F51" w:rsidP="00E032FC">
            <w:pPr>
              <w:jc w:val="right"/>
              <w:rPr>
                <w:rFonts w:ascii="Arial" w:hAnsi="Arial" w:cs="Arial"/>
                <w:b/>
                <w:bCs/>
                <w:sz w:val="18"/>
                <w:szCs w:val="18"/>
              </w:rPr>
            </w:pPr>
            <w:r w:rsidRPr="00852BF5">
              <w:rPr>
                <w:rFonts w:ascii="Arial" w:hAnsi="Arial" w:cs="Arial"/>
                <w:b/>
                <w:bCs/>
                <w:sz w:val="18"/>
                <w:szCs w:val="18"/>
              </w:rPr>
              <w:t xml:space="preserve"> 222.842 </w:t>
            </w:r>
          </w:p>
        </w:tc>
        <w:tc>
          <w:tcPr>
            <w:tcW w:w="1159" w:type="dxa"/>
            <w:tcBorders>
              <w:top w:val="single" w:sz="4" w:space="0" w:color="auto"/>
              <w:left w:val="nil"/>
              <w:bottom w:val="single" w:sz="12" w:space="0" w:color="auto"/>
              <w:right w:val="nil"/>
            </w:tcBorders>
            <w:shd w:val="clear" w:color="auto" w:fill="auto"/>
            <w:vAlign w:val="bottom"/>
          </w:tcPr>
          <w:p w14:paraId="2435634A" w14:textId="77777777" w:rsidR="004E2F51" w:rsidRPr="00852BF5" w:rsidRDefault="004E2F51" w:rsidP="00E032FC">
            <w:pPr>
              <w:jc w:val="right"/>
              <w:rPr>
                <w:rFonts w:ascii="Arial" w:hAnsi="Arial" w:cs="Arial"/>
                <w:b/>
                <w:bCs/>
                <w:sz w:val="18"/>
                <w:szCs w:val="18"/>
              </w:rPr>
            </w:pPr>
            <w:r w:rsidRPr="00852BF5">
              <w:rPr>
                <w:rFonts w:ascii="Arial" w:hAnsi="Arial" w:cs="Arial"/>
                <w:b/>
                <w:bCs/>
                <w:sz w:val="18"/>
                <w:szCs w:val="18"/>
              </w:rPr>
              <w:t xml:space="preserve"> 3.455.025 </w:t>
            </w:r>
          </w:p>
        </w:tc>
      </w:tr>
      <w:bookmarkEnd w:id="1648"/>
      <w:bookmarkEnd w:id="1650"/>
    </w:tbl>
    <w:p w14:paraId="34F55BF5" w14:textId="77777777" w:rsidR="004E2F51" w:rsidRDefault="004E2F51" w:rsidP="004E2F51">
      <w:pPr>
        <w:rPr>
          <w:rFonts w:ascii="Arial" w:eastAsia="Calibri" w:hAnsi="Arial" w:cs="Arial"/>
          <w:color w:val="000000" w:themeColor="text1"/>
          <w:sz w:val="20"/>
          <w:szCs w:val="20"/>
          <w:lang w:val="hr-HR"/>
        </w:rPr>
      </w:pPr>
    </w:p>
    <w:p w14:paraId="43D5A144" w14:textId="77777777" w:rsidR="004E2F51" w:rsidRPr="001B015B" w:rsidRDefault="004E2F51" w:rsidP="004E2F51">
      <w:pPr>
        <w:rPr>
          <w:rFonts w:ascii="Arial" w:eastAsia="Calibri" w:hAnsi="Arial" w:cs="Arial"/>
          <w:color w:val="000000" w:themeColor="text1"/>
          <w:sz w:val="20"/>
          <w:szCs w:val="20"/>
          <w:lang w:val="hr-HR"/>
        </w:rPr>
      </w:pPr>
    </w:p>
    <w:p w14:paraId="759890AE" w14:textId="77777777" w:rsidR="004E2F51" w:rsidRPr="001B015B" w:rsidRDefault="004E2F51" w:rsidP="004E2F51">
      <w:pPr>
        <w:rPr>
          <w:rFonts w:ascii="Arial" w:eastAsia="Calibri" w:hAnsi="Arial" w:cs="Arial"/>
          <w:color w:val="000000" w:themeColor="text1"/>
          <w:sz w:val="20"/>
          <w:szCs w:val="20"/>
          <w:lang w:val="hr-HR"/>
        </w:rPr>
      </w:pPr>
    </w:p>
    <w:tbl>
      <w:tblPr>
        <w:tblW w:w="9363" w:type="dxa"/>
        <w:tblInd w:w="-180" w:type="dxa"/>
        <w:tblLayout w:type="fixed"/>
        <w:tblLook w:val="04A0" w:firstRow="1" w:lastRow="0" w:firstColumn="1" w:lastColumn="0" w:noHBand="0" w:noVBand="1"/>
      </w:tblPr>
      <w:tblGrid>
        <w:gridCol w:w="3912"/>
        <w:gridCol w:w="1081"/>
        <w:gridCol w:w="1082"/>
        <w:gridCol w:w="1081"/>
        <w:gridCol w:w="1048"/>
        <w:gridCol w:w="1159"/>
      </w:tblGrid>
      <w:tr w:rsidR="004E2F51" w:rsidRPr="001B015B" w14:paraId="65E070CB" w14:textId="77777777" w:rsidTr="00E032FC">
        <w:trPr>
          <w:trHeight w:val="159"/>
        </w:trPr>
        <w:tc>
          <w:tcPr>
            <w:tcW w:w="3912" w:type="dxa"/>
            <w:vAlign w:val="center"/>
            <w:hideMark/>
          </w:tcPr>
          <w:p w14:paraId="78F36163" w14:textId="77777777" w:rsidR="004E2F51" w:rsidRPr="001B015B" w:rsidRDefault="004E2F51" w:rsidP="00E032FC">
            <w:pPr>
              <w:spacing w:line="256" w:lineRule="auto"/>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Grupa i Banka</w:t>
            </w:r>
          </w:p>
        </w:tc>
        <w:tc>
          <w:tcPr>
            <w:tcW w:w="1081" w:type="dxa"/>
            <w:vAlign w:val="center"/>
          </w:tcPr>
          <w:p w14:paraId="2BEC0EAC"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p>
        </w:tc>
        <w:tc>
          <w:tcPr>
            <w:tcW w:w="1082" w:type="dxa"/>
            <w:vAlign w:val="center"/>
          </w:tcPr>
          <w:p w14:paraId="19FBB221"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p>
        </w:tc>
        <w:tc>
          <w:tcPr>
            <w:tcW w:w="1081" w:type="dxa"/>
            <w:vAlign w:val="center"/>
          </w:tcPr>
          <w:p w14:paraId="67ED6710"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p>
        </w:tc>
        <w:tc>
          <w:tcPr>
            <w:tcW w:w="1048" w:type="dxa"/>
            <w:vAlign w:val="center"/>
          </w:tcPr>
          <w:p w14:paraId="1997D12B"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p>
        </w:tc>
        <w:tc>
          <w:tcPr>
            <w:tcW w:w="1159" w:type="dxa"/>
            <w:vAlign w:val="center"/>
          </w:tcPr>
          <w:p w14:paraId="704017DD"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p>
        </w:tc>
      </w:tr>
      <w:tr w:rsidR="004E2F51" w:rsidRPr="001B015B" w14:paraId="4393CB79" w14:textId="77777777" w:rsidTr="00E032FC">
        <w:trPr>
          <w:trHeight w:val="159"/>
        </w:trPr>
        <w:tc>
          <w:tcPr>
            <w:tcW w:w="3912" w:type="dxa"/>
            <w:vAlign w:val="center"/>
            <w:hideMark/>
          </w:tcPr>
          <w:p w14:paraId="6E541128" w14:textId="77777777" w:rsidR="004E2F51" w:rsidRPr="001B015B" w:rsidRDefault="004E2F51" w:rsidP="00E032FC">
            <w:pPr>
              <w:spacing w:line="256" w:lineRule="auto"/>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 xml:space="preserve">31. </w:t>
            </w:r>
            <w:proofErr w:type="spellStart"/>
            <w:r w:rsidRPr="001B015B">
              <w:rPr>
                <w:rFonts w:ascii="Arial" w:eastAsia="Calibri" w:hAnsi="Arial" w:cs="Arial"/>
                <w:b/>
                <w:bCs/>
                <w:color w:val="000000" w:themeColor="text1"/>
                <w:sz w:val="18"/>
                <w:szCs w:val="18"/>
              </w:rPr>
              <w:t>prosinca</w:t>
            </w:r>
            <w:proofErr w:type="spellEnd"/>
            <w:r w:rsidRPr="001B015B">
              <w:rPr>
                <w:rFonts w:ascii="Arial" w:eastAsia="Calibri" w:hAnsi="Arial" w:cs="Arial"/>
                <w:b/>
                <w:bCs/>
                <w:color w:val="000000" w:themeColor="text1"/>
                <w:sz w:val="18"/>
                <w:szCs w:val="18"/>
              </w:rPr>
              <w:t xml:space="preserve"> 2021.</w:t>
            </w:r>
          </w:p>
        </w:tc>
        <w:tc>
          <w:tcPr>
            <w:tcW w:w="1081" w:type="dxa"/>
            <w:vAlign w:val="center"/>
            <w:hideMark/>
          </w:tcPr>
          <w:p w14:paraId="2A231D93"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Stupanj</w:t>
            </w:r>
            <w:proofErr w:type="spellEnd"/>
            <w:r w:rsidRPr="001B015B">
              <w:rPr>
                <w:rFonts w:ascii="Arial" w:eastAsia="Calibri" w:hAnsi="Arial" w:cs="Arial"/>
                <w:b/>
                <w:bCs/>
                <w:color w:val="000000" w:themeColor="text1"/>
                <w:sz w:val="18"/>
                <w:szCs w:val="18"/>
              </w:rPr>
              <w:t xml:space="preserve"> 1</w:t>
            </w:r>
          </w:p>
        </w:tc>
        <w:tc>
          <w:tcPr>
            <w:tcW w:w="1082" w:type="dxa"/>
            <w:vAlign w:val="center"/>
            <w:hideMark/>
          </w:tcPr>
          <w:p w14:paraId="20325590"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Stupanj</w:t>
            </w:r>
            <w:proofErr w:type="spellEnd"/>
            <w:r w:rsidRPr="001B015B">
              <w:rPr>
                <w:rFonts w:ascii="Arial" w:eastAsia="Calibri" w:hAnsi="Arial" w:cs="Arial"/>
                <w:b/>
                <w:bCs/>
                <w:color w:val="000000" w:themeColor="text1"/>
                <w:sz w:val="18"/>
                <w:szCs w:val="18"/>
              </w:rPr>
              <w:t xml:space="preserve"> 2</w:t>
            </w:r>
          </w:p>
        </w:tc>
        <w:tc>
          <w:tcPr>
            <w:tcW w:w="1081" w:type="dxa"/>
            <w:vAlign w:val="center"/>
            <w:hideMark/>
          </w:tcPr>
          <w:p w14:paraId="460941E4"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Stupanj</w:t>
            </w:r>
            <w:proofErr w:type="spellEnd"/>
            <w:r w:rsidRPr="001B015B">
              <w:rPr>
                <w:rFonts w:ascii="Arial" w:eastAsia="Calibri" w:hAnsi="Arial" w:cs="Arial"/>
                <w:b/>
                <w:bCs/>
                <w:color w:val="000000" w:themeColor="text1"/>
                <w:sz w:val="18"/>
                <w:szCs w:val="18"/>
              </w:rPr>
              <w:t xml:space="preserve"> 3</w:t>
            </w:r>
          </w:p>
        </w:tc>
        <w:tc>
          <w:tcPr>
            <w:tcW w:w="1048" w:type="dxa"/>
            <w:vAlign w:val="center"/>
            <w:hideMark/>
          </w:tcPr>
          <w:p w14:paraId="6C3193BA"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POCI</w:t>
            </w:r>
          </w:p>
        </w:tc>
        <w:tc>
          <w:tcPr>
            <w:tcW w:w="1159" w:type="dxa"/>
            <w:vAlign w:val="center"/>
            <w:hideMark/>
          </w:tcPr>
          <w:p w14:paraId="44FD46D9"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proofErr w:type="spellStart"/>
            <w:r w:rsidRPr="001B015B">
              <w:rPr>
                <w:rFonts w:ascii="Arial" w:eastAsia="Calibri" w:hAnsi="Arial" w:cs="Arial"/>
                <w:b/>
                <w:bCs/>
                <w:color w:val="000000" w:themeColor="text1"/>
                <w:sz w:val="18"/>
                <w:szCs w:val="18"/>
              </w:rPr>
              <w:t>Ukupno</w:t>
            </w:r>
            <w:proofErr w:type="spellEnd"/>
          </w:p>
        </w:tc>
      </w:tr>
      <w:tr w:rsidR="004E2F51" w:rsidRPr="001B015B" w14:paraId="323E3CBF" w14:textId="77777777" w:rsidTr="00E032FC">
        <w:trPr>
          <w:trHeight w:val="159"/>
        </w:trPr>
        <w:tc>
          <w:tcPr>
            <w:tcW w:w="3912" w:type="dxa"/>
            <w:vAlign w:val="center"/>
            <w:hideMark/>
          </w:tcPr>
          <w:p w14:paraId="17F1B63A" w14:textId="77777777" w:rsidR="004E2F51" w:rsidRPr="001B015B" w:rsidRDefault="004E2F51" w:rsidP="00E032FC">
            <w:pPr>
              <w:rPr>
                <w:rFonts w:ascii="Arial" w:eastAsia="Calibri" w:hAnsi="Arial" w:cs="Arial"/>
                <w:b/>
                <w:bCs/>
                <w:color w:val="000000" w:themeColor="text1"/>
                <w:sz w:val="18"/>
                <w:szCs w:val="18"/>
              </w:rPr>
            </w:pPr>
          </w:p>
        </w:tc>
        <w:tc>
          <w:tcPr>
            <w:tcW w:w="1081" w:type="dxa"/>
            <w:vAlign w:val="center"/>
            <w:hideMark/>
          </w:tcPr>
          <w:p w14:paraId="2EE89DAC"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 xml:space="preserve">000 </w:t>
            </w:r>
            <w:proofErr w:type="spellStart"/>
            <w:r w:rsidRPr="001B015B">
              <w:rPr>
                <w:rFonts w:ascii="Arial" w:eastAsia="Calibri" w:hAnsi="Arial" w:cs="Arial"/>
                <w:b/>
                <w:bCs/>
                <w:color w:val="000000" w:themeColor="text1"/>
                <w:sz w:val="18"/>
                <w:szCs w:val="18"/>
              </w:rPr>
              <w:t>kuna</w:t>
            </w:r>
            <w:proofErr w:type="spellEnd"/>
          </w:p>
        </w:tc>
        <w:tc>
          <w:tcPr>
            <w:tcW w:w="1082" w:type="dxa"/>
            <w:vAlign w:val="center"/>
            <w:hideMark/>
          </w:tcPr>
          <w:p w14:paraId="2CF597B7"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 xml:space="preserve">000 </w:t>
            </w:r>
            <w:proofErr w:type="spellStart"/>
            <w:r w:rsidRPr="001B015B">
              <w:rPr>
                <w:rFonts w:ascii="Arial" w:eastAsia="Calibri" w:hAnsi="Arial" w:cs="Arial"/>
                <w:b/>
                <w:bCs/>
                <w:color w:val="000000" w:themeColor="text1"/>
                <w:sz w:val="18"/>
                <w:szCs w:val="18"/>
              </w:rPr>
              <w:t>kuna</w:t>
            </w:r>
            <w:proofErr w:type="spellEnd"/>
          </w:p>
        </w:tc>
        <w:tc>
          <w:tcPr>
            <w:tcW w:w="1081" w:type="dxa"/>
            <w:vAlign w:val="center"/>
            <w:hideMark/>
          </w:tcPr>
          <w:p w14:paraId="64CA2537"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 xml:space="preserve">000 </w:t>
            </w:r>
            <w:proofErr w:type="spellStart"/>
            <w:r w:rsidRPr="001B015B">
              <w:rPr>
                <w:rFonts w:ascii="Arial" w:eastAsia="Calibri" w:hAnsi="Arial" w:cs="Arial"/>
                <w:b/>
                <w:bCs/>
                <w:color w:val="000000" w:themeColor="text1"/>
                <w:sz w:val="18"/>
                <w:szCs w:val="18"/>
              </w:rPr>
              <w:t>kuna</w:t>
            </w:r>
            <w:proofErr w:type="spellEnd"/>
          </w:p>
        </w:tc>
        <w:tc>
          <w:tcPr>
            <w:tcW w:w="1048" w:type="dxa"/>
            <w:vAlign w:val="center"/>
            <w:hideMark/>
          </w:tcPr>
          <w:p w14:paraId="3A0291BD"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 xml:space="preserve">000 </w:t>
            </w:r>
            <w:proofErr w:type="spellStart"/>
            <w:r w:rsidRPr="001B015B">
              <w:rPr>
                <w:rFonts w:ascii="Arial" w:eastAsia="Calibri" w:hAnsi="Arial" w:cs="Arial"/>
                <w:b/>
                <w:bCs/>
                <w:color w:val="000000" w:themeColor="text1"/>
                <w:sz w:val="18"/>
                <w:szCs w:val="18"/>
              </w:rPr>
              <w:t>kuna</w:t>
            </w:r>
            <w:proofErr w:type="spellEnd"/>
          </w:p>
        </w:tc>
        <w:tc>
          <w:tcPr>
            <w:tcW w:w="1159" w:type="dxa"/>
            <w:vAlign w:val="center"/>
            <w:hideMark/>
          </w:tcPr>
          <w:p w14:paraId="0F9DC293" w14:textId="77777777" w:rsidR="004E2F51" w:rsidRPr="001B015B" w:rsidRDefault="004E2F51" w:rsidP="00E032FC">
            <w:pPr>
              <w:spacing w:line="256" w:lineRule="auto"/>
              <w:jc w:val="right"/>
              <w:rPr>
                <w:rFonts w:ascii="Arial" w:eastAsia="Calibri" w:hAnsi="Arial" w:cs="Arial"/>
                <w:b/>
                <w:bCs/>
                <w:color w:val="000000" w:themeColor="text1"/>
                <w:sz w:val="18"/>
                <w:szCs w:val="18"/>
              </w:rPr>
            </w:pPr>
            <w:r w:rsidRPr="001B015B">
              <w:rPr>
                <w:rFonts w:ascii="Arial" w:eastAsia="Calibri" w:hAnsi="Arial" w:cs="Arial"/>
                <w:b/>
                <w:bCs/>
                <w:color w:val="000000" w:themeColor="text1"/>
                <w:sz w:val="18"/>
                <w:szCs w:val="18"/>
              </w:rPr>
              <w:t xml:space="preserve">000 </w:t>
            </w:r>
            <w:proofErr w:type="spellStart"/>
            <w:r w:rsidRPr="001B015B">
              <w:rPr>
                <w:rFonts w:ascii="Arial" w:eastAsia="Calibri" w:hAnsi="Arial" w:cs="Arial"/>
                <w:b/>
                <w:bCs/>
                <w:color w:val="000000" w:themeColor="text1"/>
                <w:sz w:val="18"/>
                <w:szCs w:val="18"/>
              </w:rPr>
              <w:t>kuna</w:t>
            </w:r>
            <w:proofErr w:type="spellEnd"/>
          </w:p>
        </w:tc>
      </w:tr>
      <w:tr w:rsidR="004E2F51" w:rsidRPr="001B015B" w14:paraId="6E49DFC9" w14:textId="77777777" w:rsidTr="00E032FC">
        <w:trPr>
          <w:trHeight w:val="159"/>
        </w:trPr>
        <w:tc>
          <w:tcPr>
            <w:tcW w:w="3912" w:type="dxa"/>
            <w:vAlign w:val="center"/>
          </w:tcPr>
          <w:p w14:paraId="18AD3FD5" w14:textId="77777777" w:rsidR="004E2F51" w:rsidRPr="001B015B" w:rsidRDefault="004E2F51" w:rsidP="00E032FC">
            <w:pPr>
              <w:spacing w:line="256" w:lineRule="auto"/>
              <w:rPr>
                <w:rFonts w:ascii="Arial" w:eastAsia="Calibri" w:hAnsi="Arial" w:cs="Arial"/>
                <w:b/>
                <w:bCs/>
                <w:color w:val="000000" w:themeColor="text1"/>
                <w:sz w:val="18"/>
                <w:szCs w:val="18"/>
              </w:rPr>
            </w:pPr>
          </w:p>
        </w:tc>
        <w:tc>
          <w:tcPr>
            <w:tcW w:w="1081" w:type="dxa"/>
            <w:vAlign w:val="center"/>
          </w:tcPr>
          <w:p w14:paraId="49769D0E" w14:textId="77777777" w:rsidR="004E2F51" w:rsidRPr="001B015B" w:rsidRDefault="004E2F51" w:rsidP="00E032FC">
            <w:pPr>
              <w:spacing w:line="256" w:lineRule="auto"/>
              <w:rPr>
                <w:rFonts w:ascii="Arial" w:eastAsia="Calibri" w:hAnsi="Arial" w:cs="Arial"/>
                <w:b/>
                <w:bCs/>
                <w:color w:val="000000" w:themeColor="text1"/>
                <w:sz w:val="18"/>
                <w:szCs w:val="18"/>
              </w:rPr>
            </w:pPr>
          </w:p>
        </w:tc>
        <w:tc>
          <w:tcPr>
            <w:tcW w:w="1082" w:type="dxa"/>
            <w:vAlign w:val="center"/>
          </w:tcPr>
          <w:p w14:paraId="6673F148" w14:textId="77777777" w:rsidR="004E2F51" w:rsidRPr="001B015B" w:rsidRDefault="004E2F51" w:rsidP="00E032FC">
            <w:pPr>
              <w:spacing w:line="256" w:lineRule="auto"/>
              <w:rPr>
                <w:rFonts w:ascii="Arial" w:eastAsia="Calibri" w:hAnsi="Arial" w:cs="Arial"/>
                <w:b/>
                <w:bCs/>
                <w:color w:val="000000" w:themeColor="text1"/>
                <w:sz w:val="18"/>
                <w:szCs w:val="18"/>
              </w:rPr>
            </w:pPr>
          </w:p>
        </w:tc>
        <w:tc>
          <w:tcPr>
            <w:tcW w:w="1081" w:type="dxa"/>
            <w:vAlign w:val="center"/>
          </w:tcPr>
          <w:p w14:paraId="08FC5723" w14:textId="77777777" w:rsidR="004E2F51" w:rsidRPr="001B015B" w:rsidRDefault="004E2F51" w:rsidP="00E032FC">
            <w:pPr>
              <w:spacing w:line="256" w:lineRule="auto"/>
              <w:rPr>
                <w:rFonts w:ascii="Arial" w:eastAsia="Calibri" w:hAnsi="Arial" w:cs="Arial"/>
                <w:b/>
                <w:bCs/>
                <w:color w:val="000000" w:themeColor="text1"/>
                <w:sz w:val="18"/>
                <w:szCs w:val="18"/>
              </w:rPr>
            </w:pPr>
          </w:p>
        </w:tc>
        <w:tc>
          <w:tcPr>
            <w:tcW w:w="1048" w:type="dxa"/>
            <w:vAlign w:val="center"/>
          </w:tcPr>
          <w:p w14:paraId="53A7967B" w14:textId="77777777" w:rsidR="004E2F51" w:rsidRPr="001B015B" w:rsidRDefault="004E2F51" w:rsidP="00E032FC">
            <w:pPr>
              <w:spacing w:line="256" w:lineRule="auto"/>
              <w:rPr>
                <w:rFonts w:ascii="Arial" w:eastAsia="Calibri" w:hAnsi="Arial" w:cs="Arial"/>
                <w:b/>
                <w:bCs/>
                <w:color w:val="000000" w:themeColor="text1"/>
                <w:sz w:val="18"/>
                <w:szCs w:val="18"/>
              </w:rPr>
            </w:pPr>
          </w:p>
        </w:tc>
        <w:tc>
          <w:tcPr>
            <w:tcW w:w="1159" w:type="dxa"/>
            <w:vAlign w:val="center"/>
          </w:tcPr>
          <w:p w14:paraId="5F44D26F" w14:textId="77777777" w:rsidR="004E2F51" w:rsidRPr="001B015B" w:rsidRDefault="004E2F51" w:rsidP="00E032FC">
            <w:pPr>
              <w:spacing w:line="256" w:lineRule="auto"/>
              <w:rPr>
                <w:rFonts w:ascii="Arial" w:eastAsia="Calibri" w:hAnsi="Arial" w:cs="Arial"/>
                <w:b/>
                <w:bCs/>
                <w:color w:val="000000" w:themeColor="text1"/>
                <w:sz w:val="18"/>
                <w:szCs w:val="18"/>
              </w:rPr>
            </w:pPr>
          </w:p>
        </w:tc>
      </w:tr>
      <w:tr w:rsidR="004E2F51" w:rsidRPr="001B015B" w14:paraId="4015688E" w14:textId="77777777" w:rsidTr="00E032FC">
        <w:trPr>
          <w:trHeight w:val="159"/>
        </w:trPr>
        <w:tc>
          <w:tcPr>
            <w:tcW w:w="3912" w:type="dxa"/>
            <w:vAlign w:val="center"/>
            <w:hideMark/>
          </w:tcPr>
          <w:p w14:paraId="231B1EB4" w14:textId="77777777" w:rsidR="004E2F51" w:rsidRPr="001B015B" w:rsidRDefault="004E2F51" w:rsidP="00E032FC">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Stanje 1. siječnja 2021. </w:t>
            </w:r>
          </w:p>
        </w:tc>
        <w:tc>
          <w:tcPr>
            <w:tcW w:w="1081" w:type="dxa"/>
          </w:tcPr>
          <w:p w14:paraId="62759C7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353.077 </w:t>
            </w:r>
          </w:p>
        </w:tc>
        <w:tc>
          <w:tcPr>
            <w:tcW w:w="1082" w:type="dxa"/>
          </w:tcPr>
          <w:p w14:paraId="55000FC4" w14:textId="77777777" w:rsidR="004E2F51" w:rsidRPr="001B015B" w:rsidRDefault="004E2F51" w:rsidP="00E032FC">
            <w:pPr>
              <w:spacing w:line="256" w:lineRule="auto"/>
              <w:jc w:val="right"/>
              <w:rPr>
                <w:rFonts w:ascii="Arial" w:eastAsia="Calibri" w:hAnsi="Arial" w:cs="Arial"/>
                <w:color w:val="000000" w:themeColor="text1"/>
                <w:sz w:val="18"/>
                <w:szCs w:val="18"/>
                <w:lang w:val="hr-HR"/>
              </w:rPr>
            </w:pPr>
            <w:r w:rsidRPr="001B015B">
              <w:rPr>
                <w:rFonts w:ascii="Arial" w:hAnsi="Arial" w:cs="Arial"/>
                <w:sz w:val="18"/>
                <w:szCs w:val="18"/>
              </w:rPr>
              <w:t xml:space="preserve"> 517.219 </w:t>
            </w:r>
          </w:p>
        </w:tc>
        <w:tc>
          <w:tcPr>
            <w:tcW w:w="1081" w:type="dxa"/>
          </w:tcPr>
          <w:p w14:paraId="7E69B52E" w14:textId="77777777" w:rsidR="004E2F51" w:rsidRPr="001B015B" w:rsidRDefault="004E2F51" w:rsidP="00E032FC">
            <w:pPr>
              <w:spacing w:line="256" w:lineRule="auto"/>
              <w:jc w:val="right"/>
              <w:rPr>
                <w:rFonts w:ascii="Arial" w:eastAsia="Calibri" w:hAnsi="Arial" w:cs="Arial"/>
                <w:color w:val="000000" w:themeColor="text1"/>
                <w:sz w:val="18"/>
                <w:szCs w:val="18"/>
                <w:lang w:val="hr-HR"/>
              </w:rPr>
            </w:pPr>
            <w:r w:rsidRPr="001B015B">
              <w:rPr>
                <w:rFonts w:ascii="Arial" w:hAnsi="Arial" w:cs="Arial"/>
                <w:sz w:val="18"/>
                <w:szCs w:val="18"/>
              </w:rPr>
              <w:t xml:space="preserve"> 2.422.493 </w:t>
            </w:r>
          </w:p>
        </w:tc>
        <w:tc>
          <w:tcPr>
            <w:tcW w:w="1048" w:type="dxa"/>
          </w:tcPr>
          <w:p w14:paraId="3858A3E4" w14:textId="77777777" w:rsidR="004E2F51" w:rsidRPr="001B015B" w:rsidRDefault="004E2F51" w:rsidP="00E032FC">
            <w:pPr>
              <w:spacing w:line="256" w:lineRule="auto"/>
              <w:jc w:val="right"/>
              <w:rPr>
                <w:rFonts w:ascii="Arial" w:eastAsia="Calibri" w:hAnsi="Arial" w:cs="Arial"/>
                <w:color w:val="000000" w:themeColor="text1"/>
                <w:sz w:val="18"/>
                <w:szCs w:val="18"/>
                <w:lang w:val="hr-HR"/>
              </w:rPr>
            </w:pPr>
            <w:r w:rsidRPr="001B015B">
              <w:rPr>
                <w:rFonts w:ascii="Arial" w:hAnsi="Arial" w:cs="Arial"/>
                <w:sz w:val="18"/>
                <w:szCs w:val="18"/>
              </w:rPr>
              <w:t xml:space="preserve"> 182.941 </w:t>
            </w:r>
          </w:p>
        </w:tc>
        <w:tc>
          <w:tcPr>
            <w:tcW w:w="1159" w:type="dxa"/>
          </w:tcPr>
          <w:p w14:paraId="3B94372C" w14:textId="77777777" w:rsidR="004E2F51" w:rsidRPr="001B015B" w:rsidRDefault="004E2F51" w:rsidP="00E032FC">
            <w:pPr>
              <w:spacing w:line="256" w:lineRule="auto"/>
              <w:jc w:val="right"/>
              <w:rPr>
                <w:rFonts w:ascii="Arial" w:eastAsia="Calibri" w:hAnsi="Arial" w:cs="Arial"/>
                <w:color w:val="000000" w:themeColor="text1"/>
                <w:sz w:val="18"/>
                <w:szCs w:val="18"/>
                <w:lang w:val="hr-HR"/>
              </w:rPr>
            </w:pPr>
            <w:r w:rsidRPr="001B015B">
              <w:rPr>
                <w:rFonts w:ascii="Arial" w:hAnsi="Arial" w:cs="Arial"/>
                <w:sz w:val="18"/>
                <w:szCs w:val="18"/>
              </w:rPr>
              <w:t xml:space="preserve"> 3.475.730 </w:t>
            </w:r>
          </w:p>
        </w:tc>
      </w:tr>
      <w:tr w:rsidR="004E2F51" w:rsidRPr="001B015B" w14:paraId="3649B719" w14:textId="77777777" w:rsidTr="00E032FC">
        <w:trPr>
          <w:trHeight w:val="159"/>
        </w:trPr>
        <w:tc>
          <w:tcPr>
            <w:tcW w:w="3912" w:type="dxa"/>
            <w:hideMark/>
          </w:tcPr>
          <w:p w14:paraId="1058D3B3" w14:textId="77777777" w:rsidR="004E2F51" w:rsidRPr="001B015B" w:rsidRDefault="004E2F51" w:rsidP="00E032FC">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81" w:type="dxa"/>
          </w:tcPr>
          <w:p w14:paraId="3ABE31C6"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379.435 </w:t>
            </w:r>
          </w:p>
        </w:tc>
        <w:tc>
          <w:tcPr>
            <w:tcW w:w="1082" w:type="dxa"/>
          </w:tcPr>
          <w:p w14:paraId="2D88582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(310.274)</w:t>
            </w:r>
          </w:p>
        </w:tc>
        <w:tc>
          <w:tcPr>
            <w:tcW w:w="1081" w:type="dxa"/>
          </w:tcPr>
          <w:p w14:paraId="62AB17E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(69.161)</w:t>
            </w:r>
          </w:p>
        </w:tc>
        <w:tc>
          <w:tcPr>
            <w:tcW w:w="1048" w:type="dxa"/>
          </w:tcPr>
          <w:p w14:paraId="58C1C2A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59" w:type="dxa"/>
          </w:tcPr>
          <w:p w14:paraId="1C56500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r>
      <w:tr w:rsidR="004E2F51" w:rsidRPr="001B015B" w14:paraId="5671F7BE" w14:textId="77777777" w:rsidTr="00E032FC">
        <w:trPr>
          <w:trHeight w:val="159"/>
        </w:trPr>
        <w:tc>
          <w:tcPr>
            <w:tcW w:w="3912" w:type="dxa"/>
          </w:tcPr>
          <w:p w14:paraId="450212A6" w14:textId="77777777" w:rsidR="004E2F51" w:rsidRPr="001B015B" w:rsidRDefault="004E2F51" w:rsidP="00E032FC">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81" w:type="dxa"/>
          </w:tcPr>
          <w:p w14:paraId="7B92389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(38.794)</w:t>
            </w:r>
          </w:p>
        </w:tc>
        <w:tc>
          <w:tcPr>
            <w:tcW w:w="1082" w:type="dxa"/>
          </w:tcPr>
          <w:p w14:paraId="3392650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46.782 </w:t>
            </w:r>
          </w:p>
        </w:tc>
        <w:tc>
          <w:tcPr>
            <w:tcW w:w="1081" w:type="dxa"/>
          </w:tcPr>
          <w:p w14:paraId="123AABC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(7.988)</w:t>
            </w:r>
          </w:p>
        </w:tc>
        <w:tc>
          <w:tcPr>
            <w:tcW w:w="1048" w:type="dxa"/>
          </w:tcPr>
          <w:p w14:paraId="6FDC391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59" w:type="dxa"/>
          </w:tcPr>
          <w:p w14:paraId="6E87451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r>
      <w:tr w:rsidR="004E2F51" w:rsidRPr="001B015B" w14:paraId="514066C7" w14:textId="77777777" w:rsidTr="00E032FC">
        <w:trPr>
          <w:trHeight w:val="159"/>
        </w:trPr>
        <w:tc>
          <w:tcPr>
            <w:tcW w:w="3912" w:type="dxa"/>
          </w:tcPr>
          <w:p w14:paraId="6D3A0804" w14:textId="77777777" w:rsidR="004E2F51" w:rsidRPr="001B015B" w:rsidRDefault="004E2F51" w:rsidP="00E032FC">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81" w:type="dxa"/>
          </w:tcPr>
          <w:p w14:paraId="6652730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(268)</w:t>
            </w:r>
          </w:p>
        </w:tc>
        <w:tc>
          <w:tcPr>
            <w:tcW w:w="1082" w:type="dxa"/>
          </w:tcPr>
          <w:p w14:paraId="041454E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(50.314)</w:t>
            </w:r>
          </w:p>
        </w:tc>
        <w:tc>
          <w:tcPr>
            <w:tcW w:w="1081" w:type="dxa"/>
          </w:tcPr>
          <w:p w14:paraId="1B0AB91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40.135 </w:t>
            </w:r>
          </w:p>
        </w:tc>
        <w:tc>
          <w:tcPr>
            <w:tcW w:w="1048" w:type="dxa"/>
          </w:tcPr>
          <w:p w14:paraId="056BEC5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10.447 </w:t>
            </w:r>
          </w:p>
        </w:tc>
        <w:tc>
          <w:tcPr>
            <w:tcW w:w="1159" w:type="dxa"/>
          </w:tcPr>
          <w:p w14:paraId="1856B3E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r>
      <w:tr w:rsidR="004E2F51" w:rsidRPr="001B015B" w14:paraId="0AC049EE" w14:textId="77777777" w:rsidTr="00E032FC">
        <w:trPr>
          <w:trHeight w:val="198"/>
        </w:trPr>
        <w:tc>
          <w:tcPr>
            <w:tcW w:w="3912" w:type="dxa"/>
            <w:vAlign w:val="bottom"/>
            <w:hideMark/>
          </w:tcPr>
          <w:p w14:paraId="2EB3D389" w14:textId="77777777" w:rsidR="004E2F51" w:rsidRPr="001B015B" w:rsidRDefault="004E2F51" w:rsidP="00E032FC">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povećanje/(smanjenje) rezerviranja za očekivane gubitke </w:t>
            </w:r>
          </w:p>
        </w:tc>
        <w:tc>
          <w:tcPr>
            <w:tcW w:w="1081" w:type="dxa"/>
            <w:vAlign w:val="bottom"/>
          </w:tcPr>
          <w:p w14:paraId="43C6F02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(276.372)</w:t>
            </w:r>
          </w:p>
        </w:tc>
        <w:tc>
          <w:tcPr>
            <w:tcW w:w="1082" w:type="dxa"/>
            <w:vAlign w:val="bottom"/>
          </w:tcPr>
          <w:p w14:paraId="41F9048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353.926 </w:t>
            </w:r>
          </w:p>
        </w:tc>
        <w:tc>
          <w:tcPr>
            <w:tcW w:w="1081" w:type="dxa"/>
            <w:vAlign w:val="bottom"/>
          </w:tcPr>
          <w:p w14:paraId="092EA30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53.002 </w:t>
            </w:r>
          </w:p>
        </w:tc>
        <w:tc>
          <w:tcPr>
            <w:tcW w:w="1048" w:type="dxa"/>
            <w:vAlign w:val="bottom"/>
          </w:tcPr>
          <w:p w14:paraId="5D30248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(52.432)</w:t>
            </w:r>
          </w:p>
        </w:tc>
        <w:tc>
          <w:tcPr>
            <w:tcW w:w="1159" w:type="dxa"/>
            <w:vAlign w:val="bottom"/>
          </w:tcPr>
          <w:p w14:paraId="1AF6D7C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78.124 </w:t>
            </w:r>
          </w:p>
        </w:tc>
      </w:tr>
      <w:tr w:rsidR="004E2F51" w:rsidRPr="001B015B" w14:paraId="48E246B0" w14:textId="77777777" w:rsidTr="00E032FC">
        <w:trPr>
          <w:trHeight w:val="228"/>
        </w:trPr>
        <w:tc>
          <w:tcPr>
            <w:tcW w:w="3912" w:type="dxa"/>
            <w:hideMark/>
          </w:tcPr>
          <w:p w14:paraId="0DE0ED21" w14:textId="77777777" w:rsidR="004E2F51" w:rsidRPr="001B015B" w:rsidRDefault="004E2F51" w:rsidP="00E032FC">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081" w:type="dxa"/>
            <w:vAlign w:val="bottom"/>
          </w:tcPr>
          <w:p w14:paraId="08F5D146"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(33.698)</w:t>
            </w:r>
          </w:p>
        </w:tc>
        <w:tc>
          <w:tcPr>
            <w:tcW w:w="1082" w:type="dxa"/>
            <w:vAlign w:val="bottom"/>
          </w:tcPr>
          <w:p w14:paraId="596A2C7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1" w:type="dxa"/>
            <w:vAlign w:val="bottom"/>
          </w:tcPr>
          <w:p w14:paraId="5937C5D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(272.492)</w:t>
            </w:r>
          </w:p>
        </w:tc>
        <w:tc>
          <w:tcPr>
            <w:tcW w:w="1048" w:type="dxa"/>
            <w:vAlign w:val="bottom"/>
          </w:tcPr>
          <w:p w14:paraId="4BAE8ED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59" w:type="dxa"/>
            <w:vAlign w:val="bottom"/>
          </w:tcPr>
          <w:p w14:paraId="02A9D87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(306.190)</w:t>
            </w:r>
          </w:p>
        </w:tc>
      </w:tr>
      <w:tr w:rsidR="004E2F51" w:rsidRPr="001B015B" w14:paraId="180539B6" w14:textId="77777777" w:rsidTr="00E032FC">
        <w:trPr>
          <w:trHeight w:val="228"/>
        </w:trPr>
        <w:tc>
          <w:tcPr>
            <w:tcW w:w="3912" w:type="dxa"/>
            <w:hideMark/>
          </w:tcPr>
          <w:p w14:paraId="2BBEB8A4" w14:textId="77777777" w:rsidR="004E2F51" w:rsidRPr="001B015B" w:rsidRDefault="004E2F51" w:rsidP="00E032FC">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Unwinding - promjena uslijed proteka vremena</w:t>
            </w:r>
          </w:p>
        </w:tc>
        <w:tc>
          <w:tcPr>
            <w:tcW w:w="1081" w:type="dxa"/>
            <w:vAlign w:val="bottom"/>
          </w:tcPr>
          <w:p w14:paraId="4EBE28D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(1.574)</w:t>
            </w:r>
          </w:p>
        </w:tc>
        <w:tc>
          <w:tcPr>
            <w:tcW w:w="1082" w:type="dxa"/>
            <w:vAlign w:val="bottom"/>
          </w:tcPr>
          <w:p w14:paraId="7032BCD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(1.131)</w:t>
            </w:r>
          </w:p>
        </w:tc>
        <w:tc>
          <w:tcPr>
            <w:tcW w:w="1081" w:type="dxa"/>
            <w:vAlign w:val="bottom"/>
          </w:tcPr>
          <w:p w14:paraId="6582748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7.575 </w:t>
            </w:r>
          </w:p>
        </w:tc>
        <w:tc>
          <w:tcPr>
            <w:tcW w:w="1048" w:type="dxa"/>
            <w:vAlign w:val="bottom"/>
          </w:tcPr>
          <w:p w14:paraId="58BDD16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20.217 </w:t>
            </w:r>
          </w:p>
        </w:tc>
        <w:tc>
          <w:tcPr>
            <w:tcW w:w="1159" w:type="dxa"/>
            <w:vAlign w:val="bottom"/>
          </w:tcPr>
          <w:p w14:paraId="0518807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25.087 </w:t>
            </w:r>
          </w:p>
        </w:tc>
      </w:tr>
      <w:tr w:rsidR="004E2F51" w:rsidRPr="001B015B" w14:paraId="799582F6" w14:textId="77777777" w:rsidTr="00E032FC">
        <w:trPr>
          <w:trHeight w:val="228"/>
        </w:trPr>
        <w:tc>
          <w:tcPr>
            <w:tcW w:w="3912" w:type="dxa"/>
            <w:hideMark/>
          </w:tcPr>
          <w:p w14:paraId="1B83C4D9" w14:textId="77777777" w:rsidR="004E2F51" w:rsidRPr="001B015B" w:rsidRDefault="004E2F51" w:rsidP="00E032FC">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Donos sa kredita financijskim institucijama</w:t>
            </w:r>
          </w:p>
        </w:tc>
        <w:tc>
          <w:tcPr>
            <w:tcW w:w="1081" w:type="dxa"/>
            <w:vAlign w:val="bottom"/>
          </w:tcPr>
          <w:p w14:paraId="2923887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lang w:val="it-IT"/>
              </w:rPr>
              <w:t xml:space="preserve"> </w:t>
            </w:r>
            <w:r w:rsidRPr="001B015B">
              <w:rPr>
                <w:rFonts w:ascii="Arial" w:hAnsi="Arial" w:cs="Arial"/>
                <w:sz w:val="18"/>
                <w:szCs w:val="18"/>
              </w:rPr>
              <w:t xml:space="preserve">- </w:t>
            </w:r>
          </w:p>
        </w:tc>
        <w:tc>
          <w:tcPr>
            <w:tcW w:w="1082" w:type="dxa"/>
            <w:vAlign w:val="bottom"/>
          </w:tcPr>
          <w:p w14:paraId="5337B3B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16 </w:t>
            </w:r>
          </w:p>
        </w:tc>
        <w:tc>
          <w:tcPr>
            <w:tcW w:w="1081" w:type="dxa"/>
            <w:vAlign w:val="bottom"/>
          </w:tcPr>
          <w:p w14:paraId="1AF770C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48" w:type="dxa"/>
            <w:vAlign w:val="bottom"/>
          </w:tcPr>
          <w:p w14:paraId="21AEDD6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59" w:type="dxa"/>
            <w:vAlign w:val="bottom"/>
          </w:tcPr>
          <w:p w14:paraId="4C6FD6F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16 </w:t>
            </w:r>
          </w:p>
        </w:tc>
      </w:tr>
      <w:tr w:rsidR="004E2F51" w:rsidRPr="001B015B" w14:paraId="37036BA3" w14:textId="77777777" w:rsidTr="00E032FC">
        <w:trPr>
          <w:trHeight w:val="228"/>
        </w:trPr>
        <w:tc>
          <w:tcPr>
            <w:tcW w:w="3912" w:type="dxa"/>
            <w:hideMark/>
          </w:tcPr>
          <w:p w14:paraId="77CE0608" w14:textId="77777777" w:rsidR="004E2F51" w:rsidRPr="001B015B" w:rsidRDefault="004E2F51" w:rsidP="00E032FC">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Preuzimanje nekretnine</w:t>
            </w:r>
          </w:p>
        </w:tc>
        <w:tc>
          <w:tcPr>
            <w:tcW w:w="1081" w:type="dxa"/>
            <w:vAlign w:val="bottom"/>
          </w:tcPr>
          <w:p w14:paraId="35CA6C0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2" w:type="dxa"/>
            <w:vAlign w:val="bottom"/>
          </w:tcPr>
          <w:p w14:paraId="319FEE0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1" w:type="dxa"/>
            <w:vAlign w:val="bottom"/>
          </w:tcPr>
          <w:p w14:paraId="5F7BBBC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(737)</w:t>
            </w:r>
          </w:p>
        </w:tc>
        <w:tc>
          <w:tcPr>
            <w:tcW w:w="1048" w:type="dxa"/>
            <w:vAlign w:val="bottom"/>
          </w:tcPr>
          <w:p w14:paraId="28DF28A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59" w:type="dxa"/>
            <w:vAlign w:val="bottom"/>
          </w:tcPr>
          <w:p w14:paraId="1426FEA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(737)</w:t>
            </w:r>
          </w:p>
        </w:tc>
      </w:tr>
      <w:tr w:rsidR="004E2F51" w:rsidRPr="001B015B" w14:paraId="7572CDD9" w14:textId="77777777" w:rsidTr="00E032FC">
        <w:trPr>
          <w:trHeight w:val="228"/>
        </w:trPr>
        <w:tc>
          <w:tcPr>
            <w:tcW w:w="3912" w:type="dxa"/>
          </w:tcPr>
          <w:p w14:paraId="19451D71" w14:textId="77777777" w:rsidR="004E2F51" w:rsidRPr="001B015B" w:rsidRDefault="004E2F51" w:rsidP="00E032FC">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Ukidanje zbog svođenja na fer vrijednost</w:t>
            </w:r>
          </w:p>
        </w:tc>
        <w:tc>
          <w:tcPr>
            <w:tcW w:w="1081" w:type="dxa"/>
            <w:vAlign w:val="bottom"/>
          </w:tcPr>
          <w:p w14:paraId="0B8727A2" w14:textId="77777777" w:rsidR="004E2F51" w:rsidRPr="001B015B" w:rsidRDefault="004E2F51" w:rsidP="00E032FC">
            <w:pPr>
              <w:jc w:val="right"/>
              <w:rPr>
                <w:rFonts w:ascii="Arial" w:hAnsi="Arial" w:cs="Arial"/>
                <w:sz w:val="18"/>
                <w:szCs w:val="18"/>
              </w:rPr>
            </w:pPr>
            <w:r w:rsidRPr="001B015B">
              <w:rPr>
                <w:rFonts w:ascii="Arial" w:hAnsi="Arial" w:cs="Arial"/>
                <w:sz w:val="18"/>
                <w:szCs w:val="18"/>
              </w:rPr>
              <w:t xml:space="preserve"> - </w:t>
            </w:r>
          </w:p>
        </w:tc>
        <w:tc>
          <w:tcPr>
            <w:tcW w:w="1082" w:type="dxa"/>
            <w:vAlign w:val="bottom"/>
          </w:tcPr>
          <w:p w14:paraId="5B083270" w14:textId="77777777" w:rsidR="004E2F51" w:rsidRPr="001B015B" w:rsidRDefault="004E2F51" w:rsidP="00E032FC">
            <w:pPr>
              <w:jc w:val="right"/>
              <w:rPr>
                <w:rFonts w:ascii="Arial" w:hAnsi="Arial" w:cs="Arial"/>
                <w:sz w:val="18"/>
                <w:szCs w:val="18"/>
              </w:rPr>
            </w:pPr>
            <w:r w:rsidRPr="001B015B">
              <w:rPr>
                <w:rFonts w:ascii="Arial" w:hAnsi="Arial" w:cs="Arial"/>
                <w:sz w:val="18"/>
                <w:szCs w:val="18"/>
              </w:rPr>
              <w:t xml:space="preserve"> - </w:t>
            </w:r>
          </w:p>
        </w:tc>
        <w:tc>
          <w:tcPr>
            <w:tcW w:w="1081" w:type="dxa"/>
            <w:vAlign w:val="bottom"/>
          </w:tcPr>
          <w:p w14:paraId="6483E28E" w14:textId="77777777" w:rsidR="004E2F51" w:rsidRPr="001B015B" w:rsidRDefault="004E2F51" w:rsidP="00E032FC">
            <w:pPr>
              <w:jc w:val="right"/>
              <w:rPr>
                <w:rFonts w:ascii="Arial" w:hAnsi="Arial" w:cs="Arial"/>
                <w:sz w:val="18"/>
                <w:szCs w:val="18"/>
              </w:rPr>
            </w:pPr>
            <w:r w:rsidRPr="001B015B">
              <w:rPr>
                <w:rFonts w:ascii="Arial" w:hAnsi="Arial" w:cs="Arial"/>
                <w:sz w:val="18"/>
                <w:szCs w:val="18"/>
              </w:rPr>
              <w:t xml:space="preserve"> (84.977)</w:t>
            </w:r>
          </w:p>
        </w:tc>
        <w:tc>
          <w:tcPr>
            <w:tcW w:w="1048" w:type="dxa"/>
            <w:vAlign w:val="bottom"/>
          </w:tcPr>
          <w:p w14:paraId="329742B2" w14:textId="77777777" w:rsidR="004E2F51" w:rsidRPr="001B015B" w:rsidRDefault="004E2F51" w:rsidP="00E032FC">
            <w:pPr>
              <w:jc w:val="right"/>
              <w:rPr>
                <w:rFonts w:ascii="Arial" w:hAnsi="Arial" w:cs="Arial"/>
                <w:sz w:val="18"/>
                <w:szCs w:val="18"/>
              </w:rPr>
            </w:pPr>
            <w:r w:rsidRPr="001B015B">
              <w:rPr>
                <w:rFonts w:ascii="Arial" w:hAnsi="Arial" w:cs="Arial"/>
                <w:sz w:val="18"/>
                <w:szCs w:val="18"/>
              </w:rPr>
              <w:t xml:space="preserve"> 36.958 </w:t>
            </w:r>
          </w:p>
        </w:tc>
        <w:tc>
          <w:tcPr>
            <w:tcW w:w="1159" w:type="dxa"/>
            <w:vAlign w:val="bottom"/>
          </w:tcPr>
          <w:p w14:paraId="6FE669B9" w14:textId="77777777" w:rsidR="004E2F51" w:rsidRPr="001B015B" w:rsidRDefault="004E2F51" w:rsidP="00E032FC">
            <w:pPr>
              <w:jc w:val="right"/>
              <w:rPr>
                <w:rFonts w:ascii="Arial" w:hAnsi="Arial" w:cs="Arial"/>
                <w:sz w:val="18"/>
                <w:szCs w:val="18"/>
              </w:rPr>
            </w:pPr>
            <w:r w:rsidRPr="001B015B">
              <w:rPr>
                <w:rFonts w:ascii="Arial" w:hAnsi="Arial" w:cs="Arial"/>
                <w:sz w:val="18"/>
                <w:szCs w:val="18"/>
              </w:rPr>
              <w:t xml:space="preserve"> (48.019)</w:t>
            </w:r>
          </w:p>
        </w:tc>
      </w:tr>
      <w:tr w:rsidR="004E2F51" w:rsidRPr="001B015B" w14:paraId="66864E3A" w14:textId="77777777" w:rsidTr="00E032FC">
        <w:trPr>
          <w:trHeight w:val="228"/>
        </w:trPr>
        <w:tc>
          <w:tcPr>
            <w:tcW w:w="3912" w:type="dxa"/>
          </w:tcPr>
          <w:p w14:paraId="504FF08C" w14:textId="77777777" w:rsidR="004E2F51" w:rsidRPr="001B015B" w:rsidRDefault="004E2F51" w:rsidP="00E032FC">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Ostalo</w:t>
            </w:r>
          </w:p>
        </w:tc>
        <w:tc>
          <w:tcPr>
            <w:tcW w:w="1081" w:type="dxa"/>
            <w:vAlign w:val="bottom"/>
          </w:tcPr>
          <w:p w14:paraId="25CC084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2" w:type="dxa"/>
            <w:vAlign w:val="bottom"/>
          </w:tcPr>
          <w:p w14:paraId="1F67127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81" w:type="dxa"/>
            <w:vAlign w:val="bottom"/>
          </w:tcPr>
          <w:p w14:paraId="503D3F2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48" w:type="dxa"/>
            <w:vAlign w:val="bottom"/>
          </w:tcPr>
          <w:p w14:paraId="58AD34D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21.427 </w:t>
            </w:r>
          </w:p>
        </w:tc>
        <w:tc>
          <w:tcPr>
            <w:tcW w:w="1159" w:type="dxa"/>
            <w:vAlign w:val="bottom"/>
          </w:tcPr>
          <w:p w14:paraId="07D08B8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21.427 </w:t>
            </w:r>
          </w:p>
        </w:tc>
      </w:tr>
      <w:tr w:rsidR="004E2F51" w:rsidRPr="001B015B" w14:paraId="3BE641FA" w14:textId="77777777" w:rsidTr="00E032FC">
        <w:trPr>
          <w:trHeight w:val="167"/>
        </w:trPr>
        <w:tc>
          <w:tcPr>
            <w:tcW w:w="3912" w:type="dxa"/>
            <w:vAlign w:val="center"/>
            <w:hideMark/>
          </w:tcPr>
          <w:p w14:paraId="4973F524" w14:textId="77777777" w:rsidR="004E2F51" w:rsidRPr="001B015B" w:rsidRDefault="004E2F51" w:rsidP="00E032FC">
            <w:pPr>
              <w:spacing w:line="256" w:lineRule="auto"/>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81" w:type="dxa"/>
            <w:tcBorders>
              <w:top w:val="nil"/>
              <w:left w:val="nil"/>
              <w:bottom w:val="single" w:sz="4" w:space="0" w:color="auto"/>
              <w:right w:val="nil"/>
            </w:tcBorders>
            <w:vAlign w:val="bottom"/>
          </w:tcPr>
          <w:p w14:paraId="0090396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(197)</w:t>
            </w:r>
          </w:p>
        </w:tc>
        <w:tc>
          <w:tcPr>
            <w:tcW w:w="1082" w:type="dxa"/>
            <w:tcBorders>
              <w:top w:val="nil"/>
              <w:left w:val="nil"/>
              <w:bottom w:val="single" w:sz="4" w:space="0" w:color="auto"/>
              <w:right w:val="nil"/>
            </w:tcBorders>
            <w:vAlign w:val="bottom"/>
          </w:tcPr>
          <w:p w14:paraId="37F6D74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(417)</w:t>
            </w:r>
          </w:p>
        </w:tc>
        <w:tc>
          <w:tcPr>
            <w:tcW w:w="1081" w:type="dxa"/>
            <w:tcBorders>
              <w:top w:val="nil"/>
              <w:left w:val="nil"/>
              <w:bottom w:val="single" w:sz="4" w:space="0" w:color="auto"/>
              <w:right w:val="nil"/>
            </w:tcBorders>
            <w:vAlign w:val="bottom"/>
          </w:tcPr>
          <w:p w14:paraId="13AE3EE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11.214 </w:t>
            </w:r>
          </w:p>
        </w:tc>
        <w:tc>
          <w:tcPr>
            <w:tcW w:w="1048" w:type="dxa"/>
            <w:tcBorders>
              <w:top w:val="nil"/>
              <w:left w:val="nil"/>
              <w:bottom w:val="single" w:sz="4" w:space="0" w:color="auto"/>
              <w:right w:val="nil"/>
            </w:tcBorders>
            <w:vAlign w:val="bottom"/>
          </w:tcPr>
          <w:p w14:paraId="1EAFDD0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(122)</w:t>
            </w:r>
          </w:p>
        </w:tc>
        <w:tc>
          <w:tcPr>
            <w:tcW w:w="1159" w:type="dxa"/>
            <w:tcBorders>
              <w:top w:val="nil"/>
              <w:left w:val="nil"/>
              <w:bottom w:val="single" w:sz="4" w:space="0" w:color="auto"/>
              <w:right w:val="nil"/>
            </w:tcBorders>
            <w:vAlign w:val="bottom"/>
          </w:tcPr>
          <w:p w14:paraId="5BBEA5A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10.478 </w:t>
            </w:r>
          </w:p>
        </w:tc>
      </w:tr>
      <w:tr w:rsidR="004E2F51" w:rsidRPr="001B015B" w14:paraId="60A6B0ED" w14:textId="77777777" w:rsidTr="00E032FC">
        <w:trPr>
          <w:trHeight w:val="276"/>
        </w:trPr>
        <w:tc>
          <w:tcPr>
            <w:tcW w:w="3912" w:type="dxa"/>
            <w:vAlign w:val="bottom"/>
            <w:hideMark/>
          </w:tcPr>
          <w:p w14:paraId="0B7DD7C9" w14:textId="77777777" w:rsidR="004E2F51" w:rsidRPr="001B015B" w:rsidRDefault="004E2F51" w:rsidP="00E032FC">
            <w:pPr>
              <w:spacing w:line="256" w:lineRule="auto"/>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2021.</w:t>
            </w:r>
          </w:p>
        </w:tc>
        <w:tc>
          <w:tcPr>
            <w:tcW w:w="1081" w:type="dxa"/>
            <w:tcBorders>
              <w:top w:val="single" w:sz="4" w:space="0" w:color="auto"/>
              <w:left w:val="nil"/>
              <w:bottom w:val="single" w:sz="12" w:space="0" w:color="auto"/>
              <w:right w:val="nil"/>
            </w:tcBorders>
            <w:shd w:val="clear" w:color="auto" w:fill="auto"/>
            <w:vAlign w:val="bottom"/>
          </w:tcPr>
          <w:p w14:paraId="75CBE3D4"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381.609 </w:t>
            </w:r>
          </w:p>
        </w:tc>
        <w:tc>
          <w:tcPr>
            <w:tcW w:w="1082" w:type="dxa"/>
            <w:tcBorders>
              <w:top w:val="single" w:sz="4" w:space="0" w:color="auto"/>
              <w:left w:val="nil"/>
              <w:bottom w:val="single" w:sz="12" w:space="0" w:color="auto"/>
              <w:right w:val="nil"/>
            </w:tcBorders>
            <w:shd w:val="clear" w:color="auto" w:fill="auto"/>
            <w:vAlign w:val="bottom"/>
          </w:tcPr>
          <w:p w14:paraId="29F0237E"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555.807 </w:t>
            </w:r>
          </w:p>
        </w:tc>
        <w:tc>
          <w:tcPr>
            <w:tcW w:w="1081" w:type="dxa"/>
            <w:tcBorders>
              <w:top w:val="single" w:sz="4" w:space="0" w:color="auto"/>
              <w:left w:val="nil"/>
              <w:bottom w:val="single" w:sz="12" w:space="0" w:color="auto"/>
              <w:right w:val="nil"/>
            </w:tcBorders>
            <w:shd w:val="clear" w:color="auto" w:fill="auto"/>
            <w:vAlign w:val="bottom"/>
          </w:tcPr>
          <w:p w14:paraId="7C8E6CC4"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2.099.064 </w:t>
            </w:r>
          </w:p>
        </w:tc>
        <w:tc>
          <w:tcPr>
            <w:tcW w:w="1048" w:type="dxa"/>
            <w:tcBorders>
              <w:top w:val="single" w:sz="4" w:space="0" w:color="auto"/>
              <w:left w:val="nil"/>
              <w:bottom w:val="single" w:sz="12" w:space="0" w:color="auto"/>
              <w:right w:val="nil"/>
            </w:tcBorders>
            <w:shd w:val="clear" w:color="auto" w:fill="auto"/>
            <w:vAlign w:val="bottom"/>
          </w:tcPr>
          <w:p w14:paraId="7EEF8CCA"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219.436 </w:t>
            </w:r>
          </w:p>
        </w:tc>
        <w:tc>
          <w:tcPr>
            <w:tcW w:w="1159" w:type="dxa"/>
            <w:tcBorders>
              <w:top w:val="single" w:sz="4" w:space="0" w:color="auto"/>
              <w:left w:val="nil"/>
              <w:bottom w:val="single" w:sz="12" w:space="0" w:color="auto"/>
              <w:right w:val="nil"/>
            </w:tcBorders>
            <w:shd w:val="clear" w:color="auto" w:fill="auto"/>
            <w:vAlign w:val="bottom"/>
          </w:tcPr>
          <w:p w14:paraId="46F92FAC"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3.255.916 </w:t>
            </w:r>
          </w:p>
        </w:tc>
      </w:tr>
    </w:tbl>
    <w:p w14:paraId="75DE4CF6" w14:textId="77777777" w:rsidR="004E2F51" w:rsidRPr="001B015B" w:rsidRDefault="004E2F51" w:rsidP="004E2F51">
      <w:pPr>
        <w:rPr>
          <w:rFonts w:ascii="Arial" w:eastAsia="Calibri" w:hAnsi="Arial" w:cs="Arial"/>
          <w:color w:val="000000" w:themeColor="text1"/>
          <w:sz w:val="20"/>
          <w:szCs w:val="20"/>
          <w:lang w:val="hr-HR"/>
        </w:rPr>
      </w:pPr>
    </w:p>
    <w:p w14:paraId="6C3B638A" w14:textId="77777777" w:rsidR="004E2F51" w:rsidRPr="001B015B" w:rsidRDefault="004E2F51" w:rsidP="004E2F51">
      <w:pPr>
        <w:rPr>
          <w:rFonts w:ascii="Arial" w:eastAsia="Calibri" w:hAnsi="Arial" w:cs="Arial"/>
          <w:color w:val="000000" w:themeColor="text1"/>
          <w:sz w:val="20"/>
          <w:szCs w:val="20"/>
          <w:lang w:val="hr-HR"/>
        </w:rPr>
        <w:sectPr w:rsidR="004E2F51" w:rsidRPr="001B015B" w:rsidSect="00623DBA">
          <w:footerReference w:type="default" r:id="rId197"/>
          <w:pgSz w:w="11906" w:h="16838"/>
          <w:pgMar w:top="1418" w:right="1134" w:bottom="1134" w:left="1418" w:header="708" w:footer="708" w:gutter="0"/>
          <w:cols w:space="708"/>
          <w:docGrid w:linePitch="360"/>
        </w:sectPr>
      </w:pPr>
    </w:p>
    <w:p w14:paraId="3D668DCF" w14:textId="77777777" w:rsidR="004E2F51" w:rsidRPr="001B015B" w:rsidRDefault="004E2F51" w:rsidP="004E2F51">
      <w:pPr>
        <w:keepNext/>
        <w:jc w:val="both"/>
        <w:rPr>
          <w:rFonts w:ascii="Arial" w:hAnsi="Arial" w:cs="Arial"/>
          <w:b/>
          <w:bCs/>
          <w:color w:val="000000" w:themeColor="text1"/>
          <w:sz w:val="20"/>
          <w:szCs w:val="20"/>
          <w:lang w:val="hr-HR"/>
        </w:rPr>
      </w:pPr>
    </w:p>
    <w:p w14:paraId="225B0E99"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w:t>
      </w:r>
      <w:r w:rsidRPr="001B015B">
        <w:rPr>
          <w:rFonts w:ascii="Arial" w:hAnsi="Arial" w:cs="Arial"/>
          <w:b/>
          <w:bCs/>
          <w:color w:val="000000" w:themeColor="text1"/>
          <w:sz w:val="20"/>
          <w:szCs w:val="20"/>
          <w:lang w:val="hr-HR"/>
        </w:rPr>
        <w:tab/>
        <w:t>Upravljanje rizicima (nastavak)</w:t>
      </w:r>
    </w:p>
    <w:p w14:paraId="1A4BD99A" w14:textId="77777777" w:rsidR="004E2F51" w:rsidRPr="001B015B" w:rsidRDefault="004E2F51" w:rsidP="004E2F51">
      <w:pPr>
        <w:keepNext/>
        <w:jc w:val="both"/>
        <w:rPr>
          <w:rFonts w:ascii="Arial" w:hAnsi="Arial" w:cs="Arial"/>
          <w:b/>
          <w:bCs/>
          <w:color w:val="000000" w:themeColor="text1"/>
          <w:sz w:val="20"/>
          <w:szCs w:val="20"/>
          <w:lang w:val="hr-HR"/>
        </w:rPr>
      </w:pPr>
    </w:p>
    <w:p w14:paraId="6AE7B080"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 xml:space="preserve">.3. </w:t>
      </w:r>
      <w:r w:rsidRPr="001B015B">
        <w:rPr>
          <w:rFonts w:ascii="Arial" w:hAnsi="Arial" w:cs="Arial"/>
          <w:b/>
          <w:bCs/>
          <w:color w:val="000000" w:themeColor="text1"/>
          <w:sz w:val="20"/>
          <w:szCs w:val="20"/>
          <w:lang w:val="hr-HR"/>
        </w:rPr>
        <w:tab/>
        <w:t>Kreditni rizik (nastavak)</w:t>
      </w:r>
    </w:p>
    <w:p w14:paraId="556B0A3F" w14:textId="77777777" w:rsidR="004E2F51" w:rsidRPr="001B015B" w:rsidRDefault="004E2F51" w:rsidP="004E2F51">
      <w:pPr>
        <w:keepNext/>
        <w:jc w:val="both"/>
        <w:rPr>
          <w:rFonts w:ascii="Arial" w:hAnsi="Arial" w:cs="Arial"/>
          <w:b/>
          <w:bCs/>
          <w:color w:val="000000" w:themeColor="text1"/>
          <w:sz w:val="20"/>
          <w:szCs w:val="20"/>
          <w:lang w:val="hr-HR"/>
        </w:rPr>
      </w:pPr>
    </w:p>
    <w:p w14:paraId="0674F486" w14:textId="77777777" w:rsidR="004E2F51" w:rsidRPr="001B015B" w:rsidRDefault="004E2F51" w:rsidP="004E2F51">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4FD55FCB" w14:textId="77777777" w:rsidR="004E2F51" w:rsidRPr="001B015B" w:rsidRDefault="004E2F51" w:rsidP="004E2F51">
      <w:pPr>
        <w:keepNext/>
        <w:tabs>
          <w:tab w:val="left" w:pos="284"/>
        </w:tabs>
        <w:jc w:val="both"/>
        <w:rPr>
          <w:rFonts w:ascii="Arial" w:hAnsi="Arial" w:cs="Arial"/>
          <w:bCs/>
          <w:i/>
          <w:color w:val="000000" w:themeColor="text1"/>
          <w:sz w:val="20"/>
          <w:szCs w:val="20"/>
          <w:lang w:val="hr-HR"/>
        </w:rPr>
      </w:pPr>
    </w:p>
    <w:p w14:paraId="47C8C18B"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Financijska imovina po fer vrijednosti kroz ostalu sveobuhvatnu dobit</w:t>
      </w:r>
    </w:p>
    <w:p w14:paraId="7BB5C051" w14:textId="77777777" w:rsidR="004E2F51" w:rsidRPr="001B015B" w:rsidRDefault="004E2F51" w:rsidP="004E2F51">
      <w:pPr>
        <w:keepNext/>
        <w:jc w:val="both"/>
        <w:rPr>
          <w:rFonts w:ascii="Arial" w:hAnsi="Arial" w:cs="Arial"/>
          <w:b/>
          <w:bCs/>
          <w:color w:val="000000" w:themeColor="text1"/>
          <w:sz w:val="20"/>
          <w:szCs w:val="20"/>
          <w:lang w:val="hr-HR"/>
        </w:rPr>
      </w:pPr>
    </w:p>
    <w:tbl>
      <w:tblPr>
        <w:tblW w:w="9369" w:type="dxa"/>
        <w:tblInd w:w="-180" w:type="dxa"/>
        <w:tblLook w:val="04A0" w:firstRow="1" w:lastRow="0" w:firstColumn="1" w:lastColumn="0" w:noHBand="0" w:noVBand="1"/>
      </w:tblPr>
      <w:tblGrid>
        <w:gridCol w:w="3947"/>
        <w:gridCol w:w="1198"/>
        <w:gridCol w:w="1015"/>
        <w:gridCol w:w="1015"/>
        <w:gridCol w:w="996"/>
        <w:gridCol w:w="1198"/>
      </w:tblGrid>
      <w:tr w:rsidR="004E2F51" w:rsidRPr="001B015B" w14:paraId="3C7178F5" w14:textId="77777777" w:rsidTr="00E032FC">
        <w:trPr>
          <w:trHeight w:val="172"/>
        </w:trPr>
        <w:tc>
          <w:tcPr>
            <w:tcW w:w="3947" w:type="dxa"/>
            <w:tcBorders>
              <w:top w:val="nil"/>
              <w:left w:val="nil"/>
              <w:bottom w:val="nil"/>
              <w:right w:val="nil"/>
            </w:tcBorders>
            <w:shd w:val="clear" w:color="auto" w:fill="auto"/>
            <w:vAlign w:val="center"/>
          </w:tcPr>
          <w:p w14:paraId="069FE6EE" w14:textId="77777777" w:rsidR="004E2F51" w:rsidRPr="001B015B" w:rsidRDefault="004E2F51" w:rsidP="00E032FC">
            <w:pPr>
              <w:rPr>
                <w:rFonts w:ascii="Arial" w:eastAsia="Calibri" w:hAnsi="Arial" w:cs="Arial"/>
                <w:b/>
                <w:bCs/>
                <w:color w:val="000000" w:themeColor="text1"/>
                <w:sz w:val="18"/>
                <w:szCs w:val="18"/>
                <w:lang w:val="hr-HR"/>
              </w:rPr>
            </w:pPr>
            <w:bookmarkStart w:id="1651" w:name="_Hlk5706812"/>
            <w:bookmarkStart w:id="1652" w:name="_Hlk123641020"/>
            <w:r w:rsidRPr="001B015B">
              <w:rPr>
                <w:rFonts w:ascii="Arial" w:eastAsia="Calibri" w:hAnsi="Arial" w:cs="Arial"/>
                <w:b/>
                <w:bCs/>
                <w:color w:val="000000" w:themeColor="text1"/>
                <w:sz w:val="18"/>
                <w:szCs w:val="18"/>
                <w:lang w:val="hr-HR"/>
              </w:rPr>
              <w:t xml:space="preserve">Grupa </w:t>
            </w:r>
          </w:p>
        </w:tc>
        <w:tc>
          <w:tcPr>
            <w:tcW w:w="1198" w:type="dxa"/>
            <w:tcBorders>
              <w:top w:val="nil"/>
              <w:left w:val="nil"/>
              <w:bottom w:val="nil"/>
              <w:right w:val="nil"/>
            </w:tcBorders>
            <w:shd w:val="clear" w:color="auto" w:fill="auto"/>
            <w:vAlign w:val="center"/>
          </w:tcPr>
          <w:p w14:paraId="3F6AE38C"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15" w:type="dxa"/>
            <w:tcBorders>
              <w:top w:val="nil"/>
              <w:left w:val="nil"/>
              <w:bottom w:val="nil"/>
              <w:right w:val="nil"/>
            </w:tcBorders>
            <w:shd w:val="clear" w:color="auto" w:fill="auto"/>
            <w:vAlign w:val="center"/>
          </w:tcPr>
          <w:p w14:paraId="02A83659"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15" w:type="dxa"/>
            <w:tcBorders>
              <w:top w:val="nil"/>
              <w:left w:val="nil"/>
              <w:bottom w:val="nil"/>
              <w:right w:val="nil"/>
            </w:tcBorders>
            <w:shd w:val="clear" w:color="auto" w:fill="auto"/>
            <w:vAlign w:val="center"/>
          </w:tcPr>
          <w:p w14:paraId="0A39A890"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996" w:type="dxa"/>
            <w:tcBorders>
              <w:top w:val="nil"/>
              <w:left w:val="nil"/>
              <w:bottom w:val="nil"/>
              <w:right w:val="nil"/>
            </w:tcBorders>
            <w:shd w:val="clear" w:color="auto" w:fill="auto"/>
            <w:vAlign w:val="center"/>
          </w:tcPr>
          <w:p w14:paraId="61044094"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7B2E5B4C" w14:textId="77777777" w:rsidR="004E2F51" w:rsidRPr="001B015B" w:rsidRDefault="004E2F51" w:rsidP="00E032FC">
            <w:pPr>
              <w:jc w:val="right"/>
              <w:rPr>
                <w:rFonts w:ascii="Arial" w:eastAsia="Calibri" w:hAnsi="Arial" w:cs="Arial"/>
                <w:b/>
                <w:bCs/>
                <w:color w:val="000000" w:themeColor="text1"/>
                <w:sz w:val="18"/>
                <w:szCs w:val="18"/>
                <w:lang w:val="hr-HR"/>
              </w:rPr>
            </w:pPr>
          </w:p>
        </w:tc>
      </w:tr>
      <w:bookmarkEnd w:id="1651"/>
      <w:tr w:rsidR="004E2F51" w:rsidRPr="001B015B" w14:paraId="0FC70353" w14:textId="77777777" w:rsidTr="00E032FC">
        <w:trPr>
          <w:trHeight w:val="172"/>
        </w:trPr>
        <w:tc>
          <w:tcPr>
            <w:tcW w:w="3947" w:type="dxa"/>
            <w:tcBorders>
              <w:top w:val="nil"/>
              <w:left w:val="nil"/>
              <w:bottom w:val="nil"/>
              <w:right w:val="nil"/>
            </w:tcBorders>
            <w:shd w:val="clear" w:color="auto" w:fill="auto"/>
            <w:vAlign w:val="center"/>
            <w:hideMark/>
          </w:tcPr>
          <w:p w14:paraId="683A1CB4"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198" w:type="dxa"/>
            <w:tcBorders>
              <w:top w:val="nil"/>
              <w:left w:val="nil"/>
              <w:bottom w:val="nil"/>
              <w:right w:val="nil"/>
            </w:tcBorders>
            <w:shd w:val="clear" w:color="auto" w:fill="auto"/>
            <w:vAlign w:val="center"/>
            <w:hideMark/>
          </w:tcPr>
          <w:p w14:paraId="186C0D18"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15" w:type="dxa"/>
            <w:tcBorders>
              <w:top w:val="nil"/>
              <w:left w:val="nil"/>
              <w:bottom w:val="nil"/>
              <w:right w:val="nil"/>
            </w:tcBorders>
            <w:shd w:val="clear" w:color="auto" w:fill="auto"/>
            <w:vAlign w:val="center"/>
            <w:hideMark/>
          </w:tcPr>
          <w:p w14:paraId="043F142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15" w:type="dxa"/>
            <w:tcBorders>
              <w:top w:val="nil"/>
              <w:left w:val="nil"/>
              <w:bottom w:val="nil"/>
              <w:right w:val="nil"/>
            </w:tcBorders>
            <w:shd w:val="clear" w:color="auto" w:fill="auto"/>
            <w:vAlign w:val="center"/>
            <w:hideMark/>
          </w:tcPr>
          <w:p w14:paraId="02F606FA"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6" w:type="dxa"/>
            <w:tcBorders>
              <w:top w:val="nil"/>
              <w:left w:val="nil"/>
              <w:bottom w:val="nil"/>
              <w:right w:val="nil"/>
            </w:tcBorders>
            <w:shd w:val="clear" w:color="auto" w:fill="auto"/>
            <w:vAlign w:val="center"/>
            <w:hideMark/>
          </w:tcPr>
          <w:p w14:paraId="33764544"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98" w:type="dxa"/>
            <w:tcBorders>
              <w:top w:val="nil"/>
              <w:left w:val="nil"/>
              <w:bottom w:val="nil"/>
              <w:right w:val="nil"/>
            </w:tcBorders>
            <w:shd w:val="clear" w:color="auto" w:fill="auto"/>
            <w:vAlign w:val="center"/>
            <w:hideMark/>
          </w:tcPr>
          <w:p w14:paraId="5B4C0E2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7350106C" w14:textId="77777777" w:rsidTr="00E032FC">
        <w:trPr>
          <w:trHeight w:val="172"/>
        </w:trPr>
        <w:tc>
          <w:tcPr>
            <w:tcW w:w="3947" w:type="dxa"/>
            <w:tcBorders>
              <w:top w:val="nil"/>
              <w:left w:val="nil"/>
              <w:bottom w:val="nil"/>
              <w:right w:val="nil"/>
            </w:tcBorders>
            <w:shd w:val="clear" w:color="auto" w:fill="auto"/>
            <w:vAlign w:val="center"/>
            <w:hideMark/>
          </w:tcPr>
          <w:p w14:paraId="60D739E1"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hideMark/>
          </w:tcPr>
          <w:p w14:paraId="3BD44574"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15" w:type="dxa"/>
            <w:tcBorders>
              <w:top w:val="nil"/>
              <w:left w:val="nil"/>
              <w:bottom w:val="nil"/>
              <w:right w:val="nil"/>
            </w:tcBorders>
            <w:shd w:val="clear" w:color="auto" w:fill="auto"/>
            <w:vAlign w:val="center"/>
            <w:hideMark/>
          </w:tcPr>
          <w:p w14:paraId="59794F60"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15" w:type="dxa"/>
            <w:tcBorders>
              <w:top w:val="nil"/>
              <w:left w:val="nil"/>
              <w:bottom w:val="nil"/>
              <w:right w:val="nil"/>
            </w:tcBorders>
            <w:shd w:val="clear" w:color="auto" w:fill="auto"/>
            <w:vAlign w:val="center"/>
            <w:hideMark/>
          </w:tcPr>
          <w:p w14:paraId="1DE706B8"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996" w:type="dxa"/>
            <w:tcBorders>
              <w:top w:val="nil"/>
              <w:left w:val="nil"/>
              <w:bottom w:val="nil"/>
              <w:right w:val="nil"/>
            </w:tcBorders>
            <w:shd w:val="clear" w:color="auto" w:fill="auto"/>
            <w:vAlign w:val="center"/>
            <w:hideMark/>
          </w:tcPr>
          <w:p w14:paraId="42F9897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198" w:type="dxa"/>
            <w:tcBorders>
              <w:top w:val="nil"/>
              <w:left w:val="nil"/>
              <w:bottom w:val="nil"/>
              <w:right w:val="nil"/>
            </w:tcBorders>
            <w:shd w:val="clear" w:color="auto" w:fill="auto"/>
            <w:vAlign w:val="center"/>
            <w:hideMark/>
          </w:tcPr>
          <w:p w14:paraId="7A1ADAFD"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419D11D7" w14:textId="77777777" w:rsidTr="00E032FC">
        <w:trPr>
          <w:trHeight w:val="172"/>
        </w:trPr>
        <w:tc>
          <w:tcPr>
            <w:tcW w:w="3947" w:type="dxa"/>
            <w:tcBorders>
              <w:top w:val="nil"/>
              <w:left w:val="nil"/>
              <w:bottom w:val="nil"/>
              <w:right w:val="nil"/>
            </w:tcBorders>
            <w:shd w:val="clear" w:color="auto" w:fill="auto"/>
            <w:vAlign w:val="center"/>
          </w:tcPr>
          <w:p w14:paraId="6192EA74"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5C3961A5"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15" w:type="dxa"/>
            <w:tcBorders>
              <w:top w:val="nil"/>
              <w:left w:val="nil"/>
              <w:bottom w:val="nil"/>
              <w:right w:val="nil"/>
            </w:tcBorders>
            <w:shd w:val="clear" w:color="auto" w:fill="auto"/>
            <w:vAlign w:val="center"/>
          </w:tcPr>
          <w:p w14:paraId="2063DA4C"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15" w:type="dxa"/>
            <w:tcBorders>
              <w:top w:val="nil"/>
              <w:left w:val="nil"/>
              <w:bottom w:val="nil"/>
              <w:right w:val="nil"/>
            </w:tcBorders>
            <w:shd w:val="clear" w:color="auto" w:fill="auto"/>
            <w:vAlign w:val="center"/>
          </w:tcPr>
          <w:p w14:paraId="31BA69E8"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996" w:type="dxa"/>
            <w:tcBorders>
              <w:top w:val="nil"/>
              <w:left w:val="nil"/>
              <w:bottom w:val="nil"/>
              <w:right w:val="nil"/>
            </w:tcBorders>
            <w:shd w:val="clear" w:color="auto" w:fill="auto"/>
            <w:vAlign w:val="center"/>
          </w:tcPr>
          <w:p w14:paraId="577DAA05"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0AF05943"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22E24355" w14:textId="77777777" w:rsidTr="00E032FC">
        <w:trPr>
          <w:trHeight w:val="172"/>
        </w:trPr>
        <w:tc>
          <w:tcPr>
            <w:tcW w:w="3947" w:type="dxa"/>
            <w:tcBorders>
              <w:top w:val="nil"/>
              <w:left w:val="nil"/>
              <w:bottom w:val="nil"/>
              <w:right w:val="nil"/>
            </w:tcBorders>
            <w:shd w:val="clear" w:color="auto" w:fill="auto"/>
            <w:vAlign w:val="center"/>
            <w:hideMark/>
          </w:tcPr>
          <w:p w14:paraId="41C24F47"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2</w:t>
            </w:r>
            <w:r w:rsidRPr="001B015B">
              <w:rPr>
                <w:rFonts w:ascii="Arial" w:eastAsia="Calibri" w:hAnsi="Arial" w:cs="Arial"/>
                <w:color w:val="000000" w:themeColor="text1"/>
                <w:sz w:val="18"/>
                <w:szCs w:val="18"/>
                <w:lang w:val="hr-HR"/>
              </w:rPr>
              <w:t xml:space="preserve">. </w:t>
            </w:r>
          </w:p>
        </w:tc>
        <w:tc>
          <w:tcPr>
            <w:tcW w:w="1198" w:type="dxa"/>
            <w:shd w:val="clear" w:color="auto" w:fill="auto"/>
            <w:vAlign w:val="bottom"/>
          </w:tcPr>
          <w:p w14:paraId="56683F64"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2.814 </w:t>
            </w:r>
          </w:p>
        </w:tc>
        <w:tc>
          <w:tcPr>
            <w:tcW w:w="1015" w:type="dxa"/>
            <w:shd w:val="clear" w:color="auto" w:fill="auto"/>
            <w:vAlign w:val="bottom"/>
          </w:tcPr>
          <w:p w14:paraId="7854CF0B"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 </w:t>
            </w:r>
          </w:p>
        </w:tc>
        <w:tc>
          <w:tcPr>
            <w:tcW w:w="1015" w:type="dxa"/>
            <w:shd w:val="clear" w:color="auto" w:fill="auto"/>
            <w:vAlign w:val="bottom"/>
          </w:tcPr>
          <w:p w14:paraId="6897D287"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1.731 </w:t>
            </w:r>
          </w:p>
        </w:tc>
        <w:tc>
          <w:tcPr>
            <w:tcW w:w="996" w:type="dxa"/>
            <w:shd w:val="clear" w:color="auto" w:fill="auto"/>
            <w:vAlign w:val="bottom"/>
          </w:tcPr>
          <w:p w14:paraId="237476DC"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    </w:t>
            </w:r>
          </w:p>
        </w:tc>
        <w:tc>
          <w:tcPr>
            <w:tcW w:w="1198" w:type="dxa"/>
            <w:shd w:val="clear" w:color="auto" w:fill="auto"/>
            <w:vAlign w:val="bottom"/>
          </w:tcPr>
          <w:p w14:paraId="4600AC64"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4.545 </w:t>
            </w:r>
          </w:p>
        </w:tc>
      </w:tr>
      <w:tr w:rsidR="004E2F51" w:rsidRPr="001B015B" w14:paraId="783C7128" w14:textId="77777777" w:rsidTr="00E032FC">
        <w:trPr>
          <w:trHeight w:val="172"/>
        </w:trPr>
        <w:tc>
          <w:tcPr>
            <w:tcW w:w="3947" w:type="dxa"/>
            <w:shd w:val="clear" w:color="auto" w:fill="auto"/>
          </w:tcPr>
          <w:p w14:paraId="5D3DE6E6"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98" w:type="dxa"/>
            <w:shd w:val="clear" w:color="auto" w:fill="auto"/>
            <w:vAlign w:val="bottom"/>
          </w:tcPr>
          <w:p w14:paraId="2ACFE949"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 </w:t>
            </w:r>
          </w:p>
        </w:tc>
        <w:tc>
          <w:tcPr>
            <w:tcW w:w="1015" w:type="dxa"/>
            <w:shd w:val="clear" w:color="auto" w:fill="auto"/>
            <w:vAlign w:val="bottom"/>
          </w:tcPr>
          <w:p w14:paraId="0535664C"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 </w:t>
            </w:r>
          </w:p>
        </w:tc>
        <w:tc>
          <w:tcPr>
            <w:tcW w:w="1015" w:type="dxa"/>
            <w:shd w:val="clear" w:color="auto" w:fill="auto"/>
            <w:vAlign w:val="bottom"/>
          </w:tcPr>
          <w:p w14:paraId="6CA21DBD"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 </w:t>
            </w:r>
          </w:p>
        </w:tc>
        <w:tc>
          <w:tcPr>
            <w:tcW w:w="996" w:type="dxa"/>
            <w:shd w:val="clear" w:color="auto" w:fill="auto"/>
            <w:vAlign w:val="bottom"/>
          </w:tcPr>
          <w:p w14:paraId="225BDB57"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 </w:t>
            </w:r>
          </w:p>
        </w:tc>
        <w:tc>
          <w:tcPr>
            <w:tcW w:w="1198" w:type="dxa"/>
            <w:shd w:val="clear" w:color="auto" w:fill="auto"/>
            <w:vAlign w:val="bottom"/>
          </w:tcPr>
          <w:p w14:paraId="38FA5FDD"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 </w:t>
            </w:r>
          </w:p>
        </w:tc>
      </w:tr>
      <w:tr w:rsidR="004E2F51" w:rsidRPr="001B015B" w14:paraId="5A26932A" w14:textId="77777777" w:rsidTr="00E032FC">
        <w:trPr>
          <w:trHeight w:val="172"/>
        </w:trPr>
        <w:tc>
          <w:tcPr>
            <w:tcW w:w="3947" w:type="dxa"/>
            <w:shd w:val="clear" w:color="auto" w:fill="auto"/>
          </w:tcPr>
          <w:p w14:paraId="41CDFD7F"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98" w:type="dxa"/>
            <w:shd w:val="clear" w:color="auto" w:fill="auto"/>
            <w:vAlign w:val="bottom"/>
          </w:tcPr>
          <w:p w14:paraId="1682D59E"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(42)</w:t>
            </w:r>
          </w:p>
        </w:tc>
        <w:tc>
          <w:tcPr>
            <w:tcW w:w="1015" w:type="dxa"/>
            <w:shd w:val="clear" w:color="auto" w:fill="auto"/>
            <w:vAlign w:val="bottom"/>
          </w:tcPr>
          <w:p w14:paraId="3449D821"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42 </w:t>
            </w:r>
          </w:p>
        </w:tc>
        <w:tc>
          <w:tcPr>
            <w:tcW w:w="1015" w:type="dxa"/>
            <w:shd w:val="clear" w:color="auto" w:fill="auto"/>
            <w:vAlign w:val="bottom"/>
          </w:tcPr>
          <w:p w14:paraId="0FF539A4"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 </w:t>
            </w:r>
          </w:p>
        </w:tc>
        <w:tc>
          <w:tcPr>
            <w:tcW w:w="996" w:type="dxa"/>
            <w:shd w:val="clear" w:color="auto" w:fill="auto"/>
            <w:vAlign w:val="bottom"/>
          </w:tcPr>
          <w:p w14:paraId="4DB0FF46"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 </w:t>
            </w:r>
          </w:p>
        </w:tc>
        <w:tc>
          <w:tcPr>
            <w:tcW w:w="1198" w:type="dxa"/>
            <w:shd w:val="clear" w:color="auto" w:fill="auto"/>
            <w:vAlign w:val="bottom"/>
          </w:tcPr>
          <w:p w14:paraId="1A3E1133"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 </w:t>
            </w:r>
          </w:p>
        </w:tc>
      </w:tr>
      <w:tr w:rsidR="004E2F51" w:rsidRPr="001B015B" w14:paraId="36370FF5" w14:textId="77777777" w:rsidTr="00E032FC">
        <w:trPr>
          <w:trHeight w:val="172"/>
        </w:trPr>
        <w:tc>
          <w:tcPr>
            <w:tcW w:w="3947" w:type="dxa"/>
            <w:shd w:val="clear" w:color="auto" w:fill="auto"/>
            <w:hideMark/>
          </w:tcPr>
          <w:p w14:paraId="14E89098"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98" w:type="dxa"/>
            <w:shd w:val="clear" w:color="auto" w:fill="auto"/>
            <w:vAlign w:val="bottom"/>
          </w:tcPr>
          <w:p w14:paraId="38FFE4FF"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 </w:t>
            </w:r>
          </w:p>
        </w:tc>
        <w:tc>
          <w:tcPr>
            <w:tcW w:w="1015" w:type="dxa"/>
            <w:shd w:val="clear" w:color="auto" w:fill="auto"/>
            <w:vAlign w:val="bottom"/>
          </w:tcPr>
          <w:p w14:paraId="4C00D2F1"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 </w:t>
            </w:r>
          </w:p>
        </w:tc>
        <w:tc>
          <w:tcPr>
            <w:tcW w:w="1015" w:type="dxa"/>
            <w:shd w:val="clear" w:color="auto" w:fill="auto"/>
            <w:vAlign w:val="bottom"/>
          </w:tcPr>
          <w:p w14:paraId="56A94C41"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 </w:t>
            </w:r>
          </w:p>
        </w:tc>
        <w:tc>
          <w:tcPr>
            <w:tcW w:w="996" w:type="dxa"/>
            <w:shd w:val="clear" w:color="auto" w:fill="auto"/>
            <w:vAlign w:val="bottom"/>
          </w:tcPr>
          <w:p w14:paraId="37DF3840"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 </w:t>
            </w:r>
          </w:p>
        </w:tc>
        <w:tc>
          <w:tcPr>
            <w:tcW w:w="1198" w:type="dxa"/>
            <w:shd w:val="clear" w:color="auto" w:fill="auto"/>
            <w:vAlign w:val="bottom"/>
          </w:tcPr>
          <w:p w14:paraId="097DB28A"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 </w:t>
            </w:r>
          </w:p>
        </w:tc>
      </w:tr>
      <w:tr w:rsidR="004E2F51" w:rsidRPr="001B015B" w14:paraId="1B3A29FC" w14:textId="77777777" w:rsidTr="00E032FC">
        <w:trPr>
          <w:trHeight w:val="214"/>
        </w:trPr>
        <w:tc>
          <w:tcPr>
            <w:tcW w:w="3947" w:type="dxa"/>
            <w:tcBorders>
              <w:top w:val="nil"/>
              <w:left w:val="nil"/>
              <w:bottom w:val="nil"/>
              <w:right w:val="nil"/>
            </w:tcBorders>
            <w:shd w:val="clear" w:color="auto" w:fill="auto"/>
            <w:vAlign w:val="center"/>
            <w:hideMark/>
          </w:tcPr>
          <w:p w14:paraId="796BE9D7"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4E2136">
              <w:rPr>
                <w:rFonts w:ascii="Arial" w:eastAsia="Calibri" w:hAnsi="Arial" w:cs="Arial"/>
                <w:color w:val="000000" w:themeColor="text1"/>
                <w:sz w:val="18"/>
                <w:szCs w:val="18"/>
                <w:lang w:val="hr-HR"/>
              </w:rPr>
              <w:t>(smanjenje)/povećanje (rezerviranja</w:t>
            </w:r>
            <w:r w:rsidRPr="001B015B">
              <w:rPr>
                <w:rFonts w:ascii="Arial" w:eastAsia="Calibri" w:hAnsi="Arial" w:cs="Arial"/>
                <w:color w:val="000000" w:themeColor="text1"/>
                <w:sz w:val="18"/>
                <w:szCs w:val="18"/>
                <w:lang w:val="hr-HR"/>
              </w:rPr>
              <w:t xml:space="preserve"> za očekivane gubitke </w:t>
            </w:r>
          </w:p>
        </w:tc>
        <w:tc>
          <w:tcPr>
            <w:tcW w:w="1198" w:type="dxa"/>
            <w:tcBorders>
              <w:top w:val="nil"/>
              <w:left w:val="nil"/>
              <w:bottom w:val="nil"/>
              <w:right w:val="nil"/>
            </w:tcBorders>
            <w:shd w:val="clear" w:color="auto" w:fill="auto"/>
            <w:vAlign w:val="bottom"/>
          </w:tcPr>
          <w:p w14:paraId="3BF6D404"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(219)</w:t>
            </w:r>
          </w:p>
        </w:tc>
        <w:tc>
          <w:tcPr>
            <w:tcW w:w="1015" w:type="dxa"/>
            <w:tcBorders>
              <w:top w:val="nil"/>
              <w:left w:val="nil"/>
              <w:bottom w:val="nil"/>
              <w:right w:val="nil"/>
            </w:tcBorders>
            <w:shd w:val="clear" w:color="auto" w:fill="auto"/>
            <w:vAlign w:val="bottom"/>
          </w:tcPr>
          <w:p w14:paraId="0730817C"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318 </w:t>
            </w:r>
          </w:p>
        </w:tc>
        <w:tc>
          <w:tcPr>
            <w:tcW w:w="1015" w:type="dxa"/>
            <w:tcBorders>
              <w:top w:val="nil"/>
              <w:left w:val="nil"/>
              <w:bottom w:val="nil"/>
              <w:right w:val="nil"/>
            </w:tcBorders>
            <w:shd w:val="clear" w:color="auto" w:fill="auto"/>
            <w:vAlign w:val="bottom"/>
          </w:tcPr>
          <w:p w14:paraId="6AE43854"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5 </w:t>
            </w:r>
          </w:p>
        </w:tc>
        <w:tc>
          <w:tcPr>
            <w:tcW w:w="996" w:type="dxa"/>
            <w:tcBorders>
              <w:top w:val="nil"/>
              <w:left w:val="nil"/>
              <w:bottom w:val="nil"/>
              <w:right w:val="nil"/>
            </w:tcBorders>
            <w:shd w:val="clear" w:color="auto" w:fill="auto"/>
            <w:vAlign w:val="bottom"/>
          </w:tcPr>
          <w:p w14:paraId="5051D6E4"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 </w:t>
            </w:r>
          </w:p>
        </w:tc>
        <w:tc>
          <w:tcPr>
            <w:tcW w:w="1198" w:type="dxa"/>
            <w:tcBorders>
              <w:top w:val="nil"/>
              <w:left w:val="nil"/>
              <w:bottom w:val="nil"/>
              <w:right w:val="nil"/>
            </w:tcBorders>
            <w:shd w:val="clear" w:color="auto" w:fill="auto"/>
            <w:vAlign w:val="bottom"/>
          </w:tcPr>
          <w:p w14:paraId="6EADC3B7"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104 </w:t>
            </w:r>
          </w:p>
        </w:tc>
      </w:tr>
      <w:tr w:rsidR="004E2F51" w:rsidRPr="001B015B" w14:paraId="5D1A0B23" w14:textId="77777777" w:rsidTr="00E032FC">
        <w:trPr>
          <w:trHeight w:val="180"/>
        </w:trPr>
        <w:tc>
          <w:tcPr>
            <w:tcW w:w="3947" w:type="dxa"/>
            <w:tcBorders>
              <w:top w:val="nil"/>
              <w:left w:val="nil"/>
              <w:bottom w:val="nil"/>
              <w:right w:val="nil"/>
            </w:tcBorders>
            <w:shd w:val="clear" w:color="auto" w:fill="auto"/>
            <w:vAlign w:val="center"/>
            <w:hideMark/>
          </w:tcPr>
          <w:p w14:paraId="21696E9B"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198" w:type="dxa"/>
            <w:tcBorders>
              <w:top w:val="nil"/>
              <w:left w:val="nil"/>
              <w:bottom w:val="single" w:sz="4" w:space="0" w:color="auto"/>
              <w:right w:val="nil"/>
            </w:tcBorders>
            <w:shd w:val="clear" w:color="auto" w:fill="auto"/>
            <w:vAlign w:val="bottom"/>
          </w:tcPr>
          <w:p w14:paraId="64C503C7" w14:textId="77777777" w:rsidR="004E2F51" w:rsidRPr="004E2136" w:rsidRDefault="004E2F51" w:rsidP="00E032FC">
            <w:pPr>
              <w:jc w:val="right"/>
              <w:rPr>
                <w:rFonts w:ascii="Arial" w:hAnsi="Arial" w:cs="Arial"/>
                <w:color w:val="000000"/>
                <w:sz w:val="18"/>
                <w:szCs w:val="18"/>
              </w:rPr>
            </w:pPr>
          </w:p>
        </w:tc>
        <w:tc>
          <w:tcPr>
            <w:tcW w:w="1015" w:type="dxa"/>
            <w:tcBorders>
              <w:top w:val="nil"/>
              <w:left w:val="nil"/>
              <w:bottom w:val="single" w:sz="4" w:space="0" w:color="auto"/>
              <w:right w:val="nil"/>
            </w:tcBorders>
            <w:shd w:val="clear" w:color="auto" w:fill="auto"/>
            <w:vAlign w:val="bottom"/>
          </w:tcPr>
          <w:p w14:paraId="752ED077"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 </w:t>
            </w:r>
          </w:p>
        </w:tc>
        <w:tc>
          <w:tcPr>
            <w:tcW w:w="1015" w:type="dxa"/>
            <w:tcBorders>
              <w:top w:val="nil"/>
              <w:left w:val="nil"/>
              <w:bottom w:val="single" w:sz="4" w:space="0" w:color="auto"/>
              <w:right w:val="nil"/>
            </w:tcBorders>
            <w:shd w:val="clear" w:color="auto" w:fill="auto"/>
            <w:vAlign w:val="bottom"/>
          </w:tcPr>
          <w:p w14:paraId="20006A01"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4 </w:t>
            </w:r>
          </w:p>
        </w:tc>
        <w:tc>
          <w:tcPr>
            <w:tcW w:w="996" w:type="dxa"/>
            <w:tcBorders>
              <w:top w:val="nil"/>
              <w:left w:val="nil"/>
              <w:bottom w:val="single" w:sz="4" w:space="0" w:color="auto"/>
              <w:right w:val="nil"/>
            </w:tcBorders>
            <w:shd w:val="clear" w:color="auto" w:fill="auto"/>
            <w:vAlign w:val="bottom"/>
          </w:tcPr>
          <w:p w14:paraId="4AEF7D1B"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 </w:t>
            </w:r>
          </w:p>
        </w:tc>
        <w:tc>
          <w:tcPr>
            <w:tcW w:w="1198" w:type="dxa"/>
            <w:tcBorders>
              <w:top w:val="nil"/>
              <w:left w:val="nil"/>
              <w:bottom w:val="single" w:sz="4" w:space="0" w:color="auto"/>
              <w:right w:val="nil"/>
            </w:tcBorders>
            <w:shd w:val="clear" w:color="auto" w:fill="auto"/>
            <w:vAlign w:val="bottom"/>
          </w:tcPr>
          <w:p w14:paraId="609F5F5B" w14:textId="77777777" w:rsidR="004E2F51" w:rsidRPr="004E2136" w:rsidRDefault="004E2F51" w:rsidP="00E032FC">
            <w:pPr>
              <w:jc w:val="right"/>
              <w:rPr>
                <w:rFonts w:ascii="Arial" w:hAnsi="Arial" w:cs="Arial"/>
                <w:color w:val="000000"/>
                <w:sz w:val="18"/>
                <w:szCs w:val="18"/>
              </w:rPr>
            </w:pPr>
            <w:r w:rsidRPr="004E2136">
              <w:rPr>
                <w:rFonts w:ascii="Arial" w:hAnsi="Arial" w:cs="Arial"/>
                <w:color w:val="000000"/>
                <w:sz w:val="18"/>
                <w:szCs w:val="18"/>
              </w:rPr>
              <w:t xml:space="preserve"> 4 </w:t>
            </w:r>
          </w:p>
        </w:tc>
      </w:tr>
      <w:tr w:rsidR="004E2F51" w:rsidRPr="001B015B" w14:paraId="473977BD" w14:textId="77777777" w:rsidTr="00E032FC">
        <w:trPr>
          <w:trHeight w:val="180"/>
        </w:trPr>
        <w:tc>
          <w:tcPr>
            <w:tcW w:w="3947" w:type="dxa"/>
            <w:tcBorders>
              <w:top w:val="nil"/>
              <w:left w:val="nil"/>
              <w:bottom w:val="nil"/>
              <w:right w:val="nil"/>
            </w:tcBorders>
            <w:shd w:val="clear" w:color="auto" w:fill="auto"/>
            <w:vAlign w:val="bottom"/>
            <w:hideMark/>
          </w:tcPr>
          <w:p w14:paraId="4B2A18D4"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198" w:type="dxa"/>
            <w:tcBorders>
              <w:top w:val="single" w:sz="4" w:space="0" w:color="auto"/>
              <w:left w:val="nil"/>
              <w:bottom w:val="single" w:sz="12" w:space="0" w:color="auto"/>
              <w:right w:val="nil"/>
            </w:tcBorders>
            <w:shd w:val="clear" w:color="auto" w:fill="auto"/>
            <w:vAlign w:val="bottom"/>
          </w:tcPr>
          <w:p w14:paraId="29075210" w14:textId="77777777" w:rsidR="004E2F51" w:rsidRPr="004E2136" w:rsidRDefault="004E2F51" w:rsidP="00E032FC">
            <w:pPr>
              <w:jc w:val="right"/>
              <w:rPr>
                <w:rFonts w:ascii="Arial" w:hAnsi="Arial" w:cs="Arial"/>
                <w:b/>
                <w:bCs/>
                <w:sz w:val="18"/>
                <w:szCs w:val="18"/>
              </w:rPr>
            </w:pPr>
            <w:r w:rsidRPr="004E2136">
              <w:rPr>
                <w:rFonts w:ascii="Arial" w:hAnsi="Arial" w:cs="Arial"/>
                <w:b/>
                <w:bCs/>
                <w:sz w:val="18"/>
                <w:szCs w:val="18"/>
              </w:rPr>
              <w:t xml:space="preserve"> 2.553 </w:t>
            </w:r>
          </w:p>
        </w:tc>
        <w:tc>
          <w:tcPr>
            <w:tcW w:w="1015" w:type="dxa"/>
            <w:tcBorders>
              <w:top w:val="single" w:sz="4" w:space="0" w:color="auto"/>
              <w:left w:val="nil"/>
              <w:bottom w:val="single" w:sz="12" w:space="0" w:color="auto"/>
              <w:right w:val="nil"/>
            </w:tcBorders>
            <w:shd w:val="clear" w:color="auto" w:fill="auto"/>
            <w:vAlign w:val="bottom"/>
          </w:tcPr>
          <w:p w14:paraId="18E3E983" w14:textId="77777777" w:rsidR="004E2F51" w:rsidRPr="004E2136" w:rsidRDefault="004E2F51" w:rsidP="00E032FC">
            <w:pPr>
              <w:jc w:val="right"/>
              <w:rPr>
                <w:rFonts w:ascii="Arial" w:hAnsi="Arial" w:cs="Arial"/>
                <w:b/>
                <w:bCs/>
                <w:sz w:val="18"/>
                <w:szCs w:val="18"/>
              </w:rPr>
            </w:pPr>
            <w:r w:rsidRPr="004E2136">
              <w:rPr>
                <w:rFonts w:ascii="Arial" w:hAnsi="Arial" w:cs="Arial"/>
                <w:b/>
                <w:bCs/>
                <w:sz w:val="18"/>
                <w:szCs w:val="18"/>
              </w:rPr>
              <w:t xml:space="preserve"> 360 </w:t>
            </w:r>
          </w:p>
        </w:tc>
        <w:tc>
          <w:tcPr>
            <w:tcW w:w="1015" w:type="dxa"/>
            <w:tcBorders>
              <w:top w:val="single" w:sz="4" w:space="0" w:color="auto"/>
              <w:left w:val="nil"/>
              <w:bottom w:val="single" w:sz="12" w:space="0" w:color="auto"/>
              <w:right w:val="nil"/>
            </w:tcBorders>
            <w:shd w:val="clear" w:color="auto" w:fill="auto"/>
            <w:vAlign w:val="bottom"/>
          </w:tcPr>
          <w:p w14:paraId="7A81F4D1" w14:textId="77777777" w:rsidR="004E2F51" w:rsidRPr="004E2136" w:rsidRDefault="004E2F51" w:rsidP="00E032FC">
            <w:pPr>
              <w:jc w:val="right"/>
              <w:rPr>
                <w:rFonts w:ascii="Arial" w:hAnsi="Arial" w:cs="Arial"/>
                <w:b/>
                <w:bCs/>
                <w:sz w:val="18"/>
                <w:szCs w:val="18"/>
              </w:rPr>
            </w:pPr>
            <w:r w:rsidRPr="004E2136">
              <w:rPr>
                <w:rFonts w:ascii="Arial" w:hAnsi="Arial" w:cs="Arial"/>
                <w:b/>
                <w:bCs/>
                <w:sz w:val="18"/>
                <w:szCs w:val="18"/>
              </w:rPr>
              <w:t xml:space="preserve"> 1.740 </w:t>
            </w:r>
          </w:p>
        </w:tc>
        <w:tc>
          <w:tcPr>
            <w:tcW w:w="996" w:type="dxa"/>
            <w:tcBorders>
              <w:top w:val="single" w:sz="4" w:space="0" w:color="auto"/>
              <w:left w:val="nil"/>
              <w:bottom w:val="single" w:sz="12" w:space="0" w:color="auto"/>
              <w:right w:val="nil"/>
            </w:tcBorders>
            <w:shd w:val="clear" w:color="auto" w:fill="auto"/>
            <w:vAlign w:val="bottom"/>
          </w:tcPr>
          <w:p w14:paraId="6699F8E6" w14:textId="77777777" w:rsidR="004E2F51" w:rsidRPr="004E2136" w:rsidRDefault="004E2F51" w:rsidP="00E032FC">
            <w:pPr>
              <w:jc w:val="right"/>
              <w:rPr>
                <w:rFonts w:ascii="Arial" w:hAnsi="Arial" w:cs="Arial"/>
                <w:b/>
                <w:bCs/>
                <w:sz w:val="18"/>
                <w:szCs w:val="18"/>
              </w:rPr>
            </w:pPr>
            <w:r w:rsidRPr="004E2136">
              <w:rPr>
                <w:rFonts w:ascii="Arial" w:hAnsi="Arial" w:cs="Arial"/>
                <w:b/>
                <w:bCs/>
                <w:sz w:val="18"/>
                <w:szCs w:val="18"/>
              </w:rPr>
              <w:t xml:space="preserve"> - </w:t>
            </w:r>
          </w:p>
        </w:tc>
        <w:tc>
          <w:tcPr>
            <w:tcW w:w="1198" w:type="dxa"/>
            <w:tcBorders>
              <w:top w:val="single" w:sz="4" w:space="0" w:color="auto"/>
              <w:left w:val="nil"/>
              <w:bottom w:val="single" w:sz="12" w:space="0" w:color="auto"/>
              <w:right w:val="nil"/>
            </w:tcBorders>
            <w:shd w:val="clear" w:color="auto" w:fill="auto"/>
            <w:vAlign w:val="bottom"/>
          </w:tcPr>
          <w:p w14:paraId="3BEE7CE0" w14:textId="77777777" w:rsidR="004E2F51" w:rsidRPr="004E2136" w:rsidRDefault="004E2F51" w:rsidP="00E032FC">
            <w:pPr>
              <w:jc w:val="right"/>
              <w:rPr>
                <w:rFonts w:ascii="Arial" w:hAnsi="Arial" w:cs="Arial"/>
                <w:b/>
                <w:bCs/>
                <w:sz w:val="18"/>
                <w:szCs w:val="18"/>
              </w:rPr>
            </w:pPr>
            <w:r w:rsidRPr="004E2136">
              <w:rPr>
                <w:rFonts w:ascii="Arial" w:hAnsi="Arial" w:cs="Arial"/>
                <w:b/>
                <w:bCs/>
                <w:sz w:val="18"/>
                <w:szCs w:val="18"/>
              </w:rPr>
              <w:t xml:space="preserve"> 4.653 </w:t>
            </w:r>
          </w:p>
        </w:tc>
      </w:tr>
      <w:bookmarkEnd w:id="1652"/>
    </w:tbl>
    <w:p w14:paraId="02B369C0" w14:textId="77777777" w:rsidR="004E2F51" w:rsidRPr="001B015B" w:rsidRDefault="004E2F51" w:rsidP="004E2F51">
      <w:pPr>
        <w:rPr>
          <w:rFonts w:ascii="Arial" w:eastAsia="Calibri" w:hAnsi="Arial" w:cs="Arial"/>
          <w:color w:val="000000" w:themeColor="text1"/>
          <w:sz w:val="20"/>
          <w:szCs w:val="20"/>
          <w:lang w:val="hr-HR"/>
        </w:rPr>
      </w:pPr>
    </w:p>
    <w:p w14:paraId="37ECA74B" w14:textId="77777777" w:rsidR="004E2F51" w:rsidRPr="001B015B" w:rsidRDefault="004E2F51" w:rsidP="004E2F51">
      <w:pPr>
        <w:rPr>
          <w:rFonts w:ascii="Arial" w:eastAsia="Calibri" w:hAnsi="Arial" w:cs="Arial"/>
          <w:color w:val="000000" w:themeColor="text1"/>
          <w:sz w:val="20"/>
          <w:szCs w:val="20"/>
          <w:lang w:val="hr-HR"/>
        </w:rPr>
      </w:pPr>
    </w:p>
    <w:p w14:paraId="0CDAB919" w14:textId="77777777" w:rsidR="004E2F51" w:rsidRPr="001B015B" w:rsidRDefault="004E2F51" w:rsidP="004E2F51">
      <w:pPr>
        <w:rPr>
          <w:rFonts w:ascii="Arial" w:eastAsia="Calibri" w:hAnsi="Arial" w:cs="Arial"/>
          <w:color w:val="000000" w:themeColor="text1"/>
          <w:sz w:val="20"/>
          <w:szCs w:val="20"/>
          <w:lang w:val="hr-HR"/>
        </w:rPr>
      </w:pPr>
    </w:p>
    <w:tbl>
      <w:tblPr>
        <w:tblW w:w="9369" w:type="dxa"/>
        <w:tblInd w:w="-180" w:type="dxa"/>
        <w:tblLook w:val="04A0" w:firstRow="1" w:lastRow="0" w:firstColumn="1" w:lastColumn="0" w:noHBand="0" w:noVBand="1"/>
      </w:tblPr>
      <w:tblGrid>
        <w:gridCol w:w="3947"/>
        <w:gridCol w:w="1198"/>
        <w:gridCol w:w="1015"/>
        <w:gridCol w:w="1015"/>
        <w:gridCol w:w="996"/>
        <w:gridCol w:w="1198"/>
      </w:tblGrid>
      <w:tr w:rsidR="004E2F51" w:rsidRPr="001B015B" w14:paraId="689C9422" w14:textId="77777777" w:rsidTr="00E032FC">
        <w:trPr>
          <w:trHeight w:val="172"/>
        </w:trPr>
        <w:tc>
          <w:tcPr>
            <w:tcW w:w="3947" w:type="dxa"/>
            <w:tcBorders>
              <w:top w:val="nil"/>
              <w:left w:val="nil"/>
              <w:bottom w:val="nil"/>
              <w:right w:val="nil"/>
            </w:tcBorders>
            <w:shd w:val="clear" w:color="auto" w:fill="auto"/>
            <w:vAlign w:val="center"/>
          </w:tcPr>
          <w:p w14:paraId="3DFBBE30"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Grupa </w:t>
            </w:r>
          </w:p>
        </w:tc>
        <w:tc>
          <w:tcPr>
            <w:tcW w:w="1198" w:type="dxa"/>
            <w:tcBorders>
              <w:top w:val="nil"/>
              <w:left w:val="nil"/>
              <w:bottom w:val="nil"/>
              <w:right w:val="nil"/>
            </w:tcBorders>
            <w:shd w:val="clear" w:color="auto" w:fill="auto"/>
            <w:vAlign w:val="center"/>
          </w:tcPr>
          <w:p w14:paraId="7DBC0390"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15" w:type="dxa"/>
            <w:tcBorders>
              <w:top w:val="nil"/>
              <w:left w:val="nil"/>
              <w:bottom w:val="nil"/>
              <w:right w:val="nil"/>
            </w:tcBorders>
            <w:shd w:val="clear" w:color="auto" w:fill="auto"/>
            <w:vAlign w:val="center"/>
          </w:tcPr>
          <w:p w14:paraId="30E19A22"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15" w:type="dxa"/>
            <w:tcBorders>
              <w:top w:val="nil"/>
              <w:left w:val="nil"/>
              <w:bottom w:val="nil"/>
              <w:right w:val="nil"/>
            </w:tcBorders>
            <w:shd w:val="clear" w:color="auto" w:fill="auto"/>
            <w:vAlign w:val="center"/>
          </w:tcPr>
          <w:p w14:paraId="59E2D6B4"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996" w:type="dxa"/>
            <w:tcBorders>
              <w:top w:val="nil"/>
              <w:left w:val="nil"/>
              <w:bottom w:val="nil"/>
              <w:right w:val="nil"/>
            </w:tcBorders>
            <w:shd w:val="clear" w:color="auto" w:fill="auto"/>
            <w:vAlign w:val="center"/>
          </w:tcPr>
          <w:p w14:paraId="6E5394C0"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177E7008"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585A7DC0" w14:textId="77777777" w:rsidTr="00E032FC">
        <w:trPr>
          <w:trHeight w:val="172"/>
        </w:trPr>
        <w:tc>
          <w:tcPr>
            <w:tcW w:w="3947" w:type="dxa"/>
            <w:tcBorders>
              <w:top w:val="nil"/>
              <w:left w:val="nil"/>
              <w:bottom w:val="nil"/>
              <w:right w:val="nil"/>
            </w:tcBorders>
            <w:shd w:val="clear" w:color="auto" w:fill="auto"/>
            <w:vAlign w:val="center"/>
            <w:hideMark/>
          </w:tcPr>
          <w:p w14:paraId="59EBC327"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2021.</w:t>
            </w:r>
          </w:p>
        </w:tc>
        <w:tc>
          <w:tcPr>
            <w:tcW w:w="1198" w:type="dxa"/>
            <w:tcBorders>
              <w:top w:val="nil"/>
              <w:left w:val="nil"/>
              <w:bottom w:val="nil"/>
              <w:right w:val="nil"/>
            </w:tcBorders>
            <w:shd w:val="clear" w:color="auto" w:fill="auto"/>
            <w:vAlign w:val="center"/>
            <w:hideMark/>
          </w:tcPr>
          <w:p w14:paraId="44AA9119"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15" w:type="dxa"/>
            <w:tcBorders>
              <w:top w:val="nil"/>
              <w:left w:val="nil"/>
              <w:bottom w:val="nil"/>
              <w:right w:val="nil"/>
            </w:tcBorders>
            <w:shd w:val="clear" w:color="auto" w:fill="auto"/>
            <w:vAlign w:val="center"/>
            <w:hideMark/>
          </w:tcPr>
          <w:p w14:paraId="5E8D556E"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15" w:type="dxa"/>
            <w:tcBorders>
              <w:top w:val="nil"/>
              <w:left w:val="nil"/>
              <w:bottom w:val="nil"/>
              <w:right w:val="nil"/>
            </w:tcBorders>
            <w:shd w:val="clear" w:color="auto" w:fill="auto"/>
            <w:vAlign w:val="center"/>
            <w:hideMark/>
          </w:tcPr>
          <w:p w14:paraId="6F1345A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6" w:type="dxa"/>
            <w:tcBorders>
              <w:top w:val="nil"/>
              <w:left w:val="nil"/>
              <w:bottom w:val="nil"/>
              <w:right w:val="nil"/>
            </w:tcBorders>
            <w:shd w:val="clear" w:color="auto" w:fill="auto"/>
            <w:vAlign w:val="center"/>
            <w:hideMark/>
          </w:tcPr>
          <w:p w14:paraId="51634E8A"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98" w:type="dxa"/>
            <w:tcBorders>
              <w:top w:val="nil"/>
              <w:left w:val="nil"/>
              <w:bottom w:val="nil"/>
              <w:right w:val="nil"/>
            </w:tcBorders>
            <w:shd w:val="clear" w:color="auto" w:fill="auto"/>
            <w:vAlign w:val="center"/>
            <w:hideMark/>
          </w:tcPr>
          <w:p w14:paraId="69C8D32E"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0EF83323" w14:textId="77777777" w:rsidTr="00E032FC">
        <w:trPr>
          <w:trHeight w:val="172"/>
        </w:trPr>
        <w:tc>
          <w:tcPr>
            <w:tcW w:w="3947" w:type="dxa"/>
            <w:tcBorders>
              <w:top w:val="nil"/>
              <w:left w:val="nil"/>
              <w:bottom w:val="nil"/>
              <w:right w:val="nil"/>
            </w:tcBorders>
            <w:shd w:val="clear" w:color="auto" w:fill="auto"/>
            <w:vAlign w:val="center"/>
            <w:hideMark/>
          </w:tcPr>
          <w:p w14:paraId="22971A20"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hideMark/>
          </w:tcPr>
          <w:p w14:paraId="19D1FC45"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15" w:type="dxa"/>
            <w:tcBorders>
              <w:top w:val="nil"/>
              <w:left w:val="nil"/>
              <w:bottom w:val="nil"/>
              <w:right w:val="nil"/>
            </w:tcBorders>
            <w:shd w:val="clear" w:color="auto" w:fill="auto"/>
            <w:vAlign w:val="center"/>
            <w:hideMark/>
          </w:tcPr>
          <w:p w14:paraId="27C790D9"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15" w:type="dxa"/>
            <w:tcBorders>
              <w:top w:val="nil"/>
              <w:left w:val="nil"/>
              <w:bottom w:val="nil"/>
              <w:right w:val="nil"/>
            </w:tcBorders>
            <w:shd w:val="clear" w:color="auto" w:fill="auto"/>
            <w:vAlign w:val="center"/>
            <w:hideMark/>
          </w:tcPr>
          <w:p w14:paraId="2E0CAE00"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996" w:type="dxa"/>
            <w:tcBorders>
              <w:top w:val="nil"/>
              <w:left w:val="nil"/>
              <w:bottom w:val="nil"/>
              <w:right w:val="nil"/>
            </w:tcBorders>
            <w:shd w:val="clear" w:color="auto" w:fill="auto"/>
            <w:vAlign w:val="center"/>
            <w:hideMark/>
          </w:tcPr>
          <w:p w14:paraId="377BEF5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198" w:type="dxa"/>
            <w:tcBorders>
              <w:top w:val="nil"/>
              <w:left w:val="nil"/>
              <w:bottom w:val="nil"/>
              <w:right w:val="nil"/>
            </w:tcBorders>
            <w:shd w:val="clear" w:color="auto" w:fill="auto"/>
            <w:vAlign w:val="center"/>
            <w:hideMark/>
          </w:tcPr>
          <w:p w14:paraId="2898F4E8"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013C7C39" w14:textId="77777777" w:rsidTr="00E032FC">
        <w:trPr>
          <w:trHeight w:val="172"/>
        </w:trPr>
        <w:tc>
          <w:tcPr>
            <w:tcW w:w="3947" w:type="dxa"/>
            <w:tcBorders>
              <w:top w:val="nil"/>
              <w:left w:val="nil"/>
              <w:bottom w:val="nil"/>
              <w:right w:val="nil"/>
            </w:tcBorders>
            <w:shd w:val="clear" w:color="auto" w:fill="auto"/>
            <w:vAlign w:val="center"/>
          </w:tcPr>
          <w:p w14:paraId="62CE8ACC"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28AFA015"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15" w:type="dxa"/>
            <w:tcBorders>
              <w:top w:val="nil"/>
              <w:left w:val="nil"/>
              <w:bottom w:val="nil"/>
              <w:right w:val="nil"/>
            </w:tcBorders>
            <w:shd w:val="clear" w:color="auto" w:fill="auto"/>
            <w:vAlign w:val="center"/>
          </w:tcPr>
          <w:p w14:paraId="749D15A6"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15" w:type="dxa"/>
            <w:tcBorders>
              <w:top w:val="nil"/>
              <w:left w:val="nil"/>
              <w:bottom w:val="nil"/>
              <w:right w:val="nil"/>
            </w:tcBorders>
            <w:shd w:val="clear" w:color="auto" w:fill="auto"/>
            <w:vAlign w:val="center"/>
          </w:tcPr>
          <w:p w14:paraId="49548135"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996" w:type="dxa"/>
            <w:tcBorders>
              <w:top w:val="nil"/>
              <w:left w:val="nil"/>
              <w:bottom w:val="nil"/>
              <w:right w:val="nil"/>
            </w:tcBorders>
            <w:shd w:val="clear" w:color="auto" w:fill="auto"/>
            <w:vAlign w:val="center"/>
          </w:tcPr>
          <w:p w14:paraId="49EDAA7E"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3DB26E41"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394432A6" w14:textId="77777777" w:rsidTr="00E032FC">
        <w:trPr>
          <w:trHeight w:val="172"/>
        </w:trPr>
        <w:tc>
          <w:tcPr>
            <w:tcW w:w="3947" w:type="dxa"/>
            <w:tcBorders>
              <w:top w:val="nil"/>
              <w:left w:val="nil"/>
              <w:bottom w:val="nil"/>
              <w:right w:val="nil"/>
            </w:tcBorders>
            <w:shd w:val="clear" w:color="auto" w:fill="auto"/>
            <w:vAlign w:val="center"/>
            <w:hideMark/>
          </w:tcPr>
          <w:p w14:paraId="08764A90"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Stanje 1. siječnja 2021. </w:t>
            </w:r>
          </w:p>
        </w:tc>
        <w:tc>
          <w:tcPr>
            <w:tcW w:w="1198" w:type="dxa"/>
            <w:shd w:val="clear" w:color="auto" w:fill="auto"/>
          </w:tcPr>
          <w:p w14:paraId="3D171E1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2.935 </w:t>
            </w:r>
          </w:p>
        </w:tc>
        <w:tc>
          <w:tcPr>
            <w:tcW w:w="1015" w:type="dxa"/>
            <w:shd w:val="clear" w:color="auto" w:fill="auto"/>
          </w:tcPr>
          <w:p w14:paraId="3AEA9BB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15" w:type="dxa"/>
            <w:shd w:val="clear" w:color="auto" w:fill="auto"/>
          </w:tcPr>
          <w:p w14:paraId="556533A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1.647 </w:t>
            </w:r>
          </w:p>
        </w:tc>
        <w:tc>
          <w:tcPr>
            <w:tcW w:w="996" w:type="dxa"/>
            <w:shd w:val="clear" w:color="auto" w:fill="auto"/>
          </w:tcPr>
          <w:p w14:paraId="267B0B3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98" w:type="dxa"/>
            <w:shd w:val="clear" w:color="auto" w:fill="auto"/>
          </w:tcPr>
          <w:p w14:paraId="5969573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4.582 </w:t>
            </w:r>
          </w:p>
        </w:tc>
      </w:tr>
      <w:tr w:rsidR="004E2F51" w:rsidRPr="001B015B" w14:paraId="32230586" w14:textId="77777777" w:rsidTr="00E032FC">
        <w:trPr>
          <w:trHeight w:val="172"/>
        </w:trPr>
        <w:tc>
          <w:tcPr>
            <w:tcW w:w="3947" w:type="dxa"/>
            <w:shd w:val="clear" w:color="auto" w:fill="auto"/>
          </w:tcPr>
          <w:p w14:paraId="0857D756"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98" w:type="dxa"/>
            <w:shd w:val="clear" w:color="auto" w:fill="auto"/>
            <w:vAlign w:val="bottom"/>
          </w:tcPr>
          <w:p w14:paraId="2CECA73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15" w:type="dxa"/>
            <w:shd w:val="clear" w:color="auto" w:fill="auto"/>
            <w:vAlign w:val="bottom"/>
          </w:tcPr>
          <w:p w14:paraId="0DD843A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15" w:type="dxa"/>
            <w:shd w:val="clear" w:color="auto" w:fill="auto"/>
            <w:vAlign w:val="bottom"/>
          </w:tcPr>
          <w:p w14:paraId="3CA705A6"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996" w:type="dxa"/>
            <w:shd w:val="clear" w:color="auto" w:fill="auto"/>
            <w:vAlign w:val="bottom"/>
          </w:tcPr>
          <w:p w14:paraId="6E9097C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198" w:type="dxa"/>
            <w:shd w:val="clear" w:color="auto" w:fill="auto"/>
            <w:vAlign w:val="bottom"/>
          </w:tcPr>
          <w:p w14:paraId="3C1CA64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r>
      <w:tr w:rsidR="004E2F51" w:rsidRPr="001B015B" w14:paraId="07D6A6C1" w14:textId="77777777" w:rsidTr="00E032FC">
        <w:trPr>
          <w:trHeight w:val="172"/>
        </w:trPr>
        <w:tc>
          <w:tcPr>
            <w:tcW w:w="3947" w:type="dxa"/>
            <w:shd w:val="clear" w:color="auto" w:fill="auto"/>
          </w:tcPr>
          <w:p w14:paraId="0497AD77"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98" w:type="dxa"/>
            <w:shd w:val="clear" w:color="auto" w:fill="auto"/>
            <w:vAlign w:val="bottom"/>
          </w:tcPr>
          <w:p w14:paraId="49E6622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15" w:type="dxa"/>
            <w:shd w:val="clear" w:color="auto" w:fill="auto"/>
            <w:vAlign w:val="bottom"/>
          </w:tcPr>
          <w:p w14:paraId="26506DA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15" w:type="dxa"/>
            <w:shd w:val="clear" w:color="auto" w:fill="auto"/>
            <w:vAlign w:val="bottom"/>
          </w:tcPr>
          <w:p w14:paraId="768B605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996" w:type="dxa"/>
            <w:shd w:val="clear" w:color="auto" w:fill="auto"/>
            <w:vAlign w:val="bottom"/>
          </w:tcPr>
          <w:p w14:paraId="5BFB6D5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198" w:type="dxa"/>
            <w:shd w:val="clear" w:color="auto" w:fill="auto"/>
            <w:vAlign w:val="bottom"/>
          </w:tcPr>
          <w:p w14:paraId="579EF2D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r>
      <w:tr w:rsidR="004E2F51" w:rsidRPr="001B015B" w14:paraId="30B380B1" w14:textId="77777777" w:rsidTr="00E032FC">
        <w:trPr>
          <w:trHeight w:val="172"/>
        </w:trPr>
        <w:tc>
          <w:tcPr>
            <w:tcW w:w="3947" w:type="dxa"/>
            <w:shd w:val="clear" w:color="auto" w:fill="auto"/>
            <w:hideMark/>
          </w:tcPr>
          <w:p w14:paraId="50C7F7A1"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98" w:type="dxa"/>
            <w:shd w:val="clear" w:color="auto" w:fill="auto"/>
            <w:vAlign w:val="bottom"/>
          </w:tcPr>
          <w:p w14:paraId="2273BA3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15" w:type="dxa"/>
            <w:shd w:val="clear" w:color="auto" w:fill="auto"/>
            <w:vAlign w:val="bottom"/>
          </w:tcPr>
          <w:p w14:paraId="4CBB00C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15" w:type="dxa"/>
            <w:shd w:val="clear" w:color="auto" w:fill="auto"/>
            <w:vAlign w:val="bottom"/>
          </w:tcPr>
          <w:p w14:paraId="3D19D2B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996" w:type="dxa"/>
            <w:shd w:val="clear" w:color="auto" w:fill="auto"/>
            <w:vAlign w:val="bottom"/>
          </w:tcPr>
          <w:p w14:paraId="22B5C36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198" w:type="dxa"/>
            <w:shd w:val="clear" w:color="auto" w:fill="auto"/>
            <w:vAlign w:val="bottom"/>
          </w:tcPr>
          <w:p w14:paraId="3216D34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r>
      <w:tr w:rsidR="004E2F51" w:rsidRPr="001B015B" w14:paraId="2FAC1077" w14:textId="77777777" w:rsidTr="00E032FC">
        <w:trPr>
          <w:trHeight w:val="214"/>
        </w:trPr>
        <w:tc>
          <w:tcPr>
            <w:tcW w:w="3947" w:type="dxa"/>
            <w:tcBorders>
              <w:top w:val="nil"/>
              <w:left w:val="nil"/>
              <w:bottom w:val="nil"/>
              <w:right w:val="nil"/>
            </w:tcBorders>
            <w:shd w:val="clear" w:color="auto" w:fill="auto"/>
            <w:vAlign w:val="center"/>
            <w:hideMark/>
          </w:tcPr>
          <w:p w14:paraId="715CC77C"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povećanje/(smanjenje) rezerviranja za očekivane gubitke </w:t>
            </w:r>
          </w:p>
        </w:tc>
        <w:tc>
          <w:tcPr>
            <w:tcW w:w="1198" w:type="dxa"/>
            <w:tcBorders>
              <w:top w:val="nil"/>
              <w:left w:val="nil"/>
              <w:bottom w:val="nil"/>
              <w:right w:val="nil"/>
            </w:tcBorders>
            <w:shd w:val="clear" w:color="auto" w:fill="auto"/>
            <w:vAlign w:val="center"/>
          </w:tcPr>
          <w:p w14:paraId="0F5DE14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color w:val="000000"/>
                <w:sz w:val="18"/>
                <w:szCs w:val="18"/>
              </w:rPr>
              <w:t xml:space="preserve">                (118)</w:t>
            </w:r>
          </w:p>
        </w:tc>
        <w:tc>
          <w:tcPr>
            <w:tcW w:w="1015" w:type="dxa"/>
            <w:tcBorders>
              <w:top w:val="nil"/>
              <w:left w:val="nil"/>
              <w:bottom w:val="nil"/>
              <w:right w:val="nil"/>
            </w:tcBorders>
            <w:shd w:val="clear" w:color="auto" w:fill="auto"/>
            <w:vAlign w:val="center"/>
          </w:tcPr>
          <w:p w14:paraId="1F99073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color w:val="000000"/>
                <w:sz w:val="18"/>
                <w:szCs w:val="18"/>
              </w:rPr>
              <w:t xml:space="preserve">                        - </w:t>
            </w:r>
          </w:p>
        </w:tc>
        <w:tc>
          <w:tcPr>
            <w:tcW w:w="1015" w:type="dxa"/>
            <w:tcBorders>
              <w:top w:val="nil"/>
              <w:left w:val="nil"/>
              <w:bottom w:val="nil"/>
              <w:right w:val="nil"/>
            </w:tcBorders>
            <w:shd w:val="clear" w:color="auto" w:fill="auto"/>
            <w:vAlign w:val="center"/>
          </w:tcPr>
          <w:p w14:paraId="4CB5897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color w:val="000000"/>
                <w:sz w:val="18"/>
                <w:szCs w:val="18"/>
              </w:rPr>
              <w:t xml:space="preserve">                      89 </w:t>
            </w:r>
          </w:p>
        </w:tc>
        <w:tc>
          <w:tcPr>
            <w:tcW w:w="996" w:type="dxa"/>
            <w:tcBorders>
              <w:top w:val="nil"/>
              <w:left w:val="nil"/>
              <w:bottom w:val="nil"/>
              <w:right w:val="nil"/>
            </w:tcBorders>
            <w:shd w:val="clear" w:color="auto" w:fill="auto"/>
            <w:vAlign w:val="center"/>
          </w:tcPr>
          <w:p w14:paraId="6B67699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color w:val="000000"/>
                <w:sz w:val="18"/>
                <w:szCs w:val="18"/>
              </w:rPr>
              <w:t xml:space="preserve">                           - </w:t>
            </w:r>
          </w:p>
        </w:tc>
        <w:tc>
          <w:tcPr>
            <w:tcW w:w="1198" w:type="dxa"/>
            <w:tcBorders>
              <w:top w:val="nil"/>
              <w:left w:val="nil"/>
              <w:bottom w:val="nil"/>
              <w:right w:val="nil"/>
            </w:tcBorders>
            <w:shd w:val="clear" w:color="auto" w:fill="auto"/>
            <w:vAlign w:val="center"/>
          </w:tcPr>
          <w:p w14:paraId="794A3A5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color w:val="000000"/>
                <w:sz w:val="18"/>
                <w:szCs w:val="18"/>
              </w:rPr>
              <w:t xml:space="preserve">                        (29)</w:t>
            </w:r>
          </w:p>
        </w:tc>
      </w:tr>
      <w:tr w:rsidR="004E2F51" w:rsidRPr="001B015B" w14:paraId="1B14A7A6" w14:textId="77777777" w:rsidTr="00E032FC">
        <w:trPr>
          <w:trHeight w:val="180"/>
        </w:trPr>
        <w:tc>
          <w:tcPr>
            <w:tcW w:w="3947" w:type="dxa"/>
            <w:tcBorders>
              <w:top w:val="nil"/>
              <w:left w:val="nil"/>
              <w:bottom w:val="nil"/>
              <w:right w:val="nil"/>
            </w:tcBorders>
            <w:shd w:val="clear" w:color="auto" w:fill="auto"/>
            <w:vAlign w:val="center"/>
            <w:hideMark/>
          </w:tcPr>
          <w:p w14:paraId="77007361"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198" w:type="dxa"/>
            <w:tcBorders>
              <w:top w:val="nil"/>
              <w:left w:val="nil"/>
              <w:bottom w:val="single" w:sz="4" w:space="0" w:color="auto"/>
              <w:right w:val="nil"/>
            </w:tcBorders>
            <w:shd w:val="clear" w:color="auto" w:fill="auto"/>
            <w:vAlign w:val="bottom"/>
          </w:tcPr>
          <w:p w14:paraId="67573B6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color w:val="000000"/>
                <w:sz w:val="18"/>
                <w:szCs w:val="18"/>
              </w:rPr>
              <w:t xml:space="preserve"> (3)</w:t>
            </w:r>
          </w:p>
        </w:tc>
        <w:tc>
          <w:tcPr>
            <w:tcW w:w="1015" w:type="dxa"/>
            <w:tcBorders>
              <w:top w:val="nil"/>
              <w:left w:val="nil"/>
              <w:bottom w:val="single" w:sz="4" w:space="0" w:color="auto"/>
              <w:right w:val="nil"/>
            </w:tcBorders>
            <w:shd w:val="clear" w:color="auto" w:fill="auto"/>
            <w:vAlign w:val="bottom"/>
          </w:tcPr>
          <w:p w14:paraId="188E153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color w:val="000000"/>
                <w:sz w:val="18"/>
                <w:szCs w:val="18"/>
              </w:rPr>
              <w:t xml:space="preserve">- </w:t>
            </w:r>
          </w:p>
        </w:tc>
        <w:tc>
          <w:tcPr>
            <w:tcW w:w="1015" w:type="dxa"/>
            <w:tcBorders>
              <w:top w:val="nil"/>
              <w:left w:val="nil"/>
              <w:bottom w:val="single" w:sz="4" w:space="0" w:color="auto"/>
              <w:right w:val="nil"/>
            </w:tcBorders>
            <w:shd w:val="clear" w:color="auto" w:fill="auto"/>
            <w:vAlign w:val="bottom"/>
          </w:tcPr>
          <w:p w14:paraId="1DD0A71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color w:val="000000"/>
                <w:sz w:val="18"/>
                <w:szCs w:val="18"/>
              </w:rPr>
              <w:t xml:space="preserve"> (5)</w:t>
            </w:r>
          </w:p>
        </w:tc>
        <w:tc>
          <w:tcPr>
            <w:tcW w:w="996" w:type="dxa"/>
            <w:tcBorders>
              <w:top w:val="nil"/>
              <w:left w:val="nil"/>
              <w:bottom w:val="single" w:sz="4" w:space="0" w:color="auto"/>
              <w:right w:val="nil"/>
            </w:tcBorders>
            <w:shd w:val="clear" w:color="auto" w:fill="auto"/>
            <w:vAlign w:val="bottom"/>
          </w:tcPr>
          <w:p w14:paraId="68A5E09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color w:val="000000"/>
                <w:sz w:val="18"/>
                <w:szCs w:val="18"/>
              </w:rPr>
              <w:t xml:space="preserve">- </w:t>
            </w:r>
          </w:p>
        </w:tc>
        <w:tc>
          <w:tcPr>
            <w:tcW w:w="1198" w:type="dxa"/>
            <w:tcBorders>
              <w:top w:val="nil"/>
              <w:left w:val="nil"/>
              <w:bottom w:val="single" w:sz="4" w:space="0" w:color="auto"/>
              <w:right w:val="nil"/>
            </w:tcBorders>
            <w:shd w:val="clear" w:color="auto" w:fill="auto"/>
            <w:vAlign w:val="bottom"/>
          </w:tcPr>
          <w:p w14:paraId="3EA6ABA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color w:val="000000"/>
                <w:sz w:val="18"/>
                <w:szCs w:val="18"/>
              </w:rPr>
              <w:t xml:space="preserve"> (8)</w:t>
            </w:r>
          </w:p>
        </w:tc>
      </w:tr>
      <w:tr w:rsidR="004E2F51" w:rsidRPr="001B015B" w14:paraId="3B5936C4" w14:textId="77777777" w:rsidTr="00E032FC">
        <w:trPr>
          <w:trHeight w:val="180"/>
        </w:trPr>
        <w:tc>
          <w:tcPr>
            <w:tcW w:w="3947" w:type="dxa"/>
            <w:tcBorders>
              <w:top w:val="nil"/>
              <w:left w:val="nil"/>
              <w:bottom w:val="nil"/>
              <w:right w:val="nil"/>
            </w:tcBorders>
            <w:shd w:val="clear" w:color="auto" w:fill="auto"/>
            <w:vAlign w:val="bottom"/>
            <w:hideMark/>
          </w:tcPr>
          <w:p w14:paraId="02704DB2"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2021.</w:t>
            </w:r>
          </w:p>
        </w:tc>
        <w:tc>
          <w:tcPr>
            <w:tcW w:w="1198" w:type="dxa"/>
            <w:tcBorders>
              <w:top w:val="single" w:sz="4" w:space="0" w:color="auto"/>
              <w:left w:val="nil"/>
              <w:bottom w:val="single" w:sz="12" w:space="0" w:color="auto"/>
              <w:right w:val="nil"/>
            </w:tcBorders>
            <w:shd w:val="clear" w:color="auto" w:fill="auto"/>
            <w:vAlign w:val="bottom"/>
          </w:tcPr>
          <w:p w14:paraId="29615698" w14:textId="77777777" w:rsidR="004E2F51" w:rsidRPr="001B015B" w:rsidRDefault="004E2F51" w:rsidP="00E032FC">
            <w:pPr>
              <w:jc w:val="right"/>
              <w:rPr>
                <w:rFonts w:ascii="Arial" w:hAnsi="Arial" w:cs="Arial"/>
                <w:b/>
                <w:bCs/>
                <w:color w:val="000000"/>
                <w:sz w:val="18"/>
                <w:szCs w:val="18"/>
              </w:rPr>
            </w:pPr>
            <w:r w:rsidRPr="001B015B">
              <w:rPr>
                <w:rFonts w:ascii="Arial" w:hAnsi="Arial" w:cs="Arial"/>
                <w:b/>
                <w:bCs/>
                <w:sz w:val="18"/>
                <w:szCs w:val="18"/>
              </w:rPr>
              <w:t xml:space="preserve"> 2.8</w:t>
            </w:r>
            <w:r>
              <w:rPr>
                <w:rFonts w:ascii="Arial" w:hAnsi="Arial" w:cs="Arial"/>
                <w:b/>
                <w:bCs/>
                <w:sz w:val="18"/>
                <w:szCs w:val="18"/>
              </w:rPr>
              <w:t>14</w:t>
            </w:r>
            <w:r w:rsidRPr="001B015B">
              <w:rPr>
                <w:rFonts w:ascii="Arial" w:hAnsi="Arial" w:cs="Arial"/>
                <w:b/>
                <w:bCs/>
                <w:sz w:val="18"/>
                <w:szCs w:val="18"/>
              </w:rPr>
              <w:t xml:space="preserve"> </w:t>
            </w:r>
          </w:p>
        </w:tc>
        <w:tc>
          <w:tcPr>
            <w:tcW w:w="1015" w:type="dxa"/>
            <w:tcBorders>
              <w:top w:val="single" w:sz="4" w:space="0" w:color="auto"/>
              <w:left w:val="nil"/>
              <w:bottom w:val="single" w:sz="12" w:space="0" w:color="auto"/>
              <w:right w:val="nil"/>
            </w:tcBorders>
            <w:shd w:val="clear" w:color="auto" w:fill="auto"/>
            <w:vAlign w:val="bottom"/>
          </w:tcPr>
          <w:p w14:paraId="1643D027" w14:textId="77777777" w:rsidR="004E2F51" w:rsidRPr="001B015B" w:rsidRDefault="004E2F51" w:rsidP="00E032FC">
            <w:pPr>
              <w:jc w:val="right"/>
              <w:rPr>
                <w:rFonts w:ascii="Arial" w:hAnsi="Arial" w:cs="Arial"/>
                <w:b/>
                <w:bCs/>
                <w:color w:val="000000"/>
                <w:sz w:val="18"/>
                <w:szCs w:val="18"/>
              </w:rPr>
            </w:pPr>
            <w:r w:rsidRPr="001B015B">
              <w:rPr>
                <w:rFonts w:ascii="Arial" w:hAnsi="Arial" w:cs="Arial"/>
                <w:b/>
                <w:bCs/>
                <w:sz w:val="18"/>
                <w:szCs w:val="18"/>
              </w:rPr>
              <w:t xml:space="preserve"> - </w:t>
            </w:r>
          </w:p>
        </w:tc>
        <w:tc>
          <w:tcPr>
            <w:tcW w:w="1015" w:type="dxa"/>
            <w:tcBorders>
              <w:top w:val="single" w:sz="4" w:space="0" w:color="auto"/>
              <w:left w:val="nil"/>
              <w:bottom w:val="single" w:sz="12" w:space="0" w:color="auto"/>
              <w:right w:val="nil"/>
            </w:tcBorders>
            <w:shd w:val="clear" w:color="auto" w:fill="auto"/>
            <w:vAlign w:val="bottom"/>
          </w:tcPr>
          <w:p w14:paraId="429524DC" w14:textId="77777777" w:rsidR="004E2F51" w:rsidRPr="001B015B" w:rsidRDefault="004E2F51" w:rsidP="00E032FC">
            <w:pPr>
              <w:jc w:val="right"/>
              <w:rPr>
                <w:rFonts w:ascii="Arial" w:hAnsi="Arial" w:cs="Arial"/>
                <w:b/>
                <w:bCs/>
                <w:color w:val="000000"/>
                <w:sz w:val="18"/>
                <w:szCs w:val="18"/>
              </w:rPr>
            </w:pPr>
            <w:r w:rsidRPr="001B015B">
              <w:rPr>
                <w:rFonts w:ascii="Arial" w:hAnsi="Arial" w:cs="Arial"/>
                <w:b/>
                <w:bCs/>
                <w:sz w:val="18"/>
                <w:szCs w:val="18"/>
              </w:rPr>
              <w:t xml:space="preserve"> 1.731 </w:t>
            </w:r>
          </w:p>
        </w:tc>
        <w:tc>
          <w:tcPr>
            <w:tcW w:w="996" w:type="dxa"/>
            <w:tcBorders>
              <w:top w:val="single" w:sz="4" w:space="0" w:color="auto"/>
              <w:left w:val="nil"/>
              <w:bottom w:val="single" w:sz="12" w:space="0" w:color="auto"/>
              <w:right w:val="nil"/>
            </w:tcBorders>
            <w:shd w:val="clear" w:color="auto" w:fill="auto"/>
            <w:vAlign w:val="bottom"/>
          </w:tcPr>
          <w:p w14:paraId="6EB3EAB4" w14:textId="77777777" w:rsidR="004E2F51" w:rsidRPr="001B015B" w:rsidRDefault="004E2F51" w:rsidP="00E032FC">
            <w:pPr>
              <w:jc w:val="right"/>
              <w:rPr>
                <w:rFonts w:ascii="Arial" w:hAnsi="Arial" w:cs="Arial"/>
                <w:b/>
                <w:bCs/>
                <w:color w:val="000000"/>
                <w:sz w:val="18"/>
                <w:szCs w:val="18"/>
              </w:rPr>
            </w:pPr>
            <w:r w:rsidRPr="001B015B">
              <w:rPr>
                <w:rFonts w:ascii="Arial" w:hAnsi="Arial" w:cs="Arial"/>
                <w:b/>
                <w:bCs/>
                <w:sz w:val="18"/>
                <w:szCs w:val="18"/>
              </w:rPr>
              <w:t xml:space="preserve"> - </w:t>
            </w:r>
          </w:p>
        </w:tc>
        <w:tc>
          <w:tcPr>
            <w:tcW w:w="1198" w:type="dxa"/>
            <w:tcBorders>
              <w:top w:val="single" w:sz="4" w:space="0" w:color="auto"/>
              <w:left w:val="nil"/>
              <w:bottom w:val="single" w:sz="12" w:space="0" w:color="auto"/>
              <w:right w:val="nil"/>
            </w:tcBorders>
            <w:shd w:val="clear" w:color="auto" w:fill="auto"/>
            <w:vAlign w:val="bottom"/>
          </w:tcPr>
          <w:p w14:paraId="073FF2FB" w14:textId="77777777" w:rsidR="004E2F51" w:rsidRPr="001B015B" w:rsidRDefault="004E2F51" w:rsidP="00E032FC">
            <w:pPr>
              <w:jc w:val="right"/>
              <w:rPr>
                <w:rFonts w:ascii="Arial" w:hAnsi="Arial" w:cs="Arial"/>
                <w:b/>
                <w:bCs/>
                <w:color w:val="000000"/>
                <w:sz w:val="18"/>
                <w:szCs w:val="18"/>
              </w:rPr>
            </w:pPr>
            <w:r w:rsidRPr="001B015B">
              <w:rPr>
                <w:rFonts w:ascii="Arial" w:hAnsi="Arial" w:cs="Arial"/>
                <w:b/>
                <w:bCs/>
                <w:sz w:val="18"/>
                <w:szCs w:val="18"/>
              </w:rPr>
              <w:t xml:space="preserve"> 4.545 </w:t>
            </w:r>
          </w:p>
        </w:tc>
      </w:tr>
    </w:tbl>
    <w:p w14:paraId="6896BDCA" w14:textId="77777777" w:rsidR="004E2F51" w:rsidRPr="001B015B" w:rsidRDefault="004E2F51" w:rsidP="004E2F51">
      <w:pPr>
        <w:rPr>
          <w:rFonts w:ascii="Arial" w:eastAsia="Calibri" w:hAnsi="Arial" w:cs="Arial"/>
          <w:color w:val="000000" w:themeColor="text1"/>
          <w:sz w:val="20"/>
          <w:szCs w:val="20"/>
          <w:lang w:val="hr-HR"/>
        </w:rPr>
      </w:pPr>
    </w:p>
    <w:p w14:paraId="79FBDE3F" w14:textId="77777777" w:rsidR="004E2F51" w:rsidRPr="001B015B" w:rsidRDefault="004E2F51" w:rsidP="004E2F51">
      <w:pPr>
        <w:keepNext/>
        <w:jc w:val="both"/>
        <w:rPr>
          <w:rFonts w:ascii="Arial" w:hAnsi="Arial" w:cs="Arial"/>
          <w:b/>
          <w:bCs/>
          <w:color w:val="000000" w:themeColor="text1"/>
          <w:sz w:val="20"/>
          <w:szCs w:val="20"/>
          <w:lang w:val="hr-HR"/>
        </w:rPr>
        <w:sectPr w:rsidR="004E2F51" w:rsidRPr="001B015B" w:rsidSect="00623DBA">
          <w:footerReference w:type="default" r:id="rId198"/>
          <w:pgSz w:w="11906" w:h="16838"/>
          <w:pgMar w:top="1418" w:right="1134" w:bottom="1134" w:left="1418" w:header="708" w:footer="708" w:gutter="0"/>
          <w:cols w:space="708"/>
          <w:docGrid w:linePitch="360"/>
        </w:sectPr>
      </w:pPr>
    </w:p>
    <w:p w14:paraId="4E8A1E5B" w14:textId="77777777" w:rsidR="004E2F51" w:rsidRPr="001B015B" w:rsidRDefault="004E2F51" w:rsidP="004E2F51">
      <w:pPr>
        <w:keepNext/>
        <w:jc w:val="both"/>
        <w:rPr>
          <w:rFonts w:ascii="Arial" w:hAnsi="Arial" w:cs="Arial"/>
          <w:b/>
          <w:bCs/>
          <w:color w:val="000000" w:themeColor="text1"/>
          <w:sz w:val="20"/>
          <w:szCs w:val="20"/>
          <w:lang w:val="hr-HR"/>
        </w:rPr>
      </w:pPr>
    </w:p>
    <w:p w14:paraId="23BB727C"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w:t>
      </w:r>
      <w:r w:rsidRPr="001B015B">
        <w:rPr>
          <w:rFonts w:ascii="Arial" w:hAnsi="Arial" w:cs="Arial"/>
          <w:b/>
          <w:bCs/>
          <w:color w:val="000000" w:themeColor="text1"/>
          <w:sz w:val="20"/>
          <w:szCs w:val="20"/>
          <w:lang w:val="hr-HR"/>
        </w:rPr>
        <w:tab/>
        <w:t>Upravljanje rizicima (nastavak)</w:t>
      </w:r>
    </w:p>
    <w:p w14:paraId="6923C853" w14:textId="77777777" w:rsidR="004E2F51" w:rsidRPr="001B015B" w:rsidRDefault="004E2F51" w:rsidP="004E2F51">
      <w:pPr>
        <w:keepNext/>
        <w:jc w:val="both"/>
        <w:rPr>
          <w:rFonts w:ascii="Arial" w:hAnsi="Arial" w:cs="Arial"/>
          <w:b/>
          <w:bCs/>
          <w:color w:val="000000" w:themeColor="text1"/>
          <w:sz w:val="20"/>
          <w:szCs w:val="20"/>
          <w:lang w:val="hr-HR"/>
        </w:rPr>
      </w:pPr>
    </w:p>
    <w:p w14:paraId="1CC90AB8"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 xml:space="preserve">.3. </w:t>
      </w:r>
      <w:r w:rsidRPr="001B015B">
        <w:rPr>
          <w:rFonts w:ascii="Arial" w:hAnsi="Arial" w:cs="Arial"/>
          <w:b/>
          <w:bCs/>
          <w:color w:val="000000" w:themeColor="text1"/>
          <w:sz w:val="20"/>
          <w:szCs w:val="20"/>
          <w:lang w:val="hr-HR"/>
        </w:rPr>
        <w:tab/>
        <w:t>Kreditni rizik (nastavak)</w:t>
      </w:r>
    </w:p>
    <w:p w14:paraId="67AD0444" w14:textId="77777777" w:rsidR="004E2F51" w:rsidRPr="001B015B" w:rsidRDefault="004E2F51" w:rsidP="004E2F51">
      <w:pPr>
        <w:keepNext/>
        <w:jc w:val="both"/>
        <w:rPr>
          <w:rFonts w:ascii="Arial" w:hAnsi="Arial" w:cs="Arial"/>
          <w:b/>
          <w:bCs/>
          <w:color w:val="000000" w:themeColor="text1"/>
          <w:sz w:val="20"/>
          <w:szCs w:val="20"/>
          <w:lang w:val="hr-HR"/>
        </w:rPr>
      </w:pPr>
    </w:p>
    <w:p w14:paraId="73899338" w14:textId="77777777" w:rsidR="004E2F51" w:rsidRPr="001B015B" w:rsidRDefault="004E2F51" w:rsidP="004E2F51">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7FE1C878" w14:textId="77777777" w:rsidR="004E2F51" w:rsidRPr="001B015B" w:rsidRDefault="004E2F51" w:rsidP="004E2F51">
      <w:pPr>
        <w:keepNext/>
        <w:tabs>
          <w:tab w:val="left" w:pos="284"/>
        </w:tabs>
        <w:jc w:val="both"/>
        <w:rPr>
          <w:rFonts w:ascii="Arial" w:hAnsi="Arial" w:cs="Arial"/>
          <w:bCs/>
          <w:i/>
          <w:color w:val="000000" w:themeColor="text1"/>
          <w:sz w:val="20"/>
          <w:szCs w:val="20"/>
          <w:lang w:val="hr-HR"/>
        </w:rPr>
      </w:pPr>
    </w:p>
    <w:p w14:paraId="13D4B0FD"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Financijska imovina po fer vrijednosti kroz ostalu sveobuhvatnu dobit (nastavak)</w:t>
      </w:r>
    </w:p>
    <w:p w14:paraId="61968418" w14:textId="77777777" w:rsidR="004E2F51" w:rsidRPr="001B015B" w:rsidRDefault="004E2F51" w:rsidP="004E2F51">
      <w:pPr>
        <w:keepNext/>
        <w:jc w:val="both"/>
        <w:rPr>
          <w:rFonts w:ascii="Arial" w:hAnsi="Arial" w:cs="Arial"/>
          <w:b/>
          <w:bCs/>
          <w:color w:val="000000" w:themeColor="text1"/>
          <w:sz w:val="20"/>
          <w:szCs w:val="20"/>
          <w:lang w:val="hr-HR"/>
        </w:rPr>
      </w:pPr>
    </w:p>
    <w:tbl>
      <w:tblPr>
        <w:tblW w:w="9361" w:type="dxa"/>
        <w:tblInd w:w="-180" w:type="dxa"/>
        <w:tblLook w:val="04A0" w:firstRow="1" w:lastRow="0" w:firstColumn="1" w:lastColumn="0" w:noHBand="0" w:noVBand="1"/>
      </w:tblPr>
      <w:tblGrid>
        <w:gridCol w:w="3876"/>
        <w:gridCol w:w="1134"/>
        <w:gridCol w:w="1077"/>
        <w:gridCol w:w="1077"/>
        <w:gridCol w:w="999"/>
        <w:gridCol w:w="1198"/>
      </w:tblGrid>
      <w:tr w:rsidR="004E2F51" w:rsidRPr="001B015B" w14:paraId="7019FB1A" w14:textId="77777777" w:rsidTr="00E032FC">
        <w:trPr>
          <w:trHeight w:val="185"/>
        </w:trPr>
        <w:tc>
          <w:tcPr>
            <w:tcW w:w="3876" w:type="dxa"/>
            <w:tcBorders>
              <w:top w:val="nil"/>
              <w:left w:val="nil"/>
              <w:bottom w:val="nil"/>
              <w:right w:val="nil"/>
            </w:tcBorders>
            <w:shd w:val="clear" w:color="auto" w:fill="auto"/>
            <w:vAlign w:val="center"/>
          </w:tcPr>
          <w:p w14:paraId="665670AC" w14:textId="77777777" w:rsidR="004E2F51" w:rsidRPr="001B015B" w:rsidRDefault="004E2F51" w:rsidP="00E032FC">
            <w:pPr>
              <w:rPr>
                <w:rFonts w:ascii="Arial" w:eastAsia="Calibri" w:hAnsi="Arial" w:cs="Arial"/>
                <w:b/>
                <w:bCs/>
                <w:color w:val="000000" w:themeColor="text1"/>
                <w:sz w:val="18"/>
                <w:szCs w:val="18"/>
                <w:lang w:val="hr-HR"/>
              </w:rPr>
            </w:pPr>
            <w:bookmarkStart w:id="1653" w:name="_Hlk24387194"/>
            <w:r w:rsidRPr="001B015B">
              <w:rPr>
                <w:rFonts w:ascii="Arial" w:eastAsia="Calibri" w:hAnsi="Arial" w:cs="Arial"/>
                <w:b/>
                <w:bCs/>
                <w:color w:val="000000" w:themeColor="text1"/>
                <w:sz w:val="18"/>
                <w:szCs w:val="18"/>
                <w:lang w:val="hr-HR"/>
              </w:rPr>
              <w:t>Banka</w:t>
            </w:r>
          </w:p>
        </w:tc>
        <w:tc>
          <w:tcPr>
            <w:tcW w:w="1134" w:type="dxa"/>
            <w:tcBorders>
              <w:top w:val="nil"/>
              <w:left w:val="nil"/>
              <w:bottom w:val="nil"/>
              <w:right w:val="nil"/>
            </w:tcBorders>
            <w:shd w:val="clear" w:color="auto" w:fill="auto"/>
            <w:vAlign w:val="center"/>
          </w:tcPr>
          <w:p w14:paraId="1D2D5C2A"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70357D63"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4F183FC4"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999" w:type="dxa"/>
            <w:tcBorders>
              <w:top w:val="nil"/>
              <w:left w:val="nil"/>
              <w:bottom w:val="nil"/>
              <w:right w:val="nil"/>
            </w:tcBorders>
            <w:shd w:val="clear" w:color="auto" w:fill="auto"/>
            <w:vAlign w:val="center"/>
          </w:tcPr>
          <w:p w14:paraId="70532555"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40CC13A2"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147578BC" w14:textId="77777777" w:rsidTr="00E032FC">
        <w:trPr>
          <w:trHeight w:val="185"/>
        </w:trPr>
        <w:tc>
          <w:tcPr>
            <w:tcW w:w="3876" w:type="dxa"/>
            <w:tcBorders>
              <w:top w:val="nil"/>
              <w:left w:val="nil"/>
              <w:bottom w:val="nil"/>
              <w:right w:val="nil"/>
            </w:tcBorders>
            <w:shd w:val="clear" w:color="auto" w:fill="auto"/>
            <w:vAlign w:val="center"/>
            <w:hideMark/>
          </w:tcPr>
          <w:p w14:paraId="2FC2F8B3"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134" w:type="dxa"/>
            <w:tcBorders>
              <w:top w:val="nil"/>
              <w:left w:val="nil"/>
              <w:bottom w:val="nil"/>
              <w:right w:val="nil"/>
            </w:tcBorders>
            <w:shd w:val="clear" w:color="auto" w:fill="auto"/>
            <w:vAlign w:val="center"/>
            <w:hideMark/>
          </w:tcPr>
          <w:p w14:paraId="65CBC65D"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77" w:type="dxa"/>
            <w:tcBorders>
              <w:top w:val="nil"/>
              <w:left w:val="nil"/>
              <w:bottom w:val="nil"/>
              <w:right w:val="nil"/>
            </w:tcBorders>
            <w:shd w:val="clear" w:color="auto" w:fill="auto"/>
            <w:vAlign w:val="center"/>
            <w:hideMark/>
          </w:tcPr>
          <w:p w14:paraId="5585C7BC"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77" w:type="dxa"/>
            <w:tcBorders>
              <w:top w:val="nil"/>
              <w:left w:val="nil"/>
              <w:bottom w:val="nil"/>
              <w:right w:val="nil"/>
            </w:tcBorders>
            <w:shd w:val="clear" w:color="auto" w:fill="auto"/>
            <w:vAlign w:val="center"/>
            <w:hideMark/>
          </w:tcPr>
          <w:p w14:paraId="084C4AF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9" w:type="dxa"/>
            <w:tcBorders>
              <w:top w:val="nil"/>
              <w:left w:val="nil"/>
              <w:bottom w:val="nil"/>
              <w:right w:val="nil"/>
            </w:tcBorders>
            <w:shd w:val="clear" w:color="auto" w:fill="auto"/>
            <w:vAlign w:val="center"/>
            <w:hideMark/>
          </w:tcPr>
          <w:p w14:paraId="71E5C7FD"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98" w:type="dxa"/>
            <w:tcBorders>
              <w:top w:val="nil"/>
              <w:left w:val="nil"/>
              <w:bottom w:val="nil"/>
              <w:right w:val="nil"/>
            </w:tcBorders>
            <w:shd w:val="clear" w:color="auto" w:fill="auto"/>
            <w:vAlign w:val="center"/>
            <w:hideMark/>
          </w:tcPr>
          <w:p w14:paraId="17362D5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29FACCFB" w14:textId="77777777" w:rsidTr="00E032FC">
        <w:trPr>
          <w:trHeight w:val="185"/>
        </w:trPr>
        <w:tc>
          <w:tcPr>
            <w:tcW w:w="3876" w:type="dxa"/>
            <w:tcBorders>
              <w:top w:val="nil"/>
              <w:left w:val="nil"/>
              <w:bottom w:val="nil"/>
              <w:right w:val="nil"/>
            </w:tcBorders>
            <w:shd w:val="clear" w:color="auto" w:fill="auto"/>
            <w:vAlign w:val="center"/>
            <w:hideMark/>
          </w:tcPr>
          <w:p w14:paraId="79A584E2"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34" w:type="dxa"/>
            <w:tcBorders>
              <w:top w:val="nil"/>
              <w:left w:val="nil"/>
              <w:bottom w:val="nil"/>
              <w:right w:val="nil"/>
            </w:tcBorders>
            <w:shd w:val="clear" w:color="auto" w:fill="auto"/>
            <w:vAlign w:val="center"/>
            <w:hideMark/>
          </w:tcPr>
          <w:p w14:paraId="5DE7C1F8"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77" w:type="dxa"/>
            <w:tcBorders>
              <w:top w:val="nil"/>
              <w:left w:val="nil"/>
              <w:bottom w:val="nil"/>
              <w:right w:val="nil"/>
            </w:tcBorders>
            <w:shd w:val="clear" w:color="auto" w:fill="auto"/>
            <w:vAlign w:val="center"/>
            <w:hideMark/>
          </w:tcPr>
          <w:p w14:paraId="1F092847"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77" w:type="dxa"/>
            <w:tcBorders>
              <w:top w:val="nil"/>
              <w:left w:val="nil"/>
              <w:bottom w:val="nil"/>
              <w:right w:val="nil"/>
            </w:tcBorders>
            <w:shd w:val="clear" w:color="auto" w:fill="auto"/>
            <w:vAlign w:val="center"/>
            <w:hideMark/>
          </w:tcPr>
          <w:p w14:paraId="3D5AF5D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999" w:type="dxa"/>
            <w:tcBorders>
              <w:top w:val="nil"/>
              <w:left w:val="nil"/>
              <w:bottom w:val="nil"/>
              <w:right w:val="nil"/>
            </w:tcBorders>
            <w:shd w:val="clear" w:color="auto" w:fill="auto"/>
            <w:vAlign w:val="center"/>
            <w:hideMark/>
          </w:tcPr>
          <w:p w14:paraId="659564C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198" w:type="dxa"/>
            <w:tcBorders>
              <w:top w:val="nil"/>
              <w:left w:val="nil"/>
              <w:bottom w:val="nil"/>
              <w:right w:val="nil"/>
            </w:tcBorders>
            <w:shd w:val="clear" w:color="auto" w:fill="auto"/>
            <w:vAlign w:val="center"/>
            <w:hideMark/>
          </w:tcPr>
          <w:p w14:paraId="2F494C24"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442F03FC" w14:textId="77777777" w:rsidTr="00E032FC">
        <w:trPr>
          <w:trHeight w:val="185"/>
        </w:trPr>
        <w:tc>
          <w:tcPr>
            <w:tcW w:w="3876" w:type="dxa"/>
            <w:tcBorders>
              <w:top w:val="nil"/>
              <w:left w:val="nil"/>
              <w:bottom w:val="nil"/>
              <w:right w:val="nil"/>
            </w:tcBorders>
            <w:shd w:val="clear" w:color="auto" w:fill="auto"/>
            <w:vAlign w:val="center"/>
          </w:tcPr>
          <w:p w14:paraId="1596931A"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34" w:type="dxa"/>
            <w:tcBorders>
              <w:top w:val="nil"/>
              <w:left w:val="nil"/>
              <w:bottom w:val="nil"/>
              <w:right w:val="nil"/>
            </w:tcBorders>
            <w:shd w:val="clear" w:color="auto" w:fill="auto"/>
            <w:vAlign w:val="center"/>
          </w:tcPr>
          <w:p w14:paraId="4C95FEB9"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3159D47A"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5E391AEB"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999" w:type="dxa"/>
            <w:tcBorders>
              <w:top w:val="nil"/>
              <w:left w:val="nil"/>
              <w:bottom w:val="nil"/>
              <w:right w:val="nil"/>
            </w:tcBorders>
            <w:shd w:val="clear" w:color="auto" w:fill="auto"/>
            <w:vAlign w:val="center"/>
          </w:tcPr>
          <w:p w14:paraId="4FCA97F7"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2A34BC78"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43DB05EF" w14:textId="77777777" w:rsidTr="00E032FC">
        <w:trPr>
          <w:trHeight w:val="185"/>
        </w:trPr>
        <w:tc>
          <w:tcPr>
            <w:tcW w:w="3876" w:type="dxa"/>
            <w:tcBorders>
              <w:top w:val="nil"/>
              <w:left w:val="nil"/>
              <w:bottom w:val="nil"/>
              <w:right w:val="nil"/>
            </w:tcBorders>
            <w:shd w:val="clear" w:color="auto" w:fill="auto"/>
            <w:vAlign w:val="center"/>
            <w:hideMark/>
          </w:tcPr>
          <w:p w14:paraId="5AB8C3D2"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2</w:t>
            </w:r>
            <w:r w:rsidRPr="001B015B">
              <w:rPr>
                <w:rFonts w:ascii="Arial" w:eastAsia="Calibri" w:hAnsi="Arial" w:cs="Arial"/>
                <w:color w:val="000000" w:themeColor="text1"/>
                <w:sz w:val="18"/>
                <w:szCs w:val="18"/>
                <w:lang w:val="hr-HR"/>
              </w:rPr>
              <w:t xml:space="preserve">. </w:t>
            </w:r>
          </w:p>
        </w:tc>
        <w:tc>
          <w:tcPr>
            <w:tcW w:w="1134" w:type="dxa"/>
            <w:tcBorders>
              <w:top w:val="nil"/>
              <w:left w:val="nil"/>
              <w:bottom w:val="nil"/>
              <w:right w:val="nil"/>
            </w:tcBorders>
            <w:shd w:val="clear" w:color="auto" w:fill="auto"/>
            <w:vAlign w:val="bottom"/>
          </w:tcPr>
          <w:p w14:paraId="7D3D30FE"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2.724 </w:t>
            </w:r>
          </w:p>
        </w:tc>
        <w:tc>
          <w:tcPr>
            <w:tcW w:w="1077" w:type="dxa"/>
            <w:tcBorders>
              <w:top w:val="nil"/>
              <w:left w:val="nil"/>
              <w:bottom w:val="nil"/>
              <w:right w:val="nil"/>
            </w:tcBorders>
            <w:shd w:val="clear" w:color="auto" w:fill="auto"/>
            <w:vAlign w:val="bottom"/>
          </w:tcPr>
          <w:p w14:paraId="2F8D7B15"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077" w:type="dxa"/>
            <w:tcBorders>
              <w:top w:val="nil"/>
              <w:left w:val="nil"/>
              <w:bottom w:val="nil"/>
              <w:right w:val="nil"/>
            </w:tcBorders>
            <w:shd w:val="clear" w:color="auto" w:fill="auto"/>
            <w:vAlign w:val="bottom"/>
          </w:tcPr>
          <w:p w14:paraId="61B7A360"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1.731 </w:t>
            </w:r>
          </w:p>
        </w:tc>
        <w:tc>
          <w:tcPr>
            <w:tcW w:w="999" w:type="dxa"/>
            <w:tcBorders>
              <w:top w:val="nil"/>
              <w:left w:val="nil"/>
              <w:bottom w:val="nil"/>
              <w:right w:val="nil"/>
            </w:tcBorders>
            <w:shd w:val="clear" w:color="auto" w:fill="auto"/>
            <w:vAlign w:val="bottom"/>
          </w:tcPr>
          <w:p w14:paraId="5D039668"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198" w:type="dxa"/>
            <w:tcBorders>
              <w:top w:val="nil"/>
              <w:left w:val="nil"/>
              <w:bottom w:val="nil"/>
              <w:right w:val="nil"/>
            </w:tcBorders>
            <w:shd w:val="clear" w:color="auto" w:fill="auto"/>
            <w:vAlign w:val="bottom"/>
          </w:tcPr>
          <w:p w14:paraId="6DADE946"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4.455 </w:t>
            </w:r>
          </w:p>
        </w:tc>
      </w:tr>
      <w:tr w:rsidR="004E2F51" w:rsidRPr="001B015B" w14:paraId="04729D6E" w14:textId="77777777" w:rsidTr="00E032FC">
        <w:trPr>
          <w:trHeight w:val="185"/>
        </w:trPr>
        <w:tc>
          <w:tcPr>
            <w:tcW w:w="3876" w:type="dxa"/>
            <w:shd w:val="clear" w:color="auto" w:fill="auto"/>
          </w:tcPr>
          <w:p w14:paraId="447F840E"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34" w:type="dxa"/>
            <w:tcBorders>
              <w:top w:val="nil"/>
              <w:left w:val="nil"/>
              <w:bottom w:val="nil"/>
              <w:right w:val="nil"/>
            </w:tcBorders>
            <w:shd w:val="clear" w:color="auto" w:fill="auto"/>
            <w:vAlign w:val="bottom"/>
          </w:tcPr>
          <w:p w14:paraId="6AF9EBF1"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077" w:type="dxa"/>
            <w:tcBorders>
              <w:top w:val="nil"/>
              <w:left w:val="nil"/>
              <w:bottom w:val="nil"/>
              <w:right w:val="nil"/>
            </w:tcBorders>
            <w:shd w:val="clear" w:color="auto" w:fill="auto"/>
            <w:vAlign w:val="bottom"/>
          </w:tcPr>
          <w:p w14:paraId="10DD7B1C"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077" w:type="dxa"/>
            <w:tcBorders>
              <w:top w:val="nil"/>
              <w:left w:val="nil"/>
              <w:bottom w:val="nil"/>
              <w:right w:val="nil"/>
            </w:tcBorders>
            <w:shd w:val="clear" w:color="auto" w:fill="auto"/>
            <w:vAlign w:val="bottom"/>
          </w:tcPr>
          <w:p w14:paraId="1BC88CB5"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999" w:type="dxa"/>
            <w:tcBorders>
              <w:top w:val="nil"/>
              <w:left w:val="nil"/>
              <w:bottom w:val="nil"/>
              <w:right w:val="nil"/>
            </w:tcBorders>
            <w:shd w:val="clear" w:color="auto" w:fill="auto"/>
            <w:vAlign w:val="bottom"/>
          </w:tcPr>
          <w:p w14:paraId="77CAC3AF"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198" w:type="dxa"/>
            <w:tcBorders>
              <w:top w:val="nil"/>
              <w:left w:val="nil"/>
              <w:bottom w:val="nil"/>
              <w:right w:val="nil"/>
            </w:tcBorders>
            <w:shd w:val="clear" w:color="auto" w:fill="auto"/>
            <w:vAlign w:val="bottom"/>
          </w:tcPr>
          <w:p w14:paraId="38C1F8CD"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r>
      <w:tr w:rsidR="004E2F51" w:rsidRPr="001B015B" w14:paraId="235EA732" w14:textId="77777777" w:rsidTr="00E032FC">
        <w:trPr>
          <w:trHeight w:val="185"/>
        </w:trPr>
        <w:tc>
          <w:tcPr>
            <w:tcW w:w="3876" w:type="dxa"/>
            <w:shd w:val="clear" w:color="auto" w:fill="auto"/>
          </w:tcPr>
          <w:p w14:paraId="3C0E26FB"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34" w:type="dxa"/>
            <w:tcBorders>
              <w:top w:val="nil"/>
              <w:left w:val="nil"/>
              <w:bottom w:val="nil"/>
              <w:right w:val="nil"/>
            </w:tcBorders>
            <w:shd w:val="clear" w:color="auto" w:fill="auto"/>
            <w:vAlign w:val="bottom"/>
          </w:tcPr>
          <w:p w14:paraId="05FA307F"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(42)</w:t>
            </w:r>
          </w:p>
        </w:tc>
        <w:tc>
          <w:tcPr>
            <w:tcW w:w="1077" w:type="dxa"/>
            <w:tcBorders>
              <w:top w:val="nil"/>
              <w:left w:val="nil"/>
              <w:bottom w:val="nil"/>
              <w:right w:val="nil"/>
            </w:tcBorders>
            <w:shd w:val="clear" w:color="auto" w:fill="auto"/>
            <w:vAlign w:val="bottom"/>
          </w:tcPr>
          <w:p w14:paraId="6A232C49"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42 </w:t>
            </w:r>
          </w:p>
        </w:tc>
        <w:tc>
          <w:tcPr>
            <w:tcW w:w="1077" w:type="dxa"/>
            <w:tcBorders>
              <w:top w:val="nil"/>
              <w:left w:val="nil"/>
              <w:bottom w:val="nil"/>
              <w:right w:val="nil"/>
            </w:tcBorders>
            <w:shd w:val="clear" w:color="auto" w:fill="auto"/>
            <w:vAlign w:val="bottom"/>
          </w:tcPr>
          <w:p w14:paraId="6266D68B"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999" w:type="dxa"/>
            <w:tcBorders>
              <w:top w:val="nil"/>
              <w:left w:val="nil"/>
              <w:bottom w:val="nil"/>
              <w:right w:val="nil"/>
            </w:tcBorders>
            <w:shd w:val="clear" w:color="auto" w:fill="auto"/>
            <w:vAlign w:val="bottom"/>
          </w:tcPr>
          <w:p w14:paraId="1E416D29"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198" w:type="dxa"/>
            <w:tcBorders>
              <w:top w:val="nil"/>
              <w:left w:val="nil"/>
              <w:bottom w:val="nil"/>
              <w:right w:val="nil"/>
            </w:tcBorders>
            <w:shd w:val="clear" w:color="auto" w:fill="auto"/>
            <w:vAlign w:val="bottom"/>
          </w:tcPr>
          <w:p w14:paraId="4F058F7E"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r>
      <w:tr w:rsidR="004E2F51" w:rsidRPr="001B015B" w14:paraId="216FA242" w14:textId="77777777" w:rsidTr="00E032FC">
        <w:trPr>
          <w:trHeight w:val="185"/>
        </w:trPr>
        <w:tc>
          <w:tcPr>
            <w:tcW w:w="3876" w:type="dxa"/>
            <w:shd w:val="clear" w:color="auto" w:fill="auto"/>
            <w:hideMark/>
          </w:tcPr>
          <w:p w14:paraId="0140FB84"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34" w:type="dxa"/>
            <w:tcBorders>
              <w:top w:val="nil"/>
              <w:left w:val="nil"/>
              <w:bottom w:val="nil"/>
              <w:right w:val="nil"/>
            </w:tcBorders>
            <w:shd w:val="clear" w:color="auto" w:fill="auto"/>
            <w:vAlign w:val="bottom"/>
          </w:tcPr>
          <w:p w14:paraId="34FD9BF8"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077" w:type="dxa"/>
            <w:tcBorders>
              <w:top w:val="nil"/>
              <w:left w:val="nil"/>
              <w:bottom w:val="nil"/>
              <w:right w:val="nil"/>
            </w:tcBorders>
            <w:shd w:val="clear" w:color="auto" w:fill="auto"/>
            <w:vAlign w:val="bottom"/>
          </w:tcPr>
          <w:p w14:paraId="00554899"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077" w:type="dxa"/>
            <w:tcBorders>
              <w:top w:val="nil"/>
              <w:left w:val="nil"/>
              <w:bottom w:val="nil"/>
              <w:right w:val="nil"/>
            </w:tcBorders>
            <w:shd w:val="clear" w:color="auto" w:fill="auto"/>
            <w:vAlign w:val="bottom"/>
          </w:tcPr>
          <w:p w14:paraId="62CEC9D8"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999" w:type="dxa"/>
            <w:tcBorders>
              <w:top w:val="nil"/>
              <w:left w:val="nil"/>
              <w:bottom w:val="nil"/>
              <w:right w:val="nil"/>
            </w:tcBorders>
            <w:shd w:val="clear" w:color="auto" w:fill="auto"/>
            <w:vAlign w:val="bottom"/>
          </w:tcPr>
          <w:p w14:paraId="322244C4"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198" w:type="dxa"/>
            <w:tcBorders>
              <w:top w:val="nil"/>
              <w:left w:val="nil"/>
              <w:bottom w:val="nil"/>
              <w:right w:val="nil"/>
            </w:tcBorders>
            <w:shd w:val="clear" w:color="auto" w:fill="auto"/>
            <w:vAlign w:val="bottom"/>
          </w:tcPr>
          <w:p w14:paraId="67B4E2DA"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r>
      <w:tr w:rsidR="004E2F51" w:rsidRPr="001B015B" w14:paraId="1B4E0BD7" w14:textId="77777777" w:rsidTr="00E032FC">
        <w:trPr>
          <w:trHeight w:val="230"/>
        </w:trPr>
        <w:tc>
          <w:tcPr>
            <w:tcW w:w="3876" w:type="dxa"/>
            <w:tcBorders>
              <w:top w:val="nil"/>
              <w:left w:val="nil"/>
              <w:bottom w:val="nil"/>
              <w:right w:val="nil"/>
            </w:tcBorders>
            <w:shd w:val="clear" w:color="auto" w:fill="auto"/>
            <w:vAlign w:val="center"/>
            <w:hideMark/>
          </w:tcPr>
          <w:p w14:paraId="52B08861"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593574">
              <w:rPr>
                <w:rFonts w:ascii="Arial" w:eastAsia="Calibri" w:hAnsi="Arial" w:cs="Arial"/>
                <w:color w:val="000000" w:themeColor="text1"/>
                <w:sz w:val="18"/>
                <w:szCs w:val="18"/>
                <w:lang w:val="hr-HR"/>
              </w:rPr>
              <w:t>(smanjenje)/povećanje</w:t>
            </w:r>
            <w:r w:rsidRPr="001B015B">
              <w:rPr>
                <w:rFonts w:ascii="Arial" w:eastAsia="Calibri" w:hAnsi="Arial" w:cs="Arial"/>
                <w:color w:val="000000" w:themeColor="text1"/>
                <w:sz w:val="18"/>
                <w:szCs w:val="18"/>
                <w:lang w:val="hr-HR"/>
              </w:rPr>
              <w:t xml:space="preserve"> rezerviranja za očekivane gubitke </w:t>
            </w:r>
          </w:p>
        </w:tc>
        <w:tc>
          <w:tcPr>
            <w:tcW w:w="1134" w:type="dxa"/>
            <w:tcBorders>
              <w:top w:val="nil"/>
              <w:left w:val="nil"/>
              <w:bottom w:val="nil"/>
              <w:right w:val="nil"/>
            </w:tcBorders>
            <w:shd w:val="clear" w:color="auto" w:fill="auto"/>
            <w:vAlign w:val="bottom"/>
          </w:tcPr>
          <w:p w14:paraId="596CD93D"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(216)</w:t>
            </w:r>
          </w:p>
        </w:tc>
        <w:tc>
          <w:tcPr>
            <w:tcW w:w="1077" w:type="dxa"/>
            <w:tcBorders>
              <w:top w:val="nil"/>
              <w:left w:val="nil"/>
              <w:bottom w:val="nil"/>
              <w:right w:val="nil"/>
            </w:tcBorders>
            <w:shd w:val="clear" w:color="auto" w:fill="auto"/>
            <w:vAlign w:val="bottom"/>
          </w:tcPr>
          <w:p w14:paraId="3FD6D77F"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318 </w:t>
            </w:r>
          </w:p>
        </w:tc>
        <w:tc>
          <w:tcPr>
            <w:tcW w:w="1077" w:type="dxa"/>
            <w:tcBorders>
              <w:top w:val="nil"/>
              <w:left w:val="nil"/>
              <w:bottom w:val="nil"/>
              <w:right w:val="nil"/>
            </w:tcBorders>
            <w:shd w:val="clear" w:color="auto" w:fill="auto"/>
            <w:vAlign w:val="bottom"/>
          </w:tcPr>
          <w:p w14:paraId="3015F0EA"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5 </w:t>
            </w:r>
          </w:p>
        </w:tc>
        <w:tc>
          <w:tcPr>
            <w:tcW w:w="999" w:type="dxa"/>
            <w:tcBorders>
              <w:top w:val="nil"/>
              <w:left w:val="nil"/>
              <w:bottom w:val="nil"/>
              <w:right w:val="nil"/>
            </w:tcBorders>
            <w:shd w:val="clear" w:color="auto" w:fill="auto"/>
            <w:vAlign w:val="bottom"/>
          </w:tcPr>
          <w:p w14:paraId="54C80950"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198" w:type="dxa"/>
            <w:tcBorders>
              <w:top w:val="nil"/>
              <w:left w:val="nil"/>
              <w:bottom w:val="nil"/>
              <w:right w:val="nil"/>
            </w:tcBorders>
            <w:shd w:val="clear" w:color="auto" w:fill="auto"/>
            <w:vAlign w:val="bottom"/>
          </w:tcPr>
          <w:p w14:paraId="191A26C5"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107 </w:t>
            </w:r>
          </w:p>
        </w:tc>
      </w:tr>
      <w:tr w:rsidR="004E2F51" w:rsidRPr="001B015B" w14:paraId="2634CB48" w14:textId="77777777" w:rsidTr="00E032FC">
        <w:trPr>
          <w:trHeight w:val="193"/>
        </w:trPr>
        <w:tc>
          <w:tcPr>
            <w:tcW w:w="3876" w:type="dxa"/>
            <w:tcBorders>
              <w:top w:val="nil"/>
              <w:left w:val="nil"/>
              <w:bottom w:val="nil"/>
              <w:right w:val="nil"/>
            </w:tcBorders>
            <w:shd w:val="clear" w:color="auto" w:fill="auto"/>
            <w:vAlign w:val="center"/>
            <w:hideMark/>
          </w:tcPr>
          <w:p w14:paraId="1C28FA65"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134" w:type="dxa"/>
            <w:tcBorders>
              <w:top w:val="nil"/>
              <w:left w:val="nil"/>
              <w:bottom w:val="single" w:sz="8" w:space="0" w:color="auto"/>
              <w:right w:val="nil"/>
            </w:tcBorders>
            <w:shd w:val="clear" w:color="auto" w:fill="auto"/>
            <w:vAlign w:val="bottom"/>
          </w:tcPr>
          <w:p w14:paraId="6B1AAC83"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077" w:type="dxa"/>
            <w:tcBorders>
              <w:top w:val="nil"/>
              <w:left w:val="nil"/>
              <w:bottom w:val="single" w:sz="8" w:space="0" w:color="auto"/>
              <w:right w:val="nil"/>
            </w:tcBorders>
            <w:shd w:val="clear" w:color="auto" w:fill="auto"/>
            <w:vAlign w:val="bottom"/>
          </w:tcPr>
          <w:p w14:paraId="795903CA"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077" w:type="dxa"/>
            <w:tcBorders>
              <w:top w:val="nil"/>
              <w:left w:val="nil"/>
              <w:bottom w:val="single" w:sz="8" w:space="0" w:color="auto"/>
              <w:right w:val="nil"/>
            </w:tcBorders>
            <w:shd w:val="clear" w:color="auto" w:fill="auto"/>
            <w:vAlign w:val="bottom"/>
          </w:tcPr>
          <w:p w14:paraId="66F3534B"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4 </w:t>
            </w:r>
          </w:p>
        </w:tc>
        <w:tc>
          <w:tcPr>
            <w:tcW w:w="999" w:type="dxa"/>
            <w:tcBorders>
              <w:top w:val="nil"/>
              <w:left w:val="nil"/>
              <w:bottom w:val="single" w:sz="8" w:space="0" w:color="auto"/>
              <w:right w:val="nil"/>
            </w:tcBorders>
            <w:shd w:val="clear" w:color="auto" w:fill="auto"/>
            <w:vAlign w:val="bottom"/>
          </w:tcPr>
          <w:p w14:paraId="1FCF4847"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198" w:type="dxa"/>
            <w:tcBorders>
              <w:top w:val="nil"/>
              <w:left w:val="nil"/>
              <w:bottom w:val="single" w:sz="8" w:space="0" w:color="auto"/>
              <w:right w:val="nil"/>
            </w:tcBorders>
            <w:shd w:val="clear" w:color="auto" w:fill="auto"/>
            <w:vAlign w:val="bottom"/>
          </w:tcPr>
          <w:p w14:paraId="6E149213"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4 </w:t>
            </w:r>
          </w:p>
        </w:tc>
      </w:tr>
      <w:tr w:rsidR="004E2F51" w:rsidRPr="001B015B" w14:paraId="6C78163A" w14:textId="77777777" w:rsidTr="00E032FC">
        <w:trPr>
          <w:trHeight w:val="193"/>
        </w:trPr>
        <w:tc>
          <w:tcPr>
            <w:tcW w:w="3876" w:type="dxa"/>
            <w:tcBorders>
              <w:top w:val="nil"/>
              <w:left w:val="nil"/>
              <w:bottom w:val="nil"/>
              <w:right w:val="nil"/>
            </w:tcBorders>
            <w:shd w:val="clear" w:color="auto" w:fill="auto"/>
            <w:vAlign w:val="center"/>
            <w:hideMark/>
          </w:tcPr>
          <w:p w14:paraId="52673DAE"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134" w:type="dxa"/>
            <w:tcBorders>
              <w:top w:val="nil"/>
              <w:left w:val="nil"/>
              <w:bottom w:val="single" w:sz="12" w:space="0" w:color="auto"/>
              <w:right w:val="nil"/>
            </w:tcBorders>
            <w:shd w:val="clear" w:color="auto" w:fill="auto"/>
            <w:vAlign w:val="bottom"/>
          </w:tcPr>
          <w:p w14:paraId="5DB622B6" w14:textId="77777777" w:rsidR="004E2F51" w:rsidRPr="00593574" w:rsidRDefault="004E2F51" w:rsidP="00E032FC">
            <w:pPr>
              <w:jc w:val="right"/>
              <w:rPr>
                <w:rFonts w:ascii="Arial" w:hAnsi="Arial" w:cs="Arial"/>
                <w:b/>
                <w:bCs/>
                <w:sz w:val="18"/>
                <w:szCs w:val="18"/>
              </w:rPr>
            </w:pPr>
            <w:r w:rsidRPr="00593574">
              <w:rPr>
                <w:rFonts w:ascii="Arial" w:hAnsi="Arial" w:cs="Arial"/>
                <w:b/>
                <w:bCs/>
                <w:sz w:val="18"/>
                <w:szCs w:val="18"/>
              </w:rPr>
              <w:t xml:space="preserve"> 2.466 </w:t>
            </w:r>
          </w:p>
        </w:tc>
        <w:tc>
          <w:tcPr>
            <w:tcW w:w="1077" w:type="dxa"/>
            <w:tcBorders>
              <w:top w:val="nil"/>
              <w:left w:val="nil"/>
              <w:bottom w:val="single" w:sz="12" w:space="0" w:color="auto"/>
              <w:right w:val="nil"/>
            </w:tcBorders>
            <w:shd w:val="clear" w:color="auto" w:fill="auto"/>
            <w:vAlign w:val="bottom"/>
          </w:tcPr>
          <w:p w14:paraId="2F5E8C8A" w14:textId="77777777" w:rsidR="004E2F51" w:rsidRPr="00593574" w:rsidRDefault="004E2F51" w:rsidP="00E032FC">
            <w:pPr>
              <w:jc w:val="right"/>
              <w:rPr>
                <w:rFonts w:ascii="Arial" w:hAnsi="Arial" w:cs="Arial"/>
                <w:b/>
                <w:bCs/>
                <w:sz w:val="18"/>
                <w:szCs w:val="18"/>
              </w:rPr>
            </w:pPr>
            <w:r w:rsidRPr="00593574">
              <w:rPr>
                <w:rFonts w:ascii="Arial" w:hAnsi="Arial" w:cs="Arial"/>
                <w:b/>
                <w:bCs/>
                <w:sz w:val="18"/>
                <w:szCs w:val="18"/>
              </w:rPr>
              <w:t xml:space="preserve"> 360 </w:t>
            </w:r>
          </w:p>
        </w:tc>
        <w:tc>
          <w:tcPr>
            <w:tcW w:w="1077" w:type="dxa"/>
            <w:tcBorders>
              <w:top w:val="nil"/>
              <w:left w:val="nil"/>
              <w:bottom w:val="single" w:sz="12" w:space="0" w:color="auto"/>
              <w:right w:val="nil"/>
            </w:tcBorders>
            <w:shd w:val="clear" w:color="auto" w:fill="auto"/>
            <w:vAlign w:val="bottom"/>
          </w:tcPr>
          <w:p w14:paraId="59425D9A" w14:textId="77777777" w:rsidR="004E2F51" w:rsidRPr="00593574" w:rsidRDefault="004E2F51" w:rsidP="00E032FC">
            <w:pPr>
              <w:jc w:val="right"/>
              <w:rPr>
                <w:rFonts w:ascii="Arial" w:hAnsi="Arial" w:cs="Arial"/>
                <w:b/>
                <w:bCs/>
                <w:sz w:val="18"/>
                <w:szCs w:val="18"/>
              </w:rPr>
            </w:pPr>
            <w:r w:rsidRPr="00593574">
              <w:rPr>
                <w:rFonts w:ascii="Arial" w:hAnsi="Arial" w:cs="Arial"/>
                <w:b/>
                <w:bCs/>
                <w:sz w:val="18"/>
                <w:szCs w:val="18"/>
              </w:rPr>
              <w:t xml:space="preserve"> 1.740 </w:t>
            </w:r>
          </w:p>
        </w:tc>
        <w:tc>
          <w:tcPr>
            <w:tcW w:w="999" w:type="dxa"/>
            <w:tcBorders>
              <w:top w:val="nil"/>
              <w:left w:val="nil"/>
              <w:bottom w:val="single" w:sz="12" w:space="0" w:color="auto"/>
              <w:right w:val="nil"/>
            </w:tcBorders>
            <w:shd w:val="clear" w:color="auto" w:fill="auto"/>
            <w:vAlign w:val="bottom"/>
          </w:tcPr>
          <w:p w14:paraId="620DC41F" w14:textId="77777777" w:rsidR="004E2F51" w:rsidRPr="00593574" w:rsidRDefault="004E2F51" w:rsidP="00E032FC">
            <w:pPr>
              <w:jc w:val="right"/>
              <w:rPr>
                <w:rFonts w:ascii="Arial" w:hAnsi="Arial" w:cs="Arial"/>
                <w:b/>
                <w:bCs/>
                <w:sz w:val="18"/>
                <w:szCs w:val="18"/>
              </w:rPr>
            </w:pPr>
            <w:r w:rsidRPr="00593574">
              <w:rPr>
                <w:rFonts w:ascii="Arial" w:hAnsi="Arial" w:cs="Arial"/>
                <w:b/>
                <w:bCs/>
                <w:sz w:val="18"/>
                <w:szCs w:val="18"/>
              </w:rPr>
              <w:t xml:space="preserve"> - </w:t>
            </w:r>
          </w:p>
        </w:tc>
        <w:tc>
          <w:tcPr>
            <w:tcW w:w="1198" w:type="dxa"/>
            <w:tcBorders>
              <w:top w:val="nil"/>
              <w:left w:val="nil"/>
              <w:bottom w:val="single" w:sz="12" w:space="0" w:color="auto"/>
              <w:right w:val="nil"/>
            </w:tcBorders>
            <w:shd w:val="clear" w:color="auto" w:fill="auto"/>
            <w:vAlign w:val="bottom"/>
          </w:tcPr>
          <w:p w14:paraId="4529B7AC" w14:textId="77777777" w:rsidR="004E2F51" w:rsidRPr="00593574" w:rsidRDefault="004E2F51" w:rsidP="00E032FC">
            <w:pPr>
              <w:jc w:val="right"/>
              <w:rPr>
                <w:rFonts w:ascii="Arial" w:hAnsi="Arial" w:cs="Arial"/>
                <w:b/>
                <w:bCs/>
                <w:sz w:val="18"/>
                <w:szCs w:val="18"/>
              </w:rPr>
            </w:pPr>
            <w:r w:rsidRPr="00593574">
              <w:rPr>
                <w:rFonts w:ascii="Arial" w:hAnsi="Arial" w:cs="Arial"/>
                <w:b/>
                <w:bCs/>
                <w:sz w:val="18"/>
                <w:szCs w:val="18"/>
              </w:rPr>
              <w:t xml:space="preserve"> 4.566 </w:t>
            </w:r>
          </w:p>
        </w:tc>
      </w:tr>
      <w:bookmarkEnd w:id="1653"/>
    </w:tbl>
    <w:p w14:paraId="55F9999E" w14:textId="77777777" w:rsidR="004E2F51" w:rsidRPr="001B015B" w:rsidRDefault="004E2F51" w:rsidP="004E2F51">
      <w:pPr>
        <w:rPr>
          <w:rFonts w:ascii="Arial" w:eastAsia="Calibri" w:hAnsi="Arial" w:cs="Arial"/>
          <w:color w:val="000000" w:themeColor="text1"/>
          <w:sz w:val="20"/>
          <w:szCs w:val="20"/>
          <w:lang w:val="hr-HR"/>
        </w:rPr>
      </w:pPr>
    </w:p>
    <w:p w14:paraId="638727A0" w14:textId="77777777" w:rsidR="004E2F51" w:rsidRDefault="004E2F51" w:rsidP="004E2F51">
      <w:pPr>
        <w:rPr>
          <w:rFonts w:ascii="Arial" w:eastAsia="Calibri" w:hAnsi="Arial" w:cs="Arial"/>
          <w:color w:val="000000" w:themeColor="text1"/>
          <w:sz w:val="20"/>
          <w:szCs w:val="20"/>
          <w:lang w:val="hr-HR"/>
        </w:rPr>
      </w:pPr>
    </w:p>
    <w:p w14:paraId="53080E2C" w14:textId="77777777" w:rsidR="004E2F51" w:rsidRPr="001B015B" w:rsidRDefault="004E2F51" w:rsidP="004E2F51">
      <w:pPr>
        <w:rPr>
          <w:rFonts w:ascii="Arial" w:eastAsia="Calibri" w:hAnsi="Arial" w:cs="Arial"/>
          <w:color w:val="000000" w:themeColor="text1"/>
          <w:sz w:val="20"/>
          <w:szCs w:val="20"/>
          <w:lang w:val="hr-HR"/>
        </w:rPr>
      </w:pPr>
    </w:p>
    <w:tbl>
      <w:tblPr>
        <w:tblW w:w="9425" w:type="dxa"/>
        <w:tblInd w:w="-180" w:type="dxa"/>
        <w:tblLook w:val="04A0" w:firstRow="1" w:lastRow="0" w:firstColumn="1" w:lastColumn="0" w:noHBand="0" w:noVBand="1"/>
      </w:tblPr>
      <w:tblGrid>
        <w:gridCol w:w="3876"/>
        <w:gridCol w:w="1198"/>
        <w:gridCol w:w="1077"/>
        <w:gridCol w:w="1077"/>
        <w:gridCol w:w="999"/>
        <w:gridCol w:w="1198"/>
      </w:tblGrid>
      <w:tr w:rsidR="004E2F51" w:rsidRPr="001B015B" w14:paraId="3480C043" w14:textId="77777777" w:rsidTr="00E032FC">
        <w:trPr>
          <w:trHeight w:val="185"/>
        </w:trPr>
        <w:tc>
          <w:tcPr>
            <w:tcW w:w="3876" w:type="dxa"/>
            <w:tcBorders>
              <w:top w:val="nil"/>
              <w:left w:val="nil"/>
              <w:bottom w:val="nil"/>
              <w:right w:val="nil"/>
            </w:tcBorders>
            <w:shd w:val="clear" w:color="auto" w:fill="auto"/>
            <w:vAlign w:val="center"/>
          </w:tcPr>
          <w:p w14:paraId="7714A125"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Banka</w:t>
            </w:r>
          </w:p>
        </w:tc>
        <w:tc>
          <w:tcPr>
            <w:tcW w:w="1198" w:type="dxa"/>
            <w:tcBorders>
              <w:top w:val="nil"/>
              <w:left w:val="nil"/>
              <w:bottom w:val="nil"/>
              <w:right w:val="nil"/>
            </w:tcBorders>
            <w:shd w:val="clear" w:color="auto" w:fill="auto"/>
            <w:vAlign w:val="center"/>
          </w:tcPr>
          <w:p w14:paraId="6D770F9C"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0B9EC797"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655B9F54"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999" w:type="dxa"/>
            <w:tcBorders>
              <w:top w:val="nil"/>
              <w:left w:val="nil"/>
              <w:bottom w:val="nil"/>
              <w:right w:val="nil"/>
            </w:tcBorders>
            <w:shd w:val="clear" w:color="auto" w:fill="auto"/>
            <w:vAlign w:val="center"/>
          </w:tcPr>
          <w:p w14:paraId="06FC518E"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18D1679D"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44ED53B3" w14:textId="77777777" w:rsidTr="00E032FC">
        <w:trPr>
          <w:trHeight w:val="185"/>
        </w:trPr>
        <w:tc>
          <w:tcPr>
            <w:tcW w:w="3876" w:type="dxa"/>
            <w:tcBorders>
              <w:top w:val="nil"/>
              <w:left w:val="nil"/>
              <w:bottom w:val="nil"/>
              <w:right w:val="nil"/>
            </w:tcBorders>
            <w:shd w:val="clear" w:color="auto" w:fill="auto"/>
            <w:vAlign w:val="center"/>
            <w:hideMark/>
          </w:tcPr>
          <w:p w14:paraId="4A5C9618"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2021.</w:t>
            </w:r>
          </w:p>
        </w:tc>
        <w:tc>
          <w:tcPr>
            <w:tcW w:w="1198" w:type="dxa"/>
            <w:tcBorders>
              <w:top w:val="nil"/>
              <w:left w:val="nil"/>
              <w:bottom w:val="nil"/>
              <w:right w:val="nil"/>
            </w:tcBorders>
            <w:shd w:val="clear" w:color="auto" w:fill="auto"/>
            <w:vAlign w:val="center"/>
            <w:hideMark/>
          </w:tcPr>
          <w:p w14:paraId="5CF6E2B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77" w:type="dxa"/>
            <w:tcBorders>
              <w:top w:val="nil"/>
              <w:left w:val="nil"/>
              <w:bottom w:val="nil"/>
              <w:right w:val="nil"/>
            </w:tcBorders>
            <w:shd w:val="clear" w:color="auto" w:fill="auto"/>
            <w:vAlign w:val="center"/>
            <w:hideMark/>
          </w:tcPr>
          <w:p w14:paraId="0663A78D"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77" w:type="dxa"/>
            <w:tcBorders>
              <w:top w:val="nil"/>
              <w:left w:val="nil"/>
              <w:bottom w:val="nil"/>
              <w:right w:val="nil"/>
            </w:tcBorders>
            <w:shd w:val="clear" w:color="auto" w:fill="auto"/>
            <w:vAlign w:val="center"/>
            <w:hideMark/>
          </w:tcPr>
          <w:p w14:paraId="381F7A61"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9" w:type="dxa"/>
            <w:tcBorders>
              <w:top w:val="nil"/>
              <w:left w:val="nil"/>
              <w:bottom w:val="nil"/>
              <w:right w:val="nil"/>
            </w:tcBorders>
            <w:shd w:val="clear" w:color="auto" w:fill="auto"/>
            <w:vAlign w:val="center"/>
            <w:hideMark/>
          </w:tcPr>
          <w:p w14:paraId="2AA6B0E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98" w:type="dxa"/>
            <w:tcBorders>
              <w:top w:val="nil"/>
              <w:left w:val="nil"/>
              <w:bottom w:val="nil"/>
              <w:right w:val="nil"/>
            </w:tcBorders>
            <w:shd w:val="clear" w:color="auto" w:fill="auto"/>
            <w:vAlign w:val="center"/>
            <w:hideMark/>
          </w:tcPr>
          <w:p w14:paraId="57DC992E"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2FCFE4D2" w14:textId="77777777" w:rsidTr="00E032FC">
        <w:trPr>
          <w:trHeight w:val="185"/>
        </w:trPr>
        <w:tc>
          <w:tcPr>
            <w:tcW w:w="3876" w:type="dxa"/>
            <w:tcBorders>
              <w:top w:val="nil"/>
              <w:left w:val="nil"/>
              <w:bottom w:val="nil"/>
              <w:right w:val="nil"/>
            </w:tcBorders>
            <w:shd w:val="clear" w:color="auto" w:fill="auto"/>
            <w:vAlign w:val="center"/>
            <w:hideMark/>
          </w:tcPr>
          <w:p w14:paraId="5FB0D9A2"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hideMark/>
          </w:tcPr>
          <w:p w14:paraId="1E9A135D"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77" w:type="dxa"/>
            <w:tcBorders>
              <w:top w:val="nil"/>
              <w:left w:val="nil"/>
              <w:bottom w:val="nil"/>
              <w:right w:val="nil"/>
            </w:tcBorders>
            <w:shd w:val="clear" w:color="auto" w:fill="auto"/>
            <w:vAlign w:val="center"/>
            <w:hideMark/>
          </w:tcPr>
          <w:p w14:paraId="17E5A5C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77" w:type="dxa"/>
            <w:tcBorders>
              <w:top w:val="nil"/>
              <w:left w:val="nil"/>
              <w:bottom w:val="nil"/>
              <w:right w:val="nil"/>
            </w:tcBorders>
            <w:shd w:val="clear" w:color="auto" w:fill="auto"/>
            <w:vAlign w:val="center"/>
            <w:hideMark/>
          </w:tcPr>
          <w:p w14:paraId="6014EE8C"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999" w:type="dxa"/>
            <w:tcBorders>
              <w:top w:val="nil"/>
              <w:left w:val="nil"/>
              <w:bottom w:val="nil"/>
              <w:right w:val="nil"/>
            </w:tcBorders>
            <w:shd w:val="clear" w:color="auto" w:fill="auto"/>
            <w:vAlign w:val="center"/>
            <w:hideMark/>
          </w:tcPr>
          <w:p w14:paraId="1E10605B"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198" w:type="dxa"/>
            <w:tcBorders>
              <w:top w:val="nil"/>
              <w:left w:val="nil"/>
              <w:bottom w:val="nil"/>
              <w:right w:val="nil"/>
            </w:tcBorders>
            <w:shd w:val="clear" w:color="auto" w:fill="auto"/>
            <w:vAlign w:val="center"/>
            <w:hideMark/>
          </w:tcPr>
          <w:p w14:paraId="754D415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10A96BC9" w14:textId="77777777" w:rsidTr="00E032FC">
        <w:trPr>
          <w:trHeight w:val="185"/>
        </w:trPr>
        <w:tc>
          <w:tcPr>
            <w:tcW w:w="3876" w:type="dxa"/>
            <w:tcBorders>
              <w:top w:val="nil"/>
              <w:left w:val="nil"/>
              <w:bottom w:val="nil"/>
              <w:right w:val="nil"/>
            </w:tcBorders>
            <w:shd w:val="clear" w:color="auto" w:fill="auto"/>
            <w:vAlign w:val="center"/>
          </w:tcPr>
          <w:p w14:paraId="558A13D8"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2D283138"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79F4EC75"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77" w:type="dxa"/>
            <w:tcBorders>
              <w:top w:val="nil"/>
              <w:left w:val="nil"/>
              <w:bottom w:val="nil"/>
              <w:right w:val="nil"/>
            </w:tcBorders>
            <w:shd w:val="clear" w:color="auto" w:fill="auto"/>
            <w:vAlign w:val="center"/>
          </w:tcPr>
          <w:p w14:paraId="442050C5"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999" w:type="dxa"/>
            <w:tcBorders>
              <w:top w:val="nil"/>
              <w:left w:val="nil"/>
              <w:bottom w:val="nil"/>
              <w:right w:val="nil"/>
            </w:tcBorders>
            <w:shd w:val="clear" w:color="auto" w:fill="auto"/>
            <w:vAlign w:val="center"/>
          </w:tcPr>
          <w:p w14:paraId="26C7709B"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98" w:type="dxa"/>
            <w:tcBorders>
              <w:top w:val="nil"/>
              <w:left w:val="nil"/>
              <w:bottom w:val="nil"/>
              <w:right w:val="nil"/>
            </w:tcBorders>
            <w:shd w:val="clear" w:color="auto" w:fill="auto"/>
            <w:vAlign w:val="center"/>
          </w:tcPr>
          <w:p w14:paraId="4C37B862"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44DA4210" w14:textId="77777777" w:rsidTr="00E032FC">
        <w:trPr>
          <w:trHeight w:val="185"/>
        </w:trPr>
        <w:tc>
          <w:tcPr>
            <w:tcW w:w="3876" w:type="dxa"/>
            <w:tcBorders>
              <w:top w:val="nil"/>
              <w:left w:val="nil"/>
              <w:bottom w:val="nil"/>
              <w:right w:val="nil"/>
            </w:tcBorders>
            <w:shd w:val="clear" w:color="auto" w:fill="auto"/>
            <w:vAlign w:val="center"/>
            <w:hideMark/>
          </w:tcPr>
          <w:p w14:paraId="4E98ABE0"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Stanje 1. siječnja 2021. </w:t>
            </w:r>
          </w:p>
        </w:tc>
        <w:tc>
          <w:tcPr>
            <w:tcW w:w="1198" w:type="dxa"/>
            <w:tcBorders>
              <w:top w:val="nil"/>
              <w:left w:val="nil"/>
              <w:bottom w:val="nil"/>
              <w:right w:val="nil"/>
            </w:tcBorders>
            <w:shd w:val="clear" w:color="auto" w:fill="auto"/>
          </w:tcPr>
          <w:p w14:paraId="5206908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2.852 </w:t>
            </w:r>
          </w:p>
        </w:tc>
        <w:tc>
          <w:tcPr>
            <w:tcW w:w="1077" w:type="dxa"/>
            <w:tcBorders>
              <w:top w:val="nil"/>
              <w:left w:val="nil"/>
              <w:bottom w:val="nil"/>
              <w:right w:val="nil"/>
            </w:tcBorders>
            <w:shd w:val="clear" w:color="auto" w:fill="auto"/>
          </w:tcPr>
          <w:p w14:paraId="60E2A6C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77" w:type="dxa"/>
            <w:tcBorders>
              <w:top w:val="nil"/>
              <w:left w:val="nil"/>
              <w:bottom w:val="nil"/>
              <w:right w:val="nil"/>
            </w:tcBorders>
            <w:shd w:val="clear" w:color="auto" w:fill="auto"/>
          </w:tcPr>
          <w:p w14:paraId="72256BD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1.647 </w:t>
            </w:r>
          </w:p>
        </w:tc>
        <w:tc>
          <w:tcPr>
            <w:tcW w:w="999" w:type="dxa"/>
            <w:tcBorders>
              <w:top w:val="nil"/>
              <w:left w:val="nil"/>
              <w:bottom w:val="nil"/>
              <w:right w:val="nil"/>
            </w:tcBorders>
            <w:shd w:val="clear" w:color="auto" w:fill="auto"/>
          </w:tcPr>
          <w:p w14:paraId="20A837B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98" w:type="dxa"/>
            <w:tcBorders>
              <w:top w:val="nil"/>
              <w:left w:val="nil"/>
              <w:bottom w:val="nil"/>
              <w:right w:val="nil"/>
            </w:tcBorders>
            <w:shd w:val="clear" w:color="auto" w:fill="auto"/>
          </w:tcPr>
          <w:p w14:paraId="706DF19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4.499 </w:t>
            </w:r>
          </w:p>
        </w:tc>
      </w:tr>
      <w:tr w:rsidR="004E2F51" w:rsidRPr="001B015B" w14:paraId="020F706C" w14:textId="77777777" w:rsidTr="00E032FC">
        <w:trPr>
          <w:trHeight w:val="185"/>
        </w:trPr>
        <w:tc>
          <w:tcPr>
            <w:tcW w:w="3876" w:type="dxa"/>
            <w:shd w:val="clear" w:color="auto" w:fill="auto"/>
          </w:tcPr>
          <w:p w14:paraId="042544BF"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98" w:type="dxa"/>
            <w:tcBorders>
              <w:top w:val="nil"/>
              <w:left w:val="nil"/>
              <w:bottom w:val="nil"/>
              <w:right w:val="nil"/>
            </w:tcBorders>
            <w:shd w:val="clear" w:color="auto" w:fill="auto"/>
            <w:vAlign w:val="bottom"/>
          </w:tcPr>
          <w:p w14:paraId="24CAFA3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77" w:type="dxa"/>
            <w:tcBorders>
              <w:top w:val="nil"/>
              <w:left w:val="nil"/>
              <w:bottom w:val="nil"/>
              <w:right w:val="nil"/>
            </w:tcBorders>
            <w:shd w:val="clear" w:color="auto" w:fill="auto"/>
            <w:vAlign w:val="bottom"/>
          </w:tcPr>
          <w:p w14:paraId="19ED53D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077" w:type="dxa"/>
            <w:tcBorders>
              <w:top w:val="nil"/>
              <w:left w:val="nil"/>
              <w:bottom w:val="nil"/>
              <w:right w:val="nil"/>
            </w:tcBorders>
            <w:shd w:val="clear" w:color="auto" w:fill="auto"/>
            <w:vAlign w:val="bottom"/>
          </w:tcPr>
          <w:p w14:paraId="40B531D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999" w:type="dxa"/>
            <w:tcBorders>
              <w:top w:val="nil"/>
              <w:left w:val="nil"/>
              <w:bottom w:val="nil"/>
              <w:right w:val="nil"/>
            </w:tcBorders>
            <w:shd w:val="clear" w:color="auto" w:fill="auto"/>
            <w:vAlign w:val="bottom"/>
          </w:tcPr>
          <w:p w14:paraId="024713A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c>
          <w:tcPr>
            <w:tcW w:w="1198" w:type="dxa"/>
            <w:tcBorders>
              <w:top w:val="nil"/>
              <w:left w:val="nil"/>
              <w:bottom w:val="nil"/>
              <w:right w:val="nil"/>
            </w:tcBorders>
            <w:shd w:val="clear" w:color="auto" w:fill="auto"/>
            <w:vAlign w:val="bottom"/>
          </w:tcPr>
          <w:p w14:paraId="7BC9A6C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w:t>
            </w:r>
          </w:p>
        </w:tc>
      </w:tr>
      <w:tr w:rsidR="004E2F51" w:rsidRPr="001B015B" w14:paraId="18A95D3C" w14:textId="77777777" w:rsidTr="00E032FC">
        <w:trPr>
          <w:trHeight w:val="185"/>
        </w:trPr>
        <w:tc>
          <w:tcPr>
            <w:tcW w:w="3876" w:type="dxa"/>
            <w:shd w:val="clear" w:color="auto" w:fill="auto"/>
          </w:tcPr>
          <w:p w14:paraId="255880BB"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98" w:type="dxa"/>
            <w:tcBorders>
              <w:top w:val="nil"/>
              <w:left w:val="nil"/>
              <w:bottom w:val="nil"/>
              <w:right w:val="nil"/>
            </w:tcBorders>
            <w:shd w:val="clear" w:color="auto" w:fill="auto"/>
            <w:vAlign w:val="bottom"/>
          </w:tcPr>
          <w:p w14:paraId="4F4F40D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 - </w:t>
            </w:r>
          </w:p>
        </w:tc>
        <w:tc>
          <w:tcPr>
            <w:tcW w:w="1077" w:type="dxa"/>
            <w:tcBorders>
              <w:top w:val="nil"/>
              <w:left w:val="nil"/>
              <w:bottom w:val="nil"/>
              <w:right w:val="nil"/>
            </w:tcBorders>
            <w:shd w:val="clear" w:color="auto" w:fill="auto"/>
            <w:vAlign w:val="bottom"/>
          </w:tcPr>
          <w:p w14:paraId="2E76ED0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 - </w:t>
            </w:r>
          </w:p>
        </w:tc>
        <w:tc>
          <w:tcPr>
            <w:tcW w:w="1077" w:type="dxa"/>
            <w:tcBorders>
              <w:top w:val="nil"/>
              <w:left w:val="nil"/>
              <w:bottom w:val="nil"/>
              <w:right w:val="nil"/>
            </w:tcBorders>
            <w:shd w:val="clear" w:color="auto" w:fill="auto"/>
            <w:vAlign w:val="bottom"/>
          </w:tcPr>
          <w:p w14:paraId="236F90C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 - </w:t>
            </w:r>
          </w:p>
        </w:tc>
        <w:tc>
          <w:tcPr>
            <w:tcW w:w="999" w:type="dxa"/>
            <w:tcBorders>
              <w:top w:val="nil"/>
              <w:left w:val="nil"/>
              <w:bottom w:val="nil"/>
              <w:right w:val="nil"/>
            </w:tcBorders>
            <w:shd w:val="clear" w:color="auto" w:fill="auto"/>
            <w:vAlign w:val="bottom"/>
          </w:tcPr>
          <w:p w14:paraId="0A12632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 - </w:t>
            </w:r>
          </w:p>
        </w:tc>
        <w:tc>
          <w:tcPr>
            <w:tcW w:w="1198" w:type="dxa"/>
            <w:tcBorders>
              <w:top w:val="nil"/>
              <w:left w:val="nil"/>
              <w:bottom w:val="nil"/>
              <w:right w:val="nil"/>
            </w:tcBorders>
            <w:shd w:val="clear" w:color="auto" w:fill="auto"/>
            <w:vAlign w:val="bottom"/>
          </w:tcPr>
          <w:p w14:paraId="7E72E43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 - </w:t>
            </w:r>
          </w:p>
        </w:tc>
      </w:tr>
      <w:tr w:rsidR="004E2F51" w:rsidRPr="001B015B" w14:paraId="646C332B" w14:textId="77777777" w:rsidTr="00E032FC">
        <w:trPr>
          <w:trHeight w:val="185"/>
        </w:trPr>
        <w:tc>
          <w:tcPr>
            <w:tcW w:w="3876" w:type="dxa"/>
            <w:shd w:val="clear" w:color="auto" w:fill="auto"/>
            <w:hideMark/>
          </w:tcPr>
          <w:p w14:paraId="346A7F12"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98" w:type="dxa"/>
            <w:tcBorders>
              <w:top w:val="nil"/>
              <w:left w:val="nil"/>
              <w:bottom w:val="nil"/>
              <w:right w:val="nil"/>
            </w:tcBorders>
            <w:shd w:val="clear" w:color="auto" w:fill="auto"/>
            <w:vAlign w:val="bottom"/>
          </w:tcPr>
          <w:p w14:paraId="749998D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 - </w:t>
            </w:r>
          </w:p>
        </w:tc>
        <w:tc>
          <w:tcPr>
            <w:tcW w:w="1077" w:type="dxa"/>
            <w:tcBorders>
              <w:top w:val="nil"/>
              <w:left w:val="nil"/>
              <w:bottom w:val="nil"/>
              <w:right w:val="nil"/>
            </w:tcBorders>
            <w:shd w:val="clear" w:color="auto" w:fill="auto"/>
            <w:vAlign w:val="bottom"/>
          </w:tcPr>
          <w:p w14:paraId="4388B4D6"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 - </w:t>
            </w:r>
          </w:p>
        </w:tc>
        <w:tc>
          <w:tcPr>
            <w:tcW w:w="1077" w:type="dxa"/>
            <w:tcBorders>
              <w:top w:val="nil"/>
              <w:left w:val="nil"/>
              <w:bottom w:val="nil"/>
              <w:right w:val="nil"/>
            </w:tcBorders>
            <w:shd w:val="clear" w:color="auto" w:fill="auto"/>
            <w:vAlign w:val="bottom"/>
          </w:tcPr>
          <w:p w14:paraId="6E8E5C0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 - </w:t>
            </w:r>
          </w:p>
        </w:tc>
        <w:tc>
          <w:tcPr>
            <w:tcW w:w="999" w:type="dxa"/>
            <w:tcBorders>
              <w:top w:val="nil"/>
              <w:left w:val="nil"/>
              <w:bottom w:val="nil"/>
              <w:right w:val="nil"/>
            </w:tcBorders>
            <w:shd w:val="clear" w:color="auto" w:fill="auto"/>
            <w:vAlign w:val="bottom"/>
          </w:tcPr>
          <w:p w14:paraId="666D035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 - </w:t>
            </w:r>
          </w:p>
        </w:tc>
        <w:tc>
          <w:tcPr>
            <w:tcW w:w="1198" w:type="dxa"/>
            <w:tcBorders>
              <w:top w:val="nil"/>
              <w:left w:val="nil"/>
              <w:bottom w:val="nil"/>
              <w:right w:val="nil"/>
            </w:tcBorders>
            <w:shd w:val="clear" w:color="auto" w:fill="auto"/>
            <w:vAlign w:val="bottom"/>
          </w:tcPr>
          <w:p w14:paraId="7F25B3B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 - </w:t>
            </w:r>
          </w:p>
        </w:tc>
      </w:tr>
      <w:tr w:rsidR="004E2F51" w:rsidRPr="001B015B" w14:paraId="6F799547" w14:textId="77777777" w:rsidTr="00E032FC">
        <w:trPr>
          <w:trHeight w:val="230"/>
        </w:trPr>
        <w:tc>
          <w:tcPr>
            <w:tcW w:w="3876" w:type="dxa"/>
            <w:tcBorders>
              <w:top w:val="nil"/>
              <w:left w:val="nil"/>
              <w:bottom w:val="nil"/>
              <w:right w:val="nil"/>
            </w:tcBorders>
            <w:shd w:val="clear" w:color="auto" w:fill="auto"/>
            <w:vAlign w:val="center"/>
            <w:hideMark/>
          </w:tcPr>
          <w:p w14:paraId="25F3E1BF"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(smanjenje)/povećanje rezerviranja za očekivane gubitke </w:t>
            </w:r>
          </w:p>
        </w:tc>
        <w:tc>
          <w:tcPr>
            <w:tcW w:w="1198" w:type="dxa"/>
            <w:tcBorders>
              <w:top w:val="nil"/>
              <w:left w:val="nil"/>
              <w:bottom w:val="nil"/>
              <w:right w:val="nil"/>
            </w:tcBorders>
            <w:shd w:val="clear" w:color="auto" w:fill="auto"/>
            <w:vAlign w:val="bottom"/>
          </w:tcPr>
          <w:p w14:paraId="1828302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(125)</w:t>
            </w:r>
          </w:p>
        </w:tc>
        <w:tc>
          <w:tcPr>
            <w:tcW w:w="1077" w:type="dxa"/>
            <w:tcBorders>
              <w:top w:val="nil"/>
              <w:left w:val="nil"/>
              <w:bottom w:val="nil"/>
              <w:right w:val="nil"/>
            </w:tcBorders>
            <w:shd w:val="clear" w:color="auto" w:fill="auto"/>
            <w:vAlign w:val="bottom"/>
          </w:tcPr>
          <w:p w14:paraId="58CC4B3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77" w:type="dxa"/>
            <w:tcBorders>
              <w:top w:val="nil"/>
              <w:left w:val="nil"/>
              <w:bottom w:val="nil"/>
              <w:right w:val="nil"/>
            </w:tcBorders>
            <w:shd w:val="clear" w:color="auto" w:fill="auto"/>
            <w:vAlign w:val="bottom"/>
          </w:tcPr>
          <w:p w14:paraId="306E714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89 </w:t>
            </w:r>
          </w:p>
        </w:tc>
        <w:tc>
          <w:tcPr>
            <w:tcW w:w="999" w:type="dxa"/>
            <w:tcBorders>
              <w:top w:val="nil"/>
              <w:left w:val="nil"/>
              <w:bottom w:val="nil"/>
              <w:right w:val="nil"/>
            </w:tcBorders>
            <w:shd w:val="clear" w:color="auto" w:fill="auto"/>
            <w:vAlign w:val="bottom"/>
          </w:tcPr>
          <w:p w14:paraId="17FC3A5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98" w:type="dxa"/>
            <w:tcBorders>
              <w:top w:val="nil"/>
              <w:left w:val="nil"/>
              <w:bottom w:val="nil"/>
              <w:right w:val="nil"/>
            </w:tcBorders>
            <w:shd w:val="clear" w:color="auto" w:fill="auto"/>
            <w:vAlign w:val="bottom"/>
          </w:tcPr>
          <w:p w14:paraId="4255C52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(36)</w:t>
            </w:r>
          </w:p>
        </w:tc>
      </w:tr>
      <w:tr w:rsidR="004E2F51" w:rsidRPr="001B015B" w14:paraId="2ECBF824" w14:textId="77777777" w:rsidTr="00E032FC">
        <w:trPr>
          <w:trHeight w:val="193"/>
        </w:trPr>
        <w:tc>
          <w:tcPr>
            <w:tcW w:w="3876" w:type="dxa"/>
            <w:tcBorders>
              <w:top w:val="nil"/>
              <w:left w:val="nil"/>
              <w:bottom w:val="nil"/>
              <w:right w:val="nil"/>
            </w:tcBorders>
            <w:shd w:val="clear" w:color="auto" w:fill="auto"/>
            <w:vAlign w:val="center"/>
            <w:hideMark/>
          </w:tcPr>
          <w:p w14:paraId="2660A767"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198" w:type="dxa"/>
            <w:tcBorders>
              <w:top w:val="nil"/>
              <w:left w:val="nil"/>
              <w:bottom w:val="single" w:sz="8" w:space="0" w:color="auto"/>
              <w:right w:val="nil"/>
            </w:tcBorders>
            <w:shd w:val="clear" w:color="auto" w:fill="auto"/>
            <w:vAlign w:val="bottom"/>
          </w:tcPr>
          <w:p w14:paraId="6502CF6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w:t>
            </w:r>
          </w:p>
        </w:tc>
        <w:tc>
          <w:tcPr>
            <w:tcW w:w="1077" w:type="dxa"/>
            <w:tcBorders>
              <w:top w:val="nil"/>
              <w:left w:val="nil"/>
              <w:bottom w:val="single" w:sz="8" w:space="0" w:color="auto"/>
              <w:right w:val="nil"/>
            </w:tcBorders>
            <w:shd w:val="clear" w:color="auto" w:fill="auto"/>
            <w:vAlign w:val="bottom"/>
          </w:tcPr>
          <w:p w14:paraId="37DB194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77" w:type="dxa"/>
            <w:tcBorders>
              <w:top w:val="nil"/>
              <w:left w:val="nil"/>
              <w:bottom w:val="single" w:sz="8" w:space="0" w:color="auto"/>
              <w:right w:val="nil"/>
            </w:tcBorders>
            <w:shd w:val="clear" w:color="auto" w:fill="auto"/>
            <w:vAlign w:val="bottom"/>
          </w:tcPr>
          <w:p w14:paraId="6B658C7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(5)</w:t>
            </w:r>
          </w:p>
        </w:tc>
        <w:tc>
          <w:tcPr>
            <w:tcW w:w="999" w:type="dxa"/>
            <w:tcBorders>
              <w:top w:val="nil"/>
              <w:left w:val="nil"/>
              <w:bottom w:val="single" w:sz="8" w:space="0" w:color="auto"/>
              <w:right w:val="nil"/>
            </w:tcBorders>
            <w:shd w:val="clear" w:color="auto" w:fill="auto"/>
            <w:vAlign w:val="bottom"/>
          </w:tcPr>
          <w:p w14:paraId="31CB6D2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98" w:type="dxa"/>
            <w:tcBorders>
              <w:top w:val="nil"/>
              <w:left w:val="nil"/>
              <w:bottom w:val="single" w:sz="8" w:space="0" w:color="auto"/>
              <w:right w:val="nil"/>
            </w:tcBorders>
            <w:shd w:val="clear" w:color="auto" w:fill="auto"/>
            <w:vAlign w:val="bottom"/>
          </w:tcPr>
          <w:p w14:paraId="64265D0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(8)</w:t>
            </w:r>
          </w:p>
        </w:tc>
      </w:tr>
      <w:tr w:rsidR="004E2F51" w:rsidRPr="001B015B" w14:paraId="2686030F" w14:textId="77777777" w:rsidTr="00E032FC">
        <w:trPr>
          <w:trHeight w:val="193"/>
        </w:trPr>
        <w:tc>
          <w:tcPr>
            <w:tcW w:w="3876" w:type="dxa"/>
            <w:tcBorders>
              <w:top w:val="nil"/>
              <w:left w:val="nil"/>
              <w:bottom w:val="nil"/>
              <w:right w:val="nil"/>
            </w:tcBorders>
            <w:shd w:val="clear" w:color="auto" w:fill="auto"/>
            <w:vAlign w:val="center"/>
            <w:hideMark/>
          </w:tcPr>
          <w:p w14:paraId="61FB36B2"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2021.</w:t>
            </w:r>
          </w:p>
        </w:tc>
        <w:tc>
          <w:tcPr>
            <w:tcW w:w="1198" w:type="dxa"/>
            <w:tcBorders>
              <w:top w:val="nil"/>
              <w:left w:val="nil"/>
              <w:bottom w:val="single" w:sz="12" w:space="0" w:color="auto"/>
              <w:right w:val="nil"/>
            </w:tcBorders>
            <w:shd w:val="clear" w:color="auto" w:fill="auto"/>
            <w:vAlign w:val="bottom"/>
          </w:tcPr>
          <w:p w14:paraId="7D6E3EA6"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2.724 </w:t>
            </w:r>
          </w:p>
        </w:tc>
        <w:tc>
          <w:tcPr>
            <w:tcW w:w="1077" w:type="dxa"/>
            <w:tcBorders>
              <w:top w:val="nil"/>
              <w:left w:val="nil"/>
              <w:bottom w:val="single" w:sz="12" w:space="0" w:color="auto"/>
              <w:right w:val="nil"/>
            </w:tcBorders>
            <w:shd w:val="clear" w:color="auto" w:fill="auto"/>
            <w:vAlign w:val="bottom"/>
          </w:tcPr>
          <w:p w14:paraId="09666D67"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 </w:t>
            </w:r>
          </w:p>
        </w:tc>
        <w:tc>
          <w:tcPr>
            <w:tcW w:w="1077" w:type="dxa"/>
            <w:tcBorders>
              <w:top w:val="nil"/>
              <w:left w:val="nil"/>
              <w:bottom w:val="single" w:sz="12" w:space="0" w:color="auto"/>
              <w:right w:val="nil"/>
            </w:tcBorders>
            <w:shd w:val="clear" w:color="auto" w:fill="auto"/>
            <w:vAlign w:val="bottom"/>
          </w:tcPr>
          <w:p w14:paraId="397FCF1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1.731 </w:t>
            </w:r>
          </w:p>
        </w:tc>
        <w:tc>
          <w:tcPr>
            <w:tcW w:w="999" w:type="dxa"/>
            <w:tcBorders>
              <w:top w:val="nil"/>
              <w:left w:val="nil"/>
              <w:bottom w:val="single" w:sz="12" w:space="0" w:color="auto"/>
              <w:right w:val="nil"/>
            </w:tcBorders>
            <w:shd w:val="clear" w:color="auto" w:fill="auto"/>
            <w:vAlign w:val="bottom"/>
          </w:tcPr>
          <w:p w14:paraId="7737F0C1"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 </w:t>
            </w:r>
          </w:p>
        </w:tc>
        <w:tc>
          <w:tcPr>
            <w:tcW w:w="1198" w:type="dxa"/>
            <w:tcBorders>
              <w:top w:val="nil"/>
              <w:left w:val="nil"/>
              <w:bottom w:val="single" w:sz="12" w:space="0" w:color="auto"/>
              <w:right w:val="nil"/>
            </w:tcBorders>
            <w:shd w:val="clear" w:color="auto" w:fill="auto"/>
            <w:vAlign w:val="bottom"/>
          </w:tcPr>
          <w:p w14:paraId="381C08A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4.455 </w:t>
            </w:r>
          </w:p>
        </w:tc>
      </w:tr>
    </w:tbl>
    <w:p w14:paraId="7E3015FC" w14:textId="77777777" w:rsidR="004E2F51" w:rsidRPr="001B015B" w:rsidRDefault="004E2F51" w:rsidP="004E2F51">
      <w:pPr>
        <w:rPr>
          <w:rFonts w:ascii="Arial" w:eastAsia="Calibri" w:hAnsi="Arial" w:cs="Arial"/>
          <w:color w:val="000000" w:themeColor="text1"/>
          <w:sz w:val="20"/>
          <w:szCs w:val="20"/>
          <w:lang w:val="hr-HR"/>
        </w:rPr>
      </w:pPr>
    </w:p>
    <w:p w14:paraId="15C865F3" w14:textId="77777777" w:rsidR="004E2F51" w:rsidRPr="001B015B" w:rsidRDefault="004E2F51" w:rsidP="004E2F51">
      <w:pPr>
        <w:rPr>
          <w:rFonts w:ascii="Arial" w:eastAsia="Calibri" w:hAnsi="Arial" w:cs="Arial"/>
          <w:color w:val="000000" w:themeColor="text1"/>
          <w:sz w:val="20"/>
          <w:szCs w:val="20"/>
          <w:lang w:val="hr-HR"/>
        </w:rPr>
        <w:sectPr w:rsidR="004E2F51" w:rsidRPr="001B015B" w:rsidSect="00623DBA">
          <w:footerReference w:type="default" r:id="rId199"/>
          <w:pgSz w:w="11906" w:h="16838"/>
          <w:pgMar w:top="1418" w:right="1134" w:bottom="1134" w:left="1418" w:header="708" w:footer="708" w:gutter="0"/>
          <w:cols w:space="708"/>
          <w:docGrid w:linePitch="360"/>
        </w:sectPr>
      </w:pPr>
    </w:p>
    <w:p w14:paraId="43FBE96D" w14:textId="77777777" w:rsidR="004E2F51" w:rsidRPr="001B015B" w:rsidRDefault="004E2F51" w:rsidP="004E2F51">
      <w:pPr>
        <w:keepNext/>
        <w:jc w:val="both"/>
        <w:rPr>
          <w:rFonts w:ascii="Arial" w:hAnsi="Arial" w:cs="Arial"/>
          <w:b/>
          <w:bCs/>
          <w:color w:val="000000" w:themeColor="text1"/>
          <w:sz w:val="20"/>
          <w:szCs w:val="20"/>
          <w:lang w:val="hr-HR"/>
        </w:rPr>
      </w:pPr>
    </w:p>
    <w:p w14:paraId="3236E5BF"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w:t>
      </w:r>
      <w:r w:rsidRPr="001B015B">
        <w:rPr>
          <w:rFonts w:ascii="Arial" w:hAnsi="Arial" w:cs="Arial"/>
          <w:b/>
          <w:bCs/>
          <w:color w:val="000000" w:themeColor="text1"/>
          <w:sz w:val="20"/>
          <w:szCs w:val="20"/>
          <w:lang w:val="hr-HR"/>
        </w:rPr>
        <w:tab/>
        <w:t>Upravljanje rizicima (nastavak)</w:t>
      </w:r>
    </w:p>
    <w:p w14:paraId="7F18A07B" w14:textId="77777777" w:rsidR="004E2F51" w:rsidRPr="001B015B" w:rsidRDefault="004E2F51" w:rsidP="004E2F51">
      <w:pPr>
        <w:keepNext/>
        <w:jc w:val="both"/>
        <w:rPr>
          <w:rFonts w:ascii="Arial" w:hAnsi="Arial" w:cs="Arial"/>
          <w:b/>
          <w:bCs/>
          <w:color w:val="000000" w:themeColor="text1"/>
          <w:sz w:val="20"/>
          <w:szCs w:val="20"/>
          <w:lang w:val="hr-HR"/>
        </w:rPr>
      </w:pPr>
    </w:p>
    <w:p w14:paraId="6ED1958D" w14:textId="77777777" w:rsidR="004E2F51" w:rsidRPr="001B015B" w:rsidRDefault="004E2F51" w:rsidP="004E2F51">
      <w:pPr>
        <w:keepNext/>
        <w:jc w:val="both"/>
        <w:rPr>
          <w:rFonts w:ascii="Arial" w:hAnsi="Arial" w:cs="Arial"/>
          <w:b/>
          <w:bCs/>
          <w:color w:val="000000" w:themeColor="text1"/>
          <w:sz w:val="20"/>
          <w:szCs w:val="20"/>
          <w:lang w:val="hr-HR"/>
        </w:rPr>
      </w:pPr>
      <w:bookmarkStart w:id="1654" w:name="_Hlk35340107"/>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 xml:space="preserve">.3. </w:t>
      </w:r>
      <w:r w:rsidRPr="001B015B">
        <w:rPr>
          <w:rFonts w:ascii="Arial" w:hAnsi="Arial" w:cs="Arial"/>
          <w:b/>
          <w:bCs/>
          <w:color w:val="000000" w:themeColor="text1"/>
          <w:sz w:val="20"/>
          <w:szCs w:val="20"/>
          <w:lang w:val="hr-HR"/>
        </w:rPr>
        <w:tab/>
        <w:t>Kreditni rizik (nastavak)</w:t>
      </w:r>
    </w:p>
    <w:p w14:paraId="796340A0" w14:textId="77777777" w:rsidR="004E2F51" w:rsidRPr="001B015B" w:rsidRDefault="004E2F51" w:rsidP="004E2F51">
      <w:pPr>
        <w:keepNext/>
        <w:jc w:val="both"/>
        <w:rPr>
          <w:rFonts w:ascii="Arial" w:hAnsi="Arial" w:cs="Arial"/>
          <w:b/>
          <w:bCs/>
          <w:color w:val="000000" w:themeColor="text1"/>
          <w:sz w:val="20"/>
          <w:szCs w:val="20"/>
          <w:lang w:val="hr-HR"/>
        </w:rPr>
      </w:pPr>
    </w:p>
    <w:p w14:paraId="6FB32472" w14:textId="77777777" w:rsidR="004E2F51" w:rsidRPr="001B015B" w:rsidRDefault="004E2F51" w:rsidP="004E2F51">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468A2007" w14:textId="77777777" w:rsidR="004E2F51" w:rsidRPr="001B015B" w:rsidRDefault="004E2F51" w:rsidP="004E2F51">
      <w:pPr>
        <w:keepNext/>
        <w:tabs>
          <w:tab w:val="left" w:pos="284"/>
        </w:tabs>
        <w:jc w:val="both"/>
        <w:rPr>
          <w:rFonts w:ascii="Arial" w:hAnsi="Arial" w:cs="Arial"/>
          <w:bCs/>
          <w:i/>
          <w:color w:val="000000" w:themeColor="text1"/>
          <w:sz w:val="20"/>
          <w:szCs w:val="20"/>
          <w:lang w:val="hr-HR"/>
        </w:rPr>
      </w:pPr>
    </w:p>
    <w:p w14:paraId="3BFB74B3" w14:textId="77777777" w:rsidR="004E2F51" w:rsidRPr="001B015B" w:rsidRDefault="004E2F51" w:rsidP="004E2F51">
      <w:pPr>
        <w:jc w:val="both"/>
        <w:rPr>
          <w:rFonts w:ascii="Arial" w:eastAsia="Calibri" w:hAnsi="Arial" w:cs="Arial"/>
          <w:b/>
          <w:bCs/>
          <w:color w:val="000000" w:themeColor="text1"/>
          <w:sz w:val="20"/>
          <w:szCs w:val="20"/>
          <w:lang w:val="hr-HR"/>
        </w:rPr>
      </w:pPr>
      <w:r w:rsidRPr="001B015B">
        <w:rPr>
          <w:rFonts w:ascii="Arial" w:eastAsia="Calibri" w:hAnsi="Arial" w:cs="Arial"/>
          <w:b/>
          <w:bCs/>
          <w:color w:val="000000" w:themeColor="text1"/>
          <w:sz w:val="20"/>
          <w:szCs w:val="20"/>
          <w:lang w:val="hr-HR"/>
        </w:rPr>
        <w:t xml:space="preserve">Ostala imovina </w:t>
      </w:r>
    </w:p>
    <w:p w14:paraId="38B8CDCC" w14:textId="77777777" w:rsidR="004E2F51" w:rsidRPr="001B015B" w:rsidRDefault="004E2F51" w:rsidP="004E2F51">
      <w:pPr>
        <w:jc w:val="both"/>
        <w:rPr>
          <w:rFonts w:ascii="Arial" w:eastAsia="Calibri" w:hAnsi="Arial" w:cs="Arial"/>
          <w:b/>
          <w:bCs/>
          <w:color w:val="000000" w:themeColor="text1"/>
          <w:sz w:val="20"/>
          <w:szCs w:val="20"/>
          <w:lang w:val="hr-HR"/>
        </w:rPr>
      </w:pPr>
    </w:p>
    <w:tbl>
      <w:tblPr>
        <w:tblW w:w="9380" w:type="dxa"/>
        <w:tblInd w:w="-180" w:type="dxa"/>
        <w:tblLook w:val="04A0" w:firstRow="1" w:lastRow="0" w:firstColumn="1" w:lastColumn="0" w:noHBand="0" w:noVBand="1"/>
      </w:tblPr>
      <w:tblGrid>
        <w:gridCol w:w="4159"/>
        <w:gridCol w:w="1031"/>
        <w:gridCol w:w="1031"/>
        <w:gridCol w:w="1031"/>
        <w:gridCol w:w="1028"/>
        <w:gridCol w:w="1100"/>
      </w:tblGrid>
      <w:tr w:rsidR="004E2F51" w:rsidRPr="001B015B" w14:paraId="010B1FC6" w14:textId="77777777" w:rsidTr="00E032FC">
        <w:trPr>
          <w:trHeight w:val="203"/>
        </w:trPr>
        <w:tc>
          <w:tcPr>
            <w:tcW w:w="4159" w:type="dxa"/>
            <w:tcBorders>
              <w:top w:val="nil"/>
              <w:left w:val="nil"/>
              <w:bottom w:val="nil"/>
              <w:right w:val="nil"/>
            </w:tcBorders>
            <w:shd w:val="clear" w:color="auto" w:fill="auto"/>
            <w:vAlign w:val="center"/>
          </w:tcPr>
          <w:p w14:paraId="24BBCBA0"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Grupa </w:t>
            </w:r>
          </w:p>
        </w:tc>
        <w:tc>
          <w:tcPr>
            <w:tcW w:w="1031" w:type="dxa"/>
            <w:tcBorders>
              <w:top w:val="nil"/>
              <w:left w:val="nil"/>
              <w:bottom w:val="nil"/>
              <w:right w:val="nil"/>
            </w:tcBorders>
            <w:shd w:val="clear" w:color="auto" w:fill="auto"/>
            <w:vAlign w:val="center"/>
          </w:tcPr>
          <w:p w14:paraId="537F7BA9"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5CB7E79F"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163DA7D0"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565BA35D"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00" w:type="dxa"/>
            <w:tcBorders>
              <w:top w:val="nil"/>
              <w:left w:val="nil"/>
              <w:bottom w:val="nil"/>
              <w:right w:val="nil"/>
            </w:tcBorders>
            <w:shd w:val="clear" w:color="auto" w:fill="auto"/>
            <w:vAlign w:val="center"/>
          </w:tcPr>
          <w:p w14:paraId="14970798"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64465961" w14:textId="77777777" w:rsidTr="00E032FC">
        <w:trPr>
          <w:trHeight w:val="203"/>
        </w:trPr>
        <w:tc>
          <w:tcPr>
            <w:tcW w:w="4159" w:type="dxa"/>
            <w:tcBorders>
              <w:top w:val="nil"/>
              <w:left w:val="nil"/>
              <w:bottom w:val="nil"/>
              <w:right w:val="nil"/>
            </w:tcBorders>
            <w:shd w:val="clear" w:color="auto" w:fill="auto"/>
            <w:vAlign w:val="center"/>
            <w:hideMark/>
          </w:tcPr>
          <w:p w14:paraId="22CEA255"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031" w:type="dxa"/>
            <w:tcBorders>
              <w:top w:val="nil"/>
              <w:left w:val="nil"/>
              <w:bottom w:val="nil"/>
              <w:right w:val="nil"/>
            </w:tcBorders>
            <w:shd w:val="clear" w:color="auto" w:fill="auto"/>
            <w:vAlign w:val="center"/>
            <w:hideMark/>
          </w:tcPr>
          <w:p w14:paraId="6C366195"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1" w:type="dxa"/>
            <w:tcBorders>
              <w:top w:val="nil"/>
              <w:left w:val="nil"/>
              <w:bottom w:val="nil"/>
              <w:right w:val="nil"/>
            </w:tcBorders>
            <w:shd w:val="clear" w:color="auto" w:fill="auto"/>
            <w:vAlign w:val="center"/>
            <w:hideMark/>
          </w:tcPr>
          <w:p w14:paraId="7D4A7A2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31" w:type="dxa"/>
            <w:tcBorders>
              <w:top w:val="nil"/>
              <w:left w:val="nil"/>
              <w:bottom w:val="nil"/>
              <w:right w:val="nil"/>
            </w:tcBorders>
            <w:shd w:val="clear" w:color="auto" w:fill="auto"/>
            <w:vAlign w:val="center"/>
            <w:hideMark/>
          </w:tcPr>
          <w:p w14:paraId="2D3C939E"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8" w:type="dxa"/>
            <w:tcBorders>
              <w:top w:val="nil"/>
              <w:left w:val="nil"/>
              <w:bottom w:val="nil"/>
              <w:right w:val="nil"/>
            </w:tcBorders>
            <w:shd w:val="clear" w:color="auto" w:fill="auto"/>
            <w:vAlign w:val="center"/>
            <w:hideMark/>
          </w:tcPr>
          <w:p w14:paraId="07F7D477"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00" w:type="dxa"/>
            <w:tcBorders>
              <w:top w:val="nil"/>
              <w:left w:val="nil"/>
              <w:bottom w:val="nil"/>
              <w:right w:val="nil"/>
            </w:tcBorders>
            <w:shd w:val="clear" w:color="auto" w:fill="auto"/>
            <w:vAlign w:val="center"/>
            <w:hideMark/>
          </w:tcPr>
          <w:p w14:paraId="499E985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7AD3C837" w14:textId="77777777" w:rsidTr="00E032FC">
        <w:trPr>
          <w:trHeight w:val="203"/>
        </w:trPr>
        <w:tc>
          <w:tcPr>
            <w:tcW w:w="4159" w:type="dxa"/>
            <w:tcBorders>
              <w:top w:val="nil"/>
              <w:left w:val="nil"/>
              <w:bottom w:val="nil"/>
              <w:right w:val="nil"/>
            </w:tcBorders>
            <w:shd w:val="clear" w:color="auto" w:fill="auto"/>
            <w:vAlign w:val="center"/>
            <w:hideMark/>
          </w:tcPr>
          <w:p w14:paraId="79DFC509"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hideMark/>
          </w:tcPr>
          <w:p w14:paraId="1896F291"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31" w:type="dxa"/>
            <w:tcBorders>
              <w:top w:val="nil"/>
              <w:left w:val="nil"/>
              <w:bottom w:val="nil"/>
              <w:right w:val="nil"/>
            </w:tcBorders>
            <w:shd w:val="clear" w:color="auto" w:fill="auto"/>
            <w:vAlign w:val="center"/>
            <w:hideMark/>
          </w:tcPr>
          <w:p w14:paraId="71E467BC"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31" w:type="dxa"/>
            <w:tcBorders>
              <w:top w:val="nil"/>
              <w:left w:val="nil"/>
              <w:bottom w:val="nil"/>
              <w:right w:val="nil"/>
            </w:tcBorders>
            <w:shd w:val="clear" w:color="auto" w:fill="auto"/>
            <w:vAlign w:val="center"/>
            <w:hideMark/>
          </w:tcPr>
          <w:p w14:paraId="626C86F0"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28" w:type="dxa"/>
            <w:tcBorders>
              <w:top w:val="nil"/>
              <w:left w:val="nil"/>
              <w:bottom w:val="nil"/>
              <w:right w:val="nil"/>
            </w:tcBorders>
            <w:shd w:val="clear" w:color="auto" w:fill="auto"/>
            <w:vAlign w:val="center"/>
            <w:hideMark/>
          </w:tcPr>
          <w:p w14:paraId="788197E6"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100" w:type="dxa"/>
            <w:tcBorders>
              <w:top w:val="nil"/>
              <w:left w:val="nil"/>
              <w:bottom w:val="nil"/>
              <w:right w:val="nil"/>
            </w:tcBorders>
            <w:shd w:val="clear" w:color="auto" w:fill="auto"/>
            <w:vAlign w:val="center"/>
            <w:hideMark/>
          </w:tcPr>
          <w:p w14:paraId="1EAD5648"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5A4B9096" w14:textId="77777777" w:rsidTr="00E032FC">
        <w:trPr>
          <w:trHeight w:val="203"/>
        </w:trPr>
        <w:tc>
          <w:tcPr>
            <w:tcW w:w="4159" w:type="dxa"/>
            <w:tcBorders>
              <w:top w:val="nil"/>
              <w:left w:val="nil"/>
              <w:bottom w:val="nil"/>
              <w:right w:val="nil"/>
            </w:tcBorders>
            <w:shd w:val="clear" w:color="auto" w:fill="auto"/>
            <w:vAlign w:val="center"/>
          </w:tcPr>
          <w:p w14:paraId="29B4F1CC"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1DACF6DA"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0F86D793"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4308D5BA"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44FC2AAB"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00" w:type="dxa"/>
            <w:tcBorders>
              <w:top w:val="nil"/>
              <w:left w:val="nil"/>
              <w:bottom w:val="nil"/>
              <w:right w:val="nil"/>
            </w:tcBorders>
            <w:shd w:val="clear" w:color="auto" w:fill="auto"/>
            <w:vAlign w:val="center"/>
          </w:tcPr>
          <w:p w14:paraId="18FDC3C1" w14:textId="77777777" w:rsidR="004E2F51" w:rsidRPr="001B015B" w:rsidRDefault="004E2F51" w:rsidP="00E032FC">
            <w:pPr>
              <w:jc w:val="right"/>
              <w:rPr>
                <w:rFonts w:ascii="Arial" w:eastAsia="Calibri" w:hAnsi="Arial" w:cs="Arial"/>
                <w:b/>
                <w:bCs/>
                <w:color w:val="000000" w:themeColor="text1"/>
                <w:sz w:val="18"/>
                <w:szCs w:val="18"/>
                <w:lang w:val="hr-HR"/>
              </w:rPr>
            </w:pPr>
          </w:p>
        </w:tc>
      </w:tr>
      <w:bookmarkEnd w:id="1654"/>
      <w:tr w:rsidR="004E2F51" w:rsidRPr="001B015B" w14:paraId="447BC50E" w14:textId="77777777" w:rsidTr="00E032FC">
        <w:trPr>
          <w:trHeight w:val="203"/>
        </w:trPr>
        <w:tc>
          <w:tcPr>
            <w:tcW w:w="4159" w:type="dxa"/>
            <w:tcBorders>
              <w:top w:val="nil"/>
              <w:left w:val="nil"/>
              <w:bottom w:val="nil"/>
              <w:right w:val="nil"/>
            </w:tcBorders>
            <w:shd w:val="clear" w:color="auto" w:fill="auto"/>
            <w:vAlign w:val="center"/>
            <w:hideMark/>
          </w:tcPr>
          <w:p w14:paraId="1FF6C3A7"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2</w:t>
            </w:r>
            <w:r w:rsidRPr="001B015B">
              <w:rPr>
                <w:rFonts w:ascii="Arial" w:eastAsia="Calibri" w:hAnsi="Arial" w:cs="Arial"/>
                <w:color w:val="000000" w:themeColor="text1"/>
                <w:sz w:val="18"/>
                <w:szCs w:val="18"/>
                <w:lang w:val="hr-HR"/>
              </w:rPr>
              <w:t xml:space="preserve">. </w:t>
            </w:r>
          </w:p>
        </w:tc>
        <w:tc>
          <w:tcPr>
            <w:tcW w:w="1031" w:type="dxa"/>
            <w:shd w:val="clear" w:color="auto" w:fill="auto"/>
            <w:vAlign w:val="bottom"/>
          </w:tcPr>
          <w:p w14:paraId="58BCAC7E"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179 </w:t>
            </w:r>
          </w:p>
        </w:tc>
        <w:tc>
          <w:tcPr>
            <w:tcW w:w="1031" w:type="dxa"/>
            <w:shd w:val="clear" w:color="auto" w:fill="auto"/>
            <w:vAlign w:val="bottom"/>
          </w:tcPr>
          <w:p w14:paraId="59323AE8"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4 </w:t>
            </w:r>
          </w:p>
        </w:tc>
        <w:tc>
          <w:tcPr>
            <w:tcW w:w="1031" w:type="dxa"/>
            <w:shd w:val="clear" w:color="auto" w:fill="auto"/>
            <w:vAlign w:val="bottom"/>
          </w:tcPr>
          <w:p w14:paraId="770ACE03"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31.418 </w:t>
            </w:r>
          </w:p>
        </w:tc>
        <w:tc>
          <w:tcPr>
            <w:tcW w:w="1028" w:type="dxa"/>
            <w:shd w:val="clear" w:color="auto" w:fill="auto"/>
            <w:vAlign w:val="bottom"/>
          </w:tcPr>
          <w:p w14:paraId="748E5354"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250 </w:t>
            </w:r>
          </w:p>
        </w:tc>
        <w:tc>
          <w:tcPr>
            <w:tcW w:w="1100" w:type="dxa"/>
            <w:shd w:val="clear" w:color="auto" w:fill="auto"/>
            <w:vAlign w:val="bottom"/>
          </w:tcPr>
          <w:p w14:paraId="131FC2AB"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31.851 </w:t>
            </w:r>
          </w:p>
        </w:tc>
      </w:tr>
      <w:tr w:rsidR="004E2F51" w:rsidRPr="001B015B" w14:paraId="0D0F40BA" w14:textId="77777777" w:rsidTr="00E032FC">
        <w:trPr>
          <w:trHeight w:val="203"/>
        </w:trPr>
        <w:tc>
          <w:tcPr>
            <w:tcW w:w="4159" w:type="dxa"/>
            <w:shd w:val="clear" w:color="auto" w:fill="auto"/>
          </w:tcPr>
          <w:p w14:paraId="5B4386FF"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31" w:type="dxa"/>
            <w:shd w:val="clear" w:color="auto" w:fill="auto"/>
            <w:vAlign w:val="bottom"/>
          </w:tcPr>
          <w:p w14:paraId="489EC778"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10 </w:t>
            </w:r>
          </w:p>
        </w:tc>
        <w:tc>
          <w:tcPr>
            <w:tcW w:w="1031" w:type="dxa"/>
            <w:shd w:val="clear" w:color="auto" w:fill="auto"/>
            <w:vAlign w:val="bottom"/>
          </w:tcPr>
          <w:p w14:paraId="0E57107A"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031" w:type="dxa"/>
            <w:shd w:val="clear" w:color="auto" w:fill="auto"/>
            <w:vAlign w:val="bottom"/>
          </w:tcPr>
          <w:p w14:paraId="3D1FCF8B"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(10)</w:t>
            </w:r>
          </w:p>
        </w:tc>
        <w:tc>
          <w:tcPr>
            <w:tcW w:w="1028" w:type="dxa"/>
            <w:shd w:val="clear" w:color="auto" w:fill="auto"/>
            <w:vAlign w:val="bottom"/>
          </w:tcPr>
          <w:p w14:paraId="0869DC52"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100" w:type="dxa"/>
            <w:shd w:val="clear" w:color="auto" w:fill="auto"/>
            <w:vAlign w:val="bottom"/>
          </w:tcPr>
          <w:p w14:paraId="6035DA94"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r>
      <w:tr w:rsidR="004E2F51" w:rsidRPr="001B015B" w14:paraId="76D4BB99" w14:textId="77777777" w:rsidTr="00E032FC">
        <w:trPr>
          <w:trHeight w:val="203"/>
        </w:trPr>
        <w:tc>
          <w:tcPr>
            <w:tcW w:w="4159" w:type="dxa"/>
            <w:shd w:val="clear" w:color="auto" w:fill="auto"/>
          </w:tcPr>
          <w:p w14:paraId="1D32D4B2"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31" w:type="dxa"/>
            <w:shd w:val="clear" w:color="auto" w:fill="auto"/>
            <w:vAlign w:val="bottom"/>
          </w:tcPr>
          <w:p w14:paraId="42168230"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(30)</w:t>
            </w:r>
          </w:p>
        </w:tc>
        <w:tc>
          <w:tcPr>
            <w:tcW w:w="1031" w:type="dxa"/>
            <w:shd w:val="clear" w:color="auto" w:fill="auto"/>
            <w:vAlign w:val="bottom"/>
          </w:tcPr>
          <w:p w14:paraId="748D36E3"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30 </w:t>
            </w:r>
          </w:p>
        </w:tc>
        <w:tc>
          <w:tcPr>
            <w:tcW w:w="1031" w:type="dxa"/>
            <w:shd w:val="clear" w:color="auto" w:fill="auto"/>
            <w:vAlign w:val="bottom"/>
          </w:tcPr>
          <w:p w14:paraId="687F9F4B"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028" w:type="dxa"/>
            <w:shd w:val="clear" w:color="auto" w:fill="auto"/>
            <w:vAlign w:val="bottom"/>
          </w:tcPr>
          <w:p w14:paraId="030EF1C4"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100" w:type="dxa"/>
            <w:shd w:val="clear" w:color="auto" w:fill="auto"/>
            <w:vAlign w:val="bottom"/>
          </w:tcPr>
          <w:p w14:paraId="6F5DA6CB"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r>
      <w:tr w:rsidR="004E2F51" w:rsidRPr="001B015B" w14:paraId="78E6F9F8" w14:textId="77777777" w:rsidTr="00E032FC">
        <w:trPr>
          <w:trHeight w:val="203"/>
        </w:trPr>
        <w:tc>
          <w:tcPr>
            <w:tcW w:w="4159" w:type="dxa"/>
            <w:shd w:val="clear" w:color="auto" w:fill="auto"/>
            <w:hideMark/>
          </w:tcPr>
          <w:p w14:paraId="5A2DC51B"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31" w:type="dxa"/>
            <w:shd w:val="clear" w:color="auto" w:fill="auto"/>
            <w:vAlign w:val="bottom"/>
          </w:tcPr>
          <w:p w14:paraId="28EF85A3"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031" w:type="dxa"/>
            <w:shd w:val="clear" w:color="auto" w:fill="auto"/>
            <w:vAlign w:val="bottom"/>
          </w:tcPr>
          <w:p w14:paraId="07E6761D"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(100)</w:t>
            </w:r>
          </w:p>
        </w:tc>
        <w:tc>
          <w:tcPr>
            <w:tcW w:w="1031" w:type="dxa"/>
            <w:shd w:val="clear" w:color="auto" w:fill="auto"/>
            <w:vAlign w:val="bottom"/>
          </w:tcPr>
          <w:p w14:paraId="2F4DFD58"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100 </w:t>
            </w:r>
          </w:p>
        </w:tc>
        <w:tc>
          <w:tcPr>
            <w:tcW w:w="1028" w:type="dxa"/>
            <w:shd w:val="clear" w:color="auto" w:fill="auto"/>
            <w:vAlign w:val="bottom"/>
          </w:tcPr>
          <w:p w14:paraId="5DFCE565"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100" w:type="dxa"/>
            <w:shd w:val="clear" w:color="auto" w:fill="auto"/>
            <w:vAlign w:val="bottom"/>
          </w:tcPr>
          <w:p w14:paraId="49F93805"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r>
      <w:tr w:rsidR="004E2F51" w:rsidRPr="001B015B" w14:paraId="19A71590" w14:textId="77777777" w:rsidTr="00E032FC">
        <w:trPr>
          <w:trHeight w:val="254"/>
        </w:trPr>
        <w:tc>
          <w:tcPr>
            <w:tcW w:w="4159" w:type="dxa"/>
            <w:tcBorders>
              <w:top w:val="nil"/>
              <w:left w:val="nil"/>
              <w:bottom w:val="nil"/>
              <w:right w:val="nil"/>
            </w:tcBorders>
            <w:shd w:val="clear" w:color="auto" w:fill="auto"/>
            <w:vAlign w:val="center"/>
            <w:hideMark/>
          </w:tcPr>
          <w:p w14:paraId="50109D59"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593574">
              <w:rPr>
                <w:rFonts w:ascii="Arial" w:eastAsia="Calibri" w:hAnsi="Arial" w:cs="Arial"/>
                <w:color w:val="000000" w:themeColor="text1"/>
                <w:sz w:val="18"/>
                <w:szCs w:val="18"/>
                <w:lang w:val="hr-HR"/>
              </w:rPr>
              <w:t>povećanje</w:t>
            </w:r>
            <w:r w:rsidRPr="001B015B">
              <w:rPr>
                <w:rFonts w:ascii="Arial" w:eastAsia="Calibri" w:hAnsi="Arial" w:cs="Arial"/>
                <w:color w:val="000000" w:themeColor="text1"/>
                <w:sz w:val="18"/>
                <w:szCs w:val="18"/>
                <w:lang w:val="hr-HR"/>
              </w:rPr>
              <w:t xml:space="preserve"> rezerviranja za očekivane gubitke </w:t>
            </w:r>
          </w:p>
        </w:tc>
        <w:tc>
          <w:tcPr>
            <w:tcW w:w="1031" w:type="dxa"/>
            <w:shd w:val="clear" w:color="auto" w:fill="auto"/>
            <w:vAlign w:val="bottom"/>
          </w:tcPr>
          <w:p w14:paraId="28713BB8" w14:textId="77777777" w:rsidR="004E2F51" w:rsidRPr="00593574" w:rsidRDefault="004E2F51" w:rsidP="00E032FC">
            <w:pPr>
              <w:jc w:val="right"/>
              <w:rPr>
                <w:rFonts w:ascii="Arial" w:hAnsi="Arial" w:cs="Arial"/>
                <w:sz w:val="18"/>
                <w:szCs w:val="18"/>
              </w:rPr>
            </w:pPr>
            <w:r w:rsidRPr="0002282A">
              <w:rPr>
                <w:rFonts w:ascii="Arial" w:hAnsi="Arial" w:cs="Arial"/>
                <w:sz w:val="18"/>
                <w:szCs w:val="18"/>
                <w:lang w:val="it-IT"/>
              </w:rPr>
              <w:t xml:space="preserve"> </w:t>
            </w:r>
            <w:r w:rsidRPr="00593574">
              <w:rPr>
                <w:rFonts w:ascii="Arial" w:hAnsi="Arial" w:cs="Arial"/>
                <w:sz w:val="18"/>
                <w:szCs w:val="18"/>
              </w:rPr>
              <w:t xml:space="preserve">50 </w:t>
            </w:r>
          </w:p>
        </w:tc>
        <w:tc>
          <w:tcPr>
            <w:tcW w:w="1031" w:type="dxa"/>
            <w:shd w:val="clear" w:color="auto" w:fill="auto"/>
            <w:vAlign w:val="bottom"/>
          </w:tcPr>
          <w:p w14:paraId="1B0CDA43"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67 </w:t>
            </w:r>
          </w:p>
        </w:tc>
        <w:tc>
          <w:tcPr>
            <w:tcW w:w="1031" w:type="dxa"/>
            <w:shd w:val="clear" w:color="auto" w:fill="auto"/>
            <w:vAlign w:val="bottom"/>
          </w:tcPr>
          <w:p w14:paraId="571DFCB4"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3.650 </w:t>
            </w:r>
          </w:p>
        </w:tc>
        <w:tc>
          <w:tcPr>
            <w:tcW w:w="1028" w:type="dxa"/>
            <w:shd w:val="clear" w:color="auto" w:fill="auto"/>
            <w:vAlign w:val="bottom"/>
          </w:tcPr>
          <w:p w14:paraId="3474605B"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(3)</w:t>
            </w:r>
          </w:p>
        </w:tc>
        <w:tc>
          <w:tcPr>
            <w:tcW w:w="1100" w:type="dxa"/>
            <w:shd w:val="clear" w:color="auto" w:fill="auto"/>
            <w:vAlign w:val="bottom"/>
          </w:tcPr>
          <w:p w14:paraId="6FA14A2A"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3.764 </w:t>
            </w:r>
          </w:p>
        </w:tc>
      </w:tr>
      <w:tr w:rsidR="004E2F51" w:rsidRPr="001B015B" w14:paraId="2425D79E" w14:textId="77777777" w:rsidTr="00E032FC">
        <w:trPr>
          <w:trHeight w:val="70"/>
        </w:trPr>
        <w:tc>
          <w:tcPr>
            <w:tcW w:w="4159" w:type="dxa"/>
            <w:tcBorders>
              <w:top w:val="nil"/>
              <w:left w:val="nil"/>
              <w:bottom w:val="nil"/>
              <w:right w:val="nil"/>
            </w:tcBorders>
            <w:shd w:val="clear" w:color="auto" w:fill="auto"/>
            <w:vAlign w:val="center"/>
          </w:tcPr>
          <w:p w14:paraId="39F2E2CB"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031" w:type="dxa"/>
            <w:shd w:val="clear" w:color="auto" w:fill="auto"/>
            <w:vAlign w:val="bottom"/>
          </w:tcPr>
          <w:p w14:paraId="35F36967" w14:textId="77777777" w:rsidR="004E2F51" w:rsidRPr="001B015B" w:rsidRDefault="004E2F51" w:rsidP="00E032FC">
            <w:pPr>
              <w:jc w:val="right"/>
              <w:rPr>
                <w:rFonts w:ascii="Arial" w:hAnsi="Arial" w:cs="Arial"/>
                <w:sz w:val="18"/>
                <w:szCs w:val="18"/>
              </w:rPr>
            </w:pPr>
            <w:r w:rsidRPr="00593574">
              <w:rPr>
                <w:rFonts w:ascii="Arial" w:hAnsi="Arial" w:cs="Arial"/>
                <w:sz w:val="18"/>
                <w:szCs w:val="18"/>
              </w:rPr>
              <w:t xml:space="preserve"> (12)</w:t>
            </w:r>
          </w:p>
        </w:tc>
        <w:tc>
          <w:tcPr>
            <w:tcW w:w="1031" w:type="dxa"/>
            <w:shd w:val="clear" w:color="auto" w:fill="auto"/>
            <w:vAlign w:val="bottom"/>
          </w:tcPr>
          <w:p w14:paraId="561F5E39" w14:textId="77777777" w:rsidR="004E2F51" w:rsidRPr="001B015B"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031" w:type="dxa"/>
            <w:shd w:val="clear" w:color="auto" w:fill="auto"/>
            <w:vAlign w:val="bottom"/>
          </w:tcPr>
          <w:p w14:paraId="0C6E8754" w14:textId="77777777" w:rsidR="004E2F51" w:rsidRPr="001B015B" w:rsidRDefault="004E2F51" w:rsidP="00E032FC">
            <w:pPr>
              <w:jc w:val="right"/>
              <w:rPr>
                <w:rFonts w:ascii="Arial" w:hAnsi="Arial" w:cs="Arial"/>
                <w:sz w:val="18"/>
                <w:szCs w:val="18"/>
              </w:rPr>
            </w:pPr>
            <w:r w:rsidRPr="00593574">
              <w:rPr>
                <w:rFonts w:ascii="Arial" w:hAnsi="Arial" w:cs="Arial"/>
                <w:sz w:val="18"/>
                <w:szCs w:val="18"/>
              </w:rPr>
              <w:t xml:space="preserve"> (35)</w:t>
            </w:r>
          </w:p>
        </w:tc>
        <w:tc>
          <w:tcPr>
            <w:tcW w:w="1028" w:type="dxa"/>
            <w:shd w:val="clear" w:color="auto" w:fill="auto"/>
            <w:vAlign w:val="bottom"/>
          </w:tcPr>
          <w:p w14:paraId="074A5419" w14:textId="77777777" w:rsidR="004E2F51" w:rsidRPr="001B015B"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100" w:type="dxa"/>
            <w:shd w:val="clear" w:color="auto" w:fill="auto"/>
            <w:vAlign w:val="bottom"/>
          </w:tcPr>
          <w:p w14:paraId="4988E77F" w14:textId="77777777" w:rsidR="004E2F51" w:rsidRPr="001B015B" w:rsidRDefault="004E2F51" w:rsidP="00E032FC">
            <w:pPr>
              <w:jc w:val="right"/>
              <w:rPr>
                <w:rFonts w:ascii="Arial" w:hAnsi="Arial" w:cs="Arial"/>
                <w:sz w:val="18"/>
                <w:szCs w:val="18"/>
              </w:rPr>
            </w:pPr>
            <w:r w:rsidRPr="00593574">
              <w:rPr>
                <w:rFonts w:ascii="Arial" w:hAnsi="Arial" w:cs="Arial"/>
                <w:sz w:val="18"/>
                <w:szCs w:val="18"/>
              </w:rPr>
              <w:t xml:space="preserve"> (47)</w:t>
            </w:r>
          </w:p>
        </w:tc>
      </w:tr>
      <w:tr w:rsidR="004E2F51" w:rsidRPr="001B015B" w14:paraId="24FD0EFF" w14:textId="77777777" w:rsidTr="00E032FC">
        <w:trPr>
          <w:trHeight w:val="213"/>
        </w:trPr>
        <w:tc>
          <w:tcPr>
            <w:tcW w:w="4159" w:type="dxa"/>
            <w:tcBorders>
              <w:top w:val="nil"/>
              <w:left w:val="nil"/>
              <w:bottom w:val="nil"/>
              <w:right w:val="nil"/>
            </w:tcBorders>
            <w:shd w:val="clear" w:color="auto" w:fill="auto"/>
            <w:vAlign w:val="center"/>
            <w:hideMark/>
          </w:tcPr>
          <w:p w14:paraId="5ACD9220"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31" w:type="dxa"/>
            <w:tcBorders>
              <w:top w:val="nil"/>
              <w:left w:val="nil"/>
              <w:right w:val="nil"/>
            </w:tcBorders>
            <w:shd w:val="clear" w:color="auto" w:fill="auto"/>
            <w:vAlign w:val="bottom"/>
          </w:tcPr>
          <w:p w14:paraId="1B6BCBA4"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031" w:type="dxa"/>
            <w:tcBorders>
              <w:top w:val="nil"/>
              <w:left w:val="nil"/>
              <w:right w:val="nil"/>
            </w:tcBorders>
            <w:shd w:val="clear" w:color="auto" w:fill="auto"/>
            <w:vAlign w:val="bottom"/>
          </w:tcPr>
          <w:p w14:paraId="11700947"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031" w:type="dxa"/>
            <w:tcBorders>
              <w:top w:val="nil"/>
              <w:left w:val="nil"/>
              <w:right w:val="nil"/>
            </w:tcBorders>
            <w:shd w:val="clear" w:color="auto" w:fill="auto"/>
            <w:vAlign w:val="bottom"/>
          </w:tcPr>
          <w:p w14:paraId="1220B333"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(216)</w:t>
            </w:r>
          </w:p>
        </w:tc>
        <w:tc>
          <w:tcPr>
            <w:tcW w:w="1028" w:type="dxa"/>
            <w:tcBorders>
              <w:top w:val="nil"/>
              <w:left w:val="nil"/>
              <w:right w:val="nil"/>
            </w:tcBorders>
            <w:shd w:val="clear" w:color="auto" w:fill="auto"/>
            <w:vAlign w:val="bottom"/>
          </w:tcPr>
          <w:p w14:paraId="0B876D2B"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100" w:type="dxa"/>
            <w:tcBorders>
              <w:top w:val="nil"/>
              <w:left w:val="nil"/>
              <w:right w:val="nil"/>
            </w:tcBorders>
            <w:shd w:val="clear" w:color="auto" w:fill="auto"/>
            <w:vAlign w:val="bottom"/>
          </w:tcPr>
          <w:p w14:paraId="6573C297"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(216)</w:t>
            </w:r>
          </w:p>
        </w:tc>
      </w:tr>
      <w:tr w:rsidR="004E2F51" w:rsidRPr="001B015B" w14:paraId="37B14604" w14:textId="77777777" w:rsidTr="00E032FC">
        <w:trPr>
          <w:trHeight w:val="213"/>
        </w:trPr>
        <w:tc>
          <w:tcPr>
            <w:tcW w:w="4159" w:type="dxa"/>
            <w:tcBorders>
              <w:top w:val="nil"/>
              <w:left w:val="nil"/>
              <w:bottom w:val="nil"/>
              <w:right w:val="nil"/>
            </w:tcBorders>
            <w:shd w:val="clear" w:color="auto" w:fill="auto"/>
            <w:vAlign w:val="center"/>
          </w:tcPr>
          <w:p w14:paraId="1B3514F2"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Ostala usklađenja</w:t>
            </w:r>
          </w:p>
        </w:tc>
        <w:tc>
          <w:tcPr>
            <w:tcW w:w="1031" w:type="dxa"/>
            <w:tcBorders>
              <w:top w:val="nil"/>
              <w:left w:val="nil"/>
              <w:bottom w:val="single" w:sz="8" w:space="0" w:color="auto"/>
              <w:right w:val="nil"/>
            </w:tcBorders>
            <w:shd w:val="clear" w:color="auto" w:fill="auto"/>
            <w:vAlign w:val="bottom"/>
          </w:tcPr>
          <w:p w14:paraId="5E714641"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(2)</w:t>
            </w:r>
          </w:p>
        </w:tc>
        <w:tc>
          <w:tcPr>
            <w:tcW w:w="1031" w:type="dxa"/>
            <w:tcBorders>
              <w:top w:val="nil"/>
              <w:left w:val="nil"/>
              <w:bottom w:val="single" w:sz="8" w:space="0" w:color="auto"/>
              <w:right w:val="nil"/>
            </w:tcBorders>
            <w:shd w:val="clear" w:color="auto" w:fill="auto"/>
            <w:vAlign w:val="bottom"/>
          </w:tcPr>
          <w:p w14:paraId="3AA10A40"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031" w:type="dxa"/>
            <w:tcBorders>
              <w:top w:val="nil"/>
              <w:left w:val="nil"/>
              <w:bottom w:val="single" w:sz="8" w:space="0" w:color="auto"/>
              <w:right w:val="nil"/>
            </w:tcBorders>
            <w:shd w:val="clear" w:color="auto" w:fill="auto"/>
            <w:vAlign w:val="bottom"/>
          </w:tcPr>
          <w:p w14:paraId="4F12FC89"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(16)</w:t>
            </w:r>
          </w:p>
        </w:tc>
        <w:tc>
          <w:tcPr>
            <w:tcW w:w="1028" w:type="dxa"/>
            <w:tcBorders>
              <w:top w:val="nil"/>
              <w:left w:val="nil"/>
              <w:bottom w:val="single" w:sz="8" w:space="0" w:color="auto"/>
              <w:right w:val="nil"/>
            </w:tcBorders>
            <w:shd w:val="clear" w:color="auto" w:fill="auto"/>
            <w:vAlign w:val="bottom"/>
          </w:tcPr>
          <w:p w14:paraId="266EF1F5"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14 </w:t>
            </w:r>
          </w:p>
        </w:tc>
        <w:tc>
          <w:tcPr>
            <w:tcW w:w="1100" w:type="dxa"/>
            <w:tcBorders>
              <w:top w:val="nil"/>
              <w:left w:val="nil"/>
              <w:bottom w:val="single" w:sz="8" w:space="0" w:color="auto"/>
              <w:right w:val="nil"/>
            </w:tcBorders>
            <w:shd w:val="clear" w:color="auto" w:fill="auto"/>
            <w:vAlign w:val="bottom"/>
          </w:tcPr>
          <w:p w14:paraId="094503D9"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(4)</w:t>
            </w:r>
          </w:p>
        </w:tc>
      </w:tr>
      <w:tr w:rsidR="004E2F51" w:rsidRPr="001B015B" w14:paraId="0423B751" w14:textId="77777777" w:rsidTr="00E032FC">
        <w:trPr>
          <w:trHeight w:val="213"/>
        </w:trPr>
        <w:tc>
          <w:tcPr>
            <w:tcW w:w="4159" w:type="dxa"/>
            <w:tcBorders>
              <w:top w:val="nil"/>
              <w:left w:val="nil"/>
              <w:bottom w:val="nil"/>
              <w:right w:val="nil"/>
            </w:tcBorders>
            <w:shd w:val="clear" w:color="auto" w:fill="auto"/>
            <w:vAlign w:val="bottom"/>
            <w:hideMark/>
          </w:tcPr>
          <w:p w14:paraId="26D7EB69"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031" w:type="dxa"/>
            <w:tcBorders>
              <w:top w:val="nil"/>
              <w:left w:val="nil"/>
              <w:bottom w:val="single" w:sz="12" w:space="0" w:color="auto"/>
              <w:right w:val="nil"/>
            </w:tcBorders>
            <w:shd w:val="clear" w:color="auto" w:fill="auto"/>
            <w:vAlign w:val="bottom"/>
          </w:tcPr>
          <w:p w14:paraId="446EDA76" w14:textId="77777777" w:rsidR="004E2F51" w:rsidRPr="00593574" w:rsidRDefault="004E2F51" w:rsidP="00E032FC">
            <w:pPr>
              <w:jc w:val="right"/>
              <w:rPr>
                <w:rFonts w:ascii="Arial" w:hAnsi="Arial" w:cs="Arial"/>
                <w:b/>
                <w:bCs/>
                <w:sz w:val="18"/>
                <w:szCs w:val="18"/>
              </w:rPr>
            </w:pPr>
            <w:r w:rsidRPr="00593574">
              <w:rPr>
                <w:rFonts w:ascii="Arial" w:hAnsi="Arial" w:cs="Arial"/>
                <w:b/>
                <w:bCs/>
                <w:sz w:val="18"/>
                <w:szCs w:val="18"/>
              </w:rPr>
              <w:t xml:space="preserve"> 195 </w:t>
            </w:r>
          </w:p>
        </w:tc>
        <w:tc>
          <w:tcPr>
            <w:tcW w:w="1031" w:type="dxa"/>
            <w:tcBorders>
              <w:top w:val="nil"/>
              <w:left w:val="nil"/>
              <w:bottom w:val="single" w:sz="12" w:space="0" w:color="auto"/>
              <w:right w:val="nil"/>
            </w:tcBorders>
            <w:shd w:val="clear" w:color="auto" w:fill="auto"/>
            <w:vAlign w:val="bottom"/>
          </w:tcPr>
          <w:p w14:paraId="6BBFA6FF" w14:textId="77777777" w:rsidR="004E2F51" w:rsidRPr="00593574" w:rsidRDefault="004E2F51" w:rsidP="00E032FC">
            <w:pPr>
              <w:jc w:val="right"/>
              <w:rPr>
                <w:rFonts w:ascii="Arial" w:hAnsi="Arial" w:cs="Arial"/>
                <w:b/>
                <w:bCs/>
                <w:sz w:val="18"/>
                <w:szCs w:val="18"/>
              </w:rPr>
            </w:pPr>
            <w:r w:rsidRPr="00593574">
              <w:rPr>
                <w:rFonts w:ascii="Arial" w:hAnsi="Arial" w:cs="Arial"/>
                <w:b/>
                <w:bCs/>
                <w:sz w:val="18"/>
                <w:szCs w:val="18"/>
              </w:rPr>
              <w:t xml:space="preserve"> 1 </w:t>
            </w:r>
          </w:p>
        </w:tc>
        <w:tc>
          <w:tcPr>
            <w:tcW w:w="1031" w:type="dxa"/>
            <w:tcBorders>
              <w:top w:val="nil"/>
              <w:left w:val="nil"/>
              <w:bottom w:val="single" w:sz="12" w:space="0" w:color="auto"/>
              <w:right w:val="nil"/>
            </w:tcBorders>
            <w:shd w:val="clear" w:color="auto" w:fill="auto"/>
            <w:vAlign w:val="bottom"/>
          </w:tcPr>
          <w:p w14:paraId="32768571" w14:textId="77777777" w:rsidR="004E2F51" w:rsidRPr="00593574" w:rsidRDefault="004E2F51" w:rsidP="00E032FC">
            <w:pPr>
              <w:jc w:val="right"/>
              <w:rPr>
                <w:rFonts w:ascii="Arial" w:hAnsi="Arial" w:cs="Arial"/>
                <w:b/>
                <w:bCs/>
                <w:sz w:val="18"/>
                <w:szCs w:val="18"/>
              </w:rPr>
            </w:pPr>
            <w:r w:rsidRPr="00593574">
              <w:rPr>
                <w:rFonts w:ascii="Arial" w:hAnsi="Arial" w:cs="Arial"/>
                <w:b/>
                <w:bCs/>
                <w:sz w:val="18"/>
                <w:szCs w:val="18"/>
              </w:rPr>
              <w:t xml:space="preserve"> 34.891 </w:t>
            </w:r>
          </w:p>
        </w:tc>
        <w:tc>
          <w:tcPr>
            <w:tcW w:w="1028" w:type="dxa"/>
            <w:tcBorders>
              <w:top w:val="nil"/>
              <w:left w:val="nil"/>
              <w:bottom w:val="single" w:sz="12" w:space="0" w:color="auto"/>
              <w:right w:val="nil"/>
            </w:tcBorders>
            <w:shd w:val="clear" w:color="auto" w:fill="auto"/>
            <w:vAlign w:val="bottom"/>
          </w:tcPr>
          <w:p w14:paraId="07E9FCD2" w14:textId="77777777" w:rsidR="004E2F51" w:rsidRPr="00593574" w:rsidRDefault="004E2F51" w:rsidP="00E032FC">
            <w:pPr>
              <w:jc w:val="right"/>
              <w:rPr>
                <w:rFonts w:ascii="Arial" w:hAnsi="Arial" w:cs="Arial"/>
                <w:b/>
                <w:bCs/>
                <w:sz w:val="18"/>
                <w:szCs w:val="18"/>
              </w:rPr>
            </w:pPr>
            <w:r w:rsidRPr="00593574">
              <w:rPr>
                <w:rFonts w:ascii="Arial" w:hAnsi="Arial" w:cs="Arial"/>
                <w:b/>
                <w:bCs/>
                <w:sz w:val="18"/>
                <w:szCs w:val="18"/>
              </w:rPr>
              <w:t xml:space="preserve"> 261 </w:t>
            </w:r>
          </w:p>
        </w:tc>
        <w:tc>
          <w:tcPr>
            <w:tcW w:w="1100" w:type="dxa"/>
            <w:tcBorders>
              <w:top w:val="nil"/>
              <w:left w:val="nil"/>
              <w:bottom w:val="single" w:sz="12" w:space="0" w:color="auto"/>
              <w:right w:val="nil"/>
            </w:tcBorders>
            <w:shd w:val="clear" w:color="auto" w:fill="auto"/>
            <w:vAlign w:val="bottom"/>
          </w:tcPr>
          <w:p w14:paraId="3694C3AE" w14:textId="77777777" w:rsidR="004E2F51" w:rsidRPr="00593574" w:rsidRDefault="004E2F51" w:rsidP="00E032FC">
            <w:pPr>
              <w:jc w:val="right"/>
              <w:rPr>
                <w:rFonts w:ascii="Arial" w:hAnsi="Arial" w:cs="Arial"/>
                <w:b/>
                <w:bCs/>
                <w:sz w:val="18"/>
                <w:szCs w:val="18"/>
              </w:rPr>
            </w:pPr>
            <w:r w:rsidRPr="00593574">
              <w:rPr>
                <w:rFonts w:ascii="Arial" w:hAnsi="Arial" w:cs="Arial"/>
                <w:b/>
                <w:bCs/>
                <w:sz w:val="18"/>
                <w:szCs w:val="18"/>
              </w:rPr>
              <w:t xml:space="preserve"> 35.348 </w:t>
            </w:r>
          </w:p>
        </w:tc>
      </w:tr>
    </w:tbl>
    <w:p w14:paraId="693C4E61" w14:textId="77777777" w:rsidR="004E2F51" w:rsidRPr="001B015B" w:rsidRDefault="004E2F51" w:rsidP="004E2F51">
      <w:pPr>
        <w:keepNext/>
        <w:jc w:val="both"/>
        <w:rPr>
          <w:rFonts w:ascii="Arial" w:hAnsi="Arial" w:cs="Arial"/>
          <w:b/>
          <w:bCs/>
          <w:color w:val="000000" w:themeColor="text1"/>
          <w:sz w:val="20"/>
          <w:szCs w:val="20"/>
          <w:lang w:val="hr-HR"/>
        </w:rPr>
      </w:pPr>
    </w:p>
    <w:p w14:paraId="4997C2AB" w14:textId="77777777" w:rsidR="004E2F51" w:rsidRPr="001B015B" w:rsidRDefault="004E2F51" w:rsidP="004E2F51">
      <w:pPr>
        <w:rPr>
          <w:rFonts w:ascii="Arial" w:eastAsia="Calibri" w:hAnsi="Arial" w:cs="Arial"/>
          <w:color w:val="000000" w:themeColor="text1"/>
          <w:sz w:val="20"/>
          <w:szCs w:val="20"/>
          <w:lang w:val="hr-HR"/>
        </w:rPr>
      </w:pPr>
    </w:p>
    <w:p w14:paraId="5E13F562" w14:textId="77777777" w:rsidR="004E2F51" w:rsidRPr="001B015B" w:rsidRDefault="004E2F51" w:rsidP="004E2F51">
      <w:pPr>
        <w:rPr>
          <w:rFonts w:ascii="Arial" w:eastAsia="Calibri" w:hAnsi="Arial" w:cs="Arial"/>
          <w:color w:val="000000" w:themeColor="text1"/>
          <w:sz w:val="20"/>
          <w:szCs w:val="20"/>
          <w:lang w:val="hr-HR"/>
        </w:rPr>
      </w:pPr>
    </w:p>
    <w:tbl>
      <w:tblPr>
        <w:tblW w:w="9380" w:type="dxa"/>
        <w:tblInd w:w="-180" w:type="dxa"/>
        <w:tblLook w:val="04A0" w:firstRow="1" w:lastRow="0" w:firstColumn="1" w:lastColumn="0" w:noHBand="0" w:noVBand="1"/>
      </w:tblPr>
      <w:tblGrid>
        <w:gridCol w:w="4159"/>
        <w:gridCol w:w="1031"/>
        <w:gridCol w:w="1031"/>
        <w:gridCol w:w="1031"/>
        <w:gridCol w:w="1028"/>
        <w:gridCol w:w="1100"/>
      </w:tblGrid>
      <w:tr w:rsidR="004E2F51" w:rsidRPr="001B015B" w14:paraId="30580012" w14:textId="77777777" w:rsidTr="00E032FC">
        <w:trPr>
          <w:trHeight w:val="203"/>
        </w:trPr>
        <w:tc>
          <w:tcPr>
            <w:tcW w:w="4159" w:type="dxa"/>
            <w:tcBorders>
              <w:top w:val="nil"/>
              <w:left w:val="nil"/>
              <w:bottom w:val="nil"/>
              <w:right w:val="nil"/>
            </w:tcBorders>
            <w:shd w:val="clear" w:color="auto" w:fill="auto"/>
            <w:vAlign w:val="center"/>
          </w:tcPr>
          <w:p w14:paraId="3EB99395"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 xml:space="preserve">Grupa </w:t>
            </w:r>
          </w:p>
        </w:tc>
        <w:tc>
          <w:tcPr>
            <w:tcW w:w="1031" w:type="dxa"/>
            <w:tcBorders>
              <w:top w:val="nil"/>
              <w:left w:val="nil"/>
              <w:bottom w:val="nil"/>
              <w:right w:val="nil"/>
            </w:tcBorders>
            <w:shd w:val="clear" w:color="auto" w:fill="auto"/>
            <w:vAlign w:val="center"/>
          </w:tcPr>
          <w:p w14:paraId="705F92F1"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1D952343"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7D76709E"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43CB4ED7"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00" w:type="dxa"/>
            <w:tcBorders>
              <w:top w:val="nil"/>
              <w:left w:val="nil"/>
              <w:bottom w:val="nil"/>
              <w:right w:val="nil"/>
            </w:tcBorders>
            <w:shd w:val="clear" w:color="auto" w:fill="auto"/>
            <w:vAlign w:val="center"/>
          </w:tcPr>
          <w:p w14:paraId="699C683E"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23B1EAD0" w14:textId="77777777" w:rsidTr="00E032FC">
        <w:trPr>
          <w:trHeight w:val="203"/>
        </w:trPr>
        <w:tc>
          <w:tcPr>
            <w:tcW w:w="4159" w:type="dxa"/>
            <w:tcBorders>
              <w:top w:val="nil"/>
              <w:left w:val="nil"/>
              <w:bottom w:val="nil"/>
              <w:right w:val="nil"/>
            </w:tcBorders>
            <w:shd w:val="clear" w:color="auto" w:fill="auto"/>
            <w:vAlign w:val="center"/>
            <w:hideMark/>
          </w:tcPr>
          <w:p w14:paraId="3B077B72"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2021.</w:t>
            </w:r>
          </w:p>
        </w:tc>
        <w:tc>
          <w:tcPr>
            <w:tcW w:w="1031" w:type="dxa"/>
            <w:tcBorders>
              <w:top w:val="nil"/>
              <w:left w:val="nil"/>
              <w:bottom w:val="nil"/>
              <w:right w:val="nil"/>
            </w:tcBorders>
            <w:shd w:val="clear" w:color="auto" w:fill="auto"/>
            <w:vAlign w:val="center"/>
            <w:hideMark/>
          </w:tcPr>
          <w:p w14:paraId="29179424"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1" w:type="dxa"/>
            <w:tcBorders>
              <w:top w:val="nil"/>
              <w:left w:val="nil"/>
              <w:bottom w:val="nil"/>
              <w:right w:val="nil"/>
            </w:tcBorders>
            <w:shd w:val="clear" w:color="auto" w:fill="auto"/>
            <w:vAlign w:val="center"/>
            <w:hideMark/>
          </w:tcPr>
          <w:p w14:paraId="089AE6B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31" w:type="dxa"/>
            <w:tcBorders>
              <w:top w:val="nil"/>
              <w:left w:val="nil"/>
              <w:bottom w:val="nil"/>
              <w:right w:val="nil"/>
            </w:tcBorders>
            <w:shd w:val="clear" w:color="auto" w:fill="auto"/>
            <w:vAlign w:val="center"/>
            <w:hideMark/>
          </w:tcPr>
          <w:p w14:paraId="3992F3AC"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8" w:type="dxa"/>
            <w:tcBorders>
              <w:top w:val="nil"/>
              <w:left w:val="nil"/>
              <w:bottom w:val="nil"/>
              <w:right w:val="nil"/>
            </w:tcBorders>
            <w:shd w:val="clear" w:color="auto" w:fill="auto"/>
            <w:vAlign w:val="center"/>
            <w:hideMark/>
          </w:tcPr>
          <w:p w14:paraId="559ACF7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100" w:type="dxa"/>
            <w:tcBorders>
              <w:top w:val="nil"/>
              <w:left w:val="nil"/>
              <w:bottom w:val="nil"/>
              <w:right w:val="nil"/>
            </w:tcBorders>
            <w:shd w:val="clear" w:color="auto" w:fill="auto"/>
            <w:vAlign w:val="center"/>
            <w:hideMark/>
          </w:tcPr>
          <w:p w14:paraId="2F1715F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5CD0B898" w14:textId="77777777" w:rsidTr="00E032FC">
        <w:trPr>
          <w:trHeight w:val="203"/>
        </w:trPr>
        <w:tc>
          <w:tcPr>
            <w:tcW w:w="4159" w:type="dxa"/>
            <w:tcBorders>
              <w:top w:val="nil"/>
              <w:left w:val="nil"/>
              <w:bottom w:val="nil"/>
              <w:right w:val="nil"/>
            </w:tcBorders>
            <w:shd w:val="clear" w:color="auto" w:fill="auto"/>
            <w:vAlign w:val="center"/>
            <w:hideMark/>
          </w:tcPr>
          <w:p w14:paraId="7B89F7BD"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hideMark/>
          </w:tcPr>
          <w:p w14:paraId="76F2071E"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31" w:type="dxa"/>
            <w:tcBorders>
              <w:top w:val="nil"/>
              <w:left w:val="nil"/>
              <w:bottom w:val="nil"/>
              <w:right w:val="nil"/>
            </w:tcBorders>
            <w:shd w:val="clear" w:color="auto" w:fill="auto"/>
            <w:vAlign w:val="center"/>
            <w:hideMark/>
          </w:tcPr>
          <w:p w14:paraId="3E07F4AC"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31" w:type="dxa"/>
            <w:tcBorders>
              <w:top w:val="nil"/>
              <w:left w:val="nil"/>
              <w:bottom w:val="nil"/>
              <w:right w:val="nil"/>
            </w:tcBorders>
            <w:shd w:val="clear" w:color="auto" w:fill="auto"/>
            <w:vAlign w:val="center"/>
            <w:hideMark/>
          </w:tcPr>
          <w:p w14:paraId="52423E2E"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28" w:type="dxa"/>
            <w:tcBorders>
              <w:top w:val="nil"/>
              <w:left w:val="nil"/>
              <w:bottom w:val="nil"/>
              <w:right w:val="nil"/>
            </w:tcBorders>
            <w:shd w:val="clear" w:color="auto" w:fill="auto"/>
            <w:vAlign w:val="center"/>
            <w:hideMark/>
          </w:tcPr>
          <w:p w14:paraId="5258406E"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100" w:type="dxa"/>
            <w:tcBorders>
              <w:top w:val="nil"/>
              <w:left w:val="nil"/>
              <w:bottom w:val="nil"/>
              <w:right w:val="nil"/>
            </w:tcBorders>
            <w:shd w:val="clear" w:color="auto" w:fill="auto"/>
            <w:vAlign w:val="center"/>
            <w:hideMark/>
          </w:tcPr>
          <w:p w14:paraId="1EAC8E0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409CA064" w14:textId="77777777" w:rsidTr="00E032FC">
        <w:trPr>
          <w:trHeight w:val="203"/>
        </w:trPr>
        <w:tc>
          <w:tcPr>
            <w:tcW w:w="4159" w:type="dxa"/>
            <w:tcBorders>
              <w:top w:val="nil"/>
              <w:left w:val="nil"/>
              <w:bottom w:val="nil"/>
              <w:right w:val="nil"/>
            </w:tcBorders>
            <w:shd w:val="clear" w:color="auto" w:fill="auto"/>
            <w:vAlign w:val="center"/>
          </w:tcPr>
          <w:p w14:paraId="4E467F34"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018ABB85"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424897B0"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1" w:type="dxa"/>
            <w:tcBorders>
              <w:top w:val="nil"/>
              <w:left w:val="nil"/>
              <w:bottom w:val="nil"/>
              <w:right w:val="nil"/>
            </w:tcBorders>
            <w:shd w:val="clear" w:color="auto" w:fill="auto"/>
            <w:vAlign w:val="center"/>
          </w:tcPr>
          <w:p w14:paraId="75F00185"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8" w:type="dxa"/>
            <w:tcBorders>
              <w:top w:val="nil"/>
              <w:left w:val="nil"/>
              <w:bottom w:val="nil"/>
              <w:right w:val="nil"/>
            </w:tcBorders>
            <w:shd w:val="clear" w:color="auto" w:fill="auto"/>
            <w:vAlign w:val="center"/>
          </w:tcPr>
          <w:p w14:paraId="137734AB"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00" w:type="dxa"/>
            <w:tcBorders>
              <w:top w:val="nil"/>
              <w:left w:val="nil"/>
              <w:bottom w:val="nil"/>
              <w:right w:val="nil"/>
            </w:tcBorders>
            <w:shd w:val="clear" w:color="auto" w:fill="auto"/>
            <w:vAlign w:val="center"/>
          </w:tcPr>
          <w:p w14:paraId="5F2C4695"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7B875B36" w14:textId="77777777" w:rsidTr="00E032FC">
        <w:trPr>
          <w:trHeight w:val="203"/>
        </w:trPr>
        <w:tc>
          <w:tcPr>
            <w:tcW w:w="4159" w:type="dxa"/>
            <w:tcBorders>
              <w:top w:val="nil"/>
              <w:left w:val="nil"/>
              <w:bottom w:val="nil"/>
              <w:right w:val="nil"/>
            </w:tcBorders>
            <w:shd w:val="clear" w:color="auto" w:fill="auto"/>
            <w:vAlign w:val="center"/>
            <w:hideMark/>
          </w:tcPr>
          <w:p w14:paraId="53C1E322"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Stanje 1. siječnja 2021. </w:t>
            </w:r>
          </w:p>
        </w:tc>
        <w:tc>
          <w:tcPr>
            <w:tcW w:w="1031" w:type="dxa"/>
            <w:shd w:val="clear" w:color="auto" w:fill="auto"/>
          </w:tcPr>
          <w:p w14:paraId="5033822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171 </w:t>
            </w:r>
          </w:p>
        </w:tc>
        <w:tc>
          <w:tcPr>
            <w:tcW w:w="1031" w:type="dxa"/>
            <w:shd w:val="clear" w:color="auto" w:fill="auto"/>
          </w:tcPr>
          <w:p w14:paraId="6314836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 </w:t>
            </w:r>
          </w:p>
        </w:tc>
        <w:tc>
          <w:tcPr>
            <w:tcW w:w="1031" w:type="dxa"/>
            <w:shd w:val="clear" w:color="auto" w:fill="auto"/>
          </w:tcPr>
          <w:p w14:paraId="25020EF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34.359 </w:t>
            </w:r>
          </w:p>
        </w:tc>
        <w:tc>
          <w:tcPr>
            <w:tcW w:w="1028" w:type="dxa"/>
            <w:shd w:val="clear" w:color="auto" w:fill="auto"/>
          </w:tcPr>
          <w:p w14:paraId="5B03E51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5 </w:t>
            </w:r>
          </w:p>
        </w:tc>
        <w:tc>
          <w:tcPr>
            <w:tcW w:w="1100" w:type="dxa"/>
            <w:shd w:val="clear" w:color="auto" w:fill="auto"/>
          </w:tcPr>
          <w:p w14:paraId="3F780C9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34.536 </w:t>
            </w:r>
          </w:p>
        </w:tc>
      </w:tr>
      <w:tr w:rsidR="004E2F51" w:rsidRPr="001B015B" w14:paraId="0C7F7671" w14:textId="77777777" w:rsidTr="00E032FC">
        <w:trPr>
          <w:trHeight w:val="203"/>
        </w:trPr>
        <w:tc>
          <w:tcPr>
            <w:tcW w:w="4159" w:type="dxa"/>
            <w:shd w:val="clear" w:color="auto" w:fill="auto"/>
          </w:tcPr>
          <w:p w14:paraId="12C31178"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31" w:type="dxa"/>
            <w:shd w:val="clear" w:color="auto" w:fill="auto"/>
          </w:tcPr>
          <w:p w14:paraId="6081DCF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10 </w:t>
            </w:r>
          </w:p>
        </w:tc>
        <w:tc>
          <w:tcPr>
            <w:tcW w:w="1031" w:type="dxa"/>
            <w:shd w:val="clear" w:color="auto" w:fill="auto"/>
          </w:tcPr>
          <w:p w14:paraId="7106EEA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w:t>
            </w:r>
          </w:p>
        </w:tc>
        <w:tc>
          <w:tcPr>
            <w:tcW w:w="1031" w:type="dxa"/>
            <w:shd w:val="clear" w:color="auto" w:fill="auto"/>
          </w:tcPr>
          <w:p w14:paraId="31FE97B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(8)</w:t>
            </w:r>
          </w:p>
        </w:tc>
        <w:tc>
          <w:tcPr>
            <w:tcW w:w="1028" w:type="dxa"/>
            <w:shd w:val="clear" w:color="auto" w:fill="auto"/>
          </w:tcPr>
          <w:p w14:paraId="0F0E5A7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00" w:type="dxa"/>
            <w:shd w:val="clear" w:color="auto" w:fill="auto"/>
          </w:tcPr>
          <w:p w14:paraId="34B12FB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r>
      <w:tr w:rsidR="004E2F51" w:rsidRPr="001B015B" w14:paraId="719E73F9" w14:textId="77777777" w:rsidTr="00E032FC">
        <w:trPr>
          <w:trHeight w:val="203"/>
        </w:trPr>
        <w:tc>
          <w:tcPr>
            <w:tcW w:w="4159" w:type="dxa"/>
            <w:shd w:val="clear" w:color="auto" w:fill="auto"/>
          </w:tcPr>
          <w:p w14:paraId="10EF7810"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31" w:type="dxa"/>
            <w:shd w:val="clear" w:color="auto" w:fill="auto"/>
          </w:tcPr>
          <w:p w14:paraId="4DDDBB5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(4)</w:t>
            </w:r>
          </w:p>
        </w:tc>
        <w:tc>
          <w:tcPr>
            <w:tcW w:w="1031" w:type="dxa"/>
            <w:shd w:val="clear" w:color="auto" w:fill="auto"/>
          </w:tcPr>
          <w:p w14:paraId="4E68643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4 </w:t>
            </w:r>
          </w:p>
        </w:tc>
        <w:tc>
          <w:tcPr>
            <w:tcW w:w="1031" w:type="dxa"/>
            <w:shd w:val="clear" w:color="auto" w:fill="auto"/>
          </w:tcPr>
          <w:p w14:paraId="15D9CF5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28" w:type="dxa"/>
            <w:shd w:val="clear" w:color="auto" w:fill="auto"/>
          </w:tcPr>
          <w:p w14:paraId="5FF37D3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00" w:type="dxa"/>
            <w:shd w:val="clear" w:color="auto" w:fill="auto"/>
          </w:tcPr>
          <w:p w14:paraId="1B178D8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r>
      <w:tr w:rsidR="004E2F51" w:rsidRPr="001B015B" w14:paraId="00357584" w14:textId="77777777" w:rsidTr="00E032FC">
        <w:trPr>
          <w:trHeight w:val="203"/>
        </w:trPr>
        <w:tc>
          <w:tcPr>
            <w:tcW w:w="4159" w:type="dxa"/>
            <w:shd w:val="clear" w:color="auto" w:fill="auto"/>
            <w:hideMark/>
          </w:tcPr>
          <w:p w14:paraId="66D40D2B"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31" w:type="dxa"/>
            <w:shd w:val="clear" w:color="auto" w:fill="auto"/>
          </w:tcPr>
          <w:p w14:paraId="700A123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31" w:type="dxa"/>
            <w:shd w:val="clear" w:color="auto" w:fill="auto"/>
          </w:tcPr>
          <w:p w14:paraId="4D6ADCB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w:t>
            </w:r>
          </w:p>
        </w:tc>
        <w:tc>
          <w:tcPr>
            <w:tcW w:w="1031" w:type="dxa"/>
            <w:shd w:val="clear" w:color="auto" w:fill="auto"/>
          </w:tcPr>
          <w:p w14:paraId="17A3478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 </w:t>
            </w:r>
          </w:p>
        </w:tc>
        <w:tc>
          <w:tcPr>
            <w:tcW w:w="1028" w:type="dxa"/>
            <w:shd w:val="clear" w:color="auto" w:fill="auto"/>
          </w:tcPr>
          <w:p w14:paraId="6DFCE6F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00" w:type="dxa"/>
            <w:shd w:val="clear" w:color="auto" w:fill="auto"/>
          </w:tcPr>
          <w:p w14:paraId="1A350CB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r>
      <w:tr w:rsidR="004E2F51" w:rsidRPr="001B015B" w14:paraId="587162F6" w14:textId="77777777" w:rsidTr="00E032FC">
        <w:trPr>
          <w:trHeight w:val="254"/>
        </w:trPr>
        <w:tc>
          <w:tcPr>
            <w:tcW w:w="4159" w:type="dxa"/>
            <w:tcBorders>
              <w:top w:val="nil"/>
              <w:left w:val="nil"/>
              <w:bottom w:val="nil"/>
              <w:right w:val="nil"/>
            </w:tcBorders>
            <w:shd w:val="clear" w:color="auto" w:fill="auto"/>
            <w:vAlign w:val="center"/>
            <w:hideMark/>
          </w:tcPr>
          <w:p w14:paraId="1DEA02CD"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(smanjenje)/povećanje rezerviranja za očekivane gubitke </w:t>
            </w:r>
          </w:p>
        </w:tc>
        <w:tc>
          <w:tcPr>
            <w:tcW w:w="1031" w:type="dxa"/>
            <w:shd w:val="clear" w:color="auto" w:fill="auto"/>
          </w:tcPr>
          <w:p w14:paraId="357A2EA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w:t>
            </w:r>
          </w:p>
        </w:tc>
        <w:tc>
          <w:tcPr>
            <w:tcW w:w="1031" w:type="dxa"/>
            <w:shd w:val="clear" w:color="auto" w:fill="auto"/>
          </w:tcPr>
          <w:p w14:paraId="2B5C2C56"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 </w:t>
            </w:r>
          </w:p>
        </w:tc>
        <w:tc>
          <w:tcPr>
            <w:tcW w:w="1031" w:type="dxa"/>
            <w:shd w:val="clear" w:color="auto" w:fill="auto"/>
          </w:tcPr>
          <w:p w14:paraId="0A1DA22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(2.786)</w:t>
            </w:r>
          </w:p>
        </w:tc>
        <w:tc>
          <w:tcPr>
            <w:tcW w:w="1028" w:type="dxa"/>
            <w:shd w:val="clear" w:color="auto" w:fill="auto"/>
          </w:tcPr>
          <w:p w14:paraId="2DE293E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245 </w:t>
            </w:r>
          </w:p>
        </w:tc>
        <w:tc>
          <w:tcPr>
            <w:tcW w:w="1100" w:type="dxa"/>
            <w:shd w:val="clear" w:color="auto" w:fill="auto"/>
          </w:tcPr>
          <w:p w14:paraId="684FCCD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(2.542)</w:t>
            </w:r>
          </w:p>
        </w:tc>
      </w:tr>
      <w:tr w:rsidR="004E2F51" w:rsidRPr="001B015B" w14:paraId="459ABF92" w14:textId="77777777" w:rsidTr="00E032FC">
        <w:trPr>
          <w:trHeight w:val="70"/>
        </w:trPr>
        <w:tc>
          <w:tcPr>
            <w:tcW w:w="4159" w:type="dxa"/>
            <w:tcBorders>
              <w:top w:val="nil"/>
              <w:left w:val="nil"/>
              <w:bottom w:val="nil"/>
              <w:right w:val="nil"/>
            </w:tcBorders>
            <w:shd w:val="clear" w:color="auto" w:fill="auto"/>
            <w:vAlign w:val="center"/>
          </w:tcPr>
          <w:p w14:paraId="10EE6CEF"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031" w:type="dxa"/>
            <w:shd w:val="clear" w:color="auto" w:fill="auto"/>
          </w:tcPr>
          <w:p w14:paraId="25D5C014" w14:textId="77777777" w:rsidR="004E2F51" w:rsidRPr="001B015B" w:rsidRDefault="004E2F51" w:rsidP="00E032FC">
            <w:pPr>
              <w:jc w:val="right"/>
              <w:rPr>
                <w:rFonts w:ascii="Arial" w:hAnsi="Arial" w:cs="Arial"/>
                <w:sz w:val="18"/>
                <w:szCs w:val="18"/>
              </w:rPr>
            </w:pPr>
            <w:r w:rsidRPr="001B015B">
              <w:rPr>
                <w:rFonts w:ascii="Arial" w:hAnsi="Arial" w:cs="Arial"/>
                <w:sz w:val="18"/>
                <w:szCs w:val="18"/>
              </w:rPr>
              <w:t>(12)</w:t>
            </w:r>
          </w:p>
        </w:tc>
        <w:tc>
          <w:tcPr>
            <w:tcW w:w="1031" w:type="dxa"/>
            <w:shd w:val="clear" w:color="auto" w:fill="auto"/>
          </w:tcPr>
          <w:p w14:paraId="14367C09" w14:textId="77777777" w:rsidR="004E2F51" w:rsidRPr="001B015B" w:rsidRDefault="004E2F51" w:rsidP="00E032FC">
            <w:pPr>
              <w:jc w:val="right"/>
              <w:rPr>
                <w:rFonts w:ascii="Arial" w:hAnsi="Arial" w:cs="Arial"/>
                <w:sz w:val="18"/>
                <w:szCs w:val="18"/>
              </w:rPr>
            </w:pPr>
            <w:r w:rsidRPr="001B015B">
              <w:rPr>
                <w:rFonts w:ascii="Arial" w:hAnsi="Arial" w:cs="Arial"/>
                <w:sz w:val="18"/>
                <w:szCs w:val="18"/>
              </w:rPr>
              <w:t xml:space="preserve"> - </w:t>
            </w:r>
          </w:p>
        </w:tc>
        <w:tc>
          <w:tcPr>
            <w:tcW w:w="1031" w:type="dxa"/>
            <w:shd w:val="clear" w:color="auto" w:fill="auto"/>
          </w:tcPr>
          <w:p w14:paraId="094124AA" w14:textId="77777777" w:rsidR="004E2F51" w:rsidRPr="001B015B" w:rsidRDefault="004E2F51" w:rsidP="00E032FC">
            <w:pPr>
              <w:jc w:val="right"/>
              <w:rPr>
                <w:rFonts w:ascii="Arial" w:hAnsi="Arial" w:cs="Arial"/>
                <w:sz w:val="18"/>
                <w:szCs w:val="18"/>
              </w:rPr>
            </w:pPr>
            <w:r w:rsidRPr="001B015B">
              <w:rPr>
                <w:rFonts w:ascii="Arial" w:hAnsi="Arial" w:cs="Arial"/>
                <w:sz w:val="18"/>
                <w:szCs w:val="18"/>
              </w:rPr>
              <w:t xml:space="preserve"> (151)</w:t>
            </w:r>
          </w:p>
        </w:tc>
        <w:tc>
          <w:tcPr>
            <w:tcW w:w="1028" w:type="dxa"/>
            <w:shd w:val="clear" w:color="auto" w:fill="auto"/>
          </w:tcPr>
          <w:p w14:paraId="2328347F" w14:textId="77777777" w:rsidR="004E2F51" w:rsidRPr="001B015B" w:rsidRDefault="004E2F51" w:rsidP="00E032FC">
            <w:pPr>
              <w:jc w:val="right"/>
              <w:rPr>
                <w:rFonts w:ascii="Arial" w:hAnsi="Arial" w:cs="Arial"/>
                <w:sz w:val="18"/>
                <w:szCs w:val="18"/>
              </w:rPr>
            </w:pPr>
            <w:r w:rsidRPr="001B015B">
              <w:rPr>
                <w:rFonts w:ascii="Arial" w:hAnsi="Arial" w:cs="Arial"/>
                <w:sz w:val="18"/>
                <w:szCs w:val="18"/>
              </w:rPr>
              <w:t xml:space="preserve"> - </w:t>
            </w:r>
          </w:p>
        </w:tc>
        <w:tc>
          <w:tcPr>
            <w:tcW w:w="1100" w:type="dxa"/>
            <w:shd w:val="clear" w:color="auto" w:fill="auto"/>
          </w:tcPr>
          <w:p w14:paraId="5872C274" w14:textId="77777777" w:rsidR="004E2F51" w:rsidRPr="001B015B" w:rsidRDefault="004E2F51" w:rsidP="00E032FC">
            <w:pPr>
              <w:jc w:val="right"/>
              <w:rPr>
                <w:rFonts w:ascii="Arial" w:hAnsi="Arial" w:cs="Arial"/>
                <w:sz w:val="18"/>
                <w:szCs w:val="18"/>
              </w:rPr>
            </w:pPr>
            <w:r w:rsidRPr="001B015B">
              <w:rPr>
                <w:rFonts w:ascii="Arial" w:hAnsi="Arial" w:cs="Arial"/>
                <w:sz w:val="18"/>
                <w:szCs w:val="18"/>
              </w:rPr>
              <w:t xml:space="preserve"> (163)</w:t>
            </w:r>
          </w:p>
        </w:tc>
      </w:tr>
      <w:tr w:rsidR="004E2F51" w:rsidRPr="001B015B" w14:paraId="7466700A" w14:textId="77777777" w:rsidTr="00E032FC">
        <w:trPr>
          <w:trHeight w:val="213"/>
        </w:trPr>
        <w:tc>
          <w:tcPr>
            <w:tcW w:w="4159" w:type="dxa"/>
            <w:tcBorders>
              <w:top w:val="nil"/>
              <w:left w:val="nil"/>
              <w:bottom w:val="nil"/>
              <w:right w:val="nil"/>
            </w:tcBorders>
            <w:shd w:val="clear" w:color="auto" w:fill="auto"/>
            <w:vAlign w:val="center"/>
            <w:hideMark/>
          </w:tcPr>
          <w:p w14:paraId="5CB41F4D"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31" w:type="dxa"/>
            <w:tcBorders>
              <w:top w:val="nil"/>
              <w:left w:val="nil"/>
              <w:right w:val="nil"/>
            </w:tcBorders>
            <w:shd w:val="clear" w:color="auto" w:fill="auto"/>
            <w:vAlign w:val="bottom"/>
          </w:tcPr>
          <w:p w14:paraId="0521AFF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31" w:type="dxa"/>
            <w:tcBorders>
              <w:top w:val="nil"/>
              <w:left w:val="nil"/>
              <w:right w:val="nil"/>
            </w:tcBorders>
            <w:shd w:val="clear" w:color="auto" w:fill="auto"/>
            <w:vAlign w:val="bottom"/>
          </w:tcPr>
          <w:p w14:paraId="7867FB7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31" w:type="dxa"/>
            <w:tcBorders>
              <w:top w:val="nil"/>
              <w:left w:val="nil"/>
              <w:right w:val="nil"/>
            </w:tcBorders>
            <w:shd w:val="clear" w:color="auto" w:fill="auto"/>
            <w:vAlign w:val="bottom"/>
          </w:tcPr>
          <w:p w14:paraId="48268CD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 </w:t>
            </w:r>
          </w:p>
        </w:tc>
        <w:tc>
          <w:tcPr>
            <w:tcW w:w="1028" w:type="dxa"/>
            <w:tcBorders>
              <w:top w:val="nil"/>
              <w:left w:val="nil"/>
              <w:right w:val="nil"/>
            </w:tcBorders>
            <w:shd w:val="clear" w:color="auto" w:fill="auto"/>
            <w:vAlign w:val="bottom"/>
          </w:tcPr>
          <w:p w14:paraId="09F6367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00" w:type="dxa"/>
            <w:tcBorders>
              <w:top w:val="nil"/>
              <w:left w:val="nil"/>
              <w:right w:val="nil"/>
            </w:tcBorders>
            <w:shd w:val="clear" w:color="auto" w:fill="auto"/>
            <w:vAlign w:val="bottom"/>
          </w:tcPr>
          <w:p w14:paraId="4594B166"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 </w:t>
            </w:r>
          </w:p>
        </w:tc>
      </w:tr>
      <w:tr w:rsidR="004E2F51" w:rsidRPr="001B015B" w14:paraId="387E600A" w14:textId="77777777" w:rsidTr="00E032FC">
        <w:trPr>
          <w:trHeight w:val="213"/>
        </w:trPr>
        <w:tc>
          <w:tcPr>
            <w:tcW w:w="4159" w:type="dxa"/>
            <w:tcBorders>
              <w:top w:val="nil"/>
              <w:left w:val="nil"/>
              <w:bottom w:val="nil"/>
              <w:right w:val="nil"/>
            </w:tcBorders>
            <w:shd w:val="clear" w:color="auto" w:fill="auto"/>
            <w:vAlign w:val="center"/>
          </w:tcPr>
          <w:p w14:paraId="18E5359B"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Ostala usklađenja</w:t>
            </w:r>
          </w:p>
        </w:tc>
        <w:tc>
          <w:tcPr>
            <w:tcW w:w="1031" w:type="dxa"/>
            <w:tcBorders>
              <w:top w:val="nil"/>
              <w:left w:val="nil"/>
              <w:bottom w:val="single" w:sz="8" w:space="0" w:color="auto"/>
              <w:right w:val="nil"/>
            </w:tcBorders>
            <w:shd w:val="clear" w:color="auto" w:fill="auto"/>
          </w:tcPr>
          <w:p w14:paraId="2C464C7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17 </w:t>
            </w:r>
          </w:p>
        </w:tc>
        <w:tc>
          <w:tcPr>
            <w:tcW w:w="1031" w:type="dxa"/>
            <w:tcBorders>
              <w:top w:val="nil"/>
              <w:left w:val="nil"/>
              <w:bottom w:val="single" w:sz="8" w:space="0" w:color="auto"/>
              <w:right w:val="nil"/>
            </w:tcBorders>
            <w:shd w:val="clear" w:color="auto" w:fill="auto"/>
          </w:tcPr>
          <w:p w14:paraId="1FEFF37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31" w:type="dxa"/>
            <w:tcBorders>
              <w:top w:val="nil"/>
              <w:left w:val="nil"/>
              <w:bottom w:val="single" w:sz="8" w:space="0" w:color="auto"/>
              <w:right w:val="nil"/>
            </w:tcBorders>
            <w:shd w:val="clear" w:color="auto" w:fill="auto"/>
          </w:tcPr>
          <w:p w14:paraId="535C7A6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28" w:type="dxa"/>
            <w:tcBorders>
              <w:top w:val="nil"/>
              <w:left w:val="nil"/>
              <w:bottom w:val="single" w:sz="8" w:space="0" w:color="auto"/>
              <w:right w:val="nil"/>
            </w:tcBorders>
            <w:shd w:val="clear" w:color="auto" w:fill="auto"/>
          </w:tcPr>
          <w:p w14:paraId="1DD03DD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00" w:type="dxa"/>
            <w:tcBorders>
              <w:top w:val="nil"/>
              <w:left w:val="nil"/>
              <w:bottom w:val="single" w:sz="8" w:space="0" w:color="auto"/>
              <w:right w:val="nil"/>
            </w:tcBorders>
            <w:shd w:val="clear" w:color="auto" w:fill="auto"/>
          </w:tcPr>
          <w:p w14:paraId="58E085E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17 </w:t>
            </w:r>
          </w:p>
        </w:tc>
      </w:tr>
      <w:tr w:rsidR="004E2F51" w:rsidRPr="001B015B" w14:paraId="3CD64F11" w14:textId="77777777" w:rsidTr="00E032FC">
        <w:trPr>
          <w:trHeight w:val="213"/>
        </w:trPr>
        <w:tc>
          <w:tcPr>
            <w:tcW w:w="4159" w:type="dxa"/>
            <w:tcBorders>
              <w:top w:val="nil"/>
              <w:left w:val="nil"/>
              <w:bottom w:val="nil"/>
              <w:right w:val="nil"/>
            </w:tcBorders>
            <w:shd w:val="clear" w:color="auto" w:fill="auto"/>
            <w:vAlign w:val="bottom"/>
            <w:hideMark/>
          </w:tcPr>
          <w:p w14:paraId="6337270A"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2021.</w:t>
            </w:r>
          </w:p>
        </w:tc>
        <w:tc>
          <w:tcPr>
            <w:tcW w:w="1031" w:type="dxa"/>
            <w:tcBorders>
              <w:top w:val="nil"/>
              <w:left w:val="nil"/>
              <w:bottom w:val="single" w:sz="12" w:space="0" w:color="auto"/>
              <w:right w:val="nil"/>
            </w:tcBorders>
            <w:shd w:val="clear" w:color="auto" w:fill="auto"/>
            <w:vAlign w:val="bottom"/>
          </w:tcPr>
          <w:p w14:paraId="55E18871"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179</w:t>
            </w:r>
          </w:p>
        </w:tc>
        <w:tc>
          <w:tcPr>
            <w:tcW w:w="1031" w:type="dxa"/>
            <w:tcBorders>
              <w:top w:val="nil"/>
              <w:left w:val="nil"/>
              <w:bottom w:val="single" w:sz="12" w:space="0" w:color="auto"/>
              <w:right w:val="nil"/>
            </w:tcBorders>
            <w:shd w:val="clear" w:color="auto" w:fill="auto"/>
            <w:vAlign w:val="bottom"/>
          </w:tcPr>
          <w:p w14:paraId="483C40C6"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4 </w:t>
            </w:r>
          </w:p>
        </w:tc>
        <w:tc>
          <w:tcPr>
            <w:tcW w:w="1031" w:type="dxa"/>
            <w:tcBorders>
              <w:top w:val="nil"/>
              <w:left w:val="nil"/>
              <w:bottom w:val="single" w:sz="12" w:space="0" w:color="auto"/>
              <w:right w:val="nil"/>
            </w:tcBorders>
            <w:shd w:val="clear" w:color="auto" w:fill="auto"/>
            <w:vAlign w:val="bottom"/>
          </w:tcPr>
          <w:p w14:paraId="4A8DD115"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31.418 </w:t>
            </w:r>
          </w:p>
        </w:tc>
        <w:tc>
          <w:tcPr>
            <w:tcW w:w="1028" w:type="dxa"/>
            <w:tcBorders>
              <w:top w:val="nil"/>
              <w:left w:val="nil"/>
              <w:bottom w:val="single" w:sz="12" w:space="0" w:color="auto"/>
              <w:right w:val="nil"/>
            </w:tcBorders>
            <w:shd w:val="clear" w:color="auto" w:fill="auto"/>
            <w:vAlign w:val="bottom"/>
          </w:tcPr>
          <w:p w14:paraId="3D9AF4B6"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250 </w:t>
            </w:r>
          </w:p>
        </w:tc>
        <w:tc>
          <w:tcPr>
            <w:tcW w:w="1100" w:type="dxa"/>
            <w:tcBorders>
              <w:top w:val="nil"/>
              <w:left w:val="nil"/>
              <w:bottom w:val="single" w:sz="12" w:space="0" w:color="auto"/>
              <w:right w:val="nil"/>
            </w:tcBorders>
            <w:shd w:val="clear" w:color="auto" w:fill="auto"/>
            <w:vAlign w:val="bottom"/>
          </w:tcPr>
          <w:p w14:paraId="7CAABB09"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31.851 </w:t>
            </w:r>
          </w:p>
        </w:tc>
      </w:tr>
    </w:tbl>
    <w:p w14:paraId="04A41054" w14:textId="77777777" w:rsidR="004E2F51" w:rsidRPr="001B015B" w:rsidRDefault="004E2F51" w:rsidP="004E2F51">
      <w:pPr>
        <w:rPr>
          <w:rFonts w:ascii="Arial" w:eastAsia="Calibri" w:hAnsi="Arial" w:cs="Arial"/>
          <w:color w:val="000000" w:themeColor="text1"/>
          <w:sz w:val="20"/>
          <w:szCs w:val="20"/>
          <w:lang w:val="hr-HR"/>
        </w:rPr>
      </w:pPr>
    </w:p>
    <w:p w14:paraId="25130F21" w14:textId="77777777" w:rsidR="004E2F51" w:rsidRPr="00B91D09" w:rsidRDefault="004E2F51" w:rsidP="004E2F51">
      <w:pPr>
        <w:spacing w:after="160" w:line="259" w:lineRule="auto"/>
        <w:rPr>
          <w:rFonts w:ascii="Arial" w:eastAsia="Calibri" w:hAnsi="Arial" w:cs="Arial"/>
          <w:color w:val="000000" w:themeColor="text1"/>
          <w:sz w:val="22"/>
          <w:szCs w:val="22"/>
          <w:lang w:val="hr-HR"/>
        </w:rPr>
        <w:sectPr w:rsidR="004E2F51" w:rsidRPr="00B91D09" w:rsidSect="00623DBA">
          <w:footerReference w:type="default" r:id="rId200"/>
          <w:pgSz w:w="11906" w:h="16838"/>
          <w:pgMar w:top="1418" w:right="1134" w:bottom="1134" w:left="1418" w:header="708" w:footer="708" w:gutter="0"/>
          <w:cols w:space="708"/>
          <w:docGrid w:linePitch="360"/>
        </w:sectPr>
      </w:pPr>
    </w:p>
    <w:p w14:paraId="673829B2" w14:textId="77777777" w:rsidR="004E2F51" w:rsidRPr="001B015B" w:rsidRDefault="004E2F51" w:rsidP="004E2F51">
      <w:pPr>
        <w:keepNext/>
        <w:jc w:val="both"/>
        <w:rPr>
          <w:rFonts w:ascii="Arial" w:hAnsi="Arial" w:cs="Arial"/>
          <w:b/>
          <w:bCs/>
          <w:color w:val="000000" w:themeColor="text1"/>
          <w:sz w:val="20"/>
          <w:szCs w:val="20"/>
          <w:lang w:val="hr-HR"/>
        </w:rPr>
      </w:pPr>
    </w:p>
    <w:p w14:paraId="70A48128"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w:t>
      </w:r>
      <w:r w:rsidRPr="001B015B">
        <w:rPr>
          <w:rFonts w:ascii="Arial" w:hAnsi="Arial" w:cs="Arial"/>
          <w:b/>
          <w:bCs/>
          <w:color w:val="000000" w:themeColor="text1"/>
          <w:sz w:val="20"/>
          <w:szCs w:val="20"/>
          <w:lang w:val="hr-HR"/>
        </w:rPr>
        <w:tab/>
        <w:t>Upravljanje rizicima (nastavak)</w:t>
      </w:r>
    </w:p>
    <w:p w14:paraId="71FBC028" w14:textId="77777777" w:rsidR="004E2F51" w:rsidRPr="001B015B" w:rsidRDefault="004E2F51" w:rsidP="004E2F51">
      <w:pPr>
        <w:keepNext/>
        <w:jc w:val="both"/>
        <w:rPr>
          <w:rFonts w:ascii="Arial" w:hAnsi="Arial" w:cs="Arial"/>
          <w:b/>
          <w:bCs/>
          <w:color w:val="000000" w:themeColor="text1"/>
          <w:sz w:val="20"/>
          <w:szCs w:val="20"/>
          <w:lang w:val="hr-HR"/>
        </w:rPr>
      </w:pPr>
    </w:p>
    <w:p w14:paraId="6207BCA2"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 xml:space="preserve">.3. </w:t>
      </w:r>
      <w:r w:rsidRPr="001B015B">
        <w:rPr>
          <w:rFonts w:ascii="Arial" w:hAnsi="Arial" w:cs="Arial"/>
          <w:b/>
          <w:bCs/>
          <w:color w:val="000000" w:themeColor="text1"/>
          <w:sz w:val="20"/>
          <w:szCs w:val="20"/>
          <w:lang w:val="hr-HR"/>
        </w:rPr>
        <w:tab/>
        <w:t>Kreditni rizik (nastavak)</w:t>
      </w:r>
    </w:p>
    <w:p w14:paraId="5DDC87AA" w14:textId="77777777" w:rsidR="004E2F51" w:rsidRPr="001B015B" w:rsidRDefault="004E2F51" w:rsidP="004E2F51">
      <w:pPr>
        <w:keepNext/>
        <w:jc w:val="both"/>
        <w:rPr>
          <w:rFonts w:ascii="Arial" w:hAnsi="Arial" w:cs="Arial"/>
          <w:b/>
          <w:bCs/>
          <w:color w:val="000000" w:themeColor="text1"/>
          <w:sz w:val="20"/>
          <w:szCs w:val="20"/>
          <w:lang w:val="hr-HR"/>
        </w:rPr>
      </w:pPr>
    </w:p>
    <w:p w14:paraId="704D656A" w14:textId="77777777" w:rsidR="004E2F51" w:rsidRPr="001B015B" w:rsidRDefault="004E2F51" w:rsidP="004E2F51">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6438797C" w14:textId="77777777" w:rsidR="004E2F51" w:rsidRPr="001B015B" w:rsidRDefault="004E2F51" w:rsidP="004E2F51">
      <w:pPr>
        <w:keepNext/>
        <w:tabs>
          <w:tab w:val="left" w:pos="284"/>
        </w:tabs>
        <w:jc w:val="both"/>
        <w:rPr>
          <w:rFonts w:ascii="Arial" w:hAnsi="Arial" w:cs="Arial"/>
          <w:bCs/>
          <w:i/>
          <w:color w:val="000000" w:themeColor="text1"/>
          <w:sz w:val="20"/>
          <w:szCs w:val="20"/>
          <w:lang w:val="hr-HR"/>
        </w:rPr>
      </w:pPr>
    </w:p>
    <w:p w14:paraId="65996C20" w14:textId="77777777" w:rsidR="004E2F51" w:rsidRPr="001B015B" w:rsidRDefault="004E2F51" w:rsidP="004E2F51">
      <w:pPr>
        <w:jc w:val="both"/>
        <w:rPr>
          <w:rFonts w:ascii="Arial" w:eastAsia="Calibri" w:hAnsi="Arial" w:cs="Arial"/>
          <w:b/>
          <w:bCs/>
          <w:color w:val="000000" w:themeColor="text1"/>
          <w:sz w:val="20"/>
          <w:szCs w:val="20"/>
          <w:lang w:val="hr-HR"/>
        </w:rPr>
      </w:pPr>
      <w:r w:rsidRPr="001B015B">
        <w:rPr>
          <w:rFonts w:ascii="Arial" w:eastAsia="Calibri" w:hAnsi="Arial" w:cs="Arial"/>
          <w:b/>
          <w:bCs/>
          <w:color w:val="000000" w:themeColor="text1"/>
          <w:sz w:val="20"/>
          <w:szCs w:val="20"/>
          <w:lang w:val="hr-HR"/>
        </w:rPr>
        <w:t>Ostala imovina (nastavak)</w:t>
      </w:r>
    </w:p>
    <w:p w14:paraId="49D5FEE9" w14:textId="77777777" w:rsidR="004E2F51" w:rsidRPr="001B015B" w:rsidRDefault="004E2F51" w:rsidP="004E2F51">
      <w:pPr>
        <w:jc w:val="both"/>
        <w:rPr>
          <w:rFonts w:ascii="Arial" w:eastAsia="Calibri" w:hAnsi="Arial" w:cs="Arial"/>
          <w:color w:val="000000" w:themeColor="text1"/>
          <w:sz w:val="20"/>
          <w:szCs w:val="20"/>
          <w:lang w:val="hr-HR"/>
        </w:rPr>
      </w:pPr>
    </w:p>
    <w:tbl>
      <w:tblPr>
        <w:tblW w:w="9394" w:type="dxa"/>
        <w:tblInd w:w="-180" w:type="dxa"/>
        <w:tblLayout w:type="fixed"/>
        <w:tblLook w:val="04A0" w:firstRow="1" w:lastRow="0" w:firstColumn="1" w:lastColumn="0" w:noHBand="0" w:noVBand="1"/>
      </w:tblPr>
      <w:tblGrid>
        <w:gridCol w:w="4122"/>
        <w:gridCol w:w="1111"/>
        <w:gridCol w:w="1034"/>
        <w:gridCol w:w="1143"/>
        <w:gridCol w:w="992"/>
        <w:gridCol w:w="992"/>
      </w:tblGrid>
      <w:tr w:rsidR="004E2F51" w:rsidRPr="001B015B" w14:paraId="6E9FDBF2" w14:textId="77777777" w:rsidTr="00E032FC">
        <w:trPr>
          <w:trHeight w:val="248"/>
        </w:trPr>
        <w:tc>
          <w:tcPr>
            <w:tcW w:w="4122" w:type="dxa"/>
            <w:tcBorders>
              <w:top w:val="nil"/>
              <w:left w:val="nil"/>
              <w:bottom w:val="nil"/>
              <w:right w:val="nil"/>
            </w:tcBorders>
            <w:shd w:val="clear" w:color="auto" w:fill="auto"/>
            <w:vAlign w:val="center"/>
          </w:tcPr>
          <w:p w14:paraId="31A11114"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Banka</w:t>
            </w:r>
          </w:p>
        </w:tc>
        <w:tc>
          <w:tcPr>
            <w:tcW w:w="1111" w:type="dxa"/>
            <w:tcBorders>
              <w:top w:val="nil"/>
              <w:left w:val="nil"/>
              <w:bottom w:val="nil"/>
              <w:right w:val="nil"/>
            </w:tcBorders>
            <w:shd w:val="clear" w:color="auto" w:fill="auto"/>
            <w:vAlign w:val="center"/>
          </w:tcPr>
          <w:p w14:paraId="0B18FD57"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4" w:type="dxa"/>
            <w:tcBorders>
              <w:top w:val="nil"/>
              <w:left w:val="nil"/>
              <w:bottom w:val="nil"/>
              <w:right w:val="nil"/>
            </w:tcBorders>
            <w:shd w:val="clear" w:color="auto" w:fill="auto"/>
            <w:vAlign w:val="center"/>
          </w:tcPr>
          <w:p w14:paraId="58BBBA9C"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43" w:type="dxa"/>
            <w:tcBorders>
              <w:top w:val="nil"/>
              <w:left w:val="nil"/>
              <w:bottom w:val="nil"/>
              <w:right w:val="nil"/>
            </w:tcBorders>
            <w:shd w:val="clear" w:color="auto" w:fill="auto"/>
            <w:vAlign w:val="center"/>
          </w:tcPr>
          <w:p w14:paraId="34F2E1DE"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64CFCA67"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1294B992"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434B9C51" w14:textId="77777777" w:rsidTr="00E032FC">
        <w:trPr>
          <w:trHeight w:val="248"/>
        </w:trPr>
        <w:tc>
          <w:tcPr>
            <w:tcW w:w="4122" w:type="dxa"/>
            <w:tcBorders>
              <w:top w:val="nil"/>
              <w:left w:val="nil"/>
              <w:bottom w:val="nil"/>
              <w:right w:val="nil"/>
            </w:tcBorders>
            <w:shd w:val="clear" w:color="auto" w:fill="auto"/>
            <w:vAlign w:val="center"/>
            <w:hideMark/>
          </w:tcPr>
          <w:p w14:paraId="05C5BED1"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111" w:type="dxa"/>
            <w:tcBorders>
              <w:top w:val="nil"/>
              <w:left w:val="nil"/>
              <w:bottom w:val="nil"/>
              <w:right w:val="nil"/>
            </w:tcBorders>
            <w:shd w:val="clear" w:color="auto" w:fill="auto"/>
            <w:vAlign w:val="center"/>
            <w:hideMark/>
          </w:tcPr>
          <w:p w14:paraId="0E35FA9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4" w:type="dxa"/>
            <w:tcBorders>
              <w:top w:val="nil"/>
              <w:left w:val="nil"/>
              <w:bottom w:val="nil"/>
              <w:right w:val="nil"/>
            </w:tcBorders>
            <w:shd w:val="clear" w:color="auto" w:fill="auto"/>
            <w:vAlign w:val="center"/>
            <w:hideMark/>
          </w:tcPr>
          <w:p w14:paraId="47DC5D0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143" w:type="dxa"/>
            <w:tcBorders>
              <w:top w:val="nil"/>
              <w:left w:val="nil"/>
              <w:bottom w:val="nil"/>
              <w:right w:val="nil"/>
            </w:tcBorders>
            <w:shd w:val="clear" w:color="auto" w:fill="auto"/>
            <w:vAlign w:val="center"/>
            <w:hideMark/>
          </w:tcPr>
          <w:p w14:paraId="6BEAE43C"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2" w:type="dxa"/>
            <w:tcBorders>
              <w:top w:val="nil"/>
              <w:left w:val="nil"/>
              <w:bottom w:val="nil"/>
              <w:right w:val="nil"/>
            </w:tcBorders>
            <w:shd w:val="clear" w:color="auto" w:fill="auto"/>
            <w:vAlign w:val="center"/>
            <w:hideMark/>
          </w:tcPr>
          <w:p w14:paraId="2D42BF3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992" w:type="dxa"/>
            <w:tcBorders>
              <w:top w:val="nil"/>
              <w:left w:val="nil"/>
              <w:bottom w:val="nil"/>
              <w:right w:val="nil"/>
            </w:tcBorders>
            <w:shd w:val="clear" w:color="auto" w:fill="auto"/>
            <w:vAlign w:val="center"/>
            <w:hideMark/>
          </w:tcPr>
          <w:p w14:paraId="74AD9C21"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4816E3A8" w14:textId="77777777" w:rsidTr="00E032FC">
        <w:trPr>
          <w:trHeight w:val="248"/>
        </w:trPr>
        <w:tc>
          <w:tcPr>
            <w:tcW w:w="4122" w:type="dxa"/>
            <w:tcBorders>
              <w:top w:val="nil"/>
              <w:left w:val="nil"/>
              <w:bottom w:val="nil"/>
              <w:right w:val="nil"/>
            </w:tcBorders>
            <w:shd w:val="clear" w:color="auto" w:fill="auto"/>
            <w:vAlign w:val="center"/>
            <w:hideMark/>
          </w:tcPr>
          <w:p w14:paraId="46B8B2DB"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11" w:type="dxa"/>
            <w:tcBorders>
              <w:top w:val="nil"/>
              <w:left w:val="nil"/>
              <w:bottom w:val="nil"/>
              <w:right w:val="nil"/>
            </w:tcBorders>
            <w:shd w:val="clear" w:color="auto" w:fill="auto"/>
            <w:vAlign w:val="center"/>
            <w:hideMark/>
          </w:tcPr>
          <w:p w14:paraId="36B256D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34" w:type="dxa"/>
            <w:tcBorders>
              <w:top w:val="nil"/>
              <w:left w:val="nil"/>
              <w:bottom w:val="nil"/>
              <w:right w:val="nil"/>
            </w:tcBorders>
            <w:shd w:val="clear" w:color="auto" w:fill="auto"/>
            <w:vAlign w:val="center"/>
            <w:hideMark/>
          </w:tcPr>
          <w:p w14:paraId="72B99944"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143" w:type="dxa"/>
            <w:tcBorders>
              <w:top w:val="nil"/>
              <w:left w:val="nil"/>
              <w:bottom w:val="nil"/>
              <w:right w:val="nil"/>
            </w:tcBorders>
            <w:shd w:val="clear" w:color="auto" w:fill="auto"/>
            <w:vAlign w:val="center"/>
            <w:hideMark/>
          </w:tcPr>
          <w:p w14:paraId="5539C3E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992" w:type="dxa"/>
            <w:tcBorders>
              <w:top w:val="nil"/>
              <w:left w:val="nil"/>
              <w:bottom w:val="nil"/>
              <w:right w:val="nil"/>
            </w:tcBorders>
            <w:shd w:val="clear" w:color="auto" w:fill="auto"/>
            <w:vAlign w:val="center"/>
            <w:hideMark/>
          </w:tcPr>
          <w:p w14:paraId="241C8A7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992" w:type="dxa"/>
            <w:tcBorders>
              <w:top w:val="nil"/>
              <w:left w:val="nil"/>
              <w:bottom w:val="nil"/>
              <w:right w:val="nil"/>
            </w:tcBorders>
            <w:shd w:val="clear" w:color="auto" w:fill="auto"/>
            <w:vAlign w:val="center"/>
            <w:hideMark/>
          </w:tcPr>
          <w:p w14:paraId="75F80CFB"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5DE75C2F" w14:textId="77777777" w:rsidTr="00E032FC">
        <w:trPr>
          <w:trHeight w:val="248"/>
        </w:trPr>
        <w:tc>
          <w:tcPr>
            <w:tcW w:w="4122" w:type="dxa"/>
            <w:tcBorders>
              <w:top w:val="nil"/>
              <w:left w:val="nil"/>
              <w:bottom w:val="nil"/>
              <w:right w:val="nil"/>
            </w:tcBorders>
            <w:shd w:val="clear" w:color="auto" w:fill="auto"/>
            <w:vAlign w:val="center"/>
          </w:tcPr>
          <w:p w14:paraId="31288238"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11" w:type="dxa"/>
            <w:tcBorders>
              <w:top w:val="nil"/>
              <w:left w:val="nil"/>
              <w:bottom w:val="nil"/>
              <w:right w:val="nil"/>
            </w:tcBorders>
            <w:shd w:val="clear" w:color="auto" w:fill="auto"/>
            <w:vAlign w:val="center"/>
          </w:tcPr>
          <w:p w14:paraId="7A185E2E"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4" w:type="dxa"/>
            <w:tcBorders>
              <w:top w:val="nil"/>
              <w:left w:val="nil"/>
              <w:bottom w:val="nil"/>
              <w:right w:val="nil"/>
            </w:tcBorders>
            <w:shd w:val="clear" w:color="auto" w:fill="auto"/>
            <w:vAlign w:val="center"/>
          </w:tcPr>
          <w:p w14:paraId="13E201A0"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43" w:type="dxa"/>
            <w:tcBorders>
              <w:top w:val="nil"/>
              <w:left w:val="nil"/>
              <w:bottom w:val="nil"/>
              <w:right w:val="nil"/>
            </w:tcBorders>
            <w:shd w:val="clear" w:color="auto" w:fill="auto"/>
            <w:vAlign w:val="center"/>
          </w:tcPr>
          <w:p w14:paraId="606514CA"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20DB7608"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1E4BD2EC"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03DC1AD7" w14:textId="77777777" w:rsidTr="00E032FC">
        <w:trPr>
          <w:trHeight w:val="248"/>
        </w:trPr>
        <w:tc>
          <w:tcPr>
            <w:tcW w:w="4122" w:type="dxa"/>
            <w:tcBorders>
              <w:top w:val="nil"/>
              <w:left w:val="nil"/>
              <w:bottom w:val="nil"/>
              <w:right w:val="nil"/>
            </w:tcBorders>
            <w:shd w:val="clear" w:color="auto" w:fill="auto"/>
            <w:vAlign w:val="center"/>
            <w:hideMark/>
          </w:tcPr>
          <w:p w14:paraId="0FC8569C"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2</w:t>
            </w:r>
            <w:r w:rsidRPr="001B015B">
              <w:rPr>
                <w:rFonts w:ascii="Arial" w:eastAsia="Calibri" w:hAnsi="Arial" w:cs="Arial"/>
                <w:color w:val="000000" w:themeColor="text1"/>
                <w:sz w:val="18"/>
                <w:szCs w:val="18"/>
                <w:lang w:val="hr-HR"/>
              </w:rPr>
              <w:t xml:space="preserve">. </w:t>
            </w:r>
          </w:p>
        </w:tc>
        <w:tc>
          <w:tcPr>
            <w:tcW w:w="1111" w:type="dxa"/>
            <w:tcBorders>
              <w:top w:val="nil"/>
              <w:left w:val="nil"/>
              <w:bottom w:val="nil"/>
              <w:right w:val="nil"/>
            </w:tcBorders>
            <w:shd w:val="clear" w:color="auto" w:fill="auto"/>
            <w:vAlign w:val="bottom"/>
          </w:tcPr>
          <w:p w14:paraId="13AF68DB"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25 </w:t>
            </w:r>
          </w:p>
        </w:tc>
        <w:tc>
          <w:tcPr>
            <w:tcW w:w="1034" w:type="dxa"/>
            <w:tcBorders>
              <w:top w:val="nil"/>
              <w:left w:val="nil"/>
              <w:bottom w:val="nil"/>
              <w:right w:val="nil"/>
            </w:tcBorders>
            <w:shd w:val="clear" w:color="auto" w:fill="auto"/>
            <w:vAlign w:val="bottom"/>
          </w:tcPr>
          <w:p w14:paraId="4B56464A"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4 </w:t>
            </w:r>
          </w:p>
        </w:tc>
        <w:tc>
          <w:tcPr>
            <w:tcW w:w="1143" w:type="dxa"/>
            <w:tcBorders>
              <w:top w:val="nil"/>
              <w:left w:val="nil"/>
              <w:bottom w:val="nil"/>
              <w:right w:val="nil"/>
            </w:tcBorders>
            <w:shd w:val="clear" w:color="auto" w:fill="auto"/>
            <w:vAlign w:val="bottom"/>
          </w:tcPr>
          <w:p w14:paraId="47D36F95"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31.418 </w:t>
            </w:r>
          </w:p>
        </w:tc>
        <w:tc>
          <w:tcPr>
            <w:tcW w:w="992" w:type="dxa"/>
            <w:tcBorders>
              <w:top w:val="nil"/>
              <w:left w:val="nil"/>
              <w:bottom w:val="nil"/>
              <w:right w:val="nil"/>
            </w:tcBorders>
            <w:shd w:val="clear" w:color="auto" w:fill="auto"/>
            <w:vAlign w:val="bottom"/>
          </w:tcPr>
          <w:p w14:paraId="156C73C9"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250 </w:t>
            </w:r>
          </w:p>
        </w:tc>
        <w:tc>
          <w:tcPr>
            <w:tcW w:w="992" w:type="dxa"/>
            <w:tcBorders>
              <w:top w:val="nil"/>
              <w:left w:val="nil"/>
              <w:bottom w:val="nil"/>
              <w:right w:val="nil"/>
            </w:tcBorders>
            <w:shd w:val="clear" w:color="auto" w:fill="auto"/>
            <w:vAlign w:val="bottom"/>
          </w:tcPr>
          <w:p w14:paraId="7CA29286"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31.697 </w:t>
            </w:r>
          </w:p>
        </w:tc>
      </w:tr>
      <w:tr w:rsidR="004E2F51" w:rsidRPr="001B015B" w14:paraId="614F9A1F" w14:textId="77777777" w:rsidTr="00E032FC">
        <w:trPr>
          <w:trHeight w:val="248"/>
        </w:trPr>
        <w:tc>
          <w:tcPr>
            <w:tcW w:w="4122" w:type="dxa"/>
            <w:tcBorders>
              <w:top w:val="nil"/>
              <w:left w:val="nil"/>
              <w:bottom w:val="nil"/>
              <w:right w:val="nil"/>
            </w:tcBorders>
            <w:shd w:val="clear" w:color="auto" w:fill="auto"/>
          </w:tcPr>
          <w:p w14:paraId="2DFE5CD5"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11" w:type="dxa"/>
            <w:tcBorders>
              <w:top w:val="nil"/>
              <w:left w:val="nil"/>
              <w:bottom w:val="nil"/>
              <w:right w:val="nil"/>
            </w:tcBorders>
            <w:shd w:val="clear" w:color="auto" w:fill="auto"/>
            <w:vAlign w:val="bottom"/>
          </w:tcPr>
          <w:p w14:paraId="123C3019"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10 </w:t>
            </w:r>
          </w:p>
        </w:tc>
        <w:tc>
          <w:tcPr>
            <w:tcW w:w="1034" w:type="dxa"/>
            <w:tcBorders>
              <w:top w:val="nil"/>
              <w:left w:val="nil"/>
              <w:bottom w:val="nil"/>
              <w:right w:val="nil"/>
            </w:tcBorders>
            <w:shd w:val="clear" w:color="auto" w:fill="auto"/>
            <w:vAlign w:val="bottom"/>
          </w:tcPr>
          <w:p w14:paraId="2A0DE4F5"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143" w:type="dxa"/>
            <w:tcBorders>
              <w:top w:val="nil"/>
              <w:left w:val="nil"/>
              <w:bottom w:val="nil"/>
              <w:right w:val="nil"/>
            </w:tcBorders>
            <w:shd w:val="clear" w:color="auto" w:fill="auto"/>
            <w:vAlign w:val="bottom"/>
          </w:tcPr>
          <w:p w14:paraId="7215557B"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(10)</w:t>
            </w:r>
          </w:p>
        </w:tc>
        <w:tc>
          <w:tcPr>
            <w:tcW w:w="992" w:type="dxa"/>
            <w:tcBorders>
              <w:top w:val="nil"/>
              <w:left w:val="nil"/>
              <w:bottom w:val="nil"/>
              <w:right w:val="nil"/>
            </w:tcBorders>
            <w:shd w:val="clear" w:color="auto" w:fill="auto"/>
            <w:vAlign w:val="bottom"/>
          </w:tcPr>
          <w:p w14:paraId="377D3EA7"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992" w:type="dxa"/>
            <w:tcBorders>
              <w:top w:val="nil"/>
              <w:left w:val="nil"/>
              <w:bottom w:val="nil"/>
              <w:right w:val="nil"/>
            </w:tcBorders>
            <w:shd w:val="clear" w:color="auto" w:fill="auto"/>
            <w:vAlign w:val="bottom"/>
          </w:tcPr>
          <w:p w14:paraId="5AD966F5"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r>
      <w:tr w:rsidR="004E2F51" w:rsidRPr="001B015B" w14:paraId="72A15A6E" w14:textId="77777777" w:rsidTr="00E032FC">
        <w:trPr>
          <w:trHeight w:val="248"/>
        </w:trPr>
        <w:tc>
          <w:tcPr>
            <w:tcW w:w="4122" w:type="dxa"/>
            <w:tcBorders>
              <w:top w:val="nil"/>
              <w:left w:val="nil"/>
              <w:bottom w:val="nil"/>
              <w:right w:val="nil"/>
            </w:tcBorders>
            <w:shd w:val="clear" w:color="auto" w:fill="auto"/>
          </w:tcPr>
          <w:p w14:paraId="45D87E4A"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11" w:type="dxa"/>
            <w:tcBorders>
              <w:top w:val="nil"/>
              <w:left w:val="nil"/>
              <w:bottom w:val="nil"/>
              <w:right w:val="nil"/>
            </w:tcBorders>
            <w:shd w:val="clear" w:color="auto" w:fill="auto"/>
            <w:vAlign w:val="bottom"/>
          </w:tcPr>
          <w:p w14:paraId="1D71AD5C"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(30)</w:t>
            </w:r>
          </w:p>
        </w:tc>
        <w:tc>
          <w:tcPr>
            <w:tcW w:w="1034" w:type="dxa"/>
            <w:tcBorders>
              <w:top w:val="nil"/>
              <w:left w:val="nil"/>
              <w:bottom w:val="nil"/>
              <w:right w:val="nil"/>
            </w:tcBorders>
            <w:shd w:val="clear" w:color="auto" w:fill="auto"/>
            <w:vAlign w:val="bottom"/>
          </w:tcPr>
          <w:p w14:paraId="2D14590C"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30 </w:t>
            </w:r>
          </w:p>
        </w:tc>
        <w:tc>
          <w:tcPr>
            <w:tcW w:w="1143" w:type="dxa"/>
            <w:tcBorders>
              <w:top w:val="nil"/>
              <w:left w:val="nil"/>
              <w:bottom w:val="nil"/>
              <w:right w:val="nil"/>
            </w:tcBorders>
            <w:shd w:val="clear" w:color="auto" w:fill="auto"/>
            <w:vAlign w:val="bottom"/>
          </w:tcPr>
          <w:p w14:paraId="00A8E4CD"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992" w:type="dxa"/>
            <w:tcBorders>
              <w:top w:val="nil"/>
              <w:left w:val="nil"/>
              <w:bottom w:val="nil"/>
              <w:right w:val="nil"/>
            </w:tcBorders>
            <w:shd w:val="clear" w:color="auto" w:fill="auto"/>
            <w:vAlign w:val="bottom"/>
          </w:tcPr>
          <w:p w14:paraId="6A5E2BDE"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992" w:type="dxa"/>
            <w:tcBorders>
              <w:top w:val="nil"/>
              <w:left w:val="nil"/>
              <w:bottom w:val="nil"/>
              <w:right w:val="nil"/>
            </w:tcBorders>
            <w:shd w:val="clear" w:color="auto" w:fill="auto"/>
            <w:vAlign w:val="bottom"/>
          </w:tcPr>
          <w:p w14:paraId="39C5C19C"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r>
      <w:tr w:rsidR="004E2F51" w:rsidRPr="001B015B" w14:paraId="7F77630E" w14:textId="77777777" w:rsidTr="00E032FC">
        <w:trPr>
          <w:trHeight w:val="248"/>
        </w:trPr>
        <w:tc>
          <w:tcPr>
            <w:tcW w:w="4122" w:type="dxa"/>
            <w:tcBorders>
              <w:top w:val="nil"/>
              <w:left w:val="nil"/>
              <w:bottom w:val="nil"/>
              <w:right w:val="nil"/>
            </w:tcBorders>
            <w:shd w:val="clear" w:color="auto" w:fill="auto"/>
            <w:hideMark/>
          </w:tcPr>
          <w:p w14:paraId="33172938"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11" w:type="dxa"/>
            <w:tcBorders>
              <w:top w:val="nil"/>
              <w:left w:val="nil"/>
              <w:bottom w:val="nil"/>
              <w:right w:val="nil"/>
            </w:tcBorders>
            <w:shd w:val="clear" w:color="auto" w:fill="auto"/>
            <w:vAlign w:val="bottom"/>
          </w:tcPr>
          <w:p w14:paraId="1A951B8B"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034" w:type="dxa"/>
            <w:tcBorders>
              <w:top w:val="nil"/>
              <w:left w:val="nil"/>
              <w:bottom w:val="nil"/>
              <w:right w:val="nil"/>
            </w:tcBorders>
            <w:shd w:val="clear" w:color="auto" w:fill="auto"/>
            <w:vAlign w:val="bottom"/>
          </w:tcPr>
          <w:p w14:paraId="654E60EF"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(100)</w:t>
            </w:r>
          </w:p>
        </w:tc>
        <w:tc>
          <w:tcPr>
            <w:tcW w:w="1143" w:type="dxa"/>
            <w:tcBorders>
              <w:top w:val="nil"/>
              <w:left w:val="nil"/>
              <w:bottom w:val="nil"/>
              <w:right w:val="nil"/>
            </w:tcBorders>
            <w:shd w:val="clear" w:color="auto" w:fill="auto"/>
            <w:vAlign w:val="bottom"/>
          </w:tcPr>
          <w:p w14:paraId="0AE9AEEF"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100 </w:t>
            </w:r>
          </w:p>
        </w:tc>
        <w:tc>
          <w:tcPr>
            <w:tcW w:w="992" w:type="dxa"/>
            <w:tcBorders>
              <w:top w:val="nil"/>
              <w:left w:val="nil"/>
              <w:bottom w:val="nil"/>
              <w:right w:val="nil"/>
            </w:tcBorders>
            <w:shd w:val="clear" w:color="auto" w:fill="auto"/>
            <w:vAlign w:val="bottom"/>
          </w:tcPr>
          <w:p w14:paraId="41E8AED6"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992" w:type="dxa"/>
            <w:tcBorders>
              <w:top w:val="nil"/>
              <w:left w:val="nil"/>
              <w:bottom w:val="nil"/>
              <w:right w:val="nil"/>
            </w:tcBorders>
            <w:shd w:val="clear" w:color="auto" w:fill="auto"/>
            <w:vAlign w:val="bottom"/>
          </w:tcPr>
          <w:p w14:paraId="1688216F"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r>
      <w:tr w:rsidR="004E2F51" w:rsidRPr="001B015B" w14:paraId="45771271" w14:textId="77777777" w:rsidTr="00E032FC">
        <w:trPr>
          <w:trHeight w:val="311"/>
        </w:trPr>
        <w:tc>
          <w:tcPr>
            <w:tcW w:w="4122" w:type="dxa"/>
            <w:tcBorders>
              <w:top w:val="nil"/>
              <w:left w:val="nil"/>
              <w:bottom w:val="nil"/>
              <w:right w:val="nil"/>
            </w:tcBorders>
            <w:shd w:val="clear" w:color="auto" w:fill="auto"/>
            <w:vAlign w:val="center"/>
            <w:hideMark/>
          </w:tcPr>
          <w:p w14:paraId="22201815"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593574">
              <w:rPr>
                <w:rFonts w:ascii="Arial" w:eastAsia="Calibri" w:hAnsi="Arial" w:cs="Arial"/>
                <w:color w:val="000000" w:themeColor="text1"/>
                <w:sz w:val="18"/>
                <w:szCs w:val="18"/>
                <w:lang w:val="hr-HR"/>
              </w:rPr>
              <w:t>povećanje/(smanjenje)</w:t>
            </w:r>
            <w:r>
              <w:rPr>
                <w:rFonts w:ascii="Arial" w:eastAsia="Calibri" w:hAnsi="Arial" w:cs="Arial"/>
                <w:color w:val="000000" w:themeColor="text1"/>
                <w:sz w:val="18"/>
                <w:szCs w:val="18"/>
                <w:lang w:val="hr-HR"/>
              </w:rPr>
              <w:t xml:space="preserve"> </w:t>
            </w:r>
            <w:r w:rsidRPr="001B015B">
              <w:rPr>
                <w:rFonts w:ascii="Arial" w:eastAsia="Calibri" w:hAnsi="Arial" w:cs="Arial"/>
                <w:color w:val="000000" w:themeColor="text1"/>
                <w:sz w:val="18"/>
                <w:szCs w:val="18"/>
                <w:lang w:val="hr-HR"/>
              </w:rPr>
              <w:t xml:space="preserve">rezerviranja za očekivane gubitke </w:t>
            </w:r>
          </w:p>
        </w:tc>
        <w:tc>
          <w:tcPr>
            <w:tcW w:w="1111" w:type="dxa"/>
            <w:tcBorders>
              <w:top w:val="nil"/>
              <w:left w:val="nil"/>
              <w:bottom w:val="nil"/>
              <w:right w:val="nil"/>
            </w:tcBorders>
            <w:shd w:val="clear" w:color="auto" w:fill="auto"/>
            <w:vAlign w:val="bottom"/>
          </w:tcPr>
          <w:p w14:paraId="4448AB2E"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17 </w:t>
            </w:r>
          </w:p>
        </w:tc>
        <w:tc>
          <w:tcPr>
            <w:tcW w:w="1034" w:type="dxa"/>
            <w:tcBorders>
              <w:top w:val="nil"/>
              <w:left w:val="nil"/>
              <w:bottom w:val="nil"/>
              <w:right w:val="nil"/>
            </w:tcBorders>
            <w:shd w:val="clear" w:color="auto" w:fill="auto"/>
            <w:vAlign w:val="bottom"/>
          </w:tcPr>
          <w:p w14:paraId="32DBDD7A"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67 </w:t>
            </w:r>
          </w:p>
        </w:tc>
        <w:tc>
          <w:tcPr>
            <w:tcW w:w="1143" w:type="dxa"/>
            <w:tcBorders>
              <w:top w:val="nil"/>
              <w:left w:val="nil"/>
              <w:bottom w:val="nil"/>
              <w:right w:val="nil"/>
            </w:tcBorders>
            <w:shd w:val="clear" w:color="auto" w:fill="auto"/>
            <w:vAlign w:val="bottom"/>
          </w:tcPr>
          <w:p w14:paraId="37CC5C06"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3.650 </w:t>
            </w:r>
          </w:p>
        </w:tc>
        <w:tc>
          <w:tcPr>
            <w:tcW w:w="992" w:type="dxa"/>
            <w:tcBorders>
              <w:top w:val="nil"/>
              <w:left w:val="nil"/>
              <w:bottom w:val="nil"/>
              <w:right w:val="nil"/>
            </w:tcBorders>
            <w:shd w:val="clear" w:color="auto" w:fill="auto"/>
            <w:vAlign w:val="bottom"/>
          </w:tcPr>
          <w:p w14:paraId="35F32FB1"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(3)</w:t>
            </w:r>
          </w:p>
        </w:tc>
        <w:tc>
          <w:tcPr>
            <w:tcW w:w="992" w:type="dxa"/>
            <w:tcBorders>
              <w:top w:val="nil"/>
              <w:left w:val="nil"/>
              <w:bottom w:val="nil"/>
              <w:right w:val="nil"/>
            </w:tcBorders>
            <w:shd w:val="clear" w:color="auto" w:fill="auto"/>
            <w:vAlign w:val="bottom"/>
          </w:tcPr>
          <w:p w14:paraId="4D796727"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3.731 </w:t>
            </w:r>
          </w:p>
        </w:tc>
      </w:tr>
      <w:tr w:rsidR="004E2F51" w:rsidRPr="001B015B" w14:paraId="2696A224" w14:textId="77777777" w:rsidTr="00E032FC">
        <w:trPr>
          <w:trHeight w:val="111"/>
        </w:trPr>
        <w:tc>
          <w:tcPr>
            <w:tcW w:w="4122" w:type="dxa"/>
            <w:tcBorders>
              <w:top w:val="nil"/>
              <w:left w:val="nil"/>
              <w:bottom w:val="nil"/>
              <w:right w:val="nil"/>
            </w:tcBorders>
            <w:shd w:val="clear" w:color="auto" w:fill="auto"/>
            <w:vAlign w:val="center"/>
          </w:tcPr>
          <w:p w14:paraId="040B59A3"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111" w:type="dxa"/>
            <w:tcBorders>
              <w:top w:val="nil"/>
              <w:left w:val="nil"/>
              <w:bottom w:val="nil"/>
              <w:right w:val="nil"/>
            </w:tcBorders>
            <w:shd w:val="clear" w:color="auto" w:fill="auto"/>
            <w:vAlign w:val="bottom"/>
          </w:tcPr>
          <w:p w14:paraId="427A7ADC" w14:textId="77777777" w:rsidR="004E2F51" w:rsidRPr="001B015B"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034" w:type="dxa"/>
            <w:tcBorders>
              <w:top w:val="nil"/>
              <w:left w:val="nil"/>
              <w:bottom w:val="nil"/>
              <w:right w:val="nil"/>
            </w:tcBorders>
            <w:shd w:val="clear" w:color="auto" w:fill="auto"/>
            <w:vAlign w:val="bottom"/>
          </w:tcPr>
          <w:p w14:paraId="6FC8300C" w14:textId="77777777" w:rsidR="004E2F51" w:rsidRPr="001B015B"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143" w:type="dxa"/>
            <w:tcBorders>
              <w:top w:val="nil"/>
              <w:left w:val="nil"/>
              <w:bottom w:val="nil"/>
              <w:right w:val="nil"/>
            </w:tcBorders>
            <w:shd w:val="clear" w:color="auto" w:fill="auto"/>
            <w:vAlign w:val="bottom"/>
          </w:tcPr>
          <w:p w14:paraId="6DE82C4D" w14:textId="77777777" w:rsidR="004E2F51" w:rsidRPr="001B015B" w:rsidRDefault="004E2F51" w:rsidP="00E032FC">
            <w:pPr>
              <w:jc w:val="right"/>
              <w:rPr>
                <w:rFonts w:ascii="Arial" w:hAnsi="Arial" w:cs="Arial"/>
                <w:sz w:val="18"/>
                <w:szCs w:val="18"/>
              </w:rPr>
            </w:pPr>
            <w:r w:rsidRPr="00593574">
              <w:rPr>
                <w:rFonts w:ascii="Arial" w:hAnsi="Arial" w:cs="Arial"/>
                <w:sz w:val="18"/>
                <w:szCs w:val="18"/>
              </w:rPr>
              <w:t xml:space="preserve"> (35)</w:t>
            </w:r>
          </w:p>
        </w:tc>
        <w:tc>
          <w:tcPr>
            <w:tcW w:w="992" w:type="dxa"/>
            <w:tcBorders>
              <w:top w:val="nil"/>
              <w:left w:val="nil"/>
              <w:bottom w:val="nil"/>
              <w:right w:val="nil"/>
            </w:tcBorders>
            <w:shd w:val="clear" w:color="auto" w:fill="auto"/>
            <w:vAlign w:val="bottom"/>
          </w:tcPr>
          <w:p w14:paraId="7EF86E32" w14:textId="77777777" w:rsidR="004E2F51" w:rsidRPr="001B015B"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992" w:type="dxa"/>
            <w:tcBorders>
              <w:top w:val="nil"/>
              <w:left w:val="nil"/>
              <w:bottom w:val="nil"/>
              <w:right w:val="nil"/>
            </w:tcBorders>
            <w:shd w:val="clear" w:color="auto" w:fill="auto"/>
            <w:vAlign w:val="bottom"/>
          </w:tcPr>
          <w:p w14:paraId="1BA8677B" w14:textId="77777777" w:rsidR="004E2F51" w:rsidRPr="001B015B" w:rsidRDefault="004E2F51" w:rsidP="00E032FC">
            <w:pPr>
              <w:jc w:val="right"/>
              <w:rPr>
                <w:rFonts w:ascii="Arial" w:hAnsi="Arial" w:cs="Arial"/>
                <w:sz w:val="18"/>
                <w:szCs w:val="18"/>
              </w:rPr>
            </w:pPr>
            <w:r w:rsidRPr="00593574">
              <w:rPr>
                <w:rFonts w:ascii="Arial" w:hAnsi="Arial" w:cs="Arial"/>
                <w:sz w:val="18"/>
                <w:szCs w:val="18"/>
              </w:rPr>
              <w:t xml:space="preserve"> (35)</w:t>
            </w:r>
          </w:p>
        </w:tc>
      </w:tr>
      <w:tr w:rsidR="004E2F51" w:rsidRPr="001B015B" w14:paraId="3F1F629C" w14:textId="77777777" w:rsidTr="00E032FC">
        <w:trPr>
          <w:trHeight w:val="261"/>
        </w:trPr>
        <w:tc>
          <w:tcPr>
            <w:tcW w:w="4122" w:type="dxa"/>
            <w:tcBorders>
              <w:top w:val="nil"/>
              <w:left w:val="nil"/>
              <w:bottom w:val="nil"/>
              <w:right w:val="nil"/>
            </w:tcBorders>
            <w:shd w:val="clear" w:color="auto" w:fill="auto"/>
            <w:vAlign w:val="center"/>
            <w:hideMark/>
          </w:tcPr>
          <w:p w14:paraId="7BD70B5A"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111" w:type="dxa"/>
            <w:tcBorders>
              <w:top w:val="nil"/>
              <w:left w:val="nil"/>
              <w:right w:val="nil"/>
            </w:tcBorders>
            <w:shd w:val="clear" w:color="auto" w:fill="auto"/>
            <w:vAlign w:val="bottom"/>
          </w:tcPr>
          <w:p w14:paraId="03DB7874"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034" w:type="dxa"/>
            <w:tcBorders>
              <w:top w:val="nil"/>
              <w:left w:val="nil"/>
              <w:right w:val="nil"/>
            </w:tcBorders>
            <w:shd w:val="clear" w:color="auto" w:fill="auto"/>
            <w:vAlign w:val="bottom"/>
          </w:tcPr>
          <w:p w14:paraId="15A8BE41"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1143" w:type="dxa"/>
            <w:tcBorders>
              <w:top w:val="nil"/>
              <w:left w:val="nil"/>
              <w:right w:val="nil"/>
            </w:tcBorders>
            <w:shd w:val="clear" w:color="auto" w:fill="auto"/>
            <w:vAlign w:val="bottom"/>
          </w:tcPr>
          <w:p w14:paraId="05977B5D"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(216)</w:t>
            </w:r>
          </w:p>
        </w:tc>
        <w:tc>
          <w:tcPr>
            <w:tcW w:w="992" w:type="dxa"/>
            <w:tcBorders>
              <w:top w:val="nil"/>
              <w:left w:val="nil"/>
              <w:right w:val="nil"/>
            </w:tcBorders>
            <w:shd w:val="clear" w:color="auto" w:fill="auto"/>
            <w:vAlign w:val="bottom"/>
          </w:tcPr>
          <w:p w14:paraId="1F6457A8"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 </w:t>
            </w:r>
          </w:p>
        </w:tc>
        <w:tc>
          <w:tcPr>
            <w:tcW w:w="992" w:type="dxa"/>
            <w:tcBorders>
              <w:top w:val="nil"/>
              <w:left w:val="nil"/>
              <w:right w:val="nil"/>
            </w:tcBorders>
            <w:shd w:val="clear" w:color="auto" w:fill="auto"/>
            <w:vAlign w:val="bottom"/>
          </w:tcPr>
          <w:p w14:paraId="67839CB3" w14:textId="77777777" w:rsidR="004E2F51" w:rsidRPr="00593574" w:rsidRDefault="004E2F51" w:rsidP="00E032FC">
            <w:pPr>
              <w:jc w:val="right"/>
              <w:rPr>
                <w:rFonts w:ascii="Arial" w:hAnsi="Arial" w:cs="Arial"/>
                <w:sz w:val="18"/>
                <w:szCs w:val="18"/>
              </w:rPr>
            </w:pPr>
            <w:r w:rsidRPr="00593574">
              <w:rPr>
                <w:rFonts w:ascii="Arial" w:hAnsi="Arial" w:cs="Arial"/>
                <w:sz w:val="18"/>
                <w:szCs w:val="18"/>
              </w:rPr>
              <w:t xml:space="preserve"> (216)</w:t>
            </w:r>
          </w:p>
        </w:tc>
      </w:tr>
      <w:tr w:rsidR="004E2F51" w:rsidRPr="001B015B" w14:paraId="4EE4C99F" w14:textId="77777777" w:rsidTr="00E032FC">
        <w:trPr>
          <w:trHeight w:val="261"/>
        </w:trPr>
        <w:tc>
          <w:tcPr>
            <w:tcW w:w="4122" w:type="dxa"/>
            <w:tcBorders>
              <w:top w:val="nil"/>
              <w:left w:val="nil"/>
              <w:bottom w:val="nil"/>
              <w:right w:val="nil"/>
            </w:tcBorders>
            <w:shd w:val="clear" w:color="auto" w:fill="auto"/>
            <w:vAlign w:val="center"/>
          </w:tcPr>
          <w:p w14:paraId="3216BD82" w14:textId="77777777" w:rsidR="004E2F51" w:rsidRPr="001B015B" w:rsidRDefault="004E2F51" w:rsidP="00E032FC">
            <w:pPr>
              <w:rPr>
                <w:rFonts w:ascii="Arial" w:eastAsia="Calibri" w:hAnsi="Arial" w:cs="Arial"/>
                <w:b/>
                <w:bCs/>
                <w:color w:val="000000" w:themeColor="text1"/>
                <w:sz w:val="18"/>
                <w:szCs w:val="18"/>
                <w:lang w:val="hr-HR"/>
              </w:rPr>
            </w:pPr>
            <w:r w:rsidRPr="00B32961">
              <w:rPr>
                <w:rFonts w:ascii="Arial" w:eastAsia="Calibri" w:hAnsi="Arial" w:cs="Arial"/>
                <w:color w:val="000000" w:themeColor="text1"/>
                <w:sz w:val="18"/>
                <w:szCs w:val="18"/>
                <w:lang w:val="hr-HR"/>
              </w:rPr>
              <w:t>Ostala usklađenja</w:t>
            </w:r>
          </w:p>
        </w:tc>
        <w:tc>
          <w:tcPr>
            <w:tcW w:w="1111" w:type="dxa"/>
            <w:tcBorders>
              <w:top w:val="nil"/>
              <w:left w:val="nil"/>
              <w:bottom w:val="single" w:sz="12" w:space="0" w:color="auto"/>
              <w:right w:val="nil"/>
            </w:tcBorders>
            <w:shd w:val="clear" w:color="auto" w:fill="auto"/>
            <w:vAlign w:val="bottom"/>
          </w:tcPr>
          <w:p w14:paraId="2D70FEF7" w14:textId="77777777" w:rsidR="004E2F51" w:rsidRPr="00B32961" w:rsidRDefault="004E2F51" w:rsidP="00E032FC">
            <w:pPr>
              <w:jc w:val="right"/>
              <w:rPr>
                <w:rFonts w:ascii="Arial" w:hAnsi="Arial" w:cs="Arial"/>
                <w:sz w:val="18"/>
                <w:szCs w:val="18"/>
              </w:rPr>
            </w:pPr>
            <w:r>
              <w:rPr>
                <w:rFonts w:ascii="Arial" w:hAnsi="Arial" w:cs="Arial"/>
                <w:sz w:val="18"/>
                <w:szCs w:val="18"/>
              </w:rPr>
              <w:t>-</w:t>
            </w:r>
          </w:p>
        </w:tc>
        <w:tc>
          <w:tcPr>
            <w:tcW w:w="1034" w:type="dxa"/>
            <w:tcBorders>
              <w:top w:val="nil"/>
              <w:left w:val="nil"/>
              <w:bottom w:val="single" w:sz="12" w:space="0" w:color="auto"/>
              <w:right w:val="nil"/>
            </w:tcBorders>
            <w:shd w:val="clear" w:color="auto" w:fill="auto"/>
            <w:vAlign w:val="bottom"/>
          </w:tcPr>
          <w:p w14:paraId="62F2224B" w14:textId="77777777" w:rsidR="004E2F51" w:rsidRPr="00B32961" w:rsidRDefault="004E2F51" w:rsidP="00E032FC">
            <w:pPr>
              <w:jc w:val="right"/>
              <w:rPr>
                <w:rFonts w:ascii="Arial" w:hAnsi="Arial" w:cs="Arial"/>
                <w:sz w:val="18"/>
                <w:szCs w:val="18"/>
              </w:rPr>
            </w:pPr>
            <w:r>
              <w:rPr>
                <w:rFonts w:ascii="Arial" w:hAnsi="Arial" w:cs="Arial"/>
                <w:sz w:val="18"/>
                <w:szCs w:val="18"/>
              </w:rPr>
              <w:t>-</w:t>
            </w:r>
          </w:p>
        </w:tc>
        <w:tc>
          <w:tcPr>
            <w:tcW w:w="1143" w:type="dxa"/>
            <w:tcBorders>
              <w:top w:val="nil"/>
              <w:left w:val="nil"/>
              <w:bottom w:val="single" w:sz="12" w:space="0" w:color="auto"/>
              <w:right w:val="nil"/>
            </w:tcBorders>
            <w:shd w:val="clear" w:color="auto" w:fill="auto"/>
            <w:vAlign w:val="bottom"/>
          </w:tcPr>
          <w:p w14:paraId="7E1A8BE8" w14:textId="77777777" w:rsidR="004E2F51" w:rsidRPr="00B32961" w:rsidRDefault="004E2F51" w:rsidP="00E032FC">
            <w:pPr>
              <w:jc w:val="right"/>
              <w:rPr>
                <w:rFonts w:ascii="Arial" w:hAnsi="Arial" w:cs="Arial"/>
                <w:sz w:val="18"/>
                <w:szCs w:val="18"/>
              </w:rPr>
            </w:pPr>
            <w:r>
              <w:rPr>
                <w:rFonts w:ascii="Arial" w:hAnsi="Arial" w:cs="Arial"/>
                <w:sz w:val="18"/>
                <w:szCs w:val="18"/>
              </w:rPr>
              <w:t>(16)</w:t>
            </w:r>
          </w:p>
        </w:tc>
        <w:tc>
          <w:tcPr>
            <w:tcW w:w="992" w:type="dxa"/>
            <w:tcBorders>
              <w:top w:val="nil"/>
              <w:left w:val="nil"/>
              <w:bottom w:val="single" w:sz="12" w:space="0" w:color="auto"/>
              <w:right w:val="nil"/>
            </w:tcBorders>
            <w:shd w:val="clear" w:color="auto" w:fill="auto"/>
            <w:vAlign w:val="bottom"/>
          </w:tcPr>
          <w:p w14:paraId="5B763C5D" w14:textId="77777777" w:rsidR="004E2F51" w:rsidRPr="00B32961" w:rsidRDefault="004E2F51" w:rsidP="00E032FC">
            <w:pPr>
              <w:jc w:val="right"/>
              <w:rPr>
                <w:rFonts w:ascii="Arial" w:hAnsi="Arial" w:cs="Arial"/>
                <w:sz w:val="18"/>
                <w:szCs w:val="18"/>
              </w:rPr>
            </w:pPr>
            <w:r>
              <w:rPr>
                <w:rFonts w:ascii="Arial" w:hAnsi="Arial" w:cs="Arial"/>
                <w:sz w:val="18"/>
                <w:szCs w:val="18"/>
              </w:rPr>
              <w:t>14</w:t>
            </w:r>
          </w:p>
        </w:tc>
        <w:tc>
          <w:tcPr>
            <w:tcW w:w="992" w:type="dxa"/>
            <w:tcBorders>
              <w:top w:val="nil"/>
              <w:left w:val="nil"/>
              <w:bottom w:val="single" w:sz="12" w:space="0" w:color="auto"/>
              <w:right w:val="nil"/>
            </w:tcBorders>
            <w:shd w:val="clear" w:color="auto" w:fill="auto"/>
            <w:vAlign w:val="bottom"/>
          </w:tcPr>
          <w:p w14:paraId="61F6AA01" w14:textId="77777777" w:rsidR="004E2F51" w:rsidRPr="00B32961" w:rsidRDefault="004E2F51" w:rsidP="00E032FC">
            <w:pPr>
              <w:jc w:val="right"/>
              <w:rPr>
                <w:rFonts w:ascii="Arial" w:hAnsi="Arial" w:cs="Arial"/>
                <w:sz w:val="18"/>
                <w:szCs w:val="18"/>
              </w:rPr>
            </w:pPr>
            <w:r>
              <w:rPr>
                <w:rFonts w:ascii="Arial" w:hAnsi="Arial" w:cs="Arial"/>
                <w:sz w:val="18"/>
                <w:szCs w:val="18"/>
              </w:rPr>
              <w:t>(2)</w:t>
            </w:r>
          </w:p>
        </w:tc>
      </w:tr>
      <w:tr w:rsidR="004E2F51" w:rsidRPr="001B015B" w14:paraId="5FB2070F" w14:textId="77777777" w:rsidTr="00E032FC">
        <w:trPr>
          <w:trHeight w:val="261"/>
        </w:trPr>
        <w:tc>
          <w:tcPr>
            <w:tcW w:w="4122" w:type="dxa"/>
            <w:tcBorders>
              <w:top w:val="nil"/>
              <w:left w:val="nil"/>
              <w:bottom w:val="nil"/>
              <w:right w:val="nil"/>
            </w:tcBorders>
            <w:shd w:val="clear" w:color="auto" w:fill="auto"/>
            <w:vAlign w:val="center"/>
            <w:hideMark/>
          </w:tcPr>
          <w:p w14:paraId="3A17A9C3"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111" w:type="dxa"/>
            <w:tcBorders>
              <w:top w:val="nil"/>
              <w:left w:val="nil"/>
              <w:bottom w:val="single" w:sz="12" w:space="0" w:color="auto"/>
              <w:right w:val="nil"/>
            </w:tcBorders>
            <w:shd w:val="clear" w:color="auto" w:fill="auto"/>
            <w:vAlign w:val="bottom"/>
          </w:tcPr>
          <w:p w14:paraId="38D85EE1" w14:textId="77777777" w:rsidR="004E2F51" w:rsidRPr="001B015B" w:rsidRDefault="004E2F51" w:rsidP="00E032FC">
            <w:pPr>
              <w:jc w:val="right"/>
              <w:rPr>
                <w:rFonts w:ascii="Arial" w:eastAsia="Calibri" w:hAnsi="Arial" w:cs="Arial"/>
                <w:b/>
                <w:bCs/>
                <w:color w:val="000000" w:themeColor="text1"/>
                <w:sz w:val="18"/>
                <w:szCs w:val="18"/>
                <w:lang w:val="hr-HR"/>
              </w:rPr>
            </w:pPr>
            <w:r w:rsidRPr="00593574">
              <w:rPr>
                <w:rFonts w:ascii="Arial" w:eastAsia="Calibri" w:hAnsi="Arial" w:cs="Arial"/>
                <w:b/>
                <w:bCs/>
                <w:color w:val="000000" w:themeColor="text1"/>
                <w:sz w:val="18"/>
                <w:szCs w:val="18"/>
                <w:lang w:val="hr-HR"/>
              </w:rPr>
              <w:t xml:space="preserve"> 22 </w:t>
            </w:r>
          </w:p>
        </w:tc>
        <w:tc>
          <w:tcPr>
            <w:tcW w:w="1034" w:type="dxa"/>
            <w:tcBorders>
              <w:top w:val="nil"/>
              <w:left w:val="nil"/>
              <w:bottom w:val="single" w:sz="12" w:space="0" w:color="auto"/>
              <w:right w:val="nil"/>
            </w:tcBorders>
            <w:shd w:val="clear" w:color="auto" w:fill="auto"/>
            <w:vAlign w:val="bottom"/>
          </w:tcPr>
          <w:p w14:paraId="5FBCAAB0" w14:textId="77777777" w:rsidR="004E2F51" w:rsidRPr="001B015B" w:rsidRDefault="004E2F51" w:rsidP="00E032FC">
            <w:pPr>
              <w:jc w:val="right"/>
              <w:rPr>
                <w:rFonts w:ascii="Arial" w:eastAsia="Calibri" w:hAnsi="Arial" w:cs="Arial"/>
                <w:b/>
                <w:bCs/>
                <w:color w:val="000000" w:themeColor="text1"/>
                <w:sz w:val="18"/>
                <w:szCs w:val="18"/>
                <w:lang w:val="hr-HR"/>
              </w:rPr>
            </w:pPr>
            <w:r w:rsidRPr="00593574">
              <w:rPr>
                <w:rFonts w:ascii="Arial" w:eastAsia="Calibri" w:hAnsi="Arial" w:cs="Arial"/>
                <w:b/>
                <w:bCs/>
                <w:color w:val="000000" w:themeColor="text1"/>
                <w:sz w:val="18"/>
                <w:szCs w:val="18"/>
                <w:lang w:val="hr-HR"/>
              </w:rPr>
              <w:t xml:space="preserve"> 1 </w:t>
            </w:r>
          </w:p>
        </w:tc>
        <w:tc>
          <w:tcPr>
            <w:tcW w:w="1143" w:type="dxa"/>
            <w:tcBorders>
              <w:top w:val="nil"/>
              <w:left w:val="nil"/>
              <w:bottom w:val="single" w:sz="12" w:space="0" w:color="auto"/>
              <w:right w:val="nil"/>
            </w:tcBorders>
            <w:shd w:val="clear" w:color="auto" w:fill="auto"/>
            <w:vAlign w:val="bottom"/>
          </w:tcPr>
          <w:p w14:paraId="63ED10AE" w14:textId="77777777" w:rsidR="004E2F51" w:rsidRPr="001B015B" w:rsidRDefault="004E2F51" w:rsidP="00E032FC">
            <w:pPr>
              <w:jc w:val="right"/>
              <w:rPr>
                <w:rFonts w:ascii="Arial" w:eastAsia="Calibri" w:hAnsi="Arial" w:cs="Arial"/>
                <w:b/>
                <w:bCs/>
                <w:color w:val="000000" w:themeColor="text1"/>
                <w:sz w:val="18"/>
                <w:szCs w:val="18"/>
                <w:lang w:val="hr-HR"/>
              </w:rPr>
            </w:pPr>
            <w:r w:rsidRPr="00593574">
              <w:rPr>
                <w:rFonts w:ascii="Arial" w:eastAsia="Calibri" w:hAnsi="Arial" w:cs="Arial"/>
                <w:b/>
                <w:bCs/>
                <w:color w:val="000000" w:themeColor="text1"/>
                <w:sz w:val="18"/>
                <w:szCs w:val="18"/>
                <w:lang w:val="hr-HR"/>
              </w:rPr>
              <w:t xml:space="preserve"> 34.891 </w:t>
            </w:r>
          </w:p>
        </w:tc>
        <w:tc>
          <w:tcPr>
            <w:tcW w:w="992" w:type="dxa"/>
            <w:tcBorders>
              <w:top w:val="nil"/>
              <w:left w:val="nil"/>
              <w:bottom w:val="single" w:sz="12" w:space="0" w:color="auto"/>
              <w:right w:val="nil"/>
            </w:tcBorders>
            <w:shd w:val="clear" w:color="auto" w:fill="auto"/>
            <w:vAlign w:val="bottom"/>
          </w:tcPr>
          <w:p w14:paraId="18A5CEE3" w14:textId="77777777" w:rsidR="004E2F51" w:rsidRPr="001B015B" w:rsidRDefault="004E2F51" w:rsidP="00E032FC">
            <w:pPr>
              <w:jc w:val="right"/>
              <w:rPr>
                <w:rFonts w:ascii="Arial" w:eastAsia="Calibri" w:hAnsi="Arial" w:cs="Arial"/>
                <w:b/>
                <w:bCs/>
                <w:color w:val="000000" w:themeColor="text1"/>
                <w:sz w:val="18"/>
                <w:szCs w:val="18"/>
                <w:lang w:val="hr-HR"/>
              </w:rPr>
            </w:pPr>
            <w:r w:rsidRPr="00593574">
              <w:rPr>
                <w:rFonts w:ascii="Arial" w:eastAsia="Calibri" w:hAnsi="Arial" w:cs="Arial"/>
                <w:b/>
                <w:bCs/>
                <w:color w:val="000000" w:themeColor="text1"/>
                <w:sz w:val="18"/>
                <w:szCs w:val="18"/>
                <w:lang w:val="hr-HR"/>
              </w:rPr>
              <w:t xml:space="preserve"> 261 </w:t>
            </w:r>
          </w:p>
        </w:tc>
        <w:tc>
          <w:tcPr>
            <w:tcW w:w="992" w:type="dxa"/>
            <w:tcBorders>
              <w:top w:val="nil"/>
              <w:left w:val="nil"/>
              <w:bottom w:val="single" w:sz="12" w:space="0" w:color="auto"/>
              <w:right w:val="nil"/>
            </w:tcBorders>
            <w:shd w:val="clear" w:color="auto" w:fill="auto"/>
            <w:vAlign w:val="bottom"/>
          </w:tcPr>
          <w:p w14:paraId="2BFE8E9E" w14:textId="77777777" w:rsidR="004E2F51" w:rsidRPr="001B015B" w:rsidRDefault="004E2F51" w:rsidP="00E032FC">
            <w:pPr>
              <w:jc w:val="right"/>
              <w:rPr>
                <w:rFonts w:ascii="Arial" w:eastAsia="Calibri" w:hAnsi="Arial" w:cs="Arial"/>
                <w:b/>
                <w:bCs/>
                <w:color w:val="000000" w:themeColor="text1"/>
                <w:sz w:val="18"/>
                <w:szCs w:val="18"/>
                <w:lang w:val="hr-HR"/>
              </w:rPr>
            </w:pPr>
            <w:r w:rsidRPr="00593574">
              <w:rPr>
                <w:rFonts w:ascii="Arial" w:eastAsia="Calibri" w:hAnsi="Arial" w:cs="Arial"/>
                <w:b/>
                <w:bCs/>
                <w:color w:val="000000" w:themeColor="text1"/>
                <w:sz w:val="18"/>
                <w:szCs w:val="18"/>
                <w:lang w:val="hr-HR"/>
              </w:rPr>
              <w:t xml:space="preserve"> 35.175 </w:t>
            </w:r>
          </w:p>
        </w:tc>
      </w:tr>
    </w:tbl>
    <w:p w14:paraId="4BC5A51D" w14:textId="77777777" w:rsidR="004E2F51" w:rsidRPr="001B015B" w:rsidRDefault="004E2F51" w:rsidP="004E2F51">
      <w:pPr>
        <w:jc w:val="both"/>
        <w:rPr>
          <w:rFonts w:ascii="Arial" w:hAnsi="Arial" w:cs="Arial"/>
          <w:b/>
          <w:bCs/>
          <w:color w:val="000000" w:themeColor="text1"/>
          <w:sz w:val="20"/>
          <w:szCs w:val="20"/>
          <w:lang w:val="pl-PL"/>
        </w:rPr>
      </w:pPr>
    </w:p>
    <w:p w14:paraId="785C1B21" w14:textId="77777777" w:rsidR="004E2F51" w:rsidRPr="001B015B" w:rsidRDefault="004E2F51" w:rsidP="004E2F51">
      <w:pPr>
        <w:jc w:val="both"/>
        <w:rPr>
          <w:rFonts w:ascii="Arial" w:hAnsi="Arial" w:cs="Arial"/>
          <w:b/>
          <w:bCs/>
          <w:color w:val="000000" w:themeColor="text1"/>
          <w:sz w:val="20"/>
          <w:szCs w:val="20"/>
          <w:lang w:val="pl-PL"/>
        </w:rPr>
      </w:pPr>
    </w:p>
    <w:p w14:paraId="0089B9C7" w14:textId="77777777" w:rsidR="004E2F51" w:rsidRDefault="004E2F51" w:rsidP="004E2F51">
      <w:pPr>
        <w:rPr>
          <w:rFonts w:ascii="Arial" w:eastAsia="Calibri" w:hAnsi="Arial" w:cs="Arial"/>
          <w:color w:val="000000" w:themeColor="text1"/>
          <w:sz w:val="20"/>
          <w:szCs w:val="20"/>
          <w:lang w:val="hr-HR"/>
        </w:rPr>
      </w:pPr>
    </w:p>
    <w:tbl>
      <w:tblPr>
        <w:tblW w:w="9394" w:type="dxa"/>
        <w:tblInd w:w="-180" w:type="dxa"/>
        <w:tblLayout w:type="fixed"/>
        <w:tblLook w:val="04A0" w:firstRow="1" w:lastRow="0" w:firstColumn="1" w:lastColumn="0" w:noHBand="0" w:noVBand="1"/>
      </w:tblPr>
      <w:tblGrid>
        <w:gridCol w:w="4122"/>
        <w:gridCol w:w="1111"/>
        <w:gridCol w:w="1034"/>
        <w:gridCol w:w="1143"/>
        <w:gridCol w:w="992"/>
        <w:gridCol w:w="992"/>
      </w:tblGrid>
      <w:tr w:rsidR="004E2F51" w:rsidRPr="001B015B" w14:paraId="486BFD7F" w14:textId="77777777" w:rsidTr="00E032FC">
        <w:trPr>
          <w:trHeight w:val="248"/>
        </w:trPr>
        <w:tc>
          <w:tcPr>
            <w:tcW w:w="4122" w:type="dxa"/>
            <w:tcBorders>
              <w:top w:val="nil"/>
              <w:left w:val="nil"/>
              <w:bottom w:val="nil"/>
              <w:right w:val="nil"/>
            </w:tcBorders>
            <w:shd w:val="clear" w:color="auto" w:fill="auto"/>
            <w:vAlign w:val="center"/>
          </w:tcPr>
          <w:p w14:paraId="3EA8B347"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Banka</w:t>
            </w:r>
          </w:p>
        </w:tc>
        <w:tc>
          <w:tcPr>
            <w:tcW w:w="1111" w:type="dxa"/>
            <w:tcBorders>
              <w:top w:val="nil"/>
              <w:left w:val="nil"/>
              <w:bottom w:val="nil"/>
              <w:right w:val="nil"/>
            </w:tcBorders>
            <w:shd w:val="clear" w:color="auto" w:fill="auto"/>
            <w:vAlign w:val="center"/>
          </w:tcPr>
          <w:p w14:paraId="68F2762B"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4" w:type="dxa"/>
            <w:tcBorders>
              <w:top w:val="nil"/>
              <w:left w:val="nil"/>
              <w:bottom w:val="nil"/>
              <w:right w:val="nil"/>
            </w:tcBorders>
            <w:shd w:val="clear" w:color="auto" w:fill="auto"/>
            <w:vAlign w:val="center"/>
          </w:tcPr>
          <w:p w14:paraId="38AC50F3"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43" w:type="dxa"/>
            <w:tcBorders>
              <w:top w:val="nil"/>
              <w:left w:val="nil"/>
              <w:bottom w:val="nil"/>
              <w:right w:val="nil"/>
            </w:tcBorders>
            <w:shd w:val="clear" w:color="auto" w:fill="auto"/>
            <w:vAlign w:val="center"/>
          </w:tcPr>
          <w:p w14:paraId="45AA4162"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2F9B34E7"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704955C3"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3C6E88A7" w14:textId="77777777" w:rsidTr="00E032FC">
        <w:trPr>
          <w:trHeight w:val="248"/>
        </w:trPr>
        <w:tc>
          <w:tcPr>
            <w:tcW w:w="4122" w:type="dxa"/>
            <w:tcBorders>
              <w:top w:val="nil"/>
              <w:left w:val="nil"/>
              <w:bottom w:val="nil"/>
              <w:right w:val="nil"/>
            </w:tcBorders>
            <w:shd w:val="clear" w:color="auto" w:fill="auto"/>
            <w:vAlign w:val="center"/>
            <w:hideMark/>
          </w:tcPr>
          <w:p w14:paraId="71E8BB17"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2021.</w:t>
            </w:r>
          </w:p>
        </w:tc>
        <w:tc>
          <w:tcPr>
            <w:tcW w:w="1111" w:type="dxa"/>
            <w:tcBorders>
              <w:top w:val="nil"/>
              <w:left w:val="nil"/>
              <w:bottom w:val="nil"/>
              <w:right w:val="nil"/>
            </w:tcBorders>
            <w:shd w:val="clear" w:color="auto" w:fill="auto"/>
            <w:vAlign w:val="center"/>
            <w:hideMark/>
          </w:tcPr>
          <w:p w14:paraId="085E45EA"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4" w:type="dxa"/>
            <w:tcBorders>
              <w:top w:val="nil"/>
              <w:left w:val="nil"/>
              <w:bottom w:val="nil"/>
              <w:right w:val="nil"/>
            </w:tcBorders>
            <w:shd w:val="clear" w:color="auto" w:fill="auto"/>
            <w:vAlign w:val="center"/>
            <w:hideMark/>
          </w:tcPr>
          <w:p w14:paraId="23ACCC7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143" w:type="dxa"/>
            <w:tcBorders>
              <w:top w:val="nil"/>
              <w:left w:val="nil"/>
              <w:bottom w:val="nil"/>
              <w:right w:val="nil"/>
            </w:tcBorders>
            <w:shd w:val="clear" w:color="auto" w:fill="auto"/>
            <w:vAlign w:val="center"/>
            <w:hideMark/>
          </w:tcPr>
          <w:p w14:paraId="372DD73D"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992" w:type="dxa"/>
            <w:tcBorders>
              <w:top w:val="nil"/>
              <w:left w:val="nil"/>
              <w:bottom w:val="nil"/>
              <w:right w:val="nil"/>
            </w:tcBorders>
            <w:shd w:val="clear" w:color="auto" w:fill="auto"/>
            <w:vAlign w:val="center"/>
            <w:hideMark/>
          </w:tcPr>
          <w:p w14:paraId="74A7145A"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992" w:type="dxa"/>
            <w:tcBorders>
              <w:top w:val="nil"/>
              <w:left w:val="nil"/>
              <w:bottom w:val="nil"/>
              <w:right w:val="nil"/>
            </w:tcBorders>
            <w:shd w:val="clear" w:color="auto" w:fill="auto"/>
            <w:vAlign w:val="center"/>
            <w:hideMark/>
          </w:tcPr>
          <w:p w14:paraId="48C4AEB1"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04F2F294" w14:textId="77777777" w:rsidTr="00E032FC">
        <w:trPr>
          <w:trHeight w:val="248"/>
        </w:trPr>
        <w:tc>
          <w:tcPr>
            <w:tcW w:w="4122" w:type="dxa"/>
            <w:tcBorders>
              <w:top w:val="nil"/>
              <w:left w:val="nil"/>
              <w:bottom w:val="nil"/>
              <w:right w:val="nil"/>
            </w:tcBorders>
            <w:shd w:val="clear" w:color="auto" w:fill="auto"/>
            <w:vAlign w:val="center"/>
            <w:hideMark/>
          </w:tcPr>
          <w:p w14:paraId="777D4C07"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11" w:type="dxa"/>
            <w:tcBorders>
              <w:top w:val="nil"/>
              <w:left w:val="nil"/>
              <w:bottom w:val="nil"/>
              <w:right w:val="nil"/>
            </w:tcBorders>
            <w:shd w:val="clear" w:color="auto" w:fill="auto"/>
            <w:vAlign w:val="center"/>
            <w:hideMark/>
          </w:tcPr>
          <w:p w14:paraId="1CDA8ED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34" w:type="dxa"/>
            <w:tcBorders>
              <w:top w:val="nil"/>
              <w:left w:val="nil"/>
              <w:bottom w:val="nil"/>
              <w:right w:val="nil"/>
            </w:tcBorders>
            <w:shd w:val="clear" w:color="auto" w:fill="auto"/>
            <w:vAlign w:val="center"/>
            <w:hideMark/>
          </w:tcPr>
          <w:p w14:paraId="07A5E5E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143" w:type="dxa"/>
            <w:tcBorders>
              <w:top w:val="nil"/>
              <w:left w:val="nil"/>
              <w:bottom w:val="nil"/>
              <w:right w:val="nil"/>
            </w:tcBorders>
            <w:shd w:val="clear" w:color="auto" w:fill="auto"/>
            <w:vAlign w:val="center"/>
            <w:hideMark/>
          </w:tcPr>
          <w:p w14:paraId="0270CF8B"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992" w:type="dxa"/>
            <w:tcBorders>
              <w:top w:val="nil"/>
              <w:left w:val="nil"/>
              <w:bottom w:val="nil"/>
              <w:right w:val="nil"/>
            </w:tcBorders>
            <w:shd w:val="clear" w:color="auto" w:fill="auto"/>
            <w:vAlign w:val="center"/>
            <w:hideMark/>
          </w:tcPr>
          <w:p w14:paraId="3CD6C311"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992" w:type="dxa"/>
            <w:tcBorders>
              <w:top w:val="nil"/>
              <w:left w:val="nil"/>
              <w:bottom w:val="nil"/>
              <w:right w:val="nil"/>
            </w:tcBorders>
            <w:shd w:val="clear" w:color="auto" w:fill="auto"/>
            <w:vAlign w:val="center"/>
            <w:hideMark/>
          </w:tcPr>
          <w:p w14:paraId="1606262B"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4B8319EF" w14:textId="77777777" w:rsidTr="00E032FC">
        <w:trPr>
          <w:trHeight w:val="248"/>
        </w:trPr>
        <w:tc>
          <w:tcPr>
            <w:tcW w:w="4122" w:type="dxa"/>
            <w:tcBorders>
              <w:top w:val="nil"/>
              <w:left w:val="nil"/>
              <w:bottom w:val="nil"/>
              <w:right w:val="nil"/>
            </w:tcBorders>
            <w:shd w:val="clear" w:color="auto" w:fill="auto"/>
            <w:vAlign w:val="center"/>
          </w:tcPr>
          <w:p w14:paraId="7750B8A8"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11" w:type="dxa"/>
            <w:tcBorders>
              <w:top w:val="nil"/>
              <w:left w:val="nil"/>
              <w:bottom w:val="nil"/>
              <w:right w:val="nil"/>
            </w:tcBorders>
            <w:shd w:val="clear" w:color="auto" w:fill="auto"/>
            <w:vAlign w:val="center"/>
          </w:tcPr>
          <w:p w14:paraId="6EC8FB44"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4" w:type="dxa"/>
            <w:tcBorders>
              <w:top w:val="nil"/>
              <w:left w:val="nil"/>
              <w:bottom w:val="nil"/>
              <w:right w:val="nil"/>
            </w:tcBorders>
            <w:shd w:val="clear" w:color="auto" w:fill="auto"/>
            <w:vAlign w:val="center"/>
          </w:tcPr>
          <w:p w14:paraId="2F5C51D2"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143" w:type="dxa"/>
            <w:tcBorders>
              <w:top w:val="nil"/>
              <w:left w:val="nil"/>
              <w:bottom w:val="nil"/>
              <w:right w:val="nil"/>
            </w:tcBorders>
            <w:shd w:val="clear" w:color="auto" w:fill="auto"/>
            <w:vAlign w:val="center"/>
          </w:tcPr>
          <w:p w14:paraId="03BBB158"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528F3E75"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992" w:type="dxa"/>
            <w:tcBorders>
              <w:top w:val="nil"/>
              <w:left w:val="nil"/>
              <w:bottom w:val="nil"/>
              <w:right w:val="nil"/>
            </w:tcBorders>
            <w:shd w:val="clear" w:color="auto" w:fill="auto"/>
            <w:vAlign w:val="center"/>
          </w:tcPr>
          <w:p w14:paraId="5C5BDEE7"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1154C800" w14:textId="77777777" w:rsidTr="00E032FC">
        <w:trPr>
          <w:trHeight w:val="248"/>
        </w:trPr>
        <w:tc>
          <w:tcPr>
            <w:tcW w:w="4122" w:type="dxa"/>
            <w:tcBorders>
              <w:top w:val="nil"/>
              <w:left w:val="nil"/>
              <w:bottom w:val="nil"/>
              <w:right w:val="nil"/>
            </w:tcBorders>
            <w:shd w:val="clear" w:color="auto" w:fill="auto"/>
            <w:vAlign w:val="center"/>
            <w:hideMark/>
          </w:tcPr>
          <w:p w14:paraId="7F86D3BE"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Stanje 1. siječnja 2021. </w:t>
            </w:r>
          </w:p>
        </w:tc>
        <w:tc>
          <w:tcPr>
            <w:tcW w:w="1111" w:type="dxa"/>
            <w:tcBorders>
              <w:top w:val="nil"/>
              <w:left w:val="nil"/>
              <w:bottom w:val="nil"/>
              <w:right w:val="nil"/>
            </w:tcBorders>
            <w:shd w:val="clear" w:color="auto" w:fill="auto"/>
          </w:tcPr>
          <w:p w14:paraId="72760BC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31 </w:t>
            </w:r>
          </w:p>
        </w:tc>
        <w:tc>
          <w:tcPr>
            <w:tcW w:w="1034" w:type="dxa"/>
            <w:tcBorders>
              <w:top w:val="nil"/>
              <w:left w:val="nil"/>
              <w:bottom w:val="nil"/>
              <w:right w:val="nil"/>
            </w:tcBorders>
            <w:shd w:val="clear" w:color="auto" w:fill="auto"/>
          </w:tcPr>
          <w:p w14:paraId="35AE663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 </w:t>
            </w:r>
          </w:p>
        </w:tc>
        <w:tc>
          <w:tcPr>
            <w:tcW w:w="1143" w:type="dxa"/>
            <w:tcBorders>
              <w:top w:val="nil"/>
              <w:left w:val="nil"/>
              <w:bottom w:val="nil"/>
              <w:right w:val="nil"/>
            </w:tcBorders>
            <w:shd w:val="clear" w:color="auto" w:fill="auto"/>
          </w:tcPr>
          <w:p w14:paraId="7E93801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34.359 </w:t>
            </w:r>
          </w:p>
        </w:tc>
        <w:tc>
          <w:tcPr>
            <w:tcW w:w="992" w:type="dxa"/>
            <w:tcBorders>
              <w:top w:val="nil"/>
              <w:left w:val="nil"/>
              <w:bottom w:val="nil"/>
              <w:right w:val="nil"/>
            </w:tcBorders>
            <w:shd w:val="clear" w:color="auto" w:fill="auto"/>
          </w:tcPr>
          <w:p w14:paraId="7BA5590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5 </w:t>
            </w:r>
          </w:p>
        </w:tc>
        <w:tc>
          <w:tcPr>
            <w:tcW w:w="992" w:type="dxa"/>
            <w:tcBorders>
              <w:top w:val="nil"/>
              <w:left w:val="nil"/>
              <w:bottom w:val="nil"/>
              <w:right w:val="nil"/>
            </w:tcBorders>
            <w:shd w:val="clear" w:color="auto" w:fill="auto"/>
          </w:tcPr>
          <w:p w14:paraId="115552C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34.396 </w:t>
            </w:r>
          </w:p>
        </w:tc>
      </w:tr>
      <w:tr w:rsidR="004E2F51" w:rsidRPr="001B015B" w14:paraId="44BA7946" w14:textId="77777777" w:rsidTr="00E032FC">
        <w:trPr>
          <w:trHeight w:val="248"/>
        </w:trPr>
        <w:tc>
          <w:tcPr>
            <w:tcW w:w="4122" w:type="dxa"/>
            <w:tcBorders>
              <w:top w:val="nil"/>
              <w:left w:val="nil"/>
              <w:bottom w:val="nil"/>
              <w:right w:val="nil"/>
            </w:tcBorders>
            <w:shd w:val="clear" w:color="auto" w:fill="auto"/>
          </w:tcPr>
          <w:p w14:paraId="7C897493"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111" w:type="dxa"/>
            <w:tcBorders>
              <w:top w:val="nil"/>
              <w:left w:val="nil"/>
              <w:bottom w:val="nil"/>
              <w:right w:val="nil"/>
            </w:tcBorders>
            <w:shd w:val="clear" w:color="auto" w:fill="auto"/>
          </w:tcPr>
          <w:p w14:paraId="404A1DA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10 </w:t>
            </w:r>
          </w:p>
        </w:tc>
        <w:tc>
          <w:tcPr>
            <w:tcW w:w="1034" w:type="dxa"/>
            <w:tcBorders>
              <w:top w:val="nil"/>
              <w:left w:val="nil"/>
              <w:bottom w:val="nil"/>
              <w:right w:val="nil"/>
            </w:tcBorders>
            <w:shd w:val="clear" w:color="auto" w:fill="auto"/>
          </w:tcPr>
          <w:p w14:paraId="7661031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w:t>
            </w:r>
          </w:p>
        </w:tc>
        <w:tc>
          <w:tcPr>
            <w:tcW w:w="1143" w:type="dxa"/>
            <w:tcBorders>
              <w:top w:val="nil"/>
              <w:left w:val="nil"/>
              <w:bottom w:val="nil"/>
              <w:right w:val="nil"/>
            </w:tcBorders>
            <w:shd w:val="clear" w:color="auto" w:fill="auto"/>
          </w:tcPr>
          <w:p w14:paraId="02C128C9"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(8)</w:t>
            </w:r>
          </w:p>
        </w:tc>
        <w:tc>
          <w:tcPr>
            <w:tcW w:w="992" w:type="dxa"/>
            <w:tcBorders>
              <w:top w:val="nil"/>
              <w:left w:val="nil"/>
              <w:bottom w:val="nil"/>
              <w:right w:val="nil"/>
            </w:tcBorders>
            <w:shd w:val="clear" w:color="auto" w:fill="auto"/>
          </w:tcPr>
          <w:p w14:paraId="474651C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992" w:type="dxa"/>
            <w:tcBorders>
              <w:top w:val="nil"/>
              <w:left w:val="nil"/>
              <w:bottom w:val="nil"/>
              <w:right w:val="nil"/>
            </w:tcBorders>
            <w:shd w:val="clear" w:color="auto" w:fill="auto"/>
          </w:tcPr>
          <w:p w14:paraId="6FBD1AC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r>
      <w:tr w:rsidR="004E2F51" w:rsidRPr="001B015B" w14:paraId="0F1CA4F0" w14:textId="77777777" w:rsidTr="00E032FC">
        <w:trPr>
          <w:trHeight w:val="248"/>
        </w:trPr>
        <w:tc>
          <w:tcPr>
            <w:tcW w:w="4122" w:type="dxa"/>
            <w:tcBorders>
              <w:top w:val="nil"/>
              <w:left w:val="nil"/>
              <w:bottom w:val="nil"/>
              <w:right w:val="nil"/>
            </w:tcBorders>
            <w:shd w:val="clear" w:color="auto" w:fill="auto"/>
          </w:tcPr>
          <w:p w14:paraId="40CB58DB"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111" w:type="dxa"/>
            <w:tcBorders>
              <w:top w:val="nil"/>
              <w:left w:val="nil"/>
              <w:bottom w:val="nil"/>
              <w:right w:val="nil"/>
            </w:tcBorders>
            <w:shd w:val="clear" w:color="auto" w:fill="auto"/>
          </w:tcPr>
          <w:p w14:paraId="541CAF0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(4)</w:t>
            </w:r>
          </w:p>
        </w:tc>
        <w:tc>
          <w:tcPr>
            <w:tcW w:w="1034" w:type="dxa"/>
            <w:tcBorders>
              <w:top w:val="nil"/>
              <w:left w:val="nil"/>
              <w:bottom w:val="nil"/>
              <w:right w:val="nil"/>
            </w:tcBorders>
            <w:shd w:val="clear" w:color="auto" w:fill="auto"/>
          </w:tcPr>
          <w:p w14:paraId="6B72DDA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4 </w:t>
            </w:r>
          </w:p>
        </w:tc>
        <w:tc>
          <w:tcPr>
            <w:tcW w:w="1143" w:type="dxa"/>
            <w:tcBorders>
              <w:top w:val="nil"/>
              <w:left w:val="nil"/>
              <w:bottom w:val="nil"/>
              <w:right w:val="nil"/>
            </w:tcBorders>
            <w:shd w:val="clear" w:color="auto" w:fill="auto"/>
          </w:tcPr>
          <w:p w14:paraId="30AF430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992" w:type="dxa"/>
            <w:tcBorders>
              <w:top w:val="nil"/>
              <w:left w:val="nil"/>
              <w:bottom w:val="nil"/>
              <w:right w:val="nil"/>
            </w:tcBorders>
            <w:shd w:val="clear" w:color="auto" w:fill="auto"/>
          </w:tcPr>
          <w:p w14:paraId="4EAAAC0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992" w:type="dxa"/>
            <w:tcBorders>
              <w:top w:val="nil"/>
              <w:left w:val="nil"/>
              <w:bottom w:val="nil"/>
              <w:right w:val="nil"/>
            </w:tcBorders>
            <w:shd w:val="clear" w:color="auto" w:fill="auto"/>
          </w:tcPr>
          <w:p w14:paraId="0496252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r>
      <w:tr w:rsidR="004E2F51" w:rsidRPr="001B015B" w14:paraId="0539F33C" w14:textId="77777777" w:rsidTr="00E032FC">
        <w:trPr>
          <w:trHeight w:val="248"/>
        </w:trPr>
        <w:tc>
          <w:tcPr>
            <w:tcW w:w="4122" w:type="dxa"/>
            <w:tcBorders>
              <w:top w:val="nil"/>
              <w:left w:val="nil"/>
              <w:bottom w:val="nil"/>
              <w:right w:val="nil"/>
            </w:tcBorders>
            <w:shd w:val="clear" w:color="auto" w:fill="auto"/>
            <w:hideMark/>
          </w:tcPr>
          <w:p w14:paraId="58F03525"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111" w:type="dxa"/>
            <w:tcBorders>
              <w:top w:val="nil"/>
              <w:left w:val="nil"/>
              <w:bottom w:val="nil"/>
              <w:right w:val="nil"/>
            </w:tcBorders>
            <w:shd w:val="clear" w:color="auto" w:fill="auto"/>
          </w:tcPr>
          <w:p w14:paraId="1233C1D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34" w:type="dxa"/>
            <w:tcBorders>
              <w:top w:val="nil"/>
              <w:left w:val="nil"/>
              <w:bottom w:val="nil"/>
              <w:right w:val="nil"/>
            </w:tcBorders>
            <w:shd w:val="clear" w:color="auto" w:fill="auto"/>
          </w:tcPr>
          <w:p w14:paraId="66A0BA3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w:t>
            </w:r>
          </w:p>
        </w:tc>
        <w:tc>
          <w:tcPr>
            <w:tcW w:w="1143" w:type="dxa"/>
            <w:tcBorders>
              <w:top w:val="nil"/>
              <w:left w:val="nil"/>
              <w:bottom w:val="nil"/>
              <w:right w:val="nil"/>
            </w:tcBorders>
            <w:shd w:val="clear" w:color="auto" w:fill="auto"/>
          </w:tcPr>
          <w:p w14:paraId="3F157B2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 </w:t>
            </w:r>
          </w:p>
        </w:tc>
        <w:tc>
          <w:tcPr>
            <w:tcW w:w="992" w:type="dxa"/>
            <w:tcBorders>
              <w:top w:val="nil"/>
              <w:left w:val="nil"/>
              <w:bottom w:val="nil"/>
              <w:right w:val="nil"/>
            </w:tcBorders>
            <w:shd w:val="clear" w:color="auto" w:fill="auto"/>
          </w:tcPr>
          <w:p w14:paraId="362305A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992" w:type="dxa"/>
            <w:tcBorders>
              <w:top w:val="nil"/>
              <w:left w:val="nil"/>
              <w:bottom w:val="nil"/>
              <w:right w:val="nil"/>
            </w:tcBorders>
            <w:shd w:val="clear" w:color="auto" w:fill="auto"/>
          </w:tcPr>
          <w:p w14:paraId="789B9F4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r>
      <w:tr w:rsidR="004E2F51" w:rsidRPr="001B015B" w14:paraId="18923397" w14:textId="77777777" w:rsidTr="00E032FC">
        <w:trPr>
          <w:trHeight w:val="311"/>
        </w:trPr>
        <w:tc>
          <w:tcPr>
            <w:tcW w:w="4122" w:type="dxa"/>
            <w:tcBorders>
              <w:top w:val="nil"/>
              <w:left w:val="nil"/>
              <w:bottom w:val="nil"/>
              <w:right w:val="nil"/>
            </w:tcBorders>
            <w:shd w:val="clear" w:color="auto" w:fill="auto"/>
            <w:vAlign w:val="center"/>
            <w:hideMark/>
          </w:tcPr>
          <w:p w14:paraId="1B34FE45"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(smanjenje)/povećanje rezerviranja za očekivane gubitke </w:t>
            </w:r>
          </w:p>
        </w:tc>
        <w:tc>
          <w:tcPr>
            <w:tcW w:w="1111" w:type="dxa"/>
            <w:tcBorders>
              <w:top w:val="nil"/>
              <w:left w:val="nil"/>
              <w:bottom w:val="nil"/>
              <w:right w:val="nil"/>
            </w:tcBorders>
            <w:shd w:val="clear" w:color="auto" w:fill="auto"/>
            <w:vAlign w:val="bottom"/>
          </w:tcPr>
          <w:p w14:paraId="5B0B5CC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(12)</w:t>
            </w:r>
          </w:p>
        </w:tc>
        <w:tc>
          <w:tcPr>
            <w:tcW w:w="1034" w:type="dxa"/>
            <w:tcBorders>
              <w:top w:val="nil"/>
              <w:left w:val="nil"/>
              <w:bottom w:val="nil"/>
              <w:right w:val="nil"/>
            </w:tcBorders>
            <w:shd w:val="clear" w:color="auto" w:fill="auto"/>
            <w:vAlign w:val="bottom"/>
          </w:tcPr>
          <w:p w14:paraId="5DF24116"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 </w:t>
            </w:r>
          </w:p>
        </w:tc>
        <w:tc>
          <w:tcPr>
            <w:tcW w:w="1143" w:type="dxa"/>
            <w:tcBorders>
              <w:top w:val="nil"/>
              <w:left w:val="nil"/>
              <w:bottom w:val="nil"/>
              <w:right w:val="nil"/>
            </w:tcBorders>
            <w:shd w:val="clear" w:color="auto" w:fill="auto"/>
            <w:vAlign w:val="bottom"/>
          </w:tcPr>
          <w:p w14:paraId="31B7D53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(2.786)</w:t>
            </w:r>
          </w:p>
        </w:tc>
        <w:tc>
          <w:tcPr>
            <w:tcW w:w="992" w:type="dxa"/>
            <w:tcBorders>
              <w:top w:val="nil"/>
              <w:left w:val="nil"/>
              <w:bottom w:val="nil"/>
              <w:right w:val="nil"/>
            </w:tcBorders>
            <w:shd w:val="clear" w:color="auto" w:fill="auto"/>
            <w:vAlign w:val="bottom"/>
          </w:tcPr>
          <w:p w14:paraId="747A775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245 </w:t>
            </w:r>
          </w:p>
        </w:tc>
        <w:tc>
          <w:tcPr>
            <w:tcW w:w="992" w:type="dxa"/>
            <w:tcBorders>
              <w:top w:val="nil"/>
              <w:left w:val="nil"/>
              <w:bottom w:val="nil"/>
              <w:right w:val="nil"/>
            </w:tcBorders>
            <w:shd w:val="clear" w:color="auto" w:fill="auto"/>
            <w:vAlign w:val="bottom"/>
          </w:tcPr>
          <w:p w14:paraId="19421E5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(2.551)</w:t>
            </w:r>
          </w:p>
        </w:tc>
      </w:tr>
      <w:tr w:rsidR="004E2F51" w:rsidRPr="001B015B" w14:paraId="3AADEB8D" w14:textId="77777777" w:rsidTr="00E032FC">
        <w:trPr>
          <w:trHeight w:val="111"/>
        </w:trPr>
        <w:tc>
          <w:tcPr>
            <w:tcW w:w="4122" w:type="dxa"/>
            <w:tcBorders>
              <w:top w:val="nil"/>
              <w:left w:val="nil"/>
              <w:bottom w:val="nil"/>
              <w:right w:val="nil"/>
            </w:tcBorders>
            <w:shd w:val="clear" w:color="auto" w:fill="auto"/>
            <w:vAlign w:val="center"/>
          </w:tcPr>
          <w:p w14:paraId="3BD1EEBD"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Otpis</w:t>
            </w:r>
          </w:p>
        </w:tc>
        <w:tc>
          <w:tcPr>
            <w:tcW w:w="1111" w:type="dxa"/>
            <w:tcBorders>
              <w:top w:val="nil"/>
              <w:left w:val="nil"/>
              <w:bottom w:val="nil"/>
              <w:right w:val="nil"/>
            </w:tcBorders>
            <w:shd w:val="clear" w:color="auto" w:fill="auto"/>
          </w:tcPr>
          <w:p w14:paraId="7FC09C0D" w14:textId="77777777" w:rsidR="004E2F51" w:rsidRPr="001B015B" w:rsidRDefault="004E2F51" w:rsidP="00E032FC">
            <w:pPr>
              <w:jc w:val="right"/>
              <w:rPr>
                <w:rFonts w:ascii="Arial" w:hAnsi="Arial" w:cs="Arial"/>
                <w:sz w:val="18"/>
                <w:szCs w:val="18"/>
              </w:rPr>
            </w:pPr>
            <w:r w:rsidRPr="001B015B">
              <w:rPr>
                <w:rFonts w:ascii="Arial" w:hAnsi="Arial" w:cs="Arial"/>
                <w:sz w:val="18"/>
                <w:szCs w:val="18"/>
              </w:rPr>
              <w:t xml:space="preserve"> - </w:t>
            </w:r>
          </w:p>
        </w:tc>
        <w:tc>
          <w:tcPr>
            <w:tcW w:w="1034" w:type="dxa"/>
            <w:tcBorders>
              <w:top w:val="nil"/>
              <w:left w:val="nil"/>
              <w:bottom w:val="nil"/>
              <w:right w:val="nil"/>
            </w:tcBorders>
            <w:shd w:val="clear" w:color="auto" w:fill="auto"/>
          </w:tcPr>
          <w:p w14:paraId="1B2FA54C" w14:textId="77777777" w:rsidR="004E2F51" w:rsidRPr="001B015B" w:rsidRDefault="004E2F51" w:rsidP="00E032FC">
            <w:pPr>
              <w:jc w:val="right"/>
              <w:rPr>
                <w:rFonts w:ascii="Arial" w:hAnsi="Arial" w:cs="Arial"/>
                <w:sz w:val="18"/>
                <w:szCs w:val="18"/>
              </w:rPr>
            </w:pPr>
            <w:r w:rsidRPr="001B015B">
              <w:rPr>
                <w:rFonts w:ascii="Arial" w:hAnsi="Arial" w:cs="Arial"/>
                <w:sz w:val="18"/>
                <w:szCs w:val="18"/>
              </w:rPr>
              <w:t xml:space="preserve"> - </w:t>
            </w:r>
          </w:p>
        </w:tc>
        <w:tc>
          <w:tcPr>
            <w:tcW w:w="1143" w:type="dxa"/>
            <w:tcBorders>
              <w:top w:val="nil"/>
              <w:left w:val="nil"/>
              <w:bottom w:val="nil"/>
              <w:right w:val="nil"/>
            </w:tcBorders>
            <w:shd w:val="clear" w:color="auto" w:fill="auto"/>
          </w:tcPr>
          <w:p w14:paraId="0DE510C8" w14:textId="77777777" w:rsidR="004E2F51" w:rsidRPr="001B015B" w:rsidRDefault="004E2F51" w:rsidP="00E032FC">
            <w:pPr>
              <w:jc w:val="right"/>
              <w:rPr>
                <w:rFonts w:ascii="Arial" w:hAnsi="Arial" w:cs="Arial"/>
                <w:sz w:val="18"/>
                <w:szCs w:val="18"/>
              </w:rPr>
            </w:pPr>
            <w:r w:rsidRPr="001B015B">
              <w:rPr>
                <w:rFonts w:ascii="Arial" w:hAnsi="Arial" w:cs="Arial"/>
                <w:sz w:val="18"/>
                <w:szCs w:val="18"/>
              </w:rPr>
              <w:t xml:space="preserve"> (151)</w:t>
            </w:r>
          </w:p>
        </w:tc>
        <w:tc>
          <w:tcPr>
            <w:tcW w:w="992" w:type="dxa"/>
            <w:tcBorders>
              <w:top w:val="nil"/>
              <w:left w:val="nil"/>
              <w:bottom w:val="nil"/>
              <w:right w:val="nil"/>
            </w:tcBorders>
            <w:shd w:val="clear" w:color="auto" w:fill="auto"/>
          </w:tcPr>
          <w:p w14:paraId="27C176AA" w14:textId="77777777" w:rsidR="004E2F51" w:rsidRPr="001B015B" w:rsidRDefault="004E2F51" w:rsidP="00E032FC">
            <w:pPr>
              <w:jc w:val="right"/>
              <w:rPr>
                <w:rFonts w:ascii="Arial" w:hAnsi="Arial" w:cs="Arial"/>
                <w:sz w:val="18"/>
                <w:szCs w:val="18"/>
              </w:rPr>
            </w:pPr>
            <w:r w:rsidRPr="001B015B">
              <w:rPr>
                <w:rFonts w:ascii="Arial" w:hAnsi="Arial" w:cs="Arial"/>
                <w:sz w:val="18"/>
                <w:szCs w:val="18"/>
              </w:rPr>
              <w:t xml:space="preserve"> - </w:t>
            </w:r>
          </w:p>
        </w:tc>
        <w:tc>
          <w:tcPr>
            <w:tcW w:w="992" w:type="dxa"/>
            <w:tcBorders>
              <w:top w:val="nil"/>
              <w:left w:val="nil"/>
              <w:bottom w:val="nil"/>
              <w:right w:val="nil"/>
            </w:tcBorders>
            <w:shd w:val="clear" w:color="auto" w:fill="auto"/>
          </w:tcPr>
          <w:p w14:paraId="43F21F77" w14:textId="77777777" w:rsidR="004E2F51" w:rsidRPr="001B015B" w:rsidRDefault="004E2F51" w:rsidP="00E032FC">
            <w:pPr>
              <w:jc w:val="right"/>
              <w:rPr>
                <w:rFonts w:ascii="Arial" w:hAnsi="Arial" w:cs="Arial"/>
                <w:sz w:val="18"/>
                <w:szCs w:val="18"/>
              </w:rPr>
            </w:pPr>
            <w:r w:rsidRPr="001B015B">
              <w:rPr>
                <w:rFonts w:ascii="Arial" w:hAnsi="Arial" w:cs="Arial"/>
                <w:sz w:val="18"/>
                <w:szCs w:val="18"/>
              </w:rPr>
              <w:t xml:space="preserve"> (151)</w:t>
            </w:r>
          </w:p>
        </w:tc>
      </w:tr>
      <w:tr w:rsidR="004E2F51" w:rsidRPr="001B015B" w14:paraId="4094D2B9" w14:textId="77777777" w:rsidTr="00E032FC">
        <w:trPr>
          <w:trHeight w:val="261"/>
        </w:trPr>
        <w:tc>
          <w:tcPr>
            <w:tcW w:w="4122" w:type="dxa"/>
            <w:tcBorders>
              <w:top w:val="nil"/>
              <w:left w:val="nil"/>
              <w:bottom w:val="nil"/>
              <w:right w:val="nil"/>
            </w:tcBorders>
            <w:shd w:val="clear" w:color="auto" w:fill="auto"/>
            <w:vAlign w:val="center"/>
            <w:hideMark/>
          </w:tcPr>
          <w:p w14:paraId="3D325976"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111" w:type="dxa"/>
            <w:tcBorders>
              <w:top w:val="nil"/>
              <w:left w:val="nil"/>
              <w:bottom w:val="single" w:sz="8" w:space="0" w:color="auto"/>
              <w:right w:val="nil"/>
            </w:tcBorders>
            <w:shd w:val="clear" w:color="auto" w:fill="auto"/>
            <w:vAlign w:val="bottom"/>
          </w:tcPr>
          <w:p w14:paraId="4F9EEA8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34" w:type="dxa"/>
            <w:tcBorders>
              <w:top w:val="nil"/>
              <w:left w:val="nil"/>
              <w:bottom w:val="single" w:sz="8" w:space="0" w:color="auto"/>
              <w:right w:val="nil"/>
            </w:tcBorders>
            <w:shd w:val="clear" w:color="auto" w:fill="auto"/>
            <w:vAlign w:val="bottom"/>
          </w:tcPr>
          <w:p w14:paraId="1E97C450"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143" w:type="dxa"/>
            <w:tcBorders>
              <w:top w:val="nil"/>
              <w:left w:val="nil"/>
              <w:bottom w:val="single" w:sz="8" w:space="0" w:color="auto"/>
              <w:right w:val="nil"/>
            </w:tcBorders>
            <w:shd w:val="clear" w:color="auto" w:fill="auto"/>
            <w:vAlign w:val="bottom"/>
          </w:tcPr>
          <w:p w14:paraId="3F52FC4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 </w:t>
            </w:r>
          </w:p>
        </w:tc>
        <w:tc>
          <w:tcPr>
            <w:tcW w:w="992" w:type="dxa"/>
            <w:tcBorders>
              <w:top w:val="nil"/>
              <w:left w:val="nil"/>
              <w:bottom w:val="single" w:sz="8" w:space="0" w:color="auto"/>
              <w:right w:val="nil"/>
            </w:tcBorders>
            <w:shd w:val="clear" w:color="auto" w:fill="auto"/>
            <w:vAlign w:val="bottom"/>
          </w:tcPr>
          <w:p w14:paraId="6DA58AC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992" w:type="dxa"/>
            <w:tcBorders>
              <w:top w:val="nil"/>
              <w:left w:val="nil"/>
              <w:bottom w:val="single" w:sz="8" w:space="0" w:color="auto"/>
              <w:right w:val="nil"/>
            </w:tcBorders>
            <w:shd w:val="clear" w:color="auto" w:fill="auto"/>
            <w:vAlign w:val="bottom"/>
          </w:tcPr>
          <w:p w14:paraId="02CAFE9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3 </w:t>
            </w:r>
          </w:p>
        </w:tc>
      </w:tr>
      <w:tr w:rsidR="004E2F51" w:rsidRPr="001B015B" w14:paraId="4FD8D282" w14:textId="77777777" w:rsidTr="00E032FC">
        <w:trPr>
          <w:trHeight w:val="261"/>
        </w:trPr>
        <w:tc>
          <w:tcPr>
            <w:tcW w:w="4122" w:type="dxa"/>
            <w:tcBorders>
              <w:top w:val="nil"/>
              <w:left w:val="nil"/>
              <w:bottom w:val="nil"/>
              <w:right w:val="nil"/>
            </w:tcBorders>
            <w:shd w:val="clear" w:color="auto" w:fill="auto"/>
            <w:vAlign w:val="center"/>
            <w:hideMark/>
          </w:tcPr>
          <w:p w14:paraId="2864D914"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2021.</w:t>
            </w:r>
          </w:p>
        </w:tc>
        <w:tc>
          <w:tcPr>
            <w:tcW w:w="1111" w:type="dxa"/>
            <w:tcBorders>
              <w:top w:val="nil"/>
              <w:left w:val="nil"/>
              <w:bottom w:val="single" w:sz="12" w:space="0" w:color="auto"/>
              <w:right w:val="nil"/>
            </w:tcBorders>
            <w:shd w:val="clear" w:color="auto" w:fill="auto"/>
            <w:vAlign w:val="bottom"/>
          </w:tcPr>
          <w:p w14:paraId="3FE8A4E4"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25 </w:t>
            </w:r>
          </w:p>
        </w:tc>
        <w:tc>
          <w:tcPr>
            <w:tcW w:w="1034" w:type="dxa"/>
            <w:tcBorders>
              <w:top w:val="nil"/>
              <w:left w:val="nil"/>
              <w:bottom w:val="single" w:sz="12" w:space="0" w:color="auto"/>
              <w:right w:val="nil"/>
            </w:tcBorders>
            <w:shd w:val="clear" w:color="auto" w:fill="auto"/>
            <w:vAlign w:val="bottom"/>
          </w:tcPr>
          <w:p w14:paraId="5B0A836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4 </w:t>
            </w:r>
          </w:p>
        </w:tc>
        <w:tc>
          <w:tcPr>
            <w:tcW w:w="1143" w:type="dxa"/>
            <w:tcBorders>
              <w:top w:val="nil"/>
              <w:left w:val="nil"/>
              <w:bottom w:val="single" w:sz="12" w:space="0" w:color="auto"/>
              <w:right w:val="nil"/>
            </w:tcBorders>
            <w:shd w:val="clear" w:color="auto" w:fill="auto"/>
            <w:vAlign w:val="bottom"/>
          </w:tcPr>
          <w:p w14:paraId="3D5F4E86"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31.418 </w:t>
            </w:r>
          </w:p>
        </w:tc>
        <w:tc>
          <w:tcPr>
            <w:tcW w:w="992" w:type="dxa"/>
            <w:tcBorders>
              <w:top w:val="nil"/>
              <w:left w:val="nil"/>
              <w:bottom w:val="single" w:sz="12" w:space="0" w:color="auto"/>
              <w:right w:val="nil"/>
            </w:tcBorders>
            <w:shd w:val="clear" w:color="auto" w:fill="auto"/>
            <w:vAlign w:val="bottom"/>
          </w:tcPr>
          <w:p w14:paraId="0C543131"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250 </w:t>
            </w:r>
          </w:p>
        </w:tc>
        <w:tc>
          <w:tcPr>
            <w:tcW w:w="992" w:type="dxa"/>
            <w:tcBorders>
              <w:top w:val="nil"/>
              <w:left w:val="nil"/>
              <w:bottom w:val="single" w:sz="12" w:space="0" w:color="auto"/>
              <w:right w:val="nil"/>
            </w:tcBorders>
            <w:shd w:val="clear" w:color="auto" w:fill="auto"/>
            <w:vAlign w:val="bottom"/>
          </w:tcPr>
          <w:p w14:paraId="14EFD55B"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31.697 </w:t>
            </w:r>
          </w:p>
        </w:tc>
      </w:tr>
    </w:tbl>
    <w:p w14:paraId="4C10A5E2" w14:textId="77777777" w:rsidR="004E2F51" w:rsidRPr="001B015B" w:rsidRDefault="004E2F51" w:rsidP="004E2F51">
      <w:pPr>
        <w:rPr>
          <w:rFonts w:ascii="Arial" w:eastAsia="Calibri" w:hAnsi="Arial" w:cs="Arial"/>
          <w:color w:val="000000" w:themeColor="text1"/>
          <w:sz w:val="20"/>
          <w:szCs w:val="20"/>
          <w:lang w:val="hr-HR"/>
        </w:rPr>
      </w:pPr>
    </w:p>
    <w:p w14:paraId="35B8B514" w14:textId="77777777" w:rsidR="004E2F51" w:rsidRPr="001B015B" w:rsidRDefault="004E2F51" w:rsidP="004E2F51">
      <w:pPr>
        <w:rPr>
          <w:rFonts w:ascii="Arial" w:eastAsia="Calibri" w:hAnsi="Arial" w:cs="Arial"/>
          <w:color w:val="000000" w:themeColor="text1"/>
          <w:sz w:val="20"/>
          <w:szCs w:val="20"/>
          <w:lang w:val="hr-HR"/>
        </w:rPr>
      </w:pPr>
    </w:p>
    <w:p w14:paraId="0A07A247" w14:textId="77777777" w:rsidR="004E2F51" w:rsidRPr="00B91D09" w:rsidRDefault="004E2F51" w:rsidP="004E2F51">
      <w:pPr>
        <w:rPr>
          <w:rFonts w:ascii="Arial" w:eastAsia="Calibri" w:hAnsi="Arial" w:cs="Arial"/>
          <w:color w:val="000000" w:themeColor="text1"/>
          <w:sz w:val="22"/>
          <w:szCs w:val="22"/>
          <w:lang w:val="hr-HR"/>
        </w:rPr>
        <w:sectPr w:rsidR="004E2F51" w:rsidRPr="00B91D09" w:rsidSect="00623DBA">
          <w:footerReference w:type="default" r:id="rId201"/>
          <w:pgSz w:w="11906" w:h="16838"/>
          <w:pgMar w:top="1418" w:right="1134" w:bottom="1134" w:left="1418" w:header="708" w:footer="708" w:gutter="0"/>
          <w:cols w:space="708"/>
          <w:docGrid w:linePitch="360"/>
        </w:sectPr>
      </w:pPr>
    </w:p>
    <w:p w14:paraId="61E92162" w14:textId="77777777" w:rsidR="004E2F51" w:rsidRPr="001B015B" w:rsidRDefault="004E2F51" w:rsidP="004E2F51">
      <w:pPr>
        <w:keepNext/>
        <w:jc w:val="both"/>
        <w:rPr>
          <w:rFonts w:ascii="Arial" w:hAnsi="Arial" w:cs="Arial"/>
          <w:b/>
          <w:bCs/>
          <w:color w:val="000000" w:themeColor="text1"/>
          <w:sz w:val="20"/>
          <w:szCs w:val="20"/>
          <w:lang w:val="hr-HR"/>
        </w:rPr>
      </w:pPr>
    </w:p>
    <w:p w14:paraId="47B29128"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w:t>
      </w:r>
      <w:r w:rsidRPr="001B015B">
        <w:rPr>
          <w:rFonts w:ascii="Arial" w:hAnsi="Arial" w:cs="Arial"/>
          <w:b/>
          <w:bCs/>
          <w:color w:val="000000" w:themeColor="text1"/>
          <w:sz w:val="20"/>
          <w:szCs w:val="20"/>
          <w:lang w:val="hr-HR"/>
        </w:rPr>
        <w:tab/>
        <w:t>Upravljanje rizicima (nastavak)</w:t>
      </w:r>
    </w:p>
    <w:p w14:paraId="28777C3B" w14:textId="77777777" w:rsidR="004E2F51" w:rsidRPr="001B015B" w:rsidRDefault="004E2F51" w:rsidP="004E2F51">
      <w:pPr>
        <w:keepNext/>
        <w:jc w:val="both"/>
        <w:rPr>
          <w:rFonts w:ascii="Arial" w:hAnsi="Arial" w:cs="Arial"/>
          <w:b/>
          <w:bCs/>
          <w:color w:val="000000" w:themeColor="text1"/>
          <w:sz w:val="20"/>
          <w:szCs w:val="20"/>
          <w:lang w:val="hr-HR"/>
        </w:rPr>
      </w:pPr>
    </w:p>
    <w:p w14:paraId="0AE5AEF7" w14:textId="77777777" w:rsidR="004E2F51" w:rsidRPr="001B015B" w:rsidRDefault="004E2F51" w:rsidP="004E2F51">
      <w:pPr>
        <w:keepNext/>
        <w:jc w:val="both"/>
        <w:rPr>
          <w:rFonts w:ascii="Arial" w:hAnsi="Arial" w:cs="Arial"/>
          <w:b/>
          <w:bCs/>
          <w:color w:val="000000" w:themeColor="text1"/>
          <w:sz w:val="20"/>
          <w:szCs w:val="20"/>
          <w:lang w:val="hr-HR"/>
        </w:rPr>
      </w:pPr>
      <w:r w:rsidRPr="001B015B">
        <w:rPr>
          <w:rFonts w:ascii="Arial" w:hAnsi="Arial" w:cs="Arial"/>
          <w:b/>
          <w:bCs/>
          <w:color w:val="000000" w:themeColor="text1"/>
          <w:sz w:val="20"/>
          <w:szCs w:val="20"/>
          <w:lang w:val="hr-HR"/>
        </w:rPr>
        <w:t>3</w:t>
      </w:r>
      <w:r>
        <w:rPr>
          <w:rFonts w:ascii="Arial" w:hAnsi="Arial" w:cs="Arial"/>
          <w:b/>
          <w:bCs/>
          <w:color w:val="000000" w:themeColor="text1"/>
          <w:sz w:val="20"/>
          <w:szCs w:val="20"/>
          <w:lang w:val="hr-HR"/>
        </w:rPr>
        <w:t>1</w:t>
      </w:r>
      <w:r w:rsidRPr="001B015B">
        <w:rPr>
          <w:rFonts w:ascii="Arial" w:hAnsi="Arial" w:cs="Arial"/>
          <w:b/>
          <w:bCs/>
          <w:color w:val="000000" w:themeColor="text1"/>
          <w:sz w:val="20"/>
          <w:szCs w:val="20"/>
          <w:lang w:val="hr-HR"/>
        </w:rPr>
        <w:t xml:space="preserve">.3. </w:t>
      </w:r>
      <w:r w:rsidRPr="001B015B">
        <w:rPr>
          <w:rFonts w:ascii="Arial" w:hAnsi="Arial" w:cs="Arial"/>
          <w:b/>
          <w:bCs/>
          <w:color w:val="000000" w:themeColor="text1"/>
          <w:sz w:val="20"/>
          <w:szCs w:val="20"/>
          <w:lang w:val="hr-HR"/>
        </w:rPr>
        <w:tab/>
        <w:t>Kreditni rizik (nastavak)</w:t>
      </w:r>
    </w:p>
    <w:p w14:paraId="2875F0CE" w14:textId="77777777" w:rsidR="004E2F51" w:rsidRPr="001B015B" w:rsidRDefault="004E2F51" w:rsidP="004E2F51">
      <w:pPr>
        <w:keepNext/>
        <w:jc w:val="both"/>
        <w:rPr>
          <w:rFonts w:ascii="Arial" w:hAnsi="Arial" w:cs="Arial"/>
          <w:b/>
          <w:bCs/>
          <w:color w:val="000000" w:themeColor="text1"/>
          <w:sz w:val="20"/>
          <w:szCs w:val="20"/>
          <w:lang w:val="hr-HR"/>
        </w:rPr>
      </w:pPr>
    </w:p>
    <w:p w14:paraId="4FA3D5B8" w14:textId="77777777" w:rsidR="004E2F51" w:rsidRPr="001B015B" w:rsidRDefault="004E2F51" w:rsidP="004E2F51">
      <w:pPr>
        <w:keepNext/>
        <w:tabs>
          <w:tab w:val="left" w:pos="284"/>
        </w:tabs>
        <w:jc w:val="both"/>
        <w:rPr>
          <w:rFonts w:ascii="Arial" w:hAnsi="Arial" w:cs="Arial"/>
          <w:bCs/>
          <w:i/>
          <w:color w:val="000000" w:themeColor="text1"/>
          <w:sz w:val="20"/>
          <w:szCs w:val="20"/>
          <w:lang w:val="hr-HR"/>
        </w:rPr>
      </w:pPr>
      <w:r w:rsidRPr="001B015B">
        <w:rPr>
          <w:rFonts w:ascii="Arial" w:hAnsi="Arial" w:cs="Arial"/>
          <w:bCs/>
          <w:i/>
          <w:color w:val="000000" w:themeColor="text1"/>
          <w:sz w:val="20"/>
          <w:szCs w:val="20"/>
          <w:lang w:val="hr-HR"/>
        </w:rPr>
        <w:t>i.</w:t>
      </w:r>
      <w:r w:rsidRPr="001B015B">
        <w:rPr>
          <w:rFonts w:ascii="Arial" w:hAnsi="Arial" w:cs="Arial"/>
          <w:bCs/>
          <w:i/>
          <w:color w:val="000000" w:themeColor="text1"/>
          <w:sz w:val="20"/>
          <w:szCs w:val="20"/>
          <w:lang w:val="hr-HR"/>
        </w:rPr>
        <w:tab/>
        <w:t>Promjene po rezerviranjima (nastavak)</w:t>
      </w:r>
    </w:p>
    <w:p w14:paraId="5B4AC73D" w14:textId="77777777" w:rsidR="004E2F51" w:rsidRPr="001B015B" w:rsidRDefault="004E2F51" w:rsidP="004E2F51">
      <w:pPr>
        <w:keepNext/>
        <w:tabs>
          <w:tab w:val="left" w:pos="284"/>
        </w:tabs>
        <w:jc w:val="both"/>
        <w:rPr>
          <w:rFonts w:ascii="Arial" w:hAnsi="Arial" w:cs="Arial"/>
          <w:bCs/>
          <w:i/>
          <w:color w:val="000000" w:themeColor="text1"/>
          <w:sz w:val="20"/>
          <w:szCs w:val="20"/>
          <w:lang w:val="hr-HR"/>
        </w:rPr>
      </w:pPr>
    </w:p>
    <w:p w14:paraId="5ECA4F5E" w14:textId="77777777" w:rsidR="004E2F51" w:rsidRPr="001B015B" w:rsidRDefault="004E2F51" w:rsidP="004E2F51">
      <w:pPr>
        <w:jc w:val="both"/>
        <w:rPr>
          <w:rFonts w:ascii="Arial" w:eastAsia="Calibri" w:hAnsi="Arial" w:cs="Arial"/>
          <w:b/>
          <w:bCs/>
          <w:color w:val="000000" w:themeColor="text1"/>
          <w:sz w:val="20"/>
          <w:szCs w:val="20"/>
          <w:lang w:val="hr-HR"/>
        </w:rPr>
      </w:pPr>
      <w:r w:rsidRPr="001B015B">
        <w:rPr>
          <w:rFonts w:ascii="Arial" w:eastAsia="Calibri" w:hAnsi="Arial" w:cs="Arial"/>
          <w:b/>
          <w:bCs/>
          <w:color w:val="000000" w:themeColor="text1"/>
          <w:sz w:val="20"/>
          <w:szCs w:val="20"/>
          <w:lang w:val="hr-HR"/>
        </w:rPr>
        <w:t>Garancije i preuzete obveze</w:t>
      </w:r>
    </w:p>
    <w:p w14:paraId="1253ABAF" w14:textId="77777777" w:rsidR="004E2F51" w:rsidRPr="001B015B" w:rsidRDefault="004E2F51" w:rsidP="004E2F51">
      <w:pPr>
        <w:jc w:val="both"/>
        <w:rPr>
          <w:rFonts w:ascii="Arial" w:eastAsia="Calibri" w:hAnsi="Arial" w:cs="Arial"/>
          <w:b/>
          <w:bCs/>
          <w:color w:val="000000" w:themeColor="text1"/>
          <w:sz w:val="20"/>
          <w:szCs w:val="20"/>
          <w:lang w:val="hr-HR"/>
        </w:rPr>
      </w:pPr>
    </w:p>
    <w:tbl>
      <w:tblPr>
        <w:tblW w:w="9369" w:type="dxa"/>
        <w:tblInd w:w="-180" w:type="dxa"/>
        <w:tblLook w:val="04A0" w:firstRow="1" w:lastRow="0" w:firstColumn="1" w:lastColumn="0" w:noHBand="0" w:noVBand="1"/>
      </w:tblPr>
      <w:tblGrid>
        <w:gridCol w:w="4148"/>
        <w:gridCol w:w="1036"/>
        <w:gridCol w:w="1030"/>
        <w:gridCol w:w="1030"/>
        <w:gridCol w:w="1026"/>
        <w:gridCol w:w="1099"/>
      </w:tblGrid>
      <w:tr w:rsidR="004E2F51" w:rsidRPr="001B015B" w14:paraId="30B2FA3E" w14:textId="77777777" w:rsidTr="00E032FC">
        <w:trPr>
          <w:trHeight w:val="176"/>
        </w:trPr>
        <w:tc>
          <w:tcPr>
            <w:tcW w:w="4148" w:type="dxa"/>
            <w:tcBorders>
              <w:top w:val="nil"/>
              <w:left w:val="nil"/>
              <w:bottom w:val="nil"/>
              <w:right w:val="nil"/>
            </w:tcBorders>
            <w:shd w:val="clear" w:color="auto" w:fill="auto"/>
            <w:vAlign w:val="center"/>
          </w:tcPr>
          <w:p w14:paraId="2EEE0695"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Grupa i Banka</w:t>
            </w:r>
          </w:p>
        </w:tc>
        <w:tc>
          <w:tcPr>
            <w:tcW w:w="1036" w:type="dxa"/>
            <w:tcBorders>
              <w:top w:val="nil"/>
              <w:left w:val="nil"/>
              <w:bottom w:val="nil"/>
              <w:right w:val="nil"/>
            </w:tcBorders>
            <w:shd w:val="clear" w:color="auto" w:fill="auto"/>
            <w:vAlign w:val="center"/>
          </w:tcPr>
          <w:p w14:paraId="7C7F49D5"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3A406A10"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5431C10D"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6" w:type="dxa"/>
            <w:tcBorders>
              <w:top w:val="nil"/>
              <w:left w:val="nil"/>
              <w:bottom w:val="nil"/>
              <w:right w:val="nil"/>
            </w:tcBorders>
            <w:shd w:val="clear" w:color="auto" w:fill="auto"/>
            <w:vAlign w:val="center"/>
          </w:tcPr>
          <w:p w14:paraId="13C7F661"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9" w:type="dxa"/>
            <w:tcBorders>
              <w:top w:val="nil"/>
              <w:left w:val="nil"/>
              <w:bottom w:val="nil"/>
              <w:right w:val="nil"/>
            </w:tcBorders>
            <w:shd w:val="clear" w:color="auto" w:fill="auto"/>
            <w:vAlign w:val="center"/>
          </w:tcPr>
          <w:p w14:paraId="794394DE"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426A7549" w14:textId="77777777" w:rsidTr="00E032FC">
        <w:trPr>
          <w:trHeight w:val="176"/>
        </w:trPr>
        <w:tc>
          <w:tcPr>
            <w:tcW w:w="4148" w:type="dxa"/>
            <w:tcBorders>
              <w:top w:val="nil"/>
              <w:left w:val="nil"/>
              <w:bottom w:val="nil"/>
              <w:right w:val="nil"/>
            </w:tcBorders>
            <w:shd w:val="clear" w:color="auto" w:fill="auto"/>
            <w:vAlign w:val="center"/>
            <w:hideMark/>
          </w:tcPr>
          <w:p w14:paraId="5D36DE16"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036" w:type="dxa"/>
            <w:tcBorders>
              <w:top w:val="nil"/>
              <w:left w:val="nil"/>
              <w:bottom w:val="nil"/>
              <w:right w:val="nil"/>
            </w:tcBorders>
            <w:shd w:val="clear" w:color="auto" w:fill="auto"/>
            <w:vAlign w:val="center"/>
            <w:hideMark/>
          </w:tcPr>
          <w:p w14:paraId="1CF2C95C"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0" w:type="dxa"/>
            <w:tcBorders>
              <w:top w:val="nil"/>
              <w:left w:val="nil"/>
              <w:bottom w:val="nil"/>
              <w:right w:val="nil"/>
            </w:tcBorders>
            <w:shd w:val="clear" w:color="auto" w:fill="auto"/>
            <w:vAlign w:val="center"/>
            <w:hideMark/>
          </w:tcPr>
          <w:p w14:paraId="2923A05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30" w:type="dxa"/>
            <w:tcBorders>
              <w:top w:val="nil"/>
              <w:left w:val="nil"/>
              <w:bottom w:val="nil"/>
              <w:right w:val="nil"/>
            </w:tcBorders>
            <w:shd w:val="clear" w:color="auto" w:fill="auto"/>
            <w:vAlign w:val="center"/>
            <w:hideMark/>
          </w:tcPr>
          <w:p w14:paraId="56CA31B8"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6" w:type="dxa"/>
            <w:tcBorders>
              <w:top w:val="nil"/>
              <w:left w:val="nil"/>
              <w:bottom w:val="nil"/>
              <w:right w:val="nil"/>
            </w:tcBorders>
            <w:shd w:val="clear" w:color="auto" w:fill="auto"/>
            <w:vAlign w:val="center"/>
            <w:hideMark/>
          </w:tcPr>
          <w:p w14:paraId="25E24812"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9" w:type="dxa"/>
            <w:tcBorders>
              <w:top w:val="nil"/>
              <w:left w:val="nil"/>
              <w:bottom w:val="nil"/>
              <w:right w:val="nil"/>
            </w:tcBorders>
            <w:shd w:val="clear" w:color="auto" w:fill="auto"/>
            <w:vAlign w:val="center"/>
            <w:hideMark/>
          </w:tcPr>
          <w:p w14:paraId="74F3A76A"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6AE615AA" w14:textId="77777777" w:rsidTr="00E032FC">
        <w:trPr>
          <w:trHeight w:val="176"/>
        </w:trPr>
        <w:tc>
          <w:tcPr>
            <w:tcW w:w="4148" w:type="dxa"/>
            <w:tcBorders>
              <w:top w:val="nil"/>
              <w:left w:val="nil"/>
              <w:bottom w:val="nil"/>
              <w:right w:val="nil"/>
            </w:tcBorders>
            <w:shd w:val="clear" w:color="auto" w:fill="auto"/>
            <w:vAlign w:val="center"/>
            <w:hideMark/>
          </w:tcPr>
          <w:p w14:paraId="09223B07"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6" w:type="dxa"/>
            <w:tcBorders>
              <w:top w:val="nil"/>
              <w:left w:val="nil"/>
              <w:bottom w:val="nil"/>
              <w:right w:val="nil"/>
            </w:tcBorders>
            <w:shd w:val="clear" w:color="auto" w:fill="auto"/>
            <w:vAlign w:val="center"/>
            <w:hideMark/>
          </w:tcPr>
          <w:p w14:paraId="013F364A"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30" w:type="dxa"/>
            <w:tcBorders>
              <w:top w:val="nil"/>
              <w:left w:val="nil"/>
              <w:bottom w:val="nil"/>
              <w:right w:val="nil"/>
            </w:tcBorders>
            <w:shd w:val="clear" w:color="auto" w:fill="auto"/>
            <w:vAlign w:val="center"/>
            <w:hideMark/>
          </w:tcPr>
          <w:p w14:paraId="711277F1"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30" w:type="dxa"/>
            <w:tcBorders>
              <w:top w:val="nil"/>
              <w:left w:val="nil"/>
              <w:bottom w:val="nil"/>
              <w:right w:val="nil"/>
            </w:tcBorders>
            <w:shd w:val="clear" w:color="auto" w:fill="auto"/>
            <w:vAlign w:val="center"/>
            <w:hideMark/>
          </w:tcPr>
          <w:p w14:paraId="6C904831"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26" w:type="dxa"/>
            <w:tcBorders>
              <w:top w:val="nil"/>
              <w:left w:val="nil"/>
              <w:bottom w:val="nil"/>
              <w:right w:val="nil"/>
            </w:tcBorders>
            <w:shd w:val="clear" w:color="auto" w:fill="auto"/>
            <w:vAlign w:val="center"/>
            <w:hideMark/>
          </w:tcPr>
          <w:p w14:paraId="762E7DE7"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9" w:type="dxa"/>
            <w:tcBorders>
              <w:top w:val="nil"/>
              <w:left w:val="nil"/>
              <w:bottom w:val="nil"/>
              <w:right w:val="nil"/>
            </w:tcBorders>
            <w:shd w:val="clear" w:color="auto" w:fill="auto"/>
            <w:vAlign w:val="center"/>
            <w:hideMark/>
          </w:tcPr>
          <w:p w14:paraId="70A0FBBB"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737BA5A2" w14:textId="77777777" w:rsidTr="00E032FC">
        <w:trPr>
          <w:trHeight w:val="176"/>
        </w:trPr>
        <w:tc>
          <w:tcPr>
            <w:tcW w:w="4148" w:type="dxa"/>
            <w:tcBorders>
              <w:top w:val="nil"/>
              <w:left w:val="nil"/>
              <w:bottom w:val="nil"/>
              <w:right w:val="nil"/>
            </w:tcBorders>
            <w:shd w:val="clear" w:color="auto" w:fill="auto"/>
            <w:vAlign w:val="center"/>
          </w:tcPr>
          <w:p w14:paraId="17DA07C8"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6" w:type="dxa"/>
            <w:tcBorders>
              <w:top w:val="nil"/>
              <w:left w:val="nil"/>
              <w:bottom w:val="nil"/>
              <w:right w:val="nil"/>
            </w:tcBorders>
            <w:shd w:val="clear" w:color="auto" w:fill="auto"/>
            <w:vAlign w:val="center"/>
          </w:tcPr>
          <w:p w14:paraId="22694239"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3B1E51E2"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15382864"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6" w:type="dxa"/>
            <w:tcBorders>
              <w:top w:val="nil"/>
              <w:left w:val="nil"/>
              <w:bottom w:val="nil"/>
              <w:right w:val="nil"/>
            </w:tcBorders>
            <w:shd w:val="clear" w:color="auto" w:fill="auto"/>
            <w:vAlign w:val="center"/>
          </w:tcPr>
          <w:p w14:paraId="26723D47"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9" w:type="dxa"/>
            <w:tcBorders>
              <w:top w:val="nil"/>
              <w:left w:val="nil"/>
              <w:bottom w:val="nil"/>
              <w:right w:val="nil"/>
            </w:tcBorders>
            <w:shd w:val="clear" w:color="auto" w:fill="auto"/>
            <w:vAlign w:val="center"/>
          </w:tcPr>
          <w:p w14:paraId="07A58212"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657375DF" w14:textId="77777777" w:rsidTr="00E032FC">
        <w:trPr>
          <w:trHeight w:val="176"/>
        </w:trPr>
        <w:tc>
          <w:tcPr>
            <w:tcW w:w="4148" w:type="dxa"/>
            <w:tcBorders>
              <w:top w:val="nil"/>
              <w:left w:val="nil"/>
              <w:bottom w:val="nil"/>
              <w:right w:val="nil"/>
            </w:tcBorders>
            <w:shd w:val="clear" w:color="auto" w:fill="auto"/>
            <w:vAlign w:val="center"/>
            <w:hideMark/>
          </w:tcPr>
          <w:p w14:paraId="698E216C"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Stanje 1. siječnja 202</w:t>
            </w:r>
            <w:r>
              <w:rPr>
                <w:rFonts w:ascii="Arial" w:eastAsia="Calibri" w:hAnsi="Arial" w:cs="Arial"/>
                <w:color w:val="000000" w:themeColor="text1"/>
                <w:sz w:val="18"/>
                <w:szCs w:val="18"/>
                <w:lang w:val="hr-HR"/>
              </w:rPr>
              <w:t>2</w:t>
            </w:r>
            <w:r w:rsidRPr="001B015B">
              <w:rPr>
                <w:rFonts w:ascii="Arial" w:eastAsia="Calibri" w:hAnsi="Arial" w:cs="Arial"/>
                <w:color w:val="000000" w:themeColor="text1"/>
                <w:sz w:val="18"/>
                <w:szCs w:val="18"/>
                <w:lang w:val="hr-HR"/>
              </w:rPr>
              <w:t xml:space="preserve">. </w:t>
            </w:r>
          </w:p>
        </w:tc>
        <w:tc>
          <w:tcPr>
            <w:tcW w:w="1036" w:type="dxa"/>
            <w:shd w:val="clear" w:color="auto" w:fill="auto"/>
            <w:vAlign w:val="bottom"/>
          </w:tcPr>
          <w:p w14:paraId="0CA529E4"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10.652 </w:t>
            </w:r>
          </w:p>
        </w:tc>
        <w:tc>
          <w:tcPr>
            <w:tcW w:w="1030" w:type="dxa"/>
            <w:shd w:val="clear" w:color="auto" w:fill="auto"/>
            <w:vAlign w:val="bottom"/>
          </w:tcPr>
          <w:p w14:paraId="3744DAC2"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26.256 </w:t>
            </w:r>
          </w:p>
        </w:tc>
        <w:tc>
          <w:tcPr>
            <w:tcW w:w="1030" w:type="dxa"/>
            <w:shd w:val="clear" w:color="auto" w:fill="auto"/>
            <w:vAlign w:val="bottom"/>
          </w:tcPr>
          <w:p w14:paraId="67891087"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82.779 </w:t>
            </w:r>
          </w:p>
        </w:tc>
        <w:tc>
          <w:tcPr>
            <w:tcW w:w="1026" w:type="dxa"/>
            <w:shd w:val="clear" w:color="auto" w:fill="auto"/>
            <w:vAlign w:val="bottom"/>
          </w:tcPr>
          <w:p w14:paraId="104BF2E6"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9.900 </w:t>
            </w:r>
          </w:p>
        </w:tc>
        <w:tc>
          <w:tcPr>
            <w:tcW w:w="1099" w:type="dxa"/>
            <w:shd w:val="clear" w:color="auto" w:fill="auto"/>
            <w:vAlign w:val="bottom"/>
          </w:tcPr>
          <w:p w14:paraId="4CB20B97"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129.587 </w:t>
            </w:r>
          </w:p>
        </w:tc>
      </w:tr>
      <w:tr w:rsidR="004E2F51" w:rsidRPr="001B015B" w14:paraId="35D7A3EE" w14:textId="77777777" w:rsidTr="00E032FC">
        <w:trPr>
          <w:trHeight w:val="176"/>
        </w:trPr>
        <w:tc>
          <w:tcPr>
            <w:tcW w:w="4148" w:type="dxa"/>
            <w:shd w:val="clear" w:color="auto" w:fill="auto"/>
            <w:hideMark/>
          </w:tcPr>
          <w:p w14:paraId="197DD9EF"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36" w:type="dxa"/>
            <w:shd w:val="clear" w:color="auto" w:fill="auto"/>
            <w:vAlign w:val="bottom"/>
          </w:tcPr>
          <w:p w14:paraId="0C1E6B36"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8.226 </w:t>
            </w:r>
          </w:p>
        </w:tc>
        <w:tc>
          <w:tcPr>
            <w:tcW w:w="1030" w:type="dxa"/>
            <w:shd w:val="clear" w:color="auto" w:fill="auto"/>
            <w:vAlign w:val="bottom"/>
          </w:tcPr>
          <w:p w14:paraId="0603B1BD"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(8.226)</w:t>
            </w:r>
          </w:p>
        </w:tc>
        <w:tc>
          <w:tcPr>
            <w:tcW w:w="1030" w:type="dxa"/>
            <w:shd w:val="clear" w:color="auto" w:fill="auto"/>
            <w:vAlign w:val="bottom"/>
          </w:tcPr>
          <w:p w14:paraId="56C65F33"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    </w:t>
            </w:r>
          </w:p>
        </w:tc>
        <w:tc>
          <w:tcPr>
            <w:tcW w:w="1026" w:type="dxa"/>
            <w:shd w:val="clear" w:color="auto" w:fill="auto"/>
            <w:vAlign w:val="bottom"/>
          </w:tcPr>
          <w:p w14:paraId="133F0291"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 </w:t>
            </w:r>
          </w:p>
        </w:tc>
        <w:tc>
          <w:tcPr>
            <w:tcW w:w="1099" w:type="dxa"/>
            <w:shd w:val="clear" w:color="auto" w:fill="auto"/>
            <w:vAlign w:val="bottom"/>
          </w:tcPr>
          <w:p w14:paraId="735242C0"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 </w:t>
            </w:r>
          </w:p>
        </w:tc>
      </w:tr>
      <w:tr w:rsidR="004E2F51" w:rsidRPr="001B015B" w14:paraId="390D5756" w14:textId="77777777" w:rsidTr="00E032FC">
        <w:trPr>
          <w:trHeight w:val="176"/>
        </w:trPr>
        <w:tc>
          <w:tcPr>
            <w:tcW w:w="4148" w:type="dxa"/>
            <w:shd w:val="clear" w:color="auto" w:fill="auto"/>
          </w:tcPr>
          <w:p w14:paraId="2CB8B5C2"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36" w:type="dxa"/>
            <w:shd w:val="clear" w:color="auto" w:fill="auto"/>
            <w:vAlign w:val="bottom"/>
          </w:tcPr>
          <w:p w14:paraId="45219437"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(1.301)</w:t>
            </w:r>
          </w:p>
        </w:tc>
        <w:tc>
          <w:tcPr>
            <w:tcW w:w="1030" w:type="dxa"/>
            <w:shd w:val="clear" w:color="auto" w:fill="auto"/>
            <w:vAlign w:val="bottom"/>
          </w:tcPr>
          <w:p w14:paraId="343FD96C"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1.301 </w:t>
            </w:r>
          </w:p>
        </w:tc>
        <w:tc>
          <w:tcPr>
            <w:tcW w:w="1030" w:type="dxa"/>
            <w:shd w:val="clear" w:color="auto" w:fill="auto"/>
            <w:vAlign w:val="bottom"/>
          </w:tcPr>
          <w:p w14:paraId="1084DD1A"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 </w:t>
            </w:r>
          </w:p>
        </w:tc>
        <w:tc>
          <w:tcPr>
            <w:tcW w:w="1026" w:type="dxa"/>
            <w:shd w:val="clear" w:color="auto" w:fill="auto"/>
            <w:vAlign w:val="bottom"/>
          </w:tcPr>
          <w:p w14:paraId="5422F241"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 </w:t>
            </w:r>
          </w:p>
        </w:tc>
        <w:tc>
          <w:tcPr>
            <w:tcW w:w="1099" w:type="dxa"/>
            <w:shd w:val="clear" w:color="auto" w:fill="auto"/>
            <w:vAlign w:val="bottom"/>
          </w:tcPr>
          <w:p w14:paraId="5BB49036"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 </w:t>
            </w:r>
          </w:p>
        </w:tc>
      </w:tr>
      <w:tr w:rsidR="004E2F51" w:rsidRPr="001B015B" w14:paraId="365590A2" w14:textId="77777777" w:rsidTr="00E032FC">
        <w:trPr>
          <w:trHeight w:val="176"/>
        </w:trPr>
        <w:tc>
          <w:tcPr>
            <w:tcW w:w="4148" w:type="dxa"/>
            <w:shd w:val="clear" w:color="auto" w:fill="auto"/>
          </w:tcPr>
          <w:p w14:paraId="4FDC5169"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36" w:type="dxa"/>
            <w:shd w:val="clear" w:color="auto" w:fill="auto"/>
            <w:vAlign w:val="bottom"/>
          </w:tcPr>
          <w:p w14:paraId="522C1ACF"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 </w:t>
            </w:r>
          </w:p>
        </w:tc>
        <w:tc>
          <w:tcPr>
            <w:tcW w:w="1030" w:type="dxa"/>
            <w:shd w:val="clear" w:color="auto" w:fill="auto"/>
            <w:vAlign w:val="bottom"/>
          </w:tcPr>
          <w:p w14:paraId="010D6619"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(5.558)</w:t>
            </w:r>
          </w:p>
        </w:tc>
        <w:tc>
          <w:tcPr>
            <w:tcW w:w="1030" w:type="dxa"/>
            <w:shd w:val="clear" w:color="auto" w:fill="auto"/>
            <w:vAlign w:val="bottom"/>
          </w:tcPr>
          <w:p w14:paraId="7A1279F6"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5.558 </w:t>
            </w:r>
          </w:p>
        </w:tc>
        <w:tc>
          <w:tcPr>
            <w:tcW w:w="1026" w:type="dxa"/>
            <w:shd w:val="clear" w:color="auto" w:fill="auto"/>
            <w:vAlign w:val="bottom"/>
          </w:tcPr>
          <w:p w14:paraId="31DDCB01"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 </w:t>
            </w:r>
          </w:p>
        </w:tc>
        <w:tc>
          <w:tcPr>
            <w:tcW w:w="1099" w:type="dxa"/>
            <w:shd w:val="clear" w:color="auto" w:fill="auto"/>
            <w:vAlign w:val="bottom"/>
          </w:tcPr>
          <w:p w14:paraId="24C1B550"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 </w:t>
            </w:r>
          </w:p>
        </w:tc>
      </w:tr>
      <w:tr w:rsidR="004E2F51" w:rsidRPr="001B015B" w14:paraId="3A657DE5" w14:textId="77777777" w:rsidTr="00E032FC">
        <w:trPr>
          <w:trHeight w:val="219"/>
        </w:trPr>
        <w:tc>
          <w:tcPr>
            <w:tcW w:w="4148" w:type="dxa"/>
            <w:tcBorders>
              <w:top w:val="nil"/>
              <w:left w:val="nil"/>
              <w:bottom w:val="nil"/>
              <w:right w:val="nil"/>
            </w:tcBorders>
            <w:shd w:val="clear" w:color="auto" w:fill="auto"/>
            <w:vAlign w:val="center"/>
            <w:hideMark/>
          </w:tcPr>
          <w:p w14:paraId="0B9A7723"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w:t>
            </w:r>
            <w:r w:rsidRPr="00223DA1">
              <w:rPr>
                <w:rFonts w:ascii="Arial" w:eastAsia="Calibri" w:hAnsi="Arial" w:cs="Arial"/>
                <w:color w:val="000000" w:themeColor="text1"/>
                <w:sz w:val="18"/>
                <w:szCs w:val="18"/>
                <w:lang w:val="hr-HR"/>
              </w:rPr>
              <w:t>(smanjenje)</w:t>
            </w:r>
            <w:r w:rsidRPr="001B015B">
              <w:rPr>
                <w:rFonts w:ascii="Arial" w:eastAsia="Calibri" w:hAnsi="Arial" w:cs="Arial"/>
                <w:color w:val="000000" w:themeColor="text1"/>
                <w:sz w:val="18"/>
                <w:szCs w:val="18"/>
                <w:lang w:val="hr-HR"/>
              </w:rPr>
              <w:t xml:space="preserve"> rezerviranja za očekivane gubitke </w:t>
            </w:r>
          </w:p>
        </w:tc>
        <w:tc>
          <w:tcPr>
            <w:tcW w:w="1036" w:type="dxa"/>
            <w:shd w:val="clear" w:color="auto" w:fill="auto"/>
            <w:vAlign w:val="bottom"/>
          </w:tcPr>
          <w:p w14:paraId="3FD93CDA"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(7.103)</w:t>
            </w:r>
          </w:p>
        </w:tc>
        <w:tc>
          <w:tcPr>
            <w:tcW w:w="1030" w:type="dxa"/>
            <w:shd w:val="clear" w:color="auto" w:fill="auto"/>
            <w:vAlign w:val="bottom"/>
          </w:tcPr>
          <w:p w14:paraId="0C004772"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(1.259)</w:t>
            </w:r>
          </w:p>
        </w:tc>
        <w:tc>
          <w:tcPr>
            <w:tcW w:w="1030" w:type="dxa"/>
            <w:shd w:val="clear" w:color="auto" w:fill="auto"/>
            <w:vAlign w:val="bottom"/>
          </w:tcPr>
          <w:p w14:paraId="01C1A880"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(34.409)</w:t>
            </w:r>
          </w:p>
        </w:tc>
        <w:tc>
          <w:tcPr>
            <w:tcW w:w="1026" w:type="dxa"/>
            <w:shd w:val="clear" w:color="auto" w:fill="auto"/>
            <w:vAlign w:val="bottom"/>
          </w:tcPr>
          <w:p w14:paraId="7D69DFEF"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(5.412)</w:t>
            </w:r>
          </w:p>
        </w:tc>
        <w:tc>
          <w:tcPr>
            <w:tcW w:w="1099" w:type="dxa"/>
            <w:shd w:val="clear" w:color="auto" w:fill="auto"/>
            <w:vAlign w:val="bottom"/>
          </w:tcPr>
          <w:p w14:paraId="61C0BED3"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(48.183)</w:t>
            </w:r>
          </w:p>
        </w:tc>
      </w:tr>
      <w:tr w:rsidR="004E2F51" w:rsidRPr="001B015B" w14:paraId="494004CA" w14:textId="77777777" w:rsidTr="00E032FC">
        <w:trPr>
          <w:trHeight w:val="184"/>
        </w:trPr>
        <w:tc>
          <w:tcPr>
            <w:tcW w:w="4148" w:type="dxa"/>
            <w:tcBorders>
              <w:top w:val="nil"/>
              <w:left w:val="nil"/>
              <w:bottom w:val="nil"/>
              <w:right w:val="nil"/>
            </w:tcBorders>
            <w:shd w:val="clear" w:color="auto" w:fill="auto"/>
            <w:vAlign w:val="center"/>
            <w:hideMark/>
          </w:tcPr>
          <w:p w14:paraId="629B7A7A"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36" w:type="dxa"/>
            <w:tcBorders>
              <w:top w:val="nil"/>
              <w:left w:val="nil"/>
              <w:bottom w:val="single" w:sz="8" w:space="0" w:color="auto"/>
              <w:right w:val="nil"/>
            </w:tcBorders>
            <w:shd w:val="clear" w:color="auto" w:fill="auto"/>
            <w:vAlign w:val="bottom"/>
          </w:tcPr>
          <w:p w14:paraId="01B694AF"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(18)</w:t>
            </w:r>
          </w:p>
        </w:tc>
        <w:tc>
          <w:tcPr>
            <w:tcW w:w="1030" w:type="dxa"/>
            <w:tcBorders>
              <w:top w:val="nil"/>
              <w:left w:val="nil"/>
              <w:bottom w:val="single" w:sz="8" w:space="0" w:color="auto"/>
              <w:right w:val="nil"/>
            </w:tcBorders>
            <w:shd w:val="clear" w:color="auto" w:fill="auto"/>
            <w:vAlign w:val="bottom"/>
          </w:tcPr>
          <w:p w14:paraId="5472A270"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67 </w:t>
            </w:r>
          </w:p>
        </w:tc>
        <w:tc>
          <w:tcPr>
            <w:tcW w:w="1030" w:type="dxa"/>
            <w:tcBorders>
              <w:top w:val="nil"/>
              <w:left w:val="nil"/>
              <w:bottom w:val="single" w:sz="8" w:space="0" w:color="auto"/>
              <w:right w:val="nil"/>
            </w:tcBorders>
            <w:shd w:val="clear" w:color="auto" w:fill="auto"/>
            <w:vAlign w:val="bottom"/>
          </w:tcPr>
          <w:p w14:paraId="4CCE8A9D"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(488)</w:t>
            </w:r>
          </w:p>
        </w:tc>
        <w:tc>
          <w:tcPr>
            <w:tcW w:w="1026" w:type="dxa"/>
            <w:tcBorders>
              <w:top w:val="nil"/>
              <w:left w:val="nil"/>
              <w:bottom w:val="single" w:sz="8" w:space="0" w:color="auto"/>
              <w:right w:val="nil"/>
            </w:tcBorders>
            <w:shd w:val="clear" w:color="auto" w:fill="auto"/>
            <w:vAlign w:val="bottom"/>
          </w:tcPr>
          <w:p w14:paraId="2AA89768"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(239)</w:t>
            </w:r>
          </w:p>
        </w:tc>
        <w:tc>
          <w:tcPr>
            <w:tcW w:w="1099" w:type="dxa"/>
            <w:tcBorders>
              <w:top w:val="nil"/>
              <w:left w:val="nil"/>
              <w:bottom w:val="single" w:sz="8" w:space="0" w:color="auto"/>
              <w:right w:val="nil"/>
            </w:tcBorders>
            <w:shd w:val="clear" w:color="auto" w:fill="auto"/>
            <w:vAlign w:val="bottom"/>
          </w:tcPr>
          <w:p w14:paraId="20C5399D" w14:textId="77777777" w:rsidR="004E2F51" w:rsidRPr="00223DA1" w:rsidRDefault="004E2F51" w:rsidP="00E032FC">
            <w:pPr>
              <w:jc w:val="right"/>
              <w:rPr>
                <w:rFonts w:ascii="Arial" w:hAnsi="Arial" w:cs="Arial"/>
                <w:sz w:val="18"/>
                <w:szCs w:val="18"/>
              </w:rPr>
            </w:pPr>
            <w:r w:rsidRPr="00223DA1">
              <w:rPr>
                <w:rFonts w:ascii="Arial" w:hAnsi="Arial" w:cs="Arial"/>
                <w:sz w:val="18"/>
                <w:szCs w:val="18"/>
              </w:rPr>
              <w:t xml:space="preserve"> (678)</w:t>
            </w:r>
          </w:p>
        </w:tc>
      </w:tr>
      <w:tr w:rsidR="004E2F51" w:rsidRPr="001B015B" w14:paraId="07456014" w14:textId="77777777" w:rsidTr="00E032FC">
        <w:trPr>
          <w:trHeight w:val="184"/>
        </w:trPr>
        <w:tc>
          <w:tcPr>
            <w:tcW w:w="4148" w:type="dxa"/>
            <w:tcBorders>
              <w:top w:val="nil"/>
              <w:left w:val="nil"/>
              <w:bottom w:val="nil"/>
              <w:right w:val="nil"/>
            </w:tcBorders>
            <w:shd w:val="clear" w:color="auto" w:fill="auto"/>
            <w:vAlign w:val="bottom"/>
            <w:hideMark/>
          </w:tcPr>
          <w:p w14:paraId="3804A189"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w:t>
            </w:r>
            <w:r>
              <w:rPr>
                <w:rFonts w:ascii="Arial" w:eastAsia="Calibri" w:hAnsi="Arial" w:cs="Arial"/>
                <w:b/>
                <w:bCs/>
                <w:color w:val="000000" w:themeColor="text1"/>
                <w:sz w:val="18"/>
                <w:szCs w:val="18"/>
                <w:lang w:val="hr-HR"/>
              </w:rPr>
              <w:t>2</w:t>
            </w:r>
            <w:r w:rsidRPr="001B015B">
              <w:rPr>
                <w:rFonts w:ascii="Arial" w:eastAsia="Calibri" w:hAnsi="Arial" w:cs="Arial"/>
                <w:b/>
                <w:bCs/>
                <w:color w:val="000000" w:themeColor="text1"/>
                <w:sz w:val="18"/>
                <w:szCs w:val="18"/>
                <w:lang w:val="hr-HR"/>
              </w:rPr>
              <w:t>.</w:t>
            </w:r>
          </w:p>
        </w:tc>
        <w:tc>
          <w:tcPr>
            <w:tcW w:w="1036" w:type="dxa"/>
            <w:tcBorders>
              <w:top w:val="nil"/>
              <w:left w:val="nil"/>
              <w:bottom w:val="single" w:sz="12" w:space="0" w:color="auto"/>
              <w:right w:val="nil"/>
            </w:tcBorders>
            <w:shd w:val="clear" w:color="auto" w:fill="auto"/>
            <w:vAlign w:val="bottom"/>
          </w:tcPr>
          <w:p w14:paraId="24B5CAAE" w14:textId="77777777" w:rsidR="004E2F51" w:rsidRPr="00223DA1" w:rsidRDefault="004E2F51" w:rsidP="00E032FC">
            <w:pPr>
              <w:jc w:val="right"/>
              <w:rPr>
                <w:rFonts w:ascii="Arial" w:hAnsi="Arial" w:cs="Arial"/>
                <w:b/>
                <w:bCs/>
                <w:sz w:val="18"/>
                <w:szCs w:val="18"/>
              </w:rPr>
            </w:pPr>
            <w:r w:rsidRPr="00223DA1">
              <w:rPr>
                <w:rFonts w:ascii="Arial" w:hAnsi="Arial" w:cs="Arial"/>
                <w:b/>
                <w:bCs/>
                <w:sz w:val="18"/>
                <w:szCs w:val="18"/>
              </w:rPr>
              <w:t xml:space="preserve"> 10.456 </w:t>
            </w:r>
          </w:p>
        </w:tc>
        <w:tc>
          <w:tcPr>
            <w:tcW w:w="1030" w:type="dxa"/>
            <w:tcBorders>
              <w:top w:val="nil"/>
              <w:left w:val="nil"/>
              <w:bottom w:val="single" w:sz="12" w:space="0" w:color="auto"/>
              <w:right w:val="nil"/>
            </w:tcBorders>
            <w:shd w:val="clear" w:color="auto" w:fill="auto"/>
            <w:vAlign w:val="bottom"/>
          </w:tcPr>
          <w:p w14:paraId="6D2D3ABE" w14:textId="77777777" w:rsidR="004E2F51" w:rsidRPr="00223DA1" w:rsidRDefault="004E2F51" w:rsidP="00E032FC">
            <w:pPr>
              <w:jc w:val="right"/>
              <w:rPr>
                <w:rFonts w:ascii="Arial" w:hAnsi="Arial" w:cs="Arial"/>
                <w:b/>
                <w:bCs/>
                <w:sz w:val="18"/>
                <w:szCs w:val="18"/>
              </w:rPr>
            </w:pPr>
            <w:r w:rsidRPr="00223DA1">
              <w:rPr>
                <w:rFonts w:ascii="Arial" w:hAnsi="Arial" w:cs="Arial"/>
                <w:b/>
                <w:bCs/>
                <w:sz w:val="18"/>
                <w:szCs w:val="18"/>
              </w:rPr>
              <w:t xml:space="preserve"> 12.581 </w:t>
            </w:r>
          </w:p>
        </w:tc>
        <w:tc>
          <w:tcPr>
            <w:tcW w:w="1030" w:type="dxa"/>
            <w:tcBorders>
              <w:top w:val="nil"/>
              <w:left w:val="nil"/>
              <w:bottom w:val="single" w:sz="12" w:space="0" w:color="auto"/>
              <w:right w:val="nil"/>
            </w:tcBorders>
            <w:shd w:val="clear" w:color="auto" w:fill="auto"/>
            <w:vAlign w:val="bottom"/>
          </w:tcPr>
          <w:p w14:paraId="7B337A70" w14:textId="77777777" w:rsidR="004E2F51" w:rsidRPr="00223DA1" w:rsidRDefault="004E2F51" w:rsidP="00E032FC">
            <w:pPr>
              <w:jc w:val="right"/>
              <w:rPr>
                <w:rFonts w:ascii="Arial" w:hAnsi="Arial" w:cs="Arial"/>
                <w:b/>
                <w:bCs/>
                <w:sz w:val="18"/>
                <w:szCs w:val="18"/>
              </w:rPr>
            </w:pPr>
            <w:r w:rsidRPr="00223DA1">
              <w:rPr>
                <w:rFonts w:ascii="Arial" w:hAnsi="Arial" w:cs="Arial"/>
                <w:b/>
                <w:bCs/>
                <w:sz w:val="18"/>
                <w:szCs w:val="18"/>
              </w:rPr>
              <w:t xml:space="preserve"> 53.440 </w:t>
            </w:r>
          </w:p>
        </w:tc>
        <w:tc>
          <w:tcPr>
            <w:tcW w:w="1026" w:type="dxa"/>
            <w:tcBorders>
              <w:top w:val="nil"/>
              <w:left w:val="nil"/>
              <w:bottom w:val="single" w:sz="12" w:space="0" w:color="auto"/>
              <w:right w:val="nil"/>
            </w:tcBorders>
            <w:shd w:val="clear" w:color="auto" w:fill="auto"/>
            <w:vAlign w:val="bottom"/>
          </w:tcPr>
          <w:p w14:paraId="00ED1ECA" w14:textId="77777777" w:rsidR="004E2F51" w:rsidRPr="00223DA1" w:rsidRDefault="004E2F51" w:rsidP="00E032FC">
            <w:pPr>
              <w:jc w:val="right"/>
              <w:rPr>
                <w:rFonts w:ascii="Arial" w:hAnsi="Arial" w:cs="Arial"/>
                <w:b/>
                <w:bCs/>
                <w:sz w:val="18"/>
                <w:szCs w:val="18"/>
              </w:rPr>
            </w:pPr>
            <w:r w:rsidRPr="00223DA1">
              <w:rPr>
                <w:rFonts w:ascii="Arial" w:hAnsi="Arial" w:cs="Arial"/>
                <w:b/>
                <w:bCs/>
                <w:sz w:val="18"/>
                <w:szCs w:val="18"/>
              </w:rPr>
              <w:t xml:space="preserve"> 4.249 </w:t>
            </w:r>
          </w:p>
        </w:tc>
        <w:tc>
          <w:tcPr>
            <w:tcW w:w="1099" w:type="dxa"/>
            <w:tcBorders>
              <w:top w:val="nil"/>
              <w:left w:val="nil"/>
              <w:bottom w:val="single" w:sz="12" w:space="0" w:color="auto"/>
              <w:right w:val="nil"/>
            </w:tcBorders>
            <w:shd w:val="clear" w:color="auto" w:fill="auto"/>
            <w:vAlign w:val="bottom"/>
          </w:tcPr>
          <w:p w14:paraId="23C2E7DA" w14:textId="77777777" w:rsidR="004E2F51" w:rsidRPr="00223DA1" w:rsidRDefault="004E2F51" w:rsidP="00E032FC">
            <w:pPr>
              <w:jc w:val="right"/>
              <w:rPr>
                <w:rFonts w:ascii="Arial" w:hAnsi="Arial" w:cs="Arial"/>
                <w:b/>
                <w:bCs/>
                <w:sz w:val="18"/>
                <w:szCs w:val="18"/>
              </w:rPr>
            </w:pPr>
            <w:r w:rsidRPr="00223DA1">
              <w:rPr>
                <w:rFonts w:ascii="Arial" w:hAnsi="Arial" w:cs="Arial"/>
                <w:b/>
                <w:bCs/>
                <w:sz w:val="18"/>
                <w:szCs w:val="18"/>
              </w:rPr>
              <w:t xml:space="preserve"> 80.726 </w:t>
            </w:r>
          </w:p>
        </w:tc>
      </w:tr>
    </w:tbl>
    <w:p w14:paraId="0B83A1FE" w14:textId="77777777" w:rsidR="004E2F51" w:rsidRPr="001B015B" w:rsidRDefault="004E2F51" w:rsidP="004E2F51">
      <w:pPr>
        <w:rPr>
          <w:rFonts w:ascii="Arial" w:eastAsia="Calibri" w:hAnsi="Arial" w:cs="Arial"/>
          <w:color w:val="000000" w:themeColor="text1"/>
          <w:sz w:val="20"/>
          <w:szCs w:val="20"/>
          <w:lang w:val="hr-HR"/>
        </w:rPr>
      </w:pPr>
    </w:p>
    <w:p w14:paraId="53EA4A60" w14:textId="77777777" w:rsidR="004E2F51" w:rsidRPr="001B015B" w:rsidRDefault="004E2F51" w:rsidP="004E2F51">
      <w:pPr>
        <w:rPr>
          <w:rFonts w:ascii="Arial" w:eastAsia="Calibri" w:hAnsi="Arial" w:cs="Arial"/>
          <w:color w:val="000000" w:themeColor="text1"/>
          <w:sz w:val="20"/>
          <w:szCs w:val="20"/>
          <w:lang w:val="hr-HR"/>
        </w:rPr>
      </w:pPr>
    </w:p>
    <w:p w14:paraId="5E3436CD" w14:textId="77777777" w:rsidR="004E2F51" w:rsidRPr="001B015B" w:rsidRDefault="004E2F51" w:rsidP="004E2F51">
      <w:pPr>
        <w:rPr>
          <w:rFonts w:ascii="Arial" w:eastAsia="Calibri" w:hAnsi="Arial" w:cs="Arial"/>
          <w:color w:val="000000" w:themeColor="text1"/>
          <w:sz w:val="20"/>
          <w:szCs w:val="20"/>
          <w:lang w:val="hr-HR"/>
        </w:rPr>
      </w:pPr>
    </w:p>
    <w:tbl>
      <w:tblPr>
        <w:tblW w:w="9369" w:type="dxa"/>
        <w:tblInd w:w="-180" w:type="dxa"/>
        <w:tblLook w:val="04A0" w:firstRow="1" w:lastRow="0" w:firstColumn="1" w:lastColumn="0" w:noHBand="0" w:noVBand="1"/>
      </w:tblPr>
      <w:tblGrid>
        <w:gridCol w:w="4148"/>
        <w:gridCol w:w="1036"/>
        <w:gridCol w:w="1030"/>
        <w:gridCol w:w="1030"/>
        <w:gridCol w:w="1026"/>
        <w:gridCol w:w="1099"/>
      </w:tblGrid>
      <w:tr w:rsidR="004E2F51" w:rsidRPr="001B015B" w14:paraId="15F0F604" w14:textId="77777777" w:rsidTr="00E032FC">
        <w:trPr>
          <w:trHeight w:val="176"/>
        </w:trPr>
        <w:tc>
          <w:tcPr>
            <w:tcW w:w="4148" w:type="dxa"/>
            <w:tcBorders>
              <w:top w:val="nil"/>
              <w:left w:val="nil"/>
              <w:bottom w:val="nil"/>
              <w:right w:val="nil"/>
            </w:tcBorders>
            <w:shd w:val="clear" w:color="auto" w:fill="auto"/>
            <w:vAlign w:val="center"/>
          </w:tcPr>
          <w:p w14:paraId="14274A9D"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Grupa i Banka</w:t>
            </w:r>
          </w:p>
        </w:tc>
        <w:tc>
          <w:tcPr>
            <w:tcW w:w="1036" w:type="dxa"/>
            <w:tcBorders>
              <w:top w:val="nil"/>
              <w:left w:val="nil"/>
              <w:bottom w:val="nil"/>
              <w:right w:val="nil"/>
            </w:tcBorders>
            <w:shd w:val="clear" w:color="auto" w:fill="auto"/>
            <w:vAlign w:val="center"/>
          </w:tcPr>
          <w:p w14:paraId="42663157"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657FBB4F"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7041A455"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6" w:type="dxa"/>
            <w:tcBorders>
              <w:top w:val="nil"/>
              <w:left w:val="nil"/>
              <w:bottom w:val="nil"/>
              <w:right w:val="nil"/>
            </w:tcBorders>
            <w:shd w:val="clear" w:color="auto" w:fill="auto"/>
            <w:vAlign w:val="center"/>
          </w:tcPr>
          <w:p w14:paraId="214A3A88"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9" w:type="dxa"/>
            <w:tcBorders>
              <w:top w:val="nil"/>
              <w:left w:val="nil"/>
              <w:bottom w:val="nil"/>
              <w:right w:val="nil"/>
            </w:tcBorders>
            <w:shd w:val="clear" w:color="auto" w:fill="auto"/>
            <w:vAlign w:val="center"/>
          </w:tcPr>
          <w:p w14:paraId="37B42B61"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0F7DDB6F" w14:textId="77777777" w:rsidTr="00E032FC">
        <w:trPr>
          <w:trHeight w:val="176"/>
        </w:trPr>
        <w:tc>
          <w:tcPr>
            <w:tcW w:w="4148" w:type="dxa"/>
            <w:tcBorders>
              <w:top w:val="nil"/>
              <w:left w:val="nil"/>
              <w:bottom w:val="nil"/>
              <w:right w:val="nil"/>
            </w:tcBorders>
            <w:shd w:val="clear" w:color="auto" w:fill="auto"/>
            <w:vAlign w:val="center"/>
            <w:hideMark/>
          </w:tcPr>
          <w:p w14:paraId="581ABFC2"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31. prosinca 2021.</w:t>
            </w:r>
          </w:p>
        </w:tc>
        <w:tc>
          <w:tcPr>
            <w:tcW w:w="1036" w:type="dxa"/>
            <w:tcBorders>
              <w:top w:val="nil"/>
              <w:left w:val="nil"/>
              <w:bottom w:val="nil"/>
              <w:right w:val="nil"/>
            </w:tcBorders>
            <w:shd w:val="clear" w:color="auto" w:fill="auto"/>
            <w:vAlign w:val="center"/>
            <w:hideMark/>
          </w:tcPr>
          <w:p w14:paraId="153B5A2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1</w:t>
            </w:r>
          </w:p>
        </w:tc>
        <w:tc>
          <w:tcPr>
            <w:tcW w:w="1030" w:type="dxa"/>
            <w:tcBorders>
              <w:top w:val="nil"/>
              <w:left w:val="nil"/>
              <w:bottom w:val="nil"/>
              <w:right w:val="nil"/>
            </w:tcBorders>
            <w:shd w:val="clear" w:color="auto" w:fill="auto"/>
            <w:vAlign w:val="center"/>
            <w:hideMark/>
          </w:tcPr>
          <w:p w14:paraId="20FF7559"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2</w:t>
            </w:r>
          </w:p>
        </w:tc>
        <w:tc>
          <w:tcPr>
            <w:tcW w:w="1030" w:type="dxa"/>
            <w:tcBorders>
              <w:top w:val="nil"/>
              <w:left w:val="nil"/>
              <w:bottom w:val="nil"/>
              <w:right w:val="nil"/>
            </w:tcBorders>
            <w:shd w:val="clear" w:color="auto" w:fill="auto"/>
            <w:vAlign w:val="center"/>
            <w:hideMark/>
          </w:tcPr>
          <w:p w14:paraId="03459A9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Stupanj 3</w:t>
            </w:r>
          </w:p>
        </w:tc>
        <w:tc>
          <w:tcPr>
            <w:tcW w:w="1026" w:type="dxa"/>
            <w:tcBorders>
              <w:top w:val="nil"/>
              <w:left w:val="nil"/>
              <w:bottom w:val="nil"/>
              <w:right w:val="nil"/>
            </w:tcBorders>
            <w:shd w:val="clear" w:color="auto" w:fill="auto"/>
            <w:vAlign w:val="center"/>
            <w:hideMark/>
          </w:tcPr>
          <w:p w14:paraId="20497D96"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POCI</w:t>
            </w:r>
          </w:p>
        </w:tc>
        <w:tc>
          <w:tcPr>
            <w:tcW w:w="1099" w:type="dxa"/>
            <w:tcBorders>
              <w:top w:val="nil"/>
              <w:left w:val="nil"/>
              <w:bottom w:val="nil"/>
              <w:right w:val="nil"/>
            </w:tcBorders>
            <w:shd w:val="clear" w:color="auto" w:fill="auto"/>
            <w:vAlign w:val="center"/>
            <w:hideMark/>
          </w:tcPr>
          <w:p w14:paraId="3E63A355"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Ukupno</w:t>
            </w:r>
          </w:p>
        </w:tc>
      </w:tr>
      <w:tr w:rsidR="004E2F51" w:rsidRPr="001B015B" w14:paraId="4A822614" w14:textId="77777777" w:rsidTr="00E032FC">
        <w:trPr>
          <w:trHeight w:val="176"/>
        </w:trPr>
        <w:tc>
          <w:tcPr>
            <w:tcW w:w="4148" w:type="dxa"/>
            <w:tcBorders>
              <w:top w:val="nil"/>
              <w:left w:val="nil"/>
              <w:bottom w:val="nil"/>
              <w:right w:val="nil"/>
            </w:tcBorders>
            <w:shd w:val="clear" w:color="auto" w:fill="auto"/>
            <w:vAlign w:val="center"/>
            <w:hideMark/>
          </w:tcPr>
          <w:p w14:paraId="6A57E5D9"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6" w:type="dxa"/>
            <w:tcBorders>
              <w:top w:val="nil"/>
              <w:left w:val="nil"/>
              <w:bottom w:val="nil"/>
              <w:right w:val="nil"/>
            </w:tcBorders>
            <w:shd w:val="clear" w:color="auto" w:fill="auto"/>
            <w:vAlign w:val="center"/>
            <w:hideMark/>
          </w:tcPr>
          <w:p w14:paraId="49199C55"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30" w:type="dxa"/>
            <w:tcBorders>
              <w:top w:val="nil"/>
              <w:left w:val="nil"/>
              <w:bottom w:val="nil"/>
              <w:right w:val="nil"/>
            </w:tcBorders>
            <w:shd w:val="clear" w:color="auto" w:fill="auto"/>
            <w:vAlign w:val="center"/>
            <w:hideMark/>
          </w:tcPr>
          <w:p w14:paraId="768F554C"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30" w:type="dxa"/>
            <w:tcBorders>
              <w:top w:val="nil"/>
              <w:left w:val="nil"/>
              <w:bottom w:val="nil"/>
              <w:right w:val="nil"/>
            </w:tcBorders>
            <w:shd w:val="clear" w:color="auto" w:fill="auto"/>
            <w:vAlign w:val="center"/>
            <w:hideMark/>
          </w:tcPr>
          <w:p w14:paraId="73C83E71"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26" w:type="dxa"/>
            <w:tcBorders>
              <w:top w:val="nil"/>
              <w:left w:val="nil"/>
              <w:bottom w:val="nil"/>
              <w:right w:val="nil"/>
            </w:tcBorders>
            <w:shd w:val="clear" w:color="auto" w:fill="auto"/>
            <w:vAlign w:val="center"/>
            <w:hideMark/>
          </w:tcPr>
          <w:p w14:paraId="64105C60"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c>
          <w:tcPr>
            <w:tcW w:w="1099" w:type="dxa"/>
            <w:tcBorders>
              <w:top w:val="nil"/>
              <w:left w:val="nil"/>
              <w:bottom w:val="nil"/>
              <w:right w:val="nil"/>
            </w:tcBorders>
            <w:shd w:val="clear" w:color="auto" w:fill="auto"/>
            <w:vAlign w:val="center"/>
            <w:hideMark/>
          </w:tcPr>
          <w:p w14:paraId="62B4BB4B"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000 kuna</w:t>
            </w:r>
          </w:p>
        </w:tc>
      </w:tr>
      <w:tr w:rsidR="004E2F51" w:rsidRPr="001B015B" w14:paraId="372DB928" w14:textId="77777777" w:rsidTr="00E032FC">
        <w:trPr>
          <w:trHeight w:val="176"/>
        </w:trPr>
        <w:tc>
          <w:tcPr>
            <w:tcW w:w="4148" w:type="dxa"/>
            <w:tcBorders>
              <w:top w:val="nil"/>
              <w:left w:val="nil"/>
              <w:bottom w:val="nil"/>
              <w:right w:val="nil"/>
            </w:tcBorders>
            <w:shd w:val="clear" w:color="auto" w:fill="auto"/>
            <w:vAlign w:val="center"/>
          </w:tcPr>
          <w:p w14:paraId="7DFBB470"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6" w:type="dxa"/>
            <w:tcBorders>
              <w:top w:val="nil"/>
              <w:left w:val="nil"/>
              <w:bottom w:val="nil"/>
              <w:right w:val="nil"/>
            </w:tcBorders>
            <w:shd w:val="clear" w:color="auto" w:fill="auto"/>
            <w:vAlign w:val="center"/>
          </w:tcPr>
          <w:p w14:paraId="3C463176"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6BE4509C"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30" w:type="dxa"/>
            <w:tcBorders>
              <w:top w:val="nil"/>
              <w:left w:val="nil"/>
              <w:bottom w:val="nil"/>
              <w:right w:val="nil"/>
            </w:tcBorders>
            <w:shd w:val="clear" w:color="auto" w:fill="auto"/>
            <w:vAlign w:val="center"/>
          </w:tcPr>
          <w:p w14:paraId="30F55B39"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26" w:type="dxa"/>
            <w:tcBorders>
              <w:top w:val="nil"/>
              <w:left w:val="nil"/>
              <w:bottom w:val="nil"/>
              <w:right w:val="nil"/>
            </w:tcBorders>
            <w:shd w:val="clear" w:color="auto" w:fill="auto"/>
            <w:vAlign w:val="center"/>
          </w:tcPr>
          <w:p w14:paraId="4FB95892" w14:textId="77777777" w:rsidR="004E2F51" w:rsidRPr="001B015B" w:rsidRDefault="004E2F51" w:rsidP="00E032FC">
            <w:pPr>
              <w:jc w:val="right"/>
              <w:rPr>
                <w:rFonts w:ascii="Arial" w:eastAsia="Calibri" w:hAnsi="Arial" w:cs="Arial"/>
                <w:b/>
                <w:bCs/>
                <w:color w:val="000000" w:themeColor="text1"/>
                <w:sz w:val="18"/>
                <w:szCs w:val="18"/>
                <w:lang w:val="hr-HR"/>
              </w:rPr>
            </w:pPr>
          </w:p>
        </w:tc>
        <w:tc>
          <w:tcPr>
            <w:tcW w:w="1099" w:type="dxa"/>
            <w:tcBorders>
              <w:top w:val="nil"/>
              <w:left w:val="nil"/>
              <w:bottom w:val="nil"/>
              <w:right w:val="nil"/>
            </w:tcBorders>
            <w:shd w:val="clear" w:color="auto" w:fill="auto"/>
            <w:vAlign w:val="center"/>
          </w:tcPr>
          <w:p w14:paraId="1487C217" w14:textId="77777777" w:rsidR="004E2F51" w:rsidRPr="001B015B" w:rsidRDefault="004E2F51" w:rsidP="00E032FC">
            <w:pPr>
              <w:jc w:val="right"/>
              <w:rPr>
                <w:rFonts w:ascii="Arial" w:eastAsia="Calibri" w:hAnsi="Arial" w:cs="Arial"/>
                <w:b/>
                <w:bCs/>
                <w:color w:val="000000" w:themeColor="text1"/>
                <w:sz w:val="18"/>
                <w:szCs w:val="18"/>
                <w:lang w:val="hr-HR"/>
              </w:rPr>
            </w:pPr>
          </w:p>
        </w:tc>
      </w:tr>
      <w:tr w:rsidR="004E2F51" w:rsidRPr="001B015B" w14:paraId="1DD42C42" w14:textId="77777777" w:rsidTr="00E032FC">
        <w:trPr>
          <w:trHeight w:val="176"/>
        </w:trPr>
        <w:tc>
          <w:tcPr>
            <w:tcW w:w="4148" w:type="dxa"/>
            <w:tcBorders>
              <w:top w:val="nil"/>
              <w:left w:val="nil"/>
              <w:bottom w:val="nil"/>
              <w:right w:val="nil"/>
            </w:tcBorders>
            <w:shd w:val="clear" w:color="auto" w:fill="auto"/>
            <w:vAlign w:val="center"/>
            <w:hideMark/>
          </w:tcPr>
          <w:p w14:paraId="70251456"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Stanje 1. siječnja 2021. </w:t>
            </w:r>
          </w:p>
        </w:tc>
        <w:tc>
          <w:tcPr>
            <w:tcW w:w="1036" w:type="dxa"/>
            <w:shd w:val="clear" w:color="auto" w:fill="auto"/>
            <w:vAlign w:val="bottom"/>
          </w:tcPr>
          <w:p w14:paraId="598A1B2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8.659 </w:t>
            </w:r>
          </w:p>
        </w:tc>
        <w:tc>
          <w:tcPr>
            <w:tcW w:w="1030" w:type="dxa"/>
            <w:shd w:val="clear" w:color="auto" w:fill="auto"/>
            <w:vAlign w:val="bottom"/>
          </w:tcPr>
          <w:p w14:paraId="2240A75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11.523 </w:t>
            </w:r>
          </w:p>
        </w:tc>
        <w:tc>
          <w:tcPr>
            <w:tcW w:w="1030" w:type="dxa"/>
            <w:shd w:val="clear" w:color="auto" w:fill="auto"/>
            <w:vAlign w:val="bottom"/>
          </w:tcPr>
          <w:p w14:paraId="2561B92F"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17.525 </w:t>
            </w:r>
          </w:p>
        </w:tc>
        <w:tc>
          <w:tcPr>
            <w:tcW w:w="1026" w:type="dxa"/>
            <w:shd w:val="clear" w:color="auto" w:fill="auto"/>
            <w:vAlign w:val="bottom"/>
          </w:tcPr>
          <w:p w14:paraId="310A1977"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7.849 </w:t>
            </w:r>
          </w:p>
        </w:tc>
        <w:tc>
          <w:tcPr>
            <w:tcW w:w="1099" w:type="dxa"/>
            <w:shd w:val="clear" w:color="auto" w:fill="auto"/>
            <w:vAlign w:val="bottom"/>
          </w:tcPr>
          <w:p w14:paraId="6B7FB874"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45.556 </w:t>
            </w:r>
          </w:p>
        </w:tc>
      </w:tr>
      <w:tr w:rsidR="004E2F51" w:rsidRPr="001B015B" w14:paraId="53BA63C1" w14:textId="77777777" w:rsidTr="00E032FC">
        <w:trPr>
          <w:trHeight w:val="176"/>
        </w:trPr>
        <w:tc>
          <w:tcPr>
            <w:tcW w:w="4148" w:type="dxa"/>
            <w:shd w:val="clear" w:color="auto" w:fill="auto"/>
            <w:hideMark/>
          </w:tcPr>
          <w:p w14:paraId="6FB2AC07"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1</w:t>
            </w:r>
          </w:p>
        </w:tc>
        <w:tc>
          <w:tcPr>
            <w:tcW w:w="1036" w:type="dxa"/>
            <w:shd w:val="clear" w:color="auto" w:fill="auto"/>
            <w:vAlign w:val="bottom"/>
          </w:tcPr>
          <w:p w14:paraId="347E706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5.309 </w:t>
            </w:r>
          </w:p>
        </w:tc>
        <w:tc>
          <w:tcPr>
            <w:tcW w:w="1030" w:type="dxa"/>
            <w:shd w:val="clear" w:color="auto" w:fill="auto"/>
            <w:vAlign w:val="bottom"/>
          </w:tcPr>
          <w:p w14:paraId="71AAA33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(5.309)</w:t>
            </w:r>
          </w:p>
        </w:tc>
        <w:tc>
          <w:tcPr>
            <w:tcW w:w="1030" w:type="dxa"/>
            <w:shd w:val="clear" w:color="auto" w:fill="auto"/>
            <w:vAlign w:val="bottom"/>
          </w:tcPr>
          <w:p w14:paraId="3A453F1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26" w:type="dxa"/>
            <w:shd w:val="clear" w:color="auto" w:fill="auto"/>
            <w:vAlign w:val="bottom"/>
          </w:tcPr>
          <w:p w14:paraId="0D93215E"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99" w:type="dxa"/>
            <w:shd w:val="clear" w:color="auto" w:fill="auto"/>
            <w:vAlign w:val="bottom"/>
          </w:tcPr>
          <w:p w14:paraId="6073C0D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r>
      <w:tr w:rsidR="004E2F51" w:rsidRPr="001B015B" w14:paraId="6020909D" w14:textId="77777777" w:rsidTr="00E032FC">
        <w:trPr>
          <w:trHeight w:val="176"/>
        </w:trPr>
        <w:tc>
          <w:tcPr>
            <w:tcW w:w="4148" w:type="dxa"/>
            <w:shd w:val="clear" w:color="auto" w:fill="auto"/>
          </w:tcPr>
          <w:p w14:paraId="3091C6EB"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2</w:t>
            </w:r>
          </w:p>
        </w:tc>
        <w:tc>
          <w:tcPr>
            <w:tcW w:w="1036" w:type="dxa"/>
            <w:shd w:val="clear" w:color="auto" w:fill="auto"/>
            <w:vAlign w:val="bottom"/>
          </w:tcPr>
          <w:p w14:paraId="6388FD1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(261)</w:t>
            </w:r>
          </w:p>
        </w:tc>
        <w:tc>
          <w:tcPr>
            <w:tcW w:w="1030" w:type="dxa"/>
            <w:shd w:val="clear" w:color="auto" w:fill="auto"/>
            <w:vAlign w:val="bottom"/>
          </w:tcPr>
          <w:p w14:paraId="19630FE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261 </w:t>
            </w:r>
          </w:p>
        </w:tc>
        <w:tc>
          <w:tcPr>
            <w:tcW w:w="1030" w:type="dxa"/>
            <w:shd w:val="clear" w:color="auto" w:fill="auto"/>
            <w:vAlign w:val="bottom"/>
          </w:tcPr>
          <w:p w14:paraId="08663756"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26" w:type="dxa"/>
            <w:shd w:val="clear" w:color="auto" w:fill="auto"/>
            <w:vAlign w:val="bottom"/>
          </w:tcPr>
          <w:p w14:paraId="5465A1F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99" w:type="dxa"/>
            <w:shd w:val="clear" w:color="auto" w:fill="auto"/>
            <w:vAlign w:val="bottom"/>
          </w:tcPr>
          <w:p w14:paraId="5A03D57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r>
      <w:tr w:rsidR="004E2F51" w:rsidRPr="001B015B" w14:paraId="1C740EB0" w14:textId="77777777" w:rsidTr="00E032FC">
        <w:trPr>
          <w:trHeight w:val="176"/>
        </w:trPr>
        <w:tc>
          <w:tcPr>
            <w:tcW w:w="4148" w:type="dxa"/>
            <w:shd w:val="clear" w:color="auto" w:fill="auto"/>
          </w:tcPr>
          <w:p w14:paraId="5C58D031"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Prijenos u Stupanj 3</w:t>
            </w:r>
          </w:p>
        </w:tc>
        <w:tc>
          <w:tcPr>
            <w:tcW w:w="1036" w:type="dxa"/>
            <w:shd w:val="clear" w:color="auto" w:fill="auto"/>
            <w:vAlign w:val="bottom"/>
          </w:tcPr>
          <w:p w14:paraId="5637DCFD"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30" w:type="dxa"/>
            <w:shd w:val="clear" w:color="auto" w:fill="auto"/>
            <w:vAlign w:val="bottom"/>
          </w:tcPr>
          <w:p w14:paraId="3825B30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w:t>
            </w:r>
          </w:p>
        </w:tc>
        <w:tc>
          <w:tcPr>
            <w:tcW w:w="1030" w:type="dxa"/>
            <w:shd w:val="clear" w:color="auto" w:fill="auto"/>
            <w:vAlign w:val="bottom"/>
          </w:tcPr>
          <w:p w14:paraId="1952A4B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 </w:t>
            </w:r>
          </w:p>
        </w:tc>
        <w:tc>
          <w:tcPr>
            <w:tcW w:w="1026" w:type="dxa"/>
            <w:shd w:val="clear" w:color="auto" w:fill="auto"/>
            <w:vAlign w:val="bottom"/>
          </w:tcPr>
          <w:p w14:paraId="12867DD1"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c>
          <w:tcPr>
            <w:tcW w:w="1099" w:type="dxa"/>
            <w:shd w:val="clear" w:color="auto" w:fill="auto"/>
            <w:vAlign w:val="bottom"/>
          </w:tcPr>
          <w:p w14:paraId="4C957345"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 </w:t>
            </w:r>
          </w:p>
        </w:tc>
      </w:tr>
      <w:tr w:rsidR="004E2F51" w:rsidRPr="001B015B" w14:paraId="37917410" w14:textId="77777777" w:rsidTr="00E032FC">
        <w:trPr>
          <w:trHeight w:val="219"/>
        </w:trPr>
        <w:tc>
          <w:tcPr>
            <w:tcW w:w="4148" w:type="dxa"/>
            <w:tcBorders>
              <w:top w:val="nil"/>
              <w:left w:val="nil"/>
              <w:bottom w:val="nil"/>
              <w:right w:val="nil"/>
            </w:tcBorders>
            <w:shd w:val="clear" w:color="auto" w:fill="auto"/>
            <w:vAlign w:val="center"/>
            <w:hideMark/>
          </w:tcPr>
          <w:p w14:paraId="2B6429A4"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 xml:space="preserve">Neto (smanjenje)/povećanje rezerviranja za očekivane gubitke </w:t>
            </w:r>
          </w:p>
        </w:tc>
        <w:tc>
          <w:tcPr>
            <w:tcW w:w="1036" w:type="dxa"/>
            <w:shd w:val="clear" w:color="auto" w:fill="auto"/>
            <w:vAlign w:val="bottom"/>
          </w:tcPr>
          <w:p w14:paraId="3C9E38CB"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(2.968)</w:t>
            </w:r>
          </w:p>
        </w:tc>
        <w:tc>
          <w:tcPr>
            <w:tcW w:w="1030" w:type="dxa"/>
            <w:shd w:val="clear" w:color="auto" w:fill="auto"/>
            <w:vAlign w:val="bottom"/>
          </w:tcPr>
          <w:p w14:paraId="1CF590C6"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19.778 </w:t>
            </w:r>
          </w:p>
        </w:tc>
        <w:tc>
          <w:tcPr>
            <w:tcW w:w="1030" w:type="dxa"/>
            <w:shd w:val="clear" w:color="auto" w:fill="auto"/>
            <w:vAlign w:val="bottom"/>
          </w:tcPr>
          <w:p w14:paraId="13BFCB4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63.447 </w:t>
            </w:r>
          </w:p>
        </w:tc>
        <w:tc>
          <w:tcPr>
            <w:tcW w:w="1026" w:type="dxa"/>
            <w:shd w:val="clear" w:color="auto" w:fill="auto"/>
            <w:vAlign w:val="bottom"/>
          </w:tcPr>
          <w:p w14:paraId="3FE64A58"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2.045 </w:t>
            </w:r>
          </w:p>
        </w:tc>
        <w:tc>
          <w:tcPr>
            <w:tcW w:w="1099" w:type="dxa"/>
            <w:shd w:val="clear" w:color="auto" w:fill="auto"/>
            <w:vAlign w:val="bottom"/>
          </w:tcPr>
          <w:p w14:paraId="00BEECDC"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82.302 </w:t>
            </w:r>
          </w:p>
        </w:tc>
      </w:tr>
      <w:tr w:rsidR="004E2F51" w:rsidRPr="001B015B" w14:paraId="233D4777" w14:textId="77777777" w:rsidTr="00E032FC">
        <w:trPr>
          <w:trHeight w:val="184"/>
        </w:trPr>
        <w:tc>
          <w:tcPr>
            <w:tcW w:w="4148" w:type="dxa"/>
            <w:tcBorders>
              <w:top w:val="nil"/>
              <w:left w:val="nil"/>
              <w:bottom w:val="nil"/>
              <w:right w:val="nil"/>
            </w:tcBorders>
            <w:shd w:val="clear" w:color="auto" w:fill="auto"/>
            <w:vAlign w:val="center"/>
            <w:hideMark/>
          </w:tcPr>
          <w:p w14:paraId="621E4FDF" w14:textId="77777777" w:rsidR="004E2F51" w:rsidRPr="001B015B" w:rsidRDefault="004E2F51" w:rsidP="00E032FC">
            <w:pPr>
              <w:rPr>
                <w:rFonts w:ascii="Arial" w:eastAsia="Calibri" w:hAnsi="Arial" w:cs="Arial"/>
                <w:color w:val="000000" w:themeColor="text1"/>
                <w:sz w:val="18"/>
                <w:szCs w:val="18"/>
                <w:lang w:val="hr-HR"/>
              </w:rPr>
            </w:pPr>
            <w:r w:rsidRPr="001B015B">
              <w:rPr>
                <w:rFonts w:ascii="Arial" w:eastAsia="Calibri" w:hAnsi="Arial" w:cs="Arial"/>
                <w:color w:val="000000" w:themeColor="text1"/>
                <w:sz w:val="18"/>
                <w:szCs w:val="18"/>
                <w:lang w:val="hr-HR"/>
              </w:rPr>
              <w:t>Neto dobit/gubitak od tečajnih razlika po rezerviranjima za očekivane gubitke</w:t>
            </w:r>
          </w:p>
        </w:tc>
        <w:tc>
          <w:tcPr>
            <w:tcW w:w="1036" w:type="dxa"/>
            <w:tcBorders>
              <w:top w:val="nil"/>
              <w:left w:val="nil"/>
              <w:bottom w:val="single" w:sz="8" w:space="0" w:color="auto"/>
              <w:right w:val="nil"/>
            </w:tcBorders>
            <w:shd w:val="clear" w:color="auto" w:fill="auto"/>
            <w:vAlign w:val="bottom"/>
          </w:tcPr>
          <w:p w14:paraId="3FEAFCF2"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(87)</w:t>
            </w:r>
          </w:p>
        </w:tc>
        <w:tc>
          <w:tcPr>
            <w:tcW w:w="1030" w:type="dxa"/>
            <w:tcBorders>
              <w:top w:val="nil"/>
              <w:left w:val="nil"/>
              <w:bottom w:val="single" w:sz="8" w:space="0" w:color="auto"/>
              <w:right w:val="nil"/>
            </w:tcBorders>
            <w:shd w:val="clear" w:color="auto" w:fill="auto"/>
            <w:vAlign w:val="bottom"/>
          </w:tcPr>
          <w:p w14:paraId="34F6AF1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4 </w:t>
            </w:r>
          </w:p>
        </w:tc>
        <w:tc>
          <w:tcPr>
            <w:tcW w:w="1030" w:type="dxa"/>
            <w:tcBorders>
              <w:top w:val="nil"/>
              <w:left w:val="nil"/>
              <w:bottom w:val="single" w:sz="8" w:space="0" w:color="auto"/>
              <w:right w:val="nil"/>
            </w:tcBorders>
            <w:shd w:val="clear" w:color="auto" w:fill="auto"/>
            <w:vAlign w:val="bottom"/>
          </w:tcPr>
          <w:p w14:paraId="76A7399A"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1.806 </w:t>
            </w:r>
          </w:p>
        </w:tc>
        <w:tc>
          <w:tcPr>
            <w:tcW w:w="1026" w:type="dxa"/>
            <w:tcBorders>
              <w:top w:val="nil"/>
              <w:left w:val="nil"/>
              <w:bottom w:val="single" w:sz="8" w:space="0" w:color="auto"/>
              <w:right w:val="nil"/>
            </w:tcBorders>
            <w:shd w:val="clear" w:color="auto" w:fill="auto"/>
            <w:vAlign w:val="bottom"/>
          </w:tcPr>
          <w:p w14:paraId="0859B0A6"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6 </w:t>
            </w:r>
          </w:p>
        </w:tc>
        <w:tc>
          <w:tcPr>
            <w:tcW w:w="1099" w:type="dxa"/>
            <w:tcBorders>
              <w:top w:val="nil"/>
              <w:left w:val="nil"/>
              <w:bottom w:val="single" w:sz="8" w:space="0" w:color="auto"/>
              <w:right w:val="nil"/>
            </w:tcBorders>
            <w:shd w:val="clear" w:color="auto" w:fill="auto"/>
            <w:vAlign w:val="bottom"/>
          </w:tcPr>
          <w:p w14:paraId="73DA92C3" w14:textId="77777777" w:rsidR="004E2F51" w:rsidRPr="001B015B" w:rsidRDefault="004E2F51" w:rsidP="00E032FC">
            <w:pPr>
              <w:jc w:val="right"/>
              <w:rPr>
                <w:rFonts w:ascii="Arial" w:eastAsia="Calibri" w:hAnsi="Arial" w:cs="Arial"/>
                <w:color w:val="000000" w:themeColor="text1"/>
                <w:sz w:val="18"/>
                <w:szCs w:val="18"/>
                <w:lang w:val="hr-HR"/>
              </w:rPr>
            </w:pPr>
            <w:r w:rsidRPr="001B015B">
              <w:rPr>
                <w:rFonts w:ascii="Arial" w:hAnsi="Arial" w:cs="Arial"/>
                <w:sz w:val="18"/>
                <w:szCs w:val="18"/>
              </w:rPr>
              <w:t xml:space="preserve"> 1.729 </w:t>
            </w:r>
          </w:p>
        </w:tc>
      </w:tr>
      <w:tr w:rsidR="004E2F51" w:rsidRPr="001B015B" w14:paraId="29895C1B" w14:textId="77777777" w:rsidTr="00E032FC">
        <w:trPr>
          <w:trHeight w:val="184"/>
        </w:trPr>
        <w:tc>
          <w:tcPr>
            <w:tcW w:w="4148" w:type="dxa"/>
            <w:tcBorders>
              <w:top w:val="nil"/>
              <w:left w:val="nil"/>
              <w:bottom w:val="nil"/>
              <w:right w:val="nil"/>
            </w:tcBorders>
            <w:shd w:val="clear" w:color="auto" w:fill="auto"/>
            <w:vAlign w:val="bottom"/>
            <w:hideMark/>
          </w:tcPr>
          <w:p w14:paraId="00EB6731" w14:textId="77777777" w:rsidR="004E2F51" w:rsidRPr="001B015B" w:rsidRDefault="004E2F51" w:rsidP="00E032FC">
            <w:pPr>
              <w:rPr>
                <w:rFonts w:ascii="Arial" w:eastAsia="Calibri" w:hAnsi="Arial" w:cs="Arial"/>
                <w:b/>
                <w:bCs/>
                <w:color w:val="000000" w:themeColor="text1"/>
                <w:sz w:val="18"/>
                <w:szCs w:val="18"/>
                <w:lang w:val="hr-HR"/>
              </w:rPr>
            </w:pPr>
            <w:r w:rsidRPr="001B015B">
              <w:rPr>
                <w:rFonts w:ascii="Arial" w:eastAsia="Calibri" w:hAnsi="Arial" w:cs="Arial"/>
                <w:b/>
                <w:bCs/>
                <w:color w:val="000000" w:themeColor="text1"/>
                <w:sz w:val="18"/>
                <w:szCs w:val="18"/>
                <w:lang w:val="hr-HR"/>
              </w:rPr>
              <w:t>Stanje 31. prosinca 2021.</w:t>
            </w:r>
          </w:p>
        </w:tc>
        <w:tc>
          <w:tcPr>
            <w:tcW w:w="1036" w:type="dxa"/>
            <w:tcBorders>
              <w:top w:val="nil"/>
              <w:left w:val="nil"/>
              <w:bottom w:val="single" w:sz="12" w:space="0" w:color="auto"/>
              <w:right w:val="nil"/>
            </w:tcBorders>
            <w:shd w:val="clear" w:color="auto" w:fill="auto"/>
            <w:vAlign w:val="bottom"/>
          </w:tcPr>
          <w:p w14:paraId="61E276CD"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10.652 </w:t>
            </w:r>
          </w:p>
        </w:tc>
        <w:tc>
          <w:tcPr>
            <w:tcW w:w="1030" w:type="dxa"/>
            <w:tcBorders>
              <w:top w:val="nil"/>
              <w:left w:val="nil"/>
              <w:bottom w:val="single" w:sz="12" w:space="0" w:color="auto"/>
              <w:right w:val="nil"/>
            </w:tcBorders>
            <w:shd w:val="clear" w:color="auto" w:fill="auto"/>
            <w:vAlign w:val="bottom"/>
          </w:tcPr>
          <w:p w14:paraId="47F4728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26.256 </w:t>
            </w:r>
          </w:p>
        </w:tc>
        <w:tc>
          <w:tcPr>
            <w:tcW w:w="1030" w:type="dxa"/>
            <w:tcBorders>
              <w:top w:val="nil"/>
              <w:left w:val="nil"/>
              <w:bottom w:val="single" w:sz="12" w:space="0" w:color="auto"/>
              <w:right w:val="nil"/>
            </w:tcBorders>
            <w:shd w:val="clear" w:color="auto" w:fill="auto"/>
            <w:vAlign w:val="bottom"/>
          </w:tcPr>
          <w:p w14:paraId="07DBC653"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82.779 </w:t>
            </w:r>
          </w:p>
        </w:tc>
        <w:tc>
          <w:tcPr>
            <w:tcW w:w="1026" w:type="dxa"/>
            <w:tcBorders>
              <w:top w:val="nil"/>
              <w:left w:val="nil"/>
              <w:bottom w:val="single" w:sz="12" w:space="0" w:color="auto"/>
              <w:right w:val="nil"/>
            </w:tcBorders>
            <w:shd w:val="clear" w:color="auto" w:fill="auto"/>
            <w:vAlign w:val="bottom"/>
          </w:tcPr>
          <w:p w14:paraId="1554009F"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9.900 </w:t>
            </w:r>
          </w:p>
        </w:tc>
        <w:tc>
          <w:tcPr>
            <w:tcW w:w="1099" w:type="dxa"/>
            <w:tcBorders>
              <w:top w:val="nil"/>
              <w:left w:val="nil"/>
              <w:bottom w:val="single" w:sz="12" w:space="0" w:color="auto"/>
              <w:right w:val="nil"/>
            </w:tcBorders>
            <w:shd w:val="clear" w:color="auto" w:fill="auto"/>
            <w:vAlign w:val="bottom"/>
          </w:tcPr>
          <w:p w14:paraId="52A89C84" w14:textId="77777777" w:rsidR="004E2F51" w:rsidRPr="001B015B" w:rsidRDefault="004E2F51" w:rsidP="00E032FC">
            <w:pPr>
              <w:jc w:val="right"/>
              <w:rPr>
                <w:rFonts w:ascii="Arial" w:eastAsia="Calibri" w:hAnsi="Arial" w:cs="Arial"/>
                <w:b/>
                <w:bCs/>
                <w:color w:val="000000" w:themeColor="text1"/>
                <w:sz w:val="18"/>
                <w:szCs w:val="18"/>
                <w:lang w:val="hr-HR"/>
              </w:rPr>
            </w:pPr>
            <w:r w:rsidRPr="001B015B">
              <w:rPr>
                <w:rFonts w:ascii="Arial" w:hAnsi="Arial" w:cs="Arial"/>
                <w:b/>
                <w:bCs/>
                <w:sz w:val="18"/>
                <w:szCs w:val="18"/>
              </w:rPr>
              <w:t xml:space="preserve"> 129.587 </w:t>
            </w:r>
          </w:p>
        </w:tc>
      </w:tr>
    </w:tbl>
    <w:p w14:paraId="159F3DB8" w14:textId="77777777" w:rsidR="004E2F51" w:rsidRPr="001B015B" w:rsidRDefault="004E2F51" w:rsidP="004E2F51">
      <w:pPr>
        <w:rPr>
          <w:rFonts w:ascii="Arial" w:eastAsia="Calibri" w:hAnsi="Arial" w:cs="Arial"/>
          <w:color w:val="000000" w:themeColor="text1"/>
          <w:sz w:val="20"/>
          <w:szCs w:val="20"/>
          <w:lang w:val="hr-HR"/>
        </w:rPr>
      </w:pPr>
    </w:p>
    <w:bookmarkEnd w:id="1643"/>
    <w:bookmarkEnd w:id="1644"/>
    <w:p w14:paraId="190F8161" w14:textId="77777777" w:rsidR="004E2F51" w:rsidRPr="001B015B" w:rsidRDefault="004E2F51" w:rsidP="004E2F51">
      <w:pPr>
        <w:tabs>
          <w:tab w:val="left" w:pos="9180"/>
        </w:tabs>
        <w:jc w:val="both"/>
        <w:rPr>
          <w:rFonts w:ascii="Arial" w:hAnsi="Arial" w:cs="Arial"/>
          <w:b/>
          <w:bCs/>
          <w:color w:val="000000" w:themeColor="text1"/>
          <w:sz w:val="20"/>
          <w:szCs w:val="20"/>
          <w:lang w:val="hr-HR"/>
        </w:rPr>
      </w:pPr>
    </w:p>
    <w:p w14:paraId="02E32F4C" w14:textId="77777777" w:rsidR="004E2F51" w:rsidRPr="00B91D09" w:rsidRDefault="004E2F51" w:rsidP="004E2F51">
      <w:pPr>
        <w:tabs>
          <w:tab w:val="left" w:pos="9180"/>
        </w:tabs>
        <w:jc w:val="both"/>
        <w:rPr>
          <w:rFonts w:ascii="Arial" w:hAnsi="Arial" w:cs="Arial"/>
          <w:b/>
          <w:bCs/>
          <w:color w:val="000000" w:themeColor="text1"/>
          <w:lang w:val="hr-HR"/>
        </w:rPr>
        <w:sectPr w:rsidR="004E2F51" w:rsidRPr="00B91D09" w:rsidSect="00623DBA">
          <w:footerReference w:type="default" r:id="rId202"/>
          <w:type w:val="continuous"/>
          <w:pgSz w:w="11907" w:h="16840" w:code="9"/>
          <w:pgMar w:top="1418" w:right="1134" w:bottom="1134" w:left="1418" w:header="851" w:footer="851" w:gutter="0"/>
          <w:cols w:space="720"/>
          <w:noEndnote/>
        </w:sectPr>
      </w:pPr>
    </w:p>
    <w:p w14:paraId="609A2DE8" w14:textId="77777777" w:rsidR="004E2F51" w:rsidRPr="00100ED3" w:rsidRDefault="004E2F51" w:rsidP="004E2F51">
      <w:pPr>
        <w:pStyle w:val="T1"/>
        <w:spacing w:before="0" w:after="0" w:line="240" w:lineRule="auto"/>
        <w:rPr>
          <w:rFonts w:cs="Arial"/>
          <w:color w:val="000000" w:themeColor="text1"/>
          <w:sz w:val="20"/>
          <w:lang w:val="hr-HR"/>
        </w:rPr>
      </w:pPr>
    </w:p>
    <w:p w14:paraId="15DFF913" w14:textId="77777777" w:rsidR="004E2F51" w:rsidRPr="00100ED3" w:rsidRDefault="004E2F51" w:rsidP="004E2F51">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Pr>
          <w:rFonts w:cs="Arial"/>
          <w:color w:val="000000" w:themeColor="text1"/>
          <w:sz w:val="20"/>
          <w:lang w:val="hr-HR"/>
        </w:rPr>
        <w:t>1</w:t>
      </w:r>
      <w:r w:rsidRPr="00100ED3">
        <w:rPr>
          <w:rFonts w:cs="Arial"/>
          <w:color w:val="000000" w:themeColor="text1"/>
          <w:sz w:val="20"/>
          <w:lang w:val="hr-HR"/>
        </w:rPr>
        <w:t>.</w:t>
      </w:r>
      <w:r w:rsidRPr="00100ED3">
        <w:rPr>
          <w:rFonts w:cs="Arial"/>
          <w:color w:val="000000" w:themeColor="text1"/>
          <w:sz w:val="20"/>
          <w:lang w:val="hr-HR"/>
        </w:rPr>
        <w:tab/>
        <w:t>Upravljanje rizicima (nastavak)</w:t>
      </w:r>
    </w:p>
    <w:p w14:paraId="4C630593" w14:textId="77777777" w:rsidR="004E2F51" w:rsidRPr="00100ED3" w:rsidRDefault="004E2F51" w:rsidP="004E2F51">
      <w:pPr>
        <w:pStyle w:val="T1"/>
        <w:spacing w:before="0" w:after="0" w:line="240" w:lineRule="auto"/>
        <w:rPr>
          <w:rFonts w:cs="Arial"/>
          <w:color w:val="000000" w:themeColor="text1"/>
          <w:sz w:val="20"/>
          <w:lang w:val="hr-HR"/>
        </w:rPr>
      </w:pPr>
    </w:p>
    <w:p w14:paraId="0DD9B0AC" w14:textId="77777777" w:rsidR="004E2F51" w:rsidRPr="00100ED3" w:rsidRDefault="004E2F51" w:rsidP="004E2F51">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Pr>
          <w:rFonts w:cs="Arial"/>
          <w:color w:val="000000" w:themeColor="text1"/>
          <w:sz w:val="20"/>
          <w:lang w:val="hr-HR"/>
        </w:rPr>
        <w:t>1</w:t>
      </w:r>
      <w:r w:rsidRPr="00100ED3">
        <w:rPr>
          <w:rFonts w:cs="Arial"/>
          <w:color w:val="000000" w:themeColor="text1"/>
          <w:sz w:val="20"/>
          <w:lang w:val="hr-HR"/>
        </w:rPr>
        <w:t xml:space="preserve">.4. </w:t>
      </w:r>
      <w:r w:rsidRPr="00100ED3">
        <w:rPr>
          <w:rFonts w:cs="Arial"/>
          <w:color w:val="000000" w:themeColor="text1"/>
          <w:sz w:val="20"/>
          <w:lang w:val="hr-HR"/>
        </w:rPr>
        <w:tab/>
        <w:t xml:space="preserve">Rizik likvidnosti </w:t>
      </w:r>
    </w:p>
    <w:p w14:paraId="735B68E9" w14:textId="77777777" w:rsidR="004E2F51" w:rsidRPr="00100ED3" w:rsidRDefault="004E2F51" w:rsidP="004E2F51">
      <w:pPr>
        <w:tabs>
          <w:tab w:val="left" w:pos="-720"/>
        </w:tabs>
        <w:jc w:val="both"/>
        <w:rPr>
          <w:rFonts w:ascii="Arial" w:hAnsi="Arial" w:cs="Arial"/>
          <w:color w:val="000000" w:themeColor="text1"/>
          <w:sz w:val="20"/>
          <w:szCs w:val="20"/>
          <w:lang w:val="hr-HR"/>
        </w:rPr>
      </w:pPr>
    </w:p>
    <w:p w14:paraId="14D495DA" w14:textId="77777777" w:rsidR="004E2F51" w:rsidRDefault="004E2F51" w:rsidP="004E2F51">
      <w:pPr>
        <w:tabs>
          <w:tab w:val="left" w:pos="-720"/>
        </w:tabs>
        <w:jc w:val="both"/>
        <w:rPr>
          <w:rFonts w:ascii="Arial" w:hAnsi="Arial" w:cs="Arial"/>
          <w:color w:val="000000" w:themeColor="text1"/>
          <w:sz w:val="20"/>
          <w:szCs w:val="20"/>
          <w:lang w:val="hr-HR"/>
        </w:rPr>
      </w:pPr>
      <w:r w:rsidRPr="00100ED3">
        <w:rPr>
          <w:rFonts w:ascii="Arial" w:hAnsi="Arial" w:cs="Arial"/>
          <w:color w:val="000000" w:themeColor="text1"/>
          <w:sz w:val="20"/>
          <w:szCs w:val="20"/>
          <w:lang w:val="hr-HR"/>
        </w:rPr>
        <w:t>Iznos ukupne imovine, ukupnih obveza i garancija i preuzetih obveza na dan 31. prosinca 202</w:t>
      </w:r>
      <w:r>
        <w:rPr>
          <w:rFonts w:ascii="Arial" w:hAnsi="Arial" w:cs="Arial"/>
          <w:color w:val="000000" w:themeColor="text1"/>
          <w:sz w:val="20"/>
          <w:szCs w:val="20"/>
          <w:lang w:val="hr-HR"/>
        </w:rPr>
        <w:t>2</w:t>
      </w:r>
      <w:r w:rsidRPr="00100ED3">
        <w:rPr>
          <w:rFonts w:ascii="Arial" w:hAnsi="Arial" w:cs="Arial"/>
          <w:color w:val="000000" w:themeColor="text1"/>
          <w:sz w:val="20"/>
          <w:szCs w:val="20"/>
          <w:lang w:val="hr-HR"/>
        </w:rPr>
        <w:t>. i 31. prosinca 202</w:t>
      </w:r>
      <w:r>
        <w:rPr>
          <w:rFonts w:ascii="Arial" w:hAnsi="Arial" w:cs="Arial"/>
          <w:color w:val="000000" w:themeColor="text1"/>
          <w:sz w:val="20"/>
          <w:szCs w:val="20"/>
          <w:lang w:val="hr-HR"/>
        </w:rPr>
        <w:t>1</w:t>
      </w:r>
      <w:r w:rsidRPr="00100ED3">
        <w:rPr>
          <w:rFonts w:ascii="Arial" w:hAnsi="Arial" w:cs="Arial"/>
          <w:color w:val="000000" w:themeColor="text1"/>
          <w:sz w:val="20"/>
          <w:szCs w:val="20"/>
          <w:lang w:val="hr-HR"/>
        </w:rPr>
        <w:t>. analiziran je kroz preostalo razdoblje od dana Izvještaja o financijskom položaju u odnosu na ugovoreni datum dospijeća kako slijedi:</w:t>
      </w:r>
    </w:p>
    <w:p w14:paraId="3A85928E" w14:textId="77777777" w:rsidR="004E2F51" w:rsidRPr="00100ED3" w:rsidRDefault="004E2F51" w:rsidP="004E2F51">
      <w:pPr>
        <w:tabs>
          <w:tab w:val="left" w:pos="-720"/>
        </w:tabs>
        <w:jc w:val="both"/>
        <w:rPr>
          <w:rFonts w:ascii="Arial" w:hAnsi="Arial" w:cs="Arial"/>
          <w:color w:val="000000" w:themeColor="text1"/>
          <w:sz w:val="20"/>
          <w:szCs w:val="20"/>
          <w:lang w:val="hr-HR"/>
        </w:rPr>
      </w:pPr>
    </w:p>
    <w:p w14:paraId="31541A91" w14:textId="77777777" w:rsidR="004E2F51" w:rsidRPr="00100ED3" w:rsidRDefault="004E2F51" w:rsidP="004E2F51">
      <w:pPr>
        <w:tabs>
          <w:tab w:val="left" w:pos="-720"/>
        </w:tabs>
        <w:jc w:val="both"/>
        <w:rPr>
          <w:rFonts w:ascii="Arial" w:hAnsi="Arial" w:cs="Arial"/>
          <w:color w:val="000000" w:themeColor="text1"/>
          <w:sz w:val="20"/>
          <w:szCs w:val="20"/>
          <w:lang w:val="hr-HR"/>
        </w:rPr>
      </w:pPr>
    </w:p>
    <w:tbl>
      <w:tblPr>
        <w:tblW w:w="5106" w:type="pct"/>
        <w:tblInd w:w="-142" w:type="dxa"/>
        <w:tblLayout w:type="fixed"/>
        <w:tblCellMar>
          <w:left w:w="120" w:type="dxa"/>
          <w:right w:w="120" w:type="dxa"/>
        </w:tblCellMar>
        <w:tblLook w:val="0000" w:firstRow="0" w:lastRow="0" w:firstColumn="0" w:lastColumn="0" w:noHBand="0" w:noVBand="0"/>
      </w:tblPr>
      <w:tblGrid>
        <w:gridCol w:w="3128"/>
        <w:gridCol w:w="1045"/>
        <w:gridCol w:w="1020"/>
        <w:gridCol w:w="1009"/>
        <w:gridCol w:w="1028"/>
        <w:gridCol w:w="1190"/>
        <w:gridCol w:w="1133"/>
      </w:tblGrid>
      <w:tr w:rsidR="004E2F51" w:rsidRPr="005B35F4" w14:paraId="2F29301A" w14:textId="77777777" w:rsidTr="00E032FC">
        <w:trPr>
          <w:trHeight w:val="459"/>
        </w:trPr>
        <w:tc>
          <w:tcPr>
            <w:tcW w:w="1637" w:type="pct"/>
          </w:tcPr>
          <w:p w14:paraId="028C035F" w14:textId="77777777" w:rsidR="004E2F51" w:rsidRPr="005B35F4" w:rsidRDefault="004E2F51" w:rsidP="00E032FC">
            <w:pPr>
              <w:pStyle w:val="TH"/>
              <w:spacing w:line="220" w:lineRule="exact"/>
              <w:rPr>
                <w:rFonts w:cs="Arial"/>
                <w:color w:val="000000" w:themeColor="text1"/>
                <w:sz w:val="17"/>
                <w:szCs w:val="17"/>
                <w:lang w:val="hr-HR"/>
              </w:rPr>
            </w:pPr>
            <w:bookmarkStart w:id="1655" w:name="_Toc67330068"/>
            <w:r w:rsidRPr="005B35F4">
              <w:rPr>
                <w:rFonts w:cs="Arial"/>
                <w:color w:val="000000" w:themeColor="text1"/>
                <w:sz w:val="17"/>
                <w:szCs w:val="17"/>
                <w:lang w:val="hr-HR"/>
              </w:rPr>
              <w:t>Grupa</w:t>
            </w:r>
            <w:bookmarkEnd w:id="1655"/>
          </w:p>
          <w:p w14:paraId="506A0D0E" w14:textId="77777777" w:rsidR="004E2F51" w:rsidRPr="005B35F4" w:rsidRDefault="004E2F51" w:rsidP="00E032FC">
            <w:pPr>
              <w:pStyle w:val="TH"/>
              <w:spacing w:line="220" w:lineRule="exact"/>
              <w:rPr>
                <w:rFonts w:cs="Arial"/>
                <w:color w:val="000000" w:themeColor="text1"/>
                <w:sz w:val="17"/>
                <w:szCs w:val="17"/>
                <w:lang w:val="hr-HR"/>
              </w:rPr>
            </w:pPr>
            <w:bookmarkStart w:id="1656" w:name="_Toc67330069"/>
            <w:r w:rsidRPr="005B35F4">
              <w:rPr>
                <w:rFonts w:cs="Arial"/>
                <w:color w:val="000000" w:themeColor="text1"/>
                <w:sz w:val="17"/>
                <w:szCs w:val="17"/>
                <w:lang w:val="hr-HR"/>
              </w:rPr>
              <w:t>31. prosinca 2022.</w:t>
            </w:r>
            <w:bookmarkEnd w:id="1656"/>
            <w:r w:rsidRPr="005B35F4">
              <w:rPr>
                <w:rFonts w:cs="Arial"/>
                <w:color w:val="000000" w:themeColor="text1"/>
                <w:sz w:val="17"/>
                <w:szCs w:val="17"/>
                <w:lang w:val="hr-HR"/>
              </w:rPr>
              <w:t xml:space="preserve"> </w:t>
            </w:r>
          </w:p>
        </w:tc>
        <w:tc>
          <w:tcPr>
            <w:tcW w:w="547" w:type="pct"/>
          </w:tcPr>
          <w:p w14:paraId="0F83BF1D" w14:textId="77777777" w:rsidR="004E2F51" w:rsidRPr="005B35F4" w:rsidRDefault="004E2F51" w:rsidP="00E032FC">
            <w:pPr>
              <w:pStyle w:val="TH"/>
              <w:spacing w:line="220" w:lineRule="exact"/>
              <w:jc w:val="right"/>
              <w:rPr>
                <w:rFonts w:cs="Arial"/>
                <w:color w:val="000000" w:themeColor="text1"/>
                <w:sz w:val="17"/>
                <w:szCs w:val="17"/>
                <w:lang w:val="hr-HR"/>
              </w:rPr>
            </w:pPr>
            <w:bookmarkStart w:id="1657" w:name="_Toc67330070"/>
            <w:r w:rsidRPr="005B35F4">
              <w:rPr>
                <w:rFonts w:cs="Arial"/>
                <w:color w:val="000000" w:themeColor="text1"/>
                <w:sz w:val="17"/>
                <w:szCs w:val="17"/>
                <w:lang w:val="hr-HR"/>
              </w:rPr>
              <w:t>Do 1 mjesec</w:t>
            </w:r>
            <w:bookmarkEnd w:id="1657"/>
          </w:p>
        </w:tc>
        <w:tc>
          <w:tcPr>
            <w:tcW w:w="534" w:type="pct"/>
          </w:tcPr>
          <w:p w14:paraId="4C476AAA" w14:textId="77777777" w:rsidR="004E2F51" w:rsidRPr="005B35F4" w:rsidRDefault="004E2F51" w:rsidP="00E032FC">
            <w:pPr>
              <w:pStyle w:val="TH"/>
              <w:spacing w:line="220" w:lineRule="exact"/>
              <w:jc w:val="right"/>
              <w:rPr>
                <w:rFonts w:cs="Arial"/>
                <w:color w:val="000000" w:themeColor="text1"/>
                <w:sz w:val="17"/>
                <w:szCs w:val="17"/>
                <w:lang w:val="hr-HR"/>
              </w:rPr>
            </w:pPr>
            <w:bookmarkStart w:id="1658" w:name="_Toc67330071"/>
            <w:r w:rsidRPr="005B35F4">
              <w:rPr>
                <w:rFonts w:cs="Arial"/>
                <w:color w:val="000000" w:themeColor="text1"/>
                <w:sz w:val="17"/>
                <w:szCs w:val="17"/>
                <w:lang w:val="hr-HR"/>
              </w:rPr>
              <w:t>1 do 3 mjeseca</w:t>
            </w:r>
            <w:bookmarkEnd w:id="1658"/>
          </w:p>
        </w:tc>
        <w:tc>
          <w:tcPr>
            <w:tcW w:w="528" w:type="pct"/>
          </w:tcPr>
          <w:p w14:paraId="6AD3DF43" w14:textId="77777777" w:rsidR="004E2F51" w:rsidRPr="005B35F4" w:rsidRDefault="004E2F51" w:rsidP="00E032FC">
            <w:pPr>
              <w:pStyle w:val="TH"/>
              <w:spacing w:line="220" w:lineRule="exact"/>
              <w:jc w:val="right"/>
              <w:rPr>
                <w:rFonts w:cs="Arial"/>
                <w:color w:val="000000" w:themeColor="text1"/>
                <w:sz w:val="17"/>
                <w:szCs w:val="17"/>
                <w:lang w:val="hr-HR"/>
              </w:rPr>
            </w:pPr>
            <w:bookmarkStart w:id="1659" w:name="_Toc67330072"/>
            <w:r w:rsidRPr="005B35F4">
              <w:rPr>
                <w:rFonts w:cs="Arial"/>
                <w:color w:val="000000" w:themeColor="text1"/>
                <w:sz w:val="17"/>
                <w:szCs w:val="17"/>
                <w:lang w:val="hr-HR"/>
              </w:rPr>
              <w:t>3 mj. do 1 godine</w:t>
            </w:r>
            <w:bookmarkEnd w:id="1659"/>
          </w:p>
        </w:tc>
        <w:tc>
          <w:tcPr>
            <w:tcW w:w="538" w:type="pct"/>
          </w:tcPr>
          <w:p w14:paraId="5D28EF92" w14:textId="77777777" w:rsidR="004E2F51" w:rsidRPr="005B35F4" w:rsidRDefault="004E2F51" w:rsidP="00E032FC">
            <w:pPr>
              <w:pStyle w:val="TH"/>
              <w:spacing w:line="220" w:lineRule="exact"/>
              <w:jc w:val="right"/>
              <w:rPr>
                <w:rFonts w:cs="Arial"/>
                <w:color w:val="000000" w:themeColor="text1"/>
                <w:sz w:val="17"/>
                <w:szCs w:val="17"/>
                <w:lang w:val="hr-HR"/>
              </w:rPr>
            </w:pPr>
            <w:bookmarkStart w:id="1660" w:name="_Toc67330073"/>
            <w:r w:rsidRPr="005B35F4">
              <w:rPr>
                <w:rFonts w:cs="Arial"/>
                <w:color w:val="000000" w:themeColor="text1"/>
                <w:sz w:val="17"/>
                <w:szCs w:val="17"/>
                <w:lang w:val="hr-HR"/>
              </w:rPr>
              <w:t>1 do 3 godina</w:t>
            </w:r>
            <w:bookmarkEnd w:id="1660"/>
          </w:p>
        </w:tc>
        <w:tc>
          <w:tcPr>
            <w:tcW w:w="623" w:type="pct"/>
          </w:tcPr>
          <w:p w14:paraId="067B92FA" w14:textId="77777777" w:rsidR="004E2F51" w:rsidRPr="005B35F4" w:rsidRDefault="004E2F51" w:rsidP="00E032FC">
            <w:pPr>
              <w:pStyle w:val="TH"/>
              <w:spacing w:line="220" w:lineRule="exact"/>
              <w:jc w:val="right"/>
              <w:rPr>
                <w:rFonts w:cs="Arial"/>
                <w:color w:val="000000" w:themeColor="text1"/>
                <w:sz w:val="17"/>
                <w:szCs w:val="17"/>
                <w:lang w:val="hr-HR"/>
              </w:rPr>
            </w:pPr>
            <w:bookmarkStart w:id="1661" w:name="_Toc67330074"/>
            <w:r w:rsidRPr="005B35F4">
              <w:rPr>
                <w:rFonts w:cs="Arial"/>
                <w:color w:val="000000" w:themeColor="text1"/>
                <w:sz w:val="17"/>
                <w:szCs w:val="17"/>
                <w:lang w:val="hr-HR"/>
              </w:rPr>
              <w:t>Preko 3 godine</w:t>
            </w:r>
            <w:bookmarkEnd w:id="1661"/>
          </w:p>
        </w:tc>
        <w:tc>
          <w:tcPr>
            <w:tcW w:w="593" w:type="pct"/>
          </w:tcPr>
          <w:p w14:paraId="4DC2399E" w14:textId="77777777" w:rsidR="004E2F51" w:rsidRPr="005B35F4" w:rsidRDefault="004E2F51" w:rsidP="00E032FC">
            <w:pPr>
              <w:pStyle w:val="TH"/>
              <w:spacing w:line="220" w:lineRule="exact"/>
              <w:jc w:val="right"/>
              <w:rPr>
                <w:rFonts w:cs="Arial"/>
                <w:color w:val="000000" w:themeColor="text1"/>
                <w:sz w:val="17"/>
                <w:szCs w:val="17"/>
                <w:lang w:val="hr-HR"/>
              </w:rPr>
            </w:pPr>
            <w:bookmarkStart w:id="1662" w:name="_Toc67330075"/>
            <w:r w:rsidRPr="005B35F4">
              <w:rPr>
                <w:rFonts w:cs="Arial"/>
                <w:color w:val="000000" w:themeColor="text1"/>
                <w:sz w:val="17"/>
                <w:szCs w:val="17"/>
                <w:lang w:val="hr-HR"/>
              </w:rPr>
              <w:t>Ukupno</w:t>
            </w:r>
            <w:bookmarkEnd w:id="1662"/>
          </w:p>
        </w:tc>
      </w:tr>
      <w:tr w:rsidR="004E2F51" w:rsidRPr="005B35F4" w14:paraId="4B3B9369" w14:textId="77777777" w:rsidTr="00E032FC">
        <w:trPr>
          <w:trHeight w:val="161"/>
        </w:trPr>
        <w:tc>
          <w:tcPr>
            <w:tcW w:w="1637" w:type="pct"/>
          </w:tcPr>
          <w:p w14:paraId="5A2716C8" w14:textId="77777777" w:rsidR="004E2F51" w:rsidRPr="005B35F4" w:rsidRDefault="004E2F51" w:rsidP="00E032FC">
            <w:pPr>
              <w:tabs>
                <w:tab w:val="left" w:pos="-720"/>
              </w:tabs>
              <w:jc w:val="center"/>
              <w:rPr>
                <w:rFonts w:ascii="Arial" w:hAnsi="Arial" w:cs="Arial"/>
                <w:b/>
                <w:color w:val="000000" w:themeColor="text1"/>
                <w:spacing w:val="-2"/>
                <w:sz w:val="17"/>
                <w:szCs w:val="17"/>
                <w:lang w:val="hr-HR"/>
              </w:rPr>
            </w:pPr>
          </w:p>
        </w:tc>
        <w:tc>
          <w:tcPr>
            <w:tcW w:w="547" w:type="pct"/>
            <w:vAlign w:val="bottom"/>
          </w:tcPr>
          <w:p w14:paraId="28A1DF7C" w14:textId="77777777" w:rsidR="004E2F51" w:rsidRPr="005B35F4" w:rsidRDefault="004E2F51" w:rsidP="00E032FC">
            <w:pPr>
              <w:pStyle w:val="TH"/>
              <w:spacing w:line="220" w:lineRule="exact"/>
              <w:jc w:val="right"/>
              <w:rPr>
                <w:rFonts w:cs="Arial"/>
                <w:color w:val="000000" w:themeColor="text1"/>
                <w:sz w:val="17"/>
                <w:szCs w:val="17"/>
                <w:lang w:val="hr-HR"/>
              </w:rPr>
            </w:pPr>
            <w:bookmarkStart w:id="1663" w:name="_Toc67330076"/>
            <w:r w:rsidRPr="005B35F4">
              <w:rPr>
                <w:rFonts w:cs="Arial"/>
                <w:bCs/>
                <w:color w:val="000000" w:themeColor="text1"/>
                <w:sz w:val="17"/>
                <w:szCs w:val="17"/>
                <w:lang w:val="hr-HR"/>
              </w:rPr>
              <w:t>000 kuna</w:t>
            </w:r>
            <w:bookmarkEnd w:id="1663"/>
          </w:p>
        </w:tc>
        <w:tc>
          <w:tcPr>
            <w:tcW w:w="534" w:type="pct"/>
            <w:vAlign w:val="bottom"/>
          </w:tcPr>
          <w:p w14:paraId="65074FF1" w14:textId="77777777" w:rsidR="004E2F51" w:rsidRPr="005B35F4" w:rsidRDefault="004E2F51" w:rsidP="00E032FC">
            <w:pPr>
              <w:pStyle w:val="TH"/>
              <w:spacing w:line="220" w:lineRule="exact"/>
              <w:jc w:val="right"/>
              <w:rPr>
                <w:rFonts w:cs="Arial"/>
                <w:color w:val="000000" w:themeColor="text1"/>
                <w:sz w:val="17"/>
                <w:szCs w:val="17"/>
                <w:lang w:val="hr-HR"/>
              </w:rPr>
            </w:pPr>
            <w:bookmarkStart w:id="1664" w:name="_Toc67330077"/>
            <w:r w:rsidRPr="005B35F4">
              <w:rPr>
                <w:rFonts w:cs="Arial"/>
                <w:bCs/>
                <w:color w:val="000000" w:themeColor="text1"/>
                <w:sz w:val="17"/>
                <w:szCs w:val="17"/>
                <w:lang w:val="hr-HR"/>
              </w:rPr>
              <w:t>000 kuna</w:t>
            </w:r>
            <w:bookmarkEnd w:id="1664"/>
          </w:p>
        </w:tc>
        <w:tc>
          <w:tcPr>
            <w:tcW w:w="528" w:type="pct"/>
            <w:vAlign w:val="bottom"/>
          </w:tcPr>
          <w:p w14:paraId="6492BDB8" w14:textId="77777777" w:rsidR="004E2F51" w:rsidRPr="005B35F4" w:rsidRDefault="004E2F51" w:rsidP="00E032FC">
            <w:pPr>
              <w:pStyle w:val="TH"/>
              <w:spacing w:line="220" w:lineRule="exact"/>
              <w:jc w:val="right"/>
              <w:rPr>
                <w:rFonts w:cs="Arial"/>
                <w:color w:val="000000" w:themeColor="text1"/>
                <w:sz w:val="17"/>
                <w:szCs w:val="17"/>
                <w:lang w:val="hr-HR"/>
              </w:rPr>
            </w:pPr>
            <w:bookmarkStart w:id="1665" w:name="_Toc67330078"/>
            <w:r w:rsidRPr="005B35F4">
              <w:rPr>
                <w:rFonts w:cs="Arial"/>
                <w:bCs/>
                <w:color w:val="000000" w:themeColor="text1"/>
                <w:sz w:val="17"/>
                <w:szCs w:val="17"/>
                <w:lang w:val="hr-HR"/>
              </w:rPr>
              <w:t>000 kuna</w:t>
            </w:r>
            <w:bookmarkEnd w:id="1665"/>
          </w:p>
        </w:tc>
        <w:tc>
          <w:tcPr>
            <w:tcW w:w="538" w:type="pct"/>
            <w:vAlign w:val="bottom"/>
          </w:tcPr>
          <w:p w14:paraId="6C852EA2" w14:textId="77777777" w:rsidR="004E2F51" w:rsidRPr="005B35F4" w:rsidRDefault="004E2F51" w:rsidP="00E032FC">
            <w:pPr>
              <w:pStyle w:val="TH"/>
              <w:spacing w:line="220" w:lineRule="exact"/>
              <w:jc w:val="right"/>
              <w:rPr>
                <w:rFonts w:cs="Arial"/>
                <w:color w:val="000000" w:themeColor="text1"/>
                <w:sz w:val="17"/>
                <w:szCs w:val="17"/>
                <w:lang w:val="hr-HR"/>
              </w:rPr>
            </w:pPr>
            <w:bookmarkStart w:id="1666" w:name="_Toc67330079"/>
            <w:r w:rsidRPr="005B35F4">
              <w:rPr>
                <w:rFonts w:cs="Arial"/>
                <w:bCs/>
                <w:color w:val="000000" w:themeColor="text1"/>
                <w:sz w:val="17"/>
                <w:szCs w:val="17"/>
                <w:lang w:val="hr-HR"/>
              </w:rPr>
              <w:t>000 kuna</w:t>
            </w:r>
            <w:bookmarkEnd w:id="1666"/>
          </w:p>
        </w:tc>
        <w:tc>
          <w:tcPr>
            <w:tcW w:w="623" w:type="pct"/>
            <w:vAlign w:val="bottom"/>
          </w:tcPr>
          <w:p w14:paraId="4C5AE12E" w14:textId="77777777" w:rsidR="004E2F51" w:rsidRPr="005B35F4" w:rsidRDefault="004E2F51" w:rsidP="00E032FC">
            <w:pPr>
              <w:pStyle w:val="TH"/>
              <w:spacing w:line="220" w:lineRule="exact"/>
              <w:jc w:val="right"/>
              <w:rPr>
                <w:rFonts w:cs="Arial"/>
                <w:color w:val="000000" w:themeColor="text1"/>
                <w:sz w:val="17"/>
                <w:szCs w:val="17"/>
                <w:lang w:val="hr-HR"/>
              </w:rPr>
            </w:pPr>
            <w:bookmarkStart w:id="1667" w:name="_Toc67330080"/>
            <w:r w:rsidRPr="005B35F4">
              <w:rPr>
                <w:rFonts w:cs="Arial"/>
                <w:bCs/>
                <w:color w:val="000000" w:themeColor="text1"/>
                <w:sz w:val="17"/>
                <w:szCs w:val="17"/>
                <w:lang w:val="hr-HR"/>
              </w:rPr>
              <w:t>000 kuna</w:t>
            </w:r>
            <w:bookmarkEnd w:id="1667"/>
          </w:p>
        </w:tc>
        <w:tc>
          <w:tcPr>
            <w:tcW w:w="593" w:type="pct"/>
            <w:vAlign w:val="bottom"/>
          </w:tcPr>
          <w:p w14:paraId="557D83F1" w14:textId="77777777" w:rsidR="004E2F51" w:rsidRPr="005B35F4" w:rsidRDefault="004E2F51" w:rsidP="00E032FC">
            <w:pPr>
              <w:pStyle w:val="TH"/>
              <w:spacing w:line="220" w:lineRule="exact"/>
              <w:jc w:val="right"/>
              <w:rPr>
                <w:rFonts w:cs="Arial"/>
                <w:color w:val="000000" w:themeColor="text1"/>
                <w:sz w:val="17"/>
                <w:szCs w:val="17"/>
                <w:lang w:val="hr-HR"/>
              </w:rPr>
            </w:pPr>
            <w:bookmarkStart w:id="1668" w:name="_Toc67330081"/>
            <w:r w:rsidRPr="005B35F4">
              <w:rPr>
                <w:rFonts w:cs="Arial"/>
                <w:bCs/>
                <w:color w:val="000000" w:themeColor="text1"/>
                <w:sz w:val="17"/>
                <w:szCs w:val="17"/>
                <w:lang w:val="hr-HR"/>
              </w:rPr>
              <w:t>000 kuna</w:t>
            </w:r>
            <w:bookmarkEnd w:id="1668"/>
          </w:p>
        </w:tc>
      </w:tr>
      <w:tr w:rsidR="004E2F51" w:rsidRPr="005B35F4" w14:paraId="0258AD24" w14:textId="77777777" w:rsidTr="00E032FC">
        <w:trPr>
          <w:trHeight w:val="255"/>
        </w:trPr>
        <w:tc>
          <w:tcPr>
            <w:tcW w:w="1637" w:type="pct"/>
            <w:vAlign w:val="bottom"/>
          </w:tcPr>
          <w:p w14:paraId="4792FB56" w14:textId="77777777" w:rsidR="004E2F51" w:rsidRPr="005B35F4" w:rsidRDefault="004E2F51" w:rsidP="00E032FC">
            <w:pPr>
              <w:pStyle w:val="TT"/>
              <w:spacing w:line="220" w:lineRule="exact"/>
              <w:rPr>
                <w:rFonts w:cs="Arial"/>
                <w:b/>
                <w:bCs/>
                <w:color w:val="000000" w:themeColor="text1"/>
                <w:sz w:val="17"/>
                <w:szCs w:val="17"/>
                <w:lang w:val="hr-HR"/>
              </w:rPr>
            </w:pPr>
            <w:bookmarkStart w:id="1669" w:name="_Toc67330082"/>
            <w:r w:rsidRPr="005B35F4">
              <w:rPr>
                <w:rFonts w:cs="Arial"/>
                <w:b/>
                <w:bCs/>
                <w:color w:val="000000" w:themeColor="text1"/>
                <w:sz w:val="17"/>
                <w:szCs w:val="17"/>
                <w:lang w:val="hr-HR"/>
              </w:rPr>
              <w:t>Imovina</w:t>
            </w:r>
            <w:bookmarkEnd w:id="1669"/>
          </w:p>
        </w:tc>
        <w:tc>
          <w:tcPr>
            <w:tcW w:w="547" w:type="pct"/>
            <w:vAlign w:val="bottom"/>
          </w:tcPr>
          <w:p w14:paraId="6CC0E410" w14:textId="77777777" w:rsidR="004E2F51" w:rsidRPr="005B35F4" w:rsidRDefault="004E2F51" w:rsidP="00E032FC">
            <w:pPr>
              <w:pStyle w:val="TT"/>
              <w:spacing w:line="220" w:lineRule="exact"/>
              <w:jc w:val="right"/>
              <w:rPr>
                <w:rFonts w:cs="Arial"/>
                <w:b/>
                <w:bCs/>
                <w:color w:val="000000" w:themeColor="text1"/>
                <w:spacing w:val="-2"/>
                <w:sz w:val="17"/>
                <w:szCs w:val="17"/>
                <w:lang w:val="hr-HR"/>
              </w:rPr>
            </w:pPr>
          </w:p>
        </w:tc>
        <w:tc>
          <w:tcPr>
            <w:tcW w:w="534" w:type="pct"/>
            <w:vAlign w:val="bottom"/>
          </w:tcPr>
          <w:p w14:paraId="3EFA2124" w14:textId="77777777" w:rsidR="004E2F51" w:rsidRPr="005B35F4" w:rsidRDefault="004E2F51" w:rsidP="00E032FC">
            <w:pPr>
              <w:pStyle w:val="TT"/>
              <w:spacing w:line="220" w:lineRule="exact"/>
              <w:jc w:val="right"/>
              <w:rPr>
                <w:rFonts w:cs="Arial"/>
                <w:b/>
                <w:bCs/>
                <w:color w:val="000000" w:themeColor="text1"/>
                <w:spacing w:val="-2"/>
                <w:sz w:val="17"/>
                <w:szCs w:val="17"/>
                <w:lang w:val="hr-HR"/>
              </w:rPr>
            </w:pPr>
          </w:p>
        </w:tc>
        <w:tc>
          <w:tcPr>
            <w:tcW w:w="528" w:type="pct"/>
            <w:vAlign w:val="bottom"/>
          </w:tcPr>
          <w:p w14:paraId="1CD62823" w14:textId="77777777" w:rsidR="004E2F51" w:rsidRPr="005B35F4" w:rsidRDefault="004E2F51" w:rsidP="00E032FC">
            <w:pPr>
              <w:pStyle w:val="TT"/>
              <w:spacing w:line="220" w:lineRule="exact"/>
              <w:jc w:val="right"/>
              <w:rPr>
                <w:rFonts w:cs="Arial"/>
                <w:b/>
                <w:bCs/>
                <w:color w:val="000000" w:themeColor="text1"/>
                <w:spacing w:val="-2"/>
                <w:sz w:val="17"/>
                <w:szCs w:val="17"/>
                <w:lang w:val="hr-HR"/>
              </w:rPr>
            </w:pPr>
          </w:p>
        </w:tc>
        <w:tc>
          <w:tcPr>
            <w:tcW w:w="538" w:type="pct"/>
            <w:vAlign w:val="bottom"/>
          </w:tcPr>
          <w:p w14:paraId="5ECE9A2F" w14:textId="77777777" w:rsidR="004E2F51" w:rsidRPr="005B35F4" w:rsidRDefault="004E2F51" w:rsidP="00E032FC">
            <w:pPr>
              <w:pStyle w:val="TT"/>
              <w:spacing w:line="220" w:lineRule="exact"/>
              <w:jc w:val="right"/>
              <w:rPr>
                <w:rFonts w:cs="Arial"/>
                <w:b/>
                <w:bCs/>
                <w:color w:val="000000" w:themeColor="text1"/>
                <w:spacing w:val="-2"/>
                <w:sz w:val="17"/>
                <w:szCs w:val="17"/>
                <w:lang w:val="hr-HR"/>
              </w:rPr>
            </w:pPr>
          </w:p>
        </w:tc>
        <w:tc>
          <w:tcPr>
            <w:tcW w:w="623" w:type="pct"/>
            <w:vAlign w:val="bottom"/>
          </w:tcPr>
          <w:p w14:paraId="36FDE440" w14:textId="77777777" w:rsidR="004E2F51" w:rsidRPr="005B35F4" w:rsidRDefault="004E2F51" w:rsidP="00E032FC">
            <w:pPr>
              <w:pStyle w:val="TT"/>
              <w:spacing w:line="220" w:lineRule="exact"/>
              <w:jc w:val="right"/>
              <w:rPr>
                <w:rFonts w:cs="Arial"/>
                <w:b/>
                <w:bCs/>
                <w:color w:val="000000" w:themeColor="text1"/>
                <w:spacing w:val="-2"/>
                <w:sz w:val="17"/>
                <w:szCs w:val="17"/>
                <w:lang w:val="hr-HR"/>
              </w:rPr>
            </w:pPr>
          </w:p>
        </w:tc>
        <w:tc>
          <w:tcPr>
            <w:tcW w:w="593" w:type="pct"/>
            <w:vAlign w:val="bottom"/>
          </w:tcPr>
          <w:p w14:paraId="452A49A9" w14:textId="77777777" w:rsidR="004E2F51" w:rsidRPr="005B35F4" w:rsidRDefault="004E2F51" w:rsidP="00E032FC">
            <w:pPr>
              <w:pStyle w:val="TT"/>
              <w:spacing w:line="220" w:lineRule="exact"/>
              <w:jc w:val="right"/>
              <w:rPr>
                <w:rFonts w:cs="Arial"/>
                <w:b/>
                <w:bCs/>
                <w:color w:val="000000" w:themeColor="text1"/>
                <w:spacing w:val="-2"/>
                <w:sz w:val="17"/>
                <w:szCs w:val="17"/>
                <w:lang w:val="hr-HR"/>
              </w:rPr>
            </w:pPr>
          </w:p>
        </w:tc>
      </w:tr>
      <w:tr w:rsidR="004E2F51" w:rsidRPr="005B35F4" w14:paraId="54BFEA55" w14:textId="77777777" w:rsidTr="00E032FC">
        <w:trPr>
          <w:trHeight w:val="219"/>
        </w:trPr>
        <w:tc>
          <w:tcPr>
            <w:tcW w:w="1637" w:type="pct"/>
            <w:vAlign w:val="bottom"/>
          </w:tcPr>
          <w:p w14:paraId="1EF70244" w14:textId="77777777" w:rsidR="004E2F51" w:rsidRPr="005B35F4" w:rsidRDefault="004E2F51" w:rsidP="00E032FC">
            <w:pPr>
              <w:pStyle w:val="TT"/>
              <w:spacing w:line="220" w:lineRule="exact"/>
              <w:rPr>
                <w:rFonts w:cs="Arial"/>
                <w:color w:val="000000" w:themeColor="text1"/>
                <w:sz w:val="17"/>
                <w:szCs w:val="17"/>
                <w:lang w:val="hr-HR"/>
              </w:rPr>
            </w:pPr>
            <w:bookmarkStart w:id="1670" w:name="_Toc67330083"/>
            <w:r w:rsidRPr="005B35F4">
              <w:rPr>
                <w:rFonts w:cs="Arial"/>
                <w:color w:val="000000" w:themeColor="text1"/>
                <w:spacing w:val="-2"/>
                <w:sz w:val="17"/>
                <w:szCs w:val="17"/>
                <w:lang w:val="hr-HR"/>
              </w:rPr>
              <w:t>Novčana sredstva i računi kod banaka</w:t>
            </w:r>
            <w:bookmarkEnd w:id="1670"/>
          </w:p>
        </w:tc>
        <w:tc>
          <w:tcPr>
            <w:tcW w:w="547" w:type="pct"/>
            <w:tcBorders>
              <w:top w:val="nil"/>
              <w:left w:val="nil"/>
              <w:bottom w:val="nil"/>
              <w:right w:val="nil"/>
            </w:tcBorders>
            <w:shd w:val="clear" w:color="auto" w:fill="auto"/>
            <w:vAlign w:val="bottom"/>
          </w:tcPr>
          <w:p w14:paraId="051EA96D"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1.721.919 </w:t>
            </w:r>
          </w:p>
        </w:tc>
        <w:tc>
          <w:tcPr>
            <w:tcW w:w="534" w:type="pct"/>
            <w:tcBorders>
              <w:top w:val="nil"/>
              <w:left w:val="nil"/>
              <w:bottom w:val="nil"/>
              <w:right w:val="nil"/>
            </w:tcBorders>
            <w:shd w:val="clear" w:color="auto" w:fill="auto"/>
            <w:vAlign w:val="bottom"/>
          </w:tcPr>
          <w:p w14:paraId="04565FFE"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00AD38E4"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106C3D5A"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237A53DB"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26EFB357"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1.721.919 </w:t>
            </w:r>
          </w:p>
        </w:tc>
      </w:tr>
      <w:tr w:rsidR="004E2F51" w:rsidRPr="005B35F4" w14:paraId="7F74D763" w14:textId="77777777" w:rsidTr="00E032FC">
        <w:trPr>
          <w:trHeight w:val="219"/>
        </w:trPr>
        <w:tc>
          <w:tcPr>
            <w:tcW w:w="1637" w:type="pct"/>
            <w:vAlign w:val="bottom"/>
          </w:tcPr>
          <w:p w14:paraId="618D9947" w14:textId="77777777" w:rsidR="004E2F51" w:rsidRPr="005B35F4" w:rsidRDefault="004E2F51" w:rsidP="00E032FC">
            <w:pPr>
              <w:pStyle w:val="TT"/>
              <w:spacing w:line="220" w:lineRule="exact"/>
              <w:rPr>
                <w:rFonts w:cs="Arial"/>
                <w:color w:val="000000" w:themeColor="text1"/>
                <w:sz w:val="17"/>
                <w:szCs w:val="17"/>
                <w:lang w:val="hr-HR"/>
              </w:rPr>
            </w:pPr>
            <w:bookmarkStart w:id="1671" w:name="_Toc67330084"/>
            <w:r w:rsidRPr="005B35F4">
              <w:rPr>
                <w:rFonts w:cs="Arial"/>
                <w:color w:val="000000" w:themeColor="text1"/>
                <w:spacing w:val="-2"/>
                <w:sz w:val="17"/>
                <w:szCs w:val="17"/>
                <w:lang w:val="hr-HR"/>
              </w:rPr>
              <w:t>Depoziti kod drugih banaka</w:t>
            </w:r>
            <w:bookmarkEnd w:id="1671"/>
          </w:p>
        </w:tc>
        <w:tc>
          <w:tcPr>
            <w:tcW w:w="547" w:type="pct"/>
            <w:tcBorders>
              <w:top w:val="nil"/>
              <w:left w:val="nil"/>
              <w:bottom w:val="nil"/>
              <w:right w:val="nil"/>
            </w:tcBorders>
            <w:shd w:val="clear" w:color="auto" w:fill="auto"/>
            <w:vAlign w:val="bottom"/>
          </w:tcPr>
          <w:p w14:paraId="103E2B96"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34" w:type="pct"/>
            <w:tcBorders>
              <w:top w:val="nil"/>
              <w:left w:val="nil"/>
              <w:bottom w:val="nil"/>
              <w:right w:val="nil"/>
            </w:tcBorders>
            <w:shd w:val="clear" w:color="auto" w:fill="auto"/>
            <w:vAlign w:val="bottom"/>
          </w:tcPr>
          <w:p w14:paraId="3C1AD775"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22.584 </w:t>
            </w:r>
          </w:p>
        </w:tc>
        <w:tc>
          <w:tcPr>
            <w:tcW w:w="528" w:type="pct"/>
            <w:tcBorders>
              <w:top w:val="nil"/>
              <w:left w:val="nil"/>
              <w:bottom w:val="nil"/>
              <w:right w:val="nil"/>
            </w:tcBorders>
            <w:shd w:val="clear" w:color="auto" w:fill="auto"/>
            <w:vAlign w:val="bottom"/>
          </w:tcPr>
          <w:p w14:paraId="6CC885A8"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63BC7C49"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50F8D8E8"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10.596 </w:t>
            </w:r>
          </w:p>
        </w:tc>
        <w:tc>
          <w:tcPr>
            <w:tcW w:w="593" w:type="pct"/>
            <w:tcBorders>
              <w:top w:val="nil"/>
              <w:left w:val="nil"/>
              <w:bottom w:val="nil"/>
              <w:right w:val="nil"/>
            </w:tcBorders>
            <w:shd w:val="clear" w:color="auto" w:fill="auto"/>
            <w:vAlign w:val="bottom"/>
          </w:tcPr>
          <w:p w14:paraId="75A614B2"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33.180 </w:t>
            </w:r>
          </w:p>
        </w:tc>
      </w:tr>
      <w:tr w:rsidR="004E2F51" w:rsidRPr="005B35F4" w14:paraId="4BC2C9DB" w14:textId="77777777" w:rsidTr="00E032FC">
        <w:trPr>
          <w:trHeight w:val="219"/>
        </w:trPr>
        <w:tc>
          <w:tcPr>
            <w:tcW w:w="1637" w:type="pct"/>
            <w:vAlign w:val="bottom"/>
          </w:tcPr>
          <w:p w14:paraId="4077F25E" w14:textId="77777777" w:rsidR="004E2F51" w:rsidRPr="005B35F4" w:rsidRDefault="004E2F51" w:rsidP="00E032FC">
            <w:pPr>
              <w:pStyle w:val="TT"/>
              <w:spacing w:line="220" w:lineRule="exact"/>
              <w:rPr>
                <w:rFonts w:cs="Arial"/>
                <w:color w:val="000000" w:themeColor="text1"/>
                <w:sz w:val="17"/>
                <w:szCs w:val="17"/>
                <w:lang w:val="hr-HR"/>
              </w:rPr>
            </w:pPr>
            <w:bookmarkStart w:id="1672" w:name="_Toc67330085"/>
            <w:r w:rsidRPr="005B35F4">
              <w:rPr>
                <w:rFonts w:cs="Arial"/>
                <w:color w:val="000000" w:themeColor="text1"/>
                <w:spacing w:val="-2"/>
                <w:sz w:val="17"/>
                <w:szCs w:val="17"/>
                <w:lang w:val="hr-HR"/>
              </w:rPr>
              <w:t>Krediti financijskim institucijama</w:t>
            </w:r>
            <w:bookmarkEnd w:id="1672"/>
          </w:p>
        </w:tc>
        <w:tc>
          <w:tcPr>
            <w:tcW w:w="547" w:type="pct"/>
            <w:tcBorders>
              <w:top w:val="nil"/>
              <w:left w:val="nil"/>
              <w:bottom w:val="nil"/>
              <w:right w:val="nil"/>
            </w:tcBorders>
            <w:shd w:val="clear" w:color="auto" w:fill="auto"/>
            <w:vAlign w:val="bottom"/>
          </w:tcPr>
          <w:p w14:paraId="5499CE4C"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249.137 </w:t>
            </w:r>
          </w:p>
        </w:tc>
        <w:tc>
          <w:tcPr>
            <w:tcW w:w="534" w:type="pct"/>
            <w:tcBorders>
              <w:top w:val="nil"/>
              <w:left w:val="nil"/>
              <w:bottom w:val="nil"/>
              <w:right w:val="nil"/>
            </w:tcBorders>
            <w:shd w:val="clear" w:color="auto" w:fill="auto"/>
            <w:vAlign w:val="bottom"/>
          </w:tcPr>
          <w:p w14:paraId="2B8C24C2"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198.128 </w:t>
            </w:r>
          </w:p>
        </w:tc>
        <w:tc>
          <w:tcPr>
            <w:tcW w:w="528" w:type="pct"/>
            <w:tcBorders>
              <w:top w:val="nil"/>
              <w:left w:val="nil"/>
              <w:bottom w:val="nil"/>
              <w:right w:val="nil"/>
            </w:tcBorders>
            <w:shd w:val="clear" w:color="auto" w:fill="auto"/>
            <w:vAlign w:val="bottom"/>
          </w:tcPr>
          <w:p w14:paraId="3A6AF693"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842.943 </w:t>
            </w:r>
          </w:p>
        </w:tc>
        <w:tc>
          <w:tcPr>
            <w:tcW w:w="538" w:type="pct"/>
            <w:tcBorders>
              <w:top w:val="nil"/>
              <w:left w:val="nil"/>
              <w:bottom w:val="nil"/>
              <w:right w:val="nil"/>
            </w:tcBorders>
            <w:shd w:val="clear" w:color="auto" w:fill="auto"/>
            <w:vAlign w:val="bottom"/>
          </w:tcPr>
          <w:p w14:paraId="348245E9"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1.922.672 </w:t>
            </w:r>
          </w:p>
        </w:tc>
        <w:tc>
          <w:tcPr>
            <w:tcW w:w="623" w:type="pct"/>
            <w:tcBorders>
              <w:top w:val="nil"/>
              <w:left w:val="nil"/>
              <w:bottom w:val="nil"/>
              <w:right w:val="nil"/>
            </w:tcBorders>
            <w:shd w:val="clear" w:color="auto" w:fill="auto"/>
            <w:vAlign w:val="bottom"/>
          </w:tcPr>
          <w:p w14:paraId="04C0D3B0"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3.771.832 </w:t>
            </w:r>
          </w:p>
        </w:tc>
        <w:tc>
          <w:tcPr>
            <w:tcW w:w="593" w:type="pct"/>
            <w:tcBorders>
              <w:top w:val="nil"/>
              <w:left w:val="nil"/>
              <w:bottom w:val="nil"/>
              <w:right w:val="nil"/>
            </w:tcBorders>
            <w:shd w:val="clear" w:color="auto" w:fill="auto"/>
            <w:vAlign w:val="bottom"/>
          </w:tcPr>
          <w:p w14:paraId="7485CAD2"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6.984.712 </w:t>
            </w:r>
          </w:p>
        </w:tc>
      </w:tr>
      <w:tr w:rsidR="004E2F51" w:rsidRPr="005B35F4" w14:paraId="61B15BC4" w14:textId="77777777" w:rsidTr="00E032FC">
        <w:trPr>
          <w:trHeight w:val="219"/>
        </w:trPr>
        <w:tc>
          <w:tcPr>
            <w:tcW w:w="1637" w:type="pct"/>
            <w:vAlign w:val="bottom"/>
          </w:tcPr>
          <w:p w14:paraId="0AC6C23C" w14:textId="77777777" w:rsidR="004E2F51" w:rsidRPr="005B35F4" w:rsidRDefault="004E2F51" w:rsidP="00E032FC">
            <w:pPr>
              <w:pStyle w:val="TT"/>
              <w:spacing w:line="220" w:lineRule="exact"/>
              <w:rPr>
                <w:rFonts w:cs="Arial"/>
                <w:color w:val="000000" w:themeColor="text1"/>
                <w:sz w:val="17"/>
                <w:szCs w:val="17"/>
                <w:lang w:val="hr-HR"/>
              </w:rPr>
            </w:pPr>
            <w:bookmarkStart w:id="1673" w:name="_Toc67330086"/>
            <w:r w:rsidRPr="005B35F4">
              <w:rPr>
                <w:rFonts w:cs="Arial"/>
                <w:color w:val="000000" w:themeColor="text1"/>
                <w:spacing w:val="-2"/>
                <w:sz w:val="17"/>
                <w:szCs w:val="17"/>
                <w:lang w:val="hr-HR"/>
              </w:rPr>
              <w:t>Krediti ostalim korisnicima</w:t>
            </w:r>
            <w:bookmarkEnd w:id="1673"/>
          </w:p>
        </w:tc>
        <w:tc>
          <w:tcPr>
            <w:tcW w:w="547" w:type="pct"/>
            <w:tcBorders>
              <w:top w:val="nil"/>
              <w:left w:val="nil"/>
              <w:bottom w:val="nil"/>
              <w:right w:val="nil"/>
            </w:tcBorders>
            <w:shd w:val="clear" w:color="auto" w:fill="auto"/>
            <w:vAlign w:val="bottom"/>
          </w:tcPr>
          <w:p w14:paraId="06162BF3"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1.455.849 </w:t>
            </w:r>
          </w:p>
        </w:tc>
        <w:tc>
          <w:tcPr>
            <w:tcW w:w="534" w:type="pct"/>
            <w:tcBorders>
              <w:top w:val="nil"/>
              <w:left w:val="nil"/>
              <w:bottom w:val="nil"/>
              <w:right w:val="nil"/>
            </w:tcBorders>
            <w:shd w:val="clear" w:color="auto" w:fill="auto"/>
            <w:vAlign w:val="bottom"/>
          </w:tcPr>
          <w:p w14:paraId="1BA0CCF1"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527.169 </w:t>
            </w:r>
          </w:p>
        </w:tc>
        <w:tc>
          <w:tcPr>
            <w:tcW w:w="528" w:type="pct"/>
            <w:tcBorders>
              <w:top w:val="nil"/>
              <w:left w:val="nil"/>
              <w:bottom w:val="nil"/>
              <w:right w:val="nil"/>
            </w:tcBorders>
            <w:shd w:val="clear" w:color="auto" w:fill="auto"/>
            <w:vAlign w:val="bottom"/>
          </w:tcPr>
          <w:p w14:paraId="02E2EDDB"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2.090.509 </w:t>
            </w:r>
          </w:p>
        </w:tc>
        <w:tc>
          <w:tcPr>
            <w:tcW w:w="538" w:type="pct"/>
            <w:tcBorders>
              <w:top w:val="nil"/>
              <w:left w:val="nil"/>
              <w:bottom w:val="nil"/>
              <w:right w:val="nil"/>
            </w:tcBorders>
            <w:shd w:val="clear" w:color="auto" w:fill="auto"/>
            <w:vAlign w:val="bottom"/>
          </w:tcPr>
          <w:p w14:paraId="56CB95CB"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4.313.104 </w:t>
            </w:r>
          </w:p>
        </w:tc>
        <w:tc>
          <w:tcPr>
            <w:tcW w:w="623" w:type="pct"/>
            <w:tcBorders>
              <w:top w:val="nil"/>
              <w:left w:val="nil"/>
              <w:bottom w:val="nil"/>
              <w:right w:val="nil"/>
            </w:tcBorders>
            <w:shd w:val="clear" w:color="auto" w:fill="auto"/>
            <w:vAlign w:val="bottom"/>
          </w:tcPr>
          <w:p w14:paraId="5B3E5F2B"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9.016.035 </w:t>
            </w:r>
          </w:p>
        </w:tc>
        <w:tc>
          <w:tcPr>
            <w:tcW w:w="593" w:type="pct"/>
            <w:tcBorders>
              <w:top w:val="nil"/>
              <w:left w:val="nil"/>
              <w:bottom w:val="nil"/>
              <w:right w:val="nil"/>
            </w:tcBorders>
            <w:shd w:val="clear" w:color="auto" w:fill="auto"/>
            <w:vAlign w:val="bottom"/>
          </w:tcPr>
          <w:p w14:paraId="02D5DDF9"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17.402.666 </w:t>
            </w:r>
          </w:p>
        </w:tc>
      </w:tr>
      <w:tr w:rsidR="004E2F51" w:rsidRPr="005B35F4" w14:paraId="30AE2057" w14:textId="77777777" w:rsidTr="00E032FC">
        <w:trPr>
          <w:trHeight w:val="315"/>
        </w:trPr>
        <w:tc>
          <w:tcPr>
            <w:tcW w:w="1637" w:type="pct"/>
          </w:tcPr>
          <w:p w14:paraId="6C1A64E4" w14:textId="77777777" w:rsidR="004E2F51" w:rsidRPr="005B35F4" w:rsidRDefault="004E2F51" w:rsidP="00E032FC">
            <w:pPr>
              <w:pStyle w:val="TT"/>
              <w:spacing w:line="220" w:lineRule="exact"/>
              <w:rPr>
                <w:rFonts w:cs="Arial"/>
                <w:color w:val="000000" w:themeColor="text1"/>
                <w:spacing w:val="-2"/>
                <w:sz w:val="17"/>
                <w:szCs w:val="17"/>
                <w:lang w:val="hr-HR"/>
              </w:rPr>
            </w:pPr>
            <w:bookmarkStart w:id="1674" w:name="_Toc67330087"/>
            <w:r w:rsidRPr="005B35F4">
              <w:rPr>
                <w:rFonts w:cs="Arial"/>
                <w:color w:val="000000" w:themeColor="text1"/>
                <w:spacing w:val="-2"/>
                <w:sz w:val="17"/>
                <w:szCs w:val="17"/>
                <w:lang w:val="hr-HR"/>
              </w:rPr>
              <w:t>Financijska imovina po fer vrijednosti kroz dobit ili gubitak</w:t>
            </w:r>
            <w:bookmarkEnd w:id="1674"/>
          </w:p>
        </w:tc>
        <w:tc>
          <w:tcPr>
            <w:tcW w:w="547" w:type="pct"/>
            <w:tcBorders>
              <w:top w:val="nil"/>
              <w:left w:val="nil"/>
              <w:bottom w:val="nil"/>
              <w:right w:val="nil"/>
            </w:tcBorders>
            <w:shd w:val="clear" w:color="auto" w:fill="auto"/>
            <w:vAlign w:val="bottom"/>
          </w:tcPr>
          <w:p w14:paraId="4B9D64E1" w14:textId="77777777" w:rsidR="004E2F51" w:rsidRPr="00F629B8" w:rsidRDefault="004E2F51" w:rsidP="00E032FC">
            <w:pPr>
              <w:jc w:val="right"/>
              <w:rPr>
                <w:rFonts w:ascii="Arial" w:hAnsi="Arial" w:cs="Arial"/>
                <w:color w:val="000000"/>
                <w:sz w:val="17"/>
                <w:szCs w:val="17"/>
              </w:rPr>
            </w:pPr>
            <w:r w:rsidRPr="0002282A">
              <w:rPr>
                <w:rFonts w:ascii="Arial" w:hAnsi="Arial" w:cs="Arial"/>
                <w:color w:val="000000"/>
                <w:sz w:val="17"/>
                <w:szCs w:val="17"/>
                <w:lang w:val="it-IT"/>
              </w:rPr>
              <w:t xml:space="preserve"> </w:t>
            </w:r>
            <w:r w:rsidRPr="00F629B8">
              <w:rPr>
                <w:rFonts w:ascii="Arial" w:hAnsi="Arial" w:cs="Arial"/>
                <w:color w:val="000000"/>
                <w:sz w:val="17"/>
                <w:szCs w:val="17"/>
              </w:rPr>
              <w:t>108.25</w:t>
            </w:r>
            <w:r>
              <w:rPr>
                <w:rFonts w:ascii="Arial" w:hAnsi="Arial" w:cs="Arial"/>
                <w:color w:val="000000"/>
                <w:sz w:val="17"/>
                <w:szCs w:val="17"/>
              </w:rPr>
              <w:t>1</w:t>
            </w:r>
            <w:r w:rsidRPr="00F629B8">
              <w:rPr>
                <w:rFonts w:ascii="Arial" w:hAnsi="Arial" w:cs="Arial"/>
                <w:color w:val="000000"/>
                <w:sz w:val="17"/>
                <w:szCs w:val="17"/>
              </w:rPr>
              <w:t xml:space="preserve"> </w:t>
            </w:r>
          </w:p>
        </w:tc>
        <w:tc>
          <w:tcPr>
            <w:tcW w:w="534" w:type="pct"/>
            <w:tcBorders>
              <w:top w:val="nil"/>
              <w:left w:val="nil"/>
              <w:bottom w:val="nil"/>
              <w:right w:val="nil"/>
            </w:tcBorders>
            <w:shd w:val="clear" w:color="auto" w:fill="auto"/>
            <w:vAlign w:val="bottom"/>
          </w:tcPr>
          <w:p w14:paraId="7033F4DC"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441 </w:t>
            </w:r>
          </w:p>
        </w:tc>
        <w:tc>
          <w:tcPr>
            <w:tcW w:w="528" w:type="pct"/>
            <w:tcBorders>
              <w:top w:val="nil"/>
              <w:left w:val="nil"/>
              <w:bottom w:val="nil"/>
              <w:right w:val="nil"/>
            </w:tcBorders>
            <w:shd w:val="clear" w:color="auto" w:fill="auto"/>
            <w:vAlign w:val="bottom"/>
          </w:tcPr>
          <w:p w14:paraId="1445960F"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4C9A73EC"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22.83</w:t>
            </w:r>
            <w:r>
              <w:rPr>
                <w:rFonts w:ascii="Arial" w:hAnsi="Arial" w:cs="Arial"/>
                <w:color w:val="000000"/>
                <w:sz w:val="17"/>
                <w:szCs w:val="17"/>
              </w:rPr>
              <w:t>1</w:t>
            </w:r>
            <w:r w:rsidRPr="00F629B8">
              <w:rPr>
                <w:rFonts w:ascii="Arial" w:hAnsi="Arial" w:cs="Arial"/>
                <w:color w:val="000000"/>
                <w:sz w:val="17"/>
                <w:szCs w:val="17"/>
              </w:rPr>
              <w:t xml:space="preserve"> </w:t>
            </w:r>
          </w:p>
        </w:tc>
        <w:tc>
          <w:tcPr>
            <w:tcW w:w="623" w:type="pct"/>
            <w:tcBorders>
              <w:top w:val="nil"/>
              <w:left w:val="nil"/>
              <w:bottom w:val="nil"/>
              <w:right w:val="nil"/>
            </w:tcBorders>
            <w:shd w:val="clear" w:color="auto" w:fill="auto"/>
            <w:vAlign w:val="bottom"/>
          </w:tcPr>
          <w:p w14:paraId="5C5E0098"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1D49BB96"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131.523 </w:t>
            </w:r>
          </w:p>
        </w:tc>
      </w:tr>
      <w:tr w:rsidR="004E2F51" w:rsidRPr="005B35F4" w14:paraId="5D2978AA" w14:textId="77777777" w:rsidTr="00E032FC">
        <w:trPr>
          <w:trHeight w:val="153"/>
        </w:trPr>
        <w:tc>
          <w:tcPr>
            <w:tcW w:w="1637" w:type="pct"/>
          </w:tcPr>
          <w:p w14:paraId="231B81F3" w14:textId="77777777" w:rsidR="004E2F51" w:rsidRPr="005B35F4" w:rsidRDefault="004E2F51" w:rsidP="00E032FC">
            <w:pPr>
              <w:pStyle w:val="TT"/>
              <w:spacing w:line="220" w:lineRule="exact"/>
              <w:rPr>
                <w:rFonts w:cs="Arial"/>
                <w:color w:val="000000" w:themeColor="text1"/>
                <w:sz w:val="17"/>
                <w:szCs w:val="17"/>
                <w:lang w:val="hr-HR"/>
              </w:rPr>
            </w:pPr>
            <w:bookmarkStart w:id="1675" w:name="_Toc67330088"/>
            <w:r w:rsidRPr="005B35F4">
              <w:rPr>
                <w:rFonts w:cs="Arial"/>
                <w:color w:val="000000" w:themeColor="text1"/>
                <w:spacing w:val="-2"/>
                <w:sz w:val="17"/>
                <w:szCs w:val="17"/>
                <w:lang w:val="hr-HR"/>
              </w:rPr>
              <w:t>Financijska imovina po fer vrijednosti kroz ostalu sveobuhvatnu dobit</w:t>
            </w:r>
            <w:bookmarkEnd w:id="1675"/>
          </w:p>
        </w:tc>
        <w:tc>
          <w:tcPr>
            <w:tcW w:w="547" w:type="pct"/>
            <w:tcBorders>
              <w:top w:val="nil"/>
              <w:left w:val="nil"/>
              <w:bottom w:val="nil"/>
              <w:right w:val="nil"/>
            </w:tcBorders>
            <w:shd w:val="clear" w:color="auto" w:fill="auto"/>
            <w:vAlign w:val="bottom"/>
          </w:tcPr>
          <w:p w14:paraId="715500AB"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2.672.601 </w:t>
            </w:r>
          </w:p>
        </w:tc>
        <w:tc>
          <w:tcPr>
            <w:tcW w:w="534" w:type="pct"/>
            <w:tcBorders>
              <w:top w:val="nil"/>
              <w:left w:val="nil"/>
              <w:bottom w:val="nil"/>
              <w:right w:val="nil"/>
            </w:tcBorders>
            <w:shd w:val="clear" w:color="auto" w:fill="auto"/>
            <w:vAlign w:val="bottom"/>
          </w:tcPr>
          <w:p w14:paraId="6507A591"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13.986 </w:t>
            </w:r>
          </w:p>
        </w:tc>
        <w:tc>
          <w:tcPr>
            <w:tcW w:w="528" w:type="pct"/>
            <w:tcBorders>
              <w:top w:val="nil"/>
              <w:left w:val="nil"/>
              <w:bottom w:val="nil"/>
              <w:right w:val="nil"/>
            </w:tcBorders>
            <w:shd w:val="clear" w:color="auto" w:fill="auto"/>
            <w:vAlign w:val="bottom"/>
          </w:tcPr>
          <w:p w14:paraId="716798D8"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35 </w:t>
            </w:r>
          </w:p>
        </w:tc>
        <w:tc>
          <w:tcPr>
            <w:tcW w:w="538" w:type="pct"/>
            <w:tcBorders>
              <w:top w:val="nil"/>
              <w:left w:val="nil"/>
              <w:bottom w:val="nil"/>
              <w:right w:val="nil"/>
            </w:tcBorders>
            <w:shd w:val="clear" w:color="auto" w:fill="auto"/>
            <w:vAlign w:val="bottom"/>
          </w:tcPr>
          <w:p w14:paraId="2E5F8943"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22218D4F"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7C36CB7D"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2.686.622 </w:t>
            </w:r>
          </w:p>
        </w:tc>
      </w:tr>
      <w:tr w:rsidR="004E2F51" w:rsidRPr="005B35F4" w14:paraId="006E66A9" w14:textId="77777777" w:rsidTr="00E032FC">
        <w:trPr>
          <w:trHeight w:val="324"/>
        </w:trPr>
        <w:tc>
          <w:tcPr>
            <w:tcW w:w="1637" w:type="pct"/>
          </w:tcPr>
          <w:p w14:paraId="1B06EE26" w14:textId="77777777" w:rsidR="004E2F51" w:rsidRPr="005B35F4" w:rsidRDefault="004E2F51" w:rsidP="00E032FC">
            <w:pPr>
              <w:pStyle w:val="TT"/>
              <w:spacing w:line="220" w:lineRule="exact"/>
              <w:rPr>
                <w:rFonts w:cs="Arial"/>
                <w:color w:val="000000" w:themeColor="text1"/>
                <w:sz w:val="17"/>
                <w:szCs w:val="17"/>
                <w:lang w:val="hr-HR"/>
              </w:rPr>
            </w:pPr>
            <w:bookmarkStart w:id="1676" w:name="_Toc67330090"/>
            <w:r w:rsidRPr="005B35F4">
              <w:rPr>
                <w:rFonts w:cs="Arial"/>
                <w:color w:val="000000" w:themeColor="text1"/>
                <w:spacing w:val="-2"/>
                <w:sz w:val="17"/>
                <w:szCs w:val="17"/>
                <w:lang w:val="hr-HR"/>
              </w:rPr>
              <w:t>Nekretnine, postrojenja i oprema i nematerijalna imovina</w:t>
            </w:r>
            <w:bookmarkEnd w:id="1676"/>
          </w:p>
        </w:tc>
        <w:tc>
          <w:tcPr>
            <w:tcW w:w="547" w:type="pct"/>
            <w:tcBorders>
              <w:top w:val="nil"/>
              <w:left w:val="nil"/>
              <w:right w:val="nil"/>
            </w:tcBorders>
            <w:shd w:val="clear" w:color="auto" w:fill="auto"/>
            <w:vAlign w:val="bottom"/>
          </w:tcPr>
          <w:p w14:paraId="73EAD9DB" w14:textId="77777777" w:rsidR="004E2F51" w:rsidRPr="00F629B8" w:rsidRDefault="004E2F51" w:rsidP="00E032FC">
            <w:pPr>
              <w:jc w:val="right"/>
              <w:rPr>
                <w:rFonts w:ascii="Arial" w:hAnsi="Arial" w:cs="Arial"/>
                <w:color w:val="000000"/>
                <w:sz w:val="17"/>
                <w:szCs w:val="17"/>
              </w:rPr>
            </w:pPr>
            <w:r w:rsidRPr="0002282A">
              <w:rPr>
                <w:rFonts w:ascii="Arial" w:hAnsi="Arial" w:cs="Arial"/>
                <w:color w:val="000000"/>
                <w:sz w:val="17"/>
                <w:szCs w:val="17"/>
                <w:lang w:val="it-IT"/>
              </w:rPr>
              <w:t xml:space="preserve"> </w:t>
            </w:r>
            <w:r w:rsidRPr="00F629B8">
              <w:rPr>
                <w:rFonts w:ascii="Arial" w:hAnsi="Arial" w:cs="Arial"/>
                <w:color w:val="000000"/>
                <w:sz w:val="17"/>
                <w:szCs w:val="17"/>
              </w:rPr>
              <w:t xml:space="preserve">- </w:t>
            </w:r>
          </w:p>
        </w:tc>
        <w:tc>
          <w:tcPr>
            <w:tcW w:w="534" w:type="pct"/>
            <w:tcBorders>
              <w:top w:val="nil"/>
              <w:left w:val="nil"/>
              <w:right w:val="nil"/>
            </w:tcBorders>
            <w:shd w:val="clear" w:color="auto" w:fill="auto"/>
            <w:vAlign w:val="bottom"/>
          </w:tcPr>
          <w:p w14:paraId="13B48D4A"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28" w:type="pct"/>
            <w:tcBorders>
              <w:top w:val="nil"/>
              <w:left w:val="nil"/>
              <w:right w:val="nil"/>
            </w:tcBorders>
            <w:shd w:val="clear" w:color="auto" w:fill="auto"/>
            <w:vAlign w:val="bottom"/>
          </w:tcPr>
          <w:p w14:paraId="109D0490"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38" w:type="pct"/>
            <w:tcBorders>
              <w:top w:val="nil"/>
              <w:left w:val="nil"/>
              <w:right w:val="nil"/>
            </w:tcBorders>
            <w:shd w:val="clear" w:color="auto" w:fill="auto"/>
            <w:vAlign w:val="bottom"/>
          </w:tcPr>
          <w:p w14:paraId="72C4B006"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23" w:type="pct"/>
            <w:tcBorders>
              <w:top w:val="nil"/>
              <w:left w:val="nil"/>
              <w:right w:val="nil"/>
            </w:tcBorders>
            <w:shd w:val="clear" w:color="auto" w:fill="auto"/>
            <w:vAlign w:val="bottom"/>
          </w:tcPr>
          <w:p w14:paraId="7EA1BA5B"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38.831 </w:t>
            </w:r>
          </w:p>
        </w:tc>
        <w:tc>
          <w:tcPr>
            <w:tcW w:w="593" w:type="pct"/>
            <w:tcBorders>
              <w:top w:val="nil"/>
              <w:left w:val="nil"/>
              <w:right w:val="nil"/>
            </w:tcBorders>
            <w:shd w:val="clear" w:color="auto" w:fill="auto"/>
            <w:vAlign w:val="bottom"/>
          </w:tcPr>
          <w:p w14:paraId="1D772FB8"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38.831 </w:t>
            </w:r>
          </w:p>
        </w:tc>
      </w:tr>
      <w:tr w:rsidR="004E2F51" w:rsidRPr="005B35F4" w14:paraId="6796FB89" w14:textId="77777777" w:rsidTr="00E032FC">
        <w:trPr>
          <w:trHeight w:val="126"/>
        </w:trPr>
        <w:tc>
          <w:tcPr>
            <w:tcW w:w="1637" w:type="pct"/>
          </w:tcPr>
          <w:p w14:paraId="26651971" w14:textId="77777777" w:rsidR="004E2F51" w:rsidRPr="005B35F4" w:rsidRDefault="004E2F51" w:rsidP="00E032FC">
            <w:pPr>
              <w:pStyle w:val="TT"/>
              <w:spacing w:line="220" w:lineRule="exact"/>
              <w:rPr>
                <w:rFonts w:cs="Arial"/>
                <w:color w:val="000000" w:themeColor="text1"/>
                <w:sz w:val="17"/>
                <w:szCs w:val="17"/>
                <w:lang w:val="hr-HR"/>
              </w:rPr>
            </w:pPr>
            <w:bookmarkStart w:id="1677" w:name="_Toc67330091"/>
            <w:r w:rsidRPr="005B35F4">
              <w:rPr>
                <w:rFonts w:cs="Arial"/>
                <w:color w:val="000000" w:themeColor="text1"/>
                <w:spacing w:val="-2"/>
                <w:sz w:val="17"/>
                <w:szCs w:val="17"/>
                <w:lang w:val="hr-HR"/>
              </w:rPr>
              <w:t>Preuzeta imovina</w:t>
            </w:r>
            <w:bookmarkEnd w:id="1677"/>
          </w:p>
        </w:tc>
        <w:tc>
          <w:tcPr>
            <w:tcW w:w="547" w:type="pct"/>
            <w:tcBorders>
              <w:top w:val="nil"/>
              <w:left w:val="nil"/>
              <w:bottom w:val="nil"/>
              <w:right w:val="nil"/>
            </w:tcBorders>
            <w:shd w:val="clear" w:color="auto" w:fill="auto"/>
            <w:vAlign w:val="bottom"/>
          </w:tcPr>
          <w:p w14:paraId="0F8DD8CD"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34" w:type="pct"/>
            <w:tcBorders>
              <w:top w:val="nil"/>
              <w:left w:val="nil"/>
              <w:bottom w:val="nil"/>
              <w:right w:val="nil"/>
            </w:tcBorders>
            <w:shd w:val="clear" w:color="auto" w:fill="auto"/>
            <w:vAlign w:val="bottom"/>
          </w:tcPr>
          <w:p w14:paraId="4FC2D9CC"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012A347A"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1.968 </w:t>
            </w:r>
          </w:p>
        </w:tc>
        <w:tc>
          <w:tcPr>
            <w:tcW w:w="538" w:type="pct"/>
            <w:tcBorders>
              <w:top w:val="nil"/>
              <w:left w:val="nil"/>
              <w:bottom w:val="nil"/>
              <w:right w:val="nil"/>
            </w:tcBorders>
            <w:shd w:val="clear" w:color="auto" w:fill="auto"/>
            <w:vAlign w:val="bottom"/>
          </w:tcPr>
          <w:p w14:paraId="4B2BE185"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13.024 </w:t>
            </w:r>
          </w:p>
        </w:tc>
        <w:tc>
          <w:tcPr>
            <w:tcW w:w="623" w:type="pct"/>
            <w:tcBorders>
              <w:top w:val="nil"/>
              <w:left w:val="nil"/>
              <w:bottom w:val="nil"/>
              <w:right w:val="nil"/>
            </w:tcBorders>
            <w:shd w:val="clear" w:color="auto" w:fill="auto"/>
            <w:vAlign w:val="bottom"/>
          </w:tcPr>
          <w:p w14:paraId="6D7783CE"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9.784 </w:t>
            </w:r>
          </w:p>
        </w:tc>
        <w:tc>
          <w:tcPr>
            <w:tcW w:w="593" w:type="pct"/>
            <w:tcBorders>
              <w:top w:val="nil"/>
              <w:left w:val="nil"/>
              <w:bottom w:val="nil"/>
              <w:right w:val="nil"/>
            </w:tcBorders>
            <w:shd w:val="clear" w:color="auto" w:fill="auto"/>
            <w:vAlign w:val="bottom"/>
          </w:tcPr>
          <w:p w14:paraId="1D086EFF"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24.776 </w:t>
            </w:r>
          </w:p>
        </w:tc>
      </w:tr>
      <w:tr w:rsidR="004E2F51" w:rsidRPr="005B35F4" w14:paraId="302D6768" w14:textId="77777777" w:rsidTr="00E032FC">
        <w:trPr>
          <w:trHeight w:val="153"/>
        </w:trPr>
        <w:tc>
          <w:tcPr>
            <w:tcW w:w="1637" w:type="pct"/>
          </w:tcPr>
          <w:p w14:paraId="263C9AE0" w14:textId="77777777" w:rsidR="004E2F51" w:rsidRPr="005B35F4" w:rsidRDefault="004E2F51" w:rsidP="00E032FC">
            <w:pPr>
              <w:pStyle w:val="TT"/>
              <w:spacing w:line="220" w:lineRule="exact"/>
              <w:rPr>
                <w:rFonts w:cs="Arial"/>
                <w:color w:val="000000" w:themeColor="text1"/>
                <w:sz w:val="17"/>
                <w:szCs w:val="17"/>
                <w:lang w:val="hr-HR"/>
              </w:rPr>
            </w:pPr>
            <w:bookmarkStart w:id="1678" w:name="_Toc67330092"/>
            <w:r w:rsidRPr="005B35F4">
              <w:rPr>
                <w:rFonts w:cs="Arial"/>
                <w:color w:val="000000" w:themeColor="text1"/>
                <w:spacing w:val="-2"/>
                <w:sz w:val="17"/>
                <w:szCs w:val="17"/>
                <w:lang w:val="hr-HR"/>
              </w:rPr>
              <w:t>Ostala imovina</w:t>
            </w:r>
            <w:bookmarkEnd w:id="1678"/>
          </w:p>
        </w:tc>
        <w:tc>
          <w:tcPr>
            <w:tcW w:w="547" w:type="pct"/>
            <w:tcBorders>
              <w:left w:val="nil"/>
              <w:bottom w:val="single" w:sz="8" w:space="0" w:color="auto"/>
              <w:right w:val="nil"/>
            </w:tcBorders>
            <w:shd w:val="clear" w:color="auto" w:fill="auto"/>
            <w:vAlign w:val="bottom"/>
          </w:tcPr>
          <w:p w14:paraId="7E0E509F"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5.798 </w:t>
            </w:r>
          </w:p>
        </w:tc>
        <w:tc>
          <w:tcPr>
            <w:tcW w:w="534" w:type="pct"/>
            <w:tcBorders>
              <w:left w:val="nil"/>
              <w:bottom w:val="single" w:sz="8" w:space="0" w:color="auto"/>
              <w:right w:val="nil"/>
            </w:tcBorders>
            <w:shd w:val="clear" w:color="auto" w:fill="auto"/>
            <w:vAlign w:val="bottom"/>
          </w:tcPr>
          <w:p w14:paraId="0637EE62"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5.520 </w:t>
            </w:r>
          </w:p>
        </w:tc>
        <w:tc>
          <w:tcPr>
            <w:tcW w:w="528" w:type="pct"/>
            <w:tcBorders>
              <w:left w:val="nil"/>
              <w:bottom w:val="single" w:sz="8" w:space="0" w:color="auto"/>
              <w:right w:val="nil"/>
            </w:tcBorders>
            <w:shd w:val="clear" w:color="auto" w:fill="auto"/>
            <w:vAlign w:val="bottom"/>
          </w:tcPr>
          <w:p w14:paraId="2AC0DA94"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5.818 </w:t>
            </w:r>
          </w:p>
        </w:tc>
        <w:tc>
          <w:tcPr>
            <w:tcW w:w="538" w:type="pct"/>
            <w:tcBorders>
              <w:left w:val="nil"/>
              <w:bottom w:val="single" w:sz="8" w:space="0" w:color="auto"/>
              <w:right w:val="nil"/>
            </w:tcBorders>
            <w:shd w:val="clear" w:color="auto" w:fill="auto"/>
            <w:vAlign w:val="bottom"/>
          </w:tcPr>
          <w:p w14:paraId="438E235A"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16.279 </w:t>
            </w:r>
          </w:p>
        </w:tc>
        <w:tc>
          <w:tcPr>
            <w:tcW w:w="623" w:type="pct"/>
            <w:tcBorders>
              <w:left w:val="nil"/>
              <w:bottom w:val="single" w:sz="8" w:space="0" w:color="auto"/>
              <w:right w:val="nil"/>
            </w:tcBorders>
            <w:shd w:val="clear" w:color="auto" w:fill="auto"/>
            <w:vAlign w:val="bottom"/>
          </w:tcPr>
          <w:p w14:paraId="3EEF0764"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2.519 </w:t>
            </w:r>
          </w:p>
        </w:tc>
        <w:tc>
          <w:tcPr>
            <w:tcW w:w="593" w:type="pct"/>
            <w:tcBorders>
              <w:left w:val="nil"/>
              <w:bottom w:val="nil"/>
              <w:right w:val="nil"/>
            </w:tcBorders>
            <w:shd w:val="clear" w:color="auto" w:fill="auto"/>
            <w:vAlign w:val="bottom"/>
          </w:tcPr>
          <w:p w14:paraId="72FB5D0B"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35.934 </w:t>
            </w:r>
          </w:p>
        </w:tc>
      </w:tr>
      <w:tr w:rsidR="004E2F51" w:rsidRPr="005B35F4" w14:paraId="4B83CD43" w14:textId="77777777" w:rsidTr="00E032FC">
        <w:trPr>
          <w:trHeight w:val="161"/>
        </w:trPr>
        <w:tc>
          <w:tcPr>
            <w:tcW w:w="1637" w:type="pct"/>
          </w:tcPr>
          <w:p w14:paraId="58E4D6B9" w14:textId="77777777" w:rsidR="004E2F51" w:rsidRPr="005B35F4" w:rsidRDefault="004E2F51" w:rsidP="00E032FC">
            <w:pPr>
              <w:pStyle w:val="Tot"/>
              <w:spacing w:line="220" w:lineRule="exact"/>
              <w:rPr>
                <w:rFonts w:cs="Arial"/>
                <w:b/>
                <w:bCs/>
                <w:color w:val="000000" w:themeColor="text1"/>
                <w:sz w:val="17"/>
                <w:szCs w:val="17"/>
                <w:lang w:val="hr-HR"/>
              </w:rPr>
            </w:pPr>
            <w:bookmarkStart w:id="1679" w:name="_Toc67330093"/>
            <w:r w:rsidRPr="005B35F4">
              <w:rPr>
                <w:rFonts w:cs="Arial"/>
                <w:b/>
                <w:bCs/>
                <w:color w:val="000000" w:themeColor="text1"/>
                <w:sz w:val="17"/>
                <w:szCs w:val="17"/>
                <w:lang w:val="hr-HR"/>
              </w:rPr>
              <w:t>Ukupna imovina</w:t>
            </w:r>
            <w:bookmarkEnd w:id="1679"/>
            <w:r w:rsidRPr="005B35F4">
              <w:rPr>
                <w:rFonts w:cs="Arial"/>
                <w:b/>
                <w:bCs/>
                <w:color w:val="000000" w:themeColor="text1"/>
                <w:sz w:val="17"/>
                <w:szCs w:val="17"/>
                <w:lang w:val="hr-HR"/>
              </w:rPr>
              <w:t xml:space="preserve"> </w:t>
            </w:r>
          </w:p>
        </w:tc>
        <w:tc>
          <w:tcPr>
            <w:tcW w:w="547" w:type="pct"/>
            <w:tcBorders>
              <w:top w:val="nil"/>
              <w:left w:val="nil"/>
              <w:bottom w:val="single" w:sz="8" w:space="0" w:color="auto"/>
              <w:right w:val="nil"/>
            </w:tcBorders>
            <w:shd w:val="clear" w:color="auto" w:fill="auto"/>
            <w:vAlign w:val="bottom"/>
          </w:tcPr>
          <w:p w14:paraId="5E0E5E28"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6.213.55</w:t>
            </w:r>
            <w:r>
              <w:rPr>
                <w:rFonts w:ascii="Arial" w:hAnsi="Arial" w:cs="Arial"/>
                <w:b/>
                <w:bCs/>
                <w:color w:val="000000"/>
                <w:sz w:val="17"/>
                <w:szCs w:val="17"/>
              </w:rPr>
              <w:t>5</w:t>
            </w:r>
            <w:r w:rsidRPr="00F629B8">
              <w:rPr>
                <w:rFonts w:ascii="Arial" w:hAnsi="Arial" w:cs="Arial"/>
                <w:b/>
                <w:bCs/>
                <w:color w:val="000000"/>
                <w:sz w:val="17"/>
                <w:szCs w:val="17"/>
              </w:rPr>
              <w:t xml:space="preserve"> </w:t>
            </w:r>
          </w:p>
        </w:tc>
        <w:tc>
          <w:tcPr>
            <w:tcW w:w="534" w:type="pct"/>
            <w:tcBorders>
              <w:top w:val="nil"/>
              <w:left w:val="nil"/>
              <w:bottom w:val="single" w:sz="8" w:space="0" w:color="auto"/>
              <w:right w:val="nil"/>
            </w:tcBorders>
            <w:shd w:val="clear" w:color="auto" w:fill="auto"/>
            <w:vAlign w:val="bottom"/>
          </w:tcPr>
          <w:p w14:paraId="683F1466"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767.828 </w:t>
            </w:r>
          </w:p>
        </w:tc>
        <w:tc>
          <w:tcPr>
            <w:tcW w:w="528" w:type="pct"/>
            <w:tcBorders>
              <w:top w:val="nil"/>
              <w:left w:val="nil"/>
              <w:bottom w:val="single" w:sz="8" w:space="0" w:color="auto"/>
              <w:right w:val="nil"/>
            </w:tcBorders>
            <w:shd w:val="clear" w:color="auto" w:fill="auto"/>
            <w:vAlign w:val="bottom"/>
          </w:tcPr>
          <w:p w14:paraId="56FE6E29"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2.941.273 </w:t>
            </w:r>
          </w:p>
        </w:tc>
        <w:tc>
          <w:tcPr>
            <w:tcW w:w="538" w:type="pct"/>
            <w:tcBorders>
              <w:top w:val="nil"/>
              <w:left w:val="nil"/>
              <w:bottom w:val="single" w:sz="8" w:space="0" w:color="auto"/>
              <w:right w:val="nil"/>
            </w:tcBorders>
            <w:shd w:val="clear" w:color="auto" w:fill="auto"/>
            <w:vAlign w:val="bottom"/>
          </w:tcPr>
          <w:p w14:paraId="79D50451"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6.287.91</w:t>
            </w:r>
            <w:r>
              <w:rPr>
                <w:rFonts w:ascii="Arial" w:hAnsi="Arial" w:cs="Arial"/>
                <w:b/>
                <w:bCs/>
                <w:color w:val="000000"/>
                <w:sz w:val="17"/>
                <w:szCs w:val="17"/>
              </w:rPr>
              <w:t>0</w:t>
            </w:r>
            <w:r w:rsidRPr="00F629B8">
              <w:rPr>
                <w:rFonts w:ascii="Arial" w:hAnsi="Arial" w:cs="Arial"/>
                <w:b/>
                <w:bCs/>
                <w:color w:val="000000"/>
                <w:sz w:val="17"/>
                <w:szCs w:val="17"/>
              </w:rPr>
              <w:t xml:space="preserve"> </w:t>
            </w:r>
          </w:p>
        </w:tc>
        <w:tc>
          <w:tcPr>
            <w:tcW w:w="623" w:type="pct"/>
            <w:tcBorders>
              <w:top w:val="nil"/>
              <w:left w:val="nil"/>
              <w:bottom w:val="single" w:sz="8" w:space="0" w:color="auto"/>
              <w:right w:val="nil"/>
            </w:tcBorders>
            <w:shd w:val="clear" w:color="auto" w:fill="auto"/>
            <w:vAlign w:val="bottom"/>
          </w:tcPr>
          <w:p w14:paraId="7C138711"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12.849.597 </w:t>
            </w:r>
          </w:p>
        </w:tc>
        <w:tc>
          <w:tcPr>
            <w:tcW w:w="593" w:type="pct"/>
            <w:tcBorders>
              <w:top w:val="single" w:sz="8" w:space="0" w:color="auto"/>
              <w:left w:val="nil"/>
              <w:bottom w:val="single" w:sz="8" w:space="0" w:color="auto"/>
              <w:right w:val="nil"/>
            </w:tcBorders>
            <w:shd w:val="clear" w:color="auto" w:fill="auto"/>
            <w:vAlign w:val="bottom"/>
          </w:tcPr>
          <w:p w14:paraId="143189E5"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29.060.163 </w:t>
            </w:r>
          </w:p>
        </w:tc>
      </w:tr>
      <w:tr w:rsidR="004E2F51" w:rsidRPr="005B35F4" w14:paraId="00F2F744" w14:textId="77777777" w:rsidTr="00E032FC">
        <w:trPr>
          <w:trHeight w:val="236"/>
        </w:trPr>
        <w:tc>
          <w:tcPr>
            <w:tcW w:w="1637" w:type="pct"/>
          </w:tcPr>
          <w:p w14:paraId="1A667097" w14:textId="77777777" w:rsidR="004E2F51" w:rsidRPr="005B35F4" w:rsidRDefault="004E2F51" w:rsidP="00E032FC">
            <w:pPr>
              <w:pStyle w:val="Thin"/>
              <w:spacing w:line="60" w:lineRule="exact"/>
              <w:rPr>
                <w:rFonts w:cs="Arial"/>
                <w:bCs/>
                <w:color w:val="000000" w:themeColor="text1"/>
                <w:sz w:val="17"/>
                <w:szCs w:val="17"/>
                <w:lang w:val="hr-HR"/>
              </w:rPr>
            </w:pPr>
          </w:p>
        </w:tc>
        <w:tc>
          <w:tcPr>
            <w:tcW w:w="547" w:type="pct"/>
            <w:tcBorders>
              <w:top w:val="single" w:sz="12" w:space="0" w:color="auto"/>
            </w:tcBorders>
            <w:vAlign w:val="bottom"/>
          </w:tcPr>
          <w:p w14:paraId="66F9FDE3" w14:textId="77777777" w:rsidR="004E2F51" w:rsidRPr="005B35F4" w:rsidRDefault="004E2F51" w:rsidP="00E032FC">
            <w:pPr>
              <w:jc w:val="right"/>
              <w:rPr>
                <w:rFonts w:ascii="Arial" w:hAnsi="Arial" w:cs="Arial"/>
                <w:color w:val="000000"/>
                <w:sz w:val="17"/>
                <w:szCs w:val="17"/>
              </w:rPr>
            </w:pPr>
          </w:p>
        </w:tc>
        <w:tc>
          <w:tcPr>
            <w:tcW w:w="534" w:type="pct"/>
            <w:tcBorders>
              <w:top w:val="single" w:sz="12" w:space="0" w:color="auto"/>
            </w:tcBorders>
            <w:vAlign w:val="bottom"/>
          </w:tcPr>
          <w:p w14:paraId="1F8DCDAD" w14:textId="77777777" w:rsidR="004E2F51" w:rsidRPr="005B35F4" w:rsidRDefault="004E2F51" w:rsidP="00E032FC">
            <w:pPr>
              <w:jc w:val="right"/>
              <w:rPr>
                <w:rFonts w:ascii="Arial" w:hAnsi="Arial" w:cs="Arial"/>
                <w:color w:val="000000"/>
                <w:sz w:val="17"/>
                <w:szCs w:val="17"/>
              </w:rPr>
            </w:pPr>
          </w:p>
        </w:tc>
        <w:tc>
          <w:tcPr>
            <w:tcW w:w="528" w:type="pct"/>
            <w:tcBorders>
              <w:top w:val="single" w:sz="12" w:space="0" w:color="auto"/>
            </w:tcBorders>
            <w:vAlign w:val="bottom"/>
          </w:tcPr>
          <w:p w14:paraId="1E182204" w14:textId="77777777" w:rsidR="004E2F51" w:rsidRPr="005B35F4" w:rsidRDefault="004E2F51" w:rsidP="00E032FC">
            <w:pPr>
              <w:jc w:val="right"/>
              <w:rPr>
                <w:rFonts w:ascii="Arial" w:hAnsi="Arial" w:cs="Arial"/>
                <w:color w:val="000000"/>
                <w:sz w:val="17"/>
                <w:szCs w:val="17"/>
              </w:rPr>
            </w:pPr>
          </w:p>
        </w:tc>
        <w:tc>
          <w:tcPr>
            <w:tcW w:w="538" w:type="pct"/>
            <w:tcBorders>
              <w:top w:val="single" w:sz="12" w:space="0" w:color="auto"/>
            </w:tcBorders>
            <w:vAlign w:val="bottom"/>
          </w:tcPr>
          <w:p w14:paraId="1EDDC7D3" w14:textId="77777777" w:rsidR="004E2F51" w:rsidRPr="005B35F4" w:rsidRDefault="004E2F51" w:rsidP="00E032FC">
            <w:pPr>
              <w:jc w:val="right"/>
              <w:rPr>
                <w:rFonts w:ascii="Arial" w:hAnsi="Arial" w:cs="Arial"/>
                <w:color w:val="000000"/>
                <w:sz w:val="17"/>
                <w:szCs w:val="17"/>
              </w:rPr>
            </w:pPr>
          </w:p>
        </w:tc>
        <w:tc>
          <w:tcPr>
            <w:tcW w:w="623" w:type="pct"/>
            <w:tcBorders>
              <w:top w:val="single" w:sz="12" w:space="0" w:color="auto"/>
            </w:tcBorders>
            <w:vAlign w:val="bottom"/>
          </w:tcPr>
          <w:p w14:paraId="3D47B15C" w14:textId="77777777" w:rsidR="004E2F51" w:rsidRPr="005B35F4" w:rsidRDefault="004E2F51" w:rsidP="00E032FC">
            <w:pPr>
              <w:jc w:val="right"/>
              <w:rPr>
                <w:rFonts w:ascii="Arial" w:hAnsi="Arial" w:cs="Arial"/>
                <w:color w:val="000000"/>
                <w:sz w:val="17"/>
                <w:szCs w:val="17"/>
              </w:rPr>
            </w:pPr>
          </w:p>
        </w:tc>
        <w:tc>
          <w:tcPr>
            <w:tcW w:w="593" w:type="pct"/>
            <w:tcBorders>
              <w:top w:val="single" w:sz="12" w:space="0" w:color="auto"/>
            </w:tcBorders>
            <w:vAlign w:val="bottom"/>
          </w:tcPr>
          <w:p w14:paraId="026BE9BF" w14:textId="77777777" w:rsidR="004E2F51" w:rsidRPr="005B35F4" w:rsidRDefault="004E2F51" w:rsidP="00E032FC">
            <w:pPr>
              <w:jc w:val="right"/>
              <w:rPr>
                <w:rFonts w:ascii="Arial" w:hAnsi="Arial" w:cs="Arial"/>
                <w:color w:val="000000"/>
                <w:sz w:val="17"/>
                <w:szCs w:val="17"/>
              </w:rPr>
            </w:pPr>
          </w:p>
        </w:tc>
      </w:tr>
      <w:tr w:rsidR="004E2F51" w:rsidRPr="005B35F4" w14:paraId="52FD4F10" w14:textId="77777777" w:rsidTr="00E032FC">
        <w:trPr>
          <w:trHeight w:val="161"/>
        </w:trPr>
        <w:tc>
          <w:tcPr>
            <w:tcW w:w="1637" w:type="pct"/>
          </w:tcPr>
          <w:p w14:paraId="0404ABFF" w14:textId="77777777" w:rsidR="004E2F51" w:rsidRPr="005B35F4" w:rsidRDefault="004E2F51" w:rsidP="00E032FC">
            <w:pPr>
              <w:pStyle w:val="TT"/>
              <w:spacing w:line="220" w:lineRule="exact"/>
              <w:rPr>
                <w:rFonts w:cs="Arial"/>
                <w:b/>
                <w:bCs/>
                <w:color w:val="000000" w:themeColor="text1"/>
                <w:sz w:val="17"/>
                <w:szCs w:val="17"/>
                <w:lang w:val="hr-HR"/>
              </w:rPr>
            </w:pPr>
            <w:bookmarkStart w:id="1680" w:name="_Toc67330094"/>
            <w:r w:rsidRPr="005B35F4">
              <w:rPr>
                <w:rFonts w:cs="Arial"/>
                <w:b/>
                <w:bCs/>
                <w:color w:val="000000" w:themeColor="text1"/>
                <w:sz w:val="17"/>
                <w:szCs w:val="17"/>
                <w:lang w:val="hr-HR"/>
              </w:rPr>
              <w:t>Obveze</w:t>
            </w:r>
            <w:bookmarkEnd w:id="1680"/>
          </w:p>
        </w:tc>
        <w:tc>
          <w:tcPr>
            <w:tcW w:w="547" w:type="pct"/>
            <w:vAlign w:val="bottom"/>
          </w:tcPr>
          <w:p w14:paraId="42471A44" w14:textId="77777777" w:rsidR="004E2F51" w:rsidRPr="005B35F4" w:rsidRDefault="004E2F51" w:rsidP="00E032FC">
            <w:pPr>
              <w:jc w:val="right"/>
              <w:rPr>
                <w:rFonts w:ascii="Arial" w:hAnsi="Arial" w:cs="Arial"/>
                <w:color w:val="000000"/>
                <w:sz w:val="17"/>
                <w:szCs w:val="17"/>
              </w:rPr>
            </w:pPr>
          </w:p>
        </w:tc>
        <w:tc>
          <w:tcPr>
            <w:tcW w:w="534" w:type="pct"/>
            <w:vAlign w:val="bottom"/>
          </w:tcPr>
          <w:p w14:paraId="3CC7781A" w14:textId="77777777" w:rsidR="004E2F51" w:rsidRPr="005B35F4" w:rsidRDefault="004E2F51" w:rsidP="00E032FC">
            <w:pPr>
              <w:jc w:val="right"/>
              <w:rPr>
                <w:rFonts w:ascii="Arial" w:hAnsi="Arial" w:cs="Arial"/>
                <w:color w:val="000000"/>
                <w:sz w:val="17"/>
                <w:szCs w:val="17"/>
              </w:rPr>
            </w:pPr>
          </w:p>
        </w:tc>
        <w:tc>
          <w:tcPr>
            <w:tcW w:w="528" w:type="pct"/>
            <w:vAlign w:val="bottom"/>
          </w:tcPr>
          <w:p w14:paraId="4B5761D9" w14:textId="77777777" w:rsidR="004E2F51" w:rsidRPr="005B35F4" w:rsidRDefault="004E2F51" w:rsidP="00E032FC">
            <w:pPr>
              <w:jc w:val="right"/>
              <w:rPr>
                <w:rFonts w:ascii="Arial" w:hAnsi="Arial" w:cs="Arial"/>
                <w:color w:val="000000"/>
                <w:sz w:val="17"/>
                <w:szCs w:val="17"/>
              </w:rPr>
            </w:pPr>
          </w:p>
        </w:tc>
        <w:tc>
          <w:tcPr>
            <w:tcW w:w="538" w:type="pct"/>
            <w:vAlign w:val="bottom"/>
          </w:tcPr>
          <w:p w14:paraId="7251AAF4" w14:textId="77777777" w:rsidR="004E2F51" w:rsidRPr="005B35F4" w:rsidRDefault="004E2F51" w:rsidP="00E032FC">
            <w:pPr>
              <w:jc w:val="right"/>
              <w:rPr>
                <w:rFonts w:ascii="Arial" w:hAnsi="Arial" w:cs="Arial"/>
                <w:color w:val="000000"/>
                <w:sz w:val="17"/>
                <w:szCs w:val="17"/>
              </w:rPr>
            </w:pPr>
          </w:p>
        </w:tc>
        <w:tc>
          <w:tcPr>
            <w:tcW w:w="623" w:type="pct"/>
            <w:vAlign w:val="bottom"/>
          </w:tcPr>
          <w:p w14:paraId="42184CC6" w14:textId="77777777" w:rsidR="004E2F51" w:rsidRPr="005B35F4" w:rsidRDefault="004E2F51" w:rsidP="00E032FC">
            <w:pPr>
              <w:jc w:val="right"/>
              <w:rPr>
                <w:rFonts w:ascii="Arial" w:hAnsi="Arial" w:cs="Arial"/>
                <w:color w:val="000000"/>
                <w:sz w:val="17"/>
                <w:szCs w:val="17"/>
              </w:rPr>
            </w:pPr>
          </w:p>
        </w:tc>
        <w:tc>
          <w:tcPr>
            <w:tcW w:w="593" w:type="pct"/>
            <w:vAlign w:val="bottom"/>
          </w:tcPr>
          <w:p w14:paraId="394624C4" w14:textId="77777777" w:rsidR="004E2F51" w:rsidRPr="005B35F4" w:rsidRDefault="004E2F51" w:rsidP="00E032FC">
            <w:pPr>
              <w:jc w:val="right"/>
              <w:rPr>
                <w:rFonts w:ascii="Arial" w:hAnsi="Arial" w:cs="Arial"/>
                <w:color w:val="000000"/>
                <w:sz w:val="17"/>
                <w:szCs w:val="17"/>
              </w:rPr>
            </w:pPr>
          </w:p>
        </w:tc>
      </w:tr>
      <w:tr w:rsidR="004E2F51" w:rsidRPr="005B35F4" w14:paraId="07F8D3E4" w14:textId="77777777" w:rsidTr="00E032FC">
        <w:trPr>
          <w:trHeight w:val="161"/>
        </w:trPr>
        <w:tc>
          <w:tcPr>
            <w:tcW w:w="1637" w:type="pct"/>
          </w:tcPr>
          <w:p w14:paraId="5ACF0D2D" w14:textId="77777777" w:rsidR="004E2F51" w:rsidRPr="005B35F4" w:rsidRDefault="004E2F51" w:rsidP="00E032FC">
            <w:pPr>
              <w:pStyle w:val="TT"/>
              <w:spacing w:line="220" w:lineRule="exact"/>
              <w:rPr>
                <w:rFonts w:cs="Arial"/>
                <w:color w:val="000000" w:themeColor="text1"/>
                <w:sz w:val="17"/>
                <w:szCs w:val="17"/>
                <w:lang w:val="hr-HR"/>
              </w:rPr>
            </w:pPr>
            <w:bookmarkStart w:id="1681" w:name="_Toc67330095"/>
            <w:r w:rsidRPr="005B35F4">
              <w:rPr>
                <w:rFonts w:cs="Arial"/>
                <w:color w:val="000000" w:themeColor="text1"/>
                <w:spacing w:val="-2"/>
                <w:sz w:val="17"/>
                <w:szCs w:val="17"/>
                <w:lang w:val="hr-HR"/>
              </w:rPr>
              <w:t>Obveze po depozitima</w:t>
            </w:r>
            <w:bookmarkEnd w:id="1681"/>
          </w:p>
        </w:tc>
        <w:tc>
          <w:tcPr>
            <w:tcW w:w="547" w:type="pct"/>
            <w:tcBorders>
              <w:top w:val="nil"/>
              <w:left w:val="nil"/>
              <w:bottom w:val="nil"/>
              <w:right w:val="nil"/>
            </w:tcBorders>
            <w:shd w:val="clear" w:color="auto" w:fill="auto"/>
            <w:vAlign w:val="bottom"/>
          </w:tcPr>
          <w:p w14:paraId="5439548F"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738.963 </w:t>
            </w:r>
          </w:p>
        </w:tc>
        <w:tc>
          <w:tcPr>
            <w:tcW w:w="534" w:type="pct"/>
            <w:tcBorders>
              <w:top w:val="nil"/>
              <w:left w:val="nil"/>
              <w:bottom w:val="nil"/>
              <w:right w:val="nil"/>
            </w:tcBorders>
            <w:shd w:val="clear" w:color="auto" w:fill="auto"/>
            <w:vAlign w:val="bottom"/>
          </w:tcPr>
          <w:p w14:paraId="366DCA4A"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29.337 </w:t>
            </w:r>
          </w:p>
        </w:tc>
        <w:tc>
          <w:tcPr>
            <w:tcW w:w="528" w:type="pct"/>
            <w:tcBorders>
              <w:top w:val="nil"/>
              <w:left w:val="nil"/>
              <w:bottom w:val="nil"/>
              <w:right w:val="nil"/>
            </w:tcBorders>
            <w:shd w:val="clear" w:color="auto" w:fill="auto"/>
            <w:vAlign w:val="bottom"/>
          </w:tcPr>
          <w:p w14:paraId="2CF658A5"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110.155 </w:t>
            </w:r>
          </w:p>
        </w:tc>
        <w:tc>
          <w:tcPr>
            <w:tcW w:w="538" w:type="pct"/>
            <w:tcBorders>
              <w:top w:val="nil"/>
              <w:left w:val="nil"/>
              <w:bottom w:val="nil"/>
              <w:right w:val="nil"/>
            </w:tcBorders>
            <w:shd w:val="clear" w:color="auto" w:fill="auto"/>
            <w:vAlign w:val="bottom"/>
          </w:tcPr>
          <w:p w14:paraId="01B36AAB"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75.433 </w:t>
            </w:r>
          </w:p>
        </w:tc>
        <w:tc>
          <w:tcPr>
            <w:tcW w:w="623" w:type="pct"/>
            <w:tcBorders>
              <w:top w:val="nil"/>
              <w:left w:val="nil"/>
              <w:bottom w:val="nil"/>
              <w:right w:val="nil"/>
            </w:tcBorders>
            <w:shd w:val="clear" w:color="auto" w:fill="auto"/>
            <w:vAlign w:val="bottom"/>
          </w:tcPr>
          <w:p w14:paraId="5B0FC27D"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70.735 </w:t>
            </w:r>
          </w:p>
        </w:tc>
        <w:tc>
          <w:tcPr>
            <w:tcW w:w="593" w:type="pct"/>
            <w:tcBorders>
              <w:top w:val="nil"/>
              <w:left w:val="nil"/>
              <w:bottom w:val="nil"/>
              <w:right w:val="nil"/>
            </w:tcBorders>
            <w:shd w:val="clear" w:color="auto" w:fill="auto"/>
            <w:vAlign w:val="bottom"/>
          </w:tcPr>
          <w:p w14:paraId="06A5213D"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1.024.623 </w:t>
            </w:r>
          </w:p>
        </w:tc>
      </w:tr>
      <w:tr w:rsidR="004E2F51" w:rsidRPr="005B35F4" w14:paraId="63624FDD" w14:textId="77777777" w:rsidTr="00E032FC">
        <w:trPr>
          <w:trHeight w:val="153"/>
        </w:trPr>
        <w:tc>
          <w:tcPr>
            <w:tcW w:w="1637" w:type="pct"/>
          </w:tcPr>
          <w:p w14:paraId="6FE5842D" w14:textId="77777777" w:rsidR="004E2F51" w:rsidRPr="005B35F4" w:rsidRDefault="004E2F51" w:rsidP="00E032FC">
            <w:pPr>
              <w:pStyle w:val="TT"/>
              <w:spacing w:line="220" w:lineRule="exact"/>
              <w:rPr>
                <w:rFonts w:cs="Arial"/>
                <w:color w:val="000000" w:themeColor="text1"/>
                <w:sz w:val="17"/>
                <w:szCs w:val="17"/>
                <w:lang w:val="hr-HR"/>
              </w:rPr>
            </w:pPr>
            <w:bookmarkStart w:id="1682" w:name="_Toc67330096"/>
            <w:r w:rsidRPr="005B35F4">
              <w:rPr>
                <w:rFonts w:cs="Arial"/>
                <w:color w:val="000000" w:themeColor="text1"/>
                <w:spacing w:val="-2"/>
                <w:sz w:val="17"/>
                <w:szCs w:val="17"/>
                <w:lang w:val="hr-HR"/>
              </w:rPr>
              <w:t>Obveze po kreditima</w:t>
            </w:r>
            <w:bookmarkEnd w:id="1682"/>
          </w:p>
        </w:tc>
        <w:tc>
          <w:tcPr>
            <w:tcW w:w="547" w:type="pct"/>
            <w:tcBorders>
              <w:top w:val="nil"/>
              <w:left w:val="nil"/>
              <w:bottom w:val="nil"/>
              <w:right w:val="nil"/>
            </w:tcBorders>
            <w:shd w:val="clear" w:color="auto" w:fill="auto"/>
            <w:vAlign w:val="bottom"/>
          </w:tcPr>
          <w:p w14:paraId="530CB4F2"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555.327 </w:t>
            </w:r>
          </w:p>
        </w:tc>
        <w:tc>
          <w:tcPr>
            <w:tcW w:w="534" w:type="pct"/>
            <w:tcBorders>
              <w:top w:val="nil"/>
              <w:left w:val="nil"/>
              <w:bottom w:val="nil"/>
              <w:right w:val="nil"/>
            </w:tcBorders>
            <w:shd w:val="clear" w:color="auto" w:fill="auto"/>
            <w:vAlign w:val="bottom"/>
          </w:tcPr>
          <w:p w14:paraId="298698D5"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309.534</w:t>
            </w:r>
            <w:r w:rsidRPr="00C5649D">
              <w:rPr>
                <w:rFonts w:ascii="Arial" w:hAnsi="Arial" w:cs="Arial"/>
                <w:color w:val="000000"/>
                <w:sz w:val="17"/>
                <w:szCs w:val="17"/>
              </w:rPr>
              <w:t>*</w:t>
            </w:r>
            <w:r w:rsidRPr="00F629B8">
              <w:rPr>
                <w:rFonts w:ascii="Arial" w:hAnsi="Arial" w:cs="Arial"/>
                <w:color w:val="000000"/>
                <w:sz w:val="17"/>
                <w:szCs w:val="17"/>
              </w:rPr>
              <w:t xml:space="preserve"> </w:t>
            </w:r>
          </w:p>
        </w:tc>
        <w:tc>
          <w:tcPr>
            <w:tcW w:w="528" w:type="pct"/>
            <w:tcBorders>
              <w:top w:val="nil"/>
              <w:left w:val="nil"/>
              <w:bottom w:val="nil"/>
              <w:right w:val="nil"/>
            </w:tcBorders>
            <w:shd w:val="clear" w:color="auto" w:fill="auto"/>
            <w:vAlign w:val="bottom"/>
          </w:tcPr>
          <w:p w14:paraId="2BA1F2F4"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3.254.598 </w:t>
            </w:r>
          </w:p>
        </w:tc>
        <w:tc>
          <w:tcPr>
            <w:tcW w:w="538" w:type="pct"/>
            <w:tcBorders>
              <w:top w:val="nil"/>
              <w:left w:val="nil"/>
              <w:bottom w:val="nil"/>
              <w:right w:val="nil"/>
            </w:tcBorders>
            <w:shd w:val="clear" w:color="auto" w:fill="auto"/>
            <w:vAlign w:val="bottom"/>
          </w:tcPr>
          <w:p w14:paraId="7EF250BB"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5.291.478 </w:t>
            </w:r>
          </w:p>
        </w:tc>
        <w:tc>
          <w:tcPr>
            <w:tcW w:w="623" w:type="pct"/>
            <w:tcBorders>
              <w:top w:val="nil"/>
              <w:left w:val="nil"/>
              <w:bottom w:val="nil"/>
              <w:right w:val="nil"/>
            </w:tcBorders>
            <w:shd w:val="clear" w:color="auto" w:fill="auto"/>
            <w:vAlign w:val="bottom"/>
          </w:tcPr>
          <w:p w14:paraId="31100AD3"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7.090.339 </w:t>
            </w:r>
          </w:p>
        </w:tc>
        <w:tc>
          <w:tcPr>
            <w:tcW w:w="593" w:type="pct"/>
            <w:tcBorders>
              <w:top w:val="nil"/>
              <w:left w:val="nil"/>
              <w:bottom w:val="nil"/>
              <w:right w:val="nil"/>
            </w:tcBorders>
            <w:shd w:val="clear" w:color="auto" w:fill="auto"/>
            <w:vAlign w:val="bottom"/>
          </w:tcPr>
          <w:p w14:paraId="4F7C01EA"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16.501.276 </w:t>
            </w:r>
          </w:p>
        </w:tc>
      </w:tr>
      <w:tr w:rsidR="004E2F51" w:rsidRPr="005B35F4" w14:paraId="4BBE1857" w14:textId="77777777" w:rsidTr="00E032FC">
        <w:trPr>
          <w:trHeight w:val="315"/>
        </w:trPr>
        <w:tc>
          <w:tcPr>
            <w:tcW w:w="1637" w:type="pct"/>
            <w:vAlign w:val="bottom"/>
          </w:tcPr>
          <w:p w14:paraId="4D9EB3AA" w14:textId="77777777" w:rsidR="004E2F51" w:rsidRPr="005B35F4" w:rsidRDefault="004E2F51" w:rsidP="00E032FC">
            <w:pPr>
              <w:pStyle w:val="TT"/>
              <w:spacing w:line="220" w:lineRule="exact"/>
              <w:rPr>
                <w:rFonts w:cs="Arial"/>
                <w:color w:val="000000" w:themeColor="text1"/>
                <w:spacing w:val="-2"/>
                <w:sz w:val="17"/>
                <w:szCs w:val="17"/>
                <w:lang w:val="hr-HR"/>
              </w:rPr>
            </w:pPr>
            <w:bookmarkStart w:id="1683" w:name="_Toc67330098"/>
            <w:r w:rsidRPr="005B35F4">
              <w:rPr>
                <w:rFonts w:cs="Arial"/>
                <w:color w:val="000000" w:themeColor="text1"/>
                <w:spacing w:val="-2"/>
                <w:sz w:val="17"/>
                <w:szCs w:val="17"/>
                <w:lang w:val="hr-HR"/>
              </w:rPr>
              <w:t>Rezerviranja za garancije, preuzete i ostale obveze</w:t>
            </w:r>
            <w:bookmarkEnd w:id="1683"/>
          </w:p>
        </w:tc>
        <w:tc>
          <w:tcPr>
            <w:tcW w:w="547" w:type="pct"/>
            <w:tcBorders>
              <w:top w:val="nil"/>
              <w:left w:val="nil"/>
              <w:bottom w:val="nil"/>
              <w:right w:val="nil"/>
            </w:tcBorders>
            <w:shd w:val="clear" w:color="auto" w:fill="auto"/>
            <w:vAlign w:val="bottom"/>
          </w:tcPr>
          <w:p w14:paraId="5C5F6D8D" w14:textId="77777777" w:rsidR="004E2F51" w:rsidRPr="005B35F4" w:rsidDel="00F864B4" w:rsidRDefault="004E2F51" w:rsidP="00E032FC">
            <w:pPr>
              <w:jc w:val="right"/>
              <w:rPr>
                <w:rFonts w:ascii="Arial" w:hAnsi="Arial" w:cs="Arial"/>
                <w:color w:val="000000"/>
                <w:sz w:val="17"/>
                <w:szCs w:val="17"/>
              </w:rPr>
            </w:pPr>
            <w:r w:rsidRPr="0002282A">
              <w:rPr>
                <w:rFonts w:ascii="Arial" w:hAnsi="Arial" w:cs="Arial"/>
                <w:color w:val="000000"/>
                <w:sz w:val="17"/>
                <w:szCs w:val="17"/>
                <w:lang w:val="it-IT"/>
              </w:rPr>
              <w:t xml:space="preserve"> </w:t>
            </w:r>
            <w:r w:rsidRPr="00F629B8">
              <w:rPr>
                <w:rFonts w:ascii="Arial" w:hAnsi="Arial" w:cs="Arial"/>
                <w:color w:val="000000"/>
                <w:sz w:val="17"/>
                <w:szCs w:val="17"/>
              </w:rPr>
              <w:t xml:space="preserve">104.063 </w:t>
            </w:r>
          </w:p>
        </w:tc>
        <w:tc>
          <w:tcPr>
            <w:tcW w:w="534" w:type="pct"/>
            <w:tcBorders>
              <w:top w:val="nil"/>
              <w:left w:val="nil"/>
              <w:bottom w:val="nil"/>
              <w:right w:val="nil"/>
            </w:tcBorders>
            <w:shd w:val="clear" w:color="auto" w:fill="auto"/>
            <w:vAlign w:val="bottom"/>
          </w:tcPr>
          <w:p w14:paraId="53FAB089" w14:textId="77777777" w:rsidR="004E2F51" w:rsidRPr="005B35F4" w:rsidDel="00F864B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2.702 </w:t>
            </w:r>
          </w:p>
        </w:tc>
        <w:tc>
          <w:tcPr>
            <w:tcW w:w="528" w:type="pct"/>
            <w:tcBorders>
              <w:top w:val="nil"/>
              <w:left w:val="nil"/>
              <w:bottom w:val="nil"/>
              <w:right w:val="nil"/>
            </w:tcBorders>
            <w:shd w:val="clear" w:color="auto" w:fill="auto"/>
            <w:vAlign w:val="bottom"/>
          </w:tcPr>
          <w:p w14:paraId="53534A57" w14:textId="77777777" w:rsidR="004E2F51" w:rsidRPr="005B35F4" w:rsidDel="00F864B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9.975 </w:t>
            </w:r>
          </w:p>
        </w:tc>
        <w:tc>
          <w:tcPr>
            <w:tcW w:w="538" w:type="pct"/>
            <w:tcBorders>
              <w:top w:val="nil"/>
              <w:left w:val="nil"/>
              <w:bottom w:val="nil"/>
              <w:right w:val="nil"/>
            </w:tcBorders>
            <w:shd w:val="clear" w:color="auto" w:fill="auto"/>
            <w:vAlign w:val="bottom"/>
          </w:tcPr>
          <w:p w14:paraId="3D57CBE4" w14:textId="77777777" w:rsidR="004E2F51" w:rsidRPr="005B35F4" w:rsidDel="00F864B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18.037 </w:t>
            </w:r>
          </w:p>
        </w:tc>
        <w:tc>
          <w:tcPr>
            <w:tcW w:w="623" w:type="pct"/>
            <w:tcBorders>
              <w:top w:val="nil"/>
              <w:left w:val="nil"/>
              <w:bottom w:val="nil"/>
              <w:right w:val="nil"/>
            </w:tcBorders>
            <w:shd w:val="clear" w:color="auto" w:fill="auto"/>
            <w:vAlign w:val="bottom"/>
          </w:tcPr>
          <w:p w14:paraId="6C35ACF6" w14:textId="77777777" w:rsidR="004E2F51" w:rsidRPr="005B35F4" w:rsidDel="00F864B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7.938 </w:t>
            </w:r>
          </w:p>
        </w:tc>
        <w:tc>
          <w:tcPr>
            <w:tcW w:w="593" w:type="pct"/>
            <w:tcBorders>
              <w:top w:val="nil"/>
              <w:left w:val="nil"/>
              <w:bottom w:val="nil"/>
              <w:right w:val="nil"/>
            </w:tcBorders>
            <w:shd w:val="clear" w:color="auto" w:fill="auto"/>
            <w:vAlign w:val="bottom"/>
          </w:tcPr>
          <w:p w14:paraId="62394FFA" w14:textId="77777777" w:rsidR="004E2F51" w:rsidRPr="005B35F4" w:rsidDel="00F864B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142.715 </w:t>
            </w:r>
          </w:p>
        </w:tc>
      </w:tr>
      <w:tr w:rsidR="004E2F51" w:rsidRPr="005B35F4" w14:paraId="590E9829" w14:textId="77777777" w:rsidTr="00E032FC">
        <w:trPr>
          <w:trHeight w:val="153"/>
        </w:trPr>
        <w:tc>
          <w:tcPr>
            <w:tcW w:w="1637" w:type="pct"/>
          </w:tcPr>
          <w:p w14:paraId="56B8985F" w14:textId="77777777" w:rsidR="004E2F51" w:rsidRPr="005B35F4" w:rsidRDefault="004E2F51" w:rsidP="00E032FC">
            <w:pPr>
              <w:pStyle w:val="TT"/>
              <w:spacing w:line="220" w:lineRule="exact"/>
              <w:rPr>
                <w:rFonts w:cs="Arial"/>
                <w:color w:val="000000" w:themeColor="text1"/>
                <w:sz w:val="17"/>
                <w:szCs w:val="17"/>
                <w:lang w:val="hr-HR"/>
              </w:rPr>
            </w:pPr>
            <w:bookmarkStart w:id="1684" w:name="_Toc67330099"/>
            <w:r w:rsidRPr="005B35F4">
              <w:rPr>
                <w:rFonts w:cs="Arial"/>
                <w:color w:val="000000" w:themeColor="text1"/>
                <w:spacing w:val="-2"/>
                <w:sz w:val="17"/>
                <w:szCs w:val="17"/>
                <w:lang w:val="hr-HR"/>
              </w:rPr>
              <w:t>Ostale obveze</w:t>
            </w:r>
            <w:bookmarkEnd w:id="1684"/>
          </w:p>
        </w:tc>
        <w:tc>
          <w:tcPr>
            <w:tcW w:w="547" w:type="pct"/>
            <w:tcBorders>
              <w:top w:val="nil"/>
              <w:left w:val="nil"/>
              <w:bottom w:val="nil"/>
              <w:right w:val="nil"/>
            </w:tcBorders>
            <w:shd w:val="clear" w:color="auto" w:fill="auto"/>
            <w:vAlign w:val="bottom"/>
          </w:tcPr>
          <w:p w14:paraId="02BA5B64"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477.310 </w:t>
            </w:r>
          </w:p>
        </w:tc>
        <w:tc>
          <w:tcPr>
            <w:tcW w:w="534" w:type="pct"/>
            <w:tcBorders>
              <w:top w:val="nil"/>
              <w:left w:val="nil"/>
              <w:bottom w:val="nil"/>
              <w:right w:val="nil"/>
            </w:tcBorders>
            <w:shd w:val="clear" w:color="auto" w:fill="auto"/>
            <w:vAlign w:val="bottom"/>
          </w:tcPr>
          <w:p w14:paraId="4250CDDD"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20.726 </w:t>
            </w:r>
          </w:p>
        </w:tc>
        <w:tc>
          <w:tcPr>
            <w:tcW w:w="528" w:type="pct"/>
            <w:tcBorders>
              <w:top w:val="nil"/>
              <w:left w:val="nil"/>
              <w:bottom w:val="nil"/>
              <w:right w:val="nil"/>
            </w:tcBorders>
            <w:shd w:val="clear" w:color="auto" w:fill="auto"/>
            <w:vAlign w:val="bottom"/>
          </w:tcPr>
          <w:p w14:paraId="30F67C84"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54.116 </w:t>
            </w:r>
          </w:p>
        </w:tc>
        <w:tc>
          <w:tcPr>
            <w:tcW w:w="538" w:type="pct"/>
            <w:tcBorders>
              <w:top w:val="nil"/>
              <w:left w:val="nil"/>
              <w:bottom w:val="nil"/>
              <w:right w:val="nil"/>
            </w:tcBorders>
            <w:shd w:val="clear" w:color="auto" w:fill="auto"/>
            <w:vAlign w:val="bottom"/>
          </w:tcPr>
          <w:p w14:paraId="7B13ADA4"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91.723 </w:t>
            </w:r>
          </w:p>
        </w:tc>
        <w:tc>
          <w:tcPr>
            <w:tcW w:w="623" w:type="pct"/>
            <w:tcBorders>
              <w:top w:val="nil"/>
              <w:left w:val="nil"/>
              <w:bottom w:val="nil"/>
              <w:right w:val="nil"/>
            </w:tcBorders>
            <w:shd w:val="clear" w:color="auto" w:fill="auto"/>
            <w:vAlign w:val="bottom"/>
          </w:tcPr>
          <w:p w14:paraId="3CF956AD"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32.648 </w:t>
            </w:r>
          </w:p>
        </w:tc>
        <w:tc>
          <w:tcPr>
            <w:tcW w:w="593" w:type="pct"/>
            <w:tcBorders>
              <w:top w:val="nil"/>
              <w:left w:val="nil"/>
              <w:bottom w:val="nil"/>
              <w:right w:val="nil"/>
            </w:tcBorders>
            <w:shd w:val="clear" w:color="auto" w:fill="auto"/>
            <w:vAlign w:val="bottom"/>
          </w:tcPr>
          <w:p w14:paraId="447F0C7B"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676.523 </w:t>
            </w:r>
          </w:p>
        </w:tc>
      </w:tr>
      <w:tr w:rsidR="004E2F51" w:rsidRPr="005B35F4" w14:paraId="03C7300F" w14:textId="77777777" w:rsidTr="00E032FC">
        <w:trPr>
          <w:trHeight w:val="153"/>
        </w:trPr>
        <w:tc>
          <w:tcPr>
            <w:tcW w:w="1637" w:type="pct"/>
          </w:tcPr>
          <w:p w14:paraId="1FF02FB1" w14:textId="77777777" w:rsidR="004E2F51" w:rsidRPr="005B35F4" w:rsidRDefault="004E2F51" w:rsidP="00E032FC">
            <w:pPr>
              <w:pStyle w:val="Tot"/>
              <w:spacing w:line="220" w:lineRule="exact"/>
              <w:rPr>
                <w:rFonts w:cs="Arial"/>
                <w:b/>
                <w:bCs/>
                <w:color w:val="000000" w:themeColor="text1"/>
                <w:sz w:val="17"/>
                <w:szCs w:val="17"/>
                <w:lang w:val="hr-HR"/>
              </w:rPr>
            </w:pPr>
            <w:bookmarkStart w:id="1685" w:name="_Toc67330100"/>
            <w:r w:rsidRPr="005B35F4">
              <w:rPr>
                <w:rFonts w:cs="Arial"/>
                <w:b/>
                <w:bCs/>
                <w:color w:val="000000" w:themeColor="text1"/>
                <w:sz w:val="17"/>
                <w:szCs w:val="17"/>
                <w:lang w:val="hr-HR"/>
              </w:rPr>
              <w:t>Ukupne obveze</w:t>
            </w:r>
            <w:bookmarkEnd w:id="1685"/>
          </w:p>
        </w:tc>
        <w:tc>
          <w:tcPr>
            <w:tcW w:w="547" w:type="pct"/>
            <w:tcBorders>
              <w:top w:val="single" w:sz="8" w:space="0" w:color="auto"/>
              <w:left w:val="nil"/>
              <w:bottom w:val="single" w:sz="8" w:space="0" w:color="auto"/>
              <w:right w:val="nil"/>
            </w:tcBorders>
            <w:shd w:val="clear" w:color="auto" w:fill="auto"/>
            <w:vAlign w:val="bottom"/>
          </w:tcPr>
          <w:p w14:paraId="5C626820"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1.875.663 </w:t>
            </w:r>
          </w:p>
        </w:tc>
        <w:tc>
          <w:tcPr>
            <w:tcW w:w="534" w:type="pct"/>
            <w:tcBorders>
              <w:top w:val="single" w:sz="8" w:space="0" w:color="auto"/>
              <w:left w:val="nil"/>
              <w:bottom w:val="single" w:sz="8" w:space="0" w:color="auto"/>
              <w:right w:val="nil"/>
            </w:tcBorders>
            <w:shd w:val="clear" w:color="auto" w:fill="auto"/>
            <w:vAlign w:val="bottom"/>
          </w:tcPr>
          <w:p w14:paraId="464170C3"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362.299 </w:t>
            </w:r>
          </w:p>
        </w:tc>
        <w:tc>
          <w:tcPr>
            <w:tcW w:w="528" w:type="pct"/>
            <w:tcBorders>
              <w:top w:val="single" w:sz="8" w:space="0" w:color="auto"/>
              <w:left w:val="nil"/>
              <w:bottom w:val="single" w:sz="8" w:space="0" w:color="auto"/>
              <w:right w:val="nil"/>
            </w:tcBorders>
            <w:shd w:val="clear" w:color="auto" w:fill="auto"/>
            <w:vAlign w:val="bottom"/>
          </w:tcPr>
          <w:p w14:paraId="578FBA36"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3.428.844 </w:t>
            </w:r>
          </w:p>
        </w:tc>
        <w:tc>
          <w:tcPr>
            <w:tcW w:w="538" w:type="pct"/>
            <w:tcBorders>
              <w:top w:val="single" w:sz="8" w:space="0" w:color="auto"/>
              <w:left w:val="nil"/>
              <w:bottom w:val="single" w:sz="8" w:space="0" w:color="auto"/>
              <w:right w:val="nil"/>
            </w:tcBorders>
            <w:shd w:val="clear" w:color="auto" w:fill="auto"/>
            <w:vAlign w:val="bottom"/>
          </w:tcPr>
          <w:p w14:paraId="3FE78D7F"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5.476.671 </w:t>
            </w:r>
          </w:p>
        </w:tc>
        <w:tc>
          <w:tcPr>
            <w:tcW w:w="623" w:type="pct"/>
            <w:tcBorders>
              <w:top w:val="single" w:sz="8" w:space="0" w:color="auto"/>
              <w:left w:val="nil"/>
              <w:bottom w:val="single" w:sz="8" w:space="0" w:color="auto"/>
              <w:right w:val="nil"/>
            </w:tcBorders>
            <w:shd w:val="clear" w:color="auto" w:fill="auto"/>
            <w:vAlign w:val="bottom"/>
          </w:tcPr>
          <w:p w14:paraId="312C1FD9"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7.201.660 </w:t>
            </w:r>
          </w:p>
        </w:tc>
        <w:tc>
          <w:tcPr>
            <w:tcW w:w="593" w:type="pct"/>
            <w:tcBorders>
              <w:top w:val="single" w:sz="8" w:space="0" w:color="auto"/>
              <w:left w:val="nil"/>
              <w:bottom w:val="single" w:sz="8" w:space="0" w:color="auto"/>
              <w:right w:val="nil"/>
            </w:tcBorders>
            <w:shd w:val="clear" w:color="auto" w:fill="auto"/>
            <w:vAlign w:val="bottom"/>
          </w:tcPr>
          <w:p w14:paraId="04CE9217"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18.345.137 </w:t>
            </w:r>
          </w:p>
        </w:tc>
      </w:tr>
      <w:tr w:rsidR="004E2F51" w:rsidRPr="005B35F4" w14:paraId="1DBC6A59" w14:textId="77777777" w:rsidTr="00E032FC">
        <w:trPr>
          <w:trHeight w:val="229"/>
        </w:trPr>
        <w:tc>
          <w:tcPr>
            <w:tcW w:w="1637" w:type="pct"/>
            <w:vAlign w:val="bottom"/>
          </w:tcPr>
          <w:p w14:paraId="0B8B6FAB" w14:textId="77777777" w:rsidR="004E2F51" w:rsidRPr="005B35F4" w:rsidRDefault="004E2F51" w:rsidP="00E032FC">
            <w:pPr>
              <w:pStyle w:val="Tot"/>
              <w:spacing w:line="220" w:lineRule="exact"/>
              <w:rPr>
                <w:rFonts w:cs="Arial"/>
                <w:b/>
                <w:bCs/>
                <w:color w:val="000000" w:themeColor="text1"/>
                <w:spacing w:val="-2"/>
                <w:sz w:val="17"/>
                <w:szCs w:val="17"/>
                <w:lang w:val="hr-HR"/>
              </w:rPr>
            </w:pPr>
            <w:bookmarkStart w:id="1686" w:name="_Toc67330101"/>
            <w:r w:rsidRPr="005B35F4">
              <w:rPr>
                <w:rFonts w:eastAsia="Calibri" w:cs="Arial"/>
                <w:b/>
                <w:bCs/>
                <w:color w:val="000000" w:themeColor="text1"/>
                <w:spacing w:val="-2"/>
                <w:sz w:val="17"/>
                <w:szCs w:val="17"/>
                <w:lang w:val="hr-HR"/>
              </w:rPr>
              <w:t>Likvidnosni jaz</w:t>
            </w:r>
            <w:bookmarkEnd w:id="1686"/>
          </w:p>
        </w:tc>
        <w:tc>
          <w:tcPr>
            <w:tcW w:w="547" w:type="pct"/>
            <w:tcBorders>
              <w:top w:val="single" w:sz="4" w:space="0" w:color="auto"/>
              <w:left w:val="nil"/>
              <w:bottom w:val="single" w:sz="8" w:space="0" w:color="auto"/>
              <w:right w:val="nil"/>
            </w:tcBorders>
            <w:shd w:val="clear" w:color="auto" w:fill="auto"/>
            <w:vAlign w:val="bottom"/>
          </w:tcPr>
          <w:p w14:paraId="7F4799C8"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4.337.89</w:t>
            </w:r>
            <w:r>
              <w:rPr>
                <w:rFonts w:ascii="Arial" w:hAnsi="Arial" w:cs="Arial"/>
                <w:b/>
                <w:bCs/>
                <w:color w:val="000000"/>
                <w:sz w:val="17"/>
                <w:szCs w:val="17"/>
              </w:rPr>
              <w:t>2</w:t>
            </w:r>
            <w:r w:rsidRPr="00F629B8">
              <w:rPr>
                <w:rFonts w:ascii="Arial" w:hAnsi="Arial" w:cs="Arial"/>
                <w:b/>
                <w:bCs/>
                <w:color w:val="000000"/>
                <w:sz w:val="17"/>
                <w:szCs w:val="17"/>
              </w:rPr>
              <w:t xml:space="preserve"> </w:t>
            </w:r>
          </w:p>
        </w:tc>
        <w:tc>
          <w:tcPr>
            <w:tcW w:w="534" w:type="pct"/>
            <w:tcBorders>
              <w:top w:val="single" w:sz="4" w:space="0" w:color="auto"/>
              <w:left w:val="nil"/>
              <w:bottom w:val="single" w:sz="8" w:space="0" w:color="auto"/>
              <w:right w:val="nil"/>
            </w:tcBorders>
            <w:shd w:val="clear" w:color="auto" w:fill="auto"/>
            <w:vAlign w:val="bottom"/>
          </w:tcPr>
          <w:p w14:paraId="78E3835E"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405.529 </w:t>
            </w:r>
          </w:p>
        </w:tc>
        <w:tc>
          <w:tcPr>
            <w:tcW w:w="528" w:type="pct"/>
            <w:tcBorders>
              <w:top w:val="single" w:sz="4" w:space="0" w:color="auto"/>
              <w:left w:val="nil"/>
              <w:bottom w:val="single" w:sz="8" w:space="0" w:color="auto"/>
              <w:right w:val="nil"/>
            </w:tcBorders>
            <w:shd w:val="clear" w:color="auto" w:fill="auto"/>
            <w:vAlign w:val="bottom"/>
          </w:tcPr>
          <w:p w14:paraId="4B3394C6"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(487.571)</w:t>
            </w:r>
          </w:p>
        </w:tc>
        <w:tc>
          <w:tcPr>
            <w:tcW w:w="538" w:type="pct"/>
            <w:tcBorders>
              <w:top w:val="single" w:sz="4" w:space="0" w:color="auto"/>
              <w:left w:val="nil"/>
              <w:bottom w:val="single" w:sz="8" w:space="0" w:color="auto"/>
              <w:right w:val="nil"/>
            </w:tcBorders>
            <w:shd w:val="clear" w:color="auto" w:fill="auto"/>
            <w:vAlign w:val="bottom"/>
          </w:tcPr>
          <w:p w14:paraId="14DF51DD"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811.2</w:t>
            </w:r>
            <w:r>
              <w:rPr>
                <w:rFonts w:ascii="Arial" w:hAnsi="Arial" w:cs="Arial"/>
                <w:b/>
                <w:bCs/>
                <w:color w:val="000000"/>
                <w:sz w:val="17"/>
                <w:szCs w:val="17"/>
              </w:rPr>
              <w:t>39</w:t>
            </w:r>
            <w:r w:rsidRPr="00F629B8">
              <w:rPr>
                <w:rFonts w:ascii="Arial" w:hAnsi="Arial" w:cs="Arial"/>
                <w:b/>
                <w:bCs/>
                <w:color w:val="000000"/>
                <w:sz w:val="17"/>
                <w:szCs w:val="17"/>
              </w:rPr>
              <w:t xml:space="preserve"> </w:t>
            </w:r>
          </w:p>
        </w:tc>
        <w:tc>
          <w:tcPr>
            <w:tcW w:w="623" w:type="pct"/>
            <w:tcBorders>
              <w:top w:val="single" w:sz="4" w:space="0" w:color="auto"/>
              <w:left w:val="nil"/>
              <w:bottom w:val="single" w:sz="8" w:space="0" w:color="auto"/>
              <w:right w:val="nil"/>
            </w:tcBorders>
            <w:shd w:val="clear" w:color="auto" w:fill="auto"/>
            <w:vAlign w:val="bottom"/>
          </w:tcPr>
          <w:p w14:paraId="56544E45"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5.647.937 </w:t>
            </w:r>
          </w:p>
        </w:tc>
        <w:tc>
          <w:tcPr>
            <w:tcW w:w="593" w:type="pct"/>
            <w:tcBorders>
              <w:top w:val="single" w:sz="4" w:space="0" w:color="auto"/>
              <w:left w:val="nil"/>
              <w:bottom w:val="single" w:sz="8" w:space="0" w:color="auto"/>
              <w:right w:val="nil"/>
            </w:tcBorders>
            <w:shd w:val="clear" w:color="auto" w:fill="auto"/>
            <w:vAlign w:val="bottom"/>
          </w:tcPr>
          <w:p w14:paraId="7B4B95BD"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10.715.026 </w:t>
            </w:r>
          </w:p>
        </w:tc>
      </w:tr>
      <w:tr w:rsidR="004E2F51" w:rsidRPr="005B35F4" w14:paraId="18111A2B" w14:textId="77777777" w:rsidTr="00E032FC">
        <w:trPr>
          <w:trHeight w:val="229"/>
        </w:trPr>
        <w:tc>
          <w:tcPr>
            <w:tcW w:w="1637" w:type="pct"/>
            <w:vAlign w:val="bottom"/>
          </w:tcPr>
          <w:p w14:paraId="6048A761" w14:textId="77777777" w:rsidR="004E2F51" w:rsidRPr="005B35F4" w:rsidRDefault="004E2F51" w:rsidP="00E032FC">
            <w:pPr>
              <w:pStyle w:val="Tot"/>
              <w:spacing w:line="220" w:lineRule="exact"/>
              <w:rPr>
                <w:rFonts w:eastAsia="Calibri" w:cs="Arial"/>
                <w:b/>
                <w:bCs/>
                <w:color w:val="000000" w:themeColor="text1"/>
                <w:spacing w:val="-2"/>
                <w:sz w:val="17"/>
                <w:szCs w:val="17"/>
                <w:lang w:val="hr-HR"/>
              </w:rPr>
            </w:pPr>
          </w:p>
        </w:tc>
        <w:tc>
          <w:tcPr>
            <w:tcW w:w="547" w:type="pct"/>
            <w:tcBorders>
              <w:top w:val="single" w:sz="12" w:space="0" w:color="auto"/>
              <w:left w:val="nil"/>
              <w:right w:val="nil"/>
            </w:tcBorders>
            <w:shd w:val="clear" w:color="auto" w:fill="auto"/>
            <w:vAlign w:val="bottom"/>
          </w:tcPr>
          <w:p w14:paraId="5E4A2647" w14:textId="77777777" w:rsidR="004E2F51" w:rsidRPr="005B35F4" w:rsidRDefault="004E2F51" w:rsidP="00E032FC">
            <w:pPr>
              <w:jc w:val="right"/>
              <w:rPr>
                <w:rFonts w:ascii="Arial" w:hAnsi="Arial" w:cs="Arial"/>
                <w:color w:val="000000"/>
                <w:sz w:val="17"/>
                <w:szCs w:val="17"/>
              </w:rPr>
            </w:pPr>
          </w:p>
        </w:tc>
        <w:tc>
          <w:tcPr>
            <w:tcW w:w="534" w:type="pct"/>
            <w:tcBorders>
              <w:top w:val="single" w:sz="12" w:space="0" w:color="auto"/>
              <w:left w:val="nil"/>
              <w:right w:val="nil"/>
            </w:tcBorders>
            <w:shd w:val="clear" w:color="auto" w:fill="auto"/>
            <w:vAlign w:val="bottom"/>
          </w:tcPr>
          <w:p w14:paraId="5DAB5D2A" w14:textId="77777777" w:rsidR="004E2F51" w:rsidRPr="005B35F4" w:rsidRDefault="004E2F51" w:rsidP="00E032FC">
            <w:pPr>
              <w:jc w:val="right"/>
              <w:rPr>
                <w:rFonts w:ascii="Arial" w:hAnsi="Arial" w:cs="Arial"/>
                <w:color w:val="000000"/>
                <w:sz w:val="17"/>
                <w:szCs w:val="17"/>
              </w:rPr>
            </w:pPr>
          </w:p>
        </w:tc>
        <w:tc>
          <w:tcPr>
            <w:tcW w:w="528" w:type="pct"/>
            <w:tcBorders>
              <w:top w:val="single" w:sz="12" w:space="0" w:color="auto"/>
              <w:left w:val="nil"/>
              <w:right w:val="nil"/>
            </w:tcBorders>
            <w:shd w:val="clear" w:color="auto" w:fill="auto"/>
            <w:vAlign w:val="bottom"/>
          </w:tcPr>
          <w:p w14:paraId="1221F944" w14:textId="77777777" w:rsidR="004E2F51" w:rsidRPr="005B35F4" w:rsidRDefault="004E2F51" w:rsidP="00E032FC">
            <w:pPr>
              <w:jc w:val="right"/>
              <w:rPr>
                <w:rFonts w:ascii="Arial" w:hAnsi="Arial" w:cs="Arial"/>
                <w:color w:val="000000"/>
                <w:sz w:val="17"/>
                <w:szCs w:val="17"/>
              </w:rPr>
            </w:pPr>
          </w:p>
        </w:tc>
        <w:tc>
          <w:tcPr>
            <w:tcW w:w="538" w:type="pct"/>
            <w:tcBorders>
              <w:top w:val="single" w:sz="12" w:space="0" w:color="auto"/>
              <w:left w:val="nil"/>
              <w:right w:val="nil"/>
            </w:tcBorders>
            <w:shd w:val="clear" w:color="auto" w:fill="auto"/>
            <w:vAlign w:val="bottom"/>
          </w:tcPr>
          <w:p w14:paraId="3C64537C" w14:textId="77777777" w:rsidR="004E2F51" w:rsidRPr="005B35F4" w:rsidRDefault="004E2F51" w:rsidP="00E032FC">
            <w:pPr>
              <w:jc w:val="right"/>
              <w:rPr>
                <w:rFonts w:ascii="Arial" w:hAnsi="Arial" w:cs="Arial"/>
                <w:color w:val="000000"/>
                <w:sz w:val="17"/>
                <w:szCs w:val="17"/>
              </w:rPr>
            </w:pPr>
          </w:p>
        </w:tc>
        <w:tc>
          <w:tcPr>
            <w:tcW w:w="623" w:type="pct"/>
            <w:tcBorders>
              <w:top w:val="single" w:sz="12" w:space="0" w:color="auto"/>
              <w:left w:val="nil"/>
              <w:right w:val="nil"/>
            </w:tcBorders>
            <w:shd w:val="clear" w:color="auto" w:fill="auto"/>
            <w:vAlign w:val="bottom"/>
          </w:tcPr>
          <w:p w14:paraId="6FE39535" w14:textId="77777777" w:rsidR="004E2F51" w:rsidRPr="005B35F4" w:rsidRDefault="004E2F51" w:rsidP="00E032FC">
            <w:pPr>
              <w:jc w:val="right"/>
              <w:rPr>
                <w:rFonts w:ascii="Arial" w:hAnsi="Arial" w:cs="Arial"/>
                <w:color w:val="000000"/>
                <w:sz w:val="17"/>
                <w:szCs w:val="17"/>
              </w:rPr>
            </w:pPr>
          </w:p>
        </w:tc>
        <w:tc>
          <w:tcPr>
            <w:tcW w:w="593" w:type="pct"/>
            <w:tcBorders>
              <w:top w:val="single" w:sz="12" w:space="0" w:color="auto"/>
              <w:left w:val="nil"/>
              <w:right w:val="nil"/>
            </w:tcBorders>
            <w:shd w:val="clear" w:color="auto" w:fill="auto"/>
            <w:vAlign w:val="bottom"/>
          </w:tcPr>
          <w:p w14:paraId="08E0184E" w14:textId="77777777" w:rsidR="004E2F51" w:rsidRPr="005B35F4" w:rsidRDefault="004E2F51" w:rsidP="00E032FC">
            <w:pPr>
              <w:jc w:val="right"/>
              <w:rPr>
                <w:rFonts w:ascii="Arial" w:hAnsi="Arial" w:cs="Arial"/>
                <w:color w:val="000000"/>
                <w:sz w:val="17"/>
                <w:szCs w:val="17"/>
              </w:rPr>
            </w:pPr>
          </w:p>
        </w:tc>
      </w:tr>
      <w:tr w:rsidR="004E2F51" w:rsidRPr="005B35F4" w14:paraId="439902AF" w14:textId="77777777" w:rsidTr="00E032FC">
        <w:trPr>
          <w:trHeight w:val="229"/>
        </w:trPr>
        <w:tc>
          <w:tcPr>
            <w:tcW w:w="1637" w:type="pct"/>
            <w:tcBorders>
              <w:top w:val="nil"/>
              <w:left w:val="nil"/>
              <w:bottom w:val="nil"/>
              <w:right w:val="nil"/>
            </w:tcBorders>
            <w:shd w:val="clear" w:color="auto" w:fill="auto"/>
            <w:vAlign w:val="center"/>
          </w:tcPr>
          <w:p w14:paraId="63258F14" w14:textId="77777777" w:rsidR="004E2F51" w:rsidRPr="005B35F4" w:rsidRDefault="004E2F51" w:rsidP="00E032FC">
            <w:pPr>
              <w:pStyle w:val="Tot"/>
              <w:spacing w:line="220" w:lineRule="exact"/>
              <w:rPr>
                <w:rFonts w:eastAsia="Calibri" w:cs="Arial"/>
                <w:b/>
                <w:bCs/>
                <w:color w:val="000000" w:themeColor="text1"/>
                <w:spacing w:val="-2"/>
                <w:sz w:val="17"/>
                <w:szCs w:val="17"/>
                <w:lang w:val="hr-HR"/>
              </w:rPr>
            </w:pPr>
            <w:bookmarkStart w:id="1687" w:name="_Toc67330102"/>
            <w:r w:rsidRPr="005B35F4">
              <w:rPr>
                <w:rFonts w:cs="Arial"/>
                <w:b/>
                <w:bCs/>
                <w:color w:val="000000" w:themeColor="text1"/>
                <w:sz w:val="17"/>
                <w:szCs w:val="17"/>
                <w:lang w:val="hr-HR"/>
              </w:rPr>
              <w:t>Garancije i preuzete obveze</w:t>
            </w:r>
            <w:bookmarkEnd w:id="1687"/>
          </w:p>
        </w:tc>
        <w:tc>
          <w:tcPr>
            <w:tcW w:w="547" w:type="pct"/>
            <w:tcBorders>
              <w:top w:val="nil"/>
              <w:left w:val="nil"/>
              <w:bottom w:val="nil"/>
              <w:right w:val="nil"/>
            </w:tcBorders>
            <w:shd w:val="clear" w:color="auto" w:fill="auto"/>
            <w:vAlign w:val="bottom"/>
          </w:tcPr>
          <w:p w14:paraId="32EED998" w14:textId="77777777" w:rsidR="004E2F51" w:rsidRPr="005B35F4" w:rsidRDefault="004E2F51" w:rsidP="00E032FC">
            <w:pPr>
              <w:jc w:val="right"/>
              <w:rPr>
                <w:rFonts w:ascii="Arial" w:hAnsi="Arial" w:cs="Arial"/>
                <w:color w:val="000000"/>
                <w:sz w:val="17"/>
                <w:szCs w:val="17"/>
              </w:rPr>
            </w:pPr>
          </w:p>
        </w:tc>
        <w:tc>
          <w:tcPr>
            <w:tcW w:w="534" w:type="pct"/>
            <w:tcBorders>
              <w:top w:val="nil"/>
              <w:left w:val="nil"/>
              <w:bottom w:val="nil"/>
              <w:right w:val="nil"/>
            </w:tcBorders>
            <w:shd w:val="clear" w:color="auto" w:fill="auto"/>
            <w:vAlign w:val="bottom"/>
          </w:tcPr>
          <w:p w14:paraId="101E6234" w14:textId="77777777" w:rsidR="004E2F51" w:rsidRPr="005B35F4" w:rsidRDefault="004E2F51" w:rsidP="00E032FC">
            <w:pPr>
              <w:jc w:val="right"/>
              <w:rPr>
                <w:rFonts w:ascii="Arial" w:hAnsi="Arial" w:cs="Arial"/>
                <w:color w:val="000000"/>
                <w:sz w:val="17"/>
                <w:szCs w:val="17"/>
              </w:rPr>
            </w:pPr>
          </w:p>
        </w:tc>
        <w:tc>
          <w:tcPr>
            <w:tcW w:w="528" w:type="pct"/>
            <w:tcBorders>
              <w:top w:val="nil"/>
              <w:left w:val="nil"/>
              <w:bottom w:val="nil"/>
              <w:right w:val="nil"/>
            </w:tcBorders>
            <w:shd w:val="clear" w:color="auto" w:fill="auto"/>
            <w:vAlign w:val="bottom"/>
          </w:tcPr>
          <w:p w14:paraId="78AA3164" w14:textId="77777777" w:rsidR="004E2F51" w:rsidRPr="005B35F4" w:rsidRDefault="004E2F51" w:rsidP="00E032FC">
            <w:pPr>
              <w:jc w:val="right"/>
              <w:rPr>
                <w:rFonts w:ascii="Arial" w:hAnsi="Arial" w:cs="Arial"/>
                <w:color w:val="000000"/>
                <w:sz w:val="17"/>
                <w:szCs w:val="17"/>
              </w:rPr>
            </w:pPr>
          </w:p>
        </w:tc>
        <w:tc>
          <w:tcPr>
            <w:tcW w:w="538" w:type="pct"/>
            <w:tcBorders>
              <w:top w:val="nil"/>
              <w:left w:val="nil"/>
              <w:bottom w:val="nil"/>
              <w:right w:val="nil"/>
            </w:tcBorders>
            <w:shd w:val="clear" w:color="auto" w:fill="auto"/>
            <w:vAlign w:val="bottom"/>
          </w:tcPr>
          <w:p w14:paraId="3435B4A0" w14:textId="77777777" w:rsidR="004E2F51" w:rsidRPr="005B35F4" w:rsidRDefault="004E2F51" w:rsidP="00E032FC">
            <w:pPr>
              <w:jc w:val="right"/>
              <w:rPr>
                <w:rFonts w:ascii="Arial" w:hAnsi="Arial" w:cs="Arial"/>
                <w:color w:val="000000"/>
                <w:sz w:val="17"/>
                <w:szCs w:val="17"/>
              </w:rPr>
            </w:pPr>
          </w:p>
        </w:tc>
        <w:tc>
          <w:tcPr>
            <w:tcW w:w="623" w:type="pct"/>
            <w:tcBorders>
              <w:top w:val="nil"/>
              <w:left w:val="nil"/>
              <w:bottom w:val="nil"/>
              <w:right w:val="nil"/>
            </w:tcBorders>
            <w:shd w:val="clear" w:color="auto" w:fill="auto"/>
            <w:vAlign w:val="bottom"/>
          </w:tcPr>
          <w:p w14:paraId="0B5F3C2A" w14:textId="77777777" w:rsidR="004E2F51" w:rsidRPr="005B35F4" w:rsidRDefault="004E2F51" w:rsidP="00E032FC">
            <w:pPr>
              <w:jc w:val="right"/>
              <w:rPr>
                <w:rFonts w:ascii="Arial" w:hAnsi="Arial" w:cs="Arial"/>
                <w:color w:val="000000"/>
                <w:sz w:val="17"/>
                <w:szCs w:val="17"/>
              </w:rPr>
            </w:pPr>
          </w:p>
        </w:tc>
        <w:tc>
          <w:tcPr>
            <w:tcW w:w="593" w:type="pct"/>
            <w:tcBorders>
              <w:top w:val="nil"/>
              <w:left w:val="nil"/>
              <w:bottom w:val="nil"/>
              <w:right w:val="nil"/>
            </w:tcBorders>
            <w:shd w:val="clear" w:color="auto" w:fill="auto"/>
            <w:vAlign w:val="bottom"/>
          </w:tcPr>
          <w:p w14:paraId="5F93C929" w14:textId="77777777" w:rsidR="004E2F51" w:rsidRPr="005B35F4" w:rsidRDefault="004E2F51" w:rsidP="00E032FC">
            <w:pPr>
              <w:jc w:val="right"/>
              <w:rPr>
                <w:rFonts w:ascii="Arial" w:hAnsi="Arial" w:cs="Arial"/>
                <w:color w:val="000000"/>
                <w:sz w:val="17"/>
                <w:szCs w:val="17"/>
              </w:rPr>
            </w:pPr>
          </w:p>
        </w:tc>
      </w:tr>
      <w:tr w:rsidR="004E2F51" w:rsidRPr="005B35F4" w14:paraId="47B42C7D" w14:textId="77777777" w:rsidTr="00E032FC">
        <w:trPr>
          <w:trHeight w:val="229"/>
        </w:trPr>
        <w:tc>
          <w:tcPr>
            <w:tcW w:w="1637" w:type="pct"/>
            <w:tcBorders>
              <w:top w:val="nil"/>
              <w:left w:val="nil"/>
              <w:bottom w:val="nil"/>
              <w:right w:val="nil"/>
            </w:tcBorders>
            <w:shd w:val="clear" w:color="auto" w:fill="auto"/>
            <w:vAlign w:val="center"/>
          </w:tcPr>
          <w:p w14:paraId="6008D6C7" w14:textId="77777777" w:rsidR="004E2F51" w:rsidRPr="005B35F4" w:rsidRDefault="004E2F51" w:rsidP="00E032FC">
            <w:pPr>
              <w:pStyle w:val="Tot"/>
              <w:spacing w:line="220" w:lineRule="exact"/>
              <w:rPr>
                <w:rFonts w:eastAsia="Calibri" w:cs="Arial"/>
                <w:b/>
                <w:bCs/>
                <w:color w:val="000000" w:themeColor="text1"/>
                <w:spacing w:val="-2"/>
                <w:sz w:val="17"/>
                <w:szCs w:val="17"/>
                <w:lang w:val="hr-HR"/>
              </w:rPr>
            </w:pPr>
            <w:bookmarkStart w:id="1688" w:name="_Toc67330103"/>
            <w:r w:rsidRPr="005B35F4">
              <w:rPr>
                <w:rFonts w:cs="Arial"/>
                <w:color w:val="000000" w:themeColor="text1"/>
                <w:sz w:val="17"/>
                <w:szCs w:val="17"/>
                <w:lang w:val="hr-HR"/>
              </w:rPr>
              <w:t>Izdane garancije u kunama</w:t>
            </w:r>
            <w:bookmarkEnd w:id="1688"/>
          </w:p>
        </w:tc>
        <w:tc>
          <w:tcPr>
            <w:tcW w:w="547" w:type="pct"/>
            <w:tcBorders>
              <w:top w:val="nil"/>
              <w:left w:val="nil"/>
              <w:bottom w:val="nil"/>
              <w:right w:val="nil"/>
            </w:tcBorders>
            <w:shd w:val="clear" w:color="auto" w:fill="auto"/>
            <w:vAlign w:val="bottom"/>
          </w:tcPr>
          <w:p w14:paraId="4E247D03"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115.427 </w:t>
            </w:r>
          </w:p>
        </w:tc>
        <w:tc>
          <w:tcPr>
            <w:tcW w:w="534" w:type="pct"/>
            <w:tcBorders>
              <w:top w:val="nil"/>
              <w:left w:val="nil"/>
              <w:bottom w:val="nil"/>
              <w:right w:val="nil"/>
            </w:tcBorders>
            <w:shd w:val="clear" w:color="auto" w:fill="auto"/>
            <w:vAlign w:val="bottom"/>
          </w:tcPr>
          <w:p w14:paraId="68DCCB6E"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79753803"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20F2D15D"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1E56A372"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7CC90AE7"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115.427 </w:t>
            </w:r>
          </w:p>
        </w:tc>
      </w:tr>
      <w:tr w:rsidR="004E2F51" w:rsidRPr="005B35F4" w14:paraId="0444CC47" w14:textId="77777777" w:rsidTr="00E032FC">
        <w:trPr>
          <w:trHeight w:val="229"/>
        </w:trPr>
        <w:tc>
          <w:tcPr>
            <w:tcW w:w="1637" w:type="pct"/>
            <w:tcBorders>
              <w:top w:val="nil"/>
              <w:left w:val="nil"/>
              <w:bottom w:val="nil"/>
              <w:right w:val="nil"/>
            </w:tcBorders>
            <w:shd w:val="clear" w:color="auto" w:fill="auto"/>
            <w:vAlign w:val="center"/>
          </w:tcPr>
          <w:p w14:paraId="661B98E4" w14:textId="77777777" w:rsidR="004E2F51" w:rsidRPr="005B35F4" w:rsidRDefault="004E2F51" w:rsidP="00E032FC">
            <w:pPr>
              <w:pStyle w:val="Tot"/>
              <w:spacing w:line="220" w:lineRule="exact"/>
              <w:rPr>
                <w:rFonts w:eastAsia="Calibri" w:cs="Arial"/>
                <w:b/>
                <w:bCs/>
                <w:color w:val="000000" w:themeColor="text1"/>
                <w:spacing w:val="-2"/>
                <w:sz w:val="17"/>
                <w:szCs w:val="17"/>
                <w:lang w:val="hr-HR"/>
              </w:rPr>
            </w:pPr>
            <w:bookmarkStart w:id="1689" w:name="_Toc67330104"/>
            <w:r w:rsidRPr="005B35F4">
              <w:rPr>
                <w:rFonts w:cs="Arial"/>
                <w:color w:val="000000" w:themeColor="text1"/>
                <w:sz w:val="17"/>
                <w:szCs w:val="17"/>
                <w:lang w:val="hr-HR"/>
              </w:rPr>
              <w:t>Izdane garancije u devizama</w:t>
            </w:r>
            <w:bookmarkEnd w:id="1689"/>
          </w:p>
        </w:tc>
        <w:tc>
          <w:tcPr>
            <w:tcW w:w="547" w:type="pct"/>
            <w:tcBorders>
              <w:top w:val="nil"/>
              <w:left w:val="nil"/>
              <w:bottom w:val="nil"/>
              <w:right w:val="nil"/>
            </w:tcBorders>
            <w:shd w:val="clear" w:color="auto" w:fill="auto"/>
            <w:vAlign w:val="bottom"/>
          </w:tcPr>
          <w:p w14:paraId="4BC548BB"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194.098 </w:t>
            </w:r>
          </w:p>
        </w:tc>
        <w:tc>
          <w:tcPr>
            <w:tcW w:w="534" w:type="pct"/>
            <w:tcBorders>
              <w:top w:val="nil"/>
              <w:left w:val="nil"/>
              <w:bottom w:val="nil"/>
              <w:right w:val="nil"/>
            </w:tcBorders>
            <w:shd w:val="clear" w:color="auto" w:fill="auto"/>
            <w:vAlign w:val="bottom"/>
          </w:tcPr>
          <w:p w14:paraId="6A8408F8"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66590688"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005C7397"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75CB15B5"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0B0CC741"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194.098 </w:t>
            </w:r>
          </w:p>
        </w:tc>
      </w:tr>
      <w:tr w:rsidR="004E2F51" w:rsidRPr="005B35F4" w14:paraId="15CA57A8" w14:textId="77777777" w:rsidTr="00E032FC">
        <w:trPr>
          <w:trHeight w:val="229"/>
        </w:trPr>
        <w:tc>
          <w:tcPr>
            <w:tcW w:w="1637" w:type="pct"/>
            <w:tcBorders>
              <w:top w:val="nil"/>
              <w:left w:val="nil"/>
              <w:bottom w:val="nil"/>
              <w:right w:val="nil"/>
            </w:tcBorders>
            <w:shd w:val="clear" w:color="auto" w:fill="auto"/>
            <w:vAlign w:val="center"/>
          </w:tcPr>
          <w:p w14:paraId="5E5D7417" w14:textId="77777777" w:rsidR="004E2F51" w:rsidRPr="005B35F4" w:rsidRDefault="004E2F51" w:rsidP="00E032FC">
            <w:pPr>
              <w:pStyle w:val="Tot"/>
              <w:spacing w:line="220" w:lineRule="exact"/>
              <w:rPr>
                <w:rFonts w:cs="Arial"/>
                <w:color w:val="000000" w:themeColor="text1"/>
                <w:sz w:val="17"/>
                <w:szCs w:val="17"/>
                <w:lang w:val="hr-HR"/>
              </w:rPr>
            </w:pPr>
            <w:r w:rsidRPr="00F629B8">
              <w:rPr>
                <w:rFonts w:cs="Arial"/>
                <w:color w:val="000000" w:themeColor="text1"/>
                <w:sz w:val="17"/>
                <w:szCs w:val="17"/>
                <w:lang w:val="hr-HR"/>
              </w:rPr>
              <w:t>Otvoreni akreditivi u devizama</w:t>
            </w:r>
          </w:p>
        </w:tc>
        <w:tc>
          <w:tcPr>
            <w:tcW w:w="547" w:type="pct"/>
            <w:tcBorders>
              <w:top w:val="nil"/>
              <w:left w:val="nil"/>
              <w:bottom w:val="nil"/>
              <w:right w:val="nil"/>
            </w:tcBorders>
            <w:shd w:val="clear" w:color="auto" w:fill="auto"/>
            <w:vAlign w:val="bottom"/>
          </w:tcPr>
          <w:p w14:paraId="423B8E51"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1.243 </w:t>
            </w:r>
          </w:p>
        </w:tc>
        <w:tc>
          <w:tcPr>
            <w:tcW w:w="534" w:type="pct"/>
            <w:tcBorders>
              <w:top w:val="nil"/>
              <w:left w:val="nil"/>
              <w:bottom w:val="nil"/>
              <w:right w:val="nil"/>
            </w:tcBorders>
            <w:shd w:val="clear" w:color="auto" w:fill="auto"/>
            <w:vAlign w:val="bottom"/>
          </w:tcPr>
          <w:p w14:paraId="01CF8BDA"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1234D62E"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10096E18"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54D14EDB"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7CCB13FA"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1.243 </w:t>
            </w:r>
          </w:p>
        </w:tc>
      </w:tr>
      <w:tr w:rsidR="004E2F51" w:rsidRPr="005B35F4" w14:paraId="3284940D" w14:textId="77777777" w:rsidTr="00E032FC">
        <w:trPr>
          <w:trHeight w:val="229"/>
        </w:trPr>
        <w:tc>
          <w:tcPr>
            <w:tcW w:w="1637" w:type="pct"/>
            <w:tcBorders>
              <w:top w:val="nil"/>
              <w:left w:val="nil"/>
              <w:bottom w:val="nil"/>
              <w:right w:val="nil"/>
            </w:tcBorders>
            <w:shd w:val="clear" w:color="auto" w:fill="auto"/>
            <w:vAlign w:val="center"/>
          </w:tcPr>
          <w:p w14:paraId="0E9188FF" w14:textId="77777777" w:rsidR="004E2F51" w:rsidRPr="005B35F4" w:rsidRDefault="004E2F51" w:rsidP="00E032FC">
            <w:pPr>
              <w:pStyle w:val="Tot"/>
              <w:spacing w:line="220" w:lineRule="exact"/>
              <w:rPr>
                <w:rFonts w:eastAsia="Calibri" w:cs="Arial"/>
                <w:b/>
                <w:bCs/>
                <w:color w:val="000000" w:themeColor="text1"/>
                <w:spacing w:val="-2"/>
                <w:sz w:val="17"/>
                <w:szCs w:val="17"/>
                <w:lang w:val="hr-HR"/>
              </w:rPr>
            </w:pPr>
            <w:bookmarkStart w:id="1690" w:name="_Toc67330106"/>
            <w:r w:rsidRPr="005B35F4">
              <w:rPr>
                <w:rFonts w:cs="Arial"/>
                <w:color w:val="000000" w:themeColor="text1"/>
                <w:sz w:val="17"/>
                <w:szCs w:val="17"/>
                <w:lang w:val="hr-HR"/>
              </w:rPr>
              <w:t>Preuzete obveze po kreditima</w:t>
            </w:r>
            <w:bookmarkEnd w:id="1690"/>
          </w:p>
        </w:tc>
        <w:tc>
          <w:tcPr>
            <w:tcW w:w="547" w:type="pct"/>
            <w:tcBorders>
              <w:top w:val="nil"/>
              <w:left w:val="nil"/>
              <w:bottom w:val="nil"/>
              <w:right w:val="nil"/>
            </w:tcBorders>
            <w:shd w:val="clear" w:color="auto" w:fill="auto"/>
            <w:vAlign w:val="bottom"/>
          </w:tcPr>
          <w:p w14:paraId="004164A0"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2.668.118 </w:t>
            </w:r>
          </w:p>
        </w:tc>
        <w:tc>
          <w:tcPr>
            <w:tcW w:w="534" w:type="pct"/>
            <w:tcBorders>
              <w:top w:val="nil"/>
              <w:left w:val="nil"/>
              <w:bottom w:val="nil"/>
              <w:right w:val="nil"/>
            </w:tcBorders>
            <w:shd w:val="clear" w:color="auto" w:fill="auto"/>
            <w:vAlign w:val="bottom"/>
          </w:tcPr>
          <w:p w14:paraId="67BDF443"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7D5099A3"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1822EEA4"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0F29B6C3"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4E551E9F"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2.668.118 </w:t>
            </w:r>
          </w:p>
        </w:tc>
      </w:tr>
      <w:tr w:rsidR="004E2F51" w:rsidRPr="005B35F4" w14:paraId="18ACEB11" w14:textId="77777777" w:rsidTr="00E032FC">
        <w:trPr>
          <w:trHeight w:val="229"/>
        </w:trPr>
        <w:tc>
          <w:tcPr>
            <w:tcW w:w="1637" w:type="pct"/>
            <w:tcBorders>
              <w:top w:val="nil"/>
              <w:left w:val="nil"/>
              <w:bottom w:val="nil"/>
              <w:right w:val="nil"/>
            </w:tcBorders>
            <w:shd w:val="clear" w:color="auto" w:fill="auto"/>
            <w:vAlign w:val="bottom"/>
          </w:tcPr>
          <w:p w14:paraId="23308BD8" w14:textId="77777777" w:rsidR="004E2F51" w:rsidRPr="005B35F4" w:rsidRDefault="004E2F51" w:rsidP="00E032FC">
            <w:pPr>
              <w:pStyle w:val="Tot"/>
              <w:spacing w:line="220" w:lineRule="exact"/>
              <w:rPr>
                <w:rFonts w:cs="Arial"/>
                <w:color w:val="000000" w:themeColor="text1"/>
                <w:sz w:val="17"/>
                <w:szCs w:val="17"/>
                <w:lang w:val="hr-HR"/>
              </w:rPr>
            </w:pPr>
            <w:bookmarkStart w:id="1691" w:name="_Toc67330107"/>
            <w:r w:rsidRPr="005B35F4">
              <w:rPr>
                <w:rFonts w:cs="Arial"/>
                <w:color w:val="000000" w:themeColor="text1"/>
                <w:sz w:val="17"/>
                <w:szCs w:val="17"/>
                <w:lang w:val="hr-HR"/>
              </w:rPr>
              <w:t>Upisani a neuplaćeni kapital EIF-a</w:t>
            </w:r>
            <w:bookmarkEnd w:id="1691"/>
          </w:p>
        </w:tc>
        <w:tc>
          <w:tcPr>
            <w:tcW w:w="547" w:type="pct"/>
            <w:tcBorders>
              <w:top w:val="nil"/>
              <w:left w:val="nil"/>
              <w:bottom w:val="nil"/>
              <w:right w:val="nil"/>
            </w:tcBorders>
            <w:shd w:val="clear" w:color="auto" w:fill="auto"/>
            <w:vAlign w:val="bottom"/>
          </w:tcPr>
          <w:p w14:paraId="18719E22" w14:textId="77777777" w:rsidR="004E2F51" w:rsidRPr="005B35F4" w:rsidRDefault="004E2F51" w:rsidP="00E032FC">
            <w:pPr>
              <w:jc w:val="right"/>
              <w:rPr>
                <w:rFonts w:ascii="Arial" w:hAnsi="Arial" w:cs="Arial"/>
                <w:color w:val="000000"/>
                <w:sz w:val="17"/>
                <w:szCs w:val="17"/>
              </w:rPr>
            </w:pPr>
            <w:r w:rsidRPr="0002282A">
              <w:rPr>
                <w:rFonts w:ascii="Arial" w:hAnsi="Arial" w:cs="Arial"/>
                <w:color w:val="000000"/>
                <w:sz w:val="17"/>
                <w:szCs w:val="17"/>
                <w:lang w:val="it-IT"/>
              </w:rPr>
              <w:t xml:space="preserve"> </w:t>
            </w:r>
            <w:r w:rsidRPr="00F629B8">
              <w:rPr>
                <w:rFonts w:ascii="Arial" w:hAnsi="Arial" w:cs="Arial"/>
                <w:color w:val="000000"/>
                <w:sz w:val="17"/>
                <w:szCs w:val="17"/>
              </w:rPr>
              <w:t xml:space="preserve">78.358 </w:t>
            </w:r>
          </w:p>
        </w:tc>
        <w:tc>
          <w:tcPr>
            <w:tcW w:w="534" w:type="pct"/>
            <w:tcBorders>
              <w:top w:val="nil"/>
              <w:left w:val="nil"/>
              <w:bottom w:val="nil"/>
              <w:right w:val="nil"/>
            </w:tcBorders>
            <w:shd w:val="clear" w:color="auto" w:fill="auto"/>
            <w:vAlign w:val="bottom"/>
          </w:tcPr>
          <w:p w14:paraId="59CC4ED3"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28" w:type="pct"/>
            <w:tcBorders>
              <w:top w:val="nil"/>
              <w:left w:val="nil"/>
              <w:bottom w:val="nil"/>
              <w:right w:val="nil"/>
            </w:tcBorders>
            <w:shd w:val="clear" w:color="auto" w:fill="auto"/>
            <w:vAlign w:val="bottom"/>
          </w:tcPr>
          <w:p w14:paraId="0DF8D1A4"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38" w:type="pct"/>
            <w:tcBorders>
              <w:top w:val="nil"/>
              <w:left w:val="nil"/>
              <w:bottom w:val="nil"/>
              <w:right w:val="nil"/>
            </w:tcBorders>
            <w:shd w:val="clear" w:color="auto" w:fill="auto"/>
            <w:vAlign w:val="bottom"/>
          </w:tcPr>
          <w:p w14:paraId="1D8F4404"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23" w:type="pct"/>
            <w:tcBorders>
              <w:top w:val="nil"/>
              <w:left w:val="nil"/>
              <w:bottom w:val="nil"/>
              <w:right w:val="nil"/>
            </w:tcBorders>
            <w:shd w:val="clear" w:color="auto" w:fill="auto"/>
            <w:vAlign w:val="bottom"/>
          </w:tcPr>
          <w:p w14:paraId="1C311337"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93" w:type="pct"/>
            <w:tcBorders>
              <w:top w:val="nil"/>
              <w:left w:val="nil"/>
              <w:bottom w:val="nil"/>
              <w:right w:val="nil"/>
            </w:tcBorders>
            <w:shd w:val="clear" w:color="auto" w:fill="auto"/>
            <w:vAlign w:val="bottom"/>
          </w:tcPr>
          <w:p w14:paraId="21BADC94"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78.358 </w:t>
            </w:r>
          </w:p>
        </w:tc>
      </w:tr>
      <w:tr w:rsidR="004E2F51" w:rsidRPr="005B35F4" w14:paraId="7CDF6BF3" w14:textId="77777777" w:rsidTr="00E032FC">
        <w:trPr>
          <w:trHeight w:val="229"/>
        </w:trPr>
        <w:tc>
          <w:tcPr>
            <w:tcW w:w="1637" w:type="pct"/>
            <w:tcBorders>
              <w:top w:val="nil"/>
              <w:left w:val="nil"/>
              <w:bottom w:val="nil"/>
              <w:right w:val="nil"/>
            </w:tcBorders>
            <w:shd w:val="clear" w:color="auto" w:fill="auto"/>
          </w:tcPr>
          <w:p w14:paraId="3CC2A1B9" w14:textId="77777777" w:rsidR="004E2F51" w:rsidRPr="005B35F4" w:rsidRDefault="004E2F51" w:rsidP="00E032FC">
            <w:pPr>
              <w:pStyle w:val="Tot"/>
              <w:spacing w:line="220" w:lineRule="exact"/>
              <w:rPr>
                <w:rFonts w:cs="Arial"/>
                <w:color w:val="000000" w:themeColor="text1"/>
                <w:sz w:val="17"/>
                <w:szCs w:val="17"/>
                <w:lang w:val="hr-HR"/>
              </w:rPr>
            </w:pPr>
            <w:bookmarkStart w:id="1692" w:name="_Toc67330108"/>
            <w:r w:rsidRPr="005B35F4">
              <w:rPr>
                <w:rFonts w:cs="Arial"/>
                <w:color w:val="000000" w:themeColor="text1"/>
                <w:sz w:val="17"/>
                <w:szCs w:val="17"/>
                <w:lang w:val="hr-HR"/>
              </w:rPr>
              <w:t>Ugovorena obveza EIF CROGIP</w:t>
            </w:r>
            <w:bookmarkEnd w:id="1692"/>
          </w:p>
        </w:tc>
        <w:tc>
          <w:tcPr>
            <w:tcW w:w="547" w:type="pct"/>
            <w:tcBorders>
              <w:top w:val="nil"/>
              <w:left w:val="nil"/>
              <w:bottom w:val="nil"/>
              <w:right w:val="nil"/>
            </w:tcBorders>
            <w:shd w:val="clear" w:color="auto" w:fill="auto"/>
            <w:vAlign w:val="bottom"/>
          </w:tcPr>
          <w:p w14:paraId="11C3190A"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34" w:type="pct"/>
            <w:tcBorders>
              <w:top w:val="nil"/>
              <w:left w:val="nil"/>
              <w:bottom w:val="nil"/>
              <w:right w:val="nil"/>
            </w:tcBorders>
            <w:shd w:val="clear" w:color="auto" w:fill="auto"/>
            <w:vAlign w:val="bottom"/>
          </w:tcPr>
          <w:p w14:paraId="04A45E84"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19.328 </w:t>
            </w:r>
          </w:p>
        </w:tc>
        <w:tc>
          <w:tcPr>
            <w:tcW w:w="528" w:type="pct"/>
            <w:tcBorders>
              <w:top w:val="nil"/>
              <w:left w:val="nil"/>
              <w:bottom w:val="nil"/>
              <w:right w:val="nil"/>
            </w:tcBorders>
            <w:shd w:val="clear" w:color="auto" w:fill="auto"/>
            <w:vAlign w:val="bottom"/>
          </w:tcPr>
          <w:p w14:paraId="30CAA52D"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57.984 </w:t>
            </w:r>
          </w:p>
        </w:tc>
        <w:tc>
          <w:tcPr>
            <w:tcW w:w="538" w:type="pct"/>
            <w:tcBorders>
              <w:top w:val="nil"/>
              <w:left w:val="nil"/>
              <w:bottom w:val="nil"/>
              <w:right w:val="nil"/>
            </w:tcBorders>
            <w:shd w:val="clear" w:color="auto" w:fill="auto"/>
            <w:vAlign w:val="bottom"/>
          </w:tcPr>
          <w:p w14:paraId="692F842A"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106.244 </w:t>
            </w:r>
          </w:p>
        </w:tc>
        <w:tc>
          <w:tcPr>
            <w:tcW w:w="623" w:type="pct"/>
            <w:tcBorders>
              <w:top w:val="nil"/>
              <w:left w:val="nil"/>
              <w:bottom w:val="nil"/>
              <w:right w:val="nil"/>
            </w:tcBorders>
            <w:shd w:val="clear" w:color="auto" w:fill="auto"/>
            <w:vAlign w:val="bottom"/>
          </w:tcPr>
          <w:p w14:paraId="5EEE30C6"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89.768 </w:t>
            </w:r>
          </w:p>
        </w:tc>
        <w:tc>
          <w:tcPr>
            <w:tcW w:w="593" w:type="pct"/>
            <w:tcBorders>
              <w:top w:val="nil"/>
              <w:left w:val="nil"/>
              <w:bottom w:val="nil"/>
              <w:right w:val="nil"/>
            </w:tcBorders>
            <w:shd w:val="clear" w:color="auto" w:fill="auto"/>
            <w:vAlign w:val="bottom"/>
          </w:tcPr>
          <w:p w14:paraId="72D1FCE2"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273.324 </w:t>
            </w:r>
          </w:p>
        </w:tc>
      </w:tr>
      <w:tr w:rsidR="004E2F51" w:rsidRPr="005B35F4" w14:paraId="3D7C9C1C" w14:textId="77777777" w:rsidTr="00E032FC">
        <w:trPr>
          <w:trHeight w:val="229"/>
        </w:trPr>
        <w:tc>
          <w:tcPr>
            <w:tcW w:w="1637" w:type="pct"/>
            <w:tcBorders>
              <w:top w:val="nil"/>
              <w:left w:val="nil"/>
              <w:bottom w:val="nil"/>
              <w:right w:val="nil"/>
            </w:tcBorders>
            <w:shd w:val="clear" w:color="auto" w:fill="auto"/>
          </w:tcPr>
          <w:p w14:paraId="223D413D" w14:textId="77777777" w:rsidR="004E2F51" w:rsidRPr="005B35F4" w:rsidRDefault="004E2F51" w:rsidP="00E032FC">
            <w:pPr>
              <w:pStyle w:val="Tot"/>
              <w:spacing w:line="220" w:lineRule="exact"/>
              <w:rPr>
                <w:rFonts w:cs="Arial"/>
                <w:color w:val="000000" w:themeColor="text1"/>
                <w:sz w:val="17"/>
                <w:szCs w:val="17"/>
                <w:lang w:val="hr-HR"/>
              </w:rPr>
            </w:pPr>
            <w:bookmarkStart w:id="1693" w:name="_Toc67330109"/>
            <w:r w:rsidRPr="005B35F4">
              <w:rPr>
                <w:rFonts w:cs="Arial"/>
                <w:color w:val="000000" w:themeColor="text1"/>
                <w:sz w:val="17"/>
                <w:szCs w:val="17"/>
                <w:lang w:val="hr-HR"/>
              </w:rPr>
              <w:t>Ugovorena obveza EIF FRC2</w:t>
            </w:r>
            <w:bookmarkEnd w:id="1693"/>
          </w:p>
        </w:tc>
        <w:tc>
          <w:tcPr>
            <w:tcW w:w="547" w:type="pct"/>
            <w:tcBorders>
              <w:top w:val="nil"/>
              <w:left w:val="nil"/>
              <w:bottom w:val="single" w:sz="8" w:space="0" w:color="auto"/>
              <w:right w:val="nil"/>
            </w:tcBorders>
            <w:shd w:val="clear" w:color="auto" w:fill="auto"/>
            <w:vAlign w:val="bottom"/>
          </w:tcPr>
          <w:p w14:paraId="22FC93A9"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366 </w:t>
            </w:r>
          </w:p>
        </w:tc>
        <w:tc>
          <w:tcPr>
            <w:tcW w:w="534" w:type="pct"/>
            <w:tcBorders>
              <w:top w:val="nil"/>
              <w:left w:val="nil"/>
              <w:bottom w:val="single" w:sz="8" w:space="0" w:color="auto"/>
              <w:right w:val="nil"/>
            </w:tcBorders>
            <w:shd w:val="clear" w:color="auto" w:fill="auto"/>
            <w:vAlign w:val="bottom"/>
          </w:tcPr>
          <w:p w14:paraId="4EB96D58"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410 </w:t>
            </w:r>
          </w:p>
        </w:tc>
        <w:tc>
          <w:tcPr>
            <w:tcW w:w="528" w:type="pct"/>
            <w:tcBorders>
              <w:top w:val="nil"/>
              <w:left w:val="nil"/>
              <w:bottom w:val="single" w:sz="8" w:space="0" w:color="auto"/>
              <w:right w:val="nil"/>
            </w:tcBorders>
            <w:shd w:val="clear" w:color="auto" w:fill="auto"/>
            <w:vAlign w:val="bottom"/>
          </w:tcPr>
          <w:p w14:paraId="3AA4B697"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1.846 </w:t>
            </w:r>
          </w:p>
        </w:tc>
        <w:tc>
          <w:tcPr>
            <w:tcW w:w="538" w:type="pct"/>
            <w:tcBorders>
              <w:top w:val="nil"/>
              <w:left w:val="nil"/>
              <w:bottom w:val="single" w:sz="8" w:space="0" w:color="auto"/>
              <w:right w:val="nil"/>
            </w:tcBorders>
            <w:shd w:val="clear" w:color="auto" w:fill="auto"/>
            <w:vAlign w:val="bottom"/>
          </w:tcPr>
          <w:p w14:paraId="5BFD8EBA"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294 </w:t>
            </w:r>
          </w:p>
        </w:tc>
        <w:tc>
          <w:tcPr>
            <w:tcW w:w="623" w:type="pct"/>
            <w:tcBorders>
              <w:top w:val="nil"/>
              <w:left w:val="nil"/>
              <w:bottom w:val="single" w:sz="8" w:space="0" w:color="auto"/>
              <w:right w:val="nil"/>
            </w:tcBorders>
            <w:shd w:val="clear" w:color="auto" w:fill="auto"/>
            <w:vAlign w:val="bottom"/>
          </w:tcPr>
          <w:p w14:paraId="2959678A"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121 </w:t>
            </w:r>
          </w:p>
        </w:tc>
        <w:tc>
          <w:tcPr>
            <w:tcW w:w="593" w:type="pct"/>
            <w:tcBorders>
              <w:top w:val="nil"/>
              <w:left w:val="nil"/>
              <w:bottom w:val="single" w:sz="8" w:space="0" w:color="auto"/>
              <w:right w:val="nil"/>
            </w:tcBorders>
            <w:shd w:val="clear" w:color="auto" w:fill="auto"/>
            <w:vAlign w:val="bottom"/>
          </w:tcPr>
          <w:p w14:paraId="65E5D72C"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3.037 </w:t>
            </w:r>
          </w:p>
        </w:tc>
      </w:tr>
      <w:tr w:rsidR="004E2F51" w:rsidRPr="005B35F4" w14:paraId="64F9BEC9" w14:textId="77777777" w:rsidTr="00E032FC">
        <w:trPr>
          <w:trHeight w:val="229"/>
        </w:trPr>
        <w:tc>
          <w:tcPr>
            <w:tcW w:w="1637" w:type="pct"/>
            <w:tcBorders>
              <w:top w:val="nil"/>
              <w:left w:val="nil"/>
              <w:bottom w:val="nil"/>
              <w:right w:val="nil"/>
            </w:tcBorders>
            <w:shd w:val="clear" w:color="auto" w:fill="auto"/>
            <w:vAlign w:val="center"/>
          </w:tcPr>
          <w:p w14:paraId="707DB1F0" w14:textId="77777777" w:rsidR="004E2F51" w:rsidRPr="005B35F4" w:rsidRDefault="004E2F51" w:rsidP="00E032FC">
            <w:pPr>
              <w:pStyle w:val="Tot"/>
              <w:spacing w:line="220" w:lineRule="exact"/>
              <w:rPr>
                <w:rFonts w:eastAsia="Calibri" w:cs="Arial"/>
                <w:b/>
                <w:bCs/>
                <w:color w:val="000000" w:themeColor="text1"/>
                <w:spacing w:val="-2"/>
                <w:sz w:val="17"/>
                <w:szCs w:val="17"/>
                <w:lang w:val="hr-HR"/>
              </w:rPr>
            </w:pPr>
            <w:bookmarkStart w:id="1694" w:name="_Toc67330110"/>
            <w:r w:rsidRPr="005B35F4">
              <w:rPr>
                <w:rFonts w:cs="Arial"/>
                <w:b/>
                <w:bCs/>
                <w:color w:val="000000" w:themeColor="text1"/>
                <w:sz w:val="17"/>
                <w:szCs w:val="17"/>
                <w:lang w:val="hr-HR"/>
              </w:rPr>
              <w:t>Ukupne garancije i preuzete obveze</w:t>
            </w:r>
            <w:bookmarkEnd w:id="1694"/>
          </w:p>
        </w:tc>
        <w:tc>
          <w:tcPr>
            <w:tcW w:w="547" w:type="pct"/>
            <w:tcBorders>
              <w:top w:val="single" w:sz="8" w:space="0" w:color="auto"/>
              <w:left w:val="nil"/>
              <w:bottom w:val="single" w:sz="12" w:space="0" w:color="auto"/>
              <w:right w:val="nil"/>
            </w:tcBorders>
            <w:shd w:val="clear" w:color="auto" w:fill="auto"/>
            <w:vAlign w:val="bottom"/>
          </w:tcPr>
          <w:p w14:paraId="2120473D" w14:textId="77777777" w:rsidR="004E2F51" w:rsidRPr="005B35F4" w:rsidRDefault="004E2F51" w:rsidP="00E032FC">
            <w:pPr>
              <w:jc w:val="right"/>
              <w:rPr>
                <w:rFonts w:ascii="Arial" w:hAnsi="Arial" w:cs="Arial"/>
                <w:b/>
                <w:bCs/>
                <w:color w:val="000000"/>
                <w:sz w:val="17"/>
                <w:szCs w:val="17"/>
              </w:rPr>
            </w:pPr>
            <w:r w:rsidRPr="0002282A">
              <w:rPr>
                <w:rFonts w:ascii="Arial" w:hAnsi="Arial" w:cs="Arial"/>
                <w:b/>
                <w:bCs/>
                <w:color w:val="000000"/>
                <w:sz w:val="17"/>
                <w:szCs w:val="17"/>
                <w:lang w:val="it-IT"/>
              </w:rPr>
              <w:t xml:space="preserve"> </w:t>
            </w:r>
            <w:r w:rsidRPr="00F629B8">
              <w:rPr>
                <w:rFonts w:ascii="Arial" w:hAnsi="Arial" w:cs="Arial"/>
                <w:b/>
                <w:bCs/>
                <w:color w:val="000000"/>
                <w:sz w:val="17"/>
                <w:szCs w:val="17"/>
              </w:rPr>
              <w:t xml:space="preserve">3.057.610 </w:t>
            </w:r>
          </w:p>
        </w:tc>
        <w:tc>
          <w:tcPr>
            <w:tcW w:w="534" w:type="pct"/>
            <w:tcBorders>
              <w:top w:val="single" w:sz="8" w:space="0" w:color="auto"/>
              <w:left w:val="nil"/>
              <w:bottom w:val="single" w:sz="12" w:space="0" w:color="auto"/>
              <w:right w:val="nil"/>
            </w:tcBorders>
            <w:shd w:val="clear" w:color="auto" w:fill="auto"/>
            <w:vAlign w:val="bottom"/>
          </w:tcPr>
          <w:p w14:paraId="6E59BD28"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19.738 </w:t>
            </w:r>
          </w:p>
        </w:tc>
        <w:tc>
          <w:tcPr>
            <w:tcW w:w="528" w:type="pct"/>
            <w:tcBorders>
              <w:top w:val="single" w:sz="8" w:space="0" w:color="auto"/>
              <w:left w:val="nil"/>
              <w:bottom w:val="single" w:sz="12" w:space="0" w:color="auto"/>
              <w:right w:val="nil"/>
            </w:tcBorders>
            <w:shd w:val="clear" w:color="auto" w:fill="auto"/>
            <w:vAlign w:val="bottom"/>
          </w:tcPr>
          <w:p w14:paraId="03BAAB1C"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59.830 </w:t>
            </w:r>
          </w:p>
        </w:tc>
        <w:tc>
          <w:tcPr>
            <w:tcW w:w="538" w:type="pct"/>
            <w:tcBorders>
              <w:top w:val="single" w:sz="8" w:space="0" w:color="auto"/>
              <w:left w:val="nil"/>
              <w:bottom w:val="single" w:sz="12" w:space="0" w:color="auto"/>
              <w:right w:val="nil"/>
            </w:tcBorders>
            <w:shd w:val="clear" w:color="auto" w:fill="auto"/>
            <w:vAlign w:val="bottom"/>
          </w:tcPr>
          <w:p w14:paraId="2B430327"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106.538 </w:t>
            </w:r>
          </w:p>
        </w:tc>
        <w:tc>
          <w:tcPr>
            <w:tcW w:w="623" w:type="pct"/>
            <w:tcBorders>
              <w:top w:val="single" w:sz="8" w:space="0" w:color="auto"/>
              <w:left w:val="nil"/>
              <w:bottom w:val="single" w:sz="12" w:space="0" w:color="auto"/>
              <w:right w:val="nil"/>
            </w:tcBorders>
            <w:shd w:val="clear" w:color="auto" w:fill="auto"/>
            <w:vAlign w:val="bottom"/>
          </w:tcPr>
          <w:p w14:paraId="44DCA890"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89.889 </w:t>
            </w:r>
          </w:p>
        </w:tc>
        <w:tc>
          <w:tcPr>
            <w:tcW w:w="593" w:type="pct"/>
            <w:tcBorders>
              <w:top w:val="single" w:sz="8" w:space="0" w:color="auto"/>
              <w:left w:val="nil"/>
              <w:bottom w:val="single" w:sz="12" w:space="0" w:color="auto"/>
              <w:right w:val="nil"/>
            </w:tcBorders>
            <w:shd w:val="clear" w:color="auto" w:fill="auto"/>
            <w:vAlign w:val="bottom"/>
          </w:tcPr>
          <w:p w14:paraId="603B7B65"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3.333.605 </w:t>
            </w:r>
          </w:p>
        </w:tc>
      </w:tr>
    </w:tbl>
    <w:p w14:paraId="5C1910D7" w14:textId="77777777" w:rsidR="004E2F51" w:rsidRPr="00100ED3" w:rsidRDefault="004E2F51" w:rsidP="004E2F51">
      <w:pPr>
        <w:pStyle w:val="accountingpolicytitle"/>
        <w:rPr>
          <w:rFonts w:cs="Arial"/>
          <w:b w:val="0"/>
          <w:bCs/>
          <w:color w:val="000000" w:themeColor="text1"/>
          <w:sz w:val="20"/>
          <w:lang w:val="hr-HR"/>
        </w:rPr>
      </w:pPr>
    </w:p>
    <w:p w14:paraId="48A7F08E" w14:textId="77777777" w:rsidR="004E2F51" w:rsidRDefault="004E2F51" w:rsidP="004E2F51">
      <w:pPr>
        <w:pStyle w:val="accountingpolicytitle"/>
        <w:rPr>
          <w:rFonts w:cs="Arial"/>
          <w:b w:val="0"/>
          <w:bCs/>
          <w:color w:val="000000" w:themeColor="text1"/>
          <w:sz w:val="20"/>
          <w:lang w:val="hr-HR"/>
        </w:rPr>
      </w:pPr>
    </w:p>
    <w:p w14:paraId="6DC4595D" w14:textId="77777777" w:rsidR="004E2F51" w:rsidRDefault="004E2F51" w:rsidP="004E2F51">
      <w:pPr>
        <w:pStyle w:val="accountingpolicytitle"/>
        <w:rPr>
          <w:rFonts w:cs="Arial"/>
          <w:b w:val="0"/>
          <w:bCs/>
          <w:color w:val="000000" w:themeColor="text1"/>
          <w:sz w:val="20"/>
          <w:lang w:val="hr-HR"/>
        </w:rPr>
      </w:pPr>
    </w:p>
    <w:p w14:paraId="20A54690" w14:textId="77777777" w:rsidR="004E2F51" w:rsidRPr="005B35F4" w:rsidRDefault="004E2F51" w:rsidP="004E2F51">
      <w:pPr>
        <w:pStyle w:val="accountingpolicytitle"/>
        <w:rPr>
          <w:rFonts w:cs="Arial"/>
          <w:b w:val="0"/>
          <w:i/>
          <w:color w:val="000000" w:themeColor="text1"/>
          <w:sz w:val="18"/>
          <w:szCs w:val="18"/>
          <w:lang w:val="hr-HR"/>
        </w:rPr>
      </w:pPr>
      <w:r w:rsidRPr="005B35F4">
        <w:rPr>
          <w:rFonts w:cs="Arial"/>
          <w:b w:val="0"/>
          <w:bCs/>
          <w:color w:val="000000" w:themeColor="text1"/>
          <w:sz w:val="18"/>
          <w:szCs w:val="18"/>
          <w:lang w:val="hr-HR"/>
        </w:rPr>
        <w:t>Stavke s neodređenim dospijećem iskazane su u razdoblju preko 3 godine.</w:t>
      </w:r>
      <w:r w:rsidRPr="005B35F4">
        <w:rPr>
          <w:rFonts w:cs="Arial"/>
          <w:b w:val="0"/>
          <w:i/>
          <w:color w:val="000000" w:themeColor="text1"/>
          <w:sz w:val="18"/>
          <w:szCs w:val="18"/>
          <w:lang w:val="hr-HR"/>
        </w:rPr>
        <w:t xml:space="preserve"> </w:t>
      </w:r>
    </w:p>
    <w:p w14:paraId="7F90CCDD" w14:textId="77777777" w:rsidR="004E2F51" w:rsidRPr="00100ED3" w:rsidRDefault="004E2F51" w:rsidP="004E2F51">
      <w:pPr>
        <w:pStyle w:val="accountingpolicytitle"/>
        <w:rPr>
          <w:rFonts w:cs="Arial"/>
          <w:b w:val="0"/>
          <w:i/>
          <w:color w:val="000000" w:themeColor="text1"/>
          <w:sz w:val="20"/>
          <w:lang w:val="hr-HR"/>
        </w:rPr>
      </w:pPr>
    </w:p>
    <w:p w14:paraId="71103038" w14:textId="77777777" w:rsidR="004E2F51" w:rsidRPr="00100ED3" w:rsidRDefault="004E2F51" w:rsidP="004E2F51">
      <w:pPr>
        <w:jc w:val="both"/>
        <w:rPr>
          <w:rFonts w:ascii="Arial" w:hAnsi="Arial" w:cs="Arial"/>
          <w:color w:val="000000" w:themeColor="text1"/>
          <w:sz w:val="18"/>
          <w:szCs w:val="18"/>
          <w:lang w:val="hr-HR"/>
        </w:rPr>
      </w:pPr>
      <w:r w:rsidRPr="00100ED3">
        <w:rPr>
          <w:rFonts w:ascii="Arial" w:eastAsia="Calibri" w:hAnsi="Arial" w:cs="Arial"/>
          <w:bCs/>
          <w:i/>
          <w:color w:val="000000" w:themeColor="text1"/>
          <w:sz w:val="18"/>
          <w:szCs w:val="18"/>
          <w:lang w:val="hr-HR"/>
        </w:rPr>
        <w:t xml:space="preserve">*Obračunata nedospjela kamata po kreditima raspoređena je u kategoriji od 1 do 3 mjeseca. </w:t>
      </w:r>
    </w:p>
    <w:p w14:paraId="1516D0F4" w14:textId="77777777" w:rsidR="004E2F51" w:rsidRPr="00100ED3" w:rsidRDefault="004E2F51" w:rsidP="004E2F51">
      <w:pPr>
        <w:pStyle w:val="T1"/>
        <w:spacing w:before="120" w:after="0"/>
        <w:ind w:right="-289"/>
        <w:rPr>
          <w:rFonts w:cs="Arial"/>
          <w:b w:val="0"/>
          <w:i/>
          <w:color w:val="000000" w:themeColor="text1"/>
          <w:sz w:val="20"/>
          <w:lang w:val="hr-HR"/>
        </w:rPr>
        <w:sectPr w:rsidR="004E2F51" w:rsidRPr="00100ED3" w:rsidSect="00623DBA">
          <w:footerReference w:type="default" r:id="rId203"/>
          <w:pgSz w:w="11907" w:h="16840" w:code="9"/>
          <w:pgMar w:top="1418" w:right="1134" w:bottom="1134" w:left="1418" w:header="851" w:footer="851" w:gutter="0"/>
          <w:cols w:space="720"/>
          <w:noEndnote/>
        </w:sectPr>
      </w:pPr>
    </w:p>
    <w:p w14:paraId="275AD6D1" w14:textId="77777777" w:rsidR="004E2F51" w:rsidRPr="00100ED3" w:rsidRDefault="004E2F51" w:rsidP="004E2F51">
      <w:pPr>
        <w:pStyle w:val="T1"/>
        <w:spacing w:before="0" w:after="0" w:line="240" w:lineRule="auto"/>
        <w:rPr>
          <w:rFonts w:cs="Arial"/>
          <w:color w:val="000000" w:themeColor="text1"/>
          <w:sz w:val="20"/>
          <w:lang w:val="hr-HR"/>
        </w:rPr>
      </w:pPr>
    </w:p>
    <w:p w14:paraId="62EFCFEA" w14:textId="77777777" w:rsidR="004E2F51" w:rsidRPr="00100ED3" w:rsidRDefault="004E2F51" w:rsidP="004E2F51">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Pr>
          <w:rFonts w:cs="Arial"/>
          <w:color w:val="000000" w:themeColor="text1"/>
          <w:sz w:val="20"/>
          <w:lang w:val="hr-HR"/>
        </w:rPr>
        <w:t>1</w:t>
      </w:r>
      <w:r w:rsidRPr="00100ED3">
        <w:rPr>
          <w:rFonts w:cs="Arial"/>
          <w:color w:val="000000" w:themeColor="text1"/>
          <w:sz w:val="20"/>
          <w:lang w:val="hr-HR"/>
        </w:rPr>
        <w:t>.</w:t>
      </w:r>
      <w:r w:rsidRPr="00100ED3">
        <w:rPr>
          <w:rFonts w:cs="Arial"/>
          <w:color w:val="000000" w:themeColor="text1"/>
          <w:sz w:val="20"/>
          <w:lang w:val="hr-HR"/>
        </w:rPr>
        <w:tab/>
        <w:t>Upravljanje rizicima (nastavak)</w:t>
      </w:r>
    </w:p>
    <w:p w14:paraId="2508227F" w14:textId="77777777" w:rsidR="004E2F51" w:rsidRPr="00100ED3" w:rsidRDefault="004E2F51" w:rsidP="004E2F51">
      <w:pPr>
        <w:pStyle w:val="T1"/>
        <w:spacing w:before="0" w:after="0" w:line="240" w:lineRule="auto"/>
        <w:rPr>
          <w:rFonts w:cs="Arial"/>
          <w:color w:val="000000" w:themeColor="text1"/>
          <w:sz w:val="20"/>
          <w:lang w:val="hr-HR"/>
        </w:rPr>
      </w:pPr>
    </w:p>
    <w:p w14:paraId="4420177C" w14:textId="77777777" w:rsidR="004E2F51" w:rsidRDefault="004E2F51" w:rsidP="004E2F51">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Pr>
          <w:rFonts w:cs="Arial"/>
          <w:color w:val="000000" w:themeColor="text1"/>
          <w:sz w:val="20"/>
          <w:lang w:val="hr-HR"/>
        </w:rPr>
        <w:t>1</w:t>
      </w:r>
      <w:r w:rsidRPr="00100ED3">
        <w:rPr>
          <w:rFonts w:cs="Arial"/>
          <w:color w:val="000000" w:themeColor="text1"/>
          <w:sz w:val="20"/>
          <w:lang w:val="hr-HR"/>
        </w:rPr>
        <w:t xml:space="preserve">.4. </w:t>
      </w:r>
      <w:r w:rsidRPr="00100ED3">
        <w:rPr>
          <w:rFonts w:cs="Arial"/>
          <w:color w:val="000000" w:themeColor="text1"/>
          <w:sz w:val="20"/>
          <w:lang w:val="hr-HR"/>
        </w:rPr>
        <w:tab/>
        <w:t>Rizik likvidnosti (nastavak)</w:t>
      </w:r>
    </w:p>
    <w:p w14:paraId="1E31D67A" w14:textId="77777777" w:rsidR="004E2F51" w:rsidRPr="00100ED3" w:rsidRDefault="004E2F51" w:rsidP="004E2F51">
      <w:pPr>
        <w:pStyle w:val="T1"/>
        <w:spacing w:before="0" w:after="0" w:line="240" w:lineRule="auto"/>
        <w:rPr>
          <w:rFonts w:cs="Arial"/>
          <w:color w:val="000000" w:themeColor="text1"/>
          <w:sz w:val="20"/>
          <w:lang w:val="hr-HR"/>
        </w:rPr>
      </w:pPr>
    </w:p>
    <w:p w14:paraId="78FDC568" w14:textId="77777777" w:rsidR="004E2F51" w:rsidRPr="00100ED3" w:rsidRDefault="004E2F51" w:rsidP="004E2F51">
      <w:pPr>
        <w:tabs>
          <w:tab w:val="left" w:pos="-720"/>
        </w:tabs>
        <w:jc w:val="both"/>
        <w:rPr>
          <w:rFonts w:ascii="Arial" w:hAnsi="Arial" w:cs="Arial"/>
          <w:color w:val="000000" w:themeColor="text1"/>
          <w:sz w:val="20"/>
          <w:szCs w:val="20"/>
          <w:lang w:val="hr-HR"/>
        </w:rPr>
      </w:pPr>
    </w:p>
    <w:tbl>
      <w:tblPr>
        <w:tblW w:w="5120" w:type="pct"/>
        <w:tblInd w:w="-142" w:type="dxa"/>
        <w:tblLayout w:type="fixed"/>
        <w:tblCellMar>
          <w:left w:w="120" w:type="dxa"/>
          <w:right w:w="120" w:type="dxa"/>
        </w:tblCellMar>
        <w:tblLook w:val="0000" w:firstRow="0" w:lastRow="0" w:firstColumn="0" w:lastColumn="0" w:noHBand="0" w:noVBand="0"/>
      </w:tblPr>
      <w:tblGrid>
        <w:gridCol w:w="3080"/>
        <w:gridCol w:w="1030"/>
        <w:gridCol w:w="1006"/>
        <w:gridCol w:w="1021"/>
        <w:gridCol w:w="1011"/>
        <w:gridCol w:w="1172"/>
        <w:gridCol w:w="1115"/>
      </w:tblGrid>
      <w:tr w:rsidR="004E2F51" w:rsidRPr="005B35F4" w14:paraId="2A3BA7E6" w14:textId="77777777" w:rsidTr="00E032FC">
        <w:trPr>
          <w:trHeight w:val="459"/>
        </w:trPr>
        <w:tc>
          <w:tcPr>
            <w:tcW w:w="1632" w:type="pct"/>
          </w:tcPr>
          <w:p w14:paraId="3A8B24BD" w14:textId="77777777" w:rsidR="004E2F51" w:rsidRPr="005B35F4" w:rsidRDefault="004E2F51" w:rsidP="00E032FC">
            <w:pPr>
              <w:pStyle w:val="TH"/>
              <w:spacing w:line="220" w:lineRule="exact"/>
              <w:rPr>
                <w:rFonts w:cs="Arial"/>
                <w:color w:val="000000" w:themeColor="text1"/>
                <w:sz w:val="17"/>
                <w:szCs w:val="17"/>
                <w:lang w:val="hr-HR"/>
              </w:rPr>
            </w:pPr>
            <w:r w:rsidRPr="005B35F4">
              <w:rPr>
                <w:rFonts w:cs="Arial"/>
                <w:color w:val="000000" w:themeColor="text1"/>
                <w:sz w:val="17"/>
                <w:szCs w:val="17"/>
                <w:lang w:val="hr-HR"/>
              </w:rPr>
              <w:t>Grupa</w:t>
            </w:r>
          </w:p>
          <w:p w14:paraId="070D272D" w14:textId="77777777" w:rsidR="004E2F51" w:rsidRPr="005B35F4" w:rsidRDefault="004E2F51" w:rsidP="00E032FC">
            <w:pPr>
              <w:pStyle w:val="TH"/>
              <w:spacing w:line="220" w:lineRule="exact"/>
              <w:rPr>
                <w:rFonts w:cs="Arial"/>
                <w:color w:val="000000" w:themeColor="text1"/>
                <w:sz w:val="17"/>
                <w:szCs w:val="17"/>
                <w:lang w:val="hr-HR"/>
              </w:rPr>
            </w:pPr>
            <w:r w:rsidRPr="005B35F4">
              <w:rPr>
                <w:rFonts w:cs="Arial"/>
                <w:color w:val="000000" w:themeColor="text1"/>
                <w:sz w:val="17"/>
                <w:szCs w:val="17"/>
                <w:lang w:val="hr-HR"/>
              </w:rPr>
              <w:t xml:space="preserve">31. prosinca 2021. </w:t>
            </w:r>
          </w:p>
        </w:tc>
        <w:tc>
          <w:tcPr>
            <w:tcW w:w="546" w:type="pct"/>
          </w:tcPr>
          <w:p w14:paraId="1EA4ABE3" w14:textId="77777777" w:rsidR="004E2F51" w:rsidRPr="005B35F4" w:rsidRDefault="004E2F51" w:rsidP="00E032FC">
            <w:pPr>
              <w:pStyle w:val="TH"/>
              <w:spacing w:line="220" w:lineRule="exact"/>
              <w:jc w:val="right"/>
              <w:rPr>
                <w:rFonts w:cs="Arial"/>
                <w:color w:val="000000" w:themeColor="text1"/>
                <w:sz w:val="17"/>
                <w:szCs w:val="17"/>
                <w:lang w:val="hr-HR"/>
              </w:rPr>
            </w:pPr>
            <w:r w:rsidRPr="005B35F4">
              <w:rPr>
                <w:rFonts w:cs="Arial"/>
                <w:color w:val="000000" w:themeColor="text1"/>
                <w:sz w:val="17"/>
                <w:szCs w:val="17"/>
                <w:lang w:val="hr-HR"/>
              </w:rPr>
              <w:t>Do 1 mjesec</w:t>
            </w:r>
          </w:p>
        </w:tc>
        <w:tc>
          <w:tcPr>
            <w:tcW w:w="533" w:type="pct"/>
          </w:tcPr>
          <w:p w14:paraId="2E62E255" w14:textId="77777777" w:rsidR="004E2F51" w:rsidRPr="005B35F4" w:rsidRDefault="004E2F51" w:rsidP="00E032FC">
            <w:pPr>
              <w:pStyle w:val="TH"/>
              <w:spacing w:line="220" w:lineRule="exact"/>
              <w:jc w:val="right"/>
              <w:rPr>
                <w:rFonts w:cs="Arial"/>
                <w:color w:val="000000" w:themeColor="text1"/>
                <w:sz w:val="17"/>
                <w:szCs w:val="17"/>
                <w:lang w:val="hr-HR"/>
              </w:rPr>
            </w:pPr>
            <w:r w:rsidRPr="005B35F4">
              <w:rPr>
                <w:rFonts w:cs="Arial"/>
                <w:color w:val="000000" w:themeColor="text1"/>
                <w:sz w:val="17"/>
                <w:szCs w:val="17"/>
                <w:lang w:val="hr-HR"/>
              </w:rPr>
              <w:t>1 do 3 mjeseca</w:t>
            </w:r>
          </w:p>
        </w:tc>
        <w:tc>
          <w:tcPr>
            <w:tcW w:w="541" w:type="pct"/>
          </w:tcPr>
          <w:p w14:paraId="22919991" w14:textId="77777777" w:rsidR="004E2F51" w:rsidRPr="005B35F4" w:rsidRDefault="004E2F51" w:rsidP="00E032FC">
            <w:pPr>
              <w:pStyle w:val="TH"/>
              <w:spacing w:line="220" w:lineRule="exact"/>
              <w:jc w:val="right"/>
              <w:rPr>
                <w:rFonts w:cs="Arial"/>
                <w:color w:val="000000" w:themeColor="text1"/>
                <w:sz w:val="17"/>
                <w:szCs w:val="17"/>
                <w:lang w:val="hr-HR"/>
              </w:rPr>
            </w:pPr>
            <w:r w:rsidRPr="005B35F4">
              <w:rPr>
                <w:rFonts w:cs="Arial"/>
                <w:color w:val="000000" w:themeColor="text1"/>
                <w:sz w:val="17"/>
                <w:szCs w:val="17"/>
                <w:lang w:val="hr-HR"/>
              </w:rPr>
              <w:t>3 mj. do 1 godine</w:t>
            </w:r>
          </w:p>
        </w:tc>
        <w:tc>
          <w:tcPr>
            <w:tcW w:w="536" w:type="pct"/>
          </w:tcPr>
          <w:p w14:paraId="46BD1C7A" w14:textId="77777777" w:rsidR="004E2F51" w:rsidRPr="005B35F4" w:rsidRDefault="004E2F51" w:rsidP="00E032FC">
            <w:pPr>
              <w:pStyle w:val="TH"/>
              <w:spacing w:line="220" w:lineRule="exact"/>
              <w:jc w:val="right"/>
              <w:rPr>
                <w:rFonts w:cs="Arial"/>
                <w:color w:val="000000" w:themeColor="text1"/>
                <w:sz w:val="17"/>
                <w:szCs w:val="17"/>
                <w:lang w:val="hr-HR"/>
              </w:rPr>
            </w:pPr>
            <w:r w:rsidRPr="005B35F4">
              <w:rPr>
                <w:rFonts w:cs="Arial"/>
                <w:color w:val="000000" w:themeColor="text1"/>
                <w:sz w:val="17"/>
                <w:szCs w:val="17"/>
                <w:lang w:val="hr-HR"/>
              </w:rPr>
              <w:t>1 do 3 godina</w:t>
            </w:r>
          </w:p>
        </w:tc>
        <w:tc>
          <w:tcPr>
            <w:tcW w:w="621" w:type="pct"/>
          </w:tcPr>
          <w:p w14:paraId="5FFA5520" w14:textId="77777777" w:rsidR="004E2F51" w:rsidRPr="005B35F4" w:rsidRDefault="004E2F51" w:rsidP="00E032FC">
            <w:pPr>
              <w:pStyle w:val="TH"/>
              <w:spacing w:line="220" w:lineRule="exact"/>
              <w:jc w:val="right"/>
              <w:rPr>
                <w:rFonts w:cs="Arial"/>
                <w:color w:val="000000" w:themeColor="text1"/>
                <w:sz w:val="17"/>
                <w:szCs w:val="17"/>
                <w:lang w:val="hr-HR"/>
              </w:rPr>
            </w:pPr>
            <w:r w:rsidRPr="005B35F4">
              <w:rPr>
                <w:rFonts w:cs="Arial"/>
                <w:color w:val="000000" w:themeColor="text1"/>
                <w:sz w:val="17"/>
                <w:szCs w:val="17"/>
                <w:lang w:val="hr-HR"/>
              </w:rPr>
              <w:t>Preko 3 godine</w:t>
            </w:r>
          </w:p>
        </w:tc>
        <w:tc>
          <w:tcPr>
            <w:tcW w:w="591" w:type="pct"/>
          </w:tcPr>
          <w:p w14:paraId="21A0A08B" w14:textId="77777777" w:rsidR="004E2F51" w:rsidRPr="005B35F4" w:rsidRDefault="004E2F51" w:rsidP="00E032FC">
            <w:pPr>
              <w:pStyle w:val="TH"/>
              <w:spacing w:line="220" w:lineRule="exact"/>
              <w:jc w:val="right"/>
              <w:rPr>
                <w:rFonts w:cs="Arial"/>
                <w:color w:val="000000" w:themeColor="text1"/>
                <w:sz w:val="17"/>
                <w:szCs w:val="17"/>
                <w:lang w:val="hr-HR"/>
              </w:rPr>
            </w:pPr>
            <w:r w:rsidRPr="005B35F4">
              <w:rPr>
                <w:rFonts w:cs="Arial"/>
                <w:color w:val="000000" w:themeColor="text1"/>
                <w:sz w:val="17"/>
                <w:szCs w:val="17"/>
                <w:lang w:val="hr-HR"/>
              </w:rPr>
              <w:t>Ukupno</w:t>
            </w:r>
          </w:p>
        </w:tc>
      </w:tr>
      <w:tr w:rsidR="004E2F51" w:rsidRPr="005B35F4" w14:paraId="477D9A4D" w14:textId="77777777" w:rsidTr="00E032FC">
        <w:trPr>
          <w:trHeight w:val="161"/>
        </w:trPr>
        <w:tc>
          <w:tcPr>
            <w:tcW w:w="1632" w:type="pct"/>
          </w:tcPr>
          <w:p w14:paraId="4DA4ED42" w14:textId="77777777" w:rsidR="004E2F51" w:rsidRPr="005B35F4" w:rsidRDefault="004E2F51" w:rsidP="00E032FC">
            <w:pPr>
              <w:tabs>
                <w:tab w:val="left" w:pos="-720"/>
              </w:tabs>
              <w:jc w:val="center"/>
              <w:rPr>
                <w:rFonts w:ascii="Arial" w:hAnsi="Arial" w:cs="Arial"/>
                <w:b/>
                <w:color w:val="000000" w:themeColor="text1"/>
                <w:spacing w:val="-2"/>
                <w:sz w:val="17"/>
                <w:szCs w:val="17"/>
                <w:lang w:val="hr-HR"/>
              </w:rPr>
            </w:pPr>
          </w:p>
        </w:tc>
        <w:tc>
          <w:tcPr>
            <w:tcW w:w="546" w:type="pct"/>
            <w:vAlign w:val="bottom"/>
          </w:tcPr>
          <w:p w14:paraId="4B2EDA7D" w14:textId="77777777" w:rsidR="004E2F51" w:rsidRPr="005B35F4" w:rsidRDefault="004E2F51" w:rsidP="00E032FC">
            <w:pPr>
              <w:pStyle w:val="TH"/>
              <w:spacing w:line="220" w:lineRule="exact"/>
              <w:jc w:val="right"/>
              <w:rPr>
                <w:rFonts w:cs="Arial"/>
                <w:color w:val="000000" w:themeColor="text1"/>
                <w:sz w:val="17"/>
                <w:szCs w:val="17"/>
                <w:lang w:val="hr-HR"/>
              </w:rPr>
            </w:pPr>
            <w:r w:rsidRPr="005B35F4">
              <w:rPr>
                <w:rFonts w:cs="Arial"/>
                <w:bCs/>
                <w:color w:val="000000" w:themeColor="text1"/>
                <w:sz w:val="17"/>
                <w:szCs w:val="17"/>
                <w:lang w:val="hr-HR"/>
              </w:rPr>
              <w:t>000 kuna</w:t>
            </w:r>
          </w:p>
        </w:tc>
        <w:tc>
          <w:tcPr>
            <w:tcW w:w="533" w:type="pct"/>
            <w:vAlign w:val="bottom"/>
          </w:tcPr>
          <w:p w14:paraId="5F80BB42" w14:textId="77777777" w:rsidR="004E2F51" w:rsidRPr="005B35F4" w:rsidRDefault="004E2F51" w:rsidP="00E032FC">
            <w:pPr>
              <w:pStyle w:val="TH"/>
              <w:spacing w:line="220" w:lineRule="exact"/>
              <w:jc w:val="right"/>
              <w:rPr>
                <w:rFonts w:cs="Arial"/>
                <w:color w:val="000000" w:themeColor="text1"/>
                <w:sz w:val="17"/>
                <w:szCs w:val="17"/>
                <w:lang w:val="hr-HR"/>
              </w:rPr>
            </w:pPr>
            <w:r w:rsidRPr="005B35F4">
              <w:rPr>
                <w:rFonts w:cs="Arial"/>
                <w:bCs/>
                <w:color w:val="000000" w:themeColor="text1"/>
                <w:sz w:val="17"/>
                <w:szCs w:val="17"/>
                <w:lang w:val="hr-HR"/>
              </w:rPr>
              <w:t>000 kuna</w:t>
            </w:r>
          </w:p>
        </w:tc>
        <w:tc>
          <w:tcPr>
            <w:tcW w:w="541" w:type="pct"/>
            <w:vAlign w:val="bottom"/>
          </w:tcPr>
          <w:p w14:paraId="689CC89D" w14:textId="77777777" w:rsidR="004E2F51" w:rsidRPr="005B35F4" w:rsidRDefault="004E2F51" w:rsidP="00E032FC">
            <w:pPr>
              <w:pStyle w:val="TH"/>
              <w:spacing w:line="220" w:lineRule="exact"/>
              <w:jc w:val="right"/>
              <w:rPr>
                <w:rFonts w:cs="Arial"/>
                <w:color w:val="000000" w:themeColor="text1"/>
                <w:sz w:val="17"/>
                <w:szCs w:val="17"/>
                <w:lang w:val="hr-HR"/>
              </w:rPr>
            </w:pPr>
            <w:r w:rsidRPr="005B35F4">
              <w:rPr>
                <w:rFonts w:cs="Arial"/>
                <w:bCs/>
                <w:color w:val="000000" w:themeColor="text1"/>
                <w:sz w:val="17"/>
                <w:szCs w:val="17"/>
                <w:lang w:val="hr-HR"/>
              </w:rPr>
              <w:t>000 kuna</w:t>
            </w:r>
          </w:p>
        </w:tc>
        <w:tc>
          <w:tcPr>
            <w:tcW w:w="536" w:type="pct"/>
            <w:vAlign w:val="bottom"/>
          </w:tcPr>
          <w:p w14:paraId="61C90F9E" w14:textId="77777777" w:rsidR="004E2F51" w:rsidRPr="005B35F4" w:rsidRDefault="004E2F51" w:rsidP="00E032FC">
            <w:pPr>
              <w:pStyle w:val="TH"/>
              <w:spacing w:line="220" w:lineRule="exact"/>
              <w:jc w:val="right"/>
              <w:rPr>
                <w:rFonts w:cs="Arial"/>
                <w:color w:val="000000" w:themeColor="text1"/>
                <w:sz w:val="17"/>
                <w:szCs w:val="17"/>
                <w:lang w:val="hr-HR"/>
              </w:rPr>
            </w:pPr>
            <w:r w:rsidRPr="005B35F4">
              <w:rPr>
                <w:rFonts w:cs="Arial"/>
                <w:bCs/>
                <w:color w:val="000000" w:themeColor="text1"/>
                <w:sz w:val="17"/>
                <w:szCs w:val="17"/>
                <w:lang w:val="hr-HR"/>
              </w:rPr>
              <w:t>000 kuna</w:t>
            </w:r>
          </w:p>
        </w:tc>
        <w:tc>
          <w:tcPr>
            <w:tcW w:w="621" w:type="pct"/>
            <w:vAlign w:val="bottom"/>
          </w:tcPr>
          <w:p w14:paraId="7968FF68" w14:textId="77777777" w:rsidR="004E2F51" w:rsidRPr="005B35F4" w:rsidRDefault="004E2F51" w:rsidP="00E032FC">
            <w:pPr>
              <w:pStyle w:val="TH"/>
              <w:spacing w:line="220" w:lineRule="exact"/>
              <w:jc w:val="right"/>
              <w:rPr>
                <w:rFonts w:cs="Arial"/>
                <w:color w:val="000000" w:themeColor="text1"/>
                <w:sz w:val="17"/>
                <w:szCs w:val="17"/>
                <w:lang w:val="hr-HR"/>
              </w:rPr>
            </w:pPr>
            <w:r w:rsidRPr="005B35F4">
              <w:rPr>
                <w:rFonts w:cs="Arial"/>
                <w:bCs/>
                <w:color w:val="000000" w:themeColor="text1"/>
                <w:sz w:val="17"/>
                <w:szCs w:val="17"/>
                <w:lang w:val="hr-HR"/>
              </w:rPr>
              <w:t>000 kuna</w:t>
            </w:r>
          </w:p>
        </w:tc>
        <w:tc>
          <w:tcPr>
            <w:tcW w:w="591" w:type="pct"/>
            <w:vAlign w:val="bottom"/>
          </w:tcPr>
          <w:p w14:paraId="4C1B1EE8" w14:textId="77777777" w:rsidR="004E2F51" w:rsidRPr="005B35F4" w:rsidRDefault="004E2F51" w:rsidP="00E032FC">
            <w:pPr>
              <w:pStyle w:val="TH"/>
              <w:spacing w:line="220" w:lineRule="exact"/>
              <w:jc w:val="right"/>
              <w:rPr>
                <w:rFonts w:cs="Arial"/>
                <w:color w:val="000000" w:themeColor="text1"/>
                <w:sz w:val="17"/>
                <w:szCs w:val="17"/>
                <w:lang w:val="hr-HR"/>
              </w:rPr>
            </w:pPr>
            <w:r w:rsidRPr="005B35F4">
              <w:rPr>
                <w:rFonts w:cs="Arial"/>
                <w:bCs/>
                <w:color w:val="000000" w:themeColor="text1"/>
                <w:sz w:val="17"/>
                <w:szCs w:val="17"/>
                <w:lang w:val="hr-HR"/>
              </w:rPr>
              <w:t>000 kuna</w:t>
            </w:r>
          </w:p>
        </w:tc>
      </w:tr>
      <w:tr w:rsidR="004E2F51" w:rsidRPr="005B35F4" w14:paraId="29F20848" w14:textId="77777777" w:rsidTr="00E032FC">
        <w:trPr>
          <w:trHeight w:val="255"/>
        </w:trPr>
        <w:tc>
          <w:tcPr>
            <w:tcW w:w="1632" w:type="pct"/>
            <w:vAlign w:val="bottom"/>
          </w:tcPr>
          <w:p w14:paraId="389544A7" w14:textId="77777777" w:rsidR="004E2F51" w:rsidRPr="005B35F4" w:rsidRDefault="004E2F51" w:rsidP="00E032FC">
            <w:pPr>
              <w:pStyle w:val="TT"/>
              <w:spacing w:line="220" w:lineRule="exact"/>
              <w:rPr>
                <w:rFonts w:cs="Arial"/>
                <w:b/>
                <w:bCs/>
                <w:color w:val="000000" w:themeColor="text1"/>
                <w:sz w:val="17"/>
                <w:szCs w:val="17"/>
                <w:lang w:val="hr-HR"/>
              </w:rPr>
            </w:pPr>
            <w:r w:rsidRPr="005B35F4">
              <w:rPr>
                <w:rFonts w:cs="Arial"/>
                <w:b/>
                <w:bCs/>
                <w:color w:val="000000" w:themeColor="text1"/>
                <w:sz w:val="17"/>
                <w:szCs w:val="17"/>
                <w:lang w:val="hr-HR"/>
              </w:rPr>
              <w:t>Imovina</w:t>
            </w:r>
          </w:p>
        </w:tc>
        <w:tc>
          <w:tcPr>
            <w:tcW w:w="546" w:type="pct"/>
            <w:vAlign w:val="bottom"/>
          </w:tcPr>
          <w:p w14:paraId="51779BD9" w14:textId="77777777" w:rsidR="004E2F51" w:rsidRPr="005B35F4" w:rsidRDefault="004E2F51" w:rsidP="00E032FC">
            <w:pPr>
              <w:pStyle w:val="TT"/>
              <w:spacing w:line="220" w:lineRule="exact"/>
              <w:jc w:val="right"/>
              <w:rPr>
                <w:rFonts w:cs="Arial"/>
                <w:b/>
                <w:bCs/>
                <w:color w:val="000000" w:themeColor="text1"/>
                <w:spacing w:val="-2"/>
                <w:sz w:val="17"/>
                <w:szCs w:val="17"/>
                <w:lang w:val="hr-HR"/>
              </w:rPr>
            </w:pPr>
          </w:p>
        </w:tc>
        <w:tc>
          <w:tcPr>
            <w:tcW w:w="533" w:type="pct"/>
            <w:vAlign w:val="bottom"/>
          </w:tcPr>
          <w:p w14:paraId="74A2C439" w14:textId="77777777" w:rsidR="004E2F51" w:rsidRPr="005B35F4" w:rsidRDefault="004E2F51" w:rsidP="00E032FC">
            <w:pPr>
              <w:pStyle w:val="TT"/>
              <w:spacing w:line="220" w:lineRule="exact"/>
              <w:jc w:val="right"/>
              <w:rPr>
                <w:rFonts w:cs="Arial"/>
                <w:b/>
                <w:bCs/>
                <w:color w:val="000000" w:themeColor="text1"/>
                <w:spacing w:val="-2"/>
                <w:sz w:val="17"/>
                <w:szCs w:val="17"/>
                <w:lang w:val="hr-HR"/>
              </w:rPr>
            </w:pPr>
          </w:p>
        </w:tc>
        <w:tc>
          <w:tcPr>
            <w:tcW w:w="541" w:type="pct"/>
            <w:vAlign w:val="bottom"/>
          </w:tcPr>
          <w:p w14:paraId="234EAA3B" w14:textId="77777777" w:rsidR="004E2F51" w:rsidRPr="005B35F4" w:rsidRDefault="004E2F51" w:rsidP="00E032FC">
            <w:pPr>
              <w:pStyle w:val="TT"/>
              <w:spacing w:line="220" w:lineRule="exact"/>
              <w:jc w:val="right"/>
              <w:rPr>
                <w:rFonts w:cs="Arial"/>
                <w:b/>
                <w:bCs/>
                <w:color w:val="000000" w:themeColor="text1"/>
                <w:spacing w:val="-2"/>
                <w:sz w:val="17"/>
                <w:szCs w:val="17"/>
                <w:lang w:val="hr-HR"/>
              </w:rPr>
            </w:pPr>
          </w:p>
        </w:tc>
        <w:tc>
          <w:tcPr>
            <w:tcW w:w="536" w:type="pct"/>
            <w:vAlign w:val="bottom"/>
          </w:tcPr>
          <w:p w14:paraId="1BE56616" w14:textId="77777777" w:rsidR="004E2F51" w:rsidRPr="005B35F4" w:rsidRDefault="004E2F51" w:rsidP="00E032FC">
            <w:pPr>
              <w:pStyle w:val="TT"/>
              <w:spacing w:line="220" w:lineRule="exact"/>
              <w:jc w:val="right"/>
              <w:rPr>
                <w:rFonts w:cs="Arial"/>
                <w:b/>
                <w:bCs/>
                <w:color w:val="000000" w:themeColor="text1"/>
                <w:spacing w:val="-2"/>
                <w:sz w:val="17"/>
                <w:szCs w:val="17"/>
                <w:lang w:val="hr-HR"/>
              </w:rPr>
            </w:pPr>
          </w:p>
        </w:tc>
        <w:tc>
          <w:tcPr>
            <w:tcW w:w="621" w:type="pct"/>
            <w:vAlign w:val="bottom"/>
          </w:tcPr>
          <w:p w14:paraId="4A8A2CDD" w14:textId="77777777" w:rsidR="004E2F51" w:rsidRPr="005B35F4" w:rsidRDefault="004E2F51" w:rsidP="00E032FC">
            <w:pPr>
              <w:pStyle w:val="TT"/>
              <w:spacing w:line="220" w:lineRule="exact"/>
              <w:jc w:val="right"/>
              <w:rPr>
                <w:rFonts w:cs="Arial"/>
                <w:b/>
                <w:bCs/>
                <w:color w:val="000000" w:themeColor="text1"/>
                <w:spacing w:val="-2"/>
                <w:sz w:val="17"/>
                <w:szCs w:val="17"/>
                <w:lang w:val="hr-HR"/>
              </w:rPr>
            </w:pPr>
          </w:p>
        </w:tc>
        <w:tc>
          <w:tcPr>
            <w:tcW w:w="591" w:type="pct"/>
            <w:vAlign w:val="bottom"/>
          </w:tcPr>
          <w:p w14:paraId="31E7F014" w14:textId="77777777" w:rsidR="004E2F51" w:rsidRPr="005B35F4" w:rsidRDefault="004E2F51" w:rsidP="00E032FC">
            <w:pPr>
              <w:pStyle w:val="TT"/>
              <w:spacing w:line="220" w:lineRule="exact"/>
              <w:jc w:val="right"/>
              <w:rPr>
                <w:rFonts w:cs="Arial"/>
                <w:b/>
                <w:bCs/>
                <w:color w:val="000000" w:themeColor="text1"/>
                <w:spacing w:val="-2"/>
                <w:sz w:val="17"/>
                <w:szCs w:val="17"/>
                <w:lang w:val="hr-HR"/>
              </w:rPr>
            </w:pPr>
          </w:p>
        </w:tc>
      </w:tr>
      <w:tr w:rsidR="004E2F51" w:rsidRPr="005B35F4" w14:paraId="6A5666A0" w14:textId="77777777" w:rsidTr="00E032FC">
        <w:trPr>
          <w:trHeight w:val="219"/>
        </w:trPr>
        <w:tc>
          <w:tcPr>
            <w:tcW w:w="1632" w:type="pct"/>
            <w:vAlign w:val="bottom"/>
          </w:tcPr>
          <w:p w14:paraId="453483E7" w14:textId="77777777" w:rsidR="004E2F51" w:rsidRPr="005B35F4" w:rsidRDefault="004E2F51" w:rsidP="00E032FC">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Novčana sredstva i računi kod banaka</w:t>
            </w:r>
          </w:p>
        </w:tc>
        <w:tc>
          <w:tcPr>
            <w:tcW w:w="546" w:type="pct"/>
            <w:tcBorders>
              <w:top w:val="nil"/>
              <w:left w:val="nil"/>
              <w:bottom w:val="nil"/>
              <w:right w:val="nil"/>
            </w:tcBorders>
            <w:shd w:val="clear" w:color="auto" w:fill="auto"/>
            <w:vAlign w:val="bottom"/>
          </w:tcPr>
          <w:p w14:paraId="0AB51548"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1.961.986</w:t>
            </w:r>
          </w:p>
        </w:tc>
        <w:tc>
          <w:tcPr>
            <w:tcW w:w="533" w:type="pct"/>
            <w:tcBorders>
              <w:top w:val="nil"/>
              <w:left w:val="nil"/>
              <w:bottom w:val="nil"/>
              <w:right w:val="nil"/>
            </w:tcBorders>
            <w:shd w:val="clear" w:color="auto" w:fill="auto"/>
            <w:vAlign w:val="bottom"/>
          </w:tcPr>
          <w:p w14:paraId="5FFE0EE5"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308E59AF"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36" w:type="pct"/>
            <w:tcBorders>
              <w:top w:val="nil"/>
              <w:left w:val="nil"/>
              <w:bottom w:val="nil"/>
              <w:right w:val="nil"/>
            </w:tcBorders>
            <w:shd w:val="clear" w:color="auto" w:fill="auto"/>
            <w:vAlign w:val="bottom"/>
          </w:tcPr>
          <w:p w14:paraId="6013570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21" w:type="pct"/>
            <w:tcBorders>
              <w:top w:val="nil"/>
              <w:left w:val="nil"/>
              <w:bottom w:val="nil"/>
              <w:right w:val="nil"/>
            </w:tcBorders>
            <w:shd w:val="clear" w:color="auto" w:fill="auto"/>
            <w:vAlign w:val="bottom"/>
          </w:tcPr>
          <w:p w14:paraId="60FE9A2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91" w:type="pct"/>
            <w:tcBorders>
              <w:top w:val="nil"/>
              <w:left w:val="nil"/>
              <w:bottom w:val="nil"/>
              <w:right w:val="nil"/>
            </w:tcBorders>
            <w:shd w:val="clear" w:color="auto" w:fill="auto"/>
            <w:vAlign w:val="bottom"/>
          </w:tcPr>
          <w:p w14:paraId="226DD378"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1.961.986 </w:t>
            </w:r>
          </w:p>
        </w:tc>
      </w:tr>
      <w:tr w:rsidR="004E2F51" w:rsidRPr="005B35F4" w14:paraId="496A7711" w14:textId="77777777" w:rsidTr="00E032FC">
        <w:trPr>
          <w:trHeight w:val="219"/>
        </w:trPr>
        <w:tc>
          <w:tcPr>
            <w:tcW w:w="1632" w:type="pct"/>
            <w:vAlign w:val="bottom"/>
          </w:tcPr>
          <w:p w14:paraId="0FAC05A2" w14:textId="77777777" w:rsidR="004E2F51" w:rsidRPr="005B35F4" w:rsidRDefault="004E2F51" w:rsidP="00E032FC">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Depoziti kod drugih banaka</w:t>
            </w:r>
          </w:p>
        </w:tc>
        <w:tc>
          <w:tcPr>
            <w:tcW w:w="546" w:type="pct"/>
            <w:tcBorders>
              <w:top w:val="nil"/>
              <w:left w:val="nil"/>
              <w:bottom w:val="nil"/>
              <w:right w:val="nil"/>
            </w:tcBorders>
            <w:shd w:val="clear" w:color="auto" w:fill="auto"/>
            <w:vAlign w:val="bottom"/>
          </w:tcPr>
          <w:p w14:paraId="5560D4D8"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w:t>
            </w:r>
          </w:p>
        </w:tc>
        <w:tc>
          <w:tcPr>
            <w:tcW w:w="533" w:type="pct"/>
            <w:tcBorders>
              <w:top w:val="nil"/>
              <w:left w:val="nil"/>
              <w:bottom w:val="nil"/>
              <w:right w:val="nil"/>
            </w:tcBorders>
            <w:shd w:val="clear" w:color="auto" w:fill="auto"/>
            <w:vAlign w:val="bottom"/>
          </w:tcPr>
          <w:p w14:paraId="7ED236C2"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618BBDF0"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36" w:type="pct"/>
            <w:tcBorders>
              <w:top w:val="nil"/>
              <w:left w:val="nil"/>
              <w:bottom w:val="nil"/>
              <w:right w:val="nil"/>
            </w:tcBorders>
            <w:shd w:val="clear" w:color="auto" w:fill="auto"/>
            <w:vAlign w:val="bottom"/>
          </w:tcPr>
          <w:p w14:paraId="49029DF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21" w:type="pct"/>
            <w:tcBorders>
              <w:top w:val="nil"/>
              <w:left w:val="nil"/>
              <w:bottom w:val="nil"/>
              <w:right w:val="nil"/>
            </w:tcBorders>
            <w:shd w:val="clear" w:color="auto" w:fill="auto"/>
            <w:vAlign w:val="bottom"/>
          </w:tcPr>
          <w:p w14:paraId="0473F22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7.500</w:t>
            </w:r>
          </w:p>
        </w:tc>
        <w:tc>
          <w:tcPr>
            <w:tcW w:w="591" w:type="pct"/>
            <w:tcBorders>
              <w:top w:val="nil"/>
              <w:left w:val="nil"/>
              <w:bottom w:val="nil"/>
              <w:right w:val="nil"/>
            </w:tcBorders>
            <w:shd w:val="clear" w:color="auto" w:fill="auto"/>
            <w:vAlign w:val="bottom"/>
          </w:tcPr>
          <w:p w14:paraId="6F1D12E3"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7.500</w:t>
            </w:r>
          </w:p>
        </w:tc>
      </w:tr>
      <w:tr w:rsidR="004E2F51" w:rsidRPr="005B35F4" w14:paraId="44D96D8B" w14:textId="77777777" w:rsidTr="00E032FC">
        <w:trPr>
          <w:trHeight w:val="219"/>
        </w:trPr>
        <w:tc>
          <w:tcPr>
            <w:tcW w:w="1632" w:type="pct"/>
            <w:vAlign w:val="bottom"/>
          </w:tcPr>
          <w:p w14:paraId="14669089" w14:textId="77777777" w:rsidR="004E2F51" w:rsidRPr="005B35F4" w:rsidRDefault="004E2F51" w:rsidP="00E032FC">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Krediti financijskim institucijama*</w:t>
            </w:r>
          </w:p>
        </w:tc>
        <w:tc>
          <w:tcPr>
            <w:tcW w:w="546" w:type="pct"/>
            <w:tcBorders>
              <w:top w:val="nil"/>
              <w:left w:val="nil"/>
              <w:bottom w:val="nil"/>
              <w:right w:val="nil"/>
            </w:tcBorders>
            <w:shd w:val="clear" w:color="auto" w:fill="auto"/>
            <w:vAlign w:val="bottom"/>
          </w:tcPr>
          <w:p w14:paraId="3DC3849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140.979</w:t>
            </w:r>
          </w:p>
        </w:tc>
        <w:tc>
          <w:tcPr>
            <w:tcW w:w="533" w:type="pct"/>
            <w:tcBorders>
              <w:top w:val="nil"/>
              <w:left w:val="nil"/>
              <w:bottom w:val="nil"/>
              <w:right w:val="nil"/>
            </w:tcBorders>
            <w:shd w:val="clear" w:color="auto" w:fill="auto"/>
            <w:vAlign w:val="bottom"/>
          </w:tcPr>
          <w:p w14:paraId="10C1ED12"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188.898</w:t>
            </w:r>
          </w:p>
        </w:tc>
        <w:tc>
          <w:tcPr>
            <w:tcW w:w="541" w:type="pct"/>
            <w:tcBorders>
              <w:top w:val="nil"/>
              <w:left w:val="nil"/>
              <w:bottom w:val="nil"/>
              <w:right w:val="nil"/>
            </w:tcBorders>
            <w:shd w:val="clear" w:color="auto" w:fill="auto"/>
            <w:vAlign w:val="bottom"/>
          </w:tcPr>
          <w:p w14:paraId="7AB09411"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817.773</w:t>
            </w:r>
          </w:p>
        </w:tc>
        <w:tc>
          <w:tcPr>
            <w:tcW w:w="536" w:type="pct"/>
            <w:tcBorders>
              <w:top w:val="nil"/>
              <w:left w:val="nil"/>
              <w:bottom w:val="nil"/>
              <w:right w:val="nil"/>
            </w:tcBorders>
            <w:shd w:val="clear" w:color="auto" w:fill="auto"/>
            <w:vAlign w:val="bottom"/>
          </w:tcPr>
          <w:p w14:paraId="632D49C8"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1.870.557</w:t>
            </w:r>
          </w:p>
        </w:tc>
        <w:tc>
          <w:tcPr>
            <w:tcW w:w="621" w:type="pct"/>
            <w:tcBorders>
              <w:top w:val="nil"/>
              <w:left w:val="nil"/>
              <w:bottom w:val="nil"/>
              <w:right w:val="nil"/>
            </w:tcBorders>
            <w:shd w:val="clear" w:color="auto" w:fill="auto"/>
            <w:vAlign w:val="bottom"/>
          </w:tcPr>
          <w:p w14:paraId="5B74765D"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4.031.936</w:t>
            </w:r>
          </w:p>
        </w:tc>
        <w:tc>
          <w:tcPr>
            <w:tcW w:w="591" w:type="pct"/>
            <w:tcBorders>
              <w:top w:val="nil"/>
              <w:left w:val="nil"/>
              <w:bottom w:val="nil"/>
              <w:right w:val="nil"/>
            </w:tcBorders>
            <w:shd w:val="clear" w:color="auto" w:fill="auto"/>
            <w:vAlign w:val="bottom"/>
          </w:tcPr>
          <w:p w14:paraId="1DEDBF8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7.050.143</w:t>
            </w:r>
          </w:p>
        </w:tc>
      </w:tr>
      <w:tr w:rsidR="004E2F51" w:rsidRPr="005B35F4" w14:paraId="2173F975" w14:textId="77777777" w:rsidTr="00E032FC">
        <w:trPr>
          <w:trHeight w:val="219"/>
        </w:trPr>
        <w:tc>
          <w:tcPr>
            <w:tcW w:w="1632" w:type="pct"/>
            <w:vAlign w:val="bottom"/>
          </w:tcPr>
          <w:p w14:paraId="644C3C9E" w14:textId="77777777" w:rsidR="004E2F51" w:rsidRPr="005B35F4" w:rsidRDefault="004E2F51" w:rsidP="00E032FC">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Krediti ostalim korisnicima</w:t>
            </w:r>
          </w:p>
        </w:tc>
        <w:tc>
          <w:tcPr>
            <w:tcW w:w="546" w:type="pct"/>
            <w:tcBorders>
              <w:top w:val="nil"/>
              <w:left w:val="nil"/>
              <w:bottom w:val="nil"/>
              <w:right w:val="nil"/>
            </w:tcBorders>
            <w:shd w:val="clear" w:color="auto" w:fill="auto"/>
            <w:vAlign w:val="bottom"/>
          </w:tcPr>
          <w:p w14:paraId="5BBE7268"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1.903.430</w:t>
            </w:r>
          </w:p>
        </w:tc>
        <w:tc>
          <w:tcPr>
            <w:tcW w:w="533" w:type="pct"/>
            <w:tcBorders>
              <w:top w:val="nil"/>
              <w:left w:val="nil"/>
              <w:bottom w:val="nil"/>
              <w:right w:val="nil"/>
            </w:tcBorders>
            <w:shd w:val="clear" w:color="auto" w:fill="auto"/>
            <w:vAlign w:val="bottom"/>
          </w:tcPr>
          <w:p w14:paraId="3437E709"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341.173</w:t>
            </w:r>
          </w:p>
        </w:tc>
        <w:tc>
          <w:tcPr>
            <w:tcW w:w="541" w:type="pct"/>
            <w:tcBorders>
              <w:top w:val="nil"/>
              <w:left w:val="nil"/>
              <w:bottom w:val="nil"/>
              <w:right w:val="nil"/>
            </w:tcBorders>
            <w:shd w:val="clear" w:color="auto" w:fill="auto"/>
            <w:vAlign w:val="bottom"/>
          </w:tcPr>
          <w:p w14:paraId="5FA70348"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1.109.842</w:t>
            </w:r>
          </w:p>
        </w:tc>
        <w:tc>
          <w:tcPr>
            <w:tcW w:w="536" w:type="pct"/>
            <w:tcBorders>
              <w:top w:val="nil"/>
              <w:left w:val="nil"/>
              <w:bottom w:val="nil"/>
              <w:right w:val="nil"/>
            </w:tcBorders>
            <w:shd w:val="clear" w:color="auto" w:fill="auto"/>
            <w:vAlign w:val="bottom"/>
          </w:tcPr>
          <w:p w14:paraId="2535D825"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3.254.643</w:t>
            </w:r>
          </w:p>
        </w:tc>
        <w:tc>
          <w:tcPr>
            <w:tcW w:w="621" w:type="pct"/>
            <w:tcBorders>
              <w:top w:val="nil"/>
              <w:left w:val="nil"/>
              <w:bottom w:val="nil"/>
              <w:right w:val="nil"/>
            </w:tcBorders>
            <w:shd w:val="clear" w:color="auto" w:fill="auto"/>
            <w:vAlign w:val="bottom"/>
          </w:tcPr>
          <w:p w14:paraId="1DB1C801"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9.355.288</w:t>
            </w:r>
          </w:p>
        </w:tc>
        <w:tc>
          <w:tcPr>
            <w:tcW w:w="591" w:type="pct"/>
            <w:tcBorders>
              <w:top w:val="nil"/>
              <w:left w:val="nil"/>
              <w:bottom w:val="nil"/>
              <w:right w:val="nil"/>
            </w:tcBorders>
            <w:shd w:val="clear" w:color="auto" w:fill="auto"/>
            <w:vAlign w:val="bottom"/>
          </w:tcPr>
          <w:p w14:paraId="4852898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15.964.376</w:t>
            </w:r>
          </w:p>
        </w:tc>
      </w:tr>
      <w:tr w:rsidR="004E2F51" w:rsidRPr="005B35F4" w14:paraId="05D20189" w14:textId="77777777" w:rsidTr="00E032FC">
        <w:trPr>
          <w:trHeight w:val="315"/>
        </w:trPr>
        <w:tc>
          <w:tcPr>
            <w:tcW w:w="1632" w:type="pct"/>
          </w:tcPr>
          <w:p w14:paraId="7935D46B" w14:textId="77777777" w:rsidR="004E2F51" w:rsidRPr="005B35F4" w:rsidRDefault="004E2F51" w:rsidP="00E032FC">
            <w:pPr>
              <w:pStyle w:val="TT"/>
              <w:spacing w:line="220" w:lineRule="exact"/>
              <w:rPr>
                <w:rFonts w:cs="Arial"/>
                <w:color w:val="000000" w:themeColor="text1"/>
                <w:spacing w:val="-2"/>
                <w:sz w:val="17"/>
                <w:szCs w:val="17"/>
                <w:lang w:val="hr-HR"/>
              </w:rPr>
            </w:pPr>
            <w:r w:rsidRPr="005B35F4">
              <w:rPr>
                <w:rFonts w:cs="Arial"/>
                <w:color w:val="000000" w:themeColor="text1"/>
                <w:spacing w:val="-2"/>
                <w:sz w:val="17"/>
                <w:szCs w:val="17"/>
                <w:lang w:val="hr-HR"/>
              </w:rPr>
              <w:t>Financijska imovina po fer vrijednosti kroz dobit ili gubitak</w:t>
            </w:r>
          </w:p>
        </w:tc>
        <w:tc>
          <w:tcPr>
            <w:tcW w:w="546" w:type="pct"/>
            <w:tcBorders>
              <w:top w:val="nil"/>
              <w:left w:val="nil"/>
              <w:bottom w:val="nil"/>
              <w:right w:val="nil"/>
            </w:tcBorders>
            <w:shd w:val="clear" w:color="auto" w:fill="auto"/>
            <w:vAlign w:val="bottom"/>
          </w:tcPr>
          <w:p w14:paraId="212301B0"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202.609</w:t>
            </w:r>
          </w:p>
        </w:tc>
        <w:tc>
          <w:tcPr>
            <w:tcW w:w="533" w:type="pct"/>
            <w:tcBorders>
              <w:top w:val="nil"/>
              <w:left w:val="nil"/>
              <w:bottom w:val="nil"/>
              <w:right w:val="nil"/>
            </w:tcBorders>
            <w:shd w:val="clear" w:color="auto" w:fill="auto"/>
            <w:vAlign w:val="bottom"/>
          </w:tcPr>
          <w:p w14:paraId="5704774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6161D848"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36" w:type="pct"/>
            <w:tcBorders>
              <w:top w:val="nil"/>
              <w:left w:val="nil"/>
              <w:bottom w:val="nil"/>
              <w:right w:val="nil"/>
            </w:tcBorders>
            <w:shd w:val="clear" w:color="auto" w:fill="auto"/>
            <w:vAlign w:val="bottom"/>
          </w:tcPr>
          <w:p w14:paraId="01B3200C"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21" w:type="pct"/>
            <w:tcBorders>
              <w:top w:val="nil"/>
              <w:left w:val="nil"/>
              <w:bottom w:val="nil"/>
              <w:right w:val="nil"/>
            </w:tcBorders>
            <w:shd w:val="clear" w:color="auto" w:fill="auto"/>
            <w:vAlign w:val="bottom"/>
          </w:tcPr>
          <w:p w14:paraId="4FE11053"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16.375</w:t>
            </w:r>
          </w:p>
        </w:tc>
        <w:tc>
          <w:tcPr>
            <w:tcW w:w="591" w:type="pct"/>
            <w:tcBorders>
              <w:top w:val="nil"/>
              <w:left w:val="nil"/>
              <w:bottom w:val="nil"/>
              <w:right w:val="nil"/>
            </w:tcBorders>
            <w:shd w:val="clear" w:color="auto" w:fill="auto"/>
            <w:vAlign w:val="bottom"/>
          </w:tcPr>
          <w:p w14:paraId="083C2131"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218.984</w:t>
            </w:r>
          </w:p>
        </w:tc>
      </w:tr>
      <w:tr w:rsidR="004E2F51" w:rsidRPr="005B35F4" w14:paraId="3724176C" w14:textId="77777777" w:rsidTr="00E032FC">
        <w:trPr>
          <w:trHeight w:val="153"/>
        </w:trPr>
        <w:tc>
          <w:tcPr>
            <w:tcW w:w="1632" w:type="pct"/>
          </w:tcPr>
          <w:p w14:paraId="6491A91A" w14:textId="77777777" w:rsidR="004E2F51" w:rsidRPr="005B35F4" w:rsidRDefault="004E2F51" w:rsidP="00E032FC">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Financijska imovina po fer vrijednosti kroz ostalu sveobuhvatnu dobit</w:t>
            </w:r>
          </w:p>
        </w:tc>
        <w:tc>
          <w:tcPr>
            <w:tcW w:w="546" w:type="pct"/>
            <w:tcBorders>
              <w:top w:val="nil"/>
              <w:left w:val="nil"/>
              <w:bottom w:val="nil"/>
              <w:right w:val="nil"/>
            </w:tcBorders>
            <w:shd w:val="clear" w:color="auto" w:fill="auto"/>
            <w:vAlign w:val="bottom"/>
          </w:tcPr>
          <w:p w14:paraId="43113D7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2.956.994 </w:t>
            </w:r>
          </w:p>
        </w:tc>
        <w:tc>
          <w:tcPr>
            <w:tcW w:w="533" w:type="pct"/>
            <w:tcBorders>
              <w:top w:val="nil"/>
              <w:left w:val="nil"/>
              <w:bottom w:val="nil"/>
              <w:right w:val="nil"/>
            </w:tcBorders>
            <w:shd w:val="clear" w:color="auto" w:fill="auto"/>
            <w:vAlign w:val="bottom"/>
          </w:tcPr>
          <w:p w14:paraId="076FAAB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15.501 </w:t>
            </w:r>
          </w:p>
        </w:tc>
        <w:tc>
          <w:tcPr>
            <w:tcW w:w="541" w:type="pct"/>
            <w:tcBorders>
              <w:top w:val="nil"/>
              <w:left w:val="nil"/>
              <w:bottom w:val="nil"/>
              <w:right w:val="nil"/>
            </w:tcBorders>
            <w:shd w:val="clear" w:color="auto" w:fill="auto"/>
            <w:vAlign w:val="bottom"/>
          </w:tcPr>
          <w:p w14:paraId="61F5EA7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35 </w:t>
            </w:r>
          </w:p>
        </w:tc>
        <w:tc>
          <w:tcPr>
            <w:tcW w:w="536" w:type="pct"/>
            <w:tcBorders>
              <w:top w:val="nil"/>
              <w:left w:val="nil"/>
              <w:bottom w:val="nil"/>
              <w:right w:val="nil"/>
            </w:tcBorders>
            <w:shd w:val="clear" w:color="auto" w:fill="auto"/>
            <w:vAlign w:val="bottom"/>
          </w:tcPr>
          <w:p w14:paraId="32303D28"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21" w:type="pct"/>
            <w:tcBorders>
              <w:top w:val="nil"/>
              <w:left w:val="nil"/>
              <w:bottom w:val="nil"/>
              <w:right w:val="nil"/>
            </w:tcBorders>
            <w:shd w:val="clear" w:color="auto" w:fill="auto"/>
            <w:vAlign w:val="bottom"/>
          </w:tcPr>
          <w:p w14:paraId="7FA6F94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91" w:type="pct"/>
            <w:tcBorders>
              <w:top w:val="nil"/>
              <w:left w:val="nil"/>
              <w:bottom w:val="nil"/>
              <w:right w:val="nil"/>
            </w:tcBorders>
            <w:shd w:val="clear" w:color="auto" w:fill="auto"/>
            <w:vAlign w:val="bottom"/>
          </w:tcPr>
          <w:p w14:paraId="43B5F92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2.972.530 </w:t>
            </w:r>
          </w:p>
        </w:tc>
      </w:tr>
      <w:tr w:rsidR="004E2F51" w:rsidRPr="005B35F4" w14:paraId="674E89A3" w14:textId="77777777" w:rsidTr="00E032FC">
        <w:trPr>
          <w:trHeight w:val="324"/>
        </w:trPr>
        <w:tc>
          <w:tcPr>
            <w:tcW w:w="1632" w:type="pct"/>
          </w:tcPr>
          <w:p w14:paraId="7EA3644B" w14:textId="77777777" w:rsidR="004E2F51" w:rsidRPr="005B35F4" w:rsidRDefault="004E2F51" w:rsidP="00E032FC">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Nekretnine, postrojenja i oprema i nematerijalna imovina</w:t>
            </w:r>
          </w:p>
        </w:tc>
        <w:tc>
          <w:tcPr>
            <w:tcW w:w="546" w:type="pct"/>
            <w:tcBorders>
              <w:top w:val="nil"/>
              <w:left w:val="nil"/>
              <w:right w:val="nil"/>
            </w:tcBorders>
            <w:shd w:val="clear" w:color="auto" w:fill="auto"/>
            <w:vAlign w:val="bottom"/>
          </w:tcPr>
          <w:p w14:paraId="5D4B9E2F"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lang w:val="it-IT"/>
              </w:rPr>
              <w:t xml:space="preserve"> </w:t>
            </w:r>
            <w:r w:rsidRPr="005B35F4">
              <w:rPr>
                <w:rFonts w:ascii="Arial" w:hAnsi="Arial" w:cs="Arial"/>
                <w:color w:val="000000"/>
                <w:sz w:val="17"/>
                <w:szCs w:val="17"/>
              </w:rPr>
              <w:t xml:space="preserve">- </w:t>
            </w:r>
          </w:p>
        </w:tc>
        <w:tc>
          <w:tcPr>
            <w:tcW w:w="533" w:type="pct"/>
            <w:tcBorders>
              <w:top w:val="nil"/>
              <w:left w:val="nil"/>
              <w:right w:val="nil"/>
            </w:tcBorders>
            <w:shd w:val="clear" w:color="auto" w:fill="auto"/>
            <w:vAlign w:val="bottom"/>
          </w:tcPr>
          <w:p w14:paraId="3900648A"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41" w:type="pct"/>
            <w:tcBorders>
              <w:top w:val="nil"/>
              <w:left w:val="nil"/>
              <w:right w:val="nil"/>
            </w:tcBorders>
            <w:shd w:val="clear" w:color="auto" w:fill="auto"/>
            <w:vAlign w:val="bottom"/>
          </w:tcPr>
          <w:p w14:paraId="5F1DD873"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36" w:type="pct"/>
            <w:tcBorders>
              <w:top w:val="nil"/>
              <w:left w:val="nil"/>
              <w:right w:val="nil"/>
            </w:tcBorders>
            <w:shd w:val="clear" w:color="auto" w:fill="auto"/>
            <w:vAlign w:val="bottom"/>
          </w:tcPr>
          <w:p w14:paraId="1705973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21" w:type="pct"/>
            <w:tcBorders>
              <w:top w:val="nil"/>
              <w:left w:val="nil"/>
              <w:right w:val="nil"/>
            </w:tcBorders>
            <w:shd w:val="clear" w:color="auto" w:fill="auto"/>
            <w:vAlign w:val="bottom"/>
          </w:tcPr>
          <w:p w14:paraId="4C86A78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43.937 </w:t>
            </w:r>
          </w:p>
        </w:tc>
        <w:tc>
          <w:tcPr>
            <w:tcW w:w="591" w:type="pct"/>
            <w:tcBorders>
              <w:top w:val="nil"/>
              <w:left w:val="nil"/>
              <w:right w:val="nil"/>
            </w:tcBorders>
            <w:shd w:val="clear" w:color="auto" w:fill="auto"/>
            <w:vAlign w:val="bottom"/>
          </w:tcPr>
          <w:p w14:paraId="64D555E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43.937 </w:t>
            </w:r>
          </w:p>
        </w:tc>
      </w:tr>
      <w:tr w:rsidR="004E2F51" w:rsidRPr="005B35F4" w14:paraId="3E95CDCC" w14:textId="77777777" w:rsidTr="00E032FC">
        <w:trPr>
          <w:trHeight w:val="126"/>
        </w:trPr>
        <w:tc>
          <w:tcPr>
            <w:tcW w:w="1632" w:type="pct"/>
          </w:tcPr>
          <w:p w14:paraId="4B032DEC" w14:textId="77777777" w:rsidR="004E2F51" w:rsidRPr="005B35F4" w:rsidRDefault="004E2F51" w:rsidP="00E032FC">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Preuzeta imovina</w:t>
            </w:r>
          </w:p>
        </w:tc>
        <w:tc>
          <w:tcPr>
            <w:tcW w:w="546" w:type="pct"/>
            <w:tcBorders>
              <w:top w:val="nil"/>
              <w:left w:val="nil"/>
              <w:bottom w:val="nil"/>
              <w:right w:val="nil"/>
            </w:tcBorders>
            <w:shd w:val="clear" w:color="auto" w:fill="auto"/>
            <w:vAlign w:val="bottom"/>
          </w:tcPr>
          <w:p w14:paraId="54058C4D"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9 </w:t>
            </w:r>
          </w:p>
        </w:tc>
        <w:tc>
          <w:tcPr>
            <w:tcW w:w="533" w:type="pct"/>
            <w:tcBorders>
              <w:top w:val="nil"/>
              <w:left w:val="nil"/>
              <w:bottom w:val="nil"/>
              <w:right w:val="nil"/>
            </w:tcBorders>
            <w:shd w:val="clear" w:color="auto" w:fill="auto"/>
            <w:vAlign w:val="bottom"/>
          </w:tcPr>
          <w:p w14:paraId="73E45071"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w:t>
            </w:r>
          </w:p>
        </w:tc>
        <w:tc>
          <w:tcPr>
            <w:tcW w:w="541" w:type="pct"/>
            <w:tcBorders>
              <w:top w:val="nil"/>
              <w:left w:val="nil"/>
              <w:bottom w:val="nil"/>
              <w:right w:val="nil"/>
            </w:tcBorders>
            <w:shd w:val="clear" w:color="auto" w:fill="auto"/>
            <w:vAlign w:val="bottom"/>
          </w:tcPr>
          <w:p w14:paraId="18EF038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156</w:t>
            </w:r>
          </w:p>
        </w:tc>
        <w:tc>
          <w:tcPr>
            <w:tcW w:w="536" w:type="pct"/>
            <w:tcBorders>
              <w:top w:val="nil"/>
              <w:left w:val="nil"/>
              <w:bottom w:val="nil"/>
              <w:right w:val="nil"/>
            </w:tcBorders>
            <w:shd w:val="clear" w:color="auto" w:fill="auto"/>
            <w:vAlign w:val="bottom"/>
          </w:tcPr>
          <w:p w14:paraId="24670AEA"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11.272</w:t>
            </w:r>
          </w:p>
        </w:tc>
        <w:tc>
          <w:tcPr>
            <w:tcW w:w="621" w:type="pct"/>
            <w:tcBorders>
              <w:top w:val="nil"/>
              <w:left w:val="nil"/>
              <w:bottom w:val="nil"/>
              <w:right w:val="nil"/>
            </w:tcBorders>
            <w:shd w:val="clear" w:color="auto" w:fill="auto"/>
            <w:vAlign w:val="bottom"/>
          </w:tcPr>
          <w:p w14:paraId="201A87A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9.932</w:t>
            </w:r>
          </w:p>
        </w:tc>
        <w:tc>
          <w:tcPr>
            <w:tcW w:w="591" w:type="pct"/>
            <w:tcBorders>
              <w:top w:val="nil"/>
              <w:left w:val="nil"/>
              <w:bottom w:val="nil"/>
              <w:right w:val="nil"/>
            </w:tcBorders>
            <w:shd w:val="clear" w:color="auto" w:fill="auto"/>
            <w:vAlign w:val="bottom"/>
          </w:tcPr>
          <w:p w14:paraId="34D3DB6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21.369</w:t>
            </w:r>
          </w:p>
        </w:tc>
      </w:tr>
      <w:tr w:rsidR="004E2F51" w:rsidRPr="005B35F4" w14:paraId="6A3A0D6A" w14:textId="77777777" w:rsidTr="00E032FC">
        <w:trPr>
          <w:trHeight w:val="153"/>
        </w:trPr>
        <w:tc>
          <w:tcPr>
            <w:tcW w:w="1632" w:type="pct"/>
          </w:tcPr>
          <w:p w14:paraId="1404E5DA" w14:textId="77777777" w:rsidR="004E2F51" w:rsidRPr="005B35F4" w:rsidRDefault="004E2F51" w:rsidP="00E032FC">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Ostala imovina</w:t>
            </w:r>
          </w:p>
        </w:tc>
        <w:tc>
          <w:tcPr>
            <w:tcW w:w="546" w:type="pct"/>
            <w:tcBorders>
              <w:left w:val="nil"/>
              <w:bottom w:val="single" w:sz="8" w:space="0" w:color="auto"/>
              <w:right w:val="nil"/>
            </w:tcBorders>
            <w:shd w:val="clear" w:color="auto" w:fill="auto"/>
            <w:vAlign w:val="bottom"/>
          </w:tcPr>
          <w:p w14:paraId="1AF28E6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7.632</w:t>
            </w:r>
          </w:p>
        </w:tc>
        <w:tc>
          <w:tcPr>
            <w:tcW w:w="533" w:type="pct"/>
            <w:tcBorders>
              <w:left w:val="nil"/>
              <w:bottom w:val="single" w:sz="8" w:space="0" w:color="auto"/>
              <w:right w:val="nil"/>
            </w:tcBorders>
            <w:shd w:val="clear" w:color="auto" w:fill="auto"/>
            <w:vAlign w:val="bottom"/>
          </w:tcPr>
          <w:p w14:paraId="664DAD5A"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1.838</w:t>
            </w:r>
          </w:p>
        </w:tc>
        <w:tc>
          <w:tcPr>
            <w:tcW w:w="541" w:type="pct"/>
            <w:tcBorders>
              <w:left w:val="nil"/>
              <w:bottom w:val="single" w:sz="8" w:space="0" w:color="auto"/>
              <w:right w:val="nil"/>
            </w:tcBorders>
            <w:shd w:val="clear" w:color="auto" w:fill="auto"/>
            <w:vAlign w:val="bottom"/>
          </w:tcPr>
          <w:p w14:paraId="4D004EC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24.649 </w:t>
            </w:r>
          </w:p>
        </w:tc>
        <w:tc>
          <w:tcPr>
            <w:tcW w:w="536" w:type="pct"/>
            <w:tcBorders>
              <w:left w:val="nil"/>
              <w:bottom w:val="single" w:sz="8" w:space="0" w:color="auto"/>
              <w:right w:val="nil"/>
            </w:tcBorders>
            <w:shd w:val="clear" w:color="auto" w:fill="auto"/>
            <w:vAlign w:val="bottom"/>
          </w:tcPr>
          <w:p w14:paraId="1FDB168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1.734 </w:t>
            </w:r>
          </w:p>
        </w:tc>
        <w:tc>
          <w:tcPr>
            <w:tcW w:w="621" w:type="pct"/>
            <w:tcBorders>
              <w:left w:val="nil"/>
              <w:bottom w:val="single" w:sz="8" w:space="0" w:color="auto"/>
              <w:right w:val="nil"/>
            </w:tcBorders>
            <w:shd w:val="clear" w:color="auto" w:fill="auto"/>
            <w:vAlign w:val="bottom"/>
          </w:tcPr>
          <w:p w14:paraId="32FB80D9"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1.684 </w:t>
            </w:r>
          </w:p>
        </w:tc>
        <w:tc>
          <w:tcPr>
            <w:tcW w:w="591" w:type="pct"/>
            <w:tcBorders>
              <w:left w:val="nil"/>
              <w:bottom w:val="nil"/>
              <w:right w:val="nil"/>
            </w:tcBorders>
            <w:shd w:val="clear" w:color="auto" w:fill="auto"/>
            <w:vAlign w:val="bottom"/>
          </w:tcPr>
          <w:p w14:paraId="758AD5D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37.537 </w:t>
            </w:r>
          </w:p>
        </w:tc>
      </w:tr>
      <w:tr w:rsidR="004E2F51" w:rsidRPr="005B35F4" w14:paraId="5E3CAE4D" w14:textId="77777777" w:rsidTr="00E032FC">
        <w:trPr>
          <w:trHeight w:val="161"/>
        </w:trPr>
        <w:tc>
          <w:tcPr>
            <w:tcW w:w="1632" w:type="pct"/>
          </w:tcPr>
          <w:p w14:paraId="50218ED2" w14:textId="77777777" w:rsidR="004E2F51" w:rsidRPr="005B35F4" w:rsidRDefault="004E2F51" w:rsidP="00E032FC">
            <w:pPr>
              <w:pStyle w:val="Tot"/>
              <w:spacing w:line="220" w:lineRule="exact"/>
              <w:rPr>
                <w:rFonts w:cs="Arial"/>
                <w:b/>
                <w:bCs/>
                <w:color w:val="000000" w:themeColor="text1"/>
                <w:sz w:val="17"/>
                <w:szCs w:val="17"/>
                <w:lang w:val="hr-HR"/>
              </w:rPr>
            </w:pPr>
            <w:r w:rsidRPr="005B35F4">
              <w:rPr>
                <w:rFonts w:cs="Arial"/>
                <w:b/>
                <w:bCs/>
                <w:color w:val="000000" w:themeColor="text1"/>
                <w:sz w:val="17"/>
                <w:szCs w:val="17"/>
                <w:lang w:val="hr-HR"/>
              </w:rPr>
              <w:t xml:space="preserve">Ukupna imovina </w:t>
            </w:r>
          </w:p>
        </w:tc>
        <w:tc>
          <w:tcPr>
            <w:tcW w:w="546" w:type="pct"/>
            <w:tcBorders>
              <w:top w:val="nil"/>
              <w:left w:val="nil"/>
              <w:bottom w:val="single" w:sz="8" w:space="0" w:color="auto"/>
              <w:right w:val="nil"/>
            </w:tcBorders>
            <w:shd w:val="clear" w:color="auto" w:fill="auto"/>
            <w:vAlign w:val="bottom"/>
          </w:tcPr>
          <w:p w14:paraId="3270FD09"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7.173.639</w:t>
            </w:r>
          </w:p>
        </w:tc>
        <w:tc>
          <w:tcPr>
            <w:tcW w:w="533" w:type="pct"/>
            <w:tcBorders>
              <w:top w:val="nil"/>
              <w:left w:val="nil"/>
              <w:bottom w:val="single" w:sz="8" w:space="0" w:color="auto"/>
              <w:right w:val="nil"/>
            </w:tcBorders>
            <w:shd w:val="clear" w:color="auto" w:fill="auto"/>
            <w:vAlign w:val="bottom"/>
          </w:tcPr>
          <w:p w14:paraId="33A80794"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547.410</w:t>
            </w:r>
          </w:p>
        </w:tc>
        <w:tc>
          <w:tcPr>
            <w:tcW w:w="541" w:type="pct"/>
            <w:tcBorders>
              <w:top w:val="nil"/>
              <w:left w:val="nil"/>
              <w:bottom w:val="single" w:sz="8" w:space="0" w:color="auto"/>
              <w:right w:val="nil"/>
            </w:tcBorders>
            <w:shd w:val="clear" w:color="auto" w:fill="auto"/>
            <w:vAlign w:val="bottom"/>
          </w:tcPr>
          <w:p w14:paraId="50379347"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 xml:space="preserve">1.952.455 </w:t>
            </w:r>
          </w:p>
        </w:tc>
        <w:tc>
          <w:tcPr>
            <w:tcW w:w="536" w:type="pct"/>
            <w:tcBorders>
              <w:top w:val="nil"/>
              <w:left w:val="nil"/>
              <w:bottom w:val="single" w:sz="8" w:space="0" w:color="auto"/>
              <w:right w:val="nil"/>
            </w:tcBorders>
            <w:shd w:val="clear" w:color="auto" w:fill="auto"/>
            <w:vAlign w:val="bottom"/>
          </w:tcPr>
          <w:p w14:paraId="7F19F4D0"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5.138.206</w:t>
            </w:r>
          </w:p>
        </w:tc>
        <w:tc>
          <w:tcPr>
            <w:tcW w:w="621" w:type="pct"/>
            <w:tcBorders>
              <w:top w:val="nil"/>
              <w:left w:val="nil"/>
              <w:bottom w:val="single" w:sz="8" w:space="0" w:color="auto"/>
              <w:right w:val="nil"/>
            </w:tcBorders>
            <w:shd w:val="clear" w:color="auto" w:fill="auto"/>
            <w:vAlign w:val="bottom"/>
          </w:tcPr>
          <w:p w14:paraId="21D1D097"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 xml:space="preserve"> 13.466.652 </w:t>
            </w:r>
          </w:p>
        </w:tc>
        <w:tc>
          <w:tcPr>
            <w:tcW w:w="591" w:type="pct"/>
            <w:tcBorders>
              <w:top w:val="single" w:sz="8" w:space="0" w:color="auto"/>
              <w:left w:val="nil"/>
              <w:bottom w:val="single" w:sz="8" w:space="0" w:color="auto"/>
              <w:right w:val="nil"/>
            </w:tcBorders>
            <w:shd w:val="clear" w:color="auto" w:fill="auto"/>
            <w:vAlign w:val="bottom"/>
          </w:tcPr>
          <w:p w14:paraId="093C029B"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 xml:space="preserve">28.278.362 </w:t>
            </w:r>
          </w:p>
        </w:tc>
      </w:tr>
      <w:tr w:rsidR="004E2F51" w:rsidRPr="005B35F4" w14:paraId="417B6423" w14:textId="77777777" w:rsidTr="00E032FC">
        <w:trPr>
          <w:trHeight w:val="236"/>
        </w:trPr>
        <w:tc>
          <w:tcPr>
            <w:tcW w:w="1632" w:type="pct"/>
          </w:tcPr>
          <w:p w14:paraId="58F7B070" w14:textId="77777777" w:rsidR="004E2F51" w:rsidRPr="005B35F4" w:rsidRDefault="004E2F51" w:rsidP="00E032FC">
            <w:pPr>
              <w:pStyle w:val="Thin"/>
              <w:spacing w:line="60" w:lineRule="exact"/>
              <w:rPr>
                <w:rFonts w:cs="Arial"/>
                <w:bCs/>
                <w:color w:val="000000" w:themeColor="text1"/>
                <w:sz w:val="17"/>
                <w:szCs w:val="17"/>
                <w:lang w:val="hr-HR"/>
              </w:rPr>
            </w:pPr>
          </w:p>
        </w:tc>
        <w:tc>
          <w:tcPr>
            <w:tcW w:w="546" w:type="pct"/>
            <w:tcBorders>
              <w:top w:val="single" w:sz="12" w:space="0" w:color="auto"/>
            </w:tcBorders>
            <w:vAlign w:val="bottom"/>
          </w:tcPr>
          <w:p w14:paraId="3138AB2E" w14:textId="77777777" w:rsidR="004E2F51" w:rsidRPr="005B35F4" w:rsidRDefault="004E2F51" w:rsidP="00E032FC">
            <w:pPr>
              <w:jc w:val="right"/>
              <w:rPr>
                <w:rFonts w:ascii="Arial" w:hAnsi="Arial" w:cs="Arial"/>
                <w:color w:val="000000"/>
                <w:sz w:val="17"/>
                <w:szCs w:val="17"/>
              </w:rPr>
            </w:pPr>
          </w:p>
        </w:tc>
        <w:tc>
          <w:tcPr>
            <w:tcW w:w="533" w:type="pct"/>
            <w:tcBorders>
              <w:top w:val="single" w:sz="12" w:space="0" w:color="auto"/>
            </w:tcBorders>
            <w:vAlign w:val="bottom"/>
          </w:tcPr>
          <w:p w14:paraId="660BCC2A" w14:textId="77777777" w:rsidR="004E2F51" w:rsidRPr="005B35F4" w:rsidRDefault="004E2F51" w:rsidP="00E032FC">
            <w:pPr>
              <w:jc w:val="right"/>
              <w:rPr>
                <w:rFonts w:ascii="Arial" w:hAnsi="Arial" w:cs="Arial"/>
                <w:color w:val="000000"/>
                <w:sz w:val="17"/>
                <w:szCs w:val="17"/>
              </w:rPr>
            </w:pPr>
          </w:p>
        </w:tc>
        <w:tc>
          <w:tcPr>
            <w:tcW w:w="541" w:type="pct"/>
            <w:tcBorders>
              <w:top w:val="single" w:sz="12" w:space="0" w:color="auto"/>
            </w:tcBorders>
            <w:vAlign w:val="bottom"/>
          </w:tcPr>
          <w:p w14:paraId="6DA459E5" w14:textId="77777777" w:rsidR="004E2F51" w:rsidRPr="005B35F4" w:rsidRDefault="004E2F51" w:rsidP="00E032FC">
            <w:pPr>
              <w:jc w:val="right"/>
              <w:rPr>
                <w:rFonts w:ascii="Arial" w:hAnsi="Arial" w:cs="Arial"/>
                <w:color w:val="000000"/>
                <w:sz w:val="17"/>
                <w:szCs w:val="17"/>
              </w:rPr>
            </w:pPr>
          </w:p>
        </w:tc>
        <w:tc>
          <w:tcPr>
            <w:tcW w:w="536" w:type="pct"/>
            <w:tcBorders>
              <w:top w:val="single" w:sz="12" w:space="0" w:color="auto"/>
            </w:tcBorders>
            <w:vAlign w:val="bottom"/>
          </w:tcPr>
          <w:p w14:paraId="5519A2F2" w14:textId="77777777" w:rsidR="004E2F51" w:rsidRPr="005B35F4" w:rsidRDefault="004E2F51" w:rsidP="00E032FC">
            <w:pPr>
              <w:jc w:val="right"/>
              <w:rPr>
                <w:rFonts w:ascii="Arial" w:hAnsi="Arial" w:cs="Arial"/>
                <w:color w:val="000000"/>
                <w:sz w:val="17"/>
                <w:szCs w:val="17"/>
              </w:rPr>
            </w:pPr>
          </w:p>
        </w:tc>
        <w:tc>
          <w:tcPr>
            <w:tcW w:w="621" w:type="pct"/>
            <w:tcBorders>
              <w:top w:val="single" w:sz="12" w:space="0" w:color="auto"/>
            </w:tcBorders>
            <w:vAlign w:val="bottom"/>
          </w:tcPr>
          <w:p w14:paraId="538D0863" w14:textId="77777777" w:rsidR="004E2F51" w:rsidRPr="005B35F4" w:rsidRDefault="004E2F51" w:rsidP="00E032FC">
            <w:pPr>
              <w:jc w:val="right"/>
              <w:rPr>
                <w:rFonts w:ascii="Arial" w:hAnsi="Arial" w:cs="Arial"/>
                <w:color w:val="000000"/>
                <w:sz w:val="17"/>
                <w:szCs w:val="17"/>
              </w:rPr>
            </w:pPr>
          </w:p>
        </w:tc>
        <w:tc>
          <w:tcPr>
            <w:tcW w:w="591" w:type="pct"/>
            <w:tcBorders>
              <w:top w:val="single" w:sz="12" w:space="0" w:color="auto"/>
            </w:tcBorders>
            <w:vAlign w:val="bottom"/>
          </w:tcPr>
          <w:p w14:paraId="64879C13" w14:textId="77777777" w:rsidR="004E2F51" w:rsidRPr="005B35F4" w:rsidRDefault="004E2F51" w:rsidP="00E032FC">
            <w:pPr>
              <w:jc w:val="right"/>
              <w:rPr>
                <w:rFonts w:ascii="Arial" w:hAnsi="Arial" w:cs="Arial"/>
                <w:color w:val="000000"/>
                <w:sz w:val="17"/>
                <w:szCs w:val="17"/>
              </w:rPr>
            </w:pPr>
          </w:p>
        </w:tc>
      </w:tr>
      <w:tr w:rsidR="004E2F51" w:rsidRPr="005B35F4" w14:paraId="040C9B91" w14:textId="77777777" w:rsidTr="00E032FC">
        <w:trPr>
          <w:trHeight w:val="161"/>
        </w:trPr>
        <w:tc>
          <w:tcPr>
            <w:tcW w:w="1632" w:type="pct"/>
          </w:tcPr>
          <w:p w14:paraId="35BD6763" w14:textId="77777777" w:rsidR="004E2F51" w:rsidRPr="005B35F4" w:rsidRDefault="004E2F51" w:rsidP="00E032FC">
            <w:pPr>
              <w:pStyle w:val="TT"/>
              <w:spacing w:line="220" w:lineRule="exact"/>
              <w:rPr>
                <w:rFonts w:cs="Arial"/>
                <w:b/>
                <w:bCs/>
                <w:color w:val="000000" w:themeColor="text1"/>
                <w:sz w:val="17"/>
                <w:szCs w:val="17"/>
                <w:lang w:val="hr-HR"/>
              </w:rPr>
            </w:pPr>
            <w:r w:rsidRPr="005B35F4">
              <w:rPr>
                <w:rFonts w:cs="Arial"/>
                <w:b/>
                <w:bCs/>
                <w:color w:val="000000" w:themeColor="text1"/>
                <w:sz w:val="17"/>
                <w:szCs w:val="17"/>
                <w:lang w:val="hr-HR"/>
              </w:rPr>
              <w:t>Obveze</w:t>
            </w:r>
          </w:p>
        </w:tc>
        <w:tc>
          <w:tcPr>
            <w:tcW w:w="546" w:type="pct"/>
            <w:vAlign w:val="bottom"/>
          </w:tcPr>
          <w:p w14:paraId="3E33FE2F" w14:textId="77777777" w:rsidR="004E2F51" w:rsidRPr="005B35F4" w:rsidRDefault="004E2F51" w:rsidP="00E032FC">
            <w:pPr>
              <w:jc w:val="right"/>
              <w:rPr>
                <w:rFonts w:ascii="Arial" w:hAnsi="Arial" w:cs="Arial"/>
                <w:color w:val="000000"/>
                <w:sz w:val="17"/>
                <w:szCs w:val="17"/>
              </w:rPr>
            </w:pPr>
          </w:p>
        </w:tc>
        <w:tc>
          <w:tcPr>
            <w:tcW w:w="533" w:type="pct"/>
            <w:vAlign w:val="bottom"/>
          </w:tcPr>
          <w:p w14:paraId="6BAB13E8" w14:textId="77777777" w:rsidR="004E2F51" w:rsidRPr="005B35F4" w:rsidRDefault="004E2F51" w:rsidP="00E032FC">
            <w:pPr>
              <w:jc w:val="right"/>
              <w:rPr>
                <w:rFonts w:ascii="Arial" w:hAnsi="Arial" w:cs="Arial"/>
                <w:color w:val="000000"/>
                <w:sz w:val="17"/>
                <w:szCs w:val="17"/>
              </w:rPr>
            </w:pPr>
          </w:p>
        </w:tc>
        <w:tc>
          <w:tcPr>
            <w:tcW w:w="541" w:type="pct"/>
            <w:vAlign w:val="bottom"/>
          </w:tcPr>
          <w:p w14:paraId="1D27AC63" w14:textId="77777777" w:rsidR="004E2F51" w:rsidRPr="005B35F4" w:rsidRDefault="004E2F51" w:rsidP="00E032FC">
            <w:pPr>
              <w:jc w:val="right"/>
              <w:rPr>
                <w:rFonts w:ascii="Arial" w:hAnsi="Arial" w:cs="Arial"/>
                <w:color w:val="000000"/>
                <w:sz w:val="17"/>
                <w:szCs w:val="17"/>
              </w:rPr>
            </w:pPr>
          </w:p>
        </w:tc>
        <w:tc>
          <w:tcPr>
            <w:tcW w:w="536" w:type="pct"/>
            <w:vAlign w:val="bottom"/>
          </w:tcPr>
          <w:p w14:paraId="160D043F" w14:textId="77777777" w:rsidR="004E2F51" w:rsidRPr="005B35F4" w:rsidRDefault="004E2F51" w:rsidP="00E032FC">
            <w:pPr>
              <w:jc w:val="right"/>
              <w:rPr>
                <w:rFonts w:ascii="Arial" w:hAnsi="Arial" w:cs="Arial"/>
                <w:color w:val="000000"/>
                <w:sz w:val="17"/>
                <w:szCs w:val="17"/>
              </w:rPr>
            </w:pPr>
          </w:p>
        </w:tc>
        <w:tc>
          <w:tcPr>
            <w:tcW w:w="621" w:type="pct"/>
            <w:vAlign w:val="bottom"/>
          </w:tcPr>
          <w:p w14:paraId="0C6893CC" w14:textId="77777777" w:rsidR="004E2F51" w:rsidRPr="005B35F4" w:rsidRDefault="004E2F51" w:rsidP="00E032FC">
            <w:pPr>
              <w:jc w:val="right"/>
              <w:rPr>
                <w:rFonts w:ascii="Arial" w:hAnsi="Arial" w:cs="Arial"/>
                <w:color w:val="000000"/>
                <w:sz w:val="17"/>
                <w:szCs w:val="17"/>
              </w:rPr>
            </w:pPr>
          </w:p>
        </w:tc>
        <w:tc>
          <w:tcPr>
            <w:tcW w:w="591" w:type="pct"/>
            <w:vAlign w:val="bottom"/>
          </w:tcPr>
          <w:p w14:paraId="22FAA159" w14:textId="77777777" w:rsidR="004E2F51" w:rsidRPr="005B35F4" w:rsidRDefault="004E2F51" w:rsidP="00E032FC">
            <w:pPr>
              <w:jc w:val="right"/>
              <w:rPr>
                <w:rFonts w:ascii="Arial" w:hAnsi="Arial" w:cs="Arial"/>
                <w:color w:val="000000"/>
                <w:sz w:val="17"/>
                <w:szCs w:val="17"/>
              </w:rPr>
            </w:pPr>
          </w:p>
        </w:tc>
      </w:tr>
      <w:tr w:rsidR="004E2F51" w:rsidRPr="005B35F4" w14:paraId="67F2607E" w14:textId="77777777" w:rsidTr="00E032FC">
        <w:trPr>
          <w:trHeight w:val="161"/>
        </w:trPr>
        <w:tc>
          <w:tcPr>
            <w:tcW w:w="1632" w:type="pct"/>
          </w:tcPr>
          <w:p w14:paraId="72B8C10C" w14:textId="77777777" w:rsidR="004E2F51" w:rsidRPr="005B35F4" w:rsidRDefault="004E2F51" w:rsidP="00E032FC">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Obveze po depozitima</w:t>
            </w:r>
          </w:p>
        </w:tc>
        <w:tc>
          <w:tcPr>
            <w:tcW w:w="546" w:type="pct"/>
            <w:tcBorders>
              <w:top w:val="nil"/>
              <w:left w:val="nil"/>
              <w:bottom w:val="nil"/>
              <w:right w:val="nil"/>
            </w:tcBorders>
            <w:shd w:val="clear" w:color="auto" w:fill="auto"/>
            <w:vAlign w:val="bottom"/>
          </w:tcPr>
          <w:p w14:paraId="34D2CC1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622.284 </w:t>
            </w:r>
          </w:p>
        </w:tc>
        <w:tc>
          <w:tcPr>
            <w:tcW w:w="533" w:type="pct"/>
            <w:tcBorders>
              <w:top w:val="nil"/>
              <w:left w:val="nil"/>
              <w:bottom w:val="nil"/>
              <w:right w:val="nil"/>
            </w:tcBorders>
            <w:shd w:val="clear" w:color="auto" w:fill="auto"/>
            <w:vAlign w:val="bottom"/>
          </w:tcPr>
          <w:p w14:paraId="15ED5DF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22.169 </w:t>
            </w:r>
          </w:p>
        </w:tc>
        <w:tc>
          <w:tcPr>
            <w:tcW w:w="541" w:type="pct"/>
            <w:tcBorders>
              <w:top w:val="nil"/>
              <w:left w:val="nil"/>
              <w:bottom w:val="nil"/>
              <w:right w:val="nil"/>
            </w:tcBorders>
            <w:shd w:val="clear" w:color="auto" w:fill="auto"/>
            <w:vAlign w:val="bottom"/>
          </w:tcPr>
          <w:p w14:paraId="4E3A6FA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105.183 </w:t>
            </w:r>
          </w:p>
        </w:tc>
        <w:tc>
          <w:tcPr>
            <w:tcW w:w="536" w:type="pct"/>
            <w:tcBorders>
              <w:top w:val="nil"/>
              <w:left w:val="nil"/>
              <w:bottom w:val="nil"/>
              <w:right w:val="nil"/>
            </w:tcBorders>
            <w:shd w:val="clear" w:color="auto" w:fill="auto"/>
            <w:vAlign w:val="bottom"/>
          </w:tcPr>
          <w:p w14:paraId="32D9FF82"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95.453 </w:t>
            </w:r>
          </w:p>
        </w:tc>
        <w:tc>
          <w:tcPr>
            <w:tcW w:w="621" w:type="pct"/>
            <w:tcBorders>
              <w:top w:val="nil"/>
              <w:left w:val="nil"/>
              <w:bottom w:val="nil"/>
              <w:right w:val="nil"/>
            </w:tcBorders>
            <w:shd w:val="clear" w:color="auto" w:fill="auto"/>
            <w:vAlign w:val="bottom"/>
          </w:tcPr>
          <w:p w14:paraId="702BEDA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115.452 </w:t>
            </w:r>
          </w:p>
        </w:tc>
        <w:tc>
          <w:tcPr>
            <w:tcW w:w="591" w:type="pct"/>
            <w:tcBorders>
              <w:top w:val="nil"/>
              <w:left w:val="nil"/>
              <w:bottom w:val="nil"/>
              <w:right w:val="nil"/>
            </w:tcBorders>
            <w:shd w:val="clear" w:color="auto" w:fill="auto"/>
            <w:vAlign w:val="bottom"/>
          </w:tcPr>
          <w:p w14:paraId="6048E7D3"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960.541</w:t>
            </w:r>
          </w:p>
        </w:tc>
      </w:tr>
      <w:tr w:rsidR="004E2F51" w:rsidRPr="005B35F4" w14:paraId="38449289" w14:textId="77777777" w:rsidTr="00E032FC">
        <w:trPr>
          <w:trHeight w:val="153"/>
        </w:trPr>
        <w:tc>
          <w:tcPr>
            <w:tcW w:w="1632" w:type="pct"/>
          </w:tcPr>
          <w:p w14:paraId="586CAF9E" w14:textId="77777777" w:rsidR="004E2F51" w:rsidRPr="005B35F4" w:rsidRDefault="004E2F51" w:rsidP="00E032FC">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Obveze po kreditima</w:t>
            </w:r>
          </w:p>
        </w:tc>
        <w:tc>
          <w:tcPr>
            <w:tcW w:w="546" w:type="pct"/>
            <w:tcBorders>
              <w:top w:val="nil"/>
              <w:left w:val="nil"/>
              <w:bottom w:val="nil"/>
              <w:right w:val="nil"/>
            </w:tcBorders>
            <w:shd w:val="clear" w:color="auto" w:fill="auto"/>
            <w:vAlign w:val="bottom"/>
          </w:tcPr>
          <w:p w14:paraId="5C9A252D"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244.301 </w:t>
            </w:r>
          </w:p>
        </w:tc>
        <w:tc>
          <w:tcPr>
            <w:tcW w:w="533" w:type="pct"/>
            <w:tcBorders>
              <w:top w:val="nil"/>
              <w:left w:val="nil"/>
              <w:bottom w:val="nil"/>
              <w:right w:val="nil"/>
            </w:tcBorders>
            <w:shd w:val="clear" w:color="auto" w:fill="auto"/>
            <w:vAlign w:val="bottom"/>
          </w:tcPr>
          <w:p w14:paraId="209114F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333.934** </w:t>
            </w:r>
          </w:p>
        </w:tc>
        <w:tc>
          <w:tcPr>
            <w:tcW w:w="541" w:type="pct"/>
            <w:tcBorders>
              <w:top w:val="nil"/>
              <w:left w:val="nil"/>
              <w:bottom w:val="nil"/>
              <w:right w:val="nil"/>
            </w:tcBorders>
            <w:shd w:val="clear" w:color="auto" w:fill="auto"/>
            <w:vAlign w:val="bottom"/>
          </w:tcPr>
          <w:p w14:paraId="78DD93CD"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1.807.992 </w:t>
            </w:r>
          </w:p>
        </w:tc>
        <w:tc>
          <w:tcPr>
            <w:tcW w:w="536" w:type="pct"/>
            <w:tcBorders>
              <w:top w:val="nil"/>
              <w:left w:val="nil"/>
              <w:bottom w:val="nil"/>
              <w:right w:val="nil"/>
            </w:tcBorders>
            <w:shd w:val="clear" w:color="auto" w:fill="auto"/>
            <w:vAlign w:val="bottom"/>
          </w:tcPr>
          <w:p w14:paraId="677C2465"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5.777.582 </w:t>
            </w:r>
          </w:p>
        </w:tc>
        <w:tc>
          <w:tcPr>
            <w:tcW w:w="621" w:type="pct"/>
            <w:tcBorders>
              <w:top w:val="nil"/>
              <w:left w:val="nil"/>
              <w:bottom w:val="nil"/>
              <w:right w:val="nil"/>
            </w:tcBorders>
            <w:shd w:val="clear" w:color="auto" w:fill="auto"/>
            <w:vAlign w:val="bottom"/>
          </w:tcPr>
          <w:p w14:paraId="208D198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7.951.428 </w:t>
            </w:r>
          </w:p>
        </w:tc>
        <w:tc>
          <w:tcPr>
            <w:tcW w:w="591" w:type="pct"/>
            <w:tcBorders>
              <w:top w:val="nil"/>
              <w:left w:val="nil"/>
              <w:bottom w:val="nil"/>
              <w:right w:val="nil"/>
            </w:tcBorders>
            <w:shd w:val="clear" w:color="auto" w:fill="auto"/>
            <w:vAlign w:val="bottom"/>
          </w:tcPr>
          <w:p w14:paraId="6018F38F"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16.115.237</w:t>
            </w:r>
          </w:p>
        </w:tc>
      </w:tr>
      <w:tr w:rsidR="004E2F51" w:rsidRPr="005B35F4" w14:paraId="0601E35C" w14:textId="77777777" w:rsidTr="00E032FC">
        <w:trPr>
          <w:trHeight w:val="315"/>
        </w:trPr>
        <w:tc>
          <w:tcPr>
            <w:tcW w:w="1632" w:type="pct"/>
            <w:vAlign w:val="bottom"/>
          </w:tcPr>
          <w:p w14:paraId="39B66697" w14:textId="77777777" w:rsidR="004E2F51" w:rsidRPr="005B35F4" w:rsidRDefault="004E2F51" w:rsidP="00E032FC">
            <w:pPr>
              <w:pStyle w:val="TT"/>
              <w:spacing w:line="220" w:lineRule="exact"/>
              <w:rPr>
                <w:rFonts w:cs="Arial"/>
                <w:color w:val="000000" w:themeColor="text1"/>
                <w:spacing w:val="-2"/>
                <w:sz w:val="17"/>
                <w:szCs w:val="17"/>
                <w:lang w:val="hr-HR"/>
              </w:rPr>
            </w:pPr>
            <w:r w:rsidRPr="005B35F4">
              <w:rPr>
                <w:rFonts w:cs="Arial"/>
                <w:color w:val="000000" w:themeColor="text1"/>
                <w:spacing w:val="-2"/>
                <w:sz w:val="17"/>
                <w:szCs w:val="17"/>
                <w:lang w:val="hr-HR"/>
              </w:rPr>
              <w:t>Rezerviranja za garancije, preuzete i ostale obveze</w:t>
            </w:r>
          </w:p>
        </w:tc>
        <w:tc>
          <w:tcPr>
            <w:tcW w:w="546" w:type="pct"/>
            <w:tcBorders>
              <w:top w:val="nil"/>
              <w:left w:val="nil"/>
              <w:bottom w:val="nil"/>
              <w:right w:val="nil"/>
            </w:tcBorders>
            <w:shd w:val="clear" w:color="auto" w:fill="auto"/>
            <w:vAlign w:val="bottom"/>
          </w:tcPr>
          <w:p w14:paraId="258A7A03" w14:textId="77777777" w:rsidR="004E2F51" w:rsidRPr="005B35F4" w:rsidDel="00F864B4" w:rsidRDefault="004E2F51" w:rsidP="00E032FC">
            <w:pPr>
              <w:jc w:val="right"/>
              <w:rPr>
                <w:rFonts w:ascii="Arial" w:hAnsi="Arial" w:cs="Arial"/>
                <w:color w:val="000000"/>
                <w:sz w:val="17"/>
                <w:szCs w:val="17"/>
              </w:rPr>
            </w:pPr>
            <w:r w:rsidRPr="005B35F4">
              <w:rPr>
                <w:rFonts w:ascii="Arial" w:hAnsi="Arial" w:cs="Arial"/>
                <w:color w:val="000000"/>
                <w:sz w:val="17"/>
                <w:szCs w:val="17"/>
                <w:lang w:val="it-IT"/>
              </w:rPr>
              <w:t xml:space="preserve"> </w:t>
            </w:r>
            <w:r w:rsidRPr="005B35F4">
              <w:rPr>
                <w:rFonts w:ascii="Arial" w:hAnsi="Arial" w:cs="Arial"/>
                <w:color w:val="000000"/>
                <w:sz w:val="17"/>
                <w:szCs w:val="17"/>
              </w:rPr>
              <w:t xml:space="preserve">105.893 </w:t>
            </w:r>
          </w:p>
        </w:tc>
        <w:tc>
          <w:tcPr>
            <w:tcW w:w="533" w:type="pct"/>
            <w:tcBorders>
              <w:top w:val="nil"/>
              <w:left w:val="nil"/>
              <w:bottom w:val="nil"/>
              <w:right w:val="nil"/>
            </w:tcBorders>
            <w:shd w:val="clear" w:color="auto" w:fill="auto"/>
            <w:vAlign w:val="bottom"/>
          </w:tcPr>
          <w:p w14:paraId="4C777FAF" w14:textId="77777777" w:rsidR="004E2F51" w:rsidRPr="005B35F4" w:rsidDel="00F864B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5.962 </w:t>
            </w:r>
          </w:p>
        </w:tc>
        <w:tc>
          <w:tcPr>
            <w:tcW w:w="541" w:type="pct"/>
            <w:tcBorders>
              <w:top w:val="nil"/>
              <w:left w:val="nil"/>
              <w:bottom w:val="nil"/>
              <w:right w:val="nil"/>
            </w:tcBorders>
            <w:shd w:val="clear" w:color="auto" w:fill="auto"/>
            <w:vAlign w:val="bottom"/>
          </w:tcPr>
          <w:p w14:paraId="1F6A3810" w14:textId="77777777" w:rsidR="004E2F51" w:rsidRPr="005B35F4" w:rsidDel="00F864B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20.072 </w:t>
            </w:r>
          </w:p>
        </w:tc>
        <w:tc>
          <w:tcPr>
            <w:tcW w:w="536" w:type="pct"/>
            <w:tcBorders>
              <w:top w:val="nil"/>
              <w:left w:val="nil"/>
              <w:bottom w:val="nil"/>
              <w:right w:val="nil"/>
            </w:tcBorders>
            <w:shd w:val="clear" w:color="auto" w:fill="auto"/>
            <w:vAlign w:val="bottom"/>
          </w:tcPr>
          <w:p w14:paraId="48F58F56" w14:textId="77777777" w:rsidR="004E2F51" w:rsidRPr="005B35F4" w:rsidDel="00F864B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30.577 </w:t>
            </w:r>
          </w:p>
        </w:tc>
        <w:tc>
          <w:tcPr>
            <w:tcW w:w="621" w:type="pct"/>
            <w:tcBorders>
              <w:top w:val="nil"/>
              <w:left w:val="nil"/>
              <w:bottom w:val="nil"/>
              <w:right w:val="nil"/>
            </w:tcBorders>
            <w:shd w:val="clear" w:color="auto" w:fill="auto"/>
            <w:vAlign w:val="bottom"/>
          </w:tcPr>
          <w:p w14:paraId="0F88A1B3" w14:textId="77777777" w:rsidR="004E2F51" w:rsidRPr="005B35F4" w:rsidDel="00F864B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28.056 </w:t>
            </w:r>
          </w:p>
        </w:tc>
        <w:tc>
          <w:tcPr>
            <w:tcW w:w="591" w:type="pct"/>
            <w:tcBorders>
              <w:top w:val="nil"/>
              <w:left w:val="nil"/>
              <w:bottom w:val="nil"/>
              <w:right w:val="nil"/>
            </w:tcBorders>
            <w:shd w:val="clear" w:color="auto" w:fill="auto"/>
            <w:vAlign w:val="bottom"/>
          </w:tcPr>
          <w:p w14:paraId="07B00023" w14:textId="77777777" w:rsidR="004E2F51" w:rsidRPr="005B35F4" w:rsidDel="00F864B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190.560 </w:t>
            </w:r>
          </w:p>
        </w:tc>
      </w:tr>
      <w:tr w:rsidR="004E2F51" w:rsidRPr="005B35F4" w14:paraId="23CCB146" w14:textId="77777777" w:rsidTr="00E032FC">
        <w:trPr>
          <w:trHeight w:val="153"/>
        </w:trPr>
        <w:tc>
          <w:tcPr>
            <w:tcW w:w="1632" w:type="pct"/>
          </w:tcPr>
          <w:p w14:paraId="117BED15" w14:textId="77777777" w:rsidR="004E2F51" w:rsidRPr="005B35F4" w:rsidRDefault="004E2F51" w:rsidP="00E032FC">
            <w:pPr>
              <w:pStyle w:val="TT"/>
              <w:spacing w:line="220" w:lineRule="exact"/>
              <w:rPr>
                <w:rFonts w:cs="Arial"/>
                <w:color w:val="000000" w:themeColor="text1"/>
                <w:sz w:val="17"/>
                <w:szCs w:val="17"/>
                <w:lang w:val="hr-HR"/>
              </w:rPr>
            </w:pPr>
            <w:r w:rsidRPr="005B35F4">
              <w:rPr>
                <w:rFonts w:cs="Arial"/>
                <w:color w:val="000000" w:themeColor="text1"/>
                <w:spacing w:val="-2"/>
                <w:sz w:val="17"/>
                <w:szCs w:val="17"/>
                <w:lang w:val="hr-HR"/>
              </w:rPr>
              <w:t>Ostale obveze</w:t>
            </w:r>
          </w:p>
        </w:tc>
        <w:tc>
          <w:tcPr>
            <w:tcW w:w="546" w:type="pct"/>
            <w:tcBorders>
              <w:top w:val="nil"/>
              <w:left w:val="nil"/>
              <w:bottom w:val="nil"/>
              <w:right w:val="nil"/>
            </w:tcBorders>
            <w:shd w:val="clear" w:color="auto" w:fill="auto"/>
            <w:vAlign w:val="bottom"/>
          </w:tcPr>
          <w:p w14:paraId="5A42FBF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232.641 </w:t>
            </w:r>
          </w:p>
        </w:tc>
        <w:tc>
          <w:tcPr>
            <w:tcW w:w="533" w:type="pct"/>
            <w:tcBorders>
              <w:top w:val="nil"/>
              <w:left w:val="nil"/>
              <w:bottom w:val="nil"/>
              <w:right w:val="nil"/>
            </w:tcBorders>
            <w:shd w:val="clear" w:color="auto" w:fill="auto"/>
            <w:vAlign w:val="bottom"/>
          </w:tcPr>
          <w:p w14:paraId="56CA3669"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15.695 </w:t>
            </w:r>
          </w:p>
        </w:tc>
        <w:tc>
          <w:tcPr>
            <w:tcW w:w="541" w:type="pct"/>
            <w:tcBorders>
              <w:top w:val="nil"/>
              <w:left w:val="nil"/>
              <w:bottom w:val="nil"/>
              <w:right w:val="nil"/>
            </w:tcBorders>
            <w:shd w:val="clear" w:color="auto" w:fill="auto"/>
            <w:vAlign w:val="bottom"/>
          </w:tcPr>
          <w:p w14:paraId="26962CA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51.058 </w:t>
            </w:r>
          </w:p>
        </w:tc>
        <w:tc>
          <w:tcPr>
            <w:tcW w:w="536" w:type="pct"/>
            <w:tcBorders>
              <w:top w:val="nil"/>
              <w:left w:val="nil"/>
              <w:bottom w:val="nil"/>
              <w:right w:val="nil"/>
            </w:tcBorders>
            <w:shd w:val="clear" w:color="auto" w:fill="auto"/>
            <w:vAlign w:val="bottom"/>
          </w:tcPr>
          <w:p w14:paraId="6A3B68E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75.994 </w:t>
            </w:r>
          </w:p>
        </w:tc>
        <w:tc>
          <w:tcPr>
            <w:tcW w:w="621" w:type="pct"/>
            <w:tcBorders>
              <w:top w:val="nil"/>
              <w:left w:val="nil"/>
              <w:bottom w:val="nil"/>
              <w:right w:val="nil"/>
            </w:tcBorders>
            <w:shd w:val="clear" w:color="auto" w:fill="auto"/>
            <w:vAlign w:val="bottom"/>
          </w:tcPr>
          <w:p w14:paraId="0433E07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59.851 </w:t>
            </w:r>
          </w:p>
        </w:tc>
        <w:tc>
          <w:tcPr>
            <w:tcW w:w="591" w:type="pct"/>
            <w:tcBorders>
              <w:top w:val="nil"/>
              <w:left w:val="nil"/>
              <w:bottom w:val="nil"/>
              <w:right w:val="nil"/>
            </w:tcBorders>
            <w:shd w:val="clear" w:color="auto" w:fill="auto"/>
            <w:vAlign w:val="bottom"/>
          </w:tcPr>
          <w:p w14:paraId="55366BA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435.239 </w:t>
            </w:r>
          </w:p>
        </w:tc>
      </w:tr>
      <w:tr w:rsidR="004E2F51" w:rsidRPr="005B35F4" w14:paraId="3FA33AE8" w14:textId="77777777" w:rsidTr="00E032FC">
        <w:trPr>
          <w:trHeight w:val="153"/>
        </w:trPr>
        <w:tc>
          <w:tcPr>
            <w:tcW w:w="1632" w:type="pct"/>
          </w:tcPr>
          <w:p w14:paraId="7EB98878" w14:textId="77777777" w:rsidR="004E2F51" w:rsidRPr="005B35F4" w:rsidRDefault="004E2F51" w:rsidP="00E032FC">
            <w:pPr>
              <w:pStyle w:val="Tot"/>
              <w:spacing w:line="220" w:lineRule="exact"/>
              <w:rPr>
                <w:rFonts w:cs="Arial"/>
                <w:b/>
                <w:bCs/>
                <w:color w:val="000000" w:themeColor="text1"/>
                <w:sz w:val="17"/>
                <w:szCs w:val="17"/>
                <w:lang w:val="hr-HR"/>
              </w:rPr>
            </w:pPr>
            <w:r w:rsidRPr="005B35F4">
              <w:rPr>
                <w:rFonts w:cs="Arial"/>
                <w:b/>
                <w:bCs/>
                <w:color w:val="000000" w:themeColor="text1"/>
                <w:sz w:val="17"/>
                <w:szCs w:val="17"/>
                <w:lang w:val="hr-HR"/>
              </w:rPr>
              <w:t>Ukupne obveze</w:t>
            </w:r>
          </w:p>
        </w:tc>
        <w:tc>
          <w:tcPr>
            <w:tcW w:w="546" w:type="pct"/>
            <w:tcBorders>
              <w:top w:val="single" w:sz="8" w:space="0" w:color="auto"/>
              <w:left w:val="nil"/>
              <w:bottom w:val="single" w:sz="8" w:space="0" w:color="auto"/>
              <w:right w:val="nil"/>
            </w:tcBorders>
            <w:shd w:val="clear" w:color="auto" w:fill="auto"/>
            <w:vAlign w:val="bottom"/>
          </w:tcPr>
          <w:p w14:paraId="2EB54CB8"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 xml:space="preserve"> 1.205.119 </w:t>
            </w:r>
          </w:p>
        </w:tc>
        <w:tc>
          <w:tcPr>
            <w:tcW w:w="533" w:type="pct"/>
            <w:tcBorders>
              <w:top w:val="single" w:sz="8" w:space="0" w:color="auto"/>
              <w:left w:val="nil"/>
              <w:bottom w:val="single" w:sz="8" w:space="0" w:color="auto"/>
              <w:right w:val="nil"/>
            </w:tcBorders>
            <w:shd w:val="clear" w:color="auto" w:fill="auto"/>
            <w:vAlign w:val="bottom"/>
          </w:tcPr>
          <w:p w14:paraId="7C4D02AF"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 xml:space="preserve"> 377.760 </w:t>
            </w:r>
          </w:p>
        </w:tc>
        <w:tc>
          <w:tcPr>
            <w:tcW w:w="541" w:type="pct"/>
            <w:tcBorders>
              <w:top w:val="single" w:sz="8" w:space="0" w:color="auto"/>
              <w:left w:val="nil"/>
              <w:bottom w:val="single" w:sz="8" w:space="0" w:color="auto"/>
              <w:right w:val="nil"/>
            </w:tcBorders>
            <w:shd w:val="clear" w:color="auto" w:fill="auto"/>
            <w:vAlign w:val="bottom"/>
          </w:tcPr>
          <w:p w14:paraId="316CFD98"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 xml:space="preserve">1.984.305 </w:t>
            </w:r>
          </w:p>
        </w:tc>
        <w:tc>
          <w:tcPr>
            <w:tcW w:w="536" w:type="pct"/>
            <w:tcBorders>
              <w:top w:val="single" w:sz="8" w:space="0" w:color="auto"/>
              <w:left w:val="nil"/>
              <w:bottom w:val="single" w:sz="8" w:space="0" w:color="auto"/>
              <w:right w:val="nil"/>
            </w:tcBorders>
            <w:shd w:val="clear" w:color="auto" w:fill="auto"/>
            <w:vAlign w:val="bottom"/>
          </w:tcPr>
          <w:p w14:paraId="3D497A2C"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 xml:space="preserve">5.979.606 </w:t>
            </w:r>
          </w:p>
        </w:tc>
        <w:tc>
          <w:tcPr>
            <w:tcW w:w="621" w:type="pct"/>
            <w:tcBorders>
              <w:top w:val="single" w:sz="8" w:space="0" w:color="auto"/>
              <w:left w:val="nil"/>
              <w:bottom w:val="single" w:sz="8" w:space="0" w:color="auto"/>
              <w:right w:val="nil"/>
            </w:tcBorders>
            <w:shd w:val="clear" w:color="auto" w:fill="auto"/>
            <w:vAlign w:val="bottom"/>
          </w:tcPr>
          <w:p w14:paraId="46E0CE8A"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 xml:space="preserve"> 8.154.787 </w:t>
            </w:r>
          </w:p>
        </w:tc>
        <w:tc>
          <w:tcPr>
            <w:tcW w:w="591" w:type="pct"/>
            <w:tcBorders>
              <w:top w:val="single" w:sz="8" w:space="0" w:color="auto"/>
              <w:left w:val="nil"/>
              <w:bottom w:val="single" w:sz="8" w:space="0" w:color="auto"/>
              <w:right w:val="nil"/>
            </w:tcBorders>
            <w:shd w:val="clear" w:color="auto" w:fill="auto"/>
            <w:vAlign w:val="bottom"/>
          </w:tcPr>
          <w:p w14:paraId="396054D5"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 xml:space="preserve">17.701.577 </w:t>
            </w:r>
          </w:p>
        </w:tc>
      </w:tr>
      <w:tr w:rsidR="004E2F51" w:rsidRPr="005B35F4" w14:paraId="59782312" w14:textId="77777777" w:rsidTr="00E032FC">
        <w:trPr>
          <w:trHeight w:val="229"/>
        </w:trPr>
        <w:tc>
          <w:tcPr>
            <w:tcW w:w="1632" w:type="pct"/>
            <w:vAlign w:val="bottom"/>
          </w:tcPr>
          <w:p w14:paraId="7417B3B7" w14:textId="77777777" w:rsidR="004E2F51" w:rsidRPr="005B35F4" w:rsidRDefault="004E2F51" w:rsidP="00E032FC">
            <w:pPr>
              <w:pStyle w:val="Tot"/>
              <w:spacing w:line="220" w:lineRule="exact"/>
              <w:rPr>
                <w:rFonts w:cs="Arial"/>
                <w:b/>
                <w:bCs/>
                <w:color w:val="000000" w:themeColor="text1"/>
                <w:spacing w:val="-2"/>
                <w:sz w:val="17"/>
                <w:szCs w:val="17"/>
                <w:lang w:val="hr-HR"/>
              </w:rPr>
            </w:pPr>
            <w:r w:rsidRPr="005B35F4">
              <w:rPr>
                <w:rFonts w:eastAsia="Calibri" w:cs="Arial"/>
                <w:b/>
                <w:bCs/>
                <w:color w:val="000000" w:themeColor="text1"/>
                <w:spacing w:val="-2"/>
                <w:sz w:val="17"/>
                <w:szCs w:val="17"/>
                <w:lang w:val="hr-HR"/>
              </w:rPr>
              <w:t>Likvidnosni jaz</w:t>
            </w:r>
          </w:p>
        </w:tc>
        <w:tc>
          <w:tcPr>
            <w:tcW w:w="546" w:type="pct"/>
            <w:tcBorders>
              <w:top w:val="single" w:sz="4" w:space="0" w:color="auto"/>
              <w:left w:val="nil"/>
              <w:bottom w:val="single" w:sz="8" w:space="0" w:color="auto"/>
              <w:right w:val="nil"/>
            </w:tcBorders>
            <w:shd w:val="clear" w:color="auto" w:fill="auto"/>
            <w:vAlign w:val="bottom"/>
          </w:tcPr>
          <w:p w14:paraId="4C5660BA"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 xml:space="preserve"> 5.968.520 </w:t>
            </w:r>
          </w:p>
        </w:tc>
        <w:tc>
          <w:tcPr>
            <w:tcW w:w="533" w:type="pct"/>
            <w:tcBorders>
              <w:top w:val="single" w:sz="4" w:space="0" w:color="auto"/>
              <w:left w:val="nil"/>
              <w:bottom w:val="single" w:sz="8" w:space="0" w:color="auto"/>
              <w:right w:val="nil"/>
            </w:tcBorders>
            <w:shd w:val="clear" w:color="auto" w:fill="auto"/>
            <w:vAlign w:val="bottom"/>
          </w:tcPr>
          <w:p w14:paraId="28C9931E"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 xml:space="preserve">169.650 </w:t>
            </w:r>
          </w:p>
        </w:tc>
        <w:tc>
          <w:tcPr>
            <w:tcW w:w="541" w:type="pct"/>
            <w:tcBorders>
              <w:top w:val="single" w:sz="4" w:space="0" w:color="auto"/>
              <w:left w:val="nil"/>
              <w:bottom w:val="single" w:sz="8" w:space="0" w:color="auto"/>
              <w:right w:val="nil"/>
            </w:tcBorders>
            <w:shd w:val="clear" w:color="auto" w:fill="auto"/>
            <w:vAlign w:val="bottom"/>
          </w:tcPr>
          <w:p w14:paraId="581DADAE"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 xml:space="preserve"> (31.850) </w:t>
            </w:r>
          </w:p>
        </w:tc>
        <w:tc>
          <w:tcPr>
            <w:tcW w:w="536" w:type="pct"/>
            <w:tcBorders>
              <w:top w:val="single" w:sz="4" w:space="0" w:color="auto"/>
              <w:left w:val="nil"/>
              <w:bottom w:val="single" w:sz="8" w:space="0" w:color="auto"/>
              <w:right w:val="nil"/>
            </w:tcBorders>
            <w:shd w:val="clear" w:color="auto" w:fill="auto"/>
            <w:vAlign w:val="bottom"/>
          </w:tcPr>
          <w:p w14:paraId="059CC681"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 xml:space="preserve"> (841.400)</w:t>
            </w:r>
          </w:p>
        </w:tc>
        <w:tc>
          <w:tcPr>
            <w:tcW w:w="621" w:type="pct"/>
            <w:tcBorders>
              <w:top w:val="single" w:sz="4" w:space="0" w:color="auto"/>
              <w:left w:val="nil"/>
              <w:bottom w:val="single" w:sz="8" w:space="0" w:color="auto"/>
              <w:right w:val="nil"/>
            </w:tcBorders>
            <w:shd w:val="clear" w:color="auto" w:fill="auto"/>
            <w:vAlign w:val="bottom"/>
          </w:tcPr>
          <w:p w14:paraId="6A77F19E"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 xml:space="preserve">5.311.865 </w:t>
            </w:r>
          </w:p>
        </w:tc>
        <w:tc>
          <w:tcPr>
            <w:tcW w:w="591" w:type="pct"/>
            <w:tcBorders>
              <w:top w:val="single" w:sz="4" w:space="0" w:color="auto"/>
              <w:left w:val="nil"/>
              <w:bottom w:val="single" w:sz="8" w:space="0" w:color="auto"/>
              <w:right w:val="nil"/>
            </w:tcBorders>
            <w:shd w:val="clear" w:color="auto" w:fill="auto"/>
            <w:vAlign w:val="bottom"/>
          </w:tcPr>
          <w:p w14:paraId="167D216D"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 xml:space="preserve">10.576.785 </w:t>
            </w:r>
          </w:p>
        </w:tc>
      </w:tr>
      <w:tr w:rsidR="004E2F51" w:rsidRPr="005B35F4" w14:paraId="35B10222" w14:textId="77777777" w:rsidTr="00E032FC">
        <w:trPr>
          <w:trHeight w:val="229"/>
        </w:trPr>
        <w:tc>
          <w:tcPr>
            <w:tcW w:w="1632" w:type="pct"/>
            <w:vAlign w:val="bottom"/>
          </w:tcPr>
          <w:p w14:paraId="70E64686" w14:textId="77777777" w:rsidR="004E2F51" w:rsidRPr="005B35F4" w:rsidRDefault="004E2F51" w:rsidP="00E032FC">
            <w:pPr>
              <w:pStyle w:val="Tot"/>
              <w:spacing w:line="220" w:lineRule="exact"/>
              <w:rPr>
                <w:rFonts w:eastAsia="Calibri" w:cs="Arial"/>
                <w:b/>
                <w:bCs/>
                <w:color w:val="000000" w:themeColor="text1"/>
                <w:spacing w:val="-2"/>
                <w:sz w:val="17"/>
                <w:szCs w:val="17"/>
                <w:lang w:val="hr-HR"/>
              </w:rPr>
            </w:pPr>
          </w:p>
        </w:tc>
        <w:tc>
          <w:tcPr>
            <w:tcW w:w="546" w:type="pct"/>
            <w:tcBorders>
              <w:top w:val="single" w:sz="12" w:space="0" w:color="auto"/>
              <w:left w:val="nil"/>
              <w:right w:val="nil"/>
            </w:tcBorders>
            <w:shd w:val="clear" w:color="auto" w:fill="auto"/>
            <w:vAlign w:val="bottom"/>
          </w:tcPr>
          <w:p w14:paraId="4D2C6C7A" w14:textId="77777777" w:rsidR="004E2F51" w:rsidRPr="005B35F4" w:rsidRDefault="004E2F51" w:rsidP="00E032FC">
            <w:pPr>
              <w:jc w:val="right"/>
              <w:rPr>
                <w:rFonts w:ascii="Arial" w:hAnsi="Arial" w:cs="Arial"/>
                <w:color w:val="000000"/>
                <w:sz w:val="17"/>
                <w:szCs w:val="17"/>
              </w:rPr>
            </w:pPr>
          </w:p>
        </w:tc>
        <w:tc>
          <w:tcPr>
            <w:tcW w:w="533" w:type="pct"/>
            <w:tcBorders>
              <w:top w:val="single" w:sz="12" w:space="0" w:color="auto"/>
              <w:left w:val="nil"/>
              <w:right w:val="nil"/>
            </w:tcBorders>
            <w:shd w:val="clear" w:color="auto" w:fill="auto"/>
            <w:vAlign w:val="bottom"/>
          </w:tcPr>
          <w:p w14:paraId="3C4A7071" w14:textId="77777777" w:rsidR="004E2F51" w:rsidRPr="005B35F4" w:rsidRDefault="004E2F51" w:rsidP="00E032FC">
            <w:pPr>
              <w:jc w:val="right"/>
              <w:rPr>
                <w:rFonts w:ascii="Arial" w:hAnsi="Arial" w:cs="Arial"/>
                <w:color w:val="000000"/>
                <w:sz w:val="17"/>
                <w:szCs w:val="17"/>
              </w:rPr>
            </w:pPr>
          </w:p>
        </w:tc>
        <w:tc>
          <w:tcPr>
            <w:tcW w:w="541" w:type="pct"/>
            <w:tcBorders>
              <w:top w:val="single" w:sz="12" w:space="0" w:color="auto"/>
              <w:left w:val="nil"/>
              <w:right w:val="nil"/>
            </w:tcBorders>
            <w:shd w:val="clear" w:color="auto" w:fill="auto"/>
            <w:vAlign w:val="bottom"/>
          </w:tcPr>
          <w:p w14:paraId="0EC87D04" w14:textId="77777777" w:rsidR="004E2F51" w:rsidRPr="005B35F4" w:rsidRDefault="004E2F51" w:rsidP="00E032FC">
            <w:pPr>
              <w:jc w:val="right"/>
              <w:rPr>
                <w:rFonts w:ascii="Arial" w:hAnsi="Arial" w:cs="Arial"/>
                <w:color w:val="000000"/>
                <w:sz w:val="17"/>
                <w:szCs w:val="17"/>
              </w:rPr>
            </w:pPr>
          </w:p>
        </w:tc>
        <w:tc>
          <w:tcPr>
            <w:tcW w:w="536" w:type="pct"/>
            <w:tcBorders>
              <w:top w:val="single" w:sz="12" w:space="0" w:color="auto"/>
              <w:left w:val="nil"/>
              <w:right w:val="nil"/>
            </w:tcBorders>
            <w:shd w:val="clear" w:color="auto" w:fill="auto"/>
            <w:vAlign w:val="bottom"/>
          </w:tcPr>
          <w:p w14:paraId="3C70AD63" w14:textId="77777777" w:rsidR="004E2F51" w:rsidRPr="005B35F4" w:rsidRDefault="004E2F51" w:rsidP="00E032FC">
            <w:pPr>
              <w:jc w:val="right"/>
              <w:rPr>
                <w:rFonts w:ascii="Arial" w:hAnsi="Arial" w:cs="Arial"/>
                <w:color w:val="000000"/>
                <w:sz w:val="17"/>
                <w:szCs w:val="17"/>
              </w:rPr>
            </w:pPr>
          </w:p>
        </w:tc>
        <w:tc>
          <w:tcPr>
            <w:tcW w:w="621" w:type="pct"/>
            <w:tcBorders>
              <w:top w:val="single" w:sz="12" w:space="0" w:color="auto"/>
              <w:left w:val="nil"/>
              <w:right w:val="nil"/>
            </w:tcBorders>
            <w:shd w:val="clear" w:color="auto" w:fill="auto"/>
            <w:vAlign w:val="bottom"/>
          </w:tcPr>
          <w:p w14:paraId="49B88BE0" w14:textId="77777777" w:rsidR="004E2F51" w:rsidRPr="005B35F4" w:rsidRDefault="004E2F51" w:rsidP="00E032FC">
            <w:pPr>
              <w:jc w:val="right"/>
              <w:rPr>
                <w:rFonts w:ascii="Arial" w:hAnsi="Arial" w:cs="Arial"/>
                <w:color w:val="000000"/>
                <w:sz w:val="17"/>
                <w:szCs w:val="17"/>
              </w:rPr>
            </w:pPr>
          </w:p>
        </w:tc>
        <w:tc>
          <w:tcPr>
            <w:tcW w:w="591" w:type="pct"/>
            <w:tcBorders>
              <w:top w:val="single" w:sz="12" w:space="0" w:color="auto"/>
              <w:left w:val="nil"/>
              <w:right w:val="nil"/>
            </w:tcBorders>
            <w:shd w:val="clear" w:color="auto" w:fill="auto"/>
            <w:vAlign w:val="bottom"/>
          </w:tcPr>
          <w:p w14:paraId="47DAF335" w14:textId="77777777" w:rsidR="004E2F51" w:rsidRPr="005B35F4" w:rsidRDefault="004E2F51" w:rsidP="00E032FC">
            <w:pPr>
              <w:jc w:val="right"/>
              <w:rPr>
                <w:rFonts w:ascii="Arial" w:hAnsi="Arial" w:cs="Arial"/>
                <w:color w:val="000000"/>
                <w:sz w:val="17"/>
                <w:szCs w:val="17"/>
              </w:rPr>
            </w:pPr>
          </w:p>
        </w:tc>
      </w:tr>
      <w:tr w:rsidR="004E2F51" w:rsidRPr="005B35F4" w14:paraId="0D5909F4" w14:textId="77777777" w:rsidTr="00E032FC">
        <w:trPr>
          <w:trHeight w:val="229"/>
        </w:trPr>
        <w:tc>
          <w:tcPr>
            <w:tcW w:w="1632" w:type="pct"/>
            <w:tcBorders>
              <w:top w:val="nil"/>
              <w:left w:val="nil"/>
              <w:bottom w:val="nil"/>
              <w:right w:val="nil"/>
            </w:tcBorders>
            <w:shd w:val="clear" w:color="auto" w:fill="auto"/>
            <w:vAlign w:val="center"/>
          </w:tcPr>
          <w:p w14:paraId="62ABAFEF" w14:textId="77777777" w:rsidR="004E2F51" w:rsidRPr="005B35F4" w:rsidRDefault="004E2F51" w:rsidP="00E032FC">
            <w:pPr>
              <w:pStyle w:val="Tot"/>
              <w:spacing w:line="220" w:lineRule="exact"/>
              <w:rPr>
                <w:rFonts w:eastAsia="Calibri" w:cs="Arial"/>
                <w:b/>
                <w:bCs/>
                <w:color w:val="000000" w:themeColor="text1"/>
                <w:spacing w:val="-2"/>
                <w:sz w:val="17"/>
                <w:szCs w:val="17"/>
                <w:lang w:val="hr-HR"/>
              </w:rPr>
            </w:pPr>
            <w:r w:rsidRPr="005B35F4">
              <w:rPr>
                <w:rFonts w:cs="Arial"/>
                <w:b/>
                <w:bCs/>
                <w:color w:val="000000" w:themeColor="text1"/>
                <w:sz w:val="17"/>
                <w:szCs w:val="17"/>
                <w:lang w:val="hr-HR"/>
              </w:rPr>
              <w:t>Garancije i preuzete obveze</w:t>
            </w:r>
          </w:p>
        </w:tc>
        <w:tc>
          <w:tcPr>
            <w:tcW w:w="546" w:type="pct"/>
            <w:tcBorders>
              <w:top w:val="nil"/>
              <w:left w:val="nil"/>
              <w:bottom w:val="nil"/>
              <w:right w:val="nil"/>
            </w:tcBorders>
            <w:shd w:val="clear" w:color="auto" w:fill="auto"/>
            <w:vAlign w:val="bottom"/>
          </w:tcPr>
          <w:p w14:paraId="6F895F01" w14:textId="77777777" w:rsidR="004E2F51" w:rsidRPr="005B35F4" w:rsidRDefault="004E2F51" w:rsidP="00E032FC">
            <w:pPr>
              <w:jc w:val="right"/>
              <w:rPr>
                <w:rFonts w:ascii="Arial" w:hAnsi="Arial" w:cs="Arial"/>
                <w:color w:val="000000"/>
                <w:sz w:val="17"/>
                <w:szCs w:val="17"/>
              </w:rPr>
            </w:pPr>
          </w:p>
        </w:tc>
        <w:tc>
          <w:tcPr>
            <w:tcW w:w="533" w:type="pct"/>
            <w:tcBorders>
              <w:top w:val="nil"/>
              <w:left w:val="nil"/>
              <w:bottom w:val="nil"/>
              <w:right w:val="nil"/>
            </w:tcBorders>
            <w:shd w:val="clear" w:color="auto" w:fill="auto"/>
            <w:vAlign w:val="bottom"/>
          </w:tcPr>
          <w:p w14:paraId="040E9AE2" w14:textId="77777777" w:rsidR="004E2F51" w:rsidRPr="005B35F4" w:rsidRDefault="004E2F51" w:rsidP="00E032FC">
            <w:pPr>
              <w:jc w:val="right"/>
              <w:rPr>
                <w:rFonts w:ascii="Arial" w:hAnsi="Arial" w:cs="Arial"/>
                <w:color w:val="000000"/>
                <w:sz w:val="17"/>
                <w:szCs w:val="17"/>
              </w:rPr>
            </w:pPr>
          </w:p>
        </w:tc>
        <w:tc>
          <w:tcPr>
            <w:tcW w:w="541" w:type="pct"/>
            <w:tcBorders>
              <w:top w:val="nil"/>
              <w:left w:val="nil"/>
              <w:bottom w:val="nil"/>
              <w:right w:val="nil"/>
            </w:tcBorders>
            <w:shd w:val="clear" w:color="auto" w:fill="auto"/>
            <w:vAlign w:val="bottom"/>
          </w:tcPr>
          <w:p w14:paraId="3F588AC5" w14:textId="77777777" w:rsidR="004E2F51" w:rsidRPr="005B35F4" w:rsidRDefault="004E2F51" w:rsidP="00E032FC">
            <w:pPr>
              <w:jc w:val="right"/>
              <w:rPr>
                <w:rFonts w:ascii="Arial" w:hAnsi="Arial" w:cs="Arial"/>
                <w:color w:val="000000"/>
                <w:sz w:val="17"/>
                <w:szCs w:val="17"/>
              </w:rPr>
            </w:pPr>
          </w:p>
        </w:tc>
        <w:tc>
          <w:tcPr>
            <w:tcW w:w="536" w:type="pct"/>
            <w:tcBorders>
              <w:top w:val="nil"/>
              <w:left w:val="nil"/>
              <w:bottom w:val="nil"/>
              <w:right w:val="nil"/>
            </w:tcBorders>
            <w:shd w:val="clear" w:color="auto" w:fill="auto"/>
            <w:vAlign w:val="bottom"/>
          </w:tcPr>
          <w:p w14:paraId="42D08A06" w14:textId="77777777" w:rsidR="004E2F51" w:rsidRPr="005B35F4" w:rsidRDefault="004E2F51" w:rsidP="00E032FC">
            <w:pPr>
              <w:jc w:val="right"/>
              <w:rPr>
                <w:rFonts w:ascii="Arial" w:hAnsi="Arial" w:cs="Arial"/>
                <w:color w:val="000000"/>
                <w:sz w:val="17"/>
                <w:szCs w:val="17"/>
              </w:rPr>
            </w:pPr>
          </w:p>
        </w:tc>
        <w:tc>
          <w:tcPr>
            <w:tcW w:w="621" w:type="pct"/>
            <w:tcBorders>
              <w:top w:val="nil"/>
              <w:left w:val="nil"/>
              <w:bottom w:val="nil"/>
              <w:right w:val="nil"/>
            </w:tcBorders>
            <w:shd w:val="clear" w:color="auto" w:fill="auto"/>
            <w:vAlign w:val="bottom"/>
          </w:tcPr>
          <w:p w14:paraId="554BD594" w14:textId="77777777" w:rsidR="004E2F51" w:rsidRPr="005B35F4" w:rsidRDefault="004E2F51" w:rsidP="00E032FC">
            <w:pPr>
              <w:jc w:val="right"/>
              <w:rPr>
                <w:rFonts w:ascii="Arial" w:hAnsi="Arial" w:cs="Arial"/>
                <w:color w:val="000000"/>
                <w:sz w:val="17"/>
                <w:szCs w:val="17"/>
              </w:rPr>
            </w:pPr>
          </w:p>
        </w:tc>
        <w:tc>
          <w:tcPr>
            <w:tcW w:w="591" w:type="pct"/>
            <w:tcBorders>
              <w:top w:val="nil"/>
              <w:left w:val="nil"/>
              <w:bottom w:val="nil"/>
              <w:right w:val="nil"/>
            </w:tcBorders>
            <w:shd w:val="clear" w:color="auto" w:fill="auto"/>
            <w:vAlign w:val="bottom"/>
          </w:tcPr>
          <w:p w14:paraId="594D80F5" w14:textId="77777777" w:rsidR="004E2F51" w:rsidRPr="005B35F4" w:rsidRDefault="004E2F51" w:rsidP="00E032FC">
            <w:pPr>
              <w:jc w:val="right"/>
              <w:rPr>
                <w:rFonts w:ascii="Arial" w:hAnsi="Arial" w:cs="Arial"/>
                <w:color w:val="000000"/>
                <w:sz w:val="17"/>
                <w:szCs w:val="17"/>
              </w:rPr>
            </w:pPr>
          </w:p>
        </w:tc>
      </w:tr>
      <w:tr w:rsidR="004E2F51" w:rsidRPr="005B35F4" w14:paraId="230F5037" w14:textId="77777777" w:rsidTr="00E032FC">
        <w:trPr>
          <w:trHeight w:val="229"/>
        </w:trPr>
        <w:tc>
          <w:tcPr>
            <w:tcW w:w="1632" w:type="pct"/>
            <w:tcBorders>
              <w:top w:val="nil"/>
              <w:left w:val="nil"/>
              <w:bottom w:val="nil"/>
              <w:right w:val="nil"/>
            </w:tcBorders>
            <w:shd w:val="clear" w:color="auto" w:fill="auto"/>
            <w:vAlign w:val="center"/>
          </w:tcPr>
          <w:p w14:paraId="2BDF8C0A" w14:textId="77777777" w:rsidR="004E2F51" w:rsidRPr="005B35F4" w:rsidRDefault="004E2F51" w:rsidP="00E032FC">
            <w:pPr>
              <w:pStyle w:val="Tot"/>
              <w:spacing w:line="220" w:lineRule="exact"/>
              <w:rPr>
                <w:rFonts w:eastAsia="Calibri" w:cs="Arial"/>
                <w:b/>
                <w:bCs/>
                <w:color w:val="000000" w:themeColor="text1"/>
                <w:spacing w:val="-2"/>
                <w:sz w:val="17"/>
                <w:szCs w:val="17"/>
                <w:lang w:val="hr-HR"/>
              </w:rPr>
            </w:pPr>
            <w:r w:rsidRPr="005B35F4">
              <w:rPr>
                <w:rFonts w:cs="Arial"/>
                <w:color w:val="000000" w:themeColor="text1"/>
                <w:sz w:val="17"/>
                <w:szCs w:val="17"/>
                <w:lang w:val="hr-HR"/>
              </w:rPr>
              <w:t>Izdane garancije u kunama</w:t>
            </w:r>
          </w:p>
        </w:tc>
        <w:tc>
          <w:tcPr>
            <w:tcW w:w="546" w:type="pct"/>
            <w:tcBorders>
              <w:top w:val="nil"/>
              <w:left w:val="nil"/>
              <w:bottom w:val="nil"/>
              <w:right w:val="nil"/>
            </w:tcBorders>
            <w:shd w:val="clear" w:color="auto" w:fill="auto"/>
            <w:vAlign w:val="bottom"/>
          </w:tcPr>
          <w:p w14:paraId="3A0C308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170.555 </w:t>
            </w:r>
          </w:p>
        </w:tc>
        <w:tc>
          <w:tcPr>
            <w:tcW w:w="533" w:type="pct"/>
            <w:tcBorders>
              <w:top w:val="nil"/>
              <w:left w:val="nil"/>
              <w:bottom w:val="nil"/>
              <w:right w:val="nil"/>
            </w:tcBorders>
            <w:shd w:val="clear" w:color="auto" w:fill="auto"/>
            <w:vAlign w:val="bottom"/>
          </w:tcPr>
          <w:p w14:paraId="00AE7D2B"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41049118"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36" w:type="pct"/>
            <w:tcBorders>
              <w:top w:val="nil"/>
              <w:left w:val="nil"/>
              <w:bottom w:val="nil"/>
              <w:right w:val="nil"/>
            </w:tcBorders>
            <w:shd w:val="clear" w:color="auto" w:fill="auto"/>
            <w:vAlign w:val="bottom"/>
          </w:tcPr>
          <w:p w14:paraId="673F219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21" w:type="pct"/>
            <w:tcBorders>
              <w:top w:val="nil"/>
              <w:left w:val="nil"/>
              <w:bottom w:val="nil"/>
              <w:right w:val="nil"/>
            </w:tcBorders>
            <w:shd w:val="clear" w:color="auto" w:fill="auto"/>
            <w:vAlign w:val="bottom"/>
          </w:tcPr>
          <w:p w14:paraId="7BF82A9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91" w:type="pct"/>
            <w:tcBorders>
              <w:top w:val="nil"/>
              <w:left w:val="nil"/>
              <w:bottom w:val="nil"/>
              <w:right w:val="nil"/>
            </w:tcBorders>
            <w:shd w:val="clear" w:color="auto" w:fill="auto"/>
            <w:vAlign w:val="bottom"/>
          </w:tcPr>
          <w:p w14:paraId="7A86DE69"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170.555</w:t>
            </w:r>
          </w:p>
        </w:tc>
      </w:tr>
      <w:tr w:rsidR="004E2F51" w:rsidRPr="005B35F4" w14:paraId="1F289223" w14:textId="77777777" w:rsidTr="00E032FC">
        <w:trPr>
          <w:trHeight w:val="229"/>
        </w:trPr>
        <w:tc>
          <w:tcPr>
            <w:tcW w:w="1632" w:type="pct"/>
            <w:tcBorders>
              <w:top w:val="nil"/>
              <w:left w:val="nil"/>
              <w:bottom w:val="nil"/>
              <w:right w:val="nil"/>
            </w:tcBorders>
            <w:shd w:val="clear" w:color="auto" w:fill="auto"/>
            <w:vAlign w:val="center"/>
          </w:tcPr>
          <w:p w14:paraId="1D852161" w14:textId="77777777" w:rsidR="004E2F51" w:rsidRPr="005B35F4" w:rsidRDefault="004E2F51" w:rsidP="00E032FC">
            <w:pPr>
              <w:pStyle w:val="Tot"/>
              <w:spacing w:line="220" w:lineRule="exact"/>
              <w:rPr>
                <w:rFonts w:eastAsia="Calibri" w:cs="Arial"/>
                <w:b/>
                <w:bCs/>
                <w:color w:val="000000" w:themeColor="text1"/>
                <w:spacing w:val="-2"/>
                <w:sz w:val="17"/>
                <w:szCs w:val="17"/>
                <w:lang w:val="hr-HR"/>
              </w:rPr>
            </w:pPr>
            <w:r w:rsidRPr="005B35F4">
              <w:rPr>
                <w:rFonts w:cs="Arial"/>
                <w:color w:val="000000" w:themeColor="text1"/>
                <w:sz w:val="17"/>
                <w:szCs w:val="17"/>
                <w:lang w:val="hr-HR"/>
              </w:rPr>
              <w:t>Izdane garancije u devizama</w:t>
            </w:r>
          </w:p>
        </w:tc>
        <w:tc>
          <w:tcPr>
            <w:tcW w:w="546" w:type="pct"/>
            <w:tcBorders>
              <w:top w:val="nil"/>
              <w:left w:val="nil"/>
              <w:bottom w:val="nil"/>
              <w:right w:val="nil"/>
            </w:tcBorders>
            <w:shd w:val="clear" w:color="auto" w:fill="auto"/>
            <w:vAlign w:val="bottom"/>
          </w:tcPr>
          <w:p w14:paraId="175E401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325.103 </w:t>
            </w:r>
          </w:p>
        </w:tc>
        <w:tc>
          <w:tcPr>
            <w:tcW w:w="533" w:type="pct"/>
            <w:tcBorders>
              <w:top w:val="nil"/>
              <w:left w:val="nil"/>
              <w:bottom w:val="nil"/>
              <w:right w:val="nil"/>
            </w:tcBorders>
            <w:shd w:val="clear" w:color="auto" w:fill="auto"/>
            <w:vAlign w:val="bottom"/>
          </w:tcPr>
          <w:p w14:paraId="15CD482A"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7F562143"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36" w:type="pct"/>
            <w:tcBorders>
              <w:top w:val="nil"/>
              <w:left w:val="nil"/>
              <w:bottom w:val="nil"/>
              <w:right w:val="nil"/>
            </w:tcBorders>
            <w:shd w:val="clear" w:color="auto" w:fill="auto"/>
            <w:vAlign w:val="bottom"/>
          </w:tcPr>
          <w:p w14:paraId="2646F569"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21" w:type="pct"/>
            <w:tcBorders>
              <w:top w:val="nil"/>
              <w:left w:val="nil"/>
              <w:bottom w:val="nil"/>
              <w:right w:val="nil"/>
            </w:tcBorders>
            <w:shd w:val="clear" w:color="auto" w:fill="auto"/>
            <w:vAlign w:val="bottom"/>
          </w:tcPr>
          <w:p w14:paraId="0B41908B"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91" w:type="pct"/>
            <w:tcBorders>
              <w:top w:val="nil"/>
              <w:left w:val="nil"/>
              <w:bottom w:val="nil"/>
              <w:right w:val="nil"/>
            </w:tcBorders>
            <w:shd w:val="clear" w:color="auto" w:fill="auto"/>
            <w:vAlign w:val="bottom"/>
          </w:tcPr>
          <w:p w14:paraId="6D52DE5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325.103</w:t>
            </w:r>
          </w:p>
        </w:tc>
      </w:tr>
      <w:tr w:rsidR="004E2F51" w:rsidRPr="005B35F4" w14:paraId="1A45638F" w14:textId="77777777" w:rsidTr="00E032FC">
        <w:trPr>
          <w:trHeight w:val="229"/>
        </w:trPr>
        <w:tc>
          <w:tcPr>
            <w:tcW w:w="1632" w:type="pct"/>
            <w:tcBorders>
              <w:top w:val="nil"/>
              <w:left w:val="nil"/>
              <w:bottom w:val="nil"/>
              <w:right w:val="nil"/>
            </w:tcBorders>
            <w:shd w:val="clear" w:color="auto" w:fill="auto"/>
            <w:vAlign w:val="center"/>
          </w:tcPr>
          <w:p w14:paraId="727B1D28" w14:textId="77777777" w:rsidR="004E2F51" w:rsidRPr="005B35F4" w:rsidRDefault="004E2F51" w:rsidP="00E032FC">
            <w:pPr>
              <w:pStyle w:val="Tot"/>
              <w:spacing w:line="220" w:lineRule="exact"/>
              <w:rPr>
                <w:rFonts w:eastAsia="Calibri" w:cs="Arial"/>
                <w:b/>
                <w:bCs/>
                <w:color w:val="000000" w:themeColor="text1"/>
                <w:spacing w:val="-2"/>
                <w:sz w:val="17"/>
                <w:szCs w:val="17"/>
                <w:lang w:val="hr-HR"/>
              </w:rPr>
            </w:pPr>
            <w:r w:rsidRPr="005B35F4">
              <w:rPr>
                <w:rFonts w:cs="Arial"/>
                <w:color w:val="000000" w:themeColor="text1"/>
                <w:sz w:val="17"/>
                <w:szCs w:val="17"/>
                <w:lang w:val="hr-HR"/>
              </w:rPr>
              <w:t>Preuzete obveze po kreditima</w:t>
            </w:r>
          </w:p>
        </w:tc>
        <w:tc>
          <w:tcPr>
            <w:tcW w:w="546" w:type="pct"/>
            <w:tcBorders>
              <w:top w:val="nil"/>
              <w:left w:val="nil"/>
              <w:bottom w:val="nil"/>
              <w:right w:val="nil"/>
            </w:tcBorders>
            <w:shd w:val="clear" w:color="auto" w:fill="auto"/>
            <w:vAlign w:val="bottom"/>
          </w:tcPr>
          <w:p w14:paraId="781A7C91"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3.492.038 </w:t>
            </w:r>
          </w:p>
        </w:tc>
        <w:tc>
          <w:tcPr>
            <w:tcW w:w="533" w:type="pct"/>
            <w:tcBorders>
              <w:top w:val="nil"/>
              <w:left w:val="nil"/>
              <w:bottom w:val="nil"/>
              <w:right w:val="nil"/>
            </w:tcBorders>
            <w:shd w:val="clear" w:color="auto" w:fill="auto"/>
            <w:vAlign w:val="bottom"/>
          </w:tcPr>
          <w:p w14:paraId="2B29BC6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7B2D099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36" w:type="pct"/>
            <w:tcBorders>
              <w:top w:val="nil"/>
              <w:left w:val="nil"/>
              <w:bottom w:val="nil"/>
              <w:right w:val="nil"/>
            </w:tcBorders>
            <w:shd w:val="clear" w:color="auto" w:fill="auto"/>
            <w:vAlign w:val="bottom"/>
          </w:tcPr>
          <w:p w14:paraId="09D5C7B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21" w:type="pct"/>
            <w:tcBorders>
              <w:top w:val="nil"/>
              <w:left w:val="nil"/>
              <w:bottom w:val="nil"/>
              <w:right w:val="nil"/>
            </w:tcBorders>
            <w:shd w:val="clear" w:color="auto" w:fill="auto"/>
            <w:vAlign w:val="bottom"/>
          </w:tcPr>
          <w:p w14:paraId="695B73A5"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91" w:type="pct"/>
            <w:tcBorders>
              <w:top w:val="nil"/>
              <w:left w:val="nil"/>
              <w:bottom w:val="nil"/>
              <w:right w:val="nil"/>
            </w:tcBorders>
            <w:shd w:val="clear" w:color="auto" w:fill="auto"/>
            <w:vAlign w:val="bottom"/>
          </w:tcPr>
          <w:p w14:paraId="74707BAC"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3.492.038</w:t>
            </w:r>
          </w:p>
        </w:tc>
      </w:tr>
      <w:tr w:rsidR="004E2F51" w:rsidRPr="005B35F4" w14:paraId="0C74BA0A" w14:textId="77777777" w:rsidTr="00E032FC">
        <w:trPr>
          <w:trHeight w:val="229"/>
        </w:trPr>
        <w:tc>
          <w:tcPr>
            <w:tcW w:w="1632" w:type="pct"/>
            <w:tcBorders>
              <w:top w:val="nil"/>
              <w:left w:val="nil"/>
              <w:bottom w:val="nil"/>
              <w:right w:val="nil"/>
            </w:tcBorders>
            <w:shd w:val="clear" w:color="auto" w:fill="auto"/>
            <w:vAlign w:val="bottom"/>
          </w:tcPr>
          <w:p w14:paraId="730911FA" w14:textId="77777777" w:rsidR="004E2F51" w:rsidRPr="005B35F4" w:rsidRDefault="004E2F51" w:rsidP="00E032FC">
            <w:pPr>
              <w:pStyle w:val="Tot"/>
              <w:spacing w:line="220" w:lineRule="exact"/>
              <w:rPr>
                <w:rFonts w:cs="Arial"/>
                <w:color w:val="000000" w:themeColor="text1"/>
                <w:sz w:val="17"/>
                <w:szCs w:val="17"/>
                <w:lang w:val="hr-HR"/>
              </w:rPr>
            </w:pPr>
            <w:r w:rsidRPr="005B35F4">
              <w:rPr>
                <w:rFonts w:cs="Arial"/>
                <w:color w:val="000000" w:themeColor="text1"/>
                <w:sz w:val="17"/>
                <w:szCs w:val="17"/>
                <w:lang w:val="hr-HR"/>
              </w:rPr>
              <w:t>Upisani a neuplaćeni kapital EIF-a</w:t>
            </w:r>
          </w:p>
        </w:tc>
        <w:tc>
          <w:tcPr>
            <w:tcW w:w="546" w:type="pct"/>
            <w:tcBorders>
              <w:top w:val="nil"/>
              <w:left w:val="nil"/>
              <w:bottom w:val="nil"/>
              <w:right w:val="nil"/>
            </w:tcBorders>
            <w:shd w:val="clear" w:color="auto" w:fill="auto"/>
            <w:vAlign w:val="bottom"/>
          </w:tcPr>
          <w:p w14:paraId="3E03AA6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lang w:val="it-IT"/>
              </w:rPr>
              <w:t xml:space="preserve"> </w:t>
            </w:r>
            <w:r w:rsidRPr="005B35F4">
              <w:rPr>
                <w:rFonts w:ascii="Arial" w:hAnsi="Arial" w:cs="Arial"/>
                <w:color w:val="000000"/>
                <w:sz w:val="17"/>
                <w:szCs w:val="17"/>
              </w:rPr>
              <w:t xml:space="preserve">78.179 </w:t>
            </w:r>
          </w:p>
        </w:tc>
        <w:tc>
          <w:tcPr>
            <w:tcW w:w="533" w:type="pct"/>
            <w:tcBorders>
              <w:top w:val="nil"/>
              <w:left w:val="nil"/>
              <w:bottom w:val="nil"/>
              <w:right w:val="nil"/>
            </w:tcBorders>
            <w:shd w:val="clear" w:color="auto" w:fill="auto"/>
            <w:vAlign w:val="bottom"/>
          </w:tcPr>
          <w:p w14:paraId="2DACA0DC"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52A3EC4A"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36" w:type="pct"/>
            <w:tcBorders>
              <w:top w:val="nil"/>
              <w:left w:val="nil"/>
              <w:bottom w:val="nil"/>
              <w:right w:val="nil"/>
            </w:tcBorders>
            <w:shd w:val="clear" w:color="auto" w:fill="auto"/>
            <w:vAlign w:val="bottom"/>
          </w:tcPr>
          <w:p w14:paraId="75ACC0F3"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21" w:type="pct"/>
            <w:tcBorders>
              <w:top w:val="nil"/>
              <w:left w:val="nil"/>
              <w:bottom w:val="nil"/>
              <w:right w:val="nil"/>
            </w:tcBorders>
            <w:shd w:val="clear" w:color="auto" w:fill="auto"/>
            <w:vAlign w:val="bottom"/>
          </w:tcPr>
          <w:p w14:paraId="7F7323F5"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91" w:type="pct"/>
            <w:tcBorders>
              <w:top w:val="nil"/>
              <w:left w:val="nil"/>
              <w:bottom w:val="nil"/>
              <w:right w:val="nil"/>
            </w:tcBorders>
            <w:shd w:val="clear" w:color="auto" w:fill="auto"/>
            <w:vAlign w:val="bottom"/>
          </w:tcPr>
          <w:p w14:paraId="7F376D9A"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78.179</w:t>
            </w:r>
          </w:p>
        </w:tc>
      </w:tr>
      <w:tr w:rsidR="004E2F51" w:rsidRPr="005B35F4" w14:paraId="2A499B20" w14:textId="77777777" w:rsidTr="00E032FC">
        <w:trPr>
          <w:trHeight w:val="229"/>
        </w:trPr>
        <w:tc>
          <w:tcPr>
            <w:tcW w:w="1632" w:type="pct"/>
            <w:tcBorders>
              <w:top w:val="nil"/>
              <w:left w:val="nil"/>
              <w:bottom w:val="nil"/>
              <w:right w:val="nil"/>
            </w:tcBorders>
            <w:shd w:val="clear" w:color="auto" w:fill="auto"/>
          </w:tcPr>
          <w:p w14:paraId="7511C64E" w14:textId="77777777" w:rsidR="004E2F51" w:rsidRPr="005B35F4" w:rsidRDefault="004E2F51" w:rsidP="00E032FC">
            <w:pPr>
              <w:pStyle w:val="Tot"/>
              <w:spacing w:line="220" w:lineRule="exact"/>
              <w:rPr>
                <w:rFonts w:cs="Arial"/>
                <w:color w:val="000000" w:themeColor="text1"/>
                <w:sz w:val="17"/>
                <w:szCs w:val="17"/>
                <w:lang w:val="hr-HR"/>
              </w:rPr>
            </w:pPr>
            <w:r w:rsidRPr="005B35F4">
              <w:rPr>
                <w:rFonts w:cs="Arial"/>
                <w:color w:val="000000" w:themeColor="text1"/>
                <w:sz w:val="17"/>
                <w:szCs w:val="17"/>
                <w:lang w:val="hr-HR"/>
              </w:rPr>
              <w:t>Ugovorena obveza EIF CROGIP</w:t>
            </w:r>
          </w:p>
        </w:tc>
        <w:tc>
          <w:tcPr>
            <w:tcW w:w="546" w:type="pct"/>
            <w:tcBorders>
              <w:top w:val="nil"/>
              <w:left w:val="nil"/>
              <w:bottom w:val="nil"/>
              <w:right w:val="nil"/>
            </w:tcBorders>
            <w:shd w:val="clear" w:color="auto" w:fill="auto"/>
            <w:vAlign w:val="bottom"/>
          </w:tcPr>
          <w:p w14:paraId="45F192C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33" w:type="pct"/>
            <w:tcBorders>
              <w:top w:val="nil"/>
              <w:left w:val="nil"/>
              <w:bottom w:val="nil"/>
              <w:right w:val="nil"/>
            </w:tcBorders>
            <w:shd w:val="clear" w:color="auto" w:fill="auto"/>
            <w:vAlign w:val="bottom"/>
          </w:tcPr>
          <w:p w14:paraId="5F989A42"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12.616 </w:t>
            </w:r>
          </w:p>
        </w:tc>
        <w:tc>
          <w:tcPr>
            <w:tcW w:w="541" w:type="pct"/>
            <w:tcBorders>
              <w:top w:val="nil"/>
              <w:left w:val="nil"/>
              <w:bottom w:val="nil"/>
              <w:right w:val="nil"/>
            </w:tcBorders>
            <w:shd w:val="clear" w:color="auto" w:fill="auto"/>
            <w:vAlign w:val="bottom"/>
          </w:tcPr>
          <w:p w14:paraId="7C62B821"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56.771 </w:t>
            </w:r>
          </w:p>
        </w:tc>
        <w:tc>
          <w:tcPr>
            <w:tcW w:w="536" w:type="pct"/>
            <w:tcBorders>
              <w:top w:val="nil"/>
              <w:left w:val="nil"/>
              <w:bottom w:val="nil"/>
              <w:right w:val="nil"/>
            </w:tcBorders>
            <w:shd w:val="clear" w:color="auto" w:fill="auto"/>
            <w:vAlign w:val="bottom"/>
          </w:tcPr>
          <w:p w14:paraId="723EC83D"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112.664 </w:t>
            </w:r>
          </w:p>
        </w:tc>
        <w:tc>
          <w:tcPr>
            <w:tcW w:w="621" w:type="pct"/>
            <w:tcBorders>
              <w:top w:val="nil"/>
              <w:left w:val="nil"/>
              <w:bottom w:val="nil"/>
              <w:right w:val="nil"/>
            </w:tcBorders>
            <w:shd w:val="clear" w:color="auto" w:fill="auto"/>
            <w:vAlign w:val="bottom"/>
          </w:tcPr>
          <w:p w14:paraId="6D94CEE8"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130.438 </w:t>
            </w:r>
          </w:p>
        </w:tc>
        <w:tc>
          <w:tcPr>
            <w:tcW w:w="591" w:type="pct"/>
            <w:tcBorders>
              <w:top w:val="nil"/>
              <w:left w:val="nil"/>
              <w:bottom w:val="nil"/>
              <w:right w:val="nil"/>
            </w:tcBorders>
            <w:shd w:val="clear" w:color="auto" w:fill="auto"/>
            <w:vAlign w:val="bottom"/>
          </w:tcPr>
          <w:p w14:paraId="00D2992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312.489</w:t>
            </w:r>
          </w:p>
        </w:tc>
      </w:tr>
      <w:tr w:rsidR="004E2F51" w:rsidRPr="005B35F4" w14:paraId="410E58B4" w14:textId="77777777" w:rsidTr="00E032FC">
        <w:trPr>
          <w:trHeight w:val="229"/>
        </w:trPr>
        <w:tc>
          <w:tcPr>
            <w:tcW w:w="1632" w:type="pct"/>
            <w:tcBorders>
              <w:top w:val="nil"/>
              <w:left w:val="nil"/>
              <w:bottom w:val="nil"/>
              <w:right w:val="nil"/>
            </w:tcBorders>
            <w:shd w:val="clear" w:color="auto" w:fill="auto"/>
          </w:tcPr>
          <w:p w14:paraId="64D0D212" w14:textId="77777777" w:rsidR="004E2F51" w:rsidRPr="005B35F4" w:rsidRDefault="004E2F51" w:rsidP="00E032FC">
            <w:pPr>
              <w:pStyle w:val="Tot"/>
              <w:spacing w:line="220" w:lineRule="exact"/>
              <w:rPr>
                <w:rFonts w:cs="Arial"/>
                <w:color w:val="000000" w:themeColor="text1"/>
                <w:sz w:val="17"/>
                <w:szCs w:val="17"/>
                <w:lang w:val="hr-HR"/>
              </w:rPr>
            </w:pPr>
            <w:r w:rsidRPr="005B35F4">
              <w:rPr>
                <w:rFonts w:cs="Arial"/>
                <w:color w:val="000000" w:themeColor="text1"/>
                <w:sz w:val="17"/>
                <w:szCs w:val="17"/>
                <w:lang w:val="hr-HR"/>
              </w:rPr>
              <w:t>Ugovorena obveza EIF FRC2</w:t>
            </w:r>
          </w:p>
        </w:tc>
        <w:tc>
          <w:tcPr>
            <w:tcW w:w="546" w:type="pct"/>
            <w:tcBorders>
              <w:top w:val="nil"/>
              <w:left w:val="nil"/>
              <w:bottom w:val="single" w:sz="8" w:space="0" w:color="auto"/>
              <w:right w:val="nil"/>
            </w:tcBorders>
            <w:shd w:val="clear" w:color="auto" w:fill="auto"/>
            <w:vAlign w:val="bottom"/>
          </w:tcPr>
          <w:p w14:paraId="3A17F1C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678 </w:t>
            </w:r>
          </w:p>
        </w:tc>
        <w:tc>
          <w:tcPr>
            <w:tcW w:w="533" w:type="pct"/>
            <w:tcBorders>
              <w:top w:val="nil"/>
              <w:left w:val="nil"/>
              <w:bottom w:val="single" w:sz="8" w:space="0" w:color="auto"/>
              <w:right w:val="nil"/>
            </w:tcBorders>
            <w:shd w:val="clear" w:color="auto" w:fill="auto"/>
            <w:vAlign w:val="bottom"/>
          </w:tcPr>
          <w:p w14:paraId="43A2B9A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532 </w:t>
            </w:r>
          </w:p>
        </w:tc>
        <w:tc>
          <w:tcPr>
            <w:tcW w:w="541" w:type="pct"/>
            <w:tcBorders>
              <w:top w:val="nil"/>
              <w:left w:val="nil"/>
              <w:bottom w:val="single" w:sz="8" w:space="0" w:color="auto"/>
              <w:right w:val="nil"/>
            </w:tcBorders>
            <w:shd w:val="clear" w:color="auto" w:fill="auto"/>
            <w:vAlign w:val="bottom"/>
          </w:tcPr>
          <w:p w14:paraId="54BA1B01"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2.393 </w:t>
            </w:r>
          </w:p>
        </w:tc>
        <w:tc>
          <w:tcPr>
            <w:tcW w:w="536" w:type="pct"/>
            <w:tcBorders>
              <w:top w:val="nil"/>
              <w:left w:val="nil"/>
              <w:bottom w:val="single" w:sz="8" w:space="0" w:color="auto"/>
              <w:right w:val="nil"/>
            </w:tcBorders>
            <w:shd w:val="clear" w:color="auto" w:fill="auto"/>
            <w:vAlign w:val="bottom"/>
          </w:tcPr>
          <w:p w14:paraId="02AAEA8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2.171 </w:t>
            </w:r>
          </w:p>
        </w:tc>
        <w:tc>
          <w:tcPr>
            <w:tcW w:w="621" w:type="pct"/>
            <w:tcBorders>
              <w:top w:val="nil"/>
              <w:left w:val="nil"/>
              <w:bottom w:val="single" w:sz="8" w:space="0" w:color="auto"/>
              <w:right w:val="nil"/>
            </w:tcBorders>
            <w:shd w:val="clear" w:color="auto" w:fill="auto"/>
            <w:vAlign w:val="bottom"/>
          </w:tcPr>
          <w:p w14:paraId="71F5005B"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469 </w:t>
            </w:r>
          </w:p>
        </w:tc>
        <w:tc>
          <w:tcPr>
            <w:tcW w:w="591" w:type="pct"/>
            <w:tcBorders>
              <w:top w:val="nil"/>
              <w:left w:val="nil"/>
              <w:bottom w:val="single" w:sz="8" w:space="0" w:color="auto"/>
              <w:right w:val="nil"/>
            </w:tcBorders>
            <w:shd w:val="clear" w:color="auto" w:fill="auto"/>
            <w:vAlign w:val="bottom"/>
          </w:tcPr>
          <w:p w14:paraId="5F1B9ACB"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6.243</w:t>
            </w:r>
          </w:p>
        </w:tc>
      </w:tr>
      <w:tr w:rsidR="004E2F51" w:rsidRPr="005B35F4" w14:paraId="646D0C8C" w14:textId="77777777" w:rsidTr="00E032FC">
        <w:trPr>
          <w:trHeight w:val="229"/>
        </w:trPr>
        <w:tc>
          <w:tcPr>
            <w:tcW w:w="1632" w:type="pct"/>
            <w:tcBorders>
              <w:top w:val="nil"/>
              <w:left w:val="nil"/>
              <w:bottom w:val="nil"/>
              <w:right w:val="nil"/>
            </w:tcBorders>
            <w:shd w:val="clear" w:color="auto" w:fill="auto"/>
            <w:vAlign w:val="center"/>
          </w:tcPr>
          <w:p w14:paraId="5E6DCE00" w14:textId="77777777" w:rsidR="004E2F51" w:rsidRPr="005B35F4" w:rsidRDefault="004E2F51" w:rsidP="00E032FC">
            <w:pPr>
              <w:pStyle w:val="Tot"/>
              <w:spacing w:line="220" w:lineRule="exact"/>
              <w:rPr>
                <w:rFonts w:eastAsia="Calibri" w:cs="Arial"/>
                <w:b/>
                <w:bCs/>
                <w:color w:val="000000" w:themeColor="text1"/>
                <w:spacing w:val="-2"/>
                <w:sz w:val="17"/>
                <w:szCs w:val="17"/>
                <w:lang w:val="hr-HR"/>
              </w:rPr>
            </w:pPr>
            <w:r w:rsidRPr="005B35F4">
              <w:rPr>
                <w:rFonts w:cs="Arial"/>
                <w:b/>
                <w:bCs/>
                <w:color w:val="000000" w:themeColor="text1"/>
                <w:sz w:val="17"/>
                <w:szCs w:val="17"/>
                <w:lang w:val="hr-HR"/>
              </w:rPr>
              <w:t>Ukupne garancije i preuzete obveze</w:t>
            </w:r>
          </w:p>
        </w:tc>
        <w:tc>
          <w:tcPr>
            <w:tcW w:w="546" w:type="pct"/>
            <w:tcBorders>
              <w:top w:val="single" w:sz="8" w:space="0" w:color="auto"/>
              <w:left w:val="nil"/>
              <w:bottom w:val="single" w:sz="12" w:space="0" w:color="auto"/>
              <w:right w:val="nil"/>
            </w:tcBorders>
            <w:shd w:val="clear" w:color="auto" w:fill="auto"/>
            <w:vAlign w:val="bottom"/>
          </w:tcPr>
          <w:p w14:paraId="3584C352"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4.066.553</w:t>
            </w:r>
          </w:p>
        </w:tc>
        <w:tc>
          <w:tcPr>
            <w:tcW w:w="533" w:type="pct"/>
            <w:tcBorders>
              <w:top w:val="single" w:sz="8" w:space="0" w:color="auto"/>
              <w:left w:val="nil"/>
              <w:bottom w:val="single" w:sz="12" w:space="0" w:color="auto"/>
              <w:right w:val="nil"/>
            </w:tcBorders>
            <w:shd w:val="clear" w:color="auto" w:fill="auto"/>
            <w:vAlign w:val="bottom"/>
          </w:tcPr>
          <w:p w14:paraId="4145FB27"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13.148</w:t>
            </w:r>
          </w:p>
        </w:tc>
        <w:tc>
          <w:tcPr>
            <w:tcW w:w="541" w:type="pct"/>
            <w:tcBorders>
              <w:top w:val="single" w:sz="8" w:space="0" w:color="auto"/>
              <w:left w:val="nil"/>
              <w:bottom w:val="single" w:sz="12" w:space="0" w:color="auto"/>
              <w:right w:val="nil"/>
            </w:tcBorders>
            <w:shd w:val="clear" w:color="auto" w:fill="auto"/>
            <w:vAlign w:val="bottom"/>
          </w:tcPr>
          <w:p w14:paraId="34C0E341"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59.164</w:t>
            </w:r>
          </w:p>
        </w:tc>
        <w:tc>
          <w:tcPr>
            <w:tcW w:w="536" w:type="pct"/>
            <w:tcBorders>
              <w:top w:val="single" w:sz="8" w:space="0" w:color="auto"/>
              <w:left w:val="nil"/>
              <w:bottom w:val="single" w:sz="12" w:space="0" w:color="auto"/>
              <w:right w:val="nil"/>
            </w:tcBorders>
            <w:shd w:val="clear" w:color="auto" w:fill="auto"/>
            <w:vAlign w:val="bottom"/>
          </w:tcPr>
          <w:p w14:paraId="66DB1784"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114.835</w:t>
            </w:r>
          </w:p>
        </w:tc>
        <w:tc>
          <w:tcPr>
            <w:tcW w:w="621" w:type="pct"/>
            <w:tcBorders>
              <w:top w:val="single" w:sz="8" w:space="0" w:color="auto"/>
              <w:left w:val="nil"/>
              <w:bottom w:val="single" w:sz="12" w:space="0" w:color="auto"/>
              <w:right w:val="nil"/>
            </w:tcBorders>
            <w:shd w:val="clear" w:color="auto" w:fill="auto"/>
            <w:vAlign w:val="bottom"/>
          </w:tcPr>
          <w:p w14:paraId="7E221A29"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130.907</w:t>
            </w:r>
          </w:p>
        </w:tc>
        <w:tc>
          <w:tcPr>
            <w:tcW w:w="591" w:type="pct"/>
            <w:tcBorders>
              <w:top w:val="single" w:sz="8" w:space="0" w:color="auto"/>
              <w:left w:val="nil"/>
              <w:bottom w:val="single" w:sz="12" w:space="0" w:color="auto"/>
              <w:right w:val="nil"/>
            </w:tcBorders>
            <w:shd w:val="clear" w:color="auto" w:fill="auto"/>
            <w:vAlign w:val="bottom"/>
          </w:tcPr>
          <w:p w14:paraId="7D5296B8"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4.384.607</w:t>
            </w:r>
          </w:p>
        </w:tc>
      </w:tr>
    </w:tbl>
    <w:p w14:paraId="468752DE" w14:textId="77777777" w:rsidR="004E2F51" w:rsidRDefault="004E2F51" w:rsidP="004E2F51">
      <w:pPr>
        <w:pStyle w:val="accountingpolicytitle"/>
        <w:rPr>
          <w:rFonts w:cs="Arial"/>
          <w:b w:val="0"/>
          <w:bCs/>
          <w:color w:val="000000" w:themeColor="text1"/>
          <w:sz w:val="20"/>
          <w:lang w:val="hr-HR"/>
        </w:rPr>
      </w:pPr>
    </w:p>
    <w:p w14:paraId="5082D9BA" w14:textId="77777777" w:rsidR="004E2F51" w:rsidRPr="00100ED3" w:rsidRDefault="004E2F51" w:rsidP="004E2F51">
      <w:pPr>
        <w:pStyle w:val="accountingpolicytitle"/>
        <w:rPr>
          <w:rFonts w:cs="Arial"/>
          <w:b w:val="0"/>
          <w:bCs/>
          <w:color w:val="000000" w:themeColor="text1"/>
          <w:sz w:val="20"/>
          <w:lang w:val="hr-HR"/>
        </w:rPr>
      </w:pPr>
    </w:p>
    <w:p w14:paraId="46E78E8F" w14:textId="77777777" w:rsidR="004E2F51" w:rsidRPr="005B35F4" w:rsidRDefault="004E2F51" w:rsidP="004E2F51">
      <w:pPr>
        <w:pStyle w:val="accountingpolicytitle"/>
        <w:spacing w:before="120" w:after="120"/>
        <w:rPr>
          <w:rFonts w:cs="Arial"/>
          <w:b w:val="0"/>
          <w:i/>
          <w:color w:val="000000" w:themeColor="text1"/>
          <w:sz w:val="18"/>
          <w:szCs w:val="18"/>
          <w:lang w:val="hr-HR"/>
        </w:rPr>
      </w:pPr>
      <w:r w:rsidRPr="005B35F4">
        <w:rPr>
          <w:rFonts w:cs="Arial"/>
          <w:b w:val="0"/>
          <w:bCs/>
          <w:color w:val="000000" w:themeColor="text1"/>
          <w:sz w:val="18"/>
          <w:szCs w:val="18"/>
          <w:lang w:val="hr-HR"/>
        </w:rPr>
        <w:t>Stavke s neodređenim dospijećem iskazane su u razdoblju preko 3 godine.</w:t>
      </w:r>
      <w:r w:rsidRPr="005B35F4">
        <w:rPr>
          <w:rFonts w:cs="Arial"/>
          <w:b w:val="0"/>
          <w:i/>
          <w:color w:val="000000" w:themeColor="text1"/>
          <w:sz w:val="18"/>
          <w:szCs w:val="18"/>
          <w:lang w:val="hr-HR"/>
        </w:rPr>
        <w:t xml:space="preserve"> </w:t>
      </w:r>
    </w:p>
    <w:p w14:paraId="3C54E38F" w14:textId="77777777" w:rsidR="004E2F51" w:rsidRPr="00100ED3" w:rsidRDefault="004E2F51" w:rsidP="004E2F51">
      <w:pPr>
        <w:pStyle w:val="accountingpolicytitle"/>
        <w:rPr>
          <w:rFonts w:cs="Arial"/>
          <w:b w:val="0"/>
          <w:i/>
          <w:color w:val="000000" w:themeColor="text1"/>
          <w:sz w:val="18"/>
          <w:szCs w:val="18"/>
          <w:lang w:val="hr-HR"/>
        </w:rPr>
      </w:pPr>
    </w:p>
    <w:p w14:paraId="1FAAB619" w14:textId="77777777" w:rsidR="004E2F51" w:rsidRPr="001A5E0D" w:rsidRDefault="004E2F51" w:rsidP="004E2F51">
      <w:pPr>
        <w:pStyle w:val="T1"/>
        <w:spacing w:before="0" w:after="0" w:line="240" w:lineRule="auto"/>
        <w:ind w:right="-1"/>
        <w:rPr>
          <w:rFonts w:cs="Arial"/>
          <w:color w:val="000000" w:themeColor="text1"/>
          <w:sz w:val="18"/>
          <w:szCs w:val="18"/>
          <w:lang w:val="hr-HR"/>
        </w:rPr>
      </w:pPr>
      <w:r w:rsidRPr="001A5E0D">
        <w:rPr>
          <w:rFonts w:cs="Arial"/>
          <w:b w:val="0"/>
          <w:i/>
          <w:color w:val="000000" w:themeColor="text1"/>
          <w:sz w:val="18"/>
          <w:szCs w:val="18"/>
          <w:lang w:val="hr-HR"/>
        </w:rPr>
        <w:t>*</w:t>
      </w:r>
      <w:r w:rsidRPr="001A5E0D">
        <w:rPr>
          <w:rFonts w:cs="Arial"/>
          <w:color w:val="000000" w:themeColor="text1"/>
          <w:sz w:val="18"/>
          <w:szCs w:val="18"/>
          <w:lang w:val="hr-HR"/>
        </w:rPr>
        <w:t xml:space="preserve"> </w:t>
      </w:r>
      <w:r w:rsidRPr="001A5E0D">
        <w:rPr>
          <w:rFonts w:cs="Arial"/>
          <w:b w:val="0"/>
          <w:i/>
          <w:color w:val="000000" w:themeColor="text1"/>
          <w:sz w:val="18"/>
          <w:szCs w:val="18"/>
          <w:lang w:val="hr-HR"/>
        </w:rPr>
        <w:t xml:space="preserve">Potraživanje u iznosu od </w:t>
      </w:r>
      <w:r w:rsidRPr="001A5E0D">
        <w:rPr>
          <w:rFonts w:cs="Arial"/>
          <w:b w:val="0"/>
          <w:bCs w:val="0"/>
          <w:i/>
          <w:color w:val="000000"/>
          <w:sz w:val="18"/>
          <w:szCs w:val="18"/>
          <w:lang w:val="hr-HR"/>
        </w:rPr>
        <w:t>8.239</w:t>
      </w:r>
      <w:r w:rsidRPr="001A5E0D">
        <w:rPr>
          <w:rFonts w:cs="Arial"/>
          <w:b w:val="0"/>
          <w:i/>
          <w:color w:val="000000" w:themeColor="text1"/>
          <w:sz w:val="18"/>
          <w:szCs w:val="18"/>
          <w:lang w:val="hr-HR"/>
        </w:rPr>
        <w:t xml:space="preserve"> tisuća kuna odnosi se na obrnute repo poslove. </w:t>
      </w:r>
    </w:p>
    <w:p w14:paraId="7318AC0E" w14:textId="77777777" w:rsidR="004E2F51" w:rsidRPr="0002282A" w:rsidRDefault="004E2F51" w:rsidP="004E2F51">
      <w:pPr>
        <w:tabs>
          <w:tab w:val="left" w:pos="9180"/>
        </w:tabs>
        <w:jc w:val="both"/>
        <w:rPr>
          <w:rFonts w:ascii="Arial" w:hAnsi="Arial" w:cs="Arial"/>
          <w:i/>
          <w:color w:val="000000" w:themeColor="text1"/>
          <w:sz w:val="18"/>
          <w:szCs w:val="18"/>
          <w:lang w:val="it-IT"/>
        </w:rPr>
      </w:pPr>
      <w:r w:rsidRPr="0002282A">
        <w:rPr>
          <w:rFonts w:ascii="Arial" w:eastAsia="Calibri" w:hAnsi="Arial" w:cs="Arial"/>
          <w:bCs/>
          <w:i/>
          <w:color w:val="000000" w:themeColor="text1"/>
          <w:sz w:val="18"/>
          <w:szCs w:val="18"/>
          <w:lang w:val="it-IT"/>
        </w:rPr>
        <w:t>** Obračunata nedospjela kamata po kreditima raspoređena je u kategoriji od 1 do 3 mjeseca</w:t>
      </w:r>
      <w:r w:rsidRPr="0002282A">
        <w:rPr>
          <w:rFonts w:ascii="Arial" w:hAnsi="Arial" w:cs="Arial"/>
          <w:i/>
          <w:color w:val="000000" w:themeColor="text1"/>
          <w:sz w:val="18"/>
          <w:szCs w:val="18"/>
          <w:lang w:val="it-IT"/>
        </w:rPr>
        <w:t>.</w:t>
      </w:r>
    </w:p>
    <w:p w14:paraId="148D8029" w14:textId="77777777" w:rsidR="004E2F51" w:rsidRPr="00100ED3" w:rsidRDefault="004E2F51" w:rsidP="004E2F51">
      <w:pPr>
        <w:pStyle w:val="T1"/>
        <w:spacing w:before="0" w:after="0" w:line="240" w:lineRule="auto"/>
        <w:rPr>
          <w:rFonts w:cs="Arial"/>
          <w:color w:val="000000" w:themeColor="text1"/>
          <w:sz w:val="20"/>
          <w:lang w:val="hr-HR"/>
        </w:rPr>
      </w:pPr>
    </w:p>
    <w:p w14:paraId="137A6E1A" w14:textId="77777777" w:rsidR="004E2F51" w:rsidRPr="00100ED3" w:rsidRDefault="004E2F51" w:rsidP="004E2F51">
      <w:pPr>
        <w:pStyle w:val="accountingpolicytitle"/>
        <w:ind w:right="-142"/>
        <w:rPr>
          <w:rFonts w:cs="Arial"/>
          <w:b w:val="0"/>
          <w:i/>
          <w:color w:val="000000" w:themeColor="text1"/>
          <w:sz w:val="20"/>
          <w:lang w:val="hr-HR"/>
        </w:rPr>
        <w:sectPr w:rsidR="004E2F51" w:rsidRPr="00100ED3" w:rsidSect="00623DBA">
          <w:footerReference w:type="default" r:id="rId204"/>
          <w:pgSz w:w="11907" w:h="16840" w:code="9"/>
          <w:pgMar w:top="1418" w:right="1275" w:bottom="1134" w:left="1418" w:header="851" w:footer="851" w:gutter="0"/>
          <w:cols w:space="720"/>
          <w:noEndnote/>
        </w:sectPr>
      </w:pPr>
    </w:p>
    <w:p w14:paraId="5ADEA0AE" w14:textId="77777777" w:rsidR="004E2F51" w:rsidRPr="00100ED3" w:rsidRDefault="004E2F51" w:rsidP="004E2F51">
      <w:pPr>
        <w:pStyle w:val="T1"/>
        <w:spacing w:before="0" w:after="0" w:line="240" w:lineRule="auto"/>
        <w:rPr>
          <w:rFonts w:cs="Arial"/>
          <w:color w:val="000000" w:themeColor="text1"/>
          <w:sz w:val="20"/>
          <w:lang w:val="hr-HR"/>
        </w:rPr>
      </w:pPr>
    </w:p>
    <w:p w14:paraId="29C706C2" w14:textId="77777777" w:rsidR="004E2F51" w:rsidRPr="00100ED3" w:rsidRDefault="004E2F51" w:rsidP="004E2F51">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Pr>
          <w:rFonts w:cs="Arial"/>
          <w:color w:val="000000" w:themeColor="text1"/>
          <w:sz w:val="20"/>
          <w:lang w:val="hr-HR"/>
        </w:rPr>
        <w:t>1</w:t>
      </w:r>
      <w:r w:rsidRPr="00100ED3">
        <w:rPr>
          <w:rFonts w:cs="Arial"/>
          <w:color w:val="000000" w:themeColor="text1"/>
          <w:sz w:val="20"/>
          <w:lang w:val="hr-HR"/>
        </w:rPr>
        <w:t>.</w:t>
      </w:r>
      <w:r w:rsidRPr="00100ED3">
        <w:rPr>
          <w:rFonts w:cs="Arial"/>
          <w:color w:val="000000" w:themeColor="text1"/>
          <w:sz w:val="20"/>
          <w:lang w:val="hr-HR"/>
        </w:rPr>
        <w:tab/>
        <w:t>Upravljanje rizicima (nastavak)</w:t>
      </w:r>
    </w:p>
    <w:p w14:paraId="535B0842" w14:textId="77777777" w:rsidR="004E2F51" w:rsidRPr="00100ED3" w:rsidRDefault="004E2F51" w:rsidP="004E2F51">
      <w:pPr>
        <w:pStyle w:val="T1"/>
        <w:spacing w:before="0" w:after="0" w:line="240" w:lineRule="auto"/>
        <w:rPr>
          <w:rFonts w:cs="Arial"/>
          <w:color w:val="000000" w:themeColor="text1"/>
          <w:sz w:val="20"/>
          <w:lang w:val="hr-HR"/>
        </w:rPr>
      </w:pPr>
    </w:p>
    <w:p w14:paraId="6658A643" w14:textId="77777777" w:rsidR="004E2F51" w:rsidRPr="00100ED3" w:rsidRDefault="004E2F51" w:rsidP="004E2F51">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Pr>
          <w:rFonts w:cs="Arial"/>
          <w:color w:val="000000" w:themeColor="text1"/>
          <w:sz w:val="20"/>
          <w:lang w:val="hr-HR"/>
        </w:rPr>
        <w:t>1</w:t>
      </w:r>
      <w:r w:rsidRPr="00100ED3">
        <w:rPr>
          <w:rFonts w:cs="Arial"/>
          <w:color w:val="000000" w:themeColor="text1"/>
          <w:sz w:val="20"/>
          <w:lang w:val="hr-HR"/>
        </w:rPr>
        <w:t xml:space="preserve">.4. </w:t>
      </w:r>
      <w:r w:rsidRPr="00100ED3">
        <w:rPr>
          <w:rFonts w:cs="Arial"/>
          <w:color w:val="000000" w:themeColor="text1"/>
          <w:sz w:val="20"/>
          <w:lang w:val="hr-HR"/>
        </w:rPr>
        <w:tab/>
        <w:t>Rizik likvidnosti (nastavak)</w:t>
      </w:r>
    </w:p>
    <w:p w14:paraId="71EF53D2" w14:textId="77777777" w:rsidR="004E2F51" w:rsidRPr="00100ED3" w:rsidRDefault="004E2F51" w:rsidP="004E2F51">
      <w:pPr>
        <w:tabs>
          <w:tab w:val="left" w:pos="-720"/>
        </w:tabs>
        <w:jc w:val="both"/>
        <w:rPr>
          <w:rFonts w:ascii="Arial" w:hAnsi="Arial" w:cs="Arial"/>
          <w:color w:val="000000" w:themeColor="text1"/>
          <w:sz w:val="20"/>
          <w:szCs w:val="20"/>
          <w:lang w:val="hr-HR"/>
        </w:rPr>
      </w:pPr>
    </w:p>
    <w:p w14:paraId="056F8652" w14:textId="77777777" w:rsidR="004E2F51" w:rsidRPr="00100ED3" w:rsidRDefault="004E2F51" w:rsidP="004E2F51">
      <w:pPr>
        <w:tabs>
          <w:tab w:val="left" w:pos="-720"/>
        </w:tabs>
        <w:jc w:val="both"/>
        <w:rPr>
          <w:rFonts w:ascii="Arial" w:hAnsi="Arial" w:cs="Arial"/>
          <w:color w:val="000000" w:themeColor="text1"/>
          <w:sz w:val="20"/>
          <w:szCs w:val="20"/>
          <w:lang w:val="hr-HR"/>
        </w:rPr>
      </w:pPr>
      <w:r w:rsidRPr="00100ED3">
        <w:rPr>
          <w:rFonts w:ascii="Arial" w:hAnsi="Arial" w:cs="Arial"/>
          <w:color w:val="000000" w:themeColor="text1"/>
          <w:sz w:val="20"/>
          <w:szCs w:val="20"/>
          <w:lang w:val="hr-HR"/>
        </w:rPr>
        <w:t>Iznos ukupne imovine, ukupnih obveza i garancija i preuzetih obveza na dan 31. prosinca 202</w:t>
      </w:r>
      <w:r>
        <w:rPr>
          <w:rFonts w:ascii="Arial" w:hAnsi="Arial" w:cs="Arial"/>
          <w:color w:val="000000" w:themeColor="text1"/>
          <w:sz w:val="20"/>
          <w:szCs w:val="20"/>
          <w:lang w:val="hr-HR"/>
        </w:rPr>
        <w:t>2</w:t>
      </w:r>
      <w:r w:rsidRPr="00100ED3">
        <w:rPr>
          <w:rFonts w:ascii="Arial" w:hAnsi="Arial" w:cs="Arial"/>
          <w:color w:val="000000" w:themeColor="text1"/>
          <w:sz w:val="20"/>
          <w:szCs w:val="20"/>
          <w:lang w:val="hr-HR"/>
        </w:rPr>
        <w:t>. i 31. prosinca 202</w:t>
      </w:r>
      <w:r>
        <w:rPr>
          <w:rFonts w:ascii="Arial" w:hAnsi="Arial" w:cs="Arial"/>
          <w:color w:val="000000" w:themeColor="text1"/>
          <w:sz w:val="20"/>
          <w:szCs w:val="20"/>
          <w:lang w:val="hr-HR"/>
        </w:rPr>
        <w:t>1</w:t>
      </w:r>
      <w:r w:rsidRPr="00100ED3">
        <w:rPr>
          <w:rFonts w:ascii="Arial" w:hAnsi="Arial" w:cs="Arial"/>
          <w:color w:val="000000" w:themeColor="text1"/>
          <w:sz w:val="20"/>
          <w:szCs w:val="20"/>
          <w:lang w:val="hr-HR"/>
        </w:rPr>
        <w:t>. analiziran je kroz preostalo razdoblje od dana Izvještaja o financijskom položaju u odnosu na ugovoreni datum dospijeća kako slijedi:</w:t>
      </w:r>
    </w:p>
    <w:p w14:paraId="2280A1FA" w14:textId="77777777" w:rsidR="004E2F51" w:rsidRDefault="004E2F51" w:rsidP="004E2F51">
      <w:pPr>
        <w:tabs>
          <w:tab w:val="left" w:pos="-720"/>
        </w:tabs>
        <w:jc w:val="both"/>
        <w:rPr>
          <w:rFonts w:ascii="Arial" w:hAnsi="Arial" w:cs="Arial"/>
          <w:color w:val="000000" w:themeColor="text1"/>
          <w:sz w:val="20"/>
          <w:szCs w:val="20"/>
          <w:lang w:val="hr-HR"/>
        </w:rPr>
      </w:pPr>
    </w:p>
    <w:p w14:paraId="3BD2B169" w14:textId="77777777" w:rsidR="004E2F51" w:rsidRPr="00100ED3" w:rsidRDefault="004E2F51" w:rsidP="004E2F51">
      <w:pPr>
        <w:tabs>
          <w:tab w:val="left" w:pos="-720"/>
        </w:tabs>
        <w:jc w:val="both"/>
        <w:rPr>
          <w:rFonts w:ascii="Arial" w:hAnsi="Arial" w:cs="Arial"/>
          <w:color w:val="000000" w:themeColor="text1"/>
          <w:sz w:val="20"/>
          <w:szCs w:val="20"/>
          <w:lang w:val="hr-HR"/>
        </w:rPr>
      </w:pPr>
    </w:p>
    <w:tbl>
      <w:tblPr>
        <w:tblW w:w="5353" w:type="pct"/>
        <w:tblInd w:w="-142" w:type="dxa"/>
        <w:tblLayout w:type="fixed"/>
        <w:tblCellMar>
          <w:left w:w="120" w:type="dxa"/>
          <w:right w:w="120" w:type="dxa"/>
        </w:tblCellMar>
        <w:tblLook w:val="0000" w:firstRow="0" w:lastRow="0" w:firstColumn="0" w:lastColumn="0" w:noHBand="0" w:noVBand="0"/>
      </w:tblPr>
      <w:tblGrid>
        <w:gridCol w:w="2994"/>
        <w:gridCol w:w="1087"/>
        <w:gridCol w:w="1077"/>
        <w:gridCol w:w="1129"/>
        <w:gridCol w:w="1125"/>
        <w:gridCol w:w="1263"/>
        <w:gridCol w:w="1190"/>
      </w:tblGrid>
      <w:tr w:rsidR="004E2F51" w:rsidRPr="005B35F4" w14:paraId="757BF8F6" w14:textId="77777777" w:rsidTr="00E032FC">
        <w:trPr>
          <w:trHeight w:val="463"/>
        </w:trPr>
        <w:tc>
          <w:tcPr>
            <w:tcW w:w="1517" w:type="pct"/>
          </w:tcPr>
          <w:p w14:paraId="1CECEED3" w14:textId="77777777" w:rsidR="004E2F51" w:rsidRPr="005B35F4" w:rsidRDefault="004E2F51" w:rsidP="00E032FC">
            <w:pPr>
              <w:tabs>
                <w:tab w:val="right" w:pos="1202"/>
              </w:tabs>
              <w:spacing w:line="240" w:lineRule="exact"/>
              <w:outlineLvl w:val="0"/>
              <w:rPr>
                <w:rFonts w:ascii="Arial" w:hAnsi="Arial" w:cs="Arial"/>
                <w:b/>
                <w:color w:val="000000" w:themeColor="text1"/>
                <w:sz w:val="17"/>
                <w:szCs w:val="17"/>
                <w:lang w:val="hr-HR"/>
              </w:rPr>
            </w:pPr>
            <w:bookmarkStart w:id="1695" w:name="_Toc67330157"/>
            <w:r w:rsidRPr="005B35F4">
              <w:rPr>
                <w:rFonts w:ascii="Arial" w:hAnsi="Arial" w:cs="Arial"/>
                <w:b/>
                <w:color w:val="000000" w:themeColor="text1"/>
                <w:sz w:val="17"/>
                <w:szCs w:val="17"/>
                <w:lang w:val="hr-HR"/>
              </w:rPr>
              <w:t>Banka</w:t>
            </w:r>
            <w:bookmarkEnd w:id="1695"/>
          </w:p>
          <w:p w14:paraId="4892DAC9" w14:textId="77777777" w:rsidR="004E2F51" w:rsidRPr="005B35F4" w:rsidRDefault="004E2F51" w:rsidP="00E032FC">
            <w:pPr>
              <w:tabs>
                <w:tab w:val="right" w:pos="1202"/>
              </w:tabs>
              <w:spacing w:line="240" w:lineRule="exact"/>
              <w:outlineLvl w:val="0"/>
              <w:rPr>
                <w:rFonts w:ascii="Arial" w:hAnsi="Arial" w:cs="Arial"/>
                <w:b/>
                <w:color w:val="000000" w:themeColor="text1"/>
                <w:sz w:val="17"/>
                <w:szCs w:val="17"/>
                <w:lang w:val="hr-HR"/>
              </w:rPr>
            </w:pPr>
            <w:bookmarkStart w:id="1696" w:name="_Toc67330158"/>
            <w:r w:rsidRPr="005B35F4">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2</w:t>
            </w:r>
            <w:r w:rsidRPr="005B35F4">
              <w:rPr>
                <w:rFonts w:ascii="Arial" w:hAnsi="Arial" w:cs="Arial"/>
                <w:b/>
                <w:color w:val="000000" w:themeColor="text1"/>
                <w:sz w:val="17"/>
                <w:szCs w:val="17"/>
                <w:lang w:val="hr-HR"/>
              </w:rPr>
              <w:t>.</w:t>
            </w:r>
            <w:bookmarkEnd w:id="1696"/>
            <w:r w:rsidRPr="005B35F4">
              <w:rPr>
                <w:rFonts w:ascii="Arial" w:hAnsi="Arial" w:cs="Arial"/>
                <w:b/>
                <w:color w:val="000000" w:themeColor="text1"/>
                <w:sz w:val="17"/>
                <w:szCs w:val="17"/>
                <w:lang w:val="hr-HR"/>
              </w:rPr>
              <w:t xml:space="preserve">  </w:t>
            </w:r>
          </w:p>
        </w:tc>
        <w:tc>
          <w:tcPr>
            <w:tcW w:w="551" w:type="pct"/>
          </w:tcPr>
          <w:p w14:paraId="44E02B75"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bookmarkStart w:id="1697" w:name="_Toc67330159"/>
            <w:r w:rsidRPr="005B35F4">
              <w:rPr>
                <w:rFonts w:ascii="Arial" w:hAnsi="Arial" w:cs="Arial"/>
                <w:b/>
                <w:color w:val="000000" w:themeColor="text1"/>
                <w:sz w:val="17"/>
                <w:szCs w:val="17"/>
                <w:lang w:val="hr-HR"/>
              </w:rPr>
              <w:t>Do 1 mjesec</w:t>
            </w:r>
            <w:bookmarkEnd w:id="1697"/>
          </w:p>
        </w:tc>
        <w:tc>
          <w:tcPr>
            <w:tcW w:w="546" w:type="pct"/>
          </w:tcPr>
          <w:p w14:paraId="66F00A8F"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bookmarkStart w:id="1698" w:name="_Toc67330160"/>
            <w:r w:rsidRPr="005B35F4">
              <w:rPr>
                <w:rFonts w:ascii="Arial" w:hAnsi="Arial" w:cs="Arial"/>
                <w:b/>
                <w:color w:val="000000" w:themeColor="text1"/>
                <w:sz w:val="17"/>
                <w:szCs w:val="17"/>
                <w:lang w:val="hr-HR"/>
              </w:rPr>
              <w:t>1 do 3 mjeseca</w:t>
            </w:r>
            <w:bookmarkEnd w:id="1698"/>
          </w:p>
        </w:tc>
        <w:tc>
          <w:tcPr>
            <w:tcW w:w="572" w:type="pct"/>
          </w:tcPr>
          <w:p w14:paraId="21D1EEBC"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bookmarkStart w:id="1699" w:name="_Toc67330161"/>
            <w:r w:rsidRPr="005B35F4">
              <w:rPr>
                <w:rFonts w:ascii="Arial" w:hAnsi="Arial" w:cs="Arial"/>
                <w:b/>
                <w:color w:val="000000" w:themeColor="text1"/>
                <w:sz w:val="17"/>
                <w:szCs w:val="17"/>
                <w:lang w:val="hr-HR"/>
              </w:rPr>
              <w:t>3 mj. do 1 godine</w:t>
            </w:r>
            <w:bookmarkEnd w:id="1699"/>
          </w:p>
        </w:tc>
        <w:tc>
          <w:tcPr>
            <w:tcW w:w="570" w:type="pct"/>
          </w:tcPr>
          <w:p w14:paraId="0DC07386"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bookmarkStart w:id="1700" w:name="_Toc67330162"/>
            <w:r w:rsidRPr="005B35F4">
              <w:rPr>
                <w:rFonts w:ascii="Arial" w:hAnsi="Arial" w:cs="Arial"/>
                <w:b/>
                <w:color w:val="000000" w:themeColor="text1"/>
                <w:sz w:val="17"/>
                <w:szCs w:val="17"/>
                <w:lang w:val="hr-HR"/>
              </w:rPr>
              <w:t>1 do 3 godina</w:t>
            </w:r>
            <w:bookmarkEnd w:id="1700"/>
          </w:p>
        </w:tc>
        <w:tc>
          <w:tcPr>
            <w:tcW w:w="640" w:type="pct"/>
          </w:tcPr>
          <w:p w14:paraId="2B1C8B43"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bookmarkStart w:id="1701" w:name="_Toc67330163"/>
            <w:r w:rsidRPr="005B35F4">
              <w:rPr>
                <w:rFonts w:ascii="Arial" w:hAnsi="Arial" w:cs="Arial"/>
                <w:b/>
                <w:color w:val="000000" w:themeColor="text1"/>
                <w:sz w:val="17"/>
                <w:szCs w:val="17"/>
                <w:lang w:val="hr-HR"/>
              </w:rPr>
              <w:t>Preko 3 godine</w:t>
            </w:r>
            <w:bookmarkEnd w:id="1701"/>
          </w:p>
        </w:tc>
        <w:tc>
          <w:tcPr>
            <w:tcW w:w="603" w:type="pct"/>
          </w:tcPr>
          <w:p w14:paraId="011749EF"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bookmarkStart w:id="1702" w:name="_Toc67330164"/>
            <w:r w:rsidRPr="005B35F4">
              <w:rPr>
                <w:rFonts w:ascii="Arial" w:hAnsi="Arial" w:cs="Arial"/>
                <w:b/>
                <w:color w:val="000000" w:themeColor="text1"/>
                <w:sz w:val="17"/>
                <w:szCs w:val="17"/>
                <w:lang w:val="hr-HR"/>
              </w:rPr>
              <w:t>Ukupno</w:t>
            </w:r>
            <w:bookmarkEnd w:id="1702"/>
          </w:p>
        </w:tc>
      </w:tr>
      <w:tr w:rsidR="004E2F51" w:rsidRPr="005B35F4" w14:paraId="117B7A26" w14:textId="77777777" w:rsidTr="00E032FC">
        <w:trPr>
          <w:trHeight w:val="152"/>
        </w:trPr>
        <w:tc>
          <w:tcPr>
            <w:tcW w:w="1517" w:type="pct"/>
          </w:tcPr>
          <w:p w14:paraId="300AFCD7" w14:textId="77777777" w:rsidR="004E2F51" w:rsidRPr="005B35F4" w:rsidRDefault="004E2F51" w:rsidP="00E032FC">
            <w:pPr>
              <w:tabs>
                <w:tab w:val="left" w:pos="-720"/>
              </w:tabs>
              <w:spacing w:line="240" w:lineRule="exact"/>
              <w:jc w:val="center"/>
              <w:rPr>
                <w:rFonts w:ascii="Arial" w:hAnsi="Arial" w:cs="Arial"/>
                <w:b/>
                <w:color w:val="000000" w:themeColor="text1"/>
                <w:spacing w:val="-2"/>
                <w:sz w:val="17"/>
                <w:szCs w:val="17"/>
                <w:lang w:val="hr-HR"/>
              </w:rPr>
            </w:pPr>
          </w:p>
        </w:tc>
        <w:tc>
          <w:tcPr>
            <w:tcW w:w="551" w:type="pct"/>
            <w:vAlign w:val="bottom"/>
          </w:tcPr>
          <w:p w14:paraId="309292B5"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bookmarkStart w:id="1703" w:name="_Toc67330165"/>
            <w:r w:rsidRPr="005B35F4">
              <w:rPr>
                <w:rFonts w:ascii="Arial" w:hAnsi="Arial" w:cs="Arial"/>
                <w:b/>
                <w:bCs/>
                <w:color w:val="000000" w:themeColor="text1"/>
                <w:sz w:val="17"/>
                <w:szCs w:val="17"/>
                <w:lang w:val="hr-HR"/>
              </w:rPr>
              <w:t>000 kuna</w:t>
            </w:r>
            <w:bookmarkEnd w:id="1703"/>
          </w:p>
        </w:tc>
        <w:tc>
          <w:tcPr>
            <w:tcW w:w="546" w:type="pct"/>
            <w:vAlign w:val="bottom"/>
          </w:tcPr>
          <w:p w14:paraId="0212F1FD"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bookmarkStart w:id="1704" w:name="_Toc67330166"/>
            <w:r w:rsidRPr="005B35F4">
              <w:rPr>
                <w:rFonts w:ascii="Arial" w:hAnsi="Arial" w:cs="Arial"/>
                <w:b/>
                <w:bCs/>
                <w:color w:val="000000" w:themeColor="text1"/>
                <w:sz w:val="17"/>
                <w:szCs w:val="17"/>
                <w:lang w:val="hr-HR"/>
              </w:rPr>
              <w:t>000 kuna</w:t>
            </w:r>
            <w:bookmarkEnd w:id="1704"/>
          </w:p>
        </w:tc>
        <w:tc>
          <w:tcPr>
            <w:tcW w:w="572" w:type="pct"/>
            <w:vAlign w:val="bottom"/>
          </w:tcPr>
          <w:p w14:paraId="2BDA2E49"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bookmarkStart w:id="1705" w:name="_Toc67330167"/>
            <w:r w:rsidRPr="005B35F4">
              <w:rPr>
                <w:rFonts w:ascii="Arial" w:hAnsi="Arial" w:cs="Arial"/>
                <w:b/>
                <w:bCs/>
                <w:color w:val="000000" w:themeColor="text1"/>
                <w:sz w:val="17"/>
                <w:szCs w:val="17"/>
                <w:lang w:val="hr-HR"/>
              </w:rPr>
              <w:t>000 kuna</w:t>
            </w:r>
            <w:bookmarkEnd w:id="1705"/>
          </w:p>
        </w:tc>
        <w:tc>
          <w:tcPr>
            <w:tcW w:w="570" w:type="pct"/>
            <w:vAlign w:val="bottom"/>
          </w:tcPr>
          <w:p w14:paraId="6C2E62E9"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bookmarkStart w:id="1706" w:name="_Toc67330168"/>
            <w:r w:rsidRPr="005B35F4">
              <w:rPr>
                <w:rFonts w:ascii="Arial" w:hAnsi="Arial" w:cs="Arial"/>
                <w:b/>
                <w:bCs/>
                <w:color w:val="000000" w:themeColor="text1"/>
                <w:sz w:val="17"/>
                <w:szCs w:val="17"/>
                <w:lang w:val="hr-HR"/>
              </w:rPr>
              <w:t>000 kuna</w:t>
            </w:r>
            <w:bookmarkEnd w:id="1706"/>
          </w:p>
        </w:tc>
        <w:tc>
          <w:tcPr>
            <w:tcW w:w="640" w:type="pct"/>
            <w:vAlign w:val="bottom"/>
          </w:tcPr>
          <w:p w14:paraId="4A9584EC"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bookmarkStart w:id="1707" w:name="_Toc67330169"/>
            <w:r w:rsidRPr="005B35F4">
              <w:rPr>
                <w:rFonts w:ascii="Arial" w:hAnsi="Arial" w:cs="Arial"/>
                <w:b/>
                <w:bCs/>
                <w:color w:val="000000" w:themeColor="text1"/>
                <w:sz w:val="17"/>
                <w:szCs w:val="17"/>
                <w:lang w:val="hr-HR"/>
              </w:rPr>
              <w:t>000 kuna</w:t>
            </w:r>
            <w:bookmarkEnd w:id="1707"/>
          </w:p>
        </w:tc>
        <w:tc>
          <w:tcPr>
            <w:tcW w:w="603" w:type="pct"/>
            <w:vAlign w:val="bottom"/>
          </w:tcPr>
          <w:p w14:paraId="65192A5F"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bookmarkStart w:id="1708" w:name="_Toc67330170"/>
            <w:r w:rsidRPr="005B35F4">
              <w:rPr>
                <w:rFonts w:ascii="Arial" w:hAnsi="Arial" w:cs="Arial"/>
                <w:b/>
                <w:bCs/>
                <w:color w:val="000000" w:themeColor="text1"/>
                <w:sz w:val="17"/>
                <w:szCs w:val="17"/>
                <w:lang w:val="hr-HR"/>
              </w:rPr>
              <w:t>000 kuna</w:t>
            </w:r>
            <w:bookmarkEnd w:id="1708"/>
          </w:p>
        </w:tc>
      </w:tr>
      <w:tr w:rsidR="004E2F51" w:rsidRPr="005B35F4" w14:paraId="081C1BDA" w14:textId="77777777" w:rsidTr="00E032FC">
        <w:trPr>
          <w:trHeight w:val="145"/>
        </w:trPr>
        <w:tc>
          <w:tcPr>
            <w:tcW w:w="1517" w:type="pct"/>
          </w:tcPr>
          <w:p w14:paraId="4909AC0A" w14:textId="77777777" w:rsidR="004E2F51" w:rsidRPr="005B35F4" w:rsidRDefault="004E2F51" w:rsidP="00E032FC">
            <w:pPr>
              <w:tabs>
                <w:tab w:val="right" w:pos="1202"/>
              </w:tabs>
              <w:spacing w:line="240" w:lineRule="exact"/>
              <w:outlineLvl w:val="0"/>
              <w:rPr>
                <w:rFonts w:ascii="Arial" w:hAnsi="Arial" w:cs="Arial"/>
                <w:b/>
                <w:bCs/>
                <w:color w:val="000000" w:themeColor="text1"/>
                <w:sz w:val="17"/>
                <w:szCs w:val="17"/>
                <w:lang w:val="hr-HR"/>
              </w:rPr>
            </w:pPr>
            <w:bookmarkStart w:id="1709" w:name="_Toc67330171"/>
            <w:r w:rsidRPr="005B35F4">
              <w:rPr>
                <w:rFonts w:ascii="Arial" w:hAnsi="Arial" w:cs="Arial"/>
                <w:b/>
                <w:bCs/>
                <w:color w:val="000000" w:themeColor="text1"/>
                <w:sz w:val="17"/>
                <w:szCs w:val="17"/>
                <w:lang w:val="hr-HR"/>
              </w:rPr>
              <w:t>Imovina</w:t>
            </w:r>
            <w:bookmarkEnd w:id="1709"/>
          </w:p>
        </w:tc>
        <w:tc>
          <w:tcPr>
            <w:tcW w:w="551" w:type="pct"/>
            <w:vAlign w:val="bottom"/>
          </w:tcPr>
          <w:p w14:paraId="1319EA3B" w14:textId="77777777" w:rsidR="004E2F51" w:rsidRPr="005B35F4" w:rsidRDefault="004E2F51" w:rsidP="00E032FC">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46" w:type="pct"/>
            <w:vAlign w:val="bottom"/>
          </w:tcPr>
          <w:p w14:paraId="643B90CE" w14:textId="77777777" w:rsidR="004E2F51" w:rsidRPr="005B35F4" w:rsidRDefault="004E2F51" w:rsidP="00E032FC">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72" w:type="pct"/>
            <w:vAlign w:val="bottom"/>
          </w:tcPr>
          <w:p w14:paraId="5C2F1197" w14:textId="77777777" w:rsidR="004E2F51" w:rsidRPr="005B35F4" w:rsidRDefault="004E2F51" w:rsidP="00E032FC">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70" w:type="pct"/>
            <w:vAlign w:val="bottom"/>
          </w:tcPr>
          <w:p w14:paraId="14C2B722" w14:textId="77777777" w:rsidR="004E2F51" w:rsidRPr="005B35F4" w:rsidRDefault="004E2F51" w:rsidP="00E032FC">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640" w:type="pct"/>
            <w:vAlign w:val="bottom"/>
          </w:tcPr>
          <w:p w14:paraId="0CF84EB3" w14:textId="77777777" w:rsidR="004E2F51" w:rsidRPr="005B35F4" w:rsidRDefault="004E2F51" w:rsidP="00E032FC">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603" w:type="pct"/>
            <w:vAlign w:val="bottom"/>
          </w:tcPr>
          <w:p w14:paraId="2CEFD71C" w14:textId="77777777" w:rsidR="004E2F51" w:rsidRPr="005B35F4" w:rsidRDefault="004E2F51" w:rsidP="00E032FC">
            <w:pPr>
              <w:tabs>
                <w:tab w:val="right" w:pos="1202"/>
              </w:tabs>
              <w:spacing w:line="240" w:lineRule="exact"/>
              <w:jc w:val="right"/>
              <w:outlineLvl w:val="0"/>
              <w:rPr>
                <w:rFonts w:ascii="Arial" w:hAnsi="Arial" w:cs="Arial"/>
                <w:b/>
                <w:bCs/>
                <w:color w:val="000000" w:themeColor="text1"/>
                <w:spacing w:val="-2"/>
                <w:sz w:val="17"/>
                <w:szCs w:val="17"/>
                <w:lang w:val="hr-HR"/>
              </w:rPr>
            </w:pPr>
          </w:p>
        </w:tc>
      </w:tr>
      <w:tr w:rsidR="004E2F51" w:rsidRPr="005B35F4" w14:paraId="0E43ECCF" w14:textId="77777777" w:rsidTr="00E032FC">
        <w:trPr>
          <w:trHeight w:val="261"/>
        </w:trPr>
        <w:tc>
          <w:tcPr>
            <w:tcW w:w="1517" w:type="pct"/>
            <w:vAlign w:val="bottom"/>
          </w:tcPr>
          <w:p w14:paraId="39652308"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bookmarkStart w:id="1710" w:name="_Toc67330172"/>
            <w:r w:rsidRPr="005B35F4">
              <w:rPr>
                <w:rFonts w:ascii="Arial" w:hAnsi="Arial" w:cs="Arial"/>
                <w:color w:val="000000" w:themeColor="text1"/>
                <w:spacing w:val="-2"/>
                <w:sz w:val="17"/>
                <w:szCs w:val="17"/>
                <w:lang w:val="hr-HR"/>
              </w:rPr>
              <w:t>Novčana sredstva i računi kod banaka</w:t>
            </w:r>
            <w:bookmarkEnd w:id="1710"/>
          </w:p>
        </w:tc>
        <w:tc>
          <w:tcPr>
            <w:tcW w:w="551" w:type="pct"/>
            <w:tcBorders>
              <w:top w:val="nil"/>
              <w:left w:val="nil"/>
              <w:bottom w:val="nil"/>
              <w:right w:val="nil"/>
            </w:tcBorders>
            <w:shd w:val="clear" w:color="auto" w:fill="auto"/>
            <w:vAlign w:val="bottom"/>
          </w:tcPr>
          <w:p w14:paraId="77FDC384"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1.716.519 </w:t>
            </w:r>
          </w:p>
        </w:tc>
        <w:tc>
          <w:tcPr>
            <w:tcW w:w="546" w:type="pct"/>
            <w:tcBorders>
              <w:top w:val="nil"/>
              <w:left w:val="nil"/>
              <w:bottom w:val="nil"/>
              <w:right w:val="nil"/>
            </w:tcBorders>
            <w:shd w:val="clear" w:color="auto" w:fill="auto"/>
            <w:vAlign w:val="bottom"/>
          </w:tcPr>
          <w:p w14:paraId="5D42A872"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6145033D"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2F9A3598"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4A06DA6A"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03F5F851"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1.716.519 </w:t>
            </w:r>
          </w:p>
        </w:tc>
      </w:tr>
      <w:tr w:rsidR="004E2F51" w:rsidRPr="005B35F4" w14:paraId="157CC95E" w14:textId="77777777" w:rsidTr="00E032FC">
        <w:trPr>
          <w:trHeight w:val="261"/>
        </w:trPr>
        <w:tc>
          <w:tcPr>
            <w:tcW w:w="1517" w:type="pct"/>
            <w:vAlign w:val="bottom"/>
          </w:tcPr>
          <w:p w14:paraId="5EE06936"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bookmarkStart w:id="1711" w:name="_Toc67330173"/>
            <w:r w:rsidRPr="005B35F4">
              <w:rPr>
                <w:rFonts w:ascii="Arial" w:hAnsi="Arial" w:cs="Arial"/>
                <w:color w:val="000000" w:themeColor="text1"/>
                <w:spacing w:val="-2"/>
                <w:sz w:val="17"/>
                <w:szCs w:val="17"/>
                <w:lang w:val="hr-HR"/>
              </w:rPr>
              <w:t>Depoziti kod drugih banaka</w:t>
            </w:r>
            <w:bookmarkEnd w:id="1711"/>
          </w:p>
        </w:tc>
        <w:tc>
          <w:tcPr>
            <w:tcW w:w="551" w:type="pct"/>
            <w:tcBorders>
              <w:top w:val="nil"/>
              <w:left w:val="nil"/>
              <w:bottom w:val="nil"/>
              <w:right w:val="nil"/>
            </w:tcBorders>
            <w:shd w:val="clear" w:color="auto" w:fill="auto"/>
            <w:vAlign w:val="bottom"/>
          </w:tcPr>
          <w:p w14:paraId="6231164E"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546" w:type="pct"/>
            <w:tcBorders>
              <w:top w:val="nil"/>
              <w:left w:val="nil"/>
              <w:bottom w:val="nil"/>
              <w:right w:val="nil"/>
            </w:tcBorders>
            <w:shd w:val="clear" w:color="auto" w:fill="auto"/>
            <w:vAlign w:val="bottom"/>
          </w:tcPr>
          <w:p w14:paraId="10319870"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59B1BBF4"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1284737C"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7E4F087A"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10.596 </w:t>
            </w:r>
          </w:p>
        </w:tc>
        <w:tc>
          <w:tcPr>
            <w:tcW w:w="603" w:type="pct"/>
            <w:tcBorders>
              <w:top w:val="nil"/>
              <w:left w:val="nil"/>
              <w:bottom w:val="nil"/>
              <w:right w:val="nil"/>
            </w:tcBorders>
            <w:shd w:val="clear" w:color="auto" w:fill="auto"/>
            <w:vAlign w:val="bottom"/>
          </w:tcPr>
          <w:p w14:paraId="39052582"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10.596 </w:t>
            </w:r>
          </w:p>
        </w:tc>
      </w:tr>
      <w:tr w:rsidR="004E2F51" w:rsidRPr="005B35F4" w14:paraId="1BE86F21" w14:textId="77777777" w:rsidTr="00E032FC">
        <w:trPr>
          <w:trHeight w:val="261"/>
        </w:trPr>
        <w:tc>
          <w:tcPr>
            <w:tcW w:w="1517" w:type="pct"/>
            <w:vAlign w:val="bottom"/>
          </w:tcPr>
          <w:p w14:paraId="6F45C628" w14:textId="77777777" w:rsidR="004E2F51" w:rsidRPr="005B35F4" w:rsidRDefault="004E2F51" w:rsidP="00E032FC">
            <w:pPr>
              <w:tabs>
                <w:tab w:val="right" w:pos="1202"/>
              </w:tabs>
              <w:spacing w:line="240" w:lineRule="exact"/>
              <w:outlineLvl w:val="0"/>
              <w:rPr>
                <w:rFonts w:ascii="Arial" w:hAnsi="Arial" w:cs="Arial"/>
                <w:color w:val="000000" w:themeColor="text1"/>
                <w:spacing w:val="-2"/>
                <w:sz w:val="17"/>
                <w:szCs w:val="17"/>
                <w:lang w:val="hr-HR"/>
              </w:rPr>
            </w:pPr>
            <w:bookmarkStart w:id="1712" w:name="_Toc67330174"/>
            <w:r w:rsidRPr="005B35F4">
              <w:rPr>
                <w:rFonts w:ascii="Arial" w:hAnsi="Arial" w:cs="Arial"/>
                <w:color w:val="000000" w:themeColor="text1"/>
                <w:spacing w:val="-2"/>
                <w:sz w:val="17"/>
                <w:szCs w:val="17"/>
                <w:lang w:val="hr-HR"/>
              </w:rPr>
              <w:t>Krediti financijskim institucijama</w:t>
            </w:r>
            <w:bookmarkEnd w:id="1712"/>
          </w:p>
        </w:tc>
        <w:tc>
          <w:tcPr>
            <w:tcW w:w="551" w:type="pct"/>
            <w:tcBorders>
              <w:top w:val="nil"/>
              <w:left w:val="nil"/>
              <w:bottom w:val="nil"/>
              <w:right w:val="nil"/>
            </w:tcBorders>
            <w:shd w:val="clear" w:color="auto" w:fill="auto"/>
            <w:vAlign w:val="bottom"/>
          </w:tcPr>
          <w:p w14:paraId="62CFD069"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249.137 </w:t>
            </w:r>
          </w:p>
        </w:tc>
        <w:tc>
          <w:tcPr>
            <w:tcW w:w="546" w:type="pct"/>
            <w:tcBorders>
              <w:top w:val="nil"/>
              <w:left w:val="nil"/>
              <w:bottom w:val="nil"/>
              <w:right w:val="nil"/>
            </w:tcBorders>
            <w:shd w:val="clear" w:color="auto" w:fill="auto"/>
            <w:vAlign w:val="bottom"/>
          </w:tcPr>
          <w:p w14:paraId="597B2AED"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198.128 </w:t>
            </w:r>
          </w:p>
        </w:tc>
        <w:tc>
          <w:tcPr>
            <w:tcW w:w="572" w:type="pct"/>
            <w:tcBorders>
              <w:top w:val="nil"/>
              <w:left w:val="nil"/>
              <w:bottom w:val="nil"/>
              <w:right w:val="nil"/>
            </w:tcBorders>
            <w:shd w:val="clear" w:color="auto" w:fill="auto"/>
            <w:vAlign w:val="bottom"/>
          </w:tcPr>
          <w:p w14:paraId="652ABDAE"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842.943 </w:t>
            </w:r>
          </w:p>
        </w:tc>
        <w:tc>
          <w:tcPr>
            <w:tcW w:w="570" w:type="pct"/>
            <w:tcBorders>
              <w:top w:val="nil"/>
              <w:left w:val="nil"/>
              <w:bottom w:val="nil"/>
              <w:right w:val="nil"/>
            </w:tcBorders>
            <w:shd w:val="clear" w:color="auto" w:fill="auto"/>
            <w:vAlign w:val="bottom"/>
          </w:tcPr>
          <w:p w14:paraId="33BBB885"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1.922.672 </w:t>
            </w:r>
          </w:p>
        </w:tc>
        <w:tc>
          <w:tcPr>
            <w:tcW w:w="640" w:type="pct"/>
            <w:tcBorders>
              <w:top w:val="nil"/>
              <w:left w:val="nil"/>
              <w:bottom w:val="nil"/>
              <w:right w:val="nil"/>
            </w:tcBorders>
            <w:shd w:val="clear" w:color="auto" w:fill="auto"/>
            <w:vAlign w:val="bottom"/>
          </w:tcPr>
          <w:p w14:paraId="43A286E8"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3.771.832 </w:t>
            </w:r>
          </w:p>
        </w:tc>
        <w:tc>
          <w:tcPr>
            <w:tcW w:w="603" w:type="pct"/>
            <w:tcBorders>
              <w:top w:val="nil"/>
              <w:left w:val="nil"/>
              <w:bottom w:val="nil"/>
              <w:right w:val="nil"/>
            </w:tcBorders>
            <w:shd w:val="clear" w:color="auto" w:fill="auto"/>
            <w:vAlign w:val="bottom"/>
          </w:tcPr>
          <w:p w14:paraId="4D1E3BC9"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6.984.712 </w:t>
            </w:r>
          </w:p>
        </w:tc>
      </w:tr>
      <w:tr w:rsidR="004E2F51" w:rsidRPr="005B35F4" w14:paraId="7BCB320F" w14:textId="77777777" w:rsidTr="00E032FC">
        <w:trPr>
          <w:trHeight w:val="261"/>
        </w:trPr>
        <w:tc>
          <w:tcPr>
            <w:tcW w:w="1517" w:type="pct"/>
            <w:vAlign w:val="bottom"/>
          </w:tcPr>
          <w:p w14:paraId="3EFC080D" w14:textId="77777777" w:rsidR="004E2F51" w:rsidRPr="005B35F4" w:rsidRDefault="004E2F51" w:rsidP="00E032FC">
            <w:pPr>
              <w:tabs>
                <w:tab w:val="right" w:pos="1202"/>
              </w:tabs>
              <w:spacing w:line="240" w:lineRule="exact"/>
              <w:outlineLvl w:val="0"/>
              <w:rPr>
                <w:rFonts w:ascii="Arial" w:hAnsi="Arial" w:cs="Arial"/>
                <w:color w:val="000000" w:themeColor="text1"/>
                <w:spacing w:val="-2"/>
                <w:sz w:val="17"/>
                <w:szCs w:val="17"/>
                <w:lang w:val="hr-HR"/>
              </w:rPr>
            </w:pPr>
            <w:bookmarkStart w:id="1713" w:name="_Toc67330175"/>
            <w:r w:rsidRPr="005B35F4">
              <w:rPr>
                <w:rFonts w:ascii="Arial" w:hAnsi="Arial" w:cs="Arial"/>
                <w:color w:val="000000" w:themeColor="text1"/>
                <w:spacing w:val="-2"/>
                <w:sz w:val="17"/>
                <w:szCs w:val="17"/>
                <w:lang w:val="hr-HR"/>
              </w:rPr>
              <w:t>Krediti ostalim korisnicima</w:t>
            </w:r>
            <w:bookmarkEnd w:id="1713"/>
          </w:p>
        </w:tc>
        <w:tc>
          <w:tcPr>
            <w:tcW w:w="551" w:type="pct"/>
            <w:tcBorders>
              <w:top w:val="nil"/>
              <w:left w:val="nil"/>
              <w:bottom w:val="nil"/>
              <w:right w:val="nil"/>
            </w:tcBorders>
            <w:shd w:val="clear" w:color="auto" w:fill="auto"/>
            <w:vAlign w:val="bottom"/>
          </w:tcPr>
          <w:p w14:paraId="65CDA400"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1.455.849 </w:t>
            </w:r>
          </w:p>
        </w:tc>
        <w:tc>
          <w:tcPr>
            <w:tcW w:w="546" w:type="pct"/>
            <w:tcBorders>
              <w:top w:val="nil"/>
              <w:left w:val="nil"/>
              <w:bottom w:val="nil"/>
              <w:right w:val="nil"/>
            </w:tcBorders>
            <w:shd w:val="clear" w:color="auto" w:fill="auto"/>
            <w:vAlign w:val="bottom"/>
          </w:tcPr>
          <w:p w14:paraId="1D198691"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527.169 </w:t>
            </w:r>
          </w:p>
        </w:tc>
        <w:tc>
          <w:tcPr>
            <w:tcW w:w="572" w:type="pct"/>
            <w:tcBorders>
              <w:top w:val="nil"/>
              <w:left w:val="nil"/>
              <w:bottom w:val="nil"/>
              <w:right w:val="nil"/>
            </w:tcBorders>
            <w:shd w:val="clear" w:color="auto" w:fill="auto"/>
            <w:vAlign w:val="bottom"/>
          </w:tcPr>
          <w:p w14:paraId="774C3819"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2.090.509 </w:t>
            </w:r>
          </w:p>
        </w:tc>
        <w:tc>
          <w:tcPr>
            <w:tcW w:w="570" w:type="pct"/>
            <w:tcBorders>
              <w:top w:val="nil"/>
              <w:left w:val="nil"/>
              <w:bottom w:val="nil"/>
              <w:right w:val="nil"/>
            </w:tcBorders>
            <w:shd w:val="clear" w:color="auto" w:fill="auto"/>
            <w:vAlign w:val="bottom"/>
          </w:tcPr>
          <w:p w14:paraId="4211059A"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4.313.104 </w:t>
            </w:r>
          </w:p>
        </w:tc>
        <w:tc>
          <w:tcPr>
            <w:tcW w:w="640" w:type="pct"/>
            <w:tcBorders>
              <w:top w:val="nil"/>
              <w:left w:val="nil"/>
              <w:bottom w:val="nil"/>
              <w:right w:val="nil"/>
            </w:tcBorders>
            <w:shd w:val="clear" w:color="auto" w:fill="auto"/>
            <w:vAlign w:val="bottom"/>
          </w:tcPr>
          <w:p w14:paraId="2210BBCA"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9.016.035 </w:t>
            </w:r>
          </w:p>
        </w:tc>
        <w:tc>
          <w:tcPr>
            <w:tcW w:w="603" w:type="pct"/>
            <w:tcBorders>
              <w:top w:val="nil"/>
              <w:left w:val="nil"/>
              <w:bottom w:val="nil"/>
              <w:right w:val="nil"/>
            </w:tcBorders>
            <w:shd w:val="clear" w:color="auto" w:fill="auto"/>
            <w:vAlign w:val="bottom"/>
          </w:tcPr>
          <w:p w14:paraId="7700FBDD"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17.402.666 </w:t>
            </w:r>
          </w:p>
        </w:tc>
      </w:tr>
      <w:tr w:rsidR="004E2F51" w:rsidRPr="005B35F4" w14:paraId="5710DB1C" w14:textId="77777777" w:rsidTr="00E032FC">
        <w:trPr>
          <w:trHeight w:val="145"/>
        </w:trPr>
        <w:tc>
          <w:tcPr>
            <w:tcW w:w="1517" w:type="pct"/>
            <w:vAlign w:val="bottom"/>
          </w:tcPr>
          <w:p w14:paraId="3D4C757E" w14:textId="77777777" w:rsidR="004E2F51" w:rsidRPr="005B35F4" w:rsidRDefault="004E2F51" w:rsidP="00E032FC">
            <w:pPr>
              <w:tabs>
                <w:tab w:val="right" w:pos="1202"/>
              </w:tabs>
              <w:spacing w:line="240" w:lineRule="exact"/>
              <w:outlineLvl w:val="0"/>
              <w:rPr>
                <w:rFonts w:ascii="Arial" w:hAnsi="Arial" w:cs="Arial"/>
                <w:color w:val="000000" w:themeColor="text1"/>
                <w:spacing w:val="-2"/>
                <w:sz w:val="17"/>
                <w:szCs w:val="17"/>
                <w:lang w:val="hr-HR"/>
              </w:rPr>
            </w:pPr>
            <w:bookmarkStart w:id="1714" w:name="_Toc67330176"/>
            <w:r w:rsidRPr="005B35F4">
              <w:rPr>
                <w:rFonts w:ascii="Arial" w:hAnsi="Arial" w:cs="Arial"/>
                <w:color w:val="000000" w:themeColor="text1"/>
                <w:sz w:val="17"/>
                <w:szCs w:val="17"/>
                <w:lang w:val="hr-HR"/>
              </w:rPr>
              <w:t>Financijska imovina po fer vrijednosti kroz dobit ili gubitak</w:t>
            </w:r>
            <w:bookmarkEnd w:id="1714"/>
          </w:p>
        </w:tc>
        <w:tc>
          <w:tcPr>
            <w:tcW w:w="551" w:type="pct"/>
            <w:tcBorders>
              <w:top w:val="nil"/>
              <w:left w:val="nil"/>
              <w:bottom w:val="nil"/>
              <w:right w:val="nil"/>
            </w:tcBorders>
            <w:shd w:val="clear" w:color="auto" w:fill="auto"/>
            <w:vAlign w:val="bottom"/>
          </w:tcPr>
          <w:p w14:paraId="394428FB" w14:textId="77777777" w:rsidR="004E2F51" w:rsidRPr="005B35F4" w:rsidRDefault="004E2F51" w:rsidP="00E032FC">
            <w:pPr>
              <w:jc w:val="right"/>
              <w:rPr>
                <w:rFonts w:ascii="Arial" w:hAnsi="Arial" w:cs="Arial"/>
                <w:color w:val="000000"/>
                <w:sz w:val="17"/>
                <w:szCs w:val="17"/>
              </w:rPr>
            </w:pPr>
            <w:r w:rsidRPr="0002282A">
              <w:rPr>
                <w:rFonts w:ascii="Arial" w:hAnsi="Arial" w:cs="Arial"/>
                <w:color w:val="000000"/>
                <w:sz w:val="17"/>
                <w:szCs w:val="17"/>
                <w:lang w:val="it-IT"/>
              </w:rPr>
              <w:t xml:space="preserve"> </w:t>
            </w:r>
            <w:r w:rsidRPr="003C0BB2">
              <w:rPr>
                <w:rFonts w:ascii="Arial" w:hAnsi="Arial" w:cs="Arial"/>
                <w:color w:val="000000"/>
                <w:sz w:val="17"/>
                <w:szCs w:val="17"/>
              </w:rPr>
              <w:t>108.25</w:t>
            </w:r>
            <w:r>
              <w:rPr>
                <w:rFonts w:ascii="Arial" w:hAnsi="Arial" w:cs="Arial"/>
                <w:color w:val="000000"/>
                <w:sz w:val="17"/>
                <w:szCs w:val="17"/>
              </w:rPr>
              <w:t>1</w:t>
            </w:r>
            <w:r w:rsidRPr="003C0BB2">
              <w:rPr>
                <w:rFonts w:ascii="Arial" w:hAnsi="Arial" w:cs="Arial"/>
                <w:color w:val="000000"/>
                <w:sz w:val="17"/>
                <w:szCs w:val="17"/>
              </w:rPr>
              <w:t xml:space="preserve"> </w:t>
            </w:r>
          </w:p>
        </w:tc>
        <w:tc>
          <w:tcPr>
            <w:tcW w:w="546" w:type="pct"/>
            <w:tcBorders>
              <w:top w:val="nil"/>
              <w:left w:val="nil"/>
              <w:bottom w:val="nil"/>
              <w:right w:val="nil"/>
            </w:tcBorders>
            <w:shd w:val="clear" w:color="auto" w:fill="auto"/>
            <w:vAlign w:val="bottom"/>
          </w:tcPr>
          <w:p w14:paraId="06E50698"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441 </w:t>
            </w:r>
          </w:p>
        </w:tc>
        <w:tc>
          <w:tcPr>
            <w:tcW w:w="572" w:type="pct"/>
            <w:tcBorders>
              <w:top w:val="nil"/>
              <w:left w:val="nil"/>
              <w:bottom w:val="nil"/>
              <w:right w:val="nil"/>
            </w:tcBorders>
            <w:shd w:val="clear" w:color="auto" w:fill="auto"/>
            <w:vAlign w:val="bottom"/>
          </w:tcPr>
          <w:p w14:paraId="1B3AADCB"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3529FD8B"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22.83</w:t>
            </w:r>
            <w:r>
              <w:rPr>
                <w:rFonts w:ascii="Arial" w:hAnsi="Arial" w:cs="Arial"/>
                <w:color w:val="000000"/>
                <w:sz w:val="17"/>
                <w:szCs w:val="17"/>
              </w:rPr>
              <w:t>1</w:t>
            </w:r>
            <w:r w:rsidRPr="003C0BB2">
              <w:rPr>
                <w:rFonts w:ascii="Arial" w:hAnsi="Arial" w:cs="Arial"/>
                <w:color w:val="000000"/>
                <w:sz w:val="17"/>
                <w:szCs w:val="17"/>
              </w:rPr>
              <w:t xml:space="preserve"> </w:t>
            </w:r>
          </w:p>
        </w:tc>
        <w:tc>
          <w:tcPr>
            <w:tcW w:w="640" w:type="pct"/>
            <w:tcBorders>
              <w:top w:val="nil"/>
              <w:left w:val="nil"/>
              <w:bottom w:val="nil"/>
              <w:right w:val="nil"/>
            </w:tcBorders>
            <w:shd w:val="clear" w:color="auto" w:fill="auto"/>
            <w:vAlign w:val="bottom"/>
          </w:tcPr>
          <w:p w14:paraId="26F08B33"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7518E4DD"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131.523 </w:t>
            </w:r>
          </w:p>
        </w:tc>
      </w:tr>
      <w:tr w:rsidR="004E2F51" w:rsidRPr="005B35F4" w14:paraId="0699590B" w14:textId="77777777" w:rsidTr="00E032FC">
        <w:trPr>
          <w:trHeight w:val="145"/>
        </w:trPr>
        <w:tc>
          <w:tcPr>
            <w:tcW w:w="1517" w:type="pct"/>
            <w:vAlign w:val="bottom"/>
          </w:tcPr>
          <w:p w14:paraId="3CB29F82" w14:textId="77777777" w:rsidR="004E2F51" w:rsidRPr="005B35F4" w:rsidRDefault="004E2F51" w:rsidP="00E032FC">
            <w:pPr>
              <w:tabs>
                <w:tab w:val="right" w:pos="1202"/>
              </w:tabs>
              <w:spacing w:line="240" w:lineRule="exact"/>
              <w:outlineLvl w:val="0"/>
              <w:rPr>
                <w:rFonts w:ascii="Arial" w:hAnsi="Arial" w:cs="Arial"/>
                <w:color w:val="000000" w:themeColor="text1"/>
                <w:spacing w:val="-2"/>
                <w:sz w:val="17"/>
                <w:szCs w:val="17"/>
                <w:lang w:val="hr-HR"/>
              </w:rPr>
            </w:pPr>
            <w:bookmarkStart w:id="1715" w:name="_Toc67330177"/>
            <w:r w:rsidRPr="005B35F4">
              <w:rPr>
                <w:rFonts w:ascii="Arial" w:hAnsi="Arial" w:cs="Arial"/>
                <w:color w:val="000000" w:themeColor="text1"/>
                <w:sz w:val="17"/>
                <w:szCs w:val="17"/>
                <w:lang w:val="hr-HR"/>
              </w:rPr>
              <w:t>Financijska imovina po fer vrijednosti kroz ostalu sveobuhvatnu dobit</w:t>
            </w:r>
            <w:bookmarkEnd w:id="1715"/>
          </w:p>
        </w:tc>
        <w:tc>
          <w:tcPr>
            <w:tcW w:w="551" w:type="pct"/>
            <w:tcBorders>
              <w:top w:val="nil"/>
              <w:left w:val="nil"/>
              <w:bottom w:val="nil"/>
              <w:right w:val="nil"/>
            </w:tcBorders>
            <w:shd w:val="clear" w:color="auto" w:fill="auto"/>
            <w:vAlign w:val="bottom"/>
          </w:tcPr>
          <w:p w14:paraId="2B9E0C01"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2.625.545 </w:t>
            </w:r>
          </w:p>
        </w:tc>
        <w:tc>
          <w:tcPr>
            <w:tcW w:w="546" w:type="pct"/>
            <w:tcBorders>
              <w:top w:val="nil"/>
              <w:left w:val="nil"/>
              <w:bottom w:val="nil"/>
              <w:right w:val="nil"/>
            </w:tcBorders>
            <w:shd w:val="clear" w:color="auto" w:fill="auto"/>
            <w:vAlign w:val="bottom"/>
          </w:tcPr>
          <w:p w14:paraId="693F4AAB"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13.927 </w:t>
            </w:r>
          </w:p>
        </w:tc>
        <w:tc>
          <w:tcPr>
            <w:tcW w:w="572" w:type="pct"/>
            <w:tcBorders>
              <w:top w:val="nil"/>
              <w:left w:val="nil"/>
              <w:bottom w:val="nil"/>
              <w:right w:val="nil"/>
            </w:tcBorders>
            <w:shd w:val="clear" w:color="auto" w:fill="auto"/>
            <w:vAlign w:val="bottom"/>
          </w:tcPr>
          <w:p w14:paraId="3C2066D3"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42158B49"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4F8D592B"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7CA2A4CD"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2.639.472 </w:t>
            </w:r>
          </w:p>
        </w:tc>
      </w:tr>
      <w:tr w:rsidR="004E2F51" w:rsidRPr="005B35F4" w14:paraId="3C2B11DE" w14:textId="77777777" w:rsidTr="00E032FC">
        <w:trPr>
          <w:trHeight w:val="145"/>
        </w:trPr>
        <w:tc>
          <w:tcPr>
            <w:tcW w:w="1517" w:type="pct"/>
            <w:vAlign w:val="bottom"/>
          </w:tcPr>
          <w:p w14:paraId="43F9A52E" w14:textId="77777777" w:rsidR="004E2F51" w:rsidRPr="005B35F4" w:rsidRDefault="004E2F51" w:rsidP="00E032FC">
            <w:pPr>
              <w:tabs>
                <w:tab w:val="right" w:pos="1202"/>
              </w:tabs>
              <w:spacing w:line="240" w:lineRule="exact"/>
              <w:outlineLvl w:val="0"/>
              <w:rPr>
                <w:rFonts w:ascii="Arial" w:hAnsi="Arial" w:cs="Arial"/>
                <w:color w:val="000000" w:themeColor="text1"/>
                <w:spacing w:val="-2"/>
                <w:sz w:val="17"/>
                <w:szCs w:val="17"/>
                <w:lang w:val="hr-HR"/>
              </w:rPr>
            </w:pPr>
            <w:bookmarkStart w:id="1716" w:name="_Toc67330178"/>
            <w:r w:rsidRPr="005B35F4">
              <w:rPr>
                <w:rFonts w:ascii="Arial" w:hAnsi="Arial" w:cs="Arial"/>
                <w:color w:val="000000" w:themeColor="text1"/>
                <w:spacing w:val="-2"/>
                <w:sz w:val="17"/>
                <w:szCs w:val="17"/>
                <w:lang w:val="hr-HR"/>
              </w:rPr>
              <w:t>Ulaganja u ovisna društva</w:t>
            </w:r>
            <w:bookmarkEnd w:id="1716"/>
          </w:p>
        </w:tc>
        <w:tc>
          <w:tcPr>
            <w:tcW w:w="551" w:type="pct"/>
            <w:tcBorders>
              <w:top w:val="nil"/>
              <w:left w:val="nil"/>
              <w:bottom w:val="nil"/>
              <w:right w:val="nil"/>
            </w:tcBorders>
            <w:shd w:val="clear" w:color="auto" w:fill="auto"/>
            <w:vAlign w:val="bottom"/>
          </w:tcPr>
          <w:p w14:paraId="5B42B9AA"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546" w:type="pct"/>
            <w:tcBorders>
              <w:top w:val="nil"/>
              <w:left w:val="nil"/>
              <w:bottom w:val="nil"/>
              <w:right w:val="nil"/>
            </w:tcBorders>
            <w:shd w:val="clear" w:color="auto" w:fill="auto"/>
            <w:vAlign w:val="bottom"/>
          </w:tcPr>
          <w:p w14:paraId="29D99470"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1B2052D3"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42161CBA"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6558EEA0"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56.124 </w:t>
            </w:r>
          </w:p>
        </w:tc>
        <w:tc>
          <w:tcPr>
            <w:tcW w:w="603" w:type="pct"/>
            <w:tcBorders>
              <w:top w:val="nil"/>
              <w:left w:val="nil"/>
              <w:bottom w:val="nil"/>
              <w:right w:val="nil"/>
            </w:tcBorders>
            <w:shd w:val="clear" w:color="auto" w:fill="auto"/>
            <w:vAlign w:val="bottom"/>
          </w:tcPr>
          <w:p w14:paraId="1FC74EE9"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56.124 </w:t>
            </w:r>
          </w:p>
        </w:tc>
      </w:tr>
      <w:tr w:rsidR="004E2F51" w:rsidRPr="005B35F4" w14:paraId="6ADFD1A8" w14:textId="77777777" w:rsidTr="00E032FC">
        <w:trPr>
          <w:trHeight w:val="293"/>
        </w:trPr>
        <w:tc>
          <w:tcPr>
            <w:tcW w:w="1517" w:type="pct"/>
            <w:vAlign w:val="bottom"/>
          </w:tcPr>
          <w:p w14:paraId="5B594797"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bookmarkStart w:id="1717" w:name="_Toc67330179"/>
            <w:r w:rsidRPr="005B35F4">
              <w:rPr>
                <w:rFonts w:ascii="Arial" w:hAnsi="Arial" w:cs="Arial"/>
                <w:color w:val="000000" w:themeColor="text1"/>
                <w:spacing w:val="-2"/>
                <w:sz w:val="17"/>
                <w:szCs w:val="17"/>
                <w:lang w:val="hr-HR"/>
              </w:rPr>
              <w:t>Nekretnine, postrojenja i oprema i nematerijalna imovina</w:t>
            </w:r>
            <w:bookmarkEnd w:id="1717"/>
          </w:p>
        </w:tc>
        <w:tc>
          <w:tcPr>
            <w:tcW w:w="551" w:type="pct"/>
            <w:tcBorders>
              <w:top w:val="nil"/>
              <w:left w:val="nil"/>
              <w:bottom w:val="nil"/>
              <w:right w:val="nil"/>
            </w:tcBorders>
            <w:shd w:val="clear" w:color="auto" w:fill="auto"/>
            <w:vAlign w:val="bottom"/>
          </w:tcPr>
          <w:p w14:paraId="0B1C52CF" w14:textId="77777777" w:rsidR="004E2F51" w:rsidRPr="005B35F4" w:rsidRDefault="004E2F51" w:rsidP="00E032FC">
            <w:pPr>
              <w:jc w:val="right"/>
              <w:rPr>
                <w:rFonts w:ascii="Arial" w:hAnsi="Arial" w:cs="Arial"/>
                <w:color w:val="000000"/>
                <w:sz w:val="17"/>
                <w:szCs w:val="17"/>
              </w:rPr>
            </w:pPr>
            <w:r w:rsidRPr="0002282A">
              <w:rPr>
                <w:rFonts w:ascii="Arial" w:hAnsi="Arial" w:cs="Arial"/>
                <w:color w:val="000000"/>
                <w:sz w:val="17"/>
                <w:szCs w:val="17"/>
                <w:lang w:val="it-IT"/>
              </w:rPr>
              <w:t xml:space="preserve"> </w:t>
            </w:r>
            <w:r w:rsidRPr="003C0BB2">
              <w:rPr>
                <w:rFonts w:ascii="Arial" w:hAnsi="Arial" w:cs="Arial"/>
                <w:color w:val="000000"/>
                <w:sz w:val="17"/>
                <w:szCs w:val="17"/>
              </w:rPr>
              <w:t xml:space="preserve">-   </w:t>
            </w:r>
          </w:p>
        </w:tc>
        <w:tc>
          <w:tcPr>
            <w:tcW w:w="546" w:type="pct"/>
            <w:tcBorders>
              <w:top w:val="nil"/>
              <w:left w:val="nil"/>
              <w:bottom w:val="nil"/>
              <w:right w:val="nil"/>
            </w:tcBorders>
            <w:shd w:val="clear" w:color="auto" w:fill="auto"/>
            <w:vAlign w:val="bottom"/>
          </w:tcPr>
          <w:p w14:paraId="58A198B4"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4A6C127F"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2F0E7B90"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59A70C97"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37.727 </w:t>
            </w:r>
          </w:p>
        </w:tc>
        <w:tc>
          <w:tcPr>
            <w:tcW w:w="603" w:type="pct"/>
            <w:tcBorders>
              <w:top w:val="nil"/>
              <w:left w:val="nil"/>
              <w:bottom w:val="nil"/>
              <w:right w:val="nil"/>
            </w:tcBorders>
            <w:shd w:val="clear" w:color="auto" w:fill="auto"/>
            <w:vAlign w:val="bottom"/>
          </w:tcPr>
          <w:p w14:paraId="789AEF6B"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37.727 </w:t>
            </w:r>
          </w:p>
        </w:tc>
      </w:tr>
      <w:tr w:rsidR="004E2F51" w:rsidRPr="005B35F4" w14:paraId="16C32EA2" w14:textId="77777777" w:rsidTr="00E032FC">
        <w:trPr>
          <w:trHeight w:val="134"/>
        </w:trPr>
        <w:tc>
          <w:tcPr>
            <w:tcW w:w="1517" w:type="pct"/>
            <w:vAlign w:val="bottom"/>
          </w:tcPr>
          <w:p w14:paraId="277B088D"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bookmarkStart w:id="1718" w:name="_Toc67330180"/>
            <w:r w:rsidRPr="005B35F4">
              <w:rPr>
                <w:rFonts w:ascii="Arial" w:hAnsi="Arial" w:cs="Arial"/>
                <w:color w:val="000000" w:themeColor="text1"/>
                <w:spacing w:val="-2"/>
                <w:sz w:val="17"/>
                <w:szCs w:val="17"/>
                <w:lang w:val="hr-HR"/>
              </w:rPr>
              <w:t>Preuzeta imovina</w:t>
            </w:r>
            <w:bookmarkEnd w:id="1718"/>
          </w:p>
        </w:tc>
        <w:tc>
          <w:tcPr>
            <w:tcW w:w="551" w:type="pct"/>
            <w:tcBorders>
              <w:top w:val="nil"/>
              <w:left w:val="nil"/>
              <w:bottom w:val="nil"/>
              <w:right w:val="nil"/>
            </w:tcBorders>
            <w:shd w:val="clear" w:color="auto" w:fill="auto"/>
            <w:vAlign w:val="bottom"/>
          </w:tcPr>
          <w:p w14:paraId="3603E011"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546" w:type="pct"/>
            <w:tcBorders>
              <w:top w:val="nil"/>
              <w:left w:val="nil"/>
              <w:bottom w:val="nil"/>
              <w:right w:val="nil"/>
            </w:tcBorders>
            <w:shd w:val="clear" w:color="auto" w:fill="auto"/>
            <w:vAlign w:val="bottom"/>
          </w:tcPr>
          <w:p w14:paraId="4DB7B3A8"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1B7418D0"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1.968 </w:t>
            </w:r>
          </w:p>
        </w:tc>
        <w:tc>
          <w:tcPr>
            <w:tcW w:w="570" w:type="pct"/>
            <w:tcBorders>
              <w:top w:val="nil"/>
              <w:left w:val="nil"/>
              <w:bottom w:val="nil"/>
              <w:right w:val="nil"/>
            </w:tcBorders>
            <w:shd w:val="clear" w:color="auto" w:fill="auto"/>
            <w:vAlign w:val="bottom"/>
          </w:tcPr>
          <w:p w14:paraId="4FE8A2CD"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13.024 </w:t>
            </w:r>
          </w:p>
        </w:tc>
        <w:tc>
          <w:tcPr>
            <w:tcW w:w="640" w:type="pct"/>
            <w:tcBorders>
              <w:top w:val="nil"/>
              <w:left w:val="nil"/>
              <w:bottom w:val="nil"/>
              <w:right w:val="nil"/>
            </w:tcBorders>
            <w:shd w:val="clear" w:color="auto" w:fill="auto"/>
            <w:vAlign w:val="bottom"/>
          </w:tcPr>
          <w:p w14:paraId="2ABA7801"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9.784 </w:t>
            </w:r>
          </w:p>
        </w:tc>
        <w:tc>
          <w:tcPr>
            <w:tcW w:w="603" w:type="pct"/>
            <w:tcBorders>
              <w:top w:val="nil"/>
              <w:left w:val="nil"/>
              <w:bottom w:val="nil"/>
              <w:right w:val="nil"/>
            </w:tcBorders>
            <w:shd w:val="clear" w:color="auto" w:fill="auto"/>
            <w:vAlign w:val="bottom"/>
          </w:tcPr>
          <w:p w14:paraId="4E9A768F"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24.776 </w:t>
            </w:r>
          </w:p>
        </w:tc>
      </w:tr>
      <w:tr w:rsidR="004E2F51" w:rsidRPr="005B35F4" w14:paraId="3AB3E49C" w14:textId="77777777" w:rsidTr="00E032FC">
        <w:trPr>
          <w:trHeight w:val="145"/>
        </w:trPr>
        <w:tc>
          <w:tcPr>
            <w:tcW w:w="1517" w:type="pct"/>
            <w:vAlign w:val="bottom"/>
          </w:tcPr>
          <w:p w14:paraId="58E0B8CB"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bookmarkStart w:id="1719" w:name="_Toc67330181"/>
            <w:r w:rsidRPr="005B35F4">
              <w:rPr>
                <w:rFonts w:ascii="Arial" w:hAnsi="Arial" w:cs="Arial"/>
                <w:color w:val="000000" w:themeColor="text1"/>
                <w:spacing w:val="-2"/>
                <w:sz w:val="17"/>
                <w:szCs w:val="17"/>
                <w:lang w:val="hr-HR"/>
              </w:rPr>
              <w:t>Ostala imovina</w:t>
            </w:r>
            <w:bookmarkEnd w:id="1719"/>
          </w:p>
        </w:tc>
        <w:tc>
          <w:tcPr>
            <w:tcW w:w="551" w:type="pct"/>
            <w:tcBorders>
              <w:top w:val="nil"/>
              <w:left w:val="nil"/>
              <w:bottom w:val="single" w:sz="8" w:space="0" w:color="auto"/>
              <w:right w:val="nil"/>
            </w:tcBorders>
            <w:shd w:val="clear" w:color="auto" w:fill="auto"/>
            <w:vAlign w:val="bottom"/>
          </w:tcPr>
          <w:p w14:paraId="401E2993"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4.004 </w:t>
            </w:r>
          </w:p>
        </w:tc>
        <w:tc>
          <w:tcPr>
            <w:tcW w:w="546" w:type="pct"/>
            <w:tcBorders>
              <w:top w:val="nil"/>
              <w:left w:val="nil"/>
              <w:bottom w:val="single" w:sz="8" w:space="0" w:color="auto"/>
              <w:right w:val="nil"/>
            </w:tcBorders>
            <w:shd w:val="clear" w:color="auto" w:fill="auto"/>
            <w:vAlign w:val="bottom"/>
          </w:tcPr>
          <w:p w14:paraId="602DC078"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1.073 </w:t>
            </w:r>
          </w:p>
        </w:tc>
        <w:tc>
          <w:tcPr>
            <w:tcW w:w="572" w:type="pct"/>
            <w:tcBorders>
              <w:top w:val="nil"/>
              <w:left w:val="nil"/>
              <w:bottom w:val="single" w:sz="8" w:space="0" w:color="auto"/>
              <w:right w:val="nil"/>
            </w:tcBorders>
            <w:shd w:val="clear" w:color="auto" w:fill="auto"/>
            <w:vAlign w:val="bottom"/>
          </w:tcPr>
          <w:p w14:paraId="563DB427"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5.491 </w:t>
            </w:r>
          </w:p>
        </w:tc>
        <w:tc>
          <w:tcPr>
            <w:tcW w:w="570" w:type="pct"/>
            <w:tcBorders>
              <w:top w:val="nil"/>
              <w:left w:val="nil"/>
              <w:bottom w:val="single" w:sz="8" w:space="0" w:color="auto"/>
              <w:right w:val="nil"/>
            </w:tcBorders>
            <w:shd w:val="clear" w:color="auto" w:fill="auto"/>
            <w:vAlign w:val="bottom"/>
          </w:tcPr>
          <w:p w14:paraId="18351FFA"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16.278 </w:t>
            </w:r>
          </w:p>
        </w:tc>
        <w:tc>
          <w:tcPr>
            <w:tcW w:w="640" w:type="pct"/>
            <w:tcBorders>
              <w:top w:val="nil"/>
              <w:left w:val="nil"/>
              <w:bottom w:val="single" w:sz="8" w:space="0" w:color="auto"/>
              <w:right w:val="nil"/>
            </w:tcBorders>
            <w:shd w:val="clear" w:color="auto" w:fill="auto"/>
            <w:vAlign w:val="bottom"/>
          </w:tcPr>
          <w:p w14:paraId="49186B33"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1.346 </w:t>
            </w:r>
          </w:p>
        </w:tc>
        <w:tc>
          <w:tcPr>
            <w:tcW w:w="603" w:type="pct"/>
            <w:tcBorders>
              <w:top w:val="nil"/>
              <w:left w:val="nil"/>
              <w:bottom w:val="single" w:sz="8" w:space="0" w:color="auto"/>
              <w:right w:val="nil"/>
            </w:tcBorders>
            <w:shd w:val="clear" w:color="auto" w:fill="auto"/>
            <w:vAlign w:val="bottom"/>
          </w:tcPr>
          <w:p w14:paraId="48D551E7"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28.192 </w:t>
            </w:r>
          </w:p>
        </w:tc>
      </w:tr>
      <w:tr w:rsidR="004E2F51" w:rsidRPr="005B35F4" w14:paraId="76EC66B4" w14:textId="77777777" w:rsidTr="00E032FC">
        <w:trPr>
          <w:trHeight w:val="145"/>
        </w:trPr>
        <w:tc>
          <w:tcPr>
            <w:tcW w:w="1517" w:type="pct"/>
          </w:tcPr>
          <w:p w14:paraId="2255F869" w14:textId="77777777" w:rsidR="004E2F51" w:rsidRPr="005B35F4" w:rsidRDefault="004E2F51" w:rsidP="00E032FC">
            <w:pPr>
              <w:tabs>
                <w:tab w:val="right" w:pos="1202"/>
              </w:tabs>
              <w:spacing w:line="240" w:lineRule="exact"/>
              <w:outlineLvl w:val="0"/>
              <w:rPr>
                <w:rFonts w:ascii="Arial" w:hAnsi="Arial" w:cs="Arial"/>
                <w:b/>
                <w:bCs/>
                <w:color w:val="000000" w:themeColor="text1"/>
                <w:sz w:val="17"/>
                <w:szCs w:val="17"/>
                <w:lang w:val="hr-HR"/>
              </w:rPr>
            </w:pPr>
            <w:bookmarkStart w:id="1720" w:name="_Toc67330182"/>
            <w:r w:rsidRPr="005B35F4">
              <w:rPr>
                <w:rFonts w:ascii="Arial" w:hAnsi="Arial" w:cs="Arial"/>
                <w:b/>
                <w:bCs/>
                <w:color w:val="000000" w:themeColor="text1"/>
                <w:sz w:val="17"/>
                <w:szCs w:val="17"/>
                <w:lang w:val="hr-HR"/>
              </w:rPr>
              <w:t>Ukupna imovina</w:t>
            </w:r>
            <w:bookmarkEnd w:id="1720"/>
          </w:p>
        </w:tc>
        <w:tc>
          <w:tcPr>
            <w:tcW w:w="551" w:type="pct"/>
            <w:tcBorders>
              <w:top w:val="single" w:sz="8" w:space="0" w:color="auto"/>
              <w:left w:val="nil"/>
              <w:bottom w:val="single" w:sz="12" w:space="0" w:color="auto"/>
              <w:right w:val="nil"/>
            </w:tcBorders>
            <w:shd w:val="clear" w:color="auto" w:fill="auto"/>
            <w:vAlign w:val="bottom"/>
          </w:tcPr>
          <w:p w14:paraId="57278F69" w14:textId="77777777" w:rsidR="004E2F51" w:rsidRPr="005B35F4" w:rsidRDefault="004E2F51" w:rsidP="00E032FC">
            <w:pPr>
              <w:jc w:val="right"/>
              <w:rPr>
                <w:rFonts w:ascii="Arial" w:hAnsi="Arial" w:cs="Arial"/>
                <w:b/>
                <w:bCs/>
                <w:color w:val="000000"/>
                <w:sz w:val="17"/>
                <w:szCs w:val="17"/>
              </w:rPr>
            </w:pPr>
            <w:r w:rsidRPr="003C0BB2">
              <w:rPr>
                <w:rFonts w:ascii="Arial" w:hAnsi="Arial" w:cs="Arial"/>
                <w:b/>
                <w:bCs/>
                <w:color w:val="000000"/>
                <w:sz w:val="17"/>
                <w:szCs w:val="17"/>
              </w:rPr>
              <w:t xml:space="preserve"> 6.159.30</w:t>
            </w:r>
            <w:r>
              <w:rPr>
                <w:rFonts w:ascii="Arial" w:hAnsi="Arial" w:cs="Arial"/>
                <w:b/>
                <w:bCs/>
                <w:color w:val="000000"/>
                <w:sz w:val="17"/>
                <w:szCs w:val="17"/>
              </w:rPr>
              <w:t>5</w:t>
            </w:r>
            <w:r w:rsidRPr="003C0BB2">
              <w:rPr>
                <w:rFonts w:ascii="Arial" w:hAnsi="Arial" w:cs="Arial"/>
                <w:b/>
                <w:bCs/>
                <w:color w:val="000000"/>
                <w:sz w:val="17"/>
                <w:szCs w:val="17"/>
              </w:rPr>
              <w:t xml:space="preserve"> </w:t>
            </w:r>
          </w:p>
        </w:tc>
        <w:tc>
          <w:tcPr>
            <w:tcW w:w="546" w:type="pct"/>
            <w:tcBorders>
              <w:top w:val="single" w:sz="8" w:space="0" w:color="auto"/>
              <w:left w:val="nil"/>
              <w:bottom w:val="single" w:sz="12" w:space="0" w:color="auto"/>
              <w:right w:val="nil"/>
            </w:tcBorders>
            <w:shd w:val="clear" w:color="auto" w:fill="auto"/>
            <w:vAlign w:val="bottom"/>
          </w:tcPr>
          <w:p w14:paraId="23B5A2FC" w14:textId="77777777" w:rsidR="004E2F51" w:rsidRPr="005B35F4" w:rsidRDefault="004E2F51" w:rsidP="00E032FC">
            <w:pPr>
              <w:jc w:val="right"/>
              <w:rPr>
                <w:rFonts w:ascii="Arial" w:hAnsi="Arial" w:cs="Arial"/>
                <w:b/>
                <w:bCs/>
                <w:color w:val="000000"/>
                <w:sz w:val="17"/>
                <w:szCs w:val="17"/>
              </w:rPr>
            </w:pPr>
            <w:r w:rsidRPr="003C0BB2">
              <w:rPr>
                <w:rFonts w:ascii="Arial" w:hAnsi="Arial" w:cs="Arial"/>
                <w:b/>
                <w:bCs/>
                <w:color w:val="000000"/>
                <w:sz w:val="17"/>
                <w:szCs w:val="17"/>
              </w:rPr>
              <w:t xml:space="preserve"> 740.738 </w:t>
            </w:r>
          </w:p>
        </w:tc>
        <w:tc>
          <w:tcPr>
            <w:tcW w:w="572" w:type="pct"/>
            <w:tcBorders>
              <w:top w:val="single" w:sz="8" w:space="0" w:color="auto"/>
              <w:left w:val="nil"/>
              <w:bottom w:val="single" w:sz="12" w:space="0" w:color="auto"/>
              <w:right w:val="nil"/>
            </w:tcBorders>
            <w:shd w:val="clear" w:color="auto" w:fill="auto"/>
            <w:vAlign w:val="bottom"/>
          </w:tcPr>
          <w:p w14:paraId="0A3A7059" w14:textId="77777777" w:rsidR="004E2F51" w:rsidRPr="005B35F4" w:rsidRDefault="004E2F51" w:rsidP="00E032FC">
            <w:pPr>
              <w:jc w:val="right"/>
              <w:rPr>
                <w:rFonts w:ascii="Arial" w:hAnsi="Arial" w:cs="Arial"/>
                <w:b/>
                <w:bCs/>
                <w:color w:val="000000"/>
                <w:sz w:val="17"/>
                <w:szCs w:val="17"/>
              </w:rPr>
            </w:pPr>
            <w:r w:rsidRPr="003C0BB2">
              <w:rPr>
                <w:rFonts w:ascii="Arial" w:hAnsi="Arial" w:cs="Arial"/>
                <w:b/>
                <w:bCs/>
                <w:color w:val="000000"/>
                <w:sz w:val="17"/>
                <w:szCs w:val="17"/>
              </w:rPr>
              <w:t xml:space="preserve"> 2.940.911 </w:t>
            </w:r>
          </w:p>
        </w:tc>
        <w:tc>
          <w:tcPr>
            <w:tcW w:w="570" w:type="pct"/>
            <w:tcBorders>
              <w:top w:val="single" w:sz="8" w:space="0" w:color="auto"/>
              <w:left w:val="nil"/>
              <w:bottom w:val="single" w:sz="12" w:space="0" w:color="auto"/>
              <w:right w:val="nil"/>
            </w:tcBorders>
            <w:shd w:val="clear" w:color="auto" w:fill="auto"/>
            <w:vAlign w:val="bottom"/>
          </w:tcPr>
          <w:p w14:paraId="7EF4AECA" w14:textId="77777777" w:rsidR="004E2F51" w:rsidRPr="005B35F4" w:rsidRDefault="004E2F51" w:rsidP="00E032FC">
            <w:pPr>
              <w:jc w:val="right"/>
              <w:rPr>
                <w:rFonts w:ascii="Arial" w:hAnsi="Arial" w:cs="Arial"/>
                <w:b/>
                <w:bCs/>
                <w:color w:val="000000"/>
                <w:sz w:val="17"/>
                <w:szCs w:val="17"/>
              </w:rPr>
            </w:pPr>
            <w:r w:rsidRPr="003C0BB2">
              <w:rPr>
                <w:rFonts w:ascii="Arial" w:hAnsi="Arial" w:cs="Arial"/>
                <w:b/>
                <w:bCs/>
                <w:color w:val="000000"/>
                <w:sz w:val="17"/>
                <w:szCs w:val="17"/>
              </w:rPr>
              <w:t xml:space="preserve"> 6.287.9</w:t>
            </w:r>
            <w:r>
              <w:rPr>
                <w:rFonts w:ascii="Arial" w:hAnsi="Arial" w:cs="Arial"/>
                <w:b/>
                <w:bCs/>
                <w:color w:val="000000"/>
                <w:sz w:val="17"/>
                <w:szCs w:val="17"/>
              </w:rPr>
              <w:t>09</w:t>
            </w:r>
            <w:r w:rsidRPr="003C0BB2">
              <w:rPr>
                <w:rFonts w:ascii="Arial" w:hAnsi="Arial" w:cs="Arial"/>
                <w:b/>
                <w:bCs/>
                <w:color w:val="000000"/>
                <w:sz w:val="17"/>
                <w:szCs w:val="17"/>
              </w:rPr>
              <w:t xml:space="preserve"> </w:t>
            </w:r>
          </w:p>
        </w:tc>
        <w:tc>
          <w:tcPr>
            <w:tcW w:w="640" w:type="pct"/>
            <w:tcBorders>
              <w:top w:val="single" w:sz="8" w:space="0" w:color="auto"/>
              <w:left w:val="nil"/>
              <w:bottom w:val="single" w:sz="12" w:space="0" w:color="auto"/>
              <w:right w:val="nil"/>
            </w:tcBorders>
            <w:shd w:val="clear" w:color="auto" w:fill="auto"/>
            <w:vAlign w:val="bottom"/>
          </w:tcPr>
          <w:p w14:paraId="0BE27EE3" w14:textId="77777777" w:rsidR="004E2F51" w:rsidRPr="005B35F4" w:rsidRDefault="004E2F51" w:rsidP="00E032FC">
            <w:pPr>
              <w:jc w:val="right"/>
              <w:rPr>
                <w:rFonts w:ascii="Arial" w:hAnsi="Arial" w:cs="Arial"/>
                <w:b/>
                <w:bCs/>
                <w:color w:val="000000"/>
                <w:sz w:val="17"/>
                <w:szCs w:val="17"/>
              </w:rPr>
            </w:pPr>
            <w:r w:rsidRPr="003C0BB2">
              <w:rPr>
                <w:rFonts w:ascii="Arial" w:hAnsi="Arial" w:cs="Arial"/>
                <w:b/>
                <w:bCs/>
                <w:color w:val="000000"/>
                <w:sz w:val="17"/>
                <w:szCs w:val="17"/>
              </w:rPr>
              <w:t xml:space="preserve"> 12.903.444 </w:t>
            </w:r>
          </w:p>
        </w:tc>
        <w:tc>
          <w:tcPr>
            <w:tcW w:w="603" w:type="pct"/>
            <w:tcBorders>
              <w:top w:val="single" w:sz="8" w:space="0" w:color="auto"/>
              <w:left w:val="nil"/>
              <w:bottom w:val="single" w:sz="12" w:space="0" w:color="auto"/>
              <w:right w:val="nil"/>
            </w:tcBorders>
            <w:shd w:val="clear" w:color="auto" w:fill="auto"/>
            <w:vAlign w:val="bottom"/>
          </w:tcPr>
          <w:p w14:paraId="0B2A758D" w14:textId="77777777" w:rsidR="004E2F51" w:rsidRPr="005B35F4" w:rsidRDefault="004E2F51" w:rsidP="00E032FC">
            <w:pPr>
              <w:jc w:val="right"/>
              <w:rPr>
                <w:rFonts w:ascii="Arial" w:hAnsi="Arial" w:cs="Arial"/>
                <w:b/>
                <w:bCs/>
                <w:color w:val="000000"/>
                <w:sz w:val="17"/>
                <w:szCs w:val="17"/>
              </w:rPr>
            </w:pPr>
            <w:r w:rsidRPr="003C0BB2">
              <w:rPr>
                <w:rFonts w:ascii="Arial" w:hAnsi="Arial" w:cs="Arial"/>
                <w:b/>
                <w:bCs/>
                <w:color w:val="000000"/>
                <w:sz w:val="17"/>
                <w:szCs w:val="17"/>
              </w:rPr>
              <w:t xml:space="preserve"> 29.032.307 </w:t>
            </w:r>
          </w:p>
        </w:tc>
      </w:tr>
      <w:tr w:rsidR="004E2F51" w:rsidRPr="005B35F4" w14:paraId="0B3AE9EA" w14:textId="77777777" w:rsidTr="00E032FC">
        <w:trPr>
          <w:trHeight w:hRule="exact" w:val="213"/>
        </w:trPr>
        <w:tc>
          <w:tcPr>
            <w:tcW w:w="1517" w:type="pct"/>
            <w:vAlign w:val="bottom"/>
          </w:tcPr>
          <w:p w14:paraId="662D0857" w14:textId="77777777" w:rsidR="004E2F51" w:rsidRPr="005B35F4" w:rsidRDefault="004E2F51" w:rsidP="00E032FC">
            <w:pPr>
              <w:keepNext/>
              <w:keepLines/>
              <w:tabs>
                <w:tab w:val="decimal" w:pos="1202"/>
              </w:tabs>
              <w:spacing w:line="140" w:lineRule="exact"/>
              <w:rPr>
                <w:rFonts w:ascii="Arial" w:hAnsi="Arial" w:cs="Arial"/>
                <w:b/>
                <w:bCs/>
                <w:color w:val="000000" w:themeColor="text1"/>
                <w:position w:val="4"/>
                <w:sz w:val="17"/>
                <w:szCs w:val="17"/>
                <w:lang w:val="hr-HR"/>
              </w:rPr>
            </w:pPr>
          </w:p>
        </w:tc>
        <w:tc>
          <w:tcPr>
            <w:tcW w:w="551" w:type="pct"/>
            <w:tcBorders>
              <w:top w:val="single" w:sz="12" w:space="0" w:color="auto"/>
            </w:tcBorders>
            <w:vAlign w:val="bottom"/>
          </w:tcPr>
          <w:p w14:paraId="68A5E2AC" w14:textId="77777777" w:rsidR="004E2F51" w:rsidRPr="005B35F4" w:rsidRDefault="004E2F51" w:rsidP="00E032FC">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46" w:type="pct"/>
            <w:tcBorders>
              <w:top w:val="single" w:sz="12" w:space="0" w:color="auto"/>
            </w:tcBorders>
            <w:vAlign w:val="bottom"/>
          </w:tcPr>
          <w:p w14:paraId="3EF5BDFF" w14:textId="77777777" w:rsidR="004E2F51" w:rsidRPr="005B35F4" w:rsidRDefault="004E2F51" w:rsidP="00E032FC">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72" w:type="pct"/>
            <w:tcBorders>
              <w:top w:val="single" w:sz="12" w:space="0" w:color="auto"/>
            </w:tcBorders>
            <w:vAlign w:val="bottom"/>
          </w:tcPr>
          <w:p w14:paraId="7486AD7C" w14:textId="77777777" w:rsidR="004E2F51" w:rsidRPr="005B35F4" w:rsidRDefault="004E2F51" w:rsidP="00E032FC">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70" w:type="pct"/>
            <w:tcBorders>
              <w:top w:val="single" w:sz="12" w:space="0" w:color="auto"/>
            </w:tcBorders>
            <w:vAlign w:val="bottom"/>
          </w:tcPr>
          <w:p w14:paraId="6DBA63AF" w14:textId="77777777" w:rsidR="004E2F51" w:rsidRPr="005B35F4" w:rsidRDefault="004E2F51" w:rsidP="00E032FC">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640" w:type="pct"/>
            <w:tcBorders>
              <w:top w:val="single" w:sz="12" w:space="0" w:color="auto"/>
            </w:tcBorders>
            <w:vAlign w:val="bottom"/>
          </w:tcPr>
          <w:p w14:paraId="228F114F" w14:textId="77777777" w:rsidR="004E2F51" w:rsidRPr="005B35F4" w:rsidRDefault="004E2F51" w:rsidP="00E032FC">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603" w:type="pct"/>
            <w:tcBorders>
              <w:top w:val="single" w:sz="12" w:space="0" w:color="auto"/>
            </w:tcBorders>
            <w:vAlign w:val="bottom"/>
          </w:tcPr>
          <w:p w14:paraId="6597CA5B" w14:textId="77777777" w:rsidR="004E2F51" w:rsidRPr="005B35F4" w:rsidRDefault="004E2F51" w:rsidP="00E032FC">
            <w:pPr>
              <w:keepNext/>
              <w:keepLines/>
              <w:tabs>
                <w:tab w:val="decimal" w:pos="1202"/>
              </w:tabs>
              <w:spacing w:line="140" w:lineRule="exact"/>
              <w:jc w:val="right"/>
              <w:rPr>
                <w:rFonts w:ascii="Arial" w:hAnsi="Arial" w:cs="Arial"/>
                <w:b/>
                <w:bCs/>
                <w:color w:val="000000" w:themeColor="text1"/>
                <w:position w:val="4"/>
                <w:sz w:val="17"/>
                <w:szCs w:val="17"/>
                <w:lang w:val="hr-HR"/>
              </w:rPr>
            </w:pPr>
          </w:p>
        </w:tc>
      </w:tr>
      <w:tr w:rsidR="004E2F51" w:rsidRPr="005B35F4" w14:paraId="060F5781" w14:textId="77777777" w:rsidTr="00E032FC">
        <w:trPr>
          <w:trHeight w:val="145"/>
        </w:trPr>
        <w:tc>
          <w:tcPr>
            <w:tcW w:w="1517" w:type="pct"/>
            <w:vAlign w:val="bottom"/>
          </w:tcPr>
          <w:p w14:paraId="6E2C7C37" w14:textId="77777777" w:rsidR="004E2F51" w:rsidRPr="005B35F4" w:rsidRDefault="004E2F51" w:rsidP="00E032FC">
            <w:pPr>
              <w:tabs>
                <w:tab w:val="right" w:pos="1202"/>
              </w:tabs>
              <w:spacing w:line="240" w:lineRule="exact"/>
              <w:outlineLvl w:val="0"/>
              <w:rPr>
                <w:rFonts w:ascii="Arial" w:hAnsi="Arial" w:cs="Arial"/>
                <w:b/>
                <w:bCs/>
                <w:color w:val="000000" w:themeColor="text1"/>
                <w:sz w:val="17"/>
                <w:szCs w:val="17"/>
                <w:lang w:val="hr-HR"/>
              </w:rPr>
            </w:pPr>
            <w:bookmarkStart w:id="1721" w:name="_Toc67330183"/>
            <w:r w:rsidRPr="005B35F4">
              <w:rPr>
                <w:rFonts w:ascii="Arial" w:hAnsi="Arial" w:cs="Arial"/>
                <w:b/>
                <w:bCs/>
                <w:color w:val="000000" w:themeColor="text1"/>
                <w:sz w:val="17"/>
                <w:szCs w:val="17"/>
                <w:lang w:val="hr-HR"/>
              </w:rPr>
              <w:t>Obveze</w:t>
            </w:r>
            <w:bookmarkEnd w:id="1721"/>
          </w:p>
        </w:tc>
        <w:tc>
          <w:tcPr>
            <w:tcW w:w="551" w:type="pct"/>
            <w:vAlign w:val="bottom"/>
          </w:tcPr>
          <w:p w14:paraId="3BA62B63" w14:textId="77777777" w:rsidR="004E2F51" w:rsidRPr="005B35F4" w:rsidRDefault="004E2F51" w:rsidP="00E032FC">
            <w:pPr>
              <w:spacing w:line="240" w:lineRule="exact"/>
              <w:jc w:val="right"/>
              <w:outlineLvl w:val="0"/>
              <w:rPr>
                <w:rFonts w:ascii="Arial" w:hAnsi="Arial" w:cs="Arial"/>
                <w:color w:val="000000" w:themeColor="text1"/>
                <w:spacing w:val="-2"/>
                <w:sz w:val="17"/>
                <w:szCs w:val="17"/>
                <w:lang w:val="hr-HR"/>
              </w:rPr>
            </w:pPr>
          </w:p>
        </w:tc>
        <w:tc>
          <w:tcPr>
            <w:tcW w:w="546" w:type="pct"/>
            <w:vAlign w:val="bottom"/>
          </w:tcPr>
          <w:p w14:paraId="70DB53E5" w14:textId="77777777" w:rsidR="004E2F51" w:rsidRPr="005B35F4" w:rsidRDefault="004E2F51" w:rsidP="00E032FC">
            <w:pPr>
              <w:spacing w:line="240" w:lineRule="exact"/>
              <w:jc w:val="right"/>
              <w:outlineLvl w:val="0"/>
              <w:rPr>
                <w:rFonts w:ascii="Arial" w:hAnsi="Arial" w:cs="Arial"/>
                <w:color w:val="000000" w:themeColor="text1"/>
                <w:spacing w:val="-2"/>
                <w:sz w:val="17"/>
                <w:szCs w:val="17"/>
                <w:lang w:val="hr-HR"/>
              </w:rPr>
            </w:pPr>
          </w:p>
        </w:tc>
        <w:tc>
          <w:tcPr>
            <w:tcW w:w="572" w:type="pct"/>
            <w:vAlign w:val="bottom"/>
          </w:tcPr>
          <w:p w14:paraId="292E7DB7" w14:textId="77777777" w:rsidR="004E2F51" w:rsidRPr="005B35F4" w:rsidRDefault="004E2F51" w:rsidP="00E032FC">
            <w:pPr>
              <w:spacing w:line="240" w:lineRule="exact"/>
              <w:jc w:val="right"/>
              <w:outlineLvl w:val="0"/>
              <w:rPr>
                <w:rFonts w:ascii="Arial" w:hAnsi="Arial" w:cs="Arial"/>
                <w:color w:val="000000" w:themeColor="text1"/>
                <w:spacing w:val="-2"/>
                <w:sz w:val="17"/>
                <w:szCs w:val="17"/>
                <w:lang w:val="hr-HR"/>
              </w:rPr>
            </w:pPr>
          </w:p>
        </w:tc>
        <w:tc>
          <w:tcPr>
            <w:tcW w:w="570" w:type="pct"/>
            <w:vAlign w:val="bottom"/>
          </w:tcPr>
          <w:p w14:paraId="7799A354" w14:textId="77777777" w:rsidR="004E2F51" w:rsidRPr="005B35F4" w:rsidRDefault="004E2F51" w:rsidP="00E032FC">
            <w:pPr>
              <w:spacing w:line="240" w:lineRule="exact"/>
              <w:jc w:val="right"/>
              <w:outlineLvl w:val="0"/>
              <w:rPr>
                <w:rFonts w:ascii="Arial" w:hAnsi="Arial" w:cs="Arial"/>
                <w:color w:val="000000" w:themeColor="text1"/>
                <w:spacing w:val="-2"/>
                <w:sz w:val="17"/>
                <w:szCs w:val="17"/>
                <w:lang w:val="hr-HR"/>
              </w:rPr>
            </w:pPr>
          </w:p>
        </w:tc>
        <w:tc>
          <w:tcPr>
            <w:tcW w:w="640" w:type="pct"/>
            <w:vAlign w:val="bottom"/>
          </w:tcPr>
          <w:p w14:paraId="5C1BC327" w14:textId="77777777" w:rsidR="004E2F51" w:rsidRPr="005B35F4" w:rsidRDefault="004E2F51" w:rsidP="00E032FC">
            <w:pPr>
              <w:spacing w:line="240" w:lineRule="exact"/>
              <w:jc w:val="right"/>
              <w:outlineLvl w:val="0"/>
              <w:rPr>
                <w:rFonts w:ascii="Arial" w:hAnsi="Arial" w:cs="Arial"/>
                <w:color w:val="000000" w:themeColor="text1"/>
                <w:spacing w:val="-2"/>
                <w:sz w:val="17"/>
                <w:szCs w:val="17"/>
                <w:lang w:val="hr-HR"/>
              </w:rPr>
            </w:pPr>
          </w:p>
        </w:tc>
        <w:tc>
          <w:tcPr>
            <w:tcW w:w="603" w:type="pct"/>
            <w:vAlign w:val="bottom"/>
          </w:tcPr>
          <w:p w14:paraId="301A8FE7" w14:textId="77777777" w:rsidR="004E2F51" w:rsidRPr="005B35F4" w:rsidRDefault="004E2F51" w:rsidP="00E032FC">
            <w:pPr>
              <w:spacing w:line="240" w:lineRule="exact"/>
              <w:jc w:val="right"/>
              <w:outlineLvl w:val="0"/>
              <w:rPr>
                <w:rFonts w:ascii="Arial" w:hAnsi="Arial" w:cs="Arial"/>
                <w:color w:val="000000" w:themeColor="text1"/>
                <w:spacing w:val="-2"/>
                <w:sz w:val="17"/>
                <w:szCs w:val="17"/>
                <w:lang w:val="hr-HR"/>
              </w:rPr>
            </w:pPr>
          </w:p>
        </w:tc>
      </w:tr>
      <w:tr w:rsidR="004E2F51" w:rsidRPr="005B35F4" w14:paraId="65FFE663" w14:textId="77777777" w:rsidTr="00E032FC">
        <w:trPr>
          <w:trHeight w:val="152"/>
        </w:trPr>
        <w:tc>
          <w:tcPr>
            <w:tcW w:w="1517" w:type="pct"/>
            <w:vAlign w:val="bottom"/>
          </w:tcPr>
          <w:p w14:paraId="159CA763"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bookmarkStart w:id="1722" w:name="_Toc67330184"/>
            <w:r w:rsidRPr="005B35F4">
              <w:rPr>
                <w:rFonts w:ascii="Arial" w:hAnsi="Arial" w:cs="Arial"/>
                <w:color w:val="000000" w:themeColor="text1"/>
                <w:spacing w:val="-2"/>
                <w:sz w:val="17"/>
                <w:szCs w:val="17"/>
                <w:lang w:val="hr-HR"/>
              </w:rPr>
              <w:t>Obveze po depozitima</w:t>
            </w:r>
            <w:bookmarkEnd w:id="1722"/>
          </w:p>
        </w:tc>
        <w:tc>
          <w:tcPr>
            <w:tcW w:w="551" w:type="pct"/>
            <w:tcBorders>
              <w:top w:val="nil"/>
              <w:left w:val="nil"/>
              <w:bottom w:val="nil"/>
              <w:right w:val="nil"/>
            </w:tcBorders>
            <w:shd w:val="clear" w:color="auto" w:fill="auto"/>
            <w:vAlign w:val="bottom"/>
          </w:tcPr>
          <w:p w14:paraId="35CE4B4B"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738.963 </w:t>
            </w:r>
          </w:p>
        </w:tc>
        <w:tc>
          <w:tcPr>
            <w:tcW w:w="546" w:type="pct"/>
            <w:tcBorders>
              <w:top w:val="nil"/>
              <w:left w:val="nil"/>
              <w:bottom w:val="nil"/>
              <w:right w:val="nil"/>
            </w:tcBorders>
            <w:shd w:val="clear" w:color="auto" w:fill="auto"/>
            <w:vAlign w:val="bottom"/>
          </w:tcPr>
          <w:p w14:paraId="462B5D47"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29.337 </w:t>
            </w:r>
          </w:p>
        </w:tc>
        <w:tc>
          <w:tcPr>
            <w:tcW w:w="572" w:type="pct"/>
            <w:tcBorders>
              <w:top w:val="nil"/>
              <w:left w:val="nil"/>
              <w:bottom w:val="nil"/>
              <w:right w:val="nil"/>
            </w:tcBorders>
            <w:shd w:val="clear" w:color="auto" w:fill="auto"/>
            <w:vAlign w:val="bottom"/>
          </w:tcPr>
          <w:p w14:paraId="08A64F41"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110.155 </w:t>
            </w:r>
          </w:p>
        </w:tc>
        <w:tc>
          <w:tcPr>
            <w:tcW w:w="570" w:type="pct"/>
            <w:tcBorders>
              <w:top w:val="nil"/>
              <w:left w:val="nil"/>
              <w:bottom w:val="nil"/>
              <w:right w:val="nil"/>
            </w:tcBorders>
            <w:shd w:val="clear" w:color="auto" w:fill="auto"/>
            <w:vAlign w:val="bottom"/>
          </w:tcPr>
          <w:p w14:paraId="6F3B17A6"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75.433 </w:t>
            </w:r>
          </w:p>
        </w:tc>
        <w:tc>
          <w:tcPr>
            <w:tcW w:w="640" w:type="pct"/>
            <w:tcBorders>
              <w:top w:val="nil"/>
              <w:left w:val="nil"/>
              <w:bottom w:val="nil"/>
              <w:right w:val="nil"/>
            </w:tcBorders>
            <w:shd w:val="clear" w:color="auto" w:fill="auto"/>
            <w:vAlign w:val="bottom"/>
          </w:tcPr>
          <w:p w14:paraId="49072D7F"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70.735 </w:t>
            </w:r>
          </w:p>
        </w:tc>
        <w:tc>
          <w:tcPr>
            <w:tcW w:w="603" w:type="pct"/>
            <w:tcBorders>
              <w:top w:val="nil"/>
              <w:left w:val="nil"/>
              <w:bottom w:val="nil"/>
              <w:right w:val="nil"/>
            </w:tcBorders>
            <w:shd w:val="clear" w:color="auto" w:fill="auto"/>
            <w:vAlign w:val="bottom"/>
          </w:tcPr>
          <w:p w14:paraId="33693415"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1.024.623</w:t>
            </w:r>
          </w:p>
        </w:tc>
      </w:tr>
      <w:tr w:rsidR="004E2F51" w:rsidRPr="005B35F4" w14:paraId="4EC51502" w14:textId="77777777" w:rsidTr="00E032FC">
        <w:trPr>
          <w:trHeight w:val="80"/>
        </w:trPr>
        <w:tc>
          <w:tcPr>
            <w:tcW w:w="1517" w:type="pct"/>
            <w:vAlign w:val="bottom"/>
          </w:tcPr>
          <w:p w14:paraId="25365F39"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bookmarkStart w:id="1723" w:name="_Toc67330185"/>
            <w:r w:rsidRPr="005B35F4">
              <w:rPr>
                <w:rFonts w:ascii="Arial" w:hAnsi="Arial" w:cs="Arial"/>
                <w:color w:val="000000" w:themeColor="text1"/>
                <w:spacing w:val="-2"/>
                <w:sz w:val="17"/>
                <w:szCs w:val="17"/>
                <w:lang w:val="hr-HR"/>
              </w:rPr>
              <w:t>Obveze po kreditima</w:t>
            </w:r>
            <w:bookmarkEnd w:id="1723"/>
          </w:p>
        </w:tc>
        <w:tc>
          <w:tcPr>
            <w:tcW w:w="551" w:type="pct"/>
            <w:tcBorders>
              <w:top w:val="nil"/>
              <w:left w:val="nil"/>
              <w:bottom w:val="nil"/>
              <w:right w:val="nil"/>
            </w:tcBorders>
            <w:shd w:val="clear" w:color="auto" w:fill="auto"/>
            <w:vAlign w:val="bottom"/>
          </w:tcPr>
          <w:p w14:paraId="31EFDFD4"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555.327 </w:t>
            </w:r>
          </w:p>
        </w:tc>
        <w:tc>
          <w:tcPr>
            <w:tcW w:w="546" w:type="pct"/>
            <w:tcBorders>
              <w:top w:val="nil"/>
              <w:left w:val="nil"/>
              <w:bottom w:val="nil"/>
              <w:right w:val="nil"/>
            </w:tcBorders>
            <w:shd w:val="clear" w:color="auto" w:fill="auto"/>
            <w:vAlign w:val="bottom"/>
          </w:tcPr>
          <w:p w14:paraId="5A6AA4DA"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309.534</w:t>
            </w:r>
            <w:r w:rsidRPr="00C5649D">
              <w:rPr>
                <w:rFonts w:ascii="Arial" w:hAnsi="Arial" w:cs="Arial"/>
                <w:color w:val="000000"/>
                <w:sz w:val="17"/>
                <w:szCs w:val="17"/>
              </w:rPr>
              <w:t>*</w:t>
            </w:r>
            <w:r w:rsidRPr="003C0BB2">
              <w:rPr>
                <w:rFonts w:ascii="Arial" w:hAnsi="Arial" w:cs="Arial"/>
                <w:color w:val="000000"/>
                <w:sz w:val="17"/>
                <w:szCs w:val="17"/>
              </w:rPr>
              <w:t xml:space="preserve"> </w:t>
            </w:r>
          </w:p>
        </w:tc>
        <w:tc>
          <w:tcPr>
            <w:tcW w:w="572" w:type="pct"/>
            <w:tcBorders>
              <w:top w:val="nil"/>
              <w:left w:val="nil"/>
              <w:bottom w:val="nil"/>
              <w:right w:val="nil"/>
            </w:tcBorders>
            <w:shd w:val="clear" w:color="auto" w:fill="auto"/>
            <w:vAlign w:val="bottom"/>
          </w:tcPr>
          <w:p w14:paraId="48431B0F"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3.254.598 </w:t>
            </w:r>
          </w:p>
        </w:tc>
        <w:tc>
          <w:tcPr>
            <w:tcW w:w="570" w:type="pct"/>
            <w:tcBorders>
              <w:top w:val="nil"/>
              <w:left w:val="nil"/>
              <w:bottom w:val="nil"/>
              <w:right w:val="nil"/>
            </w:tcBorders>
            <w:shd w:val="clear" w:color="auto" w:fill="auto"/>
            <w:vAlign w:val="bottom"/>
          </w:tcPr>
          <w:p w14:paraId="5171DC73"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5.291.478 </w:t>
            </w:r>
          </w:p>
        </w:tc>
        <w:tc>
          <w:tcPr>
            <w:tcW w:w="640" w:type="pct"/>
            <w:tcBorders>
              <w:top w:val="nil"/>
              <w:left w:val="nil"/>
              <w:bottom w:val="nil"/>
              <w:right w:val="nil"/>
            </w:tcBorders>
            <w:shd w:val="clear" w:color="auto" w:fill="auto"/>
            <w:vAlign w:val="bottom"/>
          </w:tcPr>
          <w:p w14:paraId="182304FE"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7.090.339 </w:t>
            </w:r>
          </w:p>
        </w:tc>
        <w:tc>
          <w:tcPr>
            <w:tcW w:w="603" w:type="pct"/>
            <w:tcBorders>
              <w:top w:val="nil"/>
              <w:left w:val="nil"/>
              <w:bottom w:val="nil"/>
              <w:right w:val="nil"/>
            </w:tcBorders>
            <w:shd w:val="clear" w:color="auto" w:fill="auto"/>
            <w:vAlign w:val="bottom"/>
          </w:tcPr>
          <w:p w14:paraId="12833641"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16.501.276</w:t>
            </w:r>
          </w:p>
        </w:tc>
      </w:tr>
      <w:tr w:rsidR="004E2F51" w:rsidRPr="005B35F4" w14:paraId="495E93EB" w14:textId="77777777" w:rsidTr="00E032FC">
        <w:trPr>
          <w:trHeight w:val="293"/>
        </w:trPr>
        <w:tc>
          <w:tcPr>
            <w:tcW w:w="1517" w:type="pct"/>
            <w:vAlign w:val="bottom"/>
          </w:tcPr>
          <w:p w14:paraId="79C3CCCF" w14:textId="77777777" w:rsidR="004E2F51" w:rsidRPr="005B35F4" w:rsidRDefault="004E2F51" w:rsidP="00E032FC">
            <w:pPr>
              <w:tabs>
                <w:tab w:val="right" w:pos="1202"/>
              </w:tabs>
              <w:spacing w:line="240" w:lineRule="exact"/>
              <w:outlineLvl w:val="0"/>
              <w:rPr>
                <w:rFonts w:ascii="Arial" w:hAnsi="Arial" w:cs="Arial"/>
                <w:color w:val="000000" w:themeColor="text1"/>
                <w:spacing w:val="-2"/>
                <w:sz w:val="17"/>
                <w:szCs w:val="17"/>
                <w:lang w:val="hr-HR"/>
              </w:rPr>
            </w:pPr>
            <w:bookmarkStart w:id="1724" w:name="_Toc67330187"/>
            <w:r w:rsidRPr="005B35F4">
              <w:rPr>
                <w:rFonts w:ascii="Arial" w:hAnsi="Arial" w:cs="Arial"/>
                <w:color w:val="000000" w:themeColor="text1"/>
                <w:spacing w:val="-2"/>
                <w:sz w:val="17"/>
                <w:szCs w:val="17"/>
                <w:lang w:val="hr-HR"/>
              </w:rPr>
              <w:t>Rezerviranja za garancije, preuzete i ostale obveze</w:t>
            </w:r>
            <w:bookmarkEnd w:id="1724"/>
          </w:p>
        </w:tc>
        <w:tc>
          <w:tcPr>
            <w:tcW w:w="551" w:type="pct"/>
            <w:tcBorders>
              <w:top w:val="nil"/>
              <w:left w:val="nil"/>
              <w:bottom w:val="nil"/>
              <w:right w:val="nil"/>
            </w:tcBorders>
            <w:shd w:val="clear" w:color="auto" w:fill="auto"/>
            <w:vAlign w:val="bottom"/>
          </w:tcPr>
          <w:p w14:paraId="67950E4B" w14:textId="77777777" w:rsidR="004E2F51" w:rsidRPr="005B35F4" w:rsidDel="00F864B4" w:rsidRDefault="004E2F51" w:rsidP="00E032FC">
            <w:pPr>
              <w:jc w:val="right"/>
              <w:rPr>
                <w:rFonts w:ascii="Arial" w:hAnsi="Arial" w:cs="Arial"/>
                <w:color w:val="000000"/>
                <w:sz w:val="17"/>
                <w:szCs w:val="17"/>
              </w:rPr>
            </w:pPr>
            <w:r w:rsidRPr="0002282A">
              <w:rPr>
                <w:rFonts w:ascii="Arial" w:hAnsi="Arial" w:cs="Arial"/>
                <w:color w:val="000000"/>
                <w:sz w:val="17"/>
                <w:szCs w:val="17"/>
                <w:lang w:val="it-IT"/>
              </w:rPr>
              <w:t xml:space="preserve"> </w:t>
            </w:r>
            <w:r w:rsidRPr="003C0BB2">
              <w:rPr>
                <w:rFonts w:ascii="Arial" w:hAnsi="Arial" w:cs="Arial"/>
                <w:color w:val="000000"/>
                <w:sz w:val="17"/>
                <w:szCs w:val="17"/>
              </w:rPr>
              <w:t xml:space="preserve">104.063 </w:t>
            </w:r>
          </w:p>
        </w:tc>
        <w:tc>
          <w:tcPr>
            <w:tcW w:w="546" w:type="pct"/>
            <w:tcBorders>
              <w:top w:val="nil"/>
              <w:left w:val="nil"/>
              <w:bottom w:val="nil"/>
              <w:right w:val="nil"/>
            </w:tcBorders>
            <w:shd w:val="clear" w:color="auto" w:fill="auto"/>
            <w:vAlign w:val="bottom"/>
          </w:tcPr>
          <w:p w14:paraId="5C523F11" w14:textId="77777777" w:rsidR="004E2F51" w:rsidRPr="005B35F4" w:rsidDel="00F864B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2.702 </w:t>
            </w:r>
          </w:p>
        </w:tc>
        <w:tc>
          <w:tcPr>
            <w:tcW w:w="572" w:type="pct"/>
            <w:tcBorders>
              <w:top w:val="nil"/>
              <w:left w:val="nil"/>
              <w:bottom w:val="nil"/>
              <w:right w:val="nil"/>
            </w:tcBorders>
            <w:shd w:val="clear" w:color="auto" w:fill="auto"/>
            <w:vAlign w:val="bottom"/>
          </w:tcPr>
          <w:p w14:paraId="5A4A57A0" w14:textId="77777777" w:rsidR="004E2F51" w:rsidRPr="005B35F4" w:rsidDel="00F864B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9.935 </w:t>
            </w:r>
          </w:p>
        </w:tc>
        <w:tc>
          <w:tcPr>
            <w:tcW w:w="570" w:type="pct"/>
            <w:tcBorders>
              <w:top w:val="nil"/>
              <w:left w:val="nil"/>
              <w:bottom w:val="nil"/>
              <w:right w:val="nil"/>
            </w:tcBorders>
            <w:shd w:val="clear" w:color="auto" w:fill="auto"/>
            <w:vAlign w:val="bottom"/>
          </w:tcPr>
          <w:p w14:paraId="711076E7" w14:textId="77777777" w:rsidR="004E2F51" w:rsidRPr="005B35F4" w:rsidDel="00F864B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18.037 </w:t>
            </w:r>
          </w:p>
        </w:tc>
        <w:tc>
          <w:tcPr>
            <w:tcW w:w="640" w:type="pct"/>
            <w:tcBorders>
              <w:top w:val="nil"/>
              <w:left w:val="nil"/>
              <w:bottom w:val="nil"/>
              <w:right w:val="nil"/>
            </w:tcBorders>
            <w:shd w:val="clear" w:color="auto" w:fill="auto"/>
            <w:vAlign w:val="bottom"/>
          </w:tcPr>
          <w:p w14:paraId="1FAE7DB2" w14:textId="77777777" w:rsidR="004E2F51" w:rsidRPr="005B35F4" w:rsidDel="00F864B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7.938 </w:t>
            </w:r>
          </w:p>
        </w:tc>
        <w:tc>
          <w:tcPr>
            <w:tcW w:w="603" w:type="pct"/>
            <w:tcBorders>
              <w:top w:val="nil"/>
              <w:left w:val="nil"/>
              <w:bottom w:val="nil"/>
              <w:right w:val="nil"/>
            </w:tcBorders>
            <w:shd w:val="clear" w:color="auto" w:fill="auto"/>
            <w:vAlign w:val="bottom"/>
          </w:tcPr>
          <w:p w14:paraId="0418E039" w14:textId="77777777" w:rsidR="004E2F51" w:rsidRPr="005B35F4" w:rsidDel="00F864B4" w:rsidRDefault="004E2F51" w:rsidP="00E032FC">
            <w:pPr>
              <w:jc w:val="right"/>
              <w:rPr>
                <w:rFonts w:ascii="Arial" w:hAnsi="Arial" w:cs="Arial"/>
                <w:color w:val="000000"/>
                <w:sz w:val="17"/>
                <w:szCs w:val="17"/>
              </w:rPr>
            </w:pPr>
            <w:r w:rsidRPr="003C0BB2">
              <w:rPr>
                <w:rFonts w:ascii="Arial" w:hAnsi="Arial" w:cs="Arial"/>
                <w:color w:val="000000"/>
                <w:sz w:val="17"/>
                <w:szCs w:val="17"/>
              </w:rPr>
              <w:t>142.675</w:t>
            </w:r>
          </w:p>
        </w:tc>
      </w:tr>
      <w:tr w:rsidR="004E2F51" w:rsidRPr="005B35F4" w14:paraId="75BC16E5" w14:textId="77777777" w:rsidTr="00E032FC">
        <w:trPr>
          <w:trHeight w:val="137"/>
        </w:trPr>
        <w:tc>
          <w:tcPr>
            <w:tcW w:w="1517" w:type="pct"/>
            <w:vAlign w:val="bottom"/>
          </w:tcPr>
          <w:p w14:paraId="4C5D7477"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bookmarkStart w:id="1725" w:name="_Toc67330188"/>
            <w:r w:rsidRPr="005B35F4">
              <w:rPr>
                <w:rFonts w:ascii="Arial" w:hAnsi="Arial" w:cs="Arial"/>
                <w:color w:val="000000" w:themeColor="text1"/>
                <w:spacing w:val="-2"/>
                <w:sz w:val="17"/>
                <w:szCs w:val="17"/>
                <w:lang w:val="hr-HR"/>
              </w:rPr>
              <w:t>Ostale obveze</w:t>
            </w:r>
            <w:bookmarkEnd w:id="1725"/>
          </w:p>
        </w:tc>
        <w:tc>
          <w:tcPr>
            <w:tcW w:w="551" w:type="pct"/>
            <w:tcBorders>
              <w:top w:val="nil"/>
              <w:left w:val="nil"/>
              <w:bottom w:val="nil"/>
              <w:right w:val="nil"/>
            </w:tcBorders>
            <w:shd w:val="clear" w:color="auto" w:fill="auto"/>
            <w:vAlign w:val="bottom"/>
          </w:tcPr>
          <w:p w14:paraId="3849C7C2"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476.376 </w:t>
            </w:r>
          </w:p>
        </w:tc>
        <w:tc>
          <w:tcPr>
            <w:tcW w:w="546" w:type="pct"/>
            <w:tcBorders>
              <w:top w:val="nil"/>
              <w:left w:val="nil"/>
              <w:bottom w:val="nil"/>
              <w:right w:val="nil"/>
            </w:tcBorders>
            <w:shd w:val="clear" w:color="auto" w:fill="auto"/>
            <w:vAlign w:val="bottom"/>
          </w:tcPr>
          <w:p w14:paraId="01811EBE"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12.371 </w:t>
            </w:r>
          </w:p>
        </w:tc>
        <w:tc>
          <w:tcPr>
            <w:tcW w:w="572" w:type="pct"/>
            <w:tcBorders>
              <w:top w:val="nil"/>
              <w:left w:val="nil"/>
              <w:bottom w:val="nil"/>
              <w:right w:val="nil"/>
            </w:tcBorders>
            <w:shd w:val="clear" w:color="auto" w:fill="auto"/>
            <w:vAlign w:val="bottom"/>
          </w:tcPr>
          <w:p w14:paraId="51851A84"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45.479 </w:t>
            </w:r>
          </w:p>
        </w:tc>
        <w:tc>
          <w:tcPr>
            <w:tcW w:w="570" w:type="pct"/>
            <w:tcBorders>
              <w:top w:val="nil"/>
              <w:left w:val="nil"/>
              <w:bottom w:val="nil"/>
              <w:right w:val="nil"/>
            </w:tcBorders>
            <w:shd w:val="clear" w:color="auto" w:fill="auto"/>
            <w:vAlign w:val="bottom"/>
          </w:tcPr>
          <w:p w14:paraId="7A571C55"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82.569 </w:t>
            </w:r>
          </w:p>
        </w:tc>
        <w:tc>
          <w:tcPr>
            <w:tcW w:w="640" w:type="pct"/>
            <w:tcBorders>
              <w:top w:val="nil"/>
              <w:left w:val="nil"/>
              <w:bottom w:val="nil"/>
              <w:right w:val="nil"/>
            </w:tcBorders>
            <w:shd w:val="clear" w:color="auto" w:fill="auto"/>
            <w:vAlign w:val="bottom"/>
          </w:tcPr>
          <w:p w14:paraId="7AE6E123"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 xml:space="preserve"> 36.338 </w:t>
            </w:r>
          </w:p>
        </w:tc>
        <w:tc>
          <w:tcPr>
            <w:tcW w:w="603" w:type="pct"/>
            <w:tcBorders>
              <w:top w:val="nil"/>
              <w:left w:val="nil"/>
              <w:bottom w:val="nil"/>
              <w:right w:val="nil"/>
            </w:tcBorders>
            <w:shd w:val="clear" w:color="auto" w:fill="auto"/>
            <w:vAlign w:val="bottom"/>
          </w:tcPr>
          <w:p w14:paraId="0657EA17" w14:textId="77777777" w:rsidR="004E2F51" w:rsidRPr="005B35F4" w:rsidRDefault="004E2F51" w:rsidP="00E032FC">
            <w:pPr>
              <w:jc w:val="right"/>
              <w:rPr>
                <w:rFonts w:ascii="Arial" w:hAnsi="Arial" w:cs="Arial"/>
                <w:color w:val="000000"/>
                <w:sz w:val="17"/>
                <w:szCs w:val="17"/>
              </w:rPr>
            </w:pPr>
            <w:r w:rsidRPr="003C0BB2">
              <w:rPr>
                <w:rFonts w:ascii="Arial" w:hAnsi="Arial" w:cs="Arial"/>
                <w:color w:val="000000"/>
                <w:sz w:val="17"/>
                <w:szCs w:val="17"/>
              </w:rPr>
              <w:t>653.133</w:t>
            </w:r>
          </w:p>
        </w:tc>
      </w:tr>
      <w:tr w:rsidR="004E2F51" w:rsidRPr="005B35F4" w14:paraId="5D05AB12" w14:textId="77777777" w:rsidTr="00E032FC">
        <w:trPr>
          <w:trHeight w:val="145"/>
        </w:trPr>
        <w:tc>
          <w:tcPr>
            <w:tcW w:w="1517" w:type="pct"/>
          </w:tcPr>
          <w:p w14:paraId="4BC74547" w14:textId="77777777" w:rsidR="004E2F51" w:rsidRPr="005B35F4" w:rsidRDefault="004E2F51" w:rsidP="00E032FC">
            <w:pPr>
              <w:tabs>
                <w:tab w:val="right" w:pos="1202"/>
              </w:tabs>
              <w:spacing w:line="240" w:lineRule="exact"/>
              <w:outlineLvl w:val="0"/>
              <w:rPr>
                <w:rFonts w:ascii="Arial" w:hAnsi="Arial" w:cs="Arial"/>
                <w:b/>
                <w:bCs/>
                <w:color w:val="000000" w:themeColor="text1"/>
                <w:sz w:val="17"/>
                <w:szCs w:val="17"/>
                <w:lang w:val="hr-HR"/>
              </w:rPr>
            </w:pPr>
            <w:bookmarkStart w:id="1726" w:name="_Toc67330189"/>
            <w:r w:rsidRPr="005B35F4">
              <w:rPr>
                <w:rFonts w:ascii="Arial" w:hAnsi="Arial" w:cs="Arial"/>
                <w:b/>
                <w:bCs/>
                <w:color w:val="000000" w:themeColor="text1"/>
                <w:sz w:val="17"/>
                <w:szCs w:val="17"/>
                <w:lang w:val="hr-HR"/>
              </w:rPr>
              <w:t>Ukupne obveze</w:t>
            </w:r>
            <w:bookmarkEnd w:id="1726"/>
          </w:p>
        </w:tc>
        <w:tc>
          <w:tcPr>
            <w:tcW w:w="551" w:type="pct"/>
            <w:tcBorders>
              <w:top w:val="single" w:sz="8" w:space="0" w:color="auto"/>
              <w:left w:val="nil"/>
              <w:bottom w:val="single" w:sz="8" w:space="0" w:color="auto"/>
              <w:right w:val="nil"/>
            </w:tcBorders>
            <w:shd w:val="clear" w:color="auto" w:fill="auto"/>
            <w:vAlign w:val="bottom"/>
          </w:tcPr>
          <w:p w14:paraId="36B998D3" w14:textId="77777777" w:rsidR="004E2F51" w:rsidRPr="005B35F4" w:rsidRDefault="004E2F51" w:rsidP="00E032FC">
            <w:pPr>
              <w:jc w:val="right"/>
              <w:rPr>
                <w:rFonts w:ascii="Arial" w:hAnsi="Arial" w:cs="Arial"/>
                <w:b/>
                <w:bCs/>
                <w:color w:val="000000"/>
                <w:sz w:val="17"/>
                <w:szCs w:val="17"/>
              </w:rPr>
            </w:pPr>
            <w:r w:rsidRPr="003C0BB2">
              <w:rPr>
                <w:rFonts w:ascii="Arial" w:hAnsi="Arial" w:cs="Arial"/>
                <w:b/>
                <w:bCs/>
                <w:color w:val="000000"/>
                <w:sz w:val="17"/>
                <w:szCs w:val="17"/>
              </w:rPr>
              <w:t>1.874.729</w:t>
            </w:r>
          </w:p>
        </w:tc>
        <w:tc>
          <w:tcPr>
            <w:tcW w:w="546" w:type="pct"/>
            <w:tcBorders>
              <w:top w:val="single" w:sz="8" w:space="0" w:color="auto"/>
              <w:left w:val="nil"/>
              <w:bottom w:val="single" w:sz="8" w:space="0" w:color="auto"/>
              <w:right w:val="nil"/>
            </w:tcBorders>
            <w:shd w:val="clear" w:color="auto" w:fill="auto"/>
            <w:vAlign w:val="bottom"/>
          </w:tcPr>
          <w:p w14:paraId="09289CF0" w14:textId="77777777" w:rsidR="004E2F51" w:rsidRPr="005B35F4" w:rsidRDefault="004E2F51" w:rsidP="00E032FC">
            <w:pPr>
              <w:jc w:val="right"/>
              <w:rPr>
                <w:rFonts w:ascii="Arial" w:hAnsi="Arial" w:cs="Arial"/>
                <w:b/>
                <w:bCs/>
                <w:color w:val="000000"/>
                <w:sz w:val="17"/>
                <w:szCs w:val="17"/>
              </w:rPr>
            </w:pPr>
            <w:r w:rsidRPr="003C0BB2">
              <w:rPr>
                <w:rFonts w:ascii="Arial" w:hAnsi="Arial" w:cs="Arial"/>
                <w:b/>
                <w:bCs/>
                <w:color w:val="000000"/>
                <w:sz w:val="17"/>
                <w:szCs w:val="17"/>
              </w:rPr>
              <w:t>353.944</w:t>
            </w:r>
          </w:p>
        </w:tc>
        <w:tc>
          <w:tcPr>
            <w:tcW w:w="572" w:type="pct"/>
            <w:tcBorders>
              <w:top w:val="single" w:sz="8" w:space="0" w:color="auto"/>
              <w:left w:val="nil"/>
              <w:bottom w:val="single" w:sz="8" w:space="0" w:color="auto"/>
              <w:right w:val="nil"/>
            </w:tcBorders>
            <w:shd w:val="clear" w:color="auto" w:fill="auto"/>
            <w:vAlign w:val="bottom"/>
          </w:tcPr>
          <w:p w14:paraId="76196532" w14:textId="77777777" w:rsidR="004E2F51" w:rsidRPr="005B35F4" w:rsidRDefault="004E2F51" w:rsidP="00E032FC">
            <w:pPr>
              <w:jc w:val="right"/>
              <w:rPr>
                <w:rFonts w:ascii="Arial" w:hAnsi="Arial" w:cs="Arial"/>
                <w:b/>
                <w:bCs/>
                <w:color w:val="000000"/>
                <w:sz w:val="17"/>
                <w:szCs w:val="17"/>
              </w:rPr>
            </w:pPr>
            <w:r w:rsidRPr="003C0BB2">
              <w:rPr>
                <w:rFonts w:ascii="Arial" w:hAnsi="Arial" w:cs="Arial"/>
                <w:b/>
                <w:bCs/>
                <w:color w:val="000000"/>
                <w:sz w:val="17"/>
                <w:szCs w:val="17"/>
              </w:rPr>
              <w:t>3.420.167</w:t>
            </w:r>
          </w:p>
        </w:tc>
        <w:tc>
          <w:tcPr>
            <w:tcW w:w="570" w:type="pct"/>
            <w:tcBorders>
              <w:top w:val="single" w:sz="8" w:space="0" w:color="auto"/>
              <w:left w:val="nil"/>
              <w:bottom w:val="single" w:sz="8" w:space="0" w:color="auto"/>
              <w:right w:val="nil"/>
            </w:tcBorders>
            <w:shd w:val="clear" w:color="auto" w:fill="auto"/>
            <w:vAlign w:val="bottom"/>
          </w:tcPr>
          <w:p w14:paraId="474C3057" w14:textId="77777777" w:rsidR="004E2F51" w:rsidRPr="005B35F4" w:rsidRDefault="004E2F51" w:rsidP="00E032FC">
            <w:pPr>
              <w:jc w:val="right"/>
              <w:rPr>
                <w:rFonts w:ascii="Arial" w:hAnsi="Arial" w:cs="Arial"/>
                <w:b/>
                <w:bCs/>
                <w:color w:val="000000"/>
                <w:sz w:val="17"/>
                <w:szCs w:val="17"/>
              </w:rPr>
            </w:pPr>
            <w:r w:rsidRPr="003C0BB2">
              <w:rPr>
                <w:rFonts w:ascii="Arial" w:hAnsi="Arial" w:cs="Arial"/>
                <w:b/>
                <w:bCs/>
                <w:color w:val="000000"/>
                <w:sz w:val="17"/>
                <w:szCs w:val="17"/>
              </w:rPr>
              <w:t>5.467.517</w:t>
            </w:r>
          </w:p>
        </w:tc>
        <w:tc>
          <w:tcPr>
            <w:tcW w:w="640" w:type="pct"/>
            <w:tcBorders>
              <w:top w:val="single" w:sz="8" w:space="0" w:color="auto"/>
              <w:left w:val="nil"/>
              <w:bottom w:val="single" w:sz="8" w:space="0" w:color="auto"/>
              <w:right w:val="nil"/>
            </w:tcBorders>
            <w:shd w:val="clear" w:color="auto" w:fill="auto"/>
            <w:vAlign w:val="bottom"/>
          </w:tcPr>
          <w:p w14:paraId="50E75923" w14:textId="77777777" w:rsidR="004E2F51" w:rsidRPr="005B35F4" w:rsidRDefault="004E2F51" w:rsidP="00E032FC">
            <w:pPr>
              <w:jc w:val="right"/>
              <w:rPr>
                <w:rFonts w:ascii="Arial" w:hAnsi="Arial" w:cs="Arial"/>
                <w:b/>
                <w:bCs/>
                <w:color w:val="000000"/>
                <w:sz w:val="17"/>
                <w:szCs w:val="17"/>
              </w:rPr>
            </w:pPr>
            <w:r w:rsidRPr="003C0BB2">
              <w:rPr>
                <w:rFonts w:ascii="Arial" w:hAnsi="Arial" w:cs="Arial"/>
                <w:b/>
                <w:bCs/>
                <w:color w:val="000000"/>
                <w:sz w:val="17"/>
                <w:szCs w:val="17"/>
              </w:rPr>
              <w:t>7.205.350</w:t>
            </w:r>
          </w:p>
        </w:tc>
        <w:tc>
          <w:tcPr>
            <w:tcW w:w="603" w:type="pct"/>
            <w:tcBorders>
              <w:top w:val="single" w:sz="8" w:space="0" w:color="auto"/>
              <w:left w:val="nil"/>
              <w:bottom w:val="single" w:sz="8" w:space="0" w:color="auto"/>
              <w:right w:val="nil"/>
            </w:tcBorders>
            <w:shd w:val="clear" w:color="auto" w:fill="auto"/>
            <w:vAlign w:val="bottom"/>
          </w:tcPr>
          <w:p w14:paraId="56538442" w14:textId="77777777" w:rsidR="004E2F51" w:rsidRPr="005B35F4" w:rsidRDefault="004E2F51" w:rsidP="00E032FC">
            <w:pPr>
              <w:jc w:val="right"/>
              <w:rPr>
                <w:rFonts w:ascii="Arial" w:hAnsi="Arial" w:cs="Arial"/>
                <w:b/>
                <w:bCs/>
                <w:color w:val="000000"/>
                <w:sz w:val="17"/>
                <w:szCs w:val="17"/>
              </w:rPr>
            </w:pPr>
            <w:r w:rsidRPr="003C0BB2">
              <w:rPr>
                <w:rFonts w:ascii="Arial" w:hAnsi="Arial" w:cs="Arial"/>
                <w:b/>
                <w:bCs/>
                <w:color w:val="000000"/>
                <w:sz w:val="17"/>
                <w:szCs w:val="17"/>
              </w:rPr>
              <w:t>18.321.707</w:t>
            </w:r>
          </w:p>
        </w:tc>
      </w:tr>
      <w:tr w:rsidR="004E2F51" w:rsidRPr="005B35F4" w14:paraId="4CA82710" w14:textId="77777777" w:rsidTr="00E032FC">
        <w:trPr>
          <w:trHeight w:val="71"/>
        </w:trPr>
        <w:tc>
          <w:tcPr>
            <w:tcW w:w="1517" w:type="pct"/>
          </w:tcPr>
          <w:p w14:paraId="3D80BC3D" w14:textId="77777777" w:rsidR="004E2F51" w:rsidRPr="005B35F4" w:rsidRDefault="004E2F51" w:rsidP="00E032FC">
            <w:pPr>
              <w:tabs>
                <w:tab w:val="right" w:pos="1202"/>
              </w:tabs>
              <w:spacing w:line="240" w:lineRule="exact"/>
              <w:outlineLvl w:val="0"/>
              <w:rPr>
                <w:rFonts w:ascii="Arial" w:hAnsi="Arial" w:cs="Arial"/>
                <w:b/>
                <w:bCs/>
                <w:color w:val="000000" w:themeColor="text1"/>
                <w:spacing w:val="-2"/>
                <w:sz w:val="17"/>
                <w:szCs w:val="17"/>
                <w:lang w:val="hr-HR"/>
              </w:rPr>
            </w:pPr>
            <w:bookmarkStart w:id="1727" w:name="_Toc67330190"/>
            <w:r w:rsidRPr="005B35F4">
              <w:rPr>
                <w:rFonts w:ascii="Arial" w:hAnsi="Arial" w:cs="Arial"/>
                <w:b/>
                <w:bCs/>
                <w:color w:val="000000" w:themeColor="text1"/>
                <w:spacing w:val="-2"/>
                <w:sz w:val="17"/>
                <w:szCs w:val="17"/>
                <w:lang w:val="hr-HR"/>
              </w:rPr>
              <w:t>Likvidnosni jaz</w:t>
            </w:r>
            <w:bookmarkEnd w:id="1727"/>
          </w:p>
        </w:tc>
        <w:tc>
          <w:tcPr>
            <w:tcW w:w="551" w:type="pct"/>
            <w:tcBorders>
              <w:top w:val="single" w:sz="12" w:space="0" w:color="auto"/>
              <w:left w:val="nil"/>
              <w:bottom w:val="single" w:sz="12" w:space="0" w:color="auto"/>
              <w:right w:val="nil"/>
            </w:tcBorders>
            <w:shd w:val="clear" w:color="auto" w:fill="auto"/>
            <w:vAlign w:val="bottom"/>
          </w:tcPr>
          <w:p w14:paraId="0EC23CD1" w14:textId="77777777" w:rsidR="004E2F51" w:rsidRPr="005B35F4" w:rsidRDefault="004E2F51" w:rsidP="00E032FC">
            <w:pPr>
              <w:jc w:val="right"/>
              <w:rPr>
                <w:rFonts w:ascii="Arial" w:hAnsi="Arial" w:cs="Arial"/>
                <w:b/>
                <w:bCs/>
                <w:color w:val="000000"/>
                <w:sz w:val="17"/>
                <w:szCs w:val="17"/>
              </w:rPr>
            </w:pPr>
            <w:r w:rsidRPr="003C0BB2">
              <w:rPr>
                <w:rFonts w:ascii="Arial" w:hAnsi="Arial" w:cs="Arial"/>
                <w:b/>
                <w:bCs/>
                <w:color w:val="000000"/>
                <w:sz w:val="17"/>
                <w:szCs w:val="17"/>
              </w:rPr>
              <w:t xml:space="preserve"> 4.284.57</w:t>
            </w:r>
            <w:r>
              <w:rPr>
                <w:rFonts w:ascii="Arial" w:hAnsi="Arial" w:cs="Arial"/>
                <w:b/>
                <w:bCs/>
                <w:color w:val="000000"/>
                <w:sz w:val="17"/>
                <w:szCs w:val="17"/>
              </w:rPr>
              <w:t>6</w:t>
            </w:r>
            <w:r w:rsidRPr="003C0BB2">
              <w:rPr>
                <w:rFonts w:ascii="Arial" w:hAnsi="Arial" w:cs="Arial"/>
                <w:b/>
                <w:bCs/>
                <w:color w:val="000000"/>
                <w:sz w:val="17"/>
                <w:szCs w:val="17"/>
              </w:rPr>
              <w:t xml:space="preserve"> </w:t>
            </w:r>
          </w:p>
        </w:tc>
        <w:tc>
          <w:tcPr>
            <w:tcW w:w="546" w:type="pct"/>
            <w:tcBorders>
              <w:top w:val="single" w:sz="12" w:space="0" w:color="auto"/>
              <w:left w:val="nil"/>
              <w:bottom w:val="single" w:sz="12" w:space="0" w:color="auto"/>
              <w:right w:val="nil"/>
            </w:tcBorders>
            <w:shd w:val="clear" w:color="auto" w:fill="auto"/>
            <w:vAlign w:val="bottom"/>
          </w:tcPr>
          <w:p w14:paraId="4CA3CA6F" w14:textId="77777777" w:rsidR="004E2F51" w:rsidRPr="005B35F4" w:rsidRDefault="004E2F51" w:rsidP="00E032FC">
            <w:pPr>
              <w:jc w:val="right"/>
              <w:rPr>
                <w:rFonts w:ascii="Arial" w:hAnsi="Arial" w:cs="Arial"/>
                <w:b/>
                <w:bCs/>
                <w:color w:val="000000"/>
                <w:sz w:val="17"/>
                <w:szCs w:val="17"/>
              </w:rPr>
            </w:pPr>
            <w:r w:rsidRPr="003C0BB2">
              <w:rPr>
                <w:rFonts w:ascii="Arial" w:hAnsi="Arial" w:cs="Arial"/>
                <w:b/>
                <w:bCs/>
                <w:color w:val="000000"/>
                <w:sz w:val="17"/>
                <w:szCs w:val="17"/>
              </w:rPr>
              <w:t xml:space="preserve"> 386.794 </w:t>
            </w:r>
          </w:p>
        </w:tc>
        <w:tc>
          <w:tcPr>
            <w:tcW w:w="572" w:type="pct"/>
            <w:tcBorders>
              <w:top w:val="single" w:sz="12" w:space="0" w:color="auto"/>
              <w:left w:val="nil"/>
              <w:bottom w:val="single" w:sz="12" w:space="0" w:color="auto"/>
              <w:right w:val="nil"/>
            </w:tcBorders>
            <w:shd w:val="clear" w:color="auto" w:fill="auto"/>
            <w:vAlign w:val="bottom"/>
          </w:tcPr>
          <w:p w14:paraId="4299DA1E" w14:textId="77777777" w:rsidR="004E2F51" w:rsidRPr="005B35F4" w:rsidRDefault="004E2F51" w:rsidP="00E032FC">
            <w:pPr>
              <w:jc w:val="right"/>
              <w:rPr>
                <w:rFonts w:ascii="Arial" w:hAnsi="Arial" w:cs="Arial"/>
                <w:b/>
                <w:bCs/>
                <w:color w:val="000000"/>
                <w:sz w:val="17"/>
                <w:szCs w:val="17"/>
              </w:rPr>
            </w:pPr>
            <w:r w:rsidRPr="003C0BB2">
              <w:rPr>
                <w:rFonts w:ascii="Arial" w:hAnsi="Arial" w:cs="Arial"/>
                <w:b/>
                <w:bCs/>
                <w:color w:val="000000"/>
                <w:sz w:val="17"/>
                <w:szCs w:val="17"/>
              </w:rPr>
              <w:t xml:space="preserve">(479.256) </w:t>
            </w:r>
          </w:p>
        </w:tc>
        <w:tc>
          <w:tcPr>
            <w:tcW w:w="570" w:type="pct"/>
            <w:tcBorders>
              <w:top w:val="single" w:sz="12" w:space="0" w:color="auto"/>
              <w:left w:val="nil"/>
              <w:bottom w:val="single" w:sz="12" w:space="0" w:color="auto"/>
              <w:right w:val="nil"/>
            </w:tcBorders>
            <w:shd w:val="clear" w:color="auto" w:fill="auto"/>
            <w:vAlign w:val="bottom"/>
          </w:tcPr>
          <w:p w14:paraId="235189EA" w14:textId="77777777" w:rsidR="004E2F51" w:rsidRPr="005B35F4" w:rsidRDefault="004E2F51" w:rsidP="00E032FC">
            <w:pPr>
              <w:jc w:val="right"/>
              <w:rPr>
                <w:rFonts w:ascii="Arial" w:hAnsi="Arial" w:cs="Arial"/>
                <w:b/>
                <w:bCs/>
                <w:color w:val="000000"/>
                <w:sz w:val="17"/>
                <w:szCs w:val="17"/>
              </w:rPr>
            </w:pPr>
            <w:r w:rsidRPr="003C0BB2">
              <w:rPr>
                <w:rFonts w:ascii="Arial" w:hAnsi="Arial" w:cs="Arial"/>
                <w:b/>
                <w:bCs/>
                <w:color w:val="000000"/>
                <w:sz w:val="17"/>
                <w:szCs w:val="17"/>
              </w:rPr>
              <w:t xml:space="preserve"> 820.39</w:t>
            </w:r>
            <w:r>
              <w:rPr>
                <w:rFonts w:ascii="Arial" w:hAnsi="Arial" w:cs="Arial"/>
                <w:b/>
                <w:bCs/>
                <w:color w:val="000000"/>
                <w:sz w:val="17"/>
                <w:szCs w:val="17"/>
              </w:rPr>
              <w:t>2</w:t>
            </w:r>
            <w:r w:rsidRPr="003C0BB2">
              <w:rPr>
                <w:rFonts w:ascii="Arial" w:hAnsi="Arial" w:cs="Arial"/>
                <w:b/>
                <w:bCs/>
                <w:color w:val="000000"/>
                <w:sz w:val="17"/>
                <w:szCs w:val="17"/>
              </w:rPr>
              <w:t xml:space="preserve"> </w:t>
            </w:r>
          </w:p>
        </w:tc>
        <w:tc>
          <w:tcPr>
            <w:tcW w:w="640" w:type="pct"/>
            <w:tcBorders>
              <w:top w:val="single" w:sz="12" w:space="0" w:color="auto"/>
              <w:left w:val="nil"/>
              <w:bottom w:val="single" w:sz="12" w:space="0" w:color="auto"/>
              <w:right w:val="nil"/>
            </w:tcBorders>
            <w:shd w:val="clear" w:color="auto" w:fill="auto"/>
            <w:vAlign w:val="bottom"/>
          </w:tcPr>
          <w:p w14:paraId="0A24A7C2" w14:textId="77777777" w:rsidR="004E2F51" w:rsidRPr="005B35F4" w:rsidRDefault="004E2F51" w:rsidP="00E032FC">
            <w:pPr>
              <w:jc w:val="right"/>
              <w:rPr>
                <w:rFonts w:ascii="Arial" w:hAnsi="Arial" w:cs="Arial"/>
                <w:b/>
                <w:bCs/>
                <w:color w:val="000000"/>
                <w:sz w:val="17"/>
                <w:szCs w:val="17"/>
              </w:rPr>
            </w:pPr>
            <w:r w:rsidRPr="003C0BB2">
              <w:rPr>
                <w:rFonts w:ascii="Arial" w:hAnsi="Arial" w:cs="Arial"/>
                <w:b/>
                <w:bCs/>
                <w:color w:val="000000"/>
                <w:sz w:val="17"/>
                <w:szCs w:val="17"/>
              </w:rPr>
              <w:t xml:space="preserve"> 5.698.094 </w:t>
            </w:r>
          </w:p>
        </w:tc>
        <w:tc>
          <w:tcPr>
            <w:tcW w:w="603" w:type="pct"/>
            <w:tcBorders>
              <w:top w:val="single" w:sz="12" w:space="0" w:color="auto"/>
              <w:left w:val="nil"/>
              <w:bottom w:val="single" w:sz="12" w:space="0" w:color="auto"/>
              <w:right w:val="nil"/>
            </w:tcBorders>
            <w:shd w:val="clear" w:color="auto" w:fill="auto"/>
            <w:vAlign w:val="bottom"/>
          </w:tcPr>
          <w:p w14:paraId="3B447779" w14:textId="77777777" w:rsidR="004E2F51" w:rsidRPr="005B35F4" w:rsidRDefault="004E2F51" w:rsidP="00E032FC">
            <w:pPr>
              <w:jc w:val="right"/>
              <w:rPr>
                <w:rFonts w:ascii="Arial" w:hAnsi="Arial" w:cs="Arial"/>
                <w:b/>
                <w:bCs/>
                <w:color w:val="000000"/>
                <w:sz w:val="17"/>
                <w:szCs w:val="17"/>
              </w:rPr>
            </w:pPr>
            <w:r w:rsidRPr="003C0BB2">
              <w:rPr>
                <w:rFonts w:ascii="Arial" w:hAnsi="Arial" w:cs="Arial"/>
                <w:b/>
                <w:bCs/>
                <w:color w:val="000000"/>
                <w:sz w:val="17"/>
                <w:szCs w:val="17"/>
              </w:rPr>
              <w:t xml:space="preserve"> 10.710.600 </w:t>
            </w:r>
          </w:p>
        </w:tc>
      </w:tr>
      <w:tr w:rsidR="004E2F51" w:rsidRPr="005B35F4" w14:paraId="56C8D92D" w14:textId="77777777" w:rsidTr="00E032FC">
        <w:trPr>
          <w:trHeight w:hRule="exact" w:val="219"/>
        </w:trPr>
        <w:tc>
          <w:tcPr>
            <w:tcW w:w="1517" w:type="pct"/>
            <w:vAlign w:val="bottom"/>
          </w:tcPr>
          <w:p w14:paraId="69EF5CF0" w14:textId="77777777" w:rsidR="004E2F51" w:rsidRPr="005B35F4" w:rsidRDefault="004E2F51" w:rsidP="00E032FC">
            <w:pPr>
              <w:tabs>
                <w:tab w:val="right" w:pos="1202"/>
              </w:tabs>
              <w:spacing w:line="240" w:lineRule="exact"/>
              <w:outlineLvl w:val="0"/>
              <w:rPr>
                <w:rFonts w:ascii="Arial" w:hAnsi="Arial" w:cs="Arial"/>
                <w:b/>
                <w:bCs/>
                <w:color w:val="000000" w:themeColor="text1"/>
                <w:spacing w:val="-2"/>
                <w:sz w:val="17"/>
                <w:szCs w:val="17"/>
                <w:lang w:val="hr-HR"/>
              </w:rPr>
            </w:pPr>
          </w:p>
        </w:tc>
        <w:tc>
          <w:tcPr>
            <w:tcW w:w="551" w:type="pct"/>
            <w:tcBorders>
              <w:top w:val="single" w:sz="12" w:space="0" w:color="auto"/>
              <w:left w:val="nil"/>
              <w:right w:val="nil"/>
            </w:tcBorders>
            <w:shd w:val="clear" w:color="auto" w:fill="auto"/>
            <w:vAlign w:val="bottom"/>
          </w:tcPr>
          <w:p w14:paraId="1ECD5202" w14:textId="77777777" w:rsidR="004E2F51" w:rsidRPr="005B35F4" w:rsidRDefault="004E2F51" w:rsidP="00E032FC">
            <w:pPr>
              <w:jc w:val="right"/>
              <w:rPr>
                <w:rFonts w:ascii="Arial" w:hAnsi="Arial" w:cs="Arial"/>
                <w:color w:val="000000"/>
                <w:sz w:val="17"/>
                <w:szCs w:val="17"/>
              </w:rPr>
            </w:pPr>
          </w:p>
        </w:tc>
        <w:tc>
          <w:tcPr>
            <w:tcW w:w="546" w:type="pct"/>
            <w:tcBorders>
              <w:top w:val="single" w:sz="12" w:space="0" w:color="auto"/>
              <w:left w:val="nil"/>
              <w:right w:val="nil"/>
            </w:tcBorders>
            <w:shd w:val="clear" w:color="auto" w:fill="auto"/>
            <w:vAlign w:val="bottom"/>
          </w:tcPr>
          <w:p w14:paraId="45CFE301" w14:textId="77777777" w:rsidR="004E2F51" w:rsidRPr="005B35F4" w:rsidRDefault="004E2F51" w:rsidP="00E032FC">
            <w:pPr>
              <w:jc w:val="right"/>
              <w:rPr>
                <w:rFonts w:ascii="Arial" w:hAnsi="Arial" w:cs="Arial"/>
                <w:color w:val="000000"/>
                <w:sz w:val="17"/>
                <w:szCs w:val="17"/>
              </w:rPr>
            </w:pPr>
          </w:p>
        </w:tc>
        <w:tc>
          <w:tcPr>
            <w:tcW w:w="572" w:type="pct"/>
            <w:tcBorders>
              <w:top w:val="single" w:sz="12" w:space="0" w:color="auto"/>
              <w:left w:val="nil"/>
              <w:right w:val="nil"/>
            </w:tcBorders>
            <w:shd w:val="clear" w:color="auto" w:fill="auto"/>
            <w:vAlign w:val="bottom"/>
          </w:tcPr>
          <w:p w14:paraId="534473C1" w14:textId="77777777" w:rsidR="004E2F51" w:rsidRPr="005B35F4" w:rsidRDefault="004E2F51" w:rsidP="00E032FC">
            <w:pPr>
              <w:jc w:val="right"/>
              <w:rPr>
                <w:rFonts w:ascii="Arial" w:hAnsi="Arial" w:cs="Arial"/>
                <w:color w:val="000000"/>
                <w:sz w:val="17"/>
                <w:szCs w:val="17"/>
              </w:rPr>
            </w:pPr>
          </w:p>
        </w:tc>
        <w:tc>
          <w:tcPr>
            <w:tcW w:w="570" w:type="pct"/>
            <w:tcBorders>
              <w:top w:val="single" w:sz="12" w:space="0" w:color="auto"/>
              <w:left w:val="nil"/>
              <w:right w:val="nil"/>
            </w:tcBorders>
            <w:shd w:val="clear" w:color="auto" w:fill="auto"/>
            <w:vAlign w:val="bottom"/>
          </w:tcPr>
          <w:p w14:paraId="04199D84" w14:textId="77777777" w:rsidR="004E2F51" w:rsidRPr="005B35F4" w:rsidRDefault="004E2F51" w:rsidP="00E032FC">
            <w:pPr>
              <w:jc w:val="right"/>
              <w:rPr>
                <w:rFonts w:ascii="Arial" w:hAnsi="Arial" w:cs="Arial"/>
                <w:color w:val="000000"/>
                <w:sz w:val="17"/>
                <w:szCs w:val="17"/>
              </w:rPr>
            </w:pPr>
          </w:p>
        </w:tc>
        <w:tc>
          <w:tcPr>
            <w:tcW w:w="640" w:type="pct"/>
            <w:tcBorders>
              <w:top w:val="single" w:sz="12" w:space="0" w:color="auto"/>
              <w:left w:val="nil"/>
              <w:right w:val="nil"/>
            </w:tcBorders>
            <w:shd w:val="clear" w:color="auto" w:fill="auto"/>
            <w:vAlign w:val="bottom"/>
          </w:tcPr>
          <w:p w14:paraId="65BC81BB" w14:textId="77777777" w:rsidR="004E2F51" w:rsidRPr="005B35F4" w:rsidRDefault="004E2F51" w:rsidP="00E032FC">
            <w:pPr>
              <w:jc w:val="right"/>
              <w:rPr>
                <w:rFonts w:ascii="Arial" w:hAnsi="Arial" w:cs="Arial"/>
                <w:color w:val="000000"/>
                <w:sz w:val="17"/>
                <w:szCs w:val="17"/>
              </w:rPr>
            </w:pPr>
          </w:p>
        </w:tc>
        <w:tc>
          <w:tcPr>
            <w:tcW w:w="603" w:type="pct"/>
            <w:tcBorders>
              <w:top w:val="single" w:sz="12" w:space="0" w:color="auto"/>
              <w:left w:val="nil"/>
              <w:right w:val="nil"/>
            </w:tcBorders>
            <w:shd w:val="clear" w:color="auto" w:fill="auto"/>
            <w:vAlign w:val="bottom"/>
          </w:tcPr>
          <w:p w14:paraId="0BC9C64B" w14:textId="77777777" w:rsidR="004E2F51" w:rsidRPr="005B35F4" w:rsidRDefault="004E2F51" w:rsidP="00E032FC">
            <w:pPr>
              <w:jc w:val="right"/>
              <w:rPr>
                <w:rFonts w:ascii="Arial" w:hAnsi="Arial" w:cs="Arial"/>
                <w:color w:val="000000"/>
                <w:sz w:val="17"/>
                <w:szCs w:val="17"/>
              </w:rPr>
            </w:pPr>
          </w:p>
        </w:tc>
      </w:tr>
      <w:tr w:rsidR="004E2F51" w:rsidRPr="005B35F4" w14:paraId="7F6E2E87" w14:textId="77777777" w:rsidTr="00E032FC">
        <w:trPr>
          <w:trHeight w:hRule="exact" w:val="271"/>
        </w:trPr>
        <w:tc>
          <w:tcPr>
            <w:tcW w:w="1517" w:type="pct"/>
            <w:tcBorders>
              <w:top w:val="nil"/>
              <w:left w:val="nil"/>
              <w:bottom w:val="nil"/>
              <w:right w:val="nil"/>
            </w:tcBorders>
            <w:shd w:val="clear" w:color="auto" w:fill="auto"/>
            <w:vAlign w:val="center"/>
          </w:tcPr>
          <w:p w14:paraId="72407A72" w14:textId="77777777" w:rsidR="004E2F51" w:rsidRPr="005B35F4" w:rsidRDefault="004E2F51" w:rsidP="00E032FC">
            <w:pPr>
              <w:tabs>
                <w:tab w:val="right" w:pos="1202"/>
              </w:tabs>
              <w:spacing w:line="240" w:lineRule="exact"/>
              <w:outlineLvl w:val="0"/>
              <w:rPr>
                <w:rFonts w:ascii="Arial" w:hAnsi="Arial" w:cs="Arial"/>
                <w:b/>
                <w:bCs/>
                <w:color w:val="000000" w:themeColor="text1"/>
                <w:spacing w:val="-2"/>
                <w:sz w:val="17"/>
                <w:szCs w:val="17"/>
                <w:lang w:val="hr-HR"/>
              </w:rPr>
            </w:pPr>
            <w:bookmarkStart w:id="1728" w:name="_Toc67330191"/>
            <w:r w:rsidRPr="005B35F4">
              <w:rPr>
                <w:rFonts w:ascii="Arial" w:hAnsi="Arial" w:cs="Arial"/>
                <w:b/>
                <w:bCs/>
                <w:color w:val="000000" w:themeColor="text1"/>
                <w:sz w:val="17"/>
                <w:szCs w:val="17"/>
                <w:lang w:val="hr-HR"/>
              </w:rPr>
              <w:t>Garancije i preuzete obveze</w:t>
            </w:r>
            <w:bookmarkEnd w:id="1728"/>
          </w:p>
        </w:tc>
        <w:tc>
          <w:tcPr>
            <w:tcW w:w="551" w:type="pct"/>
            <w:tcBorders>
              <w:top w:val="nil"/>
              <w:left w:val="nil"/>
              <w:bottom w:val="nil"/>
              <w:right w:val="nil"/>
            </w:tcBorders>
            <w:shd w:val="clear" w:color="auto" w:fill="auto"/>
            <w:vAlign w:val="bottom"/>
          </w:tcPr>
          <w:p w14:paraId="2EA66538" w14:textId="77777777" w:rsidR="004E2F51" w:rsidRPr="005B35F4" w:rsidRDefault="004E2F51" w:rsidP="00E032FC">
            <w:pPr>
              <w:jc w:val="right"/>
              <w:rPr>
                <w:rFonts w:ascii="Arial" w:hAnsi="Arial" w:cs="Arial"/>
                <w:color w:val="000000"/>
                <w:sz w:val="17"/>
                <w:szCs w:val="17"/>
              </w:rPr>
            </w:pPr>
          </w:p>
        </w:tc>
        <w:tc>
          <w:tcPr>
            <w:tcW w:w="546" w:type="pct"/>
            <w:tcBorders>
              <w:top w:val="nil"/>
              <w:left w:val="nil"/>
              <w:bottom w:val="nil"/>
              <w:right w:val="nil"/>
            </w:tcBorders>
            <w:shd w:val="clear" w:color="auto" w:fill="auto"/>
            <w:vAlign w:val="bottom"/>
          </w:tcPr>
          <w:p w14:paraId="4085EE49" w14:textId="77777777" w:rsidR="004E2F51" w:rsidRPr="005B35F4" w:rsidRDefault="004E2F51" w:rsidP="00E032FC">
            <w:pPr>
              <w:jc w:val="right"/>
              <w:rPr>
                <w:rFonts w:ascii="Arial" w:hAnsi="Arial" w:cs="Arial"/>
                <w:color w:val="000000"/>
                <w:sz w:val="17"/>
                <w:szCs w:val="17"/>
              </w:rPr>
            </w:pPr>
          </w:p>
        </w:tc>
        <w:tc>
          <w:tcPr>
            <w:tcW w:w="572" w:type="pct"/>
            <w:tcBorders>
              <w:top w:val="nil"/>
              <w:left w:val="nil"/>
              <w:bottom w:val="nil"/>
              <w:right w:val="nil"/>
            </w:tcBorders>
            <w:shd w:val="clear" w:color="auto" w:fill="auto"/>
            <w:vAlign w:val="bottom"/>
          </w:tcPr>
          <w:p w14:paraId="6D13314C" w14:textId="77777777" w:rsidR="004E2F51" w:rsidRPr="005B35F4" w:rsidRDefault="004E2F51" w:rsidP="00E032FC">
            <w:pPr>
              <w:jc w:val="right"/>
              <w:rPr>
                <w:rFonts w:ascii="Arial" w:hAnsi="Arial" w:cs="Arial"/>
                <w:color w:val="000000"/>
                <w:sz w:val="17"/>
                <w:szCs w:val="17"/>
              </w:rPr>
            </w:pPr>
          </w:p>
        </w:tc>
        <w:tc>
          <w:tcPr>
            <w:tcW w:w="570" w:type="pct"/>
            <w:tcBorders>
              <w:top w:val="nil"/>
              <w:left w:val="nil"/>
              <w:bottom w:val="nil"/>
              <w:right w:val="nil"/>
            </w:tcBorders>
            <w:shd w:val="clear" w:color="auto" w:fill="auto"/>
            <w:vAlign w:val="bottom"/>
          </w:tcPr>
          <w:p w14:paraId="14571517" w14:textId="77777777" w:rsidR="004E2F51" w:rsidRPr="005B35F4" w:rsidRDefault="004E2F51" w:rsidP="00E032FC">
            <w:pPr>
              <w:jc w:val="right"/>
              <w:rPr>
                <w:rFonts w:ascii="Arial" w:hAnsi="Arial" w:cs="Arial"/>
                <w:color w:val="000000"/>
                <w:sz w:val="17"/>
                <w:szCs w:val="17"/>
              </w:rPr>
            </w:pPr>
          </w:p>
        </w:tc>
        <w:tc>
          <w:tcPr>
            <w:tcW w:w="640" w:type="pct"/>
            <w:tcBorders>
              <w:top w:val="nil"/>
              <w:left w:val="nil"/>
              <w:bottom w:val="nil"/>
              <w:right w:val="nil"/>
            </w:tcBorders>
            <w:shd w:val="clear" w:color="auto" w:fill="auto"/>
            <w:vAlign w:val="bottom"/>
          </w:tcPr>
          <w:p w14:paraId="6BD0DD28" w14:textId="77777777" w:rsidR="004E2F51" w:rsidRPr="005B35F4" w:rsidRDefault="004E2F51" w:rsidP="00E032FC">
            <w:pPr>
              <w:jc w:val="right"/>
              <w:rPr>
                <w:rFonts w:ascii="Arial" w:hAnsi="Arial" w:cs="Arial"/>
                <w:color w:val="000000"/>
                <w:sz w:val="17"/>
                <w:szCs w:val="17"/>
              </w:rPr>
            </w:pPr>
          </w:p>
        </w:tc>
        <w:tc>
          <w:tcPr>
            <w:tcW w:w="603" w:type="pct"/>
            <w:tcBorders>
              <w:top w:val="nil"/>
              <w:left w:val="nil"/>
              <w:bottom w:val="nil"/>
              <w:right w:val="nil"/>
            </w:tcBorders>
            <w:shd w:val="clear" w:color="auto" w:fill="auto"/>
            <w:vAlign w:val="bottom"/>
          </w:tcPr>
          <w:p w14:paraId="46C14483" w14:textId="77777777" w:rsidR="004E2F51" w:rsidRPr="005B35F4" w:rsidRDefault="004E2F51" w:rsidP="00E032FC">
            <w:pPr>
              <w:jc w:val="right"/>
              <w:rPr>
                <w:rFonts w:ascii="Arial" w:hAnsi="Arial" w:cs="Arial"/>
                <w:color w:val="000000"/>
                <w:sz w:val="17"/>
                <w:szCs w:val="17"/>
              </w:rPr>
            </w:pPr>
          </w:p>
        </w:tc>
      </w:tr>
      <w:tr w:rsidR="004E2F51" w:rsidRPr="005B35F4" w14:paraId="479CD448" w14:textId="77777777" w:rsidTr="00E032FC">
        <w:trPr>
          <w:trHeight w:hRule="exact" w:val="271"/>
        </w:trPr>
        <w:tc>
          <w:tcPr>
            <w:tcW w:w="1517" w:type="pct"/>
            <w:tcBorders>
              <w:top w:val="nil"/>
              <w:left w:val="nil"/>
              <w:bottom w:val="nil"/>
              <w:right w:val="nil"/>
            </w:tcBorders>
            <w:shd w:val="clear" w:color="auto" w:fill="auto"/>
            <w:vAlign w:val="center"/>
          </w:tcPr>
          <w:p w14:paraId="40FBE22F" w14:textId="77777777" w:rsidR="004E2F51" w:rsidRPr="005B35F4" w:rsidRDefault="004E2F51" w:rsidP="00E032FC">
            <w:pPr>
              <w:tabs>
                <w:tab w:val="right" w:pos="1202"/>
              </w:tabs>
              <w:spacing w:line="240" w:lineRule="exact"/>
              <w:outlineLvl w:val="0"/>
              <w:rPr>
                <w:rFonts w:ascii="Arial" w:hAnsi="Arial" w:cs="Arial"/>
                <w:b/>
                <w:bCs/>
                <w:color w:val="000000" w:themeColor="text1"/>
                <w:spacing w:val="-2"/>
                <w:sz w:val="17"/>
                <w:szCs w:val="17"/>
                <w:lang w:val="hr-HR"/>
              </w:rPr>
            </w:pPr>
            <w:bookmarkStart w:id="1729" w:name="_Toc67330192"/>
            <w:r w:rsidRPr="005B35F4">
              <w:rPr>
                <w:rFonts w:ascii="Arial" w:hAnsi="Arial" w:cs="Arial"/>
                <w:color w:val="000000" w:themeColor="text1"/>
                <w:sz w:val="17"/>
                <w:szCs w:val="17"/>
                <w:lang w:val="hr-HR"/>
              </w:rPr>
              <w:t>Izdane garancije u kunama</w:t>
            </w:r>
            <w:bookmarkEnd w:id="1729"/>
          </w:p>
        </w:tc>
        <w:tc>
          <w:tcPr>
            <w:tcW w:w="551" w:type="pct"/>
            <w:tcBorders>
              <w:top w:val="nil"/>
              <w:left w:val="nil"/>
              <w:bottom w:val="nil"/>
              <w:right w:val="nil"/>
            </w:tcBorders>
            <w:shd w:val="clear" w:color="auto" w:fill="auto"/>
            <w:vAlign w:val="bottom"/>
          </w:tcPr>
          <w:p w14:paraId="1A2109B5"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115.427 </w:t>
            </w:r>
          </w:p>
        </w:tc>
        <w:tc>
          <w:tcPr>
            <w:tcW w:w="546" w:type="pct"/>
            <w:tcBorders>
              <w:top w:val="nil"/>
              <w:left w:val="nil"/>
              <w:bottom w:val="nil"/>
              <w:right w:val="nil"/>
            </w:tcBorders>
            <w:shd w:val="clear" w:color="auto" w:fill="auto"/>
            <w:vAlign w:val="bottom"/>
          </w:tcPr>
          <w:p w14:paraId="007E1610"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002104DC"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0DC42360"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388DC25F"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31669632"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115.427 </w:t>
            </w:r>
          </w:p>
        </w:tc>
      </w:tr>
      <w:tr w:rsidR="004E2F51" w:rsidRPr="005B35F4" w14:paraId="0F84F799" w14:textId="77777777" w:rsidTr="00E032FC">
        <w:trPr>
          <w:trHeight w:hRule="exact" w:val="271"/>
        </w:trPr>
        <w:tc>
          <w:tcPr>
            <w:tcW w:w="1517" w:type="pct"/>
            <w:tcBorders>
              <w:top w:val="nil"/>
              <w:left w:val="nil"/>
              <w:bottom w:val="nil"/>
              <w:right w:val="nil"/>
            </w:tcBorders>
            <w:shd w:val="clear" w:color="auto" w:fill="auto"/>
            <w:vAlign w:val="center"/>
          </w:tcPr>
          <w:p w14:paraId="66889902" w14:textId="77777777" w:rsidR="004E2F51" w:rsidRPr="005B35F4" w:rsidRDefault="004E2F51" w:rsidP="00E032FC">
            <w:pPr>
              <w:tabs>
                <w:tab w:val="right" w:pos="1202"/>
              </w:tabs>
              <w:spacing w:line="240" w:lineRule="exact"/>
              <w:outlineLvl w:val="0"/>
              <w:rPr>
                <w:rFonts w:ascii="Arial" w:hAnsi="Arial" w:cs="Arial"/>
                <w:b/>
                <w:bCs/>
                <w:color w:val="000000" w:themeColor="text1"/>
                <w:spacing w:val="-2"/>
                <w:sz w:val="17"/>
                <w:szCs w:val="17"/>
                <w:lang w:val="hr-HR"/>
              </w:rPr>
            </w:pPr>
            <w:bookmarkStart w:id="1730" w:name="_Toc67330193"/>
            <w:r w:rsidRPr="005B35F4">
              <w:rPr>
                <w:rFonts w:ascii="Arial" w:hAnsi="Arial" w:cs="Arial"/>
                <w:color w:val="000000" w:themeColor="text1"/>
                <w:sz w:val="17"/>
                <w:szCs w:val="17"/>
                <w:lang w:val="hr-HR"/>
              </w:rPr>
              <w:t>Izdane garancije u devizama</w:t>
            </w:r>
            <w:bookmarkEnd w:id="1730"/>
          </w:p>
        </w:tc>
        <w:tc>
          <w:tcPr>
            <w:tcW w:w="551" w:type="pct"/>
            <w:tcBorders>
              <w:top w:val="nil"/>
              <w:left w:val="nil"/>
              <w:bottom w:val="nil"/>
              <w:right w:val="nil"/>
            </w:tcBorders>
            <w:shd w:val="clear" w:color="auto" w:fill="auto"/>
            <w:vAlign w:val="bottom"/>
          </w:tcPr>
          <w:p w14:paraId="2162CD2D"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194.098 </w:t>
            </w:r>
          </w:p>
        </w:tc>
        <w:tc>
          <w:tcPr>
            <w:tcW w:w="546" w:type="pct"/>
            <w:tcBorders>
              <w:top w:val="nil"/>
              <w:left w:val="nil"/>
              <w:bottom w:val="nil"/>
              <w:right w:val="nil"/>
            </w:tcBorders>
            <w:shd w:val="clear" w:color="auto" w:fill="auto"/>
            <w:vAlign w:val="bottom"/>
          </w:tcPr>
          <w:p w14:paraId="6665FCF4"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71A61306"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0B34CD16"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03AC7ADF"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0AF26121"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194.098 </w:t>
            </w:r>
          </w:p>
        </w:tc>
      </w:tr>
      <w:tr w:rsidR="004E2F51" w:rsidRPr="005B35F4" w14:paraId="12CBFF29" w14:textId="77777777" w:rsidTr="00E032FC">
        <w:trPr>
          <w:trHeight w:hRule="exact" w:val="271"/>
        </w:trPr>
        <w:tc>
          <w:tcPr>
            <w:tcW w:w="1517" w:type="pct"/>
            <w:tcBorders>
              <w:top w:val="nil"/>
              <w:left w:val="nil"/>
              <w:bottom w:val="nil"/>
              <w:right w:val="nil"/>
            </w:tcBorders>
            <w:shd w:val="clear" w:color="auto" w:fill="auto"/>
            <w:vAlign w:val="center"/>
          </w:tcPr>
          <w:p w14:paraId="7B1B5C6E"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r w:rsidRPr="003C0BB2">
              <w:rPr>
                <w:rFonts w:ascii="Arial" w:hAnsi="Arial" w:cs="Arial"/>
                <w:color w:val="000000" w:themeColor="text1"/>
                <w:sz w:val="17"/>
                <w:szCs w:val="17"/>
                <w:lang w:val="hr-HR"/>
              </w:rPr>
              <w:t>Otvoreni akreditivi u devizama</w:t>
            </w:r>
          </w:p>
        </w:tc>
        <w:tc>
          <w:tcPr>
            <w:tcW w:w="551" w:type="pct"/>
            <w:tcBorders>
              <w:top w:val="nil"/>
              <w:left w:val="nil"/>
              <w:bottom w:val="nil"/>
              <w:right w:val="nil"/>
            </w:tcBorders>
            <w:shd w:val="clear" w:color="auto" w:fill="auto"/>
            <w:vAlign w:val="bottom"/>
          </w:tcPr>
          <w:p w14:paraId="63B5DC79"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1.243 </w:t>
            </w:r>
          </w:p>
        </w:tc>
        <w:tc>
          <w:tcPr>
            <w:tcW w:w="546" w:type="pct"/>
            <w:tcBorders>
              <w:top w:val="nil"/>
              <w:left w:val="nil"/>
              <w:bottom w:val="nil"/>
              <w:right w:val="nil"/>
            </w:tcBorders>
            <w:shd w:val="clear" w:color="auto" w:fill="auto"/>
            <w:vAlign w:val="bottom"/>
          </w:tcPr>
          <w:p w14:paraId="52D7F92E"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427F30C7"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247F1EAE"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3BC8D1A0"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221ECDDB"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1.243 </w:t>
            </w:r>
          </w:p>
        </w:tc>
      </w:tr>
      <w:tr w:rsidR="004E2F51" w:rsidRPr="005B35F4" w14:paraId="343F970E" w14:textId="77777777" w:rsidTr="00E032FC">
        <w:trPr>
          <w:trHeight w:hRule="exact" w:val="271"/>
        </w:trPr>
        <w:tc>
          <w:tcPr>
            <w:tcW w:w="1517" w:type="pct"/>
            <w:tcBorders>
              <w:top w:val="nil"/>
              <w:left w:val="nil"/>
              <w:bottom w:val="nil"/>
              <w:right w:val="nil"/>
            </w:tcBorders>
            <w:shd w:val="clear" w:color="auto" w:fill="auto"/>
            <w:vAlign w:val="center"/>
          </w:tcPr>
          <w:p w14:paraId="37088F01" w14:textId="77777777" w:rsidR="004E2F51" w:rsidRPr="005B35F4" w:rsidRDefault="004E2F51" w:rsidP="00E032FC">
            <w:pPr>
              <w:tabs>
                <w:tab w:val="right" w:pos="1202"/>
              </w:tabs>
              <w:spacing w:line="240" w:lineRule="exact"/>
              <w:outlineLvl w:val="0"/>
              <w:rPr>
                <w:rFonts w:ascii="Arial" w:hAnsi="Arial" w:cs="Arial"/>
                <w:b/>
                <w:bCs/>
                <w:color w:val="000000" w:themeColor="text1"/>
                <w:spacing w:val="-2"/>
                <w:sz w:val="17"/>
                <w:szCs w:val="17"/>
                <w:lang w:val="hr-HR"/>
              </w:rPr>
            </w:pPr>
            <w:bookmarkStart w:id="1731" w:name="_Toc67330195"/>
            <w:r w:rsidRPr="005B35F4">
              <w:rPr>
                <w:rFonts w:ascii="Arial" w:hAnsi="Arial" w:cs="Arial"/>
                <w:color w:val="000000" w:themeColor="text1"/>
                <w:sz w:val="17"/>
                <w:szCs w:val="17"/>
                <w:lang w:val="hr-HR"/>
              </w:rPr>
              <w:t>Preuzete obveze po kreditima</w:t>
            </w:r>
            <w:bookmarkEnd w:id="1731"/>
          </w:p>
        </w:tc>
        <w:tc>
          <w:tcPr>
            <w:tcW w:w="551" w:type="pct"/>
            <w:tcBorders>
              <w:top w:val="nil"/>
              <w:left w:val="nil"/>
              <w:bottom w:val="nil"/>
              <w:right w:val="nil"/>
            </w:tcBorders>
            <w:shd w:val="clear" w:color="auto" w:fill="auto"/>
            <w:vAlign w:val="bottom"/>
          </w:tcPr>
          <w:p w14:paraId="5E62DB4C"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2.668.118 </w:t>
            </w:r>
          </w:p>
        </w:tc>
        <w:tc>
          <w:tcPr>
            <w:tcW w:w="546" w:type="pct"/>
            <w:tcBorders>
              <w:top w:val="nil"/>
              <w:left w:val="nil"/>
              <w:bottom w:val="nil"/>
              <w:right w:val="nil"/>
            </w:tcBorders>
            <w:shd w:val="clear" w:color="auto" w:fill="auto"/>
            <w:vAlign w:val="bottom"/>
          </w:tcPr>
          <w:p w14:paraId="1183ECD2"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0D20F195"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43E0AAEF"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1D0A6972"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337BECFE"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2.668.118 </w:t>
            </w:r>
          </w:p>
        </w:tc>
      </w:tr>
      <w:tr w:rsidR="004E2F51" w:rsidRPr="005B35F4" w14:paraId="205F474D" w14:textId="77777777" w:rsidTr="00E032FC">
        <w:trPr>
          <w:trHeight w:hRule="exact" w:val="271"/>
        </w:trPr>
        <w:tc>
          <w:tcPr>
            <w:tcW w:w="1517" w:type="pct"/>
            <w:tcBorders>
              <w:top w:val="nil"/>
              <w:left w:val="nil"/>
              <w:bottom w:val="nil"/>
              <w:right w:val="nil"/>
            </w:tcBorders>
            <w:shd w:val="clear" w:color="auto" w:fill="auto"/>
            <w:vAlign w:val="bottom"/>
          </w:tcPr>
          <w:p w14:paraId="0692B235"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bookmarkStart w:id="1732" w:name="_Toc67330196"/>
            <w:r w:rsidRPr="005B35F4">
              <w:rPr>
                <w:rFonts w:ascii="Arial" w:hAnsi="Arial" w:cs="Arial"/>
                <w:color w:val="000000" w:themeColor="text1"/>
                <w:sz w:val="17"/>
                <w:szCs w:val="17"/>
                <w:lang w:val="hr-HR"/>
              </w:rPr>
              <w:t>Upisani a neuplaćeni kapital EIF-a</w:t>
            </w:r>
            <w:bookmarkEnd w:id="1732"/>
          </w:p>
        </w:tc>
        <w:tc>
          <w:tcPr>
            <w:tcW w:w="551" w:type="pct"/>
            <w:tcBorders>
              <w:top w:val="nil"/>
              <w:left w:val="nil"/>
              <w:bottom w:val="nil"/>
              <w:right w:val="nil"/>
            </w:tcBorders>
            <w:shd w:val="clear" w:color="auto" w:fill="auto"/>
            <w:vAlign w:val="bottom"/>
          </w:tcPr>
          <w:p w14:paraId="44CB3E9F" w14:textId="77777777" w:rsidR="004E2F51" w:rsidRPr="005B35F4" w:rsidRDefault="004E2F51" w:rsidP="00E032FC">
            <w:pPr>
              <w:jc w:val="right"/>
              <w:rPr>
                <w:rFonts w:ascii="Arial" w:hAnsi="Arial" w:cs="Arial"/>
                <w:color w:val="000000"/>
                <w:sz w:val="17"/>
                <w:szCs w:val="17"/>
              </w:rPr>
            </w:pPr>
            <w:r w:rsidRPr="0002282A">
              <w:rPr>
                <w:rFonts w:ascii="Arial" w:hAnsi="Arial" w:cs="Arial"/>
                <w:color w:val="000000"/>
                <w:sz w:val="17"/>
                <w:szCs w:val="17"/>
                <w:lang w:val="it-IT"/>
              </w:rPr>
              <w:t xml:space="preserve"> </w:t>
            </w:r>
            <w:r w:rsidRPr="00F629B8">
              <w:rPr>
                <w:rFonts w:ascii="Arial" w:hAnsi="Arial" w:cs="Arial"/>
                <w:color w:val="000000"/>
                <w:sz w:val="17"/>
                <w:szCs w:val="17"/>
              </w:rPr>
              <w:t xml:space="preserve">78.358 </w:t>
            </w:r>
          </w:p>
        </w:tc>
        <w:tc>
          <w:tcPr>
            <w:tcW w:w="546" w:type="pct"/>
            <w:tcBorders>
              <w:top w:val="nil"/>
              <w:left w:val="nil"/>
              <w:bottom w:val="nil"/>
              <w:right w:val="nil"/>
            </w:tcBorders>
            <w:shd w:val="clear" w:color="auto" w:fill="auto"/>
            <w:vAlign w:val="bottom"/>
          </w:tcPr>
          <w:p w14:paraId="442E2969"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39F77E35"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66B181A8"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42C7F208"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03" w:type="pct"/>
            <w:tcBorders>
              <w:top w:val="nil"/>
              <w:left w:val="nil"/>
              <w:bottom w:val="nil"/>
              <w:right w:val="nil"/>
            </w:tcBorders>
            <w:shd w:val="clear" w:color="auto" w:fill="auto"/>
            <w:vAlign w:val="bottom"/>
          </w:tcPr>
          <w:p w14:paraId="0B9CFB3F"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78.358 </w:t>
            </w:r>
          </w:p>
        </w:tc>
      </w:tr>
      <w:tr w:rsidR="004E2F51" w:rsidRPr="005B35F4" w14:paraId="1A6BBAF3" w14:textId="77777777" w:rsidTr="00E032FC">
        <w:trPr>
          <w:trHeight w:hRule="exact" w:val="271"/>
        </w:trPr>
        <w:tc>
          <w:tcPr>
            <w:tcW w:w="1517" w:type="pct"/>
            <w:tcBorders>
              <w:top w:val="nil"/>
              <w:left w:val="nil"/>
              <w:bottom w:val="nil"/>
              <w:right w:val="nil"/>
            </w:tcBorders>
            <w:shd w:val="clear" w:color="auto" w:fill="auto"/>
            <w:vAlign w:val="bottom"/>
          </w:tcPr>
          <w:p w14:paraId="023F1D48"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bookmarkStart w:id="1733" w:name="_Toc67330197"/>
            <w:r w:rsidRPr="005B35F4">
              <w:rPr>
                <w:rFonts w:ascii="Arial" w:hAnsi="Arial" w:cs="Arial"/>
                <w:color w:val="000000"/>
                <w:sz w:val="17"/>
                <w:szCs w:val="17"/>
                <w:lang w:val="hr-HR"/>
              </w:rPr>
              <w:t>Ugovorena obveza EIF CROGIP</w:t>
            </w:r>
            <w:bookmarkEnd w:id="1733"/>
          </w:p>
        </w:tc>
        <w:tc>
          <w:tcPr>
            <w:tcW w:w="551" w:type="pct"/>
            <w:tcBorders>
              <w:top w:val="nil"/>
              <w:left w:val="nil"/>
              <w:bottom w:val="nil"/>
              <w:right w:val="nil"/>
            </w:tcBorders>
            <w:shd w:val="clear" w:color="auto" w:fill="auto"/>
            <w:vAlign w:val="bottom"/>
          </w:tcPr>
          <w:p w14:paraId="4A53117F"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46" w:type="pct"/>
            <w:tcBorders>
              <w:top w:val="nil"/>
              <w:left w:val="nil"/>
              <w:bottom w:val="nil"/>
              <w:right w:val="nil"/>
            </w:tcBorders>
            <w:shd w:val="clear" w:color="auto" w:fill="auto"/>
            <w:vAlign w:val="bottom"/>
          </w:tcPr>
          <w:p w14:paraId="6FD313C5"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19.328 </w:t>
            </w:r>
          </w:p>
        </w:tc>
        <w:tc>
          <w:tcPr>
            <w:tcW w:w="572" w:type="pct"/>
            <w:tcBorders>
              <w:top w:val="nil"/>
              <w:left w:val="nil"/>
              <w:bottom w:val="nil"/>
              <w:right w:val="nil"/>
            </w:tcBorders>
            <w:shd w:val="clear" w:color="auto" w:fill="auto"/>
            <w:vAlign w:val="bottom"/>
          </w:tcPr>
          <w:p w14:paraId="0FAA6D39"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57.984 </w:t>
            </w:r>
          </w:p>
        </w:tc>
        <w:tc>
          <w:tcPr>
            <w:tcW w:w="570" w:type="pct"/>
            <w:tcBorders>
              <w:top w:val="nil"/>
              <w:left w:val="nil"/>
              <w:bottom w:val="nil"/>
              <w:right w:val="nil"/>
            </w:tcBorders>
            <w:shd w:val="clear" w:color="auto" w:fill="auto"/>
            <w:vAlign w:val="bottom"/>
          </w:tcPr>
          <w:p w14:paraId="182CD28A"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106.244 </w:t>
            </w:r>
          </w:p>
        </w:tc>
        <w:tc>
          <w:tcPr>
            <w:tcW w:w="640" w:type="pct"/>
            <w:tcBorders>
              <w:top w:val="nil"/>
              <w:left w:val="nil"/>
              <w:bottom w:val="nil"/>
              <w:right w:val="nil"/>
            </w:tcBorders>
            <w:shd w:val="clear" w:color="auto" w:fill="auto"/>
            <w:vAlign w:val="bottom"/>
          </w:tcPr>
          <w:p w14:paraId="0A95BFC5"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89.768 </w:t>
            </w:r>
          </w:p>
        </w:tc>
        <w:tc>
          <w:tcPr>
            <w:tcW w:w="603" w:type="pct"/>
            <w:tcBorders>
              <w:top w:val="nil"/>
              <w:left w:val="nil"/>
              <w:bottom w:val="nil"/>
              <w:right w:val="nil"/>
            </w:tcBorders>
            <w:shd w:val="clear" w:color="auto" w:fill="auto"/>
            <w:vAlign w:val="bottom"/>
          </w:tcPr>
          <w:p w14:paraId="2DEA8E8E"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273.324 </w:t>
            </w:r>
          </w:p>
        </w:tc>
      </w:tr>
      <w:tr w:rsidR="004E2F51" w:rsidRPr="005B35F4" w14:paraId="5F804879" w14:textId="77777777" w:rsidTr="00E032FC">
        <w:trPr>
          <w:trHeight w:hRule="exact" w:val="271"/>
        </w:trPr>
        <w:tc>
          <w:tcPr>
            <w:tcW w:w="1517" w:type="pct"/>
            <w:tcBorders>
              <w:top w:val="nil"/>
              <w:left w:val="nil"/>
              <w:bottom w:val="nil"/>
              <w:right w:val="nil"/>
            </w:tcBorders>
            <w:shd w:val="clear" w:color="auto" w:fill="auto"/>
            <w:vAlign w:val="bottom"/>
          </w:tcPr>
          <w:p w14:paraId="31EFBC31"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bookmarkStart w:id="1734" w:name="_Toc67330198"/>
            <w:r w:rsidRPr="005B35F4">
              <w:rPr>
                <w:rFonts w:ascii="Arial" w:hAnsi="Arial" w:cs="Arial"/>
                <w:color w:val="000000"/>
                <w:sz w:val="17"/>
                <w:szCs w:val="17"/>
                <w:lang w:val="hr-HR"/>
              </w:rPr>
              <w:t>Ugovorena obveza EIF FRC2</w:t>
            </w:r>
            <w:bookmarkEnd w:id="1734"/>
          </w:p>
        </w:tc>
        <w:tc>
          <w:tcPr>
            <w:tcW w:w="551" w:type="pct"/>
            <w:tcBorders>
              <w:top w:val="nil"/>
              <w:left w:val="nil"/>
              <w:bottom w:val="single" w:sz="8" w:space="0" w:color="auto"/>
              <w:right w:val="nil"/>
            </w:tcBorders>
            <w:shd w:val="clear" w:color="auto" w:fill="auto"/>
            <w:vAlign w:val="bottom"/>
          </w:tcPr>
          <w:p w14:paraId="55137B51"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366 </w:t>
            </w:r>
          </w:p>
        </w:tc>
        <w:tc>
          <w:tcPr>
            <w:tcW w:w="546" w:type="pct"/>
            <w:tcBorders>
              <w:top w:val="nil"/>
              <w:left w:val="nil"/>
              <w:bottom w:val="single" w:sz="8" w:space="0" w:color="auto"/>
              <w:right w:val="nil"/>
            </w:tcBorders>
            <w:shd w:val="clear" w:color="auto" w:fill="auto"/>
            <w:vAlign w:val="bottom"/>
          </w:tcPr>
          <w:p w14:paraId="676EB242"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410 </w:t>
            </w:r>
          </w:p>
        </w:tc>
        <w:tc>
          <w:tcPr>
            <w:tcW w:w="572" w:type="pct"/>
            <w:tcBorders>
              <w:top w:val="nil"/>
              <w:left w:val="nil"/>
              <w:bottom w:val="single" w:sz="8" w:space="0" w:color="auto"/>
              <w:right w:val="nil"/>
            </w:tcBorders>
            <w:shd w:val="clear" w:color="auto" w:fill="auto"/>
            <w:vAlign w:val="bottom"/>
          </w:tcPr>
          <w:p w14:paraId="1CB97408"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1.846 </w:t>
            </w:r>
          </w:p>
        </w:tc>
        <w:tc>
          <w:tcPr>
            <w:tcW w:w="570" w:type="pct"/>
            <w:tcBorders>
              <w:top w:val="nil"/>
              <w:left w:val="nil"/>
              <w:bottom w:val="single" w:sz="8" w:space="0" w:color="auto"/>
              <w:right w:val="nil"/>
            </w:tcBorders>
            <w:shd w:val="clear" w:color="auto" w:fill="auto"/>
            <w:vAlign w:val="bottom"/>
          </w:tcPr>
          <w:p w14:paraId="11A51985"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294 </w:t>
            </w:r>
          </w:p>
        </w:tc>
        <w:tc>
          <w:tcPr>
            <w:tcW w:w="640" w:type="pct"/>
            <w:tcBorders>
              <w:top w:val="nil"/>
              <w:left w:val="nil"/>
              <w:bottom w:val="single" w:sz="8" w:space="0" w:color="auto"/>
              <w:right w:val="nil"/>
            </w:tcBorders>
            <w:shd w:val="clear" w:color="auto" w:fill="auto"/>
            <w:vAlign w:val="bottom"/>
          </w:tcPr>
          <w:p w14:paraId="05D0C927"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121 </w:t>
            </w:r>
          </w:p>
        </w:tc>
        <w:tc>
          <w:tcPr>
            <w:tcW w:w="603" w:type="pct"/>
            <w:tcBorders>
              <w:top w:val="nil"/>
              <w:left w:val="nil"/>
              <w:bottom w:val="single" w:sz="8" w:space="0" w:color="auto"/>
              <w:right w:val="nil"/>
            </w:tcBorders>
            <w:shd w:val="clear" w:color="auto" w:fill="auto"/>
            <w:vAlign w:val="bottom"/>
          </w:tcPr>
          <w:p w14:paraId="35C19BBC" w14:textId="77777777" w:rsidR="004E2F51" w:rsidRPr="005B35F4"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3.037 </w:t>
            </w:r>
          </w:p>
        </w:tc>
      </w:tr>
      <w:tr w:rsidR="004E2F51" w:rsidRPr="005B35F4" w14:paraId="0D10DAD9" w14:textId="77777777" w:rsidTr="00E032FC">
        <w:trPr>
          <w:trHeight w:hRule="exact" w:val="267"/>
        </w:trPr>
        <w:tc>
          <w:tcPr>
            <w:tcW w:w="1517" w:type="pct"/>
            <w:tcBorders>
              <w:top w:val="nil"/>
              <w:left w:val="nil"/>
              <w:bottom w:val="nil"/>
              <w:right w:val="nil"/>
            </w:tcBorders>
            <w:shd w:val="clear" w:color="auto" w:fill="auto"/>
            <w:vAlign w:val="center"/>
          </w:tcPr>
          <w:p w14:paraId="5769273E" w14:textId="77777777" w:rsidR="004E2F51" w:rsidRPr="005B35F4" w:rsidRDefault="004E2F51" w:rsidP="00E032FC">
            <w:pPr>
              <w:tabs>
                <w:tab w:val="right" w:pos="1202"/>
              </w:tabs>
              <w:spacing w:line="240" w:lineRule="exact"/>
              <w:outlineLvl w:val="0"/>
              <w:rPr>
                <w:rFonts w:ascii="Arial" w:hAnsi="Arial" w:cs="Arial"/>
                <w:b/>
                <w:bCs/>
                <w:color w:val="000000" w:themeColor="text1"/>
                <w:spacing w:val="-2"/>
                <w:sz w:val="17"/>
                <w:szCs w:val="17"/>
                <w:lang w:val="hr-HR"/>
              </w:rPr>
            </w:pPr>
            <w:bookmarkStart w:id="1735" w:name="_Toc67330199"/>
            <w:r w:rsidRPr="005B35F4">
              <w:rPr>
                <w:rFonts w:ascii="Arial" w:hAnsi="Arial" w:cs="Arial"/>
                <w:b/>
                <w:bCs/>
                <w:color w:val="000000" w:themeColor="text1"/>
                <w:sz w:val="17"/>
                <w:szCs w:val="17"/>
                <w:lang w:val="hr-HR"/>
              </w:rPr>
              <w:t>Ukupne garancije i preuzete obveze</w:t>
            </w:r>
            <w:bookmarkEnd w:id="1735"/>
          </w:p>
        </w:tc>
        <w:tc>
          <w:tcPr>
            <w:tcW w:w="551" w:type="pct"/>
            <w:tcBorders>
              <w:top w:val="single" w:sz="8" w:space="0" w:color="auto"/>
              <w:left w:val="nil"/>
              <w:bottom w:val="single" w:sz="12" w:space="0" w:color="auto"/>
              <w:right w:val="nil"/>
            </w:tcBorders>
            <w:shd w:val="clear" w:color="auto" w:fill="auto"/>
            <w:vAlign w:val="bottom"/>
          </w:tcPr>
          <w:p w14:paraId="781354D4" w14:textId="77777777" w:rsidR="004E2F51" w:rsidRPr="005B35F4" w:rsidRDefault="004E2F51" w:rsidP="00E032FC">
            <w:pPr>
              <w:jc w:val="right"/>
              <w:rPr>
                <w:rFonts w:ascii="Arial" w:hAnsi="Arial" w:cs="Arial"/>
                <w:b/>
                <w:bCs/>
                <w:color w:val="000000"/>
                <w:sz w:val="17"/>
                <w:szCs w:val="17"/>
              </w:rPr>
            </w:pPr>
            <w:r w:rsidRPr="0002282A">
              <w:rPr>
                <w:rFonts w:ascii="Arial" w:hAnsi="Arial" w:cs="Arial"/>
                <w:b/>
                <w:bCs/>
                <w:color w:val="000000"/>
                <w:sz w:val="17"/>
                <w:szCs w:val="17"/>
                <w:lang w:val="it-IT"/>
              </w:rPr>
              <w:t xml:space="preserve"> </w:t>
            </w:r>
            <w:r w:rsidRPr="00F629B8">
              <w:rPr>
                <w:rFonts w:ascii="Arial" w:hAnsi="Arial" w:cs="Arial"/>
                <w:b/>
                <w:bCs/>
                <w:color w:val="000000"/>
                <w:sz w:val="17"/>
                <w:szCs w:val="17"/>
              </w:rPr>
              <w:t xml:space="preserve">3.057.610 </w:t>
            </w:r>
          </w:p>
        </w:tc>
        <w:tc>
          <w:tcPr>
            <w:tcW w:w="546" w:type="pct"/>
            <w:tcBorders>
              <w:top w:val="single" w:sz="8" w:space="0" w:color="auto"/>
              <w:left w:val="nil"/>
              <w:bottom w:val="single" w:sz="12" w:space="0" w:color="auto"/>
              <w:right w:val="nil"/>
            </w:tcBorders>
            <w:shd w:val="clear" w:color="auto" w:fill="auto"/>
            <w:vAlign w:val="bottom"/>
          </w:tcPr>
          <w:p w14:paraId="18AA4B05"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19.738 </w:t>
            </w:r>
          </w:p>
        </w:tc>
        <w:tc>
          <w:tcPr>
            <w:tcW w:w="572" w:type="pct"/>
            <w:tcBorders>
              <w:top w:val="single" w:sz="8" w:space="0" w:color="auto"/>
              <w:left w:val="nil"/>
              <w:bottom w:val="single" w:sz="12" w:space="0" w:color="auto"/>
              <w:right w:val="nil"/>
            </w:tcBorders>
            <w:shd w:val="clear" w:color="auto" w:fill="auto"/>
            <w:vAlign w:val="bottom"/>
          </w:tcPr>
          <w:p w14:paraId="580CB7FC"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59.830 </w:t>
            </w:r>
          </w:p>
        </w:tc>
        <w:tc>
          <w:tcPr>
            <w:tcW w:w="570" w:type="pct"/>
            <w:tcBorders>
              <w:top w:val="single" w:sz="8" w:space="0" w:color="auto"/>
              <w:left w:val="nil"/>
              <w:bottom w:val="single" w:sz="12" w:space="0" w:color="auto"/>
              <w:right w:val="nil"/>
            </w:tcBorders>
            <w:shd w:val="clear" w:color="auto" w:fill="auto"/>
            <w:vAlign w:val="bottom"/>
          </w:tcPr>
          <w:p w14:paraId="7AFB2F16"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106.538 </w:t>
            </w:r>
          </w:p>
        </w:tc>
        <w:tc>
          <w:tcPr>
            <w:tcW w:w="640" w:type="pct"/>
            <w:tcBorders>
              <w:top w:val="single" w:sz="8" w:space="0" w:color="auto"/>
              <w:left w:val="nil"/>
              <w:bottom w:val="single" w:sz="12" w:space="0" w:color="auto"/>
              <w:right w:val="nil"/>
            </w:tcBorders>
            <w:shd w:val="clear" w:color="auto" w:fill="auto"/>
            <w:vAlign w:val="bottom"/>
          </w:tcPr>
          <w:p w14:paraId="114A5874"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89.889 </w:t>
            </w:r>
          </w:p>
        </w:tc>
        <w:tc>
          <w:tcPr>
            <w:tcW w:w="603" w:type="pct"/>
            <w:tcBorders>
              <w:top w:val="single" w:sz="8" w:space="0" w:color="auto"/>
              <w:left w:val="nil"/>
              <w:bottom w:val="single" w:sz="12" w:space="0" w:color="auto"/>
              <w:right w:val="nil"/>
            </w:tcBorders>
            <w:shd w:val="clear" w:color="auto" w:fill="auto"/>
            <w:vAlign w:val="bottom"/>
          </w:tcPr>
          <w:p w14:paraId="6C301E8C" w14:textId="77777777" w:rsidR="004E2F51" w:rsidRPr="005B35F4" w:rsidRDefault="004E2F51" w:rsidP="00E032FC">
            <w:pPr>
              <w:jc w:val="right"/>
              <w:rPr>
                <w:rFonts w:ascii="Arial" w:hAnsi="Arial" w:cs="Arial"/>
                <w:b/>
                <w:bCs/>
                <w:color w:val="000000"/>
                <w:sz w:val="17"/>
                <w:szCs w:val="17"/>
              </w:rPr>
            </w:pPr>
            <w:r w:rsidRPr="00F629B8">
              <w:rPr>
                <w:rFonts w:ascii="Arial" w:hAnsi="Arial" w:cs="Arial"/>
                <w:b/>
                <w:bCs/>
                <w:color w:val="000000"/>
                <w:sz w:val="17"/>
                <w:szCs w:val="17"/>
              </w:rPr>
              <w:t xml:space="preserve"> 3.333.605 </w:t>
            </w:r>
          </w:p>
        </w:tc>
      </w:tr>
    </w:tbl>
    <w:p w14:paraId="5AA85F38" w14:textId="77777777" w:rsidR="004E2F51" w:rsidRDefault="004E2F51" w:rsidP="004E2F51">
      <w:pPr>
        <w:pStyle w:val="accountingpolicytitle"/>
        <w:rPr>
          <w:rFonts w:cs="Arial"/>
          <w:b w:val="0"/>
          <w:color w:val="000000" w:themeColor="text1"/>
          <w:sz w:val="20"/>
          <w:lang w:val="hr-HR"/>
        </w:rPr>
      </w:pPr>
    </w:p>
    <w:p w14:paraId="0859BD84" w14:textId="77777777" w:rsidR="004E2F51" w:rsidRPr="00100ED3" w:rsidRDefault="004E2F51" w:rsidP="004E2F51">
      <w:pPr>
        <w:pStyle w:val="accountingpolicytitle"/>
        <w:rPr>
          <w:rFonts w:cs="Arial"/>
          <w:b w:val="0"/>
          <w:color w:val="000000" w:themeColor="text1"/>
          <w:sz w:val="20"/>
          <w:lang w:val="hr-HR"/>
        </w:rPr>
      </w:pPr>
    </w:p>
    <w:p w14:paraId="75C82014" w14:textId="77777777" w:rsidR="004E2F51" w:rsidRPr="005B35F4" w:rsidRDefault="004E2F51" w:rsidP="004E2F51">
      <w:pPr>
        <w:pStyle w:val="accountingpolicytitle"/>
        <w:spacing w:before="120" w:after="120"/>
        <w:rPr>
          <w:rFonts w:cs="Arial"/>
          <w:b w:val="0"/>
          <w:color w:val="000000" w:themeColor="text1"/>
          <w:sz w:val="18"/>
          <w:szCs w:val="18"/>
          <w:lang w:val="hr-HR"/>
        </w:rPr>
      </w:pPr>
      <w:r w:rsidRPr="005B35F4">
        <w:rPr>
          <w:rFonts w:cs="Arial"/>
          <w:b w:val="0"/>
          <w:color w:val="000000" w:themeColor="text1"/>
          <w:sz w:val="18"/>
          <w:szCs w:val="18"/>
          <w:lang w:val="hr-HR"/>
        </w:rPr>
        <w:t>Stavke s neodređenim dospijećem iskazane su u razdoblju preko 3 godine.</w:t>
      </w:r>
    </w:p>
    <w:p w14:paraId="1983A923" w14:textId="77777777" w:rsidR="004E2F51" w:rsidRPr="00100ED3" w:rsidRDefault="004E2F51" w:rsidP="004E2F51">
      <w:pPr>
        <w:pStyle w:val="accountingpolicytitle"/>
        <w:rPr>
          <w:rFonts w:cs="Arial"/>
          <w:b w:val="0"/>
          <w:bCs/>
          <w:color w:val="000000" w:themeColor="text1"/>
          <w:sz w:val="20"/>
          <w:lang w:val="hr-HR"/>
        </w:rPr>
      </w:pPr>
    </w:p>
    <w:p w14:paraId="6AFC5F95" w14:textId="77777777" w:rsidR="004E2F51" w:rsidRPr="005B35F4" w:rsidRDefault="004E2F51" w:rsidP="004E2F51">
      <w:pPr>
        <w:jc w:val="both"/>
        <w:rPr>
          <w:rFonts w:ascii="Arial" w:hAnsi="Arial" w:cs="Arial"/>
          <w:bCs/>
          <w:i/>
          <w:color w:val="000000" w:themeColor="text1"/>
          <w:sz w:val="18"/>
          <w:szCs w:val="18"/>
          <w:lang w:val="hr-HR"/>
        </w:rPr>
      </w:pPr>
      <w:r w:rsidRPr="005B35F4">
        <w:rPr>
          <w:rFonts w:ascii="Arial" w:eastAsia="Calibri" w:hAnsi="Arial" w:cs="Arial"/>
          <w:bCs/>
          <w:i/>
          <w:color w:val="000000" w:themeColor="text1"/>
          <w:sz w:val="18"/>
          <w:szCs w:val="18"/>
          <w:lang w:val="hr-HR"/>
        </w:rPr>
        <w:t>*</w:t>
      </w:r>
      <w:r w:rsidRPr="005B35F4">
        <w:rPr>
          <w:rFonts w:ascii="Arial" w:hAnsi="Arial" w:cs="Arial"/>
          <w:bCs/>
          <w:i/>
          <w:color w:val="000000" w:themeColor="text1"/>
          <w:sz w:val="18"/>
          <w:szCs w:val="18"/>
          <w:lang w:val="hr-HR"/>
        </w:rPr>
        <w:t xml:space="preserve">Obračunata nedospjela kamata po kreditima raspoređena je u kategoriji od 1 do 3 mjeseca. </w:t>
      </w:r>
    </w:p>
    <w:p w14:paraId="6EEBB5FC" w14:textId="77777777" w:rsidR="004E2F51" w:rsidRPr="00100ED3" w:rsidRDefault="004E2F51" w:rsidP="004E2F51">
      <w:pPr>
        <w:ind w:right="-1"/>
        <w:rPr>
          <w:rFonts w:ascii="Arial" w:hAnsi="Arial" w:cs="Arial"/>
          <w:color w:val="000000" w:themeColor="text1"/>
          <w:sz w:val="20"/>
          <w:szCs w:val="20"/>
          <w:lang w:val="hr-HR"/>
        </w:rPr>
        <w:sectPr w:rsidR="004E2F51" w:rsidRPr="00100ED3" w:rsidSect="00623DBA">
          <w:footerReference w:type="default" r:id="rId205"/>
          <w:pgSz w:w="11907" w:h="16840" w:code="9"/>
          <w:pgMar w:top="1418" w:right="1275" w:bottom="1134" w:left="1418" w:header="851" w:footer="851" w:gutter="0"/>
          <w:cols w:space="720"/>
          <w:noEndnote/>
        </w:sectPr>
      </w:pPr>
    </w:p>
    <w:p w14:paraId="63B18340" w14:textId="77777777" w:rsidR="004E2F51" w:rsidRPr="00100ED3" w:rsidRDefault="004E2F51" w:rsidP="004E2F51">
      <w:pPr>
        <w:pStyle w:val="T1"/>
        <w:spacing w:before="0" w:after="0" w:line="240" w:lineRule="auto"/>
        <w:rPr>
          <w:rFonts w:cs="Arial"/>
          <w:color w:val="000000" w:themeColor="text1"/>
          <w:sz w:val="20"/>
          <w:lang w:val="hr-HR"/>
        </w:rPr>
      </w:pPr>
    </w:p>
    <w:p w14:paraId="2C050E16" w14:textId="77777777" w:rsidR="004E2F51" w:rsidRPr="00100ED3" w:rsidRDefault="004E2F51" w:rsidP="004E2F51">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Pr>
          <w:rFonts w:cs="Arial"/>
          <w:color w:val="000000" w:themeColor="text1"/>
          <w:sz w:val="20"/>
          <w:lang w:val="hr-HR"/>
        </w:rPr>
        <w:t>1</w:t>
      </w:r>
      <w:r w:rsidRPr="00100ED3">
        <w:rPr>
          <w:rFonts w:cs="Arial"/>
          <w:color w:val="000000" w:themeColor="text1"/>
          <w:sz w:val="20"/>
          <w:lang w:val="hr-HR"/>
        </w:rPr>
        <w:t>.</w:t>
      </w:r>
      <w:r w:rsidRPr="00100ED3">
        <w:rPr>
          <w:rFonts w:cs="Arial"/>
          <w:color w:val="000000" w:themeColor="text1"/>
          <w:sz w:val="20"/>
          <w:lang w:val="hr-HR"/>
        </w:rPr>
        <w:tab/>
        <w:t>Upravljanje rizicima (nastavak)</w:t>
      </w:r>
    </w:p>
    <w:p w14:paraId="58FA21AE" w14:textId="77777777" w:rsidR="004E2F51" w:rsidRPr="00100ED3" w:rsidRDefault="004E2F51" w:rsidP="004E2F51">
      <w:pPr>
        <w:pStyle w:val="T1"/>
        <w:spacing w:before="0" w:after="0" w:line="240" w:lineRule="auto"/>
        <w:rPr>
          <w:rFonts w:cs="Arial"/>
          <w:color w:val="000000" w:themeColor="text1"/>
          <w:sz w:val="20"/>
          <w:lang w:val="hr-HR"/>
        </w:rPr>
      </w:pPr>
    </w:p>
    <w:p w14:paraId="0EEAF930" w14:textId="77777777" w:rsidR="004E2F51" w:rsidRPr="00100ED3" w:rsidRDefault="004E2F51" w:rsidP="004E2F51">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Pr>
          <w:rFonts w:cs="Arial"/>
          <w:color w:val="000000" w:themeColor="text1"/>
          <w:sz w:val="20"/>
          <w:lang w:val="hr-HR"/>
        </w:rPr>
        <w:t>1</w:t>
      </w:r>
      <w:r w:rsidRPr="00100ED3">
        <w:rPr>
          <w:rFonts w:cs="Arial"/>
          <w:color w:val="000000" w:themeColor="text1"/>
          <w:sz w:val="20"/>
          <w:lang w:val="hr-HR"/>
        </w:rPr>
        <w:t xml:space="preserve">.4. </w:t>
      </w:r>
      <w:r w:rsidRPr="00100ED3">
        <w:rPr>
          <w:rFonts w:cs="Arial"/>
          <w:color w:val="000000" w:themeColor="text1"/>
          <w:sz w:val="20"/>
          <w:lang w:val="hr-HR"/>
        </w:rPr>
        <w:tab/>
        <w:t>Rizik likvidnosti (nastavak)</w:t>
      </w:r>
    </w:p>
    <w:p w14:paraId="67666C45" w14:textId="77777777" w:rsidR="004E2F51" w:rsidRDefault="004E2F51" w:rsidP="004E2F51">
      <w:pPr>
        <w:tabs>
          <w:tab w:val="left" w:pos="-720"/>
        </w:tabs>
        <w:jc w:val="both"/>
        <w:rPr>
          <w:rFonts w:ascii="Arial" w:hAnsi="Arial" w:cs="Arial"/>
          <w:color w:val="000000" w:themeColor="text1"/>
          <w:sz w:val="20"/>
          <w:szCs w:val="20"/>
          <w:lang w:val="hr-HR"/>
        </w:rPr>
      </w:pPr>
    </w:p>
    <w:p w14:paraId="5F5477FE" w14:textId="77777777" w:rsidR="004E2F51" w:rsidRPr="00100ED3" w:rsidRDefault="004E2F51" w:rsidP="004E2F51">
      <w:pPr>
        <w:tabs>
          <w:tab w:val="left" w:pos="-720"/>
        </w:tabs>
        <w:jc w:val="both"/>
        <w:rPr>
          <w:rFonts w:ascii="Arial" w:hAnsi="Arial" w:cs="Arial"/>
          <w:color w:val="000000" w:themeColor="text1"/>
          <w:sz w:val="20"/>
          <w:szCs w:val="20"/>
          <w:lang w:val="hr-HR"/>
        </w:rPr>
      </w:pPr>
    </w:p>
    <w:tbl>
      <w:tblPr>
        <w:tblW w:w="5353" w:type="pct"/>
        <w:tblInd w:w="-142" w:type="dxa"/>
        <w:tblLayout w:type="fixed"/>
        <w:tblCellMar>
          <w:left w:w="120" w:type="dxa"/>
          <w:right w:w="120" w:type="dxa"/>
        </w:tblCellMar>
        <w:tblLook w:val="0000" w:firstRow="0" w:lastRow="0" w:firstColumn="0" w:lastColumn="0" w:noHBand="0" w:noVBand="0"/>
      </w:tblPr>
      <w:tblGrid>
        <w:gridCol w:w="3040"/>
        <w:gridCol w:w="1103"/>
        <w:gridCol w:w="1094"/>
        <w:gridCol w:w="1146"/>
        <w:gridCol w:w="1142"/>
        <w:gridCol w:w="1282"/>
        <w:gridCol w:w="1208"/>
      </w:tblGrid>
      <w:tr w:rsidR="004E2F51" w:rsidRPr="005B35F4" w14:paraId="1A0B7852" w14:textId="77777777" w:rsidTr="00E032FC">
        <w:trPr>
          <w:trHeight w:val="463"/>
        </w:trPr>
        <w:tc>
          <w:tcPr>
            <w:tcW w:w="1518" w:type="pct"/>
          </w:tcPr>
          <w:p w14:paraId="468C3ED0" w14:textId="77777777" w:rsidR="004E2F51" w:rsidRPr="005B35F4" w:rsidRDefault="004E2F51" w:rsidP="00E032FC">
            <w:pPr>
              <w:tabs>
                <w:tab w:val="right" w:pos="1202"/>
              </w:tabs>
              <w:spacing w:line="240" w:lineRule="exac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Banka</w:t>
            </w:r>
          </w:p>
          <w:p w14:paraId="0D528EDA" w14:textId="77777777" w:rsidR="004E2F51" w:rsidRPr="005B35F4" w:rsidRDefault="004E2F51" w:rsidP="00E032FC">
            <w:pPr>
              <w:tabs>
                <w:tab w:val="right" w:pos="1202"/>
              </w:tabs>
              <w:spacing w:line="240" w:lineRule="exac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 xml:space="preserve">31. prosinca 2021.  </w:t>
            </w:r>
          </w:p>
        </w:tc>
        <w:tc>
          <w:tcPr>
            <w:tcW w:w="551" w:type="pct"/>
          </w:tcPr>
          <w:p w14:paraId="333EFA24"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Do 1 mjesec</w:t>
            </w:r>
          </w:p>
        </w:tc>
        <w:tc>
          <w:tcPr>
            <w:tcW w:w="546" w:type="pct"/>
          </w:tcPr>
          <w:p w14:paraId="120F12B8"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1 do 3 mjeseca</w:t>
            </w:r>
          </w:p>
        </w:tc>
        <w:tc>
          <w:tcPr>
            <w:tcW w:w="572" w:type="pct"/>
          </w:tcPr>
          <w:p w14:paraId="674DD5F0"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3 mj. do 1 godine</w:t>
            </w:r>
          </w:p>
        </w:tc>
        <w:tc>
          <w:tcPr>
            <w:tcW w:w="570" w:type="pct"/>
          </w:tcPr>
          <w:p w14:paraId="301541C3"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1 do 3 godina</w:t>
            </w:r>
          </w:p>
        </w:tc>
        <w:tc>
          <w:tcPr>
            <w:tcW w:w="640" w:type="pct"/>
          </w:tcPr>
          <w:p w14:paraId="3A88AD0F"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Preko 3 godine</w:t>
            </w:r>
          </w:p>
        </w:tc>
        <w:tc>
          <w:tcPr>
            <w:tcW w:w="604" w:type="pct"/>
          </w:tcPr>
          <w:p w14:paraId="2863DC69"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color w:val="000000" w:themeColor="text1"/>
                <w:sz w:val="17"/>
                <w:szCs w:val="17"/>
                <w:lang w:val="hr-HR"/>
              </w:rPr>
              <w:t>Ukupno</w:t>
            </w:r>
          </w:p>
        </w:tc>
      </w:tr>
      <w:tr w:rsidR="004E2F51" w:rsidRPr="005B35F4" w14:paraId="72C057FC" w14:textId="77777777" w:rsidTr="00E032FC">
        <w:trPr>
          <w:trHeight w:val="152"/>
        </w:trPr>
        <w:tc>
          <w:tcPr>
            <w:tcW w:w="1518" w:type="pct"/>
          </w:tcPr>
          <w:p w14:paraId="4513A2E7" w14:textId="77777777" w:rsidR="004E2F51" w:rsidRPr="005B35F4" w:rsidRDefault="004E2F51" w:rsidP="00E032FC">
            <w:pPr>
              <w:tabs>
                <w:tab w:val="left" w:pos="-720"/>
              </w:tabs>
              <w:spacing w:line="240" w:lineRule="exact"/>
              <w:jc w:val="center"/>
              <w:rPr>
                <w:rFonts w:ascii="Arial" w:hAnsi="Arial" w:cs="Arial"/>
                <w:b/>
                <w:color w:val="000000" w:themeColor="text1"/>
                <w:spacing w:val="-2"/>
                <w:sz w:val="17"/>
                <w:szCs w:val="17"/>
                <w:lang w:val="hr-HR"/>
              </w:rPr>
            </w:pPr>
          </w:p>
        </w:tc>
        <w:tc>
          <w:tcPr>
            <w:tcW w:w="551" w:type="pct"/>
            <w:vAlign w:val="bottom"/>
          </w:tcPr>
          <w:p w14:paraId="1D5D4BD7"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bCs/>
                <w:color w:val="000000" w:themeColor="text1"/>
                <w:sz w:val="17"/>
                <w:szCs w:val="17"/>
                <w:lang w:val="hr-HR"/>
              </w:rPr>
              <w:t>000 kuna</w:t>
            </w:r>
          </w:p>
        </w:tc>
        <w:tc>
          <w:tcPr>
            <w:tcW w:w="546" w:type="pct"/>
            <w:vAlign w:val="bottom"/>
          </w:tcPr>
          <w:p w14:paraId="1F333B5E"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bCs/>
                <w:color w:val="000000" w:themeColor="text1"/>
                <w:sz w:val="17"/>
                <w:szCs w:val="17"/>
                <w:lang w:val="hr-HR"/>
              </w:rPr>
              <w:t>000 kuna</w:t>
            </w:r>
          </w:p>
        </w:tc>
        <w:tc>
          <w:tcPr>
            <w:tcW w:w="572" w:type="pct"/>
            <w:vAlign w:val="bottom"/>
          </w:tcPr>
          <w:p w14:paraId="0B794AD6"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bCs/>
                <w:color w:val="000000" w:themeColor="text1"/>
                <w:sz w:val="17"/>
                <w:szCs w:val="17"/>
                <w:lang w:val="hr-HR"/>
              </w:rPr>
              <w:t>000 kuna</w:t>
            </w:r>
          </w:p>
        </w:tc>
        <w:tc>
          <w:tcPr>
            <w:tcW w:w="570" w:type="pct"/>
            <w:vAlign w:val="bottom"/>
          </w:tcPr>
          <w:p w14:paraId="4738A45F"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bCs/>
                <w:color w:val="000000" w:themeColor="text1"/>
                <w:sz w:val="17"/>
                <w:szCs w:val="17"/>
                <w:lang w:val="hr-HR"/>
              </w:rPr>
              <w:t>000 kuna</w:t>
            </w:r>
          </w:p>
        </w:tc>
        <w:tc>
          <w:tcPr>
            <w:tcW w:w="640" w:type="pct"/>
            <w:vAlign w:val="bottom"/>
          </w:tcPr>
          <w:p w14:paraId="6306A5EE"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bCs/>
                <w:color w:val="000000" w:themeColor="text1"/>
                <w:sz w:val="17"/>
                <w:szCs w:val="17"/>
                <w:lang w:val="hr-HR"/>
              </w:rPr>
              <w:t>000 kuna</w:t>
            </w:r>
          </w:p>
        </w:tc>
        <w:tc>
          <w:tcPr>
            <w:tcW w:w="604" w:type="pct"/>
            <w:vAlign w:val="bottom"/>
          </w:tcPr>
          <w:p w14:paraId="11187800" w14:textId="77777777" w:rsidR="004E2F51" w:rsidRPr="005B35F4" w:rsidRDefault="004E2F51" w:rsidP="00E032FC">
            <w:pPr>
              <w:tabs>
                <w:tab w:val="right" w:pos="1202"/>
              </w:tabs>
              <w:spacing w:line="240" w:lineRule="exact"/>
              <w:jc w:val="right"/>
              <w:outlineLvl w:val="0"/>
              <w:rPr>
                <w:rFonts w:ascii="Arial" w:hAnsi="Arial" w:cs="Arial"/>
                <w:b/>
                <w:color w:val="000000" w:themeColor="text1"/>
                <w:sz w:val="17"/>
                <w:szCs w:val="17"/>
                <w:lang w:val="hr-HR"/>
              </w:rPr>
            </w:pPr>
            <w:r w:rsidRPr="005B35F4">
              <w:rPr>
                <w:rFonts w:ascii="Arial" w:hAnsi="Arial" w:cs="Arial"/>
                <w:b/>
                <w:bCs/>
                <w:color w:val="000000" w:themeColor="text1"/>
                <w:sz w:val="17"/>
                <w:szCs w:val="17"/>
                <w:lang w:val="hr-HR"/>
              </w:rPr>
              <w:t>000 kuna</w:t>
            </w:r>
          </w:p>
        </w:tc>
      </w:tr>
      <w:tr w:rsidR="004E2F51" w:rsidRPr="005B35F4" w14:paraId="3BC1D48B" w14:textId="77777777" w:rsidTr="00E032FC">
        <w:trPr>
          <w:trHeight w:val="145"/>
        </w:trPr>
        <w:tc>
          <w:tcPr>
            <w:tcW w:w="1518" w:type="pct"/>
          </w:tcPr>
          <w:p w14:paraId="57FC6365" w14:textId="77777777" w:rsidR="004E2F51" w:rsidRPr="005B35F4" w:rsidRDefault="004E2F51" w:rsidP="00E032FC">
            <w:pPr>
              <w:tabs>
                <w:tab w:val="right" w:pos="1202"/>
              </w:tabs>
              <w:spacing w:line="240" w:lineRule="exact"/>
              <w:outlineLvl w:val="0"/>
              <w:rPr>
                <w:rFonts w:ascii="Arial" w:hAnsi="Arial" w:cs="Arial"/>
                <w:b/>
                <w:bCs/>
                <w:color w:val="000000" w:themeColor="text1"/>
                <w:sz w:val="17"/>
                <w:szCs w:val="17"/>
                <w:lang w:val="hr-HR"/>
              </w:rPr>
            </w:pPr>
            <w:r w:rsidRPr="005B35F4">
              <w:rPr>
                <w:rFonts w:ascii="Arial" w:hAnsi="Arial" w:cs="Arial"/>
                <w:b/>
                <w:bCs/>
                <w:color w:val="000000" w:themeColor="text1"/>
                <w:sz w:val="17"/>
                <w:szCs w:val="17"/>
                <w:lang w:val="hr-HR"/>
              </w:rPr>
              <w:t>Imovina</w:t>
            </w:r>
          </w:p>
        </w:tc>
        <w:tc>
          <w:tcPr>
            <w:tcW w:w="551" w:type="pct"/>
            <w:vAlign w:val="bottom"/>
          </w:tcPr>
          <w:p w14:paraId="087DF57B" w14:textId="77777777" w:rsidR="004E2F51" w:rsidRPr="005B35F4" w:rsidRDefault="004E2F51" w:rsidP="00E032FC">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46" w:type="pct"/>
            <w:vAlign w:val="bottom"/>
          </w:tcPr>
          <w:p w14:paraId="633F36B7" w14:textId="77777777" w:rsidR="004E2F51" w:rsidRPr="005B35F4" w:rsidRDefault="004E2F51" w:rsidP="00E032FC">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72" w:type="pct"/>
            <w:vAlign w:val="bottom"/>
          </w:tcPr>
          <w:p w14:paraId="0B22EBD1" w14:textId="77777777" w:rsidR="004E2F51" w:rsidRPr="005B35F4" w:rsidRDefault="004E2F51" w:rsidP="00E032FC">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570" w:type="pct"/>
            <w:vAlign w:val="bottom"/>
          </w:tcPr>
          <w:p w14:paraId="55BD6287" w14:textId="77777777" w:rsidR="004E2F51" w:rsidRPr="005B35F4" w:rsidRDefault="004E2F51" w:rsidP="00E032FC">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640" w:type="pct"/>
            <w:vAlign w:val="bottom"/>
          </w:tcPr>
          <w:p w14:paraId="5D79B852" w14:textId="77777777" w:rsidR="004E2F51" w:rsidRPr="005B35F4" w:rsidRDefault="004E2F51" w:rsidP="00E032FC">
            <w:pPr>
              <w:tabs>
                <w:tab w:val="right" w:pos="1202"/>
              </w:tabs>
              <w:spacing w:line="240" w:lineRule="exact"/>
              <w:jc w:val="right"/>
              <w:outlineLvl w:val="0"/>
              <w:rPr>
                <w:rFonts w:ascii="Arial" w:hAnsi="Arial" w:cs="Arial"/>
                <w:b/>
                <w:bCs/>
                <w:color w:val="000000" w:themeColor="text1"/>
                <w:spacing w:val="-2"/>
                <w:sz w:val="17"/>
                <w:szCs w:val="17"/>
                <w:lang w:val="hr-HR"/>
              </w:rPr>
            </w:pPr>
          </w:p>
        </w:tc>
        <w:tc>
          <w:tcPr>
            <w:tcW w:w="604" w:type="pct"/>
            <w:vAlign w:val="bottom"/>
          </w:tcPr>
          <w:p w14:paraId="21A1157B" w14:textId="77777777" w:rsidR="004E2F51" w:rsidRPr="005B35F4" w:rsidRDefault="004E2F51" w:rsidP="00E032FC">
            <w:pPr>
              <w:tabs>
                <w:tab w:val="right" w:pos="1202"/>
              </w:tabs>
              <w:spacing w:line="240" w:lineRule="exact"/>
              <w:jc w:val="right"/>
              <w:outlineLvl w:val="0"/>
              <w:rPr>
                <w:rFonts w:ascii="Arial" w:hAnsi="Arial" w:cs="Arial"/>
                <w:b/>
                <w:bCs/>
                <w:color w:val="000000" w:themeColor="text1"/>
                <w:spacing w:val="-2"/>
                <w:sz w:val="17"/>
                <w:szCs w:val="17"/>
                <w:lang w:val="hr-HR"/>
              </w:rPr>
            </w:pPr>
          </w:p>
        </w:tc>
      </w:tr>
      <w:tr w:rsidR="004E2F51" w:rsidRPr="005B35F4" w14:paraId="64025A4E" w14:textId="77777777" w:rsidTr="00E032FC">
        <w:trPr>
          <w:trHeight w:val="261"/>
        </w:trPr>
        <w:tc>
          <w:tcPr>
            <w:tcW w:w="1518" w:type="pct"/>
            <w:vAlign w:val="bottom"/>
          </w:tcPr>
          <w:p w14:paraId="1603AF91"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Novčana sredstva i računi kod banaka</w:t>
            </w:r>
          </w:p>
        </w:tc>
        <w:tc>
          <w:tcPr>
            <w:tcW w:w="551" w:type="pct"/>
            <w:tcBorders>
              <w:top w:val="nil"/>
              <w:left w:val="nil"/>
              <w:bottom w:val="nil"/>
              <w:right w:val="nil"/>
            </w:tcBorders>
            <w:shd w:val="clear" w:color="auto" w:fill="auto"/>
            <w:vAlign w:val="bottom"/>
          </w:tcPr>
          <w:p w14:paraId="267303B3"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1.958.620</w:t>
            </w:r>
          </w:p>
        </w:tc>
        <w:tc>
          <w:tcPr>
            <w:tcW w:w="546" w:type="pct"/>
            <w:tcBorders>
              <w:top w:val="nil"/>
              <w:left w:val="nil"/>
              <w:bottom w:val="nil"/>
              <w:right w:val="nil"/>
            </w:tcBorders>
            <w:shd w:val="clear" w:color="auto" w:fill="auto"/>
            <w:vAlign w:val="bottom"/>
          </w:tcPr>
          <w:p w14:paraId="2561C272"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326D4FC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269A6042"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0B6B8B1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04" w:type="pct"/>
            <w:tcBorders>
              <w:top w:val="nil"/>
              <w:left w:val="nil"/>
              <w:bottom w:val="nil"/>
              <w:right w:val="nil"/>
            </w:tcBorders>
            <w:shd w:val="clear" w:color="auto" w:fill="auto"/>
            <w:vAlign w:val="bottom"/>
          </w:tcPr>
          <w:p w14:paraId="37C38CE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1.958.620</w:t>
            </w:r>
          </w:p>
        </w:tc>
      </w:tr>
      <w:tr w:rsidR="004E2F51" w:rsidRPr="005B35F4" w14:paraId="3FC9941C" w14:textId="77777777" w:rsidTr="00E032FC">
        <w:trPr>
          <w:trHeight w:val="261"/>
        </w:trPr>
        <w:tc>
          <w:tcPr>
            <w:tcW w:w="1518" w:type="pct"/>
            <w:vAlign w:val="bottom"/>
          </w:tcPr>
          <w:p w14:paraId="494F45FE"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Depoziti kod drugih banaka</w:t>
            </w:r>
          </w:p>
        </w:tc>
        <w:tc>
          <w:tcPr>
            <w:tcW w:w="551" w:type="pct"/>
            <w:tcBorders>
              <w:top w:val="nil"/>
              <w:left w:val="nil"/>
              <w:bottom w:val="nil"/>
              <w:right w:val="nil"/>
            </w:tcBorders>
            <w:shd w:val="clear" w:color="auto" w:fill="auto"/>
            <w:vAlign w:val="bottom"/>
          </w:tcPr>
          <w:p w14:paraId="013CEB15"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w:t>
            </w:r>
          </w:p>
        </w:tc>
        <w:tc>
          <w:tcPr>
            <w:tcW w:w="546" w:type="pct"/>
            <w:tcBorders>
              <w:top w:val="nil"/>
              <w:left w:val="nil"/>
              <w:bottom w:val="nil"/>
              <w:right w:val="nil"/>
            </w:tcBorders>
            <w:shd w:val="clear" w:color="auto" w:fill="auto"/>
            <w:vAlign w:val="bottom"/>
          </w:tcPr>
          <w:p w14:paraId="191334E3"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10E09B0C"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13A8CB4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4D8B2F8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7.500</w:t>
            </w:r>
          </w:p>
        </w:tc>
        <w:tc>
          <w:tcPr>
            <w:tcW w:w="604" w:type="pct"/>
            <w:tcBorders>
              <w:top w:val="nil"/>
              <w:left w:val="nil"/>
              <w:bottom w:val="nil"/>
              <w:right w:val="nil"/>
            </w:tcBorders>
            <w:shd w:val="clear" w:color="auto" w:fill="auto"/>
            <w:vAlign w:val="bottom"/>
          </w:tcPr>
          <w:p w14:paraId="6FAC4B1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7.500</w:t>
            </w:r>
          </w:p>
        </w:tc>
      </w:tr>
      <w:tr w:rsidR="004E2F51" w:rsidRPr="005B35F4" w14:paraId="142798D0" w14:textId="77777777" w:rsidTr="00E032FC">
        <w:trPr>
          <w:trHeight w:val="261"/>
        </w:trPr>
        <w:tc>
          <w:tcPr>
            <w:tcW w:w="1518" w:type="pct"/>
            <w:vAlign w:val="bottom"/>
          </w:tcPr>
          <w:p w14:paraId="3343DF99" w14:textId="77777777" w:rsidR="004E2F51" w:rsidRPr="005B35F4" w:rsidRDefault="004E2F51" w:rsidP="00E032FC">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pacing w:val="-2"/>
                <w:sz w:val="17"/>
                <w:szCs w:val="17"/>
                <w:lang w:val="hr-HR"/>
              </w:rPr>
              <w:t>Krediti financijskim institucijama*</w:t>
            </w:r>
          </w:p>
        </w:tc>
        <w:tc>
          <w:tcPr>
            <w:tcW w:w="551" w:type="pct"/>
            <w:tcBorders>
              <w:top w:val="nil"/>
              <w:left w:val="nil"/>
              <w:bottom w:val="nil"/>
              <w:right w:val="nil"/>
            </w:tcBorders>
            <w:shd w:val="clear" w:color="auto" w:fill="auto"/>
            <w:vAlign w:val="bottom"/>
          </w:tcPr>
          <w:p w14:paraId="4DE5B9DD"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140.979</w:t>
            </w:r>
          </w:p>
        </w:tc>
        <w:tc>
          <w:tcPr>
            <w:tcW w:w="546" w:type="pct"/>
            <w:tcBorders>
              <w:top w:val="nil"/>
              <w:left w:val="nil"/>
              <w:bottom w:val="nil"/>
              <w:right w:val="nil"/>
            </w:tcBorders>
            <w:shd w:val="clear" w:color="auto" w:fill="auto"/>
            <w:vAlign w:val="bottom"/>
          </w:tcPr>
          <w:p w14:paraId="01181F7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188.898</w:t>
            </w:r>
          </w:p>
        </w:tc>
        <w:tc>
          <w:tcPr>
            <w:tcW w:w="572" w:type="pct"/>
            <w:tcBorders>
              <w:top w:val="nil"/>
              <w:left w:val="nil"/>
              <w:bottom w:val="nil"/>
              <w:right w:val="nil"/>
            </w:tcBorders>
            <w:shd w:val="clear" w:color="auto" w:fill="auto"/>
            <w:vAlign w:val="bottom"/>
          </w:tcPr>
          <w:p w14:paraId="157CCDD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817.773</w:t>
            </w:r>
          </w:p>
        </w:tc>
        <w:tc>
          <w:tcPr>
            <w:tcW w:w="570" w:type="pct"/>
            <w:tcBorders>
              <w:top w:val="nil"/>
              <w:left w:val="nil"/>
              <w:bottom w:val="nil"/>
              <w:right w:val="nil"/>
            </w:tcBorders>
            <w:shd w:val="clear" w:color="auto" w:fill="auto"/>
            <w:vAlign w:val="bottom"/>
          </w:tcPr>
          <w:p w14:paraId="6FF152E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1.870.557</w:t>
            </w:r>
          </w:p>
        </w:tc>
        <w:tc>
          <w:tcPr>
            <w:tcW w:w="640" w:type="pct"/>
            <w:tcBorders>
              <w:top w:val="nil"/>
              <w:left w:val="nil"/>
              <w:bottom w:val="nil"/>
              <w:right w:val="nil"/>
            </w:tcBorders>
            <w:shd w:val="clear" w:color="auto" w:fill="auto"/>
            <w:vAlign w:val="bottom"/>
          </w:tcPr>
          <w:p w14:paraId="180623D3"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4.031.936</w:t>
            </w:r>
          </w:p>
        </w:tc>
        <w:tc>
          <w:tcPr>
            <w:tcW w:w="604" w:type="pct"/>
            <w:tcBorders>
              <w:top w:val="nil"/>
              <w:left w:val="nil"/>
              <w:bottom w:val="nil"/>
              <w:right w:val="nil"/>
            </w:tcBorders>
            <w:shd w:val="clear" w:color="auto" w:fill="auto"/>
            <w:vAlign w:val="bottom"/>
          </w:tcPr>
          <w:p w14:paraId="3E9924DA"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7.050.143</w:t>
            </w:r>
          </w:p>
        </w:tc>
      </w:tr>
      <w:tr w:rsidR="004E2F51" w:rsidRPr="005B35F4" w14:paraId="0CBCC137" w14:textId="77777777" w:rsidTr="00E032FC">
        <w:trPr>
          <w:trHeight w:val="261"/>
        </w:trPr>
        <w:tc>
          <w:tcPr>
            <w:tcW w:w="1518" w:type="pct"/>
            <w:vAlign w:val="bottom"/>
          </w:tcPr>
          <w:p w14:paraId="4E1E2054" w14:textId="77777777" w:rsidR="004E2F51" w:rsidRPr="005B35F4" w:rsidRDefault="004E2F51" w:rsidP="00E032FC">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pacing w:val="-2"/>
                <w:sz w:val="17"/>
                <w:szCs w:val="17"/>
                <w:lang w:val="hr-HR"/>
              </w:rPr>
              <w:t>Krediti ostalim korisnicima</w:t>
            </w:r>
          </w:p>
        </w:tc>
        <w:tc>
          <w:tcPr>
            <w:tcW w:w="551" w:type="pct"/>
            <w:tcBorders>
              <w:top w:val="nil"/>
              <w:left w:val="nil"/>
              <w:bottom w:val="nil"/>
              <w:right w:val="nil"/>
            </w:tcBorders>
            <w:shd w:val="clear" w:color="auto" w:fill="auto"/>
            <w:vAlign w:val="bottom"/>
          </w:tcPr>
          <w:p w14:paraId="74CB1C4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1.903.430</w:t>
            </w:r>
          </w:p>
        </w:tc>
        <w:tc>
          <w:tcPr>
            <w:tcW w:w="546" w:type="pct"/>
            <w:tcBorders>
              <w:top w:val="nil"/>
              <w:left w:val="nil"/>
              <w:bottom w:val="nil"/>
              <w:right w:val="nil"/>
            </w:tcBorders>
            <w:shd w:val="clear" w:color="auto" w:fill="auto"/>
            <w:vAlign w:val="bottom"/>
          </w:tcPr>
          <w:p w14:paraId="2F08502B"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341.173</w:t>
            </w:r>
          </w:p>
        </w:tc>
        <w:tc>
          <w:tcPr>
            <w:tcW w:w="572" w:type="pct"/>
            <w:tcBorders>
              <w:top w:val="nil"/>
              <w:left w:val="nil"/>
              <w:bottom w:val="nil"/>
              <w:right w:val="nil"/>
            </w:tcBorders>
            <w:shd w:val="clear" w:color="auto" w:fill="auto"/>
            <w:vAlign w:val="bottom"/>
          </w:tcPr>
          <w:p w14:paraId="6CF85803"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1.109.842</w:t>
            </w:r>
          </w:p>
        </w:tc>
        <w:tc>
          <w:tcPr>
            <w:tcW w:w="570" w:type="pct"/>
            <w:tcBorders>
              <w:top w:val="nil"/>
              <w:left w:val="nil"/>
              <w:bottom w:val="nil"/>
              <w:right w:val="nil"/>
            </w:tcBorders>
            <w:shd w:val="clear" w:color="auto" w:fill="auto"/>
            <w:vAlign w:val="bottom"/>
          </w:tcPr>
          <w:p w14:paraId="0E55557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3.254.643</w:t>
            </w:r>
          </w:p>
        </w:tc>
        <w:tc>
          <w:tcPr>
            <w:tcW w:w="640" w:type="pct"/>
            <w:tcBorders>
              <w:top w:val="nil"/>
              <w:left w:val="nil"/>
              <w:bottom w:val="nil"/>
              <w:right w:val="nil"/>
            </w:tcBorders>
            <w:shd w:val="clear" w:color="auto" w:fill="auto"/>
            <w:vAlign w:val="bottom"/>
          </w:tcPr>
          <w:p w14:paraId="7ABD738C"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9.355.288</w:t>
            </w:r>
          </w:p>
        </w:tc>
        <w:tc>
          <w:tcPr>
            <w:tcW w:w="604" w:type="pct"/>
            <w:tcBorders>
              <w:top w:val="nil"/>
              <w:left w:val="nil"/>
              <w:bottom w:val="nil"/>
              <w:right w:val="nil"/>
            </w:tcBorders>
            <w:shd w:val="clear" w:color="auto" w:fill="auto"/>
            <w:vAlign w:val="bottom"/>
          </w:tcPr>
          <w:p w14:paraId="5106CB9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15.964.376</w:t>
            </w:r>
          </w:p>
        </w:tc>
      </w:tr>
      <w:tr w:rsidR="004E2F51" w:rsidRPr="005B35F4" w14:paraId="2F18D276" w14:textId="77777777" w:rsidTr="00E032FC">
        <w:trPr>
          <w:trHeight w:val="145"/>
        </w:trPr>
        <w:tc>
          <w:tcPr>
            <w:tcW w:w="1518" w:type="pct"/>
            <w:vAlign w:val="bottom"/>
          </w:tcPr>
          <w:p w14:paraId="404D034B" w14:textId="77777777" w:rsidR="004E2F51" w:rsidRPr="005B35F4" w:rsidRDefault="004E2F51" w:rsidP="00E032FC">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z w:val="17"/>
                <w:szCs w:val="17"/>
                <w:lang w:val="hr-HR"/>
              </w:rPr>
              <w:t>Financijska imovina po fer vrijednosti kroz dobit ili gubitak</w:t>
            </w:r>
          </w:p>
        </w:tc>
        <w:tc>
          <w:tcPr>
            <w:tcW w:w="551" w:type="pct"/>
            <w:tcBorders>
              <w:top w:val="nil"/>
              <w:left w:val="nil"/>
              <w:bottom w:val="nil"/>
              <w:right w:val="nil"/>
            </w:tcBorders>
            <w:shd w:val="clear" w:color="auto" w:fill="auto"/>
            <w:vAlign w:val="bottom"/>
          </w:tcPr>
          <w:p w14:paraId="65842371"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202.609</w:t>
            </w:r>
          </w:p>
        </w:tc>
        <w:tc>
          <w:tcPr>
            <w:tcW w:w="546" w:type="pct"/>
            <w:tcBorders>
              <w:top w:val="nil"/>
              <w:left w:val="nil"/>
              <w:bottom w:val="nil"/>
              <w:right w:val="nil"/>
            </w:tcBorders>
            <w:shd w:val="clear" w:color="auto" w:fill="auto"/>
            <w:vAlign w:val="bottom"/>
          </w:tcPr>
          <w:p w14:paraId="1950A608"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45FE3DAC"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4590D53D"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60515242"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16.375</w:t>
            </w:r>
          </w:p>
        </w:tc>
        <w:tc>
          <w:tcPr>
            <w:tcW w:w="604" w:type="pct"/>
            <w:tcBorders>
              <w:top w:val="nil"/>
              <w:left w:val="nil"/>
              <w:bottom w:val="nil"/>
              <w:right w:val="nil"/>
            </w:tcBorders>
            <w:shd w:val="clear" w:color="auto" w:fill="auto"/>
            <w:vAlign w:val="bottom"/>
          </w:tcPr>
          <w:p w14:paraId="2ACDAAA9"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218.984</w:t>
            </w:r>
          </w:p>
        </w:tc>
      </w:tr>
      <w:tr w:rsidR="004E2F51" w:rsidRPr="005B35F4" w14:paraId="7B1726CB" w14:textId="77777777" w:rsidTr="00E032FC">
        <w:trPr>
          <w:trHeight w:val="145"/>
        </w:trPr>
        <w:tc>
          <w:tcPr>
            <w:tcW w:w="1518" w:type="pct"/>
            <w:vAlign w:val="bottom"/>
          </w:tcPr>
          <w:p w14:paraId="664ED421" w14:textId="77777777" w:rsidR="004E2F51" w:rsidRPr="005B35F4" w:rsidRDefault="004E2F51" w:rsidP="00E032FC">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z w:val="17"/>
                <w:szCs w:val="17"/>
                <w:lang w:val="hr-HR"/>
              </w:rPr>
              <w:t>Financijska imovina po fer vrijednosti kroz ostalu sveobuhvatnu dobit</w:t>
            </w:r>
          </w:p>
        </w:tc>
        <w:tc>
          <w:tcPr>
            <w:tcW w:w="551" w:type="pct"/>
            <w:tcBorders>
              <w:top w:val="nil"/>
              <w:left w:val="nil"/>
              <w:bottom w:val="nil"/>
              <w:right w:val="nil"/>
            </w:tcBorders>
            <w:shd w:val="clear" w:color="auto" w:fill="auto"/>
            <w:vAlign w:val="bottom"/>
          </w:tcPr>
          <w:p w14:paraId="792CD8F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2.900.262</w:t>
            </w:r>
          </w:p>
        </w:tc>
        <w:tc>
          <w:tcPr>
            <w:tcW w:w="546" w:type="pct"/>
            <w:tcBorders>
              <w:top w:val="nil"/>
              <w:left w:val="nil"/>
              <w:bottom w:val="nil"/>
              <w:right w:val="nil"/>
            </w:tcBorders>
            <w:shd w:val="clear" w:color="auto" w:fill="auto"/>
            <w:vAlign w:val="bottom"/>
          </w:tcPr>
          <w:p w14:paraId="488C79E9"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15.442</w:t>
            </w:r>
          </w:p>
        </w:tc>
        <w:tc>
          <w:tcPr>
            <w:tcW w:w="572" w:type="pct"/>
            <w:tcBorders>
              <w:top w:val="nil"/>
              <w:left w:val="nil"/>
              <w:bottom w:val="nil"/>
              <w:right w:val="nil"/>
            </w:tcBorders>
            <w:shd w:val="clear" w:color="auto" w:fill="auto"/>
            <w:vAlign w:val="bottom"/>
          </w:tcPr>
          <w:p w14:paraId="502DB4FD"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0485237B"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02AEE9CC"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04" w:type="pct"/>
            <w:tcBorders>
              <w:top w:val="nil"/>
              <w:left w:val="nil"/>
              <w:bottom w:val="nil"/>
              <w:right w:val="nil"/>
            </w:tcBorders>
            <w:shd w:val="clear" w:color="auto" w:fill="auto"/>
            <w:vAlign w:val="bottom"/>
          </w:tcPr>
          <w:p w14:paraId="0B4BEEDC"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2.915.704</w:t>
            </w:r>
          </w:p>
        </w:tc>
      </w:tr>
      <w:tr w:rsidR="004E2F51" w:rsidRPr="005B35F4" w14:paraId="43B2D8E4" w14:textId="77777777" w:rsidTr="00E032FC">
        <w:trPr>
          <w:trHeight w:val="145"/>
        </w:trPr>
        <w:tc>
          <w:tcPr>
            <w:tcW w:w="1518" w:type="pct"/>
            <w:vAlign w:val="bottom"/>
          </w:tcPr>
          <w:p w14:paraId="42382569" w14:textId="77777777" w:rsidR="004E2F51" w:rsidRPr="005B35F4" w:rsidRDefault="004E2F51" w:rsidP="00E032FC">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pacing w:val="-2"/>
                <w:sz w:val="17"/>
                <w:szCs w:val="17"/>
                <w:lang w:val="hr-HR"/>
              </w:rPr>
              <w:t>Ulaganja u ovisna društva</w:t>
            </w:r>
          </w:p>
        </w:tc>
        <w:tc>
          <w:tcPr>
            <w:tcW w:w="551" w:type="pct"/>
            <w:tcBorders>
              <w:top w:val="nil"/>
              <w:left w:val="nil"/>
              <w:bottom w:val="nil"/>
              <w:right w:val="nil"/>
            </w:tcBorders>
            <w:shd w:val="clear" w:color="auto" w:fill="auto"/>
            <w:vAlign w:val="bottom"/>
          </w:tcPr>
          <w:p w14:paraId="7EFFF872"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46" w:type="pct"/>
            <w:tcBorders>
              <w:top w:val="nil"/>
              <w:left w:val="nil"/>
              <w:bottom w:val="nil"/>
              <w:right w:val="nil"/>
            </w:tcBorders>
            <w:shd w:val="clear" w:color="auto" w:fill="auto"/>
            <w:vAlign w:val="bottom"/>
          </w:tcPr>
          <w:p w14:paraId="3CEB1C4F"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22A9D5F2"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6881772F"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49C630D9"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36.124</w:t>
            </w:r>
          </w:p>
        </w:tc>
        <w:tc>
          <w:tcPr>
            <w:tcW w:w="604" w:type="pct"/>
            <w:tcBorders>
              <w:top w:val="nil"/>
              <w:left w:val="nil"/>
              <w:bottom w:val="nil"/>
              <w:right w:val="nil"/>
            </w:tcBorders>
            <w:shd w:val="clear" w:color="auto" w:fill="auto"/>
            <w:vAlign w:val="bottom"/>
          </w:tcPr>
          <w:p w14:paraId="534CC873"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36.124</w:t>
            </w:r>
          </w:p>
        </w:tc>
      </w:tr>
      <w:tr w:rsidR="004E2F51" w:rsidRPr="005B35F4" w14:paraId="03761335" w14:textId="77777777" w:rsidTr="00E032FC">
        <w:trPr>
          <w:trHeight w:val="293"/>
        </w:trPr>
        <w:tc>
          <w:tcPr>
            <w:tcW w:w="1518" w:type="pct"/>
            <w:vAlign w:val="bottom"/>
          </w:tcPr>
          <w:p w14:paraId="3F3778FF"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Nekretnine, postrojenja i oprema i nematerijalna imovina</w:t>
            </w:r>
          </w:p>
        </w:tc>
        <w:tc>
          <w:tcPr>
            <w:tcW w:w="551" w:type="pct"/>
            <w:tcBorders>
              <w:top w:val="nil"/>
              <w:left w:val="nil"/>
              <w:bottom w:val="nil"/>
              <w:right w:val="nil"/>
            </w:tcBorders>
            <w:shd w:val="clear" w:color="auto" w:fill="auto"/>
            <w:vAlign w:val="bottom"/>
          </w:tcPr>
          <w:p w14:paraId="4E29A421"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lang w:val="it-IT"/>
              </w:rPr>
              <w:t xml:space="preserve"> </w:t>
            </w:r>
            <w:r w:rsidRPr="005B35F4">
              <w:rPr>
                <w:rFonts w:ascii="Arial" w:hAnsi="Arial" w:cs="Arial"/>
                <w:color w:val="000000"/>
                <w:sz w:val="17"/>
                <w:szCs w:val="17"/>
              </w:rPr>
              <w:t xml:space="preserve">- </w:t>
            </w:r>
          </w:p>
        </w:tc>
        <w:tc>
          <w:tcPr>
            <w:tcW w:w="546" w:type="pct"/>
            <w:tcBorders>
              <w:top w:val="nil"/>
              <w:left w:val="nil"/>
              <w:bottom w:val="nil"/>
              <w:right w:val="nil"/>
            </w:tcBorders>
            <w:shd w:val="clear" w:color="auto" w:fill="auto"/>
            <w:vAlign w:val="bottom"/>
          </w:tcPr>
          <w:p w14:paraId="2E8A697F"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0EFDE902"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bottom"/>
          </w:tcPr>
          <w:p w14:paraId="3DE0AA39"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bottom"/>
          </w:tcPr>
          <w:p w14:paraId="6EEF24E5"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42.674</w:t>
            </w:r>
          </w:p>
        </w:tc>
        <w:tc>
          <w:tcPr>
            <w:tcW w:w="604" w:type="pct"/>
            <w:tcBorders>
              <w:top w:val="nil"/>
              <w:left w:val="nil"/>
              <w:bottom w:val="nil"/>
              <w:right w:val="nil"/>
            </w:tcBorders>
            <w:shd w:val="clear" w:color="auto" w:fill="auto"/>
            <w:vAlign w:val="bottom"/>
          </w:tcPr>
          <w:p w14:paraId="67675D60"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42.674</w:t>
            </w:r>
          </w:p>
        </w:tc>
      </w:tr>
      <w:tr w:rsidR="004E2F51" w:rsidRPr="005B35F4" w14:paraId="770A37FE" w14:textId="77777777" w:rsidTr="00E032FC">
        <w:trPr>
          <w:trHeight w:val="134"/>
        </w:trPr>
        <w:tc>
          <w:tcPr>
            <w:tcW w:w="1518" w:type="pct"/>
            <w:vAlign w:val="bottom"/>
          </w:tcPr>
          <w:p w14:paraId="63CB77DF"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Preuzeta imovina</w:t>
            </w:r>
          </w:p>
        </w:tc>
        <w:tc>
          <w:tcPr>
            <w:tcW w:w="551" w:type="pct"/>
            <w:tcBorders>
              <w:top w:val="nil"/>
              <w:left w:val="nil"/>
              <w:bottom w:val="nil"/>
              <w:right w:val="nil"/>
            </w:tcBorders>
            <w:shd w:val="clear" w:color="auto" w:fill="auto"/>
            <w:vAlign w:val="bottom"/>
          </w:tcPr>
          <w:p w14:paraId="0FC298E1"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9 </w:t>
            </w:r>
          </w:p>
        </w:tc>
        <w:tc>
          <w:tcPr>
            <w:tcW w:w="546" w:type="pct"/>
            <w:tcBorders>
              <w:top w:val="nil"/>
              <w:left w:val="nil"/>
              <w:bottom w:val="nil"/>
              <w:right w:val="nil"/>
            </w:tcBorders>
            <w:shd w:val="clear" w:color="auto" w:fill="auto"/>
            <w:vAlign w:val="bottom"/>
          </w:tcPr>
          <w:p w14:paraId="376FB4AC"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53730885"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156</w:t>
            </w:r>
          </w:p>
        </w:tc>
        <w:tc>
          <w:tcPr>
            <w:tcW w:w="570" w:type="pct"/>
            <w:tcBorders>
              <w:top w:val="nil"/>
              <w:left w:val="nil"/>
              <w:bottom w:val="nil"/>
              <w:right w:val="nil"/>
            </w:tcBorders>
            <w:shd w:val="clear" w:color="auto" w:fill="auto"/>
            <w:vAlign w:val="bottom"/>
          </w:tcPr>
          <w:p w14:paraId="7F1AAE9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11.272</w:t>
            </w:r>
          </w:p>
        </w:tc>
        <w:tc>
          <w:tcPr>
            <w:tcW w:w="640" w:type="pct"/>
            <w:tcBorders>
              <w:top w:val="nil"/>
              <w:left w:val="nil"/>
              <w:bottom w:val="nil"/>
              <w:right w:val="nil"/>
            </w:tcBorders>
            <w:shd w:val="clear" w:color="auto" w:fill="auto"/>
            <w:vAlign w:val="bottom"/>
          </w:tcPr>
          <w:p w14:paraId="3DA862EB"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9.932</w:t>
            </w:r>
          </w:p>
        </w:tc>
        <w:tc>
          <w:tcPr>
            <w:tcW w:w="604" w:type="pct"/>
            <w:tcBorders>
              <w:top w:val="nil"/>
              <w:left w:val="nil"/>
              <w:bottom w:val="nil"/>
              <w:right w:val="nil"/>
            </w:tcBorders>
            <w:shd w:val="clear" w:color="auto" w:fill="auto"/>
            <w:vAlign w:val="bottom"/>
          </w:tcPr>
          <w:p w14:paraId="7FE7B4A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21.369</w:t>
            </w:r>
          </w:p>
        </w:tc>
      </w:tr>
      <w:tr w:rsidR="004E2F51" w:rsidRPr="005B35F4" w14:paraId="1AFD41F9" w14:textId="77777777" w:rsidTr="00E032FC">
        <w:trPr>
          <w:trHeight w:val="145"/>
        </w:trPr>
        <w:tc>
          <w:tcPr>
            <w:tcW w:w="1518" w:type="pct"/>
            <w:vAlign w:val="bottom"/>
          </w:tcPr>
          <w:p w14:paraId="5E12F67F"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Ostala imovina</w:t>
            </w:r>
          </w:p>
        </w:tc>
        <w:tc>
          <w:tcPr>
            <w:tcW w:w="551" w:type="pct"/>
            <w:tcBorders>
              <w:top w:val="nil"/>
              <w:left w:val="nil"/>
              <w:bottom w:val="single" w:sz="8" w:space="0" w:color="auto"/>
              <w:right w:val="nil"/>
            </w:tcBorders>
            <w:shd w:val="clear" w:color="auto" w:fill="auto"/>
            <w:vAlign w:val="bottom"/>
          </w:tcPr>
          <w:p w14:paraId="18873D48"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5.749</w:t>
            </w:r>
          </w:p>
        </w:tc>
        <w:tc>
          <w:tcPr>
            <w:tcW w:w="546" w:type="pct"/>
            <w:tcBorders>
              <w:top w:val="nil"/>
              <w:left w:val="nil"/>
              <w:bottom w:val="single" w:sz="8" w:space="0" w:color="auto"/>
              <w:right w:val="nil"/>
            </w:tcBorders>
            <w:shd w:val="clear" w:color="auto" w:fill="auto"/>
            <w:vAlign w:val="bottom"/>
          </w:tcPr>
          <w:p w14:paraId="1746B02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947</w:t>
            </w:r>
          </w:p>
        </w:tc>
        <w:tc>
          <w:tcPr>
            <w:tcW w:w="572" w:type="pct"/>
            <w:tcBorders>
              <w:top w:val="nil"/>
              <w:left w:val="nil"/>
              <w:bottom w:val="single" w:sz="8" w:space="0" w:color="auto"/>
              <w:right w:val="nil"/>
            </w:tcBorders>
            <w:shd w:val="clear" w:color="auto" w:fill="auto"/>
            <w:vAlign w:val="bottom"/>
          </w:tcPr>
          <w:p w14:paraId="0DE0761A"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24.380</w:t>
            </w:r>
          </w:p>
        </w:tc>
        <w:tc>
          <w:tcPr>
            <w:tcW w:w="570" w:type="pct"/>
            <w:tcBorders>
              <w:top w:val="nil"/>
              <w:left w:val="nil"/>
              <w:bottom w:val="single" w:sz="8" w:space="0" w:color="auto"/>
              <w:right w:val="nil"/>
            </w:tcBorders>
            <w:shd w:val="clear" w:color="auto" w:fill="auto"/>
            <w:vAlign w:val="bottom"/>
          </w:tcPr>
          <w:p w14:paraId="771F842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1.734</w:t>
            </w:r>
          </w:p>
        </w:tc>
        <w:tc>
          <w:tcPr>
            <w:tcW w:w="640" w:type="pct"/>
            <w:tcBorders>
              <w:top w:val="nil"/>
              <w:left w:val="nil"/>
              <w:bottom w:val="single" w:sz="8" w:space="0" w:color="auto"/>
              <w:right w:val="nil"/>
            </w:tcBorders>
            <w:shd w:val="clear" w:color="auto" w:fill="auto"/>
            <w:vAlign w:val="bottom"/>
          </w:tcPr>
          <w:p w14:paraId="0F1ED685"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1.684</w:t>
            </w:r>
          </w:p>
        </w:tc>
        <w:tc>
          <w:tcPr>
            <w:tcW w:w="604" w:type="pct"/>
            <w:tcBorders>
              <w:top w:val="nil"/>
              <w:left w:val="nil"/>
              <w:bottom w:val="single" w:sz="8" w:space="0" w:color="auto"/>
              <w:right w:val="nil"/>
            </w:tcBorders>
            <w:shd w:val="clear" w:color="auto" w:fill="auto"/>
            <w:vAlign w:val="bottom"/>
          </w:tcPr>
          <w:p w14:paraId="2D185EE5"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34.494</w:t>
            </w:r>
          </w:p>
        </w:tc>
      </w:tr>
      <w:tr w:rsidR="004E2F51" w:rsidRPr="005B35F4" w14:paraId="5E5C0821" w14:textId="77777777" w:rsidTr="00E032FC">
        <w:trPr>
          <w:trHeight w:val="145"/>
        </w:trPr>
        <w:tc>
          <w:tcPr>
            <w:tcW w:w="1518" w:type="pct"/>
          </w:tcPr>
          <w:p w14:paraId="00D8AB94" w14:textId="77777777" w:rsidR="004E2F51" w:rsidRPr="005B35F4" w:rsidRDefault="004E2F51" w:rsidP="00E032FC">
            <w:pPr>
              <w:tabs>
                <w:tab w:val="right" w:pos="1202"/>
              </w:tabs>
              <w:spacing w:line="240" w:lineRule="exact"/>
              <w:outlineLvl w:val="0"/>
              <w:rPr>
                <w:rFonts w:ascii="Arial" w:hAnsi="Arial" w:cs="Arial"/>
                <w:b/>
                <w:bCs/>
                <w:color w:val="000000" w:themeColor="text1"/>
                <w:sz w:val="17"/>
                <w:szCs w:val="17"/>
                <w:lang w:val="hr-HR"/>
              </w:rPr>
            </w:pPr>
            <w:r w:rsidRPr="005B35F4">
              <w:rPr>
                <w:rFonts w:ascii="Arial" w:hAnsi="Arial" w:cs="Arial"/>
                <w:b/>
                <w:bCs/>
                <w:color w:val="000000" w:themeColor="text1"/>
                <w:sz w:val="17"/>
                <w:szCs w:val="17"/>
                <w:lang w:val="hr-HR"/>
              </w:rPr>
              <w:t>Ukupna imovina</w:t>
            </w:r>
          </w:p>
        </w:tc>
        <w:tc>
          <w:tcPr>
            <w:tcW w:w="551" w:type="pct"/>
            <w:tcBorders>
              <w:top w:val="single" w:sz="8" w:space="0" w:color="auto"/>
              <w:left w:val="nil"/>
              <w:bottom w:val="single" w:sz="12" w:space="0" w:color="auto"/>
              <w:right w:val="nil"/>
            </w:tcBorders>
            <w:shd w:val="clear" w:color="auto" w:fill="auto"/>
            <w:vAlign w:val="bottom"/>
          </w:tcPr>
          <w:p w14:paraId="133AF023"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7.111.658</w:t>
            </w:r>
          </w:p>
        </w:tc>
        <w:tc>
          <w:tcPr>
            <w:tcW w:w="546" w:type="pct"/>
            <w:tcBorders>
              <w:top w:val="single" w:sz="8" w:space="0" w:color="auto"/>
              <w:left w:val="nil"/>
              <w:bottom w:val="single" w:sz="12" w:space="0" w:color="auto"/>
              <w:right w:val="nil"/>
            </w:tcBorders>
            <w:shd w:val="clear" w:color="auto" w:fill="auto"/>
            <w:vAlign w:val="bottom"/>
          </w:tcPr>
          <w:p w14:paraId="571B1800"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546.460</w:t>
            </w:r>
          </w:p>
        </w:tc>
        <w:tc>
          <w:tcPr>
            <w:tcW w:w="572" w:type="pct"/>
            <w:tcBorders>
              <w:top w:val="single" w:sz="8" w:space="0" w:color="auto"/>
              <w:left w:val="nil"/>
              <w:bottom w:val="single" w:sz="12" w:space="0" w:color="auto"/>
              <w:right w:val="nil"/>
            </w:tcBorders>
            <w:shd w:val="clear" w:color="auto" w:fill="auto"/>
            <w:vAlign w:val="bottom"/>
          </w:tcPr>
          <w:p w14:paraId="4574A090"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1.952.151</w:t>
            </w:r>
          </w:p>
        </w:tc>
        <w:tc>
          <w:tcPr>
            <w:tcW w:w="570" w:type="pct"/>
            <w:tcBorders>
              <w:top w:val="single" w:sz="8" w:space="0" w:color="auto"/>
              <w:left w:val="nil"/>
              <w:bottom w:val="single" w:sz="12" w:space="0" w:color="auto"/>
              <w:right w:val="nil"/>
            </w:tcBorders>
            <w:shd w:val="clear" w:color="auto" w:fill="auto"/>
            <w:vAlign w:val="bottom"/>
          </w:tcPr>
          <w:p w14:paraId="26408D54"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5.138.206</w:t>
            </w:r>
          </w:p>
        </w:tc>
        <w:tc>
          <w:tcPr>
            <w:tcW w:w="640" w:type="pct"/>
            <w:tcBorders>
              <w:top w:val="single" w:sz="8" w:space="0" w:color="auto"/>
              <w:left w:val="nil"/>
              <w:bottom w:val="single" w:sz="12" w:space="0" w:color="auto"/>
              <w:right w:val="nil"/>
            </w:tcBorders>
            <w:shd w:val="clear" w:color="auto" w:fill="auto"/>
            <w:vAlign w:val="bottom"/>
          </w:tcPr>
          <w:p w14:paraId="157AA144"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13.501.513</w:t>
            </w:r>
          </w:p>
        </w:tc>
        <w:tc>
          <w:tcPr>
            <w:tcW w:w="604" w:type="pct"/>
            <w:tcBorders>
              <w:top w:val="single" w:sz="8" w:space="0" w:color="auto"/>
              <w:left w:val="nil"/>
              <w:bottom w:val="single" w:sz="12" w:space="0" w:color="auto"/>
              <w:right w:val="nil"/>
            </w:tcBorders>
            <w:shd w:val="clear" w:color="auto" w:fill="auto"/>
            <w:vAlign w:val="bottom"/>
          </w:tcPr>
          <w:p w14:paraId="1C8967B3"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28.249.988</w:t>
            </w:r>
          </w:p>
        </w:tc>
      </w:tr>
      <w:tr w:rsidR="004E2F51" w:rsidRPr="005B35F4" w14:paraId="32D10206" w14:textId="77777777" w:rsidTr="00E032FC">
        <w:trPr>
          <w:trHeight w:hRule="exact" w:val="213"/>
        </w:trPr>
        <w:tc>
          <w:tcPr>
            <w:tcW w:w="1518" w:type="pct"/>
            <w:vAlign w:val="bottom"/>
          </w:tcPr>
          <w:p w14:paraId="0BB0CC7B" w14:textId="77777777" w:rsidR="004E2F51" w:rsidRPr="005B35F4" w:rsidRDefault="004E2F51" w:rsidP="00E032FC">
            <w:pPr>
              <w:keepNext/>
              <w:keepLines/>
              <w:tabs>
                <w:tab w:val="decimal" w:pos="1202"/>
              </w:tabs>
              <w:spacing w:line="140" w:lineRule="exact"/>
              <w:rPr>
                <w:rFonts w:ascii="Arial" w:hAnsi="Arial" w:cs="Arial"/>
                <w:b/>
                <w:bCs/>
                <w:color w:val="000000" w:themeColor="text1"/>
                <w:position w:val="4"/>
                <w:sz w:val="17"/>
                <w:szCs w:val="17"/>
                <w:lang w:val="hr-HR"/>
              </w:rPr>
            </w:pPr>
          </w:p>
        </w:tc>
        <w:tc>
          <w:tcPr>
            <w:tcW w:w="551" w:type="pct"/>
            <w:tcBorders>
              <w:top w:val="single" w:sz="12" w:space="0" w:color="auto"/>
            </w:tcBorders>
            <w:vAlign w:val="bottom"/>
          </w:tcPr>
          <w:p w14:paraId="18A15324" w14:textId="77777777" w:rsidR="004E2F51" w:rsidRPr="005B35F4" w:rsidRDefault="004E2F51" w:rsidP="00E032FC">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46" w:type="pct"/>
            <w:tcBorders>
              <w:top w:val="single" w:sz="12" w:space="0" w:color="auto"/>
            </w:tcBorders>
            <w:vAlign w:val="bottom"/>
          </w:tcPr>
          <w:p w14:paraId="7FFF585A" w14:textId="77777777" w:rsidR="004E2F51" w:rsidRPr="005B35F4" w:rsidRDefault="004E2F51" w:rsidP="00E032FC">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72" w:type="pct"/>
            <w:tcBorders>
              <w:top w:val="single" w:sz="12" w:space="0" w:color="auto"/>
            </w:tcBorders>
            <w:vAlign w:val="bottom"/>
          </w:tcPr>
          <w:p w14:paraId="01ED7174" w14:textId="77777777" w:rsidR="004E2F51" w:rsidRPr="005B35F4" w:rsidRDefault="004E2F51" w:rsidP="00E032FC">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570" w:type="pct"/>
            <w:tcBorders>
              <w:top w:val="single" w:sz="12" w:space="0" w:color="auto"/>
            </w:tcBorders>
            <w:vAlign w:val="bottom"/>
          </w:tcPr>
          <w:p w14:paraId="0D263341" w14:textId="77777777" w:rsidR="004E2F51" w:rsidRPr="005B35F4" w:rsidRDefault="004E2F51" w:rsidP="00E032FC">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640" w:type="pct"/>
            <w:tcBorders>
              <w:top w:val="single" w:sz="12" w:space="0" w:color="auto"/>
            </w:tcBorders>
            <w:vAlign w:val="bottom"/>
          </w:tcPr>
          <w:p w14:paraId="0D88FC5E" w14:textId="77777777" w:rsidR="004E2F51" w:rsidRPr="005B35F4" w:rsidRDefault="004E2F51" w:rsidP="00E032FC">
            <w:pPr>
              <w:keepNext/>
              <w:keepLines/>
              <w:tabs>
                <w:tab w:val="decimal" w:pos="1202"/>
              </w:tabs>
              <w:spacing w:line="140" w:lineRule="exact"/>
              <w:jc w:val="right"/>
              <w:rPr>
                <w:rFonts w:ascii="Arial" w:hAnsi="Arial" w:cs="Arial"/>
                <w:b/>
                <w:bCs/>
                <w:color w:val="000000" w:themeColor="text1"/>
                <w:position w:val="4"/>
                <w:sz w:val="17"/>
                <w:szCs w:val="17"/>
                <w:lang w:val="hr-HR"/>
              </w:rPr>
            </w:pPr>
          </w:p>
        </w:tc>
        <w:tc>
          <w:tcPr>
            <w:tcW w:w="604" w:type="pct"/>
            <w:tcBorders>
              <w:top w:val="single" w:sz="12" w:space="0" w:color="auto"/>
            </w:tcBorders>
            <w:vAlign w:val="bottom"/>
          </w:tcPr>
          <w:p w14:paraId="5B464BA6" w14:textId="77777777" w:rsidR="004E2F51" w:rsidRPr="005B35F4" w:rsidRDefault="004E2F51" w:rsidP="00E032FC">
            <w:pPr>
              <w:keepNext/>
              <w:keepLines/>
              <w:tabs>
                <w:tab w:val="decimal" w:pos="1202"/>
              </w:tabs>
              <w:spacing w:line="140" w:lineRule="exact"/>
              <w:jc w:val="right"/>
              <w:rPr>
                <w:rFonts w:ascii="Arial" w:hAnsi="Arial" w:cs="Arial"/>
                <w:b/>
                <w:bCs/>
                <w:color w:val="000000" w:themeColor="text1"/>
                <w:position w:val="4"/>
                <w:sz w:val="17"/>
                <w:szCs w:val="17"/>
                <w:lang w:val="hr-HR"/>
              </w:rPr>
            </w:pPr>
          </w:p>
        </w:tc>
      </w:tr>
      <w:tr w:rsidR="004E2F51" w:rsidRPr="005B35F4" w14:paraId="30043547" w14:textId="77777777" w:rsidTr="00E032FC">
        <w:trPr>
          <w:trHeight w:val="145"/>
        </w:trPr>
        <w:tc>
          <w:tcPr>
            <w:tcW w:w="1518" w:type="pct"/>
            <w:vAlign w:val="bottom"/>
          </w:tcPr>
          <w:p w14:paraId="174772C1" w14:textId="77777777" w:rsidR="004E2F51" w:rsidRPr="005B35F4" w:rsidRDefault="004E2F51" w:rsidP="00E032FC">
            <w:pPr>
              <w:tabs>
                <w:tab w:val="right" w:pos="1202"/>
              </w:tabs>
              <w:spacing w:line="240" w:lineRule="exact"/>
              <w:outlineLvl w:val="0"/>
              <w:rPr>
                <w:rFonts w:ascii="Arial" w:hAnsi="Arial" w:cs="Arial"/>
                <w:b/>
                <w:bCs/>
                <w:color w:val="000000" w:themeColor="text1"/>
                <w:sz w:val="17"/>
                <w:szCs w:val="17"/>
                <w:lang w:val="hr-HR"/>
              </w:rPr>
            </w:pPr>
            <w:r w:rsidRPr="005B35F4">
              <w:rPr>
                <w:rFonts w:ascii="Arial" w:hAnsi="Arial" w:cs="Arial"/>
                <w:b/>
                <w:bCs/>
                <w:color w:val="000000" w:themeColor="text1"/>
                <w:sz w:val="17"/>
                <w:szCs w:val="17"/>
                <w:lang w:val="hr-HR"/>
              </w:rPr>
              <w:t>Obveze</w:t>
            </w:r>
          </w:p>
        </w:tc>
        <w:tc>
          <w:tcPr>
            <w:tcW w:w="551" w:type="pct"/>
            <w:vAlign w:val="bottom"/>
          </w:tcPr>
          <w:p w14:paraId="2B0A1009" w14:textId="77777777" w:rsidR="004E2F51" w:rsidRPr="005B35F4" w:rsidRDefault="004E2F51" w:rsidP="00E032FC">
            <w:pPr>
              <w:spacing w:line="240" w:lineRule="exact"/>
              <w:jc w:val="right"/>
              <w:outlineLvl w:val="0"/>
              <w:rPr>
                <w:rFonts w:ascii="Arial" w:hAnsi="Arial" w:cs="Arial"/>
                <w:color w:val="000000" w:themeColor="text1"/>
                <w:spacing w:val="-2"/>
                <w:sz w:val="17"/>
                <w:szCs w:val="17"/>
                <w:lang w:val="hr-HR"/>
              </w:rPr>
            </w:pPr>
          </w:p>
        </w:tc>
        <w:tc>
          <w:tcPr>
            <w:tcW w:w="546" w:type="pct"/>
            <w:vAlign w:val="bottom"/>
          </w:tcPr>
          <w:p w14:paraId="3C15EC68" w14:textId="77777777" w:rsidR="004E2F51" w:rsidRPr="005B35F4" w:rsidRDefault="004E2F51" w:rsidP="00E032FC">
            <w:pPr>
              <w:spacing w:line="240" w:lineRule="exact"/>
              <w:jc w:val="right"/>
              <w:outlineLvl w:val="0"/>
              <w:rPr>
                <w:rFonts w:ascii="Arial" w:hAnsi="Arial" w:cs="Arial"/>
                <w:color w:val="000000" w:themeColor="text1"/>
                <w:spacing w:val="-2"/>
                <w:sz w:val="17"/>
                <w:szCs w:val="17"/>
                <w:lang w:val="hr-HR"/>
              </w:rPr>
            </w:pPr>
          </w:p>
        </w:tc>
        <w:tc>
          <w:tcPr>
            <w:tcW w:w="572" w:type="pct"/>
            <w:vAlign w:val="bottom"/>
          </w:tcPr>
          <w:p w14:paraId="301B2208" w14:textId="77777777" w:rsidR="004E2F51" w:rsidRPr="005B35F4" w:rsidRDefault="004E2F51" w:rsidP="00E032FC">
            <w:pPr>
              <w:spacing w:line="240" w:lineRule="exact"/>
              <w:jc w:val="right"/>
              <w:outlineLvl w:val="0"/>
              <w:rPr>
                <w:rFonts w:ascii="Arial" w:hAnsi="Arial" w:cs="Arial"/>
                <w:color w:val="000000" w:themeColor="text1"/>
                <w:spacing w:val="-2"/>
                <w:sz w:val="17"/>
                <w:szCs w:val="17"/>
                <w:lang w:val="hr-HR"/>
              </w:rPr>
            </w:pPr>
          </w:p>
        </w:tc>
        <w:tc>
          <w:tcPr>
            <w:tcW w:w="570" w:type="pct"/>
            <w:vAlign w:val="bottom"/>
          </w:tcPr>
          <w:p w14:paraId="1BF554FD" w14:textId="77777777" w:rsidR="004E2F51" w:rsidRPr="005B35F4" w:rsidRDefault="004E2F51" w:rsidP="00E032FC">
            <w:pPr>
              <w:spacing w:line="240" w:lineRule="exact"/>
              <w:jc w:val="right"/>
              <w:outlineLvl w:val="0"/>
              <w:rPr>
                <w:rFonts w:ascii="Arial" w:hAnsi="Arial" w:cs="Arial"/>
                <w:color w:val="000000" w:themeColor="text1"/>
                <w:spacing w:val="-2"/>
                <w:sz w:val="17"/>
                <w:szCs w:val="17"/>
                <w:lang w:val="hr-HR"/>
              </w:rPr>
            </w:pPr>
          </w:p>
        </w:tc>
        <w:tc>
          <w:tcPr>
            <w:tcW w:w="640" w:type="pct"/>
            <w:vAlign w:val="bottom"/>
          </w:tcPr>
          <w:p w14:paraId="2DCA3DB6" w14:textId="77777777" w:rsidR="004E2F51" w:rsidRPr="005B35F4" w:rsidRDefault="004E2F51" w:rsidP="00E032FC">
            <w:pPr>
              <w:spacing w:line="240" w:lineRule="exact"/>
              <w:jc w:val="right"/>
              <w:outlineLvl w:val="0"/>
              <w:rPr>
                <w:rFonts w:ascii="Arial" w:hAnsi="Arial" w:cs="Arial"/>
                <w:color w:val="000000" w:themeColor="text1"/>
                <w:spacing w:val="-2"/>
                <w:sz w:val="17"/>
                <w:szCs w:val="17"/>
                <w:lang w:val="hr-HR"/>
              </w:rPr>
            </w:pPr>
          </w:p>
        </w:tc>
        <w:tc>
          <w:tcPr>
            <w:tcW w:w="604" w:type="pct"/>
            <w:vAlign w:val="bottom"/>
          </w:tcPr>
          <w:p w14:paraId="42AE33C0" w14:textId="77777777" w:rsidR="004E2F51" w:rsidRPr="005B35F4" w:rsidRDefault="004E2F51" w:rsidP="00E032FC">
            <w:pPr>
              <w:spacing w:line="240" w:lineRule="exact"/>
              <w:jc w:val="right"/>
              <w:outlineLvl w:val="0"/>
              <w:rPr>
                <w:rFonts w:ascii="Arial" w:hAnsi="Arial" w:cs="Arial"/>
                <w:color w:val="000000" w:themeColor="text1"/>
                <w:spacing w:val="-2"/>
                <w:sz w:val="17"/>
                <w:szCs w:val="17"/>
                <w:lang w:val="hr-HR"/>
              </w:rPr>
            </w:pPr>
          </w:p>
        </w:tc>
      </w:tr>
      <w:tr w:rsidR="004E2F51" w:rsidRPr="005B35F4" w14:paraId="7F21B1F6" w14:textId="77777777" w:rsidTr="00E032FC">
        <w:trPr>
          <w:trHeight w:val="152"/>
        </w:trPr>
        <w:tc>
          <w:tcPr>
            <w:tcW w:w="1518" w:type="pct"/>
            <w:vAlign w:val="bottom"/>
          </w:tcPr>
          <w:p w14:paraId="2C7CA72E"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Obveze po depozitima</w:t>
            </w:r>
          </w:p>
        </w:tc>
        <w:tc>
          <w:tcPr>
            <w:tcW w:w="551" w:type="pct"/>
            <w:tcBorders>
              <w:top w:val="nil"/>
              <w:left w:val="nil"/>
              <w:bottom w:val="nil"/>
              <w:right w:val="nil"/>
            </w:tcBorders>
            <w:shd w:val="clear" w:color="auto" w:fill="auto"/>
            <w:vAlign w:val="bottom"/>
          </w:tcPr>
          <w:p w14:paraId="45266701"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622.284 </w:t>
            </w:r>
          </w:p>
        </w:tc>
        <w:tc>
          <w:tcPr>
            <w:tcW w:w="546" w:type="pct"/>
            <w:tcBorders>
              <w:top w:val="nil"/>
              <w:left w:val="nil"/>
              <w:bottom w:val="nil"/>
              <w:right w:val="nil"/>
            </w:tcBorders>
            <w:shd w:val="clear" w:color="auto" w:fill="auto"/>
            <w:vAlign w:val="bottom"/>
          </w:tcPr>
          <w:p w14:paraId="6D4A5C4A"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22.169 </w:t>
            </w:r>
          </w:p>
        </w:tc>
        <w:tc>
          <w:tcPr>
            <w:tcW w:w="572" w:type="pct"/>
            <w:tcBorders>
              <w:top w:val="nil"/>
              <w:left w:val="nil"/>
              <w:bottom w:val="nil"/>
              <w:right w:val="nil"/>
            </w:tcBorders>
            <w:shd w:val="clear" w:color="auto" w:fill="auto"/>
            <w:vAlign w:val="bottom"/>
          </w:tcPr>
          <w:p w14:paraId="58C3754C"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105.183 </w:t>
            </w:r>
          </w:p>
        </w:tc>
        <w:tc>
          <w:tcPr>
            <w:tcW w:w="570" w:type="pct"/>
            <w:tcBorders>
              <w:top w:val="nil"/>
              <w:left w:val="nil"/>
              <w:bottom w:val="nil"/>
              <w:right w:val="nil"/>
            </w:tcBorders>
            <w:shd w:val="clear" w:color="auto" w:fill="auto"/>
            <w:vAlign w:val="bottom"/>
          </w:tcPr>
          <w:p w14:paraId="5D77CC89"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95.453 </w:t>
            </w:r>
          </w:p>
        </w:tc>
        <w:tc>
          <w:tcPr>
            <w:tcW w:w="640" w:type="pct"/>
            <w:tcBorders>
              <w:top w:val="nil"/>
              <w:left w:val="nil"/>
              <w:bottom w:val="nil"/>
              <w:right w:val="nil"/>
            </w:tcBorders>
            <w:shd w:val="clear" w:color="auto" w:fill="auto"/>
            <w:vAlign w:val="bottom"/>
          </w:tcPr>
          <w:p w14:paraId="57EE7B23"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115.452 </w:t>
            </w:r>
          </w:p>
        </w:tc>
        <w:tc>
          <w:tcPr>
            <w:tcW w:w="604" w:type="pct"/>
            <w:tcBorders>
              <w:top w:val="nil"/>
              <w:left w:val="nil"/>
              <w:bottom w:val="nil"/>
              <w:right w:val="nil"/>
            </w:tcBorders>
            <w:shd w:val="clear" w:color="auto" w:fill="auto"/>
            <w:vAlign w:val="bottom"/>
          </w:tcPr>
          <w:p w14:paraId="72F6BF9C"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960.541</w:t>
            </w:r>
          </w:p>
        </w:tc>
      </w:tr>
      <w:tr w:rsidR="004E2F51" w:rsidRPr="005B35F4" w14:paraId="54C62AC6" w14:textId="77777777" w:rsidTr="00E032FC">
        <w:trPr>
          <w:trHeight w:val="80"/>
        </w:trPr>
        <w:tc>
          <w:tcPr>
            <w:tcW w:w="1518" w:type="pct"/>
            <w:vAlign w:val="bottom"/>
          </w:tcPr>
          <w:p w14:paraId="4AB538F5"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Obveze po kreditima</w:t>
            </w:r>
          </w:p>
        </w:tc>
        <w:tc>
          <w:tcPr>
            <w:tcW w:w="551" w:type="pct"/>
            <w:tcBorders>
              <w:top w:val="nil"/>
              <w:left w:val="nil"/>
              <w:bottom w:val="nil"/>
              <w:right w:val="nil"/>
            </w:tcBorders>
            <w:shd w:val="clear" w:color="auto" w:fill="auto"/>
            <w:vAlign w:val="bottom"/>
          </w:tcPr>
          <w:p w14:paraId="2556DBF5"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244.301 </w:t>
            </w:r>
          </w:p>
        </w:tc>
        <w:tc>
          <w:tcPr>
            <w:tcW w:w="546" w:type="pct"/>
            <w:tcBorders>
              <w:top w:val="nil"/>
              <w:left w:val="nil"/>
              <w:bottom w:val="nil"/>
              <w:right w:val="nil"/>
            </w:tcBorders>
            <w:shd w:val="clear" w:color="auto" w:fill="auto"/>
            <w:vAlign w:val="bottom"/>
          </w:tcPr>
          <w:p w14:paraId="10410E63"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333.934** </w:t>
            </w:r>
          </w:p>
        </w:tc>
        <w:tc>
          <w:tcPr>
            <w:tcW w:w="572" w:type="pct"/>
            <w:tcBorders>
              <w:top w:val="nil"/>
              <w:left w:val="nil"/>
              <w:bottom w:val="nil"/>
              <w:right w:val="nil"/>
            </w:tcBorders>
            <w:shd w:val="clear" w:color="auto" w:fill="auto"/>
            <w:vAlign w:val="bottom"/>
          </w:tcPr>
          <w:p w14:paraId="2AD1B14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1.807.992 </w:t>
            </w:r>
          </w:p>
        </w:tc>
        <w:tc>
          <w:tcPr>
            <w:tcW w:w="570" w:type="pct"/>
            <w:tcBorders>
              <w:top w:val="nil"/>
              <w:left w:val="nil"/>
              <w:bottom w:val="nil"/>
              <w:right w:val="nil"/>
            </w:tcBorders>
            <w:shd w:val="clear" w:color="auto" w:fill="auto"/>
            <w:vAlign w:val="bottom"/>
          </w:tcPr>
          <w:p w14:paraId="498AA4F1"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5.777.582 </w:t>
            </w:r>
          </w:p>
        </w:tc>
        <w:tc>
          <w:tcPr>
            <w:tcW w:w="640" w:type="pct"/>
            <w:tcBorders>
              <w:top w:val="nil"/>
              <w:left w:val="nil"/>
              <w:bottom w:val="nil"/>
              <w:right w:val="nil"/>
            </w:tcBorders>
            <w:shd w:val="clear" w:color="auto" w:fill="auto"/>
            <w:vAlign w:val="bottom"/>
          </w:tcPr>
          <w:p w14:paraId="66E69B92"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7.951.428 </w:t>
            </w:r>
          </w:p>
        </w:tc>
        <w:tc>
          <w:tcPr>
            <w:tcW w:w="604" w:type="pct"/>
            <w:tcBorders>
              <w:top w:val="nil"/>
              <w:left w:val="nil"/>
              <w:bottom w:val="nil"/>
              <w:right w:val="nil"/>
            </w:tcBorders>
            <w:shd w:val="clear" w:color="auto" w:fill="auto"/>
            <w:vAlign w:val="bottom"/>
          </w:tcPr>
          <w:p w14:paraId="37EB3111"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16.115.237</w:t>
            </w:r>
          </w:p>
        </w:tc>
      </w:tr>
      <w:tr w:rsidR="004E2F51" w:rsidRPr="005B35F4" w14:paraId="2406DE92" w14:textId="77777777" w:rsidTr="00E032FC">
        <w:trPr>
          <w:trHeight w:val="293"/>
        </w:trPr>
        <w:tc>
          <w:tcPr>
            <w:tcW w:w="1518" w:type="pct"/>
            <w:vAlign w:val="bottom"/>
          </w:tcPr>
          <w:p w14:paraId="5163C05A" w14:textId="77777777" w:rsidR="004E2F51" w:rsidRPr="005B35F4" w:rsidRDefault="004E2F51" w:rsidP="00E032FC">
            <w:pPr>
              <w:tabs>
                <w:tab w:val="right" w:pos="1202"/>
              </w:tabs>
              <w:spacing w:line="240" w:lineRule="exact"/>
              <w:outlineLvl w:val="0"/>
              <w:rPr>
                <w:rFonts w:ascii="Arial" w:hAnsi="Arial" w:cs="Arial"/>
                <w:color w:val="000000" w:themeColor="text1"/>
                <w:spacing w:val="-2"/>
                <w:sz w:val="17"/>
                <w:szCs w:val="17"/>
                <w:lang w:val="hr-HR"/>
              </w:rPr>
            </w:pPr>
            <w:r w:rsidRPr="005B35F4">
              <w:rPr>
                <w:rFonts w:ascii="Arial" w:hAnsi="Arial" w:cs="Arial"/>
                <w:color w:val="000000" w:themeColor="text1"/>
                <w:spacing w:val="-2"/>
                <w:sz w:val="17"/>
                <w:szCs w:val="17"/>
                <w:lang w:val="hr-HR"/>
              </w:rPr>
              <w:t>Rezerviranja za garancije, preuzete i ostale obveze</w:t>
            </w:r>
          </w:p>
        </w:tc>
        <w:tc>
          <w:tcPr>
            <w:tcW w:w="551" w:type="pct"/>
            <w:tcBorders>
              <w:top w:val="nil"/>
              <w:left w:val="nil"/>
              <w:bottom w:val="nil"/>
              <w:right w:val="nil"/>
            </w:tcBorders>
            <w:shd w:val="clear" w:color="auto" w:fill="auto"/>
            <w:vAlign w:val="bottom"/>
          </w:tcPr>
          <w:p w14:paraId="7AD70F0A" w14:textId="77777777" w:rsidR="004E2F51" w:rsidRPr="005B35F4" w:rsidDel="00F864B4" w:rsidRDefault="004E2F51" w:rsidP="00E032FC">
            <w:pPr>
              <w:jc w:val="right"/>
              <w:rPr>
                <w:rFonts w:ascii="Arial" w:hAnsi="Arial" w:cs="Arial"/>
                <w:color w:val="000000"/>
                <w:sz w:val="17"/>
                <w:szCs w:val="17"/>
              </w:rPr>
            </w:pPr>
            <w:r w:rsidRPr="005B35F4">
              <w:rPr>
                <w:rFonts w:ascii="Arial" w:hAnsi="Arial" w:cs="Arial"/>
                <w:color w:val="000000"/>
                <w:sz w:val="17"/>
                <w:szCs w:val="17"/>
                <w:lang w:val="it-IT"/>
              </w:rPr>
              <w:t xml:space="preserve"> </w:t>
            </w:r>
            <w:r w:rsidRPr="005B35F4">
              <w:rPr>
                <w:rFonts w:ascii="Arial" w:hAnsi="Arial" w:cs="Arial"/>
                <w:color w:val="000000"/>
                <w:sz w:val="17"/>
                <w:szCs w:val="17"/>
              </w:rPr>
              <w:t xml:space="preserve">105.893 </w:t>
            </w:r>
          </w:p>
        </w:tc>
        <w:tc>
          <w:tcPr>
            <w:tcW w:w="546" w:type="pct"/>
            <w:tcBorders>
              <w:top w:val="nil"/>
              <w:left w:val="nil"/>
              <w:bottom w:val="nil"/>
              <w:right w:val="nil"/>
            </w:tcBorders>
            <w:shd w:val="clear" w:color="auto" w:fill="auto"/>
            <w:vAlign w:val="bottom"/>
          </w:tcPr>
          <w:p w14:paraId="2768E460" w14:textId="77777777" w:rsidR="004E2F51" w:rsidRPr="005B35F4" w:rsidDel="00F864B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5.962 </w:t>
            </w:r>
          </w:p>
        </w:tc>
        <w:tc>
          <w:tcPr>
            <w:tcW w:w="572" w:type="pct"/>
            <w:tcBorders>
              <w:top w:val="nil"/>
              <w:left w:val="nil"/>
              <w:bottom w:val="nil"/>
              <w:right w:val="nil"/>
            </w:tcBorders>
            <w:shd w:val="clear" w:color="auto" w:fill="auto"/>
            <w:vAlign w:val="bottom"/>
          </w:tcPr>
          <w:p w14:paraId="7E0E0685" w14:textId="77777777" w:rsidR="004E2F51" w:rsidRPr="005B35F4" w:rsidDel="00F864B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19.815 </w:t>
            </w:r>
          </w:p>
        </w:tc>
        <w:tc>
          <w:tcPr>
            <w:tcW w:w="570" w:type="pct"/>
            <w:tcBorders>
              <w:top w:val="nil"/>
              <w:left w:val="nil"/>
              <w:bottom w:val="nil"/>
              <w:right w:val="nil"/>
            </w:tcBorders>
            <w:shd w:val="clear" w:color="auto" w:fill="auto"/>
            <w:vAlign w:val="bottom"/>
          </w:tcPr>
          <w:p w14:paraId="7B1D1FBD" w14:textId="77777777" w:rsidR="004E2F51" w:rsidRPr="005B35F4" w:rsidDel="00F864B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30.577 </w:t>
            </w:r>
          </w:p>
        </w:tc>
        <w:tc>
          <w:tcPr>
            <w:tcW w:w="640" w:type="pct"/>
            <w:tcBorders>
              <w:top w:val="nil"/>
              <w:left w:val="nil"/>
              <w:bottom w:val="nil"/>
              <w:right w:val="nil"/>
            </w:tcBorders>
            <w:shd w:val="clear" w:color="auto" w:fill="auto"/>
            <w:vAlign w:val="bottom"/>
          </w:tcPr>
          <w:p w14:paraId="27578694" w14:textId="77777777" w:rsidR="004E2F51" w:rsidRPr="005B35F4" w:rsidDel="00F864B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28.056 </w:t>
            </w:r>
          </w:p>
        </w:tc>
        <w:tc>
          <w:tcPr>
            <w:tcW w:w="604" w:type="pct"/>
            <w:tcBorders>
              <w:top w:val="nil"/>
              <w:left w:val="nil"/>
              <w:bottom w:val="nil"/>
              <w:right w:val="nil"/>
            </w:tcBorders>
            <w:shd w:val="clear" w:color="auto" w:fill="auto"/>
            <w:vAlign w:val="bottom"/>
          </w:tcPr>
          <w:p w14:paraId="63D2AB6A" w14:textId="77777777" w:rsidR="004E2F51" w:rsidRPr="005B35F4" w:rsidDel="00F864B4" w:rsidRDefault="004E2F51" w:rsidP="00E032FC">
            <w:pPr>
              <w:jc w:val="right"/>
              <w:rPr>
                <w:rFonts w:ascii="Arial" w:hAnsi="Arial" w:cs="Arial"/>
                <w:color w:val="000000"/>
                <w:sz w:val="17"/>
                <w:szCs w:val="17"/>
              </w:rPr>
            </w:pPr>
            <w:r w:rsidRPr="005B35F4">
              <w:rPr>
                <w:rFonts w:ascii="Arial" w:hAnsi="Arial" w:cs="Arial"/>
                <w:color w:val="000000"/>
                <w:sz w:val="17"/>
                <w:szCs w:val="17"/>
              </w:rPr>
              <w:t>190.303</w:t>
            </w:r>
          </w:p>
        </w:tc>
      </w:tr>
      <w:tr w:rsidR="004E2F51" w:rsidRPr="005B35F4" w14:paraId="7FF968B3" w14:textId="77777777" w:rsidTr="00E032FC">
        <w:trPr>
          <w:trHeight w:val="137"/>
        </w:trPr>
        <w:tc>
          <w:tcPr>
            <w:tcW w:w="1518" w:type="pct"/>
            <w:vAlign w:val="bottom"/>
          </w:tcPr>
          <w:p w14:paraId="36955172"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pacing w:val="-2"/>
                <w:sz w:val="17"/>
                <w:szCs w:val="17"/>
                <w:lang w:val="hr-HR"/>
              </w:rPr>
              <w:t>Ostale obveze</w:t>
            </w:r>
          </w:p>
        </w:tc>
        <w:tc>
          <w:tcPr>
            <w:tcW w:w="551" w:type="pct"/>
            <w:tcBorders>
              <w:top w:val="nil"/>
              <w:left w:val="nil"/>
              <w:bottom w:val="nil"/>
              <w:right w:val="nil"/>
            </w:tcBorders>
            <w:shd w:val="clear" w:color="auto" w:fill="auto"/>
            <w:vAlign w:val="bottom"/>
          </w:tcPr>
          <w:p w14:paraId="1962440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231.580 </w:t>
            </w:r>
          </w:p>
        </w:tc>
        <w:tc>
          <w:tcPr>
            <w:tcW w:w="546" w:type="pct"/>
            <w:tcBorders>
              <w:top w:val="nil"/>
              <w:left w:val="nil"/>
              <w:bottom w:val="nil"/>
              <w:right w:val="nil"/>
            </w:tcBorders>
            <w:shd w:val="clear" w:color="auto" w:fill="auto"/>
            <w:vAlign w:val="bottom"/>
          </w:tcPr>
          <w:p w14:paraId="69D9850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13.038 </w:t>
            </w:r>
          </w:p>
        </w:tc>
        <w:tc>
          <w:tcPr>
            <w:tcW w:w="572" w:type="pct"/>
            <w:tcBorders>
              <w:top w:val="nil"/>
              <w:left w:val="nil"/>
              <w:bottom w:val="nil"/>
              <w:right w:val="nil"/>
            </w:tcBorders>
            <w:shd w:val="clear" w:color="auto" w:fill="auto"/>
            <w:vAlign w:val="bottom"/>
          </w:tcPr>
          <w:p w14:paraId="58D25E39"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43.334 </w:t>
            </w:r>
          </w:p>
        </w:tc>
        <w:tc>
          <w:tcPr>
            <w:tcW w:w="570" w:type="pct"/>
            <w:tcBorders>
              <w:top w:val="nil"/>
              <w:left w:val="nil"/>
              <w:bottom w:val="nil"/>
              <w:right w:val="nil"/>
            </w:tcBorders>
            <w:shd w:val="clear" w:color="auto" w:fill="auto"/>
            <w:vAlign w:val="bottom"/>
          </w:tcPr>
          <w:p w14:paraId="19759F61"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66.870 </w:t>
            </w:r>
          </w:p>
        </w:tc>
        <w:tc>
          <w:tcPr>
            <w:tcW w:w="640" w:type="pct"/>
            <w:tcBorders>
              <w:top w:val="nil"/>
              <w:left w:val="nil"/>
              <w:bottom w:val="nil"/>
              <w:right w:val="nil"/>
            </w:tcBorders>
            <w:shd w:val="clear" w:color="auto" w:fill="auto"/>
            <w:vAlign w:val="bottom"/>
          </w:tcPr>
          <w:p w14:paraId="50700A9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61.356 </w:t>
            </w:r>
          </w:p>
        </w:tc>
        <w:tc>
          <w:tcPr>
            <w:tcW w:w="604" w:type="pct"/>
            <w:tcBorders>
              <w:top w:val="nil"/>
              <w:left w:val="nil"/>
              <w:bottom w:val="nil"/>
              <w:right w:val="nil"/>
            </w:tcBorders>
            <w:shd w:val="clear" w:color="auto" w:fill="auto"/>
            <w:vAlign w:val="bottom"/>
          </w:tcPr>
          <w:p w14:paraId="7552AE6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416.178</w:t>
            </w:r>
          </w:p>
        </w:tc>
      </w:tr>
      <w:tr w:rsidR="004E2F51" w:rsidRPr="005B35F4" w14:paraId="153F65F0" w14:textId="77777777" w:rsidTr="00E032FC">
        <w:trPr>
          <w:trHeight w:val="145"/>
        </w:trPr>
        <w:tc>
          <w:tcPr>
            <w:tcW w:w="1518" w:type="pct"/>
          </w:tcPr>
          <w:p w14:paraId="1E329FBA" w14:textId="77777777" w:rsidR="004E2F51" w:rsidRPr="005B35F4" w:rsidRDefault="004E2F51" w:rsidP="00E032FC">
            <w:pPr>
              <w:tabs>
                <w:tab w:val="right" w:pos="1202"/>
              </w:tabs>
              <w:spacing w:line="240" w:lineRule="exact"/>
              <w:outlineLvl w:val="0"/>
              <w:rPr>
                <w:rFonts w:ascii="Arial" w:hAnsi="Arial" w:cs="Arial"/>
                <w:b/>
                <w:bCs/>
                <w:color w:val="000000" w:themeColor="text1"/>
                <w:sz w:val="17"/>
                <w:szCs w:val="17"/>
                <w:lang w:val="hr-HR"/>
              </w:rPr>
            </w:pPr>
            <w:r w:rsidRPr="005B35F4">
              <w:rPr>
                <w:rFonts w:ascii="Arial" w:hAnsi="Arial" w:cs="Arial"/>
                <w:b/>
                <w:bCs/>
                <w:color w:val="000000" w:themeColor="text1"/>
                <w:sz w:val="17"/>
                <w:szCs w:val="17"/>
                <w:lang w:val="hr-HR"/>
              </w:rPr>
              <w:t>Ukupne obveze</w:t>
            </w:r>
          </w:p>
        </w:tc>
        <w:tc>
          <w:tcPr>
            <w:tcW w:w="551" w:type="pct"/>
            <w:tcBorders>
              <w:top w:val="single" w:sz="8" w:space="0" w:color="auto"/>
              <w:left w:val="nil"/>
              <w:bottom w:val="single" w:sz="8" w:space="0" w:color="auto"/>
              <w:right w:val="nil"/>
            </w:tcBorders>
            <w:shd w:val="clear" w:color="auto" w:fill="auto"/>
            <w:vAlign w:val="bottom"/>
          </w:tcPr>
          <w:p w14:paraId="1726706C"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1.204.058</w:t>
            </w:r>
          </w:p>
        </w:tc>
        <w:tc>
          <w:tcPr>
            <w:tcW w:w="546" w:type="pct"/>
            <w:tcBorders>
              <w:top w:val="single" w:sz="8" w:space="0" w:color="auto"/>
              <w:left w:val="nil"/>
              <w:bottom w:val="single" w:sz="8" w:space="0" w:color="auto"/>
              <w:right w:val="nil"/>
            </w:tcBorders>
            <w:shd w:val="clear" w:color="auto" w:fill="auto"/>
            <w:vAlign w:val="bottom"/>
          </w:tcPr>
          <w:p w14:paraId="38B3AE82"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375.103</w:t>
            </w:r>
          </w:p>
        </w:tc>
        <w:tc>
          <w:tcPr>
            <w:tcW w:w="572" w:type="pct"/>
            <w:tcBorders>
              <w:top w:val="single" w:sz="8" w:space="0" w:color="auto"/>
              <w:left w:val="nil"/>
              <w:bottom w:val="single" w:sz="8" w:space="0" w:color="auto"/>
              <w:right w:val="nil"/>
            </w:tcBorders>
            <w:shd w:val="clear" w:color="auto" w:fill="auto"/>
            <w:vAlign w:val="bottom"/>
          </w:tcPr>
          <w:p w14:paraId="603A91CF"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1.976.324</w:t>
            </w:r>
          </w:p>
        </w:tc>
        <w:tc>
          <w:tcPr>
            <w:tcW w:w="570" w:type="pct"/>
            <w:tcBorders>
              <w:top w:val="single" w:sz="8" w:space="0" w:color="auto"/>
              <w:left w:val="nil"/>
              <w:bottom w:val="single" w:sz="8" w:space="0" w:color="auto"/>
              <w:right w:val="nil"/>
            </w:tcBorders>
            <w:shd w:val="clear" w:color="auto" w:fill="auto"/>
            <w:vAlign w:val="bottom"/>
          </w:tcPr>
          <w:p w14:paraId="41F89135"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5.970.482</w:t>
            </w:r>
          </w:p>
        </w:tc>
        <w:tc>
          <w:tcPr>
            <w:tcW w:w="640" w:type="pct"/>
            <w:tcBorders>
              <w:top w:val="single" w:sz="8" w:space="0" w:color="auto"/>
              <w:left w:val="nil"/>
              <w:bottom w:val="single" w:sz="8" w:space="0" w:color="auto"/>
              <w:right w:val="nil"/>
            </w:tcBorders>
            <w:shd w:val="clear" w:color="auto" w:fill="auto"/>
            <w:vAlign w:val="bottom"/>
          </w:tcPr>
          <w:p w14:paraId="77E78461"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8.156.292</w:t>
            </w:r>
          </w:p>
        </w:tc>
        <w:tc>
          <w:tcPr>
            <w:tcW w:w="604" w:type="pct"/>
            <w:tcBorders>
              <w:top w:val="single" w:sz="8" w:space="0" w:color="auto"/>
              <w:left w:val="nil"/>
              <w:bottom w:val="single" w:sz="8" w:space="0" w:color="auto"/>
              <w:right w:val="nil"/>
            </w:tcBorders>
            <w:shd w:val="clear" w:color="auto" w:fill="auto"/>
            <w:vAlign w:val="bottom"/>
          </w:tcPr>
          <w:p w14:paraId="07CE6D2F"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17.682.259</w:t>
            </w:r>
          </w:p>
        </w:tc>
      </w:tr>
      <w:tr w:rsidR="004E2F51" w:rsidRPr="005B35F4" w14:paraId="08BD757D" w14:textId="77777777" w:rsidTr="00E032FC">
        <w:trPr>
          <w:trHeight w:val="71"/>
        </w:trPr>
        <w:tc>
          <w:tcPr>
            <w:tcW w:w="1518" w:type="pct"/>
          </w:tcPr>
          <w:p w14:paraId="3C367511" w14:textId="77777777" w:rsidR="004E2F51" w:rsidRPr="005B35F4" w:rsidRDefault="004E2F51" w:rsidP="00E032FC">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b/>
                <w:bCs/>
                <w:color w:val="000000" w:themeColor="text1"/>
                <w:spacing w:val="-2"/>
                <w:sz w:val="17"/>
                <w:szCs w:val="17"/>
                <w:lang w:val="hr-HR"/>
              </w:rPr>
              <w:t>Likvidnosni jaz</w:t>
            </w:r>
          </w:p>
        </w:tc>
        <w:tc>
          <w:tcPr>
            <w:tcW w:w="551" w:type="pct"/>
            <w:tcBorders>
              <w:top w:val="single" w:sz="12" w:space="0" w:color="auto"/>
              <w:left w:val="nil"/>
              <w:bottom w:val="single" w:sz="12" w:space="0" w:color="auto"/>
              <w:right w:val="nil"/>
            </w:tcBorders>
            <w:shd w:val="clear" w:color="auto" w:fill="auto"/>
            <w:vAlign w:val="bottom"/>
          </w:tcPr>
          <w:p w14:paraId="1035CE97"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5.907.600</w:t>
            </w:r>
          </w:p>
        </w:tc>
        <w:tc>
          <w:tcPr>
            <w:tcW w:w="546" w:type="pct"/>
            <w:tcBorders>
              <w:top w:val="single" w:sz="12" w:space="0" w:color="auto"/>
              <w:left w:val="nil"/>
              <w:bottom w:val="single" w:sz="12" w:space="0" w:color="auto"/>
              <w:right w:val="nil"/>
            </w:tcBorders>
            <w:shd w:val="clear" w:color="auto" w:fill="auto"/>
            <w:vAlign w:val="bottom"/>
          </w:tcPr>
          <w:p w14:paraId="7B434048"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171.357</w:t>
            </w:r>
          </w:p>
        </w:tc>
        <w:tc>
          <w:tcPr>
            <w:tcW w:w="572" w:type="pct"/>
            <w:tcBorders>
              <w:top w:val="single" w:sz="12" w:space="0" w:color="auto"/>
              <w:left w:val="nil"/>
              <w:bottom w:val="single" w:sz="12" w:space="0" w:color="auto"/>
              <w:right w:val="nil"/>
            </w:tcBorders>
            <w:shd w:val="clear" w:color="auto" w:fill="auto"/>
            <w:vAlign w:val="bottom"/>
          </w:tcPr>
          <w:p w14:paraId="5E060AA8"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(24.173)</w:t>
            </w:r>
          </w:p>
        </w:tc>
        <w:tc>
          <w:tcPr>
            <w:tcW w:w="570" w:type="pct"/>
            <w:tcBorders>
              <w:top w:val="single" w:sz="12" w:space="0" w:color="auto"/>
              <w:left w:val="nil"/>
              <w:bottom w:val="single" w:sz="12" w:space="0" w:color="auto"/>
              <w:right w:val="nil"/>
            </w:tcBorders>
            <w:shd w:val="clear" w:color="auto" w:fill="auto"/>
            <w:vAlign w:val="bottom"/>
          </w:tcPr>
          <w:p w14:paraId="28D3BCA7"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(832.276)</w:t>
            </w:r>
          </w:p>
        </w:tc>
        <w:tc>
          <w:tcPr>
            <w:tcW w:w="640" w:type="pct"/>
            <w:tcBorders>
              <w:top w:val="single" w:sz="12" w:space="0" w:color="auto"/>
              <w:left w:val="nil"/>
              <w:bottom w:val="single" w:sz="12" w:space="0" w:color="auto"/>
              <w:right w:val="nil"/>
            </w:tcBorders>
            <w:shd w:val="clear" w:color="auto" w:fill="auto"/>
            <w:vAlign w:val="bottom"/>
          </w:tcPr>
          <w:p w14:paraId="5DF9228A"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5.345.221</w:t>
            </w:r>
          </w:p>
        </w:tc>
        <w:tc>
          <w:tcPr>
            <w:tcW w:w="604" w:type="pct"/>
            <w:tcBorders>
              <w:top w:val="single" w:sz="12" w:space="0" w:color="auto"/>
              <w:left w:val="nil"/>
              <w:bottom w:val="single" w:sz="12" w:space="0" w:color="auto"/>
              <w:right w:val="nil"/>
            </w:tcBorders>
            <w:shd w:val="clear" w:color="auto" w:fill="auto"/>
            <w:vAlign w:val="bottom"/>
          </w:tcPr>
          <w:p w14:paraId="39AEFA19"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10.567.729</w:t>
            </w:r>
          </w:p>
        </w:tc>
      </w:tr>
      <w:tr w:rsidR="004E2F51" w:rsidRPr="005B35F4" w14:paraId="6A98B456" w14:textId="77777777" w:rsidTr="00E032FC">
        <w:trPr>
          <w:trHeight w:hRule="exact" w:val="219"/>
        </w:trPr>
        <w:tc>
          <w:tcPr>
            <w:tcW w:w="1518" w:type="pct"/>
            <w:vAlign w:val="bottom"/>
          </w:tcPr>
          <w:p w14:paraId="6750FF2B" w14:textId="77777777" w:rsidR="004E2F51" w:rsidRPr="005B35F4" w:rsidRDefault="004E2F51" w:rsidP="00E032FC">
            <w:pPr>
              <w:tabs>
                <w:tab w:val="right" w:pos="1202"/>
              </w:tabs>
              <w:spacing w:line="240" w:lineRule="exact"/>
              <w:outlineLvl w:val="0"/>
              <w:rPr>
                <w:rFonts w:ascii="Arial" w:hAnsi="Arial" w:cs="Arial"/>
                <w:b/>
                <w:bCs/>
                <w:color w:val="000000" w:themeColor="text1"/>
                <w:spacing w:val="-2"/>
                <w:sz w:val="17"/>
                <w:szCs w:val="17"/>
                <w:lang w:val="hr-HR"/>
              </w:rPr>
            </w:pPr>
          </w:p>
        </w:tc>
        <w:tc>
          <w:tcPr>
            <w:tcW w:w="551" w:type="pct"/>
            <w:tcBorders>
              <w:top w:val="single" w:sz="12" w:space="0" w:color="auto"/>
              <w:left w:val="nil"/>
              <w:right w:val="nil"/>
            </w:tcBorders>
            <w:shd w:val="clear" w:color="auto" w:fill="auto"/>
            <w:vAlign w:val="bottom"/>
          </w:tcPr>
          <w:p w14:paraId="295A0EC2" w14:textId="77777777" w:rsidR="004E2F51" w:rsidRPr="005B35F4" w:rsidRDefault="004E2F51" w:rsidP="00E032FC">
            <w:pPr>
              <w:jc w:val="right"/>
              <w:rPr>
                <w:rFonts w:ascii="Arial" w:hAnsi="Arial" w:cs="Arial"/>
                <w:color w:val="000000"/>
                <w:sz w:val="17"/>
                <w:szCs w:val="17"/>
              </w:rPr>
            </w:pPr>
          </w:p>
        </w:tc>
        <w:tc>
          <w:tcPr>
            <w:tcW w:w="546" w:type="pct"/>
            <w:tcBorders>
              <w:top w:val="single" w:sz="12" w:space="0" w:color="auto"/>
              <w:left w:val="nil"/>
              <w:right w:val="nil"/>
            </w:tcBorders>
            <w:shd w:val="clear" w:color="auto" w:fill="auto"/>
            <w:vAlign w:val="bottom"/>
          </w:tcPr>
          <w:p w14:paraId="7EF4DECC" w14:textId="77777777" w:rsidR="004E2F51" w:rsidRPr="005B35F4" w:rsidRDefault="004E2F51" w:rsidP="00E032FC">
            <w:pPr>
              <w:jc w:val="right"/>
              <w:rPr>
                <w:rFonts w:ascii="Arial" w:hAnsi="Arial" w:cs="Arial"/>
                <w:color w:val="000000"/>
                <w:sz w:val="17"/>
                <w:szCs w:val="17"/>
              </w:rPr>
            </w:pPr>
          </w:p>
        </w:tc>
        <w:tc>
          <w:tcPr>
            <w:tcW w:w="572" w:type="pct"/>
            <w:tcBorders>
              <w:top w:val="single" w:sz="12" w:space="0" w:color="auto"/>
              <w:left w:val="nil"/>
              <w:right w:val="nil"/>
            </w:tcBorders>
            <w:shd w:val="clear" w:color="auto" w:fill="auto"/>
            <w:vAlign w:val="bottom"/>
          </w:tcPr>
          <w:p w14:paraId="13142C67" w14:textId="77777777" w:rsidR="004E2F51" w:rsidRPr="005B35F4" w:rsidRDefault="004E2F51" w:rsidP="00E032FC">
            <w:pPr>
              <w:jc w:val="right"/>
              <w:rPr>
                <w:rFonts w:ascii="Arial" w:hAnsi="Arial" w:cs="Arial"/>
                <w:color w:val="000000"/>
                <w:sz w:val="17"/>
                <w:szCs w:val="17"/>
              </w:rPr>
            </w:pPr>
          </w:p>
        </w:tc>
        <w:tc>
          <w:tcPr>
            <w:tcW w:w="570" w:type="pct"/>
            <w:tcBorders>
              <w:top w:val="single" w:sz="12" w:space="0" w:color="auto"/>
              <w:left w:val="nil"/>
              <w:right w:val="nil"/>
            </w:tcBorders>
            <w:shd w:val="clear" w:color="auto" w:fill="auto"/>
            <w:vAlign w:val="bottom"/>
          </w:tcPr>
          <w:p w14:paraId="07F81B4D" w14:textId="77777777" w:rsidR="004E2F51" w:rsidRPr="005B35F4" w:rsidRDefault="004E2F51" w:rsidP="00E032FC">
            <w:pPr>
              <w:jc w:val="right"/>
              <w:rPr>
                <w:rFonts w:ascii="Arial" w:hAnsi="Arial" w:cs="Arial"/>
                <w:color w:val="000000"/>
                <w:sz w:val="17"/>
                <w:szCs w:val="17"/>
              </w:rPr>
            </w:pPr>
          </w:p>
        </w:tc>
        <w:tc>
          <w:tcPr>
            <w:tcW w:w="640" w:type="pct"/>
            <w:tcBorders>
              <w:top w:val="single" w:sz="12" w:space="0" w:color="auto"/>
              <w:left w:val="nil"/>
              <w:right w:val="nil"/>
            </w:tcBorders>
            <w:shd w:val="clear" w:color="auto" w:fill="auto"/>
            <w:vAlign w:val="bottom"/>
          </w:tcPr>
          <w:p w14:paraId="543C0F12" w14:textId="77777777" w:rsidR="004E2F51" w:rsidRPr="005B35F4" w:rsidRDefault="004E2F51" w:rsidP="00E032FC">
            <w:pPr>
              <w:jc w:val="right"/>
              <w:rPr>
                <w:rFonts w:ascii="Arial" w:hAnsi="Arial" w:cs="Arial"/>
                <w:color w:val="000000"/>
                <w:sz w:val="17"/>
                <w:szCs w:val="17"/>
              </w:rPr>
            </w:pPr>
          </w:p>
        </w:tc>
        <w:tc>
          <w:tcPr>
            <w:tcW w:w="604" w:type="pct"/>
            <w:tcBorders>
              <w:top w:val="single" w:sz="12" w:space="0" w:color="auto"/>
              <w:left w:val="nil"/>
              <w:right w:val="nil"/>
            </w:tcBorders>
            <w:shd w:val="clear" w:color="auto" w:fill="auto"/>
            <w:vAlign w:val="bottom"/>
          </w:tcPr>
          <w:p w14:paraId="1F1B04ED" w14:textId="77777777" w:rsidR="004E2F51" w:rsidRPr="005B35F4" w:rsidRDefault="004E2F51" w:rsidP="00E032FC">
            <w:pPr>
              <w:jc w:val="right"/>
              <w:rPr>
                <w:rFonts w:ascii="Arial" w:hAnsi="Arial" w:cs="Arial"/>
                <w:color w:val="000000"/>
                <w:sz w:val="17"/>
                <w:szCs w:val="17"/>
              </w:rPr>
            </w:pPr>
          </w:p>
        </w:tc>
      </w:tr>
      <w:tr w:rsidR="004E2F51" w:rsidRPr="005B35F4" w14:paraId="0E67BE41" w14:textId="77777777" w:rsidTr="00E032FC">
        <w:trPr>
          <w:trHeight w:hRule="exact" w:val="271"/>
        </w:trPr>
        <w:tc>
          <w:tcPr>
            <w:tcW w:w="1518" w:type="pct"/>
            <w:tcBorders>
              <w:top w:val="nil"/>
              <w:left w:val="nil"/>
              <w:bottom w:val="nil"/>
              <w:right w:val="nil"/>
            </w:tcBorders>
            <w:shd w:val="clear" w:color="auto" w:fill="auto"/>
            <w:vAlign w:val="center"/>
          </w:tcPr>
          <w:p w14:paraId="7F4B48F1" w14:textId="77777777" w:rsidR="004E2F51" w:rsidRPr="005B35F4" w:rsidRDefault="004E2F51" w:rsidP="00E032FC">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b/>
                <w:bCs/>
                <w:color w:val="000000" w:themeColor="text1"/>
                <w:sz w:val="17"/>
                <w:szCs w:val="17"/>
                <w:lang w:val="hr-HR"/>
              </w:rPr>
              <w:t>Garancije i preuzete obveze</w:t>
            </w:r>
          </w:p>
        </w:tc>
        <w:tc>
          <w:tcPr>
            <w:tcW w:w="551" w:type="pct"/>
            <w:tcBorders>
              <w:top w:val="nil"/>
              <w:left w:val="nil"/>
              <w:bottom w:val="nil"/>
              <w:right w:val="nil"/>
            </w:tcBorders>
            <w:shd w:val="clear" w:color="auto" w:fill="auto"/>
            <w:vAlign w:val="bottom"/>
          </w:tcPr>
          <w:p w14:paraId="063A2F81" w14:textId="77777777" w:rsidR="004E2F51" w:rsidRPr="005B35F4" w:rsidRDefault="004E2F51" w:rsidP="00E032FC">
            <w:pPr>
              <w:jc w:val="right"/>
              <w:rPr>
                <w:rFonts w:ascii="Arial" w:hAnsi="Arial" w:cs="Arial"/>
                <w:color w:val="000000"/>
                <w:sz w:val="17"/>
                <w:szCs w:val="17"/>
              </w:rPr>
            </w:pPr>
          </w:p>
        </w:tc>
        <w:tc>
          <w:tcPr>
            <w:tcW w:w="546" w:type="pct"/>
            <w:tcBorders>
              <w:top w:val="nil"/>
              <w:left w:val="nil"/>
              <w:bottom w:val="nil"/>
              <w:right w:val="nil"/>
            </w:tcBorders>
            <w:shd w:val="clear" w:color="auto" w:fill="auto"/>
            <w:vAlign w:val="bottom"/>
          </w:tcPr>
          <w:p w14:paraId="013D1559" w14:textId="77777777" w:rsidR="004E2F51" w:rsidRPr="005B35F4" w:rsidRDefault="004E2F51" w:rsidP="00E032FC">
            <w:pPr>
              <w:jc w:val="right"/>
              <w:rPr>
                <w:rFonts w:ascii="Arial" w:hAnsi="Arial" w:cs="Arial"/>
                <w:color w:val="000000"/>
                <w:sz w:val="17"/>
                <w:szCs w:val="17"/>
              </w:rPr>
            </w:pPr>
          </w:p>
        </w:tc>
        <w:tc>
          <w:tcPr>
            <w:tcW w:w="572" w:type="pct"/>
            <w:tcBorders>
              <w:top w:val="nil"/>
              <w:left w:val="nil"/>
              <w:bottom w:val="nil"/>
              <w:right w:val="nil"/>
            </w:tcBorders>
            <w:shd w:val="clear" w:color="auto" w:fill="auto"/>
            <w:vAlign w:val="bottom"/>
          </w:tcPr>
          <w:p w14:paraId="1F68B4A0" w14:textId="77777777" w:rsidR="004E2F51" w:rsidRPr="005B35F4" w:rsidRDefault="004E2F51" w:rsidP="00E032FC">
            <w:pPr>
              <w:jc w:val="right"/>
              <w:rPr>
                <w:rFonts w:ascii="Arial" w:hAnsi="Arial" w:cs="Arial"/>
                <w:color w:val="000000"/>
                <w:sz w:val="17"/>
                <w:szCs w:val="17"/>
              </w:rPr>
            </w:pPr>
          </w:p>
        </w:tc>
        <w:tc>
          <w:tcPr>
            <w:tcW w:w="570" w:type="pct"/>
            <w:tcBorders>
              <w:top w:val="nil"/>
              <w:left w:val="nil"/>
              <w:bottom w:val="nil"/>
              <w:right w:val="nil"/>
            </w:tcBorders>
            <w:shd w:val="clear" w:color="auto" w:fill="auto"/>
            <w:vAlign w:val="bottom"/>
          </w:tcPr>
          <w:p w14:paraId="0EE627EF" w14:textId="77777777" w:rsidR="004E2F51" w:rsidRPr="005B35F4" w:rsidRDefault="004E2F51" w:rsidP="00E032FC">
            <w:pPr>
              <w:jc w:val="right"/>
              <w:rPr>
                <w:rFonts w:ascii="Arial" w:hAnsi="Arial" w:cs="Arial"/>
                <w:color w:val="000000"/>
                <w:sz w:val="17"/>
                <w:szCs w:val="17"/>
              </w:rPr>
            </w:pPr>
          </w:p>
        </w:tc>
        <w:tc>
          <w:tcPr>
            <w:tcW w:w="640" w:type="pct"/>
            <w:tcBorders>
              <w:top w:val="nil"/>
              <w:left w:val="nil"/>
              <w:bottom w:val="nil"/>
              <w:right w:val="nil"/>
            </w:tcBorders>
            <w:shd w:val="clear" w:color="auto" w:fill="auto"/>
            <w:vAlign w:val="bottom"/>
          </w:tcPr>
          <w:p w14:paraId="2E96B795" w14:textId="77777777" w:rsidR="004E2F51" w:rsidRPr="005B35F4" w:rsidRDefault="004E2F51" w:rsidP="00E032FC">
            <w:pPr>
              <w:jc w:val="right"/>
              <w:rPr>
                <w:rFonts w:ascii="Arial" w:hAnsi="Arial" w:cs="Arial"/>
                <w:color w:val="000000"/>
                <w:sz w:val="17"/>
                <w:szCs w:val="17"/>
              </w:rPr>
            </w:pPr>
          </w:p>
        </w:tc>
        <w:tc>
          <w:tcPr>
            <w:tcW w:w="604" w:type="pct"/>
            <w:tcBorders>
              <w:top w:val="nil"/>
              <w:left w:val="nil"/>
              <w:bottom w:val="nil"/>
              <w:right w:val="nil"/>
            </w:tcBorders>
            <w:shd w:val="clear" w:color="auto" w:fill="auto"/>
            <w:vAlign w:val="bottom"/>
          </w:tcPr>
          <w:p w14:paraId="670D905A" w14:textId="77777777" w:rsidR="004E2F51" w:rsidRPr="005B35F4" w:rsidRDefault="004E2F51" w:rsidP="00E032FC">
            <w:pPr>
              <w:jc w:val="right"/>
              <w:rPr>
                <w:rFonts w:ascii="Arial" w:hAnsi="Arial" w:cs="Arial"/>
                <w:color w:val="000000"/>
                <w:sz w:val="17"/>
                <w:szCs w:val="17"/>
              </w:rPr>
            </w:pPr>
          </w:p>
        </w:tc>
      </w:tr>
      <w:tr w:rsidR="004E2F51" w:rsidRPr="005B35F4" w14:paraId="117FDFA8" w14:textId="77777777" w:rsidTr="00E032FC">
        <w:trPr>
          <w:trHeight w:hRule="exact" w:val="271"/>
        </w:trPr>
        <w:tc>
          <w:tcPr>
            <w:tcW w:w="1518" w:type="pct"/>
            <w:tcBorders>
              <w:top w:val="nil"/>
              <w:left w:val="nil"/>
              <w:bottom w:val="nil"/>
              <w:right w:val="nil"/>
            </w:tcBorders>
            <w:shd w:val="clear" w:color="auto" w:fill="auto"/>
            <w:vAlign w:val="center"/>
          </w:tcPr>
          <w:p w14:paraId="3CFA6E79" w14:textId="77777777" w:rsidR="004E2F51" w:rsidRPr="005B35F4" w:rsidRDefault="004E2F51" w:rsidP="00E032FC">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color w:val="000000" w:themeColor="text1"/>
                <w:sz w:val="17"/>
                <w:szCs w:val="17"/>
                <w:lang w:val="hr-HR"/>
              </w:rPr>
              <w:t>Izdane garancije u kunama</w:t>
            </w:r>
          </w:p>
        </w:tc>
        <w:tc>
          <w:tcPr>
            <w:tcW w:w="551" w:type="pct"/>
            <w:tcBorders>
              <w:top w:val="nil"/>
              <w:left w:val="nil"/>
              <w:bottom w:val="nil"/>
              <w:right w:val="nil"/>
            </w:tcBorders>
            <w:shd w:val="clear" w:color="auto" w:fill="auto"/>
            <w:vAlign w:val="center"/>
          </w:tcPr>
          <w:p w14:paraId="6E6CEDE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170.555 </w:t>
            </w:r>
          </w:p>
        </w:tc>
        <w:tc>
          <w:tcPr>
            <w:tcW w:w="546" w:type="pct"/>
            <w:tcBorders>
              <w:top w:val="nil"/>
              <w:left w:val="nil"/>
              <w:bottom w:val="nil"/>
              <w:right w:val="nil"/>
            </w:tcBorders>
            <w:shd w:val="clear" w:color="auto" w:fill="auto"/>
            <w:vAlign w:val="center"/>
          </w:tcPr>
          <w:p w14:paraId="63EF7781"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center"/>
          </w:tcPr>
          <w:p w14:paraId="74C87FE1"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center"/>
          </w:tcPr>
          <w:p w14:paraId="4ADEC9C8"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center"/>
          </w:tcPr>
          <w:p w14:paraId="5FEFDEFD"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04" w:type="pct"/>
            <w:tcBorders>
              <w:top w:val="nil"/>
              <w:left w:val="nil"/>
              <w:bottom w:val="nil"/>
              <w:right w:val="nil"/>
            </w:tcBorders>
            <w:shd w:val="clear" w:color="auto" w:fill="auto"/>
            <w:vAlign w:val="center"/>
          </w:tcPr>
          <w:p w14:paraId="104A67E1"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170.555</w:t>
            </w:r>
          </w:p>
        </w:tc>
      </w:tr>
      <w:tr w:rsidR="004E2F51" w:rsidRPr="005B35F4" w14:paraId="346D4286" w14:textId="77777777" w:rsidTr="00E032FC">
        <w:trPr>
          <w:trHeight w:hRule="exact" w:val="271"/>
        </w:trPr>
        <w:tc>
          <w:tcPr>
            <w:tcW w:w="1518" w:type="pct"/>
            <w:tcBorders>
              <w:top w:val="nil"/>
              <w:left w:val="nil"/>
              <w:bottom w:val="nil"/>
              <w:right w:val="nil"/>
            </w:tcBorders>
            <w:shd w:val="clear" w:color="auto" w:fill="auto"/>
            <w:vAlign w:val="center"/>
          </w:tcPr>
          <w:p w14:paraId="71B3FD5B" w14:textId="77777777" w:rsidR="004E2F51" w:rsidRPr="005B35F4" w:rsidRDefault="004E2F51" w:rsidP="00E032FC">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color w:val="000000" w:themeColor="text1"/>
                <w:sz w:val="17"/>
                <w:szCs w:val="17"/>
                <w:lang w:val="hr-HR"/>
              </w:rPr>
              <w:t>Izdane garancije u devizama</w:t>
            </w:r>
          </w:p>
        </w:tc>
        <w:tc>
          <w:tcPr>
            <w:tcW w:w="551" w:type="pct"/>
            <w:tcBorders>
              <w:top w:val="nil"/>
              <w:left w:val="nil"/>
              <w:bottom w:val="nil"/>
              <w:right w:val="nil"/>
            </w:tcBorders>
            <w:shd w:val="clear" w:color="auto" w:fill="auto"/>
            <w:vAlign w:val="center"/>
          </w:tcPr>
          <w:p w14:paraId="210B7748"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325.103 </w:t>
            </w:r>
          </w:p>
        </w:tc>
        <w:tc>
          <w:tcPr>
            <w:tcW w:w="546" w:type="pct"/>
            <w:tcBorders>
              <w:top w:val="nil"/>
              <w:left w:val="nil"/>
              <w:bottom w:val="nil"/>
              <w:right w:val="nil"/>
            </w:tcBorders>
            <w:shd w:val="clear" w:color="auto" w:fill="auto"/>
            <w:vAlign w:val="center"/>
          </w:tcPr>
          <w:p w14:paraId="4FEBDC4C"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center"/>
          </w:tcPr>
          <w:p w14:paraId="266F32F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center"/>
          </w:tcPr>
          <w:p w14:paraId="1303020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center"/>
          </w:tcPr>
          <w:p w14:paraId="7571874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04" w:type="pct"/>
            <w:tcBorders>
              <w:top w:val="nil"/>
              <w:left w:val="nil"/>
              <w:bottom w:val="nil"/>
              <w:right w:val="nil"/>
            </w:tcBorders>
            <w:shd w:val="clear" w:color="auto" w:fill="auto"/>
            <w:vAlign w:val="center"/>
          </w:tcPr>
          <w:p w14:paraId="1F5FAC9A"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325.103</w:t>
            </w:r>
          </w:p>
        </w:tc>
      </w:tr>
      <w:tr w:rsidR="004E2F51" w:rsidRPr="005B35F4" w14:paraId="77D965A4" w14:textId="77777777" w:rsidTr="00E032FC">
        <w:trPr>
          <w:trHeight w:hRule="exact" w:val="271"/>
        </w:trPr>
        <w:tc>
          <w:tcPr>
            <w:tcW w:w="1518" w:type="pct"/>
            <w:tcBorders>
              <w:top w:val="nil"/>
              <w:left w:val="nil"/>
              <w:bottom w:val="nil"/>
              <w:right w:val="nil"/>
            </w:tcBorders>
            <w:shd w:val="clear" w:color="auto" w:fill="auto"/>
            <w:vAlign w:val="center"/>
          </w:tcPr>
          <w:p w14:paraId="5E9DD975" w14:textId="77777777" w:rsidR="004E2F51" w:rsidRPr="005B35F4" w:rsidRDefault="004E2F51" w:rsidP="00E032FC">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color w:val="000000" w:themeColor="text1"/>
                <w:sz w:val="17"/>
                <w:szCs w:val="17"/>
                <w:lang w:val="hr-HR"/>
              </w:rPr>
              <w:t>Preuzete obveze po kreditima</w:t>
            </w:r>
          </w:p>
        </w:tc>
        <w:tc>
          <w:tcPr>
            <w:tcW w:w="551" w:type="pct"/>
            <w:tcBorders>
              <w:top w:val="nil"/>
              <w:left w:val="nil"/>
              <w:bottom w:val="nil"/>
              <w:right w:val="nil"/>
            </w:tcBorders>
            <w:shd w:val="clear" w:color="auto" w:fill="auto"/>
            <w:vAlign w:val="center"/>
          </w:tcPr>
          <w:p w14:paraId="68AC41FB"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3.492.038 </w:t>
            </w:r>
          </w:p>
        </w:tc>
        <w:tc>
          <w:tcPr>
            <w:tcW w:w="546" w:type="pct"/>
            <w:tcBorders>
              <w:top w:val="nil"/>
              <w:left w:val="nil"/>
              <w:bottom w:val="nil"/>
              <w:right w:val="nil"/>
            </w:tcBorders>
            <w:shd w:val="clear" w:color="auto" w:fill="auto"/>
            <w:vAlign w:val="center"/>
          </w:tcPr>
          <w:p w14:paraId="336C2A4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center"/>
          </w:tcPr>
          <w:p w14:paraId="579EB571"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center"/>
          </w:tcPr>
          <w:p w14:paraId="7EA38D1C"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center"/>
          </w:tcPr>
          <w:p w14:paraId="63695BF0"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04" w:type="pct"/>
            <w:tcBorders>
              <w:top w:val="nil"/>
              <w:left w:val="nil"/>
              <w:bottom w:val="nil"/>
              <w:right w:val="nil"/>
            </w:tcBorders>
            <w:shd w:val="clear" w:color="auto" w:fill="auto"/>
            <w:vAlign w:val="center"/>
          </w:tcPr>
          <w:p w14:paraId="5BF8EE43"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3.492.038</w:t>
            </w:r>
          </w:p>
        </w:tc>
      </w:tr>
      <w:tr w:rsidR="004E2F51" w:rsidRPr="005B35F4" w14:paraId="273FCB8F" w14:textId="77777777" w:rsidTr="00E032FC">
        <w:trPr>
          <w:trHeight w:hRule="exact" w:val="271"/>
        </w:trPr>
        <w:tc>
          <w:tcPr>
            <w:tcW w:w="1518" w:type="pct"/>
            <w:tcBorders>
              <w:top w:val="nil"/>
              <w:left w:val="nil"/>
              <w:bottom w:val="nil"/>
              <w:right w:val="nil"/>
            </w:tcBorders>
            <w:shd w:val="clear" w:color="auto" w:fill="auto"/>
            <w:vAlign w:val="bottom"/>
          </w:tcPr>
          <w:p w14:paraId="6A1D3498"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themeColor="text1"/>
                <w:sz w:val="17"/>
                <w:szCs w:val="17"/>
                <w:lang w:val="hr-HR"/>
              </w:rPr>
              <w:t>Upisani a neuplaćeni kapital EIF-a</w:t>
            </w:r>
          </w:p>
        </w:tc>
        <w:tc>
          <w:tcPr>
            <w:tcW w:w="551" w:type="pct"/>
            <w:tcBorders>
              <w:top w:val="nil"/>
              <w:left w:val="nil"/>
              <w:bottom w:val="nil"/>
              <w:right w:val="nil"/>
            </w:tcBorders>
            <w:shd w:val="clear" w:color="auto" w:fill="auto"/>
            <w:vAlign w:val="center"/>
          </w:tcPr>
          <w:p w14:paraId="7D779A55"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lang w:val="it-IT"/>
              </w:rPr>
              <w:t xml:space="preserve"> </w:t>
            </w:r>
            <w:r w:rsidRPr="005B35F4">
              <w:rPr>
                <w:rFonts w:ascii="Arial" w:hAnsi="Arial" w:cs="Arial"/>
                <w:color w:val="000000"/>
                <w:sz w:val="17"/>
                <w:szCs w:val="17"/>
              </w:rPr>
              <w:t xml:space="preserve">78.179 </w:t>
            </w:r>
          </w:p>
        </w:tc>
        <w:tc>
          <w:tcPr>
            <w:tcW w:w="546" w:type="pct"/>
            <w:tcBorders>
              <w:top w:val="nil"/>
              <w:left w:val="nil"/>
              <w:bottom w:val="nil"/>
              <w:right w:val="nil"/>
            </w:tcBorders>
            <w:shd w:val="clear" w:color="auto" w:fill="auto"/>
            <w:vAlign w:val="center"/>
          </w:tcPr>
          <w:p w14:paraId="7068BD6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center"/>
          </w:tcPr>
          <w:p w14:paraId="7D3691BF"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70" w:type="pct"/>
            <w:tcBorders>
              <w:top w:val="nil"/>
              <w:left w:val="nil"/>
              <w:bottom w:val="nil"/>
              <w:right w:val="nil"/>
            </w:tcBorders>
            <w:shd w:val="clear" w:color="auto" w:fill="auto"/>
            <w:vAlign w:val="center"/>
          </w:tcPr>
          <w:p w14:paraId="3182464C"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40" w:type="pct"/>
            <w:tcBorders>
              <w:top w:val="nil"/>
              <w:left w:val="nil"/>
              <w:bottom w:val="nil"/>
              <w:right w:val="nil"/>
            </w:tcBorders>
            <w:shd w:val="clear" w:color="auto" w:fill="auto"/>
            <w:vAlign w:val="center"/>
          </w:tcPr>
          <w:p w14:paraId="6DCF997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604" w:type="pct"/>
            <w:tcBorders>
              <w:top w:val="nil"/>
              <w:left w:val="nil"/>
              <w:bottom w:val="nil"/>
              <w:right w:val="nil"/>
            </w:tcBorders>
            <w:shd w:val="clear" w:color="auto" w:fill="auto"/>
            <w:vAlign w:val="center"/>
          </w:tcPr>
          <w:p w14:paraId="503F4B7D"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78.179</w:t>
            </w:r>
          </w:p>
        </w:tc>
      </w:tr>
      <w:tr w:rsidR="004E2F51" w:rsidRPr="005B35F4" w14:paraId="7A24EC56" w14:textId="77777777" w:rsidTr="00E032FC">
        <w:trPr>
          <w:trHeight w:hRule="exact" w:val="271"/>
        </w:trPr>
        <w:tc>
          <w:tcPr>
            <w:tcW w:w="1518" w:type="pct"/>
            <w:tcBorders>
              <w:top w:val="nil"/>
              <w:left w:val="nil"/>
              <w:bottom w:val="nil"/>
              <w:right w:val="nil"/>
            </w:tcBorders>
            <w:shd w:val="clear" w:color="auto" w:fill="auto"/>
            <w:vAlign w:val="bottom"/>
          </w:tcPr>
          <w:p w14:paraId="5570FBEC"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sz w:val="17"/>
                <w:szCs w:val="17"/>
                <w:lang w:val="hr-HR"/>
              </w:rPr>
              <w:t>Ugovorena obveza EIF CROGIP</w:t>
            </w:r>
          </w:p>
        </w:tc>
        <w:tc>
          <w:tcPr>
            <w:tcW w:w="551" w:type="pct"/>
            <w:tcBorders>
              <w:top w:val="nil"/>
              <w:left w:val="nil"/>
              <w:bottom w:val="nil"/>
              <w:right w:val="nil"/>
            </w:tcBorders>
            <w:shd w:val="clear" w:color="auto" w:fill="auto"/>
            <w:vAlign w:val="center"/>
          </w:tcPr>
          <w:p w14:paraId="6A7D77CE"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 </w:t>
            </w:r>
          </w:p>
        </w:tc>
        <w:tc>
          <w:tcPr>
            <w:tcW w:w="546" w:type="pct"/>
            <w:tcBorders>
              <w:top w:val="nil"/>
              <w:left w:val="nil"/>
              <w:bottom w:val="nil"/>
              <w:right w:val="nil"/>
            </w:tcBorders>
            <w:shd w:val="clear" w:color="auto" w:fill="auto"/>
            <w:vAlign w:val="center"/>
          </w:tcPr>
          <w:p w14:paraId="6A6A095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12.616 </w:t>
            </w:r>
          </w:p>
        </w:tc>
        <w:tc>
          <w:tcPr>
            <w:tcW w:w="572" w:type="pct"/>
            <w:tcBorders>
              <w:top w:val="nil"/>
              <w:left w:val="nil"/>
              <w:bottom w:val="nil"/>
              <w:right w:val="nil"/>
            </w:tcBorders>
            <w:shd w:val="clear" w:color="auto" w:fill="auto"/>
            <w:vAlign w:val="center"/>
          </w:tcPr>
          <w:p w14:paraId="00F4C026"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56.771 </w:t>
            </w:r>
          </w:p>
        </w:tc>
        <w:tc>
          <w:tcPr>
            <w:tcW w:w="570" w:type="pct"/>
            <w:tcBorders>
              <w:top w:val="nil"/>
              <w:left w:val="nil"/>
              <w:bottom w:val="nil"/>
              <w:right w:val="nil"/>
            </w:tcBorders>
            <w:shd w:val="clear" w:color="auto" w:fill="auto"/>
            <w:vAlign w:val="center"/>
          </w:tcPr>
          <w:p w14:paraId="487C231B"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112.664 </w:t>
            </w:r>
          </w:p>
        </w:tc>
        <w:tc>
          <w:tcPr>
            <w:tcW w:w="640" w:type="pct"/>
            <w:tcBorders>
              <w:top w:val="nil"/>
              <w:left w:val="nil"/>
              <w:bottom w:val="nil"/>
              <w:right w:val="nil"/>
            </w:tcBorders>
            <w:shd w:val="clear" w:color="auto" w:fill="auto"/>
            <w:vAlign w:val="center"/>
          </w:tcPr>
          <w:p w14:paraId="5D5BB094"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130.438 </w:t>
            </w:r>
          </w:p>
        </w:tc>
        <w:tc>
          <w:tcPr>
            <w:tcW w:w="604" w:type="pct"/>
            <w:tcBorders>
              <w:top w:val="nil"/>
              <w:left w:val="nil"/>
              <w:bottom w:val="nil"/>
              <w:right w:val="nil"/>
            </w:tcBorders>
            <w:shd w:val="clear" w:color="auto" w:fill="auto"/>
            <w:vAlign w:val="center"/>
          </w:tcPr>
          <w:p w14:paraId="2192070B"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312.489</w:t>
            </w:r>
          </w:p>
        </w:tc>
      </w:tr>
      <w:tr w:rsidR="004E2F51" w:rsidRPr="005B35F4" w14:paraId="24F13A3F" w14:textId="77777777" w:rsidTr="00E032FC">
        <w:trPr>
          <w:trHeight w:hRule="exact" w:val="271"/>
        </w:trPr>
        <w:tc>
          <w:tcPr>
            <w:tcW w:w="1518" w:type="pct"/>
            <w:tcBorders>
              <w:top w:val="nil"/>
              <w:left w:val="nil"/>
              <w:bottom w:val="nil"/>
              <w:right w:val="nil"/>
            </w:tcBorders>
            <w:shd w:val="clear" w:color="auto" w:fill="auto"/>
            <w:vAlign w:val="bottom"/>
          </w:tcPr>
          <w:p w14:paraId="758B9A0C" w14:textId="77777777" w:rsidR="004E2F51" w:rsidRPr="005B35F4" w:rsidRDefault="004E2F51" w:rsidP="00E032FC">
            <w:pPr>
              <w:tabs>
                <w:tab w:val="right" w:pos="1202"/>
              </w:tabs>
              <w:spacing w:line="240" w:lineRule="exact"/>
              <w:outlineLvl w:val="0"/>
              <w:rPr>
                <w:rFonts w:ascii="Arial" w:hAnsi="Arial" w:cs="Arial"/>
                <w:color w:val="000000" w:themeColor="text1"/>
                <w:sz w:val="17"/>
                <w:szCs w:val="17"/>
                <w:lang w:val="hr-HR"/>
              </w:rPr>
            </w:pPr>
            <w:r w:rsidRPr="005B35F4">
              <w:rPr>
                <w:rFonts w:ascii="Arial" w:hAnsi="Arial" w:cs="Arial"/>
                <w:color w:val="000000"/>
                <w:sz w:val="17"/>
                <w:szCs w:val="17"/>
                <w:lang w:val="hr-HR"/>
              </w:rPr>
              <w:t>Ugovorena obveza EIF FRC2</w:t>
            </w:r>
          </w:p>
        </w:tc>
        <w:tc>
          <w:tcPr>
            <w:tcW w:w="551" w:type="pct"/>
            <w:tcBorders>
              <w:top w:val="nil"/>
              <w:left w:val="nil"/>
              <w:bottom w:val="single" w:sz="8" w:space="0" w:color="auto"/>
              <w:right w:val="nil"/>
            </w:tcBorders>
            <w:shd w:val="clear" w:color="auto" w:fill="auto"/>
            <w:vAlign w:val="center"/>
          </w:tcPr>
          <w:p w14:paraId="07A1B37A"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678 </w:t>
            </w:r>
          </w:p>
        </w:tc>
        <w:tc>
          <w:tcPr>
            <w:tcW w:w="546" w:type="pct"/>
            <w:tcBorders>
              <w:top w:val="nil"/>
              <w:left w:val="nil"/>
              <w:bottom w:val="single" w:sz="8" w:space="0" w:color="auto"/>
              <w:right w:val="nil"/>
            </w:tcBorders>
            <w:shd w:val="clear" w:color="auto" w:fill="auto"/>
            <w:vAlign w:val="center"/>
          </w:tcPr>
          <w:p w14:paraId="616EFF33"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532 </w:t>
            </w:r>
          </w:p>
        </w:tc>
        <w:tc>
          <w:tcPr>
            <w:tcW w:w="572" w:type="pct"/>
            <w:tcBorders>
              <w:top w:val="nil"/>
              <w:left w:val="nil"/>
              <w:bottom w:val="single" w:sz="8" w:space="0" w:color="auto"/>
              <w:right w:val="nil"/>
            </w:tcBorders>
            <w:shd w:val="clear" w:color="auto" w:fill="auto"/>
            <w:vAlign w:val="center"/>
          </w:tcPr>
          <w:p w14:paraId="7A4123FC"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2.393 </w:t>
            </w:r>
          </w:p>
        </w:tc>
        <w:tc>
          <w:tcPr>
            <w:tcW w:w="570" w:type="pct"/>
            <w:tcBorders>
              <w:top w:val="nil"/>
              <w:left w:val="nil"/>
              <w:bottom w:val="single" w:sz="8" w:space="0" w:color="auto"/>
              <w:right w:val="nil"/>
            </w:tcBorders>
            <w:shd w:val="clear" w:color="auto" w:fill="auto"/>
            <w:vAlign w:val="center"/>
          </w:tcPr>
          <w:p w14:paraId="300E804C"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2.171 </w:t>
            </w:r>
          </w:p>
        </w:tc>
        <w:tc>
          <w:tcPr>
            <w:tcW w:w="640" w:type="pct"/>
            <w:tcBorders>
              <w:top w:val="nil"/>
              <w:left w:val="nil"/>
              <w:bottom w:val="single" w:sz="8" w:space="0" w:color="auto"/>
              <w:right w:val="nil"/>
            </w:tcBorders>
            <w:shd w:val="clear" w:color="auto" w:fill="auto"/>
            <w:vAlign w:val="center"/>
          </w:tcPr>
          <w:p w14:paraId="375C9FED"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 xml:space="preserve"> 469 </w:t>
            </w:r>
          </w:p>
        </w:tc>
        <w:tc>
          <w:tcPr>
            <w:tcW w:w="604" w:type="pct"/>
            <w:tcBorders>
              <w:top w:val="nil"/>
              <w:left w:val="nil"/>
              <w:bottom w:val="single" w:sz="8" w:space="0" w:color="auto"/>
              <w:right w:val="nil"/>
            </w:tcBorders>
            <w:shd w:val="clear" w:color="auto" w:fill="auto"/>
            <w:vAlign w:val="center"/>
          </w:tcPr>
          <w:p w14:paraId="77702967" w14:textId="77777777" w:rsidR="004E2F51" w:rsidRPr="005B35F4" w:rsidRDefault="004E2F51" w:rsidP="00E032FC">
            <w:pPr>
              <w:jc w:val="right"/>
              <w:rPr>
                <w:rFonts w:ascii="Arial" w:hAnsi="Arial" w:cs="Arial"/>
                <w:color w:val="000000"/>
                <w:sz w:val="17"/>
                <w:szCs w:val="17"/>
              </w:rPr>
            </w:pPr>
            <w:r w:rsidRPr="005B35F4">
              <w:rPr>
                <w:rFonts w:ascii="Arial" w:hAnsi="Arial" w:cs="Arial"/>
                <w:color w:val="000000"/>
                <w:sz w:val="17"/>
                <w:szCs w:val="17"/>
              </w:rPr>
              <w:t>6.243</w:t>
            </w:r>
          </w:p>
        </w:tc>
      </w:tr>
      <w:tr w:rsidR="004E2F51" w:rsidRPr="005B35F4" w14:paraId="40D1D882" w14:textId="77777777" w:rsidTr="00E032FC">
        <w:trPr>
          <w:trHeight w:hRule="exact" w:val="267"/>
        </w:trPr>
        <w:tc>
          <w:tcPr>
            <w:tcW w:w="1518" w:type="pct"/>
            <w:tcBorders>
              <w:top w:val="nil"/>
              <w:left w:val="nil"/>
              <w:bottom w:val="nil"/>
              <w:right w:val="nil"/>
            </w:tcBorders>
            <w:shd w:val="clear" w:color="auto" w:fill="auto"/>
            <w:vAlign w:val="center"/>
          </w:tcPr>
          <w:p w14:paraId="55545708" w14:textId="77777777" w:rsidR="004E2F51" w:rsidRPr="005B35F4" w:rsidRDefault="004E2F51" w:rsidP="00E032FC">
            <w:pPr>
              <w:tabs>
                <w:tab w:val="right" w:pos="1202"/>
              </w:tabs>
              <w:spacing w:line="240" w:lineRule="exact"/>
              <w:outlineLvl w:val="0"/>
              <w:rPr>
                <w:rFonts w:ascii="Arial" w:hAnsi="Arial" w:cs="Arial"/>
                <w:b/>
                <w:bCs/>
                <w:color w:val="000000" w:themeColor="text1"/>
                <w:spacing w:val="-2"/>
                <w:sz w:val="17"/>
                <w:szCs w:val="17"/>
                <w:lang w:val="hr-HR"/>
              </w:rPr>
            </w:pPr>
            <w:r w:rsidRPr="005B35F4">
              <w:rPr>
                <w:rFonts w:ascii="Arial" w:hAnsi="Arial" w:cs="Arial"/>
                <w:b/>
                <w:bCs/>
                <w:color w:val="000000" w:themeColor="text1"/>
                <w:sz w:val="17"/>
                <w:szCs w:val="17"/>
                <w:lang w:val="hr-HR"/>
              </w:rPr>
              <w:t>Ukupne garancije i preuzete obveze</w:t>
            </w:r>
          </w:p>
        </w:tc>
        <w:tc>
          <w:tcPr>
            <w:tcW w:w="551" w:type="pct"/>
            <w:tcBorders>
              <w:top w:val="single" w:sz="8" w:space="0" w:color="auto"/>
              <w:left w:val="nil"/>
              <w:bottom w:val="single" w:sz="12" w:space="0" w:color="auto"/>
              <w:right w:val="nil"/>
            </w:tcBorders>
            <w:shd w:val="clear" w:color="auto" w:fill="auto"/>
            <w:vAlign w:val="bottom"/>
          </w:tcPr>
          <w:p w14:paraId="1F9BA713"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4.066.553</w:t>
            </w:r>
          </w:p>
        </w:tc>
        <w:tc>
          <w:tcPr>
            <w:tcW w:w="546" w:type="pct"/>
            <w:tcBorders>
              <w:top w:val="single" w:sz="8" w:space="0" w:color="auto"/>
              <w:left w:val="nil"/>
              <w:bottom w:val="single" w:sz="12" w:space="0" w:color="auto"/>
              <w:right w:val="nil"/>
            </w:tcBorders>
            <w:shd w:val="clear" w:color="auto" w:fill="auto"/>
            <w:vAlign w:val="bottom"/>
          </w:tcPr>
          <w:p w14:paraId="31653D39"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13.148</w:t>
            </w:r>
          </w:p>
        </w:tc>
        <w:tc>
          <w:tcPr>
            <w:tcW w:w="572" w:type="pct"/>
            <w:tcBorders>
              <w:top w:val="single" w:sz="8" w:space="0" w:color="auto"/>
              <w:left w:val="nil"/>
              <w:bottom w:val="single" w:sz="12" w:space="0" w:color="auto"/>
              <w:right w:val="nil"/>
            </w:tcBorders>
            <w:shd w:val="clear" w:color="auto" w:fill="auto"/>
            <w:vAlign w:val="bottom"/>
          </w:tcPr>
          <w:p w14:paraId="13EA8BD3"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59.164</w:t>
            </w:r>
          </w:p>
        </w:tc>
        <w:tc>
          <w:tcPr>
            <w:tcW w:w="570" w:type="pct"/>
            <w:tcBorders>
              <w:top w:val="single" w:sz="8" w:space="0" w:color="auto"/>
              <w:left w:val="nil"/>
              <w:bottom w:val="single" w:sz="12" w:space="0" w:color="auto"/>
              <w:right w:val="nil"/>
            </w:tcBorders>
            <w:shd w:val="clear" w:color="auto" w:fill="auto"/>
            <w:vAlign w:val="bottom"/>
          </w:tcPr>
          <w:p w14:paraId="2802E882"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114.835</w:t>
            </w:r>
          </w:p>
        </w:tc>
        <w:tc>
          <w:tcPr>
            <w:tcW w:w="640" w:type="pct"/>
            <w:tcBorders>
              <w:top w:val="single" w:sz="8" w:space="0" w:color="auto"/>
              <w:left w:val="nil"/>
              <w:bottom w:val="single" w:sz="12" w:space="0" w:color="auto"/>
              <w:right w:val="nil"/>
            </w:tcBorders>
            <w:shd w:val="clear" w:color="auto" w:fill="auto"/>
            <w:vAlign w:val="bottom"/>
          </w:tcPr>
          <w:p w14:paraId="129E8850"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130.907</w:t>
            </w:r>
          </w:p>
        </w:tc>
        <w:tc>
          <w:tcPr>
            <w:tcW w:w="604" w:type="pct"/>
            <w:tcBorders>
              <w:top w:val="single" w:sz="8" w:space="0" w:color="auto"/>
              <w:left w:val="nil"/>
              <w:bottom w:val="single" w:sz="12" w:space="0" w:color="auto"/>
              <w:right w:val="nil"/>
            </w:tcBorders>
            <w:shd w:val="clear" w:color="auto" w:fill="auto"/>
            <w:vAlign w:val="bottom"/>
          </w:tcPr>
          <w:p w14:paraId="66E02AAB" w14:textId="77777777" w:rsidR="004E2F51" w:rsidRPr="005B35F4" w:rsidRDefault="004E2F51" w:rsidP="00E032FC">
            <w:pPr>
              <w:jc w:val="right"/>
              <w:rPr>
                <w:rFonts w:ascii="Arial" w:hAnsi="Arial" w:cs="Arial"/>
                <w:b/>
                <w:bCs/>
                <w:color w:val="000000"/>
                <w:sz w:val="17"/>
                <w:szCs w:val="17"/>
              </w:rPr>
            </w:pPr>
            <w:r w:rsidRPr="005B35F4">
              <w:rPr>
                <w:rFonts w:ascii="Arial" w:hAnsi="Arial" w:cs="Arial"/>
                <w:b/>
                <w:bCs/>
                <w:color w:val="000000"/>
                <w:sz w:val="17"/>
                <w:szCs w:val="17"/>
              </w:rPr>
              <w:t>4.384.607</w:t>
            </w:r>
          </w:p>
        </w:tc>
      </w:tr>
    </w:tbl>
    <w:p w14:paraId="4D6BCCC4" w14:textId="77777777" w:rsidR="004E2F51" w:rsidRDefault="004E2F51" w:rsidP="004E2F51">
      <w:pPr>
        <w:pStyle w:val="accountingpolicytitle"/>
        <w:rPr>
          <w:rFonts w:cs="Arial"/>
          <w:b w:val="0"/>
          <w:color w:val="000000" w:themeColor="text1"/>
          <w:sz w:val="20"/>
          <w:lang w:val="hr-HR"/>
        </w:rPr>
      </w:pPr>
    </w:p>
    <w:p w14:paraId="3B9B575E" w14:textId="77777777" w:rsidR="004E2F51" w:rsidRPr="005B35F4" w:rsidRDefault="004E2F51" w:rsidP="004E2F51">
      <w:pPr>
        <w:pStyle w:val="accountingpolicytitle"/>
        <w:rPr>
          <w:rFonts w:cs="Arial"/>
          <w:b w:val="0"/>
          <w:color w:val="000000" w:themeColor="text1"/>
          <w:sz w:val="18"/>
          <w:szCs w:val="18"/>
          <w:lang w:val="hr-HR"/>
        </w:rPr>
      </w:pPr>
    </w:p>
    <w:p w14:paraId="517374A8" w14:textId="77777777" w:rsidR="004E2F51" w:rsidRPr="005B35F4" w:rsidRDefault="004E2F51" w:rsidP="004E2F51">
      <w:pPr>
        <w:pStyle w:val="accountingpolicytitle"/>
        <w:spacing w:before="120" w:after="120"/>
        <w:rPr>
          <w:rFonts w:cs="Arial"/>
          <w:b w:val="0"/>
          <w:color w:val="000000" w:themeColor="text1"/>
          <w:sz w:val="18"/>
          <w:szCs w:val="18"/>
          <w:lang w:val="hr-HR"/>
        </w:rPr>
      </w:pPr>
      <w:r w:rsidRPr="005B35F4">
        <w:rPr>
          <w:rFonts w:cs="Arial"/>
          <w:b w:val="0"/>
          <w:color w:val="000000" w:themeColor="text1"/>
          <w:sz w:val="18"/>
          <w:szCs w:val="18"/>
          <w:lang w:val="hr-HR"/>
        </w:rPr>
        <w:t>Stavke s neodređenim dospijećem iskazane su u razdoblju preko 3 godine.</w:t>
      </w:r>
    </w:p>
    <w:p w14:paraId="554F441F" w14:textId="77777777" w:rsidR="004E2F51" w:rsidRPr="00100ED3" w:rsidRDefault="004E2F51" w:rsidP="004E2F51">
      <w:pPr>
        <w:pStyle w:val="accountingpolicytitle"/>
        <w:rPr>
          <w:rFonts w:cs="Arial"/>
          <w:b w:val="0"/>
          <w:bCs/>
          <w:color w:val="000000" w:themeColor="text1"/>
          <w:sz w:val="20"/>
          <w:lang w:val="hr-HR"/>
        </w:rPr>
      </w:pPr>
    </w:p>
    <w:p w14:paraId="5CF53319" w14:textId="77777777" w:rsidR="004E2F51" w:rsidRPr="005B35F4" w:rsidRDefault="004E2F51" w:rsidP="004E2F51">
      <w:pPr>
        <w:pStyle w:val="T1"/>
        <w:spacing w:before="0" w:after="0" w:line="240" w:lineRule="auto"/>
        <w:ind w:right="-1"/>
        <w:rPr>
          <w:rFonts w:cs="Arial"/>
          <w:color w:val="000000" w:themeColor="text1"/>
          <w:sz w:val="18"/>
          <w:szCs w:val="18"/>
          <w:lang w:val="hr-HR"/>
        </w:rPr>
      </w:pPr>
      <w:r w:rsidRPr="005B35F4">
        <w:rPr>
          <w:rFonts w:cs="Arial"/>
          <w:b w:val="0"/>
          <w:i/>
          <w:color w:val="000000" w:themeColor="text1"/>
          <w:sz w:val="18"/>
          <w:szCs w:val="18"/>
          <w:lang w:val="hr-HR"/>
        </w:rPr>
        <w:t>*</w:t>
      </w:r>
      <w:r w:rsidRPr="005B35F4">
        <w:rPr>
          <w:rFonts w:cs="Arial"/>
          <w:color w:val="000000" w:themeColor="text1"/>
          <w:sz w:val="18"/>
          <w:szCs w:val="18"/>
          <w:lang w:val="hr-HR"/>
        </w:rPr>
        <w:t xml:space="preserve"> </w:t>
      </w:r>
      <w:r w:rsidRPr="005B35F4">
        <w:rPr>
          <w:rFonts w:cs="Arial"/>
          <w:b w:val="0"/>
          <w:i/>
          <w:color w:val="000000" w:themeColor="text1"/>
          <w:sz w:val="18"/>
          <w:szCs w:val="18"/>
          <w:lang w:val="hr-HR"/>
        </w:rPr>
        <w:t xml:space="preserve">Potraživanje u iznosu od 8.239 tisuća kuna odnosi se na obrnute repo poslove. </w:t>
      </w:r>
    </w:p>
    <w:p w14:paraId="45B63E1E" w14:textId="77777777" w:rsidR="004E2F51" w:rsidRPr="00100ED3" w:rsidRDefault="004E2F51" w:rsidP="004E2F51">
      <w:pPr>
        <w:jc w:val="both"/>
        <w:rPr>
          <w:rFonts w:ascii="Arial" w:hAnsi="Arial" w:cs="Arial"/>
          <w:bCs/>
          <w:i/>
          <w:color w:val="000000" w:themeColor="text1"/>
          <w:sz w:val="20"/>
          <w:szCs w:val="20"/>
          <w:lang w:val="hr-HR"/>
        </w:rPr>
      </w:pPr>
      <w:r w:rsidRPr="005B35F4">
        <w:rPr>
          <w:rFonts w:ascii="Arial" w:eastAsia="Calibri" w:hAnsi="Arial" w:cs="Arial"/>
          <w:bCs/>
          <w:i/>
          <w:color w:val="000000" w:themeColor="text1"/>
          <w:sz w:val="18"/>
          <w:szCs w:val="18"/>
          <w:lang w:val="hr-HR"/>
        </w:rPr>
        <w:t xml:space="preserve">** </w:t>
      </w:r>
      <w:r w:rsidRPr="005B35F4">
        <w:rPr>
          <w:rFonts w:ascii="Arial" w:hAnsi="Arial" w:cs="Arial"/>
          <w:bCs/>
          <w:i/>
          <w:color w:val="000000" w:themeColor="text1"/>
          <w:sz w:val="18"/>
          <w:szCs w:val="18"/>
          <w:lang w:val="hr-HR"/>
        </w:rPr>
        <w:t>Obračunata nedospjela kamata po kreditima raspoređena je u kategoriji od 1 do 3 mjeseca</w:t>
      </w:r>
      <w:r w:rsidRPr="00100ED3">
        <w:rPr>
          <w:rFonts w:ascii="Arial" w:hAnsi="Arial" w:cs="Arial"/>
          <w:bCs/>
          <w:i/>
          <w:color w:val="000000" w:themeColor="text1"/>
          <w:sz w:val="20"/>
          <w:szCs w:val="20"/>
          <w:lang w:val="hr-HR"/>
        </w:rPr>
        <w:t xml:space="preserve">. </w:t>
      </w:r>
    </w:p>
    <w:p w14:paraId="7B79DE49" w14:textId="77777777" w:rsidR="004E2F51" w:rsidRPr="00100ED3" w:rsidRDefault="004E2F51" w:rsidP="004E2F51">
      <w:pPr>
        <w:pStyle w:val="T1"/>
        <w:spacing w:before="0" w:after="0" w:line="240" w:lineRule="auto"/>
        <w:rPr>
          <w:rFonts w:cs="Arial"/>
          <w:color w:val="000000" w:themeColor="text1"/>
          <w:sz w:val="20"/>
          <w:lang w:val="hr-HR"/>
        </w:rPr>
        <w:sectPr w:rsidR="004E2F51" w:rsidRPr="00100ED3" w:rsidSect="00623DBA">
          <w:footerReference w:type="default" r:id="rId206"/>
          <w:pgSz w:w="11907" w:h="16840" w:code="9"/>
          <w:pgMar w:top="1418" w:right="1134" w:bottom="1134" w:left="1418" w:header="851" w:footer="851" w:gutter="0"/>
          <w:cols w:space="720"/>
          <w:noEndnote/>
        </w:sectPr>
      </w:pPr>
    </w:p>
    <w:p w14:paraId="0D518B1D" w14:textId="77777777" w:rsidR="004E2F51" w:rsidRPr="00100ED3" w:rsidRDefault="004E2F51" w:rsidP="004E2F51">
      <w:pPr>
        <w:pStyle w:val="T1"/>
        <w:spacing w:before="0" w:after="0" w:line="240" w:lineRule="auto"/>
        <w:rPr>
          <w:rFonts w:cs="Arial"/>
          <w:color w:val="000000" w:themeColor="text1"/>
          <w:sz w:val="20"/>
          <w:lang w:val="hr-HR"/>
        </w:rPr>
      </w:pPr>
    </w:p>
    <w:p w14:paraId="0C527CEE" w14:textId="77777777" w:rsidR="004E2F51" w:rsidRPr="00100ED3" w:rsidRDefault="004E2F51" w:rsidP="004E2F51">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Pr>
          <w:rFonts w:cs="Arial"/>
          <w:color w:val="000000" w:themeColor="text1"/>
          <w:sz w:val="20"/>
          <w:lang w:val="hr-HR"/>
        </w:rPr>
        <w:t>1</w:t>
      </w:r>
      <w:r w:rsidRPr="00100ED3">
        <w:rPr>
          <w:rFonts w:cs="Arial"/>
          <w:color w:val="000000" w:themeColor="text1"/>
          <w:sz w:val="20"/>
          <w:lang w:val="hr-HR"/>
        </w:rPr>
        <w:t>.</w:t>
      </w:r>
      <w:r w:rsidRPr="00100ED3">
        <w:rPr>
          <w:rFonts w:cs="Arial"/>
          <w:color w:val="000000" w:themeColor="text1"/>
          <w:sz w:val="20"/>
          <w:lang w:val="hr-HR"/>
        </w:rPr>
        <w:tab/>
        <w:t>Upravljanje rizicima (nastavak)</w:t>
      </w:r>
    </w:p>
    <w:p w14:paraId="538F5C13" w14:textId="77777777" w:rsidR="004E2F51" w:rsidRPr="00100ED3" w:rsidRDefault="004E2F51" w:rsidP="004E2F51">
      <w:pPr>
        <w:pStyle w:val="T1"/>
        <w:spacing w:before="0" w:after="0" w:line="240" w:lineRule="auto"/>
        <w:rPr>
          <w:rFonts w:cs="Arial"/>
          <w:color w:val="000000" w:themeColor="text1"/>
          <w:sz w:val="20"/>
          <w:lang w:val="hr-HR"/>
        </w:rPr>
      </w:pPr>
    </w:p>
    <w:p w14:paraId="3DCC25C9" w14:textId="77777777" w:rsidR="004E2F51" w:rsidRPr="00100ED3" w:rsidRDefault="004E2F51" w:rsidP="004E2F51">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Pr>
          <w:rFonts w:cs="Arial"/>
          <w:color w:val="000000" w:themeColor="text1"/>
          <w:sz w:val="20"/>
          <w:lang w:val="hr-HR"/>
        </w:rPr>
        <w:t>1</w:t>
      </w:r>
      <w:r w:rsidRPr="00100ED3">
        <w:rPr>
          <w:rFonts w:cs="Arial"/>
          <w:color w:val="000000" w:themeColor="text1"/>
          <w:sz w:val="20"/>
          <w:lang w:val="hr-HR"/>
        </w:rPr>
        <w:t xml:space="preserve">.4. </w:t>
      </w:r>
      <w:r w:rsidRPr="00100ED3">
        <w:rPr>
          <w:rFonts w:cs="Arial"/>
          <w:color w:val="000000" w:themeColor="text1"/>
          <w:sz w:val="20"/>
          <w:lang w:val="hr-HR"/>
        </w:rPr>
        <w:tab/>
        <w:t>Rizik likvidnosti (nastavak)</w:t>
      </w:r>
    </w:p>
    <w:p w14:paraId="5BD2648A" w14:textId="77777777" w:rsidR="004E2F51" w:rsidRPr="00100ED3" w:rsidRDefault="004E2F51" w:rsidP="004E2F51">
      <w:pPr>
        <w:pStyle w:val="T1"/>
        <w:spacing w:before="0" w:after="0" w:line="240" w:lineRule="auto"/>
        <w:rPr>
          <w:rFonts w:cs="Arial"/>
          <w:b w:val="0"/>
          <w:color w:val="000000" w:themeColor="text1"/>
          <w:sz w:val="20"/>
          <w:lang w:val="hr-HR"/>
        </w:rPr>
      </w:pPr>
    </w:p>
    <w:p w14:paraId="3167D7C7" w14:textId="77777777" w:rsidR="004E2F51" w:rsidRPr="00100ED3" w:rsidRDefault="004E2F51" w:rsidP="004E2F51">
      <w:pPr>
        <w:pStyle w:val="T1"/>
        <w:spacing w:before="0" w:after="0" w:line="240" w:lineRule="auto"/>
        <w:rPr>
          <w:rFonts w:cs="Arial"/>
          <w:b w:val="0"/>
          <w:color w:val="000000" w:themeColor="text1"/>
          <w:sz w:val="20"/>
          <w:lang w:val="hr-HR"/>
        </w:rPr>
      </w:pPr>
      <w:r w:rsidRPr="00100ED3">
        <w:rPr>
          <w:rFonts w:cs="Arial"/>
          <w:b w:val="0"/>
          <w:color w:val="000000" w:themeColor="text1"/>
          <w:sz w:val="20"/>
          <w:lang w:val="hr-HR"/>
        </w:rPr>
        <w:t>Tabela u nastavku prikazuje preostalo ugovorno dospijeće financijskih obveza dok su garancije i preuzete obveza Grupe prikazane u kategoriji do 1 mjesec obzirom na mogućnost prijevremenog poziva na izvršenje obveze (nediskontirani iznosi):</w:t>
      </w:r>
    </w:p>
    <w:p w14:paraId="77CDB85E" w14:textId="77777777" w:rsidR="004E2F51" w:rsidRPr="00100ED3" w:rsidRDefault="004E2F51" w:rsidP="004E2F51">
      <w:pPr>
        <w:pStyle w:val="T1"/>
        <w:spacing w:before="0" w:after="0" w:line="240" w:lineRule="auto"/>
        <w:rPr>
          <w:rFonts w:cs="Arial"/>
          <w:b w:val="0"/>
          <w:color w:val="000000" w:themeColor="text1"/>
          <w:sz w:val="20"/>
          <w:lang w:val="hr-HR"/>
        </w:rPr>
      </w:pPr>
    </w:p>
    <w:tbl>
      <w:tblPr>
        <w:tblW w:w="5359" w:type="pct"/>
        <w:tblInd w:w="-468" w:type="dxa"/>
        <w:tblLayout w:type="fixed"/>
        <w:tblCellMar>
          <w:left w:w="120" w:type="dxa"/>
          <w:right w:w="120" w:type="dxa"/>
        </w:tblCellMar>
        <w:tblLook w:val="0000" w:firstRow="0" w:lastRow="0" w:firstColumn="0" w:lastColumn="0" w:noHBand="0" w:noVBand="0"/>
      </w:tblPr>
      <w:tblGrid>
        <w:gridCol w:w="3177"/>
        <w:gridCol w:w="1121"/>
        <w:gridCol w:w="1119"/>
        <w:gridCol w:w="1121"/>
        <w:gridCol w:w="1121"/>
        <w:gridCol w:w="1121"/>
        <w:gridCol w:w="1247"/>
      </w:tblGrid>
      <w:tr w:rsidR="004E2F51" w:rsidRPr="00C40415" w14:paraId="08B6138C" w14:textId="77777777" w:rsidTr="00E032FC">
        <w:trPr>
          <w:trHeight w:val="452"/>
        </w:trPr>
        <w:tc>
          <w:tcPr>
            <w:tcW w:w="1584" w:type="pct"/>
          </w:tcPr>
          <w:p w14:paraId="2A26EE81" w14:textId="77777777" w:rsidR="004E2F51" w:rsidRPr="00C40415" w:rsidRDefault="004E2F51" w:rsidP="00E032FC">
            <w:pPr>
              <w:tabs>
                <w:tab w:val="right" w:pos="1202"/>
              </w:tabs>
              <w:spacing w:line="240" w:lineRule="atLeast"/>
              <w:outlineLvl w:val="0"/>
              <w:rPr>
                <w:rFonts w:ascii="Arial" w:hAnsi="Arial" w:cs="Arial"/>
                <w:b/>
                <w:color w:val="000000" w:themeColor="text1"/>
                <w:sz w:val="17"/>
                <w:szCs w:val="17"/>
                <w:lang w:val="hr-HR"/>
              </w:rPr>
            </w:pPr>
            <w:bookmarkStart w:id="1736" w:name="_Toc67330262"/>
            <w:r w:rsidRPr="00C40415">
              <w:rPr>
                <w:rFonts w:ascii="Arial" w:hAnsi="Arial" w:cs="Arial"/>
                <w:b/>
                <w:color w:val="000000" w:themeColor="text1"/>
                <w:sz w:val="17"/>
                <w:szCs w:val="17"/>
                <w:lang w:val="hr-HR"/>
              </w:rPr>
              <w:t>Grupa</w:t>
            </w:r>
            <w:bookmarkEnd w:id="1736"/>
          </w:p>
          <w:p w14:paraId="3298842F" w14:textId="77777777" w:rsidR="004E2F51" w:rsidRPr="00C40415" w:rsidRDefault="004E2F51" w:rsidP="00E032FC">
            <w:pPr>
              <w:tabs>
                <w:tab w:val="right" w:pos="1202"/>
              </w:tabs>
              <w:spacing w:line="240" w:lineRule="atLeast"/>
              <w:outlineLvl w:val="0"/>
              <w:rPr>
                <w:rFonts w:ascii="Arial" w:hAnsi="Arial" w:cs="Arial"/>
                <w:b/>
                <w:color w:val="000000" w:themeColor="text1"/>
                <w:sz w:val="17"/>
                <w:szCs w:val="17"/>
                <w:lang w:val="hr-HR"/>
              </w:rPr>
            </w:pPr>
            <w:bookmarkStart w:id="1737" w:name="_Toc67330263"/>
            <w:r w:rsidRPr="00C40415">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2</w:t>
            </w:r>
            <w:r w:rsidRPr="00C40415">
              <w:rPr>
                <w:rFonts w:ascii="Arial" w:hAnsi="Arial" w:cs="Arial"/>
                <w:b/>
                <w:color w:val="000000" w:themeColor="text1"/>
                <w:sz w:val="17"/>
                <w:szCs w:val="17"/>
                <w:lang w:val="hr-HR"/>
              </w:rPr>
              <w:t>.</w:t>
            </w:r>
            <w:bookmarkEnd w:id="1737"/>
            <w:r w:rsidRPr="00C40415">
              <w:rPr>
                <w:rFonts w:ascii="Arial" w:hAnsi="Arial" w:cs="Arial"/>
                <w:b/>
                <w:color w:val="000000" w:themeColor="text1"/>
                <w:sz w:val="17"/>
                <w:szCs w:val="17"/>
                <w:lang w:val="hr-HR"/>
              </w:rPr>
              <w:t xml:space="preserve"> </w:t>
            </w:r>
          </w:p>
        </w:tc>
        <w:tc>
          <w:tcPr>
            <w:tcW w:w="559" w:type="pct"/>
          </w:tcPr>
          <w:p w14:paraId="2013D731"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bookmarkStart w:id="1738" w:name="_Toc67330264"/>
            <w:r w:rsidRPr="00C40415">
              <w:rPr>
                <w:rFonts w:ascii="Arial" w:hAnsi="Arial" w:cs="Arial"/>
                <w:b/>
                <w:color w:val="000000" w:themeColor="text1"/>
                <w:sz w:val="17"/>
                <w:szCs w:val="17"/>
                <w:lang w:val="hr-HR"/>
              </w:rPr>
              <w:t>Do 1 mjesec</w:t>
            </w:r>
            <w:bookmarkEnd w:id="1738"/>
          </w:p>
        </w:tc>
        <w:tc>
          <w:tcPr>
            <w:tcW w:w="558" w:type="pct"/>
          </w:tcPr>
          <w:p w14:paraId="34333DA8"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bookmarkStart w:id="1739" w:name="_Toc67330265"/>
            <w:r w:rsidRPr="00C40415">
              <w:rPr>
                <w:rFonts w:ascii="Arial" w:hAnsi="Arial" w:cs="Arial"/>
                <w:b/>
                <w:color w:val="000000" w:themeColor="text1"/>
                <w:sz w:val="17"/>
                <w:szCs w:val="17"/>
                <w:lang w:val="hr-HR"/>
              </w:rPr>
              <w:t>1 do 3 mjeseca</w:t>
            </w:r>
            <w:bookmarkEnd w:id="1739"/>
          </w:p>
        </w:tc>
        <w:tc>
          <w:tcPr>
            <w:tcW w:w="559" w:type="pct"/>
          </w:tcPr>
          <w:p w14:paraId="2CD11B1E"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bookmarkStart w:id="1740" w:name="_Toc67330266"/>
            <w:r w:rsidRPr="00C40415">
              <w:rPr>
                <w:rFonts w:ascii="Arial" w:hAnsi="Arial" w:cs="Arial"/>
                <w:b/>
                <w:color w:val="000000" w:themeColor="text1"/>
                <w:sz w:val="17"/>
                <w:szCs w:val="17"/>
                <w:lang w:val="hr-HR"/>
              </w:rPr>
              <w:t>3 mj. do 1 godine</w:t>
            </w:r>
            <w:bookmarkEnd w:id="1740"/>
          </w:p>
        </w:tc>
        <w:tc>
          <w:tcPr>
            <w:tcW w:w="559" w:type="pct"/>
          </w:tcPr>
          <w:p w14:paraId="6D0A1381"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bookmarkStart w:id="1741" w:name="_Toc67330267"/>
            <w:r w:rsidRPr="00C40415">
              <w:rPr>
                <w:rFonts w:ascii="Arial" w:hAnsi="Arial" w:cs="Arial"/>
                <w:b/>
                <w:color w:val="000000" w:themeColor="text1"/>
                <w:sz w:val="17"/>
                <w:szCs w:val="17"/>
                <w:lang w:val="hr-HR"/>
              </w:rPr>
              <w:t>1 do 3 godina</w:t>
            </w:r>
            <w:bookmarkEnd w:id="1741"/>
          </w:p>
        </w:tc>
        <w:tc>
          <w:tcPr>
            <w:tcW w:w="559" w:type="pct"/>
          </w:tcPr>
          <w:p w14:paraId="369B3240"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bookmarkStart w:id="1742" w:name="_Toc67330268"/>
            <w:r w:rsidRPr="00C40415">
              <w:rPr>
                <w:rFonts w:ascii="Arial" w:hAnsi="Arial" w:cs="Arial"/>
                <w:b/>
                <w:color w:val="000000" w:themeColor="text1"/>
                <w:sz w:val="17"/>
                <w:szCs w:val="17"/>
                <w:lang w:val="hr-HR"/>
              </w:rPr>
              <w:t>Preko 3 godine</w:t>
            </w:r>
            <w:bookmarkEnd w:id="1742"/>
          </w:p>
        </w:tc>
        <w:tc>
          <w:tcPr>
            <w:tcW w:w="622" w:type="pct"/>
          </w:tcPr>
          <w:p w14:paraId="7AE39AC9"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bookmarkStart w:id="1743" w:name="_Toc67330269"/>
            <w:r w:rsidRPr="00C40415">
              <w:rPr>
                <w:rFonts w:ascii="Arial" w:hAnsi="Arial" w:cs="Arial"/>
                <w:b/>
                <w:color w:val="000000" w:themeColor="text1"/>
                <w:sz w:val="17"/>
                <w:szCs w:val="17"/>
                <w:lang w:val="hr-HR"/>
              </w:rPr>
              <w:t>Ukupno</w:t>
            </w:r>
            <w:bookmarkEnd w:id="1743"/>
          </w:p>
        </w:tc>
      </w:tr>
      <w:tr w:rsidR="004E2F51" w:rsidRPr="00C40415" w14:paraId="628A48BD" w14:textId="77777777" w:rsidTr="00E032FC">
        <w:trPr>
          <w:trHeight w:val="226"/>
        </w:trPr>
        <w:tc>
          <w:tcPr>
            <w:tcW w:w="1584" w:type="pct"/>
            <w:vAlign w:val="bottom"/>
          </w:tcPr>
          <w:p w14:paraId="4C18A585" w14:textId="77777777" w:rsidR="004E2F51" w:rsidRPr="00C40415" w:rsidRDefault="004E2F51" w:rsidP="00E032FC">
            <w:pPr>
              <w:tabs>
                <w:tab w:val="left" w:pos="-720"/>
              </w:tabs>
              <w:jc w:val="center"/>
              <w:rPr>
                <w:rFonts w:ascii="Arial" w:hAnsi="Arial" w:cs="Arial"/>
                <w:b/>
                <w:color w:val="000000" w:themeColor="text1"/>
                <w:spacing w:val="-2"/>
                <w:sz w:val="17"/>
                <w:szCs w:val="17"/>
                <w:lang w:val="hr-HR"/>
              </w:rPr>
            </w:pPr>
          </w:p>
        </w:tc>
        <w:tc>
          <w:tcPr>
            <w:tcW w:w="559" w:type="pct"/>
          </w:tcPr>
          <w:p w14:paraId="6892B9FA"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bookmarkStart w:id="1744" w:name="_Toc67330270"/>
            <w:r w:rsidRPr="00C40415">
              <w:rPr>
                <w:rFonts w:ascii="Arial" w:hAnsi="Arial" w:cs="Arial"/>
                <w:b/>
                <w:color w:val="000000" w:themeColor="text1"/>
                <w:sz w:val="17"/>
                <w:szCs w:val="17"/>
                <w:lang w:val="hr-HR"/>
              </w:rPr>
              <w:t>000 kuna</w:t>
            </w:r>
            <w:bookmarkEnd w:id="1744"/>
          </w:p>
        </w:tc>
        <w:tc>
          <w:tcPr>
            <w:tcW w:w="558" w:type="pct"/>
          </w:tcPr>
          <w:p w14:paraId="5FF5A3C7"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bookmarkStart w:id="1745" w:name="_Toc67330271"/>
            <w:r w:rsidRPr="00C40415">
              <w:rPr>
                <w:rFonts w:ascii="Arial" w:hAnsi="Arial" w:cs="Arial"/>
                <w:b/>
                <w:color w:val="000000" w:themeColor="text1"/>
                <w:sz w:val="17"/>
                <w:szCs w:val="17"/>
                <w:lang w:val="hr-HR"/>
              </w:rPr>
              <w:t>000 kuna</w:t>
            </w:r>
            <w:bookmarkEnd w:id="1745"/>
          </w:p>
        </w:tc>
        <w:tc>
          <w:tcPr>
            <w:tcW w:w="559" w:type="pct"/>
          </w:tcPr>
          <w:p w14:paraId="6D990213"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bookmarkStart w:id="1746" w:name="_Toc67330272"/>
            <w:r w:rsidRPr="00C40415">
              <w:rPr>
                <w:rFonts w:ascii="Arial" w:hAnsi="Arial" w:cs="Arial"/>
                <w:b/>
                <w:color w:val="000000" w:themeColor="text1"/>
                <w:sz w:val="17"/>
                <w:szCs w:val="17"/>
                <w:lang w:val="hr-HR"/>
              </w:rPr>
              <w:t>000 kuna</w:t>
            </w:r>
            <w:bookmarkEnd w:id="1746"/>
          </w:p>
        </w:tc>
        <w:tc>
          <w:tcPr>
            <w:tcW w:w="559" w:type="pct"/>
          </w:tcPr>
          <w:p w14:paraId="21F18B9D"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bookmarkStart w:id="1747" w:name="_Toc67330273"/>
            <w:r w:rsidRPr="00C40415">
              <w:rPr>
                <w:rFonts w:ascii="Arial" w:hAnsi="Arial" w:cs="Arial"/>
                <w:b/>
                <w:color w:val="000000" w:themeColor="text1"/>
                <w:sz w:val="17"/>
                <w:szCs w:val="17"/>
                <w:lang w:val="hr-HR"/>
              </w:rPr>
              <w:t>000 kuna</w:t>
            </w:r>
            <w:bookmarkEnd w:id="1747"/>
          </w:p>
        </w:tc>
        <w:tc>
          <w:tcPr>
            <w:tcW w:w="559" w:type="pct"/>
          </w:tcPr>
          <w:p w14:paraId="4A85D17D"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bookmarkStart w:id="1748" w:name="_Toc67330274"/>
            <w:r w:rsidRPr="00C40415">
              <w:rPr>
                <w:rFonts w:ascii="Arial" w:hAnsi="Arial" w:cs="Arial"/>
                <w:b/>
                <w:color w:val="000000" w:themeColor="text1"/>
                <w:sz w:val="17"/>
                <w:szCs w:val="17"/>
                <w:lang w:val="hr-HR"/>
              </w:rPr>
              <w:t>000 kuna</w:t>
            </w:r>
            <w:bookmarkEnd w:id="1748"/>
          </w:p>
        </w:tc>
        <w:tc>
          <w:tcPr>
            <w:tcW w:w="622" w:type="pct"/>
          </w:tcPr>
          <w:p w14:paraId="0AC27EE2"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bookmarkStart w:id="1749" w:name="_Toc67330275"/>
            <w:r w:rsidRPr="00C40415">
              <w:rPr>
                <w:rFonts w:ascii="Arial" w:hAnsi="Arial" w:cs="Arial"/>
                <w:b/>
                <w:color w:val="000000" w:themeColor="text1"/>
                <w:sz w:val="17"/>
                <w:szCs w:val="17"/>
                <w:lang w:val="hr-HR"/>
              </w:rPr>
              <w:t>000 kuna</w:t>
            </w:r>
            <w:bookmarkEnd w:id="1749"/>
          </w:p>
        </w:tc>
      </w:tr>
      <w:tr w:rsidR="004E2F51" w:rsidRPr="00C40415" w14:paraId="6FF13F83" w14:textId="77777777" w:rsidTr="00E032FC">
        <w:trPr>
          <w:trHeight w:hRule="exact" w:val="266"/>
        </w:trPr>
        <w:tc>
          <w:tcPr>
            <w:tcW w:w="1584" w:type="pct"/>
            <w:vAlign w:val="bottom"/>
          </w:tcPr>
          <w:p w14:paraId="6E15740B"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bookmarkStart w:id="1750" w:name="_Toc67330276"/>
            <w:r w:rsidRPr="00C40415">
              <w:rPr>
                <w:rFonts w:ascii="Arial" w:hAnsi="Arial" w:cs="Arial"/>
                <w:b/>
                <w:bCs/>
                <w:color w:val="000000" w:themeColor="text1"/>
                <w:sz w:val="17"/>
                <w:szCs w:val="17"/>
                <w:lang w:val="hr-HR"/>
              </w:rPr>
              <w:t>Financijske obveze</w:t>
            </w:r>
            <w:bookmarkEnd w:id="1750"/>
          </w:p>
        </w:tc>
        <w:tc>
          <w:tcPr>
            <w:tcW w:w="559" w:type="pct"/>
            <w:vAlign w:val="bottom"/>
          </w:tcPr>
          <w:p w14:paraId="4811ADBA"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8" w:type="pct"/>
            <w:vAlign w:val="bottom"/>
          </w:tcPr>
          <w:p w14:paraId="6942896A"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9" w:type="pct"/>
            <w:vAlign w:val="bottom"/>
          </w:tcPr>
          <w:p w14:paraId="389EA756"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9" w:type="pct"/>
            <w:vAlign w:val="bottom"/>
          </w:tcPr>
          <w:p w14:paraId="39866370"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9" w:type="pct"/>
            <w:vAlign w:val="bottom"/>
          </w:tcPr>
          <w:p w14:paraId="73A18751"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622" w:type="pct"/>
            <w:vAlign w:val="bottom"/>
          </w:tcPr>
          <w:p w14:paraId="16D12125"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r>
      <w:tr w:rsidR="004E2F51" w:rsidRPr="00C40415" w14:paraId="6F084E41" w14:textId="77777777" w:rsidTr="00E032FC">
        <w:trPr>
          <w:trHeight w:hRule="exact" w:val="213"/>
        </w:trPr>
        <w:tc>
          <w:tcPr>
            <w:tcW w:w="1584" w:type="pct"/>
            <w:vAlign w:val="bottom"/>
          </w:tcPr>
          <w:p w14:paraId="151E71D7" w14:textId="77777777" w:rsidR="004E2F51" w:rsidRPr="00C40415"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bookmarkStart w:id="1751" w:name="_Toc67330277"/>
            <w:r w:rsidRPr="00C40415">
              <w:rPr>
                <w:rFonts w:ascii="Arial" w:eastAsia="Calibri" w:hAnsi="Arial" w:cs="Arial"/>
                <w:color w:val="000000" w:themeColor="text1"/>
                <w:spacing w:val="-2"/>
                <w:sz w:val="17"/>
                <w:szCs w:val="17"/>
                <w:lang w:val="hr-HR"/>
              </w:rPr>
              <w:t>Obveze po depozitima</w:t>
            </w:r>
            <w:bookmarkEnd w:id="1751"/>
          </w:p>
        </w:tc>
        <w:tc>
          <w:tcPr>
            <w:tcW w:w="559" w:type="pct"/>
            <w:tcBorders>
              <w:top w:val="nil"/>
              <w:left w:val="nil"/>
              <w:bottom w:val="nil"/>
              <w:right w:val="nil"/>
            </w:tcBorders>
            <w:shd w:val="clear" w:color="auto" w:fill="auto"/>
            <w:vAlign w:val="bottom"/>
          </w:tcPr>
          <w:p w14:paraId="4C01F249"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738.963</w:t>
            </w:r>
          </w:p>
        </w:tc>
        <w:tc>
          <w:tcPr>
            <w:tcW w:w="558" w:type="pct"/>
            <w:tcBorders>
              <w:top w:val="nil"/>
              <w:left w:val="nil"/>
              <w:bottom w:val="nil"/>
              <w:right w:val="nil"/>
            </w:tcBorders>
            <w:shd w:val="clear" w:color="auto" w:fill="auto"/>
            <w:vAlign w:val="bottom"/>
          </w:tcPr>
          <w:p w14:paraId="01B8C8AB"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29.337</w:t>
            </w:r>
          </w:p>
        </w:tc>
        <w:tc>
          <w:tcPr>
            <w:tcW w:w="559" w:type="pct"/>
            <w:tcBorders>
              <w:top w:val="nil"/>
              <w:left w:val="nil"/>
              <w:bottom w:val="nil"/>
              <w:right w:val="nil"/>
            </w:tcBorders>
            <w:shd w:val="clear" w:color="auto" w:fill="auto"/>
            <w:vAlign w:val="bottom"/>
          </w:tcPr>
          <w:p w14:paraId="28F6FC0C"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110.155</w:t>
            </w:r>
          </w:p>
        </w:tc>
        <w:tc>
          <w:tcPr>
            <w:tcW w:w="559" w:type="pct"/>
            <w:tcBorders>
              <w:top w:val="nil"/>
              <w:left w:val="nil"/>
              <w:bottom w:val="nil"/>
              <w:right w:val="nil"/>
            </w:tcBorders>
            <w:shd w:val="clear" w:color="auto" w:fill="auto"/>
            <w:vAlign w:val="bottom"/>
          </w:tcPr>
          <w:p w14:paraId="26302D7B"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75.433</w:t>
            </w:r>
          </w:p>
        </w:tc>
        <w:tc>
          <w:tcPr>
            <w:tcW w:w="559" w:type="pct"/>
            <w:tcBorders>
              <w:top w:val="nil"/>
              <w:left w:val="nil"/>
              <w:bottom w:val="nil"/>
              <w:right w:val="nil"/>
            </w:tcBorders>
            <w:shd w:val="clear" w:color="auto" w:fill="auto"/>
            <w:vAlign w:val="bottom"/>
          </w:tcPr>
          <w:p w14:paraId="214D9F5A"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70.735</w:t>
            </w:r>
          </w:p>
        </w:tc>
        <w:tc>
          <w:tcPr>
            <w:tcW w:w="622" w:type="pct"/>
            <w:tcBorders>
              <w:top w:val="nil"/>
              <w:left w:val="nil"/>
              <w:bottom w:val="nil"/>
              <w:right w:val="nil"/>
            </w:tcBorders>
            <w:shd w:val="clear" w:color="auto" w:fill="auto"/>
            <w:vAlign w:val="bottom"/>
          </w:tcPr>
          <w:p w14:paraId="39E7071A"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1.024.623</w:t>
            </w:r>
          </w:p>
        </w:tc>
      </w:tr>
      <w:tr w:rsidR="004E2F51" w:rsidRPr="00C40415" w14:paraId="71A067C5" w14:textId="77777777" w:rsidTr="00E032FC">
        <w:trPr>
          <w:trHeight w:hRule="exact" w:val="213"/>
        </w:trPr>
        <w:tc>
          <w:tcPr>
            <w:tcW w:w="1584" w:type="pct"/>
            <w:vAlign w:val="bottom"/>
          </w:tcPr>
          <w:p w14:paraId="2CAEFD57" w14:textId="77777777" w:rsidR="004E2F51" w:rsidRPr="00C40415"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bookmarkStart w:id="1752" w:name="_Toc67330284"/>
            <w:r w:rsidRPr="00C40415">
              <w:rPr>
                <w:rFonts w:ascii="Arial" w:eastAsia="Calibri" w:hAnsi="Arial" w:cs="Arial"/>
                <w:color w:val="000000" w:themeColor="text1"/>
                <w:spacing w:val="-2"/>
                <w:sz w:val="17"/>
                <w:szCs w:val="17"/>
                <w:lang w:val="hr-HR"/>
              </w:rPr>
              <w:t>Obveze po kreditima</w:t>
            </w:r>
            <w:bookmarkEnd w:id="1752"/>
          </w:p>
        </w:tc>
        <w:tc>
          <w:tcPr>
            <w:tcW w:w="559" w:type="pct"/>
            <w:tcBorders>
              <w:top w:val="nil"/>
              <w:left w:val="nil"/>
              <w:bottom w:val="nil"/>
              <w:right w:val="nil"/>
            </w:tcBorders>
            <w:shd w:val="clear" w:color="auto" w:fill="auto"/>
            <w:vAlign w:val="bottom"/>
          </w:tcPr>
          <w:p w14:paraId="5039B178"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566.496</w:t>
            </w:r>
          </w:p>
        </w:tc>
        <w:tc>
          <w:tcPr>
            <w:tcW w:w="558" w:type="pct"/>
            <w:tcBorders>
              <w:top w:val="nil"/>
              <w:left w:val="nil"/>
              <w:bottom w:val="nil"/>
              <w:right w:val="nil"/>
            </w:tcBorders>
            <w:shd w:val="clear" w:color="auto" w:fill="auto"/>
            <w:vAlign w:val="bottom"/>
          </w:tcPr>
          <w:p w14:paraId="505A31A4"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298.689</w:t>
            </w:r>
          </w:p>
        </w:tc>
        <w:tc>
          <w:tcPr>
            <w:tcW w:w="559" w:type="pct"/>
            <w:tcBorders>
              <w:top w:val="nil"/>
              <w:left w:val="nil"/>
              <w:bottom w:val="nil"/>
              <w:right w:val="nil"/>
            </w:tcBorders>
            <w:shd w:val="clear" w:color="auto" w:fill="auto"/>
            <w:vAlign w:val="bottom"/>
          </w:tcPr>
          <w:p w14:paraId="2F2F53BF"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3.384.456</w:t>
            </w:r>
          </w:p>
        </w:tc>
        <w:tc>
          <w:tcPr>
            <w:tcW w:w="559" w:type="pct"/>
            <w:tcBorders>
              <w:top w:val="nil"/>
              <w:left w:val="nil"/>
              <w:bottom w:val="nil"/>
              <w:right w:val="nil"/>
            </w:tcBorders>
            <w:shd w:val="clear" w:color="auto" w:fill="auto"/>
            <w:vAlign w:val="bottom"/>
          </w:tcPr>
          <w:p w14:paraId="45AC80D5"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5.690.177</w:t>
            </w:r>
          </w:p>
        </w:tc>
        <w:tc>
          <w:tcPr>
            <w:tcW w:w="559" w:type="pct"/>
            <w:tcBorders>
              <w:top w:val="nil"/>
              <w:left w:val="nil"/>
              <w:bottom w:val="nil"/>
              <w:right w:val="nil"/>
            </w:tcBorders>
            <w:shd w:val="clear" w:color="auto" w:fill="auto"/>
            <w:vAlign w:val="bottom"/>
          </w:tcPr>
          <w:p w14:paraId="05D738EF"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8.047.955</w:t>
            </w:r>
          </w:p>
        </w:tc>
        <w:tc>
          <w:tcPr>
            <w:tcW w:w="622" w:type="pct"/>
            <w:tcBorders>
              <w:top w:val="nil"/>
              <w:left w:val="nil"/>
              <w:bottom w:val="nil"/>
              <w:right w:val="nil"/>
            </w:tcBorders>
            <w:shd w:val="clear" w:color="auto" w:fill="auto"/>
            <w:vAlign w:val="bottom"/>
          </w:tcPr>
          <w:p w14:paraId="2CAFDC3A"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17.987.773</w:t>
            </w:r>
          </w:p>
        </w:tc>
      </w:tr>
      <w:tr w:rsidR="004E2F51" w:rsidRPr="00C40415" w14:paraId="1CFDD1F3" w14:textId="77777777" w:rsidTr="00E032FC">
        <w:trPr>
          <w:trHeight w:val="357"/>
        </w:trPr>
        <w:tc>
          <w:tcPr>
            <w:tcW w:w="1584" w:type="pct"/>
            <w:vAlign w:val="bottom"/>
          </w:tcPr>
          <w:p w14:paraId="31B9F471" w14:textId="77777777" w:rsidR="004E2F51" w:rsidRPr="002662A2" w:rsidRDefault="004E2F51" w:rsidP="00E032FC">
            <w:pPr>
              <w:tabs>
                <w:tab w:val="right" w:pos="1202"/>
              </w:tabs>
              <w:spacing w:line="220" w:lineRule="exact"/>
              <w:outlineLvl w:val="0"/>
              <w:rPr>
                <w:rFonts w:ascii="Arial" w:hAnsi="Arial" w:cs="Arial"/>
                <w:color w:val="000000" w:themeColor="text1"/>
                <w:spacing w:val="-2"/>
                <w:sz w:val="17"/>
                <w:szCs w:val="17"/>
                <w:lang w:val="hr-HR"/>
              </w:rPr>
            </w:pPr>
            <w:bookmarkStart w:id="1753" w:name="_Toc67330298"/>
            <w:r w:rsidRPr="002662A2">
              <w:rPr>
                <w:rFonts w:ascii="Arial" w:hAnsi="Arial" w:cs="Arial"/>
                <w:spacing w:val="-2"/>
                <w:sz w:val="17"/>
                <w:szCs w:val="17"/>
                <w:lang w:val="hr-HR"/>
              </w:rPr>
              <w:t>Rezerviranja za garancije, preuzete i ostale obveze</w:t>
            </w:r>
            <w:bookmarkEnd w:id="1753"/>
          </w:p>
        </w:tc>
        <w:tc>
          <w:tcPr>
            <w:tcW w:w="559" w:type="pct"/>
            <w:tcBorders>
              <w:top w:val="nil"/>
              <w:left w:val="nil"/>
              <w:right w:val="nil"/>
            </w:tcBorders>
            <w:shd w:val="clear" w:color="auto" w:fill="auto"/>
            <w:vAlign w:val="bottom"/>
          </w:tcPr>
          <w:p w14:paraId="45E360E7"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104.063</w:t>
            </w:r>
          </w:p>
        </w:tc>
        <w:tc>
          <w:tcPr>
            <w:tcW w:w="558" w:type="pct"/>
            <w:tcBorders>
              <w:top w:val="nil"/>
              <w:left w:val="nil"/>
              <w:right w:val="nil"/>
            </w:tcBorders>
            <w:shd w:val="clear" w:color="auto" w:fill="auto"/>
            <w:vAlign w:val="bottom"/>
          </w:tcPr>
          <w:p w14:paraId="3F094D31"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2.702</w:t>
            </w:r>
          </w:p>
        </w:tc>
        <w:tc>
          <w:tcPr>
            <w:tcW w:w="559" w:type="pct"/>
            <w:tcBorders>
              <w:top w:val="nil"/>
              <w:left w:val="nil"/>
              <w:right w:val="nil"/>
            </w:tcBorders>
            <w:shd w:val="clear" w:color="auto" w:fill="auto"/>
            <w:vAlign w:val="bottom"/>
          </w:tcPr>
          <w:p w14:paraId="62E33162"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9.975</w:t>
            </w:r>
          </w:p>
        </w:tc>
        <w:tc>
          <w:tcPr>
            <w:tcW w:w="559" w:type="pct"/>
            <w:tcBorders>
              <w:top w:val="nil"/>
              <w:left w:val="nil"/>
              <w:right w:val="nil"/>
            </w:tcBorders>
            <w:shd w:val="clear" w:color="auto" w:fill="auto"/>
            <w:vAlign w:val="bottom"/>
          </w:tcPr>
          <w:p w14:paraId="40EA5B9C"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18.037</w:t>
            </w:r>
          </w:p>
        </w:tc>
        <w:tc>
          <w:tcPr>
            <w:tcW w:w="559" w:type="pct"/>
            <w:tcBorders>
              <w:top w:val="nil"/>
              <w:left w:val="nil"/>
              <w:right w:val="nil"/>
            </w:tcBorders>
            <w:shd w:val="clear" w:color="auto" w:fill="auto"/>
            <w:vAlign w:val="bottom"/>
          </w:tcPr>
          <w:p w14:paraId="79C955CC"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7.938</w:t>
            </w:r>
          </w:p>
        </w:tc>
        <w:tc>
          <w:tcPr>
            <w:tcW w:w="622" w:type="pct"/>
            <w:tcBorders>
              <w:top w:val="nil"/>
              <w:left w:val="nil"/>
              <w:right w:val="nil"/>
            </w:tcBorders>
            <w:shd w:val="clear" w:color="auto" w:fill="auto"/>
            <w:vAlign w:val="bottom"/>
          </w:tcPr>
          <w:p w14:paraId="3BED630E"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142.715</w:t>
            </w:r>
          </w:p>
        </w:tc>
      </w:tr>
      <w:tr w:rsidR="004E2F51" w:rsidRPr="00C40415" w14:paraId="79609B2B" w14:textId="77777777" w:rsidTr="00E032FC">
        <w:trPr>
          <w:trHeight w:hRule="exact" w:val="213"/>
        </w:trPr>
        <w:tc>
          <w:tcPr>
            <w:tcW w:w="1584" w:type="pct"/>
            <w:vAlign w:val="bottom"/>
          </w:tcPr>
          <w:p w14:paraId="506C2427" w14:textId="77777777" w:rsidR="004E2F51" w:rsidRPr="00C40415"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bookmarkStart w:id="1754" w:name="_Toc67330305"/>
            <w:r w:rsidRPr="00C40415">
              <w:rPr>
                <w:rFonts w:ascii="Arial" w:eastAsia="Calibri" w:hAnsi="Arial" w:cs="Arial"/>
                <w:color w:val="000000" w:themeColor="text1"/>
                <w:spacing w:val="-2"/>
                <w:sz w:val="17"/>
                <w:szCs w:val="17"/>
                <w:lang w:val="hr-HR"/>
              </w:rPr>
              <w:t>Ostale obveze</w:t>
            </w:r>
            <w:bookmarkEnd w:id="1754"/>
          </w:p>
        </w:tc>
        <w:tc>
          <w:tcPr>
            <w:tcW w:w="559" w:type="pct"/>
            <w:tcBorders>
              <w:top w:val="nil"/>
              <w:left w:val="nil"/>
              <w:bottom w:val="single" w:sz="4" w:space="0" w:color="auto"/>
              <w:right w:val="nil"/>
            </w:tcBorders>
            <w:shd w:val="clear" w:color="auto" w:fill="auto"/>
            <w:vAlign w:val="bottom"/>
          </w:tcPr>
          <w:p w14:paraId="5FB3D3F1"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477.310</w:t>
            </w:r>
          </w:p>
        </w:tc>
        <w:tc>
          <w:tcPr>
            <w:tcW w:w="558" w:type="pct"/>
            <w:tcBorders>
              <w:top w:val="nil"/>
              <w:left w:val="nil"/>
              <w:bottom w:val="single" w:sz="4" w:space="0" w:color="auto"/>
              <w:right w:val="nil"/>
            </w:tcBorders>
            <w:shd w:val="clear" w:color="auto" w:fill="auto"/>
            <w:vAlign w:val="bottom"/>
          </w:tcPr>
          <w:p w14:paraId="10D6B459"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20.726</w:t>
            </w:r>
          </w:p>
        </w:tc>
        <w:tc>
          <w:tcPr>
            <w:tcW w:w="559" w:type="pct"/>
            <w:tcBorders>
              <w:top w:val="nil"/>
              <w:left w:val="nil"/>
              <w:bottom w:val="single" w:sz="4" w:space="0" w:color="auto"/>
              <w:right w:val="nil"/>
            </w:tcBorders>
            <w:shd w:val="clear" w:color="auto" w:fill="auto"/>
            <w:vAlign w:val="bottom"/>
          </w:tcPr>
          <w:p w14:paraId="17D16E1C"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54.116</w:t>
            </w:r>
          </w:p>
        </w:tc>
        <w:tc>
          <w:tcPr>
            <w:tcW w:w="559" w:type="pct"/>
            <w:tcBorders>
              <w:top w:val="nil"/>
              <w:left w:val="nil"/>
              <w:bottom w:val="single" w:sz="4" w:space="0" w:color="auto"/>
              <w:right w:val="nil"/>
            </w:tcBorders>
            <w:shd w:val="clear" w:color="auto" w:fill="auto"/>
            <w:vAlign w:val="bottom"/>
          </w:tcPr>
          <w:p w14:paraId="5879EF5A"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91.723</w:t>
            </w:r>
          </w:p>
        </w:tc>
        <w:tc>
          <w:tcPr>
            <w:tcW w:w="559" w:type="pct"/>
            <w:tcBorders>
              <w:top w:val="nil"/>
              <w:left w:val="nil"/>
              <w:bottom w:val="single" w:sz="4" w:space="0" w:color="auto"/>
              <w:right w:val="nil"/>
            </w:tcBorders>
            <w:shd w:val="clear" w:color="auto" w:fill="auto"/>
            <w:vAlign w:val="bottom"/>
          </w:tcPr>
          <w:p w14:paraId="58E03EF6"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32.648</w:t>
            </w:r>
          </w:p>
        </w:tc>
        <w:tc>
          <w:tcPr>
            <w:tcW w:w="622" w:type="pct"/>
            <w:tcBorders>
              <w:top w:val="nil"/>
              <w:left w:val="nil"/>
              <w:bottom w:val="single" w:sz="4" w:space="0" w:color="auto"/>
              <w:right w:val="nil"/>
            </w:tcBorders>
            <w:shd w:val="clear" w:color="auto" w:fill="auto"/>
            <w:vAlign w:val="bottom"/>
          </w:tcPr>
          <w:p w14:paraId="2DDC5975" w14:textId="77777777" w:rsidR="004E2F51" w:rsidRPr="00C5649D"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676.523</w:t>
            </w:r>
          </w:p>
        </w:tc>
      </w:tr>
      <w:tr w:rsidR="004E2F51" w:rsidRPr="00C40415" w14:paraId="71E04F17" w14:textId="77777777" w:rsidTr="00E032FC">
        <w:trPr>
          <w:trHeight w:hRule="exact" w:val="266"/>
        </w:trPr>
        <w:tc>
          <w:tcPr>
            <w:tcW w:w="1584" w:type="pct"/>
            <w:vAlign w:val="bottom"/>
          </w:tcPr>
          <w:p w14:paraId="0A2DAD45" w14:textId="77777777" w:rsidR="004E2F51" w:rsidRPr="00C40415" w:rsidRDefault="004E2F51" w:rsidP="00E032FC">
            <w:pPr>
              <w:tabs>
                <w:tab w:val="right" w:pos="1202"/>
              </w:tabs>
              <w:outlineLvl w:val="0"/>
              <w:rPr>
                <w:rFonts w:ascii="Arial" w:hAnsi="Arial" w:cs="Arial"/>
                <w:b/>
                <w:bCs/>
                <w:color w:val="000000" w:themeColor="text1"/>
                <w:sz w:val="17"/>
                <w:szCs w:val="17"/>
                <w:lang w:val="hr-HR"/>
              </w:rPr>
            </w:pPr>
            <w:bookmarkStart w:id="1755" w:name="_Toc67330312"/>
            <w:r w:rsidRPr="00C40415">
              <w:rPr>
                <w:rFonts w:ascii="Arial" w:hAnsi="Arial" w:cs="Arial"/>
                <w:b/>
                <w:bCs/>
                <w:color w:val="000000" w:themeColor="text1"/>
                <w:sz w:val="17"/>
                <w:szCs w:val="17"/>
                <w:lang w:val="hr-HR"/>
              </w:rPr>
              <w:t>Ukupno</w:t>
            </w:r>
            <w:bookmarkEnd w:id="1755"/>
          </w:p>
        </w:tc>
        <w:tc>
          <w:tcPr>
            <w:tcW w:w="559" w:type="pct"/>
            <w:tcBorders>
              <w:top w:val="single" w:sz="4" w:space="0" w:color="auto"/>
              <w:left w:val="nil"/>
              <w:bottom w:val="single" w:sz="12" w:space="0" w:color="auto"/>
              <w:right w:val="nil"/>
            </w:tcBorders>
            <w:shd w:val="clear" w:color="auto" w:fill="auto"/>
            <w:vAlign w:val="bottom"/>
          </w:tcPr>
          <w:p w14:paraId="155CF23B" w14:textId="77777777" w:rsidR="004E2F51" w:rsidRPr="00C5649D" w:rsidRDefault="004E2F51" w:rsidP="00E032FC">
            <w:pPr>
              <w:tabs>
                <w:tab w:val="right" w:pos="1202"/>
              </w:tabs>
              <w:jc w:val="right"/>
              <w:outlineLvl w:val="0"/>
              <w:rPr>
                <w:rFonts w:ascii="Arial" w:hAnsi="Arial" w:cs="Arial"/>
                <w:b/>
                <w:color w:val="000000" w:themeColor="text1"/>
                <w:sz w:val="17"/>
                <w:szCs w:val="17"/>
                <w:lang w:val="hr-HR"/>
              </w:rPr>
            </w:pPr>
            <w:r w:rsidRPr="00C5649D">
              <w:rPr>
                <w:rFonts w:ascii="Arial" w:hAnsi="Arial" w:cs="Arial"/>
                <w:b/>
                <w:color w:val="000000" w:themeColor="text1"/>
                <w:sz w:val="17"/>
                <w:szCs w:val="17"/>
                <w:lang w:val="hr-HR"/>
              </w:rPr>
              <w:t>1.886.832</w:t>
            </w:r>
          </w:p>
        </w:tc>
        <w:tc>
          <w:tcPr>
            <w:tcW w:w="558" w:type="pct"/>
            <w:tcBorders>
              <w:top w:val="nil"/>
              <w:left w:val="nil"/>
              <w:bottom w:val="single" w:sz="12" w:space="0" w:color="auto"/>
              <w:right w:val="nil"/>
            </w:tcBorders>
            <w:shd w:val="clear" w:color="auto" w:fill="auto"/>
            <w:vAlign w:val="bottom"/>
          </w:tcPr>
          <w:p w14:paraId="29C583D2" w14:textId="77777777" w:rsidR="004E2F51" w:rsidRPr="00C5649D" w:rsidRDefault="004E2F51" w:rsidP="00E032FC">
            <w:pPr>
              <w:tabs>
                <w:tab w:val="right" w:pos="1202"/>
              </w:tabs>
              <w:jc w:val="right"/>
              <w:outlineLvl w:val="0"/>
              <w:rPr>
                <w:rFonts w:ascii="Arial" w:hAnsi="Arial" w:cs="Arial"/>
                <w:b/>
                <w:color w:val="000000" w:themeColor="text1"/>
                <w:sz w:val="17"/>
                <w:szCs w:val="17"/>
                <w:lang w:val="hr-HR"/>
              </w:rPr>
            </w:pPr>
            <w:r w:rsidRPr="00C5649D">
              <w:rPr>
                <w:rFonts w:ascii="Arial" w:hAnsi="Arial" w:cs="Arial"/>
                <w:b/>
                <w:color w:val="000000" w:themeColor="text1"/>
                <w:sz w:val="17"/>
                <w:szCs w:val="17"/>
                <w:lang w:val="hr-HR"/>
              </w:rPr>
              <w:t>351.454</w:t>
            </w:r>
          </w:p>
        </w:tc>
        <w:tc>
          <w:tcPr>
            <w:tcW w:w="559" w:type="pct"/>
            <w:tcBorders>
              <w:top w:val="nil"/>
              <w:left w:val="nil"/>
              <w:bottom w:val="single" w:sz="12" w:space="0" w:color="auto"/>
              <w:right w:val="nil"/>
            </w:tcBorders>
            <w:shd w:val="clear" w:color="auto" w:fill="auto"/>
            <w:vAlign w:val="bottom"/>
          </w:tcPr>
          <w:p w14:paraId="195EE695" w14:textId="77777777" w:rsidR="004E2F51" w:rsidRPr="00C5649D" w:rsidRDefault="004E2F51" w:rsidP="00E032FC">
            <w:pPr>
              <w:tabs>
                <w:tab w:val="right" w:pos="1202"/>
              </w:tabs>
              <w:jc w:val="right"/>
              <w:outlineLvl w:val="0"/>
              <w:rPr>
                <w:rFonts w:ascii="Arial" w:hAnsi="Arial" w:cs="Arial"/>
                <w:b/>
                <w:color w:val="000000" w:themeColor="text1"/>
                <w:sz w:val="17"/>
                <w:szCs w:val="17"/>
                <w:lang w:val="hr-HR"/>
              </w:rPr>
            </w:pPr>
            <w:r w:rsidRPr="00C5649D">
              <w:rPr>
                <w:rFonts w:ascii="Arial" w:hAnsi="Arial" w:cs="Arial"/>
                <w:b/>
                <w:color w:val="000000" w:themeColor="text1"/>
                <w:sz w:val="17"/>
                <w:szCs w:val="17"/>
                <w:lang w:val="hr-HR"/>
              </w:rPr>
              <w:t>3.558.702</w:t>
            </w:r>
          </w:p>
        </w:tc>
        <w:tc>
          <w:tcPr>
            <w:tcW w:w="559" w:type="pct"/>
            <w:tcBorders>
              <w:top w:val="nil"/>
              <w:left w:val="nil"/>
              <w:bottom w:val="single" w:sz="12" w:space="0" w:color="auto"/>
              <w:right w:val="nil"/>
            </w:tcBorders>
            <w:shd w:val="clear" w:color="auto" w:fill="auto"/>
            <w:vAlign w:val="bottom"/>
          </w:tcPr>
          <w:p w14:paraId="68C0AD0E" w14:textId="77777777" w:rsidR="004E2F51" w:rsidRPr="00C5649D" w:rsidRDefault="004E2F51" w:rsidP="00E032FC">
            <w:pPr>
              <w:tabs>
                <w:tab w:val="right" w:pos="1202"/>
              </w:tabs>
              <w:jc w:val="right"/>
              <w:outlineLvl w:val="0"/>
              <w:rPr>
                <w:rFonts w:ascii="Arial" w:hAnsi="Arial" w:cs="Arial"/>
                <w:b/>
                <w:color w:val="000000" w:themeColor="text1"/>
                <w:sz w:val="17"/>
                <w:szCs w:val="17"/>
                <w:lang w:val="hr-HR"/>
              </w:rPr>
            </w:pPr>
            <w:r w:rsidRPr="00C5649D">
              <w:rPr>
                <w:rFonts w:ascii="Arial" w:hAnsi="Arial" w:cs="Arial"/>
                <w:b/>
                <w:color w:val="000000" w:themeColor="text1"/>
                <w:sz w:val="17"/>
                <w:szCs w:val="17"/>
                <w:lang w:val="hr-HR"/>
              </w:rPr>
              <w:t>5.875.370</w:t>
            </w:r>
          </w:p>
        </w:tc>
        <w:tc>
          <w:tcPr>
            <w:tcW w:w="559" w:type="pct"/>
            <w:tcBorders>
              <w:top w:val="nil"/>
              <w:left w:val="nil"/>
              <w:bottom w:val="single" w:sz="12" w:space="0" w:color="auto"/>
              <w:right w:val="nil"/>
            </w:tcBorders>
            <w:shd w:val="clear" w:color="auto" w:fill="auto"/>
            <w:vAlign w:val="bottom"/>
          </w:tcPr>
          <w:p w14:paraId="42BBE480" w14:textId="77777777" w:rsidR="004E2F51" w:rsidRPr="00C5649D" w:rsidRDefault="004E2F51" w:rsidP="00E032FC">
            <w:pPr>
              <w:tabs>
                <w:tab w:val="right" w:pos="1202"/>
              </w:tabs>
              <w:jc w:val="right"/>
              <w:outlineLvl w:val="0"/>
              <w:rPr>
                <w:rFonts w:ascii="Arial" w:hAnsi="Arial" w:cs="Arial"/>
                <w:b/>
                <w:color w:val="000000" w:themeColor="text1"/>
                <w:sz w:val="17"/>
                <w:szCs w:val="17"/>
                <w:lang w:val="hr-HR"/>
              </w:rPr>
            </w:pPr>
            <w:r w:rsidRPr="00C5649D">
              <w:rPr>
                <w:rFonts w:ascii="Arial" w:hAnsi="Arial" w:cs="Arial"/>
                <w:b/>
                <w:color w:val="000000" w:themeColor="text1"/>
                <w:sz w:val="17"/>
                <w:szCs w:val="17"/>
                <w:lang w:val="hr-HR"/>
              </w:rPr>
              <w:t>8.159.276</w:t>
            </w:r>
          </w:p>
        </w:tc>
        <w:tc>
          <w:tcPr>
            <w:tcW w:w="622" w:type="pct"/>
            <w:tcBorders>
              <w:top w:val="nil"/>
              <w:left w:val="nil"/>
              <w:bottom w:val="single" w:sz="12" w:space="0" w:color="auto"/>
              <w:right w:val="nil"/>
            </w:tcBorders>
            <w:shd w:val="clear" w:color="auto" w:fill="auto"/>
            <w:vAlign w:val="bottom"/>
          </w:tcPr>
          <w:p w14:paraId="3D39EA5A" w14:textId="77777777" w:rsidR="004E2F51" w:rsidRPr="00C5649D" w:rsidRDefault="004E2F51" w:rsidP="00E032FC">
            <w:pPr>
              <w:tabs>
                <w:tab w:val="right" w:pos="1202"/>
              </w:tabs>
              <w:jc w:val="right"/>
              <w:outlineLvl w:val="0"/>
              <w:rPr>
                <w:rFonts w:ascii="Arial" w:hAnsi="Arial" w:cs="Arial"/>
                <w:b/>
                <w:color w:val="000000" w:themeColor="text1"/>
                <w:sz w:val="17"/>
                <w:szCs w:val="17"/>
                <w:lang w:val="hr-HR"/>
              </w:rPr>
            </w:pPr>
            <w:r w:rsidRPr="00C5649D">
              <w:rPr>
                <w:rFonts w:ascii="Arial" w:hAnsi="Arial" w:cs="Arial"/>
                <w:b/>
                <w:color w:val="000000" w:themeColor="text1"/>
                <w:sz w:val="17"/>
                <w:szCs w:val="17"/>
                <w:lang w:val="hr-HR"/>
              </w:rPr>
              <w:t>19.831.634</w:t>
            </w:r>
          </w:p>
        </w:tc>
      </w:tr>
      <w:tr w:rsidR="004E2F51" w:rsidRPr="00C40415" w14:paraId="37BDF00F" w14:textId="77777777" w:rsidTr="00E032FC">
        <w:trPr>
          <w:trHeight w:hRule="exact" w:val="106"/>
        </w:trPr>
        <w:tc>
          <w:tcPr>
            <w:tcW w:w="1584" w:type="pct"/>
            <w:vAlign w:val="bottom"/>
          </w:tcPr>
          <w:p w14:paraId="454721BD"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shd w:val="clear" w:color="auto" w:fill="auto"/>
            <w:vAlign w:val="bottom"/>
          </w:tcPr>
          <w:p w14:paraId="54E61737"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558" w:type="pct"/>
            <w:tcBorders>
              <w:top w:val="nil"/>
              <w:left w:val="nil"/>
              <w:right w:val="nil"/>
            </w:tcBorders>
            <w:shd w:val="clear" w:color="auto" w:fill="auto"/>
            <w:vAlign w:val="bottom"/>
          </w:tcPr>
          <w:p w14:paraId="1A1584BB"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shd w:val="clear" w:color="auto" w:fill="auto"/>
            <w:vAlign w:val="bottom"/>
          </w:tcPr>
          <w:p w14:paraId="4691B50D"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shd w:val="clear" w:color="auto" w:fill="auto"/>
            <w:vAlign w:val="bottom"/>
          </w:tcPr>
          <w:p w14:paraId="5EDB99A0"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right w:val="nil"/>
            </w:tcBorders>
            <w:shd w:val="clear" w:color="auto" w:fill="auto"/>
            <w:vAlign w:val="bottom"/>
          </w:tcPr>
          <w:p w14:paraId="29A16A2A"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622" w:type="pct"/>
            <w:tcBorders>
              <w:top w:val="nil"/>
              <w:left w:val="nil"/>
              <w:right w:val="nil"/>
            </w:tcBorders>
            <w:shd w:val="clear" w:color="auto" w:fill="auto"/>
            <w:vAlign w:val="bottom"/>
          </w:tcPr>
          <w:p w14:paraId="30729B56"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r>
      <w:tr w:rsidR="004E2F51" w:rsidRPr="00C40415" w14:paraId="7D575D3D" w14:textId="77777777" w:rsidTr="00E032FC">
        <w:trPr>
          <w:trHeight w:val="170"/>
        </w:trPr>
        <w:tc>
          <w:tcPr>
            <w:tcW w:w="1584" w:type="pct"/>
            <w:tcBorders>
              <w:top w:val="nil"/>
              <w:left w:val="nil"/>
              <w:bottom w:val="nil"/>
              <w:right w:val="nil"/>
            </w:tcBorders>
            <w:shd w:val="clear" w:color="auto" w:fill="auto"/>
            <w:vAlign w:val="bottom"/>
          </w:tcPr>
          <w:p w14:paraId="0CAF43AC"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bookmarkStart w:id="1756" w:name="_Toc67330319"/>
            <w:r w:rsidRPr="00C40415">
              <w:rPr>
                <w:rFonts w:ascii="Arial" w:hAnsi="Arial" w:cs="Arial"/>
                <w:b/>
                <w:bCs/>
                <w:color w:val="000000" w:themeColor="text1"/>
                <w:sz w:val="17"/>
                <w:szCs w:val="17"/>
                <w:lang w:val="hr-HR"/>
              </w:rPr>
              <w:t>Garancije i preuzete obveze</w:t>
            </w:r>
            <w:bookmarkEnd w:id="1756"/>
          </w:p>
        </w:tc>
        <w:tc>
          <w:tcPr>
            <w:tcW w:w="559" w:type="pct"/>
            <w:tcBorders>
              <w:top w:val="nil"/>
              <w:left w:val="nil"/>
              <w:bottom w:val="nil"/>
              <w:right w:val="nil"/>
            </w:tcBorders>
            <w:shd w:val="clear" w:color="auto" w:fill="auto"/>
            <w:vAlign w:val="bottom"/>
          </w:tcPr>
          <w:p w14:paraId="3AC3D741"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558" w:type="pct"/>
            <w:tcBorders>
              <w:top w:val="nil"/>
              <w:left w:val="nil"/>
              <w:bottom w:val="nil"/>
              <w:right w:val="nil"/>
            </w:tcBorders>
            <w:shd w:val="clear" w:color="auto" w:fill="auto"/>
            <w:vAlign w:val="bottom"/>
          </w:tcPr>
          <w:p w14:paraId="0625B42E"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bottom w:val="nil"/>
              <w:right w:val="nil"/>
            </w:tcBorders>
            <w:shd w:val="clear" w:color="auto" w:fill="auto"/>
            <w:vAlign w:val="bottom"/>
          </w:tcPr>
          <w:p w14:paraId="6F7DFAD6"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bottom w:val="nil"/>
              <w:right w:val="nil"/>
            </w:tcBorders>
            <w:shd w:val="clear" w:color="auto" w:fill="auto"/>
            <w:vAlign w:val="bottom"/>
          </w:tcPr>
          <w:p w14:paraId="4F0CD170"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559" w:type="pct"/>
            <w:tcBorders>
              <w:top w:val="nil"/>
              <w:left w:val="nil"/>
              <w:bottom w:val="nil"/>
              <w:right w:val="nil"/>
            </w:tcBorders>
            <w:shd w:val="clear" w:color="auto" w:fill="auto"/>
            <w:vAlign w:val="bottom"/>
          </w:tcPr>
          <w:p w14:paraId="39CB8C88"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622" w:type="pct"/>
            <w:tcBorders>
              <w:top w:val="nil"/>
              <w:left w:val="nil"/>
              <w:bottom w:val="nil"/>
              <w:right w:val="nil"/>
            </w:tcBorders>
            <w:shd w:val="clear" w:color="auto" w:fill="auto"/>
            <w:vAlign w:val="bottom"/>
          </w:tcPr>
          <w:p w14:paraId="50DB04E3"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r>
      <w:tr w:rsidR="004E2F51" w:rsidRPr="00C40415" w14:paraId="6380661C" w14:textId="77777777" w:rsidTr="00E032FC">
        <w:trPr>
          <w:trHeight w:hRule="exact" w:val="213"/>
        </w:trPr>
        <w:tc>
          <w:tcPr>
            <w:tcW w:w="1584" w:type="pct"/>
            <w:tcBorders>
              <w:top w:val="nil"/>
              <w:left w:val="nil"/>
              <w:bottom w:val="nil"/>
              <w:right w:val="nil"/>
            </w:tcBorders>
            <w:shd w:val="clear" w:color="auto" w:fill="auto"/>
            <w:vAlign w:val="center"/>
          </w:tcPr>
          <w:p w14:paraId="1BA0F921" w14:textId="77777777" w:rsidR="004E2F51" w:rsidRPr="00C40415"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bookmarkStart w:id="1757" w:name="_Toc67330320"/>
            <w:r w:rsidRPr="00C40415">
              <w:rPr>
                <w:rFonts w:ascii="Arial" w:eastAsia="Calibri" w:hAnsi="Arial" w:cs="Arial"/>
                <w:color w:val="000000" w:themeColor="text1"/>
                <w:spacing w:val="-2"/>
                <w:sz w:val="17"/>
                <w:szCs w:val="17"/>
                <w:lang w:val="hr-HR"/>
              </w:rPr>
              <w:t>Izdane garancije u kunama</w:t>
            </w:r>
            <w:bookmarkEnd w:id="1757"/>
          </w:p>
        </w:tc>
        <w:tc>
          <w:tcPr>
            <w:tcW w:w="559" w:type="pct"/>
            <w:tcBorders>
              <w:top w:val="nil"/>
              <w:left w:val="nil"/>
              <w:bottom w:val="nil"/>
              <w:right w:val="nil"/>
            </w:tcBorders>
            <w:shd w:val="clear" w:color="auto" w:fill="auto"/>
            <w:vAlign w:val="bottom"/>
          </w:tcPr>
          <w:p w14:paraId="09822628"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115.427 </w:t>
            </w:r>
          </w:p>
        </w:tc>
        <w:tc>
          <w:tcPr>
            <w:tcW w:w="558" w:type="pct"/>
            <w:tcBorders>
              <w:top w:val="nil"/>
              <w:left w:val="nil"/>
              <w:bottom w:val="nil"/>
              <w:right w:val="nil"/>
            </w:tcBorders>
            <w:shd w:val="clear" w:color="auto" w:fill="auto"/>
            <w:vAlign w:val="bottom"/>
          </w:tcPr>
          <w:p w14:paraId="60FE84BA"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 </w:t>
            </w:r>
          </w:p>
        </w:tc>
        <w:tc>
          <w:tcPr>
            <w:tcW w:w="559" w:type="pct"/>
            <w:tcBorders>
              <w:top w:val="nil"/>
              <w:left w:val="nil"/>
              <w:bottom w:val="nil"/>
              <w:right w:val="nil"/>
            </w:tcBorders>
            <w:shd w:val="clear" w:color="auto" w:fill="auto"/>
            <w:vAlign w:val="bottom"/>
          </w:tcPr>
          <w:p w14:paraId="1F36B641"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 </w:t>
            </w:r>
          </w:p>
        </w:tc>
        <w:tc>
          <w:tcPr>
            <w:tcW w:w="559" w:type="pct"/>
            <w:tcBorders>
              <w:top w:val="nil"/>
              <w:left w:val="nil"/>
              <w:bottom w:val="nil"/>
              <w:right w:val="nil"/>
            </w:tcBorders>
            <w:shd w:val="clear" w:color="auto" w:fill="auto"/>
            <w:vAlign w:val="bottom"/>
          </w:tcPr>
          <w:p w14:paraId="10FA978F"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 </w:t>
            </w:r>
          </w:p>
        </w:tc>
        <w:tc>
          <w:tcPr>
            <w:tcW w:w="559" w:type="pct"/>
            <w:tcBorders>
              <w:top w:val="nil"/>
              <w:left w:val="nil"/>
              <w:bottom w:val="nil"/>
              <w:right w:val="nil"/>
            </w:tcBorders>
            <w:shd w:val="clear" w:color="auto" w:fill="auto"/>
            <w:vAlign w:val="bottom"/>
          </w:tcPr>
          <w:p w14:paraId="78950869"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 </w:t>
            </w:r>
          </w:p>
        </w:tc>
        <w:tc>
          <w:tcPr>
            <w:tcW w:w="622" w:type="pct"/>
            <w:tcBorders>
              <w:top w:val="nil"/>
              <w:left w:val="nil"/>
              <w:bottom w:val="nil"/>
              <w:right w:val="nil"/>
            </w:tcBorders>
            <w:shd w:val="clear" w:color="auto" w:fill="auto"/>
            <w:vAlign w:val="bottom"/>
          </w:tcPr>
          <w:p w14:paraId="08709E95"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115.427 </w:t>
            </w:r>
          </w:p>
        </w:tc>
      </w:tr>
      <w:tr w:rsidR="004E2F51" w:rsidRPr="00C40415" w14:paraId="275EB071" w14:textId="77777777" w:rsidTr="00E032FC">
        <w:trPr>
          <w:trHeight w:hRule="exact" w:val="213"/>
        </w:trPr>
        <w:tc>
          <w:tcPr>
            <w:tcW w:w="1584" w:type="pct"/>
            <w:tcBorders>
              <w:top w:val="nil"/>
              <w:left w:val="nil"/>
              <w:bottom w:val="nil"/>
              <w:right w:val="nil"/>
            </w:tcBorders>
            <w:shd w:val="clear" w:color="auto" w:fill="auto"/>
            <w:vAlign w:val="center"/>
          </w:tcPr>
          <w:p w14:paraId="4FDA31EA" w14:textId="77777777" w:rsidR="004E2F51" w:rsidRPr="00C40415"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bookmarkStart w:id="1758" w:name="_Toc67330323"/>
            <w:r w:rsidRPr="00C40415">
              <w:rPr>
                <w:rFonts w:ascii="Arial" w:eastAsia="Calibri" w:hAnsi="Arial" w:cs="Arial"/>
                <w:color w:val="000000" w:themeColor="text1"/>
                <w:spacing w:val="-2"/>
                <w:sz w:val="17"/>
                <w:szCs w:val="17"/>
                <w:lang w:val="hr-HR"/>
              </w:rPr>
              <w:t>Izdane garancije u devizama</w:t>
            </w:r>
            <w:bookmarkEnd w:id="1758"/>
          </w:p>
        </w:tc>
        <w:tc>
          <w:tcPr>
            <w:tcW w:w="559" w:type="pct"/>
            <w:tcBorders>
              <w:top w:val="nil"/>
              <w:left w:val="nil"/>
              <w:bottom w:val="nil"/>
              <w:right w:val="nil"/>
            </w:tcBorders>
            <w:shd w:val="clear" w:color="auto" w:fill="auto"/>
            <w:vAlign w:val="bottom"/>
          </w:tcPr>
          <w:p w14:paraId="00B9AD83"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194.098 </w:t>
            </w:r>
          </w:p>
        </w:tc>
        <w:tc>
          <w:tcPr>
            <w:tcW w:w="558" w:type="pct"/>
            <w:tcBorders>
              <w:top w:val="nil"/>
              <w:left w:val="nil"/>
              <w:bottom w:val="nil"/>
              <w:right w:val="nil"/>
            </w:tcBorders>
            <w:shd w:val="clear" w:color="auto" w:fill="auto"/>
            <w:vAlign w:val="bottom"/>
          </w:tcPr>
          <w:p w14:paraId="6E422359"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 </w:t>
            </w:r>
          </w:p>
        </w:tc>
        <w:tc>
          <w:tcPr>
            <w:tcW w:w="559" w:type="pct"/>
            <w:tcBorders>
              <w:top w:val="nil"/>
              <w:left w:val="nil"/>
              <w:bottom w:val="nil"/>
              <w:right w:val="nil"/>
            </w:tcBorders>
            <w:shd w:val="clear" w:color="auto" w:fill="auto"/>
            <w:vAlign w:val="bottom"/>
          </w:tcPr>
          <w:p w14:paraId="7A530657"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 </w:t>
            </w:r>
          </w:p>
        </w:tc>
        <w:tc>
          <w:tcPr>
            <w:tcW w:w="559" w:type="pct"/>
            <w:tcBorders>
              <w:top w:val="nil"/>
              <w:left w:val="nil"/>
              <w:bottom w:val="nil"/>
              <w:right w:val="nil"/>
            </w:tcBorders>
            <w:shd w:val="clear" w:color="auto" w:fill="auto"/>
            <w:vAlign w:val="bottom"/>
          </w:tcPr>
          <w:p w14:paraId="5E272A78"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 </w:t>
            </w:r>
          </w:p>
        </w:tc>
        <w:tc>
          <w:tcPr>
            <w:tcW w:w="559" w:type="pct"/>
            <w:tcBorders>
              <w:top w:val="nil"/>
              <w:left w:val="nil"/>
              <w:bottom w:val="nil"/>
              <w:right w:val="nil"/>
            </w:tcBorders>
            <w:shd w:val="clear" w:color="auto" w:fill="auto"/>
            <w:vAlign w:val="bottom"/>
          </w:tcPr>
          <w:p w14:paraId="1F9528F8"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 </w:t>
            </w:r>
          </w:p>
        </w:tc>
        <w:tc>
          <w:tcPr>
            <w:tcW w:w="622" w:type="pct"/>
            <w:tcBorders>
              <w:top w:val="nil"/>
              <w:left w:val="nil"/>
              <w:bottom w:val="nil"/>
              <w:right w:val="nil"/>
            </w:tcBorders>
            <w:shd w:val="clear" w:color="auto" w:fill="auto"/>
            <w:vAlign w:val="bottom"/>
          </w:tcPr>
          <w:p w14:paraId="385170BC"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194.098 </w:t>
            </w:r>
          </w:p>
        </w:tc>
      </w:tr>
      <w:tr w:rsidR="004E2F51" w:rsidRPr="00C40415" w14:paraId="2ACCF0E7" w14:textId="77777777" w:rsidTr="00E032FC">
        <w:trPr>
          <w:trHeight w:hRule="exact" w:val="213"/>
        </w:trPr>
        <w:tc>
          <w:tcPr>
            <w:tcW w:w="1584" w:type="pct"/>
            <w:tcBorders>
              <w:top w:val="nil"/>
              <w:left w:val="nil"/>
              <w:bottom w:val="nil"/>
              <w:right w:val="nil"/>
            </w:tcBorders>
            <w:shd w:val="clear" w:color="auto" w:fill="auto"/>
            <w:vAlign w:val="center"/>
          </w:tcPr>
          <w:p w14:paraId="76A3B836" w14:textId="77777777" w:rsidR="004E2F51" w:rsidRPr="00C40415"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Otvoreni akreditivi u devizama</w:t>
            </w:r>
          </w:p>
        </w:tc>
        <w:tc>
          <w:tcPr>
            <w:tcW w:w="559" w:type="pct"/>
            <w:tcBorders>
              <w:top w:val="nil"/>
              <w:left w:val="nil"/>
              <w:bottom w:val="nil"/>
              <w:right w:val="nil"/>
            </w:tcBorders>
            <w:shd w:val="clear" w:color="auto" w:fill="auto"/>
            <w:vAlign w:val="bottom"/>
          </w:tcPr>
          <w:p w14:paraId="01DEF5AB" w14:textId="77777777" w:rsidR="004E2F51" w:rsidRPr="00F629B8" w:rsidRDefault="004E2F51" w:rsidP="00E032FC">
            <w:pPr>
              <w:tabs>
                <w:tab w:val="right" w:pos="1202"/>
              </w:tabs>
              <w:spacing w:line="240" w:lineRule="exact"/>
              <w:jc w:val="right"/>
              <w:outlineLvl w:val="0"/>
              <w:rPr>
                <w:rFonts w:ascii="Arial" w:hAnsi="Arial" w:cs="Arial"/>
                <w:color w:val="000000"/>
                <w:sz w:val="17"/>
                <w:szCs w:val="17"/>
              </w:rPr>
            </w:pPr>
            <w:r w:rsidRPr="00F629B8">
              <w:rPr>
                <w:rFonts w:ascii="Arial" w:hAnsi="Arial" w:cs="Arial"/>
                <w:color w:val="000000"/>
                <w:sz w:val="17"/>
                <w:szCs w:val="17"/>
              </w:rPr>
              <w:t xml:space="preserve"> 1.243 </w:t>
            </w:r>
          </w:p>
        </w:tc>
        <w:tc>
          <w:tcPr>
            <w:tcW w:w="558" w:type="pct"/>
            <w:tcBorders>
              <w:top w:val="nil"/>
              <w:left w:val="nil"/>
              <w:bottom w:val="nil"/>
              <w:right w:val="nil"/>
            </w:tcBorders>
            <w:shd w:val="clear" w:color="auto" w:fill="auto"/>
            <w:vAlign w:val="bottom"/>
          </w:tcPr>
          <w:p w14:paraId="618352F2"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59" w:type="pct"/>
            <w:tcBorders>
              <w:top w:val="nil"/>
              <w:left w:val="nil"/>
              <w:bottom w:val="nil"/>
              <w:right w:val="nil"/>
            </w:tcBorders>
            <w:shd w:val="clear" w:color="auto" w:fill="auto"/>
            <w:vAlign w:val="bottom"/>
          </w:tcPr>
          <w:p w14:paraId="0612061B"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59" w:type="pct"/>
            <w:tcBorders>
              <w:top w:val="nil"/>
              <w:left w:val="nil"/>
              <w:bottom w:val="nil"/>
              <w:right w:val="nil"/>
            </w:tcBorders>
            <w:shd w:val="clear" w:color="auto" w:fill="auto"/>
            <w:vAlign w:val="bottom"/>
          </w:tcPr>
          <w:p w14:paraId="7C80EB68"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59" w:type="pct"/>
            <w:tcBorders>
              <w:top w:val="nil"/>
              <w:left w:val="nil"/>
              <w:bottom w:val="nil"/>
              <w:right w:val="nil"/>
            </w:tcBorders>
            <w:shd w:val="clear" w:color="auto" w:fill="auto"/>
            <w:vAlign w:val="bottom"/>
          </w:tcPr>
          <w:p w14:paraId="78D3FE6C"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22" w:type="pct"/>
            <w:tcBorders>
              <w:top w:val="nil"/>
              <w:left w:val="nil"/>
              <w:bottom w:val="nil"/>
              <w:right w:val="nil"/>
            </w:tcBorders>
            <w:shd w:val="clear" w:color="auto" w:fill="auto"/>
            <w:vAlign w:val="bottom"/>
          </w:tcPr>
          <w:p w14:paraId="77D468FF" w14:textId="77777777" w:rsidR="004E2F51" w:rsidRPr="00F629B8" w:rsidRDefault="004E2F51" w:rsidP="00E032FC">
            <w:pPr>
              <w:tabs>
                <w:tab w:val="right" w:pos="1202"/>
              </w:tabs>
              <w:spacing w:line="240" w:lineRule="exact"/>
              <w:jc w:val="right"/>
              <w:outlineLvl w:val="0"/>
              <w:rPr>
                <w:rFonts w:ascii="Arial" w:hAnsi="Arial" w:cs="Arial"/>
                <w:color w:val="000000"/>
                <w:sz w:val="17"/>
                <w:szCs w:val="17"/>
              </w:rPr>
            </w:pPr>
            <w:r w:rsidRPr="00F629B8">
              <w:rPr>
                <w:rFonts w:ascii="Arial" w:hAnsi="Arial" w:cs="Arial"/>
                <w:color w:val="000000"/>
                <w:sz w:val="17"/>
                <w:szCs w:val="17"/>
              </w:rPr>
              <w:t xml:space="preserve"> 1.243 </w:t>
            </w:r>
          </w:p>
        </w:tc>
      </w:tr>
      <w:tr w:rsidR="004E2F51" w:rsidRPr="00C40415" w14:paraId="13394FD1" w14:textId="77777777" w:rsidTr="00E032FC">
        <w:trPr>
          <w:trHeight w:hRule="exact" w:val="213"/>
        </w:trPr>
        <w:tc>
          <w:tcPr>
            <w:tcW w:w="1584" w:type="pct"/>
            <w:tcBorders>
              <w:top w:val="nil"/>
              <w:left w:val="nil"/>
              <w:bottom w:val="nil"/>
              <w:right w:val="nil"/>
            </w:tcBorders>
            <w:shd w:val="clear" w:color="auto" w:fill="auto"/>
            <w:vAlign w:val="center"/>
          </w:tcPr>
          <w:p w14:paraId="1342A7E9" w14:textId="77777777" w:rsidR="004E2F51" w:rsidRPr="00C40415"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bookmarkStart w:id="1759" w:name="_Toc67330329"/>
            <w:r w:rsidRPr="00C40415">
              <w:rPr>
                <w:rFonts w:ascii="Arial" w:eastAsia="Calibri" w:hAnsi="Arial" w:cs="Arial"/>
                <w:color w:val="000000" w:themeColor="text1"/>
                <w:spacing w:val="-2"/>
                <w:sz w:val="17"/>
                <w:szCs w:val="17"/>
                <w:lang w:val="hr-HR"/>
              </w:rPr>
              <w:t>Preuzete obveze po kreditima</w:t>
            </w:r>
            <w:bookmarkEnd w:id="1759"/>
          </w:p>
        </w:tc>
        <w:tc>
          <w:tcPr>
            <w:tcW w:w="559" w:type="pct"/>
            <w:tcBorders>
              <w:top w:val="nil"/>
              <w:left w:val="nil"/>
              <w:bottom w:val="nil"/>
              <w:right w:val="nil"/>
            </w:tcBorders>
            <w:shd w:val="clear" w:color="auto" w:fill="auto"/>
            <w:vAlign w:val="bottom"/>
          </w:tcPr>
          <w:p w14:paraId="7F304EE3"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2.668.118 </w:t>
            </w:r>
          </w:p>
        </w:tc>
        <w:tc>
          <w:tcPr>
            <w:tcW w:w="558" w:type="pct"/>
            <w:tcBorders>
              <w:top w:val="nil"/>
              <w:left w:val="nil"/>
              <w:bottom w:val="nil"/>
              <w:right w:val="nil"/>
            </w:tcBorders>
            <w:shd w:val="clear" w:color="auto" w:fill="auto"/>
            <w:vAlign w:val="bottom"/>
          </w:tcPr>
          <w:p w14:paraId="7B4F51F9"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 </w:t>
            </w:r>
          </w:p>
        </w:tc>
        <w:tc>
          <w:tcPr>
            <w:tcW w:w="559" w:type="pct"/>
            <w:tcBorders>
              <w:top w:val="nil"/>
              <w:left w:val="nil"/>
              <w:bottom w:val="nil"/>
              <w:right w:val="nil"/>
            </w:tcBorders>
            <w:shd w:val="clear" w:color="auto" w:fill="auto"/>
            <w:vAlign w:val="bottom"/>
          </w:tcPr>
          <w:p w14:paraId="2D08B2DF"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 </w:t>
            </w:r>
          </w:p>
        </w:tc>
        <w:tc>
          <w:tcPr>
            <w:tcW w:w="559" w:type="pct"/>
            <w:tcBorders>
              <w:top w:val="nil"/>
              <w:left w:val="nil"/>
              <w:bottom w:val="nil"/>
              <w:right w:val="nil"/>
            </w:tcBorders>
            <w:shd w:val="clear" w:color="auto" w:fill="auto"/>
            <w:vAlign w:val="bottom"/>
          </w:tcPr>
          <w:p w14:paraId="41C2E0C4"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 </w:t>
            </w:r>
          </w:p>
        </w:tc>
        <w:tc>
          <w:tcPr>
            <w:tcW w:w="559" w:type="pct"/>
            <w:tcBorders>
              <w:top w:val="nil"/>
              <w:left w:val="nil"/>
              <w:bottom w:val="nil"/>
              <w:right w:val="nil"/>
            </w:tcBorders>
            <w:shd w:val="clear" w:color="auto" w:fill="auto"/>
            <w:vAlign w:val="bottom"/>
          </w:tcPr>
          <w:p w14:paraId="6C358B2E"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 </w:t>
            </w:r>
          </w:p>
        </w:tc>
        <w:tc>
          <w:tcPr>
            <w:tcW w:w="622" w:type="pct"/>
            <w:tcBorders>
              <w:top w:val="nil"/>
              <w:left w:val="nil"/>
              <w:bottom w:val="nil"/>
              <w:right w:val="nil"/>
            </w:tcBorders>
            <w:shd w:val="clear" w:color="auto" w:fill="auto"/>
            <w:vAlign w:val="bottom"/>
          </w:tcPr>
          <w:p w14:paraId="5D294497"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2.668.118 </w:t>
            </w:r>
          </w:p>
        </w:tc>
      </w:tr>
      <w:tr w:rsidR="004E2F51" w:rsidRPr="00C40415" w14:paraId="1EAE1503" w14:textId="77777777" w:rsidTr="00E032FC">
        <w:trPr>
          <w:trHeight w:hRule="exact" w:val="213"/>
        </w:trPr>
        <w:tc>
          <w:tcPr>
            <w:tcW w:w="1584" w:type="pct"/>
            <w:tcBorders>
              <w:top w:val="nil"/>
              <w:left w:val="nil"/>
              <w:bottom w:val="nil"/>
              <w:right w:val="nil"/>
            </w:tcBorders>
            <w:shd w:val="clear" w:color="auto" w:fill="auto"/>
            <w:vAlign w:val="bottom"/>
          </w:tcPr>
          <w:p w14:paraId="18B7BB2D" w14:textId="77777777" w:rsidR="004E2F51" w:rsidRPr="00C40415"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bookmarkStart w:id="1760" w:name="_Toc67330332"/>
            <w:r w:rsidRPr="00C40415">
              <w:rPr>
                <w:rFonts w:ascii="Arial" w:hAnsi="Arial" w:cs="Arial"/>
                <w:color w:val="000000" w:themeColor="text1"/>
                <w:sz w:val="17"/>
                <w:szCs w:val="17"/>
                <w:lang w:val="hr-HR"/>
              </w:rPr>
              <w:t>Upisani a neuplaćeni kapital EIF-a</w:t>
            </w:r>
            <w:bookmarkEnd w:id="1760"/>
          </w:p>
        </w:tc>
        <w:tc>
          <w:tcPr>
            <w:tcW w:w="559" w:type="pct"/>
            <w:tcBorders>
              <w:top w:val="nil"/>
              <w:left w:val="nil"/>
              <w:bottom w:val="nil"/>
              <w:right w:val="nil"/>
            </w:tcBorders>
            <w:shd w:val="clear" w:color="auto" w:fill="auto"/>
            <w:vAlign w:val="bottom"/>
          </w:tcPr>
          <w:p w14:paraId="5B94744E"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02282A">
              <w:rPr>
                <w:rFonts w:ascii="Arial" w:hAnsi="Arial" w:cs="Arial"/>
                <w:color w:val="000000"/>
                <w:sz w:val="17"/>
                <w:szCs w:val="17"/>
                <w:lang w:val="it-IT"/>
              </w:rPr>
              <w:t xml:space="preserve"> </w:t>
            </w:r>
            <w:r w:rsidRPr="00F629B8">
              <w:rPr>
                <w:rFonts w:ascii="Arial" w:hAnsi="Arial" w:cs="Arial"/>
                <w:color w:val="000000"/>
                <w:sz w:val="17"/>
                <w:szCs w:val="17"/>
              </w:rPr>
              <w:t xml:space="preserve">78.358 </w:t>
            </w:r>
          </w:p>
        </w:tc>
        <w:tc>
          <w:tcPr>
            <w:tcW w:w="558" w:type="pct"/>
            <w:tcBorders>
              <w:top w:val="nil"/>
              <w:left w:val="nil"/>
              <w:bottom w:val="nil"/>
              <w:right w:val="nil"/>
            </w:tcBorders>
            <w:shd w:val="clear" w:color="auto" w:fill="auto"/>
            <w:vAlign w:val="bottom"/>
          </w:tcPr>
          <w:p w14:paraId="693EAEB3"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 </w:t>
            </w:r>
          </w:p>
        </w:tc>
        <w:tc>
          <w:tcPr>
            <w:tcW w:w="559" w:type="pct"/>
            <w:tcBorders>
              <w:top w:val="nil"/>
              <w:left w:val="nil"/>
              <w:bottom w:val="nil"/>
              <w:right w:val="nil"/>
            </w:tcBorders>
            <w:shd w:val="clear" w:color="auto" w:fill="auto"/>
            <w:vAlign w:val="bottom"/>
          </w:tcPr>
          <w:p w14:paraId="24C0E51E"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 </w:t>
            </w:r>
          </w:p>
        </w:tc>
        <w:tc>
          <w:tcPr>
            <w:tcW w:w="559" w:type="pct"/>
            <w:tcBorders>
              <w:top w:val="nil"/>
              <w:left w:val="nil"/>
              <w:bottom w:val="nil"/>
              <w:right w:val="nil"/>
            </w:tcBorders>
            <w:shd w:val="clear" w:color="auto" w:fill="auto"/>
            <w:vAlign w:val="bottom"/>
          </w:tcPr>
          <w:p w14:paraId="17226C71"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 </w:t>
            </w:r>
          </w:p>
        </w:tc>
        <w:tc>
          <w:tcPr>
            <w:tcW w:w="559" w:type="pct"/>
            <w:tcBorders>
              <w:top w:val="nil"/>
              <w:left w:val="nil"/>
              <w:bottom w:val="nil"/>
              <w:right w:val="nil"/>
            </w:tcBorders>
            <w:shd w:val="clear" w:color="auto" w:fill="auto"/>
            <w:vAlign w:val="bottom"/>
          </w:tcPr>
          <w:p w14:paraId="1EA6FBE7"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 </w:t>
            </w:r>
          </w:p>
        </w:tc>
        <w:tc>
          <w:tcPr>
            <w:tcW w:w="622" w:type="pct"/>
            <w:tcBorders>
              <w:top w:val="nil"/>
              <w:left w:val="nil"/>
              <w:bottom w:val="nil"/>
              <w:right w:val="nil"/>
            </w:tcBorders>
            <w:shd w:val="clear" w:color="auto" w:fill="auto"/>
            <w:vAlign w:val="bottom"/>
          </w:tcPr>
          <w:p w14:paraId="071A8006"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78.358 </w:t>
            </w:r>
          </w:p>
        </w:tc>
      </w:tr>
      <w:tr w:rsidR="004E2F51" w:rsidRPr="00C40415" w14:paraId="7C16FF9D" w14:textId="77777777" w:rsidTr="00E032FC">
        <w:trPr>
          <w:trHeight w:hRule="exact" w:val="213"/>
        </w:trPr>
        <w:tc>
          <w:tcPr>
            <w:tcW w:w="1584" w:type="pct"/>
            <w:tcBorders>
              <w:top w:val="nil"/>
              <w:left w:val="nil"/>
              <w:bottom w:val="nil"/>
              <w:right w:val="nil"/>
            </w:tcBorders>
            <w:shd w:val="clear" w:color="auto" w:fill="auto"/>
            <w:vAlign w:val="bottom"/>
          </w:tcPr>
          <w:p w14:paraId="1768DBB9" w14:textId="77777777" w:rsidR="004E2F51" w:rsidRPr="00C40415" w:rsidRDefault="004E2F51" w:rsidP="00E032FC">
            <w:pPr>
              <w:tabs>
                <w:tab w:val="right" w:pos="1202"/>
              </w:tabs>
              <w:spacing w:line="240" w:lineRule="exact"/>
              <w:outlineLvl w:val="0"/>
              <w:rPr>
                <w:rFonts w:ascii="Arial" w:hAnsi="Arial" w:cs="Arial"/>
                <w:color w:val="000000" w:themeColor="text1"/>
                <w:sz w:val="17"/>
                <w:szCs w:val="17"/>
                <w:lang w:val="hr-HR"/>
              </w:rPr>
            </w:pPr>
            <w:bookmarkStart w:id="1761" w:name="_Toc67330335"/>
            <w:r w:rsidRPr="00C40415">
              <w:rPr>
                <w:rFonts w:ascii="Arial" w:hAnsi="Arial" w:cs="Arial"/>
                <w:color w:val="000000"/>
                <w:sz w:val="17"/>
                <w:szCs w:val="17"/>
                <w:lang w:val="hr-HR"/>
              </w:rPr>
              <w:t>Ugovorena obveza EIF CROGIP</w:t>
            </w:r>
            <w:bookmarkEnd w:id="1761"/>
          </w:p>
        </w:tc>
        <w:tc>
          <w:tcPr>
            <w:tcW w:w="559" w:type="pct"/>
            <w:tcBorders>
              <w:top w:val="nil"/>
              <w:left w:val="nil"/>
              <w:bottom w:val="nil"/>
              <w:right w:val="nil"/>
            </w:tcBorders>
            <w:shd w:val="clear" w:color="auto" w:fill="auto"/>
            <w:vAlign w:val="bottom"/>
          </w:tcPr>
          <w:p w14:paraId="2CC2148F"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 </w:t>
            </w:r>
          </w:p>
        </w:tc>
        <w:tc>
          <w:tcPr>
            <w:tcW w:w="558" w:type="pct"/>
            <w:tcBorders>
              <w:top w:val="nil"/>
              <w:left w:val="nil"/>
              <w:bottom w:val="nil"/>
              <w:right w:val="nil"/>
            </w:tcBorders>
            <w:shd w:val="clear" w:color="auto" w:fill="auto"/>
            <w:vAlign w:val="bottom"/>
          </w:tcPr>
          <w:p w14:paraId="2C9B8F50"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19.328 </w:t>
            </w:r>
          </w:p>
        </w:tc>
        <w:tc>
          <w:tcPr>
            <w:tcW w:w="559" w:type="pct"/>
            <w:tcBorders>
              <w:top w:val="nil"/>
              <w:left w:val="nil"/>
              <w:bottom w:val="nil"/>
              <w:right w:val="nil"/>
            </w:tcBorders>
            <w:shd w:val="clear" w:color="auto" w:fill="auto"/>
            <w:vAlign w:val="bottom"/>
          </w:tcPr>
          <w:p w14:paraId="66D5AFF9"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57.984 </w:t>
            </w:r>
          </w:p>
        </w:tc>
        <w:tc>
          <w:tcPr>
            <w:tcW w:w="559" w:type="pct"/>
            <w:tcBorders>
              <w:top w:val="nil"/>
              <w:left w:val="nil"/>
              <w:bottom w:val="nil"/>
              <w:right w:val="nil"/>
            </w:tcBorders>
            <w:shd w:val="clear" w:color="auto" w:fill="auto"/>
            <w:vAlign w:val="bottom"/>
          </w:tcPr>
          <w:p w14:paraId="2ECCE157"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106.244 </w:t>
            </w:r>
          </w:p>
        </w:tc>
        <w:tc>
          <w:tcPr>
            <w:tcW w:w="559" w:type="pct"/>
            <w:tcBorders>
              <w:top w:val="nil"/>
              <w:left w:val="nil"/>
              <w:bottom w:val="nil"/>
              <w:right w:val="nil"/>
            </w:tcBorders>
            <w:shd w:val="clear" w:color="auto" w:fill="auto"/>
            <w:vAlign w:val="bottom"/>
          </w:tcPr>
          <w:p w14:paraId="04ED8014"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89.768 </w:t>
            </w:r>
          </w:p>
        </w:tc>
        <w:tc>
          <w:tcPr>
            <w:tcW w:w="622" w:type="pct"/>
            <w:tcBorders>
              <w:top w:val="nil"/>
              <w:left w:val="nil"/>
              <w:bottom w:val="nil"/>
              <w:right w:val="nil"/>
            </w:tcBorders>
            <w:shd w:val="clear" w:color="auto" w:fill="auto"/>
            <w:vAlign w:val="bottom"/>
          </w:tcPr>
          <w:p w14:paraId="26573EF5"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273.324 </w:t>
            </w:r>
          </w:p>
        </w:tc>
      </w:tr>
      <w:tr w:rsidR="004E2F51" w:rsidRPr="00C40415" w14:paraId="0C701D18" w14:textId="77777777" w:rsidTr="00E032FC">
        <w:trPr>
          <w:trHeight w:hRule="exact" w:val="213"/>
        </w:trPr>
        <w:tc>
          <w:tcPr>
            <w:tcW w:w="1584" w:type="pct"/>
            <w:tcBorders>
              <w:top w:val="nil"/>
              <w:left w:val="nil"/>
              <w:bottom w:val="nil"/>
              <w:right w:val="nil"/>
            </w:tcBorders>
            <w:shd w:val="clear" w:color="auto" w:fill="auto"/>
            <w:vAlign w:val="bottom"/>
          </w:tcPr>
          <w:p w14:paraId="1959163C" w14:textId="77777777" w:rsidR="004E2F51" w:rsidRPr="00C40415" w:rsidRDefault="004E2F51" w:rsidP="00E032FC">
            <w:pPr>
              <w:tabs>
                <w:tab w:val="right" w:pos="1202"/>
              </w:tabs>
              <w:spacing w:line="240" w:lineRule="exact"/>
              <w:outlineLvl w:val="0"/>
              <w:rPr>
                <w:rFonts w:ascii="Arial" w:hAnsi="Arial" w:cs="Arial"/>
                <w:color w:val="000000" w:themeColor="text1"/>
                <w:sz w:val="17"/>
                <w:szCs w:val="17"/>
                <w:lang w:val="hr-HR"/>
              </w:rPr>
            </w:pPr>
            <w:bookmarkStart w:id="1762" w:name="_Toc67330338"/>
            <w:r w:rsidRPr="00C40415">
              <w:rPr>
                <w:rFonts w:ascii="Arial" w:hAnsi="Arial" w:cs="Arial"/>
                <w:color w:val="000000"/>
                <w:sz w:val="17"/>
                <w:szCs w:val="17"/>
                <w:lang w:val="hr-HR"/>
              </w:rPr>
              <w:t>Ugovorena obveza EIF FRC2</w:t>
            </w:r>
            <w:bookmarkEnd w:id="1762"/>
          </w:p>
        </w:tc>
        <w:tc>
          <w:tcPr>
            <w:tcW w:w="559" w:type="pct"/>
            <w:tcBorders>
              <w:top w:val="nil"/>
              <w:left w:val="nil"/>
              <w:bottom w:val="single" w:sz="8" w:space="0" w:color="auto"/>
              <w:right w:val="nil"/>
            </w:tcBorders>
            <w:shd w:val="clear" w:color="auto" w:fill="auto"/>
            <w:vAlign w:val="bottom"/>
          </w:tcPr>
          <w:p w14:paraId="09B6BA5E"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366 </w:t>
            </w:r>
          </w:p>
        </w:tc>
        <w:tc>
          <w:tcPr>
            <w:tcW w:w="558" w:type="pct"/>
            <w:tcBorders>
              <w:top w:val="nil"/>
              <w:left w:val="nil"/>
              <w:bottom w:val="single" w:sz="8" w:space="0" w:color="auto"/>
              <w:right w:val="nil"/>
            </w:tcBorders>
            <w:shd w:val="clear" w:color="auto" w:fill="auto"/>
            <w:vAlign w:val="bottom"/>
          </w:tcPr>
          <w:p w14:paraId="42184EF6"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410 </w:t>
            </w:r>
          </w:p>
        </w:tc>
        <w:tc>
          <w:tcPr>
            <w:tcW w:w="559" w:type="pct"/>
            <w:tcBorders>
              <w:top w:val="nil"/>
              <w:left w:val="nil"/>
              <w:bottom w:val="single" w:sz="8" w:space="0" w:color="auto"/>
              <w:right w:val="nil"/>
            </w:tcBorders>
            <w:shd w:val="clear" w:color="auto" w:fill="auto"/>
            <w:vAlign w:val="bottom"/>
          </w:tcPr>
          <w:p w14:paraId="399A10A7"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1.846 </w:t>
            </w:r>
          </w:p>
        </w:tc>
        <w:tc>
          <w:tcPr>
            <w:tcW w:w="559" w:type="pct"/>
            <w:tcBorders>
              <w:top w:val="nil"/>
              <w:left w:val="nil"/>
              <w:bottom w:val="single" w:sz="8" w:space="0" w:color="auto"/>
              <w:right w:val="nil"/>
            </w:tcBorders>
            <w:shd w:val="clear" w:color="auto" w:fill="auto"/>
            <w:vAlign w:val="bottom"/>
          </w:tcPr>
          <w:p w14:paraId="667DB5FA"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294 </w:t>
            </w:r>
          </w:p>
        </w:tc>
        <w:tc>
          <w:tcPr>
            <w:tcW w:w="559" w:type="pct"/>
            <w:tcBorders>
              <w:top w:val="nil"/>
              <w:left w:val="nil"/>
              <w:bottom w:val="single" w:sz="8" w:space="0" w:color="auto"/>
              <w:right w:val="nil"/>
            </w:tcBorders>
            <w:shd w:val="clear" w:color="auto" w:fill="auto"/>
            <w:vAlign w:val="bottom"/>
          </w:tcPr>
          <w:p w14:paraId="7FBB1374"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121 </w:t>
            </w:r>
          </w:p>
        </w:tc>
        <w:tc>
          <w:tcPr>
            <w:tcW w:w="622" w:type="pct"/>
            <w:tcBorders>
              <w:top w:val="nil"/>
              <w:left w:val="nil"/>
              <w:bottom w:val="single" w:sz="8" w:space="0" w:color="auto"/>
              <w:right w:val="nil"/>
            </w:tcBorders>
            <w:shd w:val="clear" w:color="auto" w:fill="auto"/>
            <w:vAlign w:val="bottom"/>
          </w:tcPr>
          <w:p w14:paraId="46E64EF6"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3.037 </w:t>
            </w:r>
          </w:p>
        </w:tc>
      </w:tr>
      <w:tr w:rsidR="004E2F51" w:rsidRPr="00C40415" w14:paraId="7B0317E5" w14:textId="77777777" w:rsidTr="00E032FC">
        <w:trPr>
          <w:trHeight w:hRule="exact" w:val="266"/>
        </w:trPr>
        <w:tc>
          <w:tcPr>
            <w:tcW w:w="1584" w:type="pct"/>
            <w:tcBorders>
              <w:top w:val="nil"/>
              <w:left w:val="nil"/>
              <w:bottom w:val="nil"/>
              <w:right w:val="nil"/>
            </w:tcBorders>
            <w:shd w:val="clear" w:color="auto" w:fill="auto"/>
            <w:vAlign w:val="center"/>
          </w:tcPr>
          <w:p w14:paraId="4418E082" w14:textId="77777777" w:rsidR="004E2F51" w:rsidRPr="00C40415" w:rsidRDefault="004E2F51" w:rsidP="00E032FC">
            <w:pPr>
              <w:tabs>
                <w:tab w:val="right" w:pos="1202"/>
              </w:tabs>
              <w:outlineLvl w:val="0"/>
              <w:rPr>
                <w:rFonts w:ascii="Arial" w:hAnsi="Arial" w:cs="Arial"/>
                <w:b/>
                <w:bCs/>
                <w:color w:val="000000" w:themeColor="text1"/>
                <w:sz w:val="17"/>
                <w:szCs w:val="17"/>
                <w:lang w:val="hr-HR"/>
              </w:rPr>
            </w:pPr>
            <w:bookmarkStart w:id="1763" w:name="_Toc67330341"/>
            <w:r w:rsidRPr="00C40415">
              <w:rPr>
                <w:rFonts w:ascii="Arial" w:hAnsi="Arial" w:cs="Arial"/>
                <w:b/>
                <w:bCs/>
                <w:color w:val="000000" w:themeColor="text1"/>
                <w:sz w:val="17"/>
                <w:szCs w:val="17"/>
                <w:lang w:val="hr-HR"/>
              </w:rPr>
              <w:t>Ukupne garancije i preuzete obveze</w:t>
            </w:r>
            <w:bookmarkEnd w:id="1763"/>
          </w:p>
        </w:tc>
        <w:tc>
          <w:tcPr>
            <w:tcW w:w="559" w:type="pct"/>
            <w:tcBorders>
              <w:top w:val="single" w:sz="8" w:space="0" w:color="auto"/>
              <w:left w:val="nil"/>
              <w:bottom w:val="single" w:sz="12" w:space="0" w:color="auto"/>
              <w:right w:val="nil"/>
            </w:tcBorders>
            <w:shd w:val="clear" w:color="auto" w:fill="auto"/>
            <w:vAlign w:val="bottom"/>
          </w:tcPr>
          <w:p w14:paraId="0969BD50"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r w:rsidRPr="0002282A">
              <w:rPr>
                <w:rFonts w:ascii="Arial" w:hAnsi="Arial" w:cs="Arial"/>
                <w:b/>
                <w:bCs/>
                <w:color w:val="000000"/>
                <w:sz w:val="17"/>
                <w:szCs w:val="17"/>
                <w:lang w:val="it-IT"/>
              </w:rPr>
              <w:t xml:space="preserve"> </w:t>
            </w:r>
            <w:r w:rsidRPr="00F629B8">
              <w:rPr>
                <w:rFonts w:ascii="Arial" w:hAnsi="Arial" w:cs="Arial"/>
                <w:b/>
                <w:bCs/>
                <w:color w:val="000000"/>
                <w:sz w:val="17"/>
                <w:szCs w:val="17"/>
              </w:rPr>
              <w:t xml:space="preserve">3.057.610 </w:t>
            </w:r>
          </w:p>
        </w:tc>
        <w:tc>
          <w:tcPr>
            <w:tcW w:w="558" w:type="pct"/>
            <w:tcBorders>
              <w:top w:val="single" w:sz="8" w:space="0" w:color="auto"/>
              <w:left w:val="nil"/>
              <w:bottom w:val="single" w:sz="12" w:space="0" w:color="auto"/>
              <w:right w:val="nil"/>
            </w:tcBorders>
            <w:shd w:val="clear" w:color="auto" w:fill="auto"/>
            <w:vAlign w:val="bottom"/>
          </w:tcPr>
          <w:p w14:paraId="3890509F"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b/>
                <w:bCs/>
                <w:color w:val="000000"/>
                <w:sz w:val="17"/>
                <w:szCs w:val="17"/>
              </w:rPr>
              <w:t xml:space="preserve"> 19.738 </w:t>
            </w:r>
          </w:p>
        </w:tc>
        <w:tc>
          <w:tcPr>
            <w:tcW w:w="559" w:type="pct"/>
            <w:tcBorders>
              <w:top w:val="single" w:sz="8" w:space="0" w:color="auto"/>
              <w:left w:val="nil"/>
              <w:bottom w:val="single" w:sz="12" w:space="0" w:color="auto"/>
              <w:right w:val="nil"/>
            </w:tcBorders>
            <w:shd w:val="clear" w:color="auto" w:fill="auto"/>
            <w:vAlign w:val="bottom"/>
          </w:tcPr>
          <w:p w14:paraId="1371C433"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b/>
                <w:bCs/>
                <w:color w:val="000000"/>
                <w:sz w:val="17"/>
                <w:szCs w:val="17"/>
              </w:rPr>
              <w:t xml:space="preserve"> 59.830 </w:t>
            </w:r>
          </w:p>
        </w:tc>
        <w:tc>
          <w:tcPr>
            <w:tcW w:w="559" w:type="pct"/>
            <w:tcBorders>
              <w:top w:val="single" w:sz="8" w:space="0" w:color="auto"/>
              <w:left w:val="nil"/>
              <w:bottom w:val="single" w:sz="12" w:space="0" w:color="auto"/>
              <w:right w:val="nil"/>
            </w:tcBorders>
            <w:shd w:val="clear" w:color="auto" w:fill="auto"/>
            <w:vAlign w:val="bottom"/>
          </w:tcPr>
          <w:p w14:paraId="0E80833D"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b/>
                <w:bCs/>
                <w:color w:val="000000"/>
                <w:sz w:val="17"/>
                <w:szCs w:val="17"/>
              </w:rPr>
              <w:t xml:space="preserve"> 106.538 </w:t>
            </w:r>
          </w:p>
        </w:tc>
        <w:tc>
          <w:tcPr>
            <w:tcW w:w="559" w:type="pct"/>
            <w:tcBorders>
              <w:top w:val="single" w:sz="8" w:space="0" w:color="auto"/>
              <w:left w:val="nil"/>
              <w:bottom w:val="single" w:sz="12" w:space="0" w:color="auto"/>
              <w:right w:val="nil"/>
            </w:tcBorders>
            <w:shd w:val="clear" w:color="auto" w:fill="auto"/>
            <w:vAlign w:val="bottom"/>
          </w:tcPr>
          <w:p w14:paraId="7337832A"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b/>
                <w:bCs/>
                <w:color w:val="000000"/>
                <w:sz w:val="17"/>
                <w:szCs w:val="17"/>
              </w:rPr>
              <w:t xml:space="preserve"> 89.889 </w:t>
            </w:r>
          </w:p>
        </w:tc>
        <w:tc>
          <w:tcPr>
            <w:tcW w:w="622" w:type="pct"/>
            <w:tcBorders>
              <w:top w:val="single" w:sz="8" w:space="0" w:color="auto"/>
              <w:left w:val="nil"/>
              <w:bottom w:val="single" w:sz="12" w:space="0" w:color="auto"/>
              <w:right w:val="nil"/>
            </w:tcBorders>
            <w:shd w:val="clear" w:color="auto" w:fill="auto"/>
            <w:vAlign w:val="bottom"/>
          </w:tcPr>
          <w:p w14:paraId="33AFD174"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r w:rsidRPr="00F629B8">
              <w:rPr>
                <w:rFonts w:ascii="Arial" w:hAnsi="Arial" w:cs="Arial"/>
                <w:b/>
                <w:bCs/>
                <w:color w:val="000000"/>
                <w:sz w:val="17"/>
                <w:szCs w:val="17"/>
              </w:rPr>
              <w:t xml:space="preserve"> 3.333.605 </w:t>
            </w:r>
          </w:p>
        </w:tc>
      </w:tr>
    </w:tbl>
    <w:p w14:paraId="40B89458" w14:textId="77777777" w:rsidR="004E2F51" w:rsidRDefault="004E2F51" w:rsidP="004E2F51">
      <w:pPr>
        <w:pStyle w:val="Header"/>
        <w:tabs>
          <w:tab w:val="right" w:pos="1202"/>
        </w:tabs>
        <w:spacing w:line="301" w:lineRule="exact"/>
        <w:outlineLvl w:val="0"/>
        <w:rPr>
          <w:rFonts w:ascii="Arial" w:hAnsi="Arial" w:cs="Arial"/>
          <w:i/>
          <w:color w:val="000000" w:themeColor="text1"/>
          <w:sz w:val="20"/>
          <w:lang w:val="hr-HR"/>
        </w:rPr>
      </w:pPr>
    </w:p>
    <w:p w14:paraId="041FBA08" w14:textId="77777777" w:rsidR="004E2F51" w:rsidRPr="00100ED3" w:rsidRDefault="004E2F51" w:rsidP="004E2F51">
      <w:pPr>
        <w:pStyle w:val="Header"/>
        <w:tabs>
          <w:tab w:val="right" w:pos="1202"/>
        </w:tabs>
        <w:spacing w:line="301" w:lineRule="exact"/>
        <w:outlineLvl w:val="0"/>
        <w:rPr>
          <w:rFonts w:ascii="Arial" w:hAnsi="Arial" w:cs="Arial"/>
          <w:i/>
          <w:color w:val="000000" w:themeColor="text1"/>
          <w:sz w:val="20"/>
          <w:lang w:val="hr-HR"/>
        </w:rPr>
      </w:pPr>
    </w:p>
    <w:p w14:paraId="50307203" w14:textId="77777777" w:rsidR="004E2F51" w:rsidRPr="00100ED3" w:rsidRDefault="004E2F51" w:rsidP="004E2F51">
      <w:pPr>
        <w:pStyle w:val="Header"/>
        <w:tabs>
          <w:tab w:val="right" w:pos="1202"/>
        </w:tabs>
        <w:spacing w:line="301" w:lineRule="exact"/>
        <w:outlineLvl w:val="0"/>
        <w:rPr>
          <w:rFonts w:ascii="Arial" w:hAnsi="Arial" w:cs="Arial"/>
          <w:i/>
          <w:color w:val="000000" w:themeColor="text1"/>
          <w:sz w:val="20"/>
          <w:lang w:val="hr-HR"/>
        </w:rPr>
      </w:pPr>
    </w:p>
    <w:tbl>
      <w:tblPr>
        <w:tblW w:w="5382" w:type="pct"/>
        <w:tblInd w:w="-493" w:type="dxa"/>
        <w:tblLayout w:type="fixed"/>
        <w:tblCellMar>
          <w:left w:w="120" w:type="dxa"/>
          <w:right w:w="120" w:type="dxa"/>
        </w:tblCellMar>
        <w:tblLook w:val="0000" w:firstRow="0" w:lastRow="0" w:firstColumn="0" w:lastColumn="0" w:noHBand="0" w:noVBand="0"/>
      </w:tblPr>
      <w:tblGrid>
        <w:gridCol w:w="3219"/>
        <w:gridCol w:w="1120"/>
        <w:gridCol w:w="1118"/>
        <w:gridCol w:w="1120"/>
        <w:gridCol w:w="1120"/>
        <w:gridCol w:w="1120"/>
        <w:gridCol w:w="1253"/>
      </w:tblGrid>
      <w:tr w:rsidR="004E2F51" w:rsidRPr="00C40415" w14:paraId="0A4016DC" w14:textId="77777777" w:rsidTr="00E032FC">
        <w:trPr>
          <w:trHeight w:val="452"/>
        </w:trPr>
        <w:tc>
          <w:tcPr>
            <w:tcW w:w="1598" w:type="pct"/>
          </w:tcPr>
          <w:p w14:paraId="6D92C443" w14:textId="77777777" w:rsidR="004E2F51" w:rsidRPr="00C40415" w:rsidRDefault="004E2F51" w:rsidP="00E032FC">
            <w:pPr>
              <w:tabs>
                <w:tab w:val="right" w:pos="1202"/>
              </w:tabs>
              <w:spacing w:line="240" w:lineRule="atLeas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Grupa</w:t>
            </w:r>
          </w:p>
          <w:p w14:paraId="3280431D" w14:textId="77777777" w:rsidR="004E2F51" w:rsidRPr="00C40415" w:rsidRDefault="004E2F51" w:rsidP="00E032FC">
            <w:pPr>
              <w:tabs>
                <w:tab w:val="right" w:pos="1202"/>
              </w:tabs>
              <w:spacing w:line="240" w:lineRule="atLeas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 xml:space="preserve">31. prosinca 2021. </w:t>
            </w:r>
          </w:p>
        </w:tc>
        <w:tc>
          <w:tcPr>
            <w:tcW w:w="556" w:type="pct"/>
          </w:tcPr>
          <w:p w14:paraId="7D9B8447"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Do 1 mjesec</w:t>
            </w:r>
          </w:p>
        </w:tc>
        <w:tc>
          <w:tcPr>
            <w:tcW w:w="555" w:type="pct"/>
          </w:tcPr>
          <w:p w14:paraId="522E8257"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1 do 3 mjeseca</w:t>
            </w:r>
          </w:p>
        </w:tc>
        <w:tc>
          <w:tcPr>
            <w:tcW w:w="556" w:type="pct"/>
          </w:tcPr>
          <w:p w14:paraId="5D4B28D5"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3 mj. do 1 godine</w:t>
            </w:r>
          </w:p>
        </w:tc>
        <w:tc>
          <w:tcPr>
            <w:tcW w:w="556" w:type="pct"/>
          </w:tcPr>
          <w:p w14:paraId="276A5C6E"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1 do 3 godina</w:t>
            </w:r>
          </w:p>
        </w:tc>
        <w:tc>
          <w:tcPr>
            <w:tcW w:w="556" w:type="pct"/>
          </w:tcPr>
          <w:p w14:paraId="3668B4C3"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Preko 3 godine</w:t>
            </w:r>
          </w:p>
        </w:tc>
        <w:tc>
          <w:tcPr>
            <w:tcW w:w="622" w:type="pct"/>
          </w:tcPr>
          <w:p w14:paraId="69EB7DA5"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Ukupno</w:t>
            </w:r>
          </w:p>
        </w:tc>
      </w:tr>
      <w:tr w:rsidR="004E2F51" w:rsidRPr="00C40415" w14:paraId="71EEB3A1" w14:textId="77777777" w:rsidTr="00E032FC">
        <w:trPr>
          <w:trHeight w:val="226"/>
        </w:trPr>
        <w:tc>
          <w:tcPr>
            <w:tcW w:w="1598" w:type="pct"/>
            <w:vAlign w:val="bottom"/>
          </w:tcPr>
          <w:p w14:paraId="57B9A952" w14:textId="77777777" w:rsidR="004E2F51" w:rsidRPr="00C40415" w:rsidRDefault="004E2F51" w:rsidP="00E032FC">
            <w:pPr>
              <w:tabs>
                <w:tab w:val="left" w:pos="-720"/>
              </w:tabs>
              <w:jc w:val="center"/>
              <w:rPr>
                <w:rFonts w:ascii="Arial" w:hAnsi="Arial" w:cs="Arial"/>
                <w:b/>
                <w:color w:val="000000" w:themeColor="text1"/>
                <w:spacing w:val="-2"/>
                <w:sz w:val="17"/>
                <w:szCs w:val="17"/>
                <w:lang w:val="hr-HR"/>
              </w:rPr>
            </w:pPr>
          </w:p>
        </w:tc>
        <w:tc>
          <w:tcPr>
            <w:tcW w:w="556" w:type="pct"/>
          </w:tcPr>
          <w:p w14:paraId="08A19FDC"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000 kuna</w:t>
            </w:r>
          </w:p>
        </w:tc>
        <w:tc>
          <w:tcPr>
            <w:tcW w:w="555" w:type="pct"/>
          </w:tcPr>
          <w:p w14:paraId="3B7E7212"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000 kuna</w:t>
            </w:r>
          </w:p>
        </w:tc>
        <w:tc>
          <w:tcPr>
            <w:tcW w:w="556" w:type="pct"/>
          </w:tcPr>
          <w:p w14:paraId="7CEAEA63"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000 kuna</w:t>
            </w:r>
          </w:p>
        </w:tc>
        <w:tc>
          <w:tcPr>
            <w:tcW w:w="556" w:type="pct"/>
          </w:tcPr>
          <w:p w14:paraId="5B2ECD9A"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000 kuna</w:t>
            </w:r>
          </w:p>
        </w:tc>
        <w:tc>
          <w:tcPr>
            <w:tcW w:w="556" w:type="pct"/>
          </w:tcPr>
          <w:p w14:paraId="2D926DAE"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000 kuna</w:t>
            </w:r>
          </w:p>
        </w:tc>
        <w:tc>
          <w:tcPr>
            <w:tcW w:w="622" w:type="pct"/>
          </w:tcPr>
          <w:p w14:paraId="658672CB"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000 kuna</w:t>
            </w:r>
          </w:p>
        </w:tc>
      </w:tr>
      <w:tr w:rsidR="004E2F51" w:rsidRPr="00C40415" w14:paraId="210B1E3B" w14:textId="77777777" w:rsidTr="00E032FC">
        <w:trPr>
          <w:trHeight w:hRule="exact" w:val="266"/>
        </w:trPr>
        <w:tc>
          <w:tcPr>
            <w:tcW w:w="1598" w:type="pct"/>
            <w:vAlign w:val="bottom"/>
          </w:tcPr>
          <w:p w14:paraId="6D6E182E"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Financijske obveze</w:t>
            </w:r>
          </w:p>
        </w:tc>
        <w:tc>
          <w:tcPr>
            <w:tcW w:w="556" w:type="pct"/>
            <w:vAlign w:val="bottom"/>
          </w:tcPr>
          <w:p w14:paraId="33A27DBF"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5" w:type="pct"/>
            <w:vAlign w:val="bottom"/>
          </w:tcPr>
          <w:p w14:paraId="7BBEC48D"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6" w:type="pct"/>
            <w:vAlign w:val="bottom"/>
          </w:tcPr>
          <w:p w14:paraId="60874FF4"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6" w:type="pct"/>
            <w:vAlign w:val="bottom"/>
          </w:tcPr>
          <w:p w14:paraId="421331DC"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556" w:type="pct"/>
            <w:vAlign w:val="bottom"/>
          </w:tcPr>
          <w:p w14:paraId="756CA62D"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c>
          <w:tcPr>
            <w:tcW w:w="622" w:type="pct"/>
            <w:vAlign w:val="bottom"/>
          </w:tcPr>
          <w:p w14:paraId="643003B5"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color w:val="000000" w:themeColor="text1"/>
                <w:sz w:val="17"/>
                <w:szCs w:val="17"/>
                <w:lang w:val="hr-HR"/>
              </w:rPr>
            </w:pPr>
          </w:p>
        </w:tc>
      </w:tr>
      <w:tr w:rsidR="004E2F51" w:rsidRPr="00C40415" w14:paraId="0AE6B319" w14:textId="77777777" w:rsidTr="00E032FC">
        <w:trPr>
          <w:trHeight w:hRule="exact" w:val="213"/>
        </w:trPr>
        <w:tc>
          <w:tcPr>
            <w:tcW w:w="1598" w:type="pct"/>
            <w:vAlign w:val="bottom"/>
          </w:tcPr>
          <w:p w14:paraId="4293915A" w14:textId="77777777" w:rsidR="004E2F51" w:rsidRPr="00C40415"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Obveze po depozitima</w:t>
            </w:r>
          </w:p>
        </w:tc>
        <w:tc>
          <w:tcPr>
            <w:tcW w:w="556" w:type="pct"/>
            <w:tcBorders>
              <w:top w:val="nil"/>
              <w:left w:val="nil"/>
              <w:bottom w:val="nil"/>
              <w:right w:val="nil"/>
            </w:tcBorders>
            <w:shd w:val="clear" w:color="auto" w:fill="auto"/>
            <w:vAlign w:val="bottom"/>
          </w:tcPr>
          <w:p w14:paraId="323C1452"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622.284</w:t>
            </w:r>
          </w:p>
        </w:tc>
        <w:tc>
          <w:tcPr>
            <w:tcW w:w="555" w:type="pct"/>
            <w:tcBorders>
              <w:top w:val="nil"/>
              <w:left w:val="nil"/>
              <w:bottom w:val="nil"/>
              <w:right w:val="nil"/>
            </w:tcBorders>
            <w:shd w:val="clear" w:color="auto" w:fill="auto"/>
            <w:vAlign w:val="bottom"/>
          </w:tcPr>
          <w:p w14:paraId="45E45379"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22.169</w:t>
            </w:r>
          </w:p>
        </w:tc>
        <w:tc>
          <w:tcPr>
            <w:tcW w:w="556" w:type="pct"/>
            <w:tcBorders>
              <w:top w:val="nil"/>
              <w:left w:val="nil"/>
              <w:bottom w:val="nil"/>
              <w:right w:val="nil"/>
            </w:tcBorders>
            <w:shd w:val="clear" w:color="auto" w:fill="auto"/>
            <w:vAlign w:val="bottom"/>
          </w:tcPr>
          <w:p w14:paraId="63631FF2"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105.183</w:t>
            </w:r>
          </w:p>
        </w:tc>
        <w:tc>
          <w:tcPr>
            <w:tcW w:w="556" w:type="pct"/>
            <w:tcBorders>
              <w:top w:val="nil"/>
              <w:left w:val="nil"/>
              <w:bottom w:val="nil"/>
              <w:right w:val="nil"/>
            </w:tcBorders>
            <w:shd w:val="clear" w:color="auto" w:fill="auto"/>
            <w:vAlign w:val="bottom"/>
          </w:tcPr>
          <w:p w14:paraId="6CCD82B1"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95.453</w:t>
            </w:r>
          </w:p>
        </w:tc>
        <w:tc>
          <w:tcPr>
            <w:tcW w:w="556" w:type="pct"/>
            <w:tcBorders>
              <w:top w:val="nil"/>
              <w:left w:val="nil"/>
              <w:bottom w:val="nil"/>
              <w:right w:val="nil"/>
            </w:tcBorders>
            <w:shd w:val="clear" w:color="auto" w:fill="auto"/>
            <w:vAlign w:val="bottom"/>
          </w:tcPr>
          <w:p w14:paraId="231BC334"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115.452</w:t>
            </w:r>
          </w:p>
        </w:tc>
        <w:tc>
          <w:tcPr>
            <w:tcW w:w="622" w:type="pct"/>
            <w:tcBorders>
              <w:top w:val="nil"/>
              <w:left w:val="nil"/>
              <w:bottom w:val="nil"/>
              <w:right w:val="nil"/>
            </w:tcBorders>
            <w:shd w:val="clear" w:color="auto" w:fill="auto"/>
            <w:vAlign w:val="bottom"/>
          </w:tcPr>
          <w:p w14:paraId="7B1C61F3"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960.541</w:t>
            </w:r>
          </w:p>
        </w:tc>
      </w:tr>
      <w:tr w:rsidR="004E2F51" w:rsidRPr="00C40415" w14:paraId="5B8B5D4A" w14:textId="77777777" w:rsidTr="00E032FC">
        <w:trPr>
          <w:trHeight w:hRule="exact" w:val="213"/>
        </w:trPr>
        <w:tc>
          <w:tcPr>
            <w:tcW w:w="1598" w:type="pct"/>
            <w:vAlign w:val="bottom"/>
          </w:tcPr>
          <w:p w14:paraId="4F717776" w14:textId="77777777" w:rsidR="004E2F51" w:rsidRPr="00C40415"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Obveze po kreditima</w:t>
            </w:r>
          </w:p>
        </w:tc>
        <w:tc>
          <w:tcPr>
            <w:tcW w:w="556" w:type="pct"/>
            <w:tcBorders>
              <w:top w:val="nil"/>
              <w:left w:val="nil"/>
              <w:bottom w:val="nil"/>
              <w:right w:val="nil"/>
            </w:tcBorders>
            <w:shd w:val="clear" w:color="auto" w:fill="auto"/>
            <w:vAlign w:val="bottom"/>
          </w:tcPr>
          <w:p w14:paraId="4F00B83E"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258.366</w:t>
            </w:r>
          </w:p>
        </w:tc>
        <w:tc>
          <w:tcPr>
            <w:tcW w:w="555" w:type="pct"/>
            <w:tcBorders>
              <w:top w:val="nil"/>
              <w:left w:val="nil"/>
              <w:bottom w:val="nil"/>
              <w:right w:val="nil"/>
            </w:tcBorders>
            <w:shd w:val="clear" w:color="auto" w:fill="auto"/>
            <w:vAlign w:val="bottom"/>
          </w:tcPr>
          <w:p w14:paraId="69A8FC36"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315.326</w:t>
            </w:r>
          </w:p>
        </w:tc>
        <w:tc>
          <w:tcPr>
            <w:tcW w:w="556" w:type="pct"/>
            <w:tcBorders>
              <w:top w:val="nil"/>
              <w:left w:val="nil"/>
              <w:bottom w:val="nil"/>
              <w:right w:val="nil"/>
            </w:tcBorders>
            <w:shd w:val="clear" w:color="auto" w:fill="auto"/>
            <w:vAlign w:val="bottom"/>
          </w:tcPr>
          <w:p w14:paraId="12E08DB8"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1.927.599</w:t>
            </w:r>
          </w:p>
        </w:tc>
        <w:tc>
          <w:tcPr>
            <w:tcW w:w="556" w:type="pct"/>
            <w:tcBorders>
              <w:top w:val="nil"/>
              <w:left w:val="nil"/>
              <w:bottom w:val="nil"/>
              <w:right w:val="nil"/>
            </w:tcBorders>
            <w:shd w:val="clear" w:color="auto" w:fill="auto"/>
            <w:vAlign w:val="bottom"/>
          </w:tcPr>
          <w:p w14:paraId="4BA9871D"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5.992.204</w:t>
            </w:r>
          </w:p>
        </w:tc>
        <w:tc>
          <w:tcPr>
            <w:tcW w:w="556" w:type="pct"/>
            <w:tcBorders>
              <w:top w:val="nil"/>
              <w:left w:val="nil"/>
              <w:bottom w:val="nil"/>
              <w:right w:val="nil"/>
            </w:tcBorders>
            <w:shd w:val="clear" w:color="auto" w:fill="auto"/>
            <w:vAlign w:val="bottom"/>
          </w:tcPr>
          <w:p w14:paraId="41B13103"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8.623.885</w:t>
            </w:r>
          </w:p>
        </w:tc>
        <w:tc>
          <w:tcPr>
            <w:tcW w:w="622" w:type="pct"/>
            <w:tcBorders>
              <w:top w:val="nil"/>
              <w:left w:val="nil"/>
              <w:bottom w:val="nil"/>
              <w:right w:val="nil"/>
            </w:tcBorders>
            <w:shd w:val="clear" w:color="auto" w:fill="auto"/>
            <w:vAlign w:val="bottom"/>
          </w:tcPr>
          <w:p w14:paraId="45B212E3"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17.117.380</w:t>
            </w:r>
          </w:p>
        </w:tc>
      </w:tr>
      <w:tr w:rsidR="004E2F51" w:rsidRPr="00C40415" w14:paraId="587F3932" w14:textId="77777777" w:rsidTr="00E032FC">
        <w:trPr>
          <w:trHeight w:val="357"/>
        </w:trPr>
        <w:tc>
          <w:tcPr>
            <w:tcW w:w="1598" w:type="pct"/>
            <w:vAlign w:val="bottom"/>
          </w:tcPr>
          <w:p w14:paraId="0C86BD06" w14:textId="77777777" w:rsidR="004E2F51" w:rsidRPr="002662A2" w:rsidRDefault="004E2F51" w:rsidP="00E032FC">
            <w:pPr>
              <w:tabs>
                <w:tab w:val="right" w:pos="1202"/>
              </w:tabs>
              <w:spacing w:line="220" w:lineRule="exact"/>
              <w:outlineLvl w:val="0"/>
              <w:rPr>
                <w:rFonts w:ascii="Arial" w:hAnsi="Arial" w:cs="Arial"/>
                <w:color w:val="000000" w:themeColor="text1"/>
                <w:spacing w:val="-2"/>
                <w:sz w:val="17"/>
                <w:szCs w:val="17"/>
                <w:lang w:val="hr-HR"/>
              </w:rPr>
            </w:pPr>
            <w:r w:rsidRPr="002662A2">
              <w:rPr>
                <w:rFonts w:ascii="Arial" w:hAnsi="Arial" w:cs="Arial"/>
                <w:spacing w:val="-2"/>
                <w:sz w:val="17"/>
                <w:szCs w:val="17"/>
                <w:lang w:val="hr-HR"/>
              </w:rPr>
              <w:t>Rezerviranja za garancije, preuzete i ostale obveze</w:t>
            </w:r>
          </w:p>
        </w:tc>
        <w:tc>
          <w:tcPr>
            <w:tcW w:w="556" w:type="pct"/>
            <w:tcBorders>
              <w:top w:val="nil"/>
              <w:left w:val="nil"/>
              <w:right w:val="nil"/>
            </w:tcBorders>
            <w:shd w:val="clear" w:color="auto" w:fill="auto"/>
            <w:vAlign w:val="bottom"/>
          </w:tcPr>
          <w:p w14:paraId="280E3A31"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105.893</w:t>
            </w:r>
          </w:p>
        </w:tc>
        <w:tc>
          <w:tcPr>
            <w:tcW w:w="555" w:type="pct"/>
            <w:tcBorders>
              <w:top w:val="nil"/>
              <w:left w:val="nil"/>
              <w:right w:val="nil"/>
            </w:tcBorders>
            <w:shd w:val="clear" w:color="auto" w:fill="auto"/>
            <w:vAlign w:val="bottom"/>
          </w:tcPr>
          <w:p w14:paraId="44DB2751"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5.962</w:t>
            </w:r>
          </w:p>
        </w:tc>
        <w:tc>
          <w:tcPr>
            <w:tcW w:w="556" w:type="pct"/>
            <w:tcBorders>
              <w:top w:val="nil"/>
              <w:left w:val="nil"/>
              <w:right w:val="nil"/>
            </w:tcBorders>
            <w:shd w:val="clear" w:color="auto" w:fill="auto"/>
            <w:vAlign w:val="bottom"/>
          </w:tcPr>
          <w:p w14:paraId="26802D23"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20.072</w:t>
            </w:r>
          </w:p>
        </w:tc>
        <w:tc>
          <w:tcPr>
            <w:tcW w:w="556" w:type="pct"/>
            <w:tcBorders>
              <w:top w:val="nil"/>
              <w:left w:val="nil"/>
              <w:right w:val="nil"/>
            </w:tcBorders>
            <w:shd w:val="clear" w:color="auto" w:fill="auto"/>
            <w:vAlign w:val="bottom"/>
          </w:tcPr>
          <w:p w14:paraId="1E5061F9"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30.577</w:t>
            </w:r>
          </w:p>
        </w:tc>
        <w:tc>
          <w:tcPr>
            <w:tcW w:w="556" w:type="pct"/>
            <w:tcBorders>
              <w:top w:val="nil"/>
              <w:left w:val="nil"/>
              <w:right w:val="nil"/>
            </w:tcBorders>
            <w:shd w:val="clear" w:color="auto" w:fill="auto"/>
            <w:vAlign w:val="bottom"/>
          </w:tcPr>
          <w:p w14:paraId="0CCB4129"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28.056</w:t>
            </w:r>
          </w:p>
        </w:tc>
        <w:tc>
          <w:tcPr>
            <w:tcW w:w="622" w:type="pct"/>
            <w:tcBorders>
              <w:top w:val="nil"/>
              <w:left w:val="nil"/>
              <w:right w:val="nil"/>
            </w:tcBorders>
            <w:shd w:val="clear" w:color="auto" w:fill="auto"/>
            <w:vAlign w:val="bottom"/>
          </w:tcPr>
          <w:p w14:paraId="6C8F821B"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190.560</w:t>
            </w:r>
          </w:p>
        </w:tc>
      </w:tr>
      <w:tr w:rsidR="004E2F51" w:rsidRPr="00C40415" w14:paraId="6725D4E1" w14:textId="77777777" w:rsidTr="00E032FC">
        <w:trPr>
          <w:trHeight w:hRule="exact" w:val="213"/>
        </w:trPr>
        <w:tc>
          <w:tcPr>
            <w:tcW w:w="1598" w:type="pct"/>
            <w:vAlign w:val="bottom"/>
          </w:tcPr>
          <w:p w14:paraId="23C228E1" w14:textId="77777777" w:rsidR="004E2F51" w:rsidRPr="00C40415"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Ostale obveze</w:t>
            </w:r>
          </w:p>
        </w:tc>
        <w:tc>
          <w:tcPr>
            <w:tcW w:w="556" w:type="pct"/>
            <w:tcBorders>
              <w:top w:val="nil"/>
              <w:left w:val="nil"/>
              <w:bottom w:val="single" w:sz="4" w:space="0" w:color="auto"/>
              <w:right w:val="nil"/>
            </w:tcBorders>
            <w:shd w:val="clear" w:color="auto" w:fill="auto"/>
          </w:tcPr>
          <w:p w14:paraId="6AA700EC"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232.641</w:t>
            </w:r>
          </w:p>
        </w:tc>
        <w:tc>
          <w:tcPr>
            <w:tcW w:w="555" w:type="pct"/>
            <w:tcBorders>
              <w:top w:val="nil"/>
              <w:left w:val="nil"/>
              <w:bottom w:val="single" w:sz="4" w:space="0" w:color="auto"/>
              <w:right w:val="nil"/>
            </w:tcBorders>
            <w:shd w:val="clear" w:color="auto" w:fill="auto"/>
          </w:tcPr>
          <w:p w14:paraId="23DB5EFD"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15.695</w:t>
            </w:r>
          </w:p>
        </w:tc>
        <w:tc>
          <w:tcPr>
            <w:tcW w:w="556" w:type="pct"/>
            <w:tcBorders>
              <w:top w:val="nil"/>
              <w:left w:val="nil"/>
              <w:bottom w:val="single" w:sz="4" w:space="0" w:color="auto"/>
              <w:right w:val="nil"/>
            </w:tcBorders>
            <w:shd w:val="clear" w:color="auto" w:fill="auto"/>
          </w:tcPr>
          <w:p w14:paraId="31D7D00D"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51.058</w:t>
            </w:r>
          </w:p>
        </w:tc>
        <w:tc>
          <w:tcPr>
            <w:tcW w:w="556" w:type="pct"/>
            <w:tcBorders>
              <w:top w:val="nil"/>
              <w:left w:val="nil"/>
              <w:bottom w:val="single" w:sz="4" w:space="0" w:color="auto"/>
              <w:right w:val="nil"/>
            </w:tcBorders>
            <w:shd w:val="clear" w:color="auto" w:fill="auto"/>
          </w:tcPr>
          <w:p w14:paraId="3F5548C8"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75.994</w:t>
            </w:r>
          </w:p>
        </w:tc>
        <w:tc>
          <w:tcPr>
            <w:tcW w:w="556" w:type="pct"/>
            <w:tcBorders>
              <w:top w:val="nil"/>
              <w:left w:val="nil"/>
              <w:bottom w:val="single" w:sz="4" w:space="0" w:color="auto"/>
              <w:right w:val="nil"/>
            </w:tcBorders>
            <w:shd w:val="clear" w:color="auto" w:fill="auto"/>
          </w:tcPr>
          <w:p w14:paraId="45D5F420"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59.851</w:t>
            </w:r>
          </w:p>
        </w:tc>
        <w:tc>
          <w:tcPr>
            <w:tcW w:w="622" w:type="pct"/>
            <w:tcBorders>
              <w:top w:val="nil"/>
              <w:left w:val="nil"/>
              <w:bottom w:val="single" w:sz="4" w:space="0" w:color="auto"/>
              <w:right w:val="nil"/>
            </w:tcBorders>
            <w:shd w:val="clear" w:color="auto" w:fill="auto"/>
          </w:tcPr>
          <w:p w14:paraId="3C0356CD"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435.239</w:t>
            </w:r>
          </w:p>
        </w:tc>
      </w:tr>
      <w:tr w:rsidR="004E2F51" w:rsidRPr="00C40415" w14:paraId="2529DFC6" w14:textId="77777777" w:rsidTr="00E032FC">
        <w:trPr>
          <w:trHeight w:hRule="exact" w:val="266"/>
        </w:trPr>
        <w:tc>
          <w:tcPr>
            <w:tcW w:w="1598" w:type="pct"/>
            <w:vAlign w:val="bottom"/>
          </w:tcPr>
          <w:p w14:paraId="3164B6D9" w14:textId="77777777" w:rsidR="004E2F51" w:rsidRPr="00C40415" w:rsidRDefault="004E2F51" w:rsidP="00E032FC">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Ukupno</w:t>
            </w:r>
          </w:p>
        </w:tc>
        <w:tc>
          <w:tcPr>
            <w:tcW w:w="556" w:type="pct"/>
            <w:tcBorders>
              <w:top w:val="single" w:sz="4" w:space="0" w:color="auto"/>
              <w:left w:val="nil"/>
              <w:bottom w:val="single" w:sz="12" w:space="0" w:color="auto"/>
              <w:right w:val="nil"/>
            </w:tcBorders>
            <w:shd w:val="clear" w:color="auto" w:fill="auto"/>
          </w:tcPr>
          <w:p w14:paraId="7FC76703" w14:textId="77777777" w:rsidR="004E2F51" w:rsidRPr="00C40415" w:rsidRDefault="004E2F51" w:rsidP="00E032FC">
            <w:pPr>
              <w:tabs>
                <w:tab w:val="right" w:pos="1202"/>
              </w:tabs>
              <w:spacing w:line="240" w:lineRule="exact"/>
              <w:jc w:val="right"/>
              <w:outlineLvl w:val="0"/>
              <w:rPr>
                <w:rFonts w:ascii="Arial" w:hAnsi="Arial" w:cs="Arial"/>
                <w:b/>
                <w:bCs/>
                <w:color w:val="000000"/>
                <w:sz w:val="17"/>
                <w:szCs w:val="17"/>
              </w:rPr>
            </w:pPr>
            <w:r w:rsidRPr="00C40415">
              <w:rPr>
                <w:rFonts w:ascii="Arial" w:hAnsi="Arial" w:cs="Arial"/>
                <w:b/>
                <w:bCs/>
                <w:color w:val="000000"/>
                <w:sz w:val="17"/>
                <w:szCs w:val="17"/>
              </w:rPr>
              <w:t>1.219.184</w:t>
            </w:r>
          </w:p>
        </w:tc>
        <w:tc>
          <w:tcPr>
            <w:tcW w:w="555" w:type="pct"/>
            <w:tcBorders>
              <w:top w:val="nil"/>
              <w:left w:val="nil"/>
              <w:bottom w:val="single" w:sz="12" w:space="0" w:color="auto"/>
              <w:right w:val="nil"/>
            </w:tcBorders>
            <w:shd w:val="clear" w:color="auto" w:fill="auto"/>
          </w:tcPr>
          <w:p w14:paraId="1FC7E989" w14:textId="77777777" w:rsidR="004E2F51" w:rsidRPr="00C40415" w:rsidRDefault="004E2F51" w:rsidP="00E032FC">
            <w:pPr>
              <w:tabs>
                <w:tab w:val="right" w:pos="1202"/>
              </w:tabs>
              <w:spacing w:line="240" w:lineRule="exact"/>
              <w:jc w:val="right"/>
              <w:outlineLvl w:val="0"/>
              <w:rPr>
                <w:rFonts w:ascii="Arial" w:hAnsi="Arial" w:cs="Arial"/>
                <w:b/>
                <w:bCs/>
                <w:color w:val="000000"/>
                <w:sz w:val="17"/>
                <w:szCs w:val="17"/>
              </w:rPr>
            </w:pPr>
            <w:r w:rsidRPr="00C40415">
              <w:rPr>
                <w:rFonts w:ascii="Arial" w:hAnsi="Arial" w:cs="Arial"/>
                <w:b/>
                <w:bCs/>
                <w:color w:val="000000"/>
                <w:sz w:val="17"/>
                <w:szCs w:val="17"/>
              </w:rPr>
              <w:t>359.152</w:t>
            </w:r>
          </w:p>
        </w:tc>
        <w:tc>
          <w:tcPr>
            <w:tcW w:w="556" w:type="pct"/>
            <w:tcBorders>
              <w:top w:val="nil"/>
              <w:left w:val="nil"/>
              <w:bottom w:val="single" w:sz="12" w:space="0" w:color="auto"/>
              <w:right w:val="nil"/>
            </w:tcBorders>
            <w:shd w:val="clear" w:color="auto" w:fill="auto"/>
          </w:tcPr>
          <w:p w14:paraId="5356E198" w14:textId="77777777" w:rsidR="004E2F51" w:rsidRPr="00C40415" w:rsidRDefault="004E2F51" w:rsidP="00E032FC">
            <w:pPr>
              <w:tabs>
                <w:tab w:val="right" w:pos="1202"/>
              </w:tabs>
              <w:spacing w:line="240" w:lineRule="exact"/>
              <w:jc w:val="right"/>
              <w:outlineLvl w:val="0"/>
              <w:rPr>
                <w:rFonts w:ascii="Arial" w:hAnsi="Arial" w:cs="Arial"/>
                <w:b/>
                <w:bCs/>
                <w:color w:val="000000"/>
                <w:sz w:val="17"/>
                <w:szCs w:val="17"/>
              </w:rPr>
            </w:pPr>
            <w:r w:rsidRPr="00C40415">
              <w:rPr>
                <w:rFonts w:ascii="Arial" w:hAnsi="Arial" w:cs="Arial"/>
                <w:b/>
                <w:bCs/>
                <w:color w:val="000000"/>
                <w:sz w:val="17"/>
                <w:szCs w:val="17"/>
              </w:rPr>
              <w:t>2.103.912</w:t>
            </w:r>
          </w:p>
        </w:tc>
        <w:tc>
          <w:tcPr>
            <w:tcW w:w="556" w:type="pct"/>
            <w:tcBorders>
              <w:top w:val="nil"/>
              <w:left w:val="nil"/>
              <w:bottom w:val="single" w:sz="12" w:space="0" w:color="auto"/>
              <w:right w:val="nil"/>
            </w:tcBorders>
            <w:shd w:val="clear" w:color="auto" w:fill="auto"/>
          </w:tcPr>
          <w:p w14:paraId="4719603B" w14:textId="77777777" w:rsidR="004E2F51" w:rsidRPr="00C40415" w:rsidRDefault="004E2F51" w:rsidP="00E032FC">
            <w:pPr>
              <w:tabs>
                <w:tab w:val="right" w:pos="1202"/>
              </w:tabs>
              <w:spacing w:line="240" w:lineRule="exact"/>
              <w:jc w:val="right"/>
              <w:outlineLvl w:val="0"/>
              <w:rPr>
                <w:rFonts w:ascii="Arial" w:hAnsi="Arial" w:cs="Arial"/>
                <w:b/>
                <w:bCs/>
                <w:color w:val="000000"/>
                <w:sz w:val="17"/>
                <w:szCs w:val="17"/>
              </w:rPr>
            </w:pPr>
            <w:r w:rsidRPr="00C40415">
              <w:rPr>
                <w:rFonts w:ascii="Arial" w:hAnsi="Arial" w:cs="Arial"/>
                <w:b/>
                <w:bCs/>
                <w:color w:val="000000"/>
                <w:sz w:val="17"/>
                <w:szCs w:val="17"/>
              </w:rPr>
              <w:t>6.194.228</w:t>
            </w:r>
          </w:p>
        </w:tc>
        <w:tc>
          <w:tcPr>
            <w:tcW w:w="556" w:type="pct"/>
            <w:tcBorders>
              <w:top w:val="nil"/>
              <w:left w:val="nil"/>
              <w:bottom w:val="single" w:sz="12" w:space="0" w:color="auto"/>
              <w:right w:val="nil"/>
            </w:tcBorders>
            <w:shd w:val="clear" w:color="auto" w:fill="auto"/>
          </w:tcPr>
          <w:p w14:paraId="338D935F" w14:textId="77777777" w:rsidR="004E2F51" w:rsidRPr="00C40415" w:rsidRDefault="004E2F51" w:rsidP="00E032FC">
            <w:pPr>
              <w:tabs>
                <w:tab w:val="right" w:pos="1202"/>
              </w:tabs>
              <w:spacing w:line="240" w:lineRule="exact"/>
              <w:jc w:val="right"/>
              <w:outlineLvl w:val="0"/>
              <w:rPr>
                <w:rFonts w:ascii="Arial" w:hAnsi="Arial" w:cs="Arial"/>
                <w:b/>
                <w:bCs/>
                <w:color w:val="000000"/>
                <w:sz w:val="17"/>
                <w:szCs w:val="17"/>
              </w:rPr>
            </w:pPr>
            <w:r w:rsidRPr="00C40415">
              <w:rPr>
                <w:rFonts w:ascii="Arial" w:hAnsi="Arial" w:cs="Arial"/>
                <w:b/>
                <w:bCs/>
                <w:color w:val="000000"/>
                <w:sz w:val="17"/>
                <w:szCs w:val="17"/>
              </w:rPr>
              <w:t>8.827.244</w:t>
            </w:r>
          </w:p>
        </w:tc>
        <w:tc>
          <w:tcPr>
            <w:tcW w:w="622" w:type="pct"/>
            <w:tcBorders>
              <w:top w:val="nil"/>
              <w:left w:val="nil"/>
              <w:bottom w:val="single" w:sz="12" w:space="0" w:color="auto"/>
              <w:right w:val="nil"/>
            </w:tcBorders>
            <w:shd w:val="clear" w:color="auto" w:fill="auto"/>
          </w:tcPr>
          <w:p w14:paraId="595B787B" w14:textId="77777777" w:rsidR="004E2F51" w:rsidRPr="00C40415" w:rsidRDefault="004E2F51" w:rsidP="00E032FC">
            <w:pPr>
              <w:tabs>
                <w:tab w:val="right" w:pos="1202"/>
              </w:tabs>
              <w:spacing w:line="240" w:lineRule="exact"/>
              <w:jc w:val="right"/>
              <w:outlineLvl w:val="0"/>
              <w:rPr>
                <w:rFonts w:ascii="Arial" w:hAnsi="Arial" w:cs="Arial"/>
                <w:b/>
                <w:bCs/>
                <w:color w:val="000000"/>
                <w:sz w:val="17"/>
                <w:szCs w:val="17"/>
              </w:rPr>
            </w:pPr>
            <w:r w:rsidRPr="00C40415">
              <w:rPr>
                <w:rFonts w:ascii="Arial" w:hAnsi="Arial" w:cs="Arial"/>
                <w:b/>
                <w:bCs/>
                <w:color w:val="000000"/>
                <w:sz w:val="17"/>
                <w:szCs w:val="17"/>
              </w:rPr>
              <w:t>18.703.720</w:t>
            </w:r>
          </w:p>
        </w:tc>
      </w:tr>
      <w:tr w:rsidR="004E2F51" w:rsidRPr="00C40415" w14:paraId="6959C8D0" w14:textId="77777777" w:rsidTr="00E032FC">
        <w:trPr>
          <w:trHeight w:hRule="exact" w:val="106"/>
        </w:trPr>
        <w:tc>
          <w:tcPr>
            <w:tcW w:w="1598" w:type="pct"/>
            <w:vAlign w:val="bottom"/>
          </w:tcPr>
          <w:p w14:paraId="527A87A5"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556" w:type="pct"/>
            <w:tcBorders>
              <w:top w:val="nil"/>
              <w:left w:val="nil"/>
              <w:right w:val="nil"/>
            </w:tcBorders>
            <w:shd w:val="clear" w:color="auto" w:fill="auto"/>
            <w:vAlign w:val="bottom"/>
          </w:tcPr>
          <w:p w14:paraId="41B2A12E"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555" w:type="pct"/>
            <w:tcBorders>
              <w:top w:val="nil"/>
              <w:left w:val="nil"/>
              <w:right w:val="nil"/>
            </w:tcBorders>
            <w:shd w:val="clear" w:color="auto" w:fill="auto"/>
            <w:vAlign w:val="bottom"/>
          </w:tcPr>
          <w:p w14:paraId="7CDE2C30"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556" w:type="pct"/>
            <w:tcBorders>
              <w:top w:val="nil"/>
              <w:left w:val="nil"/>
              <w:right w:val="nil"/>
            </w:tcBorders>
            <w:shd w:val="clear" w:color="auto" w:fill="auto"/>
            <w:vAlign w:val="bottom"/>
          </w:tcPr>
          <w:p w14:paraId="72521C67"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556" w:type="pct"/>
            <w:tcBorders>
              <w:top w:val="nil"/>
              <w:left w:val="nil"/>
              <w:right w:val="nil"/>
            </w:tcBorders>
            <w:shd w:val="clear" w:color="auto" w:fill="auto"/>
            <w:vAlign w:val="bottom"/>
          </w:tcPr>
          <w:p w14:paraId="53189C12"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556" w:type="pct"/>
            <w:tcBorders>
              <w:top w:val="nil"/>
              <w:left w:val="nil"/>
              <w:right w:val="nil"/>
            </w:tcBorders>
            <w:shd w:val="clear" w:color="auto" w:fill="auto"/>
            <w:vAlign w:val="bottom"/>
          </w:tcPr>
          <w:p w14:paraId="722833BB"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622" w:type="pct"/>
            <w:tcBorders>
              <w:top w:val="nil"/>
              <w:left w:val="nil"/>
              <w:right w:val="nil"/>
            </w:tcBorders>
            <w:shd w:val="clear" w:color="auto" w:fill="auto"/>
            <w:vAlign w:val="bottom"/>
          </w:tcPr>
          <w:p w14:paraId="0B557AEF"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r>
      <w:tr w:rsidR="004E2F51" w:rsidRPr="00C40415" w14:paraId="639E5A3F" w14:textId="77777777" w:rsidTr="00E032FC">
        <w:trPr>
          <w:trHeight w:val="170"/>
        </w:trPr>
        <w:tc>
          <w:tcPr>
            <w:tcW w:w="1598" w:type="pct"/>
            <w:tcBorders>
              <w:top w:val="nil"/>
              <w:left w:val="nil"/>
              <w:bottom w:val="nil"/>
              <w:right w:val="nil"/>
            </w:tcBorders>
            <w:shd w:val="clear" w:color="auto" w:fill="auto"/>
            <w:vAlign w:val="bottom"/>
          </w:tcPr>
          <w:p w14:paraId="3479B0ED"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Garancije i preuzete obveze</w:t>
            </w:r>
          </w:p>
        </w:tc>
        <w:tc>
          <w:tcPr>
            <w:tcW w:w="556" w:type="pct"/>
            <w:tcBorders>
              <w:top w:val="nil"/>
              <w:left w:val="nil"/>
              <w:bottom w:val="nil"/>
              <w:right w:val="nil"/>
            </w:tcBorders>
            <w:shd w:val="clear" w:color="auto" w:fill="auto"/>
            <w:vAlign w:val="bottom"/>
          </w:tcPr>
          <w:p w14:paraId="3B853403"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555" w:type="pct"/>
            <w:tcBorders>
              <w:top w:val="nil"/>
              <w:left w:val="nil"/>
              <w:bottom w:val="nil"/>
              <w:right w:val="nil"/>
            </w:tcBorders>
            <w:shd w:val="clear" w:color="auto" w:fill="auto"/>
            <w:vAlign w:val="bottom"/>
          </w:tcPr>
          <w:p w14:paraId="00292E9C"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556" w:type="pct"/>
            <w:tcBorders>
              <w:top w:val="nil"/>
              <w:left w:val="nil"/>
              <w:bottom w:val="nil"/>
              <w:right w:val="nil"/>
            </w:tcBorders>
            <w:shd w:val="clear" w:color="auto" w:fill="auto"/>
            <w:vAlign w:val="bottom"/>
          </w:tcPr>
          <w:p w14:paraId="46EDD024"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556" w:type="pct"/>
            <w:tcBorders>
              <w:top w:val="nil"/>
              <w:left w:val="nil"/>
              <w:bottom w:val="nil"/>
              <w:right w:val="nil"/>
            </w:tcBorders>
            <w:shd w:val="clear" w:color="auto" w:fill="auto"/>
            <w:vAlign w:val="bottom"/>
          </w:tcPr>
          <w:p w14:paraId="2C56DB22"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556" w:type="pct"/>
            <w:tcBorders>
              <w:top w:val="nil"/>
              <w:left w:val="nil"/>
              <w:bottom w:val="nil"/>
              <w:right w:val="nil"/>
            </w:tcBorders>
            <w:shd w:val="clear" w:color="auto" w:fill="auto"/>
            <w:vAlign w:val="bottom"/>
          </w:tcPr>
          <w:p w14:paraId="1B21785A"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c>
          <w:tcPr>
            <w:tcW w:w="622" w:type="pct"/>
            <w:tcBorders>
              <w:top w:val="nil"/>
              <w:left w:val="nil"/>
              <w:bottom w:val="nil"/>
              <w:right w:val="nil"/>
            </w:tcBorders>
            <w:shd w:val="clear" w:color="auto" w:fill="auto"/>
            <w:vAlign w:val="bottom"/>
          </w:tcPr>
          <w:p w14:paraId="6E12D5BB" w14:textId="77777777" w:rsidR="004E2F51" w:rsidRPr="00C40415" w:rsidRDefault="004E2F51" w:rsidP="00E032FC">
            <w:pPr>
              <w:tabs>
                <w:tab w:val="right" w:pos="1202"/>
              </w:tabs>
              <w:spacing w:line="301" w:lineRule="exact"/>
              <w:outlineLvl w:val="0"/>
              <w:rPr>
                <w:rFonts w:ascii="Arial" w:hAnsi="Arial" w:cs="Arial"/>
                <w:b/>
                <w:bCs/>
                <w:color w:val="000000" w:themeColor="text1"/>
                <w:sz w:val="17"/>
                <w:szCs w:val="17"/>
                <w:lang w:val="hr-HR"/>
              </w:rPr>
            </w:pPr>
          </w:p>
        </w:tc>
      </w:tr>
      <w:tr w:rsidR="004E2F51" w:rsidRPr="00C40415" w14:paraId="2EC5DB06" w14:textId="77777777" w:rsidTr="00E032FC">
        <w:trPr>
          <w:trHeight w:hRule="exact" w:val="213"/>
        </w:trPr>
        <w:tc>
          <w:tcPr>
            <w:tcW w:w="1598" w:type="pct"/>
            <w:tcBorders>
              <w:top w:val="nil"/>
              <w:left w:val="nil"/>
              <w:bottom w:val="nil"/>
              <w:right w:val="nil"/>
            </w:tcBorders>
            <w:shd w:val="clear" w:color="auto" w:fill="auto"/>
            <w:vAlign w:val="center"/>
          </w:tcPr>
          <w:p w14:paraId="4CF911B5" w14:textId="77777777" w:rsidR="004E2F51" w:rsidRPr="00C40415"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Izdane garancije u kunama</w:t>
            </w:r>
          </w:p>
        </w:tc>
        <w:tc>
          <w:tcPr>
            <w:tcW w:w="556" w:type="pct"/>
            <w:tcBorders>
              <w:top w:val="nil"/>
              <w:left w:val="nil"/>
              <w:bottom w:val="nil"/>
              <w:right w:val="nil"/>
            </w:tcBorders>
            <w:shd w:val="clear" w:color="auto" w:fill="auto"/>
            <w:vAlign w:val="bottom"/>
          </w:tcPr>
          <w:p w14:paraId="0A291909"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170.555 </w:t>
            </w:r>
          </w:p>
        </w:tc>
        <w:tc>
          <w:tcPr>
            <w:tcW w:w="555" w:type="pct"/>
            <w:tcBorders>
              <w:top w:val="nil"/>
              <w:left w:val="nil"/>
              <w:bottom w:val="nil"/>
              <w:right w:val="nil"/>
            </w:tcBorders>
            <w:shd w:val="clear" w:color="auto" w:fill="auto"/>
            <w:vAlign w:val="bottom"/>
          </w:tcPr>
          <w:p w14:paraId="65B21E4C"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7D413401"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497507DE"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29BBB314"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 </w:t>
            </w:r>
          </w:p>
        </w:tc>
        <w:tc>
          <w:tcPr>
            <w:tcW w:w="622" w:type="pct"/>
            <w:tcBorders>
              <w:top w:val="nil"/>
              <w:left w:val="nil"/>
              <w:bottom w:val="nil"/>
              <w:right w:val="nil"/>
            </w:tcBorders>
            <w:shd w:val="clear" w:color="auto" w:fill="auto"/>
            <w:vAlign w:val="bottom"/>
          </w:tcPr>
          <w:p w14:paraId="20D1E188"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rPr>
              <w:t>170.555</w:t>
            </w:r>
          </w:p>
        </w:tc>
      </w:tr>
      <w:tr w:rsidR="004E2F51" w:rsidRPr="00C40415" w14:paraId="70A74418" w14:textId="77777777" w:rsidTr="00E032FC">
        <w:trPr>
          <w:trHeight w:hRule="exact" w:val="213"/>
        </w:trPr>
        <w:tc>
          <w:tcPr>
            <w:tcW w:w="1598" w:type="pct"/>
            <w:tcBorders>
              <w:top w:val="nil"/>
              <w:left w:val="nil"/>
              <w:bottom w:val="nil"/>
              <w:right w:val="nil"/>
            </w:tcBorders>
            <w:shd w:val="clear" w:color="auto" w:fill="auto"/>
            <w:vAlign w:val="center"/>
          </w:tcPr>
          <w:p w14:paraId="77704CFE" w14:textId="77777777" w:rsidR="004E2F51" w:rsidRPr="00C40415"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Izdane garancije u devizama</w:t>
            </w:r>
          </w:p>
        </w:tc>
        <w:tc>
          <w:tcPr>
            <w:tcW w:w="556" w:type="pct"/>
            <w:tcBorders>
              <w:top w:val="nil"/>
              <w:left w:val="nil"/>
              <w:bottom w:val="nil"/>
              <w:right w:val="nil"/>
            </w:tcBorders>
            <w:shd w:val="clear" w:color="auto" w:fill="auto"/>
            <w:vAlign w:val="bottom"/>
          </w:tcPr>
          <w:p w14:paraId="2A46A7FB"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325.103 </w:t>
            </w:r>
          </w:p>
        </w:tc>
        <w:tc>
          <w:tcPr>
            <w:tcW w:w="555" w:type="pct"/>
            <w:tcBorders>
              <w:top w:val="nil"/>
              <w:left w:val="nil"/>
              <w:bottom w:val="nil"/>
              <w:right w:val="nil"/>
            </w:tcBorders>
            <w:shd w:val="clear" w:color="auto" w:fill="auto"/>
            <w:vAlign w:val="bottom"/>
          </w:tcPr>
          <w:p w14:paraId="73A71DD3"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6D301917"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693F87DB"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454BCA2E"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 </w:t>
            </w:r>
          </w:p>
        </w:tc>
        <w:tc>
          <w:tcPr>
            <w:tcW w:w="622" w:type="pct"/>
            <w:tcBorders>
              <w:top w:val="nil"/>
              <w:left w:val="nil"/>
              <w:bottom w:val="nil"/>
              <w:right w:val="nil"/>
            </w:tcBorders>
            <w:shd w:val="clear" w:color="auto" w:fill="auto"/>
            <w:vAlign w:val="bottom"/>
          </w:tcPr>
          <w:p w14:paraId="07981697"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rPr>
              <w:t>325.103</w:t>
            </w:r>
          </w:p>
        </w:tc>
      </w:tr>
      <w:tr w:rsidR="004E2F51" w:rsidRPr="00C40415" w14:paraId="4A57B64B" w14:textId="77777777" w:rsidTr="00E032FC">
        <w:trPr>
          <w:trHeight w:hRule="exact" w:val="213"/>
        </w:trPr>
        <w:tc>
          <w:tcPr>
            <w:tcW w:w="1598" w:type="pct"/>
            <w:tcBorders>
              <w:top w:val="nil"/>
              <w:left w:val="nil"/>
              <w:bottom w:val="nil"/>
              <w:right w:val="nil"/>
            </w:tcBorders>
            <w:shd w:val="clear" w:color="auto" w:fill="auto"/>
            <w:vAlign w:val="center"/>
          </w:tcPr>
          <w:p w14:paraId="5BEC311F" w14:textId="77777777" w:rsidR="004E2F51" w:rsidRPr="00C40415"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eastAsia="Calibri" w:hAnsi="Arial" w:cs="Arial"/>
                <w:color w:val="000000" w:themeColor="text1"/>
                <w:spacing w:val="-2"/>
                <w:sz w:val="17"/>
                <w:szCs w:val="17"/>
                <w:lang w:val="hr-HR"/>
              </w:rPr>
              <w:t>Preuzete obveze po kreditima</w:t>
            </w:r>
          </w:p>
        </w:tc>
        <w:tc>
          <w:tcPr>
            <w:tcW w:w="556" w:type="pct"/>
            <w:tcBorders>
              <w:top w:val="nil"/>
              <w:left w:val="nil"/>
              <w:bottom w:val="nil"/>
              <w:right w:val="nil"/>
            </w:tcBorders>
            <w:shd w:val="clear" w:color="auto" w:fill="auto"/>
            <w:vAlign w:val="bottom"/>
          </w:tcPr>
          <w:p w14:paraId="0F255B64"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3.492.038 </w:t>
            </w:r>
          </w:p>
        </w:tc>
        <w:tc>
          <w:tcPr>
            <w:tcW w:w="555" w:type="pct"/>
            <w:tcBorders>
              <w:top w:val="nil"/>
              <w:left w:val="nil"/>
              <w:bottom w:val="nil"/>
              <w:right w:val="nil"/>
            </w:tcBorders>
            <w:shd w:val="clear" w:color="auto" w:fill="auto"/>
            <w:vAlign w:val="bottom"/>
          </w:tcPr>
          <w:p w14:paraId="272FB8BD"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6CCEE0FB"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5799F179"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47D18533"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 </w:t>
            </w:r>
          </w:p>
        </w:tc>
        <w:tc>
          <w:tcPr>
            <w:tcW w:w="622" w:type="pct"/>
            <w:tcBorders>
              <w:top w:val="nil"/>
              <w:left w:val="nil"/>
              <w:bottom w:val="nil"/>
              <w:right w:val="nil"/>
            </w:tcBorders>
            <w:shd w:val="clear" w:color="auto" w:fill="auto"/>
            <w:vAlign w:val="bottom"/>
          </w:tcPr>
          <w:p w14:paraId="4BEFD1FD"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rPr>
              <w:t>3.492.038</w:t>
            </w:r>
          </w:p>
        </w:tc>
      </w:tr>
      <w:tr w:rsidR="004E2F51" w:rsidRPr="00C40415" w14:paraId="68C1C331" w14:textId="77777777" w:rsidTr="00E032FC">
        <w:trPr>
          <w:trHeight w:hRule="exact" w:val="213"/>
        </w:trPr>
        <w:tc>
          <w:tcPr>
            <w:tcW w:w="1598" w:type="pct"/>
            <w:tcBorders>
              <w:top w:val="nil"/>
              <w:left w:val="nil"/>
              <w:bottom w:val="nil"/>
              <w:right w:val="nil"/>
            </w:tcBorders>
            <w:shd w:val="clear" w:color="auto" w:fill="auto"/>
            <w:vAlign w:val="bottom"/>
          </w:tcPr>
          <w:p w14:paraId="21F93DDB" w14:textId="77777777" w:rsidR="004E2F51" w:rsidRPr="00C40415"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r w:rsidRPr="00C40415">
              <w:rPr>
                <w:rFonts w:ascii="Arial" w:hAnsi="Arial" w:cs="Arial"/>
                <w:color w:val="000000" w:themeColor="text1"/>
                <w:sz w:val="17"/>
                <w:szCs w:val="17"/>
                <w:lang w:val="hr-HR"/>
              </w:rPr>
              <w:t>Upisani a neuplaćeni kapital EIF-a</w:t>
            </w:r>
          </w:p>
        </w:tc>
        <w:tc>
          <w:tcPr>
            <w:tcW w:w="556" w:type="pct"/>
            <w:tcBorders>
              <w:top w:val="nil"/>
              <w:left w:val="nil"/>
              <w:bottom w:val="nil"/>
              <w:right w:val="nil"/>
            </w:tcBorders>
            <w:shd w:val="clear" w:color="auto" w:fill="auto"/>
            <w:vAlign w:val="bottom"/>
          </w:tcPr>
          <w:p w14:paraId="71C6AF88"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lang w:val="it-IT"/>
              </w:rPr>
              <w:t xml:space="preserve"> </w:t>
            </w:r>
            <w:r w:rsidRPr="00C40415">
              <w:rPr>
                <w:rFonts w:ascii="Arial" w:hAnsi="Arial" w:cs="Arial"/>
                <w:color w:val="000000"/>
                <w:sz w:val="17"/>
                <w:szCs w:val="17"/>
              </w:rPr>
              <w:t xml:space="preserve">78.179 </w:t>
            </w:r>
          </w:p>
        </w:tc>
        <w:tc>
          <w:tcPr>
            <w:tcW w:w="555" w:type="pct"/>
            <w:tcBorders>
              <w:top w:val="nil"/>
              <w:left w:val="nil"/>
              <w:bottom w:val="nil"/>
              <w:right w:val="nil"/>
            </w:tcBorders>
            <w:shd w:val="clear" w:color="auto" w:fill="auto"/>
            <w:vAlign w:val="bottom"/>
          </w:tcPr>
          <w:p w14:paraId="6E48DE5A"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7C871CE6"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666CADA5"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724E8A26"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 </w:t>
            </w:r>
          </w:p>
        </w:tc>
        <w:tc>
          <w:tcPr>
            <w:tcW w:w="622" w:type="pct"/>
            <w:tcBorders>
              <w:top w:val="nil"/>
              <w:left w:val="nil"/>
              <w:bottom w:val="nil"/>
              <w:right w:val="nil"/>
            </w:tcBorders>
            <w:shd w:val="clear" w:color="auto" w:fill="auto"/>
            <w:vAlign w:val="bottom"/>
          </w:tcPr>
          <w:p w14:paraId="4A16D3A2"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rPr>
              <w:t>78.179</w:t>
            </w:r>
          </w:p>
        </w:tc>
      </w:tr>
      <w:tr w:rsidR="004E2F51" w:rsidRPr="00C40415" w14:paraId="2CD683AB" w14:textId="77777777" w:rsidTr="00E032FC">
        <w:trPr>
          <w:trHeight w:hRule="exact" w:val="213"/>
        </w:trPr>
        <w:tc>
          <w:tcPr>
            <w:tcW w:w="1598" w:type="pct"/>
            <w:tcBorders>
              <w:top w:val="nil"/>
              <w:left w:val="nil"/>
              <w:bottom w:val="nil"/>
              <w:right w:val="nil"/>
            </w:tcBorders>
            <w:shd w:val="clear" w:color="auto" w:fill="auto"/>
            <w:vAlign w:val="bottom"/>
          </w:tcPr>
          <w:p w14:paraId="6C6A2ABB" w14:textId="77777777" w:rsidR="004E2F51" w:rsidRPr="00C40415" w:rsidRDefault="004E2F51" w:rsidP="00E032FC">
            <w:pPr>
              <w:tabs>
                <w:tab w:val="right" w:pos="1202"/>
              </w:tabs>
              <w:spacing w:line="240" w:lineRule="exact"/>
              <w:outlineLvl w:val="0"/>
              <w:rPr>
                <w:rFonts w:ascii="Arial" w:hAnsi="Arial" w:cs="Arial"/>
                <w:color w:val="000000" w:themeColor="text1"/>
                <w:sz w:val="17"/>
                <w:szCs w:val="17"/>
                <w:lang w:val="hr-HR"/>
              </w:rPr>
            </w:pPr>
            <w:r w:rsidRPr="00C40415">
              <w:rPr>
                <w:rFonts w:ascii="Arial" w:hAnsi="Arial" w:cs="Arial"/>
                <w:color w:val="000000"/>
                <w:sz w:val="17"/>
                <w:szCs w:val="17"/>
                <w:lang w:val="hr-HR"/>
              </w:rPr>
              <w:t>Ugovorena obveza EIF CROGIP</w:t>
            </w:r>
          </w:p>
        </w:tc>
        <w:tc>
          <w:tcPr>
            <w:tcW w:w="556" w:type="pct"/>
            <w:tcBorders>
              <w:top w:val="nil"/>
              <w:left w:val="nil"/>
              <w:bottom w:val="nil"/>
              <w:right w:val="nil"/>
            </w:tcBorders>
            <w:shd w:val="clear" w:color="auto" w:fill="auto"/>
            <w:vAlign w:val="bottom"/>
          </w:tcPr>
          <w:p w14:paraId="3FF63268"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 </w:t>
            </w:r>
          </w:p>
        </w:tc>
        <w:tc>
          <w:tcPr>
            <w:tcW w:w="555" w:type="pct"/>
            <w:tcBorders>
              <w:top w:val="nil"/>
              <w:left w:val="nil"/>
              <w:bottom w:val="nil"/>
              <w:right w:val="nil"/>
            </w:tcBorders>
            <w:shd w:val="clear" w:color="auto" w:fill="auto"/>
            <w:vAlign w:val="bottom"/>
          </w:tcPr>
          <w:p w14:paraId="62F89DF7"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12.616 </w:t>
            </w:r>
          </w:p>
        </w:tc>
        <w:tc>
          <w:tcPr>
            <w:tcW w:w="556" w:type="pct"/>
            <w:tcBorders>
              <w:top w:val="nil"/>
              <w:left w:val="nil"/>
              <w:bottom w:val="nil"/>
              <w:right w:val="nil"/>
            </w:tcBorders>
            <w:shd w:val="clear" w:color="auto" w:fill="auto"/>
            <w:vAlign w:val="bottom"/>
          </w:tcPr>
          <w:p w14:paraId="76D0F2EE"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56.771 </w:t>
            </w:r>
          </w:p>
        </w:tc>
        <w:tc>
          <w:tcPr>
            <w:tcW w:w="556" w:type="pct"/>
            <w:tcBorders>
              <w:top w:val="nil"/>
              <w:left w:val="nil"/>
              <w:bottom w:val="nil"/>
              <w:right w:val="nil"/>
            </w:tcBorders>
            <w:shd w:val="clear" w:color="auto" w:fill="auto"/>
            <w:vAlign w:val="bottom"/>
          </w:tcPr>
          <w:p w14:paraId="49048B5F"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112.664 </w:t>
            </w:r>
          </w:p>
        </w:tc>
        <w:tc>
          <w:tcPr>
            <w:tcW w:w="556" w:type="pct"/>
            <w:tcBorders>
              <w:top w:val="nil"/>
              <w:left w:val="nil"/>
              <w:bottom w:val="nil"/>
              <w:right w:val="nil"/>
            </w:tcBorders>
            <w:shd w:val="clear" w:color="auto" w:fill="auto"/>
            <w:vAlign w:val="bottom"/>
          </w:tcPr>
          <w:p w14:paraId="4E639F8A"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130.438 </w:t>
            </w:r>
          </w:p>
        </w:tc>
        <w:tc>
          <w:tcPr>
            <w:tcW w:w="622" w:type="pct"/>
            <w:tcBorders>
              <w:top w:val="nil"/>
              <w:left w:val="nil"/>
              <w:bottom w:val="nil"/>
              <w:right w:val="nil"/>
            </w:tcBorders>
            <w:shd w:val="clear" w:color="auto" w:fill="auto"/>
            <w:vAlign w:val="bottom"/>
          </w:tcPr>
          <w:p w14:paraId="5EEC5DC7"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rPr>
              <w:t>312.489</w:t>
            </w:r>
          </w:p>
        </w:tc>
      </w:tr>
      <w:tr w:rsidR="004E2F51" w:rsidRPr="00C40415" w14:paraId="4AC8A5FA" w14:textId="77777777" w:rsidTr="00E032FC">
        <w:trPr>
          <w:trHeight w:hRule="exact" w:val="213"/>
        </w:trPr>
        <w:tc>
          <w:tcPr>
            <w:tcW w:w="1598" w:type="pct"/>
            <w:tcBorders>
              <w:top w:val="nil"/>
              <w:left w:val="nil"/>
              <w:bottom w:val="nil"/>
              <w:right w:val="nil"/>
            </w:tcBorders>
            <w:shd w:val="clear" w:color="auto" w:fill="auto"/>
            <w:vAlign w:val="bottom"/>
          </w:tcPr>
          <w:p w14:paraId="3C8611EF" w14:textId="77777777" w:rsidR="004E2F51" w:rsidRPr="00C40415" w:rsidRDefault="004E2F51" w:rsidP="00E032FC">
            <w:pPr>
              <w:tabs>
                <w:tab w:val="right" w:pos="1202"/>
              </w:tabs>
              <w:spacing w:line="240" w:lineRule="exact"/>
              <w:outlineLvl w:val="0"/>
              <w:rPr>
                <w:rFonts w:ascii="Arial" w:hAnsi="Arial" w:cs="Arial"/>
                <w:color w:val="000000" w:themeColor="text1"/>
                <w:sz w:val="17"/>
                <w:szCs w:val="17"/>
                <w:lang w:val="hr-HR"/>
              </w:rPr>
            </w:pPr>
            <w:r w:rsidRPr="00C40415">
              <w:rPr>
                <w:rFonts w:ascii="Arial" w:hAnsi="Arial" w:cs="Arial"/>
                <w:color w:val="000000"/>
                <w:sz w:val="17"/>
                <w:szCs w:val="17"/>
                <w:lang w:val="hr-HR"/>
              </w:rPr>
              <w:t>Ugovorena obveza EIF FRC2</w:t>
            </w:r>
          </w:p>
        </w:tc>
        <w:tc>
          <w:tcPr>
            <w:tcW w:w="556" w:type="pct"/>
            <w:tcBorders>
              <w:top w:val="nil"/>
              <w:left w:val="nil"/>
              <w:bottom w:val="single" w:sz="8" w:space="0" w:color="auto"/>
              <w:right w:val="nil"/>
            </w:tcBorders>
            <w:shd w:val="clear" w:color="auto" w:fill="auto"/>
            <w:vAlign w:val="bottom"/>
          </w:tcPr>
          <w:p w14:paraId="7E6ADD5B"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678 </w:t>
            </w:r>
          </w:p>
        </w:tc>
        <w:tc>
          <w:tcPr>
            <w:tcW w:w="555" w:type="pct"/>
            <w:tcBorders>
              <w:top w:val="nil"/>
              <w:left w:val="nil"/>
              <w:bottom w:val="single" w:sz="8" w:space="0" w:color="auto"/>
              <w:right w:val="nil"/>
            </w:tcBorders>
            <w:shd w:val="clear" w:color="auto" w:fill="auto"/>
            <w:vAlign w:val="bottom"/>
          </w:tcPr>
          <w:p w14:paraId="64BADC99"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532 </w:t>
            </w:r>
          </w:p>
        </w:tc>
        <w:tc>
          <w:tcPr>
            <w:tcW w:w="556" w:type="pct"/>
            <w:tcBorders>
              <w:top w:val="nil"/>
              <w:left w:val="nil"/>
              <w:bottom w:val="single" w:sz="8" w:space="0" w:color="auto"/>
              <w:right w:val="nil"/>
            </w:tcBorders>
            <w:shd w:val="clear" w:color="auto" w:fill="auto"/>
            <w:vAlign w:val="bottom"/>
          </w:tcPr>
          <w:p w14:paraId="6FADD330"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2.393 </w:t>
            </w:r>
          </w:p>
        </w:tc>
        <w:tc>
          <w:tcPr>
            <w:tcW w:w="556" w:type="pct"/>
            <w:tcBorders>
              <w:top w:val="nil"/>
              <w:left w:val="nil"/>
              <w:bottom w:val="single" w:sz="8" w:space="0" w:color="auto"/>
              <w:right w:val="nil"/>
            </w:tcBorders>
            <w:shd w:val="clear" w:color="auto" w:fill="auto"/>
            <w:vAlign w:val="bottom"/>
          </w:tcPr>
          <w:p w14:paraId="7A8BD112"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2.171 </w:t>
            </w:r>
          </w:p>
        </w:tc>
        <w:tc>
          <w:tcPr>
            <w:tcW w:w="556" w:type="pct"/>
            <w:tcBorders>
              <w:top w:val="nil"/>
              <w:left w:val="nil"/>
              <w:bottom w:val="single" w:sz="8" w:space="0" w:color="auto"/>
              <w:right w:val="nil"/>
            </w:tcBorders>
            <w:shd w:val="clear" w:color="auto" w:fill="auto"/>
            <w:vAlign w:val="bottom"/>
          </w:tcPr>
          <w:p w14:paraId="60E08A76" w14:textId="77777777" w:rsidR="004E2F51" w:rsidRPr="00C40415" w:rsidRDefault="004E2F51" w:rsidP="00E032FC">
            <w:pPr>
              <w:jc w:val="right"/>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469 </w:t>
            </w:r>
          </w:p>
        </w:tc>
        <w:tc>
          <w:tcPr>
            <w:tcW w:w="622" w:type="pct"/>
            <w:tcBorders>
              <w:top w:val="nil"/>
              <w:left w:val="nil"/>
              <w:bottom w:val="single" w:sz="8" w:space="0" w:color="auto"/>
              <w:right w:val="nil"/>
            </w:tcBorders>
            <w:shd w:val="clear" w:color="auto" w:fill="auto"/>
            <w:vAlign w:val="bottom"/>
          </w:tcPr>
          <w:p w14:paraId="212CB280"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rPr>
              <w:t>6.243</w:t>
            </w:r>
          </w:p>
        </w:tc>
      </w:tr>
      <w:tr w:rsidR="004E2F51" w:rsidRPr="00C40415" w14:paraId="221B3880" w14:textId="77777777" w:rsidTr="00E032FC">
        <w:trPr>
          <w:trHeight w:hRule="exact" w:val="266"/>
        </w:trPr>
        <w:tc>
          <w:tcPr>
            <w:tcW w:w="1598" w:type="pct"/>
            <w:tcBorders>
              <w:top w:val="nil"/>
              <w:left w:val="nil"/>
              <w:bottom w:val="nil"/>
              <w:right w:val="nil"/>
            </w:tcBorders>
            <w:shd w:val="clear" w:color="auto" w:fill="auto"/>
            <w:vAlign w:val="center"/>
          </w:tcPr>
          <w:p w14:paraId="0E943A9F" w14:textId="77777777" w:rsidR="004E2F51" w:rsidRPr="00C40415" w:rsidRDefault="004E2F51" w:rsidP="00E032FC">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Ukupne garancije i preuzete obveze</w:t>
            </w:r>
          </w:p>
        </w:tc>
        <w:tc>
          <w:tcPr>
            <w:tcW w:w="556" w:type="pct"/>
            <w:tcBorders>
              <w:top w:val="single" w:sz="8" w:space="0" w:color="auto"/>
              <w:left w:val="nil"/>
              <w:bottom w:val="single" w:sz="12" w:space="0" w:color="auto"/>
              <w:right w:val="nil"/>
            </w:tcBorders>
            <w:shd w:val="clear" w:color="auto" w:fill="auto"/>
            <w:vAlign w:val="bottom"/>
          </w:tcPr>
          <w:p w14:paraId="67998E39"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r w:rsidRPr="00C40415">
              <w:rPr>
                <w:rFonts w:ascii="Arial" w:hAnsi="Arial" w:cs="Arial"/>
                <w:b/>
                <w:bCs/>
                <w:color w:val="000000"/>
                <w:sz w:val="17"/>
                <w:szCs w:val="17"/>
              </w:rPr>
              <w:t>4.066.553</w:t>
            </w:r>
          </w:p>
        </w:tc>
        <w:tc>
          <w:tcPr>
            <w:tcW w:w="555" w:type="pct"/>
            <w:tcBorders>
              <w:top w:val="single" w:sz="8" w:space="0" w:color="auto"/>
              <w:left w:val="nil"/>
              <w:bottom w:val="single" w:sz="12" w:space="0" w:color="auto"/>
              <w:right w:val="nil"/>
            </w:tcBorders>
            <w:shd w:val="clear" w:color="auto" w:fill="auto"/>
            <w:vAlign w:val="bottom"/>
          </w:tcPr>
          <w:p w14:paraId="08F1FDD9"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b/>
                <w:bCs/>
                <w:color w:val="000000"/>
                <w:sz w:val="17"/>
                <w:szCs w:val="17"/>
              </w:rPr>
              <w:t>13.148</w:t>
            </w:r>
          </w:p>
        </w:tc>
        <w:tc>
          <w:tcPr>
            <w:tcW w:w="556" w:type="pct"/>
            <w:tcBorders>
              <w:top w:val="single" w:sz="8" w:space="0" w:color="auto"/>
              <w:left w:val="nil"/>
              <w:bottom w:val="single" w:sz="12" w:space="0" w:color="auto"/>
              <w:right w:val="nil"/>
            </w:tcBorders>
            <w:shd w:val="clear" w:color="auto" w:fill="auto"/>
            <w:vAlign w:val="bottom"/>
          </w:tcPr>
          <w:p w14:paraId="46A418D7"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b/>
                <w:bCs/>
                <w:color w:val="000000"/>
                <w:sz w:val="17"/>
                <w:szCs w:val="17"/>
              </w:rPr>
              <w:t>59.164</w:t>
            </w:r>
          </w:p>
        </w:tc>
        <w:tc>
          <w:tcPr>
            <w:tcW w:w="556" w:type="pct"/>
            <w:tcBorders>
              <w:top w:val="single" w:sz="8" w:space="0" w:color="auto"/>
              <w:left w:val="nil"/>
              <w:bottom w:val="single" w:sz="12" w:space="0" w:color="auto"/>
              <w:right w:val="nil"/>
            </w:tcBorders>
            <w:shd w:val="clear" w:color="auto" w:fill="auto"/>
            <w:vAlign w:val="bottom"/>
          </w:tcPr>
          <w:p w14:paraId="2059D3FD"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b/>
                <w:bCs/>
                <w:color w:val="000000"/>
                <w:sz w:val="17"/>
                <w:szCs w:val="17"/>
              </w:rPr>
              <w:t>114.835</w:t>
            </w:r>
          </w:p>
        </w:tc>
        <w:tc>
          <w:tcPr>
            <w:tcW w:w="556" w:type="pct"/>
            <w:tcBorders>
              <w:top w:val="single" w:sz="8" w:space="0" w:color="auto"/>
              <w:left w:val="nil"/>
              <w:bottom w:val="single" w:sz="12" w:space="0" w:color="auto"/>
              <w:right w:val="nil"/>
            </w:tcBorders>
            <w:shd w:val="clear" w:color="auto" w:fill="auto"/>
            <w:vAlign w:val="bottom"/>
          </w:tcPr>
          <w:p w14:paraId="31264942"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b/>
                <w:bCs/>
                <w:color w:val="000000"/>
                <w:sz w:val="17"/>
                <w:szCs w:val="17"/>
              </w:rPr>
              <w:t>130.907</w:t>
            </w:r>
          </w:p>
        </w:tc>
        <w:tc>
          <w:tcPr>
            <w:tcW w:w="622" w:type="pct"/>
            <w:tcBorders>
              <w:top w:val="single" w:sz="8" w:space="0" w:color="auto"/>
              <w:left w:val="nil"/>
              <w:bottom w:val="single" w:sz="12" w:space="0" w:color="auto"/>
              <w:right w:val="nil"/>
            </w:tcBorders>
            <w:shd w:val="clear" w:color="auto" w:fill="auto"/>
            <w:vAlign w:val="bottom"/>
          </w:tcPr>
          <w:p w14:paraId="24D5333C"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r w:rsidRPr="00C40415">
              <w:rPr>
                <w:rFonts w:ascii="Arial" w:hAnsi="Arial" w:cs="Arial"/>
                <w:b/>
                <w:bCs/>
                <w:color w:val="000000"/>
                <w:sz w:val="17"/>
                <w:szCs w:val="17"/>
              </w:rPr>
              <w:t>4.384.607</w:t>
            </w:r>
          </w:p>
        </w:tc>
      </w:tr>
    </w:tbl>
    <w:p w14:paraId="095346B8" w14:textId="77777777" w:rsidR="004E2F51" w:rsidRPr="00100ED3" w:rsidRDefault="004E2F51" w:rsidP="004E2F51">
      <w:pPr>
        <w:pStyle w:val="Header"/>
        <w:tabs>
          <w:tab w:val="right" w:pos="1202"/>
        </w:tabs>
        <w:spacing w:line="301" w:lineRule="exact"/>
        <w:outlineLvl w:val="0"/>
        <w:rPr>
          <w:rFonts w:ascii="Arial" w:hAnsi="Arial" w:cs="Arial"/>
          <w:i/>
          <w:color w:val="000000" w:themeColor="text1"/>
          <w:sz w:val="20"/>
          <w:lang w:val="hr-HR"/>
        </w:rPr>
      </w:pPr>
    </w:p>
    <w:p w14:paraId="5ACCA781" w14:textId="77777777" w:rsidR="004E2F51" w:rsidRPr="00100ED3" w:rsidRDefault="004E2F51" w:rsidP="004E2F51">
      <w:pPr>
        <w:pStyle w:val="Header"/>
        <w:tabs>
          <w:tab w:val="right" w:pos="1202"/>
        </w:tabs>
        <w:spacing w:line="301" w:lineRule="exact"/>
        <w:outlineLvl w:val="0"/>
        <w:rPr>
          <w:rFonts w:ascii="Arial" w:hAnsi="Arial" w:cs="Arial"/>
          <w:i/>
          <w:color w:val="000000" w:themeColor="text1"/>
          <w:sz w:val="20"/>
          <w:lang w:val="hr-HR"/>
        </w:rPr>
      </w:pPr>
    </w:p>
    <w:p w14:paraId="7842F593" w14:textId="77777777" w:rsidR="004E2F51" w:rsidRPr="00100ED3" w:rsidRDefault="004E2F51" w:rsidP="004E2F51">
      <w:pPr>
        <w:pStyle w:val="Header"/>
        <w:tabs>
          <w:tab w:val="right" w:pos="1202"/>
        </w:tabs>
        <w:spacing w:line="301" w:lineRule="exact"/>
        <w:outlineLvl w:val="0"/>
        <w:rPr>
          <w:rFonts w:ascii="Arial" w:hAnsi="Arial" w:cs="Arial"/>
          <w:i/>
          <w:color w:val="000000" w:themeColor="text1"/>
          <w:sz w:val="20"/>
          <w:lang w:val="hr-HR"/>
        </w:rPr>
        <w:sectPr w:rsidR="004E2F51" w:rsidRPr="00100ED3" w:rsidSect="00623DBA">
          <w:footerReference w:type="default" r:id="rId207"/>
          <w:pgSz w:w="11907" w:h="16840" w:code="9"/>
          <w:pgMar w:top="1418" w:right="1134" w:bottom="1134" w:left="1418" w:header="851" w:footer="851" w:gutter="0"/>
          <w:cols w:space="720"/>
          <w:noEndnote/>
        </w:sectPr>
      </w:pPr>
    </w:p>
    <w:p w14:paraId="3BD3EFF4" w14:textId="77777777" w:rsidR="004E2F51" w:rsidRPr="00100ED3" w:rsidRDefault="004E2F51" w:rsidP="004E2F51">
      <w:pPr>
        <w:pStyle w:val="T1"/>
        <w:spacing w:before="0" w:after="0" w:line="240" w:lineRule="auto"/>
        <w:rPr>
          <w:rFonts w:cs="Arial"/>
          <w:color w:val="000000" w:themeColor="text1"/>
          <w:sz w:val="20"/>
          <w:lang w:val="hr-HR"/>
        </w:rPr>
      </w:pPr>
    </w:p>
    <w:p w14:paraId="4CA93EAE" w14:textId="77777777" w:rsidR="004E2F51" w:rsidRPr="00100ED3" w:rsidRDefault="004E2F51" w:rsidP="004E2F51">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Pr>
          <w:rFonts w:cs="Arial"/>
          <w:color w:val="000000" w:themeColor="text1"/>
          <w:sz w:val="20"/>
          <w:lang w:val="hr-HR"/>
        </w:rPr>
        <w:t>1</w:t>
      </w:r>
      <w:r w:rsidRPr="00100ED3">
        <w:rPr>
          <w:rFonts w:cs="Arial"/>
          <w:color w:val="000000" w:themeColor="text1"/>
          <w:sz w:val="20"/>
          <w:lang w:val="hr-HR"/>
        </w:rPr>
        <w:t>.</w:t>
      </w:r>
      <w:r w:rsidRPr="00100ED3">
        <w:rPr>
          <w:rFonts w:cs="Arial"/>
          <w:color w:val="000000" w:themeColor="text1"/>
          <w:sz w:val="20"/>
          <w:lang w:val="hr-HR"/>
        </w:rPr>
        <w:tab/>
        <w:t>Upravljanje rizicima (nastavak)</w:t>
      </w:r>
    </w:p>
    <w:p w14:paraId="13D6674A" w14:textId="77777777" w:rsidR="004E2F51" w:rsidRPr="00100ED3" w:rsidRDefault="004E2F51" w:rsidP="004E2F51">
      <w:pPr>
        <w:pStyle w:val="T1"/>
        <w:spacing w:before="0" w:after="0" w:line="240" w:lineRule="auto"/>
        <w:rPr>
          <w:rFonts w:cs="Arial"/>
          <w:color w:val="000000" w:themeColor="text1"/>
          <w:sz w:val="20"/>
          <w:lang w:val="hr-HR"/>
        </w:rPr>
      </w:pPr>
    </w:p>
    <w:p w14:paraId="23453FB3" w14:textId="77777777" w:rsidR="004E2F51" w:rsidRPr="00100ED3" w:rsidRDefault="004E2F51" w:rsidP="004E2F51">
      <w:pPr>
        <w:pStyle w:val="T1"/>
        <w:spacing w:before="0" w:after="0" w:line="240" w:lineRule="auto"/>
        <w:rPr>
          <w:rFonts w:cs="Arial"/>
          <w:color w:val="000000" w:themeColor="text1"/>
          <w:sz w:val="20"/>
          <w:lang w:val="hr-HR"/>
        </w:rPr>
      </w:pPr>
      <w:r w:rsidRPr="00100ED3">
        <w:rPr>
          <w:rFonts w:cs="Arial"/>
          <w:color w:val="000000" w:themeColor="text1"/>
          <w:sz w:val="20"/>
          <w:lang w:val="hr-HR"/>
        </w:rPr>
        <w:t>3</w:t>
      </w:r>
      <w:r>
        <w:rPr>
          <w:rFonts w:cs="Arial"/>
          <w:color w:val="000000" w:themeColor="text1"/>
          <w:sz w:val="20"/>
          <w:lang w:val="hr-HR"/>
        </w:rPr>
        <w:t>1</w:t>
      </w:r>
      <w:r w:rsidRPr="00100ED3">
        <w:rPr>
          <w:rFonts w:cs="Arial"/>
          <w:color w:val="000000" w:themeColor="text1"/>
          <w:sz w:val="20"/>
          <w:lang w:val="hr-HR"/>
        </w:rPr>
        <w:t xml:space="preserve">.4. </w:t>
      </w:r>
      <w:r w:rsidRPr="00100ED3">
        <w:rPr>
          <w:rFonts w:cs="Arial"/>
          <w:color w:val="000000" w:themeColor="text1"/>
          <w:sz w:val="20"/>
          <w:lang w:val="hr-HR"/>
        </w:rPr>
        <w:tab/>
        <w:t>Rizik likvidnosti (nastavak)</w:t>
      </w:r>
    </w:p>
    <w:p w14:paraId="32A98A3F" w14:textId="77777777" w:rsidR="004E2F51" w:rsidRPr="00100ED3" w:rsidRDefault="004E2F51" w:rsidP="004E2F51">
      <w:pPr>
        <w:pStyle w:val="T1"/>
        <w:spacing w:before="0" w:after="0" w:line="240" w:lineRule="auto"/>
        <w:rPr>
          <w:rFonts w:cs="Arial"/>
          <w:b w:val="0"/>
          <w:color w:val="000000" w:themeColor="text1"/>
          <w:sz w:val="20"/>
          <w:lang w:val="hr-HR"/>
        </w:rPr>
      </w:pPr>
    </w:p>
    <w:p w14:paraId="2D297305" w14:textId="77777777" w:rsidR="004E2F51" w:rsidRPr="00100ED3" w:rsidRDefault="004E2F51" w:rsidP="004E2F51">
      <w:pPr>
        <w:pStyle w:val="T1"/>
        <w:spacing w:before="0" w:after="0" w:line="240" w:lineRule="auto"/>
        <w:rPr>
          <w:rFonts w:cs="Arial"/>
          <w:b w:val="0"/>
          <w:color w:val="000000" w:themeColor="text1"/>
          <w:sz w:val="20"/>
          <w:lang w:val="hr-HR"/>
        </w:rPr>
      </w:pPr>
      <w:r w:rsidRPr="00100ED3">
        <w:rPr>
          <w:rFonts w:cs="Arial"/>
          <w:b w:val="0"/>
          <w:color w:val="000000" w:themeColor="text1"/>
          <w:sz w:val="20"/>
          <w:lang w:val="hr-HR"/>
        </w:rPr>
        <w:t>Tabela u nastavku prikazuje preostalo ugovorno dospijeće financijskih obveza dok su garancije i preuzete obveza Banke prikazane u kategoriji do 1 mjesec obzirom na mogućnost prijevremenog poziva na izvršenje obveze (nediskontirani iznosi):</w:t>
      </w:r>
    </w:p>
    <w:p w14:paraId="2A2E6261" w14:textId="77777777" w:rsidR="004E2F51" w:rsidRPr="00100ED3" w:rsidRDefault="004E2F51" w:rsidP="004E2F51">
      <w:pPr>
        <w:pStyle w:val="T1"/>
        <w:spacing w:before="0" w:after="0" w:line="240" w:lineRule="auto"/>
        <w:rPr>
          <w:rFonts w:cs="Arial"/>
          <w:b w:val="0"/>
          <w:color w:val="000000" w:themeColor="text1"/>
          <w:sz w:val="20"/>
          <w:lang w:val="hr-HR"/>
        </w:rPr>
      </w:pPr>
    </w:p>
    <w:tbl>
      <w:tblPr>
        <w:tblW w:w="5393" w:type="pct"/>
        <w:tblInd w:w="-499" w:type="dxa"/>
        <w:tblLayout w:type="fixed"/>
        <w:tblCellMar>
          <w:left w:w="120" w:type="dxa"/>
          <w:right w:w="120" w:type="dxa"/>
        </w:tblCellMar>
        <w:tblLook w:val="0000" w:firstRow="0" w:lastRow="0" w:firstColumn="0" w:lastColumn="0" w:noHBand="0" w:noVBand="0"/>
      </w:tblPr>
      <w:tblGrid>
        <w:gridCol w:w="3223"/>
        <w:gridCol w:w="1124"/>
        <w:gridCol w:w="1124"/>
        <w:gridCol w:w="1122"/>
        <w:gridCol w:w="1122"/>
        <w:gridCol w:w="1122"/>
        <w:gridCol w:w="1253"/>
      </w:tblGrid>
      <w:tr w:rsidR="004E2F51" w:rsidRPr="00C40415" w14:paraId="651D88F4" w14:textId="77777777" w:rsidTr="00E032FC">
        <w:trPr>
          <w:trHeight w:val="485"/>
        </w:trPr>
        <w:tc>
          <w:tcPr>
            <w:tcW w:w="1597" w:type="pct"/>
          </w:tcPr>
          <w:p w14:paraId="5080FBBA" w14:textId="77777777" w:rsidR="004E2F51" w:rsidRPr="00C40415" w:rsidRDefault="004E2F51" w:rsidP="00E032FC">
            <w:pPr>
              <w:tabs>
                <w:tab w:val="right" w:pos="1202"/>
              </w:tabs>
              <w:spacing w:line="240" w:lineRule="atLeast"/>
              <w:outlineLvl w:val="0"/>
              <w:rPr>
                <w:rFonts w:ascii="Arial" w:hAnsi="Arial" w:cs="Arial"/>
                <w:b/>
                <w:color w:val="000000" w:themeColor="text1"/>
                <w:sz w:val="17"/>
                <w:szCs w:val="17"/>
                <w:lang w:val="hr-HR"/>
              </w:rPr>
            </w:pPr>
            <w:bookmarkStart w:id="1764" w:name="_Toc67330429"/>
            <w:r w:rsidRPr="00C40415">
              <w:rPr>
                <w:rFonts w:ascii="Arial" w:hAnsi="Arial" w:cs="Arial"/>
                <w:b/>
                <w:color w:val="000000" w:themeColor="text1"/>
                <w:sz w:val="17"/>
                <w:szCs w:val="17"/>
                <w:lang w:val="hr-HR"/>
              </w:rPr>
              <w:t>Banka</w:t>
            </w:r>
            <w:bookmarkEnd w:id="1764"/>
          </w:p>
          <w:p w14:paraId="7F45FC43" w14:textId="77777777" w:rsidR="004E2F51" w:rsidRPr="00C40415" w:rsidRDefault="004E2F51" w:rsidP="00E032FC">
            <w:pPr>
              <w:tabs>
                <w:tab w:val="right" w:pos="1202"/>
              </w:tabs>
              <w:spacing w:line="240" w:lineRule="atLeast"/>
              <w:outlineLvl w:val="0"/>
              <w:rPr>
                <w:rFonts w:ascii="Arial" w:hAnsi="Arial" w:cs="Arial"/>
                <w:b/>
                <w:color w:val="000000" w:themeColor="text1"/>
                <w:sz w:val="17"/>
                <w:szCs w:val="17"/>
                <w:lang w:val="hr-HR"/>
              </w:rPr>
            </w:pPr>
            <w:bookmarkStart w:id="1765" w:name="_Toc67330430"/>
            <w:r w:rsidRPr="00C40415">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2</w:t>
            </w:r>
            <w:r w:rsidRPr="00C40415">
              <w:rPr>
                <w:rFonts w:ascii="Arial" w:hAnsi="Arial" w:cs="Arial"/>
                <w:b/>
                <w:color w:val="000000" w:themeColor="text1"/>
                <w:sz w:val="17"/>
                <w:szCs w:val="17"/>
                <w:lang w:val="hr-HR"/>
              </w:rPr>
              <w:t>.</w:t>
            </w:r>
            <w:bookmarkEnd w:id="1765"/>
            <w:r w:rsidRPr="00C40415">
              <w:rPr>
                <w:rFonts w:ascii="Arial" w:hAnsi="Arial" w:cs="Arial"/>
                <w:b/>
                <w:color w:val="000000" w:themeColor="text1"/>
                <w:sz w:val="17"/>
                <w:szCs w:val="17"/>
                <w:lang w:val="hr-HR"/>
              </w:rPr>
              <w:t xml:space="preserve"> </w:t>
            </w:r>
          </w:p>
        </w:tc>
        <w:tc>
          <w:tcPr>
            <w:tcW w:w="557" w:type="pct"/>
          </w:tcPr>
          <w:p w14:paraId="3AEB938C"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bookmarkStart w:id="1766" w:name="_Toc67330431"/>
            <w:r w:rsidRPr="00C40415">
              <w:rPr>
                <w:rFonts w:ascii="Arial" w:hAnsi="Arial" w:cs="Arial"/>
                <w:b/>
                <w:color w:val="000000" w:themeColor="text1"/>
                <w:sz w:val="17"/>
                <w:szCs w:val="17"/>
                <w:lang w:val="hr-HR"/>
              </w:rPr>
              <w:t>Do 1 mjesec</w:t>
            </w:r>
            <w:bookmarkEnd w:id="1766"/>
          </w:p>
        </w:tc>
        <w:tc>
          <w:tcPr>
            <w:tcW w:w="557" w:type="pct"/>
          </w:tcPr>
          <w:p w14:paraId="7A88296A"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bookmarkStart w:id="1767" w:name="_Toc67330432"/>
            <w:r w:rsidRPr="00C40415">
              <w:rPr>
                <w:rFonts w:ascii="Arial" w:hAnsi="Arial" w:cs="Arial"/>
                <w:b/>
                <w:color w:val="000000" w:themeColor="text1"/>
                <w:sz w:val="17"/>
                <w:szCs w:val="17"/>
                <w:lang w:val="hr-HR"/>
              </w:rPr>
              <w:t>1 do 3 mjeseca</w:t>
            </w:r>
            <w:bookmarkEnd w:id="1767"/>
          </w:p>
        </w:tc>
        <w:tc>
          <w:tcPr>
            <w:tcW w:w="556" w:type="pct"/>
          </w:tcPr>
          <w:p w14:paraId="54A9B341"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bookmarkStart w:id="1768" w:name="_Toc67330433"/>
            <w:r w:rsidRPr="00C40415">
              <w:rPr>
                <w:rFonts w:ascii="Arial" w:hAnsi="Arial" w:cs="Arial"/>
                <w:b/>
                <w:color w:val="000000" w:themeColor="text1"/>
                <w:sz w:val="17"/>
                <w:szCs w:val="17"/>
                <w:lang w:val="hr-HR"/>
              </w:rPr>
              <w:t>3 mj. do 1 godine</w:t>
            </w:r>
            <w:bookmarkEnd w:id="1768"/>
          </w:p>
        </w:tc>
        <w:tc>
          <w:tcPr>
            <w:tcW w:w="556" w:type="pct"/>
          </w:tcPr>
          <w:p w14:paraId="0D4EA640"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bookmarkStart w:id="1769" w:name="_Toc67330434"/>
            <w:r w:rsidRPr="00C40415">
              <w:rPr>
                <w:rFonts w:ascii="Arial" w:hAnsi="Arial" w:cs="Arial"/>
                <w:b/>
                <w:color w:val="000000" w:themeColor="text1"/>
                <w:sz w:val="17"/>
                <w:szCs w:val="17"/>
                <w:lang w:val="hr-HR"/>
              </w:rPr>
              <w:t>1 do 3 godina</w:t>
            </w:r>
            <w:bookmarkEnd w:id="1769"/>
          </w:p>
        </w:tc>
        <w:tc>
          <w:tcPr>
            <w:tcW w:w="556" w:type="pct"/>
          </w:tcPr>
          <w:p w14:paraId="1D4C8C5D"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bookmarkStart w:id="1770" w:name="_Toc67330435"/>
            <w:r w:rsidRPr="00C40415">
              <w:rPr>
                <w:rFonts w:ascii="Arial" w:hAnsi="Arial" w:cs="Arial"/>
                <w:b/>
                <w:color w:val="000000" w:themeColor="text1"/>
                <w:sz w:val="17"/>
                <w:szCs w:val="17"/>
                <w:lang w:val="hr-HR"/>
              </w:rPr>
              <w:t>Preko 3 godine</w:t>
            </w:r>
            <w:bookmarkEnd w:id="1770"/>
          </w:p>
        </w:tc>
        <w:tc>
          <w:tcPr>
            <w:tcW w:w="621" w:type="pct"/>
          </w:tcPr>
          <w:p w14:paraId="1CB19E95"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bookmarkStart w:id="1771" w:name="_Toc67330436"/>
            <w:r w:rsidRPr="00C40415">
              <w:rPr>
                <w:rFonts w:ascii="Arial" w:hAnsi="Arial" w:cs="Arial"/>
                <w:b/>
                <w:color w:val="000000" w:themeColor="text1"/>
                <w:sz w:val="17"/>
                <w:szCs w:val="17"/>
                <w:lang w:val="hr-HR"/>
              </w:rPr>
              <w:t>Ukupno</w:t>
            </w:r>
            <w:bookmarkEnd w:id="1771"/>
          </w:p>
        </w:tc>
      </w:tr>
      <w:tr w:rsidR="004E2F51" w:rsidRPr="00C40415" w14:paraId="7EB83297" w14:textId="77777777" w:rsidTr="00E032FC">
        <w:trPr>
          <w:trHeight w:val="242"/>
        </w:trPr>
        <w:tc>
          <w:tcPr>
            <w:tcW w:w="1597" w:type="pct"/>
            <w:vAlign w:val="bottom"/>
          </w:tcPr>
          <w:p w14:paraId="391BD5C7" w14:textId="77777777" w:rsidR="004E2F51" w:rsidRPr="00C40415" w:rsidRDefault="004E2F51" w:rsidP="00E032FC">
            <w:pPr>
              <w:tabs>
                <w:tab w:val="left" w:pos="-720"/>
              </w:tabs>
              <w:jc w:val="center"/>
              <w:rPr>
                <w:rFonts w:ascii="Arial" w:hAnsi="Arial" w:cs="Arial"/>
                <w:b/>
                <w:color w:val="000000" w:themeColor="text1"/>
                <w:spacing w:val="-2"/>
                <w:sz w:val="17"/>
                <w:szCs w:val="17"/>
                <w:lang w:val="hr-HR"/>
              </w:rPr>
            </w:pPr>
          </w:p>
        </w:tc>
        <w:tc>
          <w:tcPr>
            <w:tcW w:w="557" w:type="pct"/>
          </w:tcPr>
          <w:p w14:paraId="7BE504A9"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bookmarkStart w:id="1772" w:name="_Toc67330437"/>
            <w:r w:rsidRPr="00C40415">
              <w:rPr>
                <w:rFonts w:ascii="Arial" w:hAnsi="Arial" w:cs="Arial"/>
                <w:b/>
                <w:color w:val="000000" w:themeColor="text1"/>
                <w:sz w:val="17"/>
                <w:szCs w:val="17"/>
                <w:lang w:val="hr-HR"/>
              </w:rPr>
              <w:t>000 kuna</w:t>
            </w:r>
            <w:bookmarkEnd w:id="1772"/>
          </w:p>
        </w:tc>
        <w:tc>
          <w:tcPr>
            <w:tcW w:w="557" w:type="pct"/>
          </w:tcPr>
          <w:p w14:paraId="1BF0D1A4"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bookmarkStart w:id="1773" w:name="_Toc67330438"/>
            <w:r w:rsidRPr="00C40415">
              <w:rPr>
                <w:rFonts w:ascii="Arial" w:hAnsi="Arial" w:cs="Arial"/>
                <w:b/>
                <w:color w:val="000000" w:themeColor="text1"/>
                <w:sz w:val="17"/>
                <w:szCs w:val="17"/>
                <w:lang w:val="hr-HR"/>
              </w:rPr>
              <w:t>000 kuna</w:t>
            </w:r>
            <w:bookmarkEnd w:id="1773"/>
          </w:p>
        </w:tc>
        <w:tc>
          <w:tcPr>
            <w:tcW w:w="556" w:type="pct"/>
          </w:tcPr>
          <w:p w14:paraId="00A73901"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bookmarkStart w:id="1774" w:name="_Toc67330439"/>
            <w:r w:rsidRPr="00C40415">
              <w:rPr>
                <w:rFonts w:ascii="Arial" w:hAnsi="Arial" w:cs="Arial"/>
                <w:b/>
                <w:color w:val="000000" w:themeColor="text1"/>
                <w:sz w:val="17"/>
                <w:szCs w:val="17"/>
                <w:lang w:val="hr-HR"/>
              </w:rPr>
              <w:t>000 kuna</w:t>
            </w:r>
            <w:bookmarkEnd w:id="1774"/>
          </w:p>
        </w:tc>
        <w:tc>
          <w:tcPr>
            <w:tcW w:w="556" w:type="pct"/>
          </w:tcPr>
          <w:p w14:paraId="2A428639"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bookmarkStart w:id="1775" w:name="_Toc67330440"/>
            <w:r w:rsidRPr="00C40415">
              <w:rPr>
                <w:rFonts w:ascii="Arial" w:hAnsi="Arial" w:cs="Arial"/>
                <w:b/>
                <w:color w:val="000000" w:themeColor="text1"/>
                <w:sz w:val="17"/>
                <w:szCs w:val="17"/>
                <w:lang w:val="hr-HR"/>
              </w:rPr>
              <w:t>000 kuna</w:t>
            </w:r>
            <w:bookmarkEnd w:id="1775"/>
          </w:p>
        </w:tc>
        <w:tc>
          <w:tcPr>
            <w:tcW w:w="556" w:type="pct"/>
          </w:tcPr>
          <w:p w14:paraId="55240EA6"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bookmarkStart w:id="1776" w:name="_Toc67330441"/>
            <w:r w:rsidRPr="00C40415">
              <w:rPr>
                <w:rFonts w:ascii="Arial" w:hAnsi="Arial" w:cs="Arial"/>
                <w:b/>
                <w:color w:val="000000" w:themeColor="text1"/>
                <w:sz w:val="17"/>
                <w:szCs w:val="17"/>
                <w:lang w:val="hr-HR"/>
              </w:rPr>
              <w:t>000 kuna</w:t>
            </w:r>
            <w:bookmarkEnd w:id="1776"/>
          </w:p>
        </w:tc>
        <w:tc>
          <w:tcPr>
            <w:tcW w:w="621" w:type="pct"/>
          </w:tcPr>
          <w:p w14:paraId="6352E8C1"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bookmarkStart w:id="1777" w:name="_Toc67330442"/>
            <w:r w:rsidRPr="00C40415">
              <w:rPr>
                <w:rFonts w:ascii="Arial" w:hAnsi="Arial" w:cs="Arial"/>
                <w:b/>
                <w:color w:val="000000" w:themeColor="text1"/>
                <w:sz w:val="17"/>
                <w:szCs w:val="17"/>
                <w:lang w:val="hr-HR"/>
              </w:rPr>
              <w:t>000 kuna</w:t>
            </w:r>
            <w:bookmarkEnd w:id="1777"/>
          </w:p>
        </w:tc>
      </w:tr>
      <w:tr w:rsidR="004E2F51" w:rsidRPr="00C40415" w14:paraId="1E536127" w14:textId="77777777" w:rsidTr="00E032FC">
        <w:trPr>
          <w:trHeight w:hRule="exact" w:val="211"/>
        </w:trPr>
        <w:tc>
          <w:tcPr>
            <w:tcW w:w="1597" w:type="pct"/>
            <w:vAlign w:val="bottom"/>
          </w:tcPr>
          <w:p w14:paraId="7B79BC12" w14:textId="77777777" w:rsidR="004E2F51" w:rsidRPr="00C40415" w:rsidRDefault="004E2F51" w:rsidP="00E032FC">
            <w:pPr>
              <w:tabs>
                <w:tab w:val="right" w:pos="1202"/>
              </w:tabs>
              <w:outlineLvl w:val="0"/>
              <w:rPr>
                <w:rFonts w:ascii="Arial" w:hAnsi="Arial" w:cs="Arial"/>
                <w:b/>
                <w:bCs/>
                <w:color w:val="000000" w:themeColor="text1"/>
                <w:sz w:val="17"/>
                <w:szCs w:val="17"/>
                <w:lang w:val="hr-HR"/>
              </w:rPr>
            </w:pPr>
            <w:bookmarkStart w:id="1778" w:name="_Toc67330443"/>
            <w:r w:rsidRPr="00C40415">
              <w:rPr>
                <w:rFonts w:ascii="Arial" w:hAnsi="Arial" w:cs="Arial"/>
                <w:b/>
                <w:bCs/>
                <w:color w:val="000000" w:themeColor="text1"/>
                <w:sz w:val="17"/>
                <w:szCs w:val="17"/>
                <w:lang w:val="hr-HR"/>
              </w:rPr>
              <w:t>Financijske obveze</w:t>
            </w:r>
            <w:bookmarkEnd w:id="1778"/>
          </w:p>
        </w:tc>
        <w:tc>
          <w:tcPr>
            <w:tcW w:w="557" w:type="pct"/>
          </w:tcPr>
          <w:p w14:paraId="0830EA11" w14:textId="77777777" w:rsidR="004E2F51" w:rsidRPr="00C40415" w:rsidRDefault="004E2F51" w:rsidP="00E032FC">
            <w:pPr>
              <w:tabs>
                <w:tab w:val="right" w:pos="1202"/>
                <w:tab w:val="center" w:pos="4153"/>
                <w:tab w:val="right" w:pos="8306"/>
              </w:tabs>
              <w:jc w:val="right"/>
              <w:outlineLvl w:val="0"/>
              <w:rPr>
                <w:rFonts w:ascii="Arial" w:hAnsi="Arial" w:cs="Arial"/>
                <w:color w:val="000000" w:themeColor="text1"/>
                <w:sz w:val="17"/>
                <w:szCs w:val="17"/>
                <w:lang w:val="hr-HR"/>
              </w:rPr>
            </w:pPr>
          </w:p>
        </w:tc>
        <w:tc>
          <w:tcPr>
            <w:tcW w:w="557" w:type="pct"/>
          </w:tcPr>
          <w:p w14:paraId="57903477" w14:textId="77777777" w:rsidR="004E2F51" w:rsidRPr="00C40415" w:rsidRDefault="004E2F51" w:rsidP="00E032FC">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52398C1A" w14:textId="77777777" w:rsidR="004E2F51" w:rsidRPr="00C40415" w:rsidRDefault="004E2F51" w:rsidP="00E032FC">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04C0973E" w14:textId="77777777" w:rsidR="004E2F51" w:rsidRPr="00C40415" w:rsidRDefault="004E2F51" w:rsidP="00E032FC">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6B76D82C" w14:textId="77777777" w:rsidR="004E2F51" w:rsidRPr="00C40415" w:rsidRDefault="004E2F51" w:rsidP="00E032FC">
            <w:pPr>
              <w:tabs>
                <w:tab w:val="right" w:pos="1202"/>
                <w:tab w:val="center" w:pos="4153"/>
                <w:tab w:val="right" w:pos="8306"/>
              </w:tabs>
              <w:jc w:val="right"/>
              <w:outlineLvl w:val="0"/>
              <w:rPr>
                <w:rFonts w:ascii="Arial" w:hAnsi="Arial" w:cs="Arial"/>
                <w:color w:val="000000" w:themeColor="text1"/>
                <w:sz w:val="17"/>
                <w:szCs w:val="17"/>
                <w:lang w:val="hr-HR"/>
              </w:rPr>
            </w:pPr>
          </w:p>
        </w:tc>
        <w:tc>
          <w:tcPr>
            <w:tcW w:w="621" w:type="pct"/>
          </w:tcPr>
          <w:p w14:paraId="49500818" w14:textId="77777777" w:rsidR="004E2F51" w:rsidRPr="00C40415" w:rsidRDefault="004E2F51" w:rsidP="00E032FC">
            <w:pPr>
              <w:tabs>
                <w:tab w:val="right" w:pos="1202"/>
                <w:tab w:val="center" w:pos="4153"/>
                <w:tab w:val="right" w:pos="8306"/>
              </w:tabs>
              <w:jc w:val="right"/>
              <w:outlineLvl w:val="0"/>
              <w:rPr>
                <w:rFonts w:ascii="Arial" w:hAnsi="Arial" w:cs="Arial"/>
                <w:color w:val="000000" w:themeColor="text1"/>
                <w:sz w:val="17"/>
                <w:szCs w:val="17"/>
                <w:lang w:val="hr-HR"/>
              </w:rPr>
            </w:pPr>
          </w:p>
        </w:tc>
      </w:tr>
      <w:tr w:rsidR="004E2F51" w:rsidRPr="00C40415" w14:paraId="508C78D7" w14:textId="77777777" w:rsidTr="00E032FC">
        <w:trPr>
          <w:trHeight w:hRule="exact" w:val="211"/>
        </w:trPr>
        <w:tc>
          <w:tcPr>
            <w:tcW w:w="1597" w:type="pct"/>
            <w:vAlign w:val="bottom"/>
          </w:tcPr>
          <w:p w14:paraId="7FC2E63D" w14:textId="77777777" w:rsidR="004E2F51" w:rsidRPr="00C40415" w:rsidRDefault="004E2F51" w:rsidP="00E032FC">
            <w:pPr>
              <w:tabs>
                <w:tab w:val="right" w:pos="1202"/>
              </w:tabs>
              <w:outlineLvl w:val="0"/>
              <w:rPr>
                <w:rFonts w:ascii="Arial" w:hAnsi="Arial" w:cs="Arial"/>
                <w:color w:val="000000" w:themeColor="text1"/>
                <w:sz w:val="17"/>
                <w:szCs w:val="17"/>
                <w:lang w:val="hr-HR"/>
              </w:rPr>
            </w:pPr>
            <w:bookmarkStart w:id="1779" w:name="_Toc67330444"/>
            <w:r w:rsidRPr="00C40415">
              <w:rPr>
                <w:rFonts w:ascii="Arial" w:hAnsi="Arial" w:cs="Arial"/>
                <w:color w:val="000000" w:themeColor="text1"/>
                <w:spacing w:val="-2"/>
                <w:sz w:val="17"/>
                <w:szCs w:val="17"/>
                <w:lang w:val="hr-HR"/>
              </w:rPr>
              <w:t>Obveze po depozitima</w:t>
            </w:r>
            <w:bookmarkEnd w:id="1779"/>
          </w:p>
        </w:tc>
        <w:tc>
          <w:tcPr>
            <w:tcW w:w="557" w:type="pct"/>
            <w:tcBorders>
              <w:top w:val="nil"/>
              <w:left w:val="nil"/>
              <w:bottom w:val="nil"/>
              <w:right w:val="nil"/>
            </w:tcBorders>
            <w:shd w:val="clear" w:color="auto" w:fill="auto"/>
            <w:vAlign w:val="bottom"/>
          </w:tcPr>
          <w:p w14:paraId="7307A087"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738.963</w:t>
            </w:r>
          </w:p>
        </w:tc>
        <w:tc>
          <w:tcPr>
            <w:tcW w:w="557" w:type="pct"/>
            <w:tcBorders>
              <w:top w:val="nil"/>
              <w:left w:val="nil"/>
              <w:bottom w:val="nil"/>
              <w:right w:val="nil"/>
            </w:tcBorders>
            <w:shd w:val="clear" w:color="auto" w:fill="auto"/>
            <w:vAlign w:val="bottom"/>
          </w:tcPr>
          <w:p w14:paraId="06A64A51"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29.337</w:t>
            </w:r>
          </w:p>
        </w:tc>
        <w:tc>
          <w:tcPr>
            <w:tcW w:w="556" w:type="pct"/>
            <w:tcBorders>
              <w:top w:val="nil"/>
              <w:left w:val="nil"/>
              <w:bottom w:val="nil"/>
              <w:right w:val="nil"/>
            </w:tcBorders>
            <w:shd w:val="clear" w:color="auto" w:fill="auto"/>
            <w:vAlign w:val="bottom"/>
          </w:tcPr>
          <w:p w14:paraId="347DAEDD"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110.155</w:t>
            </w:r>
          </w:p>
        </w:tc>
        <w:tc>
          <w:tcPr>
            <w:tcW w:w="556" w:type="pct"/>
            <w:tcBorders>
              <w:top w:val="nil"/>
              <w:left w:val="nil"/>
              <w:bottom w:val="nil"/>
              <w:right w:val="nil"/>
            </w:tcBorders>
            <w:shd w:val="clear" w:color="auto" w:fill="auto"/>
            <w:vAlign w:val="bottom"/>
          </w:tcPr>
          <w:p w14:paraId="54AA18EB"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75.433</w:t>
            </w:r>
          </w:p>
        </w:tc>
        <w:tc>
          <w:tcPr>
            <w:tcW w:w="556" w:type="pct"/>
            <w:tcBorders>
              <w:top w:val="nil"/>
              <w:left w:val="nil"/>
              <w:bottom w:val="nil"/>
              <w:right w:val="nil"/>
            </w:tcBorders>
            <w:shd w:val="clear" w:color="auto" w:fill="auto"/>
            <w:vAlign w:val="bottom"/>
          </w:tcPr>
          <w:p w14:paraId="1C8AD7E6"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70.735</w:t>
            </w:r>
          </w:p>
        </w:tc>
        <w:tc>
          <w:tcPr>
            <w:tcW w:w="621" w:type="pct"/>
            <w:tcBorders>
              <w:top w:val="nil"/>
              <w:left w:val="nil"/>
              <w:bottom w:val="nil"/>
              <w:right w:val="nil"/>
            </w:tcBorders>
            <w:shd w:val="clear" w:color="auto" w:fill="auto"/>
            <w:vAlign w:val="bottom"/>
          </w:tcPr>
          <w:p w14:paraId="158954F2"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1.024.623</w:t>
            </w:r>
          </w:p>
        </w:tc>
      </w:tr>
      <w:tr w:rsidR="004E2F51" w:rsidRPr="00C40415" w14:paraId="63EE3930" w14:textId="77777777" w:rsidTr="00E032FC">
        <w:trPr>
          <w:trHeight w:hRule="exact" w:val="211"/>
        </w:trPr>
        <w:tc>
          <w:tcPr>
            <w:tcW w:w="1597" w:type="pct"/>
            <w:vAlign w:val="bottom"/>
          </w:tcPr>
          <w:p w14:paraId="3804C166" w14:textId="77777777" w:rsidR="004E2F51" w:rsidRPr="00C40415" w:rsidRDefault="004E2F51" w:rsidP="00E032FC">
            <w:pPr>
              <w:tabs>
                <w:tab w:val="right" w:pos="1202"/>
              </w:tabs>
              <w:outlineLvl w:val="0"/>
              <w:rPr>
                <w:rFonts w:ascii="Arial" w:hAnsi="Arial" w:cs="Arial"/>
                <w:color w:val="000000" w:themeColor="text1"/>
                <w:sz w:val="17"/>
                <w:szCs w:val="17"/>
                <w:lang w:val="hr-HR"/>
              </w:rPr>
            </w:pPr>
            <w:bookmarkStart w:id="1780" w:name="_Toc67330451"/>
            <w:r w:rsidRPr="00C40415">
              <w:rPr>
                <w:rFonts w:ascii="Arial" w:hAnsi="Arial" w:cs="Arial"/>
                <w:color w:val="000000" w:themeColor="text1"/>
                <w:spacing w:val="-2"/>
                <w:sz w:val="17"/>
                <w:szCs w:val="17"/>
                <w:lang w:val="hr-HR"/>
              </w:rPr>
              <w:t>Obveze po kreditima</w:t>
            </w:r>
            <w:bookmarkEnd w:id="1780"/>
          </w:p>
        </w:tc>
        <w:tc>
          <w:tcPr>
            <w:tcW w:w="557" w:type="pct"/>
            <w:tcBorders>
              <w:top w:val="nil"/>
              <w:left w:val="nil"/>
              <w:bottom w:val="nil"/>
              <w:right w:val="nil"/>
            </w:tcBorders>
            <w:shd w:val="clear" w:color="auto" w:fill="auto"/>
            <w:vAlign w:val="bottom"/>
          </w:tcPr>
          <w:p w14:paraId="297C321C"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566.496</w:t>
            </w:r>
          </w:p>
        </w:tc>
        <w:tc>
          <w:tcPr>
            <w:tcW w:w="557" w:type="pct"/>
            <w:tcBorders>
              <w:top w:val="nil"/>
              <w:left w:val="nil"/>
              <w:bottom w:val="nil"/>
              <w:right w:val="nil"/>
            </w:tcBorders>
            <w:shd w:val="clear" w:color="auto" w:fill="auto"/>
            <w:vAlign w:val="bottom"/>
          </w:tcPr>
          <w:p w14:paraId="1C9B1DA9"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298.689</w:t>
            </w:r>
          </w:p>
        </w:tc>
        <w:tc>
          <w:tcPr>
            <w:tcW w:w="556" w:type="pct"/>
            <w:tcBorders>
              <w:top w:val="nil"/>
              <w:left w:val="nil"/>
              <w:bottom w:val="nil"/>
              <w:right w:val="nil"/>
            </w:tcBorders>
            <w:shd w:val="clear" w:color="auto" w:fill="auto"/>
            <w:vAlign w:val="bottom"/>
          </w:tcPr>
          <w:p w14:paraId="05CDACCC"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3.384.456</w:t>
            </w:r>
          </w:p>
        </w:tc>
        <w:tc>
          <w:tcPr>
            <w:tcW w:w="556" w:type="pct"/>
            <w:tcBorders>
              <w:top w:val="nil"/>
              <w:left w:val="nil"/>
              <w:bottom w:val="nil"/>
              <w:right w:val="nil"/>
            </w:tcBorders>
            <w:shd w:val="clear" w:color="auto" w:fill="auto"/>
            <w:vAlign w:val="bottom"/>
          </w:tcPr>
          <w:p w14:paraId="3E6ABDC4"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5.690.177</w:t>
            </w:r>
          </w:p>
        </w:tc>
        <w:tc>
          <w:tcPr>
            <w:tcW w:w="556" w:type="pct"/>
            <w:tcBorders>
              <w:top w:val="nil"/>
              <w:left w:val="nil"/>
              <w:bottom w:val="nil"/>
              <w:right w:val="nil"/>
            </w:tcBorders>
            <w:shd w:val="clear" w:color="auto" w:fill="auto"/>
            <w:vAlign w:val="bottom"/>
          </w:tcPr>
          <w:p w14:paraId="1FFECFC3"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8.047.955</w:t>
            </w:r>
          </w:p>
        </w:tc>
        <w:tc>
          <w:tcPr>
            <w:tcW w:w="621" w:type="pct"/>
            <w:tcBorders>
              <w:top w:val="nil"/>
              <w:left w:val="nil"/>
              <w:bottom w:val="nil"/>
              <w:right w:val="nil"/>
            </w:tcBorders>
            <w:shd w:val="clear" w:color="auto" w:fill="auto"/>
            <w:vAlign w:val="bottom"/>
          </w:tcPr>
          <w:p w14:paraId="0D75313A"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17.987.773</w:t>
            </w:r>
          </w:p>
        </w:tc>
      </w:tr>
      <w:tr w:rsidR="004E2F51" w:rsidRPr="00C40415" w14:paraId="23559CDA" w14:textId="77777777" w:rsidTr="00E032FC">
        <w:trPr>
          <w:trHeight w:val="377"/>
        </w:trPr>
        <w:tc>
          <w:tcPr>
            <w:tcW w:w="1597" w:type="pct"/>
            <w:vAlign w:val="bottom"/>
          </w:tcPr>
          <w:p w14:paraId="4514CC57" w14:textId="77777777" w:rsidR="004E2F51" w:rsidRPr="00C40415" w:rsidRDefault="004E2F51" w:rsidP="00E032FC">
            <w:pPr>
              <w:tabs>
                <w:tab w:val="right" w:pos="1202"/>
              </w:tabs>
              <w:outlineLvl w:val="0"/>
              <w:rPr>
                <w:rFonts w:ascii="Arial" w:hAnsi="Arial" w:cs="Arial"/>
                <w:color w:val="000000" w:themeColor="text1"/>
                <w:spacing w:val="-2"/>
                <w:sz w:val="17"/>
                <w:szCs w:val="17"/>
                <w:lang w:val="hr-HR"/>
              </w:rPr>
            </w:pPr>
            <w:bookmarkStart w:id="1781" w:name="_Toc67330465"/>
            <w:r w:rsidRPr="00C40415">
              <w:rPr>
                <w:rFonts w:ascii="Arial" w:hAnsi="Arial" w:cs="Arial"/>
                <w:color w:val="000000" w:themeColor="text1"/>
                <w:spacing w:val="-2"/>
                <w:sz w:val="17"/>
                <w:szCs w:val="17"/>
                <w:lang w:val="hr-HR"/>
              </w:rPr>
              <w:t>Rezerviranja za garancije, preuzete i ostale obveze</w:t>
            </w:r>
            <w:bookmarkEnd w:id="1781"/>
          </w:p>
        </w:tc>
        <w:tc>
          <w:tcPr>
            <w:tcW w:w="557" w:type="pct"/>
            <w:tcBorders>
              <w:top w:val="nil"/>
              <w:left w:val="nil"/>
              <w:right w:val="nil"/>
            </w:tcBorders>
            <w:shd w:val="clear" w:color="auto" w:fill="auto"/>
            <w:vAlign w:val="bottom"/>
          </w:tcPr>
          <w:p w14:paraId="49F000A5"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104.063</w:t>
            </w:r>
          </w:p>
        </w:tc>
        <w:tc>
          <w:tcPr>
            <w:tcW w:w="557" w:type="pct"/>
            <w:tcBorders>
              <w:top w:val="nil"/>
              <w:left w:val="nil"/>
              <w:right w:val="nil"/>
            </w:tcBorders>
            <w:shd w:val="clear" w:color="auto" w:fill="auto"/>
            <w:vAlign w:val="bottom"/>
          </w:tcPr>
          <w:p w14:paraId="17558805"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2.702</w:t>
            </w:r>
          </w:p>
        </w:tc>
        <w:tc>
          <w:tcPr>
            <w:tcW w:w="556" w:type="pct"/>
            <w:tcBorders>
              <w:top w:val="nil"/>
              <w:left w:val="nil"/>
              <w:right w:val="nil"/>
            </w:tcBorders>
            <w:shd w:val="clear" w:color="auto" w:fill="auto"/>
            <w:vAlign w:val="bottom"/>
          </w:tcPr>
          <w:p w14:paraId="474FE5A2"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9.935</w:t>
            </w:r>
          </w:p>
        </w:tc>
        <w:tc>
          <w:tcPr>
            <w:tcW w:w="556" w:type="pct"/>
            <w:tcBorders>
              <w:top w:val="nil"/>
              <w:left w:val="nil"/>
              <w:right w:val="nil"/>
            </w:tcBorders>
            <w:shd w:val="clear" w:color="auto" w:fill="auto"/>
            <w:vAlign w:val="bottom"/>
          </w:tcPr>
          <w:p w14:paraId="5F294C12"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18.037</w:t>
            </w:r>
          </w:p>
        </w:tc>
        <w:tc>
          <w:tcPr>
            <w:tcW w:w="556" w:type="pct"/>
            <w:tcBorders>
              <w:top w:val="nil"/>
              <w:left w:val="nil"/>
              <w:right w:val="nil"/>
            </w:tcBorders>
            <w:shd w:val="clear" w:color="auto" w:fill="auto"/>
            <w:vAlign w:val="bottom"/>
          </w:tcPr>
          <w:p w14:paraId="4E582EAC"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7.938</w:t>
            </w:r>
          </w:p>
        </w:tc>
        <w:tc>
          <w:tcPr>
            <w:tcW w:w="621" w:type="pct"/>
            <w:tcBorders>
              <w:top w:val="nil"/>
              <w:left w:val="nil"/>
              <w:right w:val="nil"/>
            </w:tcBorders>
            <w:shd w:val="clear" w:color="auto" w:fill="auto"/>
            <w:vAlign w:val="bottom"/>
          </w:tcPr>
          <w:p w14:paraId="2803580C"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142.675</w:t>
            </w:r>
          </w:p>
        </w:tc>
      </w:tr>
      <w:tr w:rsidR="004E2F51" w:rsidRPr="00C40415" w14:paraId="5DDD7257" w14:textId="77777777" w:rsidTr="00E032FC">
        <w:trPr>
          <w:trHeight w:hRule="exact" w:val="211"/>
        </w:trPr>
        <w:tc>
          <w:tcPr>
            <w:tcW w:w="1597" w:type="pct"/>
            <w:vAlign w:val="bottom"/>
          </w:tcPr>
          <w:p w14:paraId="266F1E87" w14:textId="77777777" w:rsidR="004E2F51" w:rsidRPr="00C40415" w:rsidRDefault="004E2F51" w:rsidP="00E032FC">
            <w:pPr>
              <w:tabs>
                <w:tab w:val="right" w:pos="1202"/>
              </w:tabs>
              <w:outlineLvl w:val="0"/>
              <w:rPr>
                <w:rFonts w:ascii="Arial" w:hAnsi="Arial" w:cs="Arial"/>
                <w:color w:val="000000" w:themeColor="text1"/>
                <w:sz w:val="17"/>
                <w:szCs w:val="17"/>
                <w:lang w:val="hr-HR"/>
              </w:rPr>
            </w:pPr>
            <w:bookmarkStart w:id="1782" w:name="_Toc67330472"/>
            <w:r w:rsidRPr="00C40415">
              <w:rPr>
                <w:rFonts w:ascii="Arial" w:hAnsi="Arial" w:cs="Arial"/>
                <w:color w:val="000000" w:themeColor="text1"/>
                <w:spacing w:val="-2"/>
                <w:sz w:val="17"/>
                <w:szCs w:val="17"/>
                <w:lang w:val="hr-HR"/>
              </w:rPr>
              <w:t>Ostale obveze</w:t>
            </w:r>
            <w:bookmarkEnd w:id="1782"/>
          </w:p>
        </w:tc>
        <w:tc>
          <w:tcPr>
            <w:tcW w:w="557" w:type="pct"/>
            <w:tcBorders>
              <w:top w:val="nil"/>
              <w:left w:val="nil"/>
              <w:bottom w:val="single" w:sz="4" w:space="0" w:color="auto"/>
              <w:right w:val="nil"/>
            </w:tcBorders>
            <w:shd w:val="clear" w:color="auto" w:fill="auto"/>
            <w:vAlign w:val="bottom"/>
          </w:tcPr>
          <w:p w14:paraId="0FF2F7E3"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476.376</w:t>
            </w:r>
          </w:p>
        </w:tc>
        <w:tc>
          <w:tcPr>
            <w:tcW w:w="557" w:type="pct"/>
            <w:tcBorders>
              <w:top w:val="nil"/>
              <w:left w:val="nil"/>
              <w:bottom w:val="single" w:sz="4" w:space="0" w:color="auto"/>
              <w:right w:val="nil"/>
            </w:tcBorders>
            <w:shd w:val="clear" w:color="auto" w:fill="auto"/>
            <w:vAlign w:val="bottom"/>
          </w:tcPr>
          <w:p w14:paraId="771C86F2"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12.371</w:t>
            </w:r>
          </w:p>
        </w:tc>
        <w:tc>
          <w:tcPr>
            <w:tcW w:w="556" w:type="pct"/>
            <w:tcBorders>
              <w:top w:val="nil"/>
              <w:left w:val="nil"/>
              <w:bottom w:val="single" w:sz="4" w:space="0" w:color="auto"/>
              <w:right w:val="nil"/>
            </w:tcBorders>
            <w:shd w:val="clear" w:color="auto" w:fill="auto"/>
            <w:vAlign w:val="bottom"/>
          </w:tcPr>
          <w:p w14:paraId="1C71D6B2"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45.479</w:t>
            </w:r>
          </w:p>
        </w:tc>
        <w:tc>
          <w:tcPr>
            <w:tcW w:w="556" w:type="pct"/>
            <w:tcBorders>
              <w:top w:val="nil"/>
              <w:left w:val="nil"/>
              <w:bottom w:val="single" w:sz="4" w:space="0" w:color="auto"/>
              <w:right w:val="nil"/>
            </w:tcBorders>
            <w:shd w:val="clear" w:color="auto" w:fill="auto"/>
            <w:vAlign w:val="bottom"/>
          </w:tcPr>
          <w:p w14:paraId="564629FA"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82.569</w:t>
            </w:r>
          </w:p>
        </w:tc>
        <w:tc>
          <w:tcPr>
            <w:tcW w:w="556" w:type="pct"/>
            <w:tcBorders>
              <w:top w:val="nil"/>
              <w:left w:val="nil"/>
              <w:bottom w:val="single" w:sz="4" w:space="0" w:color="auto"/>
              <w:right w:val="nil"/>
            </w:tcBorders>
            <w:shd w:val="clear" w:color="auto" w:fill="auto"/>
            <w:vAlign w:val="bottom"/>
          </w:tcPr>
          <w:p w14:paraId="5CC54851"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36.338</w:t>
            </w:r>
          </w:p>
        </w:tc>
        <w:tc>
          <w:tcPr>
            <w:tcW w:w="621" w:type="pct"/>
            <w:tcBorders>
              <w:top w:val="nil"/>
              <w:left w:val="nil"/>
              <w:bottom w:val="single" w:sz="4" w:space="0" w:color="auto"/>
              <w:right w:val="nil"/>
            </w:tcBorders>
            <w:shd w:val="clear" w:color="auto" w:fill="auto"/>
            <w:vAlign w:val="bottom"/>
          </w:tcPr>
          <w:p w14:paraId="177425DE"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5649D">
              <w:rPr>
                <w:rFonts w:ascii="Arial" w:hAnsi="Arial" w:cs="Arial"/>
                <w:color w:val="000000"/>
                <w:sz w:val="17"/>
                <w:szCs w:val="17"/>
              </w:rPr>
              <w:t>653.133</w:t>
            </w:r>
          </w:p>
        </w:tc>
      </w:tr>
      <w:tr w:rsidR="004E2F51" w:rsidRPr="00C40415" w14:paraId="67BF4AC1" w14:textId="77777777" w:rsidTr="00E032FC">
        <w:trPr>
          <w:trHeight w:hRule="exact" w:val="265"/>
        </w:trPr>
        <w:tc>
          <w:tcPr>
            <w:tcW w:w="1597" w:type="pct"/>
            <w:vAlign w:val="bottom"/>
          </w:tcPr>
          <w:p w14:paraId="13785265" w14:textId="77777777" w:rsidR="004E2F51" w:rsidRPr="00C40415" w:rsidRDefault="004E2F51" w:rsidP="00E032FC">
            <w:pPr>
              <w:tabs>
                <w:tab w:val="right" w:pos="1202"/>
              </w:tabs>
              <w:outlineLvl w:val="0"/>
              <w:rPr>
                <w:rFonts w:ascii="Arial" w:hAnsi="Arial" w:cs="Arial"/>
                <w:b/>
                <w:bCs/>
                <w:color w:val="000000" w:themeColor="text1"/>
                <w:sz w:val="17"/>
                <w:szCs w:val="17"/>
                <w:lang w:val="hr-HR"/>
              </w:rPr>
            </w:pPr>
            <w:bookmarkStart w:id="1783" w:name="_Toc67330479"/>
            <w:r w:rsidRPr="00C40415">
              <w:rPr>
                <w:rFonts w:ascii="Arial" w:hAnsi="Arial" w:cs="Arial"/>
                <w:b/>
                <w:bCs/>
                <w:color w:val="000000" w:themeColor="text1"/>
                <w:sz w:val="17"/>
                <w:szCs w:val="17"/>
                <w:lang w:val="hr-HR"/>
              </w:rPr>
              <w:t>Ukupno</w:t>
            </w:r>
            <w:bookmarkEnd w:id="1783"/>
          </w:p>
        </w:tc>
        <w:tc>
          <w:tcPr>
            <w:tcW w:w="557" w:type="pct"/>
            <w:tcBorders>
              <w:top w:val="single" w:sz="4" w:space="0" w:color="auto"/>
              <w:left w:val="nil"/>
              <w:bottom w:val="single" w:sz="12" w:space="0" w:color="auto"/>
              <w:right w:val="nil"/>
            </w:tcBorders>
            <w:vAlign w:val="bottom"/>
          </w:tcPr>
          <w:p w14:paraId="09FD978E" w14:textId="77777777" w:rsidR="004E2F51" w:rsidRPr="00C40415" w:rsidRDefault="004E2F51" w:rsidP="00E032FC">
            <w:pPr>
              <w:tabs>
                <w:tab w:val="right" w:pos="1202"/>
              </w:tabs>
              <w:jc w:val="right"/>
              <w:outlineLvl w:val="0"/>
              <w:rPr>
                <w:rFonts w:ascii="Arial" w:hAnsi="Arial" w:cs="Arial"/>
                <w:b/>
                <w:bCs/>
                <w:color w:val="000000"/>
                <w:sz w:val="17"/>
                <w:szCs w:val="17"/>
              </w:rPr>
            </w:pPr>
            <w:r w:rsidRPr="00C5649D">
              <w:rPr>
                <w:rFonts w:ascii="Arial" w:hAnsi="Arial" w:cs="Arial"/>
                <w:b/>
                <w:bCs/>
                <w:color w:val="000000"/>
                <w:sz w:val="17"/>
                <w:szCs w:val="17"/>
              </w:rPr>
              <w:t>1.885.898</w:t>
            </w:r>
          </w:p>
        </w:tc>
        <w:tc>
          <w:tcPr>
            <w:tcW w:w="557" w:type="pct"/>
            <w:tcBorders>
              <w:top w:val="single" w:sz="4" w:space="0" w:color="auto"/>
              <w:left w:val="nil"/>
              <w:bottom w:val="single" w:sz="12" w:space="0" w:color="auto"/>
              <w:right w:val="nil"/>
            </w:tcBorders>
            <w:vAlign w:val="bottom"/>
          </w:tcPr>
          <w:p w14:paraId="60ABD22A" w14:textId="77777777" w:rsidR="004E2F51" w:rsidRPr="00C40415" w:rsidRDefault="004E2F51" w:rsidP="00E032FC">
            <w:pPr>
              <w:tabs>
                <w:tab w:val="right" w:pos="1202"/>
              </w:tabs>
              <w:jc w:val="right"/>
              <w:outlineLvl w:val="0"/>
              <w:rPr>
                <w:rFonts w:ascii="Arial" w:hAnsi="Arial" w:cs="Arial"/>
                <w:b/>
                <w:bCs/>
                <w:color w:val="000000"/>
                <w:sz w:val="17"/>
                <w:szCs w:val="17"/>
              </w:rPr>
            </w:pPr>
            <w:r w:rsidRPr="00C5649D">
              <w:rPr>
                <w:rFonts w:ascii="Arial" w:hAnsi="Arial" w:cs="Arial"/>
                <w:b/>
                <w:bCs/>
                <w:color w:val="000000"/>
                <w:sz w:val="17"/>
                <w:szCs w:val="17"/>
              </w:rPr>
              <w:t>343.099</w:t>
            </w:r>
          </w:p>
        </w:tc>
        <w:tc>
          <w:tcPr>
            <w:tcW w:w="556" w:type="pct"/>
            <w:tcBorders>
              <w:top w:val="single" w:sz="4" w:space="0" w:color="auto"/>
              <w:left w:val="nil"/>
              <w:bottom w:val="single" w:sz="12" w:space="0" w:color="auto"/>
              <w:right w:val="nil"/>
            </w:tcBorders>
            <w:vAlign w:val="bottom"/>
          </w:tcPr>
          <w:p w14:paraId="3AAA7C36" w14:textId="77777777" w:rsidR="004E2F51" w:rsidRPr="00C40415" w:rsidRDefault="004E2F51" w:rsidP="00E032FC">
            <w:pPr>
              <w:tabs>
                <w:tab w:val="right" w:pos="1202"/>
              </w:tabs>
              <w:jc w:val="right"/>
              <w:outlineLvl w:val="0"/>
              <w:rPr>
                <w:rFonts w:ascii="Arial" w:hAnsi="Arial" w:cs="Arial"/>
                <w:b/>
                <w:bCs/>
                <w:color w:val="000000"/>
                <w:sz w:val="17"/>
                <w:szCs w:val="17"/>
              </w:rPr>
            </w:pPr>
            <w:r w:rsidRPr="00C5649D">
              <w:rPr>
                <w:rFonts w:ascii="Arial" w:hAnsi="Arial" w:cs="Arial"/>
                <w:b/>
                <w:bCs/>
                <w:color w:val="000000"/>
                <w:sz w:val="17"/>
                <w:szCs w:val="17"/>
              </w:rPr>
              <w:t>3.550.025</w:t>
            </w:r>
          </w:p>
        </w:tc>
        <w:tc>
          <w:tcPr>
            <w:tcW w:w="556" w:type="pct"/>
            <w:tcBorders>
              <w:top w:val="single" w:sz="4" w:space="0" w:color="auto"/>
              <w:left w:val="nil"/>
              <w:bottom w:val="single" w:sz="12" w:space="0" w:color="auto"/>
              <w:right w:val="nil"/>
            </w:tcBorders>
            <w:vAlign w:val="bottom"/>
          </w:tcPr>
          <w:p w14:paraId="396BED1F" w14:textId="77777777" w:rsidR="004E2F51" w:rsidRPr="00C40415" w:rsidRDefault="004E2F51" w:rsidP="00E032FC">
            <w:pPr>
              <w:tabs>
                <w:tab w:val="right" w:pos="1202"/>
              </w:tabs>
              <w:jc w:val="right"/>
              <w:outlineLvl w:val="0"/>
              <w:rPr>
                <w:rFonts w:ascii="Arial" w:hAnsi="Arial" w:cs="Arial"/>
                <w:b/>
                <w:bCs/>
                <w:color w:val="000000"/>
                <w:sz w:val="17"/>
                <w:szCs w:val="17"/>
              </w:rPr>
            </w:pPr>
            <w:r w:rsidRPr="00C5649D">
              <w:rPr>
                <w:rFonts w:ascii="Arial" w:hAnsi="Arial" w:cs="Arial"/>
                <w:b/>
                <w:bCs/>
                <w:color w:val="000000"/>
                <w:sz w:val="17"/>
                <w:szCs w:val="17"/>
              </w:rPr>
              <w:t>5.866.216</w:t>
            </w:r>
          </w:p>
        </w:tc>
        <w:tc>
          <w:tcPr>
            <w:tcW w:w="556" w:type="pct"/>
            <w:tcBorders>
              <w:top w:val="single" w:sz="4" w:space="0" w:color="auto"/>
              <w:left w:val="nil"/>
              <w:bottom w:val="single" w:sz="12" w:space="0" w:color="auto"/>
              <w:right w:val="nil"/>
            </w:tcBorders>
            <w:vAlign w:val="bottom"/>
          </w:tcPr>
          <w:p w14:paraId="7C749F5E" w14:textId="77777777" w:rsidR="004E2F51" w:rsidRPr="00C40415" w:rsidRDefault="004E2F51" w:rsidP="00E032FC">
            <w:pPr>
              <w:tabs>
                <w:tab w:val="right" w:pos="1202"/>
              </w:tabs>
              <w:jc w:val="right"/>
              <w:outlineLvl w:val="0"/>
              <w:rPr>
                <w:rFonts w:ascii="Arial" w:hAnsi="Arial" w:cs="Arial"/>
                <w:b/>
                <w:bCs/>
                <w:color w:val="000000"/>
                <w:sz w:val="17"/>
                <w:szCs w:val="17"/>
              </w:rPr>
            </w:pPr>
            <w:r w:rsidRPr="00C5649D">
              <w:rPr>
                <w:rFonts w:ascii="Arial" w:hAnsi="Arial" w:cs="Arial"/>
                <w:b/>
                <w:bCs/>
                <w:color w:val="000000"/>
                <w:sz w:val="17"/>
                <w:szCs w:val="17"/>
              </w:rPr>
              <w:t>8.162.966</w:t>
            </w:r>
          </w:p>
        </w:tc>
        <w:tc>
          <w:tcPr>
            <w:tcW w:w="621" w:type="pct"/>
            <w:tcBorders>
              <w:top w:val="single" w:sz="4" w:space="0" w:color="auto"/>
              <w:left w:val="nil"/>
              <w:bottom w:val="single" w:sz="12" w:space="0" w:color="auto"/>
              <w:right w:val="nil"/>
            </w:tcBorders>
            <w:vAlign w:val="bottom"/>
          </w:tcPr>
          <w:p w14:paraId="2112C293" w14:textId="77777777" w:rsidR="004E2F51" w:rsidRPr="00C40415" w:rsidRDefault="004E2F51" w:rsidP="00E032FC">
            <w:pPr>
              <w:tabs>
                <w:tab w:val="right" w:pos="1202"/>
              </w:tabs>
              <w:jc w:val="right"/>
              <w:outlineLvl w:val="0"/>
              <w:rPr>
                <w:rFonts w:ascii="Arial" w:hAnsi="Arial" w:cs="Arial"/>
                <w:b/>
                <w:bCs/>
                <w:color w:val="000000"/>
                <w:sz w:val="17"/>
                <w:szCs w:val="17"/>
              </w:rPr>
            </w:pPr>
            <w:r w:rsidRPr="00C5649D">
              <w:rPr>
                <w:rFonts w:ascii="Arial" w:hAnsi="Arial" w:cs="Arial"/>
                <w:b/>
                <w:bCs/>
                <w:color w:val="000000"/>
                <w:sz w:val="17"/>
                <w:szCs w:val="17"/>
              </w:rPr>
              <w:t>19.808.204</w:t>
            </w:r>
          </w:p>
        </w:tc>
      </w:tr>
      <w:tr w:rsidR="004E2F51" w:rsidRPr="00C40415" w14:paraId="49A7AE8C" w14:textId="77777777" w:rsidTr="00E032FC">
        <w:trPr>
          <w:trHeight w:hRule="exact" w:val="275"/>
        </w:trPr>
        <w:tc>
          <w:tcPr>
            <w:tcW w:w="1597" w:type="pct"/>
            <w:vAlign w:val="bottom"/>
          </w:tcPr>
          <w:p w14:paraId="30A3C7A6" w14:textId="77777777" w:rsidR="004E2F51" w:rsidRPr="00C40415" w:rsidRDefault="004E2F51" w:rsidP="00E032FC">
            <w:pPr>
              <w:tabs>
                <w:tab w:val="right" w:pos="1202"/>
              </w:tabs>
              <w:spacing w:line="340" w:lineRule="exact"/>
              <w:outlineLvl w:val="0"/>
              <w:rPr>
                <w:rFonts w:ascii="Arial" w:hAnsi="Arial" w:cs="Arial"/>
                <w:b/>
                <w:bCs/>
                <w:color w:val="000000" w:themeColor="text1"/>
                <w:sz w:val="17"/>
                <w:szCs w:val="17"/>
                <w:lang w:val="hr-HR"/>
              </w:rPr>
            </w:pPr>
          </w:p>
        </w:tc>
        <w:tc>
          <w:tcPr>
            <w:tcW w:w="557" w:type="pct"/>
            <w:tcBorders>
              <w:top w:val="nil"/>
              <w:left w:val="nil"/>
              <w:right w:val="nil"/>
            </w:tcBorders>
            <w:shd w:val="clear" w:color="auto" w:fill="auto"/>
            <w:vAlign w:val="bottom"/>
          </w:tcPr>
          <w:p w14:paraId="162EF69C" w14:textId="77777777" w:rsidR="004E2F51" w:rsidRPr="00C40415" w:rsidRDefault="004E2F51" w:rsidP="00E032FC">
            <w:pPr>
              <w:tabs>
                <w:tab w:val="right" w:pos="1202"/>
              </w:tabs>
              <w:spacing w:line="340" w:lineRule="exact"/>
              <w:jc w:val="right"/>
              <w:outlineLvl w:val="0"/>
              <w:rPr>
                <w:rFonts w:ascii="Arial" w:hAnsi="Arial" w:cs="Arial"/>
                <w:b/>
                <w:color w:val="000000" w:themeColor="text1"/>
                <w:sz w:val="17"/>
                <w:szCs w:val="17"/>
                <w:lang w:val="hr-HR"/>
              </w:rPr>
            </w:pPr>
          </w:p>
        </w:tc>
        <w:tc>
          <w:tcPr>
            <w:tcW w:w="557" w:type="pct"/>
            <w:tcBorders>
              <w:top w:val="nil"/>
              <w:left w:val="nil"/>
              <w:right w:val="nil"/>
            </w:tcBorders>
            <w:shd w:val="clear" w:color="auto" w:fill="auto"/>
            <w:vAlign w:val="bottom"/>
          </w:tcPr>
          <w:p w14:paraId="22B78734" w14:textId="77777777" w:rsidR="004E2F51" w:rsidRPr="00C40415" w:rsidRDefault="004E2F51" w:rsidP="00E032FC">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shd w:val="clear" w:color="auto" w:fill="auto"/>
            <w:vAlign w:val="bottom"/>
          </w:tcPr>
          <w:p w14:paraId="75CAA922" w14:textId="77777777" w:rsidR="004E2F51" w:rsidRPr="00C40415" w:rsidRDefault="004E2F51" w:rsidP="00E032FC">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shd w:val="clear" w:color="auto" w:fill="auto"/>
            <w:vAlign w:val="bottom"/>
          </w:tcPr>
          <w:p w14:paraId="7AC775FC" w14:textId="77777777" w:rsidR="004E2F51" w:rsidRPr="00C40415" w:rsidRDefault="004E2F51" w:rsidP="00E032FC">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shd w:val="clear" w:color="auto" w:fill="auto"/>
            <w:vAlign w:val="bottom"/>
          </w:tcPr>
          <w:p w14:paraId="51062F78" w14:textId="77777777" w:rsidR="004E2F51" w:rsidRPr="00C40415" w:rsidRDefault="004E2F51" w:rsidP="00E032FC">
            <w:pPr>
              <w:tabs>
                <w:tab w:val="right" w:pos="1202"/>
              </w:tabs>
              <w:spacing w:line="340" w:lineRule="exact"/>
              <w:jc w:val="right"/>
              <w:outlineLvl w:val="0"/>
              <w:rPr>
                <w:rFonts w:ascii="Arial" w:hAnsi="Arial" w:cs="Arial"/>
                <w:b/>
                <w:color w:val="000000" w:themeColor="text1"/>
                <w:sz w:val="17"/>
                <w:szCs w:val="17"/>
                <w:lang w:val="hr-HR"/>
              </w:rPr>
            </w:pPr>
          </w:p>
        </w:tc>
        <w:tc>
          <w:tcPr>
            <w:tcW w:w="621" w:type="pct"/>
            <w:tcBorders>
              <w:top w:val="nil"/>
              <w:left w:val="nil"/>
              <w:right w:val="nil"/>
            </w:tcBorders>
            <w:shd w:val="clear" w:color="auto" w:fill="auto"/>
            <w:vAlign w:val="bottom"/>
          </w:tcPr>
          <w:p w14:paraId="7557F039" w14:textId="77777777" w:rsidR="004E2F51" w:rsidRPr="00C40415" w:rsidRDefault="004E2F51" w:rsidP="00E032FC">
            <w:pPr>
              <w:tabs>
                <w:tab w:val="right" w:pos="1202"/>
              </w:tabs>
              <w:spacing w:line="340" w:lineRule="exact"/>
              <w:jc w:val="right"/>
              <w:outlineLvl w:val="0"/>
              <w:rPr>
                <w:rFonts w:ascii="Arial" w:hAnsi="Arial" w:cs="Arial"/>
                <w:b/>
                <w:color w:val="000000" w:themeColor="text1"/>
                <w:sz w:val="17"/>
                <w:szCs w:val="17"/>
                <w:lang w:val="hr-HR"/>
              </w:rPr>
            </w:pPr>
          </w:p>
        </w:tc>
      </w:tr>
      <w:tr w:rsidR="004E2F51" w:rsidRPr="00C40415" w14:paraId="611CFD88" w14:textId="77777777" w:rsidTr="00E032FC">
        <w:trPr>
          <w:trHeight w:hRule="exact" w:val="211"/>
        </w:trPr>
        <w:tc>
          <w:tcPr>
            <w:tcW w:w="1597" w:type="pct"/>
            <w:tcBorders>
              <w:top w:val="nil"/>
              <w:left w:val="nil"/>
              <w:bottom w:val="nil"/>
              <w:right w:val="nil"/>
            </w:tcBorders>
            <w:shd w:val="clear" w:color="auto" w:fill="auto"/>
          </w:tcPr>
          <w:p w14:paraId="40E003CE" w14:textId="77777777" w:rsidR="004E2F51" w:rsidRPr="00C40415" w:rsidRDefault="004E2F51" w:rsidP="00E032FC">
            <w:pPr>
              <w:tabs>
                <w:tab w:val="right" w:pos="1202"/>
              </w:tabs>
              <w:outlineLvl w:val="0"/>
              <w:rPr>
                <w:rFonts w:ascii="Arial" w:hAnsi="Arial" w:cs="Arial"/>
                <w:b/>
                <w:bCs/>
                <w:color w:val="000000" w:themeColor="text1"/>
                <w:sz w:val="17"/>
                <w:szCs w:val="17"/>
                <w:lang w:val="hr-HR"/>
              </w:rPr>
            </w:pPr>
            <w:bookmarkStart w:id="1784" w:name="_Toc67330486"/>
            <w:r w:rsidRPr="00C40415">
              <w:rPr>
                <w:rFonts w:ascii="Arial" w:hAnsi="Arial" w:cs="Arial"/>
                <w:b/>
                <w:bCs/>
                <w:color w:val="000000" w:themeColor="text1"/>
                <w:sz w:val="17"/>
                <w:szCs w:val="17"/>
                <w:lang w:val="hr-HR"/>
              </w:rPr>
              <w:t>Garancije i preuzete obveze</w:t>
            </w:r>
            <w:bookmarkEnd w:id="1784"/>
          </w:p>
        </w:tc>
        <w:tc>
          <w:tcPr>
            <w:tcW w:w="557" w:type="pct"/>
            <w:tcBorders>
              <w:top w:val="nil"/>
              <w:left w:val="nil"/>
              <w:bottom w:val="nil"/>
              <w:right w:val="nil"/>
            </w:tcBorders>
            <w:shd w:val="clear" w:color="auto" w:fill="auto"/>
            <w:vAlign w:val="bottom"/>
          </w:tcPr>
          <w:p w14:paraId="6CFED298"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p>
        </w:tc>
        <w:tc>
          <w:tcPr>
            <w:tcW w:w="557" w:type="pct"/>
            <w:tcBorders>
              <w:top w:val="nil"/>
              <w:left w:val="nil"/>
              <w:bottom w:val="nil"/>
              <w:right w:val="nil"/>
            </w:tcBorders>
            <w:shd w:val="clear" w:color="auto" w:fill="auto"/>
            <w:vAlign w:val="bottom"/>
          </w:tcPr>
          <w:p w14:paraId="06E20C7B"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shd w:val="clear" w:color="auto" w:fill="auto"/>
            <w:vAlign w:val="bottom"/>
          </w:tcPr>
          <w:p w14:paraId="29057685"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shd w:val="clear" w:color="auto" w:fill="auto"/>
            <w:vAlign w:val="bottom"/>
          </w:tcPr>
          <w:p w14:paraId="51A089C2"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shd w:val="clear" w:color="auto" w:fill="auto"/>
            <w:vAlign w:val="bottom"/>
          </w:tcPr>
          <w:p w14:paraId="16D1AF38"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p>
        </w:tc>
        <w:tc>
          <w:tcPr>
            <w:tcW w:w="621" w:type="pct"/>
            <w:tcBorders>
              <w:top w:val="nil"/>
              <w:left w:val="nil"/>
              <w:bottom w:val="nil"/>
              <w:right w:val="nil"/>
            </w:tcBorders>
            <w:shd w:val="clear" w:color="auto" w:fill="auto"/>
            <w:vAlign w:val="bottom"/>
          </w:tcPr>
          <w:p w14:paraId="053BC5B9"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p>
        </w:tc>
      </w:tr>
      <w:tr w:rsidR="004E2F51" w:rsidRPr="00C40415" w14:paraId="296F2C0A" w14:textId="77777777" w:rsidTr="00E032FC">
        <w:trPr>
          <w:trHeight w:hRule="exact" w:val="211"/>
        </w:trPr>
        <w:tc>
          <w:tcPr>
            <w:tcW w:w="1597" w:type="pct"/>
            <w:tcBorders>
              <w:top w:val="nil"/>
              <w:left w:val="nil"/>
              <w:bottom w:val="nil"/>
              <w:right w:val="nil"/>
            </w:tcBorders>
            <w:shd w:val="clear" w:color="auto" w:fill="auto"/>
            <w:vAlign w:val="center"/>
          </w:tcPr>
          <w:p w14:paraId="30373482" w14:textId="77777777" w:rsidR="004E2F51" w:rsidRPr="00C40415" w:rsidRDefault="004E2F51" w:rsidP="00E032FC">
            <w:pPr>
              <w:tabs>
                <w:tab w:val="right" w:pos="1202"/>
              </w:tabs>
              <w:outlineLvl w:val="0"/>
              <w:rPr>
                <w:rFonts w:ascii="Arial" w:hAnsi="Arial" w:cs="Arial"/>
                <w:b/>
                <w:bCs/>
                <w:color w:val="000000" w:themeColor="text1"/>
                <w:sz w:val="17"/>
                <w:szCs w:val="17"/>
                <w:lang w:val="hr-HR"/>
              </w:rPr>
            </w:pPr>
            <w:bookmarkStart w:id="1785" w:name="_Toc67330487"/>
            <w:r w:rsidRPr="00C40415">
              <w:rPr>
                <w:rFonts w:ascii="Arial" w:eastAsia="Calibri" w:hAnsi="Arial" w:cs="Arial"/>
                <w:color w:val="000000" w:themeColor="text1"/>
                <w:spacing w:val="-2"/>
                <w:sz w:val="17"/>
                <w:szCs w:val="17"/>
                <w:lang w:val="hr-HR"/>
              </w:rPr>
              <w:t>Izdane garancije u kunama</w:t>
            </w:r>
            <w:bookmarkEnd w:id="1785"/>
          </w:p>
        </w:tc>
        <w:tc>
          <w:tcPr>
            <w:tcW w:w="557" w:type="pct"/>
            <w:tcBorders>
              <w:top w:val="nil"/>
              <w:left w:val="nil"/>
              <w:bottom w:val="nil"/>
              <w:right w:val="nil"/>
            </w:tcBorders>
            <w:shd w:val="clear" w:color="auto" w:fill="auto"/>
            <w:vAlign w:val="bottom"/>
          </w:tcPr>
          <w:p w14:paraId="50E61A7E"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115.427 </w:t>
            </w:r>
          </w:p>
        </w:tc>
        <w:tc>
          <w:tcPr>
            <w:tcW w:w="557" w:type="pct"/>
            <w:tcBorders>
              <w:top w:val="nil"/>
              <w:left w:val="nil"/>
              <w:bottom w:val="nil"/>
              <w:right w:val="nil"/>
            </w:tcBorders>
            <w:shd w:val="clear" w:color="auto" w:fill="auto"/>
            <w:vAlign w:val="bottom"/>
          </w:tcPr>
          <w:p w14:paraId="2693479D"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7B2F24D4"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5AA4CE34"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7F877E06"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color w:val="000000"/>
                <w:sz w:val="17"/>
                <w:szCs w:val="17"/>
              </w:rPr>
              <w:t xml:space="preserve"> - </w:t>
            </w:r>
          </w:p>
        </w:tc>
        <w:tc>
          <w:tcPr>
            <w:tcW w:w="621" w:type="pct"/>
            <w:tcBorders>
              <w:top w:val="nil"/>
              <w:left w:val="nil"/>
              <w:bottom w:val="nil"/>
              <w:right w:val="nil"/>
            </w:tcBorders>
            <w:shd w:val="clear" w:color="auto" w:fill="auto"/>
            <w:vAlign w:val="bottom"/>
          </w:tcPr>
          <w:p w14:paraId="0BFAA3EB"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115.427 </w:t>
            </w:r>
          </w:p>
        </w:tc>
      </w:tr>
      <w:tr w:rsidR="004E2F51" w:rsidRPr="00C40415" w14:paraId="3E493A67" w14:textId="77777777" w:rsidTr="00E032FC">
        <w:trPr>
          <w:trHeight w:hRule="exact" w:val="211"/>
        </w:trPr>
        <w:tc>
          <w:tcPr>
            <w:tcW w:w="1597" w:type="pct"/>
            <w:tcBorders>
              <w:top w:val="nil"/>
              <w:left w:val="nil"/>
              <w:bottom w:val="nil"/>
              <w:right w:val="nil"/>
            </w:tcBorders>
            <w:shd w:val="clear" w:color="auto" w:fill="auto"/>
            <w:vAlign w:val="center"/>
          </w:tcPr>
          <w:p w14:paraId="28F941EB" w14:textId="77777777" w:rsidR="004E2F51" w:rsidRPr="00C40415" w:rsidRDefault="004E2F51" w:rsidP="00E032FC">
            <w:pPr>
              <w:tabs>
                <w:tab w:val="right" w:pos="1202"/>
              </w:tabs>
              <w:outlineLvl w:val="0"/>
              <w:rPr>
                <w:rFonts w:ascii="Arial" w:hAnsi="Arial" w:cs="Arial"/>
                <w:b/>
                <w:bCs/>
                <w:color w:val="000000" w:themeColor="text1"/>
                <w:sz w:val="17"/>
                <w:szCs w:val="17"/>
                <w:lang w:val="hr-HR"/>
              </w:rPr>
            </w:pPr>
            <w:bookmarkStart w:id="1786" w:name="_Toc67330490"/>
            <w:r w:rsidRPr="00C40415">
              <w:rPr>
                <w:rFonts w:ascii="Arial" w:eastAsia="Calibri" w:hAnsi="Arial" w:cs="Arial"/>
                <w:color w:val="000000" w:themeColor="text1"/>
                <w:spacing w:val="-2"/>
                <w:sz w:val="17"/>
                <w:szCs w:val="17"/>
                <w:lang w:val="hr-HR"/>
              </w:rPr>
              <w:t>Izdane garancije u devizama</w:t>
            </w:r>
            <w:bookmarkEnd w:id="1786"/>
          </w:p>
        </w:tc>
        <w:tc>
          <w:tcPr>
            <w:tcW w:w="557" w:type="pct"/>
            <w:tcBorders>
              <w:top w:val="nil"/>
              <w:left w:val="nil"/>
              <w:bottom w:val="nil"/>
              <w:right w:val="nil"/>
            </w:tcBorders>
            <w:shd w:val="clear" w:color="auto" w:fill="auto"/>
            <w:vAlign w:val="bottom"/>
          </w:tcPr>
          <w:p w14:paraId="7D629661"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194.098 </w:t>
            </w:r>
          </w:p>
        </w:tc>
        <w:tc>
          <w:tcPr>
            <w:tcW w:w="557" w:type="pct"/>
            <w:tcBorders>
              <w:top w:val="nil"/>
              <w:left w:val="nil"/>
              <w:bottom w:val="nil"/>
              <w:right w:val="nil"/>
            </w:tcBorders>
            <w:shd w:val="clear" w:color="auto" w:fill="auto"/>
            <w:vAlign w:val="bottom"/>
          </w:tcPr>
          <w:p w14:paraId="4A30086A"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2FBFAA0B"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66EB322C"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67F0BB71"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color w:val="000000"/>
                <w:sz w:val="17"/>
                <w:szCs w:val="17"/>
              </w:rPr>
              <w:t xml:space="preserve"> - </w:t>
            </w:r>
          </w:p>
        </w:tc>
        <w:tc>
          <w:tcPr>
            <w:tcW w:w="621" w:type="pct"/>
            <w:tcBorders>
              <w:top w:val="nil"/>
              <w:left w:val="nil"/>
              <w:bottom w:val="nil"/>
              <w:right w:val="nil"/>
            </w:tcBorders>
            <w:shd w:val="clear" w:color="auto" w:fill="auto"/>
            <w:vAlign w:val="bottom"/>
          </w:tcPr>
          <w:p w14:paraId="1953C8C0"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194.098 </w:t>
            </w:r>
          </w:p>
        </w:tc>
      </w:tr>
      <w:tr w:rsidR="004E2F51" w:rsidRPr="00C40415" w14:paraId="5B2935F8" w14:textId="77777777" w:rsidTr="00E032FC">
        <w:trPr>
          <w:trHeight w:hRule="exact" w:val="211"/>
        </w:trPr>
        <w:tc>
          <w:tcPr>
            <w:tcW w:w="1597" w:type="pct"/>
            <w:tcBorders>
              <w:top w:val="nil"/>
              <w:left w:val="nil"/>
              <w:bottom w:val="nil"/>
              <w:right w:val="nil"/>
            </w:tcBorders>
            <w:shd w:val="clear" w:color="auto" w:fill="auto"/>
            <w:vAlign w:val="center"/>
          </w:tcPr>
          <w:p w14:paraId="1A52544B" w14:textId="77777777" w:rsidR="004E2F51" w:rsidRPr="00C40415" w:rsidRDefault="004E2F51" w:rsidP="00E032FC">
            <w:pPr>
              <w:tabs>
                <w:tab w:val="right" w:pos="1202"/>
              </w:tabs>
              <w:outlineLvl w:val="0"/>
              <w:rPr>
                <w:rFonts w:ascii="Arial" w:eastAsia="Calibri" w:hAnsi="Arial" w:cs="Arial"/>
                <w:color w:val="000000" w:themeColor="text1"/>
                <w:spacing w:val="-2"/>
                <w:sz w:val="17"/>
                <w:szCs w:val="17"/>
                <w:lang w:val="hr-HR"/>
              </w:rPr>
            </w:pPr>
            <w:r w:rsidRPr="00C5649D">
              <w:rPr>
                <w:rFonts w:ascii="Arial" w:eastAsia="Calibri" w:hAnsi="Arial" w:cs="Arial"/>
                <w:color w:val="000000" w:themeColor="text1"/>
                <w:spacing w:val="-2"/>
                <w:sz w:val="17"/>
                <w:szCs w:val="17"/>
                <w:lang w:val="hr-HR"/>
              </w:rPr>
              <w:t>Otvoreni akreditivi u devizama</w:t>
            </w:r>
          </w:p>
        </w:tc>
        <w:tc>
          <w:tcPr>
            <w:tcW w:w="557" w:type="pct"/>
            <w:tcBorders>
              <w:top w:val="nil"/>
              <w:left w:val="nil"/>
              <w:bottom w:val="nil"/>
              <w:right w:val="nil"/>
            </w:tcBorders>
            <w:shd w:val="clear" w:color="auto" w:fill="auto"/>
            <w:vAlign w:val="bottom"/>
          </w:tcPr>
          <w:p w14:paraId="637870AD" w14:textId="77777777" w:rsidR="004E2F51" w:rsidRPr="00F629B8" w:rsidRDefault="004E2F51" w:rsidP="00E032FC">
            <w:pPr>
              <w:tabs>
                <w:tab w:val="right" w:pos="1202"/>
              </w:tabs>
              <w:spacing w:line="240" w:lineRule="exact"/>
              <w:jc w:val="right"/>
              <w:outlineLvl w:val="0"/>
              <w:rPr>
                <w:rFonts w:ascii="Arial" w:hAnsi="Arial" w:cs="Arial"/>
                <w:color w:val="000000"/>
                <w:sz w:val="17"/>
                <w:szCs w:val="17"/>
              </w:rPr>
            </w:pPr>
            <w:r w:rsidRPr="00F629B8">
              <w:rPr>
                <w:rFonts w:ascii="Arial" w:hAnsi="Arial" w:cs="Arial"/>
                <w:color w:val="000000"/>
                <w:sz w:val="17"/>
                <w:szCs w:val="17"/>
              </w:rPr>
              <w:t xml:space="preserve"> 1.243 </w:t>
            </w:r>
          </w:p>
        </w:tc>
        <w:tc>
          <w:tcPr>
            <w:tcW w:w="557" w:type="pct"/>
            <w:tcBorders>
              <w:top w:val="nil"/>
              <w:left w:val="nil"/>
              <w:bottom w:val="nil"/>
              <w:right w:val="nil"/>
            </w:tcBorders>
            <w:shd w:val="clear" w:color="auto" w:fill="auto"/>
            <w:vAlign w:val="bottom"/>
          </w:tcPr>
          <w:p w14:paraId="1E8775DD"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4DC17108"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111A2044"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32549ACF" w14:textId="77777777" w:rsidR="004E2F51" w:rsidRPr="00F629B8"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 </w:t>
            </w:r>
          </w:p>
        </w:tc>
        <w:tc>
          <w:tcPr>
            <w:tcW w:w="621" w:type="pct"/>
            <w:tcBorders>
              <w:top w:val="nil"/>
              <w:left w:val="nil"/>
              <w:bottom w:val="nil"/>
              <w:right w:val="nil"/>
            </w:tcBorders>
            <w:shd w:val="clear" w:color="auto" w:fill="auto"/>
            <w:vAlign w:val="bottom"/>
          </w:tcPr>
          <w:p w14:paraId="72C3C353" w14:textId="77777777" w:rsidR="004E2F51" w:rsidRPr="00F629B8" w:rsidRDefault="004E2F51" w:rsidP="00E032FC">
            <w:pPr>
              <w:tabs>
                <w:tab w:val="right" w:pos="1202"/>
              </w:tabs>
              <w:spacing w:line="240" w:lineRule="exact"/>
              <w:jc w:val="right"/>
              <w:outlineLvl w:val="0"/>
              <w:rPr>
                <w:rFonts w:ascii="Arial" w:hAnsi="Arial" w:cs="Arial"/>
                <w:color w:val="000000"/>
                <w:sz w:val="17"/>
                <w:szCs w:val="17"/>
              </w:rPr>
            </w:pPr>
            <w:r w:rsidRPr="00F629B8">
              <w:rPr>
                <w:rFonts w:ascii="Arial" w:hAnsi="Arial" w:cs="Arial"/>
                <w:color w:val="000000"/>
                <w:sz w:val="17"/>
                <w:szCs w:val="17"/>
              </w:rPr>
              <w:t xml:space="preserve"> 1.243 </w:t>
            </w:r>
          </w:p>
        </w:tc>
      </w:tr>
      <w:tr w:rsidR="004E2F51" w:rsidRPr="00C40415" w14:paraId="2858AFDA" w14:textId="77777777" w:rsidTr="00E032FC">
        <w:trPr>
          <w:trHeight w:hRule="exact" w:val="211"/>
        </w:trPr>
        <w:tc>
          <w:tcPr>
            <w:tcW w:w="1597" w:type="pct"/>
            <w:tcBorders>
              <w:top w:val="nil"/>
              <w:left w:val="nil"/>
              <w:bottom w:val="nil"/>
              <w:right w:val="nil"/>
            </w:tcBorders>
            <w:shd w:val="clear" w:color="auto" w:fill="auto"/>
            <w:vAlign w:val="center"/>
          </w:tcPr>
          <w:p w14:paraId="57085DCF" w14:textId="77777777" w:rsidR="004E2F51" w:rsidRPr="00C40415" w:rsidRDefault="004E2F51" w:rsidP="00E032FC">
            <w:pPr>
              <w:tabs>
                <w:tab w:val="right" w:pos="1202"/>
              </w:tabs>
              <w:outlineLvl w:val="0"/>
              <w:rPr>
                <w:rFonts w:ascii="Arial" w:hAnsi="Arial" w:cs="Arial"/>
                <w:b/>
                <w:bCs/>
                <w:color w:val="000000" w:themeColor="text1"/>
                <w:sz w:val="17"/>
                <w:szCs w:val="17"/>
                <w:lang w:val="hr-HR"/>
              </w:rPr>
            </w:pPr>
            <w:bookmarkStart w:id="1787" w:name="_Toc67330496"/>
            <w:r w:rsidRPr="00C40415">
              <w:rPr>
                <w:rFonts w:ascii="Arial" w:eastAsia="Calibri" w:hAnsi="Arial" w:cs="Arial"/>
                <w:color w:val="000000" w:themeColor="text1"/>
                <w:spacing w:val="-2"/>
                <w:sz w:val="17"/>
                <w:szCs w:val="17"/>
                <w:lang w:val="hr-HR"/>
              </w:rPr>
              <w:t>Preuzete obveze po kreditima</w:t>
            </w:r>
            <w:bookmarkEnd w:id="1787"/>
          </w:p>
        </w:tc>
        <w:tc>
          <w:tcPr>
            <w:tcW w:w="557" w:type="pct"/>
            <w:tcBorders>
              <w:top w:val="nil"/>
              <w:left w:val="nil"/>
              <w:bottom w:val="nil"/>
              <w:right w:val="nil"/>
            </w:tcBorders>
            <w:shd w:val="clear" w:color="auto" w:fill="auto"/>
            <w:vAlign w:val="bottom"/>
          </w:tcPr>
          <w:p w14:paraId="7703AB8F"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2.668.118 </w:t>
            </w:r>
          </w:p>
        </w:tc>
        <w:tc>
          <w:tcPr>
            <w:tcW w:w="557" w:type="pct"/>
            <w:tcBorders>
              <w:top w:val="nil"/>
              <w:left w:val="nil"/>
              <w:bottom w:val="nil"/>
              <w:right w:val="nil"/>
            </w:tcBorders>
            <w:shd w:val="clear" w:color="auto" w:fill="auto"/>
            <w:vAlign w:val="bottom"/>
          </w:tcPr>
          <w:p w14:paraId="62D97339"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4B264FA9"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17CAED33"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5EFA7918"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color w:val="000000"/>
                <w:sz w:val="17"/>
                <w:szCs w:val="17"/>
              </w:rPr>
              <w:t xml:space="preserve"> - </w:t>
            </w:r>
          </w:p>
        </w:tc>
        <w:tc>
          <w:tcPr>
            <w:tcW w:w="621" w:type="pct"/>
            <w:tcBorders>
              <w:top w:val="nil"/>
              <w:left w:val="nil"/>
              <w:bottom w:val="nil"/>
              <w:right w:val="nil"/>
            </w:tcBorders>
            <w:shd w:val="clear" w:color="auto" w:fill="auto"/>
            <w:vAlign w:val="bottom"/>
          </w:tcPr>
          <w:p w14:paraId="4A047711"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2.668.118 </w:t>
            </w:r>
          </w:p>
        </w:tc>
      </w:tr>
      <w:tr w:rsidR="004E2F51" w:rsidRPr="00C40415" w14:paraId="32E83E30" w14:textId="77777777" w:rsidTr="00E032FC">
        <w:trPr>
          <w:trHeight w:hRule="exact" w:val="211"/>
        </w:trPr>
        <w:tc>
          <w:tcPr>
            <w:tcW w:w="1597" w:type="pct"/>
            <w:tcBorders>
              <w:top w:val="nil"/>
              <w:left w:val="nil"/>
              <w:bottom w:val="nil"/>
              <w:right w:val="nil"/>
            </w:tcBorders>
            <w:shd w:val="clear" w:color="auto" w:fill="auto"/>
            <w:vAlign w:val="bottom"/>
          </w:tcPr>
          <w:p w14:paraId="6D5F0E84" w14:textId="77777777" w:rsidR="004E2F51" w:rsidRPr="00C40415" w:rsidRDefault="004E2F51" w:rsidP="00E032FC">
            <w:pPr>
              <w:tabs>
                <w:tab w:val="right" w:pos="1202"/>
              </w:tabs>
              <w:outlineLvl w:val="0"/>
              <w:rPr>
                <w:rFonts w:ascii="Arial" w:eastAsia="Calibri" w:hAnsi="Arial" w:cs="Arial"/>
                <w:color w:val="000000" w:themeColor="text1"/>
                <w:spacing w:val="-2"/>
                <w:sz w:val="17"/>
                <w:szCs w:val="17"/>
                <w:lang w:val="hr-HR"/>
              </w:rPr>
            </w:pPr>
            <w:bookmarkStart w:id="1788" w:name="_Toc67330499"/>
            <w:r w:rsidRPr="00C40415">
              <w:rPr>
                <w:rFonts w:ascii="Arial" w:hAnsi="Arial" w:cs="Arial"/>
                <w:color w:val="000000" w:themeColor="text1"/>
                <w:sz w:val="17"/>
                <w:szCs w:val="17"/>
                <w:lang w:val="hr-HR"/>
              </w:rPr>
              <w:t>Upisani a neuplaćeni kapital EIF-a</w:t>
            </w:r>
            <w:bookmarkEnd w:id="1788"/>
          </w:p>
        </w:tc>
        <w:tc>
          <w:tcPr>
            <w:tcW w:w="557" w:type="pct"/>
            <w:tcBorders>
              <w:top w:val="nil"/>
              <w:left w:val="nil"/>
              <w:bottom w:val="nil"/>
              <w:right w:val="nil"/>
            </w:tcBorders>
            <w:shd w:val="clear" w:color="auto" w:fill="auto"/>
            <w:vAlign w:val="bottom"/>
          </w:tcPr>
          <w:p w14:paraId="72BCD35D"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02282A">
              <w:rPr>
                <w:rFonts w:ascii="Arial" w:hAnsi="Arial" w:cs="Arial"/>
                <w:color w:val="000000"/>
                <w:sz w:val="17"/>
                <w:szCs w:val="17"/>
                <w:lang w:val="it-IT"/>
              </w:rPr>
              <w:t xml:space="preserve"> </w:t>
            </w:r>
            <w:r w:rsidRPr="00F629B8">
              <w:rPr>
                <w:rFonts w:ascii="Arial" w:hAnsi="Arial" w:cs="Arial"/>
                <w:color w:val="000000"/>
                <w:sz w:val="17"/>
                <w:szCs w:val="17"/>
              </w:rPr>
              <w:t xml:space="preserve">78.358 </w:t>
            </w:r>
          </w:p>
        </w:tc>
        <w:tc>
          <w:tcPr>
            <w:tcW w:w="557" w:type="pct"/>
            <w:tcBorders>
              <w:top w:val="nil"/>
              <w:left w:val="nil"/>
              <w:bottom w:val="nil"/>
              <w:right w:val="nil"/>
            </w:tcBorders>
            <w:shd w:val="clear" w:color="auto" w:fill="auto"/>
            <w:vAlign w:val="bottom"/>
          </w:tcPr>
          <w:p w14:paraId="510588E6"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5C61D1F8"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2FC0FEF2"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1A015A51"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color w:val="000000"/>
                <w:sz w:val="17"/>
                <w:szCs w:val="17"/>
              </w:rPr>
              <w:t xml:space="preserve"> - </w:t>
            </w:r>
          </w:p>
        </w:tc>
        <w:tc>
          <w:tcPr>
            <w:tcW w:w="621" w:type="pct"/>
            <w:tcBorders>
              <w:top w:val="nil"/>
              <w:left w:val="nil"/>
              <w:bottom w:val="nil"/>
              <w:right w:val="nil"/>
            </w:tcBorders>
            <w:shd w:val="clear" w:color="auto" w:fill="auto"/>
            <w:vAlign w:val="bottom"/>
          </w:tcPr>
          <w:p w14:paraId="40F28515"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F629B8">
              <w:rPr>
                <w:rFonts w:ascii="Arial" w:hAnsi="Arial" w:cs="Arial"/>
                <w:color w:val="000000"/>
                <w:sz w:val="17"/>
                <w:szCs w:val="17"/>
              </w:rPr>
              <w:t xml:space="preserve"> 78.358 </w:t>
            </w:r>
          </w:p>
        </w:tc>
      </w:tr>
      <w:tr w:rsidR="004E2F51" w:rsidRPr="00C40415" w14:paraId="3F379939" w14:textId="77777777" w:rsidTr="00E032FC">
        <w:trPr>
          <w:trHeight w:hRule="exact" w:val="211"/>
        </w:trPr>
        <w:tc>
          <w:tcPr>
            <w:tcW w:w="1597" w:type="pct"/>
            <w:tcBorders>
              <w:top w:val="nil"/>
              <w:left w:val="nil"/>
              <w:bottom w:val="nil"/>
              <w:right w:val="nil"/>
            </w:tcBorders>
            <w:shd w:val="clear" w:color="auto" w:fill="auto"/>
            <w:vAlign w:val="bottom"/>
          </w:tcPr>
          <w:p w14:paraId="12A67CD3" w14:textId="77777777" w:rsidR="004E2F51" w:rsidRPr="00C40415" w:rsidRDefault="004E2F51" w:rsidP="00E032FC">
            <w:pPr>
              <w:tabs>
                <w:tab w:val="right" w:pos="1202"/>
              </w:tabs>
              <w:outlineLvl w:val="0"/>
              <w:rPr>
                <w:rFonts w:ascii="Arial" w:hAnsi="Arial" w:cs="Arial"/>
                <w:color w:val="000000" w:themeColor="text1"/>
                <w:sz w:val="17"/>
                <w:szCs w:val="17"/>
                <w:lang w:val="hr-HR"/>
              </w:rPr>
            </w:pPr>
            <w:bookmarkStart w:id="1789" w:name="_Toc67330502"/>
            <w:r w:rsidRPr="00C40415">
              <w:rPr>
                <w:rFonts w:ascii="Arial" w:hAnsi="Arial" w:cs="Arial"/>
                <w:color w:val="000000"/>
                <w:sz w:val="17"/>
                <w:szCs w:val="17"/>
                <w:lang w:val="hr-HR"/>
              </w:rPr>
              <w:t>Ugovorena obveza EIF CROGIP</w:t>
            </w:r>
            <w:bookmarkEnd w:id="1789"/>
          </w:p>
        </w:tc>
        <w:tc>
          <w:tcPr>
            <w:tcW w:w="557" w:type="pct"/>
            <w:tcBorders>
              <w:top w:val="nil"/>
              <w:left w:val="nil"/>
              <w:bottom w:val="nil"/>
              <w:right w:val="nil"/>
            </w:tcBorders>
            <w:shd w:val="clear" w:color="auto" w:fill="auto"/>
            <w:vAlign w:val="bottom"/>
          </w:tcPr>
          <w:p w14:paraId="180F65C6"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F629B8">
              <w:rPr>
                <w:rFonts w:ascii="Arial" w:hAnsi="Arial" w:cs="Arial"/>
                <w:color w:val="000000"/>
                <w:sz w:val="17"/>
                <w:szCs w:val="17"/>
              </w:rPr>
              <w:t xml:space="preserve"> - </w:t>
            </w:r>
          </w:p>
        </w:tc>
        <w:tc>
          <w:tcPr>
            <w:tcW w:w="557" w:type="pct"/>
            <w:tcBorders>
              <w:top w:val="nil"/>
              <w:left w:val="nil"/>
              <w:bottom w:val="nil"/>
              <w:right w:val="nil"/>
            </w:tcBorders>
            <w:shd w:val="clear" w:color="auto" w:fill="auto"/>
            <w:vAlign w:val="bottom"/>
          </w:tcPr>
          <w:p w14:paraId="21C01C79" w14:textId="77777777" w:rsidR="004E2F51" w:rsidRPr="00C40415"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19.328 </w:t>
            </w:r>
          </w:p>
        </w:tc>
        <w:tc>
          <w:tcPr>
            <w:tcW w:w="556" w:type="pct"/>
            <w:tcBorders>
              <w:top w:val="nil"/>
              <w:left w:val="nil"/>
              <w:bottom w:val="nil"/>
              <w:right w:val="nil"/>
            </w:tcBorders>
            <w:shd w:val="clear" w:color="auto" w:fill="auto"/>
            <w:vAlign w:val="bottom"/>
          </w:tcPr>
          <w:p w14:paraId="621102A1" w14:textId="77777777" w:rsidR="004E2F51" w:rsidRPr="00C40415"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57.984 </w:t>
            </w:r>
          </w:p>
        </w:tc>
        <w:tc>
          <w:tcPr>
            <w:tcW w:w="556" w:type="pct"/>
            <w:tcBorders>
              <w:top w:val="nil"/>
              <w:left w:val="nil"/>
              <w:bottom w:val="nil"/>
              <w:right w:val="nil"/>
            </w:tcBorders>
            <w:shd w:val="clear" w:color="auto" w:fill="auto"/>
            <w:vAlign w:val="bottom"/>
          </w:tcPr>
          <w:p w14:paraId="419ECEED" w14:textId="77777777" w:rsidR="004E2F51" w:rsidRPr="00C40415"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106.244 </w:t>
            </w:r>
          </w:p>
        </w:tc>
        <w:tc>
          <w:tcPr>
            <w:tcW w:w="556" w:type="pct"/>
            <w:tcBorders>
              <w:top w:val="nil"/>
              <w:left w:val="nil"/>
              <w:bottom w:val="nil"/>
              <w:right w:val="nil"/>
            </w:tcBorders>
            <w:shd w:val="clear" w:color="auto" w:fill="auto"/>
            <w:vAlign w:val="bottom"/>
          </w:tcPr>
          <w:p w14:paraId="04753E48" w14:textId="77777777" w:rsidR="004E2F51" w:rsidRPr="00C40415"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89.768 </w:t>
            </w:r>
          </w:p>
        </w:tc>
        <w:tc>
          <w:tcPr>
            <w:tcW w:w="621" w:type="pct"/>
            <w:tcBorders>
              <w:top w:val="nil"/>
              <w:left w:val="nil"/>
              <w:bottom w:val="nil"/>
              <w:right w:val="nil"/>
            </w:tcBorders>
            <w:shd w:val="clear" w:color="auto" w:fill="auto"/>
            <w:vAlign w:val="bottom"/>
          </w:tcPr>
          <w:p w14:paraId="20E2FE04"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F629B8">
              <w:rPr>
                <w:rFonts w:ascii="Arial" w:hAnsi="Arial" w:cs="Arial"/>
                <w:color w:val="000000"/>
                <w:sz w:val="17"/>
                <w:szCs w:val="17"/>
              </w:rPr>
              <w:t xml:space="preserve"> 273.324 </w:t>
            </w:r>
          </w:p>
        </w:tc>
      </w:tr>
      <w:tr w:rsidR="004E2F51" w:rsidRPr="00C40415" w14:paraId="7930631E" w14:textId="77777777" w:rsidTr="00E032FC">
        <w:trPr>
          <w:trHeight w:hRule="exact" w:val="211"/>
        </w:trPr>
        <w:tc>
          <w:tcPr>
            <w:tcW w:w="1597" w:type="pct"/>
            <w:tcBorders>
              <w:top w:val="nil"/>
              <w:left w:val="nil"/>
              <w:bottom w:val="nil"/>
              <w:right w:val="nil"/>
            </w:tcBorders>
            <w:shd w:val="clear" w:color="auto" w:fill="auto"/>
            <w:vAlign w:val="bottom"/>
          </w:tcPr>
          <w:p w14:paraId="52FDFB45" w14:textId="77777777" w:rsidR="004E2F51" w:rsidRPr="00C40415" w:rsidRDefault="004E2F51" w:rsidP="00E032FC">
            <w:pPr>
              <w:tabs>
                <w:tab w:val="right" w:pos="1202"/>
              </w:tabs>
              <w:outlineLvl w:val="0"/>
              <w:rPr>
                <w:rFonts w:ascii="Arial" w:hAnsi="Arial" w:cs="Arial"/>
                <w:color w:val="000000" w:themeColor="text1"/>
                <w:sz w:val="17"/>
                <w:szCs w:val="17"/>
                <w:lang w:val="hr-HR"/>
              </w:rPr>
            </w:pPr>
            <w:bookmarkStart w:id="1790" w:name="_Toc67330505"/>
            <w:r w:rsidRPr="00C40415">
              <w:rPr>
                <w:rFonts w:ascii="Arial" w:hAnsi="Arial" w:cs="Arial"/>
                <w:color w:val="000000"/>
                <w:sz w:val="17"/>
                <w:szCs w:val="17"/>
                <w:lang w:val="hr-HR"/>
              </w:rPr>
              <w:t>Ugovorena obveza EIF FRC2</w:t>
            </w:r>
            <w:bookmarkEnd w:id="1790"/>
          </w:p>
        </w:tc>
        <w:tc>
          <w:tcPr>
            <w:tcW w:w="557" w:type="pct"/>
            <w:tcBorders>
              <w:top w:val="nil"/>
              <w:left w:val="nil"/>
              <w:bottom w:val="single" w:sz="8" w:space="0" w:color="auto"/>
              <w:right w:val="nil"/>
            </w:tcBorders>
            <w:shd w:val="clear" w:color="auto" w:fill="auto"/>
            <w:vAlign w:val="bottom"/>
          </w:tcPr>
          <w:p w14:paraId="749D5E8E"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F629B8">
              <w:rPr>
                <w:rFonts w:ascii="Arial" w:hAnsi="Arial" w:cs="Arial"/>
                <w:color w:val="000000"/>
                <w:sz w:val="17"/>
                <w:szCs w:val="17"/>
              </w:rPr>
              <w:t xml:space="preserve"> 366 </w:t>
            </w:r>
          </w:p>
        </w:tc>
        <w:tc>
          <w:tcPr>
            <w:tcW w:w="557" w:type="pct"/>
            <w:tcBorders>
              <w:top w:val="nil"/>
              <w:left w:val="nil"/>
              <w:bottom w:val="single" w:sz="8" w:space="0" w:color="auto"/>
              <w:right w:val="nil"/>
            </w:tcBorders>
            <w:shd w:val="clear" w:color="auto" w:fill="auto"/>
            <w:vAlign w:val="bottom"/>
          </w:tcPr>
          <w:p w14:paraId="54415B48" w14:textId="77777777" w:rsidR="004E2F51" w:rsidRPr="00C40415"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410 </w:t>
            </w:r>
          </w:p>
        </w:tc>
        <w:tc>
          <w:tcPr>
            <w:tcW w:w="556" w:type="pct"/>
            <w:tcBorders>
              <w:top w:val="nil"/>
              <w:left w:val="nil"/>
              <w:bottom w:val="single" w:sz="8" w:space="0" w:color="auto"/>
              <w:right w:val="nil"/>
            </w:tcBorders>
            <w:shd w:val="clear" w:color="auto" w:fill="auto"/>
            <w:vAlign w:val="bottom"/>
          </w:tcPr>
          <w:p w14:paraId="6A57AFFF" w14:textId="77777777" w:rsidR="004E2F51" w:rsidRPr="00C40415"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1.846 </w:t>
            </w:r>
          </w:p>
        </w:tc>
        <w:tc>
          <w:tcPr>
            <w:tcW w:w="556" w:type="pct"/>
            <w:tcBorders>
              <w:top w:val="nil"/>
              <w:left w:val="nil"/>
              <w:bottom w:val="single" w:sz="8" w:space="0" w:color="auto"/>
              <w:right w:val="nil"/>
            </w:tcBorders>
            <w:shd w:val="clear" w:color="auto" w:fill="auto"/>
            <w:vAlign w:val="bottom"/>
          </w:tcPr>
          <w:p w14:paraId="4107B77B" w14:textId="77777777" w:rsidR="004E2F51" w:rsidRPr="00C40415"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294 </w:t>
            </w:r>
          </w:p>
        </w:tc>
        <w:tc>
          <w:tcPr>
            <w:tcW w:w="556" w:type="pct"/>
            <w:tcBorders>
              <w:top w:val="nil"/>
              <w:left w:val="nil"/>
              <w:bottom w:val="single" w:sz="8" w:space="0" w:color="auto"/>
              <w:right w:val="nil"/>
            </w:tcBorders>
            <w:shd w:val="clear" w:color="auto" w:fill="auto"/>
            <w:vAlign w:val="bottom"/>
          </w:tcPr>
          <w:p w14:paraId="6016CE76" w14:textId="77777777" w:rsidR="004E2F51" w:rsidRPr="00C40415" w:rsidRDefault="004E2F51" w:rsidP="00E032FC">
            <w:pPr>
              <w:jc w:val="right"/>
              <w:rPr>
                <w:rFonts w:ascii="Arial" w:hAnsi="Arial" w:cs="Arial"/>
                <w:color w:val="000000"/>
                <w:sz w:val="17"/>
                <w:szCs w:val="17"/>
              </w:rPr>
            </w:pPr>
            <w:r w:rsidRPr="00F629B8">
              <w:rPr>
                <w:rFonts w:ascii="Arial" w:hAnsi="Arial" w:cs="Arial"/>
                <w:color w:val="000000"/>
                <w:sz w:val="17"/>
                <w:szCs w:val="17"/>
              </w:rPr>
              <w:t xml:space="preserve"> 121 </w:t>
            </w:r>
          </w:p>
        </w:tc>
        <w:tc>
          <w:tcPr>
            <w:tcW w:w="621" w:type="pct"/>
            <w:tcBorders>
              <w:top w:val="nil"/>
              <w:left w:val="nil"/>
              <w:bottom w:val="single" w:sz="8" w:space="0" w:color="auto"/>
              <w:right w:val="nil"/>
            </w:tcBorders>
            <w:shd w:val="clear" w:color="auto" w:fill="auto"/>
            <w:vAlign w:val="bottom"/>
          </w:tcPr>
          <w:p w14:paraId="65FB6A78"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F629B8">
              <w:rPr>
                <w:rFonts w:ascii="Arial" w:hAnsi="Arial" w:cs="Arial"/>
                <w:color w:val="000000"/>
                <w:sz w:val="17"/>
                <w:szCs w:val="17"/>
              </w:rPr>
              <w:t xml:space="preserve"> 3.037 </w:t>
            </w:r>
          </w:p>
        </w:tc>
      </w:tr>
      <w:tr w:rsidR="004E2F51" w:rsidRPr="00C40415" w14:paraId="1493F202" w14:textId="77777777" w:rsidTr="00E032FC">
        <w:trPr>
          <w:trHeight w:hRule="exact" w:val="265"/>
        </w:trPr>
        <w:tc>
          <w:tcPr>
            <w:tcW w:w="1597" w:type="pct"/>
            <w:tcBorders>
              <w:top w:val="nil"/>
              <w:left w:val="nil"/>
              <w:bottom w:val="nil"/>
              <w:right w:val="nil"/>
            </w:tcBorders>
            <w:shd w:val="clear" w:color="auto" w:fill="auto"/>
            <w:vAlign w:val="center"/>
          </w:tcPr>
          <w:p w14:paraId="50577AD2" w14:textId="77777777" w:rsidR="004E2F51" w:rsidRPr="00C40415" w:rsidRDefault="004E2F51" w:rsidP="00E032FC">
            <w:pPr>
              <w:tabs>
                <w:tab w:val="right" w:pos="1202"/>
              </w:tabs>
              <w:outlineLvl w:val="0"/>
              <w:rPr>
                <w:rFonts w:ascii="Arial" w:eastAsia="Calibri" w:hAnsi="Arial" w:cs="Arial"/>
                <w:color w:val="000000" w:themeColor="text1"/>
                <w:spacing w:val="-2"/>
                <w:sz w:val="17"/>
                <w:szCs w:val="17"/>
                <w:lang w:val="hr-HR"/>
              </w:rPr>
            </w:pPr>
            <w:bookmarkStart w:id="1791" w:name="_Toc67330508"/>
            <w:r w:rsidRPr="00C40415">
              <w:rPr>
                <w:rFonts w:ascii="Arial" w:hAnsi="Arial" w:cs="Arial"/>
                <w:b/>
                <w:bCs/>
                <w:color w:val="000000" w:themeColor="text1"/>
                <w:sz w:val="17"/>
                <w:szCs w:val="17"/>
                <w:lang w:val="hr-HR"/>
              </w:rPr>
              <w:t>Ukupne garancije i preuzete obveze</w:t>
            </w:r>
            <w:bookmarkEnd w:id="1791"/>
          </w:p>
        </w:tc>
        <w:tc>
          <w:tcPr>
            <w:tcW w:w="557" w:type="pct"/>
            <w:tcBorders>
              <w:top w:val="single" w:sz="8" w:space="0" w:color="auto"/>
              <w:left w:val="nil"/>
              <w:bottom w:val="single" w:sz="12" w:space="0" w:color="auto"/>
              <w:right w:val="nil"/>
            </w:tcBorders>
            <w:shd w:val="clear" w:color="auto" w:fill="auto"/>
            <w:vAlign w:val="bottom"/>
          </w:tcPr>
          <w:p w14:paraId="470FAD1F"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r w:rsidRPr="0002282A">
              <w:rPr>
                <w:rFonts w:ascii="Arial" w:hAnsi="Arial" w:cs="Arial"/>
                <w:b/>
                <w:bCs/>
                <w:color w:val="000000"/>
                <w:sz w:val="17"/>
                <w:szCs w:val="17"/>
                <w:lang w:val="it-IT"/>
              </w:rPr>
              <w:t xml:space="preserve"> </w:t>
            </w:r>
            <w:r w:rsidRPr="00F629B8">
              <w:rPr>
                <w:rFonts w:ascii="Arial" w:hAnsi="Arial" w:cs="Arial"/>
                <w:b/>
                <w:bCs/>
                <w:color w:val="000000"/>
                <w:sz w:val="17"/>
                <w:szCs w:val="17"/>
              </w:rPr>
              <w:t xml:space="preserve">3.057.610 </w:t>
            </w:r>
          </w:p>
        </w:tc>
        <w:tc>
          <w:tcPr>
            <w:tcW w:w="557" w:type="pct"/>
            <w:tcBorders>
              <w:top w:val="single" w:sz="8" w:space="0" w:color="auto"/>
              <w:left w:val="nil"/>
              <w:bottom w:val="single" w:sz="12" w:space="0" w:color="auto"/>
              <w:right w:val="nil"/>
            </w:tcBorders>
            <w:shd w:val="clear" w:color="auto" w:fill="auto"/>
            <w:vAlign w:val="bottom"/>
          </w:tcPr>
          <w:p w14:paraId="3F714824"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b/>
                <w:bCs/>
                <w:color w:val="000000"/>
                <w:sz w:val="17"/>
                <w:szCs w:val="17"/>
              </w:rPr>
              <w:t xml:space="preserve"> 19.738 </w:t>
            </w:r>
          </w:p>
        </w:tc>
        <w:tc>
          <w:tcPr>
            <w:tcW w:w="556" w:type="pct"/>
            <w:tcBorders>
              <w:top w:val="single" w:sz="8" w:space="0" w:color="auto"/>
              <w:left w:val="nil"/>
              <w:bottom w:val="single" w:sz="12" w:space="0" w:color="auto"/>
              <w:right w:val="nil"/>
            </w:tcBorders>
            <w:shd w:val="clear" w:color="auto" w:fill="auto"/>
            <w:vAlign w:val="bottom"/>
          </w:tcPr>
          <w:p w14:paraId="77E96AA9"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b/>
                <w:bCs/>
                <w:color w:val="000000"/>
                <w:sz w:val="17"/>
                <w:szCs w:val="17"/>
              </w:rPr>
              <w:t xml:space="preserve"> 59.830 </w:t>
            </w:r>
          </w:p>
        </w:tc>
        <w:tc>
          <w:tcPr>
            <w:tcW w:w="556" w:type="pct"/>
            <w:tcBorders>
              <w:top w:val="single" w:sz="8" w:space="0" w:color="auto"/>
              <w:left w:val="nil"/>
              <w:bottom w:val="single" w:sz="12" w:space="0" w:color="auto"/>
              <w:right w:val="nil"/>
            </w:tcBorders>
            <w:shd w:val="clear" w:color="auto" w:fill="auto"/>
            <w:vAlign w:val="bottom"/>
          </w:tcPr>
          <w:p w14:paraId="50ADD093"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b/>
                <w:bCs/>
                <w:color w:val="000000"/>
                <w:sz w:val="17"/>
                <w:szCs w:val="17"/>
              </w:rPr>
              <w:t xml:space="preserve"> 106.538 </w:t>
            </w:r>
          </w:p>
        </w:tc>
        <w:tc>
          <w:tcPr>
            <w:tcW w:w="556" w:type="pct"/>
            <w:tcBorders>
              <w:top w:val="single" w:sz="8" w:space="0" w:color="auto"/>
              <w:left w:val="nil"/>
              <w:bottom w:val="single" w:sz="12" w:space="0" w:color="auto"/>
              <w:right w:val="nil"/>
            </w:tcBorders>
            <w:shd w:val="clear" w:color="auto" w:fill="auto"/>
            <w:vAlign w:val="bottom"/>
          </w:tcPr>
          <w:p w14:paraId="372788EB" w14:textId="77777777" w:rsidR="004E2F51" w:rsidRPr="00C40415" w:rsidRDefault="004E2F51" w:rsidP="00E032FC">
            <w:pPr>
              <w:jc w:val="right"/>
              <w:rPr>
                <w:rFonts w:ascii="Arial" w:hAnsi="Arial" w:cs="Arial"/>
                <w:color w:val="000000" w:themeColor="text1"/>
                <w:sz w:val="17"/>
                <w:szCs w:val="17"/>
              </w:rPr>
            </w:pPr>
            <w:r w:rsidRPr="00F629B8">
              <w:rPr>
                <w:rFonts w:ascii="Arial" w:hAnsi="Arial" w:cs="Arial"/>
                <w:b/>
                <w:bCs/>
                <w:color w:val="000000"/>
                <w:sz w:val="17"/>
                <w:szCs w:val="17"/>
              </w:rPr>
              <w:t xml:space="preserve"> 89.889 </w:t>
            </w:r>
          </w:p>
        </w:tc>
        <w:tc>
          <w:tcPr>
            <w:tcW w:w="621" w:type="pct"/>
            <w:tcBorders>
              <w:top w:val="single" w:sz="8" w:space="0" w:color="auto"/>
              <w:left w:val="nil"/>
              <w:bottom w:val="single" w:sz="12" w:space="0" w:color="auto"/>
              <w:right w:val="nil"/>
            </w:tcBorders>
            <w:shd w:val="clear" w:color="auto" w:fill="auto"/>
            <w:vAlign w:val="bottom"/>
          </w:tcPr>
          <w:p w14:paraId="02BC8055"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r w:rsidRPr="00F629B8">
              <w:rPr>
                <w:rFonts w:ascii="Arial" w:hAnsi="Arial" w:cs="Arial"/>
                <w:b/>
                <w:bCs/>
                <w:color w:val="000000"/>
                <w:sz w:val="17"/>
                <w:szCs w:val="17"/>
              </w:rPr>
              <w:t xml:space="preserve"> 3.333.605 </w:t>
            </w:r>
          </w:p>
        </w:tc>
      </w:tr>
    </w:tbl>
    <w:p w14:paraId="0AB7E1E4" w14:textId="77777777" w:rsidR="004E2F51" w:rsidRPr="00100ED3" w:rsidRDefault="004E2F51" w:rsidP="004E2F51">
      <w:pPr>
        <w:pStyle w:val="T1"/>
        <w:keepNext w:val="0"/>
        <w:spacing w:before="0" w:after="0" w:line="240" w:lineRule="auto"/>
        <w:rPr>
          <w:rFonts w:cs="Arial"/>
          <w:color w:val="000000" w:themeColor="text1"/>
          <w:sz w:val="20"/>
          <w:lang w:val="hr-HR"/>
        </w:rPr>
      </w:pPr>
    </w:p>
    <w:p w14:paraId="4B61A3EC" w14:textId="77777777" w:rsidR="004E2F51" w:rsidRPr="00100ED3" w:rsidRDefault="004E2F51" w:rsidP="004E2F51">
      <w:pPr>
        <w:pStyle w:val="T1"/>
        <w:keepNext w:val="0"/>
        <w:spacing w:before="0" w:after="0" w:line="240" w:lineRule="auto"/>
        <w:rPr>
          <w:rFonts w:cs="Arial"/>
          <w:color w:val="000000" w:themeColor="text1"/>
          <w:sz w:val="20"/>
          <w:lang w:val="hr-HR"/>
        </w:rPr>
      </w:pPr>
    </w:p>
    <w:tbl>
      <w:tblPr>
        <w:tblW w:w="5393" w:type="pct"/>
        <w:tblInd w:w="-505" w:type="dxa"/>
        <w:tblLayout w:type="fixed"/>
        <w:tblCellMar>
          <w:left w:w="120" w:type="dxa"/>
          <w:right w:w="120" w:type="dxa"/>
        </w:tblCellMar>
        <w:tblLook w:val="0000" w:firstRow="0" w:lastRow="0" w:firstColumn="0" w:lastColumn="0" w:noHBand="0" w:noVBand="0"/>
      </w:tblPr>
      <w:tblGrid>
        <w:gridCol w:w="3223"/>
        <w:gridCol w:w="1124"/>
        <w:gridCol w:w="1124"/>
        <w:gridCol w:w="1122"/>
        <w:gridCol w:w="1122"/>
        <w:gridCol w:w="1122"/>
        <w:gridCol w:w="1253"/>
      </w:tblGrid>
      <w:tr w:rsidR="004E2F51" w:rsidRPr="00C40415" w14:paraId="1197344F" w14:textId="77777777" w:rsidTr="00E032FC">
        <w:trPr>
          <w:trHeight w:val="485"/>
        </w:trPr>
        <w:tc>
          <w:tcPr>
            <w:tcW w:w="1597" w:type="pct"/>
          </w:tcPr>
          <w:p w14:paraId="7BDA6222" w14:textId="77777777" w:rsidR="004E2F51" w:rsidRPr="00C40415" w:rsidRDefault="004E2F51" w:rsidP="00E032FC">
            <w:pPr>
              <w:tabs>
                <w:tab w:val="right" w:pos="1202"/>
              </w:tabs>
              <w:spacing w:line="240" w:lineRule="atLeas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Banka</w:t>
            </w:r>
          </w:p>
          <w:p w14:paraId="03F3A48C" w14:textId="77777777" w:rsidR="004E2F51" w:rsidRPr="00C40415" w:rsidRDefault="004E2F51" w:rsidP="00E032FC">
            <w:pPr>
              <w:tabs>
                <w:tab w:val="right" w:pos="1202"/>
              </w:tabs>
              <w:spacing w:line="240" w:lineRule="atLeas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 xml:space="preserve">31. prosinca 2021. </w:t>
            </w:r>
          </w:p>
        </w:tc>
        <w:tc>
          <w:tcPr>
            <w:tcW w:w="557" w:type="pct"/>
          </w:tcPr>
          <w:p w14:paraId="34FC3B71"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Do 1 mjesec</w:t>
            </w:r>
          </w:p>
        </w:tc>
        <w:tc>
          <w:tcPr>
            <w:tcW w:w="557" w:type="pct"/>
          </w:tcPr>
          <w:p w14:paraId="4B813AD0"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1 do 3 mjeseca</w:t>
            </w:r>
          </w:p>
        </w:tc>
        <w:tc>
          <w:tcPr>
            <w:tcW w:w="556" w:type="pct"/>
          </w:tcPr>
          <w:p w14:paraId="37BA1275"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3 mj. do 1 godine</w:t>
            </w:r>
          </w:p>
        </w:tc>
        <w:tc>
          <w:tcPr>
            <w:tcW w:w="556" w:type="pct"/>
          </w:tcPr>
          <w:p w14:paraId="7862E49F"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1 do 3 godina</w:t>
            </w:r>
          </w:p>
        </w:tc>
        <w:tc>
          <w:tcPr>
            <w:tcW w:w="556" w:type="pct"/>
          </w:tcPr>
          <w:p w14:paraId="04E9AAF7"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Preko 3 godine</w:t>
            </w:r>
          </w:p>
        </w:tc>
        <w:tc>
          <w:tcPr>
            <w:tcW w:w="621" w:type="pct"/>
          </w:tcPr>
          <w:p w14:paraId="13507B4F" w14:textId="77777777" w:rsidR="004E2F51" w:rsidRPr="00C40415" w:rsidRDefault="004E2F51" w:rsidP="00E032FC">
            <w:pPr>
              <w:tabs>
                <w:tab w:val="right" w:pos="1202"/>
              </w:tabs>
              <w:spacing w:line="240" w:lineRule="atLeas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Ukupno</w:t>
            </w:r>
          </w:p>
        </w:tc>
      </w:tr>
      <w:tr w:rsidR="004E2F51" w:rsidRPr="00C40415" w14:paraId="3A7258DE" w14:textId="77777777" w:rsidTr="00E032FC">
        <w:trPr>
          <w:trHeight w:val="242"/>
        </w:trPr>
        <w:tc>
          <w:tcPr>
            <w:tcW w:w="1597" w:type="pct"/>
            <w:vAlign w:val="bottom"/>
          </w:tcPr>
          <w:p w14:paraId="70BE6D6C" w14:textId="77777777" w:rsidR="004E2F51" w:rsidRPr="00C40415" w:rsidRDefault="004E2F51" w:rsidP="00E032FC">
            <w:pPr>
              <w:tabs>
                <w:tab w:val="left" w:pos="-720"/>
              </w:tabs>
              <w:jc w:val="center"/>
              <w:rPr>
                <w:rFonts w:ascii="Arial" w:hAnsi="Arial" w:cs="Arial"/>
                <w:b/>
                <w:color w:val="000000" w:themeColor="text1"/>
                <w:spacing w:val="-2"/>
                <w:sz w:val="17"/>
                <w:szCs w:val="17"/>
                <w:lang w:val="hr-HR"/>
              </w:rPr>
            </w:pPr>
          </w:p>
        </w:tc>
        <w:tc>
          <w:tcPr>
            <w:tcW w:w="557" w:type="pct"/>
          </w:tcPr>
          <w:p w14:paraId="5478C750"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000 kuna</w:t>
            </w:r>
          </w:p>
        </w:tc>
        <w:tc>
          <w:tcPr>
            <w:tcW w:w="557" w:type="pct"/>
          </w:tcPr>
          <w:p w14:paraId="3883244D"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000 kuna</w:t>
            </w:r>
          </w:p>
        </w:tc>
        <w:tc>
          <w:tcPr>
            <w:tcW w:w="556" w:type="pct"/>
          </w:tcPr>
          <w:p w14:paraId="1A146874"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000 kuna</w:t>
            </w:r>
          </w:p>
        </w:tc>
        <w:tc>
          <w:tcPr>
            <w:tcW w:w="556" w:type="pct"/>
          </w:tcPr>
          <w:p w14:paraId="1BF7F2C0"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000 kuna</w:t>
            </w:r>
          </w:p>
        </w:tc>
        <w:tc>
          <w:tcPr>
            <w:tcW w:w="556" w:type="pct"/>
          </w:tcPr>
          <w:p w14:paraId="1228639A"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000 kuna</w:t>
            </w:r>
          </w:p>
        </w:tc>
        <w:tc>
          <w:tcPr>
            <w:tcW w:w="621" w:type="pct"/>
          </w:tcPr>
          <w:p w14:paraId="3281D919" w14:textId="77777777" w:rsidR="004E2F51" w:rsidRPr="00C40415" w:rsidRDefault="004E2F51" w:rsidP="00E032FC">
            <w:pPr>
              <w:tabs>
                <w:tab w:val="right" w:pos="1202"/>
                <w:tab w:val="center" w:pos="4153"/>
                <w:tab w:val="right" w:pos="8306"/>
              </w:tabs>
              <w:spacing w:line="301" w:lineRule="exact"/>
              <w:jc w:val="right"/>
              <w:outlineLvl w:val="0"/>
              <w:rPr>
                <w:rFonts w:ascii="Arial" w:hAnsi="Arial" w:cs="Arial"/>
                <w:b/>
                <w:color w:val="000000" w:themeColor="text1"/>
                <w:sz w:val="17"/>
                <w:szCs w:val="17"/>
                <w:lang w:val="hr-HR"/>
              </w:rPr>
            </w:pPr>
            <w:r w:rsidRPr="00C40415">
              <w:rPr>
                <w:rFonts w:ascii="Arial" w:hAnsi="Arial" w:cs="Arial"/>
                <w:b/>
                <w:color w:val="000000" w:themeColor="text1"/>
                <w:sz w:val="17"/>
                <w:szCs w:val="17"/>
                <w:lang w:val="hr-HR"/>
              </w:rPr>
              <w:t>000 kuna</w:t>
            </w:r>
          </w:p>
        </w:tc>
      </w:tr>
      <w:tr w:rsidR="004E2F51" w:rsidRPr="00C40415" w14:paraId="3EB3D31A" w14:textId="77777777" w:rsidTr="00E032FC">
        <w:trPr>
          <w:trHeight w:hRule="exact" w:val="211"/>
        </w:trPr>
        <w:tc>
          <w:tcPr>
            <w:tcW w:w="1597" w:type="pct"/>
            <w:vAlign w:val="bottom"/>
          </w:tcPr>
          <w:p w14:paraId="4FC80CBF" w14:textId="77777777" w:rsidR="004E2F51" w:rsidRPr="00C40415" w:rsidRDefault="004E2F51" w:rsidP="00E032FC">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Financijske obveze</w:t>
            </w:r>
          </w:p>
        </w:tc>
        <w:tc>
          <w:tcPr>
            <w:tcW w:w="557" w:type="pct"/>
          </w:tcPr>
          <w:p w14:paraId="489DDBE5" w14:textId="77777777" w:rsidR="004E2F51" w:rsidRPr="00C40415" w:rsidRDefault="004E2F51" w:rsidP="00E032FC">
            <w:pPr>
              <w:tabs>
                <w:tab w:val="right" w:pos="1202"/>
                <w:tab w:val="center" w:pos="4153"/>
                <w:tab w:val="right" w:pos="8306"/>
              </w:tabs>
              <w:jc w:val="right"/>
              <w:outlineLvl w:val="0"/>
              <w:rPr>
                <w:rFonts w:ascii="Arial" w:hAnsi="Arial" w:cs="Arial"/>
                <w:color w:val="000000" w:themeColor="text1"/>
                <w:sz w:val="17"/>
                <w:szCs w:val="17"/>
                <w:lang w:val="hr-HR"/>
              </w:rPr>
            </w:pPr>
          </w:p>
        </w:tc>
        <w:tc>
          <w:tcPr>
            <w:tcW w:w="557" w:type="pct"/>
          </w:tcPr>
          <w:p w14:paraId="6B09B83B" w14:textId="77777777" w:rsidR="004E2F51" w:rsidRPr="00C40415" w:rsidRDefault="004E2F51" w:rsidP="00E032FC">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6EED99AE" w14:textId="77777777" w:rsidR="004E2F51" w:rsidRPr="00C40415" w:rsidRDefault="004E2F51" w:rsidP="00E032FC">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2C2D97EE" w14:textId="77777777" w:rsidR="004E2F51" w:rsidRPr="00C40415" w:rsidRDefault="004E2F51" w:rsidP="00E032FC">
            <w:pPr>
              <w:tabs>
                <w:tab w:val="right" w:pos="1202"/>
                <w:tab w:val="center" w:pos="4153"/>
                <w:tab w:val="right" w:pos="8306"/>
              </w:tabs>
              <w:jc w:val="right"/>
              <w:outlineLvl w:val="0"/>
              <w:rPr>
                <w:rFonts w:ascii="Arial" w:hAnsi="Arial" w:cs="Arial"/>
                <w:color w:val="000000" w:themeColor="text1"/>
                <w:sz w:val="17"/>
                <w:szCs w:val="17"/>
                <w:lang w:val="hr-HR"/>
              </w:rPr>
            </w:pPr>
          </w:p>
        </w:tc>
        <w:tc>
          <w:tcPr>
            <w:tcW w:w="556" w:type="pct"/>
          </w:tcPr>
          <w:p w14:paraId="6C2A58B4" w14:textId="77777777" w:rsidR="004E2F51" w:rsidRPr="00C40415" w:rsidRDefault="004E2F51" w:rsidP="00E032FC">
            <w:pPr>
              <w:tabs>
                <w:tab w:val="right" w:pos="1202"/>
                <w:tab w:val="center" w:pos="4153"/>
                <w:tab w:val="right" w:pos="8306"/>
              </w:tabs>
              <w:jc w:val="right"/>
              <w:outlineLvl w:val="0"/>
              <w:rPr>
                <w:rFonts w:ascii="Arial" w:hAnsi="Arial" w:cs="Arial"/>
                <w:color w:val="000000" w:themeColor="text1"/>
                <w:sz w:val="17"/>
                <w:szCs w:val="17"/>
                <w:lang w:val="hr-HR"/>
              </w:rPr>
            </w:pPr>
          </w:p>
        </w:tc>
        <w:tc>
          <w:tcPr>
            <w:tcW w:w="621" w:type="pct"/>
          </w:tcPr>
          <w:p w14:paraId="2F99EA07" w14:textId="77777777" w:rsidR="004E2F51" w:rsidRPr="00C40415" w:rsidRDefault="004E2F51" w:rsidP="00E032FC">
            <w:pPr>
              <w:tabs>
                <w:tab w:val="right" w:pos="1202"/>
                <w:tab w:val="center" w:pos="4153"/>
                <w:tab w:val="right" w:pos="8306"/>
              </w:tabs>
              <w:jc w:val="right"/>
              <w:outlineLvl w:val="0"/>
              <w:rPr>
                <w:rFonts w:ascii="Arial" w:hAnsi="Arial" w:cs="Arial"/>
                <w:color w:val="000000" w:themeColor="text1"/>
                <w:sz w:val="17"/>
                <w:szCs w:val="17"/>
                <w:lang w:val="hr-HR"/>
              </w:rPr>
            </w:pPr>
          </w:p>
        </w:tc>
      </w:tr>
      <w:tr w:rsidR="004E2F51" w:rsidRPr="00C40415" w14:paraId="4A45AB79" w14:textId="77777777" w:rsidTr="00E032FC">
        <w:trPr>
          <w:trHeight w:hRule="exact" w:val="211"/>
        </w:trPr>
        <w:tc>
          <w:tcPr>
            <w:tcW w:w="1597" w:type="pct"/>
            <w:vAlign w:val="bottom"/>
          </w:tcPr>
          <w:p w14:paraId="13B66E01" w14:textId="77777777" w:rsidR="004E2F51" w:rsidRPr="00C40415" w:rsidRDefault="004E2F51" w:rsidP="00E032FC">
            <w:pPr>
              <w:tabs>
                <w:tab w:val="right" w:pos="1202"/>
              </w:tabs>
              <w:outlineLvl w:val="0"/>
              <w:rPr>
                <w:rFonts w:ascii="Arial" w:hAnsi="Arial" w:cs="Arial"/>
                <w:color w:val="000000" w:themeColor="text1"/>
                <w:sz w:val="17"/>
                <w:szCs w:val="17"/>
                <w:lang w:val="hr-HR"/>
              </w:rPr>
            </w:pPr>
            <w:r w:rsidRPr="00C40415">
              <w:rPr>
                <w:rFonts w:ascii="Arial" w:hAnsi="Arial" w:cs="Arial"/>
                <w:color w:val="000000" w:themeColor="text1"/>
                <w:spacing w:val="-2"/>
                <w:sz w:val="17"/>
                <w:szCs w:val="17"/>
                <w:lang w:val="hr-HR"/>
              </w:rPr>
              <w:t>Obveze po depozitima</w:t>
            </w:r>
          </w:p>
        </w:tc>
        <w:tc>
          <w:tcPr>
            <w:tcW w:w="557" w:type="pct"/>
            <w:tcBorders>
              <w:top w:val="nil"/>
              <w:left w:val="nil"/>
              <w:bottom w:val="nil"/>
              <w:right w:val="nil"/>
            </w:tcBorders>
            <w:shd w:val="clear" w:color="auto" w:fill="auto"/>
            <w:vAlign w:val="bottom"/>
          </w:tcPr>
          <w:p w14:paraId="58A6E2DF"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622.284</w:t>
            </w:r>
          </w:p>
        </w:tc>
        <w:tc>
          <w:tcPr>
            <w:tcW w:w="557" w:type="pct"/>
            <w:tcBorders>
              <w:top w:val="nil"/>
              <w:left w:val="nil"/>
              <w:bottom w:val="nil"/>
              <w:right w:val="nil"/>
            </w:tcBorders>
            <w:shd w:val="clear" w:color="auto" w:fill="auto"/>
            <w:vAlign w:val="bottom"/>
          </w:tcPr>
          <w:p w14:paraId="155A5BEE"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22.169</w:t>
            </w:r>
          </w:p>
        </w:tc>
        <w:tc>
          <w:tcPr>
            <w:tcW w:w="556" w:type="pct"/>
            <w:tcBorders>
              <w:top w:val="nil"/>
              <w:left w:val="nil"/>
              <w:bottom w:val="nil"/>
              <w:right w:val="nil"/>
            </w:tcBorders>
            <w:shd w:val="clear" w:color="auto" w:fill="auto"/>
            <w:vAlign w:val="bottom"/>
          </w:tcPr>
          <w:p w14:paraId="468587E9"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105.183</w:t>
            </w:r>
          </w:p>
        </w:tc>
        <w:tc>
          <w:tcPr>
            <w:tcW w:w="556" w:type="pct"/>
            <w:tcBorders>
              <w:top w:val="nil"/>
              <w:left w:val="nil"/>
              <w:bottom w:val="nil"/>
              <w:right w:val="nil"/>
            </w:tcBorders>
            <w:shd w:val="clear" w:color="auto" w:fill="auto"/>
            <w:vAlign w:val="bottom"/>
          </w:tcPr>
          <w:p w14:paraId="0BBBD64E"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95.453</w:t>
            </w:r>
          </w:p>
        </w:tc>
        <w:tc>
          <w:tcPr>
            <w:tcW w:w="556" w:type="pct"/>
            <w:tcBorders>
              <w:top w:val="nil"/>
              <w:left w:val="nil"/>
              <w:bottom w:val="nil"/>
              <w:right w:val="nil"/>
            </w:tcBorders>
            <w:shd w:val="clear" w:color="auto" w:fill="auto"/>
            <w:vAlign w:val="bottom"/>
          </w:tcPr>
          <w:p w14:paraId="40192DF3"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115.452</w:t>
            </w:r>
          </w:p>
        </w:tc>
        <w:tc>
          <w:tcPr>
            <w:tcW w:w="621" w:type="pct"/>
            <w:tcBorders>
              <w:top w:val="nil"/>
              <w:left w:val="nil"/>
              <w:bottom w:val="nil"/>
              <w:right w:val="nil"/>
            </w:tcBorders>
            <w:shd w:val="clear" w:color="auto" w:fill="auto"/>
            <w:vAlign w:val="bottom"/>
          </w:tcPr>
          <w:p w14:paraId="2104A549"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960.541</w:t>
            </w:r>
          </w:p>
        </w:tc>
      </w:tr>
      <w:tr w:rsidR="004E2F51" w:rsidRPr="00C40415" w14:paraId="5C6F2F0D" w14:textId="77777777" w:rsidTr="00E032FC">
        <w:trPr>
          <w:trHeight w:hRule="exact" w:val="211"/>
        </w:trPr>
        <w:tc>
          <w:tcPr>
            <w:tcW w:w="1597" w:type="pct"/>
            <w:vAlign w:val="bottom"/>
          </w:tcPr>
          <w:p w14:paraId="6DD02582" w14:textId="77777777" w:rsidR="004E2F51" w:rsidRPr="00C40415" w:rsidRDefault="004E2F51" w:rsidP="00E032FC">
            <w:pPr>
              <w:tabs>
                <w:tab w:val="right" w:pos="1202"/>
              </w:tabs>
              <w:outlineLvl w:val="0"/>
              <w:rPr>
                <w:rFonts w:ascii="Arial" w:hAnsi="Arial" w:cs="Arial"/>
                <w:color w:val="000000" w:themeColor="text1"/>
                <w:sz w:val="17"/>
                <w:szCs w:val="17"/>
                <w:lang w:val="hr-HR"/>
              </w:rPr>
            </w:pPr>
            <w:r w:rsidRPr="00C40415">
              <w:rPr>
                <w:rFonts w:ascii="Arial" w:hAnsi="Arial" w:cs="Arial"/>
                <w:color w:val="000000" w:themeColor="text1"/>
                <w:spacing w:val="-2"/>
                <w:sz w:val="17"/>
                <w:szCs w:val="17"/>
                <w:lang w:val="hr-HR"/>
              </w:rPr>
              <w:t>Obveze po kreditima</w:t>
            </w:r>
          </w:p>
        </w:tc>
        <w:tc>
          <w:tcPr>
            <w:tcW w:w="557" w:type="pct"/>
            <w:tcBorders>
              <w:top w:val="nil"/>
              <w:left w:val="nil"/>
              <w:bottom w:val="nil"/>
              <w:right w:val="nil"/>
            </w:tcBorders>
            <w:shd w:val="clear" w:color="auto" w:fill="auto"/>
            <w:vAlign w:val="bottom"/>
          </w:tcPr>
          <w:p w14:paraId="653BE349"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258.366</w:t>
            </w:r>
          </w:p>
        </w:tc>
        <w:tc>
          <w:tcPr>
            <w:tcW w:w="557" w:type="pct"/>
            <w:tcBorders>
              <w:top w:val="nil"/>
              <w:left w:val="nil"/>
              <w:bottom w:val="nil"/>
              <w:right w:val="nil"/>
            </w:tcBorders>
            <w:shd w:val="clear" w:color="auto" w:fill="auto"/>
            <w:vAlign w:val="bottom"/>
          </w:tcPr>
          <w:p w14:paraId="458B597C"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315.326</w:t>
            </w:r>
          </w:p>
        </w:tc>
        <w:tc>
          <w:tcPr>
            <w:tcW w:w="556" w:type="pct"/>
            <w:tcBorders>
              <w:top w:val="nil"/>
              <w:left w:val="nil"/>
              <w:bottom w:val="nil"/>
              <w:right w:val="nil"/>
            </w:tcBorders>
            <w:shd w:val="clear" w:color="auto" w:fill="auto"/>
            <w:vAlign w:val="bottom"/>
          </w:tcPr>
          <w:p w14:paraId="0DF4CE74"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1.927.599</w:t>
            </w:r>
          </w:p>
        </w:tc>
        <w:tc>
          <w:tcPr>
            <w:tcW w:w="556" w:type="pct"/>
            <w:tcBorders>
              <w:top w:val="nil"/>
              <w:left w:val="nil"/>
              <w:bottom w:val="nil"/>
              <w:right w:val="nil"/>
            </w:tcBorders>
            <w:shd w:val="clear" w:color="auto" w:fill="auto"/>
            <w:vAlign w:val="bottom"/>
          </w:tcPr>
          <w:p w14:paraId="03A0FAE8"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5.992.204</w:t>
            </w:r>
          </w:p>
        </w:tc>
        <w:tc>
          <w:tcPr>
            <w:tcW w:w="556" w:type="pct"/>
            <w:tcBorders>
              <w:top w:val="nil"/>
              <w:left w:val="nil"/>
              <w:bottom w:val="nil"/>
              <w:right w:val="nil"/>
            </w:tcBorders>
            <w:shd w:val="clear" w:color="auto" w:fill="auto"/>
            <w:vAlign w:val="bottom"/>
          </w:tcPr>
          <w:p w14:paraId="51C643B0"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8.623.885</w:t>
            </w:r>
          </w:p>
        </w:tc>
        <w:tc>
          <w:tcPr>
            <w:tcW w:w="621" w:type="pct"/>
            <w:tcBorders>
              <w:top w:val="nil"/>
              <w:left w:val="nil"/>
              <w:bottom w:val="nil"/>
              <w:right w:val="nil"/>
            </w:tcBorders>
            <w:shd w:val="clear" w:color="auto" w:fill="auto"/>
            <w:vAlign w:val="bottom"/>
          </w:tcPr>
          <w:p w14:paraId="3E1F93A0"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17.117.380</w:t>
            </w:r>
          </w:p>
        </w:tc>
      </w:tr>
      <w:tr w:rsidR="004E2F51" w:rsidRPr="00C40415" w14:paraId="30F147A7" w14:textId="77777777" w:rsidTr="00E032FC">
        <w:trPr>
          <w:trHeight w:val="377"/>
        </w:trPr>
        <w:tc>
          <w:tcPr>
            <w:tcW w:w="1597" w:type="pct"/>
            <w:vAlign w:val="bottom"/>
          </w:tcPr>
          <w:p w14:paraId="306CDBF7" w14:textId="77777777" w:rsidR="004E2F51" w:rsidRPr="00C40415" w:rsidRDefault="004E2F51" w:rsidP="00E032FC">
            <w:pPr>
              <w:tabs>
                <w:tab w:val="right" w:pos="1202"/>
              </w:tabs>
              <w:outlineLvl w:val="0"/>
              <w:rPr>
                <w:rFonts w:ascii="Arial" w:hAnsi="Arial" w:cs="Arial"/>
                <w:color w:val="000000" w:themeColor="text1"/>
                <w:spacing w:val="-2"/>
                <w:sz w:val="17"/>
                <w:szCs w:val="17"/>
                <w:lang w:val="hr-HR"/>
              </w:rPr>
            </w:pPr>
            <w:r w:rsidRPr="00C40415">
              <w:rPr>
                <w:rFonts w:ascii="Arial" w:hAnsi="Arial" w:cs="Arial"/>
                <w:color w:val="000000" w:themeColor="text1"/>
                <w:spacing w:val="-2"/>
                <w:sz w:val="17"/>
                <w:szCs w:val="17"/>
                <w:lang w:val="hr-HR"/>
              </w:rPr>
              <w:t>Rezerviranja za garancije, preuzete i ostale obveze</w:t>
            </w:r>
          </w:p>
        </w:tc>
        <w:tc>
          <w:tcPr>
            <w:tcW w:w="557" w:type="pct"/>
            <w:tcBorders>
              <w:top w:val="nil"/>
              <w:left w:val="nil"/>
              <w:right w:val="nil"/>
            </w:tcBorders>
            <w:shd w:val="clear" w:color="auto" w:fill="auto"/>
            <w:vAlign w:val="bottom"/>
          </w:tcPr>
          <w:p w14:paraId="5B3F6F31"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105.893</w:t>
            </w:r>
          </w:p>
        </w:tc>
        <w:tc>
          <w:tcPr>
            <w:tcW w:w="557" w:type="pct"/>
            <w:tcBorders>
              <w:top w:val="nil"/>
              <w:left w:val="nil"/>
              <w:right w:val="nil"/>
            </w:tcBorders>
            <w:shd w:val="clear" w:color="auto" w:fill="auto"/>
            <w:vAlign w:val="bottom"/>
          </w:tcPr>
          <w:p w14:paraId="2B998A30"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5.962</w:t>
            </w:r>
          </w:p>
        </w:tc>
        <w:tc>
          <w:tcPr>
            <w:tcW w:w="556" w:type="pct"/>
            <w:tcBorders>
              <w:top w:val="nil"/>
              <w:left w:val="nil"/>
              <w:right w:val="nil"/>
            </w:tcBorders>
            <w:shd w:val="clear" w:color="auto" w:fill="auto"/>
            <w:vAlign w:val="bottom"/>
          </w:tcPr>
          <w:p w14:paraId="3C570FAE"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19.815</w:t>
            </w:r>
          </w:p>
        </w:tc>
        <w:tc>
          <w:tcPr>
            <w:tcW w:w="556" w:type="pct"/>
            <w:tcBorders>
              <w:top w:val="nil"/>
              <w:left w:val="nil"/>
              <w:right w:val="nil"/>
            </w:tcBorders>
            <w:shd w:val="clear" w:color="auto" w:fill="auto"/>
            <w:vAlign w:val="bottom"/>
          </w:tcPr>
          <w:p w14:paraId="7301618C"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30.577</w:t>
            </w:r>
          </w:p>
        </w:tc>
        <w:tc>
          <w:tcPr>
            <w:tcW w:w="556" w:type="pct"/>
            <w:tcBorders>
              <w:top w:val="nil"/>
              <w:left w:val="nil"/>
              <w:right w:val="nil"/>
            </w:tcBorders>
            <w:shd w:val="clear" w:color="auto" w:fill="auto"/>
            <w:vAlign w:val="bottom"/>
          </w:tcPr>
          <w:p w14:paraId="170821D0"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28.056</w:t>
            </w:r>
          </w:p>
        </w:tc>
        <w:tc>
          <w:tcPr>
            <w:tcW w:w="621" w:type="pct"/>
            <w:tcBorders>
              <w:top w:val="nil"/>
              <w:left w:val="nil"/>
              <w:right w:val="nil"/>
            </w:tcBorders>
            <w:shd w:val="clear" w:color="auto" w:fill="auto"/>
            <w:vAlign w:val="bottom"/>
          </w:tcPr>
          <w:p w14:paraId="2E05D60C"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190.303</w:t>
            </w:r>
          </w:p>
        </w:tc>
      </w:tr>
      <w:tr w:rsidR="004E2F51" w:rsidRPr="00C40415" w14:paraId="29776FEF" w14:textId="77777777" w:rsidTr="00E032FC">
        <w:trPr>
          <w:trHeight w:hRule="exact" w:val="211"/>
        </w:trPr>
        <w:tc>
          <w:tcPr>
            <w:tcW w:w="1597" w:type="pct"/>
            <w:vAlign w:val="bottom"/>
          </w:tcPr>
          <w:p w14:paraId="33569B79" w14:textId="77777777" w:rsidR="004E2F51" w:rsidRPr="00C40415" w:rsidRDefault="004E2F51" w:rsidP="00E032FC">
            <w:pPr>
              <w:tabs>
                <w:tab w:val="right" w:pos="1202"/>
              </w:tabs>
              <w:outlineLvl w:val="0"/>
              <w:rPr>
                <w:rFonts w:ascii="Arial" w:hAnsi="Arial" w:cs="Arial"/>
                <w:color w:val="000000" w:themeColor="text1"/>
                <w:sz w:val="17"/>
                <w:szCs w:val="17"/>
                <w:lang w:val="hr-HR"/>
              </w:rPr>
            </w:pPr>
            <w:r w:rsidRPr="00C40415">
              <w:rPr>
                <w:rFonts w:ascii="Arial" w:hAnsi="Arial" w:cs="Arial"/>
                <w:color w:val="000000" w:themeColor="text1"/>
                <w:spacing w:val="-2"/>
                <w:sz w:val="17"/>
                <w:szCs w:val="17"/>
                <w:lang w:val="hr-HR"/>
              </w:rPr>
              <w:t>Ostale obveze</w:t>
            </w:r>
          </w:p>
        </w:tc>
        <w:tc>
          <w:tcPr>
            <w:tcW w:w="557" w:type="pct"/>
            <w:tcBorders>
              <w:top w:val="nil"/>
              <w:left w:val="nil"/>
              <w:bottom w:val="single" w:sz="4" w:space="0" w:color="auto"/>
              <w:right w:val="nil"/>
            </w:tcBorders>
            <w:shd w:val="clear" w:color="auto" w:fill="auto"/>
            <w:vAlign w:val="bottom"/>
          </w:tcPr>
          <w:p w14:paraId="1C974794"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231.580</w:t>
            </w:r>
          </w:p>
        </w:tc>
        <w:tc>
          <w:tcPr>
            <w:tcW w:w="557" w:type="pct"/>
            <w:tcBorders>
              <w:top w:val="nil"/>
              <w:left w:val="nil"/>
              <w:bottom w:val="single" w:sz="4" w:space="0" w:color="auto"/>
              <w:right w:val="nil"/>
            </w:tcBorders>
            <w:shd w:val="clear" w:color="auto" w:fill="auto"/>
            <w:vAlign w:val="bottom"/>
          </w:tcPr>
          <w:p w14:paraId="72A1AB57"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13.038</w:t>
            </w:r>
          </w:p>
        </w:tc>
        <w:tc>
          <w:tcPr>
            <w:tcW w:w="556" w:type="pct"/>
            <w:tcBorders>
              <w:top w:val="nil"/>
              <w:left w:val="nil"/>
              <w:bottom w:val="single" w:sz="4" w:space="0" w:color="auto"/>
              <w:right w:val="nil"/>
            </w:tcBorders>
            <w:shd w:val="clear" w:color="auto" w:fill="auto"/>
            <w:vAlign w:val="bottom"/>
          </w:tcPr>
          <w:p w14:paraId="3F3719BF"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43.334</w:t>
            </w:r>
          </w:p>
        </w:tc>
        <w:tc>
          <w:tcPr>
            <w:tcW w:w="556" w:type="pct"/>
            <w:tcBorders>
              <w:top w:val="nil"/>
              <w:left w:val="nil"/>
              <w:bottom w:val="single" w:sz="4" w:space="0" w:color="auto"/>
              <w:right w:val="nil"/>
            </w:tcBorders>
            <w:shd w:val="clear" w:color="auto" w:fill="auto"/>
            <w:vAlign w:val="bottom"/>
          </w:tcPr>
          <w:p w14:paraId="3FE39904"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66.870</w:t>
            </w:r>
          </w:p>
        </w:tc>
        <w:tc>
          <w:tcPr>
            <w:tcW w:w="556" w:type="pct"/>
            <w:tcBorders>
              <w:top w:val="nil"/>
              <w:left w:val="nil"/>
              <w:bottom w:val="single" w:sz="4" w:space="0" w:color="auto"/>
              <w:right w:val="nil"/>
            </w:tcBorders>
            <w:shd w:val="clear" w:color="auto" w:fill="auto"/>
            <w:vAlign w:val="bottom"/>
          </w:tcPr>
          <w:p w14:paraId="1972061F"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61.356</w:t>
            </w:r>
          </w:p>
        </w:tc>
        <w:tc>
          <w:tcPr>
            <w:tcW w:w="621" w:type="pct"/>
            <w:tcBorders>
              <w:top w:val="nil"/>
              <w:left w:val="nil"/>
              <w:bottom w:val="single" w:sz="4" w:space="0" w:color="auto"/>
              <w:right w:val="nil"/>
            </w:tcBorders>
            <w:shd w:val="clear" w:color="auto" w:fill="auto"/>
            <w:vAlign w:val="bottom"/>
          </w:tcPr>
          <w:p w14:paraId="46619AAB"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416.178</w:t>
            </w:r>
          </w:p>
        </w:tc>
      </w:tr>
      <w:tr w:rsidR="004E2F51" w:rsidRPr="00C40415" w14:paraId="11453750" w14:textId="77777777" w:rsidTr="00E032FC">
        <w:trPr>
          <w:trHeight w:hRule="exact" w:val="265"/>
        </w:trPr>
        <w:tc>
          <w:tcPr>
            <w:tcW w:w="1597" w:type="pct"/>
            <w:vAlign w:val="bottom"/>
          </w:tcPr>
          <w:p w14:paraId="660DE72F" w14:textId="77777777" w:rsidR="004E2F51" w:rsidRPr="00C40415" w:rsidRDefault="004E2F51" w:rsidP="00E032FC">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Ukupno</w:t>
            </w:r>
          </w:p>
        </w:tc>
        <w:tc>
          <w:tcPr>
            <w:tcW w:w="557" w:type="pct"/>
            <w:tcBorders>
              <w:top w:val="single" w:sz="4" w:space="0" w:color="auto"/>
              <w:left w:val="nil"/>
              <w:bottom w:val="single" w:sz="12" w:space="0" w:color="auto"/>
              <w:right w:val="nil"/>
            </w:tcBorders>
            <w:vAlign w:val="bottom"/>
          </w:tcPr>
          <w:p w14:paraId="3E6ADB3A" w14:textId="77777777" w:rsidR="004E2F51" w:rsidRPr="00C40415" w:rsidRDefault="004E2F51" w:rsidP="00E032FC">
            <w:pPr>
              <w:tabs>
                <w:tab w:val="right" w:pos="1202"/>
              </w:tabs>
              <w:spacing w:line="240" w:lineRule="exact"/>
              <w:jc w:val="right"/>
              <w:outlineLvl w:val="0"/>
              <w:rPr>
                <w:rFonts w:ascii="Arial" w:hAnsi="Arial" w:cs="Arial"/>
                <w:b/>
                <w:bCs/>
                <w:color w:val="000000"/>
                <w:sz w:val="17"/>
                <w:szCs w:val="17"/>
              </w:rPr>
            </w:pPr>
            <w:r w:rsidRPr="00C40415">
              <w:rPr>
                <w:rFonts w:ascii="Arial" w:hAnsi="Arial" w:cs="Arial"/>
                <w:b/>
                <w:bCs/>
                <w:color w:val="000000"/>
                <w:sz w:val="17"/>
                <w:szCs w:val="17"/>
              </w:rPr>
              <w:t>1.218.123</w:t>
            </w:r>
          </w:p>
        </w:tc>
        <w:tc>
          <w:tcPr>
            <w:tcW w:w="557" w:type="pct"/>
            <w:tcBorders>
              <w:top w:val="single" w:sz="4" w:space="0" w:color="auto"/>
              <w:left w:val="nil"/>
              <w:bottom w:val="single" w:sz="12" w:space="0" w:color="auto"/>
              <w:right w:val="nil"/>
            </w:tcBorders>
            <w:vAlign w:val="bottom"/>
          </w:tcPr>
          <w:p w14:paraId="24692227" w14:textId="77777777" w:rsidR="004E2F51" w:rsidRPr="00C40415" w:rsidRDefault="004E2F51" w:rsidP="00E032FC">
            <w:pPr>
              <w:tabs>
                <w:tab w:val="right" w:pos="1202"/>
              </w:tabs>
              <w:spacing w:line="240" w:lineRule="exact"/>
              <w:jc w:val="right"/>
              <w:outlineLvl w:val="0"/>
              <w:rPr>
                <w:rFonts w:ascii="Arial" w:hAnsi="Arial" w:cs="Arial"/>
                <w:b/>
                <w:bCs/>
                <w:color w:val="000000"/>
                <w:sz w:val="17"/>
                <w:szCs w:val="17"/>
              </w:rPr>
            </w:pPr>
            <w:r w:rsidRPr="00C40415">
              <w:rPr>
                <w:rFonts w:ascii="Arial" w:hAnsi="Arial" w:cs="Arial"/>
                <w:b/>
                <w:bCs/>
                <w:color w:val="000000"/>
                <w:sz w:val="17"/>
                <w:szCs w:val="17"/>
              </w:rPr>
              <w:t>356.495</w:t>
            </w:r>
          </w:p>
        </w:tc>
        <w:tc>
          <w:tcPr>
            <w:tcW w:w="556" w:type="pct"/>
            <w:tcBorders>
              <w:top w:val="single" w:sz="4" w:space="0" w:color="auto"/>
              <w:left w:val="nil"/>
              <w:bottom w:val="single" w:sz="12" w:space="0" w:color="auto"/>
              <w:right w:val="nil"/>
            </w:tcBorders>
            <w:vAlign w:val="bottom"/>
          </w:tcPr>
          <w:p w14:paraId="70500317" w14:textId="77777777" w:rsidR="004E2F51" w:rsidRPr="00C40415" w:rsidRDefault="004E2F51" w:rsidP="00E032FC">
            <w:pPr>
              <w:tabs>
                <w:tab w:val="right" w:pos="1202"/>
              </w:tabs>
              <w:spacing w:line="240" w:lineRule="exact"/>
              <w:jc w:val="right"/>
              <w:outlineLvl w:val="0"/>
              <w:rPr>
                <w:rFonts w:ascii="Arial" w:hAnsi="Arial" w:cs="Arial"/>
                <w:b/>
                <w:bCs/>
                <w:color w:val="000000"/>
                <w:sz w:val="17"/>
                <w:szCs w:val="17"/>
              </w:rPr>
            </w:pPr>
            <w:r w:rsidRPr="00C40415">
              <w:rPr>
                <w:rFonts w:ascii="Arial" w:hAnsi="Arial" w:cs="Arial"/>
                <w:b/>
                <w:bCs/>
                <w:color w:val="000000"/>
                <w:sz w:val="17"/>
                <w:szCs w:val="17"/>
              </w:rPr>
              <w:t>2.095.931</w:t>
            </w:r>
          </w:p>
        </w:tc>
        <w:tc>
          <w:tcPr>
            <w:tcW w:w="556" w:type="pct"/>
            <w:tcBorders>
              <w:top w:val="single" w:sz="4" w:space="0" w:color="auto"/>
              <w:left w:val="nil"/>
              <w:bottom w:val="single" w:sz="12" w:space="0" w:color="auto"/>
              <w:right w:val="nil"/>
            </w:tcBorders>
            <w:vAlign w:val="bottom"/>
          </w:tcPr>
          <w:p w14:paraId="489369CA" w14:textId="77777777" w:rsidR="004E2F51" w:rsidRPr="00C40415" w:rsidRDefault="004E2F51" w:rsidP="00E032FC">
            <w:pPr>
              <w:tabs>
                <w:tab w:val="right" w:pos="1202"/>
              </w:tabs>
              <w:spacing w:line="240" w:lineRule="exact"/>
              <w:jc w:val="right"/>
              <w:outlineLvl w:val="0"/>
              <w:rPr>
                <w:rFonts w:ascii="Arial" w:hAnsi="Arial" w:cs="Arial"/>
                <w:b/>
                <w:bCs/>
                <w:color w:val="000000"/>
                <w:sz w:val="17"/>
                <w:szCs w:val="17"/>
              </w:rPr>
            </w:pPr>
            <w:r w:rsidRPr="00C40415">
              <w:rPr>
                <w:rFonts w:ascii="Arial" w:hAnsi="Arial" w:cs="Arial"/>
                <w:b/>
                <w:bCs/>
                <w:color w:val="000000"/>
                <w:sz w:val="17"/>
                <w:szCs w:val="17"/>
              </w:rPr>
              <w:t>6.185.104</w:t>
            </w:r>
          </w:p>
        </w:tc>
        <w:tc>
          <w:tcPr>
            <w:tcW w:w="556" w:type="pct"/>
            <w:tcBorders>
              <w:top w:val="single" w:sz="4" w:space="0" w:color="auto"/>
              <w:left w:val="nil"/>
              <w:bottom w:val="single" w:sz="12" w:space="0" w:color="auto"/>
              <w:right w:val="nil"/>
            </w:tcBorders>
            <w:vAlign w:val="bottom"/>
          </w:tcPr>
          <w:p w14:paraId="5A4E3B87" w14:textId="77777777" w:rsidR="004E2F51" w:rsidRPr="00C40415" w:rsidRDefault="004E2F51" w:rsidP="00E032FC">
            <w:pPr>
              <w:tabs>
                <w:tab w:val="right" w:pos="1202"/>
              </w:tabs>
              <w:spacing w:line="240" w:lineRule="exact"/>
              <w:jc w:val="right"/>
              <w:outlineLvl w:val="0"/>
              <w:rPr>
                <w:rFonts w:ascii="Arial" w:hAnsi="Arial" w:cs="Arial"/>
                <w:b/>
                <w:bCs/>
                <w:color w:val="000000"/>
                <w:sz w:val="17"/>
                <w:szCs w:val="17"/>
              </w:rPr>
            </w:pPr>
            <w:r w:rsidRPr="00C40415">
              <w:rPr>
                <w:rFonts w:ascii="Arial" w:hAnsi="Arial" w:cs="Arial"/>
                <w:b/>
                <w:bCs/>
                <w:color w:val="000000"/>
                <w:sz w:val="17"/>
                <w:szCs w:val="17"/>
              </w:rPr>
              <w:t>8.828.749</w:t>
            </w:r>
          </w:p>
        </w:tc>
        <w:tc>
          <w:tcPr>
            <w:tcW w:w="621" w:type="pct"/>
            <w:tcBorders>
              <w:top w:val="single" w:sz="4" w:space="0" w:color="auto"/>
              <w:left w:val="nil"/>
              <w:bottom w:val="single" w:sz="12" w:space="0" w:color="auto"/>
              <w:right w:val="nil"/>
            </w:tcBorders>
            <w:vAlign w:val="bottom"/>
          </w:tcPr>
          <w:p w14:paraId="064E9F62" w14:textId="77777777" w:rsidR="004E2F51" w:rsidRPr="00C40415" w:rsidRDefault="004E2F51" w:rsidP="00E032FC">
            <w:pPr>
              <w:tabs>
                <w:tab w:val="right" w:pos="1202"/>
              </w:tabs>
              <w:spacing w:line="240" w:lineRule="exact"/>
              <w:jc w:val="right"/>
              <w:outlineLvl w:val="0"/>
              <w:rPr>
                <w:rFonts w:ascii="Arial" w:hAnsi="Arial" w:cs="Arial"/>
                <w:b/>
                <w:bCs/>
                <w:color w:val="000000"/>
                <w:sz w:val="17"/>
                <w:szCs w:val="17"/>
              </w:rPr>
            </w:pPr>
            <w:r w:rsidRPr="00C40415">
              <w:rPr>
                <w:rFonts w:ascii="Arial" w:hAnsi="Arial" w:cs="Arial"/>
                <w:b/>
                <w:bCs/>
                <w:color w:val="000000"/>
                <w:sz w:val="17"/>
                <w:szCs w:val="17"/>
              </w:rPr>
              <w:t>18.684.402</w:t>
            </w:r>
          </w:p>
        </w:tc>
      </w:tr>
      <w:tr w:rsidR="004E2F51" w:rsidRPr="00C40415" w14:paraId="325F5CB5" w14:textId="77777777" w:rsidTr="00E032FC">
        <w:trPr>
          <w:trHeight w:hRule="exact" w:val="275"/>
        </w:trPr>
        <w:tc>
          <w:tcPr>
            <w:tcW w:w="1597" w:type="pct"/>
            <w:vAlign w:val="bottom"/>
          </w:tcPr>
          <w:p w14:paraId="2767C132" w14:textId="77777777" w:rsidR="004E2F51" w:rsidRPr="00C40415" w:rsidRDefault="004E2F51" w:rsidP="00E032FC">
            <w:pPr>
              <w:tabs>
                <w:tab w:val="right" w:pos="1202"/>
              </w:tabs>
              <w:spacing w:line="340" w:lineRule="exact"/>
              <w:outlineLvl w:val="0"/>
              <w:rPr>
                <w:rFonts w:ascii="Arial" w:hAnsi="Arial" w:cs="Arial"/>
                <w:b/>
                <w:bCs/>
                <w:color w:val="000000" w:themeColor="text1"/>
                <w:sz w:val="17"/>
                <w:szCs w:val="17"/>
                <w:lang w:val="hr-HR"/>
              </w:rPr>
            </w:pPr>
          </w:p>
        </w:tc>
        <w:tc>
          <w:tcPr>
            <w:tcW w:w="557" w:type="pct"/>
            <w:tcBorders>
              <w:top w:val="nil"/>
              <w:left w:val="nil"/>
              <w:right w:val="nil"/>
            </w:tcBorders>
            <w:shd w:val="clear" w:color="auto" w:fill="auto"/>
            <w:vAlign w:val="bottom"/>
          </w:tcPr>
          <w:p w14:paraId="526B596E" w14:textId="77777777" w:rsidR="004E2F51" w:rsidRPr="00C40415" w:rsidRDefault="004E2F51" w:rsidP="00E032FC">
            <w:pPr>
              <w:tabs>
                <w:tab w:val="right" w:pos="1202"/>
              </w:tabs>
              <w:spacing w:line="340" w:lineRule="exact"/>
              <w:jc w:val="right"/>
              <w:outlineLvl w:val="0"/>
              <w:rPr>
                <w:rFonts w:ascii="Arial" w:hAnsi="Arial" w:cs="Arial"/>
                <w:b/>
                <w:color w:val="000000" w:themeColor="text1"/>
                <w:sz w:val="17"/>
                <w:szCs w:val="17"/>
                <w:lang w:val="hr-HR"/>
              </w:rPr>
            </w:pPr>
          </w:p>
        </w:tc>
        <w:tc>
          <w:tcPr>
            <w:tcW w:w="557" w:type="pct"/>
            <w:tcBorders>
              <w:top w:val="nil"/>
              <w:left w:val="nil"/>
              <w:right w:val="nil"/>
            </w:tcBorders>
            <w:shd w:val="clear" w:color="auto" w:fill="auto"/>
            <w:vAlign w:val="bottom"/>
          </w:tcPr>
          <w:p w14:paraId="7B52A8A0" w14:textId="77777777" w:rsidR="004E2F51" w:rsidRPr="00C40415" w:rsidRDefault="004E2F51" w:rsidP="00E032FC">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shd w:val="clear" w:color="auto" w:fill="auto"/>
            <w:vAlign w:val="bottom"/>
          </w:tcPr>
          <w:p w14:paraId="2D1BEFE5" w14:textId="77777777" w:rsidR="004E2F51" w:rsidRPr="00C40415" w:rsidRDefault="004E2F51" w:rsidP="00E032FC">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shd w:val="clear" w:color="auto" w:fill="auto"/>
            <w:vAlign w:val="bottom"/>
          </w:tcPr>
          <w:p w14:paraId="23CF0214" w14:textId="77777777" w:rsidR="004E2F51" w:rsidRPr="00C40415" w:rsidRDefault="004E2F51" w:rsidP="00E032FC">
            <w:pPr>
              <w:tabs>
                <w:tab w:val="right" w:pos="1202"/>
              </w:tabs>
              <w:spacing w:line="340" w:lineRule="exact"/>
              <w:jc w:val="right"/>
              <w:outlineLvl w:val="0"/>
              <w:rPr>
                <w:rFonts w:ascii="Arial" w:hAnsi="Arial" w:cs="Arial"/>
                <w:b/>
                <w:color w:val="000000" w:themeColor="text1"/>
                <w:sz w:val="17"/>
                <w:szCs w:val="17"/>
                <w:lang w:val="hr-HR"/>
              </w:rPr>
            </w:pPr>
          </w:p>
        </w:tc>
        <w:tc>
          <w:tcPr>
            <w:tcW w:w="556" w:type="pct"/>
            <w:tcBorders>
              <w:top w:val="nil"/>
              <w:left w:val="nil"/>
              <w:right w:val="nil"/>
            </w:tcBorders>
            <w:shd w:val="clear" w:color="auto" w:fill="auto"/>
            <w:vAlign w:val="bottom"/>
          </w:tcPr>
          <w:p w14:paraId="578F8398" w14:textId="77777777" w:rsidR="004E2F51" w:rsidRPr="00C40415" w:rsidRDefault="004E2F51" w:rsidP="00E032FC">
            <w:pPr>
              <w:tabs>
                <w:tab w:val="right" w:pos="1202"/>
              </w:tabs>
              <w:spacing w:line="340" w:lineRule="exact"/>
              <w:jc w:val="right"/>
              <w:outlineLvl w:val="0"/>
              <w:rPr>
                <w:rFonts w:ascii="Arial" w:hAnsi="Arial" w:cs="Arial"/>
                <w:b/>
                <w:color w:val="000000" w:themeColor="text1"/>
                <w:sz w:val="17"/>
                <w:szCs w:val="17"/>
                <w:lang w:val="hr-HR"/>
              </w:rPr>
            </w:pPr>
          </w:p>
        </w:tc>
        <w:tc>
          <w:tcPr>
            <w:tcW w:w="621" w:type="pct"/>
            <w:tcBorders>
              <w:top w:val="nil"/>
              <w:left w:val="nil"/>
              <w:right w:val="nil"/>
            </w:tcBorders>
            <w:shd w:val="clear" w:color="auto" w:fill="auto"/>
            <w:vAlign w:val="bottom"/>
          </w:tcPr>
          <w:p w14:paraId="37B83F40" w14:textId="77777777" w:rsidR="004E2F51" w:rsidRPr="00C40415" w:rsidRDefault="004E2F51" w:rsidP="00E032FC">
            <w:pPr>
              <w:tabs>
                <w:tab w:val="right" w:pos="1202"/>
              </w:tabs>
              <w:spacing w:line="340" w:lineRule="exact"/>
              <w:jc w:val="right"/>
              <w:outlineLvl w:val="0"/>
              <w:rPr>
                <w:rFonts w:ascii="Arial" w:hAnsi="Arial" w:cs="Arial"/>
                <w:b/>
                <w:color w:val="000000" w:themeColor="text1"/>
                <w:sz w:val="17"/>
                <w:szCs w:val="17"/>
                <w:lang w:val="hr-HR"/>
              </w:rPr>
            </w:pPr>
          </w:p>
        </w:tc>
      </w:tr>
      <w:tr w:rsidR="004E2F51" w:rsidRPr="00C40415" w14:paraId="084D2103" w14:textId="77777777" w:rsidTr="00E032FC">
        <w:trPr>
          <w:trHeight w:hRule="exact" w:val="211"/>
        </w:trPr>
        <w:tc>
          <w:tcPr>
            <w:tcW w:w="1597" w:type="pct"/>
            <w:tcBorders>
              <w:top w:val="nil"/>
              <w:left w:val="nil"/>
              <w:bottom w:val="nil"/>
              <w:right w:val="nil"/>
            </w:tcBorders>
            <w:shd w:val="clear" w:color="auto" w:fill="auto"/>
          </w:tcPr>
          <w:p w14:paraId="0F745928" w14:textId="77777777" w:rsidR="004E2F51" w:rsidRPr="00C40415" w:rsidRDefault="004E2F51" w:rsidP="00E032FC">
            <w:pPr>
              <w:tabs>
                <w:tab w:val="right" w:pos="1202"/>
              </w:tabs>
              <w:outlineLvl w:val="0"/>
              <w:rPr>
                <w:rFonts w:ascii="Arial" w:hAnsi="Arial" w:cs="Arial"/>
                <w:b/>
                <w:bCs/>
                <w:color w:val="000000" w:themeColor="text1"/>
                <w:sz w:val="17"/>
                <w:szCs w:val="17"/>
                <w:lang w:val="hr-HR"/>
              </w:rPr>
            </w:pPr>
            <w:r w:rsidRPr="00C40415">
              <w:rPr>
                <w:rFonts w:ascii="Arial" w:hAnsi="Arial" w:cs="Arial"/>
                <w:b/>
                <w:bCs/>
                <w:color w:val="000000" w:themeColor="text1"/>
                <w:sz w:val="17"/>
                <w:szCs w:val="17"/>
                <w:lang w:val="hr-HR"/>
              </w:rPr>
              <w:t>Garancije i preuzete obveze</w:t>
            </w:r>
          </w:p>
        </w:tc>
        <w:tc>
          <w:tcPr>
            <w:tcW w:w="557" w:type="pct"/>
            <w:tcBorders>
              <w:top w:val="nil"/>
              <w:left w:val="nil"/>
              <w:bottom w:val="nil"/>
              <w:right w:val="nil"/>
            </w:tcBorders>
            <w:shd w:val="clear" w:color="auto" w:fill="auto"/>
            <w:vAlign w:val="bottom"/>
          </w:tcPr>
          <w:p w14:paraId="7D8D1F5B"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p>
        </w:tc>
        <w:tc>
          <w:tcPr>
            <w:tcW w:w="557" w:type="pct"/>
            <w:tcBorders>
              <w:top w:val="nil"/>
              <w:left w:val="nil"/>
              <w:bottom w:val="nil"/>
              <w:right w:val="nil"/>
            </w:tcBorders>
            <w:shd w:val="clear" w:color="auto" w:fill="auto"/>
            <w:vAlign w:val="bottom"/>
          </w:tcPr>
          <w:p w14:paraId="29F8DF5F"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shd w:val="clear" w:color="auto" w:fill="auto"/>
            <w:vAlign w:val="bottom"/>
          </w:tcPr>
          <w:p w14:paraId="4B9DF5FC"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shd w:val="clear" w:color="auto" w:fill="auto"/>
            <w:vAlign w:val="bottom"/>
          </w:tcPr>
          <w:p w14:paraId="05F2A06A"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p>
        </w:tc>
        <w:tc>
          <w:tcPr>
            <w:tcW w:w="556" w:type="pct"/>
            <w:tcBorders>
              <w:top w:val="nil"/>
              <w:left w:val="nil"/>
              <w:bottom w:val="nil"/>
              <w:right w:val="nil"/>
            </w:tcBorders>
            <w:shd w:val="clear" w:color="auto" w:fill="auto"/>
            <w:vAlign w:val="bottom"/>
          </w:tcPr>
          <w:p w14:paraId="4800AA25"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p>
        </w:tc>
        <w:tc>
          <w:tcPr>
            <w:tcW w:w="621" w:type="pct"/>
            <w:tcBorders>
              <w:top w:val="nil"/>
              <w:left w:val="nil"/>
              <w:bottom w:val="nil"/>
              <w:right w:val="nil"/>
            </w:tcBorders>
            <w:shd w:val="clear" w:color="auto" w:fill="auto"/>
            <w:vAlign w:val="bottom"/>
          </w:tcPr>
          <w:p w14:paraId="5C8C2AA7"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p>
        </w:tc>
      </w:tr>
      <w:tr w:rsidR="004E2F51" w:rsidRPr="00C40415" w14:paraId="119B3FBB" w14:textId="77777777" w:rsidTr="00E032FC">
        <w:trPr>
          <w:trHeight w:hRule="exact" w:val="211"/>
        </w:trPr>
        <w:tc>
          <w:tcPr>
            <w:tcW w:w="1597" w:type="pct"/>
            <w:tcBorders>
              <w:top w:val="nil"/>
              <w:left w:val="nil"/>
              <w:bottom w:val="nil"/>
              <w:right w:val="nil"/>
            </w:tcBorders>
            <w:shd w:val="clear" w:color="auto" w:fill="auto"/>
            <w:vAlign w:val="center"/>
          </w:tcPr>
          <w:p w14:paraId="11F8297D" w14:textId="77777777" w:rsidR="004E2F51" w:rsidRPr="00C40415" w:rsidRDefault="004E2F51" w:rsidP="00E032FC">
            <w:pPr>
              <w:tabs>
                <w:tab w:val="right" w:pos="1202"/>
              </w:tabs>
              <w:outlineLvl w:val="0"/>
              <w:rPr>
                <w:rFonts w:ascii="Arial" w:hAnsi="Arial" w:cs="Arial"/>
                <w:b/>
                <w:bCs/>
                <w:color w:val="000000" w:themeColor="text1"/>
                <w:sz w:val="17"/>
                <w:szCs w:val="17"/>
                <w:lang w:val="hr-HR"/>
              </w:rPr>
            </w:pPr>
            <w:r w:rsidRPr="00C40415">
              <w:rPr>
                <w:rFonts w:ascii="Arial" w:eastAsia="Calibri" w:hAnsi="Arial" w:cs="Arial"/>
                <w:color w:val="000000" w:themeColor="text1"/>
                <w:spacing w:val="-2"/>
                <w:sz w:val="17"/>
                <w:szCs w:val="17"/>
                <w:lang w:val="hr-HR"/>
              </w:rPr>
              <w:t>Izdane garancije u kunama</w:t>
            </w:r>
          </w:p>
        </w:tc>
        <w:tc>
          <w:tcPr>
            <w:tcW w:w="557" w:type="pct"/>
            <w:tcBorders>
              <w:top w:val="nil"/>
              <w:left w:val="nil"/>
              <w:bottom w:val="nil"/>
              <w:right w:val="nil"/>
            </w:tcBorders>
            <w:shd w:val="clear" w:color="auto" w:fill="auto"/>
            <w:vAlign w:val="bottom"/>
          </w:tcPr>
          <w:p w14:paraId="785C5921"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170.555 </w:t>
            </w:r>
          </w:p>
        </w:tc>
        <w:tc>
          <w:tcPr>
            <w:tcW w:w="557" w:type="pct"/>
            <w:tcBorders>
              <w:top w:val="nil"/>
              <w:left w:val="nil"/>
              <w:bottom w:val="nil"/>
              <w:right w:val="nil"/>
            </w:tcBorders>
            <w:shd w:val="clear" w:color="auto" w:fill="auto"/>
            <w:vAlign w:val="bottom"/>
          </w:tcPr>
          <w:p w14:paraId="09D43416"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2CDEF574"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007B253B"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0F5003DB"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color w:val="000000"/>
                <w:sz w:val="17"/>
                <w:szCs w:val="17"/>
              </w:rPr>
              <w:t xml:space="preserve"> - </w:t>
            </w:r>
          </w:p>
        </w:tc>
        <w:tc>
          <w:tcPr>
            <w:tcW w:w="621" w:type="pct"/>
            <w:tcBorders>
              <w:top w:val="nil"/>
              <w:left w:val="nil"/>
              <w:bottom w:val="nil"/>
              <w:right w:val="nil"/>
            </w:tcBorders>
            <w:shd w:val="clear" w:color="auto" w:fill="auto"/>
            <w:vAlign w:val="bottom"/>
          </w:tcPr>
          <w:p w14:paraId="0BB09D9D"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rPr>
              <w:t>170.555</w:t>
            </w:r>
          </w:p>
        </w:tc>
      </w:tr>
      <w:tr w:rsidR="004E2F51" w:rsidRPr="00C40415" w14:paraId="0C2ED8DC" w14:textId="77777777" w:rsidTr="00E032FC">
        <w:trPr>
          <w:trHeight w:hRule="exact" w:val="211"/>
        </w:trPr>
        <w:tc>
          <w:tcPr>
            <w:tcW w:w="1597" w:type="pct"/>
            <w:tcBorders>
              <w:top w:val="nil"/>
              <w:left w:val="nil"/>
              <w:bottom w:val="nil"/>
              <w:right w:val="nil"/>
            </w:tcBorders>
            <w:shd w:val="clear" w:color="auto" w:fill="auto"/>
            <w:vAlign w:val="center"/>
          </w:tcPr>
          <w:p w14:paraId="0BE8A0CC" w14:textId="77777777" w:rsidR="004E2F51" w:rsidRPr="00C40415" w:rsidRDefault="004E2F51" w:rsidP="00E032FC">
            <w:pPr>
              <w:tabs>
                <w:tab w:val="right" w:pos="1202"/>
              </w:tabs>
              <w:outlineLvl w:val="0"/>
              <w:rPr>
                <w:rFonts w:ascii="Arial" w:hAnsi="Arial" w:cs="Arial"/>
                <w:b/>
                <w:bCs/>
                <w:color w:val="000000" w:themeColor="text1"/>
                <w:sz w:val="17"/>
                <w:szCs w:val="17"/>
                <w:lang w:val="hr-HR"/>
              </w:rPr>
            </w:pPr>
            <w:r w:rsidRPr="00C40415">
              <w:rPr>
                <w:rFonts w:ascii="Arial" w:eastAsia="Calibri" w:hAnsi="Arial" w:cs="Arial"/>
                <w:color w:val="000000" w:themeColor="text1"/>
                <w:spacing w:val="-2"/>
                <w:sz w:val="17"/>
                <w:szCs w:val="17"/>
                <w:lang w:val="hr-HR"/>
              </w:rPr>
              <w:t>Izdane garancije u devizama</w:t>
            </w:r>
          </w:p>
        </w:tc>
        <w:tc>
          <w:tcPr>
            <w:tcW w:w="557" w:type="pct"/>
            <w:tcBorders>
              <w:top w:val="nil"/>
              <w:left w:val="nil"/>
              <w:bottom w:val="nil"/>
              <w:right w:val="nil"/>
            </w:tcBorders>
            <w:shd w:val="clear" w:color="auto" w:fill="auto"/>
            <w:vAlign w:val="bottom"/>
          </w:tcPr>
          <w:p w14:paraId="766D623F"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 325.103 </w:t>
            </w:r>
          </w:p>
        </w:tc>
        <w:tc>
          <w:tcPr>
            <w:tcW w:w="557" w:type="pct"/>
            <w:tcBorders>
              <w:top w:val="nil"/>
              <w:left w:val="nil"/>
              <w:bottom w:val="nil"/>
              <w:right w:val="nil"/>
            </w:tcBorders>
            <w:shd w:val="clear" w:color="auto" w:fill="auto"/>
            <w:vAlign w:val="bottom"/>
          </w:tcPr>
          <w:p w14:paraId="5D5F12EB"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2365A58D"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0D8CE672"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71715D2E"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color w:val="000000"/>
                <w:sz w:val="17"/>
                <w:szCs w:val="17"/>
              </w:rPr>
              <w:t xml:space="preserve"> - </w:t>
            </w:r>
          </w:p>
        </w:tc>
        <w:tc>
          <w:tcPr>
            <w:tcW w:w="621" w:type="pct"/>
            <w:tcBorders>
              <w:top w:val="nil"/>
              <w:left w:val="nil"/>
              <w:bottom w:val="nil"/>
              <w:right w:val="nil"/>
            </w:tcBorders>
            <w:shd w:val="clear" w:color="auto" w:fill="auto"/>
            <w:vAlign w:val="bottom"/>
          </w:tcPr>
          <w:p w14:paraId="2510AFA3"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rPr>
              <w:t>325.103</w:t>
            </w:r>
          </w:p>
        </w:tc>
      </w:tr>
      <w:tr w:rsidR="004E2F51" w:rsidRPr="00C40415" w14:paraId="62F39D5E" w14:textId="77777777" w:rsidTr="00E032FC">
        <w:trPr>
          <w:trHeight w:hRule="exact" w:val="211"/>
        </w:trPr>
        <w:tc>
          <w:tcPr>
            <w:tcW w:w="1597" w:type="pct"/>
            <w:tcBorders>
              <w:top w:val="nil"/>
              <w:left w:val="nil"/>
              <w:bottom w:val="nil"/>
              <w:right w:val="nil"/>
            </w:tcBorders>
            <w:shd w:val="clear" w:color="auto" w:fill="auto"/>
            <w:vAlign w:val="center"/>
          </w:tcPr>
          <w:p w14:paraId="7C421ED3" w14:textId="77777777" w:rsidR="004E2F51" w:rsidRPr="00C40415" w:rsidRDefault="004E2F51" w:rsidP="00E032FC">
            <w:pPr>
              <w:tabs>
                <w:tab w:val="right" w:pos="1202"/>
              </w:tabs>
              <w:outlineLvl w:val="0"/>
              <w:rPr>
                <w:rFonts w:ascii="Arial" w:hAnsi="Arial" w:cs="Arial"/>
                <w:b/>
                <w:bCs/>
                <w:color w:val="000000" w:themeColor="text1"/>
                <w:sz w:val="17"/>
                <w:szCs w:val="17"/>
                <w:lang w:val="hr-HR"/>
              </w:rPr>
            </w:pPr>
            <w:r w:rsidRPr="00C40415">
              <w:rPr>
                <w:rFonts w:ascii="Arial" w:eastAsia="Calibri" w:hAnsi="Arial" w:cs="Arial"/>
                <w:color w:val="000000" w:themeColor="text1"/>
                <w:spacing w:val="-2"/>
                <w:sz w:val="17"/>
                <w:szCs w:val="17"/>
                <w:lang w:val="hr-HR"/>
              </w:rPr>
              <w:t>Preuzete obveze po kreditima</w:t>
            </w:r>
          </w:p>
        </w:tc>
        <w:tc>
          <w:tcPr>
            <w:tcW w:w="557" w:type="pct"/>
            <w:tcBorders>
              <w:top w:val="nil"/>
              <w:left w:val="nil"/>
              <w:bottom w:val="nil"/>
              <w:right w:val="nil"/>
            </w:tcBorders>
            <w:shd w:val="clear" w:color="auto" w:fill="auto"/>
            <w:vAlign w:val="bottom"/>
          </w:tcPr>
          <w:p w14:paraId="0FA5799E"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rPr>
              <w:t xml:space="preserve">3.492.038 </w:t>
            </w:r>
          </w:p>
        </w:tc>
        <w:tc>
          <w:tcPr>
            <w:tcW w:w="557" w:type="pct"/>
            <w:tcBorders>
              <w:top w:val="nil"/>
              <w:left w:val="nil"/>
              <w:bottom w:val="nil"/>
              <w:right w:val="nil"/>
            </w:tcBorders>
            <w:shd w:val="clear" w:color="auto" w:fill="auto"/>
            <w:vAlign w:val="bottom"/>
          </w:tcPr>
          <w:p w14:paraId="5A376AB4"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1B056019"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3844575B"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30D80158"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color w:val="000000"/>
                <w:sz w:val="17"/>
                <w:szCs w:val="17"/>
              </w:rPr>
              <w:t xml:space="preserve"> - </w:t>
            </w:r>
          </w:p>
        </w:tc>
        <w:tc>
          <w:tcPr>
            <w:tcW w:w="621" w:type="pct"/>
            <w:tcBorders>
              <w:top w:val="nil"/>
              <w:left w:val="nil"/>
              <w:bottom w:val="nil"/>
              <w:right w:val="nil"/>
            </w:tcBorders>
            <w:shd w:val="clear" w:color="auto" w:fill="auto"/>
            <w:vAlign w:val="bottom"/>
          </w:tcPr>
          <w:p w14:paraId="69B86B27"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rPr>
              <w:t>3.492.038</w:t>
            </w:r>
          </w:p>
        </w:tc>
      </w:tr>
      <w:tr w:rsidR="004E2F51" w:rsidRPr="00C40415" w14:paraId="756B2D5D" w14:textId="77777777" w:rsidTr="00E032FC">
        <w:trPr>
          <w:trHeight w:hRule="exact" w:val="211"/>
        </w:trPr>
        <w:tc>
          <w:tcPr>
            <w:tcW w:w="1597" w:type="pct"/>
            <w:tcBorders>
              <w:top w:val="nil"/>
              <w:left w:val="nil"/>
              <w:bottom w:val="nil"/>
              <w:right w:val="nil"/>
            </w:tcBorders>
            <w:shd w:val="clear" w:color="auto" w:fill="auto"/>
            <w:vAlign w:val="bottom"/>
          </w:tcPr>
          <w:p w14:paraId="36E9160F" w14:textId="77777777" w:rsidR="004E2F51" w:rsidRPr="00C40415" w:rsidRDefault="004E2F51" w:rsidP="00E032FC">
            <w:pPr>
              <w:tabs>
                <w:tab w:val="right" w:pos="1202"/>
              </w:tabs>
              <w:outlineLvl w:val="0"/>
              <w:rPr>
                <w:rFonts w:ascii="Arial" w:eastAsia="Calibri" w:hAnsi="Arial" w:cs="Arial"/>
                <w:color w:val="000000" w:themeColor="text1"/>
                <w:spacing w:val="-2"/>
                <w:sz w:val="17"/>
                <w:szCs w:val="17"/>
                <w:lang w:val="hr-HR"/>
              </w:rPr>
            </w:pPr>
            <w:r w:rsidRPr="00C40415">
              <w:rPr>
                <w:rFonts w:ascii="Arial" w:hAnsi="Arial" w:cs="Arial"/>
                <w:color w:val="000000" w:themeColor="text1"/>
                <w:sz w:val="17"/>
                <w:szCs w:val="17"/>
                <w:lang w:val="hr-HR"/>
              </w:rPr>
              <w:t>Upisani a neuplaćeni kapital EIF-a</w:t>
            </w:r>
          </w:p>
        </w:tc>
        <w:tc>
          <w:tcPr>
            <w:tcW w:w="557" w:type="pct"/>
            <w:tcBorders>
              <w:top w:val="nil"/>
              <w:left w:val="nil"/>
              <w:bottom w:val="nil"/>
              <w:right w:val="nil"/>
            </w:tcBorders>
            <w:shd w:val="clear" w:color="auto" w:fill="auto"/>
            <w:vAlign w:val="bottom"/>
          </w:tcPr>
          <w:p w14:paraId="27002168"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lang w:val="it-IT"/>
              </w:rPr>
              <w:t xml:space="preserve"> </w:t>
            </w:r>
            <w:r w:rsidRPr="00C40415">
              <w:rPr>
                <w:rFonts w:ascii="Arial" w:hAnsi="Arial" w:cs="Arial"/>
                <w:color w:val="000000"/>
                <w:sz w:val="17"/>
                <w:szCs w:val="17"/>
              </w:rPr>
              <w:t xml:space="preserve">78.179 </w:t>
            </w:r>
          </w:p>
        </w:tc>
        <w:tc>
          <w:tcPr>
            <w:tcW w:w="557" w:type="pct"/>
            <w:tcBorders>
              <w:top w:val="nil"/>
              <w:left w:val="nil"/>
              <w:bottom w:val="nil"/>
              <w:right w:val="nil"/>
            </w:tcBorders>
            <w:shd w:val="clear" w:color="auto" w:fill="auto"/>
            <w:vAlign w:val="bottom"/>
          </w:tcPr>
          <w:p w14:paraId="4B0E5218"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7F704F36"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129BCB6C"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color w:val="000000"/>
                <w:sz w:val="17"/>
                <w:szCs w:val="17"/>
              </w:rPr>
              <w:t xml:space="preserve"> - </w:t>
            </w:r>
          </w:p>
        </w:tc>
        <w:tc>
          <w:tcPr>
            <w:tcW w:w="556" w:type="pct"/>
            <w:tcBorders>
              <w:top w:val="nil"/>
              <w:left w:val="nil"/>
              <w:bottom w:val="nil"/>
              <w:right w:val="nil"/>
            </w:tcBorders>
            <w:shd w:val="clear" w:color="auto" w:fill="auto"/>
            <w:vAlign w:val="bottom"/>
          </w:tcPr>
          <w:p w14:paraId="7DD7AAFF"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color w:val="000000"/>
                <w:sz w:val="17"/>
                <w:szCs w:val="17"/>
              </w:rPr>
              <w:t xml:space="preserve"> - </w:t>
            </w:r>
          </w:p>
        </w:tc>
        <w:tc>
          <w:tcPr>
            <w:tcW w:w="621" w:type="pct"/>
            <w:tcBorders>
              <w:top w:val="nil"/>
              <w:left w:val="nil"/>
              <w:bottom w:val="nil"/>
              <w:right w:val="nil"/>
            </w:tcBorders>
            <w:shd w:val="clear" w:color="auto" w:fill="auto"/>
            <w:vAlign w:val="bottom"/>
          </w:tcPr>
          <w:p w14:paraId="55C804C0" w14:textId="77777777" w:rsidR="004E2F51" w:rsidRPr="00C40415" w:rsidRDefault="004E2F51" w:rsidP="00E032FC">
            <w:pPr>
              <w:tabs>
                <w:tab w:val="right" w:pos="1202"/>
              </w:tabs>
              <w:spacing w:line="240" w:lineRule="exact"/>
              <w:jc w:val="right"/>
              <w:outlineLvl w:val="0"/>
              <w:rPr>
                <w:rFonts w:ascii="Arial" w:eastAsia="Calibri" w:hAnsi="Arial" w:cs="Arial"/>
                <w:color w:val="000000" w:themeColor="text1"/>
                <w:spacing w:val="-2"/>
                <w:sz w:val="17"/>
                <w:szCs w:val="17"/>
                <w:lang w:val="hr-HR"/>
              </w:rPr>
            </w:pPr>
            <w:r w:rsidRPr="00C40415">
              <w:rPr>
                <w:rFonts w:ascii="Arial" w:hAnsi="Arial" w:cs="Arial"/>
                <w:color w:val="000000"/>
                <w:sz w:val="17"/>
                <w:szCs w:val="17"/>
              </w:rPr>
              <w:t>78.179</w:t>
            </w:r>
          </w:p>
        </w:tc>
      </w:tr>
      <w:tr w:rsidR="004E2F51" w:rsidRPr="00C40415" w14:paraId="6DB3195A" w14:textId="77777777" w:rsidTr="00E032FC">
        <w:trPr>
          <w:trHeight w:hRule="exact" w:val="211"/>
        </w:trPr>
        <w:tc>
          <w:tcPr>
            <w:tcW w:w="1597" w:type="pct"/>
            <w:tcBorders>
              <w:top w:val="nil"/>
              <w:left w:val="nil"/>
              <w:bottom w:val="nil"/>
              <w:right w:val="nil"/>
            </w:tcBorders>
            <w:shd w:val="clear" w:color="auto" w:fill="auto"/>
            <w:vAlign w:val="bottom"/>
          </w:tcPr>
          <w:p w14:paraId="2BB82D0A" w14:textId="77777777" w:rsidR="004E2F51" w:rsidRPr="00C40415" w:rsidRDefault="004E2F51" w:rsidP="00E032FC">
            <w:pPr>
              <w:tabs>
                <w:tab w:val="right" w:pos="1202"/>
              </w:tabs>
              <w:outlineLvl w:val="0"/>
              <w:rPr>
                <w:rFonts w:ascii="Arial" w:hAnsi="Arial" w:cs="Arial"/>
                <w:color w:val="000000" w:themeColor="text1"/>
                <w:sz w:val="17"/>
                <w:szCs w:val="17"/>
                <w:lang w:val="hr-HR"/>
              </w:rPr>
            </w:pPr>
            <w:r w:rsidRPr="00C40415">
              <w:rPr>
                <w:rFonts w:ascii="Arial" w:hAnsi="Arial" w:cs="Arial"/>
                <w:color w:val="000000"/>
                <w:sz w:val="17"/>
                <w:szCs w:val="17"/>
                <w:lang w:val="hr-HR"/>
              </w:rPr>
              <w:t>Ugovorena obveza EIF CROGIP</w:t>
            </w:r>
          </w:p>
        </w:tc>
        <w:tc>
          <w:tcPr>
            <w:tcW w:w="557" w:type="pct"/>
            <w:tcBorders>
              <w:top w:val="nil"/>
              <w:left w:val="nil"/>
              <w:bottom w:val="nil"/>
              <w:right w:val="nil"/>
            </w:tcBorders>
            <w:shd w:val="clear" w:color="auto" w:fill="auto"/>
            <w:vAlign w:val="bottom"/>
          </w:tcPr>
          <w:p w14:paraId="53A4B3F8"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 xml:space="preserve"> - </w:t>
            </w:r>
          </w:p>
        </w:tc>
        <w:tc>
          <w:tcPr>
            <w:tcW w:w="557" w:type="pct"/>
            <w:tcBorders>
              <w:top w:val="nil"/>
              <w:left w:val="nil"/>
              <w:bottom w:val="nil"/>
              <w:right w:val="nil"/>
            </w:tcBorders>
            <w:shd w:val="clear" w:color="auto" w:fill="auto"/>
            <w:vAlign w:val="bottom"/>
          </w:tcPr>
          <w:p w14:paraId="70991B0A" w14:textId="77777777" w:rsidR="004E2F51" w:rsidRPr="00C40415" w:rsidRDefault="004E2F51" w:rsidP="00E032FC">
            <w:pPr>
              <w:jc w:val="right"/>
              <w:rPr>
                <w:rFonts w:ascii="Arial" w:hAnsi="Arial" w:cs="Arial"/>
                <w:color w:val="000000"/>
                <w:sz w:val="17"/>
                <w:szCs w:val="17"/>
              </w:rPr>
            </w:pPr>
            <w:r w:rsidRPr="00C40415">
              <w:rPr>
                <w:rFonts w:ascii="Arial" w:hAnsi="Arial" w:cs="Arial"/>
                <w:color w:val="000000"/>
                <w:sz w:val="17"/>
                <w:szCs w:val="17"/>
              </w:rPr>
              <w:t xml:space="preserve">12.616 </w:t>
            </w:r>
          </w:p>
        </w:tc>
        <w:tc>
          <w:tcPr>
            <w:tcW w:w="556" w:type="pct"/>
            <w:tcBorders>
              <w:top w:val="nil"/>
              <w:left w:val="nil"/>
              <w:bottom w:val="nil"/>
              <w:right w:val="nil"/>
            </w:tcBorders>
            <w:shd w:val="clear" w:color="auto" w:fill="auto"/>
            <w:vAlign w:val="bottom"/>
          </w:tcPr>
          <w:p w14:paraId="3CAF48B1" w14:textId="77777777" w:rsidR="004E2F51" w:rsidRPr="00C40415" w:rsidRDefault="004E2F51" w:rsidP="00E032FC">
            <w:pPr>
              <w:jc w:val="right"/>
              <w:rPr>
                <w:rFonts w:ascii="Arial" w:hAnsi="Arial" w:cs="Arial"/>
                <w:color w:val="000000"/>
                <w:sz w:val="17"/>
                <w:szCs w:val="17"/>
              </w:rPr>
            </w:pPr>
            <w:r w:rsidRPr="00C40415">
              <w:rPr>
                <w:rFonts w:ascii="Arial" w:hAnsi="Arial" w:cs="Arial"/>
                <w:color w:val="000000"/>
                <w:sz w:val="17"/>
                <w:szCs w:val="17"/>
              </w:rPr>
              <w:t xml:space="preserve"> 56.771 </w:t>
            </w:r>
          </w:p>
        </w:tc>
        <w:tc>
          <w:tcPr>
            <w:tcW w:w="556" w:type="pct"/>
            <w:tcBorders>
              <w:top w:val="nil"/>
              <w:left w:val="nil"/>
              <w:bottom w:val="nil"/>
              <w:right w:val="nil"/>
            </w:tcBorders>
            <w:shd w:val="clear" w:color="auto" w:fill="auto"/>
            <w:vAlign w:val="bottom"/>
          </w:tcPr>
          <w:p w14:paraId="2B848418" w14:textId="77777777" w:rsidR="004E2F51" w:rsidRPr="00C40415" w:rsidRDefault="004E2F51" w:rsidP="00E032FC">
            <w:pPr>
              <w:jc w:val="right"/>
              <w:rPr>
                <w:rFonts w:ascii="Arial" w:hAnsi="Arial" w:cs="Arial"/>
                <w:color w:val="000000"/>
                <w:sz w:val="17"/>
                <w:szCs w:val="17"/>
              </w:rPr>
            </w:pPr>
            <w:r w:rsidRPr="00C40415">
              <w:rPr>
                <w:rFonts w:ascii="Arial" w:hAnsi="Arial" w:cs="Arial"/>
                <w:color w:val="000000"/>
                <w:sz w:val="17"/>
                <w:szCs w:val="17"/>
              </w:rPr>
              <w:t xml:space="preserve"> 112.664 </w:t>
            </w:r>
          </w:p>
        </w:tc>
        <w:tc>
          <w:tcPr>
            <w:tcW w:w="556" w:type="pct"/>
            <w:tcBorders>
              <w:top w:val="nil"/>
              <w:left w:val="nil"/>
              <w:bottom w:val="nil"/>
              <w:right w:val="nil"/>
            </w:tcBorders>
            <w:shd w:val="clear" w:color="auto" w:fill="auto"/>
            <w:vAlign w:val="bottom"/>
          </w:tcPr>
          <w:p w14:paraId="15CC65BD" w14:textId="77777777" w:rsidR="004E2F51" w:rsidRPr="00C40415" w:rsidRDefault="004E2F51" w:rsidP="00E032FC">
            <w:pPr>
              <w:jc w:val="right"/>
              <w:rPr>
                <w:rFonts w:ascii="Arial" w:hAnsi="Arial" w:cs="Arial"/>
                <w:color w:val="000000"/>
                <w:sz w:val="17"/>
                <w:szCs w:val="17"/>
              </w:rPr>
            </w:pPr>
            <w:r w:rsidRPr="00C40415">
              <w:rPr>
                <w:rFonts w:ascii="Arial" w:hAnsi="Arial" w:cs="Arial"/>
                <w:color w:val="000000"/>
                <w:sz w:val="17"/>
                <w:szCs w:val="17"/>
              </w:rPr>
              <w:t xml:space="preserve"> 130.438 </w:t>
            </w:r>
          </w:p>
        </w:tc>
        <w:tc>
          <w:tcPr>
            <w:tcW w:w="621" w:type="pct"/>
            <w:tcBorders>
              <w:top w:val="nil"/>
              <w:left w:val="nil"/>
              <w:bottom w:val="nil"/>
              <w:right w:val="nil"/>
            </w:tcBorders>
            <w:shd w:val="clear" w:color="auto" w:fill="auto"/>
            <w:vAlign w:val="bottom"/>
          </w:tcPr>
          <w:p w14:paraId="5D67AF0B"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312.489</w:t>
            </w:r>
          </w:p>
        </w:tc>
      </w:tr>
      <w:tr w:rsidR="004E2F51" w:rsidRPr="00C40415" w14:paraId="3C9B0594" w14:textId="77777777" w:rsidTr="00E032FC">
        <w:trPr>
          <w:trHeight w:hRule="exact" w:val="211"/>
        </w:trPr>
        <w:tc>
          <w:tcPr>
            <w:tcW w:w="1597" w:type="pct"/>
            <w:tcBorders>
              <w:top w:val="nil"/>
              <w:left w:val="nil"/>
              <w:bottom w:val="nil"/>
              <w:right w:val="nil"/>
            </w:tcBorders>
            <w:shd w:val="clear" w:color="auto" w:fill="auto"/>
            <w:vAlign w:val="bottom"/>
          </w:tcPr>
          <w:p w14:paraId="0AE0822B" w14:textId="77777777" w:rsidR="004E2F51" w:rsidRPr="00C40415" w:rsidRDefault="004E2F51" w:rsidP="00E032FC">
            <w:pPr>
              <w:tabs>
                <w:tab w:val="right" w:pos="1202"/>
              </w:tabs>
              <w:outlineLvl w:val="0"/>
              <w:rPr>
                <w:rFonts w:ascii="Arial" w:hAnsi="Arial" w:cs="Arial"/>
                <w:color w:val="000000" w:themeColor="text1"/>
                <w:sz w:val="17"/>
                <w:szCs w:val="17"/>
                <w:lang w:val="hr-HR"/>
              </w:rPr>
            </w:pPr>
            <w:r w:rsidRPr="00C40415">
              <w:rPr>
                <w:rFonts w:ascii="Arial" w:hAnsi="Arial" w:cs="Arial"/>
                <w:color w:val="000000"/>
                <w:sz w:val="17"/>
                <w:szCs w:val="17"/>
                <w:lang w:val="hr-HR"/>
              </w:rPr>
              <w:t>Ugovorena obveza EIF FRC2</w:t>
            </w:r>
          </w:p>
        </w:tc>
        <w:tc>
          <w:tcPr>
            <w:tcW w:w="557" w:type="pct"/>
            <w:tcBorders>
              <w:top w:val="nil"/>
              <w:left w:val="nil"/>
              <w:bottom w:val="single" w:sz="8" w:space="0" w:color="auto"/>
              <w:right w:val="nil"/>
            </w:tcBorders>
            <w:shd w:val="clear" w:color="auto" w:fill="auto"/>
            <w:vAlign w:val="bottom"/>
          </w:tcPr>
          <w:p w14:paraId="61EE5175"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 xml:space="preserve"> 678 </w:t>
            </w:r>
          </w:p>
        </w:tc>
        <w:tc>
          <w:tcPr>
            <w:tcW w:w="557" w:type="pct"/>
            <w:tcBorders>
              <w:top w:val="nil"/>
              <w:left w:val="nil"/>
              <w:bottom w:val="single" w:sz="8" w:space="0" w:color="auto"/>
              <w:right w:val="nil"/>
            </w:tcBorders>
            <w:shd w:val="clear" w:color="auto" w:fill="auto"/>
            <w:vAlign w:val="bottom"/>
          </w:tcPr>
          <w:p w14:paraId="0EB7EB4B" w14:textId="77777777" w:rsidR="004E2F51" w:rsidRPr="00C40415" w:rsidRDefault="004E2F51" w:rsidP="00E032FC">
            <w:pPr>
              <w:jc w:val="right"/>
              <w:rPr>
                <w:rFonts w:ascii="Arial" w:hAnsi="Arial" w:cs="Arial"/>
                <w:color w:val="000000"/>
                <w:sz w:val="17"/>
                <w:szCs w:val="17"/>
              </w:rPr>
            </w:pPr>
            <w:r w:rsidRPr="00C40415">
              <w:rPr>
                <w:rFonts w:ascii="Arial" w:hAnsi="Arial" w:cs="Arial"/>
                <w:color w:val="000000"/>
                <w:sz w:val="17"/>
                <w:szCs w:val="17"/>
              </w:rPr>
              <w:t xml:space="preserve"> 532 </w:t>
            </w:r>
          </w:p>
        </w:tc>
        <w:tc>
          <w:tcPr>
            <w:tcW w:w="556" w:type="pct"/>
            <w:tcBorders>
              <w:top w:val="nil"/>
              <w:left w:val="nil"/>
              <w:bottom w:val="single" w:sz="8" w:space="0" w:color="auto"/>
              <w:right w:val="nil"/>
            </w:tcBorders>
            <w:shd w:val="clear" w:color="auto" w:fill="auto"/>
            <w:vAlign w:val="bottom"/>
          </w:tcPr>
          <w:p w14:paraId="40CA6467" w14:textId="77777777" w:rsidR="004E2F51" w:rsidRPr="00C40415" w:rsidRDefault="004E2F51" w:rsidP="00E032FC">
            <w:pPr>
              <w:jc w:val="right"/>
              <w:rPr>
                <w:rFonts w:ascii="Arial" w:hAnsi="Arial" w:cs="Arial"/>
                <w:color w:val="000000"/>
                <w:sz w:val="17"/>
                <w:szCs w:val="17"/>
              </w:rPr>
            </w:pPr>
            <w:r w:rsidRPr="00C40415">
              <w:rPr>
                <w:rFonts w:ascii="Arial" w:hAnsi="Arial" w:cs="Arial"/>
                <w:color w:val="000000"/>
                <w:sz w:val="17"/>
                <w:szCs w:val="17"/>
              </w:rPr>
              <w:t xml:space="preserve">2.393 </w:t>
            </w:r>
          </w:p>
        </w:tc>
        <w:tc>
          <w:tcPr>
            <w:tcW w:w="556" w:type="pct"/>
            <w:tcBorders>
              <w:top w:val="nil"/>
              <w:left w:val="nil"/>
              <w:bottom w:val="single" w:sz="8" w:space="0" w:color="auto"/>
              <w:right w:val="nil"/>
            </w:tcBorders>
            <w:shd w:val="clear" w:color="auto" w:fill="auto"/>
            <w:vAlign w:val="bottom"/>
          </w:tcPr>
          <w:p w14:paraId="2F7A9A30" w14:textId="77777777" w:rsidR="004E2F51" w:rsidRPr="00C40415" w:rsidRDefault="004E2F51" w:rsidP="00E032FC">
            <w:pPr>
              <w:jc w:val="right"/>
              <w:rPr>
                <w:rFonts w:ascii="Arial" w:hAnsi="Arial" w:cs="Arial"/>
                <w:color w:val="000000"/>
                <w:sz w:val="17"/>
                <w:szCs w:val="17"/>
              </w:rPr>
            </w:pPr>
            <w:r w:rsidRPr="00C40415">
              <w:rPr>
                <w:rFonts w:ascii="Arial" w:hAnsi="Arial" w:cs="Arial"/>
                <w:color w:val="000000"/>
                <w:sz w:val="17"/>
                <w:szCs w:val="17"/>
              </w:rPr>
              <w:t xml:space="preserve"> 2.171 </w:t>
            </w:r>
          </w:p>
        </w:tc>
        <w:tc>
          <w:tcPr>
            <w:tcW w:w="556" w:type="pct"/>
            <w:tcBorders>
              <w:top w:val="nil"/>
              <w:left w:val="nil"/>
              <w:bottom w:val="single" w:sz="8" w:space="0" w:color="auto"/>
              <w:right w:val="nil"/>
            </w:tcBorders>
            <w:shd w:val="clear" w:color="auto" w:fill="auto"/>
            <w:vAlign w:val="bottom"/>
          </w:tcPr>
          <w:p w14:paraId="0D79E3F4" w14:textId="77777777" w:rsidR="004E2F51" w:rsidRPr="00C40415" w:rsidRDefault="004E2F51" w:rsidP="00E032FC">
            <w:pPr>
              <w:jc w:val="right"/>
              <w:rPr>
                <w:rFonts w:ascii="Arial" w:hAnsi="Arial" w:cs="Arial"/>
                <w:color w:val="000000"/>
                <w:sz w:val="17"/>
                <w:szCs w:val="17"/>
              </w:rPr>
            </w:pPr>
            <w:r w:rsidRPr="00C40415">
              <w:rPr>
                <w:rFonts w:ascii="Arial" w:hAnsi="Arial" w:cs="Arial"/>
                <w:color w:val="000000"/>
                <w:sz w:val="17"/>
                <w:szCs w:val="17"/>
              </w:rPr>
              <w:t xml:space="preserve"> 469 </w:t>
            </w:r>
          </w:p>
        </w:tc>
        <w:tc>
          <w:tcPr>
            <w:tcW w:w="621" w:type="pct"/>
            <w:tcBorders>
              <w:top w:val="nil"/>
              <w:left w:val="nil"/>
              <w:bottom w:val="single" w:sz="8" w:space="0" w:color="auto"/>
              <w:right w:val="nil"/>
            </w:tcBorders>
            <w:shd w:val="clear" w:color="auto" w:fill="auto"/>
            <w:vAlign w:val="bottom"/>
          </w:tcPr>
          <w:p w14:paraId="182ACA2E" w14:textId="77777777" w:rsidR="004E2F51" w:rsidRPr="00C40415" w:rsidRDefault="004E2F51" w:rsidP="00E032FC">
            <w:pPr>
              <w:tabs>
                <w:tab w:val="right" w:pos="1202"/>
              </w:tabs>
              <w:spacing w:line="240" w:lineRule="exact"/>
              <w:jc w:val="right"/>
              <w:outlineLvl w:val="0"/>
              <w:rPr>
                <w:rFonts w:ascii="Arial" w:hAnsi="Arial" w:cs="Arial"/>
                <w:color w:val="000000"/>
                <w:sz w:val="17"/>
                <w:szCs w:val="17"/>
              </w:rPr>
            </w:pPr>
            <w:r w:rsidRPr="00C40415">
              <w:rPr>
                <w:rFonts w:ascii="Arial" w:hAnsi="Arial" w:cs="Arial"/>
                <w:color w:val="000000"/>
                <w:sz w:val="17"/>
                <w:szCs w:val="17"/>
              </w:rPr>
              <w:t>6.243</w:t>
            </w:r>
          </w:p>
        </w:tc>
      </w:tr>
      <w:tr w:rsidR="004E2F51" w:rsidRPr="00C40415" w14:paraId="107324E3" w14:textId="77777777" w:rsidTr="00E032FC">
        <w:trPr>
          <w:trHeight w:hRule="exact" w:val="265"/>
        </w:trPr>
        <w:tc>
          <w:tcPr>
            <w:tcW w:w="1597" w:type="pct"/>
            <w:tcBorders>
              <w:top w:val="nil"/>
              <w:left w:val="nil"/>
              <w:bottom w:val="nil"/>
              <w:right w:val="nil"/>
            </w:tcBorders>
            <w:shd w:val="clear" w:color="auto" w:fill="auto"/>
            <w:vAlign w:val="center"/>
          </w:tcPr>
          <w:p w14:paraId="2231C174" w14:textId="77777777" w:rsidR="004E2F51" w:rsidRPr="00C40415" w:rsidRDefault="004E2F51" w:rsidP="00E032FC">
            <w:pPr>
              <w:tabs>
                <w:tab w:val="right" w:pos="1202"/>
              </w:tabs>
              <w:outlineLvl w:val="0"/>
              <w:rPr>
                <w:rFonts w:ascii="Arial" w:eastAsia="Calibri" w:hAnsi="Arial" w:cs="Arial"/>
                <w:color w:val="000000" w:themeColor="text1"/>
                <w:spacing w:val="-2"/>
                <w:sz w:val="17"/>
                <w:szCs w:val="17"/>
                <w:lang w:val="hr-HR"/>
              </w:rPr>
            </w:pPr>
            <w:r w:rsidRPr="00C40415">
              <w:rPr>
                <w:rFonts w:ascii="Arial" w:hAnsi="Arial" w:cs="Arial"/>
                <w:b/>
                <w:bCs/>
                <w:color w:val="000000" w:themeColor="text1"/>
                <w:sz w:val="17"/>
                <w:szCs w:val="17"/>
                <w:lang w:val="hr-HR"/>
              </w:rPr>
              <w:t>Ukupne garancije i preuzete obveze</w:t>
            </w:r>
          </w:p>
        </w:tc>
        <w:tc>
          <w:tcPr>
            <w:tcW w:w="557" w:type="pct"/>
            <w:tcBorders>
              <w:top w:val="single" w:sz="8" w:space="0" w:color="auto"/>
              <w:left w:val="nil"/>
              <w:bottom w:val="single" w:sz="12" w:space="0" w:color="auto"/>
              <w:right w:val="nil"/>
            </w:tcBorders>
            <w:shd w:val="clear" w:color="auto" w:fill="auto"/>
            <w:vAlign w:val="bottom"/>
          </w:tcPr>
          <w:p w14:paraId="69D74BF1"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r w:rsidRPr="00C40415">
              <w:rPr>
                <w:rFonts w:ascii="Arial" w:hAnsi="Arial" w:cs="Arial"/>
                <w:b/>
                <w:bCs/>
                <w:color w:val="000000"/>
                <w:sz w:val="17"/>
                <w:szCs w:val="17"/>
              </w:rPr>
              <w:t>4.066.553</w:t>
            </w:r>
          </w:p>
        </w:tc>
        <w:tc>
          <w:tcPr>
            <w:tcW w:w="557" w:type="pct"/>
            <w:tcBorders>
              <w:top w:val="single" w:sz="8" w:space="0" w:color="auto"/>
              <w:left w:val="nil"/>
              <w:bottom w:val="single" w:sz="12" w:space="0" w:color="auto"/>
              <w:right w:val="nil"/>
            </w:tcBorders>
            <w:shd w:val="clear" w:color="auto" w:fill="auto"/>
            <w:vAlign w:val="bottom"/>
          </w:tcPr>
          <w:p w14:paraId="03893D5D"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b/>
                <w:bCs/>
                <w:color w:val="000000"/>
                <w:sz w:val="17"/>
                <w:szCs w:val="17"/>
              </w:rPr>
              <w:t>13.148</w:t>
            </w:r>
          </w:p>
        </w:tc>
        <w:tc>
          <w:tcPr>
            <w:tcW w:w="556" w:type="pct"/>
            <w:tcBorders>
              <w:top w:val="single" w:sz="8" w:space="0" w:color="auto"/>
              <w:left w:val="nil"/>
              <w:bottom w:val="single" w:sz="12" w:space="0" w:color="auto"/>
              <w:right w:val="nil"/>
            </w:tcBorders>
            <w:shd w:val="clear" w:color="auto" w:fill="auto"/>
            <w:vAlign w:val="bottom"/>
          </w:tcPr>
          <w:p w14:paraId="4303BFF9"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b/>
                <w:bCs/>
                <w:color w:val="000000"/>
                <w:sz w:val="17"/>
                <w:szCs w:val="17"/>
              </w:rPr>
              <w:t>59.164</w:t>
            </w:r>
          </w:p>
        </w:tc>
        <w:tc>
          <w:tcPr>
            <w:tcW w:w="556" w:type="pct"/>
            <w:tcBorders>
              <w:top w:val="single" w:sz="8" w:space="0" w:color="auto"/>
              <w:left w:val="nil"/>
              <w:bottom w:val="single" w:sz="12" w:space="0" w:color="auto"/>
              <w:right w:val="nil"/>
            </w:tcBorders>
            <w:shd w:val="clear" w:color="auto" w:fill="auto"/>
            <w:vAlign w:val="bottom"/>
          </w:tcPr>
          <w:p w14:paraId="01E88D3A"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b/>
                <w:bCs/>
                <w:color w:val="000000"/>
                <w:sz w:val="17"/>
                <w:szCs w:val="17"/>
              </w:rPr>
              <w:t>114.835</w:t>
            </w:r>
          </w:p>
        </w:tc>
        <w:tc>
          <w:tcPr>
            <w:tcW w:w="556" w:type="pct"/>
            <w:tcBorders>
              <w:top w:val="single" w:sz="8" w:space="0" w:color="auto"/>
              <w:left w:val="nil"/>
              <w:bottom w:val="single" w:sz="12" w:space="0" w:color="auto"/>
              <w:right w:val="nil"/>
            </w:tcBorders>
            <w:shd w:val="clear" w:color="auto" w:fill="auto"/>
            <w:vAlign w:val="bottom"/>
          </w:tcPr>
          <w:p w14:paraId="517E8E69" w14:textId="77777777" w:rsidR="004E2F51" w:rsidRPr="00C40415" w:rsidRDefault="004E2F51" w:rsidP="00E032FC">
            <w:pPr>
              <w:jc w:val="right"/>
              <w:rPr>
                <w:rFonts w:ascii="Arial" w:hAnsi="Arial" w:cs="Arial"/>
                <w:color w:val="000000" w:themeColor="text1"/>
                <w:sz w:val="17"/>
                <w:szCs w:val="17"/>
              </w:rPr>
            </w:pPr>
            <w:r w:rsidRPr="00C40415">
              <w:rPr>
                <w:rFonts w:ascii="Arial" w:hAnsi="Arial" w:cs="Arial"/>
                <w:b/>
                <w:bCs/>
                <w:color w:val="000000"/>
                <w:sz w:val="17"/>
                <w:szCs w:val="17"/>
              </w:rPr>
              <w:t>130.907</w:t>
            </w:r>
          </w:p>
        </w:tc>
        <w:tc>
          <w:tcPr>
            <w:tcW w:w="621" w:type="pct"/>
            <w:tcBorders>
              <w:top w:val="single" w:sz="8" w:space="0" w:color="auto"/>
              <w:left w:val="nil"/>
              <w:bottom w:val="single" w:sz="12" w:space="0" w:color="auto"/>
              <w:right w:val="nil"/>
            </w:tcBorders>
            <w:shd w:val="clear" w:color="auto" w:fill="auto"/>
            <w:vAlign w:val="bottom"/>
          </w:tcPr>
          <w:p w14:paraId="7F2A2FA7" w14:textId="77777777" w:rsidR="004E2F51" w:rsidRPr="00C40415" w:rsidRDefault="004E2F51" w:rsidP="00E032FC">
            <w:pPr>
              <w:tabs>
                <w:tab w:val="right" w:pos="1202"/>
              </w:tabs>
              <w:jc w:val="right"/>
              <w:outlineLvl w:val="0"/>
              <w:rPr>
                <w:rFonts w:ascii="Arial" w:hAnsi="Arial" w:cs="Arial"/>
                <w:b/>
                <w:color w:val="000000" w:themeColor="text1"/>
                <w:sz w:val="17"/>
                <w:szCs w:val="17"/>
                <w:lang w:val="hr-HR"/>
              </w:rPr>
            </w:pPr>
            <w:r w:rsidRPr="00C40415">
              <w:rPr>
                <w:rFonts w:ascii="Arial" w:hAnsi="Arial" w:cs="Arial"/>
                <w:b/>
                <w:bCs/>
                <w:color w:val="000000"/>
                <w:sz w:val="17"/>
                <w:szCs w:val="17"/>
              </w:rPr>
              <w:t>4.384.607</w:t>
            </w:r>
          </w:p>
        </w:tc>
      </w:tr>
    </w:tbl>
    <w:p w14:paraId="2C5ADED3" w14:textId="77777777" w:rsidR="004E2F51" w:rsidRPr="00100ED3" w:rsidRDefault="004E2F51" w:rsidP="004E2F51">
      <w:pPr>
        <w:pStyle w:val="T1"/>
        <w:keepNext w:val="0"/>
        <w:spacing w:before="0" w:after="0" w:line="240" w:lineRule="auto"/>
        <w:rPr>
          <w:rFonts w:cs="Arial"/>
          <w:color w:val="000000" w:themeColor="text1"/>
          <w:sz w:val="20"/>
          <w:lang w:val="hr-HR"/>
        </w:rPr>
      </w:pPr>
    </w:p>
    <w:p w14:paraId="35230DA2" w14:textId="77777777" w:rsidR="004E2F51" w:rsidRPr="00100ED3" w:rsidRDefault="004E2F51" w:rsidP="004E2F51">
      <w:pPr>
        <w:pStyle w:val="T1"/>
        <w:keepNext w:val="0"/>
        <w:spacing w:before="0" w:after="0" w:line="240" w:lineRule="auto"/>
        <w:rPr>
          <w:rFonts w:cs="Arial"/>
          <w:color w:val="000000" w:themeColor="text1"/>
          <w:sz w:val="20"/>
          <w:lang w:val="hr-HR"/>
        </w:rPr>
      </w:pPr>
    </w:p>
    <w:p w14:paraId="1CCED68C" w14:textId="77777777" w:rsidR="004E2F51" w:rsidRPr="00100ED3" w:rsidRDefault="004E2F51" w:rsidP="004E2F51">
      <w:pPr>
        <w:pStyle w:val="T1"/>
        <w:keepNext w:val="0"/>
        <w:spacing w:before="0" w:after="0" w:line="240" w:lineRule="auto"/>
        <w:rPr>
          <w:rFonts w:cs="Arial"/>
          <w:color w:val="000000" w:themeColor="text1"/>
          <w:sz w:val="20"/>
          <w:lang w:val="hr-HR"/>
        </w:rPr>
      </w:pPr>
    </w:p>
    <w:p w14:paraId="46097267" w14:textId="77777777" w:rsidR="004E2F51" w:rsidRPr="00B91D09" w:rsidRDefault="004E2F51" w:rsidP="004E2F51">
      <w:pPr>
        <w:pStyle w:val="T1"/>
        <w:keepNext w:val="0"/>
        <w:rPr>
          <w:rFonts w:cs="Arial"/>
          <w:color w:val="000000" w:themeColor="text1"/>
          <w:sz w:val="22"/>
          <w:szCs w:val="22"/>
          <w:lang w:val="hr-HR"/>
        </w:rPr>
        <w:sectPr w:rsidR="004E2F51" w:rsidRPr="00B91D09" w:rsidSect="00623DBA">
          <w:footerReference w:type="default" r:id="rId208"/>
          <w:pgSz w:w="11907" w:h="16840" w:code="9"/>
          <w:pgMar w:top="1418" w:right="1134" w:bottom="1134" w:left="1418" w:header="851" w:footer="851" w:gutter="0"/>
          <w:cols w:space="720"/>
          <w:noEndnote/>
        </w:sectPr>
      </w:pPr>
    </w:p>
    <w:p w14:paraId="7376C670" w14:textId="77777777" w:rsidR="004E2F51" w:rsidRPr="00D47D1C" w:rsidRDefault="004E2F51" w:rsidP="004E2F51">
      <w:pPr>
        <w:pStyle w:val="T1"/>
        <w:tabs>
          <w:tab w:val="left" w:pos="709"/>
          <w:tab w:val="left" w:pos="851"/>
        </w:tabs>
        <w:spacing w:before="0" w:after="0" w:line="240" w:lineRule="auto"/>
        <w:rPr>
          <w:rFonts w:cs="Arial"/>
          <w:color w:val="000000" w:themeColor="text1"/>
          <w:sz w:val="20"/>
          <w:lang w:val="hr-HR"/>
        </w:rPr>
      </w:pPr>
    </w:p>
    <w:p w14:paraId="2EA79B8B" w14:textId="77777777" w:rsidR="004E2F51" w:rsidRPr="00D47D1C" w:rsidRDefault="004E2F51" w:rsidP="004E2F51">
      <w:pPr>
        <w:pStyle w:val="T1"/>
        <w:tabs>
          <w:tab w:val="left" w:pos="709"/>
          <w:tab w:val="left" w:pos="851"/>
        </w:tabs>
        <w:spacing w:before="0" w:after="0" w:line="240" w:lineRule="auto"/>
        <w:rPr>
          <w:rFonts w:cs="Arial"/>
          <w:color w:val="000000" w:themeColor="text1"/>
          <w:sz w:val="20"/>
          <w:lang w:val="hr-HR"/>
        </w:rPr>
      </w:pPr>
      <w:r w:rsidRPr="00D47D1C">
        <w:rPr>
          <w:rFonts w:cs="Arial"/>
          <w:color w:val="000000" w:themeColor="text1"/>
          <w:sz w:val="20"/>
          <w:lang w:val="hr-HR"/>
        </w:rPr>
        <w:t>3</w:t>
      </w:r>
      <w:r>
        <w:rPr>
          <w:rFonts w:cs="Arial"/>
          <w:color w:val="000000" w:themeColor="text1"/>
          <w:sz w:val="20"/>
          <w:lang w:val="hr-HR"/>
        </w:rPr>
        <w:t>1</w:t>
      </w:r>
      <w:r w:rsidRPr="00D47D1C">
        <w:rPr>
          <w:rFonts w:cs="Arial"/>
          <w:color w:val="000000" w:themeColor="text1"/>
          <w:sz w:val="20"/>
          <w:lang w:val="hr-HR"/>
        </w:rPr>
        <w:t>.        Upravljanje rizicima (nastavak)</w:t>
      </w:r>
    </w:p>
    <w:p w14:paraId="6F06E9DA" w14:textId="77777777" w:rsidR="004E2F51" w:rsidRPr="00D47D1C" w:rsidRDefault="004E2F51" w:rsidP="004E2F51">
      <w:pPr>
        <w:pStyle w:val="T1"/>
        <w:spacing w:before="0" w:after="0" w:line="240" w:lineRule="auto"/>
        <w:rPr>
          <w:rFonts w:cs="Arial"/>
          <w:color w:val="000000" w:themeColor="text1"/>
          <w:sz w:val="20"/>
          <w:lang w:val="hr-HR"/>
        </w:rPr>
      </w:pPr>
    </w:p>
    <w:p w14:paraId="77463F89" w14:textId="77777777" w:rsidR="004E2F51" w:rsidRPr="00D47D1C" w:rsidRDefault="004E2F51" w:rsidP="004E2F51">
      <w:pPr>
        <w:pStyle w:val="T1"/>
        <w:spacing w:before="0" w:after="0" w:line="240" w:lineRule="auto"/>
        <w:rPr>
          <w:rFonts w:cs="Arial"/>
          <w:color w:val="000000" w:themeColor="text1"/>
          <w:sz w:val="20"/>
          <w:lang w:val="hr-HR"/>
        </w:rPr>
      </w:pPr>
      <w:r w:rsidRPr="00D47D1C">
        <w:rPr>
          <w:rFonts w:cs="Arial"/>
          <w:color w:val="000000" w:themeColor="text1"/>
          <w:sz w:val="20"/>
          <w:lang w:val="hr-HR"/>
        </w:rPr>
        <w:t>3</w:t>
      </w:r>
      <w:r>
        <w:rPr>
          <w:rFonts w:cs="Arial"/>
          <w:color w:val="000000" w:themeColor="text1"/>
          <w:sz w:val="20"/>
          <w:lang w:val="hr-HR"/>
        </w:rPr>
        <w:t>1</w:t>
      </w:r>
      <w:r w:rsidRPr="00D47D1C">
        <w:rPr>
          <w:rFonts w:cs="Arial"/>
          <w:color w:val="000000" w:themeColor="text1"/>
          <w:sz w:val="20"/>
          <w:lang w:val="hr-HR"/>
        </w:rPr>
        <w:t>.5.     Tržišni rizici</w:t>
      </w:r>
    </w:p>
    <w:p w14:paraId="5D0067F9" w14:textId="77777777" w:rsidR="004E2F51" w:rsidRPr="00D47D1C" w:rsidRDefault="004E2F51" w:rsidP="004E2F51">
      <w:pPr>
        <w:keepNext/>
        <w:jc w:val="both"/>
        <w:rPr>
          <w:rFonts w:ascii="Arial" w:hAnsi="Arial" w:cs="Arial"/>
          <w:color w:val="000000" w:themeColor="text1"/>
          <w:sz w:val="20"/>
          <w:szCs w:val="20"/>
          <w:lang w:val="hr-HR"/>
        </w:rPr>
      </w:pPr>
    </w:p>
    <w:p w14:paraId="73A1A960" w14:textId="77777777" w:rsidR="004E2F51" w:rsidRPr="00D47D1C" w:rsidRDefault="004E2F51" w:rsidP="004E2F51">
      <w:pPr>
        <w:keepNext/>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 xml:space="preserve">Upravljanje tržišnim rizicima u Banci podrazumijeva svođenje kamatnog rizika i valutnog rizika na najmanju mjeru.  </w:t>
      </w:r>
    </w:p>
    <w:p w14:paraId="1BEBB3A0" w14:textId="77777777" w:rsidR="004E2F51" w:rsidRPr="00D47D1C" w:rsidRDefault="004E2F51" w:rsidP="004E2F51">
      <w:pPr>
        <w:tabs>
          <w:tab w:val="left" w:pos="-720"/>
          <w:tab w:val="left" w:pos="709"/>
        </w:tabs>
        <w:rPr>
          <w:rFonts w:ascii="Arial" w:hAnsi="Arial" w:cs="Arial"/>
          <w:b/>
          <w:color w:val="000000" w:themeColor="text1"/>
          <w:spacing w:val="-3"/>
          <w:sz w:val="20"/>
          <w:szCs w:val="20"/>
          <w:lang w:val="hr-HR"/>
        </w:rPr>
      </w:pPr>
    </w:p>
    <w:p w14:paraId="3C56BC65" w14:textId="77777777" w:rsidR="004E2F51" w:rsidRPr="00D47D1C" w:rsidRDefault="004E2F51" w:rsidP="004E2F51">
      <w:pPr>
        <w:tabs>
          <w:tab w:val="left" w:pos="-720"/>
          <w:tab w:val="left" w:pos="709"/>
        </w:tabs>
        <w:rPr>
          <w:rFonts w:ascii="Arial" w:hAnsi="Arial" w:cs="Arial"/>
          <w:b/>
          <w:color w:val="000000" w:themeColor="text1"/>
          <w:spacing w:val="-3"/>
          <w:sz w:val="20"/>
          <w:szCs w:val="20"/>
          <w:lang w:val="hr-HR"/>
        </w:rPr>
      </w:pPr>
      <w:r w:rsidRPr="00D47D1C">
        <w:rPr>
          <w:rFonts w:ascii="Arial" w:hAnsi="Arial" w:cs="Arial"/>
          <w:b/>
          <w:color w:val="000000" w:themeColor="text1"/>
          <w:spacing w:val="-3"/>
          <w:sz w:val="20"/>
          <w:szCs w:val="20"/>
          <w:lang w:val="hr-HR"/>
        </w:rPr>
        <w:t>3</w:t>
      </w:r>
      <w:r>
        <w:rPr>
          <w:rFonts w:ascii="Arial" w:hAnsi="Arial" w:cs="Arial"/>
          <w:b/>
          <w:color w:val="000000" w:themeColor="text1"/>
          <w:spacing w:val="-3"/>
          <w:sz w:val="20"/>
          <w:szCs w:val="20"/>
          <w:lang w:val="hr-HR"/>
        </w:rPr>
        <w:t>1</w:t>
      </w:r>
      <w:r w:rsidRPr="00D47D1C">
        <w:rPr>
          <w:rFonts w:ascii="Arial" w:hAnsi="Arial" w:cs="Arial"/>
          <w:b/>
          <w:color w:val="000000" w:themeColor="text1"/>
          <w:spacing w:val="-3"/>
          <w:sz w:val="20"/>
          <w:szCs w:val="20"/>
          <w:lang w:val="hr-HR"/>
        </w:rPr>
        <w:t xml:space="preserve">.5.1.  Kamatni rizik </w:t>
      </w:r>
    </w:p>
    <w:p w14:paraId="66863C2A" w14:textId="77777777" w:rsidR="004E2F51" w:rsidRPr="00D47D1C" w:rsidRDefault="004E2F51" w:rsidP="004E2F51">
      <w:pPr>
        <w:tabs>
          <w:tab w:val="left" w:pos="-720"/>
          <w:tab w:val="left" w:pos="709"/>
        </w:tabs>
        <w:rPr>
          <w:rFonts w:ascii="Arial" w:hAnsi="Arial" w:cs="Arial"/>
          <w:b/>
          <w:color w:val="000000" w:themeColor="text1"/>
          <w:spacing w:val="-3"/>
          <w:sz w:val="20"/>
          <w:szCs w:val="20"/>
          <w:lang w:val="hr-HR"/>
        </w:rPr>
      </w:pPr>
    </w:p>
    <w:p w14:paraId="46BF106B" w14:textId="77777777" w:rsidR="004E2F51" w:rsidRPr="00D47D1C" w:rsidRDefault="004E2F51" w:rsidP="004E2F51">
      <w:pPr>
        <w:jc w:val="both"/>
        <w:rPr>
          <w:rFonts w:ascii="Arial" w:hAnsi="Arial" w:cs="Arial"/>
          <w:iCs/>
          <w:color w:val="000000" w:themeColor="text1"/>
          <w:sz w:val="20"/>
          <w:szCs w:val="20"/>
          <w:lang w:val="hr-HR"/>
        </w:rPr>
      </w:pPr>
      <w:r w:rsidRPr="00D47D1C">
        <w:rPr>
          <w:rFonts w:ascii="Arial" w:hAnsi="Arial" w:cs="Arial"/>
          <w:iCs/>
          <w:color w:val="000000" w:themeColor="text1"/>
          <w:sz w:val="20"/>
          <w:szCs w:val="20"/>
          <w:lang w:val="hr-HR"/>
        </w:rPr>
        <w:t>Tabele u nastavku prikazuju osjetljivost Grupe na rizik kamatnih stopa na dan 31. prosinca 202</w:t>
      </w:r>
      <w:r>
        <w:rPr>
          <w:rFonts w:ascii="Arial" w:hAnsi="Arial" w:cs="Arial"/>
          <w:iCs/>
          <w:color w:val="000000" w:themeColor="text1"/>
          <w:sz w:val="20"/>
          <w:szCs w:val="20"/>
          <w:lang w:val="hr-HR"/>
        </w:rPr>
        <w:t>2</w:t>
      </w:r>
      <w:r w:rsidRPr="00D47D1C">
        <w:rPr>
          <w:rFonts w:ascii="Arial" w:hAnsi="Arial" w:cs="Arial"/>
          <w:iCs/>
          <w:color w:val="000000" w:themeColor="text1"/>
          <w:sz w:val="20"/>
          <w:szCs w:val="20"/>
          <w:lang w:val="hr-HR"/>
        </w:rPr>
        <w:t>. i 31. prosinca 202</w:t>
      </w:r>
      <w:r>
        <w:rPr>
          <w:rFonts w:ascii="Arial" w:hAnsi="Arial" w:cs="Arial"/>
          <w:iCs/>
          <w:color w:val="000000" w:themeColor="text1"/>
          <w:sz w:val="20"/>
          <w:szCs w:val="20"/>
          <w:lang w:val="hr-HR"/>
        </w:rPr>
        <w:t>1</w:t>
      </w:r>
      <w:r w:rsidRPr="00D47D1C">
        <w:rPr>
          <w:rFonts w:ascii="Arial" w:hAnsi="Arial" w:cs="Arial"/>
          <w:iCs/>
          <w:color w:val="000000" w:themeColor="text1"/>
          <w:sz w:val="20"/>
          <w:szCs w:val="20"/>
          <w:lang w:val="hr-HR"/>
        </w:rPr>
        <w:t>. na temelju poznatih datuma promjene cijena imovine i obveza na koje se primjenjuju promjenjive i fiksne kamatne stope. Razdoblja promjena kamatnih stopa određena su na osnovi preostale ročnosti i ugovornog razdoblja promjena kamatnih stopa, ovisno o tome što je kraće.</w:t>
      </w:r>
    </w:p>
    <w:p w14:paraId="2AE5A7B3" w14:textId="77777777" w:rsidR="004E2F51" w:rsidRPr="00D47D1C" w:rsidRDefault="004E2F51" w:rsidP="004E2F51">
      <w:pPr>
        <w:jc w:val="both"/>
        <w:rPr>
          <w:rFonts w:ascii="Arial" w:hAnsi="Arial" w:cs="Arial"/>
          <w:iCs/>
          <w:color w:val="000000" w:themeColor="text1"/>
          <w:sz w:val="20"/>
          <w:szCs w:val="20"/>
          <w:lang w:val="hr-HR"/>
        </w:rPr>
      </w:pPr>
    </w:p>
    <w:p w14:paraId="475F34CD" w14:textId="77777777" w:rsidR="004E2F51" w:rsidRPr="00D47D1C" w:rsidRDefault="004E2F51" w:rsidP="004E2F51">
      <w:pPr>
        <w:jc w:val="both"/>
        <w:rPr>
          <w:rFonts w:ascii="Arial" w:hAnsi="Arial" w:cs="Arial"/>
          <w:iCs/>
          <w:color w:val="000000" w:themeColor="text1"/>
          <w:sz w:val="20"/>
          <w:szCs w:val="20"/>
          <w:lang w:val="hr-HR"/>
        </w:rPr>
      </w:pPr>
      <w:r w:rsidRPr="00D47D1C">
        <w:rPr>
          <w:rFonts w:ascii="Arial" w:hAnsi="Arial" w:cs="Arial"/>
          <w:iCs/>
          <w:color w:val="000000" w:themeColor="text1"/>
          <w:sz w:val="20"/>
          <w:szCs w:val="20"/>
          <w:lang w:val="hr-HR"/>
        </w:rPr>
        <w:t xml:space="preserve">Imovina i obveze na koje se ne primjenjuje kamatna stopa svrstani su u okviru kategorije </w:t>
      </w:r>
      <w:r w:rsidRPr="00D47D1C">
        <w:rPr>
          <w:rFonts w:ascii="Arial" w:hAnsi="Arial" w:cs="Arial"/>
          <w:color w:val="000000" w:themeColor="text1"/>
          <w:sz w:val="20"/>
          <w:szCs w:val="20"/>
          <w:lang w:val="hr-HR"/>
        </w:rPr>
        <w:t>‘</w:t>
      </w:r>
      <w:r w:rsidRPr="00D47D1C">
        <w:rPr>
          <w:rFonts w:ascii="Arial" w:hAnsi="Arial" w:cs="Arial"/>
          <w:iCs/>
          <w:color w:val="000000" w:themeColor="text1"/>
          <w:sz w:val="20"/>
          <w:szCs w:val="20"/>
          <w:lang w:val="hr-HR"/>
        </w:rPr>
        <w:t>Beskamatno</w:t>
      </w:r>
      <w:r w:rsidRPr="00D47D1C">
        <w:rPr>
          <w:rFonts w:ascii="Arial" w:hAnsi="Arial" w:cs="Arial"/>
          <w:color w:val="000000" w:themeColor="text1"/>
          <w:sz w:val="20"/>
          <w:szCs w:val="20"/>
          <w:lang w:val="hr-HR"/>
        </w:rPr>
        <w:t>‘</w:t>
      </w:r>
      <w:r w:rsidRPr="00D47D1C">
        <w:rPr>
          <w:rFonts w:ascii="Arial" w:hAnsi="Arial" w:cs="Arial"/>
          <w:iCs/>
          <w:color w:val="000000" w:themeColor="text1"/>
          <w:sz w:val="20"/>
          <w:szCs w:val="20"/>
          <w:lang w:val="hr-HR"/>
        </w:rPr>
        <w:t>.</w:t>
      </w:r>
    </w:p>
    <w:p w14:paraId="2A796DD9" w14:textId="77777777" w:rsidR="004E2F51" w:rsidRDefault="004E2F51" w:rsidP="004E2F51">
      <w:pPr>
        <w:tabs>
          <w:tab w:val="left" w:pos="-720"/>
        </w:tabs>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Tabele u nastavku prikazuju procjenu o izloženosti kamatnom riziku Grupe na dan 31. prosinca 202</w:t>
      </w:r>
      <w:r>
        <w:rPr>
          <w:rFonts w:ascii="Arial" w:hAnsi="Arial" w:cs="Arial"/>
          <w:color w:val="000000" w:themeColor="text1"/>
          <w:sz w:val="20"/>
          <w:szCs w:val="20"/>
          <w:lang w:val="hr-HR"/>
        </w:rPr>
        <w:t>2</w:t>
      </w:r>
      <w:r w:rsidRPr="00D47D1C">
        <w:rPr>
          <w:rFonts w:ascii="Arial" w:hAnsi="Arial" w:cs="Arial"/>
          <w:color w:val="000000" w:themeColor="text1"/>
          <w:sz w:val="20"/>
          <w:szCs w:val="20"/>
          <w:lang w:val="hr-HR"/>
        </w:rPr>
        <w:t>. i 202</w:t>
      </w:r>
      <w:r>
        <w:rPr>
          <w:rFonts w:ascii="Arial" w:hAnsi="Arial" w:cs="Arial"/>
          <w:color w:val="000000" w:themeColor="text1"/>
          <w:sz w:val="20"/>
          <w:szCs w:val="20"/>
          <w:lang w:val="hr-HR"/>
        </w:rPr>
        <w:t>1</w:t>
      </w:r>
      <w:r w:rsidRPr="00D47D1C">
        <w:rPr>
          <w:rFonts w:ascii="Arial" w:hAnsi="Arial" w:cs="Arial"/>
          <w:color w:val="000000" w:themeColor="text1"/>
          <w:sz w:val="20"/>
          <w:szCs w:val="20"/>
          <w:lang w:val="hr-HR"/>
        </w:rPr>
        <w:t xml:space="preserve">. godine te nisu nužno indikativne za poziciju u drugom razdoblju. </w:t>
      </w:r>
    </w:p>
    <w:p w14:paraId="0F77DB5A" w14:textId="77777777" w:rsidR="004E2F51" w:rsidRPr="00D47D1C" w:rsidRDefault="004E2F51" w:rsidP="004E2F51">
      <w:pPr>
        <w:tabs>
          <w:tab w:val="left" w:pos="-720"/>
        </w:tabs>
        <w:jc w:val="both"/>
        <w:rPr>
          <w:rFonts w:ascii="Arial" w:hAnsi="Arial" w:cs="Arial"/>
          <w:color w:val="000000" w:themeColor="text1"/>
          <w:sz w:val="20"/>
          <w:szCs w:val="20"/>
          <w:lang w:val="hr-HR"/>
        </w:rPr>
      </w:pPr>
    </w:p>
    <w:p w14:paraId="0426C40C" w14:textId="77777777" w:rsidR="004E2F51" w:rsidRPr="00D47D1C" w:rsidRDefault="004E2F51" w:rsidP="004E2F51">
      <w:pPr>
        <w:tabs>
          <w:tab w:val="left" w:pos="-720"/>
        </w:tabs>
        <w:ind w:right="-5"/>
        <w:jc w:val="both"/>
        <w:rPr>
          <w:rFonts w:ascii="Arial" w:hAnsi="Arial" w:cs="Arial"/>
          <w:color w:val="000000" w:themeColor="text1"/>
          <w:sz w:val="20"/>
          <w:szCs w:val="20"/>
          <w:lang w:val="hr-HR"/>
        </w:rPr>
      </w:pPr>
    </w:p>
    <w:tbl>
      <w:tblPr>
        <w:tblW w:w="5662" w:type="pct"/>
        <w:tblInd w:w="-851" w:type="dxa"/>
        <w:tblLayout w:type="fixed"/>
        <w:tblCellMar>
          <w:left w:w="120" w:type="dxa"/>
          <w:right w:w="120" w:type="dxa"/>
        </w:tblCellMar>
        <w:tblLook w:val="0000" w:firstRow="0" w:lastRow="0" w:firstColumn="0" w:lastColumn="0" w:noHBand="0" w:noVBand="0"/>
      </w:tblPr>
      <w:tblGrid>
        <w:gridCol w:w="2412"/>
        <w:gridCol w:w="1022"/>
        <w:gridCol w:w="1024"/>
        <w:gridCol w:w="1023"/>
        <w:gridCol w:w="1023"/>
        <w:gridCol w:w="1021"/>
        <w:gridCol w:w="1023"/>
        <w:gridCol w:w="1023"/>
        <w:gridCol w:w="1023"/>
      </w:tblGrid>
      <w:tr w:rsidR="004E2F51" w:rsidRPr="00D47D1C" w14:paraId="162BDE56" w14:textId="77777777" w:rsidTr="00E032FC">
        <w:trPr>
          <w:trHeight w:val="533"/>
        </w:trPr>
        <w:tc>
          <w:tcPr>
            <w:tcW w:w="1138" w:type="pct"/>
          </w:tcPr>
          <w:p w14:paraId="5E3BA440" w14:textId="77777777" w:rsidR="004E2F51" w:rsidRPr="00D47D1C" w:rsidRDefault="004E2F51" w:rsidP="00E032FC">
            <w:pPr>
              <w:tabs>
                <w:tab w:val="right" w:pos="1202"/>
              </w:tabs>
              <w:spacing w:line="240" w:lineRule="atLeast"/>
              <w:outlineLvl w:val="0"/>
              <w:rPr>
                <w:rFonts w:ascii="Arial" w:eastAsia="Calibri" w:hAnsi="Arial" w:cs="Arial"/>
                <w:b/>
                <w:color w:val="000000" w:themeColor="text1"/>
                <w:sz w:val="15"/>
                <w:szCs w:val="15"/>
                <w:lang w:val="hr-HR"/>
              </w:rPr>
            </w:pPr>
            <w:bookmarkStart w:id="1792" w:name="_Toc67330566"/>
            <w:r w:rsidRPr="00D47D1C">
              <w:rPr>
                <w:rFonts w:ascii="Arial" w:eastAsia="Calibri" w:hAnsi="Arial" w:cs="Arial"/>
                <w:b/>
                <w:color w:val="000000" w:themeColor="text1"/>
                <w:sz w:val="15"/>
                <w:szCs w:val="15"/>
                <w:lang w:val="hr-HR"/>
              </w:rPr>
              <w:t>Grupa</w:t>
            </w:r>
            <w:bookmarkEnd w:id="1792"/>
          </w:p>
          <w:p w14:paraId="31190551" w14:textId="77777777" w:rsidR="004E2F51" w:rsidRPr="00D47D1C" w:rsidRDefault="004E2F51" w:rsidP="00E032FC">
            <w:pPr>
              <w:tabs>
                <w:tab w:val="right" w:pos="1202"/>
              </w:tabs>
              <w:spacing w:line="240" w:lineRule="atLeast"/>
              <w:outlineLvl w:val="0"/>
              <w:rPr>
                <w:rFonts w:ascii="Arial" w:eastAsia="Calibri" w:hAnsi="Arial" w:cs="Arial"/>
                <w:b/>
                <w:color w:val="000000" w:themeColor="text1"/>
                <w:sz w:val="15"/>
                <w:szCs w:val="15"/>
                <w:lang w:val="hr-HR"/>
              </w:rPr>
            </w:pPr>
            <w:bookmarkStart w:id="1793" w:name="_Toc67330567"/>
            <w:r w:rsidRPr="00D47D1C">
              <w:rPr>
                <w:rFonts w:ascii="Arial" w:eastAsia="Calibri" w:hAnsi="Arial" w:cs="Arial"/>
                <w:b/>
                <w:color w:val="000000" w:themeColor="text1"/>
                <w:sz w:val="15"/>
                <w:szCs w:val="15"/>
                <w:lang w:val="hr-HR"/>
              </w:rPr>
              <w:t>31. prosinca 202</w:t>
            </w:r>
            <w:r>
              <w:rPr>
                <w:rFonts w:ascii="Arial" w:eastAsia="Calibri" w:hAnsi="Arial" w:cs="Arial"/>
                <w:b/>
                <w:color w:val="000000" w:themeColor="text1"/>
                <w:sz w:val="15"/>
                <w:szCs w:val="15"/>
                <w:lang w:val="hr-HR"/>
              </w:rPr>
              <w:t>2</w:t>
            </w:r>
            <w:r w:rsidRPr="00D47D1C">
              <w:rPr>
                <w:rFonts w:ascii="Arial" w:eastAsia="Calibri" w:hAnsi="Arial" w:cs="Arial"/>
                <w:b/>
                <w:color w:val="000000" w:themeColor="text1"/>
                <w:sz w:val="15"/>
                <w:szCs w:val="15"/>
                <w:lang w:val="hr-HR"/>
              </w:rPr>
              <w:t>.</w:t>
            </w:r>
            <w:bookmarkEnd w:id="1793"/>
          </w:p>
        </w:tc>
        <w:tc>
          <w:tcPr>
            <w:tcW w:w="482" w:type="pct"/>
          </w:tcPr>
          <w:p w14:paraId="27EDB4A4"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794" w:name="_Toc67330568"/>
            <w:r w:rsidRPr="00D47D1C">
              <w:rPr>
                <w:rFonts w:ascii="Arial" w:eastAsia="Calibri" w:hAnsi="Arial" w:cs="Arial"/>
                <w:b/>
                <w:color w:val="000000" w:themeColor="text1"/>
                <w:sz w:val="15"/>
                <w:szCs w:val="15"/>
                <w:lang w:val="hr-HR"/>
              </w:rPr>
              <w:t>Do 1 mjesec</w:t>
            </w:r>
            <w:bookmarkEnd w:id="1794"/>
          </w:p>
        </w:tc>
        <w:tc>
          <w:tcPr>
            <w:tcW w:w="483" w:type="pct"/>
          </w:tcPr>
          <w:p w14:paraId="6537C49A"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795" w:name="_Toc67330569"/>
            <w:r w:rsidRPr="00D47D1C">
              <w:rPr>
                <w:rFonts w:ascii="Arial" w:eastAsia="Calibri" w:hAnsi="Arial" w:cs="Arial"/>
                <w:b/>
                <w:color w:val="000000" w:themeColor="text1"/>
                <w:sz w:val="15"/>
                <w:szCs w:val="15"/>
                <w:lang w:val="hr-HR"/>
              </w:rPr>
              <w:t>1 do 3 mjeseca</w:t>
            </w:r>
            <w:bookmarkEnd w:id="1795"/>
          </w:p>
        </w:tc>
        <w:tc>
          <w:tcPr>
            <w:tcW w:w="483" w:type="pct"/>
          </w:tcPr>
          <w:p w14:paraId="277E3DA9"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796" w:name="_Toc67330570"/>
            <w:r w:rsidRPr="00D47D1C">
              <w:rPr>
                <w:rFonts w:ascii="Arial" w:eastAsia="Calibri" w:hAnsi="Arial" w:cs="Arial"/>
                <w:b/>
                <w:color w:val="000000" w:themeColor="text1"/>
                <w:sz w:val="15"/>
                <w:szCs w:val="15"/>
                <w:lang w:val="hr-HR"/>
              </w:rPr>
              <w:t>3 mj. do 1 godine</w:t>
            </w:r>
            <w:bookmarkEnd w:id="1796"/>
          </w:p>
        </w:tc>
        <w:tc>
          <w:tcPr>
            <w:tcW w:w="483" w:type="pct"/>
          </w:tcPr>
          <w:p w14:paraId="31103D95"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797" w:name="_Toc67330571"/>
            <w:r w:rsidRPr="00D47D1C">
              <w:rPr>
                <w:rFonts w:ascii="Arial" w:eastAsia="Calibri" w:hAnsi="Arial" w:cs="Arial"/>
                <w:b/>
                <w:color w:val="000000" w:themeColor="text1"/>
                <w:sz w:val="15"/>
                <w:szCs w:val="15"/>
                <w:lang w:val="hr-HR"/>
              </w:rPr>
              <w:t>1 do 3 godina</w:t>
            </w:r>
            <w:bookmarkEnd w:id="1797"/>
          </w:p>
        </w:tc>
        <w:tc>
          <w:tcPr>
            <w:tcW w:w="482" w:type="pct"/>
          </w:tcPr>
          <w:p w14:paraId="57175804"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798" w:name="_Toc67330572"/>
            <w:r w:rsidRPr="00D47D1C">
              <w:rPr>
                <w:rFonts w:ascii="Arial" w:eastAsia="Calibri" w:hAnsi="Arial" w:cs="Arial"/>
                <w:b/>
                <w:color w:val="000000" w:themeColor="text1"/>
                <w:sz w:val="15"/>
                <w:szCs w:val="15"/>
                <w:lang w:val="hr-HR"/>
              </w:rPr>
              <w:t>Preko 3 godine</w:t>
            </w:r>
            <w:bookmarkEnd w:id="1798"/>
          </w:p>
        </w:tc>
        <w:tc>
          <w:tcPr>
            <w:tcW w:w="483" w:type="pct"/>
          </w:tcPr>
          <w:p w14:paraId="359877F5"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799" w:name="_Toc67330573"/>
            <w:r w:rsidRPr="00D47D1C">
              <w:rPr>
                <w:rFonts w:ascii="Arial" w:eastAsia="Calibri" w:hAnsi="Arial" w:cs="Arial"/>
                <w:b/>
                <w:color w:val="000000" w:themeColor="text1"/>
                <w:sz w:val="15"/>
                <w:szCs w:val="15"/>
                <w:lang w:val="hr-HR"/>
              </w:rPr>
              <w:t>Beska-matno</w:t>
            </w:r>
            <w:bookmarkEnd w:id="1799"/>
          </w:p>
        </w:tc>
        <w:tc>
          <w:tcPr>
            <w:tcW w:w="483" w:type="pct"/>
          </w:tcPr>
          <w:p w14:paraId="353EB810"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00" w:name="_Toc67330574"/>
            <w:r w:rsidRPr="00D47D1C">
              <w:rPr>
                <w:rFonts w:ascii="Arial" w:eastAsia="Calibri" w:hAnsi="Arial" w:cs="Arial"/>
                <w:b/>
                <w:color w:val="000000" w:themeColor="text1"/>
                <w:sz w:val="15"/>
                <w:szCs w:val="15"/>
                <w:lang w:val="hr-HR"/>
              </w:rPr>
              <w:t>Ukupno</w:t>
            </w:r>
            <w:bookmarkEnd w:id="1800"/>
          </w:p>
        </w:tc>
        <w:tc>
          <w:tcPr>
            <w:tcW w:w="483" w:type="pct"/>
          </w:tcPr>
          <w:p w14:paraId="42281148"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01" w:name="_Toc67330575"/>
            <w:r w:rsidRPr="00D47D1C">
              <w:rPr>
                <w:rFonts w:ascii="Arial" w:eastAsia="Calibri" w:hAnsi="Arial" w:cs="Arial"/>
                <w:b/>
                <w:color w:val="000000" w:themeColor="text1"/>
                <w:sz w:val="15"/>
                <w:szCs w:val="15"/>
                <w:lang w:val="hr-HR"/>
              </w:rPr>
              <w:t>Fiksna kamatna stopa</w:t>
            </w:r>
            <w:bookmarkEnd w:id="1801"/>
          </w:p>
        </w:tc>
      </w:tr>
      <w:tr w:rsidR="004E2F51" w:rsidRPr="00D47D1C" w14:paraId="2ADB8259" w14:textId="77777777" w:rsidTr="00E032FC">
        <w:trPr>
          <w:trHeight w:val="258"/>
        </w:trPr>
        <w:tc>
          <w:tcPr>
            <w:tcW w:w="1138" w:type="pct"/>
            <w:vAlign w:val="bottom"/>
          </w:tcPr>
          <w:p w14:paraId="2BFD414A" w14:textId="77777777" w:rsidR="004E2F51" w:rsidRPr="00D47D1C" w:rsidRDefault="004E2F51" w:rsidP="00E032FC">
            <w:pPr>
              <w:tabs>
                <w:tab w:val="right" w:pos="1202"/>
              </w:tabs>
              <w:spacing w:line="240" w:lineRule="atLeast"/>
              <w:outlineLvl w:val="0"/>
              <w:rPr>
                <w:rFonts w:ascii="Arial" w:eastAsia="Calibri" w:hAnsi="Arial" w:cs="Arial"/>
                <w:b/>
                <w:color w:val="000000" w:themeColor="text1"/>
                <w:sz w:val="15"/>
                <w:szCs w:val="15"/>
                <w:lang w:val="hr-HR"/>
              </w:rPr>
            </w:pPr>
          </w:p>
        </w:tc>
        <w:tc>
          <w:tcPr>
            <w:tcW w:w="482" w:type="pct"/>
          </w:tcPr>
          <w:p w14:paraId="2DBE88A1"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02" w:name="_Toc67330576"/>
            <w:r w:rsidRPr="00D47D1C">
              <w:rPr>
                <w:rFonts w:ascii="Arial" w:eastAsia="Calibri" w:hAnsi="Arial" w:cs="Arial"/>
                <w:b/>
                <w:color w:val="000000" w:themeColor="text1"/>
                <w:sz w:val="15"/>
                <w:szCs w:val="15"/>
                <w:lang w:val="hr-HR"/>
              </w:rPr>
              <w:t>000 kuna</w:t>
            </w:r>
            <w:bookmarkEnd w:id="1802"/>
          </w:p>
        </w:tc>
        <w:tc>
          <w:tcPr>
            <w:tcW w:w="483" w:type="pct"/>
          </w:tcPr>
          <w:p w14:paraId="018C4CAD"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03" w:name="_Toc67330577"/>
            <w:r w:rsidRPr="00D47D1C">
              <w:rPr>
                <w:rFonts w:ascii="Arial" w:eastAsia="Calibri" w:hAnsi="Arial" w:cs="Arial"/>
                <w:b/>
                <w:color w:val="000000" w:themeColor="text1"/>
                <w:sz w:val="15"/>
                <w:szCs w:val="15"/>
                <w:lang w:val="hr-HR"/>
              </w:rPr>
              <w:t>000 kuna</w:t>
            </w:r>
            <w:bookmarkEnd w:id="1803"/>
          </w:p>
        </w:tc>
        <w:tc>
          <w:tcPr>
            <w:tcW w:w="483" w:type="pct"/>
          </w:tcPr>
          <w:p w14:paraId="7E66478F"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04" w:name="_Toc67330578"/>
            <w:r w:rsidRPr="00D47D1C">
              <w:rPr>
                <w:rFonts w:ascii="Arial" w:eastAsia="Calibri" w:hAnsi="Arial" w:cs="Arial"/>
                <w:b/>
                <w:color w:val="000000" w:themeColor="text1"/>
                <w:sz w:val="15"/>
                <w:szCs w:val="15"/>
                <w:lang w:val="hr-HR"/>
              </w:rPr>
              <w:t>000 kuna</w:t>
            </w:r>
            <w:bookmarkEnd w:id="1804"/>
          </w:p>
        </w:tc>
        <w:tc>
          <w:tcPr>
            <w:tcW w:w="483" w:type="pct"/>
          </w:tcPr>
          <w:p w14:paraId="34D43A6D"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05" w:name="_Toc67330579"/>
            <w:r w:rsidRPr="00D47D1C">
              <w:rPr>
                <w:rFonts w:ascii="Arial" w:eastAsia="Calibri" w:hAnsi="Arial" w:cs="Arial"/>
                <w:b/>
                <w:color w:val="000000" w:themeColor="text1"/>
                <w:sz w:val="15"/>
                <w:szCs w:val="15"/>
                <w:lang w:val="hr-HR"/>
              </w:rPr>
              <w:t>000 kuna</w:t>
            </w:r>
            <w:bookmarkEnd w:id="1805"/>
          </w:p>
        </w:tc>
        <w:tc>
          <w:tcPr>
            <w:tcW w:w="482" w:type="pct"/>
          </w:tcPr>
          <w:p w14:paraId="4CD2482E"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06" w:name="_Toc67330580"/>
            <w:r w:rsidRPr="00D47D1C">
              <w:rPr>
                <w:rFonts w:ascii="Arial" w:eastAsia="Calibri" w:hAnsi="Arial" w:cs="Arial"/>
                <w:b/>
                <w:color w:val="000000" w:themeColor="text1"/>
                <w:sz w:val="15"/>
                <w:szCs w:val="15"/>
                <w:lang w:val="hr-HR"/>
              </w:rPr>
              <w:t>000 kuna</w:t>
            </w:r>
            <w:bookmarkEnd w:id="1806"/>
          </w:p>
        </w:tc>
        <w:tc>
          <w:tcPr>
            <w:tcW w:w="483" w:type="pct"/>
          </w:tcPr>
          <w:p w14:paraId="3A27EBB8"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07" w:name="_Toc67330581"/>
            <w:r w:rsidRPr="00D47D1C">
              <w:rPr>
                <w:rFonts w:ascii="Arial" w:eastAsia="Calibri" w:hAnsi="Arial" w:cs="Arial"/>
                <w:b/>
                <w:color w:val="000000" w:themeColor="text1"/>
                <w:sz w:val="15"/>
                <w:szCs w:val="15"/>
                <w:lang w:val="hr-HR"/>
              </w:rPr>
              <w:t>000 kuna</w:t>
            </w:r>
            <w:bookmarkEnd w:id="1807"/>
          </w:p>
        </w:tc>
        <w:tc>
          <w:tcPr>
            <w:tcW w:w="483" w:type="pct"/>
          </w:tcPr>
          <w:p w14:paraId="288AD7F9"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08" w:name="_Toc67330582"/>
            <w:r w:rsidRPr="00D47D1C">
              <w:rPr>
                <w:rFonts w:ascii="Arial" w:eastAsia="Calibri" w:hAnsi="Arial" w:cs="Arial"/>
                <w:b/>
                <w:color w:val="000000" w:themeColor="text1"/>
                <w:sz w:val="15"/>
                <w:szCs w:val="15"/>
                <w:lang w:val="hr-HR"/>
              </w:rPr>
              <w:t>000 kuna</w:t>
            </w:r>
            <w:bookmarkEnd w:id="1808"/>
          </w:p>
        </w:tc>
        <w:tc>
          <w:tcPr>
            <w:tcW w:w="483" w:type="pct"/>
          </w:tcPr>
          <w:p w14:paraId="718C3509"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09" w:name="_Toc67330583"/>
            <w:r w:rsidRPr="00D47D1C">
              <w:rPr>
                <w:rFonts w:ascii="Arial" w:eastAsia="Calibri" w:hAnsi="Arial" w:cs="Arial"/>
                <w:b/>
                <w:color w:val="000000" w:themeColor="text1"/>
                <w:sz w:val="15"/>
                <w:szCs w:val="15"/>
                <w:lang w:val="hr-HR"/>
              </w:rPr>
              <w:t>000 kuna</w:t>
            </w:r>
            <w:bookmarkEnd w:id="1809"/>
          </w:p>
        </w:tc>
      </w:tr>
      <w:tr w:rsidR="004E2F51" w:rsidRPr="00D47D1C" w14:paraId="02D8A158" w14:textId="77777777" w:rsidTr="00E032FC">
        <w:trPr>
          <w:trHeight w:val="227"/>
        </w:trPr>
        <w:tc>
          <w:tcPr>
            <w:tcW w:w="1138" w:type="pct"/>
            <w:vAlign w:val="bottom"/>
          </w:tcPr>
          <w:p w14:paraId="42244F59" w14:textId="77777777" w:rsidR="004E2F51" w:rsidRPr="00D47D1C" w:rsidRDefault="004E2F51" w:rsidP="00E032FC">
            <w:pPr>
              <w:tabs>
                <w:tab w:val="left" w:pos="-720"/>
              </w:tabs>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Imovina</w:t>
            </w:r>
          </w:p>
        </w:tc>
        <w:tc>
          <w:tcPr>
            <w:tcW w:w="482" w:type="pct"/>
          </w:tcPr>
          <w:p w14:paraId="0604D9F5"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83" w:type="pct"/>
          </w:tcPr>
          <w:p w14:paraId="032A5091"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83" w:type="pct"/>
          </w:tcPr>
          <w:p w14:paraId="096185DF"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83" w:type="pct"/>
          </w:tcPr>
          <w:p w14:paraId="7D598285"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82" w:type="pct"/>
          </w:tcPr>
          <w:p w14:paraId="6DF11639"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83" w:type="pct"/>
          </w:tcPr>
          <w:p w14:paraId="54EE8B9B" w14:textId="77777777" w:rsidR="004E2F51" w:rsidRPr="00D47D1C" w:rsidRDefault="004E2F51" w:rsidP="00E032FC">
            <w:pPr>
              <w:tabs>
                <w:tab w:val="left" w:pos="-720"/>
              </w:tabs>
              <w:spacing w:line="360" w:lineRule="auto"/>
              <w:jc w:val="right"/>
              <w:rPr>
                <w:rFonts w:ascii="Arial" w:eastAsia="Calibri" w:hAnsi="Arial" w:cs="Arial"/>
                <w:color w:val="000000" w:themeColor="text1"/>
                <w:sz w:val="15"/>
                <w:szCs w:val="15"/>
                <w:lang w:val="hr-HR"/>
              </w:rPr>
            </w:pPr>
          </w:p>
        </w:tc>
        <w:tc>
          <w:tcPr>
            <w:tcW w:w="483" w:type="pct"/>
          </w:tcPr>
          <w:p w14:paraId="5E6E9FBC"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83" w:type="pct"/>
          </w:tcPr>
          <w:p w14:paraId="54F2D4C0"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r>
      <w:tr w:rsidR="004E2F51" w:rsidRPr="00D47D1C" w14:paraId="2936A9FB" w14:textId="77777777" w:rsidTr="00E032FC">
        <w:trPr>
          <w:trHeight w:val="217"/>
        </w:trPr>
        <w:tc>
          <w:tcPr>
            <w:tcW w:w="1138" w:type="pct"/>
            <w:vAlign w:val="bottom"/>
          </w:tcPr>
          <w:p w14:paraId="4BB26D68"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Novčana sredstva i računi kod banaka</w:t>
            </w:r>
          </w:p>
        </w:tc>
        <w:tc>
          <w:tcPr>
            <w:tcW w:w="482" w:type="pct"/>
            <w:vAlign w:val="bottom"/>
          </w:tcPr>
          <w:p w14:paraId="171C10B8"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105.509 </w:t>
            </w:r>
          </w:p>
        </w:tc>
        <w:tc>
          <w:tcPr>
            <w:tcW w:w="483" w:type="pct"/>
            <w:vAlign w:val="bottom"/>
          </w:tcPr>
          <w:p w14:paraId="2ABA1679"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vAlign w:val="bottom"/>
          </w:tcPr>
          <w:p w14:paraId="3FFCD934"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vAlign w:val="bottom"/>
          </w:tcPr>
          <w:p w14:paraId="62257109"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2" w:type="pct"/>
            <w:vAlign w:val="bottom"/>
          </w:tcPr>
          <w:p w14:paraId="516E5B9B"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vAlign w:val="bottom"/>
          </w:tcPr>
          <w:p w14:paraId="11BD3462"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1.616.410 </w:t>
            </w:r>
          </w:p>
        </w:tc>
        <w:tc>
          <w:tcPr>
            <w:tcW w:w="483" w:type="pct"/>
            <w:vAlign w:val="bottom"/>
          </w:tcPr>
          <w:p w14:paraId="228F5CBC"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1.721.919 </w:t>
            </w:r>
          </w:p>
        </w:tc>
        <w:tc>
          <w:tcPr>
            <w:tcW w:w="483" w:type="pct"/>
            <w:vAlign w:val="bottom"/>
          </w:tcPr>
          <w:p w14:paraId="70E5568F"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105.509 </w:t>
            </w:r>
          </w:p>
        </w:tc>
      </w:tr>
      <w:tr w:rsidR="004E2F51" w:rsidRPr="00D47D1C" w14:paraId="1F201003" w14:textId="77777777" w:rsidTr="00E032FC">
        <w:trPr>
          <w:trHeight w:val="206"/>
        </w:trPr>
        <w:tc>
          <w:tcPr>
            <w:tcW w:w="1138" w:type="pct"/>
            <w:vAlign w:val="bottom"/>
          </w:tcPr>
          <w:p w14:paraId="3123C9BE"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Depoziti kod drugih banaka</w:t>
            </w:r>
          </w:p>
        </w:tc>
        <w:tc>
          <w:tcPr>
            <w:tcW w:w="482" w:type="pct"/>
            <w:vAlign w:val="bottom"/>
          </w:tcPr>
          <w:p w14:paraId="44FF4368"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vAlign w:val="bottom"/>
          </w:tcPr>
          <w:p w14:paraId="0FC9CE44"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vAlign w:val="bottom"/>
          </w:tcPr>
          <w:p w14:paraId="4BFAC63E"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22.574 </w:t>
            </w:r>
          </w:p>
        </w:tc>
        <w:tc>
          <w:tcPr>
            <w:tcW w:w="483" w:type="pct"/>
            <w:vAlign w:val="bottom"/>
          </w:tcPr>
          <w:p w14:paraId="6E94138F"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2" w:type="pct"/>
            <w:vAlign w:val="bottom"/>
          </w:tcPr>
          <w:p w14:paraId="41BF4963"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vAlign w:val="bottom"/>
          </w:tcPr>
          <w:p w14:paraId="626F3F4B"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10.606 </w:t>
            </w:r>
          </w:p>
        </w:tc>
        <w:tc>
          <w:tcPr>
            <w:tcW w:w="483" w:type="pct"/>
            <w:vAlign w:val="bottom"/>
          </w:tcPr>
          <w:p w14:paraId="60DC0267"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33.180 </w:t>
            </w:r>
          </w:p>
        </w:tc>
        <w:tc>
          <w:tcPr>
            <w:tcW w:w="483" w:type="pct"/>
            <w:vAlign w:val="bottom"/>
          </w:tcPr>
          <w:p w14:paraId="7355014E"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22.574 </w:t>
            </w:r>
          </w:p>
        </w:tc>
      </w:tr>
      <w:tr w:rsidR="004E2F51" w:rsidRPr="00D47D1C" w14:paraId="46460FCC" w14:textId="77777777" w:rsidTr="00E032FC">
        <w:trPr>
          <w:trHeight w:val="164"/>
        </w:trPr>
        <w:tc>
          <w:tcPr>
            <w:tcW w:w="1138" w:type="pct"/>
            <w:vAlign w:val="bottom"/>
          </w:tcPr>
          <w:p w14:paraId="2C13148A"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financijskim institucijama</w:t>
            </w:r>
          </w:p>
        </w:tc>
        <w:tc>
          <w:tcPr>
            <w:tcW w:w="482" w:type="pct"/>
            <w:tcBorders>
              <w:top w:val="nil"/>
              <w:left w:val="nil"/>
              <w:bottom w:val="nil"/>
              <w:right w:val="nil"/>
            </w:tcBorders>
            <w:vAlign w:val="bottom"/>
          </w:tcPr>
          <w:p w14:paraId="7307B69D"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241.456 </w:t>
            </w:r>
          </w:p>
        </w:tc>
        <w:tc>
          <w:tcPr>
            <w:tcW w:w="483" w:type="pct"/>
            <w:tcBorders>
              <w:top w:val="nil"/>
              <w:left w:val="nil"/>
              <w:bottom w:val="nil"/>
              <w:right w:val="nil"/>
            </w:tcBorders>
            <w:vAlign w:val="bottom"/>
          </w:tcPr>
          <w:p w14:paraId="09F5A5FE"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285.706 </w:t>
            </w:r>
          </w:p>
        </w:tc>
        <w:tc>
          <w:tcPr>
            <w:tcW w:w="483" w:type="pct"/>
            <w:tcBorders>
              <w:top w:val="nil"/>
              <w:left w:val="nil"/>
              <w:bottom w:val="nil"/>
              <w:right w:val="nil"/>
            </w:tcBorders>
            <w:vAlign w:val="bottom"/>
          </w:tcPr>
          <w:p w14:paraId="2FEDA59D"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824.255 </w:t>
            </w:r>
          </w:p>
        </w:tc>
        <w:tc>
          <w:tcPr>
            <w:tcW w:w="483" w:type="pct"/>
            <w:tcBorders>
              <w:top w:val="nil"/>
              <w:left w:val="nil"/>
              <w:bottom w:val="nil"/>
              <w:right w:val="nil"/>
            </w:tcBorders>
            <w:vAlign w:val="bottom"/>
          </w:tcPr>
          <w:p w14:paraId="4AF7558C"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1.881.654 </w:t>
            </w:r>
          </w:p>
        </w:tc>
        <w:tc>
          <w:tcPr>
            <w:tcW w:w="482" w:type="pct"/>
            <w:tcBorders>
              <w:top w:val="nil"/>
              <w:left w:val="nil"/>
              <w:bottom w:val="nil"/>
              <w:right w:val="nil"/>
            </w:tcBorders>
            <w:vAlign w:val="bottom"/>
          </w:tcPr>
          <w:p w14:paraId="0D99A9B7"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3.744.788 </w:t>
            </w:r>
          </w:p>
        </w:tc>
        <w:tc>
          <w:tcPr>
            <w:tcW w:w="483" w:type="pct"/>
            <w:tcBorders>
              <w:top w:val="nil"/>
              <w:left w:val="nil"/>
              <w:bottom w:val="nil"/>
              <w:right w:val="nil"/>
            </w:tcBorders>
            <w:vAlign w:val="bottom"/>
          </w:tcPr>
          <w:p w14:paraId="5B107A64"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6.853 </w:t>
            </w:r>
          </w:p>
        </w:tc>
        <w:tc>
          <w:tcPr>
            <w:tcW w:w="483" w:type="pct"/>
            <w:tcBorders>
              <w:top w:val="nil"/>
              <w:left w:val="nil"/>
              <w:bottom w:val="nil"/>
              <w:right w:val="nil"/>
            </w:tcBorders>
            <w:vAlign w:val="bottom"/>
          </w:tcPr>
          <w:p w14:paraId="22342EEA"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6.984.712 </w:t>
            </w:r>
          </w:p>
        </w:tc>
        <w:tc>
          <w:tcPr>
            <w:tcW w:w="483" w:type="pct"/>
            <w:tcBorders>
              <w:top w:val="nil"/>
              <w:left w:val="nil"/>
              <w:bottom w:val="nil"/>
              <w:right w:val="nil"/>
            </w:tcBorders>
            <w:vAlign w:val="bottom"/>
          </w:tcPr>
          <w:p w14:paraId="46F87FA7"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6.882.039 </w:t>
            </w:r>
          </w:p>
        </w:tc>
      </w:tr>
      <w:tr w:rsidR="004E2F51" w:rsidRPr="00D47D1C" w14:paraId="3E8369C8" w14:textId="77777777" w:rsidTr="00E032FC">
        <w:trPr>
          <w:trHeight w:val="92"/>
        </w:trPr>
        <w:tc>
          <w:tcPr>
            <w:tcW w:w="1138" w:type="pct"/>
            <w:vAlign w:val="bottom"/>
          </w:tcPr>
          <w:p w14:paraId="08D8CEB1"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ostalim korisnicima</w:t>
            </w:r>
          </w:p>
        </w:tc>
        <w:tc>
          <w:tcPr>
            <w:tcW w:w="482" w:type="pct"/>
            <w:tcBorders>
              <w:top w:val="nil"/>
              <w:left w:val="nil"/>
              <w:bottom w:val="nil"/>
              <w:right w:val="nil"/>
            </w:tcBorders>
            <w:vAlign w:val="bottom"/>
          </w:tcPr>
          <w:p w14:paraId="007E1E04"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1.312.571 </w:t>
            </w:r>
          </w:p>
        </w:tc>
        <w:tc>
          <w:tcPr>
            <w:tcW w:w="483" w:type="pct"/>
            <w:tcBorders>
              <w:top w:val="nil"/>
              <w:left w:val="nil"/>
              <w:bottom w:val="nil"/>
              <w:right w:val="nil"/>
            </w:tcBorders>
            <w:vAlign w:val="bottom"/>
          </w:tcPr>
          <w:p w14:paraId="01523E66"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821.349 </w:t>
            </w:r>
          </w:p>
        </w:tc>
        <w:tc>
          <w:tcPr>
            <w:tcW w:w="483" w:type="pct"/>
            <w:tcBorders>
              <w:top w:val="nil"/>
              <w:left w:val="nil"/>
              <w:bottom w:val="nil"/>
              <w:right w:val="nil"/>
            </w:tcBorders>
            <w:vAlign w:val="bottom"/>
          </w:tcPr>
          <w:p w14:paraId="4B307259"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2.854.156 </w:t>
            </w:r>
          </w:p>
        </w:tc>
        <w:tc>
          <w:tcPr>
            <w:tcW w:w="483" w:type="pct"/>
            <w:tcBorders>
              <w:top w:val="nil"/>
              <w:left w:val="nil"/>
              <w:bottom w:val="nil"/>
              <w:right w:val="nil"/>
            </w:tcBorders>
            <w:vAlign w:val="bottom"/>
          </w:tcPr>
          <w:p w14:paraId="1C9F9484"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3.618.634 </w:t>
            </w:r>
          </w:p>
        </w:tc>
        <w:tc>
          <w:tcPr>
            <w:tcW w:w="482" w:type="pct"/>
            <w:tcBorders>
              <w:top w:val="nil"/>
              <w:left w:val="nil"/>
              <w:bottom w:val="nil"/>
              <w:right w:val="nil"/>
            </w:tcBorders>
            <w:vAlign w:val="bottom"/>
          </w:tcPr>
          <w:p w14:paraId="31113E75"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8.653.431 </w:t>
            </w:r>
          </w:p>
        </w:tc>
        <w:tc>
          <w:tcPr>
            <w:tcW w:w="483" w:type="pct"/>
            <w:tcBorders>
              <w:top w:val="nil"/>
              <w:left w:val="nil"/>
              <w:bottom w:val="nil"/>
              <w:right w:val="nil"/>
            </w:tcBorders>
            <w:vAlign w:val="bottom"/>
          </w:tcPr>
          <w:p w14:paraId="7D95D250"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142.525 </w:t>
            </w:r>
          </w:p>
        </w:tc>
        <w:tc>
          <w:tcPr>
            <w:tcW w:w="483" w:type="pct"/>
            <w:tcBorders>
              <w:top w:val="nil"/>
              <w:left w:val="nil"/>
              <w:bottom w:val="nil"/>
              <w:right w:val="nil"/>
            </w:tcBorders>
            <w:vAlign w:val="bottom"/>
          </w:tcPr>
          <w:p w14:paraId="77B22FA9"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17.402.666 </w:t>
            </w:r>
          </w:p>
        </w:tc>
        <w:tc>
          <w:tcPr>
            <w:tcW w:w="483" w:type="pct"/>
            <w:tcBorders>
              <w:top w:val="nil"/>
              <w:left w:val="nil"/>
              <w:bottom w:val="nil"/>
              <w:right w:val="nil"/>
            </w:tcBorders>
            <w:vAlign w:val="bottom"/>
          </w:tcPr>
          <w:p w14:paraId="09DB561E"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16.032.437 </w:t>
            </w:r>
          </w:p>
        </w:tc>
      </w:tr>
      <w:tr w:rsidR="004E2F51" w:rsidRPr="00D47D1C" w14:paraId="5DD470BB" w14:textId="77777777" w:rsidTr="00E032FC">
        <w:trPr>
          <w:trHeight w:val="170"/>
        </w:trPr>
        <w:tc>
          <w:tcPr>
            <w:tcW w:w="1138" w:type="pct"/>
            <w:vAlign w:val="bottom"/>
          </w:tcPr>
          <w:p w14:paraId="527DEFED"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dobit ili gubitak</w:t>
            </w:r>
          </w:p>
        </w:tc>
        <w:tc>
          <w:tcPr>
            <w:tcW w:w="482" w:type="pct"/>
            <w:vAlign w:val="bottom"/>
          </w:tcPr>
          <w:p w14:paraId="446A41DF"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vAlign w:val="bottom"/>
          </w:tcPr>
          <w:p w14:paraId="3B6DDBA2"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vAlign w:val="bottom"/>
          </w:tcPr>
          <w:p w14:paraId="008FA49B"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vAlign w:val="bottom"/>
          </w:tcPr>
          <w:p w14:paraId="21AA7E1D"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22.831 </w:t>
            </w:r>
          </w:p>
        </w:tc>
        <w:tc>
          <w:tcPr>
            <w:tcW w:w="482" w:type="pct"/>
            <w:vAlign w:val="bottom"/>
          </w:tcPr>
          <w:p w14:paraId="24B4F408"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vAlign w:val="bottom"/>
          </w:tcPr>
          <w:p w14:paraId="4D029F8C"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108.692 </w:t>
            </w:r>
          </w:p>
        </w:tc>
        <w:tc>
          <w:tcPr>
            <w:tcW w:w="483" w:type="pct"/>
            <w:vAlign w:val="bottom"/>
          </w:tcPr>
          <w:p w14:paraId="78AFAEBC"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131.523 </w:t>
            </w:r>
          </w:p>
        </w:tc>
        <w:tc>
          <w:tcPr>
            <w:tcW w:w="483" w:type="pct"/>
            <w:vAlign w:val="bottom"/>
          </w:tcPr>
          <w:p w14:paraId="06CF67F9"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22.831 </w:t>
            </w:r>
          </w:p>
        </w:tc>
      </w:tr>
      <w:tr w:rsidR="004E2F51" w:rsidRPr="00D47D1C" w14:paraId="61CA0029" w14:textId="77777777" w:rsidTr="00E032FC">
        <w:trPr>
          <w:trHeight w:val="163"/>
        </w:trPr>
        <w:tc>
          <w:tcPr>
            <w:tcW w:w="1138" w:type="pct"/>
            <w:vAlign w:val="bottom"/>
          </w:tcPr>
          <w:p w14:paraId="39F59565"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ostalu sveobuhvatnu dobit</w:t>
            </w:r>
          </w:p>
        </w:tc>
        <w:tc>
          <w:tcPr>
            <w:tcW w:w="482" w:type="pct"/>
            <w:vAlign w:val="bottom"/>
          </w:tcPr>
          <w:p w14:paraId="1D7106E8"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2.619.094 </w:t>
            </w:r>
          </w:p>
        </w:tc>
        <w:tc>
          <w:tcPr>
            <w:tcW w:w="483" w:type="pct"/>
            <w:vAlign w:val="bottom"/>
          </w:tcPr>
          <w:p w14:paraId="1422A323"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vAlign w:val="bottom"/>
          </w:tcPr>
          <w:p w14:paraId="0FD939AE"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vAlign w:val="bottom"/>
          </w:tcPr>
          <w:p w14:paraId="1B867206"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2" w:type="pct"/>
            <w:vAlign w:val="bottom"/>
          </w:tcPr>
          <w:p w14:paraId="0FD1114C"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vAlign w:val="bottom"/>
          </w:tcPr>
          <w:p w14:paraId="62913E2A"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67.528 </w:t>
            </w:r>
          </w:p>
        </w:tc>
        <w:tc>
          <w:tcPr>
            <w:tcW w:w="483" w:type="pct"/>
            <w:vAlign w:val="bottom"/>
          </w:tcPr>
          <w:p w14:paraId="790ABBE1"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2.686.622 </w:t>
            </w:r>
          </w:p>
        </w:tc>
        <w:tc>
          <w:tcPr>
            <w:tcW w:w="483" w:type="pct"/>
            <w:vAlign w:val="bottom"/>
          </w:tcPr>
          <w:p w14:paraId="2BD692C9"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2.619.094 </w:t>
            </w:r>
          </w:p>
        </w:tc>
      </w:tr>
      <w:tr w:rsidR="004E2F51" w:rsidRPr="00D47D1C" w14:paraId="2C9CC6DA" w14:textId="77777777" w:rsidTr="00E032FC">
        <w:trPr>
          <w:trHeight w:val="206"/>
        </w:trPr>
        <w:tc>
          <w:tcPr>
            <w:tcW w:w="1138" w:type="pct"/>
            <w:vAlign w:val="bottom"/>
          </w:tcPr>
          <w:p w14:paraId="1D750840"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Ostala imovina</w:t>
            </w:r>
          </w:p>
        </w:tc>
        <w:tc>
          <w:tcPr>
            <w:tcW w:w="482" w:type="pct"/>
            <w:tcBorders>
              <w:bottom w:val="single" w:sz="4" w:space="0" w:color="auto"/>
            </w:tcBorders>
            <w:vAlign w:val="bottom"/>
          </w:tcPr>
          <w:p w14:paraId="2DCA538C"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tcBorders>
              <w:bottom w:val="single" w:sz="4" w:space="0" w:color="auto"/>
            </w:tcBorders>
            <w:vAlign w:val="bottom"/>
          </w:tcPr>
          <w:p w14:paraId="45F3E299"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tcBorders>
              <w:bottom w:val="single" w:sz="4" w:space="0" w:color="auto"/>
            </w:tcBorders>
            <w:vAlign w:val="bottom"/>
          </w:tcPr>
          <w:p w14:paraId="3848DF06"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tcBorders>
              <w:bottom w:val="single" w:sz="4" w:space="0" w:color="auto"/>
            </w:tcBorders>
            <w:vAlign w:val="bottom"/>
          </w:tcPr>
          <w:p w14:paraId="5EA0C20B"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2" w:type="pct"/>
            <w:tcBorders>
              <w:bottom w:val="single" w:sz="4" w:space="0" w:color="auto"/>
            </w:tcBorders>
            <w:vAlign w:val="bottom"/>
          </w:tcPr>
          <w:p w14:paraId="58410A2B"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tcBorders>
              <w:bottom w:val="single" w:sz="4" w:space="0" w:color="auto"/>
            </w:tcBorders>
            <w:vAlign w:val="bottom"/>
          </w:tcPr>
          <w:p w14:paraId="522FFC38"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35.934 </w:t>
            </w:r>
          </w:p>
        </w:tc>
        <w:tc>
          <w:tcPr>
            <w:tcW w:w="483" w:type="pct"/>
            <w:tcBorders>
              <w:bottom w:val="single" w:sz="4" w:space="0" w:color="auto"/>
            </w:tcBorders>
            <w:vAlign w:val="bottom"/>
          </w:tcPr>
          <w:p w14:paraId="15EBE011"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35.934 </w:t>
            </w:r>
          </w:p>
        </w:tc>
        <w:tc>
          <w:tcPr>
            <w:tcW w:w="483" w:type="pct"/>
            <w:tcBorders>
              <w:bottom w:val="single" w:sz="4" w:space="0" w:color="auto"/>
            </w:tcBorders>
            <w:vAlign w:val="bottom"/>
          </w:tcPr>
          <w:p w14:paraId="14FF98FC"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r>
      <w:tr w:rsidR="004E2F51" w:rsidRPr="00D47D1C" w14:paraId="26EF2A09" w14:textId="77777777" w:rsidTr="00E032FC">
        <w:trPr>
          <w:trHeight w:hRule="exact" w:val="308"/>
        </w:trPr>
        <w:tc>
          <w:tcPr>
            <w:tcW w:w="1138" w:type="pct"/>
            <w:vAlign w:val="bottom"/>
          </w:tcPr>
          <w:p w14:paraId="158561BB"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bookmarkStart w:id="1810" w:name="_Toc67330584"/>
            <w:r w:rsidRPr="00D47D1C">
              <w:rPr>
                <w:rFonts w:ascii="Arial" w:eastAsia="Calibri" w:hAnsi="Arial" w:cs="Arial"/>
                <w:b/>
                <w:bCs/>
                <w:color w:val="000000" w:themeColor="text1"/>
                <w:sz w:val="15"/>
                <w:szCs w:val="15"/>
                <w:lang w:val="hr-HR"/>
              </w:rPr>
              <w:t>Imovina</w:t>
            </w:r>
            <w:bookmarkEnd w:id="1810"/>
            <w:r w:rsidRPr="00D47D1C">
              <w:rPr>
                <w:rFonts w:ascii="Arial" w:eastAsia="Calibri" w:hAnsi="Arial" w:cs="Arial"/>
                <w:b/>
                <w:bCs/>
                <w:color w:val="000000" w:themeColor="text1"/>
                <w:sz w:val="15"/>
                <w:szCs w:val="15"/>
                <w:lang w:val="hr-HR"/>
              </w:rPr>
              <w:t xml:space="preserve"> </w:t>
            </w:r>
          </w:p>
        </w:tc>
        <w:tc>
          <w:tcPr>
            <w:tcW w:w="482" w:type="pct"/>
            <w:tcBorders>
              <w:top w:val="nil"/>
              <w:left w:val="nil"/>
              <w:bottom w:val="single" w:sz="8" w:space="0" w:color="auto"/>
              <w:right w:val="nil"/>
            </w:tcBorders>
            <w:vAlign w:val="bottom"/>
          </w:tcPr>
          <w:p w14:paraId="3902EFD1"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4.278.630 </w:t>
            </w:r>
          </w:p>
        </w:tc>
        <w:tc>
          <w:tcPr>
            <w:tcW w:w="483" w:type="pct"/>
            <w:tcBorders>
              <w:top w:val="nil"/>
              <w:left w:val="nil"/>
              <w:bottom w:val="single" w:sz="8" w:space="0" w:color="auto"/>
              <w:right w:val="nil"/>
            </w:tcBorders>
            <w:vAlign w:val="bottom"/>
          </w:tcPr>
          <w:p w14:paraId="40B6F733"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1.107.055 </w:t>
            </w:r>
          </w:p>
        </w:tc>
        <w:tc>
          <w:tcPr>
            <w:tcW w:w="483" w:type="pct"/>
            <w:tcBorders>
              <w:top w:val="nil"/>
              <w:left w:val="nil"/>
              <w:bottom w:val="single" w:sz="8" w:space="0" w:color="auto"/>
              <w:right w:val="nil"/>
            </w:tcBorders>
            <w:vAlign w:val="bottom"/>
          </w:tcPr>
          <w:p w14:paraId="463623F0"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3.700.985 </w:t>
            </w:r>
          </w:p>
        </w:tc>
        <w:tc>
          <w:tcPr>
            <w:tcW w:w="483" w:type="pct"/>
            <w:tcBorders>
              <w:top w:val="nil"/>
              <w:left w:val="nil"/>
              <w:bottom w:val="single" w:sz="8" w:space="0" w:color="auto"/>
              <w:right w:val="nil"/>
            </w:tcBorders>
            <w:vAlign w:val="bottom"/>
          </w:tcPr>
          <w:p w14:paraId="260D81CF"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5.523.119 </w:t>
            </w:r>
          </w:p>
        </w:tc>
        <w:tc>
          <w:tcPr>
            <w:tcW w:w="482" w:type="pct"/>
            <w:tcBorders>
              <w:top w:val="nil"/>
              <w:left w:val="nil"/>
              <w:bottom w:val="single" w:sz="8" w:space="0" w:color="auto"/>
              <w:right w:val="nil"/>
            </w:tcBorders>
            <w:vAlign w:val="bottom"/>
          </w:tcPr>
          <w:p w14:paraId="6F39B0F2"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12.398.219 </w:t>
            </w:r>
          </w:p>
        </w:tc>
        <w:tc>
          <w:tcPr>
            <w:tcW w:w="483" w:type="pct"/>
            <w:tcBorders>
              <w:top w:val="nil"/>
              <w:left w:val="nil"/>
              <w:bottom w:val="single" w:sz="8" w:space="0" w:color="auto"/>
              <w:right w:val="nil"/>
            </w:tcBorders>
            <w:vAlign w:val="bottom"/>
          </w:tcPr>
          <w:p w14:paraId="13463073"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1.988.548 </w:t>
            </w:r>
          </w:p>
        </w:tc>
        <w:tc>
          <w:tcPr>
            <w:tcW w:w="483" w:type="pct"/>
            <w:tcBorders>
              <w:top w:val="nil"/>
              <w:left w:val="nil"/>
              <w:bottom w:val="single" w:sz="8" w:space="0" w:color="auto"/>
              <w:right w:val="nil"/>
            </w:tcBorders>
            <w:vAlign w:val="bottom"/>
          </w:tcPr>
          <w:p w14:paraId="06BD5B10"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28.996.556 </w:t>
            </w:r>
          </w:p>
        </w:tc>
        <w:tc>
          <w:tcPr>
            <w:tcW w:w="483" w:type="pct"/>
            <w:tcBorders>
              <w:top w:val="nil"/>
              <w:left w:val="nil"/>
              <w:bottom w:val="single" w:sz="8" w:space="0" w:color="auto"/>
              <w:right w:val="nil"/>
            </w:tcBorders>
            <w:vAlign w:val="bottom"/>
          </w:tcPr>
          <w:p w14:paraId="295B1987"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25.684.484 </w:t>
            </w:r>
          </w:p>
        </w:tc>
      </w:tr>
      <w:tr w:rsidR="004E2F51" w:rsidRPr="00D47D1C" w14:paraId="7BCFEAF1" w14:textId="77777777" w:rsidTr="00E032FC">
        <w:trPr>
          <w:trHeight w:hRule="exact" w:val="187"/>
        </w:trPr>
        <w:tc>
          <w:tcPr>
            <w:tcW w:w="1138" w:type="pct"/>
            <w:vAlign w:val="bottom"/>
          </w:tcPr>
          <w:p w14:paraId="402C5484"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p>
        </w:tc>
        <w:tc>
          <w:tcPr>
            <w:tcW w:w="482" w:type="pct"/>
            <w:tcBorders>
              <w:top w:val="single" w:sz="12" w:space="0" w:color="auto"/>
              <w:left w:val="nil"/>
              <w:right w:val="nil"/>
            </w:tcBorders>
            <w:vAlign w:val="bottom"/>
          </w:tcPr>
          <w:p w14:paraId="7FB31D19"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15703D6C"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0DF11D19"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75F5F8C8"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2" w:type="pct"/>
            <w:tcBorders>
              <w:top w:val="single" w:sz="12" w:space="0" w:color="auto"/>
              <w:left w:val="nil"/>
              <w:right w:val="nil"/>
            </w:tcBorders>
            <w:vAlign w:val="bottom"/>
          </w:tcPr>
          <w:p w14:paraId="78561367"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19335546"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615B25D6"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00C7608E" w14:textId="77777777" w:rsidR="004E2F51" w:rsidRPr="00D47D1C" w:rsidRDefault="004E2F51" w:rsidP="00E032FC">
            <w:pPr>
              <w:jc w:val="right"/>
              <w:rPr>
                <w:rFonts w:ascii="Arial" w:eastAsia="Calibri" w:hAnsi="Arial" w:cs="Arial"/>
                <w:b/>
                <w:color w:val="000000" w:themeColor="text1"/>
                <w:sz w:val="15"/>
                <w:szCs w:val="15"/>
                <w:lang w:val="hr-HR"/>
              </w:rPr>
            </w:pPr>
          </w:p>
        </w:tc>
      </w:tr>
      <w:tr w:rsidR="004E2F51" w:rsidRPr="00D47D1C" w14:paraId="5CD1B33B" w14:textId="77777777" w:rsidTr="00E032FC">
        <w:trPr>
          <w:trHeight w:hRule="exact" w:val="235"/>
        </w:trPr>
        <w:tc>
          <w:tcPr>
            <w:tcW w:w="1138" w:type="pct"/>
          </w:tcPr>
          <w:p w14:paraId="72752B11"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bookmarkStart w:id="1811" w:name="_Toc67330585"/>
            <w:r w:rsidRPr="00D47D1C">
              <w:rPr>
                <w:rFonts w:ascii="Arial" w:eastAsia="Calibri" w:hAnsi="Arial" w:cs="Arial"/>
                <w:b/>
                <w:bCs/>
                <w:color w:val="000000" w:themeColor="text1"/>
                <w:sz w:val="15"/>
                <w:szCs w:val="15"/>
                <w:lang w:val="hr-HR"/>
              </w:rPr>
              <w:t>Obveze</w:t>
            </w:r>
            <w:bookmarkEnd w:id="1811"/>
          </w:p>
        </w:tc>
        <w:tc>
          <w:tcPr>
            <w:tcW w:w="482" w:type="pct"/>
            <w:tcBorders>
              <w:left w:val="nil"/>
              <w:right w:val="nil"/>
            </w:tcBorders>
            <w:vAlign w:val="bottom"/>
          </w:tcPr>
          <w:p w14:paraId="140218CD"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2F7E1A0F"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13BA8406"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75679419"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2" w:type="pct"/>
            <w:tcBorders>
              <w:left w:val="nil"/>
              <w:right w:val="nil"/>
            </w:tcBorders>
            <w:vAlign w:val="bottom"/>
          </w:tcPr>
          <w:p w14:paraId="21A96C95"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7BB76060"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44F93152"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26E5E6BD" w14:textId="77777777" w:rsidR="004E2F51" w:rsidRPr="00D47D1C" w:rsidRDefault="004E2F51" w:rsidP="00E032FC">
            <w:pPr>
              <w:jc w:val="right"/>
              <w:rPr>
                <w:rFonts w:ascii="Arial" w:eastAsia="Calibri" w:hAnsi="Arial" w:cs="Arial"/>
                <w:b/>
                <w:color w:val="000000" w:themeColor="text1"/>
                <w:sz w:val="15"/>
                <w:szCs w:val="15"/>
                <w:lang w:val="hr-HR"/>
              </w:rPr>
            </w:pPr>
          </w:p>
        </w:tc>
      </w:tr>
      <w:tr w:rsidR="004E2F51" w:rsidRPr="00D47D1C" w14:paraId="7508158D" w14:textId="77777777" w:rsidTr="00E032FC">
        <w:trPr>
          <w:trHeight w:hRule="exact" w:val="262"/>
        </w:trPr>
        <w:tc>
          <w:tcPr>
            <w:tcW w:w="1138" w:type="pct"/>
            <w:vAlign w:val="bottom"/>
          </w:tcPr>
          <w:p w14:paraId="73D5BEB7"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bookmarkStart w:id="1812" w:name="_Toc67330586"/>
            <w:r w:rsidRPr="00D47D1C">
              <w:rPr>
                <w:rFonts w:ascii="Arial" w:eastAsia="Calibri" w:hAnsi="Arial" w:cs="Arial"/>
                <w:color w:val="000000" w:themeColor="text1"/>
                <w:spacing w:val="-2"/>
                <w:sz w:val="15"/>
                <w:szCs w:val="15"/>
                <w:lang w:val="hr-HR"/>
              </w:rPr>
              <w:t>Obveze po depozitima</w:t>
            </w:r>
            <w:bookmarkEnd w:id="1812"/>
          </w:p>
        </w:tc>
        <w:tc>
          <w:tcPr>
            <w:tcW w:w="482" w:type="pct"/>
            <w:tcBorders>
              <w:top w:val="nil"/>
              <w:left w:val="nil"/>
              <w:bottom w:val="nil"/>
              <w:right w:val="nil"/>
            </w:tcBorders>
            <w:vAlign w:val="bottom"/>
          </w:tcPr>
          <w:p w14:paraId="6A025BFA"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150.690 </w:t>
            </w:r>
          </w:p>
        </w:tc>
        <w:tc>
          <w:tcPr>
            <w:tcW w:w="483" w:type="pct"/>
            <w:tcBorders>
              <w:top w:val="nil"/>
              <w:left w:val="nil"/>
              <w:bottom w:val="nil"/>
              <w:right w:val="nil"/>
            </w:tcBorders>
            <w:vAlign w:val="bottom"/>
          </w:tcPr>
          <w:p w14:paraId="778F7C6E"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56A57667"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24BC43BB"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2" w:type="pct"/>
            <w:tcBorders>
              <w:top w:val="nil"/>
              <w:left w:val="nil"/>
              <w:bottom w:val="nil"/>
              <w:right w:val="nil"/>
            </w:tcBorders>
            <w:vAlign w:val="bottom"/>
          </w:tcPr>
          <w:p w14:paraId="657F2F81"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5B4E4825"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873.933 </w:t>
            </w:r>
          </w:p>
        </w:tc>
        <w:tc>
          <w:tcPr>
            <w:tcW w:w="483" w:type="pct"/>
            <w:tcBorders>
              <w:top w:val="nil"/>
              <w:left w:val="nil"/>
              <w:bottom w:val="nil"/>
              <w:right w:val="nil"/>
            </w:tcBorders>
            <w:vAlign w:val="bottom"/>
          </w:tcPr>
          <w:p w14:paraId="65329CF0"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1.024.623 </w:t>
            </w:r>
          </w:p>
        </w:tc>
        <w:tc>
          <w:tcPr>
            <w:tcW w:w="483" w:type="pct"/>
            <w:tcBorders>
              <w:top w:val="nil"/>
              <w:left w:val="nil"/>
              <w:bottom w:val="nil"/>
              <w:right w:val="nil"/>
            </w:tcBorders>
            <w:vAlign w:val="bottom"/>
          </w:tcPr>
          <w:p w14:paraId="61BB99CC"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150.690 </w:t>
            </w:r>
          </w:p>
        </w:tc>
      </w:tr>
      <w:tr w:rsidR="004E2F51" w:rsidRPr="00D47D1C" w14:paraId="6F9FD9FD" w14:textId="77777777" w:rsidTr="00E032FC">
        <w:trPr>
          <w:trHeight w:hRule="exact" w:val="254"/>
        </w:trPr>
        <w:tc>
          <w:tcPr>
            <w:tcW w:w="1138" w:type="pct"/>
            <w:vAlign w:val="bottom"/>
          </w:tcPr>
          <w:p w14:paraId="522FB862"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bookmarkStart w:id="1813" w:name="_Toc67330587"/>
            <w:r w:rsidRPr="00D47D1C">
              <w:rPr>
                <w:rFonts w:ascii="Arial" w:eastAsia="Calibri" w:hAnsi="Arial" w:cs="Arial"/>
                <w:color w:val="000000" w:themeColor="text1"/>
                <w:spacing w:val="-2"/>
                <w:sz w:val="15"/>
                <w:szCs w:val="15"/>
                <w:lang w:val="hr-HR"/>
              </w:rPr>
              <w:t>Obveze po kreditima</w:t>
            </w:r>
            <w:bookmarkEnd w:id="1813"/>
          </w:p>
        </w:tc>
        <w:tc>
          <w:tcPr>
            <w:tcW w:w="482" w:type="pct"/>
            <w:tcBorders>
              <w:top w:val="nil"/>
              <w:left w:val="nil"/>
              <w:bottom w:val="nil"/>
              <w:right w:val="nil"/>
            </w:tcBorders>
            <w:vAlign w:val="bottom"/>
          </w:tcPr>
          <w:p w14:paraId="0BC172AD"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555.327 </w:t>
            </w:r>
          </w:p>
        </w:tc>
        <w:tc>
          <w:tcPr>
            <w:tcW w:w="483" w:type="pct"/>
            <w:tcBorders>
              <w:top w:val="nil"/>
              <w:left w:val="nil"/>
              <w:bottom w:val="nil"/>
              <w:right w:val="nil"/>
            </w:tcBorders>
            <w:vAlign w:val="bottom"/>
          </w:tcPr>
          <w:p w14:paraId="17591FFB"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290.734 </w:t>
            </w:r>
          </w:p>
        </w:tc>
        <w:tc>
          <w:tcPr>
            <w:tcW w:w="483" w:type="pct"/>
            <w:tcBorders>
              <w:top w:val="nil"/>
              <w:left w:val="nil"/>
              <w:bottom w:val="nil"/>
              <w:right w:val="nil"/>
            </w:tcBorders>
            <w:vAlign w:val="bottom"/>
          </w:tcPr>
          <w:p w14:paraId="512C9E73"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3.396.753 </w:t>
            </w:r>
          </w:p>
        </w:tc>
        <w:tc>
          <w:tcPr>
            <w:tcW w:w="483" w:type="pct"/>
            <w:tcBorders>
              <w:top w:val="nil"/>
              <w:left w:val="nil"/>
              <w:bottom w:val="nil"/>
              <w:right w:val="nil"/>
            </w:tcBorders>
            <w:vAlign w:val="bottom"/>
          </w:tcPr>
          <w:p w14:paraId="37C77972"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5.288.877 </w:t>
            </w:r>
          </w:p>
        </w:tc>
        <w:tc>
          <w:tcPr>
            <w:tcW w:w="482" w:type="pct"/>
            <w:tcBorders>
              <w:top w:val="nil"/>
              <w:left w:val="nil"/>
              <w:bottom w:val="nil"/>
              <w:right w:val="nil"/>
            </w:tcBorders>
            <w:vAlign w:val="bottom"/>
          </w:tcPr>
          <w:p w14:paraId="7A8AD1D1"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6.939.483 </w:t>
            </w:r>
          </w:p>
        </w:tc>
        <w:tc>
          <w:tcPr>
            <w:tcW w:w="483" w:type="pct"/>
            <w:tcBorders>
              <w:top w:val="nil"/>
              <w:left w:val="nil"/>
              <w:bottom w:val="nil"/>
              <w:right w:val="nil"/>
            </w:tcBorders>
            <w:vAlign w:val="bottom"/>
          </w:tcPr>
          <w:p w14:paraId="3AA0431A"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30.102 </w:t>
            </w:r>
          </w:p>
        </w:tc>
        <w:tc>
          <w:tcPr>
            <w:tcW w:w="483" w:type="pct"/>
            <w:tcBorders>
              <w:top w:val="nil"/>
              <w:left w:val="nil"/>
              <w:bottom w:val="nil"/>
              <w:right w:val="nil"/>
            </w:tcBorders>
            <w:vAlign w:val="bottom"/>
          </w:tcPr>
          <w:p w14:paraId="313AFFCF"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16.501.276 </w:t>
            </w:r>
          </w:p>
        </w:tc>
        <w:tc>
          <w:tcPr>
            <w:tcW w:w="483" w:type="pct"/>
            <w:tcBorders>
              <w:top w:val="nil"/>
              <w:left w:val="nil"/>
              <w:bottom w:val="nil"/>
              <w:right w:val="nil"/>
            </w:tcBorders>
            <w:vAlign w:val="bottom"/>
          </w:tcPr>
          <w:p w14:paraId="3F7466FD"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16.317.392 </w:t>
            </w:r>
          </w:p>
        </w:tc>
      </w:tr>
      <w:tr w:rsidR="004E2F51" w:rsidRPr="00D47D1C" w14:paraId="77E24865" w14:textId="77777777" w:rsidTr="00E032FC">
        <w:trPr>
          <w:trHeight w:hRule="exact" w:val="468"/>
        </w:trPr>
        <w:tc>
          <w:tcPr>
            <w:tcW w:w="1138" w:type="pct"/>
            <w:vAlign w:val="bottom"/>
          </w:tcPr>
          <w:p w14:paraId="627AB632" w14:textId="77777777" w:rsidR="004E2F51" w:rsidRPr="00D47D1C" w:rsidRDefault="004E2F51" w:rsidP="00E032FC">
            <w:pPr>
              <w:tabs>
                <w:tab w:val="right" w:pos="1202"/>
              </w:tabs>
              <w:spacing w:line="240" w:lineRule="exact"/>
              <w:outlineLvl w:val="0"/>
              <w:rPr>
                <w:rFonts w:ascii="Arial" w:eastAsia="Calibri" w:hAnsi="Arial" w:cs="Arial"/>
                <w:color w:val="000000" w:themeColor="text1"/>
                <w:spacing w:val="-2"/>
                <w:sz w:val="15"/>
                <w:szCs w:val="15"/>
                <w:lang w:val="hr-HR"/>
              </w:rPr>
            </w:pPr>
            <w:bookmarkStart w:id="1814" w:name="_Toc67330589"/>
            <w:r w:rsidRPr="00D47D1C">
              <w:rPr>
                <w:rFonts w:ascii="Arial" w:eastAsia="Calibri" w:hAnsi="Arial" w:cs="Arial"/>
                <w:color w:val="000000" w:themeColor="text1"/>
                <w:spacing w:val="-2"/>
                <w:sz w:val="15"/>
                <w:szCs w:val="15"/>
                <w:lang w:val="hr-HR"/>
              </w:rPr>
              <w:t>Rezerviranja za garancije, preuzete i ostale obveze</w:t>
            </w:r>
            <w:bookmarkEnd w:id="1814"/>
          </w:p>
        </w:tc>
        <w:tc>
          <w:tcPr>
            <w:tcW w:w="482" w:type="pct"/>
            <w:tcBorders>
              <w:top w:val="nil"/>
              <w:left w:val="nil"/>
              <w:bottom w:val="nil"/>
              <w:right w:val="nil"/>
            </w:tcBorders>
            <w:vAlign w:val="bottom"/>
          </w:tcPr>
          <w:p w14:paraId="18AC7C99"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2C34CAA8"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004F570B"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7ECAE376"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2" w:type="pct"/>
            <w:tcBorders>
              <w:top w:val="nil"/>
              <w:left w:val="nil"/>
              <w:bottom w:val="nil"/>
              <w:right w:val="nil"/>
            </w:tcBorders>
            <w:vAlign w:val="bottom"/>
          </w:tcPr>
          <w:p w14:paraId="488514FD"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3482FE29"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142.715 </w:t>
            </w:r>
          </w:p>
        </w:tc>
        <w:tc>
          <w:tcPr>
            <w:tcW w:w="483" w:type="pct"/>
            <w:tcBorders>
              <w:top w:val="nil"/>
              <w:left w:val="nil"/>
              <w:bottom w:val="nil"/>
              <w:right w:val="nil"/>
            </w:tcBorders>
            <w:vAlign w:val="bottom"/>
          </w:tcPr>
          <w:p w14:paraId="205D32FA"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142.715 </w:t>
            </w:r>
          </w:p>
        </w:tc>
        <w:tc>
          <w:tcPr>
            <w:tcW w:w="483" w:type="pct"/>
            <w:tcBorders>
              <w:top w:val="nil"/>
              <w:left w:val="nil"/>
              <w:bottom w:val="nil"/>
              <w:right w:val="nil"/>
            </w:tcBorders>
            <w:vAlign w:val="bottom"/>
          </w:tcPr>
          <w:p w14:paraId="3279709F"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r>
      <w:tr w:rsidR="004E2F51" w:rsidRPr="00D47D1C" w14:paraId="535E5E0F" w14:textId="77777777" w:rsidTr="00E032FC">
        <w:trPr>
          <w:trHeight w:hRule="exact" w:val="251"/>
        </w:trPr>
        <w:tc>
          <w:tcPr>
            <w:tcW w:w="1138" w:type="pct"/>
            <w:vAlign w:val="bottom"/>
          </w:tcPr>
          <w:p w14:paraId="3F003337"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bookmarkStart w:id="1815" w:name="_Toc67330590"/>
            <w:r w:rsidRPr="00D47D1C">
              <w:rPr>
                <w:rFonts w:ascii="Arial" w:eastAsia="Calibri" w:hAnsi="Arial" w:cs="Arial"/>
                <w:color w:val="000000" w:themeColor="text1"/>
                <w:spacing w:val="-2"/>
                <w:sz w:val="15"/>
                <w:szCs w:val="15"/>
                <w:lang w:val="hr-HR"/>
              </w:rPr>
              <w:t>Ostale obveze</w:t>
            </w:r>
            <w:bookmarkEnd w:id="1815"/>
          </w:p>
        </w:tc>
        <w:tc>
          <w:tcPr>
            <w:tcW w:w="482" w:type="pct"/>
            <w:tcBorders>
              <w:top w:val="nil"/>
              <w:left w:val="nil"/>
              <w:bottom w:val="nil"/>
              <w:right w:val="nil"/>
            </w:tcBorders>
            <w:vAlign w:val="bottom"/>
          </w:tcPr>
          <w:p w14:paraId="05B9ADCF"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3F4D9619"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1E8403E4"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tcBorders>
              <w:top w:val="nil"/>
              <w:left w:val="nil"/>
              <w:bottom w:val="nil"/>
              <w:right w:val="nil"/>
            </w:tcBorders>
            <w:vAlign w:val="bottom"/>
          </w:tcPr>
          <w:p w14:paraId="49960E41"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2" w:type="pct"/>
            <w:tcBorders>
              <w:top w:val="nil"/>
              <w:left w:val="nil"/>
              <w:bottom w:val="nil"/>
              <w:right w:val="nil"/>
            </w:tcBorders>
            <w:vAlign w:val="bottom"/>
          </w:tcPr>
          <w:p w14:paraId="1CADB7F2"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3" w:type="pct"/>
            <w:tcBorders>
              <w:top w:val="nil"/>
              <w:left w:val="nil"/>
              <w:right w:val="nil"/>
            </w:tcBorders>
            <w:vAlign w:val="bottom"/>
          </w:tcPr>
          <w:p w14:paraId="4F767AB5"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676.523 </w:t>
            </w:r>
          </w:p>
        </w:tc>
        <w:tc>
          <w:tcPr>
            <w:tcW w:w="483" w:type="pct"/>
            <w:tcBorders>
              <w:top w:val="nil"/>
              <w:left w:val="nil"/>
              <w:right w:val="nil"/>
            </w:tcBorders>
            <w:vAlign w:val="bottom"/>
          </w:tcPr>
          <w:p w14:paraId="0F4E49A6"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676.523 </w:t>
            </w:r>
          </w:p>
        </w:tc>
        <w:tc>
          <w:tcPr>
            <w:tcW w:w="483" w:type="pct"/>
            <w:tcBorders>
              <w:top w:val="nil"/>
              <w:left w:val="nil"/>
              <w:right w:val="nil"/>
            </w:tcBorders>
            <w:vAlign w:val="bottom"/>
          </w:tcPr>
          <w:p w14:paraId="496C1B41"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r>
      <w:tr w:rsidR="004E2F51" w:rsidRPr="00D47D1C" w14:paraId="44047BBA" w14:textId="77777777" w:rsidTr="00E032FC">
        <w:trPr>
          <w:trHeight w:hRule="exact" w:val="281"/>
        </w:trPr>
        <w:tc>
          <w:tcPr>
            <w:tcW w:w="1138" w:type="pct"/>
            <w:vAlign w:val="bottom"/>
          </w:tcPr>
          <w:p w14:paraId="664B504C"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bookmarkStart w:id="1816" w:name="_Toc67330591"/>
            <w:r w:rsidRPr="00D47D1C">
              <w:rPr>
                <w:rFonts w:ascii="Arial" w:eastAsia="Calibri" w:hAnsi="Arial" w:cs="Arial"/>
                <w:b/>
                <w:bCs/>
                <w:color w:val="000000" w:themeColor="text1"/>
                <w:sz w:val="15"/>
                <w:szCs w:val="15"/>
                <w:lang w:val="hr-HR"/>
              </w:rPr>
              <w:t>Obveze</w:t>
            </w:r>
            <w:bookmarkEnd w:id="1816"/>
          </w:p>
        </w:tc>
        <w:tc>
          <w:tcPr>
            <w:tcW w:w="482" w:type="pct"/>
            <w:tcBorders>
              <w:top w:val="single" w:sz="8" w:space="0" w:color="auto"/>
              <w:left w:val="nil"/>
              <w:bottom w:val="single" w:sz="12" w:space="0" w:color="auto"/>
              <w:right w:val="nil"/>
            </w:tcBorders>
            <w:vAlign w:val="bottom"/>
          </w:tcPr>
          <w:p w14:paraId="72544E32"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706.017 </w:t>
            </w:r>
          </w:p>
        </w:tc>
        <w:tc>
          <w:tcPr>
            <w:tcW w:w="483" w:type="pct"/>
            <w:tcBorders>
              <w:top w:val="single" w:sz="8" w:space="0" w:color="auto"/>
              <w:left w:val="nil"/>
              <w:bottom w:val="single" w:sz="12" w:space="0" w:color="auto"/>
              <w:right w:val="nil"/>
            </w:tcBorders>
            <w:vAlign w:val="bottom"/>
          </w:tcPr>
          <w:p w14:paraId="2748C528"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290.734 </w:t>
            </w:r>
          </w:p>
        </w:tc>
        <w:tc>
          <w:tcPr>
            <w:tcW w:w="483" w:type="pct"/>
            <w:tcBorders>
              <w:top w:val="single" w:sz="8" w:space="0" w:color="auto"/>
              <w:left w:val="nil"/>
              <w:bottom w:val="single" w:sz="12" w:space="0" w:color="auto"/>
              <w:right w:val="nil"/>
            </w:tcBorders>
            <w:vAlign w:val="bottom"/>
          </w:tcPr>
          <w:p w14:paraId="2DC06613"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3.396.753 </w:t>
            </w:r>
          </w:p>
        </w:tc>
        <w:tc>
          <w:tcPr>
            <w:tcW w:w="483" w:type="pct"/>
            <w:tcBorders>
              <w:top w:val="single" w:sz="8" w:space="0" w:color="auto"/>
              <w:left w:val="nil"/>
              <w:bottom w:val="single" w:sz="12" w:space="0" w:color="auto"/>
              <w:right w:val="nil"/>
            </w:tcBorders>
            <w:vAlign w:val="bottom"/>
          </w:tcPr>
          <w:p w14:paraId="4918B8E0"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5.288.877 </w:t>
            </w:r>
          </w:p>
        </w:tc>
        <w:tc>
          <w:tcPr>
            <w:tcW w:w="482" w:type="pct"/>
            <w:tcBorders>
              <w:top w:val="single" w:sz="8" w:space="0" w:color="auto"/>
              <w:left w:val="nil"/>
              <w:bottom w:val="single" w:sz="12" w:space="0" w:color="auto"/>
              <w:right w:val="nil"/>
            </w:tcBorders>
            <w:vAlign w:val="bottom"/>
          </w:tcPr>
          <w:p w14:paraId="54793846"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6.939.483 </w:t>
            </w:r>
          </w:p>
        </w:tc>
        <w:tc>
          <w:tcPr>
            <w:tcW w:w="483" w:type="pct"/>
            <w:tcBorders>
              <w:top w:val="single" w:sz="8" w:space="0" w:color="auto"/>
              <w:left w:val="nil"/>
              <w:bottom w:val="single" w:sz="12" w:space="0" w:color="auto"/>
              <w:right w:val="nil"/>
            </w:tcBorders>
            <w:vAlign w:val="bottom"/>
          </w:tcPr>
          <w:p w14:paraId="4970B989"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1.723.273 </w:t>
            </w:r>
          </w:p>
        </w:tc>
        <w:tc>
          <w:tcPr>
            <w:tcW w:w="483" w:type="pct"/>
            <w:tcBorders>
              <w:top w:val="single" w:sz="8" w:space="0" w:color="auto"/>
              <w:left w:val="nil"/>
              <w:bottom w:val="single" w:sz="12" w:space="0" w:color="auto"/>
              <w:right w:val="nil"/>
            </w:tcBorders>
            <w:vAlign w:val="bottom"/>
          </w:tcPr>
          <w:p w14:paraId="048A8A06"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18.345.137 </w:t>
            </w:r>
          </w:p>
        </w:tc>
        <w:tc>
          <w:tcPr>
            <w:tcW w:w="483" w:type="pct"/>
            <w:tcBorders>
              <w:top w:val="single" w:sz="8" w:space="0" w:color="auto"/>
              <w:left w:val="nil"/>
              <w:bottom w:val="single" w:sz="12" w:space="0" w:color="auto"/>
              <w:right w:val="nil"/>
            </w:tcBorders>
            <w:vAlign w:val="bottom"/>
          </w:tcPr>
          <w:p w14:paraId="51DDC612"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16.468.082 </w:t>
            </w:r>
          </w:p>
        </w:tc>
      </w:tr>
      <w:tr w:rsidR="004E2F51" w:rsidRPr="00D47D1C" w14:paraId="62BBA3EC" w14:textId="77777777" w:rsidTr="00E032FC">
        <w:trPr>
          <w:trHeight w:hRule="exact" w:val="285"/>
        </w:trPr>
        <w:tc>
          <w:tcPr>
            <w:tcW w:w="1138" w:type="pct"/>
            <w:vAlign w:val="bottom"/>
          </w:tcPr>
          <w:p w14:paraId="7B0B6A94"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bookmarkStart w:id="1817" w:name="_Toc67330592"/>
            <w:r w:rsidRPr="00D47D1C">
              <w:rPr>
                <w:rFonts w:ascii="Arial" w:eastAsia="Calibri" w:hAnsi="Arial" w:cs="Arial"/>
                <w:b/>
                <w:bCs/>
                <w:color w:val="000000" w:themeColor="text1"/>
                <w:spacing w:val="-2"/>
                <w:sz w:val="15"/>
                <w:szCs w:val="15"/>
                <w:lang w:val="hr-HR"/>
              </w:rPr>
              <w:t>Kamatni jaz</w:t>
            </w:r>
            <w:bookmarkEnd w:id="1817"/>
          </w:p>
        </w:tc>
        <w:tc>
          <w:tcPr>
            <w:tcW w:w="482" w:type="pct"/>
            <w:tcBorders>
              <w:top w:val="nil"/>
              <w:left w:val="nil"/>
              <w:bottom w:val="single" w:sz="12" w:space="0" w:color="auto"/>
              <w:right w:val="nil"/>
            </w:tcBorders>
            <w:shd w:val="clear" w:color="auto" w:fill="auto"/>
            <w:vAlign w:val="bottom"/>
          </w:tcPr>
          <w:p w14:paraId="0004B212"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3.572.613 </w:t>
            </w:r>
          </w:p>
        </w:tc>
        <w:tc>
          <w:tcPr>
            <w:tcW w:w="483" w:type="pct"/>
            <w:tcBorders>
              <w:top w:val="nil"/>
              <w:left w:val="nil"/>
              <w:bottom w:val="single" w:sz="12" w:space="0" w:color="auto"/>
              <w:right w:val="nil"/>
            </w:tcBorders>
            <w:shd w:val="clear" w:color="auto" w:fill="auto"/>
            <w:vAlign w:val="bottom"/>
          </w:tcPr>
          <w:p w14:paraId="4F300B38"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816.321 </w:t>
            </w:r>
          </w:p>
        </w:tc>
        <w:tc>
          <w:tcPr>
            <w:tcW w:w="483" w:type="pct"/>
            <w:tcBorders>
              <w:top w:val="nil"/>
              <w:left w:val="nil"/>
              <w:bottom w:val="single" w:sz="12" w:space="0" w:color="auto"/>
              <w:right w:val="nil"/>
            </w:tcBorders>
            <w:shd w:val="clear" w:color="auto" w:fill="auto"/>
            <w:vAlign w:val="bottom"/>
          </w:tcPr>
          <w:p w14:paraId="012B4368"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304.232 </w:t>
            </w:r>
          </w:p>
        </w:tc>
        <w:tc>
          <w:tcPr>
            <w:tcW w:w="483" w:type="pct"/>
            <w:tcBorders>
              <w:top w:val="nil"/>
              <w:left w:val="nil"/>
              <w:bottom w:val="single" w:sz="12" w:space="0" w:color="auto"/>
              <w:right w:val="nil"/>
            </w:tcBorders>
            <w:shd w:val="clear" w:color="auto" w:fill="auto"/>
            <w:vAlign w:val="bottom"/>
          </w:tcPr>
          <w:p w14:paraId="73C5A8DF"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234.242 </w:t>
            </w:r>
          </w:p>
        </w:tc>
        <w:tc>
          <w:tcPr>
            <w:tcW w:w="482" w:type="pct"/>
            <w:tcBorders>
              <w:top w:val="nil"/>
              <w:left w:val="nil"/>
              <w:bottom w:val="single" w:sz="12" w:space="0" w:color="auto"/>
              <w:right w:val="nil"/>
            </w:tcBorders>
            <w:shd w:val="clear" w:color="auto" w:fill="auto"/>
            <w:vAlign w:val="bottom"/>
          </w:tcPr>
          <w:p w14:paraId="00EC66C8"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5.458.736 </w:t>
            </w:r>
          </w:p>
        </w:tc>
        <w:tc>
          <w:tcPr>
            <w:tcW w:w="483" w:type="pct"/>
            <w:tcBorders>
              <w:top w:val="nil"/>
              <w:left w:val="nil"/>
              <w:bottom w:val="single" w:sz="12" w:space="0" w:color="auto"/>
              <w:right w:val="nil"/>
            </w:tcBorders>
            <w:shd w:val="clear" w:color="auto" w:fill="auto"/>
            <w:vAlign w:val="bottom"/>
          </w:tcPr>
          <w:p w14:paraId="082FB7BD"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265.275 </w:t>
            </w:r>
          </w:p>
        </w:tc>
        <w:tc>
          <w:tcPr>
            <w:tcW w:w="483" w:type="pct"/>
            <w:tcBorders>
              <w:top w:val="nil"/>
              <w:left w:val="nil"/>
              <w:bottom w:val="single" w:sz="12" w:space="0" w:color="auto"/>
              <w:right w:val="nil"/>
            </w:tcBorders>
            <w:shd w:val="clear" w:color="auto" w:fill="auto"/>
            <w:vAlign w:val="bottom"/>
          </w:tcPr>
          <w:p w14:paraId="29A8802A"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10.651.419 </w:t>
            </w:r>
          </w:p>
        </w:tc>
        <w:tc>
          <w:tcPr>
            <w:tcW w:w="483" w:type="pct"/>
            <w:tcBorders>
              <w:top w:val="nil"/>
              <w:left w:val="nil"/>
              <w:bottom w:val="single" w:sz="12" w:space="0" w:color="auto"/>
              <w:right w:val="nil"/>
            </w:tcBorders>
            <w:shd w:val="clear" w:color="auto" w:fill="auto"/>
            <w:vAlign w:val="bottom"/>
          </w:tcPr>
          <w:p w14:paraId="40499A92"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9.216.402 </w:t>
            </w:r>
          </w:p>
        </w:tc>
      </w:tr>
    </w:tbl>
    <w:p w14:paraId="538C84D4" w14:textId="77777777" w:rsidR="004E2F51" w:rsidRPr="00D47D1C" w:rsidRDefault="004E2F51" w:rsidP="004E2F51">
      <w:pPr>
        <w:tabs>
          <w:tab w:val="left" w:pos="-720"/>
        </w:tabs>
        <w:spacing w:line="360" w:lineRule="auto"/>
        <w:ind w:right="-5"/>
        <w:jc w:val="both"/>
        <w:rPr>
          <w:rFonts w:ascii="Arial" w:hAnsi="Arial" w:cs="Arial"/>
          <w:color w:val="000000" w:themeColor="text1"/>
          <w:sz w:val="20"/>
          <w:szCs w:val="20"/>
          <w:lang w:val="hr-HR"/>
        </w:rPr>
        <w:sectPr w:rsidR="004E2F51" w:rsidRPr="00D47D1C" w:rsidSect="00623DBA">
          <w:footerReference w:type="default" r:id="rId209"/>
          <w:pgSz w:w="11907" w:h="16840" w:code="9"/>
          <w:pgMar w:top="1418" w:right="1134" w:bottom="1134" w:left="1418" w:header="851" w:footer="851" w:gutter="0"/>
          <w:cols w:space="720"/>
          <w:noEndnote/>
        </w:sectPr>
      </w:pPr>
    </w:p>
    <w:p w14:paraId="50D088AA" w14:textId="77777777" w:rsidR="004E2F51" w:rsidRPr="00D47D1C" w:rsidRDefault="004E2F51" w:rsidP="004E2F51">
      <w:pPr>
        <w:pStyle w:val="T1"/>
        <w:spacing w:before="0" w:after="0" w:line="240" w:lineRule="auto"/>
        <w:rPr>
          <w:rFonts w:cs="Arial"/>
          <w:color w:val="000000" w:themeColor="text1"/>
          <w:sz w:val="20"/>
          <w:lang w:val="hr-HR"/>
        </w:rPr>
      </w:pPr>
    </w:p>
    <w:p w14:paraId="6B17BED1" w14:textId="77777777" w:rsidR="004E2F51" w:rsidRPr="00D47D1C" w:rsidRDefault="004E2F51" w:rsidP="004E2F51">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Pr>
          <w:rFonts w:cs="Arial"/>
          <w:color w:val="000000" w:themeColor="text1"/>
          <w:sz w:val="20"/>
          <w:lang w:val="hr-HR"/>
        </w:rPr>
        <w:t>1</w:t>
      </w:r>
      <w:r w:rsidRPr="00D47D1C">
        <w:rPr>
          <w:rFonts w:cs="Arial"/>
          <w:color w:val="000000" w:themeColor="text1"/>
          <w:sz w:val="20"/>
          <w:lang w:val="hr-HR"/>
        </w:rPr>
        <w:t>.        Upravljanje rizicima (nastavak)</w:t>
      </w:r>
    </w:p>
    <w:p w14:paraId="090048B2" w14:textId="77777777" w:rsidR="004E2F51" w:rsidRPr="00D47D1C" w:rsidRDefault="004E2F51" w:rsidP="004E2F51">
      <w:pPr>
        <w:pStyle w:val="T1"/>
        <w:spacing w:before="0" w:after="0" w:line="240" w:lineRule="auto"/>
        <w:ind w:left="709" w:hanging="709"/>
        <w:rPr>
          <w:rFonts w:cs="Arial"/>
          <w:color w:val="000000" w:themeColor="text1"/>
          <w:sz w:val="20"/>
          <w:lang w:val="hr-HR"/>
        </w:rPr>
      </w:pPr>
    </w:p>
    <w:p w14:paraId="6AF19660" w14:textId="77777777" w:rsidR="004E2F51" w:rsidRPr="00D47D1C" w:rsidRDefault="004E2F51" w:rsidP="004E2F51">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Pr>
          <w:rFonts w:cs="Arial"/>
          <w:color w:val="000000" w:themeColor="text1"/>
          <w:sz w:val="20"/>
          <w:lang w:val="hr-HR"/>
        </w:rPr>
        <w:t>1</w:t>
      </w:r>
      <w:r w:rsidRPr="00D47D1C">
        <w:rPr>
          <w:rFonts w:cs="Arial"/>
          <w:color w:val="000000" w:themeColor="text1"/>
          <w:sz w:val="20"/>
          <w:lang w:val="hr-HR"/>
        </w:rPr>
        <w:t>.5.     Tržišni rizik (nastavak)</w:t>
      </w:r>
    </w:p>
    <w:p w14:paraId="5122C62D" w14:textId="77777777" w:rsidR="004E2F51" w:rsidRPr="00D47D1C" w:rsidRDefault="004E2F51" w:rsidP="004E2F51">
      <w:pPr>
        <w:pStyle w:val="T1"/>
        <w:spacing w:before="0" w:after="0" w:line="240" w:lineRule="auto"/>
        <w:ind w:left="709" w:hanging="709"/>
        <w:rPr>
          <w:rFonts w:cs="Arial"/>
          <w:color w:val="000000" w:themeColor="text1"/>
          <w:sz w:val="20"/>
          <w:lang w:val="hr-HR"/>
        </w:rPr>
      </w:pPr>
    </w:p>
    <w:p w14:paraId="3E199C5E" w14:textId="77777777" w:rsidR="004E2F51" w:rsidRPr="00D47D1C" w:rsidRDefault="004E2F51" w:rsidP="004E2F51">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Pr>
          <w:rFonts w:cs="Arial"/>
          <w:color w:val="000000" w:themeColor="text1"/>
          <w:sz w:val="20"/>
          <w:lang w:val="hr-HR"/>
        </w:rPr>
        <w:t>1</w:t>
      </w:r>
      <w:r w:rsidRPr="00D47D1C">
        <w:rPr>
          <w:rFonts w:cs="Arial"/>
          <w:color w:val="000000" w:themeColor="text1"/>
          <w:sz w:val="20"/>
          <w:lang w:val="hr-HR"/>
        </w:rPr>
        <w:t>.5.1.  Kamatni rizik (nastavak)</w:t>
      </w:r>
    </w:p>
    <w:p w14:paraId="77908AD3" w14:textId="77777777" w:rsidR="004E2F51" w:rsidRPr="00D47D1C" w:rsidRDefault="004E2F51" w:rsidP="004E2F51">
      <w:pPr>
        <w:tabs>
          <w:tab w:val="left" w:pos="-720"/>
        </w:tabs>
        <w:spacing w:line="360" w:lineRule="auto"/>
        <w:ind w:right="-5"/>
        <w:jc w:val="both"/>
        <w:rPr>
          <w:rFonts w:ascii="Arial" w:hAnsi="Arial" w:cs="Arial"/>
          <w:color w:val="000000" w:themeColor="text1"/>
          <w:sz w:val="20"/>
          <w:szCs w:val="20"/>
          <w:lang w:val="hr-HR"/>
        </w:rPr>
      </w:pPr>
    </w:p>
    <w:tbl>
      <w:tblPr>
        <w:tblW w:w="5662" w:type="pct"/>
        <w:tblInd w:w="-851" w:type="dxa"/>
        <w:tblLayout w:type="fixed"/>
        <w:tblCellMar>
          <w:left w:w="120" w:type="dxa"/>
          <w:right w:w="120" w:type="dxa"/>
        </w:tblCellMar>
        <w:tblLook w:val="0000" w:firstRow="0" w:lastRow="0" w:firstColumn="0" w:lastColumn="0" w:noHBand="0" w:noVBand="0"/>
      </w:tblPr>
      <w:tblGrid>
        <w:gridCol w:w="2412"/>
        <w:gridCol w:w="1022"/>
        <w:gridCol w:w="1024"/>
        <w:gridCol w:w="1023"/>
        <w:gridCol w:w="1023"/>
        <w:gridCol w:w="1021"/>
        <w:gridCol w:w="1023"/>
        <w:gridCol w:w="1023"/>
        <w:gridCol w:w="1023"/>
      </w:tblGrid>
      <w:tr w:rsidR="004E2F51" w:rsidRPr="00D47D1C" w14:paraId="58BAA480" w14:textId="77777777" w:rsidTr="00E032FC">
        <w:trPr>
          <w:trHeight w:val="533"/>
        </w:trPr>
        <w:tc>
          <w:tcPr>
            <w:tcW w:w="1138" w:type="pct"/>
          </w:tcPr>
          <w:p w14:paraId="7F2AC832" w14:textId="77777777" w:rsidR="004E2F51" w:rsidRPr="00D47D1C" w:rsidRDefault="004E2F51" w:rsidP="00E032FC">
            <w:pPr>
              <w:tabs>
                <w:tab w:val="right" w:pos="1202"/>
              </w:tabs>
              <w:spacing w:line="240" w:lineRule="atLeas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Grupa</w:t>
            </w:r>
          </w:p>
          <w:p w14:paraId="274F16A2" w14:textId="77777777" w:rsidR="004E2F51" w:rsidRPr="00D47D1C" w:rsidRDefault="004E2F51" w:rsidP="00E032FC">
            <w:pPr>
              <w:tabs>
                <w:tab w:val="right" w:pos="1202"/>
              </w:tabs>
              <w:spacing w:line="240" w:lineRule="atLeas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31. prosinca 2021.</w:t>
            </w:r>
          </w:p>
        </w:tc>
        <w:tc>
          <w:tcPr>
            <w:tcW w:w="482" w:type="pct"/>
          </w:tcPr>
          <w:p w14:paraId="2024110E"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Do 1 mjesec</w:t>
            </w:r>
          </w:p>
        </w:tc>
        <w:tc>
          <w:tcPr>
            <w:tcW w:w="483" w:type="pct"/>
          </w:tcPr>
          <w:p w14:paraId="22AF1583"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 do 3 mjeseca</w:t>
            </w:r>
          </w:p>
        </w:tc>
        <w:tc>
          <w:tcPr>
            <w:tcW w:w="483" w:type="pct"/>
          </w:tcPr>
          <w:p w14:paraId="31D90ABF"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3 mj. do 1 godine</w:t>
            </w:r>
          </w:p>
        </w:tc>
        <w:tc>
          <w:tcPr>
            <w:tcW w:w="483" w:type="pct"/>
          </w:tcPr>
          <w:p w14:paraId="6E7E1827"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 do 3 godina</w:t>
            </w:r>
          </w:p>
        </w:tc>
        <w:tc>
          <w:tcPr>
            <w:tcW w:w="482" w:type="pct"/>
          </w:tcPr>
          <w:p w14:paraId="7671770B"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Preko 3 godine</w:t>
            </w:r>
          </w:p>
        </w:tc>
        <w:tc>
          <w:tcPr>
            <w:tcW w:w="483" w:type="pct"/>
          </w:tcPr>
          <w:p w14:paraId="79F0C9F8"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Beska-matno</w:t>
            </w:r>
          </w:p>
        </w:tc>
        <w:tc>
          <w:tcPr>
            <w:tcW w:w="483" w:type="pct"/>
          </w:tcPr>
          <w:p w14:paraId="25811B5E"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Ukupno</w:t>
            </w:r>
          </w:p>
        </w:tc>
        <w:tc>
          <w:tcPr>
            <w:tcW w:w="483" w:type="pct"/>
          </w:tcPr>
          <w:p w14:paraId="6503AAC1"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Fiksna kamatna stopa</w:t>
            </w:r>
          </w:p>
        </w:tc>
      </w:tr>
      <w:tr w:rsidR="004E2F51" w:rsidRPr="00D47D1C" w14:paraId="4C7D2141" w14:textId="77777777" w:rsidTr="00E032FC">
        <w:trPr>
          <w:trHeight w:val="258"/>
        </w:trPr>
        <w:tc>
          <w:tcPr>
            <w:tcW w:w="1138" w:type="pct"/>
            <w:vAlign w:val="bottom"/>
          </w:tcPr>
          <w:p w14:paraId="0B459C0B" w14:textId="77777777" w:rsidR="004E2F51" w:rsidRPr="00D47D1C" w:rsidRDefault="004E2F51" w:rsidP="00E032FC">
            <w:pPr>
              <w:tabs>
                <w:tab w:val="right" w:pos="1202"/>
              </w:tabs>
              <w:spacing w:line="240" w:lineRule="atLeast"/>
              <w:outlineLvl w:val="0"/>
              <w:rPr>
                <w:rFonts w:ascii="Arial" w:eastAsia="Calibri" w:hAnsi="Arial" w:cs="Arial"/>
                <w:b/>
                <w:color w:val="000000" w:themeColor="text1"/>
                <w:sz w:val="15"/>
                <w:szCs w:val="15"/>
                <w:lang w:val="hr-HR"/>
              </w:rPr>
            </w:pPr>
          </w:p>
        </w:tc>
        <w:tc>
          <w:tcPr>
            <w:tcW w:w="482" w:type="pct"/>
          </w:tcPr>
          <w:p w14:paraId="088007CC"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000 kuna</w:t>
            </w:r>
          </w:p>
        </w:tc>
        <w:tc>
          <w:tcPr>
            <w:tcW w:w="483" w:type="pct"/>
          </w:tcPr>
          <w:p w14:paraId="32B7E09F"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000 kuna</w:t>
            </w:r>
          </w:p>
        </w:tc>
        <w:tc>
          <w:tcPr>
            <w:tcW w:w="483" w:type="pct"/>
          </w:tcPr>
          <w:p w14:paraId="5331007D"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000 kuna</w:t>
            </w:r>
          </w:p>
        </w:tc>
        <w:tc>
          <w:tcPr>
            <w:tcW w:w="483" w:type="pct"/>
          </w:tcPr>
          <w:p w14:paraId="19EC9540"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000 kuna</w:t>
            </w:r>
          </w:p>
        </w:tc>
        <w:tc>
          <w:tcPr>
            <w:tcW w:w="482" w:type="pct"/>
          </w:tcPr>
          <w:p w14:paraId="242689ED"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000 kuna</w:t>
            </w:r>
          </w:p>
        </w:tc>
        <w:tc>
          <w:tcPr>
            <w:tcW w:w="483" w:type="pct"/>
          </w:tcPr>
          <w:p w14:paraId="7585FC1F"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000 kuna</w:t>
            </w:r>
          </w:p>
        </w:tc>
        <w:tc>
          <w:tcPr>
            <w:tcW w:w="483" w:type="pct"/>
          </w:tcPr>
          <w:p w14:paraId="302625DA"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000 kuna</w:t>
            </w:r>
          </w:p>
        </w:tc>
        <w:tc>
          <w:tcPr>
            <w:tcW w:w="483" w:type="pct"/>
          </w:tcPr>
          <w:p w14:paraId="4286E7F3"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000 kuna</w:t>
            </w:r>
          </w:p>
        </w:tc>
      </w:tr>
      <w:tr w:rsidR="004E2F51" w:rsidRPr="00D47D1C" w14:paraId="3ECEEC39" w14:textId="77777777" w:rsidTr="00E032FC">
        <w:trPr>
          <w:trHeight w:val="227"/>
        </w:trPr>
        <w:tc>
          <w:tcPr>
            <w:tcW w:w="1138" w:type="pct"/>
            <w:vAlign w:val="bottom"/>
          </w:tcPr>
          <w:p w14:paraId="77719B7E" w14:textId="77777777" w:rsidR="004E2F51" w:rsidRPr="00D47D1C" w:rsidRDefault="004E2F51" w:rsidP="00E032FC">
            <w:pPr>
              <w:tabs>
                <w:tab w:val="left" w:pos="-720"/>
              </w:tabs>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Imovina</w:t>
            </w:r>
          </w:p>
        </w:tc>
        <w:tc>
          <w:tcPr>
            <w:tcW w:w="482" w:type="pct"/>
          </w:tcPr>
          <w:p w14:paraId="5C672BA8"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83" w:type="pct"/>
          </w:tcPr>
          <w:p w14:paraId="7D02A1AC"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83" w:type="pct"/>
          </w:tcPr>
          <w:p w14:paraId="690134EC"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83" w:type="pct"/>
          </w:tcPr>
          <w:p w14:paraId="6E58423C"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82" w:type="pct"/>
          </w:tcPr>
          <w:p w14:paraId="4AF1E557"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83" w:type="pct"/>
          </w:tcPr>
          <w:p w14:paraId="3CF82A06" w14:textId="77777777" w:rsidR="004E2F51" w:rsidRPr="00D47D1C" w:rsidRDefault="004E2F51" w:rsidP="00E032FC">
            <w:pPr>
              <w:tabs>
                <w:tab w:val="left" w:pos="-720"/>
              </w:tabs>
              <w:spacing w:line="360" w:lineRule="auto"/>
              <w:jc w:val="right"/>
              <w:rPr>
                <w:rFonts w:ascii="Arial" w:eastAsia="Calibri" w:hAnsi="Arial" w:cs="Arial"/>
                <w:color w:val="000000" w:themeColor="text1"/>
                <w:sz w:val="15"/>
                <w:szCs w:val="15"/>
                <w:lang w:val="hr-HR"/>
              </w:rPr>
            </w:pPr>
          </w:p>
        </w:tc>
        <w:tc>
          <w:tcPr>
            <w:tcW w:w="483" w:type="pct"/>
          </w:tcPr>
          <w:p w14:paraId="177105D8"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83" w:type="pct"/>
          </w:tcPr>
          <w:p w14:paraId="65F9E4E4"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r>
      <w:tr w:rsidR="004E2F51" w:rsidRPr="00D47D1C" w14:paraId="51063893" w14:textId="77777777" w:rsidTr="00E032FC">
        <w:trPr>
          <w:trHeight w:val="217"/>
        </w:trPr>
        <w:tc>
          <w:tcPr>
            <w:tcW w:w="1138" w:type="pct"/>
            <w:vAlign w:val="bottom"/>
          </w:tcPr>
          <w:p w14:paraId="2349280A"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Novčana sredstva i računi kod banaka</w:t>
            </w:r>
          </w:p>
        </w:tc>
        <w:tc>
          <w:tcPr>
            <w:tcW w:w="482" w:type="pct"/>
            <w:vAlign w:val="bottom"/>
          </w:tcPr>
          <w:p w14:paraId="4891DF99"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84.268</w:t>
            </w:r>
          </w:p>
        </w:tc>
        <w:tc>
          <w:tcPr>
            <w:tcW w:w="483" w:type="pct"/>
            <w:vAlign w:val="bottom"/>
          </w:tcPr>
          <w:p w14:paraId="1F3BD3DD"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vAlign w:val="bottom"/>
          </w:tcPr>
          <w:p w14:paraId="553B929C"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vAlign w:val="bottom"/>
          </w:tcPr>
          <w:p w14:paraId="697455E4"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2" w:type="pct"/>
            <w:vAlign w:val="bottom"/>
          </w:tcPr>
          <w:p w14:paraId="2F100942"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vAlign w:val="bottom"/>
          </w:tcPr>
          <w:p w14:paraId="1540055E"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1.877.718</w:t>
            </w:r>
          </w:p>
        </w:tc>
        <w:tc>
          <w:tcPr>
            <w:tcW w:w="483" w:type="pct"/>
            <w:vAlign w:val="bottom"/>
          </w:tcPr>
          <w:p w14:paraId="541A9933"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1.961.986</w:t>
            </w:r>
          </w:p>
        </w:tc>
        <w:tc>
          <w:tcPr>
            <w:tcW w:w="483" w:type="pct"/>
            <w:vAlign w:val="bottom"/>
          </w:tcPr>
          <w:p w14:paraId="1B742042"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84.268</w:t>
            </w:r>
          </w:p>
        </w:tc>
      </w:tr>
      <w:tr w:rsidR="004E2F51" w:rsidRPr="00D47D1C" w14:paraId="23B55C82" w14:textId="77777777" w:rsidTr="00E032FC">
        <w:trPr>
          <w:trHeight w:val="206"/>
        </w:trPr>
        <w:tc>
          <w:tcPr>
            <w:tcW w:w="1138" w:type="pct"/>
            <w:vAlign w:val="bottom"/>
          </w:tcPr>
          <w:p w14:paraId="76B54CDF"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Depoziti kod drugih banaka</w:t>
            </w:r>
          </w:p>
        </w:tc>
        <w:tc>
          <w:tcPr>
            <w:tcW w:w="482" w:type="pct"/>
            <w:vAlign w:val="bottom"/>
          </w:tcPr>
          <w:p w14:paraId="2452EF50"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vAlign w:val="bottom"/>
          </w:tcPr>
          <w:p w14:paraId="1CB3A3E9"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vAlign w:val="bottom"/>
          </w:tcPr>
          <w:p w14:paraId="32A3DEF0"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vAlign w:val="bottom"/>
          </w:tcPr>
          <w:p w14:paraId="53AC66FE"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2" w:type="pct"/>
            <w:vAlign w:val="bottom"/>
          </w:tcPr>
          <w:p w14:paraId="17F7F4E5"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vAlign w:val="bottom"/>
          </w:tcPr>
          <w:p w14:paraId="1E7AA7C5"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7.500</w:t>
            </w:r>
          </w:p>
        </w:tc>
        <w:tc>
          <w:tcPr>
            <w:tcW w:w="483" w:type="pct"/>
            <w:vAlign w:val="bottom"/>
          </w:tcPr>
          <w:p w14:paraId="6282FB58"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7.500</w:t>
            </w:r>
          </w:p>
        </w:tc>
        <w:tc>
          <w:tcPr>
            <w:tcW w:w="483" w:type="pct"/>
            <w:vAlign w:val="bottom"/>
          </w:tcPr>
          <w:p w14:paraId="55F14372"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r>
      <w:tr w:rsidR="004E2F51" w:rsidRPr="00D47D1C" w14:paraId="62C2F10E" w14:textId="77777777" w:rsidTr="00E032FC">
        <w:trPr>
          <w:trHeight w:val="164"/>
        </w:trPr>
        <w:tc>
          <w:tcPr>
            <w:tcW w:w="1138" w:type="pct"/>
            <w:vAlign w:val="bottom"/>
          </w:tcPr>
          <w:p w14:paraId="7FAAB6DF"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financijskim institucijama</w:t>
            </w:r>
          </w:p>
        </w:tc>
        <w:tc>
          <w:tcPr>
            <w:tcW w:w="482" w:type="pct"/>
            <w:tcBorders>
              <w:top w:val="nil"/>
              <w:left w:val="nil"/>
              <w:bottom w:val="nil"/>
              <w:right w:val="nil"/>
            </w:tcBorders>
            <w:vAlign w:val="bottom"/>
          </w:tcPr>
          <w:p w14:paraId="53368C6F"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136.649</w:t>
            </w:r>
          </w:p>
        </w:tc>
        <w:tc>
          <w:tcPr>
            <w:tcW w:w="483" w:type="pct"/>
            <w:tcBorders>
              <w:top w:val="nil"/>
              <w:left w:val="nil"/>
              <w:bottom w:val="nil"/>
              <w:right w:val="nil"/>
            </w:tcBorders>
            <w:vAlign w:val="bottom"/>
          </w:tcPr>
          <w:p w14:paraId="6EB66F3D"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300.681</w:t>
            </w:r>
          </w:p>
        </w:tc>
        <w:tc>
          <w:tcPr>
            <w:tcW w:w="483" w:type="pct"/>
            <w:tcBorders>
              <w:top w:val="nil"/>
              <w:left w:val="nil"/>
              <w:bottom w:val="nil"/>
              <w:right w:val="nil"/>
            </w:tcBorders>
            <w:vAlign w:val="bottom"/>
          </w:tcPr>
          <w:p w14:paraId="67D66D18"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794.823</w:t>
            </w:r>
          </w:p>
        </w:tc>
        <w:tc>
          <w:tcPr>
            <w:tcW w:w="483" w:type="pct"/>
            <w:tcBorders>
              <w:top w:val="nil"/>
              <w:left w:val="nil"/>
              <w:bottom w:val="nil"/>
              <w:right w:val="nil"/>
            </w:tcBorders>
            <w:vAlign w:val="bottom"/>
          </w:tcPr>
          <w:p w14:paraId="28242E54"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1.825.594</w:t>
            </w:r>
          </w:p>
        </w:tc>
        <w:tc>
          <w:tcPr>
            <w:tcW w:w="482" w:type="pct"/>
            <w:tcBorders>
              <w:top w:val="nil"/>
              <w:left w:val="nil"/>
              <w:bottom w:val="nil"/>
              <w:right w:val="nil"/>
            </w:tcBorders>
            <w:vAlign w:val="bottom"/>
          </w:tcPr>
          <w:p w14:paraId="0F12029E"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3.989.089</w:t>
            </w:r>
          </w:p>
        </w:tc>
        <w:tc>
          <w:tcPr>
            <w:tcW w:w="483" w:type="pct"/>
            <w:tcBorders>
              <w:top w:val="nil"/>
              <w:left w:val="nil"/>
              <w:bottom w:val="nil"/>
              <w:right w:val="nil"/>
            </w:tcBorders>
            <w:vAlign w:val="bottom"/>
          </w:tcPr>
          <w:p w14:paraId="40FB206B"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3.307</w:t>
            </w:r>
          </w:p>
        </w:tc>
        <w:tc>
          <w:tcPr>
            <w:tcW w:w="483" w:type="pct"/>
            <w:tcBorders>
              <w:top w:val="nil"/>
              <w:left w:val="nil"/>
              <w:bottom w:val="nil"/>
              <w:right w:val="nil"/>
            </w:tcBorders>
            <w:vAlign w:val="bottom"/>
          </w:tcPr>
          <w:p w14:paraId="7D178B79"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7.050.143</w:t>
            </w:r>
          </w:p>
        </w:tc>
        <w:tc>
          <w:tcPr>
            <w:tcW w:w="483" w:type="pct"/>
            <w:tcBorders>
              <w:top w:val="nil"/>
              <w:left w:val="nil"/>
              <w:bottom w:val="nil"/>
              <w:right w:val="nil"/>
            </w:tcBorders>
            <w:vAlign w:val="bottom"/>
          </w:tcPr>
          <w:p w14:paraId="0B4EA2A9"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6.925.020</w:t>
            </w:r>
          </w:p>
        </w:tc>
      </w:tr>
      <w:tr w:rsidR="004E2F51" w:rsidRPr="00D47D1C" w14:paraId="7D718D7C" w14:textId="77777777" w:rsidTr="00E032FC">
        <w:trPr>
          <w:trHeight w:val="92"/>
        </w:trPr>
        <w:tc>
          <w:tcPr>
            <w:tcW w:w="1138" w:type="pct"/>
            <w:vAlign w:val="bottom"/>
          </w:tcPr>
          <w:p w14:paraId="6BA680BF"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ostalim korisnicima</w:t>
            </w:r>
          </w:p>
        </w:tc>
        <w:tc>
          <w:tcPr>
            <w:tcW w:w="482" w:type="pct"/>
            <w:tcBorders>
              <w:top w:val="nil"/>
              <w:left w:val="nil"/>
              <w:bottom w:val="nil"/>
              <w:right w:val="nil"/>
            </w:tcBorders>
            <w:vAlign w:val="bottom"/>
          </w:tcPr>
          <w:p w14:paraId="6DA61758"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1.721.753</w:t>
            </w:r>
          </w:p>
        </w:tc>
        <w:tc>
          <w:tcPr>
            <w:tcW w:w="483" w:type="pct"/>
            <w:tcBorders>
              <w:top w:val="nil"/>
              <w:left w:val="nil"/>
              <w:bottom w:val="nil"/>
              <w:right w:val="nil"/>
            </w:tcBorders>
            <w:vAlign w:val="bottom"/>
          </w:tcPr>
          <w:p w14:paraId="17DA83D5"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643.354</w:t>
            </w:r>
          </w:p>
        </w:tc>
        <w:tc>
          <w:tcPr>
            <w:tcW w:w="483" w:type="pct"/>
            <w:tcBorders>
              <w:top w:val="nil"/>
              <w:left w:val="nil"/>
              <w:bottom w:val="nil"/>
              <w:right w:val="nil"/>
            </w:tcBorders>
            <w:vAlign w:val="bottom"/>
          </w:tcPr>
          <w:p w14:paraId="35003568"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1.294.971</w:t>
            </w:r>
          </w:p>
        </w:tc>
        <w:tc>
          <w:tcPr>
            <w:tcW w:w="483" w:type="pct"/>
            <w:tcBorders>
              <w:top w:val="nil"/>
              <w:left w:val="nil"/>
              <w:bottom w:val="nil"/>
              <w:right w:val="nil"/>
            </w:tcBorders>
            <w:vAlign w:val="bottom"/>
          </w:tcPr>
          <w:p w14:paraId="640DA501"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3.130.097</w:t>
            </w:r>
          </w:p>
        </w:tc>
        <w:tc>
          <w:tcPr>
            <w:tcW w:w="482" w:type="pct"/>
            <w:tcBorders>
              <w:top w:val="nil"/>
              <w:left w:val="nil"/>
              <w:bottom w:val="nil"/>
              <w:right w:val="nil"/>
            </w:tcBorders>
            <w:vAlign w:val="bottom"/>
          </w:tcPr>
          <w:p w14:paraId="7A80097A"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8.977.083</w:t>
            </w:r>
          </w:p>
        </w:tc>
        <w:tc>
          <w:tcPr>
            <w:tcW w:w="483" w:type="pct"/>
            <w:tcBorders>
              <w:top w:val="nil"/>
              <w:left w:val="nil"/>
              <w:bottom w:val="nil"/>
              <w:right w:val="nil"/>
            </w:tcBorders>
            <w:vAlign w:val="bottom"/>
          </w:tcPr>
          <w:p w14:paraId="1CF87FAA"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197.118</w:t>
            </w:r>
          </w:p>
        </w:tc>
        <w:tc>
          <w:tcPr>
            <w:tcW w:w="483" w:type="pct"/>
            <w:tcBorders>
              <w:top w:val="nil"/>
              <w:left w:val="nil"/>
              <w:bottom w:val="nil"/>
              <w:right w:val="nil"/>
            </w:tcBorders>
            <w:vAlign w:val="bottom"/>
          </w:tcPr>
          <w:p w14:paraId="0446576E"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15.964.376</w:t>
            </w:r>
          </w:p>
        </w:tc>
        <w:tc>
          <w:tcPr>
            <w:tcW w:w="483" w:type="pct"/>
            <w:tcBorders>
              <w:top w:val="nil"/>
              <w:left w:val="nil"/>
              <w:bottom w:val="nil"/>
              <w:right w:val="nil"/>
            </w:tcBorders>
            <w:vAlign w:val="bottom"/>
          </w:tcPr>
          <w:p w14:paraId="1994D30E"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14.941.579</w:t>
            </w:r>
          </w:p>
        </w:tc>
      </w:tr>
      <w:tr w:rsidR="004E2F51" w:rsidRPr="00D47D1C" w14:paraId="09C68CE6" w14:textId="77777777" w:rsidTr="00E032FC">
        <w:trPr>
          <w:trHeight w:val="170"/>
        </w:trPr>
        <w:tc>
          <w:tcPr>
            <w:tcW w:w="1138" w:type="pct"/>
            <w:vAlign w:val="bottom"/>
          </w:tcPr>
          <w:p w14:paraId="084DC03E"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dobit ili gubitak</w:t>
            </w:r>
          </w:p>
        </w:tc>
        <w:tc>
          <w:tcPr>
            <w:tcW w:w="482" w:type="pct"/>
            <w:vAlign w:val="bottom"/>
          </w:tcPr>
          <w:p w14:paraId="29D4B71C"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vAlign w:val="bottom"/>
          </w:tcPr>
          <w:p w14:paraId="60816391"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vAlign w:val="bottom"/>
          </w:tcPr>
          <w:p w14:paraId="5ED5ACEE"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vAlign w:val="bottom"/>
          </w:tcPr>
          <w:p w14:paraId="46581EF2"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2" w:type="pct"/>
            <w:vAlign w:val="bottom"/>
          </w:tcPr>
          <w:p w14:paraId="3DA806C0"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16.375</w:t>
            </w:r>
          </w:p>
        </w:tc>
        <w:tc>
          <w:tcPr>
            <w:tcW w:w="483" w:type="pct"/>
            <w:vAlign w:val="bottom"/>
          </w:tcPr>
          <w:p w14:paraId="7217CF9C"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202.609</w:t>
            </w:r>
          </w:p>
        </w:tc>
        <w:tc>
          <w:tcPr>
            <w:tcW w:w="483" w:type="pct"/>
            <w:vAlign w:val="bottom"/>
          </w:tcPr>
          <w:p w14:paraId="1684880A"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218.984</w:t>
            </w:r>
          </w:p>
        </w:tc>
        <w:tc>
          <w:tcPr>
            <w:tcW w:w="483" w:type="pct"/>
            <w:vAlign w:val="bottom"/>
          </w:tcPr>
          <w:p w14:paraId="75639E8D"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16.375</w:t>
            </w:r>
          </w:p>
        </w:tc>
      </w:tr>
      <w:tr w:rsidR="004E2F51" w:rsidRPr="00D47D1C" w14:paraId="52F9AEFE" w14:textId="77777777" w:rsidTr="00E032FC">
        <w:trPr>
          <w:trHeight w:val="163"/>
        </w:trPr>
        <w:tc>
          <w:tcPr>
            <w:tcW w:w="1138" w:type="pct"/>
            <w:vAlign w:val="bottom"/>
          </w:tcPr>
          <w:p w14:paraId="211808D5"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ostalu sveobuhvatnu dobit</w:t>
            </w:r>
          </w:p>
        </w:tc>
        <w:tc>
          <w:tcPr>
            <w:tcW w:w="482" w:type="pct"/>
            <w:vAlign w:val="bottom"/>
          </w:tcPr>
          <w:p w14:paraId="32178C7A"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2.913.647</w:t>
            </w:r>
          </w:p>
        </w:tc>
        <w:tc>
          <w:tcPr>
            <w:tcW w:w="483" w:type="pct"/>
            <w:vAlign w:val="bottom"/>
          </w:tcPr>
          <w:p w14:paraId="4C74E788"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vAlign w:val="bottom"/>
          </w:tcPr>
          <w:p w14:paraId="3BE323A0"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vAlign w:val="bottom"/>
          </w:tcPr>
          <w:p w14:paraId="13DA7517"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2" w:type="pct"/>
            <w:vAlign w:val="bottom"/>
          </w:tcPr>
          <w:p w14:paraId="3ECA9D2A"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vAlign w:val="bottom"/>
          </w:tcPr>
          <w:p w14:paraId="7DFC3BBB"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58.883</w:t>
            </w:r>
          </w:p>
        </w:tc>
        <w:tc>
          <w:tcPr>
            <w:tcW w:w="483" w:type="pct"/>
            <w:vAlign w:val="bottom"/>
          </w:tcPr>
          <w:p w14:paraId="508C6F37"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2.972.530</w:t>
            </w:r>
          </w:p>
        </w:tc>
        <w:tc>
          <w:tcPr>
            <w:tcW w:w="483" w:type="pct"/>
            <w:vAlign w:val="bottom"/>
          </w:tcPr>
          <w:p w14:paraId="36937B9B"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2.913.647</w:t>
            </w:r>
          </w:p>
        </w:tc>
      </w:tr>
      <w:tr w:rsidR="004E2F51" w:rsidRPr="00D47D1C" w14:paraId="578DB823" w14:textId="77777777" w:rsidTr="00E032FC">
        <w:trPr>
          <w:trHeight w:val="206"/>
        </w:trPr>
        <w:tc>
          <w:tcPr>
            <w:tcW w:w="1138" w:type="pct"/>
            <w:vAlign w:val="bottom"/>
          </w:tcPr>
          <w:p w14:paraId="4FBB1D44"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Ostala imovina</w:t>
            </w:r>
          </w:p>
        </w:tc>
        <w:tc>
          <w:tcPr>
            <w:tcW w:w="482" w:type="pct"/>
            <w:tcBorders>
              <w:bottom w:val="single" w:sz="4" w:space="0" w:color="auto"/>
            </w:tcBorders>
            <w:vAlign w:val="bottom"/>
          </w:tcPr>
          <w:p w14:paraId="585E8F1F"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tcBorders>
              <w:bottom w:val="single" w:sz="4" w:space="0" w:color="auto"/>
            </w:tcBorders>
            <w:vAlign w:val="bottom"/>
          </w:tcPr>
          <w:p w14:paraId="3EA574CC"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tcBorders>
              <w:bottom w:val="single" w:sz="4" w:space="0" w:color="auto"/>
            </w:tcBorders>
            <w:vAlign w:val="bottom"/>
          </w:tcPr>
          <w:p w14:paraId="6C7E9C76"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tcBorders>
              <w:bottom w:val="single" w:sz="4" w:space="0" w:color="auto"/>
            </w:tcBorders>
            <w:vAlign w:val="bottom"/>
          </w:tcPr>
          <w:p w14:paraId="5045395A"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2" w:type="pct"/>
            <w:tcBorders>
              <w:bottom w:val="single" w:sz="4" w:space="0" w:color="auto"/>
            </w:tcBorders>
            <w:vAlign w:val="bottom"/>
          </w:tcPr>
          <w:p w14:paraId="0AB60D7C"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tcBorders>
              <w:bottom w:val="single" w:sz="4" w:space="0" w:color="auto"/>
            </w:tcBorders>
            <w:vAlign w:val="bottom"/>
          </w:tcPr>
          <w:p w14:paraId="05301515"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37.537</w:t>
            </w:r>
          </w:p>
        </w:tc>
        <w:tc>
          <w:tcPr>
            <w:tcW w:w="483" w:type="pct"/>
            <w:tcBorders>
              <w:bottom w:val="single" w:sz="4" w:space="0" w:color="auto"/>
            </w:tcBorders>
            <w:vAlign w:val="bottom"/>
          </w:tcPr>
          <w:p w14:paraId="20A5819A"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37.537</w:t>
            </w:r>
          </w:p>
        </w:tc>
        <w:tc>
          <w:tcPr>
            <w:tcW w:w="483" w:type="pct"/>
            <w:tcBorders>
              <w:bottom w:val="single" w:sz="4" w:space="0" w:color="auto"/>
            </w:tcBorders>
            <w:vAlign w:val="bottom"/>
          </w:tcPr>
          <w:p w14:paraId="0869A28D" w14:textId="77777777" w:rsidR="004E2F51" w:rsidRPr="00D47D1C" w:rsidRDefault="004E2F51" w:rsidP="00E032FC">
            <w:pPr>
              <w:jc w:val="right"/>
              <w:rPr>
                <w:rFonts w:ascii="Arial" w:eastAsia="Calibri" w:hAnsi="Arial" w:cs="Arial"/>
                <w:bCs/>
                <w:color w:val="000000" w:themeColor="text1"/>
                <w:sz w:val="15"/>
                <w:szCs w:val="15"/>
                <w:lang w:val="hr-HR"/>
              </w:rPr>
            </w:pPr>
          </w:p>
        </w:tc>
      </w:tr>
      <w:tr w:rsidR="004E2F51" w:rsidRPr="00D47D1C" w14:paraId="083156F5" w14:textId="77777777" w:rsidTr="00E032FC">
        <w:trPr>
          <w:trHeight w:hRule="exact" w:val="308"/>
        </w:trPr>
        <w:tc>
          <w:tcPr>
            <w:tcW w:w="1138" w:type="pct"/>
            <w:vAlign w:val="bottom"/>
          </w:tcPr>
          <w:p w14:paraId="72DE0A67"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 xml:space="preserve">Imovina </w:t>
            </w:r>
          </w:p>
        </w:tc>
        <w:tc>
          <w:tcPr>
            <w:tcW w:w="482" w:type="pct"/>
            <w:tcBorders>
              <w:top w:val="nil"/>
              <w:left w:val="nil"/>
              <w:bottom w:val="single" w:sz="8" w:space="0" w:color="auto"/>
              <w:right w:val="nil"/>
            </w:tcBorders>
            <w:vAlign w:val="bottom"/>
          </w:tcPr>
          <w:p w14:paraId="4B41FCA4"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4.856.317</w:t>
            </w:r>
          </w:p>
        </w:tc>
        <w:tc>
          <w:tcPr>
            <w:tcW w:w="483" w:type="pct"/>
            <w:tcBorders>
              <w:top w:val="nil"/>
              <w:left w:val="nil"/>
              <w:bottom w:val="single" w:sz="8" w:space="0" w:color="auto"/>
              <w:right w:val="nil"/>
            </w:tcBorders>
            <w:vAlign w:val="bottom"/>
          </w:tcPr>
          <w:p w14:paraId="3D85F6B8"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944.035</w:t>
            </w:r>
          </w:p>
        </w:tc>
        <w:tc>
          <w:tcPr>
            <w:tcW w:w="483" w:type="pct"/>
            <w:tcBorders>
              <w:top w:val="nil"/>
              <w:left w:val="nil"/>
              <w:bottom w:val="single" w:sz="8" w:space="0" w:color="auto"/>
              <w:right w:val="nil"/>
            </w:tcBorders>
            <w:vAlign w:val="bottom"/>
          </w:tcPr>
          <w:p w14:paraId="5756D433"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2.089.794</w:t>
            </w:r>
          </w:p>
        </w:tc>
        <w:tc>
          <w:tcPr>
            <w:tcW w:w="483" w:type="pct"/>
            <w:tcBorders>
              <w:top w:val="nil"/>
              <w:left w:val="nil"/>
              <w:bottom w:val="single" w:sz="8" w:space="0" w:color="auto"/>
              <w:right w:val="nil"/>
            </w:tcBorders>
            <w:vAlign w:val="bottom"/>
          </w:tcPr>
          <w:p w14:paraId="39177CD3"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4.955.691</w:t>
            </w:r>
          </w:p>
        </w:tc>
        <w:tc>
          <w:tcPr>
            <w:tcW w:w="482" w:type="pct"/>
            <w:tcBorders>
              <w:top w:val="nil"/>
              <w:left w:val="nil"/>
              <w:bottom w:val="single" w:sz="8" w:space="0" w:color="auto"/>
              <w:right w:val="nil"/>
            </w:tcBorders>
            <w:vAlign w:val="bottom"/>
          </w:tcPr>
          <w:p w14:paraId="551C6B64"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12.982.547</w:t>
            </w:r>
          </w:p>
        </w:tc>
        <w:tc>
          <w:tcPr>
            <w:tcW w:w="483" w:type="pct"/>
            <w:tcBorders>
              <w:top w:val="nil"/>
              <w:left w:val="nil"/>
              <w:bottom w:val="single" w:sz="8" w:space="0" w:color="auto"/>
              <w:right w:val="nil"/>
            </w:tcBorders>
            <w:vAlign w:val="bottom"/>
          </w:tcPr>
          <w:p w14:paraId="3E50B2C5"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2.384.672</w:t>
            </w:r>
          </w:p>
        </w:tc>
        <w:tc>
          <w:tcPr>
            <w:tcW w:w="483" w:type="pct"/>
            <w:tcBorders>
              <w:top w:val="nil"/>
              <w:left w:val="nil"/>
              <w:bottom w:val="single" w:sz="8" w:space="0" w:color="auto"/>
              <w:right w:val="nil"/>
            </w:tcBorders>
            <w:vAlign w:val="bottom"/>
          </w:tcPr>
          <w:p w14:paraId="38E7086F"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28.213.056</w:t>
            </w:r>
          </w:p>
        </w:tc>
        <w:tc>
          <w:tcPr>
            <w:tcW w:w="483" w:type="pct"/>
            <w:tcBorders>
              <w:top w:val="nil"/>
              <w:left w:val="nil"/>
              <w:bottom w:val="single" w:sz="8" w:space="0" w:color="auto"/>
              <w:right w:val="nil"/>
            </w:tcBorders>
            <w:vAlign w:val="bottom"/>
          </w:tcPr>
          <w:p w14:paraId="123B4E23"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24.880.889</w:t>
            </w:r>
          </w:p>
        </w:tc>
      </w:tr>
      <w:tr w:rsidR="004E2F51" w:rsidRPr="00D47D1C" w14:paraId="159F9F63" w14:textId="77777777" w:rsidTr="00E032FC">
        <w:trPr>
          <w:trHeight w:hRule="exact" w:val="187"/>
        </w:trPr>
        <w:tc>
          <w:tcPr>
            <w:tcW w:w="1138" w:type="pct"/>
            <w:vAlign w:val="bottom"/>
          </w:tcPr>
          <w:p w14:paraId="67E197FE"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p>
        </w:tc>
        <w:tc>
          <w:tcPr>
            <w:tcW w:w="482" w:type="pct"/>
            <w:tcBorders>
              <w:top w:val="single" w:sz="12" w:space="0" w:color="auto"/>
              <w:left w:val="nil"/>
              <w:right w:val="nil"/>
            </w:tcBorders>
            <w:vAlign w:val="bottom"/>
          </w:tcPr>
          <w:p w14:paraId="5490E4CE"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55A6A480"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7501B164"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5CFF42EF"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2" w:type="pct"/>
            <w:tcBorders>
              <w:top w:val="single" w:sz="12" w:space="0" w:color="auto"/>
              <w:left w:val="nil"/>
              <w:right w:val="nil"/>
            </w:tcBorders>
            <w:vAlign w:val="bottom"/>
          </w:tcPr>
          <w:p w14:paraId="47B7C389"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6FD52A25"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5FBEC34D"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top w:val="single" w:sz="12" w:space="0" w:color="auto"/>
              <w:left w:val="nil"/>
              <w:right w:val="nil"/>
            </w:tcBorders>
            <w:vAlign w:val="bottom"/>
          </w:tcPr>
          <w:p w14:paraId="34575689" w14:textId="77777777" w:rsidR="004E2F51" w:rsidRPr="00D47D1C" w:rsidRDefault="004E2F51" w:rsidP="00E032FC">
            <w:pPr>
              <w:jc w:val="right"/>
              <w:rPr>
                <w:rFonts w:ascii="Arial" w:eastAsia="Calibri" w:hAnsi="Arial" w:cs="Arial"/>
                <w:b/>
                <w:color w:val="000000" w:themeColor="text1"/>
                <w:sz w:val="15"/>
                <w:szCs w:val="15"/>
                <w:lang w:val="hr-HR"/>
              </w:rPr>
            </w:pPr>
          </w:p>
        </w:tc>
      </w:tr>
      <w:tr w:rsidR="004E2F51" w:rsidRPr="00D47D1C" w14:paraId="0DB78AF6" w14:textId="77777777" w:rsidTr="00E032FC">
        <w:trPr>
          <w:trHeight w:hRule="exact" w:val="235"/>
        </w:trPr>
        <w:tc>
          <w:tcPr>
            <w:tcW w:w="1138" w:type="pct"/>
          </w:tcPr>
          <w:p w14:paraId="27B255BC"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Obveze</w:t>
            </w:r>
          </w:p>
        </w:tc>
        <w:tc>
          <w:tcPr>
            <w:tcW w:w="482" w:type="pct"/>
            <w:tcBorders>
              <w:left w:val="nil"/>
              <w:right w:val="nil"/>
            </w:tcBorders>
            <w:vAlign w:val="bottom"/>
          </w:tcPr>
          <w:p w14:paraId="7F8FCCAF"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4AAC490A"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4E7ADB06"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5A315F94"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2" w:type="pct"/>
            <w:tcBorders>
              <w:left w:val="nil"/>
              <w:right w:val="nil"/>
            </w:tcBorders>
            <w:vAlign w:val="bottom"/>
          </w:tcPr>
          <w:p w14:paraId="332C87E9"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4E66B2A3"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54DFEB82"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3" w:type="pct"/>
            <w:tcBorders>
              <w:left w:val="nil"/>
              <w:right w:val="nil"/>
            </w:tcBorders>
            <w:vAlign w:val="bottom"/>
          </w:tcPr>
          <w:p w14:paraId="2D5AC154" w14:textId="77777777" w:rsidR="004E2F51" w:rsidRPr="00D47D1C" w:rsidRDefault="004E2F51" w:rsidP="00E032FC">
            <w:pPr>
              <w:jc w:val="right"/>
              <w:rPr>
                <w:rFonts w:ascii="Arial" w:eastAsia="Calibri" w:hAnsi="Arial" w:cs="Arial"/>
                <w:b/>
                <w:color w:val="000000" w:themeColor="text1"/>
                <w:sz w:val="15"/>
                <w:szCs w:val="15"/>
                <w:lang w:val="hr-HR"/>
              </w:rPr>
            </w:pPr>
          </w:p>
        </w:tc>
      </w:tr>
      <w:tr w:rsidR="004E2F51" w:rsidRPr="00D47D1C" w14:paraId="5002D62B" w14:textId="77777777" w:rsidTr="00E032FC">
        <w:trPr>
          <w:trHeight w:hRule="exact" w:val="262"/>
        </w:trPr>
        <w:tc>
          <w:tcPr>
            <w:tcW w:w="1138" w:type="pct"/>
            <w:vAlign w:val="bottom"/>
          </w:tcPr>
          <w:p w14:paraId="555AB1DE"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Obveze po depozitima</w:t>
            </w:r>
          </w:p>
        </w:tc>
        <w:tc>
          <w:tcPr>
            <w:tcW w:w="482" w:type="pct"/>
            <w:tcBorders>
              <w:top w:val="nil"/>
              <w:left w:val="nil"/>
              <w:bottom w:val="nil"/>
              <w:right w:val="nil"/>
            </w:tcBorders>
            <w:vAlign w:val="bottom"/>
          </w:tcPr>
          <w:p w14:paraId="13667BD3"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417.163</w:t>
            </w:r>
          </w:p>
        </w:tc>
        <w:tc>
          <w:tcPr>
            <w:tcW w:w="483" w:type="pct"/>
            <w:tcBorders>
              <w:top w:val="nil"/>
              <w:left w:val="nil"/>
              <w:bottom w:val="nil"/>
              <w:right w:val="nil"/>
            </w:tcBorders>
            <w:vAlign w:val="bottom"/>
          </w:tcPr>
          <w:p w14:paraId="5DA90FE3"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tcBorders>
              <w:top w:val="nil"/>
              <w:left w:val="nil"/>
              <w:bottom w:val="nil"/>
              <w:right w:val="nil"/>
            </w:tcBorders>
            <w:vAlign w:val="bottom"/>
          </w:tcPr>
          <w:p w14:paraId="39D3672F"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tcBorders>
              <w:top w:val="nil"/>
              <w:left w:val="nil"/>
              <w:bottom w:val="nil"/>
              <w:right w:val="nil"/>
            </w:tcBorders>
            <w:vAlign w:val="bottom"/>
          </w:tcPr>
          <w:p w14:paraId="7E2A493E"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2" w:type="pct"/>
            <w:tcBorders>
              <w:top w:val="nil"/>
              <w:left w:val="nil"/>
              <w:bottom w:val="nil"/>
              <w:right w:val="nil"/>
            </w:tcBorders>
            <w:vAlign w:val="bottom"/>
          </w:tcPr>
          <w:p w14:paraId="3748C131"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tcBorders>
              <w:top w:val="nil"/>
              <w:left w:val="nil"/>
              <w:bottom w:val="nil"/>
              <w:right w:val="nil"/>
            </w:tcBorders>
            <w:vAlign w:val="bottom"/>
          </w:tcPr>
          <w:p w14:paraId="7D283D67"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543.378</w:t>
            </w:r>
          </w:p>
        </w:tc>
        <w:tc>
          <w:tcPr>
            <w:tcW w:w="483" w:type="pct"/>
            <w:tcBorders>
              <w:top w:val="nil"/>
              <w:left w:val="nil"/>
              <w:bottom w:val="nil"/>
              <w:right w:val="nil"/>
            </w:tcBorders>
            <w:vAlign w:val="bottom"/>
          </w:tcPr>
          <w:p w14:paraId="0BC89900"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960.541</w:t>
            </w:r>
          </w:p>
        </w:tc>
        <w:tc>
          <w:tcPr>
            <w:tcW w:w="483" w:type="pct"/>
            <w:tcBorders>
              <w:top w:val="nil"/>
              <w:left w:val="nil"/>
              <w:bottom w:val="nil"/>
              <w:right w:val="nil"/>
            </w:tcBorders>
            <w:vAlign w:val="bottom"/>
          </w:tcPr>
          <w:p w14:paraId="29A23CCA"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417.163</w:t>
            </w:r>
          </w:p>
        </w:tc>
      </w:tr>
      <w:tr w:rsidR="004E2F51" w:rsidRPr="00D47D1C" w14:paraId="54982D7D" w14:textId="77777777" w:rsidTr="00E032FC">
        <w:trPr>
          <w:trHeight w:hRule="exact" w:val="254"/>
        </w:trPr>
        <w:tc>
          <w:tcPr>
            <w:tcW w:w="1138" w:type="pct"/>
            <w:vAlign w:val="bottom"/>
          </w:tcPr>
          <w:p w14:paraId="17DEFFB9"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Obveze po kreditima</w:t>
            </w:r>
          </w:p>
        </w:tc>
        <w:tc>
          <w:tcPr>
            <w:tcW w:w="482" w:type="pct"/>
            <w:tcBorders>
              <w:top w:val="nil"/>
              <w:left w:val="nil"/>
              <w:bottom w:val="nil"/>
              <w:right w:val="nil"/>
            </w:tcBorders>
            <w:vAlign w:val="bottom"/>
          </w:tcPr>
          <w:p w14:paraId="6105165A"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244.301</w:t>
            </w:r>
          </w:p>
        </w:tc>
        <w:tc>
          <w:tcPr>
            <w:tcW w:w="483" w:type="pct"/>
            <w:tcBorders>
              <w:top w:val="nil"/>
              <w:left w:val="nil"/>
              <w:bottom w:val="nil"/>
              <w:right w:val="nil"/>
            </w:tcBorders>
            <w:vAlign w:val="bottom"/>
          </w:tcPr>
          <w:p w14:paraId="1B3752BD"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310.552</w:t>
            </w:r>
          </w:p>
        </w:tc>
        <w:tc>
          <w:tcPr>
            <w:tcW w:w="483" w:type="pct"/>
            <w:tcBorders>
              <w:top w:val="nil"/>
              <w:left w:val="nil"/>
              <w:bottom w:val="nil"/>
              <w:right w:val="nil"/>
            </w:tcBorders>
            <w:vAlign w:val="bottom"/>
          </w:tcPr>
          <w:p w14:paraId="346DE08C"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1.807.992</w:t>
            </w:r>
          </w:p>
        </w:tc>
        <w:tc>
          <w:tcPr>
            <w:tcW w:w="483" w:type="pct"/>
            <w:tcBorders>
              <w:top w:val="nil"/>
              <w:left w:val="nil"/>
              <w:bottom w:val="nil"/>
              <w:right w:val="nil"/>
            </w:tcBorders>
            <w:vAlign w:val="bottom"/>
          </w:tcPr>
          <w:p w14:paraId="764C2410"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5.775.874</w:t>
            </w:r>
          </w:p>
        </w:tc>
        <w:tc>
          <w:tcPr>
            <w:tcW w:w="482" w:type="pct"/>
            <w:tcBorders>
              <w:top w:val="nil"/>
              <w:left w:val="nil"/>
              <w:bottom w:val="nil"/>
              <w:right w:val="nil"/>
            </w:tcBorders>
            <w:vAlign w:val="bottom"/>
          </w:tcPr>
          <w:p w14:paraId="62106568"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7.941.861</w:t>
            </w:r>
          </w:p>
        </w:tc>
        <w:tc>
          <w:tcPr>
            <w:tcW w:w="483" w:type="pct"/>
            <w:tcBorders>
              <w:top w:val="nil"/>
              <w:left w:val="nil"/>
              <w:bottom w:val="nil"/>
              <w:right w:val="nil"/>
            </w:tcBorders>
            <w:vAlign w:val="bottom"/>
          </w:tcPr>
          <w:p w14:paraId="2A0F40B1"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34.657</w:t>
            </w:r>
          </w:p>
        </w:tc>
        <w:tc>
          <w:tcPr>
            <w:tcW w:w="483" w:type="pct"/>
            <w:tcBorders>
              <w:top w:val="nil"/>
              <w:left w:val="nil"/>
              <w:bottom w:val="nil"/>
              <w:right w:val="nil"/>
            </w:tcBorders>
            <w:vAlign w:val="bottom"/>
          </w:tcPr>
          <w:p w14:paraId="26318E16"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16.115.237</w:t>
            </w:r>
          </w:p>
        </w:tc>
        <w:tc>
          <w:tcPr>
            <w:tcW w:w="483" w:type="pct"/>
            <w:tcBorders>
              <w:top w:val="nil"/>
              <w:left w:val="nil"/>
              <w:bottom w:val="nil"/>
              <w:right w:val="nil"/>
            </w:tcBorders>
            <w:vAlign w:val="bottom"/>
          </w:tcPr>
          <w:p w14:paraId="562495EB"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16.069.304</w:t>
            </w:r>
          </w:p>
        </w:tc>
      </w:tr>
      <w:tr w:rsidR="004E2F51" w:rsidRPr="00D47D1C" w14:paraId="24C09A82" w14:textId="77777777" w:rsidTr="00E032FC">
        <w:trPr>
          <w:trHeight w:hRule="exact" w:val="533"/>
        </w:trPr>
        <w:tc>
          <w:tcPr>
            <w:tcW w:w="1138" w:type="pct"/>
            <w:vAlign w:val="bottom"/>
          </w:tcPr>
          <w:p w14:paraId="6D15FB6F" w14:textId="77777777" w:rsidR="004E2F51" w:rsidRPr="00D47D1C" w:rsidRDefault="004E2F51" w:rsidP="00E032FC">
            <w:pPr>
              <w:tabs>
                <w:tab w:val="right" w:pos="1202"/>
              </w:tabs>
              <w:spacing w:line="240" w:lineRule="exact"/>
              <w:outlineLvl w:val="0"/>
              <w:rPr>
                <w:rFonts w:ascii="Arial" w:eastAsia="Calibri" w:hAnsi="Arial" w:cs="Arial"/>
                <w:color w:val="000000" w:themeColor="text1"/>
                <w:spacing w:val="-2"/>
                <w:sz w:val="15"/>
                <w:szCs w:val="15"/>
                <w:lang w:val="hr-HR"/>
              </w:rPr>
            </w:pPr>
            <w:r w:rsidRPr="00D47D1C">
              <w:rPr>
                <w:rFonts w:ascii="Arial" w:eastAsia="Calibri" w:hAnsi="Arial" w:cs="Arial"/>
                <w:color w:val="000000" w:themeColor="text1"/>
                <w:spacing w:val="-2"/>
                <w:sz w:val="15"/>
                <w:szCs w:val="15"/>
                <w:lang w:val="hr-HR"/>
              </w:rPr>
              <w:t>Rezerviranja za garancije, preuzete i ostale obveze</w:t>
            </w:r>
          </w:p>
        </w:tc>
        <w:tc>
          <w:tcPr>
            <w:tcW w:w="482" w:type="pct"/>
            <w:tcBorders>
              <w:top w:val="nil"/>
              <w:left w:val="nil"/>
              <w:bottom w:val="nil"/>
              <w:right w:val="nil"/>
            </w:tcBorders>
            <w:vAlign w:val="bottom"/>
          </w:tcPr>
          <w:p w14:paraId="7F5BC828"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tcBorders>
              <w:top w:val="nil"/>
              <w:left w:val="nil"/>
              <w:bottom w:val="nil"/>
              <w:right w:val="nil"/>
            </w:tcBorders>
            <w:vAlign w:val="bottom"/>
          </w:tcPr>
          <w:p w14:paraId="7F1AAA07"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tcBorders>
              <w:top w:val="nil"/>
              <w:left w:val="nil"/>
              <w:bottom w:val="nil"/>
              <w:right w:val="nil"/>
            </w:tcBorders>
            <w:vAlign w:val="bottom"/>
          </w:tcPr>
          <w:p w14:paraId="3CF9C65B"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tcBorders>
              <w:top w:val="nil"/>
              <w:left w:val="nil"/>
              <w:bottom w:val="nil"/>
              <w:right w:val="nil"/>
            </w:tcBorders>
            <w:vAlign w:val="bottom"/>
          </w:tcPr>
          <w:p w14:paraId="553B559E"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2" w:type="pct"/>
            <w:tcBorders>
              <w:top w:val="nil"/>
              <w:left w:val="nil"/>
              <w:bottom w:val="nil"/>
              <w:right w:val="nil"/>
            </w:tcBorders>
            <w:vAlign w:val="bottom"/>
          </w:tcPr>
          <w:p w14:paraId="60506FF4"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tcBorders>
              <w:top w:val="nil"/>
              <w:left w:val="nil"/>
              <w:bottom w:val="nil"/>
              <w:right w:val="nil"/>
            </w:tcBorders>
            <w:vAlign w:val="bottom"/>
          </w:tcPr>
          <w:p w14:paraId="08E3D084"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190.560</w:t>
            </w:r>
          </w:p>
        </w:tc>
        <w:tc>
          <w:tcPr>
            <w:tcW w:w="483" w:type="pct"/>
            <w:tcBorders>
              <w:top w:val="nil"/>
              <w:left w:val="nil"/>
              <w:bottom w:val="nil"/>
              <w:right w:val="nil"/>
            </w:tcBorders>
            <w:vAlign w:val="bottom"/>
          </w:tcPr>
          <w:p w14:paraId="26C30882"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190.560</w:t>
            </w:r>
          </w:p>
        </w:tc>
        <w:tc>
          <w:tcPr>
            <w:tcW w:w="483" w:type="pct"/>
            <w:tcBorders>
              <w:top w:val="nil"/>
              <w:left w:val="nil"/>
              <w:bottom w:val="nil"/>
              <w:right w:val="nil"/>
            </w:tcBorders>
            <w:vAlign w:val="bottom"/>
          </w:tcPr>
          <w:p w14:paraId="232A31AE"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r>
      <w:tr w:rsidR="004E2F51" w:rsidRPr="00D47D1C" w14:paraId="19D7127B" w14:textId="77777777" w:rsidTr="00E032FC">
        <w:trPr>
          <w:trHeight w:hRule="exact" w:val="251"/>
        </w:trPr>
        <w:tc>
          <w:tcPr>
            <w:tcW w:w="1138" w:type="pct"/>
            <w:vAlign w:val="bottom"/>
          </w:tcPr>
          <w:p w14:paraId="0BF42CD8"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Ostale obveze</w:t>
            </w:r>
          </w:p>
        </w:tc>
        <w:tc>
          <w:tcPr>
            <w:tcW w:w="482" w:type="pct"/>
            <w:tcBorders>
              <w:top w:val="nil"/>
              <w:left w:val="nil"/>
              <w:bottom w:val="nil"/>
              <w:right w:val="nil"/>
            </w:tcBorders>
            <w:vAlign w:val="bottom"/>
          </w:tcPr>
          <w:p w14:paraId="3169161D"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tcBorders>
              <w:top w:val="nil"/>
              <w:left w:val="nil"/>
              <w:bottom w:val="nil"/>
              <w:right w:val="nil"/>
            </w:tcBorders>
            <w:vAlign w:val="bottom"/>
          </w:tcPr>
          <w:p w14:paraId="2782207E"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tcBorders>
              <w:top w:val="nil"/>
              <w:left w:val="nil"/>
              <w:bottom w:val="nil"/>
              <w:right w:val="nil"/>
            </w:tcBorders>
            <w:vAlign w:val="bottom"/>
          </w:tcPr>
          <w:p w14:paraId="46253FF7"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tcBorders>
              <w:top w:val="nil"/>
              <w:left w:val="nil"/>
              <w:bottom w:val="nil"/>
              <w:right w:val="nil"/>
            </w:tcBorders>
            <w:vAlign w:val="bottom"/>
          </w:tcPr>
          <w:p w14:paraId="1E13B76E"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2" w:type="pct"/>
            <w:tcBorders>
              <w:top w:val="nil"/>
              <w:left w:val="nil"/>
              <w:bottom w:val="nil"/>
              <w:right w:val="nil"/>
            </w:tcBorders>
            <w:vAlign w:val="bottom"/>
          </w:tcPr>
          <w:p w14:paraId="7570C27C"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3" w:type="pct"/>
            <w:tcBorders>
              <w:top w:val="nil"/>
              <w:left w:val="nil"/>
              <w:right w:val="nil"/>
            </w:tcBorders>
            <w:vAlign w:val="bottom"/>
          </w:tcPr>
          <w:p w14:paraId="01E212DA"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435.239</w:t>
            </w:r>
          </w:p>
        </w:tc>
        <w:tc>
          <w:tcPr>
            <w:tcW w:w="483" w:type="pct"/>
            <w:tcBorders>
              <w:top w:val="nil"/>
              <w:left w:val="nil"/>
              <w:right w:val="nil"/>
            </w:tcBorders>
            <w:vAlign w:val="bottom"/>
          </w:tcPr>
          <w:p w14:paraId="58F9D5CA"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435.239</w:t>
            </w:r>
          </w:p>
        </w:tc>
        <w:tc>
          <w:tcPr>
            <w:tcW w:w="483" w:type="pct"/>
            <w:tcBorders>
              <w:top w:val="nil"/>
              <w:left w:val="nil"/>
              <w:right w:val="nil"/>
            </w:tcBorders>
            <w:vAlign w:val="bottom"/>
          </w:tcPr>
          <w:p w14:paraId="038B80C1"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r>
      <w:tr w:rsidR="004E2F51" w:rsidRPr="00D47D1C" w14:paraId="2589168B" w14:textId="77777777" w:rsidTr="00E032FC">
        <w:trPr>
          <w:trHeight w:hRule="exact" w:val="281"/>
        </w:trPr>
        <w:tc>
          <w:tcPr>
            <w:tcW w:w="1138" w:type="pct"/>
            <w:vAlign w:val="bottom"/>
          </w:tcPr>
          <w:p w14:paraId="6AECAC28"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Obveze</w:t>
            </w:r>
          </w:p>
        </w:tc>
        <w:tc>
          <w:tcPr>
            <w:tcW w:w="482" w:type="pct"/>
            <w:tcBorders>
              <w:top w:val="single" w:sz="8" w:space="0" w:color="auto"/>
              <w:left w:val="nil"/>
              <w:bottom w:val="single" w:sz="12" w:space="0" w:color="auto"/>
              <w:right w:val="nil"/>
            </w:tcBorders>
            <w:vAlign w:val="bottom"/>
          </w:tcPr>
          <w:p w14:paraId="14957292"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661.464</w:t>
            </w:r>
          </w:p>
        </w:tc>
        <w:tc>
          <w:tcPr>
            <w:tcW w:w="483" w:type="pct"/>
            <w:tcBorders>
              <w:top w:val="single" w:sz="8" w:space="0" w:color="auto"/>
              <w:left w:val="nil"/>
              <w:bottom w:val="single" w:sz="12" w:space="0" w:color="auto"/>
              <w:right w:val="nil"/>
            </w:tcBorders>
            <w:vAlign w:val="bottom"/>
          </w:tcPr>
          <w:p w14:paraId="4458FE37"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310.552</w:t>
            </w:r>
          </w:p>
        </w:tc>
        <w:tc>
          <w:tcPr>
            <w:tcW w:w="483" w:type="pct"/>
            <w:tcBorders>
              <w:top w:val="single" w:sz="8" w:space="0" w:color="auto"/>
              <w:left w:val="nil"/>
              <w:bottom w:val="single" w:sz="12" w:space="0" w:color="auto"/>
              <w:right w:val="nil"/>
            </w:tcBorders>
            <w:vAlign w:val="bottom"/>
          </w:tcPr>
          <w:p w14:paraId="251D6025"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1.807.992</w:t>
            </w:r>
          </w:p>
        </w:tc>
        <w:tc>
          <w:tcPr>
            <w:tcW w:w="483" w:type="pct"/>
            <w:tcBorders>
              <w:top w:val="single" w:sz="8" w:space="0" w:color="auto"/>
              <w:left w:val="nil"/>
              <w:bottom w:val="single" w:sz="12" w:space="0" w:color="auto"/>
              <w:right w:val="nil"/>
            </w:tcBorders>
            <w:vAlign w:val="bottom"/>
          </w:tcPr>
          <w:p w14:paraId="72FE2EF3"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5.775.874</w:t>
            </w:r>
          </w:p>
        </w:tc>
        <w:tc>
          <w:tcPr>
            <w:tcW w:w="482" w:type="pct"/>
            <w:tcBorders>
              <w:top w:val="single" w:sz="8" w:space="0" w:color="auto"/>
              <w:left w:val="nil"/>
              <w:bottom w:val="single" w:sz="12" w:space="0" w:color="auto"/>
              <w:right w:val="nil"/>
            </w:tcBorders>
            <w:vAlign w:val="bottom"/>
          </w:tcPr>
          <w:p w14:paraId="1C5C135F"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7.941.861</w:t>
            </w:r>
          </w:p>
        </w:tc>
        <w:tc>
          <w:tcPr>
            <w:tcW w:w="483" w:type="pct"/>
            <w:tcBorders>
              <w:top w:val="single" w:sz="8" w:space="0" w:color="auto"/>
              <w:left w:val="nil"/>
              <w:bottom w:val="single" w:sz="12" w:space="0" w:color="auto"/>
              <w:right w:val="nil"/>
            </w:tcBorders>
            <w:vAlign w:val="bottom"/>
          </w:tcPr>
          <w:p w14:paraId="135FD6FE"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1.203.834</w:t>
            </w:r>
          </w:p>
        </w:tc>
        <w:tc>
          <w:tcPr>
            <w:tcW w:w="483" w:type="pct"/>
            <w:tcBorders>
              <w:top w:val="single" w:sz="8" w:space="0" w:color="auto"/>
              <w:left w:val="nil"/>
              <w:bottom w:val="single" w:sz="12" w:space="0" w:color="auto"/>
              <w:right w:val="nil"/>
            </w:tcBorders>
            <w:vAlign w:val="bottom"/>
          </w:tcPr>
          <w:p w14:paraId="5EC77995"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17.701.577</w:t>
            </w:r>
          </w:p>
        </w:tc>
        <w:tc>
          <w:tcPr>
            <w:tcW w:w="483" w:type="pct"/>
            <w:tcBorders>
              <w:top w:val="single" w:sz="8" w:space="0" w:color="auto"/>
              <w:left w:val="nil"/>
              <w:bottom w:val="single" w:sz="12" w:space="0" w:color="auto"/>
              <w:right w:val="nil"/>
            </w:tcBorders>
            <w:vAlign w:val="bottom"/>
          </w:tcPr>
          <w:p w14:paraId="25902285"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16.486.467</w:t>
            </w:r>
          </w:p>
        </w:tc>
      </w:tr>
      <w:tr w:rsidR="004E2F51" w:rsidRPr="00D47D1C" w14:paraId="10F7614B" w14:textId="77777777" w:rsidTr="00E032FC">
        <w:trPr>
          <w:trHeight w:hRule="exact" w:val="285"/>
        </w:trPr>
        <w:tc>
          <w:tcPr>
            <w:tcW w:w="1138" w:type="pct"/>
            <w:vAlign w:val="bottom"/>
          </w:tcPr>
          <w:p w14:paraId="17329E40"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pacing w:val="-2"/>
                <w:sz w:val="15"/>
                <w:szCs w:val="15"/>
                <w:lang w:val="hr-HR"/>
              </w:rPr>
              <w:t>Kamatni jaz</w:t>
            </w:r>
          </w:p>
        </w:tc>
        <w:tc>
          <w:tcPr>
            <w:tcW w:w="482" w:type="pct"/>
            <w:tcBorders>
              <w:top w:val="nil"/>
              <w:left w:val="nil"/>
              <w:bottom w:val="single" w:sz="12" w:space="0" w:color="auto"/>
              <w:right w:val="nil"/>
            </w:tcBorders>
            <w:shd w:val="clear" w:color="auto" w:fill="auto"/>
            <w:vAlign w:val="bottom"/>
          </w:tcPr>
          <w:p w14:paraId="0BEDC93B"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4.194.853</w:t>
            </w:r>
          </w:p>
        </w:tc>
        <w:tc>
          <w:tcPr>
            <w:tcW w:w="483" w:type="pct"/>
            <w:tcBorders>
              <w:top w:val="nil"/>
              <w:left w:val="nil"/>
              <w:bottom w:val="single" w:sz="12" w:space="0" w:color="auto"/>
              <w:right w:val="nil"/>
            </w:tcBorders>
            <w:shd w:val="clear" w:color="auto" w:fill="auto"/>
            <w:vAlign w:val="bottom"/>
          </w:tcPr>
          <w:p w14:paraId="3C4D96F4"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633.483</w:t>
            </w:r>
          </w:p>
        </w:tc>
        <w:tc>
          <w:tcPr>
            <w:tcW w:w="483" w:type="pct"/>
            <w:tcBorders>
              <w:top w:val="nil"/>
              <w:left w:val="nil"/>
              <w:bottom w:val="single" w:sz="12" w:space="0" w:color="auto"/>
              <w:right w:val="nil"/>
            </w:tcBorders>
            <w:shd w:val="clear" w:color="auto" w:fill="auto"/>
            <w:vAlign w:val="bottom"/>
          </w:tcPr>
          <w:p w14:paraId="07A4E32A"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281.802</w:t>
            </w:r>
          </w:p>
        </w:tc>
        <w:tc>
          <w:tcPr>
            <w:tcW w:w="483" w:type="pct"/>
            <w:tcBorders>
              <w:top w:val="nil"/>
              <w:left w:val="nil"/>
              <w:bottom w:val="single" w:sz="12" w:space="0" w:color="auto"/>
              <w:right w:val="nil"/>
            </w:tcBorders>
            <w:shd w:val="clear" w:color="auto" w:fill="auto"/>
            <w:vAlign w:val="bottom"/>
          </w:tcPr>
          <w:p w14:paraId="5BAB7189"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(820.183)</w:t>
            </w:r>
          </w:p>
        </w:tc>
        <w:tc>
          <w:tcPr>
            <w:tcW w:w="482" w:type="pct"/>
            <w:tcBorders>
              <w:top w:val="nil"/>
              <w:left w:val="nil"/>
              <w:bottom w:val="single" w:sz="12" w:space="0" w:color="auto"/>
              <w:right w:val="nil"/>
            </w:tcBorders>
            <w:shd w:val="clear" w:color="auto" w:fill="auto"/>
            <w:vAlign w:val="bottom"/>
          </w:tcPr>
          <w:p w14:paraId="5B2F8636"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5.040.686</w:t>
            </w:r>
          </w:p>
        </w:tc>
        <w:tc>
          <w:tcPr>
            <w:tcW w:w="483" w:type="pct"/>
            <w:tcBorders>
              <w:top w:val="nil"/>
              <w:left w:val="nil"/>
              <w:bottom w:val="single" w:sz="12" w:space="0" w:color="auto"/>
              <w:right w:val="nil"/>
            </w:tcBorders>
            <w:shd w:val="clear" w:color="auto" w:fill="auto"/>
            <w:vAlign w:val="bottom"/>
          </w:tcPr>
          <w:p w14:paraId="493C9F9B"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1.180.838</w:t>
            </w:r>
          </w:p>
        </w:tc>
        <w:tc>
          <w:tcPr>
            <w:tcW w:w="483" w:type="pct"/>
            <w:tcBorders>
              <w:top w:val="nil"/>
              <w:left w:val="nil"/>
              <w:bottom w:val="single" w:sz="12" w:space="0" w:color="auto"/>
              <w:right w:val="nil"/>
            </w:tcBorders>
            <w:shd w:val="clear" w:color="auto" w:fill="auto"/>
            <w:vAlign w:val="bottom"/>
          </w:tcPr>
          <w:p w14:paraId="35C3DCEB"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10.511.479</w:t>
            </w:r>
          </w:p>
        </w:tc>
        <w:tc>
          <w:tcPr>
            <w:tcW w:w="483" w:type="pct"/>
            <w:tcBorders>
              <w:top w:val="nil"/>
              <w:left w:val="nil"/>
              <w:bottom w:val="single" w:sz="12" w:space="0" w:color="auto"/>
              <w:right w:val="nil"/>
            </w:tcBorders>
            <w:shd w:val="clear" w:color="auto" w:fill="auto"/>
            <w:vAlign w:val="bottom"/>
          </w:tcPr>
          <w:p w14:paraId="35FEF485"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8.394.422</w:t>
            </w:r>
          </w:p>
        </w:tc>
      </w:tr>
    </w:tbl>
    <w:p w14:paraId="7D5C3EF4" w14:textId="77777777" w:rsidR="004E2F51" w:rsidRPr="00D47D1C" w:rsidRDefault="004E2F51" w:rsidP="004E2F51">
      <w:pPr>
        <w:tabs>
          <w:tab w:val="left" w:pos="-720"/>
        </w:tabs>
        <w:spacing w:line="360" w:lineRule="auto"/>
        <w:ind w:right="-5"/>
        <w:jc w:val="both"/>
        <w:rPr>
          <w:rFonts w:ascii="Arial" w:hAnsi="Arial" w:cs="Arial"/>
          <w:color w:val="000000" w:themeColor="text1"/>
          <w:sz w:val="20"/>
          <w:szCs w:val="20"/>
          <w:lang w:val="hr-HR"/>
        </w:rPr>
      </w:pPr>
    </w:p>
    <w:p w14:paraId="56E80622" w14:textId="77777777" w:rsidR="004E2F51" w:rsidRPr="00D47D1C" w:rsidRDefault="004E2F51" w:rsidP="004E2F51">
      <w:pPr>
        <w:tabs>
          <w:tab w:val="left" w:pos="-720"/>
        </w:tabs>
        <w:spacing w:line="360" w:lineRule="auto"/>
        <w:ind w:right="-5"/>
        <w:jc w:val="both"/>
        <w:rPr>
          <w:rFonts w:ascii="Arial" w:hAnsi="Arial" w:cs="Arial"/>
          <w:color w:val="000000" w:themeColor="text1"/>
          <w:sz w:val="20"/>
          <w:szCs w:val="20"/>
          <w:lang w:val="hr-HR"/>
        </w:rPr>
      </w:pPr>
    </w:p>
    <w:p w14:paraId="1E402AFC" w14:textId="77777777" w:rsidR="004E2F51" w:rsidRPr="00D47D1C" w:rsidRDefault="004E2F51" w:rsidP="004E2F51">
      <w:pPr>
        <w:tabs>
          <w:tab w:val="left" w:pos="-720"/>
        </w:tabs>
        <w:spacing w:line="360" w:lineRule="auto"/>
        <w:ind w:right="-5"/>
        <w:jc w:val="both"/>
        <w:rPr>
          <w:rFonts w:ascii="Arial" w:hAnsi="Arial" w:cs="Arial"/>
          <w:color w:val="000000" w:themeColor="text1"/>
          <w:sz w:val="20"/>
          <w:szCs w:val="20"/>
          <w:lang w:val="hr-HR"/>
        </w:rPr>
        <w:sectPr w:rsidR="004E2F51" w:rsidRPr="00D47D1C" w:rsidSect="00623DBA">
          <w:footerReference w:type="default" r:id="rId210"/>
          <w:pgSz w:w="11907" w:h="16840" w:code="9"/>
          <w:pgMar w:top="1418" w:right="1134" w:bottom="1134" w:left="1418" w:header="851" w:footer="851" w:gutter="0"/>
          <w:cols w:space="720"/>
          <w:noEndnote/>
        </w:sectPr>
      </w:pPr>
    </w:p>
    <w:p w14:paraId="1EBDB6DA" w14:textId="77777777" w:rsidR="004E2F51" w:rsidRPr="00D47D1C" w:rsidRDefault="004E2F51" w:rsidP="004E2F51">
      <w:pPr>
        <w:tabs>
          <w:tab w:val="left" w:pos="-720"/>
        </w:tabs>
        <w:rPr>
          <w:rFonts w:ascii="Arial" w:hAnsi="Arial" w:cs="Arial"/>
          <w:b/>
          <w:color w:val="000000" w:themeColor="text1"/>
          <w:spacing w:val="-3"/>
          <w:sz w:val="20"/>
          <w:szCs w:val="20"/>
          <w:lang w:val="hr-HR"/>
        </w:rPr>
      </w:pPr>
    </w:p>
    <w:p w14:paraId="6F1C9099" w14:textId="77777777" w:rsidR="004E2F51" w:rsidRPr="00D47D1C" w:rsidRDefault="004E2F51" w:rsidP="004E2F51">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Pr>
          <w:rFonts w:cs="Arial"/>
          <w:color w:val="000000" w:themeColor="text1"/>
          <w:sz w:val="20"/>
          <w:lang w:val="hr-HR"/>
        </w:rPr>
        <w:t>1</w:t>
      </w:r>
      <w:r w:rsidRPr="00D47D1C">
        <w:rPr>
          <w:rFonts w:cs="Arial"/>
          <w:color w:val="000000" w:themeColor="text1"/>
          <w:sz w:val="20"/>
          <w:lang w:val="hr-HR"/>
        </w:rPr>
        <w:t>.        Upravljanje rizicima (nastavak)</w:t>
      </w:r>
    </w:p>
    <w:p w14:paraId="35E441C2" w14:textId="77777777" w:rsidR="004E2F51" w:rsidRPr="00D47D1C" w:rsidRDefault="004E2F51" w:rsidP="004E2F51">
      <w:pPr>
        <w:pStyle w:val="T1"/>
        <w:spacing w:before="0" w:after="0" w:line="240" w:lineRule="auto"/>
        <w:ind w:left="709" w:hanging="709"/>
        <w:rPr>
          <w:rFonts w:cs="Arial"/>
          <w:color w:val="000000" w:themeColor="text1"/>
          <w:sz w:val="20"/>
          <w:lang w:val="hr-HR"/>
        </w:rPr>
      </w:pPr>
    </w:p>
    <w:p w14:paraId="10BB72D7" w14:textId="77777777" w:rsidR="004E2F51" w:rsidRPr="00D47D1C" w:rsidRDefault="004E2F51" w:rsidP="004E2F51">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Pr>
          <w:rFonts w:cs="Arial"/>
          <w:color w:val="000000" w:themeColor="text1"/>
          <w:sz w:val="20"/>
          <w:lang w:val="hr-HR"/>
        </w:rPr>
        <w:t>1</w:t>
      </w:r>
      <w:r w:rsidRPr="00D47D1C">
        <w:rPr>
          <w:rFonts w:cs="Arial"/>
          <w:color w:val="000000" w:themeColor="text1"/>
          <w:sz w:val="20"/>
          <w:lang w:val="hr-HR"/>
        </w:rPr>
        <w:t>.5.     Tržišni rizik (nastavak)</w:t>
      </w:r>
    </w:p>
    <w:p w14:paraId="023160E6" w14:textId="77777777" w:rsidR="004E2F51" w:rsidRPr="00D47D1C" w:rsidRDefault="004E2F51" w:rsidP="004E2F51">
      <w:pPr>
        <w:pStyle w:val="T1"/>
        <w:spacing w:before="0" w:after="0" w:line="240" w:lineRule="auto"/>
        <w:ind w:left="709" w:hanging="709"/>
        <w:rPr>
          <w:rFonts w:cs="Arial"/>
          <w:color w:val="000000" w:themeColor="text1"/>
          <w:sz w:val="20"/>
          <w:lang w:val="hr-HR"/>
        </w:rPr>
      </w:pPr>
    </w:p>
    <w:p w14:paraId="3B5F1346" w14:textId="77777777" w:rsidR="004E2F51" w:rsidRPr="00D47D1C" w:rsidRDefault="004E2F51" w:rsidP="004E2F51">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Pr>
          <w:rFonts w:cs="Arial"/>
          <w:color w:val="000000" w:themeColor="text1"/>
          <w:sz w:val="20"/>
          <w:lang w:val="hr-HR"/>
        </w:rPr>
        <w:t>1</w:t>
      </w:r>
      <w:r w:rsidRPr="00D47D1C">
        <w:rPr>
          <w:rFonts w:cs="Arial"/>
          <w:color w:val="000000" w:themeColor="text1"/>
          <w:sz w:val="20"/>
          <w:lang w:val="hr-HR"/>
        </w:rPr>
        <w:t>.5.1.  Kamatni rizik (nastavak)</w:t>
      </w:r>
    </w:p>
    <w:p w14:paraId="4973355B" w14:textId="77777777" w:rsidR="004E2F51" w:rsidRPr="00D47D1C" w:rsidRDefault="004E2F51" w:rsidP="004E2F51">
      <w:pPr>
        <w:ind w:right="-6"/>
        <w:jc w:val="both"/>
        <w:rPr>
          <w:rFonts w:ascii="Arial" w:hAnsi="Arial" w:cs="Arial"/>
          <w:iCs/>
          <w:color w:val="000000" w:themeColor="text1"/>
          <w:sz w:val="20"/>
          <w:szCs w:val="20"/>
          <w:lang w:val="hr-HR"/>
        </w:rPr>
      </w:pPr>
    </w:p>
    <w:p w14:paraId="63D2B521" w14:textId="77777777" w:rsidR="004E2F51" w:rsidRPr="00D47D1C" w:rsidRDefault="004E2F51" w:rsidP="004E2F51">
      <w:pPr>
        <w:jc w:val="both"/>
        <w:rPr>
          <w:rFonts w:ascii="Arial" w:hAnsi="Arial" w:cs="Arial"/>
          <w:iCs/>
          <w:color w:val="000000" w:themeColor="text1"/>
          <w:sz w:val="20"/>
          <w:szCs w:val="20"/>
          <w:lang w:val="hr-HR"/>
        </w:rPr>
      </w:pPr>
      <w:r w:rsidRPr="00D47D1C">
        <w:rPr>
          <w:rFonts w:ascii="Arial" w:hAnsi="Arial" w:cs="Arial"/>
          <w:iCs/>
          <w:color w:val="000000" w:themeColor="text1"/>
          <w:sz w:val="20"/>
          <w:szCs w:val="20"/>
          <w:lang w:val="hr-HR"/>
        </w:rPr>
        <w:t>Tabele u nastavku prikazuju osjetljivost HBOR-a na rizik kamatnih stopa na dan 31. prosinca 202</w:t>
      </w:r>
      <w:r>
        <w:rPr>
          <w:rFonts w:ascii="Arial" w:hAnsi="Arial" w:cs="Arial"/>
          <w:iCs/>
          <w:color w:val="000000" w:themeColor="text1"/>
          <w:sz w:val="20"/>
          <w:szCs w:val="20"/>
          <w:lang w:val="hr-HR"/>
        </w:rPr>
        <w:t>2</w:t>
      </w:r>
      <w:r w:rsidRPr="00D47D1C">
        <w:rPr>
          <w:rFonts w:ascii="Arial" w:hAnsi="Arial" w:cs="Arial"/>
          <w:iCs/>
          <w:color w:val="000000" w:themeColor="text1"/>
          <w:sz w:val="20"/>
          <w:szCs w:val="20"/>
          <w:lang w:val="hr-HR"/>
        </w:rPr>
        <w:t>. i 202</w:t>
      </w:r>
      <w:r>
        <w:rPr>
          <w:rFonts w:ascii="Arial" w:hAnsi="Arial" w:cs="Arial"/>
          <w:iCs/>
          <w:color w:val="000000" w:themeColor="text1"/>
          <w:sz w:val="20"/>
          <w:szCs w:val="20"/>
          <w:lang w:val="hr-HR"/>
        </w:rPr>
        <w:t>1</w:t>
      </w:r>
      <w:r w:rsidRPr="00D47D1C">
        <w:rPr>
          <w:rFonts w:ascii="Arial" w:hAnsi="Arial" w:cs="Arial"/>
          <w:iCs/>
          <w:color w:val="000000" w:themeColor="text1"/>
          <w:sz w:val="20"/>
          <w:szCs w:val="20"/>
          <w:lang w:val="hr-HR"/>
        </w:rPr>
        <w:t>. godine na temelju poznatih datuma promjene cijena imovine i obveza na koje se primjenjuju promjenjive i fiksne kamatne stope. Razdoblja promjena kamatnih stopa određena su na osnovi preostale ročnosti i ugovornog razdoblja promjena kamatnih stopa, ovisno o tome što je kraće.</w:t>
      </w:r>
    </w:p>
    <w:p w14:paraId="257BA15C" w14:textId="77777777" w:rsidR="004E2F51" w:rsidRPr="00D47D1C" w:rsidRDefault="004E2F51" w:rsidP="004E2F51">
      <w:pPr>
        <w:jc w:val="both"/>
        <w:rPr>
          <w:rFonts w:ascii="Arial" w:hAnsi="Arial" w:cs="Arial"/>
          <w:iCs/>
          <w:color w:val="000000" w:themeColor="text1"/>
          <w:sz w:val="20"/>
          <w:szCs w:val="20"/>
          <w:lang w:val="hr-HR"/>
        </w:rPr>
      </w:pPr>
    </w:p>
    <w:p w14:paraId="12EA0F41" w14:textId="77777777" w:rsidR="004E2F51" w:rsidRPr="00D47D1C" w:rsidRDefault="004E2F51" w:rsidP="004E2F51">
      <w:pPr>
        <w:jc w:val="both"/>
        <w:rPr>
          <w:rFonts w:ascii="Arial" w:hAnsi="Arial" w:cs="Arial"/>
          <w:iCs/>
          <w:color w:val="000000" w:themeColor="text1"/>
          <w:sz w:val="20"/>
          <w:szCs w:val="20"/>
          <w:lang w:val="hr-HR"/>
        </w:rPr>
      </w:pPr>
      <w:r w:rsidRPr="00D47D1C">
        <w:rPr>
          <w:rFonts w:ascii="Arial" w:hAnsi="Arial" w:cs="Arial"/>
          <w:iCs/>
          <w:color w:val="000000" w:themeColor="text1"/>
          <w:sz w:val="20"/>
          <w:szCs w:val="20"/>
          <w:lang w:val="hr-HR"/>
        </w:rPr>
        <w:t xml:space="preserve">Imovina i obveze na koje se ne primjenjuje kamatna stopa svrstani su u okviru kategorije </w:t>
      </w:r>
      <w:r w:rsidRPr="00D47D1C">
        <w:rPr>
          <w:rFonts w:ascii="Arial" w:hAnsi="Arial" w:cs="Arial"/>
          <w:color w:val="000000" w:themeColor="text1"/>
          <w:sz w:val="20"/>
          <w:szCs w:val="20"/>
          <w:lang w:val="hr-HR"/>
        </w:rPr>
        <w:t>‘</w:t>
      </w:r>
      <w:r w:rsidRPr="00D47D1C">
        <w:rPr>
          <w:rFonts w:ascii="Arial" w:hAnsi="Arial" w:cs="Arial"/>
          <w:iCs/>
          <w:color w:val="000000" w:themeColor="text1"/>
          <w:sz w:val="20"/>
          <w:szCs w:val="20"/>
          <w:lang w:val="hr-HR"/>
        </w:rPr>
        <w:t>Beskamatno</w:t>
      </w:r>
      <w:r w:rsidRPr="00D47D1C">
        <w:rPr>
          <w:rFonts w:ascii="Arial" w:hAnsi="Arial" w:cs="Arial"/>
          <w:color w:val="000000" w:themeColor="text1"/>
          <w:sz w:val="20"/>
          <w:szCs w:val="20"/>
          <w:lang w:val="hr-HR"/>
        </w:rPr>
        <w:t>‘</w:t>
      </w:r>
      <w:r w:rsidRPr="00D47D1C">
        <w:rPr>
          <w:rFonts w:ascii="Arial" w:hAnsi="Arial" w:cs="Arial"/>
          <w:iCs/>
          <w:color w:val="000000" w:themeColor="text1"/>
          <w:sz w:val="20"/>
          <w:szCs w:val="20"/>
          <w:lang w:val="hr-HR"/>
        </w:rPr>
        <w:t>.</w:t>
      </w:r>
    </w:p>
    <w:p w14:paraId="3857F95F" w14:textId="77777777" w:rsidR="004E2F51" w:rsidRDefault="004E2F51" w:rsidP="004E2F51">
      <w:pPr>
        <w:tabs>
          <w:tab w:val="left" w:pos="-720"/>
        </w:tabs>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Tabele u nastavku prikazuju procjenu o izloženosti kamatnom riziku HBOR-a na dan 31. prosinca 202</w:t>
      </w:r>
      <w:r>
        <w:rPr>
          <w:rFonts w:ascii="Arial" w:hAnsi="Arial" w:cs="Arial"/>
          <w:color w:val="000000" w:themeColor="text1"/>
          <w:sz w:val="20"/>
          <w:szCs w:val="20"/>
          <w:lang w:val="hr-HR"/>
        </w:rPr>
        <w:t>2</w:t>
      </w:r>
      <w:r w:rsidRPr="00D47D1C">
        <w:rPr>
          <w:rFonts w:ascii="Arial" w:hAnsi="Arial" w:cs="Arial"/>
          <w:color w:val="000000" w:themeColor="text1"/>
          <w:sz w:val="20"/>
          <w:szCs w:val="20"/>
          <w:lang w:val="hr-HR"/>
        </w:rPr>
        <w:t>. i 202</w:t>
      </w:r>
      <w:r>
        <w:rPr>
          <w:rFonts w:ascii="Arial" w:hAnsi="Arial" w:cs="Arial"/>
          <w:color w:val="000000" w:themeColor="text1"/>
          <w:sz w:val="20"/>
          <w:szCs w:val="20"/>
          <w:lang w:val="hr-HR"/>
        </w:rPr>
        <w:t>1</w:t>
      </w:r>
      <w:r w:rsidRPr="00D47D1C">
        <w:rPr>
          <w:rFonts w:ascii="Arial" w:hAnsi="Arial" w:cs="Arial"/>
          <w:color w:val="000000" w:themeColor="text1"/>
          <w:sz w:val="20"/>
          <w:szCs w:val="20"/>
          <w:lang w:val="hr-HR"/>
        </w:rPr>
        <w:t xml:space="preserve">. godine te nisu nužno indikativne za poziciju u drugom razdoblju. </w:t>
      </w:r>
    </w:p>
    <w:p w14:paraId="2206734D" w14:textId="77777777" w:rsidR="004E2F51" w:rsidRPr="00D47D1C" w:rsidRDefault="004E2F51" w:rsidP="004E2F51">
      <w:pPr>
        <w:tabs>
          <w:tab w:val="left" w:pos="-720"/>
        </w:tabs>
        <w:jc w:val="both"/>
        <w:rPr>
          <w:rFonts w:ascii="Arial" w:hAnsi="Arial" w:cs="Arial"/>
          <w:color w:val="000000" w:themeColor="text1"/>
          <w:sz w:val="20"/>
          <w:szCs w:val="20"/>
          <w:lang w:val="hr-HR"/>
        </w:rPr>
      </w:pPr>
    </w:p>
    <w:p w14:paraId="6C8216E1" w14:textId="77777777" w:rsidR="004E2F51" w:rsidRPr="00D47D1C" w:rsidRDefault="004E2F51" w:rsidP="004E2F51">
      <w:pPr>
        <w:tabs>
          <w:tab w:val="left" w:pos="-720"/>
        </w:tabs>
        <w:jc w:val="both"/>
        <w:rPr>
          <w:rFonts w:ascii="Arial" w:hAnsi="Arial" w:cs="Arial"/>
          <w:color w:val="000000" w:themeColor="text1"/>
          <w:sz w:val="20"/>
          <w:szCs w:val="20"/>
          <w:lang w:val="hr-HR"/>
        </w:rPr>
      </w:pPr>
    </w:p>
    <w:tbl>
      <w:tblPr>
        <w:tblW w:w="5564" w:type="pct"/>
        <w:tblInd w:w="-567" w:type="dxa"/>
        <w:tblLayout w:type="fixed"/>
        <w:tblCellMar>
          <w:left w:w="120" w:type="dxa"/>
          <w:right w:w="120" w:type="dxa"/>
        </w:tblCellMar>
        <w:tblLook w:val="0000" w:firstRow="0" w:lastRow="0" w:firstColumn="0" w:lastColumn="0" w:noHBand="0" w:noVBand="0"/>
      </w:tblPr>
      <w:tblGrid>
        <w:gridCol w:w="2413"/>
        <w:gridCol w:w="991"/>
        <w:gridCol w:w="989"/>
        <w:gridCol w:w="989"/>
        <w:gridCol w:w="987"/>
        <w:gridCol w:w="1018"/>
        <w:gridCol w:w="987"/>
        <w:gridCol w:w="1020"/>
        <w:gridCol w:w="1016"/>
      </w:tblGrid>
      <w:tr w:rsidR="004E2F51" w:rsidRPr="00D47D1C" w14:paraId="39C2FD13" w14:textId="77777777" w:rsidTr="00E032FC">
        <w:trPr>
          <w:trHeight w:val="635"/>
        </w:trPr>
        <w:tc>
          <w:tcPr>
            <w:tcW w:w="1159" w:type="pct"/>
            <w:vAlign w:val="bottom"/>
          </w:tcPr>
          <w:p w14:paraId="55B4A1A2" w14:textId="77777777" w:rsidR="004E2F51" w:rsidRPr="00D47D1C" w:rsidRDefault="004E2F51" w:rsidP="00E032FC">
            <w:pPr>
              <w:tabs>
                <w:tab w:val="right" w:pos="1202"/>
              </w:tabs>
              <w:spacing w:line="240" w:lineRule="atLeast"/>
              <w:outlineLvl w:val="0"/>
              <w:rPr>
                <w:rFonts w:ascii="Arial" w:eastAsia="Calibri" w:hAnsi="Arial" w:cs="Arial"/>
                <w:b/>
                <w:color w:val="000000" w:themeColor="text1"/>
                <w:sz w:val="15"/>
                <w:szCs w:val="15"/>
                <w:lang w:val="hr-HR"/>
              </w:rPr>
            </w:pPr>
            <w:bookmarkStart w:id="1818" w:name="_Toc67330620"/>
            <w:r w:rsidRPr="00D47D1C">
              <w:rPr>
                <w:rFonts w:ascii="Arial" w:eastAsia="Calibri" w:hAnsi="Arial" w:cs="Arial"/>
                <w:b/>
                <w:color w:val="000000" w:themeColor="text1"/>
                <w:sz w:val="15"/>
                <w:szCs w:val="15"/>
                <w:lang w:val="hr-HR"/>
              </w:rPr>
              <w:t>Banka</w:t>
            </w:r>
            <w:bookmarkEnd w:id="1818"/>
          </w:p>
          <w:p w14:paraId="0DA9B346" w14:textId="77777777" w:rsidR="004E2F51" w:rsidRPr="00D47D1C" w:rsidRDefault="004E2F51" w:rsidP="00E032FC">
            <w:pPr>
              <w:tabs>
                <w:tab w:val="right" w:pos="1202"/>
              </w:tabs>
              <w:spacing w:line="240" w:lineRule="atLeast"/>
              <w:outlineLvl w:val="0"/>
              <w:rPr>
                <w:rFonts w:ascii="Arial" w:eastAsia="Calibri" w:hAnsi="Arial" w:cs="Arial"/>
                <w:b/>
                <w:color w:val="000000" w:themeColor="text1"/>
                <w:sz w:val="15"/>
                <w:szCs w:val="15"/>
                <w:lang w:val="hr-HR"/>
              </w:rPr>
            </w:pPr>
          </w:p>
          <w:p w14:paraId="424F3BBA" w14:textId="77777777" w:rsidR="004E2F51" w:rsidRPr="00D47D1C" w:rsidRDefault="004E2F51" w:rsidP="00E032FC">
            <w:pPr>
              <w:tabs>
                <w:tab w:val="right" w:pos="1202"/>
              </w:tabs>
              <w:spacing w:line="240" w:lineRule="atLeast"/>
              <w:outlineLvl w:val="0"/>
              <w:rPr>
                <w:rFonts w:ascii="Arial" w:eastAsia="Calibri" w:hAnsi="Arial" w:cs="Arial"/>
                <w:b/>
                <w:color w:val="000000" w:themeColor="text1"/>
                <w:sz w:val="15"/>
                <w:szCs w:val="15"/>
                <w:lang w:val="hr-HR"/>
              </w:rPr>
            </w:pPr>
            <w:bookmarkStart w:id="1819" w:name="_Toc67330621"/>
            <w:r w:rsidRPr="00D47D1C">
              <w:rPr>
                <w:rFonts w:ascii="Arial" w:eastAsia="Calibri" w:hAnsi="Arial" w:cs="Arial"/>
                <w:b/>
                <w:color w:val="000000" w:themeColor="text1"/>
                <w:sz w:val="15"/>
                <w:szCs w:val="15"/>
                <w:lang w:val="hr-HR"/>
              </w:rPr>
              <w:t>31. prosinca 202</w:t>
            </w:r>
            <w:r>
              <w:rPr>
                <w:rFonts w:ascii="Arial" w:eastAsia="Calibri" w:hAnsi="Arial" w:cs="Arial"/>
                <w:b/>
                <w:color w:val="000000" w:themeColor="text1"/>
                <w:sz w:val="15"/>
                <w:szCs w:val="15"/>
                <w:lang w:val="hr-HR"/>
              </w:rPr>
              <w:t>2</w:t>
            </w:r>
            <w:r w:rsidRPr="00D47D1C">
              <w:rPr>
                <w:rFonts w:ascii="Arial" w:eastAsia="Calibri" w:hAnsi="Arial" w:cs="Arial"/>
                <w:b/>
                <w:color w:val="000000" w:themeColor="text1"/>
                <w:sz w:val="15"/>
                <w:szCs w:val="15"/>
                <w:lang w:val="hr-HR"/>
              </w:rPr>
              <w:t>.</w:t>
            </w:r>
            <w:bookmarkEnd w:id="1819"/>
            <w:r w:rsidRPr="00D47D1C">
              <w:rPr>
                <w:rFonts w:ascii="Arial" w:eastAsia="Calibri" w:hAnsi="Arial" w:cs="Arial"/>
                <w:b/>
                <w:color w:val="000000" w:themeColor="text1"/>
                <w:sz w:val="15"/>
                <w:szCs w:val="15"/>
                <w:lang w:val="hr-HR"/>
              </w:rPr>
              <w:t xml:space="preserve">  </w:t>
            </w:r>
          </w:p>
        </w:tc>
        <w:tc>
          <w:tcPr>
            <w:tcW w:w="476" w:type="pct"/>
          </w:tcPr>
          <w:p w14:paraId="74B32A5B"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20" w:name="_Toc67330622"/>
            <w:r w:rsidRPr="00D47D1C">
              <w:rPr>
                <w:rFonts w:ascii="Arial" w:eastAsia="Calibri" w:hAnsi="Arial" w:cs="Arial"/>
                <w:b/>
                <w:color w:val="000000" w:themeColor="text1"/>
                <w:sz w:val="15"/>
                <w:szCs w:val="15"/>
                <w:lang w:val="hr-HR"/>
              </w:rPr>
              <w:t>Do 1 mjesec</w:t>
            </w:r>
            <w:bookmarkEnd w:id="1820"/>
          </w:p>
        </w:tc>
        <w:tc>
          <w:tcPr>
            <w:tcW w:w="475" w:type="pct"/>
          </w:tcPr>
          <w:p w14:paraId="186CD275"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21" w:name="_Toc67330623"/>
            <w:r w:rsidRPr="00D47D1C">
              <w:rPr>
                <w:rFonts w:ascii="Arial" w:eastAsia="Calibri" w:hAnsi="Arial" w:cs="Arial"/>
                <w:b/>
                <w:color w:val="000000" w:themeColor="text1"/>
                <w:sz w:val="15"/>
                <w:szCs w:val="15"/>
                <w:lang w:val="hr-HR"/>
              </w:rPr>
              <w:t>1 do 3 mjeseca</w:t>
            </w:r>
            <w:bookmarkEnd w:id="1821"/>
          </w:p>
        </w:tc>
        <w:tc>
          <w:tcPr>
            <w:tcW w:w="475" w:type="pct"/>
          </w:tcPr>
          <w:p w14:paraId="21D28D7A"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22" w:name="_Toc67330624"/>
            <w:r w:rsidRPr="00D47D1C">
              <w:rPr>
                <w:rFonts w:ascii="Arial" w:eastAsia="Calibri" w:hAnsi="Arial" w:cs="Arial"/>
                <w:b/>
                <w:color w:val="000000" w:themeColor="text1"/>
                <w:sz w:val="15"/>
                <w:szCs w:val="15"/>
                <w:lang w:val="hr-HR"/>
              </w:rPr>
              <w:t>3 mj. do 1 godine</w:t>
            </w:r>
            <w:bookmarkEnd w:id="1822"/>
          </w:p>
        </w:tc>
        <w:tc>
          <w:tcPr>
            <w:tcW w:w="474" w:type="pct"/>
          </w:tcPr>
          <w:p w14:paraId="258A32ED"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23" w:name="_Toc67330625"/>
            <w:r w:rsidRPr="00D47D1C">
              <w:rPr>
                <w:rFonts w:ascii="Arial" w:eastAsia="Calibri" w:hAnsi="Arial" w:cs="Arial"/>
                <w:b/>
                <w:color w:val="000000" w:themeColor="text1"/>
                <w:sz w:val="15"/>
                <w:szCs w:val="15"/>
                <w:lang w:val="hr-HR"/>
              </w:rPr>
              <w:t>1 do 3 godina</w:t>
            </w:r>
            <w:bookmarkEnd w:id="1823"/>
          </w:p>
        </w:tc>
        <w:tc>
          <w:tcPr>
            <w:tcW w:w="489" w:type="pct"/>
          </w:tcPr>
          <w:p w14:paraId="41D06B04"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24" w:name="_Toc67330626"/>
            <w:r w:rsidRPr="00D47D1C">
              <w:rPr>
                <w:rFonts w:ascii="Arial" w:eastAsia="Calibri" w:hAnsi="Arial" w:cs="Arial"/>
                <w:b/>
                <w:color w:val="000000" w:themeColor="text1"/>
                <w:sz w:val="15"/>
                <w:szCs w:val="15"/>
                <w:lang w:val="hr-HR"/>
              </w:rPr>
              <w:t>Preko 3 godine</w:t>
            </w:r>
            <w:bookmarkEnd w:id="1824"/>
          </w:p>
        </w:tc>
        <w:tc>
          <w:tcPr>
            <w:tcW w:w="474" w:type="pct"/>
          </w:tcPr>
          <w:p w14:paraId="73A645C7"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25" w:name="_Toc67330627"/>
            <w:r w:rsidRPr="00D47D1C">
              <w:rPr>
                <w:rFonts w:ascii="Arial" w:eastAsia="Calibri" w:hAnsi="Arial" w:cs="Arial"/>
                <w:b/>
                <w:color w:val="000000" w:themeColor="text1"/>
                <w:sz w:val="15"/>
                <w:szCs w:val="15"/>
                <w:lang w:val="hr-HR"/>
              </w:rPr>
              <w:t>Beska-matno</w:t>
            </w:r>
            <w:bookmarkEnd w:id="1825"/>
          </w:p>
        </w:tc>
        <w:tc>
          <w:tcPr>
            <w:tcW w:w="490" w:type="pct"/>
          </w:tcPr>
          <w:p w14:paraId="4CCFCE84"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26" w:name="_Toc67330628"/>
            <w:r w:rsidRPr="00D47D1C">
              <w:rPr>
                <w:rFonts w:ascii="Arial" w:eastAsia="Calibri" w:hAnsi="Arial" w:cs="Arial"/>
                <w:b/>
                <w:color w:val="000000" w:themeColor="text1"/>
                <w:sz w:val="15"/>
                <w:szCs w:val="15"/>
                <w:lang w:val="hr-HR"/>
              </w:rPr>
              <w:t>Ukupno</w:t>
            </w:r>
            <w:bookmarkEnd w:id="1826"/>
          </w:p>
        </w:tc>
        <w:tc>
          <w:tcPr>
            <w:tcW w:w="490" w:type="pct"/>
          </w:tcPr>
          <w:p w14:paraId="5B327518"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27" w:name="_Toc67330629"/>
            <w:r w:rsidRPr="00D47D1C">
              <w:rPr>
                <w:rFonts w:ascii="Arial" w:eastAsia="Calibri" w:hAnsi="Arial" w:cs="Arial"/>
                <w:b/>
                <w:color w:val="000000" w:themeColor="text1"/>
                <w:sz w:val="15"/>
                <w:szCs w:val="15"/>
                <w:lang w:val="hr-HR"/>
              </w:rPr>
              <w:t>Fiksna kamatna stopa</w:t>
            </w:r>
            <w:bookmarkEnd w:id="1827"/>
          </w:p>
        </w:tc>
      </w:tr>
      <w:tr w:rsidR="004E2F51" w:rsidRPr="00D47D1C" w14:paraId="632B1544" w14:textId="77777777" w:rsidTr="00E032FC">
        <w:trPr>
          <w:trHeight w:val="258"/>
        </w:trPr>
        <w:tc>
          <w:tcPr>
            <w:tcW w:w="1159" w:type="pct"/>
            <w:vAlign w:val="bottom"/>
          </w:tcPr>
          <w:p w14:paraId="08739633" w14:textId="77777777" w:rsidR="004E2F51" w:rsidRPr="00D47D1C" w:rsidRDefault="004E2F51" w:rsidP="00E032FC">
            <w:pPr>
              <w:tabs>
                <w:tab w:val="right" w:pos="1202"/>
              </w:tabs>
              <w:spacing w:line="240" w:lineRule="atLeast"/>
              <w:outlineLvl w:val="0"/>
              <w:rPr>
                <w:rFonts w:ascii="Arial" w:eastAsia="Calibri" w:hAnsi="Arial" w:cs="Arial"/>
                <w:b/>
                <w:color w:val="000000" w:themeColor="text1"/>
                <w:sz w:val="15"/>
                <w:szCs w:val="15"/>
                <w:lang w:val="hr-HR"/>
              </w:rPr>
            </w:pPr>
          </w:p>
        </w:tc>
        <w:tc>
          <w:tcPr>
            <w:tcW w:w="476" w:type="pct"/>
          </w:tcPr>
          <w:p w14:paraId="5555E344"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28" w:name="_Toc67330630"/>
            <w:r w:rsidRPr="00D47D1C">
              <w:rPr>
                <w:rFonts w:ascii="Arial" w:eastAsia="Calibri" w:hAnsi="Arial" w:cs="Arial"/>
                <w:b/>
                <w:color w:val="000000" w:themeColor="text1"/>
                <w:sz w:val="15"/>
                <w:szCs w:val="15"/>
                <w:lang w:val="hr-HR"/>
              </w:rPr>
              <w:t>000 kuna</w:t>
            </w:r>
            <w:bookmarkEnd w:id="1828"/>
          </w:p>
        </w:tc>
        <w:tc>
          <w:tcPr>
            <w:tcW w:w="475" w:type="pct"/>
          </w:tcPr>
          <w:p w14:paraId="5AFC7F25"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29" w:name="_Toc67330631"/>
            <w:r w:rsidRPr="00D47D1C">
              <w:rPr>
                <w:rFonts w:ascii="Arial" w:eastAsia="Calibri" w:hAnsi="Arial" w:cs="Arial"/>
                <w:b/>
                <w:color w:val="000000" w:themeColor="text1"/>
                <w:sz w:val="15"/>
                <w:szCs w:val="15"/>
                <w:lang w:val="hr-HR"/>
              </w:rPr>
              <w:t>000 kuna</w:t>
            </w:r>
            <w:bookmarkEnd w:id="1829"/>
          </w:p>
        </w:tc>
        <w:tc>
          <w:tcPr>
            <w:tcW w:w="475" w:type="pct"/>
          </w:tcPr>
          <w:p w14:paraId="23A6874F"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30" w:name="_Toc67330632"/>
            <w:r w:rsidRPr="00D47D1C">
              <w:rPr>
                <w:rFonts w:ascii="Arial" w:eastAsia="Calibri" w:hAnsi="Arial" w:cs="Arial"/>
                <w:b/>
                <w:color w:val="000000" w:themeColor="text1"/>
                <w:sz w:val="15"/>
                <w:szCs w:val="15"/>
                <w:lang w:val="hr-HR"/>
              </w:rPr>
              <w:t>000 kuna</w:t>
            </w:r>
            <w:bookmarkEnd w:id="1830"/>
          </w:p>
        </w:tc>
        <w:tc>
          <w:tcPr>
            <w:tcW w:w="474" w:type="pct"/>
          </w:tcPr>
          <w:p w14:paraId="46A1A582"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31" w:name="_Toc67330633"/>
            <w:r w:rsidRPr="00D47D1C">
              <w:rPr>
                <w:rFonts w:ascii="Arial" w:eastAsia="Calibri" w:hAnsi="Arial" w:cs="Arial"/>
                <w:b/>
                <w:color w:val="000000" w:themeColor="text1"/>
                <w:sz w:val="15"/>
                <w:szCs w:val="15"/>
                <w:lang w:val="hr-HR"/>
              </w:rPr>
              <w:t>000 kuna</w:t>
            </w:r>
            <w:bookmarkEnd w:id="1831"/>
          </w:p>
        </w:tc>
        <w:tc>
          <w:tcPr>
            <w:tcW w:w="489" w:type="pct"/>
          </w:tcPr>
          <w:p w14:paraId="425754D4"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32" w:name="_Toc67330634"/>
            <w:r w:rsidRPr="00D47D1C">
              <w:rPr>
                <w:rFonts w:ascii="Arial" w:eastAsia="Calibri" w:hAnsi="Arial" w:cs="Arial"/>
                <w:b/>
                <w:color w:val="000000" w:themeColor="text1"/>
                <w:sz w:val="15"/>
                <w:szCs w:val="15"/>
                <w:lang w:val="hr-HR"/>
              </w:rPr>
              <w:t>000 kuna</w:t>
            </w:r>
            <w:bookmarkEnd w:id="1832"/>
          </w:p>
        </w:tc>
        <w:tc>
          <w:tcPr>
            <w:tcW w:w="474" w:type="pct"/>
          </w:tcPr>
          <w:p w14:paraId="2B5E125F"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33" w:name="_Toc67330635"/>
            <w:r w:rsidRPr="00D47D1C">
              <w:rPr>
                <w:rFonts w:ascii="Arial" w:eastAsia="Calibri" w:hAnsi="Arial" w:cs="Arial"/>
                <w:b/>
                <w:color w:val="000000" w:themeColor="text1"/>
                <w:sz w:val="15"/>
                <w:szCs w:val="15"/>
                <w:lang w:val="hr-HR"/>
              </w:rPr>
              <w:t>000 kuna</w:t>
            </w:r>
            <w:bookmarkEnd w:id="1833"/>
          </w:p>
        </w:tc>
        <w:tc>
          <w:tcPr>
            <w:tcW w:w="490" w:type="pct"/>
          </w:tcPr>
          <w:p w14:paraId="52F399AE"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34" w:name="_Toc67330636"/>
            <w:r w:rsidRPr="00D47D1C">
              <w:rPr>
                <w:rFonts w:ascii="Arial" w:eastAsia="Calibri" w:hAnsi="Arial" w:cs="Arial"/>
                <w:b/>
                <w:color w:val="000000" w:themeColor="text1"/>
                <w:sz w:val="15"/>
                <w:szCs w:val="15"/>
                <w:lang w:val="hr-HR"/>
              </w:rPr>
              <w:t>000 kuna</w:t>
            </w:r>
            <w:bookmarkEnd w:id="1834"/>
          </w:p>
        </w:tc>
        <w:tc>
          <w:tcPr>
            <w:tcW w:w="490" w:type="pct"/>
          </w:tcPr>
          <w:p w14:paraId="665B99E0"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bookmarkStart w:id="1835" w:name="_Toc67330637"/>
            <w:r w:rsidRPr="00D47D1C">
              <w:rPr>
                <w:rFonts w:ascii="Arial" w:eastAsia="Calibri" w:hAnsi="Arial" w:cs="Arial"/>
                <w:b/>
                <w:color w:val="000000" w:themeColor="text1"/>
                <w:sz w:val="15"/>
                <w:szCs w:val="15"/>
                <w:lang w:val="hr-HR"/>
              </w:rPr>
              <w:t>000 kuna</w:t>
            </w:r>
            <w:bookmarkEnd w:id="1835"/>
          </w:p>
        </w:tc>
      </w:tr>
      <w:tr w:rsidR="004E2F51" w:rsidRPr="00D47D1C" w14:paraId="5A20207D" w14:textId="77777777" w:rsidTr="00E032FC">
        <w:trPr>
          <w:trHeight w:val="227"/>
        </w:trPr>
        <w:tc>
          <w:tcPr>
            <w:tcW w:w="1159" w:type="pct"/>
            <w:vAlign w:val="bottom"/>
          </w:tcPr>
          <w:p w14:paraId="06DBCB51" w14:textId="77777777" w:rsidR="004E2F51" w:rsidRPr="00D47D1C" w:rsidRDefault="004E2F51" w:rsidP="00E032FC">
            <w:pPr>
              <w:tabs>
                <w:tab w:val="left" w:pos="-720"/>
              </w:tabs>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Imovina</w:t>
            </w:r>
          </w:p>
        </w:tc>
        <w:tc>
          <w:tcPr>
            <w:tcW w:w="476" w:type="pct"/>
          </w:tcPr>
          <w:p w14:paraId="39138E56"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75" w:type="pct"/>
          </w:tcPr>
          <w:p w14:paraId="3E483DA7"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75" w:type="pct"/>
          </w:tcPr>
          <w:p w14:paraId="74720349"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74" w:type="pct"/>
          </w:tcPr>
          <w:p w14:paraId="54F4FCA2"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89" w:type="pct"/>
          </w:tcPr>
          <w:p w14:paraId="558CA918"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74" w:type="pct"/>
          </w:tcPr>
          <w:p w14:paraId="103FDA2F" w14:textId="77777777" w:rsidR="004E2F51" w:rsidRPr="00D47D1C" w:rsidRDefault="004E2F51" w:rsidP="00E032FC">
            <w:pPr>
              <w:tabs>
                <w:tab w:val="left" w:pos="-720"/>
              </w:tabs>
              <w:spacing w:line="360" w:lineRule="auto"/>
              <w:jc w:val="right"/>
              <w:rPr>
                <w:rFonts w:ascii="Arial" w:eastAsia="Calibri" w:hAnsi="Arial" w:cs="Arial"/>
                <w:color w:val="000000" w:themeColor="text1"/>
                <w:sz w:val="15"/>
                <w:szCs w:val="15"/>
                <w:lang w:val="hr-HR"/>
              </w:rPr>
            </w:pPr>
          </w:p>
        </w:tc>
        <w:tc>
          <w:tcPr>
            <w:tcW w:w="490" w:type="pct"/>
          </w:tcPr>
          <w:p w14:paraId="7CA1F617"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90" w:type="pct"/>
          </w:tcPr>
          <w:p w14:paraId="6C6AD952"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r>
      <w:tr w:rsidR="004E2F51" w:rsidRPr="00D47D1C" w14:paraId="508EF7C3" w14:textId="77777777" w:rsidTr="00E032FC">
        <w:trPr>
          <w:trHeight w:val="217"/>
        </w:trPr>
        <w:tc>
          <w:tcPr>
            <w:tcW w:w="1159" w:type="pct"/>
            <w:vAlign w:val="bottom"/>
          </w:tcPr>
          <w:p w14:paraId="1D8B4570"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Novčana sredstva i računi kod banaka</w:t>
            </w:r>
          </w:p>
        </w:tc>
        <w:tc>
          <w:tcPr>
            <w:tcW w:w="476" w:type="pct"/>
            <w:vAlign w:val="bottom"/>
          </w:tcPr>
          <w:p w14:paraId="02F38DFE"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100.109 </w:t>
            </w:r>
          </w:p>
        </w:tc>
        <w:tc>
          <w:tcPr>
            <w:tcW w:w="475" w:type="pct"/>
            <w:vAlign w:val="bottom"/>
          </w:tcPr>
          <w:p w14:paraId="549AF482"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5" w:type="pct"/>
            <w:vAlign w:val="bottom"/>
          </w:tcPr>
          <w:p w14:paraId="57A2F1A6"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4" w:type="pct"/>
            <w:vAlign w:val="bottom"/>
          </w:tcPr>
          <w:p w14:paraId="211D56A8"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9" w:type="pct"/>
            <w:vAlign w:val="bottom"/>
          </w:tcPr>
          <w:p w14:paraId="7D922D57"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4" w:type="pct"/>
            <w:vAlign w:val="bottom"/>
          </w:tcPr>
          <w:p w14:paraId="6BE2594A"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1.616.410 </w:t>
            </w:r>
          </w:p>
        </w:tc>
        <w:tc>
          <w:tcPr>
            <w:tcW w:w="490" w:type="pct"/>
            <w:vAlign w:val="bottom"/>
          </w:tcPr>
          <w:p w14:paraId="6588614B"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1.716.519 </w:t>
            </w:r>
          </w:p>
        </w:tc>
        <w:tc>
          <w:tcPr>
            <w:tcW w:w="490" w:type="pct"/>
            <w:vAlign w:val="bottom"/>
          </w:tcPr>
          <w:p w14:paraId="3C096C5D"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100.109 </w:t>
            </w:r>
          </w:p>
        </w:tc>
      </w:tr>
      <w:tr w:rsidR="004E2F51" w:rsidRPr="00D47D1C" w14:paraId="0C882767" w14:textId="77777777" w:rsidTr="00E032FC">
        <w:trPr>
          <w:trHeight w:val="206"/>
        </w:trPr>
        <w:tc>
          <w:tcPr>
            <w:tcW w:w="1159" w:type="pct"/>
            <w:vAlign w:val="bottom"/>
          </w:tcPr>
          <w:p w14:paraId="17C3D4BA"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Depoziti kod drugih banaka</w:t>
            </w:r>
          </w:p>
        </w:tc>
        <w:tc>
          <w:tcPr>
            <w:tcW w:w="476" w:type="pct"/>
            <w:vAlign w:val="bottom"/>
          </w:tcPr>
          <w:p w14:paraId="4EC491BA"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5" w:type="pct"/>
            <w:vAlign w:val="bottom"/>
          </w:tcPr>
          <w:p w14:paraId="66176236"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5" w:type="pct"/>
            <w:vAlign w:val="bottom"/>
          </w:tcPr>
          <w:p w14:paraId="2A1FA30F"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4" w:type="pct"/>
            <w:vAlign w:val="bottom"/>
          </w:tcPr>
          <w:p w14:paraId="1ABF5071"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9" w:type="pct"/>
            <w:vAlign w:val="bottom"/>
          </w:tcPr>
          <w:p w14:paraId="387DB84C"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4" w:type="pct"/>
            <w:vAlign w:val="bottom"/>
          </w:tcPr>
          <w:p w14:paraId="4A140CC2"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10.596 </w:t>
            </w:r>
          </w:p>
        </w:tc>
        <w:tc>
          <w:tcPr>
            <w:tcW w:w="490" w:type="pct"/>
            <w:vAlign w:val="bottom"/>
          </w:tcPr>
          <w:p w14:paraId="7E3A3D73"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10.596 </w:t>
            </w:r>
          </w:p>
        </w:tc>
        <w:tc>
          <w:tcPr>
            <w:tcW w:w="490" w:type="pct"/>
            <w:vAlign w:val="bottom"/>
          </w:tcPr>
          <w:p w14:paraId="1B544FDA"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r>
      <w:tr w:rsidR="004E2F51" w:rsidRPr="00D47D1C" w14:paraId="0383A22B" w14:textId="77777777" w:rsidTr="00E032FC">
        <w:trPr>
          <w:trHeight w:val="164"/>
        </w:trPr>
        <w:tc>
          <w:tcPr>
            <w:tcW w:w="1159" w:type="pct"/>
            <w:vAlign w:val="bottom"/>
          </w:tcPr>
          <w:p w14:paraId="5E5C5FA6"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financijskim institucijama</w:t>
            </w:r>
          </w:p>
        </w:tc>
        <w:tc>
          <w:tcPr>
            <w:tcW w:w="476" w:type="pct"/>
            <w:tcBorders>
              <w:top w:val="nil"/>
              <w:left w:val="nil"/>
              <w:bottom w:val="nil"/>
              <w:right w:val="nil"/>
            </w:tcBorders>
            <w:vAlign w:val="bottom"/>
          </w:tcPr>
          <w:p w14:paraId="18CE5D37"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241.456 </w:t>
            </w:r>
          </w:p>
        </w:tc>
        <w:tc>
          <w:tcPr>
            <w:tcW w:w="475" w:type="pct"/>
            <w:tcBorders>
              <w:top w:val="nil"/>
              <w:left w:val="nil"/>
              <w:bottom w:val="nil"/>
              <w:right w:val="nil"/>
            </w:tcBorders>
            <w:vAlign w:val="bottom"/>
          </w:tcPr>
          <w:p w14:paraId="3FDACEC3"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285.706 </w:t>
            </w:r>
          </w:p>
        </w:tc>
        <w:tc>
          <w:tcPr>
            <w:tcW w:w="475" w:type="pct"/>
            <w:tcBorders>
              <w:top w:val="nil"/>
              <w:left w:val="nil"/>
              <w:bottom w:val="nil"/>
              <w:right w:val="nil"/>
            </w:tcBorders>
            <w:vAlign w:val="bottom"/>
          </w:tcPr>
          <w:p w14:paraId="483AE921"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824.255 </w:t>
            </w:r>
          </w:p>
        </w:tc>
        <w:tc>
          <w:tcPr>
            <w:tcW w:w="474" w:type="pct"/>
            <w:tcBorders>
              <w:top w:val="nil"/>
              <w:left w:val="nil"/>
              <w:bottom w:val="nil"/>
              <w:right w:val="nil"/>
            </w:tcBorders>
            <w:vAlign w:val="bottom"/>
          </w:tcPr>
          <w:p w14:paraId="170E6C1C"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1.881.654 </w:t>
            </w:r>
          </w:p>
        </w:tc>
        <w:tc>
          <w:tcPr>
            <w:tcW w:w="489" w:type="pct"/>
            <w:tcBorders>
              <w:top w:val="nil"/>
              <w:left w:val="nil"/>
              <w:bottom w:val="nil"/>
              <w:right w:val="nil"/>
            </w:tcBorders>
            <w:vAlign w:val="bottom"/>
          </w:tcPr>
          <w:p w14:paraId="1F562ED6"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3.744.788 </w:t>
            </w:r>
          </w:p>
        </w:tc>
        <w:tc>
          <w:tcPr>
            <w:tcW w:w="474" w:type="pct"/>
            <w:tcBorders>
              <w:top w:val="nil"/>
              <w:left w:val="nil"/>
              <w:bottom w:val="nil"/>
              <w:right w:val="nil"/>
            </w:tcBorders>
            <w:vAlign w:val="bottom"/>
          </w:tcPr>
          <w:p w14:paraId="484F9837"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6.853 </w:t>
            </w:r>
          </w:p>
        </w:tc>
        <w:tc>
          <w:tcPr>
            <w:tcW w:w="490" w:type="pct"/>
            <w:tcBorders>
              <w:top w:val="nil"/>
              <w:left w:val="nil"/>
              <w:bottom w:val="nil"/>
              <w:right w:val="nil"/>
            </w:tcBorders>
            <w:vAlign w:val="bottom"/>
          </w:tcPr>
          <w:p w14:paraId="308F52F8"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6.984.712 </w:t>
            </w:r>
          </w:p>
        </w:tc>
        <w:tc>
          <w:tcPr>
            <w:tcW w:w="490" w:type="pct"/>
            <w:tcBorders>
              <w:top w:val="nil"/>
              <w:left w:val="nil"/>
              <w:bottom w:val="nil"/>
              <w:right w:val="nil"/>
            </w:tcBorders>
            <w:vAlign w:val="bottom"/>
          </w:tcPr>
          <w:p w14:paraId="056EB788"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6.882.039 </w:t>
            </w:r>
          </w:p>
        </w:tc>
      </w:tr>
      <w:tr w:rsidR="004E2F51" w:rsidRPr="00D47D1C" w14:paraId="535D56F4" w14:textId="77777777" w:rsidTr="00E032FC">
        <w:trPr>
          <w:trHeight w:val="92"/>
        </w:trPr>
        <w:tc>
          <w:tcPr>
            <w:tcW w:w="1159" w:type="pct"/>
            <w:vAlign w:val="bottom"/>
          </w:tcPr>
          <w:p w14:paraId="6BF10337"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ostalim korisnicima</w:t>
            </w:r>
          </w:p>
        </w:tc>
        <w:tc>
          <w:tcPr>
            <w:tcW w:w="476" w:type="pct"/>
            <w:tcBorders>
              <w:top w:val="nil"/>
              <w:left w:val="nil"/>
              <w:bottom w:val="nil"/>
              <w:right w:val="nil"/>
            </w:tcBorders>
            <w:vAlign w:val="bottom"/>
          </w:tcPr>
          <w:p w14:paraId="18154CA5"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1.312.571 </w:t>
            </w:r>
          </w:p>
        </w:tc>
        <w:tc>
          <w:tcPr>
            <w:tcW w:w="475" w:type="pct"/>
            <w:tcBorders>
              <w:top w:val="nil"/>
              <w:left w:val="nil"/>
              <w:bottom w:val="nil"/>
              <w:right w:val="nil"/>
            </w:tcBorders>
            <w:vAlign w:val="bottom"/>
          </w:tcPr>
          <w:p w14:paraId="042A0C91"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821.349 </w:t>
            </w:r>
          </w:p>
        </w:tc>
        <w:tc>
          <w:tcPr>
            <w:tcW w:w="475" w:type="pct"/>
            <w:tcBorders>
              <w:top w:val="nil"/>
              <w:left w:val="nil"/>
              <w:bottom w:val="nil"/>
              <w:right w:val="nil"/>
            </w:tcBorders>
            <w:vAlign w:val="bottom"/>
          </w:tcPr>
          <w:p w14:paraId="5C30DA1C"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2.854.156 </w:t>
            </w:r>
          </w:p>
        </w:tc>
        <w:tc>
          <w:tcPr>
            <w:tcW w:w="474" w:type="pct"/>
            <w:tcBorders>
              <w:top w:val="nil"/>
              <w:left w:val="nil"/>
              <w:bottom w:val="nil"/>
              <w:right w:val="nil"/>
            </w:tcBorders>
            <w:vAlign w:val="bottom"/>
          </w:tcPr>
          <w:p w14:paraId="592C504B"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3.618.634 </w:t>
            </w:r>
          </w:p>
        </w:tc>
        <w:tc>
          <w:tcPr>
            <w:tcW w:w="489" w:type="pct"/>
            <w:tcBorders>
              <w:top w:val="nil"/>
              <w:left w:val="nil"/>
              <w:bottom w:val="nil"/>
              <w:right w:val="nil"/>
            </w:tcBorders>
            <w:vAlign w:val="bottom"/>
          </w:tcPr>
          <w:p w14:paraId="14112B36"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8.653.431 </w:t>
            </w:r>
          </w:p>
        </w:tc>
        <w:tc>
          <w:tcPr>
            <w:tcW w:w="474" w:type="pct"/>
            <w:tcBorders>
              <w:top w:val="nil"/>
              <w:left w:val="nil"/>
              <w:bottom w:val="nil"/>
              <w:right w:val="nil"/>
            </w:tcBorders>
            <w:vAlign w:val="bottom"/>
          </w:tcPr>
          <w:p w14:paraId="71B3618C"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142.525 </w:t>
            </w:r>
          </w:p>
        </w:tc>
        <w:tc>
          <w:tcPr>
            <w:tcW w:w="490" w:type="pct"/>
            <w:tcBorders>
              <w:top w:val="nil"/>
              <w:left w:val="nil"/>
              <w:bottom w:val="nil"/>
              <w:right w:val="nil"/>
            </w:tcBorders>
            <w:vAlign w:val="bottom"/>
          </w:tcPr>
          <w:p w14:paraId="09B23B23"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17.402.666 </w:t>
            </w:r>
          </w:p>
        </w:tc>
        <w:tc>
          <w:tcPr>
            <w:tcW w:w="490" w:type="pct"/>
            <w:tcBorders>
              <w:top w:val="nil"/>
              <w:left w:val="nil"/>
              <w:bottom w:val="nil"/>
              <w:right w:val="nil"/>
            </w:tcBorders>
            <w:vAlign w:val="bottom"/>
          </w:tcPr>
          <w:p w14:paraId="15936A2F"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16.032.437 </w:t>
            </w:r>
          </w:p>
        </w:tc>
      </w:tr>
      <w:tr w:rsidR="004E2F51" w:rsidRPr="00D47D1C" w14:paraId="7F2A4490" w14:textId="77777777" w:rsidTr="00E032FC">
        <w:trPr>
          <w:trHeight w:val="170"/>
        </w:trPr>
        <w:tc>
          <w:tcPr>
            <w:tcW w:w="1159" w:type="pct"/>
            <w:vAlign w:val="bottom"/>
          </w:tcPr>
          <w:p w14:paraId="3EDDAC3A"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dobit ili gubitak</w:t>
            </w:r>
          </w:p>
        </w:tc>
        <w:tc>
          <w:tcPr>
            <w:tcW w:w="476" w:type="pct"/>
            <w:vAlign w:val="bottom"/>
          </w:tcPr>
          <w:p w14:paraId="592501E3"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5" w:type="pct"/>
            <w:vAlign w:val="bottom"/>
          </w:tcPr>
          <w:p w14:paraId="7BC652FA"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5" w:type="pct"/>
            <w:vAlign w:val="bottom"/>
          </w:tcPr>
          <w:p w14:paraId="026A4825"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4" w:type="pct"/>
            <w:vAlign w:val="bottom"/>
          </w:tcPr>
          <w:p w14:paraId="425E68B7"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22.831 </w:t>
            </w:r>
          </w:p>
        </w:tc>
        <w:tc>
          <w:tcPr>
            <w:tcW w:w="489" w:type="pct"/>
            <w:vAlign w:val="bottom"/>
          </w:tcPr>
          <w:p w14:paraId="3AE413F1"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4" w:type="pct"/>
            <w:vAlign w:val="bottom"/>
          </w:tcPr>
          <w:p w14:paraId="5ADDDEC3"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108.692 </w:t>
            </w:r>
          </w:p>
        </w:tc>
        <w:tc>
          <w:tcPr>
            <w:tcW w:w="490" w:type="pct"/>
            <w:vAlign w:val="bottom"/>
          </w:tcPr>
          <w:p w14:paraId="0CB7D35B"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131.523 </w:t>
            </w:r>
          </w:p>
        </w:tc>
        <w:tc>
          <w:tcPr>
            <w:tcW w:w="490" w:type="pct"/>
            <w:vAlign w:val="bottom"/>
          </w:tcPr>
          <w:p w14:paraId="03340ED9"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22.831 </w:t>
            </w:r>
          </w:p>
        </w:tc>
      </w:tr>
      <w:tr w:rsidR="004E2F51" w:rsidRPr="00D47D1C" w14:paraId="5551F014" w14:textId="77777777" w:rsidTr="00E032FC">
        <w:trPr>
          <w:trHeight w:val="163"/>
        </w:trPr>
        <w:tc>
          <w:tcPr>
            <w:tcW w:w="1159" w:type="pct"/>
            <w:vAlign w:val="bottom"/>
          </w:tcPr>
          <w:p w14:paraId="13954F30"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ostalu sveobuhvatnu dobit</w:t>
            </w:r>
          </w:p>
        </w:tc>
        <w:tc>
          <w:tcPr>
            <w:tcW w:w="476" w:type="pct"/>
            <w:vAlign w:val="bottom"/>
          </w:tcPr>
          <w:p w14:paraId="620BAD31"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2.572.370 </w:t>
            </w:r>
          </w:p>
        </w:tc>
        <w:tc>
          <w:tcPr>
            <w:tcW w:w="475" w:type="pct"/>
            <w:vAlign w:val="bottom"/>
          </w:tcPr>
          <w:p w14:paraId="750018F3"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5" w:type="pct"/>
            <w:vAlign w:val="bottom"/>
          </w:tcPr>
          <w:p w14:paraId="1FCA0E8D"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4" w:type="pct"/>
            <w:vAlign w:val="bottom"/>
          </w:tcPr>
          <w:p w14:paraId="259CFCD5"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9" w:type="pct"/>
            <w:vAlign w:val="bottom"/>
          </w:tcPr>
          <w:p w14:paraId="129C4768"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4" w:type="pct"/>
            <w:vAlign w:val="bottom"/>
          </w:tcPr>
          <w:p w14:paraId="106C13F6"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67.102 </w:t>
            </w:r>
          </w:p>
        </w:tc>
        <w:tc>
          <w:tcPr>
            <w:tcW w:w="490" w:type="pct"/>
            <w:vAlign w:val="bottom"/>
          </w:tcPr>
          <w:p w14:paraId="1D467A2B"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2.639.472 </w:t>
            </w:r>
          </w:p>
        </w:tc>
        <w:tc>
          <w:tcPr>
            <w:tcW w:w="490" w:type="pct"/>
            <w:vAlign w:val="bottom"/>
          </w:tcPr>
          <w:p w14:paraId="33C98722"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2.572.370 </w:t>
            </w:r>
          </w:p>
        </w:tc>
      </w:tr>
      <w:tr w:rsidR="004E2F51" w:rsidRPr="00D47D1C" w14:paraId="3E97CEDC" w14:textId="77777777" w:rsidTr="00E032FC">
        <w:trPr>
          <w:trHeight w:val="206"/>
        </w:trPr>
        <w:tc>
          <w:tcPr>
            <w:tcW w:w="1159" w:type="pct"/>
            <w:vAlign w:val="bottom"/>
          </w:tcPr>
          <w:p w14:paraId="4374091B"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Ostala imovina</w:t>
            </w:r>
          </w:p>
        </w:tc>
        <w:tc>
          <w:tcPr>
            <w:tcW w:w="476" w:type="pct"/>
            <w:tcBorders>
              <w:bottom w:val="single" w:sz="4" w:space="0" w:color="auto"/>
            </w:tcBorders>
            <w:vAlign w:val="bottom"/>
          </w:tcPr>
          <w:p w14:paraId="558E227B" w14:textId="77777777" w:rsidR="004E2F51" w:rsidRPr="00D47D1C" w:rsidRDefault="004E2F51" w:rsidP="00E032FC">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tcBorders>
              <w:bottom w:val="single" w:sz="4" w:space="0" w:color="auto"/>
            </w:tcBorders>
            <w:vAlign w:val="bottom"/>
          </w:tcPr>
          <w:p w14:paraId="48CDA213" w14:textId="77777777" w:rsidR="004E2F51" w:rsidRPr="00D47D1C" w:rsidRDefault="004E2F51" w:rsidP="00E032FC">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5" w:type="pct"/>
            <w:tcBorders>
              <w:bottom w:val="single" w:sz="4" w:space="0" w:color="auto"/>
            </w:tcBorders>
            <w:vAlign w:val="bottom"/>
          </w:tcPr>
          <w:p w14:paraId="13CF8121" w14:textId="77777777" w:rsidR="004E2F51" w:rsidRPr="00D47D1C" w:rsidRDefault="004E2F51" w:rsidP="00E032FC">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tcBorders>
              <w:bottom w:val="single" w:sz="4" w:space="0" w:color="auto"/>
            </w:tcBorders>
            <w:vAlign w:val="bottom"/>
          </w:tcPr>
          <w:p w14:paraId="1A999ABE" w14:textId="77777777" w:rsidR="004E2F51" w:rsidRPr="00D47D1C" w:rsidRDefault="004E2F51" w:rsidP="00E032FC">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89" w:type="pct"/>
            <w:tcBorders>
              <w:bottom w:val="single" w:sz="4" w:space="0" w:color="auto"/>
            </w:tcBorders>
            <w:vAlign w:val="bottom"/>
          </w:tcPr>
          <w:p w14:paraId="11D23701" w14:textId="77777777" w:rsidR="004E2F51" w:rsidRPr="00D47D1C" w:rsidRDefault="004E2F51" w:rsidP="00E032FC">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c>
          <w:tcPr>
            <w:tcW w:w="474" w:type="pct"/>
            <w:tcBorders>
              <w:bottom w:val="single" w:sz="4" w:space="0" w:color="auto"/>
            </w:tcBorders>
            <w:vAlign w:val="bottom"/>
          </w:tcPr>
          <w:p w14:paraId="4894DBE2"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28.192</w:t>
            </w:r>
          </w:p>
        </w:tc>
        <w:tc>
          <w:tcPr>
            <w:tcW w:w="490" w:type="pct"/>
            <w:tcBorders>
              <w:bottom w:val="single" w:sz="4" w:space="0" w:color="auto"/>
            </w:tcBorders>
            <w:vAlign w:val="bottom"/>
          </w:tcPr>
          <w:p w14:paraId="11C441A0"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28.192</w:t>
            </w:r>
          </w:p>
        </w:tc>
        <w:tc>
          <w:tcPr>
            <w:tcW w:w="490" w:type="pct"/>
            <w:tcBorders>
              <w:bottom w:val="single" w:sz="4" w:space="0" w:color="auto"/>
            </w:tcBorders>
            <w:vAlign w:val="bottom"/>
          </w:tcPr>
          <w:p w14:paraId="31164668" w14:textId="77777777" w:rsidR="004E2F51" w:rsidRPr="00D47D1C" w:rsidRDefault="004E2F51" w:rsidP="00E032FC">
            <w:pPr>
              <w:jc w:val="right"/>
              <w:rPr>
                <w:rFonts w:ascii="Arial" w:eastAsia="Calibri" w:hAnsi="Arial" w:cs="Arial"/>
                <w:bCs/>
                <w:color w:val="000000" w:themeColor="text1"/>
                <w:sz w:val="15"/>
                <w:szCs w:val="15"/>
                <w:lang w:val="hr-HR"/>
              </w:rPr>
            </w:pPr>
            <w:r>
              <w:rPr>
                <w:rFonts w:ascii="Arial" w:eastAsia="Calibri" w:hAnsi="Arial" w:cs="Arial"/>
                <w:bCs/>
                <w:color w:val="000000" w:themeColor="text1"/>
                <w:sz w:val="15"/>
                <w:szCs w:val="15"/>
                <w:lang w:val="hr-HR"/>
              </w:rPr>
              <w:t>-</w:t>
            </w:r>
          </w:p>
        </w:tc>
      </w:tr>
      <w:tr w:rsidR="004E2F51" w:rsidRPr="00D47D1C" w14:paraId="452F9FEB" w14:textId="77777777" w:rsidTr="00E032FC">
        <w:trPr>
          <w:trHeight w:hRule="exact" w:val="308"/>
        </w:trPr>
        <w:tc>
          <w:tcPr>
            <w:tcW w:w="1159" w:type="pct"/>
            <w:vAlign w:val="center"/>
          </w:tcPr>
          <w:p w14:paraId="60E7A7E9"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bookmarkStart w:id="1836" w:name="_Toc67330638"/>
            <w:r w:rsidRPr="00D47D1C">
              <w:rPr>
                <w:rFonts w:ascii="Arial" w:eastAsia="Calibri" w:hAnsi="Arial" w:cs="Arial"/>
                <w:b/>
                <w:bCs/>
                <w:color w:val="000000" w:themeColor="text1"/>
                <w:sz w:val="15"/>
                <w:szCs w:val="15"/>
                <w:lang w:val="hr-HR"/>
              </w:rPr>
              <w:t>Imovina</w:t>
            </w:r>
            <w:bookmarkEnd w:id="1836"/>
            <w:r w:rsidRPr="00D47D1C">
              <w:rPr>
                <w:rFonts w:ascii="Arial" w:eastAsia="Calibri" w:hAnsi="Arial" w:cs="Arial"/>
                <w:b/>
                <w:bCs/>
                <w:color w:val="000000" w:themeColor="text1"/>
                <w:sz w:val="15"/>
                <w:szCs w:val="15"/>
                <w:lang w:val="hr-HR"/>
              </w:rPr>
              <w:t xml:space="preserve"> </w:t>
            </w:r>
          </w:p>
        </w:tc>
        <w:tc>
          <w:tcPr>
            <w:tcW w:w="476" w:type="pct"/>
            <w:tcBorders>
              <w:top w:val="nil"/>
              <w:left w:val="nil"/>
              <w:bottom w:val="single" w:sz="8" w:space="0" w:color="auto"/>
              <w:right w:val="nil"/>
            </w:tcBorders>
            <w:vAlign w:val="bottom"/>
          </w:tcPr>
          <w:p w14:paraId="32217541"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4.226.506 </w:t>
            </w:r>
          </w:p>
        </w:tc>
        <w:tc>
          <w:tcPr>
            <w:tcW w:w="475" w:type="pct"/>
            <w:tcBorders>
              <w:top w:val="nil"/>
              <w:left w:val="nil"/>
              <w:bottom w:val="single" w:sz="8" w:space="0" w:color="auto"/>
              <w:right w:val="nil"/>
            </w:tcBorders>
            <w:vAlign w:val="bottom"/>
          </w:tcPr>
          <w:p w14:paraId="489C0FC3"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1.107.055 </w:t>
            </w:r>
          </w:p>
        </w:tc>
        <w:tc>
          <w:tcPr>
            <w:tcW w:w="475" w:type="pct"/>
            <w:tcBorders>
              <w:top w:val="nil"/>
              <w:left w:val="nil"/>
              <w:bottom w:val="single" w:sz="8" w:space="0" w:color="auto"/>
              <w:right w:val="nil"/>
            </w:tcBorders>
            <w:vAlign w:val="bottom"/>
          </w:tcPr>
          <w:p w14:paraId="26157AD1"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3.678.411 </w:t>
            </w:r>
          </w:p>
        </w:tc>
        <w:tc>
          <w:tcPr>
            <w:tcW w:w="474" w:type="pct"/>
            <w:tcBorders>
              <w:top w:val="nil"/>
              <w:left w:val="nil"/>
              <w:bottom w:val="single" w:sz="8" w:space="0" w:color="auto"/>
              <w:right w:val="nil"/>
            </w:tcBorders>
            <w:vAlign w:val="bottom"/>
          </w:tcPr>
          <w:p w14:paraId="211568A3"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5.523.119 </w:t>
            </w:r>
          </w:p>
        </w:tc>
        <w:tc>
          <w:tcPr>
            <w:tcW w:w="489" w:type="pct"/>
            <w:tcBorders>
              <w:top w:val="nil"/>
              <w:left w:val="nil"/>
              <w:bottom w:val="single" w:sz="8" w:space="0" w:color="auto"/>
              <w:right w:val="nil"/>
            </w:tcBorders>
            <w:vAlign w:val="bottom"/>
          </w:tcPr>
          <w:p w14:paraId="4D5BFE58"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12.398.219 </w:t>
            </w:r>
          </w:p>
        </w:tc>
        <w:tc>
          <w:tcPr>
            <w:tcW w:w="474" w:type="pct"/>
            <w:tcBorders>
              <w:top w:val="nil"/>
              <w:left w:val="nil"/>
              <w:bottom w:val="single" w:sz="8" w:space="0" w:color="auto"/>
              <w:right w:val="nil"/>
            </w:tcBorders>
            <w:vAlign w:val="bottom"/>
          </w:tcPr>
          <w:p w14:paraId="5D395A99"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1.980.370 </w:t>
            </w:r>
          </w:p>
        </w:tc>
        <w:tc>
          <w:tcPr>
            <w:tcW w:w="490" w:type="pct"/>
            <w:tcBorders>
              <w:top w:val="nil"/>
              <w:left w:val="nil"/>
              <w:bottom w:val="single" w:sz="8" w:space="0" w:color="auto"/>
              <w:right w:val="nil"/>
            </w:tcBorders>
            <w:vAlign w:val="bottom"/>
          </w:tcPr>
          <w:p w14:paraId="7C55773F"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28.913.680 </w:t>
            </w:r>
          </w:p>
        </w:tc>
        <w:tc>
          <w:tcPr>
            <w:tcW w:w="490" w:type="pct"/>
            <w:tcBorders>
              <w:top w:val="nil"/>
              <w:left w:val="nil"/>
              <w:bottom w:val="single" w:sz="8" w:space="0" w:color="auto"/>
              <w:right w:val="nil"/>
            </w:tcBorders>
            <w:vAlign w:val="bottom"/>
          </w:tcPr>
          <w:p w14:paraId="75CC99A7"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25.609.786 </w:t>
            </w:r>
          </w:p>
        </w:tc>
      </w:tr>
      <w:tr w:rsidR="004E2F51" w:rsidRPr="00D47D1C" w14:paraId="559FEDF2" w14:textId="77777777" w:rsidTr="00E032FC">
        <w:trPr>
          <w:trHeight w:hRule="exact" w:val="187"/>
        </w:trPr>
        <w:tc>
          <w:tcPr>
            <w:tcW w:w="1159" w:type="pct"/>
            <w:vAlign w:val="bottom"/>
          </w:tcPr>
          <w:p w14:paraId="4F16C4C6"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p>
        </w:tc>
        <w:tc>
          <w:tcPr>
            <w:tcW w:w="476" w:type="pct"/>
            <w:tcBorders>
              <w:top w:val="single" w:sz="12" w:space="0" w:color="auto"/>
              <w:left w:val="nil"/>
              <w:right w:val="nil"/>
            </w:tcBorders>
            <w:vAlign w:val="bottom"/>
          </w:tcPr>
          <w:p w14:paraId="3787C7EE"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75" w:type="pct"/>
            <w:tcBorders>
              <w:top w:val="single" w:sz="12" w:space="0" w:color="auto"/>
              <w:left w:val="nil"/>
              <w:right w:val="nil"/>
            </w:tcBorders>
            <w:vAlign w:val="bottom"/>
          </w:tcPr>
          <w:p w14:paraId="6F0DD3CB"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75" w:type="pct"/>
            <w:tcBorders>
              <w:top w:val="single" w:sz="12" w:space="0" w:color="auto"/>
              <w:left w:val="nil"/>
              <w:right w:val="nil"/>
            </w:tcBorders>
            <w:vAlign w:val="bottom"/>
          </w:tcPr>
          <w:p w14:paraId="008306E4"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74" w:type="pct"/>
            <w:tcBorders>
              <w:top w:val="single" w:sz="12" w:space="0" w:color="auto"/>
              <w:left w:val="nil"/>
              <w:right w:val="nil"/>
            </w:tcBorders>
            <w:vAlign w:val="bottom"/>
          </w:tcPr>
          <w:p w14:paraId="3DABFAEC"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9" w:type="pct"/>
            <w:tcBorders>
              <w:top w:val="single" w:sz="12" w:space="0" w:color="auto"/>
              <w:left w:val="nil"/>
              <w:right w:val="nil"/>
            </w:tcBorders>
            <w:vAlign w:val="bottom"/>
          </w:tcPr>
          <w:p w14:paraId="09C5FC04"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74" w:type="pct"/>
            <w:tcBorders>
              <w:top w:val="single" w:sz="12" w:space="0" w:color="auto"/>
              <w:left w:val="nil"/>
              <w:right w:val="nil"/>
            </w:tcBorders>
            <w:vAlign w:val="bottom"/>
          </w:tcPr>
          <w:p w14:paraId="0B61E0F3"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90" w:type="pct"/>
            <w:tcBorders>
              <w:top w:val="single" w:sz="12" w:space="0" w:color="auto"/>
              <w:left w:val="nil"/>
              <w:right w:val="nil"/>
            </w:tcBorders>
            <w:vAlign w:val="bottom"/>
          </w:tcPr>
          <w:p w14:paraId="44FF864C"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90" w:type="pct"/>
            <w:tcBorders>
              <w:top w:val="single" w:sz="12" w:space="0" w:color="auto"/>
              <w:left w:val="nil"/>
              <w:right w:val="nil"/>
            </w:tcBorders>
            <w:vAlign w:val="bottom"/>
          </w:tcPr>
          <w:p w14:paraId="19CFD80B" w14:textId="77777777" w:rsidR="004E2F51" w:rsidRPr="00D47D1C" w:rsidRDefault="004E2F51" w:rsidP="00E032FC">
            <w:pPr>
              <w:jc w:val="right"/>
              <w:rPr>
                <w:rFonts w:ascii="Arial" w:eastAsia="Calibri" w:hAnsi="Arial" w:cs="Arial"/>
                <w:b/>
                <w:color w:val="000000" w:themeColor="text1"/>
                <w:sz w:val="15"/>
                <w:szCs w:val="15"/>
                <w:lang w:val="hr-HR"/>
              </w:rPr>
            </w:pPr>
          </w:p>
        </w:tc>
      </w:tr>
      <w:tr w:rsidR="004E2F51" w:rsidRPr="00D47D1C" w14:paraId="1313035F" w14:textId="77777777" w:rsidTr="00E032FC">
        <w:trPr>
          <w:trHeight w:hRule="exact" w:val="235"/>
        </w:trPr>
        <w:tc>
          <w:tcPr>
            <w:tcW w:w="1159" w:type="pct"/>
          </w:tcPr>
          <w:p w14:paraId="73782F7B"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bookmarkStart w:id="1837" w:name="_Toc67330639"/>
            <w:r w:rsidRPr="00D47D1C">
              <w:rPr>
                <w:rFonts w:ascii="Arial" w:eastAsia="Calibri" w:hAnsi="Arial" w:cs="Arial"/>
                <w:b/>
                <w:bCs/>
                <w:color w:val="000000" w:themeColor="text1"/>
                <w:sz w:val="15"/>
                <w:szCs w:val="15"/>
                <w:lang w:val="hr-HR"/>
              </w:rPr>
              <w:t>Obveze</w:t>
            </w:r>
            <w:bookmarkEnd w:id="1837"/>
          </w:p>
        </w:tc>
        <w:tc>
          <w:tcPr>
            <w:tcW w:w="476" w:type="pct"/>
            <w:tcBorders>
              <w:left w:val="nil"/>
              <w:right w:val="nil"/>
            </w:tcBorders>
            <w:vAlign w:val="bottom"/>
          </w:tcPr>
          <w:p w14:paraId="64C28854"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75" w:type="pct"/>
            <w:tcBorders>
              <w:left w:val="nil"/>
              <w:right w:val="nil"/>
            </w:tcBorders>
            <w:vAlign w:val="bottom"/>
          </w:tcPr>
          <w:p w14:paraId="15F4E818"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75" w:type="pct"/>
            <w:tcBorders>
              <w:left w:val="nil"/>
              <w:right w:val="nil"/>
            </w:tcBorders>
            <w:vAlign w:val="bottom"/>
          </w:tcPr>
          <w:p w14:paraId="6F789192"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74" w:type="pct"/>
            <w:tcBorders>
              <w:left w:val="nil"/>
              <w:right w:val="nil"/>
            </w:tcBorders>
            <w:vAlign w:val="bottom"/>
          </w:tcPr>
          <w:p w14:paraId="7F75785C"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9" w:type="pct"/>
            <w:tcBorders>
              <w:left w:val="nil"/>
              <w:right w:val="nil"/>
            </w:tcBorders>
            <w:vAlign w:val="bottom"/>
          </w:tcPr>
          <w:p w14:paraId="58975808"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74" w:type="pct"/>
            <w:tcBorders>
              <w:left w:val="nil"/>
              <w:right w:val="nil"/>
            </w:tcBorders>
            <w:vAlign w:val="bottom"/>
          </w:tcPr>
          <w:p w14:paraId="4119196D"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90" w:type="pct"/>
            <w:tcBorders>
              <w:left w:val="nil"/>
              <w:right w:val="nil"/>
            </w:tcBorders>
            <w:vAlign w:val="bottom"/>
          </w:tcPr>
          <w:p w14:paraId="7AF1415D"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90" w:type="pct"/>
            <w:tcBorders>
              <w:left w:val="nil"/>
              <w:right w:val="nil"/>
            </w:tcBorders>
            <w:vAlign w:val="bottom"/>
          </w:tcPr>
          <w:p w14:paraId="146573AA" w14:textId="77777777" w:rsidR="004E2F51" w:rsidRPr="00D47D1C" w:rsidRDefault="004E2F51" w:rsidP="00E032FC">
            <w:pPr>
              <w:jc w:val="right"/>
              <w:rPr>
                <w:rFonts w:ascii="Arial" w:eastAsia="Calibri" w:hAnsi="Arial" w:cs="Arial"/>
                <w:b/>
                <w:color w:val="000000" w:themeColor="text1"/>
                <w:sz w:val="15"/>
                <w:szCs w:val="15"/>
                <w:lang w:val="hr-HR"/>
              </w:rPr>
            </w:pPr>
          </w:p>
        </w:tc>
      </w:tr>
      <w:tr w:rsidR="004E2F51" w:rsidRPr="00D47D1C" w14:paraId="0362A6B1" w14:textId="77777777" w:rsidTr="00E032FC">
        <w:trPr>
          <w:trHeight w:hRule="exact" w:val="262"/>
        </w:trPr>
        <w:tc>
          <w:tcPr>
            <w:tcW w:w="1159" w:type="pct"/>
            <w:vAlign w:val="bottom"/>
          </w:tcPr>
          <w:p w14:paraId="5B751958"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bookmarkStart w:id="1838" w:name="_Toc67330640"/>
            <w:r w:rsidRPr="00D47D1C">
              <w:rPr>
                <w:rFonts w:ascii="Arial" w:eastAsia="Calibri" w:hAnsi="Arial" w:cs="Arial"/>
                <w:color w:val="000000" w:themeColor="text1"/>
                <w:spacing w:val="-2"/>
                <w:sz w:val="15"/>
                <w:szCs w:val="15"/>
                <w:lang w:val="hr-HR"/>
              </w:rPr>
              <w:t>Obveze po depozitima</w:t>
            </w:r>
            <w:bookmarkEnd w:id="1838"/>
          </w:p>
        </w:tc>
        <w:tc>
          <w:tcPr>
            <w:tcW w:w="476" w:type="pct"/>
            <w:tcBorders>
              <w:top w:val="nil"/>
              <w:left w:val="nil"/>
              <w:bottom w:val="nil"/>
              <w:right w:val="nil"/>
            </w:tcBorders>
            <w:vAlign w:val="bottom"/>
          </w:tcPr>
          <w:p w14:paraId="365A29E6"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150.690 </w:t>
            </w:r>
          </w:p>
        </w:tc>
        <w:tc>
          <w:tcPr>
            <w:tcW w:w="475" w:type="pct"/>
            <w:tcBorders>
              <w:top w:val="nil"/>
              <w:left w:val="nil"/>
              <w:bottom w:val="nil"/>
              <w:right w:val="nil"/>
            </w:tcBorders>
            <w:vAlign w:val="bottom"/>
          </w:tcPr>
          <w:p w14:paraId="3C0629BB"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5" w:type="pct"/>
            <w:tcBorders>
              <w:top w:val="nil"/>
              <w:left w:val="nil"/>
              <w:bottom w:val="nil"/>
              <w:right w:val="nil"/>
            </w:tcBorders>
            <w:vAlign w:val="bottom"/>
          </w:tcPr>
          <w:p w14:paraId="537BC838"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4" w:type="pct"/>
            <w:tcBorders>
              <w:top w:val="nil"/>
              <w:left w:val="nil"/>
              <w:bottom w:val="nil"/>
              <w:right w:val="nil"/>
            </w:tcBorders>
            <w:vAlign w:val="bottom"/>
          </w:tcPr>
          <w:p w14:paraId="4EBCEBA7"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9" w:type="pct"/>
            <w:tcBorders>
              <w:top w:val="nil"/>
              <w:left w:val="nil"/>
              <w:bottom w:val="nil"/>
              <w:right w:val="nil"/>
            </w:tcBorders>
            <w:vAlign w:val="bottom"/>
          </w:tcPr>
          <w:p w14:paraId="40A9414E"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4" w:type="pct"/>
            <w:tcBorders>
              <w:top w:val="nil"/>
              <w:left w:val="nil"/>
              <w:bottom w:val="nil"/>
              <w:right w:val="nil"/>
            </w:tcBorders>
            <w:vAlign w:val="bottom"/>
          </w:tcPr>
          <w:p w14:paraId="383B2CCC"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873.933 </w:t>
            </w:r>
          </w:p>
        </w:tc>
        <w:tc>
          <w:tcPr>
            <w:tcW w:w="490" w:type="pct"/>
            <w:tcBorders>
              <w:top w:val="nil"/>
              <w:left w:val="nil"/>
              <w:bottom w:val="nil"/>
              <w:right w:val="nil"/>
            </w:tcBorders>
            <w:vAlign w:val="bottom"/>
          </w:tcPr>
          <w:p w14:paraId="51325152"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1.024.623 </w:t>
            </w:r>
          </w:p>
        </w:tc>
        <w:tc>
          <w:tcPr>
            <w:tcW w:w="490" w:type="pct"/>
            <w:tcBorders>
              <w:top w:val="nil"/>
              <w:left w:val="nil"/>
              <w:bottom w:val="nil"/>
              <w:right w:val="nil"/>
            </w:tcBorders>
            <w:vAlign w:val="bottom"/>
          </w:tcPr>
          <w:p w14:paraId="12668E02"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150.690 </w:t>
            </w:r>
          </w:p>
        </w:tc>
      </w:tr>
      <w:tr w:rsidR="004E2F51" w:rsidRPr="00D47D1C" w14:paraId="23525B77" w14:textId="77777777" w:rsidTr="00E032FC">
        <w:trPr>
          <w:trHeight w:hRule="exact" w:val="254"/>
        </w:trPr>
        <w:tc>
          <w:tcPr>
            <w:tcW w:w="1159" w:type="pct"/>
            <w:vAlign w:val="bottom"/>
          </w:tcPr>
          <w:p w14:paraId="7AA17E1C"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bookmarkStart w:id="1839" w:name="_Toc67330641"/>
            <w:r w:rsidRPr="00D47D1C">
              <w:rPr>
                <w:rFonts w:ascii="Arial" w:eastAsia="Calibri" w:hAnsi="Arial" w:cs="Arial"/>
                <w:color w:val="000000" w:themeColor="text1"/>
                <w:spacing w:val="-2"/>
                <w:sz w:val="15"/>
                <w:szCs w:val="15"/>
                <w:lang w:val="hr-HR"/>
              </w:rPr>
              <w:t>Obveze po kreditima</w:t>
            </w:r>
            <w:bookmarkEnd w:id="1839"/>
          </w:p>
        </w:tc>
        <w:tc>
          <w:tcPr>
            <w:tcW w:w="476" w:type="pct"/>
            <w:tcBorders>
              <w:top w:val="nil"/>
              <w:left w:val="nil"/>
              <w:bottom w:val="nil"/>
              <w:right w:val="nil"/>
            </w:tcBorders>
            <w:vAlign w:val="bottom"/>
          </w:tcPr>
          <w:p w14:paraId="206FDFA6"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555.327 </w:t>
            </w:r>
          </w:p>
        </w:tc>
        <w:tc>
          <w:tcPr>
            <w:tcW w:w="475" w:type="pct"/>
            <w:tcBorders>
              <w:top w:val="nil"/>
              <w:left w:val="nil"/>
              <w:bottom w:val="nil"/>
              <w:right w:val="nil"/>
            </w:tcBorders>
            <w:vAlign w:val="bottom"/>
          </w:tcPr>
          <w:p w14:paraId="7EE3B74C"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290.734 </w:t>
            </w:r>
          </w:p>
        </w:tc>
        <w:tc>
          <w:tcPr>
            <w:tcW w:w="475" w:type="pct"/>
            <w:tcBorders>
              <w:top w:val="nil"/>
              <w:left w:val="nil"/>
              <w:bottom w:val="nil"/>
              <w:right w:val="nil"/>
            </w:tcBorders>
            <w:vAlign w:val="bottom"/>
          </w:tcPr>
          <w:p w14:paraId="00FBD034"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3.396.753 </w:t>
            </w:r>
          </w:p>
        </w:tc>
        <w:tc>
          <w:tcPr>
            <w:tcW w:w="474" w:type="pct"/>
            <w:tcBorders>
              <w:top w:val="nil"/>
              <w:left w:val="nil"/>
              <w:bottom w:val="nil"/>
              <w:right w:val="nil"/>
            </w:tcBorders>
            <w:vAlign w:val="bottom"/>
          </w:tcPr>
          <w:p w14:paraId="576F1C74"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5.288.877 </w:t>
            </w:r>
          </w:p>
        </w:tc>
        <w:tc>
          <w:tcPr>
            <w:tcW w:w="489" w:type="pct"/>
            <w:tcBorders>
              <w:top w:val="nil"/>
              <w:left w:val="nil"/>
              <w:bottom w:val="nil"/>
              <w:right w:val="nil"/>
            </w:tcBorders>
            <w:vAlign w:val="bottom"/>
          </w:tcPr>
          <w:p w14:paraId="5CA36582"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6.939.483 </w:t>
            </w:r>
          </w:p>
        </w:tc>
        <w:tc>
          <w:tcPr>
            <w:tcW w:w="474" w:type="pct"/>
            <w:tcBorders>
              <w:top w:val="nil"/>
              <w:left w:val="nil"/>
              <w:bottom w:val="nil"/>
              <w:right w:val="nil"/>
            </w:tcBorders>
            <w:vAlign w:val="bottom"/>
          </w:tcPr>
          <w:p w14:paraId="037A0997"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30.102 </w:t>
            </w:r>
          </w:p>
        </w:tc>
        <w:tc>
          <w:tcPr>
            <w:tcW w:w="490" w:type="pct"/>
            <w:tcBorders>
              <w:top w:val="nil"/>
              <w:left w:val="nil"/>
              <w:bottom w:val="nil"/>
              <w:right w:val="nil"/>
            </w:tcBorders>
            <w:vAlign w:val="bottom"/>
          </w:tcPr>
          <w:p w14:paraId="7BCEA5C4"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16.501.276 </w:t>
            </w:r>
          </w:p>
        </w:tc>
        <w:tc>
          <w:tcPr>
            <w:tcW w:w="490" w:type="pct"/>
            <w:tcBorders>
              <w:top w:val="nil"/>
              <w:left w:val="nil"/>
              <w:bottom w:val="nil"/>
              <w:right w:val="nil"/>
            </w:tcBorders>
            <w:vAlign w:val="bottom"/>
          </w:tcPr>
          <w:p w14:paraId="41BA4E15"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16.317.392 </w:t>
            </w:r>
          </w:p>
        </w:tc>
      </w:tr>
      <w:tr w:rsidR="004E2F51" w:rsidRPr="00D47D1C" w14:paraId="13B0ACB3" w14:textId="77777777" w:rsidTr="00E032FC">
        <w:trPr>
          <w:trHeight w:hRule="exact" w:val="533"/>
        </w:trPr>
        <w:tc>
          <w:tcPr>
            <w:tcW w:w="1159" w:type="pct"/>
            <w:vAlign w:val="bottom"/>
          </w:tcPr>
          <w:p w14:paraId="298BA3EC" w14:textId="77777777" w:rsidR="004E2F51" w:rsidRPr="00D47D1C" w:rsidRDefault="004E2F51" w:rsidP="00E032FC">
            <w:pPr>
              <w:tabs>
                <w:tab w:val="right" w:pos="1202"/>
              </w:tabs>
              <w:spacing w:line="240" w:lineRule="exact"/>
              <w:outlineLvl w:val="0"/>
              <w:rPr>
                <w:rFonts w:ascii="Arial" w:eastAsia="Calibri" w:hAnsi="Arial" w:cs="Arial"/>
                <w:color w:val="000000" w:themeColor="text1"/>
                <w:spacing w:val="-2"/>
                <w:sz w:val="15"/>
                <w:szCs w:val="15"/>
                <w:lang w:val="hr-HR"/>
              </w:rPr>
            </w:pPr>
            <w:bookmarkStart w:id="1840" w:name="_Toc67330643"/>
            <w:r w:rsidRPr="00D47D1C">
              <w:rPr>
                <w:rFonts w:ascii="Arial" w:eastAsia="Calibri" w:hAnsi="Arial" w:cs="Arial"/>
                <w:color w:val="000000" w:themeColor="text1"/>
                <w:spacing w:val="-2"/>
                <w:sz w:val="15"/>
                <w:szCs w:val="15"/>
                <w:lang w:val="hr-HR"/>
              </w:rPr>
              <w:t>Rezerviranja za garancije, preuzete i ostale obveze</w:t>
            </w:r>
            <w:bookmarkEnd w:id="1840"/>
          </w:p>
        </w:tc>
        <w:tc>
          <w:tcPr>
            <w:tcW w:w="476" w:type="pct"/>
            <w:tcBorders>
              <w:top w:val="nil"/>
              <w:left w:val="nil"/>
              <w:bottom w:val="nil"/>
              <w:right w:val="nil"/>
            </w:tcBorders>
            <w:vAlign w:val="bottom"/>
          </w:tcPr>
          <w:p w14:paraId="6D1C5758"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5" w:type="pct"/>
            <w:tcBorders>
              <w:top w:val="nil"/>
              <w:left w:val="nil"/>
              <w:bottom w:val="nil"/>
              <w:right w:val="nil"/>
            </w:tcBorders>
            <w:vAlign w:val="bottom"/>
          </w:tcPr>
          <w:p w14:paraId="734FB72A"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5" w:type="pct"/>
            <w:tcBorders>
              <w:top w:val="nil"/>
              <w:left w:val="nil"/>
              <w:bottom w:val="nil"/>
              <w:right w:val="nil"/>
            </w:tcBorders>
            <w:vAlign w:val="bottom"/>
          </w:tcPr>
          <w:p w14:paraId="5432AB2F"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4" w:type="pct"/>
            <w:tcBorders>
              <w:top w:val="nil"/>
              <w:left w:val="nil"/>
              <w:bottom w:val="nil"/>
              <w:right w:val="nil"/>
            </w:tcBorders>
            <w:vAlign w:val="bottom"/>
          </w:tcPr>
          <w:p w14:paraId="36DE1DB1"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9" w:type="pct"/>
            <w:tcBorders>
              <w:top w:val="nil"/>
              <w:left w:val="nil"/>
              <w:bottom w:val="nil"/>
              <w:right w:val="nil"/>
            </w:tcBorders>
            <w:vAlign w:val="bottom"/>
          </w:tcPr>
          <w:p w14:paraId="0225CD32"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4" w:type="pct"/>
            <w:tcBorders>
              <w:top w:val="nil"/>
              <w:left w:val="nil"/>
              <w:bottom w:val="nil"/>
              <w:right w:val="nil"/>
            </w:tcBorders>
            <w:vAlign w:val="bottom"/>
          </w:tcPr>
          <w:p w14:paraId="7F3DABFC"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142.675 </w:t>
            </w:r>
          </w:p>
        </w:tc>
        <w:tc>
          <w:tcPr>
            <w:tcW w:w="490" w:type="pct"/>
            <w:tcBorders>
              <w:top w:val="nil"/>
              <w:left w:val="nil"/>
              <w:bottom w:val="nil"/>
              <w:right w:val="nil"/>
            </w:tcBorders>
            <w:vAlign w:val="bottom"/>
          </w:tcPr>
          <w:p w14:paraId="7BFBE4EC"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142.675 </w:t>
            </w:r>
          </w:p>
        </w:tc>
        <w:tc>
          <w:tcPr>
            <w:tcW w:w="490" w:type="pct"/>
            <w:tcBorders>
              <w:top w:val="nil"/>
              <w:left w:val="nil"/>
              <w:bottom w:val="nil"/>
              <w:right w:val="nil"/>
            </w:tcBorders>
            <w:vAlign w:val="bottom"/>
          </w:tcPr>
          <w:p w14:paraId="098A24C1"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r>
      <w:tr w:rsidR="004E2F51" w:rsidRPr="00D47D1C" w14:paraId="71D8F920" w14:textId="77777777" w:rsidTr="00E032FC">
        <w:trPr>
          <w:trHeight w:hRule="exact" w:val="251"/>
        </w:trPr>
        <w:tc>
          <w:tcPr>
            <w:tcW w:w="1159" w:type="pct"/>
            <w:vAlign w:val="bottom"/>
          </w:tcPr>
          <w:p w14:paraId="7BDE056C"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bookmarkStart w:id="1841" w:name="_Toc67330644"/>
            <w:r w:rsidRPr="00D47D1C">
              <w:rPr>
                <w:rFonts w:ascii="Arial" w:eastAsia="Calibri" w:hAnsi="Arial" w:cs="Arial"/>
                <w:color w:val="000000" w:themeColor="text1"/>
                <w:spacing w:val="-2"/>
                <w:sz w:val="15"/>
                <w:szCs w:val="15"/>
                <w:lang w:val="hr-HR"/>
              </w:rPr>
              <w:t>Ostale obveze</w:t>
            </w:r>
            <w:bookmarkEnd w:id="1841"/>
          </w:p>
        </w:tc>
        <w:tc>
          <w:tcPr>
            <w:tcW w:w="476" w:type="pct"/>
            <w:tcBorders>
              <w:top w:val="nil"/>
              <w:left w:val="nil"/>
              <w:bottom w:val="nil"/>
              <w:right w:val="nil"/>
            </w:tcBorders>
            <w:vAlign w:val="bottom"/>
          </w:tcPr>
          <w:p w14:paraId="0F82FB7F"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5" w:type="pct"/>
            <w:tcBorders>
              <w:top w:val="nil"/>
              <w:left w:val="nil"/>
              <w:bottom w:val="nil"/>
              <w:right w:val="nil"/>
            </w:tcBorders>
            <w:vAlign w:val="bottom"/>
          </w:tcPr>
          <w:p w14:paraId="2EF6E2F9"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5" w:type="pct"/>
            <w:tcBorders>
              <w:top w:val="nil"/>
              <w:left w:val="nil"/>
              <w:bottom w:val="nil"/>
              <w:right w:val="nil"/>
            </w:tcBorders>
            <w:vAlign w:val="bottom"/>
          </w:tcPr>
          <w:p w14:paraId="506E27E6"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4" w:type="pct"/>
            <w:tcBorders>
              <w:top w:val="nil"/>
              <w:left w:val="nil"/>
              <w:bottom w:val="nil"/>
              <w:right w:val="nil"/>
            </w:tcBorders>
            <w:vAlign w:val="bottom"/>
          </w:tcPr>
          <w:p w14:paraId="2CFD7A4C"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89" w:type="pct"/>
            <w:tcBorders>
              <w:top w:val="nil"/>
              <w:left w:val="nil"/>
              <w:bottom w:val="nil"/>
              <w:right w:val="nil"/>
            </w:tcBorders>
            <w:vAlign w:val="bottom"/>
          </w:tcPr>
          <w:p w14:paraId="134983FD"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c>
          <w:tcPr>
            <w:tcW w:w="474" w:type="pct"/>
            <w:tcBorders>
              <w:top w:val="nil"/>
              <w:left w:val="nil"/>
              <w:right w:val="nil"/>
            </w:tcBorders>
            <w:vAlign w:val="bottom"/>
          </w:tcPr>
          <w:p w14:paraId="0659343D"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653.133 </w:t>
            </w:r>
          </w:p>
        </w:tc>
        <w:tc>
          <w:tcPr>
            <w:tcW w:w="490" w:type="pct"/>
            <w:tcBorders>
              <w:top w:val="nil"/>
              <w:left w:val="nil"/>
              <w:right w:val="nil"/>
            </w:tcBorders>
            <w:vAlign w:val="bottom"/>
          </w:tcPr>
          <w:p w14:paraId="2735CBE6"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653.133 </w:t>
            </w:r>
          </w:p>
        </w:tc>
        <w:tc>
          <w:tcPr>
            <w:tcW w:w="490" w:type="pct"/>
            <w:tcBorders>
              <w:top w:val="nil"/>
              <w:left w:val="nil"/>
              <w:right w:val="nil"/>
            </w:tcBorders>
            <w:vAlign w:val="bottom"/>
          </w:tcPr>
          <w:p w14:paraId="55DBF1D2" w14:textId="77777777" w:rsidR="004E2F51" w:rsidRPr="00D47D1C" w:rsidRDefault="004E2F51" w:rsidP="00E032FC">
            <w:pPr>
              <w:jc w:val="right"/>
              <w:rPr>
                <w:rFonts w:ascii="Arial" w:eastAsia="Calibri" w:hAnsi="Arial" w:cs="Arial"/>
                <w:bCs/>
                <w:color w:val="000000" w:themeColor="text1"/>
                <w:sz w:val="15"/>
                <w:szCs w:val="15"/>
                <w:lang w:val="hr-HR"/>
              </w:rPr>
            </w:pPr>
            <w:r w:rsidRPr="00ED2346">
              <w:rPr>
                <w:rFonts w:ascii="Arial" w:eastAsia="Calibri" w:hAnsi="Arial" w:cs="Arial"/>
                <w:bCs/>
                <w:color w:val="000000" w:themeColor="text1"/>
                <w:sz w:val="15"/>
                <w:szCs w:val="15"/>
                <w:lang w:val="hr-HR"/>
              </w:rPr>
              <w:t xml:space="preserve"> - </w:t>
            </w:r>
          </w:p>
        </w:tc>
      </w:tr>
      <w:tr w:rsidR="004E2F51" w:rsidRPr="00D47D1C" w14:paraId="37F48D2C" w14:textId="77777777" w:rsidTr="00E032FC">
        <w:trPr>
          <w:trHeight w:hRule="exact" w:val="281"/>
        </w:trPr>
        <w:tc>
          <w:tcPr>
            <w:tcW w:w="1159" w:type="pct"/>
            <w:vAlign w:val="center"/>
          </w:tcPr>
          <w:p w14:paraId="2BDA39C9"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bookmarkStart w:id="1842" w:name="_Toc67330645"/>
            <w:r w:rsidRPr="00D47D1C">
              <w:rPr>
                <w:rFonts w:ascii="Arial" w:eastAsia="Calibri" w:hAnsi="Arial" w:cs="Arial"/>
                <w:b/>
                <w:bCs/>
                <w:color w:val="000000" w:themeColor="text1"/>
                <w:sz w:val="15"/>
                <w:szCs w:val="15"/>
                <w:lang w:val="hr-HR"/>
              </w:rPr>
              <w:t>Obveze</w:t>
            </w:r>
            <w:bookmarkEnd w:id="1842"/>
          </w:p>
        </w:tc>
        <w:tc>
          <w:tcPr>
            <w:tcW w:w="476" w:type="pct"/>
            <w:tcBorders>
              <w:top w:val="single" w:sz="8" w:space="0" w:color="auto"/>
              <w:left w:val="nil"/>
              <w:bottom w:val="single" w:sz="12" w:space="0" w:color="auto"/>
              <w:right w:val="nil"/>
            </w:tcBorders>
            <w:vAlign w:val="bottom"/>
          </w:tcPr>
          <w:p w14:paraId="6DE7A2EB"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706.017 </w:t>
            </w:r>
          </w:p>
        </w:tc>
        <w:tc>
          <w:tcPr>
            <w:tcW w:w="475" w:type="pct"/>
            <w:tcBorders>
              <w:top w:val="single" w:sz="8" w:space="0" w:color="auto"/>
              <w:left w:val="nil"/>
              <w:bottom w:val="single" w:sz="12" w:space="0" w:color="auto"/>
              <w:right w:val="nil"/>
            </w:tcBorders>
            <w:vAlign w:val="bottom"/>
          </w:tcPr>
          <w:p w14:paraId="6A61F579"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290.734 </w:t>
            </w:r>
          </w:p>
        </w:tc>
        <w:tc>
          <w:tcPr>
            <w:tcW w:w="475" w:type="pct"/>
            <w:tcBorders>
              <w:top w:val="single" w:sz="8" w:space="0" w:color="auto"/>
              <w:left w:val="nil"/>
              <w:bottom w:val="single" w:sz="12" w:space="0" w:color="auto"/>
              <w:right w:val="nil"/>
            </w:tcBorders>
            <w:vAlign w:val="bottom"/>
          </w:tcPr>
          <w:p w14:paraId="4B131692"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3.396.753 </w:t>
            </w:r>
          </w:p>
        </w:tc>
        <w:tc>
          <w:tcPr>
            <w:tcW w:w="474" w:type="pct"/>
            <w:tcBorders>
              <w:top w:val="single" w:sz="8" w:space="0" w:color="auto"/>
              <w:left w:val="nil"/>
              <w:bottom w:val="single" w:sz="12" w:space="0" w:color="auto"/>
              <w:right w:val="nil"/>
            </w:tcBorders>
            <w:vAlign w:val="bottom"/>
          </w:tcPr>
          <w:p w14:paraId="3655C34B"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5.288.877 </w:t>
            </w:r>
          </w:p>
        </w:tc>
        <w:tc>
          <w:tcPr>
            <w:tcW w:w="489" w:type="pct"/>
            <w:tcBorders>
              <w:top w:val="single" w:sz="8" w:space="0" w:color="auto"/>
              <w:left w:val="nil"/>
              <w:bottom w:val="single" w:sz="12" w:space="0" w:color="auto"/>
              <w:right w:val="nil"/>
            </w:tcBorders>
            <w:vAlign w:val="bottom"/>
          </w:tcPr>
          <w:p w14:paraId="1331EF70"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6.939.483 </w:t>
            </w:r>
          </w:p>
        </w:tc>
        <w:tc>
          <w:tcPr>
            <w:tcW w:w="474" w:type="pct"/>
            <w:tcBorders>
              <w:top w:val="single" w:sz="8" w:space="0" w:color="auto"/>
              <w:left w:val="nil"/>
              <w:bottom w:val="single" w:sz="12" w:space="0" w:color="auto"/>
              <w:right w:val="nil"/>
            </w:tcBorders>
            <w:vAlign w:val="bottom"/>
          </w:tcPr>
          <w:p w14:paraId="7DBB5155"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1.699.843 </w:t>
            </w:r>
          </w:p>
        </w:tc>
        <w:tc>
          <w:tcPr>
            <w:tcW w:w="490" w:type="pct"/>
            <w:tcBorders>
              <w:top w:val="single" w:sz="8" w:space="0" w:color="auto"/>
              <w:left w:val="nil"/>
              <w:bottom w:val="single" w:sz="12" w:space="0" w:color="auto"/>
              <w:right w:val="nil"/>
            </w:tcBorders>
            <w:vAlign w:val="bottom"/>
          </w:tcPr>
          <w:p w14:paraId="162C2C2F"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18.321.707 </w:t>
            </w:r>
          </w:p>
        </w:tc>
        <w:tc>
          <w:tcPr>
            <w:tcW w:w="490" w:type="pct"/>
            <w:tcBorders>
              <w:top w:val="single" w:sz="8" w:space="0" w:color="auto"/>
              <w:left w:val="nil"/>
              <w:bottom w:val="single" w:sz="12" w:space="0" w:color="auto"/>
              <w:right w:val="nil"/>
            </w:tcBorders>
            <w:vAlign w:val="bottom"/>
          </w:tcPr>
          <w:p w14:paraId="37A7B5C1"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16.468.082 </w:t>
            </w:r>
          </w:p>
        </w:tc>
      </w:tr>
      <w:tr w:rsidR="004E2F51" w:rsidRPr="00D47D1C" w14:paraId="56391276" w14:textId="77777777" w:rsidTr="00E032FC">
        <w:trPr>
          <w:trHeight w:hRule="exact" w:val="353"/>
        </w:trPr>
        <w:tc>
          <w:tcPr>
            <w:tcW w:w="1159" w:type="pct"/>
            <w:vAlign w:val="center"/>
          </w:tcPr>
          <w:p w14:paraId="3BD8A594"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bookmarkStart w:id="1843" w:name="_Toc67330646"/>
            <w:r w:rsidRPr="00D47D1C">
              <w:rPr>
                <w:rFonts w:ascii="Arial" w:eastAsia="Calibri" w:hAnsi="Arial" w:cs="Arial"/>
                <w:b/>
                <w:bCs/>
                <w:color w:val="000000" w:themeColor="text1"/>
                <w:spacing w:val="-2"/>
                <w:sz w:val="15"/>
                <w:szCs w:val="15"/>
                <w:lang w:val="hr-HR"/>
              </w:rPr>
              <w:t>Kamatni jaz</w:t>
            </w:r>
            <w:bookmarkEnd w:id="1843"/>
          </w:p>
        </w:tc>
        <w:tc>
          <w:tcPr>
            <w:tcW w:w="476" w:type="pct"/>
            <w:tcBorders>
              <w:top w:val="nil"/>
              <w:left w:val="nil"/>
              <w:bottom w:val="single" w:sz="12" w:space="0" w:color="auto"/>
              <w:right w:val="nil"/>
            </w:tcBorders>
            <w:shd w:val="clear" w:color="auto" w:fill="auto"/>
            <w:vAlign w:val="bottom"/>
          </w:tcPr>
          <w:p w14:paraId="0154FB62"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3.520.489 </w:t>
            </w:r>
          </w:p>
        </w:tc>
        <w:tc>
          <w:tcPr>
            <w:tcW w:w="475" w:type="pct"/>
            <w:tcBorders>
              <w:top w:val="nil"/>
              <w:left w:val="nil"/>
              <w:bottom w:val="single" w:sz="12" w:space="0" w:color="auto"/>
              <w:right w:val="nil"/>
            </w:tcBorders>
            <w:shd w:val="clear" w:color="auto" w:fill="auto"/>
            <w:vAlign w:val="bottom"/>
          </w:tcPr>
          <w:p w14:paraId="343C7F32"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816.321 </w:t>
            </w:r>
          </w:p>
        </w:tc>
        <w:tc>
          <w:tcPr>
            <w:tcW w:w="475" w:type="pct"/>
            <w:tcBorders>
              <w:top w:val="nil"/>
              <w:left w:val="nil"/>
              <w:bottom w:val="single" w:sz="12" w:space="0" w:color="auto"/>
              <w:right w:val="nil"/>
            </w:tcBorders>
            <w:shd w:val="clear" w:color="auto" w:fill="auto"/>
            <w:vAlign w:val="bottom"/>
          </w:tcPr>
          <w:p w14:paraId="0FE87B88"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281.658 </w:t>
            </w:r>
          </w:p>
        </w:tc>
        <w:tc>
          <w:tcPr>
            <w:tcW w:w="474" w:type="pct"/>
            <w:tcBorders>
              <w:top w:val="nil"/>
              <w:left w:val="nil"/>
              <w:bottom w:val="single" w:sz="12" w:space="0" w:color="auto"/>
              <w:right w:val="nil"/>
            </w:tcBorders>
            <w:shd w:val="clear" w:color="auto" w:fill="auto"/>
            <w:vAlign w:val="bottom"/>
          </w:tcPr>
          <w:p w14:paraId="64D7D1A1"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234.242 </w:t>
            </w:r>
          </w:p>
        </w:tc>
        <w:tc>
          <w:tcPr>
            <w:tcW w:w="489" w:type="pct"/>
            <w:tcBorders>
              <w:top w:val="nil"/>
              <w:left w:val="nil"/>
              <w:bottom w:val="single" w:sz="12" w:space="0" w:color="auto"/>
              <w:right w:val="nil"/>
            </w:tcBorders>
            <w:shd w:val="clear" w:color="auto" w:fill="auto"/>
            <w:vAlign w:val="bottom"/>
          </w:tcPr>
          <w:p w14:paraId="4691FF0B"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5.458.736 </w:t>
            </w:r>
          </w:p>
        </w:tc>
        <w:tc>
          <w:tcPr>
            <w:tcW w:w="474" w:type="pct"/>
            <w:tcBorders>
              <w:top w:val="nil"/>
              <w:left w:val="nil"/>
              <w:bottom w:val="single" w:sz="12" w:space="0" w:color="auto"/>
              <w:right w:val="nil"/>
            </w:tcBorders>
            <w:shd w:val="clear" w:color="auto" w:fill="auto"/>
            <w:vAlign w:val="bottom"/>
          </w:tcPr>
          <w:p w14:paraId="69F21A37"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280.527 </w:t>
            </w:r>
          </w:p>
        </w:tc>
        <w:tc>
          <w:tcPr>
            <w:tcW w:w="490" w:type="pct"/>
            <w:tcBorders>
              <w:top w:val="nil"/>
              <w:left w:val="nil"/>
              <w:bottom w:val="single" w:sz="12" w:space="0" w:color="auto"/>
              <w:right w:val="nil"/>
            </w:tcBorders>
            <w:shd w:val="clear" w:color="auto" w:fill="auto"/>
            <w:vAlign w:val="bottom"/>
          </w:tcPr>
          <w:p w14:paraId="07E4AC4A"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10.591.973 </w:t>
            </w:r>
          </w:p>
        </w:tc>
        <w:tc>
          <w:tcPr>
            <w:tcW w:w="490" w:type="pct"/>
            <w:tcBorders>
              <w:top w:val="nil"/>
              <w:left w:val="nil"/>
              <w:bottom w:val="single" w:sz="12" w:space="0" w:color="auto"/>
              <w:right w:val="nil"/>
            </w:tcBorders>
            <w:shd w:val="clear" w:color="auto" w:fill="auto"/>
            <w:vAlign w:val="bottom"/>
          </w:tcPr>
          <w:p w14:paraId="6AB25378" w14:textId="77777777" w:rsidR="004E2F51" w:rsidRPr="00D47D1C" w:rsidRDefault="004E2F51" w:rsidP="00E032FC">
            <w:pPr>
              <w:jc w:val="right"/>
              <w:rPr>
                <w:rFonts w:ascii="Arial" w:eastAsia="Calibri" w:hAnsi="Arial" w:cs="Arial"/>
                <w:b/>
                <w:color w:val="000000" w:themeColor="text1"/>
                <w:sz w:val="15"/>
                <w:szCs w:val="15"/>
                <w:lang w:val="hr-HR"/>
              </w:rPr>
            </w:pPr>
            <w:r w:rsidRPr="00ED2346">
              <w:rPr>
                <w:rFonts w:ascii="Arial" w:eastAsia="Calibri" w:hAnsi="Arial" w:cs="Arial"/>
                <w:b/>
                <w:color w:val="000000" w:themeColor="text1"/>
                <w:sz w:val="15"/>
                <w:szCs w:val="15"/>
                <w:lang w:val="hr-HR"/>
              </w:rPr>
              <w:t xml:space="preserve"> 9.141.704 </w:t>
            </w:r>
          </w:p>
        </w:tc>
      </w:tr>
    </w:tbl>
    <w:p w14:paraId="668619F9" w14:textId="77777777" w:rsidR="004E2F51" w:rsidRPr="00D47D1C" w:rsidRDefault="004E2F51" w:rsidP="004E2F51">
      <w:pPr>
        <w:tabs>
          <w:tab w:val="left" w:pos="-720"/>
        </w:tabs>
        <w:jc w:val="both"/>
        <w:rPr>
          <w:rFonts w:ascii="Arial" w:hAnsi="Arial" w:cs="Arial"/>
          <w:color w:val="000000" w:themeColor="text1"/>
          <w:sz w:val="20"/>
          <w:szCs w:val="20"/>
          <w:lang w:val="hr-HR"/>
        </w:rPr>
      </w:pPr>
    </w:p>
    <w:p w14:paraId="419F4EE2" w14:textId="77777777" w:rsidR="004E2F51" w:rsidRPr="00D47D1C" w:rsidRDefault="004E2F51" w:rsidP="004E2F51">
      <w:pPr>
        <w:tabs>
          <w:tab w:val="left" w:pos="-720"/>
        </w:tabs>
        <w:spacing w:line="360" w:lineRule="auto"/>
        <w:ind w:right="-5"/>
        <w:jc w:val="both"/>
        <w:rPr>
          <w:rFonts w:ascii="Arial" w:hAnsi="Arial" w:cs="Arial"/>
          <w:color w:val="000000" w:themeColor="text1"/>
          <w:sz w:val="20"/>
          <w:szCs w:val="20"/>
          <w:lang w:val="hr-HR"/>
        </w:rPr>
      </w:pPr>
    </w:p>
    <w:p w14:paraId="17A1FD62" w14:textId="77777777" w:rsidR="004E2F51" w:rsidRPr="00D47D1C" w:rsidRDefault="004E2F51" w:rsidP="004E2F51">
      <w:pPr>
        <w:tabs>
          <w:tab w:val="left" w:pos="-720"/>
        </w:tabs>
        <w:spacing w:line="360" w:lineRule="auto"/>
        <w:ind w:right="-5"/>
        <w:jc w:val="both"/>
        <w:rPr>
          <w:rFonts w:ascii="Arial" w:hAnsi="Arial" w:cs="Arial"/>
          <w:color w:val="000000" w:themeColor="text1"/>
          <w:sz w:val="20"/>
          <w:szCs w:val="20"/>
          <w:lang w:val="hr-HR"/>
        </w:rPr>
        <w:sectPr w:rsidR="004E2F51" w:rsidRPr="00D47D1C" w:rsidSect="00623DBA">
          <w:footerReference w:type="default" r:id="rId211"/>
          <w:pgSz w:w="11907" w:h="16840" w:code="9"/>
          <w:pgMar w:top="1418" w:right="1134" w:bottom="1134" w:left="1418" w:header="851" w:footer="851" w:gutter="0"/>
          <w:cols w:space="720"/>
          <w:noEndnote/>
        </w:sectPr>
      </w:pPr>
    </w:p>
    <w:p w14:paraId="3C8264CE" w14:textId="77777777" w:rsidR="004E2F51" w:rsidRPr="00D47D1C" w:rsidRDefault="004E2F51" w:rsidP="004E2F51">
      <w:pPr>
        <w:pStyle w:val="T1"/>
        <w:spacing w:before="0" w:after="0" w:line="300" w:lineRule="exact"/>
        <w:ind w:left="709" w:hanging="709"/>
        <w:rPr>
          <w:rFonts w:cs="Arial"/>
          <w:color w:val="000000" w:themeColor="text1"/>
          <w:sz w:val="20"/>
          <w:lang w:val="hr-HR"/>
        </w:rPr>
      </w:pPr>
    </w:p>
    <w:p w14:paraId="71620242" w14:textId="77777777" w:rsidR="004E2F51" w:rsidRPr="00D47D1C" w:rsidRDefault="004E2F51" w:rsidP="004E2F51">
      <w:pPr>
        <w:pStyle w:val="T1"/>
        <w:spacing w:before="0" w:after="0" w:line="300" w:lineRule="exact"/>
        <w:ind w:left="709" w:hanging="709"/>
        <w:rPr>
          <w:rFonts w:cs="Arial"/>
          <w:color w:val="000000" w:themeColor="text1"/>
          <w:sz w:val="20"/>
          <w:lang w:val="hr-HR"/>
        </w:rPr>
      </w:pPr>
      <w:r w:rsidRPr="00D47D1C">
        <w:rPr>
          <w:rFonts w:cs="Arial"/>
          <w:color w:val="000000" w:themeColor="text1"/>
          <w:sz w:val="20"/>
          <w:lang w:val="hr-HR"/>
        </w:rPr>
        <w:t>3</w:t>
      </w:r>
      <w:r>
        <w:rPr>
          <w:rFonts w:cs="Arial"/>
          <w:color w:val="000000" w:themeColor="text1"/>
          <w:sz w:val="20"/>
          <w:lang w:val="hr-HR"/>
        </w:rPr>
        <w:t>1</w:t>
      </w:r>
      <w:r w:rsidRPr="00D47D1C">
        <w:rPr>
          <w:rFonts w:cs="Arial"/>
          <w:color w:val="000000" w:themeColor="text1"/>
          <w:sz w:val="20"/>
          <w:lang w:val="hr-HR"/>
        </w:rPr>
        <w:t>.</w:t>
      </w:r>
      <w:r w:rsidRPr="00D47D1C">
        <w:rPr>
          <w:rFonts w:cs="Arial"/>
          <w:color w:val="000000" w:themeColor="text1"/>
          <w:sz w:val="20"/>
          <w:lang w:val="hr-HR"/>
        </w:rPr>
        <w:tab/>
        <w:t>Upravljanje rizicima (nastavak)</w:t>
      </w:r>
    </w:p>
    <w:p w14:paraId="57FD8C7F" w14:textId="77777777" w:rsidR="004E2F51" w:rsidRPr="00D47D1C" w:rsidRDefault="004E2F51" w:rsidP="004E2F51">
      <w:pPr>
        <w:pStyle w:val="T1"/>
        <w:spacing w:before="0" w:after="0" w:line="300" w:lineRule="exact"/>
        <w:ind w:left="709" w:hanging="709"/>
        <w:rPr>
          <w:rFonts w:cs="Arial"/>
          <w:color w:val="000000" w:themeColor="text1"/>
          <w:sz w:val="20"/>
          <w:lang w:val="hr-HR"/>
        </w:rPr>
      </w:pPr>
    </w:p>
    <w:p w14:paraId="3503BAFB" w14:textId="77777777" w:rsidR="004E2F51" w:rsidRPr="00D47D1C" w:rsidRDefault="004E2F51" w:rsidP="004E2F51">
      <w:pPr>
        <w:pStyle w:val="T1"/>
        <w:spacing w:before="0" w:after="0" w:line="300" w:lineRule="exact"/>
        <w:ind w:left="709" w:hanging="709"/>
        <w:rPr>
          <w:rFonts w:cs="Arial"/>
          <w:color w:val="000000" w:themeColor="text1"/>
          <w:sz w:val="20"/>
          <w:lang w:val="hr-HR"/>
        </w:rPr>
      </w:pPr>
      <w:r w:rsidRPr="00D47D1C">
        <w:rPr>
          <w:rFonts w:cs="Arial"/>
          <w:color w:val="000000" w:themeColor="text1"/>
          <w:sz w:val="20"/>
          <w:lang w:val="hr-HR"/>
        </w:rPr>
        <w:t>3</w:t>
      </w:r>
      <w:r>
        <w:rPr>
          <w:rFonts w:cs="Arial"/>
          <w:color w:val="000000" w:themeColor="text1"/>
          <w:sz w:val="20"/>
          <w:lang w:val="hr-HR"/>
        </w:rPr>
        <w:t>1</w:t>
      </w:r>
      <w:r w:rsidRPr="00D47D1C">
        <w:rPr>
          <w:rFonts w:cs="Arial"/>
          <w:color w:val="000000" w:themeColor="text1"/>
          <w:sz w:val="20"/>
          <w:lang w:val="hr-HR"/>
        </w:rPr>
        <w:t>.5.     Tržišni rizik (nastavak)</w:t>
      </w:r>
    </w:p>
    <w:p w14:paraId="6B28F6AA" w14:textId="77777777" w:rsidR="004E2F51" w:rsidRPr="00D47D1C" w:rsidRDefault="004E2F51" w:rsidP="004E2F51">
      <w:pPr>
        <w:pStyle w:val="T1"/>
        <w:spacing w:before="0" w:after="0" w:line="300" w:lineRule="exact"/>
        <w:ind w:left="709" w:hanging="709"/>
        <w:rPr>
          <w:rFonts w:cs="Arial"/>
          <w:color w:val="000000" w:themeColor="text1"/>
          <w:sz w:val="20"/>
          <w:lang w:val="hr-HR"/>
        </w:rPr>
      </w:pPr>
    </w:p>
    <w:p w14:paraId="1D8BBC8A" w14:textId="77777777" w:rsidR="004E2F51" w:rsidRPr="00D47D1C" w:rsidRDefault="004E2F51" w:rsidP="004E2F51">
      <w:pPr>
        <w:pStyle w:val="T1"/>
        <w:spacing w:before="0" w:after="0" w:line="300" w:lineRule="exact"/>
        <w:ind w:left="709" w:hanging="709"/>
        <w:rPr>
          <w:rFonts w:cs="Arial"/>
          <w:color w:val="000000" w:themeColor="text1"/>
          <w:sz w:val="20"/>
          <w:lang w:val="hr-HR"/>
        </w:rPr>
      </w:pPr>
      <w:r w:rsidRPr="00D47D1C">
        <w:rPr>
          <w:rFonts w:cs="Arial"/>
          <w:color w:val="000000" w:themeColor="text1"/>
          <w:sz w:val="20"/>
          <w:lang w:val="hr-HR"/>
        </w:rPr>
        <w:t>3</w:t>
      </w:r>
      <w:r>
        <w:rPr>
          <w:rFonts w:cs="Arial"/>
          <w:color w:val="000000" w:themeColor="text1"/>
          <w:sz w:val="20"/>
          <w:lang w:val="hr-HR"/>
        </w:rPr>
        <w:t>1</w:t>
      </w:r>
      <w:r w:rsidRPr="00D47D1C">
        <w:rPr>
          <w:rFonts w:cs="Arial"/>
          <w:color w:val="000000" w:themeColor="text1"/>
          <w:sz w:val="20"/>
          <w:lang w:val="hr-HR"/>
        </w:rPr>
        <w:t>.5.1.  Kamatni rizik (nastavak)</w:t>
      </w:r>
    </w:p>
    <w:p w14:paraId="14CCB973" w14:textId="77777777" w:rsidR="004E2F51" w:rsidRPr="00D47D1C" w:rsidRDefault="004E2F51" w:rsidP="004E2F51">
      <w:pPr>
        <w:tabs>
          <w:tab w:val="left" w:pos="-720"/>
        </w:tabs>
        <w:jc w:val="both"/>
        <w:rPr>
          <w:rFonts w:ascii="Arial" w:hAnsi="Arial" w:cs="Arial"/>
          <w:color w:val="000000" w:themeColor="text1"/>
          <w:sz w:val="20"/>
          <w:szCs w:val="20"/>
          <w:lang w:val="hr-HR"/>
        </w:rPr>
      </w:pPr>
    </w:p>
    <w:tbl>
      <w:tblPr>
        <w:tblW w:w="5564" w:type="pct"/>
        <w:tblInd w:w="-567" w:type="dxa"/>
        <w:tblLayout w:type="fixed"/>
        <w:tblCellMar>
          <w:left w:w="120" w:type="dxa"/>
          <w:right w:w="120" w:type="dxa"/>
        </w:tblCellMar>
        <w:tblLook w:val="0000" w:firstRow="0" w:lastRow="0" w:firstColumn="0" w:lastColumn="0" w:noHBand="0" w:noVBand="0"/>
      </w:tblPr>
      <w:tblGrid>
        <w:gridCol w:w="2412"/>
        <w:gridCol w:w="990"/>
        <w:gridCol w:w="988"/>
        <w:gridCol w:w="988"/>
        <w:gridCol w:w="987"/>
        <w:gridCol w:w="1018"/>
        <w:gridCol w:w="987"/>
        <w:gridCol w:w="1020"/>
        <w:gridCol w:w="1020"/>
      </w:tblGrid>
      <w:tr w:rsidR="004E2F51" w:rsidRPr="00D47D1C" w14:paraId="108EAE45" w14:textId="77777777" w:rsidTr="00E032FC">
        <w:trPr>
          <w:trHeight w:val="635"/>
        </w:trPr>
        <w:tc>
          <w:tcPr>
            <w:tcW w:w="1157" w:type="pct"/>
            <w:vAlign w:val="bottom"/>
          </w:tcPr>
          <w:p w14:paraId="0CF336EA" w14:textId="77777777" w:rsidR="004E2F51" w:rsidRPr="00D47D1C" w:rsidRDefault="004E2F51" w:rsidP="00E032FC">
            <w:pPr>
              <w:tabs>
                <w:tab w:val="right" w:pos="1202"/>
              </w:tabs>
              <w:spacing w:line="240" w:lineRule="atLeas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Banka</w:t>
            </w:r>
          </w:p>
          <w:p w14:paraId="698E6315" w14:textId="77777777" w:rsidR="004E2F51" w:rsidRPr="00D47D1C" w:rsidRDefault="004E2F51" w:rsidP="00E032FC">
            <w:pPr>
              <w:tabs>
                <w:tab w:val="right" w:pos="1202"/>
              </w:tabs>
              <w:spacing w:line="240" w:lineRule="atLeast"/>
              <w:outlineLvl w:val="0"/>
              <w:rPr>
                <w:rFonts w:ascii="Arial" w:eastAsia="Calibri" w:hAnsi="Arial" w:cs="Arial"/>
                <w:b/>
                <w:color w:val="000000" w:themeColor="text1"/>
                <w:sz w:val="15"/>
                <w:szCs w:val="15"/>
                <w:lang w:val="hr-HR"/>
              </w:rPr>
            </w:pPr>
          </w:p>
          <w:p w14:paraId="167BFFB0" w14:textId="77777777" w:rsidR="004E2F51" w:rsidRPr="00D47D1C" w:rsidRDefault="004E2F51" w:rsidP="00E032FC">
            <w:pPr>
              <w:tabs>
                <w:tab w:val="right" w:pos="1202"/>
              </w:tabs>
              <w:spacing w:line="240" w:lineRule="atLeas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 xml:space="preserve">31. prosinca 2021.  </w:t>
            </w:r>
          </w:p>
        </w:tc>
        <w:tc>
          <w:tcPr>
            <w:tcW w:w="475" w:type="pct"/>
          </w:tcPr>
          <w:p w14:paraId="2E0CBB5C"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Do 1 mjesec</w:t>
            </w:r>
          </w:p>
        </w:tc>
        <w:tc>
          <w:tcPr>
            <w:tcW w:w="474" w:type="pct"/>
          </w:tcPr>
          <w:p w14:paraId="397C89A5"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 do 3 mjeseca</w:t>
            </w:r>
          </w:p>
        </w:tc>
        <w:tc>
          <w:tcPr>
            <w:tcW w:w="474" w:type="pct"/>
          </w:tcPr>
          <w:p w14:paraId="79B954E2"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3 mj. do 1 godine</w:t>
            </w:r>
          </w:p>
        </w:tc>
        <w:tc>
          <w:tcPr>
            <w:tcW w:w="474" w:type="pct"/>
          </w:tcPr>
          <w:p w14:paraId="55FA490D"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 do 3 godina</w:t>
            </w:r>
          </w:p>
        </w:tc>
        <w:tc>
          <w:tcPr>
            <w:tcW w:w="489" w:type="pct"/>
          </w:tcPr>
          <w:p w14:paraId="7DD167BD"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Preko 3 godine</w:t>
            </w:r>
          </w:p>
        </w:tc>
        <w:tc>
          <w:tcPr>
            <w:tcW w:w="474" w:type="pct"/>
          </w:tcPr>
          <w:p w14:paraId="6585ACB4"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Beska-matno</w:t>
            </w:r>
          </w:p>
        </w:tc>
        <w:tc>
          <w:tcPr>
            <w:tcW w:w="490" w:type="pct"/>
          </w:tcPr>
          <w:p w14:paraId="543F56B9"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Ukupno</w:t>
            </w:r>
          </w:p>
        </w:tc>
        <w:tc>
          <w:tcPr>
            <w:tcW w:w="490" w:type="pct"/>
          </w:tcPr>
          <w:p w14:paraId="1CEECF2D"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Fiksna kamatna stopa</w:t>
            </w:r>
          </w:p>
        </w:tc>
      </w:tr>
      <w:tr w:rsidR="004E2F51" w:rsidRPr="00D47D1C" w14:paraId="538D400F" w14:textId="77777777" w:rsidTr="00E032FC">
        <w:trPr>
          <w:trHeight w:val="258"/>
        </w:trPr>
        <w:tc>
          <w:tcPr>
            <w:tcW w:w="1157" w:type="pct"/>
            <w:vAlign w:val="bottom"/>
          </w:tcPr>
          <w:p w14:paraId="4CC03407" w14:textId="77777777" w:rsidR="004E2F51" w:rsidRPr="00D47D1C" w:rsidRDefault="004E2F51" w:rsidP="00E032FC">
            <w:pPr>
              <w:tabs>
                <w:tab w:val="right" w:pos="1202"/>
              </w:tabs>
              <w:spacing w:line="240" w:lineRule="atLeast"/>
              <w:outlineLvl w:val="0"/>
              <w:rPr>
                <w:rFonts w:ascii="Arial" w:eastAsia="Calibri" w:hAnsi="Arial" w:cs="Arial"/>
                <w:b/>
                <w:color w:val="000000" w:themeColor="text1"/>
                <w:sz w:val="15"/>
                <w:szCs w:val="15"/>
                <w:lang w:val="hr-HR"/>
              </w:rPr>
            </w:pPr>
          </w:p>
        </w:tc>
        <w:tc>
          <w:tcPr>
            <w:tcW w:w="475" w:type="pct"/>
          </w:tcPr>
          <w:p w14:paraId="0498DBC5"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000 kuna</w:t>
            </w:r>
          </w:p>
        </w:tc>
        <w:tc>
          <w:tcPr>
            <w:tcW w:w="474" w:type="pct"/>
          </w:tcPr>
          <w:p w14:paraId="7733C544"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000 kuna</w:t>
            </w:r>
          </w:p>
        </w:tc>
        <w:tc>
          <w:tcPr>
            <w:tcW w:w="474" w:type="pct"/>
          </w:tcPr>
          <w:p w14:paraId="1823C475"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000 kuna</w:t>
            </w:r>
          </w:p>
        </w:tc>
        <w:tc>
          <w:tcPr>
            <w:tcW w:w="474" w:type="pct"/>
          </w:tcPr>
          <w:p w14:paraId="2F346EA2"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000 kuna</w:t>
            </w:r>
          </w:p>
        </w:tc>
        <w:tc>
          <w:tcPr>
            <w:tcW w:w="489" w:type="pct"/>
          </w:tcPr>
          <w:p w14:paraId="09850430"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000 kuna</w:t>
            </w:r>
          </w:p>
        </w:tc>
        <w:tc>
          <w:tcPr>
            <w:tcW w:w="474" w:type="pct"/>
          </w:tcPr>
          <w:p w14:paraId="4EFE55EA"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000 kuna</w:t>
            </w:r>
          </w:p>
        </w:tc>
        <w:tc>
          <w:tcPr>
            <w:tcW w:w="490" w:type="pct"/>
          </w:tcPr>
          <w:p w14:paraId="0E32DFDB"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000 kuna</w:t>
            </w:r>
          </w:p>
        </w:tc>
        <w:tc>
          <w:tcPr>
            <w:tcW w:w="490" w:type="pct"/>
          </w:tcPr>
          <w:p w14:paraId="50C292F9" w14:textId="77777777" w:rsidR="004E2F51" w:rsidRPr="00D47D1C" w:rsidRDefault="004E2F51" w:rsidP="00E032FC">
            <w:pPr>
              <w:tabs>
                <w:tab w:val="right" w:pos="1202"/>
              </w:tabs>
              <w:spacing w:line="240" w:lineRule="atLeast"/>
              <w:jc w:val="right"/>
              <w:outlineLvl w:val="0"/>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000 kuna</w:t>
            </w:r>
          </w:p>
        </w:tc>
      </w:tr>
      <w:tr w:rsidR="004E2F51" w:rsidRPr="00D47D1C" w14:paraId="3CBB57A2" w14:textId="77777777" w:rsidTr="00E032FC">
        <w:trPr>
          <w:trHeight w:val="227"/>
        </w:trPr>
        <w:tc>
          <w:tcPr>
            <w:tcW w:w="1157" w:type="pct"/>
            <w:vAlign w:val="bottom"/>
          </w:tcPr>
          <w:p w14:paraId="6CDF64FA" w14:textId="77777777" w:rsidR="004E2F51" w:rsidRPr="00D47D1C" w:rsidRDefault="004E2F51" w:rsidP="00E032FC">
            <w:pPr>
              <w:tabs>
                <w:tab w:val="left" w:pos="-720"/>
              </w:tabs>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Imovina</w:t>
            </w:r>
          </w:p>
        </w:tc>
        <w:tc>
          <w:tcPr>
            <w:tcW w:w="475" w:type="pct"/>
          </w:tcPr>
          <w:p w14:paraId="5131A961"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74" w:type="pct"/>
          </w:tcPr>
          <w:p w14:paraId="793BD111"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74" w:type="pct"/>
          </w:tcPr>
          <w:p w14:paraId="06D0696C"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74" w:type="pct"/>
          </w:tcPr>
          <w:p w14:paraId="04690B9C"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89" w:type="pct"/>
          </w:tcPr>
          <w:p w14:paraId="4CEF1C10"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74" w:type="pct"/>
          </w:tcPr>
          <w:p w14:paraId="0C147B17" w14:textId="77777777" w:rsidR="004E2F51" w:rsidRPr="00D47D1C" w:rsidRDefault="004E2F51" w:rsidP="00E032FC">
            <w:pPr>
              <w:tabs>
                <w:tab w:val="left" w:pos="-720"/>
              </w:tabs>
              <w:spacing w:line="360" w:lineRule="auto"/>
              <w:jc w:val="right"/>
              <w:rPr>
                <w:rFonts w:ascii="Arial" w:eastAsia="Calibri" w:hAnsi="Arial" w:cs="Arial"/>
                <w:color w:val="000000" w:themeColor="text1"/>
                <w:sz w:val="15"/>
                <w:szCs w:val="15"/>
                <w:lang w:val="hr-HR"/>
              </w:rPr>
            </w:pPr>
          </w:p>
        </w:tc>
        <w:tc>
          <w:tcPr>
            <w:tcW w:w="490" w:type="pct"/>
          </w:tcPr>
          <w:p w14:paraId="08C2DCB4"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c>
          <w:tcPr>
            <w:tcW w:w="490" w:type="pct"/>
          </w:tcPr>
          <w:p w14:paraId="36999379" w14:textId="77777777" w:rsidR="004E2F51" w:rsidRPr="00D47D1C" w:rsidRDefault="004E2F51" w:rsidP="00E032FC">
            <w:pPr>
              <w:tabs>
                <w:tab w:val="left" w:pos="-720"/>
              </w:tabs>
              <w:jc w:val="right"/>
              <w:rPr>
                <w:rFonts w:ascii="Arial" w:eastAsia="Calibri" w:hAnsi="Arial" w:cs="Arial"/>
                <w:color w:val="000000" w:themeColor="text1"/>
                <w:sz w:val="15"/>
                <w:szCs w:val="15"/>
                <w:lang w:val="hr-HR"/>
              </w:rPr>
            </w:pPr>
          </w:p>
        </w:tc>
      </w:tr>
      <w:tr w:rsidR="004E2F51" w:rsidRPr="00D47D1C" w14:paraId="1FC128D8" w14:textId="77777777" w:rsidTr="00E032FC">
        <w:trPr>
          <w:trHeight w:val="217"/>
        </w:trPr>
        <w:tc>
          <w:tcPr>
            <w:tcW w:w="1157" w:type="pct"/>
            <w:vAlign w:val="bottom"/>
          </w:tcPr>
          <w:p w14:paraId="7A1DB10C"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Novčana sredstva i računi kod banaka</w:t>
            </w:r>
          </w:p>
        </w:tc>
        <w:tc>
          <w:tcPr>
            <w:tcW w:w="475" w:type="pct"/>
            <w:vAlign w:val="bottom"/>
          </w:tcPr>
          <w:p w14:paraId="601E1956"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80.902</w:t>
            </w:r>
          </w:p>
        </w:tc>
        <w:tc>
          <w:tcPr>
            <w:tcW w:w="474" w:type="pct"/>
            <w:vAlign w:val="bottom"/>
          </w:tcPr>
          <w:p w14:paraId="7DBEDB5E"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1DF2B144"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02874AF5"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9" w:type="pct"/>
            <w:vAlign w:val="bottom"/>
          </w:tcPr>
          <w:p w14:paraId="1B5356E6"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67396A61"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1.877.718</w:t>
            </w:r>
          </w:p>
        </w:tc>
        <w:tc>
          <w:tcPr>
            <w:tcW w:w="490" w:type="pct"/>
            <w:vAlign w:val="bottom"/>
          </w:tcPr>
          <w:p w14:paraId="20B2FE41"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1.958.620</w:t>
            </w:r>
          </w:p>
        </w:tc>
        <w:tc>
          <w:tcPr>
            <w:tcW w:w="490" w:type="pct"/>
            <w:vAlign w:val="bottom"/>
          </w:tcPr>
          <w:p w14:paraId="0DD0D67D"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80.902</w:t>
            </w:r>
          </w:p>
        </w:tc>
      </w:tr>
      <w:tr w:rsidR="004E2F51" w:rsidRPr="00D47D1C" w14:paraId="590020B4" w14:textId="77777777" w:rsidTr="00E032FC">
        <w:trPr>
          <w:trHeight w:val="206"/>
        </w:trPr>
        <w:tc>
          <w:tcPr>
            <w:tcW w:w="1157" w:type="pct"/>
            <w:vAlign w:val="bottom"/>
          </w:tcPr>
          <w:p w14:paraId="5048991F"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Depoziti kod drugih banaka</w:t>
            </w:r>
          </w:p>
        </w:tc>
        <w:tc>
          <w:tcPr>
            <w:tcW w:w="475" w:type="pct"/>
            <w:vAlign w:val="bottom"/>
          </w:tcPr>
          <w:p w14:paraId="0C270C03"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51048915"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360BDB19"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7FE11A35"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9" w:type="pct"/>
            <w:vAlign w:val="bottom"/>
          </w:tcPr>
          <w:p w14:paraId="79B75212"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08D46F42"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7.500</w:t>
            </w:r>
          </w:p>
        </w:tc>
        <w:tc>
          <w:tcPr>
            <w:tcW w:w="490" w:type="pct"/>
            <w:vAlign w:val="bottom"/>
          </w:tcPr>
          <w:p w14:paraId="58BCEE0C"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7.500</w:t>
            </w:r>
          </w:p>
        </w:tc>
        <w:tc>
          <w:tcPr>
            <w:tcW w:w="490" w:type="pct"/>
            <w:vAlign w:val="bottom"/>
          </w:tcPr>
          <w:p w14:paraId="63052F9A"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r>
      <w:tr w:rsidR="004E2F51" w:rsidRPr="00D47D1C" w14:paraId="0B3C31D2" w14:textId="77777777" w:rsidTr="00E032FC">
        <w:trPr>
          <w:trHeight w:val="164"/>
        </w:trPr>
        <w:tc>
          <w:tcPr>
            <w:tcW w:w="1157" w:type="pct"/>
            <w:vAlign w:val="bottom"/>
          </w:tcPr>
          <w:p w14:paraId="74F37998"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financijskim institucijama</w:t>
            </w:r>
          </w:p>
        </w:tc>
        <w:tc>
          <w:tcPr>
            <w:tcW w:w="475" w:type="pct"/>
            <w:tcBorders>
              <w:top w:val="nil"/>
              <w:left w:val="nil"/>
              <w:bottom w:val="nil"/>
              <w:right w:val="nil"/>
            </w:tcBorders>
            <w:vAlign w:val="bottom"/>
          </w:tcPr>
          <w:p w14:paraId="3B8CC51D"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136.649</w:t>
            </w:r>
          </w:p>
        </w:tc>
        <w:tc>
          <w:tcPr>
            <w:tcW w:w="474" w:type="pct"/>
            <w:tcBorders>
              <w:top w:val="nil"/>
              <w:left w:val="nil"/>
              <w:bottom w:val="nil"/>
              <w:right w:val="nil"/>
            </w:tcBorders>
            <w:vAlign w:val="bottom"/>
          </w:tcPr>
          <w:p w14:paraId="2272BDFB"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300.681</w:t>
            </w:r>
          </w:p>
        </w:tc>
        <w:tc>
          <w:tcPr>
            <w:tcW w:w="474" w:type="pct"/>
            <w:tcBorders>
              <w:top w:val="nil"/>
              <w:left w:val="nil"/>
              <w:bottom w:val="nil"/>
              <w:right w:val="nil"/>
            </w:tcBorders>
            <w:vAlign w:val="bottom"/>
          </w:tcPr>
          <w:p w14:paraId="26EF14DC"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794.823</w:t>
            </w:r>
          </w:p>
        </w:tc>
        <w:tc>
          <w:tcPr>
            <w:tcW w:w="474" w:type="pct"/>
            <w:tcBorders>
              <w:top w:val="nil"/>
              <w:left w:val="nil"/>
              <w:bottom w:val="nil"/>
              <w:right w:val="nil"/>
            </w:tcBorders>
            <w:vAlign w:val="bottom"/>
          </w:tcPr>
          <w:p w14:paraId="3D000B1F"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1.825.594</w:t>
            </w:r>
          </w:p>
        </w:tc>
        <w:tc>
          <w:tcPr>
            <w:tcW w:w="489" w:type="pct"/>
            <w:tcBorders>
              <w:top w:val="nil"/>
              <w:left w:val="nil"/>
              <w:bottom w:val="nil"/>
              <w:right w:val="nil"/>
            </w:tcBorders>
            <w:vAlign w:val="bottom"/>
          </w:tcPr>
          <w:p w14:paraId="45B77DE0"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3.989.089</w:t>
            </w:r>
          </w:p>
        </w:tc>
        <w:tc>
          <w:tcPr>
            <w:tcW w:w="474" w:type="pct"/>
            <w:tcBorders>
              <w:top w:val="nil"/>
              <w:left w:val="nil"/>
              <w:bottom w:val="nil"/>
              <w:right w:val="nil"/>
            </w:tcBorders>
            <w:vAlign w:val="bottom"/>
          </w:tcPr>
          <w:p w14:paraId="2B64DD82"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3.307</w:t>
            </w:r>
          </w:p>
        </w:tc>
        <w:tc>
          <w:tcPr>
            <w:tcW w:w="490" w:type="pct"/>
            <w:tcBorders>
              <w:top w:val="nil"/>
              <w:left w:val="nil"/>
              <w:bottom w:val="nil"/>
              <w:right w:val="nil"/>
            </w:tcBorders>
            <w:vAlign w:val="bottom"/>
          </w:tcPr>
          <w:p w14:paraId="5792839D"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7.050.143</w:t>
            </w:r>
          </w:p>
        </w:tc>
        <w:tc>
          <w:tcPr>
            <w:tcW w:w="490" w:type="pct"/>
            <w:tcBorders>
              <w:top w:val="nil"/>
              <w:left w:val="nil"/>
              <w:bottom w:val="nil"/>
              <w:right w:val="nil"/>
            </w:tcBorders>
            <w:vAlign w:val="bottom"/>
          </w:tcPr>
          <w:p w14:paraId="2AD01180"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6.925.020</w:t>
            </w:r>
          </w:p>
        </w:tc>
      </w:tr>
      <w:tr w:rsidR="004E2F51" w:rsidRPr="00D47D1C" w14:paraId="4931693B" w14:textId="77777777" w:rsidTr="00E032FC">
        <w:trPr>
          <w:trHeight w:val="92"/>
        </w:trPr>
        <w:tc>
          <w:tcPr>
            <w:tcW w:w="1157" w:type="pct"/>
            <w:vAlign w:val="bottom"/>
          </w:tcPr>
          <w:p w14:paraId="1F50025C"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Krediti ostalim korisnicima</w:t>
            </w:r>
          </w:p>
        </w:tc>
        <w:tc>
          <w:tcPr>
            <w:tcW w:w="475" w:type="pct"/>
            <w:tcBorders>
              <w:top w:val="nil"/>
              <w:left w:val="nil"/>
              <w:bottom w:val="nil"/>
              <w:right w:val="nil"/>
            </w:tcBorders>
            <w:vAlign w:val="bottom"/>
          </w:tcPr>
          <w:p w14:paraId="5B773852"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1.721.753</w:t>
            </w:r>
          </w:p>
        </w:tc>
        <w:tc>
          <w:tcPr>
            <w:tcW w:w="474" w:type="pct"/>
            <w:tcBorders>
              <w:top w:val="nil"/>
              <w:left w:val="nil"/>
              <w:bottom w:val="nil"/>
              <w:right w:val="nil"/>
            </w:tcBorders>
            <w:vAlign w:val="bottom"/>
          </w:tcPr>
          <w:p w14:paraId="07B884C6"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643.354</w:t>
            </w:r>
          </w:p>
        </w:tc>
        <w:tc>
          <w:tcPr>
            <w:tcW w:w="474" w:type="pct"/>
            <w:tcBorders>
              <w:top w:val="nil"/>
              <w:left w:val="nil"/>
              <w:bottom w:val="nil"/>
              <w:right w:val="nil"/>
            </w:tcBorders>
            <w:vAlign w:val="bottom"/>
          </w:tcPr>
          <w:p w14:paraId="4CCA5162"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1.294.971</w:t>
            </w:r>
          </w:p>
        </w:tc>
        <w:tc>
          <w:tcPr>
            <w:tcW w:w="474" w:type="pct"/>
            <w:tcBorders>
              <w:top w:val="nil"/>
              <w:left w:val="nil"/>
              <w:bottom w:val="nil"/>
              <w:right w:val="nil"/>
            </w:tcBorders>
            <w:vAlign w:val="bottom"/>
          </w:tcPr>
          <w:p w14:paraId="08A0F1F3"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3.130.097</w:t>
            </w:r>
          </w:p>
        </w:tc>
        <w:tc>
          <w:tcPr>
            <w:tcW w:w="489" w:type="pct"/>
            <w:tcBorders>
              <w:top w:val="nil"/>
              <w:left w:val="nil"/>
              <w:bottom w:val="nil"/>
              <w:right w:val="nil"/>
            </w:tcBorders>
            <w:vAlign w:val="bottom"/>
          </w:tcPr>
          <w:p w14:paraId="216EA67C"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8.977.083</w:t>
            </w:r>
          </w:p>
        </w:tc>
        <w:tc>
          <w:tcPr>
            <w:tcW w:w="474" w:type="pct"/>
            <w:tcBorders>
              <w:top w:val="nil"/>
              <w:left w:val="nil"/>
              <w:bottom w:val="nil"/>
              <w:right w:val="nil"/>
            </w:tcBorders>
            <w:vAlign w:val="bottom"/>
          </w:tcPr>
          <w:p w14:paraId="2CF5A728"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197.118</w:t>
            </w:r>
          </w:p>
        </w:tc>
        <w:tc>
          <w:tcPr>
            <w:tcW w:w="490" w:type="pct"/>
            <w:tcBorders>
              <w:top w:val="nil"/>
              <w:left w:val="nil"/>
              <w:bottom w:val="nil"/>
              <w:right w:val="nil"/>
            </w:tcBorders>
            <w:vAlign w:val="bottom"/>
          </w:tcPr>
          <w:p w14:paraId="671A87A4"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15.964.376</w:t>
            </w:r>
          </w:p>
        </w:tc>
        <w:tc>
          <w:tcPr>
            <w:tcW w:w="490" w:type="pct"/>
            <w:tcBorders>
              <w:top w:val="nil"/>
              <w:left w:val="nil"/>
              <w:bottom w:val="nil"/>
              <w:right w:val="nil"/>
            </w:tcBorders>
            <w:vAlign w:val="bottom"/>
          </w:tcPr>
          <w:p w14:paraId="7FD27DCF"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14.941.579</w:t>
            </w:r>
          </w:p>
        </w:tc>
      </w:tr>
      <w:tr w:rsidR="004E2F51" w:rsidRPr="00D47D1C" w14:paraId="2DD2B3C4" w14:textId="77777777" w:rsidTr="00E032FC">
        <w:trPr>
          <w:trHeight w:val="170"/>
        </w:trPr>
        <w:tc>
          <w:tcPr>
            <w:tcW w:w="1157" w:type="pct"/>
            <w:vAlign w:val="bottom"/>
          </w:tcPr>
          <w:p w14:paraId="079EE02B"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dobit ili gubitak</w:t>
            </w:r>
          </w:p>
        </w:tc>
        <w:tc>
          <w:tcPr>
            <w:tcW w:w="475" w:type="pct"/>
            <w:vAlign w:val="bottom"/>
          </w:tcPr>
          <w:p w14:paraId="750A7C07"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2E451167"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2AB975CF"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27E9546D"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9" w:type="pct"/>
            <w:vAlign w:val="bottom"/>
          </w:tcPr>
          <w:p w14:paraId="3D58A55A"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16.375</w:t>
            </w:r>
          </w:p>
        </w:tc>
        <w:tc>
          <w:tcPr>
            <w:tcW w:w="474" w:type="pct"/>
            <w:vAlign w:val="bottom"/>
          </w:tcPr>
          <w:p w14:paraId="0CCC39AD"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202.609</w:t>
            </w:r>
          </w:p>
        </w:tc>
        <w:tc>
          <w:tcPr>
            <w:tcW w:w="490" w:type="pct"/>
            <w:vAlign w:val="bottom"/>
          </w:tcPr>
          <w:p w14:paraId="11CD5C5F"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218.984</w:t>
            </w:r>
          </w:p>
        </w:tc>
        <w:tc>
          <w:tcPr>
            <w:tcW w:w="490" w:type="pct"/>
            <w:vAlign w:val="bottom"/>
          </w:tcPr>
          <w:p w14:paraId="0E5D56AC"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16.375</w:t>
            </w:r>
          </w:p>
        </w:tc>
      </w:tr>
      <w:tr w:rsidR="004E2F51" w:rsidRPr="00D47D1C" w14:paraId="2D83C88B" w14:textId="77777777" w:rsidTr="00E032FC">
        <w:trPr>
          <w:trHeight w:val="163"/>
        </w:trPr>
        <w:tc>
          <w:tcPr>
            <w:tcW w:w="1157" w:type="pct"/>
            <w:vAlign w:val="bottom"/>
          </w:tcPr>
          <w:p w14:paraId="07473149"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Financijska imovina po fer vrijednosti kroz ostalu sveobuhvatnu dobit</w:t>
            </w:r>
          </w:p>
        </w:tc>
        <w:tc>
          <w:tcPr>
            <w:tcW w:w="475" w:type="pct"/>
            <w:vAlign w:val="bottom"/>
          </w:tcPr>
          <w:p w14:paraId="513A7125"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2.857.247</w:t>
            </w:r>
          </w:p>
        </w:tc>
        <w:tc>
          <w:tcPr>
            <w:tcW w:w="474" w:type="pct"/>
            <w:vAlign w:val="bottom"/>
          </w:tcPr>
          <w:p w14:paraId="4A13780D"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67F15BDE"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315E48FD"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9" w:type="pct"/>
            <w:vAlign w:val="bottom"/>
          </w:tcPr>
          <w:p w14:paraId="0922D6A0"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18905AE5"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58.457</w:t>
            </w:r>
          </w:p>
        </w:tc>
        <w:tc>
          <w:tcPr>
            <w:tcW w:w="490" w:type="pct"/>
            <w:vAlign w:val="bottom"/>
          </w:tcPr>
          <w:p w14:paraId="74FBC174"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2.915.704</w:t>
            </w:r>
          </w:p>
        </w:tc>
        <w:tc>
          <w:tcPr>
            <w:tcW w:w="490" w:type="pct"/>
            <w:vAlign w:val="bottom"/>
          </w:tcPr>
          <w:p w14:paraId="79397D2B"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2.857.247</w:t>
            </w:r>
          </w:p>
        </w:tc>
      </w:tr>
      <w:tr w:rsidR="004E2F51" w:rsidRPr="00D47D1C" w14:paraId="39A14B5C" w14:textId="77777777" w:rsidTr="00E032FC">
        <w:trPr>
          <w:trHeight w:val="206"/>
        </w:trPr>
        <w:tc>
          <w:tcPr>
            <w:tcW w:w="1157" w:type="pct"/>
            <w:vAlign w:val="bottom"/>
          </w:tcPr>
          <w:p w14:paraId="33B141F5" w14:textId="77777777" w:rsidR="004E2F51" w:rsidRPr="00D47D1C" w:rsidRDefault="004E2F51" w:rsidP="00E032FC">
            <w:pPr>
              <w:tabs>
                <w:tab w:val="left" w:pos="-720"/>
              </w:tabs>
              <w:spacing w:line="240" w:lineRule="exact"/>
              <w:rPr>
                <w:rFonts w:ascii="Arial" w:eastAsia="Calibri" w:hAnsi="Arial" w:cs="Arial"/>
                <w:color w:val="000000" w:themeColor="text1"/>
                <w:sz w:val="15"/>
                <w:szCs w:val="15"/>
                <w:lang w:val="hr-HR"/>
              </w:rPr>
            </w:pPr>
            <w:r w:rsidRPr="00D47D1C">
              <w:rPr>
                <w:rFonts w:ascii="Arial" w:eastAsia="Calibri" w:hAnsi="Arial" w:cs="Arial"/>
                <w:color w:val="000000" w:themeColor="text1"/>
                <w:sz w:val="15"/>
                <w:szCs w:val="15"/>
                <w:lang w:val="hr-HR"/>
              </w:rPr>
              <w:t>Ostala imovina</w:t>
            </w:r>
          </w:p>
        </w:tc>
        <w:tc>
          <w:tcPr>
            <w:tcW w:w="475" w:type="pct"/>
            <w:vAlign w:val="bottom"/>
          </w:tcPr>
          <w:p w14:paraId="323C1618"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46285223"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13E3E421"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28B3908B"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9" w:type="pct"/>
            <w:vAlign w:val="bottom"/>
          </w:tcPr>
          <w:p w14:paraId="0BBCF413"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tcBorders>
              <w:bottom w:val="single" w:sz="4" w:space="0" w:color="auto"/>
            </w:tcBorders>
            <w:vAlign w:val="bottom"/>
          </w:tcPr>
          <w:p w14:paraId="6AEC2CA1"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34.494</w:t>
            </w:r>
          </w:p>
        </w:tc>
        <w:tc>
          <w:tcPr>
            <w:tcW w:w="490" w:type="pct"/>
            <w:tcBorders>
              <w:bottom w:val="single" w:sz="4" w:space="0" w:color="auto"/>
            </w:tcBorders>
            <w:vAlign w:val="bottom"/>
          </w:tcPr>
          <w:p w14:paraId="01791161"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34.494</w:t>
            </w:r>
          </w:p>
        </w:tc>
        <w:tc>
          <w:tcPr>
            <w:tcW w:w="490" w:type="pct"/>
            <w:tcBorders>
              <w:bottom w:val="single" w:sz="4" w:space="0" w:color="auto"/>
            </w:tcBorders>
            <w:vAlign w:val="bottom"/>
          </w:tcPr>
          <w:p w14:paraId="1C9C7781"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r>
      <w:tr w:rsidR="004E2F51" w:rsidRPr="00D47D1C" w14:paraId="71BDB859" w14:textId="77777777" w:rsidTr="00E032FC">
        <w:trPr>
          <w:trHeight w:hRule="exact" w:val="308"/>
        </w:trPr>
        <w:tc>
          <w:tcPr>
            <w:tcW w:w="1157" w:type="pct"/>
            <w:vAlign w:val="center"/>
          </w:tcPr>
          <w:p w14:paraId="7BD4CFF0"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 xml:space="preserve">Imovina </w:t>
            </w:r>
          </w:p>
        </w:tc>
        <w:tc>
          <w:tcPr>
            <w:tcW w:w="475" w:type="pct"/>
            <w:tcBorders>
              <w:top w:val="single" w:sz="4" w:space="0" w:color="auto"/>
              <w:left w:val="nil"/>
              <w:bottom w:val="single" w:sz="8" w:space="0" w:color="auto"/>
              <w:right w:val="nil"/>
            </w:tcBorders>
            <w:vAlign w:val="bottom"/>
          </w:tcPr>
          <w:p w14:paraId="2E3A25AC"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4.796.551</w:t>
            </w:r>
          </w:p>
        </w:tc>
        <w:tc>
          <w:tcPr>
            <w:tcW w:w="474" w:type="pct"/>
            <w:tcBorders>
              <w:top w:val="single" w:sz="4" w:space="0" w:color="auto"/>
              <w:left w:val="nil"/>
              <w:bottom w:val="single" w:sz="8" w:space="0" w:color="auto"/>
              <w:right w:val="nil"/>
            </w:tcBorders>
            <w:vAlign w:val="bottom"/>
          </w:tcPr>
          <w:p w14:paraId="07C3F827"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944.035</w:t>
            </w:r>
          </w:p>
        </w:tc>
        <w:tc>
          <w:tcPr>
            <w:tcW w:w="474" w:type="pct"/>
            <w:tcBorders>
              <w:top w:val="single" w:sz="4" w:space="0" w:color="auto"/>
              <w:left w:val="nil"/>
              <w:bottom w:val="single" w:sz="8" w:space="0" w:color="auto"/>
              <w:right w:val="nil"/>
            </w:tcBorders>
            <w:vAlign w:val="bottom"/>
          </w:tcPr>
          <w:p w14:paraId="04139A48"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2.089.794</w:t>
            </w:r>
          </w:p>
        </w:tc>
        <w:tc>
          <w:tcPr>
            <w:tcW w:w="474" w:type="pct"/>
            <w:tcBorders>
              <w:top w:val="single" w:sz="4" w:space="0" w:color="auto"/>
              <w:left w:val="nil"/>
              <w:bottom w:val="single" w:sz="8" w:space="0" w:color="auto"/>
              <w:right w:val="nil"/>
            </w:tcBorders>
            <w:vAlign w:val="bottom"/>
          </w:tcPr>
          <w:p w14:paraId="7F1272C7"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4.955.691</w:t>
            </w:r>
          </w:p>
        </w:tc>
        <w:tc>
          <w:tcPr>
            <w:tcW w:w="489" w:type="pct"/>
            <w:tcBorders>
              <w:top w:val="single" w:sz="4" w:space="0" w:color="auto"/>
              <w:left w:val="nil"/>
              <w:bottom w:val="single" w:sz="8" w:space="0" w:color="auto"/>
              <w:right w:val="nil"/>
            </w:tcBorders>
            <w:vAlign w:val="bottom"/>
          </w:tcPr>
          <w:p w14:paraId="01CA2619"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12.982.547</w:t>
            </w:r>
          </w:p>
        </w:tc>
        <w:tc>
          <w:tcPr>
            <w:tcW w:w="474" w:type="pct"/>
            <w:tcBorders>
              <w:top w:val="single" w:sz="4" w:space="0" w:color="auto"/>
              <w:left w:val="nil"/>
              <w:bottom w:val="single" w:sz="8" w:space="0" w:color="auto"/>
              <w:right w:val="nil"/>
            </w:tcBorders>
            <w:vAlign w:val="bottom"/>
          </w:tcPr>
          <w:p w14:paraId="43242C7A"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2.381.203</w:t>
            </w:r>
          </w:p>
        </w:tc>
        <w:tc>
          <w:tcPr>
            <w:tcW w:w="490" w:type="pct"/>
            <w:tcBorders>
              <w:top w:val="single" w:sz="4" w:space="0" w:color="auto"/>
              <w:left w:val="nil"/>
              <w:bottom w:val="single" w:sz="8" w:space="0" w:color="auto"/>
              <w:right w:val="nil"/>
            </w:tcBorders>
            <w:vAlign w:val="bottom"/>
          </w:tcPr>
          <w:p w14:paraId="5DCB2248"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28.149.821</w:t>
            </w:r>
          </w:p>
        </w:tc>
        <w:tc>
          <w:tcPr>
            <w:tcW w:w="490" w:type="pct"/>
            <w:tcBorders>
              <w:top w:val="single" w:sz="4" w:space="0" w:color="auto"/>
              <w:left w:val="nil"/>
              <w:bottom w:val="single" w:sz="8" w:space="0" w:color="auto"/>
              <w:right w:val="nil"/>
            </w:tcBorders>
            <w:vAlign w:val="bottom"/>
          </w:tcPr>
          <w:p w14:paraId="54EF0C75"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24.821.123</w:t>
            </w:r>
          </w:p>
        </w:tc>
      </w:tr>
      <w:tr w:rsidR="004E2F51" w:rsidRPr="00D47D1C" w14:paraId="723B6057" w14:textId="77777777" w:rsidTr="00E032FC">
        <w:trPr>
          <w:trHeight w:hRule="exact" w:val="187"/>
        </w:trPr>
        <w:tc>
          <w:tcPr>
            <w:tcW w:w="1157" w:type="pct"/>
            <w:vAlign w:val="bottom"/>
          </w:tcPr>
          <w:p w14:paraId="165611FD"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p>
        </w:tc>
        <w:tc>
          <w:tcPr>
            <w:tcW w:w="475" w:type="pct"/>
            <w:tcBorders>
              <w:top w:val="single" w:sz="12" w:space="0" w:color="auto"/>
              <w:left w:val="nil"/>
              <w:right w:val="nil"/>
            </w:tcBorders>
            <w:vAlign w:val="bottom"/>
          </w:tcPr>
          <w:p w14:paraId="7EFCE0DC"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74" w:type="pct"/>
            <w:tcBorders>
              <w:top w:val="single" w:sz="12" w:space="0" w:color="auto"/>
              <w:left w:val="nil"/>
              <w:right w:val="nil"/>
            </w:tcBorders>
            <w:vAlign w:val="bottom"/>
          </w:tcPr>
          <w:p w14:paraId="464B62D7"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74" w:type="pct"/>
            <w:tcBorders>
              <w:top w:val="single" w:sz="12" w:space="0" w:color="auto"/>
              <w:left w:val="nil"/>
              <w:right w:val="nil"/>
            </w:tcBorders>
            <w:vAlign w:val="bottom"/>
          </w:tcPr>
          <w:p w14:paraId="551BA2F4"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74" w:type="pct"/>
            <w:tcBorders>
              <w:top w:val="single" w:sz="12" w:space="0" w:color="auto"/>
              <w:left w:val="nil"/>
              <w:right w:val="nil"/>
            </w:tcBorders>
            <w:vAlign w:val="bottom"/>
          </w:tcPr>
          <w:p w14:paraId="2047441B"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9" w:type="pct"/>
            <w:tcBorders>
              <w:top w:val="single" w:sz="12" w:space="0" w:color="auto"/>
              <w:left w:val="nil"/>
              <w:right w:val="nil"/>
            </w:tcBorders>
            <w:vAlign w:val="bottom"/>
          </w:tcPr>
          <w:p w14:paraId="690C9500"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74" w:type="pct"/>
            <w:tcBorders>
              <w:top w:val="single" w:sz="12" w:space="0" w:color="auto"/>
              <w:left w:val="nil"/>
              <w:right w:val="nil"/>
            </w:tcBorders>
            <w:vAlign w:val="bottom"/>
          </w:tcPr>
          <w:p w14:paraId="22BD0EFF"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90" w:type="pct"/>
            <w:tcBorders>
              <w:top w:val="single" w:sz="12" w:space="0" w:color="auto"/>
              <w:left w:val="nil"/>
              <w:right w:val="nil"/>
            </w:tcBorders>
            <w:vAlign w:val="bottom"/>
          </w:tcPr>
          <w:p w14:paraId="49F518FD"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90" w:type="pct"/>
            <w:tcBorders>
              <w:top w:val="single" w:sz="12" w:space="0" w:color="auto"/>
              <w:left w:val="nil"/>
              <w:right w:val="nil"/>
            </w:tcBorders>
            <w:vAlign w:val="bottom"/>
          </w:tcPr>
          <w:p w14:paraId="5ACC7F45" w14:textId="77777777" w:rsidR="004E2F51" w:rsidRPr="00D47D1C" w:rsidRDefault="004E2F51" w:rsidP="00E032FC">
            <w:pPr>
              <w:jc w:val="right"/>
              <w:rPr>
                <w:rFonts w:ascii="Arial" w:eastAsia="Calibri" w:hAnsi="Arial" w:cs="Arial"/>
                <w:b/>
                <w:color w:val="000000" w:themeColor="text1"/>
                <w:sz w:val="15"/>
                <w:szCs w:val="15"/>
                <w:lang w:val="hr-HR"/>
              </w:rPr>
            </w:pPr>
          </w:p>
        </w:tc>
      </w:tr>
      <w:tr w:rsidR="004E2F51" w:rsidRPr="00D47D1C" w14:paraId="179D7C1A" w14:textId="77777777" w:rsidTr="00E032FC">
        <w:trPr>
          <w:trHeight w:hRule="exact" w:val="235"/>
        </w:trPr>
        <w:tc>
          <w:tcPr>
            <w:tcW w:w="1157" w:type="pct"/>
          </w:tcPr>
          <w:p w14:paraId="6AEBE77C"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Obveze</w:t>
            </w:r>
          </w:p>
        </w:tc>
        <w:tc>
          <w:tcPr>
            <w:tcW w:w="475" w:type="pct"/>
            <w:tcBorders>
              <w:left w:val="nil"/>
              <w:right w:val="nil"/>
            </w:tcBorders>
            <w:vAlign w:val="bottom"/>
          </w:tcPr>
          <w:p w14:paraId="771C5FE1"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74" w:type="pct"/>
            <w:tcBorders>
              <w:left w:val="nil"/>
              <w:right w:val="nil"/>
            </w:tcBorders>
            <w:vAlign w:val="bottom"/>
          </w:tcPr>
          <w:p w14:paraId="169720DE"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74" w:type="pct"/>
            <w:tcBorders>
              <w:left w:val="nil"/>
              <w:right w:val="nil"/>
            </w:tcBorders>
            <w:vAlign w:val="bottom"/>
          </w:tcPr>
          <w:p w14:paraId="3ED4AE4E"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74" w:type="pct"/>
            <w:tcBorders>
              <w:left w:val="nil"/>
              <w:right w:val="nil"/>
            </w:tcBorders>
            <w:vAlign w:val="bottom"/>
          </w:tcPr>
          <w:p w14:paraId="002FAF05"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89" w:type="pct"/>
            <w:tcBorders>
              <w:left w:val="nil"/>
              <w:right w:val="nil"/>
            </w:tcBorders>
            <w:vAlign w:val="bottom"/>
          </w:tcPr>
          <w:p w14:paraId="405A0DA3"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74" w:type="pct"/>
            <w:tcBorders>
              <w:left w:val="nil"/>
              <w:right w:val="nil"/>
            </w:tcBorders>
            <w:vAlign w:val="bottom"/>
          </w:tcPr>
          <w:p w14:paraId="59C9F03F"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90" w:type="pct"/>
            <w:tcBorders>
              <w:left w:val="nil"/>
              <w:right w:val="nil"/>
            </w:tcBorders>
            <w:vAlign w:val="bottom"/>
          </w:tcPr>
          <w:p w14:paraId="3312746F" w14:textId="77777777" w:rsidR="004E2F51" w:rsidRPr="00D47D1C" w:rsidRDefault="004E2F51" w:rsidP="00E032FC">
            <w:pPr>
              <w:jc w:val="right"/>
              <w:rPr>
                <w:rFonts w:ascii="Arial" w:eastAsia="Calibri" w:hAnsi="Arial" w:cs="Arial"/>
                <w:b/>
                <w:color w:val="000000" w:themeColor="text1"/>
                <w:sz w:val="15"/>
                <w:szCs w:val="15"/>
                <w:lang w:val="hr-HR"/>
              </w:rPr>
            </w:pPr>
          </w:p>
        </w:tc>
        <w:tc>
          <w:tcPr>
            <w:tcW w:w="490" w:type="pct"/>
            <w:tcBorders>
              <w:left w:val="nil"/>
              <w:right w:val="nil"/>
            </w:tcBorders>
            <w:vAlign w:val="bottom"/>
          </w:tcPr>
          <w:p w14:paraId="66098E1B" w14:textId="77777777" w:rsidR="004E2F51" w:rsidRPr="00D47D1C" w:rsidRDefault="004E2F51" w:rsidP="00E032FC">
            <w:pPr>
              <w:jc w:val="right"/>
              <w:rPr>
                <w:rFonts w:ascii="Arial" w:eastAsia="Calibri" w:hAnsi="Arial" w:cs="Arial"/>
                <w:b/>
                <w:color w:val="000000" w:themeColor="text1"/>
                <w:sz w:val="15"/>
                <w:szCs w:val="15"/>
                <w:lang w:val="hr-HR"/>
              </w:rPr>
            </w:pPr>
          </w:p>
        </w:tc>
      </w:tr>
      <w:tr w:rsidR="004E2F51" w:rsidRPr="00D47D1C" w14:paraId="085DA9F7" w14:textId="77777777" w:rsidTr="00E032FC">
        <w:trPr>
          <w:trHeight w:hRule="exact" w:val="262"/>
        </w:trPr>
        <w:tc>
          <w:tcPr>
            <w:tcW w:w="1157" w:type="pct"/>
            <w:vAlign w:val="bottom"/>
          </w:tcPr>
          <w:p w14:paraId="0FAEA034"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Obveze po depozitima</w:t>
            </w:r>
          </w:p>
        </w:tc>
        <w:tc>
          <w:tcPr>
            <w:tcW w:w="475" w:type="pct"/>
            <w:tcBorders>
              <w:top w:val="nil"/>
              <w:left w:val="nil"/>
              <w:bottom w:val="nil"/>
              <w:right w:val="nil"/>
            </w:tcBorders>
            <w:vAlign w:val="bottom"/>
          </w:tcPr>
          <w:p w14:paraId="3944AB8E"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417.163</w:t>
            </w:r>
          </w:p>
        </w:tc>
        <w:tc>
          <w:tcPr>
            <w:tcW w:w="474" w:type="pct"/>
            <w:vAlign w:val="bottom"/>
          </w:tcPr>
          <w:p w14:paraId="1A763710"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442B176F"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442EE71F"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9" w:type="pct"/>
            <w:vAlign w:val="bottom"/>
          </w:tcPr>
          <w:p w14:paraId="56657C62"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tcBorders>
              <w:top w:val="nil"/>
              <w:left w:val="nil"/>
              <w:bottom w:val="nil"/>
              <w:right w:val="nil"/>
            </w:tcBorders>
            <w:vAlign w:val="bottom"/>
          </w:tcPr>
          <w:p w14:paraId="0E619991"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543.378</w:t>
            </w:r>
          </w:p>
        </w:tc>
        <w:tc>
          <w:tcPr>
            <w:tcW w:w="490" w:type="pct"/>
            <w:tcBorders>
              <w:top w:val="nil"/>
              <w:left w:val="nil"/>
              <w:bottom w:val="nil"/>
              <w:right w:val="nil"/>
            </w:tcBorders>
            <w:vAlign w:val="bottom"/>
          </w:tcPr>
          <w:p w14:paraId="514CFA9C"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960.541</w:t>
            </w:r>
          </w:p>
        </w:tc>
        <w:tc>
          <w:tcPr>
            <w:tcW w:w="490" w:type="pct"/>
            <w:tcBorders>
              <w:top w:val="nil"/>
              <w:left w:val="nil"/>
              <w:bottom w:val="nil"/>
              <w:right w:val="nil"/>
            </w:tcBorders>
            <w:vAlign w:val="bottom"/>
          </w:tcPr>
          <w:p w14:paraId="11370F96"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417.163</w:t>
            </w:r>
          </w:p>
        </w:tc>
      </w:tr>
      <w:tr w:rsidR="004E2F51" w:rsidRPr="00D47D1C" w14:paraId="32002C7F" w14:textId="77777777" w:rsidTr="00E032FC">
        <w:trPr>
          <w:trHeight w:hRule="exact" w:val="254"/>
        </w:trPr>
        <w:tc>
          <w:tcPr>
            <w:tcW w:w="1157" w:type="pct"/>
            <w:vAlign w:val="bottom"/>
          </w:tcPr>
          <w:p w14:paraId="0C4E0C40"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Obveze po kreditima</w:t>
            </w:r>
          </w:p>
        </w:tc>
        <w:tc>
          <w:tcPr>
            <w:tcW w:w="475" w:type="pct"/>
            <w:tcBorders>
              <w:top w:val="nil"/>
              <w:left w:val="nil"/>
              <w:bottom w:val="nil"/>
              <w:right w:val="nil"/>
            </w:tcBorders>
            <w:vAlign w:val="bottom"/>
          </w:tcPr>
          <w:p w14:paraId="2938AA79"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244.301</w:t>
            </w:r>
          </w:p>
        </w:tc>
        <w:tc>
          <w:tcPr>
            <w:tcW w:w="474" w:type="pct"/>
            <w:tcBorders>
              <w:top w:val="nil"/>
              <w:left w:val="nil"/>
              <w:bottom w:val="nil"/>
              <w:right w:val="nil"/>
            </w:tcBorders>
            <w:vAlign w:val="bottom"/>
          </w:tcPr>
          <w:p w14:paraId="7DF0B8C6"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310.552</w:t>
            </w:r>
          </w:p>
        </w:tc>
        <w:tc>
          <w:tcPr>
            <w:tcW w:w="474" w:type="pct"/>
            <w:tcBorders>
              <w:top w:val="nil"/>
              <w:left w:val="nil"/>
              <w:bottom w:val="nil"/>
              <w:right w:val="nil"/>
            </w:tcBorders>
            <w:vAlign w:val="bottom"/>
          </w:tcPr>
          <w:p w14:paraId="16ED7573"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1.807.992</w:t>
            </w:r>
          </w:p>
        </w:tc>
        <w:tc>
          <w:tcPr>
            <w:tcW w:w="474" w:type="pct"/>
            <w:tcBorders>
              <w:top w:val="nil"/>
              <w:left w:val="nil"/>
              <w:bottom w:val="nil"/>
              <w:right w:val="nil"/>
            </w:tcBorders>
            <w:vAlign w:val="bottom"/>
          </w:tcPr>
          <w:p w14:paraId="2EBF7773"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5.775.874</w:t>
            </w:r>
          </w:p>
        </w:tc>
        <w:tc>
          <w:tcPr>
            <w:tcW w:w="489" w:type="pct"/>
            <w:tcBorders>
              <w:top w:val="nil"/>
              <w:left w:val="nil"/>
              <w:bottom w:val="nil"/>
              <w:right w:val="nil"/>
            </w:tcBorders>
            <w:vAlign w:val="bottom"/>
          </w:tcPr>
          <w:p w14:paraId="025632E0"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7.941.861</w:t>
            </w:r>
          </w:p>
        </w:tc>
        <w:tc>
          <w:tcPr>
            <w:tcW w:w="474" w:type="pct"/>
            <w:tcBorders>
              <w:top w:val="nil"/>
              <w:left w:val="nil"/>
              <w:bottom w:val="nil"/>
              <w:right w:val="nil"/>
            </w:tcBorders>
            <w:vAlign w:val="bottom"/>
          </w:tcPr>
          <w:p w14:paraId="3FEA626A"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34.657</w:t>
            </w:r>
          </w:p>
        </w:tc>
        <w:tc>
          <w:tcPr>
            <w:tcW w:w="490" w:type="pct"/>
            <w:tcBorders>
              <w:top w:val="nil"/>
              <w:left w:val="nil"/>
              <w:bottom w:val="nil"/>
              <w:right w:val="nil"/>
            </w:tcBorders>
            <w:vAlign w:val="bottom"/>
          </w:tcPr>
          <w:p w14:paraId="1DCE4857"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16.115</w:t>
            </w:r>
            <w:r>
              <w:rPr>
                <w:rFonts w:ascii="Arial" w:eastAsia="Calibri" w:hAnsi="Arial" w:cs="Arial"/>
                <w:bCs/>
                <w:color w:val="000000" w:themeColor="text1"/>
                <w:sz w:val="15"/>
                <w:szCs w:val="15"/>
                <w:lang w:val="hr-HR"/>
              </w:rPr>
              <w:t>.</w:t>
            </w:r>
            <w:r w:rsidRPr="00D47D1C">
              <w:rPr>
                <w:rFonts w:ascii="Arial" w:eastAsia="Calibri" w:hAnsi="Arial" w:cs="Arial"/>
                <w:bCs/>
                <w:color w:val="000000" w:themeColor="text1"/>
                <w:sz w:val="15"/>
                <w:szCs w:val="15"/>
                <w:lang w:val="hr-HR"/>
              </w:rPr>
              <w:t>237</w:t>
            </w:r>
          </w:p>
        </w:tc>
        <w:tc>
          <w:tcPr>
            <w:tcW w:w="490" w:type="pct"/>
            <w:tcBorders>
              <w:top w:val="nil"/>
              <w:left w:val="nil"/>
              <w:bottom w:val="nil"/>
              <w:right w:val="nil"/>
            </w:tcBorders>
            <w:vAlign w:val="bottom"/>
          </w:tcPr>
          <w:p w14:paraId="0DB9F532"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16.069.304</w:t>
            </w:r>
          </w:p>
        </w:tc>
      </w:tr>
      <w:tr w:rsidR="004E2F51" w:rsidRPr="00D47D1C" w14:paraId="4DB73999" w14:textId="77777777" w:rsidTr="00E032FC">
        <w:trPr>
          <w:trHeight w:hRule="exact" w:val="533"/>
        </w:trPr>
        <w:tc>
          <w:tcPr>
            <w:tcW w:w="1157" w:type="pct"/>
            <w:vAlign w:val="bottom"/>
          </w:tcPr>
          <w:p w14:paraId="4BB7D9DB" w14:textId="77777777" w:rsidR="004E2F51" w:rsidRPr="00D47D1C" w:rsidRDefault="004E2F51" w:rsidP="00E032FC">
            <w:pPr>
              <w:tabs>
                <w:tab w:val="right" w:pos="1202"/>
              </w:tabs>
              <w:spacing w:line="240" w:lineRule="exact"/>
              <w:outlineLvl w:val="0"/>
              <w:rPr>
                <w:rFonts w:ascii="Arial" w:eastAsia="Calibri" w:hAnsi="Arial" w:cs="Arial"/>
                <w:color w:val="000000" w:themeColor="text1"/>
                <w:spacing w:val="-2"/>
                <w:sz w:val="15"/>
                <w:szCs w:val="15"/>
                <w:lang w:val="hr-HR"/>
              </w:rPr>
            </w:pPr>
            <w:r w:rsidRPr="00D47D1C">
              <w:rPr>
                <w:rFonts w:ascii="Arial" w:eastAsia="Calibri" w:hAnsi="Arial" w:cs="Arial"/>
                <w:color w:val="000000" w:themeColor="text1"/>
                <w:spacing w:val="-2"/>
                <w:sz w:val="15"/>
                <w:szCs w:val="15"/>
                <w:lang w:val="hr-HR"/>
              </w:rPr>
              <w:t>Rezerviranja za garancije, preuzete i ostale obveze</w:t>
            </w:r>
          </w:p>
        </w:tc>
        <w:tc>
          <w:tcPr>
            <w:tcW w:w="475" w:type="pct"/>
            <w:tcBorders>
              <w:top w:val="nil"/>
              <w:left w:val="nil"/>
              <w:bottom w:val="nil"/>
              <w:right w:val="nil"/>
            </w:tcBorders>
            <w:vAlign w:val="bottom"/>
          </w:tcPr>
          <w:p w14:paraId="672D789A"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5678A82D"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6DD8A654"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2B71D882"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9" w:type="pct"/>
            <w:vAlign w:val="bottom"/>
          </w:tcPr>
          <w:p w14:paraId="498BAD98"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tcBorders>
              <w:top w:val="nil"/>
              <w:left w:val="nil"/>
              <w:bottom w:val="nil"/>
              <w:right w:val="nil"/>
            </w:tcBorders>
            <w:vAlign w:val="bottom"/>
          </w:tcPr>
          <w:p w14:paraId="0E8F8D2B"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190.303</w:t>
            </w:r>
          </w:p>
        </w:tc>
        <w:tc>
          <w:tcPr>
            <w:tcW w:w="490" w:type="pct"/>
            <w:tcBorders>
              <w:top w:val="nil"/>
              <w:left w:val="nil"/>
              <w:bottom w:val="nil"/>
              <w:right w:val="nil"/>
            </w:tcBorders>
            <w:vAlign w:val="bottom"/>
          </w:tcPr>
          <w:p w14:paraId="34276225"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190.303</w:t>
            </w:r>
          </w:p>
        </w:tc>
        <w:tc>
          <w:tcPr>
            <w:tcW w:w="490" w:type="pct"/>
            <w:tcBorders>
              <w:top w:val="nil"/>
              <w:left w:val="nil"/>
              <w:bottom w:val="nil"/>
              <w:right w:val="nil"/>
            </w:tcBorders>
            <w:vAlign w:val="bottom"/>
          </w:tcPr>
          <w:p w14:paraId="65ECEFC5" w14:textId="77777777" w:rsidR="004E2F51" w:rsidRPr="00D47D1C" w:rsidDel="00344206"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r>
      <w:tr w:rsidR="004E2F51" w:rsidRPr="00D47D1C" w14:paraId="1AA11016" w14:textId="77777777" w:rsidTr="00E032FC">
        <w:trPr>
          <w:trHeight w:hRule="exact" w:val="251"/>
        </w:trPr>
        <w:tc>
          <w:tcPr>
            <w:tcW w:w="1157" w:type="pct"/>
            <w:vAlign w:val="bottom"/>
          </w:tcPr>
          <w:p w14:paraId="0929850B"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color w:val="000000" w:themeColor="text1"/>
                <w:spacing w:val="-2"/>
                <w:sz w:val="15"/>
                <w:szCs w:val="15"/>
                <w:lang w:val="hr-HR"/>
              </w:rPr>
              <w:t>Ostale obveze</w:t>
            </w:r>
          </w:p>
        </w:tc>
        <w:tc>
          <w:tcPr>
            <w:tcW w:w="475" w:type="pct"/>
            <w:tcBorders>
              <w:top w:val="nil"/>
              <w:left w:val="nil"/>
              <w:bottom w:val="nil"/>
              <w:right w:val="nil"/>
            </w:tcBorders>
            <w:vAlign w:val="bottom"/>
          </w:tcPr>
          <w:p w14:paraId="18E19E09"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22788B19"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057D1108"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vAlign w:val="bottom"/>
          </w:tcPr>
          <w:p w14:paraId="2A03164E"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89" w:type="pct"/>
            <w:vAlign w:val="bottom"/>
          </w:tcPr>
          <w:p w14:paraId="537B833B"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c>
          <w:tcPr>
            <w:tcW w:w="474" w:type="pct"/>
            <w:tcBorders>
              <w:top w:val="nil"/>
              <w:left w:val="nil"/>
              <w:bottom w:val="nil"/>
              <w:right w:val="nil"/>
            </w:tcBorders>
            <w:vAlign w:val="bottom"/>
          </w:tcPr>
          <w:p w14:paraId="4466408E"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416.178</w:t>
            </w:r>
          </w:p>
        </w:tc>
        <w:tc>
          <w:tcPr>
            <w:tcW w:w="490" w:type="pct"/>
            <w:tcBorders>
              <w:top w:val="nil"/>
              <w:left w:val="nil"/>
              <w:bottom w:val="nil"/>
              <w:right w:val="nil"/>
            </w:tcBorders>
            <w:vAlign w:val="bottom"/>
          </w:tcPr>
          <w:p w14:paraId="21C7646D"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416.178</w:t>
            </w:r>
          </w:p>
        </w:tc>
        <w:tc>
          <w:tcPr>
            <w:tcW w:w="490" w:type="pct"/>
            <w:tcBorders>
              <w:top w:val="nil"/>
              <w:left w:val="nil"/>
              <w:bottom w:val="nil"/>
              <w:right w:val="nil"/>
            </w:tcBorders>
            <w:vAlign w:val="bottom"/>
          </w:tcPr>
          <w:p w14:paraId="79645F18" w14:textId="77777777" w:rsidR="004E2F51" w:rsidRPr="00D47D1C" w:rsidRDefault="004E2F51" w:rsidP="00E032FC">
            <w:pPr>
              <w:jc w:val="right"/>
              <w:rPr>
                <w:rFonts w:ascii="Arial" w:eastAsia="Calibri" w:hAnsi="Arial" w:cs="Arial"/>
                <w:bCs/>
                <w:color w:val="000000" w:themeColor="text1"/>
                <w:sz w:val="15"/>
                <w:szCs w:val="15"/>
                <w:lang w:val="hr-HR"/>
              </w:rPr>
            </w:pPr>
            <w:r w:rsidRPr="00D47D1C">
              <w:rPr>
                <w:rFonts w:ascii="Arial" w:eastAsia="Calibri" w:hAnsi="Arial" w:cs="Arial"/>
                <w:bCs/>
                <w:color w:val="000000" w:themeColor="text1"/>
                <w:sz w:val="15"/>
                <w:szCs w:val="15"/>
                <w:lang w:val="hr-HR"/>
              </w:rPr>
              <w:t>-</w:t>
            </w:r>
          </w:p>
        </w:tc>
      </w:tr>
      <w:tr w:rsidR="004E2F51" w:rsidRPr="00D47D1C" w14:paraId="7083A023" w14:textId="77777777" w:rsidTr="00E032FC">
        <w:trPr>
          <w:trHeight w:hRule="exact" w:val="281"/>
        </w:trPr>
        <w:tc>
          <w:tcPr>
            <w:tcW w:w="1157" w:type="pct"/>
            <w:vAlign w:val="center"/>
          </w:tcPr>
          <w:p w14:paraId="2FF2D2EA"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z w:val="15"/>
                <w:szCs w:val="15"/>
                <w:lang w:val="hr-HR"/>
              </w:rPr>
              <w:t>Obveze</w:t>
            </w:r>
          </w:p>
        </w:tc>
        <w:tc>
          <w:tcPr>
            <w:tcW w:w="475" w:type="pct"/>
            <w:tcBorders>
              <w:top w:val="single" w:sz="4" w:space="0" w:color="auto"/>
              <w:left w:val="nil"/>
              <w:bottom w:val="single" w:sz="8" w:space="0" w:color="auto"/>
              <w:right w:val="nil"/>
            </w:tcBorders>
            <w:vAlign w:val="bottom"/>
          </w:tcPr>
          <w:p w14:paraId="11923A52"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661.464</w:t>
            </w:r>
          </w:p>
        </w:tc>
        <w:tc>
          <w:tcPr>
            <w:tcW w:w="474" w:type="pct"/>
            <w:tcBorders>
              <w:top w:val="single" w:sz="4" w:space="0" w:color="auto"/>
              <w:left w:val="nil"/>
              <w:bottom w:val="single" w:sz="8" w:space="0" w:color="auto"/>
              <w:right w:val="nil"/>
            </w:tcBorders>
            <w:vAlign w:val="bottom"/>
          </w:tcPr>
          <w:p w14:paraId="31D41110"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310.552</w:t>
            </w:r>
          </w:p>
        </w:tc>
        <w:tc>
          <w:tcPr>
            <w:tcW w:w="474" w:type="pct"/>
            <w:tcBorders>
              <w:top w:val="single" w:sz="4" w:space="0" w:color="auto"/>
              <w:left w:val="nil"/>
              <w:bottom w:val="single" w:sz="8" w:space="0" w:color="auto"/>
              <w:right w:val="nil"/>
            </w:tcBorders>
            <w:vAlign w:val="bottom"/>
          </w:tcPr>
          <w:p w14:paraId="2F9F7246"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1.807.992</w:t>
            </w:r>
          </w:p>
        </w:tc>
        <w:tc>
          <w:tcPr>
            <w:tcW w:w="474" w:type="pct"/>
            <w:tcBorders>
              <w:top w:val="single" w:sz="4" w:space="0" w:color="auto"/>
              <w:left w:val="nil"/>
              <w:bottom w:val="single" w:sz="8" w:space="0" w:color="auto"/>
              <w:right w:val="nil"/>
            </w:tcBorders>
            <w:vAlign w:val="bottom"/>
          </w:tcPr>
          <w:p w14:paraId="12EFAAA5"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5.775.874</w:t>
            </w:r>
          </w:p>
        </w:tc>
        <w:tc>
          <w:tcPr>
            <w:tcW w:w="489" w:type="pct"/>
            <w:tcBorders>
              <w:top w:val="single" w:sz="4" w:space="0" w:color="auto"/>
              <w:left w:val="nil"/>
              <w:bottom w:val="single" w:sz="8" w:space="0" w:color="auto"/>
              <w:right w:val="nil"/>
            </w:tcBorders>
            <w:vAlign w:val="bottom"/>
          </w:tcPr>
          <w:p w14:paraId="0F722CCC"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7.941.861</w:t>
            </w:r>
          </w:p>
        </w:tc>
        <w:tc>
          <w:tcPr>
            <w:tcW w:w="474" w:type="pct"/>
            <w:tcBorders>
              <w:top w:val="single" w:sz="4" w:space="0" w:color="auto"/>
              <w:left w:val="nil"/>
              <w:bottom w:val="single" w:sz="8" w:space="0" w:color="auto"/>
              <w:right w:val="nil"/>
            </w:tcBorders>
            <w:vAlign w:val="bottom"/>
          </w:tcPr>
          <w:p w14:paraId="2A2D5212"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1.184.516</w:t>
            </w:r>
          </w:p>
        </w:tc>
        <w:tc>
          <w:tcPr>
            <w:tcW w:w="490" w:type="pct"/>
            <w:tcBorders>
              <w:top w:val="single" w:sz="4" w:space="0" w:color="auto"/>
              <w:left w:val="nil"/>
              <w:bottom w:val="single" w:sz="8" w:space="0" w:color="auto"/>
              <w:right w:val="nil"/>
            </w:tcBorders>
            <w:vAlign w:val="bottom"/>
          </w:tcPr>
          <w:p w14:paraId="27B24CB7"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17.682.259</w:t>
            </w:r>
          </w:p>
        </w:tc>
        <w:tc>
          <w:tcPr>
            <w:tcW w:w="490" w:type="pct"/>
            <w:tcBorders>
              <w:top w:val="single" w:sz="4" w:space="0" w:color="auto"/>
              <w:left w:val="nil"/>
              <w:bottom w:val="single" w:sz="8" w:space="0" w:color="auto"/>
              <w:right w:val="nil"/>
            </w:tcBorders>
            <w:vAlign w:val="bottom"/>
          </w:tcPr>
          <w:p w14:paraId="7E35C997"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16.486.467</w:t>
            </w:r>
          </w:p>
        </w:tc>
      </w:tr>
      <w:tr w:rsidR="004E2F51" w:rsidRPr="00D47D1C" w14:paraId="13155536" w14:textId="77777777" w:rsidTr="00E032FC">
        <w:trPr>
          <w:trHeight w:hRule="exact" w:val="353"/>
        </w:trPr>
        <w:tc>
          <w:tcPr>
            <w:tcW w:w="1157" w:type="pct"/>
            <w:vAlign w:val="center"/>
          </w:tcPr>
          <w:p w14:paraId="04A34957" w14:textId="77777777" w:rsidR="004E2F51" w:rsidRPr="00D47D1C" w:rsidRDefault="004E2F51" w:rsidP="00E032FC">
            <w:pPr>
              <w:tabs>
                <w:tab w:val="right" w:pos="1202"/>
              </w:tabs>
              <w:spacing w:line="240" w:lineRule="exact"/>
              <w:outlineLvl w:val="0"/>
              <w:rPr>
                <w:rFonts w:ascii="Arial" w:eastAsia="Calibri" w:hAnsi="Arial" w:cs="Arial"/>
                <w:b/>
                <w:bCs/>
                <w:color w:val="000000" w:themeColor="text1"/>
                <w:sz w:val="15"/>
                <w:szCs w:val="15"/>
                <w:lang w:val="hr-HR"/>
              </w:rPr>
            </w:pPr>
            <w:r w:rsidRPr="00D47D1C">
              <w:rPr>
                <w:rFonts w:ascii="Arial" w:eastAsia="Calibri" w:hAnsi="Arial" w:cs="Arial"/>
                <w:b/>
                <w:bCs/>
                <w:color w:val="000000" w:themeColor="text1"/>
                <w:spacing w:val="-2"/>
                <w:sz w:val="15"/>
                <w:szCs w:val="15"/>
                <w:lang w:val="hr-HR"/>
              </w:rPr>
              <w:t>Kamatni jaz</w:t>
            </w:r>
          </w:p>
        </w:tc>
        <w:tc>
          <w:tcPr>
            <w:tcW w:w="475" w:type="pct"/>
            <w:tcBorders>
              <w:top w:val="nil"/>
              <w:left w:val="nil"/>
              <w:bottom w:val="single" w:sz="12" w:space="0" w:color="auto"/>
              <w:right w:val="nil"/>
            </w:tcBorders>
            <w:vAlign w:val="bottom"/>
          </w:tcPr>
          <w:p w14:paraId="0741545E"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4.135.087</w:t>
            </w:r>
          </w:p>
        </w:tc>
        <w:tc>
          <w:tcPr>
            <w:tcW w:w="474" w:type="pct"/>
            <w:tcBorders>
              <w:top w:val="nil"/>
              <w:left w:val="nil"/>
              <w:bottom w:val="single" w:sz="12" w:space="0" w:color="auto"/>
              <w:right w:val="nil"/>
            </w:tcBorders>
            <w:vAlign w:val="bottom"/>
          </w:tcPr>
          <w:p w14:paraId="704E51BE"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633.483</w:t>
            </w:r>
          </w:p>
        </w:tc>
        <w:tc>
          <w:tcPr>
            <w:tcW w:w="474" w:type="pct"/>
            <w:tcBorders>
              <w:top w:val="nil"/>
              <w:left w:val="nil"/>
              <w:bottom w:val="single" w:sz="12" w:space="0" w:color="auto"/>
              <w:right w:val="nil"/>
            </w:tcBorders>
            <w:vAlign w:val="bottom"/>
          </w:tcPr>
          <w:p w14:paraId="07A2DDB0"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281.802</w:t>
            </w:r>
          </w:p>
        </w:tc>
        <w:tc>
          <w:tcPr>
            <w:tcW w:w="474" w:type="pct"/>
            <w:tcBorders>
              <w:top w:val="nil"/>
              <w:left w:val="nil"/>
              <w:bottom w:val="single" w:sz="12" w:space="0" w:color="auto"/>
              <w:right w:val="nil"/>
            </w:tcBorders>
            <w:vAlign w:val="bottom"/>
          </w:tcPr>
          <w:p w14:paraId="0E1F5F90"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(820.183)</w:t>
            </w:r>
          </w:p>
        </w:tc>
        <w:tc>
          <w:tcPr>
            <w:tcW w:w="489" w:type="pct"/>
            <w:tcBorders>
              <w:top w:val="nil"/>
              <w:left w:val="nil"/>
              <w:bottom w:val="single" w:sz="12" w:space="0" w:color="auto"/>
              <w:right w:val="nil"/>
            </w:tcBorders>
            <w:vAlign w:val="bottom"/>
          </w:tcPr>
          <w:p w14:paraId="64A1DABF"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5.040.686</w:t>
            </w:r>
          </w:p>
        </w:tc>
        <w:tc>
          <w:tcPr>
            <w:tcW w:w="474" w:type="pct"/>
            <w:tcBorders>
              <w:top w:val="nil"/>
              <w:left w:val="nil"/>
              <w:bottom w:val="single" w:sz="12" w:space="0" w:color="auto"/>
              <w:right w:val="nil"/>
            </w:tcBorders>
            <w:vAlign w:val="bottom"/>
          </w:tcPr>
          <w:p w14:paraId="3051BD82"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1.196.687</w:t>
            </w:r>
          </w:p>
        </w:tc>
        <w:tc>
          <w:tcPr>
            <w:tcW w:w="490" w:type="pct"/>
            <w:tcBorders>
              <w:top w:val="nil"/>
              <w:left w:val="nil"/>
              <w:bottom w:val="single" w:sz="12" w:space="0" w:color="auto"/>
              <w:right w:val="nil"/>
            </w:tcBorders>
            <w:vAlign w:val="bottom"/>
          </w:tcPr>
          <w:p w14:paraId="4AE00230"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10.467.562</w:t>
            </w:r>
          </w:p>
        </w:tc>
        <w:tc>
          <w:tcPr>
            <w:tcW w:w="490" w:type="pct"/>
            <w:tcBorders>
              <w:top w:val="nil"/>
              <w:left w:val="nil"/>
              <w:bottom w:val="single" w:sz="12" w:space="0" w:color="auto"/>
              <w:right w:val="nil"/>
            </w:tcBorders>
            <w:vAlign w:val="bottom"/>
          </w:tcPr>
          <w:p w14:paraId="0EC0BCBD" w14:textId="77777777" w:rsidR="004E2F51" w:rsidRPr="00D47D1C" w:rsidRDefault="004E2F51" w:rsidP="00E032FC">
            <w:pPr>
              <w:jc w:val="right"/>
              <w:rPr>
                <w:rFonts w:ascii="Arial" w:eastAsia="Calibri" w:hAnsi="Arial" w:cs="Arial"/>
                <w:b/>
                <w:color w:val="000000" w:themeColor="text1"/>
                <w:sz w:val="15"/>
                <w:szCs w:val="15"/>
                <w:lang w:val="hr-HR"/>
              </w:rPr>
            </w:pPr>
            <w:r w:rsidRPr="00D47D1C">
              <w:rPr>
                <w:rFonts w:ascii="Arial" w:eastAsia="Calibri" w:hAnsi="Arial" w:cs="Arial"/>
                <w:b/>
                <w:color w:val="000000" w:themeColor="text1"/>
                <w:sz w:val="15"/>
                <w:szCs w:val="15"/>
                <w:lang w:val="hr-HR"/>
              </w:rPr>
              <w:t>8.334.656</w:t>
            </w:r>
          </w:p>
        </w:tc>
      </w:tr>
    </w:tbl>
    <w:p w14:paraId="3472B516" w14:textId="77777777" w:rsidR="004E2F51" w:rsidRPr="00D47D1C" w:rsidRDefault="004E2F51" w:rsidP="004E2F51">
      <w:pPr>
        <w:tabs>
          <w:tab w:val="left" w:pos="-720"/>
        </w:tabs>
        <w:spacing w:line="360" w:lineRule="auto"/>
        <w:ind w:right="-5"/>
        <w:jc w:val="both"/>
        <w:rPr>
          <w:rFonts w:ascii="Arial" w:hAnsi="Arial" w:cs="Arial"/>
          <w:color w:val="000000" w:themeColor="text1"/>
          <w:sz w:val="20"/>
          <w:szCs w:val="20"/>
          <w:lang w:val="hr-HR"/>
        </w:rPr>
      </w:pPr>
    </w:p>
    <w:p w14:paraId="2F99D6DF" w14:textId="77777777" w:rsidR="004E2F51" w:rsidRPr="00D47D1C" w:rsidRDefault="004E2F51" w:rsidP="004E2F51">
      <w:pPr>
        <w:tabs>
          <w:tab w:val="left" w:pos="-720"/>
        </w:tabs>
        <w:spacing w:line="360" w:lineRule="auto"/>
        <w:ind w:right="-5"/>
        <w:jc w:val="both"/>
        <w:rPr>
          <w:rFonts w:ascii="Arial" w:hAnsi="Arial" w:cs="Arial"/>
          <w:color w:val="000000" w:themeColor="text1"/>
          <w:sz w:val="20"/>
          <w:szCs w:val="20"/>
          <w:lang w:val="hr-HR"/>
        </w:rPr>
        <w:sectPr w:rsidR="004E2F51" w:rsidRPr="00D47D1C" w:rsidSect="00623DBA">
          <w:footerReference w:type="default" r:id="rId212"/>
          <w:pgSz w:w="11907" w:h="16840" w:code="9"/>
          <w:pgMar w:top="1418" w:right="1134" w:bottom="1134" w:left="1418" w:header="851" w:footer="851" w:gutter="0"/>
          <w:cols w:space="720"/>
          <w:noEndnote/>
        </w:sectPr>
      </w:pPr>
    </w:p>
    <w:p w14:paraId="3BD50699" w14:textId="77777777" w:rsidR="004E2F51" w:rsidRPr="00D47D1C" w:rsidRDefault="004E2F51" w:rsidP="004E2F51">
      <w:pPr>
        <w:pStyle w:val="T1"/>
        <w:spacing w:before="0" w:after="0" w:line="240" w:lineRule="auto"/>
        <w:ind w:left="709" w:hanging="709"/>
        <w:rPr>
          <w:rFonts w:cs="Arial"/>
          <w:color w:val="000000" w:themeColor="text1"/>
          <w:sz w:val="20"/>
          <w:lang w:val="hr-HR"/>
        </w:rPr>
      </w:pPr>
    </w:p>
    <w:p w14:paraId="766AF066" w14:textId="77777777" w:rsidR="004E2F51" w:rsidRPr="00D47D1C" w:rsidRDefault="004E2F51" w:rsidP="004E2F51">
      <w:pPr>
        <w:pStyle w:val="T1"/>
        <w:spacing w:before="0" w:after="0" w:line="240" w:lineRule="auto"/>
        <w:rPr>
          <w:rFonts w:cs="Arial"/>
          <w:color w:val="000000" w:themeColor="text1"/>
          <w:sz w:val="20"/>
          <w:lang w:val="hr-HR"/>
        </w:rPr>
      </w:pPr>
      <w:r w:rsidRPr="00D47D1C">
        <w:rPr>
          <w:rFonts w:cs="Arial"/>
          <w:color w:val="000000" w:themeColor="text1"/>
          <w:sz w:val="20"/>
          <w:lang w:val="hr-HR"/>
        </w:rPr>
        <w:t>3</w:t>
      </w:r>
      <w:r>
        <w:rPr>
          <w:rFonts w:cs="Arial"/>
          <w:color w:val="000000" w:themeColor="text1"/>
          <w:sz w:val="20"/>
          <w:lang w:val="hr-HR"/>
        </w:rPr>
        <w:t>1</w:t>
      </w:r>
      <w:r w:rsidRPr="00D47D1C">
        <w:rPr>
          <w:rFonts w:cs="Arial"/>
          <w:color w:val="000000" w:themeColor="text1"/>
          <w:sz w:val="20"/>
          <w:lang w:val="hr-HR"/>
        </w:rPr>
        <w:t>. Upravljanje rizicima (nastavak)</w:t>
      </w:r>
    </w:p>
    <w:p w14:paraId="7F956A91" w14:textId="77777777" w:rsidR="004E2F51" w:rsidRPr="00D47D1C" w:rsidRDefault="004E2F51" w:rsidP="004E2F51">
      <w:pPr>
        <w:pStyle w:val="T1"/>
        <w:spacing w:before="0" w:after="0" w:line="240" w:lineRule="auto"/>
        <w:rPr>
          <w:rFonts w:cs="Arial"/>
          <w:color w:val="000000" w:themeColor="text1"/>
          <w:sz w:val="20"/>
          <w:lang w:val="hr-HR"/>
        </w:rPr>
      </w:pPr>
    </w:p>
    <w:p w14:paraId="22264413" w14:textId="77777777" w:rsidR="004E2F51" w:rsidRPr="00D47D1C" w:rsidRDefault="004E2F51" w:rsidP="004E2F51">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Pr>
          <w:rFonts w:cs="Arial"/>
          <w:color w:val="000000" w:themeColor="text1"/>
          <w:sz w:val="20"/>
          <w:lang w:val="hr-HR"/>
        </w:rPr>
        <w:t>1</w:t>
      </w:r>
      <w:r w:rsidRPr="00D47D1C">
        <w:rPr>
          <w:rFonts w:cs="Arial"/>
          <w:color w:val="000000" w:themeColor="text1"/>
          <w:sz w:val="20"/>
          <w:lang w:val="hr-HR"/>
        </w:rPr>
        <w:t>.5.     Tržišni rizik (nastavak)</w:t>
      </w:r>
    </w:p>
    <w:p w14:paraId="310E4912" w14:textId="77777777" w:rsidR="004E2F51" w:rsidRPr="00D47D1C" w:rsidRDefault="004E2F51" w:rsidP="004E2F51">
      <w:pPr>
        <w:pStyle w:val="T1"/>
        <w:spacing w:before="0" w:after="0" w:line="240" w:lineRule="auto"/>
        <w:ind w:left="709" w:hanging="709"/>
        <w:rPr>
          <w:rFonts w:cs="Arial"/>
          <w:color w:val="000000" w:themeColor="text1"/>
          <w:sz w:val="20"/>
          <w:lang w:val="hr-HR"/>
        </w:rPr>
      </w:pPr>
    </w:p>
    <w:p w14:paraId="0C160BE9" w14:textId="77777777" w:rsidR="004E2F51" w:rsidRPr="00D47D1C" w:rsidRDefault="004E2F51" w:rsidP="004E2F51">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Pr>
          <w:rFonts w:cs="Arial"/>
          <w:color w:val="000000" w:themeColor="text1"/>
          <w:sz w:val="20"/>
          <w:lang w:val="hr-HR"/>
        </w:rPr>
        <w:t>1</w:t>
      </w:r>
      <w:r w:rsidRPr="00D47D1C">
        <w:rPr>
          <w:rFonts w:cs="Arial"/>
          <w:color w:val="000000" w:themeColor="text1"/>
          <w:sz w:val="20"/>
          <w:lang w:val="hr-HR"/>
        </w:rPr>
        <w:t>.5.1.  Kamatni rizik (nastavak)</w:t>
      </w:r>
    </w:p>
    <w:p w14:paraId="44D3B15A" w14:textId="77777777" w:rsidR="004E2F51" w:rsidRPr="00D47D1C" w:rsidRDefault="004E2F51" w:rsidP="004E2F51">
      <w:pPr>
        <w:tabs>
          <w:tab w:val="left" w:pos="-720"/>
        </w:tabs>
        <w:ind w:right="-6"/>
        <w:jc w:val="both"/>
        <w:rPr>
          <w:rFonts w:ascii="Arial" w:hAnsi="Arial" w:cs="Arial"/>
          <w:color w:val="000000" w:themeColor="text1"/>
          <w:sz w:val="20"/>
          <w:szCs w:val="20"/>
          <w:lang w:val="hr-HR"/>
        </w:rPr>
      </w:pPr>
    </w:p>
    <w:p w14:paraId="08479D05" w14:textId="77777777" w:rsidR="004E2F51" w:rsidRPr="00D47D1C" w:rsidRDefault="004E2F51" w:rsidP="004E2F51">
      <w:pPr>
        <w:tabs>
          <w:tab w:val="left" w:pos="-720"/>
        </w:tabs>
        <w:ind w:right="-6"/>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Iznos ukupne imovine i ukupnih obveza prema mogućnosti promjene kamatnih stopa (fiksna i varijabilna):</w:t>
      </w:r>
    </w:p>
    <w:p w14:paraId="3E5F7BB1" w14:textId="77777777" w:rsidR="004E2F51" w:rsidRPr="00D47D1C" w:rsidRDefault="004E2F51" w:rsidP="004E2F51">
      <w:pPr>
        <w:tabs>
          <w:tab w:val="left" w:pos="-720"/>
        </w:tabs>
        <w:spacing w:line="300" w:lineRule="exact"/>
        <w:ind w:right="-6"/>
        <w:jc w:val="both"/>
        <w:rPr>
          <w:rFonts w:ascii="Arial" w:hAnsi="Arial" w:cs="Arial"/>
          <w:color w:val="000000" w:themeColor="text1"/>
          <w:sz w:val="20"/>
          <w:szCs w:val="20"/>
          <w:lang w:val="hr-HR"/>
        </w:rPr>
      </w:pPr>
    </w:p>
    <w:tbl>
      <w:tblPr>
        <w:tblW w:w="5000" w:type="pct"/>
        <w:tblInd w:w="-142" w:type="dxa"/>
        <w:tblLayout w:type="fixed"/>
        <w:tblCellMar>
          <w:left w:w="120" w:type="dxa"/>
          <w:right w:w="120" w:type="dxa"/>
        </w:tblCellMar>
        <w:tblLook w:val="0000" w:firstRow="0" w:lastRow="0" w:firstColumn="0" w:lastColumn="0" w:noHBand="0" w:noVBand="0"/>
      </w:tblPr>
      <w:tblGrid>
        <w:gridCol w:w="3451"/>
        <w:gridCol w:w="1476"/>
        <w:gridCol w:w="1476"/>
        <w:gridCol w:w="1476"/>
        <w:gridCol w:w="1476"/>
      </w:tblGrid>
      <w:tr w:rsidR="004E2F51" w:rsidRPr="00D47D1C" w14:paraId="792719D8" w14:textId="77777777" w:rsidTr="00E032FC">
        <w:trPr>
          <w:trHeight w:val="239"/>
        </w:trPr>
        <w:tc>
          <w:tcPr>
            <w:tcW w:w="1844" w:type="pct"/>
            <w:shd w:val="clear" w:color="auto" w:fill="auto"/>
            <w:vAlign w:val="bottom"/>
          </w:tcPr>
          <w:p w14:paraId="70191BF3" w14:textId="77777777" w:rsidR="004E2F51" w:rsidRPr="00D47D1C" w:rsidRDefault="004E2F51" w:rsidP="00E032FC">
            <w:pPr>
              <w:tabs>
                <w:tab w:val="left" w:pos="-720"/>
              </w:tabs>
              <w:spacing w:line="360" w:lineRule="auto"/>
              <w:ind w:right="-5"/>
              <w:jc w:val="both"/>
              <w:rPr>
                <w:rFonts w:ascii="Arial" w:hAnsi="Arial" w:cs="Arial"/>
                <w:b/>
                <w:color w:val="000000" w:themeColor="text1"/>
                <w:sz w:val="18"/>
                <w:szCs w:val="18"/>
                <w:lang w:val="hr-HR"/>
              </w:rPr>
            </w:pPr>
          </w:p>
        </w:tc>
        <w:tc>
          <w:tcPr>
            <w:tcW w:w="1578" w:type="pct"/>
            <w:gridSpan w:val="2"/>
            <w:shd w:val="clear" w:color="auto" w:fill="auto"/>
            <w:vAlign w:val="bottom"/>
          </w:tcPr>
          <w:p w14:paraId="0E5233A3" w14:textId="77777777" w:rsidR="004E2F51" w:rsidRPr="00D47D1C" w:rsidRDefault="004E2F51" w:rsidP="00E032FC">
            <w:pPr>
              <w:pStyle w:val="TH"/>
              <w:jc w:val="right"/>
              <w:rPr>
                <w:rFonts w:cs="Arial"/>
                <w:color w:val="000000" w:themeColor="text1"/>
                <w:sz w:val="18"/>
                <w:szCs w:val="18"/>
                <w:lang w:val="hr-HR"/>
              </w:rPr>
            </w:pPr>
            <w:bookmarkStart w:id="1844" w:name="_Toc67330674"/>
            <w:r w:rsidRPr="00D47D1C">
              <w:rPr>
                <w:rFonts w:cs="Arial"/>
                <w:color w:val="000000" w:themeColor="text1"/>
                <w:sz w:val="18"/>
                <w:szCs w:val="18"/>
                <w:lang w:val="hr-HR"/>
              </w:rPr>
              <w:t>Grupa</w:t>
            </w:r>
            <w:bookmarkEnd w:id="1844"/>
          </w:p>
        </w:tc>
        <w:tc>
          <w:tcPr>
            <w:tcW w:w="1578" w:type="pct"/>
            <w:gridSpan w:val="2"/>
            <w:shd w:val="clear" w:color="auto" w:fill="auto"/>
            <w:vAlign w:val="bottom"/>
          </w:tcPr>
          <w:p w14:paraId="0293BF86" w14:textId="77777777" w:rsidR="004E2F51" w:rsidRPr="00D47D1C" w:rsidRDefault="004E2F51" w:rsidP="00E032FC">
            <w:pPr>
              <w:pStyle w:val="TH"/>
              <w:jc w:val="right"/>
              <w:rPr>
                <w:rFonts w:cs="Arial"/>
                <w:color w:val="000000" w:themeColor="text1"/>
                <w:sz w:val="18"/>
                <w:szCs w:val="18"/>
                <w:lang w:val="hr-HR"/>
              </w:rPr>
            </w:pPr>
            <w:bookmarkStart w:id="1845" w:name="_Toc67330675"/>
            <w:r w:rsidRPr="00D47D1C">
              <w:rPr>
                <w:rFonts w:cs="Arial"/>
                <w:color w:val="000000" w:themeColor="text1"/>
                <w:sz w:val="18"/>
                <w:szCs w:val="18"/>
                <w:lang w:val="hr-HR"/>
              </w:rPr>
              <w:t>Banka</w:t>
            </w:r>
            <w:bookmarkEnd w:id="1845"/>
          </w:p>
        </w:tc>
      </w:tr>
      <w:tr w:rsidR="004E2F51" w:rsidRPr="00D47D1C" w14:paraId="05F3F1F6" w14:textId="77777777" w:rsidTr="00E032FC">
        <w:trPr>
          <w:trHeight w:val="211"/>
        </w:trPr>
        <w:tc>
          <w:tcPr>
            <w:tcW w:w="1844" w:type="pct"/>
            <w:shd w:val="clear" w:color="auto" w:fill="auto"/>
            <w:vAlign w:val="bottom"/>
          </w:tcPr>
          <w:p w14:paraId="6C176D14" w14:textId="77777777" w:rsidR="004E2F51" w:rsidRPr="00D47D1C" w:rsidRDefault="004E2F51" w:rsidP="00E032FC">
            <w:pPr>
              <w:tabs>
                <w:tab w:val="left" w:pos="-720"/>
              </w:tabs>
              <w:spacing w:line="360" w:lineRule="auto"/>
              <w:ind w:right="-5"/>
              <w:jc w:val="both"/>
              <w:rPr>
                <w:rFonts w:ascii="Arial" w:hAnsi="Arial" w:cs="Arial"/>
                <w:b/>
                <w:color w:val="000000" w:themeColor="text1"/>
                <w:sz w:val="18"/>
                <w:szCs w:val="18"/>
                <w:lang w:val="hr-HR"/>
              </w:rPr>
            </w:pPr>
          </w:p>
        </w:tc>
        <w:tc>
          <w:tcPr>
            <w:tcW w:w="789" w:type="pct"/>
            <w:shd w:val="clear" w:color="auto" w:fill="auto"/>
            <w:vAlign w:val="bottom"/>
          </w:tcPr>
          <w:p w14:paraId="59C0818A" w14:textId="77777777" w:rsidR="004E2F51" w:rsidRPr="00D47D1C" w:rsidRDefault="004E2F51" w:rsidP="00E032FC">
            <w:pPr>
              <w:pStyle w:val="TH"/>
              <w:jc w:val="right"/>
              <w:rPr>
                <w:rFonts w:cs="Arial"/>
                <w:color w:val="000000" w:themeColor="text1"/>
                <w:sz w:val="18"/>
                <w:szCs w:val="18"/>
                <w:lang w:val="hr-HR"/>
              </w:rPr>
            </w:pPr>
            <w:bookmarkStart w:id="1846" w:name="_Toc67330676"/>
            <w:r w:rsidRPr="00D47D1C">
              <w:rPr>
                <w:rFonts w:cs="Arial"/>
                <w:color w:val="000000" w:themeColor="text1"/>
                <w:sz w:val="18"/>
                <w:szCs w:val="18"/>
                <w:lang w:val="hr-HR"/>
              </w:rPr>
              <w:t>31. prosinca 202</w:t>
            </w:r>
            <w:r>
              <w:rPr>
                <w:rFonts w:cs="Arial"/>
                <w:color w:val="000000" w:themeColor="text1"/>
                <w:sz w:val="18"/>
                <w:szCs w:val="18"/>
                <w:lang w:val="hr-HR"/>
              </w:rPr>
              <w:t>2</w:t>
            </w:r>
            <w:r w:rsidRPr="00D47D1C">
              <w:rPr>
                <w:rFonts w:cs="Arial"/>
                <w:color w:val="000000" w:themeColor="text1"/>
                <w:sz w:val="18"/>
                <w:szCs w:val="18"/>
                <w:lang w:val="hr-HR"/>
              </w:rPr>
              <w:t>.</w:t>
            </w:r>
            <w:bookmarkEnd w:id="1846"/>
          </w:p>
        </w:tc>
        <w:tc>
          <w:tcPr>
            <w:tcW w:w="789" w:type="pct"/>
            <w:shd w:val="clear" w:color="auto" w:fill="auto"/>
            <w:vAlign w:val="bottom"/>
          </w:tcPr>
          <w:p w14:paraId="49366CEA" w14:textId="77777777" w:rsidR="004E2F51" w:rsidRPr="00D47D1C" w:rsidRDefault="004E2F51" w:rsidP="00E032FC">
            <w:pPr>
              <w:pStyle w:val="TH"/>
              <w:jc w:val="right"/>
              <w:rPr>
                <w:rFonts w:cs="Arial"/>
                <w:color w:val="000000" w:themeColor="text1"/>
                <w:sz w:val="18"/>
                <w:szCs w:val="18"/>
                <w:lang w:val="hr-HR"/>
              </w:rPr>
            </w:pPr>
            <w:bookmarkStart w:id="1847" w:name="_Toc67330677"/>
            <w:r w:rsidRPr="00D47D1C">
              <w:rPr>
                <w:rFonts w:cs="Arial"/>
                <w:color w:val="000000" w:themeColor="text1"/>
                <w:sz w:val="18"/>
                <w:szCs w:val="18"/>
                <w:lang w:val="hr-HR"/>
              </w:rPr>
              <w:t>31. prosinca 202</w:t>
            </w:r>
            <w:r>
              <w:rPr>
                <w:rFonts w:cs="Arial"/>
                <w:color w:val="000000" w:themeColor="text1"/>
                <w:sz w:val="18"/>
                <w:szCs w:val="18"/>
                <w:lang w:val="hr-HR"/>
              </w:rPr>
              <w:t>1</w:t>
            </w:r>
            <w:r w:rsidRPr="00D47D1C">
              <w:rPr>
                <w:rFonts w:cs="Arial"/>
                <w:color w:val="000000" w:themeColor="text1"/>
                <w:sz w:val="18"/>
                <w:szCs w:val="18"/>
                <w:lang w:val="hr-HR"/>
              </w:rPr>
              <w:t>.</w:t>
            </w:r>
            <w:bookmarkEnd w:id="1847"/>
          </w:p>
        </w:tc>
        <w:tc>
          <w:tcPr>
            <w:tcW w:w="789" w:type="pct"/>
            <w:shd w:val="clear" w:color="auto" w:fill="auto"/>
            <w:vAlign w:val="bottom"/>
          </w:tcPr>
          <w:p w14:paraId="47FD286C" w14:textId="77777777" w:rsidR="004E2F51" w:rsidRPr="00D47D1C" w:rsidRDefault="004E2F51" w:rsidP="00E032FC">
            <w:pPr>
              <w:pStyle w:val="TH"/>
              <w:jc w:val="right"/>
              <w:rPr>
                <w:rFonts w:cs="Arial"/>
                <w:color w:val="000000" w:themeColor="text1"/>
                <w:sz w:val="18"/>
                <w:szCs w:val="18"/>
                <w:lang w:val="hr-HR"/>
              </w:rPr>
            </w:pPr>
            <w:bookmarkStart w:id="1848" w:name="_Toc67330678"/>
            <w:r w:rsidRPr="00D47D1C">
              <w:rPr>
                <w:rFonts w:cs="Arial"/>
                <w:color w:val="000000" w:themeColor="text1"/>
                <w:sz w:val="18"/>
                <w:szCs w:val="18"/>
                <w:lang w:val="hr-HR"/>
              </w:rPr>
              <w:t>31. prosinca 202</w:t>
            </w:r>
            <w:r>
              <w:rPr>
                <w:rFonts w:cs="Arial"/>
                <w:color w:val="000000" w:themeColor="text1"/>
                <w:sz w:val="18"/>
                <w:szCs w:val="18"/>
                <w:lang w:val="hr-HR"/>
              </w:rPr>
              <w:t>2</w:t>
            </w:r>
            <w:r w:rsidRPr="00D47D1C">
              <w:rPr>
                <w:rFonts w:cs="Arial"/>
                <w:color w:val="000000" w:themeColor="text1"/>
                <w:sz w:val="18"/>
                <w:szCs w:val="18"/>
                <w:lang w:val="hr-HR"/>
              </w:rPr>
              <w:t>.</w:t>
            </w:r>
            <w:bookmarkEnd w:id="1848"/>
          </w:p>
        </w:tc>
        <w:tc>
          <w:tcPr>
            <w:tcW w:w="789" w:type="pct"/>
            <w:shd w:val="clear" w:color="auto" w:fill="auto"/>
            <w:vAlign w:val="bottom"/>
          </w:tcPr>
          <w:p w14:paraId="560481C9" w14:textId="77777777" w:rsidR="004E2F51" w:rsidRPr="00D47D1C" w:rsidRDefault="004E2F51" w:rsidP="00E032FC">
            <w:pPr>
              <w:pStyle w:val="TH"/>
              <w:jc w:val="right"/>
              <w:rPr>
                <w:rFonts w:cs="Arial"/>
                <w:color w:val="000000" w:themeColor="text1"/>
                <w:sz w:val="18"/>
                <w:szCs w:val="18"/>
                <w:lang w:val="hr-HR"/>
              </w:rPr>
            </w:pPr>
            <w:bookmarkStart w:id="1849" w:name="_Toc67330679"/>
            <w:r w:rsidRPr="00D47D1C">
              <w:rPr>
                <w:rFonts w:cs="Arial"/>
                <w:color w:val="000000" w:themeColor="text1"/>
                <w:sz w:val="18"/>
                <w:szCs w:val="18"/>
                <w:lang w:val="hr-HR"/>
              </w:rPr>
              <w:t>31. prosinca 202</w:t>
            </w:r>
            <w:r>
              <w:rPr>
                <w:rFonts w:cs="Arial"/>
                <w:color w:val="000000" w:themeColor="text1"/>
                <w:sz w:val="18"/>
                <w:szCs w:val="18"/>
                <w:lang w:val="hr-HR"/>
              </w:rPr>
              <w:t>1</w:t>
            </w:r>
            <w:r w:rsidRPr="00D47D1C">
              <w:rPr>
                <w:rFonts w:cs="Arial"/>
                <w:color w:val="000000" w:themeColor="text1"/>
                <w:sz w:val="18"/>
                <w:szCs w:val="18"/>
                <w:lang w:val="hr-HR"/>
              </w:rPr>
              <w:t>.</w:t>
            </w:r>
            <w:bookmarkEnd w:id="1849"/>
          </w:p>
        </w:tc>
      </w:tr>
      <w:tr w:rsidR="004E2F51" w:rsidRPr="00D47D1C" w14:paraId="035D8E8C" w14:textId="77777777" w:rsidTr="00E032FC">
        <w:trPr>
          <w:trHeight w:val="249"/>
        </w:trPr>
        <w:tc>
          <w:tcPr>
            <w:tcW w:w="1844" w:type="pct"/>
            <w:shd w:val="clear" w:color="auto" w:fill="auto"/>
            <w:vAlign w:val="bottom"/>
          </w:tcPr>
          <w:p w14:paraId="7A961A18" w14:textId="77777777" w:rsidR="004E2F51" w:rsidRPr="00D47D1C" w:rsidRDefault="004E2F51" w:rsidP="00E032FC">
            <w:pPr>
              <w:tabs>
                <w:tab w:val="left" w:pos="-720"/>
              </w:tabs>
              <w:spacing w:line="360" w:lineRule="auto"/>
              <w:ind w:right="-5"/>
              <w:jc w:val="both"/>
              <w:rPr>
                <w:rFonts w:ascii="Arial" w:hAnsi="Arial" w:cs="Arial"/>
                <w:color w:val="000000" w:themeColor="text1"/>
                <w:sz w:val="18"/>
                <w:szCs w:val="18"/>
                <w:lang w:val="hr-HR"/>
              </w:rPr>
            </w:pPr>
          </w:p>
        </w:tc>
        <w:tc>
          <w:tcPr>
            <w:tcW w:w="789" w:type="pct"/>
            <w:shd w:val="clear" w:color="auto" w:fill="auto"/>
            <w:vAlign w:val="bottom"/>
          </w:tcPr>
          <w:p w14:paraId="6B73FF9B" w14:textId="77777777" w:rsidR="004E2F51" w:rsidRPr="00D47D1C" w:rsidRDefault="004E2F51" w:rsidP="00E032FC">
            <w:pPr>
              <w:pStyle w:val="TH"/>
              <w:jc w:val="right"/>
              <w:rPr>
                <w:rFonts w:cs="Arial"/>
                <w:color w:val="000000" w:themeColor="text1"/>
                <w:sz w:val="18"/>
                <w:szCs w:val="18"/>
                <w:lang w:val="hr-HR"/>
              </w:rPr>
            </w:pPr>
            <w:bookmarkStart w:id="1850" w:name="_Toc67330680"/>
            <w:r w:rsidRPr="00D47D1C">
              <w:rPr>
                <w:rFonts w:cs="Arial"/>
                <w:color w:val="000000" w:themeColor="text1"/>
                <w:sz w:val="18"/>
                <w:szCs w:val="18"/>
                <w:lang w:val="hr-HR"/>
              </w:rPr>
              <w:t>000 kuna</w:t>
            </w:r>
            <w:bookmarkEnd w:id="1850"/>
          </w:p>
        </w:tc>
        <w:tc>
          <w:tcPr>
            <w:tcW w:w="789" w:type="pct"/>
            <w:shd w:val="clear" w:color="auto" w:fill="auto"/>
            <w:vAlign w:val="bottom"/>
          </w:tcPr>
          <w:p w14:paraId="5C21C4EF" w14:textId="77777777" w:rsidR="004E2F51" w:rsidRPr="00D47D1C" w:rsidRDefault="004E2F51" w:rsidP="00E032FC">
            <w:pPr>
              <w:pStyle w:val="TH"/>
              <w:jc w:val="right"/>
              <w:rPr>
                <w:rFonts w:cs="Arial"/>
                <w:color w:val="000000" w:themeColor="text1"/>
                <w:sz w:val="18"/>
                <w:szCs w:val="18"/>
                <w:lang w:val="hr-HR"/>
              </w:rPr>
            </w:pPr>
            <w:bookmarkStart w:id="1851" w:name="_Toc67330681"/>
            <w:r w:rsidRPr="00D47D1C">
              <w:rPr>
                <w:rFonts w:cs="Arial"/>
                <w:color w:val="000000" w:themeColor="text1"/>
                <w:sz w:val="18"/>
                <w:szCs w:val="18"/>
                <w:lang w:val="hr-HR"/>
              </w:rPr>
              <w:t>000 kuna</w:t>
            </w:r>
            <w:bookmarkEnd w:id="1851"/>
          </w:p>
        </w:tc>
        <w:tc>
          <w:tcPr>
            <w:tcW w:w="789" w:type="pct"/>
            <w:shd w:val="clear" w:color="auto" w:fill="auto"/>
            <w:vAlign w:val="bottom"/>
          </w:tcPr>
          <w:p w14:paraId="168CE6C2" w14:textId="77777777" w:rsidR="004E2F51" w:rsidRPr="00D47D1C" w:rsidRDefault="004E2F51" w:rsidP="00E032FC">
            <w:pPr>
              <w:pStyle w:val="TH"/>
              <w:jc w:val="right"/>
              <w:rPr>
                <w:rFonts w:cs="Arial"/>
                <w:color w:val="000000" w:themeColor="text1"/>
                <w:sz w:val="18"/>
                <w:szCs w:val="18"/>
                <w:lang w:val="hr-HR"/>
              </w:rPr>
            </w:pPr>
            <w:bookmarkStart w:id="1852" w:name="_Toc67330682"/>
            <w:r w:rsidRPr="00D47D1C">
              <w:rPr>
                <w:rFonts w:cs="Arial"/>
                <w:color w:val="000000" w:themeColor="text1"/>
                <w:sz w:val="18"/>
                <w:szCs w:val="18"/>
                <w:lang w:val="hr-HR"/>
              </w:rPr>
              <w:t>000 kuna</w:t>
            </w:r>
            <w:bookmarkEnd w:id="1852"/>
          </w:p>
        </w:tc>
        <w:tc>
          <w:tcPr>
            <w:tcW w:w="789" w:type="pct"/>
            <w:shd w:val="clear" w:color="auto" w:fill="auto"/>
            <w:vAlign w:val="bottom"/>
          </w:tcPr>
          <w:p w14:paraId="367D6377" w14:textId="77777777" w:rsidR="004E2F51" w:rsidRPr="00D47D1C" w:rsidRDefault="004E2F51" w:rsidP="00E032FC">
            <w:pPr>
              <w:pStyle w:val="TH"/>
              <w:jc w:val="right"/>
              <w:rPr>
                <w:rFonts w:cs="Arial"/>
                <w:color w:val="000000" w:themeColor="text1"/>
                <w:sz w:val="18"/>
                <w:szCs w:val="18"/>
                <w:lang w:val="hr-HR"/>
              </w:rPr>
            </w:pPr>
            <w:bookmarkStart w:id="1853" w:name="_Toc67330683"/>
            <w:r w:rsidRPr="00D47D1C">
              <w:rPr>
                <w:rFonts w:cs="Arial"/>
                <w:color w:val="000000" w:themeColor="text1"/>
                <w:sz w:val="18"/>
                <w:szCs w:val="18"/>
                <w:lang w:val="hr-HR"/>
              </w:rPr>
              <w:t>000 kuna</w:t>
            </w:r>
            <w:bookmarkEnd w:id="1853"/>
          </w:p>
        </w:tc>
      </w:tr>
      <w:tr w:rsidR="004E2F51" w:rsidRPr="00D47D1C" w14:paraId="3ECD2F81" w14:textId="77777777" w:rsidTr="00E032FC">
        <w:trPr>
          <w:trHeight w:hRule="exact" w:val="284"/>
        </w:trPr>
        <w:tc>
          <w:tcPr>
            <w:tcW w:w="1844" w:type="pct"/>
            <w:shd w:val="clear" w:color="auto" w:fill="auto"/>
            <w:vAlign w:val="bottom"/>
          </w:tcPr>
          <w:p w14:paraId="37323AD2" w14:textId="77777777" w:rsidR="004E2F51" w:rsidRPr="00D47D1C" w:rsidRDefault="004E2F51" w:rsidP="00E032FC">
            <w:pPr>
              <w:tabs>
                <w:tab w:val="left" w:pos="-720"/>
              </w:tabs>
              <w:ind w:right="-5"/>
              <w:rPr>
                <w:rFonts w:ascii="Arial" w:hAnsi="Arial" w:cs="Arial"/>
                <w:b/>
                <w:color w:val="000000" w:themeColor="text1"/>
                <w:sz w:val="18"/>
                <w:szCs w:val="18"/>
                <w:lang w:val="hr-HR"/>
              </w:rPr>
            </w:pPr>
            <w:r w:rsidRPr="00D47D1C">
              <w:rPr>
                <w:rFonts w:ascii="Arial" w:hAnsi="Arial" w:cs="Arial"/>
                <w:b/>
                <w:color w:val="000000" w:themeColor="text1"/>
                <w:sz w:val="18"/>
                <w:szCs w:val="18"/>
                <w:lang w:val="hr-HR"/>
              </w:rPr>
              <w:t>Imovina</w:t>
            </w:r>
          </w:p>
        </w:tc>
        <w:tc>
          <w:tcPr>
            <w:tcW w:w="789" w:type="pct"/>
            <w:shd w:val="clear" w:color="auto" w:fill="auto"/>
            <w:vAlign w:val="bottom"/>
          </w:tcPr>
          <w:p w14:paraId="1D075957"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p>
        </w:tc>
        <w:tc>
          <w:tcPr>
            <w:tcW w:w="789" w:type="pct"/>
            <w:shd w:val="clear" w:color="auto" w:fill="auto"/>
            <w:vAlign w:val="bottom"/>
          </w:tcPr>
          <w:p w14:paraId="3DFB2A49"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p>
        </w:tc>
        <w:tc>
          <w:tcPr>
            <w:tcW w:w="789" w:type="pct"/>
            <w:shd w:val="clear" w:color="auto" w:fill="auto"/>
            <w:vAlign w:val="bottom"/>
          </w:tcPr>
          <w:p w14:paraId="6791F787"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p>
        </w:tc>
        <w:tc>
          <w:tcPr>
            <w:tcW w:w="789" w:type="pct"/>
            <w:shd w:val="clear" w:color="auto" w:fill="auto"/>
            <w:vAlign w:val="bottom"/>
          </w:tcPr>
          <w:p w14:paraId="65D1DB0B"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p>
        </w:tc>
      </w:tr>
      <w:tr w:rsidR="004E2F51" w:rsidRPr="00D47D1C" w14:paraId="466C9E7D" w14:textId="77777777" w:rsidTr="00E032FC">
        <w:trPr>
          <w:trHeight w:hRule="exact" w:val="345"/>
        </w:trPr>
        <w:tc>
          <w:tcPr>
            <w:tcW w:w="1844" w:type="pct"/>
            <w:shd w:val="clear" w:color="auto" w:fill="auto"/>
            <w:vAlign w:val="bottom"/>
          </w:tcPr>
          <w:p w14:paraId="60A44107" w14:textId="77777777" w:rsidR="004E2F51" w:rsidRPr="00D47D1C" w:rsidRDefault="004E2F51" w:rsidP="00E032FC">
            <w:pPr>
              <w:tabs>
                <w:tab w:val="left" w:pos="-720"/>
              </w:tabs>
              <w:ind w:right="-5"/>
              <w:rPr>
                <w:rFonts w:ascii="Arial" w:hAnsi="Arial" w:cs="Arial"/>
                <w:b/>
                <w:color w:val="000000" w:themeColor="text1"/>
                <w:sz w:val="18"/>
                <w:szCs w:val="18"/>
                <w:lang w:val="hr-HR"/>
              </w:rPr>
            </w:pPr>
          </w:p>
        </w:tc>
        <w:tc>
          <w:tcPr>
            <w:tcW w:w="789" w:type="pct"/>
            <w:shd w:val="clear" w:color="auto" w:fill="auto"/>
            <w:vAlign w:val="bottom"/>
          </w:tcPr>
          <w:p w14:paraId="185F893B"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p>
        </w:tc>
        <w:tc>
          <w:tcPr>
            <w:tcW w:w="789" w:type="pct"/>
            <w:shd w:val="clear" w:color="auto" w:fill="auto"/>
            <w:vAlign w:val="bottom"/>
          </w:tcPr>
          <w:p w14:paraId="24204E30"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p>
        </w:tc>
        <w:tc>
          <w:tcPr>
            <w:tcW w:w="789" w:type="pct"/>
            <w:shd w:val="clear" w:color="auto" w:fill="auto"/>
            <w:vAlign w:val="bottom"/>
          </w:tcPr>
          <w:p w14:paraId="0664524B"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p>
        </w:tc>
        <w:tc>
          <w:tcPr>
            <w:tcW w:w="789" w:type="pct"/>
            <w:shd w:val="clear" w:color="auto" w:fill="auto"/>
            <w:vAlign w:val="bottom"/>
          </w:tcPr>
          <w:p w14:paraId="51B5CC54"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p>
        </w:tc>
      </w:tr>
      <w:tr w:rsidR="004E2F51" w:rsidRPr="00D47D1C" w14:paraId="0ACDCAD0" w14:textId="77777777" w:rsidTr="00E032FC">
        <w:trPr>
          <w:trHeight w:hRule="exact" w:val="284"/>
        </w:trPr>
        <w:tc>
          <w:tcPr>
            <w:tcW w:w="1844" w:type="pct"/>
            <w:shd w:val="clear" w:color="auto" w:fill="auto"/>
            <w:vAlign w:val="bottom"/>
          </w:tcPr>
          <w:p w14:paraId="5008F16F" w14:textId="77777777" w:rsidR="004E2F51" w:rsidRPr="00D47D1C" w:rsidRDefault="004E2F51" w:rsidP="00E032FC">
            <w:pPr>
              <w:tabs>
                <w:tab w:val="left" w:pos="-720"/>
              </w:tabs>
              <w:ind w:right="-5"/>
              <w:rPr>
                <w:rFonts w:ascii="Arial" w:hAnsi="Arial" w:cs="Arial"/>
                <w:color w:val="000000" w:themeColor="text1"/>
                <w:sz w:val="18"/>
                <w:szCs w:val="18"/>
                <w:lang w:val="hr-HR"/>
              </w:rPr>
            </w:pPr>
            <w:r w:rsidRPr="00D47D1C">
              <w:rPr>
                <w:rFonts w:ascii="Arial" w:hAnsi="Arial" w:cs="Arial"/>
                <w:color w:val="000000" w:themeColor="text1"/>
                <w:sz w:val="18"/>
                <w:szCs w:val="18"/>
                <w:lang w:val="hr-HR"/>
              </w:rPr>
              <w:t>Imovina uz fiksnu kamatnu stopu</w:t>
            </w:r>
          </w:p>
        </w:tc>
        <w:tc>
          <w:tcPr>
            <w:tcW w:w="789" w:type="pct"/>
            <w:tcBorders>
              <w:top w:val="nil"/>
              <w:left w:val="nil"/>
              <w:bottom w:val="nil"/>
              <w:right w:val="nil"/>
            </w:tcBorders>
            <w:shd w:val="clear" w:color="auto" w:fill="auto"/>
            <w:vAlign w:val="bottom"/>
          </w:tcPr>
          <w:p w14:paraId="022308DE" w14:textId="77777777" w:rsidR="004E2F51" w:rsidRPr="00D47D1C" w:rsidRDefault="004E2F51" w:rsidP="00E032FC">
            <w:pPr>
              <w:tabs>
                <w:tab w:val="left" w:pos="-720"/>
              </w:tabs>
              <w:ind w:right="-5"/>
              <w:jc w:val="right"/>
              <w:rPr>
                <w:rFonts w:ascii="Arial" w:hAnsi="Arial" w:cs="Arial"/>
                <w:color w:val="000000"/>
                <w:sz w:val="18"/>
                <w:szCs w:val="18"/>
              </w:rPr>
            </w:pPr>
            <w:r w:rsidRPr="00132C9F">
              <w:rPr>
                <w:rFonts w:ascii="Arial" w:hAnsi="Arial" w:cs="Arial"/>
                <w:color w:val="000000"/>
                <w:sz w:val="18"/>
                <w:szCs w:val="18"/>
              </w:rPr>
              <w:t>25.684.484</w:t>
            </w:r>
          </w:p>
        </w:tc>
        <w:tc>
          <w:tcPr>
            <w:tcW w:w="789" w:type="pct"/>
            <w:tcBorders>
              <w:top w:val="nil"/>
              <w:left w:val="nil"/>
              <w:bottom w:val="nil"/>
              <w:right w:val="nil"/>
            </w:tcBorders>
            <w:shd w:val="clear" w:color="auto" w:fill="auto"/>
            <w:vAlign w:val="bottom"/>
          </w:tcPr>
          <w:p w14:paraId="1517E273"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r w:rsidRPr="00D47D1C">
              <w:rPr>
                <w:rFonts w:ascii="Arial" w:hAnsi="Arial" w:cs="Arial"/>
                <w:color w:val="000000"/>
                <w:sz w:val="18"/>
                <w:szCs w:val="18"/>
              </w:rPr>
              <w:t>24.880.889</w:t>
            </w:r>
          </w:p>
        </w:tc>
        <w:tc>
          <w:tcPr>
            <w:tcW w:w="789" w:type="pct"/>
            <w:tcBorders>
              <w:top w:val="nil"/>
              <w:left w:val="nil"/>
              <w:bottom w:val="nil"/>
              <w:right w:val="nil"/>
            </w:tcBorders>
            <w:shd w:val="clear" w:color="auto" w:fill="auto"/>
            <w:vAlign w:val="bottom"/>
          </w:tcPr>
          <w:p w14:paraId="5057194A" w14:textId="77777777" w:rsidR="004E2F51" w:rsidRPr="00D47D1C" w:rsidRDefault="004E2F51" w:rsidP="00E032FC">
            <w:pPr>
              <w:tabs>
                <w:tab w:val="left" w:pos="-720"/>
              </w:tabs>
              <w:ind w:right="-5"/>
              <w:jc w:val="right"/>
              <w:rPr>
                <w:rFonts w:ascii="Arial" w:hAnsi="Arial" w:cs="Arial"/>
                <w:color w:val="000000"/>
                <w:sz w:val="18"/>
                <w:szCs w:val="18"/>
              </w:rPr>
            </w:pPr>
            <w:r w:rsidRPr="00132C9F">
              <w:rPr>
                <w:rFonts w:ascii="Arial" w:hAnsi="Arial" w:cs="Arial"/>
                <w:color w:val="000000"/>
                <w:sz w:val="18"/>
                <w:szCs w:val="18"/>
              </w:rPr>
              <w:t>25.609.786</w:t>
            </w:r>
          </w:p>
        </w:tc>
        <w:tc>
          <w:tcPr>
            <w:tcW w:w="789" w:type="pct"/>
            <w:tcBorders>
              <w:top w:val="nil"/>
              <w:left w:val="nil"/>
              <w:bottom w:val="nil"/>
              <w:right w:val="nil"/>
            </w:tcBorders>
            <w:shd w:val="clear" w:color="auto" w:fill="auto"/>
            <w:vAlign w:val="bottom"/>
          </w:tcPr>
          <w:p w14:paraId="38720F9D"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r w:rsidRPr="00D47D1C">
              <w:rPr>
                <w:rFonts w:ascii="Arial" w:hAnsi="Arial" w:cs="Arial"/>
                <w:sz w:val="18"/>
                <w:szCs w:val="18"/>
              </w:rPr>
              <w:t>24.821.123</w:t>
            </w:r>
          </w:p>
        </w:tc>
      </w:tr>
      <w:tr w:rsidR="004E2F51" w:rsidRPr="00D47D1C" w14:paraId="5CA9A62C" w14:textId="77777777" w:rsidTr="00E032FC">
        <w:trPr>
          <w:trHeight w:hRule="exact" w:val="284"/>
        </w:trPr>
        <w:tc>
          <w:tcPr>
            <w:tcW w:w="1844" w:type="pct"/>
            <w:shd w:val="clear" w:color="auto" w:fill="auto"/>
            <w:vAlign w:val="bottom"/>
          </w:tcPr>
          <w:p w14:paraId="13EA39B3" w14:textId="77777777" w:rsidR="004E2F51" w:rsidRPr="00D47D1C" w:rsidRDefault="004E2F51" w:rsidP="00E032FC">
            <w:pPr>
              <w:tabs>
                <w:tab w:val="left" w:pos="-720"/>
              </w:tabs>
              <w:spacing w:line="240" w:lineRule="exact"/>
              <w:ind w:right="-6"/>
              <w:rPr>
                <w:rFonts w:ascii="Arial" w:hAnsi="Arial" w:cs="Arial"/>
                <w:color w:val="000000" w:themeColor="text1"/>
                <w:sz w:val="18"/>
                <w:szCs w:val="18"/>
                <w:lang w:val="hr-HR"/>
              </w:rPr>
            </w:pPr>
            <w:r w:rsidRPr="00D47D1C">
              <w:rPr>
                <w:rFonts w:ascii="Arial" w:hAnsi="Arial" w:cs="Arial"/>
                <w:color w:val="000000" w:themeColor="text1"/>
                <w:sz w:val="18"/>
                <w:szCs w:val="18"/>
                <w:lang w:val="hr-HR"/>
              </w:rPr>
              <w:t>Imovina uz varijabilnu kamatnu stopu</w:t>
            </w:r>
          </w:p>
        </w:tc>
        <w:tc>
          <w:tcPr>
            <w:tcW w:w="789" w:type="pct"/>
            <w:tcBorders>
              <w:top w:val="nil"/>
              <w:left w:val="nil"/>
              <w:bottom w:val="nil"/>
              <w:right w:val="nil"/>
            </w:tcBorders>
            <w:shd w:val="clear" w:color="auto" w:fill="auto"/>
            <w:vAlign w:val="bottom"/>
          </w:tcPr>
          <w:p w14:paraId="1BB43AFB" w14:textId="77777777" w:rsidR="004E2F51" w:rsidRPr="00D47D1C" w:rsidRDefault="004E2F51" w:rsidP="00E032FC">
            <w:pPr>
              <w:tabs>
                <w:tab w:val="left" w:pos="-720"/>
              </w:tabs>
              <w:ind w:right="-5"/>
              <w:jc w:val="right"/>
              <w:rPr>
                <w:rFonts w:ascii="Arial" w:hAnsi="Arial" w:cs="Arial"/>
                <w:color w:val="000000"/>
                <w:sz w:val="18"/>
                <w:szCs w:val="18"/>
              </w:rPr>
            </w:pPr>
            <w:r w:rsidRPr="00132C9F">
              <w:rPr>
                <w:rFonts w:ascii="Arial" w:hAnsi="Arial" w:cs="Arial"/>
                <w:color w:val="000000"/>
                <w:sz w:val="18"/>
                <w:szCs w:val="18"/>
              </w:rPr>
              <w:t>1.323.524</w:t>
            </w:r>
          </w:p>
        </w:tc>
        <w:tc>
          <w:tcPr>
            <w:tcW w:w="789" w:type="pct"/>
            <w:tcBorders>
              <w:top w:val="nil"/>
              <w:left w:val="nil"/>
              <w:bottom w:val="nil"/>
              <w:right w:val="nil"/>
            </w:tcBorders>
            <w:shd w:val="clear" w:color="auto" w:fill="auto"/>
            <w:vAlign w:val="bottom"/>
          </w:tcPr>
          <w:p w14:paraId="6C477670"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r w:rsidRPr="00D47D1C">
              <w:rPr>
                <w:rFonts w:ascii="Arial" w:hAnsi="Arial" w:cs="Arial"/>
                <w:color w:val="000000"/>
                <w:sz w:val="18"/>
                <w:szCs w:val="18"/>
              </w:rPr>
              <w:t>947.495</w:t>
            </w:r>
          </w:p>
        </w:tc>
        <w:tc>
          <w:tcPr>
            <w:tcW w:w="789" w:type="pct"/>
            <w:tcBorders>
              <w:top w:val="nil"/>
              <w:left w:val="nil"/>
              <w:bottom w:val="nil"/>
              <w:right w:val="nil"/>
            </w:tcBorders>
            <w:shd w:val="clear" w:color="auto" w:fill="auto"/>
            <w:vAlign w:val="bottom"/>
          </w:tcPr>
          <w:p w14:paraId="0C979CEE" w14:textId="77777777" w:rsidR="004E2F51" w:rsidRPr="00D47D1C" w:rsidRDefault="004E2F51" w:rsidP="00E032FC">
            <w:pPr>
              <w:tabs>
                <w:tab w:val="left" w:pos="-720"/>
              </w:tabs>
              <w:ind w:right="-5"/>
              <w:jc w:val="right"/>
              <w:rPr>
                <w:rFonts w:ascii="Arial" w:hAnsi="Arial" w:cs="Arial"/>
                <w:color w:val="000000"/>
                <w:sz w:val="18"/>
                <w:szCs w:val="18"/>
              </w:rPr>
            </w:pPr>
            <w:r w:rsidRPr="00132C9F">
              <w:rPr>
                <w:rFonts w:ascii="Arial" w:hAnsi="Arial" w:cs="Arial"/>
                <w:color w:val="000000"/>
                <w:sz w:val="18"/>
                <w:szCs w:val="18"/>
              </w:rPr>
              <w:t>1.323.524</w:t>
            </w:r>
          </w:p>
        </w:tc>
        <w:tc>
          <w:tcPr>
            <w:tcW w:w="789" w:type="pct"/>
            <w:tcBorders>
              <w:top w:val="nil"/>
              <w:left w:val="nil"/>
              <w:bottom w:val="nil"/>
              <w:right w:val="nil"/>
            </w:tcBorders>
            <w:shd w:val="clear" w:color="auto" w:fill="auto"/>
            <w:vAlign w:val="bottom"/>
          </w:tcPr>
          <w:p w14:paraId="2F6BFBDA"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r w:rsidRPr="00D47D1C">
              <w:rPr>
                <w:rFonts w:ascii="Arial" w:hAnsi="Arial" w:cs="Arial"/>
                <w:sz w:val="18"/>
                <w:szCs w:val="18"/>
              </w:rPr>
              <w:t>947.495</w:t>
            </w:r>
          </w:p>
        </w:tc>
      </w:tr>
      <w:tr w:rsidR="004E2F51" w:rsidRPr="00D47D1C" w14:paraId="5D5B108C" w14:textId="77777777" w:rsidTr="00E032FC">
        <w:trPr>
          <w:trHeight w:hRule="exact" w:val="284"/>
        </w:trPr>
        <w:tc>
          <w:tcPr>
            <w:tcW w:w="1844" w:type="pct"/>
            <w:shd w:val="clear" w:color="auto" w:fill="auto"/>
            <w:vAlign w:val="bottom"/>
          </w:tcPr>
          <w:p w14:paraId="7358C6DD" w14:textId="77777777" w:rsidR="004E2F51" w:rsidRPr="00D47D1C" w:rsidRDefault="004E2F51" w:rsidP="00E032FC">
            <w:pPr>
              <w:tabs>
                <w:tab w:val="left" w:pos="-720"/>
              </w:tabs>
              <w:spacing w:line="240" w:lineRule="exact"/>
              <w:ind w:right="-6"/>
              <w:rPr>
                <w:rFonts w:ascii="Arial" w:hAnsi="Arial" w:cs="Arial"/>
                <w:color w:val="000000" w:themeColor="text1"/>
                <w:sz w:val="18"/>
                <w:szCs w:val="18"/>
                <w:lang w:val="hr-HR"/>
              </w:rPr>
            </w:pPr>
            <w:r w:rsidRPr="00D47D1C">
              <w:rPr>
                <w:rFonts w:ascii="Arial" w:hAnsi="Arial" w:cs="Arial"/>
                <w:color w:val="000000" w:themeColor="text1"/>
                <w:sz w:val="18"/>
                <w:szCs w:val="18"/>
                <w:lang w:val="hr-HR"/>
              </w:rPr>
              <w:t>Beskamatno</w:t>
            </w:r>
          </w:p>
        </w:tc>
        <w:tc>
          <w:tcPr>
            <w:tcW w:w="789" w:type="pct"/>
            <w:tcBorders>
              <w:top w:val="nil"/>
              <w:left w:val="nil"/>
              <w:bottom w:val="single" w:sz="4" w:space="0" w:color="auto"/>
              <w:right w:val="nil"/>
            </w:tcBorders>
            <w:shd w:val="clear" w:color="auto" w:fill="auto"/>
            <w:vAlign w:val="bottom"/>
          </w:tcPr>
          <w:p w14:paraId="2FD2072B" w14:textId="77777777" w:rsidR="004E2F51" w:rsidRPr="00D47D1C" w:rsidRDefault="004E2F51" w:rsidP="00E032FC">
            <w:pPr>
              <w:tabs>
                <w:tab w:val="left" w:pos="-720"/>
              </w:tabs>
              <w:ind w:right="-5"/>
              <w:jc w:val="right"/>
              <w:rPr>
                <w:rFonts w:ascii="Arial" w:hAnsi="Arial" w:cs="Arial"/>
                <w:color w:val="000000"/>
                <w:sz w:val="18"/>
                <w:szCs w:val="18"/>
              </w:rPr>
            </w:pPr>
            <w:r w:rsidRPr="00132C9F">
              <w:rPr>
                <w:rFonts w:ascii="Arial" w:hAnsi="Arial" w:cs="Arial"/>
                <w:color w:val="000000"/>
                <w:sz w:val="18"/>
                <w:szCs w:val="18"/>
              </w:rPr>
              <w:t>1.988.548</w:t>
            </w:r>
          </w:p>
        </w:tc>
        <w:tc>
          <w:tcPr>
            <w:tcW w:w="789" w:type="pct"/>
            <w:tcBorders>
              <w:top w:val="nil"/>
              <w:left w:val="nil"/>
              <w:bottom w:val="single" w:sz="4" w:space="0" w:color="auto"/>
              <w:right w:val="nil"/>
            </w:tcBorders>
            <w:shd w:val="clear" w:color="auto" w:fill="auto"/>
            <w:vAlign w:val="bottom"/>
          </w:tcPr>
          <w:p w14:paraId="2769D244"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r w:rsidRPr="00D47D1C">
              <w:rPr>
                <w:rFonts w:ascii="Arial" w:hAnsi="Arial" w:cs="Arial"/>
                <w:color w:val="000000"/>
                <w:sz w:val="18"/>
                <w:szCs w:val="18"/>
              </w:rPr>
              <w:t>2.384.672</w:t>
            </w:r>
          </w:p>
        </w:tc>
        <w:tc>
          <w:tcPr>
            <w:tcW w:w="789" w:type="pct"/>
            <w:tcBorders>
              <w:top w:val="nil"/>
              <w:left w:val="nil"/>
              <w:bottom w:val="single" w:sz="4" w:space="0" w:color="auto"/>
              <w:right w:val="nil"/>
            </w:tcBorders>
            <w:shd w:val="clear" w:color="auto" w:fill="auto"/>
            <w:vAlign w:val="bottom"/>
          </w:tcPr>
          <w:p w14:paraId="21B445C9" w14:textId="77777777" w:rsidR="004E2F51" w:rsidRPr="00D47D1C" w:rsidRDefault="004E2F51" w:rsidP="00E032FC">
            <w:pPr>
              <w:tabs>
                <w:tab w:val="left" w:pos="-720"/>
              </w:tabs>
              <w:ind w:right="-5"/>
              <w:jc w:val="right"/>
              <w:rPr>
                <w:rFonts w:ascii="Arial" w:hAnsi="Arial" w:cs="Arial"/>
                <w:color w:val="000000"/>
                <w:sz w:val="18"/>
                <w:szCs w:val="18"/>
              </w:rPr>
            </w:pPr>
            <w:r w:rsidRPr="00132C9F">
              <w:rPr>
                <w:rFonts w:ascii="Arial" w:hAnsi="Arial" w:cs="Arial"/>
                <w:color w:val="000000"/>
                <w:sz w:val="18"/>
                <w:szCs w:val="18"/>
              </w:rPr>
              <w:t>1.980.370</w:t>
            </w:r>
          </w:p>
        </w:tc>
        <w:tc>
          <w:tcPr>
            <w:tcW w:w="789" w:type="pct"/>
            <w:tcBorders>
              <w:top w:val="nil"/>
              <w:left w:val="nil"/>
              <w:bottom w:val="single" w:sz="4" w:space="0" w:color="auto"/>
              <w:right w:val="nil"/>
            </w:tcBorders>
            <w:shd w:val="clear" w:color="auto" w:fill="auto"/>
            <w:vAlign w:val="bottom"/>
          </w:tcPr>
          <w:p w14:paraId="1BE5E3A6"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r w:rsidRPr="00D47D1C">
              <w:rPr>
                <w:rFonts w:ascii="Arial" w:hAnsi="Arial" w:cs="Arial"/>
                <w:sz w:val="18"/>
                <w:szCs w:val="18"/>
              </w:rPr>
              <w:t>2.381.203</w:t>
            </w:r>
          </w:p>
        </w:tc>
      </w:tr>
      <w:tr w:rsidR="004E2F51" w:rsidRPr="00D47D1C" w14:paraId="2FE5CB90" w14:textId="77777777" w:rsidTr="00E032FC">
        <w:trPr>
          <w:trHeight w:hRule="exact" w:val="382"/>
        </w:trPr>
        <w:tc>
          <w:tcPr>
            <w:tcW w:w="1844" w:type="pct"/>
            <w:shd w:val="clear" w:color="auto" w:fill="auto"/>
            <w:vAlign w:val="bottom"/>
          </w:tcPr>
          <w:p w14:paraId="0996C260" w14:textId="77777777" w:rsidR="004E2F51" w:rsidRPr="00D47D1C" w:rsidRDefault="004E2F51" w:rsidP="00E032FC">
            <w:pPr>
              <w:tabs>
                <w:tab w:val="left" w:pos="-720"/>
              </w:tabs>
              <w:spacing w:line="240" w:lineRule="exact"/>
              <w:ind w:right="-6"/>
              <w:rPr>
                <w:rFonts w:ascii="Arial" w:hAnsi="Arial" w:cs="Arial"/>
                <w:color w:val="000000" w:themeColor="text1"/>
                <w:sz w:val="18"/>
                <w:szCs w:val="18"/>
                <w:lang w:val="hr-HR"/>
              </w:rPr>
            </w:pPr>
            <w:r w:rsidRPr="00D47D1C">
              <w:rPr>
                <w:rFonts w:ascii="Arial" w:hAnsi="Arial" w:cs="Arial"/>
                <w:b/>
                <w:color w:val="000000" w:themeColor="text1"/>
                <w:sz w:val="18"/>
                <w:szCs w:val="18"/>
                <w:lang w:val="hr-HR"/>
              </w:rPr>
              <w:t>Ukupno</w:t>
            </w:r>
          </w:p>
        </w:tc>
        <w:tc>
          <w:tcPr>
            <w:tcW w:w="789" w:type="pct"/>
            <w:tcBorders>
              <w:top w:val="single" w:sz="4" w:space="0" w:color="auto"/>
              <w:left w:val="nil"/>
              <w:bottom w:val="single" w:sz="12" w:space="0" w:color="auto"/>
              <w:right w:val="nil"/>
            </w:tcBorders>
            <w:shd w:val="clear" w:color="auto" w:fill="auto"/>
            <w:vAlign w:val="bottom"/>
          </w:tcPr>
          <w:p w14:paraId="77AB857C" w14:textId="77777777" w:rsidR="004E2F51" w:rsidRPr="00D47D1C" w:rsidRDefault="004E2F51" w:rsidP="00E032FC">
            <w:pPr>
              <w:tabs>
                <w:tab w:val="left" w:pos="-720"/>
              </w:tabs>
              <w:ind w:right="-5"/>
              <w:jc w:val="right"/>
              <w:rPr>
                <w:rFonts w:ascii="Arial" w:hAnsi="Arial" w:cs="Arial"/>
                <w:b/>
                <w:bCs/>
                <w:color w:val="000000"/>
                <w:sz w:val="18"/>
                <w:szCs w:val="18"/>
              </w:rPr>
            </w:pPr>
            <w:r w:rsidRPr="00132C9F">
              <w:rPr>
                <w:rFonts w:ascii="Arial" w:hAnsi="Arial" w:cs="Arial"/>
                <w:b/>
                <w:bCs/>
                <w:color w:val="000000"/>
                <w:sz w:val="18"/>
                <w:szCs w:val="18"/>
              </w:rPr>
              <w:t>28.996.556</w:t>
            </w:r>
          </w:p>
        </w:tc>
        <w:tc>
          <w:tcPr>
            <w:tcW w:w="789" w:type="pct"/>
            <w:tcBorders>
              <w:top w:val="single" w:sz="4" w:space="0" w:color="auto"/>
              <w:left w:val="nil"/>
              <w:bottom w:val="single" w:sz="12" w:space="0" w:color="auto"/>
              <w:right w:val="nil"/>
            </w:tcBorders>
            <w:shd w:val="clear" w:color="auto" w:fill="auto"/>
            <w:vAlign w:val="bottom"/>
          </w:tcPr>
          <w:p w14:paraId="0A2CD11F" w14:textId="77777777" w:rsidR="004E2F51" w:rsidRPr="00D47D1C" w:rsidRDefault="004E2F51" w:rsidP="00E032FC">
            <w:pPr>
              <w:tabs>
                <w:tab w:val="left" w:pos="-720"/>
              </w:tabs>
              <w:ind w:right="-5"/>
              <w:jc w:val="right"/>
              <w:rPr>
                <w:rFonts w:ascii="Arial" w:hAnsi="Arial" w:cs="Arial"/>
                <w:b/>
                <w:color w:val="000000" w:themeColor="text1"/>
                <w:sz w:val="18"/>
                <w:szCs w:val="18"/>
                <w:lang w:val="hr-HR"/>
              </w:rPr>
            </w:pPr>
            <w:r w:rsidRPr="00D47D1C">
              <w:rPr>
                <w:rFonts w:ascii="Arial" w:hAnsi="Arial" w:cs="Arial"/>
                <w:b/>
                <w:bCs/>
                <w:color w:val="000000"/>
                <w:sz w:val="18"/>
                <w:szCs w:val="18"/>
              </w:rPr>
              <w:t>28.213.056</w:t>
            </w:r>
          </w:p>
        </w:tc>
        <w:tc>
          <w:tcPr>
            <w:tcW w:w="789" w:type="pct"/>
            <w:tcBorders>
              <w:top w:val="single" w:sz="4" w:space="0" w:color="auto"/>
              <w:left w:val="nil"/>
              <w:bottom w:val="single" w:sz="12" w:space="0" w:color="auto"/>
              <w:right w:val="nil"/>
            </w:tcBorders>
            <w:shd w:val="clear" w:color="auto" w:fill="auto"/>
            <w:vAlign w:val="bottom"/>
          </w:tcPr>
          <w:p w14:paraId="745F5B77" w14:textId="77777777" w:rsidR="004E2F51" w:rsidRPr="00D47D1C" w:rsidRDefault="004E2F51" w:rsidP="00E032FC">
            <w:pPr>
              <w:tabs>
                <w:tab w:val="left" w:pos="-720"/>
              </w:tabs>
              <w:ind w:right="-5"/>
              <w:jc w:val="right"/>
              <w:rPr>
                <w:rFonts w:ascii="Arial" w:hAnsi="Arial" w:cs="Arial"/>
                <w:b/>
                <w:bCs/>
                <w:color w:val="000000"/>
                <w:sz w:val="18"/>
                <w:szCs w:val="18"/>
              </w:rPr>
            </w:pPr>
            <w:r w:rsidRPr="00132C9F">
              <w:rPr>
                <w:rFonts w:ascii="Arial" w:hAnsi="Arial" w:cs="Arial"/>
                <w:b/>
                <w:bCs/>
                <w:color w:val="000000"/>
                <w:sz w:val="18"/>
                <w:szCs w:val="18"/>
              </w:rPr>
              <w:t>28.913.680</w:t>
            </w:r>
          </w:p>
        </w:tc>
        <w:tc>
          <w:tcPr>
            <w:tcW w:w="789" w:type="pct"/>
            <w:tcBorders>
              <w:top w:val="single" w:sz="4" w:space="0" w:color="auto"/>
              <w:left w:val="nil"/>
              <w:bottom w:val="single" w:sz="12" w:space="0" w:color="auto"/>
              <w:right w:val="nil"/>
            </w:tcBorders>
            <w:shd w:val="clear" w:color="auto" w:fill="auto"/>
            <w:vAlign w:val="bottom"/>
          </w:tcPr>
          <w:p w14:paraId="0944CFD5" w14:textId="77777777" w:rsidR="004E2F51" w:rsidRPr="00D47D1C" w:rsidRDefault="004E2F51" w:rsidP="00E032FC">
            <w:pPr>
              <w:tabs>
                <w:tab w:val="left" w:pos="-720"/>
              </w:tabs>
              <w:ind w:right="-5"/>
              <w:jc w:val="right"/>
              <w:rPr>
                <w:rFonts w:ascii="Arial" w:hAnsi="Arial" w:cs="Arial"/>
                <w:b/>
                <w:color w:val="000000" w:themeColor="text1"/>
                <w:sz w:val="18"/>
                <w:szCs w:val="18"/>
                <w:lang w:val="hr-HR"/>
              </w:rPr>
            </w:pPr>
            <w:r w:rsidRPr="00D47D1C">
              <w:rPr>
                <w:rFonts w:ascii="Arial" w:hAnsi="Arial" w:cs="Arial"/>
                <w:b/>
                <w:bCs/>
                <w:sz w:val="18"/>
                <w:szCs w:val="18"/>
              </w:rPr>
              <w:t>28.149.821</w:t>
            </w:r>
          </w:p>
        </w:tc>
      </w:tr>
      <w:tr w:rsidR="004E2F51" w:rsidRPr="00D47D1C" w14:paraId="3BC14987" w14:textId="77777777" w:rsidTr="00E032FC">
        <w:trPr>
          <w:trHeight w:hRule="exact" w:val="382"/>
        </w:trPr>
        <w:tc>
          <w:tcPr>
            <w:tcW w:w="1844" w:type="pct"/>
            <w:shd w:val="clear" w:color="auto" w:fill="auto"/>
            <w:vAlign w:val="bottom"/>
          </w:tcPr>
          <w:p w14:paraId="1DBF1B19" w14:textId="77777777" w:rsidR="004E2F51" w:rsidRPr="00D47D1C" w:rsidRDefault="004E2F51" w:rsidP="00E032FC">
            <w:pPr>
              <w:tabs>
                <w:tab w:val="left" w:pos="-720"/>
              </w:tabs>
              <w:spacing w:line="240" w:lineRule="exact"/>
              <w:ind w:right="-6"/>
              <w:rPr>
                <w:rFonts w:ascii="Arial" w:hAnsi="Arial" w:cs="Arial"/>
                <w:b/>
                <w:color w:val="000000" w:themeColor="text1"/>
                <w:sz w:val="18"/>
                <w:szCs w:val="18"/>
                <w:lang w:val="hr-HR"/>
              </w:rPr>
            </w:pPr>
          </w:p>
        </w:tc>
        <w:tc>
          <w:tcPr>
            <w:tcW w:w="789" w:type="pct"/>
            <w:tcBorders>
              <w:top w:val="single" w:sz="12" w:space="0" w:color="auto"/>
            </w:tcBorders>
            <w:shd w:val="clear" w:color="auto" w:fill="auto"/>
            <w:vAlign w:val="bottom"/>
          </w:tcPr>
          <w:p w14:paraId="477F4202" w14:textId="77777777" w:rsidR="004E2F51" w:rsidRPr="00D47D1C" w:rsidRDefault="004E2F51" w:rsidP="00E032FC">
            <w:pPr>
              <w:tabs>
                <w:tab w:val="left" w:pos="-720"/>
              </w:tabs>
              <w:ind w:right="-5"/>
              <w:jc w:val="right"/>
              <w:rPr>
                <w:rFonts w:ascii="Arial" w:hAnsi="Arial" w:cs="Arial"/>
                <w:color w:val="000000"/>
                <w:sz w:val="18"/>
                <w:szCs w:val="18"/>
              </w:rPr>
            </w:pPr>
          </w:p>
        </w:tc>
        <w:tc>
          <w:tcPr>
            <w:tcW w:w="789" w:type="pct"/>
            <w:tcBorders>
              <w:top w:val="single" w:sz="12" w:space="0" w:color="auto"/>
            </w:tcBorders>
            <w:shd w:val="clear" w:color="auto" w:fill="auto"/>
            <w:vAlign w:val="bottom"/>
          </w:tcPr>
          <w:p w14:paraId="78141BD8" w14:textId="77777777" w:rsidR="004E2F51" w:rsidRPr="00D47D1C" w:rsidRDefault="004E2F51" w:rsidP="00E032FC">
            <w:pPr>
              <w:tabs>
                <w:tab w:val="left" w:pos="-720"/>
              </w:tabs>
              <w:ind w:right="-5"/>
              <w:jc w:val="right"/>
              <w:rPr>
                <w:rFonts w:ascii="Arial" w:hAnsi="Arial" w:cs="Arial"/>
                <w:b/>
                <w:color w:val="000000" w:themeColor="text1"/>
                <w:sz w:val="18"/>
                <w:szCs w:val="18"/>
                <w:lang w:val="hr-HR"/>
              </w:rPr>
            </w:pPr>
          </w:p>
        </w:tc>
        <w:tc>
          <w:tcPr>
            <w:tcW w:w="789" w:type="pct"/>
            <w:tcBorders>
              <w:top w:val="single" w:sz="12" w:space="0" w:color="auto"/>
            </w:tcBorders>
            <w:shd w:val="clear" w:color="auto" w:fill="auto"/>
            <w:vAlign w:val="bottom"/>
          </w:tcPr>
          <w:p w14:paraId="367D147F" w14:textId="77777777" w:rsidR="004E2F51" w:rsidRPr="00D47D1C" w:rsidRDefault="004E2F51" w:rsidP="00E032FC">
            <w:pPr>
              <w:tabs>
                <w:tab w:val="left" w:pos="-720"/>
              </w:tabs>
              <w:ind w:right="-5"/>
              <w:jc w:val="right"/>
              <w:rPr>
                <w:rFonts w:ascii="Arial" w:hAnsi="Arial" w:cs="Arial"/>
                <w:color w:val="000000"/>
                <w:sz w:val="18"/>
                <w:szCs w:val="18"/>
              </w:rPr>
            </w:pPr>
          </w:p>
        </w:tc>
        <w:tc>
          <w:tcPr>
            <w:tcW w:w="789" w:type="pct"/>
            <w:tcBorders>
              <w:top w:val="single" w:sz="12" w:space="0" w:color="auto"/>
            </w:tcBorders>
            <w:shd w:val="clear" w:color="auto" w:fill="auto"/>
            <w:vAlign w:val="bottom"/>
          </w:tcPr>
          <w:p w14:paraId="77881CAE" w14:textId="77777777" w:rsidR="004E2F51" w:rsidRPr="00D47D1C" w:rsidRDefault="004E2F51" w:rsidP="00E032FC">
            <w:pPr>
              <w:tabs>
                <w:tab w:val="left" w:pos="-720"/>
              </w:tabs>
              <w:ind w:right="-5"/>
              <w:jc w:val="right"/>
              <w:rPr>
                <w:rFonts w:ascii="Arial" w:hAnsi="Arial" w:cs="Arial"/>
                <w:b/>
                <w:color w:val="000000" w:themeColor="text1"/>
                <w:sz w:val="18"/>
                <w:szCs w:val="18"/>
                <w:lang w:val="hr-HR"/>
              </w:rPr>
            </w:pPr>
          </w:p>
        </w:tc>
      </w:tr>
      <w:tr w:rsidR="004E2F51" w:rsidRPr="00D47D1C" w14:paraId="2CAA5151" w14:textId="77777777" w:rsidTr="00E032FC">
        <w:trPr>
          <w:trHeight w:hRule="exact" w:val="284"/>
        </w:trPr>
        <w:tc>
          <w:tcPr>
            <w:tcW w:w="1844" w:type="pct"/>
            <w:shd w:val="clear" w:color="auto" w:fill="auto"/>
            <w:vAlign w:val="bottom"/>
          </w:tcPr>
          <w:p w14:paraId="012EA5E0" w14:textId="77777777" w:rsidR="004E2F51" w:rsidRPr="00D47D1C" w:rsidRDefault="004E2F51" w:rsidP="00E032FC">
            <w:pPr>
              <w:tabs>
                <w:tab w:val="left" w:pos="-720"/>
              </w:tabs>
              <w:spacing w:line="240" w:lineRule="exact"/>
              <w:ind w:right="-6"/>
              <w:rPr>
                <w:rFonts w:ascii="Arial" w:hAnsi="Arial" w:cs="Arial"/>
                <w:color w:val="000000" w:themeColor="text1"/>
                <w:sz w:val="18"/>
                <w:szCs w:val="18"/>
                <w:lang w:val="hr-HR"/>
              </w:rPr>
            </w:pPr>
            <w:r w:rsidRPr="00D47D1C">
              <w:rPr>
                <w:rFonts w:ascii="Arial" w:hAnsi="Arial" w:cs="Arial"/>
                <w:b/>
                <w:color w:val="000000" w:themeColor="text1"/>
                <w:sz w:val="18"/>
                <w:szCs w:val="18"/>
                <w:lang w:val="hr-HR"/>
              </w:rPr>
              <w:t>Obveze</w:t>
            </w:r>
          </w:p>
        </w:tc>
        <w:tc>
          <w:tcPr>
            <w:tcW w:w="789" w:type="pct"/>
            <w:shd w:val="clear" w:color="auto" w:fill="auto"/>
            <w:vAlign w:val="bottom"/>
          </w:tcPr>
          <w:p w14:paraId="759E3014" w14:textId="77777777" w:rsidR="004E2F51" w:rsidRPr="00D47D1C" w:rsidRDefault="004E2F51" w:rsidP="00E032FC">
            <w:pPr>
              <w:tabs>
                <w:tab w:val="left" w:pos="-720"/>
              </w:tabs>
              <w:ind w:right="-5"/>
              <w:jc w:val="right"/>
              <w:rPr>
                <w:rFonts w:ascii="Arial" w:hAnsi="Arial" w:cs="Arial"/>
                <w:color w:val="000000"/>
                <w:sz w:val="18"/>
                <w:szCs w:val="18"/>
              </w:rPr>
            </w:pPr>
          </w:p>
        </w:tc>
        <w:tc>
          <w:tcPr>
            <w:tcW w:w="789" w:type="pct"/>
            <w:shd w:val="clear" w:color="auto" w:fill="auto"/>
            <w:vAlign w:val="bottom"/>
          </w:tcPr>
          <w:p w14:paraId="50A767D3"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p>
        </w:tc>
        <w:tc>
          <w:tcPr>
            <w:tcW w:w="789" w:type="pct"/>
            <w:shd w:val="clear" w:color="auto" w:fill="auto"/>
            <w:vAlign w:val="bottom"/>
          </w:tcPr>
          <w:p w14:paraId="4146F912" w14:textId="77777777" w:rsidR="004E2F51" w:rsidRPr="00D47D1C" w:rsidRDefault="004E2F51" w:rsidP="00E032FC">
            <w:pPr>
              <w:tabs>
                <w:tab w:val="left" w:pos="-720"/>
              </w:tabs>
              <w:ind w:right="-5"/>
              <w:jc w:val="right"/>
              <w:rPr>
                <w:rFonts w:ascii="Arial" w:hAnsi="Arial" w:cs="Arial"/>
                <w:color w:val="000000"/>
                <w:sz w:val="18"/>
                <w:szCs w:val="18"/>
              </w:rPr>
            </w:pPr>
          </w:p>
        </w:tc>
        <w:tc>
          <w:tcPr>
            <w:tcW w:w="789" w:type="pct"/>
            <w:shd w:val="clear" w:color="auto" w:fill="auto"/>
            <w:vAlign w:val="bottom"/>
          </w:tcPr>
          <w:p w14:paraId="5ACE0533"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p>
        </w:tc>
      </w:tr>
      <w:tr w:rsidR="004E2F51" w:rsidRPr="00D47D1C" w14:paraId="0CE58C51" w14:textId="77777777" w:rsidTr="00E032FC">
        <w:trPr>
          <w:trHeight w:hRule="exact" w:val="284"/>
        </w:trPr>
        <w:tc>
          <w:tcPr>
            <w:tcW w:w="1844" w:type="pct"/>
            <w:shd w:val="clear" w:color="auto" w:fill="auto"/>
            <w:vAlign w:val="bottom"/>
          </w:tcPr>
          <w:p w14:paraId="1CFE5776" w14:textId="77777777" w:rsidR="004E2F51" w:rsidRPr="00D47D1C" w:rsidRDefault="004E2F51" w:rsidP="00E032FC">
            <w:pPr>
              <w:tabs>
                <w:tab w:val="left" w:pos="-720"/>
              </w:tabs>
              <w:spacing w:line="240" w:lineRule="exact"/>
              <w:ind w:right="-6"/>
              <w:rPr>
                <w:rFonts w:ascii="Arial" w:hAnsi="Arial" w:cs="Arial"/>
                <w:b/>
                <w:color w:val="000000" w:themeColor="text1"/>
                <w:sz w:val="18"/>
                <w:szCs w:val="18"/>
                <w:lang w:val="hr-HR"/>
              </w:rPr>
            </w:pPr>
          </w:p>
        </w:tc>
        <w:tc>
          <w:tcPr>
            <w:tcW w:w="789" w:type="pct"/>
            <w:shd w:val="clear" w:color="auto" w:fill="auto"/>
            <w:vAlign w:val="bottom"/>
          </w:tcPr>
          <w:p w14:paraId="646E04D5" w14:textId="77777777" w:rsidR="004E2F51" w:rsidRPr="00D47D1C" w:rsidRDefault="004E2F51" w:rsidP="00E032FC">
            <w:pPr>
              <w:tabs>
                <w:tab w:val="left" w:pos="-720"/>
              </w:tabs>
              <w:ind w:right="-5"/>
              <w:jc w:val="right"/>
              <w:rPr>
                <w:rFonts w:ascii="Arial" w:hAnsi="Arial" w:cs="Arial"/>
                <w:color w:val="000000"/>
                <w:sz w:val="18"/>
                <w:szCs w:val="18"/>
              </w:rPr>
            </w:pPr>
          </w:p>
        </w:tc>
        <w:tc>
          <w:tcPr>
            <w:tcW w:w="789" w:type="pct"/>
            <w:shd w:val="clear" w:color="auto" w:fill="auto"/>
            <w:vAlign w:val="bottom"/>
          </w:tcPr>
          <w:p w14:paraId="6BBC5DB5"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p>
        </w:tc>
        <w:tc>
          <w:tcPr>
            <w:tcW w:w="789" w:type="pct"/>
            <w:shd w:val="clear" w:color="auto" w:fill="auto"/>
            <w:vAlign w:val="bottom"/>
          </w:tcPr>
          <w:p w14:paraId="3463CC09" w14:textId="77777777" w:rsidR="004E2F51" w:rsidRPr="00D47D1C" w:rsidRDefault="004E2F51" w:rsidP="00E032FC">
            <w:pPr>
              <w:tabs>
                <w:tab w:val="left" w:pos="-720"/>
              </w:tabs>
              <w:ind w:right="-5"/>
              <w:jc w:val="right"/>
              <w:rPr>
                <w:rFonts w:ascii="Arial" w:hAnsi="Arial" w:cs="Arial"/>
                <w:color w:val="000000"/>
                <w:sz w:val="18"/>
                <w:szCs w:val="18"/>
              </w:rPr>
            </w:pPr>
          </w:p>
        </w:tc>
        <w:tc>
          <w:tcPr>
            <w:tcW w:w="789" w:type="pct"/>
            <w:shd w:val="clear" w:color="auto" w:fill="auto"/>
            <w:vAlign w:val="bottom"/>
          </w:tcPr>
          <w:p w14:paraId="739742AB"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p>
        </w:tc>
      </w:tr>
      <w:tr w:rsidR="004E2F51" w:rsidRPr="00D47D1C" w14:paraId="64992D8A" w14:textId="77777777" w:rsidTr="00E032FC">
        <w:trPr>
          <w:trHeight w:hRule="exact" w:val="284"/>
        </w:trPr>
        <w:tc>
          <w:tcPr>
            <w:tcW w:w="1844" w:type="pct"/>
            <w:shd w:val="clear" w:color="auto" w:fill="auto"/>
            <w:vAlign w:val="bottom"/>
          </w:tcPr>
          <w:p w14:paraId="5D44AC02" w14:textId="77777777" w:rsidR="004E2F51" w:rsidRPr="00D47D1C" w:rsidRDefault="004E2F51" w:rsidP="00E032FC">
            <w:pPr>
              <w:tabs>
                <w:tab w:val="left" w:pos="-720"/>
              </w:tabs>
              <w:spacing w:line="240" w:lineRule="exact"/>
              <w:ind w:right="-6"/>
              <w:rPr>
                <w:rFonts w:ascii="Arial" w:hAnsi="Arial" w:cs="Arial"/>
                <w:b/>
                <w:color w:val="000000" w:themeColor="text1"/>
                <w:sz w:val="18"/>
                <w:szCs w:val="18"/>
                <w:lang w:val="hr-HR"/>
              </w:rPr>
            </w:pPr>
            <w:r w:rsidRPr="00D47D1C">
              <w:rPr>
                <w:rFonts w:ascii="Arial" w:hAnsi="Arial" w:cs="Arial"/>
                <w:color w:val="000000" w:themeColor="text1"/>
                <w:sz w:val="18"/>
                <w:szCs w:val="18"/>
                <w:lang w:val="hr-HR"/>
              </w:rPr>
              <w:t>Obveze uz fiksnu kamatnu stopu</w:t>
            </w:r>
          </w:p>
        </w:tc>
        <w:tc>
          <w:tcPr>
            <w:tcW w:w="789" w:type="pct"/>
            <w:tcBorders>
              <w:top w:val="nil"/>
              <w:left w:val="nil"/>
              <w:bottom w:val="nil"/>
              <w:right w:val="nil"/>
            </w:tcBorders>
            <w:shd w:val="clear" w:color="auto" w:fill="auto"/>
            <w:vAlign w:val="bottom"/>
          </w:tcPr>
          <w:p w14:paraId="2E87A57D" w14:textId="77777777" w:rsidR="004E2F51" w:rsidRPr="00D47D1C" w:rsidRDefault="004E2F51" w:rsidP="00E032FC">
            <w:pPr>
              <w:tabs>
                <w:tab w:val="left" w:pos="-720"/>
              </w:tabs>
              <w:ind w:right="-5"/>
              <w:jc w:val="right"/>
              <w:rPr>
                <w:rFonts w:ascii="Arial" w:hAnsi="Arial" w:cs="Arial"/>
                <w:color w:val="000000"/>
                <w:sz w:val="18"/>
                <w:szCs w:val="18"/>
              </w:rPr>
            </w:pPr>
            <w:r w:rsidRPr="00132C9F">
              <w:rPr>
                <w:rFonts w:ascii="Arial" w:hAnsi="Arial" w:cs="Arial"/>
                <w:color w:val="000000"/>
                <w:sz w:val="18"/>
                <w:szCs w:val="18"/>
              </w:rPr>
              <w:t>16.468.082</w:t>
            </w:r>
          </w:p>
        </w:tc>
        <w:tc>
          <w:tcPr>
            <w:tcW w:w="789" w:type="pct"/>
            <w:tcBorders>
              <w:top w:val="nil"/>
              <w:left w:val="nil"/>
              <w:bottom w:val="nil"/>
              <w:right w:val="nil"/>
            </w:tcBorders>
            <w:shd w:val="clear" w:color="auto" w:fill="auto"/>
            <w:vAlign w:val="bottom"/>
          </w:tcPr>
          <w:p w14:paraId="24E4814E"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r w:rsidRPr="00D47D1C">
              <w:rPr>
                <w:rFonts w:ascii="Arial" w:hAnsi="Arial" w:cs="Arial"/>
                <w:color w:val="000000"/>
                <w:sz w:val="18"/>
                <w:szCs w:val="18"/>
              </w:rPr>
              <w:t>16.486.467</w:t>
            </w:r>
          </w:p>
        </w:tc>
        <w:tc>
          <w:tcPr>
            <w:tcW w:w="789" w:type="pct"/>
            <w:tcBorders>
              <w:top w:val="nil"/>
              <w:left w:val="nil"/>
              <w:bottom w:val="nil"/>
              <w:right w:val="nil"/>
            </w:tcBorders>
            <w:shd w:val="clear" w:color="auto" w:fill="auto"/>
            <w:vAlign w:val="bottom"/>
          </w:tcPr>
          <w:p w14:paraId="6D415F74" w14:textId="77777777" w:rsidR="004E2F51" w:rsidRPr="00D47D1C" w:rsidRDefault="004E2F51" w:rsidP="00E032FC">
            <w:pPr>
              <w:tabs>
                <w:tab w:val="left" w:pos="-720"/>
              </w:tabs>
              <w:ind w:right="-5"/>
              <w:jc w:val="right"/>
              <w:rPr>
                <w:rFonts w:ascii="Arial" w:hAnsi="Arial" w:cs="Arial"/>
                <w:color w:val="000000"/>
                <w:sz w:val="18"/>
                <w:szCs w:val="18"/>
              </w:rPr>
            </w:pPr>
            <w:r w:rsidRPr="00132C9F">
              <w:rPr>
                <w:rFonts w:ascii="Arial" w:hAnsi="Arial" w:cs="Arial"/>
                <w:color w:val="000000"/>
                <w:sz w:val="18"/>
                <w:szCs w:val="18"/>
              </w:rPr>
              <w:t>16.468.082</w:t>
            </w:r>
          </w:p>
        </w:tc>
        <w:tc>
          <w:tcPr>
            <w:tcW w:w="789" w:type="pct"/>
            <w:tcBorders>
              <w:top w:val="nil"/>
              <w:left w:val="nil"/>
              <w:bottom w:val="nil"/>
              <w:right w:val="nil"/>
            </w:tcBorders>
            <w:shd w:val="clear" w:color="auto" w:fill="auto"/>
            <w:vAlign w:val="bottom"/>
          </w:tcPr>
          <w:p w14:paraId="7FF7E856"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r w:rsidRPr="00D47D1C">
              <w:rPr>
                <w:rFonts w:ascii="Arial" w:hAnsi="Arial" w:cs="Arial"/>
                <w:sz w:val="18"/>
                <w:szCs w:val="18"/>
              </w:rPr>
              <w:t>16.486.467</w:t>
            </w:r>
          </w:p>
        </w:tc>
      </w:tr>
      <w:tr w:rsidR="004E2F51" w:rsidRPr="00D47D1C" w14:paraId="1AFA2DB0" w14:textId="77777777" w:rsidTr="00E032FC">
        <w:trPr>
          <w:trHeight w:hRule="exact" w:val="284"/>
        </w:trPr>
        <w:tc>
          <w:tcPr>
            <w:tcW w:w="1844" w:type="pct"/>
            <w:shd w:val="clear" w:color="auto" w:fill="auto"/>
            <w:vAlign w:val="bottom"/>
          </w:tcPr>
          <w:p w14:paraId="6375028A" w14:textId="77777777" w:rsidR="004E2F51" w:rsidRPr="00D47D1C" w:rsidRDefault="004E2F51" w:rsidP="00E032FC">
            <w:pPr>
              <w:tabs>
                <w:tab w:val="left" w:pos="-720"/>
              </w:tabs>
              <w:spacing w:line="240" w:lineRule="exact"/>
              <w:ind w:right="-6"/>
              <w:rPr>
                <w:rFonts w:ascii="Arial" w:hAnsi="Arial" w:cs="Arial"/>
                <w:color w:val="000000" w:themeColor="text1"/>
                <w:sz w:val="18"/>
                <w:szCs w:val="18"/>
                <w:lang w:val="hr-HR"/>
              </w:rPr>
            </w:pPr>
            <w:r w:rsidRPr="00D47D1C">
              <w:rPr>
                <w:rFonts w:ascii="Arial" w:hAnsi="Arial" w:cs="Arial"/>
                <w:color w:val="000000" w:themeColor="text1"/>
                <w:sz w:val="18"/>
                <w:szCs w:val="18"/>
                <w:lang w:val="hr-HR"/>
              </w:rPr>
              <w:t>Obveze uz varijabilnu kamatnu stopu</w:t>
            </w:r>
          </w:p>
        </w:tc>
        <w:tc>
          <w:tcPr>
            <w:tcW w:w="789" w:type="pct"/>
            <w:tcBorders>
              <w:top w:val="nil"/>
              <w:left w:val="nil"/>
              <w:bottom w:val="nil"/>
              <w:right w:val="nil"/>
            </w:tcBorders>
            <w:shd w:val="clear" w:color="auto" w:fill="auto"/>
            <w:vAlign w:val="bottom"/>
          </w:tcPr>
          <w:p w14:paraId="1AEF4832" w14:textId="77777777" w:rsidR="004E2F51" w:rsidRPr="00D47D1C" w:rsidRDefault="004E2F51" w:rsidP="00E032FC">
            <w:pPr>
              <w:tabs>
                <w:tab w:val="left" w:pos="-720"/>
              </w:tabs>
              <w:ind w:right="-5"/>
              <w:jc w:val="right"/>
              <w:rPr>
                <w:rFonts w:ascii="Arial" w:hAnsi="Arial" w:cs="Arial"/>
                <w:color w:val="000000"/>
                <w:sz w:val="18"/>
                <w:szCs w:val="18"/>
              </w:rPr>
            </w:pPr>
            <w:r w:rsidRPr="00132C9F">
              <w:rPr>
                <w:rFonts w:ascii="Arial" w:hAnsi="Arial" w:cs="Arial"/>
                <w:color w:val="000000"/>
                <w:sz w:val="18"/>
                <w:szCs w:val="18"/>
              </w:rPr>
              <w:t>153.782</w:t>
            </w:r>
          </w:p>
        </w:tc>
        <w:tc>
          <w:tcPr>
            <w:tcW w:w="789" w:type="pct"/>
            <w:tcBorders>
              <w:top w:val="nil"/>
              <w:left w:val="nil"/>
              <w:bottom w:val="nil"/>
              <w:right w:val="nil"/>
            </w:tcBorders>
            <w:shd w:val="clear" w:color="auto" w:fill="auto"/>
            <w:vAlign w:val="bottom"/>
          </w:tcPr>
          <w:p w14:paraId="68B15465"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r w:rsidRPr="00D47D1C">
              <w:rPr>
                <w:rFonts w:ascii="Arial" w:hAnsi="Arial" w:cs="Arial"/>
                <w:color w:val="000000"/>
                <w:sz w:val="18"/>
                <w:szCs w:val="18"/>
              </w:rPr>
              <w:t>11.276</w:t>
            </w:r>
          </w:p>
        </w:tc>
        <w:tc>
          <w:tcPr>
            <w:tcW w:w="789" w:type="pct"/>
            <w:tcBorders>
              <w:top w:val="nil"/>
              <w:left w:val="nil"/>
              <w:bottom w:val="nil"/>
              <w:right w:val="nil"/>
            </w:tcBorders>
            <w:shd w:val="clear" w:color="auto" w:fill="auto"/>
            <w:vAlign w:val="bottom"/>
          </w:tcPr>
          <w:p w14:paraId="75FF834D" w14:textId="77777777" w:rsidR="004E2F51" w:rsidRPr="00D47D1C" w:rsidRDefault="004E2F51" w:rsidP="00E032FC">
            <w:pPr>
              <w:tabs>
                <w:tab w:val="left" w:pos="-720"/>
              </w:tabs>
              <w:ind w:right="-5"/>
              <w:jc w:val="right"/>
              <w:rPr>
                <w:rFonts w:ascii="Arial" w:hAnsi="Arial" w:cs="Arial"/>
                <w:color w:val="000000"/>
                <w:sz w:val="18"/>
                <w:szCs w:val="18"/>
              </w:rPr>
            </w:pPr>
            <w:r w:rsidRPr="00132C9F">
              <w:rPr>
                <w:rFonts w:ascii="Arial" w:hAnsi="Arial" w:cs="Arial"/>
                <w:color w:val="000000"/>
                <w:sz w:val="18"/>
                <w:szCs w:val="18"/>
              </w:rPr>
              <w:t>153.782</w:t>
            </w:r>
          </w:p>
        </w:tc>
        <w:tc>
          <w:tcPr>
            <w:tcW w:w="789" w:type="pct"/>
            <w:tcBorders>
              <w:top w:val="nil"/>
              <w:left w:val="nil"/>
              <w:bottom w:val="nil"/>
              <w:right w:val="nil"/>
            </w:tcBorders>
            <w:shd w:val="clear" w:color="auto" w:fill="auto"/>
            <w:vAlign w:val="bottom"/>
          </w:tcPr>
          <w:p w14:paraId="665D0E4B"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r w:rsidRPr="00D47D1C">
              <w:rPr>
                <w:rFonts w:ascii="Arial" w:hAnsi="Arial" w:cs="Arial"/>
                <w:sz w:val="18"/>
                <w:szCs w:val="18"/>
              </w:rPr>
              <w:t>11.276</w:t>
            </w:r>
          </w:p>
        </w:tc>
      </w:tr>
      <w:tr w:rsidR="004E2F51" w:rsidRPr="00D47D1C" w14:paraId="5FF750A1" w14:textId="77777777" w:rsidTr="00E032FC">
        <w:trPr>
          <w:trHeight w:hRule="exact" w:val="284"/>
        </w:trPr>
        <w:tc>
          <w:tcPr>
            <w:tcW w:w="1844" w:type="pct"/>
            <w:shd w:val="clear" w:color="auto" w:fill="auto"/>
            <w:vAlign w:val="bottom"/>
          </w:tcPr>
          <w:p w14:paraId="0AB775A2" w14:textId="77777777" w:rsidR="004E2F51" w:rsidRPr="00D47D1C" w:rsidRDefault="004E2F51" w:rsidP="00E032FC">
            <w:pPr>
              <w:tabs>
                <w:tab w:val="left" w:pos="-720"/>
              </w:tabs>
              <w:spacing w:line="240" w:lineRule="exact"/>
              <w:ind w:right="-6"/>
              <w:rPr>
                <w:rFonts w:ascii="Arial" w:hAnsi="Arial" w:cs="Arial"/>
                <w:color w:val="000000" w:themeColor="text1"/>
                <w:sz w:val="18"/>
                <w:szCs w:val="18"/>
                <w:lang w:val="hr-HR"/>
              </w:rPr>
            </w:pPr>
            <w:r w:rsidRPr="00D47D1C">
              <w:rPr>
                <w:rFonts w:ascii="Arial" w:hAnsi="Arial" w:cs="Arial"/>
                <w:color w:val="000000" w:themeColor="text1"/>
                <w:sz w:val="18"/>
                <w:szCs w:val="18"/>
                <w:lang w:val="hr-HR"/>
              </w:rPr>
              <w:t>Beskamatno</w:t>
            </w:r>
          </w:p>
        </w:tc>
        <w:tc>
          <w:tcPr>
            <w:tcW w:w="789" w:type="pct"/>
            <w:tcBorders>
              <w:top w:val="nil"/>
              <w:left w:val="nil"/>
              <w:bottom w:val="single" w:sz="4" w:space="0" w:color="auto"/>
              <w:right w:val="nil"/>
            </w:tcBorders>
            <w:shd w:val="clear" w:color="auto" w:fill="auto"/>
            <w:vAlign w:val="bottom"/>
          </w:tcPr>
          <w:p w14:paraId="3B288046" w14:textId="77777777" w:rsidR="004E2F51" w:rsidRPr="00D47D1C" w:rsidRDefault="004E2F51" w:rsidP="00E032FC">
            <w:pPr>
              <w:tabs>
                <w:tab w:val="left" w:pos="-720"/>
              </w:tabs>
              <w:ind w:right="-5"/>
              <w:jc w:val="right"/>
              <w:rPr>
                <w:rFonts w:ascii="Arial" w:hAnsi="Arial" w:cs="Arial"/>
                <w:color w:val="000000"/>
                <w:sz w:val="18"/>
                <w:szCs w:val="18"/>
              </w:rPr>
            </w:pPr>
            <w:r w:rsidRPr="00132C9F">
              <w:rPr>
                <w:rFonts w:ascii="Arial" w:hAnsi="Arial" w:cs="Arial"/>
                <w:color w:val="000000"/>
                <w:sz w:val="18"/>
                <w:szCs w:val="18"/>
              </w:rPr>
              <w:t>1.723.273</w:t>
            </w:r>
          </w:p>
        </w:tc>
        <w:tc>
          <w:tcPr>
            <w:tcW w:w="789" w:type="pct"/>
            <w:tcBorders>
              <w:top w:val="nil"/>
              <w:left w:val="nil"/>
              <w:bottom w:val="single" w:sz="4" w:space="0" w:color="auto"/>
              <w:right w:val="nil"/>
            </w:tcBorders>
            <w:shd w:val="clear" w:color="auto" w:fill="auto"/>
            <w:vAlign w:val="bottom"/>
          </w:tcPr>
          <w:p w14:paraId="1BCDCEA8"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r w:rsidRPr="00D47D1C">
              <w:rPr>
                <w:rFonts w:ascii="Arial" w:hAnsi="Arial" w:cs="Arial"/>
                <w:color w:val="000000"/>
                <w:sz w:val="18"/>
                <w:szCs w:val="18"/>
              </w:rPr>
              <w:t>1.203.834</w:t>
            </w:r>
          </w:p>
        </w:tc>
        <w:tc>
          <w:tcPr>
            <w:tcW w:w="789" w:type="pct"/>
            <w:tcBorders>
              <w:top w:val="nil"/>
              <w:left w:val="nil"/>
              <w:bottom w:val="single" w:sz="4" w:space="0" w:color="auto"/>
              <w:right w:val="nil"/>
            </w:tcBorders>
            <w:shd w:val="clear" w:color="auto" w:fill="auto"/>
            <w:vAlign w:val="bottom"/>
          </w:tcPr>
          <w:p w14:paraId="417DB29C" w14:textId="77777777" w:rsidR="004E2F51" w:rsidRPr="00D47D1C" w:rsidRDefault="004E2F51" w:rsidP="00E032FC">
            <w:pPr>
              <w:tabs>
                <w:tab w:val="left" w:pos="-720"/>
              </w:tabs>
              <w:ind w:right="-5"/>
              <w:jc w:val="right"/>
              <w:rPr>
                <w:rFonts w:ascii="Arial" w:hAnsi="Arial" w:cs="Arial"/>
                <w:color w:val="000000"/>
                <w:sz w:val="18"/>
                <w:szCs w:val="18"/>
              </w:rPr>
            </w:pPr>
            <w:r w:rsidRPr="00132C9F">
              <w:rPr>
                <w:rFonts w:ascii="Arial" w:hAnsi="Arial" w:cs="Arial"/>
                <w:color w:val="000000"/>
                <w:sz w:val="18"/>
                <w:szCs w:val="18"/>
              </w:rPr>
              <w:t>1.699.843</w:t>
            </w:r>
          </w:p>
        </w:tc>
        <w:tc>
          <w:tcPr>
            <w:tcW w:w="789" w:type="pct"/>
            <w:tcBorders>
              <w:top w:val="nil"/>
              <w:left w:val="nil"/>
              <w:bottom w:val="single" w:sz="4" w:space="0" w:color="auto"/>
              <w:right w:val="nil"/>
            </w:tcBorders>
            <w:shd w:val="clear" w:color="auto" w:fill="auto"/>
            <w:vAlign w:val="bottom"/>
          </w:tcPr>
          <w:p w14:paraId="0E39F1A0" w14:textId="77777777" w:rsidR="004E2F51" w:rsidRPr="00D47D1C" w:rsidRDefault="004E2F51" w:rsidP="00E032FC">
            <w:pPr>
              <w:tabs>
                <w:tab w:val="left" w:pos="-720"/>
              </w:tabs>
              <w:ind w:right="-5"/>
              <w:jc w:val="right"/>
              <w:rPr>
                <w:rFonts w:ascii="Arial" w:hAnsi="Arial" w:cs="Arial"/>
                <w:color w:val="000000" w:themeColor="text1"/>
                <w:sz w:val="18"/>
                <w:szCs w:val="18"/>
                <w:lang w:val="hr-HR"/>
              </w:rPr>
            </w:pPr>
            <w:r w:rsidRPr="00D47D1C">
              <w:rPr>
                <w:rFonts w:ascii="Arial" w:hAnsi="Arial" w:cs="Arial"/>
                <w:sz w:val="18"/>
                <w:szCs w:val="18"/>
              </w:rPr>
              <w:t>1.184.516</w:t>
            </w:r>
          </w:p>
        </w:tc>
      </w:tr>
      <w:tr w:rsidR="004E2F51" w:rsidRPr="00D47D1C" w14:paraId="6E6B8EB1" w14:textId="77777777" w:rsidTr="00E032FC">
        <w:trPr>
          <w:trHeight w:hRule="exact" w:val="397"/>
        </w:trPr>
        <w:tc>
          <w:tcPr>
            <w:tcW w:w="1844" w:type="pct"/>
            <w:shd w:val="clear" w:color="auto" w:fill="auto"/>
            <w:vAlign w:val="bottom"/>
          </w:tcPr>
          <w:p w14:paraId="2DDD1199" w14:textId="77777777" w:rsidR="004E2F51" w:rsidRPr="00D47D1C" w:rsidRDefault="004E2F51" w:rsidP="00E032FC">
            <w:pPr>
              <w:tabs>
                <w:tab w:val="left" w:pos="-720"/>
              </w:tabs>
              <w:spacing w:line="240" w:lineRule="exact"/>
              <w:ind w:right="-6"/>
              <w:rPr>
                <w:rFonts w:ascii="Arial" w:hAnsi="Arial" w:cs="Arial"/>
                <w:color w:val="000000" w:themeColor="text1"/>
                <w:sz w:val="18"/>
                <w:szCs w:val="18"/>
                <w:lang w:val="hr-HR"/>
              </w:rPr>
            </w:pPr>
            <w:r w:rsidRPr="00D47D1C">
              <w:rPr>
                <w:rFonts w:ascii="Arial" w:hAnsi="Arial" w:cs="Arial"/>
                <w:b/>
                <w:color w:val="000000" w:themeColor="text1"/>
                <w:sz w:val="18"/>
                <w:szCs w:val="18"/>
                <w:lang w:val="hr-HR"/>
              </w:rPr>
              <w:t>Ukupne obveze</w:t>
            </w:r>
          </w:p>
        </w:tc>
        <w:tc>
          <w:tcPr>
            <w:tcW w:w="789" w:type="pct"/>
            <w:tcBorders>
              <w:top w:val="single" w:sz="4" w:space="0" w:color="auto"/>
              <w:left w:val="nil"/>
              <w:bottom w:val="single" w:sz="12" w:space="0" w:color="auto"/>
              <w:right w:val="nil"/>
            </w:tcBorders>
            <w:shd w:val="clear" w:color="auto" w:fill="auto"/>
            <w:vAlign w:val="bottom"/>
          </w:tcPr>
          <w:p w14:paraId="14F8DDA5" w14:textId="77777777" w:rsidR="004E2F51" w:rsidRPr="00D47D1C" w:rsidRDefault="004E2F51" w:rsidP="00E032FC">
            <w:pPr>
              <w:tabs>
                <w:tab w:val="left" w:pos="-720"/>
              </w:tabs>
              <w:ind w:right="-5"/>
              <w:jc w:val="right"/>
              <w:rPr>
                <w:rFonts w:ascii="Arial" w:hAnsi="Arial" w:cs="Arial"/>
                <w:b/>
                <w:bCs/>
                <w:color w:val="000000"/>
                <w:sz w:val="18"/>
                <w:szCs w:val="18"/>
              </w:rPr>
            </w:pPr>
            <w:r w:rsidRPr="00132C9F">
              <w:rPr>
                <w:rFonts w:ascii="Arial" w:hAnsi="Arial" w:cs="Arial"/>
                <w:b/>
                <w:bCs/>
                <w:color w:val="000000"/>
                <w:sz w:val="18"/>
                <w:szCs w:val="18"/>
              </w:rPr>
              <w:t>18.345.137</w:t>
            </w:r>
          </w:p>
        </w:tc>
        <w:tc>
          <w:tcPr>
            <w:tcW w:w="789" w:type="pct"/>
            <w:tcBorders>
              <w:top w:val="single" w:sz="4" w:space="0" w:color="auto"/>
              <w:left w:val="nil"/>
              <w:bottom w:val="single" w:sz="12" w:space="0" w:color="auto"/>
              <w:right w:val="nil"/>
            </w:tcBorders>
            <w:shd w:val="clear" w:color="auto" w:fill="auto"/>
            <w:vAlign w:val="bottom"/>
          </w:tcPr>
          <w:p w14:paraId="2A5BCC39" w14:textId="77777777" w:rsidR="004E2F51" w:rsidRPr="00D47D1C" w:rsidRDefault="004E2F51" w:rsidP="00E032FC">
            <w:pPr>
              <w:tabs>
                <w:tab w:val="left" w:pos="-720"/>
              </w:tabs>
              <w:ind w:right="-5"/>
              <w:jc w:val="right"/>
              <w:rPr>
                <w:rFonts w:ascii="Arial" w:hAnsi="Arial" w:cs="Arial"/>
                <w:b/>
                <w:color w:val="000000" w:themeColor="text1"/>
                <w:sz w:val="18"/>
                <w:szCs w:val="18"/>
                <w:lang w:val="hr-HR"/>
              </w:rPr>
            </w:pPr>
            <w:r w:rsidRPr="00D47D1C">
              <w:rPr>
                <w:rFonts w:ascii="Arial" w:hAnsi="Arial" w:cs="Arial"/>
                <w:b/>
                <w:bCs/>
                <w:color w:val="000000"/>
                <w:sz w:val="18"/>
                <w:szCs w:val="18"/>
              </w:rPr>
              <w:t>17.701.577</w:t>
            </w:r>
          </w:p>
        </w:tc>
        <w:tc>
          <w:tcPr>
            <w:tcW w:w="789" w:type="pct"/>
            <w:tcBorders>
              <w:top w:val="single" w:sz="4" w:space="0" w:color="auto"/>
              <w:left w:val="nil"/>
              <w:bottom w:val="single" w:sz="12" w:space="0" w:color="auto"/>
              <w:right w:val="nil"/>
            </w:tcBorders>
            <w:shd w:val="clear" w:color="auto" w:fill="auto"/>
            <w:vAlign w:val="bottom"/>
          </w:tcPr>
          <w:p w14:paraId="1EB672E9" w14:textId="77777777" w:rsidR="004E2F51" w:rsidRPr="00D47D1C" w:rsidRDefault="004E2F51" w:rsidP="00E032FC">
            <w:pPr>
              <w:tabs>
                <w:tab w:val="left" w:pos="-720"/>
              </w:tabs>
              <w:ind w:right="-5"/>
              <w:jc w:val="right"/>
              <w:rPr>
                <w:rFonts w:ascii="Arial" w:hAnsi="Arial" w:cs="Arial"/>
                <w:b/>
                <w:bCs/>
                <w:color w:val="000000"/>
                <w:sz w:val="18"/>
                <w:szCs w:val="18"/>
              </w:rPr>
            </w:pPr>
            <w:r w:rsidRPr="00132C9F">
              <w:rPr>
                <w:rFonts w:ascii="Arial" w:hAnsi="Arial" w:cs="Arial"/>
                <w:b/>
                <w:bCs/>
                <w:color w:val="000000"/>
                <w:sz w:val="18"/>
                <w:szCs w:val="18"/>
              </w:rPr>
              <w:t>18.321.707</w:t>
            </w:r>
          </w:p>
        </w:tc>
        <w:tc>
          <w:tcPr>
            <w:tcW w:w="789" w:type="pct"/>
            <w:tcBorders>
              <w:top w:val="single" w:sz="4" w:space="0" w:color="auto"/>
              <w:left w:val="nil"/>
              <w:bottom w:val="single" w:sz="12" w:space="0" w:color="auto"/>
              <w:right w:val="nil"/>
            </w:tcBorders>
            <w:shd w:val="clear" w:color="auto" w:fill="auto"/>
            <w:vAlign w:val="bottom"/>
          </w:tcPr>
          <w:p w14:paraId="58632411" w14:textId="77777777" w:rsidR="004E2F51" w:rsidRPr="00D47D1C" w:rsidRDefault="004E2F51" w:rsidP="00E032FC">
            <w:pPr>
              <w:tabs>
                <w:tab w:val="left" w:pos="-720"/>
              </w:tabs>
              <w:ind w:right="-5"/>
              <w:jc w:val="right"/>
              <w:rPr>
                <w:rFonts w:ascii="Arial" w:hAnsi="Arial" w:cs="Arial"/>
                <w:b/>
                <w:color w:val="000000" w:themeColor="text1"/>
                <w:sz w:val="18"/>
                <w:szCs w:val="18"/>
                <w:lang w:val="hr-HR"/>
              </w:rPr>
            </w:pPr>
            <w:r w:rsidRPr="00D47D1C">
              <w:rPr>
                <w:rFonts w:ascii="Arial" w:hAnsi="Arial" w:cs="Arial"/>
                <w:b/>
                <w:bCs/>
                <w:sz w:val="18"/>
                <w:szCs w:val="18"/>
              </w:rPr>
              <w:t>17.682.259</w:t>
            </w:r>
          </w:p>
        </w:tc>
      </w:tr>
    </w:tbl>
    <w:p w14:paraId="2F4E196F" w14:textId="77777777" w:rsidR="004E2F51" w:rsidRPr="00D47D1C" w:rsidRDefault="004E2F51" w:rsidP="004E2F51">
      <w:pPr>
        <w:pStyle w:val="T1"/>
        <w:spacing w:after="0" w:line="240" w:lineRule="auto"/>
        <w:rPr>
          <w:rFonts w:cs="Arial"/>
          <w:color w:val="000000" w:themeColor="text1"/>
          <w:sz w:val="20"/>
          <w:lang w:val="hr-HR"/>
        </w:rPr>
      </w:pPr>
    </w:p>
    <w:p w14:paraId="623277FC" w14:textId="77777777" w:rsidR="004E2F51" w:rsidRPr="00D47D1C" w:rsidRDefault="004E2F51" w:rsidP="004E2F51">
      <w:pPr>
        <w:pStyle w:val="T1"/>
        <w:spacing w:after="0" w:line="240" w:lineRule="auto"/>
        <w:rPr>
          <w:rFonts w:cs="Arial"/>
          <w:color w:val="000000" w:themeColor="text1"/>
          <w:sz w:val="20"/>
          <w:lang w:val="hr-HR"/>
        </w:rPr>
      </w:pPr>
    </w:p>
    <w:p w14:paraId="4531F562" w14:textId="77777777" w:rsidR="004E2F51" w:rsidRPr="00D47D1C" w:rsidRDefault="004E2F51" w:rsidP="004E2F51">
      <w:pPr>
        <w:pStyle w:val="T1"/>
        <w:spacing w:after="0" w:line="240" w:lineRule="auto"/>
        <w:rPr>
          <w:rFonts w:cs="Arial"/>
          <w:color w:val="000000" w:themeColor="text1"/>
          <w:sz w:val="20"/>
          <w:lang w:val="hr-HR"/>
        </w:rPr>
      </w:pPr>
    </w:p>
    <w:p w14:paraId="289F8D97" w14:textId="77777777" w:rsidR="004E2F51" w:rsidRPr="00D47D1C" w:rsidRDefault="004E2F51" w:rsidP="004E2F51">
      <w:pPr>
        <w:pStyle w:val="T1"/>
        <w:spacing w:after="0" w:line="240" w:lineRule="auto"/>
        <w:rPr>
          <w:rFonts w:cs="Arial"/>
          <w:color w:val="000000" w:themeColor="text1"/>
          <w:sz w:val="20"/>
          <w:lang w:val="hr-HR"/>
        </w:rPr>
      </w:pPr>
    </w:p>
    <w:p w14:paraId="0C079D4B" w14:textId="77777777" w:rsidR="004E2F51" w:rsidRPr="00D47D1C" w:rsidRDefault="004E2F51" w:rsidP="004E2F51">
      <w:pPr>
        <w:pStyle w:val="T1"/>
        <w:spacing w:after="0" w:line="240" w:lineRule="auto"/>
        <w:rPr>
          <w:rFonts w:cs="Arial"/>
          <w:color w:val="000000" w:themeColor="text1"/>
          <w:sz w:val="20"/>
          <w:lang w:val="hr-HR"/>
        </w:rPr>
      </w:pPr>
    </w:p>
    <w:p w14:paraId="1B2A0C02" w14:textId="77777777" w:rsidR="004E2F51" w:rsidRPr="00D47D1C" w:rsidRDefault="004E2F51" w:rsidP="004E2F51">
      <w:pPr>
        <w:pStyle w:val="T1"/>
        <w:spacing w:after="0" w:line="240" w:lineRule="auto"/>
        <w:rPr>
          <w:rFonts w:cs="Arial"/>
          <w:color w:val="000000" w:themeColor="text1"/>
          <w:sz w:val="20"/>
          <w:lang w:val="hr-HR"/>
        </w:rPr>
        <w:sectPr w:rsidR="004E2F51" w:rsidRPr="00D47D1C" w:rsidSect="00623DBA">
          <w:footerReference w:type="default" r:id="rId213"/>
          <w:pgSz w:w="11907" w:h="16840" w:code="9"/>
          <w:pgMar w:top="1418" w:right="1134" w:bottom="1134" w:left="1418" w:header="851" w:footer="851" w:gutter="0"/>
          <w:cols w:space="720"/>
          <w:noEndnote/>
        </w:sectPr>
      </w:pPr>
    </w:p>
    <w:p w14:paraId="371B6053" w14:textId="77777777" w:rsidR="004E2F51" w:rsidRPr="00D47D1C" w:rsidRDefault="004E2F51" w:rsidP="004E2F51">
      <w:pPr>
        <w:pStyle w:val="T1"/>
        <w:spacing w:before="0" w:after="0" w:line="240" w:lineRule="auto"/>
        <w:ind w:left="709" w:hanging="709"/>
        <w:rPr>
          <w:rFonts w:cs="Arial"/>
          <w:color w:val="000000" w:themeColor="text1"/>
          <w:sz w:val="20"/>
          <w:lang w:val="hr-HR"/>
        </w:rPr>
      </w:pPr>
    </w:p>
    <w:p w14:paraId="304B2173" w14:textId="77777777" w:rsidR="004E2F51" w:rsidRPr="00D47D1C" w:rsidRDefault="004E2F51" w:rsidP="004E2F51">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Pr>
          <w:rFonts w:cs="Arial"/>
          <w:color w:val="000000" w:themeColor="text1"/>
          <w:sz w:val="20"/>
          <w:lang w:val="hr-HR"/>
        </w:rPr>
        <w:t>1</w:t>
      </w:r>
      <w:r w:rsidRPr="00D47D1C">
        <w:rPr>
          <w:rFonts w:cs="Arial"/>
          <w:color w:val="000000" w:themeColor="text1"/>
          <w:sz w:val="20"/>
          <w:lang w:val="hr-HR"/>
        </w:rPr>
        <w:t>.        Upravljanje rizicima (nastavak)</w:t>
      </w:r>
    </w:p>
    <w:p w14:paraId="4D4F15B0" w14:textId="77777777" w:rsidR="004E2F51" w:rsidRPr="00D47D1C" w:rsidRDefault="004E2F51" w:rsidP="004E2F51">
      <w:pPr>
        <w:pStyle w:val="T1"/>
        <w:spacing w:before="0" w:after="0" w:line="240" w:lineRule="auto"/>
        <w:ind w:left="709" w:hanging="709"/>
        <w:rPr>
          <w:rFonts w:cs="Arial"/>
          <w:color w:val="000000" w:themeColor="text1"/>
          <w:sz w:val="20"/>
          <w:lang w:val="hr-HR"/>
        </w:rPr>
      </w:pPr>
    </w:p>
    <w:p w14:paraId="6DFFE3C4" w14:textId="77777777" w:rsidR="004E2F51" w:rsidRPr="00D47D1C" w:rsidRDefault="004E2F51" w:rsidP="004E2F51">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Pr>
          <w:rFonts w:cs="Arial"/>
          <w:color w:val="000000" w:themeColor="text1"/>
          <w:sz w:val="20"/>
          <w:lang w:val="hr-HR"/>
        </w:rPr>
        <w:t>1</w:t>
      </w:r>
      <w:r w:rsidRPr="00D47D1C">
        <w:rPr>
          <w:rFonts w:cs="Arial"/>
          <w:color w:val="000000" w:themeColor="text1"/>
          <w:sz w:val="20"/>
          <w:lang w:val="hr-HR"/>
        </w:rPr>
        <w:t>.5.     Tržišni rizik (nastavak)</w:t>
      </w:r>
    </w:p>
    <w:p w14:paraId="0CD1C673" w14:textId="77777777" w:rsidR="004E2F51" w:rsidRPr="00D47D1C" w:rsidRDefault="004E2F51" w:rsidP="004E2F51">
      <w:pPr>
        <w:pStyle w:val="T1"/>
        <w:spacing w:before="0" w:after="0" w:line="240" w:lineRule="auto"/>
        <w:ind w:left="709" w:hanging="709"/>
        <w:rPr>
          <w:rFonts w:cs="Arial"/>
          <w:color w:val="000000" w:themeColor="text1"/>
          <w:sz w:val="20"/>
          <w:lang w:val="hr-HR"/>
        </w:rPr>
      </w:pPr>
    </w:p>
    <w:p w14:paraId="66B6E126" w14:textId="77777777" w:rsidR="004E2F51" w:rsidRPr="00D47D1C" w:rsidRDefault="004E2F51" w:rsidP="004E2F51">
      <w:pPr>
        <w:pStyle w:val="T1"/>
        <w:spacing w:before="0" w:after="0" w:line="240" w:lineRule="auto"/>
        <w:ind w:left="709" w:hanging="709"/>
        <w:rPr>
          <w:rFonts w:cs="Arial"/>
          <w:color w:val="000000" w:themeColor="text1"/>
          <w:sz w:val="20"/>
          <w:lang w:val="hr-HR"/>
        </w:rPr>
      </w:pPr>
      <w:r w:rsidRPr="00D47D1C">
        <w:rPr>
          <w:rFonts w:cs="Arial"/>
          <w:color w:val="000000" w:themeColor="text1"/>
          <w:sz w:val="20"/>
          <w:lang w:val="hr-HR"/>
        </w:rPr>
        <w:t>3</w:t>
      </w:r>
      <w:r>
        <w:rPr>
          <w:rFonts w:cs="Arial"/>
          <w:color w:val="000000" w:themeColor="text1"/>
          <w:sz w:val="20"/>
          <w:lang w:val="hr-HR"/>
        </w:rPr>
        <w:t>1</w:t>
      </w:r>
      <w:r w:rsidRPr="00D47D1C">
        <w:rPr>
          <w:rFonts w:cs="Arial"/>
          <w:color w:val="000000" w:themeColor="text1"/>
          <w:sz w:val="20"/>
          <w:lang w:val="hr-HR"/>
        </w:rPr>
        <w:t>.5.1.  Kamatni rizik (nastavak)</w:t>
      </w:r>
    </w:p>
    <w:p w14:paraId="10E85190" w14:textId="77777777" w:rsidR="004E2F51" w:rsidRPr="00D47D1C" w:rsidRDefault="004E2F51" w:rsidP="004E2F51">
      <w:pPr>
        <w:jc w:val="both"/>
        <w:rPr>
          <w:rFonts w:ascii="Arial" w:hAnsi="Arial" w:cs="Arial"/>
          <w:b/>
          <w:bCs/>
          <w:color w:val="000000" w:themeColor="text1"/>
          <w:sz w:val="20"/>
          <w:szCs w:val="20"/>
          <w:lang w:val="hr-HR"/>
        </w:rPr>
      </w:pPr>
    </w:p>
    <w:p w14:paraId="3B8DC439" w14:textId="77777777" w:rsidR="004E2F51" w:rsidRPr="00D47D1C" w:rsidRDefault="004E2F51" w:rsidP="004E2F51">
      <w:pPr>
        <w:jc w:val="both"/>
        <w:rPr>
          <w:rFonts w:ascii="Arial" w:hAnsi="Arial" w:cs="Arial"/>
          <w:b/>
          <w:bCs/>
          <w:color w:val="000000" w:themeColor="text1"/>
          <w:sz w:val="20"/>
          <w:szCs w:val="20"/>
          <w:lang w:val="hr-HR"/>
        </w:rPr>
      </w:pPr>
      <w:r w:rsidRPr="00D47D1C">
        <w:rPr>
          <w:rFonts w:ascii="Arial" w:hAnsi="Arial" w:cs="Arial"/>
          <w:b/>
          <w:bCs/>
          <w:color w:val="000000" w:themeColor="text1"/>
          <w:sz w:val="20"/>
          <w:szCs w:val="20"/>
          <w:lang w:val="hr-HR"/>
        </w:rPr>
        <w:t>Analiza osjetljivosti</w:t>
      </w:r>
    </w:p>
    <w:p w14:paraId="48ADA06A" w14:textId="77777777" w:rsidR="004E2F51" w:rsidRPr="00D47D1C" w:rsidRDefault="004E2F51" w:rsidP="004E2F51">
      <w:pPr>
        <w:keepNext/>
        <w:jc w:val="both"/>
        <w:rPr>
          <w:rFonts w:ascii="Arial" w:hAnsi="Arial" w:cs="Arial"/>
          <w:color w:val="000000" w:themeColor="text1"/>
          <w:sz w:val="20"/>
          <w:szCs w:val="20"/>
          <w:lang w:val="hr-HR"/>
        </w:rPr>
      </w:pPr>
    </w:p>
    <w:p w14:paraId="47EFD6F4" w14:textId="77777777" w:rsidR="004E2F51" w:rsidRPr="00D47D1C" w:rsidRDefault="004E2F51" w:rsidP="004E2F51">
      <w:pPr>
        <w:keepNext/>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Postavke korištene u izradi analize osjetljivosti za kamatni rizik vezane su uz moguće promjene referentnih kamatnih stopa radi procjene hipotetskog utjecaja na dobit HBOR-a.</w:t>
      </w:r>
    </w:p>
    <w:p w14:paraId="57161D50" w14:textId="77777777" w:rsidR="004E2F51" w:rsidRPr="00D47D1C" w:rsidRDefault="004E2F51" w:rsidP="004E2F51">
      <w:pPr>
        <w:keepNext/>
        <w:jc w:val="both"/>
        <w:rPr>
          <w:rFonts w:ascii="Arial" w:hAnsi="Arial" w:cs="Arial"/>
          <w:color w:val="000000" w:themeColor="text1"/>
          <w:sz w:val="20"/>
          <w:szCs w:val="20"/>
          <w:lang w:val="hr-HR"/>
        </w:rPr>
      </w:pPr>
    </w:p>
    <w:p w14:paraId="066F7BA1" w14:textId="77777777" w:rsidR="004E2F51" w:rsidRPr="00D47D1C" w:rsidRDefault="004E2F51" w:rsidP="004E2F51">
      <w:pPr>
        <w:keepNext/>
        <w:jc w:val="both"/>
        <w:rPr>
          <w:rFonts w:ascii="Arial" w:hAnsi="Arial" w:cs="Arial"/>
          <w:color w:val="000000" w:themeColor="text1"/>
          <w:sz w:val="20"/>
          <w:szCs w:val="20"/>
          <w:lang w:val="hr-HR"/>
        </w:rPr>
      </w:pPr>
      <w:r w:rsidRPr="00D47D1C">
        <w:rPr>
          <w:rFonts w:ascii="Arial" w:hAnsi="Arial" w:cs="Arial"/>
          <w:color w:val="000000" w:themeColor="text1"/>
          <w:sz w:val="20"/>
          <w:szCs w:val="20"/>
          <w:lang w:val="hr-HR"/>
        </w:rPr>
        <w:t>Primjenom metode standardne devijacije na dnevne promjene referentnih kamatnih stopa vezanih uz EUR i USD utvrđena je volatilnost navedenih stopa u 202</w:t>
      </w:r>
      <w:r>
        <w:rPr>
          <w:rFonts w:ascii="Arial" w:hAnsi="Arial" w:cs="Arial"/>
          <w:color w:val="000000" w:themeColor="text1"/>
          <w:sz w:val="20"/>
          <w:szCs w:val="20"/>
          <w:lang w:val="hr-HR"/>
        </w:rPr>
        <w:t>2</w:t>
      </w:r>
      <w:r w:rsidRPr="00D47D1C">
        <w:rPr>
          <w:rFonts w:ascii="Arial" w:hAnsi="Arial" w:cs="Arial"/>
          <w:color w:val="000000" w:themeColor="text1"/>
          <w:sz w:val="20"/>
          <w:szCs w:val="20"/>
          <w:lang w:val="hr-HR"/>
        </w:rPr>
        <w:t>. godini. Temeljem ovih volatilnosti utvrđene su veličine mogućih promjena referentnih kamatnih stopa vezanih uz EUR i USD koje su primijenjene u analizi osjetljivosti.</w:t>
      </w:r>
    </w:p>
    <w:p w14:paraId="7DE682BC" w14:textId="77777777" w:rsidR="004E2F51" w:rsidRPr="00D47D1C" w:rsidRDefault="004E2F51" w:rsidP="004E2F51">
      <w:pPr>
        <w:keepNext/>
        <w:jc w:val="both"/>
        <w:rPr>
          <w:rFonts w:ascii="Arial" w:hAnsi="Arial" w:cs="Arial"/>
          <w:bCs/>
          <w:color w:val="000000" w:themeColor="text1"/>
          <w:sz w:val="20"/>
          <w:szCs w:val="20"/>
          <w:lang w:val="hr-HR"/>
        </w:rPr>
      </w:pPr>
    </w:p>
    <w:p w14:paraId="0F326FCB" w14:textId="77777777" w:rsidR="004E2F51" w:rsidRPr="00D47D1C" w:rsidRDefault="004E2F51" w:rsidP="004E2F51">
      <w:pPr>
        <w:keepNext/>
        <w:jc w:val="both"/>
        <w:rPr>
          <w:rFonts w:ascii="Arial" w:hAnsi="Arial" w:cs="Arial"/>
          <w:bCs/>
          <w:color w:val="000000" w:themeColor="text1"/>
          <w:sz w:val="20"/>
          <w:szCs w:val="20"/>
          <w:lang w:val="hr-HR"/>
        </w:rPr>
      </w:pPr>
      <w:r w:rsidRPr="00D47D1C">
        <w:rPr>
          <w:rFonts w:ascii="Arial" w:hAnsi="Arial" w:cs="Arial"/>
          <w:bCs/>
          <w:color w:val="000000" w:themeColor="text1"/>
          <w:sz w:val="20"/>
          <w:szCs w:val="20"/>
          <w:lang w:val="hr-HR"/>
        </w:rPr>
        <w:t>Analiza prikazuje osjetljivost na razumno očekivane promjene bazičnih bodova promjenjivih kamatnih stopa. Sve ostale varijable ostaju nepromijenjene.</w:t>
      </w:r>
    </w:p>
    <w:p w14:paraId="1CF77E36" w14:textId="77777777" w:rsidR="004E2F51" w:rsidRPr="00D47D1C" w:rsidRDefault="004E2F51" w:rsidP="004E2F51">
      <w:pPr>
        <w:keepNext/>
        <w:jc w:val="both"/>
        <w:rPr>
          <w:rFonts w:ascii="Arial" w:hAnsi="Arial" w:cs="Arial"/>
          <w:bCs/>
          <w:color w:val="000000" w:themeColor="text1"/>
          <w:sz w:val="20"/>
          <w:szCs w:val="20"/>
          <w:lang w:val="hr-HR"/>
        </w:rPr>
      </w:pPr>
    </w:p>
    <w:p w14:paraId="5DB1B1AF" w14:textId="77777777" w:rsidR="004E2F51" w:rsidRPr="00D47D1C" w:rsidRDefault="004E2F51" w:rsidP="004E2F51">
      <w:pPr>
        <w:keepNext/>
        <w:jc w:val="both"/>
        <w:rPr>
          <w:rFonts w:ascii="Arial" w:hAnsi="Arial" w:cs="Arial"/>
          <w:bCs/>
          <w:color w:val="000000" w:themeColor="text1"/>
          <w:sz w:val="20"/>
          <w:szCs w:val="20"/>
          <w:lang w:val="hr-HR"/>
        </w:rPr>
      </w:pPr>
      <w:r w:rsidRPr="00D47D1C">
        <w:rPr>
          <w:rFonts w:ascii="Arial" w:hAnsi="Arial" w:cs="Arial"/>
          <w:bCs/>
          <w:color w:val="000000" w:themeColor="text1"/>
          <w:sz w:val="20"/>
          <w:szCs w:val="20"/>
          <w:lang w:val="hr-HR"/>
        </w:rPr>
        <w:t>Osjetljivost dobiti je pod utjecajem pretpostavljenih promjena u kamatnim stopama u razdoblju od godine dana, bazirano na kamatonosnoj imovini i obvezama uz promjenjivu kamatnu stopu.</w:t>
      </w:r>
    </w:p>
    <w:p w14:paraId="04FA7F23" w14:textId="77777777" w:rsidR="004E2F51" w:rsidRPr="00D47D1C" w:rsidRDefault="004E2F51" w:rsidP="004E2F51">
      <w:pPr>
        <w:keepNext/>
        <w:jc w:val="both"/>
        <w:rPr>
          <w:rFonts w:ascii="Arial" w:hAnsi="Arial" w:cs="Arial"/>
          <w:bCs/>
          <w:color w:val="000000" w:themeColor="text1"/>
          <w:sz w:val="20"/>
          <w:szCs w:val="20"/>
          <w:lang w:val="hr-HR"/>
        </w:rPr>
      </w:pPr>
    </w:p>
    <w:p w14:paraId="18EC1F29" w14:textId="77777777" w:rsidR="004E2F51" w:rsidRPr="00D47D1C" w:rsidRDefault="004E2F51" w:rsidP="004E2F51">
      <w:pPr>
        <w:keepNext/>
        <w:jc w:val="both"/>
        <w:rPr>
          <w:rFonts w:ascii="Arial" w:hAnsi="Arial" w:cs="Arial"/>
          <w:bCs/>
          <w:color w:val="000000" w:themeColor="text1"/>
          <w:sz w:val="20"/>
          <w:szCs w:val="20"/>
          <w:lang w:val="hr-HR"/>
        </w:rPr>
      </w:pPr>
    </w:p>
    <w:tbl>
      <w:tblPr>
        <w:tblW w:w="5001" w:type="pct"/>
        <w:jc w:val="center"/>
        <w:tblLook w:val="01E0" w:firstRow="1" w:lastRow="1" w:firstColumn="1" w:lastColumn="1" w:noHBand="0" w:noVBand="0"/>
      </w:tblPr>
      <w:tblGrid>
        <w:gridCol w:w="2413"/>
        <w:gridCol w:w="1735"/>
        <w:gridCol w:w="1735"/>
        <w:gridCol w:w="1735"/>
        <w:gridCol w:w="1739"/>
      </w:tblGrid>
      <w:tr w:rsidR="004E2F51" w:rsidRPr="00D47D1C" w14:paraId="5607D791" w14:textId="77777777" w:rsidTr="00E032FC">
        <w:trPr>
          <w:trHeight w:hRule="exact" w:val="814"/>
          <w:jc w:val="center"/>
        </w:trPr>
        <w:tc>
          <w:tcPr>
            <w:tcW w:w="1289" w:type="pct"/>
            <w:shd w:val="clear" w:color="auto" w:fill="auto"/>
          </w:tcPr>
          <w:p w14:paraId="35741946" w14:textId="77777777" w:rsidR="004E2F51" w:rsidRPr="00D47D1C" w:rsidRDefault="004E2F51" w:rsidP="00E032FC">
            <w:pPr>
              <w:spacing w:before="240" w:after="120" w:line="360" w:lineRule="auto"/>
              <w:rPr>
                <w:rFonts w:ascii="Arial" w:hAnsi="Arial" w:cs="Arial"/>
                <w:bCs/>
                <w:color w:val="000000" w:themeColor="text1"/>
                <w:sz w:val="18"/>
                <w:szCs w:val="18"/>
                <w:lang w:val="hr-HR"/>
              </w:rPr>
            </w:pPr>
            <w:r w:rsidRPr="00D47D1C">
              <w:rPr>
                <w:rFonts w:ascii="Arial" w:hAnsi="Arial" w:cs="Arial"/>
                <w:b/>
                <w:bCs/>
                <w:color w:val="000000" w:themeColor="text1"/>
                <w:sz w:val="18"/>
                <w:szCs w:val="18"/>
                <w:lang w:val="hr-HR"/>
              </w:rPr>
              <w:t>Valuta</w:t>
            </w:r>
          </w:p>
        </w:tc>
        <w:tc>
          <w:tcPr>
            <w:tcW w:w="927" w:type="pct"/>
            <w:shd w:val="clear" w:color="auto" w:fill="auto"/>
          </w:tcPr>
          <w:p w14:paraId="41FA60CE"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Povećanje bazičnih bodova </w:t>
            </w:r>
          </w:p>
          <w:p w14:paraId="3D609887"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2</w:t>
            </w:r>
            <w:r w:rsidRPr="00D47D1C">
              <w:rPr>
                <w:rFonts w:ascii="Arial" w:hAnsi="Arial" w:cs="Arial"/>
                <w:b/>
                <w:bCs/>
                <w:color w:val="000000" w:themeColor="text1"/>
                <w:sz w:val="18"/>
                <w:szCs w:val="18"/>
                <w:lang w:val="hr-HR"/>
              </w:rPr>
              <w:t>.</w:t>
            </w:r>
          </w:p>
        </w:tc>
        <w:tc>
          <w:tcPr>
            <w:tcW w:w="927" w:type="pct"/>
            <w:shd w:val="clear" w:color="auto" w:fill="auto"/>
          </w:tcPr>
          <w:p w14:paraId="3DC836C7"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Utjecaj </w:t>
            </w:r>
          </w:p>
          <w:p w14:paraId="44EA51ED"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na dobit</w:t>
            </w:r>
          </w:p>
          <w:p w14:paraId="6C55BE92"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2</w:t>
            </w:r>
            <w:r w:rsidRPr="00D47D1C">
              <w:rPr>
                <w:rFonts w:ascii="Arial" w:hAnsi="Arial" w:cs="Arial"/>
                <w:b/>
                <w:bCs/>
                <w:color w:val="000000" w:themeColor="text1"/>
                <w:sz w:val="18"/>
                <w:szCs w:val="18"/>
                <w:lang w:val="hr-HR"/>
              </w:rPr>
              <w:t>.</w:t>
            </w:r>
          </w:p>
        </w:tc>
        <w:tc>
          <w:tcPr>
            <w:tcW w:w="927" w:type="pct"/>
            <w:shd w:val="clear" w:color="auto" w:fill="auto"/>
          </w:tcPr>
          <w:p w14:paraId="307CE033"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Povećanje bazičnih bodova </w:t>
            </w:r>
          </w:p>
          <w:p w14:paraId="41B1D36D"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2021.</w:t>
            </w:r>
          </w:p>
        </w:tc>
        <w:tc>
          <w:tcPr>
            <w:tcW w:w="929" w:type="pct"/>
            <w:shd w:val="clear" w:color="auto" w:fill="auto"/>
          </w:tcPr>
          <w:p w14:paraId="5E08E0B3"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Utjecaj </w:t>
            </w:r>
          </w:p>
          <w:p w14:paraId="15A126A5"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na dobit</w:t>
            </w:r>
          </w:p>
          <w:p w14:paraId="625445D5"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2021.</w:t>
            </w:r>
          </w:p>
        </w:tc>
      </w:tr>
      <w:tr w:rsidR="004E2F51" w:rsidRPr="00D47D1C" w14:paraId="0331F680" w14:textId="77777777" w:rsidTr="00E032FC">
        <w:trPr>
          <w:trHeight w:hRule="exact" w:val="331"/>
          <w:jc w:val="center"/>
        </w:trPr>
        <w:tc>
          <w:tcPr>
            <w:tcW w:w="1289" w:type="pct"/>
            <w:shd w:val="clear" w:color="auto" w:fill="auto"/>
          </w:tcPr>
          <w:p w14:paraId="05E5B1B1" w14:textId="77777777" w:rsidR="004E2F51" w:rsidRPr="00D47D1C" w:rsidRDefault="004E2F51" w:rsidP="00E032FC">
            <w:pPr>
              <w:spacing w:before="240" w:after="120" w:line="360" w:lineRule="auto"/>
              <w:jc w:val="both"/>
              <w:rPr>
                <w:rFonts w:ascii="Arial" w:hAnsi="Arial" w:cs="Arial"/>
                <w:bCs/>
                <w:color w:val="000000" w:themeColor="text1"/>
                <w:sz w:val="18"/>
                <w:szCs w:val="18"/>
                <w:lang w:val="hr-HR"/>
              </w:rPr>
            </w:pPr>
          </w:p>
        </w:tc>
        <w:tc>
          <w:tcPr>
            <w:tcW w:w="927" w:type="pct"/>
            <w:shd w:val="clear" w:color="auto" w:fill="auto"/>
            <w:vAlign w:val="center"/>
          </w:tcPr>
          <w:p w14:paraId="57DE88E0" w14:textId="77777777" w:rsidR="004E2F51" w:rsidRPr="00D47D1C" w:rsidRDefault="004E2F51" w:rsidP="00E032FC">
            <w:pPr>
              <w:spacing w:line="0" w:lineRule="atLeast"/>
              <w:jc w:val="right"/>
              <w:rPr>
                <w:rFonts w:ascii="Arial" w:hAnsi="Arial" w:cs="Arial"/>
                <w:b/>
                <w:bCs/>
                <w:color w:val="000000" w:themeColor="text1"/>
                <w:sz w:val="18"/>
                <w:szCs w:val="18"/>
                <w:lang w:val="hr-HR"/>
              </w:rPr>
            </w:pPr>
          </w:p>
        </w:tc>
        <w:tc>
          <w:tcPr>
            <w:tcW w:w="927" w:type="pct"/>
            <w:shd w:val="clear" w:color="auto" w:fill="auto"/>
            <w:vAlign w:val="center"/>
          </w:tcPr>
          <w:p w14:paraId="0F35CE59"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color w:val="000000" w:themeColor="text1"/>
                <w:sz w:val="18"/>
                <w:szCs w:val="18"/>
                <w:lang w:val="hr-HR"/>
              </w:rPr>
              <w:t>000 kuna</w:t>
            </w:r>
          </w:p>
        </w:tc>
        <w:tc>
          <w:tcPr>
            <w:tcW w:w="927" w:type="pct"/>
            <w:shd w:val="clear" w:color="auto" w:fill="auto"/>
            <w:vAlign w:val="center"/>
          </w:tcPr>
          <w:p w14:paraId="1E39DF10" w14:textId="77777777" w:rsidR="004E2F51" w:rsidRPr="00D47D1C" w:rsidRDefault="004E2F51" w:rsidP="00E032FC">
            <w:pPr>
              <w:spacing w:line="0" w:lineRule="atLeast"/>
              <w:jc w:val="right"/>
              <w:rPr>
                <w:rFonts w:ascii="Arial" w:hAnsi="Arial" w:cs="Arial"/>
                <w:b/>
                <w:bCs/>
                <w:color w:val="000000" w:themeColor="text1"/>
                <w:sz w:val="18"/>
                <w:szCs w:val="18"/>
                <w:lang w:val="hr-HR"/>
              </w:rPr>
            </w:pPr>
          </w:p>
        </w:tc>
        <w:tc>
          <w:tcPr>
            <w:tcW w:w="929" w:type="pct"/>
            <w:shd w:val="clear" w:color="auto" w:fill="auto"/>
            <w:vAlign w:val="center"/>
          </w:tcPr>
          <w:p w14:paraId="2D2F1B2A"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color w:val="000000" w:themeColor="text1"/>
                <w:sz w:val="18"/>
                <w:szCs w:val="18"/>
                <w:lang w:val="hr-HR"/>
              </w:rPr>
              <w:t>000 kuna</w:t>
            </w:r>
          </w:p>
        </w:tc>
      </w:tr>
      <w:tr w:rsidR="004E2F51" w:rsidRPr="00D47D1C" w14:paraId="262161E1" w14:textId="77777777" w:rsidTr="00E032FC">
        <w:trPr>
          <w:trHeight w:hRule="exact" w:val="113"/>
          <w:jc w:val="center"/>
        </w:trPr>
        <w:tc>
          <w:tcPr>
            <w:tcW w:w="1289" w:type="pct"/>
            <w:shd w:val="clear" w:color="auto" w:fill="auto"/>
          </w:tcPr>
          <w:p w14:paraId="2ECA309E" w14:textId="77777777" w:rsidR="004E2F51" w:rsidRPr="00D47D1C" w:rsidRDefault="004E2F51" w:rsidP="00E032FC">
            <w:pPr>
              <w:spacing w:before="240" w:after="120" w:line="360" w:lineRule="auto"/>
              <w:jc w:val="both"/>
              <w:rPr>
                <w:rFonts w:ascii="Arial" w:hAnsi="Arial" w:cs="Arial"/>
                <w:bCs/>
                <w:color w:val="000000" w:themeColor="text1"/>
                <w:sz w:val="18"/>
                <w:szCs w:val="18"/>
                <w:lang w:val="hr-HR"/>
              </w:rPr>
            </w:pPr>
          </w:p>
        </w:tc>
        <w:tc>
          <w:tcPr>
            <w:tcW w:w="927" w:type="pct"/>
            <w:shd w:val="clear" w:color="auto" w:fill="auto"/>
            <w:vAlign w:val="center"/>
          </w:tcPr>
          <w:p w14:paraId="1DB7E602" w14:textId="77777777" w:rsidR="004E2F51" w:rsidRPr="00D47D1C" w:rsidRDefault="004E2F51" w:rsidP="00E032FC">
            <w:pPr>
              <w:spacing w:line="0" w:lineRule="atLeast"/>
              <w:rPr>
                <w:rFonts w:ascii="Arial" w:hAnsi="Arial" w:cs="Arial"/>
                <w:b/>
                <w:bCs/>
                <w:color w:val="000000" w:themeColor="text1"/>
                <w:sz w:val="18"/>
                <w:szCs w:val="18"/>
                <w:lang w:val="hr-HR"/>
              </w:rPr>
            </w:pPr>
          </w:p>
        </w:tc>
        <w:tc>
          <w:tcPr>
            <w:tcW w:w="927" w:type="pct"/>
            <w:shd w:val="clear" w:color="auto" w:fill="auto"/>
            <w:vAlign w:val="center"/>
          </w:tcPr>
          <w:p w14:paraId="32FFA595" w14:textId="77777777" w:rsidR="004E2F51" w:rsidRPr="00D47D1C" w:rsidRDefault="004E2F51" w:rsidP="00E032FC">
            <w:pPr>
              <w:spacing w:line="0" w:lineRule="atLeast"/>
              <w:rPr>
                <w:rFonts w:ascii="Arial" w:hAnsi="Arial" w:cs="Arial"/>
                <w:b/>
                <w:bCs/>
                <w:color w:val="000000" w:themeColor="text1"/>
                <w:sz w:val="18"/>
                <w:szCs w:val="18"/>
                <w:lang w:val="hr-HR"/>
              </w:rPr>
            </w:pPr>
          </w:p>
        </w:tc>
        <w:tc>
          <w:tcPr>
            <w:tcW w:w="927" w:type="pct"/>
            <w:shd w:val="clear" w:color="auto" w:fill="auto"/>
            <w:vAlign w:val="center"/>
          </w:tcPr>
          <w:p w14:paraId="14800A37" w14:textId="77777777" w:rsidR="004E2F51" w:rsidRPr="00D47D1C" w:rsidRDefault="004E2F51" w:rsidP="00E032FC">
            <w:pPr>
              <w:spacing w:line="0" w:lineRule="atLeast"/>
              <w:rPr>
                <w:rFonts w:ascii="Arial" w:hAnsi="Arial" w:cs="Arial"/>
                <w:b/>
                <w:bCs/>
                <w:color w:val="000000" w:themeColor="text1"/>
                <w:sz w:val="18"/>
                <w:szCs w:val="18"/>
                <w:lang w:val="hr-HR"/>
              </w:rPr>
            </w:pPr>
          </w:p>
        </w:tc>
        <w:tc>
          <w:tcPr>
            <w:tcW w:w="929" w:type="pct"/>
            <w:shd w:val="clear" w:color="auto" w:fill="auto"/>
            <w:vAlign w:val="center"/>
          </w:tcPr>
          <w:p w14:paraId="0F14A598" w14:textId="77777777" w:rsidR="004E2F51" w:rsidRPr="00D47D1C" w:rsidRDefault="004E2F51" w:rsidP="00E032FC">
            <w:pPr>
              <w:spacing w:line="0" w:lineRule="atLeast"/>
              <w:jc w:val="right"/>
              <w:rPr>
                <w:rFonts w:ascii="Arial" w:hAnsi="Arial" w:cs="Arial"/>
                <w:b/>
                <w:color w:val="000000" w:themeColor="text1"/>
                <w:sz w:val="18"/>
                <w:szCs w:val="18"/>
                <w:lang w:val="hr-HR"/>
              </w:rPr>
            </w:pPr>
          </w:p>
        </w:tc>
      </w:tr>
      <w:tr w:rsidR="004E2F51" w:rsidRPr="00D47D1C" w14:paraId="5C72D865" w14:textId="77777777" w:rsidTr="00E032FC">
        <w:trPr>
          <w:trHeight w:hRule="exact" w:val="284"/>
          <w:jc w:val="center"/>
        </w:trPr>
        <w:tc>
          <w:tcPr>
            <w:tcW w:w="1289" w:type="pct"/>
            <w:shd w:val="clear" w:color="auto" w:fill="auto"/>
            <w:vAlign w:val="center"/>
          </w:tcPr>
          <w:p w14:paraId="69B4CE46" w14:textId="77777777" w:rsidR="004E2F51" w:rsidRPr="00D47D1C" w:rsidRDefault="004E2F51" w:rsidP="00E032FC">
            <w:pPr>
              <w:spacing w:line="360" w:lineRule="auto"/>
              <w:jc w:val="both"/>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 xml:space="preserve">EUR      </w:t>
            </w:r>
          </w:p>
        </w:tc>
        <w:tc>
          <w:tcPr>
            <w:tcW w:w="927" w:type="pct"/>
            <w:shd w:val="clear" w:color="auto" w:fill="auto"/>
            <w:vAlign w:val="bottom"/>
          </w:tcPr>
          <w:p w14:paraId="585A55F4" w14:textId="77777777" w:rsidR="004E2F51" w:rsidRPr="00D47D1C" w:rsidRDefault="004E2F51" w:rsidP="00E032FC">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+9</w:t>
            </w:r>
          </w:p>
        </w:tc>
        <w:tc>
          <w:tcPr>
            <w:tcW w:w="927" w:type="pct"/>
            <w:shd w:val="clear" w:color="auto" w:fill="auto"/>
            <w:vAlign w:val="bottom"/>
          </w:tcPr>
          <w:p w14:paraId="1CA05B84" w14:textId="77777777" w:rsidR="004E2F51" w:rsidRPr="00D47D1C" w:rsidRDefault="004E2F51" w:rsidP="00E032FC">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1.057</w:t>
            </w:r>
          </w:p>
        </w:tc>
        <w:tc>
          <w:tcPr>
            <w:tcW w:w="927" w:type="pct"/>
            <w:shd w:val="clear" w:color="auto" w:fill="auto"/>
            <w:vAlign w:val="bottom"/>
          </w:tcPr>
          <w:p w14:paraId="4EE3A3AE" w14:textId="77777777" w:rsidR="004E2F51" w:rsidRPr="00D47D1C" w:rsidRDefault="004E2F51" w:rsidP="00E032FC">
            <w:pPr>
              <w:spacing w:line="360" w:lineRule="auto"/>
              <w:jc w:val="right"/>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+6</w:t>
            </w:r>
          </w:p>
        </w:tc>
        <w:tc>
          <w:tcPr>
            <w:tcW w:w="929" w:type="pct"/>
            <w:shd w:val="clear" w:color="auto" w:fill="auto"/>
            <w:vAlign w:val="bottom"/>
          </w:tcPr>
          <w:p w14:paraId="0E0B240E" w14:textId="77777777" w:rsidR="004E2F51" w:rsidRPr="00D47D1C" w:rsidRDefault="004E2F51" w:rsidP="00E032FC">
            <w:pPr>
              <w:spacing w:line="360" w:lineRule="auto"/>
              <w:jc w:val="right"/>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w:t>
            </w:r>
            <w:r w:rsidRPr="00D47D1C">
              <w:rPr>
                <w:rStyle w:val="FootnoteReference"/>
                <w:rFonts w:ascii="Arial" w:hAnsi="Arial" w:cs="Arial"/>
                <w:bCs/>
                <w:color w:val="000000" w:themeColor="text1"/>
                <w:sz w:val="18"/>
                <w:szCs w:val="18"/>
                <w:lang w:val="hr-HR"/>
              </w:rPr>
              <w:footnoteReference w:id="6"/>
            </w:r>
          </w:p>
        </w:tc>
      </w:tr>
      <w:tr w:rsidR="004E2F51" w:rsidRPr="00D47D1C" w14:paraId="0C7A257A" w14:textId="77777777" w:rsidTr="00E032FC">
        <w:trPr>
          <w:trHeight w:hRule="exact" w:val="284"/>
          <w:jc w:val="center"/>
        </w:trPr>
        <w:tc>
          <w:tcPr>
            <w:tcW w:w="1289" w:type="pct"/>
            <w:shd w:val="clear" w:color="auto" w:fill="auto"/>
            <w:vAlign w:val="center"/>
          </w:tcPr>
          <w:p w14:paraId="3CE47415" w14:textId="77777777" w:rsidR="004E2F51" w:rsidRPr="00D47D1C" w:rsidRDefault="004E2F51" w:rsidP="00E032FC">
            <w:pPr>
              <w:spacing w:line="360" w:lineRule="auto"/>
              <w:jc w:val="both"/>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USD</w:t>
            </w:r>
          </w:p>
        </w:tc>
        <w:tc>
          <w:tcPr>
            <w:tcW w:w="927" w:type="pct"/>
            <w:shd w:val="clear" w:color="auto" w:fill="auto"/>
            <w:vAlign w:val="bottom"/>
          </w:tcPr>
          <w:p w14:paraId="234617DB" w14:textId="77777777" w:rsidR="004E2F51" w:rsidRPr="00D47D1C" w:rsidRDefault="004E2F51" w:rsidP="00E032FC">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+2</w:t>
            </w:r>
          </w:p>
        </w:tc>
        <w:tc>
          <w:tcPr>
            <w:tcW w:w="927" w:type="pct"/>
            <w:shd w:val="clear" w:color="auto" w:fill="auto"/>
            <w:vAlign w:val="bottom"/>
          </w:tcPr>
          <w:p w14:paraId="530DF84F" w14:textId="77777777" w:rsidR="004E2F51" w:rsidRPr="00D47D1C" w:rsidRDefault="004E2F51" w:rsidP="00E032FC">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w:t>
            </w:r>
          </w:p>
        </w:tc>
        <w:tc>
          <w:tcPr>
            <w:tcW w:w="927" w:type="pct"/>
            <w:shd w:val="clear" w:color="auto" w:fill="auto"/>
            <w:vAlign w:val="bottom"/>
          </w:tcPr>
          <w:p w14:paraId="59FBE10A" w14:textId="77777777" w:rsidR="004E2F51" w:rsidRPr="00D47D1C" w:rsidRDefault="004E2F51" w:rsidP="00E032FC">
            <w:pPr>
              <w:spacing w:line="360" w:lineRule="auto"/>
              <w:jc w:val="right"/>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+10</w:t>
            </w:r>
          </w:p>
        </w:tc>
        <w:tc>
          <w:tcPr>
            <w:tcW w:w="929" w:type="pct"/>
            <w:shd w:val="clear" w:color="auto" w:fill="auto"/>
            <w:vAlign w:val="bottom"/>
          </w:tcPr>
          <w:p w14:paraId="2EF51D84" w14:textId="77777777" w:rsidR="004E2F51" w:rsidRPr="00D47D1C" w:rsidRDefault="004E2F51" w:rsidP="00E032FC">
            <w:pPr>
              <w:spacing w:line="360" w:lineRule="auto"/>
              <w:jc w:val="right"/>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174</w:t>
            </w:r>
          </w:p>
        </w:tc>
      </w:tr>
      <w:tr w:rsidR="004E2F51" w:rsidRPr="00D47D1C" w14:paraId="033BDB1B" w14:textId="77777777" w:rsidTr="00E032FC">
        <w:trPr>
          <w:trHeight w:hRule="exact" w:val="284"/>
          <w:jc w:val="center"/>
        </w:trPr>
        <w:tc>
          <w:tcPr>
            <w:tcW w:w="1289" w:type="pct"/>
            <w:shd w:val="clear" w:color="auto" w:fill="auto"/>
            <w:vAlign w:val="center"/>
          </w:tcPr>
          <w:p w14:paraId="44FC689A" w14:textId="77777777" w:rsidR="004E2F51" w:rsidRPr="00D47D1C" w:rsidRDefault="004E2F51" w:rsidP="00E032FC">
            <w:pPr>
              <w:spacing w:line="360" w:lineRule="auto"/>
              <w:jc w:val="both"/>
              <w:rPr>
                <w:rFonts w:ascii="Arial" w:hAnsi="Arial" w:cs="Arial"/>
                <w:bCs/>
                <w:color w:val="000000" w:themeColor="text1"/>
                <w:sz w:val="18"/>
                <w:szCs w:val="18"/>
                <w:lang w:val="hr-HR"/>
              </w:rPr>
            </w:pPr>
          </w:p>
        </w:tc>
        <w:tc>
          <w:tcPr>
            <w:tcW w:w="927" w:type="pct"/>
            <w:shd w:val="clear" w:color="auto" w:fill="auto"/>
            <w:vAlign w:val="center"/>
          </w:tcPr>
          <w:p w14:paraId="2245A707" w14:textId="77777777" w:rsidR="004E2F51" w:rsidRPr="00D47D1C" w:rsidRDefault="004E2F51" w:rsidP="00E032FC">
            <w:pPr>
              <w:spacing w:line="360" w:lineRule="auto"/>
              <w:jc w:val="right"/>
              <w:rPr>
                <w:rFonts w:ascii="Arial" w:hAnsi="Arial" w:cs="Arial"/>
                <w:bCs/>
                <w:color w:val="000000" w:themeColor="text1"/>
                <w:sz w:val="18"/>
                <w:szCs w:val="18"/>
                <w:lang w:val="hr-HR"/>
              </w:rPr>
            </w:pPr>
          </w:p>
        </w:tc>
        <w:tc>
          <w:tcPr>
            <w:tcW w:w="927" w:type="pct"/>
            <w:shd w:val="clear" w:color="auto" w:fill="auto"/>
            <w:vAlign w:val="center"/>
          </w:tcPr>
          <w:p w14:paraId="65256B2B" w14:textId="77777777" w:rsidR="004E2F51" w:rsidRPr="00D47D1C" w:rsidRDefault="004E2F51" w:rsidP="00E032FC">
            <w:pPr>
              <w:spacing w:line="360" w:lineRule="auto"/>
              <w:jc w:val="right"/>
              <w:rPr>
                <w:rFonts w:ascii="Arial" w:hAnsi="Arial" w:cs="Arial"/>
                <w:bCs/>
                <w:color w:val="000000" w:themeColor="text1"/>
                <w:sz w:val="18"/>
                <w:szCs w:val="18"/>
                <w:lang w:val="hr-HR"/>
              </w:rPr>
            </w:pPr>
          </w:p>
        </w:tc>
        <w:tc>
          <w:tcPr>
            <w:tcW w:w="927" w:type="pct"/>
            <w:shd w:val="clear" w:color="auto" w:fill="auto"/>
            <w:vAlign w:val="center"/>
          </w:tcPr>
          <w:p w14:paraId="678D303A" w14:textId="77777777" w:rsidR="004E2F51" w:rsidRPr="00D47D1C" w:rsidRDefault="004E2F51" w:rsidP="00E032FC">
            <w:pPr>
              <w:spacing w:line="360" w:lineRule="auto"/>
              <w:jc w:val="right"/>
              <w:rPr>
                <w:rFonts w:ascii="Arial" w:hAnsi="Arial" w:cs="Arial"/>
                <w:bCs/>
                <w:color w:val="000000" w:themeColor="text1"/>
                <w:sz w:val="18"/>
                <w:szCs w:val="18"/>
                <w:lang w:val="hr-HR"/>
              </w:rPr>
            </w:pPr>
          </w:p>
        </w:tc>
        <w:tc>
          <w:tcPr>
            <w:tcW w:w="929" w:type="pct"/>
            <w:shd w:val="clear" w:color="auto" w:fill="auto"/>
            <w:vAlign w:val="center"/>
          </w:tcPr>
          <w:p w14:paraId="2E801895" w14:textId="77777777" w:rsidR="004E2F51" w:rsidRPr="00D47D1C" w:rsidRDefault="004E2F51" w:rsidP="00E032FC">
            <w:pPr>
              <w:spacing w:line="360" w:lineRule="auto"/>
              <w:jc w:val="right"/>
              <w:rPr>
                <w:rFonts w:ascii="Arial" w:hAnsi="Arial" w:cs="Arial"/>
                <w:bCs/>
                <w:color w:val="000000" w:themeColor="text1"/>
                <w:sz w:val="18"/>
                <w:szCs w:val="18"/>
                <w:lang w:val="hr-HR"/>
              </w:rPr>
            </w:pPr>
          </w:p>
        </w:tc>
      </w:tr>
      <w:tr w:rsidR="004E2F51" w:rsidRPr="00D47D1C" w14:paraId="573F481D" w14:textId="77777777" w:rsidTr="00E032FC">
        <w:trPr>
          <w:trHeight w:hRule="exact" w:val="830"/>
          <w:jc w:val="center"/>
        </w:trPr>
        <w:tc>
          <w:tcPr>
            <w:tcW w:w="1289" w:type="pct"/>
            <w:shd w:val="clear" w:color="auto" w:fill="auto"/>
            <w:vAlign w:val="center"/>
          </w:tcPr>
          <w:p w14:paraId="2A515F85" w14:textId="77777777" w:rsidR="004E2F51" w:rsidRPr="00D47D1C" w:rsidRDefault="004E2F51" w:rsidP="00E032FC">
            <w:pPr>
              <w:spacing w:before="240" w:after="120" w:line="360" w:lineRule="auto"/>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Valuta</w:t>
            </w:r>
          </w:p>
        </w:tc>
        <w:tc>
          <w:tcPr>
            <w:tcW w:w="927" w:type="pct"/>
            <w:shd w:val="clear" w:color="auto" w:fill="auto"/>
          </w:tcPr>
          <w:p w14:paraId="0ECA3A74"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Smanjenje bazičnih bodova </w:t>
            </w:r>
          </w:p>
          <w:p w14:paraId="7F31230B"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2</w:t>
            </w:r>
            <w:r w:rsidRPr="00D47D1C">
              <w:rPr>
                <w:rFonts w:ascii="Arial" w:hAnsi="Arial" w:cs="Arial"/>
                <w:b/>
                <w:bCs/>
                <w:color w:val="000000" w:themeColor="text1"/>
                <w:sz w:val="18"/>
                <w:szCs w:val="18"/>
                <w:lang w:val="hr-HR"/>
              </w:rPr>
              <w:t>.</w:t>
            </w:r>
          </w:p>
        </w:tc>
        <w:tc>
          <w:tcPr>
            <w:tcW w:w="927" w:type="pct"/>
            <w:shd w:val="clear" w:color="auto" w:fill="auto"/>
          </w:tcPr>
          <w:p w14:paraId="1B1A51F6"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Utjecaj </w:t>
            </w:r>
          </w:p>
          <w:p w14:paraId="5BC712AC"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na dobit</w:t>
            </w:r>
          </w:p>
          <w:p w14:paraId="7F24352F"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2</w:t>
            </w:r>
            <w:r w:rsidRPr="00D47D1C">
              <w:rPr>
                <w:rFonts w:ascii="Arial" w:hAnsi="Arial" w:cs="Arial"/>
                <w:b/>
                <w:bCs/>
                <w:color w:val="000000" w:themeColor="text1"/>
                <w:sz w:val="18"/>
                <w:szCs w:val="18"/>
                <w:lang w:val="hr-HR"/>
              </w:rPr>
              <w:t>.</w:t>
            </w:r>
          </w:p>
        </w:tc>
        <w:tc>
          <w:tcPr>
            <w:tcW w:w="927" w:type="pct"/>
            <w:shd w:val="clear" w:color="auto" w:fill="auto"/>
          </w:tcPr>
          <w:p w14:paraId="2B195113"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Smanjenje bazičnih bodova </w:t>
            </w:r>
          </w:p>
          <w:p w14:paraId="05480944" w14:textId="77777777" w:rsidR="004E2F51" w:rsidRPr="00D47D1C" w:rsidRDefault="004E2F51" w:rsidP="00E032FC">
            <w:pPr>
              <w:spacing w:line="360" w:lineRule="auto"/>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2021.</w:t>
            </w:r>
          </w:p>
        </w:tc>
        <w:tc>
          <w:tcPr>
            <w:tcW w:w="929" w:type="pct"/>
            <w:shd w:val="clear" w:color="auto" w:fill="auto"/>
          </w:tcPr>
          <w:p w14:paraId="3798347E"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 xml:space="preserve">Utjecaj </w:t>
            </w:r>
          </w:p>
          <w:p w14:paraId="6522A7DA"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na dobit</w:t>
            </w:r>
          </w:p>
          <w:p w14:paraId="7D8E4D7A" w14:textId="77777777" w:rsidR="004E2F51" w:rsidRPr="00D47D1C" w:rsidRDefault="004E2F51" w:rsidP="00E032FC">
            <w:pPr>
              <w:spacing w:line="360" w:lineRule="auto"/>
              <w:jc w:val="right"/>
              <w:rPr>
                <w:rFonts w:ascii="Arial" w:hAnsi="Arial" w:cs="Arial"/>
                <w:b/>
                <w:bCs/>
                <w:color w:val="000000" w:themeColor="text1"/>
                <w:sz w:val="18"/>
                <w:szCs w:val="18"/>
                <w:lang w:val="hr-HR"/>
              </w:rPr>
            </w:pPr>
            <w:r w:rsidRPr="00D47D1C">
              <w:rPr>
                <w:rFonts w:ascii="Arial" w:hAnsi="Arial" w:cs="Arial"/>
                <w:b/>
                <w:bCs/>
                <w:color w:val="000000" w:themeColor="text1"/>
                <w:sz w:val="18"/>
                <w:szCs w:val="18"/>
                <w:lang w:val="hr-HR"/>
              </w:rPr>
              <w:t>2021.</w:t>
            </w:r>
          </w:p>
        </w:tc>
      </w:tr>
      <w:tr w:rsidR="004E2F51" w:rsidRPr="00D47D1C" w14:paraId="6EAA08B8" w14:textId="77777777" w:rsidTr="00E032FC">
        <w:trPr>
          <w:trHeight w:hRule="exact" w:val="279"/>
          <w:jc w:val="center"/>
        </w:trPr>
        <w:tc>
          <w:tcPr>
            <w:tcW w:w="1289" w:type="pct"/>
            <w:shd w:val="clear" w:color="auto" w:fill="auto"/>
            <w:vAlign w:val="bottom"/>
          </w:tcPr>
          <w:p w14:paraId="31BE780C" w14:textId="77777777" w:rsidR="004E2F51" w:rsidRPr="00D47D1C" w:rsidRDefault="004E2F51" w:rsidP="00E032FC">
            <w:pPr>
              <w:spacing w:line="360" w:lineRule="auto"/>
              <w:jc w:val="both"/>
              <w:rPr>
                <w:rFonts w:ascii="Arial" w:hAnsi="Arial" w:cs="Arial"/>
                <w:b/>
                <w:bCs/>
                <w:color w:val="000000" w:themeColor="text1"/>
                <w:sz w:val="18"/>
                <w:szCs w:val="18"/>
                <w:lang w:val="hr-HR"/>
              </w:rPr>
            </w:pPr>
          </w:p>
        </w:tc>
        <w:tc>
          <w:tcPr>
            <w:tcW w:w="927" w:type="pct"/>
            <w:shd w:val="clear" w:color="auto" w:fill="auto"/>
            <w:vAlign w:val="center"/>
          </w:tcPr>
          <w:p w14:paraId="73103355" w14:textId="77777777" w:rsidR="004E2F51" w:rsidRPr="00D47D1C" w:rsidRDefault="004E2F51" w:rsidP="00E032FC">
            <w:pPr>
              <w:spacing w:line="0" w:lineRule="atLeast"/>
              <w:jc w:val="right"/>
              <w:rPr>
                <w:rFonts w:ascii="Arial" w:hAnsi="Arial" w:cs="Arial"/>
                <w:b/>
                <w:bCs/>
                <w:color w:val="000000" w:themeColor="text1"/>
                <w:sz w:val="18"/>
                <w:szCs w:val="18"/>
                <w:lang w:val="hr-HR"/>
              </w:rPr>
            </w:pPr>
          </w:p>
        </w:tc>
        <w:tc>
          <w:tcPr>
            <w:tcW w:w="927" w:type="pct"/>
            <w:shd w:val="clear" w:color="auto" w:fill="auto"/>
            <w:vAlign w:val="center"/>
          </w:tcPr>
          <w:p w14:paraId="4F8E2EF3"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color w:val="000000" w:themeColor="text1"/>
                <w:sz w:val="18"/>
                <w:szCs w:val="18"/>
                <w:lang w:val="hr-HR"/>
              </w:rPr>
              <w:t>000 kuna</w:t>
            </w:r>
          </w:p>
        </w:tc>
        <w:tc>
          <w:tcPr>
            <w:tcW w:w="927" w:type="pct"/>
            <w:shd w:val="clear" w:color="auto" w:fill="auto"/>
            <w:vAlign w:val="center"/>
          </w:tcPr>
          <w:p w14:paraId="1CAC0FD9" w14:textId="77777777" w:rsidR="004E2F51" w:rsidRPr="00D47D1C" w:rsidRDefault="004E2F51" w:rsidP="00E032FC">
            <w:pPr>
              <w:spacing w:line="0" w:lineRule="atLeast"/>
              <w:jc w:val="right"/>
              <w:rPr>
                <w:rFonts w:ascii="Arial" w:hAnsi="Arial" w:cs="Arial"/>
                <w:b/>
                <w:bCs/>
                <w:color w:val="000000" w:themeColor="text1"/>
                <w:sz w:val="18"/>
                <w:szCs w:val="18"/>
                <w:lang w:val="hr-HR"/>
              </w:rPr>
            </w:pPr>
          </w:p>
        </w:tc>
        <w:tc>
          <w:tcPr>
            <w:tcW w:w="929" w:type="pct"/>
            <w:shd w:val="clear" w:color="auto" w:fill="auto"/>
            <w:vAlign w:val="center"/>
          </w:tcPr>
          <w:p w14:paraId="0FE8BD12" w14:textId="77777777" w:rsidR="004E2F51" w:rsidRPr="00D47D1C" w:rsidRDefault="004E2F51" w:rsidP="00E032FC">
            <w:pPr>
              <w:spacing w:line="0" w:lineRule="atLeast"/>
              <w:jc w:val="right"/>
              <w:rPr>
                <w:rFonts w:ascii="Arial" w:hAnsi="Arial" w:cs="Arial"/>
                <w:b/>
                <w:bCs/>
                <w:color w:val="000000" w:themeColor="text1"/>
                <w:sz w:val="18"/>
                <w:szCs w:val="18"/>
                <w:lang w:val="hr-HR"/>
              </w:rPr>
            </w:pPr>
            <w:r w:rsidRPr="00D47D1C">
              <w:rPr>
                <w:rFonts w:ascii="Arial" w:hAnsi="Arial" w:cs="Arial"/>
                <w:b/>
                <w:color w:val="000000" w:themeColor="text1"/>
                <w:sz w:val="18"/>
                <w:szCs w:val="18"/>
                <w:lang w:val="hr-HR"/>
              </w:rPr>
              <w:t>000 kuna</w:t>
            </w:r>
          </w:p>
        </w:tc>
      </w:tr>
      <w:tr w:rsidR="004E2F51" w:rsidRPr="00D47D1C" w14:paraId="4E286166" w14:textId="77777777" w:rsidTr="00E032FC">
        <w:trPr>
          <w:trHeight w:hRule="exact" w:val="113"/>
          <w:jc w:val="center"/>
        </w:trPr>
        <w:tc>
          <w:tcPr>
            <w:tcW w:w="1289" w:type="pct"/>
            <w:shd w:val="clear" w:color="auto" w:fill="auto"/>
            <w:vAlign w:val="center"/>
          </w:tcPr>
          <w:p w14:paraId="0C1D68FE" w14:textId="77777777" w:rsidR="004E2F51" w:rsidRPr="00D47D1C" w:rsidRDefault="004E2F51" w:rsidP="00E032FC">
            <w:pPr>
              <w:spacing w:line="360" w:lineRule="auto"/>
              <w:jc w:val="both"/>
              <w:rPr>
                <w:rFonts w:ascii="Arial" w:hAnsi="Arial" w:cs="Arial"/>
                <w:bCs/>
                <w:color w:val="000000" w:themeColor="text1"/>
                <w:sz w:val="18"/>
                <w:szCs w:val="18"/>
                <w:lang w:val="hr-HR"/>
              </w:rPr>
            </w:pPr>
          </w:p>
        </w:tc>
        <w:tc>
          <w:tcPr>
            <w:tcW w:w="927" w:type="pct"/>
            <w:shd w:val="clear" w:color="auto" w:fill="auto"/>
            <w:vAlign w:val="center"/>
          </w:tcPr>
          <w:p w14:paraId="5F518C59" w14:textId="77777777" w:rsidR="004E2F51" w:rsidRPr="00D47D1C" w:rsidRDefault="004E2F51" w:rsidP="00E032FC">
            <w:pPr>
              <w:spacing w:line="360" w:lineRule="auto"/>
              <w:jc w:val="right"/>
              <w:rPr>
                <w:rFonts w:ascii="Arial" w:hAnsi="Arial" w:cs="Arial"/>
                <w:bCs/>
                <w:color w:val="000000" w:themeColor="text1"/>
                <w:sz w:val="18"/>
                <w:szCs w:val="18"/>
                <w:lang w:val="hr-HR"/>
              </w:rPr>
            </w:pPr>
          </w:p>
        </w:tc>
        <w:tc>
          <w:tcPr>
            <w:tcW w:w="927" w:type="pct"/>
            <w:shd w:val="clear" w:color="auto" w:fill="auto"/>
            <w:vAlign w:val="center"/>
          </w:tcPr>
          <w:p w14:paraId="56821563" w14:textId="77777777" w:rsidR="004E2F51" w:rsidRPr="00D47D1C" w:rsidRDefault="004E2F51" w:rsidP="00E032FC">
            <w:pPr>
              <w:spacing w:line="360" w:lineRule="auto"/>
              <w:jc w:val="right"/>
              <w:rPr>
                <w:rFonts w:ascii="Arial" w:hAnsi="Arial" w:cs="Arial"/>
                <w:bCs/>
                <w:color w:val="000000" w:themeColor="text1"/>
                <w:sz w:val="18"/>
                <w:szCs w:val="18"/>
                <w:lang w:val="hr-HR"/>
              </w:rPr>
            </w:pPr>
          </w:p>
        </w:tc>
        <w:tc>
          <w:tcPr>
            <w:tcW w:w="927" w:type="pct"/>
            <w:shd w:val="clear" w:color="auto" w:fill="auto"/>
            <w:vAlign w:val="center"/>
          </w:tcPr>
          <w:p w14:paraId="577B55BF" w14:textId="77777777" w:rsidR="004E2F51" w:rsidRPr="00D47D1C" w:rsidRDefault="004E2F51" w:rsidP="00E032FC">
            <w:pPr>
              <w:spacing w:line="360" w:lineRule="auto"/>
              <w:jc w:val="right"/>
              <w:rPr>
                <w:rFonts w:ascii="Arial" w:hAnsi="Arial" w:cs="Arial"/>
                <w:bCs/>
                <w:color w:val="000000" w:themeColor="text1"/>
                <w:sz w:val="18"/>
                <w:szCs w:val="18"/>
                <w:lang w:val="hr-HR"/>
              </w:rPr>
            </w:pPr>
          </w:p>
        </w:tc>
        <w:tc>
          <w:tcPr>
            <w:tcW w:w="929" w:type="pct"/>
            <w:shd w:val="clear" w:color="auto" w:fill="auto"/>
            <w:vAlign w:val="center"/>
          </w:tcPr>
          <w:p w14:paraId="319577F9" w14:textId="77777777" w:rsidR="004E2F51" w:rsidRPr="00D47D1C" w:rsidRDefault="004E2F51" w:rsidP="00E032FC">
            <w:pPr>
              <w:spacing w:line="360" w:lineRule="auto"/>
              <w:jc w:val="right"/>
              <w:rPr>
                <w:rFonts w:ascii="Arial" w:hAnsi="Arial" w:cs="Arial"/>
                <w:bCs/>
                <w:color w:val="000000" w:themeColor="text1"/>
                <w:sz w:val="18"/>
                <w:szCs w:val="18"/>
                <w:lang w:val="hr-HR"/>
              </w:rPr>
            </w:pPr>
          </w:p>
        </w:tc>
      </w:tr>
      <w:tr w:rsidR="004E2F51" w:rsidRPr="00D47D1C" w14:paraId="53A3F4D6" w14:textId="77777777" w:rsidTr="00E032FC">
        <w:trPr>
          <w:trHeight w:hRule="exact" w:val="284"/>
          <w:jc w:val="center"/>
        </w:trPr>
        <w:tc>
          <w:tcPr>
            <w:tcW w:w="1289" w:type="pct"/>
            <w:shd w:val="clear" w:color="auto" w:fill="auto"/>
            <w:vAlign w:val="center"/>
          </w:tcPr>
          <w:p w14:paraId="7E2D6D01" w14:textId="77777777" w:rsidR="004E2F51" w:rsidRPr="00D47D1C" w:rsidRDefault="004E2F51" w:rsidP="00E032FC">
            <w:pPr>
              <w:spacing w:line="360" w:lineRule="auto"/>
              <w:jc w:val="both"/>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EUR</w:t>
            </w:r>
          </w:p>
        </w:tc>
        <w:tc>
          <w:tcPr>
            <w:tcW w:w="927" w:type="pct"/>
            <w:shd w:val="clear" w:color="auto" w:fill="auto"/>
            <w:vAlign w:val="bottom"/>
          </w:tcPr>
          <w:p w14:paraId="2FBBAF3C" w14:textId="77777777" w:rsidR="004E2F51" w:rsidRPr="00D47D1C" w:rsidRDefault="004E2F51" w:rsidP="00E032FC">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-9</w:t>
            </w:r>
          </w:p>
        </w:tc>
        <w:tc>
          <w:tcPr>
            <w:tcW w:w="927" w:type="pct"/>
            <w:shd w:val="clear" w:color="auto" w:fill="auto"/>
            <w:vAlign w:val="bottom"/>
          </w:tcPr>
          <w:p w14:paraId="4E3E4B9D" w14:textId="77777777" w:rsidR="004E2F51" w:rsidRPr="00D47D1C" w:rsidRDefault="004E2F51" w:rsidP="00E032FC">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(1.057)</w:t>
            </w:r>
          </w:p>
        </w:tc>
        <w:tc>
          <w:tcPr>
            <w:tcW w:w="927" w:type="pct"/>
            <w:shd w:val="clear" w:color="auto" w:fill="auto"/>
          </w:tcPr>
          <w:p w14:paraId="46E7B66D" w14:textId="77777777" w:rsidR="004E2F51" w:rsidRPr="00D47D1C" w:rsidRDefault="004E2F51" w:rsidP="00E032FC">
            <w:pPr>
              <w:spacing w:line="360" w:lineRule="auto"/>
              <w:jc w:val="right"/>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-6</w:t>
            </w:r>
          </w:p>
        </w:tc>
        <w:tc>
          <w:tcPr>
            <w:tcW w:w="929" w:type="pct"/>
            <w:shd w:val="clear" w:color="auto" w:fill="auto"/>
          </w:tcPr>
          <w:p w14:paraId="424E5F1F" w14:textId="77777777" w:rsidR="004E2F51" w:rsidRPr="00D47D1C" w:rsidRDefault="004E2F51" w:rsidP="00E032FC">
            <w:pPr>
              <w:spacing w:line="360" w:lineRule="auto"/>
              <w:jc w:val="right"/>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w:t>
            </w:r>
          </w:p>
        </w:tc>
      </w:tr>
      <w:tr w:rsidR="004E2F51" w:rsidRPr="00D47D1C" w14:paraId="3CFBEB56" w14:textId="77777777" w:rsidTr="00E032FC">
        <w:trPr>
          <w:trHeight w:hRule="exact" w:val="284"/>
          <w:jc w:val="center"/>
        </w:trPr>
        <w:tc>
          <w:tcPr>
            <w:tcW w:w="1289" w:type="pct"/>
            <w:shd w:val="clear" w:color="auto" w:fill="auto"/>
            <w:vAlign w:val="center"/>
          </w:tcPr>
          <w:p w14:paraId="53F4A802" w14:textId="77777777" w:rsidR="004E2F51" w:rsidRPr="00D47D1C" w:rsidRDefault="004E2F51" w:rsidP="00E032FC">
            <w:pPr>
              <w:spacing w:line="360" w:lineRule="auto"/>
              <w:jc w:val="both"/>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USD</w:t>
            </w:r>
          </w:p>
        </w:tc>
        <w:tc>
          <w:tcPr>
            <w:tcW w:w="927" w:type="pct"/>
            <w:shd w:val="clear" w:color="auto" w:fill="auto"/>
            <w:vAlign w:val="bottom"/>
          </w:tcPr>
          <w:p w14:paraId="6BDE2EA3" w14:textId="77777777" w:rsidR="004E2F51" w:rsidRPr="00D47D1C" w:rsidRDefault="004E2F51" w:rsidP="00E032FC">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-2</w:t>
            </w:r>
          </w:p>
        </w:tc>
        <w:tc>
          <w:tcPr>
            <w:tcW w:w="927" w:type="pct"/>
            <w:shd w:val="clear" w:color="auto" w:fill="auto"/>
            <w:vAlign w:val="bottom"/>
          </w:tcPr>
          <w:p w14:paraId="45B02238" w14:textId="77777777" w:rsidR="004E2F51" w:rsidRPr="00D47D1C" w:rsidRDefault="004E2F51" w:rsidP="00E032FC">
            <w:pPr>
              <w:spacing w:line="360" w:lineRule="auto"/>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w:t>
            </w:r>
          </w:p>
        </w:tc>
        <w:tc>
          <w:tcPr>
            <w:tcW w:w="927" w:type="pct"/>
            <w:shd w:val="clear" w:color="auto" w:fill="auto"/>
          </w:tcPr>
          <w:p w14:paraId="111D93B1" w14:textId="77777777" w:rsidR="004E2F51" w:rsidRPr="00D47D1C" w:rsidRDefault="004E2F51" w:rsidP="00E032FC">
            <w:pPr>
              <w:spacing w:line="360" w:lineRule="auto"/>
              <w:jc w:val="right"/>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-10</w:t>
            </w:r>
          </w:p>
        </w:tc>
        <w:tc>
          <w:tcPr>
            <w:tcW w:w="929" w:type="pct"/>
            <w:shd w:val="clear" w:color="auto" w:fill="auto"/>
          </w:tcPr>
          <w:p w14:paraId="36B79C82" w14:textId="77777777" w:rsidR="004E2F51" w:rsidRPr="00D47D1C" w:rsidRDefault="004E2F51" w:rsidP="00E032FC">
            <w:pPr>
              <w:spacing w:line="360" w:lineRule="auto"/>
              <w:jc w:val="right"/>
              <w:rPr>
                <w:rFonts w:ascii="Arial" w:hAnsi="Arial" w:cs="Arial"/>
                <w:bCs/>
                <w:color w:val="000000" w:themeColor="text1"/>
                <w:sz w:val="18"/>
                <w:szCs w:val="18"/>
                <w:lang w:val="hr-HR"/>
              </w:rPr>
            </w:pPr>
            <w:r w:rsidRPr="00D47D1C">
              <w:rPr>
                <w:rFonts w:ascii="Arial" w:hAnsi="Arial" w:cs="Arial"/>
                <w:bCs/>
                <w:color w:val="000000" w:themeColor="text1"/>
                <w:sz w:val="18"/>
                <w:szCs w:val="18"/>
                <w:lang w:val="hr-HR"/>
              </w:rPr>
              <w:t>(174)</w:t>
            </w:r>
          </w:p>
        </w:tc>
      </w:tr>
    </w:tbl>
    <w:p w14:paraId="2780205B" w14:textId="77777777" w:rsidR="004E2F51" w:rsidRPr="00D47D1C" w:rsidRDefault="004E2F51" w:rsidP="004E2F51">
      <w:pPr>
        <w:keepNext/>
        <w:jc w:val="both"/>
        <w:rPr>
          <w:rFonts w:ascii="Arial" w:hAnsi="Arial" w:cs="Arial"/>
          <w:bCs/>
          <w:color w:val="000000" w:themeColor="text1"/>
          <w:sz w:val="20"/>
          <w:szCs w:val="20"/>
          <w:lang w:val="hr-HR"/>
        </w:rPr>
        <w:sectPr w:rsidR="004E2F51" w:rsidRPr="00D47D1C" w:rsidSect="00623DBA">
          <w:footerReference w:type="default" r:id="rId214"/>
          <w:pgSz w:w="11907" w:h="16840" w:code="9"/>
          <w:pgMar w:top="1418" w:right="1134" w:bottom="1134" w:left="1418" w:header="851" w:footer="851" w:gutter="0"/>
          <w:cols w:space="720"/>
          <w:noEndnote/>
        </w:sectPr>
      </w:pPr>
    </w:p>
    <w:p w14:paraId="7965FBED" w14:textId="77777777" w:rsidR="004E2F51" w:rsidRPr="00131EA9" w:rsidRDefault="004E2F51" w:rsidP="004E2F51">
      <w:pPr>
        <w:pStyle w:val="T1"/>
        <w:spacing w:before="0" w:after="0" w:line="240" w:lineRule="auto"/>
        <w:rPr>
          <w:rFonts w:cs="Arial"/>
          <w:color w:val="000000" w:themeColor="text1"/>
          <w:sz w:val="20"/>
          <w:lang w:val="hr-HR"/>
        </w:rPr>
      </w:pPr>
    </w:p>
    <w:p w14:paraId="587EAE21" w14:textId="77777777" w:rsidR="004E2F51" w:rsidRPr="00131EA9" w:rsidRDefault="004E2F51" w:rsidP="004E2F51">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Pr>
          <w:rFonts w:cs="Arial"/>
          <w:color w:val="000000" w:themeColor="text1"/>
          <w:sz w:val="20"/>
          <w:lang w:val="hr-HR"/>
        </w:rPr>
        <w:t>1</w:t>
      </w:r>
      <w:r w:rsidRPr="00131EA9">
        <w:rPr>
          <w:rFonts w:cs="Arial"/>
          <w:color w:val="000000" w:themeColor="text1"/>
          <w:sz w:val="20"/>
          <w:lang w:val="hr-HR"/>
        </w:rPr>
        <w:t>.        Upravljanje rizicima (nastavak)</w:t>
      </w:r>
    </w:p>
    <w:p w14:paraId="0EEB0BB9" w14:textId="77777777" w:rsidR="004E2F51" w:rsidRPr="00131EA9" w:rsidRDefault="004E2F51" w:rsidP="004E2F51">
      <w:pPr>
        <w:pStyle w:val="T1"/>
        <w:spacing w:before="0" w:after="0" w:line="240" w:lineRule="auto"/>
        <w:ind w:left="709" w:hanging="709"/>
        <w:rPr>
          <w:rFonts w:cs="Arial"/>
          <w:color w:val="000000" w:themeColor="text1"/>
          <w:sz w:val="20"/>
          <w:lang w:val="hr-HR"/>
        </w:rPr>
      </w:pPr>
    </w:p>
    <w:p w14:paraId="6A2D629D" w14:textId="77777777" w:rsidR="004E2F51" w:rsidRPr="00131EA9" w:rsidRDefault="004E2F51" w:rsidP="004E2F51">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Pr>
          <w:rFonts w:cs="Arial"/>
          <w:color w:val="000000" w:themeColor="text1"/>
          <w:sz w:val="20"/>
          <w:lang w:val="hr-HR"/>
        </w:rPr>
        <w:t>1</w:t>
      </w:r>
      <w:r w:rsidRPr="00131EA9">
        <w:rPr>
          <w:rFonts w:cs="Arial"/>
          <w:color w:val="000000" w:themeColor="text1"/>
          <w:sz w:val="20"/>
          <w:lang w:val="hr-HR"/>
        </w:rPr>
        <w:t>.5.     Tržišni rizik (nastavak)</w:t>
      </w:r>
    </w:p>
    <w:p w14:paraId="6A2D19E4" w14:textId="77777777" w:rsidR="004E2F51" w:rsidRPr="00131EA9" w:rsidRDefault="004E2F51" w:rsidP="004E2F51">
      <w:pPr>
        <w:pStyle w:val="T1"/>
        <w:spacing w:before="0" w:after="0" w:line="240" w:lineRule="auto"/>
        <w:ind w:left="709" w:hanging="709"/>
        <w:rPr>
          <w:rFonts w:cs="Arial"/>
          <w:color w:val="000000" w:themeColor="text1"/>
          <w:sz w:val="20"/>
          <w:lang w:val="hr-HR"/>
        </w:rPr>
      </w:pPr>
    </w:p>
    <w:p w14:paraId="5F473F81" w14:textId="77777777" w:rsidR="004E2F51" w:rsidRPr="00131EA9" w:rsidRDefault="004E2F51" w:rsidP="004E2F51">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Pr>
          <w:rFonts w:cs="Arial"/>
          <w:color w:val="000000" w:themeColor="text1"/>
          <w:sz w:val="20"/>
          <w:lang w:val="hr-HR"/>
        </w:rPr>
        <w:t>1</w:t>
      </w:r>
      <w:r w:rsidRPr="00131EA9">
        <w:rPr>
          <w:rFonts w:cs="Arial"/>
          <w:color w:val="000000" w:themeColor="text1"/>
          <w:sz w:val="20"/>
          <w:lang w:val="hr-HR"/>
        </w:rPr>
        <w:t>.5.2.  Valutni rizik</w:t>
      </w:r>
    </w:p>
    <w:p w14:paraId="4B5C257C" w14:textId="77777777" w:rsidR="004E2F51" w:rsidRPr="00131EA9" w:rsidRDefault="004E2F51" w:rsidP="004E2F51">
      <w:pPr>
        <w:jc w:val="both"/>
        <w:rPr>
          <w:rFonts w:ascii="Arial" w:hAnsi="Arial" w:cs="Arial"/>
          <w:color w:val="000000" w:themeColor="text1"/>
          <w:sz w:val="20"/>
          <w:szCs w:val="20"/>
          <w:lang w:val="hr-HR"/>
        </w:rPr>
      </w:pPr>
    </w:p>
    <w:p w14:paraId="2916D5EC" w14:textId="77777777" w:rsidR="004E2F51" w:rsidRPr="00131EA9" w:rsidRDefault="004E2F51" w:rsidP="004E2F51">
      <w:pPr>
        <w:pStyle w:val="T1"/>
        <w:spacing w:before="0" w:after="0" w:line="240" w:lineRule="auto"/>
        <w:rPr>
          <w:rFonts w:cs="Arial"/>
          <w:b w:val="0"/>
          <w:bCs w:val="0"/>
          <w:color w:val="000000" w:themeColor="text1"/>
          <w:sz w:val="20"/>
          <w:lang w:val="hr-HR"/>
        </w:rPr>
      </w:pPr>
      <w:r w:rsidRPr="00131EA9">
        <w:rPr>
          <w:rFonts w:cs="Arial"/>
          <w:b w:val="0"/>
          <w:bCs w:val="0"/>
          <w:color w:val="000000" w:themeColor="text1"/>
          <w:sz w:val="20"/>
          <w:lang w:val="hr-HR"/>
        </w:rPr>
        <w:t>Iznos ukupne imovine i ukupnih obveza na dan 31. prosinca 202</w:t>
      </w:r>
      <w:r>
        <w:rPr>
          <w:rFonts w:cs="Arial"/>
          <w:b w:val="0"/>
          <w:bCs w:val="0"/>
          <w:color w:val="000000" w:themeColor="text1"/>
          <w:sz w:val="20"/>
          <w:lang w:val="hr-HR"/>
        </w:rPr>
        <w:t>2</w:t>
      </w:r>
      <w:r w:rsidRPr="00131EA9">
        <w:rPr>
          <w:rFonts w:cs="Arial"/>
          <w:b w:val="0"/>
          <w:bCs w:val="0"/>
          <w:color w:val="000000" w:themeColor="text1"/>
          <w:sz w:val="20"/>
          <w:lang w:val="hr-HR"/>
        </w:rPr>
        <w:t>. i 31. prosinca 202</w:t>
      </w:r>
      <w:r>
        <w:rPr>
          <w:rFonts w:cs="Arial"/>
          <w:b w:val="0"/>
          <w:bCs w:val="0"/>
          <w:color w:val="000000" w:themeColor="text1"/>
          <w:sz w:val="20"/>
          <w:lang w:val="hr-HR"/>
        </w:rPr>
        <w:t>1</w:t>
      </w:r>
      <w:r w:rsidRPr="00131EA9">
        <w:rPr>
          <w:rFonts w:cs="Arial"/>
          <w:b w:val="0"/>
          <w:bCs w:val="0"/>
          <w:color w:val="000000" w:themeColor="text1"/>
          <w:sz w:val="20"/>
          <w:lang w:val="hr-HR"/>
        </w:rPr>
        <w:t>. u kunama i devizama:</w:t>
      </w:r>
    </w:p>
    <w:p w14:paraId="6C198A56" w14:textId="77777777" w:rsidR="004E2F51" w:rsidRPr="00131EA9" w:rsidRDefault="004E2F51" w:rsidP="004E2F51">
      <w:pPr>
        <w:pStyle w:val="T1"/>
        <w:spacing w:before="0" w:after="0" w:line="240" w:lineRule="auto"/>
        <w:rPr>
          <w:rFonts w:cs="Arial"/>
          <w:b w:val="0"/>
          <w:bCs w:val="0"/>
          <w:color w:val="000000" w:themeColor="text1"/>
          <w:sz w:val="20"/>
          <w:lang w:val="hr-HR"/>
        </w:rPr>
      </w:pPr>
    </w:p>
    <w:tbl>
      <w:tblPr>
        <w:tblW w:w="5204" w:type="pct"/>
        <w:tblLayout w:type="fixed"/>
        <w:tblCellMar>
          <w:left w:w="10" w:type="dxa"/>
          <w:right w:w="10" w:type="dxa"/>
        </w:tblCellMar>
        <w:tblLook w:val="0000" w:firstRow="0" w:lastRow="0" w:firstColumn="0" w:lastColumn="0" w:noHBand="0" w:noVBand="0"/>
      </w:tblPr>
      <w:tblGrid>
        <w:gridCol w:w="2842"/>
        <w:gridCol w:w="1010"/>
        <w:gridCol w:w="1149"/>
        <w:gridCol w:w="1162"/>
        <w:gridCol w:w="1137"/>
        <w:gridCol w:w="1206"/>
        <w:gridCol w:w="1231"/>
      </w:tblGrid>
      <w:tr w:rsidR="004E2F51" w:rsidRPr="00131EA9" w14:paraId="094BD946" w14:textId="77777777" w:rsidTr="00E032FC">
        <w:trPr>
          <w:trHeight w:val="421"/>
        </w:trPr>
        <w:tc>
          <w:tcPr>
            <w:tcW w:w="2842" w:type="dxa"/>
            <w:tcMar>
              <w:top w:w="0" w:type="dxa"/>
              <w:left w:w="120" w:type="dxa"/>
              <w:bottom w:w="0" w:type="dxa"/>
              <w:right w:w="120" w:type="dxa"/>
            </w:tcMar>
            <w:vAlign w:val="bottom"/>
          </w:tcPr>
          <w:p w14:paraId="2ADCE9A6" w14:textId="77777777" w:rsidR="004E2F51" w:rsidRPr="00131EA9" w:rsidRDefault="004E2F51" w:rsidP="00E032FC">
            <w:pPr>
              <w:tabs>
                <w:tab w:val="right" w:pos="1202"/>
              </w:tabs>
              <w:spacing w:line="220" w:lineRule="exact"/>
              <w:outlineLvl w:val="0"/>
              <w:rPr>
                <w:rFonts w:ascii="Arial" w:eastAsia="Calibri" w:hAnsi="Arial" w:cs="Arial"/>
                <w:b/>
                <w:color w:val="000000" w:themeColor="text1"/>
                <w:sz w:val="17"/>
                <w:szCs w:val="17"/>
                <w:lang w:val="hr-HR"/>
              </w:rPr>
            </w:pPr>
            <w:bookmarkStart w:id="1854" w:name="_Toc67330684"/>
            <w:r w:rsidRPr="00131EA9">
              <w:rPr>
                <w:rFonts w:ascii="Arial" w:eastAsia="Calibri" w:hAnsi="Arial" w:cs="Arial"/>
                <w:b/>
                <w:color w:val="000000" w:themeColor="text1"/>
                <w:sz w:val="17"/>
                <w:szCs w:val="17"/>
                <w:lang w:val="hr-HR"/>
              </w:rPr>
              <w:t>Grupa</w:t>
            </w:r>
            <w:bookmarkEnd w:id="1854"/>
          </w:p>
          <w:p w14:paraId="77FC4810" w14:textId="77777777" w:rsidR="004E2F51" w:rsidRPr="00131EA9" w:rsidRDefault="004E2F51" w:rsidP="00E032FC">
            <w:pPr>
              <w:tabs>
                <w:tab w:val="right" w:pos="1202"/>
              </w:tabs>
              <w:spacing w:line="220" w:lineRule="exact"/>
              <w:outlineLvl w:val="0"/>
              <w:rPr>
                <w:rFonts w:ascii="Arial" w:eastAsia="Calibri" w:hAnsi="Arial" w:cs="Arial"/>
                <w:b/>
                <w:color w:val="000000" w:themeColor="text1"/>
                <w:sz w:val="17"/>
                <w:szCs w:val="17"/>
                <w:lang w:val="hr-HR"/>
              </w:rPr>
            </w:pPr>
          </w:p>
          <w:p w14:paraId="246587F3" w14:textId="77777777" w:rsidR="004E2F51" w:rsidRPr="00131EA9" w:rsidRDefault="004E2F51" w:rsidP="00E032FC">
            <w:pPr>
              <w:tabs>
                <w:tab w:val="right" w:pos="1202"/>
              </w:tabs>
              <w:spacing w:line="220" w:lineRule="exact"/>
              <w:outlineLvl w:val="0"/>
              <w:rPr>
                <w:rFonts w:ascii="Arial" w:eastAsia="Calibri" w:hAnsi="Arial" w:cs="Arial"/>
                <w:b/>
                <w:color w:val="000000" w:themeColor="text1"/>
                <w:sz w:val="17"/>
                <w:szCs w:val="17"/>
                <w:lang w:val="hr-HR"/>
              </w:rPr>
            </w:pPr>
            <w:bookmarkStart w:id="1855" w:name="_Toc67330685"/>
            <w:r w:rsidRPr="00131EA9">
              <w:rPr>
                <w:rFonts w:ascii="Arial" w:eastAsia="Calibri" w:hAnsi="Arial" w:cs="Arial"/>
                <w:b/>
                <w:color w:val="000000" w:themeColor="text1"/>
                <w:sz w:val="17"/>
                <w:szCs w:val="17"/>
                <w:lang w:val="hr-HR"/>
              </w:rPr>
              <w:t>31. prosinca 202</w:t>
            </w:r>
            <w:r>
              <w:rPr>
                <w:rFonts w:ascii="Arial" w:eastAsia="Calibri" w:hAnsi="Arial" w:cs="Arial"/>
                <w:b/>
                <w:color w:val="000000" w:themeColor="text1"/>
                <w:sz w:val="17"/>
                <w:szCs w:val="17"/>
                <w:lang w:val="hr-HR"/>
              </w:rPr>
              <w:t>2</w:t>
            </w:r>
            <w:r w:rsidRPr="00131EA9">
              <w:rPr>
                <w:rFonts w:ascii="Arial" w:eastAsia="Calibri" w:hAnsi="Arial" w:cs="Arial"/>
                <w:b/>
                <w:color w:val="000000" w:themeColor="text1"/>
                <w:sz w:val="17"/>
                <w:szCs w:val="17"/>
                <w:lang w:val="hr-HR"/>
              </w:rPr>
              <w:t>.</w:t>
            </w:r>
            <w:bookmarkEnd w:id="1855"/>
            <w:r w:rsidRPr="00131EA9">
              <w:rPr>
                <w:rFonts w:ascii="Arial" w:eastAsia="Calibri" w:hAnsi="Arial" w:cs="Arial"/>
                <w:b/>
                <w:color w:val="000000" w:themeColor="text1"/>
                <w:sz w:val="17"/>
                <w:szCs w:val="17"/>
                <w:lang w:val="hr-HR"/>
              </w:rPr>
              <w:t xml:space="preserve"> </w:t>
            </w:r>
          </w:p>
        </w:tc>
        <w:tc>
          <w:tcPr>
            <w:tcW w:w="1010" w:type="dxa"/>
            <w:tcMar>
              <w:top w:w="0" w:type="dxa"/>
              <w:left w:w="120" w:type="dxa"/>
              <w:bottom w:w="0" w:type="dxa"/>
              <w:right w:w="120" w:type="dxa"/>
            </w:tcMar>
          </w:tcPr>
          <w:p w14:paraId="661D2BC0"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bookmarkStart w:id="1856" w:name="_Toc67330686"/>
            <w:r w:rsidRPr="00131EA9">
              <w:rPr>
                <w:rFonts w:ascii="Arial" w:eastAsia="Calibri" w:hAnsi="Arial" w:cs="Arial"/>
                <w:b/>
                <w:color w:val="000000" w:themeColor="text1"/>
                <w:sz w:val="17"/>
                <w:szCs w:val="17"/>
                <w:lang w:val="hr-HR"/>
              </w:rPr>
              <w:t>USD</w:t>
            </w:r>
            <w:bookmarkEnd w:id="1856"/>
          </w:p>
        </w:tc>
        <w:tc>
          <w:tcPr>
            <w:tcW w:w="1149" w:type="dxa"/>
            <w:tcMar>
              <w:top w:w="0" w:type="dxa"/>
              <w:left w:w="120" w:type="dxa"/>
              <w:bottom w:w="0" w:type="dxa"/>
              <w:right w:w="120" w:type="dxa"/>
            </w:tcMar>
          </w:tcPr>
          <w:p w14:paraId="0824409E"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bookmarkStart w:id="1857" w:name="_Toc67330687"/>
            <w:r w:rsidRPr="00131EA9">
              <w:rPr>
                <w:rFonts w:ascii="Arial" w:eastAsia="Calibri" w:hAnsi="Arial" w:cs="Arial"/>
                <w:b/>
                <w:color w:val="000000" w:themeColor="text1"/>
                <w:sz w:val="17"/>
                <w:szCs w:val="17"/>
                <w:lang w:val="hr-HR"/>
              </w:rPr>
              <w:t>EUR</w:t>
            </w:r>
            <w:bookmarkEnd w:id="1857"/>
            <w:r w:rsidRPr="00131EA9">
              <w:rPr>
                <w:rFonts w:ascii="Arial" w:eastAsia="Calibri" w:hAnsi="Arial" w:cs="Arial"/>
                <w:b/>
                <w:color w:val="000000" w:themeColor="text1"/>
                <w:sz w:val="17"/>
                <w:szCs w:val="17"/>
                <w:lang w:val="hr-HR"/>
              </w:rPr>
              <w:t xml:space="preserve"> </w:t>
            </w:r>
          </w:p>
        </w:tc>
        <w:tc>
          <w:tcPr>
            <w:tcW w:w="1162" w:type="dxa"/>
            <w:tcMar>
              <w:top w:w="0" w:type="dxa"/>
              <w:left w:w="120" w:type="dxa"/>
              <w:bottom w:w="0" w:type="dxa"/>
              <w:right w:w="120" w:type="dxa"/>
            </w:tcMar>
          </w:tcPr>
          <w:p w14:paraId="71CF9508"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bookmarkStart w:id="1858" w:name="_Toc67330688"/>
            <w:r w:rsidRPr="00131EA9">
              <w:rPr>
                <w:rFonts w:ascii="Arial" w:eastAsia="Calibri" w:hAnsi="Arial" w:cs="Arial"/>
                <w:b/>
                <w:color w:val="000000" w:themeColor="text1"/>
                <w:sz w:val="17"/>
                <w:szCs w:val="17"/>
                <w:lang w:val="hr-HR"/>
              </w:rPr>
              <w:t>Ostale valute</w:t>
            </w:r>
            <w:bookmarkEnd w:id="1858"/>
          </w:p>
        </w:tc>
        <w:tc>
          <w:tcPr>
            <w:tcW w:w="1137" w:type="dxa"/>
            <w:tcMar>
              <w:top w:w="0" w:type="dxa"/>
              <w:left w:w="120" w:type="dxa"/>
              <w:bottom w:w="0" w:type="dxa"/>
              <w:right w:w="120" w:type="dxa"/>
            </w:tcMar>
          </w:tcPr>
          <w:p w14:paraId="4395577B"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bookmarkStart w:id="1859" w:name="_Toc67330689"/>
            <w:r w:rsidRPr="00131EA9">
              <w:rPr>
                <w:rFonts w:ascii="Arial" w:eastAsia="Calibri" w:hAnsi="Arial" w:cs="Arial"/>
                <w:b/>
                <w:color w:val="000000" w:themeColor="text1"/>
                <w:sz w:val="17"/>
                <w:szCs w:val="17"/>
                <w:lang w:val="hr-HR"/>
              </w:rPr>
              <w:t>Ukupno strane valute</w:t>
            </w:r>
            <w:bookmarkEnd w:id="1859"/>
          </w:p>
        </w:tc>
        <w:tc>
          <w:tcPr>
            <w:tcW w:w="1206" w:type="dxa"/>
            <w:tcMar>
              <w:top w:w="0" w:type="dxa"/>
              <w:left w:w="120" w:type="dxa"/>
              <w:bottom w:w="0" w:type="dxa"/>
              <w:right w:w="120" w:type="dxa"/>
            </w:tcMar>
          </w:tcPr>
          <w:p w14:paraId="5349E206"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bookmarkStart w:id="1860" w:name="_Toc67330690"/>
            <w:r w:rsidRPr="00131EA9">
              <w:rPr>
                <w:rFonts w:ascii="Arial" w:eastAsia="Calibri" w:hAnsi="Arial" w:cs="Arial"/>
                <w:b/>
                <w:color w:val="000000" w:themeColor="text1"/>
                <w:sz w:val="17"/>
                <w:szCs w:val="17"/>
                <w:lang w:val="hr-HR"/>
              </w:rPr>
              <w:t>Kune</w:t>
            </w:r>
            <w:bookmarkEnd w:id="1860"/>
          </w:p>
        </w:tc>
        <w:tc>
          <w:tcPr>
            <w:tcW w:w="1231" w:type="dxa"/>
            <w:tcMar>
              <w:top w:w="0" w:type="dxa"/>
              <w:left w:w="120" w:type="dxa"/>
              <w:bottom w:w="0" w:type="dxa"/>
              <w:right w:w="120" w:type="dxa"/>
            </w:tcMar>
          </w:tcPr>
          <w:p w14:paraId="5470DFF0"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bookmarkStart w:id="1861" w:name="_Toc67330691"/>
            <w:r w:rsidRPr="00131EA9">
              <w:rPr>
                <w:rFonts w:ascii="Arial" w:eastAsia="Calibri" w:hAnsi="Arial" w:cs="Arial"/>
                <w:b/>
                <w:color w:val="000000" w:themeColor="text1"/>
                <w:sz w:val="17"/>
                <w:szCs w:val="17"/>
                <w:lang w:val="hr-HR"/>
              </w:rPr>
              <w:t>Ukupno</w:t>
            </w:r>
            <w:bookmarkEnd w:id="1861"/>
          </w:p>
        </w:tc>
      </w:tr>
      <w:tr w:rsidR="004E2F51" w:rsidRPr="00131EA9" w14:paraId="7A76DAAC" w14:textId="77777777" w:rsidTr="00E032FC">
        <w:trPr>
          <w:trHeight w:hRule="exact" w:val="276"/>
        </w:trPr>
        <w:tc>
          <w:tcPr>
            <w:tcW w:w="2842" w:type="dxa"/>
            <w:tcMar>
              <w:top w:w="0" w:type="dxa"/>
              <w:left w:w="120" w:type="dxa"/>
              <w:bottom w:w="0" w:type="dxa"/>
              <w:right w:w="120" w:type="dxa"/>
            </w:tcMar>
          </w:tcPr>
          <w:p w14:paraId="3DDB192A" w14:textId="77777777" w:rsidR="004E2F51" w:rsidRPr="00131EA9" w:rsidRDefault="004E2F51" w:rsidP="00E032FC">
            <w:pPr>
              <w:tabs>
                <w:tab w:val="right" w:pos="1202"/>
              </w:tabs>
              <w:spacing w:line="220" w:lineRule="exact"/>
              <w:outlineLvl w:val="0"/>
              <w:rPr>
                <w:rFonts w:ascii="Arial" w:eastAsia="Calibri" w:hAnsi="Arial" w:cs="Arial"/>
                <w:b/>
                <w:color w:val="000000" w:themeColor="text1"/>
                <w:sz w:val="17"/>
                <w:szCs w:val="17"/>
                <w:lang w:val="hr-HR"/>
              </w:rPr>
            </w:pPr>
          </w:p>
        </w:tc>
        <w:tc>
          <w:tcPr>
            <w:tcW w:w="1010" w:type="dxa"/>
            <w:tcMar>
              <w:top w:w="0" w:type="dxa"/>
              <w:left w:w="120" w:type="dxa"/>
              <w:bottom w:w="0" w:type="dxa"/>
              <w:right w:w="120" w:type="dxa"/>
            </w:tcMar>
          </w:tcPr>
          <w:p w14:paraId="196125B8"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bookmarkStart w:id="1862" w:name="_Toc67330692"/>
            <w:r w:rsidRPr="00131EA9">
              <w:rPr>
                <w:rFonts w:ascii="Arial" w:eastAsia="Calibri" w:hAnsi="Arial" w:cs="Arial"/>
                <w:b/>
                <w:color w:val="000000" w:themeColor="text1"/>
                <w:sz w:val="17"/>
                <w:szCs w:val="17"/>
                <w:lang w:val="hr-HR"/>
              </w:rPr>
              <w:t>000 kuna</w:t>
            </w:r>
            <w:bookmarkEnd w:id="1862"/>
          </w:p>
        </w:tc>
        <w:tc>
          <w:tcPr>
            <w:tcW w:w="1149" w:type="dxa"/>
            <w:tcMar>
              <w:top w:w="0" w:type="dxa"/>
              <w:left w:w="120" w:type="dxa"/>
              <w:bottom w:w="0" w:type="dxa"/>
              <w:right w:w="120" w:type="dxa"/>
            </w:tcMar>
          </w:tcPr>
          <w:p w14:paraId="3EF0C5EE"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bookmarkStart w:id="1863" w:name="_Toc67330693"/>
            <w:r w:rsidRPr="00131EA9">
              <w:rPr>
                <w:rFonts w:ascii="Arial" w:eastAsia="Calibri" w:hAnsi="Arial" w:cs="Arial"/>
                <w:b/>
                <w:color w:val="000000" w:themeColor="text1"/>
                <w:sz w:val="17"/>
                <w:szCs w:val="17"/>
                <w:lang w:val="hr-HR"/>
              </w:rPr>
              <w:t>000 kuna</w:t>
            </w:r>
            <w:bookmarkEnd w:id="1863"/>
          </w:p>
        </w:tc>
        <w:tc>
          <w:tcPr>
            <w:tcW w:w="1162" w:type="dxa"/>
            <w:tcMar>
              <w:top w:w="0" w:type="dxa"/>
              <w:left w:w="120" w:type="dxa"/>
              <w:bottom w:w="0" w:type="dxa"/>
              <w:right w:w="120" w:type="dxa"/>
            </w:tcMar>
          </w:tcPr>
          <w:p w14:paraId="35E61D3E"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bookmarkStart w:id="1864" w:name="_Toc67330694"/>
            <w:r w:rsidRPr="00131EA9">
              <w:rPr>
                <w:rFonts w:ascii="Arial" w:eastAsia="Calibri" w:hAnsi="Arial" w:cs="Arial"/>
                <w:b/>
                <w:color w:val="000000" w:themeColor="text1"/>
                <w:sz w:val="17"/>
                <w:szCs w:val="17"/>
                <w:lang w:val="hr-HR"/>
              </w:rPr>
              <w:t>000 kuna</w:t>
            </w:r>
            <w:bookmarkEnd w:id="1864"/>
          </w:p>
        </w:tc>
        <w:tc>
          <w:tcPr>
            <w:tcW w:w="1137" w:type="dxa"/>
            <w:tcMar>
              <w:top w:w="0" w:type="dxa"/>
              <w:left w:w="120" w:type="dxa"/>
              <w:bottom w:w="0" w:type="dxa"/>
              <w:right w:w="120" w:type="dxa"/>
            </w:tcMar>
          </w:tcPr>
          <w:p w14:paraId="57FCAEEF"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bookmarkStart w:id="1865" w:name="_Toc67330695"/>
            <w:r w:rsidRPr="00131EA9">
              <w:rPr>
                <w:rFonts w:ascii="Arial" w:eastAsia="Calibri" w:hAnsi="Arial" w:cs="Arial"/>
                <w:b/>
                <w:color w:val="000000" w:themeColor="text1"/>
                <w:sz w:val="17"/>
                <w:szCs w:val="17"/>
                <w:lang w:val="hr-HR"/>
              </w:rPr>
              <w:t>000 kuna</w:t>
            </w:r>
            <w:bookmarkEnd w:id="1865"/>
          </w:p>
        </w:tc>
        <w:tc>
          <w:tcPr>
            <w:tcW w:w="1206" w:type="dxa"/>
            <w:tcMar>
              <w:top w:w="0" w:type="dxa"/>
              <w:left w:w="120" w:type="dxa"/>
              <w:bottom w:w="0" w:type="dxa"/>
              <w:right w:w="120" w:type="dxa"/>
            </w:tcMar>
          </w:tcPr>
          <w:p w14:paraId="13CFF7BF"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bookmarkStart w:id="1866" w:name="_Toc67330696"/>
            <w:r w:rsidRPr="00131EA9">
              <w:rPr>
                <w:rFonts w:ascii="Arial" w:eastAsia="Calibri" w:hAnsi="Arial" w:cs="Arial"/>
                <w:b/>
                <w:color w:val="000000" w:themeColor="text1"/>
                <w:sz w:val="17"/>
                <w:szCs w:val="17"/>
                <w:lang w:val="hr-HR"/>
              </w:rPr>
              <w:t>000 kuna</w:t>
            </w:r>
            <w:bookmarkEnd w:id="1866"/>
          </w:p>
        </w:tc>
        <w:tc>
          <w:tcPr>
            <w:tcW w:w="1231" w:type="dxa"/>
            <w:tcMar>
              <w:top w:w="0" w:type="dxa"/>
              <w:left w:w="120" w:type="dxa"/>
              <w:bottom w:w="0" w:type="dxa"/>
              <w:right w:w="120" w:type="dxa"/>
            </w:tcMar>
          </w:tcPr>
          <w:p w14:paraId="2C600399"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bookmarkStart w:id="1867" w:name="_Toc67330697"/>
            <w:r w:rsidRPr="00131EA9">
              <w:rPr>
                <w:rFonts w:ascii="Arial" w:eastAsia="Calibri" w:hAnsi="Arial" w:cs="Arial"/>
                <w:b/>
                <w:color w:val="000000" w:themeColor="text1"/>
                <w:sz w:val="17"/>
                <w:szCs w:val="17"/>
                <w:lang w:val="hr-HR"/>
              </w:rPr>
              <w:t>000 kuna</w:t>
            </w:r>
            <w:bookmarkEnd w:id="1867"/>
          </w:p>
        </w:tc>
      </w:tr>
      <w:tr w:rsidR="004E2F51" w:rsidRPr="00131EA9" w14:paraId="63E1C453" w14:textId="77777777" w:rsidTr="00E032FC">
        <w:trPr>
          <w:trHeight w:val="243"/>
        </w:trPr>
        <w:tc>
          <w:tcPr>
            <w:tcW w:w="2842" w:type="dxa"/>
            <w:tcMar>
              <w:top w:w="0" w:type="dxa"/>
              <w:left w:w="120" w:type="dxa"/>
              <w:bottom w:w="0" w:type="dxa"/>
              <w:right w:w="120" w:type="dxa"/>
            </w:tcMar>
          </w:tcPr>
          <w:p w14:paraId="3CAFED5F" w14:textId="77777777" w:rsidR="004E2F51" w:rsidRPr="00131EA9" w:rsidRDefault="004E2F51" w:rsidP="00E032FC">
            <w:pPr>
              <w:tabs>
                <w:tab w:val="right" w:pos="1202"/>
              </w:tabs>
              <w:spacing w:line="240" w:lineRule="exact"/>
              <w:outlineLvl w:val="0"/>
              <w:rPr>
                <w:rFonts w:ascii="Arial" w:eastAsia="Calibri" w:hAnsi="Arial" w:cs="Arial"/>
                <w:b/>
                <w:color w:val="000000" w:themeColor="text1"/>
                <w:sz w:val="17"/>
                <w:szCs w:val="17"/>
                <w:lang w:val="hr-HR"/>
              </w:rPr>
            </w:pPr>
            <w:bookmarkStart w:id="1868" w:name="_Toc67330698"/>
            <w:r w:rsidRPr="00131EA9">
              <w:rPr>
                <w:rFonts w:ascii="Arial" w:eastAsia="Calibri" w:hAnsi="Arial" w:cs="Arial"/>
                <w:b/>
                <w:color w:val="000000" w:themeColor="text1"/>
                <w:sz w:val="17"/>
                <w:szCs w:val="17"/>
                <w:lang w:val="hr-HR"/>
              </w:rPr>
              <w:t>Imovina</w:t>
            </w:r>
            <w:bookmarkEnd w:id="1868"/>
          </w:p>
        </w:tc>
        <w:tc>
          <w:tcPr>
            <w:tcW w:w="1010" w:type="dxa"/>
            <w:tcMar>
              <w:top w:w="0" w:type="dxa"/>
              <w:left w:w="120" w:type="dxa"/>
              <w:bottom w:w="0" w:type="dxa"/>
              <w:right w:w="120" w:type="dxa"/>
            </w:tcMar>
            <w:vAlign w:val="bottom"/>
          </w:tcPr>
          <w:p w14:paraId="44323D23"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p>
        </w:tc>
        <w:tc>
          <w:tcPr>
            <w:tcW w:w="1149" w:type="dxa"/>
            <w:tcMar>
              <w:top w:w="0" w:type="dxa"/>
              <w:left w:w="120" w:type="dxa"/>
              <w:bottom w:w="0" w:type="dxa"/>
              <w:right w:w="120" w:type="dxa"/>
            </w:tcMar>
            <w:vAlign w:val="bottom"/>
          </w:tcPr>
          <w:p w14:paraId="56604992"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p>
        </w:tc>
        <w:tc>
          <w:tcPr>
            <w:tcW w:w="1162" w:type="dxa"/>
            <w:tcMar>
              <w:top w:w="0" w:type="dxa"/>
              <w:left w:w="120" w:type="dxa"/>
              <w:bottom w:w="0" w:type="dxa"/>
              <w:right w:w="120" w:type="dxa"/>
            </w:tcMar>
            <w:vAlign w:val="bottom"/>
          </w:tcPr>
          <w:p w14:paraId="46F3486B"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p>
        </w:tc>
        <w:tc>
          <w:tcPr>
            <w:tcW w:w="1137" w:type="dxa"/>
            <w:tcMar>
              <w:top w:w="0" w:type="dxa"/>
              <w:left w:w="120" w:type="dxa"/>
              <w:bottom w:w="0" w:type="dxa"/>
              <w:right w:w="120" w:type="dxa"/>
            </w:tcMar>
            <w:vAlign w:val="bottom"/>
          </w:tcPr>
          <w:p w14:paraId="7E2E1DAA"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p>
        </w:tc>
        <w:tc>
          <w:tcPr>
            <w:tcW w:w="1206" w:type="dxa"/>
            <w:tcMar>
              <w:top w:w="0" w:type="dxa"/>
              <w:left w:w="120" w:type="dxa"/>
              <w:bottom w:w="0" w:type="dxa"/>
              <w:right w:w="120" w:type="dxa"/>
            </w:tcMar>
            <w:vAlign w:val="bottom"/>
          </w:tcPr>
          <w:p w14:paraId="4A34F912"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p>
        </w:tc>
        <w:tc>
          <w:tcPr>
            <w:tcW w:w="1231" w:type="dxa"/>
            <w:tcMar>
              <w:top w:w="0" w:type="dxa"/>
              <w:left w:w="120" w:type="dxa"/>
              <w:bottom w:w="0" w:type="dxa"/>
              <w:right w:w="120" w:type="dxa"/>
            </w:tcMar>
            <w:vAlign w:val="bottom"/>
          </w:tcPr>
          <w:p w14:paraId="6D43FA2F"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p>
        </w:tc>
      </w:tr>
      <w:tr w:rsidR="004E2F51" w:rsidRPr="00131EA9" w14:paraId="3DC250DC" w14:textId="77777777" w:rsidTr="00E032FC">
        <w:trPr>
          <w:trHeight w:val="181"/>
        </w:trPr>
        <w:tc>
          <w:tcPr>
            <w:tcW w:w="2842" w:type="dxa"/>
            <w:tcMar>
              <w:top w:w="0" w:type="dxa"/>
              <w:left w:w="120" w:type="dxa"/>
              <w:bottom w:w="0" w:type="dxa"/>
              <w:right w:w="120" w:type="dxa"/>
            </w:tcMar>
            <w:vAlign w:val="bottom"/>
          </w:tcPr>
          <w:p w14:paraId="673589AE"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bookmarkStart w:id="1869" w:name="_Toc67330699"/>
            <w:r w:rsidRPr="00131EA9">
              <w:rPr>
                <w:rFonts w:ascii="Arial" w:eastAsia="Calibri" w:hAnsi="Arial" w:cs="Arial"/>
                <w:color w:val="000000" w:themeColor="text1"/>
                <w:spacing w:val="-2"/>
                <w:sz w:val="17"/>
                <w:szCs w:val="17"/>
                <w:lang w:val="hr-HR"/>
              </w:rPr>
              <w:t>Novčana sredstva i računi kod banaka</w:t>
            </w:r>
            <w:bookmarkEnd w:id="1869"/>
          </w:p>
        </w:tc>
        <w:tc>
          <w:tcPr>
            <w:tcW w:w="1010" w:type="dxa"/>
            <w:tcBorders>
              <w:top w:val="nil"/>
              <w:left w:val="nil"/>
              <w:right w:val="nil"/>
            </w:tcBorders>
            <w:tcMar>
              <w:top w:w="0" w:type="dxa"/>
              <w:left w:w="120" w:type="dxa"/>
              <w:bottom w:w="0" w:type="dxa"/>
              <w:right w:w="120" w:type="dxa"/>
            </w:tcMar>
            <w:vAlign w:val="bottom"/>
          </w:tcPr>
          <w:p w14:paraId="0BEFB6C6"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14.662</w:t>
            </w:r>
          </w:p>
        </w:tc>
        <w:tc>
          <w:tcPr>
            <w:tcW w:w="1149" w:type="dxa"/>
            <w:tcBorders>
              <w:top w:val="nil"/>
              <w:left w:val="nil"/>
              <w:right w:val="nil"/>
            </w:tcBorders>
            <w:tcMar>
              <w:top w:w="0" w:type="dxa"/>
              <w:left w:w="120" w:type="dxa"/>
              <w:bottom w:w="0" w:type="dxa"/>
              <w:right w:w="120" w:type="dxa"/>
            </w:tcMar>
            <w:vAlign w:val="bottom"/>
          </w:tcPr>
          <w:p w14:paraId="06438640"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85.431</w:t>
            </w:r>
          </w:p>
        </w:tc>
        <w:tc>
          <w:tcPr>
            <w:tcW w:w="1162" w:type="dxa"/>
            <w:tcBorders>
              <w:top w:val="nil"/>
              <w:left w:val="nil"/>
              <w:right w:val="nil"/>
            </w:tcBorders>
            <w:tcMar>
              <w:top w:w="0" w:type="dxa"/>
              <w:left w:w="120" w:type="dxa"/>
              <w:bottom w:w="0" w:type="dxa"/>
              <w:right w:w="120" w:type="dxa"/>
            </w:tcMar>
            <w:vAlign w:val="bottom"/>
          </w:tcPr>
          <w:p w14:paraId="67820131"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29</w:t>
            </w:r>
          </w:p>
        </w:tc>
        <w:tc>
          <w:tcPr>
            <w:tcW w:w="1137" w:type="dxa"/>
            <w:tcBorders>
              <w:top w:val="nil"/>
              <w:left w:val="nil"/>
              <w:right w:val="nil"/>
            </w:tcBorders>
            <w:tcMar>
              <w:top w:w="0" w:type="dxa"/>
              <w:left w:w="120" w:type="dxa"/>
              <w:bottom w:w="0" w:type="dxa"/>
              <w:right w:w="120" w:type="dxa"/>
            </w:tcMar>
            <w:vAlign w:val="bottom"/>
          </w:tcPr>
          <w:p w14:paraId="01749AA2"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100.122</w:t>
            </w:r>
          </w:p>
        </w:tc>
        <w:tc>
          <w:tcPr>
            <w:tcW w:w="1206" w:type="dxa"/>
            <w:tcBorders>
              <w:top w:val="nil"/>
              <w:left w:val="nil"/>
              <w:right w:val="nil"/>
            </w:tcBorders>
            <w:tcMar>
              <w:top w:w="0" w:type="dxa"/>
              <w:left w:w="120" w:type="dxa"/>
              <w:bottom w:w="0" w:type="dxa"/>
              <w:right w:w="120" w:type="dxa"/>
            </w:tcMar>
            <w:vAlign w:val="bottom"/>
          </w:tcPr>
          <w:p w14:paraId="715CE68E"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1.621.797</w:t>
            </w:r>
          </w:p>
        </w:tc>
        <w:tc>
          <w:tcPr>
            <w:tcW w:w="1231" w:type="dxa"/>
            <w:tcBorders>
              <w:top w:val="nil"/>
              <w:left w:val="nil"/>
            </w:tcBorders>
            <w:tcMar>
              <w:top w:w="0" w:type="dxa"/>
              <w:left w:w="120" w:type="dxa"/>
              <w:bottom w:w="0" w:type="dxa"/>
              <w:right w:w="120" w:type="dxa"/>
            </w:tcMar>
            <w:vAlign w:val="bottom"/>
          </w:tcPr>
          <w:p w14:paraId="1405CE26"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1.721.919</w:t>
            </w:r>
          </w:p>
        </w:tc>
      </w:tr>
      <w:tr w:rsidR="004E2F51" w:rsidRPr="00131EA9" w14:paraId="404E2643" w14:textId="77777777" w:rsidTr="00E032FC">
        <w:trPr>
          <w:trHeight w:val="243"/>
        </w:trPr>
        <w:tc>
          <w:tcPr>
            <w:tcW w:w="2842" w:type="dxa"/>
            <w:tcMar>
              <w:top w:w="0" w:type="dxa"/>
              <w:left w:w="120" w:type="dxa"/>
              <w:bottom w:w="0" w:type="dxa"/>
              <w:right w:w="120" w:type="dxa"/>
            </w:tcMar>
            <w:vAlign w:val="bottom"/>
          </w:tcPr>
          <w:p w14:paraId="62A4E595"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bookmarkStart w:id="1870" w:name="_Toc67330700"/>
            <w:r w:rsidRPr="00131EA9">
              <w:rPr>
                <w:rFonts w:ascii="Arial" w:eastAsia="Calibri" w:hAnsi="Arial" w:cs="Arial"/>
                <w:color w:val="000000" w:themeColor="text1"/>
                <w:spacing w:val="-2"/>
                <w:sz w:val="17"/>
                <w:szCs w:val="17"/>
                <w:lang w:val="hr-HR"/>
              </w:rPr>
              <w:t>Depoziti kod drugih banaka</w:t>
            </w:r>
            <w:bookmarkEnd w:id="1870"/>
          </w:p>
        </w:tc>
        <w:tc>
          <w:tcPr>
            <w:tcW w:w="1010" w:type="dxa"/>
            <w:tcBorders>
              <w:top w:val="nil"/>
              <w:left w:val="nil"/>
              <w:bottom w:val="nil"/>
              <w:right w:val="nil"/>
            </w:tcBorders>
            <w:tcMar>
              <w:top w:w="0" w:type="dxa"/>
              <w:left w:w="120" w:type="dxa"/>
              <w:bottom w:w="0" w:type="dxa"/>
              <w:right w:w="120" w:type="dxa"/>
            </w:tcMar>
            <w:vAlign w:val="bottom"/>
          </w:tcPr>
          <w:p w14:paraId="6B0860EA"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149" w:type="dxa"/>
            <w:tcBorders>
              <w:top w:val="nil"/>
              <w:left w:val="nil"/>
              <w:bottom w:val="nil"/>
              <w:right w:val="nil"/>
            </w:tcBorders>
            <w:tcMar>
              <w:top w:w="0" w:type="dxa"/>
              <w:left w:w="120" w:type="dxa"/>
              <w:bottom w:w="0" w:type="dxa"/>
              <w:right w:w="120" w:type="dxa"/>
            </w:tcMar>
            <w:vAlign w:val="bottom"/>
          </w:tcPr>
          <w:p w14:paraId="3B7ADE67"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33.180</w:t>
            </w:r>
          </w:p>
        </w:tc>
        <w:tc>
          <w:tcPr>
            <w:tcW w:w="1162" w:type="dxa"/>
            <w:tcBorders>
              <w:top w:val="nil"/>
              <w:left w:val="nil"/>
              <w:bottom w:val="nil"/>
              <w:right w:val="nil"/>
            </w:tcBorders>
            <w:tcMar>
              <w:top w:w="0" w:type="dxa"/>
              <w:left w:w="120" w:type="dxa"/>
              <w:bottom w:w="0" w:type="dxa"/>
              <w:right w:w="120" w:type="dxa"/>
            </w:tcMar>
            <w:vAlign w:val="bottom"/>
          </w:tcPr>
          <w:p w14:paraId="73B2F6BF"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137" w:type="dxa"/>
            <w:tcBorders>
              <w:top w:val="nil"/>
              <w:left w:val="nil"/>
              <w:bottom w:val="nil"/>
              <w:right w:val="nil"/>
            </w:tcBorders>
            <w:tcMar>
              <w:top w:w="0" w:type="dxa"/>
              <w:left w:w="120" w:type="dxa"/>
              <w:bottom w:w="0" w:type="dxa"/>
              <w:right w:w="120" w:type="dxa"/>
            </w:tcMar>
            <w:vAlign w:val="bottom"/>
          </w:tcPr>
          <w:p w14:paraId="33B0FBB8"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33.180</w:t>
            </w:r>
          </w:p>
        </w:tc>
        <w:tc>
          <w:tcPr>
            <w:tcW w:w="1206" w:type="dxa"/>
            <w:tcBorders>
              <w:top w:val="nil"/>
              <w:left w:val="nil"/>
              <w:bottom w:val="nil"/>
              <w:right w:val="nil"/>
            </w:tcBorders>
            <w:tcMar>
              <w:top w:w="0" w:type="dxa"/>
              <w:left w:w="120" w:type="dxa"/>
              <w:bottom w:w="0" w:type="dxa"/>
              <w:right w:w="120" w:type="dxa"/>
            </w:tcMar>
            <w:vAlign w:val="bottom"/>
          </w:tcPr>
          <w:p w14:paraId="27B57EEA"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231" w:type="dxa"/>
            <w:tcBorders>
              <w:top w:val="nil"/>
              <w:left w:val="nil"/>
              <w:bottom w:val="nil"/>
            </w:tcBorders>
            <w:tcMar>
              <w:top w:w="0" w:type="dxa"/>
              <w:left w:w="120" w:type="dxa"/>
              <w:bottom w:w="0" w:type="dxa"/>
              <w:right w:w="120" w:type="dxa"/>
            </w:tcMar>
            <w:vAlign w:val="bottom"/>
          </w:tcPr>
          <w:p w14:paraId="78D28BE7"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33.180</w:t>
            </w:r>
          </w:p>
        </w:tc>
      </w:tr>
      <w:tr w:rsidR="004E2F51" w:rsidRPr="00131EA9" w14:paraId="0FD96D2F" w14:textId="77777777" w:rsidTr="00E032FC">
        <w:trPr>
          <w:trHeight w:val="119"/>
        </w:trPr>
        <w:tc>
          <w:tcPr>
            <w:tcW w:w="2842" w:type="dxa"/>
            <w:tcMar>
              <w:top w:w="0" w:type="dxa"/>
              <w:left w:w="120" w:type="dxa"/>
              <w:bottom w:w="0" w:type="dxa"/>
              <w:right w:w="120" w:type="dxa"/>
            </w:tcMar>
            <w:vAlign w:val="bottom"/>
          </w:tcPr>
          <w:p w14:paraId="111EB03C"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bookmarkStart w:id="1871" w:name="_Toc67330701"/>
            <w:r w:rsidRPr="00131EA9">
              <w:rPr>
                <w:rFonts w:ascii="Arial" w:eastAsia="Calibri" w:hAnsi="Arial" w:cs="Arial"/>
                <w:color w:val="000000" w:themeColor="text1"/>
                <w:spacing w:val="-2"/>
                <w:sz w:val="17"/>
                <w:szCs w:val="17"/>
                <w:lang w:val="hr-HR"/>
              </w:rPr>
              <w:t>Krediti financijskim institucijama</w:t>
            </w:r>
            <w:bookmarkEnd w:id="1871"/>
          </w:p>
        </w:tc>
        <w:tc>
          <w:tcPr>
            <w:tcW w:w="1010" w:type="dxa"/>
            <w:tcBorders>
              <w:top w:val="nil"/>
              <w:left w:val="nil"/>
              <w:bottom w:val="nil"/>
              <w:right w:val="nil"/>
            </w:tcBorders>
            <w:tcMar>
              <w:top w:w="0" w:type="dxa"/>
              <w:left w:w="120" w:type="dxa"/>
              <w:bottom w:w="0" w:type="dxa"/>
              <w:right w:w="120" w:type="dxa"/>
            </w:tcMar>
            <w:vAlign w:val="bottom"/>
          </w:tcPr>
          <w:p w14:paraId="615BA3BE"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149" w:type="dxa"/>
            <w:tcBorders>
              <w:top w:val="nil"/>
              <w:left w:val="nil"/>
              <w:bottom w:val="nil"/>
              <w:right w:val="nil"/>
            </w:tcBorders>
            <w:tcMar>
              <w:top w:w="0" w:type="dxa"/>
              <w:left w:w="120" w:type="dxa"/>
              <w:bottom w:w="0" w:type="dxa"/>
              <w:right w:w="120" w:type="dxa"/>
            </w:tcMar>
            <w:vAlign w:val="bottom"/>
          </w:tcPr>
          <w:p w14:paraId="13A5A7D6"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3.305.996</w:t>
            </w:r>
          </w:p>
        </w:tc>
        <w:tc>
          <w:tcPr>
            <w:tcW w:w="1162" w:type="dxa"/>
            <w:tcBorders>
              <w:top w:val="nil"/>
              <w:left w:val="nil"/>
              <w:bottom w:val="nil"/>
              <w:right w:val="nil"/>
            </w:tcBorders>
            <w:tcMar>
              <w:top w:w="0" w:type="dxa"/>
              <w:left w:w="120" w:type="dxa"/>
              <w:bottom w:w="0" w:type="dxa"/>
              <w:right w:w="120" w:type="dxa"/>
            </w:tcMar>
            <w:vAlign w:val="bottom"/>
          </w:tcPr>
          <w:p w14:paraId="5524813A"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137" w:type="dxa"/>
            <w:tcBorders>
              <w:top w:val="nil"/>
              <w:left w:val="nil"/>
              <w:bottom w:val="nil"/>
              <w:right w:val="nil"/>
            </w:tcBorders>
            <w:tcMar>
              <w:top w:w="0" w:type="dxa"/>
              <w:left w:w="120" w:type="dxa"/>
              <w:bottom w:w="0" w:type="dxa"/>
              <w:right w:w="120" w:type="dxa"/>
            </w:tcMar>
            <w:vAlign w:val="bottom"/>
          </w:tcPr>
          <w:p w14:paraId="747E68A8"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3.305.996</w:t>
            </w:r>
          </w:p>
        </w:tc>
        <w:tc>
          <w:tcPr>
            <w:tcW w:w="1206" w:type="dxa"/>
            <w:tcBorders>
              <w:top w:val="nil"/>
              <w:left w:val="nil"/>
              <w:bottom w:val="nil"/>
              <w:right w:val="nil"/>
            </w:tcBorders>
            <w:tcMar>
              <w:top w:w="0" w:type="dxa"/>
              <w:left w:w="120" w:type="dxa"/>
              <w:bottom w:w="0" w:type="dxa"/>
              <w:right w:w="120" w:type="dxa"/>
            </w:tcMar>
            <w:vAlign w:val="bottom"/>
          </w:tcPr>
          <w:p w14:paraId="3081E606"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3.678.716</w:t>
            </w:r>
          </w:p>
        </w:tc>
        <w:tc>
          <w:tcPr>
            <w:tcW w:w="1231" w:type="dxa"/>
            <w:tcBorders>
              <w:top w:val="nil"/>
              <w:left w:val="nil"/>
              <w:bottom w:val="nil"/>
            </w:tcBorders>
            <w:tcMar>
              <w:top w:w="0" w:type="dxa"/>
              <w:left w:w="120" w:type="dxa"/>
              <w:bottom w:w="0" w:type="dxa"/>
              <w:right w:w="120" w:type="dxa"/>
            </w:tcMar>
            <w:vAlign w:val="bottom"/>
          </w:tcPr>
          <w:p w14:paraId="02624ABA"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6.984.712</w:t>
            </w:r>
          </w:p>
        </w:tc>
      </w:tr>
      <w:tr w:rsidR="004E2F51" w:rsidRPr="00131EA9" w14:paraId="2183AF9F" w14:textId="77777777" w:rsidTr="00E032FC">
        <w:trPr>
          <w:trHeight w:val="71"/>
        </w:trPr>
        <w:tc>
          <w:tcPr>
            <w:tcW w:w="2842" w:type="dxa"/>
            <w:tcMar>
              <w:top w:w="0" w:type="dxa"/>
              <w:left w:w="120" w:type="dxa"/>
              <w:bottom w:w="0" w:type="dxa"/>
              <w:right w:w="120" w:type="dxa"/>
            </w:tcMar>
            <w:vAlign w:val="bottom"/>
          </w:tcPr>
          <w:p w14:paraId="233E4C9D"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bookmarkStart w:id="1872" w:name="_Toc67330702"/>
            <w:r w:rsidRPr="00131EA9">
              <w:rPr>
                <w:rFonts w:ascii="Arial" w:eastAsia="Calibri" w:hAnsi="Arial" w:cs="Arial"/>
                <w:color w:val="000000" w:themeColor="text1"/>
                <w:spacing w:val="-2"/>
                <w:sz w:val="17"/>
                <w:szCs w:val="17"/>
                <w:lang w:val="hr-HR"/>
              </w:rPr>
              <w:t>Krediti ostalim korisnicima</w:t>
            </w:r>
            <w:bookmarkEnd w:id="1872"/>
          </w:p>
        </w:tc>
        <w:tc>
          <w:tcPr>
            <w:tcW w:w="1010" w:type="dxa"/>
            <w:tcBorders>
              <w:top w:val="nil"/>
              <w:left w:val="nil"/>
              <w:bottom w:val="nil"/>
              <w:right w:val="nil"/>
            </w:tcBorders>
            <w:tcMar>
              <w:top w:w="0" w:type="dxa"/>
              <w:left w:w="120" w:type="dxa"/>
              <w:bottom w:w="0" w:type="dxa"/>
              <w:right w:w="120" w:type="dxa"/>
            </w:tcMar>
            <w:vAlign w:val="bottom"/>
          </w:tcPr>
          <w:p w14:paraId="280DF7C8"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146.813</w:t>
            </w:r>
          </w:p>
        </w:tc>
        <w:tc>
          <w:tcPr>
            <w:tcW w:w="1149" w:type="dxa"/>
            <w:tcBorders>
              <w:top w:val="nil"/>
              <w:left w:val="nil"/>
              <w:bottom w:val="nil"/>
              <w:right w:val="nil"/>
            </w:tcBorders>
            <w:tcMar>
              <w:top w:w="0" w:type="dxa"/>
              <w:left w:w="120" w:type="dxa"/>
              <w:bottom w:w="0" w:type="dxa"/>
              <w:right w:w="120" w:type="dxa"/>
            </w:tcMar>
            <w:vAlign w:val="bottom"/>
          </w:tcPr>
          <w:p w14:paraId="3AE777D7"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9.998.144</w:t>
            </w:r>
          </w:p>
        </w:tc>
        <w:tc>
          <w:tcPr>
            <w:tcW w:w="1162" w:type="dxa"/>
            <w:tcBorders>
              <w:top w:val="nil"/>
              <w:left w:val="nil"/>
              <w:bottom w:val="nil"/>
              <w:right w:val="nil"/>
            </w:tcBorders>
            <w:tcMar>
              <w:top w:w="0" w:type="dxa"/>
              <w:left w:w="120" w:type="dxa"/>
              <w:bottom w:w="0" w:type="dxa"/>
              <w:right w:w="120" w:type="dxa"/>
            </w:tcMar>
            <w:vAlign w:val="bottom"/>
          </w:tcPr>
          <w:p w14:paraId="5CED582F"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134.679</w:t>
            </w:r>
          </w:p>
        </w:tc>
        <w:tc>
          <w:tcPr>
            <w:tcW w:w="1137" w:type="dxa"/>
            <w:tcBorders>
              <w:top w:val="nil"/>
              <w:left w:val="nil"/>
              <w:bottom w:val="nil"/>
              <w:right w:val="nil"/>
            </w:tcBorders>
            <w:tcMar>
              <w:top w:w="0" w:type="dxa"/>
              <w:left w:w="120" w:type="dxa"/>
              <w:bottom w:w="0" w:type="dxa"/>
              <w:right w:w="120" w:type="dxa"/>
            </w:tcMar>
            <w:vAlign w:val="bottom"/>
          </w:tcPr>
          <w:p w14:paraId="185CDE31"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10.279.636</w:t>
            </w:r>
          </w:p>
        </w:tc>
        <w:tc>
          <w:tcPr>
            <w:tcW w:w="1206" w:type="dxa"/>
            <w:tcBorders>
              <w:top w:val="nil"/>
              <w:left w:val="nil"/>
              <w:bottom w:val="nil"/>
              <w:right w:val="nil"/>
            </w:tcBorders>
            <w:tcMar>
              <w:top w:w="0" w:type="dxa"/>
              <w:left w:w="120" w:type="dxa"/>
              <w:bottom w:w="0" w:type="dxa"/>
              <w:right w:w="120" w:type="dxa"/>
            </w:tcMar>
            <w:vAlign w:val="bottom"/>
          </w:tcPr>
          <w:p w14:paraId="3DC4AC7B"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7.123.030</w:t>
            </w:r>
          </w:p>
        </w:tc>
        <w:tc>
          <w:tcPr>
            <w:tcW w:w="1231" w:type="dxa"/>
            <w:tcBorders>
              <w:top w:val="nil"/>
              <w:left w:val="nil"/>
              <w:bottom w:val="nil"/>
            </w:tcBorders>
            <w:tcMar>
              <w:top w:w="0" w:type="dxa"/>
              <w:left w:w="120" w:type="dxa"/>
              <w:bottom w:w="0" w:type="dxa"/>
              <w:right w:w="120" w:type="dxa"/>
            </w:tcMar>
            <w:vAlign w:val="bottom"/>
          </w:tcPr>
          <w:p w14:paraId="3D19CABE"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17.402.666</w:t>
            </w:r>
          </w:p>
        </w:tc>
      </w:tr>
      <w:tr w:rsidR="004E2F51" w:rsidRPr="00131EA9" w14:paraId="06B6A816" w14:textId="77777777" w:rsidTr="00E032FC">
        <w:trPr>
          <w:trHeight w:val="227"/>
        </w:trPr>
        <w:tc>
          <w:tcPr>
            <w:tcW w:w="2842" w:type="dxa"/>
            <w:tcMar>
              <w:top w:w="0" w:type="dxa"/>
              <w:left w:w="120" w:type="dxa"/>
              <w:bottom w:w="0" w:type="dxa"/>
              <w:right w:w="120" w:type="dxa"/>
            </w:tcMar>
            <w:vAlign w:val="bottom"/>
          </w:tcPr>
          <w:p w14:paraId="53F51D02"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bookmarkStart w:id="1873" w:name="_Toc67330703"/>
            <w:r w:rsidRPr="00131EA9">
              <w:rPr>
                <w:rFonts w:ascii="Arial" w:eastAsia="Calibri" w:hAnsi="Arial" w:cs="Arial"/>
                <w:color w:val="000000" w:themeColor="text1"/>
                <w:sz w:val="17"/>
                <w:szCs w:val="17"/>
                <w:lang w:val="hr-HR"/>
              </w:rPr>
              <w:t>Financijska imovina po fer vrijednosti kroz dobit ili gubitak</w:t>
            </w:r>
            <w:bookmarkEnd w:id="1873"/>
          </w:p>
        </w:tc>
        <w:tc>
          <w:tcPr>
            <w:tcW w:w="1010" w:type="dxa"/>
            <w:tcBorders>
              <w:top w:val="nil"/>
              <w:left w:val="nil"/>
              <w:bottom w:val="nil"/>
              <w:right w:val="nil"/>
            </w:tcBorders>
            <w:tcMar>
              <w:top w:w="0" w:type="dxa"/>
              <w:left w:w="120" w:type="dxa"/>
              <w:bottom w:w="0" w:type="dxa"/>
              <w:right w:w="120" w:type="dxa"/>
            </w:tcMar>
            <w:vAlign w:val="bottom"/>
          </w:tcPr>
          <w:p w14:paraId="7D66C30B"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22.831</w:t>
            </w:r>
          </w:p>
        </w:tc>
        <w:tc>
          <w:tcPr>
            <w:tcW w:w="1149" w:type="dxa"/>
            <w:tcBorders>
              <w:top w:val="nil"/>
              <w:left w:val="nil"/>
              <w:bottom w:val="nil"/>
              <w:right w:val="nil"/>
            </w:tcBorders>
            <w:tcMar>
              <w:top w:w="0" w:type="dxa"/>
              <w:left w:w="120" w:type="dxa"/>
              <w:bottom w:w="0" w:type="dxa"/>
              <w:right w:w="120" w:type="dxa"/>
            </w:tcMar>
            <w:vAlign w:val="bottom"/>
          </w:tcPr>
          <w:p w14:paraId="6A557DB8"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107.622</w:t>
            </w:r>
          </w:p>
        </w:tc>
        <w:tc>
          <w:tcPr>
            <w:tcW w:w="1162" w:type="dxa"/>
            <w:tcBorders>
              <w:top w:val="nil"/>
              <w:left w:val="nil"/>
              <w:bottom w:val="nil"/>
              <w:right w:val="nil"/>
            </w:tcBorders>
            <w:tcMar>
              <w:top w:w="0" w:type="dxa"/>
              <w:left w:w="120" w:type="dxa"/>
              <w:bottom w:w="0" w:type="dxa"/>
              <w:right w:w="120" w:type="dxa"/>
            </w:tcMar>
            <w:vAlign w:val="bottom"/>
          </w:tcPr>
          <w:p w14:paraId="6CC4FE71"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137" w:type="dxa"/>
            <w:tcBorders>
              <w:top w:val="nil"/>
              <w:left w:val="nil"/>
              <w:bottom w:val="nil"/>
              <w:right w:val="nil"/>
            </w:tcBorders>
            <w:tcMar>
              <w:top w:w="0" w:type="dxa"/>
              <w:left w:w="120" w:type="dxa"/>
              <w:bottom w:w="0" w:type="dxa"/>
              <w:right w:w="120" w:type="dxa"/>
            </w:tcMar>
            <w:vAlign w:val="bottom"/>
          </w:tcPr>
          <w:p w14:paraId="5C6225E4"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130.453</w:t>
            </w:r>
          </w:p>
        </w:tc>
        <w:tc>
          <w:tcPr>
            <w:tcW w:w="1206" w:type="dxa"/>
            <w:tcBorders>
              <w:top w:val="nil"/>
              <w:left w:val="nil"/>
              <w:bottom w:val="nil"/>
              <w:right w:val="nil"/>
            </w:tcBorders>
            <w:tcMar>
              <w:top w:w="0" w:type="dxa"/>
              <w:left w:w="120" w:type="dxa"/>
              <w:bottom w:w="0" w:type="dxa"/>
              <w:right w:w="120" w:type="dxa"/>
            </w:tcMar>
            <w:vAlign w:val="bottom"/>
          </w:tcPr>
          <w:p w14:paraId="3C548AF3"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1.070</w:t>
            </w:r>
          </w:p>
        </w:tc>
        <w:tc>
          <w:tcPr>
            <w:tcW w:w="1231" w:type="dxa"/>
            <w:tcBorders>
              <w:top w:val="nil"/>
              <w:left w:val="nil"/>
              <w:bottom w:val="nil"/>
            </w:tcBorders>
            <w:tcMar>
              <w:top w:w="0" w:type="dxa"/>
              <w:left w:w="120" w:type="dxa"/>
              <w:bottom w:w="0" w:type="dxa"/>
              <w:right w:w="120" w:type="dxa"/>
            </w:tcMar>
            <w:vAlign w:val="bottom"/>
          </w:tcPr>
          <w:p w14:paraId="12634E11"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131.523</w:t>
            </w:r>
          </w:p>
        </w:tc>
      </w:tr>
      <w:tr w:rsidR="004E2F51" w:rsidRPr="00131EA9" w14:paraId="61C3ECEB" w14:textId="77777777" w:rsidTr="00E032FC">
        <w:trPr>
          <w:trHeight w:val="243"/>
        </w:trPr>
        <w:tc>
          <w:tcPr>
            <w:tcW w:w="2842" w:type="dxa"/>
            <w:tcMar>
              <w:top w:w="0" w:type="dxa"/>
              <w:left w:w="120" w:type="dxa"/>
              <w:bottom w:w="0" w:type="dxa"/>
              <w:right w:w="120" w:type="dxa"/>
            </w:tcMar>
            <w:vAlign w:val="bottom"/>
          </w:tcPr>
          <w:p w14:paraId="285B1987"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bookmarkStart w:id="1874" w:name="_Toc67330704"/>
            <w:r w:rsidRPr="00131EA9">
              <w:rPr>
                <w:rFonts w:ascii="Arial" w:eastAsia="Calibri" w:hAnsi="Arial" w:cs="Arial"/>
                <w:color w:val="000000" w:themeColor="text1"/>
                <w:sz w:val="17"/>
                <w:szCs w:val="17"/>
                <w:lang w:val="hr-HR"/>
              </w:rPr>
              <w:t>Financijska imovina po fer vrijednosti kroz ostalu sveobuhvatnu dobit</w:t>
            </w:r>
            <w:bookmarkEnd w:id="1874"/>
          </w:p>
        </w:tc>
        <w:tc>
          <w:tcPr>
            <w:tcW w:w="1010" w:type="dxa"/>
            <w:tcBorders>
              <w:top w:val="nil"/>
              <w:left w:val="nil"/>
              <w:bottom w:val="nil"/>
              <w:right w:val="nil"/>
            </w:tcBorders>
            <w:tcMar>
              <w:top w:w="0" w:type="dxa"/>
              <w:left w:w="120" w:type="dxa"/>
              <w:bottom w:w="0" w:type="dxa"/>
              <w:right w:w="120" w:type="dxa"/>
            </w:tcMar>
            <w:vAlign w:val="bottom"/>
          </w:tcPr>
          <w:p w14:paraId="49EF1919"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149" w:type="dxa"/>
            <w:tcBorders>
              <w:top w:val="nil"/>
              <w:left w:val="nil"/>
              <w:bottom w:val="nil"/>
              <w:right w:val="nil"/>
            </w:tcBorders>
            <w:tcMar>
              <w:top w:w="0" w:type="dxa"/>
              <w:left w:w="120" w:type="dxa"/>
              <w:bottom w:w="0" w:type="dxa"/>
              <w:right w:w="120" w:type="dxa"/>
            </w:tcMar>
            <w:vAlign w:val="bottom"/>
          </w:tcPr>
          <w:p w14:paraId="74A2B1BD"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697.965</w:t>
            </w:r>
          </w:p>
        </w:tc>
        <w:tc>
          <w:tcPr>
            <w:tcW w:w="1162" w:type="dxa"/>
            <w:tcBorders>
              <w:top w:val="nil"/>
              <w:left w:val="nil"/>
              <w:bottom w:val="nil"/>
              <w:right w:val="nil"/>
            </w:tcBorders>
            <w:tcMar>
              <w:top w:w="0" w:type="dxa"/>
              <w:left w:w="120" w:type="dxa"/>
              <w:bottom w:w="0" w:type="dxa"/>
              <w:right w:w="120" w:type="dxa"/>
            </w:tcMar>
            <w:vAlign w:val="bottom"/>
          </w:tcPr>
          <w:p w14:paraId="2089A1D0"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137" w:type="dxa"/>
            <w:tcBorders>
              <w:top w:val="nil"/>
              <w:left w:val="nil"/>
              <w:bottom w:val="nil"/>
              <w:right w:val="nil"/>
            </w:tcBorders>
            <w:tcMar>
              <w:top w:w="0" w:type="dxa"/>
              <w:left w:w="120" w:type="dxa"/>
              <w:bottom w:w="0" w:type="dxa"/>
              <w:right w:w="120" w:type="dxa"/>
            </w:tcMar>
            <w:vAlign w:val="bottom"/>
          </w:tcPr>
          <w:p w14:paraId="5B116FAB"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697.965</w:t>
            </w:r>
          </w:p>
        </w:tc>
        <w:tc>
          <w:tcPr>
            <w:tcW w:w="1206" w:type="dxa"/>
            <w:tcBorders>
              <w:top w:val="nil"/>
              <w:left w:val="nil"/>
              <w:bottom w:val="nil"/>
              <w:right w:val="nil"/>
            </w:tcBorders>
            <w:tcMar>
              <w:top w:w="0" w:type="dxa"/>
              <w:left w:w="120" w:type="dxa"/>
              <w:bottom w:w="0" w:type="dxa"/>
              <w:right w:w="120" w:type="dxa"/>
            </w:tcMar>
            <w:vAlign w:val="bottom"/>
          </w:tcPr>
          <w:p w14:paraId="46F5DB6C"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1.988.657</w:t>
            </w:r>
          </w:p>
        </w:tc>
        <w:tc>
          <w:tcPr>
            <w:tcW w:w="1231" w:type="dxa"/>
            <w:tcBorders>
              <w:top w:val="nil"/>
              <w:left w:val="nil"/>
              <w:bottom w:val="nil"/>
            </w:tcBorders>
            <w:tcMar>
              <w:top w:w="0" w:type="dxa"/>
              <w:left w:w="120" w:type="dxa"/>
              <w:bottom w:w="0" w:type="dxa"/>
              <w:right w:w="120" w:type="dxa"/>
            </w:tcMar>
            <w:vAlign w:val="bottom"/>
          </w:tcPr>
          <w:p w14:paraId="60EF9214"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DB046D">
              <w:rPr>
                <w:rFonts w:ascii="Arial" w:eastAsia="Arial Unicode MS" w:hAnsi="Arial" w:cs="Arial"/>
                <w:color w:val="000000" w:themeColor="text1"/>
                <w:sz w:val="17"/>
                <w:szCs w:val="17"/>
                <w:lang w:val="hr-HR"/>
              </w:rPr>
              <w:t>2.686.622</w:t>
            </w:r>
          </w:p>
        </w:tc>
      </w:tr>
      <w:tr w:rsidR="004E2F51" w:rsidRPr="00131EA9" w14:paraId="69665811" w14:textId="77777777" w:rsidTr="00E032FC">
        <w:trPr>
          <w:trHeight w:val="472"/>
        </w:trPr>
        <w:tc>
          <w:tcPr>
            <w:tcW w:w="2842" w:type="dxa"/>
            <w:tcMar>
              <w:top w:w="0" w:type="dxa"/>
              <w:left w:w="120" w:type="dxa"/>
              <w:bottom w:w="0" w:type="dxa"/>
              <w:right w:w="120" w:type="dxa"/>
            </w:tcMar>
            <w:vAlign w:val="bottom"/>
          </w:tcPr>
          <w:p w14:paraId="3464E38A"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bookmarkStart w:id="1875" w:name="_Toc67330706"/>
            <w:r w:rsidRPr="00131EA9">
              <w:rPr>
                <w:rFonts w:ascii="Arial" w:eastAsia="Calibri" w:hAnsi="Arial" w:cs="Arial"/>
                <w:color w:val="000000" w:themeColor="text1"/>
                <w:spacing w:val="-2"/>
                <w:sz w:val="17"/>
                <w:szCs w:val="17"/>
                <w:lang w:val="hr-HR"/>
              </w:rPr>
              <w:t>Nekretnine, postrojenja i oprema i nematerijalna imovina</w:t>
            </w:r>
            <w:bookmarkEnd w:id="1875"/>
          </w:p>
        </w:tc>
        <w:tc>
          <w:tcPr>
            <w:tcW w:w="1010" w:type="dxa"/>
            <w:tcBorders>
              <w:top w:val="nil"/>
              <w:left w:val="nil"/>
              <w:bottom w:val="nil"/>
              <w:right w:val="nil"/>
            </w:tcBorders>
            <w:tcMar>
              <w:top w:w="0" w:type="dxa"/>
              <w:left w:w="120" w:type="dxa"/>
              <w:bottom w:w="0" w:type="dxa"/>
              <w:right w:w="120" w:type="dxa"/>
            </w:tcMar>
            <w:vAlign w:val="bottom"/>
          </w:tcPr>
          <w:p w14:paraId="1D79FBC1"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149" w:type="dxa"/>
            <w:tcBorders>
              <w:top w:val="nil"/>
              <w:left w:val="nil"/>
              <w:bottom w:val="nil"/>
              <w:right w:val="nil"/>
            </w:tcBorders>
            <w:tcMar>
              <w:top w:w="0" w:type="dxa"/>
              <w:left w:w="120" w:type="dxa"/>
              <w:bottom w:w="0" w:type="dxa"/>
              <w:right w:w="120" w:type="dxa"/>
            </w:tcMar>
            <w:vAlign w:val="bottom"/>
          </w:tcPr>
          <w:p w14:paraId="6BBBCDB0"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162" w:type="dxa"/>
            <w:tcBorders>
              <w:top w:val="nil"/>
              <w:left w:val="nil"/>
              <w:bottom w:val="nil"/>
              <w:right w:val="nil"/>
            </w:tcBorders>
            <w:tcMar>
              <w:top w:w="0" w:type="dxa"/>
              <w:left w:w="120" w:type="dxa"/>
              <w:bottom w:w="0" w:type="dxa"/>
              <w:right w:w="120" w:type="dxa"/>
            </w:tcMar>
            <w:vAlign w:val="bottom"/>
          </w:tcPr>
          <w:p w14:paraId="1ECECA15"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137" w:type="dxa"/>
            <w:tcBorders>
              <w:top w:val="nil"/>
              <w:left w:val="nil"/>
              <w:bottom w:val="nil"/>
              <w:right w:val="nil"/>
            </w:tcBorders>
            <w:tcMar>
              <w:top w:w="0" w:type="dxa"/>
              <w:left w:w="120" w:type="dxa"/>
              <w:bottom w:w="0" w:type="dxa"/>
              <w:right w:w="120" w:type="dxa"/>
            </w:tcMar>
            <w:vAlign w:val="bottom"/>
          </w:tcPr>
          <w:p w14:paraId="7E2B45E4"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206" w:type="dxa"/>
            <w:tcBorders>
              <w:top w:val="nil"/>
              <w:left w:val="nil"/>
              <w:bottom w:val="nil"/>
              <w:right w:val="nil"/>
            </w:tcBorders>
            <w:tcMar>
              <w:top w:w="0" w:type="dxa"/>
              <w:left w:w="120" w:type="dxa"/>
              <w:bottom w:w="0" w:type="dxa"/>
              <w:right w:w="120" w:type="dxa"/>
            </w:tcMar>
            <w:vAlign w:val="bottom"/>
          </w:tcPr>
          <w:p w14:paraId="5D2539DB"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38.831</w:t>
            </w:r>
          </w:p>
        </w:tc>
        <w:tc>
          <w:tcPr>
            <w:tcW w:w="1231" w:type="dxa"/>
            <w:tcBorders>
              <w:top w:val="nil"/>
              <w:left w:val="nil"/>
              <w:bottom w:val="nil"/>
            </w:tcBorders>
            <w:tcMar>
              <w:top w:w="0" w:type="dxa"/>
              <w:left w:w="120" w:type="dxa"/>
              <w:bottom w:w="0" w:type="dxa"/>
              <w:right w:w="120" w:type="dxa"/>
            </w:tcMar>
            <w:vAlign w:val="bottom"/>
          </w:tcPr>
          <w:p w14:paraId="7829747A"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38.831</w:t>
            </w:r>
          </w:p>
        </w:tc>
      </w:tr>
      <w:tr w:rsidR="004E2F51" w:rsidRPr="00131EA9" w14:paraId="32AA5FBD" w14:textId="77777777" w:rsidTr="00E032FC">
        <w:trPr>
          <w:trHeight w:val="237"/>
        </w:trPr>
        <w:tc>
          <w:tcPr>
            <w:tcW w:w="2842" w:type="dxa"/>
            <w:tcMar>
              <w:top w:w="0" w:type="dxa"/>
              <w:left w:w="120" w:type="dxa"/>
              <w:bottom w:w="0" w:type="dxa"/>
              <w:right w:w="120" w:type="dxa"/>
            </w:tcMar>
            <w:vAlign w:val="bottom"/>
          </w:tcPr>
          <w:p w14:paraId="164D65CF"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bookmarkStart w:id="1876" w:name="_Toc67330707"/>
            <w:r w:rsidRPr="00131EA9">
              <w:rPr>
                <w:rFonts w:ascii="Arial" w:eastAsia="Calibri" w:hAnsi="Arial" w:cs="Arial"/>
                <w:color w:val="000000" w:themeColor="text1"/>
                <w:spacing w:val="-2"/>
                <w:sz w:val="17"/>
                <w:szCs w:val="17"/>
                <w:lang w:val="hr-HR"/>
              </w:rPr>
              <w:t>Preuzeta imovina</w:t>
            </w:r>
            <w:bookmarkEnd w:id="1876"/>
          </w:p>
        </w:tc>
        <w:tc>
          <w:tcPr>
            <w:tcW w:w="1010" w:type="dxa"/>
            <w:tcBorders>
              <w:top w:val="nil"/>
              <w:left w:val="nil"/>
              <w:bottom w:val="nil"/>
              <w:right w:val="nil"/>
            </w:tcBorders>
            <w:tcMar>
              <w:top w:w="0" w:type="dxa"/>
              <w:left w:w="120" w:type="dxa"/>
              <w:bottom w:w="0" w:type="dxa"/>
              <w:right w:w="120" w:type="dxa"/>
            </w:tcMar>
            <w:vAlign w:val="bottom"/>
          </w:tcPr>
          <w:p w14:paraId="324783AD"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149" w:type="dxa"/>
            <w:tcBorders>
              <w:top w:val="nil"/>
              <w:left w:val="nil"/>
              <w:bottom w:val="nil"/>
              <w:right w:val="nil"/>
            </w:tcBorders>
            <w:tcMar>
              <w:top w:w="0" w:type="dxa"/>
              <w:left w:w="120" w:type="dxa"/>
              <w:bottom w:w="0" w:type="dxa"/>
              <w:right w:w="120" w:type="dxa"/>
            </w:tcMar>
            <w:vAlign w:val="bottom"/>
          </w:tcPr>
          <w:p w14:paraId="7C9356A4"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162" w:type="dxa"/>
            <w:tcBorders>
              <w:top w:val="nil"/>
              <w:left w:val="nil"/>
              <w:bottom w:val="nil"/>
              <w:right w:val="nil"/>
            </w:tcBorders>
            <w:tcMar>
              <w:top w:w="0" w:type="dxa"/>
              <w:left w:w="120" w:type="dxa"/>
              <w:bottom w:w="0" w:type="dxa"/>
              <w:right w:w="120" w:type="dxa"/>
            </w:tcMar>
            <w:vAlign w:val="bottom"/>
          </w:tcPr>
          <w:p w14:paraId="3B6FC6C4"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137" w:type="dxa"/>
            <w:tcBorders>
              <w:top w:val="nil"/>
              <w:left w:val="nil"/>
              <w:bottom w:val="nil"/>
              <w:right w:val="nil"/>
            </w:tcBorders>
            <w:tcMar>
              <w:top w:w="0" w:type="dxa"/>
              <w:left w:w="120" w:type="dxa"/>
              <w:bottom w:w="0" w:type="dxa"/>
              <w:right w:w="120" w:type="dxa"/>
            </w:tcMar>
            <w:vAlign w:val="bottom"/>
          </w:tcPr>
          <w:p w14:paraId="4A292A57"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206" w:type="dxa"/>
            <w:tcBorders>
              <w:top w:val="nil"/>
              <w:left w:val="nil"/>
              <w:bottom w:val="nil"/>
              <w:right w:val="nil"/>
            </w:tcBorders>
            <w:tcMar>
              <w:top w:w="0" w:type="dxa"/>
              <w:left w:w="120" w:type="dxa"/>
              <w:bottom w:w="0" w:type="dxa"/>
              <w:right w:w="120" w:type="dxa"/>
            </w:tcMar>
            <w:vAlign w:val="bottom"/>
          </w:tcPr>
          <w:p w14:paraId="284A1CFB"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24.776</w:t>
            </w:r>
          </w:p>
        </w:tc>
        <w:tc>
          <w:tcPr>
            <w:tcW w:w="1231" w:type="dxa"/>
            <w:tcBorders>
              <w:top w:val="nil"/>
              <w:left w:val="nil"/>
              <w:bottom w:val="nil"/>
            </w:tcBorders>
            <w:tcMar>
              <w:top w:w="0" w:type="dxa"/>
              <w:left w:w="120" w:type="dxa"/>
              <w:bottom w:w="0" w:type="dxa"/>
              <w:right w:w="120" w:type="dxa"/>
            </w:tcMar>
            <w:vAlign w:val="bottom"/>
          </w:tcPr>
          <w:p w14:paraId="3E4686B3"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24.776</w:t>
            </w:r>
          </w:p>
        </w:tc>
      </w:tr>
      <w:tr w:rsidR="004E2F51" w:rsidRPr="00131EA9" w14:paraId="309D92E7" w14:textId="77777777" w:rsidTr="00E032FC">
        <w:trPr>
          <w:trHeight w:val="227"/>
        </w:trPr>
        <w:tc>
          <w:tcPr>
            <w:tcW w:w="2842" w:type="dxa"/>
            <w:tcMar>
              <w:top w:w="0" w:type="dxa"/>
              <w:left w:w="120" w:type="dxa"/>
              <w:bottom w:w="0" w:type="dxa"/>
              <w:right w:w="120" w:type="dxa"/>
            </w:tcMar>
            <w:vAlign w:val="bottom"/>
          </w:tcPr>
          <w:p w14:paraId="4D279FEA"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bookmarkStart w:id="1877" w:name="_Toc67330708"/>
            <w:r w:rsidRPr="00131EA9">
              <w:rPr>
                <w:rFonts w:ascii="Arial" w:eastAsia="Calibri" w:hAnsi="Arial" w:cs="Arial"/>
                <w:color w:val="000000" w:themeColor="text1"/>
                <w:spacing w:val="-2"/>
                <w:sz w:val="17"/>
                <w:szCs w:val="17"/>
                <w:lang w:val="hr-HR"/>
              </w:rPr>
              <w:t>Ostala imovina</w:t>
            </w:r>
            <w:bookmarkEnd w:id="1877"/>
          </w:p>
        </w:tc>
        <w:tc>
          <w:tcPr>
            <w:tcW w:w="1010" w:type="dxa"/>
            <w:tcBorders>
              <w:top w:val="nil"/>
              <w:left w:val="nil"/>
              <w:bottom w:val="nil"/>
              <w:right w:val="nil"/>
            </w:tcBorders>
            <w:tcMar>
              <w:top w:w="0" w:type="dxa"/>
              <w:left w:w="120" w:type="dxa"/>
              <w:bottom w:w="0" w:type="dxa"/>
              <w:right w:w="120" w:type="dxa"/>
            </w:tcMar>
            <w:vAlign w:val="bottom"/>
          </w:tcPr>
          <w:p w14:paraId="042EAE13"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149" w:type="dxa"/>
            <w:tcBorders>
              <w:top w:val="nil"/>
              <w:left w:val="nil"/>
              <w:bottom w:val="nil"/>
              <w:right w:val="nil"/>
            </w:tcBorders>
            <w:tcMar>
              <w:top w:w="0" w:type="dxa"/>
              <w:left w:w="120" w:type="dxa"/>
              <w:bottom w:w="0" w:type="dxa"/>
              <w:right w:w="120" w:type="dxa"/>
            </w:tcMar>
            <w:vAlign w:val="bottom"/>
          </w:tcPr>
          <w:p w14:paraId="0DD8CF1F"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8.326</w:t>
            </w:r>
          </w:p>
        </w:tc>
        <w:tc>
          <w:tcPr>
            <w:tcW w:w="1162" w:type="dxa"/>
            <w:tcBorders>
              <w:top w:val="nil"/>
              <w:left w:val="nil"/>
              <w:bottom w:val="nil"/>
              <w:right w:val="nil"/>
            </w:tcBorders>
            <w:tcMar>
              <w:top w:w="0" w:type="dxa"/>
              <w:left w:w="120" w:type="dxa"/>
              <w:bottom w:w="0" w:type="dxa"/>
              <w:right w:w="120" w:type="dxa"/>
            </w:tcMar>
            <w:vAlign w:val="bottom"/>
          </w:tcPr>
          <w:p w14:paraId="518E7EED"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137" w:type="dxa"/>
            <w:tcBorders>
              <w:top w:val="nil"/>
              <w:left w:val="nil"/>
              <w:bottom w:val="nil"/>
              <w:right w:val="nil"/>
            </w:tcBorders>
            <w:tcMar>
              <w:top w:w="0" w:type="dxa"/>
              <w:left w:w="120" w:type="dxa"/>
              <w:bottom w:w="0" w:type="dxa"/>
              <w:right w:w="120" w:type="dxa"/>
            </w:tcMar>
            <w:vAlign w:val="bottom"/>
          </w:tcPr>
          <w:p w14:paraId="62A81972"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8.326</w:t>
            </w:r>
          </w:p>
        </w:tc>
        <w:tc>
          <w:tcPr>
            <w:tcW w:w="1206" w:type="dxa"/>
            <w:tcBorders>
              <w:top w:val="nil"/>
              <w:left w:val="nil"/>
              <w:bottom w:val="nil"/>
              <w:right w:val="nil"/>
            </w:tcBorders>
            <w:tcMar>
              <w:top w:w="0" w:type="dxa"/>
              <w:left w:w="120" w:type="dxa"/>
              <w:bottom w:w="0" w:type="dxa"/>
              <w:right w:w="120" w:type="dxa"/>
            </w:tcMar>
            <w:vAlign w:val="bottom"/>
          </w:tcPr>
          <w:p w14:paraId="65E511F7"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27.608</w:t>
            </w:r>
          </w:p>
        </w:tc>
        <w:tc>
          <w:tcPr>
            <w:tcW w:w="1231" w:type="dxa"/>
            <w:tcBorders>
              <w:top w:val="nil"/>
              <w:left w:val="nil"/>
              <w:bottom w:val="nil"/>
            </w:tcBorders>
            <w:tcMar>
              <w:top w:w="0" w:type="dxa"/>
              <w:left w:w="120" w:type="dxa"/>
              <w:bottom w:w="0" w:type="dxa"/>
              <w:right w:w="120" w:type="dxa"/>
            </w:tcMar>
            <w:vAlign w:val="bottom"/>
          </w:tcPr>
          <w:p w14:paraId="1FEF0B9F"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35.934</w:t>
            </w:r>
          </w:p>
        </w:tc>
      </w:tr>
      <w:tr w:rsidR="004E2F51" w:rsidRPr="00131EA9" w14:paraId="14893424" w14:textId="77777777" w:rsidTr="00E032FC">
        <w:trPr>
          <w:trHeight w:val="289"/>
        </w:trPr>
        <w:tc>
          <w:tcPr>
            <w:tcW w:w="2842" w:type="dxa"/>
            <w:tcMar>
              <w:top w:w="0" w:type="dxa"/>
              <w:left w:w="120" w:type="dxa"/>
              <w:bottom w:w="0" w:type="dxa"/>
              <w:right w:w="120" w:type="dxa"/>
            </w:tcMar>
            <w:vAlign w:val="bottom"/>
          </w:tcPr>
          <w:p w14:paraId="28196DFA" w14:textId="77777777" w:rsidR="004E2F51" w:rsidRPr="00131EA9" w:rsidRDefault="004E2F51" w:rsidP="00E032FC">
            <w:pPr>
              <w:tabs>
                <w:tab w:val="right" w:pos="1202"/>
              </w:tabs>
              <w:spacing w:line="240" w:lineRule="exact"/>
              <w:outlineLvl w:val="0"/>
              <w:rPr>
                <w:rFonts w:ascii="Arial" w:eastAsia="Calibri" w:hAnsi="Arial" w:cs="Arial"/>
                <w:b/>
                <w:bCs/>
                <w:color w:val="000000" w:themeColor="text1"/>
                <w:sz w:val="17"/>
                <w:szCs w:val="17"/>
                <w:lang w:val="hr-HR"/>
              </w:rPr>
            </w:pPr>
            <w:bookmarkStart w:id="1878" w:name="_Toc67330709"/>
            <w:r w:rsidRPr="00131EA9">
              <w:rPr>
                <w:rFonts w:ascii="Arial" w:eastAsia="Calibri" w:hAnsi="Arial" w:cs="Arial"/>
                <w:b/>
                <w:bCs/>
                <w:color w:val="000000" w:themeColor="text1"/>
                <w:sz w:val="17"/>
                <w:szCs w:val="17"/>
                <w:lang w:val="hr-HR"/>
              </w:rPr>
              <w:t>Ukupna imovina</w:t>
            </w:r>
            <w:bookmarkEnd w:id="1878"/>
            <w:r w:rsidRPr="00131EA9">
              <w:rPr>
                <w:rFonts w:ascii="Arial" w:eastAsia="Calibri" w:hAnsi="Arial" w:cs="Arial"/>
                <w:b/>
                <w:bCs/>
                <w:color w:val="000000" w:themeColor="text1"/>
                <w:sz w:val="17"/>
                <w:szCs w:val="17"/>
                <w:lang w:val="hr-HR"/>
              </w:rPr>
              <w:t xml:space="preserve"> </w:t>
            </w:r>
          </w:p>
        </w:tc>
        <w:tc>
          <w:tcPr>
            <w:tcW w:w="1010" w:type="dxa"/>
            <w:tcBorders>
              <w:top w:val="single" w:sz="4" w:space="0" w:color="000000"/>
              <w:bottom w:val="single" w:sz="8" w:space="0" w:color="000000"/>
            </w:tcBorders>
            <w:tcMar>
              <w:top w:w="0" w:type="dxa"/>
              <w:left w:w="120" w:type="dxa"/>
              <w:bottom w:w="0" w:type="dxa"/>
              <w:right w:w="120" w:type="dxa"/>
            </w:tcMar>
            <w:vAlign w:val="bottom"/>
          </w:tcPr>
          <w:p w14:paraId="729CE34A"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B618A6">
              <w:rPr>
                <w:rFonts w:ascii="Arial" w:eastAsia="Arial Unicode MS" w:hAnsi="Arial" w:cs="Arial"/>
                <w:b/>
                <w:bCs/>
                <w:color w:val="000000" w:themeColor="text1"/>
                <w:sz w:val="17"/>
                <w:szCs w:val="17"/>
                <w:lang w:val="hr-HR"/>
              </w:rPr>
              <w:t>184.306</w:t>
            </w:r>
          </w:p>
        </w:tc>
        <w:tc>
          <w:tcPr>
            <w:tcW w:w="1149" w:type="dxa"/>
            <w:tcBorders>
              <w:top w:val="single" w:sz="4" w:space="0" w:color="000000"/>
              <w:bottom w:val="single" w:sz="8" w:space="0" w:color="000000"/>
            </w:tcBorders>
            <w:tcMar>
              <w:top w:w="0" w:type="dxa"/>
              <w:left w:w="120" w:type="dxa"/>
              <w:bottom w:w="0" w:type="dxa"/>
              <w:right w:w="120" w:type="dxa"/>
            </w:tcMar>
            <w:vAlign w:val="bottom"/>
          </w:tcPr>
          <w:p w14:paraId="07C87510"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B618A6">
              <w:rPr>
                <w:rFonts w:ascii="Arial" w:eastAsia="Arial Unicode MS" w:hAnsi="Arial" w:cs="Arial"/>
                <w:b/>
                <w:bCs/>
                <w:color w:val="000000" w:themeColor="text1"/>
                <w:sz w:val="17"/>
                <w:szCs w:val="17"/>
                <w:lang w:val="hr-HR"/>
              </w:rPr>
              <w:t>14.236.664</w:t>
            </w:r>
          </w:p>
        </w:tc>
        <w:tc>
          <w:tcPr>
            <w:tcW w:w="1162" w:type="dxa"/>
            <w:tcBorders>
              <w:top w:val="single" w:sz="4" w:space="0" w:color="000000"/>
              <w:bottom w:val="single" w:sz="8" w:space="0" w:color="000000"/>
            </w:tcBorders>
            <w:tcMar>
              <w:top w:w="0" w:type="dxa"/>
              <w:left w:w="120" w:type="dxa"/>
              <w:bottom w:w="0" w:type="dxa"/>
              <w:right w:w="120" w:type="dxa"/>
            </w:tcMar>
            <w:vAlign w:val="bottom"/>
          </w:tcPr>
          <w:p w14:paraId="303F9EEF"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B618A6">
              <w:rPr>
                <w:rFonts w:ascii="Arial" w:eastAsia="Arial Unicode MS" w:hAnsi="Arial" w:cs="Arial"/>
                <w:b/>
                <w:bCs/>
                <w:color w:val="000000" w:themeColor="text1"/>
                <w:sz w:val="17"/>
                <w:szCs w:val="17"/>
                <w:lang w:val="hr-HR"/>
              </w:rPr>
              <w:t>134.708</w:t>
            </w:r>
          </w:p>
        </w:tc>
        <w:tc>
          <w:tcPr>
            <w:tcW w:w="1137" w:type="dxa"/>
            <w:tcBorders>
              <w:top w:val="single" w:sz="4" w:space="0" w:color="000000"/>
              <w:bottom w:val="single" w:sz="8" w:space="0" w:color="000000"/>
            </w:tcBorders>
            <w:tcMar>
              <w:top w:w="0" w:type="dxa"/>
              <w:left w:w="120" w:type="dxa"/>
              <w:bottom w:w="0" w:type="dxa"/>
              <w:right w:w="120" w:type="dxa"/>
            </w:tcMar>
            <w:vAlign w:val="bottom"/>
          </w:tcPr>
          <w:p w14:paraId="13C1128A"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B618A6">
              <w:rPr>
                <w:rFonts w:ascii="Arial" w:eastAsia="Arial Unicode MS" w:hAnsi="Arial" w:cs="Arial"/>
                <w:b/>
                <w:bCs/>
                <w:color w:val="000000" w:themeColor="text1"/>
                <w:sz w:val="17"/>
                <w:szCs w:val="17"/>
                <w:lang w:val="hr-HR"/>
              </w:rPr>
              <w:t>14.555.678</w:t>
            </w:r>
          </w:p>
        </w:tc>
        <w:tc>
          <w:tcPr>
            <w:tcW w:w="1206" w:type="dxa"/>
            <w:tcBorders>
              <w:top w:val="single" w:sz="4" w:space="0" w:color="000000"/>
              <w:bottom w:val="single" w:sz="8" w:space="0" w:color="000000"/>
            </w:tcBorders>
            <w:tcMar>
              <w:top w:w="0" w:type="dxa"/>
              <w:left w:w="120" w:type="dxa"/>
              <w:bottom w:w="0" w:type="dxa"/>
              <w:right w:w="120" w:type="dxa"/>
            </w:tcMar>
            <w:vAlign w:val="bottom"/>
          </w:tcPr>
          <w:p w14:paraId="70F0F832"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B618A6">
              <w:rPr>
                <w:rFonts w:ascii="Arial" w:eastAsia="Arial Unicode MS" w:hAnsi="Arial" w:cs="Arial"/>
                <w:b/>
                <w:bCs/>
                <w:color w:val="000000" w:themeColor="text1"/>
                <w:sz w:val="17"/>
                <w:szCs w:val="17"/>
                <w:lang w:val="hr-HR"/>
              </w:rPr>
              <w:t>14.504.485</w:t>
            </w:r>
            <w:r w:rsidRPr="00D34565">
              <w:rPr>
                <w:rFonts w:ascii="Arial" w:eastAsia="Arial Unicode MS" w:hAnsi="Arial" w:cs="Arial"/>
                <w:b/>
                <w:bCs/>
                <w:color w:val="000000" w:themeColor="text1"/>
                <w:sz w:val="17"/>
                <w:szCs w:val="17"/>
                <w:lang w:val="hr-HR"/>
              </w:rPr>
              <w:t>*</w:t>
            </w:r>
          </w:p>
        </w:tc>
        <w:tc>
          <w:tcPr>
            <w:tcW w:w="1231" w:type="dxa"/>
            <w:tcBorders>
              <w:top w:val="single" w:sz="4" w:space="0" w:color="000000"/>
              <w:bottom w:val="single" w:sz="8" w:space="0" w:color="000000"/>
            </w:tcBorders>
            <w:tcMar>
              <w:top w:w="0" w:type="dxa"/>
              <w:left w:w="120" w:type="dxa"/>
              <w:bottom w:w="0" w:type="dxa"/>
              <w:right w:w="120" w:type="dxa"/>
            </w:tcMar>
            <w:vAlign w:val="bottom"/>
          </w:tcPr>
          <w:p w14:paraId="676E7B9D"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B618A6">
              <w:rPr>
                <w:rFonts w:ascii="Arial" w:eastAsia="Arial Unicode MS" w:hAnsi="Arial" w:cs="Arial"/>
                <w:b/>
                <w:bCs/>
                <w:color w:val="000000" w:themeColor="text1"/>
                <w:sz w:val="17"/>
                <w:szCs w:val="17"/>
                <w:lang w:val="hr-HR"/>
              </w:rPr>
              <w:t>29.060.163</w:t>
            </w:r>
          </w:p>
        </w:tc>
      </w:tr>
      <w:tr w:rsidR="004E2F51" w:rsidRPr="00131EA9" w14:paraId="68D1FA3E" w14:textId="77777777" w:rsidTr="00E032FC">
        <w:trPr>
          <w:trHeight w:val="227"/>
        </w:trPr>
        <w:tc>
          <w:tcPr>
            <w:tcW w:w="2842" w:type="dxa"/>
            <w:tcMar>
              <w:top w:w="0" w:type="dxa"/>
              <w:left w:w="120" w:type="dxa"/>
              <w:bottom w:w="0" w:type="dxa"/>
              <w:right w:w="120" w:type="dxa"/>
            </w:tcMar>
            <w:vAlign w:val="bottom"/>
          </w:tcPr>
          <w:p w14:paraId="6EA21773" w14:textId="77777777" w:rsidR="004E2F51" w:rsidRPr="00131EA9" w:rsidRDefault="004E2F51" w:rsidP="00E032FC">
            <w:pPr>
              <w:tabs>
                <w:tab w:val="right" w:pos="1202"/>
              </w:tabs>
              <w:spacing w:line="240" w:lineRule="exact"/>
              <w:outlineLvl w:val="0"/>
              <w:rPr>
                <w:rFonts w:ascii="Arial" w:eastAsia="Calibri" w:hAnsi="Arial" w:cs="Arial"/>
                <w:b/>
                <w:bCs/>
                <w:color w:val="000000" w:themeColor="text1"/>
                <w:sz w:val="17"/>
                <w:szCs w:val="17"/>
                <w:lang w:val="hr-HR"/>
              </w:rPr>
            </w:pPr>
            <w:bookmarkStart w:id="1879" w:name="_Toc67330710"/>
            <w:r w:rsidRPr="00131EA9">
              <w:rPr>
                <w:rFonts w:ascii="Arial" w:eastAsia="Calibri" w:hAnsi="Arial" w:cs="Arial"/>
                <w:b/>
                <w:bCs/>
                <w:color w:val="000000" w:themeColor="text1"/>
                <w:sz w:val="17"/>
                <w:szCs w:val="17"/>
                <w:lang w:val="hr-HR"/>
              </w:rPr>
              <w:t>Obveze</w:t>
            </w:r>
            <w:bookmarkEnd w:id="1879"/>
          </w:p>
        </w:tc>
        <w:tc>
          <w:tcPr>
            <w:tcW w:w="1010" w:type="dxa"/>
            <w:tcBorders>
              <w:top w:val="single" w:sz="12" w:space="0" w:color="000000"/>
            </w:tcBorders>
            <w:tcMar>
              <w:top w:w="0" w:type="dxa"/>
              <w:left w:w="120" w:type="dxa"/>
              <w:bottom w:w="0" w:type="dxa"/>
              <w:right w:w="120" w:type="dxa"/>
            </w:tcMar>
            <w:vAlign w:val="bottom"/>
          </w:tcPr>
          <w:p w14:paraId="5B6A96D4" w14:textId="77777777" w:rsidR="004E2F51" w:rsidRPr="00131EA9" w:rsidRDefault="004E2F51" w:rsidP="00E032FC">
            <w:pPr>
              <w:spacing w:line="240" w:lineRule="exact"/>
              <w:ind w:left="-123"/>
              <w:jc w:val="right"/>
              <w:rPr>
                <w:rFonts w:ascii="Arial" w:hAnsi="Arial" w:cs="Arial"/>
                <w:color w:val="000000" w:themeColor="text1"/>
                <w:spacing w:val="-2"/>
                <w:sz w:val="17"/>
                <w:szCs w:val="17"/>
                <w:lang w:val="hr-HR"/>
              </w:rPr>
            </w:pPr>
          </w:p>
        </w:tc>
        <w:tc>
          <w:tcPr>
            <w:tcW w:w="1149" w:type="dxa"/>
            <w:tcBorders>
              <w:top w:val="single" w:sz="12" w:space="0" w:color="000000"/>
            </w:tcBorders>
            <w:tcMar>
              <w:top w:w="0" w:type="dxa"/>
              <w:left w:w="120" w:type="dxa"/>
              <w:bottom w:w="0" w:type="dxa"/>
              <w:right w:w="120" w:type="dxa"/>
            </w:tcMar>
            <w:vAlign w:val="bottom"/>
          </w:tcPr>
          <w:p w14:paraId="23292D31" w14:textId="77777777" w:rsidR="004E2F51" w:rsidRPr="00131EA9" w:rsidRDefault="004E2F51" w:rsidP="00E032FC">
            <w:pPr>
              <w:spacing w:line="240" w:lineRule="exact"/>
              <w:jc w:val="right"/>
              <w:rPr>
                <w:rFonts w:ascii="Arial" w:hAnsi="Arial" w:cs="Arial"/>
                <w:color w:val="000000" w:themeColor="text1"/>
                <w:spacing w:val="-2"/>
                <w:sz w:val="17"/>
                <w:szCs w:val="17"/>
                <w:lang w:val="hr-HR"/>
              </w:rPr>
            </w:pPr>
          </w:p>
        </w:tc>
        <w:tc>
          <w:tcPr>
            <w:tcW w:w="1162" w:type="dxa"/>
            <w:tcBorders>
              <w:top w:val="single" w:sz="12" w:space="0" w:color="000000"/>
            </w:tcBorders>
            <w:tcMar>
              <w:top w:w="0" w:type="dxa"/>
              <w:left w:w="120" w:type="dxa"/>
              <w:bottom w:w="0" w:type="dxa"/>
              <w:right w:w="120" w:type="dxa"/>
            </w:tcMar>
            <w:vAlign w:val="bottom"/>
          </w:tcPr>
          <w:p w14:paraId="7DB77309" w14:textId="77777777" w:rsidR="004E2F51" w:rsidRPr="00131EA9" w:rsidRDefault="004E2F51" w:rsidP="00E032FC">
            <w:pPr>
              <w:spacing w:line="240" w:lineRule="exact"/>
              <w:jc w:val="right"/>
              <w:rPr>
                <w:rFonts w:ascii="Arial" w:hAnsi="Arial" w:cs="Arial"/>
                <w:color w:val="000000" w:themeColor="text1"/>
                <w:spacing w:val="-2"/>
                <w:sz w:val="17"/>
                <w:szCs w:val="17"/>
                <w:lang w:val="hr-HR"/>
              </w:rPr>
            </w:pPr>
          </w:p>
        </w:tc>
        <w:tc>
          <w:tcPr>
            <w:tcW w:w="1137" w:type="dxa"/>
            <w:tcBorders>
              <w:top w:val="single" w:sz="12" w:space="0" w:color="000000"/>
            </w:tcBorders>
            <w:tcMar>
              <w:top w:w="0" w:type="dxa"/>
              <w:left w:w="120" w:type="dxa"/>
              <w:bottom w:w="0" w:type="dxa"/>
              <w:right w:w="120" w:type="dxa"/>
            </w:tcMar>
            <w:vAlign w:val="bottom"/>
          </w:tcPr>
          <w:p w14:paraId="01C50FFE" w14:textId="77777777" w:rsidR="004E2F51" w:rsidRPr="00131EA9" w:rsidRDefault="004E2F51" w:rsidP="00E032FC">
            <w:pPr>
              <w:spacing w:line="240" w:lineRule="exact"/>
              <w:jc w:val="right"/>
              <w:rPr>
                <w:rFonts w:ascii="Arial" w:hAnsi="Arial" w:cs="Arial"/>
                <w:color w:val="000000" w:themeColor="text1"/>
                <w:spacing w:val="-2"/>
                <w:sz w:val="17"/>
                <w:szCs w:val="17"/>
                <w:lang w:val="hr-HR"/>
              </w:rPr>
            </w:pPr>
          </w:p>
        </w:tc>
        <w:tc>
          <w:tcPr>
            <w:tcW w:w="1206" w:type="dxa"/>
            <w:tcBorders>
              <w:top w:val="single" w:sz="12" w:space="0" w:color="000000"/>
            </w:tcBorders>
            <w:tcMar>
              <w:top w:w="0" w:type="dxa"/>
              <w:left w:w="120" w:type="dxa"/>
              <w:bottom w:w="0" w:type="dxa"/>
              <w:right w:w="120" w:type="dxa"/>
            </w:tcMar>
            <w:vAlign w:val="bottom"/>
          </w:tcPr>
          <w:p w14:paraId="00033029" w14:textId="77777777" w:rsidR="004E2F51" w:rsidRPr="00131EA9" w:rsidRDefault="004E2F51" w:rsidP="00E032FC">
            <w:pPr>
              <w:spacing w:line="240" w:lineRule="exact"/>
              <w:jc w:val="right"/>
              <w:rPr>
                <w:rFonts w:ascii="Arial" w:hAnsi="Arial" w:cs="Arial"/>
                <w:color w:val="000000" w:themeColor="text1"/>
                <w:spacing w:val="-2"/>
                <w:sz w:val="17"/>
                <w:szCs w:val="17"/>
                <w:lang w:val="hr-HR"/>
              </w:rPr>
            </w:pPr>
          </w:p>
        </w:tc>
        <w:tc>
          <w:tcPr>
            <w:tcW w:w="1231" w:type="dxa"/>
            <w:tcBorders>
              <w:top w:val="single" w:sz="12" w:space="0" w:color="000000"/>
            </w:tcBorders>
            <w:tcMar>
              <w:top w:w="0" w:type="dxa"/>
              <w:left w:w="120" w:type="dxa"/>
              <w:bottom w:w="0" w:type="dxa"/>
              <w:right w:w="120" w:type="dxa"/>
            </w:tcMar>
            <w:vAlign w:val="bottom"/>
          </w:tcPr>
          <w:p w14:paraId="155B40CF" w14:textId="77777777" w:rsidR="004E2F51" w:rsidRPr="00131EA9" w:rsidRDefault="004E2F51" w:rsidP="00E032FC">
            <w:pPr>
              <w:spacing w:line="240" w:lineRule="exact"/>
              <w:jc w:val="right"/>
              <w:rPr>
                <w:rFonts w:ascii="Arial" w:hAnsi="Arial" w:cs="Arial"/>
                <w:b/>
                <w:color w:val="000000" w:themeColor="text1"/>
                <w:sz w:val="17"/>
                <w:szCs w:val="17"/>
                <w:lang w:val="hr-HR"/>
              </w:rPr>
            </w:pPr>
          </w:p>
        </w:tc>
      </w:tr>
      <w:tr w:rsidR="004E2F51" w:rsidRPr="00131EA9" w14:paraId="1DA29352" w14:textId="77777777" w:rsidTr="00E032FC">
        <w:trPr>
          <w:trHeight w:val="243"/>
        </w:trPr>
        <w:tc>
          <w:tcPr>
            <w:tcW w:w="2842" w:type="dxa"/>
            <w:tcMar>
              <w:top w:w="0" w:type="dxa"/>
              <w:left w:w="120" w:type="dxa"/>
              <w:bottom w:w="0" w:type="dxa"/>
              <w:right w:w="120" w:type="dxa"/>
            </w:tcMar>
            <w:vAlign w:val="bottom"/>
          </w:tcPr>
          <w:p w14:paraId="5A79FCA8"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bookmarkStart w:id="1880" w:name="_Toc67330711"/>
            <w:r w:rsidRPr="00131EA9">
              <w:rPr>
                <w:rFonts w:ascii="Arial" w:eastAsia="Calibri" w:hAnsi="Arial" w:cs="Arial"/>
                <w:color w:val="000000" w:themeColor="text1"/>
                <w:sz w:val="17"/>
                <w:szCs w:val="17"/>
                <w:lang w:val="hr-HR"/>
              </w:rPr>
              <w:t>Obveze po depozitima</w:t>
            </w:r>
            <w:bookmarkEnd w:id="1880"/>
          </w:p>
        </w:tc>
        <w:tc>
          <w:tcPr>
            <w:tcW w:w="1010" w:type="dxa"/>
            <w:tcBorders>
              <w:top w:val="nil"/>
              <w:left w:val="nil"/>
              <w:bottom w:val="nil"/>
              <w:right w:val="nil"/>
            </w:tcBorders>
            <w:tcMar>
              <w:top w:w="0" w:type="dxa"/>
              <w:left w:w="120" w:type="dxa"/>
              <w:bottom w:w="0" w:type="dxa"/>
              <w:right w:w="120" w:type="dxa"/>
            </w:tcMar>
            <w:vAlign w:val="bottom"/>
          </w:tcPr>
          <w:p w14:paraId="14DE9499"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7.558</w:t>
            </w:r>
          </w:p>
        </w:tc>
        <w:tc>
          <w:tcPr>
            <w:tcW w:w="1149" w:type="dxa"/>
            <w:tcBorders>
              <w:top w:val="nil"/>
              <w:left w:val="nil"/>
              <w:bottom w:val="nil"/>
              <w:right w:val="nil"/>
            </w:tcBorders>
            <w:tcMar>
              <w:top w:w="0" w:type="dxa"/>
              <w:left w:w="120" w:type="dxa"/>
              <w:bottom w:w="0" w:type="dxa"/>
              <w:right w:w="120" w:type="dxa"/>
            </w:tcMar>
            <w:vAlign w:val="bottom"/>
          </w:tcPr>
          <w:p w14:paraId="39F763B6"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272.376</w:t>
            </w:r>
          </w:p>
        </w:tc>
        <w:tc>
          <w:tcPr>
            <w:tcW w:w="1162" w:type="dxa"/>
            <w:tcBorders>
              <w:top w:val="nil"/>
              <w:left w:val="nil"/>
              <w:bottom w:val="nil"/>
              <w:right w:val="nil"/>
            </w:tcBorders>
            <w:tcMar>
              <w:top w:w="0" w:type="dxa"/>
              <w:left w:w="120" w:type="dxa"/>
              <w:bottom w:w="0" w:type="dxa"/>
              <w:right w:w="120" w:type="dxa"/>
            </w:tcMar>
            <w:vAlign w:val="bottom"/>
          </w:tcPr>
          <w:p w14:paraId="62B90472"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137" w:type="dxa"/>
            <w:tcBorders>
              <w:top w:val="nil"/>
              <w:left w:val="nil"/>
              <w:bottom w:val="nil"/>
              <w:right w:val="nil"/>
            </w:tcBorders>
            <w:tcMar>
              <w:top w:w="0" w:type="dxa"/>
              <w:left w:w="120" w:type="dxa"/>
              <w:bottom w:w="0" w:type="dxa"/>
              <w:right w:w="120" w:type="dxa"/>
            </w:tcMar>
            <w:vAlign w:val="bottom"/>
          </w:tcPr>
          <w:p w14:paraId="6EEC869E"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279.934</w:t>
            </w:r>
          </w:p>
        </w:tc>
        <w:tc>
          <w:tcPr>
            <w:tcW w:w="1206" w:type="dxa"/>
            <w:tcBorders>
              <w:top w:val="nil"/>
              <w:left w:val="nil"/>
              <w:bottom w:val="nil"/>
              <w:right w:val="nil"/>
            </w:tcBorders>
            <w:tcMar>
              <w:top w:w="0" w:type="dxa"/>
              <w:left w:w="120" w:type="dxa"/>
              <w:bottom w:w="0" w:type="dxa"/>
              <w:right w:w="120" w:type="dxa"/>
            </w:tcMar>
            <w:vAlign w:val="bottom"/>
          </w:tcPr>
          <w:p w14:paraId="02F5493F"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744.689</w:t>
            </w:r>
          </w:p>
        </w:tc>
        <w:tc>
          <w:tcPr>
            <w:tcW w:w="1231" w:type="dxa"/>
            <w:tcBorders>
              <w:top w:val="nil"/>
              <w:left w:val="nil"/>
              <w:bottom w:val="nil"/>
            </w:tcBorders>
            <w:tcMar>
              <w:top w:w="0" w:type="dxa"/>
              <w:left w:w="120" w:type="dxa"/>
              <w:bottom w:w="0" w:type="dxa"/>
              <w:right w:w="120" w:type="dxa"/>
            </w:tcMar>
            <w:vAlign w:val="bottom"/>
          </w:tcPr>
          <w:p w14:paraId="1707B474"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1.024.623</w:t>
            </w:r>
          </w:p>
        </w:tc>
      </w:tr>
      <w:tr w:rsidR="004E2F51" w:rsidRPr="00131EA9" w14:paraId="7C56C308" w14:textId="77777777" w:rsidTr="00E032FC">
        <w:trPr>
          <w:trHeight w:val="180"/>
        </w:trPr>
        <w:tc>
          <w:tcPr>
            <w:tcW w:w="2842" w:type="dxa"/>
            <w:tcMar>
              <w:top w:w="0" w:type="dxa"/>
              <w:left w:w="120" w:type="dxa"/>
              <w:bottom w:w="0" w:type="dxa"/>
              <w:right w:w="120" w:type="dxa"/>
            </w:tcMar>
            <w:vAlign w:val="bottom"/>
          </w:tcPr>
          <w:p w14:paraId="00FA7EB8"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bookmarkStart w:id="1881" w:name="_Toc67330712"/>
            <w:r w:rsidRPr="00131EA9">
              <w:rPr>
                <w:rFonts w:ascii="Arial" w:eastAsia="Calibri" w:hAnsi="Arial" w:cs="Arial"/>
                <w:color w:val="000000" w:themeColor="text1"/>
                <w:sz w:val="17"/>
                <w:szCs w:val="17"/>
                <w:lang w:val="hr-HR"/>
              </w:rPr>
              <w:t>Obveze po kreditima</w:t>
            </w:r>
            <w:bookmarkEnd w:id="1881"/>
          </w:p>
        </w:tc>
        <w:tc>
          <w:tcPr>
            <w:tcW w:w="1010" w:type="dxa"/>
            <w:tcBorders>
              <w:top w:val="nil"/>
              <w:left w:val="nil"/>
              <w:bottom w:val="nil"/>
              <w:right w:val="nil"/>
            </w:tcBorders>
            <w:tcMar>
              <w:top w:w="0" w:type="dxa"/>
              <w:left w:w="120" w:type="dxa"/>
              <w:bottom w:w="0" w:type="dxa"/>
              <w:right w:w="120" w:type="dxa"/>
            </w:tcMar>
            <w:vAlign w:val="bottom"/>
          </w:tcPr>
          <w:p w14:paraId="24DC08BA"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180.116</w:t>
            </w:r>
          </w:p>
        </w:tc>
        <w:tc>
          <w:tcPr>
            <w:tcW w:w="1149" w:type="dxa"/>
            <w:tcBorders>
              <w:top w:val="nil"/>
              <w:left w:val="nil"/>
              <w:bottom w:val="nil"/>
              <w:right w:val="nil"/>
            </w:tcBorders>
            <w:tcMar>
              <w:top w:w="0" w:type="dxa"/>
              <w:left w:w="120" w:type="dxa"/>
              <w:bottom w:w="0" w:type="dxa"/>
              <w:right w:w="120" w:type="dxa"/>
            </w:tcMar>
            <w:vAlign w:val="bottom"/>
          </w:tcPr>
          <w:p w14:paraId="28477DAC"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13.820.173</w:t>
            </w:r>
          </w:p>
        </w:tc>
        <w:tc>
          <w:tcPr>
            <w:tcW w:w="1162" w:type="dxa"/>
            <w:tcBorders>
              <w:top w:val="nil"/>
              <w:left w:val="nil"/>
              <w:bottom w:val="nil"/>
              <w:right w:val="nil"/>
            </w:tcBorders>
            <w:tcMar>
              <w:top w:w="0" w:type="dxa"/>
              <w:left w:w="120" w:type="dxa"/>
              <w:bottom w:w="0" w:type="dxa"/>
              <w:right w:w="120" w:type="dxa"/>
            </w:tcMar>
            <w:vAlign w:val="bottom"/>
          </w:tcPr>
          <w:p w14:paraId="59ACF401"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137" w:type="dxa"/>
            <w:tcBorders>
              <w:top w:val="nil"/>
              <w:left w:val="nil"/>
              <w:bottom w:val="nil"/>
              <w:right w:val="nil"/>
            </w:tcBorders>
            <w:tcMar>
              <w:top w:w="0" w:type="dxa"/>
              <w:left w:w="120" w:type="dxa"/>
              <w:bottom w:w="0" w:type="dxa"/>
              <w:right w:w="120" w:type="dxa"/>
            </w:tcMar>
            <w:vAlign w:val="bottom"/>
          </w:tcPr>
          <w:p w14:paraId="5B19BB9E"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14.000.289</w:t>
            </w:r>
          </w:p>
        </w:tc>
        <w:tc>
          <w:tcPr>
            <w:tcW w:w="1206" w:type="dxa"/>
            <w:tcBorders>
              <w:top w:val="nil"/>
              <w:left w:val="nil"/>
              <w:bottom w:val="nil"/>
              <w:right w:val="nil"/>
            </w:tcBorders>
            <w:tcMar>
              <w:top w:w="0" w:type="dxa"/>
              <w:left w:w="120" w:type="dxa"/>
              <w:bottom w:w="0" w:type="dxa"/>
              <w:right w:w="120" w:type="dxa"/>
            </w:tcMar>
            <w:vAlign w:val="bottom"/>
          </w:tcPr>
          <w:p w14:paraId="053F781D"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2.500.987</w:t>
            </w:r>
          </w:p>
        </w:tc>
        <w:tc>
          <w:tcPr>
            <w:tcW w:w="1231" w:type="dxa"/>
            <w:tcBorders>
              <w:top w:val="nil"/>
              <w:left w:val="nil"/>
              <w:bottom w:val="nil"/>
            </w:tcBorders>
            <w:tcMar>
              <w:top w:w="0" w:type="dxa"/>
              <w:left w:w="120" w:type="dxa"/>
              <w:bottom w:w="0" w:type="dxa"/>
              <w:right w:w="120" w:type="dxa"/>
            </w:tcMar>
            <w:vAlign w:val="bottom"/>
          </w:tcPr>
          <w:p w14:paraId="6EEFB099"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16.501.276</w:t>
            </w:r>
          </w:p>
        </w:tc>
      </w:tr>
      <w:tr w:rsidR="004E2F51" w:rsidRPr="00131EA9" w14:paraId="75567C02" w14:textId="77777777" w:rsidTr="00E032FC">
        <w:trPr>
          <w:trHeight w:val="472"/>
        </w:trPr>
        <w:tc>
          <w:tcPr>
            <w:tcW w:w="2842" w:type="dxa"/>
            <w:tcMar>
              <w:top w:w="0" w:type="dxa"/>
              <w:left w:w="120" w:type="dxa"/>
              <w:bottom w:w="0" w:type="dxa"/>
              <w:right w:w="120" w:type="dxa"/>
            </w:tcMar>
            <w:vAlign w:val="bottom"/>
          </w:tcPr>
          <w:p w14:paraId="27850803"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bookmarkStart w:id="1882" w:name="_Toc67330714"/>
            <w:r w:rsidRPr="00131EA9">
              <w:rPr>
                <w:rFonts w:ascii="Arial" w:eastAsia="Calibri" w:hAnsi="Arial" w:cs="Arial"/>
                <w:color w:val="000000" w:themeColor="text1"/>
                <w:sz w:val="17"/>
                <w:szCs w:val="17"/>
                <w:lang w:val="hr-HR"/>
              </w:rPr>
              <w:t>Rezerviranja za garancije, preuzete i ostale obveze</w:t>
            </w:r>
            <w:bookmarkEnd w:id="1882"/>
          </w:p>
        </w:tc>
        <w:tc>
          <w:tcPr>
            <w:tcW w:w="1010" w:type="dxa"/>
            <w:tcBorders>
              <w:top w:val="nil"/>
              <w:left w:val="nil"/>
              <w:bottom w:val="nil"/>
              <w:right w:val="nil"/>
            </w:tcBorders>
            <w:tcMar>
              <w:top w:w="0" w:type="dxa"/>
              <w:left w:w="120" w:type="dxa"/>
              <w:bottom w:w="0" w:type="dxa"/>
              <w:right w:w="120" w:type="dxa"/>
            </w:tcMar>
            <w:vAlign w:val="bottom"/>
          </w:tcPr>
          <w:p w14:paraId="3591298A"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Pr>
                <w:rFonts w:ascii="Arial" w:eastAsia="Arial Unicode MS" w:hAnsi="Arial" w:cs="Arial"/>
                <w:color w:val="000000" w:themeColor="text1"/>
                <w:sz w:val="17"/>
                <w:szCs w:val="17"/>
                <w:lang w:val="hr-HR"/>
              </w:rPr>
              <w:t>-</w:t>
            </w:r>
          </w:p>
        </w:tc>
        <w:tc>
          <w:tcPr>
            <w:tcW w:w="1149" w:type="dxa"/>
            <w:tcBorders>
              <w:top w:val="nil"/>
              <w:left w:val="nil"/>
              <w:bottom w:val="nil"/>
              <w:right w:val="nil"/>
            </w:tcBorders>
            <w:tcMar>
              <w:top w:w="0" w:type="dxa"/>
              <w:left w:w="120" w:type="dxa"/>
              <w:bottom w:w="0" w:type="dxa"/>
              <w:right w:w="120" w:type="dxa"/>
            </w:tcMar>
            <w:vAlign w:val="bottom"/>
          </w:tcPr>
          <w:p w14:paraId="1CF373CB"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25.778</w:t>
            </w:r>
          </w:p>
        </w:tc>
        <w:tc>
          <w:tcPr>
            <w:tcW w:w="1162" w:type="dxa"/>
            <w:tcBorders>
              <w:top w:val="nil"/>
              <w:left w:val="nil"/>
              <w:bottom w:val="nil"/>
              <w:right w:val="nil"/>
            </w:tcBorders>
            <w:tcMar>
              <w:top w:w="0" w:type="dxa"/>
              <w:left w:w="120" w:type="dxa"/>
              <w:bottom w:w="0" w:type="dxa"/>
              <w:right w:w="120" w:type="dxa"/>
            </w:tcMar>
            <w:vAlign w:val="bottom"/>
          </w:tcPr>
          <w:p w14:paraId="42ADF25C"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12.091</w:t>
            </w:r>
          </w:p>
        </w:tc>
        <w:tc>
          <w:tcPr>
            <w:tcW w:w="1137" w:type="dxa"/>
            <w:tcBorders>
              <w:top w:val="nil"/>
              <w:left w:val="nil"/>
              <w:bottom w:val="nil"/>
              <w:right w:val="nil"/>
            </w:tcBorders>
            <w:tcMar>
              <w:top w:w="0" w:type="dxa"/>
              <w:left w:w="120" w:type="dxa"/>
              <w:bottom w:w="0" w:type="dxa"/>
              <w:right w:w="120" w:type="dxa"/>
            </w:tcMar>
            <w:vAlign w:val="bottom"/>
          </w:tcPr>
          <w:p w14:paraId="2637956E"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37.869</w:t>
            </w:r>
          </w:p>
        </w:tc>
        <w:tc>
          <w:tcPr>
            <w:tcW w:w="1206" w:type="dxa"/>
            <w:tcBorders>
              <w:top w:val="nil"/>
              <w:left w:val="nil"/>
              <w:bottom w:val="nil"/>
              <w:right w:val="nil"/>
            </w:tcBorders>
            <w:tcMar>
              <w:top w:w="0" w:type="dxa"/>
              <w:left w:w="120" w:type="dxa"/>
              <w:bottom w:w="0" w:type="dxa"/>
              <w:right w:w="120" w:type="dxa"/>
            </w:tcMar>
            <w:vAlign w:val="bottom"/>
          </w:tcPr>
          <w:p w14:paraId="3D6C66EA"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104.846</w:t>
            </w:r>
          </w:p>
        </w:tc>
        <w:tc>
          <w:tcPr>
            <w:tcW w:w="1231" w:type="dxa"/>
            <w:tcBorders>
              <w:top w:val="nil"/>
              <w:left w:val="nil"/>
              <w:bottom w:val="nil"/>
            </w:tcBorders>
            <w:tcMar>
              <w:top w:w="0" w:type="dxa"/>
              <w:left w:w="120" w:type="dxa"/>
              <w:bottom w:w="0" w:type="dxa"/>
              <w:right w:w="120" w:type="dxa"/>
            </w:tcMar>
            <w:vAlign w:val="bottom"/>
          </w:tcPr>
          <w:p w14:paraId="02B50391"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142.715</w:t>
            </w:r>
          </w:p>
        </w:tc>
      </w:tr>
      <w:tr w:rsidR="004E2F51" w:rsidRPr="00131EA9" w14:paraId="360E1631" w14:textId="77777777" w:rsidTr="00E032FC">
        <w:trPr>
          <w:trHeight w:val="141"/>
        </w:trPr>
        <w:tc>
          <w:tcPr>
            <w:tcW w:w="2842" w:type="dxa"/>
            <w:tcMar>
              <w:top w:w="0" w:type="dxa"/>
              <w:left w:w="120" w:type="dxa"/>
              <w:bottom w:w="0" w:type="dxa"/>
              <w:right w:w="120" w:type="dxa"/>
            </w:tcMar>
            <w:vAlign w:val="bottom"/>
          </w:tcPr>
          <w:p w14:paraId="11E04AA0"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bookmarkStart w:id="1883" w:name="_Toc67330715"/>
            <w:r w:rsidRPr="00131EA9">
              <w:rPr>
                <w:rFonts w:ascii="Arial" w:eastAsia="Calibri" w:hAnsi="Arial" w:cs="Arial"/>
                <w:color w:val="000000" w:themeColor="text1"/>
                <w:sz w:val="17"/>
                <w:szCs w:val="17"/>
                <w:lang w:val="hr-HR"/>
              </w:rPr>
              <w:t>Ostale obveze</w:t>
            </w:r>
            <w:bookmarkEnd w:id="1883"/>
          </w:p>
        </w:tc>
        <w:tc>
          <w:tcPr>
            <w:tcW w:w="1010" w:type="dxa"/>
            <w:tcBorders>
              <w:top w:val="nil"/>
              <w:left w:val="nil"/>
              <w:bottom w:val="single" w:sz="4" w:space="0" w:color="auto"/>
              <w:right w:val="nil"/>
            </w:tcBorders>
            <w:tcMar>
              <w:top w:w="0" w:type="dxa"/>
              <w:left w:w="120" w:type="dxa"/>
              <w:bottom w:w="0" w:type="dxa"/>
              <w:right w:w="120" w:type="dxa"/>
            </w:tcMar>
            <w:vAlign w:val="bottom"/>
          </w:tcPr>
          <w:p w14:paraId="649B83E9"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223</w:t>
            </w:r>
          </w:p>
        </w:tc>
        <w:tc>
          <w:tcPr>
            <w:tcW w:w="1149" w:type="dxa"/>
            <w:tcBorders>
              <w:top w:val="nil"/>
              <w:left w:val="nil"/>
              <w:bottom w:val="single" w:sz="4" w:space="0" w:color="auto"/>
              <w:right w:val="nil"/>
            </w:tcBorders>
            <w:tcMar>
              <w:top w:w="0" w:type="dxa"/>
              <w:left w:w="120" w:type="dxa"/>
              <w:bottom w:w="0" w:type="dxa"/>
              <w:right w:w="120" w:type="dxa"/>
            </w:tcMar>
            <w:vAlign w:val="bottom"/>
          </w:tcPr>
          <w:p w14:paraId="3D206CCB"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24.933</w:t>
            </w:r>
          </w:p>
        </w:tc>
        <w:tc>
          <w:tcPr>
            <w:tcW w:w="1162" w:type="dxa"/>
            <w:tcBorders>
              <w:top w:val="nil"/>
              <w:left w:val="nil"/>
              <w:bottom w:val="single" w:sz="4" w:space="0" w:color="auto"/>
              <w:right w:val="nil"/>
            </w:tcBorders>
            <w:tcMar>
              <w:top w:w="0" w:type="dxa"/>
              <w:left w:w="120" w:type="dxa"/>
              <w:bottom w:w="0" w:type="dxa"/>
              <w:right w:w="120" w:type="dxa"/>
            </w:tcMar>
            <w:vAlign w:val="bottom"/>
          </w:tcPr>
          <w:p w14:paraId="1FFA77D9"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54</w:t>
            </w:r>
          </w:p>
        </w:tc>
        <w:tc>
          <w:tcPr>
            <w:tcW w:w="1137" w:type="dxa"/>
            <w:tcBorders>
              <w:top w:val="nil"/>
              <w:left w:val="nil"/>
              <w:bottom w:val="single" w:sz="4" w:space="0" w:color="auto"/>
              <w:right w:val="nil"/>
            </w:tcBorders>
            <w:tcMar>
              <w:top w:w="0" w:type="dxa"/>
              <w:left w:w="120" w:type="dxa"/>
              <w:bottom w:w="0" w:type="dxa"/>
              <w:right w:w="120" w:type="dxa"/>
            </w:tcMar>
            <w:vAlign w:val="bottom"/>
          </w:tcPr>
          <w:p w14:paraId="66D479F9"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25.210</w:t>
            </w:r>
          </w:p>
        </w:tc>
        <w:tc>
          <w:tcPr>
            <w:tcW w:w="1206" w:type="dxa"/>
            <w:tcBorders>
              <w:top w:val="nil"/>
              <w:left w:val="nil"/>
              <w:bottom w:val="single" w:sz="4" w:space="0" w:color="auto"/>
              <w:right w:val="nil"/>
            </w:tcBorders>
            <w:tcMar>
              <w:top w:w="0" w:type="dxa"/>
              <w:left w:w="120" w:type="dxa"/>
              <w:bottom w:w="0" w:type="dxa"/>
              <w:right w:w="120" w:type="dxa"/>
            </w:tcMar>
            <w:vAlign w:val="bottom"/>
          </w:tcPr>
          <w:p w14:paraId="005843DE"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651.313</w:t>
            </w:r>
          </w:p>
        </w:tc>
        <w:tc>
          <w:tcPr>
            <w:tcW w:w="1231" w:type="dxa"/>
            <w:tcBorders>
              <w:top w:val="nil"/>
              <w:left w:val="nil"/>
              <w:bottom w:val="single" w:sz="4" w:space="0" w:color="auto"/>
            </w:tcBorders>
            <w:tcMar>
              <w:top w:w="0" w:type="dxa"/>
              <w:left w:w="120" w:type="dxa"/>
              <w:bottom w:w="0" w:type="dxa"/>
              <w:right w:w="120" w:type="dxa"/>
            </w:tcMar>
            <w:vAlign w:val="bottom"/>
          </w:tcPr>
          <w:p w14:paraId="5530392B"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B618A6">
              <w:rPr>
                <w:rFonts w:ascii="Arial" w:eastAsia="Arial Unicode MS" w:hAnsi="Arial" w:cs="Arial"/>
                <w:color w:val="000000" w:themeColor="text1"/>
                <w:sz w:val="17"/>
                <w:szCs w:val="17"/>
                <w:lang w:val="hr-HR"/>
              </w:rPr>
              <w:t>676.523</w:t>
            </w:r>
          </w:p>
        </w:tc>
      </w:tr>
      <w:tr w:rsidR="004E2F51" w:rsidRPr="00131EA9" w14:paraId="1543811D" w14:textId="77777777" w:rsidTr="00E032FC">
        <w:trPr>
          <w:trHeight w:val="314"/>
        </w:trPr>
        <w:tc>
          <w:tcPr>
            <w:tcW w:w="2842" w:type="dxa"/>
            <w:tcMar>
              <w:top w:w="0" w:type="dxa"/>
              <w:left w:w="120" w:type="dxa"/>
              <w:bottom w:w="0" w:type="dxa"/>
              <w:right w:w="120" w:type="dxa"/>
            </w:tcMar>
            <w:vAlign w:val="bottom"/>
          </w:tcPr>
          <w:p w14:paraId="5576296B" w14:textId="77777777" w:rsidR="004E2F51" w:rsidRPr="00131EA9" w:rsidRDefault="004E2F51" w:rsidP="00E032FC">
            <w:pPr>
              <w:tabs>
                <w:tab w:val="right" w:pos="1202"/>
              </w:tabs>
              <w:spacing w:line="240" w:lineRule="exact"/>
              <w:outlineLvl w:val="0"/>
              <w:rPr>
                <w:rFonts w:ascii="Arial" w:eastAsia="Calibri" w:hAnsi="Arial" w:cs="Arial"/>
                <w:b/>
                <w:bCs/>
                <w:color w:val="000000" w:themeColor="text1"/>
                <w:sz w:val="17"/>
                <w:szCs w:val="17"/>
                <w:lang w:val="hr-HR"/>
              </w:rPr>
            </w:pPr>
            <w:bookmarkStart w:id="1884" w:name="_Toc67330716"/>
            <w:r w:rsidRPr="00131EA9">
              <w:rPr>
                <w:rFonts w:ascii="Arial" w:eastAsia="Calibri" w:hAnsi="Arial" w:cs="Arial"/>
                <w:b/>
                <w:bCs/>
                <w:color w:val="000000" w:themeColor="text1"/>
                <w:sz w:val="17"/>
                <w:szCs w:val="17"/>
                <w:lang w:val="hr-HR"/>
              </w:rPr>
              <w:t>Ukupne obveze</w:t>
            </w:r>
            <w:bookmarkEnd w:id="1884"/>
          </w:p>
        </w:tc>
        <w:tc>
          <w:tcPr>
            <w:tcW w:w="1010" w:type="dxa"/>
            <w:tcBorders>
              <w:top w:val="single" w:sz="4" w:space="0" w:color="auto"/>
              <w:left w:val="nil"/>
              <w:bottom w:val="single" w:sz="12" w:space="0" w:color="auto"/>
              <w:right w:val="nil"/>
            </w:tcBorders>
            <w:tcMar>
              <w:top w:w="0" w:type="dxa"/>
              <w:left w:w="120" w:type="dxa"/>
              <w:bottom w:w="0" w:type="dxa"/>
              <w:right w:w="120" w:type="dxa"/>
            </w:tcMar>
            <w:vAlign w:val="bottom"/>
          </w:tcPr>
          <w:p w14:paraId="311FE2FC"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B618A6">
              <w:rPr>
                <w:rFonts w:ascii="Arial" w:eastAsia="Arial Unicode MS" w:hAnsi="Arial" w:cs="Arial"/>
                <w:b/>
                <w:bCs/>
                <w:color w:val="000000" w:themeColor="text1"/>
                <w:sz w:val="17"/>
                <w:szCs w:val="17"/>
                <w:lang w:val="hr-HR"/>
              </w:rPr>
              <w:t>187.897</w:t>
            </w:r>
          </w:p>
        </w:tc>
        <w:tc>
          <w:tcPr>
            <w:tcW w:w="1149" w:type="dxa"/>
            <w:tcBorders>
              <w:top w:val="single" w:sz="4" w:space="0" w:color="auto"/>
              <w:left w:val="nil"/>
              <w:bottom w:val="single" w:sz="12" w:space="0" w:color="auto"/>
              <w:right w:val="nil"/>
            </w:tcBorders>
            <w:tcMar>
              <w:top w:w="0" w:type="dxa"/>
              <w:left w:w="120" w:type="dxa"/>
              <w:bottom w:w="0" w:type="dxa"/>
              <w:right w:w="120" w:type="dxa"/>
            </w:tcMar>
            <w:vAlign w:val="bottom"/>
          </w:tcPr>
          <w:p w14:paraId="2F53B3B7"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B618A6">
              <w:rPr>
                <w:rFonts w:ascii="Arial" w:eastAsia="Arial Unicode MS" w:hAnsi="Arial" w:cs="Arial"/>
                <w:b/>
                <w:bCs/>
                <w:color w:val="000000" w:themeColor="text1"/>
                <w:sz w:val="17"/>
                <w:szCs w:val="17"/>
                <w:lang w:val="hr-HR"/>
              </w:rPr>
              <w:t>14.143.260</w:t>
            </w:r>
          </w:p>
        </w:tc>
        <w:tc>
          <w:tcPr>
            <w:tcW w:w="1162" w:type="dxa"/>
            <w:tcBorders>
              <w:top w:val="single" w:sz="4" w:space="0" w:color="auto"/>
              <w:left w:val="nil"/>
              <w:bottom w:val="single" w:sz="12" w:space="0" w:color="auto"/>
              <w:right w:val="nil"/>
            </w:tcBorders>
            <w:tcMar>
              <w:top w:w="0" w:type="dxa"/>
              <w:left w:w="120" w:type="dxa"/>
              <w:bottom w:w="0" w:type="dxa"/>
              <w:right w:w="120" w:type="dxa"/>
            </w:tcMar>
            <w:vAlign w:val="bottom"/>
          </w:tcPr>
          <w:p w14:paraId="392248F9"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B618A6">
              <w:rPr>
                <w:rFonts w:ascii="Arial" w:eastAsia="Arial Unicode MS" w:hAnsi="Arial" w:cs="Arial"/>
                <w:b/>
                <w:bCs/>
                <w:color w:val="000000" w:themeColor="text1"/>
                <w:sz w:val="17"/>
                <w:szCs w:val="17"/>
                <w:lang w:val="hr-HR"/>
              </w:rPr>
              <w:t>12.145</w:t>
            </w:r>
          </w:p>
        </w:tc>
        <w:tc>
          <w:tcPr>
            <w:tcW w:w="1137" w:type="dxa"/>
            <w:tcBorders>
              <w:top w:val="single" w:sz="4" w:space="0" w:color="auto"/>
              <w:left w:val="nil"/>
              <w:bottom w:val="single" w:sz="12" w:space="0" w:color="auto"/>
              <w:right w:val="nil"/>
            </w:tcBorders>
            <w:tcMar>
              <w:top w:w="0" w:type="dxa"/>
              <w:left w:w="120" w:type="dxa"/>
              <w:bottom w:w="0" w:type="dxa"/>
              <w:right w:w="120" w:type="dxa"/>
            </w:tcMar>
            <w:vAlign w:val="bottom"/>
          </w:tcPr>
          <w:p w14:paraId="73565BF6"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B618A6">
              <w:rPr>
                <w:rFonts w:ascii="Arial" w:eastAsia="Arial Unicode MS" w:hAnsi="Arial" w:cs="Arial"/>
                <w:b/>
                <w:bCs/>
                <w:color w:val="000000" w:themeColor="text1"/>
                <w:sz w:val="17"/>
                <w:szCs w:val="17"/>
                <w:lang w:val="hr-HR"/>
              </w:rPr>
              <w:t>14.343.302</w:t>
            </w:r>
          </w:p>
        </w:tc>
        <w:tc>
          <w:tcPr>
            <w:tcW w:w="1206" w:type="dxa"/>
            <w:tcBorders>
              <w:top w:val="single" w:sz="4" w:space="0" w:color="auto"/>
              <w:left w:val="nil"/>
              <w:bottom w:val="single" w:sz="12" w:space="0" w:color="auto"/>
              <w:right w:val="nil"/>
            </w:tcBorders>
            <w:tcMar>
              <w:top w:w="0" w:type="dxa"/>
              <w:left w:w="120" w:type="dxa"/>
              <w:bottom w:w="0" w:type="dxa"/>
              <w:right w:w="120" w:type="dxa"/>
            </w:tcMar>
            <w:vAlign w:val="bottom"/>
          </w:tcPr>
          <w:p w14:paraId="5312CE99"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B618A6">
              <w:rPr>
                <w:rFonts w:ascii="Arial" w:eastAsia="Arial Unicode MS" w:hAnsi="Arial" w:cs="Arial"/>
                <w:b/>
                <w:bCs/>
                <w:color w:val="000000" w:themeColor="text1"/>
                <w:sz w:val="17"/>
                <w:szCs w:val="17"/>
                <w:lang w:val="hr-HR"/>
              </w:rPr>
              <w:t>4.001.835</w:t>
            </w:r>
          </w:p>
        </w:tc>
        <w:tc>
          <w:tcPr>
            <w:tcW w:w="1231" w:type="dxa"/>
            <w:tcBorders>
              <w:top w:val="single" w:sz="4" w:space="0" w:color="auto"/>
              <w:left w:val="nil"/>
              <w:bottom w:val="single" w:sz="12" w:space="0" w:color="auto"/>
            </w:tcBorders>
            <w:tcMar>
              <w:top w:w="0" w:type="dxa"/>
              <w:left w:w="120" w:type="dxa"/>
              <w:bottom w:w="0" w:type="dxa"/>
              <w:right w:w="120" w:type="dxa"/>
            </w:tcMar>
            <w:vAlign w:val="bottom"/>
          </w:tcPr>
          <w:p w14:paraId="138CA285"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B618A6">
              <w:rPr>
                <w:rFonts w:ascii="Arial" w:eastAsia="Arial Unicode MS" w:hAnsi="Arial" w:cs="Arial"/>
                <w:b/>
                <w:bCs/>
                <w:color w:val="000000" w:themeColor="text1"/>
                <w:sz w:val="17"/>
                <w:szCs w:val="17"/>
                <w:lang w:val="hr-HR"/>
              </w:rPr>
              <w:t>18.345.137</w:t>
            </w:r>
          </w:p>
        </w:tc>
      </w:tr>
      <w:tr w:rsidR="004E2F51" w:rsidRPr="00131EA9" w14:paraId="24DE4325" w14:textId="77777777" w:rsidTr="00E032FC">
        <w:trPr>
          <w:trHeight w:val="327"/>
        </w:trPr>
        <w:tc>
          <w:tcPr>
            <w:tcW w:w="2842" w:type="dxa"/>
            <w:tcMar>
              <w:top w:w="0" w:type="dxa"/>
              <w:left w:w="120" w:type="dxa"/>
              <w:bottom w:w="0" w:type="dxa"/>
              <w:right w:w="120" w:type="dxa"/>
            </w:tcMar>
            <w:vAlign w:val="bottom"/>
          </w:tcPr>
          <w:p w14:paraId="59BD033C" w14:textId="77777777" w:rsidR="004E2F51" w:rsidRPr="00131EA9" w:rsidRDefault="004E2F51" w:rsidP="00E032FC">
            <w:pPr>
              <w:spacing w:line="240" w:lineRule="exact"/>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Valutni jaz</w:t>
            </w:r>
          </w:p>
        </w:tc>
        <w:tc>
          <w:tcPr>
            <w:tcW w:w="1010"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4331FC7F"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B618A6">
              <w:rPr>
                <w:rFonts w:ascii="Arial" w:eastAsia="Arial Unicode MS" w:hAnsi="Arial" w:cs="Arial"/>
                <w:b/>
                <w:bCs/>
                <w:color w:val="000000" w:themeColor="text1"/>
                <w:sz w:val="17"/>
                <w:szCs w:val="17"/>
                <w:lang w:val="hr-HR"/>
              </w:rPr>
              <w:t>(3.591)</w:t>
            </w:r>
          </w:p>
        </w:tc>
        <w:tc>
          <w:tcPr>
            <w:tcW w:w="1149"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6FB07CF5"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B618A6">
              <w:rPr>
                <w:rFonts w:ascii="Arial" w:eastAsia="Arial Unicode MS" w:hAnsi="Arial" w:cs="Arial"/>
                <w:b/>
                <w:bCs/>
                <w:color w:val="000000" w:themeColor="text1"/>
                <w:sz w:val="17"/>
                <w:szCs w:val="17"/>
                <w:lang w:val="hr-HR"/>
              </w:rPr>
              <w:t>93.404</w:t>
            </w:r>
          </w:p>
        </w:tc>
        <w:tc>
          <w:tcPr>
            <w:tcW w:w="1162"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60B6C7A0"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B618A6">
              <w:rPr>
                <w:rFonts w:ascii="Arial" w:eastAsia="Arial Unicode MS" w:hAnsi="Arial" w:cs="Arial"/>
                <w:b/>
                <w:bCs/>
                <w:color w:val="000000" w:themeColor="text1"/>
                <w:sz w:val="17"/>
                <w:szCs w:val="17"/>
                <w:lang w:val="hr-HR"/>
              </w:rPr>
              <w:t>122.563</w:t>
            </w:r>
          </w:p>
        </w:tc>
        <w:tc>
          <w:tcPr>
            <w:tcW w:w="1137"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5F153272"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B618A6">
              <w:rPr>
                <w:rFonts w:ascii="Arial" w:eastAsia="Arial Unicode MS" w:hAnsi="Arial" w:cs="Arial"/>
                <w:b/>
                <w:bCs/>
                <w:color w:val="000000" w:themeColor="text1"/>
                <w:sz w:val="17"/>
                <w:szCs w:val="17"/>
                <w:lang w:val="hr-HR"/>
              </w:rPr>
              <w:t>212.376</w:t>
            </w:r>
          </w:p>
        </w:tc>
        <w:tc>
          <w:tcPr>
            <w:tcW w:w="1206"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4B3D19C7"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B618A6">
              <w:rPr>
                <w:rFonts w:ascii="Arial" w:eastAsia="Arial Unicode MS" w:hAnsi="Arial" w:cs="Arial"/>
                <w:b/>
                <w:bCs/>
                <w:color w:val="000000" w:themeColor="text1"/>
                <w:sz w:val="17"/>
                <w:szCs w:val="17"/>
                <w:lang w:val="hr-HR"/>
              </w:rPr>
              <w:t>10.502.650</w:t>
            </w:r>
          </w:p>
        </w:tc>
        <w:tc>
          <w:tcPr>
            <w:tcW w:w="1231" w:type="dxa"/>
            <w:tcBorders>
              <w:top w:val="single" w:sz="12" w:space="0" w:color="auto"/>
              <w:left w:val="nil"/>
              <w:bottom w:val="single" w:sz="12" w:space="0" w:color="auto"/>
            </w:tcBorders>
            <w:shd w:val="clear" w:color="000000" w:fill="auto"/>
            <w:tcMar>
              <w:top w:w="0" w:type="dxa"/>
              <w:left w:w="120" w:type="dxa"/>
              <w:bottom w:w="0" w:type="dxa"/>
              <w:right w:w="120" w:type="dxa"/>
            </w:tcMar>
            <w:vAlign w:val="bottom"/>
          </w:tcPr>
          <w:p w14:paraId="0212C362"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B618A6">
              <w:rPr>
                <w:rFonts w:ascii="Arial" w:eastAsia="Arial Unicode MS" w:hAnsi="Arial" w:cs="Arial"/>
                <w:b/>
                <w:bCs/>
                <w:color w:val="000000" w:themeColor="text1"/>
                <w:sz w:val="17"/>
                <w:szCs w:val="17"/>
                <w:lang w:val="hr-HR"/>
              </w:rPr>
              <w:t>10.715.026</w:t>
            </w:r>
          </w:p>
        </w:tc>
      </w:tr>
    </w:tbl>
    <w:p w14:paraId="7DC2B34A" w14:textId="77777777" w:rsidR="004E2F51" w:rsidRPr="00131EA9" w:rsidRDefault="004E2F51" w:rsidP="004E2F51">
      <w:pPr>
        <w:pStyle w:val="TT"/>
        <w:spacing w:line="240" w:lineRule="auto"/>
        <w:rPr>
          <w:rFonts w:cs="Arial"/>
          <w:i/>
          <w:color w:val="000000" w:themeColor="text1"/>
          <w:sz w:val="20"/>
          <w:lang w:val="hr-HR"/>
        </w:rPr>
      </w:pPr>
    </w:p>
    <w:p w14:paraId="31650E5A" w14:textId="77777777" w:rsidR="004E2F51" w:rsidRPr="00131EA9" w:rsidRDefault="004E2F51" w:rsidP="004E2F51">
      <w:pPr>
        <w:pStyle w:val="TT"/>
        <w:spacing w:line="240" w:lineRule="auto"/>
        <w:rPr>
          <w:rFonts w:cs="Arial"/>
          <w:i/>
          <w:color w:val="000000" w:themeColor="text1"/>
          <w:sz w:val="20"/>
          <w:lang w:val="hr-HR"/>
        </w:rPr>
      </w:pPr>
    </w:p>
    <w:p w14:paraId="0CE45EE7" w14:textId="77777777" w:rsidR="004E2F51" w:rsidRPr="00094A70" w:rsidRDefault="004E2F51" w:rsidP="004E2F51">
      <w:pPr>
        <w:pStyle w:val="TT"/>
        <w:spacing w:line="240" w:lineRule="auto"/>
        <w:jc w:val="both"/>
        <w:rPr>
          <w:rFonts w:cs="Arial"/>
          <w:i/>
          <w:color w:val="000000" w:themeColor="text1"/>
          <w:sz w:val="18"/>
          <w:szCs w:val="18"/>
          <w:lang w:val="hr-HR"/>
        </w:rPr>
      </w:pPr>
      <w:bookmarkStart w:id="1885" w:name="_Toc67330717"/>
      <w:r w:rsidRPr="00094A70">
        <w:rPr>
          <w:rFonts w:cs="Arial"/>
          <w:i/>
          <w:color w:val="000000" w:themeColor="text1"/>
          <w:sz w:val="18"/>
          <w:szCs w:val="18"/>
          <w:lang w:val="hr-HR"/>
        </w:rPr>
        <w:t xml:space="preserve">*Iznosi vezani uz jednosmjernu valutnu klauzulu iznose </w:t>
      </w:r>
      <w:bookmarkStart w:id="1886" w:name="_Hlk65508127"/>
      <w:r w:rsidRPr="008B062A">
        <w:rPr>
          <w:rFonts w:cs="Arial"/>
          <w:i/>
          <w:color w:val="000000" w:themeColor="text1"/>
          <w:sz w:val="18"/>
          <w:szCs w:val="18"/>
          <w:lang w:val="hr-HR"/>
        </w:rPr>
        <w:t>27.6</w:t>
      </w:r>
      <w:r>
        <w:rPr>
          <w:rFonts w:cs="Arial"/>
          <w:i/>
          <w:color w:val="000000" w:themeColor="text1"/>
          <w:sz w:val="18"/>
          <w:szCs w:val="18"/>
          <w:lang w:val="hr-HR"/>
        </w:rPr>
        <w:t>41</w:t>
      </w:r>
      <w:r w:rsidRPr="00094A70">
        <w:rPr>
          <w:rFonts w:cs="Arial"/>
          <w:i/>
          <w:color w:val="000000" w:themeColor="text1"/>
          <w:sz w:val="18"/>
          <w:szCs w:val="18"/>
          <w:lang w:val="hr-HR"/>
        </w:rPr>
        <w:t xml:space="preserve"> </w:t>
      </w:r>
      <w:bookmarkEnd w:id="1886"/>
      <w:r w:rsidRPr="00094A70">
        <w:rPr>
          <w:rFonts w:cs="Arial"/>
          <w:i/>
          <w:color w:val="000000" w:themeColor="text1"/>
          <w:sz w:val="18"/>
          <w:szCs w:val="18"/>
          <w:lang w:val="hr-HR"/>
        </w:rPr>
        <w:t>tisuća kuna.</w:t>
      </w:r>
      <w:bookmarkEnd w:id="1885"/>
      <w:r w:rsidRPr="00094A70" w:rsidDel="00597E6E">
        <w:rPr>
          <w:rFonts w:cs="Arial"/>
          <w:i/>
          <w:color w:val="000000" w:themeColor="text1"/>
          <w:sz w:val="18"/>
          <w:szCs w:val="18"/>
          <w:lang w:val="hr-HR"/>
        </w:rPr>
        <w:t xml:space="preserve"> </w:t>
      </w:r>
    </w:p>
    <w:p w14:paraId="30196CFB" w14:textId="77777777" w:rsidR="004E2F51" w:rsidRPr="00131EA9" w:rsidRDefault="004E2F51" w:rsidP="004E2F51">
      <w:pPr>
        <w:pStyle w:val="T1"/>
        <w:spacing w:before="0" w:after="0" w:line="240" w:lineRule="auto"/>
        <w:ind w:left="709" w:hanging="709"/>
        <w:rPr>
          <w:rFonts w:cs="Arial"/>
          <w:color w:val="000000" w:themeColor="text1"/>
          <w:sz w:val="20"/>
          <w:lang w:val="hr-HR"/>
        </w:rPr>
        <w:sectPr w:rsidR="004E2F51" w:rsidRPr="00131EA9" w:rsidSect="00623DBA">
          <w:footerReference w:type="default" r:id="rId215"/>
          <w:pgSz w:w="11907" w:h="16840" w:code="9"/>
          <w:pgMar w:top="1418" w:right="1134" w:bottom="1134" w:left="1418" w:header="851" w:footer="851" w:gutter="0"/>
          <w:cols w:space="720"/>
          <w:noEndnote/>
        </w:sectPr>
      </w:pPr>
    </w:p>
    <w:p w14:paraId="5A76A157" w14:textId="77777777" w:rsidR="004E2F51" w:rsidRPr="00131EA9" w:rsidRDefault="004E2F51" w:rsidP="004E2F51">
      <w:pPr>
        <w:pStyle w:val="T1"/>
        <w:spacing w:before="0" w:after="0" w:line="240" w:lineRule="auto"/>
        <w:ind w:left="709" w:hanging="709"/>
        <w:rPr>
          <w:rFonts w:cs="Arial"/>
          <w:color w:val="000000" w:themeColor="text1"/>
          <w:sz w:val="20"/>
          <w:lang w:val="hr-HR"/>
        </w:rPr>
      </w:pPr>
    </w:p>
    <w:p w14:paraId="14185D60" w14:textId="77777777" w:rsidR="004E2F51" w:rsidRPr="00131EA9" w:rsidRDefault="004E2F51" w:rsidP="004E2F51">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Pr>
          <w:rFonts w:cs="Arial"/>
          <w:color w:val="000000" w:themeColor="text1"/>
          <w:sz w:val="20"/>
          <w:lang w:val="hr-HR"/>
        </w:rPr>
        <w:t>1</w:t>
      </w:r>
      <w:r w:rsidRPr="00131EA9">
        <w:rPr>
          <w:rFonts w:cs="Arial"/>
          <w:color w:val="000000" w:themeColor="text1"/>
          <w:sz w:val="20"/>
          <w:lang w:val="hr-HR"/>
        </w:rPr>
        <w:t>.        Upravljanje rizicima (nastavak)</w:t>
      </w:r>
    </w:p>
    <w:p w14:paraId="05C2EC64" w14:textId="77777777" w:rsidR="004E2F51" w:rsidRPr="00131EA9" w:rsidRDefault="004E2F51" w:rsidP="004E2F51">
      <w:pPr>
        <w:pStyle w:val="T1"/>
        <w:spacing w:before="0" w:after="0" w:line="240" w:lineRule="auto"/>
        <w:ind w:left="709" w:hanging="709"/>
        <w:rPr>
          <w:rFonts w:cs="Arial"/>
          <w:color w:val="000000" w:themeColor="text1"/>
          <w:sz w:val="20"/>
          <w:lang w:val="hr-HR"/>
        </w:rPr>
      </w:pPr>
    </w:p>
    <w:p w14:paraId="21F37ADE" w14:textId="77777777" w:rsidR="004E2F51" w:rsidRPr="00131EA9" w:rsidRDefault="004E2F51" w:rsidP="004E2F51">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Pr>
          <w:rFonts w:cs="Arial"/>
          <w:color w:val="000000" w:themeColor="text1"/>
          <w:sz w:val="20"/>
          <w:lang w:val="hr-HR"/>
        </w:rPr>
        <w:t>1</w:t>
      </w:r>
      <w:r w:rsidRPr="00131EA9">
        <w:rPr>
          <w:rFonts w:cs="Arial"/>
          <w:color w:val="000000" w:themeColor="text1"/>
          <w:sz w:val="20"/>
          <w:lang w:val="hr-HR"/>
        </w:rPr>
        <w:t>.5.     Tržišni rizik (nastavak)</w:t>
      </w:r>
    </w:p>
    <w:p w14:paraId="14BD5584" w14:textId="77777777" w:rsidR="004E2F51" w:rsidRPr="00131EA9" w:rsidRDefault="004E2F51" w:rsidP="004E2F51">
      <w:pPr>
        <w:pStyle w:val="T1"/>
        <w:spacing w:before="0" w:after="0" w:line="240" w:lineRule="auto"/>
        <w:ind w:left="709" w:hanging="709"/>
        <w:rPr>
          <w:rFonts w:cs="Arial"/>
          <w:color w:val="000000" w:themeColor="text1"/>
          <w:sz w:val="20"/>
          <w:lang w:val="hr-HR"/>
        </w:rPr>
      </w:pPr>
    </w:p>
    <w:p w14:paraId="3E866BA4" w14:textId="77777777" w:rsidR="004E2F51" w:rsidRPr="00131EA9" w:rsidRDefault="004E2F51" w:rsidP="004E2F51">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Pr>
          <w:rFonts w:cs="Arial"/>
          <w:color w:val="000000" w:themeColor="text1"/>
          <w:sz w:val="20"/>
          <w:lang w:val="hr-HR"/>
        </w:rPr>
        <w:t>1</w:t>
      </w:r>
      <w:r w:rsidRPr="00131EA9">
        <w:rPr>
          <w:rFonts w:cs="Arial"/>
          <w:color w:val="000000" w:themeColor="text1"/>
          <w:sz w:val="20"/>
          <w:lang w:val="hr-HR"/>
        </w:rPr>
        <w:t>.5.2.  Valutni rizik (nastavak)</w:t>
      </w:r>
    </w:p>
    <w:p w14:paraId="45DC3F61" w14:textId="77777777" w:rsidR="004E2F51" w:rsidRPr="00131EA9" w:rsidRDefault="004E2F51" w:rsidP="004E2F51">
      <w:pPr>
        <w:pStyle w:val="T1"/>
        <w:spacing w:before="0" w:after="0" w:line="240" w:lineRule="auto"/>
        <w:rPr>
          <w:rFonts w:cs="Arial"/>
          <w:b w:val="0"/>
          <w:bCs w:val="0"/>
          <w:color w:val="000000" w:themeColor="text1"/>
          <w:sz w:val="20"/>
          <w:lang w:val="hr-HR"/>
        </w:rPr>
      </w:pPr>
    </w:p>
    <w:tbl>
      <w:tblPr>
        <w:tblW w:w="5204" w:type="pct"/>
        <w:tblLayout w:type="fixed"/>
        <w:tblCellMar>
          <w:left w:w="10" w:type="dxa"/>
          <w:right w:w="10" w:type="dxa"/>
        </w:tblCellMar>
        <w:tblLook w:val="0000" w:firstRow="0" w:lastRow="0" w:firstColumn="0" w:lastColumn="0" w:noHBand="0" w:noVBand="0"/>
      </w:tblPr>
      <w:tblGrid>
        <w:gridCol w:w="2842"/>
        <w:gridCol w:w="1010"/>
        <w:gridCol w:w="1149"/>
        <w:gridCol w:w="1162"/>
        <w:gridCol w:w="1137"/>
        <w:gridCol w:w="1206"/>
        <w:gridCol w:w="1231"/>
      </w:tblGrid>
      <w:tr w:rsidR="004E2F51" w:rsidRPr="00131EA9" w14:paraId="4E5614D5" w14:textId="77777777" w:rsidTr="00E032FC">
        <w:trPr>
          <w:trHeight w:val="421"/>
        </w:trPr>
        <w:tc>
          <w:tcPr>
            <w:tcW w:w="2842" w:type="dxa"/>
            <w:tcMar>
              <w:top w:w="0" w:type="dxa"/>
              <w:left w:w="120" w:type="dxa"/>
              <w:bottom w:w="0" w:type="dxa"/>
              <w:right w:w="120" w:type="dxa"/>
            </w:tcMar>
            <w:vAlign w:val="bottom"/>
          </w:tcPr>
          <w:p w14:paraId="2D784D0C" w14:textId="77777777" w:rsidR="004E2F51" w:rsidRPr="00131EA9" w:rsidRDefault="004E2F51" w:rsidP="00E032FC">
            <w:pPr>
              <w:tabs>
                <w:tab w:val="right" w:pos="1202"/>
              </w:tabs>
              <w:spacing w:line="220" w:lineRule="exact"/>
              <w:outlineLvl w:val="0"/>
              <w:rPr>
                <w:rFonts w:ascii="Arial" w:eastAsia="Calibri" w:hAnsi="Arial" w:cs="Arial"/>
                <w:b/>
                <w:color w:val="000000" w:themeColor="text1"/>
                <w:sz w:val="17"/>
                <w:szCs w:val="17"/>
                <w:lang w:val="hr-HR"/>
              </w:rPr>
            </w:pPr>
            <w:r w:rsidRPr="00131EA9">
              <w:rPr>
                <w:rFonts w:ascii="Arial" w:eastAsia="Calibri" w:hAnsi="Arial" w:cs="Arial"/>
                <w:b/>
                <w:color w:val="000000" w:themeColor="text1"/>
                <w:sz w:val="17"/>
                <w:szCs w:val="17"/>
                <w:lang w:val="hr-HR"/>
              </w:rPr>
              <w:t>Grupa</w:t>
            </w:r>
          </w:p>
          <w:p w14:paraId="7B3092E8" w14:textId="77777777" w:rsidR="004E2F51" w:rsidRPr="00131EA9" w:rsidRDefault="004E2F51" w:rsidP="00E032FC">
            <w:pPr>
              <w:tabs>
                <w:tab w:val="right" w:pos="1202"/>
              </w:tabs>
              <w:spacing w:line="220" w:lineRule="exact"/>
              <w:outlineLvl w:val="0"/>
              <w:rPr>
                <w:rFonts w:ascii="Arial" w:eastAsia="Calibri" w:hAnsi="Arial" w:cs="Arial"/>
                <w:b/>
                <w:color w:val="000000" w:themeColor="text1"/>
                <w:sz w:val="17"/>
                <w:szCs w:val="17"/>
                <w:lang w:val="hr-HR"/>
              </w:rPr>
            </w:pPr>
          </w:p>
          <w:p w14:paraId="1180CE69" w14:textId="77777777" w:rsidR="004E2F51" w:rsidRPr="00131EA9" w:rsidRDefault="004E2F51" w:rsidP="00E032FC">
            <w:pPr>
              <w:tabs>
                <w:tab w:val="right" w:pos="1202"/>
              </w:tabs>
              <w:spacing w:line="220" w:lineRule="exact"/>
              <w:outlineLvl w:val="0"/>
              <w:rPr>
                <w:rFonts w:ascii="Arial" w:eastAsia="Calibri" w:hAnsi="Arial" w:cs="Arial"/>
                <w:b/>
                <w:color w:val="000000" w:themeColor="text1"/>
                <w:sz w:val="17"/>
                <w:szCs w:val="17"/>
                <w:lang w:val="hr-HR"/>
              </w:rPr>
            </w:pPr>
            <w:r w:rsidRPr="00131EA9">
              <w:rPr>
                <w:rFonts w:ascii="Arial" w:eastAsia="Calibri" w:hAnsi="Arial" w:cs="Arial"/>
                <w:b/>
                <w:color w:val="000000" w:themeColor="text1"/>
                <w:sz w:val="17"/>
                <w:szCs w:val="17"/>
                <w:lang w:val="hr-HR"/>
              </w:rPr>
              <w:t xml:space="preserve">31. prosinca 2021. </w:t>
            </w:r>
          </w:p>
        </w:tc>
        <w:tc>
          <w:tcPr>
            <w:tcW w:w="1010" w:type="dxa"/>
            <w:tcMar>
              <w:top w:w="0" w:type="dxa"/>
              <w:left w:w="120" w:type="dxa"/>
              <w:bottom w:w="0" w:type="dxa"/>
              <w:right w:w="120" w:type="dxa"/>
            </w:tcMar>
          </w:tcPr>
          <w:p w14:paraId="157B5D00"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r w:rsidRPr="00131EA9">
              <w:rPr>
                <w:rFonts w:ascii="Arial" w:eastAsia="Calibri" w:hAnsi="Arial" w:cs="Arial"/>
                <w:b/>
                <w:color w:val="000000" w:themeColor="text1"/>
                <w:sz w:val="17"/>
                <w:szCs w:val="17"/>
                <w:lang w:val="hr-HR"/>
              </w:rPr>
              <w:t>USD</w:t>
            </w:r>
          </w:p>
        </w:tc>
        <w:tc>
          <w:tcPr>
            <w:tcW w:w="1149" w:type="dxa"/>
            <w:tcMar>
              <w:top w:w="0" w:type="dxa"/>
              <w:left w:w="120" w:type="dxa"/>
              <w:bottom w:w="0" w:type="dxa"/>
              <w:right w:w="120" w:type="dxa"/>
            </w:tcMar>
          </w:tcPr>
          <w:p w14:paraId="38AB8E16"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r w:rsidRPr="00131EA9">
              <w:rPr>
                <w:rFonts w:ascii="Arial" w:eastAsia="Calibri" w:hAnsi="Arial" w:cs="Arial"/>
                <w:b/>
                <w:color w:val="000000" w:themeColor="text1"/>
                <w:sz w:val="17"/>
                <w:szCs w:val="17"/>
                <w:lang w:val="hr-HR"/>
              </w:rPr>
              <w:t xml:space="preserve">EUR </w:t>
            </w:r>
          </w:p>
        </w:tc>
        <w:tc>
          <w:tcPr>
            <w:tcW w:w="1162" w:type="dxa"/>
            <w:tcMar>
              <w:top w:w="0" w:type="dxa"/>
              <w:left w:w="120" w:type="dxa"/>
              <w:bottom w:w="0" w:type="dxa"/>
              <w:right w:w="120" w:type="dxa"/>
            </w:tcMar>
          </w:tcPr>
          <w:p w14:paraId="2876A79A"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r w:rsidRPr="00131EA9">
              <w:rPr>
                <w:rFonts w:ascii="Arial" w:eastAsia="Calibri" w:hAnsi="Arial" w:cs="Arial"/>
                <w:b/>
                <w:color w:val="000000" w:themeColor="text1"/>
                <w:sz w:val="17"/>
                <w:szCs w:val="17"/>
                <w:lang w:val="hr-HR"/>
              </w:rPr>
              <w:t>Ostale valute</w:t>
            </w:r>
          </w:p>
        </w:tc>
        <w:tc>
          <w:tcPr>
            <w:tcW w:w="1137" w:type="dxa"/>
            <w:tcMar>
              <w:top w:w="0" w:type="dxa"/>
              <w:left w:w="120" w:type="dxa"/>
              <w:bottom w:w="0" w:type="dxa"/>
              <w:right w:w="120" w:type="dxa"/>
            </w:tcMar>
          </w:tcPr>
          <w:p w14:paraId="6B088EF7"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r w:rsidRPr="00131EA9">
              <w:rPr>
                <w:rFonts w:ascii="Arial" w:eastAsia="Calibri" w:hAnsi="Arial" w:cs="Arial"/>
                <w:b/>
                <w:color w:val="000000" w:themeColor="text1"/>
                <w:sz w:val="17"/>
                <w:szCs w:val="17"/>
                <w:lang w:val="hr-HR"/>
              </w:rPr>
              <w:t>Ukupno strane valute</w:t>
            </w:r>
          </w:p>
        </w:tc>
        <w:tc>
          <w:tcPr>
            <w:tcW w:w="1206" w:type="dxa"/>
            <w:tcMar>
              <w:top w:w="0" w:type="dxa"/>
              <w:left w:w="120" w:type="dxa"/>
              <w:bottom w:w="0" w:type="dxa"/>
              <w:right w:w="120" w:type="dxa"/>
            </w:tcMar>
          </w:tcPr>
          <w:p w14:paraId="426199A2"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r w:rsidRPr="00131EA9">
              <w:rPr>
                <w:rFonts w:ascii="Arial" w:eastAsia="Calibri" w:hAnsi="Arial" w:cs="Arial"/>
                <w:b/>
                <w:color w:val="000000" w:themeColor="text1"/>
                <w:sz w:val="17"/>
                <w:szCs w:val="17"/>
                <w:lang w:val="hr-HR"/>
              </w:rPr>
              <w:t>Kune</w:t>
            </w:r>
          </w:p>
        </w:tc>
        <w:tc>
          <w:tcPr>
            <w:tcW w:w="1231" w:type="dxa"/>
            <w:tcMar>
              <w:top w:w="0" w:type="dxa"/>
              <w:left w:w="120" w:type="dxa"/>
              <w:bottom w:w="0" w:type="dxa"/>
              <w:right w:w="120" w:type="dxa"/>
            </w:tcMar>
          </w:tcPr>
          <w:p w14:paraId="354FB817"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r w:rsidRPr="00131EA9">
              <w:rPr>
                <w:rFonts w:ascii="Arial" w:eastAsia="Calibri" w:hAnsi="Arial" w:cs="Arial"/>
                <w:b/>
                <w:color w:val="000000" w:themeColor="text1"/>
                <w:sz w:val="17"/>
                <w:szCs w:val="17"/>
                <w:lang w:val="hr-HR"/>
              </w:rPr>
              <w:t>Ukupno</w:t>
            </w:r>
          </w:p>
        </w:tc>
      </w:tr>
      <w:tr w:rsidR="004E2F51" w:rsidRPr="00131EA9" w14:paraId="01BFB352" w14:textId="77777777" w:rsidTr="00E032FC">
        <w:trPr>
          <w:trHeight w:hRule="exact" w:val="276"/>
        </w:trPr>
        <w:tc>
          <w:tcPr>
            <w:tcW w:w="2842" w:type="dxa"/>
            <w:tcMar>
              <w:top w:w="0" w:type="dxa"/>
              <w:left w:w="120" w:type="dxa"/>
              <w:bottom w:w="0" w:type="dxa"/>
              <w:right w:w="120" w:type="dxa"/>
            </w:tcMar>
          </w:tcPr>
          <w:p w14:paraId="576A1E59" w14:textId="77777777" w:rsidR="004E2F51" w:rsidRPr="00131EA9" w:rsidRDefault="004E2F51" w:rsidP="00E032FC">
            <w:pPr>
              <w:tabs>
                <w:tab w:val="right" w:pos="1202"/>
              </w:tabs>
              <w:spacing w:line="220" w:lineRule="exact"/>
              <w:outlineLvl w:val="0"/>
              <w:rPr>
                <w:rFonts w:ascii="Arial" w:eastAsia="Calibri" w:hAnsi="Arial" w:cs="Arial"/>
                <w:b/>
                <w:color w:val="000000" w:themeColor="text1"/>
                <w:sz w:val="17"/>
                <w:szCs w:val="17"/>
                <w:lang w:val="hr-HR"/>
              </w:rPr>
            </w:pPr>
          </w:p>
        </w:tc>
        <w:tc>
          <w:tcPr>
            <w:tcW w:w="1010" w:type="dxa"/>
            <w:tcMar>
              <w:top w:w="0" w:type="dxa"/>
              <w:left w:w="120" w:type="dxa"/>
              <w:bottom w:w="0" w:type="dxa"/>
              <w:right w:w="120" w:type="dxa"/>
            </w:tcMar>
          </w:tcPr>
          <w:p w14:paraId="1D1B168C"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r w:rsidRPr="00131EA9">
              <w:rPr>
                <w:rFonts w:ascii="Arial" w:eastAsia="Calibri" w:hAnsi="Arial" w:cs="Arial"/>
                <w:b/>
                <w:color w:val="000000" w:themeColor="text1"/>
                <w:sz w:val="17"/>
                <w:szCs w:val="17"/>
                <w:lang w:val="hr-HR"/>
              </w:rPr>
              <w:t>000 kuna</w:t>
            </w:r>
          </w:p>
        </w:tc>
        <w:tc>
          <w:tcPr>
            <w:tcW w:w="1149" w:type="dxa"/>
            <w:tcMar>
              <w:top w:w="0" w:type="dxa"/>
              <w:left w:w="120" w:type="dxa"/>
              <w:bottom w:w="0" w:type="dxa"/>
              <w:right w:w="120" w:type="dxa"/>
            </w:tcMar>
          </w:tcPr>
          <w:p w14:paraId="333CC703"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r w:rsidRPr="00131EA9">
              <w:rPr>
                <w:rFonts w:ascii="Arial" w:eastAsia="Calibri" w:hAnsi="Arial" w:cs="Arial"/>
                <w:b/>
                <w:color w:val="000000" w:themeColor="text1"/>
                <w:sz w:val="17"/>
                <w:szCs w:val="17"/>
                <w:lang w:val="hr-HR"/>
              </w:rPr>
              <w:t>000 kuna</w:t>
            </w:r>
          </w:p>
        </w:tc>
        <w:tc>
          <w:tcPr>
            <w:tcW w:w="1162" w:type="dxa"/>
            <w:tcMar>
              <w:top w:w="0" w:type="dxa"/>
              <w:left w:w="120" w:type="dxa"/>
              <w:bottom w:w="0" w:type="dxa"/>
              <w:right w:w="120" w:type="dxa"/>
            </w:tcMar>
          </w:tcPr>
          <w:p w14:paraId="3DAB82E0"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r w:rsidRPr="00131EA9">
              <w:rPr>
                <w:rFonts w:ascii="Arial" w:eastAsia="Calibri" w:hAnsi="Arial" w:cs="Arial"/>
                <w:b/>
                <w:color w:val="000000" w:themeColor="text1"/>
                <w:sz w:val="17"/>
                <w:szCs w:val="17"/>
                <w:lang w:val="hr-HR"/>
              </w:rPr>
              <w:t>000 kuna</w:t>
            </w:r>
          </w:p>
        </w:tc>
        <w:tc>
          <w:tcPr>
            <w:tcW w:w="1137" w:type="dxa"/>
            <w:tcMar>
              <w:top w:w="0" w:type="dxa"/>
              <w:left w:w="120" w:type="dxa"/>
              <w:bottom w:w="0" w:type="dxa"/>
              <w:right w:w="120" w:type="dxa"/>
            </w:tcMar>
          </w:tcPr>
          <w:p w14:paraId="77C89B78"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r w:rsidRPr="00131EA9">
              <w:rPr>
                <w:rFonts w:ascii="Arial" w:eastAsia="Calibri" w:hAnsi="Arial" w:cs="Arial"/>
                <w:b/>
                <w:color w:val="000000" w:themeColor="text1"/>
                <w:sz w:val="17"/>
                <w:szCs w:val="17"/>
                <w:lang w:val="hr-HR"/>
              </w:rPr>
              <w:t>000 kuna</w:t>
            </w:r>
          </w:p>
        </w:tc>
        <w:tc>
          <w:tcPr>
            <w:tcW w:w="1206" w:type="dxa"/>
            <w:tcMar>
              <w:top w:w="0" w:type="dxa"/>
              <w:left w:w="120" w:type="dxa"/>
              <w:bottom w:w="0" w:type="dxa"/>
              <w:right w:w="120" w:type="dxa"/>
            </w:tcMar>
          </w:tcPr>
          <w:p w14:paraId="66015176"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r w:rsidRPr="00131EA9">
              <w:rPr>
                <w:rFonts w:ascii="Arial" w:eastAsia="Calibri" w:hAnsi="Arial" w:cs="Arial"/>
                <w:b/>
                <w:color w:val="000000" w:themeColor="text1"/>
                <w:sz w:val="17"/>
                <w:szCs w:val="17"/>
                <w:lang w:val="hr-HR"/>
              </w:rPr>
              <w:t>000 kuna</w:t>
            </w:r>
          </w:p>
        </w:tc>
        <w:tc>
          <w:tcPr>
            <w:tcW w:w="1231" w:type="dxa"/>
            <w:tcMar>
              <w:top w:w="0" w:type="dxa"/>
              <w:left w:w="120" w:type="dxa"/>
              <w:bottom w:w="0" w:type="dxa"/>
              <w:right w:w="120" w:type="dxa"/>
            </w:tcMar>
          </w:tcPr>
          <w:p w14:paraId="5B9F1A45" w14:textId="77777777" w:rsidR="004E2F51" w:rsidRPr="00131EA9" w:rsidRDefault="004E2F51" w:rsidP="00E032FC">
            <w:pPr>
              <w:tabs>
                <w:tab w:val="right" w:pos="1202"/>
              </w:tabs>
              <w:spacing w:line="220" w:lineRule="exact"/>
              <w:jc w:val="right"/>
              <w:outlineLvl w:val="0"/>
              <w:rPr>
                <w:rFonts w:ascii="Arial" w:eastAsia="Calibri" w:hAnsi="Arial" w:cs="Arial"/>
                <w:b/>
                <w:color w:val="000000" w:themeColor="text1"/>
                <w:sz w:val="17"/>
                <w:szCs w:val="17"/>
                <w:lang w:val="hr-HR"/>
              </w:rPr>
            </w:pPr>
            <w:r w:rsidRPr="00131EA9">
              <w:rPr>
                <w:rFonts w:ascii="Arial" w:eastAsia="Calibri" w:hAnsi="Arial" w:cs="Arial"/>
                <w:b/>
                <w:color w:val="000000" w:themeColor="text1"/>
                <w:sz w:val="17"/>
                <w:szCs w:val="17"/>
                <w:lang w:val="hr-HR"/>
              </w:rPr>
              <w:t>000 kuna</w:t>
            </w:r>
          </w:p>
        </w:tc>
      </w:tr>
      <w:tr w:rsidR="004E2F51" w:rsidRPr="00131EA9" w14:paraId="1DC6CA56" w14:textId="77777777" w:rsidTr="00E032FC">
        <w:trPr>
          <w:trHeight w:val="243"/>
        </w:trPr>
        <w:tc>
          <w:tcPr>
            <w:tcW w:w="2842" w:type="dxa"/>
            <w:tcMar>
              <w:top w:w="0" w:type="dxa"/>
              <w:left w:w="120" w:type="dxa"/>
              <w:bottom w:w="0" w:type="dxa"/>
              <w:right w:w="120" w:type="dxa"/>
            </w:tcMar>
          </w:tcPr>
          <w:p w14:paraId="324EF3A2" w14:textId="77777777" w:rsidR="004E2F51" w:rsidRPr="00131EA9" w:rsidRDefault="004E2F51" w:rsidP="00E032FC">
            <w:pPr>
              <w:tabs>
                <w:tab w:val="right" w:pos="1202"/>
              </w:tabs>
              <w:spacing w:line="240" w:lineRule="exact"/>
              <w:outlineLvl w:val="0"/>
              <w:rPr>
                <w:rFonts w:ascii="Arial" w:eastAsia="Calibri" w:hAnsi="Arial" w:cs="Arial"/>
                <w:b/>
                <w:color w:val="000000" w:themeColor="text1"/>
                <w:sz w:val="17"/>
                <w:szCs w:val="17"/>
                <w:lang w:val="hr-HR"/>
              </w:rPr>
            </w:pPr>
            <w:r w:rsidRPr="00131EA9">
              <w:rPr>
                <w:rFonts w:ascii="Arial" w:eastAsia="Calibri" w:hAnsi="Arial" w:cs="Arial"/>
                <w:b/>
                <w:color w:val="000000" w:themeColor="text1"/>
                <w:sz w:val="17"/>
                <w:szCs w:val="17"/>
                <w:lang w:val="hr-HR"/>
              </w:rPr>
              <w:t>Imovina</w:t>
            </w:r>
          </w:p>
        </w:tc>
        <w:tc>
          <w:tcPr>
            <w:tcW w:w="1010" w:type="dxa"/>
            <w:tcMar>
              <w:top w:w="0" w:type="dxa"/>
              <w:left w:w="120" w:type="dxa"/>
              <w:bottom w:w="0" w:type="dxa"/>
              <w:right w:w="120" w:type="dxa"/>
            </w:tcMar>
            <w:vAlign w:val="bottom"/>
          </w:tcPr>
          <w:p w14:paraId="19E55317"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p>
        </w:tc>
        <w:tc>
          <w:tcPr>
            <w:tcW w:w="1149" w:type="dxa"/>
            <w:tcMar>
              <w:top w:w="0" w:type="dxa"/>
              <w:left w:w="120" w:type="dxa"/>
              <w:bottom w:w="0" w:type="dxa"/>
              <w:right w:w="120" w:type="dxa"/>
            </w:tcMar>
            <w:vAlign w:val="bottom"/>
          </w:tcPr>
          <w:p w14:paraId="0DB15D8B"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p>
        </w:tc>
        <w:tc>
          <w:tcPr>
            <w:tcW w:w="1162" w:type="dxa"/>
            <w:tcMar>
              <w:top w:w="0" w:type="dxa"/>
              <w:left w:w="120" w:type="dxa"/>
              <w:bottom w:w="0" w:type="dxa"/>
              <w:right w:w="120" w:type="dxa"/>
            </w:tcMar>
            <w:vAlign w:val="bottom"/>
          </w:tcPr>
          <w:p w14:paraId="685E5C35"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p>
        </w:tc>
        <w:tc>
          <w:tcPr>
            <w:tcW w:w="1137" w:type="dxa"/>
            <w:tcMar>
              <w:top w:w="0" w:type="dxa"/>
              <w:left w:w="120" w:type="dxa"/>
              <w:bottom w:w="0" w:type="dxa"/>
              <w:right w:w="120" w:type="dxa"/>
            </w:tcMar>
            <w:vAlign w:val="bottom"/>
          </w:tcPr>
          <w:p w14:paraId="07045EBC"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p>
        </w:tc>
        <w:tc>
          <w:tcPr>
            <w:tcW w:w="1206" w:type="dxa"/>
            <w:tcMar>
              <w:top w:w="0" w:type="dxa"/>
              <w:left w:w="120" w:type="dxa"/>
              <w:bottom w:w="0" w:type="dxa"/>
              <w:right w:w="120" w:type="dxa"/>
            </w:tcMar>
            <w:vAlign w:val="bottom"/>
          </w:tcPr>
          <w:p w14:paraId="4DB300FA"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p>
        </w:tc>
        <w:tc>
          <w:tcPr>
            <w:tcW w:w="1231" w:type="dxa"/>
            <w:tcMar>
              <w:top w:w="0" w:type="dxa"/>
              <w:left w:w="120" w:type="dxa"/>
              <w:bottom w:w="0" w:type="dxa"/>
              <w:right w:w="120" w:type="dxa"/>
            </w:tcMar>
            <w:vAlign w:val="bottom"/>
          </w:tcPr>
          <w:p w14:paraId="673956E0"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p>
        </w:tc>
      </w:tr>
      <w:tr w:rsidR="004E2F51" w:rsidRPr="00131EA9" w14:paraId="1CAB9D90" w14:textId="77777777" w:rsidTr="00E032FC">
        <w:trPr>
          <w:trHeight w:val="181"/>
        </w:trPr>
        <w:tc>
          <w:tcPr>
            <w:tcW w:w="2842" w:type="dxa"/>
            <w:tcMar>
              <w:top w:w="0" w:type="dxa"/>
              <w:left w:w="120" w:type="dxa"/>
              <w:bottom w:w="0" w:type="dxa"/>
              <w:right w:w="120" w:type="dxa"/>
            </w:tcMar>
            <w:vAlign w:val="bottom"/>
          </w:tcPr>
          <w:p w14:paraId="6E4CFB7D"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r w:rsidRPr="00131EA9">
              <w:rPr>
                <w:rFonts w:ascii="Arial" w:eastAsia="Calibri" w:hAnsi="Arial" w:cs="Arial"/>
                <w:color w:val="000000" w:themeColor="text1"/>
                <w:spacing w:val="-2"/>
                <w:sz w:val="17"/>
                <w:szCs w:val="17"/>
                <w:lang w:val="hr-HR"/>
              </w:rPr>
              <w:t>Novčana sredstva i računi kod banaka</w:t>
            </w:r>
          </w:p>
        </w:tc>
        <w:tc>
          <w:tcPr>
            <w:tcW w:w="1010" w:type="dxa"/>
            <w:tcBorders>
              <w:top w:val="nil"/>
              <w:left w:val="nil"/>
              <w:right w:val="nil"/>
            </w:tcBorders>
            <w:tcMar>
              <w:top w:w="0" w:type="dxa"/>
              <w:left w:w="120" w:type="dxa"/>
              <w:bottom w:w="0" w:type="dxa"/>
              <w:right w:w="120" w:type="dxa"/>
            </w:tcMar>
            <w:vAlign w:val="bottom"/>
          </w:tcPr>
          <w:p w14:paraId="1A58D7BC"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55.583 </w:t>
            </w:r>
          </w:p>
        </w:tc>
        <w:tc>
          <w:tcPr>
            <w:tcW w:w="1149" w:type="dxa"/>
            <w:tcBorders>
              <w:top w:val="nil"/>
              <w:left w:val="nil"/>
              <w:right w:val="nil"/>
            </w:tcBorders>
            <w:tcMar>
              <w:top w:w="0" w:type="dxa"/>
              <w:left w:w="120" w:type="dxa"/>
              <w:bottom w:w="0" w:type="dxa"/>
              <w:right w:w="120" w:type="dxa"/>
            </w:tcMar>
            <w:vAlign w:val="bottom"/>
          </w:tcPr>
          <w:p w14:paraId="5D58FB5F"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25.337 </w:t>
            </w:r>
          </w:p>
        </w:tc>
        <w:tc>
          <w:tcPr>
            <w:tcW w:w="1162" w:type="dxa"/>
            <w:tcBorders>
              <w:top w:val="nil"/>
              <w:left w:val="nil"/>
              <w:right w:val="nil"/>
            </w:tcBorders>
            <w:tcMar>
              <w:top w:w="0" w:type="dxa"/>
              <w:left w:w="120" w:type="dxa"/>
              <w:bottom w:w="0" w:type="dxa"/>
              <w:right w:w="120" w:type="dxa"/>
            </w:tcMar>
            <w:vAlign w:val="bottom"/>
          </w:tcPr>
          <w:p w14:paraId="39B04E91"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137" w:type="dxa"/>
            <w:tcBorders>
              <w:top w:val="nil"/>
              <w:left w:val="nil"/>
              <w:right w:val="nil"/>
            </w:tcBorders>
            <w:tcMar>
              <w:top w:w="0" w:type="dxa"/>
              <w:left w:w="120" w:type="dxa"/>
              <w:bottom w:w="0" w:type="dxa"/>
              <w:right w:w="120" w:type="dxa"/>
            </w:tcMar>
            <w:vAlign w:val="bottom"/>
          </w:tcPr>
          <w:p w14:paraId="3BC2EF76"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80.920 </w:t>
            </w:r>
          </w:p>
        </w:tc>
        <w:tc>
          <w:tcPr>
            <w:tcW w:w="1206" w:type="dxa"/>
            <w:tcBorders>
              <w:top w:val="nil"/>
              <w:left w:val="nil"/>
              <w:right w:val="nil"/>
            </w:tcBorders>
            <w:tcMar>
              <w:top w:w="0" w:type="dxa"/>
              <w:left w:w="120" w:type="dxa"/>
              <w:bottom w:w="0" w:type="dxa"/>
              <w:right w:w="120" w:type="dxa"/>
            </w:tcMar>
            <w:vAlign w:val="bottom"/>
          </w:tcPr>
          <w:p w14:paraId="40695317"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1.881.066 </w:t>
            </w:r>
          </w:p>
        </w:tc>
        <w:tc>
          <w:tcPr>
            <w:tcW w:w="1231" w:type="dxa"/>
            <w:tcBorders>
              <w:top w:val="nil"/>
              <w:left w:val="nil"/>
            </w:tcBorders>
            <w:tcMar>
              <w:top w:w="0" w:type="dxa"/>
              <w:left w:w="120" w:type="dxa"/>
              <w:bottom w:w="0" w:type="dxa"/>
              <w:right w:w="120" w:type="dxa"/>
            </w:tcMar>
            <w:vAlign w:val="bottom"/>
          </w:tcPr>
          <w:p w14:paraId="23A56F4D"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1.961.986 </w:t>
            </w:r>
          </w:p>
        </w:tc>
      </w:tr>
      <w:tr w:rsidR="004E2F51" w:rsidRPr="00131EA9" w14:paraId="044DBB5F" w14:textId="77777777" w:rsidTr="00E032FC">
        <w:trPr>
          <w:trHeight w:val="243"/>
        </w:trPr>
        <w:tc>
          <w:tcPr>
            <w:tcW w:w="2842" w:type="dxa"/>
            <w:tcMar>
              <w:top w:w="0" w:type="dxa"/>
              <w:left w:w="120" w:type="dxa"/>
              <w:bottom w:w="0" w:type="dxa"/>
              <w:right w:w="120" w:type="dxa"/>
            </w:tcMar>
            <w:vAlign w:val="bottom"/>
          </w:tcPr>
          <w:p w14:paraId="7EC866D0"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r w:rsidRPr="00131EA9">
              <w:rPr>
                <w:rFonts w:ascii="Arial" w:eastAsia="Calibri" w:hAnsi="Arial" w:cs="Arial"/>
                <w:color w:val="000000" w:themeColor="text1"/>
                <w:spacing w:val="-2"/>
                <w:sz w:val="17"/>
                <w:szCs w:val="17"/>
                <w:lang w:val="hr-HR"/>
              </w:rPr>
              <w:t>Depoziti kod drugih banaka</w:t>
            </w:r>
          </w:p>
        </w:tc>
        <w:tc>
          <w:tcPr>
            <w:tcW w:w="1010" w:type="dxa"/>
            <w:tcBorders>
              <w:top w:val="nil"/>
              <w:left w:val="nil"/>
              <w:bottom w:val="nil"/>
              <w:right w:val="nil"/>
            </w:tcBorders>
            <w:tcMar>
              <w:top w:w="0" w:type="dxa"/>
              <w:left w:w="120" w:type="dxa"/>
              <w:bottom w:w="0" w:type="dxa"/>
              <w:right w:w="120" w:type="dxa"/>
            </w:tcMar>
            <w:vAlign w:val="bottom"/>
          </w:tcPr>
          <w:p w14:paraId="691D4108"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149" w:type="dxa"/>
            <w:tcBorders>
              <w:top w:val="nil"/>
              <w:left w:val="nil"/>
              <w:bottom w:val="nil"/>
              <w:right w:val="nil"/>
            </w:tcBorders>
            <w:tcMar>
              <w:top w:w="0" w:type="dxa"/>
              <w:left w:w="120" w:type="dxa"/>
              <w:bottom w:w="0" w:type="dxa"/>
              <w:right w:w="120" w:type="dxa"/>
            </w:tcMar>
            <w:vAlign w:val="bottom"/>
          </w:tcPr>
          <w:p w14:paraId="2254B955"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7.500 </w:t>
            </w:r>
          </w:p>
        </w:tc>
        <w:tc>
          <w:tcPr>
            <w:tcW w:w="1162" w:type="dxa"/>
            <w:tcBorders>
              <w:top w:val="nil"/>
              <w:left w:val="nil"/>
              <w:bottom w:val="nil"/>
              <w:right w:val="nil"/>
            </w:tcBorders>
            <w:tcMar>
              <w:top w:w="0" w:type="dxa"/>
              <w:left w:w="120" w:type="dxa"/>
              <w:bottom w:w="0" w:type="dxa"/>
              <w:right w:w="120" w:type="dxa"/>
            </w:tcMar>
            <w:vAlign w:val="bottom"/>
          </w:tcPr>
          <w:p w14:paraId="2756BB29"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4556E019"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7.500 </w:t>
            </w:r>
          </w:p>
        </w:tc>
        <w:tc>
          <w:tcPr>
            <w:tcW w:w="1206" w:type="dxa"/>
            <w:tcBorders>
              <w:top w:val="nil"/>
              <w:left w:val="nil"/>
              <w:bottom w:val="nil"/>
              <w:right w:val="nil"/>
            </w:tcBorders>
            <w:tcMar>
              <w:top w:w="0" w:type="dxa"/>
              <w:left w:w="120" w:type="dxa"/>
              <w:bottom w:w="0" w:type="dxa"/>
              <w:right w:w="120" w:type="dxa"/>
            </w:tcMar>
            <w:vAlign w:val="bottom"/>
          </w:tcPr>
          <w:p w14:paraId="30DFEE82"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231" w:type="dxa"/>
            <w:tcBorders>
              <w:top w:val="nil"/>
              <w:left w:val="nil"/>
              <w:bottom w:val="nil"/>
            </w:tcBorders>
            <w:tcMar>
              <w:top w:w="0" w:type="dxa"/>
              <w:left w:w="120" w:type="dxa"/>
              <w:bottom w:w="0" w:type="dxa"/>
              <w:right w:w="120" w:type="dxa"/>
            </w:tcMar>
            <w:vAlign w:val="bottom"/>
          </w:tcPr>
          <w:p w14:paraId="19CDB963"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7.500 </w:t>
            </w:r>
          </w:p>
        </w:tc>
      </w:tr>
      <w:tr w:rsidR="004E2F51" w:rsidRPr="00131EA9" w14:paraId="27505D8B" w14:textId="77777777" w:rsidTr="00E032FC">
        <w:trPr>
          <w:trHeight w:val="119"/>
        </w:trPr>
        <w:tc>
          <w:tcPr>
            <w:tcW w:w="2842" w:type="dxa"/>
            <w:tcMar>
              <w:top w:w="0" w:type="dxa"/>
              <w:left w:w="120" w:type="dxa"/>
              <w:bottom w:w="0" w:type="dxa"/>
              <w:right w:w="120" w:type="dxa"/>
            </w:tcMar>
            <w:vAlign w:val="bottom"/>
          </w:tcPr>
          <w:p w14:paraId="3519EC07"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r w:rsidRPr="00131EA9">
              <w:rPr>
                <w:rFonts w:ascii="Arial" w:eastAsia="Calibri" w:hAnsi="Arial" w:cs="Arial"/>
                <w:color w:val="000000" w:themeColor="text1"/>
                <w:spacing w:val="-2"/>
                <w:sz w:val="17"/>
                <w:szCs w:val="17"/>
                <w:lang w:val="hr-HR"/>
              </w:rPr>
              <w:t>Krediti financijskim institucijama</w:t>
            </w:r>
          </w:p>
        </w:tc>
        <w:tc>
          <w:tcPr>
            <w:tcW w:w="1010" w:type="dxa"/>
            <w:tcBorders>
              <w:top w:val="nil"/>
              <w:left w:val="nil"/>
              <w:bottom w:val="nil"/>
              <w:right w:val="nil"/>
            </w:tcBorders>
            <w:tcMar>
              <w:top w:w="0" w:type="dxa"/>
              <w:left w:w="120" w:type="dxa"/>
              <w:bottom w:w="0" w:type="dxa"/>
              <w:right w:w="120" w:type="dxa"/>
            </w:tcMar>
            <w:vAlign w:val="bottom"/>
          </w:tcPr>
          <w:p w14:paraId="3E808B14"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149" w:type="dxa"/>
            <w:tcBorders>
              <w:top w:val="nil"/>
              <w:left w:val="nil"/>
              <w:bottom w:val="nil"/>
              <w:right w:val="nil"/>
            </w:tcBorders>
            <w:tcMar>
              <w:top w:w="0" w:type="dxa"/>
              <w:left w:w="120" w:type="dxa"/>
              <w:bottom w:w="0" w:type="dxa"/>
              <w:right w:w="120" w:type="dxa"/>
            </w:tcMar>
            <w:vAlign w:val="bottom"/>
          </w:tcPr>
          <w:p w14:paraId="6464637E"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3.336.385 </w:t>
            </w:r>
          </w:p>
        </w:tc>
        <w:tc>
          <w:tcPr>
            <w:tcW w:w="1162" w:type="dxa"/>
            <w:tcBorders>
              <w:top w:val="nil"/>
              <w:left w:val="nil"/>
              <w:bottom w:val="nil"/>
              <w:right w:val="nil"/>
            </w:tcBorders>
            <w:tcMar>
              <w:top w:w="0" w:type="dxa"/>
              <w:left w:w="120" w:type="dxa"/>
              <w:bottom w:w="0" w:type="dxa"/>
              <w:right w:w="120" w:type="dxa"/>
            </w:tcMar>
            <w:vAlign w:val="bottom"/>
          </w:tcPr>
          <w:p w14:paraId="7A49C1D2"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7A9D8873"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3.336.385 </w:t>
            </w:r>
          </w:p>
        </w:tc>
        <w:tc>
          <w:tcPr>
            <w:tcW w:w="1206" w:type="dxa"/>
            <w:tcBorders>
              <w:top w:val="nil"/>
              <w:left w:val="nil"/>
              <w:bottom w:val="nil"/>
              <w:right w:val="nil"/>
            </w:tcBorders>
            <w:tcMar>
              <w:top w:w="0" w:type="dxa"/>
              <w:left w:w="120" w:type="dxa"/>
              <w:bottom w:w="0" w:type="dxa"/>
              <w:right w:w="120" w:type="dxa"/>
            </w:tcMar>
            <w:vAlign w:val="bottom"/>
          </w:tcPr>
          <w:p w14:paraId="0888AB07"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3.713.758 </w:t>
            </w:r>
          </w:p>
        </w:tc>
        <w:tc>
          <w:tcPr>
            <w:tcW w:w="1231" w:type="dxa"/>
            <w:tcBorders>
              <w:top w:val="nil"/>
              <w:left w:val="nil"/>
              <w:bottom w:val="nil"/>
            </w:tcBorders>
            <w:tcMar>
              <w:top w:w="0" w:type="dxa"/>
              <w:left w:w="120" w:type="dxa"/>
              <w:bottom w:w="0" w:type="dxa"/>
              <w:right w:w="120" w:type="dxa"/>
            </w:tcMar>
            <w:vAlign w:val="bottom"/>
          </w:tcPr>
          <w:p w14:paraId="7E15D9C5"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7.050.143 </w:t>
            </w:r>
          </w:p>
        </w:tc>
      </w:tr>
      <w:tr w:rsidR="004E2F51" w:rsidRPr="00131EA9" w14:paraId="631A0894" w14:textId="77777777" w:rsidTr="00E032FC">
        <w:trPr>
          <w:trHeight w:val="71"/>
        </w:trPr>
        <w:tc>
          <w:tcPr>
            <w:tcW w:w="2842" w:type="dxa"/>
            <w:tcMar>
              <w:top w:w="0" w:type="dxa"/>
              <w:left w:w="120" w:type="dxa"/>
              <w:bottom w:w="0" w:type="dxa"/>
              <w:right w:w="120" w:type="dxa"/>
            </w:tcMar>
            <w:vAlign w:val="bottom"/>
          </w:tcPr>
          <w:p w14:paraId="51216474"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r w:rsidRPr="00131EA9">
              <w:rPr>
                <w:rFonts w:ascii="Arial" w:eastAsia="Calibri" w:hAnsi="Arial" w:cs="Arial"/>
                <w:color w:val="000000" w:themeColor="text1"/>
                <w:spacing w:val="-2"/>
                <w:sz w:val="17"/>
                <w:szCs w:val="17"/>
                <w:lang w:val="hr-HR"/>
              </w:rPr>
              <w:t>Krediti ostalim korisnicima</w:t>
            </w:r>
          </w:p>
        </w:tc>
        <w:tc>
          <w:tcPr>
            <w:tcW w:w="1010" w:type="dxa"/>
            <w:tcBorders>
              <w:top w:val="nil"/>
              <w:left w:val="nil"/>
              <w:bottom w:val="nil"/>
              <w:right w:val="nil"/>
            </w:tcBorders>
            <w:tcMar>
              <w:top w:w="0" w:type="dxa"/>
              <w:left w:w="120" w:type="dxa"/>
              <w:bottom w:w="0" w:type="dxa"/>
              <w:right w:w="120" w:type="dxa"/>
            </w:tcMar>
            <w:vAlign w:val="bottom"/>
          </w:tcPr>
          <w:p w14:paraId="09179082"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225.452 </w:t>
            </w:r>
          </w:p>
        </w:tc>
        <w:tc>
          <w:tcPr>
            <w:tcW w:w="1149" w:type="dxa"/>
            <w:tcBorders>
              <w:top w:val="nil"/>
              <w:left w:val="nil"/>
              <w:bottom w:val="nil"/>
              <w:right w:val="nil"/>
            </w:tcBorders>
            <w:tcMar>
              <w:top w:w="0" w:type="dxa"/>
              <w:left w:w="120" w:type="dxa"/>
              <w:bottom w:w="0" w:type="dxa"/>
              <w:right w:w="120" w:type="dxa"/>
            </w:tcMar>
            <w:vAlign w:val="bottom"/>
          </w:tcPr>
          <w:p w14:paraId="680F80F3"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9.745.523 </w:t>
            </w:r>
          </w:p>
        </w:tc>
        <w:tc>
          <w:tcPr>
            <w:tcW w:w="1162" w:type="dxa"/>
            <w:tcBorders>
              <w:top w:val="nil"/>
              <w:left w:val="nil"/>
              <w:bottom w:val="nil"/>
              <w:right w:val="nil"/>
            </w:tcBorders>
            <w:tcMar>
              <w:top w:w="0" w:type="dxa"/>
              <w:left w:w="120" w:type="dxa"/>
              <w:bottom w:w="0" w:type="dxa"/>
              <w:right w:w="120" w:type="dxa"/>
            </w:tcMar>
            <w:vAlign w:val="bottom"/>
          </w:tcPr>
          <w:p w14:paraId="35D2CD2F"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731654EB"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9.970.975 </w:t>
            </w:r>
          </w:p>
        </w:tc>
        <w:tc>
          <w:tcPr>
            <w:tcW w:w="1206" w:type="dxa"/>
            <w:tcBorders>
              <w:top w:val="nil"/>
              <w:left w:val="nil"/>
              <w:bottom w:val="nil"/>
              <w:right w:val="nil"/>
            </w:tcBorders>
            <w:tcMar>
              <w:top w:w="0" w:type="dxa"/>
              <w:left w:w="120" w:type="dxa"/>
              <w:bottom w:w="0" w:type="dxa"/>
              <w:right w:w="120" w:type="dxa"/>
            </w:tcMar>
            <w:vAlign w:val="bottom"/>
          </w:tcPr>
          <w:p w14:paraId="3AC4BB33"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5.993.401 </w:t>
            </w:r>
          </w:p>
        </w:tc>
        <w:tc>
          <w:tcPr>
            <w:tcW w:w="1231" w:type="dxa"/>
            <w:tcBorders>
              <w:top w:val="nil"/>
              <w:left w:val="nil"/>
              <w:bottom w:val="nil"/>
            </w:tcBorders>
            <w:tcMar>
              <w:top w:w="0" w:type="dxa"/>
              <w:left w:w="120" w:type="dxa"/>
              <w:bottom w:w="0" w:type="dxa"/>
              <w:right w:w="120" w:type="dxa"/>
            </w:tcMar>
            <w:vAlign w:val="bottom"/>
          </w:tcPr>
          <w:p w14:paraId="284E68DF"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15.964.376 </w:t>
            </w:r>
          </w:p>
        </w:tc>
      </w:tr>
      <w:tr w:rsidR="004E2F51" w:rsidRPr="00131EA9" w14:paraId="30D21759" w14:textId="77777777" w:rsidTr="00E032FC">
        <w:trPr>
          <w:trHeight w:val="227"/>
        </w:trPr>
        <w:tc>
          <w:tcPr>
            <w:tcW w:w="2842" w:type="dxa"/>
            <w:tcMar>
              <w:top w:w="0" w:type="dxa"/>
              <w:left w:w="120" w:type="dxa"/>
              <w:bottom w:w="0" w:type="dxa"/>
              <w:right w:w="120" w:type="dxa"/>
            </w:tcMar>
            <w:vAlign w:val="bottom"/>
          </w:tcPr>
          <w:p w14:paraId="78C8003C"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pacing w:val="-2"/>
                <w:sz w:val="17"/>
                <w:szCs w:val="17"/>
                <w:lang w:val="hr-HR"/>
              </w:rPr>
            </w:pPr>
            <w:r w:rsidRPr="00131EA9">
              <w:rPr>
                <w:rFonts w:ascii="Arial" w:eastAsia="Calibri" w:hAnsi="Arial" w:cs="Arial"/>
                <w:color w:val="000000" w:themeColor="text1"/>
                <w:sz w:val="17"/>
                <w:szCs w:val="17"/>
                <w:lang w:val="hr-HR"/>
              </w:rPr>
              <w:t>Financijska imovina po fer vrijednosti kroz dobit ili gubitak</w:t>
            </w:r>
          </w:p>
        </w:tc>
        <w:tc>
          <w:tcPr>
            <w:tcW w:w="1010" w:type="dxa"/>
            <w:tcBorders>
              <w:top w:val="nil"/>
              <w:left w:val="nil"/>
              <w:bottom w:val="nil"/>
              <w:right w:val="nil"/>
            </w:tcBorders>
            <w:tcMar>
              <w:top w:w="0" w:type="dxa"/>
              <w:left w:w="120" w:type="dxa"/>
              <w:bottom w:w="0" w:type="dxa"/>
              <w:right w:w="120" w:type="dxa"/>
            </w:tcMar>
            <w:vAlign w:val="bottom"/>
          </w:tcPr>
          <w:p w14:paraId="2BBE0246"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16.044 </w:t>
            </w:r>
          </w:p>
        </w:tc>
        <w:tc>
          <w:tcPr>
            <w:tcW w:w="1149" w:type="dxa"/>
            <w:tcBorders>
              <w:top w:val="nil"/>
              <w:left w:val="nil"/>
              <w:bottom w:val="nil"/>
              <w:right w:val="nil"/>
            </w:tcBorders>
            <w:tcMar>
              <w:top w:w="0" w:type="dxa"/>
              <w:left w:w="120" w:type="dxa"/>
              <w:bottom w:w="0" w:type="dxa"/>
              <w:right w:w="120" w:type="dxa"/>
            </w:tcMar>
            <w:vAlign w:val="bottom"/>
          </w:tcPr>
          <w:p w14:paraId="3369F04D"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100.103 </w:t>
            </w:r>
          </w:p>
        </w:tc>
        <w:tc>
          <w:tcPr>
            <w:tcW w:w="1162" w:type="dxa"/>
            <w:tcBorders>
              <w:top w:val="nil"/>
              <w:left w:val="nil"/>
              <w:bottom w:val="nil"/>
              <w:right w:val="nil"/>
            </w:tcBorders>
            <w:tcMar>
              <w:top w:w="0" w:type="dxa"/>
              <w:left w:w="120" w:type="dxa"/>
              <w:bottom w:w="0" w:type="dxa"/>
              <w:right w:w="120" w:type="dxa"/>
            </w:tcMar>
            <w:vAlign w:val="bottom"/>
          </w:tcPr>
          <w:p w14:paraId="02348EA5"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35510D29"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116.147 </w:t>
            </w:r>
          </w:p>
        </w:tc>
        <w:tc>
          <w:tcPr>
            <w:tcW w:w="1206" w:type="dxa"/>
            <w:tcBorders>
              <w:top w:val="nil"/>
              <w:left w:val="nil"/>
              <w:bottom w:val="nil"/>
              <w:right w:val="nil"/>
            </w:tcBorders>
            <w:tcMar>
              <w:top w:w="0" w:type="dxa"/>
              <w:left w:w="120" w:type="dxa"/>
              <w:bottom w:w="0" w:type="dxa"/>
              <w:right w:w="120" w:type="dxa"/>
            </w:tcMar>
            <w:vAlign w:val="bottom"/>
          </w:tcPr>
          <w:p w14:paraId="0172A0BD"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102.837 </w:t>
            </w:r>
          </w:p>
        </w:tc>
        <w:tc>
          <w:tcPr>
            <w:tcW w:w="1231" w:type="dxa"/>
            <w:tcBorders>
              <w:top w:val="nil"/>
              <w:left w:val="nil"/>
              <w:bottom w:val="nil"/>
            </w:tcBorders>
            <w:tcMar>
              <w:top w:w="0" w:type="dxa"/>
              <w:left w:w="120" w:type="dxa"/>
              <w:bottom w:w="0" w:type="dxa"/>
              <w:right w:w="120" w:type="dxa"/>
            </w:tcMar>
            <w:vAlign w:val="bottom"/>
          </w:tcPr>
          <w:p w14:paraId="258D17AD"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218.984 </w:t>
            </w:r>
          </w:p>
        </w:tc>
      </w:tr>
      <w:tr w:rsidR="004E2F51" w:rsidRPr="00131EA9" w14:paraId="17F12F65" w14:textId="77777777" w:rsidTr="00E032FC">
        <w:trPr>
          <w:trHeight w:val="243"/>
        </w:trPr>
        <w:tc>
          <w:tcPr>
            <w:tcW w:w="2842" w:type="dxa"/>
            <w:tcMar>
              <w:top w:w="0" w:type="dxa"/>
              <w:left w:w="120" w:type="dxa"/>
              <w:bottom w:w="0" w:type="dxa"/>
              <w:right w:w="120" w:type="dxa"/>
            </w:tcMar>
            <w:vAlign w:val="bottom"/>
          </w:tcPr>
          <w:p w14:paraId="06D68BF6"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r w:rsidRPr="00131EA9">
              <w:rPr>
                <w:rFonts w:ascii="Arial" w:eastAsia="Calibri" w:hAnsi="Arial" w:cs="Arial"/>
                <w:color w:val="000000" w:themeColor="text1"/>
                <w:sz w:val="17"/>
                <w:szCs w:val="17"/>
                <w:lang w:val="hr-HR"/>
              </w:rPr>
              <w:t>Financijska imovina po fer vrijednosti kroz ostalu sveobuhvatnu dobit</w:t>
            </w:r>
          </w:p>
        </w:tc>
        <w:tc>
          <w:tcPr>
            <w:tcW w:w="1010" w:type="dxa"/>
            <w:tcBorders>
              <w:top w:val="nil"/>
              <w:left w:val="nil"/>
              <w:bottom w:val="nil"/>
              <w:right w:val="nil"/>
            </w:tcBorders>
            <w:tcMar>
              <w:top w:w="0" w:type="dxa"/>
              <w:left w:w="120" w:type="dxa"/>
              <w:bottom w:w="0" w:type="dxa"/>
              <w:right w:w="120" w:type="dxa"/>
            </w:tcMar>
            <w:vAlign w:val="bottom"/>
          </w:tcPr>
          <w:p w14:paraId="6FC4174C"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149" w:type="dxa"/>
            <w:tcBorders>
              <w:top w:val="nil"/>
              <w:left w:val="nil"/>
              <w:bottom w:val="nil"/>
              <w:right w:val="nil"/>
            </w:tcBorders>
            <w:tcMar>
              <w:top w:w="0" w:type="dxa"/>
              <w:left w:w="120" w:type="dxa"/>
              <w:bottom w:w="0" w:type="dxa"/>
              <w:right w:w="120" w:type="dxa"/>
            </w:tcMar>
            <w:vAlign w:val="bottom"/>
          </w:tcPr>
          <w:p w14:paraId="50BEA646"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827.581 </w:t>
            </w:r>
          </w:p>
        </w:tc>
        <w:tc>
          <w:tcPr>
            <w:tcW w:w="1162" w:type="dxa"/>
            <w:tcBorders>
              <w:top w:val="nil"/>
              <w:left w:val="nil"/>
              <w:bottom w:val="nil"/>
              <w:right w:val="nil"/>
            </w:tcBorders>
            <w:tcMar>
              <w:top w:w="0" w:type="dxa"/>
              <w:left w:w="120" w:type="dxa"/>
              <w:bottom w:w="0" w:type="dxa"/>
              <w:right w:w="120" w:type="dxa"/>
            </w:tcMar>
            <w:vAlign w:val="bottom"/>
          </w:tcPr>
          <w:p w14:paraId="3CFD9DA0"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6894E6ED"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827.581 </w:t>
            </w:r>
          </w:p>
        </w:tc>
        <w:tc>
          <w:tcPr>
            <w:tcW w:w="1206" w:type="dxa"/>
            <w:tcBorders>
              <w:top w:val="nil"/>
              <w:left w:val="nil"/>
              <w:bottom w:val="nil"/>
              <w:right w:val="nil"/>
            </w:tcBorders>
            <w:tcMar>
              <w:top w:w="0" w:type="dxa"/>
              <w:left w:w="120" w:type="dxa"/>
              <w:bottom w:w="0" w:type="dxa"/>
              <w:right w:w="120" w:type="dxa"/>
            </w:tcMar>
            <w:vAlign w:val="bottom"/>
          </w:tcPr>
          <w:p w14:paraId="336C1034"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2.144.949 </w:t>
            </w:r>
          </w:p>
        </w:tc>
        <w:tc>
          <w:tcPr>
            <w:tcW w:w="1231" w:type="dxa"/>
            <w:tcBorders>
              <w:top w:val="nil"/>
              <w:left w:val="nil"/>
              <w:bottom w:val="nil"/>
            </w:tcBorders>
            <w:tcMar>
              <w:top w:w="0" w:type="dxa"/>
              <w:left w:w="120" w:type="dxa"/>
              <w:bottom w:w="0" w:type="dxa"/>
              <w:right w:w="120" w:type="dxa"/>
            </w:tcMar>
            <w:vAlign w:val="bottom"/>
          </w:tcPr>
          <w:p w14:paraId="53B66944"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2.972.530 </w:t>
            </w:r>
          </w:p>
        </w:tc>
      </w:tr>
      <w:tr w:rsidR="004E2F51" w:rsidRPr="00131EA9" w14:paraId="28702766" w14:textId="77777777" w:rsidTr="00E032FC">
        <w:trPr>
          <w:trHeight w:val="472"/>
        </w:trPr>
        <w:tc>
          <w:tcPr>
            <w:tcW w:w="2842" w:type="dxa"/>
            <w:tcMar>
              <w:top w:w="0" w:type="dxa"/>
              <w:left w:w="120" w:type="dxa"/>
              <w:bottom w:w="0" w:type="dxa"/>
              <w:right w:w="120" w:type="dxa"/>
            </w:tcMar>
            <w:vAlign w:val="bottom"/>
          </w:tcPr>
          <w:p w14:paraId="1AB3F96E"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r w:rsidRPr="00131EA9">
              <w:rPr>
                <w:rFonts w:ascii="Arial" w:eastAsia="Calibri" w:hAnsi="Arial" w:cs="Arial"/>
                <w:color w:val="000000" w:themeColor="text1"/>
                <w:spacing w:val="-2"/>
                <w:sz w:val="17"/>
                <w:szCs w:val="17"/>
                <w:lang w:val="hr-HR"/>
              </w:rPr>
              <w:t>Nekretnine, postrojenja i oprema i nematerijalna imovina</w:t>
            </w:r>
          </w:p>
        </w:tc>
        <w:tc>
          <w:tcPr>
            <w:tcW w:w="1010" w:type="dxa"/>
            <w:tcBorders>
              <w:top w:val="nil"/>
              <w:left w:val="nil"/>
              <w:bottom w:val="nil"/>
              <w:right w:val="nil"/>
            </w:tcBorders>
            <w:tcMar>
              <w:top w:w="0" w:type="dxa"/>
              <w:left w:w="120" w:type="dxa"/>
              <w:bottom w:w="0" w:type="dxa"/>
              <w:right w:w="120" w:type="dxa"/>
            </w:tcMar>
            <w:vAlign w:val="bottom"/>
          </w:tcPr>
          <w:p w14:paraId="0574AC3C"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149" w:type="dxa"/>
            <w:tcBorders>
              <w:top w:val="nil"/>
              <w:left w:val="nil"/>
              <w:bottom w:val="nil"/>
              <w:right w:val="nil"/>
            </w:tcBorders>
            <w:tcMar>
              <w:top w:w="0" w:type="dxa"/>
              <w:left w:w="120" w:type="dxa"/>
              <w:bottom w:w="0" w:type="dxa"/>
              <w:right w:w="120" w:type="dxa"/>
            </w:tcMar>
            <w:vAlign w:val="bottom"/>
          </w:tcPr>
          <w:p w14:paraId="680020E8"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162" w:type="dxa"/>
            <w:tcBorders>
              <w:top w:val="nil"/>
              <w:left w:val="nil"/>
              <w:bottom w:val="nil"/>
              <w:right w:val="nil"/>
            </w:tcBorders>
            <w:tcMar>
              <w:top w:w="0" w:type="dxa"/>
              <w:left w:w="120" w:type="dxa"/>
              <w:bottom w:w="0" w:type="dxa"/>
              <w:right w:w="120" w:type="dxa"/>
            </w:tcMar>
            <w:vAlign w:val="bottom"/>
          </w:tcPr>
          <w:p w14:paraId="67FB5D70"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313C86E0"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206" w:type="dxa"/>
            <w:tcBorders>
              <w:top w:val="nil"/>
              <w:left w:val="nil"/>
              <w:bottom w:val="nil"/>
              <w:right w:val="nil"/>
            </w:tcBorders>
            <w:tcMar>
              <w:top w:w="0" w:type="dxa"/>
              <w:left w:w="120" w:type="dxa"/>
              <w:bottom w:w="0" w:type="dxa"/>
              <w:right w:w="120" w:type="dxa"/>
            </w:tcMar>
            <w:vAlign w:val="bottom"/>
          </w:tcPr>
          <w:p w14:paraId="7A0F1C82"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43.937 </w:t>
            </w:r>
          </w:p>
        </w:tc>
        <w:tc>
          <w:tcPr>
            <w:tcW w:w="1231" w:type="dxa"/>
            <w:tcBorders>
              <w:top w:val="nil"/>
              <w:left w:val="nil"/>
              <w:bottom w:val="nil"/>
            </w:tcBorders>
            <w:tcMar>
              <w:top w:w="0" w:type="dxa"/>
              <w:left w:w="120" w:type="dxa"/>
              <w:bottom w:w="0" w:type="dxa"/>
              <w:right w:w="120" w:type="dxa"/>
            </w:tcMar>
            <w:vAlign w:val="bottom"/>
          </w:tcPr>
          <w:p w14:paraId="30C59EF7"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43.937 </w:t>
            </w:r>
          </w:p>
        </w:tc>
      </w:tr>
      <w:tr w:rsidR="004E2F51" w:rsidRPr="00131EA9" w14:paraId="2FA59C0F" w14:textId="77777777" w:rsidTr="00E032FC">
        <w:trPr>
          <w:trHeight w:val="237"/>
        </w:trPr>
        <w:tc>
          <w:tcPr>
            <w:tcW w:w="2842" w:type="dxa"/>
            <w:tcMar>
              <w:top w:w="0" w:type="dxa"/>
              <w:left w:w="120" w:type="dxa"/>
              <w:bottom w:w="0" w:type="dxa"/>
              <w:right w:w="120" w:type="dxa"/>
            </w:tcMar>
            <w:vAlign w:val="bottom"/>
          </w:tcPr>
          <w:p w14:paraId="71A43A56"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r w:rsidRPr="00131EA9">
              <w:rPr>
                <w:rFonts w:ascii="Arial" w:eastAsia="Calibri" w:hAnsi="Arial" w:cs="Arial"/>
                <w:color w:val="000000" w:themeColor="text1"/>
                <w:spacing w:val="-2"/>
                <w:sz w:val="17"/>
                <w:szCs w:val="17"/>
                <w:lang w:val="hr-HR"/>
              </w:rPr>
              <w:t>Preuzeta imovina</w:t>
            </w:r>
          </w:p>
        </w:tc>
        <w:tc>
          <w:tcPr>
            <w:tcW w:w="1010" w:type="dxa"/>
            <w:tcBorders>
              <w:top w:val="nil"/>
              <w:left w:val="nil"/>
              <w:bottom w:val="nil"/>
              <w:right w:val="nil"/>
            </w:tcBorders>
            <w:tcMar>
              <w:top w:w="0" w:type="dxa"/>
              <w:left w:w="120" w:type="dxa"/>
              <w:bottom w:w="0" w:type="dxa"/>
              <w:right w:w="120" w:type="dxa"/>
            </w:tcMar>
            <w:vAlign w:val="bottom"/>
          </w:tcPr>
          <w:p w14:paraId="445EDD9E"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149" w:type="dxa"/>
            <w:tcBorders>
              <w:top w:val="nil"/>
              <w:left w:val="nil"/>
              <w:bottom w:val="nil"/>
              <w:right w:val="nil"/>
            </w:tcBorders>
            <w:tcMar>
              <w:top w:w="0" w:type="dxa"/>
              <w:left w:w="120" w:type="dxa"/>
              <w:bottom w:w="0" w:type="dxa"/>
              <w:right w:w="120" w:type="dxa"/>
            </w:tcMar>
            <w:vAlign w:val="bottom"/>
          </w:tcPr>
          <w:p w14:paraId="0668D14A"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162" w:type="dxa"/>
            <w:tcBorders>
              <w:top w:val="nil"/>
              <w:left w:val="nil"/>
              <w:bottom w:val="nil"/>
              <w:right w:val="nil"/>
            </w:tcBorders>
            <w:tcMar>
              <w:top w:w="0" w:type="dxa"/>
              <w:left w:w="120" w:type="dxa"/>
              <w:bottom w:w="0" w:type="dxa"/>
              <w:right w:w="120" w:type="dxa"/>
            </w:tcMar>
            <w:vAlign w:val="bottom"/>
          </w:tcPr>
          <w:p w14:paraId="7E31C405"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5639E03D"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206" w:type="dxa"/>
            <w:tcBorders>
              <w:top w:val="nil"/>
              <w:left w:val="nil"/>
              <w:bottom w:val="nil"/>
              <w:right w:val="nil"/>
            </w:tcBorders>
            <w:tcMar>
              <w:top w:w="0" w:type="dxa"/>
              <w:left w:w="120" w:type="dxa"/>
              <w:bottom w:w="0" w:type="dxa"/>
              <w:right w:w="120" w:type="dxa"/>
            </w:tcMar>
            <w:vAlign w:val="bottom"/>
          </w:tcPr>
          <w:p w14:paraId="055C57B6"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21.369 </w:t>
            </w:r>
          </w:p>
        </w:tc>
        <w:tc>
          <w:tcPr>
            <w:tcW w:w="1231" w:type="dxa"/>
            <w:tcBorders>
              <w:top w:val="nil"/>
              <w:left w:val="nil"/>
              <w:bottom w:val="nil"/>
            </w:tcBorders>
            <w:tcMar>
              <w:top w:w="0" w:type="dxa"/>
              <w:left w:w="120" w:type="dxa"/>
              <w:bottom w:w="0" w:type="dxa"/>
              <w:right w:w="120" w:type="dxa"/>
            </w:tcMar>
            <w:vAlign w:val="bottom"/>
          </w:tcPr>
          <w:p w14:paraId="429D8289"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21.369 </w:t>
            </w:r>
          </w:p>
        </w:tc>
      </w:tr>
      <w:tr w:rsidR="004E2F51" w:rsidRPr="00131EA9" w14:paraId="784CE74D" w14:textId="77777777" w:rsidTr="00E032FC">
        <w:trPr>
          <w:trHeight w:val="227"/>
        </w:trPr>
        <w:tc>
          <w:tcPr>
            <w:tcW w:w="2842" w:type="dxa"/>
            <w:tcMar>
              <w:top w:w="0" w:type="dxa"/>
              <w:left w:w="120" w:type="dxa"/>
              <w:bottom w:w="0" w:type="dxa"/>
              <w:right w:w="120" w:type="dxa"/>
            </w:tcMar>
            <w:vAlign w:val="bottom"/>
          </w:tcPr>
          <w:p w14:paraId="7F60C090"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r w:rsidRPr="00131EA9">
              <w:rPr>
                <w:rFonts w:ascii="Arial" w:eastAsia="Calibri" w:hAnsi="Arial" w:cs="Arial"/>
                <w:color w:val="000000" w:themeColor="text1"/>
                <w:spacing w:val="-2"/>
                <w:sz w:val="17"/>
                <w:szCs w:val="17"/>
                <w:lang w:val="hr-HR"/>
              </w:rPr>
              <w:t>Ostala imovina</w:t>
            </w:r>
          </w:p>
        </w:tc>
        <w:tc>
          <w:tcPr>
            <w:tcW w:w="1010" w:type="dxa"/>
            <w:tcBorders>
              <w:top w:val="nil"/>
              <w:left w:val="nil"/>
              <w:bottom w:val="nil"/>
              <w:right w:val="nil"/>
            </w:tcBorders>
            <w:tcMar>
              <w:top w:w="0" w:type="dxa"/>
              <w:left w:w="120" w:type="dxa"/>
              <w:bottom w:w="0" w:type="dxa"/>
              <w:right w:w="120" w:type="dxa"/>
            </w:tcMar>
            <w:vAlign w:val="bottom"/>
          </w:tcPr>
          <w:p w14:paraId="3DC861B4"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149" w:type="dxa"/>
            <w:tcBorders>
              <w:top w:val="nil"/>
              <w:left w:val="nil"/>
              <w:bottom w:val="nil"/>
              <w:right w:val="nil"/>
            </w:tcBorders>
            <w:tcMar>
              <w:top w:w="0" w:type="dxa"/>
              <w:left w:w="120" w:type="dxa"/>
              <w:bottom w:w="0" w:type="dxa"/>
              <w:right w:w="120" w:type="dxa"/>
            </w:tcMar>
            <w:vAlign w:val="bottom"/>
          </w:tcPr>
          <w:p w14:paraId="4B5906F0"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1.372 </w:t>
            </w:r>
          </w:p>
        </w:tc>
        <w:tc>
          <w:tcPr>
            <w:tcW w:w="1162" w:type="dxa"/>
            <w:tcBorders>
              <w:top w:val="nil"/>
              <w:left w:val="nil"/>
              <w:bottom w:val="nil"/>
              <w:right w:val="nil"/>
            </w:tcBorders>
            <w:tcMar>
              <w:top w:w="0" w:type="dxa"/>
              <w:left w:w="120" w:type="dxa"/>
              <w:bottom w:w="0" w:type="dxa"/>
              <w:right w:w="120" w:type="dxa"/>
            </w:tcMar>
            <w:vAlign w:val="bottom"/>
          </w:tcPr>
          <w:p w14:paraId="316C0925"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18A78FC2"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1.372 </w:t>
            </w:r>
          </w:p>
        </w:tc>
        <w:tc>
          <w:tcPr>
            <w:tcW w:w="1206" w:type="dxa"/>
            <w:tcBorders>
              <w:top w:val="nil"/>
              <w:left w:val="nil"/>
              <w:bottom w:val="nil"/>
              <w:right w:val="nil"/>
            </w:tcBorders>
            <w:tcMar>
              <w:top w:w="0" w:type="dxa"/>
              <w:left w:w="120" w:type="dxa"/>
              <w:bottom w:w="0" w:type="dxa"/>
              <w:right w:w="120" w:type="dxa"/>
            </w:tcMar>
            <w:vAlign w:val="bottom"/>
          </w:tcPr>
          <w:p w14:paraId="6F42CB9B"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36.165 </w:t>
            </w:r>
          </w:p>
        </w:tc>
        <w:tc>
          <w:tcPr>
            <w:tcW w:w="1231" w:type="dxa"/>
            <w:tcBorders>
              <w:top w:val="nil"/>
              <w:left w:val="nil"/>
              <w:bottom w:val="nil"/>
            </w:tcBorders>
            <w:tcMar>
              <w:top w:w="0" w:type="dxa"/>
              <w:left w:w="120" w:type="dxa"/>
              <w:bottom w:w="0" w:type="dxa"/>
              <w:right w:w="120" w:type="dxa"/>
            </w:tcMar>
            <w:vAlign w:val="bottom"/>
          </w:tcPr>
          <w:p w14:paraId="7089FA1C"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37.537 </w:t>
            </w:r>
          </w:p>
        </w:tc>
      </w:tr>
      <w:tr w:rsidR="004E2F51" w:rsidRPr="00131EA9" w14:paraId="10E68831" w14:textId="77777777" w:rsidTr="00E032FC">
        <w:trPr>
          <w:trHeight w:val="289"/>
        </w:trPr>
        <w:tc>
          <w:tcPr>
            <w:tcW w:w="2842" w:type="dxa"/>
            <w:tcMar>
              <w:top w:w="0" w:type="dxa"/>
              <w:left w:w="120" w:type="dxa"/>
              <w:bottom w:w="0" w:type="dxa"/>
              <w:right w:w="120" w:type="dxa"/>
            </w:tcMar>
            <w:vAlign w:val="bottom"/>
          </w:tcPr>
          <w:p w14:paraId="39525ACD" w14:textId="77777777" w:rsidR="004E2F51" w:rsidRPr="00131EA9" w:rsidRDefault="004E2F51" w:rsidP="00E032FC">
            <w:pPr>
              <w:tabs>
                <w:tab w:val="right" w:pos="1202"/>
              </w:tabs>
              <w:spacing w:line="240" w:lineRule="exact"/>
              <w:outlineLvl w:val="0"/>
              <w:rPr>
                <w:rFonts w:ascii="Arial" w:eastAsia="Calibri" w:hAnsi="Arial" w:cs="Arial"/>
                <w:b/>
                <w:bCs/>
                <w:color w:val="000000" w:themeColor="text1"/>
                <w:sz w:val="17"/>
                <w:szCs w:val="17"/>
                <w:lang w:val="hr-HR"/>
              </w:rPr>
            </w:pPr>
            <w:r w:rsidRPr="00131EA9">
              <w:rPr>
                <w:rFonts w:ascii="Arial" w:eastAsia="Calibri" w:hAnsi="Arial" w:cs="Arial"/>
                <w:b/>
                <w:bCs/>
                <w:color w:val="000000" w:themeColor="text1"/>
                <w:sz w:val="17"/>
                <w:szCs w:val="17"/>
                <w:lang w:val="hr-HR"/>
              </w:rPr>
              <w:t xml:space="preserve">Ukupna imovina </w:t>
            </w:r>
          </w:p>
        </w:tc>
        <w:tc>
          <w:tcPr>
            <w:tcW w:w="1010" w:type="dxa"/>
            <w:tcBorders>
              <w:top w:val="single" w:sz="4" w:space="0" w:color="000000"/>
              <w:bottom w:val="single" w:sz="8" w:space="0" w:color="000000"/>
            </w:tcBorders>
            <w:tcMar>
              <w:top w:w="0" w:type="dxa"/>
              <w:left w:w="120" w:type="dxa"/>
              <w:bottom w:w="0" w:type="dxa"/>
              <w:right w:w="120" w:type="dxa"/>
            </w:tcMar>
            <w:vAlign w:val="bottom"/>
          </w:tcPr>
          <w:p w14:paraId="27723E9E"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131EA9">
              <w:rPr>
                <w:rFonts w:ascii="Arial" w:eastAsia="Arial Unicode MS" w:hAnsi="Arial" w:cs="Arial"/>
                <w:b/>
                <w:bCs/>
                <w:color w:val="000000" w:themeColor="text1"/>
                <w:sz w:val="17"/>
                <w:szCs w:val="17"/>
                <w:lang w:val="hr-HR"/>
              </w:rPr>
              <w:t xml:space="preserve">297.079 </w:t>
            </w:r>
          </w:p>
        </w:tc>
        <w:tc>
          <w:tcPr>
            <w:tcW w:w="1149" w:type="dxa"/>
            <w:tcBorders>
              <w:top w:val="single" w:sz="4" w:space="0" w:color="000000"/>
              <w:bottom w:val="single" w:sz="8" w:space="0" w:color="000000"/>
            </w:tcBorders>
            <w:tcMar>
              <w:top w:w="0" w:type="dxa"/>
              <w:left w:w="120" w:type="dxa"/>
              <w:bottom w:w="0" w:type="dxa"/>
              <w:right w:w="120" w:type="dxa"/>
            </w:tcMar>
            <w:vAlign w:val="bottom"/>
          </w:tcPr>
          <w:p w14:paraId="64D90C90"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131EA9">
              <w:rPr>
                <w:rFonts w:ascii="Arial" w:eastAsia="Arial Unicode MS" w:hAnsi="Arial" w:cs="Arial"/>
                <w:b/>
                <w:bCs/>
                <w:color w:val="000000" w:themeColor="text1"/>
                <w:sz w:val="17"/>
                <w:szCs w:val="17"/>
                <w:lang w:val="hr-HR"/>
              </w:rPr>
              <w:t xml:space="preserve">14.043.801 </w:t>
            </w:r>
          </w:p>
        </w:tc>
        <w:tc>
          <w:tcPr>
            <w:tcW w:w="1162" w:type="dxa"/>
            <w:tcBorders>
              <w:top w:val="single" w:sz="4" w:space="0" w:color="000000"/>
              <w:bottom w:val="single" w:sz="8" w:space="0" w:color="000000"/>
            </w:tcBorders>
            <w:tcMar>
              <w:top w:w="0" w:type="dxa"/>
              <w:left w:w="120" w:type="dxa"/>
              <w:bottom w:w="0" w:type="dxa"/>
              <w:right w:w="120" w:type="dxa"/>
            </w:tcMar>
            <w:vAlign w:val="bottom"/>
          </w:tcPr>
          <w:p w14:paraId="75C3CFFE"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131EA9">
              <w:rPr>
                <w:rFonts w:ascii="Arial" w:eastAsia="Arial Unicode MS" w:hAnsi="Arial" w:cs="Arial"/>
                <w:b/>
                <w:bCs/>
                <w:color w:val="000000" w:themeColor="text1"/>
                <w:sz w:val="17"/>
                <w:szCs w:val="17"/>
                <w:lang w:val="hr-HR"/>
              </w:rPr>
              <w:t xml:space="preserve"> - </w:t>
            </w:r>
          </w:p>
        </w:tc>
        <w:tc>
          <w:tcPr>
            <w:tcW w:w="1137" w:type="dxa"/>
            <w:tcBorders>
              <w:top w:val="single" w:sz="4" w:space="0" w:color="000000"/>
              <w:bottom w:val="single" w:sz="8" w:space="0" w:color="000000"/>
            </w:tcBorders>
            <w:tcMar>
              <w:top w:w="0" w:type="dxa"/>
              <w:left w:w="120" w:type="dxa"/>
              <w:bottom w:w="0" w:type="dxa"/>
              <w:right w:w="120" w:type="dxa"/>
            </w:tcMar>
            <w:vAlign w:val="bottom"/>
          </w:tcPr>
          <w:p w14:paraId="740F41C0"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131EA9">
              <w:rPr>
                <w:rFonts w:ascii="Arial" w:eastAsia="Arial Unicode MS" w:hAnsi="Arial" w:cs="Arial"/>
                <w:b/>
                <w:bCs/>
                <w:color w:val="000000" w:themeColor="text1"/>
                <w:sz w:val="17"/>
                <w:szCs w:val="17"/>
                <w:lang w:val="hr-HR"/>
              </w:rPr>
              <w:t xml:space="preserve">14.340.880 </w:t>
            </w:r>
          </w:p>
        </w:tc>
        <w:tc>
          <w:tcPr>
            <w:tcW w:w="1206" w:type="dxa"/>
            <w:tcBorders>
              <w:top w:val="single" w:sz="4" w:space="0" w:color="000000"/>
              <w:bottom w:val="single" w:sz="8" w:space="0" w:color="000000"/>
            </w:tcBorders>
            <w:tcMar>
              <w:top w:w="0" w:type="dxa"/>
              <w:left w:w="120" w:type="dxa"/>
              <w:bottom w:w="0" w:type="dxa"/>
              <w:right w:w="120" w:type="dxa"/>
            </w:tcMar>
            <w:vAlign w:val="bottom"/>
          </w:tcPr>
          <w:p w14:paraId="085A53F8"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131EA9">
              <w:rPr>
                <w:rFonts w:ascii="Arial" w:eastAsia="Arial Unicode MS" w:hAnsi="Arial" w:cs="Arial"/>
                <w:b/>
                <w:bCs/>
                <w:color w:val="000000" w:themeColor="text1"/>
                <w:sz w:val="17"/>
                <w:szCs w:val="17"/>
                <w:lang w:val="hr-HR"/>
              </w:rPr>
              <w:t xml:space="preserve"> 13.937.482* </w:t>
            </w:r>
          </w:p>
        </w:tc>
        <w:tc>
          <w:tcPr>
            <w:tcW w:w="1231" w:type="dxa"/>
            <w:tcBorders>
              <w:top w:val="single" w:sz="4" w:space="0" w:color="000000"/>
              <w:bottom w:val="single" w:sz="8" w:space="0" w:color="000000"/>
            </w:tcBorders>
            <w:tcMar>
              <w:top w:w="0" w:type="dxa"/>
              <w:left w:w="120" w:type="dxa"/>
              <w:bottom w:w="0" w:type="dxa"/>
              <w:right w:w="120" w:type="dxa"/>
            </w:tcMar>
            <w:vAlign w:val="bottom"/>
          </w:tcPr>
          <w:p w14:paraId="0C541642"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131EA9">
              <w:rPr>
                <w:rFonts w:ascii="Arial" w:eastAsia="Arial Unicode MS" w:hAnsi="Arial" w:cs="Arial"/>
                <w:b/>
                <w:bCs/>
                <w:color w:val="000000" w:themeColor="text1"/>
                <w:sz w:val="17"/>
                <w:szCs w:val="17"/>
                <w:lang w:val="hr-HR"/>
              </w:rPr>
              <w:t xml:space="preserve">28.278.362 </w:t>
            </w:r>
          </w:p>
        </w:tc>
      </w:tr>
      <w:tr w:rsidR="004E2F51" w:rsidRPr="00131EA9" w14:paraId="4641C029" w14:textId="77777777" w:rsidTr="00E032FC">
        <w:trPr>
          <w:trHeight w:val="227"/>
        </w:trPr>
        <w:tc>
          <w:tcPr>
            <w:tcW w:w="2842" w:type="dxa"/>
            <w:tcMar>
              <w:top w:w="0" w:type="dxa"/>
              <w:left w:w="120" w:type="dxa"/>
              <w:bottom w:w="0" w:type="dxa"/>
              <w:right w:w="120" w:type="dxa"/>
            </w:tcMar>
            <w:vAlign w:val="bottom"/>
          </w:tcPr>
          <w:p w14:paraId="77038BB3" w14:textId="77777777" w:rsidR="004E2F51" w:rsidRPr="00131EA9" w:rsidRDefault="004E2F51" w:rsidP="00E032FC">
            <w:pPr>
              <w:tabs>
                <w:tab w:val="right" w:pos="1202"/>
              </w:tabs>
              <w:spacing w:line="240" w:lineRule="exact"/>
              <w:outlineLvl w:val="0"/>
              <w:rPr>
                <w:rFonts w:ascii="Arial" w:eastAsia="Calibri" w:hAnsi="Arial" w:cs="Arial"/>
                <w:b/>
                <w:bCs/>
                <w:color w:val="000000" w:themeColor="text1"/>
                <w:sz w:val="17"/>
                <w:szCs w:val="17"/>
                <w:lang w:val="hr-HR"/>
              </w:rPr>
            </w:pPr>
            <w:r w:rsidRPr="00131EA9">
              <w:rPr>
                <w:rFonts w:ascii="Arial" w:eastAsia="Calibri" w:hAnsi="Arial" w:cs="Arial"/>
                <w:b/>
                <w:bCs/>
                <w:color w:val="000000" w:themeColor="text1"/>
                <w:sz w:val="17"/>
                <w:szCs w:val="17"/>
                <w:lang w:val="hr-HR"/>
              </w:rPr>
              <w:t>Obveze</w:t>
            </w:r>
          </w:p>
        </w:tc>
        <w:tc>
          <w:tcPr>
            <w:tcW w:w="1010" w:type="dxa"/>
            <w:tcBorders>
              <w:top w:val="single" w:sz="12" w:space="0" w:color="000000"/>
            </w:tcBorders>
            <w:tcMar>
              <w:top w:w="0" w:type="dxa"/>
              <w:left w:w="120" w:type="dxa"/>
              <w:bottom w:w="0" w:type="dxa"/>
              <w:right w:w="120" w:type="dxa"/>
            </w:tcMar>
            <w:vAlign w:val="bottom"/>
          </w:tcPr>
          <w:p w14:paraId="5E13524E" w14:textId="77777777" w:rsidR="004E2F51" w:rsidRPr="00131EA9" w:rsidRDefault="004E2F51" w:rsidP="00E032FC">
            <w:pPr>
              <w:spacing w:line="240" w:lineRule="exact"/>
              <w:ind w:left="-123"/>
              <w:jc w:val="right"/>
              <w:rPr>
                <w:rFonts w:ascii="Arial" w:hAnsi="Arial" w:cs="Arial"/>
                <w:color w:val="000000" w:themeColor="text1"/>
                <w:spacing w:val="-2"/>
                <w:sz w:val="17"/>
                <w:szCs w:val="17"/>
                <w:lang w:val="hr-HR"/>
              </w:rPr>
            </w:pPr>
          </w:p>
        </w:tc>
        <w:tc>
          <w:tcPr>
            <w:tcW w:w="1149" w:type="dxa"/>
            <w:tcBorders>
              <w:top w:val="single" w:sz="12" w:space="0" w:color="000000"/>
            </w:tcBorders>
            <w:tcMar>
              <w:top w:w="0" w:type="dxa"/>
              <w:left w:w="120" w:type="dxa"/>
              <w:bottom w:w="0" w:type="dxa"/>
              <w:right w:w="120" w:type="dxa"/>
            </w:tcMar>
            <w:vAlign w:val="bottom"/>
          </w:tcPr>
          <w:p w14:paraId="264952FA" w14:textId="77777777" w:rsidR="004E2F51" w:rsidRPr="00131EA9" w:rsidRDefault="004E2F51" w:rsidP="00E032FC">
            <w:pPr>
              <w:spacing w:line="240" w:lineRule="exact"/>
              <w:jc w:val="right"/>
              <w:rPr>
                <w:rFonts w:ascii="Arial" w:hAnsi="Arial" w:cs="Arial"/>
                <w:color w:val="000000" w:themeColor="text1"/>
                <w:spacing w:val="-2"/>
                <w:sz w:val="17"/>
                <w:szCs w:val="17"/>
                <w:lang w:val="hr-HR"/>
              </w:rPr>
            </w:pPr>
          </w:p>
        </w:tc>
        <w:tc>
          <w:tcPr>
            <w:tcW w:w="1162" w:type="dxa"/>
            <w:tcBorders>
              <w:top w:val="single" w:sz="12" w:space="0" w:color="000000"/>
            </w:tcBorders>
            <w:tcMar>
              <w:top w:w="0" w:type="dxa"/>
              <w:left w:w="120" w:type="dxa"/>
              <w:bottom w:w="0" w:type="dxa"/>
              <w:right w:w="120" w:type="dxa"/>
            </w:tcMar>
            <w:vAlign w:val="bottom"/>
          </w:tcPr>
          <w:p w14:paraId="66011616" w14:textId="77777777" w:rsidR="004E2F51" w:rsidRPr="00131EA9" w:rsidRDefault="004E2F51" w:rsidP="00E032FC">
            <w:pPr>
              <w:spacing w:line="240" w:lineRule="exact"/>
              <w:jc w:val="right"/>
              <w:rPr>
                <w:rFonts w:ascii="Arial" w:hAnsi="Arial" w:cs="Arial"/>
                <w:color w:val="000000" w:themeColor="text1"/>
                <w:spacing w:val="-2"/>
                <w:sz w:val="17"/>
                <w:szCs w:val="17"/>
                <w:lang w:val="hr-HR"/>
              </w:rPr>
            </w:pPr>
          </w:p>
        </w:tc>
        <w:tc>
          <w:tcPr>
            <w:tcW w:w="1137" w:type="dxa"/>
            <w:tcBorders>
              <w:top w:val="single" w:sz="12" w:space="0" w:color="000000"/>
            </w:tcBorders>
            <w:tcMar>
              <w:top w:w="0" w:type="dxa"/>
              <w:left w:w="120" w:type="dxa"/>
              <w:bottom w:w="0" w:type="dxa"/>
              <w:right w:w="120" w:type="dxa"/>
            </w:tcMar>
            <w:vAlign w:val="bottom"/>
          </w:tcPr>
          <w:p w14:paraId="52B93EF4" w14:textId="77777777" w:rsidR="004E2F51" w:rsidRPr="00131EA9" w:rsidRDefault="004E2F51" w:rsidP="00E032FC">
            <w:pPr>
              <w:spacing w:line="240" w:lineRule="exact"/>
              <w:jc w:val="right"/>
              <w:rPr>
                <w:rFonts w:ascii="Arial" w:hAnsi="Arial" w:cs="Arial"/>
                <w:color w:val="000000" w:themeColor="text1"/>
                <w:spacing w:val="-2"/>
                <w:sz w:val="17"/>
                <w:szCs w:val="17"/>
                <w:lang w:val="hr-HR"/>
              </w:rPr>
            </w:pPr>
          </w:p>
        </w:tc>
        <w:tc>
          <w:tcPr>
            <w:tcW w:w="1206" w:type="dxa"/>
            <w:tcBorders>
              <w:top w:val="single" w:sz="12" w:space="0" w:color="000000"/>
            </w:tcBorders>
            <w:tcMar>
              <w:top w:w="0" w:type="dxa"/>
              <w:left w:w="120" w:type="dxa"/>
              <w:bottom w:w="0" w:type="dxa"/>
              <w:right w:w="120" w:type="dxa"/>
            </w:tcMar>
            <w:vAlign w:val="bottom"/>
          </w:tcPr>
          <w:p w14:paraId="27B1053D" w14:textId="77777777" w:rsidR="004E2F51" w:rsidRPr="00131EA9" w:rsidRDefault="004E2F51" w:rsidP="00E032FC">
            <w:pPr>
              <w:spacing w:line="240" w:lineRule="exact"/>
              <w:jc w:val="right"/>
              <w:rPr>
                <w:rFonts w:ascii="Arial" w:hAnsi="Arial" w:cs="Arial"/>
                <w:color w:val="000000" w:themeColor="text1"/>
                <w:spacing w:val="-2"/>
                <w:sz w:val="17"/>
                <w:szCs w:val="17"/>
                <w:lang w:val="hr-HR"/>
              </w:rPr>
            </w:pPr>
          </w:p>
        </w:tc>
        <w:tc>
          <w:tcPr>
            <w:tcW w:w="1231" w:type="dxa"/>
            <w:tcBorders>
              <w:top w:val="single" w:sz="12" w:space="0" w:color="000000"/>
            </w:tcBorders>
            <w:tcMar>
              <w:top w:w="0" w:type="dxa"/>
              <w:left w:w="120" w:type="dxa"/>
              <w:bottom w:w="0" w:type="dxa"/>
              <w:right w:w="120" w:type="dxa"/>
            </w:tcMar>
            <w:vAlign w:val="bottom"/>
          </w:tcPr>
          <w:p w14:paraId="4D22AC88" w14:textId="77777777" w:rsidR="004E2F51" w:rsidRPr="00131EA9" w:rsidRDefault="004E2F51" w:rsidP="00E032FC">
            <w:pPr>
              <w:spacing w:line="240" w:lineRule="exact"/>
              <w:jc w:val="right"/>
              <w:rPr>
                <w:rFonts w:ascii="Arial" w:hAnsi="Arial" w:cs="Arial"/>
                <w:b/>
                <w:color w:val="000000" w:themeColor="text1"/>
                <w:sz w:val="17"/>
                <w:szCs w:val="17"/>
                <w:lang w:val="hr-HR"/>
              </w:rPr>
            </w:pPr>
          </w:p>
        </w:tc>
      </w:tr>
      <w:tr w:rsidR="004E2F51" w:rsidRPr="00131EA9" w14:paraId="275866E1" w14:textId="77777777" w:rsidTr="00E032FC">
        <w:trPr>
          <w:trHeight w:val="243"/>
        </w:trPr>
        <w:tc>
          <w:tcPr>
            <w:tcW w:w="2842" w:type="dxa"/>
            <w:tcMar>
              <w:top w:w="0" w:type="dxa"/>
              <w:left w:w="120" w:type="dxa"/>
              <w:bottom w:w="0" w:type="dxa"/>
              <w:right w:w="120" w:type="dxa"/>
            </w:tcMar>
            <w:vAlign w:val="bottom"/>
          </w:tcPr>
          <w:p w14:paraId="6375CE2B"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r w:rsidRPr="00131EA9">
              <w:rPr>
                <w:rFonts w:ascii="Arial" w:eastAsia="Calibri" w:hAnsi="Arial" w:cs="Arial"/>
                <w:color w:val="000000" w:themeColor="text1"/>
                <w:sz w:val="17"/>
                <w:szCs w:val="17"/>
                <w:lang w:val="hr-HR"/>
              </w:rPr>
              <w:t>Obveze po depozitima</w:t>
            </w:r>
          </w:p>
        </w:tc>
        <w:tc>
          <w:tcPr>
            <w:tcW w:w="1010" w:type="dxa"/>
            <w:tcBorders>
              <w:top w:val="nil"/>
              <w:left w:val="nil"/>
              <w:bottom w:val="nil"/>
              <w:right w:val="nil"/>
            </w:tcBorders>
            <w:tcMar>
              <w:top w:w="0" w:type="dxa"/>
              <w:left w:w="120" w:type="dxa"/>
              <w:bottom w:w="0" w:type="dxa"/>
              <w:right w:w="120" w:type="dxa"/>
            </w:tcMar>
            <w:vAlign w:val="bottom"/>
          </w:tcPr>
          <w:p w14:paraId="39732954"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106.027 </w:t>
            </w:r>
          </w:p>
        </w:tc>
        <w:tc>
          <w:tcPr>
            <w:tcW w:w="1149" w:type="dxa"/>
            <w:tcBorders>
              <w:top w:val="nil"/>
              <w:left w:val="nil"/>
              <w:bottom w:val="nil"/>
              <w:right w:val="nil"/>
            </w:tcBorders>
            <w:tcMar>
              <w:top w:w="0" w:type="dxa"/>
              <w:left w:w="120" w:type="dxa"/>
              <w:bottom w:w="0" w:type="dxa"/>
              <w:right w:w="120" w:type="dxa"/>
            </w:tcMar>
            <w:vAlign w:val="bottom"/>
          </w:tcPr>
          <w:p w14:paraId="12054FF7"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471.389 </w:t>
            </w:r>
          </w:p>
        </w:tc>
        <w:tc>
          <w:tcPr>
            <w:tcW w:w="1162" w:type="dxa"/>
            <w:tcBorders>
              <w:top w:val="nil"/>
              <w:left w:val="nil"/>
              <w:bottom w:val="nil"/>
              <w:right w:val="nil"/>
            </w:tcBorders>
            <w:tcMar>
              <w:top w:w="0" w:type="dxa"/>
              <w:left w:w="120" w:type="dxa"/>
              <w:bottom w:w="0" w:type="dxa"/>
              <w:right w:w="120" w:type="dxa"/>
            </w:tcMar>
            <w:vAlign w:val="bottom"/>
          </w:tcPr>
          <w:p w14:paraId="70D95F0A"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w:t>
            </w:r>
          </w:p>
        </w:tc>
        <w:tc>
          <w:tcPr>
            <w:tcW w:w="1137" w:type="dxa"/>
            <w:tcBorders>
              <w:top w:val="nil"/>
              <w:left w:val="nil"/>
              <w:bottom w:val="nil"/>
              <w:right w:val="nil"/>
            </w:tcBorders>
            <w:tcMar>
              <w:top w:w="0" w:type="dxa"/>
              <w:left w:w="120" w:type="dxa"/>
              <w:bottom w:w="0" w:type="dxa"/>
              <w:right w:w="120" w:type="dxa"/>
            </w:tcMar>
            <w:vAlign w:val="bottom"/>
          </w:tcPr>
          <w:p w14:paraId="5E1FF832"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577.416 </w:t>
            </w:r>
          </w:p>
        </w:tc>
        <w:tc>
          <w:tcPr>
            <w:tcW w:w="1206" w:type="dxa"/>
            <w:tcBorders>
              <w:top w:val="nil"/>
              <w:left w:val="nil"/>
              <w:bottom w:val="nil"/>
              <w:right w:val="nil"/>
            </w:tcBorders>
            <w:tcMar>
              <w:top w:w="0" w:type="dxa"/>
              <w:left w:w="120" w:type="dxa"/>
              <w:bottom w:w="0" w:type="dxa"/>
              <w:right w:w="120" w:type="dxa"/>
            </w:tcMar>
            <w:vAlign w:val="bottom"/>
          </w:tcPr>
          <w:p w14:paraId="0B816FDB"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383.125 </w:t>
            </w:r>
          </w:p>
        </w:tc>
        <w:tc>
          <w:tcPr>
            <w:tcW w:w="1231" w:type="dxa"/>
            <w:tcBorders>
              <w:top w:val="nil"/>
              <w:left w:val="nil"/>
              <w:bottom w:val="nil"/>
            </w:tcBorders>
            <w:tcMar>
              <w:top w:w="0" w:type="dxa"/>
              <w:left w:w="120" w:type="dxa"/>
              <w:bottom w:w="0" w:type="dxa"/>
              <w:right w:w="120" w:type="dxa"/>
            </w:tcMar>
            <w:vAlign w:val="bottom"/>
          </w:tcPr>
          <w:p w14:paraId="7FACE84A"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960.541 </w:t>
            </w:r>
          </w:p>
        </w:tc>
      </w:tr>
      <w:tr w:rsidR="004E2F51" w:rsidRPr="00131EA9" w14:paraId="28741054" w14:textId="77777777" w:rsidTr="00E032FC">
        <w:trPr>
          <w:trHeight w:val="180"/>
        </w:trPr>
        <w:tc>
          <w:tcPr>
            <w:tcW w:w="2842" w:type="dxa"/>
            <w:tcMar>
              <w:top w:w="0" w:type="dxa"/>
              <w:left w:w="120" w:type="dxa"/>
              <w:bottom w:w="0" w:type="dxa"/>
              <w:right w:w="120" w:type="dxa"/>
            </w:tcMar>
            <w:vAlign w:val="bottom"/>
          </w:tcPr>
          <w:p w14:paraId="056F934B"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r w:rsidRPr="00131EA9">
              <w:rPr>
                <w:rFonts w:ascii="Arial" w:eastAsia="Calibri" w:hAnsi="Arial" w:cs="Arial"/>
                <w:color w:val="000000" w:themeColor="text1"/>
                <w:sz w:val="17"/>
                <w:szCs w:val="17"/>
                <w:lang w:val="hr-HR"/>
              </w:rPr>
              <w:t>Obveze po kreditima</w:t>
            </w:r>
          </w:p>
        </w:tc>
        <w:tc>
          <w:tcPr>
            <w:tcW w:w="1010" w:type="dxa"/>
            <w:tcBorders>
              <w:top w:val="nil"/>
              <w:left w:val="nil"/>
              <w:bottom w:val="nil"/>
              <w:right w:val="nil"/>
            </w:tcBorders>
            <w:tcMar>
              <w:top w:w="0" w:type="dxa"/>
              <w:left w:w="120" w:type="dxa"/>
              <w:bottom w:w="0" w:type="dxa"/>
              <w:right w:w="120" w:type="dxa"/>
            </w:tcMar>
            <w:vAlign w:val="bottom"/>
          </w:tcPr>
          <w:p w14:paraId="247257A6"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189.999 </w:t>
            </w:r>
          </w:p>
        </w:tc>
        <w:tc>
          <w:tcPr>
            <w:tcW w:w="1149" w:type="dxa"/>
            <w:tcBorders>
              <w:top w:val="nil"/>
              <w:left w:val="nil"/>
              <w:bottom w:val="nil"/>
              <w:right w:val="nil"/>
            </w:tcBorders>
            <w:tcMar>
              <w:top w:w="0" w:type="dxa"/>
              <w:left w:w="120" w:type="dxa"/>
              <w:bottom w:w="0" w:type="dxa"/>
              <w:right w:w="120" w:type="dxa"/>
            </w:tcMar>
            <w:vAlign w:val="bottom"/>
          </w:tcPr>
          <w:p w14:paraId="51994602"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14.424.638 </w:t>
            </w:r>
          </w:p>
        </w:tc>
        <w:tc>
          <w:tcPr>
            <w:tcW w:w="1162" w:type="dxa"/>
            <w:tcBorders>
              <w:top w:val="nil"/>
              <w:left w:val="nil"/>
              <w:bottom w:val="nil"/>
              <w:right w:val="nil"/>
            </w:tcBorders>
            <w:tcMar>
              <w:top w:w="0" w:type="dxa"/>
              <w:left w:w="120" w:type="dxa"/>
              <w:bottom w:w="0" w:type="dxa"/>
              <w:right w:w="120" w:type="dxa"/>
            </w:tcMar>
            <w:vAlign w:val="bottom"/>
          </w:tcPr>
          <w:p w14:paraId="001F983E"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 </w:t>
            </w:r>
          </w:p>
        </w:tc>
        <w:tc>
          <w:tcPr>
            <w:tcW w:w="1137" w:type="dxa"/>
            <w:tcBorders>
              <w:top w:val="nil"/>
              <w:left w:val="nil"/>
              <w:bottom w:val="nil"/>
              <w:right w:val="nil"/>
            </w:tcBorders>
            <w:tcMar>
              <w:top w:w="0" w:type="dxa"/>
              <w:left w:w="120" w:type="dxa"/>
              <w:bottom w:w="0" w:type="dxa"/>
              <w:right w:w="120" w:type="dxa"/>
            </w:tcMar>
            <w:vAlign w:val="bottom"/>
          </w:tcPr>
          <w:p w14:paraId="57202A02"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14.614.637 </w:t>
            </w:r>
          </w:p>
        </w:tc>
        <w:tc>
          <w:tcPr>
            <w:tcW w:w="1206" w:type="dxa"/>
            <w:tcBorders>
              <w:top w:val="nil"/>
              <w:left w:val="nil"/>
              <w:bottom w:val="nil"/>
              <w:right w:val="nil"/>
            </w:tcBorders>
            <w:tcMar>
              <w:top w:w="0" w:type="dxa"/>
              <w:left w:w="120" w:type="dxa"/>
              <w:bottom w:w="0" w:type="dxa"/>
              <w:right w:w="120" w:type="dxa"/>
            </w:tcMar>
            <w:vAlign w:val="bottom"/>
          </w:tcPr>
          <w:p w14:paraId="07F8845F"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1.500.600 </w:t>
            </w:r>
          </w:p>
        </w:tc>
        <w:tc>
          <w:tcPr>
            <w:tcW w:w="1231" w:type="dxa"/>
            <w:tcBorders>
              <w:top w:val="nil"/>
              <w:left w:val="nil"/>
              <w:bottom w:val="nil"/>
            </w:tcBorders>
            <w:tcMar>
              <w:top w:w="0" w:type="dxa"/>
              <w:left w:w="120" w:type="dxa"/>
              <w:bottom w:w="0" w:type="dxa"/>
              <w:right w:w="120" w:type="dxa"/>
            </w:tcMar>
            <w:vAlign w:val="bottom"/>
          </w:tcPr>
          <w:p w14:paraId="63FAD2C1"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16.115.237 </w:t>
            </w:r>
          </w:p>
        </w:tc>
      </w:tr>
      <w:tr w:rsidR="004E2F51" w:rsidRPr="00131EA9" w14:paraId="5E2329DD" w14:textId="77777777" w:rsidTr="00E032FC">
        <w:trPr>
          <w:trHeight w:val="472"/>
        </w:trPr>
        <w:tc>
          <w:tcPr>
            <w:tcW w:w="2842" w:type="dxa"/>
            <w:tcMar>
              <w:top w:w="0" w:type="dxa"/>
              <w:left w:w="120" w:type="dxa"/>
              <w:bottom w:w="0" w:type="dxa"/>
              <w:right w:w="120" w:type="dxa"/>
            </w:tcMar>
            <w:vAlign w:val="bottom"/>
          </w:tcPr>
          <w:p w14:paraId="07A334AB"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r w:rsidRPr="00131EA9">
              <w:rPr>
                <w:rFonts w:ascii="Arial" w:eastAsia="Calibri" w:hAnsi="Arial" w:cs="Arial"/>
                <w:color w:val="000000" w:themeColor="text1"/>
                <w:sz w:val="17"/>
                <w:szCs w:val="17"/>
                <w:lang w:val="hr-HR"/>
              </w:rPr>
              <w:t>Rezerviranja za garancije, preuzete i ostale obveze</w:t>
            </w:r>
          </w:p>
        </w:tc>
        <w:tc>
          <w:tcPr>
            <w:tcW w:w="1010" w:type="dxa"/>
            <w:tcBorders>
              <w:top w:val="nil"/>
              <w:left w:val="nil"/>
              <w:bottom w:val="nil"/>
              <w:right w:val="nil"/>
            </w:tcBorders>
            <w:tcMar>
              <w:top w:w="0" w:type="dxa"/>
              <w:left w:w="120" w:type="dxa"/>
              <w:bottom w:w="0" w:type="dxa"/>
              <w:right w:w="120" w:type="dxa"/>
            </w:tcMar>
            <w:vAlign w:val="bottom"/>
          </w:tcPr>
          <w:p w14:paraId="1B2848E8"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23.613 </w:t>
            </w:r>
          </w:p>
        </w:tc>
        <w:tc>
          <w:tcPr>
            <w:tcW w:w="1149" w:type="dxa"/>
            <w:tcBorders>
              <w:top w:val="nil"/>
              <w:left w:val="nil"/>
              <w:bottom w:val="nil"/>
              <w:right w:val="nil"/>
            </w:tcBorders>
            <w:tcMar>
              <w:top w:w="0" w:type="dxa"/>
              <w:left w:w="120" w:type="dxa"/>
              <w:bottom w:w="0" w:type="dxa"/>
              <w:right w:w="120" w:type="dxa"/>
            </w:tcMar>
            <w:vAlign w:val="bottom"/>
          </w:tcPr>
          <w:p w14:paraId="7381BC60"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25.674 </w:t>
            </w:r>
          </w:p>
        </w:tc>
        <w:tc>
          <w:tcPr>
            <w:tcW w:w="1162" w:type="dxa"/>
            <w:tcBorders>
              <w:top w:val="nil"/>
              <w:left w:val="nil"/>
              <w:bottom w:val="nil"/>
              <w:right w:val="nil"/>
            </w:tcBorders>
            <w:tcMar>
              <w:top w:w="0" w:type="dxa"/>
              <w:left w:w="120" w:type="dxa"/>
              <w:bottom w:w="0" w:type="dxa"/>
              <w:right w:w="120" w:type="dxa"/>
            </w:tcMar>
            <w:vAlign w:val="bottom"/>
          </w:tcPr>
          <w:p w14:paraId="5324B5BF"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15.098 </w:t>
            </w:r>
          </w:p>
        </w:tc>
        <w:tc>
          <w:tcPr>
            <w:tcW w:w="1137" w:type="dxa"/>
            <w:tcBorders>
              <w:top w:val="nil"/>
              <w:left w:val="nil"/>
              <w:bottom w:val="nil"/>
              <w:right w:val="nil"/>
            </w:tcBorders>
            <w:tcMar>
              <w:top w:w="0" w:type="dxa"/>
              <w:left w:w="120" w:type="dxa"/>
              <w:bottom w:w="0" w:type="dxa"/>
              <w:right w:w="120" w:type="dxa"/>
            </w:tcMar>
            <w:vAlign w:val="bottom"/>
          </w:tcPr>
          <w:p w14:paraId="425D386D"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64.385 </w:t>
            </w:r>
          </w:p>
        </w:tc>
        <w:tc>
          <w:tcPr>
            <w:tcW w:w="1206" w:type="dxa"/>
            <w:tcBorders>
              <w:top w:val="nil"/>
              <w:left w:val="nil"/>
              <w:bottom w:val="nil"/>
              <w:right w:val="nil"/>
            </w:tcBorders>
            <w:tcMar>
              <w:top w:w="0" w:type="dxa"/>
              <w:left w:w="120" w:type="dxa"/>
              <w:bottom w:w="0" w:type="dxa"/>
              <w:right w:w="120" w:type="dxa"/>
            </w:tcMar>
            <w:vAlign w:val="bottom"/>
          </w:tcPr>
          <w:p w14:paraId="0D4A97D9"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126.175 </w:t>
            </w:r>
          </w:p>
        </w:tc>
        <w:tc>
          <w:tcPr>
            <w:tcW w:w="1231" w:type="dxa"/>
            <w:tcBorders>
              <w:top w:val="nil"/>
              <w:left w:val="nil"/>
              <w:bottom w:val="nil"/>
            </w:tcBorders>
            <w:tcMar>
              <w:top w:w="0" w:type="dxa"/>
              <w:left w:w="120" w:type="dxa"/>
              <w:bottom w:w="0" w:type="dxa"/>
              <w:right w:w="120" w:type="dxa"/>
            </w:tcMar>
            <w:vAlign w:val="bottom"/>
          </w:tcPr>
          <w:p w14:paraId="01B0290B"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190.560 </w:t>
            </w:r>
          </w:p>
        </w:tc>
      </w:tr>
      <w:tr w:rsidR="004E2F51" w:rsidRPr="00131EA9" w14:paraId="2C13BB8A" w14:textId="77777777" w:rsidTr="00E032FC">
        <w:trPr>
          <w:trHeight w:val="141"/>
        </w:trPr>
        <w:tc>
          <w:tcPr>
            <w:tcW w:w="2842" w:type="dxa"/>
            <w:tcMar>
              <w:top w:w="0" w:type="dxa"/>
              <w:left w:w="120" w:type="dxa"/>
              <w:bottom w:w="0" w:type="dxa"/>
              <w:right w:w="120" w:type="dxa"/>
            </w:tcMar>
            <w:vAlign w:val="bottom"/>
          </w:tcPr>
          <w:p w14:paraId="0609FD33" w14:textId="77777777" w:rsidR="004E2F51" w:rsidRPr="00131EA9" w:rsidRDefault="004E2F51" w:rsidP="00E032FC">
            <w:pPr>
              <w:tabs>
                <w:tab w:val="right" w:pos="1202"/>
              </w:tabs>
              <w:spacing w:line="240" w:lineRule="exact"/>
              <w:outlineLvl w:val="0"/>
              <w:rPr>
                <w:rFonts w:ascii="Arial" w:eastAsia="Calibri" w:hAnsi="Arial" w:cs="Arial"/>
                <w:color w:val="000000" w:themeColor="text1"/>
                <w:sz w:val="17"/>
                <w:szCs w:val="17"/>
                <w:lang w:val="hr-HR"/>
              </w:rPr>
            </w:pPr>
            <w:r w:rsidRPr="00131EA9">
              <w:rPr>
                <w:rFonts w:ascii="Arial" w:eastAsia="Calibri" w:hAnsi="Arial" w:cs="Arial"/>
                <w:color w:val="000000" w:themeColor="text1"/>
                <w:sz w:val="17"/>
                <w:szCs w:val="17"/>
                <w:lang w:val="hr-HR"/>
              </w:rPr>
              <w:t>Ostale obveze</w:t>
            </w:r>
          </w:p>
        </w:tc>
        <w:tc>
          <w:tcPr>
            <w:tcW w:w="1010" w:type="dxa"/>
            <w:tcBorders>
              <w:top w:val="nil"/>
              <w:left w:val="nil"/>
              <w:bottom w:val="single" w:sz="4" w:space="0" w:color="auto"/>
              <w:right w:val="nil"/>
            </w:tcBorders>
            <w:tcMar>
              <w:top w:w="0" w:type="dxa"/>
              <w:left w:w="120" w:type="dxa"/>
              <w:bottom w:w="0" w:type="dxa"/>
              <w:right w:w="120" w:type="dxa"/>
            </w:tcMar>
            <w:vAlign w:val="bottom"/>
          </w:tcPr>
          <w:p w14:paraId="484345F3"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125 </w:t>
            </w:r>
          </w:p>
        </w:tc>
        <w:tc>
          <w:tcPr>
            <w:tcW w:w="1149" w:type="dxa"/>
            <w:tcBorders>
              <w:top w:val="nil"/>
              <w:left w:val="nil"/>
              <w:bottom w:val="single" w:sz="4" w:space="0" w:color="auto"/>
              <w:right w:val="nil"/>
            </w:tcBorders>
            <w:tcMar>
              <w:top w:w="0" w:type="dxa"/>
              <w:left w:w="120" w:type="dxa"/>
              <w:bottom w:w="0" w:type="dxa"/>
              <w:right w:w="120" w:type="dxa"/>
            </w:tcMar>
            <w:vAlign w:val="bottom"/>
          </w:tcPr>
          <w:p w14:paraId="57DF4C80"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12.493 </w:t>
            </w:r>
          </w:p>
        </w:tc>
        <w:tc>
          <w:tcPr>
            <w:tcW w:w="1162" w:type="dxa"/>
            <w:tcBorders>
              <w:top w:val="nil"/>
              <w:left w:val="nil"/>
              <w:bottom w:val="single" w:sz="4" w:space="0" w:color="auto"/>
              <w:right w:val="nil"/>
            </w:tcBorders>
            <w:tcMar>
              <w:top w:w="0" w:type="dxa"/>
              <w:left w:w="120" w:type="dxa"/>
              <w:bottom w:w="0" w:type="dxa"/>
              <w:right w:w="120" w:type="dxa"/>
            </w:tcMar>
            <w:vAlign w:val="bottom"/>
          </w:tcPr>
          <w:p w14:paraId="2C86A072"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55 </w:t>
            </w:r>
          </w:p>
        </w:tc>
        <w:tc>
          <w:tcPr>
            <w:tcW w:w="1137" w:type="dxa"/>
            <w:tcBorders>
              <w:top w:val="nil"/>
              <w:left w:val="nil"/>
              <w:bottom w:val="single" w:sz="4" w:space="0" w:color="auto"/>
              <w:right w:val="nil"/>
            </w:tcBorders>
            <w:tcMar>
              <w:top w:w="0" w:type="dxa"/>
              <w:left w:w="120" w:type="dxa"/>
              <w:bottom w:w="0" w:type="dxa"/>
              <w:right w:w="120" w:type="dxa"/>
            </w:tcMar>
            <w:vAlign w:val="bottom"/>
          </w:tcPr>
          <w:p w14:paraId="43C5F601"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12.673 </w:t>
            </w:r>
          </w:p>
        </w:tc>
        <w:tc>
          <w:tcPr>
            <w:tcW w:w="1206" w:type="dxa"/>
            <w:tcBorders>
              <w:top w:val="nil"/>
              <w:left w:val="nil"/>
              <w:bottom w:val="single" w:sz="4" w:space="0" w:color="auto"/>
              <w:right w:val="nil"/>
            </w:tcBorders>
            <w:tcMar>
              <w:top w:w="0" w:type="dxa"/>
              <w:left w:w="120" w:type="dxa"/>
              <w:bottom w:w="0" w:type="dxa"/>
              <w:right w:w="120" w:type="dxa"/>
            </w:tcMar>
            <w:vAlign w:val="bottom"/>
          </w:tcPr>
          <w:p w14:paraId="1C7B4DDF"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422.566 </w:t>
            </w:r>
          </w:p>
        </w:tc>
        <w:tc>
          <w:tcPr>
            <w:tcW w:w="1231" w:type="dxa"/>
            <w:tcBorders>
              <w:top w:val="nil"/>
              <w:left w:val="nil"/>
              <w:bottom w:val="single" w:sz="4" w:space="0" w:color="auto"/>
            </w:tcBorders>
            <w:tcMar>
              <w:top w:w="0" w:type="dxa"/>
              <w:left w:w="120" w:type="dxa"/>
              <w:bottom w:w="0" w:type="dxa"/>
              <w:right w:w="120" w:type="dxa"/>
            </w:tcMar>
            <w:vAlign w:val="bottom"/>
          </w:tcPr>
          <w:p w14:paraId="41671EC1" w14:textId="77777777" w:rsidR="004E2F51" w:rsidRPr="00131EA9" w:rsidRDefault="004E2F51" w:rsidP="00E032FC">
            <w:pPr>
              <w:spacing w:line="240" w:lineRule="exact"/>
              <w:jc w:val="right"/>
              <w:rPr>
                <w:rFonts w:ascii="Arial" w:eastAsia="Arial Unicode MS" w:hAnsi="Arial" w:cs="Arial"/>
                <w:color w:val="000000" w:themeColor="text1"/>
                <w:sz w:val="17"/>
                <w:szCs w:val="17"/>
                <w:lang w:val="hr-HR"/>
              </w:rPr>
            </w:pPr>
            <w:r w:rsidRPr="00131EA9">
              <w:rPr>
                <w:rFonts w:ascii="Arial" w:eastAsia="Arial Unicode MS" w:hAnsi="Arial" w:cs="Arial"/>
                <w:color w:val="000000" w:themeColor="text1"/>
                <w:sz w:val="17"/>
                <w:szCs w:val="17"/>
                <w:lang w:val="hr-HR"/>
              </w:rPr>
              <w:t xml:space="preserve"> 435.239 </w:t>
            </w:r>
          </w:p>
        </w:tc>
      </w:tr>
      <w:tr w:rsidR="004E2F51" w:rsidRPr="00131EA9" w14:paraId="5ECE7ED3" w14:textId="77777777" w:rsidTr="00E032FC">
        <w:trPr>
          <w:trHeight w:val="314"/>
        </w:trPr>
        <w:tc>
          <w:tcPr>
            <w:tcW w:w="2842" w:type="dxa"/>
            <w:tcMar>
              <w:top w:w="0" w:type="dxa"/>
              <w:left w:w="120" w:type="dxa"/>
              <w:bottom w:w="0" w:type="dxa"/>
              <w:right w:w="120" w:type="dxa"/>
            </w:tcMar>
            <w:vAlign w:val="bottom"/>
          </w:tcPr>
          <w:p w14:paraId="0C0E666B" w14:textId="77777777" w:rsidR="004E2F51" w:rsidRPr="00131EA9" w:rsidRDefault="004E2F51" w:rsidP="00E032FC">
            <w:pPr>
              <w:tabs>
                <w:tab w:val="right" w:pos="1202"/>
              </w:tabs>
              <w:spacing w:line="240" w:lineRule="exact"/>
              <w:outlineLvl w:val="0"/>
              <w:rPr>
                <w:rFonts w:ascii="Arial" w:eastAsia="Calibri" w:hAnsi="Arial" w:cs="Arial"/>
                <w:b/>
                <w:bCs/>
                <w:color w:val="000000" w:themeColor="text1"/>
                <w:sz w:val="17"/>
                <w:szCs w:val="17"/>
                <w:lang w:val="hr-HR"/>
              </w:rPr>
            </w:pPr>
            <w:r w:rsidRPr="00131EA9">
              <w:rPr>
                <w:rFonts w:ascii="Arial" w:eastAsia="Calibri" w:hAnsi="Arial" w:cs="Arial"/>
                <w:b/>
                <w:bCs/>
                <w:color w:val="000000" w:themeColor="text1"/>
                <w:sz w:val="17"/>
                <w:szCs w:val="17"/>
                <w:lang w:val="hr-HR"/>
              </w:rPr>
              <w:t>Ukupne obveze</w:t>
            </w:r>
          </w:p>
        </w:tc>
        <w:tc>
          <w:tcPr>
            <w:tcW w:w="1010" w:type="dxa"/>
            <w:tcBorders>
              <w:top w:val="single" w:sz="4" w:space="0" w:color="auto"/>
              <w:left w:val="nil"/>
              <w:bottom w:val="single" w:sz="12" w:space="0" w:color="auto"/>
              <w:right w:val="nil"/>
            </w:tcBorders>
            <w:tcMar>
              <w:top w:w="0" w:type="dxa"/>
              <w:left w:w="120" w:type="dxa"/>
              <w:bottom w:w="0" w:type="dxa"/>
              <w:right w:w="120" w:type="dxa"/>
            </w:tcMar>
            <w:vAlign w:val="bottom"/>
          </w:tcPr>
          <w:p w14:paraId="1F7BBCB6"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131EA9">
              <w:rPr>
                <w:rFonts w:ascii="Arial" w:eastAsia="Arial Unicode MS" w:hAnsi="Arial" w:cs="Arial"/>
                <w:b/>
                <w:bCs/>
                <w:color w:val="000000" w:themeColor="text1"/>
                <w:sz w:val="17"/>
                <w:szCs w:val="17"/>
                <w:lang w:val="hr-HR"/>
              </w:rPr>
              <w:t xml:space="preserve">319.764 </w:t>
            </w:r>
          </w:p>
        </w:tc>
        <w:tc>
          <w:tcPr>
            <w:tcW w:w="1149" w:type="dxa"/>
            <w:tcBorders>
              <w:top w:val="single" w:sz="4" w:space="0" w:color="auto"/>
              <w:left w:val="nil"/>
              <w:bottom w:val="single" w:sz="12" w:space="0" w:color="auto"/>
              <w:right w:val="nil"/>
            </w:tcBorders>
            <w:tcMar>
              <w:top w:w="0" w:type="dxa"/>
              <w:left w:w="120" w:type="dxa"/>
              <w:bottom w:w="0" w:type="dxa"/>
              <w:right w:w="120" w:type="dxa"/>
            </w:tcMar>
            <w:vAlign w:val="bottom"/>
          </w:tcPr>
          <w:p w14:paraId="6903618A"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131EA9">
              <w:rPr>
                <w:rFonts w:ascii="Arial" w:eastAsia="Arial Unicode MS" w:hAnsi="Arial" w:cs="Arial"/>
                <w:b/>
                <w:bCs/>
                <w:color w:val="000000" w:themeColor="text1"/>
                <w:sz w:val="17"/>
                <w:szCs w:val="17"/>
                <w:lang w:val="hr-HR"/>
              </w:rPr>
              <w:t xml:space="preserve"> 14.934.194 </w:t>
            </w:r>
          </w:p>
        </w:tc>
        <w:tc>
          <w:tcPr>
            <w:tcW w:w="1162" w:type="dxa"/>
            <w:tcBorders>
              <w:top w:val="single" w:sz="4" w:space="0" w:color="auto"/>
              <w:left w:val="nil"/>
              <w:bottom w:val="single" w:sz="12" w:space="0" w:color="auto"/>
              <w:right w:val="nil"/>
            </w:tcBorders>
            <w:tcMar>
              <w:top w:w="0" w:type="dxa"/>
              <w:left w:w="120" w:type="dxa"/>
              <w:bottom w:w="0" w:type="dxa"/>
              <w:right w:w="120" w:type="dxa"/>
            </w:tcMar>
            <w:vAlign w:val="bottom"/>
          </w:tcPr>
          <w:p w14:paraId="41C1D9A7"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131EA9">
              <w:rPr>
                <w:rFonts w:ascii="Arial" w:eastAsia="Arial Unicode MS" w:hAnsi="Arial" w:cs="Arial"/>
                <w:b/>
                <w:bCs/>
                <w:color w:val="000000" w:themeColor="text1"/>
                <w:sz w:val="17"/>
                <w:szCs w:val="17"/>
                <w:lang w:val="hr-HR"/>
              </w:rPr>
              <w:t xml:space="preserve">15.153 </w:t>
            </w:r>
          </w:p>
        </w:tc>
        <w:tc>
          <w:tcPr>
            <w:tcW w:w="1137" w:type="dxa"/>
            <w:tcBorders>
              <w:top w:val="single" w:sz="4" w:space="0" w:color="auto"/>
              <w:left w:val="nil"/>
              <w:bottom w:val="single" w:sz="12" w:space="0" w:color="auto"/>
              <w:right w:val="nil"/>
            </w:tcBorders>
            <w:tcMar>
              <w:top w:w="0" w:type="dxa"/>
              <w:left w:w="120" w:type="dxa"/>
              <w:bottom w:w="0" w:type="dxa"/>
              <w:right w:w="120" w:type="dxa"/>
            </w:tcMar>
            <w:vAlign w:val="bottom"/>
          </w:tcPr>
          <w:p w14:paraId="44C7B26F"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131EA9">
              <w:rPr>
                <w:rFonts w:ascii="Arial" w:eastAsia="Arial Unicode MS" w:hAnsi="Arial" w:cs="Arial"/>
                <w:b/>
                <w:bCs/>
                <w:color w:val="000000" w:themeColor="text1"/>
                <w:sz w:val="17"/>
                <w:szCs w:val="17"/>
                <w:lang w:val="hr-HR"/>
              </w:rPr>
              <w:t xml:space="preserve">15.269.111 </w:t>
            </w:r>
          </w:p>
        </w:tc>
        <w:tc>
          <w:tcPr>
            <w:tcW w:w="1206" w:type="dxa"/>
            <w:tcBorders>
              <w:top w:val="single" w:sz="4" w:space="0" w:color="auto"/>
              <w:left w:val="nil"/>
              <w:bottom w:val="single" w:sz="12" w:space="0" w:color="auto"/>
              <w:right w:val="nil"/>
            </w:tcBorders>
            <w:tcMar>
              <w:top w:w="0" w:type="dxa"/>
              <w:left w:w="120" w:type="dxa"/>
              <w:bottom w:w="0" w:type="dxa"/>
              <w:right w:w="120" w:type="dxa"/>
            </w:tcMar>
            <w:vAlign w:val="bottom"/>
          </w:tcPr>
          <w:p w14:paraId="3C153334"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131EA9">
              <w:rPr>
                <w:rFonts w:ascii="Arial" w:eastAsia="Arial Unicode MS" w:hAnsi="Arial" w:cs="Arial"/>
                <w:b/>
                <w:bCs/>
                <w:color w:val="000000" w:themeColor="text1"/>
                <w:sz w:val="17"/>
                <w:szCs w:val="17"/>
                <w:lang w:val="hr-HR"/>
              </w:rPr>
              <w:t xml:space="preserve"> 2.432.466 </w:t>
            </w:r>
          </w:p>
        </w:tc>
        <w:tc>
          <w:tcPr>
            <w:tcW w:w="1231" w:type="dxa"/>
            <w:tcBorders>
              <w:top w:val="single" w:sz="4" w:space="0" w:color="auto"/>
              <w:left w:val="nil"/>
              <w:bottom w:val="single" w:sz="12" w:space="0" w:color="auto"/>
            </w:tcBorders>
            <w:tcMar>
              <w:top w:w="0" w:type="dxa"/>
              <w:left w:w="120" w:type="dxa"/>
              <w:bottom w:w="0" w:type="dxa"/>
              <w:right w:w="120" w:type="dxa"/>
            </w:tcMar>
            <w:vAlign w:val="bottom"/>
          </w:tcPr>
          <w:p w14:paraId="145A146E"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131EA9">
              <w:rPr>
                <w:rFonts w:ascii="Arial" w:eastAsia="Arial Unicode MS" w:hAnsi="Arial" w:cs="Arial"/>
                <w:b/>
                <w:bCs/>
                <w:color w:val="000000" w:themeColor="text1"/>
                <w:sz w:val="17"/>
                <w:szCs w:val="17"/>
                <w:lang w:val="hr-HR"/>
              </w:rPr>
              <w:t xml:space="preserve"> 17.701.577 </w:t>
            </w:r>
          </w:p>
        </w:tc>
      </w:tr>
      <w:tr w:rsidR="004E2F51" w:rsidRPr="00131EA9" w14:paraId="68604F21" w14:textId="77777777" w:rsidTr="00E032FC">
        <w:trPr>
          <w:trHeight w:val="521"/>
        </w:trPr>
        <w:tc>
          <w:tcPr>
            <w:tcW w:w="2842" w:type="dxa"/>
            <w:tcMar>
              <w:top w:w="0" w:type="dxa"/>
              <w:left w:w="120" w:type="dxa"/>
              <w:bottom w:w="0" w:type="dxa"/>
              <w:right w:w="120" w:type="dxa"/>
            </w:tcMar>
            <w:vAlign w:val="bottom"/>
          </w:tcPr>
          <w:p w14:paraId="32E44DB4" w14:textId="77777777" w:rsidR="004E2F51" w:rsidRPr="00131EA9" w:rsidRDefault="004E2F51" w:rsidP="00E032FC">
            <w:pPr>
              <w:spacing w:line="240" w:lineRule="exact"/>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Valutni jaz</w:t>
            </w:r>
          </w:p>
        </w:tc>
        <w:tc>
          <w:tcPr>
            <w:tcW w:w="1010"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7B85BF30"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131EA9">
              <w:rPr>
                <w:rFonts w:ascii="Arial" w:eastAsia="Arial Unicode MS" w:hAnsi="Arial" w:cs="Arial"/>
                <w:b/>
                <w:bCs/>
                <w:color w:val="000000" w:themeColor="text1"/>
                <w:sz w:val="17"/>
                <w:szCs w:val="17"/>
                <w:lang w:val="hr-HR"/>
              </w:rPr>
              <w:t xml:space="preserve"> (22.685) </w:t>
            </w:r>
          </w:p>
        </w:tc>
        <w:tc>
          <w:tcPr>
            <w:tcW w:w="1149"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55049B9B"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131EA9">
              <w:rPr>
                <w:rFonts w:ascii="Arial" w:eastAsia="Arial Unicode MS" w:hAnsi="Arial" w:cs="Arial"/>
                <w:b/>
                <w:bCs/>
                <w:color w:val="000000" w:themeColor="text1"/>
                <w:sz w:val="17"/>
                <w:szCs w:val="17"/>
                <w:lang w:val="hr-HR"/>
              </w:rPr>
              <w:t xml:space="preserve"> (890.393)</w:t>
            </w:r>
          </w:p>
        </w:tc>
        <w:tc>
          <w:tcPr>
            <w:tcW w:w="1162"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2CD27D39"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131EA9">
              <w:rPr>
                <w:rFonts w:ascii="Arial" w:eastAsia="Arial Unicode MS" w:hAnsi="Arial" w:cs="Arial"/>
                <w:b/>
                <w:bCs/>
                <w:color w:val="000000" w:themeColor="text1"/>
                <w:sz w:val="17"/>
                <w:szCs w:val="17"/>
                <w:lang w:val="hr-HR"/>
              </w:rPr>
              <w:t xml:space="preserve"> (15.153)</w:t>
            </w:r>
          </w:p>
        </w:tc>
        <w:tc>
          <w:tcPr>
            <w:tcW w:w="1137"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221ACD79"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131EA9">
              <w:rPr>
                <w:rFonts w:ascii="Arial" w:eastAsia="Arial Unicode MS" w:hAnsi="Arial" w:cs="Arial"/>
                <w:b/>
                <w:bCs/>
                <w:color w:val="000000" w:themeColor="text1"/>
                <w:sz w:val="17"/>
                <w:szCs w:val="17"/>
                <w:lang w:val="hr-HR"/>
              </w:rPr>
              <w:t xml:space="preserve"> (928.231)</w:t>
            </w:r>
          </w:p>
        </w:tc>
        <w:tc>
          <w:tcPr>
            <w:tcW w:w="1206" w:type="dxa"/>
            <w:tcBorders>
              <w:top w:val="single" w:sz="12" w:space="0" w:color="auto"/>
              <w:left w:val="nil"/>
              <w:bottom w:val="single" w:sz="12" w:space="0" w:color="auto"/>
              <w:right w:val="nil"/>
            </w:tcBorders>
            <w:shd w:val="clear" w:color="000000" w:fill="auto"/>
            <w:tcMar>
              <w:top w:w="0" w:type="dxa"/>
              <w:left w:w="120" w:type="dxa"/>
              <w:bottom w:w="0" w:type="dxa"/>
              <w:right w:w="120" w:type="dxa"/>
            </w:tcMar>
            <w:vAlign w:val="bottom"/>
          </w:tcPr>
          <w:p w14:paraId="794965A8"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131EA9">
              <w:rPr>
                <w:rFonts w:ascii="Arial" w:eastAsia="Arial Unicode MS" w:hAnsi="Arial" w:cs="Arial"/>
                <w:b/>
                <w:bCs/>
                <w:color w:val="000000" w:themeColor="text1"/>
                <w:sz w:val="17"/>
                <w:szCs w:val="17"/>
                <w:lang w:val="hr-HR"/>
              </w:rPr>
              <w:t xml:space="preserve"> 11.505.016 </w:t>
            </w:r>
          </w:p>
        </w:tc>
        <w:tc>
          <w:tcPr>
            <w:tcW w:w="1231" w:type="dxa"/>
            <w:tcBorders>
              <w:top w:val="single" w:sz="12" w:space="0" w:color="auto"/>
              <w:left w:val="nil"/>
              <w:bottom w:val="single" w:sz="12" w:space="0" w:color="auto"/>
            </w:tcBorders>
            <w:shd w:val="clear" w:color="000000" w:fill="auto"/>
            <w:tcMar>
              <w:top w:w="0" w:type="dxa"/>
              <w:left w:w="120" w:type="dxa"/>
              <w:bottom w:w="0" w:type="dxa"/>
              <w:right w:w="120" w:type="dxa"/>
            </w:tcMar>
            <w:vAlign w:val="bottom"/>
          </w:tcPr>
          <w:p w14:paraId="0FCDE1E9" w14:textId="77777777" w:rsidR="004E2F51" w:rsidRPr="00131EA9" w:rsidRDefault="004E2F51" w:rsidP="00E032FC">
            <w:pPr>
              <w:spacing w:line="240" w:lineRule="exact"/>
              <w:jc w:val="right"/>
              <w:rPr>
                <w:rFonts w:ascii="Arial" w:eastAsia="Arial Unicode MS" w:hAnsi="Arial" w:cs="Arial"/>
                <w:b/>
                <w:bCs/>
                <w:color w:val="000000" w:themeColor="text1"/>
                <w:sz w:val="17"/>
                <w:szCs w:val="17"/>
                <w:lang w:val="hr-HR"/>
              </w:rPr>
            </w:pPr>
            <w:r w:rsidRPr="00131EA9">
              <w:rPr>
                <w:rFonts w:ascii="Arial" w:eastAsia="Arial Unicode MS" w:hAnsi="Arial" w:cs="Arial"/>
                <w:b/>
                <w:bCs/>
                <w:color w:val="000000" w:themeColor="text1"/>
                <w:sz w:val="17"/>
                <w:szCs w:val="17"/>
                <w:lang w:val="hr-HR"/>
              </w:rPr>
              <w:t xml:space="preserve"> 10.576.785 </w:t>
            </w:r>
          </w:p>
        </w:tc>
      </w:tr>
    </w:tbl>
    <w:p w14:paraId="51C89AA0" w14:textId="77777777" w:rsidR="004E2F51" w:rsidRPr="00131EA9" w:rsidRDefault="004E2F51" w:rsidP="004E2F51">
      <w:pPr>
        <w:pStyle w:val="TT"/>
        <w:spacing w:line="240" w:lineRule="auto"/>
        <w:rPr>
          <w:rFonts w:cs="Arial"/>
          <w:i/>
          <w:color w:val="000000" w:themeColor="text1"/>
          <w:sz w:val="20"/>
          <w:lang w:val="hr-HR"/>
        </w:rPr>
      </w:pPr>
    </w:p>
    <w:p w14:paraId="17E0CCB6" w14:textId="77777777" w:rsidR="004E2F51" w:rsidRPr="00131EA9" w:rsidRDefault="004E2F51" w:rsidP="004E2F51">
      <w:pPr>
        <w:pStyle w:val="TT"/>
        <w:spacing w:line="240" w:lineRule="auto"/>
        <w:rPr>
          <w:rFonts w:cs="Arial"/>
          <w:i/>
          <w:color w:val="000000" w:themeColor="text1"/>
          <w:sz w:val="20"/>
          <w:lang w:val="hr-HR"/>
        </w:rPr>
      </w:pPr>
    </w:p>
    <w:p w14:paraId="261A1AC4" w14:textId="77777777" w:rsidR="004E2F51" w:rsidRPr="00094A70" w:rsidRDefault="004E2F51" w:rsidP="004E2F51">
      <w:pPr>
        <w:pStyle w:val="TT"/>
        <w:spacing w:line="240" w:lineRule="auto"/>
        <w:jc w:val="both"/>
        <w:rPr>
          <w:rFonts w:cs="Arial"/>
          <w:i/>
          <w:color w:val="000000" w:themeColor="text1"/>
          <w:sz w:val="18"/>
          <w:szCs w:val="18"/>
          <w:lang w:val="hr-HR"/>
        </w:rPr>
      </w:pPr>
      <w:r w:rsidRPr="00094A70">
        <w:rPr>
          <w:rFonts w:cs="Arial"/>
          <w:i/>
          <w:color w:val="000000" w:themeColor="text1"/>
          <w:sz w:val="18"/>
          <w:szCs w:val="18"/>
          <w:lang w:val="hr-HR"/>
        </w:rPr>
        <w:t>*Iznosi vezani uz jednosmjernu valutnu klauzulu iznose 28.554 tisuća kuna.</w:t>
      </w:r>
      <w:r w:rsidRPr="00094A70" w:rsidDel="00597E6E">
        <w:rPr>
          <w:rFonts w:cs="Arial"/>
          <w:i/>
          <w:color w:val="000000" w:themeColor="text1"/>
          <w:sz w:val="18"/>
          <w:szCs w:val="18"/>
          <w:lang w:val="hr-HR"/>
        </w:rPr>
        <w:t xml:space="preserve"> </w:t>
      </w:r>
    </w:p>
    <w:p w14:paraId="528190F7" w14:textId="77777777" w:rsidR="004E2F51" w:rsidRPr="00131EA9" w:rsidRDefault="004E2F51" w:rsidP="004E2F51">
      <w:pPr>
        <w:pStyle w:val="TT"/>
        <w:spacing w:line="240" w:lineRule="auto"/>
        <w:rPr>
          <w:rFonts w:cs="Arial"/>
          <w:i/>
          <w:color w:val="000000" w:themeColor="text1"/>
          <w:sz w:val="20"/>
          <w:lang w:val="hr-HR"/>
        </w:rPr>
      </w:pPr>
    </w:p>
    <w:p w14:paraId="4FA343AC" w14:textId="77777777" w:rsidR="004E2F51" w:rsidRPr="00131EA9" w:rsidRDefault="004E2F51" w:rsidP="004E2F51">
      <w:pPr>
        <w:pStyle w:val="TT"/>
        <w:spacing w:line="240" w:lineRule="auto"/>
        <w:jc w:val="both"/>
        <w:rPr>
          <w:rFonts w:cs="Arial"/>
          <w:i/>
          <w:color w:val="000000" w:themeColor="text1"/>
          <w:sz w:val="20"/>
          <w:lang w:val="hr-HR"/>
        </w:rPr>
      </w:pPr>
    </w:p>
    <w:p w14:paraId="4568058F" w14:textId="77777777" w:rsidR="004E2F51" w:rsidRPr="00131EA9" w:rsidRDefault="004E2F51" w:rsidP="004E2F51">
      <w:pPr>
        <w:pStyle w:val="TT"/>
        <w:spacing w:line="240" w:lineRule="auto"/>
        <w:jc w:val="both"/>
        <w:rPr>
          <w:rFonts w:cs="Arial"/>
          <w:i/>
          <w:color w:val="000000" w:themeColor="text1"/>
          <w:sz w:val="20"/>
          <w:lang w:val="hr-HR"/>
        </w:rPr>
        <w:sectPr w:rsidR="004E2F51" w:rsidRPr="00131EA9" w:rsidSect="00623DBA">
          <w:footerReference w:type="default" r:id="rId216"/>
          <w:pgSz w:w="11907" w:h="16840" w:code="9"/>
          <w:pgMar w:top="1418" w:right="1134" w:bottom="1134" w:left="1418" w:header="851" w:footer="851" w:gutter="0"/>
          <w:cols w:space="720"/>
          <w:noEndnote/>
        </w:sectPr>
      </w:pPr>
    </w:p>
    <w:p w14:paraId="42AA2441" w14:textId="77777777" w:rsidR="004E2F51" w:rsidRPr="00131EA9" w:rsidRDefault="004E2F51" w:rsidP="004E2F51">
      <w:pPr>
        <w:pStyle w:val="T1"/>
        <w:spacing w:line="300" w:lineRule="exact"/>
        <w:ind w:left="709" w:hanging="709"/>
        <w:rPr>
          <w:rFonts w:cs="Arial"/>
          <w:color w:val="000000" w:themeColor="text1"/>
          <w:sz w:val="20"/>
          <w:lang w:val="hr-HR"/>
        </w:rPr>
      </w:pPr>
      <w:r w:rsidRPr="00131EA9">
        <w:rPr>
          <w:rFonts w:cs="Arial"/>
          <w:color w:val="000000" w:themeColor="text1"/>
          <w:sz w:val="20"/>
          <w:lang w:val="hr-HR"/>
        </w:rPr>
        <w:lastRenderedPageBreak/>
        <w:t>3</w:t>
      </w:r>
      <w:r>
        <w:rPr>
          <w:rFonts w:cs="Arial"/>
          <w:color w:val="000000" w:themeColor="text1"/>
          <w:sz w:val="20"/>
          <w:lang w:val="hr-HR"/>
        </w:rPr>
        <w:t>1</w:t>
      </w:r>
      <w:r w:rsidRPr="00131EA9">
        <w:rPr>
          <w:rFonts w:cs="Arial"/>
          <w:color w:val="000000" w:themeColor="text1"/>
          <w:sz w:val="20"/>
          <w:lang w:val="hr-HR"/>
        </w:rPr>
        <w:t>.        Upravljanje rizicima (nastavak)</w:t>
      </w:r>
    </w:p>
    <w:p w14:paraId="143D9B45" w14:textId="77777777" w:rsidR="004E2F51" w:rsidRPr="00131EA9" w:rsidRDefault="004E2F51" w:rsidP="004E2F51">
      <w:pPr>
        <w:pStyle w:val="T1"/>
        <w:spacing w:before="120" w:line="300" w:lineRule="exact"/>
        <w:ind w:left="709" w:hanging="709"/>
        <w:rPr>
          <w:rFonts w:cs="Arial"/>
          <w:color w:val="000000" w:themeColor="text1"/>
          <w:sz w:val="20"/>
          <w:lang w:val="hr-HR"/>
        </w:rPr>
      </w:pPr>
      <w:r w:rsidRPr="00131EA9">
        <w:rPr>
          <w:rFonts w:cs="Arial"/>
          <w:color w:val="000000" w:themeColor="text1"/>
          <w:sz w:val="20"/>
          <w:lang w:val="hr-HR"/>
        </w:rPr>
        <w:t>3</w:t>
      </w:r>
      <w:r>
        <w:rPr>
          <w:rFonts w:cs="Arial"/>
          <w:color w:val="000000" w:themeColor="text1"/>
          <w:sz w:val="20"/>
          <w:lang w:val="hr-HR"/>
        </w:rPr>
        <w:t>1</w:t>
      </w:r>
      <w:r w:rsidRPr="00131EA9">
        <w:rPr>
          <w:rFonts w:cs="Arial"/>
          <w:color w:val="000000" w:themeColor="text1"/>
          <w:sz w:val="20"/>
          <w:lang w:val="hr-HR"/>
        </w:rPr>
        <w:t>.5.     Tržišni rizik (nastavak)</w:t>
      </w:r>
    </w:p>
    <w:p w14:paraId="1A7A6EC0" w14:textId="77777777" w:rsidR="004E2F51" w:rsidRPr="00131EA9" w:rsidRDefault="004E2F51" w:rsidP="004E2F51">
      <w:pPr>
        <w:pStyle w:val="T1"/>
        <w:spacing w:before="120" w:line="300" w:lineRule="exact"/>
        <w:ind w:left="709" w:hanging="709"/>
        <w:rPr>
          <w:rFonts w:cs="Arial"/>
          <w:color w:val="000000" w:themeColor="text1"/>
          <w:sz w:val="20"/>
          <w:lang w:val="hr-HR"/>
        </w:rPr>
      </w:pPr>
      <w:r w:rsidRPr="00131EA9">
        <w:rPr>
          <w:rFonts w:cs="Arial"/>
          <w:color w:val="000000" w:themeColor="text1"/>
          <w:sz w:val="20"/>
          <w:lang w:val="hr-HR"/>
        </w:rPr>
        <w:t>3</w:t>
      </w:r>
      <w:r>
        <w:rPr>
          <w:rFonts w:cs="Arial"/>
          <w:color w:val="000000" w:themeColor="text1"/>
          <w:sz w:val="20"/>
          <w:lang w:val="hr-HR"/>
        </w:rPr>
        <w:t>1</w:t>
      </w:r>
      <w:r w:rsidRPr="00131EA9">
        <w:rPr>
          <w:rFonts w:cs="Arial"/>
          <w:color w:val="000000" w:themeColor="text1"/>
          <w:sz w:val="20"/>
          <w:lang w:val="hr-HR"/>
        </w:rPr>
        <w:t>.5.2.  Valutni rizik (nastavak)</w:t>
      </w:r>
    </w:p>
    <w:p w14:paraId="65F77691" w14:textId="77777777" w:rsidR="004E2F51" w:rsidRPr="00131EA9" w:rsidRDefault="004E2F51" w:rsidP="004E2F51">
      <w:pPr>
        <w:pStyle w:val="T1"/>
        <w:spacing w:before="120" w:after="0" w:line="300" w:lineRule="exact"/>
        <w:rPr>
          <w:rFonts w:cs="Arial"/>
          <w:b w:val="0"/>
          <w:color w:val="000000" w:themeColor="text1"/>
          <w:sz w:val="20"/>
          <w:lang w:val="hr-HR"/>
        </w:rPr>
      </w:pPr>
      <w:r w:rsidRPr="00131EA9">
        <w:rPr>
          <w:rFonts w:cs="Arial"/>
          <w:b w:val="0"/>
          <w:color w:val="000000" w:themeColor="text1"/>
          <w:sz w:val="20"/>
          <w:lang w:val="hr-HR"/>
        </w:rPr>
        <w:t>Iznos ukupne imovine i ukupnih obveza na dan 31. prosinca 202</w:t>
      </w:r>
      <w:r>
        <w:rPr>
          <w:rFonts w:cs="Arial"/>
          <w:b w:val="0"/>
          <w:color w:val="000000" w:themeColor="text1"/>
          <w:sz w:val="20"/>
          <w:lang w:val="hr-HR"/>
        </w:rPr>
        <w:t>2</w:t>
      </w:r>
      <w:r w:rsidRPr="00131EA9">
        <w:rPr>
          <w:rFonts w:cs="Arial"/>
          <w:b w:val="0"/>
          <w:color w:val="000000" w:themeColor="text1"/>
          <w:sz w:val="20"/>
          <w:lang w:val="hr-HR"/>
        </w:rPr>
        <w:t>. i 31. prosinca 202</w:t>
      </w:r>
      <w:r>
        <w:rPr>
          <w:rFonts w:cs="Arial"/>
          <w:b w:val="0"/>
          <w:color w:val="000000" w:themeColor="text1"/>
          <w:sz w:val="20"/>
          <w:lang w:val="hr-HR"/>
        </w:rPr>
        <w:t>1</w:t>
      </w:r>
      <w:r w:rsidRPr="00131EA9">
        <w:rPr>
          <w:rFonts w:cs="Arial"/>
          <w:b w:val="0"/>
          <w:color w:val="000000" w:themeColor="text1"/>
          <w:sz w:val="20"/>
          <w:lang w:val="hr-HR"/>
        </w:rPr>
        <w:t>. u kunama i devizama:</w:t>
      </w:r>
    </w:p>
    <w:p w14:paraId="618C8911" w14:textId="77777777" w:rsidR="004E2F51" w:rsidRPr="00131EA9" w:rsidRDefault="004E2F51" w:rsidP="004E2F51">
      <w:pPr>
        <w:tabs>
          <w:tab w:val="right" w:pos="1202"/>
        </w:tabs>
        <w:spacing w:line="240" w:lineRule="exact"/>
        <w:outlineLvl w:val="0"/>
        <w:rPr>
          <w:rFonts w:ascii="Arial" w:hAnsi="Arial" w:cs="Arial"/>
          <w:b/>
          <w:bCs/>
          <w:color w:val="000000" w:themeColor="text1"/>
          <w:sz w:val="20"/>
          <w:szCs w:val="20"/>
          <w:lang w:val="hr-HR"/>
        </w:rPr>
      </w:pPr>
    </w:p>
    <w:tbl>
      <w:tblPr>
        <w:tblpPr w:leftFromText="180" w:rightFromText="180" w:vertAnchor="page" w:horzAnchor="margin" w:tblpY="4742"/>
        <w:tblW w:w="5258" w:type="pct"/>
        <w:tblLayout w:type="fixed"/>
        <w:tblCellMar>
          <w:left w:w="120" w:type="dxa"/>
          <w:right w:w="120" w:type="dxa"/>
        </w:tblCellMar>
        <w:tblLook w:val="0000" w:firstRow="0" w:lastRow="0" w:firstColumn="0" w:lastColumn="0" w:noHBand="0" w:noVBand="0"/>
      </w:tblPr>
      <w:tblGrid>
        <w:gridCol w:w="3074"/>
        <w:gridCol w:w="997"/>
        <w:gridCol w:w="1191"/>
        <w:gridCol w:w="1019"/>
        <w:gridCol w:w="1186"/>
        <w:gridCol w:w="1253"/>
        <w:gridCol w:w="1118"/>
      </w:tblGrid>
      <w:tr w:rsidR="004E2F51" w:rsidRPr="00131EA9" w14:paraId="21B135D4" w14:textId="77777777" w:rsidTr="00E032FC">
        <w:trPr>
          <w:trHeight w:val="393"/>
        </w:trPr>
        <w:tc>
          <w:tcPr>
            <w:tcW w:w="1562" w:type="pct"/>
            <w:vAlign w:val="bottom"/>
          </w:tcPr>
          <w:p w14:paraId="67733CB2" w14:textId="77777777" w:rsidR="004E2F51" w:rsidRPr="00131EA9" w:rsidRDefault="004E2F51" w:rsidP="00E032FC">
            <w:pPr>
              <w:tabs>
                <w:tab w:val="right" w:pos="1202"/>
              </w:tabs>
              <w:spacing w:line="220" w:lineRule="exact"/>
              <w:outlineLvl w:val="0"/>
              <w:rPr>
                <w:rFonts w:ascii="Arial" w:hAnsi="Arial" w:cs="Arial"/>
                <w:b/>
                <w:color w:val="000000" w:themeColor="text1"/>
                <w:sz w:val="17"/>
                <w:szCs w:val="17"/>
                <w:lang w:val="hr-HR"/>
              </w:rPr>
            </w:pPr>
            <w:bookmarkStart w:id="1887" w:name="_Toc67330752"/>
            <w:r w:rsidRPr="00131EA9">
              <w:rPr>
                <w:rFonts w:ascii="Arial" w:hAnsi="Arial" w:cs="Arial"/>
                <w:b/>
                <w:color w:val="000000" w:themeColor="text1"/>
                <w:sz w:val="17"/>
                <w:szCs w:val="17"/>
                <w:lang w:val="hr-HR"/>
              </w:rPr>
              <w:t>Banka</w:t>
            </w:r>
            <w:bookmarkEnd w:id="1887"/>
          </w:p>
          <w:p w14:paraId="4AEC6B9B" w14:textId="77777777" w:rsidR="004E2F51" w:rsidRPr="00131EA9" w:rsidRDefault="004E2F51" w:rsidP="00E032FC">
            <w:pPr>
              <w:tabs>
                <w:tab w:val="right" w:pos="1202"/>
              </w:tabs>
              <w:spacing w:line="220" w:lineRule="exact"/>
              <w:outlineLvl w:val="0"/>
              <w:rPr>
                <w:rFonts w:ascii="Arial" w:hAnsi="Arial" w:cs="Arial"/>
                <w:b/>
                <w:color w:val="000000" w:themeColor="text1"/>
                <w:sz w:val="17"/>
                <w:szCs w:val="17"/>
                <w:lang w:val="hr-HR"/>
              </w:rPr>
            </w:pPr>
          </w:p>
          <w:p w14:paraId="6AE8E535" w14:textId="77777777" w:rsidR="004E2F51" w:rsidRPr="00131EA9" w:rsidRDefault="004E2F51" w:rsidP="00E032FC">
            <w:pPr>
              <w:tabs>
                <w:tab w:val="right" w:pos="1202"/>
              </w:tabs>
              <w:spacing w:line="220" w:lineRule="exact"/>
              <w:outlineLvl w:val="0"/>
              <w:rPr>
                <w:rFonts w:ascii="Arial" w:hAnsi="Arial" w:cs="Arial"/>
                <w:b/>
                <w:color w:val="000000" w:themeColor="text1"/>
                <w:sz w:val="17"/>
                <w:szCs w:val="17"/>
                <w:lang w:val="hr-HR"/>
              </w:rPr>
            </w:pPr>
            <w:bookmarkStart w:id="1888" w:name="_Toc67330753"/>
            <w:r w:rsidRPr="00131EA9">
              <w:rPr>
                <w:rFonts w:ascii="Arial" w:hAnsi="Arial" w:cs="Arial"/>
                <w:b/>
                <w:color w:val="000000" w:themeColor="text1"/>
                <w:sz w:val="17"/>
                <w:szCs w:val="17"/>
                <w:lang w:val="hr-HR"/>
              </w:rPr>
              <w:t>31. prosinca 202</w:t>
            </w:r>
            <w:r>
              <w:rPr>
                <w:rFonts w:ascii="Arial" w:hAnsi="Arial" w:cs="Arial"/>
                <w:b/>
                <w:color w:val="000000" w:themeColor="text1"/>
                <w:sz w:val="17"/>
                <w:szCs w:val="17"/>
                <w:lang w:val="hr-HR"/>
              </w:rPr>
              <w:t>2</w:t>
            </w:r>
            <w:r w:rsidRPr="00131EA9">
              <w:rPr>
                <w:rFonts w:ascii="Arial" w:hAnsi="Arial" w:cs="Arial"/>
                <w:b/>
                <w:color w:val="000000" w:themeColor="text1"/>
                <w:sz w:val="17"/>
                <w:szCs w:val="17"/>
                <w:lang w:val="hr-HR"/>
              </w:rPr>
              <w:t>.</w:t>
            </w:r>
            <w:bookmarkEnd w:id="1888"/>
            <w:r w:rsidRPr="00131EA9">
              <w:rPr>
                <w:rFonts w:ascii="Arial" w:hAnsi="Arial" w:cs="Arial"/>
                <w:b/>
                <w:color w:val="000000" w:themeColor="text1"/>
                <w:sz w:val="17"/>
                <w:szCs w:val="17"/>
                <w:lang w:val="hr-HR"/>
              </w:rPr>
              <w:t xml:space="preserve"> </w:t>
            </w:r>
          </w:p>
        </w:tc>
        <w:tc>
          <w:tcPr>
            <w:tcW w:w="506" w:type="pct"/>
          </w:tcPr>
          <w:p w14:paraId="03AE2289"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bookmarkStart w:id="1889" w:name="_Toc67330754"/>
            <w:r w:rsidRPr="00131EA9">
              <w:rPr>
                <w:rFonts w:ascii="Arial" w:hAnsi="Arial" w:cs="Arial"/>
                <w:b/>
                <w:color w:val="000000" w:themeColor="text1"/>
                <w:sz w:val="17"/>
                <w:szCs w:val="17"/>
                <w:lang w:val="hr-HR"/>
              </w:rPr>
              <w:t>USD</w:t>
            </w:r>
            <w:bookmarkEnd w:id="1889"/>
          </w:p>
        </w:tc>
        <w:tc>
          <w:tcPr>
            <w:tcW w:w="605" w:type="pct"/>
          </w:tcPr>
          <w:p w14:paraId="4A6F940C"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bookmarkStart w:id="1890" w:name="_Toc67330755"/>
            <w:r w:rsidRPr="00131EA9">
              <w:rPr>
                <w:rFonts w:ascii="Arial" w:hAnsi="Arial" w:cs="Arial"/>
                <w:b/>
                <w:color w:val="000000" w:themeColor="text1"/>
                <w:sz w:val="17"/>
                <w:szCs w:val="17"/>
                <w:lang w:val="hr-HR"/>
              </w:rPr>
              <w:t>EUR</w:t>
            </w:r>
            <w:bookmarkEnd w:id="1890"/>
            <w:r w:rsidRPr="00131EA9">
              <w:rPr>
                <w:rFonts w:ascii="Arial" w:hAnsi="Arial" w:cs="Arial"/>
                <w:b/>
                <w:color w:val="000000" w:themeColor="text1"/>
                <w:sz w:val="17"/>
                <w:szCs w:val="17"/>
                <w:lang w:val="hr-HR"/>
              </w:rPr>
              <w:t xml:space="preserve"> </w:t>
            </w:r>
          </w:p>
        </w:tc>
        <w:tc>
          <w:tcPr>
            <w:tcW w:w="518" w:type="pct"/>
          </w:tcPr>
          <w:p w14:paraId="358F65A1"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bookmarkStart w:id="1891" w:name="_Toc67330756"/>
            <w:r w:rsidRPr="00131EA9">
              <w:rPr>
                <w:rFonts w:ascii="Arial" w:hAnsi="Arial" w:cs="Arial"/>
                <w:b/>
                <w:color w:val="000000" w:themeColor="text1"/>
                <w:sz w:val="17"/>
                <w:szCs w:val="17"/>
                <w:lang w:val="hr-HR"/>
              </w:rPr>
              <w:t>Ostale valute</w:t>
            </w:r>
            <w:bookmarkEnd w:id="1891"/>
          </w:p>
        </w:tc>
        <w:tc>
          <w:tcPr>
            <w:tcW w:w="603" w:type="pct"/>
          </w:tcPr>
          <w:p w14:paraId="593AA016"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bookmarkStart w:id="1892" w:name="_Toc67330757"/>
            <w:r w:rsidRPr="00131EA9">
              <w:rPr>
                <w:rFonts w:ascii="Arial" w:hAnsi="Arial" w:cs="Arial"/>
                <w:b/>
                <w:color w:val="000000" w:themeColor="text1"/>
                <w:sz w:val="17"/>
                <w:szCs w:val="17"/>
                <w:lang w:val="hr-HR"/>
              </w:rPr>
              <w:t>Ukupno strane valute</w:t>
            </w:r>
            <w:bookmarkEnd w:id="1892"/>
          </w:p>
        </w:tc>
        <w:tc>
          <w:tcPr>
            <w:tcW w:w="637" w:type="pct"/>
          </w:tcPr>
          <w:p w14:paraId="391C5A96"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bookmarkStart w:id="1893" w:name="_Toc67330758"/>
            <w:r w:rsidRPr="00131EA9">
              <w:rPr>
                <w:rFonts w:ascii="Arial" w:hAnsi="Arial" w:cs="Arial"/>
                <w:b/>
                <w:color w:val="000000" w:themeColor="text1"/>
                <w:sz w:val="17"/>
                <w:szCs w:val="17"/>
                <w:lang w:val="hr-HR"/>
              </w:rPr>
              <w:t>Kune</w:t>
            </w:r>
            <w:bookmarkEnd w:id="1893"/>
          </w:p>
        </w:tc>
        <w:tc>
          <w:tcPr>
            <w:tcW w:w="568" w:type="pct"/>
          </w:tcPr>
          <w:p w14:paraId="0FCC0A3B"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bookmarkStart w:id="1894" w:name="_Toc67330759"/>
            <w:r w:rsidRPr="00131EA9">
              <w:rPr>
                <w:rFonts w:ascii="Arial" w:hAnsi="Arial" w:cs="Arial"/>
                <w:b/>
                <w:color w:val="000000" w:themeColor="text1"/>
                <w:sz w:val="17"/>
                <w:szCs w:val="17"/>
                <w:lang w:val="hr-HR"/>
              </w:rPr>
              <w:t>Ukupno</w:t>
            </w:r>
            <w:bookmarkEnd w:id="1894"/>
          </w:p>
        </w:tc>
      </w:tr>
      <w:tr w:rsidR="004E2F51" w:rsidRPr="00131EA9" w14:paraId="438C83E7" w14:textId="77777777" w:rsidTr="00E032FC">
        <w:trPr>
          <w:trHeight w:hRule="exact" w:val="208"/>
        </w:trPr>
        <w:tc>
          <w:tcPr>
            <w:tcW w:w="1562" w:type="pct"/>
          </w:tcPr>
          <w:p w14:paraId="266AC8EE" w14:textId="77777777" w:rsidR="004E2F51" w:rsidRPr="00131EA9" w:rsidRDefault="004E2F51" w:rsidP="00E032FC">
            <w:pPr>
              <w:tabs>
                <w:tab w:val="right" w:pos="1202"/>
              </w:tabs>
              <w:spacing w:line="220" w:lineRule="exact"/>
              <w:outlineLvl w:val="0"/>
              <w:rPr>
                <w:rFonts w:ascii="Arial" w:hAnsi="Arial" w:cs="Arial"/>
                <w:b/>
                <w:color w:val="000000" w:themeColor="text1"/>
                <w:sz w:val="17"/>
                <w:szCs w:val="17"/>
                <w:lang w:val="hr-HR"/>
              </w:rPr>
            </w:pPr>
          </w:p>
        </w:tc>
        <w:tc>
          <w:tcPr>
            <w:tcW w:w="506" w:type="pct"/>
          </w:tcPr>
          <w:p w14:paraId="69AB0DCD"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bookmarkStart w:id="1895" w:name="_Toc67330760"/>
            <w:r w:rsidRPr="00131EA9">
              <w:rPr>
                <w:rFonts w:ascii="Arial" w:hAnsi="Arial" w:cs="Arial"/>
                <w:b/>
                <w:color w:val="000000" w:themeColor="text1"/>
                <w:sz w:val="17"/>
                <w:szCs w:val="17"/>
                <w:lang w:val="hr-HR"/>
              </w:rPr>
              <w:t>000 kuna</w:t>
            </w:r>
            <w:bookmarkEnd w:id="1895"/>
          </w:p>
        </w:tc>
        <w:tc>
          <w:tcPr>
            <w:tcW w:w="605" w:type="pct"/>
          </w:tcPr>
          <w:p w14:paraId="623D6C47"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bookmarkStart w:id="1896" w:name="_Toc67330761"/>
            <w:r w:rsidRPr="00131EA9">
              <w:rPr>
                <w:rFonts w:ascii="Arial" w:hAnsi="Arial" w:cs="Arial"/>
                <w:b/>
                <w:color w:val="000000" w:themeColor="text1"/>
                <w:sz w:val="17"/>
                <w:szCs w:val="17"/>
                <w:lang w:val="hr-HR"/>
              </w:rPr>
              <w:t>000 kuna</w:t>
            </w:r>
            <w:bookmarkEnd w:id="1896"/>
          </w:p>
        </w:tc>
        <w:tc>
          <w:tcPr>
            <w:tcW w:w="518" w:type="pct"/>
          </w:tcPr>
          <w:p w14:paraId="696FD4D4"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bookmarkStart w:id="1897" w:name="_Toc67330762"/>
            <w:r w:rsidRPr="00131EA9">
              <w:rPr>
                <w:rFonts w:ascii="Arial" w:hAnsi="Arial" w:cs="Arial"/>
                <w:b/>
                <w:color w:val="000000" w:themeColor="text1"/>
                <w:sz w:val="17"/>
                <w:szCs w:val="17"/>
                <w:lang w:val="hr-HR"/>
              </w:rPr>
              <w:t>000 kuna</w:t>
            </w:r>
            <w:bookmarkEnd w:id="1897"/>
          </w:p>
        </w:tc>
        <w:tc>
          <w:tcPr>
            <w:tcW w:w="603" w:type="pct"/>
          </w:tcPr>
          <w:p w14:paraId="0244BE95"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bookmarkStart w:id="1898" w:name="_Toc67330763"/>
            <w:r w:rsidRPr="00131EA9">
              <w:rPr>
                <w:rFonts w:ascii="Arial" w:hAnsi="Arial" w:cs="Arial"/>
                <w:b/>
                <w:color w:val="000000" w:themeColor="text1"/>
                <w:sz w:val="17"/>
                <w:szCs w:val="17"/>
                <w:lang w:val="hr-HR"/>
              </w:rPr>
              <w:t>000 kuna</w:t>
            </w:r>
            <w:bookmarkEnd w:id="1898"/>
          </w:p>
        </w:tc>
        <w:tc>
          <w:tcPr>
            <w:tcW w:w="637" w:type="pct"/>
          </w:tcPr>
          <w:p w14:paraId="22500D62"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bookmarkStart w:id="1899" w:name="_Toc67330764"/>
            <w:r w:rsidRPr="00131EA9">
              <w:rPr>
                <w:rFonts w:ascii="Arial" w:hAnsi="Arial" w:cs="Arial"/>
                <w:b/>
                <w:color w:val="000000" w:themeColor="text1"/>
                <w:sz w:val="17"/>
                <w:szCs w:val="17"/>
                <w:lang w:val="hr-HR"/>
              </w:rPr>
              <w:t>000 kuna</w:t>
            </w:r>
            <w:bookmarkEnd w:id="1899"/>
          </w:p>
        </w:tc>
        <w:tc>
          <w:tcPr>
            <w:tcW w:w="568" w:type="pct"/>
          </w:tcPr>
          <w:p w14:paraId="741E255E"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bookmarkStart w:id="1900" w:name="_Toc67330765"/>
            <w:r w:rsidRPr="00131EA9">
              <w:rPr>
                <w:rFonts w:ascii="Arial" w:hAnsi="Arial" w:cs="Arial"/>
                <w:b/>
                <w:color w:val="000000" w:themeColor="text1"/>
                <w:sz w:val="17"/>
                <w:szCs w:val="17"/>
                <w:lang w:val="hr-HR"/>
              </w:rPr>
              <w:t>000 kuna</w:t>
            </w:r>
            <w:bookmarkEnd w:id="1900"/>
          </w:p>
        </w:tc>
      </w:tr>
      <w:tr w:rsidR="004E2F51" w:rsidRPr="00131EA9" w14:paraId="53BAC953" w14:textId="77777777" w:rsidTr="00E032FC">
        <w:trPr>
          <w:trHeight w:val="257"/>
        </w:trPr>
        <w:tc>
          <w:tcPr>
            <w:tcW w:w="1562" w:type="pct"/>
          </w:tcPr>
          <w:p w14:paraId="00AD1F65"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bookmarkStart w:id="1901" w:name="_Toc67330766"/>
            <w:r w:rsidRPr="00131EA9">
              <w:rPr>
                <w:rFonts w:ascii="Arial" w:hAnsi="Arial" w:cs="Arial"/>
                <w:b/>
                <w:bCs/>
                <w:color w:val="000000" w:themeColor="text1"/>
                <w:sz w:val="17"/>
                <w:szCs w:val="17"/>
                <w:lang w:val="hr-HR"/>
              </w:rPr>
              <w:t>Imovina</w:t>
            </w:r>
            <w:bookmarkEnd w:id="1901"/>
          </w:p>
        </w:tc>
        <w:tc>
          <w:tcPr>
            <w:tcW w:w="506" w:type="pct"/>
            <w:vAlign w:val="bottom"/>
          </w:tcPr>
          <w:p w14:paraId="0C9A1D71"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p>
        </w:tc>
        <w:tc>
          <w:tcPr>
            <w:tcW w:w="605" w:type="pct"/>
            <w:vAlign w:val="bottom"/>
          </w:tcPr>
          <w:p w14:paraId="0F6830ED" w14:textId="77777777" w:rsidR="004E2F51" w:rsidRPr="00131EA9" w:rsidRDefault="004E2F51" w:rsidP="00E032FC">
            <w:pPr>
              <w:tabs>
                <w:tab w:val="right" w:pos="1202"/>
              </w:tabs>
              <w:spacing w:line="240" w:lineRule="exact"/>
              <w:jc w:val="right"/>
              <w:outlineLvl w:val="0"/>
              <w:rPr>
                <w:rFonts w:ascii="Arial" w:hAnsi="Arial" w:cs="Arial"/>
                <w:b/>
                <w:bCs/>
                <w:color w:val="000000" w:themeColor="text1"/>
                <w:sz w:val="17"/>
                <w:szCs w:val="17"/>
                <w:lang w:val="hr-HR"/>
              </w:rPr>
            </w:pPr>
          </w:p>
        </w:tc>
        <w:tc>
          <w:tcPr>
            <w:tcW w:w="518" w:type="pct"/>
            <w:vAlign w:val="bottom"/>
          </w:tcPr>
          <w:p w14:paraId="2B29ADE8"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p>
        </w:tc>
        <w:tc>
          <w:tcPr>
            <w:tcW w:w="603" w:type="pct"/>
            <w:vAlign w:val="bottom"/>
          </w:tcPr>
          <w:p w14:paraId="79016925"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p>
        </w:tc>
        <w:tc>
          <w:tcPr>
            <w:tcW w:w="637" w:type="pct"/>
            <w:vAlign w:val="bottom"/>
          </w:tcPr>
          <w:p w14:paraId="462B9A0E"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p>
        </w:tc>
        <w:tc>
          <w:tcPr>
            <w:tcW w:w="568" w:type="pct"/>
            <w:vAlign w:val="bottom"/>
          </w:tcPr>
          <w:p w14:paraId="11C1D2A5"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p>
        </w:tc>
      </w:tr>
      <w:tr w:rsidR="004E2F51" w:rsidRPr="00131EA9" w14:paraId="07713A2A" w14:textId="77777777" w:rsidTr="00E032FC">
        <w:trPr>
          <w:trHeight w:hRule="exact" w:val="278"/>
        </w:trPr>
        <w:tc>
          <w:tcPr>
            <w:tcW w:w="1562" w:type="pct"/>
            <w:vAlign w:val="bottom"/>
          </w:tcPr>
          <w:p w14:paraId="3FCA56A2"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bookmarkStart w:id="1902" w:name="_Toc67330767"/>
            <w:r w:rsidRPr="00131EA9">
              <w:rPr>
                <w:rFonts w:ascii="Arial" w:hAnsi="Arial" w:cs="Arial"/>
                <w:color w:val="000000" w:themeColor="text1"/>
                <w:spacing w:val="-2"/>
                <w:sz w:val="17"/>
                <w:szCs w:val="17"/>
                <w:lang w:val="hr-HR"/>
              </w:rPr>
              <w:t>Novčana sredstva i računi kod banaka</w:t>
            </w:r>
            <w:bookmarkEnd w:id="1902"/>
          </w:p>
        </w:tc>
        <w:tc>
          <w:tcPr>
            <w:tcW w:w="506" w:type="pct"/>
            <w:tcBorders>
              <w:top w:val="nil"/>
              <w:left w:val="nil"/>
              <w:right w:val="nil"/>
            </w:tcBorders>
            <w:vAlign w:val="bottom"/>
          </w:tcPr>
          <w:p w14:paraId="506A6AC1"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14.662 </w:t>
            </w:r>
          </w:p>
        </w:tc>
        <w:tc>
          <w:tcPr>
            <w:tcW w:w="605" w:type="pct"/>
            <w:tcBorders>
              <w:top w:val="nil"/>
              <w:left w:val="nil"/>
              <w:right w:val="nil"/>
            </w:tcBorders>
            <w:vAlign w:val="bottom"/>
          </w:tcPr>
          <w:p w14:paraId="1D8E4927"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85.418 </w:t>
            </w:r>
          </w:p>
        </w:tc>
        <w:tc>
          <w:tcPr>
            <w:tcW w:w="518" w:type="pct"/>
            <w:tcBorders>
              <w:top w:val="nil"/>
              <w:left w:val="nil"/>
              <w:right w:val="nil"/>
            </w:tcBorders>
            <w:vAlign w:val="bottom"/>
          </w:tcPr>
          <w:p w14:paraId="76992B3E"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29 </w:t>
            </w:r>
          </w:p>
        </w:tc>
        <w:tc>
          <w:tcPr>
            <w:tcW w:w="603" w:type="pct"/>
            <w:tcBorders>
              <w:top w:val="nil"/>
              <w:left w:val="nil"/>
              <w:right w:val="nil"/>
            </w:tcBorders>
            <w:vAlign w:val="bottom"/>
          </w:tcPr>
          <w:p w14:paraId="6D1CCDB3"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100.109 </w:t>
            </w:r>
          </w:p>
        </w:tc>
        <w:tc>
          <w:tcPr>
            <w:tcW w:w="637" w:type="pct"/>
            <w:tcBorders>
              <w:top w:val="nil"/>
              <w:left w:val="nil"/>
              <w:right w:val="nil"/>
            </w:tcBorders>
            <w:vAlign w:val="bottom"/>
          </w:tcPr>
          <w:p w14:paraId="050C46B0"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1.616.410 </w:t>
            </w:r>
          </w:p>
        </w:tc>
        <w:tc>
          <w:tcPr>
            <w:tcW w:w="568" w:type="pct"/>
            <w:tcBorders>
              <w:top w:val="nil"/>
              <w:left w:val="nil"/>
            </w:tcBorders>
            <w:vAlign w:val="bottom"/>
          </w:tcPr>
          <w:p w14:paraId="43008EC0"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1.716.519 </w:t>
            </w:r>
          </w:p>
        </w:tc>
      </w:tr>
      <w:tr w:rsidR="004E2F51" w:rsidRPr="00131EA9" w14:paraId="524A3385" w14:textId="77777777" w:rsidTr="00E032FC">
        <w:trPr>
          <w:trHeight w:hRule="exact" w:val="278"/>
        </w:trPr>
        <w:tc>
          <w:tcPr>
            <w:tcW w:w="1562" w:type="pct"/>
            <w:vAlign w:val="bottom"/>
          </w:tcPr>
          <w:p w14:paraId="1DD10BA4"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bookmarkStart w:id="1903" w:name="_Toc67330768"/>
            <w:r w:rsidRPr="00131EA9">
              <w:rPr>
                <w:rFonts w:ascii="Arial" w:hAnsi="Arial" w:cs="Arial"/>
                <w:color w:val="000000" w:themeColor="text1"/>
                <w:spacing w:val="-2"/>
                <w:sz w:val="17"/>
                <w:szCs w:val="17"/>
                <w:lang w:val="hr-HR"/>
              </w:rPr>
              <w:t>Depoziti kod drugih banaka</w:t>
            </w:r>
            <w:bookmarkEnd w:id="1903"/>
          </w:p>
        </w:tc>
        <w:tc>
          <w:tcPr>
            <w:tcW w:w="506" w:type="pct"/>
            <w:tcBorders>
              <w:top w:val="nil"/>
              <w:left w:val="nil"/>
              <w:bottom w:val="nil"/>
              <w:right w:val="nil"/>
            </w:tcBorders>
            <w:vAlign w:val="bottom"/>
          </w:tcPr>
          <w:p w14:paraId="77B856C3"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5" w:type="pct"/>
            <w:tcBorders>
              <w:top w:val="nil"/>
              <w:left w:val="nil"/>
              <w:bottom w:val="nil"/>
              <w:right w:val="nil"/>
            </w:tcBorders>
            <w:vAlign w:val="bottom"/>
          </w:tcPr>
          <w:p w14:paraId="75E55BEA"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10.596 </w:t>
            </w:r>
          </w:p>
        </w:tc>
        <w:tc>
          <w:tcPr>
            <w:tcW w:w="518" w:type="pct"/>
            <w:tcBorders>
              <w:top w:val="nil"/>
              <w:left w:val="nil"/>
              <w:bottom w:val="nil"/>
              <w:right w:val="nil"/>
            </w:tcBorders>
            <w:vAlign w:val="bottom"/>
          </w:tcPr>
          <w:p w14:paraId="7B04218E"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3" w:type="pct"/>
            <w:tcBorders>
              <w:top w:val="nil"/>
              <w:left w:val="nil"/>
              <w:bottom w:val="nil"/>
              <w:right w:val="nil"/>
            </w:tcBorders>
            <w:vAlign w:val="bottom"/>
          </w:tcPr>
          <w:p w14:paraId="68884709"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10.596 </w:t>
            </w:r>
          </w:p>
        </w:tc>
        <w:tc>
          <w:tcPr>
            <w:tcW w:w="637" w:type="pct"/>
            <w:tcBorders>
              <w:top w:val="nil"/>
              <w:left w:val="nil"/>
              <w:bottom w:val="nil"/>
              <w:right w:val="nil"/>
            </w:tcBorders>
            <w:vAlign w:val="bottom"/>
          </w:tcPr>
          <w:p w14:paraId="4F1A0740"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568" w:type="pct"/>
            <w:tcBorders>
              <w:top w:val="nil"/>
              <w:left w:val="nil"/>
              <w:bottom w:val="nil"/>
            </w:tcBorders>
            <w:vAlign w:val="bottom"/>
          </w:tcPr>
          <w:p w14:paraId="3494FA11"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10.596 </w:t>
            </w:r>
          </w:p>
        </w:tc>
      </w:tr>
      <w:tr w:rsidR="004E2F51" w:rsidRPr="00131EA9" w14:paraId="43DAFDEF" w14:textId="77777777" w:rsidTr="00E032FC">
        <w:trPr>
          <w:trHeight w:hRule="exact" w:val="278"/>
        </w:trPr>
        <w:tc>
          <w:tcPr>
            <w:tcW w:w="1562" w:type="pct"/>
            <w:vAlign w:val="bottom"/>
          </w:tcPr>
          <w:p w14:paraId="03A74AE3"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bookmarkStart w:id="1904" w:name="_Toc67330769"/>
            <w:r w:rsidRPr="00131EA9">
              <w:rPr>
                <w:rFonts w:ascii="Arial" w:hAnsi="Arial" w:cs="Arial"/>
                <w:color w:val="000000" w:themeColor="text1"/>
                <w:spacing w:val="-2"/>
                <w:sz w:val="17"/>
                <w:szCs w:val="17"/>
                <w:lang w:val="hr-HR"/>
              </w:rPr>
              <w:t>Krediti financijskim institucijama</w:t>
            </w:r>
            <w:bookmarkEnd w:id="1904"/>
          </w:p>
        </w:tc>
        <w:tc>
          <w:tcPr>
            <w:tcW w:w="506" w:type="pct"/>
            <w:tcBorders>
              <w:top w:val="nil"/>
              <w:left w:val="nil"/>
              <w:bottom w:val="nil"/>
              <w:right w:val="nil"/>
            </w:tcBorders>
            <w:vAlign w:val="bottom"/>
          </w:tcPr>
          <w:p w14:paraId="43F0AA93"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5" w:type="pct"/>
            <w:tcBorders>
              <w:top w:val="nil"/>
              <w:left w:val="nil"/>
              <w:bottom w:val="nil"/>
              <w:right w:val="nil"/>
            </w:tcBorders>
            <w:vAlign w:val="bottom"/>
          </w:tcPr>
          <w:p w14:paraId="02CCA784"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3.305.996 </w:t>
            </w:r>
          </w:p>
        </w:tc>
        <w:tc>
          <w:tcPr>
            <w:tcW w:w="518" w:type="pct"/>
            <w:tcBorders>
              <w:top w:val="nil"/>
              <w:left w:val="nil"/>
              <w:bottom w:val="nil"/>
              <w:right w:val="nil"/>
            </w:tcBorders>
            <w:vAlign w:val="bottom"/>
          </w:tcPr>
          <w:p w14:paraId="00432BD4"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3" w:type="pct"/>
            <w:tcBorders>
              <w:top w:val="nil"/>
              <w:left w:val="nil"/>
              <w:bottom w:val="nil"/>
              <w:right w:val="nil"/>
            </w:tcBorders>
            <w:vAlign w:val="bottom"/>
          </w:tcPr>
          <w:p w14:paraId="2BF51253"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3.305.996 </w:t>
            </w:r>
          </w:p>
        </w:tc>
        <w:tc>
          <w:tcPr>
            <w:tcW w:w="637" w:type="pct"/>
            <w:tcBorders>
              <w:top w:val="nil"/>
              <w:left w:val="nil"/>
              <w:bottom w:val="nil"/>
              <w:right w:val="nil"/>
            </w:tcBorders>
            <w:vAlign w:val="bottom"/>
          </w:tcPr>
          <w:p w14:paraId="73CCCE5D"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3.678.716 </w:t>
            </w:r>
          </w:p>
        </w:tc>
        <w:tc>
          <w:tcPr>
            <w:tcW w:w="568" w:type="pct"/>
            <w:tcBorders>
              <w:top w:val="nil"/>
              <w:left w:val="nil"/>
              <w:bottom w:val="nil"/>
            </w:tcBorders>
            <w:vAlign w:val="bottom"/>
          </w:tcPr>
          <w:p w14:paraId="1315BC06"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6.984.712 </w:t>
            </w:r>
          </w:p>
        </w:tc>
      </w:tr>
      <w:tr w:rsidR="004E2F51" w:rsidRPr="00131EA9" w14:paraId="0FE6C604" w14:textId="77777777" w:rsidTr="00E032FC">
        <w:trPr>
          <w:trHeight w:hRule="exact" w:val="278"/>
        </w:trPr>
        <w:tc>
          <w:tcPr>
            <w:tcW w:w="1562" w:type="pct"/>
            <w:vAlign w:val="bottom"/>
          </w:tcPr>
          <w:p w14:paraId="434C85CD"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bookmarkStart w:id="1905" w:name="_Toc67330770"/>
            <w:r w:rsidRPr="00131EA9">
              <w:rPr>
                <w:rFonts w:ascii="Arial" w:hAnsi="Arial" w:cs="Arial"/>
                <w:color w:val="000000" w:themeColor="text1"/>
                <w:spacing w:val="-2"/>
                <w:sz w:val="17"/>
                <w:szCs w:val="17"/>
                <w:lang w:val="hr-HR"/>
              </w:rPr>
              <w:t>Krediti ostalim korisnicima</w:t>
            </w:r>
            <w:bookmarkEnd w:id="1905"/>
          </w:p>
        </w:tc>
        <w:tc>
          <w:tcPr>
            <w:tcW w:w="506" w:type="pct"/>
            <w:tcBorders>
              <w:top w:val="nil"/>
              <w:left w:val="nil"/>
              <w:bottom w:val="nil"/>
              <w:right w:val="nil"/>
            </w:tcBorders>
            <w:vAlign w:val="bottom"/>
          </w:tcPr>
          <w:p w14:paraId="69B5EA5A"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146.813 </w:t>
            </w:r>
          </w:p>
        </w:tc>
        <w:tc>
          <w:tcPr>
            <w:tcW w:w="605" w:type="pct"/>
            <w:tcBorders>
              <w:top w:val="nil"/>
              <w:left w:val="nil"/>
              <w:bottom w:val="nil"/>
              <w:right w:val="nil"/>
            </w:tcBorders>
            <w:vAlign w:val="bottom"/>
          </w:tcPr>
          <w:p w14:paraId="02EC7995"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9.998.144 </w:t>
            </w:r>
          </w:p>
        </w:tc>
        <w:tc>
          <w:tcPr>
            <w:tcW w:w="518" w:type="pct"/>
            <w:tcBorders>
              <w:top w:val="nil"/>
              <w:left w:val="nil"/>
              <w:bottom w:val="nil"/>
              <w:right w:val="nil"/>
            </w:tcBorders>
            <w:vAlign w:val="bottom"/>
          </w:tcPr>
          <w:p w14:paraId="4500F869"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134.679 </w:t>
            </w:r>
          </w:p>
        </w:tc>
        <w:tc>
          <w:tcPr>
            <w:tcW w:w="603" w:type="pct"/>
            <w:tcBorders>
              <w:top w:val="nil"/>
              <w:left w:val="nil"/>
              <w:bottom w:val="nil"/>
              <w:right w:val="nil"/>
            </w:tcBorders>
            <w:vAlign w:val="bottom"/>
          </w:tcPr>
          <w:p w14:paraId="51469F39"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10.279.636 </w:t>
            </w:r>
          </w:p>
        </w:tc>
        <w:tc>
          <w:tcPr>
            <w:tcW w:w="637" w:type="pct"/>
            <w:tcBorders>
              <w:top w:val="nil"/>
              <w:left w:val="nil"/>
              <w:bottom w:val="nil"/>
              <w:right w:val="nil"/>
            </w:tcBorders>
            <w:vAlign w:val="bottom"/>
          </w:tcPr>
          <w:p w14:paraId="1D573EB4"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7.123.030 </w:t>
            </w:r>
          </w:p>
        </w:tc>
        <w:tc>
          <w:tcPr>
            <w:tcW w:w="568" w:type="pct"/>
            <w:tcBorders>
              <w:top w:val="nil"/>
              <w:left w:val="nil"/>
              <w:bottom w:val="nil"/>
            </w:tcBorders>
            <w:vAlign w:val="bottom"/>
          </w:tcPr>
          <w:p w14:paraId="370D2F92"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17.402.666 </w:t>
            </w:r>
          </w:p>
        </w:tc>
      </w:tr>
      <w:tr w:rsidR="004E2F51" w:rsidRPr="00131EA9" w14:paraId="06AA8D79" w14:textId="77777777" w:rsidTr="00E032FC">
        <w:trPr>
          <w:trHeight w:hRule="exact" w:val="510"/>
        </w:trPr>
        <w:tc>
          <w:tcPr>
            <w:tcW w:w="1562" w:type="pct"/>
            <w:vAlign w:val="bottom"/>
          </w:tcPr>
          <w:p w14:paraId="23472FFE" w14:textId="77777777" w:rsidR="004E2F51" w:rsidRPr="00131EA9" w:rsidRDefault="004E2F51" w:rsidP="00E032FC">
            <w:pPr>
              <w:tabs>
                <w:tab w:val="right" w:pos="1202"/>
              </w:tabs>
              <w:spacing w:line="240" w:lineRule="exact"/>
              <w:outlineLvl w:val="0"/>
              <w:rPr>
                <w:rFonts w:ascii="Arial" w:hAnsi="Arial" w:cs="Arial"/>
                <w:color w:val="000000" w:themeColor="text1"/>
                <w:spacing w:val="-2"/>
                <w:sz w:val="17"/>
                <w:szCs w:val="17"/>
                <w:lang w:val="hr-HR"/>
              </w:rPr>
            </w:pPr>
            <w:bookmarkStart w:id="1906" w:name="_Toc67330771"/>
            <w:r w:rsidRPr="00131EA9">
              <w:rPr>
                <w:rFonts w:ascii="Arial" w:hAnsi="Arial" w:cs="Arial"/>
                <w:color w:val="000000" w:themeColor="text1"/>
                <w:sz w:val="17"/>
                <w:szCs w:val="17"/>
                <w:lang w:val="hr-HR"/>
              </w:rPr>
              <w:t>Financijska imovina po fer vrijednosti kroz dobit ili gubitak</w:t>
            </w:r>
            <w:bookmarkEnd w:id="1906"/>
          </w:p>
        </w:tc>
        <w:tc>
          <w:tcPr>
            <w:tcW w:w="506" w:type="pct"/>
            <w:tcBorders>
              <w:top w:val="nil"/>
              <w:left w:val="nil"/>
              <w:bottom w:val="nil"/>
              <w:right w:val="nil"/>
            </w:tcBorders>
            <w:vAlign w:val="bottom"/>
          </w:tcPr>
          <w:p w14:paraId="7D08E103"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22.831 </w:t>
            </w:r>
          </w:p>
        </w:tc>
        <w:tc>
          <w:tcPr>
            <w:tcW w:w="605" w:type="pct"/>
            <w:tcBorders>
              <w:top w:val="nil"/>
              <w:left w:val="nil"/>
              <w:bottom w:val="nil"/>
              <w:right w:val="nil"/>
            </w:tcBorders>
            <w:vAlign w:val="bottom"/>
          </w:tcPr>
          <w:p w14:paraId="58AD23B4"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107.622 </w:t>
            </w:r>
          </w:p>
        </w:tc>
        <w:tc>
          <w:tcPr>
            <w:tcW w:w="518" w:type="pct"/>
            <w:tcBorders>
              <w:top w:val="nil"/>
              <w:left w:val="nil"/>
              <w:bottom w:val="nil"/>
              <w:right w:val="nil"/>
            </w:tcBorders>
            <w:vAlign w:val="bottom"/>
          </w:tcPr>
          <w:p w14:paraId="053F94B9"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3" w:type="pct"/>
            <w:tcBorders>
              <w:top w:val="nil"/>
              <w:left w:val="nil"/>
              <w:bottom w:val="nil"/>
              <w:right w:val="nil"/>
            </w:tcBorders>
            <w:vAlign w:val="bottom"/>
          </w:tcPr>
          <w:p w14:paraId="733938FF"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130.453 </w:t>
            </w:r>
          </w:p>
        </w:tc>
        <w:tc>
          <w:tcPr>
            <w:tcW w:w="637" w:type="pct"/>
            <w:tcBorders>
              <w:top w:val="nil"/>
              <w:left w:val="nil"/>
              <w:bottom w:val="nil"/>
              <w:right w:val="nil"/>
            </w:tcBorders>
            <w:vAlign w:val="bottom"/>
          </w:tcPr>
          <w:p w14:paraId="754C8CE3"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1.070 </w:t>
            </w:r>
          </w:p>
        </w:tc>
        <w:tc>
          <w:tcPr>
            <w:tcW w:w="568" w:type="pct"/>
            <w:tcBorders>
              <w:top w:val="nil"/>
              <w:left w:val="nil"/>
              <w:bottom w:val="nil"/>
            </w:tcBorders>
            <w:vAlign w:val="bottom"/>
          </w:tcPr>
          <w:p w14:paraId="14C5E338"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131.523 </w:t>
            </w:r>
          </w:p>
        </w:tc>
      </w:tr>
      <w:tr w:rsidR="004E2F51" w:rsidRPr="00131EA9" w14:paraId="66499E22" w14:textId="77777777" w:rsidTr="00E032FC">
        <w:trPr>
          <w:trHeight w:hRule="exact" w:val="560"/>
        </w:trPr>
        <w:tc>
          <w:tcPr>
            <w:tcW w:w="1562" w:type="pct"/>
            <w:vAlign w:val="bottom"/>
          </w:tcPr>
          <w:p w14:paraId="5802224A" w14:textId="77777777" w:rsidR="004E2F51" w:rsidRPr="00131EA9" w:rsidRDefault="004E2F51" w:rsidP="00E032FC">
            <w:pPr>
              <w:tabs>
                <w:tab w:val="right" w:pos="1202"/>
              </w:tabs>
              <w:spacing w:line="240" w:lineRule="exact"/>
              <w:outlineLvl w:val="0"/>
              <w:rPr>
                <w:rFonts w:ascii="Arial" w:hAnsi="Arial" w:cs="Arial"/>
                <w:color w:val="000000" w:themeColor="text1"/>
                <w:spacing w:val="-2"/>
                <w:sz w:val="17"/>
                <w:szCs w:val="17"/>
                <w:lang w:val="hr-HR"/>
              </w:rPr>
            </w:pPr>
            <w:bookmarkStart w:id="1907" w:name="_Toc67330772"/>
            <w:r w:rsidRPr="00131EA9">
              <w:rPr>
                <w:rFonts w:ascii="Arial" w:hAnsi="Arial" w:cs="Arial"/>
                <w:color w:val="000000" w:themeColor="text1"/>
                <w:sz w:val="17"/>
                <w:szCs w:val="17"/>
                <w:lang w:val="hr-HR"/>
              </w:rPr>
              <w:t>Financijska imovina po fer vrijednosti kroz ostalu sveobuhvatnu dobit</w:t>
            </w:r>
            <w:bookmarkEnd w:id="1907"/>
          </w:p>
        </w:tc>
        <w:tc>
          <w:tcPr>
            <w:tcW w:w="506" w:type="pct"/>
            <w:tcBorders>
              <w:top w:val="nil"/>
              <w:left w:val="nil"/>
              <w:bottom w:val="nil"/>
              <w:right w:val="nil"/>
            </w:tcBorders>
            <w:vAlign w:val="bottom"/>
          </w:tcPr>
          <w:p w14:paraId="64EA47B9"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5" w:type="pct"/>
            <w:tcBorders>
              <w:top w:val="nil"/>
              <w:left w:val="nil"/>
              <w:bottom w:val="nil"/>
              <w:right w:val="nil"/>
            </w:tcBorders>
            <w:vAlign w:val="bottom"/>
          </w:tcPr>
          <w:p w14:paraId="0ACE720E"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674.892 </w:t>
            </w:r>
          </w:p>
        </w:tc>
        <w:tc>
          <w:tcPr>
            <w:tcW w:w="518" w:type="pct"/>
            <w:tcBorders>
              <w:top w:val="nil"/>
              <w:left w:val="nil"/>
              <w:bottom w:val="nil"/>
              <w:right w:val="nil"/>
            </w:tcBorders>
            <w:vAlign w:val="bottom"/>
          </w:tcPr>
          <w:p w14:paraId="2CFA4181"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3" w:type="pct"/>
            <w:tcBorders>
              <w:top w:val="nil"/>
              <w:left w:val="nil"/>
              <w:bottom w:val="nil"/>
              <w:right w:val="nil"/>
            </w:tcBorders>
            <w:vAlign w:val="bottom"/>
          </w:tcPr>
          <w:p w14:paraId="17AFB11B"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674.892 </w:t>
            </w:r>
          </w:p>
        </w:tc>
        <w:tc>
          <w:tcPr>
            <w:tcW w:w="637" w:type="pct"/>
            <w:tcBorders>
              <w:top w:val="nil"/>
              <w:left w:val="nil"/>
              <w:bottom w:val="nil"/>
              <w:right w:val="nil"/>
            </w:tcBorders>
            <w:vAlign w:val="bottom"/>
          </w:tcPr>
          <w:p w14:paraId="4A2A17F9"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1.964.580 </w:t>
            </w:r>
          </w:p>
        </w:tc>
        <w:tc>
          <w:tcPr>
            <w:tcW w:w="568" w:type="pct"/>
            <w:tcBorders>
              <w:top w:val="nil"/>
              <w:left w:val="nil"/>
              <w:bottom w:val="nil"/>
            </w:tcBorders>
            <w:vAlign w:val="bottom"/>
          </w:tcPr>
          <w:p w14:paraId="4BE68A04"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2.639.472 </w:t>
            </w:r>
          </w:p>
        </w:tc>
      </w:tr>
      <w:tr w:rsidR="004E2F51" w:rsidRPr="00131EA9" w14:paraId="0F30BC9D" w14:textId="77777777" w:rsidTr="00E032FC">
        <w:trPr>
          <w:trHeight w:hRule="exact" w:val="278"/>
        </w:trPr>
        <w:tc>
          <w:tcPr>
            <w:tcW w:w="1562" w:type="pct"/>
            <w:vAlign w:val="bottom"/>
          </w:tcPr>
          <w:p w14:paraId="314460A9" w14:textId="77777777" w:rsidR="004E2F51" w:rsidRPr="00131EA9" w:rsidRDefault="004E2F51" w:rsidP="00E032FC">
            <w:pPr>
              <w:tabs>
                <w:tab w:val="right" w:pos="1202"/>
              </w:tabs>
              <w:spacing w:line="240" w:lineRule="exact"/>
              <w:outlineLvl w:val="0"/>
              <w:rPr>
                <w:rFonts w:ascii="Arial" w:hAnsi="Arial" w:cs="Arial"/>
                <w:color w:val="000000" w:themeColor="text1"/>
                <w:spacing w:val="-2"/>
                <w:sz w:val="17"/>
                <w:szCs w:val="17"/>
                <w:lang w:val="hr-HR"/>
              </w:rPr>
            </w:pPr>
            <w:bookmarkStart w:id="1908" w:name="_Toc67330773"/>
            <w:r w:rsidRPr="00131EA9">
              <w:rPr>
                <w:rFonts w:ascii="Arial" w:hAnsi="Arial" w:cs="Arial"/>
                <w:color w:val="000000" w:themeColor="text1"/>
                <w:spacing w:val="-2"/>
                <w:sz w:val="17"/>
                <w:szCs w:val="17"/>
                <w:lang w:val="hr-HR"/>
              </w:rPr>
              <w:t>Ulaganja u ovisna društva</w:t>
            </w:r>
            <w:bookmarkEnd w:id="1908"/>
          </w:p>
        </w:tc>
        <w:tc>
          <w:tcPr>
            <w:tcW w:w="506" w:type="pct"/>
            <w:tcBorders>
              <w:top w:val="nil"/>
              <w:left w:val="nil"/>
              <w:bottom w:val="nil"/>
              <w:right w:val="nil"/>
            </w:tcBorders>
            <w:vAlign w:val="bottom"/>
          </w:tcPr>
          <w:p w14:paraId="273CF2DC"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5" w:type="pct"/>
            <w:tcBorders>
              <w:top w:val="nil"/>
              <w:left w:val="nil"/>
              <w:bottom w:val="nil"/>
              <w:right w:val="nil"/>
            </w:tcBorders>
            <w:vAlign w:val="bottom"/>
          </w:tcPr>
          <w:p w14:paraId="683DB5FD"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518" w:type="pct"/>
            <w:tcBorders>
              <w:top w:val="nil"/>
              <w:left w:val="nil"/>
              <w:bottom w:val="nil"/>
              <w:right w:val="nil"/>
            </w:tcBorders>
            <w:vAlign w:val="bottom"/>
          </w:tcPr>
          <w:p w14:paraId="227BA379"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3" w:type="pct"/>
            <w:tcBorders>
              <w:top w:val="nil"/>
              <w:left w:val="nil"/>
              <w:bottom w:val="nil"/>
              <w:right w:val="nil"/>
            </w:tcBorders>
            <w:vAlign w:val="bottom"/>
          </w:tcPr>
          <w:p w14:paraId="7C3B1665"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37" w:type="pct"/>
            <w:tcBorders>
              <w:top w:val="nil"/>
              <w:left w:val="nil"/>
              <w:bottom w:val="nil"/>
              <w:right w:val="nil"/>
            </w:tcBorders>
            <w:vAlign w:val="bottom"/>
          </w:tcPr>
          <w:p w14:paraId="01D71ECD"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56.124 </w:t>
            </w:r>
          </w:p>
        </w:tc>
        <w:tc>
          <w:tcPr>
            <w:tcW w:w="568" w:type="pct"/>
            <w:tcBorders>
              <w:top w:val="nil"/>
              <w:left w:val="nil"/>
              <w:bottom w:val="nil"/>
            </w:tcBorders>
            <w:vAlign w:val="bottom"/>
          </w:tcPr>
          <w:p w14:paraId="34C5468F"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56.124 </w:t>
            </w:r>
          </w:p>
        </w:tc>
      </w:tr>
      <w:tr w:rsidR="004E2F51" w:rsidRPr="00131EA9" w14:paraId="6B1B9775" w14:textId="77777777" w:rsidTr="00E032FC">
        <w:trPr>
          <w:trHeight w:hRule="exact" w:val="510"/>
        </w:trPr>
        <w:tc>
          <w:tcPr>
            <w:tcW w:w="1562" w:type="pct"/>
            <w:vAlign w:val="bottom"/>
          </w:tcPr>
          <w:p w14:paraId="5BC0834A"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bookmarkStart w:id="1909" w:name="_Toc67330774"/>
            <w:r w:rsidRPr="00131EA9">
              <w:rPr>
                <w:rFonts w:ascii="Arial" w:hAnsi="Arial" w:cs="Arial"/>
                <w:color w:val="000000" w:themeColor="text1"/>
                <w:spacing w:val="-2"/>
                <w:sz w:val="17"/>
                <w:szCs w:val="17"/>
                <w:lang w:val="hr-HR"/>
              </w:rPr>
              <w:t>Nekretnine, postrojenja i oprema i nematerijalna imovina</w:t>
            </w:r>
            <w:bookmarkEnd w:id="1909"/>
          </w:p>
        </w:tc>
        <w:tc>
          <w:tcPr>
            <w:tcW w:w="506" w:type="pct"/>
            <w:tcBorders>
              <w:top w:val="nil"/>
              <w:left w:val="nil"/>
              <w:bottom w:val="nil"/>
              <w:right w:val="nil"/>
            </w:tcBorders>
            <w:vAlign w:val="bottom"/>
          </w:tcPr>
          <w:p w14:paraId="037986D4"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5" w:type="pct"/>
            <w:tcBorders>
              <w:top w:val="nil"/>
              <w:left w:val="nil"/>
              <w:bottom w:val="nil"/>
              <w:right w:val="nil"/>
            </w:tcBorders>
            <w:vAlign w:val="bottom"/>
          </w:tcPr>
          <w:p w14:paraId="6836176E"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518" w:type="pct"/>
            <w:tcBorders>
              <w:top w:val="nil"/>
              <w:left w:val="nil"/>
              <w:bottom w:val="nil"/>
              <w:right w:val="nil"/>
            </w:tcBorders>
            <w:vAlign w:val="bottom"/>
          </w:tcPr>
          <w:p w14:paraId="7E2DBB70"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3" w:type="pct"/>
            <w:tcBorders>
              <w:top w:val="nil"/>
              <w:left w:val="nil"/>
              <w:bottom w:val="nil"/>
              <w:right w:val="nil"/>
            </w:tcBorders>
            <w:vAlign w:val="bottom"/>
          </w:tcPr>
          <w:p w14:paraId="3B7CA7C8"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37" w:type="pct"/>
            <w:tcBorders>
              <w:top w:val="nil"/>
              <w:left w:val="nil"/>
              <w:bottom w:val="nil"/>
              <w:right w:val="nil"/>
            </w:tcBorders>
            <w:vAlign w:val="bottom"/>
          </w:tcPr>
          <w:p w14:paraId="383D734E"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37.727 </w:t>
            </w:r>
          </w:p>
        </w:tc>
        <w:tc>
          <w:tcPr>
            <w:tcW w:w="568" w:type="pct"/>
            <w:tcBorders>
              <w:top w:val="nil"/>
              <w:left w:val="nil"/>
              <w:bottom w:val="nil"/>
            </w:tcBorders>
            <w:vAlign w:val="bottom"/>
          </w:tcPr>
          <w:p w14:paraId="287D5466"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37.727 </w:t>
            </w:r>
          </w:p>
        </w:tc>
      </w:tr>
      <w:tr w:rsidR="004E2F51" w:rsidRPr="00131EA9" w14:paraId="451C0817" w14:textId="77777777" w:rsidTr="00E032FC">
        <w:trPr>
          <w:trHeight w:hRule="exact" w:val="291"/>
        </w:trPr>
        <w:tc>
          <w:tcPr>
            <w:tcW w:w="1562" w:type="pct"/>
            <w:vAlign w:val="bottom"/>
          </w:tcPr>
          <w:p w14:paraId="1C8E4B82"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bookmarkStart w:id="1910" w:name="_Toc67330775"/>
            <w:r w:rsidRPr="00131EA9">
              <w:rPr>
                <w:rFonts w:ascii="Arial" w:hAnsi="Arial" w:cs="Arial"/>
                <w:color w:val="000000" w:themeColor="text1"/>
                <w:spacing w:val="-2"/>
                <w:sz w:val="17"/>
                <w:szCs w:val="17"/>
                <w:lang w:val="hr-HR"/>
              </w:rPr>
              <w:t>Preuzeta imovina</w:t>
            </w:r>
            <w:bookmarkEnd w:id="1910"/>
          </w:p>
        </w:tc>
        <w:tc>
          <w:tcPr>
            <w:tcW w:w="506" w:type="pct"/>
            <w:tcBorders>
              <w:top w:val="nil"/>
              <w:left w:val="nil"/>
              <w:bottom w:val="nil"/>
              <w:right w:val="nil"/>
            </w:tcBorders>
            <w:vAlign w:val="bottom"/>
          </w:tcPr>
          <w:p w14:paraId="19F37233"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5" w:type="pct"/>
            <w:tcBorders>
              <w:top w:val="nil"/>
              <w:left w:val="nil"/>
              <w:bottom w:val="nil"/>
              <w:right w:val="nil"/>
            </w:tcBorders>
            <w:vAlign w:val="bottom"/>
          </w:tcPr>
          <w:p w14:paraId="2B70DC4E"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518" w:type="pct"/>
            <w:tcBorders>
              <w:top w:val="nil"/>
              <w:left w:val="nil"/>
              <w:bottom w:val="nil"/>
              <w:right w:val="nil"/>
            </w:tcBorders>
            <w:vAlign w:val="bottom"/>
          </w:tcPr>
          <w:p w14:paraId="23C064A5"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3" w:type="pct"/>
            <w:tcBorders>
              <w:top w:val="nil"/>
              <w:left w:val="nil"/>
              <w:bottom w:val="nil"/>
              <w:right w:val="nil"/>
            </w:tcBorders>
            <w:vAlign w:val="bottom"/>
          </w:tcPr>
          <w:p w14:paraId="26E1CC49"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37" w:type="pct"/>
            <w:tcBorders>
              <w:top w:val="nil"/>
              <w:left w:val="nil"/>
              <w:bottom w:val="nil"/>
              <w:right w:val="nil"/>
            </w:tcBorders>
            <w:vAlign w:val="bottom"/>
          </w:tcPr>
          <w:p w14:paraId="3F66C4CB"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24.776 </w:t>
            </w:r>
          </w:p>
        </w:tc>
        <w:tc>
          <w:tcPr>
            <w:tcW w:w="568" w:type="pct"/>
            <w:tcBorders>
              <w:top w:val="nil"/>
              <w:left w:val="nil"/>
              <w:bottom w:val="nil"/>
            </w:tcBorders>
            <w:vAlign w:val="bottom"/>
          </w:tcPr>
          <w:p w14:paraId="64986308"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24.776 </w:t>
            </w:r>
          </w:p>
        </w:tc>
      </w:tr>
      <w:tr w:rsidR="004E2F51" w:rsidRPr="00131EA9" w14:paraId="7B4557D1" w14:textId="77777777" w:rsidTr="00E032FC">
        <w:trPr>
          <w:trHeight w:hRule="exact" w:val="278"/>
        </w:trPr>
        <w:tc>
          <w:tcPr>
            <w:tcW w:w="1562" w:type="pct"/>
            <w:vAlign w:val="bottom"/>
          </w:tcPr>
          <w:p w14:paraId="5F6F408E"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bookmarkStart w:id="1911" w:name="_Toc67330776"/>
            <w:r w:rsidRPr="00131EA9">
              <w:rPr>
                <w:rFonts w:ascii="Arial" w:hAnsi="Arial" w:cs="Arial"/>
                <w:color w:val="000000" w:themeColor="text1"/>
                <w:spacing w:val="-2"/>
                <w:sz w:val="17"/>
                <w:szCs w:val="17"/>
                <w:lang w:val="hr-HR"/>
              </w:rPr>
              <w:t>Ostala imovina</w:t>
            </w:r>
            <w:bookmarkEnd w:id="1911"/>
          </w:p>
        </w:tc>
        <w:tc>
          <w:tcPr>
            <w:tcW w:w="506" w:type="pct"/>
            <w:tcBorders>
              <w:top w:val="nil"/>
              <w:left w:val="nil"/>
              <w:bottom w:val="nil"/>
              <w:right w:val="nil"/>
            </w:tcBorders>
            <w:vAlign w:val="bottom"/>
          </w:tcPr>
          <w:p w14:paraId="4A0C7E7F"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5" w:type="pct"/>
            <w:tcBorders>
              <w:top w:val="nil"/>
              <w:left w:val="nil"/>
              <w:bottom w:val="nil"/>
              <w:right w:val="nil"/>
            </w:tcBorders>
            <w:vAlign w:val="bottom"/>
          </w:tcPr>
          <w:p w14:paraId="5C5DB217"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3.886 </w:t>
            </w:r>
          </w:p>
        </w:tc>
        <w:tc>
          <w:tcPr>
            <w:tcW w:w="518" w:type="pct"/>
            <w:tcBorders>
              <w:top w:val="nil"/>
              <w:left w:val="nil"/>
              <w:bottom w:val="nil"/>
              <w:right w:val="nil"/>
            </w:tcBorders>
            <w:vAlign w:val="bottom"/>
          </w:tcPr>
          <w:p w14:paraId="11860209"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3" w:type="pct"/>
            <w:tcBorders>
              <w:top w:val="nil"/>
              <w:left w:val="nil"/>
              <w:bottom w:val="nil"/>
              <w:right w:val="nil"/>
            </w:tcBorders>
            <w:vAlign w:val="bottom"/>
          </w:tcPr>
          <w:p w14:paraId="5D08D967"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3.886 </w:t>
            </w:r>
          </w:p>
        </w:tc>
        <w:tc>
          <w:tcPr>
            <w:tcW w:w="637" w:type="pct"/>
            <w:tcBorders>
              <w:top w:val="nil"/>
              <w:left w:val="nil"/>
              <w:bottom w:val="nil"/>
              <w:right w:val="nil"/>
            </w:tcBorders>
            <w:vAlign w:val="bottom"/>
          </w:tcPr>
          <w:p w14:paraId="37891EDB"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24.306 </w:t>
            </w:r>
          </w:p>
        </w:tc>
        <w:tc>
          <w:tcPr>
            <w:tcW w:w="568" w:type="pct"/>
            <w:tcBorders>
              <w:top w:val="nil"/>
              <w:left w:val="nil"/>
              <w:bottom w:val="nil"/>
            </w:tcBorders>
            <w:vAlign w:val="bottom"/>
          </w:tcPr>
          <w:p w14:paraId="22719A9E"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28.192 </w:t>
            </w:r>
          </w:p>
        </w:tc>
      </w:tr>
      <w:tr w:rsidR="004E2F51" w:rsidRPr="00DB046D" w14:paraId="37A5D0B2" w14:textId="77777777" w:rsidTr="00E032FC">
        <w:trPr>
          <w:trHeight w:hRule="exact" w:val="278"/>
        </w:trPr>
        <w:tc>
          <w:tcPr>
            <w:tcW w:w="1562" w:type="pct"/>
            <w:vAlign w:val="bottom"/>
          </w:tcPr>
          <w:p w14:paraId="2E46E483"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bookmarkStart w:id="1912" w:name="_Toc67330777"/>
            <w:r w:rsidRPr="00131EA9">
              <w:rPr>
                <w:rFonts w:ascii="Arial" w:hAnsi="Arial" w:cs="Arial"/>
                <w:b/>
                <w:bCs/>
                <w:color w:val="000000" w:themeColor="text1"/>
                <w:sz w:val="17"/>
                <w:szCs w:val="17"/>
                <w:lang w:val="hr-HR"/>
              </w:rPr>
              <w:t>Ukupna imovina</w:t>
            </w:r>
            <w:bookmarkEnd w:id="1912"/>
          </w:p>
        </w:tc>
        <w:tc>
          <w:tcPr>
            <w:tcW w:w="506" w:type="pct"/>
            <w:tcBorders>
              <w:top w:val="single" w:sz="4" w:space="0" w:color="000000"/>
              <w:bottom w:val="single" w:sz="8" w:space="0" w:color="000000"/>
            </w:tcBorders>
            <w:vAlign w:val="bottom"/>
          </w:tcPr>
          <w:p w14:paraId="70B94B88"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DB046D">
              <w:rPr>
                <w:rFonts w:ascii="Arial" w:hAnsi="Arial" w:cs="Arial"/>
                <w:b/>
                <w:bCs/>
                <w:color w:val="000000" w:themeColor="text1"/>
                <w:sz w:val="17"/>
                <w:szCs w:val="17"/>
                <w:lang w:val="hr-HR"/>
              </w:rPr>
              <w:t xml:space="preserve"> 184.306 </w:t>
            </w:r>
          </w:p>
        </w:tc>
        <w:tc>
          <w:tcPr>
            <w:tcW w:w="605" w:type="pct"/>
            <w:tcBorders>
              <w:top w:val="single" w:sz="4" w:space="0" w:color="000000"/>
              <w:bottom w:val="single" w:sz="8" w:space="0" w:color="000000"/>
            </w:tcBorders>
            <w:vAlign w:val="bottom"/>
          </w:tcPr>
          <w:p w14:paraId="0F93875C"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DB046D">
              <w:rPr>
                <w:rFonts w:ascii="Arial" w:hAnsi="Arial" w:cs="Arial"/>
                <w:b/>
                <w:bCs/>
                <w:color w:val="000000" w:themeColor="text1"/>
                <w:sz w:val="17"/>
                <w:szCs w:val="17"/>
                <w:lang w:val="hr-HR"/>
              </w:rPr>
              <w:t xml:space="preserve"> </w:t>
            </w:r>
            <w:r>
              <w:rPr>
                <w:rFonts w:ascii="Arial" w:hAnsi="Arial" w:cs="Arial"/>
                <w:b/>
                <w:bCs/>
                <w:color w:val="000000" w:themeColor="text1"/>
                <w:sz w:val="17"/>
                <w:szCs w:val="17"/>
                <w:lang w:val="hr-HR"/>
              </w:rPr>
              <w:t>1</w:t>
            </w:r>
            <w:r w:rsidRPr="00DB046D">
              <w:rPr>
                <w:rFonts w:ascii="Arial" w:hAnsi="Arial" w:cs="Arial"/>
                <w:b/>
                <w:bCs/>
                <w:color w:val="000000" w:themeColor="text1"/>
                <w:sz w:val="17"/>
                <w:szCs w:val="17"/>
                <w:lang w:val="hr-HR"/>
              </w:rPr>
              <w:t xml:space="preserve">4.186.554 </w:t>
            </w:r>
          </w:p>
        </w:tc>
        <w:tc>
          <w:tcPr>
            <w:tcW w:w="518" w:type="pct"/>
            <w:tcBorders>
              <w:top w:val="single" w:sz="4" w:space="0" w:color="000000"/>
              <w:bottom w:val="single" w:sz="8" w:space="0" w:color="000000"/>
            </w:tcBorders>
            <w:vAlign w:val="bottom"/>
          </w:tcPr>
          <w:p w14:paraId="29BC9E14"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DB046D">
              <w:rPr>
                <w:rFonts w:ascii="Arial" w:hAnsi="Arial" w:cs="Arial"/>
                <w:b/>
                <w:bCs/>
                <w:color w:val="000000" w:themeColor="text1"/>
                <w:sz w:val="17"/>
                <w:szCs w:val="17"/>
                <w:lang w:val="hr-HR"/>
              </w:rPr>
              <w:t xml:space="preserve"> 134.708 </w:t>
            </w:r>
          </w:p>
        </w:tc>
        <w:tc>
          <w:tcPr>
            <w:tcW w:w="603" w:type="pct"/>
            <w:tcBorders>
              <w:top w:val="single" w:sz="4" w:space="0" w:color="000000"/>
              <w:bottom w:val="single" w:sz="8" w:space="0" w:color="000000"/>
            </w:tcBorders>
            <w:vAlign w:val="bottom"/>
          </w:tcPr>
          <w:p w14:paraId="44092DF2"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DB046D">
              <w:rPr>
                <w:rFonts w:ascii="Arial" w:hAnsi="Arial" w:cs="Arial"/>
                <w:b/>
                <w:bCs/>
                <w:color w:val="000000" w:themeColor="text1"/>
                <w:sz w:val="17"/>
                <w:szCs w:val="17"/>
                <w:lang w:val="hr-HR"/>
              </w:rPr>
              <w:t xml:space="preserve">14.505.568 </w:t>
            </w:r>
          </w:p>
        </w:tc>
        <w:tc>
          <w:tcPr>
            <w:tcW w:w="637" w:type="pct"/>
            <w:tcBorders>
              <w:top w:val="single" w:sz="4" w:space="0" w:color="000000"/>
              <w:bottom w:val="single" w:sz="8" w:space="0" w:color="000000"/>
            </w:tcBorders>
            <w:vAlign w:val="bottom"/>
          </w:tcPr>
          <w:p w14:paraId="2F347E19"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DB046D">
              <w:rPr>
                <w:rFonts w:ascii="Arial" w:hAnsi="Arial" w:cs="Arial"/>
                <w:b/>
                <w:bCs/>
                <w:color w:val="000000" w:themeColor="text1"/>
                <w:sz w:val="17"/>
                <w:szCs w:val="17"/>
                <w:lang w:val="hr-HR"/>
              </w:rPr>
              <w:t xml:space="preserve"> 14.526.739</w:t>
            </w:r>
            <w:r w:rsidRPr="00D34565">
              <w:rPr>
                <w:rFonts w:ascii="Arial" w:hAnsi="Arial" w:cs="Arial"/>
                <w:b/>
                <w:bCs/>
                <w:color w:val="000000" w:themeColor="text1"/>
                <w:sz w:val="17"/>
                <w:szCs w:val="17"/>
                <w:lang w:val="hr-HR"/>
              </w:rPr>
              <w:t>*</w:t>
            </w:r>
            <w:r w:rsidRPr="00DB046D">
              <w:rPr>
                <w:rFonts w:ascii="Arial" w:hAnsi="Arial" w:cs="Arial"/>
                <w:b/>
                <w:bCs/>
                <w:color w:val="000000" w:themeColor="text1"/>
                <w:sz w:val="17"/>
                <w:szCs w:val="17"/>
                <w:lang w:val="hr-HR"/>
              </w:rPr>
              <w:t xml:space="preserve"> </w:t>
            </w:r>
          </w:p>
        </w:tc>
        <w:tc>
          <w:tcPr>
            <w:tcW w:w="568" w:type="pct"/>
            <w:tcBorders>
              <w:top w:val="single" w:sz="4" w:space="0" w:color="000000"/>
              <w:bottom w:val="single" w:sz="8" w:space="0" w:color="000000"/>
            </w:tcBorders>
            <w:vAlign w:val="bottom"/>
          </w:tcPr>
          <w:p w14:paraId="0BD64F1D"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DB046D">
              <w:rPr>
                <w:rFonts w:ascii="Arial" w:hAnsi="Arial" w:cs="Arial"/>
                <w:b/>
                <w:bCs/>
                <w:color w:val="000000" w:themeColor="text1"/>
                <w:sz w:val="17"/>
                <w:szCs w:val="17"/>
                <w:lang w:val="hr-HR"/>
              </w:rPr>
              <w:t xml:space="preserve">29.032.307 </w:t>
            </w:r>
          </w:p>
        </w:tc>
      </w:tr>
      <w:tr w:rsidR="004E2F51" w:rsidRPr="00131EA9" w14:paraId="49878881" w14:textId="77777777" w:rsidTr="00E032FC">
        <w:trPr>
          <w:trHeight w:val="243"/>
        </w:trPr>
        <w:tc>
          <w:tcPr>
            <w:tcW w:w="1562" w:type="pct"/>
            <w:vAlign w:val="bottom"/>
          </w:tcPr>
          <w:p w14:paraId="6F44093D"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bookmarkStart w:id="1913" w:name="_Toc67330778"/>
            <w:r w:rsidRPr="00131EA9">
              <w:rPr>
                <w:rFonts w:ascii="Arial" w:hAnsi="Arial" w:cs="Arial"/>
                <w:b/>
                <w:bCs/>
                <w:color w:val="000000" w:themeColor="text1"/>
                <w:sz w:val="17"/>
                <w:szCs w:val="17"/>
                <w:lang w:val="hr-HR"/>
              </w:rPr>
              <w:t>Obveze</w:t>
            </w:r>
            <w:bookmarkEnd w:id="1913"/>
          </w:p>
        </w:tc>
        <w:tc>
          <w:tcPr>
            <w:tcW w:w="506" w:type="pct"/>
            <w:tcBorders>
              <w:top w:val="single" w:sz="12" w:space="0" w:color="000000"/>
            </w:tcBorders>
            <w:vAlign w:val="bottom"/>
          </w:tcPr>
          <w:p w14:paraId="20235B6E" w14:textId="77777777" w:rsidR="004E2F51" w:rsidRPr="00131EA9" w:rsidRDefault="004E2F51" w:rsidP="00E032FC">
            <w:pPr>
              <w:spacing w:line="240" w:lineRule="exact"/>
              <w:ind w:left="-123"/>
              <w:jc w:val="right"/>
              <w:rPr>
                <w:rFonts w:ascii="Arial" w:hAnsi="Arial" w:cs="Arial"/>
                <w:color w:val="000000" w:themeColor="text1"/>
                <w:spacing w:val="-2"/>
                <w:sz w:val="17"/>
                <w:szCs w:val="17"/>
                <w:lang w:val="hr-HR"/>
              </w:rPr>
            </w:pPr>
          </w:p>
        </w:tc>
        <w:tc>
          <w:tcPr>
            <w:tcW w:w="605" w:type="pct"/>
            <w:tcBorders>
              <w:top w:val="single" w:sz="12" w:space="0" w:color="000000"/>
            </w:tcBorders>
            <w:vAlign w:val="bottom"/>
          </w:tcPr>
          <w:p w14:paraId="07773E97" w14:textId="77777777" w:rsidR="004E2F51" w:rsidRPr="00131EA9" w:rsidRDefault="004E2F51" w:rsidP="00E032FC">
            <w:pPr>
              <w:spacing w:line="240" w:lineRule="exact"/>
              <w:jc w:val="right"/>
              <w:rPr>
                <w:rFonts w:ascii="Arial" w:hAnsi="Arial" w:cs="Arial"/>
                <w:color w:val="000000" w:themeColor="text1"/>
                <w:spacing w:val="-2"/>
                <w:sz w:val="17"/>
                <w:szCs w:val="17"/>
                <w:lang w:val="hr-HR"/>
              </w:rPr>
            </w:pPr>
          </w:p>
        </w:tc>
        <w:tc>
          <w:tcPr>
            <w:tcW w:w="518" w:type="pct"/>
            <w:tcBorders>
              <w:top w:val="single" w:sz="12" w:space="0" w:color="000000"/>
            </w:tcBorders>
            <w:vAlign w:val="bottom"/>
          </w:tcPr>
          <w:p w14:paraId="04A8E01B" w14:textId="77777777" w:rsidR="004E2F51" w:rsidRPr="00131EA9" w:rsidRDefault="004E2F51" w:rsidP="00E032FC">
            <w:pPr>
              <w:spacing w:line="240" w:lineRule="exact"/>
              <w:jc w:val="right"/>
              <w:rPr>
                <w:rFonts w:ascii="Arial" w:hAnsi="Arial" w:cs="Arial"/>
                <w:color w:val="000000" w:themeColor="text1"/>
                <w:spacing w:val="-2"/>
                <w:sz w:val="17"/>
                <w:szCs w:val="17"/>
                <w:lang w:val="hr-HR"/>
              </w:rPr>
            </w:pPr>
          </w:p>
        </w:tc>
        <w:tc>
          <w:tcPr>
            <w:tcW w:w="603" w:type="pct"/>
            <w:tcBorders>
              <w:top w:val="single" w:sz="12" w:space="0" w:color="000000"/>
            </w:tcBorders>
            <w:vAlign w:val="bottom"/>
          </w:tcPr>
          <w:p w14:paraId="5DAA1697" w14:textId="77777777" w:rsidR="004E2F51" w:rsidRPr="00131EA9" w:rsidRDefault="004E2F51" w:rsidP="00E032FC">
            <w:pPr>
              <w:spacing w:line="240" w:lineRule="exact"/>
              <w:jc w:val="right"/>
              <w:rPr>
                <w:rFonts w:ascii="Arial" w:hAnsi="Arial" w:cs="Arial"/>
                <w:color w:val="000000" w:themeColor="text1"/>
                <w:spacing w:val="-2"/>
                <w:sz w:val="17"/>
                <w:szCs w:val="17"/>
                <w:lang w:val="hr-HR"/>
              </w:rPr>
            </w:pPr>
          </w:p>
        </w:tc>
        <w:tc>
          <w:tcPr>
            <w:tcW w:w="637" w:type="pct"/>
            <w:tcBorders>
              <w:top w:val="single" w:sz="12" w:space="0" w:color="000000"/>
            </w:tcBorders>
            <w:vAlign w:val="bottom"/>
          </w:tcPr>
          <w:p w14:paraId="61319431" w14:textId="77777777" w:rsidR="004E2F51" w:rsidRPr="00131EA9" w:rsidRDefault="004E2F51" w:rsidP="00E032FC">
            <w:pPr>
              <w:spacing w:line="240" w:lineRule="exact"/>
              <w:jc w:val="right"/>
              <w:rPr>
                <w:rFonts w:ascii="Arial" w:hAnsi="Arial" w:cs="Arial"/>
                <w:color w:val="000000" w:themeColor="text1"/>
                <w:spacing w:val="-2"/>
                <w:sz w:val="17"/>
                <w:szCs w:val="17"/>
                <w:lang w:val="hr-HR"/>
              </w:rPr>
            </w:pPr>
          </w:p>
        </w:tc>
        <w:tc>
          <w:tcPr>
            <w:tcW w:w="568" w:type="pct"/>
            <w:tcBorders>
              <w:top w:val="single" w:sz="12" w:space="0" w:color="000000"/>
            </w:tcBorders>
            <w:vAlign w:val="bottom"/>
          </w:tcPr>
          <w:p w14:paraId="460F06E0" w14:textId="77777777" w:rsidR="004E2F51" w:rsidRPr="00131EA9" w:rsidRDefault="004E2F51" w:rsidP="00E032FC">
            <w:pPr>
              <w:spacing w:line="240" w:lineRule="exact"/>
              <w:jc w:val="right"/>
              <w:rPr>
                <w:rFonts w:ascii="Arial" w:hAnsi="Arial" w:cs="Arial"/>
                <w:b/>
                <w:color w:val="000000" w:themeColor="text1"/>
                <w:sz w:val="17"/>
                <w:szCs w:val="17"/>
                <w:lang w:val="hr-HR"/>
              </w:rPr>
            </w:pPr>
          </w:p>
        </w:tc>
      </w:tr>
      <w:tr w:rsidR="004E2F51" w:rsidRPr="00131EA9" w14:paraId="4BFD2CFB" w14:textId="77777777" w:rsidTr="00E032FC">
        <w:trPr>
          <w:trHeight w:hRule="exact" w:val="278"/>
        </w:trPr>
        <w:tc>
          <w:tcPr>
            <w:tcW w:w="1562" w:type="pct"/>
            <w:vAlign w:val="bottom"/>
          </w:tcPr>
          <w:p w14:paraId="6F8CA17D"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bookmarkStart w:id="1914" w:name="_Toc67330779"/>
            <w:r w:rsidRPr="00131EA9">
              <w:rPr>
                <w:rFonts w:ascii="Arial" w:hAnsi="Arial" w:cs="Arial"/>
                <w:color w:val="000000" w:themeColor="text1"/>
                <w:sz w:val="17"/>
                <w:szCs w:val="17"/>
                <w:lang w:val="hr-HR"/>
              </w:rPr>
              <w:t>Obveze po depozitima</w:t>
            </w:r>
            <w:bookmarkEnd w:id="1914"/>
          </w:p>
        </w:tc>
        <w:tc>
          <w:tcPr>
            <w:tcW w:w="506" w:type="pct"/>
            <w:tcBorders>
              <w:top w:val="nil"/>
              <w:left w:val="nil"/>
              <w:bottom w:val="nil"/>
              <w:right w:val="nil"/>
            </w:tcBorders>
            <w:vAlign w:val="bottom"/>
          </w:tcPr>
          <w:p w14:paraId="011C3672"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7.558 </w:t>
            </w:r>
          </w:p>
        </w:tc>
        <w:tc>
          <w:tcPr>
            <w:tcW w:w="605" w:type="pct"/>
            <w:tcBorders>
              <w:top w:val="nil"/>
              <w:left w:val="nil"/>
              <w:bottom w:val="nil"/>
              <w:right w:val="nil"/>
            </w:tcBorders>
            <w:vAlign w:val="bottom"/>
          </w:tcPr>
          <w:p w14:paraId="3261549C"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272.376 </w:t>
            </w:r>
          </w:p>
        </w:tc>
        <w:tc>
          <w:tcPr>
            <w:tcW w:w="518" w:type="pct"/>
            <w:tcBorders>
              <w:top w:val="nil"/>
              <w:left w:val="nil"/>
              <w:bottom w:val="nil"/>
              <w:right w:val="nil"/>
            </w:tcBorders>
            <w:vAlign w:val="bottom"/>
          </w:tcPr>
          <w:p w14:paraId="5AF7AA0E"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3" w:type="pct"/>
            <w:tcBorders>
              <w:top w:val="nil"/>
              <w:left w:val="nil"/>
              <w:bottom w:val="nil"/>
              <w:right w:val="nil"/>
            </w:tcBorders>
            <w:vAlign w:val="bottom"/>
          </w:tcPr>
          <w:p w14:paraId="6A43C811"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279.934 </w:t>
            </w:r>
          </w:p>
        </w:tc>
        <w:tc>
          <w:tcPr>
            <w:tcW w:w="637" w:type="pct"/>
            <w:tcBorders>
              <w:top w:val="nil"/>
              <w:left w:val="nil"/>
              <w:bottom w:val="nil"/>
              <w:right w:val="nil"/>
            </w:tcBorders>
            <w:vAlign w:val="bottom"/>
          </w:tcPr>
          <w:p w14:paraId="455F28C4"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744.689 </w:t>
            </w:r>
          </w:p>
        </w:tc>
        <w:tc>
          <w:tcPr>
            <w:tcW w:w="568" w:type="pct"/>
            <w:tcBorders>
              <w:top w:val="nil"/>
              <w:left w:val="nil"/>
              <w:bottom w:val="nil"/>
            </w:tcBorders>
            <w:vAlign w:val="bottom"/>
          </w:tcPr>
          <w:p w14:paraId="6EABB2F4"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1.024.623 </w:t>
            </w:r>
          </w:p>
        </w:tc>
      </w:tr>
      <w:tr w:rsidR="004E2F51" w:rsidRPr="00131EA9" w14:paraId="7A084F83" w14:textId="77777777" w:rsidTr="00E032FC">
        <w:trPr>
          <w:trHeight w:hRule="exact" w:val="278"/>
        </w:trPr>
        <w:tc>
          <w:tcPr>
            <w:tcW w:w="1562" w:type="pct"/>
            <w:vAlign w:val="bottom"/>
          </w:tcPr>
          <w:p w14:paraId="4AB37A37"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bookmarkStart w:id="1915" w:name="_Toc67330780"/>
            <w:r w:rsidRPr="00131EA9">
              <w:rPr>
                <w:rFonts w:ascii="Arial" w:hAnsi="Arial" w:cs="Arial"/>
                <w:color w:val="000000" w:themeColor="text1"/>
                <w:sz w:val="17"/>
                <w:szCs w:val="17"/>
                <w:lang w:val="hr-HR"/>
              </w:rPr>
              <w:t>Obveze po kreditima</w:t>
            </w:r>
            <w:bookmarkEnd w:id="1915"/>
          </w:p>
        </w:tc>
        <w:tc>
          <w:tcPr>
            <w:tcW w:w="506" w:type="pct"/>
            <w:tcBorders>
              <w:top w:val="nil"/>
              <w:left w:val="nil"/>
              <w:bottom w:val="nil"/>
              <w:right w:val="nil"/>
            </w:tcBorders>
            <w:vAlign w:val="bottom"/>
          </w:tcPr>
          <w:p w14:paraId="6264726F"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180.116 </w:t>
            </w:r>
          </w:p>
        </w:tc>
        <w:tc>
          <w:tcPr>
            <w:tcW w:w="605" w:type="pct"/>
            <w:tcBorders>
              <w:top w:val="nil"/>
              <w:left w:val="nil"/>
              <w:bottom w:val="nil"/>
              <w:right w:val="nil"/>
            </w:tcBorders>
            <w:vAlign w:val="bottom"/>
          </w:tcPr>
          <w:p w14:paraId="42870017"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13.820.173 </w:t>
            </w:r>
          </w:p>
        </w:tc>
        <w:tc>
          <w:tcPr>
            <w:tcW w:w="518" w:type="pct"/>
            <w:tcBorders>
              <w:top w:val="nil"/>
              <w:left w:val="nil"/>
              <w:bottom w:val="nil"/>
              <w:right w:val="nil"/>
            </w:tcBorders>
            <w:vAlign w:val="bottom"/>
          </w:tcPr>
          <w:p w14:paraId="501B3E2F"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3" w:type="pct"/>
            <w:tcBorders>
              <w:top w:val="nil"/>
              <w:left w:val="nil"/>
              <w:bottom w:val="nil"/>
              <w:right w:val="nil"/>
            </w:tcBorders>
            <w:vAlign w:val="bottom"/>
          </w:tcPr>
          <w:p w14:paraId="402D6405" w14:textId="77777777" w:rsidR="004E2F51" w:rsidRPr="00131EA9" w:rsidRDefault="004E2F51" w:rsidP="00E032FC">
            <w:pPr>
              <w:spacing w:line="240" w:lineRule="exact"/>
              <w:jc w:val="center"/>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w:t>
            </w:r>
            <w:r>
              <w:rPr>
                <w:rFonts w:ascii="Arial" w:hAnsi="Arial" w:cs="Arial"/>
                <w:color w:val="000000" w:themeColor="text1"/>
                <w:sz w:val="17"/>
                <w:szCs w:val="17"/>
                <w:lang w:val="hr-HR"/>
              </w:rPr>
              <w:t>1</w:t>
            </w:r>
            <w:r w:rsidRPr="00DB046D">
              <w:rPr>
                <w:rFonts w:ascii="Arial" w:hAnsi="Arial" w:cs="Arial"/>
                <w:color w:val="000000" w:themeColor="text1"/>
                <w:sz w:val="17"/>
                <w:szCs w:val="17"/>
                <w:lang w:val="hr-HR"/>
              </w:rPr>
              <w:t xml:space="preserve">4.000.289 </w:t>
            </w:r>
          </w:p>
        </w:tc>
        <w:tc>
          <w:tcPr>
            <w:tcW w:w="637" w:type="pct"/>
            <w:tcBorders>
              <w:top w:val="nil"/>
              <w:left w:val="nil"/>
              <w:bottom w:val="nil"/>
              <w:right w:val="nil"/>
            </w:tcBorders>
            <w:vAlign w:val="bottom"/>
          </w:tcPr>
          <w:p w14:paraId="2862F094"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2.500.987 </w:t>
            </w:r>
          </w:p>
        </w:tc>
        <w:tc>
          <w:tcPr>
            <w:tcW w:w="568" w:type="pct"/>
            <w:tcBorders>
              <w:top w:val="nil"/>
              <w:left w:val="nil"/>
              <w:bottom w:val="nil"/>
            </w:tcBorders>
            <w:vAlign w:val="bottom"/>
          </w:tcPr>
          <w:p w14:paraId="76B432A8"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16.501.276 </w:t>
            </w:r>
          </w:p>
        </w:tc>
      </w:tr>
      <w:tr w:rsidR="004E2F51" w:rsidRPr="00131EA9" w14:paraId="7C748C22" w14:textId="77777777" w:rsidTr="00E032FC">
        <w:trPr>
          <w:trHeight w:hRule="exact" w:val="454"/>
        </w:trPr>
        <w:tc>
          <w:tcPr>
            <w:tcW w:w="1562" w:type="pct"/>
            <w:vAlign w:val="bottom"/>
          </w:tcPr>
          <w:p w14:paraId="2BDF57CA"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bookmarkStart w:id="1916" w:name="_Toc67330782"/>
            <w:r w:rsidRPr="00131EA9">
              <w:rPr>
                <w:rFonts w:ascii="Arial" w:hAnsi="Arial" w:cs="Arial"/>
                <w:color w:val="000000" w:themeColor="text1"/>
                <w:sz w:val="17"/>
                <w:szCs w:val="17"/>
                <w:lang w:val="hr-HR"/>
              </w:rPr>
              <w:t>Rezerviranja za garancije, preuzete i ostale obveze</w:t>
            </w:r>
            <w:bookmarkEnd w:id="1916"/>
          </w:p>
        </w:tc>
        <w:tc>
          <w:tcPr>
            <w:tcW w:w="506" w:type="pct"/>
            <w:tcBorders>
              <w:top w:val="nil"/>
              <w:left w:val="nil"/>
              <w:bottom w:val="nil"/>
              <w:right w:val="nil"/>
            </w:tcBorders>
            <w:vAlign w:val="bottom"/>
          </w:tcPr>
          <w:p w14:paraId="3237BC52"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5" w:type="pct"/>
            <w:tcBorders>
              <w:top w:val="nil"/>
              <w:left w:val="nil"/>
              <w:bottom w:val="nil"/>
              <w:right w:val="nil"/>
            </w:tcBorders>
            <w:vAlign w:val="bottom"/>
          </w:tcPr>
          <w:p w14:paraId="1F406AC3"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25.778 </w:t>
            </w:r>
          </w:p>
        </w:tc>
        <w:tc>
          <w:tcPr>
            <w:tcW w:w="518" w:type="pct"/>
            <w:tcBorders>
              <w:top w:val="nil"/>
              <w:left w:val="nil"/>
              <w:bottom w:val="nil"/>
              <w:right w:val="nil"/>
            </w:tcBorders>
            <w:vAlign w:val="bottom"/>
          </w:tcPr>
          <w:p w14:paraId="054C6D92"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12.091 </w:t>
            </w:r>
          </w:p>
        </w:tc>
        <w:tc>
          <w:tcPr>
            <w:tcW w:w="603" w:type="pct"/>
            <w:tcBorders>
              <w:top w:val="nil"/>
              <w:left w:val="nil"/>
              <w:bottom w:val="nil"/>
              <w:right w:val="nil"/>
            </w:tcBorders>
            <w:vAlign w:val="bottom"/>
          </w:tcPr>
          <w:p w14:paraId="60142C64"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37.869 </w:t>
            </w:r>
          </w:p>
        </w:tc>
        <w:tc>
          <w:tcPr>
            <w:tcW w:w="637" w:type="pct"/>
            <w:tcBorders>
              <w:top w:val="nil"/>
              <w:left w:val="nil"/>
              <w:bottom w:val="nil"/>
              <w:right w:val="nil"/>
            </w:tcBorders>
            <w:vAlign w:val="bottom"/>
          </w:tcPr>
          <w:p w14:paraId="00F7D492"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104.806 </w:t>
            </w:r>
          </w:p>
        </w:tc>
        <w:tc>
          <w:tcPr>
            <w:tcW w:w="568" w:type="pct"/>
            <w:tcBorders>
              <w:top w:val="nil"/>
              <w:left w:val="nil"/>
              <w:bottom w:val="nil"/>
            </w:tcBorders>
            <w:vAlign w:val="bottom"/>
          </w:tcPr>
          <w:p w14:paraId="3EA28928"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142.675 </w:t>
            </w:r>
          </w:p>
        </w:tc>
      </w:tr>
      <w:tr w:rsidR="004E2F51" w:rsidRPr="00131EA9" w14:paraId="4679D943" w14:textId="77777777" w:rsidTr="00E032FC">
        <w:trPr>
          <w:trHeight w:hRule="exact" w:val="278"/>
        </w:trPr>
        <w:tc>
          <w:tcPr>
            <w:tcW w:w="1562" w:type="pct"/>
            <w:vAlign w:val="bottom"/>
          </w:tcPr>
          <w:p w14:paraId="1E310065"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bookmarkStart w:id="1917" w:name="_Toc67330783"/>
            <w:r w:rsidRPr="00131EA9">
              <w:rPr>
                <w:rFonts w:ascii="Arial" w:hAnsi="Arial" w:cs="Arial"/>
                <w:color w:val="000000" w:themeColor="text1"/>
                <w:sz w:val="17"/>
                <w:szCs w:val="17"/>
                <w:lang w:val="hr-HR"/>
              </w:rPr>
              <w:t>Ostale obveze</w:t>
            </w:r>
            <w:bookmarkEnd w:id="1917"/>
          </w:p>
        </w:tc>
        <w:tc>
          <w:tcPr>
            <w:tcW w:w="506" w:type="pct"/>
            <w:tcBorders>
              <w:top w:val="nil"/>
              <w:left w:val="nil"/>
              <w:bottom w:val="single" w:sz="4" w:space="0" w:color="auto"/>
              <w:right w:val="nil"/>
            </w:tcBorders>
            <w:vAlign w:val="bottom"/>
          </w:tcPr>
          <w:p w14:paraId="58E8E8E6"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5" w:type="pct"/>
            <w:tcBorders>
              <w:top w:val="nil"/>
              <w:left w:val="nil"/>
              <w:bottom w:val="single" w:sz="4" w:space="0" w:color="auto"/>
              <w:right w:val="nil"/>
            </w:tcBorders>
            <w:vAlign w:val="bottom"/>
          </w:tcPr>
          <w:p w14:paraId="7A3BA0F5"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7.325 </w:t>
            </w:r>
          </w:p>
        </w:tc>
        <w:tc>
          <w:tcPr>
            <w:tcW w:w="518" w:type="pct"/>
            <w:tcBorders>
              <w:top w:val="nil"/>
              <w:left w:val="nil"/>
              <w:bottom w:val="single" w:sz="4" w:space="0" w:color="auto"/>
              <w:right w:val="nil"/>
            </w:tcBorders>
            <w:vAlign w:val="bottom"/>
          </w:tcPr>
          <w:p w14:paraId="5C9ADC4D"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 </w:t>
            </w:r>
          </w:p>
        </w:tc>
        <w:tc>
          <w:tcPr>
            <w:tcW w:w="603" w:type="pct"/>
            <w:tcBorders>
              <w:top w:val="nil"/>
              <w:left w:val="nil"/>
              <w:bottom w:val="single" w:sz="4" w:space="0" w:color="auto"/>
              <w:right w:val="nil"/>
            </w:tcBorders>
            <w:vAlign w:val="bottom"/>
          </w:tcPr>
          <w:p w14:paraId="3C025535"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7.325 </w:t>
            </w:r>
          </w:p>
        </w:tc>
        <w:tc>
          <w:tcPr>
            <w:tcW w:w="637" w:type="pct"/>
            <w:tcBorders>
              <w:top w:val="nil"/>
              <w:left w:val="nil"/>
              <w:bottom w:val="single" w:sz="4" w:space="0" w:color="auto"/>
              <w:right w:val="nil"/>
            </w:tcBorders>
            <w:vAlign w:val="bottom"/>
          </w:tcPr>
          <w:p w14:paraId="408BA6EC"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645.808 </w:t>
            </w:r>
          </w:p>
        </w:tc>
        <w:tc>
          <w:tcPr>
            <w:tcW w:w="568" w:type="pct"/>
            <w:tcBorders>
              <w:top w:val="nil"/>
              <w:left w:val="nil"/>
              <w:bottom w:val="single" w:sz="4" w:space="0" w:color="auto"/>
            </w:tcBorders>
            <w:vAlign w:val="bottom"/>
          </w:tcPr>
          <w:p w14:paraId="488F8F50"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DB046D">
              <w:rPr>
                <w:rFonts w:ascii="Arial" w:hAnsi="Arial" w:cs="Arial"/>
                <w:color w:val="000000" w:themeColor="text1"/>
                <w:sz w:val="17"/>
                <w:szCs w:val="17"/>
                <w:lang w:val="hr-HR"/>
              </w:rPr>
              <w:t xml:space="preserve"> 653.133 </w:t>
            </w:r>
          </w:p>
        </w:tc>
      </w:tr>
      <w:tr w:rsidR="004E2F51" w:rsidRPr="00131EA9" w14:paraId="2FB0AB42" w14:textId="77777777" w:rsidTr="00E032FC">
        <w:trPr>
          <w:trHeight w:hRule="exact" w:val="278"/>
        </w:trPr>
        <w:tc>
          <w:tcPr>
            <w:tcW w:w="1562" w:type="pct"/>
            <w:vAlign w:val="bottom"/>
          </w:tcPr>
          <w:p w14:paraId="4B90BA14"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bookmarkStart w:id="1918" w:name="_Toc67330784"/>
            <w:r w:rsidRPr="00131EA9">
              <w:rPr>
                <w:rFonts w:ascii="Arial" w:hAnsi="Arial" w:cs="Arial"/>
                <w:b/>
                <w:bCs/>
                <w:color w:val="000000" w:themeColor="text1"/>
                <w:sz w:val="17"/>
                <w:szCs w:val="17"/>
                <w:lang w:val="hr-HR"/>
              </w:rPr>
              <w:t>Ukupne obveze</w:t>
            </w:r>
            <w:bookmarkEnd w:id="1918"/>
          </w:p>
        </w:tc>
        <w:tc>
          <w:tcPr>
            <w:tcW w:w="506" w:type="pct"/>
            <w:tcBorders>
              <w:top w:val="single" w:sz="4" w:space="0" w:color="auto"/>
              <w:left w:val="nil"/>
              <w:bottom w:val="single" w:sz="12" w:space="0" w:color="auto"/>
              <w:right w:val="nil"/>
            </w:tcBorders>
            <w:vAlign w:val="bottom"/>
          </w:tcPr>
          <w:p w14:paraId="0A3F69D6"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DB046D">
              <w:rPr>
                <w:rFonts w:ascii="Arial" w:hAnsi="Arial" w:cs="Arial"/>
                <w:b/>
                <w:bCs/>
                <w:color w:val="000000" w:themeColor="text1"/>
                <w:sz w:val="17"/>
                <w:szCs w:val="17"/>
                <w:lang w:val="hr-HR"/>
              </w:rPr>
              <w:t xml:space="preserve"> 187.674 </w:t>
            </w:r>
          </w:p>
        </w:tc>
        <w:tc>
          <w:tcPr>
            <w:tcW w:w="605" w:type="pct"/>
            <w:tcBorders>
              <w:top w:val="single" w:sz="4" w:space="0" w:color="auto"/>
              <w:left w:val="nil"/>
              <w:bottom w:val="single" w:sz="12" w:space="0" w:color="auto"/>
              <w:right w:val="nil"/>
            </w:tcBorders>
            <w:vAlign w:val="bottom"/>
          </w:tcPr>
          <w:p w14:paraId="3DCBDEAE"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Pr>
                <w:rFonts w:ascii="Arial" w:hAnsi="Arial" w:cs="Arial"/>
                <w:b/>
                <w:bCs/>
                <w:color w:val="000000" w:themeColor="text1"/>
                <w:sz w:val="17"/>
                <w:szCs w:val="17"/>
                <w:lang w:val="hr-HR"/>
              </w:rPr>
              <w:t>1</w:t>
            </w:r>
            <w:r w:rsidRPr="00DB046D">
              <w:rPr>
                <w:rFonts w:ascii="Arial" w:hAnsi="Arial" w:cs="Arial"/>
                <w:b/>
                <w:bCs/>
                <w:color w:val="000000" w:themeColor="text1"/>
                <w:sz w:val="17"/>
                <w:szCs w:val="17"/>
                <w:lang w:val="hr-HR"/>
              </w:rPr>
              <w:t>4.125.652</w:t>
            </w:r>
          </w:p>
        </w:tc>
        <w:tc>
          <w:tcPr>
            <w:tcW w:w="518" w:type="pct"/>
            <w:tcBorders>
              <w:top w:val="single" w:sz="4" w:space="0" w:color="auto"/>
              <w:left w:val="nil"/>
              <w:bottom w:val="single" w:sz="12" w:space="0" w:color="auto"/>
              <w:right w:val="nil"/>
            </w:tcBorders>
            <w:vAlign w:val="bottom"/>
          </w:tcPr>
          <w:p w14:paraId="512A8BEE"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DB046D">
              <w:rPr>
                <w:rFonts w:ascii="Arial" w:hAnsi="Arial" w:cs="Arial"/>
                <w:b/>
                <w:bCs/>
                <w:color w:val="000000" w:themeColor="text1"/>
                <w:sz w:val="17"/>
                <w:szCs w:val="17"/>
                <w:lang w:val="hr-HR"/>
              </w:rPr>
              <w:t xml:space="preserve"> 12.091 </w:t>
            </w:r>
          </w:p>
        </w:tc>
        <w:tc>
          <w:tcPr>
            <w:tcW w:w="603" w:type="pct"/>
            <w:tcBorders>
              <w:top w:val="single" w:sz="4" w:space="0" w:color="auto"/>
              <w:left w:val="nil"/>
              <w:bottom w:val="single" w:sz="12" w:space="0" w:color="auto"/>
              <w:right w:val="nil"/>
            </w:tcBorders>
            <w:vAlign w:val="bottom"/>
          </w:tcPr>
          <w:p w14:paraId="684717AE"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DB046D">
              <w:rPr>
                <w:rFonts w:ascii="Arial" w:hAnsi="Arial" w:cs="Arial"/>
                <w:b/>
                <w:bCs/>
                <w:color w:val="000000" w:themeColor="text1"/>
                <w:sz w:val="17"/>
                <w:szCs w:val="17"/>
                <w:lang w:val="hr-HR"/>
              </w:rPr>
              <w:t xml:space="preserve">14.325.417 </w:t>
            </w:r>
          </w:p>
        </w:tc>
        <w:tc>
          <w:tcPr>
            <w:tcW w:w="637" w:type="pct"/>
            <w:tcBorders>
              <w:top w:val="single" w:sz="4" w:space="0" w:color="auto"/>
              <w:left w:val="nil"/>
              <w:bottom w:val="single" w:sz="12" w:space="0" w:color="auto"/>
              <w:right w:val="nil"/>
            </w:tcBorders>
            <w:vAlign w:val="bottom"/>
          </w:tcPr>
          <w:p w14:paraId="0A644F79"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DB046D">
              <w:rPr>
                <w:rFonts w:ascii="Arial" w:hAnsi="Arial" w:cs="Arial"/>
                <w:b/>
                <w:bCs/>
                <w:color w:val="000000" w:themeColor="text1"/>
                <w:sz w:val="17"/>
                <w:szCs w:val="17"/>
                <w:lang w:val="hr-HR"/>
              </w:rPr>
              <w:t xml:space="preserve"> 3.996.290 </w:t>
            </w:r>
          </w:p>
        </w:tc>
        <w:tc>
          <w:tcPr>
            <w:tcW w:w="568" w:type="pct"/>
            <w:tcBorders>
              <w:top w:val="single" w:sz="4" w:space="0" w:color="auto"/>
              <w:left w:val="nil"/>
              <w:bottom w:val="single" w:sz="12" w:space="0" w:color="auto"/>
            </w:tcBorders>
            <w:vAlign w:val="bottom"/>
          </w:tcPr>
          <w:p w14:paraId="45497F97"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DB046D">
              <w:rPr>
                <w:rFonts w:ascii="Arial" w:hAnsi="Arial" w:cs="Arial"/>
                <w:b/>
                <w:bCs/>
                <w:color w:val="000000" w:themeColor="text1"/>
                <w:sz w:val="17"/>
                <w:szCs w:val="17"/>
                <w:lang w:val="hr-HR"/>
              </w:rPr>
              <w:t xml:space="preserve">18.321.707 </w:t>
            </w:r>
          </w:p>
        </w:tc>
      </w:tr>
      <w:tr w:rsidR="004E2F51" w:rsidRPr="00131EA9" w14:paraId="0BBC9AC8" w14:textId="77777777" w:rsidTr="00E032FC">
        <w:trPr>
          <w:trHeight w:hRule="exact" w:val="411"/>
        </w:trPr>
        <w:tc>
          <w:tcPr>
            <w:tcW w:w="1562" w:type="pct"/>
            <w:vAlign w:val="bottom"/>
          </w:tcPr>
          <w:p w14:paraId="27A6CFEE"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bookmarkStart w:id="1919" w:name="_Toc67330785"/>
            <w:r w:rsidRPr="00131EA9">
              <w:rPr>
                <w:rFonts w:ascii="Arial" w:hAnsi="Arial" w:cs="Arial"/>
                <w:b/>
                <w:bCs/>
                <w:color w:val="000000" w:themeColor="text1"/>
                <w:sz w:val="17"/>
                <w:szCs w:val="17"/>
                <w:lang w:val="hr-HR"/>
              </w:rPr>
              <w:t>Valutni jaz</w:t>
            </w:r>
            <w:bookmarkEnd w:id="1919"/>
          </w:p>
        </w:tc>
        <w:tc>
          <w:tcPr>
            <w:tcW w:w="506" w:type="pct"/>
            <w:tcBorders>
              <w:top w:val="single" w:sz="12" w:space="0" w:color="auto"/>
              <w:left w:val="nil"/>
              <w:bottom w:val="single" w:sz="12" w:space="0" w:color="auto"/>
              <w:right w:val="nil"/>
            </w:tcBorders>
            <w:shd w:val="clear" w:color="000000" w:fill="auto"/>
            <w:vAlign w:val="bottom"/>
          </w:tcPr>
          <w:p w14:paraId="4583A5D7"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DB046D">
              <w:rPr>
                <w:rFonts w:ascii="Arial" w:hAnsi="Arial" w:cs="Arial"/>
                <w:b/>
                <w:bCs/>
                <w:color w:val="000000" w:themeColor="text1"/>
                <w:sz w:val="17"/>
                <w:szCs w:val="17"/>
                <w:lang w:val="hr-HR"/>
              </w:rPr>
              <w:t xml:space="preserve"> (3.368)</w:t>
            </w:r>
          </w:p>
        </w:tc>
        <w:tc>
          <w:tcPr>
            <w:tcW w:w="605" w:type="pct"/>
            <w:tcBorders>
              <w:top w:val="single" w:sz="12" w:space="0" w:color="auto"/>
              <w:left w:val="nil"/>
              <w:bottom w:val="single" w:sz="12" w:space="0" w:color="auto"/>
              <w:right w:val="nil"/>
            </w:tcBorders>
            <w:shd w:val="clear" w:color="000000" w:fill="auto"/>
            <w:vAlign w:val="bottom"/>
          </w:tcPr>
          <w:p w14:paraId="667E14C7"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DB046D">
              <w:rPr>
                <w:rFonts w:ascii="Arial" w:hAnsi="Arial" w:cs="Arial"/>
                <w:b/>
                <w:bCs/>
                <w:color w:val="000000" w:themeColor="text1"/>
                <w:sz w:val="17"/>
                <w:szCs w:val="17"/>
                <w:lang w:val="hr-HR"/>
              </w:rPr>
              <w:t xml:space="preserve"> 60.902 </w:t>
            </w:r>
          </w:p>
        </w:tc>
        <w:tc>
          <w:tcPr>
            <w:tcW w:w="518" w:type="pct"/>
            <w:tcBorders>
              <w:top w:val="single" w:sz="12" w:space="0" w:color="auto"/>
              <w:left w:val="nil"/>
              <w:bottom w:val="single" w:sz="12" w:space="0" w:color="auto"/>
              <w:right w:val="nil"/>
            </w:tcBorders>
            <w:shd w:val="clear" w:color="000000" w:fill="auto"/>
            <w:vAlign w:val="bottom"/>
          </w:tcPr>
          <w:p w14:paraId="0DEFF0CF"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DB046D">
              <w:rPr>
                <w:rFonts w:ascii="Arial" w:hAnsi="Arial" w:cs="Arial"/>
                <w:b/>
                <w:bCs/>
                <w:color w:val="000000" w:themeColor="text1"/>
                <w:sz w:val="17"/>
                <w:szCs w:val="17"/>
                <w:lang w:val="hr-HR"/>
              </w:rPr>
              <w:t xml:space="preserve"> 122.617 </w:t>
            </w:r>
          </w:p>
        </w:tc>
        <w:tc>
          <w:tcPr>
            <w:tcW w:w="603" w:type="pct"/>
            <w:tcBorders>
              <w:top w:val="single" w:sz="12" w:space="0" w:color="auto"/>
              <w:left w:val="nil"/>
              <w:bottom w:val="single" w:sz="12" w:space="0" w:color="auto"/>
              <w:right w:val="nil"/>
            </w:tcBorders>
            <w:shd w:val="clear" w:color="000000" w:fill="auto"/>
            <w:vAlign w:val="bottom"/>
          </w:tcPr>
          <w:p w14:paraId="48F5F8DC"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DB046D">
              <w:rPr>
                <w:rFonts w:ascii="Arial" w:hAnsi="Arial" w:cs="Arial"/>
                <w:b/>
                <w:bCs/>
                <w:color w:val="000000" w:themeColor="text1"/>
                <w:sz w:val="17"/>
                <w:szCs w:val="17"/>
                <w:lang w:val="hr-HR"/>
              </w:rPr>
              <w:t xml:space="preserve"> 180.151 </w:t>
            </w:r>
          </w:p>
        </w:tc>
        <w:tc>
          <w:tcPr>
            <w:tcW w:w="637" w:type="pct"/>
            <w:tcBorders>
              <w:top w:val="single" w:sz="12" w:space="0" w:color="auto"/>
              <w:left w:val="nil"/>
              <w:bottom w:val="single" w:sz="12" w:space="0" w:color="auto"/>
              <w:right w:val="nil"/>
            </w:tcBorders>
            <w:shd w:val="clear" w:color="000000" w:fill="auto"/>
            <w:vAlign w:val="bottom"/>
          </w:tcPr>
          <w:p w14:paraId="1F58EA96"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DB046D">
              <w:rPr>
                <w:rFonts w:ascii="Arial" w:hAnsi="Arial" w:cs="Arial"/>
                <w:b/>
                <w:bCs/>
                <w:color w:val="000000" w:themeColor="text1"/>
                <w:sz w:val="17"/>
                <w:szCs w:val="17"/>
                <w:lang w:val="hr-HR"/>
              </w:rPr>
              <w:t xml:space="preserve"> 10.530.449 </w:t>
            </w:r>
          </w:p>
        </w:tc>
        <w:tc>
          <w:tcPr>
            <w:tcW w:w="568" w:type="pct"/>
            <w:tcBorders>
              <w:top w:val="single" w:sz="12" w:space="0" w:color="auto"/>
              <w:left w:val="nil"/>
              <w:bottom w:val="single" w:sz="12" w:space="0" w:color="auto"/>
            </w:tcBorders>
            <w:shd w:val="clear" w:color="000000" w:fill="auto"/>
            <w:vAlign w:val="bottom"/>
          </w:tcPr>
          <w:p w14:paraId="312C4E17"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DB046D">
              <w:rPr>
                <w:rFonts w:ascii="Arial" w:hAnsi="Arial" w:cs="Arial"/>
                <w:b/>
                <w:bCs/>
                <w:color w:val="000000" w:themeColor="text1"/>
                <w:sz w:val="17"/>
                <w:szCs w:val="17"/>
                <w:lang w:val="hr-HR"/>
              </w:rPr>
              <w:t xml:space="preserve">10.710.600 </w:t>
            </w:r>
          </w:p>
        </w:tc>
      </w:tr>
    </w:tbl>
    <w:p w14:paraId="5D8A96A3" w14:textId="77777777" w:rsidR="004E2F51" w:rsidRPr="00131EA9" w:rsidRDefault="004E2F51" w:rsidP="004E2F51">
      <w:pPr>
        <w:pStyle w:val="TT"/>
        <w:spacing w:line="240" w:lineRule="auto"/>
        <w:jc w:val="both"/>
        <w:rPr>
          <w:rFonts w:cs="Arial"/>
          <w:i/>
          <w:color w:val="000000" w:themeColor="text1"/>
          <w:sz w:val="20"/>
          <w:lang w:val="hr-HR"/>
        </w:rPr>
      </w:pPr>
    </w:p>
    <w:p w14:paraId="28C1DCF5" w14:textId="77777777" w:rsidR="004E2F51" w:rsidRDefault="004E2F51" w:rsidP="004E2F51">
      <w:pPr>
        <w:pStyle w:val="TT"/>
        <w:spacing w:line="240" w:lineRule="auto"/>
        <w:jc w:val="both"/>
        <w:rPr>
          <w:rFonts w:cs="Arial"/>
          <w:i/>
          <w:color w:val="000000" w:themeColor="text1"/>
          <w:sz w:val="20"/>
          <w:lang w:val="hr-HR"/>
        </w:rPr>
      </w:pPr>
    </w:p>
    <w:p w14:paraId="30467281" w14:textId="77777777" w:rsidR="004E2F51" w:rsidRPr="00131EA9" w:rsidRDefault="004E2F51" w:rsidP="004E2F51">
      <w:pPr>
        <w:pStyle w:val="TT"/>
        <w:spacing w:line="240" w:lineRule="auto"/>
        <w:jc w:val="both"/>
        <w:rPr>
          <w:rFonts w:cs="Arial"/>
          <w:i/>
          <w:color w:val="000000" w:themeColor="text1"/>
          <w:sz w:val="20"/>
          <w:lang w:val="hr-HR"/>
        </w:rPr>
      </w:pPr>
    </w:p>
    <w:p w14:paraId="19A38DFD" w14:textId="77777777" w:rsidR="004E2F51" w:rsidRPr="00094A70" w:rsidRDefault="004E2F51" w:rsidP="004E2F51">
      <w:pPr>
        <w:pStyle w:val="TT"/>
        <w:spacing w:line="240" w:lineRule="auto"/>
        <w:jc w:val="both"/>
        <w:rPr>
          <w:rFonts w:cs="Arial"/>
          <w:i/>
          <w:color w:val="000000" w:themeColor="text1"/>
          <w:sz w:val="18"/>
          <w:szCs w:val="18"/>
          <w:lang w:val="hr-HR"/>
        </w:rPr>
      </w:pPr>
      <w:bookmarkStart w:id="1920" w:name="_Toc67330786"/>
      <w:r w:rsidRPr="00094A70">
        <w:rPr>
          <w:rFonts w:cs="Arial"/>
          <w:i/>
          <w:color w:val="000000" w:themeColor="text1"/>
          <w:sz w:val="18"/>
          <w:szCs w:val="18"/>
          <w:lang w:val="hr-HR"/>
        </w:rPr>
        <w:t xml:space="preserve">*Iznosi vezani uz jednosmjernu valutnu klauzulu iznose </w:t>
      </w:r>
      <w:r w:rsidRPr="00DB046D">
        <w:rPr>
          <w:rFonts w:cs="Arial"/>
          <w:i/>
          <w:color w:val="000000" w:themeColor="text1"/>
          <w:sz w:val="18"/>
          <w:szCs w:val="18"/>
          <w:lang w:val="hr-HR"/>
        </w:rPr>
        <w:t>2</w:t>
      </w:r>
      <w:r>
        <w:rPr>
          <w:rFonts w:cs="Arial"/>
          <w:i/>
          <w:color w:val="000000" w:themeColor="text1"/>
          <w:sz w:val="18"/>
          <w:szCs w:val="18"/>
          <w:lang w:val="hr-HR"/>
        </w:rPr>
        <w:t>7</w:t>
      </w:r>
      <w:r w:rsidRPr="00DB046D">
        <w:rPr>
          <w:rFonts w:cs="Arial"/>
          <w:i/>
          <w:color w:val="000000" w:themeColor="text1"/>
          <w:sz w:val="18"/>
          <w:szCs w:val="18"/>
          <w:lang w:val="hr-HR"/>
        </w:rPr>
        <w:t>.</w:t>
      </w:r>
      <w:r>
        <w:rPr>
          <w:rFonts w:cs="Arial"/>
          <w:i/>
          <w:color w:val="000000" w:themeColor="text1"/>
          <w:sz w:val="18"/>
          <w:szCs w:val="18"/>
          <w:lang w:val="hr-HR"/>
        </w:rPr>
        <w:t xml:space="preserve">641 </w:t>
      </w:r>
      <w:r w:rsidRPr="00094A70">
        <w:rPr>
          <w:rFonts w:cs="Arial"/>
          <w:i/>
          <w:color w:val="000000" w:themeColor="text1"/>
          <w:sz w:val="18"/>
          <w:szCs w:val="18"/>
          <w:lang w:val="hr-HR"/>
        </w:rPr>
        <w:t>tisuća kuna.</w:t>
      </w:r>
      <w:bookmarkEnd w:id="1920"/>
    </w:p>
    <w:p w14:paraId="328AF58F" w14:textId="77777777" w:rsidR="004E2F51" w:rsidRPr="00131EA9" w:rsidRDefault="004E2F51" w:rsidP="004E2F51">
      <w:pPr>
        <w:pStyle w:val="TT"/>
        <w:spacing w:line="240" w:lineRule="auto"/>
        <w:jc w:val="both"/>
        <w:rPr>
          <w:rFonts w:cs="Arial"/>
          <w:i/>
          <w:color w:val="000000" w:themeColor="text1"/>
          <w:sz w:val="20"/>
          <w:lang w:val="hr-HR"/>
        </w:rPr>
        <w:sectPr w:rsidR="004E2F51" w:rsidRPr="00131EA9" w:rsidSect="00623DBA">
          <w:footerReference w:type="default" r:id="rId217"/>
          <w:pgSz w:w="11907" w:h="16840" w:code="9"/>
          <w:pgMar w:top="1418" w:right="1134" w:bottom="1134" w:left="1418" w:header="851" w:footer="851" w:gutter="0"/>
          <w:cols w:space="720"/>
          <w:noEndnote/>
        </w:sectPr>
      </w:pPr>
    </w:p>
    <w:p w14:paraId="17FB2FD7" w14:textId="77777777" w:rsidR="004E2F51" w:rsidRPr="00131EA9" w:rsidRDefault="004E2F51" w:rsidP="004E2F51">
      <w:pPr>
        <w:pStyle w:val="T1"/>
        <w:spacing w:before="0" w:after="0" w:line="240" w:lineRule="auto"/>
        <w:ind w:left="709" w:hanging="709"/>
        <w:rPr>
          <w:rFonts w:cs="Arial"/>
          <w:color w:val="000000" w:themeColor="text1"/>
          <w:sz w:val="20"/>
          <w:lang w:val="hr-HR"/>
        </w:rPr>
      </w:pPr>
    </w:p>
    <w:p w14:paraId="1A670A1F" w14:textId="77777777" w:rsidR="004E2F51" w:rsidRPr="00131EA9" w:rsidRDefault="004E2F51" w:rsidP="004E2F51">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Pr>
          <w:rFonts w:cs="Arial"/>
          <w:color w:val="000000" w:themeColor="text1"/>
          <w:sz w:val="20"/>
          <w:lang w:val="hr-HR"/>
        </w:rPr>
        <w:t>1</w:t>
      </w:r>
      <w:r w:rsidRPr="00131EA9">
        <w:rPr>
          <w:rFonts w:cs="Arial"/>
          <w:color w:val="000000" w:themeColor="text1"/>
          <w:sz w:val="20"/>
          <w:lang w:val="hr-HR"/>
        </w:rPr>
        <w:t>.        Upravljanje rizicima (nastavak)</w:t>
      </w:r>
    </w:p>
    <w:p w14:paraId="7DFC17E2" w14:textId="77777777" w:rsidR="004E2F51" w:rsidRPr="00131EA9" w:rsidRDefault="004E2F51" w:rsidP="004E2F51">
      <w:pPr>
        <w:pStyle w:val="T1"/>
        <w:spacing w:before="0" w:after="0" w:line="240" w:lineRule="auto"/>
        <w:ind w:left="709" w:hanging="709"/>
        <w:rPr>
          <w:rFonts w:cs="Arial"/>
          <w:color w:val="000000" w:themeColor="text1"/>
          <w:sz w:val="20"/>
          <w:lang w:val="hr-HR"/>
        </w:rPr>
      </w:pPr>
    </w:p>
    <w:p w14:paraId="4B2D2406" w14:textId="77777777" w:rsidR="004E2F51" w:rsidRPr="00131EA9" w:rsidRDefault="004E2F51" w:rsidP="004E2F51">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Pr>
          <w:rFonts w:cs="Arial"/>
          <w:color w:val="000000" w:themeColor="text1"/>
          <w:sz w:val="20"/>
          <w:lang w:val="hr-HR"/>
        </w:rPr>
        <w:t>1</w:t>
      </w:r>
      <w:r w:rsidRPr="00131EA9">
        <w:rPr>
          <w:rFonts w:cs="Arial"/>
          <w:color w:val="000000" w:themeColor="text1"/>
          <w:sz w:val="20"/>
          <w:lang w:val="hr-HR"/>
        </w:rPr>
        <w:t>.5.     Tržišni rizik (nastavak)</w:t>
      </w:r>
    </w:p>
    <w:p w14:paraId="1DCBDBD0" w14:textId="77777777" w:rsidR="004E2F51" w:rsidRPr="00131EA9" w:rsidRDefault="004E2F51" w:rsidP="004E2F51">
      <w:pPr>
        <w:pStyle w:val="T1"/>
        <w:spacing w:before="0" w:after="0" w:line="240" w:lineRule="auto"/>
        <w:ind w:left="709" w:hanging="709"/>
        <w:rPr>
          <w:rFonts w:cs="Arial"/>
          <w:color w:val="000000" w:themeColor="text1"/>
          <w:sz w:val="20"/>
          <w:lang w:val="hr-HR"/>
        </w:rPr>
      </w:pPr>
    </w:p>
    <w:p w14:paraId="30BC880A" w14:textId="77777777" w:rsidR="004E2F51" w:rsidRPr="00131EA9" w:rsidRDefault="004E2F51" w:rsidP="004E2F51">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Pr>
          <w:rFonts w:cs="Arial"/>
          <w:color w:val="000000" w:themeColor="text1"/>
          <w:sz w:val="20"/>
          <w:lang w:val="hr-HR"/>
        </w:rPr>
        <w:t>1</w:t>
      </w:r>
      <w:r w:rsidRPr="00131EA9">
        <w:rPr>
          <w:rFonts w:cs="Arial"/>
          <w:color w:val="000000" w:themeColor="text1"/>
          <w:sz w:val="20"/>
          <w:lang w:val="hr-HR"/>
        </w:rPr>
        <w:t>.5.2.  Valutni rizik (nastavak)</w:t>
      </w:r>
    </w:p>
    <w:p w14:paraId="4BBBBA6E" w14:textId="77777777" w:rsidR="004E2F51" w:rsidRPr="00131EA9" w:rsidRDefault="004E2F51" w:rsidP="004E2F51">
      <w:pPr>
        <w:pStyle w:val="T1"/>
        <w:spacing w:before="0" w:after="0" w:line="240" w:lineRule="auto"/>
        <w:ind w:left="709" w:hanging="709"/>
        <w:rPr>
          <w:rFonts w:cs="Arial"/>
          <w:color w:val="000000" w:themeColor="text1"/>
          <w:sz w:val="20"/>
          <w:lang w:val="hr-HR"/>
        </w:rPr>
      </w:pPr>
    </w:p>
    <w:p w14:paraId="7BEBDCC8" w14:textId="77777777" w:rsidR="004E2F51" w:rsidRPr="00131EA9" w:rsidRDefault="004E2F51" w:rsidP="004E2F51">
      <w:pPr>
        <w:pStyle w:val="T1"/>
        <w:spacing w:before="0" w:after="0" w:line="240" w:lineRule="auto"/>
        <w:ind w:left="709" w:hanging="709"/>
        <w:rPr>
          <w:rFonts w:cs="Arial"/>
          <w:color w:val="000000" w:themeColor="text1"/>
          <w:sz w:val="20"/>
          <w:lang w:val="hr-HR"/>
        </w:rPr>
      </w:pPr>
    </w:p>
    <w:tbl>
      <w:tblPr>
        <w:tblpPr w:leftFromText="180" w:rightFromText="180" w:vertAnchor="page" w:horzAnchor="margin" w:tblpY="4022"/>
        <w:tblW w:w="5230" w:type="pct"/>
        <w:tblLayout w:type="fixed"/>
        <w:tblCellMar>
          <w:left w:w="120" w:type="dxa"/>
          <w:right w:w="120" w:type="dxa"/>
        </w:tblCellMar>
        <w:tblLook w:val="0000" w:firstRow="0" w:lastRow="0" w:firstColumn="0" w:lastColumn="0" w:noHBand="0" w:noVBand="0"/>
      </w:tblPr>
      <w:tblGrid>
        <w:gridCol w:w="3072"/>
        <w:gridCol w:w="986"/>
        <w:gridCol w:w="1194"/>
        <w:gridCol w:w="965"/>
        <w:gridCol w:w="1192"/>
        <w:gridCol w:w="1247"/>
        <w:gridCol w:w="1129"/>
      </w:tblGrid>
      <w:tr w:rsidR="009620F6" w:rsidRPr="00131EA9" w14:paraId="3FFDC1A4" w14:textId="77777777" w:rsidTr="009620F6">
        <w:trPr>
          <w:trHeight w:val="393"/>
        </w:trPr>
        <w:tc>
          <w:tcPr>
            <w:tcW w:w="1570" w:type="pct"/>
            <w:vAlign w:val="bottom"/>
          </w:tcPr>
          <w:p w14:paraId="2281E828" w14:textId="77777777" w:rsidR="004E2F51" w:rsidRPr="00131EA9" w:rsidRDefault="004E2F51" w:rsidP="00E032FC">
            <w:pPr>
              <w:tabs>
                <w:tab w:val="right" w:pos="1202"/>
              </w:tabs>
              <w:spacing w:line="220" w:lineRule="exact"/>
              <w:outlineLvl w:val="0"/>
              <w:rPr>
                <w:rFonts w:ascii="Arial" w:hAnsi="Arial" w:cs="Arial"/>
                <w:b/>
                <w:color w:val="000000" w:themeColor="text1"/>
                <w:sz w:val="17"/>
                <w:szCs w:val="17"/>
                <w:lang w:val="hr-HR"/>
              </w:rPr>
            </w:pPr>
            <w:r w:rsidRPr="00131EA9">
              <w:rPr>
                <w:rFonts w:ascii="Arial" w:hAnsi="Arial" w:cs="Arial"/>
                <w:b/>
                <w:color w:val="000000" w:themeColor="text1"/>
                <w:sz w:val="17"/>
                <w:szCs w:val="17"/>
                <w:lang w:val="hr-HR"/>
              </w:rPr>
              <w:t>Banka</w:t>
            </w:r>
          </w:p>
          <w:p w14:paraId="6CB417FA" w14:textId="77777777" w:rsidR="004E2F51" w:rsidRPr="00131EA9" w:rsidRDefault="004E2F51" w:rsidP="00E032FC">
            <w:pPr>
              <w:tabs>
                <w:tab w:val="right" w:pos="1202"/>
              </w:tabs>
              <w:spacing w:line="220" w:lineRule="exact"/>
              <w:outlineLvl w:val="0"/>
              <w:rPr>
                <w:rFonts w:ascii="Arial" w:hAnsi="Arial" w:cs="Arial"/>
                <w:b/>
                <w:color w:val="000000" w:themeColor="text1"/>
                <w:sz w:val="17"/>
                <w:szCs w:val="17"/>
                <w:lang w:val="hr-HR"/>
              </w:rPr>
            </w:pPr>
          </w:p>
          <w:p w14:paraId="5408BCAB" w14:textId="77777777" w:rsidR="004E2F51" w:rsidRPr="00131EA9" w:rsidRDefault="004E2F51" w:rsidP="00E032FC">
            <w:pPr>
              <w:tabs>
                <w:tab w:val="right" w:pos="1202"/>
              </w:tabs>
              <w:spacing w:line="220" w:lineRule="exact"/>
              <w:outlineLvl w:val="0"/>
              <w:rPr>
                <w:rFonts w:ascii="Arial" w:hAnsi="Arial" w:cs="Arial"/>
                <w:b/>
                <w:color w:val="000000" w:themeColor="text1"/>
                <w:sz w:val="17"/>
                <w:szCs w:val="17"/>
                <w:lang w:val="hr-HR"/>
              </w:rPr>
            </w:pPr>
            <w:r w:rsidRPr="00131EA9">
              <w:rPr>
                <w:rFonts w:ascii="Arial" w:hAnsi="Arial" w:cs="Arial"/>
                <w:b/>
                <w:color w:val="000000" w:themeColor="text1"/>
                <w:sz w:val="17"/>
                <w:szCs w:val="17"/>
                <w:lang w:val="hr-HR"/>
              </w:rPr>
              <w:t xml:space="preserve">31. prosinca 2021. </w:t>
            </w:r>
          </w:p>
        </w:tc>
        <w:tc>
          <w:tcPr>
            <w:tcW w:w="504" w:type="pct"/>
          </w:tcPr>
          <w:p w14:paraId="6E3AC6DB"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r w:rsidRPr="00131EA9">
              <w:rPr>
                <w:rFonts w:ascii="Arial" w:hAnsi="Arial" w:cs="Arial"/>
                <w:b/>
                <w:color w:val="000000" w:themeColor="text1"/>
                <w:sz w:val="17"/>
                <w:szCs w:val="17"/>
                <w:lang w:val="hr-HR"/>
              </w:rPr>
              <w:t>USD</w:t>
            </w:r>
          </w:p>
        </w:tc>
        <w:tc>
          <w:tcPr>
            <w:tcW w:w="610" w:type="pct"/>
          </w:tcPr>
          <w:p w14:paraId="5FEBBE7C"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r w:rsidRPr="00131EA9">
              <w:rPr>
                <w:rFonts w:ascii="Arial" w:hAnsi="Arial" w:cs="Arial"/>
                <w:b/>
                <w:color w:val="000000" w:themeColor="text1"/>
                <w:sz w:val="17"/>
                <w:szCs w:val="17"/>
                <w:lang w:val="hr-HR"/>
              </w:rPr>
              <w:t xml:space="preserve">EUR </w:t>
            </w:r>
          </w:p>
        </w:tc>
        <w:tc>
          <w:tcPr>
            <w:tcW w:w="493" w:type="pct"/>
          </w:tcPr>
          <w:p w14:paraId="71F78FDB"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r w:rsidRPr="00131EA9">
              <w:rPr>
                <w:rFonts w:ascii="Arial" w:hAnsi="Arial" w:cs="Arial"/>
                <w:b/>
                <w:color w:val="000000" w:themeColor="text1"/>
                <w:sz w:val="17"/>
                <w:szCs w:val="17"/>
                <w:lang w:val="hr-HR"/>
              </w:rPr>
              <w:t>Ostale valute</w:t>
            </w:r>
          </w:p>
        </w:tc>
        <w:tc>
          <w:tcPr>
            <w:tcW w:w="609" w:type="pct"/>
          </w:tcPr>
          <w:p w14:paraId="4156CB94"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r w:rsidRPr="00131EA9">
              <w:rPr>
                <w:rFonts w:ascii="Arial" w:hAnsi="Arial" w:cs="Arial"/>
                <w:b/>
                <w:color w:val="000000" w:themeColor="text1"/>
                <w:sz w:val="17"/>
                <w:szCs w:val="17"/>
                <w:lang w:val="hr-HR"/>
              </w:rPr>
              <w:t>Ukupno strane valute</w:t>
            </w:r>
          </w:p>
        </w:tc>
        <w:tc>
          <w:tcPr>
            <w:tcW w:w="637" w:type="pct"/>
          </w:tcPr>
          <w:p w14:paraId="39CCD2E5"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r w:rsidRPr="00131EA9">
              <w:rPr>
                <w:rFonts w:ascii="Arial" w:hAnsi="Arial" w:cs="Arial"/>
                <w:b/>
                <w:color w:val="000000" w:themeColor="text1"/>
                <w:sz w:val="17"/>
                <w:szCs w:val="17"/>
                <w:lang w:val="hr-HR"/>
              </w:rPr>
              <w:t>Kune</w:t>
            </w:r>
          </w:p>
        </w:tc>
        <w:tc>
          <w:tcPr>
            <w:tcW w:w="578" w:type="pct"/>
          </w:tcPr>
          <w:p w14:paraId="01C364C6"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r w:rsidRPr="00131EA9">
              <w:rPr>
                <w:rFonts w:ascii="Arial" w:hAnsi="Arial" w:cs="Arial"/>
                <w:b/>
                <w:color w:val="000000" w:themeColor="text1"/>
                <w:sz w:val="17"/>
                <w:szCs w:val="17"/>
                <w:lang w:val="hr-HR"/>
              </w:rPr>
              <w:t>Ukupno</w:t>
            </w:r>
          </w:p>
        </w:tc>
      </w:tr>
      <w:tr w:rsidR="009620F6" w:rsidRPr="00131EA9" w14:paraId="503E9FAC" w14:textId="77777777" w:rsidTr="009620F6">
        <w:trPr>
          <w:trHeight w:hRule="exact" w:val="208"/>
        </w:trPr>
        <w:tc>
          <w:tcPr>
            <w:tcW w:w="1570" w:type="pct"/>
          </w:tcPr>
          <w:p w14:paraId="04FA95E3" w14:textId="77777777" w:rsidR="004E2F51" w:rsidRPr="00131EA9" w:rsidRDefault="004E2F51" w:rsidP="00E032FC">
            <w:pPr>
              <w:tabs>
                <w:tab w:val="right" w:pos="1202"/>
              </w:tabs>
              <w:spacing w:line="220" w:lineRule="exact"/>
              <w:outlineLvl w:val="0"/>
              <w:rPr>
                <w:rFonts w:ascii="Arial" w:hAnsi="Arial" w:cs="Arial"/>
                <w:b/>
                <w:color w:val="000000" w:themeColor="text1"/>
                <w:sz w:val="17"/>
                <w:szCs w:val="17"/>
                <w:lang w:val="hr-HR"/>
              </w:rPr>
            </w:pPr>
          </w:p>
        </w:tc>
        <w:tc>
          <w:tcPr>
            <w:tcW w:w="504" w:type="pct"/>
          </w:tcPr>
          <w:p w14:paraId="1C54DFC3"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r w:rsidRPr="00131EA9">
              <w:rPr>
                <w:rFonts w:ascii="Arial" w:hAnsi="Arial" w:cs="Arial"/>
                <w:b/>
                <w:color w:val="000000" w:themeColor="text1"/>
                <w:sz w:val="17"/>
                <w:szCs w:val="17"/>
                <w:lang w:val="hr-HR"/>
              </w:rPr>
              <w:t>000 kuna</w:t>
            </w:r>
          </w:p>
        </w:tc>
        <w:tc>
          <w:tcPr>
            <w:tcW w:w="610" w:type="pct"/>
          </w:tcPr>
          <w:p w14:paraId="7F18FB73"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r w:rsidRPr="00131EA9">
              <w:rPr>
                <w:rFonts w:ascii="Arial" w:hAnsi="Arial" w:cs="Arial"/>
                <w:b/>
                <w:color w:val="000000" w:themeColor="text1"/>
                <w:sz w:val="17"/>
                <w:szCs w:val="17"/>
                <w:lang w:val="hr-HR"/>
              </w:rPr>
              <w:t>000 kuna</w:t>
            </w:r>
          </w:p>
        </w:tc>
        <w:tc>
          <w:tcPr>
            <w:tcW w:w="493" w:type="pct"/>
          </w:tcPr>
          <w:p w14:paraId="7C737325"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r w:rsidRPr="00131EA9">
              <w:rPr>
                <w:rFonts w:ascii="Arial" w:hAnsi="Arial" w:cs="Arial"/>
                <w:b/>
                <w:color w:val="000000" w:themeColor="text1"/>
                <w:sz w:val="17"/>
                <w:szCs w:val="17"/>
                <w:lang w:val="hr-HR"/>
              </w:rPr>
              <w:t>000 kuna</w:t>
            </w:r>
          </w:p>
        </w:tc>
        <w:tc>
          <w:tcPr>
            <w:tcW w:w="609" w:type="pct"/>
          </w:tcPr>
          <w:p w14:paraId="741542C2"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r w:rsidRPr="00131EA9">
              <w:rPr>
                <w:rFonts w:ascii="Arial" w:hAnsi="Arial" w:cs="Arial"/>
                <w:b/>
                <w:color w:val="000000" w:themeColor="text1"/>
                <w:sz w:val="17"/>
                <w:szCs w:val="17"/>
                <w:lang w:val="hr-HR"/>
              </w:rPr>
              <w:t>000 kuna</w:t>
            </w:r>
          </w:p>
        </w:tc>
        <w:tc>
          <w:tcPr>
            <w:tcW w:w="637" w:type="pct"/>
          </w:tcPr>
          <w:p w14:paraId="6EAEF11A"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r w:rsidRPr="00131EA9">
              <w:rPr>
                <w:rFonts w:ascii="Arial" w:hAnsi="Arial" w:cs="Arial"/>
                <w:b/>
                <w:color w:val="000000" w:themeColor="text1"/>
                <w:sz w:val="17"/>
                <w:szCs w:val="17"/>
                <w:lang w:val="hr-HR"/>
              </w:rPr>
              <w:t>000 kuna</w:t>
            </w:r>
          </w:p>
        </w:tc>
        <w:tc>
          <w:tcPr>
            <w:tcW w:w="578" w:type="pct"/>
          </w:tcPr>
          <w:p w14:paraId="4864708D" w14:textId="77777777" w:rsidR="004E2F51" w:rsidRPr="00131EA9" w:rsidRDefault="004E2F51" w:rsidP="00E032FC">
            <w:pPr>
              <w:tabs>
                <w:tab w:val="right" w:pos="1202"/>
              </w:tabs>
              <w:spacing w:line="220" w:lineRule="exact"/>
              <w:jc w:val="right"/>
              <w:outlineLvl w:val="0"/>
              <w:rPr>
                <w:rFonts w:ascii="Arial" w:hAnsi="Arial" w:cs="Arial"/>
                <w:b/>
                <w:color w:val="000000" w:themeColor="text1"/>
                <w:sz w:val="17"/>
                <w:szCs w:val="17"/>
                <w:lang w:val="hr-HR"/>
              </w:rPr>
            </w:pPr>
            <w:r w:rsidRPr="00131EA9">
              <w:rPr>
                <w:rFonts w:ascii="Arial" w:hAnsi="Arial" w:cs="Arial"/>
                <w:b/>
                <w:color w:val="000000" w:themeColor="text1"/>
                <w:sz w:val="17"/>
                <w:szCs w:val="17"/>
                <w:lang w:val="hr-HR"/>
              </w:rPr>
              <w:t>000 kuna</w:t>
            </w:r>
          </w:p>
        </w:tc>
      </w:tr>
      <w:tr w:rsidR="009620F6" w:rsidRPr="00131EA9" w14:paraId="37316838" w14:textId="77777777" w:rsidTr="009620F6">
        <w:trPr>
          <w:trHeight w:val="257"/>
        </w:trPr>
        <w:tc>
          <w:tcPr>
            <w:tcW w:w="1570" w:type="pct"/>
          </w:tcPr>
          <w:p w14:paraId="0D806A25"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Imovina</w:t>
            </w:r>
          </w:p>
        </w:tc>
        <w:tc>
          <w:tcPr>
            <w:tcW w:w="504" w:type="pct"/>
            <w:vAlign w:val="bottom"/>
          </w:tcPr>
          <w:p w14:paraId="1274CD0F"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p>
        </w:tc>
        <w:tc>
          <w:tcPr>
            <w:tcW w:w="610" w:type="pct"/>
            <w:vAlign w:val="bottom"/>
          </w:tcPr>
          <w:p w14:paraId="25EB7418"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p>
        </w:tc>
        <w:tc>
          <w:tcPr>
            <w:tcW w:w="493" w:type="pct"/>
            <w:vAlign w:val="bottom"/>
          </w:tcPr>
          <w:p w14:paraId="54D186AC"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p>
        </w:tc>
        <w:tc>
          <w:tcPr>
            <w:tcW w:w="609" w:type="pct"/>
            <w:vAlign w:val="bottom"/>
          </w:tcPr>
          <w:p w14:paraId="0528590B"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p>
        </w:tc>
        <w:tc>
          <w:tcPr>
            <w:tcW w:w="637" w:type="pct"/>
            <w:vAlign w:val="bottom"/>
          </w:tcPr>
          <w:p w14:paraId="77ECA554"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p>
        </w:tc>
        <w:tc>
          <w:tcPr>
            <w:tcW w:w="578" w:type="pct"/>
            <w:vAlign w:val="bottom"/>
          </w:tcPr>
          <w:p w14:paraId="4C8F7968"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p>
        </w:tc>
      </w:tr>
      <w:tr w:rsidR="009620F6" w:rsidRPr="00131EA9" w14:paraId="2C2B6CEE" w14:textId="77777777" w:rsidTr="009620F6">
        <w:trPr>
          <w:trHeight w:hRule="exact" w:val="278"/>
        </w:trPr>
        <w:tc>
          <w:tcPr>
            <w:tcW w:w="1570" w:type="pct"/>
            <w:vAlign w:val="bottom"/>
          </w:tcPr>
          <w:p w14:paraId="7D77F339"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r w:rsidRPr="00131EA9">
              <w:rPr>
                <w:rFonts w:ascii="Arial" w:hAnsi="Arial" w:cs="Arial"/>
                <w:color w:val="000000" w:themeColor="text1"/>
                <w:spacing w:val="-2"/>
                <w:sz w:val="17"/>
                <w:szCs w:val="17"/>
                <w:lang w:val="hr-HR"/>
              </w:rPr>
              <w:t>Novčana sredstva i računi kod banaka</w:t>
            </w:r>
          </w:p>
        </w:tc>
        <w:tc>
          <w:tcPr>
            <w:tcW w:w="504" w:type="pct"/>
            <w:tcBorders>
              <w:top w:val="nil"/>
              <w:left w:val="nil"/>
              <w:right w:val="nil"/>
            </w:tcBorders>
            <w:vAlign w:val="bottom"/>
          </w:tcPr>
          <w:p w14:paraId="7DBACB76"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55.583 </w:t>
            </w:r>
          </w:p>
        </w:tc>
        <w:tc>
          <w:tcPr>
            <w:tcW w:w="610" w:type="pct"/>
            <w:tcBorders>
              <w:top w:val="nil"/>
              <w:left w:val="nil"/>
              <w:right w:val="nil"/>
            </w:tcBorders>
            <w:vAlign w:val="bottom"/>
          </w:tcPr>
          <w:p w14:paraId="021C7484"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25.319 </w:t>
            </w:r>
          </w:p>
        </w:tc>
        <w:tc>
          <w:tcPr>
            <w:tcW w:w="493" w:type="pct"/>
            <w:tcBorders>
              <w:top w:val="nil"/>
              <w:left w:val="nil"/>
              <w:right w:val="nil"/>
            </w:tcBorders>
            <w:vAlign w:val="bottom"/>
          </w:tcPr>
          <w:p w14:paraId="18AEAF2B"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09" w:type="pct"/>
            <w:tcBorders>
              <w:top w:val="nil"/>
              <w:left w:val="nil"/>
              <w:right w:val="nil"/>
            </w:tcBorders>
            <w:vAlign w:val="bottom"/>
          </w:tcPr>
          <w:p w14:paraId="0082B57B"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80.902 </w:t>
            </w:r>
          </w:p>
        </w:tc>
        <w:tc>
          <w:tcPr>
            <w:tcW w:w="637" w:type="pct"/>
            <w:tcBorders>
              <w:top w:val="nil"/>
              <w:left w:val="nil"/>
              <w:right w:val="nil"/>
            </w:tcBorders>
            <w:vAlign w:val="bottom"/>
          </w:tcPr>
          <w:p w14:paraId="3178E449"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1.877.718 </w:t>
            </w:r>
          </w:p>
        </w:tc>
        <w:tc>
          <w:tcPr>
            <w:tcW w:w="578" w:type="pct"/>
            <w:tcBorders>
              <w:top w:val="nil"/>
              <w:left w:val="nil"/>
            </w:tcBorders>
            <w:vAlign w:val="bottom"/>
          </w:tcPr>
          <w:p w14:paraId="05DA8BA2"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1.958.620 </w:t>
            </w:r>
          </w:p>
        </w:tc>
      </w:tr>
      <w:tr w:rsidR="009620F6" w:rsidRPr="00131EA9" w14:paraId="07D7A5C5" w14:textId="77777777" w:rsidTr="009620F6">
        <w:trPr>
          <w:trHeight w:hRule="exact" w:val="278"/>
        </w:trPr>
        <w:tc>
          <w:tcPr>
            <w:tcW w:w="1570" w:type="pct"/>
            <w:vAlign w:val="bottom"/>
          </w:tcPr>
          <w:p w14:paraId="18FEA298"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r w:rsidRPr="00131EA9">
              <w:rPr>
                <w:rFonts w:ascii="Arial" w:hAnsi="Arial" w:cs="Arial"/>
                <w:color w:val="000000" w:themeColor="text1"/>
                <w:spacing w:val="-2"/>
                <w:sz w:val="17"/>
                <w:szCs w:val="17"/>
                <w:lang w:val="hr-HR"/>
              </w:rPr>
              <w:t>Depoziti kod drugih banaka</w:t>
            </w:r>
          </w:p>
        </w:tc>
        <w:tc>
          <w:tcPr>
            <w:tcW w:w="504" w:type="pct"/>
            <w:tcBorders>
              <w:top w:val="nil"/>
              <w:left w:val="nil"/>
              <w:bottom w:val="nil"/>
              <w:right w:val="nil"/>
            </w:tcBorders>
            <w:vAlign w:val="bottom"/>
          </w:tcPr>
          <w:p w14:paraId="7BB05EEB"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10" w:type="pct"/>
            <w:tcBorders>
              <w:top w:val="nil"/>
              <w:left w:val="nil"/>
              <w:bottom w:val="nil"/>
              <w:right w:val="nil"/>
            </w:tcBorders>
            <w:vAlign w:val="bottom"/>
          </w:tcPr>
          <w:p w14:paraId="383660AF"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7.500 </w:t>
            </w:r>
          </w:p>
        </w:tc>
        <w:tc>
          <w:tcPr>
            <w:tcW w:w="493" w:type="pct"/>
            <w:tcBorders>
              <w:top w:val="nil"/>
              <w:left w:val="nil"/>
              <w:bottom w:val="nil"/>
              <w:right w:val="nil"/>
            </w:tcBorders>
            <w:vAlign w:val="bottom"/>
          </w:tcPr>
          <w:p w14:paraId="1927ECD2"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09" w:type="pct"/>
            <w:tcBorders>
              <w:top w:val="nil"/>
              <w:left w:val="nil"/>
              <w:bottom w:val="nil"/>
              <w:right w:val="nil"/>
            </w:tcBorders>
            <w:vAlign w:val="bottom"/>
          </w:tcPr>
          <w:p w14:paraId="2BB50690"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7.500 </w:t>
            </w:r>
          </w:p>
        </w:tc>
        <w:tc>
          <w:tcPr>
            <w:tcW w:w="637" w:type="pct"/>
            <w:tcBorders>
              <w:top w:val="nil"/>
              <w:left w:val="nil"/>
              <w:bottom w:val="nil"/>
              <w:right w:val="nil"/>
            </w:tcBorders>
            <w:vAlign w:val="bottom"/>
          </w:tcPr>
          <w:p w14:paraId="5AC986B9"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578" w:type="pct"/>
            <w:tcBorders>
              <w:top w:val="nil"/>
              <w:left w:val="nil"/>
              <w:bottom w:val="nil"/>
            </w:tcBorders>
            <w:vAlign w:val="bottom"/>
          </w:tcPr>
          <w:p w14:paraId="00423AD5"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7.500 </w:t>
            </w:r>
          </w:p>
        </w:tc>
      </w:tr>
      <w:tr w:rsidR="009620F6" w:rsidRPr="00131EA9" w14:paraId="12C55B88" w14:textId="77777777" w:rsidTr="009620F6">
        <w:trPr>
          <w:trHeight w:hRule="exact" w:val="278"/>
        </w:trPr>
        <w:tc>
          <w:tcPr>
            <w:tcW w:w="1570" w:type="pct"/>
            <w:vAlign w:val="bottom"/>
          </w:tcPr>
          <w:p w14:paraId="76FF265E"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r w:rsidRPr="00131EA9">
              <w:rPr>
                <w:rFonts w:ascii="Arial" w:hAnsi="Arial" w:cs="Arial"/>
                <w:color w:val="000000" w:themeColor="text1"/>
                <w:spacing w:val="-2"/>
                <w:sz w:val="17"/>
                <w:szCs w:val="17"/>
                <w:lang w:val="hr-HR"/>
              </w:rPr>
              <w:t>Krediti financijskim institucijama</w:t>
            </w:r>
          </w:p>
        </w:tc>
        <w:tc>
          <w:tcPr>
            <w:tcW w:w="504" w:type="pct"/>
            <w:tcBorders>
              <w:top w:val="nil"/>
              <w:left w:val="nil"/>
              <w:bottom w:val="nil"/>
              <w:right w:val="nil"/>
            </w:tcBorders>
            <w:vAlign w:val="bottom"/>
          </w:tcPr>
          <w:p w14:paraId="356FEE62"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10" w:type="pct"/>
            <w:tcBorders>
              <w:top w:val="nil"/>
              <w:left w:val="nil"/>
              <w:bottom w:val="nil"/>
              <w:right w:val="nil"/>
            </w:tcBorders>
            <w:vAlign w:val="bottom"/>
          </w:tcPr>
          <w:p w14:paraId="2218F51A"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3.336.385 </w:t>
            </w:r>
          </w:p>
        </w:tc>
        <w:tc>
          <w:tcPr>
            <w:tcW w:w="493" w:type="pct"/>
            <w:tcBorders>
              <w:top w:val="nil"/>
              <w:left w:val="nil"/>
              <w:bottom w:val="nil"/>
              <w:right w:val="nil"/>
            </w:tcBorders>
            <w:vAlign w:val="bottom"/>
          </w:tcPr>
          <w:p w14:paraId="327FB592"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09" w:type="pct"/>
            <w:tcBorders>
              <w:top w:val="nil"/>
              <w:left w:val="nil"/>
              <w:bottom w:val="nil"/>
              <w:right w:val="nil"/>
            </w:tcBorders>
            <w:vAlign w:val="bottom"/>
          </w:tcPr>
          <w:p w14:paraId="686574AF"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3.336.385 </w:t>
            </w:r>
          </w:p>
        </w:tc>
        <w:tc>
          <w:tcPr>
            <w:tcW w:w="637" w:type="pct"/>
            <w:tcBorders>
              <w:top w:val="nil"/>
              <w:left w:val="nil"/>
              <w:bottom w:val="nil"/>
              <w:right w:val="nil"/>
            </w:tcBorders>
            <w:vAlign w:val="bottom"/>
          </w:tcPr>
          <w:p w14:paraId="173A44D4"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3.713.758 </w:t>
            </w:r>
          </w:p>
        </w:tc>
        <w:tc>
          <w:tcPr>
            <w:tcW w:w="578" w:type="pct"/>
            <w:tcBorders>
              <w:top w:val="nil"/>
              <w:left w:val="nil"/>
              <w:bottom w:val="nil"/>
            </w:tcBorders>
            <w:vAlign w:val="bottom"/>
          </w:tcPr>
          <w:p w14:paraId="316F3808"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7.050.143 </w:t>
            </w:r>
          </w:p>
        </w:tc>
      </w:tr>
      <w:tr w:rsidR="009620F6" w:rsidRPr="00131EA9" w14:paraId="3BF4DF6A" w14:textId="77777777" w:rsidTr="009620F6">
        <w:trPr>
          <w:trHeight w:hRule="exact" w:val="278"/>
        </w:trPr>
        <w:tc>
          <w:tcPr>
            <w:tcW w:w="1570" w:type="pct"/>
            <w:vAlign w:val="bottom"/>
          </w:tcPr>
          <w:p w14:paraId="385534F7"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r w:rsidRPr="00131EA9">
              <w:rPr>
                <w:rFonts w:ascii="Arial" w:hAnsi="Arial" w:cs="Arial"/>
                <w:color w:val="000000" w:themeColor="text1"/>
                <w:spacing w:val="-2"/>
                <w:sz w:val="17"/>
                <w:szCs w:val="17"/>
                <w:lang w:val="hr-HR"/>
              </w:rPr>
              <w:t>Krediti ostalim korisnicima</w:t>
            </w:r>
          </w:p>
        </w:tc>
        <w:tc>
          <w:tcPr>
            <w:tcW w:w="504" w:type="pct"/>
            <w:tcBorders>
              <w:top w:val="nil"/>
              <w:left w:val="nil"/>
              <w:bottom w:val="nil"/>
              <w:right w:val="nil"/>
            </w:tcBorders>
            <w:vAlign w:val="bottom"/>
          </w:tcPr>
          <w:p w14:paraId="37DDC94A"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225.452 </w:t>
            </w:r>
          </w:p>
        </w:tc>
        <w:tc>
          <w:tcPr>
            <w:tcW w:w="610" w:type="pct"/>
            <w:tcBorders>
              <w:top w:val="nil"/>
              <w:left w:val="nil"/>
              <w:bottom w:val="nil"/>
              <w:right w:val="nil"/>
            </w:tcBorders>
            <w:vAlign w:val="bottom"/>
          </w:tcPr>
          <w:p w14:paraId="527FE264"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9.745.523 </w:t>
            </w:r>
          </w:p>
        </w:tc>
        <w:tc>
          <w:tcPr>
            <w:tcW w:w="493" w:type="pct"/>
            <w:tcBorders>
              <w:top w:val="nil"/>
              <w:left w:val="nil"/>
              <w:bottom w:val="nil"/>
              <w:right w:val="nil"/>
            </w:tcBorders>
            <w:vAlign w:val="bottom"/>
          </w:tcPr>
          <w:p w14:paraId="0F1CED40"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09" w:type="pct"/>
            <w:tcBorders>
              <w:top w:val="nil"/>
              <w:left w:val="nil"/>
              <w:bottom w:val="nil"/>
              <w:right w:val="nil"/>
            </w:tcBorders>
            <w:vAlign w:val="bottom"/>
          </w:tcPr>
          <w:p w14:paraId="63C65856"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9.970.975 </w:t>
            </w:r>
          </w:p>
        </w:tc>
        <w:tc>
          <w:tcPr>
            <w:tcW w:w="637" w:type="pct"/>
            <w:tcBorders>
              <w:top w:val="nil"/>
              <w:left w:val="nil"/>
              <w:bottom w:val="nil"/>
              <w:right w:val="nil"/>
            </w:tcBorders>
            <w:vAlign w:val="bottom"/>
          </w:tcPr>
          <w:p w14:paraId="4B37BBE6"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5.993.401 </w:t>
            </w:r>
          </w:p>
        </w:tc>
        <w:tc>
          <w:tcPr>
            <w:tcW w:w="578" w:type="pct"/>
            <w:tcBorders>
              <w:top w:val="nil"/>
              <w:left w:val="nil"/>
              <w:bottom w:val="nil"/>
            </w:tcBorders>
            <w:vAlign w:val="bottom"/>
          </w:tcPr>
          <w:p w14:paraId="34304C88"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15.964.376 </w:t>
            </w:r>
          </w:p>
        </w:tc>
      </w:tr>
      <w:tr w:rsidR="009620F6" w:rsidRPr="00131EA9" w14:paraId="14B8FA61" w14:textId="77777777" w:rsidTr="009620F6">
        <w:trPr>
          <w:trHeight w:hRule="exact" w:val="510"/>
        </w:trPr>
        <w:tc>
          <w:tcPr>
            <w:tcW w:w="1570" w:type="pct"/>
            <w:vAlign w:val="bottom"/>
          </w:tcPr>
          <w:p w14:paraId="3C2BAF76" w14:textId="77777777" w:rsidR="004E2F51" w:rsidRPr="00131EA9" w:rsidRDefault="004E2F51" w:rsidP="00E032FC">
            <w:pPr>
              <w:tabs>
                <w:tab w:val="right" w:pos="1202"/>
              </w:tabs>
              <w:spacing w:line="240" w:lineRule="exact"/>
              <w:outlineLvl w:val="0"/>
              <w:rPr>
                <w:rFonts w:ascii="Arial" w:hAnsi="Arial" w:cs="Arial"/>
                <w:color w:val="000000" w:themeColor="text1"/>
                <w:spacing w:val="-2"/>
                <w:sz w:val="17"/>
                <w:szCs w:val="17"/>
                <w:lang w:val="hr-HR"/>
              </w:rPr>
            </w:pPr>
            <w:r w:rsidRPr="00131EA9">
              <w:rPr>
                <w:rFonts w:ascii="Arial" w:hAnsi="Arial" w:cs="Arial"/>
                <w:color w:val="000000" w:themeColor="text1"/>
                <w:sz w:val="17"/>
                <w:szCs w:val="17"/>
                <w:lang w:val="hr-HR"/>
              </w:rPr>
              <w:t>Financijska imovina po fer vrijednosti kroz dobit ili gubitak</w:t>
            </w:r>
          </w:p>
        </w:tc>
        <w:tc>
          <w:tcPr>
            <w:tcW w:w="504" w:type="pct"/>
            <w:tcBorders>
              <w:top w:val="nil"/>
              <w:left w:val="nil"/>
              <w:bottom w:val="nil"/>
              <w:right w:val="nil"/>
            </w:tcBorders>
            <w:vAlign w:val="bottom"/>
          </w:tcPr>
          <w:p w14:paraId="72F7266B"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16.044 </w:t>
            </w:r>
          </w:p>
        </w:tc>
        <w:tc>
          <w:tcPr>
            <w:tcW w:w="610" w:type="pct"/>
            <w:tcBorders>
              <w:top w:val="nil"/>
              <w:left w:val="nil"/>
              <w:bottom w:val="nil"/>
              <w:right w:val="nil"/>
            </w:tcBorders>
            <w:vAlign w:val="bottom"/>
          </w:tcPr>
          <w:p w14:paraId="0E89CDEF"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100.103 </w:t>
            </w:r>
          </w:p>
        </w:tc>
        <w:tc>
          <w:tcPr>
            <w:tcW w:w="493" w:type="pct"/>
            <w:tcBorders>
              <w:top w:val="nil"/>
              <w:left w:val="nil"/>
              <w:bottom w:val="nil"/>
              <w:right w:val="nil"/>
            </w:tcBorders>
            <w:vAlign w:val="bottom"/>
          </w:tcPr>
          <w:p w14:paraId="57AE156D"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09" w:type="pct"/>
            <w:tcBorders>
              <w:top w:val="nil"/>
              <w:left w:val="nil"/>
              <w:bottom w:val="nil"/>
              <w:right w:val="nil"/>
            </w:tcBorders>
            <w:vAlign w:val="bottom"/>
          </w:tcPr>
          <w:p w14:paraId="4C78DB00"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116.147 </w:t>
            </w:r>
          </w:p>
        </w:tc>
        <w:tc>
          <w:tcPr>
            <w:tcW w:w="637" w:type="pct"/>
            <w:tcBorders>
              <w:top w:val="nil"/>
              <w:left w:val="nil"/>
              <w:bottom w:val="nil"/>
              <w:right w:val="nil"/>
            </w:tcBorders>
            <w:vAlign w:val="bottom"/>
          </w:tcPr>
          <w:p w14:paraId="53767820"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102.837 </w:t>
            </w:r>
          </w:p>
        </w:tc>
        <w:tc>
          <w:tcPr>
            <w:tcW w:w="578" w:type="pct"/>
            <w:tcBorders>
              <w:top w:val="nil"/>
              <w:left w:val="nil"/>
              <w:bottom w:val="nil"/>
            </w:tcBorders>
            <w:vAlign w:val="bottom"/>
          </w:tcPr>
          <w:p w14:paraId="02EB3766"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218.984 </w:t>
            </w:r>
          </w:p>
        </w:tc>
      </w:tr>
      <w:tr w:rsidR="009620F6" w:rsidRPr="00131EA9" w14:paraId="452DBCB1" w14:textId="77777777" w:rsidTr="009620F6">
        <w:trPr>
          <w:trHeight w:hRule="exact" w:val="560"/>
        </w:trPr>
        <w:tc>
          <w:tcPr>
            <w:tcW w:w="1570" w:type="pct"/>
            <w:vAlign w:val="bottom"/>
          </w:tcPr>
          <w:p w14:paraId="176A292B" w14:textId="77777777" w:rsidR="004E2F51" w:rsidRPr="00131EA9" w:rsidRDefault="004E2F51" w:rsidP="00E032FC">
            <w:pPr>
              <w:tabs>
                <w:tab w:val="right" w:pos="1202"/>
              </w:tabs>
              <w:spacing w:line="240" w:lineRule="exact"/>
              <w:outlineLvl w:val="0"/>
              <w:rPr>
                <w:rFonts w:ascii="Arial" w:hAnsi="Arial" w:cs="Arial"/>
                <w:color w:val="000000" w:themeColor="text1"/>
                <w:spacing w:val="-2"/>
                <w:sz w:val="17"/>
                <w:szCs w:val="17"/>
                <w:lang w:val="hr-HR"/>
              </w:rPr>
            </w:pPr>
            <w:r w:rsidRPr="00131EA9">
              <w:rPr>
                <w:rFonts w:ascii="Arial" w:hAnsi="Arial" w:cs="Arial"/>
                <w:color w:val="000000" w:themeColor="text1"/>
                <w:sz w:val="17"/>
                <w:szCs w:val="17"/>
                <w:lang w:val="hr-HR"/>
              </w:rPr>
              <w:t>Financijska imovina po fer vrijednosti kroz ostalu sveobuhvatnu dobit</w:t>
            </w:r>
          </w:p>
        </w:tc>
        <w:tc>
          <w:tcPr>
            <w:tcW w:w="504" w:type="pct"/>
            <w:tcBorders>
              <w:top w:val="nil"/>
              <w:left w:val="nil"/>
              <w:bottom w:val="nil"/>
              <w:right w:val="nil"/>
            </w:tcBorders>
            <w:vAlign w:val="bottom"/>
          </w:tcPr>
          <w:p w14:paraId="5EBA1D80"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10" w:type="pct"/>
            <w:tcBorders>
              <w:top w:val="nil"/>
              <w:left w:val="nil"/>
              <w:bottom w:val="nil"/>
              <w:right w:val="nil"/>
            </w:tcBorders>
            <w:vAlign w:val="bottom"/>
          </w:tcPr>
          <w:p w14:paraId="250AB143"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798.195 </w:t>
            </w:r>
          </w:p>
        </w:tc>
        <w:tc>
          <w:tcPr>
            <w:tcW w:w="493" w:type="pct"/>
            <w:tcBorders>
              <w:top w:val="nil"/>
              <w:left w:val="nil"/>
              <w:bottom w:val="nil"/>
              <w:right w:val="nil"/>
            </w:tcBorders>
            <w:vAlign w:val="bottom"/>
          </w:tcPr>
          <w:p w14:paraId="263F1130"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09" w:type="pct"/>
            <w:tcBorders>
              <w:top w:val="nil"/>
              <w:left w:val="nil"/>
              <w:bottom w:val="nil"/>
              <w:right w:val="nil"/>
            </w:tcBorders>
            <w:vAlign w:val="bottom"/>
          </w:tcPr>
          <w:p w14:paraId="5C831A9A"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798.195 </w:t>
            </w:r>
          </w:p>
        </w:tc>
        <w:tc>
          <w:tcPr>
            <w:tcW w:w="637" w:type="pct"/>
            <w:tcBorders>
              <w:top w:val="nil"/>
              <w:left w:val="nil"/>
              <w:bottom w:val="nil"/>
              <w:right w:val="nil"/>
            </w:tcBorders>
            <w:vAlign w:val="bottom"/>
          </w:tcPr>
          <w:p w14:paraId="2CA080AE"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2.117</w:t>
            </w:r>
            <w:r>
              <w:rPr>
                <w:rFonts w:ascii="Arial" w:hAnsi="Arial" w:cs="Arial"/>
                <w:color w:val="000000" w:themeColor="text1"/>
                <w:sz w:val="17"/>
                <w:szCs w:val="17"/>
                <w:lang w:val="hr-HR"/>
              </w:rPr>
              <w:t>.</w:t>
            </w:r>
            <w:r w:rsidRPr="00131EA9">
              <w:rPr>
                <w:rFonts w:ascii="Arial" w:hAnsi="Arial" w:cs="Arial"/>
                <w:color w:val="000000" w:themeColor="text1"/>
                <w:sz w:val="17"/>
                <w:szCs w:val="17"/>
                <w:lang w:val="hr-HR"/>
              </w:rPr>
              <w:t xml:space="preserve">509 </w:t>
            </w:r>
          </w:p>
        </w:tc>
        <w:tc>
          <w:tcPr>
            <w:tcW w:w="578" w:type="pct"/>
            <w:tcBorders>
              <w:top w:val="nil"/>
              <w:left w:val="nil"/>
              <w:bottom w:val="nil"/>
            </w:tcBorders>
            <w:vAlign w:val="bottom"/>
          </w:tcPr>
          <w:p w14:paraId="24755AEB"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2.915.704 </w:t>
            </w:r>
          </w:p>
        </w:tc>
      </w:tr>
      <w:tr w:rsidR="009620F6" w:rsidRPr="00131EA9" w14:paraId="2CBC00FA" w14:textId="77777777" w:rsidTr="009620F6">
        <w:trPr>
          <w:trHeight w:hRule="exact" w:val="278"/>
        </w:trPr>
        <w:tc>
          <w:tcPr>
            <w:tcW w:w="1570" w:type="pct"/>
            <w:vAlign w:val="bottom"/>
          </w:tcPr>
          <w:p w14:paraId="06ACAB8B" w14:textId="77777777" w:rsidR="004E2F51" w:rsidRPr="00131EA9" w:rsidRDefault="004E2F51" w:rsidP="00E032FC">
            <w:pPr>
              <w:tabs>
                <w:tab w:val="right" w:pos="1202"/>
              </w:tabs>
              <w:spacing w:line="240" w:lineRule="exact"/>
              <w:outlineLvl w:val="0"/>
              <w:rPr>
                <w:rFonts w:ascii="Arial" w:hAnsi="Arial" w:cs="Arial"/>
                <w:color w:val="000000" w:themeColor="text1"/>
                <w:spacing w:val="-2"/>
                <w:sz w:val="17"/>
                <w:szCs w:val="17"/>
                <w:lang w:val="hr-HR"/>
              </w:rPr>
            </w:pPr>
            <w:r w:rsidRPr="00131EA9">
              <w:rPr>
                <w:rFonts w:ascii="Arial" w:hAnsi="Arial" w:cs="Arial"/>
                <w:color w:val="000000" w:themeColor="text1"/>
                <w:spacing w:val="-2"/>
                <w:sz w:val="17"/>
                <w:szCs w:val="17"/>
                <w:lang w:val="hr-HR"/>
              </w:rPr>
              <w:t>Ulaganja u ovisna društva</w:t>
            </w:r>
          </w:p>
        </w:tc>
        <w:tc>
          <w:tcPr>
            <w:tcW w:w="504" w:type="pct"/>
            <w:tcBorders>
              <w:top w:val="nil"/>
              <w:left w:val="nil"/>
              <w:bottom w:val="nil"/>
              <w:right w:val="nil"/>
            </w:tcBorders>
            <w:vAlign w:val="bottom"/>
          </w:tcPr>
          <w:p w14:paraId="293DB3C9"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10" w:type="pct"/>
            <w:tcBorders>
              <w:top w:val="nil"/>
              <w:left w:val="nil"/>
              <w:bottom w:val="nil"/>
              <w:right w:val="nil"/>
            </w:tcBorders>
            <w:vAlign w:val="bottom"/>
          </w:tcPr>
          <w:p w14:paraId="3F26FA04"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493" w:type="pct"/>
            <w:tcBorders>
              <w:top w:val="nil"/>
              <w:left w:val="nil"/>
              <w:bottom w:val="nil"/>
              <w:right w:val="nil"/>
            </w:tcBorders>
            <w:vAlign w:val="bottom"/>
          </w:tcPr>
          <w:p w14:paraId="555236AE"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09" w:type="pct"/>
            <w:tcBorders>
              <w:top w:val="nil"/>
              <w:left w:val="nil"/>
              <w:bottom w:val="nil"/>
              <w:right w:val="nil"/>
            </w:tcBorders>
            <w:vAlign w:val="bottom"/>
          </w:tcPr>
          <w:p w14:paraId="4E089923"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37" w:type="pct"/>
            <w:tcBorders>
              <w:top w:val="nil"/>
              <w:left w:val="nil"/>
              <w:bottom w:val="nil"/>
              <w:right w:val="nil"/>
            </w:tcBorders>
            <w:vAlign w:val="bottom"/>
          </w:tcPr>
          <w:p w14:paraId="3AE7AB15"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36.124 </w:t>
            </w:r>
          </w:p>
        </w:tc>
        <w:tc>
          <w:tcPr>
            <w:tcW w:w="578" w:type="pct"/>
            <w:tcBorders>
              <w:top w:val="nil"/>
              <w:left w:val="nil"/>
              <w:bottom w:val="nil"/>
            </w:tcBorders>
            <w:vAlign w:val="bottom"/>
          </w:tcPr>
          <w:p w14:paraId="649B1686"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36.124 </w:t>
            </w:r>
          </w:p>
        </w:tc>
      </w:tr>
      <w:tr w:rsidR="009620F6" w:rsidRPr="00131EA9" w14:paraId="7018CAE0" w14:textId="77777777" w:rsidTr="009620F6">
        <w:trPr>
          <w:trHeight w:hRule="exact" w:val="510"/>
        </w:trPr>
        <w:tc>
          <w:tcPr>
            <w:tcW w:w="1570" w:type="pct"/>
            <w:vAlign w:val="bottom"/>
          </w:tcPr>
          <w:p w14:paraId="437E38AF"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r w:rsidRPr="00131EA9">
              <w:rPr>
                <w:rFonts w:ascii="Arial" w:hAnsi="Arial" w:cs="Arial"/>
                <w:color w:val="000000" w:themeColor="text1"/>
                <w:spacing w:val="-2"/>
                <w:sz w:val="17"/>
                <w:szCs w:val="17"/>
                <w:lang w:val="hr-HR"/>
              </w:rPr>
              <w:t>Nekretnine, postrojenja i oprema i nematerijalna imovina</w:t>
            </w:r>
          </w:p>
        </w:tc>
        <w:tc>
          <w:tcPr>
            <w:tcW w:w="504" w:type="pct"/>
            <w:tcBorders>
              <w:top w:val="nil"/>
              <w:left w:val="nil"/>
              <w:bottom w:val="nil"/>
              <w:right w:val="nil"/>
            </w:tcBorders>
            <w:vAlign w:val="bottom"/>
          </w:tcPr>
          <w:p w14:paraId="5C515E73"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10" w:type="pct"/>
            <w:tcBorders>
              <w:top w:val="nil"/>
              <w:left w:val="nil"/>
              <w:bottom w:val="nil"/>
              <w:right w:val="nil"/>
            </w:tcBorders>
            <w:vAlign w:val="bottom"/>
          </w:tcPr>
          <w:p w14:paraId="38A1498E"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493" w:type="pct"/>
            <w:tcBorders>
              <w:top w:val="nil"/>
              <w:left w:val="nil"/>
              <w:bottom w:val="nil"/>
              <w:right w:val="nil"/>
            </w:tcBorders>
            <w:vAlign w:val="bottom"/>
          </w:tcPr>
          <w:p w14:paraId="1E8F9605"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09" w:type="pct"/>
            <w:tcBorders>
              <w:top w:val="nil"/>
              <w:left w:val="nil"/>
              <w:bottom w:val="nil"/>
              <w:right w:val="nil"/>
            </w:tcBorders>
            <w:vAlign w:val="bottom"/>
          </w:tcPr>
          <w:p w14:paraId="057AF199"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37" w:type="pct"/>
            <w:tcBorders>
              <w:top w:val="nil"/>
              <w:left w:val="nil"/>
              <w:bottom w:val="nil"/>
              <w:right w:val="nil"/>
            </w:tcBorders>
            <w:vAlign w:val="bottom"/>
          </w:tcPr>
          <w:p w14:paraId="58931B66"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42.674 </w:t>
            </w:r>
          </w:p>
        </w:tc>
        <w:tc>
          <w:tcPr>
            <w:tcW w:w="578" w:type="pct"/>
            <w:tcBorders>
              <w:top w:val="nil"/>
              <w:left w:val="nil"/>
              <w:bottom w:val="nil"/>
            </w:tcBorders>
            <w:vAlign w:val="bottom"/>
          </w:tcPr>
          <w:p w14:paraId="1E8F0753"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42.674 </w:t>
            </w:r>
          </w:p>
        </w:tc>
      </w:tr>
      <w:tr w:rsidR="009620F6" w:rsidRPr="00131EA9" w14:paraId="46618BFB" w14:textId="77777777" w:rsidTr="009620F6">
        <w:trPr>
          <w:trHeight w:hRule="exact" w:val="291"/>
        </w:trPr>
        <w:tc>
          <w:tcPr>
            <w:tcW w:w="1570" w:type="pct"/>
            <w:vAlign w:val="bottom"/>
          </w:tcPr>
          <w:p w14:paraId="022BD769"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r w:rsidRPr="00131EA9">
              <w:rPr>
                <w:rFonts w:ascii="Arial" w:hAnsi="Arial" w:cs="Arial"/>
                <w:color w:val="000000" w:themeColor="text1"/>
                <w:spacing w:val="-2"/>
                <w:sz w:val="17"/>
                <w:szCs w:val="17"/>
                <w:lang w:val="hr-HR"/>
              </w:rPr>
              <w:t>Preuzeta imovina</w:t>
            </w:r>
          </w:p>
        </w:tc>
        <w:tc>
          <w:tcPr>
            <w:tcW w:w="504" w:type="pct"/>
            <w:tcBorders>
              <w:top w:val="nil"/>
              <w:left w:val="nil"/>
              <w:bottom w:val="nil"/>
              <w:right w:val="nil"/>
            </w:tcBorders>
            <w:vAlign w:val="bottom"/>
          </w:tcPr>
          <w:p w14:paraId="66F37723"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10" w:type="pct"/>
            <w:tcBorders>
              <w:top w:val="nil"/>
              <w:left w:val="nil"/>
              <w:bottom w:val="nil"/>
              <w:right w:val="nil"/>
            </w:tcBorders>
            <w:vAlign w:val="bottom"/>
          </w:tcPr>
          <w:p w14:paraId="252E6910"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493" w:type="pct"/>
            <w:tcBorders>
              <w:top w:val="nil"/>
              <w:left w:val="nil"/>
              <w:bottom w:val="nil"/>
              <w:right w:val="nil"/>
            </w:tcBorders>
            <w:vAlign w:val="bottom"/>
          </w:tcPr>
          <w:p w14:paraId="00815226"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09" w:type="pct"/>
            <w:tcBorders>
              <w:top w:val="nil"/>
              <w:left w:val="nil"/>
              <w:bottom w:val="nil"/>
              <w:right w:val="nil"/>
            </w:tcBorders>
            <w:vAlign w:val="bottom"/>
          </w:tcPr>
          <w:p w14:paraId="7C392C48"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37" w:type="pct"/>
            <w:tcBorders>
              <w:top w:val="nil"/>
              <w:left w:val="nil"/>
              <w:bottom w:val="nil"/>
              <w:right w:val="nil"/>
            </w:tcBorders>
            <w:vAlign w:val="bottom"/>
          </w:tcPr>
          <w:p w14:paraId="3864B401"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21.369 </w:t>
            </w:r>
          </w:p>
        </w:tc>
        <w:tc>
          <w:tcPr>
            <w:tcW w:w="578" w:type="pct"/>
            <w:tcBorders>
              <w:top w:val="nil"/>
              <w:left w:val="nil"/>
              <w:bottom w:val="nil"/>
            </w:tcBorders>
            <w:vAlign w:val="bottom"/>
          </w:tcPr>
          <w:p w14:paraId="0A5A5452"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21.369 </w:t>
            </w:r>
          </w:p>
        </w:tc>
      </w:tr>
      <w:tr w:rsidR="009620F6" w:rsidRPr="00131EA9" w14:paraId="48E3F4DA" w14:textId="77777777" w:rsidTr="009620F6">
        <w:trPr>
          <w:trHeight w:hRule="exact" w:val="278"/>
        </w:trPr>
        <w:tc>
          <w:tcPr>
            <w:tcW w:w="1570" w:type="pct"/>
            <w:vAlign w:val="bottom"/>
          </w:tcPr>
          <w:p w14:paraId="2743ECE2"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r w:rsidRPr="00131EA9">
              <w:rPr>
                <w:rFonts w:ascii="Arial" w:hAnsi="Arial" w:cs="Arial"/>
                <w:color w:val="000000" w:themeColor="text1"/>
                <w:spacing w:val="-2"/>
                <w:sz w:val="17"/>
                <w:szCs w:val="17"/>
                <w:lang w:val="hr-HR"/>
              </w:rPr>
              <w:t>Ostala imovina</w:t>
            </w:r>
          </w:p>
        </w:tc>
        <w:tc>
          <w:tcPr>
            <w:tcW w:w="504" w:type="pct"/>
            <w:tcBorders>
              <w:top w:val="nil"/>
              <w:left w:val="nil"/>
              <w:bottom w:val="nil"/>
              <w:right w:val="nil"/>
            </w:tcBorders>
            <w:vAlign w:val="bottom"/>
          </w:tcPr>
          <w:p w14:paraId="73E365A0"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10" w:type="pct"/>
            <w:tcBorders>
              <w:top w:val="nil"/>
              <w:left w:val="nil"/>
              <w:bottom w:val="nil"/>
              <w:right w:val="nil"/>
            </w:tcBorders>
            <w:vAlign w:val="bottom"/>
          </w:tcPr>
          <w:p w14:paraId="75BEAEEC"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491 </w:t>
            </w:r>
          </w:p>
        </w:tc>
        <w:tc>
          <w:tcPr>
            <w:tcW w:w="493" w:type="pct"/>
            <w:tcBorders>
              <w:top w:val="nil"/>
              <w:left w:val="nil"/>
              <w:bottom w:val="nil"/>
              <w:right w:val="nil"/>
            </w:tcBorders>
            <w:vAlign w:val="bottom"/>
          </w:tcPr>
          <w:p w14:paraId="2F49810E"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09" w:type="pct"/>
            <w:tcBorders>
              <w:top w:val="nil"/>
              <w:left w:val="nil"/>
              <w:bottom w:val="nil"/>
              <w:right w:val="nil"/>
            </w:tcBorders>
            <w:vAlign w:val="bottom"/>
          </w:tcPr>
          <w:p w14:paraId="31E8D087"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491</w:t>
            </w:r>
          </w:p>
        </w:tc>
        <w:tc>
          <w:tcPr>
            <w:tcW w:w="637" w:type="pct"/>
            <w:tcBorders>
              <w:top w:val="nil"/>
              <w:left w:val="nil"/>
              <w:bottom w:val="nil"/>
              <w:right w:val="nil"/>
            </w:tcBorders>
            <w:vAlign w:val="bottom"/>
          </w:tcPr>
          <w:p w14:paraId="4B9487BC"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34.003 </w:t>
            </w:r>
          </w:p>
        </w:tc>
        <w:tc>
          <w:tcPr>
            <w:tcW w:w="578" w:type="pct"/>
            <w:tcBorders>
              <w:top w:val="nil"/>
              <w:left w:val="nil"/>
              <w:bottom w:val="nil"/>
            </w:tcBorders>
            <w:vAlign w:val="bottom"/>
          </w:tcPr>
          <w:p w14:paraId="1C281615"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34.494 </w:t>
            </w:r>
          </w:p>
        </w:tc>
      </w:tr>
      <w:tr w:rsidR="009620F6" w:rsidRPr="00131EA9" w14:paraId="6FAC585C" w14:textId="77777777" w:rsidTr="009620F6">
        <w:trPr>
          <w:trHeight w:hRule="exact" w:val="278"/>
        </w:trPr>
        <w:tc>
          <w:tcPr>
            <w:tcW w:w="1570" w:type="pct"/>
            <w:vAlign w:val="bottom"/>
          </w:tcPr>
          <w:p w14:paraId="6C352523"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Ukupna imovina</w:t>
            </w:r>
          </w:p>
        </w:tc>
        <w:tc>
          <w:tcPr>
            <w:tcW w:w="504" w:type="pct"/>
            <w:tcBorders>
              <w:top w:val="single" w:sz="4" w:space="0" w:color="000000"/>
              <w:bottom w:val="single" w:sz="8" w:space="0" w:color="000000"/>
            </w:tcBorders>
            <w:vAlign w:val="bottom"/>
          </w:tcPr>
          <w:p w14:paraId="4DDE96AA"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 xml:space="preserve"> 297.079 </w:t>
            </w:r>
          </w:p>
        </w:tc>
        <w:tc>
          <w:tcPr>
            <w:tcW w:w="610" w:type="pct"/>
            <w:tcBorders>
              <w:top w:val="single" w:sz="4" w:space="0" w:color="000000"/>
              <w:bottom w:val="single" w:sz="8" w:space="0" w:color="000000"/>
            </w:tcBorders>
            <w:vAlign w:val="bottom"/>
          </w:tcPr>
          <w:p w14:paraId="6F46E7C6" w14:textId="77777777" w:rsidR="004E2F51" w:rsidRPr="00131EA9" w:rsidRDefault="004E2F51" w:rsidP="00E032FC">
            <w:pPr>
              <w:spacing w:line="240" w:lineRule="exact"/>
              <w:jc w:val="center"/>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 xml:space="preserve">14.013.516 </w:t>
            </w:r>
          </w:p>
        </w:tc>
        <w:tc>
          <w:tcPr>
            <w:tcW w:w="493" w:type="pct"/>
            <w:tcBorders>
              <w:top w:val="single" w:sz="4" w:space="0" w:color="000000"/>
              <w:bottom w:val="single" w:sz="8" w:space="0" w:color="000000"/>
            </w:tcBorders>
            <w:vAlign w:val="bottom"/>
          </w:tcPr>
          <w:p w14:paraId="0E3685FA"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 xml:space="preserve"> - </w:t>
            </w:r>
          </w:p>
        </w:tc>
        <w:tc>
          <w:tcPr>
            <w:tcW w:w="609" w:type="pct"/>
            <w:tcBorders>
              <w:top w:val="single" w:sz="4" w:space="0" w:color="000000"/>
              <w:bottom w:val="single" w:sz="8" w:space="0" w:color="000000"/>
            </w:tcBorders>
            <w:vAlign w:val="bottom"/>
          </w:tcPr>
          <w:p w14:paraId="5CBE82CA"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 xml:space="preserve">14.310.595 </w:t>
            </w:r>
          </w:p>
        </w:tc>
        <w:tc>
          <w:tcPr>
            <w:tcW w:w="637" w:type="pct"/>
            <w:tcBorders>
              <w:top w:val="single" w:sz="4" w:space="0" w:color="000000"/>
              <w:bottom w:val="single" w:sz="8" w:space="0" w:color="000000"/>
            </w:tcBorders>
            <w:vAlign w:val="bottom"/>
          </w:tcPr>
          <w:p w14:paraId="13AC575A"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 xml:space="preserve"> 13.939.393* </w:t>
            </w:r>
          </w:p>
        </w:tc>
        <w:tc>
          <w:tcPr>
            <w:tcW w:w="578" w:type="pct"/>
            <w:tcBorders>
              <w:top w:val="single" w:sz="4" w:space="0" w:color="000000"/>
              <w:bottom w:val="single" w:sz="8" w:space="0" w:color="000000"/>
            </w:tcBorders>
            <w:vAlign w:val="bottom"/>
          </w:tcPr>
          <w:p w14:paraId="559FD49C"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 xml:space="preserve">28.249.988 </w:t>
            </w:r>
          </w:p>
        </w:tc>
      </w:tr>
      <w:tr w:rsidR="009620F6" w:rsidRPr="00131EA9" w14:paraId="742FBBF4" w14:textId="77777777" w:rsidTr="009620F6">
        <w:trPr>
          <w:trHeight w:val="243"/>
        </w:trPr>
        <w:tc>
          <w:tcPr>
            <w:tcW w:w="1570" w:type="pct"/>
            <w:vAlign w:val="bottom"/>
          </w:tcPr>
          <w:p w14:paraId="41C6ACA5"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Obveze</w:t>
            </w:r>
          </w:p>
        </w:tc>
        <w:tc>
          <w:tcPr>
            <w:tcW w:w="504" w:type="pct"/>
            <w:tcBorders>
              <w:top w:val="single" w:sz="12" w:space="0" w:color="000000"/>
            </w:tcBorders>
            <w:vAlign w:val="bottom"/>
          </w:tcPr>
          <w:p w14:paraId="7DDA0D14" w14:textId="77777777" w:rsidR="004E2F51" w:rsidRPr="00131EA9" w:rsidRDefault="004E2F51" w:rsidP="00E032FC">
            <w:pPr>
              <w:spacing w:line="240" w:lineRule="exact"/>
              <w:ind w:left="-123"/>
              <w:jc w:val="right"/>
              <w:rPr>
                <w:rFonts w:ascii="Arial" w:hAnsi="Arial" w:cs="Arial"/>
                <w:color w:val="000000" w:themeColor="text1"/>
                <w:spacing w:val="-2"/>
                <w:sz w:val="17"/>
                <w:szCs w:val="17"/>
                <w:lang w:val="hr-HR"/>
              </w:rPr>
            </w:pPr>
          </w:p>
        </w:tc>
        <w:tc>
          <w:tcPr>
            <w:tcW w:w="610" w:type="pct"/>
            <w:tcBorders>
              <w:top w:val="single" w:sz="12" w:space="0" w:color="000000"/>
            </w:tcBorders>
            <w:vAlign w:val="bottom"/>
          </w:tcPr>
          <w:p w14:paraId="3134C1FC" w14:textId="77777777" w:rsidR="004E2F51" w:rsidRPr="00131EA9" w:rsidRDefault="004E2F51" w:rsidP="00E032FC">
            <w:pPr>
              <w:spacing w:line="240" w:lineRule="exact"/>
              <w:jc w:val="right"/>
              <w:rPr>
                <w:rFonts w:ascii="Arial" w:hAnsi="Arial" w:cs="Arial"/>
                <w:color w:val="000000" w:themeColor="text1"/>
                <w:spacing w:val="-2"/>
                <w:sz w:val="17"/>
                <w:szCs w:val="17"/>
                <w:lang w:val="hr-HR"/>
              </w:rPr>
            </w:pPr>
          </w:p>
        </w:tc>
        <w:tc>
          <w:tcPr>
            <w:tcW w:w="493" w:type="pct"/>
            <w:tcBorders>
              <w:top w:val="single" w:sz="12" w:space="0" w:color="000000"/>
            </w:tcBorders>
            <w:vAlign w:val="bottom"/>
          </w:tcPr>
          <w:p w14:paraId="5002B4FE" w14:textId="77777777" w:rsidR="004E2F51" w:rsidRPr="00131EA9" w:rsidRDefault="004E2F51" w:rsidP="00E032FC">
            <w:pPr>
              <w:spacing w:line="240" w:lineRule="exact"/>
              <w:jc w:val="right"/>
              <w:rPr>
                <w:rFonts w:ascii="Arial" w:hAnsi="Arial" w:cs="Arial"/>
                <w:color w:val="000000" w:themeColor="text1"/>
                <w:spacing w:val="-2"/>
                <w:sz w:val="17"/>
                <w:szCs w:val="17"/>
                <w:lang w:val="hr-HR"/>
              </w:rPr>
            </w:pPr>
          </w:p>
        </w:tc>
        <w:tc>
          <w:tcPr>
            <w:tcW w:w="609" w:type="pct"/>
            <w:tcBorders>
              <w:top w:val="single" w:sz="12" w:space="0" w:color="000000"/>
            </w:tcBorders>
            <w:vAlign w:val="bottom"/>
          </w:tcPr>
          <w:p w14:paraId="12E642F4" w14:textId="77777777" w:rsidR="004E2F51" w:rsidRPr="00131EA9" w:rsidRDefault="004E2F51" w:rsidP="00E032FC">
            <w:pPr>
              <w:spacing w:line="240" w:lineRule="exact"/>
              <w:jc w:val="right"/>
              <w:rPr>
                <w:rFonts w:ascii="Arial" w:hAnsi="Arial" w:cs="Arial"/>
                <w:color w:val="000000" w:themeColor="text1"/>
                <w:spacing w:val="-2"/>
                <w:sz w:val="17"/>
                <w:szCs w:val="17"/>
                <w:lang w:val="hr-HR"/>
              </w:rPr>
            </w:pPr>
          </w:p>
        </w:tc>
        <w:tc>
          <w:tcPr>
            <w:tcW w:w="637" w:type="pct"/>
            <w:tcBorders>
              <w:top w:val="single" w:sz="12" w:space="0" w:color="000000"/>
            </w:tcBorders>
            <w:vAlign w:val="bottom"/>
          </w:tcPr>
          <w:p w14:paraId="26A3337A" w14:textId="77777777" w:rsidR="004E2F51" w:rsidRPr="00131EA9" w:rsidRDefault="004E2F51" w:rsidP="00E032FC">
            <w:pPr>
              <w:spacing w:line="240" w:lineRule="exact"/>
              <w:jc w:val="right"/>
              <w:rPr>
                <w:rFonts w:ascii="Arial" w:hAnsi="Arial" w:cs="Arial"/>
                <w:color w:val="000000" w:themeColor="text1"/>
                <w:spacing w:val="-2"/>
                <w:sz w:val="17"/>
                <w:szCs w:val="17"/>
                <w:lang w:val="hr-HR"/>
              </w:rPr>
            </w:pPr>
          </w:p>
        </w:tc>
        <w:tc>
          <w:tcPr>
            <w:tcW w:w="578" w:type="pct"/>
            <w:tcBorders>
              <w:top w:val="single" w:sz="12" w:space="0" w:color="000000"/>
            </w:tcBorders>
            <w:vAlign w:val="bottom"/>
          </w:tcPr>
          <w:p w14:paraId="5DFAA8EF" w14:textId="77777777" w:rsidR="004E2F51" w:rsidRPr="00131EA9" w:rsidRDefault="004E2F51" w:rsidP="00E032FC">
            <w:pPr>
              <w:spacing w:line="240" w:lineRule="exact"/>
              <w:jc w:val="right"/>
              <w:rPr>
                <w:rFonts w:ascii="Arial" w:hAnsi="Arial" w:cs="Arial"/>
                <w:b/>
                <w:color w:val="000000" w:themeColor="text1"/>
                <w:sz w:val="17"/>
                <w:szCs w:val="17"/>
                <w:lang w:val="hr-HR"/>
              </w:rPr>
            </w:pPr>
          </w:p>
        </w:tc>
      </w:tr>
      <w:tr w:rsidR="009620F6" w:rsidRPr="00131EA9" w14:paraId="350C6094" w14:textId="77777777" w:rsidTr="009620F6">
        <w:trPr>
          <w:trHeight w:hRule="exact" w:val="278"/>
        </w:trPr>
        <w:tc>
          <w:tcPr>
            <w:tcW w:w="1570" w:type="pct"/>
            <w:vAlign w:val="bottom"/>
          </w:tcPr>
          <w:p w14:paraId="664A6564"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r w:rsidRPr="00131EA9">
              <w:rPr>
                <w:rFonts w:ascii="Arial" w:hAnsi="Arial" w:cs="Arial"/>
                <w:color w:val="000000" w:themeColor="text1"/>
                <w:sz w:val="17"/>
                <w:szCs w:val="17"/>
                <w:lang w:val="hr-HR"/>
              </w:rPr>
              <w:t>Obveze po depozitima</w:t>
            </w:r>
          </w:p>
        </w:tc>
        <w:tc>
          <w:tcPr>
            <w:tcW w:w="504" w:type="pct"/>
            <w:tcBorders>
              <w:top w:val="nil"/>
              <w:left w:val="nil"/>
              <w:bottom w:val="nil"/>
              <w:right w:val="nil"/>
            </w:tcBorders>
            <w:vAlign w:val="bottom"/>
          </w:tcPr>
          <w:p w14:paraId="4F20A0F1"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106.027 </w:t>
            </w:r>
          </w:p>
        </w:tc>
        <w:tc>
          <w:tcPr>
            <w:tcW w:w="610" w:type="pct"/>
            <w:tcBorders>
              <w:top w:val="nil"/>
              <w:left w:val="nil"/>
              <w:bottom w:val="nil"/>
              <w:right w:val="nil"/>
            </w:tcBorders>
            <w:vAlign w:val="bottom"/>
          </w:tcPr>
          <w:p w14:paraId="31CB21CE"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471.389 </w:t>
            </w:r>
          </w:p>
        </w:tc>
        <w:tc>
          <w:tcPr>
            <w:tcW w:w="493" w:type="pct"/>
            <w:tcBorders>
              <w:top w:val="nil"/>
              <w:left w:val="nil"/>
              <w:bottom w:val="nil"/>
              <w:right w:val="nil"/>
            </w:tcBorders>
            <w:vAlign w:val="bottom"/>
          </w:tcPr>
          <w:p w14:paraId="58DCB706"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09" w:type="pct"/>
            <w:tcBorders>
              <w:top w:val="nil"/>
              <w:left w:val="nil"/>
              <w:bottom w:val="nil"/>
              <w:right w:val="nil"/>
            </w:tcBorders>
            <w:vAlign w:val="bottom"/>
          </w:tcPr>
          <w:p w14:paraId="26663D32"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577.416 </w:t>
            </w:r>
          </w:p>
        </w:tc>
        <w:tc>
          <w:tcPr>
            <w:tcW w:w="637" w:type="pct"/>
            <w:tcBorders>
              <w:top w:val="nil"/>
              <w:left w:val="nil"/>
              <w:bottom w:val="nil"/>
              <w:right w:val="nil"/>
            </w:tcBorders>
            <w:vAlign w:val="bottom"/>
          </w:tcPr>
          <w:p w14:paraId="3B465CBD"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383.125 </w:t>
            </w:r>
          </w:p>
        </w:tc>
        <w:tc>
          <w:tcPr>
            <w:tcW w:w="578" w:type="pct"/>
            <w:tcBorders>
              <w:top w:val="nil"/>
              <w:left w:val="nil"/>
              <w:bottom w:val="nil"/>
            </w:tcBorders>
            <w:vAlign w:val="bottom"/>
          </w:tcPr>
          <w:p w14:paraId="156093A2"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960.541 </w:t>
            </w:r>
          </w:p>
        </w:tc>
      </w:tr>
      <w:tr w:rsidR="009620F6" w:rsidRPr="00131EA9" w14:paraId="4B85E046" w14:textId="77777777" w:rsidTr="009620F6">
        <w:trPr>
          <w:trHeight w:hRule="exact" w:val="278"/>
        </w:trPr>
        <w:tc>
          <w:tcPr>
            <w:tcW w:w="1570" w:type="pct"/>
            <w:vAlign w:val="bottom"/>
          </w:tcPr>
          <w:p w14:paraId="36E1E67B"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r w:rsidRPr="00131EA9">
              <w:rPr>
                <w:rFonts w:ascii="Arial" w:hAnsi="Arial" w:cs="Arial"/>
                <w:color w:val="000000" w:themeColor="text1"/>
                <w:sz w:val="17"/>
                <w:szCs w:val="17"/>
                <w:lang w:val="hr-HR"/>
              </w:rPr>
              <w:t>Obveze po kreditima</w:t>
            </w:r>
          </w:p>
        </w:tc>
        <w:tc>
          <w:tcPr>
            <w:tcW w:w="504" w:type="pct"/>
            <w:tcBorders>
              <w:top w:val="nil"/>
              <w:left w:val="nil"/>
              <w:bottom w:val="nil"/>
              <w:right w:val="nil"/>
            </w:tcBorders>
            <w:vAlign w:val="bottom"/>
          </w:tcPr>
          <w:p w14:paraId="1353D8EC"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189.999 </w:t>
            </w:r>
          </w:p>
        </w:tc>
        <w:tc>
          <w:tcPr>
            <w:tcW w:w="610" w:type="pct"/>
            <w:tcBorders>
              <w:top w:val="nil"/>
              <w:left w:val="nil"/>
              <w:bottom w:val="nil"/>
              <w:right w:val="nil"/>
            </w:tcBorders>
            <w:vAlign w:val="bottom"/>
          </w:tcPr>
          <w:p w14:paraId="12B5A037"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14.424.638 </w:t>
            </w:r>
          </w:p>
        </w:tc>
        <w:tc>
          <w:tcPr>
            <w:tcW w:w="493" w:type="pct"/>
            <w:tcBorders>
              <w:top w:val="nil"/>
              <w:left w:val="nil"/>
              <w:bottom w:val="nil"/>
              <w:right w:val="nil"/>
            </w:tcBorders>
            <w:vAlign w:val="bottom"/>
          </w:tcPr>
          <w:p w14:paraId="5CD02696"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09" w:type="pct"/>
            <w:tcBorders>
              <w:top w:val="nil"/>
              <w:left w:val="nil"/>
              <w:bottom w:val="nil"/>
              <w:right w:val="nil"/>
            </w:tcBorders>
            <w:vAlign w:val="bottom"/>
          </w:tcPr>
          <w:p w14:paraId="386522B5" w14:textId="77777777" w:rsidR="004E2F51" w:rsidRPr="00131EA9" w:rsidRDefault="004E2F51" w:rsidP="009C7617">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14.614.637 </w:t>
            </w:r>
          </w:p>
        </w:tc>
        <w:tc>
          <w:tcPr>
            <w:tcW w:w="637" w:type="pct"/>
            <w:tcBorders>
              <w:top w:val="nil"/>
              <w:left w:val="nil"/>
              <w:bottom w:val="nil"/>
              <w:right w:val="nil"/>
            </w:tcBorders>
            <w:vAlign w:val="bottom"/>
          </w:tcPr>
          <w:p w14:paraId="1AF147E8"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1.500.600 </w:t>
            </w:r>
          </w:p>
        </w:tc>
        <w:tc>
          <w:tcPr>
            <w:tcW w:w="578" w:type="pct"/>
            <w:tcBorders>
              <w:top w:val="nil"/>
              <w:left w:val="nil"/>
              <w:bottom w:val="nil"/>
            </w:tcBorders>
            <w:vAlign w:val="bottom"/>
          </w:tcPr>
          <w:p w14:paraId="35605411"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16.115.237 </w:t>
            </w:r>
          </w:p>
        </w:tc>
      </w:tr>
      <w:tr w:rsidR="009620F6" w:rsidRPr="00131EA9" w14:paraId="62F07F17" w14:textId="77777777" w:rsidTr="009620F6">
        <w:trPr>
          <w:trHeight w:hRule="exact" w:val="454"/>
        </w:trPr>
        <w:tc>
          <w:tcPr>
            <w:tcW w:w="1570" w:type="pct"/>
            <w:vAlign w:val="bottom"/>
          </w:tcPr>
          <w:p w14:paraId="69F9BDEF"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r w:rsidRPr="00131EA9">
              <w:rPr>
                <w:rFonts w:ascii="Arial" w:hAnsi="Arial" w:cs="Arial"/>
                <w:color w:val="000000" w:themeColor="text1"/>
                <w:sz w:val="17"/>
                <w:szCs w:val="17"/>
                <w:lang w:val="hr-HR"/>
              </w:rPr>
              <w:t>Rezerviranja za garancije, preuzete i ostale obveze</w:t>
            </w:r>
          </w:p>
        </w:tc>
        <w:tc>
          <w:tcPr>
            <w:tcW w:w="504" w:type="pct"/>
            <w:tcBorders>
              <w:top w:val="nil"/>
              <w:left w:val="nil"/>
              <w:bottom w:val="nil"/>
              <w:right w:val="nil"/>
            </w:tcBorders>
            <w:vAlign w:val="bottom"/>
          </w:tcPr>
          <w:p w14:paraId="2CF8783B"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23.613 </w:t>
            </w:r>
          </w:p>
        </w:tc>
        <w:tc>
          <w:tcPr>
            <w:tcW w:w="610" w:type="pct"/>
            <w:tcBorders>
              <w:top w:val="nil"/>
              <w:left w:val="nil"/>
              <w:bottom w:val="nil"/>
              <w:right w:val="nil"/>
            </w:tcBorders>
            <w:vAlign w:val="bottom"/>
          </w:tcPr>
          <w:p w14:paraId="53293351"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25.674 </w:t>
            </w:r>
          </w:p>
        </w:tc>
        <w:tc>
          <w:tcPr>
            <w:tcW w:w="493" w:type="pct"/>
            <w:tcBorders>
              <w:top w:val="nil"/>
              <w:left w:val="nil"/>
              <w:bottom w:val="nil"/>
              <w:right w:val="nil"/>
            </w:tcBorders>
            <w:vAlign w:val="bottom"/>
          </w:tcPr>
          <w:p w14:paraId="6EA299FE"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15.098 </w:t>
            </w:r>
          </w:p>
        </w:tc>
        <w:tc>
          <w:tcPr>
            <w:tcW w:w="609" w:type="pct"/>
            <w:tcBorders>
              <w:top w:val="nil"/>
              <w:left w:val="nil"/>
              <w:bottom w:val="nil"/>
              <w:right w:val="nil"/>
            </w:tcBorders>
            <w:vAlign w:val="bottom"/>
          </w:tcPr>
          <w:p w14:paraId="6EFA90DE"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64.385 </w:t>
            </w:r>
          </w:p>
        </w:tc>
        <w:tc>
          <w:tcPr>
            <w:tcW w:w="637" w:type="pct"/>
            <w:tcBorders>
              <w:top w:val="nil"/>
              <w:left w:val="nil"/>
              <w:bottom w:val="nil"/>
              <w:right w:val="nil"/>
            </w:tcBorders>
            <w:vAlign w:val="bottom"/>
          </w:tcPr>
          <w:p w14:paraId="1D948E8F"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125.918 </w:t>
            </w:r>
          </w:p>
        </w:tc>
        <w:tc>
          <w:tcPr>
            <w:tcW w:w="578" w:type="pct"/>
            <w:tcBorders>
              <w:top w:val="nil"/>
              <w:left w:val="nil"/>
              <w:bottom w:val="nil"/>
            </w:tcBorders>
            <w:vAlign w:val="bottom"/>
          </w:tcPr>
          <w:p w14:paraId="672DCBCE"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190.303 </w:t>
            </w:r>
          </w:p>
        </w:tc>
      </w:tr>
      <w:tr w:rsidR="009620F6" w:rsidRPr="00131EA9" w14:paraId="0651DE37" w14:textId="77777777" w:rsidTr="009620F6">
        <w:trPr>
          <w:trHeight w:hRule="exact" w:val="278"/>
        </w:trPr>
        <w:tc>
          <w:tcPr>
            <w:tcW w:w="1570" w:type="pct"/>
            <w:vAlign w:val="bottom"/>
          </w:tcPr>
          <w:p w14:paraId="3F488CB7" w14:textId="77777777" w:rsidR="004E2F51" w:rsidRPr="00131EA9" w:rsidRDefault="004E2F51" w:rsidP="00E032FC">
            <w:pPr>
              <w:tabs>
                <w:tab w:val="right" w:pos="1202"/>
              </w:tabs>
              <w:spacing w:line="240" w:lineRule="exact"/>
              <w:outlineLvl w:val="0"/>
              <w:rPr>
                <w:rFonts w:ascii="Arial" w:hAnsi="Arial" w:cs="Arial"/>
                <w:color w:val="000000" w:themeColor="text1"/>
                <w:sz w:val="17"/>
                <w:szCs w:val="17"/>
                <w:lang w:val="hr-HR"/>
              </w:rPr>
            </w:pPr>
            <w:r w:rsidRPr="00131EA9">
              <w:rPr>
                <w:rFonts w:ascii="Arial" w:hAnsi="Arial" w:cs="Arial"/>
                <w:color w:val="000000" w:themeColor="text1"/>
                <w:sz w:val="17"/>
                <w:szCs w:val="17"/>
                <w:lang w:val="hr-HR"/>
              </w:rPr>
              <w:t>Ostale obveze</w:t>
            </w:r>
          </w:p>
        </w:tc>
        <w:tc>
          <w:tcPr>
            <w:tcW w:w="504" w:type="pct"/>
            <w:tcBorders>
              <w:top w:val="nil"/>
              <w:left w:val="nil"/>
              <w:bottom w:val="single" w:sz="4" w:space="0" w:color="auto"/>
              <w:right w:val="nil"/>
            </w:tcBorders>
            <w:vAlign w:val="bottom"/>
          </w:tcPr>
          <w:p w14:paraId="5D4B2FE1"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w:t>
            </w:r>
          </w:p>
        </w:tc>
        <w:tc>
          <w:tcPr>
            <w:tcW w:w="610" w:type="pct"/>
            <w:tcBorders>
              <w:top w:val="nil"/>
              <w:left w:val="nil"/>
              <w:bottom w:val="single" w:sz="4" w:space="0" w:color="auto"/>
              <w:right w:val="nil"/>
            </w:tcBorders>
            <w:vAlign w:val="bottom"/>
          </w:tcPr>
          <w:p w14:paraId="2878BE0E"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3.597 </w:t>
            </w:r>
          </w:p>
        </w:tc>
        <w:tc>
          <w:tcPr>
            <w:tcW w:w="493" w:type="pct"/>
            <w:tcBorders>
              <w:top w:val="nil"/>
              <w:left w:val="nil"/>
              <w:bottom w:val="single" w:sz="4" w:space="0" w:color="auto"/>
              <w:right w:val="nil"/>
            </w:tcBorders>
            <w:vAlign w:val="bottom"/>
          </w:tcPr>
          <w:p w14:paraId="3B1FE778"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 </w:t>
            </w:r>
          </w:p>
        </w:tc>
        <w:tc>
          <w:tcPr>
            <w:tcW w:w="609" w:type="pct"/>
            <w:tcBorders>
              <w:top w:val="nil"/>
              <w:left w:val="nil"/>
              <w:bottom w:val="single" w:sz="4" w:space="0" w:color="auto"/>
              <w:right w:val="nil"/>
            </w:tcBorders>
            <w:vAlign w:val="bottom"/>
          </w:tcPr>
          <w:p w14:paraId="51FFABE7"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3.597 </w:t>
            </w:r>
          </w:p>
        </w:tc>
        <w:tc>
          <w:tcPr>
            <w:tcW w:w="637" w:type="pct"/>
            <w:tcBorders>
              <w:top w:val="nil"/>
              <w:left w:val="nil"/>
              <w:bottom w:val="single" w:sz="4" w:space="0" w:color="auto"/>
              <w:right w:val="nil"/>
            </w:tcBorders>
            <w:vAlign w:val="bottom"/>
          </w:tcPr>
          <w:p w14:paraId="5872976E"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 412.581 </w:t>
            </w:r>
          </w:p>
        </w:tc>
        <w:tc>
          <w:tcPr>
            <w:tcW w:w="578" w:type="pct"/>
            <w:tcBorders>
              <w:top w:val="nil"/>
              <w:left w:val="nil"/>
              <w:bottom w:val="single" w:sz="4" w:space="0" w:color="auto"/>
            </w:tcBorders>
            <w:vAlign w:val="bottom"/>
          </w:tcPr>
          <w:p w14:paraId="3F2840FC" w14:textId="77777777" w:rsidR="004E2F51" w:rsidRPr="00131EA9" w:rsidRDefault="004E2F51" w:rsidP="00E032FC">
            <w:pPr>
              <w:spacing w:line="240" w:lineRule="exact"/>
              <w:jc w:val="right"/>
              <w:rPr>
                <w:rFonts w:ascii="Arial" w:hAnsi="Arial" w:cs="Arial"/>
                <w:color w:val="000000" w:themeColor="text1"/>
                <w:sz w:val="17"/>
                <w:szCs w:val="17"/>
                <w:lang w:val="hr-HR"/>
              </w:rPr>
            </w:pPr>
            <w:r w:rsidRPr="00131EA9">
              <w:rPr>
                <w:rFonts w:ascii="Arial" w:hAnsi="Arial" w:cs="Arial"/>
                <w:color w:val="000000" w:themeColor="text1"/>
                <w:sz w:val="17"/>
                <w:szCs w:val="17"/>
                <w:lang w:val="hr-HR"/>
              </w:rPr>
              <w:t xml:space="preserve">416.178 </w:t>
            </w:r>
          </w:p>
        </w:tc>
      </w:tr>
      <w:tr w:rsidR="009620F6" w:rsidRPr="00131EA9" w14:paraId="7ABB6776" w14:textId="77777777" w:rsidTr="009620F6">
        <w:trPr>
          <w:trHeight w:hRule="exact" w:val="278"/>
        </w:trPr>
        <w:tc>
          <w:tcPr>
            <w:tcW w:w="1570" w:type="pct"/>
            <w:vAlign w:val="bottom"/>
          </w:tcPr>
          <w:p w14:paraId="0DC68F38"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Ukupne obveze</w:t>
            </w:r>
          </w:p>
        </w:tc>
        <w:tc>
          <w:tcPr>
            <w:tcW w:w="504" w:type="pct"/>
            <w:tcBorders>
              <w:top w:val="single" w:sz="4" w:space="0" w:color="auto"/>
              <w:left w:val="nil"/>
              <w:bottom w:val="single" w:sz="12" w:space="0" w:color="auto"/>
              <w:right w:val="nil"/>
            </w:tcBorders>
            <w:vAlign w:val="bottom"/>
          </w:tcPr>
          <w:p w14:paraId="15710368"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 xml:space="preserve"> 319.639 </w:t>
            </w:r>
          </w:p>
        </w:tc>
        <w:tc>
          <w:tcPr>
            <w:tcW w:w="610" w:type="pct"/>
            <w:tcBorders>
              <w:top w:val="single" w:sz="4" w:space="0" w:color="auto"/>
              <w:left w:val="nil"/>
              <w:bottom w:val="single" w:sz="12" w:space="0" w:color="auto"/>
              <w:right w:val="nil"/>
            </w:tcBorders>
            <w:vAlign w:val="bottom"/>
          </w:tcPr>
          <w:p w14:paraId="2B9C58C4"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 xml:space="preserve">14.925.298 </w:t>
            </w:r>
          </w:p>
        </w:tc>
        <w:tc>
          <w:tcPr>
            <w:tcW w:w="493" w:type="pct"/>
            <w:tcBorders>
              <w:top w:val="single" w:sz="4" w:space="0" w:color="auto"/>
              <w:left w:val="nil"/>
              <w:bottom w:val="single" w:sz="12" w:space="0" w:color="auto"/>
              <w:right w:val="nil"/>
            </w:tcBorders>
            <w:vAlign w:val="bottom"/>
          </w:tcPr>
          <w:p w14:paraId="28062295"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 xml:space="preserve">15.098 </w:t>
            </w:r>
          </w:p>
        </w:tc>
        <w:tc>
          <w:tcPr>
            <w:tcW w:w="609" w:type="pct"/>
            <w:tcBorders>
              <w:top w:val="single" w:sz="4" w:space="0" w:color="auto"/>
              <w:left w:val="nil"/>
              <w:bottom w:val="single" w:sz="12" w:space="0" w:color="auto"/>
              <w:right w:val="nil"/>
            </w:tcBorders>
            <w:vAlign w:val="bottom"/>
          </w:tcPr>
          <w:p w14:paraId="0E697DA2"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 xml:space="preserve">15.260.035 </w:t>
            </w:r>
          </w:p>
        </w:tc>
        <w:tc>
          <w:tcPr>
            <w:tcW w:w="637" w:type="pct"/>
            <w:tcBorders>
              <w:top w:val="single" w:sz="4" w:space="0" w:color="auto"/>
              <w:left w:val="nil"/>
              <w:bottom w:val="single" w:sz="12" w:space="0" w:color="auto"/>
              <w:right w:val="nil"/>
            </w:tcBorders>
            <w:vAlign w:val="bottom"/>
          </w:tcPr>
          <w:p w14:paraId="0005589E"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 xml:space="preserve"> 2.422.224 </w:t>
            </w:r>
          </w:p>
        </w:tc>
        <w:tc>
          <w:tcPr>
            <w:tcW w:w="578" w:type="pct"/>
            <w:tcBorders>
              <w:top w:val="single" w:sz="4" w:space="0" w:color="auto"/>
              <w:left w:val="nil"/>
              <w:bottom w:val="single" w:sz="12" w:space="0" w:color="auto"/>
            </w:tcBorders>
            <w:vAlign w:val="bottom"/>
          </w:tcPr>
          <w:p w14:paraId="682551AE"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 xml:space="preserve">17.682.259 </w:t>
            </w:r>
          </w:p>
        </w:tc>
      </w:tr>
      <w:tr w:rsidR="009620F6" w:rsidRPr="00131EA9" w14:paraId="43B2C9C7" w14:textId="77777777" w:rsidTr="009620F6">
        <w:trPr>
          <w:trHeight w:hRule="exact" w:val="411"/>
        </w:trPr>
        <w:tc>
          <w:tcPr>
            <w:tcW w:w="1570" w:type="pct"/>
            <w:vAlign w:val="bottom"/>
          </w:tcPr>
          <w:p w14:paraId="027D0D1C" w14:textId="77777777" w:rsidR="004E2F51" w:rsidRPr="00131EA9" w:rsidRDefault="004E2F51" w:rsidP="00E032FC">
            <w:pPr>
              <w:tabs>
                <w:tab w:val="right" w:pos="1202"/>
              </w:tabs>
              <w:spacing w:line="240" w:lineRule="exact"/>
              <w:outlineLvl w:val="0"/>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Valutni jaz</w:t>
            </w:r>
          </w:p>
        </w:tc>
        <w:tc>
          <w:tcPr>
            <w:tcW w:w="504" w:type="pct"/>
            <w:tcBorders>
              <w:top w:val="single" w:sz="12" w:space="0" w:color="auto"/>
              <w:left w:val="nil"/>
              <w:bottom w:val="single" w:sz="12" w:space="0" w:color="auto"/>
              <w:right w:val="nil"/>
            </w:tcBorders>
            <w:shd w:val="clear" w:color="000000" w:fill="auto"/>
            <w:vAlign w:val="bottom"/>
          </w:tcPr>
          <w:p w14:paraId="126CACBD"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 xml:space="preserve"> (22.560) </w:t>
            </w:r>
          </w:p>
        </w:tc>
        <w:tc>
          <w:tcPr>
            <w:tcW w:w="610" w:type="pct"/>
            <w:tcBorders>
              <w:top w:val="single" w:sz="12" w:space="0" w:color="auto"/>
              <w:left w:val="nil"/>
              <w:bottom w:val="single" w:sz="12" w:space="0" w:color="auto"/>
              <w:right w:val="nil"/>
            </w:tcBorders>
            <w:shd w:val="clear" w:color="000000" w:fill="auto"/>
            <w:vAlign w:val="bottom"/>
          </w:tcPr>
          <w:p w14:paraId="6E2B7FAA"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 xml:space="preserve"> (911.782)</w:t>
            </w:r>
          </w:p>
        </w:tc>
        <w:tc>
          <w:tcPr>
            <w:tcW w:w="493" w:type="pct"/>
            <w:tcBorders>
              <w:top w:val="single" w:sz="12" w:space="0" w:color="auto"/>
              <w:left w:val="nil"/>
              <w:bottom w:val="single" w:sz="12" w:space="0" w:color="auto"/>
              <w:right w:val="nil"/>
            </w:tcBorders>
            <w:shd w:val="clear" w:color="000000" w:fill="auto"/>
            <w:vAlign w:val="bottom"/>
          </w:tcPr>
          <w:p w14:paraId="15CD85A9"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 xml:space="preserve"> (15.098)</w:t>
            </w:r>
          </w:p>
        </w:tc>
        <w:tc>
          <w:tcPr>
            <w:tcW w:w="609" w:type="pct"/>
            <w:tcBorders>
              <w:top w:val="single" w:sz="12" w:space="0" w:color="auto"/>
              <w:left w:val="nil"/>
              <w:bottom w:val="single" w:sz="12" w:space="0" w:color="auto"/>
              <w:right w:val="nil"/>
            </w:tcBorders>
            <w:shd w:val="clear" w:color="000000" w:fill="auto"/>
            <w:vAlign w:val="bottom"/>
          </w:tcPr>
          <w:p w14:paraId="088D6343"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 xml:space="preserve"> (949.440)</w:t>
            </w:r>
          </w:p>
        </w:tc>
        <w:tc>
          <w:tcPr>
            <w:tcW w:w="637" w:type="pct"/>
            <w:tcBorders>
              <w:top w:val="single" w:sz="12" w:space="0" w:color="auto"/>
              <w:left w:val="nil"/>
              <w:bottom w:val="single" w:sz="12" w:space="0" w:color="auto"/>
              <w:right w:val="nil"/>
            </w:tcBorders>
            <w:shd w:val="clear" w:color="000000" w:fill="auto"/>
            <w:vAlign w:val="bottom"/>
          </w:tcPr>
          <w:p w14:paraId="3325C407"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 xml:space="preserve">11.517.169 </w:t>
            </w:r>
          </w:p>
        </w:tc>
        <w:tc>
          <w:tcPr>
            <w:tcW w:w="578" w:type="pct"/>
            <w:tcBorders>
              <w:top w:val="single" w:sz="12" w:space="0" w:color="auto"/>
              <w:left w:val="nil"/>
              <w:bottom w:val="single" w:sz="12" w:space="0" w:color="auto"/>
            </w:tcBorders>
            <w:shd w:val="clear" w:color="000000" w:fill="auto"/>
            <w:vAlign w:val="bottom"/>
          </w:tcPr>
          <w:p w14:paraId="4ADE0D58" w14:textId="77777777" w:rsidR="004E2F51" w:rsidRPr="00131EA9" w:rsidRDefault="004E2F51" w:rsidP="00E032FC">
            <w:pPr>
              <w:spacing w:line="240" w:lineRule="exact"/>
              <w:jc w:val="right"/>
              <w:rPr>
                <w:rFonts w:ascii="Arial" w:hAnsi="Arial" w:cs="Arial"/>
                <w:b/>
                <w:bCs/>
                <w:color w:val="000000" w:themeColor="text1"/>
                <w:sz w:val="17"/>
                <w:szCs w:val="17"/>
                <w:lang w:val="hr-HR"/>
              </w:rPr>
            </w:pPr>
            <w:r w:rsidRPr="00131EA9">
              <w:rPr>
                <w:rFonts w:ascii="Arial" w:hAnsi="Arial" w:cs="Arial"/>
                <w:b/>
                <w:bCs/>
                <w:color w:val="000000" w:themeColor="text1"/>
                <w:sz w:val="17"/>
                <w:szCs w:val="17"/>
                <w:lang w:val="hr-HR"/>
              </w:rPr>
              <w:t xml:space="preserve">10.567.729 </w:t>
            </w:r>
          </w:p>
        </w:tc>
      </w:tr>
    </w:tbl>
    <w:p w14:paraId="3CF3A4D8" w14:textId="77777777" w:rsidR="004E2F51" w:rsidRPr="00131EA9" w:rsidRDefault="004E2F51" w:rsidP="004E2F51">
      <w:pPr>
        <w:pStyle w:val="TT"/>
        <w:spacing w:line="240" w:lineRule="auto"/>
        <w:jc w:val="both"/>
        <w:rPr>
          <w:rFonts w:cs="Arial"/>
          <w:i/>
          <w:color w:val="000000" w:themeColor="text1"/>
          <w:sz w:val="20"/>
          <w:lang w:val="hr-HR"/>
        </w:rPr>
      </w:pPr>
    </w:p>
    <w:p w14:paraId="6A07CC3B" w14:textId="77777777" w:rsidR="004E2F51" w:rsidRDefault="004E2F51" w:rsidP="004E2F51">
      <w:pPr>
        <w:pStyle w:val="TT"/>
        <w:tabs>
          <w:tab w:val="clear" w:pos="1202"/>
          <w:tab w:val="left" w:pos="4103"/>
        </w:tabs>
        <w:spacing w:line="240" w:lineRule="auto"/>
        <w:jc w:val="both"/>
        <w:rPr>
          <w:rFonts w:cs="Arial"/>
          <w:i/>
          <w:color w:val="000000" w:themeColor="text1"/>
          <w:sz w:val="20"/>
          <w:lang w:val="hr-HR"/>
        </w:rPr>
      </w:pPr>
      <w:r>
        <w:rPr>
          <w:rFonts w:cs="Arial"/>
          <w:i/>
          <w:color w:val="000000" w:themeColor="text1"/>
          <w:sz w:val="20"/>
          <w:lang w:val="hr-HR"/>
        </w:rPr>
        <w:tab/>
      </w:r>
    </w:p>
    <w:p w14:paraId="4832E480" w14:textId="77777777" w:rsidR="004E2F51" w:rsidRPr="00131EA9" w:rsidRDefault="004E2F51" w:rsidP="004E2F51">
      <w:pPr>
        <w:pStyle w:val="TT"/>
        <w:tabs>
          <w:tab w:val="clear" w:pos="1202"/>
          <w:tab w:val="left" w:pos="4103"/>
        </w:tabs>
        <w:spacing w:line="240" w:lineRule="auto"/>
        <w:jc w:val="both"/>
        <w:rPr>
          <w:rFonts w:cs="Arial"/>
          <w:i/>
          <w:color w:val="000000" w:themeColor="text1"/>
          <w:sz w:val="20"/>
          <w:lang w:val="hr-HR"/>
        </w:rPr>
      </w:pPr>
    </w:p>
    <w:p w14:paraId="6374E002" w14:textId="77777777" w:rsidR="004E2F51" w:rsidRPr="00094A70" w:rsidRDefault="004E2F51" w:rsidP="004E2F51">
      <w:pPr>
        <w:pStyle w:val="TT"/>
        <w:spacing w:line="240" w:lineRule="auto"/>
        <w:jc w:val="both"/>
        <w:rPr>
          <w:rFonts w:cs="Arial"/>
          <w:i/>
          <w:color w:val="000000" w:themeColor="text1"/>
          <w:sz w:val="18"/>
          <w:szCs w:val="18"/>
          <w:lang w:val="hr-HR"/>
        </w:rPr>
      </w:pPr>
      <w:r w:rsidRPr="00094A70">
        <w:rPr>
          <w:rFonts w:cs="Arial"/>
          <w:i/>
          <w:color w:val="000000" w:themeColor="text1"/>
          <w:sz w:val="18"/>
          <w:szCs w:val="18"/>
          <w:lang w:val="hr-HR"/>
        </w:rPr>
        <w:t>*Iznosi vezani uz jednosmjernu valutnu klauzulu iznose 28.554 tisuća kuna.</w:t>
      </w:r>
    </w:p>
    <w:p w14:paraId="15C2A0F1" w14:textId="77777777" w:rsidR="004E2F51" w:rsidRPr="00131EA9" w:rsidRDefault="004E2F51" w:rsidP="004E2F51">
      <w:pPr>
        <w:pStyle w:val="TT"/>
        <w:spacing w:line="240" w:lineRule="auto"/>
        <w:jc w:val="both"/>
        <w:rPr>
          <w:rFonts w:cs="Arial"/>
          <w:i/>
          <w:color w:val="000000" w:themeColor="text1"/>
          <w:sz w:val="20"/>
          <w:lang w:val="hr-HR"/>
        </w:rPr>
        <w:sectPr w:rsidR="004E2F51" w:rsidRPr="00131EA9" w:rsidSect="00623DBA">
          <w:footerReference w:type="default" r:id="rId218"/>
          <w:pgSz w:w="11907" w:h="16840" w:code="9"/>
          <w:pgMar w:top="1418" w:right="1134" w:bottom="1134" w:left="1418" w:header="851" w:footer="851" w:gutter="0"/>
          <w:cols w:space="720"/>
          <w:noEndnote/>
        </w:sectPr>
      </w:pPr>
    </w:p>
    <w:p w14:paraId="66A50CD3" w14:textId="77777777" w:rsidR="004E2F51" w:rsidRPr="00131EA9" w:rsidRDefault="004E2F51" w:rsidP="004E2F51">
      <w:pPr>
        <w:pStyle w:val="T1"/>
        <w:spacing w:before="0" w:after="0" w:line="240" w:lineRule="auto"/>
        <w:ind w:left="709" w:hanging="709"/>
        <w:rPr>
          <w:rFonts w:cs="Arial"/>
          <w:color w:val="000000" w:themeColor="text1"/>
          <w:sz w:val="20"/>
          <w:lang w:val="hr-HR"/>
        </w:rPr>
      </w:pPr>
    </w:p>
    <w:p w14:paraId="64E9DB3C" w14:textId="77777777" w:rsidR="004E2F51" w:rsidRPr="00131EA9" w:rsidRDefault="004E2F51" w:rsidP="004E2F51">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Pr>
          <w:rFonts w:cs="Arial"/>
          <w:color w:val="000000" w:themeColor="text1"/>
          <w:sz w:val="20"/>
          <w:lang w:val="hr-HR"/>
        </w:rPr>
        <w:t>1</w:t>
      </w:r>
      <w:r w:rsidRPr="00131EA9">
        <w:rPr>
          <w:rFonts w:cs="Arial"/>
          <w:color w:val="000000" w:themeColor="text1"/>
          <w:sz w:val="20"/>
          <w:lang w:val="hr-HR"/>
        </w:rPr>
        <w:t>.        Upravljanje rizicima (nastavak)</w:t>
      </w:r>
    </w:p>
    <w:p w14:paraId="7A8C6BCD" w14:textId="77777777" w:rsidR="004E2F51" w:rsidRPr="00131EA9" w:rsidRDefault="004E2F51" w:rsidP="004E2F51">
      <w:pPr>
        <w:pStyle w:val="T1"/>
        <w:spacing w:before="0" w:after="0" w:line="240" w:lineRule="auto"/>
        <w:ind w:left="709" w:hanging="709"/>
        <w:rPr>
          <w:rFonts w:cs="Arial"/>
          <w:color w:val="000000" w:themeColor="text1"/>
          <w:sz w:val="20"/>
          <w:lang w:val="hr-HR"/>
        </w:rPr>
      </w:pPr>
    </w:p>
    <w:p w14:paraId="7810A3F6" w14:textId="77777777" w:rsidR="004E2F51" w:rsidRPr="00131EA9" w:rsidRDefault="004E2F51" w:rsidP="004E2F51">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Pr>
          <w:rFonts w:cs="Arial"/>
          <w:color w:val="000000" w:themeColor="text1"/>
          <w:sz w:val="20"/>
          <w:lang w:val="hr-HR"/>
        </w:rPr>
        <w:t>1</w:t>
      </w:r>
      <w:r w:rsidRPr="00131EA9">
        <w:rPr>
          <w:rFonts w:cs="Arial"/>
          <w:color w:val="000000" w:themeColor="text1"/>
          <w:sz w:val="20"/>
          <w:lang w:val="hr-HR"/>
        </w:rPr>
        <w:t>.5.     Tržišni rizik (nastavak)</w:t>
      </w:r>
    </w:p>
    <w:p w14:paraId="316F0463" w14:textId="77777777" w:rsidR="004E2F51" w:rsidRPr="00131EA9" w:rsidRDefault="004E2F51" w:rsidP="004E2F51">
      <w:pPr>
        <w:pStyle w:val="T1"/>
        <w:spacing w:before="0" w:after="0" w:line="240" w:lineRule="auto"/>
        <w:ind w:left="709" w:hanging="709"/>
        <w:rPr>
          <w:rFonts w:cs="Arial"/>
          <w:color w:val="000000" w:themeColor="text1"/>
          <w:sz w:val="20"/>
          <w:lang w:val="hr-HR"/>
        </w:rPr>
      </w:pPr>
    </w:p>
    <w:p w14:paraId="0B0812B9" w14:textId="77777777" w:rsidR="004E2F51" w:rsidRPr="00131EA9" w:rsidRDefault="004E2F51" w:rsidP="004E2F51">
      <w:pPr>
        <w:pStyle w:val="T1"/>
        <w:spacing w:before="0" w:after="0" w:line="240" w:lineRule="auto"/>
        <w:ind w:left="709" w:hanging="709"/>
        <w:rPr>
          <w:rFonts w:cs="Arial"/>
          <w:color w:val="000000" w:themeColor="text1"/>
          <w:sz w:val="20"/>
          <w:lang w:val="hr-HR"/>
        </w:rPr>
      </w:pPr>
      <w:r w:rsidRPr="00131EA9">
        <w:rPr>
          <w:rFonts w:cs="Arial"/>
          <w:color w:val="000000" w:themeColor="text1"/>
          <w:sz w:val="20"/>
          <w:lang w:val="hr-HR"/>
        </w:rPr>
        <w:t>3</w:t>
      </w:r>
      <w:r>
        <w:rPr>
          <w:rFonts w:cs="Arial"/>
          <w:color w:val="000000" w:themeColor="text1"/>
          <w:sz w:val="20"/>
          <w:lang w:val="hr-HR"/>
        </w:rPr>
        <w:t>1</w:t>
      </w:r>
      <w:r w:rsidRPr="00131EA9">
        <w:rPr>
          <w:rFonts w:cs="Arial"/>
          <w:color w:val="000000" w:themeColor="text1"/>
          <w:sz w:val="20"/>
          <w:lang w:val="hr-HR"/>
        </w:rPr>
        <w:t>.5.2.  Valutni rizik (nastavak)</w:t>
      </w:r>
    </w:p>
    <w:p w14:paraId="4FC304FE" w14:textId="77777777" w:rsidR="004E2F51" w:rsidRPr="00131EA9" w:rsidRDefault="004E2F51" w:rsidP="004E2F51">
      <w:pPr>
        <w:pStyle w:val="T1"/>
        <w:keepNext w:val="0"/>
        <w:spacing w:before="0" w:after="0" w:line="240" w:lineRule="auto"/>
        <w:rPr>
          <w:rFonts w:cs="Arial"/>
          <w:color w:val="000000" w:themeColor="text1"/>
          <w:sz w:val="20"/>
          <w:lang w:val="hr-HR"/>
        </w:rPr>
      </w:pPr>
    </w:p>
    <w:p w14:paraId="07A3708C" w14:textId="77777777" w:rsidR="004E2F51" w:rsidRPr="00131EA9" w:rsidRDefault="004E2F51" w:rsidP="004E2F51">
      <w:pPr>
        <w:pStyle w:val="T1"/>
        <w:keepNext w:val="0"/>
        <w:spacing w:before="0" w:after="0" w:line="240" w:lineRule="auto"/>
        <w:rPr>
          <w:rFonts w:cs="Arial"/>
          <w:color w:val="000000" w:themeColor="text1"/>
          <w:sz w:val="20"/>
          <w:lang w:val="hr-HR"/>
        </w:rPr>
      </w:pPr>
      <w:r w:rsidRPr="00131EA9">
        <w:rPr>
          <w:rFonts w:cs="Arial"/>
          <w:color w:val="000000" w:themeColor="text1"/>
          <w:sz w:val="20"/>
          <w:lang w:val="hr-HR"/>
        </w:rPr>
        <w:t>Analiza osjetljivosti</w:t>
      </w:r>
    </w:p>
    <w:p w14:paraId="24217065" w14:textId="77777777" w:rsidR="004E2F51" w:rsidRPr="00131EA9" w:rsidRDefault="004E2F51" w:rsidP="004E2F51">
      <w:pPr>
        <w:pStyle w:val="T1"/>
        <w:keepNext w:val="0"/>
        <w:spacing w:before="0" w:after="0" w:line="240" w:lineRule="auto"/>
        <w:rPr>
          <w:rFonts w:cs="Arial"/>
          <w:color w:val="000000" w:themeColor="text1"/>
          <w:sz w:val="20"/>
          <w:lang w:val="hr-HR"/>
        </w:rPr>
      </w:pPr>
    </w:p>
    <w:p w14:paraId="31E19BBF" w14:textId="77777777" w:rsidR="004E2F51" w:rsidRPr="00131EA9" w:rsidRDefault="004E2F51" w:rsidP="004E2F51">
      <w:pPr>
        <w:jc w:val="both"/>
        <w:rPr>
          <w:rFonts w:ascii="Arial" w:hAnsi="Arial" w:cs="Arial"/>
          <w:bCs/>
          <w:color w:val="000000" w:themeColor="text1"/>
          <w:sz w:val="20"/>
          <w:szCs w:val="20"/>
          <w:lang w:val="hr-HR"/>
        </w:rPr>
      </w:pPr>
      <w:r w:rsidRPr="00131EA9">
        <w:rPr>
          <w:rFonts w:ascii="Arial" w:hAnsi="Arial" w:cs="Arial"/>
          <w:bCs/>
          <w:color w:val="000000" w:themeColor="text1"/>
          <w:sz w:val="20"/>
          <w:szCs w:val="20"/>
          <w:lang w:val="hr-HR"/>
        </w:rPr>
        <w:t xml:space="preserve">Analiza osjetljivosti ukupne imovine i ukupnih obveza Banke na promjene deviznih tečajeva provodi se za one strane valute koje na izvještajni datum predstavljaju značajnu valutu Banke. </w:t>
      </w:r>
    </w:p>
    <w:p w14:paraId="3720CC0C" w14:textId="77777777" w:rsidR="004E2F51" w:rsidRPr="00131EA9" w:rsidRDefault="004E2F51" w:rsidP="004E2F51">
      <w:pPr>
        <w:jc w:val="both"/>
        <w:rPr>
          <w:rFonts w:ascii="Arial" w:hAnsi="Arial" w:cs="Arial"/>
          <w:bCs/>
          <w:color w:val="000000" w:themeColor="text1"/>
          <w:sz w:val="20"/>
          <w:szCs w:val="20"/>
          <w:lang w:val="hr-HR"/>
        </w:rPr>
      </w:pPr>
    </w:p>
    <w:p w14:paraId="0040C427" w14:textId="77777777" w:rsidR="004E2F51" w:rsidRPr="00131EA9" w:rsidRDefault="004E2F51" w:rsidP="004E2F51">
      <w:pPr>
        <w:keepNext/>
        <w:jc w:val="both"/>
        <w:rPr>
          <w:rFonts w:ascii="Arial" w:hAnsi="Arial" w:cs="Arial"/>
          <w:bCs/>
          <w:color w:val="000000" w:themeColor="text1"/>
          <w:sz w:val="20"/>
          <w:szCs w:val="20"/>
          <w:lang w:val="hr-HR"/>
        </w:rPr>
      </w:pPr>
      <w:r w:rsidRPr="00131EA9">
        <w:rPr>
          <w:rFonts w:ascii="Arial" w:hAnsi="Arial" w:cs="Arial"/>
          <w:bCs/>
          <w:color w:val="000000" w:themeColor="text1"/>
          <w:sz w:val="20"/>
          <w:szCs w:val="20"/>
          <w:lang w:val="hr-HR"/>
        </w:rPr>
        <w:t>U analizi osjetljivosti za valutni rizik primijenjena je pretpostavka razumno moguće promjene tečaja EUR u odnosu na kunu, uz ostale varijable stabilne, radi procjene hipotetskog utjecaja na dobit HBOR-a na dan 31. prosinca 202</w:t>
      </w:r>
      <w:r>
        <w:rPr>
          <w:rFonts w:ascii="Arial" w:hAnsi="Arial" w:cs="Arial"/>
          <w:bCs/>
          <w:color w:val="000000" w:themeColor="text1"/>
          <w:sz w:val="20"/>
          <w:szCs w:val="20"/>
          <w:lang w:val="hr-HR"/>
        </w:rPr>
        <w:t>2</w:t>
      </w:r>
      <w:r w:rsidRPr="00131EA9">
        <w:rPr>
          <w:rFonts w:ascii="Arial" w:hAnsi="Arial" w:cs="Arial"/>
          <w:bCs/>
          <w:color w:val="000000" w:themeColor="text1"/>
          <w:sz w:val="20"/>
          <w:szCs w:val="20"/>
          <w:lang w:val="hr-HR"/>
        </w:rPr>
        <w:t>.</w:t>
      </w:r>
    </w:p>
    <w:p w14:paraId="4FB1ACD6" w14:textId="77777777" w:rsidR="004E2F51" w:rsidRPr="00131EA9" w:rsidRDefault="004E2F51" w:rsidP="004E2F51">
      <w:pPr>
        <w:keepNext/>
        <w:jc w:val="both"/>
        <w:rPr>
          <w:rFonts w:ascii="Arial" w:hAnsi="Arial" w:cs="Arial"/>
          <w:bCs/>
          <w:color w:val="000000" w:themeColor="text1"/>
          <w:sz w:val="20"/>
          <w:szCs w:val="20"/>
          <w:lang w:val="hr-HR"/>
        </w:rPr>
      </w:pPr>
    </w:p>
    <w:p w14:paraId="6E406F13" w14:textId="77777777" w:rsidR="004E2F51" w:rsidRPr="00131EA9" w:rsidRDefault="004E2F51" w:rsidP="004E2F51">
      <w:pPr>
        <w:keepNext/>
        <w:jc w:val="both"/>
        <w:rPr>
          <w:rFonts w:ascii="Arial" w:hAnsi="Arial" w:cs="Arial"/>
          <w:color w:val="000000" w:themeColor="text1"/>
          <w:sz w:val="20"/>
          <w:szCs w:val="20"/>
          <w:lang w:val="hr-HR"/>
        </w:rPr>
      </w:pPr>
      <w:r w:rsidRPr="00131EA9">
        <w:rPr>
          <w:rFonts w:ascii="Arial" w:hAnsi="Arial" w:cs="Arial"/>
          <w:bCs/>
          <w:color w:val="000000" w:themeColor="text1"/>
          <w:sz w:val="20"/>
          <w:szCs w:val="20"/>
          <w:lang w:val="hr-HR"/>
        </w:rPr>
        <w:t xml:space="preserve">Primjenom metode standardne </w:t>
      </w:r>
      <w:r w:rsidRPr="00131EA9">
        <w:rPr>
          <w:rFonts w:ascii="Arial" w:hAnsi="Arial" w:cs="Arial"/>
          <w:color w:val="000000" w:themeColor="text1"/>
          <w:sz w:val="20"/>
          <w:szCs w:val="20"/>
          <w:lang w:val="hr-HR"/>
        </w:rPr>
        <w:t xml:space="preserve">devijacije na promjene tečaja EUR/HRK utvrđena je volatilnost tečaja EUR/HRK koja je u razdoblju od prethodnih 12 mjeseci iznosila </w:t>
      </w:r>
      <w:r w:rsidRPr="00163D60">
        <w:rPr>
          <w:rFonts w:ascii="Arial" w:hAnsi="Arial" w:cs="Arial"/>
          <w:color w:val="000000" w:themeColor="text1"/>
          <w:sz w:val="20"/>
          <w:szCs w:val="20"/>
          <w:lang w:val="hr-HR"/>
        </w:rPr>
        <w:t>1,19</w:t>
      </w:r>
      <w:r w:rsidRPr="00131EA9">
        <w:rPr>
          <w:rFonts w:ascii="Arial" w:hAnsi="Arial" w:cs="Arial"/>
          <w:color w:val="000000" w:themeColor="text1"/>
          <w:sz w:val="20"/>
          <w:szCs w:val="20"/>
          <w:lang w:val="hr-HR"/>
        </w:rPr>
        <w:t>% (202</w:t>
      </w:r>
      <w:r>
        <w:rPr>
          <w:rFonts w:ascii="Arial" w:hAnsi="Arial" w:cs="Arial"/>
          <w:color w:val="000000" w:themeColor="text1"/>
          <w:sz w:val="20"/>
          <w:szCs w:val="20"/>
          <w:lang w:val="hr-HR"/>
        </w:rPr>
        <w:t>1</w:t>
      </w:r>
      <w:r w:rsidRPr="00131EA9">
        <w:rPr>
          <w:rFonts w:ascii="Arial" w:hAnsi="Arial" w:cs="Arial"/>
          <w:color w:val="000000" w:themeColor="text1"/>
          <w:sz w:val="20"/>
          <w:szCs w:val="20"/>
          <w:lang w:val="hr-HR"/>
        </w:rPr>
        <w:t>.: 1,</w:t>
      </w:r>
      <w:r>
        <w:rPr>
          <w:rFonts w:ascii="Arial" w:hAnsi="Arial" w:cs="Arial"/>
          <w:color w:val="000000" w:themeColor="text1"/>
          <w:sz w:val="20"/>
          <w:szCs w:val="20"/>
          <w:lang w:val="hr-HR"/>
        </w:rPr>
        <w:t>49</w:t>
      </w:r>
      <w:r w:rsidRPr="00131EA9">
        <w:rPr>
          <w:rFonts w:ascii="Arial" w:hAnsi="Arial" w:cs="Arial"/>
          <w:color w:val="000000" w:themeColor="text1"/>
          <w:sz w:val="20"/>
          <w:szCs w:val="20"/>
          <w:lang w:val="hr-HR"/>
        </w:rPr>
        <w:t>%).</w:t>
      </w:r>
    </w:p>
    <w:p w14:paraId="38F21241" w14:textId="77777777" w:rsidR="004E2F51" w:rsidRPr="00131EA9" w:rsidRDefault="004E2F51" w:rsidP="004E2F51">
      <w:pPr>
        <w:keepNext/>
        <w:jc w:val="both"/>
        <w:rPr>
          <w:rFonts w:ascii="Arial" w:hAnsi="Arial" w:cs="Arial"/>
          <w:color w:val="000000" w:themeColor="text1"/>
          <w:sz w:val="20"/>
          <w:szCs w:val="20"/>
          <w:lang w:val="hr-HR"/>
        </w:rPr>
      </w:pPr>
    </w:p>
    <w:p w14:paraId="39B32640" w14:textId="77777777" w:rsidR="004E2F51" w:rsidRDefault="004E2F51" w:rsidP="004E2F51">
      <w:pPr>
        <w:jc w:val="both"/>
        <w:rPr>
          <w:rFonts w:ascii="Arial" w:hAnsi="Arial" w:cs="Arial"/>
          <w:bCs/>
          <w:color w:val="000000" w:themeColor="text1"/>
          <w:sz w:val="20"/>
          <w:szCs w:val="20"/>
          <w:lang w:val="hr-HR"/>
        </w:rPr>
      </w:pPr>
      <w:r w:rsidRPr="00131EA9">
        <w:rPr>
          <w:rFonts w:ascii="Arial" w:hAnsi="Arial" w:cs="Arial"/>
          <w:bCs/>
          <w:color w:val="000000" w:themeColor="text1"/>
          <w:sz w:val="20"/>
          <w:szCs w:val="20"/>
          <w:lang w:val="hr-HR"/>
        </w:rPr>
        <w:t>U nastavku se iskazuje utjecaj pretpostavljene promjene tečaja EUR/HRK, po stavkama ukupne imovine i ukupnih obveza denominiranim ili vezanim uz EUR,</w:t>
      </w:r>
      <w:r w:rsidRPr="00131EA9" w:rsidDel="007E1CF7">
        <w:rPr>
          <w:rFonts w:ascii="Arial" w:hAnsi="Arial" w:cs="Arial"/>
          <w:bCs/>
          <w:color w:val="000000" w:themeColor="text1"/>
          <w:sz w:val="20"/>
          <w:szCs w:val="20"/>
          <w:lang w:val="hr-HR"/>
        </w:rPr>
        <w:t xml:space="preserve"> </w:t>
      </w:r>
      <w:r w:rsidRPr="00131EA9">
        <w:rPr>
          <w:rFonts w:ascii="Arial" w:hAnsi="Arial" w:cs="Arial"/>
          <w:bCs/>
          <w:color w:val="000000" w:themeColor="text1"/>
          <w:sz w:val="20"/>
          <w:szCs w:val="20"/>
          <w:lang w:val="hr-HR"/>
        </w:rPr>
        <w:t>na dobit HBOR-a.</w:t>
      </w:r>
    </w:p>
    <w:p w14:paraId="28CF288A" w14:textId="77777777" w:rsidR="004E2F51" w:rsidRPr="00131EA9" w:rsidRDefault="004E2F51" w:rsidP="004E2F51">
      <w:pPr>
        <w:jc w:val="both"/>
        <w:rPr>
          <w:rFonts w:ascii="Arial" w:hAnsi="Arial" w:cs="Arial"/>
          <w:bCs/>
          <w:color w:val="000000" w:themeColor="text1"/>
          <w:sz w:val="20"/>
          <w:szCs w:val="20"/>
          <w:lang w:val="hr-HR"/>
        </w:rPr>
      </w:pPr>
    </w:p>
    <w:p w14:paraId="2E52EDF5" w14:textId="77777777" w:rsidR="004E2F51" w:rsidRPr="00131EA9" w:rsidRDefault="004E2F51" w:rsidP="004E2F51">
      <w:pPr>
        <w:jc w:val="both"/>
        <w:rPr>
          <w:rFonts w:ascii="Arial" w:hAnsi="Arial" w:cs="Arial"/>
          <w:bCs/>
          <w:color w:val="000000" w:themeColor="text1"/>
          <w:sz w:val="20"/>
          <w:szCs w:val="20"/>
          <w:lang w:val="hr-HR"/>
        </w:rPr>
      </w:pPr>
    </w:p>
    <w:tbl>
      <w:tblPr>
        <w:tblW w:w="5000" w:type="pct"/>
        <w:jc w:val="center"/>
        <w:tblLook w:val="01E0" w:firstRow="1" w:lastRow="1" w:firstColumn="1" w:lastColumn="1" w:noHBand="0" w:noVBand="0"/>
      </w:tblPr>
      <w:tblGrid>
        <w:gridCol w:w="1845"/>
        <w:gridCol w:w="1877"/>
        <w:gridCol w:w="1878"/>
        <w:gridCol w:w="1878"/>
        <w:gridCol w:w="1877"/>
      </w:tblGrid>
      <w:tr w:rsidR="004E2F51" w:rsidRPr="00094A70" w14:paraId="207A2171" w14:textId="77777777" w:rsidTr="00E032FC">
        <w:trPr>
          <w:trHeight w:hRule="exact" w:val="546"/>
          <w:jc w:val="center"/>
        </w:trPr>
        <w:tc>
          <w:tcPr>
            <w:tcW w:w="986" w:type="pct"/>
          </w:tcPr>
          <w:p w14:paraId="3E7F8FD8" w14:textId="77777777" w:rsidR="004E2F51" w:rsidRPr="00094A70" w:rsidRDefault="004E2F51" w:rsidP="00E032FC">
            <w:pPr>
              <w:spacing w:before="240" w:after="120" w:line="360" w:lineRule="auto"/>
              <w:rPr>
                <w:rFonts w:ascii="Arial" w:hAnsi="Arial" w:cs="Arial"/>
                <w:b/>
                <w:bCs/>
                <w:color w:val="000000" w:themeColor="text1"/>
                <w:sz w:val="19"/>
                <w:szCs w:val="19"/>
                <w:lang w:val="hr-HR"/>
              </w:rPr>
            </w:pPr>
            <w:r w:rsidRPr="00094A70">
              <w:rPr>
                <w:rFonts w:ascii="Arial" w:hAnsi="Arial" w:cs="Arial"/>
                <w:b/>
                <w:bCs/>
                <w:color w:val="000000" w:themeColor="text1"/>
                <w:sz w:val="19"/>
                <w:szCs w:val="19"/>
                <w:lang w:val="hr-HR"/>
              </w:rPr>
              <w:t>Valuta</w:t>
            </w:r>
          </w:p>
        </w:tc>
        <w:tc>
          <w:tcPr>
            <w:tcW w:w="1003" w:type="pct"/>
          </w:tcPr>
          <w:p w14:paraId="3EBE2204" w14:textId="77777777" w:rsidR="004E2F51" w:rsidRPr="00094A70" w:rsidRDefault="004E2F51" w:rsidP="00E032FC">
            <w:pPr>
              <w:jc w:val="right"/>
              <w:rPr>
                <w:rFonts w:ascii="Arial" w:hAnsi="Arial" w:cs="Arial"/>
                <w:b/>
                <w:bCs/>
                <w:color w:val="000000" w:themeColor="text1"/>
                <w:sz w:val="19"/>
                <w:szCs w:val="19"/>
                <w:lang w:val="hr-HR"/>
              </w:rPr>
            </w:pPr>
            <w:r w:rsidRPr="00094A70">
              <w:rPr>
                <w:rFonts w:ascii="Arial" w:hAnsi="Arial" w:cs="Arial"/>
                <w:b/>
                <w:bCs/>
                <w:color w:val="000000" w:themeColor="text1"/>
                <w:sz w:val="19"/>
                <w:szCs w:val="19"/>
                <w:lang w:val="hr-HR"/>
              </w:rPr>
              <w:t>Promjene tečaja valute u 202</w:t>
            </w:r>
            <w:r>
              <w:rPr>
                <w:rFonts w:ascii="Arial" w:hAnsi="Arial" w:cs="Arial"/>
                <w:b/>
                <w:bCs/>
                <w:color w:val="000000" w:themeColor="text1"/>
                <w:sz w:val="19"/>
                <w:szCs w:val="19"/>
                <w:lang w:val="hr-HR"/>
              </w:rPr>
              <w:t>2</w:t>
            </w:r>
            <w:r w:rsidRPr="00094A70">
              <w:rPr>
                <w:rFonts w:ascii="Arial" w:hAnsi="Arial" w:cs="Arial"/>
                <w:b/>
                <w:bCs/>
                <w:color w:val="000000" w:themeColor="text1"/>
                <w:sz w:val="19"/>
                <w:szCs w:val="19"/>
                <w:lang w:val="hr-HR"/>
              </w:rPr>
              <w:t>.</w:t>
            </w:r>
          </w:p>
        </w:tc>
        <w:tc>
          <w:tcPr>
            <w:tcW w:w="1004" w:type="pct"/>
          </w:tcPr>
          <w:p w14:paraId="1F2BD769" w14:textId="77777777" w:rsidR="004E2F51" w:rsidRPr="00094A70" w:rsidRDefault="004E2F51" w:rsidP="00E032FC">
            <w:pPr>
              <w:jc w:val="right"/>
              <w:rPr>
                <w:rFonts w:ascii="Arial" w:hAnsi="Arial" w:cs="Arial"/>
                <w:b/>
                <w:bCs/>
                <w:color w:val="000000" w:themeColor="text1"/>
                <w:sz w:val="19"/>
                <w:szCs w:val="19"/>
                <w:lang w:val="hr-HR"/>
              </w:rPr>
            </w:pPr>
            <w:r w:rsidRPr="00094A70">
              <w:rPr>
                <w:rFonts w:ascii="Arial" w:hAnsi="Arial" w:cs="Arial"/>
                <w:b/>
                <w:bCs/>
                <w:color w:val="000000" w:themeColor="text1"/>
                <w:sz w:val="19"/>
                <w:szCs w:val="19"/>
                <w:lang w:val="hr-HR"/>
              </w:rPr>
              <w:t>Utjecaj na dobit 202</w:t>
            </w:r>
            <w:r>
              <w:rPr>
                <w:rFonts w:ascii="Arial" w:hAnsi="Arial" w:cs="Arial"/>
                <w:b/>
                <w:bCs/>
                <w:color w:val="000000" w:themeColor="text1"/>
                <w:sz w:val="19"/>
                <w:szCs w:val="19"/>
                <w:lang w:val="hr-HR"/>
              </w:rPr>
              <w:t>2</w:t>
            </w:r>
            <w:r w:rsidRPr="00094A70">
              <w:rPr>
                <w:rFonts w:ascii="Arial" w:hAnsi="Arial" w:cs="Arial"/>
                <w:b/>
                <w:bCs/>
                <w:color w:val="000000" w:themeColor="text1"/>
                <w:sz w:val="19"/>
                <w:szCs w:val="19"/>
                <w:lang w:val="hr-HR"/>
              </w:rPr>
              <w:t>.</w:t>
            </w:r>
          </w:p>
        </w:tc>
        <w:tc>
          <w:tcPr>
            <w:tcW w:w="1004" w:type="pct"/>
          </w:tcPr>
          <w:p w14:paraId="6FF39675" w14:textId="77777777" w:rsidR="004E2F51" w:rsidRPr="00094A70" w:rsidRDefault="004E2F51" w:rsidP="00E032FC">
            <w:pPr>
              <w:jc w:val="right"/>
              <w:rPr>
                <w:rFonts w:ascii="Arial" w:hAnsi="Arial" w:cs="Arial"/>
                <w:b/>
                <w:bCs/>
                <w:color w:val="000000" w:themeColor="text1"/>
                <w:sz w:val="19"/>
                <w:szCs w:val="19"/>
                <w:lang w:val="hr-HR"/>
              </w:rPr>
            </w:pPr>
            <w:r w:rsidRPr="00094A70">
              <w:rPr>
                <w:rFonts w:ascii="Arial" w:hAnsi="Arial" w:cs="Arial"/>
                <w:b/>
                <w:bCs/>
                <w:color w:val="000000" w:themeColor="text1"/>
                <w:sz w:val="19"/>
                <w:szCs w:val="19"/>
                <w:lang w:val="hr-HR"/>
              </w:rPr>
              <w:t>Promjene tečaja valute u 202</w:t>
            </w:r>
            <w:r>
              <w:rPr>
                <w:rFonts w:ascii="Arial" w:hAnsi="Arial" w:cs="Arial"/>
                <w:b/>
                <w:bCs/>
                <w:color w:val="000000" w:themeColor="text1"/>
                <w:sz w:val="19"/>
                <w:szCs w:val="19"/>
                <w:lang w:val="hr-HR"/>
              </w:rPr>
              <w:t>1</w:t>
            </w:r>
            <w:r w:rsidRPr="00094A70">
              <w:rPr>
                <w:rFonts w:ascii="Arial" w:hAnsi="Arial" w:cs="Arial"/>
                <w:b/>
                <w:bCs/>
                <w:color w:val="000000" w:themeColor="text1"/>
                <w:sz w:val="19"/>
                <w:szCs w:val="19"/>
                <w:lang w:val="hr-HR"/>
              </w:rPr>
              <w:t>.</w:t>
            </w:r>
          </w:p>
        </w:tc>
        <w:tc>
          <w:tcPr>
            <w:tcW w:w="1003" w:type="pct"/>
          </w:tcPr>
          <w:p w14:paraId="6EDFF2FF" w14:textId="77777777" w:rsidR="004E2F51" w:rsidRPr="00094A70" w:rsidRDefault="004E2F51" w:rsidP="00E032FC">
            <w:pPr>
              <w:jc w:val="right"/>
              <w:rPr>
                <w:rFonts w:ascii="Arial" w:hAnsi="Arial" w:cs="Arial"/>
                <w:b/>
                <w:bCs/>
                <w:color w:val="000000" w:themeColor="text1"/>
                <w:sz w:val="19"/>
                <w:szCs w:val="19"/>
                <w:lang w:val="hr-HR"/>
              </w:rPr>
            </w:pPr>
            <w:r w:rsidRPr="00094A70">
              <w:rPr>
                <w:rFonts w:ascii="Arial" w:hAnsi="Arial" w:cs="Arial"/>
                <w:b/>
                <w:bCs/>
                <w:color w:val="000000" w:themeColor="text1"/>
                <w:sz w:val="19"/>
                <w:szCs w:val="19"/>
                <w:lang w:val="hr-HR"/>
              </w:rPr>
              <w:t>Utjecaj na dobit 202</w:t>
            </w:r>
            <w:r>
              <w:rPr>
                <w:rFonts w:ascii="Arial" w:hAnsi="Arial" w:cs="Arial"/>
                <w:b/>
                <w:bCs/>
                <w:color w:val="000000" w:themeColor="text1"/>
                <w:sz w:val="19"/>
                <w:szCs w:val="19"/>
                <w:lang w:val="hr-HR"/>
              </w:rPr>
              <w:t>1</w:t>
            </w:r>
            <w:r w:rsidRPr="00094A70">
              <w:rPr>
                <w:rFonts w:ascii="Arial" w:hAnsi="Arial" w:cs="Arial"/>
                <w:b/>
                <w:bCs/>
                <w:color w:val="000000" w:themeColor="text1"/>
                <w:sz w:val="19"/>
                <w:szCs w:val="19"/>
                <w:lang w:val="hr-HR"/>
              </w:rPr>
              <w:t>.</w:t>
            </w:r>
          </w:p>
        </w:tc>
      </w:tr>
      <w:tr w:rsidR="004E2F51" w:rsidRPr="00094A70" w14:paraId="172E3163" w14:textId="77777777" w:rsidTr="00E032FC">
        <w:trPr>
          <w:trHeight w:hRule="exact" w:val="221"/>
          <w:jc w:val="center"/>
        </w:trPr>
        <w:tc>
          <w:tcPr>
            <w:tcW w:w="986" w:type="pct"/>
          </w:tcPr>
          <w:p w14:paraId="0861A8D2" w14:textId="77777777" w:rsidR="004E2F51" w:rsidRPr="00094A70" w:rsidRDefault="004E2F51" w:rsidP="00E032FC">
            <w:pPr>
              <w:spacing w:line="360" w:lineRule="auto"/>
              <w:jc w:val="both"/>
              <w:rPr>
                <w:rFonts w:ascii="Arial" w:hAnsi="Arial" w:cs="Arial"/>
                <w:bCs/>
                <w:color w:val="000000" w:themeColor="text1"/>
                <w:sz w:val="19"/>
                <w:szCs w:val="19"/>
                <w:lang w:val="hr-HR"/>
              </w:rPr>
            </w:pPr>
          </w:p>
        </w:tc>
        <w:tc>
          <w:tcPr>
            <w:tcW w:w="1003" w:type="pct"/>
          </w:tcPr>
          <w:p w14:paraId="25963FAE" w14:textId="77777777" w:rsidR="004E2F51" w:rsidRPr="00094A70" w:rsidRDefault="004E2F51" w:rsidP="00E032FC">
            <w:pPr>
              <w:spacing w:line="360" w:lineRule="auto"/>
              <w:jc w:val="right"/>
              <w:rPr>
                <w:rFonts w:ascii="Arial" w:hAnsi="Arial" w:cs="Arial"/>
                <w:b/>
                <w:bCs/>
                <w:color w:val="000000" w:themeColor="text1"/>
                <w:sz w:val="19"/>
                <w:szCs w:val="19"/>
                <w:lang w:val="hr-HR"/>
              </w:rPr>
            </w:pPr>
            <w:r w:rsidRPr="00094A70">
              <w:rPr>
                <w:rFonts w:ascii="Arial" w:hAnsi="Arial" w:cs="Arial"/>
                <w:b/>
                <w:bCs/>
                <w:color w:val="000000" w:themeColor="text1"/>
                <w:sz w:val="19"/>
                <w:szCs w:val="19"/>
                <w:lang w:val="hr-HR"/>
              </w:rPr>
              <w:t>%</w:t>
            </w:r>
          </w:p>
        </w:tc>
        <w:tc>
          <w:tcPr>
            <w:tcW w:w="1004" w:type="pct"/>
            <w:vAlign w:val="center"/>
          </w:tcPr>
          <w:p w14:paraId="1015C351" w14:textId="77777777" w:rsidR="004E2F51" w:rsidRPr="00094A70" w:rsidRDefault="004E2F51" w:rsidP="00E032FC">
            <w:pPr>
              <w:spacing w:line="360" w:lineRule="auto"/>
              <w:jc w:val="right"/>
              <w:rPr>
                <w:rFonts w:ascii="Arial" w:hAnsi="Arial" w:cs="Arial"/>
                <w:b/>
                <w:bCs/>
                <w:color w:val="000000" w:themeColor="text1"/>
                <w:sz w:val="19"/>
                <w:szCs w:val="19"/>
                <w:lang w:val="hr-HR"/>
              </w:rPr>
            </w:pPr>
            <w:r w:rsidRPr="00094A70">
              <w:rPr>
                <w:rFonts w:ascii="Arial" w:hAnsi="Arial" w:cs="Arial"/>
                <w:b/>
                <w:color w:val="000000" w:themeColor="text1"/>
                <w:sz w:val="19"/>
                <w:szCs w:val="19"/>
                <w:lang w:val="hr-HR"/>
              </w:rPr>
              <w:t>000 kuna</w:t>
            </w:r>
          </w:p>
        </w:tc>
        <w:tc>
          <w:tcPr>
            <w:tcW w:w="1004" w:type="pct"/>
          </w:tcPr>
          <w:p w14:paraId="2DF2AA62" w14:textId="77777777" w:rsidR="004E2F51" w:rsidRPr="00094A70" w:rsidRDefault="004E2F51" w:rsidP="00E032FC">
            <w:pPr>
              <w:spacing w:line="360" w:lineRule="auto"/>
              <w:jc w:val="right"/>
              <w:rPr>
                <w:rFonts w:ascii="Arial" w:hAnsi="Arial" w:cs="Arial"/>
                <w:b/>
                <w:bCs/>
                <w:color w:val="000000" w:themeColor="text1"/>
                <w:sz w:val="19"/>
                <w:szCs w:val="19"/>
                <w:lang w:val="hr-HR"/>
              </w:rPr>
            </w:pPr>
            <w:r w:rsidRPr="00094A70">
              <w:rPr>
                <w:rFonts w:ascii="Arial" w:hAnsi="Arial" w:cs="Arial"/>
                <w:b/>
                <w:bCs/>
                <w:color w:val="000000" w:themeColor="text1"/>
                <w:sz w:val="19"/>
                <w:szCs w:val="19"/>
                <w:lang w:val="hr-HR"/>
              </w:rPr>
              <w:t>%</w:t>
            </w:r>
          </w:p>
        </w:tc>
        <w:tc>
          <w:tcPr>
            <w:tcW w:w="1003" w:type="pct"/>
            <w:vAlign w:val="center"/>
          </w:tcPr>
          <w:p w14:paraId="517F2EAB" w14:textId="77777777" w:rsidR="004E2F51" w:rsidRPr="00094A70" w:rsidRDefault="004E2F51" w:rsidP="00E032FC">
            <w:pPr>
              <w:spacing w:line="360" w:lineRule="auto"/>
              <w:jc w:val="right"/>
              <w:rPr>
                <w:rFonts w:ascii="Arial" w:hAnsi="Arial" w:cs="Arial"/>
                <w:b/>
                <w:bCs/>
                <w:color w:val="000000" w:themeColor="text1"/>
                <w:sz w:val="19"/>
                <w:szCs w:val="19"/>
                <w:lang w:val="hr-HR"/>
              </w:rPr>
            </w:pPr>
            <w:r w:rsidRPr="00094A70">
              <w:rPr>
                <w:rFonts w:ascii="Arial" w:hAnsi="Arial" w:cs="Arial"/>
                <w:b/>
                <w:color w:val="000000" w:themeColor="text1"/>
                <w:sz w:val="19"/>
                <w:szCs w:val="19"/>
                <w:lang w:val="hr-HR"/>
              </w:rPr>
              <w:t>000 kuna</w:t>
            </w:r>
          </w:p>
        </w:tc>
      </w:tr>
      <w:tr w:rsidR="004E2F51" w:rsidRPr="00094A70" w14:paraId="0BA5DA35" w14:textId="77777777" w:rsidTr="00E032FC">
        <w:trPr>
          <w:trHeight w:hRule="exact" w:val="175"/>
          <w:jc w:val="center"/>
        </w:trPr>
        <w:tc>
          <w:tcPr>
            <w:tcW w:w="986" w:type="pct"/>
          </w:tcPr>
          <w:p w14:paraId="62295F94" w14:textId="77777777" w:rsidR="004E2F51" w:rsidRPr="00094A70" w:rsidRDefault="004E2F51" w:rsidP="00E032FC">
            <w:pPr>
              <w:spacing w:line="360" w:lineRule="auto"/>
              <w:jc w:val="both"/>
              <w:rPr>
                <w:rFonts w:ascii="Arial" w:hAnsi="Arial" w:cs="Arial"/>
                <w:bCs/>
                <w:color w:val="000000" w:themeColor="text1"/>
                <w:sz w:val="19"/>
                <w:szCs w:val="19"/>
                <w:lang w:val="hr-HR"/>
              </w:rPr>
            </w:pPr>
          </w:p>
        </w:tc>
        <w:tc>
          <w:tcPr>
            <w:tcW w:w="1003" w:type="pct"/>
          </w:tcPr>
          <w:p w14:paraId="6844AEF1" w14:textId="77777777" w:rsidR="004E2F51" w:rsidRPr="00094A70" w:rsidRDefault="004E2F51" w:rsidP="00E032FC">
            <w:pPr>
              <w:spacing w:line="360" w:lineRule="auto"/>
              <w:jc w:val="center"/>
              <w:rPr>
                <w:rFonts w:ascii="Arial" w:hAnsi="Arial" w:cs="Arial"/>
                <w:bCs/>
                <w:color w:val="000000" w:themeColor="text1"/>
                <w:sz w:val="19"/>
                <w:szCs w:val="19"/>
                <w:lang w:val="hr-HR"/>
              </w:rPr>
            </w:pPr>
          </w:p>
        </w:tc>
        <w:tc>
          <w:tcPr>
            <w:tcW w:w="1004" w:type="pct"/>
            <w:vAlign w:val="center"/>
          </w:tcPr>
          <w:p w14:paraId="2DF84F42" w14:textId="77777777" w:rsidR="004E2F51" w:rsidRPr="00094A70" w:rsidRDefault="004E2F51" w:rsidP="00E032FC">
            <w:pPr>
              <w:spacing w:line="360" w:lineRule="auto"/>
              <w:jc w:val="right"/>
              <w:rPr>
                <w:rFonts w:ascii="Arial" w:hAnsi="Arial" w:cs="Arial"/>
                <w:b/>
                <w:color w:val="000000" w:themeColor="text1"/>
                <w:sz w:val="19"/>
                <w:szCs w:val="19"/>
                <w:lang w:val="hr-HR"/>
              </w:rPr>
            </w:pPr>
          </w:p>
        </w:tc>
        <w:tc>
          <w:tcPr>
            <w:tcW w:w="1004" w:type="pct"/>
          </w:tcPr>
          <w:p w14:paraId="2A056C8C" w14:textId="77777777" w:rsidR="004E2F51" w:rsidRPr="00094A70" w:rsidRDefault="004E2F51" w:rsidP="00E032FC">
            <w:pPr>
              <w:spacing w:line="360" w:lineRule="auto"/>
              <w:jc w:val="right"/>
              <w:rPr>
                <w:rFonts w:ascii="Arial" w:hAnsi="Arial" w:cs="Arial"/>
                <w:bCs/>
                <w:color w:val="000000" w:themeColor="text1"/>
                <w:sz w:val="19"/>
                <w:szCs w:val="19"/>
                <w:lang w:val="hr-HR"/>
              </w:rPr>
            </w:pPr>
          </w:p>
        </w:tc>
        <w:tc>
          <w:tcPr>
            <w:tcW w:w="1003" w:type="pct"/>
            <w:vAlign w:val="center"/>
          </w:tcPr>
          <w:p w14:paraId="2D21FAF8" w14:textId="77777777" w:rsidR="004E2F51" w:rsidRPr="00094A70" w:rsidRDefault="004E2F51" w:rsidP="00E032FC">
            <w:pPr>
              <w:spacing w:line="360" w:lineRule="auto"/>
              <w:jc w:val="right"/>
              <w:rPr>
                <w:rFonts w:ascii="Arial" w:hAnsi="Arial" w:cs="Arial"/>
                <w:b/>
                <w:color w:val="000000" w:themeColor="text1"/>
                <w:sz w:val="19"/>
                <w:szCs w:val="19"/>
                <w:lang w:val="hr-HR"/>
              </w:rPr>
            </w:pPr>
          </w:p>
        </w:tc>
      </w:tr>
      <w:tr w:rsidR="004E2F51" w:rsidRPr="00094A70" w14:paraId="143985DF" w14:textId="77777777" w:rsidTr="00E032FC">
        <w:trPr>
          <w:trHeight w:hRule="exact" w:val="284"/>
          <w:jc w:val="center"/>
        </w:trPr>
        <w:tc>
          <w:tcPr>
            <w:tcW w:w="986" w:type="pct"/>
            <w:vAlign w:val="center"/>
          </w:tcPr>
          <w:p w14:paraId="74B0DC1F" w14:textId="77777777" w:rsidR="004E2F51" w:rsidRPr="00094A70" w:rsidRDefault="004E2F51" w:rsidP="00E032FC">
            <w:pPr>
              <w:spacing w:line="360" w:lineRule="auto"/>
              <w:jc w:val="both"/>
              <w:rPr>
                <w:rFonts w:ascii="Arial" w:hAnsi="Arial" w:cs="Arial"/>
                <w:bCs/>
                <w:color w:val="000000" w:themeColor="text1"/>
                <w:sz w:val="19"/>
                <w:szCs w:val="19"/>
                <w:lang w:val="hr-HR"/>
              </w:rPr>
            </w:pPr>
            <w:r w:rsidRPr="00094A70">
              <w:rPr>
                <w:rFonts w:ascii="Arial" w:hAnsi="Arial" w:cs="Arial"/>
                <w:bCs/>
                <w:color w:val="000000" w:themeColor="text1"/>
                <w:sz w:val="19"/>
                <w:szCs w:val="19"/>
                <w:lang w:val="hr-HR"/>
              </w:rPr>
              <w:t>EUR</w:t>
            </w:r>
          </w:p>
        </w:tc>
        <w:tc>
          <w:tcPr>
            <w:tcW w:w="1003" w:type="pct"/>
            <w:vAlign w:val="center"/>
          </w:tcPr>
          <w:p w14:paraId="3FF98C4B" w14:textId="77777777" w:rsidR="004E2F51" w:rsidRPr="00094A70" w:rsidRDefault="004E2F51" w:rsidP="00E032FC">
            <w:pPr>
              <w:pStyle w:val="T1"/>
              <w:keepNext w:val="0"/>
              <w:spacing w:before="0" w:after="0" w:line="240" w:lineRule="auto"/>
              <w:jc w:val="right"/>
              <w:rPr>
                <w:rFonts w:cs="Arial"/>
                <w:b w:val="0"/>
                <w:color w:val="000000" w:themeColor="text1"/>
                <w:szCs w:val="19"/>
                <w:lang w:val="hr-HR"/>
              </w:rPr>
            </w:pPr>
            <w:r w:rsidRPr="00094A70">
              <w:rPr>
                <w:rFonts w:cs="Arial"/>
                <w:b w:val="0"/>
                <w:color w:val="000000" w:themeColor="text1"/>
                <w:szCs w:val="19"/>
                <w:lang w:val="hr-HR"/>
              </w:rPr>
              <w:t>+1,</w:t>
            </w:r>
            <w:r>
              <w:rPr>
                <w:rFonts w:cs="Arial"/>
                <w:b w:val="0"/>
                <w:color w:val="000000" w:themeColor="text1"/>
                <w:szCs w:val="19"/>
                <w:lang w:val="hr-HR"/>
              </w:rPr>
              <w:t>1</w:t>
            </w:r>
            <w:r w:rsidRPr="00094A70">
              <w:rPr>
                <w:rFonts w:cs="Arial"/>
                <w:b w:val="0"/>
                <w:color w:val="000000" w:themeColor="text1"/>
                <w:szCs w:val="19"/>
                <w:lang w:val="hr-HR"/>
              </w:rPr>
              <w:t>9</w:t>
            </w:r>
          </w:p>
        </w:tc>
        <w:tc>
          <w:tcPr>
            <w:tcW w:w="1004" w:type="pct"/>
            <w:vAlign w:val="center"/>
          </w:tcPr>
          <w:p w14:paraId="6387FCF9" w14:textId="77777777" w:rsidR="004E2F51" w:rsidRPr="00094A70" w:rsidRDefault="004E2F51" w:rsidP="00E032FC">
            <w:pPr>
              <w:pStyle w:val="T1"/>
              <w:keepNext w:val="0"/>
              <w:spacing w:before="0" w:after="0" w:line="240" w:lineRule="auto"/>
              <w:jc w:val="right"/>
              <w:rPr>
                <w:rFonts w:cs="Arial"/>
                <w:b w:val="0"/>
                <w:color w:val="000000" w:themeColor="text1"/>
                <w:szCs w:val="19"/>
                <w:lang w:val="hr-HR"/>
              </w:rPr>
            </w:pPr>
            <w:r w:rsidRPr="00163D60">
              <w:rPr>
                <w:rFonts w:cs="Arial"/>
                <w:b w:val="0"/>
                <w:color w:val="000000" w:themeColor="text1"/>
                <w:szCs w:val="19"/>
                <w:lang w:val="hr-HR"/>
              </w:rPr>
              <w:t>5.041</w:t>
            </w:r>
          </w:p>
        </w:tc>
        <w:tc>
          <w:tcPr>
            <w:tcW w:w="1004" w:type="pct"/>
            <w:vAlign w:val="center"/>
          </w:tcPr>
          <w:p w14:paraId="7300D397" w14:textId="77777777" w:rsidR="004E2F51" w:rsidRPr="00094A70" w:rsidRDefault="004E2F51" w:rsidP="00E032FC">
            <w:pPr>
              <w:pStyle w:val="T1"/>
              <w:keepNext w:val="0"/>
              <w:spacing w:before="0" w:after="0" w:line="240" w:lineRule="auto"/>
              <w:jc w:val="right"/>
              <w:rPr>
                <w:rFonts w:cs="Arial"/>
                <w:b w:val="0"/>
                <w:color w:val="000000" w:themeColor="text1"/>
                <w:szCs w:val="19"/>
                <w:lang w:val="hr-HR"/>
              </w:rPr>
            </w:pPr>
            <w:r w:rsidRPr="00094A70">
              <w:rPr>
                <w:rFonts w:cs="Arial"/>
                <w:b w:val="0"/>
                <w:color w:val="000000" w:themeColor="text1"/>
                <w:szCs w:val="19"/>
                <w:lang w:val="hr-HR"/>
              </w:rPr>
              <w:t>+1,49</w:t>
            </w:r>
          </w:p>
        </w:tc>
        <w:tc>
          <w:tcPr>
            <w:tcW w:w="1003" w:type="pct"/>
            <w:vAlign w:val="center"/>
          </w:tcPr>
          <w:p w14:paraId="01C240B8" w14:textId="77777777" w:rsidR="004E2F51" w:rsidRPr="00094A70" w:rsidRDefault="004E2F51" w:rsidP="00E032FC">
            <w:pPr>
              <w:pStyle w:val="T1"/>
              <w:keepNext w:val="0"/>
              <w:spacing w:before="0" w:after="0" w:line="240" w:lineRule="auto"/>
              <w:jc w:val="right"/>
              <w:rPr>
                <w:rFonts w:cs="Arial"/>
                <w:b w:val="0"/>
                <w:color w:val="000000" w:themeColor="text1"/>
                <w:szCs w:val="19"/>
                <w:lang w:val="hr-HR"/>
              </w:rPr>
            </w:pPr>
            <w:r w:rsidRPr="00094A70">
              <w:rPr>
                <w:rFonts w:cs="Arial"/>
                <w:b w:val="0"/>
                <w:color w:val="000000" w:themeColor="text1"/>
                <w:szCs w:val="19"/>
                <w:lang w:val="hr-HR"/>
              </w:rPr>
              <w:t>(11.246)</w:t>
            </w:r>
          </w:p>
        </w:tc>
      </w:tr>
      <w:tr w:rsidR="004E2F51" w:rsidRPr="00094A70" w14:paraId="1A2C2C05" w14:textId="77777777" w:rsidTr="00E032FC">
        <w:trPr>
          <w:trHeight w:hRule="exact" w:val="103"/>
          <w:jc w:val="center"/>
        </w:trPr>
        <w:tc>
          <w:tcPr>
            <w:tcW w:w="986" w:type="pct"/>
            <w:vAlign w:val="center"/>
          </w:tcPr>
          <w:p w14:paraId="7DD18A3C" w14:textId="77777777" w:rsidR="004E2F51" w:rsidRPr="00094A70" w:rsidRDefault="004E2F51" w:rsidP="00E032FC">
            <w:pPr>
              <w:spacing w:line="360" w:lineRule="auto"/>
              <w:jc w:val="both"/>
              <w:rPr>
                <w:rFonts w:ascii="Arial" w:hAnsi="Arial" w:cs="Arial"/>
                <w:bCs/>
                <w:color w:val="000000" w:themeColor="text1"/>
                <w:sz w:val="19"/>
                <w:szCs w:val="19"/>
                <w:lang w:val="hr-HR"/>
              </w:rPr>
            </w:pPr>
          </w:p>
        </w:tc>
        <w:tc>
          <w:tcPr>
            <w:tcW w:w="1003" w:type="pct"/>
            <w:vAlign w:val="center"/>
          </w:tcPr>
          <w:p w14:paraId="6AB128EA" w14:textId="77777777" w:rsidR="004E2F51" w:rsidRPr="00094A70" w:rsidRDefault="004E2F51" w:rsidP="00E032FC">
            <w:pPr>
              <w:spacing w:line="360" w:lineRule="auto"/>
              <w:jc w:val="right"/>
              <w:rPr>
                <w:rFonts w:ascii="Arial" w:hAnsi="Arial" w:cs="Arial"/>
                <w:bCs/>
                <w:color w:val="000000" w:themeColor="text1"/>
                <w:sz w:val="19"/>
                <w:szCs w:val="19"/>
                <w:lang w:val="hr-HR"/>
              </w:rPr>
            </w:pPr>
          </w:p>
        </w:tc>
        <w:tc>
          <w:tcPr>
            <w:tcW w:w="1004" w:type="pct"/>
            <w:vAlign w:val="center"/>
          </w:tcPr>
          <w:p w14:paraId="297B826F" w14:textId="77777777" w:rsidR="004E2F51" w:rsidRPr="00094A70" w:rsidRDefault="004E2F51" w:rsidP="00E032FC">
            <w:pPr>
              <w:spacing w:line="360" w:lineRule="auto"/>
              <w:jc w:val="right"/>
              <w:rPr>
                <w:rFonts w:ascii="Arial" w:hAnsi="Arial" w:cs="Arial"/>
                <w:bCs/>
                <w:color w:val="000000" w:themeColor="text1"/>
                <w:sz w:val="19"/>
                <w:szCs w:val="19"/>
                <w:lang w:val="hr-HR"/>
              </w:rPr>
            </w:pPr>
          </w:p>
        </w:tc>
        <w:tc>
          <w:tcPr>
            <w:tcW w:w="1004" w:type="pct"/>
            <w:vAlign w:val="center"/>
          </w:tcPr>
          <w:p w14:paraId="0247A59C" w14:textId="77777777" w:rsidR="004E2F51" w:rsidRPr="00094A70" w:rsidRDefault="004E2F51" w:rsidP="00E032FC">
            <w:pPr>
              <w:pStyle w:val="T1"/>
              <w:keepNext w:val="0"/>
              <w:spacing w:before="0" w:after="0" w:line="240" w:lineRule="auto"/>
              <w:jc w:val="right"/>
              <w:rPr>
                <w:rFonts w:cs="Arial"/>
                <w:b w:val="0"/>
                <w:color w:val="000000" w:themeColor="text1"/>
                <w:szCs w:val="19"/>
                <w:lang w:val="hr-HR"/>
              </w:rPr>
            </w:pPr>
          </w:p>
        </w:tc>
        <w:tc>
          <w:tcPr>
            <w:tcW w:w="1003" w:type="pct"/>
            <w:vAlign w:val="center"/>
          </w:tcPr>
          <w:p w14:paraId="11A8F784" w14:textId="77777777" w:rsidR="004E2F51" w:rsidRPr="00094A70" w:rsidRDefault="004E2F51" w:rsidP="00E032FC">
            <w:pPr>
              <w:pStyle w:val="T1"/>
              <w:keepNext w:val="0"/>
              <w:spacing w:before="0" w:after="0" w:line="240" w:lineRule="auto"/>
              <w:jc w:val="right"/>
              <w:rPr>
                <w:rFonts w:cs="Arial"/>
                <w:b w:val="0"/>
                <w:color w:val="000000" w:themeColor="text1"/>
                <w:szCs w:val="19"/>
                <w:lang w:val="hr-HR"/>
              </w:rPr>
            </w:pPr>
          </w:p>
        </w:tc>
      </w:tr>
      <w:tr w:rsidR="004E2F51" w:rsidRPr="00094A70" w14:paraId="13E19FF3" w14:textId="77777777" w:rsidTr="00E032FC">
        <w:trPr>
          <w:trHeight w:hRule="exact" w:val="284"/>
          <w:jc w:val="center"/>
        </w:trPr>
        <w:tc>
          <w:tcPr>
            <w:tcW w:w="986" w:type="pct"/>
            <w:vAlign w:val="center"/>
          </w:tcPr>
          <w:p w14:paraId="2BA1749D" w14:textId="77777777" w:rsidR="004E2F51" w:rsidRPr="00094A70" w:rsidRDefault="004E2F51" w:rsidP="00E032FC">
            <w:pPr>
              <w:spacing w:line="360" w:lineRule="auto"/>
              <w:jc w:val="both"/>
              <w:rPr>
                <w:rFonts w:ascii="Arial" w:hAnsi="Arial" w:cs="Arial"/>
                <w:bCs/>
                <w:color w:val="000000" w:themeColor="text1"/>
                <w:sz w:val="19"/>
                <w:szCs w:val="19"/>
                <w:lang w:val="hr-HR"/>
              </w:rPr>
            </w:pPr>
            <w:r w:rsidRPr="00094A70">
              <w:rPr>
                <w:rFonts w:ascii="Arial" w:hAnsi="Arial" w:cs="Arial"/>
                <w:bCs/>
                <w:color w:val="000000" w:themeColor="text1"/>
                <w:sz w:val="19"/>
                <w:szCs w:val="19"/>
                <w:lang w:val="hr-HR"/>
              </w:rPr>
              <w:t>EUR</w:t>
            </w:r>
          </w:p>
        </w:tc>
        <w:tc>
          <w:tcPr>
            <w:tcW w:w="1003" w:type="pct"/>
            <w:vAlign w:val="center"/>
          </w:tcPr>
          <w:p w14:paraId="6C0378BC" w14:textId="77777777" w:rsidR="004E2F51" w:rsidRPr="00094A70" w:rsidRDefault="004E2F51" w:rsidP="00E032FC">
            <w:pPr>
              <w:pStyle w:val="T1"/>
              <w:keepNext w:val="0"/>
              <w:spacing w:before="0" w:after="0" w:line="240" w:lineRule="auto"/>
              <w:jc w:val="right"/>
              <w:rPr>
                <w:rFonts w:cs="Arial"/>
                <w:b w:val="0"/>
                <w:color w:val="000000" w:themeColor="text1"/>
                <w:szCs w:val="19"/>
                <w:lang w:val="hr-HR"/>
              </w:rPr>
            </w:pPr>
            <w:r w:rsidRPr="00094A70">
              <w:rPr>
                <w:rFonts w:cs="Arial"/>
                <w:b w:val="0"/>
                <w:color w:val="000000" w:themeColor="text1"/>
                <w:szCs w:val="19"/>
                <w:lang w:val="hr-HR"/>
              </w:rPr>
              <w:t>-1,</w:t>
            </w:r>
            <w:r>
              <w:rPr>
                <w:rFonts w:cs="Arial"/>
                <w:b w:val="0"/>
                <w:color w:val="000000" w:themeColor="text1"/>
                <w:szCs w:val="19"/>
                <w:lang w:val="hr-HR"/>
              </w:rPr>
              <w:t>1</w:t>
            </w:r>
            <w:r w:rsidRPr="00094A70">
              <w:rPr>
                <w:rFonts w:cs="Arial"/>
                <w:b w:val="0"/>
                <w:color w:val="000000" w:themeColor="text1"/>
                <w:szCs w:val="19"/>
                <w:lang w:val="hr-HR"/>
              </w:rPr>
              <w:t>9</w:t>
            </w:r>
          </w:p>
        </w:tc>
        <w:tc>
          <w:tcPr>
            <w:tcW w:w="1004" w:type="pct"/>
            <w:vAlign w:val="center"/>
          </w:tcPr>
          <w:p w14:paraId="5C3BABFF" w14:textId="77777777" w:rsidR="004E2F51" w:rsidRPr="00094A70" w:rsidRDefault="004E2F51" w:rsidP="00E032FC">
            <w:pPr>
              <w:pStyle w:val="T1"/>
              <w:keepNext w:val="0"/>
              <w:spacing w:before="0" w:after="0" w:line="240" w:lineRule="auto"/>
              <w:jc w:val="right"/>
              <w:rPr>
                <w:rFonts w:cs="Arial"/>
                <w:b w:val="0"/>
                <w:color w:val="000000" w:themeColor="text1"/>
                <w:szCs w:val="19"/>
                <w:lang w:val="hr-HR"/>
              </w:rPr>
            </w:pPr>
            <w:r>
              <w:rPr>
                <w:rFonts w:cs="Arial"/>
                <w:b w:val="0"/>
                <w:color w:val="000000" w:themeColor="text1"/>
                <w:szCs w:val="19"/>
                <w:lang w:val="hr-HR"/>
              </w:rPr>
              <w:t>(</w:t>
            </w:r>
            <w:r w:rsidRPr="00163D60">
              <w:rPr>
                <w:rFonts w:cs="Arial"/>
                <w:b w:val="0"/>
                <w:color w:val="000000" w:themeColor="text1"/>
                <w:szCs w:val="19"/>
                <w:lang w:val="hr-HR"/>
              </w:rPr>
              <w:t>5.038</w:t>
            </w:r>
            <w:r>
              <w:rPr>
                <w:rFonts w:cs="Arial"/>
                <w:b w:val="0"/>
                <w:color w:val="000000" w:themeColor="text1"/>
                <w:szCs w:val="19"/>
                <w:lang w:val="hr-HR"/>
              </w:rPr>
              <w:t>)</w:t>
            </w:r>
          </w:p>
        </w:tc>
        <w:tc>
          <w:tcPr>
            <w:tcW w:w="1004" w:type="pct"/>
            <w:vAlign w:val="center"/>
          </w:tcPr>
          <w:p w14:paraId="78423E75" w14:textId="77777777" w:rsidR="004E2F51" w:rsidRPr="00094A70" w:rsidRDefault="004E2F51" w:rsidP="00E032FC">
            <w:pPr>
              <w:pStyle w:val="T1"/>
              <w:keepNext w:val="0"/>
              <w:spacing w:before="0" w:after="0" w:line="240" w:lineRule="auto"/>
              <w:jc w:val="right"/>
              <w:rPr>
                <w:rFonts w:cs="Arial"/>
                <w:b w:val="0"/>
                <w:color w:val="000000" w:themeColor="text1"/>
                <w:szCs w:val="19"/>
                <w:lang w:val="hr-HR"/>
              </w:rPr>
            </w:pPr>
            <w:r w:rsidRPr="00094A70">
              <w:rPr>
                <w:rFonts w:cs="Arial"/>
                <w:b w:val="0"/>
                <w:color w:val="000000" w:themeColor="text1"/>
                <w:szCs w:val="19"/>
                <w:lang w:val="hr-HR"/>
              </w:rPr>
              <w:t>-1,49</w:t>
            </w:r>
          </w:p>
        </w:tc>
        <w:tc>
          <w:tcPr>
            <w:tcW w:w="1003" w:type="pct"/>
            <w:vAlign w:val="center"/>
          </w:tcPr>
          <w:p w14:paraId="20631321" w14:textId="77777777" w:rsidR="004E2F51" w:rsidRPr="00094A70" w:rsidRDefault="004E2F51" w:rsidP="00E032FC">
            <w:pPr>
              <w:pStyle w:val="T1"/>
              <w:keepNext w:val="0"/>
              <w:spacing w:before="0" w:after="0" w:line="240" w:lineRule="auto"/>
              <w:jc w:val="right"/>
              <w:rPr>
                <w:rFonts w:cs="Arial"/>
                <w:b w:val="0"/>
                <w:color w:val="000000" w:themeColor="text1"/>
                <w:szCs w:val="19"/>
                <w:lang w:val="hr-HR"/>
              </w:rPr>
            </w:pPr>
            <w:r w:rsidRPr="00094A70">
              <w:rPr>
                <w:rFonts w:cs="Arial"/>
                <w:b w:val="0"/>
                <w:color w:val="000000" w:themeColor="text1"/>
                <w:szCs w:val="19"/>
                <w:lang w:val="hr-HR"/>
              </w:rPr>
              <w:t>10.779</w:t>
            </w:r>
          </w:p>
        </w:tc>
      </w:tr>
    </w:tbl>
    <w:p w14:paraId="51C1E147" w14:textId="77777777" w:rsidR="004E2F51" w:rsidRPr="00B91D09" w:rsidRDefault="004E2F51" w:rsidP="004E2F51">
      <w:pPr>
        <w:jc w:val="both"/>
        <w:rPr>
          <w:rFonts w:ascii="Arial" w:hAnsi="Arial" w:cs="Arial"/>
          <w:b/>
          <w:color w:val="000000" w:themeColor="text1"/>
          <w:sz w:val="22"/>
          <w:szCs w:val="22"/>
          <w:lang w:val="hr-HR"/>
        </w:rPr>
      </w:pPr>
    </w:p>
    <w:p w14:paraId="15EC3CE2" w14:textId="77777777" w:rsidR="004E2F51" w:rsidRPr="00B91D09" w:rsidRDefault="004E2F51" w:rsidP="004E2F51">
      <w:pPr>
        <w:jc w:val="both"/>
        <w:rPr>
          <w:rFonts w:ascii="Arial" w:hAnsi="Arial" w:cs="Arial"/>
          <w:b/>
          <w:color w:val="000000" w:themeColor="text1"/>
          <w:sz w:val="22"/>
          <w:szCs w:val="22"/>
          <w:lang w:val="hr-HR"/>
        </w:rPr>
      </w:pPr>
    </w:p>
    <w:p w14:paraId="22E866A5" w14:textId="77777777" w:rsidR="004E2F51" w:rsidRPr="00B91D09" w:rsidRDefault="004E2F51" w:rsidP="004E2F51">
      <w:pPr>
        <w:widowControl w:val="0"/>
        <w:jc w:val="both"/>
        <w:rPr>
          <w:rFonts w:ascii="Arial" w:hAnsi="Arial" w:cs="Arial"/>
          <w:color w:val="000000" w:themeColor="text1"/>
          <w:sz w:val="22"/>
          <w:szCs w:val="22"/>
          <w:lang w:val="hr-HR"/>
        </w:rPr>
      </w:pPr>
    </w:p>
    <w:p w14:paraId="48B698CA" w14:textId="77777777" w:rsidR="004E2F51" w:rsidRPr="00B91D09" w:rsidRDefault="004E2F51" w:rsidP="004E2F51">
      <w:pPr>
        <w:widowControl w:val="0"/>
        <w:jc w:val="both"/>
        <w:rPr>
          <w:rFonts w:ascii="Arial" w:hAnsi="Arial" w:cs="Arial"/>
          <w:color w:val="000000" w:themeColor="text1"/>
          <w:sz w:val="22"/>
          <w:szCs w:val="22"/>
          <w:lang w:val="hr-HR"/>
        </w:rPr>
      </w:pPr>
    </w:p>
    <w:p w14:paraId="201056D9" w14:textId="77777777" w:rsidR="004E2F51" w:rsidRPr="00B91D09" w:rsidRDefault="004E2F51" w:rsidP="004E2F51">
      <w:pPr>
        <w:jc w:val="both"/>
        <w:rPr>
          <w:rFonts w:ascii="Arial" w:hAnsi="Arial" w:cs="Arial"/>
          <w:b/>
          <w:color w:val="000000" w:themeColor="text1"/>
          <w:sz w:val="22"/>
          <w:szCs w:val="22"/>
          <w:lang w:val="hr-HR"/>
        </w:rPr>
        <w:sectPr w:rsidR="004E2F51" w:rsidRPr="00B91D09" w:rsidSect="00623DBA">
          <w:footerReference w:type="default" r:id="rId219"/>
          <w:pgSz w:w="11907" w:h="16840" w:code="9"/>
          <w:pgMar w:top="1418" w:right="1134" w:bottom="1134" w:left="1418" w:header="851" w:footer="851" w:gutter="0"/>
          <w:cols w:space="720"/>
          <w:noEndnote/>
        </w:sectPr>
      </w:pPr>
    </w:p>
    <w:p w14:paraId="2DE09807" w14:textId="77777777" w:rsidR="004E2F51" w:rsidRPr="00B91D09" w:rsidRDefault="004E2F51" w:rsidP="004E2F51">
      <w:pPr>
        <w:pStyle w:val="T1"/>
        <w:spacing w:before="0" w:after="0" w:line="240" w:lineRule="auto"/>
        <w:ind w:left="709" w:hanging="709"/>
        <w:rPr>
          <w:rFonts w:cs="Arial"/>
          <w:color w:val="000000" w:themeColor="text1"/>
          <w:sz w:val="14"/>
          <w:szCs w:val="16"/>
          <w:lang w:val="hr-HR"/>
        </w:rPr>
      </w:pPr>
    </w:p>
    <w:p w14:paraId="1C350C2D" w14:textId="77777777" w:rsidR="004E2F51" w:rsidRPr="003D5B9A" w:rsidRDefault="004E2F51" w:rsidP="004E2F51">
      <w:pPr>
        <w:pStyle w:val="T1"/>
        <w:spacing w:before="0" w:after="0" w:line="240" w:lineRule="auto"/>
        <w:ind w:left="709" w:hanging="709"/>
        <w:rPr>
          <w:rFonts w:cs="Arial"/>
          <w:color w:val="000000" w:themeColor="text1"/>
          <w:spacing w:val="-3"/>
          <w:sz w:val="20"/>
          <w:lang w:val="hr-HR"/>
        </w:rPr>
      </w:pPr>
      <w:r w:rsidRPr="003D5B9A">
        <w:rPr>
          <w:rFonts w:cs="Arial"/>
          <w:color w:val="000000" w:themeColor="text1"/>
          <w:spacing w:val="-3"/>
          <w:sz w:val="20"/>
          <w:lang w:val="hr-HR"/>
        </w:rPr>
        <w:t>3</w:t>
      </w:r>
      <w:r>
        <w:rPr>
          <w:rFonts w:cs="Arial"/>
          <w:color w:val="000000" w:themeColor="text1"/>
          <w:spacing w:val="-3"/>
          <w:sz w:val="20"/>
          <w:lang w:val="hr-HR"/>
        </w:rPr>
        <w:t>2</w:t>
      </w:r>
      <w:r w:rsidRPr="003D5B9A">
        <w:rPr>
          <w:rFonts w:cs="Arial"/>
          <w:color w:val="000000" w:themeColor="text1"/>
          <w:spacing w:val="-3"/>
          <w:sz w:val="20"/>
          <w:lang w:val="hr-HR"/>
        </w:rPr>
        <w:t xml:space="preserve">. </w:t>
      </w:r>
      <w:r w:rsidRPr="003D5B9A">
        <w:rPr>
          <w:rFonts w:cs="Arial"/>
          <w:color w:val="000000" w:themeColor="text1"/>
          <w:spacing w:val="-3"/>
          <w:sz w:val="20"/>
          <w:lang w:val="hr-HR"/>
        </w:rPr>
        <w:tab/>
        <w:t>Fer vrijednost financijske imovine i financijskih obveza</w:t>
      </w:r>
    </w:p>
    <w:p w14:paraId="3A20E6B3" w14:textId="77777777" w:rsidR="004E2F51" w:rsidRPr="006059EC" w:rsidRDefault="004E2F51" w:rsidP="004E2F51">
      <w:pPr>
        <w:pStyle w:val="T1"/>
        <w:spacing w:before="0" w:after="0" w:line="240" w:lineRule="auto"/>
        <w:ind w:left="709" w:hanging="709"/>
        <w:rPr>
          <w:rFonts w:cs="Arial"/>
          <w:b w:val="0"/>
          <w:color w:val="000000" w:themeColor="text1"/>
          <w:spacing w:val="-3"/>
          <w:sz w:val="12"/>
          <w:szCs w:val="12"/>
          <w:lang w:val="hr-HR"/>
        </w:rPr>
      </w:pPr>
    </w:p>
    <w:p w14:paraId="1B3F3E64" w14:textId="77777777" w:rsidR="004E2F51" w:rsidRPr="003D5B9A" w:rsidRDefault="004E2F51" w:rsidP="004E2F51">
      <w:pPr>
        <w:pStyle w:val="T1"/>
        <w:spacing w:before="0" w:after="0" w:line="240" w:lineRule="auto"/>
        <w:ind w:left="709" w:hanging="709"/>
        <w:rPr>
          <w:rFonts w:cs="Arial"/>
          <w:b w:val="0"/>
          <w:color w:val="000000" w:themeColor="text1"/>
          <w:spacing w:val="-3"/>
          <w:sz w:val="20"/>
          <w:lang w:val="hr-HR"/>
        </w:rPr>
      </w:pPr>
      <w:r w:rsidRPr="003D5B9A">
        <w:rPr>
          <w:rFonts w:cs="Arial"/>
          <w:b w:val="0"/>
          <w:color w:val="000000" w:themeColor="text1"/>
          <w:spacing w:val="-3"/>
          <w:sz w:val="20"/>
          <w:lang w:val="hr-HR"/>
        </w:rPr>
        <w:t xml:space="preserve">Računovodstvena politika mjerenja fer vrijednosti opisana je u bilješci </w:t>
      </w:r>
      <w:r w:rsidRPr="00B35CCC">
        <w:rPr>
          <w:rFonts w:cs="Arial"/>
          <w:b w:val="0"/>
          <w:color w:val="000000" w:themeColor="text1"/>
          <w:spacing w:val="-3"/>
          <w:sz w:val="20"/>
          <w:lang w:val="hr-HR"/>
        </w:rPr>
        <w:t>4.1.</w:t>
      </w:r>
    </w:p>
    <w:p w14:paraId="6449423D" w14:textId="77777777" w:rsidR="004E2F51" w:rsidRPr="006059EC" w:rsidRDefault="004E2F51" w:rsidP="004E2F51">
      <w:pPr>
        <w:pStyle w:val="T1"/>
        <w:spacing w:before="0" w:after="0" w:line="240" w:lineRule="auto"/>
        <w:ind w:left="709" w:hanging="709"/>
        <w:rPr>
          <w:rFonts w:cs="Arial"/>
          <w:color w:val="000000" w:themeColor="text1"/>
          <w:spacing w:val="-3"/>
          <w:sz w:val="14"/>
          <w:szCs w:val="14"/>
          <w:lang w:val="hr-HR"/>
        </w:rPr>
      </w:pPr>
    </w:p>
    <w:p w14:paraId="697F1C0A" w14:textId="77777777" w:rsidR="004E2F51" w:rsidRPr="003D5B9A" w:rsidRDefault="004E2F51" w:rsidP="004E2F51">
      <w:pPr>
        <w:pStyle w:val="T1"/>
        <w:spacing w:before="0" w:after="0" w:line="240" w:lineRule="auto"/>
        <w:ind w:left="709" w:hanging="709"/>
        <w:rPr>
          <w:rFonts w:cs="Arial"/>
          <w:color w:val="000000" w:themeColor="text1"/>
          <w:spacing w:val="-3"/>
          <w:sz w:val="20"/>
          <w:lang w:val="hr-HR"/>
        </w:rPr>
      </w:pPr>
      <w:r w:rsidRPr="003D5B9A">
        <w:rPr>
          <w:rFonts w:cs="Arial"/>
          <w:color w:val="000000" w:themeColor="text1"/>
          <w:spacing w:val="-3"/>
          <w:sz w:val="20"/>
          <w:lang w:val="hr-HR"/>
        </w:rPr>
        <w:t>3</w:t>
      </w:r>
      <w:r>
        <w:rPr>
          <w:rFonts w:cs="Arial"/>
          <w:color w:val="000000" w:themeColor="text1"/>
          <w:spacing w:val="-3"/>
          <w:sz w:val="20"/>
          <w:lang w:val="hr-HR"/>
        </w:rPr>
        <w:t>2</w:t>
      </w:r>
      <w:r w:rsidRPr="003D5B9A">
        <w:rPr>
          <w:rFonts w:cs="Arial"/>
          <w:color w:val="000000" w:themeColor="text1"/>
          <w:spacing w:val="-3"/>
          <w:sz w:val="20"/>
          <w:lang w:val="hr-HR"/>
        </w:rPr>
        <w:t xml:space="preserve">.1. </w:t>
      </w:r>
      <w:r w:rsidRPr="003D5B9A">
        <w:rPr>
          <w:rFonts w:cs="Arial"/>
          <w:color w:val="000000" w:themeColor="text1"/>
          <w:spacing w:val="-3"/>
          <w:sz w:val="20"/>
          <w:lang w:val="hr-HR"/>
        </w:rPr>
        <w:tab/>
        <w:t xml:space="preserve">Fer vrijednost financijske imovine i financijskih obveza koji se vode po fer vrijednosti </w:t>
      </w:r>
    </w:p>
    <w:p w14:paraId="4C638B77" w14:textId="77777777" w:rsidR="004E2F51" w:rsidRPr="006059EC" w:rsidRDefault="004E2F51" w:rsidP="004E2F51">
      <w:pPr>
        <w:pStyle w:val="T1"/>
        <w:spacing w:before="0" w:after="0" w:line="240" w:lineRule="auto"/>
        <w:rPr>
          <w:rFonts w:cs="Arial"/>
          <w:b w:val="0"/>
          <w:bCs w:val="0"/>
          <w:color w:val="000000" w:themeColor="text1"/>
          <w:spacing w:val="-3"/>
          <w:sz w:val="12"/>
          <w:szCs w:val="12"/>
          <w:lang w:val="hr-HR"/>
        </w:rPr>
      </w:pPr>
    </w:p>
    <w:p w14:paraId="21EA3A49" w14:textId="77777777" w:rsidR="004E2F51" w:rsidRPr="003D5B9A" w:rsidRDefault="004E2F51" w:rsidP="004E2F51">
      <w:pPr>
        <w:pStyle w:val="T1"/>
        <w:spacing w:before="0" w:after="0" w:line="240" w:lineRule="auto"/>
        <w:rPr>
          <w:rFonts w:cs="Arial"/>
          <w:b w:val="0"/>
          <w:bCs w:val="0"/>
          <w:color w:val="000000" w:themeColor="text1"/>
          <w:spacing w:val="-3"/>
          <w:sz w:val="20"/>
          <w:lang w:val="hr-HR"/>
        </w:rPr>
      </w:pPr>
      <w:r w:rsidRPr="003D5B9A">
        <w:rPr>
          <w:rFonts w:cs="Arial"/>
          <w:b w:val="0"/>
          <w:bCs w:val="0"/>
          <w:color w:val="000000" w:themeColor="text1"/>
          <w:spacing w:val="-3"/>
          <w:sz w:val="20"/>
          <w:lang w:val="hr-HR"/>
        </w:rPr>
        <w:t xml:space="preserve">Tabele u nastavku daju prikaz financijske imovine po fer vrijednosti po razinama temeljem MSFI 9 klasifikacije na dan 31. prosinca 2022. i 31. prosinca 2021. </w:t>
      </w:r>
    </w:p>
    <w:p w14:paraId="31CAC522" w14:textId="77777777" w:rsidR="004E2F51" w:rsidRPr="000D5F78" w:rsidRDefault="004E2F51" w:rsidP="004E2F51">
      <w:pPr>
        <w:pStyle w:val="T1"/>
        <w:spacing w:before="0" w:after="0" w:line="240" w:lineRule="auto"/>
        <w:rPr>
          <w:rFonts w:cs="Arial"/>
          <w:b w:val="0"/>
          <w:bCs w:val="0"/>
          <w:color w:val="000000" w:themeColor="text1"/>
          <w:spacing w:val="-3"/>
          <w:sz w:val="16"/>
          <w:szCs w:val="16"/>
          <w:lang w:val="hr-HR"/>
        </w:rPr>
      </w:pPr>
    </w:p>
    <w:tbl>
      <w:tblPr>
        <w:tblW w:w="5114" w:type="pct"/>
        <w:jc w:val="center"/>
        <w:tblLayout w:type="fixed"/>
        <w:tblCellMar>
          <w:left w:w="122" w:type="dxa"/>
          <w:right w:w="122" w:type="dxa"/>
        </w:tblCellMar>
        <w:tblLook w:val="0000" w:firstRow="0" w:lastRow="0" w:firstColumn="0" w:lastColumn="0" w:noHBand="0" w:noVBand="0"/>
      </w:tblPr>
      <w:tblGrid>
        <w:gridCol w:w="6112"/>
        <w:gridCol w:w="1062"/>
        <w:gridCol w:w="1232"/>
        <w:gridCol w:w="1162"/>
      </w:tblGrid>
      <w:tr w:rsidR="004E2F51" w:rsidRPr="00736C15" w14:paraId="3CB64A8A" w14:textId="77777777" w:rsidTr="00E032FC">
        <w:trPr>
          <w:trHeight w:val="276"/>
          <w:jc w:val="center"/>
        </w:trPr>
        <w:tc>
          <w:tcPr>
            <w:tcW w:w="3194" w:type="pct"/>
            <w:shd w:val="clear" w:color="auto" w:fill="auto"/>
          </w:tcPr>
          <w:p w14:paraId="4AF96F2F" w14:textId="77777777" w:rsidR="004E2F51" w:rsidRPr="00736C15" w:rsidRDefault="004E2F51" w:rsidP="00E032FC">
            <w:pPr>
              <w:tabs>
                <w:tab w:val="right" w:pos="1202"/>
              </w:tabs>
              <w:outlineLvl w:val="0"/>
              <w:rPr>
                <w:rFonts w:ascii="Arial" w:eastAsia="Calibri" w:hAnsi="Arial" w:cs="Arial"/>
                <w:color w:val="000000"/>
                <w:sz w:val="17"/>
                <w:szCs w:val="17"/>
                <w:lang w:val="hr-HR"/>
              </w:rPr>
            </w:pPr>
            <w:bookmarkStart w:id="1921" w:name="_Toc67330822"/>
            <w:r w:rsidRPr="00736C15">
              <w:rPr>
                <w:rFonts w:ascii="Arial" w:eastAsia="Calibri" w:hAnsi="Arial" w:cs="Arial"/>
                <w:b/>
                <w:color w:val="000000"/>
                <w:sz w:val="17"/>
                <w:szCs w:val="17"/>
                <w:lang w:val="hr-HR"/>
              </w:rPr>
              <w:t>Grupa</w:t>
            </w:r>
            <w:bookmarkEnd w:id="1921"/>
          </w:p>
        </w:tc>
        <w:tc>
          <w:tcPr>
            <w:tcW w:w="1806" w:type="pct"/>
            <w:gridSpan w:val="3"/>
          </w:tcPr>
          <w:p w14:paraId="5E2B4300"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bookmarkStart w:id="1922" w:name="_Toc67330823"/>
            <w:r w:rsidRPr="00736C15">
              <w:rPr>
                <w:rFonts w:ascii="Arial" w:eastAsia="Calibri" w:hAnsi="Arial" w:cs="Arial"/>
                <w:b/>
                <w:bCs/>
                <w:color w:val="000000"/>
                <w:sz w:val="17"/>
                <w:szCs w:val="17"/>
                <w:lang w:val="hr-HR"/>
              </w:rPr>
              <w:t>3</w:t>
            </w:r>
            <w:r>
              <w:rPr>
                <w:rFonts w:ascii="Arial" w:eastAsia="Calibri" w:hAnsi="Arial" w:cs="Arial"/>
                <w:b/>
                <w:bCs/>
                <w:color w:val="000000"/>
                <w:sz w:val="17"/>
                <w:szCs w:val="17"/>
                <w:lang w:val="hr-HR"/>
              </w:rPr>
              <w:t>1</w:t>
            </w:r>
            <w:r w:rsidRPr="00736C15">
              <w:rPr>
                <w:rFonts w:ascii="Arial" w:eastAsia="Calibri" w:hAnsi="Arial" w:cs="Arial"/>
                <w:b/>
                <w:bCs/>
                <w:color w:val="000000"/>
                <w:sz w:val="17"/>
                <w:szCs w:val="17"/>
                <w:lang w:val="hr-HR"/>
              </w:rPr>
              <w:t xml:space="preserve">. </w:t>
            </w:r>
            <w:r>
              <w:rPr>
                <w:rFonts w:ascii="Arial" w:eastAsia="Calibri" w:hAnsi="Arial" w:cs="Arial"/>
                <w:b/>
                <w:bCs/>
                <w:color w:val="000000"/>
                <w:sz w:val="17"/>
                <w:szCs w:val="17"/>
                <w:lang w:val="hr-HR"/>
              </w:rPr>
              <w:t>prosinca</w:t>
            </w:r>
            <w:r w:rsidRPr="00736C15">
              <w:rPr>
                <w:rFonts w:ascii="Arial" w:eastAsia="Calibri" w:hAnsi="Arial" w:cs="Arial"/>
                <w:b/>
                <w:bCs/>
                <w:color w:val="000000"/>
                <w:sz w:val="17"/>
                <w:szCs w:val="17"/>
                <w:lang w:val="hr-HR"/>
              </w:rPr>
              <w:t xml:space="preserve"> 202</w:t>
            </w:r>
            <w:bookmarkEnd w:id="1922"/>
            <w:r w:rsidRPr="00736C15">
              <w:rPr>
                <w:rFonts w:ascii="Arial" w:eastAsia="Calibri" w:hAnsi="Arial" w:cs="Arial"/>
                <w:b/>
                <w:bCs/>
                <w:color w:val="000000"/>
                <w:sz w:val="17"/>
                <w:szCs w:val="17"/>
                <w:lang w:val="hr-HR"/>
              </w:rPr>
              <w:t>2.</w:t>
            </w:r>
          </w:p>
        </w:tc>
      </w:tr>
      <w:tr w:rsidR="004E2F51" w:rsidRPr="00736C15" w14:paraId="280AB4F5" w14:textId="77777777" w:rsidTr="00E032FC">
        <w:trPr>
          <w:trHeight w:val="276"/>
          <w:jc w:val="center"/>
        </w:trPr>
        <w:tc>
          <w:tcPr>
            <w:tcW w:w="3194" w:type="pct"/>
            <w:shd w:val="clear" w:color="auto" w:fill="auto"/>
            <w:vAlign w:val="bottom"/>
          </w:tcPr>
          <w:p w14:paraId="38566D6B" w14:textId="77777777" w:rsidR="004E2F51" w:rsidRPr="00736C15" w:rsidRDefault="004E2F51" w:rsidP="00E032FC">
            <w:pPr>
              <w:tabs>
                <w:tab w:val="right" w:pos="1202"/>
              </w:tabs>
              <w:ind w:left="-482"/>
              <w:outlineLvl w:val="0"/>
              <w:rPr>
                <w:rFonts w:ascii="Arial" w:eastAsia="Calibri" w:hAnsi="Arial" w:cs="Arial"/>
                <w:color w:val="000000"/>
                <w:spacing w:val="-2"/>
                <w:sz w:val="17"/>
                <w:szCs w:val="17"/>
                <w:lang w:val="hr-HR"/>
              </w:rPr>
            </w:pPr>
          </w:p>
        </w:tc>
        <w:tc>
          <w:tcPr>
            <w:tcW w:w="555" w:type="pct"/>
            <w:shd w:val="clear" w:color="auto" w:fill="auto"/>
            <w:vAlign w:val="bottom"/>
          </w:tcPr>
          <w:p w14:paraId="66B0812E"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bookmarkStart w:id="1923" w:name="_Toc67330824"/>
            <w:r w:rsidRPr="00736C15">
              <w:rPr>
                <w:rFonts w:ascii="Arial" w:eastAsia="Calibri" w:hAnsi="Arial" w:cs="Arial"/>
                <w:b/>
                <w:color w:val="000000"/>
                <w:spacing w:val="-2"/>
                <w:sz w:val="17"/>
                <w:szCs w:val="17"/>
                <w:lang w:val="hr-HR"/>
              </w:rPr>
              <w:t>Razina 1</w:t>
            </w:r>
            <w:bookmarkEnd w:id="1923"/>
          </w:p>
        </w:tc>
        <w:tc>
          <w:tcPr>
            <w:tcW w:w="644" w:type="pct"/>
            <w:shd w:val="clear" w:color="auto" w:fill="auto"/>
            <w:vAlign w:val="bottom"/>
          </w:tcPr>
          <w:p w14:paraId="1C589D5A"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bookmarkStart w:id="1924" w:name="_Toc67330825"/>
            <w:r w:rsidRPr="00736C15">
              <w:rPr>
                <w:rFonts w:ascii="Arial" w:eastAsia="Calibri" w:hAnsi="Arial" w:cs="Arial"/>
                <w:b/>
                <w:color w:val="000000"/>
                <w:spacing w:val="-2"/>
                <w:sz w:val="17"/>
                <w:szCs w:val="17"/>
                <w:lang w:val="hr-HR"/>
              </w:rPr>
              <w:t>Razina 2</w:t>
            </w:r>
            <w:bookmarkEnd w:id="1924"/>
          </w:p>
        </w:tc>
        <w:tc>
          <w:tcPr>
            <w:tcW w:w="607" w:type="pct"/>
            <w:shd w:val="clear" w:color="auto" w:fill="auto"/>
            <w:vAlign w:val="bottom"/>
          </w:tcPr>
          <w:p w14:paraId="0E993ECB"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bookmarkStart w:id="1925" w:name="_Toc67330826"/>
            <w:r w:rsidRPr="00736C15">
              <w:rPr>
                <w:rFonts w:ascii="Arial" w:eastAsia="Calibri" w:hAnsi="Arial" w:cs="Arial"/>
                <w:b/>
                <w:color w:val="000000"/>
                <w:spacing w:val="-2"/>
                <w:sz w:val="17"/>
                <w:szCs w:val="17"/>
                <w:lang w:val="hr-HR"/>
              </w:rPr>
              <w:t>Razina 3</w:t>
            </w:r>
            <w:bookmarkEnd w:id="1925"/>
          </w:p>
        </w:tc>
      </w:tr>
      <w:tr w:rsidR="004E2F51" w:rsidRPr="00736C15" w14:paraId="6A3368F1" w14:textId="77777777" w:rsidTr="00E032FC">
        <w:trPr>
          <w:trHeight w:hRule="exact" w:val="200"/>
          <w:jc w:val="center"/>
        </w:trPr>
        <w:tc>
          <w:tcPr>
            <w:tcW w:w="3194" w:type="pct"/>
            <w:shd w:val="clear" w:color="auto" w:fill="auto"/>
            <w:vAlign w:val="bottom"/>
          </w:tcPr>
          <w:p w14:paraId="3DCCF239"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p>
        </w:tc>
        <w:tc>
          <w:tcPr>
            <w:tcW w:w="555" w:type="pct"/>
            <w:shd w:val="clear" w:color="auto" w:fill="auto"/>
            <w:vAlign w:val="bottom"/>
          </w:tcPr>
          <w:p w14:paraId="7A7538AA"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bookmarkStart w:id="1926" w:name="_Toc67330827"/>
            <w:r w:rsidRPr="00736C15">
              <w:rPr>
                <w:rFonts w:ascii="Arial" w:eastAsia="Calibri" w:hAnsi="Arial" w:cs="Arial"/>
                <w:b/>
                <w:color w:val="000000"/>
                <w:spacing w:val="-2"/>
                <w:sz w:val="17"/>
                <w:szCs w:val="17"/>
                <w:lang w:val="hr-HR"/>
              </w:rPr>
              <w:t>000 kuna</w:t>
            </w:r>
            <w:bookmarkEnd w:id="1926"/>
          </w:p>
        </w:tc>
        <w:tc>
          <w:tcPr>
            <w:tcW w:w="644" w:type="pct"/>
            <w:shd w:val="clear" w:color="auto" w:fill="auto"/>
            <w:vAlign w:val="bottom"/>
          </w:tcPr>
          <w:p w14:paraId="7E0BC84A"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bookmarkStart w:id="1927" w:name="_Toc67330828"/>
            <w:r w:rsidRPr="00736C15">
              <w:rPr>
                <w:rFonts w:ascii="Arial" w:eastAsia="Calibri" w:hAnsi="Arial" w:cs="Arial"/>
                <w:b/>
                <w:color w:val="000000"/>
                <w:spacing w:val="-2"/>
                <w:sz w:val="17"/>
                <w:szCs w:val="17"/>
                <w:lang w:val="hr-HR"/>
              </w:rPr>
              <w:t>000 kuna</w:t>
            </w:r>
            <w:bookmarkEnd w:id="1927"/>
          </w:p>
        </w:tc>
        <w:tc>
          <w:tcPr>
            <w:tcW w:w="607" w:type="pct"/>
            <w:shd w:val="clear" w:color="auto" w:fill="auto"/>
            <w:vAlign w:val="bottom"/>
          </w:tcPr>
          <w:p w14:paraId="250FCCE0"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bookmarkStart w:id="1928" w:name="_Toc67330829"/>
            <w:r w:rsidRPr="00736C15">
              <w:rPr>
                <w:rFonts w:ascii="Arial" w:eastAsia="Calibri" w:hAnsi="Arial" w:cs="Arial"/>
                <w:b/>
                <w:color w:val="000000"/>
                <w:spacing w:val="-2"/>
                <w:sz w:val="17"/>
                <w:szCs w:val="17"/>
                <w:lang w:val="hr-HR"/>
              </w:rPr>
              <w:t>000 kuna</w:t>
            </w:r>
            <w:bookmarkEnd w:id="1928"/>
          </w:p>
        </w:tc>
      </w:tr>
      <w:tr w:rsidR="004E2F51" w:rsidRPr="0002282A" w14:paraId="235CF0CC" w14:textId="77777777" w:rsidTr="00E032FC">
        <w:trPr>
          <w:trHeight w:hRule="exact" w:val="255"/>
          <w:jc w:val="center"/>
        </w:trPr>
        <w:tc>
          <w:tcPr>
            <w:tcW w:w="3194" w:type="pct"/>
            <w:vAlign w:val="bottom"/>
          </w:tcPr>
          <w:p w14:paraId="514DCEE6"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bookmarkStart w:id="1929" w:name="_Toc67330830"/>
            <w:r w:rsidRPr="00736C15">
              <w:rPr>
                <w:rFonts w:ascii="Arial" w:eastAsia="Calibri" w:hAnsi="Arial" w:cs="Arial"/>
                <w:b/>
                <w:color w:val="000000"/>
                <w:sz w:val="17"/>
                <w:szCs w:val="17"/>
                <w:lang w:val="hr-HR"/>
              </w:rPr>
              <w:t>Financijska imovina po fer vrijednosti kroz dobit ili gubitak:</w:t>
            </w:r>
            <w:bookmarkEnd w:id="1929"/>
          </w:p>
        </w:tc>
        <w:tc>
          <w:tcPr>
            <w:tcW w:w="555" w:type="pct"/>
            <w:vAlign w:val="bottom"/>
          </w:tcPr>
          <w:p w14:paraId="3107363B"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p>
        </w:tc>
        <w:tc>
          <w:tcPr>
            <w:tcW w:w="644" w:type="pct"/>
            <w:vAlign w:val="bottom"/>
          </w:tcPr>
          <w:p w14:paraId="7CB845C1"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p>
        </w:tc>
        <w:tc>
          <w:tcPr>
            <w:tcW w:w="607" w:type="pct"/>
            <w:vAlign w:val="bottom"/>
          </w:tcPr>
          <w:p w14:paraId="4458F287"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p>
        </w:tc>
      </w:tr>
      <w:tr w:rsidR="004E2F51" w:rsidRPr="0002282A" w14:paraId="5A24C1E5" w14:textId="77777777" w:rsidTr="00E032FC">
        <w:trPr>
          <w:trHeight w:hRule="exact" w:val="255"/>
          <w:jc w:val="center"/>
        </w:trPr>
        <w:tc>
          <w:tcPr>
            <w:tcW w:w="3194" w:type="pct"/>
            <w:vAlign w:val="bottom"/>
          </w:tcPr>
          <w:p w14:paraId="3F8E8E16" w14:textId="77777777" w:rsidR="004E2F51" w:rsidRPr="00736C15" w:rsidRDefault="004E2F51" w:rsidP="00E032FC">
            <w:pPr>
              <w:tabs>
                <w:tab w:val="right" w:pos="1202"/>
              </w:tabs>
              <w:outlineLvl w:val="0"/>
              <w:rPr>
                <w:rFonts w:ascii="Arial" w:eastAsia="Calibri" w:hAnsi="Arial" w:cs="Arial"/>
                <w:b/>
                <w:i/>
                <w:color w:val="000000"/>
                <w:sz w:val="17"/>
                <w:szCs w:val="17"/>
                <w:lang w:val="hr-HR"/>
              </w:rPr>
            </w:pPr>
            <w:bookmarkStart w:id="1930" w:name="_Toc67330831"/>
            <w:r w:rsidRPr="00736C15">
              <w:rPr>
                <w:rFonts w:ascii="Arial" w:eastAsia="Calibri" w:hAnsi="Arial" w:cs="Arial"/>
                <w:b/>
                <w:i/>
                <w:color w:val="000000"/>
                <w:sz w:val="17"/>
                <w:szCs w:val="17"/>
                <w:lang w:val="hr-HR"/>
              </w:rPr>
              <w:t>Krediti po fer vrijednosti kroz dobit ili gubitak:</w:t>
            </w:r>
            <w:bookmarkEnd w:id="1930"/>
          </w:p>
        </w:tc>
        <w:tc>
          <w:tcPr>
            <w:tcW w:w="555" w:type="pct"/>
            <w:tcBorders>
              <w:top w:val="nil"/>
              <w:left w:val="nil"/>
              <w:right w:val="nil"/>
            </w:tcBorders>
            <w:shd w:val="clear" w:color="auto" w:fill="auto"/>
            <w:vAlign w:val="bottom"/>
          </w:tcPr>
          <w:p w14:paraId="5AEDC2E0"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6E59DFE4"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08EF29D7"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r>
      <w:tr w:rsidR="004E2F51" w:rsidRPr="00736C15" w14:paraId="0699414A" w14:textId="77777777" w:rsidTr="00E032FC">
        <w:trPr>
          <w:trHeight w:val="251"/>
          <w:jc w:val="center"/>
        </w:trPr>
        <w:tc>
          <w:tcPr>
            <w:tcW w:w="3194" w:type="pct"/>
            <w:vAlign w:val="bottom"/>
          </w:tcPr>
          <w:p w14:paraId="4F2F4F26" w14:textId="77777777" w:rsidR="004E2F51" w:rsidRPr="00736C15" w:rsidRDefault="004E2F51" w:rsidP="00E032FC">
            <w:pPr>
              <w:tabs>
                <w:tab w:val="right" w:pos="1202"/>
              </w:tabs>
              <w:outlineLvl w:val="0"/>
              <w:rPr>
                <w:rFonts w:ascii="Arial" w:eastAsia="Calibri" w:hAnsi="Arial" w:cs="Arial"/>
                <w:color w:val="000000"/>
                <w:sz w:val="17"/>
                <w:szCs w:val="17"/>
                <w:lang w:val="hr-HR"/>
              </w:rPr>
            </w:pPr>
            <w:bookmarkStart w:id="1931" w:name="_Toc67330832"/>
            <w:r w:rsidRPr="00736C15">
              <w:rPr>
                <w:rFonts w:ascii="Arial" w:eastAsia="Calibri" w:hAnsi="Arial" w:cs="Arial"/>
                <w:color w:val="000000"/>
                <w:sz w:val="17"/>
                <w:szCs w:val="17"/>
                <w:lang w:val="hr-HR"/>
              </w:rPr>
              <w:t>Mezzanine krediti</w:t>
            </w:r>
            <w:bookmarkEnd w:id="1931"/>
          </w:p>
        </w:tc>
        <w:tc>
          <w:tcPr>
            <w:tcW w:w="555" w:type="pct"/>
            <w:tcBorders>
              <w:top w:val="nil"/>
              <w:left w:val="nil"/>
              <w:right w:val="nil"/>
            </w:tcBorders>
            <w:shd w:val="clear" w:color="auto" w:fill="auto"/>
            <w:vAlign w:val="bottom"/>
          </w:tcPr>
          <w:p w14:paraId="64FC404A"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shd w:val="clear" w:color="auto" w:fill="auto"/>
            <w:vAlign w:val="bottom"/>
          </w:tcPr>
          <w:p w14:paraId="3C3B4EC5"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right w:val="nil"/>
            </w:tcBorders>
            <w:shd w:val="clear" w:color="auto" w:fill="auto"/>
            <w:vAlign w:val="bottom"/>
          </w:tcPr>
          <w:p w14:paraId="4A49A705"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586B14">
              <w:rPr>
                <w:rFonts w:ascii="Arial" w:eastAsia="Calibri" w:hAnsi="Arial" w:cs="Arial"/>
                <w:color w:val="000000"/>
                <w:sz w:val="17"/>
                <w:szCs w:val="17"/>
                <w:lang w:val="hr-HR"/>
              </w:rPr>
              <w:t>22.831</w:t>
            </w:r>
          </w:p>
        </w:tc>
      </w:tr>
      <w:tr w:rsidR="004E2F51" w:rsidRPr="00736C15" w14:paraId="1FE221C0" w14:textId="77777777" w:rsidTr="00E032FC">
        <w:trPr>
          <w:trHeight w:hRule="exact" w:val="251"/>
          <w:jc w:val="center"/>
        </w:trPr>
        <w:tc>
          <w:tcPr>
            <w:tcW w:w="3194" w:type="pct"/>
            <w:vAlign w:val="bottom"/>
          </w:tcPr>
          <w:p w14:paraId="406A5886" w14:textId="77777777" w:rsidR="004E2F51" w:rsidRPr="00736C15" w:rsidRDefault="004E2F51" w:rsidP="00E032FC">
            <w:pPr>
              <w:tabs>
                <w:tab w:val="right" w:pos="1202"/>
              </w:tabs>
              <w:outlineLvl w:val="0"/>
              <w:rPr>
                <w:rFonts w:ascii="Arial" w:eastAsia="Calibri" w:hAnsi="Arial" w:cs="Arial"/>
                <w:b/>
                <w:i/>
                <w:color w:val="000000"/>
                <w:sz w:val="17"/>
                <w:szCs w:val="17"/>
                <w:lang w:val="hr-HR"/>
              </w:rPr>
            </w:pPr>
            <w:bookmarkStart w:id="1932" w:name="_Toc67330836"/>
            <w:r w:rsidRPr="00736C15">
              <w:rPr>
                <w:rFonts w:ascii="Arial" w:eastAsia="Calibri" w:hAnsi="Arial" w:cs="Arial"/>
                <w:b/>
                <w:i/>
                <w:color w:val="000000"/>
                <w:sz w:val="17"/>
                <w:szCs w:val="17"/>
                <w:lang w:val="hr-HR"/>
              </w:rPr>
              <w:t>Ulaganja u investicijske fondove:</w:t>
            </w:r>
            <w:bookmarkEnd w:id="1932"/>
          </w:p>
        </w:tc>
        <w:tc>
          <w:tcPr>
            <w:tcW w:w="555" w:type="pct"/>
            <w:tcBorders>
              <w:top w:val="nil"/>
              <w:left w:val="nil"/>
              <w:right w:val="nil"/>
            </w:tcBorders>
            <w:shd w:val="clear" w:color="auto" w:fill="auto"/>
            <w:vAlign w:val="bottom"/>
          </w:tcPr>
          <w:p w14:paraId="4AD2DFB3"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16DCB9C2"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2CCF1840"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r>
      <w:tr w:rsidR="004E2F51" w:rsidRPr="00736C15" w14:paraId="05654678" w14:textId="77777777" w:rsidTr="00E032FC">
        <w:trPr>
          <w:trHeight w:hRule="exact" w:val="227"/>
          <w:jc w:val="center"/>
        </w:trPr>
        <w:tc>
          <w:tcPr>
            <w:tcW w:w="3194" w:type="pct"/>
            <w:vAlign w:val="bottom"/>
          </w:tcPr>
          <w:p w14:paraId="413575B4"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bookmarkStart w:id="1933" w:name="_Toc67330837"/>
            <w:r w:rsidRPr="00736C15">
              <w:rPr>
                <w:rFonts w:ascii="Arial" w:eastAsia="Calibri" w:hAnsi="Arial" w:cs="Arial"/>
                <w:color w:val="000000"/>
                <w:spacing w:val="-2"/>
                <w:sz w:val="17"/>
                <w:szCs w:val="17"/>
                <w:lang w:val="hr-HR"/>
              </w:rPr>
              <w:t>Udjeli u investicijskim fondovima po fer vrijednosti kroz dobit ili gubitak</w:t>
            </w:r>
            <w:bookmarkEnd w:id="1933"/>
          </w:p>
        </w:tc>
        <w:tc>
          <w:tcPr>
            <w:tcW w:w="555" w:type="pct"/>
            <w:tcBorders>
              <w:top w:val="nil"/>
              <w:left w:val="nil"/>
              <w:right w:val="nil"/>
            </w:tcBorders>
            <w:shd w:val="clear" w:color="auto" w:fill="auto"/>
            <w:vAlign w:val="bottom"/>
          </w:tcPr>
          <w:p w14:paraId="3AF141A6"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sidRPr="00586B14">
              <w:rPr>
                <w:rFonts w:ascii="Arial" w:eastAsia="Calibri" w:hAnsi="Arial" w:cs="Arial"/>
                <w:color w:val="000000"/>
                <w:spacing w:val="-2"/>
                <w:sz w:val="17"/>
                <w:szCs w:val="17"/>
                <w:lang w:val="hr-HR"/>
              </w:rPr>
              <w:t>107.303</w:t>
            </w:r>
          </w:p>
        </w:tc>
        <w:tc>
          <w:tcPr>
            <w:tcW w:w="644" w:type="pct"/>
            <w:tcBorders>
              <w:top w:val="nil"/>
              <w:left w:val="nil"/>
              <w:right w:val="nil"/>
            </w:tcBorders>
            <w:shd w:val="clear" w:color="auto" w:fill="auto"/>
            <w:vAlign w:val="bottom"/>
          </w:tcPr>
          <w:p w14:paraId="54704D2D"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607" w:type="pct"/>
            <w:tcBorders>
              <w:top w:val="nil"/>
              <w:left w:val="nil"/>
              <w:right w:val="nil"/>
            </w:tcBorders>
            <w:shd w:val="clear" w:color="auto" w:fill="auto"/>
            <w:vAlign w:val="bottom"/>
          </w:tcPr>
          <w:p w14:paraId="734DA950"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4E2F51" w:rsidRPr="00736C15" w14:paraId="7266E7AA" w14:textId="77777777" w:rsidTr="00E032FC">
        <w:trPr>
          <w:trHeight w:val="192"/>
          <w:jc w:val="center"/>
        </w:trPr>
        <w:tc>
          <w:tcPr>
            <w:tcW w:w="3194" w:type="pct"/>
            <w:vAlign w:val="bottom"/>
          </w:tcPr>
          <w:p w14:paraId="194D2C5C" w14:textId="77777777" w:rsidR="004E2F51" w:rsidRPr="00736C15" w:rsidRDefault="004E2F51" w:rsidP="00E032FC">
            <w:pPr>
              <w:tabs>
                <w:tab w:val="right" w:pos="1202"/>
              </w:tabs>
              <w:outlineLvl w:val="0"/>
              <w:rPr>
                <w:rFonts w:ascii="Arial" w:eastAsia="Calibri" w:hAnsi="Arial" w:cs="Arial"/>
                <w:color w:val="000000"/>
                <w:sz w:val="17"/>
                <w:szCs w:val="17"/>
                <w:lang w:val="hr-HR"/>
              </w:rPr>
            </w:pPr>
            <w:bookmarkStart w:id="1934" w:name="_Toc67330841"/>
            <w:r w:rsidRPr="00736C15">
              <w:rPr>
                <w:rFonts w:ascii="Arial" w:eastAsia="Calibri" w:hAnsi="Arial" w:cs="Arial"/>
                <w:b/>
                <w:color w:val="000000"/>
                <w:sz w:val="17"/>
                <w:szCs w:val="17"/>
                <w:lang w:val="hr-HR"/>
              </w:rPr>
              <w:t>Vlasnički vrijednosni papiri:</w:t>
            </w:r>
            <w:bookmarkEnd w:id="1934"/>
          </w:p>
        </w:tc>
        <w:tc>
          <w:tcPr>
            <w:tcW w:w="555" w:type="pct"/>
            <w:tcBorders>
              <w:top w:val="nil"/>
              <w:left w:val="nil"/>
              <w:right w:val="nil"/>
            </w:tcBorders>
            <w:shd w:val="clear" w:color="auto" w:fill="auto"/>
            <w:vAlign w:val="bottom"/>
          </w:tcPr>
          <w:p w14:paraId="40AB72D4" w14:textId="77777777" w:rsidR="004E2F51" w:rsidRPr="00736C15" w:rsidRDefault="004E2F51" w:rsidP="00E032FC">
            <w:pPr>
              <w:tabs>
                <w:tab w:val="right" w:pos="1202"/>
              </w:tabs>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0C610BB5" w14:textId="77777777" w:rsidR="004E2F51" w:rsidRPr="00736C15" w:rsidRDefault="004E2F51" w:rsidP="00E032FC">
            <w:pPr>
              <w:tabs>
                <w:tab w:val="right" w:pos="1202"/>
              </w:tabs>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020AC652" w14:textId="77777777" w:rsidR="004E2F51" w:rsidRPr="00736C15" w:rsidRDefault="004E2F51" w:rsidP="00E032FC">
            <w:pPr>
              <w:tabs>
                <w:tab w:val="right" w:pos="1202"/>
              </w:tabs>
              <w:outlineLvl w:val="0"/>
              <w:rPr>
                <w:rFonts w:ascii="Arial" w:eastAsia="Calibri" w:hAnsi="Arial" w:cs="Arial"/>
                <w:color w:val="000000"/>
                <w:sz w:val="17"/>
                <w:szCs w:val="17"/>
                <w:lang w:val="hr-HR"/>
              </w:rPr>
            </w:pPr>
          </w:p>
        </w:tc>
      </w:tr>
      <w:tr w:rsidR="004E2F51" w:rsidRPr="00736C15" w14:paraId="5A8C0FCA" w14:textId="77777777" w:rsidTr="00E032FC">
        <w:trPr>
          <w:trHeight w:val="192"/>
          <w:jc w:val="center"/>
        </w:trPr>
        <w:tc>
          <w:tcPr>
            <w:tcW w:w="3194" w:type="pct"/>
            <w:vAlign w:val="bottom"/>
          </w:tcPr>
          <w:p w14:paraId="70D26795" w14:textId="77777777" w:rsidR="004E2F51" w:rsidRPr="00736C15" w:rsidRDefault="004E2F51" w:rsidP="00E032FC">
            <w:pPr>
              <w:tabs>
                <w:tab w:val="right" w:pos="1202"/>
              </w:tabs>
              <w:outlineLvl w:val="0"/>
              <w:rPr>
                <w:rFonts w:ascii="Arial" w:eastAsia="Calibri" w:hAnsi="Arial" w:cs="Arial"/>
                <w:color w:val="000000"/>
                <w:sz w:val="17"/>
                <w:szCs w:val="17"/>
                <w:lang w:val="hr-HR"/>
              </w:rPr>
            </w:pPr>
            <w:bookmarkStart w:id="1935" w:name="_Toc67330847"/>
            <w:r w:rsidRPr="00736C15">
              <w:rPr>
                <w:rFonts w:ascii="Arial" w:eastAsia="Calibri" w:hAnsi="Arial" w:cs="Arial"/>
                <w:b/>
                <w:i/>
                <w:color w:val="000000"/>
                <w:spacing w:val="-2"/>
                <w:sz w:val="17"/>
                <w:szCs w:val="17"/>
                <w:lang w:val="hr-HR"/>
              </w:rPr>
              <w:t>Vlasnički vrijednosni papiri koji ne kotiraju:</w:t>
            </w:r>
            <w:bookmarkEnd w:id="1935"/>
          </w:p>
        </w:tc>
        <w:tc>
          <w:tcPr>
            <w:tcW w:w="555" w:type="pct"/>
            <w:tcBorders>
              <w:left w:val="nil"/>
              <w:right w:val="nil"/>
            </w:tcBorders>
            <w:shd w:val="clear" w:color="auto" w:fill="auto"/>
            <w:vAlign w:val="bottom"/>
          </w:tcPr>
          <w:p w14:paraId="52DCB597"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782F426F"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4814A1B2"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r>
      <w:tr w:rsidR="004E2F51" w:rsidRPr="00736C15" w14:paraId="07BECC17" w14:textId="77777777" w:rsidTr="00E032FC">
        <w:trPr>
          <w:trHeight w:hRule="exact" w:val="227"/>
          <w:jc w:val="center"/>
        </w:trPr>
        <w:tc>
          <w:tcPr>
            <w:tcW w:w="3194" w:type="pct"/>
            <w:vAlign w:val="bottom"/>
          </w:tcPr>
          <w:p w14:paraId="4A46A853"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bookmarkStart w:id="1936" w:name="_Toc67330848"/>
            <w:r w:rsidRPr="00736C15">
              <w:rPr>
                <w:rFonts w:ascii="Arial" w:eastAsia="Calibri" w:hAnsi="Arial" w:cs="Arial"/>
                <w:color w:val="000000"/>
                <w:spacing w:val="-2"/>
                <w:sz w:val="17"/>
                <w:szCs w:val="17"/>
                <w:lang w:val="hr-HR"/>
              </w:rPr>
              <w:t>Dionice trgovačkih društava</w:t>
            </w:r>
            <w:bookmarkEnd w:id="1936"/>
          </w:p>
        </w:tc>
        <w:tc>
          <w:tcPr>
            <w:tcW w:w="555" w:type="pct"/>
            <w:tcBorders>
              <w:left w:val="nil"/>
              <w:right w:val="nil"/>
            </w:tcBorders>
            <w:shd w:val="clear" w:color="auto" w:fill="auto"/>
            <w:vAlign w:val="bottom"/>
          </w:tcPr>
          <w:p w14:paraId="13B4603B"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shd w:val="clear" w:color="auto" w:fill="auto"/>
            <w:vAlign w:val="bottom"/>
          </w:tcPr>
          <w:p w14:paraId="09DC7661"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right w:val="nil"/>
            </w:tcBorders>
            <w:shd w:val="clear" w:color="auto" w:fill="auto"/>
            <w:vAlign w:val="bottom"/>
          </w:tcPr>
          <w:p w14:paraId="69B60A87"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586B14">
              <w:rPr>
                <w:rFonts w:ascii="Arial" w:eastAsia="Calibri" w:hAnsi="Arial" w:cs="Arial"/>
                <w:color w:val="000000"/>
                <w:sz w:val="17"/>
                <w:szCs w:val="17"/>
                <w:lang w:val="hr-HR"/>
              </w:rPr>
              <w:t>31</w:t>
            </w:r>
          </w:p>
        </w:tc>
      </w:tr>
      <w:tr w:rsidR="004E2F51" w:rsidRPr="00736C15" w14:paraId="4FE412B3" w14:textId="77777777" w:rsidTr="00E032FC">
        <w:trPr>
          <w:trHeight w:hRule="exact" w:val="227"/>
          <w:jc w:val="center"/>
        </w:trPr>
        <w:tc>
          <w:tcPr>
            <w:tcW w:w="3194" w:type="pct"/>
            <w:vAlign w:val="bottom"/>
          </w:tcPr>
          <w:p w14:paraId="3DA8492D"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bookmarkStart w:id="1937" w:name="_Toc67330852"/>
            <w:r w:rsidRPr="00736C15">
              <w:rPr>
                <w:rFonts w:ascii="Arial" w:eastAsia="Calibri" w:hAnsi="Arial" w:cs="Arial"/>
                <w:color w:val="000000"/>
                <w:spacing w:val="-2"/>
                <w:sz w:val="17"/>
                <w:szCs w:val="17"/>
                <w:lang w:val="hr-HR"/>
              </w:rPr>
              <w:t>Depozitarne potvrde - DR</w:t>
            </w:r>
            <w:bookmarkEnd w:id="1937"/>
          </w:p>
        </w:tc>
        <w:tc>
          <w:tcPr>
            <w:tcW w:w="555" w:type="pct"/>
            <w:tcBorders>
              <w:left w:val="nil"/>
              <w:right w:val="nil"/>
            </w:tcBorders>
            <w:shd w:val="clear" w:color="auto" w:fill="auto"/>
            <w:vAlign w:val="bottom"/>
          </w:tcPr>
          <w:p w14:paraId="7C0C0D60"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right w:val="nil"/>
            </w:tcBorders>
            <w:shd w:val="clear" w:color="auto" w:fill="auto"/>
            <w:vAlign w:val="bottom"/>
          </w:tcPr>
          <w:p w14:paraId="756A0765"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right w:val="nil"/>
            </w:tcBorders>
            <w:shd w:val="clear" w:color="auto" w:fill="auto"/>
            <w:vAlign w:val="bottom"/>
          </w:tcPr>
          <w:p w14:paraId="7FAAA0B4"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319</w:t>
            </w:r>
          </w:p>
        </w:tc>
      </w:tr>
      <w:tr w:rsidR="004E2F51" w:rsidRPr="0002282A" w14:paraId="3210E67B" w14:textId="77777777" w:rsidTr="00E032FC">
        <w:trPr>
          <w:trHeight w:hRule="exact" w:val="227"/>
          <w:jc w:val="center"/>
        </w:trPr>
        <w:tc>
          <w:tcPr>
            <w:tcW w:w="3194" w:type="pct"/>
            <w:shd w:val="clear" w:color="auto" w:fill="auto"/>
            <w:vAlign w:val="bottom"/>
          </w:tcPr>
          <w:p w14:paraId="7BAE39DC"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
                <w:color w:val="000000"/>
                <w:sz w:val="17"/>
                <w:szCs w:val="17"/>
                <w:lang w:val="hr-HR"/>
              </w:rPr>
              <w:t>Derivativna financijska imovina – pozitivna fer vrijednost</w:t>
            </w:r>
          </w:p>
        </w:tc>
        <w:tc>
          <w:tcPr>
            <w:tcW w:w="555" w:type="pct"/>
            <w:tcBorders>
              <w:left w:val="nil"/>
              <w:right w:val="nil"/>
            </w:tcBorders>
            <w:shd w:val="clear" w:color="auto" w:fill="auto"/>
            <w:vAlign w:val="bottom"/>
          </w:tcPr>
          <w:p w14:paraId="65EEAF25" w14:textId="77777777" w:rsidR="004E2F51" w:rsidRDefault="004E2F51" w:rsidP="00E032FC">
            <w:pPr>
              <w:tabs>
                <w:tab w:val="right" w:pos="1202"/>
              </w:tabs>
              <w:jc w:val="right"/>
              <w:outlineLvl w:val="0"/>
              <w:rPr>
                <w:rFonts w:ascii="Arial" w:eastAsia="Calibri" w:hAnsi="Arial" w:cs="Arial"/>
                <w:color w:val="000000"/>
                <w:sz w:val="17"/>
                <w:szCs w:val="17"/>
                <w:lang w:val="hr-HR"/>
              </w:rPr>
            </w:pPr>
          </w:p>
        </w:tc>
        <w:tc>
          <w:tcPr>
            <w:tcW w:w="644" w:type="pct"/>
            <w:tcBorders>
              <w:top w:val="nil"/>
              <w:left w:val="nil"/>
              <w:right w:val="nil"/>
            </w:tcBorders>
            <w:shd w:val="clear" w:color="auto" w:fill="auto"/>
            <w:vAlign w:val="bottom"/>
          </w:tcPr>
          <w:p w14:paraId="10C212F5" w14:textId="77777777" w:rsidR="004E2F51" w:rsidRDefault="004E2F51" w:rsidP="00E032FC">
            <w:pPr>
              <w:tabs>
                <w:tab w:val="right" w:pos="1202"/>
              </w:tabs>
              <w:jc w:val="right"/>
              <w:outlineLvl w:val="0"/>
              <w:rPr>
                <w:rFonts w:ascii="Arial" w:eastAsia="Calibri" w:hAnsi="Arial" w:cs="Arial"/>
                <w:color w:val="000000"/>
                <w:sz w:val="17"/>
                <w:szCs w:val="17"/>
                <w:lang w:val="hr-HR"/>
              </w:rPr>
            </w:pPr>
          </w:p>
        </w:tc>
        <w:tc>
          <w:tcPr>
            <w:tcW w:w="607" w:type="pct"/>
            <w:tcBorders>
              <w:top w:val="nil"/>
              <w:left w:val="nil"/>
              <w:right w:val="nil"/>
            </w:tcBorders>
            <w:shd w:val="clear" w:color="auto" w:fill="auto"/>
            <w:vAlign w:val="bottom"/>
          </w:tcPr>
          <w:p w14:paraId="005E05CB" w14:textId="77777777" w:rsidR="004E2F51" w:rsidRDefault="004E2F51" w:rsidP="00E032FC">
            <w:pPr>
              <w:tabs>
                <w:tab w:val="right" w:pos="1202"/>
              </w:tabs>
              <w:jc w:val="right"/>
              <w:outlineLvl w:val="0"/>
              <w:rPr>
                <w:rFonts w:ascii="Arial" w:eastAsia="Calibri" w:hAnsi="Arial" w:cs="Arial"/>
                <w:color w:val="000000"/>
                <w:sz w:val="17"/>
                <w:szCs w:val="17"/>
                <w:lang w:val="hr-HR"/>
              </w:rPr>
            </w:pPr>
          </w:p>
        </w:tc>
      </w:tr>
      <w:tr w:rsidR="004E2F51" w:rsidRPr="00736C15" w14:paraId="1C86229D" w14:textId="77777777" w:rsidTr="00E032FC">
        <w:trPr>
          <w:trHeight w:hRule="exact" w:val="227"/>
          <w:jc w:val="center"/>
        </w:trPr>
        <w:tc>
          <w:tcPr>
            <w:tcW w:w="3194" w:type="pct"/>
            <w:shd w:val="clear" w:color="auto" w:fill="auto"/>
            <w:vAlign w:val="bottom"/>
          </w:tcPr>
          <w:p w14:paraId="4D66DD31"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Cs/>
                <w:color w:val="000000"/>
                <w:sz w:val="17"/>
                <w:szCs w:val="17"/>
                <w:lang w:val="hr-HR"/>
              </w:rPr>
              <w:t>FX swap</w:t>
            </w:r>
          </w:p>
        </w:tc>
        <w:tc>
          <w:tcPr>
            <w:tcW w:w="555" w:type="pct"/>
            <w:tcBorders>
              <w:left w:val="nil"/>
              <w:right w:val="nil"/>
            </w:tcBorders>
            <w:shd w:val="clear" w:color="auto" w:fill="auto"/>
            <w:vAlign w:val="bottom"/>
          </w:tcPr>
          <w:p w14:paraId="7E408739" w14:textId="77777777" w:rsidR="004E2F51" w:rsidRDefault="004E2F51" w:rsidP="00E032FC">
            <w:pPr>
              <w:tabs>
                <w:tab w:val="right" w:pos="1202"/>
              </w:tabs>
              <w:jc w:val="right"/>
              <w:outlineLvl w:val="0"/>
              <w:rPr>
                <w:rFonts w:ascii="Arial" w:eastAsia="Calibri" w:hAnsi="Arial" w:cs="Arial"/>
                <w:color w:val="000000"/>
                <w:sz w:val="17"/>
                <w:szCs w:val="17"/>
                <w:lang w:val="hr-HR"/>
              </w:rPr>
            </w:pPr>
            <w:r w:rsidRPr="006F4749">
              <w:rPr>
                <w:rFonts w:ascii="Arial" w:eastAsia="Calibri" w:hAnsi="Arial" w:cs="Arial"/>
                <w:color w:val="000000"/>
                <w:sz w:val="17"/>
                <w:szCs w:val="17"/>
                <w:lang w:val="hr-HR"/>
              </w:rPr>
              <w:t>-</w:t>
            </w:r>
          </w:p>
        </w:tc>
        <w:tc>
          <w:tcPr>
            <w:tcW w:w="644" w:type="pct"/>
            <w:tcBorders>
              <w:top w:val="nil"/>
              <w:left w:val="nil"/>
              <w:right w:val="nil"/>
            </w:tcBorders>
            <w:shd w:val="clear" w:color="auto" w:fill="auto"/>
            <w:vAlign w:val="bottom"/>
          </w:tcPr>
          <w:p w14:paraId="0C90A187" w14:textId="77777777" w:rsidR="004E2F51" w:rsidRDefault="004E2F51" w:rsidP="00E032FC">
            <w:pPr>
              <w:tabs>
                <w:tab w:val="right" w:pos="1202"/>
              </w:tabs>
              <w:jc w:val="right"/>
              <w:outlineLvl w:val="0"/>
              <w:rPr>
                <w:rFonts w:ascii="Arial" w:eastAsia="Calibri" w:hAnsi="Arial" w:cs="Arial"/>
                <w:color w:val="000000"/>
                <w:sz w:val="17"/>
                <w:szCs w:val="17"/>
                <w:lang w:val="hr-HR"/>
              </w:rPr>
            </w:pPr>
            <w:r w:rsidRPr="006F4749">
              <w:rPr>
                <w:rFonts w:ascii="Arial" w:eastAsia="Calibri" w:hAnsi="Arial" w:cs="Arial"/>
                <w:color w:val="000000"/>
                <w:sz w:val="17"/>
                <w:szCs w:val="17"/>
                <w:lang w:val="hr-HR"/>
              </w:rPr>
              <w:t>1.039</w:t>
            </w:r>
          </w:p>
        </w:tc>
        <w:tc>
          <w:tcPr>
            <w:tcW w:w="607" w:type="pct"/>
            <w:tcBorders>
              <w:top w:val="nil"/>
              <w:left w:val="nil"/>
              <w:right w:val="nil"/>
            </w:tcBorders>
            <w:shd w:val="clear" w:color="auto" w:fill="auto"/>
            <w:vAlign w:val="bottom"/>
          </w:tcPr>
          <w:p w14:paraId="2391696C" w14:textId="77777777" w:rsidR="004E2F51" w:rsidRDefault="004E2F51" w:rsidP="00E032FC">
            <w:pPr>
              <w:tabs>
                <w:tab w:val="right" w:pos="1202"/>
              </w:tabs>
              <w:jc w:val="right"/>
              <w:outlineLvl w:val="0"/>
              <w:rPr>
                <w:rFonts w:ascii="Arial" w:eastAsia="Calibri" w:hAnsi="Arial" w:cs="Arial"/>
                <w:color w:val="000000"/>
                <w:sz w:val="17"/>
                <w:szCs w:val="17"/>
                <w:lang w:val="hr-HR"/>
              </w:rPr>
            </w:pPr>
            <w:r w:rsidRPr="006F4749">
              <w:rPr>
                <w:rFonts w:ascii="Arial" w:eastAsia="Calibri" w:hAnsi="Arial" w:cs="Arial"/>
                <w:color w:val="000000"/>
                <w:sz w:val="17"/>
                <w:szCs w:val="17"/>
                <w:lang w:val="hr-HR"/>
              </w:rPr>
              <w:t>-</w:t>
            </w:r>
          </w:p>
        </w:tc>
      </w:tr>
      <w:tr w:rsidR="004E2F51" w:rsidRPr="00736C15" w14:paraId="2E3693E9" w14:textId="77777777" w:rsidTr="00E032FC">
        <w:trPr>
          <w:trHeight w:hRule="exact" w:val="255"/>
          <w:jc w:val="center"/>
        </w:trPr>
        <w:tc>
          <w:tcPr>
            <w:tcW w:w="3194" w:type="pct"/>
            <w:vAlign w:val="bottom"/>
          </w:tcPr>
          <w:p w14:paraId="60EA945C" w14:textId="77777777" w:rsidR="004E2F51" w:rsidRPr="00736C15" w:rsidRDefault="004E2F51" w:rsidP="00E032FC">
            <w:pPr>
              <w:tabs>
                <w:tab w:val="right" w:pos="1202"/>
              </w:tabs>
              <w:outlineLvl w:val="0"/>
              <w:rPr>
                <w:rFonts w:ascii="Arial" w:eastAsia="Calibri" w:hAnsi="Arial" w:cs="Arial"/>
                <w:color w:val="000000"/>
                <w:sz w:val="17"/>
                <w:szCs w:val="17"/>
                <w:lang w:val="hr-HR"/>
              </w:rPr>
            </w:pPr>
            <w:bookmarkStart w:id="1938" w:name="_Toc67330865"/>
            <w:r w:rsidRPr="00736C15">
              <w:rPr>
                <w:rFonts w:ascii="Arial" w:eastAsia="Calibri" w:hAnsi="Arial" w:cs="Arial"/>
                <w:b/>
                <w:color w:val="000000"/>
                <w:sz w:val="17"/>
                <w:szCs w:val="17"/>
                <w:lang w:val="hr-HR"/>
              </w:rPr>
              <w:t>Ukupno financijska imovina po fer vrijednosti kroz dobit ili gubitak</w:t>
            </w:r>
            <w:bookmarkEnd w:id="1938"/>
          </w:p>
        </w:tc>
        <w:tc>
          <w:tcPr>
            <w:tcW w:w="555" w:type="pct"/>
            <w:tcBorders>
              <w:top w:val="single" w:sz="4" w:space="0" w:color="auto"/>
              <w:left w:val="nil"/>
              <w:bottom w:val="single" w:sz="12" w:space="0" w:color="auto"/>
              <w:right w:val="nil"/>
            </w:tcBorders>
            <w:shd w:val="clear" w:color="auto" w:fill="auto"/>
            <w:vAlign w:val="bottom"/>
          </w:tcPr>
          <w:p w14:paraId="224A7786" w14:textId="77777777" w:rsidR="004E2F51" w:rsidRPr="00736C15" w:rsidRDefault="004E2F51" w:rsidP="00E032FC">
            <w:pPr>
              <w:tabs>
                <w:tab w:val="right" w:pos="1202"/>
              </w:tabs>
              <w:jc w:val="right"/>
              <w:outlineLvl w:val="0"/>
              <w:rPr>
                <w:rFonts w:ascii="Arial" w:eastAsia="Calibri" w:hAnsi="Arial" w:cs="Arial"/>
                <w:b/>
                <w:color w:val="000000"/>
                <w:sz w:val="17"/>
                <w:szCs w:val="17"/>
                <w:lang w:val="hr-HR"/>
              </w:rPr>
            </w:pPr>
            <w:r w:rsidRPr="00586B14">
              <w:rPr>
                <w:rFonts w:ascii="Arial" w:eastAsia="Calibri" w:hAnsi="Arial" w:cs="Arial"/>
                <w:b/>
                <w:color w:val="000000"/>
                <w:sz w:val="17"/>
                <w:szCs w:val="17"/>
                <w:lang w:val="hr-HR"/>
              </w:rPr>
              <w:t>107.303</w:t>
            </w:r>
          </w:p>
        </w:tc>
        <w:tc>
          <w:tcPr>
            <w:tcW w:w="644" w:type="pct"/>
            <w:tcBorders>
              <w:top w:val="single" w:sz="4" w:space="0" w:color="auto"/>
              <w:left w:val="nil"/>
              <w:bottom w:val="single" w:sz="12" w:space="0" w:color="auto"/>
              <w:right w:val="nil"/>
            </w:tcBorders>
            <w:shd w:val="clear" w:color="auto" w:fill="auto"/>
            <w:vAlign w:val="bottom"/>
          </w:tcPr>
          <w:p w14:paraId="1DD80AF3" w14:textId="77777777" w:rsidR="004E2F51" w:rsidRPr="00736C15" w:rsidRDefault="004E2F51" w:rsidP="00E032FC">
            <w:pPr>
              <w:tabs>
                <w:tab w:val="right" w:pos="1202"/>
              </w:tabs>
              <w:jc w:val="right"/>
              <w:outlineLvl w:val="0"/>
              <w:rPr>
                <w:rFonts w:ascii="Arial" w:eastAsia="Calibri" w:hAnsi="Arial" w:cs="Arial"/>
                <w:b/>
                <w:color w:val="000000"/>
                <w:sz w:val="17"/>
                <w:szCs w:val="17"/>
                <w:lang w:val="hr-HR"/>
              </w:rPr>
            </w:pPr>
            <w:r w:rsidRPr="006F4749">
              <w:rPr>
                <w:rFonts w:ascii="Arial" w:eastAsia="Calibri" w:hAnsi="Arial" w:cs="Arial"/>
                <w:b/>
                <w:color w:val="000000"/>
                <w:sz w:val="17"/>
                <w:szCs w:val="17"/>
                <w:lang w:val="hr-HR"/>
              </w:rPr>
              <w:t>1.039</w:t>
            </w:r>
          </w:p>
        </w:tc>
        <w:tc>
          <w:tcPr>
            <w:tcW w:w="607" w:type="pct"/>
            <w:tcBorders>
              <w:top w:val="single" w:sz="4" w:space="0" w:color="auto"/>
              <w:left w:val="nil"/>
              <w:bottom w:val="single" w:sz="12" w:space="0" w:color="auto"/>
              <w:right w:val="nil"/>
            </w:tcBorders>
            <w:shd w:val="clear" w:color="auto" w:fill="auto"/>
            <w:vAlign w:val="bottom"/>
          </w:tcPr>
          <w:p w14:paraId="0428D9C2" w14:textId="77777777" w:rsidR="004E2F51" w:rsidRPr="00736C15" w:rsidRDefault="004E2F51" w:rsidP="00E032FC">
            <w:pPr>
              <w:tabs>
                <w:tab w:val="right" w:pos="1202"/>
              </w:tabs>
              <w:jc w:val="right"/>
              <w:outlineLvl w:val="0"/>
              <w:rPr>
                <w:rFonts w:ascii="Arial" w:eastAsia="Calibri" w:hAnsi="Arial" w:cs="Arial"/>
                <w:b/>
                <w:color w:val="000000"/>
                <w:sz w:val="17"/>
                <w:szCs w:val="17"/>
                <w:lang w:val="hr-HR"/>
              </w:rPr>
            </w:pPr>
            <w:r w:rsidRPr="00586B14">
              <w:rPr>
                <w:rFonts w:ascii="Arial" w:eastAsia="Calibri" w:hAnsi="Arial" w:cs="Arial"/>
                <w:b/>
                <w:color w:val="000000"/>
                <w:sz w:val="17"/>
                <w:szCs w:val="17"/>
                <w:lang w:val="hr-HR"/>
              </w:rPr>
              <w:t>23.181</w:t>
            </w:r>
          </w:p>
        </w:tc>
      </w:tr>
      <w:tr w:rsidR="004E2F51" w:rsidRPr="00736C15" w14:paraId="5E467194" w14:textId="77777777" w:rsidTr="00E032FC">
        <w:trPr>
          <w:trHeight w:hRule="exact" w:val="255"/>
          <w:jc w:val="center"/>
        </w:trPr>
        <w:tc>
          <w:tcPr>
            <w:tcW w:w="3194" w:type="pct"/>
            <w:shd w:val="clear" w:color="auto" w:fill="auto"/>
            <w:vAlign w:val="bottom"/>
          </w:tcPr>
          <w:p w14:paraId="7ED52077" w14:textId="77777777" w:rsidR="004E2F51" w:rsidRPr="00736C15" w:rsidRDefault="004E2F51" w:rsidP="00E032FC">
            <w:pPr>
              <w:tabs>
                <w:tab w:val="right" w:pos="1202"/>
              </w:tabs>
              <w:outlineLvl w:val="0"/>
              <w:rPr>
                <w:rFonts w:ascii="Arial" w:eastAsia="Calibri" w:hAnsi="Arial" w:cs="Arial"/>
                <w:b/>
                <w:color w:val="000000"/>
                <w:spacing w:val="-2"/>
                <w:sz w:val="17"/>
                <w:szCs w:val="17"/>
                <w:lang w:val="hr-HR"/>
              </w:rPr>
            </w:pPr>
            <w:bookmarkStart w:id="1939" w:name="_Toc67330869"/>
            <w:r w:rsidRPr="00736C15">
              <w:rPr>
                <w:rFonts w:ascii="Arial" w:eastAsia="Calibri" w:hAnsi="Arial" w:cs="Arial"/>
                <w:b/>
                <w:color w:val="000000"/>
                <w:spacing w:val="-2"/>
                <w:sz w:val="17"/>
                <w:szCs w:val="17"/>
                <w:lang w:val="hr-HR"/>
              </w:rPr>
              <w:t>Financijska imovina po fer vrijednosti kroz ostalu sveobuhvatnu dobit:</w:t>
            </w:r>
            <w:bookmarkEnd w:id="1939"/>
          </w:p>
        </w:tc>
        <w:tc>
          <w:tcPr>
            <w:tcW w:w="555" w:type="pct"/>
            <w:vAlign w:val="bottom"/>
          </w:tcPr>
          <w:p w14:paraId="514B78BB"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44" w:type="pct"/>
            <w:vAlign w:val="bottom"/>
          </w:tcPr>
          <w:p w14:paraId="57636F61"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07" w:type="pct"/>
            <w:vAlign w:val="bottom"/>
          </w:tcPr>
          <w:p w14:paraId="1CB4C717"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79338A43" w14:textId="77777777" w:rsidTr="00E032FC">
        <w:trPr>
          <w:trHeight w:hRule="exact" w:val="255"/>
          <w:jc w:val="center"/>
        </w:trPr>
        <w:tc>
          <w:tcPr>
            <w:tcW w:w="3194" w:type="pct"/>
            <w:shd w:val="clear" w:color="auto" w:fill="auto"/>
            <w:vAlign w:val="bottom"/>
          </w:tcPr>
          <w:p w14:paraId="4F802BC2" w14:textId="77777777" w:rsidR="004E2F51" w:rsidRPr="00736C15" w:rsidRDefault="004E2F51" w:rsidP="00E032FC">
            <w:pPr>
              <w:tabs>
                <w:tab w:val="right" w:pos="1202"/>
              </w:tabs>
              <w:outlineLvl w:val="0"/>
              <w:rPr>
                <w:rFonts w:ascii="Arial" w:eastAsia="Calibri" w:hAnsi="Arial" w:cs="Arial"/>
                <w:b/>
                <w:color w:val="000000"/>
                <w:spacing w:val="-2"/>
                <w:sz w:val="17"/>
                <w:szCs w:val="17"/>
                <w:lang w:val="hr-HR"/>
              </w:rPr>
            </w:pPr>
            <w:bookmarkStart w:id="1940" w:name="_Toc67330870"/>
            <w:r w:rsidRPr="00736C15">
              <w:rPr>
                <w:rFonts w:ascii="Arial" w:eastAsia="Calibri" w:hAnsi="Arial" w:cs="Arial"/>
                <w:b/>
                <w:color w:val="000000"/>
                <w:spacing w:val="-2"/>
                <w:sz w:val="17"/>
                <w:szCs w:val="17"/>
                <w:lang w:val="hr-HR"/>
              </w:rPr>
              <w:t>Dužnički vrijednosni papiri:</w:t>
            </w:r>
            <w:bookmarkEnd w:id="1940"/>
          </w:p>
        </w:tc>
        <w:tc>
          <w:tcPr>
            <w:tcW w:w="555" w:type="pct"/>
            <w:vAlign w:val="bottom"/>
          </w:tcPr>
          <w:p w14:paraId="031B8806"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44" w:type="pct"/>
            <w:vAlign w:val="bottom"/>
          </w:tcPr>
          <w:p w14:paraId="523DF9CA"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07" w:type="pct"/>
            <w:vAlign w:val="bottom"/>
          </w:tcPr>
          <w:p w14:paraId="2EA48949"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075617F3" w14:textId="77777777" w:rsidTr="00E032FC">
        <w:trPr>
          <w:trHeight w:hRule="exact" w:val="255"/>
          <w:jc w:val="center"/>
        </w:trPr>
        <w:tc>
          <w:tcPr>
            <w:tcW w:w="3194" w:type="pct"/>
            <w:shd w:val="clear" w:color="auto" w:fill="auto"/>
            <w:vAlign w:val="bottom"/>
          </w:tcPr>
          <w:p w14:paraId="494C16E3" w14:textId="77777777" w:rsidR="004E2F51" w:rsidRPr="00736C15" w:rsidRDefault="004E2F51" w:rsidP="00E032FC">
            <w:pPr>
              <w:tabs>
                <w:tab w:val="right" w:pos="1202"/>
              </w:tabs>
              <w:outlineLvl w:val="0"/>
              <w:rPr>
                <w:rFonts w:ascii="Arial" w:eastAsia="Calibri" w:hAnsi="Arial" w:cs="Arial"/>
                <w:b/>
                <w:i/>
                <w:color w:val="000000"/>
                <w:spacing w:val="-2"/>
                <w:sz w:val="17"/>
                <w:szCs w:val="17"/>
                <w:lang w:val="hr-HR"/>
              </w:rPr>
            </w:pPr>
            <w:bookmarkStart w:id="1941" w:name="_Toc67330871"/>
            <w:r w:rsidRPr="00736C15">
              <w:rPr>
                <w:rFonts w:ascii="Arial" w:eastAsia="Calibri" w:hAnsi="Arial" w:cs="Arial"/>
                <w:b/>
                <w:i/>
                <w:color w:val="000000"/>
                <w:spacing w:val="-2"/>
                <w:sz w:val="17"/>
                <w:szCs w:val="17"/>
                <w:lang w:val="hr-HR"/>
              </w:rPr>
              <w:t>Dužnički vrijednosni papiri koji kotiraju:</w:t>
            </w:r>
            <w:bookmarkEnd w:id="1941"/>
          </w:p>
        </w:tc>
        <w:tc>
          <w:tcPr>
            <w:tcW w:w="555" w:type="pct"/>
            <w:vAlign w:val="bottom"/>
          </w:tcPr>
          <w:p w14:paraId="0716E7B2"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44" w:type="pct"/>
            <w:vAlign w:val="bottom"/>
          </w:tcPr>
          <w:p w14:paraId="14C35A5A"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07" w:type="pct"/>
            <w:vAlign w:val="bottom"/>
          </w:tcPr>
          <w:p w14:paraId="256DFB80"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2D9392C0" w14:textId="77777777" w:rsidTr="00E032FC">
        <w:trPr>
          <w:trHeight w:hRule="exact" w:val="227"/>
          <w:jc w:val="center"/>
        </w:trPr>
        <w:tc>
          <w:tcPr>
            <w:tcW w:w="3194" w:type="pct"/>
            <w:shd w:val="clear" w:color="auto" w:fill="auto"/>
            <w:vAlign w:val="bottom"/>
          </w:tcPr>
          <w:p w14:paraId="0CE16C78"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bookmarkStart w:id="1942" w:name="_Toc67330872"/>
            <w:r w:rsidRPr="00736C15">
              <w:rPr>
                <w:rFonts w:ascii="Arial" w:eastAsia="Calibri" w:hAnsi="Arial" w:cs="Arial"/>
                <w:color w:val="000000"/>
                <w:spacing w:val="-2"/>
                <w:sz w:val="17"/>
                <w:szCs w:val="17"/>
                <w:lang w:val="hr-HR"/>
              </w:rPr>
              <w:t>Obveznice Republike Hrvatske</w:t>
            </w:r>
            <w:bookmarkEnd w:id="1942"/>
          </w:p>
        </w:tc>
        <w:tc>
          <w:tcPr>
            <w:tcW w:w="555" w:type="pct"/>
            <w:tcBorders>
              <w:top w:val="nil"/>
              <w:left w:val="nil"/>
              <w:bottom w:val="nil"/>
              <w:right w:val="nil"/>
            </w:tcBorders>
            <w:shd w:val="clear" w:color="auto" w:fill="auto"/>
            <w:vAlign w:val="bottom"/>
          </w:tcPr>
          <w:p w14:paraId="3F0AEAFF"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sidRPr="00586B14">
              <w:rPr>
                <w:rFonts w:ascii="Arial" w:eastAsia="Calibri" w:hAnsi="Arial" w:cs="Arial"/>
                <w:color w:val="000000"/>
                <w:spacing w:val="-2"/>
                <w:sz w:val="17"/>
                <w:szCs w:val="17"/>
                <w:lang w:val="hr-HR"/>
              </w:rPr>
              <w:t xml:space="preserve"> 1.333.611 </w:t>
            </w:r>
          </w:p>
        </w:tc>
        <w:tc>
          <w:tcPr>
            <w:tcW w:w="644" w:type="pct"/>
            <w:tcBorders>
              <w:top w:val="nil"/>
              <w:left w:val="nil"/>
              <w:bottom w:val="nil"/>
              <w:right w:val="nil"/>
            </w:tcBorders>
            <w:shd w:val="clear" w:color="auto" w:fill="auto"/>
            <w:vAlign w:val="bottom"/>
          </w:tcPr>
          <w:p w14:paraId="20E60358" w14:textId="77777777" w:rsidR="004E2F51" w:rsidRPr="00586B14" w:rsidRDefault="004E2F51" w:rsidP="00E032FC">
            <w:pPr>
              <w:tabs>
                <w:tab w:val="right" w:pos="1202"/>
              </w:tabs>
              <w:jc w:val="right"/>
              <w:outlineLvl w:val="0"/>
              <w:rPr>
                <w:rFonts w:ascii="Arial" w:eastAsia="Calibri" w:hAnsi="Arial" w:cs="Arial"/>
                <w:color w:val="000000"/>
                <w:spacing w:val="-2"/>
                <w:sz w:val="17"/>
                <w:szCs w:val="17"/>
                <w:lang w:val="hr-HR"/>
              </w:rPr>
            </w:pPr>
            <w:r w:rsidRPr="00586B14">
              <w:rPr>
                <w:rFonts w:ascii="Arial" w:eastAsia="Calibri" w:hAnsi="Arial" w:cs="Arial"/>
                <w:color w:val="000000"/>
                <w:spacing w:val="-2"/>
                <w:sz w:val="17"/>
                <w:szCs w:val="17"/>
                <w:lang w:val="hr-HR"/>
              </w:rPr>
              <w:t xml:space="preserve"> - </w:t>
            </w:r>
          </w:p>
        </w:tc>
        <w:tc>
          <w:tcPr>
            <w:tcW w:w="607" w:type="pct"/>
            <w:tcBorders>
              <w:top w:val="nil"/>
              <w:left w:val="nil"/>
              <w:bottom w:val="nil"/>
              <w:right w:val="nil"/>
            </w:tcBorders>
            <w:shd w:val="clear" w:color="auto" w:fill="auto"/>
            <w:vAlign w:val="bottom"/>
          </w:tcPr>
          <w:p w14:paraId="331AFE1E" w14:textId="77777777" w:rsidR="004E2F51" w:rsidRPr="00586B14" w:rsidRDefault="004E2F51" w:rsidP="00E032FC">
            <w:pPr>
              <w:tabs>
                <w:tab w:val="right" w:pos="1202"/>
              </w:tabs>
              <w:jc w:val="right"/>
              <w:outlineLvl w:val="0"/>
              <w:rPr>
                <w:rFonts w:ascii="Arial" w:eastAsia="Calibri" w:hAnsi="Arial" w:cs="Arial"/>
                <w:color w:val="000000"/>
                <w:spacing w:val="-2"/>
                <w:sz w:val="17"/>
                <w:szCs w:val="17"/>
                <w:lang w:val="hr-HR"/>
              </w:rPr>
            </w:pPr>
            <w:r w:rsidRPr="00586B14">
              <w:rPr>
                <w:rFonts w:ascii="Arial" w:eastAsia="Calibri" w:hAnsi="Arial" w:cs="Arial"/>
                <w:color w:val="000000"/>
                <w:spacing w:val="-2"/>
                <w:sz w:val="17"/>
                <w:szCs w:val="17"/>
                <w:lang w:val="hr-HR"/>
              </w:rPr>
              <w:t xml:space="preserve"> - </w:t>
            </w:r>
          </w:p>
        </w:tc>
      </w:tr>
      <w:tr w:rsidR="004E2F51" w:rsidRPr="00736C15" w14:paraId="1924E4F3" w14:textId="77777777" w:rsidTr="00E032FC">
        <w:trPr>
          <w:trHeight w:hRule="exact" w:val="227"/>
          <w:jc w:val="center"/>
        </w:trPr>
        <w:tc>
          <w:tcPr>
            <w:tcW w:w="3194" w:type="pct"/>
            <w:shd w:val="clear" w:color="auto" w:fill="auto"/>
            <w:vAlign w:val="bottom"/>
          </w:tcPr>
          <w:p w14:paraId="11719F07"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bookmarkStart w:id="1943" w:name="_Toc67330876"/>
            <w:r w:rsidRPr="00736C15">
              <w:rPr>
                <w:rFonts w:ascii="Arial" w:eastAsia="Calibri" w:hAnsi="Arial" w:cs="Arial"/>
                <w:color w:val="000000"/>
                <w:spacing w:val="-2"/>
                <w:sz w:val="17"/>
                <w:szCs w:val="17"/>
                <w:lang w:val="hr-HR"/>
              </w:rPr>
              <w:t>Obveznice trgovačkih društava</w:t>
            </w:r>
            <w:bookmarkEnd w:id="1943"/>
          </w:p>
        </w:tc>
        <w:tc>
          <w:tcPr>
            <w:tcW w:w="555" w:type="pct"/>
            <w:tcBorders>
              <w:top w:val="nil"/>
              <w:left w:val="nil"/>
              <w:bottom w:val="nil"/>
              <w:right w:val="nil"/>
            </w:tcBorders>
            <w:shd w:val="clear" w:color="auto" w:fill="auto"/>
            <w:vAlign w:val="bottom"/>
          </w:tcPr>
          <w:p w14:paraId="4EEE89C3"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sidRPr="00586B14">
              <w:rPr>
                <w:rFonts w:ascii="Arial" w:eastAsia="Calibri" w:hAnsi="Arial" w:cs="Arial"/>
                <w:color w:val="000000"/>
                <w:spacing w:val="-2"/>
                <w:sz w:val="17"/>
                <w:szCs w:val="17"/>
                <w:lang w:val="hr-HR"/>
              </w:rPr>
              <w:t xml:space="preserve"> 2.179 </w:t>
            </w:r>
          </w:p>
        </w:tc>
        <w:tc>
          <w:tcPr>
            <w:tcW w:w="644" w:type="pct"/>
            <w:tcBorders>
              <w:top w:val="nil"/>
              <w:left w:val="nil"/>
              <w:bottom w:val="nil"/>
              <w:right w:val="nil"/>
            </w:tcBorders>
            <w:shd w:val="clear" w:color="auto" w:fill="auto"/>
            <w:vAlign w:val="bottom"/>
          </w:tcPr>
          <w:p w14:paraId="3027DCDA" w14:textId="77777777" w:rsidR="004E2F51" w:rsidRPr="00586B14" w:rsidRDefault="004E2F51" w:rsidP="00E032FC">
            <w:pPr>
              <w:tabs>
                <w:tab w:val="right" w:pos="1202"/>
              </w:tabs>
              <w:jc w:val="right"/>
              <w:outlineLvl w:val="0"/>
              <w:rPr>
                <w:rFonts w:ascii="Arial" w:eastAsia="Calibri" w:hAnsi="Arial" w:cs="Arial"/>
                <w:color w:val="000000"/>
                <w:spacing w:val="-2"/>
                <w:sz w:val="17"/>
                <w:szCs w:val="17"/>
                <w:lang w:val="hr-HR"/>
              </w:rPr>
            </w:pPr>
            <w:r w:rsidRPr="00586B14">
              <w:rPr>
                <w:rFonts w:ascii="Arial" w:eastAsia="Calibri" w:hAnsi="Arial" w:cs="Arial"/>
                <w:color w:val="000000"/>
                <w:spacing w:val="-2"/>
                <w:sz w:val="17"/>
                <w:szCs w:val="17"/>
                <w:lang w:val="hr-HR"/>
              </w:rPr>
              <w:t xml:space="preserve"> - </w:t>
            </w:r>
          </w:p>
        </w:tc>
        <w:tc>
          <w:tcPr>
            <w:tcW w:w="607" w:type="pct"/>
            <w:tcBorders>
              <w:top w:val="nil"/>
              <w:left w:val="nil"/>
              <w:bottom w:val="nil"/>
              <w:right w:val="nil"/>
            </w:tcBorders>
            <w:shd w:val="clear" w:color="auto" w:fill="auto"/>
            <w:vAlign w:val="bottom"/>
          </w:tcPr>
          <w:p w14:paraId="045056F7" w14:textId="77777777" w:rsidR="004E2F51" w:rsidRPr="00586B14" w:rsidRDefault="004E2F51" w:rsidP="00E032FC">
            <w:pPr>
              <w:tabs>
                <w:tab w:val="right" w:pos="1202"/>
              </w:tabs>
              <w:jc w:val="right"/>
              <w:outlineLvl w:val="0"/>
              <w:rPr>
                <w:rFonts w:ascii="Arial" w:eastAsia="Calibri" w:hAnsi="Arial" w:cs="Arial"/>
                <w:color w:val="000000"/>
                <w:spacing w:val="-2"/>
                <w:sz w:val="17"/>
                <w:szCs w:val="17"/>
                <w:lang w:val="hr-HR"/>
              </w:rPr>
            </w:pPr>
            <w:r w:rsidRPr="00586B14">
              <w:rPr>
                <w:rFonts w:ascii="Arial" w:eastAsia="Calibri" w:hAnsi="Arial" w:cs="Arial"/>
                <w:color w:val="000000"/>
                <w:spacing w:val="-2"/>
                <w:sz w:val="17"/>
                <w:szCs w:val="17"/>
                <w:lang w:val="hr-HR"/>
              </w:rPr>
              <w:t xml:space="preserve"> - </w:t>
            </w:r>
          </w:p>
        </w:tc>
      </w:tr>
      <w:tr w:rsidR="004E2F51" w:rsidRPr="00736C15" w14:paraId="08FD2C87" w14:textId="77777777" w:rsidTr="00E032FC">
        <w:trPr>
          <w:trHeight w:hRule="exact" w:val="227"/>
          <w:jc w:val="center"/>
        </w:trPr>
        <w:tc>
          <w:tcPr>
            <w:tcW w:w="3194" w:type="pct"/>
            <w:shd w:val="clear" w:color="auto" w:fill="auto"/>
            <w:vAlign w:val="bottom"/>
          </w:tcPr>
          <w:p w14:paraId="376FFFFE"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bookmarkStart w:id="1944" w:name="_Toc67330880"/>
            <w:r w:rsidRPr="00736C15">
              <w:rPr>
                <w:rFonts w:ascii="Arial" w:eastAsia="Calibri" w:hAnsi="Arial" w:cs="Arial"/>
                <w:color w:val="000000"/>
                <w:spacing w:val="-2"/>
                <w:sz w:val="17"/>
                <w:szCs w:val="17"/>
                <w:lang w:val="hr-HR"/>
              </w:rPr>
              <w:t>Trezorski zapisi Ministarstva financija</w:t>
            </w:r>
            <w:bookmarkEnd w:id="1944"/>
          </w:p>
        </w:tc>
        <w:tc>
          <w:tcPr>
            <w:tcW w:w="555" w:type="pct"/>
            <w:tcBorders>
              <w:top w:val="nil"/>
              <w:left w:val="nil"/>
              <w:bottom w:val="nil"/>
              <w:right w:val="nil"/>
            </w:tcBorders>
            <w:shd w:val="clear" w:color="auto" w:fill="auto"/>
            <w:vAlign w:val="bottom"/>
          </w:tcPr>
          <w:p w14:paraId="5EBC7236"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sidRPr="00586B14">
              <w:rPr>
                <w:rFonts w:ascii="Arial" w:eastAsia="Calibri" w:hAnsi="Arial" w:cs="Arial"/>
                <w:color w:val="000000"/>
                <w:spacing w:val="-2"/>
                <w:sz w:val="17"/>
                <w:szCs w:val="17"/>
                <w:lang w:val="hr-HR"/>
              </w:rPr>
              <w:t xml:space="preserve"> - </w:t>
            </w:r>
          </w:p>
        </w:tc>
        <w:tc>
          <w:tcPr>
            <w:tcW w:w="644" w:type="pct"/>
            <w:tcBorders>
              <w:top w:val="nil"/>
              <w:left w:val="nil"/>
              <w:bottom w:val="nil"/>
              <w:right w:val="nil"/>
            </w:tcBorders>
            <w:shd w:val="clear" w:color="auto" w:fill="auto"/>
            <w:vAlign w:val="bottom"/>
          </w:tcPr>
          <w:p w14:paraId="7E7671A2" w14:textId="77777777" w:rsidR="004E2F51" w:rsidRPr="00586B14" w:rsidRDefault="004E2F51" w:rsidP="00E032FC">
            <w:pPr>
              <w:tabs>
                <w:tab w:val="right" w:pos="1202"/>
              </w:tabs>
              <w:jc w:val="right"/>
              <w:outlineLvl w:val="0"/>
              <w:rPr>
                <w:rFonts w:ascii="Arial" w:eastAsia="Calibri" w:hAnsi="Arial" w:cs="Arial"/>
                <w:color w:val="000000"/>
                <w:spacing w:val="-2"/>
                <w:sz w:val="17"/>
                <w:szCs w:val="17"/>
                <w:lang w:val="hr-HR"/>
              </w:rPr>
            </w:pPr>
            <w:r w:rsidRPr="00586B14">
              <w:rPr>
                <w:rFonts w:ascii="Arial" w:eastAsia="Calibri" w:hAnsi="Arial" w:cs="Arial"/>
                <w:color w:val="000000"/>
                <w:spacing w:val="-2"/>
                <w:sz w:val="17"/>
                <w:szCs w:val="17"/>
                <w:lang w:val="hr-HR"/>
              </w:rPr>
              <w:t xml:space="preserve"> 1.281.368 </w:t>
            </w:r>
          </w:p>
        </w:tc>
        <w:tc>
          <w:tcPr>
            <w:tcW w:w="607" w:type="pct"/>
            <w:tcBorders>
              <w:top w:val="nil"/>
              <w:left w:val="nil"/>
              <w:bottom w:val="nil"/>
              <w:right w:val="nil"/>
            </w:tcBorders>
            <w:shd w:val="clear" w:color="auto" w:fill="auto"/>
            <w:vAlign w:val="bottom"/>
          </w:tcPr>
          <w:p w14:paraId="20F242E6" w14:textId="77777777" w:rsidR="004E2F51" w:rsidRPr="00586B14" w:rsidRDefault="004E2F51" w:rsidP="00E032FC">
            <w:pPr>
              <w:tabs>
                <w:tab w:val="right" w:pos="1202"/>
              </w:tabs>
              <w:jc w:val="right"/>
              <w:outlineLvl w:val="0"/>
              <w:rPr>
                <w:rFonts w:ascii="Arial" w:eastAsia="Calibri" w:hAnsi="Arial" w:cs="Arial"/>
                <w:color w:val="000000"/>
                <w:spacing w:val="-2"/>
                <w:sz w:val="17"/>
                <w:szCs w:val="17"/>
                <w:lang w:val="hr-HR"/>
              </w:rPr>
            </w:pPr>
            <w:r w:rsidRPr="00586B14">
              <w:rPr>
                <w:rFonts w:ascii="Arial" w:eastAsia="Calibri" w:hAnsi="Arial" w:cs="Arial"/>
                <w:color w:val="000000"/>
                <w:spacing w:val="-2"/>
                <w:sz w:val="17"/>
                <w:szCs w:val="17"/>
                <w:lang w:val="hr-HR"/>
              </w:rPr>
              <w:t xml:space="preserve"> - </w:t>
            </w:r>
          </w:p>
        </w:tc>
      </w:tr>
      <w:tr w:rsidR="004E2F51" w:rsidRPr="00736C15" w14:paraId="0091A9F3" w14:textId="77777777" w:rsidTr="00E032FC">
        <w:trPr>
          <w:trHeight w:hRule="exact" w:val="227"/>
          <w:jc w:val="center"/>
        </w:trPr>
        <w:tc>
          <w:tcPr>
            <w:tcW w:w="3194" w:type="pct"/>
            <w:shd w:val="clear" w:color="auto" w:fill="auto"/>
            <w:vAlign w:val="bottom"/>
          </w:tcPr>
          <w:p w14:paraId="73A1E8A5"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bookmarkStart w:id="1945" w:name="_Toc67330884"/>
            <w:r w:rsidRPr="00736C15">
              <w:rPr>
                <w:rFonts w:ascii="Arial" w:eastAsia="Calibri" w:hAnsi="Arial" w:cs="Arial"/>
                <w:color w:val="000000"/>
                <w:spacing w:val="-2"/>
                <w:sz w:val="17"/>
                <w:szCs w:val="17"/>
                <w:lang w:val="hr-HR"/>
              </w:rPr>
              <w:t>Obračunata kamata</w:t>
            </w:r>
            <w:bookmarkEnd w:id="1945"/>
            <w:r w:rsidRPr="00736C15">
              <w:rPr>
                <w:rFonts w:ascii="Arial" w:eastAsia="Calibri" w:hAnsi="Arial" w:cs="Arial"/>
                <w:color w:val="000000"/>
                <w:spacing w:val="-2"/>
                <w:sz w:val="17"/>
                <w:szCs w:val="17"/>
                <w:lang w:val="hr-HR"/>
              </w:rPr>
              <w:t xml:space="preserve"> </w:t>
            </w:r>
          </w:p>
        </w:tc>
        <w:tc>
          <w:tcPr>
            <w:tcW w:w="555" w:type="pct"/>
            <w:tcBorders>
              <w:top w:val="nil"/>
              <w:left w:val="nil"/>
              <w:bottom w:val="nil"/>
              <w:right w:val="nil"/>
            </w:tcBorders>
            <w:shd w:val="clear" w:color="auto" w:fill="auto"/>
            <w:vAlign w:val="bottom"/>
          </w:tcPr>
          <w:p w14:paraId="2566E539"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sidRPr="00586B14">
              <w:rPr>
                <w:rFonts w:ascii="Arial" w:eastAsia="Calibri" w:hAnsi="Arial" w:cs="Arial"/>
                <w:color w:val="000000"/>
                <w:spacing w:val="-2"/>
                <w:sz w:val="17"/>
                <w:szCs w:val="17"/>
                <w:lang w:val="hr-HR"/>
              </w:rPr>
              <w:t xml:space="preserve"> 14.321 </w:t>
            </w:r>
          </w:p>
        </w:tc>
        <w:tc>
          <w:tcPr>
            <w:tcW w:w="644" w:type="pct"/>
            <w:tcBorders>
              <w:top w:val="nil"/>
              <w:left w:val="nil"/>
              <w:bottom w:val="nil"/>
              <w:right w:val="nil"/>
            </w:tcBorders>
            <w:shd w:val="clear" w:color="auto" w:fill="auto"/>
            <w:vAlign w:val="bottom"/>
          </w:tcPr>
          <w:p w14:paraId="7774891B" w14:textId="77777777" w:rsidR="004E2F51" w:rsidRPr="00586B14" w:rsidRDefault="004E2F51" w:rsidP="00E032FC">
            <w:pPr>
              <w:tabs>
                <w:tab w:val="right" w:pos="1202"/>
              </w:tabs>
              <w:jc w:val="right"/>
              <w:outlineLvl w:val="0"/>
              <w:rPr>
                <w:rFonts w:ascii="Arial" w:eastAsia="Calibri" w:hAnsi="Arial" w:cs="Arial"/>
                <w:color w:val="000000"/>
                <w:spacing w:val="-2"/>
                <w:sz w:val="17"/>
                <w:szCs w:val="17"/>
                <w:lang w:val="hr-HR"/>
              </w:rPr>
            </w:pPr>
            <w:r w:rsidRPr="00586B14">
              <w:rPr>
                <w:rFonts w:ascii="Arial" w:eastAsia="Calibri" w:hAnsi="Arial" w:cs="Arial"/>
                <w:color w:val="000000"/>
                <w:spacing w:val="-2"/>
                <w:sz w:val="17"/>
                <w:szCs w:val="17"/>
                <w:lang w:val="hr-HR"/>
              </w:rPr>
              <w:t xml:space="preserve"> - </w:t>
            </w:r>
          </w:p>
        </w:tc>
        <w:tc>
          <w:tcPr>
            <w:tcW w:w="607" w:type="pct"/>
            <w:tcBorders>
              <w:top w:val="nil"/>
              <w:left w:val="nil"/>
              <w:bottom w:val="nil"/>
              <w:right w:val="nil"/>
            </w:tcBorders>
            <w:shd w:val="clear" w:color="auto" w:fill="auto"/>
            <w:vAlign w:val="bottom"/>
          </w:tcPr>
          <w:p w14:paraId="4CBCC300" w14:textId="77777777" w:rsidR="004E2F51" w:rsidRPr="00586B14" w:rsidRDefault="004E2F51" w:rsidP="00E032FC">
            <w:pPr>
              <w:tabs>
                <w:tab w:val="right" w:pos="1202"/>
              </w:tabs>
              <w:jc w:val="right"/>
              <w:outlineLvl w:val="0"/>
              <w:rPr>
                <w:rFonts w:ascii="Arial" w:eastAsia="Calibri" w:hAnsi="Arial" w:cs="Arial"/>
                <w:color w:val="000000"/>
                <w:spacing w:val="-2"/>
                <w:sz w:val="17"/>
                <w:szCs w:val="17"/>
                <w:lang w:val="hr-HR"/>
              </w:rPr>
            </w:pPr>
            <w:r w:rsidRPr="00586B14">
              <w:rPr>
                <w:rFonts w:ascii="Arial" w:eastAsia="Calibri" w:hAnsi="Arial" w:cs="Arial"/>
                <w:color w:val="000000"/>
                <w:spacing w:val="-2"/>
                <w:sz w:val="17"/>
                <w:szCs w:val="17"/>
                <w:lang w:val="hr-HR"/>
              </w:rPr>
              <w:t xml:space="preserve"> - </w:t>
            </w:r>
          </w:p>
        </w:tc>
      </w:tr>
      <w:tr w:rsidR="004E2F51" w:rsidRPr="00736C15" w14:paraId="6B1EA1B5" w14:textId="77777777" w:rsidTr="00E032FC">
        <w:trPr>
          <w:trHeight w:hRule="exact" w:val="249"/>
          <w:jc w:val="center"/>
        </w:trPr>
        <w:tc>
          <w:tcPr>
            <w:tcW w:w="3194" w:type="pct"/>
            <w:shd w:val="clear" w:color="auto" w:fill="auto"/>
            <w:vAlign w:val="bottom"/>
          </w:tcPr>
          <w:p w14:paraId="6F3185AC" w14:textId="77777777" w:rsidR="004E2F51" w:rsidRPr="00736C15" w:rsidRDefault="004E2F51" w:rsidP="00E032FC">
            <w:pPr>
              <w:tabs>
                <w:tab w:val="right" w:pos="1202"/>
              </w:tabs>
              <w:outlineLvl w:val="0"/>
              <w:rPr>
                <w:rFonts w:ascii="Arial" w:eastAsia="Calibri" w:hAnsi="Arial" w:cs="Arial"/>
                <w:b/>
                <w:i/>
                <w:color w:val="000000"/>
                <w:spacing w:val="-2"/>
                <w:sz w:val="17"/>
                <w:szCs w:val="17"/>
                <w:lang w:val="hr-HR"/>
              </w:rPr>
            </w:pPr>
            <w:bookmarkStart w:id="1946" w:name="_Toc67330888"/>
            <w:r w:rsidRPr="00736C15">
              <w:rPr>
                <w:rFonts w:ascii="Arial" w:eastAsia="Calibri" w:hAnsi="Arial" w:cs="Arial"/>
                <w:b/>
                <w:i/>
                <w:color w:val="000000"/>
                <w:spacing w:val="-2"/>
                <w:sz w:val="17"/>
                <w:szCs w:val="17"/>
                <w:lang w:val="hr-HR"/>
              </w:rPr>
              <w:t>Dužnički vrijednosni papiri koji ne kotiraju:</w:t>
            </w:r>
            <w:bookmarkEnd w:id="1946"/>
          </w:p>
        </w:tc>
        <w:tc>
          <w:tcPr>
            <w:tcW w:w="555" w:type="pct"/>
            <w:tcBorders>
              <w:top w:val="nil"/>
              <w:left w:val="nil"/>
              <w:bottom w:val="nil"/>
              <w:right w:val="nil"/>
            </w:tcBorders>
            <w:shd w:val="clear" w:color="auto" w:fill="auto"/>
            <w:vAlign w:val="bottom"/>
          </w:tcPr>
          <w:p w14:paraId="59E212BE"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44" w:type="pct"/>
            <w:tcBorders>
              <w:top w:val="nil"/>
              <w:left w:val="nil"/>
              <w:bottom w:val="nil"/>
              <w:right w:val="nil"/>
            </w:tcBorders>
            <w:shd w:val="clear" w:color="auto" w:fill="auto"/>
            <w:vAlign w:val="bottom"/>
          </w:tcPr>
          <w:p w14:paraId="50F5E0C2"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07" w:type="pct"/>
            <w:tcBorders>
              <w:top w:val="nil"/>
              <w:left w:val="nil"/>
              <w:bottom w:val="nil"/>
              <w:right w:val="nil"/>
            </w:tcBorders>
            <w:shd w:val="clear" w:color="auto" w:fill="auto"/>
            <w:vAlign w:val="bottom"/>
          </w:tcPr>
          <w:p w14:paraId="03BC553C"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6FF29E89" w14:textId="77777777" w:rsidTr="00E032FC">
        <w:trPr>
          <w:trHeight w:hRule="exact" w:val="227"/>
          <w:jc w:val="center"/>
        </w:trPr>
        <w:tc>
          <w:tcPr>
            <w:tcW w:w="3194" w:type="pct"/>
            <w:shd w:val="clear" w:color="auto" w:fill="auto"/>
            <w:vAlign w:val="bottom"/>
          </w:tcPr>
          <w:p w14:paraId="112E7E77"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bookmarkStart w:id="1947" w:name="_Toc67330889"/>
            <w:r w:rsidRPr="00736C15">
              <w:rPr>
                <w:rFonts w:ascii="Arial" w:eastAsia="Calibri" w:hAnsi="Arial" w:cs="Arial"/>
                <w:color w:val="000000"/>
                <w:spacing w:val="-2"/>
                <w:sz w:val="17"/>
                <w:szCs w:val="17"/>
                <w:lang w:val="hr-HR"/>
              </w:rPr>
              <w:t>Obveznice trgovačkih društava</w:t>
            </w:r>
            <w:bookmarkEnd w:id="1947"/>
            <w:r w:rsidRPr="00736C15">
              <w:rPr>
                <w:rFonts w:ascii="Arial" w:eastAsia="Calibri" w:hAnsi="Arial" w:cs="Arial"/>
                <w:color w:val="000000"/>
                <w:spacing w:val="-2"/>
                <w:sz w:val="17"/>
                <w:szCs w:val="17"/>
                <w:lang w:val="hr-HR"/>
              </w:rPr>
              <w:t xml:space="preserve"> </w:t>
            </w:r>
          </w:p>
        </w:tc>
        <w:tc>
          <w:tcPr>
            <w:tcW w:w="555" w:type="pct"/>
            <w:tcBorders>
              <w:top w:val="nil"/>
              <w:left w:val="nil"/>
              <w:bottom w:val="nil"/>
              <w:right w:val="nil"/>
            </w:tcBorders>
            <w:shd w:val="clear" w:color="auto" w:fill="auto"/>
            <w:vAlign w:val="bottom"/>
          </w:tcPr>
          <w:p w14:paraId="3FB64950"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4F2750BD"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bottom w:val="nil"/>
              <w:right w:val="nil"/>
            </w:tcBorders>
            <w:shd w:val="clear" w:color="auto" w:fill="auto"/>
            <w:vAlign w:val="bottom"/>
          </w:tcPr>
          <w:p w14:paraId="325131DC"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464</w:t>
            </w:r>
          </w:p>
        </w:tc>
      </w:tr>
      <w:tr w:rsidR="004E2F51" w:rsidRPr="00736C15" w14:paraId="4333AB04" w14:textId="77777777" w:rsidTr="00E032FC">
        <w:trPr>
          <w:trHeight w:hRule="exact" w:val="227"/>
          <w:jc w:val="center"/>
        </w:trPr>
        <w:tc>
          <w:tcPr>
            <w:tcW w:w="3194" w:type="pct"/>
            <w:shd w:val="clear" w:color="auto" w:fill="auto"/>
            <w:vAlign w:val="bottom"/>
          </w:tcPr>
          <w:p w14:paraId="49B8D0E6"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bookmarkStart w:id="1948" w:name="_Toc67330893"/>
            <w:r w:rsidRPr="00736C15">
              <w:rPr>
                <w:rFonts w:ascii="Arial" w:eastAsia="Calibri" w:hAnsi="Arial" w:cs="Arial"/>
                <w:color w:val="000000"/>
                <w:spacing w:val="-2"/>
                <w:sz w:val="17"/>
                <w:szCs w:val="17"/>
                <w:lang w:val="hr-HR"/>
              </w:rPr>
              <w:t>Zamjenjive obveznice CB</w:t>
            </w:r>
            <w:bookmarkEnd w:id="1948"/>
          </w:p>
        </w:tc>
        <w:tc>
          <w:tcPr>
            <w:tcW w:w="555" w:type="pct"/>
            <w:tcBorders>
              <w:top w:val="nil"/>
              <w:left w:val="nil"/>
              <w:bottom w:val="nil"/>
              <w:right w:val="nil"/>
            </w:tcBorders>
            <w:shd w:val="clear" w:color="auto" w:fill="auto"/>
            <w:vAlign w:val="bottom"/>
          </w:tcPr>
          <w:p w14:paraId="5232ED62"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06C99CAD"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bottom w:val="nil"/>
              <w:right w:val="nil"/>
            </w:tcBorders>
            <w:shd w:val="clear" w:color="auto" w:fill="auto"/>
            <w:vAlign w:val="bottom"/>
          </w:tcPr>
          <w:p w14:paraId="7F8C44AD"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1.472</w:t>
            </w:r>
          </w:p>
        </w:tc>
      </w:tr>
      <w:tr w:rsidR="004E2F51" w:rsidRPr="00736C15" w14:paraId="5F673C77" w14:textId="77777777" w:rsidTr="00E032FC">
        <w:trPr>
          <w:trHeight w:hRule="exact" w:val="227"/>
          <w:jc w:val="center"/>
        </w:trPr>
        <w:tc>
          <w:tcPr>
            <w:tcW w:w="3194" w:type="pct"/>
            <w:shd w:val="clear" w:color="auto" w:fill="auto"/>
            <w:vAlign w:val="bottom"/>
          </w:tcPr>
          <w:p w14:paraId="30349032"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bookmarkStart w:id="1949" w:name="_Toc67330897"/>
            <w:r w:rsidRPr="00736C15">
              <w:rPr>
                <w:rFonts w:ascii="Arial" w:eastAsia="Calibri" w:hAnsi="Arial" w:cs="Arial"/>
                <w:color w:val="000000"/>
                <w:spacing w:val="-2"/>
                <w:sz w:val="17"/>
                <w:szCs w:val="17"/>
                <w:lang w:val="hr-HR"/>
              </w:rPr>
              <w:t>Obračunata kamata</w:t>
            </w:r>
            <w:bookmarkEnd w:id="1949"/>
          </w:p>
        </w:tc>
        <w:tc>
          <w:tcPr>
            <w:tcW w:w="555" w:type="pct"/>
            <w:tcBorders>
              <w:top w:val="nil"/>
              <w:left w:val="nil"/>
              <w:bottom w:val="nil"/>
              <w:right w:val="nil"/>
            </w:tcBorders>
            <w:shd w:val="clear" w:color="auto" w:fill="auto"/>
            <w:vAlign w:val="bottom"/>
          </w:tcPr>
          <w:p w14:paraId="6B8C9C89"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0C5E33D3"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07" w:type="pct"/>
            <w:tcBorders>
              <w:top w:val="nil"/>
              <w:left w:val="nil"/>
              <w:bottom w:val="single" w:sz="4" w:space="0" w:color="auto"/>
              <w:right w:val="nil"/>
            </w:tcBorders>
            <w:shd w:val="clear" w:color="auto" w:fill="auto"/>
            <w:vAlign w:val="bottom"/>
          </w:tcPr>
          <w:p w14:paraId="14F6E977"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32</w:t>
            </w:r>
          </w:p>
        </w:tc>
      </w:tr>
      <w:tr w:rsidR="004E2F51" w:rsidRPr="00736C15" w14:paraId="3229AE24" w14:textId="77777777" w:rsidTr="00E032FC">
        <w:trPr>
          <w:trHeight w:val="259"/>
          <w:jc w:val="center"/>
        </w:trPr>
        <w:tc>
          <w:tcPr>
            <w:tcW w:w="3194" w:type="pct"/>
            <w:shd w:val="clear" w:color="auto" w:fill="auto"/>
            <w:vAlign w:val="bottom"/>
          </w:tcPr>
          <w:p w14:paraId="168790F4" w14:textId="77777777" w:rsidR="004E2F51" w:rsidRPr="00736C15" w:rsidRDefault="004E2F51" w:rsidP="00E032FC">
            <w:pPr>
              <w:tabs>
                <w:tab w:val="right" w:pos="1202"/>
              </w:tabs>
              <w:outlineLvl w:val="0"/>
              <w:rPr>
                <w:rFonts w:ascii="Arial" w:eastAsia="Calibri" w:hAnsi="Arial" w:cs="Arial"/>
                <w:b/>
                <w:color w:val="000000"/>
                <w:spacing w:val="-2"/>
                <w:sz w:val="17"/>
                <w:szCs w:val="17"/>
                <w:lang w:val="hr-HR"/>
              </w:rPr>
            </w:pPr>
            <w:bookmarkStart w:id="1950" w:name="_Toc67330901"/>
            <w:r w:rsidRPr="00736C15">
              <w:rPr>
                <w:rFonts w:ascii="Arial" w:eastAsia="Calibri" w:hAnsi="Arial" w:cs="Arial"/>
                <w:b/>
                <w:color w:val="000000"/>
                <w:spacing w:val="-2"/>
                <w:sz w:val="17"/>
                <w:szCs w:val="17"/>
                <w:lang w:val="hr-HR"/>
              </w:rPr>
              <w:t>Ukupno dužnički vrijednosni papiri</w:t>
            </w:r>
            <w:bookmarkEnd w:id="1950"/>
          </w:p>
        </w:tc>
        <w:tc>
          <w:tcPr>
            <w:tcW w:w="555" w:type="pct"/>
            <w:tcBorders>
              <w:top w:val="single" w:sz="4" w:space="0" w:color="auto"/>
              <w:left w:val="nil"/>
              <w:bottom w:val="single" w:sz="12" w:space="0" w:color="auto"/>
              <w:right w:val="nil"/>
            </w:tcBorders>
            <w:shd w:val="clear" w:color="auto" w:fill="auto"/>
            <w:vAlign w:val="bottom"/>
          </w:tcPr>
          <w:p w14:paraId="69D08D72"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eastAsia="hr-HR"/>
              </w:rPr>
            </w:pPr>
            <w:r w:rsidRPr="00586B14">
              <w:rPr>
                <w:rFonts w:ascii="Arial" w:eastAsia="Calibri" w:hAnsi="Arial" w:cs="Arial"/>
                <w:b/>
                <w:color w:val="000000"/>
                <w:spacing w:val="-2"/>
                <w:sz w:val="17"/>
                <w:szCs w:val="17"/>
                <w:lang w:val="hr-HR" w:eastAsia="hr-HR"/>
              </w:rPr>
              <w:t>1.350.111</w:t>
            </w:r>
          </w:p>
        </w:tc>
        <w:tc>
          <w:tcPr>
            <w:tcW w:w="644" w:type="pct"/>
            <w:tcBorders>
              <w:top w:val="single" w:sz="4" w:space="0" w:color="auto"/>
              <w:left w:val="nil"/>
              <w:bottom w:val="single" w:sz="12" w:space="0" w:color="auto"/>
              <w:right w:val="nil"/>
            </w:tcBorders>
            <w:shd w:val="clear" w:color="auto" w:fill="auto"/>
            <w:vAlign w:val="bottom"/>
          </w:tcPr>
          <w:p w14:paraId="00CF4016"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eastAsia="hr-HR"/>
              </w:rPr>
            </w:pPr>
            <w:r w:rsidRPr="00586B14">
              <w:rPr>
                <w:rFonts w:ascii="Arial" w:eastAsia="Calibri" w:hAnsi="Arial" w:cs="Arial"/>
                <w:b/>
                <w:color w:val="000000"/>
                <w:spacing w:val="-2"/>
                <w:sz w:val="17"/>
                <w:szCs w:val="17"/>
                <w:lang w:val="hr-HR" w:eastAsia="hr-HR"/>
              </w:rPr>
              <w:t>1.281.368</w:t>
            </w:r>
          </w:p>
        </w:tc>
        <w:tc>
          <w:tcPr>
            <w:tcW w:w="607" w:type="pct"/>
            <w:tcBorders>
              <w:top w:val="single" w:sz="4" w:space="0" w:color="auto"/>
              <w:left w:val="nil"/>
              <w:bottom w:val="single" w:sz="12" w:space="0" w:color="auto"/>
              <w:right w:val="nil"/>
            </w:tcBorders>
            <w:shd w:val="clear" w:color="auto" w:fill="auto"/>
            <w:vAlign w:val="bottom"/>
          </w:tcPr>
          <w:p w14:paraId="29DA2E29"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eastAsia="hr-HR"/>
              </w:rPr>
            </w:pPr>
            <w:r w:rsidRPr="00586B14">
              <w:rPr>
                <w:rFonts w:ascii="Arial" w:eastAsia="Calibri" w:hAnsi="Arial" w:cs="Arial"/>
                <w:b/>
                <w:color w:val="000000"/>
                <w:spacing w:val="-2"/>
                <w:sz w:val="17"/>
                <w:szCs w:val="17"/>
                <w:lang w:val="hr-HR" w:eastAsia="hr-HR"/>
              </w:rPr>
              <w:t>1.968</w:t>
            </w:r>
          </w:p>
        </w:tc>
      </w:tr>
      <w:tr w:rsidR="004E2F51" w:rsidRPr="00736C15" w14:paraId="18C47A6E" w14:textId="77777777" w:rsidTr="00E032FC">
        <w:trPr>
          <w:trHeight w:hRule="exact" w:val="257"/>
          <w:jc w:val="center"/>
        </w:trPr>
        <w:tc>
          <w:tcPr>
            <w:tcW w:w="3194" w:type="pct"/>
            <w:shd w:val="clear" w:color="auto" w:fill="auto"/>
            <w:vAlign w:val="bottom"/>
          </w:tcPr>
          <w:p w14:paraId="040A78DB" w14:textId="77777777" w:rsidR="004E2F51" w:rsidRPr="00736C15" w:rsidRDefault="004E2F51" w:rsidP="00E032FC">
            <w:pPr>
              <w:tabs>
                <w:tab w:val="right" w:pos="1202"/>
              </w:tabs>
              <w:outlineLvl w:val="0"/>
              <w:rPr>
                <w:rFonts w:ascii="Arial" w:eastAsia="Calibri" w:hAnsi="Arial" w:cs="Arial"/>
                <w:b/>
                <w:i/>
                <w:color w:val="000000"/>
                <w:spacing w:val="-2"/>
                <w:sz w:val="17"/>
                <w:szCs w:val="17"/>
                <w:lang w:val="hr-HR"/>
              </w:rPr>
            </w:pPr>
            <w:bookmarkStart w:id="1951" w:name="_Toc67330905"/>
            <w:r w:rsidRPr="00736C15">
              <w:rPr>
                <w:rFonts w:ascii="Arial" w:eastAsia="Calibri" w:hAnsi="Arial" w:cs="Arial"/>
                <w:b/>
                <w:i/>
                <w:color w:val="000000"/>
                <w:spacing w:val="-2"/>
                <w:sz w:val="17"/>
                <w:szCs w:val="17"/>
                <w:lang w:val="hr-HR"/>
              </w:rPr>
              <w:t>Vlasnički vrijednosni papiri koji ne kotiraju:</w:t>
            </w:r>
            <w:bookmarkEnd w:id="1951"/>
          </w:p>
        </w:tc>
        <w:tc>
          <w:tcPr>
            <w:tcW w:w="555" w:type="pct"/>
            <w:tcBorders>
              <w:top w:val="single" w:sz="12" w:space="0" w:color="auto"/>
            </w:tcBorders>
            <w:vAlign w:val="bottom"/>
          </w:tcPr>
          <w:p w14:paraId="20CB1641"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44" w:type="pct"/>
            <w:tcBorders>
              <w:top w:val="single" w:sz="12" w:space="0" w:color="auto"/>
            </w:tcBorders>
            <w:vAlign w:val="bottom"/>
          </w:tcPr>
          <w:p w14:paraId="2A218FA6"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07" w:type="pct"/>
            <w:tcBorders>
              <w:top w:val="single" w:sz="12" w:space="0" w:color="auto"/>
            </w:tcBorders>
            <w:vAlign w:val="bottom"/>
          </w:tcPr>
          <w:p w14:paraId="64908ED5"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7D40F6C5" w14:textId="77777777" w:rsidTr="00E032FC">
        <w:trPr>
          <w:trHeight w:hRule="exact" w:val="227"/>
          <w:jc w:val="center"/>
        </w:trPr>
        <w:tc>
          <w:tcPr>
            <w:tcW w:w="3194" w:type="pct"/>
            <w:shd w:val="clear" w:color="auto" w:fill="auto"/>
            <w:vAlign w:val="bottom"/>
          </w:tcPr>
          <w:p w14:paraId="44997F1D" w14:textId="77777777" w:rsidR="004E2F51" w:rsidRPr="00736C15" w:rsidRDefault="004E2F51" w:rsidP="00E032FC">
            <w:pPr>
              <w:tabs>
                <w:tab w:val="right" w:pos="1202"/>
              </w:tabs>
              <w:outlineLvl w:val="0"/>
              <w:rPr>
                <w:rFonts w:ascii="Arial" w:eastAsia="Calibri" w:hAnsi="Arial" w:cs="Arial"/>
                <w:color w:val="000000"/>
                <w:sz w:val="17"/>
                <w:szCs w:val="17"/>
                <w:lang w:val="hr-HR"/>
              </w:rPr>
            </w:pPr>
            <w:bookmarkStart w:id="1952" w:name="_Toc67330906"/>
            <w:r w:rsidRPr="00736C15">
              <w:rPr>
                <w:rFonts w:ascii="Arial" w:eastAsia="Calibri" w:hAnsi="Arial" w:cs="Arial"/>
                <w:color w:val="000000"/>
                <w:sz w:val="17"/>
                <w:szCs w:val="17"/>
                <w:lang w:val="hr-HR"/>
              </w:rPr>
              <w:t>Dionice inozemnih pravnih osoba - SWIFT</w:t>
            </w:r>
            <w:bookmarkEnd w:id="1952"/>
          </w:p>
        </w:tc>
        <w:tc>
          <w:tcPr>
            <w:tcW w:w="555" w:type="pct"/>
            <w:tcBorders>
              <w:top w:val="nil"/>
              <w:left w:val="nil"/>
              <w:bottom w:val="nil"/>
              <w:right w:val="nil"/>
            </w:tcBorders>
            <w:shd w:val="clear" w:color="auto" w:fill="auto"/>
            <w:vAlign w:val="bottom"/>
          </w:tcPr>
          <w:p w14:paraId="4FAE5B5E"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6EF40B33"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55</w:t>
            </w:r>
          </w:p>
        </w:tc>
        <w:tc>
          <w:tcPr>
            <w:tcW w:w="607" w:type="pct"/>
            <w:tcBorders>
              <w:top w:val="nil"/>
              <w:left w:val="nil"/>
              <w:bottom w:val="nil"/>
              <w:right w:val="nil"/>
            </w:tcBorders>
            <w:shd w:val="clear" w:color="auto" w:fill="auto"/>
            <w:vAlign w:val="bottom"/>
          </w:tcPr>
          <w:p w14:paraId="235E8C81"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E2F51" w:rsidRPr="00736C15" w14:paraId="5685889B" w14:textId="77777777" w:rsidTr="00E032FC">
        <w:trPr>
          <w:trHeight w:hRule="exact" w:val="227"/>
          <w:jc w:val="center"/>
        </w:trPr>
        <w:tc>
          <w:tcPr>
            <w:tcW w:w="3194" w:type="pct"/>
            <w:shd w:val="clear" w:color="auto" w:fill="auto"/>
            <w:vAlign w:val="bottom"/>
          </w:tcPr>
          <w:p w14:paraId="4047CF77" w14:textId="77777777" w:rsidR="004E2F51" w:rsidRPr="00736C15" w:rsidRDefault="004E2F51" w:rsidP="00E032FC">
            <w:pPr>
              <w:tabs>
                <w:tab w:val="right" w:pos="1202"/>
              </w:tabs>
              <w:outlineLvl w:val="0"/>
              <w:rPr>
                <w:rFonts w:ascii="Arial" w:eastAsia="Calibri" w:hAnsi="Arial" w:cs="Arial"/>
                <w:color w:val="000000"/>
                <w:sz w:val="17"/>
                <w:szCs w:val="17"/>
                <w:lang w:val="hr-HR"/>
              </w:rPr>
            </w:pPr>
            <w:bookmarkStart w:id="1953" w:name="_Toc67330910"/>
            <w:r w:rsidRPr="00736C15">
              <w:rPr>
                <w:rFonts w:ascii="Arial" w:eastAsia="Calibri" w:hAnsi="Arial" w:cs="Arial"/>
                <w:color w:val="000000"/>
                <w:sz w:val="17"/>
                <w:szCs w:val="17"/>
                <w:lang w:val="hr-HR"/>
              </w:rPr>
              <w:t>Dionice inozemnih financijskih institucija – EIF</w:t>
            </w:r>
            <w:bookmarkEnd w:id="1953"/>
          </w:p>
        </w:tc>
        <w:tc>
          <w:tcPr>
            <w:tcW w:w="555" w:type="pct"/>
            <w:tcBorders>
              <w:top w:val="nil"/>
              <w:left w:val="nil"/>
              <w:bottom w:val="nil"/>
              <w:right w:val="nil"/>
            </w:tcBorders>
            <w:shd w:val="clear" w:color="auto" w:fill="auto"/>
            <w:vAlign w:val="bottom"/>
          </w:tcPr>
          <w:p w14:paraId="1DEED14A"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644" w:type="pct"/>
            <w:tcBorders>
              <w:top w:val="nil"/>
              <w:left w:val="nil"/>
              <w:bottom w:val="nil"/>
              <w:right w:val="nil"/>
            </w:tcBorders>
            <w:shd w:val="clear" w:color="auto" w:fill="auto"/>
            <w:vAlign w:val="bottom"/>
          </w:tcPr>
          <w:p w14:paraId="6DDFBB2D"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53.120</w:t>
            </w:r>
          </w:p>
        </w:tc>
        <w:tc>
          <w:tcPr>
            <w:tcW w:w="607" w:type="pct"/>
            <w:tcBorders>
              <w:top w:val="nil"/>
              <w:left w:val="nil"/>
              <w:bottom w:val="nil"/>
              <w:right w:val="nil"/>
            </w:tcBorders>
            <w:shd w:val="clear" w:color="auto" w:fill="auto"/>
            <w:vAlign w:val="bottom"/>
          </w:tcPr>
          <w:p w14:paraId="3B1CAF80"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E2F51" w:rsidRPr="00736C15" w14:paraId="0D6551F1" w14:textId="77777777" w:rsidTr="00E032FC">
        <w:trPr>
          <w:trHeight w:hRule="exact" w:val="244"/>
          <w:jc w:val="center"/>
        </w:trPr>
        <w:tc>
          <w:tcPr>
            <w:tcW w:w="3194" w:type="pct"/>
            <w:shd w:val="clear" w:color="auto" w:fill="auto"/>
            <w:vAlign w:val="bottom"/>
          </w:tcPr>
          <w:p w14:paraId="5BD68A9B" w14:textId="77777777" w:rsidR="004E2F51" w:rsidRPr="00736C15" w:rsidRDefault="004E2F51" w:rsidP="00E032FC">
            <w:pPr>
              <w:tabs>
                <w:tab w:val="right" w:pos="1202"/>
              </w:tabs>
              <w:outlineLvl w:val="0"/>
              <w:rPr>
                <w:rFonts w:ascii="Arial" w:eastAsia="Calibri" w:hAnsi="Arial" w:cs="Arial"/>
                <w:b/>
                <w:color w:val="000000"/>
                <w:sz w:val="17"/>
                <w:szCs w:val="17"/>
                <w:lang w:val="hr-HR"/>
              </w:rPr>
            </w:pPr>
            <w:bookmarkStart w:id="1954" w:name="_Toc67330914"/>
            <w:r w:rsidRPr="00736C15">
              <w:rPr>
                <w:rFonts w:ascii="Arial" w:eastAsia="Calibri" w:hAnsi="Arial" w:cs="Arial"/>
                <w:b/>
                <w:color w:val="000000"/>
                <w:sz w:val="17"/>
                <w:szCs w:val="17"/>
                <w:lang w:val="hr-HR"/>
              </w:rPr>
              <w:t>Ukupno vlasnički vrijednosni papiri</w:t>
            </w:r>
            <w:bookmarkEnd w:id="1954"/>
          </w:p>
        </w:tc>
        <w:tc>
          <w:tcPr>
            <w:tcW w:w="555" w:type="pct"/>
            <w:tcBorders>
              <w:top w:val="single" w:sz="4" w:space="0" w:color="auto"/>
              <w:left w:val="nil"/>
              <w:bottom w:val="single" w:sz="8" w:space="0" w:color="auto"/>
              <w:right w:val="nil"/>
            </w:tcBorders>
            <w:shd w:val="clear" w:color="auto" w:fill="auto"/>
            <w:vAlign w:val="bottom"/>
          </w:tcPr>
          <w:p w14:paraId="50905684" w14:textId="77777777" w:rsidR="004E2F51" w:rsidRPr="00736C15" w:rsidRDefault="004E2F51" w:rsidP="00E032FC">
            <w:pPr>
              <w:tabs>
                <w:tab w:val="right" w:pos="1202"/>
              </w:tabs>
              <w:jc w:val="right"/>
              <w:outlineLvl w:val="0"/>
              <w:rPr>
                <w:rFonts w:ascii="Arial" w:eastAsia="Calibri" w:hAnsi="Arial" w:cs="Arial"/>
                <w:b/>
                <w:color w:val="000000"/>
                <w:sz w:val="17"/>
                <w:szCs w:val="17"/>
                <w:lang w:val="hr-HR"/>
              </w:rPr>
            </w:pPr>
            <w:r>
              <w:rPr>
                <w:rFonts w:ascii="Arial" w:eastAsia="Calibri" w:hAnsi="Arial" w:cs="Arial"/>
                <w:b/>
                <w:color w:val="000000"/>
                <w:sz w:val="17"/>
                <w:szCs w:val="17"/>
                <w:lang w:val="hr-HR"/>
              </w:rPr>
              <w:t>-</w:t>
            </w:r>
          </w:p>
        </w:tc>
        <w:tc>
          <w:tcPr>
            <w:tcW w:w="644" w:type="pct"/>
            <w:tcBorders>
              <w:top w:val="single" w:sz="4" w:space="0" w:color="auto"/>
              <w:left w:val="nil"/>
              <w:bottom w:val="single" w:sz="8" w:space="0" w:color="auto"/>
              <w:right w:val="nil"/>
            </w:tcBorders>
            <w:shd w:val="clear" w:color="auto" w:fill="auto"/>
            <w:vAlign w:val="bottom"/>
          </w:tcPr>
          <w:p w14:paraId="4C53E99B" w14:textId="77777777" w:rsidR="004E2F51" w:rsidRPr="00736C15" w:rsidRDefault="004E2F51" w:rsidP="00E032FC">
            <w:pPr>
              <w:tabs>
                <w:tab w:val="right" w:pos="1202"/>
              </w:tabs>
              <w:jc w:val="right"/>
              <w:outlineLvl w:val="0"/>
              <w:rPr>
                <w:rFonts w:ascii="Arial" w:eastAsia="Calibri" w:hAnsi="Arial" w:cs="Arial"/>
                <w:b/>
                <w:color w:val="000000"/>
                <w:sz w:val="17"/>
                <w:szCs w:val="17"/>
                <w:lang w:val="hr-HR"/>
              </w:rPr>
            </w:pPr>
            <w:r w:rsidRPr="00586B14">
              <w:rPr>
                <w:rFonts w:ascii="Arial" w:eastAsia="Calibri" w:hAnsi="Arial" w:cs="Arial"/>
                <w:b/>
                <w:color w:val="000000"/>
                <w:sz w:val="17"/>
                <w:szCs w:val="17"/>
                <w:lang w:val="hr-HR"/>
              </w:rPr>
              <w:t>53.175</w:t>
            </w:r>
          </w:p>
        </w:tc>
        <w:tc>
          <w:tcPr>
            <w:tcW w:w="607" w:type="pct"/>
            <w:tcBorders>
              <w:top w:val="single" w:sz="4" w:space="0" w:color="auto"/>
              <w:left w:val="nil"/>
              <w:bottom w:val="single" w:sz="8" w:space="0" w:color="auto"/>
              <w:right w:val="nil"/>
            </w:tcBorders>
            <w:shd w:val="clear" w:color="auto" w:fill="auto"/>
            <w:vAlign w:val="bottom"/>
          </w:tcPr>
          <w:p w14:paraId="4A35CF7A" w14:textId="77777777" w:rsidR="004E2F51" w:rsidRPr="00736C15" w:rsidRDefault="004E2F51" w:rsidP="00E032FC">
            <w:pPr>
              <w:tabs>
                <w:tab w:val="right" w:pos="1202"/>
              </w:tabs>
              <w:jc w:val="right"/>
              <w:outlineLvl w:val="0"/>
              <w:rPr>
                <w:rFonts w:ascii="Arial" w:eastAsia="Calibri" w:hAnsi="Arial" w:cs="Arial"/>
                <w:b/>
                <w:color w:val="000000"/>
                <w:sz w:val="17"/>
                <w:szCs w:val="17"/>
                <w:lang w:val="hr-HR"/>
              </w:rPr>
            </w:pPr>
            <w:r>
              <w:rPr>
                <w:rFonts w:ascii="Arial" w:eastAsia="Calibri" w:hAnsi="Arial" w:cs="Arial"/>
                <w:b/>
                <w:color w:val="000000"/>
                <w:sz w:val="17"/>
                <w:szCs w:val="17"/>
                <w:lang w:val="hr-HR"/>
              </w:rPr>
              <w:t>-</w:t>
            </w:r>
          </w:p>
        </w:tc>
      </w:tr>
      <w:tr w:rsidR="004E2F51" w:rsidRPr="00736C15" w14:paraId="53D92348" w14:textId="77777777" w:rsidTr="00E032FC">
        <w:trPr>
          <w:trHeight w:hRule="exact" w:val="255"/>
          <w:jc w:val="center"/>
        </w:trPr>
        <w:tc>
          <w:tcPr>
            <w:tcW w:w="3194" w:type="pct"/>
            <w:shd w:val="clear" w:color="auto" w:fill="auto"/>
            <w:vAlign w:val="bottom"/>
          </w:tcPr>
          <w:p w14:paraId="03053D22" w14:textId="77777777" w:rsidR="004E2F51" w:rsidRPr="00736C15" w:rsidRDefault="004E2F51" w:rsidP="00E032FC">
            <w:pPr>
              <w:tabs>
                <w:tab w:val="right" w:pos="1202"/>
              </w:tabs>
              <w:outlineLvl w:val="0"/>
              <w:rPr>
                <w:rFonts w:ascii="Arial" w:eastAsia="Calibri" w:hAnsi="Arial" w:cs="Arial"/>
                <w:b/>
                <w:color w:val="000000"/>
                <w:sz w:val="17"/>
                <w:szCs w:val="17"/>
                <w:lang w:val="hr-HR"/>
              </w:rPr>
            </w:pPr>
            <w:bookmarkStart w:id="1955" w:name="_Toc67330918"/>
            <w:r w:rsidRPr="00736C15">
              <w:rPr>
                <w:rFonts w:ascii="Arial" w:eastAsia="Calibri" w:hAnsi="Arial" w:cs="Arial"/>
                <w:b/>
                <w:color w:val="000000"/>
                <w:sz w:val="17"/>
                <w:szCs w:val="17"/>
                <w:lang w:val="hr-HR"/>
              </w:rPr>
              <w:t>Ukupno imovina po fer vrijednosti kroz ostalu sveobuhvatnu dobit</w:t>
            </w:r>
            <w:bookmarkEnd w:id="1955"/>
          </w:p>
        </w:tc>
        <w:tc>
          <w:tcPr>
            <w:tcW w:w="555" w:type="pct"/>
            <w:tcBorders>
              <w:top w:val="single" w:sz="12" w:space="0" w:color="auto"/>
              <w:left w:val="nil"/>
              <w:bottom w:val="single" w:sz="12" w:space="0" w:color="auto"/>
              <w:right w:val="nil"/>
            </w:tcBorders>
            <w:shd w:val="clear" w:color="auto" w:fill="auto"/>
            <w:vAlign w:val="bottom"/>
          </w:tcPr>
          <w:p w14:paraId="7B06E5C3"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eastAsia="hr-HR"/>
              </w:rPr>
            </w:pPr>
            <w:r w:rsidRPr="00586B14">
              <w:rPr>
                <w:rFonts w:ascii="Arial" w:eastAsia="Calibri" w:hAnsi="Arial" w:cs="Arial"/>
                <w:b/>
                <w:color w:val="000000"/>
                <w:spacing w:val="-2"/>
                <w:sz w:val="17"/>
                <w:szCs w:val="17"/>
                <w:lang w:val="hr-HR" w:eastAsia="hr-HR"/>
              </w:rPr>
              <w:t xml:space="preserve"> 1.350.111 </w:t>
            </w:r>
          </w:p>
        </w:tc>
        <w:tc>
          <w:tcPr>
            <w:tcW w:w="644" w:type="pct"/>
            <w:tcBorders>
              <w:top w:val="single" w:sz="12" w:space="0" w:color="auto"/>
              <w:left w:val="nil"/>
              <w:bottom w:val="single" w:sz="12" w:space="0" w:color="auto"/>
              <w:right w:val="nil"/>
            </w:tcBorders>
            <w:shd w:val="clear" w:color="auto" w:fill="auto"/>
            <w:vAlign w:val="bottom"/>
          </w:tcPr>
          <w:p w14:paraId="52A974AF"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eastAsia="hr-HR"/>
              </w:rPr>
            </w:pPr>
            <w:r w:rsidRPr="00586B14">
              <w:rPr>
                <w:rFonts w:ascii="Arial" w:eastAsia="Calibri" w:hAnsi="Arial" w:cs="Arial"/>
                <w:b/>
                <w:color w:val="000000"/>
                <w:spacing w:val="-2"/>
                <w:sz w:val="17"/>
                <w:szCs w:val="17"/>
                <w:lang w:val="hr-HR" w:eastAsia="hr-HR"/>
              </w:rPr>
              <w:t xml:space="preserve"> 1.334.543 </w:t>
            </w:r>
          </w:p>
        </w:tc>
        <w:tc>
          <w:tcPr>
            <w:tcW w:w="607" w:type="pct"/>
            <w:tcBorders>
              <w:top w:val="single" w:sz="12" w:space="0" w:color="auto"/>
              <w:left w:val="nil"/>
              <w:bottom w:val="single" w:sz="12" w:space="0" w:color="auto"/>
              <w:right w:val="nil"/>
            </w:tcBorders>
            <w:shd w:val="clear" w:color="auto" w:fill="auto"/>
            <w:vAlign w:val="bottom"/>
          </w:tcPr>
          <w:p w14:paraId="49EE3E4E"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eastAsia="hr-HR"/>
              </w:rPr>
            </w:pPr>
            <w:r w:rsidRPr="00586B14">
              <w:rPr>
                <w:rFonts w:ascii="Arial" w:eastAsia="Calibri" w:hAnsi="Arial" w:cs="Arial"/>
                <w:b/>
                <w:color w:val="000000"/>
                <w:spacing w:val="-2"/>
                <w:sz w:val="17"/>
                <w:szCs w:val="17"/>
                <w:lang w:val="hr-HR" w:eastAsia="hr-HR"/>
              </w:rPr>
              <w:t xml:space="preserve"> 1.968 </w:t>
            </w:r>
          </w:p>
        </w:tc>
      </w:tr>
    </w:tbl>
    <w:p w14:paraId="4C2B5F0A" w14:textId="77777777" w:rsidR="004E2F51" w:rsidRPr="006059EC" w:rsidRDefault="004E2F51" w:rsidP="004E2F51">
      <w:pPr>
        <w:pStyle w:val="T1"/>
        <w:spacing w:before="0" w:after="0" w:line="240" w:lineRule="auto"/>
        <w:rPr>
          <w:rFonts w:cs="Arial"/>
          <w:b w:val="0"/>
          <w:bCs w:val="0"/>
          <w:color w:val="000000" w:themeColor="text1"/>
          <w:spacing w:val="-3"/>
          <w:sz w:val="10"/>
          <w:lang w:val="hr-HR"/>
        </w:rPr>
      </w:pPr>
    </w:p>
    <w:p w14:paraId="36E9F353" w14:textId="77777777" w:rsidR="004E2F51" w:rsidRPr="006059EC" w:rsidRDefault="004E2F51" w:rsidP="004E2F51">
      <w:pPr>
        <w:pStyle w:val="T1"/>
        <w:spacing w:before="0" w:after="0" w:line="240" w:lineRule="auto"/>
        <w:rPr>
          <w:rFonts w:cs="Arial"/>
          <w:b w:val="0"/>
          <w:bCs w:val="0"/>
          <w:color w:val="000000" w:themeColor="text1"/>
          <w:spacing w:val="-3"/>
          <w:sz w:val="10"/>
          <w:lang w:val="hr-HR"/>
        </w:rPr>
      </w:pPr>
    </w:p>
    <w:p w14:paraId="4828982F" w14:textId="77777777" w:rsidR="004E2F51" w:rsidRPr="0002282A" w:rsidRDefault="004E2F51" w:rsidP="004E2F51">
      <w:pPr>
        <w:jc w:val="both"/>
        <w:rPr>
          <w:rFonts w:ascii="Arial" w:hAnsi="Arial" w:cs="Arial"/>
          <w:color w:val="000000"/>
          <w:sz w:val="20"/>
          <w:szCs w:val="20"/>
          <w:lang w:val="hr-HR"/>
        </w:rPr>
      </w:pPr>
      <w:r w:rsidRPr="0002282A">
        <w:rPr>
          <w:rFonts w:ascii="Arial" w:hAnsi="Arial" w:cs="Arial"/>
          <w:color w:val="000000"/>
          <w:sz w:val="20"/>
          <w:szCs w:val="20"/>
          <w:lang w:val="hr-HR"/>
        </w:rPr>
        <w:t xml:space="preserve">Trezorski zapisi Ministarstva financija prikazani su na razini </w:t>
      </w:r>
      <w:r w:rsidRPr="0002282A">
        <w:rPr>
          <w:rFonts w:ascii="Arial" w:hAnsi="Arial" w:cs="Arial"/>
          <w:sz w:val="20"/>
          <w:szCs w:val="20"/>
          <w:lang w:val="hr-HR"/>
        </w:rPr>
        <w:t>2</w:t>
      </w:r>
      <w:r w:rsidRPr="0002282A">
        <w:rPr>
          <w:rFonts w:ascii="Arial" w:hAnsi="Arial" w:cs="Arial"/>
          <w:color w:val="000000"/>
          <w:sz w:val="20"/>
          <w:szCs w:val="20"/>
          <w:lang w:val="hr-HR"/>
        </w:rPr>
        <w:t xml:space="preserve"> hijerarhije fer vrijednosti zato što su kotirane kupovne („bid“) cijene na Bloombergu više (uz negativan kupovni prinos) u odnosu na cijene koje su istovremeno ostvarene na primarnoj aukciji trezorskih zapisa, na kojima su trezorski zapisi izdavani uz pozitivne prinose</w:t>
      </w:r>
      <w:r w:rsidRPr="0002282A">
        <w:rPr>
          <w:rFonts w:ascii="Arial" w:hAnsi="Arial" w:cs="Arial"/>
          <w:sz w:val="20"/>
          <w:szCs w:val="20"/>
          <w:lang w:val="hr-HR"/>
        </w:rPr>
        <w:t xml:space="preserve">. Za izračun fer vrijednosti korištena je metoda diskontiranih novčanih tijekova uz diskontnu stopu koja je odgovarala prinosima ostvarenim na posljednjoj aukciji trezorskih zapisa Ministarstva financija prije datuma vrednovanja. </w:t>
      </w:r>
    </w:p>
    <w:p w14:paraId="58632587" w14:textId="77777777" w:rsidR="004E2F51" w:rsidRPr="0002282A" w:rsidRDefault="004E2F51" w:rsidP="004E2F51">
      <w:pPr>
        <w:jc w:val="both"/>
        <w:rPr>
          <w:rFonts w:ascii="Arial" w:hAnsi="Arial" w:cs="Arial"/>
          <w:color w:val="000000"/>
          <w:sz w:val="12"/>
          <w:szCs w:val="12"/>
          <w:lang w:val="hr-HR" w:eastAsia="zh-CN"/>
        </w:rPr>
      </w:pPr>
    </w:p>
    <w:p w14:paraId="6EA39FCE" w14:textId="77777777" w:rsidR="004E2F51" w:rsidRPr="0002282A" w:rsidRDefault="004E2F51" w:rsidP="004E2F51">
      <w:pPr>
        <w:jc w:val="both"/>
        <w:rPr>
          <w:rFonts w:ascii="Arial" w:hAnsi="Arial" w:cs="Arial"/>
          <w:color w:val="000000"/>
          <w:sz w:val="20"/>
          <w:szCs w:val="20"/>
          <w:lang w:val="hr-HR" w:eastAsia="hr-HR"/>
        </w:rPr>
      </w:pPr>
      <w:r w:rsidRPr="0002282A">
        <w:rPr>
          <w:rFonts w:ascii="Arial" w:hAnsi="Arial" w:cs="Arial"/>
          <w:color w:val="000000"/>
          <w:sz w:val="20"/>
          <w:szCs w:val="20"/>
          <w:lang w:val="hr-HR"/>
        </w:rPr>
        <w:t xml:space="preserve">Dužnički vrijednosni papiri – obveznice trgovačkih društava prikazane su na razini 3 hijerarhije fer vrijednosti. Pri vrednovanju je korištena metoda diskontiranih novčanih tijekova </w:t>
      </w:r>
      <w:r w:rsidRPr="0002282A">
        <w:rPr>
          <w:rFonts w:ascii="Arial" w:hAnsi="Arial" w:cs="Arial"/>
          <w:color w:val="000000"/>
          <w:sz w:val="20"/>
          <w:szCs w:val="20"/>
          <w:lang w:val="hr-HR" w:eastAsia="hr-HR"/>
        </w:rPr>
        <w:t>temeljem tržišnih kamatnih stopa, spreada temeljem internog kreditnog rejtinga i interno definiranog spreada vezanog uz likvidnost vrijednosnog papira.</w:t>
      </w:r>
    </w:p>
    <w:p w14:paraId="16369408" w14:textId="77777777" w:rsidR="004E2F51" w:rsidRPr="0002282A" w:rsidRDefault="004E2F51" w:rsidP="004E2F51">
      <w:pPr>
        <w:jc w:val="both"/>
        <w:rPr>
          <w:rFonts w:ascii="Arial" w:hAnsi="Arial" w:cs="Arial"/>
          <w:color w:val="000000"/>
          <w:sz w:val="12"/>
          <w:szCs w:val="12"/>
          <w:lang w:val="hr-HR" w:eastAsia="hr-HR"/>
        </w:rPr>
      </w:pPr>
    </w:p>
    <w:p w14:paraId="46D9A37D" w14:textId="77777777" w:rsidR="004E2F51" w:rsidRPr="0002282A" w:rsidRDefault="004E2F51" w:rsidP="004E2F51">
      <w:pPr>
        <w:jc w:val="both"/>
        <w:rPr>
          <w:rFonts w:ascii="Arial" w:hAnsi="Arial" w:cs="Arial"/>
          <w:sz w:val="20"/>
          <w:szCs w:val="20"/>
          <w:lang w:val="hr-HR" w:eastAsia="hr-HR"/>
        </w:rPr>
      </w:pPr>
      <w:r w:rsidRPr="0002282A">
        <w:rPr>
          <w:rFonts w:ascii="Arial" w:hAnsi="Arial" w:cs="Arial"/>
          <w:sz w:val="20"/>
          <w:szCs w:val="20"/>
          <w:lang w:val="hr-HR" w:eastAsia="hr-HR"/>
        </w:rPr>
        <w:t xml:space="preserve">U izvještajnom razdoblju nije bilo transfera između razina.  </w:t>
      </w:r>
    </w:p>
    <w:p w14:paraId="2661CF2C" w14:textId="77777777" w:rsidR="004E2F51" w:rsidRPr="0002282A" w:rsidRDefault="004E2F51" w:rsidP="004E2F51">
      <w:pPr>
        <w:jc w:val="both"/>
        <w:rPr>
          <w:rFonts w:ascii="Arial" w:hAnsi="Arial" w:cs="Arial"/>
          <w:sz w:val="20"/>
          <w:szCs w:val="20"/>
          <w:lang w:val="hr-HR" w:eastAsia="hr-HR"/>
        </w:rPr>
        <w:sectPr w:rsidR="004E2F51" w:rsidRPr="0002282A" w:rsidSect="00623DBA">
          <w:footerReference w:type="default" r:id="rId220"/>
          <w:pgSz w:w="11907" w:h="16840" w:code="9"/>
          <w:pgMar w:top="1418" w:right="1134" w:bottom="1134" w:left="1418" w:header="851" w:footer="851" w:gutter="0"/>
          <w:cols w:space="720"/>
          <w:noEndnote/>
        </w:sectPr>
      </w:pPr>
    </w:p>
    <w:p w14:paraId="11559FE2" w14:textId="77777777" w:rsidR="004E2F51" w:rsidRPr="00736C15" w:rsidRDefault="004E2F51" w:rsidP="004E2F51">
      <w:pPr>
        <w:keepNext/>
        <w:tabs>
          <w:tab w:val="left" w:pos="567"/>
        </w:tabs>
        <w:jc w:val="both"/>
        <w:rPr>
          <w:rFonts w:ascii="Arial" w:hAnsi="Arial" w:cs="Arial"/>
          <w:color w:val="000000" w:themeColor="text1"/>
          <w:spacing w:val="-3"/>
          <w:sz w:val="20"/>
          <w:szCs w:val="20"/>
          <w:lang w:val="hr-HR"/>
        </w:rPr>
      </w:pPr>
    </w:p>
    <w:p w14:paraId="1CE34CDD" w14:textId="77777777" w:rsidR="004E2F51" w:rsidRPr="00736C15" w:rsidRDefault="004E2F51" w:rsidP="004E2F51">
      <w:pPr>
        <w:pStyle w:val="T1"/>
        <w:spacing w:before="0" w:after="0" w:line="240" w:lineRule="auto"/>
        <w:ind w:left="709" w:hanging="709"/>
        <w:rPr>
          <w:rFonts w:cs="Arial"/>
          <w:color w:val="000000" w:themeColor="text1"/>
          <w:spacing w:val="-3"/>
          <w:sz w:val="20"/>
          <w:lang w:val="hr-HR"/>
        </w:rPr>
      </w:pPr>
      <w:r w:rsidRPr="00736C15">
        <w:rPr>
          <w:rFonts w:cs="Arial"/>
          <w:color w:val="000000" w:themeColor="text1"/>
          <w:spacing w:val="-3"/>
          <w:sz w:val="20"/>
          <w:lang w:val="hr-HR"/>
        </w:rPr>
        <w:t>3</w:t>
      </w:r>
      <w:r>
        <w:rPr>
          <w:rFonts w:cs="Arial"/>
          <w:color w:val="000000" w:themeColor="text1"/>
          <w:spacing w:val="-3"/>
          <w:sz w:val="20"/>
          <w:lang w:val="hr-HR"/>
        </w:rPr>
        <w:t>2</w:t>
      </w:r>
      <w:r w:rsidRPr="00736C15">
        <w:rPr>
          <w:rFonts w:cs="Arial"/>
          <w:color w:val="000000" w:themeColor="text1"/>
          <w:spacing w:val="-3"/>
          <w:sz w:val="20"/>
          <w:lang w:val="hr-HR"/>
        </w:rPr>
        <w:t xml:space="preserve">. </w:t>
      </w:r>
      <w:r w:rsidRPr="00736C15">
        <w:rPr>
          <w:rFonts w:cs="Arial"/>
          <w:color w:val="000000" w:themeColor="text1"/>
          <w:spacing w:val="-3"/>
          <w:sz w:val="20"/>
          <w:lang w:val="hr-HR"/>
        </w:rPr>
        <w:tab/>
        <w:t>Fer vrijednost financijske imovine i financijskih obveza</w:t>
      </w:r>
      <w:r w:rsidRPr="00736C15" w:rsidDel="0055634D">
        <w:rPr>
          <w:rFonts w:cs="Arial"/>
          <w:color w:val="000000" w:themeColor="text1"/>
          <w:spacing w:val="-3"/>
          <w:sz w:val="20"/>
          <w:lang w:val="hr-HR"/>
        </w:rPr>
        <w:t xml:space="preserve"> </w:t>
      </w:r>
      <w:r w:rsidRPr="00736C15">
        <w:rPr>
          <w:rFonts w:cs="Arial"/>
          <w:color w:val="000000" w:themeColor="text1"/>
          <w:spacing w:val="-3"/>
          <w:sz w:val="20"/>
          <w:lang w:val="hr-HR"/>
        </w:rPr>
        <w:t>(nastavak)</w:t>
      </w:r>
    </w:p>
    <w:p w14:paraId="570870C2" w14:textId="77777777" w:rsidR="004E2F51" w:rsidRPr="00736C15" w:rsidRDefault="004E2F51" w:rsidP="004E2F51">
      <w:pPr>
        <w:pStyle w:val="T1"/>
        <w:spacing w:before="0" w:after="0" w:line="240" w:lineRule="auto"/>
        <w:ind w:left="709" w:hanging="709"/>
        <w:rPr>
          <w:rFonts w:cs="Arial"/>
          <w:color w:val="000000" w:themeColor="text1"/>
          <w:spacing w:val="-3"/>
          <w:sz w:val="20"/>
          <w:lang w:val="hr-HR"/>
        </w:rPr>
      </w:pPr>
    </w:p>
    <w:p w14:paraId="79DA9E56" w14:textId="77777777" w:rsidR="004E2F51" w:rsidRPr="00736C15" w:rsidRDefault="004E2F51" w:rsidP="004E2F51">
      <w:pPr>
        <w:pStyle w:val="T1"/>
        <w:spacing w:before="0" w:after="0" w:line="240" w:lineRule="auto"/>
        <w:ind w:left="709" w:hanging="709"/>
        <w:rPr>
          <w:rFonts w:cs="Arial"/>
          <w:color w:val="000000" w:themeColor="text1"/>
          <w:spacing w:val="-3"/>
          <w:sz w:val="20"/>
          <w:lang w:val="hr-HR"/>
        </w:rPr>
      </w:pPr>
      <w:r w:rsidRPr="00736C15">
        <w:rPr>
          <w:rFonts w:cs="Arial"/>
          <w:color w:val="000000" w:themeColor="text1"/>
          <w:spacing w:val="-3"/>
          <w:sz w:val="20"/>
          <w:lang w:val="hr-HR"/>
        </w:rPr>
        <w:t>3</w:t>
      </w:r>
      <w:r>
        <w:rPr>
          <w:rFonts w:cs="Arial"/>
          <w:color w:val="000000" w:themeColor="text1"/>
          <w:spacing w:val="-3"/>
          <w:sz w:val="20"/>
          <w:lang w:val="hr-HR"/>
        </w:rPr>
        <w:t>2</w:t>
      </w:r>
      <w:r w:rsidRPr="00736C15">
        <w:rPr>
          <w:rFonts w:cs="Arial"/>
          <w:color w:val="000000" w:themeColor="text1"/>
          <w:spacing w:val="-3"/>
          <w:sz w:val="20"/>
          <w:lang w:val="hr-HR"/>
        </w:rPr>
        <w:t xml:space="preserve">.1. </w:t>
      </w:r>
      <w:r w:rsidRPr="00736C15">
        <w:rPr>
          <w:rFonts w:cs="Arial"/>
          <w:color w:val="000000" w:themeColor="text1"/>
          <w:spacing w:val="-3"/>
          <w:sz w:val="20"/>
          <w:lang w:val="hr-HR"/>
        </w:rPr>
        <w:tab/>
        <w:t>Fer vrijednost financijske imovine i financijskih obveza koji se vode po fer vrijednosti (nastavak)</w:t>
      </w:r>
    </w:p>
    <w:p w14:paraId="52F93D9B" w14:textId="77777777" w:rsidR="004E2F51" w:rsidRPr="00736C15" w:rsidRDefault="004E2F51" w:rsidP="004E2F51">
      <w:pPr>
        <w:pStyle w:val="T1"/>
        <w:spacing w:before="0" w:after="0" w:line="240" w:lineRule="auto"/>
        <w:ind w:left="709" w:hanging="709"/>
        <w:rPr>
          <w:rFonts w:cs="Arial"/>
          <w:color w:val="000000" w:themeColor="text1"/>
          <w:spacing w:val="-3"/>
          <w:sz w:val="20"/>
          <w:lang w:val="hr-HR"/>
        </w:rPr>
      </w:pPr>
    </w:p>
    <w:p w14:paraId="3EBD4098" w14:textId="77777777" w:rsidR="004E2F51" w:rsidRPr="00736C15" w:rsidRDefault="004E2F51" w:rsidP="004E2F51">
      <w:pPr>
        <w:pStyle w:val="T1"/>
        <w:spacing w:before="0" w:after="0" w:line="240" w:lineRule="auto"/>
        <w:ind w:left="709" w:hanging="709"/>
        <w:rPr>
          <w:rFonts w:cs="Arial"/>
          <w:color w:val="000000" w:themeColor="text1"/>
          <w:spacing w:val="-3"/>
          <w:sz w:val="20"/>
          <w:lang w:val="hr-HR"/>
        </w:rPr>
      </w:pPr>
    </w:p>
    <w:tbl>
      <w:tblPr>
        <w:tblW w:w="5152" w:type="pct"/>
        <w:jc w:val="center"/>
        <w:tblLayout w:type="fixed"/>
        <w:tblCellMar>
          <w:left w:w="122" w:type="dxa"/>
          <w:right w:w="122" w:type="dxa"/>
        </w:tblCellMar>
        <w:tblLook w:val="0000" w:firstRow="0" w:lastRow="0" w:firstColumn="0" w:lastColumn="0" w:noHBand="0" w:noVBand="0"/>
      </w:tblPr>
      <w:tblGrid>
        <w:gridCol w:w="6111"/>
        <w:gridCol w:w="1062"/>
        <w:gridCol w:w="1232"/>
        <w:gridCol w:w="1234"/>
      </w:tblGrid>
      <w:tr w:rsidR="004E2F51" w:rsidRPr="00736C15" w14:paraId="2DAD86BF" w14:textId="77777777" w:rsidTr="00E032FC">
        <w:trPr>
          <w:trHeight w:val="276"/>
          <w:jc w:val="center"/>
        </w:trPr>
        <w:tc>
          <w:tcPr>
            <w:tcW w:w="3170" w:type="pct"/>
            <w:shd w:val="clear" w:color="auto" w:fill="auto"/>
          </w:tcPr>
          <w:p w14:paraId="7D63E686" w14:textId="77777777" w:rsidR="004E2F51" w:rsidRPr="00736C15" w:rsidRDefault="004E2F51" w:rsidP="00E032FC">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Grupa</w:t>
            </w:r>
          </w:p>
        </w:tc>
        <w:tc>
          <w:tcPr>
            <w:tcW w:w="1830" w:type="pct"/>
            <w:gridSpan w:val="3"/>
          </w:tcPr>
          <w:p w14:paraId="7C8FA4AD"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r w:rsidRPr="00736C15">
              <w:rPr>
                <w:rFonts w:ascii="Arial" w:eastAsia="Calibri" w:hAnsi="Arial" w:cs="Arial"/>
                <w:b/>
                <w:bCs/>
                <w:color w:val="000000"/>
                <w:sz w:val="17"/>
                <w:szCs w:val="17"/>
                <w:lang w:val="hr-HR"/>
              </w:rPr>
              <w:t>31. prosinca 2021.</w:t>
            </w:r>
          </w:p>
        </w:tc>
      </w:tr>
      <w:tr w:rsidR="004E2F51" w:rsidRPr="00736C15" w14:paraId="77218214" w14:textId="77777777" w:rsidTr="00E032FC">
        <w:trPr>
          <w:trHeight w:val="276"/>
          <w:jc w:val="center"/>
        </w:trPr>
        <w:tc>
          <w:tcPr>
            <w:tcW w:w="3170" w:type="pct"/>
            <w:shd w:val="clear" w:color="auto" w:fill="auto"/>
            <w:vAlign w:val="bottom"/>
          </w:tcPr>
          <w:p w14:paraId="751717A3" w14:textId="77777777" w:rsidR="004E2F51" w:rsidRPr="00736C15" w:rsidRDefault="004E2F51" w:rsidP="00E032FC">
            <w:pPr>
              <w:tabs>
                <w:tab w:val="right" w:pos="1202"/>
              </w:tabs>
              <w:ind w:left="-482"/>
              <w:outlineLvl w:val="0"/>
              <w:rPr>
                <w:rFonts w:ascii="Arial" w:eastAsia="Calibri" w:hAnsi="Arial" w:cs="Arial"/>
                <w:color w:val="000000"/>
                <w:spacing w:val="-2"/>
                <w:sz w:val="17"/>
                <w:szCs w:val="17"/>
                <w:lang w:val="hr-HR"/>
              </w:rPr>
            </w:pPr>
          </w:p>
        </w:tc>
        <w:tc>
          <w:tcPr>
            <w:tcW w:w="551" w:type="pct"/>
            <w:shd w:val="clear" w:color="auto" w:fill="auto"/>
            <w:vAlign w:val="bottom"/>
          </w:tcPr>
          <w:p w14:paraId="11F2C8A5"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1</w:t>
            </w:r>
          </w:p>
        </w:tc>
        <w:tc>
          <w:tcPr>
            <w:tcW w:w="639" w:type="pct"/>
            <w:shd w:val="clear" w:color="auto" w:fill="auto"/>
            <w:vAlign w:val="bottom"/>
          </w:tcPr>
          <w:p w14:paraId="2A08224E"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2</w:t>
            </w:r>
          </w:p>
        </w:tc>
        <w:tc>
          <w:tcPr>
            <w:tcW w:w="640" w:type="pct"/>
            <w:shd w:val="clear" w:color="auto" w:fill="auto"/>
            <w:vAlign w:val="bottom"/>
          </w:tcPr>
          <w:p w14:paraId="1518E54D"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3</w:t>
            </w:r>
          </w:p>
        </w:tc>
      </w:tr>
      <w:tr w:rsidR="004E2F51" w:rsidRPr="00736C15" w14:paraId="123E22F6" w14:textId="77777777" w:rsidTr="00E032FC">
        <w:trPr>
          <w:trHeight w:hRule="exact" w:val="200"/>
          <w:jc w:val="center"/>
        </w:trPr>
        <w:tc>
          <w:tcPr>
            <w:tcW w:w="3170" w:type="pct"/>
            <w:shd w:val="clear" w:color="auto" w:fill="auto"/>
            <w:vAlign w:val="bottom"/>
          </w:tcPr>
          <w:p w14:paraId="5B882190"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p>
        </w:tc>
        <w:tc>
          <w:tcPr>
            <w:tcW w:w="551" w:type="pct"/>
            <w:shd w:val="clear" w:color="auto" w:fill="auto"/>
            <w:vAlign w:val="bottom"/>
          </w:tcPr>
          <w:p w14:paraId="107C8B86"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000 kuna</w:t>
            </w:r>
          </w:p>
        </w:tc>
        <w:tc>
          <w:tcPr>
            <w:tcW w:w="639" w:type="pct"/>
            <w:shd w:val="clear" w:color="auto" w:fill="auto"/>
            <w:vAlign w:val="bottom"/>
          </w:tcPr>
          <w:p w14:paraId="150150F9"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000 kuna</w:t>
            </w:r>
          </w:p>
        </w:tc>
        <w:tc>
          <w:tcPr>
            <w:tcW w:w="640" w:type="pct"/>
            <w:shd w:val="clear" w:color="auto" w:fill="auto"/>
            <w:vAlign w:val="bottom"/>
          </w:tcPr>
          <w:p w14:paraId="6E8C2A42"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000 kuna</w:t>
            </w:r>
          </w:p>
        </w:tc>
      </w:tr>
      <w:tr w:rsidR="004E2F51" w:rsidRPr="0002282A" w14:paraId="3992AC65" w14:textId="77777777" w:rsidTr="00E032FC">
        <w:trPr>
          <w:trHeight w:hRule="exact" w:val="255"/>
          <w:jc w:val="center"/>
        </w:trPr>
        <w:tc>
          <w:tcPr>
            <w:tcW w:w="3170" w:type="pct"/>
            <w:vAlign w:val="bottom"/>
          </w:tcPr>
          <w:p w14:paraId="74CFE9F1"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
                <w:color w:val="000000"/>
                <w:sz w:val="17"/>
                <w:szCs w:val="17"/>
                <w:lang w:val="hr-HR"/>
              </w:rPr>
              <w:t>Financijska imovina po fer vrijednosti kroz dobit ili gubitak:</w:t>
            </w:r>
          </w:p>
        </w:tc>
        <w:tc>
          <w:tcPr>
            <w:tcW w:w="551" w:type="pct"/>
            <w:vAlign w:val="bottom"/>
          </w:tcPr>
          <w:p w14:paraId="674EB3B1"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p>
        </w:tc>
        <w:tc>
          <w:tcPr>
            <w:tcW w:w="639" w:type="pct"/>
            <w:vAlign w:val="bottom"/>
          </w:tcPr>
          <w:p w14:paraId="515071EE"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p>
        </w:tc>
        <w:tc>
          <w:tcPr>
            <w:tcW w:w="640" w:type="pct"/>
            <w:vAlign w:val="bottom"/>
          </w:tcPr>
          <w:p w14:paraId="162F8F21"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p>
        </w:tc>
      </w:tr>
      <w:tr w:rsidR="004E2F51" w:rsidRPr="0002282A" w14:paraId="6433C406" w14:textId="77777777" w:rsidTr="00E032FC">
        <w:trPr>
          <w:trHeight w:hRule="exact" w:val="255"/>
          <w:jc w:val="center"/>
        </w:trPr>
        <w:tc>
          <w:tcPr>
            <w:tcW w:w="3170" w:type="pct"/>
            <w:vAlign w:val="bottom"/>
          </w:tcPr>
          <w:p w14:paraId="4AEC7C80" w14:textId="77777777" w:rsidR="004E2F51" w:rsidRPr="00736C15" w:rsidRDefault="004E2F51" w:rsidP="00E032FC">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b/>
                <w:i/>
                <w:color w:val="000000"/>
                <w:sz w:val="17"/>
                <w:szCs w:val="17"/>
                <w:lang w:val="hr-HR"/>
              </w:rPr>
              <w:t>Krediti po fer vrijednosti kroz dobit ili gubitak:</w:t>
            </w:r>
          </w:p>
        </w:tc>
        <w:tc>
          <w:tcPr>
            <w:tcW w:w="551" w:type="pct"/>
            <w:tcBorders>
              <w:top w:val="nil"/>
              <w:left w:val="nil"/>
              <w:right w:val="nil"/>
            </w:tcBorders>
            <w:shd w:val="clear" w:color="auto" w:fill="auto"/>
            <w:vAlign w:val="bottom"/>
          </w:tcPr>
          <w:p w14:paraId="6D712439"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639" w:type="pct"/>
            <w:tcBorders>
              <w:top w:val="nil"/>
              <w:left w:val="nil"/>
              <w:right w:val="nil"/>
            </w:tcBorders>
            <w:shd w:val="clear" w:color="auto" w:fill="auto"/>
            <w:vAlign w:val="bottom"/>
          </w:tcPr>
          <w:p w14:paraId="288783DD"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640" w:type="pct"/>
            <w:tcBorders>
              <w:top w:val="nil"/>
              <w:left w:val="nil"/>
              <w:right w:val="nil"/>
            </w:tcBorders>
            <w:shd w:val="clear" w:color="auto" w:fill="auto"/>
            <w:vAlign w:val="bottom"/>
          </w:tcPr>
          <w:p w14:paraId="71DA7126"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r>
      <w:tr w:rsidR="004E2F51" w:rsidRPr="00736C15" w14:paraId="76EA7353" w14:textId="77777777" w:rsidTr="00E032FC">
        <w:trPr>
          <w:trHeight w:val="251"/>
          <w:jc w:val="center"/>
        </w:trPr>
        <w:tc>
          <w:tcPr>
            <w:tcW w:w="3170" w:type="pct"/>
            <w:vAlign w:val="bottom"/>
          </w:tcPr>
          <w:p w14:paraId="30F418E2" w14:textId="77777777" w:rsidR="004E2F51" w:rsidRPr="00736C15" w:rsidRDefault="004E2F51" w:rsidP="00E032FC">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Mezzanine krediti</w:t>
            </w:r>
          </w:p>
        </w:tc>
        <w:tc>
          <w:tcPr>
            <w:tcW w:w="551" w:type="pct"/>
            <w:tcBorders>
              <w:top w:val="nil"/>
              <w:left w:val="nil"/>
              <w:right w:val="nil"/>
            </w:tcBorders>
            <w:shd w:val="clear" w:color="auto" w:fill="auto"/>
            <w:vAlign w:val="bottom"/>
          </w:tcPr>
          <w:p w14:paraId="1F6B75DD"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 </w:t>
            </w:r>
          </w:p>
        </w:tc>
        <w:tc>
          <w:tcPr>
            <w:tcW w:w="639" w:type="pct"/>
            <w:tcBorders>
              <w:top w:val="nil"/>
              <w:left w:val="nil"/>
              <w:right w:val="nil"/>
            </w:tcBorders>
            <w:shd w:val="clear" w:color="auto" w:fill="auto"/>
            <w:vAlign w:val="bottom"/>
          </w:tcPr>
          <w:p w14:paraId="78955801"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 </w:t>
            </w:r>
          </w:p>
        </w:tc>
        <w:tc>
          <w:tcPr>
            <w:tcW w:w="640" w:type="pct"/>
            <w:tcBorders>
              <w:top w:val="nil"/>
              <w:left w:val="nil"/>
              <w:right w:val="nil"/>
            </w:tcBorders>
            <w:shd w:val="clear" w:color="auto" w:fill="auto"/>
            <w:vAlign w:val="bottom"/>
          </w:tcPr>
          <w:p w14:paraId="145E0B76"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16.375 </w:t>
            </w:r>
          </w:p>
        </w:tc>
      </w:tr>
      <w:tr w:rsidR="004E2F51" w:rsidRPr="00736C15" w14:paraId="7C21CD2A" w14:textId="77777777" w:rsidTr="00E032FC">
        <w:trPr>
          <w:trHeight w:hRule="exact" w:val="251"/>
          <w:jc w:val="center"/>
        </w:trPr>
        <w:tc>
          <w:tcPr>
            <w:tcW w:w="3170" w:type="pct"/>
            <w:vAlign w:val="bottom"/>
          </w:tcPr>
          <w:p w14:paraId="1B571F9B" w14:textId="77777777" w:rsidR="004E2F51" w:rsidRPr="00736C15" w:rsidRDefault="004E2F51" w:rsidP="00E032FC">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b/>
                <w:i/>
                <w:color w:val="000000"/>
                <w:sz w:val="17"/>
                <w:szCs w:val="17"/>
                <w:lang w:val="hr-HR"/>
              </w:rPr>
              <w:t>Ulaganja u investicijske fondove:</w:t>
            </w:r>
          </w:p>
        </w:tc>
        <w:tc>
          <w:tcPr>
            <w:tcW w:w="551" w:type="pct"/>
            <w:tcBorders>
              <w:top w:val="nil"/>
              <w:left w:val="nil"/>
              <w:right w:val="nil"/>
            </w:tcBorders>
            <w:shd w:val="clear" w:color="auto" w:fill="auto"/>
            <w:vAlign w:val="bottom"/>
          </w:tcPr>
          <w:p w14:paraId="786438E0"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639" w:type="pct"/>
            <w:tcBorders>
              <w:top w:val="nil"/>
              <w:left w:val="nil"/>
              <w:right w:val="nil"/>
            </w:tcBorders>
            <w:shd w:val="clear" w:color="auto" w:fill="auto"/>
            <w:vAlign w:val="bottom"/>
          </w:tcPr>
          <w:p w14:paraId="37E6D2BA"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640" w:type="pct"/>
            <w:tcBorders>
              <w:top w:val="nil"/>
              <w:left w:val="nil"/>
              <w:right w:val="nil"/>
            </w:tcBorders>
            <w:shd w:val="clear" w:color="auto" w:fill="auto"/>
            <w:vAlign w:val="bottom"/>
          </w:tcPr>
          <w:p w14:paraId="2D2EEC08"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r>
      <w:tr w:rsidR="004E2F51" w:rsidRPr="00736C15" w14:paraId="3BBECD83" w14:textId="77777777" w:rsidTr="00E032FC">
        <w:trPr>
          <w:trHeight w:hRule="exact" w:val="227"/>
          <w:jc w:val="center"/>
        </w:trPr>
        <w:tc>
          <w:tcPr>
            <w:tcW w:w="3170" w:type="pct"/>
            <w:vAlign w:val="bottom"/>
          </w:tcPr>
          <w:p w14:paraId="37C8B16E"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Udjeli u investicijskim fondovima po fer vrijednosti kroz dobit ili gubitak</w:t>
            </w:r>
          </w:p>
        </w:tc>
        <w:tc>
          <w:tcPr>
            <w:tcW w:w="551" w:type="pct"/>
            <w:tcBorders>
              <w:top w:val="nil"/>
              <w:left w:val="nil"/>
              <w:right w:val="nil"/>
            </w:tcBorders>
            <w:shd w:val="clear" w:color="auto" w:fill="auto"/>
            <w:vAlign w:val="bottom"/>
          </w:tcPr>
          <w:p w14:paraId="294B9577"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sidRPr="00736C15">
              <w:rPr>
                <w:rFonts w:ascii="Arial" w:hAnsi="Arial" w:cs="Arial"/>
                <w:sz w:val="17"/>
                <w:szCs w:val="17"/>
              </w:rPr>
              <w:t xml:space="preserve">202.260 </w:t>
            </w:r>
          </w:p>
        </w:tc>
        <w:tc>
          <w:tcPr>
            <w:tcW w:w="639" w:type="pct"/>
            <w:tcBorders>
              <w:top w:val="nil"/>
              <w:left w:val="nil"/>
              <w:right w:val="nil"/>
            </w:tcBorders>
            <w:shd w:val="clear" w:color="auto" w:fill="auto"/>
            <w:vAlign w:val="bottom"/>
          </w:tcPr>
          <w:p w14:paraId="53B1BB2A"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sidRPr="00736C15">
              <w:rPr>
                <w:rFonts w:ascii="Arial" w:hAnsi="Arial" w:cs="Arial"/>
                <w:sz w:val="17"/>
                <w:szCs w:val="17"/>
              </w:rPr>
              <w:t xml:space="preserve"> - </w:t>
            </w:r>
          </w:p>
        </w:tc>
        <w:tc>
          <w:tcPr>
            <w:tcW w:w="640" w:type="pct"/>
            <w:tcBorders>
              <w:top w:val="nil"/>
              <w:left w:val="nil"/>
              <w:right w:val="nil"/>
            </w:tcBorders>
            <w:shd w:val="clear" w:color="auto" w:fill="auto"/>
            <w:vAlign w:val="bottom"/>
          </w:tcPr>
          <w:p w14:paraId="6466184A"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sidRPr="00736C15">
              <w:rPr>
                <w:rFonts w:ascii="Arial" w:hAnsi="Arial" w:cs="Arial"/>
                <w:sz w:val="17"/>
                <w:szCs w:val="17"/>
              </w:rPr>
              <w:t xml:space="preserve"> - </w:t>
            </w:r>
          </w:p>
        </w:tc>
      </w:tr>
      <w:tr w:rsidR="004E2F51" w:rsidRPr="00736C15" w14:paraId="23895273" w14:textId="77777777" w:rsidTr="00E032FC">
        <w:trPr>
          <w:trHeight w:val="192"/>
          <w:jc w:val="center"/>
        </w:trPr>
        <w:tc>
          <w:tcPr>
            <w:tcW w:w="3170" w:type="pct"/>
            <w:vAlign w:val="bottom"/>
          </w:tcPr>
          <w:p w14:paraId="21DEF362" w14:textId="77777777" w:rsidR="004E2F51" w:rsidRPr="00736C15" w:rsidRDefault="004E2F51" w:rsidP="00E032FC">
            <w:pPr>
              <w:tabs>
                <w:tab w:val="right" w:pos="1202"/>
              </w:tabs>
              <w:outlineLvl w:val="0"/>
              <w:rPr>
                <w:rFonts w:ascii="Arial" w:eastAsia="Calibri" w:hAnsi="Arial" w:cs="Arial"/>
                <w:b/>
                <w:color w:val="000000"/>
                <w:sz w:val="17"/>
                <w:szCs w:val="17"/>
                <w:lang w:val="hr-HR"/>
              </w:rPr>
            </w:pPr>
            <w:r w:rsidRPr="00736C15">
              <w:rPr>
                <w:rFonts w:ascii="Arial" w:eastAsia="Calibri" w:hAnsi="Arial" w:cs="Arial"/>
                <w:b/>
                <w:color w:val="000000"/>
                <w:sz w:val="17"/>
                <w:szCs w:val="17"/>
                <w:lang w:val="hr-HR"/>
              </w:rPr>
              <w:t>Vlasnički vrijednosni papiri:</w:t>
            </w:r>
          </w:p>
          <w:p w14:paraId="012BB373" w14:textId="77777777" w:rsidR="004E2F51" w:rsidRPr="00736C15" w:rsidRDefault="004E2F51" w:rsidP="00E032FC">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Vlasnički vrijednosni papiri koji kotiraju:</w:t>
            </w:r>
          </w:p>
          <w:p w14:paraId="048FE2C7" w14:textId="77777777" w:rsidR="004E2F51" w:rsidRPr="00736C15" w:rsidRDefault="004E2F51" w:rsidP="00E032FC">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Dionice trgovačkih društava</w:t>
            </w:r>
          </w:p>
        </w:tc>
        <w:tc>
          <w:tcPr>
            <w:tcW w:w="551" w:type="pct"/>
            <w:tcBorders>
              <w:top w:val="nil"/>
              <w:left w:val="nil"/>
              <w:right w:val="nil"/>
            </w:tcBorders>
            <w:shd w:val="clear" w:color="auto" w:fill="auto"/>
            <w:vAlign w:val="bottom"/>
          </w:tcPr>
          <w:p w14:paraId="1EFB8EEA"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w:t>
            </w:r>
          </w:p>
        </w:tc>
        <w:tc>
          <w:tcPr>
            <w:tcW w:w="639" w:type="pct"/>
            <w:tcBorders>
              <w:top w:val="nil"/>
              <w:left w:val="nil"/>
              <w:right w:val="nil"/>
            </w:tcBorders>
            <w:shd w:val="clear" w:color="auto" w:fill="auto"/>
            <w:vAlign w:val="bottom"/>
          </w:tcPr>
          <w:p w14:paraId="33A662D6"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w:t>
            </w:r>
          </w:p>
        </w:tc>
        <w:tc>
          <w:tcPr>
            <w:tcW w:w="640" w:type="pct"/>
            <w:tcBorders>
              <w:top w:val="nil"/>
              <w:left w:val="nil"/>
              <w:right w:val="nil"/>
            </w:tcBorders>
            <w:shd w:val="clear" w:color="auto" w:fill="auto"/>
            <w:vAlign w:val="bottom"/>
          </w:tcPr>
          <w:p w14:paraId="112A6C4C"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 xml:space="preserve">    -</w:t>
            </w:r>
          </w:p>
        </w:tc>
      </w:tr>
      <w:tr w:rsidR="004E2F51" w:rsidRPr="00736C15" w14:paraId="7B3404AF" w14:textId="77777777" w:rsidTr="00E032FC">
        <w:trPr>
          <w:trHeight w:val="192"/>
          <w:jc w:val="center"/>
        </w:trPr>
        <w:tc>
          <w:tcPr>
            <w:tcW w:w="3170" w:type="pct"/>
            <w:vAlign w:val="bottom"/>
          </w:tcPr>
          <w:p w14:paraId="662CD5C3" w14:textId="77777777" w:rsidR="004E2F51" w:rsidRPr="00736C15" w:rsidRDefault="004E2F51" w:rsidP="00E032FC">
            <w:pPr>
              <w:tabs>
                <w:tab w:val="right" w:pos="1202"/>
              </w:tabs>
              <w:outlineLvl w:val="0"/>
              <w:rPr>
                <w:rFonts w:ascii="Arial" w:eastAsia="Calibri" w:hAnsi="Arial" w:cs="Arial"/>
                <w:color w:val="000000"/>
                <w:sz w:val="17"/>
                <w:szCs w:val="17"/>
                <w:lang w:val="hr-HR"/>
              </w:rPr>
            </w:pPr>
            <w:r w:rsidRPr="00736C15">
              <w:rPr>
                <w:rFonts w:ascii="Arial" w:eastAsia="Calibri" w:hAnsi="Arial" w:cs="Arial"/>
                <w:b/>
                <w:i/>
                <w:color w:val="000000"/>
                <w:spacing w:val="-2"/>
                <w:sz w:val="17"/>
                <w:szCs w:val="17"/>
                <w:lang w:val="hr-HR"/>
              </w:rPr>
              <w:t>Vlasnički vrijednosni papiri koji ne kotiraju:</w:t>
            </w:r>
          </w:p>
        </w:tc>
        <w:tc>
          <w:tcPr>
            <w:tcW w:w="551" w:type="pct"/>
            <w:tcBorders>
              <w:left w:val="nil"/>
              <w:right w:val="nil"/>
            </w:tcBorders>
            <w:shd w:val="clear" w:color="auto" w:fill="auto"/>
            <w:vAlign w:val="bottom"/>
          </w:tcPr>
          <w:p w14:paraId="61118313"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639" w:type="pct"/>
            <w:tcBorders>
              <w:top w:val="nil"/>
              <w:left w:val="nil"/>
              <w:right w:val="nil"/>
            </w:tcBorders>
            <w:shd w:val="clear" w:color="auto" w:fill="auto"/>
            <w:vAlign w:val="bottom"/>
          </w:tcPr>
          <w:p w14:paraId="77DE6157"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640" w:type="pct"/>
            <w:tcBorders>
              <w:top w:val="nil"/>
              <w:left w:val="nil"/>
              <w:right w:val="nil"/>
            </w:tcBorders>
            <w:shd w:val="clear" w:color="auto" w:fill="auto"/>
            <w:vAlign w:val="bottom"/>
          </w:tcPr>
          <w:p w14:paraId="294946F6"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r>
      <w:tr w:rsidR="004E2F51" w:rsidRPr="00736C15" w14:paraId="399DE5AD" w14:textId="77777777" w:rsidTr="00E032FC">
        <w:trPr>
          <w:trHeight w:hRule="exact" w:val="227"/>
          <w:jc w:val="center"/>
        </w:trPr>
        <w:tc>
          <w:tcPr>
            <w:tcW w:w="3170" w:type="pct"/>
            <w:vAlign w:val="bottom"/>
          </w:tcPr>
          <w:p w14:paraId="15A4AC0E"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Dionice trgovačkih društava</w:t>
            </w:r>
          </w:p>
        </w:tc>
        <w:tc>
          <w:tcPr>
            <w:tcW w:w="551" w:type="pct"/>
            <w:tcBorders>
              <w:left w:val="nil"/>
              <w:right w:val="nil"/>
            </w:tcBorders>
            <w:shd w:val="clear" w:color="auto" w:fill="auto"/>
            <w:vAlign w:val="bottom"/>
          </w:tcPr>
          <w:p w14:paraId="69695FF0"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 </w:t>
            </w:r>
          </w:p>
        </w:tc>
        <w:tc>
          <w:tcPr>
            <w:tcW w:w="639" w:type="pct"/>
            <w:tcBorders>
              <w:top w:val="nil"/>
              <w:left w:val="nil"/>
              <w:right w:val="nil"/>
            </w:tcBorders>
            <w:shd w:val="clear" w:color="auto" w:fill="auto"/>
            <w:vAlign w:val="bottom"/>
          </w:tcPr>
          <w:p w14:paraId="0A9265A3"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 </w:t>
            </w:r>
          </w:p>
        </w:tc>
        <w:tc>
          <w:tcPr>
            <w:tcW w:w="640" w:type="pct"/>
            <w:tcBorders>
              <w:top w:val="nil"/>
              <w:left w:val="nil"/>
              <w:right w:val="nil"/>
            </w:tcBorders>
            <w:shd w:val="clear" w:color="auto" w:fill="auto"/>
            <w:vAlign w:val="bottom"/>
          </w:tcPr>
          <w:p w14:paraId="2D51E3D3"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31 </w:t>
            </w:r>
          </w:p>
        </w:tc>
      </w:tr>
      <w:tr w:rsidR="004E2F51" w:rsidRPr="00736C15" w14:paraId="464FCBD7" w14:textId="77777777" w:rsidTr="00E032FC">
        <w:trPr>
          <w:trHeight w:hRule="exact" w:val="227"/>
          <w:jc w:val="center"/>
        </w:trPr>
        <w:tc>
          <w:tcPr>
            <w:tcW w:w="3170" w:type="pct"/>
            <w:vAlign w:val="bottom"/>
          </w:tcPr>
          <w:p w14:paraId="7980F762"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Depozitarne potvrde - DR</w:t>
            </w:r>
          </w:p>
        </w:tc>
        <w:tc>
          <w:tcPr>
            <w:tcW w:w="551" w:type="pct"/>
            <w:tcBorders>
              <w:left w:val="nil"/>
              <w:right w:val="nil"/>
            </w:tcBorders>
            <w:shd w:val="clear" w:color="auto" w:fill="auto"/>
            <w:vAlign w:val="bottom"/>
          </w:tcPr>
          <w:p w14:paraId="639F6D20"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w:t>
            </w:r>
          </w:p>
        </w:tc>
        <w:tc>
          <w:tcPr>
            <w:tcW w:w="639" w:type="pct"/>
            <w:tcBorders>
              <w:top w:val="nil"/>
              <w:left w:val="nil"/>
              <w:right w:val="nil"/>
            </w:tcBorders>
            <w:shd w:val="clear" w:color="auto" w:fill="auto"/>
            <w:vAlign w:val="bottom"/>
          </w:tcPr>
          <w:p w14:paraId="762A4EA5"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w:t>
            </w:r>
          </w:p>
        </w:tc>
        <w:tc>
          <w:tcPr>
            <w:tcW w:w="640" w:type="pct"/>
            <w:tcBorders>
              <w:top w:val="nil"/>
              <w:left w:val="nil"/>
              <w:right w:val="nil"/>
            </w:tcBorders>
            <w:shd w:val="clear" w:color="auto" w:fill="auto"/>
            <w:vAlign w:val="bottom"/>
          </w:tcPr>
          <w:p w14:paraId="501810F8"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318 </w:t>
            </w:r>
          </w:p>
        </w:tc>
      </w:tr>
      <w:tr w:rsidR="004E2F51" w:rsidRPr="00736C15" w14:paraId="337ADD43" w14:textId="77777777" w:rsidTr="00E032FC">
        <w:trPr>
          <w:trHeight w:hRule="exact" w:val="255"/>
          <w:jc w:val="center"/>
        </w:trPr>
        <w:tc>
          <w:tcPr>
            <w:tcW w:w="3170" w:type="pct"/>
            <w:vAlign w:val="bottom"/>
          </w:tcPr>
          <w:p w14:paraId="7E4BD776" w14:textId="77777777" w:rsidR="004E2F51" w:rsidRPr="00736C15" w:rsidRDefault="004E2F51" w:rsidP="00E032FC">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Ukupno financijska imovina po fer vrijednosti kroz dobit ili gubitak</w:t>
            </w:r>
          </w:p>
        </w:tc>
        <w:tc>
          <w:tcPr>
            <w:tcW w:w="551" w:type="pct"/>
            <w:tcBorders>
              <w:top w:val="single" w:sz="4" w:space="0" w:color="auto"/>
              <w:left w:val="nil"/>
              <w:bottom w:val="single" w:sz="12" w:space="0" w:color="auto"/>
              <w:right w:val="nil"/>
            </w:tcBorders>
            <w:shd w:val="clear" w:color="auto" w:fill="auto"/>
            <w:vAlign w:val="bottom"/>
          </w:tcPr>
          <w:p w14:paraId="3E95BA56"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r w:rsidRPr="00736C15">
              <w:rPr>
                <w:rFonts w:ascii="Arial" w:hAnsi="Arial" w:cs="Arial"/>
                <w:b/>
                <w:bCs/>
                <w:sz w:val="17"/>
                <w:szCs w:val="17"/>
                <w:lang w:val="it-IT"/>
              </w:rPr>
              <w:t xml:space="preserve"> </w:t>
            </w:r>
            <w:r w:rsidRPr="00736C15">
              <w:rPr>
                <w:rFonts w:ascii="Arial" w:hAnsi="Arial" w:cs="Arial"/>
                <w:b/>
                <w:bCs/>
                <w:sz w:val="17"/>
                <w:szCs w:val="17"/>
              </w:rPr>
              <w:t xml:space="preserve">202.260 </w:t>
            </w:r>
          </w:p>
        </w:tc>
        <w:tc>
          <w:tcPr>
            <w:tcW w:w="639" w:type="pct"/>
            <w:tcBorders>
              <w:top w:val="single" w:sz="4" w:space="0" w:color="auto"/>
              <w:left w:val="nil"/>
              <w:bottom w:val="single" w:sz="12" w:space="0" w:color="auto"/>
              <w:right w:val="nil"/>
            </w:tcBorders>
            <w:shd w:val="clear" w:color="auto" w:fill="auto"/>
            <w:vAlign w:val="bottom"/>
          </w:tcPr>
          <w:p w14:paraId="111A4173"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r w:rsidRPr="00736C15">
              <w:rPr>
                <w:rFonts w:ascii="Arial" w:hAnsi="Arial" w:cs="Arial"/>
                <w:b/>
                <w:bCs/>
                <w:sz w:val="17"/>
                <w:szCs w:val="17"/>
              </w:rPr>
              <w:t xml:space="preserve"> - </w:t>
            </w:r>
          </w:p>
        </w:tc>
        <w:tc>
          <w:tcPr>
            <w:tcW w:w="640" w:type="pct"/>
            <w:tcBorders>
              <w:top w:val="single" w:sz="4" w:space="0" w:color="auto"/>
              <w:left w:val="nil"/>
              <w:bottom w:val="single" w:sz="12" w:space="0" w:color="auto"/>
              <w:right w:val="nil"/>
            </w:tcBorders>
            <w:shd w:val="clear" w:color="auto" w:fill="auto"/>
            <w:vAlign w:val="bottom"/>
          </w:tcPr>
          <w:p w14:paraId="374D81D7"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r w:rsidRPr="00736C15">
              <w:rPr>
                <w:rFonts w:ascii="Arial" w:hAnsi="Arial" w:cs="Arial"/>
                <w:b/>
                <w:bCs/>
                <w:sz w:val="17"/>
                <w:szCs w:val="17"/>
              </w:rPr>
              <w:t xml:space="preserve"> 16.724 </w:t>
            </w:r>
          </w:p>
        </w:tc>
      </w:tr>
      <w:tr w:rsidR="004E2F51" w:rsidRPr="00736C15" w14:paraId="69DB351F" w14:textId="77777777" w:rsidTr="00E032FC">
        <w:trPr>
          <w:trHeight w:hRule="exact" w:val="255"/>
          <w:jc w:val="center"/>
        </w:trPr>
        <w:tc>
          <w:tcPr>
            <w:tcW w:w="3170" w:type="pct"/>
            <w:shd w:val="clear" w:color="auto" w:fill="auto"/>
            <w:vAlign w:val="bottom"/>
          </w:tcPr>
          <w:p w14:paraId="0B872A1C" w14:textId="77777777" w:rsidR="004E2F51" w:rsidRPr="00736C15" w:rsidRDefault="004E2F51" w:rsidP="00E032FC">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Financijska imovina po fer vrijednosti kroz ostalu sveobuhvatnu dobit:</w:t>
            </w:r>
          </w:p>
        </w:tc>
        <w:tc>
          <w:tcPr>
            <w:tcW w:w="551" w:type="pct"/>
            <w:vAlign w:val="bottom"/>
          </w:tcPr>
          <w:p w14:paraId="5B6734AF"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39" w:type="pct"/>
            <w:vAlign w:val="bottom"/>
          </w:tcPr>
          <w:p w14:paraId="215D067A"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40" w:type="pct"/>
            <w:vAlign w:val="bottom"/>
          </w:tcPr>
          <w:p w14:paraId="08CE3530"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6538F4CB" w14:textId="77777777" w:rsidTr="00E032FC">
        <w:trPr>
          <w:trHeight w:hRule="exact" w:val="255"/>
          <w:jc w:val="center"/>
        </w:trPr>
        <w:tc>
          <w:tcPr>
            <w:tcW w:w="3170" w:type="pct"/>
            <w:shd w:val="clear" w:color="auto" w:fill="auto"/>
            <w:vAlign w:val="bottom"/>
          </w:tcPr>
          <w:p w14:paraId="1991D96E" w14:textId="77777777" w:rsidR="004E2F51" w:rsidRPr="00736C15" w:rsidRDefault="004E2F51" w:rsidP="00E032FC">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Dužnički vrijednosni papiri:</w:t>
            </w:r>
          </w:p>
        </w:tc>
        <w:tc>
          <w:tcPr>
            <w:tcW w:w="551" w:type="pct"/>
            <w:vAlign w:val="bottom"/>
          </w:tcPr>
          <w:p w14:paraId="0B4F0B69"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39" w:type="pct"/>
            <w:vAlign w:val="bottom"/>
          </w:tcPr>
          <w:p w14:paraId="72756254"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40" w:type="pct"/>
            <w:vAlign w:val="bottom"/>
          </w:tcPr>
          <w:p w14:paraId="1C4A30A5"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3BF70FE0" w14:textId="77777777" w:rsidTr="00E032FC">
        <w:trPr>
          <w:trHeight w:hRule="exact" w:val="255"/>
          <w:jc w:val="center"/>
        </w:trPr>
        <w:tc>
          <w:tcPr>
            <w:tcW w:w="3170" w:type="pct"/>
            <w:shd w:val="clear" w:color="auto" w:fill="auto"/>
            <w:vAlign w:val="bottom"/>
          </w:tcPr>
          <w:p w14:paraId="5513FB31" w14:textId="77777777" w:rsidR="004E2F51" w:rsidRPr="00736C15" w:rsidRDefault="004E2F51" w:rsidP="00E032FC">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Dužnički vrijednosni papiri koji kotiraju:</w:t>
            </w:r>
          </w:p>
        </w:tc>
        <w:tc>
          <w:tcPr>
            <w:tcW w:w="551" w:type="pct"/>
            <w:vAlign w:val="bottom"/>
          </w:tcPr>
          <w:p w14:paraId="7A9872C5"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39" w:type="pct"/>
            <w:vAlign w:val="bottom"/>
          </w:tcPr>
          <w:p w14:paraId="4577E5F4"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40" w:type="pct"/>
            <w:vAlign w:val="bottom"/>
          </w:tcPr>
          <w:p w14:paraId="23BD9B2F"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163F26A4" w14:textId="77777777" w:rsidTr="00E032FC">
        <w:trPr>
          <w:trHeight w:hRule="exact" w:val="227"/>
          <w:jc w:val="center"/>
        </w:trPr>
        <w:tc>
          <w:tcPr>
            <w:tcW w:w="3170" w:type="pct"/>
            <w:shd w:val="clear" w:color="auto" w:fill="auto"/>
            <w:vAlign w:val="bottom"/>
          </w:tcPr>
          <w:p w14:paraId="1028C7E3"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Obveznice Republike Hrvatske</w:t>
            </w:r>
          </w:p>
        </w:tc>
        <w:tc>
          <w:tcPr>
            <w:tcW w:w="551" w:type="pct"/>
            <w:tcBorders>
              <w:top w:val="nil"/>
              <w:left w:val="nil"/>
              <w:bottom w:val="nil"/>
              <w:right w:val="nil"/>
            </w:tcBorders>
            <w:shd w:val="clear" w:color="auto" w:fill="auto"/>
            <w:vAlign w:val="bottom"/>
          </w:tcPr>
          <w:p w14:paraId="07891C32"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sidRPr="00736C15">
              <w:rPr>
                <w:rFonts w:ascii="Arial" w:hAnsi="Arial" w:cs="Arial"/>
                <w:sz w:val="17"/>
                <w:szCs w:val="17"/>
              </w:rPr>
              <w:t xml:space="preserve"> 1.358.981 </w:t>
            </w:r>
          </w:p>
        </w:tc>
        <w:tc>
          <w:tcPr>
            <w:tcW w:w="639" w:type="pct"/>
            <w:tcBorders>
              <w:top w:val="nil"/>
              <w:left w:val="nil"/>
              <w:bottom w:val="nil"/>
              <w:right w:val="nil"/>
            </w:tcBorders>
            <w:shd w:val="clear" w:color="auto" w:fill="auto"/>
            <w:vAlign w:val="bottom"/>
          </w:tcPr>
          <w:p w14:paraId="320B5DA4"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 </w:t>
            </w:r>
          </w:p>
        </w:tc>
        <w:tc>
          <w:tcPr>
            <w:tcW w:w="640" w:type="pct"/>
            <w:tcBorders>
              <w:top w:val="nil"/>
              <w:left w:val="nil"/>
              <w:bottom w:val="nil"/>
              <w:right w:val="nil"/>
            </w:tcBorders>
            <w:shd w:val="clear" w:color="auto" w:fill="auto"/>
            <w:vAlign w:val="bottom"/>
          </w:tcPr>
          <w:p w14:paraId="79142E3F"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 </w:t>
            </w:r>
          </w:p>
        </w:tc>
      </w:tr>
      <w:tr w:rsidR="004E2F51" w:rsidRPr="00736C15" w14:paraId="13682F1A" w14:textId="77777777" w:rsidTr="00E032FC">
        <w:trPr>
          <w:trHeight w:hRule="exact" w:val="227"/>
          <w:jc w:val="center"/>
        </w:trPr>
        <w:tc>
          <w:tcPr>
            <w:tcW w:w="3170" w:type="pct"/>
            <w:shd w:val="clear" w:color="auto" w:fill="auto"/>
            <w:vAlign w:val="bottom"/>
          </w:tcPr>
          <w:p w14:paraId="0FBA2FE2"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Obveznice trgovačkih društava</w:t>
            </w:r>
          </w:p>
        </w:tc>
        <w:tc>
          <w:tcPr>
            <w:tcW w:w="551" w:type="pct"/>
            <w:tcBorders>
              <w:top w:val="nil"/>
              <w:left w:val="nil"/>
              <w:bottom w:val="nil"/>
              <w:right w:val="nil"/>
            </w:tcBorders>
            <w:shd w:val="clear" w:color="auto" w:fill="auto"/>
            <w:vAlign w:val="bottom"/>
          </w:tcPr>
          <w:p w14:paraId="74CB9D75"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sidRPr="00736C15">
              <w:rPr>
                <w:rFonts w:ascii="Arial" w:hAnsi="Arial" w:cs="Arial"/>
                <w:sz w:val="17"/>
                <w:szCs w:val="17"/>
              </w:rPr>
              <w:t xml:space="preserve"> 2.393 </w:t>
            </w:r>
          </w:p>
        </w:tc>
        <w:tc>
          <w:tcPr>
            <w:tcW w:w="639" w:type="pct"/>
            <w:tcBorders>
              <w:top w:val="nil"/>
              <w:left w:val="nil"/>
              <w:bottom w:val="nil"/>
              <w:right w:val="nil"/>
            </w:tcBorders>
            <w:shd w:val="clear" w:color="auto" w:fill="auto"/>
            <w:vAlign w:val="bottom"/>
          </w:tcPr>
          <w:p w14:paraId="42647FB9"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 </w:t>
            </w:r>
          </w:p>
        </w:tc>
        <w:tc>
          <w:tcPr>
            <w:tcW w:w="640" w:type="pct"/>
            <w:tcBorders>
              <w:top w:val="nil"/>
              <w:left w:val="nil"/>
              <w:bottom w:val="nil"/>
              <w:right w:val="nil"/>
            </w:tcBorders>
            <w:shd w:val="clear" w:color="auto" w:fill="auto"/>
            <w:vAlign w:val="bottom"/>
          </w:tcPr>
          <w:p w14:paraId="2484BD8A"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 </w:t>
            </w:r>
          </w:p>
        </w:tc>
      </w:tr>
      <w:tr w:rsidR="004E2F51" w:rsidRPr="00736C15" w14:paraId="49099EDD" w14:textId="77777777" w:rsidTr="00E032FC">
        <w:trPr>
          <w:trHeight w:hRule="exact" w:val="227"/>
          <w:jc w:val="center"/>
        </w:trPr>
        <w:tc>
          <w:tcPr>
            <w:tcW w:w="3170" w:type="pct"/>
            <w:shd w:val="clear" w:color="auto" w:fill="auto"/>
            <w:vAlign w:val="bottom"/>
          </w:tcPr>
          <w:p w14:paraId="1EE3B55D"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Trezorski zapisi Ministarstva financija</w:t>
            </w:r>
          </w:p>
        </w:tc>
        <w:tc>
          <w:tcPr>
            <w:tcW w:w="551" w:type="pct"/>
            <w:tcBorders>
              <w:top w:val="nil"/>
              <w:left w:val="nil"/>
              <w:bottom w:val="nil"/>
              <w:right w:val="nil"/>
            </w:tcBorders>
            <w:shd w:val="clear" w:color="auto" w:fill="auto"/>
            <w:vAlign w:val="bottom"/>
          </w:tcPr>
          <w:p w14:paraId="20B17E1D"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sidRPr="00736C15">
              <w:rPr>
                <w:rFonts w:ascii="Arial" w:hAnsi="Arial" w:cs="Arial"/>
                <w:sz w:val="17"/>
                <w:szCs w:val="17"/>
              </w:rPr>
              <w:t xml:space="preserve">- </w:t>
            </w:r>
          </w:p>
        </w:tc>
        <w:tc>
          <w:tcPr>
            <w:tcW w:w="639" w:type="pct"/>
            <w:tcBorders>
              <w:top w:val="nil"/>
              <w:left w:val="nil"/>
              <w:bottom w:val="nil"/>
              <w:right w:val="nil"/>
            </w:tcBorders>
            <w:shd w:val="clear" w:color="auto" w:fill="auto"/>
            <w:vAlign w:val="bottom"/>
          </w:tcPr>
          <w:p w14:paraId="543FE365"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1.550.344</w:t>
            </w:r>
          </w:p>
        </w:tc>
        <w:tc>
          <w:tcPr>
            <w:tcW w:w="640" w:type="pct"/>
            <w:tcBorders>
              <w:top w:val="nil"/>
              <w:left w:val="nil"/>
              <w:bottom w:val="nil"/>
              <w:right w:val="nil"/>
            </w:tcBorders>
            <w:shd w:val="clear" w:color="auto" w:fill="auto"/>
            <w:vAlign w:val="bottom"/>
          </w:tcPr>
          <w:p w14:paraId="320370C2"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 </w:t>
            </w:r>
          </w:p>
        </w:tc>
      </w:tr>
      <w:tr w:rsidR="004E2F51" w:rsidRPr="00736C15" w14:paraId="77B00ACF" w14:textId="77777777" w:rsidTr="00E032FC">
        <w:trPr>
          <w:trHeight w:hRule="exact" w:val="227"/>
          <w:jc w:val="center"/>
        </w:trPr>
        <w:tc>
          <w:tcPr>
            <w:tcW w:w="3170" w:type="pct"/>
            <w:shd w:val="clear" w:color="auto" w:fill="auto"/>
            <w:vAlign w:val="bottom"/>
          </w:tcPr>
          <w:p w14:paraId="11205CB4"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 xml:space="preserve">Obračunata kamata </w:t>
            </w:r>
          </w:p>
        </w:tc>
        <w:tc>
          <w:tcPr>
            <w:tcW w:w="551" w:type="pct"/>
            <w:tcBorders>
              <w:top w:val="nil"/>
              <w:left w:val="nil"/>
              <w:bottom w:val="nil"/>
              <w:right w:val="nil"/>
            </w:tcBorders>
            <w:shd w:val="clear" w:color="auto" w:fill="auto"/>
            <w:vAlign w:val="bottom"/>
          </w:tcPr>
          <w:p w14:paraId="219125C2"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sidRPr="00736C15">
              <w:rPr>
                <w:rFonts w:ascii="Arial" w:hAnsi="Arial" w:cs="Arial"/>
                <w:sz w:val="17"/>
                <w:szCs w:val="17"/>
              </w:rPr>
              <w:t xml:space="preserve"> 15.620 </w:t>
            </w:r>
          </w:p>
        </w:tc>
        <w:tc>
          <w:tcPr>
            <w:tcW w:w="639" w:type="pct"/>
            <w:tcBorders>
              <w:top w:val="nil"/>
              <w:left w:val="nil"/>
              <w:bottom w:val="nil"/>
              <w:right w:val="nil"/>
            </w:tcBorders>
            <w:shd w:val="clear" w:color="auto" w:fill="auto"/>
            <w:vAlign w:val="bottom"/>
          </w:tcPr>
          <w:p w14:paraId="58623813"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 </w:t>
            </w:r>
          </w:p>
        </w:tc>
        <w:tc>
          <w:tcPr>
            <w:tcW w:w="640" w:type="pct"/>
            <w:tcBorders>
              <w:top w:val="nil"/>
              <w:left w:val="nil"/>
              <w:bottom w:val="nil"/>
              <w:right w:val="nil"/>
            </w:tcBorders>
            <w:shd w:val="clear" w:color="auto" w:fill="auto"/>
            <w:vAlign w:val="bottom"/>
          </w:tcPr>
          <w:p w14:paraId="4B0E1E5F"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 </w:t>
            </w:r>
          </w:p>
        </w:tc>
      </w:tr>
      <w:tr w:rsidR="004E2F51" w:rsidRPr="00736C15" w14:paraId="602B6D78" w14:textId="77777777" w:rsidTr="00E032FC">
        <w:trPr>
          <w:trHeight w:hRule="exact" w:val="249"/>
          <w:jc w:val="center"/>
        </w:trPr>
        <w:tc>
          <w:tcPr>
            <w:tcW w:w="3170" w:type="pct"/>
            <w:shd w:val="clear" w:color="auto" w:fill="auto"/>
            <w:vAlign w:val="bottom"/>
          </w:tcPr>
          <w:p w14:paraId="379BA168" w14:textId="77777777" w:rsidR="004E2F51" w:rsidRPr="00736C15" w:rsidRDefault="004E2F51" w:rsidP="00E032FC">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Dužnički vrijednosni papiri koji ne kotiraju:</w:t>
            </w:r>
          </w:p>
        </w:tc>
        <w:tc>
          <w:tcPr>
            <w:tcW w:w="551" w:type="pct"/>
            <w:tcBorders>
              <w:top w:val="nil"/>
              <w:left w:val="nil"/>
              <w:bottom w:val="nil"/>
              <w:right w:val="nil"/>
            </w:tcBorders>
            <w:shd w:val="clear" w:color="auto" w:fill="auto"/>
            <w:vAlign w:val="bottom"/>
          </w:tcPr>
          <w:p w14:paraId="688BF682"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39" w:type="pct"/>
            <w:tcBorders>
              <w:top w:val="nil"/>
              <w:left w:val="nil"/>
              <w:bottom w:val="nil"/>
              <w:right w:val="nil"/>
            </w:tcBorders>
            <w:shd w:val="clear" w:color="auto" w:fill="auto"/>
            <w:vAlign w:val="bottom"/>
          </w:tcPr>
          <w:p w14:paraId="5C7CD05C"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40" w:type="pct"/>
            <w:tcBorders>
              <w:top w:val="nil"/>
              <w:left w:val="nil"/>
              <w:bottom w:val="nil"/>
              <w:right w:val="nil"/>
            </w:tcBorders>
            <w:shd w:val="clear" w:color="auto" w:fill="auto"/>
            <w:vAlign w:val="bottom"/>
          </w:tcPr>
          <w:p w14:paraId="3B525248"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2E6DED63" w14:textId="77777777" w:rsidTr="00E032FC">
        <w:trPr>
          <w:trHeight w:hRule="exact" w:val="227"/>
          <w:jc w:val="center"/>
        </w:trPr>
        <w:tc>
          <w:tcPr>
            <w:tcW w:w="3170" w:type="pct"/>
            <w:shd w:val="clear" w:color="auto" w:fill="auto"/>
            <w:vAlign w:val="bottom"/>
          </w:tcPr>
          <w:p w14:paraId="7D138236"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 xml:space="preserve">Obveznice trgovačkih društava </w:t>
            </w:r>
          </w:p>
        </w:tc>
        <w:tc>
          <w:tcPr>
            <w:tcW w:w="551" w:type="pct"/>
            <w:tcBorders>
              <w:top w:val="nil"/>
              <w:left w:val="nil"/>
              <w:bottom w:val="nil"/>
              <w:right w:val="nil"/>
            </w:tcBorders>
            <w:shd w:val="clear" w:color="auto" w:fill="auto"/>
            <w:vAlign w:val="bottom"/>
          </w:tcPr>
          <w:p w14:paraId="707747DA"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 </w:t>
            </w:r>
          </w:p>
        </w:tc>
        <w:tc>
          <w:tcPr>
            <w:tcW w:w="639" w:type="pct"/>
            <w:tcBorders>
              <w:top w:val="nil"/>
              <w:left w:val="nil"/>
              <w:bottom w:val="nil"/>
              <w:right w:val="nil"/>
            </w:tcBorders>
            <w:shd w:val="clear" w:color="auto" w:fill="auto"/>
            <w:vAlign w:val="bottom"/>
          </w:tcPr>
          <w:p w14:paraId="2B0C6850"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 </w:t>
            </w:r>
          </w:p>
        </w:tc>
        <w:tc>
          <w:tcPr>
            <w:tcW w:w="640" w:type="pct"/>
            <w:tcBorders>
              <w:top w:val="nil"/>
              <w:left w:val="nil"/>
              <w:bottom w:val="nil"/>
              <w:right w:val="nil"/>
            </w:tcBorders>
            <w:shd w:val="clear" w:color="auto" w:fill="auto"/>
            <w:vAlign w:val="bottom"/>
          </w:tcPr>
          <w:p w14:paraId="160A911E"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sidRPr="00736C15">
              <w:rPr>
                <w:rFonts w:ascii="Arial" w:hAnsi="Arial" w:cs="Arial"/>
                <w:sz w:val="17"/>
                <w:szCs w:val="17"/>
              </w:rPr>
              <w:t xml:space="preserve"> 532 </w:t>
            </w:r>
          </w:p>
        </w:tc>
      </w:tr>
      <w:tr w:rsidR="004E2F51" w:rsidRPr="00736C15" w14:paraId="1F140042" w14:textId="77777777" w:rsidTr="00E032FC">
        <w:trPr>
          <w:trHeight w:hRule="exact" w:val="227"/>
          <w:jc w:val="center"/>
        </w:trPr>
        <w:tc>
          <w:tcPr>
            <w:tcW w:w="3170" w:type="pct"/>
            <w:shd w:val="clear" w:color="auto" w:fill="auto"/>
            <w:vAlign w:val="bottom"/>
          </w:tcPr>
          <w:p w14:paraId="4A38BF5D"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Zamjenjive obveznice CB</w:t>
            </w:r>
          </w:p>
        </w:tc>
        <w:tc>
          <w:tcPr>
            <w:tcW w:w="551" w:type="pct"/>
            <w:tcBorders>
              <w:top w:val="nil"/>
              <w:left w:val="nil"/>
              <w:bottom w:val="nil"/>
              <w:right w:val="nil"/>
            </w:tcBorders>
            <w:shd w:val="clear" w:color="auto" w:fill="auto"/>
            <w:vAlign w:val="bottom"/>
          </w:tcPr>
          <w:p w14:paraId="7E1228CD"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w:t>
            </w:r>
          </w:p>
        </w:tc>
        <w:tc>
          <w:tcPr>
            <w:tcW w:w="639" w:type="pct"/>
            <w:tcBorders>
              <w:top w:val="nil"/>
              <w:left w:val="nil"/>
              <w:bottom w:val="nil"/>
              <w:right w:val="nil"/>
            </w:tcBorders>
            <w:shd w:val="clear" w:color="auto" w:fill="auto"/>
            <w:vAlign w:val="bottom"/>
          </w:tcPr>
          <w:p w14:paraId="19B42E65"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w:t>
            </w:r>
          </w:p>
        </w:tc>
        <w:tc>
          <w:tcPr>
            <w:tcW w:w="640" w:type="pct"/>
            <w:tcBorders>
              <w:top w:val="nil"/>
              <w:left w:val="nil"/>
              <w:bottom w:val="nil"/>
              <w:right w:val="nil"/>
            </w:tcBorders>
            <w:shd w:val="clear" w:color="auto" w:fill="auto"/>
            <w:vAlign w:val="bottom"/>
          </w:tcPr>
          <w:p w14:paraId="30649E27"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sidRPr="00736C15">
              <w:rPr>
                <w:rFonts w:ascii="Arial" w:hAnsi="Arial" w:cs="Arial"/>
                <w:sz w:val="17"/>
                <w:szCs w:val="17"/>
              </w:rPr>
              <w:t xml:space="preserve"> 1.397 </w:t>
            </w:r>
          </w:p>
        </w:tc>
      </w:tr>
      <w:tr w:rsidR="004E2F51" w:rsidRPr="00736C15" w14:paraId="1155AD77" w14:textId="77777777" w:rsidTr="00E032FC">
        <w:trPr>
          <w:trHeight w:hRule="exact" w:val="227"/>
          <w:jc w:val="center"/>
        </w:trPr>
        <w:tc>
          <w:tcPr>
            <w:tcW w:w="3170" w:type="pct"/>
            <w:shd w:val="clear" w:color="auto" w:fill="auto"/>
            <w:vAlign w:val="bottom"/>
          </w:tcPr>
          <w:p w14:paraId="5D5A9F65"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Obračunata kamata</w:t>
            </w:r>
          </w:p>
        </w:tc>
        <w:tc>
          <w:tcPr>
            <w:tcW w:w="551" w:type="pct"/>
            <w:tcBorders>
              <w:top w:val="nil"/>
              <w:left w:val="nil"/>
              <w:bottom w:val="nil"/>
              <w:right w:val="nil"/>
            </w:tcBorders>
            <w:shd w:val="clear" w:color="auto" w:fill="auto"/>
            <w:vAlign w:val="bottom"/>
          </w:tcPr>
          <w:p w14:paraId="78A1C11A"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 </w:t>
            </w:r>
          </w:p>
        </w:tc>
        <w:tc>
          <w:tcPr>
            <w:tcW w:w="639" w:type="pct"/>
            <w:tcBorders>
              <w:top w:val="nil"/>
              <w:left w:val="nil"/>
              <w:bottom w:val="nil"/>
              <w:right w:val="nil"/>
            </w:tcBorders>
            <w:shd w:val="clear" w:color="auto" w:fill="auto"/>
            <w:vAlign w:val="bottom"/>
          </w:tcPr>
          <w:p w14:paraId="7079F35C"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 </w:t>
            </w:r>
          </w:p>
        </w:tc>
        <w:tc>
          <w:tcPr>
            <w:tcW w:w="640" w:type="pct"/>
            <w:tcBorders>
              <w:top w:val="nil"/>
              <w:left w:val="nil"/>
              <w:bottom w:val="single" w:sz="4" w:space="0" w:color="auto"/>
              <w:right w:val="nil"/>
            </w:tcBorders>
            <w:shd w:val="clear" w:color="auto" w:fill="auto"/>
            <w:vAlign w:val="bottom"/>
          </w:tcPr>
          <w:p w14:paraId="117A0670"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sidRPr="00736C15">
              <w:rPr>
                <w:rFonts w:ascii="Arial" w:hAnsi="Arial" w:cs="Arial"/>
                <w:sz w:val="17"/>
                <w:szCs w:val="17"/>
              </w:rPr>
              <w:t xml:space="preserve"> 247 </w:t>
            </w:r>
          </w:p>
        </w:tc>
      </w:tr>
      <w:tr w:rsidR="004E2F51" w:rsidRPr="00736C15" w14:paraId="16C0D5C6" w14:textId="77777777" w:rsidTr="00E032FC">
        <w:trPr>
          <w:trHeight w:val="259"/>
          <w:jc w:val="center"/>
        </w:trPr>
        <w:tc>
          <w:tcPr>
            <w:tcW w:w="3170" w:type="pct"/>
            <w:shd w:val="clear" w:color="auto" w:fill="auto"/>
            <w:vAlign w:val="bottom"/>
          </w:tcPr>
          <w:p w14:paraId="1EEC593E" w14:textId="77777777" w:rsidR="004E2F51" w:rsidRPr="00736C15" w:rsidRDefault="004E2F51" w:rsidP="00E032FC">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Ukupno dužnički vrijednosni papiri</w:t>
            </w:r>
          </w:p>
        </w:tc>
        <w:tc>
          <w:tcPr>
            <w:tcW w:w="551" w:type="pct"/>
            <w:tcBorders>
              <w:top w:val="single" w:sz="4" w:space="0" w:color="auto"/>
              <w:left w:val="nil"/>
              <w:bottom w:val="single" w:sz="12" w:space="0" w:color="auto"/>
              <w:right w:val="nil"/>
            </w:tcBorders>
            <w:shd w:val="clear" w:color="auto" w:fill="auto"/>
            <w:vAlign w:val="bottom"/>
          </w:tcPr>
          <w:p w14:paraId="6C285D0A" w14:textId="77777777" w:rsidR="004E2F51" w:rsidRPr="00736C15" w:rsidRDefault="004E2F51" w:rsidP="00E032FC">
            <w:pPr>
              <w:tabs>
                <w:tab w:val="right" w:pos="1202"/>
              </w:tabs>
              <w:jc w:val="right"/>
              <w:outlineLvl w:val="0"/>
              <w:rPr>
                <w:rFonts w:ascii="Arial" w:eastAsia="Calibri" w:hAnsi="Arial" w:cs="Arial"/>
                <w:b/>
                <w:bCs/>
                <w:color w:val="000000"/>
                <w:spacing w:val="-2"/>
                <w:sz w:val="17"/>
                <w:szCs w:val="17"/>
                <w:lang w:val="hr-HR" w:eastAsia="hr-HR"/>
              </w:rPr>
            </w:pPr>
            <w:r w:rsidRPr="00736C15">
              <w:rPr>
                <w:rFonts w:ascii="Arial" w:hAnsi="Arial" w:cs="Arial"/>
                <w:b/>
                <w:bCs/>
                <w:sz w:val="17"/>
                <w:szCs w:val="17"/>
              </w:rPr>
              <w:t>1.376.994</w:t>
            </w:r>
          </w:p>
        </w:tc>
        <w:tc>
          <w:tcPr>
            <w:tcW w:w="639" w:type="pct"/>
            <w:tcBorders>
              <w:top w:val="single" w:sz="4" w:space="0" w:color="auto"/>
              <w:left w:val="nil"/>
              <w:bottom w:val="single" w:sz="12" w:space="0" w:color="auto"/>
              <w:right w:val="nil"/>
            </w:tcBorders>
            <w:shd w:val="clear" w:color="auto" w:fill="auto"/>
            <w:vAlign w:val="bottom"/>
          </w:tcPr>
          <w:p w14:paraId="63862757" w14:textId="77777777" w:rsidR="004E2F51" w:rsidRPr="00736C15" w:rsidRDefault="004E2F51" w:rsidP="00E032FC">
            <w:pPr>
              <w:tabs>
                <w:tab w:val="right" w:pos="1064"/>
              </w:tabs>
              <w:ind w:right="-84"/>
              <w:jc w:val="center"/>
              <w:outlineLvl w:val="0"/>
              <w:rPr>
                <w:rFonts w:ascii="Arial" w:eastAsia="Calibri" w:hAnsi="Arial" w:cs="Arial"/>
                <w:b/>
                <w:bCs/>
                <w:color w:val="000000"/>
                <w:spacing w:val="-2"/>
                <w:sz w:val="17"/>
                <w:szCs w:val="17"/>
                <w:lang w:val="hr-HR" w:eastAsia="hr-HR"/>
              </w:rPr>
            </w:pPr>
            <w:r w:rsidRPr="00736C15">
              <w:rPr>
                <w:rFonts w:ascii="Arial" w:hAnsi="Arial" w:cs="Arial"/>
                <w:b/>
                <w:bCs/>
                <w:sz w:val="17"/>
                <w:szCs w:val="17"/>
              </w:rPr>
              <w:t xml:space="preserve">  1.550.344</w:t>
            </w:r>
          </w:p>
        </w:tc>
        <w:tc>
          <w:tcPr>
            <w:tcW w:w="640" w:type="pct"/>
            <w:tcBorders>
              <w:top w:val="single" w:sz="4" w:space="0" w:color="auto"/>
              <w:left w:val="nil"/>
              <w:bottom w:val="single" w:sz="12" w:space="0" w:color="auto"/>
              <w:right w:val="nil"/>
            </w:tcBorders>
            <w:shd w:val="clear" w:color="auto" w:fill="auto"/>
            <w:vAlign w:val="bottom"/>
          </w:tcPr>
          <w:p w14:paraId="2CA02539" w14:textId="77777777" w:rsidR="004E2F51" w:rsidRPr="00736C15" w:rsidRDefault="004E2F51" w:rsidP="00E032FC">
            <w:pPr>
              <w:tabs>
                <w:tab w:val="right" w:pos="1202"/>
              </w:tabs>
              <w:jc w:val="right"/>
              <w:outlineLvl w:val="0"/>
              <w:rPr>
                <w:rFonts w:ascii="Arial" w:eastAsia="Calibri" w:hAnsi="Arial" w:cs="Arial"/>
                <w:b/>
                <w:bCs/>
                <w:color w:val="000000"/>
                <w:spacing w:val="-2"/>
                <w:sz w:val="17"/>
                <w:szCs w:val="17"/>
                <w:lang w:val="hr-HR" w:eastAsia="hr-HR"/>
              </w:rPr>
            </w:pPr>
            <w:r w:rsidRPr="00736C15">
              <w:rPr>
                <w:rFonts w:ascii="Arial" w:hAnsi="Arial" w:cs="Arial"/>
                <w:b/>
                <w:bCs/>
                <w:sz w:val="17"/>
                <w:szCs w:val="17"/>
              </w:rPr>
              <w:t xml:space="preserve"> 2.176 </w:t>
            </w:r>
          </w:p>
        </w:tc>
      </w:tr>
      <w:tr w:rsidR="004E2F51" w:rsidRPr="00736C15" w14:paraId="15122035" w14:textId="77777777" w:rsidTr="00E032FC">
        <w:trPr>
          <w:trHeight w:hRule="exact" w:val="257"/>
          <w:jc w:val="center"/>
        </w:trPr>
        <w:tc>
          <w:tcPr>
            <w:tcW w:w="3170" w:type="pct"/>
            <w:shd w:val="clear" w:color="auto" w:fill="auto"/>
            <w:vAlign w:val="bottom"/>
          </w:tcPr>
          <w:p w14:paraId="7ED5CD24" w14:textId="77777777" w:rsidR="004E2F51" w:rsidRPr="00736C15" w:rsidRDefault="004E2F51" w:rsidP="00E032FC">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Vlasnički vrijednosni papiri koji ne kotiraju:</w:t>
            </w:r>
          </w:p>
        </w:tc>
        <w:tc>
          <w:tcPr>
            <w:tcW w:w="551" w:type="pct"/>
            <w:tcBorders>
              <w:top w:val="single" w:sz="12" w:space="0" w:color="auto"/>
            </w:tcBorders>
            <w:vAlign w:val="bottom"/>
          </w:tcPr>
          <w:p w14:paraId="6B2BD177"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39" w:type="pct"/>
            <w:tcBorders>
              <w:top w:val="single" w:sz="12" w:space="0" w:color="auto"/>
            </w:tcBorders>
            <w:vAlign w:val="bottom"/>
          </w:tcPr>
          <w:p w14:paraId="0B0FB7F2"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640" w:type="pct"/>
            <w:tcBorders>
              <w:top w:val="single" w:sz="12" w:space="0" w:color="auto"/>
            </w:tcBorders>
            <w:vAlign w:val="bottom"/>
          </w:tcPr>
          <w:p w14:paraId="7510802C"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760C12F3" w14:textId="77777777" w:rsidTr="00E032FC">
        <w:trPr>
          <w:trHeight w:hRule="exact" w:val="227"/>
          <w:jc w:val="center"/>
        </w:trPr>
        <w:tc>
          <w:tcPr>
            <w:tcW w:w="3170" w:type="pct"/>
            <w:shd w:val="clear" w:color="auto" w:fill="auto"/>
            <w:vAlign w:val="bottom"/>
          </w:tcPr>
          <w:p w14:paraId="736A4D6B" w14:textId="77777777" w:rsidR="004E2F51" w:rsidRPr="00736C15" w:rsidRDefault="004E2F51" w:rsidP="00E032FC">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Dionice inozemnih pravnih osoba - SWIFT</w:t>
            </w:r>
          </w:p>
        </w:tc>
        <w:tc>
          <w:tcPr>
            <w:tcW w:w="551" w:type="pct"/>
            <w:tcBorders>
              <w:top w:val="nil"/>
              <w:left w:val="nil"/>
              <w:bottom w:val="nil"/>
              <w:right w:val="nil"/>
            </w:tcBorders>
            <w:shd w:val="clear" w:color="auto" w:fill="auto"/>
            <w:vAlign w:val="bottom"/>
          </w:tcPr>
          <w:p w14:paraId="5028FC9A"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 </w:t>
            </w:r>
          </w:p>
        </w:tc>
        <w:tc>
          <w:tcPr>
            <w:tcW w:w="639" w:type="pct"/>
            <w:tcBorders>
              <w:top w:val="nil"/>
              <w:left w:val="nil"/>
              <w:bottom w:val="nil"/>
              <w:right w:val="nil"/>
            </w:tcBorders>
            <w:shd w:val="clear" w:color="auto" w:fill="auto"/>
            <w:vAlign w:val="bottom"/>
          </w:tcPr>
          <w:p w14:paraId="4F6F8E2A"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45 </w:t>
            </w:r>
          </w:p>
        </w:tc>
        <w:tc>
          <w:tcPr>
            <w:tcW w:w="640" w:type="pct"/>
            <w:tcBorders>
              <w:top w:val="nil"/>
              <w:left w:val="nil"/>
              <w:bottom w:val="nil"/>
              <w:right w:val="nil"/>
            </w:tcBorders>
            <w:shd w:val="clear" w:color="auto" w:fill="auto"/>
            <w:vAlign w:val="bottom"/>
          </w:tcPr>
          <w:p w14:paraId="05ADC285"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 </w:t>
            </w:r>
          </w:p>
        </w:tc>
      </w:tr>
      <w:tr w:rsidR="004E2F51" w:rsidRPr="00736C15" w14:paraId="1AD1ECFB" w14:textId="77777777" w:rsidTr="00E032FC">
        <w:trPr>
          <w:trHeight w:hRule="exact" w:val="227"/>
          <w:jc w:val="center"/>
        </w:trPr>
        <w:tc>
          <w:tcPr>
            <w:tcW w:w="3170" w:type="pct"/>
            <w:shd w:val="clear" w:color="auto" w:fill="auto"/>
            <w:vAlign w:val="bottom"/>
          </w:tcPr>
          <w:p w14:paraId="483FDBAE" w14:textId="77777777" w:rsidR="004E2F51" w:rsidRPr="00736C15" w:rsidRDefault="004E2F51" w:rsidP="00E032FC">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Dionice inozemnih financijskih institucija – EIF</w:t>
            </w:r>
          </w:p>
        </w:tc>
        <w:tc>
          <w:tcPr>
            <w:tcW w:w="551" w:type="pct"/>
            <w:tcBorders>
              <w:top w:val="nil"/>
              <w:left w:val="nil"/>
              <w:bottom w:val="nil"/>
              <w:right w:val="nil"/>
            </w:tcBorders>
            <w:shd w:val="clear" w:color="auto" w:fill="auto"/>
            <w:vAlign w:val="bottom"/>
          </w:tcPr>
          <w:p w14:paraId="54DB6F29"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 </w:t>
            </w:r>
          </w:p>
        </w:tc>
        <w:tc>
          <w:tcPr>
            <w:tcW w:w="639" w:type="pct"/>
            <w:tcBorders>
              <w:top w:val="nil"/>
              <w:left w:val="nil"/>
              <w:bottom w:val="nil"/>
              <w:right w:val="nil"/>
            </w:tcBorders>
            <w:shd w:val="clear" w:color="auto" w:fill="auto"/>
            <w:vAlign w:val="bottom"/>
          </w:tcPr>
          <w:p w14:paraId="014466A5"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42.971 </w:t>
            </w:r>
          </w:p>
        </w:tc>
        <w:tc>
          <w:tcPr>
            <w:tcW w:w="640" w:type="pct"/>
            <w:tcBorders>
              <w:top w:val="nil"/>
              <w:left w:val="nil"/>
              <w:bottom w:val="nil"/>
              <w:right w:val="nil"/>
            </w:tcBorders>
            <w:shd w:val="clear" w:color="auto" w:fill="auto"/>
            <w:vAlign w:val="bottom"/>
          </w:tcPr>
          <w:p w14:paraId="382266E3"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 xml:space="preserve"> - </w:t>
            </w:r>
          </w:p>
        </w:tc>
      </w:tr>
      <w:tr w:rsidR="004E2F51" w:rsidRPr="00736C15" w14:paraId="4B6C8B20" w14:textId="77777777" w:rsidTr="00E032FC">
        <w:trPr>
          <w:trHeight w:hRule="exact" w:val="244"/>
          <w:jc w:val="center"/>
        </w:trPr>
        <w:tc>
          <w:tcPr>
            <w:tcW w:w="3170" w:type="pct"/>
            <w:shd w:val="clear" w:color="auto" w:fill="auto"/>
            <w:vAlign w:val="bottom"/>
          </w:tcPr>
          <w:p w14:paraId="027D2850" w14:textId="77777777" w:rsidR="004E2F51" w:rsidRPr="00736C15" w:rsidRDefault="004E2F51" w:rsidP="00E032FC">
            <w:pPr>
              <w:tabs>
                <w:tab w:val="right" w:pos="1202"/>
              </w:tabs>
              <w:outlineLvl w:val="0"/>
              <w:rPr>
                <w:rFonts w:ascii="Arial" w:eastAsia="Calibri" w:hAnsi="Arial" w:cs="Arial"/>
                <w:b/>
                <w:color w:val="000000"/>
                <w:sz w:val="17"/>
                <w:szCs w:val="17"/>
                <w:lang w:val="hr-HR"/>
              </w:rPr>
            </w:pPr>
            <w:r w:rsidRPr="00736C15">
              <w:rPr>
                <w:rFonts w:ascii="Arial" w:eastAsia="Calibri" w:hAnsi="Arial" w:cs="Arial"/>
                <w:b/>
                <w:color w:val="000000"/>
                <w:sz w:val="17"/>
                <w:szCs w:val="17"/>
                <w:lang w:val="hr-HR"/>
              </w:rPr>
              <w:t>Ukupno vlasnički vrijednosni papiri</w:t>
            </w:r>
          </w:p>
        </w:tc>
        <w:tc>
          <w:tcPr>
            <w:tcW w:w="551" w:type="pct"/>
            <w:tcBorders>
              <w:top w:val="single" w:sz="4" w:space="0" w:color="auto"/>
              <w:left w:val="nil"/>
              <w:bottom w:val="single" w:sz="8" w:space="0" w:color="auto"/>
              <w:right w:val="nil"/>
            </w:tcBorders>
            <w:shd w:val="clear" w:color="auto" w:fill="auto"/>
            <w:vAlign w:val="bottom"/>
          </w:tcPr>
          <w:p w14:paraId="16803159"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r w:rsidRPr="00736C15">
              <w:rPr>
                <w:rFonts w:ascii="Arial" w:hAnsi="Arial" w:cs="Arial"/>
                <w:b/>
                <w:bCs/>
                <w:sz w:val="17"/>
                <w:szCs w:val="17"/>
              </w:rPr>
              <w:t xml:space="preserve"> - </w:t>
            </w:r>
          </w:p>
        </w:tc>
        <w:tc>
          <w:tcPr>
            <w:tcW w:w="639" w:type="pct"/>
            <w:tcBorders>
              <w:top w:val="single" w:sz="4" w:space="0" w:color="auto"/>
              <w:left w:val="nil"/>
              <w:bottom w:val="single" w:sz="8" w:space="0" w:color="auto"/>
              <w:right w:val="nil"/>
            </w:tcBorders>
            <w:shd w:val="clear" w:color="auto" w:fill="auto"/>
            <w:vAlign w:val="bottom"/>
          </w:tcPr>
          <w:p w14:paraId="4EF1E439"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r w:rsidRPr="00736C15">
              <w:rPr>
                <w:rFonts w:ascii="Arial" w:hAnsi="Arial" w:cs="Arial"/>
                <w:b/>
                <w:bCs/>
                <w:sz w:val="17"/>
                <w:szCs w:val="17"/>
              </w:rPr>
              <w:t xml:space="preserve"> 43.016 </w:t>
            </w:r>
          </w:p>
        </w:tc>
        <w:tc>
          <w:tcPr>
            <w:tcW w:w="640" w:type="pct"/>
            <w:tcBorders>
              <w:top w:val="single" w:sz="4" w:space="0" w:color="auto"/>
              <w:left w:val="nil"/>
              <w:bottom w:val="single" w:sz="8" w:space="0" w:color="auto"/>
              <w:right w:val="nil"/>
            </w:tcBorders>
            <w:shd w:val="clear" w:color="auto" w:fill="auto"/>
            <w:vAlign w:val="bottom"/>
          </w:tcPr>
          <w:p w14:paraId="30CD34BA"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r w:rsidRPr="00736C15">
              <w:rPr>
                <w:rFonts w:ascii="Arial" w:hAnsi="Arial" w:cs="Arial"/>
                <w:b/>
                <w:bCs/>
                <w:sz w:val="17"/>
                <w:szCs w:val="17"/>
              </w:rPr>
              <w:t xml:space="preserve"> - </w:t>
            </w:r>
          </w:p>
        </w:tc>
      </w:tr>
      <w:tr w:rsidR="004E2F51" w:rsidRPr="00736C15" w14:paraId="1969060B" w14:textId="77777777" w:rsidTr="00E032FC">
        <w:trPr>
          <w:trHeight w:hRule="exact" w:val="294"/>
          <w:jc w:val="center"/>
        </w:trPr>
        <w:tc>
          <w:tcPr>
            <w:tcW w:w="3170" w:type="pct"/>
            <w:shd w:val="clear" w:color="auto" w:fill="auto"/>
            <w:vAlign w:val="bottom"/>
          </w:tcPr>
          <w:p w14:paraId="1E223660" w14:textId="77777777" w:rsidR="004E2F51" w:rsidRPr="00736C15" w:rsidRDefault="004E2F51" w:rsidP="00E032FC">
            <w:pPr>
              <w:tabs>
                <w:tab w:val="right" w:pos="1202"/>
              </w:tabs>
              <w:outlineLvl w:val="0"/>
              <w:rPr>
                <w:rFonts w:ascii="Arial" w:eastAsia="Calibri" w:hAnsi="Arial" w:cs="Arial"/>
                <w:b/>
                <w:color w:val="000000"/>
                <w:sz w:val="17"/>
                <w:szCs w:val="17"/>
                <w:lang w:val="hr-HR"/>
              </w:rPr>
            </w:pPr>
            <w:r w:rsidRPr="00736C15">
              <w:rPr>
                <w:rFonts w:ascii="Arial" w:eastAsia="Calibri" w:hAnsi="Arial" w:cs="Arial"/>
                <w:b/>
                <w:color w:val="000000"/>
                <w:sz w:val="17"/>
                <w:szCs w:val="17"/>
                <w:lang w:val="hr-HR"/>
              </w:rPr>
              <w:t>Ukupno imovina po fer vrijednosti kroz ostalu sveobuhvatnu dobit</w:t>
            </w:r>
          </w:p>
        </w:tc>
        <w:tc>
          <w:tcPr>
            <w:tcW w:w="551" w:type="pct"/>
            <w:tcBorders>
              <w:top w:val="single" w:sz="12" w:space="0" w:color="auto"/>
              <w:left w:val="nil"/>
              <w:bottom w:val="single" w:sz="12" w:space="0" w:color="auto"/>
              <w:right w:val="nil"/>
            </w:tcBorders>
            <w:shd w:val="clear" w:color="auto" w:fill="auto"/>
            <w:vAlign w:val="bottom"/>
          </w:tcPr>
          <w:p w14:paraId="218CBBFF" w14:textId="77777777" w:rsidR="004E2F51" w:rsidRPr="00736C15" w:rsidRDefault="004E2F51" w:rsidP="00E032FC">
            <w:pPr>
              <w:tabs>
                <w:tab w:val="right" w:pos="1202"/>
              </w:tabs>
              <w:jc w:val="right"/>
              <w:outlineLvl w:val="0"/>
              <w:rPr>
                <w:rFonts w:ascii="Arial" w:eastAsia="Calibri" w:hAnsi="Arial" w:cs="Arial"/>
                <w:b/>
                <w:bCs/>
                <w:color w:val="000000"/>
                <w:spacing w:val="-2"/>
                <w:sz w:val="17"/>
                <w:szCs w:val="17"/>
                <w:lang w:val="hr-HR"/>
              </w:rPr>
            </w:pPr>
            <w:r w:rsidRPr="00736C15">
              <w:rPr>
                <w:rFonts w:ascii="Arial" w:hAnsi="Arial" w:cs="Arial"/>
                <w:b/>
                <w:bCs/>
                <w:sz w:val="17"/>
                <w:szCs w:val="17"/>
              </w:rPr>
              <w:t xml:space="preserve">1.376.994 </w:t>
            </w:r>
          </w:p>
        </w:tc>
        <w:tc>
          <w:tcPr>
            <w:tcW w:w="639" w:type="pct"/>
            <w:tcBorders>
              <w:top w:val="single" w:sz="12" w:space="0" w:color="auto"/>
              <w:left w:val="nil"/>
              <w:bottom w:val="single" w:sz="12" w:space="0" w:color="auto"/>
              <w:right w:val="nil"/>
            </w:tcBorders>
            <w:shd w:val="clear" w:color="auto" w:fill="auto"/>
            <w:vAlign w:val="bottom"/>
          </w:tcPr>
          <w:p w14:paraId="2F14E52D" w14:textId="77777777" w:rsidR="004E2F51" w:rsidRPr="00736C15" w:rsidRDefault="004E2F51" w:rsidP="00E032FC">
            <w:pPr>
              <w:tabs>
                <w:tab w:val="right" w:pos="1202"/>
              </w:tabs>
              <w:jc w:val="right"/>
              <w:outlineLvl w:val="0"/>
              <w:rPr>
                <w:rFonts w:ascii="Arial" w:eastAsia="Calibri" w:hAnsi="Arial" w:cs="Arial"/>
                <w:b/>
                <w:bCs/>
                <w:color w:val="000000"/>
                <w:spacing w:val="-2"/>
                <w:sz w:val="17"/>
                <w:szCs w:val="17"/>
                <w:lang w:val="hr-HR"/>
              </w:rPr>
            </w:pPr>
            <w:r w:rsidRPr="00736C15">
              <w:rPr>
                <w:rFonts w:ascii="Arial" w:hAnsi="Arial" w:cs="Arial"/>
                <w:b/>
                <w:bCs/>
                <w:sz w:val="17"/>
                <w:szCs w:val="17"/>
              </w:rPr>
              <w:t xml:space="preserve"> 1.593.360 </w:t>
            </w:r>
          </w:p>
        </w:tc>
        <w:tc>
          <w:tcPr>
            <w:tcW w:w="640" w:type="pct"/>
            <w:tcBorders>
              <w:top w:val="single" w:sz="12" w:space="0" w:color="auto"/>
              <w:left w:val="nil"/>
              <w:bottom w:val="single" w:sz="12" w:space="0" w:color="auto"/>
              <w:right w:val="nil"/>
            </w:tcBorders>
            <w:shd w:val="clear" w:color="auto" w:fill="auto"/>
            <w:vAlign w:val="bottom"/>
          </w:tcPr>
          <w:p w14:paraId="4FA8CA63" w14:textId="77777777" w:rsidR="004E2F51" w:rsidRPr="00736C15" w:rsidRDefault="004E2F51" w:rsidP="00E032FC">
            <w:pPr>
              <w:tabs>
                <w:tab w:val="right" w:pos="1202"/>
              </w:tabs>
              <w:jc w:val="right"/>
              <w:outlineLvl w:val="0"/>
              <w:rPr>
                <w:rFonts w:ascii="Arial" w:eastAsia="Calibri" w:hAnsi="Arial" w:cs="Arial"/>
                <w:b/>
                <w:bCs/>
                <w:color w:val="000000"/>
                <w:spacing w:val="-2"/>
                <w:sz w:val="17"/>
                <w:szCs w:val="17"/>
                <w:lang w:val="hr-HR"/>
              </w:rPr>
            </w:pPr>
            <w:r w:rsidRPr="00736C15">
              <w:rPr>
                <w:rFonts w:ascii="Arial" w:hAnsi="Arial" w:cs="Arial"/>
                <w:b/>
                <w:bCs/>
                <w:sz w:val="17"/>
                <w:szCs w:val="17"/>
              </w:rPr>
              <w:t xml:space="preserve"> 2.176 </w:t>
            </w:r>
          </w:p>
        </w:tc>
      </w:tr>
    </w:tbl>
    <w:p w14:paraId="6D1991CF" w14:textId="77777777" w:rsidR="004E2F51" w:rsidRPr="00B91D09" w:rsidRDefault="004E2F51" w:rsidP="004E2F51">
      <w:pPr>
        <w:keepNext/>
        <w:ind w:left="709" w:hanging="709"/>
        <w:jc w:val="both"/>
        <w:rPr>
          <w:rFonts w:ascii="Arial" w:hAnsi="Arial" w:cs="Arial"/>
          <w:b/>
          <w:bCs/>
          <w:color w:val="000000" w:themeColor="text1"/>
          <w:spacing w:val="-3"/>
          <w:sz w:val="22"/>
          <w:szCs w:val="22"/>
          <w:lang w:val="hr-HR"/>
        </w:rPr>
      </w:pPr>
    </w:p>
    <w:p w14:paraId="08FBACC9" w14:textId="77777777" w:rsidR="004E2F51" w:rsidRPr="00B91D09" w:rsidRDefault="004E2F51" w:rsidP="004E2F51">
      <w:pPr>
        <w:keepNext/>
        <w:ind w:left="709" w:hanging="709"/>
        <w:jc w:val="both"/>
        <w:rPr>
          <w:rFonts w:ascii="Arial" w:hAnsi="Arial" w:cs="Arial"/>
          <w:b/>
          <w:bCs/>
          <w:color w:val="000000" w:themeColor="text1"/>
          <w:spacing w:val="-3"/>
          <w:sz w:val="22"/>
          <w:szCs w:val="22"/>
          <w:lang w:val="hr-HR"/>
        </w:rPr>
      </w:pPr>
    </w:p>
    <w:p w14:paraId="3A2054CA" w14:textId="77777777" w:rsidR="004E2F51" w:rsidRPr="00B91D09" w:rsidRDefault="004E2F51" w:rsidP="004E2F51">
      <w:pPr>
        <w:pStyle w:val="T1"/>
        <w:spacing w:before="120" w:line="300" w:lineRule="exact"/>
        <w:rPr>
          <w:rFonts w:cs="Arial"/>
          <w:b w:val="0"/>
          <w:bCs w:val="0"/>
          <w:color w:val="000000" w:themeColor="text1"/>
          <w:spacing w:val="-3"/>
          <w:sz w:val="22"/>
          <w:szCs w:val="22"/>
          <w:lang w:val="hr-HR"/>
        </w:rPr>
        <w:sectPr w:rsidR="004E2F51" w:rsidRPr="00B91D09" w:rsidSect="00623DBA">
          <w:footerReference w:type="default" r:id="rId221"/>
          <w:pgSz w:w="11907" w:h="16840" w:code="9"/>
          <w:pgMar w:top="1418" w:right="1134" w:bottom="1134" w:left="1418" w:header="851" w:footer="851" w:gutter="0"/>
          <w:cols w:space="720"/>
          <w:noEndnote/>
        </w:sectPr>
      </w:pPr>
    </w:p>
    <w:p w14:paraId="0561A4F3" w14:textId="77777777" w:rsidR="004E2F51" w:rsidRPr="00736C15" w:rsidRDefault="004E2F51" w:rsidP="004E2F51">
      <w:pPr>
        <w:pStyle w:val="T1"/>
        <w:spacing w:before="0" w:after="0" w:line="240" w:lineRule="auto"/>
        <w:ind w:left="709" w:hanging="709"/>
        <w:rPr>
          <w:rFonts w:cs="Arial"/>
          <w:color w:val="000000" w:themeColor="text1"/>
          <w:spacing w:val="-3"/>
          <w:sz w:val="20"/>
          <w:lang w:val="hr-HR"/>
        </w:rPr>
      </w:pPr>
    </w:p>
    <w:p w14:paraId="0E01B068" w14:textId="77777777" w:rsidR="004E2F51" w:rsidRPr="00736C15" w:rsidRDefault="004E2F51" w:rsidP="004E2F51">
      <w:pPr>
        <w:keepNext/>
        <w:ind w:left="708" w:hanging="708"/>
        <w:jc w:val="both"/>
        <w:rPr>
          <w:rFonts w:ascii="Arial" w:hAnsi="Arial" w:cs="Arial"/>
          <w:b/>
          <w:bCs/>
          <w:color w:val="000000" w:themeColor="text1"/>
          <w:spacing w:val="-3"/>
          <w:sz w:val="20"/>
          <w:szCs w:val="20"/>
          <w:lang w:val="hr-HR"/>
        </w:rPr>
      </w:pPr>
      <w:r w:rsidRPr="00736C15">
        <w:rPr>
          <w:rFonts w:ascii="Arial" w:hAnsi="Arial" w:cs="Arial"/>
          <w:b/>
          <w:bCs/>
          <w:color w:val="000000" w:themeColor="text1"/>
          <w:spacing w:val="-3"/>
          <w:sz w:val="20"/>
          <w:szCs w:val="20"/>
          <w:lang w:val="hr-HR"/>
        </w:rPr>
        <w:t>3</w:t>
      </w:r>
      <w:r>
        <w:rPr>
          <w:rFonts w:ascii="Arial" w:hAnsi="Arial" w:cs="Arial"/>
          <w:b/>
          <w:bCs/>
          <w:color w:val="000000" w:themeColor="text1"/>
          <w:spacing w:val="-3"/>
          <w:sz w:val="20"/>
          <w:szCs w:val="20"/>
          <w:lang w:val="hr-HR"/>
        </w:rPr>
        <w:t>2</w:t>
      </w:r>
      <w:r w:rsidRPr="00736C15">
        <w:rPr>
          <w:rFonts w:ascii="Arial" w:hAnsi="Arial" w:cs="Arial"/>
          <w:b/>
          <w:bCs/>
          <w:color w:val="000000" w:themeColor="text1"/>
          <w:spacing w:val="-3"/>
          <w:sz w:val="20"/>
          <w:szCs w:val="20"/>
          <w:lang w:val="hr-HR"/>
        </w:rPr>
        <w:t xml:space="preserve">. </w:t>
      </w:r>
      <w:r w:rsidRPr="00736C15">
        <w:rPr>
          <w:rFonts w:ascii="Arial" w:hAnsi="Arial" w:cs="Arial"/>
          <w:b/>
          <w:bCs/>
          <w:color w:val="000000" w:themeColor="text1"/>
          <w:spacing w:val="-3"/>
          <w:sz w:val="20"/>
          <w:szCs w:val="20"/>
          <w:lang w:val="hr-HR"/>
        </w:rPr>
        <w:tab/>
        <w:t>Fer vrijednost financijske imovine i financijskih obveza (nastavak)</w:t>
      </w:r>
    </w:p>
    <w:p w14:paraId="71D94D1C" w14:textId="77777777" w:rsidR="004E2F51" w:rsidRPr="00736C15" w:rsidRDefault="004E2F51" w:rsidP="004E2F51">
      <w:pPr>
        <w:keepNext/>
        <w:ind w:left="567" w:hanging="567"/>
        <w:jc w:val="both"/>
        <w:rPr>
          <w:rFonts w:ascii="Arial" w:hAnsi="Arial" w:cs="Arial"/>
          <w:b/>
          <w:bCs/>
          <w:color w:val="000000" w:themeColor="text1"/>
          <w:spacing w:val="-3"/>
          <w:sz w:val="20"/>
          <w:szCs w:val="20"/>
          <w:lang w:val="hr-HR"/>
        </w:rPr>
      </w:pPr>
    </w:p>
    <w:p w14:paraId="38702861" w14:textId="77777777" w:rsidR="004E2F51" w:rsidRPr="00736C15" w:rsidRDefault="004E2F51" w:rsidP="004E2F51">
      <w:pPr>
        <w:keepNext/>
        <w:ind w:left="708" w:hanging="708"/>
        <w:jc w:val="both"/>
        <w:rPr>
          <w:rFonts w:ascii="Arial" w:hAnsi="Arial" w:cs="Arial"/>
          <w:b/>
          <w:bCs/>
          <w:color w:val="000000" w:themeColor="text1"/>
          <w:spacing w:val="-3"/>
          <w:sz w:val="20"/>
          <w:szCs w:val="20"/>
          <w:lang w:val="hr-HR"/>
        </w:rPr>
      </w:pPr>
      <w:r w:rsidRPr="00736C15">
        <w:rPr>
          <w:rFonts w:ascii="Arial" w:hAnsi="Arial" w:cs="Arial"/>
          <w:b/>
          <w:bCs/>
          <w:color w:val="000000" w:themeColor="text1"/>
          <w:spacing w:val="-3"/>
          <w:sz w:val="20"/>
          <w:szCs w:val="20"/>
          <w:lang w:val="hr-HR"/>
        </w:rPr>
        <w:t>3</w:t>
      </w:r>
      <w:r>
        <w:rPr>
          <w:rFonts w:ascii="Arial" w:hAnsi="Arial" w:cs="Arial"/>
          <w:b/>
          <w:bCs/>
          <w:color w:val="000000" w:themeColor="text1"/>
          <w:spacing w:val="-3"/>
          <w:sz w:val="20"/>
          <w:szCs w:val="20"/>
          <w:lang w:val="hr-HR"/>
        </w:rPr>
        <w:t>2</w:t>
      </w:r>
      <w:r w:rsidRPr="00736C15">
        <w:rPr>
          <w:rFonts w:ascii="Arial" w:hAnsi="Arial" w:cs="Arial"/>
          <w:b/>
          <w:bCs/>
          <w:color w:val="000000" w:themeColor="text1"/>
          <w:spacing w:val="-3"/>
          <w:sz w:val="20"/>
          <w:szCs w:val="20"/>
          <w:lang w:val="hr-HR"/>
        </w:rPr>
        <w:t>.1.</w:t>
      </w:r>
      <w:r w:rsidRPr="00736C15">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41C9D8CC" w14:textId="77777777" w:rsidR="004E2F51" w:rsidRPr="00736C15" w:rsidRDefault="004E2F51" w:rsidP="004E2F51">
      <w:pPr>
        <w:keepNext/>
        <w:ind w:left="708" w:hanging="708"/>
        <w:jc w:val="both"/>
        <w:rPr>
          <w:rFonts w:ascii="Arial" w:hAnsi="Arial" w:cs="Arial"/>
          <w:b/>
          <w:bCs/>
          <w:color w:val="000000" w:themeColor="text1"/>
          <w:spacing w:val="-3"/>
          <w:sz w:val="20"/>
          <w:szCs w:val="20"/>
          <w:lang w:val="hr-HR"/>
        </w:rPr>
      </w:pPr>
    </w:p>
    <w:p w14:paraId="778ECF7D" w14:textId="77777777" w:rsidR="004E2F51" w:rsidRPr="00736C15" w:rsidRDefault="004E2F51" w:rsidP="004E2F51">
      <w:pPr>
        <w:keepNext/>
        <w:ind w:left="567" w:hanging="567"/>
        <w:jc w:val="both"/>
        <w:rPr>
          <w:rFonts w:ascii="Arial" w:hAnsi="Arial" w:cs="Arial"/>
          <w:b/>
          <w:bCs/>
          <w:color w:val="000000" w:themeColor="text1"/>
          <w:spacing w:val="-3"/>
          <w:sz w:val="20"/>
          <w:szCs w:val="20"/>
          <w:lang w:val="hr-HR"/>
        </w:rPr>
      </w:pPr>
    </w:p>
    <w:tbl>
      <w:tblPr>
        <w:tblW w:w="9274" w:type="dxa"/>
        <w:jc w:val="center"/>
        <w:tblLayout w:type="fixed"/>
        <w:tblCellMar>
          <w:left w:w="122" w:type="dxa"/>
          <w:right w:w="122" w:type="dxa"/>
        </w:tblCellMar>
        <w:tblLook w:val="0000" w:firstRow="0" w:lastRow="0" w:firstColumn="0" w:lastColumn="0" w:noHBand="0" w:noVBand="0"/>
      </w:tblPr>
      <w:tblGrid>
        <w:gridCol w:w="6094"/>
        <w:gridCol w:w="1060"/>
        <w:gridCol w:w="1060"/>
        <w:gridCol w:w="1060"/>
      </w:tblGrid>
      <w:tr w:rsidR="004E2F51" w:rsidRPr="00736C15" w14:paraId="0EF7DFDD" w14:textId="77777777" w:rsidTr="00E032FC">
        <w:trPr>
          <w:trHeight w:val="311"/>
          <w:jc w:val="center"/>
        </w:trPr>
        <w:tc>
          <w:tcPr>
            <w:tcW w:w="6094" w:type="dxa"/>
            <w:shd w:val="clear" w:color="auto" w:fill="auto"/>
          </w:tcPr>
          <w:p w14:paraId="3CBAF641" w14:textId="77777777" w:rsidR="004E2F51" w:rsidRPr="00736C15" w:rsidRDefault="004E2F51" w:rsidP="00E032FC">
            <w:pPr>
              <w:tabs>
                <w:tab w:val="right" w:pos="1202"/>
              </w:tabs>
              <w:outlineLvl w:val="0"/>
              <w:rPr>
                <w:rFonts w:ascii="Arial" w:eastAsia="Calibri" w:hAnsi="Arial" w:cs="Arial"/>
                <w:color w:val="000000"/>
                <w:sz w:val="17"/>
                <w:szCs w:val="17"/>
                <w:lang w:val="hr-HR"/>
              </w:rPr>
            </w:pPr>
            <w:bookmarkStart w:id="1956" w:name="_Toc67331017"/>
            <w:r w:rsidRPr="00736C15">
              <w:rPr>
                <w:rFonts w:ascii="Arial" w:eastAsia="Calibri" w:hAnsi="Arial" w:cs="Arial"/>
                <w:b/>
                <w:color w:val="000000"/>
                <w:sz w:val="17"/>
                <w:szCs w:val="17"/>
                <w:lang w:val="hr-HR"/>
              </w:rPr>
              <w:t>Banka</w:t>
            </w:r>
            <w:bookmarkEnd w:id="1956"/>
          </w:p>
        </w:tc>
        <w:tc>
          <w:tcPr>
            <w:tcW w:w="3180" w:type="dxa"/>
            <w:gridSpan w:val="3"/>
          </w:tcPr>
          <w:p w14:paraId="6B860197"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r w:rsidRPr="00736C15">
              <w:rPr>
                <w:rFonts w:ascii="Arial" w:eastAsia="Calibri" w:hAnsi="Arial" w:cs="Arial"/>
                <w:b/>
                <w:bCs/>
                <w:color w:val="000000"/>
                <w:sz w:val="17"/>
                <w:szCs w:val="17"/>
                <w:lang w:val="hr-HR"/>
              </w:rPr>
              <w:t>3</w:t>
            </w:r>
            <w:r>
              <w:rPr>
                <w:rFonts w:ascii="Arial" w:eastAsia="Calibri" w:hAnsi="Arial" w:cs="Arial"/>
                <w:b/>
                <w:bCs/>
                <w:color w:val="000000"/>
                <w:sz w:val="17"/>
                <w:szCs w:val="17"/>
                <w:lang w:val="hr-HR"/>
              </w:rPr>
              <w:t>1</w:t>
            </w:r>
            <w:r w:rsidRPr="00736C15">
              <w:rPr>
                <w:rFonts w:ascii="Arial" w:eastAsia="Calibri" w:hAnsi="Arial" w:cs="Arial"/>
                <w:b/>
                <w:bCs/>
                <w:color w:val="000000"/>
                <w:sz w:val="17"/>
                <w:szCs w:val="17"/>
                <w:lang w:val="hr-HR"/>
              </w:rPr>
              <w:t xml:space="preserve">. </w:t>
            </w:r>
            <w:r>
              <w:rPr>
                <w:rFonts w:ascii="Arial" w:eastAsia="Calibri" w:hAnsi="Arial" w:cs="Arial"/>
                <w:b/>
                <w:bCs/>
                <w:color w:val="000000"/>
                <w:sz w:val="17"/>
                <w:szCs w:val="17"/>
                <w:lang w:val="hr-HR"/>
              </w:rPr>
              <w:t>prosinca</w:t>
            </w:r>
            <w:r w:rsidRPr="00736C15">
              <w:rPr>
                <w:rFonts w:ascii="Arial" w:eastAsia="Calibri" w:hAnsi="Arial" w:cs="Arial"/>
                <w:b/>
                <w:bCs/>
                <w:color w:val="000000"/>
                <w:sz w:val="17"/>
                <w:szCs w:val="17"/>
                <w:lang w:val="hr-HR"/>
              </w:rPr>
              <w:t xml:space="preserve"> 2022.</w:t>
            </w:r>
          </w:p>
        </w:tc>
      </w:tr>
      <w:tr w:rsidR="004E2F51" w:rsidRPr="00736C15" w14:paraId="5BBEB977" w14:textId="77777777" w:rsidTr="00E032FC">
        <w:trPr>
          <w:trHeight w:val="311"/>
          <w:jc w:val="center"/>
        </w:trPr>
        <w:tc>
          <w:tcPr>
            <w:tcW w:w="6094" w:type="dxa"/>
            <w:shd w:val="clear" w:color="auto" w:fill="auto"/>
            <w:vAlign w:val="bottom"/>
          </w:tcPr>
          <w:p w14:paraId="5653EB3D"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p>
        </w:tc>
        <w:tc>
          <w:tcPr>
            <w:tcW w:w="1060" w:type="dxa"/>
            <w:shd w:val="clear" w:color="auto" w:fill="auto"/>
            <w:vAlign w:val="bottom"/>
          </w:tcPr>
          <w:p w14:paraId="6C7467B6"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1</w:t>
            </w:r>
          </w:p>
        </w:tc>
        <w:tc>
          <w:tcPr>
            <w:tcW w:w="1060" w:type="dxa"/>
            <w:shd w:val="clear" w:color="auto" w:fill="auto"/>
            <w:vAlign w:val="bottom"/>
          </w:tcPr>
          <w:p w14:paraId="48BBA82E"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2</w:t>
            </w:r>
          </w:p>
        </w:tc>
        <w:tc>
          <w:tcPr>
            <w:tcW w:w="1060" w:type="dxa"/>
            <w:shd w:val="clear" w:color="auto" w:fill="auto"/>
            <w:vAlign w:val="bottom"/>
          </w:tcPr>
          <w:p w14:paraId="622FB850"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Razina 3</w:t>
            </w:r>
          </w:p>
        </w:tc>
      </w:tr>
      <w:tr w:rsidR="004E2F51" w:rsidRPr="00736C15" w14:paraId="3DAA5EAB" w14:textId="77777777" w:rsidTr="00E032FC">
        <w:trPr>
          <w:trHeight w:val="311"/>
          <w:jc w:val="center"/>
        </w:trPr>
        <w:tc>
          <w:tcPr>
            <w:tcW w:w="6094" w:type="dxa"/>
            <w:shd w:val="clear" w:color="auto" w:fill="auto"/>
            <w:vAlign w:val="bottom"/>
          </w:tcPr>
          <w:p w14:paraId="3EDDF35B"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p>
        </w:tc>
        <w:tc>
          <w:tcPr>
            <w:tcW w:w="1060" w:type="dxa"/>
            <w:shd w:val="clear" w:color="auto" w:fill="auto"/>
            <w:vAlign w:val="bottom"/>
          </w:tcPr>
          <w:p w14:paraId="63CDBDD4"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000 kuna</w:t>
            </w:r>
          </w:p>
        </w:tc>
        <w:tc>
          <w:tcPr>
            <w:tcW w:w="1060" w:type="dxa"/>
            <w:shd w:val="clear" w:color="auto" w:fill="auto"/>
            <w:vAlign w:val="bottom"/>
          </w:tcPr>
          <w:p w14:paraId="66F84AB3"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000 kuna</w:t>
            </w:r>
          </w:p>
        </w:tc>
        <w:tc>
          <w:tcPr>
            <w:tcW w:w="1060" w:type="dxa"/>
            <w:shd w:val="clear" w:color="auto" w:fill="auto"/>
            <w:vAlign w:val="bottom"/>
          </w:tcPr>
          <w:p w14:paraId="5E56A951"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000 kuna</w:t>
            </w:r>
          </w:p>
        </w:tc>
      </w:tr>
      <w:tr w:rsidR="004E2F51" w:rsidRPr="0002282A" w14:paraId="0F4E6974" w14:textId="77777777" w:rsidTr="00E032FC">
        <w:trPr>
          <w:trHeight w:val="283"/>
          <w:jc w:val="center"/>
        </w:trPr>
        <w:tc>
          <w:tcPr>
            <w:tcW w:w="6094" w:type="dxa"/>
            <w:vAlign w:val="bottom"/>
          </w:tcPr>
          <w:p w14:paraId="4BFEA295"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b/>
                <w:color w:val="000000"/>
                <w:sz w:val="17"/>
                <w:szCs w:val="17"/>
                <w:lang w:val="hr-HR"/>
              </w:rPr>
              <w:t>Financijska imovina po fer vrijednosti kroz dobit ili gubitak:</w:t>
            </w:r>
          </w:p>
        </w:tc>
        <w:tc>
          <w:tcPr>
            <w:tcW w:w="1060" w:type="dxa"/>
            <w:vAlign w:val="bottom"/>
          </w:tcPr>
          <w:p w14:paraId="02B00D84"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p>
        </w:tc>
        <w:tc>
          <w:tcPr>
            <w:tcW w:w="1060" w:type="dxa"/>
            <w:vAlign w:val="bottom"/>
          </w:tcPr>
          <w:p w14:paraId="37033D32"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p>
        </w:tc>
        <w:tc>
          <w:tcPr>
            <w:tcW w:w="1060" w:type="dxa"/>
            <w:vAlign w:val="bottom"/>
          </w:tcPr>
          <w:p w14:paraId="124F8282"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p>
        </w:tc>
      </w:tr>
      <w:tr w:rsidR="004E2F51" w:rsidRPr="0002282A" w14:paraId="502DB0B6" w14:textId="77777777" w:rsidTr="00E032FC">
        <w:trPr>
          <w:trHeight w:val="283"/>
          <w:jc w:val="center"/>
        </w:trPr>
        <w:tc>
          <w:tcPr>
            <w:tcW w:w="6094" w:type="dxa"/>
            <w:vAlign w:val="bottom"/>
          </w:tcPr>
          <w:p w14:paraId="4E3051C5" w14:textId="77777777" w:rsidR="004E2F51" w:rsidRPr="00736C15" w:rsidRDefault="004E2F51" w:rsidP="00E032FC">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b/>
                <w:i/>
                <w:color w:val="000000"/>
                <w:sz w:val="17"/>
                <w:szCs w:val="17"/>
                <w:lang w:val="hr-HR"/>
              </w:rPr>
              <w:t>Krediti po fer vrijednosti kroz dobit ili gubitak:</w:t>
            </w:r>
          </w:p>
        </w:tc>
        <w:tc>
          <w:tcPr>
            <w:tcW w:w="1060" w:type="dxa"/>
            <w:tcBorders>
              <w:top w:val="nil"/>
              <w:left w:val="nil"/>
              <w:right w:val="nil"/>
            </w:tcBorders>
            <w:shd w:val="clear" w:color="auto" w:fill="auto"/>
            <w:vAlign w:val="bottom"/>
          </w:tcPr>
          <w:p w14:paraId="2EBDC91C"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41D90925"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3E409F57"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r>
      <w:tr w:rsidR="004E2F51" w:rsidRPr="00736C15" w14:paraId="701092B9" w14:textId="77777777" w:rsidTr="00E032FC">
        <w:trPr>
          <w:trHeight w:val="283"/>
          <w:jc w:val="center"/>
        </w:trPr>
        <w:tc>
          <w:tcPr>
            <w:tcW w:w="6094" w:type="dxa"/>
            <w:vAlign w:val="bottom"/>
          </w:tcPr>
          <w:p w14:paraId="03E1035F" w14:textId="77777777" w:rsidR="004E2F51" w:rsidRPr="00736C15" w:rsidRDefault="004E2F51" w:rsidP="00E032FC">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Mezzanine krediti</w:t>
            </w:r>
          </w:p>
        </w:tc>
        <w:tc>
          <w:tcPr>
            <w:tcW w:w="1060" w:type="dxa"/>
            <w:tcBorders>
              <w:top w:val="nil"/>
              <w:left w:val="nil"/>
              <w:right w:val="nil"/>
            </w:tcBorders>
            <w:shd w:val="clear" w:color="auto" w:fill="auto"/>
            <w:vAlign w:val="bottom"/>
          </w:tcPr>
          <w:p w14:paraId="6A4B1166"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5CE7779B"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36E45152"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47110">
              <w:rPr>
                <w:rFonts w:ascii="Arial" w:eastAsia="Calibri" w:hAnsi="Arial" w:cs="Arial"/>
                <w:color w:val="000000"/>
                <w:sz w:val="17"/>
                <w:szCs w:val="17"/>
                <w:lang w:val="hr-HR"/>
              </w:rPr>
              <w:t>22.831</w:t>
            </w:r>
          </w:p>
        </w:tc>
      </w:tr>
      <w:tr w:rsidR="004E2F51" w:rsidRPr="00736C15" w14:paraId="671E07D7" w14:textId="77777777" w:rsidTr="00E032FC">
        <w:trPr>
          <w:trHeight w:val="283"/>
          <w:jc w:val="center"/>
        </w:trPr>
        <w:tc>
          <w:tcPr>
            <w:tcW w:w="6094" w:type="dxa"/>
            <w:vAlign w:val="bottom"/>
          </w:tcPr>
          <w:p w14:paraId="46D9BE8A" w14:textId="77777777" w:rsidR="004E2F51" w:rsidRPr="00736C15" w:rsidRDefault="004E2F51" w:rsidP="00E032FC">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b/>
                <w:i/>
                <w:color w:val="000000"/>
                <w:sz w:val="17"/>
                <w:szCs w:val="17"/>
                <w:lang w:val="hr-HR"/>
              </w:rPr>
              <w:t>Ulaganja u investicijske fondove:</w:t>
            </w:r>
          </w:p>
        </w:tc>
        <w:tc>
          <w:tcPr>
            <w:tcW w:w="1060" w:type="dxa"/>
            <w:tcBorders>
              <w:top w:val="nil"/>
              <w:left w:val="nil"/>
              <w:right w:val="nil"/>
            </w:tcBorders>
            <w:shd w:val="clear" w:color="auto" w:fill="auto"/>
            <w:vAlign w:val="bottom"/>
          </w:tcPr>
          <w:p w14:paraId="2A6F8D60"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148F5C2B"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5ACF8B40"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r>
      <w:tr w:rsidR="004E2F51" w:rsidRPr="00736C15" w14:paraId="7DA6F7A3" w14:textId="77777777" w:rsidTr="00E032FC">
        <w:trPr>
          <w:trHeight w:val="283"/>
          <w:jc w:val="center"/>
        </w:trPr>
        <w:tc>
          <w:tcPr>
            <w:tcW w:w="6094" w:type="dxa"/>
            <w:vAlign w:val="bottom"/>
          </w:tcPr>
          <w:p w14:paraId="061FAB09" w14:textId="77777777" w:rsidR="004E2F51" w:rsidRPr="00736C15" w:rsidRDefault="004E2F51" w:rsidP="00E032FC">
            <w:pPr>
              <w:tabs>
                <w:tab w:val="right" w:pos="1202"/>
              </w:tabs>
              <w:outlineLvl w:val="0"/>
              <w:rPr>
                <w:rFonts w:ascii="Arial" w:eastAsia="Calibri" w:hAnsi="Arial" w:cs="Arial"/>
                <w:b/>
                <w:i/>
                <w:color w:val="000000"/>
                <w:sz w:val="17"/>
                <w:szCs w:val="17"/>
                <w:lang w:val="hr-HR"/>
              </w:rPr>
            </w:pPr>
            <w:r w:rsidRPr="00736C15">
              <w:rPr>
                <w:rFonts w:ascii="Arial" w:eastAsia="Calibri" w:hAnsi="Arial" w:cs="Arial"/>
                <w:color w:val="000000"/>
                <w:sz w:val="17"/>
                <w:szCs w:val="17"/>
                <w:lang w:val="hr-HR"/>
              </w:rPr>
              <w:t>Udjeli u investicijskim fondovima po fer vrijednosti kroz dobit ili gubitak</w:t>
            </w:r>
          </w:p>
        </w:tc>
        <w:tc>
          <w:tcPr>
            <w:tcW w:w="1060" w:type="dxa"/>
            <w:tcBorders>
              <w:top w:val="nil"/>
              <w:left w:val="nil"/>
              <w:right w:val="nil"/>
            </w:tcBorders>
            <w:shd w:val="clear" w:color="auto" w:fill="auto"/>
            <w:vAlign w:val="bottom"/>
          </w:tcPr>
          <w:p w14:paraId="07F12947"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47110">
              <w:rPr>
                <w:rFonts w:ascii="Arial" w:eastAsia="Calibri" w:hAnsi="Arial" w:cs="Arial"/>
                <w:color w:val="000000"/>
                <w:sz w:val="17"/>
                <w:szCs w:val="17"/>
                <w:lang w:val="hr-HR"/>
              </w:rPr>
              <w:t>107.303</w:t>
            </w:r>
          </w:p>
        </w:tc>
        <w:tc>
          <w:tcPr>
            <w:tcW w:w="1060" w:type="dxa"/>
            <w:tcBorders>
              <w:top w:val="nil"/>
              <w:left w:val="nil"/>
              <w:right w:val="nil"/>
            </w:tcBorders>
            <w:shd w:val="clear" w:color="auto" w:fill="auto"/>
            <w:vAlign w:val="bottom"/>
          </w:tcPr>
          <w:p w14:paraId="49C93453"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46E94272"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E2F51" w:rsidRPr="00736C15" w14:paraId="22A670B3" w14:textId="77777777" w:rsidTr="00E032FC">
        <w:trPr>
          <w:trHeight w:val="216"/>
          <w:jc w:val="center"/>
        </w:trPr>
        <w:tc>
          <w:tcPr>
            <w:tcW w:w="6094" w:type="dxa"/>
            <w:vAlign w:val="bottom"/>
          </w:tcPr>
          <w:p w14:paraId="09771B75" w14:textId="77777777" w:rsidR="004E2F51" w:rsidRPr="00736C15" w:rsidRDefault="004E2F51" w:rsidP="00E032FC">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Vlasnički vrijednosni papiri:</w:t>
            </w:r>
          </w:p>
        </w:tc>
        <w:tc>
          <w:tcPr>
            <w:tcW w:w="1060" w:type="dxa"/>
            <w:tcBorders>
              <w:top w:val="nil"/>
              <w:left w:val="nil"/>
              <w:right w:val="nil"/>
            </w:tcBorders>
            <w:shd w:val="clear" w:color="auto" w:fill="auto"/>
            <w:vAlign w:val="bottom"/>
          </w:tcPr>
          <w:p w14:paraId="39651911"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767F788A"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13403E65"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r>
      <w:tr w:rsidR="004E2F51" w:rsidRPr="00736C15" w14:paraId="2AC238FF" w14:textId="77777777" w:rsidTr="00E032FC">
        <w:trPr>
          <w:trHeight w:val="216"/>
          <w:jc w:val="center"/>
        </w:trPr>
        <w:tc>
          <w:tcPr>
            <w:tcW w:w="6094" w:type="dxa"/>
            <w:vAlign w:val="bottom"/>
          </w:tcPr>
          <w:p w14:paraId="663E4BDB" w14:textId="77777777" w:rsidR="004E2F51" w:rsidRPr="00736C15" w:rsidRDefault="004E2F51" w:rsidP="00E032FC">
            <w:pPr>
              <w:tabs>
                <w:tab w:val="right" w:pos="1202"/>
              </w:tabs>
              <w:outlineLvl w:val="0"/>
              <w:rPr>
                <w:rFonts w:ascii="Arial" w:eastAsia="Calibri" w:hAnsi="Arial" w:cs="Arial"/>
                <w:color w:val="000000"/>
                <w:sz w:val="17"/>
                <w:szCs w:val="17"/>
                <w:lang w:val="hr-HR"/>
              </w:rPr>
            </w:pPr>
            <w:r w:rsidRPr="00736C15">
              <w:rPr>
                <w:rFonts w:ascii="Arial" w:eastAsia="Calibri" w:hAnsi="Arial" w:cs="Arial"/>
                <w:b/>
                <w:i/>
                <w:color w:val="000000"/>
                <w:spacing w:val="-2"/>
                <w:sz w:val="17"/>
                <w:szCs w:val="17"/>
                <w:lang w:val="hr-HR"/>
              </w:rPr>
              <w:t>Vlasnički vrijednosni papiri koji ne kotiraju:</w:t>
            </w:r>
          </w:p>
        </w:tc>
        <w:tc>
          <w:tcPr>
            <w:tcW w:w="1060" w:type="dxa"/>
            <w:tcBorders>
              <w:left w:val="nil"/>
              <w:right w:val="nil"/>
            </w:tcBorders>
            <w:shd w:val="clear" w:color="auto" w:fill="auto"/>
            <w:vAlign w:val="bottom"/>
          </w:tcPr>
          <w:p w14:paraId="7EF0FFAC"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7E8D77FF"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14415E10"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r>
      <w:tr w:rsidR="004E2F51" w:rsidRPr="00736C15" w14:paraId="14AF5A44" w14:textId="77777777" w:rsidTr="00E032FC">
        <w:trPr>
          <w:trHeight w:val="283"/>
          <w:jc w:val="center"/>
        </w:trPr>
        <w:tc>
          <w:tcPr>
            <w:tcW w:w="6094" w:type="dxa"/>
            <w:vAlign w:val="bottom"/>
          </w:tcPr>
          <w:p w14:paraId="7811566A" w14:textId="77777777" w:rsidR="004E2F51" w:rsidRPr="00736C15" w:rsidRDefault="004E2F51" w:rsidP="00E032FC">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color w:val="000000"/>
                <w:sz w:val="17"/>
                <w:szCs w:val="17"/>
                <w:lang w:val="hr-HR"/>
              </w:rPr>
              <w:t>Dionice trgovačkih društava</w:t>
            </w:r>
          </w:p>
        </w:tc>
        <w:tc>
          <w:tcPr>
            <w:tcW w:w="1060" w:type="dxa"/>
            <w:tcBorders>
              <w:left w:val="nil"/>
              <w:right w:val="nil"/>
            </w:tcBorders>
            <w:shd w:val="clear" w:color="auto" w:fill="auto"/>
            <w:vAlign w:val="bottom"/>
          </w:tcPr>
          <w:p w14:paraId="4C2D2129"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7A5DF716"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01DCF4FE"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31</w:t>
            </w:r>
          </w:p>
        </w:tc>
      </w:tr>
      <w:tr w:rsidR="004E2F51" w:rsidRPr="00736C15" w14:paraId="250D24FF" w14:textId="77777777" w:rsidTr="00E032FC">
        <w:trPr>
          <w:trHeight w:val="283"/>
          <w:jc w:val="center"/>
        </w:trPr>
        <w:tc>
          <w:tcPr>
            <w:tcW w:w="6094" w:type="dxa"/>
            <w:vAlign w:val="bottom"/>
          </w:tcPr>
          <w:p w14:paraId="262699B4" w14:textId="77777777" w:rsidR="004E2F51" w:rsidRPr="00736C15" w:rsidRDefault="004E2F51" w:rsidP="00E032FC">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Depozitarne potvrde - DR</w:t>
            </w:r>
          </w:p>
        </w:tc>
        <w:tc>
          <w:tcPr>
            <w:tcW w:w="1060" w:type="dxa"/>
            <w:tcBorders>
              <w:left w:val="nil"/>
              <w:right w:val="nil"/>
            </w:tcBorders>
            <w:shd w:val="clear" w:color="auto" w:fill="auto"/>
            <w:vAlign w:val="bottom"/>
          </w:tcPr>
          <w:p w14:paraId="31E3654F"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7BB25625"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039FD077"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47110">
              <w:rPr>
                <w:rFonts w:ascii="Arial" w:eastAsia="Calibri" w:hAnsi="Arial" w:cs="Arial"/>
                <w:color w:val="000000"/>
                <w:sz w:val="17"/>
                <w:szCs w:val="17"/>
                <w:lang w:val="hr-HR"/>
              </w:rPr>
              <w:t>319</w:t>
            </w:r>
          </w:p>
        </w:tc>
      </w:tr>
      <w:tr w:rsidR="004E2F51" w:rsidRPr="0002282A" w14:paraId="6A299D3A" w14:textId="77777777" w:rsidTr="00E032FC">
        <w:trPr>
          <w:trHeight w:val="283"/>
          <w:jc w:val="center"/>
        </w:trPr>
        <w:tc>
          <w:tcPr>
            <w:tcW w:w="6094" w:type="dxa"/>
            <w:vAlign w:val="bottom"/>
          </w:tcPr>
          <w:p w14:paraId="04511438" w14:textId="77777777" w:rsidR="004E2F51" w:rsidRPr="006F4749" w:rsidRDefault="004E2F51" w:rsidP="00E032FC">
            <w:pPr>
              <w:tabs>
                <w:tab w:val="right" w:pos="1202"/>
              </w:tabs>
              <w:outlineLvl w:val="0"/>
              <w:rPr>
                <w:rFonts w:ascii="Arial" w:eastAsia="Calibri" w:hAnsi="Arial" w:cs="Arial"/>
                <w:b/>
                <w:bCs/>
                <w:color w:val="000000"/>
                <w:sz w:val="17"/>
                <w:szCs w:val="17"/>
                <w:lang w:val="hr-HR"/>
              </w:rPr>
            </w:pPr>
            <w:r w:rsidRPr="006F4749">
              <w:rPr>
                <w:rFonts w:ascii="Arial" w:eastAsia="Calibri" w:hAnsi="Arial" w:cs="Arial"/>
                <w:b/>
                <w:bCs/>
                <w:color w:val="000000"/>
                <w:sz w:val="17"/>
                <w:szCs w:val="17"/>
                <w:lang w:val="hr-HR"/>
              </w:rPr>
              <w:t>Derivativna financijska imovina – pozitivna fer vrijednost</w:t>
            </w:r>
          </w:p>
        </w:tc>
        <w:tc>
          <w:tcPr>
            <w:tcW w:w="1060" w:type="dxa"/>
            <w:tcBorders>
              <w:left w:val="nil"/>
              <w:right w:val="nil"/>
            </w:tcBorders>
            <w:shd w:val="clear" w:color="auto" w:fill="auto"/>
            <w:vAlign w:val="bottom"/>
          </w:tcPr>
          <w:p w14:paraId="35816A0F" w14:textId="77777777" w:rsidR="004E2F51" w:rsidRDefault="004E2F51" w:rsidP="00E032FC">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40CE8064" w14:textId="77777777" w:rsidR="004E2F51" w:rsidRDefault="004E2F51" w:rsidP="00E032FC">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4D2045FB" w14:textId="77777777" w:rsidR="004E2F51" w:rsidRPr="00747110" w:rsidRDefault="004E2F51" w:rsidP="00E032FC">
            <w:pPr>
              <w:tabs>
                <w:tab w:val="right" w:pos="1202"/>
              </w:tabs>
              <w:jc w:val="right"/>
              <w:outlineLvl w:val="0"/>
              <w:rPr>
                <w:rFonts w:ascii="Arial" w:eastAsia="Calibri" w:hAnsi="Arial" w:cs="Arial"/>
                <w:color w:val="000000"/>
                <w:sz w:val="17"/>
                <w:szCs w:val="17"/>
                <w:lang w:val="hr-HR"/>
              </w:rPr>
            </w:pPr>
          </w:p>
        </w:tc>
      </w:tr>
      <w:tr w:rsidR="004E2F51" w:rsidRPr="00736C15" w14:paraId="28D34115" w14:textId="77777777" w:rsidTr="00E032FC">
        <w:trPr>
          <w:trHeight w:val="283"/>
          <w:jc w:val="center"/>
        </w:trPr>
        <w:tc>
          <w:tcPr>
            <w:tcW w:w="6094" w:type="dxa"/>
            <w:vAlign w:val="bottom"/>
          </w:tcPr>
          <w:p w14:paraId="59819B40" w14:textId="77777777" w:rsidR="004E2F51" w:rsidRPr="00736C15" w:rsidRDefault="004E2F51" w:rsidP="00E032FC">
            <w:pPr>
              <w:tabs>
                <w:tab w:val="right" w:pos="1202"/>
              </w:tabs>
              <w:outlineLvl w:val="0"/>
              <w:rPr>
                <w:rFonts w:ascii="Arial" w:eastAsia="Calibri" w:hAnsi="Arial" w:cs="Arial"/>
                <w:color w:val="000000"/>
                <w:sz w:val="17"/>
                <w:szCs w:val="17"/>
                <w:lang w:val="hr-HR"/>
              </w:rPr>
            </w:pPr>
            <w:r w:rsidRPr="006F4749">
              <w:rPr>
                <w:rFonts w:ascii="Arial" w:eastAsia="Calibri" w:hAnsi="Arial" w:cs="Arial"/>
                <w:color w:val="000000"/>
                <w:sz w:val="17"/>
                <w:szCs w:val="17"/>
                <w:lang w:val="hr-HR"/>
              </w:rPr>
              <w:t>FX swap</w:t>
            </w:r>
          </w:p>
        </w:tc>
        <w:tc>
          <w:tcPr>
            <w:tcW w:w="1060" w:type="dxa"/>
            <w:tcBorders>
              <w:left w:val="nil"/>
              <w:right w:val="nil"/>
            </w:tcBorders>
            <w:shd w:val="clear" w:color="auto" w:fill="auto"/>
            <w:vAlign w:val="bottom"/>
          </w:tcPr>
          <w:p w14:paraId="5C2DD6A4" w14:textId="77777777" w:rsidR="004E2F51"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65903D19" w14:textId="77777777" w:rsidR="004E2F51" w:rsidRDefault="004E2F51" w:rsidP="00E032FC">
            <w:pPr>
              <w:tabs>
                <w:tab w:val="right" w:pos="1202"/>
              </w:tabs>
              <w:jc w:val="right"/>
              <w:outlineLvl w:val="0"/>
              <w:rPr>
                <w:rFonts w:ascii="Arial" w:eastAsia="Calibri" w:hAnsi="Arial" w:cs="Arial"/>
                <w:color w:val="000000"/>
                <w:sz w:val="17"/>
                <w:szCs w:val="17"/>
                <w:lang w:val="hr-HR"/>
              </w:rPr>
            </w:pPr>
            <w:r w:rsidRPr="006F4749">
              <w:rPr>
                <w:rFonts w:ascii="Arial" w:eastAsia="Calibri" w:hAnsi="Arial" w:cs="Arial"/>
                <w:color w:val="000000"/>
                <w:sz w:val="17"/>
                <w:szCs w:val="17"/>
                <w:lang w:val="hr-HR"/>
              </w:rPr>
              <w:t>1.039</w:t>
            </w:r>
          </w:p>
        </w:tc>
        <w:tc>
          <w:tcPr>
            <w:tcW w:w="1060" w:type="dxa"/>
            <w:tcBorders>
              <w:top w:val="nil"/>
              <w:left w:val="nil"/>
              <w:right w:val="nil"/>
            </w:tcBorders>
            <w:shd w:val="clear" w:color="auto" w:fill="auto"/>
            <w:vAlign w:val="bottom"/>
          </w:tcPr>
          <w:p w14:paraId="6984DB05" w14:textId="77777777" w:rsidR="004E2F51" w:rsidRPr="00747110"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E2F51" w:rsidRPr="00736C15" w14:paraId="371D2C09" w14:textId="77777777" w:rsidTr="00E032FC">
        <w:trPr>
          <w:trHeight w:val="283"/>
          <w:jc w:val="center"/>
        </w:trPr>
        <w:tc>
          <w:tcPr>
            <w:tcW w:w="6094" w:type="dxa"/>
            <w:vAlign w:val="bottom"/>
          </w:tcPr>
          <w:p w14:paraId="4B749C8B" w14:textId="77777777" w:rsidR="004E2F51" w:rsidRPr="00736C15" w:rsidRDefault="004E2F51" w:rsidP="00E032FC">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Ukupno financijska imovina po fer vrijednosti kroz dobit ili gubitak</w:t>
            </w:r>
          </w:p>
        </w:tc>
        <w:tc>
          <w:tcPr>
            <w:tcW w:w="1060" w:type="dxa"/>
            <w:tcBorders>
              <w:top w:val="single" w:sz="4" w:space="0" w:color="auto"/>
              <w:left w:val="nil"/>
              <w:bottom w:val="single" w:sz="12" w:space="0" w:color="auto"/>
              <w:right w:val="nil"/>
            </w:tcBorders>
            <w:shd w:val="clear" w:color="auto" w:fill="auto"/>
            <w:vAlign w:val="bottom"/>
          </w:tcPr>
          <w:p w14:paraId="53A65923" w14:textId="77777777" w:rsidR="004E2F51" w:rsidRPr="00736C15" w:rsidRDefault="004E2F51" w:rsidP="00E032FC">
            <w:pPr>
              <w:tabs>
                <w:tab w:val="right" w:pos="1202"/>
              </w:tabs>
              <w:jc w:val="right"/>
              <w:outlineLvl w:val="0"/>
              <w:rPr>
                <w:rFonts w:ascii="Arial" w:eastAsia="Calibri" w:hAnsi="Arial" w:cs="Arial"/>
                <w:b/>
                <w:color w:val="000000"/>
                <w:sz w:val="17"/>
                <w:szCs w:val="17"/>
                <w:lang w:val="hr-HR"/>
              </w:rPr>
            </w:pPr>
            <w:r w:rsidRPr="00747110">
              <w:rPr>
                <w:rFonts w:ascii="Arial" w:eastAsia="Calibri" w:hAnsi="Arial" w:cs="Arial"/>
                <w:b/>
                <w:color w:val="000000"/>
                <w:sz w:val="17"/>
                <w:szCs w:val="17"/>
                <w:lang w:val="hr-HR"/>
              </w:rPr>
              <w:t>107.303</w:t>
            </w:r>
          </w:p>
        </w:tc>
        <w:tc>
          <w:tcPr>
            <w:tcW w:w="1060" w:type="dxa"/>
            <w:tcBorders>
              <w:top w:val="single" w:sz="4" w:space="0" w:color="auto"/>
              <w:left w:val="nil"/>
              <w:bottom w:val="single" w:sz="12" w:space="0" w:color="auto"/>
              <w:right w:val="nil"/>
            </w:tcBorders>
            <w:shd w:val="clear" w:color="auto" w:fill="auto"/>
            <w:vAlign w:val="bottom"/>
          </w:tcPr>
          <w:p w14:paraId="2FB668FC" w14:textId="77777777" w:rsidR="004E2F51" w:rsidRPr="00736C15" w:rsidRDefault="004E2F51" w:rsidP="00E032FC">
            <w:pPr>
              <w:tabs>
                <w:tab w:val="right" w:pos="1202"/>
              </w:tabs>
              <w:jc w:val="right"/>
              <w:outlineLvl w:val="0"/>
              <w:rPr>
                <w:rFonts w:ascii="Arial" w:eastAsia="Calibri" w:hAnsi="Arial" w:cs="Arial"/>
                <w:b/>
                <w:color w:val="000000"/>
                <w:sz w:val="17"/>
                <w:szCs w:val="17"/>
                <w:lang w:val="hr-HR"/>
              </w:rPr>
            </w:pPr>
            <w:r w:rsidRPr="006F4749">
              <w:rPr>
                <w:rFonts w:ascii="Arial" w:eastAsia="Calibri" w:hAnsi="Arial" w:cs="Arial"/>
                <w:b/>
                <w:color w:val="000000"/>
                <w:sz w:val="17"/>
                <w:szCs w:val="17"/>
                <w:lang w:val="hr-HR"/>
              </w:rPr>
              <w:t>1.039</w:t>
            </w:r>
          </w:p>
        </w:tc>
        <w:tc>
          <w:tcPr>
            <w:tcW w:w="1060" w:type="dxa"/>
            <w:tcBorders>
              <w:top w:val="single" w:sz="4" w:space="0" w:color="auto"/>
              <w:left w:val="nil"/>
              <w:bottom w:val="single" w:sz="12" w:space="0" w:color="auto"/>
              <w:right w:val="nil"/>
            </w:tcBorders>
            <w:shd w:val="clear" w:color="auto" w:fill="auto"/>
            <w:vAlign w:val="bottom"/>
          </w:tcPr>
          <w:p w14:paraId="03E65A27" w14:textId="77777777" w:rsidR="004E2F51" w:rsidRPr="00736C15" w:rsidRDefault="004E2F51" w:rsidP="00E032FC">
            <w:pPr>
              <w:tabs>
                <w:tab w:val="right" w:pos="1202"/>
              </w:tabs>
              <w:jc w:val="right"/>
              <w:outlineLvl w:val="0"/>
              <w:rPr>
                <w:rFonts w:ascii="Arial" w:eastAsia="Calibri" w:hAnsi="Arial" w:cs="Arial"/>
                <w:b/>
                <w:color w:val="000000"/>
                <w:sz w:val="17"/>
                <w:szCs w:val="17"/>
                <w:lang w:val="hr-HR"/>
              </w:rPr>
            </w:pPr>
            <w:r w:rsidRPr="00747110">
              <w:rPr>
                <w:rFonts w:ascii="Arial" w:eastAsia="Calibri" w:hAnsi="Arial" w:cs="Arial"/>
                <w:b/>
                <w:color w:val="000000"/>
                <w:sz w:val="17"/>
                <w:szCs w:val="17"/>
                <w:lang w:val="hr-HR"/>
              </w:rPr>
              <w:t>23.181</w:t>
            </w:r>
          </w:p>
        </w:tc>
      </w:tr>
      <w:tr w:rsidR="004E2F51" w:rsidRPr="00736C15" w14:paraId="0E869B88" w14:textId="77777777" w:rsidTr="00E032FC">
        <w:trPr>
          <w:trHeight w:val="283"/>
          <w:jc w:val="center"/>
        </w:trPr>
        <w:tc>
          <w:tcPr>
            <w:tcW w:w="6094" w:type="dxa"/>
            <w:shd w:val="clear" w:color="auto" w:fill="auto"/>
            <w:vAlign w:val="bottom"/>
          </w:tcPr>
          <w:p w14:paraId="752F3300" w14:textId="77777777" w:rsidR="004E2F51" w:rsidRPr="00736C15" w:rsidRDefault="004E2F51" w:rsidP="00E032FC">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Financijska imovina po fer vrijednosti kroz ostalu sveobuhvatnu dobit:</w:t>
            </w:r>
          </w:p>
        </w:tc>
        <w:tc>
          <w:tcPr>
            <w:tcW w:w="1060" w:type="dxa"/>
            <w:vAlign w:val="bottom"/>
          </w:tcPr>
          <w:p w14:paraId="2EC4901F"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45D9B853"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4C81116F"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6019D7EA" w14:textId="77777777" w:rsidTr="00E032FC">
        <w:trPr>
          <w:trHeight w:val="283"/>
          <w:jc w:val="center"/>
        </w:trPr>
        <w:tc>
          <w:tcPr>
            <w:tcW w:w="6094" w:type="dxa"/>
            <w:shd w:val="clear" w:color="auto" w:fill="auto"/>
            <w:vAlign w:val="bottom"/>
          </w:tcPr>
          <w:p w14:paraId="5D095977" w14:textId="77777777" w:rsidR="004E2F51" w:rsidRPr="00736C15" w:rsidRDefault="004E2F51" w:rsidP="00E032FC">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Dužnički vrijednosni papiri:</w:t>
            </w:r>
          </w:p>
        </w:tc>
        <w:tc>
          <w:tcPr>
            <w:tcW w:w="1060" w:type="dxa"/>
            <w:vAlign w:val="bottom"/>
          </w:tcPr>
          <w:p w14:paraId="4ABA18C0"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60545484"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1E3B32D5"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3CE043F2" w14:textId="77777777" w:rsidTr="00E032FC">
        <w:trPr>
          <w:trHeight w:val="283"/>
          <w:jc w:val="center"/>
        </w:trPr>
        <w:tc>
          <w:tcPr>
            <w:tcW w:w="6094" w:type="dxa"/>
            <w:shd w:val="clear" w:color="auto" w:fill="auto"/>
            <w:vAlign w:val="bottom"/>
          </w:tcPr>
          <w:p w14:paraId="5A7D113C" w14:textId="77777777" w:rsidR="004E2F51" w:rsidRPr="00736C15" w:rsidRDefault="004E2F51" w:rsidP="00E032FC">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Dužnički vrijednosni papiri koji kotiraju:</w:t>
            </w:r>
          </w:p>
        </w:tc>
        <w:tc>
          <w:tcPr>
            <w:tcW w:w="1060" w:type="dxa"/>
            <w:shd w:val="clear" w:color="auto" w:fill="auto"/>
            <w:vAlign w:val="bottom"/>
          </w:tcPr>
          <w:p w14:paraId="0B0B13DA"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1060" w:type="dxa"/>
            <w:shd w:val="clear" w:color="auto" w:fill="auto"/>
            <w:vAlign w:val="bottom"/>
          </w:tcPr>
          <w:p w14:paraId="430538A2"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1060" w:type="dxa"/>
            <w:shd w:val="clear" w:color="auto" w:fill="auto"/>
            <w:vAlign w:val="bottom"/>
          </w:tcPr>
          <w:p w14:paraId="3A5A7FA9"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5AA9E831" w14:textId="77777777" w:rsidTr="00E032FC">
        <w:trPr>
          <w:trHeight w:val="283"/>
          <w:jc w:val="center"/>
        </w:trPr>
        <w:tc>
          <w:tcPr>
            <w:tcW w:w="6094" w:type="dxa"/>
            <w:shd w:val="clear" w:color="auto" w:fill="auto"/>
            <w:vAlign w:val="bottom"/>
          </w:tcPr>
          <w:p w14:paraId="029B74AF"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Obveznice Republike Hrvatske</w:t>
            </w:r>
          </w:p>
        </w:tc>
        <w:tc>
          <w:tcPr>
            <w:tcW w:w="1060" w:type="dxa"/>
            <w:tcBorders>
              <w:top w:val="nil"/>
              <w:left w:val="nil"/>
              <w:bottom w:val="nil"/>
              <w:right w:val="nil"/>
            </w:tcBorders>
            <w:shd w:val="clear" w:color="auto" w:fill="auto"/>
            <w:vAlign w:val="bottom"/>
          </w:tcPr>
          <w:p w14:paraId="20D801EB"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47110">
              <w:rPr>
                <w:rFonts w:ascii="Arial" w:eastAsia="Calibri" w:hAnsi="Arial" w:cs="Arial"/>
                <w:color w:val="000000"/>
                <w:sz w:val="17"/>
                <w:szCs w:val="17"/>
                <w:lang w:val="hr-HR"/>
              </w:rPr>
              <w:t>1.289.066</w:t>
            </w:r>
          </w:p>
        </w:tc>
        <w:tc>
          <w:tcPr>
            <w:tcW w:w="1060" w:type="dxa"/>
            <w:tcBorders>
              <w:top w:val="nil"/>
              <w:left w:val="nil"/>
              <w:bottom w:val="nil"/>
              <w:right w:val="nil"/>
            </w:tcBorders>
            <w:shd w:val="clear" w:color="auto" w:fill="auto"/>
            <w:vAlign w:val="bottom"/>
          </w:tcPr>
          <w:p w14:paraId="19CE4B86"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1A34122C"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E2F51" w:rsidRPr="00736C15" w14:paraId="456A91EF" w14:textId="77777777" w:rsidTr="00E032FC">
        <w:trPr>
          <w:trHeight w:val="283"/>
          <w:jc w:val="center"/>
        </w:trPr>
        <w:tc>
          <w:tcPr>
            <w:tcW w:w="6094" w:type="dxa"/>
            <w:shd w:val="clear" w:color="auto" w:fill="auto"/>
            <w:vAlign w:val="bottom"/>
          </w:tcPr>
          <w:p w14:paraId="433D8135"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Trezorski zapisi Ministarstva financija</w:t>
            </w:r>
          </w:p>
        </w:tc>
        <w:tc>
          <w:tcPr>
            <w:tcW w:w="1060" w:type="dxa"/>
            <w:tcBorders>
              <w:top w:val="nil"/>
              <w:left w:val="nil"/>
              <w:bottom w:val="nil"/>
              <w:right w:val="nil"/>
            </w:tcBorders>
            <w:shd w:val="clear" w:color="auto" w:fill="auto"/>
            <w:vAlign w:val="bottom"/>
          </w:tcPr>
          <w:p w14:paraId="2992AD31"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7B0AE998"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47110">
              <w:rPr>
                <w:rFonts w:ascii="Arial" w:eastAsia="Calibri" w:hAnsi="Arial" w:cs="Arial"/>
                <w:color w:val="000000"/>
                <w:sz w:val="17"/>
                <w:szCs w:val="17"/>
                <w:lang w:val="hr-HR"/>
              </w:rPr>
              <w:t>1.281.368</w:t>
            </w:r>
          </w:p>
        </w:tc>
        <w:tc>
          <w:tcPr>
            <w:tcW w:w="1060" w:type="dxa"/>
            <w:tcBorders>
              <w:top w:val="nil"/>
              <w:left w:val="nil"/>
              <w:bottom w:val="nil"/>
              <w:right w:val="nil"/>
            </w:tcBorders>
            <w:shd w:val="clear" w:color="auto" w:fill="auto"/>
            <w:vAlign w:val="bottom"/>
          </w:tcPr>
          <w:p w14:paraId="6CB06048"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E2F51" w:rsidRPr="00736C15" w14:paraId="7126E031" w14:textId="77777777" w:rsidTr="00E032FC">
        <w:trPr>
          <w:trHeight w:val="283"/>
          <w:jc w:val="center"/>
        </w:trPr>
        <w:tc>
          <w:tcPr>
            <w:tcW w:w="6094" w:type="dxa"/>
            <w:shd w:val="clear" w:color="auto" w:fill="auto"/>
            <w:vAlign w:val="bottom"/>
          </w:tcPr>
          <w:p w14:paraId="246D4755"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 xml:space="preserve">Obračunana kamata </w:t>
            </w:r>
          </w:p>
        </w:tc>
        <w:tc>
          <w:tcPr>
            <w:tcW w:w="1060" w:type="dxa"/>
            <w:tcBorders>
              <w:top w:val="nil"/>
              <w:left w:val="nil"/>
              <w:bottom w:val="nil"/>
              <w:right w:val="nil"/>
            </w:tcBorders>
            <w:shd w:val="clear" w:color="auto" w:fill="auto"/>
            <w:vAlign w:val="bottom"/>
          </w:tcPr>
          <w:p w14:paraId="0F5642A0"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47110">
              <w:rPr>
                <w:rFonts w:ascii="Arial" w:eastAsia="Calibri" w:hAnsi="Arial" w:cs="Arial"/>
                <w:color w:val="000000"/>
                <w:sz w:val="17"/>
                <w:szCs w:val="17"/>
                <w:lang w:val="hr-HR"/>
              </w:rPr>
              <w:t>13.895</w:t>
            </w:r>
          </w:p>
        </w:tc>
        <w:tc>
          <w:tcPr>
            <w:tcW w:w="1060" w:type="dxa"/>
            <w:tcBorders>
              <w:top w:val="nil"/>
              <w:left w:val="nil"/>
              <w:bottom w:val="nil"/>
              <w:right w:val="nil"/>
            </w:tcBorders>
            <w:shd w:val="clear" w:color="auto" w:fill="auto"/>
            <w:vAlign w:val="bottom"/>
          </w:tcPr>
          <w:p w14:paraId="7B46B72F"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62EE75B7"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E2F51" w:rsidRPr="00736C15" w14:paraId="3DDC8327" w14:textId="77777777" w:rsidTr="00E032FC">
        <w:trPr>
          <w:trHeight w:val="283"/>
          <w:jc w:val="center"/>
        </w:trPr>
        <w:tc>
          <w:tcPr>
            <w:tcW w:w="6094" w:type="dxa"/>
            <w:shd w:val="clear" w:color="auto" w:fill="auto"/>
            <w:vAlign w:val="bottom"/>
          </w:tcPr>
          <w:p w14:paraId="7B73BB85" w14:textId="77777777" w:rsidR="004E2F51" w:rsidRPr="00736C15" w:rsidRDefault="004E2F51" w:rsidP="00E032FC">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Dužnički vrijednosni papiri koji ne kotiraju:</w:t>
            </w:r>
          </w:p>
        </w:tc>
        <w:tc>
          <w:tcPr>
            <w:tcW w:w="1060" w:type="dxa"/>
            <w:tcBorders>
              <w:top w:val="nil"/>
              <w:left w:val="nil"/>
              <w:bottom w:val="nil"/>
              <w:right w:val="nil"/>
            </w:tcBorders>
            <w:shd w:val="clear" w:color="auto" w:fill="auto"/>
            <w:vAlign w:val="bottom"/>
          </w:tcPr>
          <w:p w14:paraId="21EDEA1C"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bottom w:val="nil"/>
              <w:right w:val="nil"/>
            </w:tcBorders>
            <w:shd w:val="clear" w:color="auto" w:fill="auto"/>
            <w:vAlign w:val="bottom"/>
          </w:tcPr>
          <w:p w14:paraId="3F3AF356"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1060" w:type="dxa"/>
            <w:tcBorders>
              <w:top w:val="nil"/>
              <w:left w:val="nil"/>
              <w:bottom w:val="nil"/>
              <w:right w:val="nil"/>
            </w:tcBorders>
            <w:shd w:val="clear" w:color="auto" w:fill="auto"/>
            <w:vAlign w:val="bottom"/>
          </w:tcPr>
          <w:p w14:paraId="539608CD"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5DCEC807" w14:textId="77777777" w:rsidTr="00E032FC">
        <w:trPr>
          <w:trHeight w:val="283"/>
          <w:jc w:val="center"/>
        </w:trPr>
        <w:tc>
          <w:tcPr>
            <w:tcW w:w="6094" w:type="dxa"/>
            <w:shd w:val="clear" w:color="auto" w:fill="auto"/>
            <w:vAlign w:val="bottom"/>
          </w:tcPr>
          <w:p w14:paraId="4FA05179"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 xml:space="preserve">Obveznice trgovačkih društava </w:t>
            </w:r>
          </w:p>
        </w:tc>
        <w:tc>
          <w:tcPr>
            <w:tcW w:w="1060" w:type="dxa"/>
            <w:tcBorders>
              <w:top w:val="nil"/>
              <w:left w:val="nil"/>
              <w:bottom w:val="nil"/>
              <w:right w:val="nil"/>
            </w:tcBorders>
            <w:shd w:val="clear" w:color="auto" w:fill="auto"/>
            <w:vAlign w:val="bottom"/>
          </w:tcPr>
          <w:p w14:paraId="546274C9"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nil"/>
              <w:right w:val="nil"/>
            </w:tcBorders>
            <w:shd w:val="clear" w:color="auto" w:fill="auto"/>
            <w:vAlign w:val="bottom"/>
          </w:tcPr>
          <w:p w14:paraId="60271716"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nil"/>
              <w:right w:val="nil"/>
            </w:tcBorders>
            <w:shd w:val="clear" w:color="auto" w:fill="auto"/>
            <w:vAlign w:val="bottom"/>
          </w:tcPr>
          <w:p w14:paraId="56AD9F8D"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sidRPr="00586B14">
              <w:rPr>
                <w:rFonts w:ascii="Arial" w:eastAsia="Calibri" w:hAnsi="Arial" w:cs="Arial"/>
                <w:color w:val="000000"/>
                <w:spacing w:val="-2"/>
                <w:sz w:val="17"/>
                <w:szCs w:val="17"/>
                <w:lang w:val="hr-HR"/>
              </w:rPr>
              <w:t>464</w:t>
            </w:r>
          </w:p>
        </w:tc>
      </w:tr>
      <w:tr w:rsidR="004E2F51" w:rsidRPr="00736C15" w14:paraId="65566C5F" w14:textId="77777777" w:rsidTr="00E032FC">
        <w:trPr>
          <w:trHeight w:val="283"/>
          <w:jc w:val="center"/>
        </w:trPr>
        <w:tc>
          <w:tcPr>
            <w:tcW w:w="6094" w:type="dxa"/>
            <w:shd w:val="clear" w:color="auto" w:fill="auto"/>
            <w:vAlign w:val="bottom"/>
          </w:tcPr>
          <w:p w14:paraId="60DC8C48"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Zamjenjive obvezni</w:t>
            </w:r>
            <w:r>
              <w:rPr>
                <w:rFonts w:ascii="Arial" w:eastAsia="Calibri" w:hAnsi="Arial" w:cs="Arial"/>
                <w:color w:val="000000"/>
                <w:spacing w:val="-2"/>
                <w:sz w:val="17"/>
                <w:szCs w:val="17"/>
                <w:lang w:val="hr-HR"/>
              </w:rPr>
              <w:t>c</w:t>
            </w:r>
            <w:r w:rsidRPr="00736C15">
              <w:rPr>
                <w:rFonts w:ascii="Arial" w:eastAsia="Calibri" w:hAnsi="Arial" w:cs="Arial"/>
                <w:color w:val="000000"/>
                <w:spacing w:val="-2"/>
                <w:sz w:val="17"/>
                <w:szCs w:val="17"/>
                <w:lang w:val="hr-HR"/>
              </w:rPr>
              <w:t>e CB</w:t>
            </w:r>
          </w:p>
        </w:tc>
        <w:tc>
          <w:tcPr>
            <w:tcW w:w="1060" w:type="dxa"/>
            <w:tcBorders>
              <w:top w:val="nil"/>
              <w:left w:val="nil"/>
              <w:bottom w:val="nil"/>
              <w:right w:val="nil"/>
            </w:tcBorders>
            <w:shd w:val="clear" w:color="auto" w:fill="auto"/>
            <w:vAlign w:val="bottom"/>
          </w:tcPr>
          <w:p w14:paraId="07FE9AE6"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nil"/>
              <w:right w:val="nil"/>
            </w:tcBorders>
            <w:shd w:val="clear" w:color="auto" w:fill="auto"/>
            <w:vAlign w:val="bottom"/>
          </w:tcPr>
          <w:p w14:paraId="4D891CE1"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nil"/>
              <w:right w:val="nil"/>
            </w:tcBorders>
            <w:shd w:val="clear" w:color="auto" w:fill="auto"/>
            <w:vAlign w:val="bottom"/>
          </w:tcPr>
          <w:p w14:paraId="2025CDD7"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sidRPr="00586B14">
              <w:rPr>
                <w:rFonts w:ascii="Arial" w:eastAsia="Calibri" w:hAnsi="Arial" w:cs="Arial"/>
                <w:color w:val="000000"/>
                <w:spacing w:val="-2"/>
                <w:sz w:val="17"/>
                <w:szCs w:val="17"/>
                <w:lang w:val="hr-HR"/>
              </w:rPr>
              <w:t>1.472</w:t>
            </w:r>
          </w:p>
        </w:tc>
      </w:tr>
      <w:tr w:rsidR="004E2F51" w:rsidRPr="00736C15" w14:paraId="3C05AD37" w14:textId="77777777" w:rsidTr="00E032FC">
        <w:trPr>
          <w:trHeight w:val="283"/>
          <w:jc w:val="center"/>
        </w:trPr>
        <w:tc>
          <w:tcPr>
            <w:tcW w:w="6094" w:type="dxa"/>
            <w:shd w:val="clear" w:color="auto" w:fill="auto"/>
            <w:vAlign w:val="bottom"/>
          </w:tcPr>
          <w:p w14:paraId="3F886C5A"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r w:rsidRPr="00736C15">
              <w:rPr>
                <w:rFonts w:ascii="Arial" w:eastAsia="Calibri" w:hAnsi="Arial" w:cs="Arial"/>
                <w:color w:val="000000"/>
                <w:spacing w:val="-2"/>
                <w:sz w:val="17"/>
                <w:szCs w:val="17"/>
                <w:lang w:val="hr-HR"/>
              </w:rPr>
              <w:t>Obračunata kamata</w:t>
            </w:r>
          </w:p>
        </w:tc>
        <w:tc>
          <w:tcPr>
            <w:tcW w:w="1060" w:type="dxa"/>
            <w:tcBorders>
              <w:top w:val="nil"/>
              <w:left w:val="nil"/>
              <w:bottom w:val="single" w:sz="4" w:space="0" w:color="auto"/>
              <w:right w:val="nil"/>
            </w:tcBorders>
            <w:shd w:val="clear" w:color="auto" w:fill="auto"/>
            <w:vAlign w:val="bottom"/>
          </w:tcPr>
          <w:p w14:paraId="6FB18B7D"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single" w:sz="4" w:space="0" w:color="auto"/>
              <w:right w:val="nil"/>
            </w:tcBorders>
            <w:shd w:val="clear" w:color="auto" w:fill="auto"/>
            <w:vAlign w:val="bottom"/>
          </w:tcPr>
          <w:p w14:paraId="09412F9A"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060" w:type="dxa"/>
            <w:tcBorders>
              <w:top w:val="nil"/>
              <w:left w:val="nil"/>
              <w:bottom w:val="single" w:sz="4" w:space="0" w:color="auto"/>
              <w:right w:val="nil"/>
            </w:tcBorders>
            <w:shd w:val="clear" w:color="auto" w:fill="auto"/>
            <w:vAlign w:val="bottom"/>
          </w:tcPr>
          <w:p w14:paraId="24CBDDB8"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32</w:t>
            </w:r>
          </w:p>
        </w:tc>
      </w:tr>
      <w:tr w:rsidR="004E2F51" w:rsidRPr="00736C15" w14:paraId="16E30389" w14:textId="77777777" w:rsidTr="00E032FC">
        <w:trPr>
          <w:trHeight w:val="283"/>
          <w:jc w:val="center"/>
        </w:trPr>
        <w:tc>
          <w:tcPr>
            <w:tcW w:w="6094" w:type="dxa"/>
            <w:shd w:val="clear" w:color="auto" w:fill="auto"/>
            <w:vAlign w:val="bottom"/>
          </w:tcPr>
          <w:p w14:paraId="40D2FADC" w14:textId="77777777" w:rsidR="004E2F51" w:rsidRPr="00736C15" w:rsidRDefault="004E2F51" w:rsidP="00E032FC">
            <w:pPr>
              <w:tabs>
                <w:tab w:val="right" w:pos="1202"/>
              </w:tabs>
              <w:outlineLvl w:val="0"/>
              <w:rPr>
                <w:rFonts w:ascii="Arial" w:eastAsia="Calibri" w:hAnsi="Arial" w:cs="Arial"/>
                <w:b/>
                <w:color w:val="000000"/>
                <w:spacing w:val="-2"/>
                <w:sz w:val="17"/>
                <w:szCs w:val="17"/>
                <w:lang w:val="hr-HR"/>
              </w:rPr>
            </w:pPr>
            <w:r w:rsidRPr="00736C15">
              <w:rPr>
                <w:rFonts w:ascii="Arial" w:eastAsia="Calibri" w:hAnsi="Arial" w:cs="Arial"/>
                <w:b/>
                <w:color w:val="000000"/>
                <w:spacing w:val="-2"/>
                <w:sz w:val="17"/>
                <w:szCs w:val="17"/>
                <w:lang w:val="hr-HR"/>
              </w:rPr>
              <w:t>Ukupno dužnički vrijednosni papiri</w:t>
            </w:r>
          </w:p>
        </w:tc>
        <w:tc>
          <w:tcPr>
            <w:tcW w:w="1060" w:type="dxa"/>
            <w:tcBorders>
              <w:top w:val="single" w:sz="4" w:space="0" w:color="auto"/>
              <w:left w:val="nil"/>
              <w:bottom w:val="single" w:sz="4" w:space="0" w:color="auto"/>
              <w:right w:val="nil"/>
            </w:tcBorders>
            <w:shd w:val="clear" w:color="auto" w:fill="auto"/>
            <w:vAlign w:val="bottom"/>
          </w:tcPr>
          <w:p w14:paraId="78EEA8A1" w14:textId="77777777" w:rsidR="004E2F51" w:rsidRPr="00736C15" w:rsidRDefault="004E2F51" w:rsidP="00E032FC">
            <w:pPr>
              <w:tabs>
                <w:tab w:val="right" w:pos="1202"/>
              </w:tabs>
              <w:jc w:val="right"/>
              <w:outlineLvl w:val="0"/>
              <w:rPr>
                <w:rFonts w:ascii="Arial" w:eastAsia="Calibri" w:hAnsi="Arial" w:cs="Arial"/>
                <w:b/>
                <w:bCs/>
                <w:color w:val="000000"/>
                <w:spacing w:val="-2"/>
                <w:sz w:val="17"/>
                <w:szCs w:val="17"/>
                <w:lang w:val="hr-HR"/>
              </w:rPr>
            </w:pPr>
            <w:r w:rsidRPr="00586B14">
              <w:rPr>
                <w:rFonts w:ascii="Arial" w:eastAsia="Calibri" w:hAnsi="Arial" w:cs="Arial"/>
                <w:b/>
                <w:bCs/>
                <w:color w:val="000000"/>
                <w:spacing w:val="-2"/>
                <w:sz w:val="17"/>
                <w:szCs w:val="17"/>
                <w:lang w:val="hr-HR"/>
              </w:rPr>
              <w:t>1.302.961</w:t>
            </w:r>
          </w:p>
        </w:tc>
        <w:tc>
          <w:tcPr>
            <w:tcW w:w="1060" w:type="dxa"/>
            <w:tcBorders>
              <w:top w:val="single" w:sz="4" w:space="0" w:color="auto"/>
              <w:left w:val="nil"/>
              <w:bottom w:val="single" w:sz="4" w:space="0" w:color="auto"/>
              <w:right w:val="nil"/>
            </w:tcBorders>
            <w:shd w:val="clear" w:color="auto" w:fill="auto"/>
            <w:vAlign w:val="bottom"/>
          </w:tcPr>
          <w:p w14:paraId="76C8191A" w14:textId="77777777" w:rsidR="004E2F51" w:rsidRPr="00736C15" w:rsidRDefault="004E2F51" w:rsidP="00E032FC">
            <w:pPr>
              <w:tabs>
                <w:tab w:val="right" w:pos="1202"/>
              </w:tabs>
              <w:jc w:val="right"/>
              <w:outlineLvl w:val="0"/>
              <w:rPr>
                <w:rFonts w:ascii="Arial" w:eastAsia="Calibri" w:hAnsi="Arial" w:cs="Arial"/>
                <w:b/>
                <w:bCs/>
                <w:color w:val="000000"/>
                <w:spacing w:val="-2"/>
                <w:sz w:val="17"/>
                <w:szCs w:val="17"/>
                <w:lang w:val="hr-HR"/>
              </w:rPr>
            </w:pPr>
            <w:r w:rsidRPr="00586B14">
              <w:rPr>
                <w:rFonts w:ascii="Arial" w:eastAsia="Calibri" w:hAnsi="Arial" w:cs="Arial"/>
                <w:b/>
                <w:bCs/>
                <w:color w:val="000000"/>
                <w:spacing w:val="-2"/>
                <w:sz w:val="17"/>
                <w:szCs w:val="17"/>
                <w:lang w:val="hr-HR"/>
              </w:rPr>
              <w:t>1.281.368</w:t>
            </w:r>
          </w:p>
        </w:tc>
        <w:tc>
          <w:tcPr>
            <w:tcW w:w="1060" w:type="dxa"/>
            <w:tcBorders>
              <w:top w:val="single" w:sz="4" w:space="0" w:color="auto"/>
              <w:left w:val="nil"/>
              <w:bottom w:val="single" w:sz="4" w:space="0" w:color="auto"/>
              <w:right w:val="nil"/>
            </w:tcBorders>
            <w:shd w:val="clear" w:color="auto" w:fill="auto"/>
            <w:vAlign w:val="bottom"/>
          </w:tcPr>
          <w:p w14:paraId="7577FAF2" w14:textId="77777777" w:rsidR="004E2F51" w:rsidRPr="00736C15" w:rsidRDefault="004E2F51" w:rsidP="00E032FC">
            <w:pPr>
              <w:tabs>
                <w:tab w:val="right" w:pos="1202"/>
              </w:tabs>
              <w:jc w:val="right"/>
              <w:outlineLvl w:val="0"/>
              <w:rPr>
                <w:rFonts w:ascii="Arial" w:eastAsia="Calibri" w:hAnsi="Arial" w:cs="Arial"/>
                <w:b/>
                <w:bCs/>
                <w:color w:val="000000"/>
                <w:spacing w:val="-2"/>
                <w:sz w:val="17"/>
                <w:szCs w:val="17"/>
                <w:lang w:val="hr-HR"/>
              </w:rPr>
            </w:pPr>
            <w:r w:rsidRPr="00586B14">
              <w:rPr>
                <w:rFonts w:ascii="Arial" w:eastAsia="Calibri" w:hAnsi="Arial" w:cs="Arial"/>
                <w:b/>
                <w:bCs/>
                <w:color w:val="000000"/>
                <w:spacing w:val="-2"/>
                <w:sz w:val="17"/>
                <w:szCs w:val="17"/>
                <w:lang w:val="hr-HR"/>
              </w:rPr>
              <w:t>1.968</w:t>
            </w:r>
          </w:p>
        </w:tc>
      </w:tr>
      <w:tr w:rsidR="004E2F51" w:rsidRPr="00736C15" w14:paraId="5BC97D59" w14:textId="77777777" w:rsidTr="00E032FC">
        <w:trPr>
          <w:trHeight w:val="283"/>
          <w:jc w:val="center"/>
        </w:trPr>
        <w:tc>
          <w:tcPr>
            <w:tcW w:w="6094" w:type="dxa"/>
            <w:shd w:val="clear" w:color="auto" w:fill="auto"/>
            <w:vAlign w:val="bottom"/>
          </w:tcPr>
          <w:p w14:paraId="1E0B6EB8" w14:textId="77777777" w:rsidR="004E2F51" w:rsidRPr="00736C15" w:rsidRDefault="004E2F51" w:rsidP="00E032FC">
            <w:pPr>
              <w:tabs>
                <w:tab w:val="right" w:pos="1202"/>
              </w:tabs>
              <w:outlineLvl w:val="0"/>
              <w:rPr>
                <w:rFonts w:ascii="Arial" w:eastAsia="Calibri" w:hAnsi="Arial" w:cs="Arial"/>
                <w:b/>
                <w:i/>
                <w:color w:val="000000"/>
                <w:spacing w:val="-2"/>
                <w:sz w:val="17"/>
                <w:szCs w:val="17"/>
                <w:lang w:val="hr-HR"/>
              </w:rPr>
            </w:pPr>
            <w:r w:rsidRPr="00736C15">
              <w:rPr>
                <w:rFonts w:ascii="Arial" w:eastAsia="Calibri" w:hAnsi="Arial" w:cs="Arial"/>
                <w:b/>
                <w:i/>
                <w:color w:val="000000"/>
                <w:spacing w:val="-2"/>
                <w:sz w:val="17"/>
                <w:szCs w:val="17"/>
                <w:lang w:val="hr-HR"/>
              </w:rPr>
              <w:t>Vlasnički vrijednosni papiri koji ne kotiraju:</w:t>
            </w:r>
          </w:p>
        </w:tc>
        <w:tc>
          <w:tcPr>
            <w:tcW w:w="1060" w:type="dxa"/>
            <w:tcBorders>
              <w:top w:val="single" w:sz="4" w:space="0" w:color="auto"/>
              <w:left w:val="nil"/>
              <w:right w:val="nil"/>
            </w:tcBorders>
            <w:shd w:val="clear" w:color="auto" w:fill="auto"/>
            <w:vAlign w:val="bottom"/>
          </w:tcPr>
          <w:p w14:paraId="37A35B6A"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1060" w:type="dxa"/>
            <w:tcBorders>
              <w:top w:val="single" w:sz="4" w:space="0" w:color="auto"/>
              <w:left w:val="nil"/>
              <w:right w:val="nil"/>
            </w:tcBorders>
            <w:shd w:val="clear" w:color="auto" w:fill="auto"/>
            <w:vAlign w:val="bottom"/>
          </w:tcPr>
          <w:p w14:paraId="10F6D1CB"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1060" w:type="dxa"/>
            <w:tcBorders>
              <w:top w:val="single" w:sz="4" w:space="0" w:color="auto"/>
              <w:left w:val="nil"/>
              <w:right w:val="nil"/>
            </w:tcBorders>
            <w:shd w:val="clear" w:color="auto" w:fill="auto"/>
            <w:vAlign w:val="bottom"/>
          </w:tcPr>
          <w:p w14:paraId="67DB1BE1"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0BB36A2C" w14:textId="77777777" w:rsidTr="00E032FC">
        <w:trPr>
          <w:trHeight w:val="283"/>
          <w:jc w:val="center"/>
        </w:trPr>
        <w:tc>
          <w:tcPr>
            <w:tcW w:w="6094" w:type="dxa"/>
            <w:shd w:val="clear" w:color="auto" w:fill="auto"/>
            <w:vAlign w:val="bottom"/>
          </w:tcPr>
          <w:p w14:paraId="5BDAADC6" w14:textId="77777777" w:rsidR="004E2F51" w:rsidRPr="00736C15" w:rsidRDefault="004E2F51" w:rsidP="00E032FC">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Dionice inozemnih pravnih osoba - SWIFT</w:t>
            </w:r>
          </w:p>
        </w:tc>
        <w:tc>
          <w:tcPr>
            <w:tcW w:w="1060" w:type="dxa"/>
            <w:tcBorders>
              <w:top w:val="nil"/>
              <w:left w:val="nil"/>
              <w:bottom w:val="nil"/>
              <w:right w:val="nil"/>
            </w:tcBorders>
            <w:shd w:val="clear" w:color="auto" w:fill="auto"/>
            <w:vAlign w:val="bottom"/>
          </w:tcPr>
          <w:p w14:paraId="6F497B17"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71040C5A"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55</w:t>
            </w:r>
          </w:p>
        </w:tc>
        <w:tc>
          <w:tcPr>
            <w:tcW w:w="1060" w:type="dxa"/>
            <w:tcBorders>
              <w:top w:val="nil"/>
              <w:left w:val="nil"/>
              <w:bottom w:val="nil"/>
              <w:right w:val="nil"/>
            </w:tcBorders>
            <w:shd w:val="clear" w:color="auto" w:fill="auto"/>
            <w:vAlign w:val="bottom"/>
          </w:tcPr>
          <w:p w14:paraId="435AC138"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E2F51" w:rsidRPr="00736C15" w14:paraId="507A92B2" w14:textId="77777777" w:rsidTr="00E032FC">
        <w:trPr>
          <w:trHeight w:val="283"/>
          <w:jc w:val="center"/>
        </w:trPr>
        <w:tc>
          <w:tcPr>
            <w:tcW w:w="6094" w:type="dxa"/>
            <w:shd w:val="clear" w:color="auto" w:fill="auto"/>
            <w:vAlign w:val="bottom"/>
          </w:tcPr>
          <w:p w14:paraId="7CFCD1E1" w14:textId="77777777" w:rsidR="004E2F51" w:rsidRPr="00736C15" w:rsidRDefault="004E2F51" w:rsidP="00E032FC">
            <w:pPr>
              <w:tabs>
                <w:tab w:val="right" w:pos="1202"/>
              </w:tabs>
              <w:outlineLvl w:val="0"/>
              <w:rPr>
                <w:rFonts w:ascii="Arial" w:eastAsia="Calibri" w:hAnsi="Arial" w:cs="Arial"/>
                <w:color w:val="000000"/>
                <w:sz w:val="17"/>
                <w:szCs w:val="17"/>
                <w:lang w:val="hr-HR"/>
              </w:rPr>
            </w:pPr>
            <w:r w:rsidRPr="00736C15">
              <w:rPr>
                <w:rFonts w:ascii="Arial" w:eastAsia="Calibri" w:hAnsi="Arial" w:cs="Arial"/>
                <w:color w:val="000000"/>
                <w:sz w:val="17"/>
                <w:szCs w:val="17"/>
                <w:lang w:val="hr-HR"/>
              </w:rPr>
              <w:t>Dionice inozemnih financijskih institucija – EIF</w:t>
            </w:r>
          </w:p>
        </w:tc>
        <w:tc>
          <w:tcPr>
            <w:tcW w:w="1060" w:type="dxa"/>
            <w:tcBorders>
              <w:top w:val="nil"/>
              <w:left w:val="nil"/>
              <w:bottom w:val="single" w:sz="4" w:space="0" w:color="auto"/>
              <w:right w:val="nil"/>
            </w:tcBorders>
            <w:shd w:val="clear" w:color="auto" w:fill="auto"/>
            <w:vAlign w:val="bottom"/>
          </w:tcPr>
          <w:p w14:paraId="0A0C91EA"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bottom w:val="nil"/>
              <w:right w:val="nil"/>
            </w:tcBorders>
            <w:shd w:val="clear" w:color="auto" w:fill="auto"/>
            <w:vAlign w:val="bottom"/>
          </w:tcPr>
          <w:p w14:paraId="1F466426"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586B14">
              <w:rPr>
                <w:rFonts w:ascii="Arial" w:eastAsia="Calibri" w:hAnsi="Arial" w:cs="Arial"/>
                <w:color w:val="000000"/>
                <w:sz w:val="17"/>
                <w:szCs w:val="17"/>
                <w:lang w:val="hr-HR"/>
              </w:rPr>
              <w:t>53.120</w:t>
            </w:r>
          </w:p>
        </w:tc>
        <w:tc>
          <w:tcPr>
            <w:tcW w:w="1060" w:type="dxa"/>
            <w:tcBorders>
              <w:top w:val="nil"/>
              <w:left w:val="nil"/>
              <w:bottom w:val="single" w:sz="4" w:space="0" w:color="auto"/>
              <w:right w:val="nil"/>
            </w:tcBorders>
            <w:shd w:val="clear" w:color="auto" w:fill="auto"/>
            <w:vAlign w:val="bottom"/>
          </w:tcPr>
          <w:p w14:paraId="6A7CCABD"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r>
      <w:tr w:rsidR="004E2F51" w:rsidRPr="00736C15" w14:paraId="10D68445" w14:textId="77777777" w:rsidTr="00E032FC">
        <w:trPr>
          <w:trHeight w:val="283"/>
          <w:jc w:val="center"/>
        </w:trPr>
        <w:tc>
          <w:tcPr>
            <w:tcW w:w="6094" w:type="dxa"/>
            <w:shd w:val="clear" w:color="auto" w:fill="auto"/>
            <w:vAlign w:val="bottom"/>
          </w:tcPr>
          <w:p w14:paraId="095A8EEF" w14:textId="77777777" w:rsidR="004E2F51" w:rsidRPr="00736C15" w:rsidRDefault="004E2F51" w:rsidP="00E032FC">
            <w:pPr>
              <w:tabs>
                <w:tab w:val="right" w:pos="1202"/>
              </w:tabs>
              <w:outlineLvl w:val="0"/>
              <w:rPr>
                <w:rFonts w:ascii="Arial" w:eastAsia="Calibri" w:hAnsi="Arial" w:cs="Arial"/>
                <w:b/>
                <w:color w:val="000000"/>
                <w:sz w:val="17"/>
                <w:szCs w:val="17"/>
                <w:lang w:val="hr-HR"/>
              </w:rPr>
            </w:pPr>
            <w:r w:rsidRPr="00736C15">
              <w:rPr>
                <w:rFonts w:ascii="Arial" w:eastAsia="Calibri" w:hAnsi="Arial" w:cs="Arial"/>
                <w:b/>
                <w:color w:val="000000"/>
                <w:sz w:val="17"/>
                <w:szCs w:val="17"/>
                <w:lang w:val="hr-HR"/>
              </w:rPr>
              <w:t>Ukupno vlasnički vrijednosni papiri</w:t>
            </w:r>
          </w:p>
        </w:tc>
        <w:tc>
          <w:tcPr>
            <w:tcW w:w="1060" w:type="dxa"/>
            <w:tcBorders>
              <w:top w:val="single" w:sz="4" w:space="0" w:color="auto"/>
              <w:left w:val="nil"/>
              <w:bottom w:val="single" w:sz="12" w:space="0" w:color="auto"/>
              <w:right w:val="nil"/>
            </w:tcBorders>
            <w:shd w:val="clear" w:color="auto" w:fill="auto"/>
            <w:vAlign w:val="bottom"/>
          </w:tcPr>
          <w:p w14:paraId="722A1940"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r>
              <w:rPr>
                <w:rFonts w:ascii="Arial" w:eastAsia="Calibri" w:hAnsi="Arial" w:cs="Arial"/>
                <w:b/>
                <w:bCs/>
                <w:color w:val="000000"/>
                <w:sz w:val="17"/>
                <w:szCs w:val="17"/>
                <w:lang w:val="hr-HR"/>
              </w:rPr>
              <w:t>-</w:t>
            </w:r>
          </w:p>
        </w:tc>
        <w:tc>
          <w:tcPr>
            <w:tcW w:w="1060" w:type="dxa"/>
            <w:tcBorders>
              <w:top w:val="single" w:sz="4" w:space="0" w:color="auto"/>
              <w:left w:val="nil"/>
              <w:bottom w:val="single" w:sz="8" w:space="0" w:color="auto"/>
              <w:right w:val="nil"/>
            </w:tcBorders>
            <w:shd w:val="clear" w:color="auto" w:fill="auto"/>
            <w:vAlign w:val="bottom"/>
          </w:tcPr>
          <w:p w14:paraId="54178F74"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r w:rsidRPr="00586B14">
              <w:rPr>
                <w:rFonts w:ascii="Arial" w:eastAsia="Calibri" w:hAnsi="Arial" w:cs="Arial"/>
                <w:b/>
                <w:bCs/>
                <w:color w:val="000000"/>
                <w:sz w:val="17"/>
                <w:szCs w:val="17"/>
                <w:lang w:val="hr-HR"/>
              </w:rPr>
              <w:t>53.175</w:t>
            </w:r>
          </w:p>
        </w:tc>
        <w:tc>
          <w:tcPr>
            <w:tcW w:w="1060" w:type="dxa"/>
            <w:tcBorders>
              <w:top w:val="single" w:sz="4" w:space="0" w:color="auto"/>
              <w:left w:val="nil"/>
              <w:bottom w:val="single" w:sz="12" w:space="0" w:color="auto"/>
              <w:right w:val="nil"/>
            </w:tcBorders>
            <w:shd w:val="clear" w:color="auto" w:fill="auto"/>
            <w:vAlign w:val="bottom"/>
          </w:tcPr>
          <w:p w14:paraId="26E741DD"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r>
              <w:rPr>
                <w:rFonts w:ascii="Arial" w:eastAsia="Calibri" w:hAnsi="Arial" w:cs="Arial"/>
                <w:b/>
                <w:bCs/>
                <w:color w:val="000000"/>
                <w:sz w:val="17"/>
                <w:szCs w:val="17"/>
                <w:lang w:val="hr-HR"/>
              </w:rPr>
              <w:t>-</w:t>
            </w:r>
          </w:p>
        </w:tc>
      </w:tr>
      <w:tr w:rsidR="004E2F51" w:rsidRPr="00736C15" w14:paraId="6369958D" w14:textId="77777777" w:rsidTr="00E032FC">
        <w:trPr>
          <w:trHeight w:val="283"/>
          <w:jc w:val="center"/>
        </w:trPr>
        <w:tc>
          <w:tcPr>
            <w:tcW w:w="6094" w:type="dxa"/>
            <w:shd w:val="clear" w:color="auto" w:fill="auto"/>
            <w:vAlign w:val="bottom"/>
          </w:tcPr>
          <w:p w14:paraId="109CFB66" w14:textId="77777777" w:rsidR="004E2F51" w:rsidRPr="00736C15" w:rsidRDefault="004E2F51" w:rsidP="00E032FC">
            <w:pPr>
              <w:tabs>
                <w:tab w:val="right" w:pos="1202"/>
              </w:tabs>
              <w:outlineLvl w:val="0"/>
              <w:rPr>
                <w:rFonts w:ascii="Arial" w:eastAsia="Calibri" w:hAnsi="Arial" w:cs="Arial"/>
                <w:b/>
                <w:color w:val="000000"/>
                <w:sz w:val="17"/>
                <w:szCs w:val="17"/>
                <w:lang w:val="hr-HR"/>
              </w:rPr>
            </w:pPr>
            <w:r w:rsidRPr="00736C15">
              <w:rPr>
                <w:rFonts w:ascii="Arial" w:eastAsia="Calibri" w:hAnsi="Arial" w:cs="Arial"/>
                <w:b/>
                <w:color w:val="000000"/>
                <w:sz w:val="17"/>
                <w:szCs w:val="17"/>
                <w:lang w:val="hr-HR"/>
              </w:rPr>
              <w:t>Ukupno imovina po fer vrijednosti kroz ostalu sveobuhvatnu dobit</w:t>
            </w:r>
          </w:p>
        </w:tc>
        <w:tc>
          <w:tcPr>
            <w:tcW w:w="1060" w:type="dxa"/>
            <w:tcBorders>
              <w:top w:val="single" w:sz="12" w:space="0" w:color="auto"/>
              <w:left w:val="nil"/>
              <w:bottom w:val="single" w:sz="12" w:space="0" w:color="auto"/>
              <w:right w:val="nil"/>
            </w:tcBorders>
            <w:shd w:val="clear" w:color="auto" w:fill="auto"/>
            <w:vAlign w:val="bottom"/>
          </w:tcPr>
          <w:p w14:paraId="71653199" w14:textId="77777777" w:rsidR="004E2F51" w:rsidRPr="00736C15" w:rsidRDefault="004E2F51" w:rsidP="00E032FC">
            <w:pPr>
              <w:tabs>
                <w:tab w:val="right" w:pos="1202"/>
              </w:tabs>
              <w:jc w:val="right"/>
              <w:outlineLvl w:val="0"/>
              <w:rPr>
                <w:rFonts w:ascii="Arial" w:eastAsia="Calibri" w:hAnsi="Arial" w:cs="Arial"/>
                <w:b/>
                <w:color w:val="000000"/>
                <w:sz w:val="17"/>
                <w:szCs w:val="17"/>
                <w:lang w:val="hr-HR"/>
              </w:rPr>
            </w:pPr>
            <w:r w:rsidRPr="00586B14">
              <w:rPr>
                <w:rFonts w:ascii="Arial" w:eastAsia="Calibri" w:hAnsi="Arial" w:cs="Arial"/>
                <w:b/>
                <w:color w:val="000000"/>
                <w:sz w:val="17"/>
                <w:szCs w:val="17"/>
                <w:lang w:val="hr-HR"/>
              </w:rPr>
              <w:t>1.302.961</w:t>
            </w:r>
          </w:p>
        </w:tc>
        <w:tc>
          <w:tcPr>
            <w:tcW w:w="1060" w:type="dxa"/>
            <w:tcBorders>
              <w:top w:val="single" w:sz="12" w:space="0" w:color="auto"/>
              <w:left w:val="nil"/>
              <w:bottom w:val="single" w:sz="12" w:space="0" w:color="auto"/>
              <w:right w:val="nil"/>
            </w:tcBorders>
            <w:shd w:val="clear" w:color="auto" w:fill="auto"/>
            <w:vAlign w:val="bottom"/>
          </w:tcPr>
          <w:p w14:paraId="522CA79A" w14:textId="77777777" w:rsidR="004E2F51" w:rsidRPr="00736C15" w:rsidRDefault="004E2F51" w:rsidP="00E032FC">
            <w:pPr>
              <w:tabs>
                <w:tab w:val="right" w:pos="1202"/>
              </w:tabs>
              <w:jc w:val="right"/>
              <w:outlineLvl w:val="0"/>
              <w:rPr>
                <w:rFonts w:ascii="Arial" w:eastAsia="Calibri" w:hAnsi="Arial" w:cs="Arial"/>
                <w:b/>
                <w:color w:val="000000"/>
                <w:sz w:val="17"/>
                <w:szCs w:val="17"/>
                <w:lang w:val="hr-HR"/>
              </w:rPr>
            </w:pPr>
            <w:r w:rsidRPr="00586B14">
              <w:rPr>
                <w:rFonts w:ascii="Arial" w:eastAsia="Calibri" w:hAnsi="Arial" w:cs="Arial"/>
                <w:b/>
                <w:color w:val="000000"/>
                <w:sz w:val="17"/>
                <w:szCs w:val="17"/>
                <w:lang w:val="hr-HR"/>
              </w:rPr>
              <w:t>1.334.543</w:t>
            </w:r>
          </w:p>
        </w:tc>
        <w:tc>
          <w:tcPr>
            <w:tcW w:w="1060" w:type="dxa"/>
            <w:tcBorders>
              <w:top w:val="single" w:sz="12" w:space="0" w:color="auto"/>
              <w:left w:val="nil"/>
              <w:bottom w:val="single" w:sz="12" w:space="0" w:color="auto"/>
              <w:right w:val="nil"/>
            </w:tcBorders>
            <w:shd w:val="clear" w:color="auto" w:fill="auto"/>
            <w:vAlign w:val="bottom"/>
          </w:tcPr>
          <w:p w14:paraId="1626A3E0" w14:textId="77777777" w:rsidR="004E2F51" w:rsidRPr="00736C15" w:rsidRDefault="004E2F51" w:rsidP="00E032FC">
            <w:pPr>
              <w:tabs>
                <w:tab w:val="right" w:pos="1202"/>
              </w:tabs>
              <w:jc w:val="right"/>
              <w:outlineLvl w:val="0"/>
              <w:rPr>
                <w:rFonts w:ascii="Arial" w:eastAsia="Calibri" w:hAnsi="Arial" w:cs="Arial"/>
                <w:b/>
                <w:color w:val="000000"/>
                <w:sz w:val="17"/>
                <w:szCs w:val="17"/>
                <w:lang w:val="hr-HR"/>
              </w:rPr>
            </w:pPr>
            <w:r w:rsidRPr="00586B14">
              <w:rPr>
                <w:rFonts w:ascii="Arial" w:eastAsia="Calibri" w:hAnsi="Arial" w:cs="Arial"/>
                <w:b/>
                <w:color w:val="000000"/>
                <w:sz w:val="17"/>
                <w:szCs w:val="17"/>
                <w:lang w:val="hr-HR"/>
              </w:rPr>
              <w:t>1.968</w:t>
            </w:r>
          </w:p>
        </w:tc>
      </w:tr>
    </w:tbl>
    <w:p w14:paraId="649B1F82" w14:textId="77777777" w:rsidR="004E2F51" w:rsidRPr="00B91D09" w:rsidRDefault="004E2F51" w:rsidP="004E2F51">
      <w:pPr>
        <w:pStyle w:val="T1"/>
        <w:spacing w:before="120" w:line="300" w:lineRule="exact"/>
        <w:rPr>
          <w:rFonts w:cs="Arial"/>
          <w:b w:val="0"/>
          <w:bCs w:val="0"/>
          <w:color w:val="000000" w:themeColor="text1"/>
          <w:spacing w:val="-3"/>
          <w:sz w:val="22"/>
          <w:szCs w:val="22"/>
          <w:lang w:val="hr-HR"/>
        </w:rPr>
        <w:sectPr w:rsidR="004E2F51" w:rsidRPr="00B91D09" w:rsidSect="00623DBA">
          <w:footerReference w:type="default" r:id="rId222"/>
          <w:pgSz w:w="11907" w:h="16840" w:code="9"/>
          <w:pgMar w:top="1418" w:right="1134" w:bottom="1134" w:left="1418" w:header="851" w:footer="851" w:gutter="0"/>
          <w:cols w:space="720"/>
          <w:noEndnote/>
        </w:sectPr>
      </w:pPr>
    </w:p>
    <w:p w14:paraId="2E149D89" w14:textId="77777777" w:rsidR="004E2F51" w:rsidRPr="00B91D09" w:rsidRDefault="004E2F51" w:rsidP="004E2F51">
      <w:pPr>
        <w:jc w:val="both"/>
        <w:rPr>
          <w:rFonts w:ascii="Arial" w:hAnsi="Arial" w:cs="Arial"/>
          <w:b/>
          <w:bCs/>
          <w:color w:val="000000" w:themeColor="text1"/>
          <w:spacing w:val="-3"/>
          <w:sz w:val="18"/>
          <w:szCs w:val="18"/>
          <w:lang w:val="hr-HR"/>
        </w:rPr>
      </w:pPr>
    </w:p>
    <w:p w14:paraId="67EC6C68" w14:textId="77777777" w:rsidR="004E2F51" w:rsidRPr="00736C15" w:rsidRDefault="004E2F51" w:rsidP="004E2F51">
      <w:pPr>
        <w:keepNext/>
        <w:tabs>
          <w:tab w:val="left" w:pos="567"/>
        </w:tabs>
        <w:jc w:val="both"/>
        <w:rPr>
          <w:rFonts w:ascii="Arial" w:hAnsi="Arial" w:cs="Arial"/>
          <w:b/>
          <w:bCs/>
          <w:color w:val="000000" w:themeColor="text1"/>
          <w:spacing w:val="-3"/>
          <w:sz w:val="20"/>
          <w:szCs w:val="20"/>
          <w:lang w:val="hr-HR"/>
        </w:rPr>
      </w:pPr>
      <w:r w:rsidRPr="00736C15">
        <w:rPr>
          <w:rFonts w:ascii="Arial" w:hAnsi="Arial" w:cs="Arial"/>
          <w:b/>
          <w:bCs/>
          <w:color w:val="000000" w:themeColor="text1"/>
          <w:spacing w:val="-3"/>
          <w:sz w:val="20"/>
          <w:szCs w:val="20"/>
          <w:lang w:val="hr-HR"/>
        </w:rPr>
        <w:t>3</w:t>
      </w:r>
      <w:r>
        <w:rPr>
          <w:rFonts w:ascii="Arial" w:hAnsi="Arial" w:cs="Arial"/>
          <w:b/>
          <w:bCs/>
          <w:color w:val="000000" w:themeColor="text1"/>
          <w:spacing w:val="-3"/>
          <w:sz w:val="20"/>
          <w:szCs w:val="20"/>
          <w:lang w:val="hr-HR"/>
        </w:rPr>
        <w:t>2</w:t>
      </w:r>
      <w:r w:rsidRPr="00736C15">
        <w:rPr>
          <w:rFonts w:ascii="Arial" w:hAnsi="Arial" w:cs="Arial"/>
          <w:b/>
          <w:bCs/>
          <w:color w:val="000000" w:themeColor="text1"/>
          <w:spacing w:val="-3"/>
          <w:sz w:val="20"/>
          <w:szCs w:val="20"/>
          <w:lang w:val="hr-HR"/>
        </w:rPr>
        <w:t xml:space="preserve">. </w:t>
      </w:r>
      <w:r w:rsidRPr="00736C15">
        <w:rPr>
          <w:rFonts w:ascii="Arial" w:hAnsi="Arial" w:cs="Arial"/>
          <w:b/>
          <w:bCs/>
          <w:color w:val="000000" w:themeColor="text1"/>
          <w:spacing w:val="-3"/>
          <w:sz w:val="20"/>
          <w:szCs w:val="20"/>
          <w:lang w:val="hr-HR"/>
        </w:rPr>
        <w:tab/>
        <w:t>Fer vrijednost financijske imovine i financijskih obveza (nastavak)</w:t>
      </w:r>
    </w:p>
    <w:p w14:paraId="7407B13D" w14:textId="77777777" w:rsidR="004E2F51" w:rsidRPr="00736C15" w:rsidRDefault="004E2F51" w:rsidP="004E2F51">
      <w:pPr>
        <w:keepNext/>
        <w:ind w:left="567" w:hanging="567"/>
        <w:jc w:val="both"/>
        <w:rPr>
          <w:rFonts w:ascii="Arial" w:hAnsi="Arial" w:cs="Arial"/>
          <w:b/>
          <w:bCs/>
          <w:color w:val="000000" w:themeColor="text1"/>
          <w:spacing w:val="-3"/>
          <w:sz w:val="20"/>
          <w:szCs w:val="20"/>
          <w:lang w:val="hr-HR"/>
        </w:rPr>
      </w:pPr>
    </w:p>
    <w:p w14:paraId="66275ABB" w14:textId="77777777" w:rsidR="004E2F51" w:rsidRPr="00736C15" w:rsidRDefault="004E2F51" w:rsidP="004E2F51">
      <w:pPr>
        <w:keepNext/>
        <w:ind w:left="708" w:hanging="708"/>
        <w:jc w:val="both"/>
        <w:rPr>
          <w:rFonts w:ascii="Arial" w:hAnsi="Arial" w:cs="Arial"/>
          <w:b/>
          <w:bCs/>
          <w:color w:val="000000" w:themeColor="text1"/>
          <w:spacing w:val="-3"/>
          <w:sz w:val="20"/>
          <w:szCs w:val="20"/>
          <w:lang w:val="hr-HR"/>
        </w:rPr>
      </w:pPr>
      <w:r w:rsidRPr="00736C15">
        <w:rPr>
          <w:rFonts w:ascii="Arial" w:hAnsi="Arial" w:cs="Arial"/>
          <w:b/>
          <w:bCs/>
          <w:color w:val="000000" w:themeColor="text1"/>
          <w:spacing w:val="-3"/>
          <w:sz w:val="20"/>
          <w:szCs w:val="20"/>
          <w:lang w:val="hr-HR"/>
        </w:rPr>
        <w:t>3</w:t>
      </w:r>
      <w:r>
        <w:rPr>
          <w:rFonts w:ascii="Arial" w:hAnsi="Arial" w:cs="Arial"/>
          <w:b/>
          <w:bCs/>
          <w:color w:val="000000" w:themeColor="text1"/>
          <w:spacing w:val="-3"/>
          <w:sz w:val="20"/>
          <w:szCs w:val="20"/>
          <w:lang w:val="hr-HR"/>
        </w:rPr>
        <w:t>2</w:t>
      </w:r>
      <w:r w:rsidRPr="00736C15">
        <w:rPr>
          <w:rFonts w:ascii="Arial" w:hAnsi="Arial" w:cs="Arial"/>
          <w:b/>
          <w:bCs/>
          <w:color w:val="000000" w:themeColor="text1"/>
          <w:spacing w:val="-3"/>
          <w:sz w:val="20"/>
          <w:szCs w:val="20"/>
          <w:lang w:val="hr-HR"/>
        </w:rPr>
        <w:t>.1.</w:t>
      </w:r>
      <w:r w:rsidRPr="00736C15">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0ED0B597" w14:textId="77777777" w:rsidR="004E2F51" w:rsidRPr="00736C15" w:rsidRDefault="004E2F51" w:rsidP="004E2F51">
      <w:pPr>
        <w:keepNext/>
        <w:jc w:val="both"/>
        <w:rPr>
          <w:rFonts w:ascii="Arial" w:hAnsi="Arial" w:cs="Arial"/>
          <w:b/>
          <w:bCs/>
          <w:color w:val="000000" w:themeColor="text1"/>
          <w:spacing w:val="-3"/>
          <w:sz w:val="20"/>
          <w:szCs w:val="20"/>
          <w:lang w:val="hr-HR"/>
        </w:rPr>
      </w:pPr>
    </w:p>
    <w:p w14:paraId="77D32CC8" w14:textId="77777777" w:rsidR="004E2F51" w:rsidRPr="0002282A" w:rsidRDefault="004E2F51" w:rsidP="004E2F51">
      <w:pPr>
        <w:keepNext/>
        <w:ind w:left="708" w:hanging="708"/>
        <w:jc w:val="both"/>
        <w:rPr>
          <w:rFonts w:ascii="Arial" w:hAnsi="Arial" w:cs="Arial"/>
          <w:b/>
          <w:bCs/>
          <w:color w:val="000000" w:themeColor="text1"/>
          <w:spacing w:val="-3"/>
          <w:sz w:val="20"/>
          <w:szCs w:val="20"/>
          <w:lang w:val="it-IT"/>
        </w:rPr>
      </w:pPr>
    </w:p>
    <w:tbl>
      <w:tblPr>
        <w:tblW w:w="9274" w:type="dxa"/>
        <w:jc w:val="center"/>
        <w:tblLayout w:type="fixed"/>
        <w:tblCellMar>
          <w:left w:w="122" w:type="dxa"/>
          <w:right w:w="122" w:type="dxa"/>
        </w:tblCellMar>
        <w:tblLook w:val="0000" w:firstRow="0" w:lastRow="0" w:firstColumn="0" w:lastColumn="0" w:noHBand="0" w:noVBand="0"/>
      </w:tblPr>
      <w:tblGrid>
        <w:gridCol w:w="6094"/>
        <w:gridCol w:w="1060"/>
        <w:gridCol w:w="1060"/>
        <w:gridCol w:w="1060"/>
      </w:tblGrid>
      <w:tr w:rsidR="004E2F51" w:rsidRPr="00736C15" w14:paraId="2F56FDAC" w14:textId="77777777" w:rsidTr="00E032FC">
        <w:trPr>
          <w:trHeight w:val="311"/>
          <w:jc w:val="center"/>
        </w:trPr>
        <w:tc>
          <w:tcPr>
            <w:tcW w:w="6094" w:type="dxa"/>
            <w:shd w:val="clear" w:color="auto" w:fill="auto"/>
          </w:tcPr>
          <w:p w14:paraId="7B69E712" w14:textId="77777777" w:rsidR="004E2F51" w:rsidRPr="00736C15" w:rsidRDefault="004E2F51" w:rsidP="00E032FC">
            <w:pPr>
              <w:tabs>
                <w:tab w:val="right" w:pos="1202"/>
              </w:tabs>
              <w:outlineLvl w:val="0"/>
              <w:rPr>
                <w:rFonts w:ascii="Arial" w:eastAsia="Calibri" w:hAnsi="Arial" w:cs="Arial"/>
                <w:color w:val="000000"/>
                <w:sz w:val="17"/>
                <w:szCs w:val="17"/>
                <w:lang w:val="hr-HR"/>
              </w:rPr>
            </w:pPr>
            <w:r w:rsidRPr="00736C15">
              <w:rPr>
                <w:rFonts w:ascii="Arial" w:eastAsia="Calibri" w:hAnsi="Arial" w:cs="Arial"/>
                <w:b/>
                <w:color w:val="000000"/>
                <w:sz w:val="17"/>
                <w:szCs w:val="17"/>
                <w:lang w:val="hr-HR"/>
              </w:rPr>
              <w:t>Banka</w:t>
            </w:r>
          </w:p>
        </w:tc>
        <w:tc>
          <w:tcPr>
            <w:tcW w:w="3180" w:type="dxa"/>
            <w:gridSpan w:val="3"/>
          </w:tcPr>
          <w:p w14:paraId="28D28577"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bookmarkStart w:id="1957" w:name="_Toc67331018"/>
            <w:r w:rsidRPr="00736C15">
              <w:rPr>
                <w:rFonts w:ascii="Arial" w:eastAsia="Calibri" w:hAnsi="Arial" w:cs="Arial"/>
                <w:b/>
                <w:bCs/>
                <w:color w:val="000000"/>
                <w:sz w:val="17"/>
                <w:szCs w:val="17"/>
                <w:lang w:val="hr-HR"/>
              </w:rPr>
              <w:t>31. prosinca 2021.</w:t>
            </w:r>
            <w:bookmarkEnd w:id="1957"/>
          </w:p>
        </w:tc>
      </w:tr>
      <w:tr w:rsidR="004E2F51" w:rsidRPr="00736C15" w14:paraId="2667E0AA" w14:textId="77777777" w:rsidTr="00E032FC">
        <w:trPr>
          <w:trHeight w:val="311"/>
          <w:jc w:val="center"/>
        </w:trPr>
        <w:tc>
          <w:tcPr>
            <w:tcW w:w="6094" w:type="dxa"/>
            <w:shd w:val="clear" w:color="auto" w:fill="auto"/>
            <w:vAlign w:val="bottom"/>
          </w:tcPr>
          <w:p w14:paraId="374E885A"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p>
        </w:tc>
        <w:tc>
          <w:tcPr>
            <w:tcW w:w="1060" w:type="dxa"/>
            <w:shd w:val="clear" w:color="auto" w:fill="auto"/>
            <w:vAlign w:val="bottom"/>
          </w:tcPr>
          <w:p w14:paraId="5AD1A881"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bookmarkStart w:id="1958" w:name="_Toc67331019"/>
            <w:r w:rsidRPr="00736C15">
              <w:rPr>
                <w:rFonts w:ascii="Arial" w:eastAsia="Calibri" w:hAnsi="Arial" w:cs="Arial"/>
                <w:b/>
                <w:color w:val="000000"/>
                <w:spacing w:val="-2"/>
                <w:sz w:val="17"/>
                <w:szCs w:val="17"/>
                <w:lang w:val="hr-HR"/>
              </w:rPr>
              <w:t>Razina 1</w:t>
            </w:r>
            <w:bookmarkEnd w:id="1958"/>
          </w:p>
        </w:tc>
        <w:tc>
          <w:tcPr>
            <w:tcW w:w="1060" w:type="dxa"/>
            <w:shd w:val="clear" w:color="auto" w:fill="auto"/>
            <w:vAlign w:val="bottom"/>
          </w:tcPr>
          <w:p w14:paraId="383A4577"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bookmarkStart w:id="1959" w:name="_Toc67331020"/>
            <w:r w:rsidRPr="00736C15">
              <w:rPr>
                <w:rFonts w:ascii="Arial" w:eastAsia="Calibri" w:hAnsi="Arial" w:cs="Arial"/>
                <w:b/>
                <w:color w:val="000000"/>
                <w:spacing w:val="-2"/>
                <w:sz w:val="17"/>
                <w:szCs w:val="17"/>
                <w:lang w:val="hr-HR"/>
              </w:rPr>
              <w:t>Razina 2</w:t>
            </w:r>
            <w:bookmarkEnd w:id="1959"/>
          </w:p>
        </w:tc>
        <w:tc>
          <w:tcPr>
            <w:tcW w:w="1060" w:type="dxa"/>
            <w:shd w:val="clear" w:color="auto" w:fill="auto"/>
            <w:vAlign w:val="bottom"/>
          </w:tcPr>
          <w:p w14:paraId="2E87AF96"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bookmarkStart w:id="1960" w:name="_Toc67331021"/>
            <w:r w:rsidRPr="00736C15">
              <w:rPr>
                <w:rFonts w:ascii="Arial" w:eastAsia="Calibri" w:hAnsi="Arial" w:cs="Arial"/>
                <w:b/>
                <w:color w:val="000000"/>
                <w:spacing w:val="-2"/>
                <w:sz w:val="17"/>
                <w:szCs w:val="17"/>
                <w:lang w:val="hr-HR"/>
              </w:rPr>
              <w:t>Razina 3</w:t>
            </w:r>
            <w:bookmarkEnd w:id="1960"/>
          </w:p>
        </w:tc>
      </w:tr>
      <w:tr w:rsidR="004E2F51" w:rsidRPr="00736C15" w14:paraId="5EA84805" w14:textId="77777777" w:rsidTr="00E032FC">
        <w:trPr>
          <w:trHeight w:val="311"/>
          <w:jc w:val="center"/>
        </w:trPr>
        <w:tc>
          <w:tcPr>
            <w:tcW w:w="6094" w:type="dxa"/>
            <w:shd w:val="clear" w:color="auto" w:fill="auto"/>
            <w:vAlign w:val="bottom"/>
          </w:tcPr>
          <w:p w14:paraId="7A22A50F"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p>
        </w:tc>
        <w:tc>
          <w:tcPr>
            <w:tcW w:w="1060" w:type="dxa"/>
            <w:shd w:val="clear" w:color="auto" w:fill="auto"/>
            <w:vAlign w:val="center"/>
          </w:tcPr>
          <w:p w14:paraId="1E231F58"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bookmarkStart w:id="1961" w:name="_Toc67331022"/>
            <w:r w:rsidRPr="00736C15">
              <w:rPr>
                <w:rFonts w:ascii="Arial" w:eastAsia="Calibri" w:hAnsi="Arial" w:cs="Arial"/>
                <w:b/>
                <w:color w:val="000000"/>
                <w:spacing w:val="-2"/>
                <w:sz w:val="17"/>
                <w:szCs w:val="17"/>
                <w:lang w:val="hr-HR"/>
              </w:rPr>
              <w:t>000 kuna</w:t>
            </w:r>
            <w:bookmarkEnd w:id="1961"/>
          </w:p>
        </w:tc>
        <w:tc>
          <w:tcPr>
            <w:tcW w:w="1060" w:type="dxa"/>
            <w:shd w:val="clear" w:color="auto" w:fill="auto"/>
            <w:vAlign w:val="center"/>
          </w:tcPr>
          <w:p w14:paraId="44764637"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bookmarkStart w:id="1962" w:name="_Toc67331023"/>
            <w:r w:rsidRPr="00736C15">
              <w:rPr>
                <w:rFonts w:ascii="Arial" w:eastAsia="Calibri" w:hAnsi="Arial" w:cs="Arial"/>
                <w:b/>
                <w:color w:val="000000"/>
                <w:spacing w:val="-2"/>
                <w:sz w:val="17"/>
                <w:szCs w:val="17"/>
                <w:lang w:val="hr-HR"/>
              </w:rPr>
              <w:t>000 kuna</w:t>
            </w:r>
            <w:bookmarkEnd w:id="1962"/>
          </w:p>
        </w:tc>
        <w:tc>
          <w:tcPr>
            <w:tcW w:w="1060" w:type="dxa"/>
            <w:shd w:val="clear" w:color="auto" w:fill="auto"/>
            <w:vAlign w:val="center"/>
          </w:tcPr>
          <w:p w14:paraId="08707E41"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bookmarkStart w:id="1963" w:name="_Toc67331024"/>
            <w:r w:rsidRPr="00736C15">
              <w:rPr>
                <w:rFonts w:ascii="Arial" w:eastAsia="Calibri" w:hAnsi="Arial" w:cs="Arial"/>
                <w:b/>
                <w:color w:val="000000"/>
                <w:spacing w:val="-2"/>
                <w:sz w:val="17"/>
                <w:szCs w:val="17"/>
                <w:lang w:val="hr-HR"/>
              </w:rPr>
              <w:t>000 kuna</w:t>
            </w:r>
            <w:bookmarkEnd w:id="1963"/>
          </w:p>
        </w:tc>
      </w:tr>
      <w:tr w:rsidR="004E2F51" w:rsidRPr="0002282A" w14:paraId="28BB5432" w14:textId="77777777" w:rsidTr="00E032FC">
        <w:trPr>
          <w:trHeight w:val="425"/>
          <w:jc w:val="center"/>
        </w:trPr>
        <w:tc>
          <w:tcPr>
            <w:tcW w:w="6094" w:type="dxa"/>
            <w:vAlign w:val="bottom"/>
          </w:tcPr>
          <w:p w14:paraId="78DFE1CC"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bookmarkStart w:id="1964" w:name="_Toc67331025"/>
            <w:r w:rsidRPr="00736C15">
              <w:rPr>
                <w:rFonts w:ascii="Arial" w:eastAsia="Calibri" w:hAnsi="Arial" w:cs="Arial"/>
                <w:b/>
                <w:color w:val="000000"/>
                <w:sz w:val="17"/>
                <w:szCs w:val="17"/>
                <w:lang w:val="hr-HR"/>
              </w:rPr>
              <w:t>Financijska imovina po fer vrijednosti kroz dobit ili gubitak:</w:t>
            </w:r>
            <w:bookmarkEnd w:id="1964"/>
          </w:p>
        </w:tc>
        <w:tc>
          <w:tcPr>
            <w:tcW w:w="1060" w:type="dxa"/>
            <w:vAlign w:val="bottom"/>
          </w:tcPr>
          <w:p w14:paraId="3FE64439"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p>
        </w:tc>
        <w:tc>
          <w:tcPr>
            <w:tcW w:w="1060" w:type="dxa"/>
            <w:vAlign w:val="bottom"/>
          </w:tcPr>
          <w:p w14:paraId="7FD414F2"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p>
        </w:tc>
        <w:tc>
          <w:tcPr>
            <w:tcW w:w="1060" w:type="dxa"/>
            <w:vAlign w:val="bottom"/>
          </w:tcPr>
          <w:p w14:paraId="06348ABE" w14:textId="77777777" w:rsidR="004E2F51" w:rsidRPr="00736C15" w:rsidRDefault="004E2F51" w:rsidP="00E032FC">
            <w:pPr>
              <w:tabs>
                <w:tab w:val="right" w:pos="1202"/>
              </w:tabs>
              <w:jc w:val="right"/>
              <w:outlineLvl w:val="0"/>
              <w:rPr>
                <w:rFonts w:ascii="Arial" w:eastAsia="Calibri" w:hAnsi="Arial" w:cs="Arial"/>
                <w:b/>
                <w:color w:val="000000"/>
                <w:spacing w:val="-2"/>
                <w:sz w:val="17"/>
                <w:szCs w:val="17"/>
                <w:lang w:val="hr-HR"/>
              </w:rPr>
            </w:pPr>
          </w:p>
        </w:tc>
      </w:tr>
      <w:tr w:rsidR="004E2F51" w:rsidRPr="0002282A" w14:paraId="79C57E64" w14:textId="77777777" w:rsidTr="00E032FC">
        <w:trPr>
          <w:trHeight w:hRule="exact" w:val="266"/>
          <w:jc w:val="center"/>
        </w:trPr>
        <w:tc>
          <w:tcPr>
            <w:tcW w:w="6094" w:type="dxa"/>
            <w:vAlign w:val="bottom"/>
          </w:tcPr>
          <w:p w14:paraId="3599CC58" w14:textId="77777777" w:rsidR="004E2F51" w:rsidRPr="00736C15" w:rsidRDefault="004E2F51" w:rsidP="00E032FC">
            <w:pPr>
              <w:tabs>
                <w:tab w:val="right" w:pos="1202"/>
              </w:tabs>
              <w:outlineLvl w:val="0"/>
              <w:rPr>
                <w:rFonts w:ascii="Arial" w:eastAsia="Calibri" w:hAnsi="Arial" w:cs="Arial"/>
                <w:b/>
                <w:i/>
                <w:color w:val="000000"/>
                <w:sz w:val="17"/>
                <w:szCs w:val="17"/>
                <w:lang w:val="hr-HR"/>
              </w:rPr>
            </w:pPr>
            <w:bookmarkStart w:id="1965" w:name="_Toc67331026"/>
            <w:r w:rsidRPr="00736C15">
              <w:rPr>
                <w:rFonts w:ascii="Arial" w:eastAsia="Calibri" w:hAnsi="Arial" w:cs="Arial"/>
                <w:b/>
                <w:i/>
                <w:color w:val="000000"/>
                <w:sz w:val="17"/>
                <w:szCs w:val="17"/>
                <w:lang w:val="hr-HR"/>
              </w:rPr>
              <w:t>Krediti po fer vrijednosti kroz dobit ili gubitak:</w:t>
            </w:r>
            <w:bookmarkEnd w:id="1965"/>
          </w:p>
        </w:tc>
        <w:tc>
          <w:tcPr>
            <w:tcW w:w="1060" w:type="dxa"/>
            <w:tcBorders>
              <w:top w:val="nil"/>
              <w:left w:val="nil"/>
              <w:right w:val="nil"/>
            </w:tcBorders>
            <w:shd w:val="clear" w:color="auto" w:fill="auto"/>
            <w:vAlign w:val="bottom"/>
          </w:tcPr>
          <w:p w14:paraId="68411F10"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25519383"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4594D53E"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r>
      <w:tr w:rsidR="004E2F51" w:rsidRPr="00736C15" w14:paraId="1F84BA02" w14:textId="77777777" w:rsidTr="00E032FC">
        <w:trPr>
          <w:trHeight w:hRule="exact" w:val="284"/>
          <w:jc w:val="center"/>
        </w:trPr>
        <w:tc>
          <w:tcPr>
            <w:tcW w:w="6094" w:type="dxa"/>
            <w:vAlign w:val="bottom"/>
          </w:tcPr>
          <w:p w14:paraId="288EBE7C" w14:textId="77777777" w:rsidR="004E2F51" w:rsidRPr="00736C15" w:rsidRDefault="004E2F51" w:rsidP="00E032FC">
            <w:pPr>
              <w:tabs>
                <w:tab w:val="right" w:pos="1202"/>
              </w:tabs>
              <w:outlineLvl w:val="0"/>
              <w:rPr>
                <w:rFonts w:ascii="Arial" w:eastAsia="Calibri" w:hAnsi="Arial" w:cs="Arial"/>
                <w:color w:val="000000"/>
                <w:sz w:val="17"/>
                <w:szCs w:val="17"/>
                <w:lang w:val="hr-HR"/>
              </w:rPr>
            </w:pPr>
            <w:bookmarkStart w:id="1966" w:name="_Toc67331027"/>
            <w:r w:rsidRPr="00736C15">
              <w:rPr>
                <w:rFonts w:ascii="Arial" w:eastAsia="Calibri" w:hAnsi="Arial" w:cs="Arial"/>
                <w:color w:val="000000"/>
                <w:sz w:val="17"/>
                <w:szCs w:val="17"/>
                <w:lang w:val="hr-HR"/>
              </w:rPr>
              <w:t>Mezzanine krediti</w:t>
            </w:r>
            <w:bookmarkEnd w:id="1966"/>
          </w:p>
        </w:tc>
        <w:tc>
          <w:tcPr>
            <w:tcW w:w="1060" w:type="dxa"/>
            <w:tcBorders>
              <w:top w:val="nil"/>
              <w:left w:val="nil"/>
              <w:right w:val="nil"/>
            </w:tcBorders>
            <w:shd w:val="clear" w:color="auto" w:fill="auto"/>
            <w:vAlign w:val="bottom"/>
          </w:tcPr>
          <w:p w14:paraId="072E7424"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1967" w:name="_Toc67331028"/>
            <w:r w:rsidRPr="00736C15">
              <w:rPr>
                <w:rFonts w:ascii="Arial" w:hAnsi="Arial" w:cs="Arial"/>
                <w:sz w:val="17"/>
                <w:szCs w:val="17"/>
              </w:rPr>
              <w:t>-</w:t>
            </w:r>
            <w:bookmarkEnd w:id="1967"/>
          </w:p>
        </w:tc>
        <w:tc>
          <w:tcPr>
            <w:tcW w:w="1060" w:type="dxa"/>
            <w:tcBorders>
              <w:top w:val="nil"/>
              <w:left w:val="nil"/>
              <w:right w:val="nil"/>
            </w:tcBorders>
            <w:shd w:val="clear" w:color="auto" w:fill="auto"/>
            <w:vAlign w:val="bottom"/>
          </w:tcPr>
          <w:p w14:paraId="1C2A3B6F"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1968" w:name="_Toc67331029"/>
            <w:r w:rsidRPr="00736C15">
              <w:rPr>
                <w:rFonts w:ascii="Arial" w:hAnsi="Arial" w:cs="Arial"/>
                <w:sz w:val="17"/>
                <w:szCs w:val="17"/>
              </w:rPr>
              <w:t>-</w:t>
            </w:r>
            <w:bookmarkEnd w:id="1968"/>
          </w:p>
        </w:tc>
        <w:tc>
          <w:tcPr>
            <w:tcW w:w="1060" w:type="dxa"/>
            <w:tcBorders>
              <w:top w:val="nil"/>
              <w:left w:val="nil"/>
              <w:right w:val="nil"/>
            </w:tcBorders>
            <w:shd w:val="clear" w:color="auto" w:fill="auto"/>
            <w:vAlign w:val="bottom"/>
          </w:tcPr>
          <w:p w14:paraId="1B36C733"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1969" w:name="_Toc67331030"/>
            <w:r w:rsidRPr="00736C15">
              <w:rPr>
                <w:rFonts w:ascii="Arial" w:hAnsi="Arial" w:cs="Arial"/>
                <w:sz w:val="17"/>
                <w:szCs w:val="17"/>
              </w:rPr>
              <w:t>16.375</w:t>
            </w:r>
            <w:bookmarkEnd w:id="1969"/>
          </w:p>
        </w:tc>
      </w:tr>
      <w:tr w:rsidR="004E2F51" w:rsidRPr="00736C15" w14:paraId="512BD55B" w14:textId="77777777" w:rsidTr="00E032FC">
        <w:trPr>
          <w:trHeight w:hRule="exact" w:val="279"/>
          <w:jc w:val="center"/>
        </w:trPr>
        <w:tc>
          <w:tcPr>
            <w:tcW w:w="6094" w:type="dxa"/>
            <w:vAlign w:val="bottom"/>
          </w:tcPr>
          <w:p w14:paraId="41E0A755" w14:textId="77777777" w:rsidR="004E2F51" w:rsidRPr="00736C15" w:rsidRDefault="004E2F51" w:rsidP="00E032FC">
            <w:pPr>
              <w:tabs>
                <w:tab w:val="right" w:pos="1202"/>
              </w:tabs>
              <w:outlineLvl w:val="0"/>
              <w:rPr>
                <w:rFonts w:ascii="Arial" w:eastAsia="Calibri" w:hAnsi="Arial" w:cs="Arial"/>
                <w:b/>
                <w:i/>
                <w:color w:val="000000"/>
                <w:sz w:val="17"/>
                <w:szCs w:val="17"/>
                <w:lang w:val="hr-HR"/>
              </w:rPr>
            </w:pPr>
            <w:bookmarkStart w:id="1970" w:name="_Toc67331031"/>
            <w:r w:rsidRPr="00736C15">
              <w:rPr>
                <w:rFonts w:ascii="Arial" w:eastAsia="Calibri" w:hAnsi="Arial" w:cs="Arial"/>
                <w:b/>
                <w:i/>
                <w:color w:val="000000"/>
                <w:sz w:val="17"/>
                <w:szCs w:val="17"/>
                <w:lang w:val="hr-HR"/>
              </w:rPr>
              <w:t>Ulaganja u investicijske fondove:</w:t>
            </w:r>
            <w:bookmarkEnd w:id="1970"/>
          </w:p>
        </w:tc>
        <w:tc>
          <w:tcPr>
            <w:tcW w:w="1060" w:type="dxa"/>
            <w:tcBorders>
              <w:top w:val="nil"/>
              <w:left w:val="nil"/>
              <w:right w:val="nil"/>
            </w:tcBorders>
            <w:shd w:val="clear" w:color="auto" w:fill="auto"/>
            <w:vAlign w:val="bottom"/>
          </w:tcPr>
          <w:p w14:paraId="62804217"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6D7460DE"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24B50FCC"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r>
      <w:tr w:rsidR="004E2F51" w:rsidRPr="00736C15" w14:paraId="43BC5BF2" w14:textId="77777777" w:rsidTr="00E032FC">
        <w:trPr>
          <w:trHeight w:hRule="exact" w:val="215"/>
          <w:jc w:val="center"/>
        </w:trPr>
        <w:tc>
          <w:tcPr>
            <w:tcW w:w="6094" w:type="dxa"/>
            <w:vAlign w:val="bottom"/>
          </w:tcPr>
          <w:p w14:paraId="19A4F281" w14:textId="77777777" w:rsidR="004E2F51" w:rsidRPr="00736C15" w:rsidRDefault="004E2F51" w:rsidP="00E032FC">
            <w:pPr>
              <w:tabs>
                <w:tab w:val="right" w:pos="1202"/>
              </w:tabs>
              <w:outlineLvl w:val="0"/>
              <w:rPr>
                <w:rFonts w:ascii="Arial" w:eastAsia="Calibri" w:hAnsi="Arial" w:cs="Arial"/>
                <w:b/>
                <w:i/>
                <w:color w:val="000000"/>
                <w:sz w:val="17"/>
                <w:szCs w:val="17"/>
                <w:lang w:val="hr-HR"/>
              </w:rPr>
            </w:pPr>
            <w:bookmarkStart w:id="1971" w:name="_Toc67331032"/>
            <w:r w:rsidRPr="00736C15">
              <w:rPr>
                <w:rFonts w:ascii="Arial" w:eastAsia="Calibri" w:hAnsi="Arial" w:cs="Arial"/>
                <w:color w:val="000000"/>
                <w:sz w:val="17"/>
                <w:szCs w:val="17"/>
                <w:lang w:val="hr-HR"/>
              </w:rPr>
              <w:t>Udjeli u investicijskim fondovima po fer vrijednosti kroz dobit ili gubitak</w:t>
            </w:r>
            <w:bookmarkEnd w:id="1971"/>
          </w:p>
        </w:tc>
        <w:tc>
          <w:tcPr>
            <w:tcW w:w="1060" w:type="dxa"/>
            <w:tcBorders>
              <w:top w:val="nil"/>
              <w:left w:val="nil"/>
              <w:right w:val="nil"/>
            </w:tcBorders>
            <w:shd w:val="clear" w:color="auto" w:fill="auto"/>
            <w:vAlign w:val="bottom"/>
          </w:tcPr>
          <w:p w14:paraId="67F80EA9"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1972" w:name="_Toc67331033"/>
            <w:r w:rsidRPr="00736C15">
              <w:rPr>
                <w:rFonts w:ascii="Arial" w:hAnsi="Arial" w:cs="Arial"/>
                <w:sz w:val="17"/>
                <w:szCs w:val="17"/>
              </w:rPr>
              <w:t>202.260</w:t>
            </w:r>
            <w:bookmarkEnd w:id="1972"/>
          </w:p>
        </w:tc>
        <w:tc>
          <w:tcPr>
            <w:tcW w:w="1060" w:type="dxa"/>
            <w:tcBorders>
              <w:top w:val="nil"/>
              <w:left w:val="nil"/>
              <w:right w:val="nil"/>
            </w:tcBorders>
            <w:shd w:val="clear" w:color="auto" w:fill="auto"/>
            <w:vAlign w:val="bottom"/>
          </w:tcPr>
          <w:p w14:paraId="32575465"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1973" w:name="_Toc67331034"/>
            <w:r w:rsidRPr="00736C15">
              <w:rPr>
                <w:rFonts w:ascii="Arial" w:hAnsi="Arial" w:cs="Arial"/>
                <w:sz w:val="17"/>
                <w:szCs w:val="17"/>
              </w:rPr>
              <w:t>-</w:t>
            </w:r>
            <w:bookmarkEnd w:id="1973"/>
          </w:p>
        </w:tc>
        <w:tc>
          <w:tcPr>
            <w:tcW w:w="1060" w:type="dxa"/>
            <w:tcBorders>
              <w:top w:val="nil"/>
              <w:left w:val="nil"/>
              <w:right w:val="nil"/>
            </w:tcBorders>
            <w:shd w:val="clear" w:color="auto" w:fill="auto"/>
            <w:vAlign w:val="bottom"/>
          </w:tcPr>
          <w:p w14:paraId="5B4D68DA"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1974" w:name="_Toc67331035"/>
            <w:r w:rsidRPr="00736C15">
              <w:rPr>
                <w:rFonts w:ascii="Arial" w:hAnsi="Arial" w:cs="Arial"/>
                <w:sz w:val="17"/>
                <w:szCs w:val="17"/>
              </w:rPr>
              <w:t>-</w:t>
            </w:r>
            <w:bookmarkEnd w:id="1974"/>
          </w:p>
        </w:tc>
      </w:tr>
      <w:tr w:rsidR="004E2F51" w:rsidRPr="00736C15" w14:paraId="52D7B1D7" w14:textId="77777777" w:rsidTr="00E032FC">
        <w:trPr>
          <w:trHeight w:val="216"/>
          <w:jc w:val="center"/>
        </w:trPr>
        <w:tc>
          <w:tcPr>
            <w:tcW w:w="6094" w:type="dxa"/>
            <w:vAlign w:val="bottom"/>
          </w:tcPr>
          <w:p w14:paraId="2C202A35" w14:textId="77777777" w:rsidR="004E2F51" w:rsidRPr="00736C15" w:rsidRDefault="004E2F51" w:rsidP="00E032FC">
            <w:pPr>
              <w:tabs>
                <w:tab w:val="right" w:pos="1202"/>
              </w:tabs>
              <w:outlineLvl w:val="0"/>
              <w:rPr>
                <w:rFonts w:ascii="Arial" w:eastAsia="Calibri" w:hAnsi="Arial" w:cs="Arial"/>
                <w:b/>
                <w:color w:val="000000"/>
                <w:sz w:val="17"/>
                <w:szCs w:val="17"/>
                <w:lang w:val="hr-HR"/>
              </w:rPr>
            </w:pPr>
            <w:bookmarkStart w:id="1975" w:name="_Toc67331036"/>
            <w:r w:rsidRPr="00736C15">
              <w:rPr>
                <w:rFonts w:ascii="Arial" w:eastAsia="Calibri" w:hAnsi="Arial" w:cs="Arial"/>
                <w:b/>
                <w:color w:val="000000"/>
                <w:sz w:val="17"/>
                <w:szCs w:val="17"/>
                <w:lang w:val="hr-HR"/>
              </w:rPr>
              <w:t>Vlasnički vrijednosni papiri:</w:t>
            </w:r>
            <w:bookmarkEnd w:id="1975"/>
          </w:p>
          <w:p w14:paraId="68FFFE2E" w14:textId="77777777" w:rsidR="004E2F51" w:rsidRPr="00736C15" w:rsidRDefault="004E2F51" w:rsidP="00E032FC">
            <w:pPr>
              <w:tabs>
                <w:tab w:val="right" w:pos="1202"/>
              </w:tabs>
              <w:outlineLvl w:val="0"/>
              <w:rPr>
                <w:rFonts w:ascii="Arial" w:eastAsia="Calibri" w:hAnsi="Arial" w:cs="Arial"/>
                <w:b/>
                <w:i/>
                <w:color w:val="000000"/>
                <w:spacing w:val="-2"/>
                <w:sz w:val="17"/>
                <w:szCs w:val="17"/>
                <w:lang w:val="hr-HR"/>
              </w:rPr>
            </w:pPr>
            <w:bookmarkStart w:id="1976" w:name="_Toc67331037"/>
            <w:r w:rsidRPr="00736C15">
              <w:rPr>
                <w:rFonts w:ascii="Arial" w:eastAsia="Calibri" w:hAnsi="Arial" w:cs="Arial"/>
                <w:b/>
                <w:i/>
                <w:color w:val="000000"/>
                <w:spacing w:val="-2"/>
                <w:sz w:val="17"/>
                <w:szCs w:val="17"/>
                <w:lang w:val="hr-HR"/>
              </w:rPr>
              <w:t>Vlasnički vrijednosni papiri koji kotiraju:</w:t>
            </w:r>
            <w:bookmarkEnd w:id="1976"/>
          </w:p>
          <w:p w14:paraId="3FC71D20" w14:textId="77777777" w:rsidR="004E2F51" w:rsidRPr="00736C15" w:rsidRDefault="004E2F51" w:rsidP="00E032FC">
            <w:pPr>
              <w:tabs>
                <w:tab w:val="right" w:pos="1202"/>
              </w:tabs>
              <w:outlineLvl w:val="0"/>
              <w:rPr>
                <w:rFonts w:ascii="Arial" w:eastAsia="Calibri" w:hAnsi="Arial" w:cs="Arial"/>
                <w:color w:val="000000"/>
                <w:sz w:val="17"/>
                <w:szCs w:val="17"/>
                <w:lang w:val="hr-HR"/>
              </w:rPr>
            </w:pPr>
            <w:bookmarkStart w:id="1977" w:name="_Toc67331038"/>
            <w:r w:rsidRPr="00736C15">
              <w:rPr>
                <w:rFonts w:ascii="Arial" w:eastAsia="Calibri" w:hAnsi="Arial" w:cs="Arial"/>
                <w:color w:val="000000"/>
                <w:sz w:val="17"/>
                <w:szCs w:val="17"/>
                <w:lang w:val="hr-HR"/>
              </w:rPr>
              <w:t>Dionice trgovačkih društava</w:t>
            </w:r>
            <w:bookmarkEnd w:id="1977"/>
          </w:p>
        </w:tc>
        <w:tc>
          <w:tcPr>
            <w:tcW w:w="1060" w:type="dxa"/>
            <w:tcBorders>
              <w:top w:val="nil"/>
              <w:left w:val="nil"/>
              <w:right w:val="nil"/>
            </w:tcBorders>
            <w:shd w:val="clear" w:color="auto" w:fill="auto"/>
            <w:vAlign w:val="bottom"/>
          </w:tcPr>
          <w:p w14:paraId="54B53C7A"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1978" w:name="_Toc67331039"/>
            <w:r w:rsidRPr="00736C15">
              <w:rPr>
                <w:rFonts w:ascii="Arial" w:eastAsia="Calibri" w:hAnsi="Arial" w:cs="Arial"/>
                <w:color w:val="000000"/>
                <w:sz w:val="17"/>
                <w:szCs w:val="17"/>
                <w:lang w:val="hr-HR"/>
              </w:rPr>
              <w:t>-</w:t>
            </w:r>
            <w:bookmarkEnd w:id="1978"/>
          </w:p>
        </w:tc>
        <w:tc>
          <w:tcPr>
            <w:tcW w:w="1060" w:type="dxa"/>
            <w:tcBorders>
              <w:top w:val="nil"/>
              <w:left w:val="nil"/>
              <w:right w:val="nil"/>
            </w:tcBorders>
            <w:shd w:val="clear" w:color="auto" w:fill="auto"/>
            <w:vAlign w:val="bottom"/>
          </w:tcPr>
          <w:p w14:paraId="47DDE4B8"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1979" w:name="_Toc67331040"/>
            <w:r w:rsidRPr="00736C15">
              <w:rPr>
                <w:rFonts w:ascii="Arial" w:eastAsia="Calibri" w:hAnsi="Arial" w:cs="Arial"/>
                <w:color w:val="000000"/>
                <w:sz w:val="17"/>
                <w:szCs w:val="17"/>
                <w:lang w:val="hr-HR"/>
              </w:rPr>
              <w:t>-</w:t>
            </w:r>
            <w:bookmarkEnd w:id="1979"/>
          </w:p>
        </w:tc>
        <w:tc>
          <w:tcPr>
            <w:tcW w:w="1060" w:type="dxa"/>
            <w:tcBorders>
              <w:top w:val="nil"/>
              <w:left w:val="nil"/>
              <w:right w:val="nil"/>
            </w:tcBorders>
            <w:shd w:val="clear" w:color="auto" w:fill="auto"/>
            <w:vAlign w:val="bottom"/>
          </w:tcPr>
          <w:p w14:paraId="269C3CDD"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1980" w:name="_Toc67331041"/>
            <w:r w:rsidRPr="00736C15">
              <w:rPr>
                <w:rFonts w:ascii="Arial" w:eastAsia="Calibri" w:hAnsi="Arial" w:cs="Arial"/>
                <w:color w:val="000000"/>
                <w:sz w:val="17"/>
                <w:szCs w:val="17"/>
                <w:lang w:val="hr-HR"/>
              </w:rPr>
              <w:t>-</w:t>
            </w:r>
            <w:bookmarkEnd w:id="1980"/>
          </w:p>
        </w:tc>
      </w:tr>
      <w:tr w:rsidR="004E2F51" w:rsidRPr="00736C15" w14:paraId="6F6C4175" w14:textId="77777777" w:rsidTr="00E032FC">
        <w:trPr>
          <w:trHeight w:val="216"/>
          <w:jc w:val="center"/>
        </w:trPr>
        <w:tc>
          <w:tcPr>
            <w:tcW w:w="6094" w:type="dxa"/>
            <w:vAlign w:val="bottom"/>
          </w:tcPr>
          <w:p w14:paraId="37CE70DA" w14:textId="77777777" w:rsidR="004E2F51" w:rsidRPr="00736C15" w:rsidRDefault="004E2F51" w:rsidP="00E032FC">
            <w:pPr>
              <w:tabs>
                <w:tab w:val="right" w:pos="1202"/>
              </w:tabs>
              <w:outlineLvl w:val="0"/>
              <w:rPr>
                <w:rFonts w:ascii="Arial" w:eastAsia="Calibri" w:hAnsi="Arial" w:cs="Arial"/>
                <w:color w:val="000000"/>
                <w:sz w:val="17"/>
                <w:szCs w:val="17"/>
                <w:lang w:val="hr-HR"/>
              </w:rPr>
            </w:pPr>
            <w:bookmarkStart w:id="1981" w:name="_Toc67331042"/>
            <w:r w:rsidRPr="00736C15">
              <w:rPr>
                <w:rFonts w:ascii="Arial" w:eastAsia="Calibri" w:hAnsi="Arial" w:cs="Arial"/>
                <w:b/>
                <w:i/>
                <w:color w:val="000000"/>
                <w:spacing w:val="-2"/>
                <w:sz w:val="17"/>
                <w:szCs w:val="17"/>
                <w:lang w:val="hr-HR"/>
              </w:rPr>
              <w:t>Vlasnički vrijednosni papiri koji ne kotiraju:</w:t>
            </w:r>
            <w:bookmarkEnd w:id="1981"/>
          </w:p>
        </w:tc>
        <w:tc>
          <w:tcPr>
            <w:tcW w:w="1060" w:type="dxa"/>
            <w:tcBorders>
              <w:left w:val="nil"/>
              <w:right w:val="nil"/>
            </w:tcBorders>
            <w:shd w:val="clear" w:color="auto" w:fill="auto"/>
            <w:vAlign w:val="bottom"/>
          </w:tcPr>
          <w:p w14:paraId="05CC3CAE"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07409EC1"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right w:val="nil"/>
            </w:tcBorders>
            <w:shd w:val="clear" w:color="auto" w:fill="auto"/>
            <w:vAlign w:val="bottom"/>
          </w:tcPr>
          <w:p w14:paraId="551706C9"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r>
      <w:tr w:rsidR="004E2F51" w:rsidRPr="00736C15" w14:paraId="1FA896BE" w14:textId="77777777" w:rsidTr="00E032FC">
        <w:trPr>
          <w:trHeight w:hRule="exact" w:val="284"/>
          <w:jc w:val="center"/>
        </w:trPr>
        <w:tc>
          <w:tcPr>
            <w:tcW w:w="6094" w:type="dxa"/>
            <w:vAlign w:val="bottom"/>
          </w:tcPr>
          <w:p w14:paraId="271809AF" w14:textId="77777777" w:rsidR="004E2F51" w:rsidRPr="00736C15" w:rsidRDefault="004E2F51" w:rsidP="00E032FC">
            <w:pPr>
              <w:tabs>
                <w:tab w:val="right" w:pos="1202"/>
              </w:tabs>
              <w:outlineLvl w:val="0"/>
              <w:rPr>
                <w:rFonts w:ascii="Arial" w:eastAsia="Calibri" w:hAnsi="Arial" w:cs="Arial"/>
                <w:b/>
                <w:i/>
                <w:color w:val="000000"/>
                <w:spacing w:val="-2"/>
                <w:sz w:val="17"/>
                <w:szCs w:val="17"/>
                <w:lang w:val="hr-HR"/>
              </w:rPr>
            </w:pPr>
            <w:bookmarkStart w:id="1982" w:name="_Toc67331043"/>
            <w:r w:rsidRPr="00736C15">
              <w:rPr>
                <w:rFonts w:ascii="Arial" w:eastAsia="Calibri" w:hAnsi="Arial" w:cs="Arial"/>
                <w:color w:val="000000"/>
                <w:sz w:val="17"/>
                <w:szCs w:val="17"/>
                <w:lang w:val="hr-HR"/>
              </w:rPr>
              <w:t>Dionice trgovačkih društava</w:t>
            </w:r>
            <w:bookmarkEnd w:id="1982"/>
          </w:p>
        </w:tc>
        <w:tc>
          <w:tcPr>
            <w:tcW w:w="1060" w:type="dxa"/>
            <w:tcBorders>
              <w:left w:val="nil"/>
              <w:right w:val="nil"/>
            </w:tcBorders>
            <w:shd w:val="clear" w:color="auto" w:fill="auto"/>
            <w:vAlign w:val="bottom"/>
          </w:tcPr>
          <w:p w14:paraId="603852DE"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1983" w:name="_Toc67331044"/>
            <w:r w:rsidRPr="00736C15">
              <w:rPr>
                <w:rFonts w:ascii="Arial" w:hAnsi="Arial" w:cs="Arial"/>
                <w:sz w:val="17"/>
                <w:szCs w:val="17"/>
              </w:rPr>
              <w:t>-</w:t>
            </w:r>
            <w:bookmarkEnd w:id="1983"/>
          </w:p>
        </w:tc>
        <w:tc>
          <w:tcPr>
            <w:tcW w:w="1060" w:type="dxa"/>
            <w:tcBorders>
              <w:top w:val="nil"/>
              <w:left w:val="nil"/>
              <w:right w:val="nil"/>
            </w:tcBorders>
            <w:shd w:val="clear" w:color="auto" w:fill="auto"/>
            <w:vAlign w:val="bottom"/>
          </w:tcPr>
          <w:p w14:paraId="6BCFF5BF"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1984" w:name="_Toc67331045"/>
            <w:r w:rsidRPr="00736C15">
              <w:rPr>
                <w:rFonts w:ascii="Arial" w:hAnsi="Arial" w:cs="Arial"/>
                <w:sz w:val="17"/>
                <w:szCs w:val="17"/>
              </w:rPr>
              <w:t>-</w:t>
            </w:r>
            <w:bookmarkEnd w:id="1984"/>
          </w:p>
        </w:tc>
        <w:tc>
          <w:tcPr>
            <w:tcW w:w="1060" w:type="dxa"/>
            <w:tcBorders>
              <w:top w:val="nil"/>
              <w:left w:val="nil"/>
              <w:right w:val="nil"/>
            </w:tcBorders>
            <w:shd w:val="clear" w:color="auto" w:fill="auto"/>
            <w:vAlign w:val="bottom"/>
          </w:tcPr>
          <w:p w14:paraId="24139E31"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1985" w:name="_Toc67331046"/>
            <w:r w:rsidRPr="00736C15">
              <w:rPr>
                <w:rFonts w:ascii="Arial" w:hAnsi="Arial" w:cs="Arial"/>
                <w:sz w:val="17"/>
                <w:szCs w:val="17"/>
              </w:rPr>
              <w:t>31</w:t>
            </w:r>
            <w:bookmarkEnd w:id="1985"/>
          </w:p>
        </w:tc>
      </w:tr>
      <w:tr w:rsidR="004E2F51" w:rsidRPr="00736C15" w14:paraId="4C79A4F4" w14:textId="77777777" w:rsidTr="00E032FC">
        <w:trPr>
          <w:trHeight w:hRule="exact" w:val="284"/>
          <w:jc w:val="center"/>
        </w:trPr>
        <w:tc>
          <w:tcPr>
            <w:tcW w:w="6094" w:type="dxa"/>
            <w:vAlign w:val="bottom"/>
          </w:tcPr>
          <w:p w14:paraId="21ABC1CE" w14:textId="77777777" w:rsidR="004E2F51" w:rsidRPr="00736C15" w:rsidRDefault="004E2F51" w:rsidP="00E032FC">
            <w:pPr>
              <w:tabs>
                <w:tab w:val="right" w:pos="1202"/>
              </w:tabs>
              <w:outlineLvl w:val="0"/>
              <w:rPr>
                <w:rFonts w:ascii="Arial" w:eastAsia="Calibri" w:hAnsi="Arial" w:cs="Arial"/>
                <w:color w:val="000000"/>
                <w:sz w:val="17"/>
                <w:szCs w:val="17"/>
                <w:lang w:val="hr-HR"/>
              </w:rPr>
            </w:pPr>
            <w:bookmarkStart w:id="1986" w:name="_Toc67331047"/>
            <w:r w:rsidRPr="00736C15">
              <w:rPr>
                <w:rFonts w:ascii="Arial" w:eastAsia="Calibri" w:hAnsi="Arial" w:cs="Arial"/>
                <w:color w:val="000000"/>
                <w:sz w:val="17"/>
                <w:szCs w:val="17"/>
                <w:lang w:val="hr-HR"/>
              </w:rPr>
              <w:t>Depozitarne potvrde - DR</w:t>
            </w:r>
            <w:bookmarkEnd w:id="1986"/>
          </w:p>
        </w:tc>
        <w:tc>
          <w:tcPr>
            <w:tcW w:w="1060" w:type="dxa"/>
            <w:tcBorders>
              <w:left w:val="nil"/>
              <w:right w:val="nil"/>
            </w:tcBorders>
            <w:shd w:val="clear" w:color="auto" w:fill="auto"/>
            <w:vAlign w:val="bottom"/>
          </w:tcPr>
          <w:p w14:paraId="5536B9F3"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2F888F5F"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Pr>
                <w:rFonts w:ascii="Arial" w:eastAsia="Calibri" w:hAnsi="Arial" w:cs="Arial"/>
                <w:color w:val="000000"/>
                <w:sz w:val="17"/>
                <w:szCs w:val="17"/>
                <w:lang w:val="hr-HR"/>
              </w:rPr>
              <w:t>-</w:t>
            </w:r>
          </w:p>
        </w:tc>
        <w:tc>
          <w:tcPr>
            <w:tcW w:w="1060" w:type="dxa"/>
            <w:tcBorders>
              <w:top w:val="nil"/>
              <w:left w:val="nil"/>
              <w:right w:val="nil"/>
            </w:tcBorders>
            <w:shd w:val="clear" w:color="auto" w:fill="auto"/>
            <w:vAlign w:val="bottom"/>
          </w:tcPr>
          <w:p w14:paraId="24F0FF2A"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1987" w:name="_Toc67331050"/>
            <w:r w:rsidRPr="00736C15">
              <w:rPr>
                <w:rFonts w:ascii="Arial" w:hAnsi="Arial" w:cs="Arial"/>
                <w:sz w:val="17"/>
                <w:szCs w:val="17"/>
              </w:rPr>
              <w:t>318</w:t>
            </w:r>
            <w:bookmarkEnd w:id="1987"/>
          </w:p>
        </w:tc>
      </w:tr>
      <w:tr w:rsidR="004E2F51" w:rsidRPr="00736C15" w14:paraId="4FB1FD07" w14:textId="77777777" w:rsidTr="00E032FC">
        <w:trPr>
          <w:trHeight w:val="141"/>
          <w:jc w:val="center"/>
        </w:trPr>
        <w:tc>
          <w:tcPr>
            <w:tcW w:w="6094" w:type="dxa"/>
            <w:vAlign w:val="bottom"/>
          </w:tcPr>
          <w:p w14:paraId="71BA1568" w14:textId="77777777" w:rsidR="004E2F51" w:rsidRPr="00736C15" w:rsidRDefault="004E2F51" w:rsidP="00E032FC">
            <w:pPr>
              <w:tabs>
                <w:tab w:val="right" w:pos="1202"/>
              </w:tabs>
              <w:outlineLvl w:val="0"/>
              <w:rPr>
                <w:rFonts w:ascii="Arial" w:eastAsia="Calibri" w:hAnsi="Arial" w:cs="Arial"/>
                <w:color w:val="000000"/>
                <w:sz w:val="17"/>
                <w:szCs w:val="17"/>
                <w:lang w:val="hr-HR"/>
              </w:rPr>
            </w:pPr>
            <w:bookmarkStart w:id="1988" w:name="_Toc67331060"/>
            <w:r w:rsidRPr="00736C15">
              <w:rPr>
                <w:rFonts w:ascii="Arial" w:eastAsia="Calibri" w:hAnsi="Arial" w:cs="Arial"/>
                <w:b/>
                <w:color w:val="000000"/>
                <w:sz w:val="17"/>
                <w:szCs w:val="17"/>
                <w:lang w:val="hr-HR"/>
              </w:rPr>
              <w:t>Ukupno financijska imovina po fer vrijednosti kroz dobit ili gubitak</w:t>
            </w:r>
            <w:bookmarkEnd w:id="1988"/>
          </w:p>
        </w:tc>
        <w:tc>
          <w:tcPr>
            <w:tcW w:w="1060" w:type="dxa"/>
            <w:tcBorders>
              <w:top w:val="single" w:sz="4" w:space="0" w:color="auto"/>
              <w:left w:val="nil"/>
              <w:bottom w:val="single" w:sz="12" w:space="0" w:color="auto"/>
              <w:right w:val="nil"/>
            </w:tcBorders>
            <w:shd w:val="clear" w:color="auto" w:fill="auto"/>
            <w:vAlign w:val="bottom"/>
          </w:tcPr>
          <w:p w14:paraId="0AD41EC9"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bookmarkStart w:id="1989" w:name="_Toc67331061"/>
            <w:r w:rsidRPr="00736C15">
              <w:rPr>
                <w:rFonts w:ascii="Arial" w:hAnsi="Arial" w:cs="Arial"/>
                <w:b/>
                <w:bCs/>
                <w:sz w:val="17"/>
                <w:szCs w:val="17"/>
              </w:rPr>
              <w:t>202.260</w:t>
            </w:r>
            <w:bookmarkEnd w:id="1989"/>
          </w:p>
        </w:tc>
        <w:tc>
          <w:tcPr>
            <w:tcW w:w="1060" w:type="dxa"/>
            <w:tcBorders>
              <w:top w:val="single" w:sz="4" w:space="0" w:color="auto"/>
              <w:left w:val="nil"/>
              <w:bottom w:val="single" w:sz="12" w:space="0" w:color="auto"/>
              <w:right w:val="nil"/>
            </w:tcBorders>
            <w:shd w:val="clear" w:color="auto" w:fill="auto"/>
            <w:vAlign w:val="bottom"/>
          </w:tcPr>
          <w:p w14:paraId="06ADBCFF"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bookmarkStart w:id="1990" w:name="_Toc67331062"/>
            <w:r w:rsidRPr="00736C15">
              <w:rPr>
                <w:rFonts w:ascii="Arial" w:hAnsi="Arial" w:cs="Arial"/>
                <w:b/>
                <w:bCs/>
                <w:sz w:val="17"/>
                <w:szCs w:val="17"/>
              </w:rPr>
              <w:t>-</w:t>
            </w:r>
            <w:bookmarkEnd w:id="1990"/>
          </w:p>
        </w:tc>
        <w:tc>
          <w:tcPr>
            <w:tcW w:w="1060" w:type="dxa"/>
            <w:tcBorders>
              <w:top w:val="single" w:sz="4" w:space="0" w:color="auto"/>
              <w:left w:val="nil"/>
              <w:bottom w:val="single" w:sz="12" w:space="0" w:color="auto"/>
              <w:right w:val="nil"/>
            </w:tcBorders>
            <w:shd w:val="clear" w:color="auto" w:fill="auto"/>
            <w:vAlign w:val="bottom"/>
          </w:tcPr>
          <w:p w14:paraId="52382A0C"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bookmarkStart w:id="1991" w:name="_Toc67331063"/>
            <w:r w:rsidRPr="00736C15">
              <w:rPr>
                <w:rFonts w:ascii="Arial" w:hAnsi="Arial" w:cs="Arial"/>
                <w:b/>
                <w:bCs/>
                <w:sz w:val="17"/>
                <w:szCs w:val="17"/>
              </w:rPr>
              <w:t>16.724</w:t>
            </w:r>
            <w:bookmarkEnd w:id="1991"/>
          </w:p>
        </w:tc>
      </w:tr>
      <w:tr w:rsidR="004E2F51" w:rsidRPr="00736C15" w14:paraId="1E92721A" w14:textId="77777777" w:rsidTr="00E032FC">
        <w:trPr>
          <w:trHeight w:val="441"/>
          <w:jc w:val="center"/>
        </w:trPr>
        <w:tc>
          <w:tcPr>
            <w:tcW w:w="6094" w:type="dxa"/>
            <w:shd w:val="clear" w:color="auto" w:fill="auto"/>
            <w:vAlign w:val="bottom"/>
          </w:tcPr>
          <w:p w14:paraId="7A44DA3E" w14:textId="77777777" w:rsidR="004E2F51" w:rsidRPr="00736C15" w:rsidRDefault="004E2F51" w:rsidP="00E032FC">
            <w:pPr>
              <w:tabs>
                <w:tab w:val="right" w:pos="1202"/>
              </w:tabs>
              <w:outlineLvl w:val="0"/>
              <w:rPr>
                <w:rFonts w:ascii="Arial" w:eastAsia="Calibri" w:hAnsi="Arial" w:cs="Arial"/>
                <w:b/>
                <w:color w:val="000000"/>
                <w:spacing w:val="-2"/>
                <w:sz w:val="17"/>
                <w:szCs w:val="17"/>
                <w:lang w:val="hr-HR"/>
              </w:rPr>
            </w:pPr>
            <w:bookmarkStart w:id="1992" w:name="_Toc67331064"/>
            <w:r w:rsidRPr="00736C15">
              <w:rPr>
                <w:rFonts w:ascii="Arial" w:eastAsia="Calibri" w:hAnsi="Arial" w:cs="Arial"/>
                <w:b/>
                <w:color w:val="000000"/>
                <w:spacing w:val="-2"/>
                <w:sz w:val="17"/>
                <w:szCs w:val="17"/>
                <w:lang w:val="hr-HR"/>
              </w:rPr>
              <w:t>Financijska imovina po fer vrijednosti kroz ostalu sveobuhvatnu dobit:</w:t>
            </w:r>
            <w:bookmarkEnd w:id="1992"/>
          </w:p>
        </w:tc>
        <w:tc>
          <w:tcPr>
            <w:tcW w:w="1060" w:type="dxa"/>
            <w:vAlign w:val="bottom"/>
          </w:tcPr>
          <w:p w14:paraId="3E758186"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3CF6B50A"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5F8C25C9"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0A64AF47" w14:textId="77777777" w:rsidTr="00E032FC">
        <w:trPr>
          <w:trHeight w:val="291"/>
          <w:jc w:val="center"/>
        </w:trPr>
        <w:tc>
          <w:tcPr>
            <w:tcW w:w="6094" w:type="dxa"/>
            <w:shd w:val="clear" w:color="auto" w:fill="auto"/>
            <w:vAlign w:val="bottom"/>
          </w:tcPr>
          <w:p w14:paraId="7330205D" w14:textId="77777777" w:rsidR="004E2F51" w:rsidRPr="00736C15" w:rsidRDefault="004E2F51" w:rsidP="00E032FC">
            <w:pPr>
              <w:tabs>
                <w:tab w:val="right" w:pos="1202"/>
              </w:tabs>
              <w:outlineLvl w:val="0"/>
              <w:rPr>
                <w:rFonts w:ascii="Arial" w:eastAsia="Calibri" w:hAnsi="Arial" w:cs="Arial"/>
                <w:b/>
                <w:color w:val="000000"/>
                <w:spacing w:val="-2"/>
                <w:sz w:val="17"/>
                <w:szCs w:val="17"/>
                <w:lang w:val="hr-HR"/>
              </w:rPr>
            </w:pPr>
            <w:bookmarkStart w:id="1993" w:name="_Toc67331065"/>
            <w:r w:rsidRPr="00736C15">
              <w:rPr>
                <w:rFonts w:ascii="Arial" w:eastAsia="Calibri" w:hAnsi="Arial" w:cs="Arial"/>
                <w:b/>
                <w:color w:val="000000"/>
                <w:spacing w:val="-2"/>
                <w:sz w:val="17"/>
                <w:szCs w:val="17"/>
                <w:lang w:val="hr-HR"/>
              </w:rPr>
              <w:t>Dužnički vrijednosni papiri:</w:t>
            </w:r>
            <w:bookmarkEnd w:id="1993"/>
          </w:p>
        </w:tc>
        <w:tc>
          <w:tcPr>
            <w:tcW w:w="1060" w:type="dxa"/>
            <w:vAlign w:val="bottom"/>
          </w:tcPr>
          <w:p w14:paraId="18569695"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4CDBA347"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1060" w:type="dxa"/>
            <w:vAlign w:val="bottom"/>
          </w:tcPr>
          <w:p w14:paraId="2113A9C5"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22F2356A" w14:textId="77777777" w:rsidTr="00E032FC">
        <w:trPr>
          <w:trHeight w:val="291"/>
          <w:jc w:val="center"/>
        </w:trPr>
        <w:tc>
          <w:tcPr>
            <w:tcW w:w="6094" w:type="dxa"/>
            <w:shd w:val="clear" w:color="auto" w:fill="auto"/>
            <w:vAlign w:val="bottom"/>
          </w:tcPr>
          <w:p w14:paraId="53A4FFEC" w14:textId="77777777" w:rsidR="004E2F51" w:rsidRPr="00736C15" w:rsidRDefault="004E2F51" w:rsidP="00E032FC">
            <w:pPr>
              <w:tabs>
                <w:tab w:val="right" w:pos="1202"/>
              </w:tabs>
              <w:outlineLvl w:val="0"/>
              <w:rPr>
                <w:rFonts w:ascii="Arial" w:eastAsia="Calibri" w:hAnsi="Arial" w:cs="Arial"/>
                <w:b/>
                <w:i/>
                <w:color w:val="000000"/>
                <w:spacing w:val="-2"/>
                <w:sz w:val="17"/>
                <w:szCs w:val="17"/>
                <w:lang w:val="hr-HR"/>
              </w:rPr>
            </w:pPr>
            <w:bookmarkStart w:id="1994" w:name="_Toc67331066"/>
            <w:r w:rsidRPr="00736C15">
              <w:rPr>
                <w:rFonts w:ascii="Arial" w:eastAsia="Calibri" w:hAnsi="Arial" w:cs="Arial"/>
                <w:b/>
                <w:i/>
                <w:color w:val="000000"/>
                <w:spacing w:val="-2"/>
                <w:sz w:val="17"/>
                <w:szCs w:val="17"/>
                <w:lang w:val="hr-HR"/>
              </w:rPr>
              <w:t>Dužnički vrijednosni papiri koji kotiraju:</w:t>
            </w:r>
            <w:bookmarkEnd w:id="1994"/>
          </w:p>
        </w:tc>
        <w:tc>
          <w:tcPr>
            <w:tcW w:w="1060" w:type="dxa"/>
            <w:shd w:val="clear" w:color="auto" w:fill="auto"/>
            <w:vAlign w:val="bottom"/>
          </w:tcPr>
          <w:p w14:paraId="7BFAE55C"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1060" w:type="dxa"/>
            <w:shd w:val="clear" w:color="auto" w:fill="auto"/>
            <w:vAlign w:val="bottom"/>
          </w:tcPr>
          <w:p w14:paraId="633DF873"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1060" w:type="dxa"/>
            <w:shd w:val="clear" w:color="auto" w:fill="auto"/>
            <w:vAlign w:val="bottom"/>
          </w:tcPr>
          <w:p w14:paraId="5B7141B2"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03C01471" w14:textId="77777777" w:rsidTr="00E032FC">
        <w:trPr>
          <w:trHeight w:hRule="exact" w:val="284"/>
          <w:jc w:val="center"/>
        </w:trPr>
        <w:tc>
          <w:tcPr>
            <w:tcW w:w="6094" w:type="dxa"/>
            <w:shd w:val="clear" w:color="auto" w:fill="auto"/>
            <w:vAlign w:val="bottom"/>
          </w:tcPr>
          <w:p w14:paraId="40F7DEA0"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bookmarkStart w:id="1995" w:name="_Toc67331067"/>
            <w:r w:rsidRPr="00736C15">
              <w:rPr>
                <w:rFonts w:ascii="Arial" w:eastAsia="Calibri" w:hAnsi="Arial" w:cs="Arial"/>
                <w:color w:val="000000"/>
                <w:spacing w:val="-2"/>
                <w:sz w:val="17"/>
                <w:szCs w:val="17"/>
                <w:lang w:val="hr-HR"/>
              </w:rPr>
              <w:t>Obveznice Republike Hrvatske</w:t>
            </w:r>
            <w:bookmarkEnd w:id="1995"/>
          </w:p>
        </w:tc>
        <w:tc>
          <w:tcPr>
            <w:tcW w:w="1060" w:type="dxa"/>
            <w:tcBorders>
              <w:top w:val="nil"/>
              <w:left w:val="nil"/>
              <w:bottom w:val="nil"/>
              <w:right w:val="nil"/>
            </w:tcBorders>
            <w:shd w:val="clear" w:color="auto" w:fill="auto"/>
            <w:vAlign w:val="bottom"/>
          </w:tcPr>
          <w:p w14:paraId="00248608"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1.304.974</w:t>
            </w:r>
          </w:p>
        </w:tc>
        <w:tc>
          <w:tcPr>
            <w:tcW w:w="1060" w:type="dxa"/>
            <w:tcBorders>
              <w:top w:val="nil"/>
              <w:left w:val="nil"/>
              <w:bottom w:val="nil"/>
              <w:right w:val="nil"/>
            </w:tcBorders>
            <w:shd w:val="clear" w:color="auto" w:fill="auto"/>
            <w:vAlign w:val="bottom"/>
          </w:tcPr>
          <w:p w14:paraId="14369595"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1996" w:name="_Toc67331069"/>
            <w:r w:rsidRPr="00736C15">
              <w:rPr>
                <w:rFonts w:ascii="Arial" w:hAnsi="Arial" w:cs="Arial"/>
                <w:sz w:val="17"/>
                <w:szCs w:val="17"/>
              </w:rPr>
              <w:t xml:space="preserve"> - </w:t>
            </w:r>
            <w:bookmarkEnd w:id="1996"/>
          </w:p>
        </w:tc>
        <w:tc>
          <w:tcPr>
            <w:tcW w:w="1060" w:type="dxa"/>
            <w:tcBorders>
              <w:top w:val="nil"/>
              <w:left w:val="nil"/>
              <w:bottom w:val="nil"/>
              <w:right w:val="nil"/>
            </w:tcBorders>
            <w:shd w:val="clear" w:color="auto" w:fill="auto"/>
            <w:vAlign w:val="bottom"/>
          </w:tcPr>
          <w:p w14:paraId="0D154336"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1997" w:name="_Toc67331070"/>
            <w:r w:rsidRPr="00736C15">
              <w:rPr>
                <w:rFonts w:ascii="Arial" w:hAnsi="Arial" w:cs="Arial"/>
                <w:sz w:val="17"/>
                <w:szCs w:val="17"/>
              </w:rPr>
              <w:t xml:space="preserve"> - </w:t>
            </w:r>
            <w:bookmarkEnd w:id="1997"/>
          </w:p>
        </w:tc>
      </w:tr>
      <w:tr w:rsidR="004E2F51" w:rsidRPr="00736C15" w14:paraId="04599E00" w14:textId="77777777" w:rsidTr="00E032FC">
        <w:trPr>
          <w:trHeight w:hRule="exact" w:val="284"/>
          <w:jc w:val="center"/>
        </w:trPr>
        <w:tc>
          <w:tcPr>
            <w:tcW w:w="6094" w:type="dxa"/>
            <w:shd w:val="clear" w:color="auto" w:fill="auto"/>
            <w:vAlign w:val="bottom"/>
          </w:tcPr>
          <w:p w14:paraId="7ADCE3F5"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bookmarkStart w:id="1998" w:name="_Toc67331071"/>
            <w:r w:rsidRPr="00736C15">
              <w:rPr>
                <w:rFonts w:ascii="Arial" w:eastAsia="Calibri" w:hAnsi="Arial" w:cs="Arial"/>
                <w:color w:val="000000"/>
                <w:spacing w:val="-2"/>
                <w:sz w:val="17"/>
                <w:szCs w:val="17"/>
                <w:lang w:val="hr-HR"/>
              </w:rPr>
              <w:t>Trezorski zapisi Ministarstva financija</w:t>
            </w:r>
            <w:bookmarkEnd w:id="1998"/>
          </w:p>
        </w:tc>
        <w:tc>
          <w:tcPr>
            <w:tcW w:w="1060" w:type="dxa"/>
            <w:tcBorders>
              <w:top w:val="nil"/>
              <w:left w:val="nil"/>
              <w:bottom w:val="nil"/>
              <w:right w:val="nil"/>
            </w:tcBorders>
            <w:shd w:val="clear" w:color="auto" w:fill="auto"/>
            <w:vAlign w:val="bottom"/>
          </w:tcPr>
          <w:p w14:paraId="07222726"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w:t>
            </w:r>
          </w:p>
        </w:tc>
        <w:tc>
          <w:tcPr>
            <w:tcW w:w="1060" w:type="dxa"/>
            <w:tcBorders>
              <w:top w:val="nil"/>
              <w:left w:val="nil"/>
              <w:bottom w:val="nil"/>
              <w:right w:val="nil"/>
            </w:tcBorders>
            <w:shd w:val="clear" w:color="auto" w:fill="auto"/>
            <w:vAlign w:val="bottom"/>
          </w:tcPr>
          <w:p w14:paraId="44448D22"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1999" w:name="_Toc67331073"/>
            <w:r w:rsidRPr="00736C15">
              <w:rPr>
                <w:rFonts w:ascii="Arial" w:hAnsi="Arial" w:cs="Arial"/>
                <w:sz w:val="17"/>
                <w:szCs w:val="17"/>
              </w:rPr>
              <w:t>1.550.344</w:t>
            </w:r>
            <w:bookmarkEnd w:id="1999"/>
          </w:p>
        </w:tc>
        <w:tc>
          <w:tcPr>
            <w:tcW w:w="1060" w:type="dxa"/>
            <w:tcBorders>
              <w:top w:val="nil"/>
              <w:left w:val="nil"/>
              <w:bottom w:val="nil"/>
              <w:right w:val="nil"/>
            </w:tcBorders>
            <w:shd w:val="clear" w:color="auto" w:fill="auto"/>
            <w:vAlign w:val="bottom"/>
          </w:tcPr>
          <w:p w14:paraId="14E73143"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2000" w:name="_Toc67331074"/>
            <w:r w:rsidRPr="00736C15">
              <w:rPr>
                <w:rFonts w:ascii="Arial" w:hAnsi="Arial" w:cs="Arial"/>
                <w:sz w:val="17"/>
                <w:szCs w:val="17"/>
              </w:rPr>
              <w:t>-</w:t>
            </w:r>
            <w:bookmarkEnd w:id="2000"/>
          </w:p>
        </w:tc>
      </w:tr>
      <w:tr w:rsidR="004E2F51" w:rsidRPr="00736C15" w14:paraId="65CA466E" w14:textId="77777777" w:rsidTr="00E032FC">
        <w:trPr>
          <w:trHeight w:hRule="exact" w:val="284"/>
          <w:jc w:val="center"/>
        </w:trPr>
        <w:tc>
          <w:tcPr>
            <w:tcW w:w="6094" w:type="dxa"/>
            <w:shd w:val="clear" w:color="auto" w:fill="auto"/>
            <w:vAlign w:val="bottom"/>
          </w:tcPr>
          <w:p w14:paraId="7D0F247D"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bookmarkStart w:id="2001" w:name="_Toc67331075"/>
            <w:r w:rsidRPr="00736C15">
              <w:rPr>
                <w:rFonts w:ascii="Arial" w:eastAsia="Calibri" w:hAnsi="Arial" w:cs="Arial"/>
                <w:color w:val="000000"/>
                <w:spacing w:val="-2"/>
                <w:sz w:val="17"/>
                <w:szCs w:val="17"/>
                <w:lang w:val="hr-HR"/>
              </w:rPr>
              <w:t>Obračunana kamata</w:t>
            </w:r>
            <w:bookmarkEnd w:id="2001"/>
            <w:r w:rsidRPr="00736C15">
              <w:rPr>
                <w:rFonts w:ascii="Arial" w:eastAsia="Calibri" w:hAnsi="Arial" w:cs="Arial"/>
                <w:color w:val="000000"/>
                <w:spacing w:val="-2"/>
                <w:sz w:val="17"/>
                <w:szCs w:val="17"/>
                <w:lang w:val="hr-HR"/>
              </w:rPr>
              <w:t xml:space="preserve"> </w:t>
            </w:r>
          </w:p>
        </w:tc>
        <w:tc>
          <w:tcPr>
            <w:tcW w:w="1060" w:type="dxa"/>
            <w:tcBorders>
              <w:top w:val="nil"/>
              <w:left w:val="nil"/>
              <w:bottom w:val="nil"/>
              <w:right w:val="nil"/>
            </w:tcBorders>
            <w:shd w:val="clear" w:color="auto" w:fill="auto"/>
            <w:vAlign w:val="bottom"/>
          </w:tcPr>
          <w:p w14:paraId="48F7BBFB"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r w:rsidRPr="00736C15">
              <w:rPr>
                <w:rFonts w:ascii="Arial" w:hAnsi="Arial" w:cs="Arial"/>
                <w:sz w:val="17"/>
                <w:szCs w:val="17"/>
              </w:rPr>
              <w:t>15.194</w:t>
            </w:r>
          </w:p>
        </w:tc>
        <w:tc>
          <w:tcPr>
            <w:tcW w:w="1060" w:type="dxa"/>
            <w:tcBorders>
              <w:top w:val="nil"/>
              <w:left w:val="nil"/>
              <w:bottom w:val="nil"/>
              <w:right w:val="nil"/>
            </w:tcBorders>
            <w:shd w:val="clear" w:color="auto" w:fill="auto"/>
            <w:vAlign w:val="bottom"/>
          </w:tcPr>
          <w:p w14:paraId="62F36DAA"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2002" w:name="_Toc67331077"/>
            <w:r w:rsidRPr="00736C15">
              <w:rPr>
                <w:rFonts w:ascii="Arial" w:hAnsi="Arial" w:cs="Arial"/>
                <w:sz w:val="17"/>
                <w:szCs w:val="17"/>
              </w:rPr>
              <w:t>-</w:t>
            </w:r>
            <w:bookmarkEnd w:id="2002"/>
          </w:p>
        </w:tc>
        <w:tc>
          <w:tcPr>
            <w:tcW w:w="1060" w:type="dxa"/>
            <w:tcBorders>
              <w:top w:val="nil"/>
              <w:left w:val="nil"/>
              <w:bottom w:val="nil"/>
              <w:right w:val="nil"/>
            </w:tcBorders>
            <w:shd w:val="clear" w:color="auto" w:fill="auto"/>
            <w:vAlign w:val="bottom"/>
          </w:tcPr>
          <w:p w14:paraId="2FC2F8A9"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2003" w:name="_Toc67331078"/>
            <w:r w:rsidRPr="00736C15">
              <w:rPr>
                <w:rFonts w:ascii="Arial" w:hAnsi="Arial" w:cs="Arial"/>
                <w:sz w:val="17"/>
                <w:szCs w:val="17"/>
              </w:rPr>
              <w:t>-</w:t>
            </w:r>
            <w:bookmarkEnd w:id="2003"/>
          </w:p>
        </w:tc>
      </w:tr>
      <w:tr w:rsidR="004E2F51" w:rsidRPr="00736C15" w14:paraId="75A24C20" w14:textId="77777777" w:rsidTr="00E032FC">
        <w:trPr>
          <w:trHeight w:val="291"/>
          <w:jc w:val="center"/>
        </w:trPr>
        <w:tc>
          <w:tcPr>
            <w:tcW w:w="6094" w:type="dxa"/>
            <w:shd w:val="clear" w:color="auto" w:fill="auto"/>
            <w:vAlign w:val="bottom"/>
          </w:tcPr>
          <w:p w14:paraId="1BFCDE67" w14:textId="77777777" w:rsidR="004E2F51" w:rsidRPr="00736C15" w:rsidRDefault="004E2F51" w:rsidP="00E032FC">
            <w:pPr>
              <w:tabs>
                <w:tab w:val="right" w:pos="1202"/>
              </w:tabs>
              <w:outlineLvl w:val="0"/>
              <w:rPr>
                <w:rFonts w:ascii="Arial" w:eastAsia="Calibri" w:hAnsi="Arial" w:cs="Arial"/>
                <w:b/>
                <w:i/>
                <w:color w:val="000000"/>
                <w:spacing w:val="-2"/>
                <w:sz w:val="17"/>
                <w:szCs w:val="17"/>
                <w:lang w:val="hr-HR"/>
              </w:rPr>
            </w:pPr>
            <w:bookmarkStart w:id="2004" w:name="_Toc67331079"/>
            <w:r w:rsidRPr="00736C15">
              <w:rPr>
                <w:rFonts w:ascii="Arial" w:eastAsia="Calibri" w:hAnsi="Arial" w:cs="Arial"/>
                <w:b/>
                <w:i/>
                <w:color w:val="000000"/>
                <w:spacing w:val="-2"/>
                <w:sz w:val="17"/>
                <w:szCs w:val="17"/>
                <w:lang w:val="hr-HR"/>
              </w:rPr>
              <w:t>Dužnički vrijednosni papiri koji ne kotiraju:</w:t>
            </w:r>
            <w:bookmarkEnd w:id="2004"/>
          </w:p>
        </w:tc>
        <w:tc>
          <w:tcPr>
            <w:tcW w:w="1060" w:type="dxa"/>
            <w:tcBorders>
              <w:top w:val="nil"/>
              <w:left w:val="nil"/>
              <w:bottom w:val="nil"/>
              <w:right w:val="nil"/>
            </w:tcBorders>
            <w:shd w:val="clear" w:color="auto" w:fill="auto"/>
            <w:vAlign w:val="bottom"/>
          </w:tcPr>
          <w:p w14:paraId="4EECD33C"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p>
        </w:tc>
        <w:tc>
          <w:tcPr>
            <w:tcW w:w="1060" w:type="dxa"/>
            <w:tcBorders>
              <w:top w:val="nil"/>
              <w:left w:val="nil"/>
              <w:bottom w:val="nil"/>
              <w:right w:val="nil"/>
            </w:tcBorders>
            <w:shd w:val="clear" w:color="auto" w:fill="auto"/>
            <w:vAlign w:val="bottom"/>
          </w:tcPr>
          <w:p w14:paraId="6E707904"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1060" w:type="dxa"/>
            <w:tcBorders>
              <w:top w:val="nil"/>
              <w:left w:val="nil"/>
              <w:bottom w:val="nil"/>
              <w:right w:val="nil"/>
            </w:tcBorders>
            <w:shd w:val="clear" w:color="auto" w:fill="auto"/>
            <w:vAlign w:val="bottom"/>
          </w:tcPr>
          <w:p w14:paraId="6BDF6E95"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4FC3E8C8" w14:textId="77777777" w:rsidTr="00E032FC">
        <w:trPr>
          <w:trHeight w:hRule="exact" w:val="284"/>
          <w:jc w:val="center"/>
        </w:trPr>
        <w:tc>
          <w:tcPr>
            <w:tcW w:w="6094" w:type="dxa"/>
            <w:shd w:val="clear" w:color="auto" w:fill="auto"/>
            <w:vAlign w:val="bottom"/>
          </w:tcPr>
          <w:p w14:paraId="6E4F6D85"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bookmarkStart w:id="2005" w:name="_Toc67331080"/>
            <w:r w:rsidRPr="00736C15">
              <w:rPr>
                <w:rFonts w:ascii="Arial" w:eastAsia="Calibri" w:hAnsi="Arial" w:cs="Arial"/>
                <w:color w:val="000000"/>
                <w:spacing w:val="-2"/>
                <w:sz w:val="17"/>
                <w:szCs w:val="17"/>
                <w:lang w:val="hr-HR"/>
              </w:rPr>
              <w:t>Obveznice trgovačkih društava</w:t>
            </w:r>
            <w:bookmarkEnd w:id="2005"/>
            <w:r w:rsidRPr="00736C15">
              <w:rPr>
                <w:rFonts w:ascii="Arial" w:eastAsia="Calibri" w:hAnsi="Arial" w:cs="Arial"/>
                <w:color w:val="000000"/>
                <w:spacing w:val="-2"/>
                <w:sz w:val="17"/>
                <w:szCs w:val="17"/>
                <w:lang w:val="hr-HR"/>
              </w:rPr>
              <w:t xml:space="preserve"> </w:t>
            </w:r>
          </w:p>
        </w:tc>
        <w:tc>
          <w:tcPr>
            <w:tcW w:w="1060" w:type="dxa"/>
            <w:tcBorders>
              <w:top w:val="nil"/>
              <w:left w:val="nil"/>
              <w:bottom w:val="nil"/>
              <w:right w:val="nil"/>
            </w:tcBorders>
            <w:shd w:val="clear" w:color="auto" w:fill="auto"/>
            <w:vAlign w:val="bottom"/>
          </w:tcPr>
          <w:p w14:paraId="782977EE"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bookmarkStart w:id="2006" w:name="_Toc67331081"/>
            <w:r w:rsidRPr="00736C15">
              <w:rPr>
                <w:rFonts w:ascii="Arial" w:hAnsi="Arial" w:cs="Arial"/>
                <w:sz w:val="17"/>
                <w:szCs w:val="17"/>
              </w:rPr>
              <w:t>-</w:t>
            </w:r>
            <w:bookmarkEnd w:id="2006"/>
          </w:p>
        </w:tc>
        <w:tc>
          <w:tcPr>
            <w:tcW w:w="1060" w:type="dxa"/>
            <w:tcBorders>
              <w:top w:val="nil"/>
              <w:left w:val="nil"/>
              <w:bottom w:val="nil"/>
              <w:right w:val="nil"/>
            </w:tcBorders>
            <w:shd w:val="clear" w:color="auto" w:fill="auto"/>
            <w:vAlign w:val="bottom"/>
          </w:tcPr>
          <w:p w14:paraId="69EAE5F6"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bookmarkStart w:id="2007" w:name="_Toc67331082"/>
            <w:r w:rsidRPr="00736C15">
              <w:rPr>
                <w:rFonts w:ascii="Arial" w:hAnsi="Arial" w:cs="Arial"/>
                <w:sz w:val="17"/>
                <w:szCs w:val="17"/>
              </w:rPr>
              <w:t>-</w:t>
            </w:r>
            <w:bookmarkEnd w:id="2007"/>
          </w:p>
        </w:tc>
        <w:tc>
          <w:tcPr>
            <w:tcW w:w="1060" w:type="dxa"/>
            <w:tcBorders>
              <w:top w:val="nil"/>
              <w:left w:val="nil"/>
              <w:bottom w:val="nil"/>
              <w:right w:val="nil"/>
            </w:tcBorders>
            <w:shd w:val="clear" w:color="auto" w:fill="auto"/>
            <w:vAlign w:val="bottom"/>
          </w:tcPr>
          <w:p w14:paraId="7384FBFC"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bookmarkStart w:id="2008" w:name="_Toc67331083"/>
            <w:r w:rsidRPr="00736C15">
              <w:rPr>
                <w:rFonts w:ascii="Arial" w:hAnsi="Arial" w:cs="Arial"/>
                <w:sz w:val="17"/>
                <w:szCs w:val="17"/>
              </w:rPr>
              <w:t>532</w:t>
            </w:r>
            <w:bookmarkEnd w:id="2008"/>
          </w:p>
        </w:tc>
      </w:tr>
      <w:tr w:rsidR="004E2F51" w:rsidRPr="00736C15" w14:paraId="4AA99CF0" w14:textId="77777777" w:rsidTr="00E032FC">
        <w:trPr>
          <w:trHeight w:hRule="exact" w:val="284"/>
          <w:jc w:val="center"/>
        </w:trPr>
        <w:tc>
          <w:tcPr>
            <w:tcW w:w="6094" w:type="dxa"/>
            <w:shd w:val="clear" w:color="auto" w:fill="auto"/>
            <w:vAlign w:val="bottom"/>
          </w:tcPr>
          <w:p w14:paraId="29C632C6"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bookmarkStart w:id="2009" w:name="_Toc67331084"/>
            <w:r w:rsidRPr="00736C15">
              <w:rPr>
                <w:rFonts w:ascii="Arial" w:eastAsia="Calibri" w:hAnsi="Arial" w:cs="Arial"/>
                <w:color w:val="000000"/>
                <w:spacing w:val="-2"/>
                <w:sz w:val="17"/>
                <w:szCs w:val="17"/>
                <w:lang w:val="hr-HR"/>
              </w:rPr>
              <w:t>Zamjenjive obvezni</w:t>
            </w:r>
            <w:r>
              <w:rPr>
                <w:rFonts w:ascii="Arial" w:eastAsia="Calibri" w:hAnsi="Arial" w:cs="Arial"/>
                <w:color w:val="000000"/>
                <w:spacing w:val="-2"/>
                <w:sz w:val="17"/>
                <w:szCs w:val="17"/>
                <w:lang w:val="hr-HR"/>
              </w:rPr>
              <w:t>c</w:t>
            </w:r>
            <w:r w:rsidRPr="00736C15">
              <w:rPr>
                <w:rFonts w:ascii="Arial" w:eastAsia="Calibri" w:hAnsi="Arial" w:cs="Arial"/>
                <w:color w:val="000000"/>
                <w:spacing w:val="-2"/>
                <w:sz w:val="17"/>
                <w:szCs w:val="17"/>
                <w:lang w:val="hr-HR"/>
              </w:rPr>
              <w:t>e CB</w:t>
            </w:r>
            <w:bookmarkEnd w:id="2009"/>
          </w:p>
        </w:tc>
        <w:tc>
          <w:tcPr>
            <w:tcW w:w="1060" w:type="dxa"/>
            <w:tcBorders>
              <w:top w:val="nil"/>
              <w:left w:val="nil"/>
              <w:bottom w:val="nil"/>
              <w:right w:val="nil"/>
            </w:tcBorders>
            <w:shd w:val="clear" w:color="auto" w:fill="auto"/>
            <w:vAlign w:val="bottom"/>
          </w:tcPr>
          <w:p w14:paraId="3396A1E8"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bookmarkStart w:id="2010" w:name="_Toc67331085"/>
            <w:r w:rsidRPr="00736C15">
              <w:rPr>
                <w:rFonts w:ascii="Arial" w:hAnsi="Arial" w:cs="Arial"/>
                <w:sz w:val="17"/>
                <w:szCs w:val="17"/>
              </w:rPr>
              <w:t>-</w:t>
            </w:r>
            <w:bookmarkEnd w:id="2010"/>
          </w:p>
        </w:tc>
        <w:tc>
          <w:tcPr>
            <w:tcW w:w="1060" w:type="dxa"/>
            <w:tcBorders>
              <w:top w:val="nil"/>
              <w:left w:val="nil"/>
              <w:bottom w:val="nil"/>
              <w:right w:val="nil"/>
            </w:tcBorders>
            <w:shd w:val="clear" w:color="auto" w:fill="auto"/>
            <w:vAlign w:val="bottom"/>
          </w:tcPr>
          <w:p w14:paraId="34CE222A"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bookmarkStart w:id="2011" w:name="_Toc67331086"/>
            <w:r w:rsidRPr="00736C15">
              <w:rPr>
                <w:rFonts w:ascii="Arial" w:hAnsi="Arial" w:cs="Arial"/>
                <w:sz w:val="17"/>
                <w:szCs w:val="17"/>
              </w:rPr>
              <w:t>-</w:t>
            </w:r>
            <w:bookmarkEnd w:id="2011"/>
          </w:p>
        </w:tc>
        <w:tc>
          <w:tcPr>
            <w:tcW w:w="1060" w:type="dxa"/>
            <w:tcBorders>
              <w:top w:val="nil"/>
              <w:left w:val="nil"/>
              <w:bottom w:val="nil"/>
              <w:right w:val="nil"/>
            </w:tcBorders>
            <w:shd w:val="clear" w:color="auto" w:fill="auto"/>
            <w:vAlign w:val="bottom"/>
          </w:tcPr>
          <w:p w14:paraId="630179C6"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bookmarkStart w:id="2012" w:name="_Toc67331087"/>
            <w:r w:rsidRPr="00736C15">
              <w:rPr>
                <w:rFonts w:ascii="Arial" w:hAnsi="Arial" w:cs="Arial"/>
                <w:sz w:val="17"/>
                <w:szCs w:val="17"/>
              </w:rPr>
              <w:t>1.397</w:t>
            </w:r>
            <w:bookmarkEnd w:id="2012"/>
          </w:p>
        </w:tc>
      </w:tr>
      <w:tr w:rsidR="004E2F51" w:rsidRPr="00736C15" w14:paraId="5F7876CB" w14:textId="77777777" w:rsidTr="00E032FC">
        <w:trPr>
          <w:trHeight w:hRule="exact" w:val="284"/>
          <w:jc w:val="center"/>
        </w:trPr>
        <w:tc>
          <w:tcPr>
            <w:tcW w:w="6094" w:type="dxa"/>
            <w:shd w:val="clear" w:color="auto" w:fill="auto"/>
            <w:vAlign w:val="bottom"/>
          </w:tcPr>
          <w:p w14:paraId="67F66E43" w14:textId="77777777" w:rsidR="004E2F51" w:rsidRPr="00736C15" w:rsidRDefault="004E2F51" w:rsidP="00E032FC">
            <w:pPr>
              <w:tabs>
                <w:tab w:val="right" w:pos="1202"/>
              </w:tabs>
              <w:outlineLvl w:val="0"/>
              <w:rPr>
                <w:rFonts w:ascii="Arial" w:eastAsia="Calibri" w:hAnsi="Arial" w:cs="Arial"/>
                <w:color w:val="000000"/>
                <w:spacing w:val="-2"/>
                <w:sz w:val="17"/>
                <w:szCs w:val="17"/>
                <w:lang w:val="hr-HR"/>
              </w:rPr>
            </w:pPr>
            <w:bookmarkStart w:id="2013" w:name="_Toc67331088"/>
            <w:r w:rsidRPr="00736C15">
              <w:rPr>
                <w:rFonts w:ascii="Arial" w:eastAsia="Calibri" w:hAnsi="Arial" w:cs="Arial"/>
                <w:color w:val="000000"/>
                <w:spacing w:val="-2"/>
                <w:sz w:val="17"/>
                <w:szCs w:val="17"/>
                <w:lang w:val="hr-HR"/>
              </w:rPr>
              <w:t>Obračunata kamata</w:t>
            </w:r>
            <w:bookmarkEnd w:id="2013"/>
          </w:p>
        </w:tc>
        <w:tc>
          <w:tcPr>
            <w:tcW w:w="1060" w:type="dxa"/>
            <w:tcBorders>
              <w:top w:val="nil"/>
              <w:left w:val="nil"/>
              <w:bottom w:val="single" w:sz="4" w:space="0" w:color="auto"/>
              <w:right w:val="nil"/>
            </w:tcBorders>
            <w:shd w:val="clear" w:color="auto" w:fill="auto"/>
            <w:vAlign w:val="bottom"/>
          </w:tcPr>
          <w:p w14:paraId="73F100B0"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bookmarkStart w:id="2014" w:name="_Toc67331089"/>
            <w:r w:rsidRPr="00736C15">
              <w:rPr>
                <w:rFonts w:ascii="Arial" w:hAnsi="Arial" w:cs="Arial"/>
                <w:sz w:val="17"/>
                <w:szCs w:val="17"/>
              </w:rPr>
              <w:t>-</w:t>
            </w:r>
            <w:bookmarkEnd w:id="2014"/>
          </w:p>
        </w:tc>
        <w:tc>
          <w:tcPr>
            <w:tcW w:w="1060" w:type="dxa"/>
            <w:tcBorders>
              <w:top w:val="nil"/>
              <w:left w:val="nil"/>
              <w:bottom w:val="single" w:sz="4" w:space="0" w:color="auto"/>
              <w:right w:val="nil"/>
            </w:tcBorders>
            <w:shd w:val="clear" w:color="auto" w:fill="auto"/>
            <w:vAlign w:val="bottom"/>
          </w:tcPr>
          <w:p w14:paraId="7FB465E8"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bookmarkStart w:id="2015" w:name="_Toc67331090"/>
            <w:r w:rsidRPr="00736C15">
              <w:rPr>
                <w:rFonts w:ascii="Arial" w:hAnsi="Arial" w:cs="Arial"/>
                <w:sz w:val="17"/>
                <w:szCs w:val="17"/>
              </w:rPr>
              <w:t>-</w:t>
            </w:r>
            <w:bookmarkEnd w:id="2015"/>
          </w:p>
        </w:tc>
        <w:tc>
          <w:tcPr>
            <w:tcW w:w="1060" w:type="dxa"/>
            <w:tcBorders>
              <w:top w:val="nil"/>
              <w:left w:val="nil"/>
              <w:bottom w:val="single" w:sz="4" w:space="0" w:color="auto"/>
              <w:right w:val="nil"/>
            </w:tcBorders>
            <w:shd w:val="clear" w:color="auto" w:fill="auto"/>
            <w:vAlign w:val="bottom"/>
          </w:tcPr>
          <w:p w14:paraId="46B66CCB" w14:textId="77777777" w:rsidR="004E2F51" w:rsidRPr="00736C15" w:rsidRDefault="004E2F51" w:rsidP="00E032FC">
            <w:pPr>
              <w:tabs>
                <w:tab w:val="right" w:pos="1202"/>
              </w:tabs>
              <w:jc w:val="right"/>
              <w:outlineLvl w:val="0"/>
              <w:rPr>
                <w:rFonts w:ascii="Arial" w:eastAsia="Calibri" w:hAnsi="Arial" w:cs="Arial"/>
                <w:color w:val="000000"/>
                <w:spacing w:val="-2"/>
                <w:sz w:val="17"/>
                <w:szCs w:val="17"/>
                <w:lang w:val="hr-HR"/>
              </w:rPr>
            </w:pPr>
            <w:bookmarkStart w:id="2016" w:name="_Toc67331091"/>
            <w:r w:rsidRPr="00736C15">
              <w:rPr>
                <w:rFonts w:ascii="Arial" w:hAnsi="Arial" w:cs="Arial"/>
                <w:sz w:val="17"/>
                <w:szCs w:val="17"/>
              </w:rPr>
              <w:t>247</w:t>
            </w:r>
            <w:bookmarkEnd w:id="2016"/>
          </w:p>
        </w:tc>
      </w:tr>
      <w:tr w:rsidR="004E2F51" w:rsidRPr="00736C15" w14:paraId="2F847258" w14:textId="77777777" w:rsidTr="00E032FC">
        <w:trPr>
          <w:trHeight w:hRule="exact" w:val="257"/>
          <w:jc w:val="center"/>
        </w:trPr>
        <w:tc>
          <w:tcPr>
            <w:tcW w:w="6094" w:type="dxa"/>
            <w:shd w:val="clear" w:color="auto" w:fill="auto"/>
            <w:vAlign w:val="bottom"/>
          </w:tcPr>
          <w:p w14:paraId="2B723BCA" w14:textId="77777777" w:rsidR="004E2F51" w:rsidRPr="00736C15" w:rsidRDefault="004E2F51" w:rsidP="00E032FC">
            <w:pPr>
              <w:tabs>
                <w:tab w:val="right" w:pos="1202"/>
              </w:tabs>
              <w:outlineLvl w:val="0"/>
              <w:rPr>
                <w:rFonts w:ascii="Arial" w:eastAsia="Calibri" w:hAnsi="Arial" w:cs="Arial"/>
                <w:b/>
                <w:color w:val="000000"/>
                <w:spacing w:val="-2"/>
                <w:sz w:val="17"/>
                <w:szCs w:val="17"/>
                <w:lang w:val="hr-HR"/>
              </w:rPr>
            </w:pPr>
            <w:bookmarkStart w:id="2017" w:name="_Toc67331092"/>
            <w:r w:rsidRPr="00736C15">
              <w:rPr>
                <w:rFonts w:ascii="Arial" w:eastAsia="Calibri" w:hAnsi="Arial" w:cs="Arial"/>
                <w:b/>
                <w:color w:val="000000"/>
                <w:spacing w:val="-2"/>
                <w:sz w:val="17"/>
                <w:szCs w:val="17"/>
                <w:lang w:val="hr-HR"/>
              </w:rPr>
              <w:t>Ukupno dužnički vrijednosni papiri</w:t>
            </w:r>
            <w:bookmarkEnd w:id="2017"/>
          </w:p>
        </w:tc>
        <w:tc>
          <w:tcPr>
            <w:tcW w:w="1060" w:type="dxa"/>
            <w:tcBorders>
              <w:top w:val="single" w:sz="4" w:space="0" w:color="auto"/>
              <w:left w:val="nil"/>
              <w:bottom w:val="single" w:sz="4" w:space="0" w:color="auto"/>
              <w:right w:val="nil"/>
            </w:tcBorders>
            <w:shd w:val="clear" w:color="auto" w:fill="auto"/>
            <w:vAlign w:val="bottom"/>
          </w:tcPr>
          <w:p w14:paraId="586C7964" w14:textId="77777777" w:rsidR="004E2F51" w:rsidRPr="00736C15" w:rsidRDefault="004E2F51" w:rsidP="00E032FC">
            <w:pPr>
              <w:tabs>
                <w:tab w:val="right" w:pos="1202"/>
              </w:tabs>
              <w:jc w:val="right"/>
              <w:outlineLvl w:val="0"/>
              <w:rPr>
                <w:rFonts w:ascii="Arial" w:eastAsia="Calibri" w:hAnsi="Arial" w:cs="Arial"/>
                <w:b/>
                <w:bCs/>
                <w:color w:val="000000"/>
                <w:spacing w:val="-2"/>
                <w:sz w:val="17"/>
                <w:szCs w:val="17"/>
                <w:lang w:val="hr-HR"/>
              </w:rPr>
            </w:pPr>
            <w:bookmarkStart w:id="2018" w:name="_Toc67331093"/>
            <w:r w:rsidRPr="00736C15">
              <w:rPr>
                <w:rFonts w:ascii="Arial" w:hAnsi="Arial" w:cs="Arial"/>
                <w:b/>
                <w:bCs/>
                <w:sz w:val="17"/>
                <w:szCs w:val="17"/>
              </w:rPr>
              <w:t>1.320.168</w:t>
            </w:r>
            <w:bookmarkEnd w:id="2018"/>
          </w:p>
        </w:tc>
        <w:tc>
          <w:tcPr>
            <w:tcW w:w="1060" w:type="dxa"/>
            <w:tcBorders>
              <w:top w:val="single" w:sz="4" w:space="0" w:color="auto"/>
              <w:left w:val="nil"/>
              <w:bottom w:val="single" w:sz="4" w:space="0" w:color="auto"/>
              <w:right w:val="nil"/>
            </w:tcBorders>
            <w:shd w:val="clear" w:color="auto" w:fill="auto"/>
            <w:vAlign w:val="bottom"/>
          </w:tcPr>
          <w:p w14:paraId="5479D655" w14:textId="77777777" w:rsidR="004E2F51" w:rsidRPr="00736C15" w:rsidRDefault="004E2F51" w:rsidP="00E032FC">
            <w:pPr>
              <w:tabs>
                <w:tab w:val="right" w:pos="1202"/>
              </w:tabs>
              <w:jc w:val="right"/>
              <w:outlineLvl w:val="0"/>
              <w:rPr>
                <w:rFonts w:ascii="Arial" w:eastAsia="Calibri" w:hAnsi="Arial" w:cs="Arial"/>
                <w:b/>
                <w:bCs/>
                <w:color w:val="000000"/>
                <w:spacing w:val="-2"/>
                <w:sz w:val="17"/>
                <w:szCs w:val="17"/>
                <w:lang w:val="hr-HR"/>
              </w:rPr>
            </w:pPr>
            <w:bookmarkStart w:id="2019" w:name="_Toc67331094"/>
            <w:r w:rsidRPr="00736C15">
              <w:rPr>
                <w:rFonts w:ascii="Arial" w:hAnsi="Arial" w:cs="Arial"/>
                <w:b/>
                <w:bCs/>
                <w:sz w:val="17"/>
                <w:szCs w:val="17"/>
              </w:rPr>
              <w:t>1.550.344</w:t>
            </w:r>
            <w:bookmarkEnd w:id="2019"/>
          </w:p>
        </w:tc>
        <w:tc>
          <w:tcPr>
            <w:tcW w:w="1060" w:type="dxa"/>
            <w:tcBorders>
              <w:top w:val="single" w:sz="4" w:space="0" w:color="auto"/>
              <w:left w:val="nil"/>
              <w:bottom w:val="single" w:sz="4" w:space="0" w:color="auto"/>
              <w:right w:val="nil"/>
            </w:tcBorders>
            <w:shd w:val="clear" w:color="auto" w:fill="auto"/>
            <w:vAlign w:val="bottom"/>
          </w:tcPr>
          <w:p w14:paraId="61204F06" w14:textId="77777777" w:rsidR="004E2F51" w:rsidRPr="00736C15" w:rsidRDefault="004E2F51" w:rsidP="00E032FC">
            <w:pPr>
              <w:tabs>
                <w:tab w:val="right" w:pos="1202"/>
              </w:tabs>
              <w:jc w:val="right"/>
              <w:outlineLvl w:val="0"/>
              <w:rPr>
                <w:rFonts w:ascii="Arial" w:eastAsia="Calibri" w:hAnsi="Arial" w:cs="Arial"/>
                <w:b/>
                <w:bCs/>
                <w:color w:val="000000"/>
                <w:spacing w:val="-2"/>
                <w:sz w:val="17"/>
                <w:szCs w:val="17"/>
                <w:lang w:val="hr-HR"/>
              </w:rPr>
            </w:pPr>
            <w:bookmarkStart w:id="2020" w:name="_Toc67331095"/>
            <w:r w:rsidRPr="00736C15">
              <w:rPr>
                <w:rFonts w:ascii="Arial" w:hAnsi="Arial" w:cs="Arial"/>
                <w:b/>
                <w:bCs/>
                <w:sz w:val="17"/>
                <w:szCs w:val="17"/>
              </w:rPr>
              <w:t>2.176</w:t>
            </w:r>
            <w:bookmarkEnd w:id="2020"/>
          </w:p>
        </w:tc>
      </w:tr>
      <w:tr w:rsidR="004E2F51" w:rsidRPr="00736C15" w14:paraId="0642A25A" w14:textId="77777777" w:rsidTr="00E032FC">
        <w:trPr>
          <w:trHeight w:hRule="exact" w:val="340"/>
          <w:jc w:val="center"/>
        </w:trPr>
        <w:tc>
          <w:tcPr>
            <w:tcW w:w="6094" w:type="dxa"/>
            <w:shd w:val="clear" w:color="auto" w:fill="auto"/>
            <w:vAlign w:val="bottom"/>
          </w:tcPr>
          <w:p w14:paraId="072379A8" w14:textId="77777777" w:rsidR="004E2F51" w:rsidRPr="00736C15" w:rsidRDefault="004E2F51" w:rsidP="00E032FC">
            <w:pPr>
              <w:tabs>
                <w:tab w:val="right" w:pos="1202"/>
              </w:tabs>
              <w:outlineLvl w:val="0"/>
              <w:rPr>
                <w:rFonts w:ascii="Arial" w:eastAsia="Calibri" w:hAnsi="Arial" w:cs="Arial"/>
                <w:b/>
                <w:i/>
                <w:color w:val="000000"/>
                <w:spacing w:val="-2"/>
                <w:sz w:val="17"/>
                <w:szCs w:val="17"/>
                <w:lang w:val="hr-HR"/>
              </w:rPr>
            </w:pPr>
            <w:bookmarkStart w:id="2021" w:name="_Toc67331096"/>
            <w:r w:rsidRPr="00736C15">
              <w:rPr>
                <w:rFonts w:ascii="Arial" w:eastAsia="Calibri" w:hAnsi="Arial" w:cs="Arial"/>
                <w:b/>
                <w:i/>
                <w:color w:val="000000"/>
                <w:spacing w:val="-2"/>
                <w:sz w:val="17"/>
                <w:szCs w:val="17"/>
                <w:lang w:val="hr-HR"/>
              </w:rPr>
              <w:t>Vlasnički vrijednosni papiri koji ne kotiraju:</w:t>
            </w:r>
            <w:bookmarkEnd w:id="2021"/>
          </w:p>
        </w:tc>
        <w:tc>
          <w:tcPr>
            <w:tcW w:w="1060" w:type="dxa"/>
            <w:tcBorders>
              <w:top w:val="single" w:sz="4" w:space="0" w:color="auto"/>
              <w:left w:val="nil"/>
              <w:right w:val="nil"/>
            </w:tcBorders>
            <w:shd w:val="clear" w:color="auto" w:fill="auto"/>
            <w:vAlign w:val="bottom"/>
          </w:tcPr>
          <w:p w14:paraId="76FED3C8"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1060" w:type="dxa"/>
            <w:tcBorders>
              <w:top w:val="single" w:sz="4" w:space="0" w:color="auto"/>
              <w:left w:val="nil"/>
              <w:right w:val="nil"/>
            </w:tcBorders>
            <w:shd w:val="clear" w:color="auto" w:fill="auto"/>
            <w:vAlign w:val="bottom"/>
          </w:tcPr>
          <w:p w14:paraId="290F90E0"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c>
          <w:tcPr>
            <w:tcW w:w="1060" w:type="dxa"/>
            <w:tcBorders>
              <w:top w:val="single" w:sz="4" w:space="0" w:color="auto"/>
              <w:left w:val="nil"/>
              <w:right w:val="nil"/>
            </w:tcBorders>
            <w:shd w:val="clear" w:color="auto" w:fill="auto"/>
            <w:vAlign w:val="bottom"/>
          </w:tcPr>
          <w:p w14:paraId="5535A688" w14:textId="77777777" w:rsidR="004E2F51" w:rsidRPr="00736C15" w:rsidDel="00561A80" w:rsidRDefault="004E2F51" w:rsidP="00E032FC">
            <w:pPr>
              <w:tabs>
                <w:tab w:val="right" w:pos="1202"/>
              </w:tabs>
              <w:jc w:val="right"/>
              <w:outlineLvl w:val="0"/>
              <w:rPr>
                <w:rFonts w:ascii="Arial" w:eastAsia="Calibri" w:hAnsi="Arial" w:cs="Arial"/>
                <w:color w:val="000000"/>
                <w:spacing w:val="-2"/>
                <w:sz w:val="17"/>
                <w:szCs w:val="17"/>
                <w:lang w:val="hr-HR"/>
              </w:rPr>
            </w:pPr>
          </w:p>
        </w:tc>
      </w:tr>
      <w:tr w:rsidR="004E2F51" w:rsidRPr="00736C15" w14:paraId="0B62D5FD" w14:textId="77777777" w:rsidTr="00E032FC">
        <w:trPr>
          <w:trHeight w:hRule="exact" w:val="284"/>
          <w:jc w:val="center"/>
        </w:trPr>
        <w:tc>
          <w:tcPr>
            <w:tcW w:w="6094" w:type="dxa"/>
            <w:shd w:val="clear" w:color="auto" w:fill="auto"/>
            <w:vAlign w:val="bottom"/>
          </w:tcPr>
          <w:p w14:paraId="455AFC3C" w14:textId="77777777" w:rsidR="004E2F51" w:rsidRPr="00736C15" w:rsidRDefault="004E2F51" w:rsidP="00E032FC">
            <w:pPr>
              <w:tabs>
                <w:tab w:val="right" w:pos="1202"/>
              </w:tabs>
              <w:outlineLvl w:val="0"/>
              <w:rPr>
                <w:rFonts w:ascii="Arial" w:eastAsia="Calibri" w:hAnsi="Arial" w:cs="Arial"/>
                <w:color w:val="000000"/>
                <w:sz w:val="17"/>
                <w:szCs w:val="17"/>
                <w:lang w:val="hr-HR"/>
              </w:rPr>
            </w:pPr>
            <w:bookmarkStart w:id="2022" w:name="_Toc67331097"/>
            <w:r w:rsidRPr="00736C15">
              <w:rPr>
                <w:rFonts w:ascii="Arial" w:eastAsia="Calibri" w:hAnsi="Arial" w:cs="Arial"/>
                <w:color w:val="000000"/>
                <w:sz w:val="17"/>
                <w:szCs w:val="17"/>
                <w:lang w:val="hr-HR"/>
              </w:rPr>
              <w:t>Dionice inozemnih pravnih osoba - SWIFT</w:t>
            </w:r>
            <w:bookmarkEnd w:id="2022"/>
          </w:p>
        </w:tc>
        <w:tc>
          <w:tcPr>
            <w:tcW w:w="1060" w:type="dxa"/>
            <w:tcBorders>
              <w:top w:val="nil"/>
              <w:left w:val="nil"/>
              <w:bottom w:val="nil"/>
              <w:right w:val="nil"/>
            </w:tcBorders>
            <w:shd w:val="clear" w:color="auto" w:fill="auto"/>
            <w:vAlign w:val="bottom"/>
          </w:tcPr>
          <w:p w14:paraId="4E8B63B6"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2023" w:name="_Toc67331098"/>
            <w:r w:rsidRPr="00736C15">
              <w:rPr>
                <w:rFonts w:ascii="Arial" w:hAnsi="Arial" w:cs="Arial"/>
                <w:sz w:val="17"/>
                <w:szCs w:val="17"/>
              </w:rPr>
              <w:t>-</w:t>
            </w:r>
            <w:bookmarkEnd w:id="2023"/>
          </w:p>
        </w:tc>
        <w:tc>
          <w:tcPr>
            <w:tcW w:w="1060" w:type="dxa"/>
            <w:tcBorders>
              <w:top w:val="nil"/>
              <w:left w:val="nil"/>
              <w:bottom w:val="nil"/>
              <w:right w:val="nil"/>
            </w:tcBorders>
            <w:shd w:val="clear" w:color="auto" w:fill="auto"/>
            <w:vAlign w:val="bottom"/>
          </w:tcPr>
          <w:p w14:paraId="547D15C2"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2024" w:name="_Toc67331099"/>
            <w:r w:rsidRPr="00736C15">
              <w:rPr>
                <w:rFonts w:ascii="Arial" w:hAnsi="Arial" w:cs="Arial"/>
                <w:sz w:val="17"/>
                <w:szCs w:val="17"/>
              </w:rPr>
              <w:t>45</w:t>
            </w:r>
            <w:bookmarkEnd w:id="2024"/>
          </w:p>
        </w:tc>
        <w:tc>
          <w:tcPr>
            <w:tcW w:w="1060" w:type="dxa"/>
            <w:tcBorders>
              <w:top w:val="nil"/>
              <w:left w:val="nil"/>
              <w:bottom w:val="nil"/>
              <w:right w:val="nil"/>
            </w:tcBorders>
            <w:shd w:val="clear" w:color="auto" w:fill="auto"/>
            <w:vAlign w:val="bottom"/>
          </w:tcPr>
          <w:p w14:paraId="5DB888BE"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2025" w:name="_Toc67331100"/>
            <w:r w:rsidRPr="00736C15">
              <w:rPr>
                <w:rFonts w:ascii="Arial" w:hAnsi="Arial" w:cs="Arial"/>
                <w:sz w:val="17"/>
                <w:szCs w:val="17"/>
              </w:rPr>
              <w:t>-</w:t>
            </w:r>
            <w:bookmarkEnd w:id="2025"/>
          </w:p>
        </w:tc>
      </w:tr>
      <w:tr w:rsidR="004E2F51" w:rsidRPr="00736C15" w14:paraId="68CDDBBB" w14:textId="77777777" w:rsidTr="00E032FC">
        <w:trPr>
          <w:trHeight w:hRule="exact" w:val="284"/>
          <w:jc w:val="center"/>
        </w:trPr>
        <w:tc>
          <w:tcPr>
            <w:tcW w:w="6094" w:type="dxa"/>
            <w:shd w:val="clear" w:color="auto" w:fill="auto"/>
            <w:vAlign w:val="bottom"/>
          </w:tcPr>
          <w:p w14:paraId="69B81324" w14:textId="77777777" w:rsidR="004E2F51" w:rsidRPr="00736C15" w:rsidRDefault="004E2F51" w:rsidP="00E032FC">
            <w:pPr>
              <w:tabs>
                <w:tab w:val="right" w:pos="1202"/>
              </w:tabs>
              <w:outlineLvl w:val="0"/>
              <w:rPr>
                <w:rFonts w:ascii="Arial" w:eastAsia="Calibri" w:hAnsi="Arial" w:cs="Arial"/>
                <w:color w:val="000000"/>
                <w:sz w:val="17"/>
                <w:szCs w:val="17"/>
                <w:lang w:val="hr-HR"/>
              </w:rPr>
            </w:pPr>
            <w:bookmarkStart w:id="2026" w:name="_Toc67331101"/>
            <w:r w:rsidRPr="00736C15">
              <w:rPr>
                <w:rFonts w:ascii="Arial" w:eastAsia="Calibri" w:hAnsi="Arial" w:cs="Arial"/>
                <w:color w:val="000000"/>
                <w:sz w:val="17"/>
                <w:szCs w:val="17"/>
                <w:lang w:val="hr-HR"/>
              </w:rPr>
              <w:t>Dionice inozemnih financijskih institucija – EIF</w:t>
            </w:r>
            <w:bookmarkEnd w:id="2026"/>
          </w:p>
        </w:tc>
        <w:tc>
          <w:tcPr>
            <w:tcW w:w="1060" w:type="dxa"/>
            <w:tcBorders>
              <w:top w:val="nil"/>
              <w:left w:val="nil"/>
              <w:bottom w:val="single" w:sz="4" w:space="0" w:color="auto"/>
              <w:right w:val="nil"/>
            </w:tcBorders>
            <w:shd w:val="clear" w:color="auto" w:fill="auto"/>
            <w:vAlign w:val="bottom"/>
          </w:tcPr>
          <w:p w14:paraId="55C329D0"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2027" w:name="_Toc67331102"/>
            <w:r w:rsidRPr="00736C15">
              <w:rPr>
                <w:rFonts w:ascii="Arial" w:hAnsi="Arial" w:cs="Arial"/>
                <w:sz w:val="17"/>
                <w:szCs w:val="17"/>
              </w:rPr>
              <w:t>-</w:t>
            </w:r>
            <w:bookmarkEnd w:id="2027"/>
          </w:p>
        </w:tc>
        <w:tc>
          <w:tcPr>
            <w:tcW w:w="1060" w:type="dxa"/>
            <w:tcBorders>
              <w:top w:val="nil"/>
              <w:left w:val="nil"/>
              <w:bottom w:val="single" w:sz="4" w:space="0" w:color="auto"/>
              <w:right w:val="nil"/>
            </w:tcBorders>
            <w:shd w:val="clear" w:color="auto" w:fill="auto"/>
            <w:vAlign w:val="bottom"/>
          </w:tcPr>
          <w:p w14:paraId="3B27F352"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2028" w:name="_Toc67331103"/>
            <w:r w:rsidRPr="00736C15">
              <w:rPr>
                <w:rFonts w:ascii="Arial" w:hAnsi="Arial" w:cs="Arial"/>
                <w:sz w:val="17"/>
                <w:szCs w:val="17"/>
              </w:rPr>
              <w:t>42.971</w:t>
            </w:r>
            <w:bookmarkEnd w:id="2028"/>
          </w:p>
        </w:tc>
        <w:tc>
          <w:tcPr>
            <w:tcW w:w="1060" w:type="dxa"/>
            <w:tcBorders>
              <w:top w:val="nil"/>
              <w:left w:val="nil"/>
              <w:bottom w:val="single" w:sz="4" w:space="0" w:color="auto"/>
              <w:right w:val="nil"/>
            </w:tcBorders>
            <w:shd w:val="clear" w:color="auto" w:fill="auto"/>
            <w:vAlign w:val="bottom"/>
          </w:tcPr>
          <w:p w14:paraId="06AE53B4" w14:textId="77777777" w:rsidR="004E2F51" w:rsidRPr="00736C15" w:rsidRDefault="004E2F51" w:rsidP="00E032FC">
            <w:pPr>
              <w:tabs>
                <w:tab w:val="right" w:pos="1202"/>
              </w:tabs>
              <w:jc w:val="right"/>
              <w:outlineLvl w:val="0"/>
              <w:rPr>
                <w:rFonts w:ascii="Arial" w:eastAsia="Calibri" w:hAnsi="Arial" w:cs="Arial"/>
                <w:color w:val="000000"/>
                <w:sz w:val="17"/>
                <w:szCs w:val="17"/>
                <w:lang w:val="hr-HR"/>
              </w:rPr>
            </w:pPr>
            <w:bookmarkStart w:id="2029" w:name="_Toc67331104"/>
            <w:r w:rsidRPr="00736C15">
              <w:rPr>
                <w:rFonts w:ascii="Arial" w:hAnsi="Arial" w:cs="Arial"/>
                <w:sz w:val="17"/>
                <w:szCs w:val="17"/>
              </w:rPr>
              <w:t>-</w:t>
            </w:r>
            <w:bookmarkEnd w:id="2029"/>
          </w:p>
        </w:tc>
      </w:tr>
      <w:tr w:rsidR="004E2F51" w:rsidRPr="00736C15" w14:paraId="1C5592B5" w14:textId="77777777" w:rsidTr="00E032FC">
        <w:trPr>
          <w:trHeight w:hRule="exact" w:val="373"/>
          <w:jc w:val="center"/>
        </w:trPr>
        <w:tc>
          <w:tcPr>
            <w:tcW w:w="6094" w:type="dxa"/>
            <w:shd w:val="clear" w:color="auto" w:fill="auto"/>
            <w:vAlign w:val="bottom"/>
          </w:tcPr>
          <w:p w14:paraId="3C738FBE" w14:textId="77777777" w:rsidR="004E2F51" w:rsidRPr="00736C15" w:rsidRDefault="004E2F51" w:rsidP="00E032FC">
            <w:pPr>
              <w:tabs>
                <w:tab w:val="right" w:pos="1202"/>
              </w:tabs>
              <w:outlineLvl w:val="0"/>
              <w:rPr>
                <w:rFonts w:ascii="Arial" w:eastAsia="Calibri" w:hAnsi="Arial" w:cs="Arial"/>
                <w:b/>
                <w:color w:val="000000"/>
                <w:sz w:val="17"/>
                <w:szCs w:val="17"/>
                <w:lang w:val="hr-HR"/>
              </w:rPr>
            </w:pPr>
            <w:bookmarkStart w:id="2030" w:name="_Toc67331105"/>
            <w:r w:rsidRPr="00736C15">
              <w:rPr>
                <w:rFonts w:ascii="Arial" w:eastAsia="Calibri" w:hAnsi="Arial" w:cs="Arial"/>
                <w:b/>
                <w:color w:val="000000"/>
                <w:sz w:val="17"/>
                <w:szCs w:val="17"/>
                <w:lang w:val="hr-HR"/>
              </w:rPr>
              <w:t>Ukupno vlasnički vrijednosni papiri</w:t>
            </w:r>
            <w:bookmarkEnd w:id="2030"/>
          </w:p>
        </w:tc>
        <w:tc>
          <w:tcPr>
            <w:tcW w:w="1060" w:type="dxa"/>
            <w:tcBorders>
              <w:top w:val="single" w:sz="4" w:space="0" w:color="auto"/>
              <w:left w:val="nil"/>
              <w:bottom w:val="single" w:sz="12" w:space="0" w:color="auto"/>
              <w:right w:val="nil"/>
            </w:tcBorders>
            <w:shd w:val="clear" w:color="auto" w:fill="auto"/>
            <w:vAlign w:val="bottom"/>
          </w:tcPr>
          <w:p w14:paraId="385E3AB3"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bookmarkStart w:id="2031" w:name="_Toc67331106"/>
            <w:r w:rsidRPr="00736C15">
              <w:rPr>
                <w:rFonts w:ascii="Arial" w:hAnsi="Arial" w:cs="Arial"/>
                <w:b/>
                <w:bCs/>
                <w:sz w:val="17"/>
                <w:szCs w:val="17"/>
              </w:rPr>
              <w:t>-</w:t>
            </w:r>
            <w:bookmarkEnd w:id="2031"/>
          </w:p>
        </w:tc>
        <w:tc>
          <w:tcPr>
            <w:tcW w:w="1060" w:type="dxa"/>
            <w:tcBorders>
              <w:top w:val="single" w:sz="4" w:space="0" w:color="auto"/>
              <w:left w:val="nil"/>
              <w:bottom w:val="single" w:sz="12" w:space="0" w:color="auto"/>
              <w:right w:val="nil"/>
            </w:tcBorders>
            <w:shd w:val="clear" w:color="auto" w:fill="auto"/>
            <w:vAlign w:val="bottom"/>
          </w:tcPr>
          <w:p w14:paraId="11FEB43B"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bookmarkStart w:id="2032" w:name="_Toc67331107"/>
            <w:r w:rsidRPr="00736C15">
              <w:rPr>
                <w:rFonts w:ascii="Arial" w:hAnsi="Arial" w:cs="Arial"/>
                <w:b/>
                <w:bCs/>
                <w:sz w:val="17"/>
                <w:szCs w:val="17"/>
              </w:rPr>
              <w:t>43.016</w:t>
            </w:r>
            <w:bookmarkEnd w:id="2032"/>
          </w:p>
        </w:tc>
        <w:tc>
          <w:tcPr>
            <w:tcW w:w="1060" w:type="dxa"/>
            <w:tcBorders>
              <w:top w:val="single" w:sz="4" w:space="0" w:color="auto"/>
              <w:left w:val="nil"/>
              <w:bottom w:val="single" w:sz="12" w:space="0" w:color="auto"/>
              <w:right w:val="nil"/>
            </w:tcBorders>
            <w:shd w:val="clear" w:color="auto" w:fill="auto"/>
            <w:vAlign w:val="bottom"/>
          </w:tcPr>
          <w:p w14:paraId="7354EEAF"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bookmarkStart w:id="2033" w:name="_Toc67331108"/>
            <w:r w:rsidRPr="00736C15">
              <w:rPr>
                <w:rFonts w:ascii="Arial" w:hAnsi="Arial" w:cs="Arial"/>
                <w:b/>
                <w:bCs/>
                <w:sz w:val="17"/>
                <w:szCs w:val="17"/>
              </w:rPr>
              <w:t>-</w:t>
            </w:r>
            <w:bookmarkEnd w:id="2033"/>
          </w:p>
        </w:tc>
      </w:tr>
      <w:tr w:rsidR="004E2F51" w:rsidRPr="00736C15" w14:paraId="51AB43E8" w14:textId="77777777" w:rsidTr="00E032FC">
        <w:trPr>
          <w:trHeight w:hRule="exact" w:val="441"/>
          <w:jc w:val="center"/>
        </w:trPr>
        <w:tc>
          <w:tcPr>
            <w:tcW w:w="6094" w:type="dxa"/>
            <w:shd w:val="clear" w:color="auto" w:fill="auto"/>
            <w:vAlign w:val="bottom"/>
          </w:tcPr>
          <w:p w14:paraId="19E9E939" w14:textId="77777777" w:rsidR="004E2F51" w:rsidRPr="00736C15" w:rsidRDefault="004E2F51" w:rsidP="00E032FC">
            <w:pPr>
              <w:tabs>
                <w:tab w:val="right" w:pos="1202"/>
              </w:tabs>
              <w:outlineLvl w:val="0"/>
              <w:rPr>
                <w:rFonts w:ascii="Arial" w:eastAsia="Calibri" w:hAnsi="Arial" w:cs="Arial"/>
                <w:b/>
                <w:color w:val="000000"/>
                <w:sz w:val="17"/>
                <w:szCs w:val="17"/>
                <w:lang w:val="hr-HR"/>
              </w:rPr>
            </w:pPr>
            <w:bookmarkStart w:id="2034" w:name="_Toc67331109"/>
            <w:r w:rsidRPr="00736C15">
              <w:rPr>
                <w:rFonts w:ascii="Arial" w:eastAsia="Calibri" w:hAnsi="Arial" w:cs="Arial"/>
                <w:b/>
                <w:color w:val="000000"/>
                <w:sz w:val="17"/>
                <w:szCs w:val="17"/>
                <w:lang w:val="hr-HR"/>
              </w:rPr>
              <w:t>Ukupno imovina po fer vrijednosti kroz ostalu sveobuhvatnu dobit</w:t>
            </w:r>
            <w:bookmarkEnd w:id="2034"/>
          </w:p>
        </w:tc>
        <w:tc>
          <w:tcPr>
            <w:tcW w:w="1060" w:type="dxa"/>
            <w:tcBorders>
              <w:top w:val="single" w:sz="12" w:space="0" w:color="auto"/>
              <w:left w:val="nil"/>
              <w:bottom w:val="single" w:sz="12" w:space="0" w:color="auto"/>
              <w:right w:val="nil"/>
            </w:tcBorders>
            <w:shd w:val="clear" w:color="auto" w:fill="auto"/>
            <w:vAlign w:val="bottom"/>
          </w:tcPr>
          <w:p w14:paraId="3DA4DD6A"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bookmarkStart w:id="2035" w:name="_Toc67331110"/>
            <w:r w:rsidRPr="00736C15">
              <w:rPr>
                <w:rFonts w:ascii="Arial" w:hAnsi="Arial" w:cs="Arial"/>
                <w:b/>
                <w:bCs/>
                <w:sz w:val="17"/>
                <w:szCs w:val="17"/>
              </w:rPr>
              <w:t>1.320.168</w:t>
            </w:r>
            <w:bookmarkEnd w:id="2035"/>
          </w:p>
        </w:tc>
        <w:tc>
          <w:tcPr>
            <w:tcW w:w="1060" w:type="dxa"/>
            <w:tcBorders>
              <w:top w:val="single" w:sz="12" w:space="0" w:color="auto"/>
              <w:left w:val="nil"/>
              <w:bottom w:val="single" w:sz="12" w:space="0" w:color="auto"/>
              <w:right w:val="nil"/>
            </w:tcBorders>
            <w:shd w:val="clear" w:color="auto" w:fill="auto"/>
            <w:vAlign w:val="bottom"/>
          </w:tcPr>
          <w:p w14:paraId="78CEFDB3"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bookmarkStart w:id="2036" w:name="_Toc67331111"/>
            <w:r w:rsidRPr="00736C15">
              <w:rPr>
                <w:rFonts w:ascii="Arial" w:hAnsi="Arial" w:cs="Arial"/>
                <w:b/>
                <w:bCs/>
                <w:sz w:val="17"/>
                <w:szCs w:val="17"/>
              </w:rPr>
              <w:t>1.593.360</w:t>
            </w:r>
            <w:bookmarkEnd w:id="2036"/>
          </w:p>
        </w:tc>
        <w:tc>
          <w:tcPr>
            <w:tcW w:w="1060" w:type="dxa"/>
            <w:tcBorders>
              <w:top w:val="single" w:sz="12" w:space="0" w:color="auto"/>
              <w:left w:val="nil"/>
              <w:bottom w:val="single" w:sz="12" w:space="0" w:color="auto"/>
              <w:right w:val="nil"/>
            </w:tcBorders>
            <w:shd w:val="clear" w:color="auto" w:fill="auto"/>
            <w:vAlign w:val="bottom"/>
          </w:tcPr>
          <w:p w14:paraId="37E7C632" w14:textId="77777777" w:rsidR="004E2F51" w:rsidRPr="00736C15" w:rsidRDefault="004E2F51" w:rsidP="00E032FC">
            <w:pPr>
              <w:tabs>
                <w:tab w:val="right" w:pos="1202"/>
              </w:tabs>
              <w:jc w:val="right"/>
              <w:outlineLvl w:val="0"/>
              <w:rPr>
                <w:rFonts w:ascii="Arial" w:eastAsia="Calibri" w:hAnsi="Arial" w:cs="Arial"/>
                <w:b/>
                <w:bCs/>
                <w:color w:val="000000"/>
                <w:sz w:val="17"/>
                <w:szCs w:val="17"/>
                <w:lang w:val="hr-HR"/>
              </w:rPr>
            </w:pPr>
            <w:bookmarkStart w:id="2037" w:name="_Toc67331112"/>
            <w:r w:rsidRPr="00736C15">
              <w:rPr>
                <w:rFonts w:ascii="Arial" w:hAnsi="Arial" w:cs="Arial"/>
                <w:b/>
                <w:bCs/>
                <w:sz w:val="17"/>
                <w:szCs w:val="17"/>
              </w:rPr>
              <w:t>2.176</w:t>
            </w:r>
            <w:bookmarkEnd w:id="2037"/>
          </w:p>
        </w:tc>
      </w:tr>
    </w:tbl>
    <w:p w14:paraId="3258E9A8" w14:textId="77777777" w:rsidR="004E2F51" w:rsidRPr="00B91D09" w:rsidRDefault="004E2F51" w:rsidP="004E2F51">
      <w:pPr>
        <w:rPr>
          <w:rFonts w:ascii="Arial" w:hAnsi="Arial" w:cs="Arial"/>
          <w:color w:val="000000" w:themeColor="text1"/>
        </w:rPr>
      </w:pPr>
    </w:p>
    <w:p w14:paraId="1808ABB9" w14:textId="77777777" w:rsidR="004E2F51" w:rsidRPr="00B91D09" w:rsidRDefault="004E2F51" w:rsidP="004E2F51">
      <w:pPr>
        <w:keepNext/>
        <w:jc w:val="both"/>
        <w:rPr>
          <w:rFonts w:ascii="Arial" w:hAnsi="Arial" w:cs="Arial"/>
          <w:b/>
          <w:bCs/>
          <w:color w:val="000000" w:themeColor="text1"/>
          <w:spacing w:val="-3"/>
          <w:sz w:val="22"/>
          <w:szCs w:val="22"/>
          <w:lang w:val="hr-HR"/>
        </w:rPr>
      </w:pPr>
    </w:p>
    <w:p w14:paraId="1FB09BF2" w14:textId="77777777" w:rsidR="004E2F51" w:rsidRPr="00B91D09" w:rsidRDefault="004E2F51" w:rsidP="004E2F51">
      <w:pPr>
        <w:keepNext/>
        <w:jc w:val="both"/>
        <w:rPr>
          <w:rFonts w:ascii="Arial" w:hAnsi="Arial" w:cs="Arial"/>
          <w:b/>
          <w:bCs/>
          <w:color w:val="000000" w:themeColor="text1"/>
          <w:spacing w:val="-3"/>
          <w:sz w:val="22"/>
          <w:szCs w:val="22"/>
          <w:lang w:val="hr-HR"/>
        </w:rPr>
      </w:pPr>
    </w:p>
    <w:p w14:paraId="555B4E2E" w14:textId="77777777" w:rsidR="004E2F51" w:rsidRPr="00B91D09" w:rsidRDefault="004E2F51" w:rsidP="004E2F51">
      <w:pPr>
        <w:keepNext/>
        <w:tabs>
          <w:tab w:val="left" w:pos="567"/>
        </w:tabs>
        <w:jc w:val="both"/>
        <w:rPr>
          <w:rFonts w:ascii="Arial" w:hAnsi="Arial" w:cs="Arial"/>
          <w:b/>
          <w:bCs/>
          <w:color w:val="000000" w:themeColor="text1"/>
          <w:spacing w:val="-3"/>
          <w:sz w:val="22"/>
          <w:szCs w:val="22"/>
          <w:lang w:val="hr-HR"/>
        </w:rPr>
      </w:pPr>
    </w:p>
    <w:p w14:paraId="2AD32E8D" w14:textId="77777777" w:rsidR="004E2F51" w:rsidRPr="00B91D09" w:rsidRDefault="004E2F51" w:rsidP="004E2F51">
      <w:pPr>
        <w:pStyle w:val="T1"/>
        <w:spacing w:before="120" w:line="300" w:lineRule="exact"/>
        <w:rPr>
          <w:rFonts w:cs="Arial"/>
          <w:b w:val="0"/>
          <w:bCs w:val="0"/>
          <w:color w:val="000000" w:themeColor="text1"/>
          <w:spacing w:val="-3"/>
          <w:sz w:val="22"/>
          <w:szCs w:val="22"/>
          <w:lang w:val="hr-HR"/>
        </w:rPr>
        <w:sectPr w:rsidR="004E2F51" w:rsidRPr="00B91D09" w:rsidSect="00623DBA">
          <w:footerReference w:type="default" r:id="rId223"/>
          <w:pgSz w:w="11907" w:h="16840" w:code="9"/>
          <w:pgMar w:top="1418" w:right="1134" w:bottom="1134" w:left="1418" w:header="851" w:footer="851" w:gutter="0"/>
          <w:cols w:space="720"/>
          <w:noEndnote/>
        </w:sectPr>
      </w:pPr>
    </w:p>
    <w:p w14:paraId="02ADAA06" w14:textId="77777777" w:rsidR="004E2F51" w:rsidRPr="006059EC" w:rsidRDefault="004E2F51" w:rsidP="004E2F51">
      <w:pPr>
        <w:pStyle w:val="T1"/>
        <w:spacing w:before="0" w:after="0" w:line="240" w:lineRule="auto"/>
        <w:ind w:left="709" w:hanging="709"/>
        <w:rPr>
          <w:rFonts w:cs="Arial"/>
          <w:color w:val="000000" w:themeColor="text1"/>
          <w:spacing w:val="-3"/>
          <w:sz w:val="20"/>
          <w:lang w:val="hr-HR"/>
        </w:rPr>
      </w:pPr>
    </w:p>
    <w:p w14:paraId="5B6050A4" w14:textId="77777777" w:rsidR="004E2F51" w:rsidRPr="006059EC" w:rsidRDefault="004E2F51" w:rsidP="004E2F51">
      <w:pPr>
        <w:keepNext/>
        <w:tabs>
          <w:tab w:val="left" w:pos="567"/>
        </w:tabs>
        <w:jc w:val="both"/>
        <w:rPr>
          <w:rFonts w:ascii="Arial" w:hAnsi="Arial" w:cs="Arial"/>
          <w:b/>
          <w:bCs/>
          <w:color w:val="000000" w:themeColor="text1"/>
          <w:spacing w:val="-3"/>
          <w:sz w:val="20"/>
          <w:szCs w:val="20"/>
          <w:lang w:val="hr-HR"/>
        </w:rPr>
      </w:pPr>
      <w:r w:rsidRPr="006059EC">
        <w:rPr>
          <w:rFonts w:ascii="Arial" w:hAnsi="Arial" w:cs="Arial"/>
          <w:b/>
          <w:bCs/>
          <w:color w:val="000000" w:themeColor="text1"/>
          <w:spacing w:val="-3"/>
          <w:sz w:val="20"/>
          <w:szCs w:val="20"/>
          <w:lang w:val="hr-HR"/>
        </w:rPr>
        <w:t>3</w:t>
      </w:r>
      <w:r>
        <w:rPr>
          <w:rFonts w:ascii="Arial" w:hAnsi="Arial" w:cs="Arial"/>
          <w:b/>
          <w:bCs/>
          <w:color w:val="000000" w:themeColor="text1"/>
          <w:spacing w:val="-3"/>
          <w:sz w:val="20"/>
          <w:szCs w:val="20"/>
          <w:lang w:val="hr-HR"/>
        </w:rPr>
        <w:t>2</w:t>
      </w:r>
      <w:r w:rsidRPr="006059EC">
        <w:rPr>
          <w:rFonts w:ascii="Arial" w:hAnsi="Arial" w:cs="Arial"/>
          <w:b/>
          <w:bCs/>
          <w:color w:val="000000" w:themeColor="text1"/>
          <w:spacing w:val="-3"/>
          <w:sz w:val="20"/>
          <w:szCs w:val="20"/>
          <w:lang w:val="hr-HR"/>
        </w:rPr>
        <w:t xml:space="preserve">. </w:t>
      </w:r>
      <w:r w:rsidRPr="006059EC">
        <w:rPr>
          <w:rFonts w:ascii="Arial" w:hAnsi="Arial" w:cs="Arial"/>
          <w:b/>
          <w:bCs/>
          <w:color w:val="000000" w:themeColor="text1"/>
          <w:spacing w:val="-3"/>
          <w:sz w:val="20"/>
          <w:szCs w:val="20"/>
          <w:lang w:val="hr-HR"/>
        </w:rPr>
        <w:tab/>
        <w:t>Fer vrijednost financijske imovine i financijskih obveza (nastavak)</w:t>
      </w:r>
    </w:p>
    <w:p w14:paraId="190280B8" w14:textId="77777777" w:rsidR="004E2F51" w:rsidRPr="006059EC" w:rsidRDefault="004E2F51" w:rsidP="004E2F51">
      <w:pPr>
        <w:rPr>
          <w:rFonts w:ascii="Arial" w:eastAsia="Calibri" w:hAnsi="Arial" w:cs="Arial"/>
          <w:b/>
          <w:color w:val="000000" w:themeColor="text1"/>
          <w:sz w:val="20"/>
          <w:szCs w:val="20"/>
          <w:lang w:val="hr-HR"/>
        </w:rPr>
      </w:pPr>
    </w:p>
    <w:p w14:paraId="1010D4DC" w14:textId="77777777" w:rsidR="004E2F51" w:rsidRPr="006059EC" w:rsidRDefault="004E2F51" w:rsidP="004E2F51">
      <w:pPr>
        <w:keepNext/>
        <w:ind w:left="708" w:hanging="708"/>
        <w:jc w:val="both"/>
        <w:rPr>
          <w:rFonts w:ascii="Arial" w:hAnsi="Arial" w:cs="Arial"/>
          <w:b/>
          <w:bCs/>
          <w:color w:val="000000" w:themeColor="text1"/>
          <w:spacing w:val="-3"/>
          <w:sz w:val="20"/>
          <w:szCs w:val="20"/>
          <w:lang w:val="hr-HR"/>
        </w:rPr>
      </w:pPr>
      <w:r w:rsidRPr="006059EC">
        <w:rPr>
          <w:rFonts w:ascii="Arial" w:hAnsi="Arial" w:cs="Arial"/>
          <w:b/>
          <w:bCs/>
          <w:color w:val="000000" w:themeColor="text1"/>
          <w:spacing w:val="-3"/>
          <w:sz w:val="20"/>
          <w:szCs w:val="20"/>
          <w:lang w:val="hr-HR"/>
        </w:rPr>
        <w:t>3</w:t>
      </w:r>
      <w:r>
        <w:rPr>
          <w:rFonts w:ascii="Arial" w:hAnsi="Arial" w:cs="Arial"/>
          <w:b/>
          <w:bCs/>
          <w:color w:val="000000" w:themeColor="text1"/>
          <w:spacing w:val="-3"/>
          <w:sz w:val="20"/>
          <w:szCs w:val="20"/>
          <w:lang w:val="hr-HR"/>
        </w:rPr>
        <w:t>2</w:t>
      </w:r>
      <w:r w:rsidRPr="006059EC">
        <w:rPr>
          <w:rFonts w:ascii="Arial" w:hAnsi="Arial" w:cs="Arial"/>
          <w:b/>
          <w:bCs/>
          <w:color w:val="000000" w:themeColor="text1"/>
          <w:spacing w:val="-3"/>
          <w:sz w:val="20"/>
          <w:szCs w:val="20"/>
          <w:lang w:val="hr-HR"/>
        </w:rPr>
        <w:t>.1.</w:t>
      </w:r>
      <w:r w:rsidRPr="006059EC">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70C2B05E" w14:textId="77777777" w:rsidR="004E2F51" w:rsidRPr="006059EC" w:rsidRDefault="004E2F51" w:rsidP="004E2F51">
      <w:pPr>
        <w:rPr>
          <w:rFonts w:ascii="Arial" w:eastAsia="Calibri" w:hAnsi="Arial" w:cs="Arial"/>
          <w:b/>
          <w:color w:val="000000" w:themeColor="text1"/>
          <w:sz w:val="20"/>
          <w:szCs w:val="20"/>
          <w:lang w:val="hr-HR"/>
        </w:rPr>
      </w:pPr>
    </w:p>
    <w:p w14:paraId="77F50C0B" w14:textId="77777777" w:rsidR="004E2F51" w:rsidRPr="006059EC" w:rsidRDefault="004E2F51" w:rsidP="004E2F51">
      <w:pPr>
        <w:rPr>
          <w:rFonts w:ascii="Arial" w:eastAsia="Calibri" w:hAnsi="Arial" w:cs="Arial"/>
          <w:b/>
          <w:color w:val="000000" w:themeColor="text1"/>
          <w:sz w:val="20"/>
          <w:szCs w:val="20"/>
          <w:lang w:val="hr-HR"/>
        </w:rPr>
      </w:pPr>
      <w:r w:rsidRPr="006059EC">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2</w:t>
      </w:r>
      <w:r w:rsidRPr="006059EC">
        <w:rPr>
          <w:rFonts w:ascii="Arial" w:eastAsia="Calibri" w:hAnsi="Arial" w:cs="Arial"/>
          <w:b/>
          <w:color w:val="000000" w:themeColor="text1"/>
          <w:sz w:val="20"/>
          <w:szCs w:val="20"/>
          <w:lang w:val="hr-HR"/>
        </w:rPr>
        <w:t xml:space="preserve">.1.1. </w:t>
      </w:r>
      <w:r w:rsidRPr="006059EC">
        <w:rPr>
          <w:rFonts w:ascii="Arial" w:eastAsia="Calibri" w:hAnsi="Arial" w:cs="Arial"/>
          <w:b/>
          <w:color w:val="000000" w:themeColor="text1"/>
          <w:sz w:val="20"/>
          <w:szCs w:val="20"/>
          <w:lang w:val="hr-HR"/>
        </w:rPr>
        <w:tab/>
        <w:t>Razina 3 - fer vrijednosti</w:t>
      </w:r>
    </w:p>
    <w:p w14:paraId="0EDBF29E" w14:textId="77777777" w:rsidR="004E2F51" w:rsidRPr="006059EC" w:rsidRDefault="004E2F51" w:rsidP="004E2F51">
      <w:pPr>
        <w:rPr>
          <w:rFonts w:ascii="Arial" w:eastAsia="Calibri" w:hAnsi="Arial" w:cs="Arial"/>
          <w:color w:val="000000" w:themeColor="text1"/>
          <w:sz w:val="20"/>
          <w:szCs w:val="20"/>
          <w:lang w:val="hr-HR"/>
        </w:rPr>
      </w:pPr>
    </w:p>
    <w:p w14:paraId="26F74B2D" w14:textId="77777777" w:rsidR="004E2F51" w:rsidRPr="006059EC" w:rsidRDefault="004E2F51" w:rsidP="004E2F51">
      <w:pPr>
        <w:rPr>
          <w:rFonts w:ascii="Arial" w:eastAsia="Calibri" w:hAnsi="Arial" w:cs="Arial"/>
          <w:b/>
          <w:i/>
          <w:color w:val="000000" w:themeColor="text1"/>
          <w:sz w:val="20"/>
          <w:szCs w:val="20"/>
          <w:lang w:val="hr-HR"/>
        </w:rPr>
      </w:pPr>
      <w:r w:rsidRPr="006059EC">
        <w:rPr>
          <w:rFonts w:ascii="Arial" w:eastAsia="Calibri" w:hAnsi="Arial" w:cs="Arial"/>
          <w:b/>
          <w:i/>
          <w:color w:val="000000" w:themeColor="text1"/>
          <w:sz w:val="20"/>
          <w:szCs w:val="20"/>
          <w:lang w:val="hr-HR"/>
        </w:rPr>
        <w:t>a)  Mezzanine krediti</w:t>
      </w:r>
    </w:p>
    <w:p w14:paraId="780BC487" w14:textId="77777777" w:rsidR="004E2F51" w:rsidRPr="006059EC" w:rsidRDefault="004E2F51" w:rsidP="004E2F51">
      <w:pPr>
        <w:rPr>
          <w:rFonts w:ascii="Arial" w:eastAsia="Calibri" w:hAnsi="Arial" w:cs="Arial"/>
          <w:b/>
          <w:i/>
          <w:color w:val="000000" w:themeColor="text1"/>
          <w:sz w:val="20"/>
          <w:szCs w:val="20"/>
          <w:lang w:val="hr-HR"/>
        </w:rPr>
      </w:pPr>
    </w:p>
    <w:p w14:paraId="767F5E4F" w14:textId="77777777" w:rsidR="004E2F51" w:rsidRPr="006059EC" w:rsidRDefault="004E2F51" w:rsidP="004E2F51">
      <w:pPr>
        <w:jc w:val="both"/>
        <w:rPr>
          <w:rFonts w:ascii="Arial" w:eastAsia="Calibri" w:hAnsi="Arial" w:cs="Arial"/>
          <w:color w:val="000000" w:themeColor="text1"/>
          <w:sz w:val="20"/>
          <w:szCs w:val="20"/>
          <w:lang w:val="hr-HR"/>
        </w:rPr>
      </w:pPr>
      <w:r w:rsidRPr="006059EC">
        <w:rPr>
          <w:rFonts w:ascii="Arial" w:eastAsia="Calibri" w:hAnsi="Arial" w:cs="Arial"/>
          <w:color w:val="000000" w:themeColor="text1"/>
          <w:sz w:val="20"/>
          <w:szCs w:val="20"/>
          <w:lang w:val="hr-HR"/>
        </w:rPr>
        <w:t>Za procjenu fer vrijednosti mezzanine kredita koristi se metoda diskontiranja očekivanih budućih novčanih tijekova.</w:t>
      </w:r>
    </w:p>
    <w:p w14:paraId="0F51F2DD" w14:textId="77777777" w:rsidR="004E2F51" w:rsidRPr="006059EC" w:rsidRDefault="004E2F51" w:rsidP="004E2F51">
      <w:pPr>
        <w:spacing w:after="120"/>
        <w:jc w:val="both"/>
        <w:rPr>
          <w:rFonts w:ascii="Arial" w:eastAsia="Calibri" w:hAnsi="Arial" w:cs="Arial"/>
          <w:color w:val="000000" w:themeColor="text1"/>
          <w:sz w:val="20"/>
          <w:szCs w:val="20"/>
          <w:lang w:val="hr-HR"/>
        </w:rPr>
      </w:pPr>
      <w:r w:rsidRPr="006059EC">
        <w:rPr>
          <w:rFonts w:ascii="Arial" w:eastAsia="Calibri" w:hAnsi="Arial" w:cs="Arial"/>
          <w:color w:val="000000" w:themeColor="text1"/>
          <w:sz w:val="20"/>
          <w:szCs w:val="20"/>
          <w:lang w:val="hr-HR"/>
        </w:rPr>
        <w:t>Mezzanine kreditni plasmani zbog svojih ugovornih karakteristika ne prolaze na SPPI testu. Karakteristike zbog kojih mezzanine krediti ne prolaze SPPI test su sljedeće:</w:t>
      </w:r>
    </w:p>
    <w:p w14:paraId="55DECCFE" w14:textId="77777777" w:rsidR="004E2F51" w:rsidRDefault="004E2F51">
      <w:pPr>
        <w:pStyle w:val="ListParagraph"/>
        <w:numPr>
          <w:ilvl w:val="0"/>
          <w:numId w:val="58"/>
        </w:numPr>
        <w:suppressAutoHyphens w:val="0"/>
        <w:autoSpaceDN/>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 xml:space="preserve">dužnik ima pravo prijevremeno otplatiti </w:t>
      </w:r>
      <w:r>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ezzanine dug vjerovniku</w:t>
      </w:r>
      <w:r>
        <w:rPr>
          <w:rFonts w:ascii="Arial" w:eastAsia="Calibri" w:hAnsi="Arial" w:cs="Arial"/>
          <w:color w:val="000000" w:themeColor="text1"/>
          <w:sz w:val="20"/>
          <w:szCs w:val="20"/>
          <w:lang w:val="hr-HR"/>
        </w:rPr>
        <w:t>,</w:t>
      </w:r>
    </w:p>
    <w:p w14:paraId="5F6B1BC4" w14:textId="77777777" w:rsidR="004E2F51" w:rsidRPr="006C5872" w:rsidRDefault="004E2F51">
      <w:pPr>
        <w:pStyle w:val="ListParagraph"/>
        <w:numPr>
          <w:ilvl w:val="0"/>
          <w:numId w:val="58"/>
        </w:numPr>
        <w:suppressAutoHyphens w:val="0"/>
        <w:autoSpaceDN/>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 xml:space="preserve">u slučaju ostvarenja ugovorom definiranih pokazatelja poslovanja dužnika (omjer neto duga dužnika i prosječnog iznosa EBITDA za prethodne tri godine mora biti niži od limita) tijekom unaprijed određenog razdoblja, vjerovnik </w:t>
      </w:r>
      <w:r>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ima pravo, ali ne i obvezu, konverzije </w:t>
      </w:r>
      <w:r>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ezzanine duga u „senior dug“</w:t>
      </w:r>
    </w:p>
    <w:p w14:paraId="2B1512D5" w14:textId="77777777" w:rsidR="004E2F51" w:rsidRPr="006C5872" w:rsidRDefault="004E2F51">
      <w:pPr>
        <w:pStyle w:val="ListParagraph"/>
        <w:numPr>
          <w:ilvl w:val="0"/>
          <w:numId w:val="58"/>
        </w:numPr>
        <w:suppressAutoHyphens w:val="0"/>
        <w:autoSpaceDN/>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 xml:space="preserve">vjerovnik </w:t>
      </w:r>
      <w:r>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ima pravo, ali ne i obvezu, zatražiti od dužnika da se dugovani iznos </w:t>
      </w:r>
      <w:r>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unese u temeljni kapital dužnika (povećanje temeljnog kapitala dužnika unosom prava-tražbine) </w:t>
      </w:r>
    </w:p>
    <w:p w14:paraId="62804D0B" w14:textId="77777777" w:rsidR="004E2F51" w:rsidRPr="006C5872" w:rsidRDefault="004E2F51">
      <w:pPr>
        <w:pStyle w:val="ListParagraph"/>
        <w:numPr>
          <w:ilvl w:val="0"/>
          <w:numId w:val="58"/>
        </w:numPr>
        <w:suppressAutoHyphens w:val="0"/>
        <w:autoSpaceDN/>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dužnik ima mogućnost zatvoriti dug refinanciranjem od strane drugog vjerovnika</w:t>
      </w:r>
    </w:p>
    <w:p w14:paraId="6F188CC3" w14:textId="77777777" w:rsidR="004E2F51" w:rsidRPr="006C5872" w:rsidRDefault="004E2F51">
      <w:pPr>
        <w:pStyle w:val="ListParagraph"/>
        <w:numPr>
          <w:ilvl w:val="0"/>
          <w:numId w:val="58"/>
        </w:numPr>
        <w:suppressAutoHyphens w:val="0"/>
        <w:autoSpaceDN/>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 xml:space="preserve">u slučaju da sve mogućnosti zatvaranja </w:t>
      </w:r>
      <w:r>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nisu provedene, zatvaranje </w:t>
      </w:r>
      <w:r>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ezzanine duga moguće je iz prodaje</w:t>
      </w:r>
      <w:r>
        <w:rPr>
          <w:rFonts w:ascii="Arial" w:eastAsia="Calibri" w:hAnsi="Arial" w:cs="Arial"/>
          <w:color w:val="000000" w:themeColor="text1"/>
          <w:sz w:val="20"/>
          <w:szCs w:val="20"/>
          <w:lang w:val="hr-HR"/>
        </w:rPr>
        <w:t xml:space="preserve"> imovine</w:t>
      </w:r>
      <w:r w:rsidRPr="006C5872">
        <w:rPr>
          <w:rFonts w:ascii="Arial" w:eastAsia="Calibri" w:hAnsi="Arial" w:cs="Arial"/>
          <w:color w:val="000000" w:themeColor="text1"/>
          <w:sz w:val="20"/>
          <w:szCs w:val="20"/>
          <w:lang w:val="hr-HR"/>
        </w:rPr>
        <w:t xml:space="preserve"> u vlasništvu dužnika i  </w:t>
      </w:r>
    </w:p>
    <w:p w14:paraId="1BDD1904" w14:textId="77777777" w:rsidR="004E2F51" w:rsidRPr="006C5872" w:rsidRDefault="004E2F51">
      <w:pPr>
        <w:pStyle w:val="ListParagraph"/>
        <w:numPr>
          <w:ilvl w:val="0"/>
          <w:numId w:val="58"/>
        </w:numPr>
        <w:suppressAutoHyphens w:val="0"/>
        <w:autoSpaceDN/>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 xml:space="preserve">u slučaju prijevremenog zatvaranja </w:t>
      </w:r>
      <w:r>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otplatom, refinanciranjem ili pretvaranjem </w:t>
      </w:r>
      <w:r>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u kapital, kamata na </w:t>
      </w:r>
      <w:r>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 obračunava se do dana prijevremenog zatvaranja </w:t>
      </w:r>
      <w:r>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 xml:space="preserve">ezzanine duga, odnosno dok </w:t>
      </w:r>
      <w:r>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ezzanine dug postoji u tom obliku</w:t>
      </w:r>
      <w:r>
        <w:rPr>
          <w:rFonts w:ascii="Arial" w:eastAsia="Calibri" w:hAnsi="Arial" w:cs="Arial"/>
          <w:color w:val="000000" w:themeColor="text1"/>
          <w:sz w:val="20"/>
          <w:szCs w:val="20"/>
          <w:lang w:val="hr-HR"/>
        </w:rPr>
        <w:t>.</w:t>
      </w:r>
    </w:p>
    <w:p w14:paraId="0C1571D1" w14:textId="77777777" w:rsidR="004E2F51" w:rsidRPr="006059EC" w:rsidRDefault="004E2F51" w:rsidP="004E2F51">
      <w:pPr>
        <w:pStyle w:val="ListParagraph"/>
        <w:jc w:val="both"/>
        <w:rPr>
          <w:rFonts w:ascii="Arial" w:eastAsia="Calibri" w:hAnsi="Arial" w:cs="Arial"/>
          <w:color w:val="000000" w:themeColor="text1"/>
          <w:sz w:val="20"/>
          <w:szCs w:val="20"/>
          <w:lang w:val="hr-HR"/>
        </w:rPr>
      </w:pPr>
    </w:p>
    <w:p w14:paraId="2DBC1DB8" w14:textId="77777777" w:rsidR="004E2F51" w:rsidRDefault="004E2F51" w:rsidP="004E2F51">
      <w:pPr>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Zbog navedenih karakteristika mezzanine kredita procjena fer vrijednosti ovih kredita obavljena je uz uvažavanje načela opreznosti, prema kojem se prihodi priznaju samo onda kad su stvarno nastali, a rashodi i onda kada su mogući, uz pretpostavku nastavka redovnog poslovanja dužnika u budućnosti. Navedeno predstavlja situaciju u kojoj bi Grupa po konačnom dospijeću mezzanine kredita svoja potraživanja konvertirala u temeljni kapital dužnika.</w:t>
      </w:r>
    </w:p>
    <w:p w14:paraId="24CCD790" w14:textId="77777777" w:rsidR="004E2F51" w:rsidRPr="006059EC" w:rsidRDefault="004E2F51" w:rsidP="004E2F51">
      <w:pPr>
        <w:jc w:val="both"/>
        <w:rPr>
          <w:rFonts w:ascii="Arial" w:eastAsia="Calibri" w:hAnsi="Arial" w:cs="Arial"/>
          <w:color w:val="000000" w:themeColor="text1"/>
          <w:sz w:val="20"/>
          <w:szCs w:val="20"/>
          <w:highlight w:val="yellow"/>
          <w:lang w:val="hr-HR"/>
        </w:rPr>
      </w:pPr>
    </w:p>
    <w:p w14:paraId="6176803C" w14:textId="77777777" w:rsidR="004E2F51" w:rsidRDefault="004E2F51" w:rsidP="004E2F51">
      <w:pPr>
        <w:jc w:val="both"/>
        <w:rPr>
          <w:rFonts w:ascii="Arial" w:eastAsia="Calibri" w:hAnsi="Arial" w:cs="Arial"/>
          <w:color w:val="000000" w:themeColor="text1"/>
          <w:sz w:val="20"/>
          <w:szCs w:val="20"/>
          <w:lang w:val="hr-HR"/>
        </w:rPr>
      </w:pPr>
      <w:r w:rsidRPr="006C5872">
        <w:rPr>
          <w:rFonts w:ascii="Arial" w:eastAsia="Calibri" w:hAnsi="Arial" w:cs="Arial"/>
          <w:color w:val="000000" w:themeColor="text1"/>
          <w:sz w:val="20"/>
          <w:szCs w:val="20"/>
          <w:lang w:val="hr-HR"/>
        </w:rPr>
        <w:t>Dana 31. prosinca 2022. tržišna cijena redovnih dionica dužnika koje bi Banka mogla upisati iznosila je 22.</w:t>
      </w:r>
      <w:r>
        <w:rPr>
          <w:rFonts w:ascii="Arial" w:eastAsia="Calibri" w:hAnsi="Arial" w:cs="Arial"/>
          <w:color w:val="000000" w:themeColor="text1"/>
          <w:sz w:val="20"/>
          <w:szCs w:val="20"/>
          <w:lang w:val="hr-HR"/>
        </w:rPr>
        <w:t>831</w:t>
      </w:r>
      <w:r w:rsidRPr="006C5872">
        <w:rPr>
          <w:rFonts w:ascii="Arial" w:eastAsia="Calibri" w:hAnsi="Arial" w:cs="Arial"/>
          <w:color w:val="000000" w:themeColor="text1"/>
          <w:sz w:val="20"/>
          <w:szCs w:val="20"/>
          <w:lang w:val="hr-HR"/>
        </w:rPr>
        <w:t xml:space="preserve"> tisuć</w:t>
      </w:r>
      <w:r>
        <w:rPr>
          <w:rFonts w:ascii="Arial" w:eastAsia="Calibri" w:hAnsi="Arial" w:cs="Arial"/>
          <w:color w:val="000000" w:themeColor="text1"/>
          <w:sz w:val="20"/>
          <w:szCs w:val="20"/>
          <w:lang w:val="hr-HR"/>
        </w:rPr>
        <w:t>a</w:t>
      </w:r>
      <w:r w:rsidRPr="006C5872">
        <w:rPr>
          <w:rFonts w:ascii="Arial" w:eastAsia="Calibri" w:hAnsi="Arial" w:cs="Arial"/>
          <w:color w:val="000000" w:themeColor="text1"/>
          <w:sz w:val="20"/>
          <w:szCs w:val="20"/>
          <w:lang w:val="hr-HR"/>
        </w:rPr>
        <w:t xml:space="preserve"> kuna uz pretpostavku da su u tržišnu cijenu dionica uključena sva tržišna očekivanja vezana uz buduće poslovanje izdavatelja. Obzirom da je izračun napravljen pod pretpostavkom konverzije </w:t>
      </w:r>
      <w:r>
        <w:rPr>
          <w:rFonts w:ascii="Arial" w:eastAsia="Calibri" w:hAnsi="Arial" w:cs="Arial"/>
          <w:color w:val="000000" w:themeColor="text1"/>
          <w:sz w:val="20"/>
          <w:szCs w:val="20"/>
          <w:lang w:val="hr-HR"/>
        </w:rPr>
        <w:t>m</w:t>
      </w:r>
      <w:r w:rsidRPr="006C5872">
        <w:rPr>
          <w:rFonts w:ascii="Arial" w:eastAsia="Calibri" w:hAnsi="Arial" w:cs="Arial"/>
          <w:color w:val="000000" w:themeColor="text1"/>
          <w:sz w:val="20"/>
          <w:szCs w:val="20"/>
          <w:lang w:val="hr-HR"/>
        </w:rPr>
        <w:t>ezzanine duga dužnika u temeljni kapita</w:t>
      </w:r>
      <w:r w:rsidRPr="0024722B">
        <w:rPr>
          <w:rFonts w:ascii="Arial" w:eastAsia="Calibri" w:hAnsi="Arial" w:cs="Arial"/>
          <w:color w:val="000000" w:themeColor="text1"/>
          <w:sz w:val="20"/>
          <w:szCs w:val="20"/>
          <w:lang w:val="hr-HR"/>
        </w:rPr>
        <w:t>l dužnika s danom 31. prosinca 2022., tržišnu vrijednost redovnih dionica dužnika koje bi Banka mogla upisati nije potrebno diskontirati te na ovaj način namirenja procijenjena fer vrijednost mezzanine kredita na dan 31. prosinca 2022. iznosi 22.831 tisuća kuna tj. 3.232 tisuće USD po tečaju na dan 31. prosinca 2022.</w:t>
      </w:r>
    </w:p>
    <w:p w14:paraId="1A225E3B" w14:textId="77777777" w:rsidR="004E2F51" w:rsidRDefault="004E2F51" w:rsidP="004E2F51">
      <w:pPr>
        <w:jc w:val="both"/>
        <w:rPr>
          <w:rFonts w:ascii="Arial" w:eastAsia="Calibri" w:hAnsi="Arial" w:cs="Arial"/>
          <w:color w:val="000000" w:themeColor="text1"/>
          <w:sz w:val="20"/>
          <w:szCs w:val="20"/>
          <w:lang w:val="hr-HR"/>
        </w:rPr>
      </w:pPr>
    </w:p>
    <w:p w14:paraId="3385CE82" w14:textId="77777777" w:rsidR="004E2F51" w:rsidRPr="006C5872" w:rsidRDefault="004E2F51" w:rsidP="004E2F51">
      <w:pPr>
        <w:jc w:val="both"/>
        <w:rPr>
          <w:rFonts w:ascii="Arial" w:eastAsia="Calibri" w:hAnsi="Arial" w:cs="Arial"/>
          <w:color w:val="000000" w:themeColor="text1"/>
          <w:sz w:val="20"/>
          <w:szCs w:val="20"/>
          <w:lang w:val="hr-HR"/>
        </w:rPr>
      </w:pPr>
      <w:r w:rsidRPr="00233516">
        <w:rPr>
          <w:rFonts w:ascii="Arial" w:eastAsia="Calibri" w:hAnsi="Arial" w:cs="Arial"/>
          <w:color w:val="000000" w:themeColor="text1"/>
          <w:sz w:val="20"/>
          <w:szCs w:val="20"/>
          <w:lang w:val="hr-HR"/>
        </w:rPr>
        <w:t>Temeljem Rješenja u predstečajnom postupku, HBOR preuzeo 50% tražbina dužnika kao senior dug i 50% tražbina kao mezzanine dug. Mezzanine dug je iskazan u visini od 22.831 tisuća kuna.</w:t>
      </w:r>
    </w:p>
    <w:p w14:paraId="2F50193C" w14:textId="77777777" w:rsidR="004E2F51" w:rsidRPr="006C5872" w:rsidRDefault="004E2F51" w:rsidP="004E2F51">
      <w:pPr>
        <w:jc w:val="both"/>
        <w:rPr>
          <w:rFonts w:ascii="Arial" w:eastAsia="Calibri" w:hAnsi="Arial" w:cs="Arial"/>
          <w:color w:val="000000" w:themeColor="text1"/>
          <w:sz w:val="20"/>
          <w:szCs w:val="20"/>
          <w:lang w:val="hr-HR"/>
        </w:rPr>
      </w:pPr>
    </w:p>
    <w:p w14:paraId="2EE4DBA1" w14:textId="77777777" w:rsidR="004E2F51" w:rsidRPr="006059EC" w:rsidRDefault="004E2F51" w:rsidP="004E2F51">
      <w:pPr>
        <w:rPr>
          <w:rFonts w:ascii="Arial" w:eastAsia="Calibri" w:hAnsi="Arial" w:cs="Arial"/>
          <w:color w:val="000000" w:themeColor="text1"/>
          <w:sz w:val="20"/>
          <w:szCs w:val="20"/>
          <w:lang w:val="hr-HR"/>
        </w:rPr>
      </w:pPr>
    </w:p>
    <w:p w14:paraId="1CCA783F" w14:textId="77777777" w:rsidR="004E2F51" w:rsidRPr="006059EC" w:rsidRDefault="004E2F51" w:rsidP="004E2F51">
      <w:pPr>
        <w:tabs>
          <w:tab w:val="left" w:pos="284"/>
        </w:tabs>
        <w:rPr>
          <w:rFonts w:ascii="Arial" w:eastAsia="Calibri" w:hAnsi="Arial" w:cs="Arial"/>
          <w:b/>
          <w:i/>
          <w:color w:val="000000" w:themeColor="text1"/>
          <w:sz w:val="20"/>
          <w:szCs w:val="20"/>
          <w:lang w:val="hr-HR"/>
        </w:rPr>
      </w:pPr>
      <w:r w:rsidRPr="006059EC">
        <w:rPr>
          <w:rFonts w:ascii="Arial" w:eastAsia="Calibri" w:hAnsi="Arial" w:cs="Arial"/>
          <w:b/>
          <w:i/>
          <w:color w:val="000000" w:themeColor="text1"/>
          <w:sz w:val="20"/>
          <w:szCs w:val="20"/>
          <w:lang w:val="hr-HR"/>
        </w:rPr>
        <w:t xml:space="preserve">b) </w:t>
      </w:r>
      <w:r w:rsidRPr="006059EC">
        <w:rPr>
          <w:rFonts w:ascii="Arial" w:eastAsia="Calibri" w:hAnsi="Arial" w:cs="Arial"/>
          <w:b/>
          <w:i/>
          <w:color w:val="000000" w:themeColor="text1"/>
          <w:sz w:val="20"/>
          <w:szCs w:val="20"/>
          <w:lang w:val="hr-HR"/>
        </w:rPr>
        <w:tab/>
        <w:t>Korporativne obveznice koje su raspoređene u razinu 3</w:t>
      </w:r>
    </w:p>
    <w:p w14:paraId="1E73CAAD" w14:textId="77777777" w:rsidR="004E2F51" w:rsidRPr="006059EC" w:rsidRDefault="004E2F51" w:rsidP="004E2F51">
      <w:pPr>
        <w:rPr>
          <w:rFonts w:ascii="Arial" w:eastAsia="Calibri" w:hAnsi="Arial" w:cs="Arial"/>
          <w:b/>
          <w:i/>
          <w:color w:val="000000" w:themeColor="text1"/>
          <w:sz w:val="20"/>
          <w:szCs w:val="20"/>
          <w:lang w:val="hr-HR"/>
        </w:rPr>
      </w:pPr>
    </w:p>
    <w:p w14:paraId="5B3314C1" w14:textId="77777777" w:rsidR="004E2F51" w:rsidRPr="006059EC" w:rsidRDefault="004E2F51" w:rsidP="004E2F51">
      <w:pPr>
        <w:rPr>
          <w:rFonts w:ascii="Arial" w:eastAsia="Calibri" w:hAnsi="Arial" w:cs="Arial"/>
          <w:i/>
          <w:color w:val="000000" w:themeColor="text1"/>
          <w:sz w:val="20"/>
          <w:szCs w:val="20"/>
          <w:lang w:val="hr-HR"/>
        </w:rPr>
      </w:pPr>
      <w:r w:rsidRPr="006059EC">
        <w:rPr>
          <w:rFonts w:ascii="Arial" w:eastAsia="Calibri" w:hAnsi="Arial" w:cs="Arial"/>
          <w:i/>
          <w:color w:val="000000" w:themeColor="text1"/>
          <w:sz w:val="20"/>
          <w:szCs w:val="20"/>
          <w:lang w:val="hr-HR"/>
        </w:rPr>
        <w:t>(i) Tehnike vrednovanja i značajni ulazni podaci koji nisu vidljivi</w:t>
      </w:r>
    </w:p>
    <w:p w14:paraId="51B01C02" w14:textId="77777777" w:rsidR="004E2F51" w:rsidRPr="006059EC" w:rsidRDefault="004E2F51" w:rsidP="004E2F51">
      <w:pPr>
        <w:jc w:val="both"/>
        <w:rPr>
          <w:rFonts w:ascii="Arial" w:eastAsia="Calibri" w:hAnsi="Arial" w:cs="Arial"/>
          <w:b/>
          <w:i/>
          <w:color w:val="000000" w:themeColor="text1"/>
          <w:sz w:val="20"/>
          <w:szCs w:val="20"/>
          <w:lang w:val="hr-HR"/>
        </w:rPr>
      </w:pPr>
    </w:p>
    <w:p w14:paraId="6C2F6824" w14:textId="77777777" w:rsidR="004E2F51" w:rsidRPr="006059EC" w:rsidRDefault="004E2F51" w:rsidP="004E2F51">
      <w:pPr>
        <w:jc w:val="both"/>
        <w:rPr>
          <w:rFonts w:ascii="Arial" w:eastAsia="Calibri" w:hAnsi="Arial" w:cs="Arial"/>
          <w:color w:val="000000" w:themeColor="text1"/>
          <w:sz w:val="20"/>
          <w:szCs w:val="20"/>
          <w:lang w:val="hr-HR"/>
        </w:rPr>
      </w:pPr>
      <w:r w:rsidRPr="006059EC">
        <w:rPr>
          <w:rFonts w:ascii="Arial" w:eastAsia="Calibri" w:hAnsi="Arial" w:cs="Arial"/>
          <w:color w:val="000000" w:themeColor="text1"/>
          <w:sz w:val="20"/>
          <w:szCs w:val="20"/>
          <w:lang w:val="hr-HR"/>
        </w:rPr>
        <w:t xml:space="preserve">Za procjenu fer vrijednosti nelikvidnih korporativnih obveznica u portfelju HBOR-a koristi se metoda diskontiranog novčanog tijeka obveznice. Fer vrijednost obveznica je sadašnja vrijednost svih budućih novčanih tijekova obveznica izračunata primjenom diskontne stope definirane kao prinos na nerizična ulaganja uvećan za premiju specifičnog kreditnog rizika za promatranu obveznicu i premiju rizika likvidnosti obveznice. </w:t>
      </w:r>
    </w:p>
    <w:p w14:paraId="71BB3119" w14:textId="77777777" w:rsidR="004E2F51" w:rsidRPr="006059EC" w:rsidRDefault="004E2F51" w:rsidP="004E2F51">
      <w:pPr>
        <w:jc w:val="both"/>
        <w:rPr>
          <w:rFonts w:ascii="Arial" w:eastAsia="Calibri" w:hAnsi="Arial" w:cs="Arial"/>
          <w:color w:val="000000" w:themeColor="text1"/>
          <w:sz w:val="20"/>
          <w:szCs w:val="20"/>
          <w:lang w:val="hr-HR"/>
        </w:rPr>
      </w:pPr>
    </w:p>
    <w:p w14:paraId="35578E62" w14:textId="77777777" w:rsidR="004E2F51" w:rsidRPr="006059EC" w:rsidRDefault="004E2F51" w:rsidP="004E2F51">
      <w:pPr>
        <w:jc w:val="both"/>
        <w:rPr>
          <w:rFonts w:ascii="Arial" w:eastAsia="Calibri" w:hAnsi="Arial" w:cs="Arial"/>
          <w:color w:val="000000" w:themeColor="text1"/>
          <w:sz w:val="20"/>
          <w:szCs w:val="20"/>
          <w:lang w:val="hr-HR"/>
        </w:rPr>
        <w:sectPr w:rsidR="004E2F51" w:rsidRPr="006059EC" w:rsidSect="00623DBA">
          <w:footerReference w:type="default" r:id="rId224"/>
          <w:pgSz w:w="11907" w:h="16840" w:code="9"/>
          <w:pgMar w:top="1418" w:right="1134" w:bottom="1134" w:left="1418" w:header="851" w:footer="851" w:gutter="0"/>
          <w:cols w:space="720"/>
          <w:noEndnote/>
        </w:sectPr>
      </w:pPr>
    </w:p>
    <w:p w14:paraId="7AFE1AA4" w14:textId="77777777" w:rsidR="004E2F51" w:rsidRPr="006059EC" w:rsidRDefault="004E2F51" w:rsidP="004E2F51">
      <w:pPr>
        <w:jc w:val="both"/>
        <w:rPr>
          <w:rFonts w:ascii="Arial" w:eastAsia="Calibri" w:hAnsi="Arial" w:cs="Arial"/>
          <w:color w:val="000000" w:themeColor="text1"/>
          <w:sz w:val="20"/>
          <w:szCs w:val="20"/>
          <w:lang w:val="hr-HR"/>
        </w:rPr>
      </w:pPr>
    </w:p>
    <w:p w14:paraId="01510C01" w14:textId="77777777" w:rsidR="004E2F51" w:rsidRPr="006059EC" w:rsidRDefault="004E2F51" w:rsidP="004E2F51">
      <w:pPr>
        <w:keepNext/>
        <w:tabs>
          <w:tab w:val="left" w:pos="567"/>
        </w:tabs>
        <w:jc w:val="both"/>
        <w:rPr>
          <w:rFonts w:ascii="Arial" w:hAnsi="Arial" w:cs="Arial"/>
          <w:b/>
          <w:bCs/>
          <w:color w:val="000000" w:themeColor="text1"/>
          <w:spacing w:val="-3"/>
          <w:sz w:val="20"/>
          <w:szCs w:val="20"/>
          <w:lang w:val="hr-HR"/>
        </w:rPr>
      </w:pPr>
      <w:r w:rsidRPr="006059EC">
        <w:rPr>
          <w:rFonts w:ascii="Arial" w:hAnsi="Arial" w:cs="Arial"/>
          <w:b/>
          <w:bCs/>
          <w:color w:val="000000" w:themeColor="text1"/>
          <w:spacing w:val="-3"/>
          <w:sz w:val="20"/>
          <w:szCs w:val="20"/>
          <w:lang w:val="hr-HR"/>
        </w:rPr>
        <w:t>3</w:t>
      </w:r>
      <w:r>
        <w:rPr>
          <w:rFonts w:ascii="Arial" w:hAnsi="Arial" w:cs="Arial"/>
          <w:b/>
          <w:bCs/>
          <w:color w:val="000000" w:themeColor="text1"/>
          <w:spacing w:val="-3"/>
          <w:sz w:val="20"/>
          <w:szCs w:val="20"/>
          <w:lang w:val="hr-HR"/>
        </w:rPr>
        <w:t>2</w:t>
      </w:r>
      <w:r w:rsidRPr="006059EC">
        <w:rPr>
          <w:rFonts w:ascii="Arial" w:hAnsi="Arial" w:cs="Arial"/>
          <w:b/>
          <w:bCs/>
          <w:color w:val="000000" w:themeColor="text1"/>
          <w:spacing w:val="-3"/>
          <w:sz w:val="20"/>
          <w:szCs w:val="20"/>
          <w:lang w:val="hr-HR"/>
        </w:rPr>
        <w:t xml:space="preserve">. </w:t>
      </w:r>
      <w:r w:rsidRPr="006059EC">
        <w:rPr>
          <w:rFonts w:ascii="Arial" w:hAnsi="Arial" w:cs="Arial"/>
          <w:b/>
          <w:bCs/>
          <w:color w:val="000000" w:themeColor="text1"/>
          <w:spacing w:val="-3"/>
          <w:sz w:val="20"/>
          <w:szCs w:val="20"/>
          <w:lang w:val="hr-HR"/>
        </w:rPr>
        <w:tab/>
        <w:t>Fer vrijednost financijske imovine i financijskih obveza (nastavak)</w:t>
      </w:r>
    </w:p>
    <w:p w14:paraId="1D4630BF" w14:textId="77777777" w:rsidR="004E2F51" w:rsidRPr="006059EC" w:rsidRDefault="004E2F51" w:rsidP="004E2F51">
      <w:pPr>
        <w:keepNext/>
        <w:ind w:left="1428"/>
        <w:contextualSpacing/>
        <w:jc w:val="both"/>
        <w:rPr>
          <w:rFonts w:ascii="Arial" w:hAnsi="Arial" w:cs="Arial"/>
          <w:b/>
          <w:bCs/>
          <w:color w:val="000000" w:themeColor="text1"/>
          <w:spacing w:val="-3"/>
          <w:sz w:val="20"/>
          <w:szCs w:val="20"/>
          <w:lang w:val="hr-HR"/>
        </w:rPr>
      </w:pPr>
    </w:p>
    <w:p w14:paraId="28C8D393" w14:textId="77777777" w:rsidR="004E2F51" w:rsidRPr="006059EC" w:rsidRDefault="004E2F51" w:rsidP="004E2F51">
      <w:pPr>
        <w:keepNext/>
        <w:ind w:left="567" w:hanging="567"/>
        <w:jc w:val="both"/>
        <w:rPr>
          <w:rFonts w:ascii="Arial" w:hAnsi="Arial" w:cs="Arial"/>
          <w:b/>
          <w:bCs/>
          <w:color w:val="000000" w:themeColor="text1"/>
          <w:spacing w:val="-3"/>
          <w:sz w:val="20"/>
          <w:szCs w:val="20"/>
          <w:lang w:val="hr-HR"/>
        </w:rPr>
      </w:pPr>
      <w:r w:rsidRPr="006059EC">
        <w:rPr>
          <w:rFonts w:ascii="Arial" w:hAnsi="Arial" w:cs="Arial"/>
          <w:b/>
          <w:bCs/>
          <w:color w:val="000000" w:themeColor="text1"/>
          <w:spacing w:val="-3"/>
          <w:sz w:val="20"/>
          <w:szCs w:val="20"/>
          <w:lang w:val="hr-HR"/>
        </w:rPr>
        <w:t>3</w:t>
      </w:r>
      <w:r>
        <w:rPr>
          <w:rFonts w:ascii="Arial" w:hAnsi="Arial" w:cs="Arial"/>
          <w:b/>
          <w:bCs/>
          <w:color w:val="000000" w:themeColor="text1"/>
          <w:spacing w:val="-3"/>
          <w:sz w:val="20"/>
          <w:szCs w:val="20"/>
          <w:lang w:val="hr-HR"/>
        </w:rPr>
        <w:t>2</w:t>
      </w:r>
      <w:r w:rsidRPr="006059EC">
        <w:rPr>
          <w:rFonts w:ascii="Arial" w:hAnsi="Arial" w:cs="Arial"/>
          <w:b/>
          <w:bCs/>
          <w:color w:val="000000" w:themeColor="text1"/>
          <w:spacing w:val="-3"/>
          <w:sz w:val="20"/>
          <w:szCs w:val="20"/>
          <w:lang w:val="hr-HR"/>
        </w:rPr>
        <w:t>.1.</w:t>
      </w:r>
      <w:r w:rsidRPr="006059EC">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3B69789F" w14:textId="77777777" w:rsidR="004E2F51" w:rsidRPr="006059EC" w:rsidRDefault="004E2F51" w:rsidP="004E2F51">
      <w:pPr>
        <w:keepNext/>
        <w:tabs>
          <w:tab w:val="left" w:pos="567"/>
        </w:tabs>
        <w:ind w:left="1428"/>
        <w:contextualSpacing/>
        <w:jc w:val="both"/>
        <w:rPr>
          <w:rFonts w:ascii="Arial" w:hAnsi="Arial" w:cs="Arial"/>
          <w:b/>
          <w:bCs/>
          <w:color w:val="000000" w:themeColor="text1"/>
          <w:spacing w:val="-3"/>
          <w:sz w:val="20"/>
          <w:szCs w:val="20"/>
          <w:lang w:val="hr-HR"/>
        </w:rPr>
      </w:pPr>
    </w:p>
    <w:p w14:paraId="58452F29" w14:textId="77777777" w:rsidR="004E2F51" w:rsidRPr="006059EC" w:rsidRDefault="004E2F51" w:rsidP="004E2F51">
      <w:pPr>
        <w:rPr>
          <w:rFonts w:ascii="Arial" w:eastAsia="Calibri" w:hAnsi="Arial" w:cs="Arial"/>
          <w:b/>
          <w:color w:val="000000" w:themeColor="text1"/>
          <w:sz w:val="20"/>
          <w:szCs w:val="20"/>
          <w:lang w:val="hr-HR"/>
        </w:rPr>
      </w:pPr>
      <w:r w:rsidRPr="006059EC">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2</w:t>
      </w:r>
      <w:r w:rsidRPr="006059EC">
        <w:rPr>
          <w:rFonts w:ascii="Arial" w:eastAsia="Calibri" w:hAnsi="Arial" w:cs="Arial"/>
          <w:b/>
          <w:color w:val="000000" w:themeColor="text1"/>
          <w:sz w:val="20"/>
          <w:szCs w:val="20"/>
          <w:lang w:val="hr-HR"/>
        </w:rPr>
        <w:t xml:space="preserve">.1.1. </w:t>
      </w:r>
      <w:r w:rsidRPr="006059EC">
        <w:rPr>
          <w:rFonts w:ascii="Arial" w:eastAsia="Calibri" w:hAnsi="Arial" w:cs="Arial"/>
          <w:b/>
          <w:color w:val="000000" w:themeColor="text1"/>
          <w:sz w:val="20"/>
          <w:szCs w:val="20"/>
          <w:lang w:val="hr-HR"/>
        </w:rPr>
        <w:tab/>
        <w:t>Razina 3 - fer vrijednosti (nastavak)</w:t>
      </w:r>
    </w:p>
    <w:p w14:paraId="712F0D4F" w14:textId="77777777" w:rsidR="004E2F51" w:rsidRPr="006059EC" w:rsidRDefault="004E2F51" w:rsidP="004E2F51">
      <w:pPr>
        <w:rPr>
          <w:rFonts w:ascii="Arial" w:eastAsia="Calibri" w:hAnsi="Arial" w:cs="Arial"/>
          <w:b/>
          <w:i/>
          <w:color w:val="000000" w:themeColor="text1"/>
          <w:sz w:val="20"/>
          <w:szCs w:val="20"/>
          <w:lang w:val="hr-HR"/>
        </w:rPr>
      </w:pPr>
    </w:p>
    <w:p w14:paraId="351E929A" w14:textId="77777777" w:rsidR="004E2F51" w:rsidRPr="006059EC" w:rsidRDefault="004E2F51" w:rsidP="004E2F51">
      <w:pPr>
        <w:tabs>
          <w:tab w:val="left" w:pos="284"/>
        </w:tabs>
        <w:rPr>
          <w:rFonts w:ascii="Arial" w:eastAsia="Calibri" w:hAnsi="Arial" w:cs="Arial"/>
          <w:b/>
          <w:i/>
          <w:color w:val="000000" w:themeColor="text1"/>
          <w:sz w:val="20"/>
          <w:szCs w:val="20"/>
          <w:lang w:val="hr-HR"/>
        </w:rPr>
      </w:pPr>
      <w:r w:rsidRPr="006059EC">
        <w:rPr>
          <w:rFonts w:ascii="Arial" w:eastAsia="Calibri" w:hAnsi="Arial" w:cs="Arial"/>
          <w:b/>
          <w:i/>
          <w:color w:val="000000" w:themeColor="text1"/>
          <w:sz w:val="20"/>
          <w:szCs w:val="20"/>
          <w:lang w:val="hr-HR"/>
        </w:rPr>
        <w:t xml:space="preserve">b) </w:t>
      </w:r>
      <w:r w:rsidRPr="006059EC">
        <w:rPr>
          <w:rFonts w:ascii="Arial" w:eastAsia="Calibri" w:hAnsi="Arial" w:cs="Arial"/>
          <w:b/>
          <w:i/>
          <w:color w:val="000000" w:themeColor="text1"/>
          <w:sz w:val="20"/>
          <w:szCs w:val="20"/>
          <w:lang w:val="hr-HR"/>
        </w:rPr>
        <w:tab/>
        <w:t>Korporativne obveznice koje su raspoređene u razinu 3 (nastavak)</w:t>
      </w:r>
    </w:p>
    <w:p w14:paraId="70EADE02" w14:textId="77777777" w:rsidR="004E2F51" w:rsidRPr="006059EC" w:rsidRDefault="004E2F51" w:rsidP="004E2F51">
      <w:pPr>
        <w:rPr>
          <w:rFonts w:ascii="Arial" w:eastAsia="Calibri" w:hAnsi="Arial" w:cs="Arial"/>
          <w:b/>
          <w:i/>
          <w:color w:val="000000" w:themeColor="text1"/>
          <w:sz w:val="20"/>
          <w:szCs w:val="20"/>
          <w:lang w:val="hr-HR"/>
        </w:rPr>
      </w:pPr>
    </w:p>
    <w:p w14:paraId="7D53D82D" w14:textId="77777777" w:rsidR="004E2F51" w:rsidRPr="006059EC" w:rsidRDefault="004E2F51" w:rsidP="004E2F51">
      <w:pPr>
        <w:rPr>
          <w:rFonts w:ascii="Arial" w:eastAsia="Calibri" w:hAnsi="Arial" w:cs="Arial"/>
          <w:i/>
          <w:color w:val="000000" w:themeColor="text1"/>
          <w:sz w:val="20"/>
          <w:szCs w:val="20"/>
          <w:lang w:val="hr-HR"/>
        </w:rPr>
      </w:pPr>
      <w:r w:rsidRPr="006059EC">
        <w:rPr>
          <w:rFonts w:ascii="Arial" w:eastAsia="Calibri" w:hAnsi="Arial" w:cs="Arial"/>
          <w:i/>
          <w:color w:val="000000" w:themeColor="text1"/>
          <w:sz w:val="20"/>
          <w:szCs w:val="20"/>
          <w:lang w:val="hr-HR"/>
        </w:rPr>
        <w:t>(i) Tehnike vrednovanja i značajni ulazni podaci koji nisu vidljivi (nastavak)</w:t>
      </w:r>
    </w:p>
    <w:p w14:paraId="14993474" w14:textId="77777777" w:rsidR="004E2F51" w:rsidRDefault="004E2F51" w:rsidP="004E2F51">
      <w:pPr>
        <w:jc w:val="both"/>
        <w:rPr>
          <w:rFonts w:ascii="Arial" w:eastAsia="Calibri" w:hAnsi="Arial" w:cs="Arial"/>
          <w:color w:val="000000" w:themeColor="text1"/>
          <w:sz w:val="20"/>
          <w:szCs w:val="20"/>
          <w:lang w:val="hr-HR"/>
        </w:rPr>
      </w:pPr>
    </w:p>
    <w:p w14:paraId="547E1497" w14:textId="77777777" w:rsidR="004E2F51" w:rsidRDefault="004E2F51" w:rsidP="004E2F51">
      <w:pPr>
        <w:jc w:val="both"/>
        <w:rPr>
          <w:rFonts w:ascii="Arial" w:eastAsia="Calibri" w:hAnsi="Arial" w:cs="Arial"/>
          <w:color w:val="000000" w:themeColor="text1"/>
          <w:sz w:val="20"/>
          <w:szCs w:val="20"/>
          <w:lang w:val="hr-HR"/>
        </w:rPr>
      </w:pPr>
      <w:r w:rsidRPr="001255CB">
        <w:rPr>
          <w:rFonts w:ascii="Arial" w:eastAsia="Calibri" w:hAnsi="Arial" w:cs="Arial"/>
          <w:color w:val="000000" w:themeColor="text1"/>
          <w:sz w:val="20"/>
          <w:szCs w:val="20"/>
          <w:lang w:val="hr-HR"/>
        </w:rPr>
        <w:t>Visina diskontne stope na nerizična ulaganja izračunava se kao linearno interpolirani/ekstrapolirani prinos obveznica Republike Hrvatske istog trajanja (duracije) i iste devize kao vrednovane obveznice. Izvor informacija o prinosima na obveznice Republike Hrvatske je informacijski sustav Bloomberg.</w:t>
      </w:r>
    </w:p>
    <w:p w14:paraId="03E8C584" w14:textId="77777777" w:rsidR="004E2F51" w:rsidRPr="006059EC" w:rsidRDefault="004E2F51" w:rsidP="004E2F51">
      <w:pPr>
        <w:jc w:val="both"/>
        <w:rPr>
          <w:rFonts w:ascii="Arial" w:eastAsia="Calibri" w:hAnsi="Arial" w:cs="Arial"/>
          <w:color w:val="000000" w:themeColor="text1"/>
          <w:sz w:val="20"/>
          <w:szCs w:val="20"/>
          <w:lang w:val="hr-HR"/>
        </w:rPr>
      </w:pPr>
    </w:p>
    <w:p w14:paraId="13EE1892" w14:textId="77777777" w:rsidR="004E2F51" w:rsidRPr="006059EC" w:rsidRDefault="004E2F51" w:rsidP="004E2F51">
      <w:pPr>
        <w:jc w:val="both"/>
        <w:rPr>
          <w:rFonts w:ascii="Arial" w:eastAsia="Calibri" w:hAnsi="Arial" w:cs="Arial"/>
          <w:color w:val="000000" w:themeColor="text1"/>
          <w:sz w:val="20"/>
          <w:szCs w:val="20"/>
          <w:lang w:val="hr-HR"/>
        </w:rPr>
      </w:pPr>
      <w:r w:rsidRPr="006059EC">
        <w:rPr>
          <w:rFonts w:ascii="Arial" w:eastAsia="Calibri" w:hAnsi="Arial" w:cs="Arial"/>
          <w:color w:val="000000" w:themeColor="text1"/>
          <w:sz w:val="20"/>
          <w:szCs w:val="20"/>
          <w:lang w:val="hr-HR"/>
        </w:rPr>
        <w:t xml:space="preserve">Premija iznosa specifičnog rizika za promatranu obveznicu ovisi o HBOR-ovom internom kreditnom rejtingu izdavatelja obveznice, odnosno ako je izdavatelj član poslovne grupacije, premija rizika ovisi o internom kreditnom rejtingu matičnog društva. </w:t>
      </w:r>
    </w:p>
    <w:p w14:paraId="303154AF" w14:textId="77777777" w:rsidR="004E2F51" w:rsidRPr="006059EC" w:rsidRDefault="004E2F51" w:rsidP="004E2F51">
      <w:pPr>
        <w:ind w:left="708"/>
        <w:rPr>
          <w:rFonts w:ascii="Arial" w:eastAsia="Calibri" w:hAnsi="Arial" w:cs="Arial"/>
          <w:b/>
          <w:i/>
          <w:color w:val="000000" w:themeColor="text1"/>
          <w:sz w:val="20"/>
          <w:szCs w:val="20"/>
          <w:lang w:val="hr-HR"/>
        </w:rPr>
      </w:pPr>
      <w:r w:rsidRPr="006059EC">
        <w:rPr>
          <w:rFonts w:ascii="Arial" w:eastAsia="Calibri" w:hAnsi="Arial" w:cs="Arial"/>
          <w:color w:val="000000" w:themeColor="text1"/>
          <w:sz w:val="20"/>
          <w:szCs w:val="20"/>
          <w:lang w:val="hr-HR"/>
        </w:rPr>
        <w:t> </w:t>
      </w:r>
    </w:p>
    <w:p w14:paraId="6F8A8787" w14:textId="77777777" w:rsidR="004E2F51" w:rsidRPr="006059EC" w:rsidRDefault="004E2F51" w:rsidP="004E2F51">
      <w:pPr>
        <w:keepNext/>
        <w:tabs>
          <w:tab w:val="left" w:pos="567"/>
        </w:tabs>
        <w:jc w:val="both"/>
        <w:rPr>
          <w:rFonts w:ascii="Arial" w:hAnsi="Arial" w:cs="Arial"/>
          <w:bCs/>
          <w:i/>
          <w:color w:val="000000" w:themeColor="text1"/>
          <w:sz w:val="20"/>
          <w:szCs w:val="20"/>
          <w:lang w:val="hr-HR"/>
        </w:rPr>
      </w:pPr>
      <w:r w:rsidRPr="006059EC">
        <w:rPr>
          <w:rFonts w:ascii="Arial" w:hAnsi="Arial" w:cs="Arial"/>
          <w:bCs/>
          <w:i/>
          <w:color w:val="000000" w:themeColor="text1"/>
          <w:spacing w:val="-3"/>
          <w:sz w:val="20"/>
          <w:szCs w:val="20"/>
          <w:lang w:val="hr-HR"/>
        </w:rPr>
        <w:t xml:space="preserve">(ii) Analiza senzitivnosti korporativne obveznice </w:t>
      </w:r>
      <w:r w:rsidRPr="006059EC">
        <w:rPr>
          <w:rFonts w:ascii="Arial" w:hAnsi="Arial" w:cs="Arial"/>
          <w:bCs/>
          <w:i/>
          <w:color w:val="000000" w:themeColor="text1"/>
          <w:sz w:val="20"/>
          <w:szCs w:val="20"/>
          <w:lang w:val="hr-HR"/>
        </w:rPr>
        <w:t>s iskazanim potencijalnim učinkom na dobit/gubitak na dan 31. prosinca 202</w:t>
      </w:r>
      <w:r>
        <w:rPr>
          <w:rFonts w:ascii="Arial" w:hAnsi="Arial" w:cs="Arial"/>
          <w:bCs/>
          <w:i/>
          <w:color w:val="000000" w:themeColor="text1"/>
          <w:sz w:val="20"/>
          <w:szCs w:val="20"/>
          <w:lang w:val="hr-HR"/>
        </w:rPr>
        <w:t>2</w:t>
      </w:r>
      <w:r w:rsidRPr="006059EC">
        <w:rPr>
          <w:rFonts w:ascii="Arial" w:hAnsi="Arial" w:cs="Arial"/>
          <w:bCs/>
          <w:i/>
          <w:color w:val="000000" w:themeColor="text1"/>
          <w:sz w:val="20"/>
          <w:szCs w:val="20"/>
          <w:lang w:val="hr-HR"/>
        </w:rPr>
        <w:t>., uz pretpostavku promjene diskontirane stope (prinosa) za 2% i za 10%</w:t>
      </w:r>
    </w:p>
    <w:p w14:paraId="307E2A99" w14:textId="77777777" w:rsidR="004E2F51" w:rsidRPr="006059EC" w:rsidRDefault="004E2F51" w:rsidP="004E2F51">
      <w:pPr>
        <w:jc w:val="both"/>
        <w:rPr>
          <w:rFonts w:ascii="Arial" w:eastAsia="Calibri" w:hAnsi="Arial" w:cs="Arial"/>
          <w:i/>
          <w:color w:val="000000" w:themeColor="text1"/>
          <w:sz w:val="20"/>
          <w:szCs w:val="20"/>
          <w:lang w:val="hr-HR"/>
        </w:rPr>
      </w:pPr>
    </w:p>
    <w:p w14:paraId="7335006D" w14:textId="77777777" w:rsidR="004E2F51" w:rsidRPr="006059EC" w:rsidRDefault="004E2F51" w:rsidP="004E2F51">
      <w:pPr>
        <w:jc w:val="both"/>
        <w:rPr>
          <w:rFonts w:ascii="Arial" w:eastAsia="Calibri" w:hAnsi="Arial" w:cs="Arial"/>
          <w:color w:val="000000" w:themeColor="text1"/>
          <w:sz w:val="20"/>
          <w:szCs w:val="20"/>
          <w:lang w:val="hr-HR"/>
        </w:rPr>
      </w:pPr>
      <w:r w:rsidRPr="006059EC">
        <w:rPr>
          <w:rFonts w:ascii="Arial" w:eastAsia="Calibri" w:hAnsi="Arial" w:cs="Arial"/>
          <w:color w:val="000000" w:themeColor="text1"/>
          <w:sz w:val="20"/>
          <w:szCs w:val="20"/>
          <w:lang w:val="hr-HR"/>
        </w:rPr>
        <w:t>Pod pretpostavkom da se tržišne kamatne stope promjene za 2% u odnosu na važeće na dan 31. prosinca 202</w:t>
      </w:r>
      <w:r>
        <w:rPr>
          <w:rFonts w:ascii="Arial" w:eastAsia="Calibri" w:hAnsi="Arial" w:cs="Arial"/>
          <w:color w:val="000000" w:themeColor="text1"/>
          <w:sz w:val="20"/>
          <w:szCs w:val="20"/>
          <w:lang w:val="hr-HR"/>
        </w:rPr>
        <w:t>2</w:t>
      </w:r>
      <w:r w:rsidRPr="006059EC">
        <w:rPr>
          <w:rFonts w:ascii="Arial" w:eastAsia="Calibri" w:hAnsi="Arial" w:cs="Arial"/>
          <w:color w:val="000000" w:themeColor="text1"/>
          <w:sz w:val="20"/>
          <w:szCs w:val="20"/>
          <w:lang w:val="hr-HR"/>
        </w:rPr>
        <w:t>., efekti bi bili sljedeći:</w:t>
      </w:r>
    </w:p>
    <w:p w14:paraId="535E556D" w14:textId="77777777" w:rsidR="004E2F51" w:rsidRPr="00AC5750" w:rsidRDefault="004E2F51">
      <w:pPr>
        <w:numPr>
          <w:ilvl w:val="0"/>
          <w:numId w:val="56"/>
        </w:numPr>
        <w:suppressAutoHyphens w:val="0"/>
        <w:autoSpaceDN/>
        <w:jc w:val="both"/>
        <w:rPr>
          <w:rFonts w:ascii="Arial" w:hAnsi="Arial" w:cs="Arial"/>
          <w:color w:val="000000" w:themeColor="text1"/>
          <w:sz w:val="20"/>
          <w:szCs w:val="20"/>
          <w:lang w:val="hr-HR"/>
        </w:rPr>
      </w:pPr>
      <w:r w:rsidRPr="006059EC">
        <w:rPr>
          <w:rFonts w:ascii="Arial" w:hAnsi="Arial" w:cs="Arial"/>
          <w:color w:val="000000" w:themeColor="text1"/>
          <w:sz w:val="20"/>
          <w:szCs w:val="20"/>
          <w:lang w:val="hr-HR"/>
        </w:rPr>
        <w:t xml:space="preserve">U slučaju smanjenja tržišnih prinosa na nerizična ulaganja (linearno interpolirani/ekstrapolirani prinos obveznica Republike Hrvatske istog trajanja/duracije i iste devize kao predmetna obveznica) za 2%, diskontna </w:t>
      </w:r>
      <w:r w:rsidRPr="00AC5750">
        <w:rPr>
          <w:rFonts w:ascii="Arial" w:hAnsi="Arial" w:cs="Arial"/>
          <w:color w:val="000000" w:themeColor="text1"/>
          <w:sz w:val="20"/>
          <w:szCs w:val="20"/>
          <w:lang w:val="hr-HR"/>
        </w:rPr>
        <w:t xml:space="preserve">stopa bi iznosila 15,35%, cijena obveznica bi bila </w:t>
      </w:r>
      <w:r w:rsidRPr="00AC5750">
        <w:rPr>
          <w:rFonts w:ascii="Arial" w:hAnsi="Arial" w:cs="Arial"/>
          <w:sz w:val="20"/>
          <w:szCs w:val="20"/>
          <w:lang w:val="hr-HR"/>
        </w:rPr>
        <w:t>30,88</w:t>
      </w:r>
      <w:r w:rsidRPr="00AC5750">
        <w:rPr>
          <w:rFonts w:ascii="Arial" w:hAnsi="Arial" w:cs="Arial"/>
          <w:color w:val="000000" w:themeColor="text1"/>
          <w:sz w:val="20"/>
          <w:szCs w:val="20"/>
          <w:lang w:val="hr-HR"/>
        </w:rPr>
        <w:t xml:space="preserve">%, što bi rezultiralo povećanjem ostvarene dobiti HBOR-a za </w:t>
      </w:r>
      <w:r w:rsidRPr="00AC5750">
        <w:rPr>
          <w:rFonts w:ascii="Arial" w:hAnsi="Arial" w:cs="Arial"/>
          <w:sz w:val="20"/>
          <w:szCs w:val="20"/>
          <w:lang w:val="hr-HR"/>
        </w:rPr>
        <w:t xml:space="preserve">8 </w:t>
      </w:r>
      <w:r w:rsidRPr="00AC5750">
        <w:rPr>
          <w:rFonts w:ascii="Arial" w:hAnsi="Arial" w:cs="Arial"/>
          <w:color w:val="000000" w:themeColor="text1"/>
          <w:sz w:val="20"/>
          <w:szCs w:val="20"/>
          <w:lang w:val="hr-HR"/>
        </w:rPr>
        <w:t>tisuća kuna.</w:t>
      </w:r>
    </w:p>
    <w:p w14:paraId="65000BF0" w14:textId="77777777" w:rsidR="004E2F51" w:rsidRPr="006059EC" w:rsidRDefault="004E2F51">
      <w:pPr>
        <w:numPr>
          <w:ilvl w:val="0"/>
          <w:numId w:val="56"/>
        </w:numPr>
        <w:suppressAutoHyphens w:val="0"/>
        <w:autoSpaceDN/>
        <w:contextualSpacing/>
        <w:jc w:val="both"/>
        <w:rPr>
          <w:rFonts w:ascii="Arial" w:hAnsi="Arial" w:cs="Arial"/>
          <w:color w:val="000000" w:themeColor="text1"/>
          <w:sz w:val="20"/>
          <w:szCs w:val="20"/>
          <w:lang w:val="hr-HR"/>
        </w:rPr>
      </w:pPr>
      <w:r w:rsidRPr="00AC5750">
        <w:rPr>
          <w:rFonts w:ascii="Arial" w:hAnsi="Arial" w:cs="Arial"/>
          <w:color w:val="000000" w:themeColor="text1"/>
          <w:sz w:val="20"/>
          <w:szCs w:val="20"/>
          <w:lang w:val="hr-HR"/>
        </w:rPr>
        <w:t>U slučaju povećanja tržišnih prinosa na nerizična ulaganja (linearno interpolirani/ekstrapolirani prinos obveznica Republike Hrvatske istog trajanja/duracije i iste devize kao korporativne obveznice) za 2%, diskontna stopa bi iznosila 19,35</w:t>
      </w:r>
      <w:r w:rsidRPr="006059EC">
        <w:rPr>
          <w:rFonts w:ascii="Arial" w:hAnsi="Arial" w:cs="Arial"/>
          <w:color w:val="000000" w:themeColor="text1"/>
          <w:sz w:val="20"/>
          <w:szCs w:val="20"/>
          <w:lang w:val="hr-HR"/>
        </w:rPr>
        <w:t xml:space="preserve">%, cijena obveznice bi bila </w:t>
      </w:r>
      <w:r w:rsidRPr="00AC5750">
        <w:rPr>
          <w:rFonts w:ascii="Arial" w:hAnsi="Arial" w:cs="Arial"/>
          <w:color w:val="000000" w:themeColor="text1"/>
          <w:sz w:val="20"/>
          <w:szCs w:val="20"/>
          <w:lang w:val="hr-HR"/>
        </w:rPr>
        <w:t>29,81</w:t>
      </w:r>
      <w:r w:rsidRPr="006059EC">
        <w:rPr>
          <w:rFonts w:ascii="Arial" w:hAnsi="Arial" w:cs="Arial"/>
          <w:color w:val="000000" w:themeColor="text1"/>
          <w:sz w:val="20"/>
          <w:szCs w:val="20"/>
          <w:lang w:val="hr-HR"/>
        </w:rPr>
        <w:t xml:space="preserve">%, što bi rezultiralo smanjenjem ostvarene dobiti HBOR-a za </w:t>
      </w:r>
      <w:r>
        <w:rPr>
          <w:rFonts w:ascii="Arial" w:hAnsi="Arial" w:cs="Arial"/>
          <w:color w:val="000000" w:themeColor="text1"/>
          <w:sz w:val="20"/>
          <w:szCs w:val="20"/>
          <w:lang w:val="hr-HR"/>
        </w:rPr>
        <w:t>8</w:t>
      </w:r>
      <w:r w:rsidRPr="006059EC">
        <w:rPr>
          <w:rFonts w:ascii="Arial" w:hAnsi="Arial" w:cs="Arial"/>
          <w:color w:val="000000" w:themeColor="text1"/>
          <w:sz w:val="20"/>
          <w:szCs w:val="20"/>
          <w:lang w:val="hr-HR"/>
        </w:rPr>
        <w:t xml:space="preserve">  tisuća kuna.</w:t>
      </w:r>
    </w:p>
    <w:p w14:paraId="4DD6F21E" w14:textId="77777777" w:rsidR="004E2F51" w:rsidRPr="006059EC" w:rsidRDefault="004E2F51" w:rsidP="004E2F51">
      <w:pPr>
        <w:ind w:left="720"/>
        <w:rPr>
          <w:rFonts w:ascii="Arial" w:eastAsia="Calibri" w:hAnsi="Arial" w:cs="Arial"/>
          <w:color w:val="000000" w:themeColor="text1"/>
          <w:sz w:val="20"/>
          <w:szCs w:val="20"/>
          <w:lang w:val="hr-HR"/>
        </w:rPr>
      </w:pPr>
    </w:p>
    <w:p w14:paraId="4A13535F" w14:textId="77777777" w:rsidR="004E2F51" w:rsidRPr="006059EC" w:rsidRDefault="004E2F51" w:rsidP="004E2F51">
      <w:pPr>
        <w:jc w:val="both"/>
        <w:rPr>
          <w:rFonts w:ascii="Arial" w:eastAsia="Calibri" w:hAnsi="Arial" w:cs="Arial"/>
          <w:color w:val="000000" w:themeColor="text1"/>
          <w:sz w:val="20"/>
          <w:szCs w:val="20"/>
          <w:lang w:val="hr-HR"/>
        </w:rPr>
      </w:pPr>
      <w:r w:rsidRPr="006059EC">
        <w:rPr>
          <w:rFonts w:ascii="Arial" w:eastAsia="Calibri" w:hAnsi="Arial" w:cs="Arial"/>
          <w:color w:val="000000" w:themeColor="text1"/>
          <w:sz w:val="20"/>
          <w:szCs w:val="20"/>
          <w:lang w:val="hr-HR"/>
        </w:rPr>
        <w:t>Kao osnova za promjenu tržišne kamatne stope od 2% u odnosu na važeće tržišne uvjete dana 31. prosinca 202</w:t>
      </w:r>
      <w:r>
        <w:rPr>
          <w:rFonts w:ascii="Arial" w:eastAsia="Calibri" w:hAnsi="Arial" w:cs="Arial"/>
          <w:color w:val="000000" w:themeColor="text1"/>
          <w:sz w:val="20"/>
          <w:szCs w:val="20"/>
          <w:lang w:val="hr-HR"/>
        </w:rPr>
        <w:t>2</w:t>
      </w:r>
      <w:r w:rsidRPr="006059EC">
        <w:rPr>
          <w:rFonts w:ascii="Arial" w:eastAsia="Calibri" w:hAnsi="Arial" w:cs="Arial"/>
          <w:color w:val="000000" w:themeColor="text1"/>
          <w:sz w:val="20"/>
          <w:szCs w:val="20"/>
          <w:lang w:val="hr-HR"/>
        </w:rPr>
        <w:t>. korištena je definirana promjena kamatnih stopa iz „</w:t>
      </w:r>
      <w:bookmarkStart w:id="2038" w:name="_Hlk68000720"/>
      <w:r w:rsidRPr="006059EC">
        <w:rPr>
          <w:rFonts w:ascii="Arial" w:eastAsia="Calibri" w:hAnsi="Arial" w:cs="Arial"/>
          <w:color w:val="000000" w:themeColor="text1"/>
          <w:sz w:val="20"/>
          <w:szCs w:val="20"/>
          <w:lang w:val="hr-HR"/>
        </w:rPr>
        <w:t xml:space="preserve">Odluke o upravljanju kamatnim rizikom u knjizi banke“, a koja se koristi za izračun standardnog kamatnog šoka. „Standardni kamatni šok jest paralelni </w:t>
      </w:r>
      <w:bookmarkEnd w:id="2038"/>
      <w:r w:rsidRPr="006059EC">
        <w:rPr>
          <w:rFonts w:ascii="Arial" w:eastAsia="Calibri" w:hAnsi="Arial" w:cs="Arial"/>
          <w:color w:val="000000" w:themeColor="text1"/>
          <w:sz w:val="20"/>
          <w:szCs w:val="20"/>
          <w:lang w:val="hr-HR"/>
        </w:rPr>
        <w:t>pozitivan i negativan pomak kamatnih stopa na referentnoj krivulji prinosa za 200 baznih bodova, primjenjujući donju granicu stope od 0%, osim u slučajevima u kojima je ostvariva negativna kamatna stopa.“</w:t>
      </w:r>
    </w:p>
    <w:p w14:paraId="6272419F" w14:textId="77777777" w:rsidR="004E2F51" w:rsidRPr="006059EC" w:rsidRDefault="004E2F51" w:rsidP="004E2F51">
      <w:pPr>
        <w:jc w:val="both"/>
        <w:rPr>
          <w:rFonts w:ascii="Arial" w:eastAsia="Calibri" w:hAnsi="Arial" w:cs="Arial"/>
          <w:color w:val="000000" w:themeColor="text1"/>
          <w:sz w:val="20"/>
          <w:szCs w:val="20"/>
          <w:lang w:val="hr-HR"/>
        </w:rPr>
      </w:pPr>
    </w:p>
    <w:p w14:paraId="544C4FFF" w14:textId="77777777" w:rsidR="004E2F51" w:rsidRPr="006059EC" w:rsidRDefault="004E2F51" w:rsidP="004E2F51">
      <w:pPr>
        <w:jc w:val="both"/>
        <w:rPr>
          <w:rFonts w:ascii="Arial" w:eastAsia="Calibri" w:hAnsi="Arial" w:cs="Arial"/>
          <w:color w:val="000000" w:themeColor="text1"/>
          <w:sz w:val="20"/>
          <w:szCs w:val="20"/>
          <w:lang w:val="hr-HR"/>
        </w:rPr>
      </w:pPr>
      <w:r w:rsidRPr="006059EC">
        <w:rPr>
          <w:rFonts w:ascii="Arial" w:eastAsia="Calibri" w:hAnsi="Arial" w:cs="Arial"/>
          <w:color w:val="000000" w:themeColor="text1"/>
          <w:sz w:val="20"/>
          <w:szCs w:val="20"/>
          <w:lang w:val="hr-HR"/>
        </w:rPr>
        <w:t xml:space="preserve">U slučaju smanjenja očekivanih novčanih tijekova po korporativnoj obveznici za 10%, ostvarena dobit HBOR-a bi se smanjila za </w:t>
      </w:r>
      <w:r>
        <w:rPr>
          <w:rFonts w:ascii="Arial" w:eastAsia="Calibri" w:hAnsi="Arial" w:cs="Arial"/>
          <w:color w:val="000000" w:themeColor="text1"/>
          <w:sz w:val="20"/>
          <w:szCs w:val="20"/>
          <w:lang w:val="hr-HR"/>
        </w:rPr>
        <w:t>46</w:t>
      </w:r>
      <w:r w:rsidRPr="006059EC">
        <w:rPr>
          <w:rFonts w:ascii="Arial" w:eastAsia="Calibri" w:hAnsi="Arial" w:cs="Arial"/>
          <w:color w:val="000000" w:themeColor="text1"/>
          <w:sz w:val="20"/>
          <w:szCs w:val="20"/>
          <w:lang w:val="hr-HR"/>
        </w:rPr>
        <w:t xml:space="preserve"> tisuć</w:t>
      </w:r>
      <w:r>
        <w:rPr>
          <w:rFonts w:ascii="Arial" w:eastAsia="Calibri" w:hAnsi="Arial" w:cs="Arial"/>
          <w:color w:val="000000" w:themeColor="text1"/>
          <w:sz w:val="20"/>
          <w:szCs w:val="20"/>
          <w:lang w:val="hr-HR"/>
        </w:rPr>
        <w:t>a</w:t>
      </w:r>
      <w:r w:rsidRPr="006059EC">
        <w:rPr>
          <w:rFonts w:ascii="Arial" w:eastAsia="Calibri" w:hAnsi="Arial" w:cs="Arial"/>
          <w:color w:val="000000" w:themeColor="text1"/>
          <w:sz w:val="20"/>
          <w:szCs w:val="20"/>
          <w:lang w:val="hr-HR"/>
        </w:rPr>
        <w:t xml:space="preserve"> kuna.</w:t>
      </w:r>
    </w:p>
    <w:p w14:paraId="0EA5BE4F" w14:textId="77777777" w:rsidR="004E2F51" w:rsidRPr="00B91D09" w:rsidRDefault="004E2F51" w:rsidP="004E2F51">
      <w:pPr>
        <w:jc w:val="both"/>
        <w:rPr>
          <w:rFonts w:ascii="Arial" w:eastAsia="Calibri" w:hAnsi="Arial" w:cs="Arial"/>
          <w:color w:val="000000" w:themeColor="text1"/>
          <w:sz w:val="22"/>
          <w:szCs w:val="22"/>
          <w:lang w:val="hr-HR"/>
        </w:rPr>
        <w:sectPr w:rsidR="004E2F51" w:rsidRPr="00B91D09" w:rsidSect="00623DBA">
          <w:footerReference w:type="default" r:id="rId225"/>
          <w:pgSz w:w="11907" w:h="16840" w:code="9"/>
          <w:pgMar w:top="1418" w:right="1134" w:bottom="1134" w:left="1418" w:header="851" w:footer="851" w:gutter="0"/>
          <w:cols w:space="720"/>
          <w:noEndnote/>
        </w:sectPr>
      </w:pPr>
    </w:p>
    <w:p w14:paraId="078299EB" w14:textId="77777777" w:rsidR="004E2F51" w:rsidRPr="00BA5ECE" w:rsidRDefault="004E2F51" w:rsidP="004E2F51">
      <w:pPr>
        <w:jc w:val="both"/>
        <w:rPr>
          <w:rFonts w:ascii="Arial" w:eastAsia="Calibri" w:hAnsi="Arial" w:cs="Arial"/>
          <w:color w:val="000000" w:themeColor="text1"/>
          <w:sz w:val="20"/>
          <w:szCs w:val="20"/>
          <w:lang w:val="hr-HR"/>
        </w:rPr>
      </w:pPr>
    </w:p>
    <w:p w14:paraId="38578F35" w14:textId="77777777" w:rsidR="004E2F51" w:rsidRPr="00BA5ECE" w:rsidRDefault="004E2F51" w:rsidP="004E2F51">
      <w:pPr>
        <w:keepNext/>
        <w:tabs>
          <w:tab w:val="left" w:pos="567"/>
        </w:tabs>
        <w:jc w:val="both"/>
        <w:rPr>
          <w:rFonts w:ascii="Arial" w:hAnsi="Arial" w:cs="Arial"/>
          <w:b/>
          <w:bCs/>
          <w:color w:val="000000" w:themeColor="text1"/>
          <w:spacing w:val="-3"/>
          <w:sz w:val="20"/>
          <w:szCs w:val="20"/>
          <w:lang w:val="hr-HR"/>
        </w:rPr>
      </w:pPr>
      <w:r w:rsidRPr="00BA5ECE">
        <w:rPr>
          <w:rFonts w:ascii="Arial" w:hAnsi="Arial" w:cs="Arial"/>
          <w:b/>
          <w:bCs/>
          <w:color w:val="000000" w:themeColor="text1"/>
          <w:spacing w:val="-3"/>
          <w:sz w:val="20"/>
          <w:szCs w:val="20"/>
          <w:lang w:val="hr-HR"/>
        </w:rPr>
        <w:t>3</w:t>
      </w:r>
      <w:r>
        <w:rPr>
          <w:rFonts w:ascii="Arial" w:hAnsi="Arial" w:cs="Arial"/>
          <w:b/>
          <w:bCs/>
          <w:color w:val="000000" w:themeColor="text1"/>
          <w:spacing w:val="-3"/>
          <w:sz w:val="20"/>
          <w:szCs w:val="20"/>
          <w:lang w:val="hr-HR"/>
        </w:rPr>
        <w:t>2</w:t>
      </w:r>
      <w:r w:rsidRPr="00BA5ECE">
        <w:rPr>
          <w:rFonts w:ascii="Arial" w:hAnsi="Arial" w:cs="Arial"/>
          <w:b/>
          <w:bCs/>
          <w:color w:val="000000" w:themeColor="text1"/>
          <w:spacing w:val="-3"/>
          <w:sz w:val="20"/>
          <w:szCs w:val="20"/>
          <w:lang w:val="hr-HR"/>
        </w:rPr>
        <w:t xml:space="preserve">. </w:t>
      </w:r>
      <w:r w:rsidRPr="00BA5ECE">
        <w:rPr>
          <w:rFonts w:ascii="Arial" w:hAnsi="Arial" w:cs="Arial"/>
          <w:b/>
          <w:bCs/>
          <w:color w:val="000000" w:themeColor="text1"/>
          <w:spacing w:val="-3"/>
          <w:sz w:val="20"/>
          <w:szCs w:val="20"/>
          <w:lang w:val="hr-HR"/>
        </w:rPr>
        <w:tab/>
        <w:t>Fer vrijednost financijske imovine i financijskih obveza (nastavak)</w:t>
      </w:r>
    </w:p>
    <w:p w14:paraId="121DBEFF" w14:textId="77777777" w:rsidR="004E2F51" w:rsidRPr="00BA5ECE" w:rsidRDefault="004E2F51" w:rsidP="004E2F51">
      <w:pPr>
        <w:keepNext/>
        <w:ind w:left="1428"/>
        <w:contextualSpacing/>
        <w:jc w:val="both"/>
        <w:rPr>
          <w:rFonts w:ascii="Arial" w:hAnsi="Arial" w:cs="Arial"/>
          <w:b/>
          <w:bCs/>
          <w:color w:val="000000" w:themeColor="text1"/>
          <w:spacing w:val="-3"/>
          <w:sz w:val="20"/>
          <w:szCs w:val="20"/>
          <w:lang w:val="hr-HR"/>
        </w:rPr>
      </w:pPr>
    </w:p>
    <w:p w14:paraId="1A34EED7" w14:textId="77777777" w:rsidR="004E2F51" w:rsidRPr="00BA5ECE" w:rsidRDefault="004E2F51" w:rsidP="004E2F51">
      <w:pPr>
        <w:keepNext/>
        <w:ind w:left="567" w:hanging="567"/>
        <w:jc w:val="both"/>
        <w:rPr>
          <w:rFonts w:ascii="Arial" w:hAnsi="Arial" w:cs="Arial"/>
          <w:b/>
          <w:bCs/>
          <w:color w:val="000000" w:themeColor="text1"/>
          <w:spacing w:val="-3"/>
          <w:sz w:val="20"/>
          <w:szCs w:val="20"/>
          <w:lang w:val="hr-HR"/>
        </w:rPr>
      </w:pPr>
      <w:r w:rsidRPr="00BA5ECE">
        <w:rPr>
          <w:rFonts w:ascii="Arial" w:hAnsi="Arial" w:cs="Arial"/>
          <w:b/>
          <w:bCs/>
          <w:color w:val="000000" w:themeColor="text1"/>
          <w:spacing w:val="-3"/>
          <w:sz w:val="20"/>
          <w:szCs w:val="20"/>
          <w:lang w:val="hr-HR"/>
        </w:rPr>
        <w:t>3</w:t>
      </w:r>
      <w:r>
        <w:rPr>
          <w:rFonts w:ascii="Arial" w:hAnsi="Arial" w:cs="Arial"/>
          <w:b/>
          <w:bCs/>
          <w:color w:val="000000" w:themeColor="text1"/>
          <w:spacing w:val="-3"/>
          <w:sz w:val="20"/>
          <w:szCs w:val="20"/>
          <w:lang w:val="hr-HR"/>
        </w:rPr>
        <w:t>2</w:t>
      </w:r>
      <w:r w:rsidRPr="00BA5ECE">
        <w:rPr>
          <w:rFonts w:ascii="Arial" w:hAnsi="Arial" w:cs="Arial"/>
          <w:b/>
          <w:bCs/>
          <w:color w:val="000000" w:themeColor="text1"/>
          <w:spacing w:val="-3"/>
          <w:sz w:val="20"/>
          <w:szCs w:val="20"/>
          <w:lang w:val="hr-HR"/>
        </w:rPr>
        <w:t>.1.</w:t>
      </w:r>
      <w:r w:rsidRPr="00BA5ECE">
        <w:rPr>
          <w:rFonts w:ascii="Arial" w:hAnsi="Arial" w:cs="Arial"/>
          <w:b/>
          <w:bCs/>
          <w:color w:val="000000" w:themeColor="text1"/>
          <w:spacing w:val="-3"/>
          <w:sz w:val="20"/>
          <w:szCs w:val="20"/>
          <w:lang w:val="hr-HR"/>
        </w:rPr>
        <w:tab/>
        <w:t xml:space="preserve">Fer vrijednost financijske imovine i financijskih obveza koji se vode po fer vrijednosti (nastavak) </w:t>
      </w:r>
    </w:p>
    <w:p w14:paraId="7BBB7C67" w14:textId="77777777" w:rsidR="004E2F51" w:rsidRPr="00BA5ECE" w:rsidRDefault="004E2F51" w:rsidP="004E2F51">
      <w:pPr>
        <w:keepNext/>
        <w:tabs>
          <w:tab w:val="left" w:pos="567"/>
        </w:tabs>
        <w:ind w:left="1428"/>
        <w:contextualSpacing/>
        <w:jc w:val="both"/>
        <w:rPr>
          <w:rFonts w:ascii="Arial" w:hAnsi="Arial" w:cs="Arial"/>
          <w:b/>
          <w:bCs/>
          <w:color w:val="000000" w:themeColor="text1"/>
          <w:spacing w:val="-3"/>
          <w:sz w:val="20"/>
          <w:szCs w:val="20"/>
          <w:lang w:val="hr-HR"/>
        </w:rPr>
      </w:pPr>
    </w:p>
    <w:p w14:paraId="62A07480" w14:textId="77777777" w:rsidR="004E2F51" w:rsidRPr="00BA5ECE" w:rsidRDefault="004E2F51" w:rsidP="004E2F51">
      <w:pPr>
        <w:tabs>
          <w:tab w:val="left" w:pos="851"/>
        </w:tabs>
        <w:rPr>
          <w:rFonts w:ascii="Arial" w:eastAsia="Calibri" w:hAnsi="Arial" w:cs="Arial"/>
          <w:b/>
          <w:color w:val="000000" w:themeColor="text1"/>
          <w:sz w:val="20"/>
          <w:szCs w:val="20"/>
          <w:lang w:val="hr-HR"/>
        </w:rPr>
      </w:pPr>
      <w:r w:rsidRPr="00BA5ECE">
        <w:rPr>
          <w:rFonts w:ascii="Arial" w:eastAsia="Calibri" w:hAnsi="Arial" w:cs="Arial"/>
          <w:b/>
          <w:color w:val="000000" w:themeColor="text1"/>
          <w:sz w:val="20"/>
          <w:szCs w:val="20"/>
          <w:lang w:val="hr-HR"/>
        </w:rPr>
        <w:t>3</w:t>
      </w:r>
      <w:r>
        <w:rPr>
          <w:rFonts w:ascii="Arial" w:eastAsia="Calibri" w:hAnsi="Arial" w:cs="Arial"/>
          <w:b/>
          <w:color w:val="000000" w:themeColor="text1"/>
          <w:sz w:val="20"/>
          <w:szCs w:val="20"/>
          <w:lang w:val="hr-HR"/>
        </w:rPr>
        <w:t>2</w:t>
      </w:r>
      <w:r w:rsidRPr="00BA5ECE">
        <w:rPr>
          <w:rFonts w:ascii="Arial" w:eastAsia="Calibri" w:hAnsi="Arial" w:cs="Arial"/>
          <w:b/>
          <w:color w:val="000000" w:themeColor="text1"/>
          <w:sz w:val="20"/>
          <w:szCs w:val="20"/>
          <w:lang w:val="hr-HR"/>
        </w:rPr>
        <w:t>.1.1.</w:t>
      </w:r>
      <w:r w:rsidRPr="00BA5ECE">
        <w:rPr>
          <w:rFonts w:ascii="Arial" w:eastAsia="Calibri" w:hAnsi="Arial" w:cs="Arial"/>
          <w:b/>
          <w:color w:val="000000" w:themeColor="text1"/>
          <w:sz w:val="20"/>
          <w:szCs w:val="20"/>
          <w:lang w:val="hr-HR"/>
        </w:rPr>
        <w:tab/>
        <w:t>Razina 3 - fer vrijednosti (nastavak)</w:t>
      </w:r>
    </w:p>
    <w:p w14:paraId="40A240B8" w14:textId="77777777" w:rsidR="004E2F51" w:rsidRPr="00BA5ECE" w:rsidRDefault="004E2F51" w:rsidP="004E2F51">
      <w:pPr>
        <w:ind w:left="1428"/>
        <w:contextualSpacing/>
        <w:rPr>
          <w:rFonts w:ascii="Arial" w:eastAsia="Calibri" w:hAnsi="Arial" w:cs="Arial"/>
          <w:color w:val="000000" w:themeColor="text1"/>
          <w:sz w:val="20"/>
          <w:szCs w:val="20"/>
          <w:lang w:val="hr-HR"/>
        </w:rPr>
      </w:pPr>
    </w:p>
    <w:p w14:paraId="2B99B41A" w14:textId="77777777" w:rsidR="004E2F51" w:rsidRPr="00BA5ECE" w:rsidRDefault="004E2F51" w:rsidP="004E2F51">
      <w:pPr>
        <w:tabs>
          <w:tab w:val="left" w:pos="284"/>
        </w:tabs>
        <w:rPr>
          <w:rFonts w:ascii="Arial" w:eastAsia="Calibri" w:hAnsi="Arial" w:cs="Arial"/>
          <w:b/>
          <w:i/>
          <w:color w:val="000000" w:themeColor="text1"/>
          <w:sz w:val="20"/>
          <w:szCs w:val="20"/>
          <w:lang w:val="hr-HR"/>
        </w:rPr>
      </w:pPr>
      <w:r w:rsidRPr="00BA5ECE">
        <w:rPr>
          <w:rFonts w:ascii="Arial" w:eastAsia="Calibri" w:hAnsi="Arial" w:cs="Arial"/>
          <w:b/>
          <w:i/>
          <w:color w:val="000000" w:themeColor="text1"/>
          <w:sz w:val="20"/>
          <w:szCs w:val="20"/>
          <w:lang w:val="hr-HR"/>
        </w:rPr>
        <w:t>c)</w:t>
      </w:r>
      <w:r w:rsidRPr="00BA5ECE">
        <w:rPr>
          <w:rFonts w:ascii="Arial" w:eastAsia="Calibri" w:hAnsi="Arial" w:cs="Arial"/>
          <w:b/>
          <w:i/>
          <w:color w:val="000000" w:themeColor="text1"/>
          <w:sz w:val="20"/>
          <w:szCs w:val="20"/>
          <w:lang w:val="hr-HR"/>
        </w:rPr>
        <w:tab/>
        <w:t xml:space="preserve">Usklađivanje fer vrijednosti Razine 3: </w:t>
      </w:r>
    </w:p>
    <w:p w14:paraId="429F1A71" w14:textId="77777777" w:rsidR="004E2F51" w:rsidRPr="00BA5ECE" w:rsidRDefault="004E2F51" w:rsidP="004E2F51">
      <w:pPr>
        <w:rPr>
          <w:rFonts w:ascii="Arial" w:eastAsia="Calibri" w:hAnsi="Arial" w:cs="Arial"/>
          <w:color w:val="000000" w:themeColor="text1"/>
          <w:sz w:val="20"/>
          <w:szCs w:val="20"/>
          <w:lang w:val="hr-HR"/>
        </w:rPr>
      </w:pPr>
    </w:p>
    <w:p w14:paraId="6CC64873" w14:textId="77777777" w:rsidR="004E2F51" w:rsidRPr="00BA5ECE" w:rsidRDefault="004E2F51">
      <w:pPr>
        <w:pStyle w:val="ListParagraph"/>
        <w:numPr>
          <w:ilvl w:val="0"/>
          <w:numId w:val="59"/>
        </w:numPr>
        <w:tabs>
          <w:tab w:val="left" w:pos="426"/>
        </w:tabs>
        <w:suppressAutoHyphens w:val="0"/>
        <w:autoSpaceDN/>
        <w:ind w:left="284" w:hanging="142"/>
        <w:jc w:val="both"/>
        <w:rPr>
          <w:rFonts w:ascii="Arial" w:eastAsia="Calibri" w:hAnsi="Arial" w:cs="Arial"/>
          <w:color w:val="000000" w:themeColor="text1"/>
          <w:sz w:val="20"/>
          <w:szCs w:val="20"/>
          <w:lang w:val="hr-HR"/>
        </w:rPr>
      </w:pPr>
      <w:r w:rsidRPr="00BA5ECE">
        <w:rPr>
          <w:rFonts w:ascii="Arial" w:eastAsia="Calibri" w:hAnsi="Arial" w:cs="Arial"/>
          <w:color w:val="000000" w:themeColor="text1"/>
          <w:sz w:val="20"/>
          <w:szCs w:val="20"/>
          <w:lang w:val="hr-HR"/>
        </w:rPr>
        <w:t>Fer vrijednosti financijske imovine razine 3 koja je nakon početnog priznavanja svedena na fer vrijednost – mezzanin</w:t>
      </w:r>
      <w:r>
        <w:rPr>
          <w:rFonts w:ascii="Arial" w:eastAsia="Calibri" w:hAnsi="Arial" w:cs="Arial"/>
          <w:color w:val="000000" w:themeColor="text1"/>
          <w:sz w:val="20"/>
          <w:szCs w:val="20"/>
          <w:lang w:val="hr-HR"/>
        </w:rPr>
        <w:t>e</w:t>
      </w:r>
      <w:r w:rsidRPr="00BA5ECE">
        <w:rPr>
          <w:rFonts w:ascii="Arial" w:eastAsia="Calibri" w:hAnsi="Arial" w:cs="Arial"/>
          <w:color w:val="000000" w:themeColor="text1"/>
          <w:sz w:val="20"/>
          <w:szCs w:val="20"/>
          <w:lang w:val="hr-HR"/>
        </w:rPr>
        <w:t xml:space="preserve"> krediti:</w:t>
      </w:r>
    </w:p>
    <w:p w14:paraId="0DD65718" w14:textId="77777777" w:rsidR="004E2F51" w:rsidRPr="00BA5ECE" w:rsidRDefault="004E2F51" w:rsidP="004E2F51">
      <w:pPr>
        <w:rPr>
          <w:rFonts w:ascii="Arial" w:eastAsia="Calibri" w:hAnsi="Arial" w:cs="Arial"/>
          <w:color w:val="000000" w:themeColor="text1"/>
          <w:sz w:val="20"/>
          <w:szCs w:val="20"/>
          <w:lang w:val="hr-HR"/>
        </w:rPr>
      </w:pPr>
    </w:p>
    <w:tbl>
      <w:tblPr>
        <w:tblW w:w="5000" w:type="pct"/>
        <w:jc w:val="center"/>
        <w:tblCellMar>
          <w:left w:w="122" w:type="dxa"/>
          <w:right w:w="122" w:type="dxa"/>
        </w:tblCellMar>
        <w:tblLook w:val="04A0" w:firstRow="1" w:lastRow="0" w:firstColumn="1" w:lastColumn="0" w:noHBand="0" w:noVBand="1"/>
      </w:tblPr>
      <w:tblGrid>
        <w:gridCol w:w="5160"/>
        <w:gridCol w:w="2099"/>
        <w:gridCol w:w="2096"/>
      </w:tblGrid>
      <w:tr w:rsidR="004E2F51" w:rsidRPr="00BA5ECE" w14:paraId="42B74818" w14:textId="77777777" w:rsidTr="00E032FC">
        <w:trPr>
          <w:trHeight w:hRule="exact" w:val="267"/>
          <w:jc w:val="center"/>
        </w:trPr>
        <w:tc>
          <w:tcPr>
            <w:tcW w:w="2758" w:type="pct"/>
          </w:tcPr>
          <w:p w14:paraId="72D7FC2C" w14:textId="77777777" w:rsidR="004E2F51" w:rsidRPr="00BA5ECE" w:rsidRDefault="004E2F51" w:rsidP="00E032FC">
            <w:pPr>
              <w:tabs>
                <w:tab w:val="right" w:pos="1202"/>
              </w:tabs>
              <w:spacing w:line="260" w:lineRule="exact"/>
              <w:outlineLvl w:val="0"/>
              <w:rPr>
                <w:rFonts w:ascii="Arial" w:eastAsia="Calibri" w:hAnsi="Arial" w:cs="Arial"/>
                <w:b/>
                <w:color w:val="000000"/>
                <w:spacing w:val="-2"/>
                <w:sz w:val="20"/>
                <w:szCs w:val="20"/>
                <w:lang w:val="hr-HR"/>
              </w:rPr>
            </w:pPr>
            <w:bookmarkStart w:id="2039" w:name="_Toc67331201"/>
            <w:r w:rsidRPr="00BA5ECE">
              <w:rPr>
                <w:rFonts w:ascii="Arial" w:eastAsia="Calibri" w:hAnsi="Arial" w:cs="Arial"/>
                <w:b/>
                <w:color w:val="000000"/>
                <w:spacing w:val="-2"/>
                <w:sz w:val="20"/>
                <w:szCs w:val="20"/>
                <w:lang w:val="hr-HR"/>
              </w:rPr>
              <w:t>Grupa i Banka</w:t>
            </w:r>
            <w:bookmarkEnd w:id="2039"/>
          </w:p>
        </w:tc>
        <w:tc>
          <w:tcPr>
            <w:tcW w:w="1122" w:type="pct"/>
            <w:vAlign w:val="center"/>
          </w:tcPr>
          <w:p w14:paraId="62F2169F" w14:textId="77777777" w:rsidR="004E2F51" w:rsidRPr="00BA5ECE" w:rsidRDefault="004E2F51" w:rsidP="00E032FC">
            <w:pPr>
              <w:tabs>
                <w:tab w:val="right" w:pos="1202"/>
              </w:tabs>
              <w:spacing w:line="260" w:lineRule="exact"/>
              <w:jc w:val="right"/>
              <w:outlineLvl w:val="0"/>
              <w:rPr>
                <w:rFonts w:ascii="Arial" w:eastAsia="Calibri" w:hAnsi="Arial" w:cs="Arial"/>
                <w:b/>
                <w:color w:val="000000"/>
                <w:sz w:val="20"/>
                <w:szCs w:val="20"/>
                <w:lang w:val="hr-HR"/>
              </w:rPr>
            </w:pPr>
            <w:bookmarkStart w:id="2040" w:name="_Toc67331202"/>
            <w:r w:rsidRPr="00BA5ECE">
              <w:rPr>
                <w:rFonts w:ascii="Arial" w:eastAsia="Calibri" w:hAnsi="Arial" w:cs="Arial"/>
                <w:b/>
                <w:color w:val="000000"/>
                <w:sz w:val="20"/>
                <w:szCs w:val="20"/>
                <w:lang w:val="hr-HR"/>
              </w:rPr>
              <w:t>202</w:t>
            </w:r>
            <w:r>
              <w:rPr>
                <w:rFonts w:ascii="Arial" w:eastAsia="Calibri" w:hAnsi="Arial" w:cs="Arial"/>
                <w:b/>
                <w:color w:val="000000"/>
                <w:sz w:val="20"/>
                <w:szCs w:val="20"/>
                <w:lang w:val="hr-HR"/>
              </w:rPr>
              <w:t>2</w:t>
            </w:r>
            <w:r w:rsidRPr="00BA5ECE">
              <w:rPr>
                <w:rFonts w:ascii="Arial" w:eastAsia="Calibri" w:hAnsi="Arial" w:cs="Arial"/>
                <w:b/>
                <w:color w:val="000000"/>
                <w:sz w:val="20"/>
                <w:szCs w:val="20"/>
                <w:lang w:val="hr-HR"/>
              </w:rPr>
              <w:t>.</w:t>
            </w:r>
            <w:bookmarkEnd w:id="2040"/>
          </w:p>
        </w:tc>
        <w:tc>
          <w:tcPr>
            <w:tcW w:w="1120" w:type="pct"/>
          </w:tcPr>
          <w:p w14:paraId="7C5ACEAA" w14:textId="77777777" w:rsidR="004E2F51" w:rsidRPr="00BA5ECE" w:rsidRDefault="004E2F51" w:rsidP="00E032FC">
            <w:pPr>
              <w:tabs>
                <w:tab w:val="right" w:pos="1202"/>
              </w:tabs>
              <w:spacing w:line="260" w:lineRule="exact"/>
              <w:jc w:val="right"/>
              <w:outlineLvl w:val="0"/>
              <w:rPr>
                <w:rFonts w:ascii="Arial" w:eastAsia="Calibri" w:hAnsi="Arial" w:cs="Arial"/>
                <w:b/>
                <w:color w:val="000000"/>
                <w:sz w:val="20"/>
                <w:szCs w:val="20"/>
                <w:lang w:val="hr-HR"/>
              </w:rPr>
            </w:pPr>
            <w:bookmarkStart w:id="2041" w:name="_Toc67331203"/>
            <w:r w:rsidRPr="00BA5ECE">
              <w:rPr>
                <w:rFonts w:ascii="Arial" w:eastAsia="Calibri" w:hAnsi="Arial" w:cs="Arial"/>
                <w:b/>
                <w:color w:val="000000"/>
                <w:sz w:val="20"/>
                <w:szCs w:val="20"/>
                <w:lang w:val="hr-HR"/>
              </w:rPr>
              <w:t>202</w:t>
            </w:r>
            <w:r>
              <w:rPr>
                <w:rFonts w:ascii="Arial" w:eastAsia="Calibri" w:hAnsi="Arial" w:cs="Arial"/>
                <w:b/>
                <w:color w:val="000000"/>
                <w:sz w:val="20"/>
                <w:szCs w:val="20"/>
                <w:lang w:val="hr-HR"/>
              </w:rPr>
              <w:t>1</w:t>
            </w:r>
            <w:r w:rsidRPr="00BA5ECE">
              <w:rPr>
                <w:rFonts w:ascii="Arial" w:eastAsia="Calibri" w:hAnsi="Arial" w:cs="Arial"/>
                <w:b/>
                <w:color w:val="000000"/>
                <w:sz w:val="20"/>
                <w:szCs w:val="20"/>
                <w:lang w:val="hr-HR"/>
              </w:rPr>
              <w:t>.</w:t>
            </w:r>
            <w:bookmarkEnd w:id="2041"/>
          </w:p>
        </w:tc>
      </w:tr>
      <w:tr w:rsidR="004E2F51" w:rsidRPr="00BA5ECE" w14:paraId="3188DB32" w14:textId="77777777" w:rsidTr="00E032FC">
        <w:trPr>
          <w:trHeight w:hRule="exact" w:val="239"/>
          <w:jc w:val="center"/>
        </w:trPr>
        <w:tc>
          <w:tcPr>
            <w:tcW w:w="2758" w:type="pct"/>
          </w:tcPr>
          <w:p w14:paraId="0C558FC6" w14:textId="77777777" w:rsidR="004E2F51" w:rsidRPr="00BA5ECE" w:rsidRDefault="004E2F51" w:rsidP="00E032FC">
            <w:pPr>
              <w:tabs>
                <w:tab w:val="right" w:pos="1202"/>
              </w:tabs>
              <w:spacing w:line="260" w:lineRule="exact"/>
              <w:outlineLvl w:val="0"/>
              <w:rPr>
                <w:rFonts w:ascii="Arial" w:eastAsia="Calibri" w:hAnsi="Arial" w:cs="Arial"/>
                <w:b/>
                <w:color w:val="000000"/>
                <w:spacing w:val="-2"/>
                <w:sz w:val="20"/>
                <w:szCs w:val="20"/>
                <w:lang w:val="hr-HR"/>
              </w:rPr>
            </w:pPr>
          </w:p>
        </w:tc>
        <w:tc>
          <w:tcPr>
            <w:tcW w:w="1122" w:type="pct"/>
          </w:tcPr>
          <w:p w14:paraId="4979443E" w14:textId="77777777" w:rsidR="004E2F51" w:rsidRPr="00BA5ECE" w:rsidRDefault="004E2F51" w:rsidP="00E032FC">
            <w:pPr>
              <w:tabs>
                <w:tab w:val="right" w:pos="1202"/>
              </w:tabs>
              <w:spacing w:line="260" w:lineRule="exact"/>
              <w:jc w:val="right"/>
              <w:outlineLvl w:val="0"/>
              <w:rPr>
                <w:rFonts w:ascii="Arial" w:eastAsia="Calibri" w:hAnsi="Arial" w:cs="Arial"/>
                <w:b/>
                <w:color w:val="000000"/>
                <w:sz w:val="20"/>
                <w:szCs w:val="20"/>
                <w:lang w:val="hr-HR"/>
              </w:rPr>
            </w:pPr>
            <w:bookmarkStart w:id="2042" w:name="_Toc67331204"/>
            <w:r w:rsidRPr="00BA5ECE">
              <w:rPr>
                <w:rFonts w:ascii="Arial" w:eastAsia="Calibri" w:hAnsi="Arial" w:cs="Arial"/>
                <w:b/>
                <w:color w:val="000000"/>
                <w:sz w:val="20"/>
                <w:szCs w:val="20"/>
                <w:lang w:val="hr-HR"/>
              </w:rPr>
              <w:t>000 kuna</w:t>
            </w:r>
            <w:bookmarkEnd w:id="2042"/>
          </w:p>
        </w:tc>
        <w:tc>
          <w:tcPr>
            <w:tcW w:w="1120" w:type="pct"/>
          </w:tcPr>
          <w:p w14:paraId="4C3BE9E5" w14:textId="77777777" w:rsidR="004E2F51" w:rsidRPr="00BA5ECE" w:rsidRDefault="004E2F51" w:rsidP="00E032FC">
            <w:pPr>
              <w:tabs>
                <w:tab w:val="right" w:pos="1202"/>
              </w:tabs>
              <w:spacing w:line="260" w:lineRule="exact"/>
              <w:jc w:val="right"/>
              <w:outlineLvl w:val="0"/>
              <w:rPr>
                <w:rFonts w:ascii="Arial" w:eastAsia="Calibri" w:hAnsi="Arial" w:cs="Arial"/>
                <w:b/>
                <w:color w:val="000000"/>
                <w:sz w:val="20"/>
                <w:szCs w:val="20"/>
                <w:lang w:val="hr-HR"/>
              </w:rPr>
            </w:pPr>
            <w:bookmarkStart w:id="2043" w:name="_Toc67331205"/>
            <w:r w:rsidRPr="00BA5ECE">
              <w:rPr>
                <w:rFonts w:ascii="Arial" w:eastAsia="Calibri" w:hAnsi="Arial" w:cs="Arial"/>
                <w:b/>
                <w:color w:val="000000"/>
                <w:sz w:val="20"/>
                <w:szCs w:val="20"/>
                <w:lang w:val="hr-HR"/>
              </w:rPr>
              <w:t>000 kuna</w:t>
            </w:r>
            <w:bookmarkEnd w:id="2043"/>
          </w:p>
        </w:tc>
      </w:tr>
      <w:tr w:rsidR="004E2F51" w:rsidRPr="00BA5ECE" w14:paraId="3D56B736" w14:textId="77777777" w:rsidTr="00E032FC">
        <w:trPr>
          <w:trHeight w:hRule="exact" w:val="299"/>
          <w:jc w:val="center"/>
        </w:trPr>
        <w:tc>
          <w:tcPr>
            <w:tcW w:w="2758" w:type="pct"/>
          </w:tcPr>
          <w:p w14:paraId="6A4DE14E" w14:textId="77777777" w:rsidR="004E2F51" w:rsidRPr="00BA5ECE" w:rsidRDefault="004E2F51" w:rsidP="00E032FC">
            <w:pPr>
              <w:tabs>
                <w:tab w:val="right" w:pos="1202"/>
              </w:tabs>
              <w:spacing w:line="260" w:lineRule="exact"/>
              <w:outlineLvl w:val="0"/>
              <w:rPr>
                <w:rFonts w:ascii="Arial" w:eastAsia="Calibri" w:hAnsi="Arial" w:cs="Arial"/>
                <w:b/>
                <w:i/>
                <w:color w:val="000000"/>
                <w:spacing w:val="-2"/>
                <w:sz w:val="20"/>
                <w:szCs w:val="20"/>
                <w:lang w:val="hr-HR"/>
              </w:rPr>
            </w:pPr>
          </w:p>
        </w:tc>
        <w:tc>
          <w:tcPr>
            <w:tcW w:w="1122" w:type="pct"/>
          </w:tcPr>
          <w:p w14:paraId="48C96CDD" w14:textId="77777777" w:rsidR="004E2F51" w:rsidRPr="00BA5ECE" w:rsidRDefault="004E2F51" w:rsidP="00E032FC">
            <w:pPr>
              <w:tabs>
                <w:tab w:val="right" w:pos="1202"/>
              </w:tabs>
              <w:spacing w:line="260" w:lineRule="exact"/>
              <w:jc w:val="right"/>
              <w:outlineLvl w:val="0"/>
              <w:rPr>
                <w:rFonts w:ascii="Arial" w:eastAsia="Calibri" w:hAnsi="Arial" w:cs="Arial"/>
                <w:color w:val="000000"/>
                <w:sz w:val="20"/>
                <w:szCs w:val="20"/>
                <w:lang w:val="hr-HR"/>
              </w:rPr>
            </w:pPr>
          </w:p>
        </w:tc>
        <w:tc>
          <w:tcPr>
            <w:tcW w:w="1120" w:type="pct"/>
          </w:tcPr>
          <w:p w14:paraId="726239F7" w14:textId="77777777" w:rsidR="004E2F51" w:rsidRPr="00BA5ECE" w:rsidRDefault="004E2F51" w:rsidP="00E032FC">
            <w:pPr>
              <w:tabs>
                <w:tab w:val="right" w:pos="1202"/>
              </w:tabs>
              <w:spacing w:line="260" w:lineRule="exact"/>
              <w:jc w:val="right"/>
              <w:outlineLvl w:val="0"/>
              <w:rPr>
                <w:rFonts w:ascii="Arial" w:eastAsia="Calibri" w:hAnsi="Arial" w:cs="Arial"/>
                <w:color w:val="000000"/>
                <w:sz w:val="20"/>
                <w:szCs w:val="20"/>
                <w:lang w:val="hr-HR"/>
              </w:rPr>
            </w:pPr>
          </w:p>
        </w:tc>
      </w:tr>
      <w:tr w:rsidR="004E2F51" w:rsidRPr="00BA5ECE" w14:paraId="7D761954" w14:textId="77777777" w:rsidTr="00E032FC">
        <w:trPr>
          <w:trHeight w:val="298"/>
          <w:jc w:val="center"/>
        </w:trPr>
        <w:tc>
          <w:tcPr>
            <w:tcW w:w="2758" w:type="pct"/>
            <w:vAlign w:val="bottom"/>
            <w:hideMark/>
          </w:tcPr>
          <w:p w14:paraId="42BF5D79" w14:textId="77777777" w:rsidR="004E2F51" w:rsidRPr="00BA5ECE" w:rsidRDefault="004E2F51" w:rsidP="00E032FC">
            <w:pPr>
              <w:spacing w:line="256" w:lineRule="auto"/>
              <w:rPr>
                <w:rFonts w:ascii="Arial" w:eastAsia="Calibri" w:hAnsi="Arial" w:cs="Arial"/>
                <w:b/>
                <w:bCs/>
                <w:color w:val="000000"/>
                <w:sz w:val="20"/>
                <w:szCs w:val="20"/>
                <w:lang w:val="hr-HR"/>
              </w:rPr>
            </w:pPr>
            <w:r w:rsidRPr="00BA5ECE">
              <w:rPr>
                <w:rFonts w:ascii="Arial" w:eastAsia="Calibri" w:hAnsi="Arial" w:cs="Arial"/>
                <w:b/>
                <w:bCs/>
                <w:color w:val="000000"/>
                <w:sz w:val="20"/>
                <w:szCs w:val="20"/>
                <w:lang w:val="hr-HR"/>
              </w:rPr>
              <w:t xml:space="preserve">Stanje 1. siječnja </w:t>
            </w:r>
          </w:p>
        </w:tc>
        <w:tc>
          <w:tcPr>
            <w:tcW w:w="1122" w:type="pct"/>
            <w:tcBorders>
              <w:top w:val="nil"/>
              <w:left w:val="nil"/>
              <w:bottom w:val="single" w:sz="2" w:space="0" w:color="auto"/>
              <w:right w:val="nil"/>
            </w:tcBorders>
            <w:vAlign w:val="bottom"/>
          </w:tcPr>
          <w:p w14:paraId="4271B00B" w14:textId="77777777" w:rsidR="004E2F51" w:rsidRPr="00BA5ECE" w:rsidRDefault="004E2F51" w:rsidP="00E032FC">
            <w:pPr>
              <w:tabs>
                <w:tab w:val="right" w:pos="1202"/>
              </w:tabs>
              <w:spacing w:line="260" w:lineRule="exact"/>
              <w:jc w:val="right"/>
              <w:outlineLvl w:val="0"/>
              <w:rPr>
                <w:rFonts w:ascii="Arial" w:eastAsia="Calibri" w:hAnsi="Arial" w:cs="Arial"/>
                <w:b/>
                <w:color w:val="000000"/>
                <w:sz w:val="20"/>
                <w:szCs w:val="20"/>
                <w:lang w:val="hr-HR"/>
              </w:rPr>
            </w:pPr>
            <w:r w:rsidRPr="00BA5ECE">
              <w:rPr>
                <w:rFonts w:ascii="Arial" w:eastAsia="Calibri" w:hAnsi="Arial" w:cs="Arial"/>
                <w:b/>
                <w:color w:val="000000"/>
                <w:sz w:val="20"/>
                <w:szCs w:val="20"/>
                <w:lang w:val="hr-HR"/>
              </w:rPr>
              <w:t>16.375</w:t>
            </w:r>
          </w:p>
        </w:tc>
        <w:tc>
          <w:tcPr>
            <w:tcW w:w="1120" w:type="pct"/>
            <w:tcBorders>
              <w:top w:val="nil"/>
              <w:left w:val="nil"/>
              <w:bottom w:val="single" w:sz="2" w:space="0" w:color="auto"/>
              <w:right w:val="nil"/>
            </w:tcBorders>
            <w:vAlign w:val="bottom"/>
          </w:tcPr>
          <w:p w14:paraId="1E7B5B9B" w14:textId="77777777" w:rsidR="004E2F51" w:rsidRPr="00BA5ECE" w:rsidRDefault="004E2F51" w:rsidP="00E032FC">
            <w:pPr>
              <w:tabs>
                <w:tab w:val="right" w:pos="1202"/>
              </w:tabs>
              <w:spacing w:line="260" w:lineRule="exact"/>
              <w:jc w:val="right"/>
              <w:outlineLvl w:val="0"/>
              <w:rPr>
                <w:rFonts w:ascii="Arial" w:eastAsia="Calibri" w:hAnsi="Arial" w:cs="Arial"/>
                <w:b/>
                <w:color w:val="000000"/>
                <w:sz w:val="20"/>
                <w:szCs w:val="20"/>
                <w:lang w:val="hr-HR"/>
              </w:rPr>
            </w:pPr>
            <w:r w:rsidRPr="00BA5ECE">
              <w:rPr>
                <w:rFonts w:ascii="Arial" w:eastAsia="Calibri" w:hAnsi="Arial" w:cs="Arial"/>
                <w:b/>
                <w:color w:val="000000"/>
                <w:sz w:val="20"/>
                <w:szCs w:val="20"/>
                <w:lang w:val="hr-HR"/>
              </w:rPr>
              <w:t>2.658</w:t>
            </w:r>
          </w:p>
        </w:tc>
      </w:tr>
      <w:tr w:rsidR="004E2F51" w:rsidRPr="00BA5ECE" w14:paraId="27A37F46" w14:textId="77777777" w:rsidTr="00E032FC">
        <w:trPr>
          <w:trHeight w:val="298"/>
          <w:jc w:val="center"/>
        </w:trPr>
        <w:tc>
          <w:tcPr>
            <w:tcW w:w="2758" w:type="pct"/>
            <w:vAlign w:val="bottom"/>
            <w:hideMark/>
          </w:tcPr>
          <w:p w14:paraId="36B6AB6B" w14:textId="77777777" w:rsidR="004E2F51" w:rsidRPr="00BA5ECE" w:rsidRDefault="004E2F51" w:rsidP="00E032FC">
            <w:pPr>
              <w:spacing w:line="256" w:lineRule="auto"/>
              <w:rPr>
                <w:rFonts w:ascii="Arial" w:eastAsia="Calibri" w:hAnsi="Arial" w:cs="Arial"/>
                <w:color w:val="000000"/>
                <w:sz w:val="20"/>
                <w:szCs w:val="20"/>
                <w:lang w:val="hr-HR"/>
              </w:rPr>
            </w:pPr>
            <w:r w:rsidRPr="00BA5ECE">
              <w:rPr>
                <w:rFonts w:ascii="Arial" w:eastAsia="Calibri" w:hAnsi="Arial" w:cs="Arial"/>
                <w:color w:val="000000"/>
                <w:sz w:val="20"/>
                <w:szCs w:val="20"/>
                <w:lang w:val="hr-HR"/>
              </w:rPr>
              <w:t>Povećanje</w:t>
            </w:r>
            <w:r>
              <w:rPr>
                <w:rFonts w:ascii="Arial" w:eastAsia="Calibri" w:hAnsi="Arial" w:cs="Arial"/>
                <w:color w:val="000000"/>
                <w:sz w:val="20"/>
                <w:szCs w:val="20"/>
                <w:lang w:val="hr-HR"/>
              </w:rPr>
              <w:t>/s</w:t>
            </w:r>
            <w:r w:rsidRPr="00BA5ECE">
              <w:rPr>
                <w:rFonts w:ascii="Arial" w:eastAsia="Calibri" w:hAnsi="Arial" w:cs="Arial"/>
                <w:color w:val="000000"/>
                <w:sz w:val="20"/>
                <w:szCs w:val="20"/>
                <w:lang w:val="hr-HR"/>
              </w:rPr>
              <w:t>manjenje</w:t>
            </w:r>
            <w:r>
              <w:rPr>
                <w:rFonts w:ascii="Arial" w:eastAsia="Calibri" w:hAnsi="Arial" w:cs="Arial"/>
                <w:color w:val="000000"/>
                <w:sz w:val="20"/>
                <w:szCs w:val="20"/>
                <w:lang w:val="hr-HR"/>
              </w:rPr>
              <w:t xml:space="preserve"> </w:t>
            </w:r>
            <w:r w:rsidRPr="00BA5ECE">
              <w:rPr>
                <w:rFonts w:ascii="Arial" w:eastAsia="Calibri" w:hAnsi="Arial" w:cs="Arial"/>
                <w:color w:val="000000"/>
                <w:sz w:val="20"/>
                <w:szCs w:val="20"/>
                <w:lang w:val="hr-HR"/>
              </w:rPr>
              <w:t>fer vrijednosti kroz račun dobiti i gubitka</w:t>
            </w:r>
          </w:p>
        </w:tc>
        <w:tc>
          <w:tcPr>
            <w:tcW w:w="1122" w:type="pct"/>
            <w:tcBorders>
              <w:top w:val="single" w:sz="2" w:space="0" w:color="auto"/>
              <w:left w:val="nil"/>
              <w:right w:val="nil"/>
            </w:tcBorders>
            <w:shd w:val="clear" w:color="auto" w:fill="auto"/>
            <w:vAlign w:val="bottom"/>
          </w:tcPr>
          <w:p w14:paraId="18DB041C" w14:textId="77777777" w:rsidR="004E2F51" w:rsidRPr="00BA5ECE" w:rsidRDefault="004E2F51" w:rsidP="00E032FC">
            <w:pPr>
              <w:tabs>
                <w:tab w:val="right" w:pos="1202"/>
              </w:tabs>
              <w:spacing w:line="260" w:lineRule="exact"/>
              <w:jc w:val="right"/>
              <w:outlineLvl w:val="0"/>
              <w:rPr>
                <w:rFonts w:ascii="Arial" w:eastAsia="Calibri" w:hAnsi="Arial" w:cs="Arial"/>
                <w:color w:val="000000"/>
                <w:sz w:val="20"/>
                <w:szCs w:val="20"/>
                <w:lang w:val="hr-HR"/>
              </w:rPr>
            </w:pPr>
            <w:r w:rsidRPr="00AC5750">
              <w:rPr>
                <w:rFonts w:ascii="Arial" w:eastAsia="Calibri" w:hAnsi="Arial" w:cs="Arial"/>
                <w:color w:val="000000"/>
                <w:sz w:val="20"/>
                <w:szCs w:val="20"/>
                <w:lang w:val="hr-HR"/>
              </w:rPr>
              <w:t>7.479</w:t>
            </w:r>
          </w:p>
        </w:tc>
        <w:tc>
          <w:tcPr>
            <w:tcW w:w="1120" w:type="pct"/>
            <w:tcBorders>
              <w:top w:val="single" w:sz="2" w:space="0" w:color="auto"/>
              <w:left w:val="nil"/>
              <w:right w:val="nil"/>
            </w:tcBorders>
            <w:shd w:val="clear" w:color="auto" w:fill="auto"/>
            <w:vAlign w:val="bottom"/>
          </w:tcPr>
          <w:p w14:paraId="253970A7" w14:textId="77777777" w:rsidR="004E2F51" w:rsidRPr="00BA5ECE" w:rsidRDefault="004E2F51" w:rsidP="00E032FC">
            <w:pPr>
              <w:tabs>
                <w:tab w:val="right" w:pos="1202"/>
              </w:tabs>
              <w:spacing w:line="260" w:lineRule="exact"/>
              <w:jc w:val="right"/>
              <w:outlineLvl w:val="0"/>
              <w:rPr>
                <w:rFonts w:ascii="Arial" w:eastAsia="Calibri" w:hAnsi="Arial" w:cs="Arial"/>
                <w:color w:val="000000"/>
                <w:sz w:val="20"/>
                <w:szCs w:val="20"/>
                <w:lang w:val="hr-HR"/>
              </w:rPr>
            </w:pPr>
            <w:r w:rsidRPr="00BA5ECE">
              <w:rPr>
                <w:rFonts w:ascii="Arial" w:eastAsia="Calibri" w:hAnsi="Arial" w:cs="Arial"/>
                <w:color w:val="000000"/>
                <w:sz w:val="20"/>
                <w:szCs w:val="20"/>
                <w:lang w:val="hr-HR"/>
              </w:rPr>
              <w:t>(2.328)</w:t>
            </w:r>
          </w:p>
        </w:tc>
      </w:tr>
      <w:tr w:rsidR="004E2F51" w:rsidRPr="00BA5ECE" w14:paraId="58C0181C" w14:textId="77777777" w:rsidTr="00E032FC">
        <w:trPr>
          <w:trHeight w:val="298"/>
          <w:jc w:val="center"/>
        </w:trPr>
        <w:tc>
          <w:tcPr>
            <w:tcW w:w="2758" w:type="pct"/>
            <w:vAlign w:val="bottom"/>
          </w:tcPr>
          <w:p w14:paraId="46567AA5" w14:textId="77777777" w:rsidR="004E2F51" w:rsidRPr="00BA5ECE" w:rsidRDefault="004E2F51" w:rsidP="00E032FC">
            <w:pPr>
              <w:spacing w:line="256" w:lineRule="auto"/>
              <w:rPr>
                <w:rFonts w:ascii="Arial" w:eastAsia="Calibri" w:hAnsi="Arial" w:cs="Arial"/>
                <w:color w:val="000000"/>
                <w:sz w:val="20"/>
                <w:szCs w:val="20"/>
                <w:lang w:val="hr-HR"/>
              </w:rPr>
            </w:pPr>
            <w:r w:rsidRPr="00AC5750">
              <w:rPr>
                <w:rFonts w:ascii="Arial" w:eastAsia="Calibri" w:hAnsi="Arial" w:cs="Arial"/>
                <w:color w:val="000000"/>
                <w:sz w:val="20"/>
                <w:szCs w:val="20"/>
                <w:lang w:val="hr-HR"/>
              </w:rPr>
              <w:t>Neto tečajne razlike</w:t>
            </w:r>
          </w:p>
        </w:tc>
        <w:tc>
          <w:tcPr>
            <w:tcW w:w="1122" w:type="pct"/>
            <w:tcBorders>
              <w:left w:val="nil"/>
              <w:right w:val="nil"/>
            </w:tcBorders>
            <w:shd w:val="clear" w:color="auto" w:fill="auto"/>
            <w:vAlign w:val="bottom"/>
          </w:tcPr>
          <w:p w14:paraId="7EABDA17" w14:textId="77777777" w:rsidR="004E2F51" w:rsidRPr="00AC5750" w:rsidRDefault="004E2F51" w:rsidP="00E032FC">
            <w:pPr>
              <w:tabs>
                <w:tab w:val="right" w:pos="1202"/>
              </w:tabs>
              <w:spacing w:line="260" w:lineRule="exact"/>
              <w:jc w:val="right"/>
              <w:outlineLvl w:val="0"/>
              <w:rPr>
                <w:rFonts w:ascii="Arial" w:eastAsia="Calibri" w:hAnsi="Arial" w:cs="Arial"/>
                <w:color w:val="000000"/>
                <w:sz w:val="20"/>
                <w:szCs w:val="20"/>
                <w:lang w:val="hr-HR"/>
              </w:rPr>
            </w:pPr>
            <w:r w:rsidRPr="00AC5750">
              <w:rPr>
                <w:rFonts w:ascii="Arial" w:eastAsia="Calibri" w:hAnsi="Arial" w:cs="Arial"/>
                <w:color w:val="000000"/>
                <w:sz w:val="20"/>
                <w:szCs w:val="20"/>
                <w:lang w:val="hr-HR"/>
              </w:rPr>
              <w:t>1.67</w:t>
            </w:r>
            <w:r>
              <w:rPr>
                <w:rFonts w:ascii="Arial" w:eastAsia="Calibri" w:hAnsi="Arial" w:cs="Arial"/>
                <w:color w:val="000000"/>
                <w:sz w:val="20"/>
                <w:szCs w:val="20"/>
                <w:lang w:val="hr-HR"/>
              </w:rPr>
              <w:t>9</w:t>
            </w:r>
          </w:p>
        </w:tc>
        <w:tc>
          <w:tcPr>
            <w:tcW w:w="1120" w:type="pct"/>
            <w:tcBorders>
              <w:left w:val="nil"/>
              <w:right w:val="nil"/>
            </w:tcBorders>
            <w:shd w:val="clear" w:color="auto" w:fill="auto"/>
            <w:vAlign w:val="bottom"/>
          </w:tcPr>
          <w:p w14:paraId="21DA8F81" w14:textId="77777777" w:rsidR="004E2F51" w:rsidRPr="00BA5ECE" w:rsidRDefault="004E2F51" w:rsidP="00E032FC">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w:t>
            </w:r>
          </w:p>
        </w:tc>
      </w:tr>
      <w:tr w:rsidR="004E2F51" w:rsidRPr="00BA5ECE" w14:paraId="02D38F6C" w14:textId="77777777" w:rsidTr="00E032FC">
        <w:trPr>
          <w:trHeight w:val="298"/>
          <w:jc w:val="center"/>
        </w:trPr>
        <w:tc>
          <w:tcPr>
            <w:tcW w:w="2758" w:type="pct"/>
            <w:vAlign w:val="bottom"/>
          </w:tcPr>
          <w:p w14:paraId="5C69D89D" w14:textId="77777777" w:rsidR="004E2F51" w:rsidRPr="00BA5ECE" w:rsidRDefault="004E2F51" w:rsidP="00E032FC">
            <w:pPr>
              <w:spacing w:line="256" w:lineRule="auto"/>
              <w:rPr>
                <w:rFonts w:ascii="Arial" w:eastAsia="Calibri" w:hAnsi="Arial" w:cs="Arial"/>
                <w:color w:val="000000"/>
                <w:sz w:val="20"/>
                <w:szCs w:val="20"/>
                <w:lang w:val="hr-HR"/>
              </w:rPr>
            </w:pPr>
            <w:r w:rsidRPr="00B00EAE">
              <w:rPr>
                <w:rFonts w:ascii="Arial" w:eastAsia="Calibri" w:hAnsi="Arial" w:cs="Arial"/>
                <w:color w:val="000000"/>
                <w:sz w:val="20"/>
                <w:szCs w:val="20"/>
                <w:lang w:val="hr-HR"/>
              </w:rPr>
              <w:t>Prodaja mezzanine kredita</w:t>
            </w:r>
          </w:p>
        </w:tc>
        <w:tc>
          <w:tcPr>
            <w:tcW w:w="1122" w:type="pct"/>
            <w:tcBorders>
              <w:left w:val="nil"/>
              <w:right w:val="nil"/>
            </w:tcBorders>
            <w:shd w:val="clear" w:color="auto" w:fill="auto"/>
            <w:vAlign w:val="bottom"/>
          </w:tcPr>
          <w:p w14:paraId="63A7F532" w14:textId="77777777" w:rsidR="004E2F51" w:rsidRPr="00AC5750" w:rsidRDefault="004E2F51" w:rsidP="00E032FC">
            <w:pPr>
              <w:tabs>
                <w:tab w:val="right" w:pos="1202"/>
              </w:tabs>
              <w:spacing w:line="260" w:lineRule="exact"/>
              <w:jc w:val="right"/>
              <w:outlineLvl w:val="0"/>
              <w:rPr>
                <w:rFonts w:ascii="Arial" w:eastAsia="Calibri" w:hAnsi="Arial" w:cs="Arial"/>
                <w:color w:val="000000"/>
                <w:sz w:val="20"/>
                <w:szCs w:val="20"/>
                <w:lang w:val="hr-HR"/>
              </w:rPr>
            </w:pPr>
            <w:r w:rsidRPr="00AC5750">
              <w:rPr>
                <w:rFonts w:ascii="Arial" w:eastAsia="Calibri" w:hAnsi="Arial" w:cs="Arial"/>
                <w:color w:val="000000"/>
                <w:sz w:val="20"/>
                <w:szCs w:val="20"/>
                <w:lang w:val="hr-HR"/>
              </w:rPr>
              <w:t>(2.702)</w:t>
            </w:r>
          </w:p>
        </w:tc>
        <w:tc>
          <w:tcPr>
            <w:tcW w:w="1120" w:type="pct"/>
            <w:tcBorders>
              <w:left w:val="nil"/>
              <w:right w:val="nil"/>
            </w:tcBorders>
            <w:shd w:val="clear" w:color="auto" w:fill="auto"/>
            <w:vAlign w:val="bottom"/>
          </w:tcPr>
          <w:p w14:paraId="3D766A2A" w14:textId="77777777" w:rsidR="004E2F51" w:rsidRPr="00BA5ECE" w:rsidRDefault="004E2F51" w:rsidP="00E032FC">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w:t>
            </w:r>
          </w:p>
        </w:tc>
      </w:tr>
      <w:tr w:rsidR="004E2F51" w:rsidRPr="00BA5ECE" w14:paraId="33E30CCB" w14:textId="77777777" w:rsidTr="00E032FC">
        <w:trPr>
          <w:trHeight w:val="298"/>
          <w:jc w:val="center"/>
        </w:trPr>
        <w:tc>
          <w:tcPr>
            <w:tcW w:w="2758" w:type="pct"/>
            <w:vAlign w:val="bottom"/>
          </w:tcPr>
          <w:p w14:paraId="0931E4A0" w14:textId="77777777" w:rsidR="004E2F51" w:rsidRPr="00BA5ECE" w:rsidRDefault="004E2F51" w:rsidP="00E032FC">
            <w:pPr>
              <w:spacing w:line="256" w:lineRule="auto"/>
              <w:rPr>
                <w:rFonts w:ascii="Arial" w:eastAsia="Calibri" w:hAnsi="Arial" w:cs="Arial"/>
                <w:color w:val="000000"/>
                <w:sz w:val="20"/>
                <w:szCs w:val="20"/>
                <w:lang w:val="hr-HR"/>
              </w:rPr>
            </w:pPr>
            <w:r w:rsidRPr="00BA5ECE">
              <w:rPr>
                <w:rFonts w:ascii="Arial" w:eastAsia="Calibri" w:hAnsi="Arial" w:cs="Arial"/>
                <w:color w:val="000000"/>
                <w:sz w:val="20"/>
                <w:szCs w:val="20"/>
                <w:lang w:val="hr-HR"/>
              </w:rPr>
              <w:t>Ostalo</w:t>
            </w:r>
          </w:p>
        </w:tc>
        <w:tc>
          <w:tcPr>
            <w:tcW w:w="1122" w:type="pct"/>
            <w:tcBorders>
              <w:left w:val="nil"/>
              <w:bottom w:val="single" w:sz="8" w:space="0" w:color="auto"/>
              <w:right w:val="nil"/>
            </w:tcBorders>
            <w:shd w:val="clear" w:color="auto" w:fill="auto"/>
            <w:vAlign w:val="bottom"/>
          </w:tcPr>
          <w:p w14:paraId="5A1C7F0E" w14:textId="77777777" w:rsidR="004E2F51" w:rsidRPr="00BA5ECE" w:rsidRDefault="004E2F51" w:rsidP="00E032FC">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w:t>
            </w:r>
          </w:p>
        </w:tc>
        <w:tc>
          <w:tcPr>
            <w:tcW w:w="1120" w:type="pct"/>
            <w:tcBorders>
              <w:left w:val="nil"/>
              <w:bottom w:val="single" w:sz="8" w:space="0" w:color="auto"/>
              <w:right w:val="nil"/>
            </w:tcBorders>
            <w:shd w:val="clear" w:color="auto" w:fill="auto"/>
            <w:vAlign w:val="bottom"/>
          </w:tcPr>
          <w:p w14:paraId="12431E03" w14:textId="77777777" w:rsidR="004E2F51" w:rsidRPr="00BA5ECE" w:rsidRDefault="004E2F51" w:rsidP="00E032FC">
            <w:pPr>
              <w:tabs>
                <w:tab w:val="right" w:pos="1202"/>
              </w:tabs>
              <w:spacing w:line="260" w:lineRule="exact"/>
              <w:jc w:val="right"/>
              <w:outlineLvl w:val="0"/>
              <w:rPr>
                <w:rFonts w:ascii="Arial" w:eastAsia="Calibri" w:hAnsi="Arial" w:cs="Arial"/>
                <w:color w:val="000000"/>
                <w:sz w:val="20"/>
                <w:szCs w:val="20"/>
                <w:lang w:val="hr-HR"/>
              </w:rPr>
            </w:pPr>
            <w:r w:rsidRPr="00BA5ECE">
              <w:rPr>
                <w:rFonts w:ascii="Arial" w:eastAsia="Calibri" w:hAnsi="Arial" w:cs="Arial"/>
                <w:color w:val="000000"/>
                <w:sz w:val="20"/>
                <w:szCs w:val="20"/>
                <w:lang w:val="hr-HR"/>
              </w:rPr>
              <w:t>16.045</w:t>
            </w:r>
          </w:p>
        </w:tc>
      </w:tr>
      <w:tr w:rsidR="004E2F51" w:rsidRPr="00BA5ECE" w14:paraId="5D426E2F" w14:textId="77777777" w:rsidTr="00E032FC">
        <w:trPr>
          <w:trHeight w:val="298"/>
          <w:jc w:val="center"/>
        </w:trPr>
        <w:tc>
          <w:tcPr>
            <w:tcW w:w="2758" w:type="pct"/>
            <w:vAlign w:val="bottom"/>
          </w:tcPr>
          <w:p w14:paraId="286E87F6" w14:textId="77777777" w:rsidR="004E2F51" w:rsidRPr="00BA5ECE" w:rsidRDefault="004E2F51" w:rsidP="00E032FC">
            <w:pPr>
              <w:rPr>
                <w:rFonts w:ascii="Arial" w:eastAsia="Calibri" w:hAnsi="Arial" w:cs="Arial"/>
                <w:b/>
                <w:bCs/>
                <w:color w:val="000000"/>
                <w:sz w:val="20"/>
                <w:szCs w:val="20"/>
                <w:lang w:val="hr-HR"/>
              </w:rPr>
            </w:pPr>
            <w:r w:rsidRPr="00BA5ECE">
              <w:rPr>
                <w:rFonts w:ascii="Arial" w:eastAsia="Calibri" w:hAnsi="Arial" w:cs="Arial"/>
                <w:b/>
                <w:bCs/>
                <w:color w:val="000000"/>
                <w:sz w:val="20"/>
                <w:szCs w:val="20"/>
                <w:lang w:val="hr-HR"/>
              </w:rPr>
              <w:t>Stanje 31. prosinca</w:t>
            </w:r>
          </w:p>
        </w:tc>
        <w:tc>
          <w:tcPr>
            <w:tcW w:w="1122" w:type="pct"/>
            <w:tcBorders>
              <w:top w:val="single" w:sz="8" w:space="0" w:color="000000"/>
              <w:left w:val="nil"/>
              <w:bottom w:val="single" w:sz="12" w:space="0" w:color="auto"/>
              <w:right w:val="nil"/>
            </w:tcBorders>
            <w:shd w:val="clear" w:color="auto" w:fill="auto"/>
            <w:vAlign w:val="bottom"/>
          </w:tcPr>
          <w:p w14:paraId="3362B565" w14:textId="77777777" w:rsidR="004E2F51" w:rsidRPr="00BA5ECE" w:rsidRDefault="004E2F51" w:rsidP="00E032FC">
            <w:pPr>
              <w:tabs>
                <w:tab w:val="right" w:pos="1202"/>
              </w:tabs>
              <w:jc w:val="right"/>
              <w:outlineLvl w:val="0"/>
              <w:rPr>
                <w:rFonts w:ascii="Arial" w:eastAsia="Calibri" w:hAnsi="Arial" w:cs="Arial"/>
                <w:b/>
                <w:color w:val="000000"/>
                <w:sz w:val="20"/>
                <w:szCs w:val="20"/>
                <w:lang w:val="hr-HR"/>
              </w:rPr>
            </w:pPr>
            <w:r w:rsidRPr="00AC5750">
              <w:rPr>
                <w:rFonts w:ascii="Arial" w:eastAsia="Calibri" w:hAnsi="Arial" w:cs="Arial"/>
                <w:b/>
                <w:color w:val="000000"/>
                <w:sz w:val="20"/>
                <w:szCs w:val="20"/>
                <w:lang w:val="hr-HR"/>
              </w:rPr>
              <w:t>22.831</w:t>
            </w:r>
          </w:p>
        </w:tc>
        <w:tc>
          <w:tcPr>
            <w:tcW w:w="1120" w:type="pct"/>
            <w:tcBorders>
              <w:top w:val="single" w:sz="8" w:space="0" w:color="000000"/>
              <w:left w:val="nil"/>
              <w:bottom w:val="single" w:sz="12" w:space="0" w:color="auto"/>
              <w:right w:val="nil"/>
            </w:tcBorders>
            <w:shd w:val="clear" w:color="auto" w:fill="auto"/>
            <w:vAlign w:val="bottom"/>
          </w:tcPr>
          <w:p w14:paraId="6CD5B30A" w14:textId="77777777" w:rsidR="004E2F51" w:rsidRPr="00BA5ECE" w:rsidRDefault="004E2F51" w:rsidP="00E032FC">
            <w:pPr>
              <w:tabs>
                <w:tab w:val="right" w:pos="1202"/>
              </w:tabs>
              <w:spacing w:line="260" w:lineRule="exact"/>
              <w:jc w:val="right"/>
              <w:outlineLvl w:val="0"/>
              <w:rPr>
                <w:rFonts w:ascii="Arial" w:eastAsia="Calibri" w:hAnsi="Arial" w:cs="Arial"/>
                <w:b/>
                <w:color w:val="000000"/>
                <w:sz w:val="20"/>
                <w:szCs w:val="20"/>
                <w:lang w:val="hr-HR"/>
              </w:rPr>
            </w:pPr>
            <w:r w:rsidRPr="00BA5ECE">
              <w:rPr>
                <w:rFonts w:ascii="Arial" w:eastAsia="Calibri" w:hAnsi="Arial" w:cs="Arial"/>
                <w:b/>
                <w:color w:val="000000"/>
                <w:sz w:val="20"/>
                <w:szCs w:val="20"/>
                <w:lang w:val="hr-HR"/>
              </w:rPr>
              <w:t>16.375</w:t>
            </w:r>
          </w:p>
        </w:tc>
      </w:tr>
    </w:tbl>
    <w:p w14:paraId="5889DC1C" w14:textId="77777777" w:rsidR="004E2F51" w:rsidRPr="00BA5ECE" w:rsidRDefault="004E2F51" w:rsidP="004E2F51">
      <w:pPr>
        <w:pStyle w:val="ListParagraph"/>
        <w:ind w:left="284"/>
        <w:rPr>
          <w:rFonts w:ascii="Arial" w:eastAsia="Calibri" w:hAnsi="Arial" w:cs="Arial"/>
          <w:color w:val="000000" w:themeColor="text1"/>
          <w:sz w:val="20"/>
          <w:szCs w:val="20"/>
          <w:lang w:val="hr-HR"/>
        </w:rPr>
      </w:pPr>
    </w:p>
    <w:p w14:paraId="3BCE129C" w14:textId="77777777" w:rsidR="004E2F51" w:rsidRPr="00BA5ECE" w:rsidRDefault="004E2F51" w:rsidP="004E2F51">
      <w:pPr>
        <w:pStyle w:val="ListParagraph"/>
        <w:ind w:left="284"/>
        <w:rPr>
          <w:rFonts w:ascii="Arial" w:eastAsia="Calibri" w:hAnsi="Arial" w:cs="Arial"/>
          <w:color w:val="000000" w:themeColor="text1"/>
          <w:sz w:val="20"/>
          <w:szCs w:val="20"/>
          <w:lang w:val="hr-HR"/>
        </w:rPr>
      </w:pPr>
    </w:p>
    <w:p w14:paraId="6BACCED9" w14:textId="77777777" w:rsidR="004E2F51" w:rsidRPr="00BA5ECE" w:rsidRDefault="004E2F51" w:rsidP="004E2F51">
      <w:pPr>
        <w:rPr>
          <w:rFonts w:ascii="Arial" w:eastAsia="Calibri" w:hAnsi="Arial" w:cs="Arial"/>
          <w:color w:val="000000" w:themeColor="text1"/>
          <w:sz w:val="20"/>
          <w:szCs w:val="20"/>
          <w:lang w:val="hr-HR"/>
        </w:rPr>
      </w:pPr>
    </w:p>
    <w:p w14:paraId="5F88556A" w14:textId="77777777" w:rsidR="004E2F51" w:rsidRPr="00BA5ECE" w:rsidRDefault="004E2F51">
      <w:pPr>
        <w:pStyle w:val="ListParagraph"/>
        <w:numPr>
          <w:ilvl w:val="2"/>
          <w:numId w:val="64"/>
        </w:numPr>
        <w:suppressAutoHyphens w:val="0"/>
        <w:autoSpaceDN/>
        <w:ind w:left="284" w:hanging="142"/>
        <w:jc w:val="both"/>
        <w:rPr>
          <w:rFonts w:ascii="Arial" w:eastAsia="Calibri" w:hAnsi="Arial" w:cs="Arial"/>
          <w:color w:val="000000" w:themeColor="text1"/>
          <w:sz w:val="20"/>
          <w:szCs w:val="20"/>
          <w:lang w:val="hr-HR"/>
        </w:rPr>
      </w:pPr>
      <w:r w:rsidRPr="00BA5ECE">
        <w:rPr>
          <w:rFonts w:ascii="Arial" w:eastAsia="Calibri" w:hAnsi="Arial" w:cs="Arial"/>
          <w:color w:val="000000" w:themeColor="text1"/>
          <w:sz w:val="20"/>
          <w:szCs w:val="20"/>
          <w:lang w:val="hr-HR"/>
        </w:rPr>
        <w:t>Fer vrijednost financijske imovine razine 3 koja je nakon početnog priznavanja svedena na fer vrijednost – dužnički vrijednosni papiri koji ne kotiraju:</w:t>
      </w:r>
    </w:p>
    <w:p w14:paraId="0C41A3A5" w14:textId="77777777" w:rsidR="004E2F51" w:rsidRPr="00BA5ECE" w:rsidRDefault="004E2F51" w:rsidP="004E2F51">
      <w:pPr>
        <w:rPr>
          <w:rFonts w:ascii="Arial" w:eastAsia="Calibri" w:hAnsi="Arial" w:cs="Arial"/>
          <w:color w:val="000000" w:themeColor="text1"/>
          <w:sz w:val="20"/>
          <w:szCs w:val="20"/>
          <w:lang w:val="hr-HR"/>
        </w:rPr>
      </w:pPr>
    </w:p>
    <w:tbl>
      <w:tblPr>
        <w:tblW w:w="5000" w:type="pct"/>
        <w:jc w:val="center"/>
        <w:tblCellMar>
          <w:left w:w="122" w:type="dxa"/>
          <w:right w:w="122" w:type="dxa"/>
        </w:tblCellMar>
        <w:tblLook w:val="04A0" w:firstRow="1" w:lastRow="0" w:firstColumn="1" w:lastColumn="0" w:noHBand="0" w:noVBand="1"/>
      </w:tblPr>
      <w:tblGrid>
        <w:gridCol w:w="5161"/>
        <w:gridCol w:w="2097"/>
        <w:gridCol w:w="2097"/>
      </w:tblGrid>
      <w:tr w:rsidR="004E2F51" w:rsidRPr="00BA5ECE" w14:paraId="649B3E5A" w14:textId="77777777" w:rsidTr="00E032FC">
        <w:trPr>
          <w:trHeight w:hRule="exact" w:val="253"/>
          <w:jc w:val="center"/>
        </w:trPr>
        <w:tc>
          <w:tcPr>
            <w:tcW w:w="2758" w:type="pct"/>
          </w:tcPr>
          <w:p w14:paraId="4D2FA624" w14:textId="77777777" w:rsidR="004E2F51" w:rsidRPr="00BA5ECE" w:rsidRDefault="004E2F51" w:rsidP="00E032FC">
            <w:pPr>
              <w:tabs>
                <w:tab w:val="right" w:pos="1202"/>
              </w:tabs>
              <w:spacing w:line="260" w:lineRule="exact"/>
              <w:outlineLvl w:val="0"/>
              <w:rPr>
                <w:rFonts w:ascii="Arial" w:eastAsia="Calibri" w:hAnsi="Arial" w:cs="Arial"/>
                <w:b/>
                <w:color w:val="000000"/>
                <w:spacing w:val="-2"/>
                <w:sz w:val="20"/>
                <w:szCs w:val="20"/>
                <w:lang w:val="hr-HR"/>
              </w:rPr>
            </w:pPr>
            <w:bookmarkStart w:id="2044" w:name="_Toc67331212"/>
            <w:r w:rsidRPr="00BA5ECE">
              <w:rPr>
                <w:rFonts w:ascii="Arial" w:eastAsia="Calibri" w:hAnsi="Arial" w:cs="Arial"/>
                <w:b/>
                <w:color w:val="000000"/>
                <w:spacing w:val="-2"/>
                <w:sz w:val="20"/>
                <w:szCs w:val="20"/>
                <w:lang w:val="hr-HR"/>
              </w:rPr>
              <w:t>Grupa i Banka</w:t>
            </w:r>
            <w:bookmarkEnd w:id="2044"/>
          </w:p>
        </w:tc>
        <w:tc>
          <w:tcPr>
            <w:tcW w:w="1121" w:type="pct"/>
            <w:vAlign w:val="center"/>
          </w:tcPr>
          <w:p w14:paraId="38058B92" w14:textId="77777777" w:rsidR="004E2F51" w:rsidRPr="00BA5ECE" w:rsidRDefault="004E2F51" w:rsidP="00E032FC">
            <w:pPr>
              <w:tabs>
                <w:tab w:val="right" w:pos="1202"/>
              </w:tabs>
              <w:spacing w:line="260" w:lineRule="exact"/>
              <w:jc w:val="right"/>
              <w:outlineLvl w:val="0"/>
              <w:rPr>
                <w:rFonts w:ascii="Arial" w:eastAsia="Calibri" w:hAnsi="Arial" w:cs="Arial"/>
                <w:b/>
                <w:color w:val="000000"/>
                <w:sz w:val="20"/>
                <w:szCs w:val="20"/>
                <w:lang w:val="hr-HR"/>
              </w:rPr>
            </w:pPr>
            <w:bookmarkStart w:id="2045" w:name="_Toc67331213"/>
            <w:r w:rsidRPr="00BA5ECE">
              <w:rPr>
                <w:rFonts w:ascii="Arial" w:hAnsi="Arial" w:cs="Arial"/>
                <w:b/>
                <w:color w:val="000000" w:themeColor="text1"/>
                <w:sz w:val="20"/>
                <w:szCs w:val="20"/>
                <w:lang w:val="hr-HR"/>
              </w:rPr>
              <w:t>202</w:t>
            </w:r>
            <w:r>
              <w:rPr>
                <w:rFonts w:ascii="Arial" w:hAnsi="Arial" w:cs="Arial"/>
                <w:b/>
                <w:color w:val="000000" w:themeColor="text1"/>
                <w:sz w:val="20"/>
                <w:szCs w:val="20"/>
                <w:lang w:val="hr-HR"/>
              </w:rPr>
              <w:t>2</w:t>
            </w:r>
            <w:r w:rsidRPr="00BA5ECE">
              <w:rPr>
                <w:rFonts w:ascii="Arial" w:hAnsi="Arial" w:cs="Arial"/>
                <w:b/>
                <w:color w:val="000000" w:themeColor="text1"/>
                <w:sz w:val="20"/>
                <w:szCs w:val="20"/>
                <w:lang w:val="hr-HR"/>
              </w:rPr>
              <w:t>.</w:t>
            </w:r>
            <w:bookmarkEnd w:id="2045"/>
          </w:p>
        </w:tc>
        <w:tc>
          <w:tcPr>
            <w:tcW w:w="1121" w:type="pct"/>
          </w:tcPr>
          <w:p w14:paraId="47C8275F" w14:textId="77777777" w:rsidR="004E2F51" w:rsidRPr="00BA5ECE" w:rsidRDefault="004E2F51" w:rsidP="00E032FC">
            <w:pPr>
              <w:tabs>
                <w:tab w:val="right" w:pos="1202"/>
              </w:tabs>
              <w:spacing w:line="260" w:lineRule="exact"/>
              <w:jc w:val="right"/>
              <w:outlineLvl w:val="0"/>
              <w:rPr>
                <w:rFonts w:ascii="Arial" w:eastAsia="Calibri" w:hAnsi="Arial" w:cs="Arial"/>
                <w:b/>
                <w:color w:val="000000"/>
                <w:sz w:val="20"/>
                <w:szCs w:val="20"/>
                <w:lang w:val="hr-HR"/>
              </w:rPr>
            </w:pPr>
            <w:bookmarkStart w:id="2046" w:name="_Toc67331214"/>
            <w:r w:rsidRPr="00BA5ECE">
              <w:rPr>
                <w:rFonts w:ascii="Arial" w:hAnsi="Arial" w:cs="Arial"/>
                <w:b/>
                <w:color w:val="000000" w:themeColor="text1"/>
                <w:sz w:val="20"/>
                <w:szCs w:val="20"/>
                <w:lang w:val="hr-HR"/>
              </w:rPr>
              <w:t>202</w:t>
            </w:r>
            <w:r>
              <w:rPr>
                <w:rFonts w:ascii="Arial" w:hAnsi="Arial" w:cs="Arial"/>
                <w:b/>
                <w:color w:val="000000" w:themeColor="text1"/>
                <w:sz w:val="20"/>
                <w:szCs w:val="20"/>
                <w:lang w:val="hr-HR"/>
              </w:rPr>
              <w:t>1</w:t>
            </w:r>
            <w:r w:rsidRPr="00BA5ECE">
              <w:rPr>
                <w:rFonts w:ascii="Arial" w:hAnsi="Arial" w:cs="Arial"/>
                <w:b/>
                <w:color w:val="000000" w:themeColor="text1"/>
                <w:sz w:val="20"/>
                <w:szCs w:val="20"/>
                <w:lang w:val="hr-HR"/>
              </w:rPr>
              <w:t>.</w:t>
            </w:r>
            <w:bookmarkEnd w:id="2046"/>
          </w:p>
        </w:tc>
      </w:tr>
      <w:tr w:rsidR="004E2F51" w:rsidRPr="00BA5ECE" w14:paraId="797E3869" w14:textId="77777777" w:rsidTr="00E032FC">
        <w:trPr>
          <w:trHeight w:hRule="exact" w:val="227"/>
          <w:jc w:val="center"/>
        </w:trPr>
        <w:tc>
          <w:tcPr>
            <w:tcW w:w="2758" w:type="pct"/>
          </w:tcPr>
          <w:p w14:paraId="32B3F08B" w14:textId="77777777" w:rsidR="004E2F51" w:rsidRPr="00BA5ECE" w:rsidRDefault="004E2F51" w:rsidP="00E032FC">
            <w:pPr>
              <w:tabs>
                <w:tab w:val="right" w:pos="1202"/>
              </w:tabs>
              <w:spacing w:line="260" w:lineRule="exact"/>
              <w:outlineLvl w:val="0"/>
              <w:rPr>
                <w:rFonts w:ascii="Arial" w:eastAsia="Calibri" w:hAnsi="Arial" w:cs="Arial"/>
                <w:b/>
                <w:color w:val="000000"/>
                <w:spacing w:val="-2"/>
                <w:sz w:val="20"/>
                <w:szCs w:val="20"/>
                <w:lang w:val="hr-HR"/>
              </w:rPr>
            </w:pPr>
          </w:p>
        </w:tc>
        <w:tc>
          <w:tcPr>
            <w:tcW w:w="1121" w:type="pct"/>
          </w:tcPr>
          <w:p w14:paraId="3C1FC2E9" w14:textId="77777777" w:rsidR="004E2F51" w:rsidRPr="00BA5ECE" w:rsidRDefault="004E2F51" w:rsidP="00E032FC">
            <w:pPr>
              <w:tabs>
                <w:tab w:val="right" w:pos="1202"/>
              </w:tabs>
              <w:spacing w:line="260" w:lineRule="exact"/>
              <w:jc w:val="right"/>
              <w:outlineLvl w:val="0"/>
              <w:rPr>
                <w:rFonts w:ascii="Arial" w:eastAsia="Calibri" w:hAnsi="Arial" w:cs="Arial"/>
                <w:b/>
                <w:color w:val="000000"/>
                <w:sz w:val="20"/>
                <w:szCs w:val="20"/>
                <w:lang w:val="hr-HR"/>
              </w:rPr>
            </w:pPr>
            <w:bookmarkStart w:id="2047" w:name="_Toc67331215"/>
            <w:r w:rsidRPr="00BA5ECE">
              <w:rPr>
                <w:rFonts w:ascii="Arial" w:eastAsia="Calibri" w:hAnsi="Arial" w:cs="Arial"/>
                <w:b/>
                <w:color w:val="000000"/>
                <w:sz w:val="20"/>
                <w:szCs w:val="20"/>
                <w:lang w:val="hr-HR"/>
              </w:rPr>
              <w:t>000 kuna</w:t>
            </w:r>
            <w:bookmarkEnd w:id="2047"/>
          </w:p>
        </w:tc>
        <w:tc>
          <w:tcPr>
            <w:tcW w:w="1121" w:type="pct"/>
          </w:tcPr>
          <w:p w14:paraId="29854A40" w14:textId="77777777" w:rsidR="004E2F51" w:rsidRPr="00BA5ECE" w:rsidRDefault="004E2F51" w:rsidP="00E032FC">
            <w:pPr>
              <w:tabs>
                <w:tab w:val="right" w:pos="1202"/>
              </w:tabs>
              <w:spacing w:line="260" w:lineRule="exact"/>
              <w:jc w:val="right"/>
              <w:outlineLvl w:val="0"/>
              <w:rPr>
                <w:rFonts w:ascii="Arial" w:eastAsia="Calibri" w:hAnsi="Arial" w:cs="Arial"/>
                <w:b/>
                <w:color w:val="000000"/>
                <w:sz w:val="20"/>
                <w:szCs w:val="20"/>
                <w:lang w:val="hr-HR"/>
              </w:rPr>
            </w:pPr>
            <w:bookmarkStart w:id="2048" w:name="_Toc67331216"/>
            <w:r w:rsidRPr="00BA5ECE">
              <w:rPr>
                <w:rFonts w:ascii="Arial" w:eastAsia="Calibri" w:hAnsi="Arial" w:cs="Arial"/>
                <w:b/>
                <w:color w:val="000000"/>
                <w:sz w:val="20"/>
                <w:szCs w:val="20"/>
                <w:lang w:val="hr-HR"/>
              </w:rPr>
              <w:t>000 kuna</w:t>
            </w:r>
            <w:bookmarkEnd w:id="2048"/>
          </w:p>
        </w:tc>
      </w:tr>
      <w:tr w:rsidR="004E2F51" w:rsidRPr="00BA5ECE" w14:paraId="5F2899C3" w14:textId="77777777" w:rsidTr="00E032FC">
        <w:trPr>
          <w:trHeight w:hRule="exact" w:val="284"/>
          <w:jc w:val="center"/>
        </w:trPr>
        <w:tc>
          <w:tcPr>
            <w:tcW w:w="2758" w:type="pct"/>
          </w:tcPr>
          <w:p w14:paraId="7A471910" w14:textId="77777777" w:rsidR="004E2F51" w:rsidRPr="00BA5ECE" w:rsidRDefault="004E2F51" w:rsidP="00E032FC">
            <w:pPr>
              <w:tabs>
                <w:tab w:val="right" w:pos="1202"/>
              </w:tabs>
              <w:spacing w:line="260" w:lineRule="exact"/>
              <w:outlineLvl w:val="0"/>
              <w:rPr>
                <w:rFonts w:ascii="Arial" w:eastAsia="Calibri" w:hAnsi="Arial" w:cs="Arial"/>
                <w:b/>
                <w:i/>
                <w:color w:val="000000"/>
                <w:spacing w:val="-2"/>
                <w:sz w:val="20"/>
                <w:szCs w:val="20"/>
                <w:lang w:val="hr-HR"/>
              </w:rPr>
            </w:pPr>
          </w:p>
        </w:tc>
        <w:tc>
          <w:tcPr>
            <w:tcW w:w="1121" w:type="pct"/>
          </w:tcPr>
          <w:p w14:paraId="14998402" w14:textId="77777777" w:rsidR="004E2F51" w:rsidRPr="00BA5ECE" w:rsidRDefault="004E2F51" w:rsidP="00E032FC">
            <w:pPr>
              <w:tabs>
                <w:tab w:val="right" w:pos="1202"/>
              </w:tabs>
              <w:spacing w:line="260" w:lineRule="exact"/>
              <w:jc w:val="right"/>
              <w:outlineLvl w:val="0"/>
              <w:rPr>
                <w:rFonts w:ascii="Arial" w:eastAsia="Calibri" w:hAnsi="Arial" w:cs="Arial"/>
                <w:color w:val="000000"/>
                <w:sz w:val="20"/>
                <w:szCs w:val="20"/>
                <w:lang w:val="hr-HR"/>
              </w:rPr>
            </w:pPr>
          </w:p>
        </w:tc>
        <w:tc>
          <w:tcPr>
            <w:tcW w:w="1121" w:type="pct"/>
          </w:tcPr>
          <w:p w14:paraId="606A0AAE" w14:textId="77777777" w:rsidR="004E2F51" w:rsidRPr="00BA5ECE" w:rsidRDefault="004E2F51" w:rsidP="00E032FC">
            <w:pPr>
              <w:tabs>
                <w:tab w:val="right" w:pos="1202"/>
              </w:tabs>
              <w:spacing w:line="260" w:lineRule="exact"/>
              <w:jc w:val="right"/>
              <w:outlineLvl w:val="0"/>
              <w:rPr>
                <w:rFonts w:ascii="Arial" w:eastAsia="Calibri" w:hAnsi="Arial" w:cs="Arial"/>
                <w:color w:val="000000"/>
                <w:sz w:val="20"/>
                <w:szCs w:val="20"/>
                <w:lang w:val="hr-HR"/>
              </w:rPr>
            </w:pPr>
          </w:p>
        </w:tc>
      </w:tr>
      <w:tr w:rsidR="004E2F51" w:rsidRPr="00BA5ECE" w14:paraId="75F7A113" w14:textId="77777777" w:rsidTr="00E032FC">
        <w:trPr>
          <w:trHeight w:val="283"/>
          <w:jc w:val="center"/>
        </w:trPr>
        <w:tc>
          <w:tcPr>
            <w:tcW w:w="2758" w:type="pct"/>
            <w:vAlign w:val="bottom"/>
            <w:hideMark/>
          </w:tcPr>
          <w:p w14:paraId="339FC4E7" w14:textId="77777777" w:rsidR="004E2F51" w:rsidRPr="00BA5ECE" w:rsidRDefault="004E2F51" w:rsidP="00E032FC">
            <w:pPr>
              <w:spacing w:line="256" w:lineRule="auto"/>
              <w:rPr>
                <w:rFonts w:ascii="Arial" w:eastAsia="Calibri" w:hAnsi="Arial" w:cs="Arial"/>
                <w:b/>
                <w:bCs/>
                <w:color w:val="000000"/>
                <w:sz w:val="20"/>
                <w:szCs w:val="20"/>
                <w:lang w:val="hr-HR"/>
              </w:rPr>
            </w:pPr>
            <w:r w:rsidRPr="00BA5ECE">
              <w:rPr>
                <w:rFonts w:ascii="Arial" w:eastAsia="Calibri" w:hAnsi="Arial" w:cs="Arial"/>
                <w:b/>
                <w:bCs/>
                <w:color w:val="000000"/>
                <w:sz w:val="20"/>
                <w:szCs w:val="20"/>
                <w:lang w:val="hr-HR"/>
              </w:rPr>
              <w:t xml:space="preserve">Stanje 1. siječnja </w:t>
            </w:r>
          </w:p>
        </w:tc>
        <w:tc>
          <w:tcPr>
            <w:tcW w:w="1121" w:type="pct"/>
            <w:tcBorders>
              <w:top w:val="nil"/>
              <w:left w:val="nil"/>
              <w:bottom w:val="single" w:sz="2" w:space="0" w:color="auto"/>
              <w:right w:val="nil"/>
            </w:tcBorders>
            <w:vAlign w:val="bottom"/>
          </w:tcPr>
          <w:p w14:paraId="13519D73" w14:textId="77777777" w:rsidR="004E2F51" w:rsidRPr="00BA5ECE" w:rsidRDefault="004E2F51" w:rsidP="00E032FC">
            <w:pPr>
              <w:tabs>
                <w:tab w:val="right" w:pos="1202"/>
              </w:tabs>
              <w:spacing w:line="260" w:lineRule="exact"/>
              <w:jc w:val="right"/>
              <w:outlineLvl w:val="0"/>
              <w:rPr>
                <w:rFonts w:ascii="Arial" w:eastAsia="Calibri" w:hAnsi="Arial" w:cs="Arial"/>
                <w:b/>
                <w:color w:val="000000"/>
                <w:sz w:val="20"/>
                <w:szCs w:val="20"/>
                <w:lang w:val="hr-HR"/>
              </w:rPr>
            </w:pPr>
            <w:r w:rsidRPr="00BA5ECE">
              <w:rPr>
                <w:rFonts w:ascii="Arial" w:eastAsia="Calibri" w:hAnsi="Arial" w:cs="Arial"/>
                <w:b/>
                <w:color w:val="000000"/>
                <w:sz w:val="20"/>
                <w:szCs w:val="20"/>
                <w:lang w:val="hr-HR"/>
              </w:rPr>
              <w:t>2.176</w:t>
            </w:r>
          </w:p>
        </w:tc>
        <w:tc>
          <w:tcPr>
            <w:tcW w:w="1121" w:type="pct"/>
            <w:tcBorders>
              <w:top w:val="nil"/>
              <w:left w:val="nil"/>
              <w:bottom w:val="single" w:sz="2" w:space="0" w:color="auto"/>
              <w:right w:val="nil"/>
            </w:tcBorders>
            <w:vAlign w:val="bottom"/>
          </w:tcPr>
          <w:p w14:paraId="3D11FBDA" w14:textId="77777777" w:rsidR="004E2F51" w:rsidRPr="00BA5ECE" w:rsidRDefault="004E2F51" w:rsidP="00E032FC">
            <w:pPr>
              <w:tabs>
                <w:tab w:val="right" w:pos="1202"/>
              </w:tabs>
              <w:spacing w:line="260" w:lineRule="exact"/>
              <w:jc w:val="right"/>
              <w:outlineLvl w:val="0"/>
              <w:rPr>
                <w:rFonts w:ascii="Arial" w:eastAsia="Calibri" w:hAnsi="Arial" w:cs="Arial"/>
                <w:b/>
                <w:color w:val="000000"/>
                <w:sz w:val="20"/>
                <w:szCs w:val="20"/>
                <w:lang w:val="hr-HR"/>
              </w:rPr>
            </w:pPr>
            <w:r w:rsidRPr="00BA5ECE">
              <w:rPr>
                <w:rFonts w:ascii="Arial" w:eastAsia="Calibri" w:hAnsi="Arial" w:cs="Arial"/>
                <w:b/>
                <w:color w:val="000000"/>
                <w:sz w:val="20"/>
                <w:szCs w:val="20"/>
                <w:lang w:val="hr-HR"/>
              </w:rPr>
              <w:t>2.262</w:t>
            </w:r>
          </w:p>
        </w:tc>
      </w:tr>
      <w:tr w:rsidR="004E2F51" w:rsidRPr="00BA5ECE" w14:paraId="57EF7A94" w14:textId="77777777" w:rsidTr="00E032FC">
        <w:trPr>
          <w:trHeight w:val="283"/>
          <w:jc w:val="center"/>
        </w:trPr>
        <w:tc>
          <w:tcPr>
            <w:tcW w:w="2758" w:type="pct"/>
            <w:vAlign w:val="bottom"/>
            <w:hideMark/>
          </w:tcPr>
          <w:p w14:paraId="37EB4FA9" w14:textId="77777777" w:rsidR="004E2F51" w:rsidRPr="00BA5ECE" w:rsidRDefault="004E2F51" w:rsidP="00E032FC">
            <w:pPr>
              <w:spacing w:line="256" w:lineRule="auto"/>
              <w:rPr>
                <w:rFonts w:ascii="Arial" w:eastAsia="Calibri" w:hAnsi="Arial" w:cs="Arial"/>
                <w:color w:val="000000"/>
                <w:sz w:val="20"/>
                <w:szCs w:val="20"/>
                <w:lang w:val="hr-HR"/>
              </w:rPr>
            </w:pPr>
            <w:r w:rsidRPr="00BA5ECE">
              <w:rPr>
                <w:rFonts w:ascii="Arial" w:eastAsia="Calibri" w:hAnsi="Arial" w:cs="Arial"/>
                <w:color w:val="000000"/>
                <w:sz w:val="20"/>
                <w:szCs w:val="20"/>
                <w:lang w:val="hr-HR"/>
              </w:rPr>
              <w:t>Smanjenje fer vrijednosti kroz ostalu sveobuhvatnu dobit</w:t>
            </w:r>
          </w:p>
        </w:tc>
        <w:tc>
          <w:tcPr>
            <w:tcW w:w="1121" w:type="pct"/>
            <w:tcBorders>
              <w:top w:val="nil"/>
              <w:left w:val="nil"/>
              <w:right w:val="nil"/>
            </w:tcBorders>
            <w:shd w:val="clear" w:color="auto" w:fill="auto"/>
            <w:vAlign w:val="bottom"/>
          </w:tcPr>
          <w:p w14:paraId="595BE6AD" w14:textId="77777777" w:rsidR="004E2F51" w:rsidRPr="00BA5ECE" w:rsidRDefault="004E2F51" w:rsidP="00E032FC">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(71)</w:t>
            </w:r>
          </w:p>
        </w:tc>
        <w:tc>
          <w:tcPr>
            <w:tcW w:w="1121" w:type="pct"/>
            <w:tcBorders>
              <w:top w:val="nil"/>
              <w:left w:val="nil"/>
              <w:right w:val="nil"/>
            </w:tcBorders>
            <w:shd w:val="clear" w:color="auto" w:fill="auto"/>
            <w:vAlign w:val="bottom"/>
          </w:tcPr>
          <w:p w14:paraId="35AD6459" w14:textId="77777777" w:rsidR="004E2F51" w:rsidRPr="00BA5ECE" w:rsidRDefault="004E2F51" w:rsidP="00E032FC">
            <w:pPr>
              <w:tabs>
                <w:tab w:val="right" w:pos="1202"/>
              </w:tabs>
              <w:spacing w:line="260" w:lineRule="exact"/>
              <w:jc w:val="right"/>
              <w:outlineLvl w:val="0"/>
              <w:rPr>
                <w:rFonts w:ascii="Arial" w:eastAsia="Calibri" w:hAnsi="Arial" w:cs="Arial"/>
                <w:color w:val="000000"/>
                <w:sz w:val="20"/>
                <w:szCs w:val="20"/>
                <w:lang w:val="hr-HR"/>
              </w:rPr>
            </w:pPr>
            <w:r w:rsidRPr="00BA5ECE">
              <w:rPr>
                <w:rFonts w:ascii="Arial" w:eastAsia="Calibri" w:hAnsi="Arial" w:cs="Arial"/>
                <w:color w:val="000000"/>
                <w:sz w:val="20"/>
                <w:szCs w:val="20"/>
                <w:lang w:val="hr-HR"/>
              </w:rPr>
              <w:t>(22)</w:t>
            </w:r>
          </w:p>
        </w:tc>
      </w:tr>
      <w:tr w:rsidR="004E2F51" w:rsidRPr="00BA5ECE" w14:paraId="34213B64" w14:textId="77777777" w:rsidTr="00E032FC">
        <w:trPr>
          <w:trHeight w:val="283"/>
          <w:jc w:val="center"/>
        </w:trPr>
        <w:tc>
          <w:tcPr>
            <w:tcW w:w="2758" w:type="pct"/>
            <w:vAlign w:val="bottom"/>
          </w:tcPr>
          <w:p w14:paraId="193E6E36" w14:textId="77777777" w:rsidR="004E2F51" w:rsidRPr="00BA5ECE" w:rsidRDefault="004E2F51" w:rsidP="00E032FC">
            <w:pPr>
              <w:spacing w:line="256" w:lineRule="auto"/>
              <w:rPr>
                <w:rFonts w:ascii="Arial" w:eastAsia="Calibri" w:hAnsi="Arial" w:cs="Arial"/>
                <w:color w:val="000000"/>
                <w:sz w:val="20"/>
                <w:szCs w:val="20"/>
                <w:lang w:val="hr-HR"/>
              </w:rPr>
            </w:pPr>
            <w:r w:rsidRPr="00BA5ECE">
              <w:rPr>
                <w:rFonts w:ascii="Arial" w:eastAsia="Calibri" w:hAnsi="Arial" w:cs="Arial"/>
                <w:color w:val="000000"/>
                <w:sz w:val="20"/>
                <w:szCs w:val="20"/>
                <w:lang w:val="hr-HR"/>
              </w:rPr>
              <w:t>Neto tečajne razlike</w:t>
            </w:r>
          </w:p>
        </w:tc>
        <w:tc>
          <w:tcPr>
            <w:tcW w:w="1121" w:type="pct"/>
            <w:tcBorders>
              <w:top w:val="nil"/>
              <w:left w:val="nil"/>
              <w:right w:val="nil"/>
            </w:tcBorders>
            <w:shd w:val="clear" w:color="auto" w:fill="auto"/>
            <w:vAlign w:val="bottom"/>
          </w:tcPr>
          <w:p w14:paraId="0B16DD6B" w14:textId="77777777" w:rsidR="004E2F51" w:rsidRPr="00BA5ECE" w:rsidRDefault="004E2F51" w:rsidP="00E032FC">
            <w:pPr>
              <w:tabs>
                <w:tab w:val="right" w:pos="1202"/>
              </w:tabs>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7</w:t>
            </w:r>
          </w:p>
        </w:tc>
        <w:tc>
          <w:tcPr>
            <w:tcW w:w="1121" w:type="pct"/>
            <w:tcBorders>
              <w:top w:val="nil"/>
              <w:left w:val="nil"/>
              <w:right w:val="nil"/>
            </w:tcBorders>
            <w:shd w:val="clear" w:color="auto" w:fill="auto"/>
            <w:vAlign w:val="bottom"/>
          </w:tcPr>
          <w:p w14:paraId="07391682" w14:textId="77777777" w:rsidR="004E2F51" w:rsidRPr="00BA5ECE" w:rsidRDefault="004E2F51" w:rsidP="00E032FC">
            <w:pPr>
              <w:tabs>
                <w:tab w:val="right" w:pos="1202"/>
              </w:tabs>
              <w:jc w:val="right"/>
              <w:outlineLvl w:val="0"/>
              <w:rPr>
                <w:rFonts w:ascii="Arial" w:eastAsia="Calibri" w:hAnsi="Arial" w:cs="Arial"/>
                <w:color w:val="000000"/>
                <w:sz w:val="20"/>
                <w:szCs w:val="20"/>
                <w:lang w:val="hr-HR"/>
              </w:rPr>
            </w:pPr>
            <w:r w:rsidRPr="00BA5ECE">
              <w:rPr>
                <w:rFonts w:ascii="Arial" w:eastAsia="Calibri" w:hAnsi="Arial" w:cs="Arial"/>
                <w:color w:val="000000"/>
                <w:sz w:val="20"/>
                <w:szCs w:val="20"/>
                <w:lang w:val="hr-HR"/>
              </w:rPr>
              <w:t>(14)</w:t>
            </w:r>
          </w:p>
        </w:tc>
      </w:tr>
      <w:tr w:rsidR="004E2F51" w:rsidRPr="00BA5ECE" w14:paraId="6C0DFDD8" w14:textId="77777777" w:rsidTr="00E032FC">
        <w:trPr>
          <w:trHeight w:val="283"/>
          <w:jc w:val="center"/>
        </w:trPr>
        <w:tc>
          <w:tcPr>
            <w:tcW w:w="2758" w:type="pct"/>
            <w:vAlign w:val="bottom"/>
          </w:tcPr>
          <w:p w14:paraId="79F02DB6" w14:textId="77777777" w:rsidR="004E2F51" w:rsidRPr="00BA5ECE" w:rsidRDefault="004E2F51" w:rsidP="00E032FC">
            <w:pPr>
              <w:spacing w:line="256" w:lineRule="auto"/>
              <w:rPr>
                <w:rFonts w:ascii="Arial" w:eastAsia="Calibri" w:hAnsi="Arial" w:cs="Arial"/>
                <w:color w:val="000000"/>
                <w:sz w:val="20"/>
                <w:szCs w:val="20"/>
                <w:lang w:val="hr-HR"/>
              </w:rPr>
            </w:pPr>
            <w:r w:rsidRPr="00BA5ECE">
              <w:rPr>
                <w:rFonts w:ascii="Arial" w:eastAsia="Calibri" w:hAnsi="Arial" w:cs="Arial"/>
                <w:color w:val="000000"/>
                <w:sz w:val="20"/>
                <w:szCs w:val="20"/>
                <w:lang w:val="hr-HR"/>
              </w:rPr>
              <w:t>Obračunane kamate</w:t>
            </w:r>
          </w:p>
        </w:tc>
        <w:tc>
          <w:tcPr>
            <w:tcW w:w="1121" w:type="pct"/>
            <w:tcBorders>
              <w:left w:val="nil"/>
              <w:bottom w:val="single" w:sz="8" w:space="0" w:color="000000"/>
              <w:right w:val="nil"/>
            </w:tcBorders>
            <w:shd w:val="clear" w:color="auto" w:fill="auto"/>
            <w:vAlign w:val="bottom"/>
          </w:tcPr>
          <w:p w14:paraId="0E169CC6" w14:textId="77777777" w:rsidR="004E2F51" w:rsidRPr="00BA5ECE" w:rsidRDefault="004E2F51" w:rsidP="00E032FC">
            <w:pPr>
              <w:tabs>
                <w:tab w:val="right" w:pos="1202"/>
              </w:tabs>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(144)</w:t>
            </w:r>
          </w:p>
        </w:tc>
        <w:tc>
          <w:tcPr>
            <w:tcW w:w="1121" w:type="pct"/>
            <w:tcBorders>
              <w:left w:val="nil"/>
              <w:bottom w:val="single" w:sz="8" w:space="0" w:color="000000"/>
              <w:right w:val="nil"/>
            </w:tcBorders>
            <w:shd w:val="clear" w:color="auto" w:fill="auto"/>
            <w:vAlign w:val="bottom"/>
          </w:tcPr>
          <w:p w14:paraId="148922F0" w14:textId="77777777" w:rsidR="004E2F51" w:rsidRPr="00BA5ECE" w:rsidRDefault="004E2F51" w:rsidP="00E032FC">
            <w:pPr>
              <w:tabs>
                <w:tab w:val="right" w:pos="1202"/>
              </w:tabs>
              <w:spacing w:line="260" w:lineRule="exact"/>
              <w:jc w:val="right"/>
              <w:outlineLvl w:val="0"/>
              <w:rPr>
                <w:rFonts w:ascii="Arial" w:eastAsia="Calibri" w:hAnsi="Arial" w:cs="Arial"/>
                <w:color w:val="000000"/>
                <w:sz w:val="20"/>
                <w:szCs w:val="20"/>
                <w:lang w:val="hr-HR"/>
              </w:rPr>
            </w:pPr>
            <w:r w:rsidRPr="00BA5ECE">
              <w:rPr>
                <w:rFonts w:ascii="Arial" w:eastAsia="Calibri" w:hAnsi="Arial" w:cs="Arial"/>
                <w:color w:val="000000"/>
                <w:sz w:val="20"/>
                <w:szCs w:val="20"/>
                <w:lang w:val="hr-HR"/>
              </w:rPr>
              <w:t>(50)</w:t>
            </w:r>
          </w:p>
        </w:tc>
      </w:tr>
      <w:tr w:rsidR="004E2F51" w:rsidRPr="00BA5ECE" w14:paraId="69033EAB" w14:textId="77777777" w:rsidTr="00E032FC">
        <w:trPr>
          <w:trHeight w:val="283"/>
          <w:jc w:val="center"/>
        </w:trPr>
        <w:tc>
          <w:tcPr>
            <w:tcW w:w="2758" w:type="pct"/>
            <w:vAlign w:val="bottom"/>
          </w:tcPr>
          <w:p w14:paraId="6FD02B32" w14:textId="77777777" w:rsidR="004E2F51" w:rsidRPr="00BA5ECE" w:rsidRDefault="004E2F51" w:rsidP="00E032FC">
            <w:pPr>
              <w:rPr>
                <w:rFonts w:ascii="Arial" w:eastAsia="Calibri" w:hAnsi="Arial" w:cs="Arial"/>
                <w:b/>
                <w:bCs/>
                <w:color w:val="000000"/>
                <w:sz w:val="20"/>
                <w:szCs w:val="20"/>
                <w:lang w:val="hr-HR"/>
              </w:rPr>
            </w:pPr>
            <w:r w:rsidRPr="00BA5ECE">
              <w:rPr>
                <w:rFonts w:ascii="Arial" w:eastAsia="Calibri" w:hAnsi="Arial" w:cs="Arial"/>
                <w:b/>
                <w:bCs/>
                <w:color w:val="000000"/>
                <w:sz w:val="20"/>
                <w:szCs w:val="20"/>
                <w:lang w:val="hr-HR"/>
              </w:rPr>
              <w:t>Stanje 31. prosinca</w:t>
            </w:r>
          </w:p>
        </w:tc>
        <w:tc>
          <w:tcPr>
            <w:tcW w:w="1121" w:type="pct"/>
            <w:tcBorders>
              <w:top w:val="single" w:sz="8" w:space="0" w:color="000000"/>
              <w:left w:val="nil"/>
              <w:bottom w:val="single" w:sz="12" w:space="0" w:color="auto"/>
              <w:right w:val="nil"/>
            </w:tcBorders>
            <w:shd w:val="clear" w:color="auto" w:fill="auto"/>
            <w:vAlign w:val="bottom"/>
          </w:tcPr>
          <w:p w14:paraId="20161461" w14:textId="77777777" w:rsidR="004E2F51" w:rsidRPr="00BA5ECE" w:rsidRDefault="004E2F51" w:rsidP="00E032FC">
            <w:pPr>
              <w:tabs>
                <w:tab w:val="right" w:pos="1202"/>
              </w:tabs>
              <w:jc w:val="right"/>
              <w:outlineLvl w:val="0"/>
              <w:rPr>
                <w:rFonts w:ascii="Arial" w:eastAsia="Calibri" w:hAnsi="Arial" w:cs="Arial"/>
                <w:b/>
                <w:color w:val="000000"/>
                <w:sz w:val="20"/>
                <w:szCs w:val="20"/>
                <w:lang w:val="hr-HR"/>
              </w:rPr>
            </w:pPr>
            <w:r w:rsidRPr="00AC5750">
              <w:rPr>
                <w:rFonts w:ascii="Arial" w:eastAsia="Calibri" w:hAnsi="Arial" w:cs="Arial"/>
                <w:b/>
                <w:color w:val="000000"/>
                <w:sz w:val="20"/>
                <w:szCs w:val="20"/>
                <w:lang w:val="hr-HR"/>
              </w:rPr>
              <w:t>1.968</w:t>
            </w:r>
          </w:p>
        </w:tc>
        <w:tc>
          <w:tcPr>
            <w:tcW w:w="1121" w:type="pct"/>
            <w:tcBorders>
              <w:top w:val="single" w:sz="8" w:space="0" w:color="000000"/>
              <w:left w:val="nil"/>
              <w:bottom w:val="single" w:sz="12" w:space="0" w:color="auto"/>
              <w:right w:val="nil"/>
            </w:tcBorders>
            <w:shd w:val="clear" w:color="auto" w:fill="auto"/>
            <w:vAlign w:val="bottom"/>
          </w:tcPr>
          <w:p w14:paraId="0A18806B" w14:textId="77777777" w:rsidR="004E2F51" w:rsidRPr="00BA5ECE" w:rsidRDefault="004E2F51" w:rsidP="00E032FC">
            <w:pPr>
              <w:tabs>
                <w:tab w:val="right" w:pos="1202"/>
              </w:tabs>
              <w:jc w:val="right"/>
              <w:outlineLvl w:val="0"/>
              <w:rPr>
                <w:rFonts w:ascii="Arial" w:eastAsia="Calibri" w:hAnsi="Arial" w:cs="Arial"/>
                <w:b/>
                <w:color w:val="000000"/>
                <w:sz w:val="20"/>
                <w:szCs w:val="20"/>
                <w:lang w:val="hr-HR"/>
              </w:rPr>
            </w:pPr>
            <w:r w:rsidRPr="00BA5ECE">
              <w:rPr>
                <w:rFonts w:ascii="Arial" w:eastAsia="Calibri" w:hAnsi="Arial" w:cs="Arial"/>
                <w:b/>
                <w:color w:val="000000"/>
                <w:sz w:val="20"/>
                <w:szCs w:val="20"/>
                <w:lang w:val="hr-HR"/>
              </w:rPr>
              <w:t>2.176</w:t>
            </w:r>
          </w:p>
        </w:tc>
      </w:tr>
    </w:tbl>
    <w:p w14:paraId="3C880FFF" w14:textId="77777777" w:rsidR="004E2F51" w:rsidRPr="00B91D09" w:rsidRDefault="004E2F51" w:rsidP="004E2F51">
      <w:pPr>
        <w:rPr>
          <w:rFonts w:ascii="Arial" w:eastAsia="Calibri" w:hAnsi="Arial" w:cs="Arial"/>
          <w:color w:val="000000" w:themeColor="text1"/>
          <w:sz w:val="22"/>
          <w:szCs w:val="22"/>
          <w:lang w:val="hr-HR"/>
        </w:rPr>
      </w:pPr>
    </w:p>
    <w:p w14:paraId="4ADA765D" w14:textId="77777777" w:rsidR="004E2F51" w:rsidRPr="00B91D09" w:rsidRDefault="004E2F51" w:rsidP="004E2F51">
      <w:pPr>
        <w:rPr>
          <w:rFonts w:ascii="Arial" w:eastAsia="Calibri" w:hAnsi="Arial" w:cs="Arial"/>
          <w:color w:val="000000" w:themeColor="text1"/>
          <w:sz w:val="22"/>
          <w:szCs w:val="22"/>
          <w:lang w:val="hr-HR"/>
        </w:rPr>
      </w:pPr>
    </w:p>
    <w:p w14:paraId="39FBA7A0" w14:textId="77777777" w:rsidR="004E2F51" w:rsidRPr="00B91D09" w:rsidRDefault="004E2F51" w:rsidP="004E2F51">
      <w:pPr>
        <w:rPr>
          <w:rFonts w:ascii="Arial" w:eastAsia="Calibri" w:hAnsi="Arial" w:cs="Arial"/>
          <w:color w:val="000000" w:themeColor="text1"/>
          <w:sz w:val="22"/>
          <w:szCs w:val="22"/>
          <w:lang w:val="hr-HR"/>
        </w:rPr>
      </w:pPr>
    </w:p>
    <w:p w14:paraId="065A76CD" w14:textId="77777777" w:rsidR="004E2F51" w:rsidRPr="00B91D09" w:rsidRDefault="004E2F51" w:rsidP="004E2F51">
      <w:pPr>
        <w:rPr>
          <w:rFonts w:ascii="Arial" w:eastAsia="Calibri" w:hAnsi="Arial" w:cs="Arial"/>
          <w:color w:val="000000" w:themeColor="text1"/>
          <w:sz w:val="22"/>
          <w:szCs w:val="22"/>
          <w:lang w:val="hr-HR"/>
        </w:rPr>
      </w:pPr>
    </w:p>
    <w:p w14:paraId="578C497F" w14:textId="77777777" w:rsidR="004E2F51" w:rsidRPr="00B91D09" w:rsidRDefault="004E2F51" w:rsidP="004E2F51">
      <w:pPr>
        <w:jc w:val="both"/>
        <w:rPr>
          <w:rFonts w:ascii="Arial" w:eastAsia="Calibri" w:hAnsi="Arial" w:cs="Arial"/>
          <w:i/>
          <w:color w:val="000000" w:themeColor="text1"/>
          <w:sz w:val="20"/>
          <w:szCs w:val="20"/>
          <w:lang w:val="hr-HR"/>
        </w:rPr>
      </w:pPr>
    </w:p>
    <w:p w14:paraId="3BEC81BA" w14:textId="77777777" w:rsidR="004E2F51" w:rsidRPr="00B91D09" w:rsidRDefault="004E2F51" w:rsidP="004E2F51">
      <w:pPr>
        <w:jc w:val="both"/>
        <w:rPr>
          <w:rFonts w:ascii="Arial" w:eastAsia="Calibri" w:hAnsi="Arial" w:cs="Arial"/>
          <w:i/>
          <w:color w:val="000000" w:themeColor="text1"/>
          <w:sz w:val="20"/>
          <w:szCs w:val="20"/>
          <w:lang w:val="hr-HR"/>
        </w:rPr>
      </w:pPr>
    </w:p>
    <w:p w14:paraId="7B398852" w14:textId="77777777" w:rsidR="004E2F51" w:rsidRPr="00B91D09" w:rsidRDefault="004E2F51" w:rsidP="004E2F51">
      <w:pPr>
        <w:jc w:val="both"/>
        <w:rPr>
          <w:rFonts w:ascii="Arial" w:eastAsia="Calibri" w:hAnsi="Arial" w:cs="Arial"/>
          <w:i/>
          <w:color w:val="000000" w:themeColor="text1"/>
          <w:sz w:val="20"/>
          <w:szCs w:val="20"/>
          <w:lang w:val="hr-HR"/>
        </w:rPr>
      </w:pPr>
    </w:p>
    <w:p w14:paraId="692FA421" w14:textId="77777777" w:rsidR="004E2F51" w:rsidRPr="00B91D09" w:rsidRDefault="004E2F51" w:rsidP="004E2F51">
      <w:pPr>
        <w:jc w:val="both"/>
        <w:rPr>
          <w:rFonts w:ascii="Arial" w:eastAsia="Calibri" w:hAnsi="Arial" w:cs="Arial"/>
          <w:i/>
          <w:color w:val="000000" w:themeColor="text1"/>
          <w:sz w:val="20"/>
          <w:szCs w:val="20"/>
          <w:lang w:val="hr-HR"/>
        </w:rPr>
        <w:sectPr w:rsidR="004E2F51" w:rsidRPr="00B91D09" w:rsidSect="00623DBA">
          <w:footerReference w:type="default" r:id="rId226"/>
          <w:pgSz w:w="11907" w:h="16840" w:code="9"/>
          <w:pgMar w:top="1418" w:right="1134" w:bottom="1134" w:left="1418" w:header="851" w:footer="851" w:gutter="0"/>
          <w:cols w:space="720"/>
          <w:noEndnote/>
        </w:sectPr>
      </w:pPr>
    </w:p>
    <w:p w14:paraId="63B86705" w14:textId="77777777" w:rsidR="004E2F51" w:rsidRPr="00BA5ECE" w:rsidRDefault="004E2F51" w:rsidP="004E2F51">
      <w:pPr>
        <w:pStyle w:val="T1"/>
        <w:spacing w:before="0" w:after="0" w:line="240" w:lineRule="auto"/>
        <w:ind w:left="709" w:hanging="709"/>
        <w:rPr>
          <w:rFonts w:cs="Arial"/>
          <w:color w:val="000000" w:themeColor="text1"/>
          <w:spacing w:val="-3"/>
          <w:sz w:val="20"/>
          <w:lang w:val="hr-HR"/>
        </w:rPr>
      </w:pPr>
    </w:p>
    <w:p w14:paraId="34550D46" w14:textId="77777777" w:rsidR="004E2F51" w:rsidRPr="00BA5ECE" w:rsidRDefault="004E2F51" w:rsidP="004E2F51">
      <w:pPr>
        <w:keepNext/>
        <w:tabs>
          <w:tab w:val="left" w:pos="567"/>
        </w:tabs>
        <w:jc w:val="both"/>
        <w:rPr>
          <w:rFonts w:ascii="Arial" w:hAnsi="Arial" w:cs="Arial"/>
          <w:b/>
          <w:bCs/>
          <w:color w:val="000000" w:themeColor="text1"/>
          <w:spacing w:val="-3"/>
          <w:sz w:val="20"/>
          <w:szCs w:val="20"/>
          <w:lang w:val="hr-HR"/>
        </w:rPr>
      </w:pPr>
      <w:r w:rsidRPr="00BA5ECE">
        <w:rPr>
          <w:rFonts w:ascii="Arial" w:hAnsi="Arial" w:cs="Arial"/>
          <w:b/>
          <w:bCs/>
          <w:color w:val="000000" w:themeColor="text1"/>
          <w:spacing w:val="-3"/>
          <w:sz w:val="20"/>
          <w:szCs w:val="20"/>
          <w:lang w:val="hr-HR"/>
        </w:rPr>
        <w:t>3</w:t>
      </w:r>
      <w:r>
        <w:rPr>
          <w:rFonts w:ascii="Arial" w:hAnsi="Arial" w:cs="Arial"/>
          <w:b/>
          <w:bCs/>
          <w:color w:val="000000" w:themeColor="text1"/>
          <w:spacing w:val="-3"/>
          <w:sz w:val="20"/>
          <w:szCs w:val="20"/>
          <w:lang w:val="hr-HR"/>
        </w:rPr>
        <w:t>2</w:t>
      </w:r>
      <w:r w:rsidRPr="00BA5ECE">
        <w:rPr>
          <w:rFonts w:ascii="Arial" w:hAnsi="Arial" w:cs="Arial"/>
          <w:b/>
          <w:bCs/>
          <w:color w:val="000000" w:themeColor="text1"/>
          <w:spacing w:val="-3"/>
          <w:sz w:val="20"/>
          <w:szCs w:val="20"/>
          <w:lang w:val="hr-HR"/>
        </w:rPr>
        <w:t xml:space="preserve">. </w:t>
      </w:r>
      <w:r w:rsidRPr="00BA5ECE">
        <w:rPr>
          <w:rFonts w:ascii="Arial" w:hAnsi="Arial" w:cs="Arial"/>
          <w:b/>
          <w:bCs/>
          <w:color w:val="000000" w:themeColor="text1"/>
          <w:spacing w:val="-3"/>
          <w:sz w:val="20"/>
          <w:szCs w:val="20"/>
          <w:lang w:val="hr-HR"/>
        </w:rPr>
        <w:tab/>
        <w:t>Fer vrijednost financijske imovine i financijskih obveza (nastavak)</w:t>
      </w:r>
    </w:p>
    <w:p w14:paraId="3DEB03D5" w14:textId="77777777" w:rsidR="004E2F51" w:rsidRPr="00BA5ECE" w:rsidRDefault="004E2F51" w:rsidP="004E2F51">
      <w:pPr>
        <w:pStyle w:val="T1"/>
        <w:keepNext w:val="0"/>
        <w:spacing w:before="0" w:after="0" w:line="240" w:lineRule="auto"/>
        <w:rPr>
          <w:rFonts w:eastAsia="Calibri" w:cs="Arial"/>
          <w:b w:val="0"/>
          <w:bCs w:val="0"/>
          <w:color w:val="000000" w:themeColor="text1"/>
          <w:sz w:val="20"/>
          <w:lang w:val="hr-HR"/>
        </w:rPr>
      </w:pPr>
    </w:p>
    <w:p w14:paraId="7BFECE34" w14:textId="77777777" w:rsidR="004E2F51" w:rsidRPr="00BA5ECE" w:rsidRDefault="004E2F51" w:rsidP="004E2F51">
      <w:pPr>
        <w:pStyle w:val="T1"/>
        <w:spacing w:before="0" w:after="0" w:line="240" w:lineRule="auto"/>
        <w:ind w:left="567" w:hanging="567"/>
        <w:rPr>
          <w:rFonts w:cs="Arial"/>
          <w:color w:val="000000" w:themeColor="text1"/>
          <w:spacing w:val="-3"/>
          <w:sz w:val="20"/>
          <w:lang w:val="hr-HR"/>
        </w:rPr>
      </w:pPr>
      <w:r w:rsidRPr="00BA5ECE">
        <w:rPr>
          <w:rFonts w:cs="Arial"/>
          <w:color w:val="000000" w:themeColor="text1"/>
          <w:spacing w:val="-3"/>
          <w:sz w:val="20"/>
          <w:lang w:val="hr-HR"/>
        </w:rPr>
        <w:t>3</w:t>
      </w:r>
      <w:r>
        <w:rPr>
          <w:rFonts w:cs="Arial"/>
          <w:color w:val="000000" w:themeColor="text1"/>
          <w:spacing w:val="-3"/>
          <w:sz w:val="20"/>
          <w:lang w:val="hr-HR"/>
        </w:rPr>
        <w:t>2</w:t>
      </w:r>
      <w:r w:rsidRPr="00BA5ECE">
        <w:rPr>
          <w:rFonts w:cs="Arial"/>
          <w:color w:val="000000" w:themeColor="text1"/>
          <w:spacing w:val="-3"/>
          <w:sz w:val="20"/>
          <w:lang w:val="hr-HR"/>
        </w:rPr>
        <w:t xml:space="preserve">.2. </w:t>
      </w:r>
      <w:r w:rsidRPr="00BA5ECE">
        <w:rPr>
          <w:rFonts w:cs="Arial"/>
          <w:color w:val="000000" w:themeColor="text1"/>
          <w:spacing w:val="-3"/>
          <w:sz w:val="20"/>
          <w:lang w:val="hr-HR"/>
        </w:rPr>
        <w:tab/>
        <w:t>Financijski instrumenti koji se ne vode po fer vrijednosti</w:t>
      </w:r>
    </w:p>
    <w:p w14:paraId="79399A32" w14:textId="77777777" w:rsidR="004E2F51" w:rsidRPr="00BA5ECE" w:rsidRDefault="004E2F51" w:rsidP="004E2F51">
      <w:pPr>
        <w:pStyle w:val="T1"/>
        <w:spacing w:before="0" w:after="0" w:line="240" w:lineRule="auto"/>
        <w:ind w:left="709" w:hanging="709"/>
        <w:rPr>
          <w:rFonts w:cs="Arial"/>
          <w:color w:val="000000" w:themeColor="text1"/>
          <w:spacing w:val="-3"/>
          <w:sz w:val="20"/>
          <w:lang w:val="hr-HR"/>
        </w:rPr>
      </w:pPr>
    </w:p>
    <w:p w14:paraId="31DD735D" w14:textId="77777777" w:rsidR="004E2F51" w:rsidRPr="00BA5ECE" w:rsidRDefault="004E2F51" w:rsidP="004E2F51">
      <w:pPr>
        <w:pStyle w:val="T1"/>
        <w:spacing w:before="0" w:after="0" w:line="240" w:lineRule="auto"/>
        <w:rPr>
          <w:rFonts w:cs="Arial"/>
          <w:b w:val="0"/>
          <w:color w:val="000000" w:themeColor="text1"/>
          <w:spacing w:val="-3"/>
          <w:sz w:val="20"/>
          <w:lang w:val="hr-HR"/>
        </w:rPr>
      </w:pPr>
      <w:r w:rsidRPr="00BA5ECE">
        <w:rPr>
          <w:rFonts w:cs="Arial"/>
          <w:b w:val="0"/>
          <w:bCs w:val="0"/>
          <w:color w:val="000000" w:themeColor="text1"/>
          <w:spacing w:val="-3"/>
          <w:sz w:val="20"/>
          <w:lang w:val="hr-HR"/>
        </w:rPr>
        <w:t xml:space="preserve">Sljedeća tablica prikazuje fer vrijednosti financijskih instrumenata koji se ne </w:t>
      </w:r>
      <w:r w:rsidRPr="00BA5ECE">
        <w:rPr>
          <w:rFonts w:cs="Arial"/>
          <w:b w:val="0"/>
          <w:color w:val="000000" w:themeColor="text1"/>
          <w:spacing w:val="-3"/>
          <w:sz w:val="20"/>
          <w:lang w:val="hr-HR"/>
        </w:rPr>
        <w:t xml:space="preserve">vode </w:t>
      </w:r>
      <w:r w:rsidRPr="00BA5ECE">
        <w:rPr>
          <w:rFonts w:cs="Arial"/>
          <w:b w:val="0"/>
          <w:bCs w:val="0"/>
          <w:color w:val="000000" w:themeColor="text1"/>
          <w:spacing w:val="-3"/>
          <w:sz w:val="20"/>
          <w:lang w:val="hr-HR"/>
        </w:rPr>
        <w:t xml:space="preserve">po fer vrijednosti </w:t>
      </w:r>
      <w:r w:rsidRPr="00BA5ECE">
        <w:rPr>
          <w:rFonts w:cs="Arial"/>
          <w:b w:val="0"/>
          <w:color w:val="000000" w:themeColor="text1"/>
          <w:spacing w:val="-3"/>
          <w:sz w:val="20"/>
          <w:lang w:val="hr-HR"/>
        </w:rPr>
        <w:t xml:space="preserve">i </w:t>
      </w:r>
      <w:r w:rsidRPr="00BA5ECE">
        <w:rPr>
          <w:rFonts w:cs="Arial"/>
          <w:b w:val="0"/>
          <w:bCs w:val="0"/>
          <w:color w:val="000000" w:themeColor="text1"/>
          <w:spacing w:val="-3"/>
          <w:sz w:val="20"/>
          <w:lang w:val="hr-HR"/>
        </w:rPr>
        <w:t>analizira</w:t>
      </w:r>
      <w:r w:rsidRPr="00BA5ECE">
        <w:rPr>
          <w:rFonts w:cs="Arial"/>
          <w:b w:val="0"/>
          <w:color w:val="000000" w:themeColor="text1"/>
          <w:spacing w:val="-3"/>
          <w:sz w:val="20"/>
          <w:lang w:val="hr-HR"/>
        </w:rPr>
        <w:t xml:space="preserve"> </w:t>
      </w:r>
      <w:r w:rsidRPr="00BA5ECE">
        <w:rPr>
          <w:rFonts w:cs="Arial"/>
          <w:b w:val="0"/>
          <w:bCs w:val="0"/>
          <w:color w:val="000000" w:themeColor="text1"/>
          <w:spacing w:val="-3"/>
          <w:sz w:val="20"/>
          <w:lang w:val="hr-HR"/>
        </w:rPr>
        <w:t xml:space="preserve">ih </w:t>
      </w:r>
      <w:r w:rsidRPr="00BA5ECE">
        <w:rPr>
          <w:rFonts w:cs="Arial"/>
          <w:b w:val="0"/>
          <w:color w:val="000000" w:themeColor="text1"/>
          <w:spacing w:val="-3"/>
          <w:sz w:val="20"/>
          <w:lang w:val="hr-HR"/>
        </w:rPr>
        <w:t xml:space="preserve"> </w:t>
      </w:r>
      <w:r w:rsidRPr="00BA5ECE">
        <w:rPr>
          <w:rFonts w:cs="Arial"/>
          <w:b w:val="0"/>
          <w:bCs w:val="0"/>
          <w:color w:val="000000" w:themeColor="text1"/>
          <w:spacing w:val="-3"/>
          <w:sz w:val="20"/>
          <w:lang w:val="hr-HR"/>
        </w:rPr>
        <w:t>po razinama u hijerarhiji fer vrijednosti u koju je kategorizirano svako mjerenje fer vrijednosti.</w:t>
      </w: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4E2F51" w:rsidRPr="00BA5ECE" w14:paraId="3D34DB64" w14:textId="77777777" w:rsidTr="006D0EB6">
        <w:trPr>
          <w:trHeight w:val="289"/>
        </w:trPr>
        <w:tc>
          <w:tcPr>
            <w:tcW w:w="3402" w:type="dxa"/>
            <w:vAlign w:val="bottom"/>
          </w:tcPr>
          <w:p w14:paraId="179F92BA" w14:textId="77777777" w:rsidR="004E2F51" w:rsidRPr="00BA5ECE" w:rsidRDefault="004E2F51" w:rsidP="00E032FC">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Grupa</w:t>
            </w:r>
          </w:p>
          <w:p w14:paraId="5FCC982D" w14:textId="77777777" w:rsidR="004E2F51" w:rsidRPr="00BA5ECE" w:rsidRDefault="004E2F51" w:rsidP="00E032FC">
            <w:pPr>
              <w:rPr>
                <w:rFonts w:ascii="Arial" w:hAnsi="Arial" w:cs="Arial"/>
                <w:b/>
                <w:color w:val="000000" w:themeColor="text1"/>
                <w:sz w:val="18"/>
                <w:szCs w:val="18"/>
                <w:lang w:val="hr-HR"/>
              </w:rPr>
            </w:pPr>
          </w:p>
          <w:p w14:paraId="46F6CF70" w14:textId="77777777" w:rsidR="004E2F51" w:rsidRPr="00BA5ECE" w:rsidRDefault="004E2F51" w:rsidP="00E032FC">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2</w:t>
            </w:r>
            <w:r w:rsidRPr="00BA5ECE">
              <w:rPr>
                <w:rFonts w:ascii="Arial" w:hAnsi="Arial" w:cs="Arial"/>
                <w:b/>
                <w:color w:val="000000" w:themeColor="text1"/>
                <w:sz w:val="18"/>
                <w:szCs w:val="18"/>
                <w:lang w:val="hr-HR"/>
              </w:rPr>
              <w:t>.</w:t>
            </w:r>
          </w:p>
        </w:tc>
        <w:tc>
          <w:tcPr>
            <w:tcW w:w="1205" w:type="dxa"/>
            <w:shd w:val="clear" w:color="auto" w:fill="auto"/>
          </w:tcPr>
          <w:p w14:paraId="0580D468"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1</w:t>
            </w:r>
          </w:p>
        </w:tc>
        <w:tc>
          <w:tcPr>
            <w:tcW w:w="1205" w:type="dxa"/>
            <w:shd w:val="clear" w:color="auto" w:fill="auto"/>
          </w:tcPr>
          <w:p w14:paraId="3A614FA8"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2</w:t>
            </w:r>
          </w:p>
        </w:tc>
        <w:tc>
          <w:tcPr>
            <w:tcW w:w="1205" w:type="dxa"/>
            <w:shd w:val="clear" w:color="auto" w:fill="auto"/>
          </w:tcPr>
          <w:p w14:paraId="4239AA83"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3</w:t>
            </w:r>
          </w:p>
        </w:tc>
        <w:tc>
          <w:tcPr>
            <w:tcW w:w="1205" w:type="dxa"/>
          </w:tcPr>
          <w:p w14:paraId="394F2C32" w14:textId="120B9619" w:rsidR="004E2F51" w:rsidRPr="00BA5ECE" w:rsidRDefault="006D0EB6" w:rsidP="00E032FC">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Ukupna f</w:t>
            </w:r>
            <w:r w:rsidR="004E2F51" w:rsidRPr="00BA5ECE">
              <w:rPr>
                <w:rFonts w:ascii="Arial" w:hAnsi="Arial" w:cs="Arial"/>
                <w:b/>
                <w:color w:val="000000" w:themeColor="text1"/>
                <w:sz w:val="18"/>
                <w:szCs w:val="18"/>
                <w:lang w:val="hr-HR"/>
              </w:rPr>
              <w:t>er vrijednost</w:t>
            </w:r>
          </w:p>
        </w:tc>
        <w:tc>
          <w:tcPr>
            <w:tcW w:w="1706" w:type="dxa"/>
          </w:tcPr>
          <w:p w14:paraId="2D5F5461" w14:textId="44E18C35" w:rsidR="004E2F51" w:rsidRPr="00BA5ECE" w:rsidRDefault="006D0EB6" w:rsidP="00E032FC">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Ukupna k</w:t>
            </w:r>
            <w:r w:rsidR="004E2F51" w:rsidRPr="00BA5ECE">
              <w:rPr>
                <w:rFonts w:ascii="Arial" w:hAnsi="Arial" w:cs="Arial"/>
                <w:b/>
                <w:color w:val="000000" w:themeColor="text1"/>
                <w:sz w:val="18"/>
                <w:szCs w:val="18"/>
                <w:lang w:val="hr-HR"/>
              </w:rPr>
              <w:t>njigovodstvena vrijednost</w:t>
            </w:r>
          </w:p>
        </w:tc>
      </w:tr>
      <w:tr w:rsidR="004E2F51" w:rsidRPr="00BA5ECE" w14:paraId="3308EE0B" w14:textId="77777777" w:rsidTr="00E032FC">
        <w:trPr>
          <w:trHeight w:hRule="exact" w:val="271"/>
        </w:trPr>
        <w:tc>
          <w:tcPr>
            <w:tcW w:w="3402" w:type="dxa"/>
            <w:vAlign w:val="bottom"/>
          </w:tcPr>
          <w:p w14:paraId="2FD1501D" w14:textId="77777777" w:rsidR="004E2F51" w:rsidRPr="00BA5ECE" w:rsidRDefault="004E2F51" w:rsidP="00E032FC">
            <w:pPr>
              <w:rPr>
                <w:rFonts w:ascii="Arial" w:hAnsi="Arial" w:cs="Arial"/>
                <w:color w:val="000000" w:themeColor="text1"/>
                <w:sz w:val="18"/>
                <w:szCs w:val="18"/>
                <w:lang w:val="hr-HR"/>
              </w:rPr>
            </w:pPr>
          </w:p>
        </w:tc>
        <w:tc>
          <w:tcPr>
            <w:tcW w:w="1205" w:type="dxa"/>
            <w:vAlign w:val="center"/>
          </w:tcPr>
          <w:p w14:paraId="0BFB38A3"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c>
          <w:tcPr>
            <w:tcW w:w="1205" w:type="dxa"/>
            <w:vAlign w:val="center"/>
          </w:tcPr>
          <w:p w14:paraId="3FB87F5C"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c>
          <w:tcPr>
            <w:tcW w:w="1205" w:type="dxa"/>
            <w:vAlign w:val="center"/>
          </w:tcPr>
          <w:p w14:paraId="23FAC477"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c>
          <w:tcPr>
            <w:tcW w:w="1205" w:type="dxa"/>
            <w:vAlign w:val="center"/>
          </w:tcPr>
          <w:p w14:paraId="664FCD1D"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c>
          <w:tcPr>
            <w:tcW w:w="1706" w:type="dxa"/>
            <w:vAlign w:val="center"/>
          </w:tcPr>
          <w:p w14:paraId="1E7CC11B"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r>
      <w:tr w:rsidR="004E2F51" w:rsidRPr="00BA5ECE" w14:paraId="25E98BE9" w14:textId="77777777" w:rsidTr="00E032FC">
        <w:trPr>
          <w:trHeight w:hRule="exact" w:val="162"/>
        </w:trPr>
        <w:tc>
          <w:tcPr>
            <w:tcW w:w="3402" w:type="dxa"/>
            <w:vAlign w:val="bottom"/>
          </w:tcPr>
          <w:p w14:paraId="78A0EF8A" w14:textId="77777777" w:rsidR="004E2F51" w:rsidRPr="00BA5ECE" w:rsidRDefault="004E2F51" w:rsidP="00E032FC">
            <w:pPr>
              <w:rPr>
                <w:rFonts w:ascii="Arial" w:hAnsi="Arial" w:cs="Arial"/>
                <w:color w:val="000000" w:themeColor="text1"/>
                <w:sz w:val="18"/>
                <w:szCs w:val="18"/>
                <w:lang w:val="hr-HR"/>
              </w:rPr>
            </w:pPr>
          </w:p>
        </w:tc>
        <w:tc>
          <w:tcPr>
            <w:tcW w:w="1205" w:type="dxa"/>
            <w:vAlign w:val="center"/>
          </w:tcPr>
          <w:p w14:paraId="51126F47" w14:textId="77777777" w:rsidR="004E2F51" w:rsidRPr="00BA5ECE" w:rsidRDefault="004E2F51" w:rsidP="00E032FC">
            <w:pPr>
              <w:jc w:val="right"/>
              <w:rPr>
                <w:rFonts w:ascii="Arial" w:hAnsi="Arial" w:cs="Arial"/>
                <w:b/>
                <w:color w:val="000000" w:themeColor="text1"/>
                <w:sz w:val="18"/>
                <w:szCs w:val="18"/>
                <w:lang w:val="hr-HR"/>
              </w:rPr>
            </w:pPr>
          </w:p>
        </w:tc>
        <w:tc>
          <w:tcPr>
            <w:tcW w:w="1205" w:type="dxa"/>
            <w:vAlign w:val="center"/>
          </w:tcPr>
          <w:p w14:paraId="4B43D13B" w14:textId="77777777" w:rsidR="004E2F51" w:rsidRPr="00BA5ECE" w:rsidRDefault="004E2F51" w:rsidP="00E032FC">
            <w:pPr>
              <w:jc w:val="right"/>
              <w:rPr>
                <w:rFonts w:ascii="Arial" w:hAnsi="Arial" w:cs="Arial"/>
                <w:b/>
                <w:color w:val="000000" w:themeColor="text1"/>
                <w:sz w:val="18"/>
                <w:szCs w:val="18"/>
                <w:lang w:val="hr-HR"/>
              </w:rPr>
            </w:pPr>
          </w:p>
        </w:tc>
        <w:tc>
          <w:tcPr>
            <w:tcW w:w="1205" w:type="dxa"/>
            <w:vAlign w:val="center"/>
          </w:tcPr>
          <w:p w14:paraId="03BEA77E" w14:textId="77777777" w:rsidR="004E2F51" w:rsidRPr="00BA5ECE" w:rsidRDefault="004E2F51" w:rsidP="00E032FC">
            <w:pPr>
              <w:jc w:val="right"/>
              <w:rPr>
                <w:rFonts w:ascii="Arial" w:hAnsi="Arial" w:cs="Arial"/>
                <w:b/>
                <w:color w:val="000000" w:themeColor="text1"/>
                <w:sz w:val="18"/>
                <w:szCs w:val="18"/>
                <w:lang w:val="hr-HR"/>
              </w:rPr>
            </w:pPr>
          </w:p>
        </w:tc>
        <w:tc>
          <w:tcPr>
            <w:tcW w:w="1205" w:type="dxa"/>
            <w:vAlign w:val="center"/>
          </w:tcPr>
          <w:p w14:paraId="442C4532" w14:textId="77777777" w:rsidR="004E2F51" w:rsidRPr="00BA5ECE" w:rsidRDefault="004E2F51" w:rsidP="00E032FC">
            <w:pPr>
              <w:jc w:val="right"/>
              <w:rPr>
                <w:rFonts w:ascii="Arial" w:hAnsi="Arial" w:cs="Arial"/>
                <w:b/>
                <w:color w:val="000000" w:themeColor="text1"/>
                <w:sz w:val="18"/>
                <w:szCs w:val="18"/>
                <w:lang w:val="hr-HR"/>
              </w:rPr>
            </w:pPr>
          </w:p>
        </w:tc>
        <w:tc>
          <w:tcPr>
            <w:tcW w:w="1706" w:type="dxa"/>
            <w:vAlign w:val="center"/>
          </w:tcPr>
          <w:p w14:paraId="71676062" w14:textId="77777777" w:rsidR="004E2F51" w:rsidRPr="00BA5ECE" w:rsidRDefault="004E2F51" w:rsidP="00E032FC">
            <w:pPr>
              <w:jc w:val="right"/>
              <w:rPr>
                <w:rFonts w:ascii="Arial" w:hAnsi="Arial" w:cs="Arial"/>
                <w:b/>
                <w:color w:val="000000" w:themeColor="text1"/>
                <w:sz w:val="18"/>
                <w:szCs w:val="18"/>
                <w:lang w:val="hr-HR"/>
              </w:rPr>
            </w:pPr>
          </w:p>
        </w:tc>
      </w:tr>
      <w:tr w:rsidR="004E2F51" w:rsidRPr="00BA5ECE" w14:paraId="1BF1E58E" w14:textId="77777777" w:rsidTr="00E032FC">
        <w:trPr>
          <w:trHeight w:val="297"/>
        </w:trPr>
        <w:tc>
          <w:tcPr>
            <w:tcW w:w="3402" w:type="dxa"/>
            <w:vAlign w:val="bottom"/>
          </w:tcPr>
          <w:p w14:paraId="0BA92A50" w14:textId="77777777" w:rsidR="004E2F51" w:rsidRPr="00BA5ECE" w:rsidRDefault="004E2F51" w:rsidP="00E032FC">
            <w:pPr>
              <w:tabs>
                <w:tab w:val="right" w:pos="1202"/>
              </w:tabs>
              <w:outlineLvl w:val="0"/>
              <w:rPr>
                <w:rFonts w:ascii="Arial" w:hAnsi="Arial" w:cs="Arial"/>
                <w:b/>
                <w:bCs/>
                <w:color w:val="000000" w:themeColor="text1"/>
                <w:sz w:val="18"/>
                <w:szCs w:val="18"/>
                <w:lang w:val="hr-HR"/>
              </w:rPr>
            </w:pPr>
            <w:bookmarkStart w:id="2049" w:name="_Toc67331227"/>
            <w:r w:rsidRPr="00BA5ECE">
              <w:rPr>
                <w:rFonts w:ascii="Arial" w:eastAsia="Calibri" w:hAnsi="Arial" w:cs="Arial"/>
                <w:b/>
                <w:bCs/>
                <w:color w:val="000000" w:themeColor="text1"/>
                <w:sz w:val="18"/>
                <w:szCs w:val="18"/>
                <w:lang w:val="hr-HR"/>
              </w:rPr>
              <w:t>Imovina</w:t>
            </w:r>
            <w:bookmarkEnd w:id="2049"/>
          </w:p>
        </w:tc>
        <w:tc>
          <w:tcPr>
            <w:tcW w:w="1205" w:type="dxa"/>
            <w:vAlign w:val="center"/>
          </w:tcPr>
          <w:p w14:paraId="73C8E92B"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7DA619F8"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683F28F7"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5A137EE5"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706" w:type="dxa"/>
            <w:vAlign w:val="center"/>
          </w:tcPr>
          <w:p w14:paraId="38F7F800"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r>
      <w:tr w:rsidR="004E2F51" w:rsidRPr="00BA5ECE" w14:paraId="12DF95BB" w14:textId="77777777" w:rsidTr="00E032FC">
        <w:trPr>
          <w:trHeight w:val="297"/>
        </w:trPr>
        <w:tc>
          <w:tcPr>
            <w:tcW w:w="3402" w:type="dxa"/>
            <w:vAlign w:val="bottom"/>
          </w:tcPr>
          <w:p w14:paraId="2A002BFD" w14:textId="77777777" w:rsidR="004E2F51" w:rsidRPr="00BA5ECE" w:rsidRDefault="004E2F51" w:rsidP="00E032FC">
            <w:pPr>
              <w:tabs>
                <w:tab w:val="right" w:pos="1202"/>
              </w:tabs>
              <w:outlineLvl w:val="0"/>
              <w:rPr>
                <w:rFonts w:ascii="Arial" w:hAnsi="Arial" w:cs="Arial"/>
                <w:color w:val="000000" w:themeColor="text1"/>
                <w:sz w:val="18"/>
                <w:szCs w:val="18"/>
                <w:lang w:val="hr-HR"/>
              </w:rPr>
            </w:pPr>
            <w:bookmarkStart w:id="2050" w:name="_Toc67331228"/>
            <w:r w:rsidRPr="00BA5ECE">
              <w:rPr>
                <w:rFonts w:ascii="Arial" w:eastAsia="Calibri" w:hAnsi="Arial" w:cs="Arial"/>
                <w:color w:val="000000" w:themeColor="text1"/>
                <w:sz w:val="18"/>
                <w:szCs w:val="18"/>
                <w:lang w:val="hr-HR"/>
              </w:rPr>
              <w:t>Novčana sredstva i računi kod banaka</w:t>
            </w:r>
            <w:bookmarkEnd w:id="2050"/>
          </w:p>
        </w:tc>
        <w:tc>
          <w:tcPr>
            <w:tcW w:w="1205" w:type="dxa"/>
            <w:vAlign w:val="bottom"/>
          </w:tcPr>
          <w:p w14:paraId="63A4539D"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1.721.919</w:t>
            </w:r>
          </w:p>
        </w:tc>
        <w:tc>
          <w:tcPr>
            <w:tcW w:w="1205" w:type="dxa"/>
            <w:vAlign w:val="bottom"/>
          </w:tcPr>
          <w:p w14:paraId="32288B8C"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 </w:t>
            </w:r>
          </w:p>
        </w:tc>
        <w:tc>
          <w:tcPr>
            <w:tcW w:w="1205" w:type="dxa"/>
            <w:vAlign w:val="bottom"/>
          </w:tcPr>
          <w:p w14:paraId="587E47B5"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 </w:t>
            </w:r>
          </w:p>
        </w:tc>
        <w:tc>
          <w:tcPr>
            <w:tcW w:w="1205" w:type="dxa"/>
            <w:vAlign w:val="bottom"/>
          </w:tcPr>
          <w:p w14:paraId="7F91E063"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1.721.919</w:t>
            </w:r>
          </w:p>
        </w:tc>
        <w:tc>
          <w:tcPr>
            <w:tcW w:w="1706" w:type="dxa"/>
            <w:tcBorders>
              <w:top w:val="nil"/>
              <w:left w:val="nil"/>
              <w:bottom w:val="nil"/>
              <w:right w:val="nil"/>
            </w:tcBorders>
            <w:shd w:val="clear" w:color="auto" w:fill="auto"/>
            <w:vAlign w:val="bottom"/>
          </w:tcPr>
          <w:p w14:paraId="1A5A3CEA"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1.721.919</w:t>
            </w:r>
          </w:p>
        </w:tc>
      </w:tr>
      <w:tr w:rsidR="004E2F51" w:rsidRPr="00BA5ECE" w14:paraId="04269433" w14:textId="77777777" w:rsidTr="00E032FC">
        <w:trPr>
          <w:trHeight w:val="297"/>
        </w:trPr>
        <w:tc>
          <w:tcPr>
            <w:tcW w:w="3402" w:type="dxa"/>
            <w:vAlign w:val="bottom"/>
          </w:tcPr>
          <w:p w14:paraId="267FEDAB" w14:textId="77777777" w:rsidR="004E2F51" w:rsidRPr="00BA5ECE" w:rsidRDefault="004E2F51" w:rsidP="00E032FC">
            <w:pPr>
              <w:tabs>
                <w:tab w:val="right" w:pos="1202"/>
              </w:tabs>
              <w:outlineLvl w:val="0"/>
              <w:rPr>
                <w:rFonts w:ascii="Arial" w:hAnsi="Arial" w:cs="Arial"/>
                <w:color w:val="000000" w:themeColor="text1"/>
                <w:sz w:val="18"/>
                <w:szCs w:val="18"/>
                <w:lang w:val="hr-HR"/>
              </w:rPr>
            </w:pPr>
            <w:bookmarkStart w:id="2051" w:name="_Toc67331234"/>
            <w:r w:rsidRPr="00BA5ECE">
              <w:rPr>
                <w:rFonts w:ascii="Arial" w:eastAsia="Calibri" w:hAnsi="Arial" w:cs="Arial"/>
                <w:color w:val="000000" w:themeColor="text1"/>
                <w:sz w:val="18"/>
                <w:szCs w:val="18"/>
                <w:lang w:val="hr-HR"/>
              </w:rPr>
              <w:t>Depoziti kod drugih banaka</w:t>
            </w:r>
            <w:bookmarkEnd w:id="2051"/>
          </w:p>
        </w:tc>
        <w:tc>
          <w:tcPr>
            <w:tcW w:w="1205" w:type="dxa"/>
            <w:vAlign w:val="bottom"/>
          </w:tcPr>
          <w:p w14:paraId="14CD7E95"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 </w:t>
            </w:r>
          </w:p>
        </w:tc>
        <w:tc>
          <w:tcPr>
            <w:tcW w:w="1205" w:type="dxa"/>
            <w:vAlign w:val="bottom"/>
          </w:tcPr>
          <w:p w14:paraId="2A7DDC38"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33.180</w:t>
            </w:r>
          </w:p>
        </w:tc>
        <w:tc>
          <w:tcPr>
            <w:tcW w:w="1205" w:type="dxa"/>
            <w:vAlign w:val="bottom"/>
          </w:tcPr>
          <w:p w14:paraId="39760BC3"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 </w:t>
            </w:r>
          </w:p>
        </w:tc>
        <w:tc>
          <w:tcPr>
            <w:tcW w:w="1205" w:type="dxa"/>
            <w:vAlign w:val="bottom"/>
          </w:tcPr>
          <w:p w14:paraId="00AE1342"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33.180</w:t>
            </w:r>
          </w:p>
        </w:tc>
        <w:tc>
          <w:tcPr>
            <w:tcW w:w="1706" w:type="dxa"/>
            <w:tcBorders>
              <w:top w:val="nil"/>
              <w:left w:val="nil"/>
              <w:bottom w:val="nil"/>
              <w:right w:val="nil"/>
            </w:tcBorders>
            <w:shd w:val="clear" w:color="auto" w:fill="auto"/>
            <w:vAlign w:val="bottom"/>
          </w:tcPr>
          <w:p w14:paraId="31256F2B"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33.180</w:t>
            </w:r>
          </w:p>
        </w:tc>
      </w:tr>
      <w:tr w:rsidR="004E2F51" w:rsidRPr="00BA5ECE" w14:paraId="5B3ED8A5" w14:textId="77777777" w:rsidTr="00E032FC">
        <w:trPr>
          <w:trHeight w:val="307"/>
        </w:trPr>
        <w:tc>
          <w:tcPr>
            <w:tcW w:w="3402" w:type="dxa"/>
            <w:vAlign w:val="bottom"/>
          </w:tcPr>
          <w:p w14:paraId="571023C2" w14:textId="77777777" w:rsidR="004E2F51" w:rsidRPr="00BA5ECE" w:rsidRDefault="004E2F51" w:rsidP="00E032FC">
            <w:pPr>
              <w:tabs>
                <w:tab w:val="right" w:pos="1202"/>
              </w:tabs>
              <w:outlineLvl w:val="0"/>
              <w:rPr>
                <w:rFonts w:ascii="Arial" w:hAnsi="Arial" w:cs="Arial"/>
                <w:color w:val="000000" w:themeColor="text1"/>
                <w:sz w:val="18"/>
                <w:szCs w:val="18"/>
                <w:lang w:val="hr-HR"/>
              </w:rPr>
            </w:pPr>
            <w:bookmarkStart w:id="2052" w:name="_Toc67331240"/>
            <w:r w:rsidRPr="00BA5ECE">
              <w:rPr>
                <w:rFonts w:ascii="Arial" w:hAnsi="Arial" w:cs="Arial"/>
                <w:color w:val="000000" w:themeColor="text1"/>
                <w:sz w:val="18"/>
                <w:szCs w:val="18"/>
                <w:lang w:val="hr-HR"/>
              </w:rPr>
              <w:t>Krediti financijskim institucijama</w:t>
            </w:r>
            <w:bookmarkEnd w:id="2052"/>
          </w:p>
        </w:tc>
        <w:tc>
          <w:tcPr>
            <w:tcW w:w="1205" w:type="dxa"/>
            <w:vAlign w:val="bottom"/>
          </w:tcPr>
          <w:p w14:paraId="2138A6A7"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 </w:t>
            </w:r>
          </w:p>
        </w:tc>
        <w:tc>
          <w:tcPr>
            <w:tcW w:w="1205" w:type="dxa"/>
            <w:vAlign w:val="bottom"/>
          </w:tcPr>
          <w:p w14:paraId="155E164F"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 </w:t>
            </w:r>
          </w:p>
        </w:tc>
        <w:tc>
          <w:tcPr>
            <w:tcW w:w="1205" w:type="dxa"/>
            <w:vAlign w:val="bottom"/>
          </w:tcPr>
          <w:p w14:paraId="558A8CAB"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6.219.749 </w:t>
            </w:r>
          </w:p>
        </w:tc>
        <w:tc>
          <w:tcPr>
            <w:tcW w:w="1205" w:type="dxa"/>
            <w:vAlign w:val="bottom"/>
          </w:tcPr>
          <w:p w14:paraId="3F437043"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6.219.749 </w:t>
            </w:r>
          </w:p>
        </w:tc>
        <w:tc>
          <w:tcPr>
            <w:tcW w:w="1706" w:type="dxa"/>
            <w:tcBorders>
              <w:top w:val="nil"/>
              <w:left w:val="nil"/>
              <w:bottom w:val="nil"/>
              <w:right w:val="nil"/>
            </w:tcBorders>
            <w:shd w:val="clear" w:color="auto" w:fill="auto"/>
            <w:vAlign w:val="bottom"/>
          </w:tcPr>
          <w:p w14:paraId="193682A6"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6.984.712 </w:t>
            </w:r>
          </w:p>
        </w:tc>
      </w:tr>
      <w:tr w:rsidR="004E2F51" w:rsidRPr="00BA5ECE" w14:paraId="2778C42A" w14:textId="77777777" w:rsidTr="00E032FC">
        <w:trPr>
          <w:trHeight w:val="297"/>
        </w:trPr>
        <w:tc>
          <w:tcPr>
            <w:tcW w:w="3402" w:type="dxa"/>
            <w:vAlign w:val="bottom"/>
          </w:tcPr>
          <w:p w14:paraId="150A1094" w14:textId="77777777" w:rsidR="004E2F51" w:rsidRPr="00BA5ECE" w:rsidRDefault="004E2F51" w:rsidP="00E032FC">
            <w:pPr>
              <w:tabs>
                <w:tab w:val="right" w:pos="1202"/>
              </w:tabs>
              <w:outlineLvl w:val="0"/>
              <w:rPr>
                <w:rFonts w:ascii="Arial" w:hAnsi="Arial" w:cs="Arial"/>
                <w:color w:val="000000" w:themeColor="text1"/>
                <w:sz w:val="18"/>
                <w:szCs w:val="18"/>
                <w:lang w:val="hr-HR"/>
              </w:rPr>
            </w:pPr>
            <w:bookmarkStart w:id="2053" w:name="_Toc67331246"/>
            <w:r w:rsidRPr="00BA5ECE">
              <w:rPr>
                <w:rFonts w:ascii="Arial" w:hAnsi="Arial" w:cs="Arial"/>
                <w:color w:val="000000" w:themeColor="text1"/>
                <w:sz w:val="18"/>
                <w:szCs w:val="18"/>
                <w:lang w:val="hr-HR"/>
              </w:rPr>
              <w:t>Krediti ostalim korisnicima</w:t>
            </w:r>
            <w:bookmarkEnd w:id="2053"/>
          </w:p>
        </w:tc>
        <w:tc>
          <w:tcPr>
            <w:tcW w:w="1205" w:type="dxa"/>
            <w:tcBorders>
              <w:bottom w:val="single" w:sz="4" w:space="0" w:color="auto"/>
            </w:tcBorders>
            <w:vAlign w:val="bottom"/>
          </w:tcPr>
          <w:p w14:paraId="3E2AC10D"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 </w:t>
            </w:r>
          </w:p>
        </w:tc>
        <w:tc>
          <w:tcPr>
            <w:tcW w:w="1205" w:type="dxa"/>
            <w:tcBorders>
              <w:bottom w:val="single" w:sz="4" w:space="0" w:color="auto"/>
            </w:tcBorders>
            <w:vAlign w:val="bottom"/>
          </w:tcPr>
          <w:p w14:paraId="093CEDE9"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 </w:t>
            </w:r>
          </w:p>
        </w:tc>
        <w:tc>
          <w:tcPr>
            <w:tcW w:w="1205" w:type="dxa"/>
            <w:tcBorders>
              <w:bottom w:val="single" w:sz="4" w:space="0" w:color="auto"/>
            </w:tcBorders>
            <w:vAlign w:val="bottom"/>
          </w:tcPr>
          <w:p w14:paraId="017FC37D"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17.453.789 </w:t>
            </w:r>
          </w:p>
        </w:tc>
        <w:tc>
          <w:tcPr>
            <w:tcW w:w="1205" w:type="dxa"/>
            <w:tcBorders>
              <w:bottom w:val="single" w:sz="4" w:space="0" w:color="auto"/>
            </w:tcBorders>
            <w:vAlign w:val="bottom"/>
          </w:tcPr>
          <w:p w14:paraId="1D7B3C99"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17.453.789 </w:t>
            </w:r>
          </w:p>
        </w:tc>
        <w:tc>
          <w:tcPr>
            <w:tcW w:w="1706" w:type="dxa"/>
            <w:tcBorders>
              <w:top w:val="nil"/>
              <w:left w:val="nil"/>
              <w:bottom w:val="single" w:sz="4" w:space="0" w:color="auto"/>
              <w:right w:val="nil"/>
            </w:tcBorders>
            <w:shd w:val="clear" w:color="auto" w:fill="auto"/>
            <w:vAlign w:val="bottom"/>
          </w:tcPr>
          <w:p w14:paraId="1BD0772D"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17.402.666 </w:t>
            </w:r>
          </w:p>
        </w:tc>
      </w:tr>
      <w:tr w:rsidR="004E2F51" w:rsidRPr="00BA5ECE" w14:paraId="0FD536D7" w14:textId="77777777" w:rsidTr="00E032FC">
        <w:trPr>
          <w:trHeight w:val="297"/>
        </w:trPr>
        <w:tc>
          <w:tcPr>
            <w:tcW w:w="3402" w:type="dxa"/>
            <w:vAlign w:val="bottom"/>
          </w:tcPr>
          <w:p w14:paraId="5F0A540A" w14:textId="77777777" w:rsidR="004E2F51" w:rsidRPr="00BA5ECE" w:rsidRDefault="004E2F51" w:rsidP="00E032FC">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tcBorders>
            <w:vAlign w:val="bottom"/>
          </w:tcPr>
          <w:p w14:paraId="2A46DE7C" w14:textId="77777777" w:rsidR="004E2F51" w:rsidRPr="007935B3" w:rsidRDefault="004E2F51" w:rsidP="00E032FC">
            <w:pPr>
              <w:tabs>
                <w:tab w:val="right" w:pos="1202"/>
              </w:tabs>
              <w:spacing w:line="301" w:lineRule="exact"/>
              <w:jc w:val="right"/>
              <w:outlineLvl w:val="0"/>
              <w:rPr>
                <w:rFonts w:ascii="Arial" w:hAnsi="Arial" w:cs="Arial"/>
                <w:b/>
                <w:bCs/>
                <w:sz w:val="18"/>
                <w:szCs w:val="18"/>
              </w:rPr>
            </w:pPr>
            <w:r w:rsidRPr="00D41CC0">
              <w:rPr>
                <w:rFonts w:ascii="Arial" w:hAnsi="Arial" w:cs="Arial"/>
                <w:b/>
                <w:bCs/>
                <w:color w:val="000000" w:themeColor="text1"/>
                <w:sz w:val="18"/>
                <w:szCs w:val="18"/>
                <w:lang w:val="hr-HR"/>
              </w:rPr>
              <w:t>1.721.919</w:t>
            </w:r>
          </w:p>
        </w:tc>
        <w:tc>
          <w:tcPr>
            <w:tcW w:w="1205" w:type="dxa"/>
            <w:tcBorders>
              <w:top w:val="single" w:sz="4" w:space="0" w:color="auto"/>
            </w:tcBorders>
            <w:vAlign w:val="bottom"/>
          </w:tcPr>
          <w:p w14:paraId="7BD20AEB" w14:textId="77777777" w:rsidR="004E2F51" w:rsidRPr="007935B3" w:rsidRDefault="004E2F51" w:rsidP="00E032FC">
            <w:pPr>
              <w:tabs>
                <w:tab w:val="right" w:pos="1202"/>
              </w:tabs>
              <w:spacing w:line="301" w:lineRule="exact"/>
              <w:jc w:val="right"/>
              <w:outlineLvl w:val="0"/>
              <w:rPr>
                <w:rFonts w:ascii="Arial" w:hAnsi="Arial" w:cs="Arial"/>
                <w:b/>
                <w:bCs/>
                <w:sz w:val="18"/>
                <w:szCs w:val="18"/>
              </w:rPr>
            </w:pPr>
            <w:r w:rsidRPr="00D41CC0">
              <w:rPr>
                <w:rFonts w:ascii="Arial" w:hAnsi="Arial" w:cs="Arial"/>
                <w:b/>
                <w:bCs/>
                <w:color w:val="000000" w:themeColor="text1"/>
                <w:sz w:val="18"/>
                <w:szCs w:val="18"/>
                <w:lang w:val="hr-HR"/>
              </w:rPr>
              <w:t>33.180</w:t>
            </w:r>
          </w:p>
        </w:tc>
        <w:tc>
          <w:tcPr>
            <w:tcW w:w="1205" w:type="dxa"/>
            <w:tcBorders>
              <w:top w:val="single" w:sz="4" w:space="0" w:color="auto"/>
            </w:tcBorders>
            <w:vAlign w:val="bottom"/>
          </w:tcPr>
          <w:p w14:paraId="43F9CB56" w14:textId="77777777" w:rsidR="004E2F51" w:rsidRPr="007935B3" w:rsidRDefault="004E2F51" w:rsidP="00E032FC">
            <w:pPr>
              <w:tabs>
                <w:tab w:val="right" w:pos="1202"/>
              </w:tabs>
              <w:spacing w:line="301" w:lineRule="exact"/>
              <w:jc w:val="right"/>
              <w:outlineLvl w:val="0"/>
              <w:rPr>
                <w:rFonts w:ascii="Arial" w:hAnsi="Arial" w:cs="Arial"/>
                <w:b/>
                <w:bCs/>
                <w:sz w:val="18"/>
                <w:szCs w:val="18"/>
              </w:rPr>
            </w:pPr>
            <w:r w:rsidRPr="00D41CC0">
              <w:rPr>
                <w:rFonts w:ascii="Arial" w:hAnsi="Arial" w:cs="Arial"/>
                <w:b/>
                <w:bCs/>
                <w:color w:val="000000" w:themeColor="text1"/>
                <w:sz w:val="18"/>
                <w:szCs w:val="18"/>
                <w:lang w:val="hr-HR"/>
              </w:rPr>
              <w:t xml:space="preserve"> 23.673.538 </w:t>
            </w:r>
          </w:p>
        </w:tc>
        <w:tc>
          <w:tcPr>
            <w:tcW w:w="1205" w:type="dxa"/>
            <w:tcBorders>
              <w:top w:val="single" w:sz="4" w:space="0" w:color="auto"/>
            </w:tcBorders>
            <w:vAlign w:val="bottom"/>
          </w:tcPr>
          <w:p w14:paraId="60FA86B8" w14:textId="77777777" w:rsidR="004E2F51" w:rsidRPr="007935B3" w:rsidRDefault="004E2F51" w:rsidP="00E032FC">
            <w:pPr>
              <w:tabs>
                <w:tab w:val="right" w:pos="1202"/>
              </w:tabs>
              <w:spacing w:line="301" w:lineRule="exact"/>
              <w:jc w:val="right"/>
              <w:outlineLvl w:val="0"/>
              <w:rPr>
                <w:rFonts w:ascii="Arial" w:hAnsi="Arial" w:cs="Arial"/>
                <w:b/>
                <w:bCs/>
                <w:sz w:val="18"/>
                <w:szCs w:val="18"/>
              </w:rPr>
            </w:pPr>
            <w:r w:rsidRPr="00D41CC0">
              <w:rPr>
                <w:rFonts w:ascii="Arial" w:hAnsi="Arial" w:cs="Arial"/>
                <w:b/>
                <w:bCs/>
                <w:color w:val="000000" w:themeColor="text1"/>
                <w:sz w:val="18"/>
                <w:szCs w:val="18"/>
                <w:lang w:val="hr-HR"/>
              </w:rPr>
              <w:t>25.428.637</w:t>
            </w:r>
          </w:p>
        </w:tc>
        <w:tc>
          <w:tcPr>
            <w:tcW w:w="1706" w:type="dxa"/>
            <w:tcBorders>
              <w:top w:val="single" w:sz="4" w:space="0" w:color="auto"/>
              <w:left w:val="nil"/>
              <w:bottom w:val="nil"/>
              <w:right w:val="nil"/>
            </w:tcBorders>
            <w:shd w:val="clear" w:color="auto" w:fill="auto"/>
            <w:vAlign w:val="bottom"/>
          </w:tcPr>
          <w:p w14:paraId="060F30F1" w14:textId="77777777" w:rsidR="004E2F51" w:rsidRPr="007935B3" w:rsidRDefault="004E2F51" w:rsidP="00E032FC">
            <w:pPr>
              <w:tabs>
                <w:tab w:val="right" w:pos="1202"/>
              </w:tabs>
              <w:spacing w:line="301" w:lineRule="exact"/>
              <w:jc w:val="right"/>
              <w:outlineLvl w:val="0"/>
              <w:rPr>
                <w:rFonts w:ascii="Arial" w:hAnsi="Arial" w:cs="Arial"/>
                <w:b/>
                <w:bCs/>
                <w:sz w:val="18"/>
                <w:szCs w:val="18"/>
              </w:rPr>
            </w:pPr>
            <w:r w:rsidRPr="00D41CC0">
              <w:rPr>
                <w:rFonts w:ascii="Arial" w:hAnsi="Arial" w:cs="Arial"/>
                <w:b/>
                <w:bCs/>
                <w:color w:val="000000" w:themeColor="text1"/>
                <w:sz w:val="18"/>
                <w:szCs w:val="18"/>
                <w:lang w:val="hr-HR"/>
              </w:rPr>
              <w:t xml:space="preserve">  26.142.477</w:t>
            </w:r>
          </w:p>
        </w:tc>
      </w:tr>
      <w:tr w:rsidR="004E2F51" w:rsidRPr="00BA5ECE" w14:paraId="3047BD76" w14:textId="77777777" w:rsidTr="00E032FC">
        <w:trPr>
          <w:trHeight w:hRule="exact" w:val="104"/>
        </w:trPr>
        <w:tc>
          <w:tcPr>
            <w:tcW w:w="3402" w:type="dxa"/>
            <w:vAlign w:val="bottom"/>
          </w:tcPr>
          <w:p w14:paraId="01A58CCF" w14:textId="77777777" w:rsidR="004E2F51" w:rsidRPr="00BA5ECE" w:rsidRDefault="004E2F51" w:rsidP="00E032FC">
            <w:pPr>
              <w:keepNext/>
              <w:keepLines/>
              <w:tabs>
                <w:tab w:val="decimal" w:pos="1202"/>
              </w:tabs>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4717853D" w14:textId="77777777" w:rsidR="004E2F51" w:rsidRPr="00BA5ECE" w:rsidRDefault="004E2F51" w:rsidP="00E032FC">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6C5F5D29" w14:textId="77777777" w:rsidR="004E2F51" w:rsidRPr="00BA5ECE" w:rsidRDefault="004E2F51" w:rsidP="00E032FC">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2185D7B2" w14:textId="77777777" w:rsidR="004E2F51" w:rsidRPr="00BA5ECE" w:rsidRDefault="004E2F51" w:rsidP="00E032FC">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26B08D6D" w14:textId="77777777" w:rsidR="004E2F51" w:rsidRPr="00BA5ECE" w:rsidRDefault="004E2F51" w:rsidP="00E032FC">
            <w:pPr>
              <w:keepNext/>
              <w:keepLines/>
              <w:tabs>
                <w:tab w:val="decimal" w:pos="1060"/>
              </w:tabs>
              <w:jc w:val="right"/>
              <w:rPr>
                <w:rFonts w:ascii="Arial" w:hAnsi="Arial" w:cs="Arial"/>
                <w:b/>
                <w:color w:val="000000" w:themeColor="text1"/>
                <w:position w:val="4"/>
                <w:sz w:val="18"/>
                <w:szCs w:val="18"/>
                <w:u w:val="thick"/>
                <w:lang w:val="hr-HR"/>
              </w:rPr>
            </w:pPr>
          </w:p>
        </w:tc>
        <w:tc>
          <w:tcPr>
            <w:tcW w:w="1706" w:type="dxa"/>
            <w:tcBorders>
              <w:top w:val="single" w:sz="12" w:space="0" w:color="auto"/>
            </w:tcBorders>
            <w:vAlign w:val="bottom"/>
          </w:tcPr>
          <w:p w14:paraId="5E2E4631" w14:textId="77777777" w:rsidR="004E2F51" w:rsidRPr="00BA5ECE" w:rsidRDefault="004E2F51" w:rsidP="00E032FC">
            <w:pPr>
              <w:keepNext/>
              <w:keepLines/>
              <w:tabs>
                <w:tab w:val="decimal" w:pos="1060"/>
              </w:tabs>
              <w:jc w:val="right"/>
              <w:rPr>
                <w:rFonts w:ascii="Arial" w:hAnsi="Arial" w:cs="Arial"/>
                <w:b/>
                <w:color w:val="000000" w:themeColor="text1"/>
                <w:position w:val="4"/>
                <w:sz w:val="18"/>
                <w:szCs w:val="18"/>
                <w:u w:val="thick"/>
                <w:lang w:val="hr-HR"/>
              </w:rPr>
            </w:pPr>
          </w:p>
        </w:tc>
      </w:tr>
      <w:tr w:rsidR="004E2F51" w:rsidRPr="00BA5ECE" w14:paraId="3272B941" w14:textId="77777777" w:rsidTr="00E032FC">
        <w:trPr>
          <w:trHeight w:val="307"/>
        </w:trPr>
        <w:tc>
          <w:tcPr>
            <w:tcW w:w="3402" w:type="dxa"/>
            <w:vAlign w:val="bottom"/>
          </w:tcPr>
          <w:p w14:paraId="4B3C34C7" w14:textId="77777777" w:rsidR="004E2F51" w:rsidRPr="00BA5ECE" w:rsidRDefault="004E2F51" w:rsidP="00E032FC">
            <w:pPr>
              <w:tabs>
                <w:tab w:val="right" w:pos="1202"/>
              </w:tabs>
              <w:outlineLvl w:val="0"/>
              <w:rPr>
                <w:rFonts w:ascii="Arial" w:hAnsi="Arial" w:cs="Arial"/>
                <w:b/>
                <w:bCs/>
                <w:color w:val="000000" w:themeColor="text1"/>
                <w:sz w:val="18"/>
                <w:szCs w:val="18"/>
                <w:lang w:val="hr-HR"/>
              </w:rPr>
            </w:pPr>
            <w:bookmarkStart w:id="2054" w:name="_Toc67331257"/>
            <w:r w:rsidRPr="00BA5ECE">
              <w:rPr>
                <w:rFonts w:ascii="Arial" w:eastAsia="Calibri" w:hAnsi="Arial" w:cs="Arial"/>
                <w:b/>
                <w:bCs/>
                <w:color w:val="000000" w:themeColor="text1"/>
                <w:sz w:val="18"/>
                <w:szCs w:val="18"/>
                <w:lang w:val="hr-HR"/>
              </w:rPr>
              <w:t>Obveze</w:t>
            </w:r>
            <w:bookmarkEnd w:id="2054"/>
          </w:p>
        </w:tc>
        <w:tc>
          <w:tcPr>
            <w:tcW w:w="1205" w:type="dxa"/>
            <w:vAlign w:val="bottom"/>
          </w:tcPr>
          <w:p w14:paraId="5FC1991F"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211C2A82"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50977473"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5D5B3498"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706" w:type="dxa"/>
            <w:vAlign w:val="bottom"/>
          </w:tcPr>
          <w:p w14:paraId="0EFD9CBD"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r>
      <w:tr w:rsidR="004E2F51" w:rsidRPr="00BA5ECE" w14:paraId="69A2C2F8" w14:textId="77777777" w:rsidTr="00E032FC">
        <w:trPr>
          <w:trHeight w:val="297"/>
        </w:trPr>
        <w:tc>
          <w:tcPr>
            <w:tcW w:w="3402" w:type="dxa"/>
            <w:tcBorders>
              <w:top w:val="nil"/>
              <w:left w:val="nil"/>
              <w:bottom w:val="nil"/>
              <w:right w:val="nil"/>
            </w:tcBorders>
            <w:shd w:val="clear" w:color="auto" w:fill="auto"/>
            <w:vAlign w:val="bottom"/>
          </w:tcPr>
          <w:p w14:paraId="7639CE19" w14:textId="77777777" w:rsidR="004E2F51" w:rsidRPr="00BA5ECE" w:rsidRDefault="004E2F51" w:rsidP="00E032FC">
            <w:pPr>
              <w:tabs>
                <w:tab w:val="right" w:pos="1202"/>
              </w:tabs>
              <w:outlineLvl w:val="0"/>
              <w:rPr>
                <w:rFonts w:ascii="Arial" w:hAnsi="Arial" w:cs="Arial"/>
                <w:color w:val="000000" w:themeColor="text1"/>
                <w:sz w:val="18"/>
                <w:szCs w:val="18"/>
                <w:lang w:val="hr-HR"/>
              </w:rPr>
            </w:pPr>
            <w:bookmarkStart w:id="2055" w:name="_Toc67331258"/>
            <w:r w:rsidRPr="00BA5ECE">
              <w:rPr>
                <w:rFonts w:ascii="Arial" w:hAnsi="Arial" w:cs="Arial"/>
                <w:color w:val="000000" w:themeColor="text1"/>
                <w:sz w:val="18"/>
                <w:szCs w:val="18"/>
                <w:lang w:val="hr-HR"/>
              </w:rPr>
              <w:t>Obveze po depozitima</w:t>
            </w:r>
            <w:bookmarkEnd w:id="2055"/>
          </w:p>
        </w:tc>
        <w:tc>
          <w:tcPr>
            <w:tcW w:w="1205" w:type="dxa"/>
            <w:vAlign w:val="bottom"/>
          </w:tcPr>
          <w:p w14:paraId="22A48CF8"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color w:val="000000" w:themeColor="text1"/>
                <w:sz w:val="18"/>
                <w:szCs w:val="18"/>
                <w:lang w:val="hr-HR"/>
              </w:rPr>
              <w:t xml:space="preserve"> - </w:t>
            </w:r>
          </w:p>
        </w:tc>
        <w:tc>
          <w:tcPr>
            <w:tcW w:w="1205" w:type="dxa"/>
            <w:vAlign w:val="bottom"/>
          </w:tcPr>
          <w:p w14:paraId="1DC0D18D"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color w:val="000000" w:themeColor="text1"/>
                <w:sz w:val="18"/>
                <w:szCs w:val="18"/>
                <w:lang w:val="hr-HR"/>
              </w:rPr>
              <w:t xml:space="preserve"> 1.024.623 </w:t>
            </w:r>
          </w:p>
        </w:tc>
        <w:tc>
          <w:tcPr>
            <w:tcW w:w="1205" w:type="dxa"/>
            <w:vAlign w:val="bottom"/>
          </w:tcPr>
          <w:p w14:paraId="0933BE55"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color w:val="000000" w:themeColor="text1"/>
                <w:sz w:val="18"/>
                <w:szCs w:val="18"/>
                <w:lang w:val="hr-HR"/>
              </w:rPr>
              <w:t xml:space="preserve"> - </w:t>
            </w:r>
          </w:p>
        </w:tc>
        <w:tc>
          <w:tcPr>
            <w:tcW w:w="1205" w:type="dxa"/>
            <w:vAlign w:val="bottom"/>
          </w:tcPr>
          <w:p w14:paraId="21196785"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color w:val="000000" w:themeColor="text1"/>
                <w:sz w:val="18"/>
                <w:szCs w:val="18"/>
                <w:lang w:val="hr-HR"/>
              </w:rPr>
              <w:t xml:space="preserve"> 1.024.623 </w:t>
            </w:r>
          </w:p>
        </w:tc>
        <w:tc>
          <w:tcPr>
            <w:tcW w:w="1706" w:type="dxa"/>
            <w:tcBorders>
              <w:top w:val="nil"/>
              <w:left w:val="nil"/>
              <w:bottom w:val="nil"/>
              <w:right w:val="nil"/>
            </w:tcBorders>
            <w:shd w:val="clear" w:color="auto" w:fill="auto"/>
            <w:vAlign w:val="bottom"/>
          </w:tcPr>
          <w:p w14:paraId="66A52C56"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color w:val="000000" w:themeColor="text1"/>
                <w:sz w:val="18"/>
                <w:szCs w:val="18"/>
                <w:lang w:val="hr-HR"/>
              </w:rPr>
              <w:t>1.024.623</w:t>
            </w:r>
          </w:p>
        </w:tc>
      </w:tr>
      <w:tr w:rsidR="004E2F51" w:rsidRPr="00BA5ECE" w14:paraId="56FC00FA" w14:textId="77777777" w:rsidTr="00E032FC">
        <w:trPr>
          <w:trHeight w:val="297"/>
        </w:trPr>
        <w:tc>
          <w:tcPr>
            <w:tcW w:w="3402" w:type="dxa"/>
            <w:tcBorders>
              <w:top w:val="nil"/>
              <w:left w:val="nil"/>
              <w:bottom w:val="nil"/>
              <w:right w:val="nil"/>
            </w:tcBorders>
            <w:shd w:val="clear" w:color="auto" w:fill="auto"/>
            <w:vAlign w:val="bottom"/>
          </w:tcPr>
          <w:p w14:paraId="241E9B3B" w14:textId="77777777" w:rsidR="004E2F51" w:rsidRPr="00BA5ECE" w:rsidRDefault="004E2F51" w:rsidP="00E032FC">
            <w:pPr>
              <w:tabs>
                <w:tab w:val="right" w:pos="1202"/>
              </w:tabs>
              <w:outlineLvl w:val="0"/>
              <w:rPr>
                <w:rFonts w:ascii="Arial" w:hAnsi="Arial" w:cs="Arial"/>
                <w:color w:val="000000" w:themeColor="text1"/>
                <w:sz w:val="18"/>
                <w:szCs w:val="18"/>
                <w:lang w:val="hr-HR"/>
              </w:rPr>
            </w:pPr>
            <w:bookmarkStart w:id="2056" w:name="_Toc67331264"/>
            <w:r w:rsidRPr="00BA5ECE">
              <w:rPr>
                <w:rFonts w:ascii="Arial" w:hAnsi="Arial" w:cs="Arial"/>
                <w:color w:val="000000" w:themeColor="text1"/>
                <w:sz w:val="18"/>
                <w:szCs w:val="18"/>
                <w:lang w:val="hr-HR"/>
              </w:rPr>
              <w:t>Obveze po kreditima</w:t>
            </w:r>
            <w:bookmarkEnd w:id="2056"/>
          </w:p>
        </w:tc>
        <w:tc>
          <w:tcPr>
            <w:tcW w:w="1205" w:type="dxa"/>
            <w:tcBorders>
              <w:bottom w:val="single" w:sz="4" w:space="0" w:color="auto"/>
            </w:tcBorders>
            <w:vAlign w:val="bottom"/>
          </w:tcPr>
          <w:p w14:paraId="4535F8EE"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color w:val="000000" w:themeColor="text1"/>
                <w:sz w:val="18"/>
                <w:szCs w:val="18"/>
                <w:lang w:val="hr-HR"/>
              </w:rPr>
              <w:t xml:space="preserve"> - </w:t>
            </w:r>
          </w:p>
        </w:tc>
        <w:tc>
          <w:tcPr>
            <w:tcW w:w="1205" w:type="dxa"/>
            <w:tcBorders>
              <w:bottom w:val="single" w:sz="4" w:space="0" w:color="auto"/>
            </w:tcBorders>
            <w:vAlign w:val="bottom"/>
          </w:tcPr>
          <w:p w14:paraId="429B9BC7"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color w:val="000000" w:themeColor="text1"/>
                <w:sz w:val="18"/>
                <w:szCs w:val="18"/>
                <w:lang w:val="hr-HR"/>
              </w:rPr>
              <w:t xml:space="preserve"> - </w:t>
            </w:r>
          </w:p>
        </w:tc>
        <w:tc>
          <w:tcPr>
            <w:tcW w:w="1205" w:type="dxa"/>
            <w:tcBorders>
              <w:bottom w:val="single" w:sz="4" w:space="0" w:color="auto"/>
            </w:tcBorders>
            <w:vAlign w:val="bottom"/>
          </w:tcPr>
          <w:p w14:paraId="66B3E88C"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color w:val="000000" w:themeColor="text1"/>
                <w:sz w:val="18"/>
                <w:szCs w:val="18"/>
                <w:lang w:val="hr-HR"/>
              </w:rPr>
              <w:t xml:space="preserve"> 14.554.859 </w:t>
            </w:r>
          </w:p>
        </w:tc>
        <w:tc>
          <w:tcPr>
            <w:tcW w:w="1205" w:type="dxa"/>
            <w:tcBorders>
              <w:bottom w:val="single" w:sz="4" w:space="0" w:color="auto"/>
            </w:tcBorders>
            <w:vAlign w:val="bottom"/>
          </w:tcPr>
          <w:p w14:paraId="1EED3919"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color w:val="000000" w:themeColor="text1"/>
                <w:sz w:val="18"/>
                <w:szCs w:val="18"/>
                <w:lang w:val="hr-HR"/>
              </w:rPr>
              <w:t xml:space="preserve"> 14.554.859 </w:t>
            </w:r>
          </w:p>
        </w:tc>
        <w:tc>
          <w:tcPr>
            <w:tcW w:w="1706" w:type="dxa"/>
            <w:tcBorders>
              <w:top w:val="nil"/>
              <w:left w:val="nil"/>
              <w:bottom w:val="single" w:sz="4" w:space="0" w:color="auto"/>
              <w:right w:val="nil"/>
            </w:tcBorders>
            <w:shd w:val="clear" w:color="auto" w:fill="auto"/>
            <w:vAlign w:val="bottom"/>
          </w:tcPr>
          <w:p w14:paraId="0DB43FB0" w14:textId="77777777" w:rsidR="004E2F51" w:rsidRPr="007935B3"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color w:val="000000" w:themeColor="text1"/>
                <w:sz w:val="18"/>
                <w:szCs w:val="18"/>
                <w:lang w:val="hr-HR"/>
              </w:rPr>
              <w:t>16.501.276</w:t>
            </w:r>
          </w:p>
        </w:tc>
      </w:tr>
      <w:tr w:rsidR="004E2F51" w:rsidRPr="00BA5ECE" w14:paraId="44485842" w14:textId="77777777" w:rsidTr="00E032FC">
        <w:trPr>
          <w:trHeight w:val="297"/>
        </w:trPr>
        <w:tc>
          <w:tcPr>
            <w:tcW w:w="3402" w:type="dxa"/>
            <w:tcBorders>
              <w:top w:val="nil"/>
              <w:left w:val="nil"/>
              <w:bottom w:val="nil"/>
              <w:right w:val="nil"/>
            </w:tcBorders>
            <w:shd w:val="clear" w:color="auto" w:fill="auto"/>
            <w:vAlign w:val="bottom"/>
          </w:tcPr>
          <w:p w14:paraId="1CBE5FF2" w14:textId="77777777" w:rsidR="004E2F51" w:rsidRPr="00BA5ECE" w:rsidRDefault="004E2F51" w:rsidP="00E032FC">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left w:val="nil"/>
              <w:bottom w:val="single" w:sz="12" w:space="0" w:color="auto"/>
              <w:right w:val="nil"/>
            </w:tcBorders>
            <w:shd w:val="clear" w:color="auto" w:fill="auto"/>
            <w:vAlign w:val="bottom"/>
          </w:tcPr>
          <w:p w14:paraId="4E739AAF" w14:textId="77777777" w:rsidR="004E2F51" w:rsidRPr="007935B3" w:rsidRDefault="004E2F51" w:rsidP="00E032FC">
            <w:pPr>
              <w:tabs>
                <w:tab w:val="right" w:pos="1202"/>
              </w:tabs>
              <w:spacing w:line="301" w:lineRule="exact"/>
              <w:jc w:val="right"/>
              <w:outlineLvl w:val="0"/>
              <w:rPr>
                <w:rFonts w:ascii="Arial" w:hAnsi="Arial" w:cs="Arial"/>
                <w:b/>
                <w:bCs/>
                <w:sz w:val="18"/>
                <w:szCs w:val="18"/>
              </w:rPr>
            </w:pPr>
            <w:r w:rsidRPr="00D41CC0">
              <w:rPr>
                <w:rFonts w:ascii="Arial" w:hAnsi="Arial" w:cs="Arial"/>
                <w:b/>
                <w:bCs/>
                <w:color w:val="000000" w:themeColor="text1"/>
                <w:sz w:val="18"/>
                <w:szCs w:val="18"/>
                <w:lang w:val="hr-HR"/>
              </w:rPr>
              <w:t xml:space="preserve"> - </w:t>
            </w:r>
          </w:p>
        </w:tc>
        <w:tc>
          <w:tcPr>
            <w:tcW w:w="1205" w:type="dxa"/>
            <w:tcBorders>
              <w:top w:val="single" w:sz="4" w:space="0" w:color="auto"/>
              <w:left w:val="nil"/>
              <w:bottom w:val="single" w:sz="12" w:space="0" w:color="auto"/>
              <w:right w:val="nil"/>
            </w:tcBorders>
            <w:shd w:val="clear" w:color="auto" w:fill="auto"/>
            <w:vAlign w:val="bottom"/>
          </w:tcPr>
          <w:p w14:paraId="44020843" w14:textId="77777777" w:rsidR="004E2F51" w:rsidRPr="007935B3" w:rsidRDefault="004E2F51" w:rsidP="00E032FC">
            <w:pPr>
              <w:tabs>
                <w:tab w:val="right" w:pos="1202"/>
              </w:tabs>
              <w:spacing w:line="301" w:lineRule="exact"/>
              <w:jc w:val="right"/>
              <w:outlineLvl w:val="0"/>
              <w:rPr>
                <w:rFonts w:ascii="Arial" w:hAnsi="Arial" w:cs="Arial"/>
                <w:b/>
                <w:bCs/>
                <w:sz w:val="18"/>
                <w:szCs w:val="18"/>
              </w:rPr>
            </w:pPr>
            <w:r w:rsidRPr="00D41CC0">
              <w:rPr>
                <w:rFonts w:ascii="Arial" w:hAnsi="Arial" w:cs="Arial"/>
                <w:b/>
                <w:bCs/>
                <w:color w:val="000000" w:themeColor="text1"/>
                <w:sz w:val="18"/>
                <w:szCs w:val="18"/>
                <w:lang w:val="hr-HR"/>
              </w:rPr>
              <w:t xml:space="preserve"> 1.024.623 </w:t>
            </w:r>
          </w:p>
        </w:tc>
        <w:tc>
          <w:tcPr>
            <w:tcW w:w="1205" w:type="dxa"/>
            <w:tcBorders>
              <w:top w:val="single" w:sz="4" w:space="0" w:color="auto"/>
              <w:left w:val="nil"/>
              <w:bottom w:val="single" w:sz="12" w:space="0" w:color="auto"/>
              <w:right w:val="nil"/>
            </w:tcBorders>
            <w:shd w:val="clear" w:color="auto" w:fill="auto"/>
            <w:vAlign w:val="bottom"/>
          </w:tcPr>
          <w:p w14:paraId="1D03C045" w14:textId="77777777" w:rsidR="004E2F51" w:rsidRPr="007935B3" w:rsidRDefault="004E2F51" w:rsidP="00E032FC">
            <w:pPr>
              <w:tabs>
                <w:tab w:val="right" w:pos="1202"/>
              </w:tabs>
              <w:spacing w:line="301" w:lineRule="exact"/>
              <w:jc w:val="right"/>
              <w:outlineLvl w:val="0"/>
              <w:rPr>
                <w:rFonts w:ascii="Arial" w:hAnsi="Arial" w:cs="Arial"/>
                <w:b/>
                <w:bCs/>
                <w:sz w:val="18"/>
                <w:szCs w:val="18"/>
              </w:rPr>
            </w:pPr>
            <w:r w:rsidRPr="00D41CC0">
              <w:rPr>
                <w:rFonts w:ascii="Arial" w:hAnsi="Arial" w:cs="Arial"/>
                <w:b/>
                <w:bCs/>
                <w:color w:val="000000" w:themeColor="text1"/>
                <w:sz w:val="18"/>
                <w:szCs w:val="18"/>
                <w:lang w:val="hr-HR"/>
              </w:rPr>
              <w:t xml:space="preserve"> 14.554.859 </w:t>
            </w:r>
          </w:p>
        </w:tc>
        <w:tc>
          <w:tcPr>
            <w:tcW w:w="1205" w:type="dxa"/>
            <w:tcBorders>
              <w:top w:val="single" w:sz="4" w:space="0" w:color="auto"/>
              <w:left w:val="nil"/>
              <w:bottom w:val="single" w:sz="12" w:space="0" w:color="auto"/>
              <w:right w:val="nil"/>
            </w:tcBorders>
            <w:shd w:val="clear" w:color="auto" w:fill="auto"/>
            <w:vAlign w:val="bottom"/>
          </w:tcPr>
          <w:p w14:paraId="33F3C6F2" w14:textId="77777777" w:rsidR="004E2F51" w:rsidRPr="007935B3" w:rsidRDefault="004E2F51" w:rsidP="00E032FC">
            <w:pPr>
              <w:tabs>
                <w:tab w:val="right" w:pos="1202"/>
              </w:tabs>
              <w:spacing w:line="301" w:lineRule="exact"/>
              <w:jc w:val="right"/>
              <w:outlineLvl w:val="0"/>
              <w:rPr>
                <w:rFonts w:ascii="Arial" w:hAnsi="Arial" w:cs="Arial"/>
                <w:b/>
                <w:bCs/>
                <w:sz w:val="18"/>
                <w:szCs w:val="18"/>
              </w:rPr>
            </w:pPr>
            <w:r w:rsidRPr="00D41CC0">
              <w:rPr>
                <w:rFonts w:ascii="Arial" w:hAnsi="Arial" w:cs="Arial"/>
                <w:b/>
                <w:bCs/>
                <w:color w:val="000000" w:themeColor="text1"/>
                <w:sz w:val="18"/>
                <w:szCs w:val="18"/>
                <w:lang w:val="hr-HR"/>
              </w:rPr>
              <w:t xml:space="preserve"> 15.579.482 </w:t>
            </w:r>
          </w:p>
        </w:tc>
        <w:tc>
          <w:tcPr>
            <w:tcW w:w="1706" w:type="dxa"/>
            <w:tcBorders>
              <w:top w:val="single" w:sz="4" w:space="0" w:color="auto"/>
              <w:left w:val="nil"/>
              <w:bottom w:val="single" w:sz="12" w:space="0" w:color="auto"/>
              <w:right w:val="nil"/>
            </w:tcBorders>
            <w:shd w:val="clear" w:color="auto" w:fill="auto"/>
            <w:vAlign w:val="bottom"/>
          </w:tcPr>
          <w:p w14:paraId="2A240E61" w14:textId="77777777" w:rsidR="004E2F51" w:rsidRPr="007935B3" w:rsidRDefault="004E2F51" w:rsidP="00E032FC">
            <w:pPr>
              <w:tabs>
                <w:tab w:val="right" w:pos="1202"/>
              </w:tabs>
              <w:spacing w:line="301" w:lineRule="exact"/>
              <w:jc w:val="right"/>
              <w:outlineLvl w:val="0"/>
              <w:rPr>
                <w:rFonts w:ascii="Arial" w:hAnsi="Arial" w:cs="Arial"/>
                <w:b/>
                <w:bCs/>
                <w:sz w:val="18"/>
                <w:szCs w:val="18"/>
              </w:rPr>
            </w:pPr>
            <w:r w:rsidRPr="00D41CC0">
              <w:rPr>
                <w:rFonts w:ascii="Arial" w:hAnsi="Arial" w:cs="Arial"/>
                <w:b/>
                <w:bCs/>
                <w:color w:val="000000" w:themeColor="text1"/>
                <w:sz w:val="18"/>
                <w:szCs w:val="18"/>
                <w:lang w:val="hr-HR"/>
              </w:rPr>
              <w:t xml:space="preserve"> 17.525.899 </w:t>
            </w:r>
          </w:p>
        </w:tc>
      </w:tr>
    </w:tbl>
    <w:p w14:paraId="266EBE96" w14:textId="77777777" w:rsidR="004E2F51" w:rsidRPr="00BA5ECE" w:rsidRDefault="004E2F51" w:rsidP="004E2F51">
      <w:pPr>
        <w:pStyle w:val="T1"/>
        <w:keepNext w:val="0"/>
        <w:spacing w:before="0" w:after="0" w:line="240" w:lineRule="auto"/>
        <w:rPr>
          <w:rFonts w:cs="Arial"/>
          <w:b w:val="0"/>
          <w:color w:val="000000" w:themeColor="text1"/>
          <w:spacing w:val="-3"/>
          <w:sz w:val="20"/>
          <w:lang w:val="hr-HR"/>
        </w:rPr>
      </w:pPr>
    </w:p>
    <w:p w14:paraId="01923578" w14:textId="77777777" w:rsidR="004E2F51" w:rsidRPr="00BA5ECE" w:rsidRDefault="004E2F51" w:rsidP="004E2F51">
      <w:pPr>
        <w:pStyle w:val="T1"/>
        <w:keepNext w:val="0"/>
        <w:spacing w:before="0" w:after="0" w:line="240" w:lineRule="auto"/>
        <w:rPr>
          <w:rFonts w:cs="Arial"/>
          <w:b w:val="0"/>
          <w:color w:val="000000" w:themeColor="text1"/>
          <w:spacing w:val="-3"/>
          <w:sz w:val="20"/>
          <w:lang w:val="hr-HR"/>
        </w:rPr>
      </w:pPr>
    </w:p>
    <w:p w14:paraId="611A002D" w14:textId="77777777" w:rsidR="004E2F51" w:rsidRPr="00BA5ECE" w:rsidRDefault="004E2F51" w:rsidP="004E2F51">
      <w:pPr>
        <w:pStyle w:val="T1"/>
        <w:keepNext w:val="0"/>
        <w:spacing w:before="0" w:after="0" w:line="240" w:lineRule="auto"/>
        <w:rPr>
          <w:rFonts w:cs="Arial"/>
          <w:b w:val="0"/>
          <w:color w:val="000000" w:themeColor="text1"/>
          <w:spacing w:val="-3"/>
          <w:sz w:val="20"/>
          <w:lang w:val="hr-HR"/>
        </w:rPr>
      </w:pPr>
    </w:p>
    <w:p w14:paraId="3D85B868" w14:textId="77777777" w:rsidR="004E2F51" w:rsidRPr="00B91D09" w:rsidRDefault="004E2F51" w:rsidP="004E2F51">
      <w:pPr>
        <w:pStyle w:val="T1"/>
        <w:keepNext w:val="0"/>
        <w:spacing w:before="0" w:after="0" w:line="240" w:lineRule="auto"/>
        <w:rPr>
          <w:rFonts w:cs="Arial"/>
          <w:b w:val="0"/>
          <w:color w:val="000000" w:themeColor="text1"/>
          <w:spacing w:val="-3"/>
          <w:sz w:val="16"/>
          <w:szCs w:val="16"/>
          <w:lang w:val="hr-HR"/>
        </w:rPr>
      </w:pP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6D0EB6" w:rsidRPr="00BA5ECE" w14:paraId="7BE33283" w14:textId="77777777" w:rsidTr="006D0EB6">
        <w:trPr>
          <w:trHeight w:val="289"/>
        </w:trPr>
        <w:tc>
          <w:tcPr>
            <w:tcW w:w="3402" w:type="dxa"/>
            <w:vAlign w:val="bottom"/>
          </w:tcPr>
          <w:p w14:paraId="4E004EF6" w14:textId="77777777" w:rsidR="006D0EB6" w:rsidRPr="00BA5ECE" w:rsidRDefault="006D0EB6" w:rsidP="006D0EB6">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Grupa</w:t>
            </w:r>
          </w:p>
          <w:p w14:paraId="7CE223C2" w14:textId="77777777" w:rsidR="006D0EB6" w:rsidRPr="00BA5ECE" w:rsidRDefault="006D0EB6" w:rsidP="006D0EB6">
            <w:pPr>
              <w:rPr>
                <w:rFonts w:ascii="Arial" w:hAnsi="Arial" w:cs="Arial"/>
                <w:b/>
                <w:color w:val="000000" w:themeColor="text1"/>
                <w:sz w:val="18"/>
                <w:szCs w:val="18"/>
                <w:lang w:val="hr-HR"/>
              </w:rPr>
            </w:pPr>
          </w:p>
          <w:p w14:paraId="0A82B501" w14:textId="77777777" w:rsidR="006D0EB6" w:rsidRPr="00BA5ECE" w:rsidRDefault="006D0EB6" w:rsidP="006D0EB6">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31. prosinca 2021.</w:t>
            </w:r>
          </w:p>
        </w:tc>
        <w:tc>
          <w:tcPr>
            <w:tcW w:w="1205" w:type="dxa"/>
            <w:shd w:val="clear" w:color="auto" w:fill="auto"/>
          </w:tcPr>
          <w:p w14:paraId="53668DA7" w14:textId="77777777" w:rsidR="006D0EB6" w:rsidRPr="00BA5ECE" w:rsidRDefault="006D0EB6" w:rsidP="006D0EB6">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1</w:t>
            </w:r>
          </w:p>
        </w:tc>
        <w:tc>
          <w:tcPr>
            <w:tcW w:w="1205" w:type="dxa"/>
            <w:shd w:val="clear" w:color="auto" w:fill="auto"/>
          </w:tcPr>
          <w:p w14:paraId="2055128A" w14:textId="77777777" w:rsidR="006D0EB6" w:rsidRPr="00BA5ECE" w:rsidRDefault="006D0EB6" w:rsidP="006D0EB6">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2</w:t>
            </w:r>
          </w:p>
        </w:tc>
        <w:tc>
          <w:tcPr>
            <w:tcW w:w="1205" w:type="dxa"/>
            <w:shd w:val="clear" w:color="auto" w:fill="auto"/>
          </w:tcPr>
          <w:p w14:paraId="7AB50DEC" w14:textId="77777777" w:rsidR="006D0EB6" w:rsidRPr="00BA5ECE" w:rsidRDefault="006D0EB6" w:rsidP="006D0EB6">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3</w:t>
            </w:r>
          </w:p>
        </w:tc>
        <w:tc>
          <w:tcPr>
            <w:tcW w:w="1205" w:type="dxa"/>
          </w:tcPr>
          <w:p w14:paraId="0EE4161E" w14:textId="127F1718" w:rsidR="006D0EB6" w:rsidRPr="00BA5ECE" w:rsidRDefault="006D0EB6" w:rsidP="006D0EB6">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Ukupna f</w:t>
            </w:r>
            <w:r w:rsidRPr="00BA5ECE">
              <w:rPr>
                <w:rFonts w:ascii="Arial" w:hAnsi="Arial" w:cs="Arial"/>
                <w:b/>
                <w:color w:val="000000" w:themeColor="text1"/>
                <w:sz w:val="18"/>
                <w:szCs w:val="18"/>
                <w:lang w:val="hr-HR"/>
              </w:rPr>
              <w:t>er vrijednost</w:t>
            </w:r>
          </w:p>
        </w:tc>
        <w:tc>
          <w:tcPr>
            <w:tcW w:w="1706" w:type="dxa"/>
          </w:tcPr>
          <w:p w14:paraId="5F312848" w14:textId="5DFD9B7B" w:rsidR="006D0EB6" w:rsidRPr="00BA5ECE" w:rsidRDefault="006D0EB6" w:rsidP="006D0EB6">
            <w:pPr>
              <w:jc w:val="right"/>
              <w:rPr>
                <w:rFonts w:ascii="Arial" w:hAnsi="Arial" w:cs="Arial"/>
                <w:b/>
                <w:color w:val="000000" w:themeColor="text1"/>
                <w:sz w:val="18"/>
                <w:szCs w:val="18"/>
                <w:lang w:val="hr-HR"/>
              </w:rPr>
            </w:pPr>
            <w:r>
              <w:rPr>
                <w:rFonts w:ascii="Arial" w:hAnsi="Arial" w:cs="Arial"/>
                <w:b/>
                <w:color w:val="000000" w:themeColor="text1"/>
                <w:sz w:val="18"/>
                <w:szCs w:val="18"/>
                <w:lang w:val="hr-HR"/>
              </w:rPr>
              <w:t>Ukupna k</w:t>
            </w:r>
            <w:r w:rsidRPr="00BA5ECE">
              <w:rPr>
                <w:rFonts w:ascii="Arial" w:hAnsi="Arial" w:cs="Arial"/>
                <w:b/>
                <w:color w:val="000000" w:themeColor="text1"/>
                <w:sz w:val="18"/>
                <w:szCs w:val="18"/>
                <w:lang w:val="hr-HR"/>
              </w:rPr>
              <w:t>njigovodstvena vrijednost</w:t>
            </w:r>
          </w:p>
        </w:tc>
      </w:tr>
      <w:tr w:rsidR="004E2F51" w:rsidRPr="00BA5ECE" w14:paraId="3F60818A" w14:textId="77777777" w:rsidTr="00E032FC">
        <w:trPr>
          <w:trHeight w:hRule="exact" w:val="271"/>
        </w:trPr>
        <w:tc>
          <w:tcPr>
            <w:tcW w:w="3402" w:type="dxa"/>
            <w:vAlign w:val="bottom"/>
          </w:tcPr>
          <w:p w14:paraId="5615BC0E" w14:textId="77777777" w:rsidR="004E2F51" w:rsidRPr="00BA5ECE" w:rsidRDefault="004E2F51" w:rsidP="00E032FC">
            <w:pPr>
              <w:rPr>
                <w:rFonts w:ascii="Arial" w:hAnsi="Arial" w:cs="Arial"/>
                <w:color w:val="000000" w:themeColor="text1"/>
                <w:sz w:val="18"/>
                <w:szCs w:val="18"/>
                <w:lang w:val="hr-HR"/>
              </w:rPr>
            </w:pPr>
          </w:p>
        </w:tc>
        <w:tc>
          <w:tcPr>
            <w:tcW w:w="1205" w:type="dxa"/>
            <w:vAlign w:val="center"/>
          </w:tcPr>
          <w:p w14:paraId="1ADC57A7"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c>
          <w:tcPr>
            <w:tcW w:w="1205" w:type="dxa"/>
            <w:vAlign w:val="center"/>
          </w:tcPr>
          <w:p w14:paraId="121B7118"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c>
          <w:tcPr>
            <w:tcW w:w="1205" w:type="dxa"/>
            <w:vAlign w:val="center"/>
          </w:tcPr>
          <w:p w14:paraId="41CE6DE0"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c>
          <w:tcPr>
            <w:tcW w:w="1205" w:type="dxa"/>
            <w:vAlign w:val="center"/>
          </w:tcPr>
          <w:p w14:paraId="275A0125"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c>
          <w:tcPr>
            <w:tcW w:w="1706" w:type="dxa"/>
            <w:vAlign w:val="center"/>
          </w:tcPr>
          <w:p w14:paraId="42EAA8F4"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r>
      <w:tr w:rsidR="004E2F51" w:rsidRPr="00BA5ECE" w14:paraId="3D40DAA6" w14:textId="77777777" w:rsidTr="00E032FC">
        <w:trPr>
          <w:trHeight w:hRule="exact" w:val="162"/>
        </w:trPr>
        <w:tc>
          <w:tcPr>
            <w:tcW w:w="3402" w:type="dxa"/>
            <w:vAlign w:val="bottom"/>
          </w:tcPr>
          <w:p w14:paraId="7456705C" w14:textId="77777777" w:rsidR="004E2F51" w:rsidRPr="00BA5ECE" w:rsidRDefault="004E2F51" w:rsidP="00E032FC">
            <w:pPr>
              <w:rPr>
                <w:rFonts w:ascii="Arial" w:hAnsi="Arial" w:cs="Arial"/>
                <w:color w:val="000000" w:themeColor="text1"/>
                <w:sz w:val="18"/>
                <w:szCs w:val="18"/>
                <w:lang w:val="hr-HR"/>
              </w:rPr>
            </w:pPr>
          </w:p>
        </w:tc>
        <w:tc>
          <w:tcPr>
            <w:tcW w:w="1205" w:type="dxa"/>
            <w:vAlign w:val="center"/>
          </w:tcPr>
          <w:p w14:paraId="33216279" w14:textId="77777777" w:rsidR="004E2F51" w:rsidRPr="00BA5ECE" w:rsidRDefault="004E2F51" w:rsidP="00E032FC">
            <w:pPr>
              <w:jc w:val="right"/>
              <w:rPr>
                <w:rFonts w:ascii="Arial" w:hAnsi="Arial" w:cs="Arial"/>
                <w:b/>
                <w:color w:val="000000" w:themeColor="text1"/>
                <w:sz w:val="18"/>
                <w:szCs w:val="18"/>
                <w:lang w:val="hr-HR"/>
              </w:rPr>
            </w:pPr>
          </w:p>
        </w:tc>
        <w:tc>
          <w:tcPr>
            <w:tcW w:w="1205" w:type="dxa"/>
            <w:vAlign w:val="center"/>
          </w:tcPr>
          <w:p w14:paraId="22CB88E9" w14:textId="77777777" w:rsidR="004E2F51" w:rsidRPr="00BA5ECE" w:rsidRDefault="004E2F51" w:rsidP="00E032FC">
            <w:pPr>
              <w:jc w:val="right"/>
              <w:rPr>
                <w:rFonts w:ascii="Arial" w:hAnsi="Arial" w:cs="Arial"/>
                <w:b/>
                <w:color w:val="000000" w:themeColor="text1"/>
                <w:sz w:val="18"/>
                <w:szCs w:val="18"/>
                <w:lang w:val="hr-HR"/>
              </w:rPr>
            </w:pPr>
          </w:p>
        </w:tc>
        <w:tc>
          <w:tcPr>
            <w:tcW w:w="1205" w:type="dxa"/>
            <w:vAlign w:val="center"/>
          </w:tcPr>
          <w:p w14:paraId="75501B06" w14:textId="77777777" w:rsidR="004E2F51" w:rsidRPr="00BA5ECE" w:rsidRDefault="004E2F51" w:rsidP="00E032FC">
            <w:pPr>
              <w:jc w:val="right"/>
              <w:rPr>
                <w:rFonts w:ascii="Arial" w:hAnsi="Arial" w:cs="Arial"/>
                <w:b/>
                <w:color w:val="000000" w:themeColor="text1"/>
                <w:sz w:val="18"/>
                <w:szCs w:val="18"/>
                <w:lang w:val="hr-HR"/>
              </w:rPr>
            </w:pPr>
          </w:p>
        </w:tc>
        <w:tc>
          <w:tcPr>
            <w:tcW w:w="1205" w:type="dxa"/>
            <w:vAlign w:val="center"/>
          </w:tcPr>
          <w:p w14:paraId="1D29A0DB" w14:textId="77777777" w:rsidR="004E2F51" w:rsidRPr="00BA5ECE" w:rsidRDefault="004E2F51" w:rsidP="00E032FC">
            <w:pPr>
              <w:jc w:val="right"/>
              <w:rPr>
                <w:rFonts w:ascii="Arial" w:hAnsi="Arial" w:cs="Arial"/>
                <w:b/>
                <w:color w:val="000000" w:themeColor="text1"/>
                <w:sz w:val="18"/>
                <w:szCs w:val="18"/>
                <w:lang w:val="hr-HR"/>
              </w:rPr>
            </w:pPr>
          </w:p>
        </w:tc>
        <w:tc>
          <w:tcPr>
            <w:tcW w:w="1706" w:type="dxa"/>
            <w:vAlign w:val="center"/>
          </w:tcPr>
          <w:p w14:paraId="610CA5C8" w14:textId="77777777" w:rsidR="004E2F51" w:rsidRPr="00BA5ECE" w:rsidRDefault="004E2F51" w:rsidP="00E032FC">
            <w:pPr>
              <w:jc w:val="right"/>
              <w:rPr>
                <w:rFonts w:ascii="Arial" w:hAnsi="Arial" w:cs="Arial"/>
                <w:b/>
                <w:color w:val="000000" w:themeColor="text1"/>
                <w:sz w:val="18"/>
                <w:szCs w:val="18"/>
                <w:lang w:val="hr-HR"/>
              </w:rPr>
            </w:pPr>
          </w:p>
        </w:tc>
      </w:tr>
      <w:tr w:rsidR="004E2F51" w:rsidRPr="00BA5ECE" w14:paraId="1A41CFCE" w14:textId="77777777" w:rsidTr="00E032FC">
        <w:trPr>
          <w:trHeight w:val="297"/>
        </w:trPr>
        <w:tc>
          <w:tcPr>
            <w:tcW w:w="3402" w:type="dxa"/>
            <w:vAlign w:val="bottom"/>
          </w:tcPr>
          <w:p w14:paraId="7C10E8D8" w14:textId="77777777" w:rsidR="004E2F51" w:rsidRPr="00BA5ECE" w:rsidRDefault="004E2F51" w:rsidP="00E032FC">
            <w:pPr>
              <w:tabs>
                <w:tab w:val="right" w:pos="1202"/>
              </w:tabs>
              <w:outlineLvl w:val="0"/>
              <w:rPr>
                <w:rFonts w:ascii="Arial" w:hAnsi="Arial" w:cs="Arial"/>
                <w:b/>
                <w:bCs/>
                <w:color w:val="000000" w:themeColor="text1"/>
                <w:sz w:val="18"/>
                <w:szCs w:val="18"/>
                <w:lang w:val="hr-HR"/>
              </w:rPr>
            </w:pPr>
            <w:r w:rsidRPr="00BA5ECE">
              <w:rPr>
                <w:rFonts w:ascii="Arial" w:eastAsia="Calibri" w:hAnsi="Arial" w:cs="Arial"/>
                <w:b/>
                <w:bCs/>
                <w:color w:val="000000" w:themeColor="text1"/>
                <w:sz w:val="18"/>
                <w:szCs w:val="18"/>
                <w:lang w:val="hr-HR"/>
              </w:rPr>
              <w:t>Imovina</w:t>
            </w:r>
          </w:p>
        </w:tc>
        <w:tc>
          <w:tcPr>
            <w:tcW w:w="1205" w:type="dxa"/>
            <w:vAlign w:val="center"/>
          </w:tcPr>
          <w:p w14:paraId="2FC19ECE"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31F613E3"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4865B724"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012FCB74"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706" w:type="dxa"/>
            <w:vAlign w:val="center"/>
          </w:tcPr>
          <w:p w14:paraId="219CDFC8"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r>
      <w:tr w:rsidR="004E2F51" w:rsidRPr="00BA5ECE" w14:paraId="70532F0F" w14:textId="77777777" w:rsidTr="00E032FC">
        <w:trPr>
          <w:trHeight w:val="297"/>
        </w:trPr>
        <w:tc>
          <w:tcPr>
            <w:tcW w:w="3402" w:type="dxa"/>
            <w:vAlign w:val="bottom"/>
          </w:tcPr>
          <w:p w14:paraId="69CDD023" w14:textId="77777777" w:rsidR="004E2F51" w:rsidRPr="00BA5ECE" w:rsidRDefault="004E2F51" w:rsidP="00E032FC">
            <w:pPr>
              <w:tabs>
                <w:tab w:val="right" w:pos="1202"/>
              </w:tabs>
              <w:outlineLvl w:val="0"/>
              <w:rPr>
                <w:rFonts w:ascii="Arial" w:hAnsi="Arial" w:cs="Arial"/>
                <w:color w:val="000000" w:themeColor="text1"/>
                <w:sz w:val="18"/>
                <w:szCs w:val="18"/>
                <w:lang w:val="hr-HR"/>
              </w:rPr>
            </w:pPr>
            <w:r w:rsidRPr="00BA5ECE">
              <w:rPr>
                <w:rFonts w:ascii="Arial" w:eastAsia="Calibri" w:hAnsi="Arial" w:cs="Arial"/>
                <w:color w:val="000000" w:themeColor="text1"/>
                <w:sz w:val="18"/>
                <w:szCs w:val="18"/>
                <w:lang w:val="hr-HR"/>
              </w:rPr>
              <w:t>Novčana sredstva i računi kod banaka</w:t>
            </w:r>
          </w:p>
        </w:tc>
        <w:tc>
          <w:tcPr>
            <w:tcW w:w="1205" w:type="dxa"/>
          </w:tcPr>
          <w:p w14:paraId="17B6BD0D"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1.961.986 </w:t>
            </w:r>
          </w:p>
        </w:tc>
        <w:tc>
          <w:tcPr>
            <w:tcW w:w="1205" w:type="dxa"/>
          </w:tcPr>
          <w:p w14:paraId="587F4DEC"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Pr>
          <w:p w14:paraId="26DD4B66"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Pr>
          <w:p w14:paraId="12A25AC7"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1.961.986 </w:t>
            </w:r>
          </w:p>
        </w:tc>
        <w:tc>
          <w:tcPr>
            <w:tcW w:w="1706" w:type="dxa"/>
            <w:tcBorders>
              <w:top w:val="nil"/>
              <w:left w:val="nil"/>
              <w:bottom w:val="nil"/>
              <w:right w:val="nil"/>
            </w:tcBorders>
            <w:shd w:val="clear" w:color="auto" w:fill="auto"/>
          </w:tcPr>
          <w:p w14:paraId="79814C25"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1.961.986 </w:t>
            </w:r>
          </w:p>
        </w:tc>
      </w:tr>
      <w:tr w:rsidR="004E2F51" w:rsidRPr="00BA5ECE" w14:paraId="3F1DFB8B" w14:textId="77777777" w:rsidTr="00E032FC">
        <w:trPr>
          <w:trHeight w:val="297"/>
        </w:trPr>
        <w:tc>
          <w:tcPr>
            <w:tcW w:w="3402" w:type="dxa"/>
            <w:vAlign w:val="bottom"/>
          </w:tcPr>
          <w:p w14:paraId="424149F6" w14:textId="77777777" w:rsidR="004E2F51" w:rsidRPr="00BA5ECE" w:rsidRDefault="004E2F51" w:rsidP="00E032FC">
            <w:pPr>
              <w:tabs>
                <w:tab w:val="right" w:pos="1202"/>
              </w:tabs>
              <w:outlineLvl w:val="0"/>
              <w:rPr>
                <w:rFonts w:ascii="Arial" w:hAnsi="Arial" w:cs="Arial"/>
                <w:color w:val="000000" w:themeColor="text1"/>
                <w:sz w:val="18"/>
                <w:szCs w:val="18"/>
                <w:lang w:val="hr-HR"/>
              </w:rPr>
            </w:pPr>
            <w:r w:rsidRPr="00BA5ECE">
              <w:rPr>
                <w:rFonts w:ascii="Arial" w:eastAsia="Calibri" w:hAnsi="Arial" w:cs="Arial"/>
                <w:color w:val="000000" w:themeColor="text1"/>
                <w:sz w:val="18"/>
                <w:szCs w:val="18"/>
                <w:lang w:val="hr-HR"/>
              </w:rPr>
              <w:t>Depoziti kod drugih banaka</w:t>
            </w:r>
          </w:p>
        </w:tc>
        <w:tc>
          <w:tcPr>
            <w:tcW w:w="1205" w:type="dxa"/>
          </w:tcPr>
          <w:p w14:paraId="5DBF316A"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Pr>
          <w:p w14:paraId="0AD7A18D"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7.500 </w:t>
            </w:r>
          </w:p>
        </w:tc>
        <w:tc>
          <w:tcPr>
            <w:tcW w:w="1205" w:type="dxa"/>
          </w:tcPr>
          <w:p w14:paraId="0D5D633C"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Pr>
          <w:p w14:paraId="52B4B370"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7.500 </w:t>
            </w:r>
          </w:p>
        </w:tc>
        <w:tc>
          <w:tcPr>
            <w:tcW w:w="1706" w:type="dxa"/>
            <w:tcBorders>
              <w:top w:val="nil"/>
              <w:left w:val="nil"/>
              <w:bottom w:val="nil"/>
              <w:right w:val="nil"/>
            </w:tcBorders>
            <w:shd w:val="clear" w:color="auto" w:fill="auto"/>
          </w:tcPr>
          <w:p w14:paraId="7954A3D4"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7.500 </w:t>
            </w:r>
          </w:p>
        </w:tc>
      </w:tr>
      <w:tr w:rsidR="004E2F51" w:rsidRPr="00BA5ECE" w14:paraId="3F6590F1" w14:textId="77777777" w:rsidTr="00E032FC">
        <w:trPr>
          <w:trHeight w:val="307"/>
        </w:trPr>
        <w:tc>
          <w:tcPr>
            <w:tcW w:w="3402" w:type="dxa"/>
            <w:vAlign w:val="bottom"/>
          </w:tcPr>
          <w:p w14:paraId="7C47E353" w14:textId="77777777" w:rsidR="004E2F51" w:rsidRPr="00BA5ECE" w:rsidRDefault="004E2F51" w:rsidP="00E032FC">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Krediti financijskim institucijama</w:t>
            </w:r>
          </w:p>
        </w:tc>
        <w:tc>
          <w:tcPr>
            <w:tcW w:w="1205" w:type="dxa"/>
          </w:tcPr>
          <w:p w14:paraId="6CE8F391"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Pr>
          <w:p w14:paraId="3FD4EACD"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Pr>
          <w:p w14:paraId="66408E51"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7.073.126 </w:t>
            </w:r>
          </w:p>
        </w:tc>
        <w:tc>
          <w:tcPr>
            <w:tcW w:w="1205" w:type="dxa"/>
          </w:tcPr>
          <w:p w14:paraId="55A09D14"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7.073.126 </w:t>
            </w:r>
          </w:p>
        </w:tc>
        <w:tc>
          <w:tcPr>
            <w:tcW w:w="1706" w:type="dxa"/>
            <w:tcBorders>
              <w:top w:val="nil"/>
              <w:left w:val="nil"/>
              <w:bottom w:val="nil"/>
              <w:right w:val="nil"/>
            </w:tcBorders>
            <w:shd w:val="clear" w:color="auto" w:fill="auto"/>
          </w:tcPr>
          <w:p w14:paraId="0DB6F870"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7.050.143 </w:t>
            </w:r>
          </w:p>
        </w:tc>
      </w:tr>
      <w:tr w:rsidR="004E2F51" w:rsidRPr="00BA5ECE" w14:paraId="0AEEF941" w14:textId="77777777" w:rsidTr="00E032FC">
        <w:trPr>
          <w:trHeight w:val="297"/>
        </w:trPr>
        <w:tc>
          <w:tcPr>
            <w:tcW w:w="3402" w:type="dxa"/>
            <w:vAlign w:val="bottom"/>
          </w:tcPr>
          <w:p w14:paraId="3676467E" w14:textId="77777777" w:rsidR="004E2F51" w:rsidRPr="00BA5ECE" w:rsidRDefault="004E2F51" w:rsidP="00E032FC">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Krediti ostalim korisnicima</w:t>
            </w:r>
          </w:p>
        </w:tc>
        <w:tc>
          <w:tcPr>
            <w:tcW w:w="1205" w:type="dxa"/>
            <w:tcBorders>
              <w:bottom w:val="single" w:sz="4" w:space="0" w:color="auto"/>
            </w:tcBorders>
          </w:tcPr>
          <w:p w14:paraId="727B1A8D"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Borders>
              <w:bottom w:val="single" w:sz="4" w:space="0" w:color="auto"/>
            </w:tcBorders>
          </w:tcPr>
          <w:p w14:paraId="77B677B3"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Borders>
              <w:bottom w:val="single" w:sz="4" w:space="0" w:color="auto"/>
            </w:tcBorders>
          </w:tcPr>
          <w:p w14:paraId="2E1AFE32"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17.912.813 </w:t>
            </w:r>
          </w:p>
        </w:tc>
        <w:tc>
          <w:tcPr>
            <w:tcW w:w="1205" w:type="dxa"/>
            <w:tcBorders>
              <w:bottom w:val="single" w:sz="4" w:space="0" w:color="auto"/>
            </w:tcBorders>
          </w:tcPr>
          <w:p w14:paraId="5C969ADB"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17.912.813 </w:t>
            </w:r>
          </w:p>
        </w:tc>
        <w:tc>
          <w:tcPr>
            <w:tcW w:w="1706" w:type="dxa"/>
            <w:tcBorders>
              <w:top w:val="nil"/>
              <w:left w:val="nil"/>
              <w:bottom w:val="single" w:sz="4" w:space="0" w:color="auto"/>
              <w:right w:val="nil"/>
            </w:tcBorders>
            <w:shd w:val="clear" w:color="auto" w:fill="auto"/>
          </w:tcPr>
          <w:p w14:paraId="18BFA378"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15.964.376 </w:t>
            </w:r>
          </w:p>
        </w:tc>
      </w:tr>
      <w:tr w:rsidR="004E2F51" w:rsidRPr="00BA5ECE" w14:paraId="617BF116" w14:textId="77777777" w:rsidTr="00E032FC">
        <w:trPr>
          <w:trHeight w:val="297"/>
        </w:trPr>
        <w:tc>
          <w:tcPr>
            <w:tcW w:w="3402" w:type="dxa"/>
            <w:vAlign w:val="bottom"/>
          </w:tcPr>
          <w:p w14:paraId="0CDCF11B" w14:textId="77777777" w:rsidR="004E2F51" w:rsidRPr="00BA5ECE" w:rsidRDefault="004E2F51" w:rsidP="00E032FC">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tcBorders>
          </w:tcPr>
          <w:p w14:paraId="131A5F05"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1.961.986 </w:t>
            </w:r>
          </w:p>
        </w:tc>
        <w:tc>
          <w:tcPr>
            <w:tcW w:w="1205" w:type="dxa"/>
            <w:tcBorders>
              <w:top w:val="single" w:sz="4" w:space="0" w:color="auto"/>
            </w:tcBorders>
          </w:tcPr>
          <w:p w14:paraId="75BBFDDB"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7.500 </w:t>
            </w:r>
          </w:p>
        </w:tc>
        <w:tc>
          <w:tcPr>
            <w:tcW w:w="1205" w:type="dxa"/>
            <w:tcBorders>
              <w:top w:val="single" w:sz="4" w:space="0" w:color="auto"/>
            </w:tcBorders>
          </w:tcPr>
          <w:p w14:paraId="4806BFDB"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24.985.939 </w:t>
            </w:r>
          </w:p>
        </w:tc>
        <w:tc>
          <w:tcPr>
            <w:tcW w:w="1205" w:type="dxa"/>
            <w:tcBorders>
              <w:top w:val="single" w:sz="4" w:space="0" w:color="auto"/>
            </w:tcBorders>
          </w:tcPr>
          <w:p w14:paraId="45FB13CB"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26.955.425 </w:t>
            </w:r>
          </w:p>
        </w:tc>
        <w:tc>
          <w:tcPr>
            <w:tcW w:w="1706" w:type="dxa"/>
            <w:tcBorders>
              <w:top w:val="single" w:sz="4" w:space="0" w:color="auto"/>
              <w:left w:val="nil"/>
              <w:bottom w:val="nil"/>
              <w:right w:val="nil"/>
            </w:tcBorders>
            <w:shd w:val="clear" w:color="auto" w:fill="auto"/>
          </w:tcPr>
          <w:p w14:paraId="4C33276A"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24.984.005 </w:t>
            </w:r>
          </w:p>
        </w:tc>
      </w:tr>
      <w:tr w:rsidR="004E2F51" w:rsidRPr="00BA5ECE" w14:paraId="27954615" w14:textId="77777777" w:rsidTr="00E032FC">
        <w:trPr>
          <w:trHeight w:hRule="exact" w:val="104"/>
        </w:trPr>
        <w:tc>
          <w:tcPr>
            <w:tcW w:w="3402" w:type="dxa"/>
            <w:vAlign w:val="bottom"/>
          </w:tcPr>
          <w:p w14:paraId="6ADCC230" w14:textId="77777777" w:rsidR="004E2F51" w:rsidRPr="00BA5ECE" w:rsidRDefault="004E2F51" w:rsidP="00E032FC">
            <w:pPr>
              <w:keepNext/>
              <w:keepLines/>
              <w:tabs>
                <w:tab w:val="decimal" w:pos="1202"/>
              </w:tabs>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3212AC8A" w14:textId="77777777" w:rsidR="004E2F51" w:rsidRPr="00BA5ECE" w:rsidRDefault="004E2F51" w:rsidP="00E032FC">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117202C7" w14:textId="77777777" w:rsidR="004E2F51" w:rsidRPr="00BA5ECE" w:rsidRDefault="004E2F51" w:rsidP="00E032FC">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5DE13B32" w14:textId="77777777" w:rsidR="004E2F51" w:rsidRPr="00BA5ECE" w:rsidRDefault="004E2F51" w:rsidP="00E032FC">
            <w:pPr>
              <w:keepNext/>
              <w:keepLines/>
              <w:tabs>
                <w:tab w:val="decimal" w:pos="1060"/>
              </w:tabs>
              <w:jc w:val="right"/>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24A8E221" w14:textId="77777777" w:rsidR="004E2F51" w:rsidRPr="00BA5ECE" w:rsidRDefault="004E2F51" w:rsidP="00E032FC">
            <w:pPr>
              <w:keepNext/>
              <w:keepLines/>
              <w:tabs>
                <w:tab w:val="decimal" w:pos="1060"/>
              </w:tabs>
              <w:jc w:val="right"/>
              <w:rPr>
                <w:rFonts w:ascii="Arial" w:hAnsi="Arial" w:cs="Arial"/>
                <w:b/>
                <w:color w:val="000000" w:themeColor="text1"/>
                <w:position w:val="4"/>
                <w:sz w:val="18"/>
                <w:szCs w:val="18"/>
                <w:u w:val="thick"/>
                <w:lang w:val="hr-HR"/>
              </w:rPr>
            </w:pPr>
          </w:p>
        </w:tc>
        <w:tc>
          <w:tcPr>
            <w:tcW w:w="1706" w:type="dxa"/>
            <w:tcBorders>
              <w:top w:val="single" w:sz="12" w:space="0" w:color="auto"/>
            </w:tcBorders>
            <w:vAlign w:val="bottom"/>
          </w:tcPr>
          <w:p w14:paraId="7DF7D437" w14:textId="77777777" w:rsidR="004E2F51" w:rsidRPr="00BA5ECE" w:rsidRDefault="004E2F51" w:rsidP="00E032FC">
            <w:pPr>
              <w:keepNext/>
              <w:keepLines/>
              <w:tabs>
                <w:tab w:val="decimal" w:pos="1060"/>
              </w:tabs>
              <w:jc w:val="right"/>
              <w:rPr>
                <w:rFonts w:ascii="Arial" w:hAnsi="Arial" w:cs="Arial"/>
                <w:b/>
                <w:color w:val="000000" w:themeColor="text1"/>
                <w:position w:val="4"/>
                <w:sz w:val="18"/>
                <w:szCs w:val="18"/>
                <w:u w:val="thick"/>
                <w:lang w:val="hr-HR"/>
              </w:rPr>
            </w:pPr>
          </w:p>
        </w:tc>
      </w:tr>
      <w:tr w:rsidR="004E2F51" w:rsidRPr="00BA5ECE" w14:paraId="015EFC6C" w14:textId="77777777" w:rsidTr="00E032FC">
        <w:trPr>
          <w:trHeight w:val="307"/>
        </w:trPr>
        <w:tc>
          <w:tcPr>
            <w:tcW w:w="3402" w:type="dxa"/>
            <w:vAlign w:val="bottom"/>
          </w:tcPr>
          <w:p w14:paraId="24AE5019" w14:textId="77777777" w:rsidR="004E2F51" w:rsidRPr="00BA5ECE" w:rsidRDefault="004E2F51" w:rsidP="00E032FC">
            <w:pPr>
              <w:tabs>
                <w:tab w:val="right" w:pos="1202"/>
              </w:tabs>
              <w:outlineLvl w:val="0"/>
              <w:rPr>
                <w:rFonts w:ascii="Arial" w:hAnsi="Arial" w:cs="Arial"/>
                <w:b/>
                <w:bCs/>
                <w:color w:val="000000" w:themeColor="text1"/>
                <w:sz w:val="18"/>
                <w:szCs w:val="18"/>
                <w:lang w:val="hr-HR"/>
              </w:rPr>
            </w:pPr>
            <w:r w:rsidRPr="00BA5ECE">
              <w:rPr>
                <w:rFonts w:ascii="Arial" w:eastAsia="Calibri" w:hAnsi="Arial" w:cs="Arial"/>
                <w:b/>
                <w:bCs/>
                <w:color w:val="000000" w:themeColor="text1"/>
                <w:sz w:val="18"/>
                <w:szCs w:val="18"/>
                <w:lang w:val="hr-HR"/>
              </w:rPr>
              <w:t>Obveze</w:t>
            </w:r>
          </w:p>
        </w:tc>
        <w:tc>
          <w:tcPr>
            <w:tcW w:w="1205" w:type="dxa"/>
            <w:vAlign w:val="bottom"/>
          </w:tcPr>
          <w:p w14:paraId="4E4398F6"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124FF2F5"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20284F76"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205" w:type="dxa"/>
            <w:vAlign w:val="bottom"/>
          </w:tcPr>
          <w:p w14:paraId="457D2D05"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706" w:type="dxa"/>
            <w:vAlign w:val="bottom"/>
          </w:tcPr>
          <w:p w14:paraId="6E34F9C5"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r>
      <w:tr w:rsidR="004E2F51" w:rsidRPr="00BA5ECE" w14:paraId="626EC279" w14:textId="77777777" w:rsidTr="00E032FC">
        <w:trPr>
          <w:trHeight w:val="297"/>
        </w:trPr>
        <w:tc>
          <w:tcPr>
            <w:tcW w:w="3402" w:type="dxa"/>
            <w:tcBorders>
              <w:top w:val="nil"/>
              <w:left w:val="nil"/>
              <w:bottom w:val="nil"/>
              <w:right w:val="nil"/>
            </w:tcBorders>
            <w:shd w:val="clear" w:color="auto" w:fill="auto"/>
            <w:vAlign w:val="bottom"/>
          </w:tcPr>
          <w:p w14:paraId="34066678" w14:textId="77777777" w:rsidR="004E2F51" w:rsidRPr="00BA5ECE" w:rsidRDefault="004E2F51" w:rsidP="00E032FC">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Obveze po depozitima</w:t>
            </w:r>
          </w:p>
        </w:tc>
        <w:tc>
          <w:tcPr>
            <w:tcW w:w="1205" w:type="dxa"/>
          </w:tcPr>
          <w:p w14:paraId="7495DC03"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Pr>
          <w:p w14:paraId="3426634D"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960.541 </w:t>
            </w:r>
          </w:p>
        </w:tc>
        <w:tc>
          <w:tcPr>
            <w:tcW w:w="1205" w:type="dxa"/>
          </w:tcPr>
          <w:p w14:paraId="3FBC5B1D"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Pr>
          <w:p w14:paraId="38002EB8"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960.541 </w:t>
            </w:r>
          </w:p>
        </w:tc>
        <w:tc>
          <w:tcPr>
            <w:tcW w:w="1706" w:type="dxa"/>
            <w:tcBorders>
              <w:top w:val="nil"/>
              <w:left w:val="nil"/>
              <w:bottom w:val="nil"/>
              <w:right w:val="nil"/>
            </w:tcBorders>
            <w:shd w:val="clear" w:color="auto" w:fill="auto"/>
          </w:tcPr>
          <w:p w14:paraId="7A0D11BF"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960.541 </w:t>
            </w:r>
          </w:p>
        </w:tc>
      </w:tr>
      <w:tr w:rsidR="004E2F51" w:rsidRPr="00BA5ECE" w14:paraId="03655E2D" w14:textId="77777777" w:rsidTr="00E032FC">
        <w:trPr>
          <w:trHeight w:val="297"/>
        </w:trPr>
        <w:tc>
          <w:tcPr>
            <w:tcW w:w="3402" w:type="dxa"/>
            <w:tcBorders>
              <w:top w:val="nil"/>
              <w:left w:val="nil"/>
              <w:bottom w:val="nil"/>
              <w:right w:val="nil"/>
            </w:tcBorders>
            <w:shd w:val="clear" w:color="auto" w:fill="auto"/>
            <w:vAlign w:val="bottom"/>
          </w:tcPr>
          <w:p w14:paraId="4E277FFC" w14:textId="77777777" w:rsidR="004E2F51" w:rsidRPr="00BA5ECE" w:rsidRDefault="004E2F51" w:rsidP="00E032FC">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Obveze po kreditima</w:t>
            </w:r>
          </w:p>
        </w:tc>
        <w:tc>
          <w:tcPr>
            <w:tcW w:w="1205" w:type="dxa"/>
            <w:tcBorders>
              <w:bottom w:val="single" w:sz="4" w:space="0" w:color="auto"/>
            </w:tcBorders>
          </w:tcPr>
          <w:p w14:paraId="5C65D331"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Borders>
              <w:bottom w:val="single" w:sz="4" w:space="0" w:color="auto"/>
            </w:tcBorders>
          </w:tcPr>
          <w:p w14:paraId="4963E72D"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Borders>
              <w:bottom w:val="single" w:sz="4" w:space="0" w:color="auto"/>
            </w:tcBorders>
          </w:tcPr>
          <w:p w14:paraId="18A8842A"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16.634.493 </w:t>
            </w:r>
          </w:p>
        </w:tc>
        <w:tc>
          <w:tcPr>
            <w:tcW w:w="1205" w:type="dxa"/>
            <w:tcBorders>
              <w:bottom w:val="single" w:sz="4" w:space="0" w:color="auto"/>
            </w:tcBorders>
          </w:tcPr>
          <w:p w14:paraId="13E2F86E"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16.634.493 </w:t>
            </w:r>
          </w:p>
        </w:tc>
        <w:tc>
          <w:tcPr>
            <w:tcW w:w="1706" w:type="dxa"/>
            <w:tcBorders>
              <w:top w:val="nil"/>
              <w:left w:val="nil"/>
              <w:bottom w:val="single" w:sz="4" w:space="0" w:color="auto"/>
              <w:right w:val="nil"/>
            </w:tcBorders>
            <w:shd w:val="clear" w:color="auto" w:fill="auto"/>
          </w:tcPr>
          <w:p w14:paraId="05615E25"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16.115.237 </w:t>
            </w:r>
          </w:p>
        </w:tc>
      </w:tr>
      <w:tr w:rsidR="004E2F51" w:rsidRPr="00BA5ECE" w14:paraId="27018EC1" w14:textId="77777777" w:rsidTr="00E032FC">
        <w:trPr>
          <w:trHeight w:val="297"/>
        </w:trPr>
        <w:tc>
          <w:tcPr>
            <w:tcW w:w="3402" w:type="dxa"/>
            <w:tcBorders>
              <w:top w:val="nil"/>
              <w:left w:val="nil"/>
              <w:bottom w:val="nil"/>
              <w:right w:val="nil"/>
            </w:tcBorders>
            <w:shd w:val="clear" w:color="auto" w:fill="auto"/>
            <w:vAlign w:val="bottom"/>
          </w:tcPr>
          <w:p w14:paraId="62DAA8AE" w14:textId="77777777" w:rsidR="004E2F51" w:rsidRPr="00BA5ECE" w:rsidRDefault="004E2F51" w:rsidP="00E032FC">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left w:val="nil"/>
              <w:bottom w:val="single" w:sz="12" w:space="0" w:color="auto"/>
              <w:right w:val="nil"/>
            </w:tcBorders>
            <w:shd w:val="clear" w:color="auto" w:fill="auto"/>
          </w:tcPr>
          <w:p w14:paraId="79860E39"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 </w:t>
            </w:r>
          </w:p>
        </w:tc>
        <w:tc>
          <w:tcPr>
            <w:tcW w:w="1205" w:type="dxa"/>
            <w:tcBorders>
              <w:top w:val="single" w:sz="4" w:space="0" w:color="auto"/>
              <w:left w:val="nil"/>
              <w:bottom w:val="single" w:sz="12" w:space="0" w:color="auto"/>
              <w:right w:val="nil"/>
            </w:tcBorders>
            <w:shd w:val="clear" w:color="auto" w:fill="auto"/>
          </w:tcPr>
          <w:p w14:paraId="26DC99F1"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960.541 </w:t>
            </w:r>
          </w:p>
        </w:tc>
        <w:tc>
          <w:tcPr>
            <w:tcW w:w="1205" w:type="dxa"/>
            <w:tcBorders>
              <w:top w:val="single" w:sz="4" w:space="0" w:color="auto"/>
              <w:left w:val="nil"/>
              <w:bottom w:val="single" w:sz="12" w:space="0" w:color="auto"/>
              <w:right w:val="nil"/>
            </w:tcBorders>
            <w:shd w:val="clear" w:color="auto" w:fill="auto"/>
          </w:tcPr>
          <w:p w14:paraId="780A887E"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16.634.493 </w:t>
            </w:r>
          </w:p>
        </w:tc>
        <w:tc>
          <w:tcPr>
            <w:tcW w:w="1205" w:type="dxa"/>
            <w:tcBorders>
              <w:top w:val="single" w:sz="4" w:space="0" w:color="auto"/>
              <w:left w:val="nil"/>
              <w:bottom w:val="single" w:sz="12" w:space="0" w:color="auto"/>
              <w:right w:val="nil"/>
            </w:tcBorders>
            <w:shd w:val="clear" w:color="auto" w:fill="auto"/>
          </w:tcPr>
          <w:p w14:paraId="472330BA"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17.595.034 </w:t>
            </w:r>
          </w:p>
        </w:tc>
        <w:tc>
          <w:tcPr>
            <w:tcW w:w="1706" w:type="dxa"/>
            <w:tcBorders>
              <w:top w:val="single" w:sz="4" w:space="0" w:color="auto"/>
              <w:left w:val="nil"/>
              <w:bottom w:val="single" w:sz="12" w:space="0" w:color="auto"/>
              <w:right w:val="nil"/>
            </w:tcBorders>
            <w:shd w:val="clear" w:color="auto" w:fill="auto"/>
          </w:tcPr>
          <w:p w14:paraId="2C11193A"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17.075.778 </w:t>
            </w:r>
          </w:p>
        </w:tc>
      </w:tr>
    </w:tbl>
    <w:p w14:paraId="01CE3CF0" w14:textId="77777777" w:rsidR="004E2F51" w:rsidRPr="00B91D09" w:rsidRDefault="004E2F51" w:rsidP="004E2F51">
      <w:pPr>
        <w:pStyle w:val="T1"/>
        <w:keepNext w:val="0"/>
        <w:spacing w:before="0" w:after="0" w:line="240" w:lineRule="auto"/>
        <w:rPr>
          <w:rFonts w:cs="Arial"/>
          <w:b w:val="0"/>
          <w:color w:val="000000" w:themeColor="text1"/>
          <w:spacing w:val="-3"/>
          <w:sz w:val="16"/>
          <w:szCs w:val="16"/>
          <w:lang w:val="hr-HR"/>
        </w:rPr>
      </w:pPr>
    </w:p>
    <w:p w14:paraId="600466DA" w14:textId="77777777" w:rsidR="004E2F51" w:rsidRPr="00B91D09" w:rsidRDefault="004E2F51" w:rsidP="004E2F51">
      <w:pPr>
        <w:pStyle w:val="T1"/>
        <w:keepNext w:val="0"/>
        <w:spacing w:before="0" w:after="0" w:line="240" w:lineRule="auto"/>
        <w:rPr>
          <w:rFonts w:cs="Arial"/>
          <w:b w:val="0"/>
          <w:color w:val="000000" w:themeColor="text1"/>
          <w:spacing w:val="-3"/>
          <w:sz w:val="16"/>
          <w:szCs w:val="16"/>
          <w:lang w:val="hr-HR"/>
        </w:rPr>
        <w:sectPr w:rsidR="004E2F51" w:rsidRPr="00B91D09" w:rsidSect="00623DBA">
          <w:footerReference w:type="default" r:id="rId227"/>
          <w:pgSz w:w="11907" w:h="16840" w:code="9"/>
          <w:pgMar w:top="1418" w:right="1134" w:bottom="1134" w:left="1418" w:header="851" w:footer="851" w:gutter="0"/>
          <w:cols w:space="720"/>
          <w:noEndnote/>
        </w:sectPr>
      </w:pPr>
    </w:p>
    <w:p w14:paraId="23EAA4B9" w14:textId="77777777" w:rsidR="004E2F51" w:rsidRPr="00B91D09" w:rsidRDefault="004E2F51" w:rsidP="004E2F51">
      <w:pPr>
        <w:pStyle w:val="T1"/>
        <w:keepNext w:val="0"/>
        <w:spacing w:before="0" w:after="0" w:line="240" w:lineRule="auto"/>
        <w:rPr>
          <w:rFonts w:cs="Arial"/>
          <w:b w:val="0"/>
          <w:color w:val="000000" w:themeColor="text1"/>
          <w:spacing w:val="-3"/>
          <w:sz w:val="16"/>
          <w:szCs w:val="16"/>
          <w:lang w:val="hr-HR"/>
        </w:rPr>
      </w:pPr>
    </w:p>
    <w:p w14:paraId="7BBE0A6C" w14:textId="77777777" w:rsidR="004E2F51" w:rsidRPr="00BA5ECE" w:rsidRDefault="004E2F51" w:rsidP="004E2F51">
      <w:pPr>
        <w:keepNext/>
        <w:tabs>
          <w:tab w:val="left" w:pos="567"/>
        </w:tabs>
        <w:jc w:val="both"/>
        <w:rPr>
          <w:rFonts w:ascii="Arial" w:hAnsi="Arial" w:cs="Arial"/>
          <w:b/>
          <w:bCs/>
          <w:color w:val="000000" w:themeColor="text1"/>
          <w:spacing w:val="-3"/>
          <w:sz w:val="20"/>
          <w:szCs w:val="20"/>
          <w:lang w:val="hr-HR"/>
        </w:rPr>
      </w:pPr>
      <w:r w:rsidRPr="00BA5ECE">
        <w:rPr>
          <w:rFonts w:ascii="Arial" w:hAnsi="Arial" w:cs="Arial"/>
          <w:b/>
          <w:bCs/>
          <w:color w:val="000000" w:themeColor="text1"/>
          <w:spacing w:val="-3"/>
          <w:sz w:val="20"/>
          <w:szCs w:val="20"/>
          <w:lang w:val="hr-HR"/>
        </w:rPr>
        <w:t>3</w:t>
      </w:r>
      <w:r>
        <w:rPr>
          <w:rFonts w:ascii="Arial" w:hAnsi="Arial" w:cs="Arial"/>
          <w:b/>
          <w:bCs/>
          <w:color w:val="000000" w:themeColor="text1"/>
          <w:spacing w:val="-3"/>
          <w:sz w:val="20"/>
          <w:szCs w:val="20"/>
          <w:lang w:val="hr-HR"/>
        </w:rPr>
        <w:t>2</w:t>
      </w:r>
      <w:r w:rsidRPr="00BA5ECE">
        <w:rPr>
          <w:rFonts w:ascii="Arial" w:hAnsi="Arial" w:cs="Arial"/>
          <w:b/>
          <w:bCs/>
          <w:color w:val="000000" w:themeColor="text1"/>
          <w:spacing w:val="-3"/>
          <w:sz w:val="20"/>
          <w:szCs w:val="20"/>
          <w:lang w:val="hr-HR"/>
        </w:rPr>
        <w:t xml:space="preserve">. </w:t>
      </w:r>
      <w:r w:rsidRPr="00BA5ECE">
        <w:rPr>
          <w:rFonts w:ascii="Arial" w:hAnsi="Arial" w:cs="Arial"/>
          <w:b/>
          <w:bCs/>
          <w:color w:val="000000" w:themeColor="text1"/>
          <w:spacing w:val="-3"/>
          <w:sz w:val="20"/>
          <w:szCs w:val="20"/>
          <w:lang w:val="hr-HR"/>
        </w:rPr>
        <w:tab/>
        <w:t>Fer vrijednost financijske imovine i financijskih obveza (nastavak)</w:t>
      </w:r>
    </w:p>
    <w:p w14:paraId="44A2BA6F" w14:textId="77777777" w:rsidR="004E2F51" w:rsidRPr="00BA5ECE" w:rsidRDefault="004E2F51" w:rsidP="004E2F51">
      <w:pPr>
        <w:pStyle w:val="T1"/>
        <w:keepNext w:val="0"/>
        <w:spacing w:before="0" w:after="0" w:line="240" w:lineRule="auto"/>
        <w:rPr>
          <w:rFonts w:eastAsia="Calibri" w:cs="Arial"/>
          <w:b w:val="0"/>
          <w:bCs w:val="0"/>
          <w:color w:val="000000" w:themeColor="text1"/>
          <w:sz w:val="20"/>
          <w:lang w:val="hr-HR"/>
        </w:rPr>
      </w:pPr>
    </w:p>
    <w:p w14:paraId="31D70F10" w14:textId="77777777" w:rsidR="004E2F51" w:rsidRPr="00BA5ECE" w:rsidRDefault="004E2F51" w:rsidP="004E2F51">
      <w:pPr>
        <w:pStyle w:val="T1"/>
        <w:spacing w:before="0" w:after="0" w:line="240" w:lineRule="auto"/>
        <w:ind w:left="567" w:hanging="567"/>
        <w:rPr>
          <w:rFonts w:cs="Arial"/>
          <w:color w:val="000000" w:themeColor="text1"/>
          <w:spacing w:val="-3"/>
          <w:sz w:val="20"/>
          <w:lang w:val="hr-HR"/>
        </w:rPr>
      </w:pPr>
      <w:r w:rsidRPr="00BA5ECE">
        <w:rPr>
          <w:rFonts w:cs="Arial"/>
          <w:color w:val="000000" w:themeColor="text1"/>
          <w:spacing w:val="-3"/>
          <w:sz w:val="20"/>
          <w:lang w:val="hr-HR"/>
        </w:rPr>
        <w:t>3</w:t>
      </w:r>
      <w:r>
        <w:rPr>
          <w:rFonts w:cs="Arial"/>
          <w:color w:val="000000" w:themeColor="text1"/>
          <w:spacing w:val="-3"/>
          <w:sz w:val="20"/>
          <w:lang w:val="hr-HR"/>
        </w:rPr>
        <w:t>2</w:t>
      </w:r>
      <w:r w:rsidRPr="00BA5ECE">
        <w:rPr>
          <w:rFonts w:cs="Arial"/>
          <w:color w:val="000000" w:themeColor="text1"/>
          <w:spacing w:val="-3"/>
          <w:sz w:val="20"/>
          <w:lang w:val="hr-HR"/>
        </w:rPr>
        <w:t xml:space="preserve">.2. </w:t>
      </w:r>
      <w:r w:rsidRPr="00BA5ECE">
        <w:rPr>
          <w:rFonts w:cs="Arial"/>
          <w:color w:val="000000" w:themeColor="text1"/>
          <w:spacing w:val="-3"/>
          <w:sz w:val="20"/>
          <w:lang w:val="hr-HR"/>
        </w:rPr>
        <w:tab/>
        <w:t>Financijski instrumenti koji se ne vode po fer vrijednosti (nastavak)</w:t>
      </w:r>
    </w:p>
    <w:p w14:paraId="2269B161" w14:textId="77777777" w:rsidR="004E2F51" w:rsidRPr="00BA5ECE" w:rsidRDefault="004E2F51" w:rsidP="004E2F51">
      <w:pPr>
        <w:pStyle w:val="T1"/>
        <w:keepNext w:val="0"/>
        <w:spacing w:before="0" w:after="0" w:line="240" w:lineRule="auto"/>
        <w:rPr>
          <w:rFonts w:cs="Arial"/>
          <w:b w:val="0"/>
          <w:color w:val="000000" w:themeColor="text1"/>
          <w:spacing w:val="-3"/>
          <w:sz w:val="20"/>
          <w:lang w:val="hr-HR"/>
        </w:rPr>
      </w:pP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4E2F51" w:rsidRPr="00BA5ECE" w14:paraId="42E3D2E0" w14:textId="77777777" w:rsidTr="00E032FC">
        <w:trPr>
          <w:trHeight w:val="289"/>
        </w:trPr>
        <w:tc>
          <w:tcPr>
            <w:tcW w:w="3402" w:type="dxa"/>
            <w:vAlign w:val="bottom"/>
          </w:tcPr>
          <w:p w14:paraId="4BC6A48A" w14:textId="77777777" w:rsidR="004E2F51" w:rsidRPr="00BA5ECE" w:rsidRDefault="004E2F51" w:rsidP="00E032FC">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Banka</w:t>
            </w:r>
          </w:p>
          <w:p w14:paraId="1EA314DB" w14:textId="77777777" w:rsidR="004E2F51" w:rsidRPr="00BA5ECE" w:rsidRDefault="004E2F51" w:rsidP="00E032FC">
            <w:pPr>
              <w:rPr>
                <w:rFonts w:ascii="Arial" w:hAnsi="Arial" w:cs="Arial"/>
                <w:b/>
                <w:color w:val="000000" w:themeColor="text1"/>
                <w:sz w:val="18"/>
                <w:szCs w:val="18"/>
                <w:lang w:val="hr-HR"/>
              </w:rPr>
            </w:pPr>
          </w:p>
          <w:p w14:paraId="7163DD6A" w14:textId="77777777" w:rsidR="004E2F51" w:rsidRPr="00BA5ECE" w:rsidRDefault="004E2F51" w:rsidP="00E032FC">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31. prosinca 202</w:t>
            </w:r>
            <w:r>
              <w:rPr>
                <w:rFonts w:ascii="Arial" w:hAnsi="Arial" w:cs="Arial"/>
                <w:b/>
                <w:color w:val="000000" w:themeColor="text1"/>
                <w:sz w:val="18"/>
                <w:szCs w:val="18"/>
                <w:lang w:val="hr-HR"/>
              </w:rPr>
              <w:t>2</w:t>
            </w:r>
            <w:r w:rsidRPr="00BA5ECE">
              <w:rPr>
                <w:rFonts w:ascii="Arial" w:hAnsi="Arial" w:cs="Arial"/>
                <w:b/>
                <w:color w:val="000000" w:themeColor="text1"/>
                <w:sz w:val="18"/>
                <w:szCs w:val="18"/>
                <w:lang w:val="hr-HR"/>
              </w:rPr>
              <w:t xml:space="preserve">. </w:t>
            </w:r>
          </w:p>
        </w:tc>
        <w:tc>
          <w:tcPr>
            <w:tcW w:w="1205" w:type="dxa"/>
            <w:shd w:val="clear" w:color="auto" w:fill="auto"/>
            <w:vAlign w:val="center"/>
          </w:tcPr>
          <w:p w14:paraId="1F320CC4"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1</w:t>
            </w:r>
          </w:p>
        </w:tc>
        <w:tc>
          <w:tcPr>
            <w:tcW w:w="1205" w:type="dxa"/>
            <w:shd w:val="clear" w:color="auto" w:fill="auto"/>
            <w:vAlign w:val="center"/>
          </w:tcPr>
          <w:p w14:paraId="5E208C59"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2</w:t>
            </w:r>
          </w:p>
        </w:tc>
        <w:tc>
          <w:tcPr>
            <w:tcW w:w="1205" w:type="dxa"/>
            <w:shd w:val="clear" w:color="auto" w:fill="auto"/>
            <w:vAlign w:val="center"/>
          </w:tcPr>
          <w:p w14:paraId="21B527AC"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3</w:t>
            </w:r>
          </w:p>
        </w:tc>
        <w:tc>
          <w:tcPr>
            <w:tcW w:w="1205" w:type="dxa"/>
            <w:vAlign w:val="center"/>
          </w:tcPr>
          <w:p w14:paraId="3DBFB632"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Fer vrijednost</w:t>
            </w:r>
          </w:p>
        </w:tc>
        <w:tc>
          <w:tcPr>
            <w:tcW w:w="1706" w:type="dxa"/>
            <w:vAlign w:val="center"/>
          </w:tcPr>
          <w:p w14:paraId="7EBD654A"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Knjigovodstvena vrijednost</w:t>
            </w:r>
          </w:p>
        </w:tc>
      </w:tr>
      <w:tr w:rsidR="004E2F51" w:rsidRPr="00BA5ECE" w14:paraId="6644664A" w14:textId="77777777" w:rsidTr="00E032FC">
        <w:trPr>
          <w:trHeight w:hRule="exact" w:val="271"/>
        </w:trPr>
        <w:tc>
          <w:tcPr>
            <w:tcW w:w="3402" w:type="dxa"/>
            <w:vAlign w:val="bottom"/>
          </w:tcPr>
          <w:p w14:paraId="391DB31E" w14:textId="77777777" w:rsidR="004E2F51" w:rsidRPr="00BA5ECE" w:rsidRDefault="004E2F51" w:rsidP="00E032FC">
            <w:pPr>
              <w:rPr>
                <w:rFonts w:ascii="Arial" w:hAnsi="Arial" w:cs="Arial"/>
                <w:color w:val="000000" w:themeColor="text1"/>
                <w:sz w:val="18"/>
                <w:szCs w:val="18"/>
                <w:lang w:val="hr-HR"/>
              </w:rPr>
            </w:pPr>
          </w:p>
        </w:tc>
        <w:tc>
          <w:tcPr>
            <w:tcW w:w="1205" w:type="dxa"/>
            <w:vAlign w:val="center"/>
          </w:tcPr>
          <w:p w14:paraId="436D5446"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c>
          <w:tcPr>
            <w:tcW w:w="1205" w:type="dxa"/>
            <w:vAlign w:val="center"/>
          </w:tcPr>
          <w:p w14:paraId="5446DB1E"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c>
          <w:tcPr>
            <w:tcW w:w="1205" w:type="dxa"/>
            <w:vAlign w:val="center"/>
          </w:tcPr>
          <w:p w14:paraId="3D50F7FF"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c>
          <w:tcPr>
            <w:tcW w:w="1205" w:type="dxa"/>
            <w:vAlign w:val="center"/>
          </w:tcPr>
          <w:p w14:paraId="6646D344"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c>
          <w:tcPr>
            <w:tcW w:w="1706" w:type="dxa"/>
            <w:vAlign w:val="center"/>
          </w:tcPr>
          <w:p w14:paraId="4623CB8B"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r>
      <w:tr w:rsidR="004E2F51" w:rsidRPr="00BA5ECE" w14:paraId="3C8930B0" w14:textId="77777777" w:rsidTr="00E032FC">
        <w:trPr>
          <w:trHeight w:hRule="exact" w:val="162"/>
        </w:trPr>
        <w:tc>
          <w:tcPr>
            <w:tcW w:w="3402" w:type="dxa"/>
            <w:vAlign w:val="bottom"/>
          </w:tcPr>
          <w:p w14:paraId="69151A12" w14:textId="77777777" w:rsidR="004E2F51" w:rsidRPr="00BA5ECE" w:rsidRDefault="004E2F51" w:rsidP="00E032FC">
            <w:pPr>
              <w:rPr>
                <w:rFonts w:ascii="Arial" w:hAnsi="Arial" w:cs="Arial"/>
                <w:color w:val="000000" w:themeColor="text1"/>
                <w:sz w:val="18"/>
                <w:szCs w:val="18"/>
                <w:lang w:val="hr-HR"/>
              </w:rPr>
            </w:pPr>
          </w:p>
        </w:tc>
        <w:tc>
          <w:tcPr>
            <w:tcW w:w="1205" w:type="dxa"/>
            <w:vAlign w:val="center"/>
          </w:tcPr>
          <w:p w14:paraId="699601AC" w14:textId="77777777" w:rsidR="004E2F51" w:rsidRPr="00BA5ECE" w:rsidRDefault="004E2F51" w:rsidP="00E032FC">
            <w:pPr>
              <w:jc w:val="right"/>
              <w:rPr>
                <w:rFonts w:ascii="Arial" w:hAnsi="Arial" w:cs="Arial"/>
                <w:b/>
                <w:color w:val="000000" w:themeColor="text1"/>
                <w:sz w:val="18"/>
                <w:szCs w:val="18"/>
                <w:lang w:val="hr-HR"/>
              </w:rPr>
            </w:pPr>
          </w:p>
        </w:tc>
        <w:tc>
          <w:tcPr>
            <w:tcW w:w="1205" w:type="dxa"/>
            <w:vAlign w:val="center"/>
          </w:tcPr>
          <w:p w14:paraId="3ACB1B38" w14:textId="77777777" w:rsidR="004E2F51" w:rsidRPr="00BA5ECE" w:rsidRDefault="004E2F51" w:rsidP="00E032FC">
            <w:pPr>
              <w:jc w:val="right"/>
              <w:rPr>
                <w:rFonts w:ascii="Arial" w:hAnsi="Arial" w:cs="Arial"/>
                <w:b/>
                <w:color w:val="000000" w:themeColor="text1"/>
                <w:sz w:val="18"/>
                <w:szCs w:val="18"/>
                <w:lang w:val="hr-HR"/>
              </w:rPr>
            </w:pPr>
          </w:p>
        </w:tc>
        <w:tc>
          <w:tcPr>
            <w:tcW w:w="1205" w:type="dxa"/>
            <w:vAlign w:val="center"/>
          </w:tcPr>
          <w:p w14:paraId="1CE0173A" w14:textId="77777777" w:rsidR="004E2F51" w:rsidRPr="00BA5ECE" w:rsidRDefault="004E2F51" w:rsidP="00E032FC">
            <w:pPr>
              <w:jc w:val="right"/>
              <w:rPr>
                <w:rFonts w:ascii="Arial" w:hAnsi="Arial" w:cs="Arial"/>
                <w:b/>
                <w:color w:val="000000" w:themeColor="text1"/>
                <w:sz w:val="18"/>
                <w:szCs w:val="18"/>
                <w:lang w:val="hr-HR"/>
              </w:rPr>
            </w:pPr>
          </w:p>
        </w:tc>
        <w:tc>
          <w:tcPr>
            <w:tcW w:w="1205" w:type="dxa"/>
            <w:vAlign w:val="center"/>
          </w:tcPr>
          <w:p w14:paraId="5BE7C46A" w14:textId="77777777" w:rsidR="004E2F51" w:rsidRPr="00BA5ECE" w:rsidRDefault="004E2F51" w:rsidP="00E032FC">
            <w:pPr>
              <w:jc w:val="right"/>
              <w:rPr>
                <w:rFonts w:ascii="Arial" w:hAnsi="Arial" w:cs="Arial"/>
                <w:b/>
                <w:color w:val="000000" w:themeColor="text1"/>
                <w:sz w:val="18"/>
                <w:szCs w:val="18"/>
                <w:lang w:val="hr-HR"/>
              </w:rPr>
            </w:pPr>
          </w:p>
        </w:tc>
        <w:tc>
          <w:tcPr>
            <w:tcW w:w="1706" w:type="dxa"/>
            <w:vAlign w:val="center"/>
          </w:tcPr>
          <w:p w14:paraId="65670720" w14:textId="77777777" w:rsidR="004E2F51" w:rsidRPr="00BA5ECE" w:rsidRDefault="004E2F51" w:rsidP="00E032FC">
            <w:pPr>
              <w:jc w:val="right"/>
              <w:rPr>
                <w:rFonts w:ascii="Arial" w:hAnsi="Arial" w:cs="Arial"/>
                <w:b/>
                <w:color w:val="000000" w:themeColor="text1"/>
                <w:sz w:val="18"/>
                <w:szCs w:val="18"/>
                <w:lang w:val="hr-HR"/>
              </w:rPr>
            </w:pPr>
          </w:p>
        </w:tc>
      </w:tr>
      <w:tr w:rsidR="004E2F51" w:rsidRPr="00BA5ECE" w14:paraId="56213723" w14:textId="77777777" w:rsidTr="00E032FC">
        <w:trPr>
          <w:trHeight w:val="297"/>
        </w:trPr>
        <w:tc>
          <w:tcPr>
            <w:tcW w:w="3402" w:type="dxa"/>
            <w:vAlign w:val="bottom"/>
          </w:tcPr>
          <w:p w14:paraId="761DB683" w14:textId="77777777" w:rsidR="004E2F51" w:rsidRPr="00BA5ECE" w:rsidRDefault="004E2F51" w:rsidP="00E032FC">
            <w:pPr>
              <w:tabs>
                <w:tab w:val="right" w:pos="1202"/>
              </w:tabs>
              <w:outlineLvl w:val="0"/>
              <w:rPr>
                <w:rFonts w:ascii="Arial" w:hAnsi="Arial" w:cs="Arial"/>
                <w:b/>
                <w:bCs/>
                <w:color w:val="000000" w:themeColor="text1"/>
                <w:sz w:val="18"/>
                <w:szCs w:val="18"/>
                <w:lang w:val="hr-HR"/>
              </w:rPr>
            </w:pPr>
            <w:bookmarkStart w:id="2057" w:name="_Toc67331335"/>
            <w:r w:rsidRPr="00BA5ECE">
              <w:rPr>
                <w:rFonts w:ascii="Arial" w:eastAsia="Calibri" w:hAnsi="Arial" w:cs="Arial"/>
                <w:b/>
                <w:bCs/>
                <w:color w:val="000000" w:themeColor="text1"/>
                <w:sz w:val="18"/>
                <w:szCs w:val="18"/>
                <w:lang w:val="hr-HR"/>
              </w:rPr>
              <w:t>Imovina</w:t>
            </w:r>
            <w:bookmarkEnd w:id="2057"/>
          </w:p>
        </w:tc>
        <w:tc>
          <w:tcPr>
            <w:tcW w:w="1205" w:type="dxa"/>
            <w:vAlign w:val="center"/>
          </w:tcPr>
          <w:p w14:paraId="6CEFB2FA"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42B21688"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45174708"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290CDFC4"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706" w:type="dxa"/>
            <w:vAlign w:val="center"/>
          </w:tcPr>
          <w:p w14:paraId="6DF11E38"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r>
      <w:tr w:rsidR="004E2F51" w:rsidRPr="00BA5ECE" w14:paraId="71D08BCE" w14:textId="77777777" w:rsidTr="00E032FC">
        <w:trPr>
          <w:trHeight w:val="297"/>
        </w:trPr>
        <w:tc>
          <w:tcPr>
            <w:tcW w:w="3402" w:type="dxa"/>
            <w:vAlign w:val="bottom"/>
          </w:tcPr>
          <w:p w14:paraId="534D3007" w14:textId="77777777" w:rsidR="004E2F51" w:rsidRPr="00BA5ECE" w:rsidRDefault="004E2F51" w:rsidP="00E032FC">
            <w:pPr>
              <w:tabs>
                <w:tab w:val="right" w:pos="1202"/>
              </w:tabs>
              <w:outlineLvl w:val="0"/>
              <w:rPr>
                <w:rFonts w:ascii="Arial" w:hAnsi="Arial" w:cs="Arial"/>
                <w:color w:val="000000" w:themeColor="text1"/>
                <w:sz w:val="18"/>
                <w:szCs w:val="18"/>
                <w:lang w:val="hr-HR"/>
              </w:rPr>
            </w:pPr>
            <w:bookmarkStart w:id="2058" w:name="_Toc67331336"/>
            <w:r w:rsidRPr="00BA5ECE">
              <w:rPr>
                <w:rFonts w:ascii="Arial" w:eastAsia="Calibri" w:hAnsi="Arial" w:cs="Arial"/>
                <w:color w:val="000000" w:themeColor="text1"/>
                <w:sz w:val="18"/>
                <w:szCs w:val="18"/>
                <w:lang w:val="hr-HR"/>
              </w:rPr>
              <w:t>Novčana sredstva i računi kod banaka</w:t>
            </w:r>
            <w:bookmarkEnd w:id="2058"/>
          </w:p>
        </w:tc>
        <w:tc>
          <w:tcPr>
            <w:tcW w:w="1205" w:type="dxa"/>
            <w:vAlign w:val="bottom"/>
          </w:tcPr>
          <w:p w14:paraId="53384F1D"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1.716.519 </w:t>
            </w:r>
          </w:p>
        </w:tc>
        <w:tc>
          <w:tcPr>
            <w:tcW w:w="1205" w:type="dxa"/>
            <w:vAlign w:val="bottom"/>
          </w:tcPr>
          <w:p w14:paraId="323FEBD2"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 </w:t>
            </w:r>
          </w:p>
        </w:tc>
        <w:tc>
          <w:tcPr>
            <w:tcW w:w="1205" w:type="dxa"/>
            <w:vAlign w:val="bottom"/>
          </w:tcPr>
          <w:p w14:paraId="59469A6C"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 </w:t>
            </w:r>
          </w:p>
        </w:tc>
        <w:tc>
          <w:tcPr>
            <w:tcW w:w="1205" w:type="dxa"/>
            <w:vAlign w:val="bottom"/>
          </w:tcPr>
          <w:p w14:paraId="049F17DA"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1.716.519 </w:t>
            </w:r>
          </w:p>
        </w:tc>
        <w:tc>
          <w:tcPr>
            <w:tcW w:w="1706" w:type="dxa"/>
            <w:tcBorders>
              <w:top w:val="nil"/>
              <w:left w:val="nil"/>
              <w:bottom w:val="nil"/>
              <w:right w:val="nil"/>
            </w:tcBorders>
            <w:shd w:val="clear" w:color="auto" w:fill="auto"/>
            <w:vAlign w:val="bottom"/>
          </w:tcPr>
          <w:p w14:paraId="6662A7E9"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1.716.519</w:t>
            </w:r>
          </w:p>
        </w:tc>
      </w:tr>
      <w:tr w:rsidR="004E2F51" w:rsidRPr="00BA5ECE" w14:paraId="3009C7E4" w14:textId="77777777" w:rsidTr="00E032FC">
        <w:trPr>
          <w:trHeight w:val="297"/>
        </w:trPr>
        <w:tc>
          <w:tcPr>
            <w:tcW w:w="3402" w:type="dxa"/>
            <w:vAlign w:val="bottom"/>
          </w:tcPr>
          <w:p w14:paraId="689048D5" w14:textId="77777777" w:rsidR="004E2F51" w:rsidRPr="00BA5ECE" w:rsidRDefault="004E2F51" w:rsidP="00E032FC">
            <w:pPr>
              <w:tabs>
                <w:tab w:val="right" w:pos="1202"/>
              </w:tabs>
              <w:outlineLvl w:val="0"/>
              <w:rPr>
                <w:rFonts w:ascii="Arial" w:hAnsi="Arial" w:cs="Arial"/>
                <w:color w:val="000000" w:themeColor="text1"/>
                <w:sz w:val="18"/>
                <w:szCs w:val="18"/>
                <w:lang w:val="hr-HR"/>
              </w:rPr>
            </w:pPr>
            <w:bookmarkStart w:id="2059" w:name="_Toc67331342"/>
            <w:r w:rsidRPr="00BA5ECE">
              <w:rPr>
                <w:rFonts w:ascii="Arial" w:eastAsia="Calibri" w:hAnsi="Arial" w:cs="Arial"/>
                <w:color w:val="000000" w:themeColor="text1"/>
                <w:sz w:val="18"/>
                <w:szCs w:val="18"/>
                <w:lang w:val="hr-HR"/>
              </w:rPr>
              <w:t>Depoziti kod drugih banaka</w:t>
            </w:r>
            <w:bookmarkEnd w:id="2059"/>
          </w:p>
        </w:tc>
        <w:tc>
          <w:tcPr>
            <w:tcW w:w="1205" w:type="dxa"/>
            <w:vAlign w:val="bottom"/>
          </w:tcPr>
          <w:p w14:paraId="0246FBE8"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 </w:t>
            </w:r>
          </w:p>
        </w:tc>
        <w:tc>
          <w:tcPr>
            <w:tcW w:w="1205" w:type="dxa"/>
            <w:vAlign w:val="bottom"/>
          </w:tcPr>
          <w:p w14:paraId="783AB5AA"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10.596 </w:t>
            </w:r>
          </w:p>
        </w:tc>
        <w:tc>
          <w:tcPr>
            <w:tcW w:w="1205" w:type="dxa"/>
            <w:vAlign w:val="bottom"/>
          </w:tcPr>
          <w:p w14:paraId="7F583869"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 </w:t>
            </w:r>
          </w:p>
        </w:tc>
        <w:tc>
          <w:tcPr>
            <w:tcW w:w="1205" w:type="dxa"/>
            <w:vAlign w:val="bottom"/>
          </w:tcPr>
          <w:p w14:paraId="76791C70"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10.596 </w:t>
            </w:r>
          </w:p>
        </w:tc>
        <w:tc>
          <w:tcPr>
            <w:tcW w:w="1706" w:type="dxa"/>
            <w:tcBorders>
              <w:top w:val="nil"/>
              <w:left w:val="nil"/>
              <w:bottom w:val="nil"/>
              <w:right w:val="nil"/>
            </w:tcBorders>
            <w:shd w:val="clear" w:color="auto" w:fill="auto"/>
            <w:vAlign w:val="bottom"/>
          </w:tcPr>
          <w:p w14:paraId="1F44DE1D"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10.596 </w:t>
            </w:r>
          </w:p>
        </w:tc>
      </w:tr>
      <w:tr w:rsidR="004E2F51" w:rsidRPr="00BA5ECE" w14:paraId="341CF43B" w14:textId="77777777" w:rsidTr="00E032FC">
        <w:trPr>
          <w:trHeight w:val="307"/>
        </w:trPr>
        <w:tc>
          <w:tcPr>
            <w:tcW w:w="3402" w:type="dxa"/>
            <w:vAlign w:val="bottom"/>
          </w:tcPr>
          <w:p w14:paraId="02464901" w14:textId="77777777" w:rsidR="004E2F51" w:rsidRPr="00BA5ECE" w:rsidRDefault="004E2F51" w:rsidP="00E032FC">
            <w:pPr>
              <w:tabs>
                <w:tab w:val="right" w:pos="1202"/>
              </w:tabs>
              <w:outlineLvl w:val="0"/>
              <w:rPr>
                <w:rFonts w:ascii="Arial" w:hAnsi="Arial" w:cs="Arial"/>
                <w:color w:val="000000" w:themeColor="text1"/>
                <w:sz w:val="18"/>
                <w:szCs w:val="18"/>
                <w:lang w:val="hr-HR"/>
              </w:rPr>
            </w:pPr>
            <w:bookmarkStart w:id="2060" w:name="_Toc67331348"/>
            <w:r w:rsidRPr="00BA5ECE">
              <w:rPr>
                <w:rFonts w:ascii="Arial" w:hAnsi="Arial" w:cs="Arial"/>
                <w:color w:val="000000" w:themeColor="text1"/>
                <w:sz w:val="18"/>
                <w:szCs w:val="18"/>
                <w:lang w:val="hr-HR"/>
              </w:rPr>
              <w:t>Krediti financijskim institucijama</w:t>
            </w:r>
            <w:bookmarkEnd w:id="2060"/>
          </w:p>
        </w:tc>
        <w:tc>
          <w:tcPr>
            <w:tcW w:w="1205" w:type="dxa"/>
            <w:vAlign w:val="bottom"/>
          </w:tcPr>
          <w:p w14:paraId="5D6B504D"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 </w:t>
            </w:r>
          </w:p>
        </w:tc>
        <w:tc>
          <w:tcPr>
            <w:tcW w:w="1205" w:type="dxa"/>
            <w:vAlign w:val="bottom"/>
          </w:tcPr>
          <w:p w14:paraId="78F488DE"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 </w:t>
            </w:r>
          </w:p>
        </w:tc>
        <w:tc>
          <w:tcPr>
            <w:tcW w:w="1205" w:type="dxa"/>
            <w:vAlign w:val="bottom"/>
          </w:tcPr>
          <w:p w14:paraId="583396E5"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6.219.749 </w:t>
            </w:r>
          </w:p>
        </w:tc>
        <w:tc>
          <w:tcPr>
            <w:tcW w:w="1205" w:type="dxa"/>
            <w:vAlign w:val="bottom"/>
          </w:tcPr>
          <w:p w14:paraId="4E30BEE9"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6.219.749 </w:t>
            </w:r>
          </w:p>
        </w:tc>
        <w:tc>
          <w:tcPr>
            <w:tcW w:w="1706" w:type="dxa"/>
            <w:tcBorders>
              <w:top w:val="nil"/>
              <w:left w:val="nil"/>
              <w:bottom w:val="nil"/>
              <w:right w:val="nil"/>
            </w:tcBorders>
            <w:shd w:val="clear" w:color="auto" w:fill="auto"/>
            <w:vAlign w:val="bottom"/>
          </w:tcPr>
          <w:p w14:paraId="3F18C3D1"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6.984.712 </w:t>
            </w:r>
          </w:p>
        </w:tc>
      </w:tr>
      <w:tr w:rsidR="004E2F51" w:rsidRPr="00BA5ECE" w14:paraId="6D2CC291" w14:textId="77777777" w:rsidTr="00E032FC">
        <w:trPr>
          <w:trHeight w:val="297"/>
        </w:trPr>
        <w:tc>
          <w:tcPr>
            <w:tcW w:w="3402" w:type="dxa"/>
            <w:vAlign w:val="bottom"/>
          </w:tcPr>
          <w:p w14:paraId="55D243F7" w14:textId="77777777" w:rsidR="004E2F51" w:rsidRPr="00BA5ECE" w:rsidRDefault="004E2F51" w:rsidP="00E032FC">
            <w:pPr>
              <w:tabs>
                <w:tab w:val="right" w:pos="1202"/>
              </w:tabs>
              <w:outlineLvl w:val="0"/>
              <w:rPr>
                <w:rFonts w:ascii="Arial" w:hAnsi="Arial" w:cs="Arial"/>
                <w:color w:val="000000" w:themeColor="text1"/>
                <w:sz w:val="18"/>
                <w:szCs w:val="18"/>
                <w:lang w:val="hr-HR"/>
              </w:rPr>
            </w:pPr>
            <w:bookmarkStart w:id="2061" w:name="_Toc67331354"/>
            <w:r w:rsidRPr="00BA5ECE">
              <w:rPr>
                <w:rFonts w:ascii="Arial" w:hAnsi="Arial" w:cs="Arial"/>
                <w:color w:val="000000" w:themeColor="text1"/>
                <w:sz w:val="18"/>
                <w:szCs w:val="18"/>
                <w:lang w:val="hr-HR"/>
              </w:rPr>
              <w:t>Krediti ostalim korisnicima</w:t>
            </w:r>
            <w:bookmarkEnd w:id="2061"/>
          </w:p>
        </w:tc>
        <w:tc>
          <w:tcPr>
            <w:tcW w:w="1205" w:type="dxa"/>
            <w:tcBorders>
              <w:bottom w:val="single" w:sz="4" w:space="0" w:color="auto"/>
            </w:tcBorders>
            <w:vAlign w:val="bottom"/>
          </w:tcPr>
          <w:p w14:paraId="7E862DF9"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 </w:t>
            </w:r>
          </w:p>
        </w:tc>
        <w:tc>
          <w:tcPr>
            <w:tcW w:w="1205" w:type="dxa"/>
            <w:tcBorders>
              <w:bottom w:val="single" w:sz="4" w:space="0" w:color="auto"/>
            </w:tcBorders>
            <w:vAlign w:val="bottom"/>
          </w:tcPr>
          <w:p w14:paraId="7C9EA217"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 </w:t>
            </w:r>
          </w:p>
        </w:tc>
        <w:tc>
          <w:tcPr>
            <w:tcW w:w="1205" w:type="dxa"/>
            <w:tcBorders>
              <w:bottom w:val="single" w:sz="4" w:space="0" w:color="auto"/>
            </w:tcBorders>
            <w:vAlign w:val="bottom"/>
          </w:tcPr>
          <w:p w14:paraId="6CBD3747"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17.453.789 </w:t>
            </w:r>
          </w:p>
        </w:tc>
        <w:tc>
          <w:tcPr>
            <w:tcW w:w="1205" w:type="dxa"/>
            <w:tcBorders>
              <w:bottom w:val="single" w:sz="4" w:space="0" w:color="auto"/>
            </w:tcBorders>
            <w:vAlign w:val="bottom"/>
          </w:tcPr>
          <w:p w14:paraId="31FE806D"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17.453.789 </w:t>
            </w:r>
          </w:p>
        </w:tc>
        <w:tc>
          <w:tcPr>
            <w:tcW w:w="1706" w:type="dxa"/>
            <w:tcBorders>
              <w:top w:val="nil"/>
              <w:left w:val="nil"/>
              <w:bottom w:val="single" w:sz="4" w:space="0" w:color="auto"/>
              <w:right w:val="nil"/>
            </w:tcBorders>
            <w:shd w:val="clear" w:color="auto" w:fill="auto"/>
            <w:vAlign w:val="bottom"/>
          </w:tcPr>
          <w:p w14:paraId="0B91A327" w14:textId="77777777" w:rsidR="004E2F51" w:rsidRPr="00D41CC0" w:rsidRDefault="004E2F51" w:rsidP="00E032FC">
            <w:pPr>
              <w:tabs>
                <w:tab w:val="right" w:pos="1202"/>
              </w:tabs>
              <w:spacing w:line="301" w:lineRule="exact"/>
              <w:jc w:val="right"/>
              <w:outlineLvl w:val="0"/>
              <w:rPr>
                <w:rFonts w:ascii="Arial" w:hAnsi="Arial" w:cs="Arial"/>
                <w:sz w:val="18"/>
                <w:szCs w:val="18"/>
              </w:rPr>
            </w:pPr>
            <w:r w:rsidRPr="00D41CC0">
              <w:rPr>
                <w:rFonts w:ascii="Arial" w:hAnsi="Arial" w:cs="Arial"/>
                <w:sz w:val="18"/>
                <w:szCs w:val="18"/>
              </w:rPr>
              <w:t xml:space="preserve"> 17.402.666 </w:t>
            </w:r>
          </w:p>
        </w:tc>
      </w:tr>
      <w:tr w:rsidR="004E2F51" w:rsidRPr="00BA5ECE" w14:paraId="5B83A5EC" w14:textId="77777777" w:rsidTr="00E032FC">
        <w:trPr>
          <w:trHeight w:val="297"/>
        </w:trPr>
        <w:tc>
          <w:tcPr>
            <w:tcW w:w="3402" w:type="dxa"/>
            <w:vAlign w:val="bottom"/>
          </w:tcPr>
          <w:p w14:paraId="693125BE" w14:textId="77777777" w:rsidR="004E2F51" w:rsidRPr="00BA5ECE" w:rsidRDefault="004E2F51" w:rsidP="00E032FC">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tcBorders>
            <w:vAlign w:val="bottom"/>
          </w:tcPr>
          <w:p w14:paraId="1D81C79C"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D41CC0">
              <w:rPr>
                <w:rFonts w:ascii="Arial" w:hAnsi="Arial" w:cs="Arial"/>
                <w:b/>
                <w:bCs/>
                <w:color w:val="000000" w:themeColor="text1"/>
                <w:sz w:val="18"/>
                <w:szCs w:val="18"/>
                <w:lang w:val="hr-HR"/>
              </w:rPr>
              <w:t xml:space="preserve"> 1.716.519 </w:t>
            </w:r>
          </w:p>
        </w:tc>
        <w:tc>
          <w:tcPr>
            <w:tcW w:w="1205" w:type="dxa"/>
            <w:tcBorders>
              <w:top w:val="single" w:sz="4" w:space="0" w:color="auto"/>
            </w:tcBorders>
            <w:vAlign w:val="bottom"/>
          </w:tcPr>
          <w:p w14:paraId="16D3807E"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D41CC0">
              <w:rPr>
                <w:rFonts w:ascii="Arial" w:hAnsi="Arial" w:cs="Arial"/>
                <w:b/>
                <w:bCs/>
                <w:color w:val="000000" w:themeColor="text1"/>
                <w:sz w:val="18"/>
                <w:szCs w:val="18"/>
                <w:lang w:val="hr-HR"/>
              </w:rPr>
              <w:t xml:space="preserve"> 10.596 </w:t>
            </w:r>
          </w:p>
        </w:tc>
        <w:tc>
          <w:tcPr>
            <w:tcW w:w="1205" w:type="dxa"/>
            <w:tcBorders>
              <w:top w:val="single" w:sz="4" w:space="0" w:color="auto"/>
            </w:tcBorders>
            <w:vAlign w:val="bottom"/>
          </w:tcPr>
          <w:p w14:paraId="4AF52CED"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D41CC0">
              <w:rPr>
                <w:rFonts w:ascii="Arial" w:hAnsi="Arial" w:cs="Arial"/>
                <w:b/>
                <w:bCs/>
                <w:color w:val="000000" w:themeColor="text1"/>
                <w:sz w:val="18"/>
                <w:szCs w:val="18"/>
                <w:lang w:val="hr-HR"/>
              </w:rPr>
              <w:t xml:space="preserve"> 23.673.538 </w:t>
            </w:r>
          </w:p>
        </w:tc>
        <w:tc>
          <w:tcPr>
            <w:tcW w:w="1205" w:type="dxa"/>
            <w:tcBorders>
              <w:top w:val="single" w:sz="4" w:space="0" w:color="auto"/>
            </w:tcBorders>
            <w:vAlign w:val="bottom"/>
          </w:tcPr>
          <w:p w14:paraId="3AC9610E"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D41CC0">
              <w:rPr>
                <w:rFonts w:ascii="Arial" w:hAnsi="Arial" w:cs="Arial"/>
                <w:b/>
                <w:bCs/>
                <w:color w:val="000000" w:themeColor="text1"/>
                <w:sz w:val="18"/>
                <w:szCs w:val="18"/>
                <w:lang w:val="hr-HR"/>
              </w:rPr>
              <w:t xml:space="preserve"> 25.400.653 </w:t>
            </w:r>
          </w:p>
        </w:tc>
        <w:tc>
          <w:tcPr>
            <w:tcW w:w="1706" w:type="dxa"/>
            <w:tcBorders>
              <w:top w:val="single" w:sz="4" w:space="0" w:color="auto"/>
              <w:left w:val="nil"/>
              <w:bottom w:val="nil"/>
              <w:right w:val="nil"/>
            </w:tcBorders>
            <w:shd w:val="clear" w:color="auto" w:fill="auto"/>
            <w:vAlign w:val="bottom"/>
          </w:tcPr>
          <w:p w14:paraId="5A9D3192"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D41CC0">
              <w:rPr>
                <w:rFonts w:ascii="Arial" w:hAnsi="Arial" w:cs="Arial"/>
                <w:b/>
                <w:bCs/>
                <w:color w:val="000000" w:themeColor="text1"/>
                <w:sz w:val="18"/>
                <w:szCs w:val="18"/>
                <w:lang w:val="hr-HR"/>
              </w:rPr>
              <w:t xml:space="preserve"> 26.114.493 </w:t>
            </w:r>
          </w:p>
        </w:tc>
      </w:tr>
      <w:tr w:rsidR="004E2F51" w:rsidRPr="00BA5ECE" w14:paraId="7FB6A006" w14:textId="77777777" w:rsidTr="00E032FC">
        <w:trPr>
          <w:trHeight w:hRule="exact" w:val="104"/>
        </w:trPr>
        <w:tc>
          <w:tcPr>
            <w:tcW w:w="3402" w:type="dxa"/>
            <w:vAlign w:val="bottom"/>
          </w:tcPr>
          <w:p w14:paraId="6481408C" w14:textId="77777777" w:rsidR="004E2F51" w:rsidRPr="00BA5ECE" w:rsidRDefault="004E2F51" w:rsidP="00E032FC">
            <w:pPr>
              <w:keepLines/>
              <w:tabs>
                <w:tab w:val="decimal" w:pos="1202"/>
              </w:tabs>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4D9637B0"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16E34C4F"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28F31F5C"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1206C9CB"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1706" w:type="dxa"/>
            <w:tcBorders>
              <w:top w:val="single" w:sz="12" w:space="0" w:color="auto"/>
            </w:tcBorders>
            <w:vAlign w:val="bottom"/>
          </w:tcPr>
          <w:p w14:paraId="29781B28"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r>
      <w:tr w:rsidR="004E2F51" w:rsidRPr="00BA5ECE" w14:paraId="62AAA723" w14:textId="77777777" w:rsidTr="00E032FC">
        <w:trPr>
          <w:trHeight w:val="307"/>
        </w:trPr>
        <w:tc>
          <w:tcPr>
            <w:tcW w:w="3402" w:type="dxa"/>
            <w:vAlign w:val="bottom"/>
          </w:tcPr>
          <w:p w14:paraId="1C2605DC" w14:textId="77777777" w:rsidR="004E2F51" w:rsidRPr="00BA5ECE" w:rsidRDefault="004E2F51" w:rsidP="00E032FC">
            <w:pPr>
              <w:tabs>
                <w:tab w:val="right" w:pos="1202"/>
              </w:tabs>
              <w:outlineLvl w:val="0"/>
              <w:rPr>
                <w:rFonts w:ascii="Arial" w:hAnsi="Arial" w:cs="Arial"/>
                <w:b/>
                <w:bCs/>
                <w:color w:val="000000" w:themeColor="text1"/>
                <w:sz w:val="18"/>
                <w:szCs w:val="18"/>
                <w:lang w:val="hr-HR"/>
              </w:rPr>
            </w:pPr>
            <w:bookmarkStart w:id="2062" w:name="_Toc67331365"/>
            <w:r w:rsidRPr="00BA5ECE">
              <w:rPr>
                <w:rFonts w:ascii="Arial" w:eastAsia="Calibri" w:hAnsi="Arial" w:cs="Arial"/>
                <w:b/>
                <w:bCs/>
                <w:color w:val="000000" w:themeColor="text1"/>
                <w:sz w:val="18"/>
                <w:szCs w:val="18"/>
                <w:lang w:val="hr-HR"/>
              </w:rPr>
              <w:t>Obveze</w:t>
            </w:r>
            <w:bookmarkEnd w:id="2062"/>
          </w:p>
        </w:tc>
        <w:tc>
          <w:tcPr>
            <w:tcW w:w="1205" w:type="dxa"/>
            <w:vAlign w:val="bottom"/>
          </w:tcPr>
          <w:p w14:paraId="79BB902D"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2B970496"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5B97BA3E"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66D0CEDD"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1706" w:type="dxa"/>
            <w:vAlign w:val="bottom"/>
          </w:tcPr>
          <w:p w14:paraId="739CD52A"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r>
      <w:tr w:rsidR="004E2F51" w:rsidRPr="00BA5ECE" w14:paraId="6CCFC78B" w14:textId="77777777" w:rsidTr="00E032FC">
        <w:trPr>
          <w:trHeight w:val="297"/>
        </w:trPr>
        <w:tc>
          <w:tcPr>
            <w:tcW w:w="3402" w:type="dxa"/>
            <w:tcBorders>
              <w:top w:val="nil"/>
              <w:left w:val="nil"/>
              <w:bottom w:val="nil"/>
              <w:right w:val="nil"/>
            </w:tcBorders>
            <w:shd w:val="clear" w:color="auto" w:fill="auto"/>
            <w:vAlign w:val="bottom"/>
          </w:tcPr>
          <w:p w14:paraId="47DAE5B9" w14:textId="77777777" w:rsidR="004E2F51" w:rsidRPr="00BA5ECE" w:rsidRDefault="004E2F51" w:rsidP="00E032FC">
            <w:pPr>
              <w:tabs>
                <w:tab w:val="right" w:pos="1202"/>
              </w:tabs>
              <w:outlineLvl w:val="0"/>
              <w:rPr>
                <w:rFonts w:ascii="Arial" w:hAnsi="Arial" w:cs="Arial"/>
                <w:color w:val="000000" w:themeColor="text1"/>
                <w:sz w:val="18"/>
                <w:szCs w:val="18"/>
                <w:lang w:val="hr-HR"/>
              </w:rPr>
            </w:pPr>
            <w:bookmarkStart w:id="2063" w:name="_Toc67331366"/>
            <w:r w:rsidRPr="00BA5ECE">
              <w:rPr>
                <w:rFonts w:ascii="Arial" w:hAnsi="Arial" w:cs="Arial"/>
                <w:color w:val="000000" w:themeColor="text1"/>
                <w:sz w:val="18"/>
                <w:szCs w:val="18"/>
                <w:lang w:val="hr-HR"/>
              </w:rPr>
              <w:t>Obveze po depozitima</w:t>
            </w:r>
            <w:bookmarkEnd w:id="2063"/>
          </w:p>
        </w:tc>
        <w:tc>
          <w:tcPr>
            <w:tcW w:w="1205" w:type="dxa"/>
            <w:vAlign w:val="bottom"/>
          </w:tcPr>
          <w:p w14:paraId="33ABB549"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D41CC0">
              <w:rPr>
                <w:rFonts w:ascii="Arial" w:hAnsi="Arial" w:cs="Arial"/>
                <w:color w:val="000000" w:themeColor="text1"/>
                <w:sz w:val="18"/>
                <w:szCs w:val="18"/>
                <w:lang w:val="hr-HR"/>
              </w:rPr>
              <w:t xml:space="preserve"> - </w:t>
            </w:r>
          </w:p>
        </w:tc>
        <w:tc>
          <w:tcPr>
            <w:tcW w:w="1205" w:type="dxa"/>
            <w:vAlign w:val="bottom"/>
          </w:tcPr>
          <w:p w14:paraId="5D568B82"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D41CC0">
              <w:rPr>
                <w:rFonts w:ascii="Arial" w:hAnsi="Arial" w:cs="Arial"/>
                <w:color w:val="000000" w:themeColor="text1"/>
                <w:sz w:val="18"/>
                <w:szCs w:val="18"/>
                <w:lang w:val="hr-HR"/>
              </w:rPr>
              <w:t xml:space="preserve"> 1.024.623 </w:t>
            </w:r>
          </w:p>
        </w:tc>
        <w:tc>
          <w:tcPr>
            <w:tcW w:w="1205" w:type="dxa"/>
            <w:vAlign w:val="bottom"/>
          </w:tcPr>
          <w:p w14:paraId="5C32D9D5"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D41CC0">
              <w:rPr>
                <w:rFonts w:ascii="Arial" w:hAnsi="Arial" w:cs="Arial"/>
                <w:color w:val="000000" w:themeColor="text1"/>
                <w:sz w:val="18"/>
                <w:szCs w:val="18"/>
                <w:lang w:val="hr-HR"/>
              </w:rPr>
              <w:t xml:space="preserve"> - </w:t>
            </w:r>
          </w:p>
        </w:tc>
        <w:tc>
          <w:tcPr>
            <w:tcW w:w="1205" w:type="dxa"/>
            <w:vAlign w:val="bottom"/>
          </w:tcPr>
          <w:p w14:paraId="25DBB7E4"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D41CC0">
              <w:rPr>
                <w:rFonts w:ascii="Arial" w:hAnsi="Arial" w:cs="Arial"/>
                <w:color w:val="000000" w:themeColor="text1"/>
                <w:sz w:val="18"/>
                <w:szCs w:val="18"/>
                <w:lang w:val="hr-HR"/>
              </w:rPr>
              <w:t xml:space="preserve"> 1.024.623 </w:t>
            </w:r>
          </w:p>
        </w:tc>
        <w:tc>
          <w:tcPr>
            <w:tcW w:w="1706" w:type="dxa"/>
            <w:tcBorders>
              <w:top w:val="nil"/>
              <w:left w:val="nil"/>
              <w:bottom w:val="nil"/>
              <w:right w:val="nil"/>
            </w:tcBorders>
            <w:shd w:val="clear" w:color="auto" w:fill="auto"/>
            <w:vAlign w:val="bottom"/>
          </w:tcPr>
          <w:p w14:paraId="792A74CD"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D41CC0">
              <w:rPr>
                <w:rFonts w:ascii="Arial" w:hAnsi="Arial" w:cs="Arial"/>
                <w:color w:val="000000" w:themeColor="text1"/>
                <w:sz w:val="18"/>
                <w:szCs w:val="18"/>
                <w:lang w:val="hr-HR"/>
              </w:rPr>
              <w:t>1.024.623</w:t>
            </w:r>
          </w:p>
        </w:tc>
      </w:tr>
      <w:tr w:rsidR="004E2F51" w:rsidRPr="00BA5ECE" w14:paraId="126E08B7" w14:textId="77777777" w:rsidTr="00E032FC">
        <w:trPr>
          <w:trHeight w:val="297"/>
        </w:trPr>
        <w:tc>
          <w:tcPr>
            <w:tcW w:w="3402" w:type="dxa"/>
            <w:tcBorders>
              <w:top w:val="nil"/>
              <w:left w:val="nil"/>
              <w:bottom w:val="nil"/>
              <w:right w:val="nil"/>
            </w:tcBorders>
            <w:shd w:val="clear" w:color="auto" w:fill="auto"/>
            <w:vAlign w:val="bottom"/>
          </w:tcPr>
          <w:p w14:paraId="7A270F10" w14:textId="77777777" w:rsidR="004E2F51" w:rsidRPr="00BA5ECE" w:rsidRDefault="004E2F51" w:rsidP="00E032FC">
            <w:pPr>
              <w:tabs>
                <w:tab w:val="right" w:pos="1202"/>
              </w:tabs>
              <w:outlineLvl w:val="0"/>
              <w:rPr>
                <w:rFonts w:ascii="Arial" w:hAnsi="Arial" w:cs="Arial"/>
                <w:color w:val="000000" w:themeColor="text1"/>
                <w:sz w:val="18"/>
                <w:szCs w:val="18"/>
                <w:lang w:val="hr-HR"/>
              </w:rPr>
            </w:pPr>
            <w:bookmarkStart w:id="2064" w:name="_Toc67331372"/>
            <w:r w:rsidRPr="00BA5ECE">
              <w:rPr>
                <w:rFonts w:ascii="Arial" w:hAnsi="Arial" w:cs="Arial"/>
                <w:color w:val="000000" w:themeColor="text1"/>
                <w:sz w:val="18"/>
                <w:szCs w:val="18"/>
                <w:lang w:val="hr-HR"/>
              </w:rPr>
              <w:t>Obveze po kreditima</w:t>
            </w:r>
            <w:bookmarkEnd w:id="2064"/>
          </w:p>
        </w:tc>
        <w:tc>
          <w:tcPr>
            <w:tcW w:w="1205" w:type="dxa"/>
            <w:tcBorders>
              <w:bottom w:val="single" w:sz="4" w:space="0" w:color="auto"/>
            </w:tcBorders>
            <w:vAlign w:val="bottom"/>
          </w:tcPr>
          <w:p w14:paraId="4779C47C"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D41CC0">
              <w:rPr>
                <w:rFonts w:ascii="Arial" w:hAnsi="Arial" w:cs="Arial"/>
                <w:color w:val="000000" w:themeColor="text1"/>
                <w:sz w:val="18"/>
                <w:szCs w:val="18"/>
                <w:lang w:val="hr-HR"/>
              </w:rPr>
              <w:t xml:space="preserve"> - </w:t>
            </w:r>
          </w:p>
        </w:tc>
        <w:tc>
          <w:tcPr>
            <w:tcW w:w="1205" w:type="dxa"/>
            <w:tcBorders>
              <w:bottom w:val="single" w:sz="4" w:space="0" w:color="auto"/>
            </w:tcBorders>
            <w:vAlign w:val="bottom"/>
          </w:tcPr>
          <w:p w14:paraId="2573A3A3"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D41CC0">
              <w:rPr>
                <w:rFonts w:ascii="Arial" w:hAnsi="Arial" w:cs="Arial"/>
                <w:color w:val="000000" w:themeColor="text1"/>
                <w:sz w:val="18"/>
                <w:szCs w:val="18"/>
                <w:lang w:val="hr-HR"/>
              </w:rPr>
              <w:t xml:space="preserve"> - </w:t>
            </w:r>
          </w:p>
        </w:tc>
        <w:tc>
          <w:tcPr>
            <w:tcW w:w="1205" w:type="dxa"/>
            <w:tcBorders>
              <w:bottom w:val="single" w:sz="4" w:space="0" w:color="auto"/>
            </w:tcBorders>
            <w:vAlign w:val="bottom"/>
          </w:tcPr>
          <w:p w14:paraId="60596ED7"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D41CC0">
              <w:rPr>
                <w:rFonts w:ascii="Arial" w:hAnsi="Arial" w:cs="Arial"/>
                <w:color w:val="000000" w:themeColor="text1"/>
                <w:sz w:val="18"/>
                <w:szCs w:val="18"/>
                <w:lang w:val="hr-HR"/>
              </w:rPr>
              <w:t xml:space="preserve"> 14.554.859 </w:t>
            </w:r>
          </w:p>
        </w:tc>
        <w:tc>
          <w:tcPr>
            <w:tcW w:w="1205" w:type="dxa"/>
            <w:tcBorders>
              <w:bottom w:val="single" w:sz="4" w:space="0" w:color="auto"/>
            </w:tcBorders>
            <w:vAlign w:val="bottom"/>
          </w:tcPr>
          <w:p w14:paraId="61FE2B02"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D41CC0">
              <w:rPr>
                <w:rFonts w:ascii="Arial" w:hAnsi="Arial" w:cs="Arial"/>
                <w:color w:val="000000" w:themeColor="text1"/>
                <w:sz w:val="18"/>
                <w:szCs w:val="18"/>
                <w:lang w:val="hr-HR"/>
              </w:rPr>
              <w:t xml:space="preserve"> 14.554.859 </w:t>
            </w:r>
          </w:p>
        </w:tc>
        <w:tc>
          <w:tcPr>
            <w:tcW w:w="1706" w:type="dxa"/>
            <w:tcBorders>
              <w:top w:val="nil"/>
              <w:left w:val="nil"/>
              <w:bottom w:val="single" w:sz="4" w:space="0" w:color="auto"/>
              <w:right w:val="nil"/>
            </w:tcBorders>
            <w:shd w:val="clear" w:color="auto" w:fill="auto"/>
            <w:vAlign w:val="bottom"/>
          </w:tcPr>
          <w:p w14:paraId="6EC4E40F"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D41CC0">
              <w:rPr>
                <w:rFonts w:ascii="Arial" w:hAnsi="Arial" w:cs="Arial"/>
                <w:color w:val="000000" w:themeColor="text1"/>
                <w:sz w:val="18"/>
                <w:szCs w:val="18"/>
                <w:lang w:val="hr-HR"/>
              </w:rPr>
              <w:t>16.501.276</w:t>
            </w:r>
          </w:p>
        </w:tc>
      </w:tr>
      <w:tr w:rsidR="004E2F51" w:rsidRPr="00BA5ECE" w14:paraId="13AC747D" w14:textId="77777777" w:rsidTr="00E032FC">
        <w:trPr>
          <w:trHeight w:val="297"/>
        </w:trPr>
        <w:tc>
          <w:tcPr>
            <w:tcW w:w="3402" w:type="dxa"/>
            <w:tcBorders>
              <w:top w:val="nil"/>
              <w:left w:val="nil"/>
              <w:bottom w:val="nil"/>
              <w:right w:val="nil"/>
            </w:tcBorders>
            <w:shd w:val="clear" w:color="auto" w:fill="auto"/>
            <w:vAlign w:val="bottom"/>
          </w:tcPr>
          <w:p w14:paraId="2251124C" w14:textId="77777777" w:rsidR="004E2F51" w:rsidRPr="00BA5ECE" w:rsidRDefault="004E2F51" w:rsidP="00E032FC">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left w:val="nil"/>
              <w:bottom w:val="single" w:sz="12" w:space="0" w:color="auto"/>
              <w:right w:val="nil"/>
            </w:tcBorders>
            <w:shd w:val="clear" w:color="auto" w:fill="auto"/>
            <w:vAlign w:val="bottom"/>
          </w:tcPr>
          <w:p w14:paraId="1B37C1D5"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D41CC0">
              <w:rPr>
                <w:rFonts w:ascii="Arial" w:hAnsi="Arial" w:cs="Arial"/>
                <w:b/>
                <w:bCs/>
                <w:color w:val="000000" w:themeColor="text1"/>
                <w:sz w:val="18"/>
                <w:szCs w:val="18"/>
                <w:lang w:val="hr-HR"/>
              </w:rPr>
              <w:t xml:space="preserve"> - </w:t>
            </w:r>
          </w:p>
        </w:tc>
        <w:tc>
          <w:tcPr>
            <w:tcW w:w="1205" w:type="dxa"/>
            <w:tcBorders>
              <w:top w:val="single" w:sz="4" w:space="0" w:color="auto"/>
              <w:left w:val="nil"/>
              <w:bottom w:val="single" w:sz="12" w:space="0" w:color="auto"/>
              <w:right w:val="nil"/>
            </w:tcBorders>
            <w:shd w:val="clear" w:color="auto" w:fill="auto"/>
            <w:vAlign w:val="bottom"/>
          </w:tcPr>
          <w:p w14:paraId="4513C226"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D41CC0">
              <w:rPr>
                <w:rFonts w:ascii="Arial" w:hAnsi="Arial" w:cs="Arial"/>
                <w:b/>
                <w:bCs/>
                <w:color w:val="000000" w:themeColor="text1"/>
                <w:sz w:val="18"/>
                <w:szCs w:val="18"/>
                <w:lang w:val="hr-HR"/>
              </w:rPr>
              <w:t xml:space="preserve"> 1.024.623 </w:t>
            </w:r>
          </w:p>
        </w:tc>
        <w:tc>
          <w:tcPr>
            <w:tcW w:w="1205" w:type="dxa"/>
            <w:tcBorders>
              <w:top w:val="single" w:sz="4" w:space="0" w:color="auto"/>
              <w:left w:val="nil"/>
              <w:bottom w:val="single" w:sz="12" w:space="0" w:color="auto"/>
              <w:right w:val="nil"/>
            </w:tcBorders>
            <w:shd w:val="clear" w:color="auto" w:fill="auto"/>
            <w:vAlign w:val="bottom"/>
          </w:tcPr>
          <w:p w14:paraId="220C075F"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D41CC0">
              <w:rPr>
                <w:rFonts w:ascii="Arial" w:hAnsi="Arial" w:cs="Arial"/>
                <w:b/>
                <w:bCs/>
                <w:color w:val="000000" w:themeColor="text1"/>
                <w:sz w:val="18"/>
                <w:szCs w:val="18"/>
                <w:lang w:val="hr-HR"/>
              </w:rPr>
              <w:t xml:space="preserve"> 14.554.859 </w:t>
            </w:r>
          </w:p>
        </w:tc>
        <w:tc>
          <w:tcPr>
            <w:tcW w:w="1205" w:type="dxa"/>
            <w:tcBorders>
              <w:top w:val="single" w:sz="4" w:space="0" w:color="auto"/>
              <w:left w:val="nil"/>
              <w:bottom w:val="single" w:sz="12" w:space="0" w:color="auto"/>
              <w:right w:val="nil"/>
            </w:tcBorders>
            <w:shd w:val="clear" w:color="auto" w:fill="auto"/>
            <w:vAlign w:val="bottom"/>
          </w:tcPr>
          <w:p w14:paraId="428379A4"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D41CC0">
              <w:rPr>
                <w:rFonts w:ascii="Arial" w:hAnsi="Arial" w:cs="Arial"/>
                <w:b/>
                <w:bCs/>
                <w:color w:val="000000" w:themeColor="text1"/>
                <w:sz w:val="18"/>
                <w:szCs w:val="18"/>
                <w:lang w:val="hr-HR"/>
              </w:rPr>
              <w:t xml:space="preserve"> 15.579.482 </w:t>
            </w:r>
          </w:p>
        </w:tc>
        <w:tc>
          <w:tcPr>
            <w:tcW w:w="1706" w:type="dxa"/>
            <w:tcBorders>
              <w:top w:val="single" w:sz="4" w:space="0" w:color="auto"/>
              <w:left w:val="nil"/>
              <w:bottom w:val="single" w:sz="12" w:space="0" w:color="auto"/>
              <w:right w:val="nil"/>
            </w:tcBorders>
            <w:shd w:val="clear" w:color="auto" w:fill="auto"/>
            <w:vAlign w:val="bottom"/>
          </w:tcPr>
          <w:p w14:paraId="48DE4FE9"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D41CC0">
              <w:rPr>
                <w:rFonts w:ascii="Arial" w:hAnsi="Arial" w:cs="Arial"/>
                <w:b/>
                <w:bCs/>
                <w:color w:val="000000" w:themeColor="text1"/>
                <w:sz w:val="18"/>
                <w:szCs w:val="18"/>
                <w:lang w:val="hr-HR"/>
              </w:rPr>
              <w:t xml:space="preserve"> 17.525.899 </w:t>
            </w:r>
          </w:p>
        </w:tc>
      </w:tr>
    </w:tbl>
    <w:p w14:paraId="59FDA6E4" w14:textId="77777777" w:rsidR="004E2F51" w:rsidRPr="00BA5ECE" w:rsidRDefault="004E2F51" w:rsidP="004E2F51">
      <w:pPr>
        <w:pStyle w:val="T1"/>
        <w:keepNext w:val="0"/>
        <w:spacing w:before="0" w:after="0" w:line="240" w:lineRule="auto"/>
        <w:rPr>
          <w:rFonts w:cs="Arial"/>
          <w:color w:val="000000" w:themeColor="text1"/>
          <w:spacing w:val="-3"/>
          <w:sz w:val="20"/>
          <w:lang w:val="hr-HR"/>
        </w:rPr>
      </w:pPr>
    </w:p>
    <w:p w14:paraId="72F85D9B" w14:textId="77777777" w:rsidR="004E2F51" w:rsidRPr="00BA5ECE" w:rsidRDefault="004E2F51" w:rsidP="004E2F51">
      <w:pPr>
        <w:pStyle w:val="T1"/>
        <w:spacing w:before="0" w:after="0" w:line="240" w:lineRule="auto"/>
        <w:rPr>
          <w:rFonts w:cs="Arial"/>
          <w:color w:val="000000" w:themeColor="text1"/>
          <w:spacing w:val="-3"/>
          <w:sz w:val="20"/>
          <w:lang w:val="hr-HR"/>
        </w:rPr>
      </w:pPr>
    </w:p>
    <w:p w14:paraId="3D2BE8E9" w14:textId="77777777" w:rsidR="004E2F51" w:rsidRPr="00BA5ECE" w:rsidRDefault="004E2F51" w:rsidP="004E2F51">
      <w:pPr>
        <w:pStyle w:val="T1"/>
        <w:spacing w:before="0" w:after="0" w:line="240" w:lineRule="auto"/>
        <w:rPr>
          <w:rFonts w:cs="Arial"/>
          <w:bCs w:val="0"/>
          <w:color w:val="000000" w:themeColor="text1"/>
          <w:spacing w:val="-3"/>
          <w:sz w:val="20"/>
          <w:lang w:val="hr-HR"/>
        </w:rPr>
      </w:pPr>
    </w:p>
    <w:p w14:paraId="5893182C" w14:textId="77777777" w:rsidR="004E2F51" w:rsidRPr="00BA5ECE" w:rsidRDefault="004E2F51" w:rsidP="004E2F51">
      <w:pPr>
        <w:pStyle w:val="T1"/>
        <w:spacing w:before="0" w:after="0" w:line="240" w:lineRule="auto"/>
        <w:rPr>
          <w:rFonts w:cs="Arial"/>
          <w:bCs w:val="0"/>
          <w:color w:val="000000" w:themeColor="text1"/>
          <w:spacing w:val="-3"/>
          <w:sz w:val="20"/>
          <w:lang w:val="hr-HR"/>
        </w:rPr>
      </w:pPr>
    </w:p>
    <w:p w14:paraId="1E132E8C" w14:textId="77777777" w:rsidR="004E2F51" w:rsidRDefault="004E2F51" w:rsidP="004E2F51">
      <w:pPr>
        <w:pStyle w:val="T1"/>
        <w:spacing w:before="0" w:after="0" w:line="240" w:lineRule="auto"/>
        <w:rPr>
          <w:rFonts w:cs="Arial"/>
          <w:bCs w:val="0"/>
          <w:color w:val="000000" w:themeColor="text1"/>
          <w:spacing w:val="-3"/>
          <w:sz w:val="22"/>
          <w:szCs w:val="22"/>
          <w:lang w:val="hr-HR"/>
        </w:rPr>
      </w:pPr>
    </w:p>
    <w:tbl>
      <w:tblPr>
        <w:tblpPr w:leftFromText="181" w:rightFromText="181" w:vertAnchor="text" w:horzAnchor="margin" w:tblpX="-284" w:tblpY="360"/>
        <w:tblW w:w="9928" w:type="dxa"/>
        <w:tblLayout w:type="fixed"/>
        <w:tblLook w:val="0000" w:firstRow="0" w:lastRow="0" w:firstColumn="0" w:lastColumn="0" w:noHBand="0" w:noVBand="0"/>
      </w:tblPr>
      <w:tblGrid>
        <w:gridCol w:w="3402"/>
        <w:gridCol w:w="1205"/>
        <w:gridCol w:w="1205"/>
        <w:gridCol w:w="1205"/>
        <w:gridCol w:w="1205"/>
        <w:gridCol w:w="1706"/>
      </w:tblGrid>
      <w:tr w:rsidR="004E2F51" w:rsidRPr="00BA5ECE" w14:paraId="3A03AADC" w14:textId="77777777" w:rsidTr="00E032FC">
        <w:trPr>
          <w:trHeight w:val="289"/>
        </w:trPr>
        <w:tc>
          <w:tcPr>
            <w:tcW w:w="3402" w:type="dxa"/>
            <w:vAlign w:val="bottom"/>
          </w:tcPr>
          <w:p w14:paraId="60ED6D2D" w14:textId="77777777" w:rsidR="004E2F51" w:rsidRPr="00BA5ECE" w:rsidRDefault="004E2F51" w:rsidP="00E032FC">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Banka</w:t>
            </w:r>
          </w:p>
          <w:p w14:paraId="0F8239A8" w14:textId="77777777" w:rsidR="004E2F51" w:rsidRPr="00BA5ECE" w:rsidRDefault="004E2F51" w:rsidP="00E032FC">
            <w:pPr>
              <w:rPr>
                <w:rFonts w:ascii="Arial" w:hAnsi="Arial" w:cs="Arial"/>
                <w:b/>
                <w:color w:val="000000" w:themeColor="text1"/>
                <w:sz w:val="18"/>
                <w:szCs w:val="18"/>
                <w:lang w:val="hr-HR"/>
              </w:rPr>
            </w:pPr>
          </w:p>
          <w:p w14:paraId="11EAA180" w14:textId="77777777" w:rsidR="004E2F51" w:rsidRPr="00BA5ECE" w:rsidRDefault="004E2F51" w:rsidP="00E032FC">
            <w:pPr>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 xml:space="preserve">31. prosinca 2021. </w:t>
            </w:r>
          </w:p>
        </w:tc>
        <w:tc>
          <w:tcPr>
            <w:tcW w:w="1205" w:type="dxa"/>
            <w:shd w:val="clear" w:color="auto" w:fill="auto"/>
            <w:vAlign w:val="center"/>
          </w:tcPr>
          <w:p w14:paraId="71425934"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1</w:t>
            </w:r>
          </w:p>
        </w:tc>
        <w:tc>
          <w:tcPr>
            <w:tcW w:w="1205" w:type="dxa"/>
            <w:shd w:val="clear" w:color="auto" w:fill="auto"/>
            <w:vAlign w:val="center"/>
          </w:tcPr>
          <w:p w14:paraId="19651874"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2</w:t>
            </w:r>
          </w:p>
        </w:tc>
        <w:tc>
          <w:tcPr>
            <w:tcW w:w="1205" w:type="dxa"/>
            <w:shd w:val="clear" w:color="auto" w:fill="auto"/>
            <w:vAlign w:val="center"/>
          </w:tcPr>
          <w:p w14:paraId="5667D7A8"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eastAsia="Calibri" w:hAnsi="Arial" w:cs="Arial"/>
                <w:b/>
                <w:color w:val="000000" w:themeColor="text1"/>
                <w:spacing w:val="-2"/>
                <w:sz w:val="18"/>
                <w:szCs w:val="18"/>
                <w:lang w:val="hr-HR"/>
              </w:rPr>
              <w:t>Razina 3</w:t>
            </w:r>
          </w:p>
        </w:tc>
        <w:tc>
          <w:tcPr>
            <w:tcW w:w="1205" w:type="dxa"/>
            <w:vAlign w:val="center"/>
          </w:tcPr>
          <w:p w14:paraId="68C926BD"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Fer vrijednost</w:t>
            </w:r>
          </w:p>
        </w:tc>
        <w:tc>
          <w:tcPr>
            <w:tcW w:w="1706" w:type="dxa"/>
            <w:vAlign w:val="center"/>
          </w:tcPr>
          <w:p w14:paraId="07E01148"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Knjigovodstvena vrijednost</w:t>
            </w:r>
          </w:p>
        </w:tc>
      </w:tr>
      <w:tr w:rsidR="004E2F51" w:rsidRPr="00BA5ECE" w14:paraId="62143176" w14:textId="77777777" w:rsidTr="00E032FC">
        <w:trPr>
          <w:trHeight w:hRule="exact" w:val="271"/>
        </w:trPr>
        <w:tc>
          <w:tcPr>
            <w:tcW w:w="3402" w:type="dxa"/>
            <w:vAlign w:val="bottom"/>
          </w:tcPr>
          <w:p w14:paraId="39BE7A23" w14:textId="77777777" w:rsidR="004E2F51" w:rsidRPr="00BA5ECE" w:rsidRDefault="004E2F51" w:rsidP="00E032FC">
            <w:pPr>
              <w:rPr>
                <w:rFonts w:ascii="Arial" w:hAnsi="Arial" w:cs="Arial"/>
                <w:color w:val="000000" w:themeColor="text1"/>
                <w:sz w:val="18"/>
                <w:szCs w:val="18"/>
                <w:lang w:val="hr-HR"/>
              </w:rPr>
            </w:pPr>
          </w:p>
        </w:tc>
        <w:tc>
          <w:tcPr>
            <w:tcW w:w="1205" w:type="dxa"/>
            <w:vAlign w:val="center"/>
          </w:tcPr>
          <w:p w14:paraId="5B605DBD"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c>
          <w:tcPr>
            <w:tcW w:w="1205" w:type="dxa"/>
            <w:vAlign w:val="center"/>
          </w:tcPr>
          <w:p w14:paraId="1AF91160"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c>
          <w:tcPr>
            <w:tcW w:w="1205" w:type="dxa"/>
            <w:vAlign w:val="center"/>
          </w:tcPr>
          <w:p w14:paraId="601C5110"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c>
          <w:tcPr>
            <w:tcW w:w="1205" w:type="dxa"/>
            <w:vAlign w:val="center"/>
          </w:tcPr>
          <w:p w14:paraId="395EADB4"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c>
          <w:tcPr>
            <w:tcW w:w="1706" w:type="dxa"/>
            <w:vAlign w:val="center"/>
          </w:tcPr>
          <w:p w14:paraId="003A9289" w14:textId="77777777" w:rsidR="004E2F51" w:rsidRPr="00BA5ECE" w:rsidRDefault="004E2F51" w:rsidP="00E032FC">
            <w:pPr>
              <w:jc w:val="right"/>
              <w:rPr>
                <w:rFonts w:ascii="Arial" w:hAnsi="Arial" w:cs="Arial"/>
                <w:b/>
                <w:color w:val="000000" w:themeColor="text1"/>
                <w:sz w:val="18"/>
                <w:szCs w:val="18"/>
                <w:lang w:val="hr-HR"/>
              </w:rPr>
            </w:pPr>
            <w:r w:rsidRPr="00BA5ECE">
              <w:rPr>
                <w:rFonts w:ascii="Arial" w:hAnsi="Arial" w:cs="Arial"/>
                <w:b/>
                <w:color w:val="000000" w:themeColor="text1"/>
                <w:sz w:val="18"/>
                <w:szCs w:val="18"/>
                <w:lang w:val="hr-HR"/>
              </w:rPr>
              <w:t>000 kuna</w:t>
            </w:r>
          </w:p>
        </w:tc>
      </w:tr>
      <w:tr w:rsidR="004E2F51" w:rsidRPr="00BA5ECE" w14:paraId="420026FC" w14:textId="77777777" w:rsidTr="00E032FC">
        <w:trPr>
          <w:trHeight w:hRule="exact" w:val="162"/>
        </w:trPr>
        <w:tc>
          <w:tcPr>
            <w:tcW w:w="3402" w:type="dxa"/>
            <w:vAlign w:val="bottom"/>
          </w:tcPr>
          <w:p w14:paraId="3BBA75B4" w14:textId="77777777" w:rsidR="004E2F51" w:rsidRPr="00BA5ECE" w:rsidRDefault="004E2F51" w:rsidP="00E032FC">
            <w:pPr>
              <w:rPr>
                <w:rFonts w:ascii="Arial" w:hAnsi="Arial" w:cs="Arial"/>
                <w:color w:val="000000" w:themeColor="text1"/>
                <w:sz w:val="18"/>
                <w:szCs w:val="18"/>
                <w:lang w:val="hr-HR"/>
              </w:rPr>
            </w:pPr>
          </w:p>
        </w:tc>
        <w:tc>
          <w:tcPr>
            <w:tcW w:w="1205" w:type="dxa"/>
            <w:vAlign w:val="center"/>
          </w:tcPr>
          <w:p w14:paraId="7B424996" w14:textId="77777777" w:rsidR="004E2F51" w:rsidRPr="00BA5ECE" w:rsidRDefault="004E2F51" w:rsidP="00E032FC">
            <w:pPr>
              <w:jc w:val="right"/>
              <w:rPr>
                <w:rFonts w:ascii="Arial" w:hAnsi="Arial" w:cs="Arial"/>
                <w:b/>
                <w:color w:val="000000" w:themeColor="text1"/>
                <w:sz w:val="18"/>
                <w:szCs w:val="18"/>
                <w:lang w:val="hr-HR"/>
              </w:rPr>
            </w:pPr>
          </w:p>
        </w:tc>
        <w:tc>
          <w:tcPr>
            <w:tcW w:w="1205" w:type="dxa"/>
            <w:vAlign w:val="center"/>
          </w:tcPr>
          <w:p w14:paraId="390DFF78" w14:textId="77777777" w:rsidR="004E2F51" w:rsidRPr="00BA5ECE" w:rsidRDefault="004E2F51" w:rsidP="00E032FC">
            <w:pPr>
              <w:jc w:val="right"/>
              <w:rPr>
                <w:rFonts w:ascii="Arial" w:hAnsi="Arial" w:cs="Arial"/>
                <w:b/>
                <w:color w:val="000000" w:themeColor="text1"/>
                <w:sz w:val="18"/>
                <w:szCs w:val="18"/>
                <w:lang w:val="hr-HR"/>
              </w:rPr>
            </w:pPr>
          </w:p>
        </w:tc>
        <w:tc>
          <w:tcPr>
            <w:tcW w:w="1205" w:type="dxa"/>
            <w:vAlign w:val="center"/>
          </w:tcPr>
          <w:p w14:paraId="690E81B9" w14:textId="77777777" w:rsidR="004E2F51" w:rsidRPr="00BA5ECE" w:rsidRDefault="004E2F51" w:rsidP="00E032FC">
            <w:pPr>
              <w:jc w:val="right"/>
              <w:rPr>
                <w:rFonts w:ascii="Arial" w:hAnsi="Arial" w:cs="Arial"/>
                <w:b/>
                <w:color w:val="000000" w:themeColor="text1"/>
                <w:sz w:val="18"/>
                <w:szCs w:val="18"/>
                <w:lang w:val="hr-HR"/>
              </w:rPr>
            </w:pPr>
          </w:p>
        </w:tc>
        <w:tc>
          <w:tcPr>
            <w:tcW w:w="1205" w:type="dxa"/>
            <w:vAlign w:val="center"/>
          </w:tcPr>
          <w:p w14:paraId="6C937BF5" w14:textId="77777777" w:rsidR="004E2F51" w:rsidRPr="00BA5ECE" w:rsidRDefault="004E2F51" w:rsidP="00E032FC">
            <w:pPr>
              <w:jc w:val="right"/>
              <w:rPr>
                <w:rFonts w:ascii="Arial" w:hAnsi="Arial" w:cs="Arial"/>
                <w:b/>
                <w:color w:val="000000" w:themeColor="text1"/>
                <w:sz w:val="18"/>
                <w:szCs w:val="18"/>
                <w:lang w:val="hr-HR"/>
              </w:rPr>
            </w:pPr>
          </w:p>
        </w:tc>
        <w:tc>
          <w:tcPr>
            <w:tcW w:w="1706" w:type="dxa"/>
            <w:vAlign w:val="center"/>
          </w:tcPr>
          <w:p w14:paraId="71075977" w14:textId="77777777" w:rsidR="004E2F51" w:rsidRPr="00BA5ECE" w:rsidRDefault="004E2F51" w:rsidP="00E032FC">
            <w:pPr>
              <w:jc w:val="right"/>
              <w:rPr>
                <w:rFonts w:ascii="Arial" w:hAnsi="Arial" w:cs="Arial"/>
                <w:b/>
                <w:color w:val="000000" w:themeColor="text1"/>
                <w:sz w:val="18"/>
                <w:szCs w:val="18"/>
                <w:lang w:val="hr-HR"/>
              </w:rPr>
            </w:pPr>
          </w:p>
        </w:tc>
      </w:tr>
      <w:tr w:rsidR="004E2F51" w:rsidRPr="00BA5ECE" w14:paraId="4DCF9734" w14:textId="77777777" w:rsidTr="00E032FC">
        <w:trPr>
          <w:trHeight w:val="297"/>
        </w:trPr>
        <w:tc>
          <w:tcPr>
            <w:tcW w:w="3402" w:type="dxa"/>
            <w:vAlign w:val="bottom"/>
          </w:tcPr>
          <w:p w14:paraId="1AE47C06" w14:textId="77777777" w:rsidR="004E2F51" w:rsidRPr="00BA5ECE" w:rsidRDefault="004E2F51" w:rsidP="00E032FC">
            <w:pPr>
              <w:tabs>
                <w:tab w:val="right" w:pos="1202"/>
              </w:tabs>
              <w:outlineLvl w:val="0"/>
              <w:rPr>
                <w:rFonts w:ascii="Arial" w:hAnsi="Arial" w:cs="Arial"/>
                <w:b/>
                <w:bCs/>
                <w:color w:val="000000" w:themeColor="text1"/>
                <w:sz w:val="18"/>
                <w:szCs w:val="18"/>
                <w:lang w:val="hr-HR"/>
              </w:rPr>
            </w:pPr>
            <w:r w:rsidRPr="00BA5ECE">
              <w:rPr>
                <w:rFonts w:ascii="Arial" w:eastAsia="Calibri" w:hAnsi="Arial" w:cs="Arial"/>
                <w:b/>
                <w:bCs/>
                <w:color w:val="000000" w:themeColor="text1"/>
                <w:sz w:val="18"/>
                <w:szCs w:val="18"/>
                <w:lang w:val="hr-HR"/>
              </w:rPr>
              <w:t>Imovina</w:t>
            </w:r>
          </w:p>
        </w:tc>
        <w:tc>
          <w:tcPr>
            <w:tcW w:w="1205" w:type="dxa"/>
            <w:vAlign w:val="center"/>
          </w:tcPr>
          <w:p w14:paraId="4A76A9ED"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4561C855"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534F398C"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205" w:type="dxa"/>
            <w:vAlign w:val="center"/>
          </w:tcPr>
          <w:p w14:paraId="215F9371"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c>
          <w:tcPr>
            <w:tcW w:w="1706" w:type="dxa"/>
            <w:vAlign w:val="center"/>
          </w:tcPr>
          <w:p w14:paraId="6AA818E2" w14:textId="77777777" w:rsidR="004E2F51" w:rsidRPr="00BA5ECE" w:rsidRDefault="004E2F51" w:rsidP="00E032FC">
            <w:pPr>
              <w:tabs>
                <w:tab w:val="right" w:pos="1202"/>
              </w:tabs>
              <w:jc w:val="right"/>
              <w:outlineLvl w:val="0"/>
              <w:rPr>
                <w:rFonts w:ascii="Arial" w:hAnsi="Arial" w:cs="Arial"/>
                <w:b/>
                <w:bCs/>
                <w:color w:val="000000" w:themeColor="text1"/>
                <w:sz w:val="18"/>
                <w:szCs w:val="18"/>
                <w:lang w:val="hr-HR"/>
              </w:rPr>
            </w:pPr>
          </w:p>
        </w:tc>
      </w:tr>
      <w:tr w:rsidR="004E2F51" w:rsidRPr="00BA5ECE" w14:paraId="7515AEE1" w14:textId="77777777" w:rsidTr="00E032FC">
        <w:trPr>
          <w:trHeight w:val="297"/>
        </w:trPr>
        <w:tc>
          <w:tcPr>
            <w:tcW w:w="3402" w:type="dxa"/>
            <w:vAlign w:val="bottom"/>
          </w:tcPr>
          <w:p w14:paraId="2FE87E75" w14:textId="77777777" w:rsidR="004E2F51" w:rsidRPr="00BA5ECE" w:rsidRDefault="004E2F51" w:rsidP="00E032FC">
            <w:pPr>
              <w:tabs>
                <w:tab w:val="right" w:pos="1202"/>
              </w:tabs>
              <w:outlineLvl w:val="0"/>
              <w:rPr>
                <w:rFonts w:ascii="Arial" w:hAnsi="Arial" w:cs="Arial"/>
                <w:color w:val="000000" w:themeColor="text1"/>
                <w:sz w:val="18"/>
                <w:szCs w:val="18"/>
                <w:lang w:val="hr-HR"/>
              </w:rPr>
            </w:pPr>
            <w:r w:rsidRPr="00BA5ECE">
              <w:rPr>
                <w:rFonts w:ascii="Arial" w:eastAsia="Calibri" w:hAnsi="Arial" w:cs="Arial"/>
                <w:color w:val="000000" w:themeColor="text1"/>
                <w:sz w:val="18"/>
                <w:szCs w:val="18"/>
                <w:lang w:val="hr-HR"/>
              </w:rPr>
              <w:t>Novčana sredstva i računi kod banaka</w:t>
            </w:r>
          </w:p>
        </w:tc>
        <w:tc>
          <w:tcPr>
            <w:tcW w:w="1205" w:type="dxa"/>
          </w:tcPr>
          <w:p w14:paraId="05481CCF"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1.958.620 </w:t>
            </w:r>
          </w:p>
        </w:tc>
        <w:tc>
          <w:tcPr>
            <w:tcW w:w="1205" w:type="dxa"/>
          </w:tcPr>
          <w:p w14:paraId="3A85DD8F"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Pr>
          <w:p w14:paraId="3C917ECE"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Pr>
          <w:p w14:paraId="34BA8618"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1.958.620 </w:t>
            </w:r>
          </w:p>
        </w:tc>
        <w:tc>
          <w:tcPr>
            <w:tcW w:w="1706" w:type="dxa"/>
            <w:tcBorders>
              <w:top w:val="nil"/>
              <w:left w:val="nil"/>
              <w:bottom w:val="nil"/>
              <w:right w:val="nil"/>
            </w:tcBorders>
            <w:shd w:val="clear" w:color="auto" w:fill="auto"/>
          </w:tcPr>
          <w:p w14:paraId="72B717B7"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1.958.620</w:t>
            </w:r>
          </w:p>
        </w:tc>
      </w:tr>
      <w:tr w:rsidR="004E2F51" w:rsidRPr="00BA5ECE" w14:paraId="46FA3D1F" w14:textId="77777777" w:rsidTr="00E032FC">
        <w:trPr>
          <w:trHeight w:val="297"/>
        </w:trPr>
        <w:tc>
          <w:tcPr>
            <w:tcW w:w="3402" w:type="dxa"/>
            <w:vAlign w:val="bottom"/>
          </w:tcPr>
          <w:p w14:paraId="5BE2E10D" w14:textId="77777777" w:rsidR="004E2F51" w:rsidRPr="00BA5ECE" w:rsidRDefault="004E2F51" w:rsidP="00E032FC">
            <w:pPr>
              <w:tabs>
                <w:tab w:val="right" w:pos="1202"/>
              </w:tabs>
              <w:outlineLvl w:val="0"/>
              <w:rPr>
                <w:rFonts w:ascii="Arial" w:hAnsi="Arial" w:cs="Arial"/>
                <w:color w:val="000000" w:themeColor="text1"/>
                <w:sz w:val="18"/>
                <w:szCs w:val="18"/>
                <w:lang w:val="hr-HR"/>
              </w:rPr>
            </w:pPr>
            <w:r w:rsidRPr="00BA5ECE">
              <w:rPr>
                <w:rFonts w:ascii="Arial" w:eastAsia="Calibri" w:hAnsi="Arial" w:cs="Arial"/>
                <w:color w:val="000000" w:themeColor="text1"/>
                <w:sz w:val="18"/>
                <w:szCs w:val="18"/>
                <w:lang w:val="hr-HR"/>
              </w:rPr>
              <w:t>Depoziti kod drugih banaka</w:t>
            </w:r>
          </w:p>
        </w:tc>
        <w:tc>
          <w:tcPr>
            <w:tcW w:w="1205" w:type="dxa"/>
          </w:tcPr>
          <w:p w14:paraId="29E09E8B"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Pr>
          <w:p w14:paraId="292F06C6"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7.500 </w:t>
            </w:r>
          </w:p>
        </w:tc>
        <w:tc>
          <w:tcPr>
            <w:tcW w:w="1205" w:type="dxa"/>
          </w:tcPr>
          <w:p w14:paraId="0C23B053"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Pr>
          <w:p w14:paraId="50302430"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7.500 </w:t>
            </w:r>
          </w:p>
        </w:tc>
        <w:tc>
          <w:tcPr>
            <w:tcW w:w="1706" w:type="dxa"/>
            <w:tcBorders>
              <w:top w:val="nil"/>
              <w:left w:val="nil"/>
              <w:bottom w:val="nil"/>
              <w:right w:val="nil"/>
            </w:tcBorders>
            <w:shd w:val="clear" w:color="auto" w:fill="auto"/>
          </w:tcPr>
          <w:p w14:paraId="61E91C94"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7.500 </w:t>
            </w:r>
          </w:p>
        </w:tc>
      </w:tr>
      <w:tr w:rsidR="004E2F51" w:rsidRPr="00BA5ECE" w14:paraId="3FAA075B" w14:textId="77777777" w:rsidTr="00E032FC">
        <w:trPr>
          <w:trHeight w:val="307"/>
        </w:trPr>
        <w:tc>
          <w:tcPr>
            <w:tcW w:w="3402" w:type="dxa"/>
            <w:vAlign w:val="bottom"/>
          </w:tcPr>
          <w:p w14:paraId="0907A28F" w14:textId="77777777" w:rsidR="004E2F51" w:rsidRPr="00BA5ECE" w:rsidRDefault="004E2F51" w:rsidP="00E032FC">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Krediti financijskim institucijama</w:t>
            </w:r>
          </w:p>
        </w:tc>
        <w:tc>
          <w:tcPr>
            <w:tcW w:w="1205" w:type="dxa"/>
          </w:tcPr>
          <w:p w14:paraId="04F408B1"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Pr>
          <w:p w14:paraId="20FE1F62"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Pr>
          <w:p w14:paraId="5006A51A"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7.073.126 </w:t>
            </w:r>
          </w:p>
        </w:tc>
        <w:tc>
          <w:tcPr>
            <w:tcW w:w="1205" w:type="dxa"/>
          </w:tcPr>
          <w:p w14:paraId="29F8C09F"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7.073.126 </w:t>
            </w:r>
          </w:p>
        </w:tc>
        <w:tc>
          <w:tcPr>
            <w:tcW w:w="1706" w:type="dxa"/>
            <w:tcBorders>
              <w:top w:val="nil"/>
              <w:left w:val="nil"/>
              <w:bottom w:val="nil"/>
              <w:right w:val="nil"/>
            </w:tcBorders>
            <w:shd w:val="clear" w:color="auto" w:fill="auto"/>
          </w:tcPr>
          <w:p w14:paraId="47025600"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7.050.143 </w:t>
            </w:r>
          </w:p>
        </w:tc>
      </w:tr>
      <w:tr w:rsidR="004E2F51" w:rsidRPr="00BA5ECE" w14:paraId="6FE7B754" w14:textId="77777777" w:rsidTr="00E032FC">
        <w:trPr>
          <w:trHeight w:val="297"/>
        </w:trPr>
        <w:tc>
          <w:tcPr>
            <w:tcW w:w="3402" w:type="dxa"/>
            <w:vAlign w:val="bottom"/>
          </w:tcPr>
          <w:p w14:paraId="78E9013A" w14:textId="77777777" w:rsidR="004E2F51" w:rsidRPr="00BA5ECE" w:rsidRDefault="004E2F51" w:rsidP="00E032FC">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Krediti ostalim korisnicima</w:t>
            </w:r>
          </w:p>
        </w:tc>
        <w:tc>
          <w:tcPr>
            <w:tcW w:w="1205" w:type="dxa"/>
            <w:tcBorders>
              <w:bottom w:val="single" w:sz="4" w:space="0" w:color="auto"/>
            </w:tcBorders>
          </w:tcPr>
          <w:p w14:paraId="1DE0FFBD"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Borders>
              <w:bottom w:val="single" w:sz="4" w:space="0" w:color="auto"/>
            </w:tcBorders>
          </w:tcPr>
          <w:p w14:paraId="5BBFBE44"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Borders>
              <w:bottom w:val="single" w:sz="4" w:space="0" w:color="auto"/>
            </w:tcBorders>
          </w:tcPr>
          <w:p w14:paraId="65F310EA"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17.912.813 </w:t>
            </w:r>
          </w:p>
        </w:tc>
        <w:tc>
          <w:tcPr>
            <w:tcW w:w="1205" w:type="dxa"/>
            <w:tcBorders>
              <w:bottom w:val="single" w:sz="4" w:space="0" w:color="auto"/>
            </w:tcBorders>
          </w:tcPr>
          <w:p w14:paraId="38DCD586"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17.912.813 </w:t>
            </w:r>
          </w:p>
        </w:tc>
        <w:tc>
          <w:tcPr>
            <w:tcW w:w="1706" w:type="dxa"/>
            <w:tcBorders>
              <w:top w:val="nil"/>
              <w:left w:val="nil"/>
              <w:bottom w:val="single" w:sz="4" w:space="0" w:color="auto"/>
              <w:right w:val="nil"/>
            </w:tcBorders>
            <w:shd w:val="clear" w:color="auto" w:fill="auto"/>
          </w:tcPr>
          <w:p w14:paraId="0AF83A78"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15.964.376 </w:t>
            </w:r>
          </w:p>
        </w:tc>
      </w:tr>
      <w:tr w:rsidR="004E2F51" w:rsidRPr="00BA5ECE" w14:paraId="5991C1E1" w14:textId="77777777" w:rsidTr="00E032FC">
        <w:trPr>
          <w:trHeight w:val="297"/>
        </w:trPr>
        <w:tc>
          <w:tcPr>
            <w:tcW w:w="3402" w:type="dxa"/>
            <w:vAlign w:val="bottom"/>
          </w:tcPr>
          <w:p w14:paraId="2770F206" w14:textId="77777777" w:rsidR="004E2F51" w:rsidRPr="00BA5ECE" w:rsidRDefault="004E2F51" w:rsidP="00E032FC">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tcBorders>
          </w:tcPr>
          <w:p w14:paraId="3301A839"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1.958.620 </w:t>
            </w:r>
          </w:p>
        </w:tc>
        <w:tc>
          <w:tcPr>
            <w:tcW w:w="1205" w:type="dxa"/>
            <w:tcBorders>
              <w:top w:val="single" w:sz="4" w:space="0" w:color="auto"/>
            </w:tcBorders>
          </w:tcPr>
          <w:p w14:paraId="619F5697"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7.500 </w:t>
            </w:r>
          </w:p>
        </w:tc>
        <w:tc>
          <w:tcPr>
            <w:tcW w:w="1205" w:type="dxa"/>
            <w:tcBorders>
              <w:top w:val="single" w:sz="4" w:space="0" w:color="auto"/>
            </w:tcBorders>
          </w:tcPr>
          <w:p w14:paraId="38C9CE6D"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24.985.939 </w:t>
            </w:r>
          </w:p>
        </w:tc>
        <w:tc>
          <w:tcPr>
            <w:tcW w:w="1205" w:type="dxa"/>
            <w:tcBorders>
              <w:top w:val="single" w:sz="4" w:space="0" w:color="auto"/>
            </w:tcBorders>
          </w:tcPr>
          <w:p w14:paraId="3100F0D5"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26.952.059 </w:t>
            </w:r>
          </w:p>
        </w:tc>
        <w:tc>
          <w:tcPr>
            <w:tcW w:w="1706" w:type="dxa"/>
            <w:tcBorders>
              <w:top w:val="single" w:sz="4" w:space="0" w:color="auto"/>
              <w:left w:val="nil"/>
              <w:bottom w:val="nil"/>
              <w:right w:val="nil"/>
            </w:tcBorders>
            <w:shd w:val="clear" w:color="auto" w:fill="auto"/>
          </w:tcPr>
          <w:p w14:paraId="0C23EEED"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24.980.639 </w:t>
            </w:r>
          </w:p>
        </w:tc>
      </w:tr>
      <w:tr w:rsidR="004E2F51" w:rsidRPr="00BA5ECE" w14:paraId="718BD59F" w14:textId="77777777" w:rsidTr="00E032FC">
        <w:trPr>
          <w:trHeight w:hRule="exact" w:val="104"/>
        </w:trPr>
        <w:tc>
          <w:tcPr>
            <w:tcW w:w="3402" w:type="dxa"/>
            <w:vAlign w:val="bottom"/>
          </w:tcPr>
          <w:p w14:paraId="47C7AF07" w14:textId="77777777" w:rsidR="004E2F51" w:rsidRPr="00BA5ECE" w:rsidRDefault="004E2F51" w:rsidP="00E032FC">
            <w:pPr>
              <w:keepLines/>
              <w:tabs>
                <w:tab w:val="decimal" w:pos="1202"/>
              </w:tabs>
              <w:rPr>
                <w:rFonts w:ascii="Arial" w:hAnsi="Arial" w:cs="Arial"/>
                <w:b/>
                <w:color w:val="000000" w:themeColor="text1"/>
                <w:position w:val="4"/>
                <w:sz w:val="18"/>
                <w:szCs w:val="18"/>
                <w:u w:val="thick"/>
                <w:lang w:val="hr-HR"/>
              </w:rPr>
            </w:pPr>
          </w:p>
        </w:tc>
        <w:tc>
          <w:tcPr>
            <w:tcW w:w="1205" w:type="dxa"/>
            <w:tcBorders>
              <w:top w:val="single" w:sz="12" w:space="0" w:color="auto"/>
            </w:tcBorders>
            <w:vAlign w:val="bottom"/>
          </w:tcPr>
          <w:p w14:paraId="529274A9"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57925E6B"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253D25B6"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1205" w:type="dxa"/>
            <w:tcBorders>
              <w:top w:val="single" w:sz="12" w:space="0" w:color="auto"/>
            </w:tcBorders>
            <w:vAlign w:val="bottom"/>
          </w:tcPr>
          <w:p w14:paraId="35DC6DBE"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1706" w:type="dxa"/>
            <w:tcBorders>
              <w:top w:val="single" w:sz="12" w:space="0" w:color="auto"/>
            </w:tcBorders>
            <w:vAlign w:val="bottom"/>
          </w:tcPr>
          <w:p w14:paraId="646AD575"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r>
      <w:tr w:rsidR="004E2F51" w:rsidRPr="00BA5ECE" w14:paraId="2B6CB2AD" w14:textId="77777777" w:rsidTr="00E032FC">
        <w:trPr>
          <w:trHeight w:val="307"/>
        </w:trPr>
        <w:tc>
          <w:tcPr>
            <w:tcW w:w="3402" w:type="dxa"/>
            <w:vAlign w:val="bottom"/>
          </w:tcPr>
          <w:p w14:paraId="1C8F3916" w14:textId="77777777" w:rsidR="004E2F51" w:rsidRPr="00BA5ECE" w:rsidRDefault="004E2F51" w:rsidP="00E032FC">
            <w:pPr>
              <w:tabs>
                <w:tab w:val="right" w:pos="1202"/>
              </w:tabs>
              <w:outlineLvl w:val="0"/>
              <w:rPr>
                <w:rFonts w:ascii="Arial" w:hAnsi="Arial" w:cs="Arial"/>
                <w:b/>
                <w:bCs/>
                <w:color w:val="000000" w:themeColor="text1"/>
                <w:sz w:val="18"/>
                <w:szCs w:val="18"/>
                <w:lang w:val="hr-HR"/>
              </w:rPr>
            </w:pPr>
            <w:r w:rsidRPr="00BA5ECE">
              <w:rPr>
                <w:rFonts w:ascii="Arial" w:eastAsia="Calibri" w:hAnsi="Arial" w:cs="Arial"/>
                <w:b/>
                <w:bCs/>
                <w:color w:val="000000" w:themeColor="text1"/>
                <w:sz w:val="18"/>
                <w:szCs w:val="18"/>
                <w:lang w:val="hr-HR"/>
              </w:rPr>
              <w:t>Obveze</w:t>
            </w:r>
          </w:p>
        </w:tc>
        <w:tc>
          <w:tcPr>
            <w:tcW w:w="1205" w:type="dxa"/>
            <w:vAlign w:val="bottom"/>
          </w:tcPr>
          <w:p w14:paraId="3D8DD271"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04CEFD8A"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13E14B5C"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1205" w:type="dxa"/>
            <w:vAlign w:val="bottom"/>
          </w:tcPr>
          <w:p w14:paraId="4514D30D"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c>
          <w:tcPr>
            <w:tcW w:w="1706" w:type="dxa"/>
            <w:vAlign w:val="bottom"/>
          </w:tcPr>
          <w:p w14:paraId="4AF17044"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p>
        </w:tc>
      </w:tr>
      <w:tr w:rsidR="004E2F51" w:rsidRPr="00BA5ECE" w14:paraId="367E72E2" w14:textId="77777777" w:rsidTr="00E032FC">
        <w:trPr>
          <w:trHeight w:val="297"/>
        </w:trPr>
        <w:tc>
          <w:tcPr>
            <w:tcW w:w="3402" w:type="dxa"/>
            <w:tcBorders>
              <w:top w:val="nil"/>
              <w:left w:val="nil"/>
              <w:bottom w:val="nil"/>
              <w:right w:val="nil"/>
            </w:tcBorders>
            <w:shd w:val="clear" w:color="auto" w:fill="auto"/>
            <w:vAlign w:val="bottom"/>
          </w:tcPr>
          <w:p w14:paraId="040F65C0" w14:textId="77777777" w:rsidR="004E2F51" w:rsidRPr="00BA5ECE" w:rsidRDefault="004E2F51" w:rsidP="00E032FC">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Obveze po depozitima</w:t>
            </w:r>
          </w:p>
        </w:tc>
        <w:tc>
          <w:tcPr>
            <w:tcW w:w="1205" w:type="dxa"/>
          </w:tcPr>
          <w:p w14:paraId="5DBF347D"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Pr>
          <w:p w14:paraId="0B4D9307"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960.541 </w:t>
            </w:r>
          </w:p>
        </w:tc>
        <w:tc>
          <w:tcPr>
            <w:tcW w:w="1205" w:type="dxa"/>
          </w:tcPr>
          <w:p w14:paraId="3A0E316F"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Pr>
          <w:p w14:paraId="4D8B4A83"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960.541 </w:t>
            </w:r>
          </w:p>
        </w:tc>
        <w:tc>
          <w:tcPr>
            <w:tcW w:w="1706" w:type="dxa"/>
            <w:tcBorders>
              <w:top w:val="nil"/>
              <w:left w:val="nil"/>
              <w:bottom w:val="nil"/>
              <w:right w:val="nil"/>
            </w:tcBorders>
            <w:shd w:val="clear" w:color="auto" w:fill="auto"/>
          </w:tcPr>
          <w:p w14:paraId="73B65F99"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960.541</w:t>
            </w:r>
          </w:p>
        </w:tc>
      </w:tr>
      <w:tr w:rsidR="004E2F51" w:rsidRPr="00BA5ECE" w14:paraId="1D691EE6" w14:textId="77777777" w:rsidTr="00E032FC">
        <w:trPr>
          <w:trHeight w:val="297"/>
        </w:trPr>
        <w:tc>
          <w:tcPr>
            <w:tcW w:w="3402" w:type="dxa"/>
            <w:tcBorders>
              <w:top w:val="nil"/>
              <w:left w:val="nil"/>
              <w:bottom w:val="nil"/>
              <w:right w:val="nil"/>
            </w:tcBorders>
            <w:shd w:val="clear" w:color="auto" w:fill="auto"/>
            <w:vAlign w:val="bottom"/>
          </w:tcPr>
          <w:p w14:paraId="2C0A1D26" w14:textId="77777777" w:rsidR="004E2F51" w:rsidRPr="00BA5ECE" w:rsidRDefault="004E2F51" w:rsidP="00E032FC">
            <w:pPr>
              <w:tabs>
                <w:tab w:val="right" w:pos="1202"/>
              </w:tabs>
              <w:outlineLvl w:val="0"/>
              <w:rPr>
                <w:rFonts w:ascii="Arial" w:hAnsi="Arial" w:cs="Arial"/>
                <w:color w:val="000000" w:themeColor="text1"/>
                <w:sz w:val="18"/>
                <w:szCs w:val="18"/>
                <w:lang w:val="hr-HR"/>
              </w:rPr>
            </w:pPr>
            <w:r w:rsidRPr="00BA5ECE">
              <w:rPr>
                <w:rFonts w:ascii="Arial" w:hAnsi="Arial" w:cs="Arial"/>
                <w:color w:val="000000" w:themeColor="text1"/>
                <w:sz w:val="18"/>
                <w:szCs w:val="18"/>
                <w:lang w:val="hr-HR"/>
              </w:rPr>
              <w:t>Obveze po kreditima</w:t>
            </w:r>
          </w:p>
        </w:tc>
        <w:tc>
          <w:tcPr>
            <w:tcW w:w="1205" w:type="dxa"/>
            <w:tcBorders>
              <w:bottom w:val="single" w:sz="4" w:space="0" w:color="auto"/>
            </w:tcBorders>
          </w:tcPr>
          <w:p w14:paraId="1B0CF481"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Borders>
              <w:bottom w:val="single" w:sz="4" w:space="0" w:color="auto"/>
            </w:tcBorders>
          </w:tcPr>
          <w:p w14:paraId="5B0CA718"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 </w:t>
            </w:r>
          </w:p>
        </w:tc>
        <w:tc>
          <w:tcPr>
            <w:tcW w:w="1205" w:type="dxa"/>
            <w:tcBorders>
              <w:bottom w:val="single" w:sz="4" w:space="0" w:color="auto"/>
            </w:tcBorders>
          </w:tcPr>
          <w:p w14:paraId="0F732055"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16.634.493 </w:t>
            </w:r>
          </w:p>
        </w:tc>
        <w:tc>
          <w:tcPr>
            <w:tcW w:w="1205" w:type="dxa"/>
            <w:tcBorders>
              <w:bottom w:val="single" w:sz="4" w:space="0" w:color="auto"/>
            </w:tcBorders>
          </w:tcPr>
          <w:p w14:paraId="4EAC23D6"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 xml:space="preserve"> 16.634.493 </w:t>
            </w:r>
          </w:p>
        </w:tc>
        <w:tc>
          <w:tcPr>
            <w:tcW w:w="1706" w:type="dxa"/>
            <w:tcBorders>
              <w:top w:val="nil"/>
              <w:left w:val="nil"/>
              <w:bottom w:val="single" w:sz="4" w:space="0" w:color="auto"/>
              <w:right w:val="nil"/>
            </w:tcBorders>
            <w:shd w:val="clear" w:color="auto" w:fill="auto"/>
          </w:tcPr>
          <w:p w14:paraId="3CE7A31B" w14:textId="77777777" w:rsidR="004E2F51" w:rsidRPr="00BA5ECE" w:rsidRDefault="004E2F51" w:rsidP="00E032FC">
            <w:pPr>
              <w:tabs>
                <w:tab w:val="right" w:pos="1202"/>
              </w:tabs>
              <w:spacing w:line="301" w:lineRule="exact"/>
              <w:jc w:val="right"/>
              <w:outlineLvl w:val="0"/>
              <w:rPr>
                <w:rFonts w:ascii="Arial" w:hAnsi="Arial" w:cs="Arial"/>
                <w:color w:val="000000" w:themeColor="text1"/>
                <w:sz w:val="18"/>
                <w:szCs w:val="18"/>
                <w:lang w:val="hr-HR"/>
              </w:rPr>
            </w:pPr>
            <w:r w:rsidRPr="00BA5ECE">
              <w:rPr>
                <w:rFonts w:ascii="Arial" w:hAnsi="Arial" w:cs="Arial"/>
                <w:sz w:val="18"/>
                <w:szCs w:val="18"/>
              </w:rPr>
              <w:t>16.115.237</w:t>
            </w:r>
          </w:p>
        </w:tc>
      </w:tr>
      <w:tr w:rsidR="004E2F51" w:rsidRPr="00BA5ECE" w14:paraId="683D04B7" w14:textId="77777777" w:rsidTr="00E032FC">
        <w:trPr>
          <w:trHeight w:val="297"/>
        </w:trPr>
        <w:tc>
          <w:tcPr>
            <w:tcW w:w="3402" w:type="dxa"/>
            <w:tcBorders>
              <w:top w:val="nil"/>
              <w:left w:val="nil"/>
              <w:bottom w:val="nil"/>
              <w:right w:val="nil"/>
            </w:tcBorders>
            <w:shd w:val="clear" w:color="auto" w:fill="auto"/>
            <w:vAlign w:val="bottom"/>
          </w:tcPr>
          <w:p w14:paraId="64D31A18" w14:textId="77777777" w:rsidR="004E2F51" w:rsidRPr="00BA5ECE" w:rsidRDefault="004E2F51" w:rsidP="00E032FC">
            <w:pPr>
              <w:tabs>
                <w:tab w:val="right" w:pos="1202"/>
              </w:tabs>
              <w:outlineLvl w:val="0"/>
              <w:rPr>
                <w:rFonts w:ascii="Arial" w:hAnsi="Arial" w:cs="Arial"/>
                <w:color w:val="000000" w:themeColor="text1"/>
                <w:sz w:val="18"/>
                <w:szCs w:val="18"/>
                <w:lang w:val="hr-HR"/>
              </w:rPr>
            </w:pPr>
          </w:p>
        </w:tc>
        <w:tc>
          <w:tcPr>
            <w:tcW w:w="1205" w:type="dxa"/>
            <w:tcBorders>
              <w:top w:val="single" w:sz="4" w:space="0" w:color="auto"/>
              <w:left w:val="nil"/>
              <w:bottom w:val="single" w:sz="12" w:space="0" w:color="auto"/>
              <w:right w:val="nil"/>
            </w:tcBorders>
            <w:shd w:val="clear" w:color="auto" w:fill="auto"/>
          </w:tcPr>
          <w:p w14:paraId="119D01EF"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 </w:t>
            </w:r>
          </w:p>
        </w:tc>
        <w:tc>
          <w:tcPr>
            <w:tcW w:w="1205" w:type="dxa"/>
            <w:tcBorders>
              <w:top w:val="single" w:sz="4" w:space="0" w:color="auto"/>
              <w:left w:val="nil"/>
              <w:bottom w:val="single" w:sz="12" w:space="0" w:color="auto"/>
              <w:right w:val="nil"/>
            </w:tcBorders>
            <w:shd w:val="clear" w:color="auto" w:fill="auto"/>
          </w:tcPr>
          <w:p w14:paraId="4F5FE0ED"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960.541 </w:t>
            </w:r>
          </w:p>
        </w:tc>
        <w:tc>
          <w:tcPr>
            <w:tcW w:w="1205" w:type="dxa"/>
            <w:tcBorders>
              <w:top w:val="single" w:sz="4" w:space="0" w:color="auto"/>
              <w:left w:val="nil"/>
              <w:bottom w:val="single" w:sz="12" w:space="0" w:color="auto"/>
              <w:right w:val="nil"/>
            </w:tcBorders>
            <w:shd w:val="clear" w:color="auto" w:fill="auto"/>
          </w:tcPr>
          <w:p w14:paraId="2C44B94B"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16.634.493 </w:t>
            </w:r>
          </w:p>
        </w:tc>
        <w:tc>
          <w:tcPr>
            <w:tcW w:w="1205" w:type="dxa"/>
            <w:tcBorders>
              <w:top w:val="single" w:sz="4" w:space="0" w:color="auto"/>
              <w:left w:val="nil"/>
              <w:bottom w:val="single" w:sz="12" w:space="0" w:color="auto"/>
              <w:right w:val="nil"/>
            </w:tcBorders>
            <w:shd w:val="clear" w:color="auto" w:fill="auto"/>
          </w:tcPr>
          <w:p w14:paraId="638539E0"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17.595.034 </w:t>
            </w:r>
          </w:p>
        </w:tc>
        <w:tc>
          <w:tcPr>
            <w:tcW w:w="1706" w:type="dxa"/>
            <w:tcBorders>
              <w:top w:val="single" w:sz="4" w:space="0" w:color="auto"/>
              <w:left w:val="nil"/>
              <w:bottom w:val="single" w:sz="12" w:space="0" w:color="auto"/>
              <w:right w:val="nil"/>
            </w:tcBorders>
            <w:shd w:val="clear" w:color="auto" w:fill="auto"/>
          </w:tcPr>
          <w:p w14:paraId="090A3918" w14:textId="77777777" w:rsidR="004E2F51" w:rsidRPr="00BA5ECE" w:rsidRDefault="004E2F51" w:rsidP="00E032FC">
            <w:pPr>
              <w:tabs>
                <w:tab w:val="right" w:pos="1202"/>
              </w:tabs>
              <w:spacing w:line="301" w:lineRule="exact"/>
              <w:jc w:val="right"/>
              <w:outlineLvl w:val="0"/>
              <w:rPr>
                <w:rFonts w:ascii="Arial" w:hAnsi="Arial" w:cs="Arial"/>
                <w:b/>
                <w:bCs/>
                <w:color w:val="000000" w:themeColor="text1"/>
                <w:sz w:val="18"/>
                <w:szCs w:val="18"/>
                <w:lang w:val="hr-HR"/>
              </w:rPr>
            </w:pPr>
            <w:r w:rsidRPr="00BA5ECE">
              <w:rPr>
                <w:rFonts w:ascii="Arial" w:hAnsi="Arial" w:cs="Arial"/>
                <w:b/>
                <w:bCs/>
                <w:sz w:val="18"/>
                <w:szCs w:val="18"/>
              </w:rPr>
              <w:t xml:space="preserve"> 17.075.778 </w:t>
            </w:r>
          </w:p>
        </w:tc>
      </w:tr>
    </w:tbl>
    <w:p w14:paraId="07EAC6C3" w14:textId="77777777" w:rsidR="004E2F51" w:rsidRPr="00B91D09" w:rsidRDefault="004E2F51" w:rsidP="004E2F51">
      <w:pPr>
        <w:pStyle w:val="T1"/>
        <w:spacing w:before="0" w:after="0" w:line="240" w:lineRule="auto"/>
        <w:rPr>
          <w:rFonts w:cs="Arial"/>
          <w:bCs w:val="0"/>
          <w:color w:val="000000" w:themeColor="text1"/>
          <w:spacing w:val="-3"/>
          <w:sz w:val="22"/>
          <w:szCs w:val="22"/>
          <w:lang w:val="hr-HR"/>
        </w:rPr>
        <w:sectPr w:rsidR="004E2F51" w:rsidRPr="00B91D09" w:rsidSect="00623DBA">
          <w:footerReference w:type="default" r:id="rId228"/>
          <w:pgSz w:w="11907" w:h="16840" w:code="9"/>
          <w:pgMar w:top="1418" w:right="1134" w:bottom="1134" w:left="1418" w:header="851" w:footer="851" w:gutter="0"/>
          <w:cols w:space="720"/>
          <w:noEndnote/>
        </w:sectPr>
      </w:pPr>
    </w:p>
    <w:p w14:paraId="54D7D7FE" w14:textId="77777777" w:rsidR="004E2F51" w:rsidRPr="00C6554C" w:rsidRDefault="004E2F51" w:rsidP="004E2F51">
      <w:pPr>
        <w:pStyle w:val="T1"/>
        <w:spacing w:before="0" w:after="0" w:line="240" w:lineRule="auto"/>
        <w:ind w:left="709" w:hanging="709"/>
        <w:rPr>
          <w:rFonts w:cs="Arial"/>
          <w:bCs w:val="0"/>
          <w:color w:val="000000" w:themeColor="text1"/>
          <w:spacing w:val="-3"/>
          <w:sz w:val="20"/>
          <w:lang w:val="hr-HR"/>
        </w:rPr>
      </w:pPr>
    </w:p>
    <w:p w14:paraId="77860B1B" w14:textId="77777777" w:rsidR="004E2F51" w:rsidRPr="00C6554C" w:rsidRDefault="004E2F51" w:rsidP="004E2F51">
      <w:pPr>
        <w:jc w:val="both"/>
        <w:rPr>
          <w:rFonts w:ascii="Arial" w:hAnsi="Arial" w:cs="Arial"/>
          <w:b/>
          <w:color w:val="000000" w:themeColor="text1"/>
          <w:sz w:val="20"/>
          <w:szCs w:val="20"/>
          <w:lang w:val="hr-HR"/>
        </w:rPr>
      </w:pPr>
      <w:r w:rsidRPr="00C6554C">
        <w:rPr>
          <w:rFonts w:ascii="Arial" w:hAnsi="Arial" w:cs="Arial"/>
          <w:b/>
          <w:color w:val="000000" w:themeColor="text1"/>
          <w:spacing w:val="-3"/>
          <w:sz w:val="20"/>
          <w:szCs w:val="20"/>
          <w:lang w:val="hr-HR"/>
        </w:rPr>
        <w:t>3</w:t>
      </w:r>
      <w:r>
        <w:rPr>
          <w:rFonts w:ascii="Arial" w:hAnsi="Arial" w:cs="Arial"/>
          <w:b/>
          <w:color w:val="000000" w:themeColor="text1"/>
          <w:spacing w:val="-3"/>
          <w:sz w:val="20"/>
          <w:szCs w:val="20"/>
          <w:lang w:val="hr-HR"/>
        </w:rPr>
        <w:t>3</w:t>
      </w:r>
      <w:r w:rsidRPr="00C6554C">
        <w:rPr>
          <w:rFonts w:ascii="Arial" w:hAnsi="Arial" w:cs="Arial"/>
          <w:b/>
          <w:color w:val="000000" w:themeColor="text1"/>
          <w:spacing w:val="-3"/>
          <w:sz w:val="20"/>
          <w:szCs w:val="20"/>
          <w:lang w:val="hr-HR"/>
        </w:rPr>
        <w:t xml:space="preserve">. </w:t>
      </w:r>
      <w:r w:rsidRPr="00C6554C">
        <w:rPr>
          <w:rFonts w:ascii="Arial" w:hAnsi="Arial" w:cs="Arial"/>
          <w:b/>
          <w:color w:val="000000" w:themeColor="text1"/>
          <w:spacing w:val="-3"/>
          <w:sz w:val="20"/>
          <w:szCs w:val="20"/>
          <w:lang w:val="hr-HR"/>
        </w:rPr>
        <w:tab/>
      </w:r>
      <w:r w:rsidRPr="00C6554C">
        <w:rPr>
          <w:rFonts w:ascii="Arial" w:hAnsi="Arial" w:cs="Arial"/>
          <w:b/>
          <w:color w:val="000000" w:themeColor="text1"/>
          <w:sz w:val="20"/>
          <w:szCs w:val="20"/>
          <w:lang w:val="hr-HR"/>
        </w:rPr>
        <w:t>Izvještavanje po segmentima</w:t>
      </w:r>
    </w:p>
    <w:p w14:paraId="6C64F0DC" w14:textId="77777777" w:rsidR="004E2F51" w:rsidRPr="00C6554C" w:rsidRDefault="004E2F51" w:rsidP="004E2F51">
      <w:pPr>
        <w:jc w:val="both"/>
        <w:rPr>
          <w:rFonts w:ascii="Arial" w:hAnsi="Arial" w:cs="Arial"/>
          <w:b/>
          <w:color w:val="000000" w:themeColor="text1"/>
          <w:sz w:val="20"/>
          <w:szCs w:val="20"/>
          <w:lang w:val="hr-HR"/>
        </w:rPr>
      </w:pPr>
    </w:p>
    <w:p w14:paraId="7779110B" w14:textId="77777777" w:rsidR="004E2F51" w:rsidRPr="00C6554C" w:rsidRDefault="004E2F51" w:rsidP="004E2F51">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 xml:space="preserve">Osnovne informacije o segmentima su predstavljene u odnosu na poslovne segmente Grupe. </w:t>
      </w:r>
    </w:p>
    <w:p w14:paraId="7A8FCD33" w14:textId="77777777" w:rsidR="004E2F51" w:rsidRPr="00C6554C" w:rsidRDefault="004E2F51" w:rsidP="004E2F51">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Kako Grupa ne raspoređuje administrativne troškove i kapital i rezerve po segmentima, nije prikazana profitabilnost segmenata.</w:t>
      </w:r>
    </w:p>
    <w:p w14:paraId="79C0279E" w14:textId="77777777" w:rsidR="004E2F51" w:rsidRPr="00C6554C" w:rsidRDefault="004E2F51" w:rsidP="004E2F51">
      <w:pPr>
        <w:jc w:val="both"/>
        <w:rPr>
          <w:rFonts w:ascii="Arial" w:hAnsi="Arial" w:cs="Arial"/>
          <w:color w:val="000000" w:themeColor="text1"/>
          <w:sz w:val="20"/>
          <w:szCs w:val="20"/>
          <w:lang w:val="hr-HR"/>
        </w:rPr>
      </w:pPr>
    </w:p>
    <w:p w14:paraId="5BBCCF9C" w14:textId="77777777" w:rsidR="004E2F51" w:rsidRPr="00C6554C" w:rsidRDefault="004E2F51" w:rsidP="004E2F51">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 xml:space="preserve">Imovina i obveze po segmentima iskazani su neto, tj. bruto nakon umanjenja vrijednosti i rezerviranja, a prije uzimanja u obzir primljenih kolaterala.  </w:t>
      </w:r>
    </w:p>
    <w:p w14:paraId="75756D35" w14:textId="77777777" w:rsidR="004E2F51" w:rsidRPr="00C6554C" w:rsidRDefault="004E2F51" w:rsidP="004E2F51">
      <w:pPr>
        <w:jc w:val="both"/>
        <w:rPr>
          <w:rFonts w:ascii="Arial" w:hAnsi="Arial" w:cs="Arial"/>
          <w:color w:val="000000" w:themeColor="text1"/>
          <w:sz w:val="20"/>
          <w:szCs w:val="20"/>
          <w:lang w:val="hr-HR"/>
        </w:rPr>
      </w:pPr>
    </w:p>
    <w:p w14:paraId="34EB8CC8" w14:textId="77777777" w:rsidR="004E2F51" w:rsidRPr="00C6554C" w:rsidRDefault="004E2F51" w:rsidP="004E2F51">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Poslovanje segmenata je organizacijski i upravljački odvojeno i svaki segment predstavlja cjelinu koja pruža različite proizvode i usluge i posluje na različitim tržištima.</w:t>
      </w:r>
    </w:p>
    <w:p w14:paraId="4B849851" w14:textId="77777777" w:rsidR="004E2F51" w:rsidRPr="00C6554C" w:rsidRDefault="004E2F51" w:rsidP="004E2F51">
      <w:pPr>
        <w:jc w:val="both"/>
        <w:rPr>
          <w:rFonts w:ascii="Arial" w:hAnsi="Arial" w:cs="Arial"/>
          <w:color w:val="000000" w:themeColor="text1"/>
          <w:sz w:val="20"/>
          <w:szCs w:val="20"/>
          <w:lang w:val="hr-HR"/>
        </w:rPr>
      </w:pPr>
    </w:p>
    <w:p w14:paraId="38D43617" w14:textId="77777777" w:rsidR="004E2F51" w:rsidRPr="00C6554C" w:rsidRDefault="004E2F51" w:rsidP="004E2F51">
      <w:pPr>
        <w:jc w:val="both"/>
        <w:rPr>
          <w:rFonts w:ascii="Arial" w:hAnsi="Arial" w:cs="Arial"/>
          <w:b/>
          <w:color w:val="000000" w:themeColor="text1"/>
          <w:sz w:val="20"/>
          <w:szCs w:val="20"/>
          <w:lang w:val="hr-HR"/>
        </w:rPr>
      </w:pPr>
      <w:r w:rsidRPr="00C6554C">
        <w:rPr>
          <w:rFonts w:ascii="Arial" w:hAnsi="Arial" w:cs="Arial"/>
          <w:b/>
          <w:color w:val="000000" w:themeColor="text1"/>
          <w:sz w:val="20"/>
          <w:szCs w:val="20"/>
          <w:lang w:val="hr-HR"/>
        </w:rPr>
        <w:t>Poslovni segmenti:</w:t>
      </w:r>
    </w:p>
    <w:p w14:paraId="402BE1F4" w14:textId="77777777" w:rsidR="004E2F51" w:rsidRPr="00C6554C" w:rsidRDefault="004E2F51" w:rsidP="004E2F51">
      <w:pPr>
        <w:jc w:val="both"/>
        <w:rPr>
          <w:rFonts w:ascii="Arial" w:hAnsi="Arial" w:cs="Arial"/>
          <w:b/>
          <w:color w:val="000000" w:themeColor="text1"/>
          <w:sz w:val="20"/>
          <w:szCs w:val="20"/>
          <w:lang w:val="hr-HR"/>
        </w:rPr>
      </w:pPr>
    </w:p>
    <w:p w14:paraId="6E88200F" w14:textId="77777777" w:rsidR="004E2F51" w:rsidRPr="00C6554C" w:rsidRDefault="004E2F51" w:rsidP="004E2F51">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Grupa ima sljedeće poslovne segmente:</w:t>
      </w:r>
    </w:p>
    <w:tbl>
      <w:tblPr>
        <w:tblW w:w="0" w:type="auto"/>
        <w:tblLook w:val="01E0" w:firstRow="1" w:lastRow="1" w:firstColumn="1" w:lastColumn="1" w:noHBand="0" w:noVBand="0"/>
      </w:tblPr>
      <w:tblGrid>
        <w:gridCol w:w="3528"/>
        <w:gridCol w:w="236"/>
        <w:gridCol w:w="5524"/>
      </w:tblGrid>
      <w:tr w:rsidR="004E2F51" w:rsidRPr="00C6554C" w14:paraId="38550759" w14:textId="77777777" w:rsidTr="00E032FC">
        <w:trPr>
          <w:trHeight w:val="153"/>
        </w:trPr>
        <w:tc>
          <w:tcPr>
            <w:tcW w:w="3528" w:type="dxa"/>
            <w:shd w:val="clear" w:color="auto" w:fill="auto"/>
          </w:tcPr>
          <w:p w14:paraId="7742D828" w14:textId="77777777" w:rsidR="004E2F51" w:rsidRPr="00C6554C" w:rsidRDefault="004E2F51" w:rsidP="00E032FC">
            <w:pPr>
              <w:jc w:val="both"/>
              <w:rPr>
                <w:rFonts w:ascii="Arial" w:hAnsi="Arial" w:cs="Arial"/>
                <w:b/>
                <w:color w:val="000000" w:themeColor="text1"/>
                <w:sz w:val="20"/>
                <w:szCs w:val="20"/>
                <w:lang w:val="hr-HR"/>
              </w:rPr>
            </w:pPr>
            <w:r w:rsidRPr="00C6554C">
              <w:rPr>
                <w:rFonts w:ascii="Arial" w:hAnsi="Arial" w:cs="Arial"/>
                <w:b/>
                <w:color w:val="000000" w:themeColor="text1"/>
                <w:sz w:val="20"/>
                <w:szCs w:val="20"/>
                <w:lang w:val="hr-HR"/>
              </w:rPr>
              <w:t>Segment:</w:t>
            </w:r>
          </w:p>
        </w:tc>
        <w:tc>
          <w:tcPr>
            <w:tcW w:w="236" w:type="dxa"/>
            <w:shd w:val="clear" w:color="auto" w:fill="auto"/>
          </w:tcPr>
          <w:p w14:paraId="5A6B6859" w14:textId="77777777" w:rsidR="004E2F51" w:rsidRPr="00C6554C" w:rsidRDefault="004E2F51" w:rsidP="00E032FC">
            <w:pPr>
              <w:jc w:val="both"/>
              <w:rPr>
                <w:rFonts w:ascii="Arial" w:hAnsi="Arial" w:cs="Arial"/>
                <w:b/>
                <w:color w:val="000000" w:themeColor="text1"/>
                <w:sz w:val="20"/>
                <w:szCs w:val="20"/>
                <w:lang w:val="hr-HR"/>
              </w:rPr>
            </w:pPr>
          </w:p>
        </w:tc>
        <w:tc>
          <w:tcPr>
            <w:tcW w:w="5524" w:type="dxa"/>
            <w:shd w:val="clear" w:color="auto" w:fill="auto"/>
          </w:tcPr>
          <w:p w14:paraId="658EF4DF" w14:textId="77777777" w:rsidR="004E2F51" w:rsidRPr="00C6554C" w:rsidRDefault="004E2F51" w:rsidP="00E032FC">
            <w:pPr>
              <w:pStyle w:val="NormalWeb"/>
              <w:spacing w:before="0" w:beforeAutospacing="0" w:after="0" w:afterAutospacing="0"/>
              <w:jc w:val="both"/>
              <w:rPr>
                <w:rFonts w:ascii="Arial" w:hAnsi="Arial" w:cs="Arial"/>
                <w:b/>
                <w:color w:val="000000" w:themeColor="text1"/>
                <w:sz w:val="20"/>
                <w:szCs w:val="20"/>
                <w:lang w:val="hr-HR"/>
              </w:rPr>
            </w:pPr>
            <w:r w:rsidRPr="00C6554C">
              <w:rPr>
                <w:rFonts w:ascii="Arial" w:hAnsi="Arial" w:cs="Arial"/>
                <w:b/>
                <w:color w:val="000000" w:themeColor="text1"/>
                <w:sz w:val="20"/>
                <w:szCs w:val="20"/>
                <w:lang w:val="hr-HR"/>
              </w:rPr>
              <w:t>Poslovne aktivnosti segmenta uključuju:</w:t>
            </w:r>
          </w:p>
        </w:tc>
      </w:tr>
      <w:tr w:rsidR="004E2F51" w:rsidRPr="00C6554C" w14:paraId="494C85DB" w14:textId="77777777" w:rsidTr="00E032FC">
        <w:tc>
          <w:tcPr>
            <w:tcW w:w="3528" w:type="dxa"/>
            <w:shd w:val="clear" w:color="auto" w:fill="auto"/>
          </w:tcPr>
          <w:p w14:paraId="3107B03C" w14:textId="77777777" w:rsidR="004E2F51" w:rsidRPr="00C6554C" w:rsidRDefault="004E2F51" w:rsidP="00E032FC">
            <w:pPr>
              <w:jc w:val="both"/>
              <w:rPr>
                <w:rFonts w:ascii="Arial" w:hAnsi="Arial" w:cs="Arial"/>
                <w:color w:val="000000" w:themeColor="text1"/>
                <w:sz w:val="20"/>
                <w:szCs w:val="20"/>
                <w:lang w:val="hr-HR"/>
              </w:rPr>
            </w:pPr>
          </w:p>
        </w:tc>
        <w:tc>
          <w:tcPr>
            <w:tcW w:w="236" w:type="dxa"/>
            <w:shd w:val="clear" w:color="auto" w:fill="auto"/>
          </w:tcPr>
          <w:p w14:paraId="0F00AB8B" w14:textId="77777777" w:rsidR="004E2F51" w:rsidRPr="00C6554C" w:rsidRDefault="004E2F51" w:rsidP="00E032FC">
            <w:pPr>
              <w:jc w:val="both"/>
              <w:rPr>
                <w:rFonts w:ascii="Arial" w:hAnsi="Arial" w:cs="Arial"/>
                <w:color w:val="000000" w:themeColor="text1"/>
                <w:sz w:val="20"/>
                <w:szCs w:val="20"/>
                <w:lang w:val="hr-HR"/>
              </w:rPr>
            </w:pPr>
          </w:p>
        </w:tc>
        <w:tc>
          <w:tcPr>
            <w:tcW w:w="5524" w:type="dxa"/>
            <w:shd w:val="clear" w:color="auto" w:fill="auto"/>
          </w:tcPr>
          <w:p w14:paraId="27C19A63" w14:textId="77777777" w:rsidR="004E2F51" w:rsidRPr="00C6554C" w:rsidRDefault="004E2F51" w:rsidP="00E032FC">
            <w:pPr>
              <w:pStyle w:val="NormalWeb"/>
              <w:spacing w:before="0" w:beforeAutospacing="0" w:after="0" w:afterAutospacing="0"/>
              <w:jc w:val="both"/>
              <w:rPr>
                <w:rFonts w:ascii="Arial" w:hAnsi="Arial" w:cs="Arial"/>
                <w:color w:val="000000" w:themeColor="text1"/>
                <w:sz w:val="20"/>
                <w:szCs w:val="20"/>
                <w:lang w:val="hr-HR"/>
              </w:rPr>
            </w:pPr>
          </w:p>
        </w:tc>
      </w:tr>
      <w:tr w:rsidR="004E2F51" w:rsidRPr="0002282A" w14:paraId="15647D3F" w14:textId="77777777" w:rsidTr="00E032FC">
        <w:tc>
          <w:tcPr>
            <w:tcW w:w="3528" w:type="dxa"/>
            <w:shd w:val="clear" w:color="auto" w:fill="auto"/>
          </w:tcPr>
          <w:p w14:paraId="17B7FDC0" w14:textId="77777777" w:rsidR="004E2F51" w:rsidRPr="00C6554C" w:rsidRDefault="004E2F51" w:rsidP="00E032FC">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Bankarske aktivnosti</w:t>
            </w:r>
          </w:p>
        </w:tc>
        <w:tc>
          <w:tcPr>
            <w:tcW w:w="236" w:type="dxa"/>
            <w:shd w:val="clear" w:color="auto" w:fill="auto"/>
          </w:tcPr>
          <w:p w14:paraId="088E6467" w14:textId="77777777" w:rsidR="004E2F51" w:rsidRPr="00C6554C" w:rsidRDefault="004E2F51" w:rsidP="00E032FC">
            <w:pPr>
              <w:jc w:val="both"/>
              <w:rPr>
                <w:rFonts w:ascii="Arial" w:hAnsi="Arial" w:cs="Arial"/>
                <w:color w:val="000000" w:themeColor="text1"/>
                <w:sz w:val="20"/>
                <w:szCs w:val="20"/>
                <w:lang w:val="hr-HR"/>
              </w:rPr>
            </w:pPr>
          </w:p>
        </w:tc>
        <w:tc>
          <w:tcPr>
            <w:tcW w:w="5524" w:type="dxa"/>
            <w:shd w:val="clear" w:color="auto" w:fill="auto"/>
          </w:tcPr>
          <w:p w14:paraId="59AE78FE" w14:textId="77777777" w:rsidR="004E2F51" w:rsidRPr="00C6554C" w:rsidRDefault="004E2F51" w:rsidP="00E032FC">
            <w:pPr>
              <w:pStyle w:val="NormalWeb"/>
              <w:spacing w:before="0" w:beforeAutospacing="0" w:after="0" w:afterAutospacing="0"/>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 xml:space="preserve">financiranje obnove i razvitka hrvatskoga gospodarstva, financiranje infrastrukture, poticanje izvoza, potporu razvitku malog i srednjeg poduzetništva, poticanje zaštite okoliša, kao i osiguranje izvoza hrvatskih roba i usluga od netržišnih rizika u ime i za račun Republike Hrvatske. </w:t>
            </w:r>
          </w:p>
        </w:tc>
      </w:tr>
      <w:tr w:rsidR="004E2F51" w:rsidRPr="0002282A" w14:paraId="63058476" w14:textId="77777777" w:rsidTr="00E032FC">
        <w:tc>
          <w:tcPr>
            <w:tcW w:w="3528" w:type="dxa"/>
            <w:shd w:val="clear" w:color="auto" w:fill="auto"/>
          </w:tcPr>
          <w:p w14:paraId="4B258C9D" w14:textId="77777777" w:rsidR="004E2F51" w:rsidRPr="00C6554C" w:rsidRDefault="004E2F51" w:rsidP="00E032FC">
            <w:pPr>
              <w:jc w:val="both"/>
              <w:rPr>
                <w:rFonts w:ascii="Arial" w:hAnsi="Arial" w:cs="Arial"/>
                <w:color w:val="000000" w:themeColor="text1"/>
                <w:sz w:val="20"/>
                <w:szCs w:val="20"/>
                <w:lang w:val="hr-HR"/>
              </w:rPr>
            </w:pPr>
          </w:p>
        </w:tc>
        <w:tc>
          <w:tcPr>
            <w:tcW w:w="236" w:type="dxa"/>
            <w:shd w:val="clear" w:color="auto" w:fill="auto"/>
          </w:tcPr>
          <w:p w14:paraId="7A903BBF" w14:textId="77777777" w:rsidR="004E2F51" w:rsidRPr="00C6554C" w:rsidRDefault="004E2F51" w:rsidP="00E032FC">
            <w:pPr>
              <w:jc w:val="both"/>
              <w:rPr>
                <w:rFonts w:ascii="Arial" w:hAnsi="Arial" w:cs="Arial"/>
                <w:color w:val="000000" w:themeColor="text1"/>
                <w:sz w:val="20"/>
                <w:szCs w:val="20"/>
                <w:lang w:val="hr-HR"/>
              </w:rPr>
            </w:pPr>
          </w:p>
        </w:tc>
        <w:tc>
          <w:tcPr>
            <w:tcW w:w="5524" w:type="dxa"/>
            <w:shd w:val="clear" w:color="auto" w:fill="auto"/>
          </w:tcPr>
          <w:p w14:paraId="0A5110FE" w14:textId="77777777" w:rsidR="004E2F51" w:rsidRPr="00C6554C" w:rsidRDefault="004E2F51" w:rsidP="00E032FC">
            <w:pPr>
              <w:jc w:val="both"/>
              <w:rPr>
                <w:rFonts w:ascii="Arial" w:hAnsi="Arial" w:cs="Arial"/>
                <w:color w:val="000000" w:themeColor="text1"/>
                <w:sz w:val="20"/>
                <w:szCs w:val="20"/>
                <w:lang w:val="hr-HR"/>
              </w:rPr>
            </w:pPr>
          </w:p>
        </w:tc>
      </w:tr>
      <w:tr w:rsidR="004E2F51" w:rsidRPr="0002282A" w14:paraId="46288F2C" w14:textId="77777777" w:rsidTr="00E032FC">
        <w:tc>
          <w:tcPr>
            <w:tcW w:w="3528" w:type="dxa"/>
            <w:shd w:val="clear" w:color="auto" w:fill="auto"/>
          </w:tcPr>
          <w:p w14:paraId="65B798CD" w14:textId="77777777" w:rsidR="004E2F51" w:rsidRPr="00C6554C" w:rsidRDefault="004E2F51" w:rsidP="00E032FC">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Osiguravateljske aktivnosti</w:t>
            </w:r>
          </w:p>
        </w:tc>
        <w:tc>
          <w:tcPr>
            <w:tcW w:w="236" w:type="dxa"/>
            <w:shd w:val="clear" w:color="auto" w:fill="auto"/>
          </w:tcPr>
          <w:p w14:paraId="4F6DECEE" w14:textId="77777777" w:rsidR="004E2F51" w:rsidRPr="00C6554C" w:rsidRDefault="004E2F51" w:rsidP="00E032FC">
            <w:pPr>
              <w:jc w:val="both"/>
              <w:rPr>
                <w:rFonts w:ascii="Arial" w:hAnsi="Arial" w:cs="Arial"/>
                <w:color w:val="000000" w:themeColor="text1"/>
                <w:sz w:val="20"/>
                <w:szCs w:val="20"/>
                <w:lang w:val="hr-HR"/>
              </w:rPr>
            </w:pPr>
          </w:p>
        </w:tc>
        <w:tc>
          <w:tcPr>
            <w:tcW w:w="5524" w:type="dxa"/>
            <w:shd w:val="clear" w:color="auto" w:fill="auto"/>
          </w:tcPr>
          <w:p w14:paraId="472734FC" w14:textId="77777777" w:rsidR="004E2F51" w:rsidRPr="00C6554C" w:rsidRDefault="004E2F51" w:rsidP="00E032FC">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 xml:space="preserve">osiguravanje inozemnih i domaćih kratkoročnih potraživanja poslovnih subjekata vezanih za isporuke roba i usluga </w:t>
            </w:r>
          </w:p>
        </w:tc>
      </w:tr>
      <w:tr w:rsidR="004E2F51" w:rsidRPr="0002282A" w14:paraId="1CEF916B" w14:textId="77777777" w:rsidTr="00E032FC">
        <w:tc>
          <w:tcPr>
            <w:tcW w:w="3528" w:type="dxa"/>
            <w:shd w:val="clear" w:color="auto" w:fill="auto"/>
          </w:tcPr>
          <w:p w14:paraId="1D096CD8" w14:textId="77777777" w:rsidR="004E2F51" w:rsidRPr="00C6554C" w:rsidRDefault="004E2F51" w:rsidP="00E032FC">
            <w:pPr>
              <w:jc w:val="both"/>
              <w:rPr>
                <w:rFonts w:ascii="Arial" w:hAnsi="Arial" w:cs="Arial"/>
                <w:color w:val="000000" w:themeColor="text1"/>
                <w:sz w:val="20"/>
                <w:szCs w:val="20"/>
                <w:lang w:val="hr-HR"/>
              </w:rPr>
            </w:pPr>
          </w:p>
        </w:tc>
        <w:tc>
          <w:tcPr>
            <w:tcW w:w="236" w:type="dxa"/>
            <w:shd w:val="clear" w:color="auto" w:fill="auto"/>
          </w:tcPr>
          <w:p w14:paraId="0DA1567D" w14:textId="77777777" w:rsidR="004E2F51" w:rsidRPr="00C6554C" w:rsidRDefault="004E2F51" w:rsidP="00E032FC">
            <w:pPr>
              <w:jc w:val="both"/>
              <w:rPr>
                <w:rFonts w:ascii="Arial" w:hAnsi="Arial" w:cs="Arial"/>
                <w:color w:val="000000" w:themeColor="text1"/>
                <w:sz w:val="20"/>
                <w:szCs w:val="20"/>
                <w:lang w:val="hr-HR"/>
              </w:rPr>
            </w:pPr>
          </w:p>
        </w:tc>
        <w:tc>
          <w:tcPr>
            <w:tcW w:w="5524" w:type="dxa"/>
            <w:shd w:val="clear" w:color="auto" w:fill="auto"/>
          </w:tcPr>
          <w:p w14:paraId="017FBFD9" w14:textId="77777777" w:rsidR="004E2F51" w:rsidRPr="00C6554C" w:rsidRDefault="004E2F51" w:rsidP="00E032FC">
            <w:pPr>
              <w:jc w:val="both"/>
              <w:rPr>
                <w:rFonts w:ascii="Arial" w:hAnsi="Arial" w:cs="Arial"/>
                <w:color w:val="000000" w:themeColor="text1"/>
                <w:sz w:val="20"/>
                <w:szCs w:val="20"/>
                <w:lang w:val="hr-HR"/>
              </w:rPr>
            </w:pPr>
          </w:p>
        </w:tc>
      </w:tr>
      <w:tr w:rsidR="004E2F51" w:rsidRPr="0002282A" w14:paraId="551854B4" w14:textId="77777777" w:rsidTr="00E032FC">
        <w:tc>
          <w:tcPr>
            <w:tcW w:w="3528" w:type="dxa"/>
            <w:shd w:val="clear" w:color="auto" w:fill="auto"/>
          </w:tcPr>
          <w:p w14:paraId="2DAA8872" w14:textId="77777777" w:rsidR="004E2F51" w:rsidRPr="00C6554C" w:rsidRDefault="004E2F51" w:rsidP="00E032FC">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Ostalo</w:t>
            </w:r>
          </w:p>
        </w:tc>
        <w:tc>
          <w:tcPr>
            <w:tcW w:w="236" w:type="dxa"/>
            <w:shd w:val="clear" w:color="auto" w:fill="auto"/>
          </w:tcPr>
          <w:p w14:paraId="024142D7" w14:textId="77777777" w:rsidR="004E2F51" w:rsidRPr="00C6554C" w:rsidRDefault="004E2F51" w:rsidP="00E032FC">
            <w:pPr>
              <w:jc w:val="both"/>
              <w:rPr>
                <w:rFonts w:ascii="Arial" w:hAnsi="Arial" w:cs="Arial"/>
                <w:color w:val="000000" w:themeColor="text1"/>
                <w:sz w:val="20"/>
                <w:szCs w:val="20"/>
                <w:lang w:val="hr-HR"/>
              </w:rPr>
            </w:pPr>
          </w:p>
        </w:tc>
        <w:tc>
          <w:tcPr>
            <w:tcW w:w="5524" w:type="dxa"/>
            <w:shd w:val="clear" w:color="auto" w:fill="auto"/>
          </w:tcPr>
          <w:p w14:paraId="1CADDD87" w14:textId="77777777" w:rsidR="004E2F51" w:rsidRPr="00C6554C" w:rsidRDefault="004E2F51" w:rsidP="00E032FC">
            <w:pPr>
              <w:jc w:val="both"/>
              <w:rPr>
                <w:rFonts w:ascii="Arial" w:hAnsi="Arial" w:cs="Arial"/>
                <w:color w:val="000000" w:themeColor="text1"/>
                <w:sz w:val="20"/>
                <w:szCs w:val="20"/>
                <w:lang w:val="hr-HR"/>
              </w:rPr>
            </w:pPr>
            <w:r w:rsidRPr="00C6554C">
              <w:rPr>
                <w:rFonts w:ascii="Arial" w:hAnsi="Arial" w:cs="Arial"/>
                <w:color w:val="000000" w:themeColor="text1"/>
                <w:sz w:val="20"/>
                <w:szCs w:val="20"/>
                <w:lang w:val="hr-HR"/>
              </w:rPr>
              <w:t xml:space="preserve">izrade analiza, procjena kreditnih rizika i pružanje informacija o kreditnoj sposobnosti </w:t>
            </w:r>
          </w:p>
        </w:tc>
      </w:tr>
    </w:tbl>
    <w:p w14:paraId="21766F9F" w14:textId="77777777" w:rsidR="004E2F51" w:rsidRPr="00C6554C" w:rsidRDefault="004E2F51" w:rsidP="004E2F51">
      <w:pPr>
        <w:spacing w:before="120" w:line="300" w:lineRule="exact"/>
        <w:jc w:val="both"/>
        <w:rPr>
          <w:rFonts w:ascii="Arial" w:hAnsi="Arial" w:cs="Arial"/>
          <w:color w:val="000000" w:themeColor="text1"/>
          <w:sz w:val="20"/>
          <w:szCs w:val="20"/>
          <w:lang w:val="hr-HR"/>
        </w:rPr>
      </w:pPr>
    </w:p>
    <w:p w14:paraId="57A4EA0C" w14:textId="77777777" w:rsidR="004E2F51" w:rsidRPr="00B91D09" w:rsidRDefault="004E2F51" w:rsidP="004E2F51">
      <w:pPr>
        <w:spacing w:before="120" w:line="300" w:lineRule="exact"/>
        <w:jc w:val="both"/>
        <w:rPr>
          <w:rFonts w:ascii="Arial" w:hAnsi="Arial" w:cs="Arial"/>
          <w:color w:val="000000" w:themeColor="text1"/>
          <w:sz w:val="22"/>
          <w:szCs w:val="22"/>
          <w:lang w:val="hr-HR"/>
        </w:rPr>
        <w:sectPr w:rsidR="004E2F51" w:rsidRPr="00B91D09" w:rsidSect="00623DBA">
          <w:footerReference w:type="default" r:id="rId229"/>
          <w:pgSz w:w="11907" w:h="16840" w:code="9"/>
          <w:pgMar w:top="1418" w:right="1134" w:bottom="1134" w:left="1418" w:header="851" w:footer="851" w:gutter="0"/>
          <w:cols w:space="720"/>
          <w:noEndnote/>
        </w:sectPr>
      </w:pPr>
    </w:p>
    <w:p w14:paraId="6CB3AC8B" w14:textId="77777777" w:rsidR="004E2F51" w:rsidRPr="003014A0" w:rsidRDefault="004E2F51" w:rsidP="004E2F51">
      <w:pPr>
        <w:jc w:val="both"/>
        <w:rPr>
          <w:rFonts w:ascii="Arial" w:hAnsi="Arial" w:cs="Arial"/>
          <w:b/>
          <w:color w:val="000000" w:themeColor="text1"/>
          <w:spacing w:val="-3"/>
          <w:sz w:val="20"/>
          <w:szCs w:val="20"/>
          <w:lang w:val="hr-HR"/>
        </w:rPr>
      </w:pPr>
    </w:p>
    <w:p w14:paraId="43EF36B3" w14:textId="77777777" w:rsidR="004E2F51" w:rsidRPr="003014A0" w:rsidRDefault="004E2F51" w:rsidP="004E2F51">
      <w:pPr>
        <w:jc w:val="both"/>
        <w:rPr>
          <w:rFonts w:ascii="Arial" w:hAnsi="Arial" w:cs="Arial"/>
          <w:b/>
          <w:color w:val="000000" w:themeColor="text1"/>
          <w:sz w:val="20"/>
          <w:szCs w:val="20"/>
          <w:lang w:val="hr-HR"/>
        </w:rPr>
      </w:pPr>
      <w:bookmarkStart w:id="2065" w:name="_Hlk3804134"/>
      <w:r w:rsidRPr="003014A0">
        <w:rPr>
          <w:rFonts w:ascii="Arial" w:hAnsi="Arial" w:cs="Arial"/>
          <w:b/>
          <w:color w:val="000000" w:themeColor="text1"/>
          <w:spacing w:val="-3"/>
          <w:sz w:val="20"/>
          <w:szCs w:val="20"/>
          <w:lang w:val="hr-HR"/>
        </w:rPr>
        <w:t>3</w:t>
      </w:r>
      <w:r>
        <w:rPr>
          <w:rFonts w:ascii="Arial" w:hAnsi="Arial" w:cs="Arial"/>
          <w:b/>
          <w:color w:val="000000" w:themeColor="text1"/>
          <w:spacing w:val="-3"/>
          <w:sz w:val="20"/>
          <w:szCs w:val="20"/>
          <w:lang w:val="hr-HR"/>
        </w:rPr>
        <w:t>3</w:t>
      </w:r>
      <w:r w:rsidRPr="003014A0">
        <w:rPr>
          <w:rFonts w:ascii="Arial" w:hAnsi="Arial" w:cs="Arial"/>
          <w:b/>
          <w:color w:val="000000" w:themeColor="text1"/>
          <w:spacing w:val="-3"/>
          <w:sz w:val="20"/>
          <w:szCs w:val="20"/>
          <w:lang w:val="hr-HR"/>
        </w:rPr>
        <w:t xml:space="preserve">. </w:t>
      </w:r>
      <w:r w:rsidRPr="003014A0">
        <w:rPr>
          <w:rFonts w:ascii="Arial" w:hAnsi="Arial" w:cs="Arial"/>
          <w:b/>
          <w:color w:val="000000" w:themeColor="text1"/>
          <w:spacing w:val="-3"/>
          <w:sz w:val="20"/>
          <w:szCs w:val="20"/>
          <w:lang w:val="hr-HR"/>
        </w:rPr>
        <w:tab/>
      </w:r>
      <w:r w:rsidRPr="003014A0">
        <w:rPr>
          <w:rFonts w:ascii="Arial" w:hAnsi="Arial" w:cs="Arial"/>
          <w:b/>
          <w:color w:val="000000" w:themeColor="text1"/>
          <w:sz w:val="20"/>
          <w:szCs w:val="20"/>
          <w:lang w:val="hr-HR"/>
        </w:rPr>
        <w:t>Izvještavanje po segmentima (nastavak)</w:t>
      </w:r>
    </w:p>
    <w:p w14:paraId="4B124193" w14:textId="77777777" w:rsidR="004E2F51" w:rsidRPr="003014A0" w:rsidRDefault="004E2F51" w:rsidP="004E2F51">
      <w:pPr>
        <w:spacing w:before="120" w:line="300" w:lineRule="exact"/>
        <w:jc w:val="both"/>
        <w:rPr>
          <w:rFonts w:ascii="Arial" w:hAnsi="Arial" w:cs="Arial"/>
          <w:b/>
          <w:color w:val="000000" w:themeColor="text1"/>
          <w:sz w:val="20"/>
          <w:szCs w:val="20"/>
          <w:lang w:val="hr-HR"/>
        </w:rPr>
      </w:pPr>
    </w:p>
    <w:tbl>
      <w:tblPr>
        <w:tblpPr w:leftFromText="181" w:rightFromText="181" w:vertAnchor="text" w:horzAnchor="margin" w:tblpXSpec="center" w:tblpY="1"/>
        <w:tblW w:w="9923" w:type="dxa"/>
        <w:tblLayout w:type="fixed"/>
        <w:tblLook w:val="04A0" w:firstRow="1" w:lastRow="0" w:firstColumn="1" w:lastColumn="0" w:noHBand="0" w:noVBand="1"/>
      </w:tblPr>
      <w:tblGrid>
        <w:gridCol w:w="3261"/>
        <w:gridCol w:w="1134"/>
        <w:gridCol w:w="1667"/>
        <w:gridCol w:w="1168"/>
        <w:gridCol w:w="1559"/>
        <w:gridCol w:w="1134"/>
      </w:tblGrid>
      <w:tr w:rsidR="004E2F51" w:rsidRPr="003014A0" w14:paraId="48F3113A" w14:textId="77777777" w:rsidTr="00E032FC">
        <w:trPr>
          <w:trHeight w:val="300"/>
        </w:trPr>
        <w:tc>
          <w:tcPr>
            <w:tcW w:w="3261" w:type="dxa"/>
            <w:tcBorders>
              <w:top w:val="nil"/>
              <w:left w:val="nil"/>
              <w:right w:val="nil"/>
            </w:tcBorders>
            <w:shd w:val="clear" w:color="auto" w:fill="auto"/>
            <w:vAlign w:val="bottom"/>
          </w:tcPr>
          <w:p w14:paraId="166A885C" w14:textId="77777777" w:rsidR="004E2F51" w:rsidRPr="003014A0" w:rsidRDefault="004E2F51" w:rsidP="00E032FC">
            <w:pPr>
              <w:spacing w:line="300" w:lineRule="exact"/>
              <w:rPr>
                <w:rFonts w:ascii="Arial" w:hAnsi="Arial" w:cs="Arial"/>
                <w:b/>
                <w:bCs/>
                <w:color w:val="000000" w:themeColor="text1"/>
                <w:sz w:val="18"/>
                <w:szCs w:val="18"/>
                <w:lang w:val="hr-HR"/>
              </w:rPr>
            </w:pPr>
            <w:bookmarkStart w:id="2066" w:name="_Hlk1989013"/>
          </w:p>
        </w:tc>
        <w:tc>
          <w:tcPr>
            <w:tcW w:w="1134" w:type="dxa"/>
            <w:tcBorders>
              <w:top w:val="nil"/>
              <w:left w:val="nil"/>
              <w:right w:val="nil"/>
            </w:tcBorders>
            <w:shd w:val="clear" w:color="auto" w:fill="auto"/>
            <w:noWrap/>
          </w:tcPr>
          <w:p w14:paraId="0FFDF0BD" w14:textId="77777777" w:rsidR="004E2F51" w:rsidRPr="003014A0" w:rsidRDefault="004E2F51" w:rsidP="00E032FC">
            <w:pPr>
              <w:spacing w:line="300" w:lineRule="exact"/>
              <w:jc w:val="right"/>
              <w:rPr>
                <w:rFonts w:ascii="Arial" w:hAnsi="Arial" w:cs="Arial"/>
                <w:b/>
                <w:color w:val="000000" w:themeColor="text1"/>
                <w:sz w:val="18"/>
                <w:szCs w:val="18"/>
                <w:lang w:val="hr-HR"/>
              </w:rPr>
            </w:pPr>
          </w:p>
        </w:tc>
        <w:tc>
          <w:tcPr>
            <w:tcW w:w="1667" w:type="dxa"/>
            <w:tcBorders>
              <w:top w:val="nil"/>
              <w:left w:val="nil"/>
              <w:right w:val="nil"/>
            </w:tcBorders>
            <w:shd w:val="clear" w:color="auto" w:fill="auto"/>
            <w:noWrap/>
            <w:vAlign w:val="bottom"/>
          </w:tcPr>
          <w:p w14:paraId="1C0948CC" w14:textId="77777777" w:rsidR="004E2F51" w:rsidRPr="003014A0" w:rsidRDefault="004E2F51" w:rsidP="00E032FC">
            <w:pPr>
              <w:spacing w:line="300" w:lineRule="exact"/>
              <w:jc w:val="right"/>
              <w:rPr>
                <w:rFonts w:ascii="Arial" w:hAnsi="Arial" w:cs="Arial"/>
                <w:b/>
                <w:color w:val="000000" w:themeColor="text1"/>
                <w:sz w:val="18"/>
                <w:szCs w:val="18"/>
                <w:lang w:val="hr-HR"/>
              </w:rPr>
            </w:pPr>
          </w:p>
        </w:tc>
        <w:tc>
          <w:tcPr>
            <w:tcW w:w="1168" w:type="dxa"/>
            <w:tcBorders>
              <w:top w:val="nil"/>
              <w:left w:val="nil"/>
              <w:right w:val="nil"/>
            </w:tcBorders>
            <w:shd w:val="clear" w:color="auto" w:fill="auto"/>
            <w:noWrap/>
            <w:vAlign w:val="bottom"/>
          </w:tcPr>
          <w:p w14:paraId="2B3A6E30" w14:textId="77777777" w:rsidR="004E2F51" w:rsidRPr="003014A0" w:rsidRDefault="004E2F51" w:rsidP="00E032FC">
            <w:pPr>
              <w:spacing w:line="300" w:lineRule="exact"/>
              <w:jc w:val="right"/>
              <w:rPr>
                <w:rFonts w:ascii="Arial" w:hAnsi="Arial" w:cs="Arial"/>
                <w:b/>
                <w:color w:val="000000" w:themeColor="text1"/>
                <w:sz w:val="18"/>
                <w:szCs w:val="18"/>
                <w:lang w:val="hr-HR"/>
              </w:rPr>
            </w:pPr>
          </w:p>
        </w:tc>
        <w:tc>
          <w:tcPr>
            <w:tcW w:w="1559" w:type="dxa"/>
            <w:tcBorders>
              <w:top w:val="nil"/>
              <w:left w:val="nil"/>
              <w:right w:val="nil"/>
            </w:tcBorders>
            <w:shd w:val="clear" w:color="auto" w:fill="auto"/>
            <w:noWrap/>
            <w:vAlign w:val="bottom"/>
          </w:tcPr>
          <w:p w14:paraId="7BA1E420" w14:textId="77777777" w:rsidR="004E2F51" w:rsidRPr="003014A0" w:rsidRDefault="004E2F51" w:rsidP="00E032FC">
            <w:pPr>
              <w:spacing w:line="300" w:lineRule="exact"/>
              <w:jc w:val="right"/>
              <w:rPr>
                <w:rFonts w:ascii="Arial" w:hAnsi="Arial" w:cs="Arial"/>
                <w:b/>
                <w:color w:val="000000" w:themeColor="text1"/>
                <w:sz w:val="18"/>
                <w:szCs w:val="18"/>
                <w:lang w:val="hr-HR"/>
              </w:rPr>
            </w:pPr>
          </w:p>
        </w:tc>
        <w:tc>
          <w:tcPr>
            <w:tcW w:w="1134" w:type="dxa"/>
            <w:tcBorders>
              <w:top w:val="nil"/>
              <w:left w:val="nil"/>
              <w:right w:val="nil"/>
            </w:tcBorders>
            <w:shd w:val="clear" w:color="auto" w:fill="auto"/>
            <w:noWrap/>
            <w:vAlign w:val="bottom"/>
          </w:tcPr>
          <w:p w14:paraId="0CB9A4C7" w14:textId="77777777" w:rsidR="004E2F51" w:rsidRPr="003014A0" w:rsidRDefault="004E2F51" w:rsidP="00E032FC">
            <w:pPr>
              <w:spacing w:line="300" w:lineRule="exact"/>
              <w:jc w:val="right"/>
              <w:rPr>
                <w:rFonts w:ascii="Arial" w:hAnsi="Arial" w:cs="Arial"/>
                <w:b/>
                <w:color w:val="000000" w:themeColor="text1"/>
                <w:sz w:val="18"/>
                <w:szCs w:val="18"/>
                <w:lang w:val="hr-HR"/>
              </w:rPr>
            </w:pPr>
          </w:p>
        </w:tc>
      </w:tr>
      <w:tr w:rsidR="004E2F51" w:rsidRPr="003014A0" w14:paraId="5D5A1455" w14:textId="77777777" w:rsidTr="00E032FC">
        <w:trPr>
          <w:trHeight w:val="600"/>
        </w:trPr>
        <w:tc>
          <w:tcPr>
            <w:tcW w:w="3261" w:type="dxa"/>
            <w:tcBorders>
              <w:left w:val="nil"/>
              <w:right w:val="nil"/>
            </w:tcBorders>
            <w:shd w:val="clear" w:color="auto" w:fill="auto"/>
            <w:vAlign w:val="bottom"/>
          </w:tcPr>
          <w:p w14:paraId="2FE8BAFC" w14:textId="77777777" w:rsidR="004E2F51" w:rsidRPr="003014A0" w:rsidRDefault="004E2F51" w:rsidP="00E032FC">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1. siječnja - 31. prosinca 202</w:t>
            </w:r>
            <w:r>
              <w:rPr>
                <w:rFonts w:ascii="Arial" w:hAnsi="Arial" w:cs="Arial"/>
                <w:b/>
                <w:bCs/>
                <w:color w:val="000000" w:themeColor="text1"/>
                <w:sz w:val="18"/>
                <w:szCs w:val="18"/>
                <w:lang w:val="hr-HR"/>
              </w:rPr>
              <w:t>2</w:t>
            </w:r>
            <w:r w:rsidRPr="003014A0">
              <w:rPr>
                <w:rFonts w:ascii="Arial" w:hAnsi="Arial" w:cs="Arial"/>
                <w:b/>
                <w:bCs/>
                <w:color w:val="000000" w:themeColor="text1"/>
                <w:sz w:val="18"/>
                <w:szCs w:val="18"/>
                <w:lang w:val="hr-HR"/>
              </w:rPr>
              <w:t>.</w:t>
            </w:r>
          </w:p>
        </w:tc>
        <w:tc>
          <w:tcPr>
            <w:tcW w:w="1134" w:type="dxa"/>
            <w:tcBorders>
              <w:left w:val="nil"/>
              <w:right w:val="nil"/>
            </w:tcBorders>
            <w:shd w:val="clear" w:color="auto" w:fill="auto"/>
          </w:tcPr>
          <w:p w14:paraId="0E5A1204"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Bankarske aktivnosti</w:t>
            </w:r>
          </w:p>
        </w:tc>
        <w:tc>
          <w:tcPr>
            <w:tcW w:w="1667" w:type="dxa"/>
            <w:tcBorders>
              <w:left w:val="nil"/>
              <w:right w:val="nil"/>
            </w:tcBorders>
            <w:shd w:val="clear" w:color="auto" w:fill="auto"/>
          </w:tcPr>
          <w:p w14:paraId="3071ED55"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Osiguravateljske aktivnosti</w:t>
            </w:r>
          </w:p>
        </w:tc>
        <w:tc>
          <w:tcPr>
            <w:tcW w:w="1168" w:type="dxa"/>
            <w:tcBorders>
              <w:left w:val="nil"/>
              <w:right w:val="nil"/>
            </w:tcBorders>
            <w:shd w:val="clear" w:color="auto" w:fill="auto"/>
          </w:tcPr>
          <w:p w14:paraId="1DAAB377"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Ostale aktivnosti</w:t>
            </w:r>
          </w:p>
        </w:tc>
        <w:tc>
          <w:tcPr>
            <w:tcW w:w="1559" w:type="dxa"/>
            <w:tcBorders>
              <w:left w:val="nil"/>
              <w:right w:val="nil"/>
            </w:tcBorders>
            <w:shd w:val="clear" w:color="auto" w:fill="auto"/>
          </w:tcPr>
          <w:p w14:paraId="38B3B10D"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Neraspoređeno</w:t>
            </w:r>
          </w:p>
        </w:tc>
        <w:tc>
          <w:tcPr>
            <w:tcW w:w="1134" w:type="dxa"/>
            <w:tcBorders>
              <w:left w:val="nil"/>
              <w:right w:val="nil"/>
            </w:tcBorders>
            <w:shd w:val="clear" w:color="auto" w:fill="auto"/>
          </w:tcPr>
          <w:p w14:paraId="609C0AE0"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Ukupno</w:t>
            </w:r>
          </w:p>
        </w:tc>
      </w:tr>
      <w:tr w:rsidR="004E2F51" w:rsidRPr="003014A0" w14:paraId="150A778F" w14:textId="77777777" w:rsidTr="00E032FC">
        <w:trPr>
          <w:trHeight w:val="234"/>
        </w:trPr>
        <w:tc>
          <w:tcPr>
            <w:tcW w:w="3261" w:type="dxa"/>
            <w:tcBorders>
              <w:left w:val="nil"/>
              <w:bottom w:val="nil"/>
              <w:right w:val="nil"/>
            </w:tcBorders>
            <w:shd w:val="clear" w:color="auto" w:fill="auto"/>
            <w:vAlign w:val="bottom"/>
          </w:tcPr>
          <w:p w14:paraId="63CADC5D" w14:textId="77777777" w:rsidR="004E2F51" w:rsidRPr="003014A0" w:rsidRDefault="004E2F51" w:rsidP="00E032FC">
            <w:pPr>
              <w:spacing w:line="300" w:lineRule="exact"/>
              <w:rPr>
                <w:rFonts w:ascii="Arial" w:hAnsi="Arial" w:cs="Arial"/>
                <w:b/>
                <w:bCs/>
                <w:color w:val="000000" w:themeColor="text1"/>
                <w:sz w:val="18"/>
                <w:szCs w:val="18"/>
                <w:lang w:val="hr-HR"/>
              </w:rPr>
            </w:pPr>
          </w:p>
        </w:tc>
        <w:tc>
          <w:tcPr>
            <w:tcW w:w="1134" w:type="dxa"/>
            <w:tcBorders>
              <w:left w:val="nil"/>
              <w:bottom w:val="nil"/>
              <w:right w:val="nil"/>
            </w:tcBorders>
            <w:shd w:val="clear" w:color="auto" w:fill="auto"/>
            <w:noWrap/>
            <w:vAlign w:val="bottom"/>
          </w:tcPr>
          <w:p w14:paraId="7874D3AB"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000 kuna</w:t>
            </w:r>
          </w:p>
        </w:tc>
        <w:tc>
          <w:tcPr>
            <w:tcW w:w="1667" w:type="dxa"/>
            <w:tcBorders>
              <w:left w:val="nil"/>
              <w:bottom w:val="nil"/>
              <w:right w:val="nil"/>
            </w:tcBorders>
            <w:shd w:val="clear" w:color="auto" w:fill="auto"/>
            <w:noWrap/>
            <w:vAlign w:val="bottom"/>
          </w:tcPr>
          <w:p w14:paraId="34E938F0"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000 kuna</w:t>
            </w:r>
          </w:p>
        </w:tc>
        <w:tc>
          <w:tcPr>
            <w:tcW w:w="1168" w:type="dxa"/>
            <w:tcBorders>
              <w:left w:val="nil"/>
              <w:bottom w:val="nil"/>
              <w:right w:val="nil"/>
            </w:tcBorders>
            <w:shd w:val="clear" w:color="auto" w:fill="auto"/>
            <w:noWrap/>
            <w:vAlign w:val="bottom"/>
          </w:tcPr>
          <w:p w14:paraId="723A25BA"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000 kuna</w:t>
            </w:r>
          </w:p>
        </w:tc>
        <w:tc>
          <w:tcPr>
            <w:tcW w:w="1559" w:type="dxa"/>
            <w:tcBorders>
              <w:left w:val="nil"/>
              <w:bottom w:val="nil"/>
              <w:right w:val="nil"/>
            </w:tcBorders>
            <w:shd w:val="clear" w:color="auto" w:fill="auto"/>
            <w:noWrap/>
            <w:vAlign w:val="bottom"/>
          </w:tcPr>
          <w:p w14:paraId="3BC648E8"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000 kuna</w:t>
            </w:r>
          </w:p>
        </w:tc>
        <w:tc>
          <w:tcPr>
            <w:tcW w:w="1134" w:type="dxa"/>
            <w:tcBorders>
              <w:left w:val="nil"/>
              <w:bottom w:val="nil"/>
              <w:right w:val="nil"/>
            </w:tcBorders>
            <w:shd w:val="clear" w:color="auto" w:fill="auto"/>
            <w:noWrap/>
            <w:vAlign w:val="bottom"/>
          </w:tcPr>
          <w:p w14:paraId="40E7BB55"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000 kuna</w:t>
            </w:r>
          </w:p>
        </w:tc>
      </w:tr>
      <w:tr w:rsidR="004E2F51" w:rsidRPr="003014A0" w14:paraId="3C8122E7" w14:textId="77777777" w:rsidTr="00E032FC">
        <w:trPr>
          <w:trHeight w:val="59"/>
        </w:trPr>
        <w:tc>
          <w:tcPr>
            <w:tcW w:w="3261" w:type="dxa"/>
            <w:tcBorders>
              <w:top w:val="nil"/>
              <w:left w:val="nil"/>
              <w:bottom w:val="nil"/>
              <w:right w:val="nil"/>
            </w:tcBorders>
            <w:shd w:val="clear" w:color="auto" w:fill="auto"/>
            <w:vAlign w:val="bottom"/>
          </w:tcPr>
          <w:p w14:paraId="4D996DF5" w14:textId="77777777" w:rsidR="004E2F51" w:rsidRPr="003014A0" w:rsidRDefault="004E2F51" w:rsidP="00E032FC">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noWrap/>
            <w:vAlign w:val="bottom"/>
          </w:tcPr>
          <w:p w14:paraId="121C3503" w14:textId="77777777" w:rsidR="004E2F51" w:rsidRPr="003014A0" w:rsidRDefault="004E2F51" w:rsidP="00E032FC">
            <w:pPr>
              <w:spacing w:line="140" w:lineRule="exact"/>
              <w:rPr>
                <w:rFonts w:ascii="Arial" w:hAnsi="Arial" w:cs="Arial"/>
                <w:color w:val="000000" w:themeColor="text1"/>
                <w:sz w:val="18"/>
                <w:szCs w:val="18"/>
                <w:lang w:val="hr-HR"/>
              </w:rPr>
            </w:pPr>
          </w:p>
        </w:tc>
        <w:tc>
          <w:tcPr>
            <w:tcW w:w="1667" w:type="dxa"/>
            <w:tcBorders>
              <w:top w:val="nil"/>
              <w:left w:val="nil"/>
              <w:bottom w:val="nil"/>
              <w:right w:val="nil"/>
            </w:tcBorders>
            <w:shd w:val="clear" w:color="auto" w:fill="auto"/>
            <w:noWrap/>
            <w:vAlign w:val="bottom"/>
          </w:tcPr>
          <w:p w14:paraId="5F2A61DF" w14:textId="77777777" w:rsidR="004E2F51" w:rsidRPr="003014A0" w:rsidRDefault="004E2F51" w:rsidP="00E032FC">
            <w:pPr>
              <w:spacing w:line="140" w:lineRule="exact"/>
              <w:rPr>
                <w:rFonts w:ascii="Arial" w:hAnsi="Arial" w:cs="Arial"/>
                <w:color w:val="000000" w:themeColor="text1"/>
                <w:sz w:val="18"/>
                <w:szCs w:val="18"/>
                <w:lang w:val="hr-HR"/>
              </w:rPr>
            </w:pPr>
          </w:p>
        </w:tc>
        <w:tc>
          <w:tcPr>
            <w:tcW w:w="1168" w:type="dxa"/>
            <w:tcBorders>
              <w:top w:val="nil"/>
              <w:left w:val="nil"/>
              <w:bottom w:val="nil"/>
              <w:right w:val="nil"/>
            </w:tcBorders>
            <w:shd w:val="clear" w:color="auto" w:fill="auto"/>
            <w:noWrap/>
            <w:vAlign w:val="bottom"/>
          </w:tcPr>
          <w:p w14:paraId="77F9812C" w14:textId="77777777" w:rsidR="004E2F51" w:rsidRPr="003014A0" w:rsidRDefault="004E2F51" w:rsidP="00E032FC">
            <w:pPr>
              <w:spacing w:line="140" w:lineRule="exact"/>
              <w:rPr>
                <w:rFonts w:ascii="Arial" w:hAnsi="Arial" w:cs="Arial"/>
                <w:color w:val="000000" w:themeColor="text1"/>
                <w:sz w:val="18"/>
                <w:szCs w:val="18"/>
                <w:lang w:val="hr-HR"/>
              </w:rPr>
            </w:pPr>
          </w:p>
        </w:tc>
        <w:tc>
          <w:tcPr>
            <w:tcW w:w="1559" w:type="dxa"/>
            <w:tcBorders>
              <w:top w:val="nil"/>
              <w:left w:val="nil"/>
              <w:bottom w:val="nil"/>
              <w:right w:val="nil"/>
            </w:tcBorders>
            <w:shd w:val="clear" w:color="auto" w:fill="auto"/>
            <w:noWrap/>
            <w:vAlign w:val="bottom"/>
          </w:tcPr>
          <w:p w14:paraId="39DD7B08" w14:textId="77777777" w:rsidR="004E2F51" w:rsidRPr="003014A0" w:rsidRDefault="004E2F51" w:rsidP="00E032FC">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noWrap/>
            <w:vAlign w:val="bottom"/>
          </w:tcPr>
          <w:p w14:paraId="00C5BA1A" w14:textId="77777777" w:rsidR="004E2F51" w:rsidRPr="003014A0" w:rsidRDefault="004E2F51" w:rsidP="00E032FC">
            <w:pPr>
              <w:spacing w:line="140" w:lineRule="exact"/>
              <w:rPr>
                <w:rFonts w:ascii="Arial" w:hAnsi="Arial" w:cs="Arial"/>
                <w:color w:val="000000" w:themeColor="text1"/>
                <w:sz w:val="18"/>
                <w:szCs w:val="18"/>
                <w:lang w:val="hr-HR"/>
              </w:rPr>
            </w:pPr>
          </w:p>
        </w:tc>
      </w:tr>
      <w:tr w:rsidR="004E2F51" w:rsidRPr="003014A0" w14:paraId="429EA692" w14:textId="77777777" w:rsidTr="00E032FC">
        <w:trPr>
          <w:trHeight w:val="300"/>
        </w:trPr>
        <w:tc>
          <w:tcPr>
            <w:tcW w:w="3261" w:type="dxa"/>
            <w:tcBorders>
              <w:top w:val="nil"/>
              <w:left w:val="nil"/>
              <w:bottom w:val="nil"/>
              <w:right w:val="nil"/>
            </w:tcBorders>
            <w:shd w:val="clear" w:color="auto" w:fill="auto"/>
            <w:vAlign w:val="bottom"/>
          </w:tcPr>
          <w:p w14:paraId="4124DF3F"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prihod od kamata</w:t>
            </w:r>
          </w:p>
        </w:tc>
        <w:tc>
          <w:tcPr>
            <w:tcW w:w="1134" w:type="dxa"/>
            <w:shd w:val="clear" w:color="auto" w:fill="auto"/>
            <w:noWrap/>
            <w:vAlign w:val="bottom"/>
          </w:tcPr>
          <w:p w14:paraId="3E954556"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469.475 </w:t>
            </w:r>
          </w:p>
        </w:tc>
        <w:tc>
          <w:tcPr>
            <w:tcW w:w="1667" w:type="dxa"/>
            <w:shd w:val="clear" w:color="auto" w:fill="auto"/>
            <w:noWrap/>
            <w:vAlign w:val="bottom"/>
          </w:tcPr>
          <w:p w14:paraId="7F91B8B9"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1.302 </w:t>
            </w:r>
          </w:p>
        </w:tc>
        <w:tc>
          <w:tcPr>
            <w:tcW w:w="1168" w:type="dxa"/>
            <w:shd w:val="clear" w:color="auto" w:fill="auto"/>
            <w:noWrap/>
            <w:vAlign w:val="bottom"/>
          </w:tcPr>
          <w:p w14:paraId="14689229"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 </w:t>
            </w:r>
          </w:p>
        </w:tc>
        <w:tc>
          <w:tcPr>
            <w:tcW w:w="1559" w:type="dxa"/>
            <w:shd w:val="clear" w:color="auto" w:fill="auto"/>
            <w:noWrap/>
            <w:vAlign w:val="bottom"/>
          </w:tcPr>
          <w:p w14:paraId="0ABBF99A" w14:textId="77777777" w:rsidR="004E2F51" w:rsidRPr="003014A0" w:rsidRDefault="004E2F51" w:rsidP="00E032FC">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68634017"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470.777 </w:t>
            </w:r>
          </w:p>
        </w:tc>
      </w:tr>
      <w:tr w:rsidR="004E2F51" w:rsidRPr="003014A0" w14:paraId="7D094A54" w14:textId="77777777" w:rsidTr="00E032FC">
        <w:trPr>
          <w:trHeight w:val="300"/>
        </w:trPr>
        <w:tc>
          <w:tcPr>
            <w:tcW w:w="3261" w:type="dxa"/>
            <w:tcBorders>
              <w:top w:val="nil"/>
              <w:left w:val="nil"/>
              <w:bottom w:val="nil"/>
              <w:right w:val="nil"/>
            </w:tcBorders>
            <w:shd w:val="clear" w:color="auto" w:fill="auto"/>
            <w:vAlign w:val="bottom"/>
          </w:tcPr>
          <w:p w14:paraId="5B68FE50"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prihod od naknada</w:t>
            </w:r>
          </w:p>
        </w:tc>
        <w:tc>
          <w:tcPr>
            <w:tcW w:w="1134" w:type="dxa"/>
            <w:shd w:val="clear" w:color="auto" w:fill="auto"/>
            <w:noWrap/>
            <w:vAlign w:val="bottom"/>
          </w:tcPr>
          <w:p w14:paraId="65F123A5"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19.392 </w:t>
            </w:r>
          </w:p>
        </w:tc>
        <w:tc>
          <w:tcPr>
            <w:tcW w:w="1667" w:type="dxa"/>
            <w:shd w:val="clear" w:color="auto" w:fill="auto"/>
            <w:noWrap/>
            <w:vAlign w:val="bottom"/>
          </w:tcPr>
          <w:p w14:paraId="6EF14FF3"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1.860 </w:t>
            </w:r>
          </w:p>
        </w:tc>
        <w:tc>
          <w:tcPr>
            <w:tcW w:w="1168" w:type="dxa"/>
            <w:shd w:val="clear" w:color="auto" w:fill="auto"/>
            <w:noWrap/>
            <w:vAlign w:val="bottom"/>
          </w:tcPr>
          <w:p w14:paraId="3A950368"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2.017 </w:t>
            </w:r>
          </w:p>
        </w:tc>
        <w:tc>
          <w:tcPr>
            <w:tcW w:w="1559" w:type="dxa"/>
            <w:shd w:val="clear" w:color="auto" w:fill="auto"/>
            <w:noWrap/>
            <w:vAlign w:val="bottom"/>
          </w:tcPr>
          <w:p w14:paraId="01B07671"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 </w:t>
            </w:r>
          </w:p>
        </w:tc>
        <w:tc>
          <w:tcPr>
            <w:tcW w:w="1134" w:type="dxa"/>
            <w:shd w:val="clear" w:color="auto" w:fill="auto"/>
            <w:noWrap/>
            <w:vAlign w:val="bottom"/>
          </w:tcPr>
          <w:p w14:paraId="69BC6F5E"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23.269 </w:t>
            </w:r>
          </w:p>
        </w:tc>
      </w:tr>
      <w:tr w:rsidR="004E2F51" w:rsidRPr="003014A0" w14:paraId="1FC60419" w14:textId="77777777" w:rsidTr="00E032FC">
        <w:trPr>
          <w:trHeight w:val="280"/>
        </w:trPr>
        <w:tc>
          <w:tcPr>
            <w:tcW w:w="3261" w:type="dxa"/>
            <w:tcBorders>
              <w:top w:val="nil"/>
              <w:left w:val="nil"/>
              <w:bottom w:val="nil"/>
              <w:right w:val="nil"/>
            </w:tcBorders>
            <w:shd w:val="clear" w:color="auto" w:fill="auto"/>
            <w:vAlign w:val="bottom"/>
          </w:tcPr>
          <w:p w14:paraId="68757FE9"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Neto prihodi/(rashodi) od financijskih aktivnosti </w:t>
            </w:r>
          </w:p>
        </w:tc>
        <w:tc>
          <w:tcPr>
            <w:tcW w:w="1134" w:type="dxa"/>
            <w:shd w:val="clear" w:color="auto" w:fill="auto"/>
            <w:noWrap/>
            <w:vAlign w:val="bottom"/>
          </w:tcPr>
          <w:p w14:paraId="7EB8F02C"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16.725 </w:t>
            </w:r>
          </w:p>
        </w:tc>
        <w:tc>
          <w:tcPr>
            <w:tcW w:w="1667" w:type="dxa"/>
            <w:shd w:val="clear" w:color="auto" w:fill="auto"/>
            <w:noWrap/>
            <w:vAlign w:val="bottom"/>
          </w:tcPr>
          <w:p w14:paraId="17E2C2B8" w14:textId="77777777" w:rsidR="004E2F51" w:rsidRPr="00A4202A"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43 </w:t>
            </w:r>
          </w:p>
        </w:tc>
        <w:tc>
          <w:tcPr>
            <w:tcW w:w="1168" w:type="dxa"/>
            <w:shd w:val="clear" w:color="auto" w:fill="auto"/>
            <w:noWrap/>
            <w:vAlign w:val="bottom"/>
          </w:tcPr>
          <w:p w14:paraId="7154D4B3" w14:textId="77777777" w:rsidR="004E2F51" w:rsidRPr="00A4202A"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 </w:t>
            </w:r>
          </w:p>
        </w:tc>
        <w:tc>
          <w:tcPr>
            <w:tcW w:w="1559" w:type="dxa"/>
            <w:shd w:val="clear" w:color="auto" w:fill="auto"/>
            <w:noWrap/>
            <w:vAlign w:val="bottom"/>
          </w:tcPr>
          <w:p w14:paraId="5E70B848" w14:textId="77777777" w:rsidR="004E2F51" w:rsidRPr="00A4202A"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 </w:t>
            </w:r>
          </w:p>
        </w:tc>
        <w:tc>
          <w:tcPr>
            <w:tcW w:w="1134" w:type="dxa"/>
            <w:shd w:val="clear" w:color="auto" w:fill="auto"/>
            <w:noWrap/>
            <w:vAlign w:val="bottom"/>
          </w:tcPr>
          <w:p w14:paraId="255A99AB" w14:textId="77777777" w:rsidR="004E2F51" w:rsidRPr="00A4202A"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16.768 </w:t>
            </w:r>
          </w:p>
        </w:tc>
      </w:tr>
      <w:tr w:rsidR="004E2F51" w:rsidRPr="003014A0" w14:paraId="2F5D5C2C" w14:textId="77777777" w:rsidTr="00E032FC">
        <w:trPr>
          <w:trHeight w:val="280"/>
        </w:trPr>
        <w:tc>
          <w:tcPr>
            <w:tcW w:w="3261" w:type="dxa"/>
            <w:tcBorders>
              <w:top w:val="nil"/>
              <w:left w:val="nil"/>
              <w:bottom w:val="nil"/>
              <w:right w:val="nil"/>
            </w:tcBorders>
            <w:shd w:val="clear" w:color="auto" w:fill="auto"/>
            <w:vAlign w:val="bottom"/>
          </w:tcPr>
          <w:p w14:paraId="0A97F7CB" w14:textId="77777777" w:rsidR="004E2F51" w:rsidRPr="003014A0" w:rsidRDefault="004E2F51" w:rsidP="00E032FC">
            <w:pPr>
              <w:spacing w:line="300" w:lineRule="exact"/>
              <w:rPr>
                <w:rFonts w:ascii="Arial" w:hAnsi="Arial" w:cs="Arial"/>
                <w:color w:val="000000" w:themeColor="text1"/>
                <w:sz w:val="18"/>
                <w:szCs w:val="18"/>
                <w:lang w:val="hr-HR"/>
              </w:rPr>
            </w:pPr>
            <w:r w:rsidRPr="00A4202A">
              <w:rPr>
                <w:rFonts w:ascii="Arial" w:hAnsi="Arial" w:cs="Arial"/>
                <w:color w:val="000000" w:themeColor="text1"/>
                <w:sz w:val="18"/>
                <w:szCs w:val="18"/>
                <w:lang w:val="hr-HR"/>
              </w:rPr>
              <w:t>Dobitak od umanjenja vrijednosti</w:t>
            </w:r>
          </w:p>
        </w:tc>
        <w:tc>
          <w:tcPr>
            <w:tcW w:w="1134" w:type="dxa"/>
            <w:shd w:val="clear" w:color="auto" w:fill="auto"/>
            <w:noWrap/>
            <w:vAlign w:val="bottom"/>
          </w:tcPr>
          <w:p w14:paraId="0309EFE1" w14:textId="77777777" w:rsidR="004E2F51" w:rsidRPr="003014A0" w:rsidRDefault="004E2F51" w:rsidP="00E032FC">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shd w:val="clear" w:color="auto" w:fill="auto"/>
            <w:noWrap/>
            <w:vAlign w:val="bottom"/>
          </w:tcPr>
          <w:p w14:paraId="2F444901" w14:textId="77777777" w:rsidR="004E2F51" w:rsidRPr="00A4202A"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135 </w:t>
            </w:r>
          </w:p>
        </w:tc>
        <w:tc>
          <w:tcPr>
            <w:tcW w:w="1168" w:type="dxa"/>
            <w:shd w:val="clear" w:color="auto" w:fill="auto"/>
            <w:noWrap/>
            <w:vAlign w:val="bottom"/>
          </w:tcPr>
          <w:p w14:paraId="69B18308" w14:textId="77777777" w:rsidR="004E2F51" w:rsidRPr="00A4202A"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22 </w:t>
            </w:r>
          </w:p>
        </w:tc>
        <w:tc>
          <w:tcPr>
            <w:tcW w:w="1559" w:type="dxa"/>
            <w:shd w:val="clear" w:color="auto" w:fill="auto"/>
            <w:noWrap/>
            <w:vAlign w:val="bottom"/>
          </w:tcPr>
          <w:p w14:paraId="59FCA851" w14:textId="77777777" w:rsidR="004E2F51" w:rsidRPr="00A4202A" w:rsidRDefault="004E2F51" w:rsidP="00E032FC">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4CD2002B" w14:textId="77777777" w:rsidR="004E2F51" w:rsidRPr="00A4202A"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157 </w:t>
            </w:r>
          </w:p>
        </w:tc>
      </w:tr>
      <w:tr w:rsidR="004E2F51" w:rsidRPr="003014A0" w14:paraId="0A8869F1" w14:textId="77777777" w:rsidTr="00E032FC">
        <w:trPr>
          <w:trHeight w:val="300"/>
        </w:trPr>
        <w:tc>
          <w:tcPr>
            <w:tcW w:w="3261" w:type="dxa"/>
            <w:tcBorders>
              <w:top w:val="nil"/>
              <w:left w:val="nil"/>
              <w:bottom w:val="nil"/>
              <w:right w:val="nil"/>
            </w:tcBorders>
            <w:shd w:val="clear" w:color="auto" w:fill="auto"/>
            <w:vAlign w:val="bottom"/>
          </w:tcPr>
          <w:p w14:paraId="2BA5C2B3"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zarađene premije</w:t>
            </w:r>
          </w:p>
        </w:tc>
        <w:tc>
          <w:tcPr>
            <w:tcW w:w="1134" w:type="dxa"/>
            <w:shd w:val="clear" w:color="auto" w:fill="auto"/>
            <w:noWrap/>
            <w:vAlign w:val="bottom"/>
          </w:tcPr>
          <w:p w14:paraId="112B2825"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 </w:t>
            </w:r>
          </w:p>
        </w:tc>
        <w:tc>
          <w:tcPr>
            <w:tcW w:w="1667" w:type="dxa"/>
            <w:shd w:val="clear" w:color="auto" w:fill="auto"/>
            <w:noWrap/>
            <w:vAlign w:val="bottom"/>
          </w:tcPr>
          <w:p w14:paraId="3FAFC21F"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10.925 </w:t>
            </w:r>
          </w:p>
        </w:tc>
        <w:tc>
          <w:tcPr>
            <w:tcW w:w="1168" w:type="dxa"/>
            <w:shd w:val="clear" w:color="auto" w:fill="auto"/>
            <w:noWrap/>
            <w:vAlign w:val="bottom"/>
          </w:tcPr>
          <w:p w14:paraId="54B6FF52" w14:textId="77777777" w:rsidR="004E2F51" w:rsidRPr="003014A0" w:rsidRDefault="004E2F51" w:rsidP="00E032FC">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vAlign w:val="bottom"/>
          </w:tcPr>
          <w:p w14:paraId="0B6DC163" w14:textId="77777777" w:rsidR="004E2F51" w:rsidRPr="003014A0" w:rsidRDefault="004E2F51" w:rsidP="00E032FC">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0CA0A937"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10.925 </w:t>
            </w:r>
          </w:p>
        </w:tc>
      </w:tr>
      <w:tr w:rsidR="004E2F51" w:rsidRPr="003014A0" w14:paraId="7D390002" w14:textId="77777777" w:rsidTr="00E032FC">
        <w:trPr>
          <w:trHeight w:val="300"/>
        </w:trPr>
        <w:tc>
          <w:tcPr>
            <w:tcW w:w="3261" w:type="dxa"/>
            <w:tcBorders>
              <w:top w:val="nil"/>
              <w:left w:val="nil"/>
              <w:right w:val="nil"/>
            </w:tcBorders>
            <w:shd w:val="clear" w:color="auto" w:fill="auto"/>
            <w:vAlign w:val="bottom"/>
          </w:tcPr>
          <w:p w14:paraId="2E54F68D"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Ostali prihodi</w:t>
            </w:r>
          </w:p>
        </w:tc>
        <w:tc>
          <w:tcPr>
            <w:tcW w:w="1134" w:type="dxa"/>
            <w:tcBorders>
              <w:top w:val="nil"/>
              <w:left w:val="nil"/>
              <w:bottom w:val="single" w:sz="2" w:space="0" w:color="auto"/>
              <w:right w:val="nil"/>
            </w:tcBorders>
            <w:shd w:val="clear" w:color="auto" w:fill="auto"/>
            <w:noWrap/>
            <w:vAlign w:val="bottom"/>
          </w:tcPr>
          <w:p w14:paraId="0C835B50"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14.163 </w:t>
            </w:r>
          </w:p>
        </w:tc>
        <w:tc>
          <w:tcPr>
            <w:tcW w:w="1667" w:type="dxa"/>
            <w:tcBorders>
              <w:top w:val="nil"/>
              <w:left w:val="nil"/>
              <w:bottom w:val="single" w:sz="2" w:space="0" w:color="auto"/>
              <w:right w:val="nil"/>
            </w:tcBorders>
            <w:shd w:val="clear" w:color="auto" w:fill="auto"/>
            <w:noWrap/>
            <w:vAlign w:val="bottom"/>
          </w:tcPr>
          <w:p w14:paraId="2652C89B"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62 </w:t>
            </w:r>
          </w:p>
        </w:tc>
        <w:tc>
          <w:tcPr>
            <w:tcW w:w="1168" w:type="dxa"/>
            <w:tcBorders>
              <w:top w:val="nil"/>
              <w:left w:val="nil"/>
              <w:bottom w:val="single" w:sz="2" w:space="0" w:color="auto"/>
              <w:right w:val="nil"/>
            </w:tcBorders>
            <w:shd w:val="clear" w:color="auto" w:fill="auto"/>
            <w:noWrap/>
            <w:vAlign w:val="bottom"/>
          </w:tcPr>
          <w:p w14:paraId="50E6B328"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303 </w:t>
            </w:r>
          </w:p>
        </w:tc>
        <w:tc>
          <w:tcPr>
            <w:tcW w:w="1559" w:type="dxa"/>
            <w:tcBorders>
              <w:top w:val="nil"/>
              <w:left w:val="nil"/>
              <w:bottom w:val="single" w:sz="2" w:space="0" w:color="auto"/>
              <w:right w:val="nil"/>
            </w:tcBorders>
            <w:shd w:val="clear" w:color="auto" w:fill="auto"/>
            <w:noWrap/>
            <w:vAlign w:val="bottom"/>
          </w:tcPr>
          <w:p w14:paraId="3D73DEFF"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(288)</w:t>
            </w:r>
          </w:p>
        </w:tc>
        <w:tc>
          <w:tcPr>
            <w:tcW w:w="1134" w:type="dxa"/>
            <w:tcBorders>
              <w:top w:val="nil"/>
              <w:left w:val="nil"/>
              <w:bottom w:val="single" w:sz="2" w:space="0" w:color="auto"/>
              <w:right w:val="nil"/>
            </w:tcBorders>
            <w:shd w:val="clear" w:color="auto" w:fill="auto"/>
            <w:noWrap/>
            <w:vAlign w:val="bottom"/>
          </w:tcPr>
          <w:p w14:paraId="213EB1D5"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14.240 </w:t>
            </w:r>
          </w:p>
        </w:tc>
      </w:tr>
      <w:tr w:rsidR="004E2F51" w:rsidRPr="003014A0" w14:paraId="58C31297" w14:textId="77777777" w:rsidTr="00E032FC">
        <w:trPr>
          <w:trHeight w:val="300"/>
        </w:trPr>
        <w:tc>
          <w:tcPr>
            <w:tcW w:w="3261" w:type="dxa"/>
            <w:tcBorders>
              <w:left w:val="nil"/>
              <w:right w:val="nil"/>
            </w:tcBorders>
            <w:shd w:val="clear" w:color="auto" w:fill="auto"/>
            <w:vAlign w:val="bottom"/>
          </w:tcPr>
          <w:p w14:paraId="0EC23F72" w14:textId="77777777" w:rsidR="004E2F51" w:rsidRPr="003014A0" w:rsidRDefault="004E2F51" w:rsidP="00E032FC">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Prihod iz poslovanja</w:t>
            </w:r>
          </w:p>
        </w:tc>
        <w:tc>
          <w:tcPr>
            <w:tcW w:w="1134" w:type="dxa"/>
            <w:tcBorders>
              <w:top w:val="single" w:sz="2" w:space="0" w:color="auto"/>
              <w:left w:val="nil"/>
              <w:bottom w:val="single" w:sz="12" w:space="0" w:color="auto"/>
              <w:right w:val="nil"/>
            </w:tcBorders>
            <w:shd w:val="clear" w:color="auto" w:fill="auto"/>
            <w:noWrap/>
            <w:vAlign w:val="bottom"/>
          </w:tcPr>
          <w:p w14:paraId="4D08AF7C"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519.755 </w:t>
            </w:r>
          </w:p>
        </w:tc>
        <w:tc>
          <w:tcPr>
            <w:tcW w:w="1667" w:type="dxa"/>
            <w:tcBorders>
              <w:top w:val="single" w:sz="2" w:space="0" w:color="auto"/>
              <w:left w:val="nil"/>
              <w:bottom w:val="single" w:sz="12" w:space="0" w:color="auto"/>
              <w:right w:val="nil"/>
            </w:tcBorders>
            <w:shd w:val="clear" w:color="auto" w:fill="auto"/>
            <w:noWrap/>
            <w:vAlign w:val="bottom"/>
          </w:tcPr>
          <w:p w14:paraId="6141154A"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14.327 </w:t>
            </w:r>
          </w:p>
        </w:tc>
        <w:tc>
          <w:tcPr>
            <w:tcW w:w="1168" w:type="dxa"/>
            <w:tcBorders>
              <w:top w:val="single" w:sz="2" w:space="0" w:color="auto"/>
              <w:left w:val="nil"/>
              <w:bottom w:val="single" w:sz="12" w:space="0" w:color="auto"/>
              <w:right w:val="nil"/>
            </w:tcBorders>
            <w:shd w:val="clear" w:color="auto" w:fill="auto"/>
            <w:noWrap/>
            <w:vAlign w:val="bottom"/>
          </w:tcPr>
          <w:p w14:paraId="18DAB1A5"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2.342 </w:t>
            </w:r>
          </w:p>
        </w:tc>
        <w:tc>
          <w:tcPr>
            <w:tcW w:w="1559" w:type="dxa"/>
            <w:tcBorders>
              <w:top w:val="single" w:sz="2" w:space="0" w:color="auto"/>
              <w:left w:val="nil"/>
              <w:bottom w:val="single" w:sz="12" w:space="0" w:color="auto"/>
              <w:right w:val="nil"/>
            </w:tcBorders>
            <w:shd w:val="clear" w:color="auto" w:fill="auto"/>
            <w:noWrap/>
            <w:vAlign w:val="bottom"/>
          </w:tcPr>
          <w:p w14:paraId="18DDC0CA"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(288)</w:t>
            </w:r>
          </w:p>
        </w:tc>
        <w:tc>
          <w:tcPr>
            <w:tcW w:w="1134" w:type="dxa"/>
            <w:tcBorders>
              <w:top w:val="single" w:sz="2" w:space="0" w:color="auto"/>
              <w:left w:val="nil"/>
              <w:bottom w:val="single" w:sz="12" w:space="0" w:color="auto"/>
              <w:right w:val="nil"/>
            </w:tcBorders>
            <w:shd w:val="clear" w:color="auto" w:fill="auto"/>
            <w:noWrap/>
            <w:vAlign w:val="bottom"/>
          </w:tcPr>
          <w:p w14:paraId="0E39C18E"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536.136 </w:t>
            </w:r>
          </w:p>
        </w:tc>
      </w:tr>
      <w:tr w:rsidR="004E2F51" w:rsidRPr="003014A0" w14:paraId="06E5C756" w14:textId="77777777" w:rsidTr="00E032FC">
        <w:trPr>
          <w:trHeight w:val="60"/>
        </w:trPr>
        <w:tc>
          <w:tcPr>
            <w:tcW w:w="3261" w:type="dxa"/>
            <w:tcBorders>
              <w:left w:val="nil"/>
              <w:bottom w:val="nil"/>
              <w:right w:val="nil"/>
            </w:tcBorders>
            <w:shd w:val="clear" w:color="auto" w:fill="auto"/>
            <w:vAlign w:val="bottom"/>
          </w:tcPr>
          <w:p w14:paraId="4EAD18ED" w14:textId="77777777" w:rsidR="004E2F51" w:rsidRPr="003014A0" w:rsidRDefault="004E2F51" w:rsidP="00E032FC">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61A20F6B"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2136551D"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3C6BF9D3"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155BE7A6"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01D29689" w14:textId="77777777" w:rsidR="004E2F51" w:rsidRPr="003014A0" w:rsidRDefault="004E2F51" w:rsidP="00E032FC">
            <w:pPr>
              <w:spacing w:line="140" w:lineRule="exact"/>
              <w:jc w:val="right"/>
              <w:rPr>
                <w:rFonts w:ascii="Arial" w:hAnsi="Arial" w:cs="Arial"/>
                <w:color w:val="000000" w:themeColor="text1"/>
                <w:sz w:val="18"/>
                <w:szCs w:val="18"/>
                <w:lang w:val="hr-HR"/>
              </w:rPr>
            </w:pPr>
          </w:p>
        </w:tc>
      </w:tr>
      <w:tr w:rsidR="004E2F51" w:rsidRPr="003014A0" w14:paraId="2C11D124" w14:textId="77777777" w:rsidTr="00E032FC">
        <w:trPr>
          <w:trHeight w:val="300"/>
        </w:trPr>
        <w:tc>
          <w:tcPr>
            <w:tcW w:w="3261" w:type="dxa"/>
            <w:tcBorders>
              <w:top w:val="nil"/>
              <w:left w:val="nil"/>
              <w:bottom w:val="nil"/>
              <w:right w:val="nil"/>
            </w:tcBorders>
            <w:shd w:val="clear" w:color="auto" w:fill="auto"/>
            <w:vAlign w:val="bottom"/>
          </w:tcPr>
          <w:p w14:paraId="381CDF40"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Operativni troškovi</w:t>
            </w:r>
          </w:p>
        </w:tc>
        <w:tc>
          <w:tcPr>
            <w:tcW w:w="1134" w:type="dxa"/>
            <w:shd w:val="clear" w:color="auto" w:fill="auto"/>
            <w:noWrap/>
            <w:vAlign w:val="bottom"/>
          </w:tcPr>
          <w:p w14:paraId="46AD5CC7"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(189.148)</w:t>
            </w:r>
          </w:p>
        </w:tc>
        <w:tc>
          <w:tcPr>
            <w:tcW w:w="1667" w:type="dxa"/>
            <w:shd w:val="clear" w:color="auto" w:fill="auto"/>
            <w:noWrap/>
            <w:vAlign w:val="bottom"/>
          </w:tcPr>
          <w:p w14:paraId="03CD143D"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(7.388)</w:t>
            </w:r>
          </w:p>
        </w:tc>
        <w:tc>
          <w:tcPr>
            <w:tcW w:w="1168" w:type="dxa"/>
            <w:shd w:val="clear" w:color="auto" w:fill="auto"/>
            <w:noWrap/>
            <w:vAlign w:val="bottom"/>
          </w:tcPr>
          <w:p w14:paraId="6D8E28BF"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(1.835)</w:t>
            </w:r>
          </w:p>
        </w:tc>
        <w:tc>
          <w:tcPr>
            <w:tcW w:w="1559" w:type="dxa"/>
            <w:shd w:val="clear" w:color="auto" w:fill="auto"/>
            <w:noWrap/>
            <w:vAlign w:val="bottom"/>
          </w:tcPr>
          <w:p w14:paraId="01BE1742"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288 </w:t>
            </w:r>
          </w:p>
        </w:tc>
        <w:tc>
          <w:tcPr>
            <w:tcW w:w="1134" w:type="dxa"/>
            <w:shd w:val="clear" w:color="auto" w:fill="auto"/>
            <w:noWrap/>
            <w:vAlign w:val="bottom"/>
          </w:tcPr>
          <w:p w14:paraId="748EF9CB"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(198.083)</w:t>
            </w:r>
          </w:p>
        </w:tc>
      </w:tr>
      <w:tr w:rsidR="004E2F51" w:rsidRPr="003014A0" w14:paraId="175E4724" w14:textId="77777777" w:rsidTr="00E032FC">
        <w:trPr>
          <w:trHeight w:val="600"/>
        </w:trPr>
        <w:tc>
          <w:tcPr>
            <w:tcW w:w="3261" w:type="dxa"/>
            <w:tcBorders>
              <w:top w:val="nil"/>
              <w:left w:val="nil"/>
              <w:bottom w:val="nil"/>
              <w:right w:val="nil"/>
            </w:tcBorders>
            <w:shd w:val="clear" w:color="auto" w:fill="auto"/>
            <w:vAlign w:val="bottom"/>
          </w:tcPr>
          <w:p w14:paraId="42912E51"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Gubitak od umanjenja vrijednosti i rezerviranja</w:t>
            </w:r>
          </w:p>
        </w:tc>
        <w:tc>
          <w:tcPr>
            <w:tcW w:w="1134" w:type="dxa"/>
            <w:shd w:val="clear" w:color="auto" w:fill="auto"/>
            <w:noWrap/>
            <w:vAlign w:val="bottom"/>
          </w:tcPr>
          <w:p w14:paraId="56AAA3E7"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(144.434)</w:t>
            </w:r>
          </w:p>
        </w:tc>
        <w:tc>
          <w:tcPr>
            <w:tcW w:w="1667" w:type="dxa"/>
            <w:shd w:val="clear" w:color="auto" w:fill="auto"/>
            <w:noWrap/>
            <w:vAlign w:val="bottom"/>
          </w:tcPr>
          <w:p w14:paraId="6B5EC3E2"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 </w:t>
            </w:r>
          </w:p>
        </w:tc>
        <w:tc>
          <w:tcPr>
            <w:tcW w:w="1168" w:type="dxa"/>
            <w:shd w:val="clear" w:color="auto" w:fill="auto"/>
            <w:noWrap/>
            <w:vAlign w:val="bottom"/>
          </w:tcPr>
          <w:p w14:paraId="2D8DB5AE"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    </w:t>
            </w:r>
          </w:p>
        </w:tc>
        <w:tc>
          <w:tcPr>
            <w:tcW w:w="1559" w:type="dxa"/>
            <w:shd w:val="clear" w:color="auto" w:fill="auto"/>
            <w:noWrap/>
            <w:vAlign w:val="bottom"/>
          </w:tcPr>
          <w:p w14:paraId="307FA25D"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 </w:t>
            </w:r>
          </w:p>
        </w:tc>
        <w:tc>
          <w:tcPr>
            <w:tcW w:w="1134" w:type="dxa"/>
            <w:shd w:val="clear" w:color="auto" w:fill="auto"/>
            <w:noWrap/>
            <w:vAlign w:val="bottom"/>
          </w:tcPr>
          <w:p w14:paraId="2B848E92"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(144.434)</w:t>
            </w:r>
          </w:p>
        </w:tc>
      </w:tr>
      <w:tr w:rsidR="004E2F51" w:rsidRPr="003014A0" w14:paraId="3EA1C707" w14:textId="77777777" w:rsidTr="00E032FC">
        <w:trPr>
          <w:trHeight w:val="310"/>
        </w:trPr>
        <w:tc>
          <w:tcPr>
            <w:tcW w:w="3261" w:type="dxa"/>
            <w:tcBorders>
              <w:top w:val="nil"/>
              <w:left w:val="nil"/>
              <w:bottom w:val="nil"/>
              <w:right w:val="nil"/>
            </w:tcBorders>
            <w:shd w:val="clear" w:color="auto" w:fill="auto"/>
            <w:vAlign w:val="bottom"/>
          </w:tcPr>
          <w:p w14:paraId="16DBEA3A"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Izdaci za osigurane slučajeve</w:t>
            </w:r>
          </w:p>
        </w:tc>
        <w:tc>
          <w:tcPr>
            <w:tcW w:w="1134" w:type="dxa"/>
            <w:shd w:val="clear" w:color="auto" w:fill="auto"/>
            <w:noWrap/>
            <w:vAlign w:val="bottom"/>
          </w:tcPr>
          <w:p w14:paraId="0DB564C0" w14:textId="77777777" w:rsidR="004E2F51" w:rsidRPr="003014A0" w:rsidRDefault="004E2F51" w:rsidP="00E032FC">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shd w:val="clear" w:color="auto" w:fill="auto"/>
            <w:noWrap/>
            <w:vAlign w:val="bottom"/>
          </w:tcPr>
          <w:p w14:paraId="02E6DDA4"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(4.327)</w:t>
            </w:r>
          </w:p>
        </w:tc>
        <w:tc>
          <w:tcPr>
            <w:tcW w:w="1168" w:type="dxa"/>
            <w:shd w:val="clear" w:color="auto" w:fill="auto"/>
            <w:noWrap/>
            <w:vAlign w:val="bottom"/>
          </w:tcPr>
          <w:p w14:paraId="6DD17F6B" w14:textId="77777777" w:rsidR="004E2F51" w:rsidRPr="003014A0" w:rsidRDefault="004E2F51" w:rsidP="00E032FC">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vAlign w:val="bottom"/>
          </w:tcPr>
          <w:p w14:paraId="19121779" w14:textId="77777777" w:rsidR="004E2F51" w:rsidRPr="003014A0" w:rsidRDefault="004E2F51" w:rsidP="00E032FC">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661B4137"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(4.327)</w:t>
            </w:r>
          </w:p>
        </w:tc>
      </w:tr>
      <w:tr w:rsidR="004E2F51" w:rsidRPr="003014A0" w14:paraId="2EE1F4F3" w14:textId="77777777" w:rsidTr="00E032FC">
        <w:trPr>
          <w:trHeight w:val="300"/>
        </w:trPr>
        <w:tc>
          <w:tcPr>
            <w:tcW w:w="3261" w:type="dxa"/>
            <w:tcBorders>
              <w:top w:val="nil"/>
              <w:left w:val="nil"/>
              <w:bottom w:val="nil"/>
              <w:right w:val="nil"/>
            </w:tcBorders>
            <w:shd w:val="clear" w:color="auto" w:fill="auto"/>
            <w:vAlign w:val="bottom"/>
          </w:tcPr>
          <w:p w14:paraId="5F5D2E88"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promjena pričuva</w:t>
            </w:r>
          </w:p>
        </w:tc>
        <w:tc>
          <w:tcPr>
            <w:tcW w:w="1134" w:type="dxa"/>
            <w:shd w:val="clear" w:color="auto" w:fill="auto"/>
            <w:noWrap/>
            <w:vAlign w:val="bottom"/>
          </w:tcPr>
          <w:p w14:paraId="14CF1331" w14:textId="77777777" w:rsidR="004E2F51" w:rsidRPr="003014A0" w:rsidRDefault="004E2F51" w:rsidP="00E032FC">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shd w:val="clear" w:color="auto" w:fill="auto"/>
            <w:noWrap/>
            <w:vAlign w:val="bottom"/>
          </w:tcPr>
          <w:p w14:paraId="671FF4F9"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1.441 </w:t>
            </w:r>
          </w:p>
        </w:tc>
        <w:tc>
          <w:tcPr>
            <w:tcW w:w="1168" w:type="dxa"/>
            <w:shd w:val="clear" w:color="auto" w:fill="auto"/>
            <w:noWrap/>
            <w:vAlign w:val="bottom"/>
          </w:tcPr>
          <w:p w14:paraId="5005DACF" w14:textId="77777777" w:rsidR="004E2F51" w:rsidRPr="003014A0" w:rsidRDefault="004E2F51" w:rsidP="00E032FC">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shd w:val="clear" w:color="auto" w:fill="auto"/>
            <w:noWrap/>
            <w:vAlign w:val="bottom"/>
          </w:tcPr>
          <w:p w14:paraId="0BA815B0"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 </w:t>
            </w:r>
          </w:p>
        </w:tc>
        <w:tc>
          <w:tcPr>
            <w:tcW w:w="1134" w:type="dxa"/>
            <w:shd w:val="clear" w:color="auto" w:fill="auto"/>
            <w:noWrap/>
            <w:vAlign w:val="bottom"/>
          </w:tcPr>
          <w:p w14:paraId="4A54B649"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1.441 </w:t>
            </w:r>
          </w:p>
        </w:tc>
      </w:tr>
      <w:tr w:rsidR="004E2F51" w:rsidRPr="003014A0" w14:paraId="157BDBDA" w14:textId="77777777" w:rsidTr="00E032FC">
        <w:trPr>
          <w:trHeight w:val="300"/>
        </w:trPr>
        <w:tc>
          <w:tcPr>
            <w:tcW w:w="3261" w:type="dxa"/>
            <w:tcBorders>
              <w:top w:val="nil"/>
              <w:left w:val="nil"/>
              <w:right w:val="nil"/>
            </w:tcBorders>
            <w:shd w:val="clear" w:color="auto" w:fill="auto"/>
            <w:vAlign w:val="bottom"/>
          </w:tcPr>
          <w:p w14:paraId="2D7ECD5E"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Ostali rashodi</w:t>
            </w:r>
          </w:p>
        </w:tc>
        <w:tc>
          <w:tcPr>
            <w:tcW w:w="1134" w:type="dxa"/>
            <w:tcBorders>
              <w:top w:val="nil"/>
              <w:left w:val="nil"/>
              <w:bottom w:val="single" w:sz="4" w:space="0" w:color="auto"/>
              <w:right w:val="nil"/>
            </w:tcBorders>
            <w:shd w:val="clear" w:color="auto" w:fill="auto"/>
            <w:noWrap/>
            <w:vAlign w:val="bottom"/>
          </w:tcPr>
          <w:p w14:paraId="749966BD" w14:textId="77777777" w:rsidR="004E2F51" w:rsidRPr="003014A0" w:rsidRDefault="004E2F51" w:rsidP="00E032FC">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tcBorders>
              <w:top w:val="nil"/>
              <w:left w:val="nil"/>
              <w:bottom w:val="single" w:sz="4" w:space="0" w:color="auto"/>
              <w:right w:val="nil"/>
            </w:tcBorders>
            <w:shd w:val="clear" w:color="auto" w:fill="auto"/>
            <w:noWrap/>
            <w:vAlign w:val="bottom"/>
          </w:tcPr>
          <w:p w14:paraId="3C074776"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(603)</w:t>
            </w:r>
          </w:p>
        </w:tc>
        <w:tc>
          <w:tcPr>
            <w:tcW w:w="1168" w:type="dxa"/>
            <w:tcBorders>
              <w:top w:val="nil"/>
              <w:left w:val="nil"/>
              <w:bottom w:val="single" w:sz="4" w:space="0" w:color="auto"/>
              <w:right w:val="nil"/>
            </w:tcBorders>
            <w:shd w:val="clear" w:color="auto" w:fill="auto"/>
            <w:noWrap/>
            <w:vAlign w:val="bottom"/>
          </w:tcPr>
          <w:p w14:paraId="7E4D5BCC" w14:textId="77777777" w:rsidR="004E2F51" w:rsidRPr="003014A0" w:rsidRDefault="004E2F51" w:rsidP="00E032FC">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559" w:type="dxa"/>
            <w:tcBorders>
              <w:top w:val="nil"/>
              <w:left w:val="nil"/>
              <w:bottom w:val="single" w:sz="4" w:space="0" w:color="auto"/>
              <w:right w:val="nil"/>
            </w:tcBorders>
            <w:shd w:val="clear" w:color="auto" w:fill="auto"/>
            <w:noWrap/>
            <w:vAlign w:val="bottom"/>
          </w:tcPr>
          <w:p w14:paraId="78C78A75" w14:textId="77777777" w:rsidR="004E2F51" w:rsidRPr="003014A0" w:rsidRDefault="004E2F51" w:rsidP="00E032FC">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shd w:val="clear" w:color="auto" w:fill="auto"/>
            <w:noWrap/>
            <w:vAlign w:val="bottom"/>
          </w:tcPr>
          <w:p w14:paraId="1A179355"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(603)</w:t>
            </w:r>
          </w:p>
        </w:tc>
      </w:tr>
      <w:tr w:rsidR="004E2F51" w:rsidRPr="003014A0" w14:paraId="2CBA7442" w14:textId="77777777" w:rsidTr="00E032FC">
        <w:trPr>
          <w:trHeight w:val="300"/>
        </w:trPr>
        <w:tc>
          <w:tcPr>
            <w:tcW w:w="3261" w:type="dxa"/>
            <w:tcBorders>
              <w:left w:val="nil"/>
              <w:right w:val="nil"/>
            </w:tcBorders>
            <w:shd w:val="clear" w:color="auto" w:fill="auto"/>
            <w:vAlign w:val="bottom"/>
          </w:tcPr>
          <w:p w14:paraId="4BAE07F8" w14:textId="77777777" w:rsidR="004E2F51" w:rsidRPr="003014A0" w:rsidRDefault="004E2F51" w:rsidP="00E032FC">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Troškovi poslovanja</w:t>
            </w:r>
          </w:p>
        </w:tc>
        <w:tc>
          <w:tcPr>
            <w:tcW w:w="1134" w:type="dxa"/>
            <w:tcBorders>
              <w:top w:val="single" w:sz="4" w:space="0" w:color="auto"/>
              <w:left w:val="nil"/>
              <w:bottom w:val="single" w:sz="12" w:space="0" w:color="auto"/>
              <w:right w:val="nil"/>
            </w:tcBorders>
            <w:shd w:val="clear" w:color="auto" w:fill="auto"/>
            <w:noWrap/>
          </w:tcPr>
          <w:p w14:paraId="6E74A3C3"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(333.582)</w:t>
            </w:r>
          </w:p>
        </w:tc>
        <w:tc>
          <w:tcPr>
            <w:tcW w:w="1667" w:type="dxa"/>
            <w:tcBorders>
              <w:top w:val="single" w:sz="4" w:space="0" w:color="auto"/>
              <w:left w:val="nil"/>
              <w:bottom w:val="single" w:sz="12" w:space="0" w:color="auto"/>
              <w:right w:val="nil"/>
            </w:tcBorders>
            <w:shd w:val="clear" w:color="auto" w:fill="auto"/>
            <w:noWrap/>
          </w:tcPr>
          <w:p w14:paraId="0BBB548C"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(10.877)</w:t>
            </w:r>
          </w:p>
        </w:tc>
        <w:tc>
          <w:tcPr>
            <w:tcW w:w="1168" w:type="dxa"/>
            <w:tcBorders>
              <w:top w:val="single" w:sz="4" w:space="0" w:color="auto"/>
              <w:left w:val="nil"/>
              <w:bottom w:val="single" w:sz="12" w:space="0" w:color="auto"/>
              <w:right w:val="nil"/>
            </w:tcBorders>
            <w:shd w:val="clear" w:color="auto" w:fill="auto"/>
            <w:noWrap/>
          </w:tcPr>
          <w:p w14:paraId="2CA73722"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(1.835)</w:t>
            </w:r>
          </w:p>
        </w:tc>
        <w:tc>
          <w:tcPr>
            <w:tcW w:w="1559" w:type="dxa"/>
            <w:tcBorders>
              <w:top w:val="single" w:sz="4" w:space="0" w:color="auto"/>
              <w:left w:val="nil"/>
              <w:bottom w:val="single" w:sz="12" w:space="0" w:color="auto"/>
              <w:right w:val="nil"/>
            </w:tcBorders>
            <w:shd w:val="clear" w:color="auto" w:fill="auto"/>
            <w:noWrap/>
          </w:tcPr>
          <w:p w14:paraId="25FAD6A4"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288 </w:t>
            </w:r>
          </w:p>
        </w:tc>
        <w:tc>
          <w:tcPr>
            <w:tcW w:w="1134" w:type="dxa"/>
            <w:tcBorders>
              <w:top w:val="single" w:sz="4" w:space="0" w:color="auto"/>
              <w:left w:val="nil"/>
              <w:bottom w:val="single" w:sz="12" w:space="0" w:color="auto"/>
              <w:right w:val="nil"/>
            </w:tcBorders>
            <w:shd w:val="clear" w:color="auto" w:fill="auto"/>
            <w:noWrap/>
          </w:tcPr>
          <w:p w14:paraId="23090967"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(346.006)</w:t>
            </w:r>
          </w:p>
        </w:tc>
      </w:tr>
      <w:tr w:rsidR="004E2F51" w:rsidRPr="003014A0" w14:paraId="0BE4D282" w14:textId="77777777" w:rsidTr="00E032FC">
        <w:trPr>
          <w:trHeight w:val="174"/>
        </w:trPr>
        <w:tc>
          <w:tcPr>
            <w:tcW w:w="3261" w:type="dxa"/>
            <w:tcBorders>
              <w:left w:val="nil"/>
              <w:bottom w:val="nil"/>
              <w:right w:val="nil"/>
            </w:tcBorders>
            <w:shd w:val="clear" w:color="auto" w:fill="auto"/>
            <w:vAlign w:val="bottom"/>
          </w:tcPr>
          <w:p w14:paraId="080AD887" w14:textId="77777777" w:rsidR="004E2F51" w:rsidRPr="003014A0" w:rsidRDefault="004E2F51" w:rsidP="00E032FC">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232170A3"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54EADC87"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511B138A"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16C96F93"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48CA1718" w14:textId="77777777" w:rsidR="004E2F51" w:rsidRPr="003014A0" w:rsidRDefault="004E2F51" w:rsidP="00E032FC">
            <w:pPr>
              <w:spacing w:line="140" w:lineRule="exact"/>
              <w:jc w:val="right"/>
              <w:rPr>
                <w:rFonts w:ascii="Arial" w:hAnsi="Arial" w:cs="Arial"/>
                <w:color w:val="000000" w:themeColor="text1"/>
                <w:sz w:val="18"/>
                <w:szCs w:val="18"/>
                <w:lang w:val="hr-HR"/>
              </w:rPr>
            </w:pPr>
          </w:p>
        </w:tc>
      </w:tr>
      <w:tr w:rsidR="004E2F51" w:rsidRPr="003014A0" w14:paraId="77AEC00F" w14:textId="77777777" w:rsidTr="00E032FC">
        <w:trPr>
          <w:trHeight w:val="300"/>
        </w:trPr>
        <w:tc>
          <w:tcPr>
            <w:tcW w:w="3261" w:type="dxa"/>
            <w:tcBorders>
              <w:top w:val="nil"/>
              <w:left w:val="nil"/>
              <w:bottom w:val="nil"/>
              <w:right w:val="nil"/>
            </w:tcBorders>
            <w:shd w:val="clear" w:color="auto" w:fill="auto"/>
            <w:vAlign w:val="bottom"/>
          </w:tcPr>
          <w:p w14:paraId="646C7015" w14:textId="77777777" w:rsidR="004E2F51" w:rsidRPr="003014A0" w:rsidRDefault="004E2F51" w:rsidP="00E032FC">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Dobit prije oporezivanja</w:t>
            </w:r>
          </w:p>
        </w:tc>
        <w:tc>
          <w:tcPr>
            <w:tcW w:w="1134" w:type="dxa"/>
            <w:shd w:val="clear" w:color="auto" w:fill="auto"/>
            <w:noWrap/>
          </w:tcPr>
          <w:p w14:paraId="2F14D1F0" w14:textId="77777777" w:rsidR="004E2F51" w:rsidRPr="00A4202A"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186.173 </w:t>
            </w:r>
          </w:p>
        </w:tc>
        <w:tc>
          <w:tcPr>
            <w:tcW w:w="1667" w:type="dxa"/>
            <w:shd w:val="clear" w:color="auto" w:fill="auto"/>
            <w:noWrap/>
          </w:tcPr>
          <w:p w14:paraId="4CC6A4C6" w14:textId="77777777" w:rsidR="004E2F51" w:rsidRPr="00A4202A"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3.450 </w:t>
            </w:r>
          </w:p>
        </w:tc>
        <w:tc>
          <w:tcPr>
            <w:tcW w:w="1168" w:type="dxa"/>
            <w:shd w:val="clear" w:color="auto" w:fill="auto"/>
            <w:noWrap/>
          </w:tcPr>
          <w:p w14:paraId="7BAC2FCB" w14:textId="77777777" w:rsidR="004E2F51" w:rsidRPr="00A4202A"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507 </w:t>
            </w:r>
          </w:p>
        </w:tc>
        <w:tc>
          <w:tcPr>
            <w:tcW w:w="1559" w:type="dxa"/>
            <w:shd w:val="clear" w:color="auto" w:fill="auto"/>
            <w:noWrap/>
          </w:tcPr>
          <w:p w14:paraId="17B28638" w14:textId="77777777" w:rsidR="004E2F51" w:rsidRPr="00A4202A"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 </w:t>
            </w:r>
          </w:p>
        </w:tc>
        <w:tc>
          <w:tcPr>
            <w:tcW w:w="1134" w:type="dxa"/>
            <w:shd w:val="clear" w:color="auto" w:fill="auto"/>
            <w:noWrap/>
          </w:tcPr>
          <w:p w14:paraId="36D3D568" w14:textId="77777777" w:rsidR="004E2F51" w:rsidRPr="00A4202A" w:rsidRDefault="004E2F51" w:rsidP="00E032FC">
            <w:pPr>
              <w:spacing w:line="300" w:lineRule="exact"/>
              <w:jc w:val="right"/>
              <w:rPr>
                <w:rFonts w:ascii="Arial" w:hAnsi="Arial" w:cs="Arial"/>
                <w:color w:val="000000" w:themeColor="text1"/>
                <w:sz w:val="18"/>
                <w:szCs w:val="18"/>
                <w:lang w:val="hr-HR"/>
              </w:rPr>
            </w:pPr>
            <w:r w:rsidRPr="00A4202A">
              <w:rPr>
                <w:rFonts w:ascii="Arial" w:hAnsi="Arial" w:cs="Arial"/>
                <w:color w:val="000000" w:themeColor="text1"/>
                <w:sz w:val="18"/>
                <w:szCs w:val="18"/>
                <w:lang w:val="hr-HR"/>
              </w:rPr>
              <w:t xml:space="preserve"> 190.130 </w:t>
            </w:r>
          </w:p>
        </w:tc>
      </w:tr>
      <w:tr w:rsidR="004E2F51" w:rsidRPr="003014A0" w14:paraId="60065659" w14:textId="77777777" w:rsidTr="00E032FC">
        <w:trPr>
          <w:trHeight w:val="300"/>
        </w:trPr>
        <w:tc>
          <w:tcPr>
            <w:tcW w:w="3261" w:type="dxa"/>
            <w:tcBorders>
              <w:top w:val="nil"/>
              <w:left w:val="nil"/>
              <w:right w:val="nil"/>
            </w:tcBorders>
            <w:shd w:val="clear" w:color="auto" w:fill="auto"/>
            <w:vAlign w:val="bottom"/>
          </w:tcPr>
          <w:p w14:paraId="060AF205"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Porez na dobit</w:t>
            </w:r>
          </w:p>
        </w:tc>
        <w:tc>
          <w:tcPr>
            <w:tcW w:w="1134" w:type="dxa"/>
            <w:tcBorders>
              <w:top w:val="nil"/>
              <w:left w:val="nil"/>
              <w:bottom w:val="single" w:sz="4" w:space="0" w:color="auto"/>
              <w:right w:val="nil"/>
            </w:tcBorders>
            <w:shd w:val="clear" w:color="auto" w:fill="auto"/>
            <w:noWrap/>
            <w:vAlign w:val="bottom"/>
          </w:tcPr>
          <w:p w14:paraId="6CF352F3" w14:textId="77777777" w:rsidR="004E2F51" w:rsidRPr="003014A0" w:rsidRDefault="004E2F51" w:rsidP="00E032FC">
            <w:pPr>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667" w:type="dxa"/>
            <w:tcBorders>
              <w:top w:val="nil"/>
              <w:left w:val="nil"/>
              <w:bottom w:val="single" w:sz="4" w:space="0" w:color="auto"/>
              <w:right w:val="nil"/>
            </w:tcBorders>
            <w:shd w:val="clear" w:color="auto" w:fill="auto"/>
            <w:noWrap/>
            <w:vAlign w:val="bottom"/>
          </w:tcPr>
          <w:p w14:paraId="4DC229C4" w14:textId="77777777" w:rsidR="004E2F51" w:rsidRPr="003014A0" w:rsidRDefault="004E2F51" w:rsidP="00E032FC">
            <w:pPr>
              <w:spacing w:line="300" w:lineRule="exact"/>
              <w:jc w:val="right"/>
              <w:rPr>
                <w:rFonts w:ascii="Arial" w:hAnsi="Arial" w:cs="Arial"/>
                <w:bCs/>
                <w:sz w:val="18"/>
                <w:szCs w:val="18"/>
              </w:rPr>
            </w:pPr>
            <w:r w:rsidRPr="00A4202A">
              <w:rPr>
                <w:rFonts w:ascii="Arial" w:hAnsi="Arial" w:cs="Arial"/>
                <w:bCs/>
                <w:sz w:val="18"/>
                <w:szCs w:val="18"/>
              </w:rPr>
              <w:t>(672)</w:t>
            </w:r>
          </w:p>
        </w:tc>
        <w:tc>
          <w:tcPr>
            <w:tcW w:w="1168" w:type="dxa"/>
            <w:tcBorders>
              <w:top w:val="nil"/>
              <w:left w:val="nil"/>
              <w:bottom w:val="single" w:sz="4" w:space="0" w:color="auto"/>
              <w:right w:val="nil"/>
            </w:tcBorders>
            <w:shd w:val="clear" w:color="auto" w:fill="auto"/>
            <w:noWrap/>
            <w:vAlign w:val="bottom"/>
          </w:tcPr>
          <w:p w14:paraId="2CC916DA" w14:textId="77777777" w:rsidR="004E2F51" w:rsidRPr="003014A0" w:rsidRDefault="004E2F51" w:rsidP="00E032FC">
            <w:pPr>
              <w:spacing w:line="300" w:lineRule="exact"/>
              <w:jc w:val="right"/>
              <w:rPr>
                <w:rFonts w:ascii="Arial" w:hAnsi="Arial" w:cs="Arial"/>
                <w:bCs/>
                <w:sz w:val="18"/>
                <w:szCs w:val="18"/>
              </w:rPr>
            </w:pPr>
            <w:r>
              <w:rPr>
                <w:rFonts w:ascii="Arial" w:hAnsi="Arial" w:cs="Arial"/>
                <w:bCs/>
                <w:sz w:val="18"/>
                <w:szCs w:val="18"/>
              </w:rPr>
              <w:t>-</w:t>
            </w:r>
          </w:p>
        </w:tc>
        <w:tc>
          <w:tcPr>
            <w:tcW w:w="1559" w:type="dxa"/>
            <w:tcBorders>
              <w:top w:val="nil"/>
              <w:left w:val="nil"/>
              <w:bottom w:val="single" w:sz="4" w:space="0" w:color="auto"/>
              <w:right w:val="nil"/>
            </w:tcBorders>
            <w:shd w:val="clear" w:color="auto" w:fill="auto"/>
            <w:noWrap/>
            <w:vAlign w:val="bottom"/>
          </w:tcPr>
          <w:p w14:paraId="397E6A15" w14:textId="77777777" w:rsidR="004E2F51" w:rsidRPr="003014A0" w:rsidRDefault="004E2F51" w:rsidP="00E032FC">
            <w:pPr>
              <w:spacing w:line="300" w:lineRule="exact"/>
              <w:jc w:val="right"/>
              <w:rPr>
                <w:rFonts w:ascii="Arial" w:hAnsi="Arial" w:cs="Arial"/>
                <w:bCs/>
                <w:sz w:val="18"/>
                <w:szCs w:val="18"/>
              </w:rPr>
            </w:pPr>
            <w:r>
              <w:rPr>
                <w:rFonts w:ascii="Arial" w:hAnsi="Arial" w:cs="Arial"/>
                <w:bCs/>
                <w:sz w:val="18"/>
                <w:szCs w:val="18"/>
              </w:rPr>
              <w:t>-</w:t>
            </w:r>
          </w:p>
        </w:tc>
        <w:tc>
          <w:tcPr>
            <w:tcW w:w="1134" w:type="dxa"/>
            <w:tcBorders>
              <w:top w:val="nil"/>
              <w:left w:val="nil"/>
              <w:bottom w:val="single" w:sz="4" w:space="0" w:color="auto"/>
              <w:right w:val="nil"/>
            </w:tcBorders>
            <w:shd w:val="clear" w:color="auto" w:fill="auto"/>
            <w:noWrap/>
            <w:vAlign w:val="bottom"/>
          </w:tcPr>
          <w:p w14:paraId="41B88D02" w14:textId="77777777" w:rsidR="004E2F51" w:rsidRPr="003014A0" w:rsidRDefault="004E2F51" w:rsidP="00E032FC">
            <w:pPr>
              <w:spacing w:line="300" w:lineRule="exact"/>
              <w:jc w:val="right"/>
              <w:rPr>
                <w:rFonts w:ascii="Arial" w:hAnsi="Arial" w:cs="Arial"/>
                <w:bCs/>
                <w:sz w:val="18"/>
                <w:szCs w:val="18"/>
              </w:rPr>
            </w:pPr>
            <w:r w:rsidRPr="00A4202A">
              <w:rPr>
                <w:rFonts w:ascii="Arial" w:hAnsi="Arial" w:cs="Arial"/>
                <w:bCs/>
                <w:sz w:val="18"/>
                <w:szCs w:val="18"/>
              </w:rPr>
              <w:t>(672)</w:t>
            </w:r>
          </w:p>
        </w:tc>
      </w:tr>
      <w:tr w:rsidR="004E2F51" w:rsidRPr="003014A0" w14:paraId="302D5C7F" w14:textId="77777777" w:rsidTr="00E032FC">
        <w:trPr>
          <w:trHeight w:val="315"/>
        </w:trPr>
        <w:tc>
          <w:tcPr>
            <w:tcW w:w="3261" w:type="dxa"/>
            <w:tcBorders>
              <w:left w:val="nil"/>
              <w:right w:val="nil"/>
            </w:tcBorders>
            <w:shd w:val="clear" w:color="auto" w:fill="auto"/>
            <w:vAlign w:val="bottom"/>
          </w:tcPr>
          <w:p w14:paraId="6E2B7F41" w14:textId="77777777" w:rsidR="004E2F51" w:rsidRPr="003014A0" w:rsidRDefault="004E2F51" w:rsidP="00E032FC">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Dobit za godinu</w:t>
            </w:r>
          </w:p>
        </w:tc>
        <w:tc>
          <w:tcPr>
            <w:tcW w:w="1134" w:type="dxa"/>
            <w:shd w:val="clear" w:color="auto" w:fill="auto"/>
            <w:noWrap/>
          </w:tcPr>
          <w:p w14:paraId="15BDC22C"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186.173 </w:t>
            </w:r>
          </w:p>
        </w:tc>
        <w:tc>
          <w:tcPr>
            <w:tcW w:w="1667" w:type="dxa"/>
            <w:shd w:val="clear" w:color="auto" w:fill="auto"/>
            <w:noWrap/>
          </w:tcPr>
          <w:p w14:paraId="2BCED8A5"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2.778 </w:t>
            </w:r>
          </w:p>
        </w:tc>
        <w:tc>
          <w:tcPr>
            <w:tcW w:w="1168" w:type="dxa"/>
            <w:tcBorders>
              <w:top w:val="single" w:sz="4" w:space="0" w:color="auto"/>
              <w:left w:val="nil"/>
              <w:bottom w:val="single" w:sz="12" w:space="0" w:color="auto"/>
              <w:right w:val="nil"/>
            </w:tcBorders>
            <w:shd w:val="clear" w:color="auto" w:fill="auto"/>
            <w:noWrap/>
          </w:tcPr>
          <w:p w14:paraId="3959F06F"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507 </w:t>
            </w:r>
          </w:p>
        </w:tc>
        <w:tc>
          <w:tcPr>
            <w:tcW w:w="1559" w:type="dxa"/>
            <w:tcBorders>
              <w:top w:val="single" w:sz="4" w:space="0" w:color="auto"/>
              <w:left w:val="nil"/>
              <w:bottom w:val="single" w:sz="12" w:space="0" w:color="auto"/>
              <w:right w:val="nil"/>
            </w:tcBorders>
            <w:shd w:val="clear" w:color="auto" w:fill="auto"/>
            <w:noWrap/>
          </w:tcPr>
          <w:p w14:paraId="4A699888"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 </w:t>
            </w:r>
          </w:p>
        </w:tc>
        <w:tc>
          <w:tcPr>
            <w:tcW w:w="1134" w:type="dxa"/>
            <w:tcBorders>
              <w:top w:val="single" w:sz="4" w:space="0" w:color="auto"/>
              <w:left w:val="nil"/>
              <w:bottom w:val="single" w:sz="12" w:space="0" w:color="auto"/>
              <w:right w:val="nil"/>
            </w:tcBorders>
            <w:shd w:val="clear" w:color="auto" w:fill="auto"/>
            <w:noWrap/>
          </w:tcPr>
          <w:p w14:paraId="500D7AD0"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189.458 </w:t>
            </w:r>
          </w:p>
        </w:tc>
      </w:tr>
      <w:tr w:rsidR="004E2F51" w:rsidRPr="003014A0" w14:paraId="5C917A84" w14:textId="77777777" w:rsidTr="00E032FC">
        <w:trPr>
          <w:trHeight w:val="52"/>
        </w:trPr>
        <w:tc>
          <w:tcPr>
            <w:tcW w:w="3261" w:type="dxa"/>
            <w:tcBorders>
              <w:left w:val="nil"/>
              <w:bottom w:val="nil"/>
              <w:right w:val="nil"/>
            </w:tcBorders>
            <w:shd w:val="clear" w:color="auto" w:fill="auto"/>
            <w:vAlign w:val="bottom"/>
          </w:tcPr>
          <w:p w14:paraId="5742534B" w14:textId="77777777" w:rsidR="004E2F51" w:rsidRPr="003014A0" w:rsidRDefault="004E2F51" w:rsidP="00E032FC">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26825850"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7182B666"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3E9C4FE1"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0DB14914"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654D2BAD" w14:textId="77777777" w:rsidR="004E2F51" w:rsidRPr="003014A0" w:rsidRDefault="004E2F51" w:rsidP="00E032FC">
            <w:pPr>
              <w:spacing w:line="140" w:lineRule="exact"/>
              <w:jc w:val="right"/>
              <w:rPr>
                <w:rFonts w:ascii="Arial" w:hAnsi="Arial" w:cs="Arial"/>
                <w:color w:val="000000" w:themeColor="text1"/>
                <w:sz w:val="18"/>
                <w:szCs w:val="18"/>
                <w:lang w:val="hr-HR"/>
              </w:rPr>
            </w:pPr>
          </w:p>
        </w:tc>
      </w:tr>
      <w:tr w:rsidR="004E2F51" w:rsidRPr="003014A0" w14:paraId="61E2FD9C" w14:textId="77777777" w:rsidTr="00E032FC">
        <w:trPr>
          <w:trHeight w:val="300"/>
        </w:trPr>
        <w:tc>
          <w:tcPr>
            <w:tcW w:w="3261" w:type="dxa"/>
            <w:tcBorders>
              <w:top w:val="nil"/>
              <w:left w:val="nil"/>
              <w:right w:val="nil"/>
            </w:tcBorders>
            <w:shd w:val="clear" w:color="auto" w:fill="auto"/>
            <w:vAlign w:val="bottom"/>
          </w:tcPr>
          <w:p w14:paraId="5415FEA8" w14:textId="77777777" w:rsidR="004E2F51" w:rsidRPr="003014A0" w:rsidRDefault="004E2F51" w:rsidP="00E032FC">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31. prosinca 202</w:t>
            </w:r>
            <w:r>
              <w:rPr>
                <w:rFonts w:ascii="Arial" w:hAnsi="Arial" w:cs="Arial"/>
                <w:b/>
                <w:bCs/>
                <w:color w:val="000000" w:themeColor="text1"/>
                <w:sz w:val="18"/>
                <w:szCs w:val="18"/>
                <w:lang w:val="hr-HR"/>
              </w:rPr>
              <w:t>2</w:t>
            </w:r>
            <w:r w:rsidRPr="003014A0">
              <w:rPr>
                <w:rFonts w:ascii="Arial" w:hAnsi="Arial" w:cs="Arial"/>
                <w:b/>
                <w:bCs/>
                <w:color w:val="000000" w:themeColor="text1"/>
                <w:sz w:val="18"/>
                <w:szCs w:val="18"/>
                <w:lang w:val="hr-HR"/>
              </w:rPr>
              <w:t>.</w:t>
            </w:r>
          </w:p>
        </w:tc>
        <w:tc>
          <w:tcPr>
            <w:tcW w:w="1134" w:type="dxa"/>
            <w:tcBorders>
              <w:top w:val="nil"/>
              <w:left w:val="nil"/>
              <w:bottom w:val="single" w:sz="4" w:space="0" w:color="auto"/>
              <w:right w:val="nil"/>
            </w:tcBorders>
            <w:shd w:val="clear" w:color="auto" w:fill="auto"/>
            <w:noWrap/>
            <w:vAlign w:val="bottom"/>
          </w:tcPr>
          <w:p w14:paraId="6AD751AA" w14:textId="77777777" w:rsidR="004E2F51" w:rsidRPr="003014A0" w:rsidRDefault="004E2F51" w:rsidP="00E032FC">
            <w:pPr>
              <w:spacing w:line="300" w:lineRule="exact"/>
              <w:jc w:val="right"/>
              <w:rPr>
                <w:rFonts w:ascii="Arial" w:hAnsi="Arial" w:cs="Arial"/>
                <w:color w:val="000000" w:themeColor="text1"/>
                <w:sz w:val="18"/>
                <w:szCs w:val="18"/>
                <w:lang w:val="hr-HR"/>
              </w:rPr>
            </w:pPr>
          </w:p>
        </w:tc>
        <w:tc>
          <w:tcPr>
            <w:tcW w:w="1667" w:type="dxa"/>
            <w:tcBorders>
              <w:top w:val="nil"/>
              <w:left w:val="nil"/>
              <w:bottom w:val="single" w:sz="4" w:space="0" w:color="auto"/>
              <w:right w:val="nil"/>
            </w:tcBorders>
            <w:shd w:val="clear" w:color="auto" w:fill="auto"/>
            <w:noWrap/>
            <w:vAlign w:val="bottom"/>
          </w:tcPr>
          <w:p w14:paraId="6164D068" w14:textId="77777777" w:rsidR="004E2F51" w:rsidRPr="003014A0" w:rsidRDefault="004E2F51" w:rsidP="00E032FC">
            <w:pPr>
              <w:spacing w:line="300" w:lineRule="exact"/>
              <w:jc w:val="right"/>
              <w:rPr>
                <w:rFonts w:ascii="Arial" w:hAnsi="Arial" w:cs="Arial"/>
                <w:color w:val="000000" w:themeColor="text1"/>
                <w:sz w:val="18"/>
                <w:szCs w:val="18"/>
                <w:lang w:val="hr-HR"/>
              </w:rPr>
            </w:pPr>
          </w:p>
        </w:tc>
        <w:tc>
          <w:tcPr>
            <w:tcW w:w="1168" w:type="dxa"/>
            <w:tcBorders>
              <w:top w:val="nil"/>
              <w:left w:val="nil"/>
              <w:bottom w:val="single" w:sz="4" w:space="0" w:color="auto"/>
              <w:right w:val="nil"/>
            </w:tcBorders>
            <w:shd w:val="clear" w:color="auto" w:fill="auto"/>
            <w:noWrap/>
            <w:vAlign w:val="bottom"/>
          </w:tcPr>
          <w:p w14:paraId="739C041D" w14:textId="77777777" w:rsidR="004E2F51" w:rsidRPr="003014A0" w:rsidRDefault="004E2F51" w:rsidP="00E032FC">
            <w:pPr>
              <w:spacing w:line="300" w:lineRule="exact"/>
              <w:jc w:val="right"/>
              <w:rPr>
                <w:rFonts w:ascii="Arial" w:hAnsi="Arial" w:cs="Arial"/>
                <w:color w:val="000000" w:themeColor="text1"/>
                <w:sz w:val="18"/>
                <w:szCs w:val="18"/>
                <w:lang w:val="hr-HR"/>
              </w:rPr>
            </w:pPr>
          </w:p>
        </w:tc>
        <w:tc>
          <w:tcPr>
            <w:tcW w:w="1559" w:type="dxa"/>
            <w:tcBorders>
              <w:top w:val="nil"/>
              <w:left w:val="nil"/>
              <w:bottom w:val="single" w:sz="4" w:space="0" w:color="auto"/>
              <w:right w:val="nil"/>
            </w:tcBorders>
            <w:shd w:val="clear" w:color="auto" w:fill="auto"/>
            <w:noWrap/>
            <w:vAlign w:val="bottom"/>
          </w:tcPr>
          <w:p w14:paraId="4356C0AD" w14:textId="77777777" w:rsidR="004E2F51" w:rsidRPr="003014A0" w:rsidRDefault="004E2F51" w:rsidP="00E032FC">
            <w:pPr>
              <w:spacing w:line="300" w:lineRule="exact"/>
              <w:jc w:val="right"/>
              <w:rPr>
                <w:rFonts w:ascii="Arial" w:hAnsi="Arial" w:cs="Arial"/>
                <w:color w:val="000000" w:themeColor="text1"/>
                <w:sz w:val="18"/>
                <w:szCs w:val="18"/>
                <w:lang w:val="hr-HR"/>
              </w:rPr>
            </w:pPr>
          </w:p>
        </w:tc>
        <w:tc>
          <w:tcPr>
            <w:tcW w:w="1134" w:type="dxa"/>
            <w:tcBorders>
              <w:top w:val="nil"/>
              <w:left w:val="nil"/>
              <w:bottom w:val="single" w:sz="4" w:space="0" w:color="auto"/>
              <w:right w:val="nil"/>
            </w:tcBorders>
            <w:shd w:val="clear" w:color="auto" w:fill="auto"/>
            <w:noWrap/>
            <w:vAlign w:val="bottom"/>
          </w:tcPr>
          <w:p w14:paraId="722A754D" w14:textId="77777777" w:rsidR="004E2F51" w:rsidRPr="003014A0" w:rsidRDefault="004E2F51" w:rsidP="00E032FC">
            <w:pPr>
              <w:spacing w:line="300" w:lineRule="exact"/>
              <w:jc w:val="right"/>
              <w:rPr>
                <w:rFonts w:ascii="Arial" w:hAnsi="Arial" w:cs="Arial"/>
                <w:color w:val="000000" w:themeColor="text1"/>
                <w:sz w:val="18"/>
                <w:szCs w:val="18"/>
                <w:lang w:val="hr-HR"/>
              </w:rPr>
            </w:pPr>
          </w:p>
        </w:tc>
      </w:tr>
      <w:tr w:rsidR="004E2F51" w:rsidRPr="003014A0" w14:paraId="219A1833" w14:textId="77777777" w:rsidTr="00E032FC">
        <w:trPr>
          <w:trHeight w:val="300"/>
        </w:trPr>
        <w:tc>
          <w:tcPr>
            <w:tcW w:w="3261" w:type="dxa"/>
            <w:tcBorders>
              <w:top w:val="nil"/>
              <w:left w:val="nil"/>
              <w:right w:val="nil"/>
            </w:tcBorders>
            <w:shd w:val="clear" w:color="auto" w:fill="auto"/>
            <w:vAlign w:val="bottom"/>
          </w:tcPr>
          <w:p w14:paraId="5C284693"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Imovina segmenta</w:t>
            </w:r>
          </w:p>
        </w:tc>
        <w:tc>
          <w:tcPr>
            <w:tcW w:w="1134" w:type="dxa"/>
            <w:tcBorders>
              <w:top w:val="nil"/>
              <w:left w:val="nil"/>
              <w:bottom w:val="single" w:sz="4" w:space="0" w:color="auto"/>
              <w:right w:val="nil"/>
            </w:tcBorders>
            <w:shd w:val="clear" w:color="auto" w:fill="auto"/>
            <w:noWrap/>
          </w:tcPr>
          <w:p w14:paraId="10286DBE"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29.032.307 </w:t>
            </w:r>
          </w:p>
        </w:tc>
        <w:tc>
          <w:tcPr>
            <w:tcW w:w="1667" w:type="dxa"/>
            <w:tcBorders>
              <w:top w:val="nil"/>
              <w:left w:val="nil"/>
              <w:bottom w:val="single" w:sz="4" w:space="0" w:color="auto"/>
              <w:right w:val="nil"/>
            </w:tcBorders>
            <w:shd w:val="clear" w:color="auto" w:fill="auto"/>
            <w:noWrap/>
          </w:tcPr>
          <w:p w14:paraId="7A06BA8E"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83.316 </w:t>
            </w:r>
          </w:p>
        </w:tc>
        <w:tc>
          <w:tcPr>
            <w:tcW w:w="1168" w:type="dxa"/>
            <w:tcBorders>
              <w:top w:val="nil"/>
              <w:left w:val="nil"/>
              <w:bottom w:val="single" w:sz="4" w:space="0" w:color="auto"/>
              <w:right w:val="nil"/>
            </w:tcBorders>
            <w:shd w:val="clear" w:color="auto" w:fill="auto"/>
            <w:noWrap/>
          </w:tcPr>
          <w:p w14:paraId="6F2FE40D"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1.192 </w:t>
            </w:r>
          </w:p>
        </w:tc>
        <w:tc>
          <w:tcPr>
            <w:tcW w:w="1559" w:type="dxa"/>
            <w:tcBorders>
              <w:top w:val="nil"/>
              <w:left w:val="nil"/>
              <w:bottom w:val="single" w:sz="4" w:space="0" w:color="auto"/>
              <w:right w:val="nil"/>
            </w:tcBorders>
            <w:shd w:val="clear" w:color="auto" w:fill="auto"/>
            <w:noWrap/>
          </w:tcPr>
          <w:p w14:paraId="1B4CBA57"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(56.652)</w:t>
            </w:r>
          </w:p>
        </w:tc>
        <w:tc>
          <w:tcPr>
            <w:tcW w:w="1134" w:type="dxa"/>
            <w:tcBorders>
              <w:top w:val="nil"/>
              <w:left w:val="nil"/>
              <w:bottom w:val="single" w:sz="4" w:space="0" w:color="auto"/>
              <w:right w:val="nil"/>
            </w:tcBorders>
            <w:shd w:val="clear" w:color="auto" w:fill="auto"/>
            <w:noWrap/>
          </w:tcPr>
          <w:p w14:paraId="69955992"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29.060.163 </w:t>
            </w:r>
          </w:p>
        </w:tc>
      </w:tr>
      <w:tr w:rsidR="004E2F51" w:rsidRPr="003014A0" w14:paraId="0855980F" w14:textId="77777777" w:rsidTr="00E032FC">
        <w:trPr>
          <w:trHeight w:val="315"/>
        </w:trPr>
        <w:tc>
          <w:tcPr>
            <w:tcW w:w="3261" w:type="dxa"/>
            <w:tcBorders>
              <w:left w:val="nil"/>
              <w:right w:val="nil"/>
            </w:tcBorders>
            <w:shd w:val="clear" w:color="auto" w:fill="auto"/>
            <w:vAlign w:val="bottom"/>
          </w:tcPr>
          <w:p w14:paraId="2F9F0E0E" w14:textId="77777777" w:rsidR="004E2F51" w:rsidRPr="003014A0" w:rsidRDefault="004E2F51" w:rsidP="00E032FC">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Ukupna imovina</w:t>
            </w:r>
          </w:p>
        </w:tc>
        <w:tc>
          <w:tcPr>
            <w:tcW w:w="1134" w:type="dxa"/>
            <w:tcBorders>
              <w:top w:val="single" w:sz="4" w:space="0" w:color="auto"/>
              <w:left w:val="nil"/>
              <w:bottom w:val="single" w:sz="12" w:space="0" w:color="auto"/>
              <w:right w:val="nil"/>
            </w:tcBorders>
            <w:shd w:val="clear" w:color="auto" w:fill="auto"/>
            <w:noWrap/>
          </w:tcPr>
          <w:p w14:paraId="03EB0B67"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29.032.307 </w:t>
            </w:r>
          </w:p>
        </w:tc>
        <w:tc>
          <w:tcPr>
            <w:tcW w:w="1667" w:type="dxa"/>
            <w:tcBorders>
              <w:top w:val="single" w:sz="4" w:space="0" w:color="auto"/>
              <w:left w:val="nil"/>
              <w:bottom w:val="single" w:sz="12" w:space="0" w:color="auto"/>
              <w:right w:val="nil"/>
            </w:tcBorders>
            <w:shd w:val="clear" w:color="auto" w:fill="auto"/>
            <w:noWrap/>
          </w:tcPr>
          <w:p w14:paraId="6B211980"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83.316 </w:t>
            </w:r>
          </w:p>
        </w:tc>
        <w:tc>
          <w:tcPr>
            <w:tcW w:w="1168" w:type="dxa"/>
            <w:tcBorders>
              <w:top w:val="single" w:sz="4" w:space="0" w:color="auto"/>
              <w:left w:val="nil"/>
              <w:bottom w:val="single" w:sz="12" w:space="0" w:color="auto"/>
              <w:right w:val="nil"/>
            </w:tcBorders>
            <w:shd w:val="clear" w:color="auto" w:fill="auto"/>
            <w:noWrap/>
          </w:tcPr>
          <w:p w14:paraId="6FDC2E58"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1.192 </w:t>
            </w:r>
          </w:p>
        </w:tc>
        <w:tc>
          <w:tcPr>
            <w:tcW w:w="1559" w:type="dxa"/>
            <w:tcBorders>
              <w:top w:val="single" w:sz="4" w:space="0" w:color="auto"/>
              <w:left w:val="nil"/>
              <w:bottom w:val="single" w:sz="12" w:space="0" w:color="auto"/>
              <w:right w:val="nil"/>
            </w:tcBorders>
            <w:shd w:val="clear" w:color="auto" w:fill="auto"/>
            <w:noWrap/>
          </w:tcPr>
          <w:p w14:paraId="6CEAE711"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(56.652)</w:t>
            </w:r>
          </w:p>
        </w:tc>
        <w:tc>
          <w:tcPr>
            <w:tcW w:w="1134" w:type="dxa"/>
            <w:tcBorders>
              <w:top w:val="single" w:sz="4" w:space="0" w:color="auto"/>
              <w:left w:val="nil"/>
              <w:bottom w:val="single" w:sz="12" w:space="0" w:color="auto"/>
              <w:right w:val="nil"/>
            </w:tcBorders>
            <w:shd w:val="clear" w:color="auto" w:fill="auto"/>
            <w:noWrap/>
          </w:tcPr>
          <w:p w14:paraId="0AAF762F"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29.060.163 </w:t>
            </w:r>
          </w:p>
        </w:tc>
      </w:tr>
      <w:tr w:rsidR="004E2F51" w:rsidRPr="003014A0" w14:paraId="38190096" w14:textId="77777777" w:rsidTr="00E032FC">
        <w:trPr>
          <w:trHeight w:val="121"/>
        </w:trPr>
        <w:tc>
          <w:tcPr>
            <w:tcW w:w="3261" w:type="dxa"/>
            <w:tcBorders>
              <w:left w:val="nil"/>
              <w:bottom w:val="nil"/>
              <w:right w:val="nil"/>
            </w:tcBorders>
            <w:shd w:val="clear" w:color="auto" w:fill="auto"/>
            <w:vAlign w:val="bottom"/>
          </w:tcPr>
          <w:p w14:paraId="56B726A7" w14:textId="77777777" w:rsidR="004E2F51" w:rsidRPr="003014A0" w:rsidRDefault="004E2F51" w:rsidP="00E032FC">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4B52BF24"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407BA630"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62A35EAB"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3073C128"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63C5D8BF" w14:textId="77777777" w:rsidR="004E2F51" w:rsidRPr="003014A0" w:rsidRDefault="004E2F51" w:rsidP="00E032FC">
            <w:pPr>
              <w:spacing w:line="140" w:lineRule="exact"/>
              <w:jc w:val="right"/>
              <w:rPr>
                <w:rFonts w:ascii="Arial" w:hAnsi="Arial" w:cs="Arial"/>
                <w:color w:val="000000" w:themeColor="text1"/>
                <w:sz w:val="18"/>
                <w:szCs w:val="18"/>
                <w:lang w:val="hr-HR"/>
              </w:rPr>
            </w:pPr>
          </w:p>
        </w:tc>
      </w:tr>
      <w:tr w:rsidR="004E2F51" w:rsidRPr="003014A0" w14:paraId="28FD3646" w14:textId="77777777" w:rsidTr="00E032FC">
        <w:trPr>
          <w:trHeight w:val="300"/>
        </w:trPr>
        <w:tc>
          <w:tcPr>
            <w:tcW w:w="3261" w:type="dxa"/>
            <w:tcBorders>
              <w:top w:val="nil"/>
              <w:left w:val="nil"/>
              <w:bottom w:val="nil"/>
              <w:right w:val="nil"/>
            </w:tcBorders>
            <w:shd w:val="clear" w:color="auto" w:fill="auto"/>
            <w:vAlign w:val="bottom"/>
          </w:tcPr>
          <w:p w14:paraId="3238553B"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Obveze segmenta</w:t>
            </w:r>
          </w:p>
        </w:tc>
        <w:tc>
          <w:tcPr>
            <w:tcW w:w="1134" w:type="dxa"/>
            <w:shd w:val="clear" w:color="auto" w:fill="auto"/>
            <w:noWrap/>
          </w:tcPr>
          <w:p w14:paraId="362A9100"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18.321.707 </w:t>
            </w:r>
          </w:p>
        </w:tc>
        <w:tc>
          <w:tcPr>
            <w:tcW w:w="1667" w:type="dxa"/>
            <w:shd w:val="clear" w:color="auto" w:fill="auto"/>
            <w:noWrap/>
          </w:tcPr>
          <w:p w14:paraId="1A097B4D"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23.286 </w:t>
            </w:r>
          </w:p>
        </w:tc>
        <w:tc>
          <w:tcPr>
            <w:tcW w:w="1168" w:type="dxa"/>
            <w:shd w:val="clear" w:color="auto" w:fill="auto"/>
            <w:noWrap/>
          </w:tcPr>
          <w:p w14:paraId="78CC0BB1"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170 </w:t>
            </w:r>
          </w:p>
        </w:tc>
        <w:tc>
          <w:tcPr>
            <w:tcW w:w="1559" w:type="dxa"/>
            <w:shd w:val="clear" w:color="auto" w:fill="auto"/>
            <w:noWrap/>
          </w:tcPr>
          <w:p w14:paraId="46E97385"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(26)</w:t>
            </w:r>
          </w:p>
        </w:tc>
        <w:tc>
          <w:tcPr>
            <w:tcW w:w="1134" w:type="dxa"/>
            <w:shd w:val="clear" w:color="auto" w:fill="auto"/>
            <w:noWrap/>
          </w:tcPr>
          <w:p w14:paraId="050196A7"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18.345.137 </w:t>
            </w:r>
          </w:p>
        </w:tc>
      </w:tr>
      <w:tr w:rsidR="004E2F51" w:rsidRPr="003014A0" w14:paraId="0601505E" w14:textId="77777777" w:rsidTr="00E032FC">
        <w:trPr>
          <w:trHeight w:val="300"/>
        </w:trPr>
        <w:tc>
          <w:tcPr>
            <w:tcW w:w="3261" w:type="dxa"/>
            <w:tcBorders>
              <w:top w:val="nil"/>
              <w:left w:val="nil"/>
              <w:right w:val="nil"/>
            </w:tcBorders>
            <w:shd w:val="clear" w:color="auto" w:fill="auto"/>
            <w:vAlign w:val="bottom"/>
          </w:tcPr>
          <w:p w14:paraId="1517D859"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Ukupni kapital i rezerve</w:t>
            </w:r>
          </w:p>
        </w:tc>
        <w:tc>
          <w:tcPr>
            <w:tcW w:w="1134" w:type="dxa"/>
            <w:tcBorders>
              <w:top w:val="nil"/>
              <w:left w:val="nil"/>
              <w:bottom w:val="single" w:sz="4" w:space="0" w:color="auto"/>
              <w:right w:val="nil"/>
            </w:tcBorders>
            <w:shd w:val="clear" w:color="auto" w:fill="auto"/>
            <w:noWrap/>
          </w:tcPr>
          <w:p w14:paraId="4ED39BA8"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10.710.600 </w:t>
            </w:r>
          </w:p>
        </w:tc>
        <w:tc>
          <w:tcPr>
            <w:tcW w:w="1667" w:type="dxa"/>
            <w:tcBorders>
              <w:top w:val="nil"/>
              <w:left w:val="nil"/>
              <w:bottom w:val="single" w:sz="4" w:space="0" w:color="auto"/>
              <w:right w:val="nil"/>
            </w:tcBorders>
            <w:shd w:val="clear" w:color="auto" w:fill="auto"/>
            <w:noWrap/>
          </w:tcPr>
          <w:p w14:paraId="27076741"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2.112 </w:t>
            </w:r>
          </w:p>
        </w:tc>
        <w:tc>
          <w:tcPr>
            <w:tcW w:w="1168" w:type="dxa"/>
            <w:tcBorders>
              <w:top w:val="nil"/>
              <w:left w:val="nil"/>
              <w:bottom w:val="single" w:sz="4" w:space="0" w:color="auto"/>
              <w:right w:val="nil"/>
            </w:tcBorders>
            <w:shd w:val="clear" w:color="auto" w:fill="auto"/>
            <w:noWrap/>
          </w:tcPr>
          <w:p w14:paraId="6210FFAE"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764 </w:t>
            </w:r>
          </w:p>
        </w:tc>
        <w:tc>
          <w:tcPr>
            <w:tcW w:w="1559" w:type="dxa"/>
            <w:tcBorders>
              <w:top w:val="nil"/>
              <w:left w:val="nil"/>
              <w:bottom w:val="single" w:sz="4" w:space="0" w:color="auto"/>
              <w:right w:val="nil"/>
            </w:tcBorders>
            <w:shd w:val="clear" w:color="auto" w:fill="auto"/>
            <w:noWrap/>
          </w:tcPr>
          <w:p w14:paraId="412D9299"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1.550 </w:t>
            </w:r>
          </w:p>
        </w:tc>
        <w:tc>
          <w:tcPr>
            <w:tcW w:w="1134" w:type="dxa"/>
            <w:tcBorders>
              <w:top w:val="nil"/>
              <w:left w:val="nil"/>
              <w:bottom w:val="single" w:sz="4" w:space="0" w:color="auto"/>
              <w:right w:val="nil"/>
            </w:tcBorders>
            <w:shd w:val="clear" w:color="auto" w:fill="auto"/>
            <w:noWrap/>
          </w:tcPr>
          <w:p w14:paraId="0C5DD000" w14:textId="77777777" w:rsidR="004E2F51" w:rsidRPr="00A4202A"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10.715.026 </w:t>
            </w:r>
          </w:p>
        </w:tc>
      </w:tr>
      <w:tr w:rsidR="004E2F51" w:rsidRPr="003014A0" w14:paraId="7806628E" w14:textId="77777777" w:rsidTr="00E032FC">
        <w:trPr>
          <w:trHeight w:val="315"/>
        </w:trPr>
        <w:tc>
          <w:tcPr>
            <w:tcW w:w="3261" w:type="dxa"/>
            <w:tcBorders>
              <w:left w:val="nil"/>
              <w:right w:val="nil"/>
            </w:tcBorders>
            <w:shd w:val="clear" w:color="auto" w:fill="auto"/>
            <w:vAlign w:val="bottom"/>
          </w:tcPr>
          <w:p w14:paraId="7B74DABF" w14:textId="77777777" w:rsidR="004E2F51" w:rsidRPr="003014A0" w:rsidRDefault="004E2F51" w:rsidP="00E032FC">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Ukupne obveze i kapital i rezerve</w:t>
            </w:r>
          </w:p>
        </w:tc>
        <w:tc>
          <w:tcPr>
            <w:tcW w:w="1134" w:type="dxa"/>
            <w:tcBorders>
              <w:top w:val="single" w:sz="4" w:space="0" w:color="auto"/>
              <w:left w:val="nil"/>
              <w:bottom w:val="single" w:sz="12" w:space="0" w:color="auto"/>
              <w:right w:val="nil"/>
            </w:tcBorders>
            <w:shd w:val="clear" w:color="auto" w:fill="auto"/>
            <w:noWrap/>
          </w:tcPr>
          <w:p w14:paraId="4CF8BEDB"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29.032.307 </w:t>
            </w:r>
          </w:p>
        </w:tc>
        <w:tc>
          <w:tcPr>
            <w:tcW w:w="1667" w:type="dxa"/>
            <w:tcBorders>
              <w:top w:val="single" w:sz="4" w:space="0" w:color="auto"/>
              <w:left w:val="nil"/>
              <w:bottom w:val="single" w:sz="12" w:space="0" w:color="auto"/>
              <w:right w:val="nil"/>
            </w:tcBorders>
            <w:shd w:val="clear" w:color="auto" w:fill="auto"/>
            <w:noWrap/>
          </w:tcPr>
          <w:p w14:paraId="7DBEBFEE"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25.398 </w:t>
            </w:r>
          </w:p>
        </w:tc>
        <w:tc>
          <w:tcPr>
            <w:tcW w:w="1168" w:type="dxa"/>
            <w:tcBorders>
              <w:top w:val="single" w:sz="4" w:space="0" w:color="auto"/>
              <w:left w:val="nil"/>
              <w:bottom w:val="single" w:sz="12" w:space="0" w:color="auto"/>
              <w:right w:val="nil"/>
            </w:tcBorders>
            <w:shd w:val="clear" w:color="auto" w:fill="auto"/>
            <w:noWrap/>
          </w:tcPr>
          <w:p w14:paraId="19D60EA4"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934 </w:t>
            </w:r>
          </w:p>
        </w:tc>
        <w:tc>
          <w:tcPr>
            <w:tcW w:w="1559" w:type="dxa"/>
            <w:tcBorders>
              <w:top w:val="single" w:sz="4" w:space="0" w:color="auto"/>
              <w:left w:val="nil"/>
              <w:bottom w:val="single" w:sz="12" w:space="0" w:color="auto"/>
              <w:right w:val="nil"/>
            </w:tcBorders>
            <w:shd w:val="clear" w:color="auto" w:fill="auto"/>
            <w:noWrap/>
          </w:tcPr>
          <w:p w14:paraId="43FC62C0"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 1.524 </w:t>
            </w:r>
          </w:p>
        </w:tc>
        <w:tc>
          <w:tcPr>
            <w:tcW w:w="1134" w:type="dxa"/>
            <w:tcBorders>
              <w:top w:val="single" w:sz="4" w:space="0" w:color="auto"/>
              <w:left w:val="nil"/>
              <w:bottom w:val="single" w:sz="12" w:space="0" w:color="auto"/>
              <w:right w:val="nil"/>
            </w:tcBorders>
            <w:shd w:val="clear" w:color="auto" w:fill="auto"/>
            <w:noWrap/>
          </w:tcPr>
          <w:p w14:paraId="446529EE"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A4202A">
              <w:rPr>
                <w:rFonts w:ascii="Arial" w:hAnsi="Arial" w:cs="Arial"/>
                <w:b/>
                <w:bCs/>
                <w:color w:val="000000" w:themeColor="text1"/>
                <w:sz w:val="18"/>
                <w:szCs w:val="18"/>
                <w:lang w:val="hr-HR"/>
              </w:rPr>
              <w:t xml:space="preserve">29.060.163 </w:t>
            </w:r>
          </w:p>
        </w:tc>
      </w:tr>
      <w:bookmarkEnd w:id="2066"/>
    </w:tbl>
    <w:p w14:paraId="27FFCC49" w14:textId="77777777" w:rsidR="004E2F51" w:rsidRPr="003014A0" w:rsidRDefault="004E2F51" w:rsidP="004E2F51">
      <w:pPr>
        <w:jc w:val="both"/>
        <w:rPr>
          <w:rFonts w:ascii="Arial" w:hAnsi="Arial" w:cs="Arial"/>
          <w:color w:val="000000" w:themeColor="text1"/>
          <w:sz w:val="20"/>
          <w:szCs w:val="20"/>
          <w:lang w:val="hr-HR"/>
        </w:rPr>
      </w:pPr>
    </w:p>
    <w:p w14:paraId="1B4CD92C" w14:textId="77777777" w:rsidR="004E2F51" w:rsidRPr="003014A0" w:rsidRDefault="004E2F51" w:rsidP="004E2F51">
      <w:pPr>
        <w:jc w:val="both"/>
        <w:rPr>
          <w:rFonts w:ascii="Arial" w:hAnsi="Arial" w:cs="Arial"/>
          <w:color w:val="000000" w:themeColor="text1"/>
          <w:sz w:val="20"/>
          <w:szCs w:val="20"/>
          <w:lang w:val="hr-HR"/>
        </w:rPr>
      </w:pPr>
    </w:p>
    <w:p w14:paraId="6E343FDA" w14:textId="77777777" w:rsidR="004E2F51" w:rsidRPr="003014A0" w:rsidRDefault="004E2F51" w:rsidP="004E2F51">
      <w:pPr>
        <w:jc w:val="both"/>
        <w:rPr>
          <w:rFonts w:ascii="Arial" w:hAnsi="Arial" w:cs="Arial"/>
          <w:color w:val="000000" w:themeColor="text1"/>
          <w:sz w:val="20"/>
          <w:szCs w:val="20"/>
          <w:lang w:val="hr-HR"/>
        </w:rPr>
      </w:pPr>
      <w:r w:rsidRPr="003014A0">
        <w:rPr>
          <w:rFonts w:ascii="Arial" w:hAnsi="Arial" w:cs="Arial"/>
          <w:color w:val="000000" w:themeColor="text1"/>
          <w:sz w:val="20"/>
          <w:szCs w:val="20"/>
          <w:lang w:val="hr-HR"/>
        </w:rPr>
        <w:t>Međusobni odnosi između članica Grupe iskazani su u koloni „Neraspoređeno“.</w:t>
      </w:r>
    </w:p>
    <w:p w14:paraId="65828A59" w14:textId="77777777" w:rsidR="004E2F51" w:rsidRPr="003014A0" w:rsidRDefault="004E2F51" w:rsidP="004E2F51">
      <w:pPr>
        <w:jc w:val="both"/>
        <w:rPr>
          <w:rFonts w:ascii="Arial" w:hAnsi="Arial" w:cs="Arial"/>
          <w:color w:val="000000" w:themeColor="text1"/>
          <w:sz w:val="20"/>
          <w:szCs w:val="20"/>
          <w:lang w:val="hr-HR"/>
        </w:rPr>
      </w:pPr>
    </w:p>
    <w:p w14:paraId="5C0277C9" w14:textId="77777777" w:rsidR="004E2F51" w:rsidRPr="003014A0" w:rsidRDefault="004E2F51" w:rsidP="004E2F51">
      <w:pPr>
        <w:jc w:val="both"/>
        <w:rPr>
          <w:rFonts w:ascii="Arial" w:hAnsi="Arial" w:cs="Arial"/>
          <w:color w:val="000000" w:themeColor="text1"/>
          <w:sz w:val="20"/>
          <w:szCs w:val="20"/>
          <w:lang w:val="hr-HR"/>
        </w:rPr>
      </w:pPr>
    </w:p>
    <w:p w14:paraId="65BA32BC" w14:textId="77777777" w:rsidR="004E2F51" w:rsidRPr="003014A0" w:rsidRDefault="004E2F51" w:rsidP="004E2F51">
      <w:pPr>
        <w:jc w:val="both"/>
        <w:rPr>
          <w:rFonts w:ascii="Arial" w:hAnsi="Arial" w:cs="Arial"/>
          <w:color w:val="000000" w:themeColor="text1"/>
          <w:sz w:val="20"/>
          <w:szCs w:val="20"/>
          <w:lang w:val="hr-HR"/>
        </w:rPr>
      </w:pPr>
      <w:r w:rsidRPr="003014A0">
        <w:rPr>
          <w:rFonts w:ascii="Arial" w:hAnsi="Arial" w:cs="Arial"/>
          <w:color w:val="000000" w:themeColor="text1"/>
          <w:sz w:val="20"/>
          <w:szCs w:val="20"/>
          <w:lang w:val="hr-HR"/>
        </w:rPr>
        <w:t>Grupa se odredila za jednostavan pristup iskazivanja operativnih segmenata uvažavajući osnovni poslovni model svake članice Grupe kako je prethodno opisano u ovoj bilješci.</w:t>
      </w:r>
    </w:p>
    <w:bookmarkEnd w:id="2065"/>
    <w:p w14:paraId="33393289" w14:textId="77777777" w:rsidR="004E2F51" w:rsidRPr="003014A0" w:rsidRDefault="004E2F51" w:rsidP="004E2F51">
      <w:pPr>
        <w:spacing w:before="120" w:line="300" w:lineRule="exact"/>
        <w:jc w:val="both"/>
        <w:rPr>
          <w:rFonts w:ascii="Arial" w:hAnsi="Arial" w:cs="Arial"/>
          <w:b/>
          <w:color w:val="000000" w:themeColor="text1"/>
          <w:sz w:val="20"/>
          <w:szCs w:val="20"/>
          <w:lang w:val="hr-HR"/>
        </w:rPr>
      </w:pPr>
    </w:p>
    <w:p w14:paraId="34547C40" w14:textId="77777777" w:rsidR="004E2F51" w:rsidRPr="003014A0" w:rsidRDefault="004E2F51" w:rsidP="004E2F51">
      <w:pPr>
        <w:spacing w:before="120" w:line="300" w:lineRule="exact"/>
        <w:jc w:val="both"/>
        <w:rPr>
          <w:rFonts w:ascii="Arial" w:hAnsi="Arial" w:cs="Arial"/>
          <w:b/>
          <w:color w:val="000000" w:themeColor="text1"/>
          <w:sz w:val="20"/>
          <w:szCs w:val="20"/>
          <w:lang w:val="hr-HR"/>
        </w:rPr>
        <w:sectPr w:rsidR="004E2F51" w:rsidRPr="003014A0" w:rsidSect="00623DBA">
          <w:footerReference w:type="default" r:id="rId230"/>
          <w:pgSz w:w="11907" w:h="16840" w:code="9"/>
          <w:pgMar w:top="1418" w:right="1134" w:bottom="1134" w:left="1418" w:header="851" w:footer="851" w:gutter="0"/>
          <w:cols w:space="720"/>
          <w:noEndnote/>
        </w:sectPr>
      </w:pPr>
    </w:p>
    <w:p w14:paraId="282F6BDB" w14:textId="77777777" w:rsidR="004E2F51" w:rsidRPr="003014A0" w:rsidRDefault="004E2F51" w:rsidP="004E2F51">
      <w:pPr>
        <w:jc w:val="both"/>
        <w:rPr>
          <w:rFonts w:ascii="Arial" w:hAnsi="Arial" w:cs="Arial"/>
          <w:b/>
          <w:color w:val="000000" w:themeColor="text1"/>
          <w:spacing w:val="-3"/>
          <w:sz w:val="20"/>
          <w:szCs w:val="20"/>
          <w:lang w:val="hr-HR"/>
        </w:rPr>
      </w:pPr>
    </w:p>
    <w:p w14:paraId="3E498AC6" w14:textId="77777777" w:rsidR="004E2F51" w:rsidRPr="003014A0" w:rsidRDefault="004E2F51" w:rsidP="004E2F51">
      <w:pPr>
        <w:jc w:val="both"/>
        <w:rPr>
          <w:rFonts w:ascii="Arial" w:hAnsi="Arial" w:cs="Arial"/>
          <w:b/>
          <w:color w:val="000000" w:themeColor="text1"/>
          <w:sz w:val="20"/>
          <w:szCs w:val="20"/>
          <w:lang w:val="hr-HR"/>
        </w:rPr>
      </w:pPr>
      <w:r w:rsidRPr="003014A0">
        <w:rPr>
          <w:rFonts w:ascii="Arial" w:hAnsi="Arial" w:cs="Arial"/>
          <w:b/>
          <w:color w:val="000000" w:themeColor="text1"/>
          <w:spacing w:val="-3"/>
          <w:sz w:val="20"/>
          <w:szCs w:val="20"/>
          <w:lang w:val="hr-HR"/>
        </w:rPr>
        <w:t>3</w:t>
      </w:r>
      <w:r>
        <w:rPr>
          <w:rFonts w:ascii="Arial" w:hAnsi="Arial" w:cs="Arial"/>
          <w:b/>
          <w:color w:val="000000" w:themeColor="text1"/>
          <w:spacing w:val="-3"/>
          <w:sz w:val="20"/>
          <w:szCs w:val="20"/>
          <w:lang w:val="hr-HR"/>
        </w:rPr>
        <w:t>3</w:t>
      </w:r>
      <w:r w:rsidRPr="003014A0">
        <w:rPr>
          <w:rFonts w:ascii="Arial" w:hAnsi="Arial" w:cs="Arial"/>
          <w:b/>
          <w:color w:val="000000" w:themeColor="text1"/>
          <w:spacing w:val="-3"/>
          <w:sz w:val="20"/>
          <w:szCs w:val="20"/>
          <w:lang w:val="hr-HR"/>
        </w:rPr>
        <w:t xml:space="preserve">. </w:t>
      </w:r>
      <w:r w:rsidRPr="003014A0">
        <w:rPr>
          <w:rFonts w:ascii="Arial" w:hAnsi="Arial" w:cs="Arial"/>
          <w:b/>
          <w:color w:val="000000" w:themeColor="text1"/>
          <w:spacing w:val="-3"/>
          <w:sz w:val="20"/>
          <w:szCs w:val="20"/>
          <w:lang w:val="hr-HR"/>
        </w:rPr>
        <w:tab/>
      </w:r>
      <w:r w:rsidRPr="003014A0">
        <w:rPr>
          <w:rFonts w:ascii="Arial" w:hAnsi="Arial" w:cs="Arial"/>
          <w:b/>
          <w:color w:val="000000" w:themeColor="text1"/>
          <w:sz w:val="20"/>
          <w:szCs w:val="20"/>
          <w:lang w:val="hr-HR"/>
        </w:rPr>
        <w:t>Izvještavanje po segmentima (nastavak)</w:t>
      </w:r>
    </w:p>
    <w:p w14:paraId="265D9C15" w14:textId="77777777" w:rsidR="004E2F51" w:rsidRPr="003014A0" w:rsidRDefault="004E2F51" w:rsidP="004E2F51">
      <w:pPr>
        <w:jc w:val="both"/>
        <w:rPr>
          <w:rFonts w:ascii="Arial" w:hAnsi="Arial" w:cs="Arial"/>
          <w:b/>
          <w:color w:val="000000" w:themeColor="text1"/>
          <w:sz w:val="20"/>
          <w:szCs w:val="20"/>
          <w:lang w:val="hr-HR"/>
        </w:rPr>
      </w:pPr>
    </w:p>
    <w:tbl>
      <w:tblPr>
        <w:tblpPr w:leftFromText="181" w:rightFromText="181" w:vertAnchor="text" w:horzAnchor="margin" w:tblpXSpec="center" w:tblpY="1"/>
        <w:tblW w:w="9923" w:type="dxa"/>
        <w:tblLayout w:type="fixed"/>
        <w:tblLook w:val="04A0" w:firstRow="1" w:lastRow="0" w:firstColumn="1" w:lastColumn="0" w:noHBand="0" w:noVBand="1"/>
      </w:tblPr>
      <w:tblGrid>
        <w:gridCol w:w="3261"/>
        <w:gridCol w:w="1134"/>
        <w:gridCol w:w="1667"/>
        <w:gridCol w:w="1168"/>
        <w:gridCol w:w="1559"/>
        <w:gridCol w:w="1134"/>
      </w:tblGrid>
      <w:tr w:rsidR="004E2F51" w:rsidRPr="003014A0" w14:paraId="22448323" w14:textId="77777777" w:rsidTr="00E032FC">
        <w:trPr>
          <w:trHeight w:val="300"/>
        </w:trPr>
        <w:tc>
          <w:tcPr>
            <w:tcW w:w="3261" w:type="dxa"/>
            <w:tcBorders>
              <w:top w:val="nil"/>
              <w:left w:val="nil"/>
              <w:right w:val="nil"/>
            </w:tcBorders>
            <w:shd w:val="clear" w:color="auto" w:fill="auto"/>
            <w:vAlign w:val="bottom"/>
          </w:tcPr>
          <w:p w14:paraId="70399669" w14:textId="77777777" w:rsidR="004E2F51" w:rsidRPr="003014A0" w:rsidRDefault="004E2F51" w:rsidP="00E032FC">
            <w:pPr>
              <w:spacing w:line="300" w:lineRule="exact"/>
              <w:rPr>
                <w:rFonts w:ascii="Arial" w:hAnsi="Arial" w:cs="Arial"/>
                <w:b/>
                <w:bCs/>
                <w:color w:val="000000" w:themeColor="text1"/>
                <w:sz w:val="18"/>
                <w:szCs w:val="18"/>
                <w:lang w:val="hr-HR"/>
              </w:rPr>
            </w:pPr>
          </w:p>
        </w:tc>
        <w:tc>
          <w:tcPr>
            <w:tcW w:w="1134" w:type="dxa"/>
            <w:tcBorders>
              <w:top w:val="nil"/>
              <w:left w:val="nil"/>
              <w:right w:val="nil"/>
            </w:tcBorders>
            <w:shd w:val="clear" w:color="auto" w:fill="auto"/>
            <w:noWrap/>
          </w:tcPr>
          <w:p w14:paraId="6C4C309B" w14:textId="77777777" w:rsidR="004E2F51" w:rsidRPr="003014A0" w:rsidRDefault="004E2F51" w:rsidP="00E032FC">
            <w:pPr>
              <w:spacing w:line="300" w:lineRule="exact"/>
              <w:jc w:val="right"/>
              <w:rPr>
                <w:rFonts w:ascii="Arial" w:hAnsi="Arial" w:cs="Arial"/>
                <w:b/>
                <w:color w:val="000000" w:themeColor="text1"/>
                <w:sz w:val="18"/>
                <w:szCs w:val="18"/>
                <w:lang w:val="hr-HR"/>
              </w:rPr>
            </w:pPr>
          </w:p>
        </w:tc>
        <w:tc>
          <w:tcPr>
            <w:tcW w:w="1667" w:type="dxa"/>
            <w:tcBorders>
              <w:top w:val="nil"/>
              <w:left w:val="nil"/>
              <w:right w:val="nil"/>
            </w:tcBorders>
            <w:shd w:val="clear" w:color="auto" w:fill="auto"/>
            <w:noWrap/>
            <w:vAlign w:val="bottom"/>
          </w:tcPr>
          <w:p w14:paraId="41F18AE4" w14:textId="77777777" w:rsidR="004E2F51" w:rsidRPr="003014A0" w:rsidRDefault="004E2F51" w:rsidP="00E032FC">
            <w:pPr>
              <w:spacing w:line="300" w:lineRule="exact"/>
              <w:jc w:val="right"/>
              <w:rPr>
                <w:rFonts w:ascii="Arial" w:hAnsi="Arial" w:cs="Arial"/>
                <w:b/>
                <w:color w:val="000000" w:themeColor="text1"/>
                <w:sz w:val="18"/>
                <w:szCs w:val="18"/>
                <w:lang w:val="hr-HR"/>
              </w:rPr>
            </w:pPr>
          </w:p>
        </w:tc>
        <w:tc>
          <w:tcPr>
            <w:tcW w:w="1168" w:type="dxa"/>
            <w:tcBorders>
              <w:top w:val="nil"/>
              <w:left w:val="nil"/>
              <w:right w:val="nil"/>
            </w:tcBorders>
            <w:shd w:val="clear" w:color="auto" w:fill="auto"/>
            <w:noWrap/>
            <w:vAlign w:val="bottom"/>
          </w:tcPr>
          <w:p w14:paraId="6A6A2BE9" w14:textId="77777777" w:rsidR="004E2F51" w:rsidRPr="003014A0" w:rsidRDefault="004E2F51" w:rsidP="00E032FC">
            <w:pPr>
              <w:spacing w:line="300" w:lineRule="exact"/>
              <w:jc w:val="right"/>
              <w:rPr>
                <w:rFonts w:ascii="Arial" w:hAnsi="Arial" w:cs="Arial"/>
                <w:b/>
                <w:color w:val="000000" w:themeColor="text1"/>
                <w:sz w:val="18"/>
                <w:szCs w:val="18"/>
                <w:lang w:val="hr-HR"/>
              </w:rPr>
            </w:pPr>
          </w:p>
        </w:tc>
        <w:tc>
          <w:tcPr>
            <w:tcW w:w="1559" w:type="dxa"/>
            <w:tcBorders>
              <w:top w:val="nil"/>
              <w:left w:val="nil"/>
              <w:right w:val="nil"/>
            </w:tcBorders>
            <w:shd w:val="clear" w:color="auto" w:fill="auto"/>
            <w:noWrap/>
            <w:vAlign w:val="bottom"/>
          </w:tcPr>
          <w:p w14:paraId="062376BE" w14:textId="77777777" w:rsidR="004E2F51" w:rsidRPr="003014A0" w:rsidRDefault="004E2F51" w:rsidP="00E032FC">
            <w:pPr>
              <w:spacing w:line="300" w:lineRule="exact"/>
              <w:jc w:val="right"/>
              <w:rPr>
                <w:rFonts w:ascii="Arial" w:hAnsi="Arial" w:cs="Arial"/>
                <w:b/>
                <w:color w:val="000000" w:themeColor="text1"/>
                <w:sz w:val="18"/>
                <w:szCs w:val="18"/>
                <w:lang w:val="hr-HR"/>
              </w:rPr>
            </w:pPr>
          </w:p>
        </w:tc>
        <w:tc>
          <w:tcPr>
            <w:tcW w:w="1134" w:type="dxa"/>
            <w:tcBorders>
              <w:top w:val="nil"/>
              <w:left w:val="nil"/>
              <w:right w:val="nil"/>
            </w:tcBorders>
            <w:shd w:val="clear" w:color="auto" w:fill="auto"/>
            <w:noWrap/>
            <w:vAlign w:val="bottom"/>
          </w:tcPr>
          <w:p w14:paraId="198F1C7C" w14:textId="77777777" w:rsidR="004E2F51" w:rsidRPr="003014A0" w:rsidRDefault="004E2F51" w:rsidP="00E032FC">
            <w:pPr>
              <w:spacing w:line="300" w:lineRule="exact"/>
              <w:jc w:val="right"/>
              <w:rPr>
                <w:rFonts w:ascii="Arial" w:hAnsi="Arial" w:cs="Arial"/>
                <w:b/>
                <w:color w:val="000000" w:themeColor="text1"/>
                <w:sz w:val="18"/>
                <w:szCs w:val="18"/>
                <w:lang w:val="hr-HR"/>
              </w:rPr>
            </w:pPr>
          </w:p>
        </w:tc>
      </w:tr>
      <w:tr w:rsidR="004E2F51" w:rsidRPr="003014A0" w14:paraId="2F73CE68" w14:textId="77777777" w:rsidTr="00E032FC">
        <w:trPr>
          <w:trHeight w:val="600"/>
        </w:trPr>
        <w:tc>
          <w:tcPr>
            <w:tcW w:w="3261" w:type="dxa"/>
            <w:tcBorders>
              <w:left w:val="nil"/>
              <w:right w:val="nil"/>
            </w:tcBorders>
            <w:shd w:val="clear" w:color="auto" w:fill="auto"/>
            <w:vAlign w:val="bottom"/>
          </w:tcPr>
          <w:p w14:paraId="39679122" w14:textId="77777777" w:rsidR="004E2F51" w:rsidRPr="003014A0" w:rsidRDefault="004E2F51" w:rsidP="00E032FC">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1. siječnja - 31. prosinca 2021.</w:t>
            </w:r>
          </w:p>
        </w:tc>
        <w:tc>
          <w:tcPr>
            <w:tcW w:w="1134" w:type="dxa"/>
            <w:tcBorders>
              <w:left w:val="nil"/>
              <w:right w:val="nil"/>
            </w:tcBorders>
            <w:shd w:val="clear" w:color="auto" w:fill="auto"/>
          </w:tcPr>
          <w:p w14:paraId="5537A0C3"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Bankarske aktivnosti</w:t>
            </w:r>
          </w:p>
        </w:tc>
        <w:tc>
          <w:tcPr>
            <w:tcW w:w="1667" w:type="dxa"/>
            <w:tcBorders>
              <w:left w:val="nil"/>
              <w:right w:val="nil"/>
            </w:tcBorders>
            <w:shd w:val="clear" w:color="auto" w:fill="auto"/>
          </w:tcPr>
          <w:p w14:paraId="521F49C2"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Osiguravateljske aktivnosti</w:t>
            </w:r>
          </w:p>
        </w:tc>
        <w:tc>
          <w:tcPr>
            <w:tcW w:w="1168" w:type="dxa"/>
            <w:tcBorders>
              <w:left w:val="nil"/>
              <w:right w:val="nil"/>
            </w:tcBorders>
            <w:shd w:val="clear" w:color="auto" w:fill="auto"/>
          </w:tcPr>
          <w:p w14:paraId="155D670E"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Ostale aktivnosti</w:t>
            </w:r>
          </w:p>
        </w:tc>
        <w:tc>
          <w:tcPr>
            <w:tcW w:w="1559" w:type="dxa"/>
            <w:tcBorders>
              <w:left w:val="nil"/>
              <w:right w:val="nil"/>
            </w:tcBorders>
            <w:shd w:val="clear" w:color="auto" w:fill="auto"/>
          </w:tcPr>
          <w:p w14:paraId="3B4733D1"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Neraspoređeno</w:t>
            </w:r>
          </w:p>
        </w:tc>
        <w:tc>
          <w:tcPr>
            <w:tcW w:w="1134" w:type="dxa"/>
            <w:tcBorders>
              <w:left w:val="nil"/>
              <w:right w:val="nil"/>
            </w:tcBorders>
            <w:shd w:val="clear" w:color="auto" w:fill="auto"/>
          </w:tcPr>
          <w:p w14:paraId="359BA774"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Ukupno</w:t>
            </w:r>
          </w:p>
        </w:tc>
      </w:tr>
      <w:tr w:rsidR="004E2F51" w:rsidRPr="003014A0" w14:paraId="07240639" w14:textId="77777777" w:rsidTr="00E032FC">
        <w:trPr>
          <w:trHeight w:val="234"/>
        </w:trPr>
        <w:tc>
          <w:tcPr>
            <w:tcW w:w="3261" w:type="dxa"/>
            <w:tcBorders>
              <w:left w:val="nil"/>
              <w:bottom w:val="nil"/>
              <w:right w:val="nil"/>
            </w:tcBorders>
            <w:shd w:val="clear" w:color="auto" w:fill="auto"/>
            <w:vAlign w:val="bottom"/>
          </w:tcPr>
          <w:p w14:paraId="08C22747" w14:textId="77777777" w:rsidR="004E2F51" w:rsidRPr="003014A0" w:rsidRDefault="004E2F51" w:rsidP="00E032FC">
            <w:pPr>
              <w:spacing w:line="300" w:lineRule="exact"/>
              <w:rPr>
                <w:rFonts w:ascii="Arial" w:hAnsi="Arial" w:cs="Arial"/>
                <w:b/>
                <w:bCs/>
                <w:color w:val="000000" w:themeColor="text1"/>
                <w:sz w:val="18"/>
                <w:szCs w:val="18"/>
                <w:lang w:val="hr-HR"/>
              </w:rPr>
            </w:pPr>
          </w:p>
        </w:tc>
        <w:tc>
          <w:tcPr>
            <w:tcW w:w="1134" w:type="dxa"/>
            <w:tcBorders>
              <w:left w:val="nil"/>
              <w:bottom w:val="nil"/>
              <w:right w:val="nil"/>
            </w:tcBorders>
            <w:shd w:val="clear" w:color="auto" w:fill="auto"/>
            <w:noWrap/>
            <w:vAlign w:val="bottom"/>
          </w:tcPr>
          <w:p w14:paraId="1B698AD0"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000 kuna</w:t>
            </w:r>
          </w:p>
        </w:tc>
        <w:tc>
          <w:tcPr>
            <w:tcW w:w="1667" w:type="dxa"/>
            <w:tcBorders>
              <w:left w:val="nil"/>
              <w:bottom w:val="nil"/>
              <w:right w:val="nil"/>
            </w:tcBorders>
            <w:shd w:val="clear" w:color="auto" w:fill="auto"/>
            <w:noWrap/>
            <w:vAlign w:val="bottom"/>
          </w:tcPr>
          <w:p w14:paraId="3AFF13FF"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000 kuna</w:t>
            </w:r>
          </w:p>
        </w:tc>
        <w:tc>
          <w:tcPr>
            <w:tcW w:w="1168" w:type="dxa"/>
            <w:tcBorders>
              <w:left w:val="nil"/>
              <w:bottom w:val="nil"/>
              <w:right w:val="nil"/>
            </w:tcBorders>
            <w:shd w:val="clear" w:color="auto" w:fill="auto"/>
            <w:noWrap/>
            <w:vAlign w:val="bottom"/>
          </w:tcPr>
          <w:p w14:paraId="66AEED95"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000 kuna</w:t>
            </w:r>
          </w:p>
        </w:tc>
        <w:tc>
          <w:tcPr>
            <w:tcW w:w="1559" w:type="dxa"/>
            <w:tcBorders>
              <w:left w:val="nil"/>
              <w:bottom w:val="nil"/>
              <w:right w:val="nil"/>
            </w:tcBorders>
            <w:shd w:val="clear" w:color="auto" w:fill="auto"/>
            <w:noWrap/>
            <w:vAlign w:val="bottom"/>
          </w:tcPr>
          <w:p w14:paraId="5FDD6610"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000 kuna</w:t>
            </w:r>
          </w:p>
        </w:tc>
        <w:tc>
          <w:tcPr>
            <w:tcW w:w="1134" w:type="dxa"/>
            <w:tcBorders>
              <w:left w:val="nil"/>
              <w:bottom w:val="nil"/>
              <w:right w:val="nil"/>
            </w:tcBorders>
            <w:shd w:val="clear" w:color="auto" w:fill="auto"/>
            <w:noWrap/>
            <w:vAlign w:val="bottom"/>
          </w:tcPr>
          <w:p w14:paraId="4BA15418"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000 kuna</w:t>
            </w:r>
          </w:p>
        </w:tc>
      </w:tr>
      <w:tr w:rsidR="004E2F51" w:rsidRPr="003014A0" w14:paraId="7F45B510" w14:textId="77777777" w:rsidTr="00E032FC">
        <w:trPr>
          <w:trHeight w:val="59"/>
        </w:trPr>
        <w:tc>
          <w:tcPr>
            <w:tcW w:w="3261" w:type="dxa"/>
            <w:tcBorders>
              <w:top w:val="nil"/>
              <w:left w:val="nil"/>
              <w:bottom w:val="nil"/>
              <w:right w:val="nil"/>
            </w:tcBorders>
            <w:shd w:val="clear" w:color="auto" w:fill="auto"/>
            <w:vAlign w:val="bottom"/>
          </w:tcPr>
          <w:p w14:paraId="0C0F6298" w14:textId="77777777" w:rsidR="004E2F51" w:rsidRPr="003014A0" w:rsidRDefault="004E2F51" w:rsidP="00E032FC">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noWrap/>
            <w:vAlign w:val="bottom"/>
          </w:tcPr>
          <w:p w14:paraId="4546294D" w14:textId="77777777" w:rsidR="004E2F51" w:rsidRPr="003014A0" w:rsidRDefault="004E2F51" w:rsidP="00E032FC">
            <w:pPr>
              <w:spacing w:line="140" w:lineRule="exact"/>
              <w:rPr>
                <w:rFonts w:ascii="Arial" w:hAnsi="Arial" w:cs="Arial"/>
                <w:color w:val="000000" w:themeColor="text1"/>
                <w:sz w:val="18"/>
                <w:szCs w:val="18"/>
                <w:lang w:val="hr-HR"/>
              </w:rPr>
            </w:pPr>
          </w:p>
        </w:tc>
        <w:tc>
          <w:tcPr>
            <w:tcW w:w="1667" w:type="dxa"/>
            <w:tcBorders>
              <w:top w:val="nil"/>
              <w:left w:val="nil"/>
              <w:bottom w:val="nil"/>
              <w:right w:val="nil"/>
            </w:tcBorders>
            <w:shd w:val="clear" w:color="auto" w:fill="auto"/>
            <w:noWrap/>
            <w:vAlign w:val="bottom"/>
          </w:tcPr>
          <w:p w14:paraId="2FAB3EC6" w14:textId="77777777" w:rsidR="004E2F51" w:rsidRPr="003014A0" w:rsidRDefault="004E2F51" w:rsidP="00E032FC">
            <w:pPr>
              <w:spacing w:line="140" w:lineRule="exact"/>
              <w:rPr>
                <w:rFonts w:ascii="Arial" w:hAnsi="Arial" w:cs="Arial"/>
                <w:color w:val="000000" w:themeColor="text1"/>
                <w:sz w:val="18"/>
                <w:szCs w:val="18"/>
                <w:lang w:val="hr-HR"/>
              </w:rPr>
            </w:pPr>
          </w:p>
        </w:tc>
        <w:tc>
          <w:tcPr>
            <w:tcW w:w="1168" w:type="dxa"/>
            <w:tcBorders>
              <w:top w:val="nil"/>
              <w:left w:val="nil"/>
              <w:bottom w:val="nil"/>
              <w:right w:val="nil"/>
            </w:tcBorders>
            <w:shd w:val="clear" w:color="auto" w:fill="auto"/>
            <w:noWrap/>
            <w:vAlign w:val="bottom"/>
          </w:tcPr>
          <w:p w14:paraId="5793F690" w14:textId="77777777" w:rsidR="004E2F51" w:rsidRPr="003014A0" w:rsidRDefault="004E2F51" w:rsidP="00E032FC">
            <w:pPr>
              <w:spacing w:line="140" w:lineRule="exact"/>
              <w:rPr>
                <w:rFonts w:ascii="Arial" w:hAnsi="Arial" w:cs="Arial"/>
                <w:color w:val="000000" w:themeColor="text1"/>
                <w:sz w:val="18"/>
                <w:szCs w:val="18"/>
                <w:lang w:val="hr-HR"/>
              </w:rPr>
            </w:pPr>
          </w:p>
        </w:tc>
        <w:tc>
          <w:tcPr>
            <w:tcW w:w="1559" w:type="dxa"/>
            <w:tcBorders>
              <w:top w:val="nil"/>
              <w:left w:val="nil"/>
              <w:bottom w:val="nil"/>
              <w:right w:val="nil"/>
            </w:tcBorders>
            <w:shd w:val="clear" w:color="auto" w:fill="auto"/>
            <w:noWrap/>
            <w:vAlign w:val="bottom"/>
          </w:tcPr>
          <w:p w14:paraId="6266DAD6" w14:textId="77777777" w:rsidR="004E2F51" w:rsidRPr="003014A0" w:rsidRDefault="004E2F51" w:rsidP="00E032FC">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noWrap/>
            <w:vAlign w:val="bottom"/>
          </w:tcPr>
          <w:p w14:paraId="1EE62C7F" w14:textId="77777777" w:rsidR="004E2F51" w:rsidRPr="003014A0" w:rsidRDefault="004E2F51" w:rsidP="00E032FC">
            <w:pPr>
              <w:spacing w:line="140" w:lineRule="exact"/>
              <w:rPr>
                <w:rFonts w:ascii="Arial" w:hAnsi="Arial" w:cs="Arial"/>
                <w:color w:val="000000" w:themeColor="text1"/>
                <w:sz w:val="18"/>
                <w:szCs w:val="18"/>
                <w:lang w:val="hr-HR"/>
              </w:rPr>
            </w:pPr>
          </w:p>
        </w:tc>
      </w:tr>
      <w:tr w:rsidR="004E2F51" w:rsidRPr="003014A0" w14:paraId="49BCB8F9" w14:textId="77777777" w:rsidTr="00E032FC">
        <w:trPr>
          <w:trHeight w:val="300"/>
        </w:trPr>
        <w:tc>
          <w:tcPr>
            <w:tcW w:w="3261" w:type="dxa"/>
            <w:tcBorders>
              <w:top w:val="nil"/>
              <w:left w:val="nil"/>
              <w:bottom w:val="nil"/>
              <w:right w:val="nil"/>
            </w:tcBorders>
            <w:shd w:val="clear" w:color="auto" w:fill="auto"/>
            <w:vAlign w:val="bottom"/>
          </w:tcPr>
          <w:p w14:paraId="3040181B"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prihod od kamata</w:t>
            </w:r>
          </w:p>
        </w:tc>
        <w:tc>
          <w:tcPr>
            <w:tcW w:w="1134" w:type="dxa"/>
            <w:shd w:val="clear" w:color="auto" w:fill="auto"/>
            <w:noWrap/>
          </w:tcPr>
          <w:p w14:paraId="25E98FDD"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 491.557 </w:t>
            </w:r>
          </w:p>
        </w:tc>
        <w:tc>
          <w:tcPr>
            <w:tcW w:w="1667" w:type="dxa"/>
            <w:shd w:val="clear" w:color="auto" w:fill="auto"/>
            <w:noWrap/>
          </w:tcPr>
          <w:p w14:paraId="0C40D2C7"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 1.254 </w:t>
            </w:r>
          </w:p>
        </w:tc>
        <w:tc>
          <w:tcPr>
            <w:tcW w:w="1168" w:type="dxa"/>
            <w:shd w:val="clear" w:color="auto" w:fill="auto"/>
            <w:noWrap/>
          </w:tcPr>
          <w:p w14:paraId="2DE2C654"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 - </w:t>
            </w:r>
          </w:p>
        </w:tc>
        <w:tc>
          <w:tcPr>
            <w:tcW w:w="1559" w:type="dxa"/>
            <w:shd w:val="clear" w:color="auto" w:fill="auto"/>
            <w:noWrap/>
          </w:tcPr>
          <w:p w14:paraId="6FDF5A88"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w:t>
            </w:r>
          </w:p>
        </w:tc>
        <w:tc>
          <w:tcPr>
            <w:tcW w:w="1134" w:type="dxa"/>
            <w:shd w:val="clear" w:color="auto" w:fill="auto"/>
            <w:noWrap/>
          </w:tcPr>
          <w:p w14:paraId="66A10153"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 492.811 </w:t>
            </w:r>
          </w:p>
        </w:tc>
      </w:tr>
      <w:tr w:rsidR="004E2F51" w:rsidRPr="003014A0" w14:paraId="29A45FCA" w14:textId="77777777" w:rsidTr="00E032FC">
        <w:trPr>
          <w:trHeight w:val="300"/>
        </w:trPr>
        <w:tc>
          <w:tcPr>
            <w:tcW w:w="3261" w:type="dxa"/>
            <w:tcBorders>
              <w:top w:val="nil"/>
              <w:left w:val="nil"/>
              <w:bottom w:val="nil"/>
              <w:right w:val="nil"/>
            </w:tcBorders>
            <w:shd w:val="clear" w:color="auto" w:fill="auto"/>
            <w:vAlign w:val="bottom"/>
          </w:tcPr>
          <w:p w14:paraId="681110E8"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prihod od naknada</w:t>
            </w:r>
          </w:p>
        </w:tc>
        <w:tc>
          <w:tcPr>
            <w:tcW w:w="1134" w:type="dxa"/>
            <w:shd w:val="clear" w:color="auto" w:fill="auto"/>
            <w:noWrap/>
          </w:tcPr>
          <w:p w14:paraId="71C2760F"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 23.448 </w:t>
            </w:r>
          </w:p>
        </w:tc>
        <w:tc>
          <w:tcPr>
            <w:tcW w:w="1667" w:type="dxa"/>
            <w:shd w:val="clear" w:color="auto" w:fill="auto"/>
            <w:noWrap/>
          </w:tcPr>
          <w:p w14:paraId="4C381F39"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 1.426 </w:t>
            </w:r>
          </w:p>
        </w:tc>
        <w:tc>
          <w:tcPr>
            <w:tcW w:w="1168" w:type="dxa"/>
            <w:shd w:val="clear" w:color="auto" w:fill="auto"/>
            <w:noWrap/>
          </w:tcPr>
          <w:p w14:paraId="2012BEA0"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 1.892 </w:t>
            </w:r>
          </w:p>
        </w:tc>
        <w:tc>
          <w:tcPr>
            <w:tcW w:w="1559" w:type="dxa"/>
            <w:shd w:val="clear" w:color="auto" w:fill="auto"/>
            <w:noWrap/>
          </w:tcPr>
          <w:p w14:paraId="0A27CFB4"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 - </w:t>
            </w:r>
          </w:p>
        </w:tc>
        <w:tc>
          <w:tcPr>
            <w:tcW w:w="1134" w:type="dxa"/>
            <w:shd w:val="clear" w:color="auto" w:fill="auto"/>
            <w:noWrap/>
          </w:tcPr>
          <w:p w14:paraId="3457DC1F"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 26.766 </w:t>
            </w:r>
          </w:p>
        </w:tc>
      </w:tr>
      <w:tr w:rsidR="004E2F51" w:rsidRPr="003014A0" w14:paraId="723AFD26" w14:textId="77777777" w:rsidTr="00E032FC">
        <w:trPr>
          <w:trHeight w:val="280"/>
        </w:trPr>
        <w:tc>
          <w:tcPr>
            <w:tcW w:w="3261" w:type="dxa"/>
            <w:tcBorders>
              <w:top w:val="nil"/>
              <w:left w:val="nil"/>
              <w:bottom w:val="nil"/>
              <w:right w:val="nil"/>
            </w:tcBorders>
            <w:shd w:val="clear" w:color="auto" w:fill="auto"/>
            <w:vAlign w:val="bottom"/>
          </w:tcPr>
          <w:p w14:paraId="21FB89A6"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Neto prihodi/(rashodi) od financijskih aktivnosti </w:t>
            </w:r>
          </w:p>
        </w:tc>
        <w:tc>
          <w:tcPr>
            <w:tcW w:w="1134" w:type="dxa"/>
            <w:shd w:val="clear" w:color="auto" w:fill="auto"/>
            <w:noWrap/>
          </w:tcPr>
          <w:p w14:paraId="49DC60CC"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 (11.837)</w:t>
            </w:r>
          </w:p>
        </w:tc>
        <w:tc>
          <w:tcPr>
            <w:tcW w:w="1667" w:type="dxa"/>
            <w:shd w:val="clear" w:color="auto" w:fill="auto"/>
            <w:noWrap/>
          </w:tcPr>
          <w:p w14:paraId="267A547E" w14:textId="77777777" w:rsidR="004E2F51" w:rsidRPr="003014A0" w:rsidRDefault="004E2F51" w:rsidP="00E032FC">
            <w:pPr>
              <w:spacing w:line="300" w:lineRule="exact"/>
              <w:jc w:val="right"/>
              <w:rPr>
                <w:rFonts w:ascii="Arial" w:hAnsi="Arial" w:cs="Arial"/>
                <w:sz w:val="18"/>
                <w:szCs w:val="18"/>
              </w:rPr>
            </w:pPr>
            <w:r w:rsidRPr="003014A0">
              <w:rPr>
                <w:rFonts w:ascii="Arial" w:hAnsi="Arial" w:cs="Arial"/>
                <w:color w:val="000000" w:themeColor="text1"/>
                <w:sz w:val="18"/>
                <w:szCs w:val="18"/>
                <w:lang w:val="hr-HR"/>
              </w:rPr>
              <w:t xml:space="preserve"> (56)</w:t>
            </w:r>
          </w:p>
        </w:tc>
        <w:tc>
          <w:tcPr>
            <w:tcW w:w="1168" w:type="dxa"/>
            <w:shd w:val="clear" w:color="auto" w:fill="auto"/>
            <w:noWrap/>
          </w:tcPr>
          <w:p w14:paraId="3E082C35" w14:textId="77777777" w:rsidR="004E2F51" w:rsidRPr="003014A0" w:rsidRDefault="004E2F51" w:rsidP="00E032FC">
            <w:pPr>
              <w:spacing w:line="300" w:lineRule="exact"/>
              <w:jc w:val="right"/>
              <w:rPr>
                <w:rFonts w:ascii="Arial" w:hAnsi="Arial" w:cs="Arial"/>
                <w:sz w:val="18"/>
                <w:szCs w:val="18"/>
              </w:rPr>
            </w:pPr>
            <w:r w:rsidRPr="003014A0">
              <w:rPr>
                <w:rFonts w:ascii="Arial" w:hAnsi="Arial" w:cs="Arial"/>
                <w:color w:val="000000" w:themeColor="text1"/>
                <w:sz w:val="18"/>
                <w:szCs w:val="18"/>
                <w:lang w:val="hr-HR"/>
              </w:rPr>
              <w:t xml:space="preserve"> - </w:t>
            </w:r>
          </w:p>
        </w:tc>
        <w:tc>
          <w:tcPr>
            <w:tcW w:w="1559" w:type="dxa"/>
            <w:shd w:val="clear" w:color="auto" w:fill="auto"/>
            <w:noWrap/>
          </w:tcPr>
          <w:p w14:paraId="5A94BD33" w14:textId="77777777" w:rsidR="004E2F51" w:rsidRPr="003014A0" w:rsidRDefault="004E2F51" w:rsidP="00E032FC">
            <w:pPr>
              <w:spacing w:line="300" w:lineRule="exact"/>
              <w:jc w:val="right"/>
              <w:rPr>
                <w:rFonts w:ascii="Arial" w:hAnsi="Arial" w:cs="Arial"/>
                <w:sz w:val="18"/>
                <w:szCs w:val="18"/>
              </w:rPr>
            </w:pPr>
            <w:r w:rsidRPr="003014A0">
              <w:rPr>
                <w:rFonts w:ascii="Arial" w:hAnsi="Arial" w:cs="Arial"/>
                <w:color w:val="000000" w:themeColor="text1"/>
                <w:sz w:val="18"/>
                <w:szCs w:val="18"/>
                <w:lang w:val="hr-HR"/>
              </w:rPr>
              <w:t xml:space="preserve"> - </w:t>
            </w:r>
          </w:p>
        </w:tc>
        <w:tc>
          <w:tcPr>
            <w:tcW w:w="1134" w:type="dxa"/>
            <w:shd w:val="clear" w:color="auto" w:fill="auto"/>
            <w:noWrap/>
          </w:tcPr>
          <w:p w14:paraId="172B4677" w14:textId="77777777" w:rsidR="004E2F51" w:rsidRPr="003014A0" w:rsidRDefault="004E2F51" w:rsidP="00E032FC">
            <w:pPr>
              <w:spacing w:line="300" w:lineRule="exact"/>
              <w:jc w:val="right"/>
              <w:rPr>
                <w:rFonts w:ascii="Arial" w:hAnsi="Arial" w:cs="Arial"/>
                <w:sz w:val="18"/>
                <w:szCs w:val="18"/>
              </w:rPr>
            </w:pPr>
            <w:r w:rsidRPr="003014A0">
              <w:rPr>
                <w:rFonts w:ascii="Arial" w:hAnsi="Arial" w:cs="Arial"/>
                <w:color w:val="000000" w:themeColor="text1"/>
                <w:sz w:val="18"/>
                <w:szCs w:val="18"/>
                <w:lang w:val="hr-HR"/>
              </w:rPr>
              <w:t xml:space="preserve"> (11.893)</w:t>
            </w:r>
          </w:p>
        </w:tc>
      </w:tr>
      <w:tr w:rsidR="004E2F51" w:rsidRPr="003014A0" w14:paraId="79AC5CA3" w14:textId="77777777" w:rsidTr="00E032FC">
        <w:trPr>
          <w:trHeight w:val="300"/>
        </w:trPr>
        <w:tc>
          <w:tcPr>
            <w:tcW w:w="3261" w:type="dxa"/>
            <w:tcBorders>
              <w:top w:val="nil"/>
              <w:left w:val="nil"/>
              <w:bottom w:val="nil"/>
              <w:right w:val="nil"/>
            </w:tcBorders>
            <w:shd w:val="clear" w:color="auto" w:fill="auto"/>
            <w:vAlign w:val="bottom"/>
          </w:tcPr>
          <w:p w14:paraId="5C0E844D"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zarađene premije</w:t>
            </w:r>
          </w:p>
        </w:tc>
        <w:tc>
          <w:tcPr>
            <w:tcW w:w="1134" w:type="dxa"/>
            <w:shd w:val="clear" w:color="auto" w:fill="auto"/>
            <w:noWrap/>
          </w:tcPr>
          <w:p w14:paraId="33F67496"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 - </w:t>
            </w:r>
          </w:p>
        </w:tc>
        <w:tc>
          <w:tcPr>
            <w:tcW w:w="1667" w:type="dxa"/>
            <w:shd w:val="clear" w:color="auto" w:fill="auto"/>
            <w:noWrap/>
          </w:tcPr>
          <w:p w14:paraId="10E36694"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 7.980 </w:t>
            </w:r>
          </w:p>
        </w:tc>
        <w:tc>
          <w:tcPr>
            <w:tcW w:w="1168" w:type="dxa"/>
            <w:shd w:val="clear" w:color="auto" w:fill="auto"/>
            <w:noWrap/>
          </w:tcPr>
          <w:p w14:paraId="7EE2E533"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w:t>
            </w:r>
          </w:p>
        </w:tc>
        <w:tc>
          <w:tcPr>
            <w:tcW w:w="1559" w:type="dxa"/>
            <w:shd w:val="clear" w:color="auto" w:fill="auto"/>
            <w:noWrap/>
          </w:tcPr>
          <w:p w14:paraId="617FC086"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w:t>
            </w:r>
          </w:p>
        </w:tc>
        <w:tc>
          <w:tcPr>
            <w:tcW w:w="1134" w:type="dxa"/>
            <w:shd w:val="clear" w:color="auto" w:fill="auto"/>
            <w:noWrap/>
          </w:tcPr>
          <w:p w14:paraId="7D09BD34"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 7.980 </w:t>
            </w:r>
          </w:p>
        </w:tc>
      </w:tr>
      <w:tr w:rsidR="004E2F51" w:rsidRPr="003014A0" w14:paraId="6FE72911" w14:textId="77777777" w:rsidTr="00E032FC">
        <w:trPr>
          <w:trHeight w:val="300"/>
        </w:trPr>
        <w:tc>
          <w:tcPr>
            <w:tcW w:w="3261" w:type="dxa"/>
            <w:tcBorders>
              <w:top w:val="nil"/>
              <w:left w:val="nil"/>
              <w:right w:val="nil"/>
            </w:tcBorders>
            <w:shd w:val="clear" w:color="auto" w:fill="auto"/>
            <w:vAlign w:val="bottom"/>
          </w:tcPr>
          <w:p w14:paraId="646AD704"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Ostali prihodi</w:t>
            </w:r>
          </w:p>
        </w:tc>
        <w:tc>
          <w:tcPr>
            <w:tcW w:w="1134" w:type="dxa"/>
            <w:tcBorders>
              <w:top w:val="nil"/>
              <w:left w:val="nil"/>
              <w:bottom w:val="single" w:sz="2" w:space="0" w:color="auto"/>
              <w:right w:val="nil"/>
            </w:tcBorders>
            <w:shd w:val="clear" w:color="auto" w:fill="auto"/>
            <w:noWrap/>
          </w:tcPr>
          <w:p w14:paraId="71C7B3C1"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 23.972 </w:t>
            </w:r>
          </w:p>
        </w:tc>
        <w:tc>
          <w:tcPr>
            <w:tcW w:w="1667" w:type="dxa"/>
            <w:tcBorders>
              <w:top w:val="nil"/>
              <w:left w:val="nil"/>
              <w:bottom w:val="single" w:sz="2" w:space="0" w:color="auto"/>
              <w:right w:val="nil"/>
            </w:tcBorders>
            <w:shd w:val="clear" w:color="auto" w:fill="auto"/>
            <w:noWrap/>
          </w:tcPr>
          <w:p w14:paraId="1547E442"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 86 </w:t>
            </w:r>
          </w:p>
        </w:tc>
        <w:tc>
          <w:tcPr>
            <w:tcW w:w="1168" w:type="dxa"/>
            <w:tcBorders>
              <w:top w:val="nil"/>
              <w:left w:val="nil"/>
              <w:bottom w:val="single" w:sz="2" w:space="0" w:color="auto"/>
              <w:right w:val="nil"/>
            </w:tcBorders>
            <w:shd w:val="clear" w:color="auto" w:fill="auto"/>
            <w:noWrap/>
          </w:tcPr>
          <w:p w14:paraId="020C763F"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 258 </w:t>
            </w:r>
          </w:p>
        </w:tc>
        <w:tc>
          <w:tcPr>
            <w:tcW w:w="1559" w:type="dxa"/>
            <w:tcBorders>
              <w:top w:val="nil"/>
              <w:left w:val="nil"/>
              <w:bottom w:val="single" w:sz="2" w:space="0" w:color="auto"/>
              <w:right w:val="nil"/>
            </w:tcBorders>
            <w:shd w:val="clear" w:color="auto" w:fill="auto"/>
            <w:noWrap/>
          </w:tcPr>
          <w:p w14:paraId="33210031"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 (266)</w:t>
            </w:r>
          </w:p>
        </w:tc>
        <w:tc>
          <w:tcPr>
            <w:tcW w:w="1134" w:type="dxa"/>
            <w:tcBorders>
              <w:top w:val="nil"/>
              <w:left w:val="nil"/>
              <w:bottom w:val="single" w:sz="2" w:space="0" w:color="auto"/>
              <w:right w:val="nil"/>
            </w:tcBorders>
            <w:shd w:val="clear" w:color="auto" w:fill="auto"/>
            <w:noWrap/>
          </w:tcPr>
          <w:p w14:paraId="14111F36"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 xml:space="preserve"> 24.050 </w:t>
            </w:r>
          </w:p>
        </w:tc>
      </w:tr>
      <w:tr w:rsidR="004E2F51" w:rsidRPr="003014A0" w14:paraId="58156F81" w14:textId="77777777" w:rsidTr="00E032FC">
        <w:trPr>
          <w:trHeight w:val="300"/>
        </w:trPr>
        <w:tc>
          <w:tcPr>
            <w:tcW w:w="3261" w:type="dxa"/>
            <w:tcBorders>
              <w:left w:val="nil"/>
              <w:right w:val="nil"/>
            </w:tcBorders>
            <w:shd w:val="clear" w:color="auto" w:fill="auto"/>
            <w:vAlign w:val="bottom"/>
          </w:tcPr>
          <w:p w14:paraId="121F51D6" w14:textId="77777777" w:rsidR="004E2F51" w:rsidRPr="003014A0" w:rsidRDefault="004E2F51" w:rsidP="00E032FC">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Prihod iz poslovanja</w:t>
            </w:r>
          </w:p>
        </w:tc>
        <w:tc>
          <w:tcPr>
            <w:tcW w:w="1134" w:type="dxa"/>
            <w:tcBorders>
              <w:top w:val="single" w:sz="2" w:space="0" w:color="auto"/>
              <w:left w:val="nil"/>
              <w:bottom w:val="single" w:sz="12" w:space="0" w:color="auto"/>
              <w:right w:val="nil"/>
            </w:tcBorders>
            <w:shd w:val="clear" w:color="auto" w:fill="auto"/>
            <w:noWrap/>
          </w:tcPr>
          <w:p w14:paraId="56933E81"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 xml:space="preserve"> 527.140 </w:t>
            </w:r>
          </w:p>
        </w:tc>
        <w:tc>
          <w:tcPr>
            <w:tcW w:w="1667" w:type="dxa"/>
            <w:tcBorders>
              <w:top w:val="single" w:sz="2" w:space="0" w:color="auto"/>
              <w:left w:val="nil"/>
              <w:bottom w:val="single" w:sz="12" w:space="0" w:color="auto"/>
              <w:right w:val="nil"/>
            </w:tcBorders>
            <w:shd w:val="clear" w:color="auto" w:fill="auto"/>
            <w:noWrap/>
          </w:tcPr>
          <w:p w14:paraId="69D1CACE" w14:textId="77777777" w:rsidR="004E2F51" w:rsidRPr="003014A0" w:rsidRDefault="004E2F51" w:rsidP="00E032FC">
            <w:pPr>
              <w:spacing w:line="300" w:lineRule="exact"/>
              <w:jc w:val="right"/>
              <w:rPr>
                <w:rFonts w:ascii="Arial" w:hAnsi="Arial" w:cs="Arial"/>
                <w:b/>
                <w:bCs/>
                <w:sz w:val="18"/>
                <w:szCs w:val="18"/>
              </w:rPr>
            </w:pPr>
            <w:r w:rsidRPr="003014A0">
              <w:rPr>
                <w:rFonts w:ascii="Arial" w:hAnsi="Arial" w:cs="Arial"/>
                <w:b/>
                <w:bCs/>
                <w:color w:val="000000" w:themeColor="text1"/>
                <w:sz w:val="18"/>
                <w:szCs w:val="18"/>
                <w:lang w:val="hr-HR"/>
              </w:rPr>
              <w:t xml:space="preserve"> 10.690 </w:t>
            </w:r>
          </w:p>
        </w:tc>
        <w:tc>
          <w:tcPr>
            <w:tcW w:w="1168" w:type="dxa"/>
            <w:tcBorders>
              <w:top w:val="single" w:sz="2" w:space="0" w:color="auto"/>
              <w:left w:val="nil"/>
              <w:bottom w:val="single" w:sz="12" w:space="0" w:color="auto"/>
              <w:right w:val="nil"/>
            </w:tcBorders>
            <w:shd w:val="clear" w:color="auto" w:fill="auto"/>
            <w:noWrap/>
          </w:tcPr>
          <w:p w14:paraId="305E28EA" w14:textId="77777777" w:rsidR="004E2F51" w:rsidRPr="003014A0" w:rsidRDefault="004E2F51" w:rsidP="00E032FC">
            <w:pPr>
              <w:spacing w:line="300" w:lineRule="exact"/>
              <w:jc w:val="right"/>
              <w:rPr>
                <w:rFonts w:ascii="Arial" w:hAnsi="Arial" w:cs="Arial"/>
                <w:b/>
                <w:bCs/>
                <w:sz w:val="18"/>
                <w:szCs w:val="18"/>
              </w:rPr>
            </w:pPr>
            <w:r w:rsidRPr="003014A0">
              <w:rPr>
                <w:rFonts w:ascii="Arial" w:hAnsi="Arial" w:cs="Arial"/>
                <w:b/>
                <w:bCs/>
                <w:color w:val="000000" w:themeColor="text1"/>
                <w:sz w:val="18"/>
                <w:szCs w:val="18"/>
                <w:lang w:val="hr-HR"/>
              </w:rPr>
              <w:t xml:space="preserve"> 2.150 </w:t>
            </w:r>
          </w:p>
        </w:tc>
        <w:tc>
          <w:tcPr>
            <w:tcW w:w="1559" w:type="dxa"/>
            <w:tcBorders>
              <w:top w:val="single" w:sz="2" w:space="0" w:color="auto"/>
              <w:left w:val="nil"/>
              <w:bottom w:val="single" w:sz="12" w:space="0" w:color="auto"/>
              <w:right w:val="nil"/>
            </w:tcBorders>
            <w:shd w:val="clear" w:color="auto" w:fill="auto"/>
            <w:noWrap/>
          </w:tcPr>
          <w:p w14:paraId="275457F3" w14:textId="77777777" w:rsidR="004E2F51" w:rsidRPr="003014A0" w:rsidRDefault="004E2F51" w:rsidP="00E032FC">
            <w:pPr>
              <w:spacing w:line="300" w:lineRule="exact"/>
              <w:jc w:val="right"/>
              <w:rPr>
                <w:rFonts w:ascii="Arial" w:hAnsi="Arial" w:cs="Arial"/>
                <w:b/>
                <w:bCs/>
                <w:sz w:val="18"/>
                <w:szCs w:val="18"/>
              </w:rPr>
            </w:pPr>
            <w:r w:rsidRPr="003014A0">
              <w:rPr>
                <w:rFonts w:ascii="Arial" w:hAnsi="Arial" w:cs="Arial"/>
                <w:b/>
                <w:bCs/>
                <w:color w:val="000000" w:themeColor="text1"/>
                <w:sz w:val="18"/>
                <w:szCs w:val="18"/>
                <w:lang w:val="hr-HR"/>
              </w:rPr>
              <w:t xml:space="preserve"> (266)</w:t>
            </w:r>
          </w:p>
        </w:tc>
        <w:tc>
          <w:tcPr>
            <w:tcW w:w="1134" w:type="dxa"/>
            <w:tcBorders>
              <w:top w:val="single" w:sz="2" w:space="0" w:color="auto"/>
              <w:left w:val="nil"/>
              <w:bottom w:val="single" w:sz="12" w:space="0" w:color="auto"/>
              <w:right w:val="nil"/>
            </w:tcBorders>
            <w:shd w:val="clear" w:color="auto" w:fill="auto"/>
            <w:noWrap/>
          </w:tcPr>
          <w:p w14:paraId="69BECEEE" w14:textId="77777777" w:rsidR="004E2F51" w:rsidRPr="003014A0" w:rsidRDefault="004E2F51" w:rsidP="00E032FC">
            <w:pPr>
              <w:spacing w:line="300" w:lineRule="exact"/>
              <w:jc w:val="right"/>
              <w:rPr>
                <w:rFonts w:ascii="Arial" w:hAnsi="Arial" w:cs="Arial"/>
                <w:b/>
                <w:bCs/>
                <w:sz w:val="18"/>
                <w:szCs w:val="18"/>
              </w:rPr>
            </w:pPr>
            <w:r w:rsidRPr="003014A0">
              <w:rPr>
                <w:rFonts w:ascii="Arial" w:hAnsi="Arial" w:cs="Arial"/>
                <w:b/>
                <w:bCs/>
                <w:color w:val="000000" w:themeColor="text1"/>
                <w:sz w:val="18"/>
                <w:szCs w:val="18"/>
                <w:lang w:val="hr-HR"/>
              </w:rPr>
              <w:t xml:space="preserve"> 539.714 </w:t>
            </w:r>
          </w:p>
        </w:tc>
      </w:tr>
      <w:tr w:rsidR="004E2F51" w:rsidRPr="003014A0" w14:paraId="7CEF55BD" w14:textId="77777777" w:rsidTr="00E032FC">
        <w:trPr>
          <w:trHeight w:val="60"/>
        </w:trPr>
        <w:tc>
          <w:tcPr>
            <w:tcW w:w="3261" w:type="dxa"/>
            <w:tcBorders>
              <w:left w:val="nil"/>
              <w:bottom w:val="nil"/>
              <w:right w:val="nil"/>
            </w:tcBorders>
            <w:shd w:val="clear" w:color="auto" w:fill="auto"/>
            <w:vAlign w:val="bottom"/>
          </w:tcPr>
          <w:p w14:paraId="4963890C" w14:textId="77777777" w:rsidR="004E2F51" w:rsidRPr="003014A0" w:rsidRDefault="004E2F51" w:rsidP="00E032FC">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0A8D5B64"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6BF7D07C"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1D0617FD"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0DD310F7"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753E9537" w14:textId="77777777" w:rsidR="004E2F51" w:rsidRPr="003014A0" w:rsidRDefault="004E2F51" w:rsidP="00E032FC">
            <w:pPr>
              <w:spacing w:line="140" w:lineRule="exact"/>
              <w:jc w:val="right"/>
              <w:rPr>
                <w:rFonts w:ascii="Arial" w:hAnsi="Arial" w:cs="Arial"/>
                <w:color w:val="000000" w:themeColor="text1"/>
                <w:sz w:val="18"/>
                <w:szCs w:val="18"/>
                <w:lang w:val="hr-HR"/>
              </w:rPr>
            </w:pPr>
          </w:p>
        </w:tc>
      </w:tr>
      <w:tr w:rsidR="004E2F51" w:rsidRPr="003014A0" w14:paraId="68367B03" w14:textId="77777777" w:rsidTr="00E032FC">
        <w:trPr>
          <w:trHeight w:val="300"/>
        </w:trPr>
        <w:tc>
          <w:tcPr>
            <w:tcW w:w="3261" w:type="dxa"/>
            <w:tcBorders>
              <w:top w:val="nil"/>
              <w:left w:val="nil"/>
              <w:bottom w:val="nil"/>
              <w:right w:val="nil"/>
            </w:tcBorders>
            <w:shd w:val="clear" w:color="auto" w:fill="auto"/>
            <w:vAlign w:val="bottom"/>
          </w:tcPr>
          <w:p w14:paraId="04B9301F"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Operativni troškovi</w:t>
            </w:r>
          </w:p>
        </w:tc>
        <w:tc>
          <w:tcPr>
            <w:tcW w:w="1134" w:type="dxa"/>
            <w:shd w:val="clear" w:color="auto" w:fill="auto"/>
            <w:noWrap/>
            <w:vAlign w:val="bottom"/>
          </w:tcPr>
          <w:p w14:paraId="4F77BD7F"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(177.054)</w:t>
            </w:r>
          </w:p>
        </w:tc>
        <w:tc>
          <w:tcPr>
            <w:tcW w:w="1667" w:type="dxa"/>
            <w:shd w:val="clear" w:color="auto" w:fill="auto"/>
            <w:noWrap/>
            <w:vAlign w:val="bottom"/>
          </w:tcPr>
          <w:p w14:paraId="3FAD9FBB"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(6.536)</w:t>
            </w:r>
          </w:p>
        </w:tc>
        <w:tc>
          <w:tcPr>
            <w:tcW w:w="1168" w:type="dxa"/>
            <w:shd w:val="clear" w:color="auto" w:fill="auto"/>
            <w:noWrap/>
            <w:vAlign w:val="bottom"/>
          </w:tcPr>
          <w:p w14:paraId="02D5A6AC"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(1.803)</w:t>
            </w:r>
          </w:p>
        </w:tc>
        <w:tc>
          <w:tcPr>
            <w:tcW w:w="1559" w:type="dxa"/>
            <w:shd w:val="clear" w:color="auto" w:fill="auto"/>
            <w:noWrap/>
            <w:vAlign w:val="bottom"/>
          </w:tcPr>
          <w:p w14:paraId="5967D0E0"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266</w:t>
            </w:r>
          </w:p>
        </w:tc>
        <w:tc>
          <w:tcPr>
            <w:tcW w:w="1134" w:type="dxa"/>
            <w:shd w:val="clear" w:color="auto" w:fill="auto"/>
            <w:noWrap/>
            <w:vAlign w:val="bottom"/>
          </w:tcPr>
          <w:p w14:paraId="7EC50AA6"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(185.127)</w:t>
            </w:r>
          </w:p>
        </w:tc>
      </w:tr>
      <w:tr w:rsidR="004E2F51" w:rsidRPr="003014A0" w14:paraId="74A433E9" w14:textId="77777777" w:rsidTr="00E032FC">
        <w:trPr>
          <w:trHeight w:val="600"/>
        </w:trPr>
        <w:tc>
          <w:tcPr>
            <w:tcW w:w="3261" w:type="dxa"/>
            <w:tcBorders>
              <w:top w:val="nil"/>
              <w:left w:val="nil"/>
              <w:bottom w:val="nil"/>
              <w:right w:val="nil"/>
            </w:tcBorders>
            <w:shd w:val="clear" w:color="auto" w:fill="auto"/>
            <w:vAlign w:val="bottom"/>
          </w:tcPr>
          <w:p w14:paraId="0D1A13E9"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Gubitak od umanjenja vrijednosti i rezerviranja</w:t>
            </w:r>
          </w:p>
        </w:tc>
        <w:tc>
          <w:tcPr>
            <w:tcW w:w="1134" w:type="dxa"/>
            <w:shd w:val="clear" w:color="auto" w:fill="auto"/>
            <w:noWrap/>
            <w:vAlign w:val="bottom"/>
          </w:tcPr>
          <w:p w14:paraId="3C7A81C0"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(163.004)</w:t>
            </w:r>
          </w:p>
        </w:tc>
        <w:tc>
          <w:tcPr>
            <w:tcW w:w="1667" w:type="dxa"/>
            <w:shd w:val="clear" w:color="auto" w:fill="auto"/>
            <w:noWrap/>
            <w:vAlign w:val="bottom"/>
          </w:tcPr>
          <w:p w14:paraId="42D06DC1"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(18)</w:t>
            </w:r>
          </w:p>
        </w:tc>
        <w:tc>
          <w:tcPr>
            <w:tcW w:w="1168" w:type="dxa"/>
            <w:shd w:val="clear" w:color="auto" w:fill="auto"/>
            <w:noWrap/>
            <w:vAlign w:val="bottom"/>
          </w:tcPr>
          <w:p w14:paraId="510F5822"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9</w:t>
            </w:r>
          </w:p>
        </w:tc>
        <w:tc>
          <w:tcPr>
            <w:tcW w:w="1559" w:type="dxa"/>
            <w:shd w:val="clear" w:color="auto" w:fill="auto"/>
            <w:noWrap/>
            <w:vAlign w:val="bottom"/>
          </w:tcPr>
          <w:p w14:paraId="54B4F415"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w:t>
            </w:r>
          </w:p>
        </w:tc>
        <w:tc>
          <w:tcPr>
            <w:tcW w:w="1134" w:type="dxa"/>
            <w:shd w:val="clear" w:color="auto" w:fill="auto"/>
            <w:noWrap/>
            <w:vAlign w:val="bottom"/>
          </w:tcPr>
          <w:p w14:paraId="3D049A67"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(163.013)</w:t>
            </w:r>
          </w:p>
        </w:tc>
      </w:tr>
      <w:tr w:rsidR="004E2F51" w:rsidRPr="003014A0" w14:paraId="174AD5C4" w14:textId="77777777" w:rsidTr="00E032FC">
        <w:trPr>
          <w:trHeight w:val="310"/>
        </w:trPr>
        <w:tc>
          <w:tcPr>
            <w:tcW w:w="3261" w:type="dxa"/>
            <w:tcBorders>
              <w:top w:val="nil"/>
              <w:left w:val="nil"/>
              <w:bottom w:val="nil"/>
              <w:right w:val="nil"/>
            </w:tcBorders>
            <w:shd w:val="clear" w:color="auto" w:fill="auto"/>
            <w:vAlign w:val="bottom"/>
          </w:tcPr>
          <w:p w14:paraId="5A687152"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Izdaci za osigurane slučajeve</w:t>
            </w:r>
          </w:p>
        </w:tc>
        <w:tc>
          <w:tcPr>
            <w:tcW w:w="1134" w:type="dxa"/>
            <w:shd w:val="clear" w:color="auto" w:fill="auto"/>
            <w:noWrap/>
            <w:vAlign w:val="bottom"/>
          </w:tcPr>
          <w:p w14:paraId="73D04468"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w:t>
            </w:r>
          </w:p>
        </w:tc>
        <w:tc>
          <w:tcPr>
            <w:tcW w:w="1667" w:type="dxa"/>
            <w:shd w:val="clear" w:color="auto" w:fill="auto"/>
            <w:noWrap/>
            <w:vAlign w:val="bottom"/>
          </w:tcPr>
          <w:p w14:paraId="17DD4005"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(1.272)</w:t>
            </w:r>
          </w:p>
        </w:tc>
        <w:tc>
          <w:tcPr>
            <w:tcW w:w="1168" w:type="dxa"/>
            <w:shd w:val="clear" w:color="auto" w:fill="auto"/>
            <w:noWrap/>
            <w:vAlign w:val="bottom"/>
          </w:tcPr>
          <w:p w14:paraId="1DEDCB92"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w:t>
            </w:r>
          </w:p>
        </w:tc>
        <w:tc>
          <w:tcPr>
            <w:tcW w:w="1559" w:type="dxa"/>
            <w:shd w:val="clear" w:color="auto" w:fill="auto"/>
            <w:noWrap/>
            <w:vAlign w:val="bottom"/>
          </w:tcPr>
          <w:p w14:paraId="46A76C04"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w:t>
            </w:r>
          </w:p>
        </w:tc>
        <w:tc>
          <w:tcPr>
            <w:tcW w:w="1134" w:type="dxa"/>
            <w:shd w:val="clear" w:color="auto" w:fill="auto"/>
            <w:noWrap/>
          </w:tcPr>
          <w:p w14:paraId="1FE7B656"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(1.272)</w:t>
            </w:r>
          </w:p>
        </w:tc>
      </w:tr>
      <w:tr w:rsidR="004E2F51" w:rsidRPr="003014A0" w14:paraId="72D6AB96" w14:textId="77777777" w:rsidTr="00E032FC">
        <w:trPr>
          <w:trHeight w:val="300"/>
        </w:trPr>
        <w:tc>
          <w:tcPr>
            <w:tcW w:w="3261" w:type="dxa"/>
            <w:tcBorders>
              <w:top w:val="nil"/>
              <w:left w:val="nil"/>
              <w:bottom w:val="nil"/>
              <w:right w:val="nil"/>
            </w:tcBorders>
            <w:shd w:val="clear" w:color="auto" w:fill="auto"/>
            <w:vAlign w:val="bottom"/>
          </w:tcPr>
          <w:p w14:paraId="2CF76F7C"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Neto promjena pričuva</w:t>
            </w:r>
          </w:p>
        </w:tc>
        <w:tc>
          <w:tcPr>
            <w:tcW w:w="1134" w:type="dxa"/>
            <w:shd w:val="clear" w:color="auto" w:fill="auto"/>
            <w:noWrap/>
            <w:vAlign w:val="bottom"/>
          </w:tcPr>
          <w:p w14:paraId="2B7CB320"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w:t>
            </w:r>
          </w:p>
        </w:tc>
        <w:tc>
          <w:tcPr>
            <w:tcW w:w="1667" w:type="dxa"/>
            <w:shd w:val="clear" w:color="auto" w:fill="auto"/>
            <w:noWrap/>
            <w:vAlign w:val="bottom"/>
          </w:tcPr>
          <w:p w14:paraId="69F0AC9D"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(1.549)</w:t>
            </w:r>
          </w:p>
        </w:tc>
        <w:tc>
          <w:tcPr>
            <w:tcW w:w="1168" w:type="dxa"/>
            <w:shd w:val="clear" w:color="auto" w:fill="auto"/>
            <w:noWrap/>
            <w:vAlign w:val="bottom"/>
          </w:tcPr>
          <w:p w14:paraId="511AE2A5"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w:t>
            </w:r>
          </w:p>
        </w:tc>
        <w:tc>
          <w:tcPr>
            <w:tcW w:w="1559" w:type="dxa"/>
            <w:shd w:val="clear" w:color="auto" w:fill="auto"/>
            <w:noWrap/>
            <w:vAlign w:val="bottom"/>
          </w:tcPr>
          <w:p w14:paraId="0F75A518"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w:t>
            </w:r>
          </w:p>
        </w:tc>
        <w:tc>
          <w:tcPr>
            <w:tcW w:w="1134" w:type="dxa"/>
            <w:shd w:val="clear" w:color="auto" w:fill="auto"/>
            <w:noWrap/>
          </w:tcPr>
          <w:p w14:paraId="2F4B3255"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(1.549)</w:t>
            </w:r>
          </w:p>
        </w:tc>
      </w:tr>
      <w:tr w:rsidR="004E2F51" w:rsidRPr="003014A0" w14:paraId="365AE897" w14:textId="77777777" w:rsidTr="00E032FC">
        <w:trPr>
          <w:trHeight w:val="300"/>
        </w:trPr>
        <w:tc>
          <w:tcPr>
            <w:tcW w:w="3261" w:type="dxa"/>
            <w:tcBorders>
              <w:top w:val="nil"/>
              <w:left w:val="nil"/>
              <w:right w:val="nil"/>
            </w:tcBorders>
            <w:shd w:val="clear" w:color="auto" w:fill="auto"/>
            <w:vAlign w:val="bottom"/>
          </w:tcPr>
          <w:p w14:paraId="308188FD"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Ostali rashodi</w:t>
            </w:r>
          </w:p>
        </w:tc>
        <w:tc>
          <w:tcPr>
            <w:tcW w:w="1134" w:type="dxa"/>
            <w:tcBorders>
              <w:top w:val="nil"/>
              <w:left w:val="nil"/>
              <w:bottom w:val="single" w:sz="4" w:space="0" w:color="auto"/>
              <w:right w:val="nil"/>
            </w:tcBorders>
            <w:shd w:val="clear" w:color="auto" w:fill="auto"/>
            <w:noWrap/>
            <w:vAlign w:val="bottom"/>
          </w:tcPr>
          <w:p w14:paraId="7471102C"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w:t>
            </w:r>
          </w:p>
        </w:tc>
        <w:tc>
          <w:tcPr>
            <w:tcW w:w="1667" w:type="dxa"/>
            <w:tcBorders>
              <w:top w:val="nil"/>
              <w:left w:val="nil"/>
              <w:bottom w:val="single" w:sz="4" w:space="0" w:color="auto"/>
              <w:right w:val="nil"/>
            </w:tcBorders>
            <w:shd w:val="clear" w:color="auto" w:fill="auto"/>
            <w:noWrap/>
            <w:vAlign w:val="bottom"/>
          </w:tcPr>
          <w:p w14:paraId="30866604"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(354)</w:t>
            </w:r>
          </w:p>
        </w:tc>
        <w:tc>
          <w:tcPr>
            <w:tcW w:w="1168" w:type="dxa"/>
            <w:tcBorders>
              <w:top w:val="nil"/>
              <w:left w:val="nil"/>
              <w:bottom w:val="single" w:sz="4" w:space="0" w:color="auto"/>
              <w:right w:val="nil"/>
            </w:tcBorders>
            <w:shd w:val="clear" w:color="auto" w:fill="auto"/>
            <w:noWrap/>
            <w:vAlign w:val="bottom"/>
          </w:tcPr>
          <w:p w14:paraId="2F046F03"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w:t>
            </w:r>
          </w:p>
        </w:tc>
        <w:tc>
          <w:tcPr>
            <w:tcW w:w="1559" w:type="dxa"/>
            <w:tcBorders>
              <w:top w:val="nil"/>
              <w:left w:val="nil"/>
              <w:bottom w:val="single" w:sz="4" w:space="0" w:color="auto"/>
              <w:right w:val="nil"/>
            </w:tcBorders>
            <w:shd w:val="clear" w:color="auto" w:fill="auto"/>
            <w:noWrap/>
            <w:vAlign w:val="bottom"/>
          </w:tcPr>
          <w:p w14:paraId="58238B79"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shd w:val="clear" w:color="auto" w:fill="auto"/>
            <w:noWrap/>
          </w:tcPr>
          <w:p w14:paraId="66AA8270"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(354)</w:t>
            </w:r>
          </w:p>
        </w:tc>
      </w:tr>
      <w:tr w:rsidR="004E2F51" w:rsidRPr="003014A0" w14:paraId="70CDAE19" w14:textId="77777777" w:rsidTr="00E032FC">
        <w:trPr>
          <w:trHeight w:val="300"/>
        </w:trPr>
        <w:tc>
          <w:tcPr>
            <w:tcW w:w="3261" w:type="dxa"/>
            <w:tcBorders>
              <w:left w:val="nil"/>
              <w:right w:val="nil"/>
            </w:tcBorders>
            <w:shd w:val="clear" w:color="auto" w:fill="auto"/>
            <w:vAlign w:val="bottom"/>
          </w:tcPr>
          <w:p w14:paraId="5899C3E4" w14:textId="77777777" w:rsidR="004E2F51" w:rsidRPr="003014A0" w:rsidRDefault="004E2F51" w:rsidP="00E032FC">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Troškovi poslovanja</w:t>
            </w:r>
          </w:p>
        </w:tc>
        <w:tc>
          <w:tcPr>
            <w:tcW w:w="1134" w:type="dxa"/>
            <w:tcBorders>
              <w:top w:val="single" w:sz="4" w:space="0" w:color="auto"/>
              <w:left w:val="nil"/>
              <w:bottom w:val="single" w:sz="12" w:space="0" w:color="auto"/>
              <w:right w:val="nil"/>
            </w:tcBorders>
            <w:shd w:val="clear" w:color="auto" w:fill="auto"/>
            <w:noWrap/>
            <w:vAlign w:val="bottom"/>
          </w:tcPr>
          <w:p w14:paraId="1DFCF645"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(340.058)</w:t>
            </w:r>
          </w:p>
        </w:tc>
        <w:tc>
          <w:tcPr>
            <w:tcW w:w="1667" w:type="dxa"/>
            <w:tcBorders>
              <w:top w:val="single" w:sz="4" w:space="0" w:color="auto"/>
              <w:left w:val="nil"/>
              <w:bottom w:val="single" w:sz="12" w:space="0" w:color="auto"/>
              <w:right w:val="nil"/>
            </w:tcBorders>
            <w:shd w:val="clear" w:color="auto" w:fill="auto"/>
            <w:noWrap/>
            <w:vAlign w:val="bottom"/>
          </w:tcPr>
          <w:p w14:paraId="0C8072E3"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(9.729)</w:t>
            </w:r>
          </w:p>
        </w:tc>
        <w:tc>
          <w:tcPr>
            <w:tcW w:w="1168" w:type="dxa"/>
            <w:tcBorders>
              <w:top w:val="single" w:sz="4" w:space="0" w:color="auto"/>
              <w:left w:val="nil"/>
              <w:bottom w:val="single" w:sz="12" w:space="0" w:color="auto"/>
              <w:right w:val="nil"/>
            </w:tcBorders>
            <w:shd w:val="clear" w:color="auto" w:fill="auto"/>
            <w:noWrap/>
            <w:vAlign w:val="bottom"/>
          </w:tcPr>
          <w:p w14:paraId="36C41C52"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(1.794)</w:t>
            </w:r>
          </w:p>
        </w:tc>
        <w:tc>
          <w:tcPr>
            <w:tcW w:w="1559" w:type="dxa"/>
            <w:tcBorders>
              <w:top w:val="single" w:sz="4" w:space="0" w:color="auto"/>
              <w:left w:val="nil"/>
              <w:bottom w:val="single" w:sz="12" w:space="0" w:color="auto"/>
              <w:right w:val="nil"/>
            </w:tcBorders>
            <w:shd w:val="clear" w:color="auto" w:fill="auto"/>
            <w:noWrap/>
            <w:vAlign w:val="bottom"/>
          </w:tcPr>
          <w:p w14:paraId="1C7F55ED"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266</w:t>
            </w:r>
          </w:p>
        </w:tc>
        <w:tc>
          <w:tcPr>
            <w:tcW w:w="1134" w:type="dxa"/>
            <w:tcBorders>
              <w:top w:val="single" w:sz="4" w:space="0" w:color="auto"/>
              <w:left w:val="nil"/>
              <w:bottom w:val="single" w:sz="12" w:space="0" w:color="auto"/>
              <w:right w:val="nil"/>
            </w:tcBorders>
            <w:shd w:val="clear" w:color="auto" w:fill="auto"/>
            <w:noWrap/>
            <w:vAlign w:val="bottom"/>
          </w:tcPr>
          <w:p w14:paraId="5C101A4C"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(351.315)</w:t>
            </w:r>
          </w:p>
        </w:tc>
      </w:tr>
      <w:tr w:rsidR="004E2F51" w:rsidRPr="003014A0" w14:paraId="5FA32FFC" w14:textId="77777777" w:rsidTr="00E032FC">
        <w:trPr>
          <w:trHeight w:val="174"/>
        </w:trPr>
        <w:tc>
          <w:tcPr>
            <w:tcW w:w="3261" w:type="dxa"/>
            <w:tcBorders>
              <w:left w:val="nil"/>
              <w:bottom w:val="nil"/>
              <w:right w:val="nil"/>
            </w:tcBorders>
            <w:shd w:val="clear" w:color="auto" w:fill="auto"/>
            <w:vAlign w:val="bottom"/>
          </w:tcPr>
          <w:p w14:paraId="1D9CE2C8" w14:textId="77777777" w:rsidR="004E2F51" w:rsidRPr="003014A0" w:rsidRDefault="004E2F51" w:rsidP="00E032FC">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26B4C323"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7FAEDD31"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7268ABF1"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3499223B"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71C2F7A4" w14:textId="77777777" w:rsidR="004E2F51" w:rsidRPr="003014A0" w:rsidRDefault="004E2F51" w:rsidP="00E032FC">
            <w:pPr>
              <w:spacing w:line="140" w:lineRule="exact"/>
              <w:jc w:val="right"/>
              <w:rPr>
                <w:rFonts w:ascii="Arial" w:hAnsi="Arial" w:cs="Arial"/>
                <w:color w:val="000000" w:themeColor="text1"/>
                <w:sz w:val="18"/>
                <w:szCs w:val="18"/>
                <w:lang w:val="hr-HR"/>
              </w:rPr>
            </w:pPr>
          </w:p>
        </w:tc>
      </w:tr>
      <w:tr w:rsidR="004E2F51" w:rsidRPr="003014A0" w14:paraId="017ABC92" w14:textId="77777777" w:rsidTr="00E032FC">
        <w:trPr>
          <w:trHeight w:val="300"/>
        </w:trPr>
        <w:tc>
          <w:tcPr>
            <w:tcW w:w="3261" w:type="dxa"/>
            <w:tcBorders>
              <w:top w:val="nil"/>
              <w:left w:val="nil"/>
              <w:bottom w:val="nil"/>
              <w:right w:val="nil"/>
            </w:tcBorders>
            <w:shd w:val="clear" w:color="auto" w:fill="auto"/>
            <w:vAlign w:val="bottom"/>
          </w:tcPr>
          <w:p w14:paraId="1274B57C" w14:textId="77777777" w:rsidR="004E2F51" w:rsidRPr="003014A0" w:rsidRDefault="004E2F51" w:rsidP="00E032FC">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Dobit prije oporezivanja</w:t>
            </w:r>
          </w:p>
        </w:tc>
        <w:tc>
          <w:tcPr>
            <w:tcW w:w="1134" w:type="dxa"/>
            <w:shd w:val="clear" w:color="auto" w:fill="auto"/>
            <w:noWrap/>
            <w:vAlign w:val="bottom"/>
          </w:tcPr>
          <w:p w14:paraId="22630ED8" w14:textId="77777777" w:rsidR="004E2F51" w:rsidRPr="003014A0" w:rsidRDefault="004E2F51" w:rsidP="00E032FC">
            <w:pPr>
              <w:spacing w:line="300" w:lineRule="exact"/>
              <w:jc w:val="right"/>
              <w:rPr>
                <w:rFonts w:ascii="Arial" w:hAnsi="Arial" w:cs="Arial"/>
                <w:bCs/>
                <w:color w:val="000000" w:themeColor="text1"/>
                <w:sz w:val="18"/>
                <w:szCs w:val="18"/>
                <w:lang w:val="hr-HR"/>
              </w:rPr>
            </w:pPr>
            <w:r w:rsidRPr="003014A0">
              <w:rPr>
                <w:rFonts w:ascii="Arial" w:hAnsi="Arial" w:cs="Arial"/>
                <w:bCs/>
                <w:color w:val="000000" w:themeColor="text1"/>
                <w:sz w:val="18"/>
                <w:szCs w:val="18"/>
                <w:lang w:val="hr-HR"/>
              </w:rPr>
              <w:t>187.082</w:t>
            </w:r>
          </w:p>
        </w:tc>
        <w:tc>
          <w:tcPr>
            <w:tcW w:w="1667" w:type="dxa"/>
            <w:shd w:val="clear" w:color="auto" w:fill="auto"/>
            <w:noWrap/>
            <w:vAlign w:val="bottom"/>
          </w:tcPr>
          <w:p w14:paraId="4D3D422B" w14:textId="77777777" w:rsidR="004E2F51" w:rsidRPr="003014A0" w:rsidRDefault="004E2F51" w:rsidP="00E032FC">
            <w:pPr>
              <w:spacing w:line="300" w:lineRule="exact"/>
              <w:jc w:val="right"/>
              <w:rPr>
                <w:rFonts w:ascii="Arial" w:hAnsi="Arial" w:cs="Arial"/>
                <w:bCs/>
                <w:sz w:val="18"/>
                <w:szCs w:val="18"/>
              </w:rPr>
            </w:pPr>
            <w:r w:rsidRPr="003014A0">
              <w:rPr>
                <w:rFonts w:ascii="Arial" w:hAnsi="Arial" w:cs="Arial"/>
                <w:bCs/>
                <w:sz w:val="18"/>
                <w:szCs w:val="18"/>
              </w:rPr>
              <w:t>961</w:t>
            </w:r>
          </w:p>
        </w:tc>
        <w:tc>
          <w:tcPr>
            <w:tcW w:w="1168" w:type="dxa"/>
            <w:shd w:val="clear" w:color="auto" w:fill="auto"/>
            <w:noWrap/>
            <w:vAlign w:val="bottom"/>
          </w:tcPr>
          <w:p w14:paraId="42205352" w14:textId="77777777" w:rsidR="004E2F51" w:rsidRPr="003014A0" w:rsidRDefault="004E2F51" w:rsidP="00E032FC">
            <w:pPr>
              <w:spacing w:line="300" w:lineRule="exact"/>
              <w:jc w:val="right"/>
              <w:rPr>
                <w:rFonts w:ascii="Arial" w:hAnsi="Arial" w:cs="Arial"/>
                <w:bCs/>
                <w:sz w:val="18"/>
                <w:szCs w:val="18"/>
              </w:rPr>
            </w:pPr>
            <w:r w:rsidRPr="003014A0">
              <w:rPr>
                <w:rFonts w:ascii="Arial" w:hAnsi="Arial" w:cs="Arial"/>
                <w:bCs/>
                <w:sz w:val="18"/>
                <w:szCs w:val="18"/>
              </w:rPr>
              <w:t>356</w:t>
            </w:r>
          </w:p>
        </w:tc>
        <w:tc>
          <w:tcPr>
            <w:tcW w:w="1559" w:type="dxa"/>
            <w:shd w:val="clear" w:color="auto" w:fill="auto"/>
            <w:noWrap/>
            <w:vAlign w:val="bottom"/>
          </w:tcPr>
          <w:p w14:paraId="6D29599C" w14:textId="77777777" w:rsidR="004E2F51" w:rsidRPr="003014A0" w:rsidRDefault="004E2F51" w:rsidP="00E032FC">
            <w:pPr>
              <w:spacing w:line="300" w:lineRule="exact"/>
              <w:jc w:val="right"/>
              <w:rPr>
                <w:rFonts w:ascii="Arial" w:hAnsi="Arial" w:cs="Arial"/>
                <w:bCs/>
                <w:sz w:val="18"/>
                <w:szCs w:val="18"/>
              </w:rPr>
            </w:pPr>
            <w:r w:rsidRPr="003014A0">
              <w:rPr>
                <w:rFonts w:ascii="Arial" w:hAnsi="Arial" w:cs="Arial"/>
                <w:bCs/>
                <w:sz w:val="18"/>
                <w:szCs w:val="18"/>
              </w:rPr>
              <w:t>-</w:t>
            </w:r>
          </w:p>
        </w:tc>
        <w:tc>
          <w:tcPr>
            <w:tcW w:w="1134" w:type="dxa"/>
            <w:shd w:val="clear" w:color="auto" w:fill="auto"/>
            <w:noWrap/>
            <w:vAlign w:val="bottom"/>
          </w:tcPr>
          <w:p w14:paraId="665FBA4B" w14:textId="77777777" w:rsidR="004E2F51" w:rsidRPr="003014A0" w:rsidRDefault="004E2F51" w:rsidP="00E032FC">
            <w:pPr>
              <w:spacing w:line="300" w:lineRule="exact"/>
              <w:jc w:val="right"/>
              <w:rPr>
                <w:rFonts w:ascii="Arial" w:hAnsi="Arial" w:cs="Arial"/>
                <w:bCs/>
                <w:sz w:val="18"/>
                <w:szCs w:val="18"/>
              </w:rPr>
            </w:pPr>
            <w:r w:rsidRPr="003014A0">
              <w:rPr>
                <w:rFonts w:ascii="Arial" w:hAnsi="Arial" w:cs="Arial"/>
                <w:bCs/>
                <w:sz w:val="18"/>
                <w:szCs w:val="18"/>
              </w:rPr>
              <w:t>188.399</w:t>
            </w:r>
          </w:p>
        </w:tc>
      </w:tr>
      <w:tr w:rsidR="004E2F51" w:rsidRPr="003014A0" w14:paraId="163A2DAD" w14:textId="77777777" w:rsidTr="00E032FC">
        <w:trPr>
          <w:trHeight w:val="300"/>
        </w:trPr>
        <w:tc>
          <w:tcPr>
            <w:tcW w:w="3261" w:type="dxa"/>
            <w:tcBorders>
              <w:top w:val="nil"/>
              <w:left w:val="nil"/>
              <w:right w:val="nil"/>
            </w:tcBorders>
            <w:shd w:val="clear" w:color="auto" w:fill="auto"/>
            <w:vAlign w:val="bottom"/>
          </w:tcPr>
          <w:p w14:paraId="5CA0E10A"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Porez na dobit</w:t>
            </w:r>
          </w:p>
        </w:tc>
        <w:tc>
          <w:tcPr>
            <w:tcW w:w="1134" w:type="dxa"/>
            <w:tcBorders>
              <w:top w:val="nil"/>
              <w:left w:val="nil"/>
              <w:bottom w:val="single" w:sz="4" w:space="0" w:color="auto"/>
              <w:right w:val="nil"/>
            </w:tcBorders>
            <w:shd w:val="clear" w:color="auto" w:fill="auto"/>
            <w:noWrap/>
            <w:vAlign w:val="bottom"/>
          </w:tcPr>
          <w:p w14:paraId="22E618B9"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w:t>
            </w:r>
          </w:p>
        </w:tc>
        <w:tc>
          <w:tcPr>
            <w:tcW w:w="1667" w:type="dxa"/>
            <w:tcBorders>
              <w:top w:val="nil"/>
              <w:left w:val="nil"/>
              <w:bottom w:val="single" w:sz="4" w:space="0" w:color="auto"/>
              <w:right w:val="nil"/>
            </w:tcBorders>
            <w:shd w:val="clear" w:color="auto" w:fill="auto"/>
            <w:noWrap/>
            <w:vAlign w:val="bottom"/>
          </w:tcPr>
          <w:p w14:paraId="704F3936" w14:textId="77777777" w:rsidR="004E2F51" w:rsidRPr="003014A0" w:rsidRDefault="004E2F51" w:rsidP="00E032FC">
            <w:pPr>
              <w:spacing w:line="300" w:lineRule="exact"/>
              <w:jc w:val="right"/>
              <w:rPr>
                <w:rFonts w:ascii="Arial" w:hAnsi="Arial" w:cs="Arial"/>
                <w:bCs/>
                <w:sz w:val="18"/>
                <w:szCs w:val="18"/>
              </w:rPr>
            </w:pPr>
            <w:r w:rsidRPr="003014A0">
              <w:rPr>
                <w:rFonts w:ascii="Arial" w:hAnsi="Arial" w:cs="Arial"/>
                <w:bCs/>
                <w:sz w:val="18"/>
                <w:szCs w:val="18"/>
              </w:rPr>
              <w:t>(179)</w:t>
            </w:r>
          </w:p>
        </w:tc>
        <w:tc>
          <w:tcPr>
            <w:tcW w:w="1168" w:type="dxa"/>
            <w:tcBorders>
              <w:top w:val="nil"/>
              <w:left w:val="nil"/>
              <w:bottom w:val="single" w:sz="4" w:space="0" w:color="auto"/>
              <w:right w:val="nil"/>
            </w:tcBorders>
            <w:shd w:val="clear" w:color="auto" w:fill="auto"/>
            <w:noWrap/>
            <w:vAlign w:val="bottom"/>
          </w:tcPr>
          <w:p w14:paraId="2A52BBD0" w14:textId="77777777" w:rsidR="004E2F51" w:rsidRPr="003014A0" w:rsidRDefault="004E2F51" w:rsidP="00E032FC">
            <w:pPr>
              <w:spacing w:line="300" w:lineRule="exact"/>
              <w:jc w:val="right"/>
              <w:rPr>
                <w:rFonts w:ascii="Arial" w:hAnsi="Arial" w:cs="Arial"/>
                <w:bCs/>
                <w:sz w:val="18"/>
                <w:szCs w:val="18"/>
              </w:rPr>
            </w:pPr>
            <w:r w:rsidRPr="003014A0">
              <w:rPr>
                <w:rFonts w:ascii="Arial" w:hAnsi="Arial" w:cs="Arial"/>
                <w:bCs/>
                <w:sz w:val="18"/>
                <w:szCs w:val="18"/>
              </w:rPr>
              <w:t>(35)</w:t>
            </w:r>
          </w:p>
        </w:tc>
        <w:tc>
          <w:tcPr>
            <w:tcW w:w="1559" w:type="dxa"/>
            <w:tcBorders>
              <w:top w:val="nil"/>
              <w:left w:val="nil"/>
              <w:bottom w:val="single" w:sz="4" w:space="0" w:color="auto"/>
              <w:right w:val="nil"/>
            </w:tcBorders>
            <w:shd w:val="clear" w:color="auto" w:fill="auto"/>
            <w:noWrap/>
            <w:vAlign w:val="bottom"/>
          </w:tcPr>
          <w:p w14:paraId="42FBE351" w14:textId="77777777" w:rsidR="004E2F51" w:rsidRPr="003014A0" w:rsidRDefault="004E2F51" w:rsidP="00E032FC">
            <w:pPr>
              <w:spacing w:line="300" w:lineRule="exact"/>
              <w:jc w:val="right"/>
              <w:rPr>
                <w:rFonts w:ascii="Arial" w:hAnsi="Arial" w:cs="Arial"/>
                <w:bCs/>
                <w:sz w:val="18"/>
                <w:szCs w:val="18"/>
              </w:rPr>
            </w:pPr>
            <w:r w:rsidRPr="003014A0">
              <w:rPr>
                <w:rFonts w:ascii="Arial" w:hAnsi="Arial" w:cs="Arial"/>
                <w:bCs/>
                <w:sz w:val="18"/>
                <w:szCs w:val="18"/>
              </w:rPr>
              <w:t>-</w:t>
            </w:r>
          </w:p>
        </w:tc>
        <w:tc>
          <w:tcPr>
            <w:tcW w:w="1134" w:type="dxa"/>
            <w:tcBorders>
              <w:top w:val="nil"/>
              <w:left w:val="nil"/>
              <w:bottom w:val="single" w:sz="4" w:space="0" w:color="auto"/>
              <w:right w:val="nil"/>
            </w:tcBorders>
            <w:shd w:val="clear" w:color="auto" w:fill="auto"/>
            <w:noWrap/>
            <w:vAlign w:val="bottom"/>
          </w:tcPr>
          <w:p w14:paraId="544C8293" w14:textId="77777777" w:rsidR="004E2F51" w:rsidRPr="003014A0" w:rsidRDefault="004E2F51" w:rsidP="00E032FC">
            <w:pPr>
              <w:spacing w:line="300" w:lineRule="exact"/>
              <w:jc w:val="right"/>
              <w:rPr>
                <w:rFonts w:ascii="Arial" w:hAnsi="Arial" w:cs="Arial"/>
                <w:bCs/>
                <w:sz w:val="18"/>
                <w:szCs w:val="18"/>
              </w:rPr>
            </w:pPr>
            <w:r w:rsidRPr="003014A0">
              <w:rPr>
                <w:rFonts w:ascii="Arial" w:hAnsi="Arial" w:cs="Arial"/>
                <w:bCs/>
                <w:sz w:val="18"/>
                <w:szCs w:val="18"/>
              </w:rPr>
              <w:t>(214)</w:t>
            </w:r>
          </w:p>
        </w:tc>
      </w:tr>
      <w:tr w:rsidR="004E2F51" w:rsidRPr="003014A0" w14:paraId="492CB6A6" w14:textId="77777777" w:rsidTr="00E032FC">
        <w:trPr>
          <w:trHeight w:val="315"/>
        </w:trPr>
        <w:tc>
          <w:tcPr>
            <w:tcW w:w="3261" w:type="dxa"/>
            <w:tcBorders>
              <w:left w:val="nil"/>
              <w:right w:val="nil"/>
            </w:tcBorders>
            <w:shd w:val="clear" w:color="auto" w:fill="auto"/>
            <w:vAlign w:val="bottom"/>
          </w:tcPr>
          <w:p w14:paraId="50F70B61" w14:textId="77777777" w:rsidR="004E2F51" w:rsidRPr="003014A0" w:rsidRDefault="004E2F51" w:rsidP="00E032FC">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Dobit za godinu</w:t>
            </w:r>
          </w:p>
        </w:tc>
        <w:tc>
          <w:tcPr>
            <w:tcW w:w="1134" w:type="dxa"/>
            <w:shd w:val="clear" w:color="auto" w:fill="auto"/>
            <w:noWrap/>
            <w:vAlign w:val="bottom"/>
          </w:tcPr>
          <w:p w14:paraId="307C77A8"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187.082</w:t>
            </w:r>
          </w:p>
        </w:tc>
        <w:tc>
          <w:tcPr>
            <w:tcW w:w="1667" w:type="dxa"/>
            <w:shd w:val="clear" w:color="auto" w:fill="auto"/>
            <w:noWrap/>
            <w:vAlign w:val="bottom"/>
          </w:tcPr>
          <w:p w14:paraId="320745B1" w14:textId="77777777" w:rsidR="004E2F51" w:rsidRPr="003014A0" w:rsidRDefault="004E2F51" w:rsidP="00E032FC">
            <w:pPr>
              <w:spacing w:line="300" w:lineRule="exact"/>
              <w:jc w:val="right"/>
              <w:rPr>
                <w:rFonts w:ascii="Arial" w:hAnsi="Arial" w:cs="Arial"/>
                <w:b/>
                <w:bCs/>
                <w:sz w:val="18"/>
                <w:szCs w:val="18"/>
              </w:rPr>
            </w:pPr>
            <w:r w:rsidRPr="003014A0">
              <w:rPr>
                <w:rFonts w:ascii="Arial" w:hAnsi="Arial" w:cs="Arial"/>
                <w:b/>
                <w:bCs/>
                <w:sz w:val="18"/>
                <w:szCs w:val="18"/>
              </w:rPr>
              <w:t>782</w:t>
            </w:r>
          </w:p>
        </w:tc>
        <w:tc>
          <w:tcPr>
            <w:tcW w:w="1168" w:type="dxa"/>
            <w:tcBorders>
              <w:top w:val="single" w:sz="4" w:space="0" w:color="auto"/>
              <w:left w:val="nil"/>
              <w:bottom w:val="single" w:sz="12" w:space="0" w:color="auto"/>
              <w:right w:val="nil"/>
            </w:tcBorders>
            <w:shd w:val="clear" w:color="auto" w:fill="auto"/>
            <w:noWrap/>
            <w:vAlign w:val="bottom"/>
          </w:tcPr>
          <w:p w14:paraId="5C097316" w14:textId="77777777" w:rsidR="004E2F51" w:rsidRPr="003014A0" w:rsidRDefault="004E2F51" w:rsidP="00E032FC">
            <w:pPr>
              <w:spacing w:line="300" w:lineRule="exact"/>
              <w:jc w:val="right"/>
              <w:rPr>
                <w:rFonts w:ascii="Arial" w:hAnsi="Arial" w:cs="Arial"/>
                <w:b/>
                <w:bCs/>
                <w:sz w:val="18"/>
                <w:szCs w:val="18"/>
              </w:rPr>
            </w:pPr>
            <w:r w:rsidRPr="003014A0">
              <w:rPr>
                <w:rFonts w:ascii="Arial" w:hAnsi="Arial" w:cs="Arial"/>
                <w:b/>
                <w:bCs/>
                <w:sz w:val="18"/>
                <w:szCs w:val="18"/>
              </w:rPr>
              <w:t>321</w:t>
            </w:r>
          </w:p>
        </w:tc>
        <w:tc>
          <w:tcPr>
            <w:tcW w:w="1559" w:type="dxa"/>
            <w:tcBorders>
              <w:top w:val="single" w:sz="4" w:space="0" w:color="auto"/>
              <w:left w:val="nil"/>
              <w:bottom w:val="single" w:sz="12" w:space="0" w:color="auto"/>
              <w:right w:val="nil"/>
            </w:tcBorders>
            <w:shd w:val="clear" w:color="auto" w:fill="auto"/>
            <w:noWrap/>
            <w:vAlign w:val="bottom"/>
          </w:tcPr>
          <w:p w14:paraId="71910063" w14:textId="77777777" w:rsidR="004E2F51" w:rsidRPr="003014A0" w:rsidRDefault="004E2F51" w:rsidP="00E032FC">
            <w:pPr>
              <w:spacing w:line="300" w:lineRule="exact"/>
              <w:jc w:val="right"/>
              <w:rPr>
                <w:rFonts w:ascii="Arial" w:hAnsi="Arial" w:cs="Arial"/>
                <w:b/>
                <w:bCs/>
                <w:sz w:val="18"/>
                <w:szCs w:val="18"/>
              </w:rPr>
            </w:pPr>
            <w:r w:rsidRPr="003014A0">
              <w:rPr>
                <w:rFonts w:ascii="Arial" w:hAnsi="Arial" w:cs="Arial"/>
                <w:b/>
                <w:bCs/>
                <w:sz w:val="18"/>
                <w:szCs w:val="18"/>
              </w:rPr>
              <w:t>-</w:t>
            </w:r>
          </w:p>
        </w:tc>
        <w:tc>
          <w:tcPr>
            <w:tcW w:w="1134" w:type="dxa"/>
            <w:tcBorders>
              <w:top w:val="single" w:sz="4" w:space="0" w:color="auto"/>
              <w:left w:val="nil"/>
              <w:bottom w:val="single" w:sz="12" w:space="0" w:color="auto"/>
              <w:right w:val="nil"/>
            </w:tcBorders>
            <w:shd w:val="clear" w:color="auto" w:fill="auto"/>
            <w:noWrap/>
            <w:vAlign w:val="bottom"/>
          </w:tcPr>
          <w:p w14:paraId="62C8B74B" w14:textId="77777777" w:rsidR="004E2F51" w:rsidRPr="003014A0" w:rsidRDefault="004E2F51" w:rsidP="00E032FC">
            <w:pPr>
              <w:spacing w:line="300" w:lineRule="exact"/>
              <w:jc w:val="right"/>
              <w:rPr>
                <w:rFonts w:ascii="Arial" w:hAnsi="Arial" w:cs="Arial"/>
                <w:b/>
                <w:bCs/>
                <w:sz w:val="18"/>
                <w:szCs w:val="18"/>
              </w:rPr>
            </w:pPr>
            <w:r w:rsidRPr="003014A0">
              <w:rPr>
                <w:rFonts w:ascii="Arial" w:hAnsi="Arial" w:cs="Arial"/>
                <w:b/>
                <w:bCs/>
                <w:sz w:val="18"/>
                <w:szCs w:val="18"/>
              </w:rPr>
              <w:t>188.185</w:t>
            </w:r>
          </w:p>
        </w:tc>
      </w:tr>
      <w:tr w:rsidR="004E2F51" w:rsidRPr="003014A0" w14:paraId="428E95AF" w14:textId="77777777" w:rsidTr="00E032FC">
        <w:trPr>
          <w:trHeight w:val="52"/>
        </w:trPr>
        <w:tc>
          <w:tcPr>
            <w:tcW w:w="3261" w:type="dxa"/>
            <w:tcBorders>
              <w:left w:val="nil"/>
              <w:bottom w:val="nil"/>
              <w:right w:val="nil"/>
            </w:tcBorders>
            <w:shd w:val="clear" w:color="auto" w:fill="auto"/>
            <w:vAlign w:val="bottom"/>
          </w:tcPr>
          <w:p w14:paraId="5367E88D" w14:textId="77777777" w:rsidR="004E2F51" w:rsidRPr="003014A0" w:rsidRDefault="004E2F51" w:rsidP="00E032FC">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545158CA"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4FC828FB"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4CD8F8BA"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3ACAE5B7"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14DB77C6" w14:textId="77777777" w:rsidR="004E2F51" w:rsidRPr="003014A0" w:rsidRDefault="004E2F51" w:rsidP="00E032FC">
            <w:pPr>
              <w:spacing w:line="140" w:lineRule="exact"/>
              <w:jc w:val="right"/>
              <w:rPr>
                <w:rFonts w:ascii="Arial" w:hAnsi="Arial" w:cs="Arial"/>
                <w:color w:val="000000" w:themeColor="text1"/>
                <w:sz w:val="18"/>
                <w:szCs w:val="18"/>
                <w:lang w:val="hr-HR"/>
              </w:rPr>
            </w:pPr>
          </w:p>
        </w:tc>
      </w:tr>
      <w:tr w:rsidR="004E2F51" w:rsidRPr="003014A0" w14:paraId="45012077" w14:textId="77777777" w:rsidTr="00E032FC">
        <w:trPr>
          <w:trHeight w:val="300"/>
        </w:trPr>
        <w:tc>
          <w:tcPr>
            <w:tcW w:w="3261" w:type="dxa"/>
            <w:tcBorders>
              <w:top w:val="nil"/>
              <w:left w:val="nil"/>
              <w:right w:val="nil"/>
            </w:tcBorders>
            <w:shd w:val="clear" w:color="auto" w:fill="auto"/>
            <w:vAlign w:val="bottom"/>
          </w:tcPr>
          <w:p w14:paraId="73114199" w14:textId="77777777" w:rsidR="004E2F51" w:rsidRPr="003014A0" w:rsidRDefault="004E2F51" w:rsidP="00E032FC">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31. prosinca 2021.</w:t>
            </w:r>
          </w:p>
        </w:tc>
        <w:tc>
          <w:tcPr>
            <w:tcW w:w="1134" w:type="dxa"/>
            <w:tcBorders>
              <w:top w:val="nil"/>
              <w:left w:val="nil"/>
              <w:bottom w:val="single" w:sz="4" w:space="0" w:color="auto"/>
              <w:right w:val="nil"/>
            </w:tcBorders>
            <w:shd w:val="clear" w:color="auto" w:fill="auto"/>
            <w:noWrap/>
            <w:vAlign w:val="bottom"/>
          </w:tcPr>
          <w:p w14:paraId="780E816A" w14:textId="77777777" w:rsidR="004E2F51" w:rsidRPr="003014A0" w:rsidRDefault="004E2F51" w:rsidP="00E032FC">
            <w:pPr>
              <w:spacing w:line="300" w:lineRule="exact"/>
              <w:jc w:val="right"/>
              <w:rPr>
                <w:rFonts w:ascii="Arial" w:hAnsi="Arial" w:cs="Arial"/>
                <w:color w:val="000000" w:themeColor="text1"/>
                <w:sz w:val="18"/>
                <w:szCs w:val="18"/>
                <w:lang w:val="hr-HR"/>
              </w:rPr>
            </w:pPr>
          </w:p>
        </w:tc>
        <w:tc>
          <w:tcPr>
            <w:tcW w:w="1667" w:type="dxa"/>
            <w:tcBorders>
              <w:top w:val="nil"/>
              <w:left w:val="nil"/>
              <w:bottom w:val="single" w:sz="4" w:space="0" w:color="auto"/>
              <w:right w:val="nil"/>
            </w:tcBorders>
            <w:shd w:val="clear" w:color="auto" w:fill="auto"/>
            <w:noWrap/>
            <w:vAlign w:val="bottom"/>
          </w:tcPr>
          <w:p w14:paraId="5F87C301" w14:textId="77777777" w:rsidR="004E2F51" w:rsidRPr="003014A0" w:rsidRDefault="004E2F51" w:rsidP="00E032FC">
            <w:pPr>
              <w:spacing w:line="300" w:lineRule="exact"/>
              <w:jc w:val="right"/>
              <w:rPr>
                <w:rFonts w:ascii="Arial" w:hAnsi="Arial" w:cs="Arial"/>
                <w:color w:val="000000" w:themeColor="text1"/>
                <w:sz w:val="18"/>
                <w:szCs w:val="18"/>
                <w:lang w:val="hr-HR"/>
              </w:rPr>
            </w:pPr>
          </w:p>
        </w:tc>
        <w:tc>
          <w:tcPr>
            <w:tcW w:w="1168" w:type="dxa"/>
            <w:tcBorders>
              <w:top w:val="nil"/>
              <w:left w:val="nil"/>
              <w:bottom w:val="single" w:sz="4" w:space="0" w:color="auto"/>
              <w:right w:val="nil"/>
            </w:tcBorders>
            <w:shd w:val="clear" w:color="auto" w:fill="auto"/>
            <w:noWrap/>
            <w:vAlign w:val="bottom"/>
          </w:tcPr>
          <w:p w14:paraId="7650F52C" w14:textId="77777777" w:rsidR="004E2F51" w:rsidRPr="003014A0" w:rsidRDefault="004E2F51" w:rsidP="00E032FC">
            <w:pPr>
              <w:spacing w:line="300" w:lineRule="exact"/>
              <w:jc w:val="right"/>
              <w:rPr>
                <w:rFonts w:ascii="Arial" w:hAnsi="Arial" w:cs="Arial"/>
                <w:color w:val="000000" w:themeColor="text1"/>
                <w:sz w:val="18"/>
                <w:szCs w:val="18"/>
                <w:lang w:val="hr-HR"/>
              </w:rPr>
            </w:pPr>
          </w:p>
        </w:tc>
        <w:tc>
          <w:tcPr>
            <w:tcW w:w="1559" w:type="dxa"/>
            <w:tcBorders>
              <w:top w:val="nil"/>
              <w:left w:val="nil"/>
              <w:bottom w:val="single" w:sz="4" w:space="0" w:color="auto"/>
              <w:right w:val="nil"/>
            </w:tcBorders>
            <w:shd w:val="clear" w:color="auto" w:fill="auto"/>
            <w:noWrap/>
            <w:vAlign w:val="bottom"/>
          </w:tcPr>
          <w:p w14:paraId="1ADA83D6" w14:textId="77777777" w:rsidR="004E2F51" w:rsidRPr="003014A0" w:rsidRDefault="004E2F51" w:rsidP="00E032FC">
            <w:pPr>
              <w:spacing w:line="300" w:lineRule="exact"/>
              <w:jc w:val="right"/>
              <w:rPr>
                <w:rFonts w:ascii="Arial" w:hAnsi="Arial" w:cs="Arial"/>
                <w:color w:val="000000" w:themeColor="text1"/>
                <w:sz w:val="18"/>
                <w:szCs w:val="18"/>
                <w:lang w:val="hr-HR"/>
              </w:rPr>
            </w:pPr>
          </w:p>
        </w:tc>
        <w:tc>
          <w:tcPr>
            <w:tcW w:w="1134" w:type="dxa"/>
            <w:tcBorders>
              <w:top w:val="nil"/>
              <w:left w:val="nil"/>
              <w:bottom w:val="single" w:sz="4" w:space="0" w:color="auto"/>
              <w:right w:val="nil"/>
            </w:tcBorders>
            <w:shd w:val="clear" w:color="auto" w:fill="auto"/>
            <w:noWrap/>
            <w:vAlign w:val="bottom"/>
          </w:tcPr>
          <w:p w14:paraId="4C005D1E" w14:textId="77777777" w:rsidR="004E2F51" w:rsidRPr="003014A0" w:rsidRDefault="004E2F51" w:rsidP="00E032FC">
            <w:pPr>
              <w:spacing w:line="300" w:lineRule="exact"/>
              <w:jc w:val="right"/>
              <w:rPr>
                <w:rFonts w:ascii="Arial" w:hAnsi="Arial" w:cs="Arial"/>
                <w:color w:val="000000" w:themeColor="text1"/>
                <w:sz w:val="18"/>
                <w:szCs w:val="18"/>
                <w:lang w:val="hr-HR"/>
              </w:rPr>
            </w:pPr>
          </w:p>
        </w:tc>
      </w:tr>
      <w:tr w:rsidR="004E2F51" w:rsidRPr="003014A0" w14:paraId="03E6C939" w14:textId="77777777" w:rsidTr="00E032FC">
        <w:trPr>
          <w:trHeight w:val="300"/>
        </w:trPr>
        <w:tc>
          <w:tcPr>
            <w:tcW w:w="3261" w:type="dxa"/>
            <w:tcBorders>
              <w:top w:val="nil"/>
              <w:left w:val="nil"/>
              <w:right w:val="nil"/>
            </w:tcBorders>
            <w:shd w:val="clear" w:color="auto" w:fill="auto"/>
            <w:vAlign w:val="bottom"/>
          </w:tcPr>
          <w:p w14:paraId="57474388"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Imovina segmenta</w:t>
            </w:r>
          </w:p>
        </w:tc>
        <w:tc>
          <w:tcPr>
            <w:tcW w:w="1134" w:type="dxa"/>
            <w:tcBorders>
              <w:top w:val="nil"/>
              <w:left w:val="nil"/>
              <w:bottom w:val="single" w:sz="4" w:space="0" w:color="auto"/>
              <w:right w:val="nil"/>
            </w:tcBorders>
            <w:shd w:val="clear" w:color="auto" w:fill="auto"/>
            <w:noWrap/>
            <w:vAlign w:val="bottom"/>
          </w:tcPr>
          <w:p w14:paraId="63F68B20"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28.249.988</w:t>
            </w:r>
          </w:p>
        </w:tc>
        <w:tc>
          <w:tcPr>
            <w:tcW w:w="1667" w:type="dxa"/>
            <w:tcBorders>
              <w:top w:val="nil"/>
              <w:left w:val="nil"/>
              <w:bottom w:val="single" w:sz="4" w:space="0" w:color="auto"/>
              <w:right w:val="nil"/>
            </w:tcBorders>
            <w:shd w:val="clear" w:color="auto" w:fill="auto"/>
            <w:noWrap/>
            <w:vAlign w:val="bottom"/>
          </w:tcPr>
          <w:p w14:paraId="044438D9"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63.867</w:t>
            </w:r>
          </w:p>
        </w:tc>
        <w:tc>
          <w:tcPr>
            <w:tcW w:w="1168" w:type="dxa"/>
            <w:tcBorders>
              <w:top w:val="nil"/>
              <w:left w:val="nil"/>
              <w:bottom w:val="single" w:sz="4" w:space="0" w:color="auto"/>
              <w:right w:val="nil"/>
            </w:tcBorders>
            <w:shd w:val="clear" w:color="auto" w:fill="auto"/>
            <w:noWrap/>
            <w:vAlign w:val="bottom"/>
          </w:tcPr>
          <w:p w14:paraId="484597BA"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1.162</w:t>
            </w:r>
          </w:p>
        </w:tc>
        <w:tc>
          <w:tcPr>
            <w:tcW w:w="1559" w:type="dxa"/>
            <w:tcBorders>
              <w:top w:val="nil"/>
              <w:left w:val="nil"/>
              <w:bottom w:val="single" w:sz="4" w:space="0" w:color="auto"/>
              <w:right w:val="nil"/>
            </w:tcBorders>
            <w:shd w:val="clear" w:color="auto" w:fill="auto"/>
            <w:noWrap/>
            <w:vAlign w:val="bottom"/>
          </w:tcPr>
          <w:p w14:paraId="30DA8B92"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(36.655)</w:t>
            </w:r>
          </w:p>
        </w:tc>
        <w:tc>
          <w:tcPr>
            <w:tcW w:w="1134" w:type="dxa"/>
            <w:tcBorders>
              <w:top w:val="nil"/>
              <w:left w:val="nil"/>
              <w:bottom w:val="single" w:sz="4" w:space="0" w:color="auto"/>
              <w:right w:val="nil"/>
            </w:tcBorders>
            <w:shd w:val="clear" w:color="auto" w:fill="auto"/>
            <w:noWrap/>
            <w:vAlign w:val="bottom"/>
          </w:tcPr>
          <w:p w14:paraId="4B292114"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28.278.362</w:t>
            </w:r>
          </w:p>
        </w:tc>
      </w:tr>
      <w:tr w:rsidR="004E2F51" w:rsidRPr="003014A0" w14:paraId="59E9E3D8" w14:textId="77777777" w:rsidTr="00E032FC">
        <w:trPr>
          <w:trHeight w:val="315"/>
        </w:trPr>
        <w:tc>
          <w:tcPr>
            <w:tcW w:w="3261" w:type="dxa"/>
            <w:tcBorders>
              <w:left w:val="nil"/>
              <w:right w:val="nil"/>
            </w:tcBorders>
            <w:shd w:val="clear" w:color="auto" w:fill="auto"/>
            <w:vAlign w:val="bottom"/>
          </w:tcPr>
          <w:p w14:paraId="47C231B9" w14:textId="77777777" w:rsidR="004E2F51" w:rsidRPr="003014A0" w:rsidRDefault="004E2F51" w:rsidP="00E032FC">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Ukupna imovina</w:t>
            </w:r>
          </w:p>
        </w:tc>
        <w:tc>
          <w:tcPr>
            <w:tcW w:w="1134" w:type="dxa"/>
            <w:tcBorders>
              <w:top w:val="single" w:sz="4" w:space="0" w:color="auto"/>
              <w:left w:val="nil"/>
              <w:bottom w:val="single" w:sz="12" w:space="0" w:color="auto"/>
              <w:right w:val="nil"/>
            </w:tcBorders>
            <w:shd w:val="clear" w:color="auto" w:fill="auto"/>
            <w:noWrap/>
            <w:vAlign w:val="bottom"/>
          </w:tcPr>
          <w:p w14:paraId="7FFA71E0" w14:textId="77777777" w:rsidR="004E2F51" w:rsidRPr="003014A0" w:rsidRDefault="004E2F51" w:rsidP="00E032FC">
            <w:pPr>
              <w:spacing w:line="300" w:lineRule="exact"/>
              <w:jc w:val="right"/>
              <w:rPr>
                <w:rFonts w:ascii="Arial" w:hAnsi="Arial" w:cs="Arial"/>
                <w:b/>
                <w:color w:val="000000" w:themeColor="text1"/>
                <w:sz w:val="18"/>
                <w:szCs w:val="18"/>
                <w:lang w:val="hr-HR"/>
              </w:rPr>
            </w:pPr>
            <w:r w:rsidRPr="003014A0">
              <w:rPr>
                <w:rFonts w:ascii="Arial" w:hAnsi="Arial" w:cs="Arial"/>
                <w:b/>
                <w:bCs/>
                <w:color w:val="000000" w:themeColor="text1"/>
                <w:sz w:val="18"/>
                <w:szCs w:val="18"/>
                <w:lang w:val="hr-HR"/>
              </w:rPr>
              <w:t>28.249.988</w:t>
            </w:r>
          </w:p>
        </w:tc>
        <w:tc>
          <w:tcPr>
            <w:tcW w:w="1667" w:type="dxa"/>
            <w:tcBorders>
              <w:top w:val="single" w:sz="4" w:space="0" w:color="auto"/>
              <w:left w:val="nil"/>
              <w:bottom w:val="single" w:sz="12" w:space="0" w:color="auto"/>
              <w:right w:val="nil"/>
            </w:tcBorders>
            <w:shd w:val="clear" w:color="auto" w:fill="auto"/>
            <w:noWrap/>
            <w:vAlign w:val="bottom"/>
          </w:tcPr>
          <w:p w14:paraId="45EF9F40" w14:textId="77777777" w:rsidR="004E2F51" w:rsidRPr="003014A0" w:rsidRDefault="004E2F51" w:rsidP="00E032FC">
            <w:pPr>
              <w:spacing w:line="300" w:lineRule="exact"/>
              <w:jc w:val="right"/>
              <w:rPr>
                <w:rFonts w:ascii="Arial" w:hAnsi="Arial" w:cs="Arial"/>
                <w:b/>
                <w:color w:val="000000" w:themeColor="text1"/>
                <w:sz w:val="18"/>
                <w:szCs w:val="18"/>
                <w:lang w:val="hr-HR"/>
              </w:rPr>
            </w:pPr>
            <w:r w:rsidRPr="003014A0">
              <w:rPr>
                <w:rFonts w:ascii="Arial" w:hAnsi="Arial" w:cs="Arial"/>
                <w:b/>
                <w:bCs/>
                <w:color w:val="000000" w:themeColor="text1"/>
                <w:sz w:val="18"/>
                <w:szCs w:val="18"/>
                <w:lang w:val="hr-HR"/>
              </w:rPr>
              <w:t>63.867</w:t>
            </w:r>
          </w:p>
        </w:tc>
        <w:tc>
          <w:tcPr>
            <w:tcW w:w="1168" w:type="dxa"/>
            <w:tcBorders>
              <w:top w:val="single" w:sz="4" w:space="0" w:color="auto"/>
              <w:left w:val="nil"/>
              <w:bottom w:val="single" w:sz="12" w:space="0" w:color="auto"/>
              <w:right w:val="nil"/>
            </w:tcBorders>
            <w:shd w:val="clear" w:color="auto" w:fill="auto"/>
            <w:noWrap/>
            <w:vAlign w:val="bottom"/>
          </w:tcPr>
          <w:p w14:paraId="14BD4447" w14:textId="77777777" w:rsidR="004E2F51" w:rsidRPr="003014A0" w:rsidRDefault="004E2F51" w:rsidP="00E032FC">
            <w:pPr>
              <w:spacing w:line="300" w:lineRule="exact"/>
              <w:jc w:val="right"/>
              <w:rPr>
                <w:rFonts w:ascii="Arial" w:hAnsi="Arial" w:cs="Arial"/>
                <w:b/>
                <w:color w:val="000000" w:themeColor="text1"/>
                <w:sz w:val="18"/>
                <w:szCs w:val="18"/>
                <w:lang w:val="hr-HR"/>
              </w:rPr>
            </w:pPr>
            <w:r w:rsidRPr="003014A0">
              <w:rPr>
                <w:rFonts w:ascii="Arial" w:hAnsi="Arial" w:cs="Arial"/>
                <w:b/>
                <w:bCs/>
                <w:color w:val="000000" w:themeColor="text1"/>
                <w:sz w:val="18"/>
                <w:szCs w:val="18"/>
                <w:lang w:val="hr-HR"/>
              </w:rPr>
              <w:t>1.162</w:t>
            </w:r>
          </w:p>
        </w:tc>
        <w:tc>
          <w:tcPr>
            <w:tcW w:w="1559" w:type="dxa"/>
            <w:tcBorders>
              <w:top w:val="single" w:sz="4" w:space="0" w:color="auto"/>
              <w:left w:val="nil"/>
              <w:bottom w:val="single" w:sz="12" w:space="0" w:color="auto"/>
              <w:right w:val="nil"/>
            </w:tcBorders>
            <w:shd w:val="clear" w:color="auto" w:fill="auto"/>
            <w:noWrap/>
            <w:vAlign w:val="bottom"/>
          </w:tcPr>
          <w:p w14:paraId="3BF10C18" w14:textId="77777777" w:rsidR="004E2F51" w:rsidRPr="003014A0" w:rsidRDefault="004E2F51" w:rsidP="00E032FC">
            <w:pPr>
              <w:spacing w:line="300" w:lineRule="exact"/>
              <w:jc w:val="right"/>
              <w:rPr>
                <w:rFonts w:ascii="Arial" w:hAnsi="Arial" w:cs="Arial"/>
                <w:b/>
                <w:color w:val="000000" w:themeColor="text1"/>
                <w:sz w:val="18"/>
                <w:szCs w:val="18"/>
                <w:lang w:val="hr-HR"/>
              </w:rPr>
            </w:pPr>
            <w:r w:rsidRPr="003014A0">
              <w:rPr>
                <w:rFonts w:ascii="Arial" w:hAnsi="Arial" w:cs="Arial"/>
                <w:b/>
                <w:bCs/>
                <w:color w:val="000000" w:themeColor="text1"/>
                <w:sz w:val="18"/>
                <w:szCs w:val="18"/>
                <w:lang w:val="hr-HR"/>
              </w:rPr>
              <w:t>(36.655)</w:t>
            </w:r>
          </w:p>
        </w:tc>
        <w:tc>
          <w:tcPr>
            <w:tcW w:w="1134" w:type="dxa"/>
            <w:tcBorders>
              <w:top w:val="single" w:sz="4" w:space="0" w:color="auto"/>
              <w:left w:val="nil"/>
              <w:bottom w:val="single" w:sz="12" w:space="0" w:color="auto"/>
              <w:right w:val="nil"/>
            </w:tcBorders>
            <w:shd w:val="clear" w:color="auto" w:fill="auto"/>
            <w:noWrap/>
            <w:vAlign w:val="bottom"/>
          </w:tcPr>
          <w:p w14:paraId="2969C651" w14:textId="77777777" w:rsidR="004E2F51" w:rsidRPr="003014A0" w:rsidRDefault="004E2F51" w:rsidP="00E032FC">
            <w:pPr>
              <w:spacing w:line="300" w:lineRule="exact"/>
              <w:jc w:val="right"/>
              <w:rPr>
                <w:rFonts w:ascii="Arial" w:hAnsi="Arial" w:cs="Arial"/>
                <w:b/>
                <w:color w:val="000000" w:themeColor="text1"/>
                <w:sz w:val="18"/>
                <w:szCs w:val="18"/>
                <w:lang w:val="hr-HR"/>
              </w:rPr>
            </w:pPr>
            <w:r w:rsidRPr="003014A0">
              <w:rPr>
                <w:rFonts w:ascii="Arial" w:hAnsi="Arial" w:cs="Arial"/>
                <w:b/>
                <w:bCs/>
                <w:color w:val="000000" w:themeColor="text1"/>
                <w:sz w:val="18"/>
                <w:szCs w:val="18"/>
                <w:lang w:val="hr-HR"/>
              </w:rPr>
              <w:t>28.278.362</w:t>
            </w:r>
          </w:p>
        </w:tc>
      </w:tr>
      <w:tr w:rsidR="004E2F51" w:rsidRPr="003014A0" w14:paraId="75EC53B8" w14:textId="77777777" w:rsidTr="00E032FC">
        <w:trPr>
          <w:trHeight w:val="121"/>
        </w:trPr>
        <w:tc>
          <w:tcPr>
            <w:tcW w:w="3261" w:type="dxa"/>
            <w:tcBorders>
              <w:left w:val="nil"/>
              <w:bottom w:val="nil"/>
              <w:right w:val="nil"/>
            </w:tcBorders>
            <w:shd w:val="clear" w:color="auto" w:fill="auto"/>
            <w:vAlign w:val="bottom"/>
          </w:tcPr>
          <w:p w14:paraId="7CD6CE2D" w14:textId="77777777" w:rsidR="004E2F51" w:rsidRPr="003014A0" w:rsidRDefault="004E2F51" w:rsidP="00E032FC">
            <w:pPr>
              <w:spacing w:line="140" w:lineRule="exac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57B08616"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667" w:type="dxa"/>
            <w:tcBorders>
              <w:top w:val="single" w:sz="12" w:space="0" w:color="auto"/>
              <w:left w:val="nil"/>
              <w:bottom w:val="nil"/>
              <w:right w:val="nil"/>
            </w:tcBorders>
            <w:shd w:val="clear" w:color="auto" w:fill="auto"/>
            <w:noWrap/>
            <w:vAlign w:val="bottom"/>
          </w:tcPr>
          <w:p w14:paraId="2A14F002"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168" w:type="dxa"/>
            <w:tcBorders>
              <w:top w:val="single" w:sz="12" w:space="0" w:color="auto"/>
              <w:left w:val="nil"/>
              <w:bottom w:val="nil"/>
              <w:right w:val="nil"/>
            </w:tcBorders>
            <w:shd w:val="clear" w:color="auto" w:fill="auto"/>
            <w:noWrap/>
            <w:vAlign w:val="bottom"/>
          </w:tcPr>
          <w:p w14:paraId="0048336E"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559" w:type="dxa"/>
            <w:tcBorders>
              <w:top w:val="single" w:sz="12" w:space="0" w:color="auto"/>
              <w:left w:val="nil"/>
              <w:bottom w:val="nil"/>
              <w:right w:val="nil"/>
            </w:tcBorders>
            <w:shd w:val="clear" w:color="auto" w:fill="auto"/>
            <w:noWrap/>
            <w:vAlign w:val="bottom"/>
          </w:tcPr>
          <w:p w14:paraId="6CE9A700" w14:textId="77777777" w:rsidR="004E2F51" w:rsidRPr="003014A0" w:rsidRDefault="004E2F51" w:rsidP="00E032F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noWrap/>
            <w:vAlign w:val="bottom"/>
          </w:tcPr>
          <w:p w14:paraId="5AB89300" w14:textId="77777777" w:rsidR="004E2F51" w:rsidRPr="003014A0" w:rsidRDefault="004E2F51" w:rsidP="00E032FC">
            <w:pPr>
              <w:spacing w:line="140" w:lineRule="exact"/>
              <w:jc w:val="right"/>
              <w:rPr>
                <w:rFonts w:ascii="Arial" w:hAnsi="Arial" w:cs="Arial"/>
                <w:color w:val="000000" w:themeColor="text1"/>
                <w:sz w:val="18"/>
                <w:szCs w:val="18"/>
                <w:lang w:val="hr-HR"/>
              </w:rPr>
            </w:pPr>
          </w:p>
        </w:tc>
      </w:tr>
      <w:tr w:rsidR="004E2F51" w:rsidRPr="003014A0" w14:paraId="31EDA0ED" w14:textId="77777777" w:rsidTr="00E032FC">
        <w:trPr>
          <w:trHeight w:val="300"/>
        </w:trPr>
        <w:tc>
          <w:tcPr>
            <w:tcW w:w="3261" w:type="dxa"/>
            <w:tcBorders>
              <w:top w:val="nil"/>
              <w:left w:val="nil"/>
              <w:bottom w:val="nil"/>
              <w:right w:val="nil"/>
            </w:tcBorders>
            <w:shd w:val="clear" w:color="auto" w:fill="auto"/>
            <w:vAlign w:val="bottom"/>
          </w:tcPr>
          <w:p w14:paraId="0654A931"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Obveze segmenta</w:t>
            </w:r>
          </w:p>
        </w:tc>
        <w:tc>
          <w:tcPr>
            <w:tcW w:w="1134" w:type="dxa"/>
            <w:shd w:val="clear" w:color="auto" w:fill="auto"/>
            <w:noWrap/>
            <w:vAlign w:val="bottom"/>
          </w:tcPr>
          <w:p w14:paraId="78EB6D47"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17.682.259</w:t>
            </w:r>
          </w:p>
        </w:tc>
        <w:tc>
          <w:tcPr>
            <w:tcW w:w="1667" w:type="dxa"/>
            <w:shd w:val="clear" w:color="auto" w:fill="auto"/>
            <w:noWrap/>
            <w:vAlign w:val="bottom"/>
          </w:tcPr>
          <w:p w14:paraId="7ACC2AA2"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19.187</w:t>
            </w:r>
          </w:p>
        </w:tc>
        <w:tc>
          <w:tcPr>
            <w:tcW w:w="1168" w:type="dxa"/>
            <w:shd w:val="clear" w:color="auto" w:fill="auto"/>
            <w:noWrap/>
            <w:vAlign w:val="bottom"/>
          </w:tcPr>
          <w:p w14:paraId="058C9426"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160</w:t>
            </w:r>
          </w:p>
        </w:tc>
        <w:tc>
          <w:tcPr>
            <w:tcW w:w="1559" w:type="dxa"/>
            <w:shd w:val="clear" w:color="auto" w:fill="auto"/>
            <w:noWrap/>
            <w:vAlign w:val="bottom"/>
          </w:tcPr>
          <w:p w14:paraId="7D1C1CB0"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(29)</w:t>
            </w:r>
          </w:p>
        </w:tc>
        <w:tc>
          <w:tcPr>
            <w:tcW w:w="1134" w:type="dxa"/>
            <w:shd w:val="clear" w:color="auto" w:fill="auto"/>
            <w:noWrap/>
            <w:vAlign w:val="bottom"/>
          </w:tcPr>
          <w:p w14:paraId="3A85968E"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17.701.577</w:t>
            </w:r>
          </w:p>
        </w:tc>
      </w:tr>
      <w:tr w:rsidR="004E2F51" w:rsidRPr="003014A0" w14:paraId="4F5A66CF" w14:textId="77777777" w:rsidTr="00E032FC">
        <w:trPr>
          <w:trHeight w:val="300"/>
        </w:trPr>
        <w:tc>
          <w:tcPr>
            <w:tcW w:w="3261" w:type="dxa"/>
            <w:tcBorders>
              <w:top w:val="nil"/>
              <w:left w:val="nil"/>
              <w:right w:val="nil"/>
            </w:tcBorders>
            <w:shd w:val="clear" w:color="auto" w:fill="auto"/>
            <w:vAlign w:val="bottom"/>
          </w:tcPr>
          <w:p w14:paraId="044367B0" w14:textId="77777777" w:rsidR="004E2F51" w:rsidRPr="003014A0" w:rsidRDefault="004E2F51" w:rsidP="00E032FC">
            <w:pPr>
              <w:spacing w:line="300" w:lineRule="exact"/>
              <w:rPr>
                <w:rFonts w:ascii="Arial" w:hAnsi="Arial" w:cs="Arial"/>
                <w:color w:val="000000" w:themeColor="text1"/>
                <w:sz w:val="18"/>
                <w:szCs w:val="18"/>
                <w:lang w:val="hr-HR"/>
              </w:rPr>
            </w:pPr>
            <w:r w:rsidRPr="003014A0">
              <w:rPr>
                <w:rFonts w:ascii="Arial" w:hAnsi="Arial" w:cs="Arial"/>
                <w:color w:val="000000" w:themeColor="text1"/>
                <w:sz w:val="18"/>
                <w:szCs w:val="18"/>
                <w:lang w:val="hr-HR"/>
              </w:rPr>
              <w:t>Ukupni kapital i rezerve</w:t>
            </w:r>
          </w:p>
        </w:tc>
        <w:tc>
          <w:tcPr>
            <w:tcW w:w="1134" w:type="dxa"/>
            <w:tcBorders>
              <w:top w:val="nil"/>
              <w:left w:val="nil"/>
              <w:bottom w:val="single" w:sz="4" w:space="0" w:color="auto"/>
              <w:right w:val="nil"/>
            </w:tcBorders>
            <w:shd w:val="clear" w:color="auto" w:fill="auto"/>
            <w:noWrap/>
            <w:vAlign w:val="bottom"/>
          </w:tcPr>
          <w:p w14:paraId="28ED7845"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10.567.729</w:t>
            </w:r>
          </w:p>
        </w:tc>
        <w:tc>
          <w:tcPr>
            <w:tcW w:w="1667" w:type="dxa"/>
            <w:tcBorders>
              <w:top w:val="nil"/>
              <w:left w:val="nil"/>
              <w:bottom w:val="single" w:sz="4" w:space="0" w:color="auto"/>
              <w:right w:val="nil"/>
            </w:tcBorders>
            <w:shd w:val="clear" w:color="auto" w:fill="auto"/>
            <w:noWrap/>
            <w:vAlign w:val="bottom"/>
          </w:tcPr>
          <w:p w14:paraId="392BC4C9"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6.567</w:t>
            </w:r>
          </w:p>
        </w:tc>
        <w:tc>
          <w:tcPr>
            <w:tcW w:w="1168" w:type="dxa"/>
            <w:tcBorders>
              <w:top w:val="nil"/>
              <w:left w:val="nil"/>
              <w:bottom w:val="single" w:sz="4" w:space="0" w:color="auto"/>
              <w:right w:val="nil"/>
            </w:tcBorders>
            <w:shd w:val="clear" w:color="auto" w:fill="auto"/>
            <w:noWrap/>
            <w:vAlign w:val="bottom"/>
          </w:tcPr>
          <w:p w14:paraId="5F292510"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718</w:t>
            </w:r>
          </w:p>
        </w:tc>
        <w:tc>
          <w:tcPr>
            <w:tcW w:w="1559" w:type="dxa"/>
            <w:tcBorders>
              <w:top w:val="nil"/>
              <w:left w:val="nil"/>
              <w:bottom w:val="single" w:sz="4" w:space="0" w:color="auto"/>
              <w:right w:val="nil"/>
            </w:tcBorders>
            <w:shd w:val="clear" w:color="auto" w:fill="auto"/>
            <w:noWrap/>
            <w:vAlign w:val="bottom"/>
          </w:tcPr>
          <w:p w14:paraId="487FD30B"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1.771</w:t>
            </w:r>
          </w:p>
        </w:tc>
        <w:tc>
          <w:tcPr>
            <w:tcW w:w="1134" w:type="dxa"/>
            <w:tcBorders>
              <w:top w:val="nil"/>
              <w:left w:val="nil"/>
              <w:bottom w:val="single" w:sz="4" w:space="0" w:color="auto"/>
              <w:right w:val="nil"/>
            </w:tcBorders>
            <w:shd w:val="clear" w:color="auto" w:fill="auto"/>
            <w:noWrap/>
            <w:vAlign w:val="bottom"/>
          </w:tcPr>
          <w:p w14:paraId="6AD02CFA" w14:textId="77777777" w:rsidR="004E2F51" w:rsidRPr="003014A0" w:rsidRDefault="004E2F51" w:rsidP="00E032FC">
            <w:pPr>
              <w:spacing w:line="300" w:lineRule="exact"/>
              <w:jc w:val="right"/>
              <w:rPr>
                <w:rFonts w:ascii="Arial" w:hAnsi="Arial" w:cs="Arial"/>
                <w:color w:val="000000" w:themeColor="text1"/>
                <w:sz w:val="18"/>
                <w:szCs w:val="18"/>
                <w:lang w:val="hr-HR"/>
              </w:rPr>
            </w:pPr>
            <w:r w:rsidRPr="003014A0">
              <w:rPr>
                <w:rFonts w:ascii="Arial" w:hAnsi="Arial" w:cs="Arial"/>
                <w:color w:val="000000" w:themeColor="text1"/>
                <w:sz w:val="18"/>
                <w:szCs w:val="18"/>
                <w:lang w:val="hr-HR"/>
              </w:rPr>
              <w:t>10.576.785</w:t>
            </w:r>
          </w:p>
        </w:tc>
      </w:tr>
      <w:tr w:rsidR="004E2F51" w:rsidRPr="003014A0" w14:paraId="73DF5C6E" w14:textId="77777777" w:rsidTr="00E032FC">
        <w:trPr>
          <w:trHeight w:val="315"/>
        </w:trPr>
        <w:tc>
          <w:tcPr>
            <w:tcW w:w="3261" w:type="dxa"/>
            <w:tcBorders>
              <w:left w:val="nil"/>
              <w:right w:val="nil"/>
            </w:tcBorders>
            <w:shd w:val="clear" w:color="auto" w:fill="auto"/>
            <w:vAlign w:val="bottom"/>
          </w:tcPr>
          <w:p w14:paraId="5A26F3EE" w14:textId="77777777" w:rsidR="004E2F51" w:rsidRPr="003014A0" w:rsidRDefault="004E2F51" w:rsidP="00E032FC">
            <w:pPr>
              <w:spacing w:line="300" w:lineRule="exac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Ukupne obveze i kapital i rezerve</w:t>
            </w:r>
          </w:p>
        </w:tc>
        <w:tc>
          <w:tcPr>
            <w:tcW w:w="1134" w:type="dxa"/>
            <w:tcBorders>
              <w:top w:val="single" w:sz="4" w:space="0" w:color="auto"/>
              <w:left w:val="nil"/>
              <w:bottom w:val="single" w:sz="12" w:space="0" w:color="auto"/>
              <w:right w:val="nil"/>
            </w:tcBorders>
            <w:shd w:val="clear" w:color="auto" w:fill="auto"/>
            <w:noWrap/>
            <w:vAlign w:val="bottom"/>
          </w:tcPr>
          <w:p w14:paraId="2368DE69"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28.249.988</w:t>
            </w:r>
          </w:p>
        </w:tc>
        <w:tc>
          <w:tcPr>
            <w:tcW w:w="1667" w:type="dxa"/>
            <w:tcBorders>
              <w:top w:val="single" w:sz="4" w:space="0" w:color="auto"/>
              <w:left w:val="nil"/>
              <w:bottom w:val="single" w:sz="12" w:space="0" w:color="auto"/>
              <w:right w:val="nil"/>
            </w:tcBorders>
            <w:shd w:val="clear" w:color="auto" w:fill="auto"/>
            <w:noWrap/>
            <w:vAlign w:val="bottom"/>
          </w:tcPr>
          <w:p w14:paraId="092919AC"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25.754</w:t>
            </w:r>
          </w:p>
        </w:tc>
        <w:tc>
          <w:tcPr>
            <w:tcW w:w="1168" w:type="dxa"/>
            <w:tcBorders>
              <w:top w:val="single" w:sz="4" w:space="0" w:color="auto"/>
              <w:left w:val="nil"/>
              <w:bottom w:val="single" w:sz="12" w:space="0" w:color="auto"/>
              <w:right w:val="nil"/>
            </w:tcBorders>
            <w:shd w:val="clear" w:color="auto" w:fill="auto"/>
            <w:noWrap/>
            <w:vAlign w:val="bottom"/>
          </w:tcPr>
          <w:p w14:paraId="08CA7F74"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878</w:t>
            </w:r>
          </w:p>
        </w:tc>
        <w:tc>
          <w:tcPr>
            <w:tcW w:w="1559" w:type="dxa"/>
            <w:tcBorders>
              <w:top w:val="single" w:sz="4" w:space="0" w:color="auto"/>
              <w:left w:val="nil"/>
              <w:bottom w:val="single" w:sz="12" w:space="0" w:color="auto"/>
              <w:right w:val="nil"/>
            </w:tcBorders>
            <w:shd w:val="clear" w:color="auto" w:fill="auto"/>
            <w:noWrap/>
            <w:vAlign w:val="bottom"/>
          </w:tcPr>
          <w:p w14:paraId="5B883FCF"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1.742</w:t>
            </w:r>
          </w:p>
        </w:tc>
        <w:tc>
          <w:tcPr>
            <w:tcW w:w="1134" w:type="dxa"/>
            <w:tcBorders>
              <w:top w:val="single" w:sz="4" w:space="0" w:color="auto"/>
              <w:left w:val="nil"/>
              <w:bottom w:val="single" w:sz="12" w:space="0" w:color="auto"/>
              <w:right w:val="nil"/>
            </w:tcBorders>
            <w:shd w:val="clear" w:color="auto" w:fill="auto"/>
            <w:noWrap/>
            <w:vAlign w:val="bottom"/>
          </w:tcPr>
          <w:p w14:paraId="1504CAA8" w14:textId="77777777" w:rsidR="004E2F51" w:rsidRPr="003014A0" w:rsidRDefault="004E2F51" w:rsidP="00E032FC">
            <w:pPr>
              <w:spacing w:line="300" w:lineRule="exact"/>
              <w:jc w:val="right"/>
              <w:rPr>
                <w:rFonts w:ascii="Arial" w:hAnsi="Arial" w:cs="Arial"/>
                <w:b/>
                <w:bCs/>
                <w:color w:val="000000" w:themeColor="text1"/>
                <w:sz w:val="18"/>
                <w:szCs w:val="18"/>
                <w:lang w:val="hr-HR"/>
              </w:rPr>
            </w:pPr>
            <w:r w:rsidRPr="003014A0">
              <w:rPr>
                <w:rFonts w:ascii="Arial" w:hAnsi="Arial" w:cs="Arial"/>
                <w:b/>
                <w:bCs/>
                <w:color w:val="000000" w:themeColor="text1"/>
                <w:sz w:val="18"/>
                <w:szCs w:val="18"/>
                <w:lang w:val="hr-HR"/>
              </w:rPr>
              <w:t>28.278.362</w:t>
            </w:r>
          </w:p>
        </w:tc>
      </w:tr>
    </w:tbl>
    <w:p w14:paraId="5AE9DA26" w14:textId="77777777" w:rsidR="004E2F51" w:rsidRPr="003014A0" w:rsidRDefault="004E2F51" w:rsidP="004E2F51">
      <w:pPr>
        <w:spacing w:before="120" w:line="300" w:lineRule="exact"/>
        <w:jc w:val="both"/>
        <w:rPr>
          <w:rFonts w:ascii="Arial" w:hAnsi="Arial" w:cs="Arial"/>
          <w:b/>
          <w:color w:val="000000" w:themeColor="text1"/>
          <w:sz w:val="20"/>
          <w:szCs w:val="20"/>
          <w:lang w:val="hr-HR"/>
        </w:rPr>
      </w:pPr>
    </w:p>
    <w:p w14:paraId="5862DD1D" w14:textId="77777777" w:rsidR="004E2F51" w:rsidRPr="003014A0" w:rsidRDefault="004E2F51" w:rsidP="004E2F51">
      <w:pPr>
        <w:jc w:val="both"/>
        <w:rPr>
          <w:rFonts w:ascii="Arial" w:hAnsi="Arial" w:cs="Arial"/>
          <w:b/>
          <w:color w:val="000000" w:themeColor="text1"/>
          <w:sz w:val="20"/>
          <w:szCs w:val="20"/>
          <w:lang w:val="hr-HR"/>
        </w:rPr>
      </w:pPr>
    </w:p>
    <w:p w14:paraId="63C97E4B" w14:textId="77777777" w:rsidR="004E2F51" w:rsidRPr="003014A0" w:rsidRDefault="004E2F51" w:rsidP="004E2F51">
      <w:pPr>
        <w:jc w:val="both"/>
        <w:rPr>
          <w:rFonts w:ascii="Arial" w:hAnsi="Arial" w:cs="Arial"/>
          <w:color w:val="000000" w:themeColor="text1"/>
          <w:sz w:val="20"/>
          <w:szCs w:val="20"/>
          <w:lang w:val="hr-HR"/>
        </w:rPr>
      </w:pPr>
      <w:r w:rsidRPr="003014A0">
        <w:rPr>
          <w:rFonts w:ascii="Arial" w:hAnsi="Arial" w:cs="Arial"/>
          <w:color w:val="000000" w:themeColor="text1"/>
          <w:sz w:val="20"/>
          <w:szCs w:val="20"/>
          <w:lang w:val="hr-HR"/>
        </w:rPr>
        <w:t>Međusobni odnosi između članica Grupe iskazani su u koloni „Neraspoređeno“.</w:t>
      </w:r>
    </w:p>
    <w:p w14:paraId="43FEFE81" w14:textId="77777777" w:rsidR="004E2F51" w:rsidRPr="003014A0" w:rsidRDefault="004E2F51" w:rsidP="004E2F51">
      <w:pPr>
        <w:spacing w:before="120" w:line="300" w:lineRule="exact"/>
        <w:jc w:val="both"/>
        <w:rPr>
          <w:rFonts w:ascii="Arial" w:hAnsi="Arial" w:cs="Arial"/>
          <w:b/>
          <w:color w:val="000000" w:themeColor="text1"/>
          <w:sz w:val="20"/>
          <w:szCs w:val="20"/>
          <w:lang w:val="hr-HR"/>
        </w:rPr>
      </w:pPr>
    </w:p>
    <w:p w14:paraId="28766CFD" w14:textId="77777777" w:rsidR="004E2F51" w:rsidRPr="003014A0" w:rsidRDefault="004E2F51" w:rsidP="004E2F51">
      <w:pPr>
        <w:spacing w:before="120" w:line="300" w:lineRule="exact"/>
        <w:jc w:val="both"/>
        <w:rPr>
          <w:rFonts w:ascii="Arial" w:hAnsi="Arial" w:cs="Arial"/>
          <w:b/>
          <w:color w:val="000000" w:themeColor="text1"/>
          <w:sz w:val="20"/>
          <w:szCs w:val="20"/>
          <w:lang w:val="hr-HR"/>
        </w:rPr>
      </w:pPr>
    </w:p>
    <w:p w14:paraId="623FDC62" w14:textId="77777777" w:rsidR="004E2F51" w:rsidRPr="003014A0" w:rsidRDefault="004E2F51" w:rsidP="004E2F51">
      <w:pPr>
        <w:spacing w:before="120" w:line="300" w:lineRule="exact"/>
        <w:jc w:val="both"/>
        <w:rPr>
          <w:rFonts w:ascii="Arial" w:hAnsi="Arial" w:cs="Arial"/>
          <w:b/>
          <w:color w:val="000000" w:themeColor="text1"/>
          <w:sz w:val="20"/>
          <w:szCs w:val="20"/>
          <w:lang w:val="hr-HR"/>
        </w:rPr>
      </w:pPr>
    </w:p>
    <w:p w14:paraId="46F67777" w14:textId="77777777" w:rsidR="004E2F51" w:rsidRPr="00B91D09" w:rsidRDefault="004E2F51" w:rsidP="004E2F51">
      <w:pPr>
        <w:spacing w:before="120" w:line="300" w:lineRule="exact"/>
        <w:jc w:val="both"/>
        <w:rPr>
          <w:rFonts w:ascii="Arial" w:hAnsi="Arial" w:cs="Arial"/>
          <w:b/>
          <w:color w:val="000000" w:themeColor="text1"/>
          <w:sz w:val="22"/>
          <w:szCs w:val="22"/>
          <w:lang w:val="hr-HR"/>
        </w:rPr>
        <w:sectPr w:rsidR="004E2F51" w:rsidRPr="00B91D09" w:rsidSect="00623DBA">
          <w:footerReference w:type="default" r:id="rId231"/>
          <w:pgSz w:w="11907" w:h="16840" w:code="9"/>
          <w:pgMar w:top="1418" w:right="1134" w:bottom="1134" w:left="1418" w:header="851" w:footer="851" w:gutter="0"/>
          <w:cols w:space="720"/>
          <w:noEndnote/>
        </w:sectPr>
      </w:pPr>
    </w:p>
    <w:p w14:paraId="7851DE3A" w14:textId="77777777" w:rsidR="004E2F51" w:rsidRPr="00B91D09" w:rsidRDefault="004E2F51" w:rsidP="004E2F51">
      <w:pPr>
        <w:pStyle w:val="T1"/>
        <w:spacing w:before="0" w:after="0" w:line="240" w:lineRule="auto"/>
        <w:ind w:left="709" w:hanging="709"/>
        <w:rPr>
          <w:rFonts w:cs="Arial"/>
          <w:color w:val="000000" w:themeColor="text1"/>
          <w:spacing w:val="-3"/>
          <w:sz w:val="22"/>
          <w:szCs w:val="22"/>
          <w:lang w:val="hr-HR"/>
        </w:rPr>
      </w:pPr>
    </w:p>
    <w:p w14:paraId="77C75AA4" w14:textId="77777777" w:rsidR="004E2F51" w:rsidRPr="003E7B9E" w:rsidRDefault="004E2F51" w:rsidP="004E2F51">
      <w:pPr>
        <w:pStyle w:val="T1"/>
        <w:spacing w:before="0" w:after="0" w:line="240" w:lineRule="auto"/>
        <w:ind w:left="709" w:hanging="709"/>
        <w:rPr>
          <w:rFonts w:cs="Arial"/>
          <w:color w:val="000000" w:themeColor="text1"/>
          <w:spacing w:val="-3"/>
          <w:sz w:val="20"/>
          <w:lang w:val="hr-HR"/>
        </w:rPr>
      </w:pPr>
      <w:r w:rsidRPr="003E7B9E">
        <w:rPr>
          <w:rFonts w:cs="Arial"/>
          <w:color w:val="000000" w:themeColor="text1"/>
          <w:spacing w:val="-3"/>
          <w:sz w:val="20"/>
          <w:lang w:val="hr-HR"/>
        </w:rPr>
        <w:t>3</w:t>
      </w:r>
      <w:r>
        <w:rPr>
          <w:rFonts w:cs="Arial"/>
          <w:color w:val="000000" w:themeColor="text1"/>
          <w:spacing w:val="-3"/>
          <w:sz w:val="20"/>
          <w:lang w:val="hr-HR"/>
        </w:rPr>
        <w:t>4</w:t>
      </w:r>
      <w:r w:rsidRPr="003E7B9E">
        <w:rPr>
          <w:rFonts w:cs="Arial"/>
          <w:color w:val="000000" w:themeColor="text1"/>
          <w:spacing w:val="-3"/>
          <w:sz w:val="20"/>
          <w:lang w:val="hr-HR"/>
        </w:rPr>
        <w:t>.</w:t>
      </w:r>
      <w:r w:rsidRPr="003E7B9E">
        <w:rPr>
          <w:rFonts w:cs="Arial"/>
          <w:color w:val="000000" w:themeColor="text1"/>
          <w:spacing w:val="-3"/>
          <w:sz w:val="20"/>
          <w:lang w:val="hr-HR"/>
        </w:rPr>
        <w:tab/>
        <w:t>Upravljanje kapitalom</w:t>
      </w:r>
    </w:p>
    <w:p w14:paraId="35ED4448" w14:textId="77777777" w:rsidR="004E2F51" w:rsidRPr="003E7B9E" w:rsidRDefault="004E2F51" w:rsidP="004E2F51">
      <w:pPr>
        <w:pStyle w:val="T1"/>
        <w:tabs>
          <w:tab w:val="right" w:pos="9781"/>
        </w:tabs>
        <w:spacing w:before="0" w:after="0" w:line="240" w:lineRule="auto"/>
        <w:rPr>
          <w:rFonts w:cs="Arial"/>
          <w:b w:val="0"/>
          <w:bCs w:val="0"/>
          <w:color w:val="000000" w:themeColor="text1"/>
          <w:sz w:val="20"/>
          <w:lang w:val="hr-HR"/>
        </w:rPr>
      </w:pPr>
    </w:p>
    <w:p w14:paraId="6A615DFD" w14:textId="77777777" w:rsidR="004E2F51" w:rsidRDefault="004E2F51" w:rsidP="004E2F51">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Osnovni ciljevi Banke u upravljanju kapitalom su osiguravanje pretpostavki neograničenosti poslovanja („going-concern“) i poštivanja regulatornih i ugovornih zahtjeva od strane vjerovnika o održavanju adekvatnosti kapitala.</w:t>
      </w:r>
    </w:p>
    <w:p w14:paraId="345F98F7" w14:textId="77777777" w:rsidR="004E2F51" w:rsidRPr="00C07373" w:rsidRDefault="004E2F51" w:rsidP="004E2F51">
      <w:pPr>
        <w:pStyle w:val="T1"/>
        <w:tabs>
          <w:tab w:val="right" w:pos="9781"/>
        </w:tabs>
        <w:spacing w:before="0" w:after="0" w:line="240" w:lineRule="auto"/>
        <w:rPr>
          <w:rFonts w:cs="Arial"/>
          <w:b w:val="0"/>
          <w:bCs w:val="0"/>
          <w:color w:val="000000" w:themeColor="text1"/>
          <w:sz w:val="20"/>
          <w:lang w:val="hr-HR"/>
        </w:rPr>
      </w:pPr>
    </w:p>
    <w:p w14:paraId="527BFE57" w14:textId="77777777" w:rsidR="004E2F51" w:rsidRDefault="004E2F51" w:rsidP="004E2F51">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Grupa je odredila regulatorni kapital kao kategoriju kapitala kojom upravlja.</w:t>
      </w:r>
    </w:p>
    <w:p w14:paraId="79D93BCC" w14:textId="77777777" w:rsidR="004E2F51" w:rsidRPr="00C07373" w:rsidRDefault="004E2F51" w:rsidP="004E2F51">
      <w:pPr>
        <w:pStyle w:val="T1"/>
        <w:tabs>
          <w:tab w:val="right" w:pos="9781"/>
        </w:tabs>
        <w:spacing w:before="0" w:after="0" w:line="240" w:lineRule="auto"/>
        <w:rPr>
          <w:rFonts w:cs="Arial"/>
          <w:b w:val="0"/>
          <w:bCs w:val="0"/>
          <w:color w:val="000000" w:themeColor="text1"/>
          <w:sz w:val="20"/>
          <w:lang w:val="hr-HR"/>
        </w:rPr>
      </w:pPr>
    </w:p>
    <w:p w14:paraId="1DD80C67" w14:textId="77777777" w:rsidR="004E2F51" w:rsidRDefault="004E2F51" w:rsidP="004E2F51">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Regulatorni kapital je iznos izvora sredstava koji se održava radi sigurnog i stabilnog poslovanja, odnosno radi ispunjenja obveza prema vjerovnicima. </w:t>
      </w:r>
    </w:p>
    <w:p w14:paraId="046098AC" w14:textId="77777777" w:rsidR="004E2F51" w:rsidRPr="00C07373" w:rsidRDefault="004E2F51" w:rsidP="004E2F51">
      <w:pPr>
        <w:pStyle w:val="T1"/>
        <w:tabs>
          <w:tab w:val="right" w:pos="9781"/>
        </w:tabs>
        <w:spacing w:before="0" w:after="0" w:line="240" w:lineRule="auto"/>
        <w:rPr>
          <w:rFonts w:cs="Arial"/>
          <w:b w:val="0"/>
          <w:bCs w:val="0"/>
          <w:color w:val="000000" w:themeColor="text1"/>
          <w:sz w:val="20"/>
          <w:lang w:val="hr-HR"/>
        </w:rPr>
      </w:pPr>
    </w:p>
    <w:p w14:paraId="08CDBC61" w14:textId="77777777" w:rsidR="004E2F51" w:rsidRDefault="004E2F51" w:rsidP="004E2F51">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Regulatorni kapital HBOR-a je zbroj osnovnog kapitala i dopunskog kapitala. </w:t>
      </w:r>
    </w:p>
    <w:p w14:paraId="57C08A10" w14:textId="77777777" w:rsidR="004E2F51" w:rsidRDefault="004E2F51" w:rsidP="004E2F51">
      <w:pPr>
        <w:pStyle w:val="T1"/>
        <w:tabs>
          <w:tab w:val="right" w:pos="9781"/>
        </w:tabs>
        <w:spacing w:before="0" w:after="0" w:line="240" w:lineRule="auto"/>
        <w:rPr>
          <w:rFonts w:cs="Arial"/>
          <w:b w:val="0"/>
          <w:bCs w:val="0"/>
          <w:color w:val="000000" w:themeColor="text1"/>
          <w:sz w:val="20"/>
          <w:lang w:val="hr-HR"/>
        </w:rPr>
      </w:pPr>
    </w:p>
    <w:p w14:paraId="107D63D4" w14:textId="77777777" w:rsidR="004E2F51" w:rsidRPr="00C07373" w:rsidRDefault="004E2F51" w:rsidP="004E2F51">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HBOR osigurava da u svakom trenutku ima iznos kapitala adekvatan vrstama, opsegu i složenosti poslova koje obavlja i rizicima kojima je izložen ili bi mogao biti izložen u svom poslovanju.</w:t>
      </w:r>
    </w:p>
    <w:p w14:paraId="356B7197" w14:textId="77777777" w:rsidR="004E2F51" w:rsidRPr="00C07373" w:rsidRDefault="004E2F51" w:rsidP="004E2F51">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Stopa ukupnog kapitala HBOR-a izračunava se kao odnos između regulatornog kapitala i ukupnog: </w:t>
      </w:r>
    </w:p>
    <w:p w14:paraId="75F182D2" w14:textId="77777777" w:rsidR="004E2F51" w:rsidRPr="00C07373" w:rsidRDefault="004E2F51" w:rsidP="004E2F51">
      <w:pPr>
        <w:pStyle w:val="T1"/>
        <w:numPr>
          <w:ilvl w:val="0"/>
          <w:numId w:val="2"/>
        </w:numPr>
        <w:tabs>
          <w:tab w:val="num" w:pos="720"/>
          <w:tab w:val="right" w:pos="9781"/>
        </w:tabs>
        <w:suppressAutoHyphens w:val="0"/>
        <w:autoSpaceDN/>
        <w:spacing w:before="0" w:after="0" w:line="240" w:lineRule="auto"/>
        <w:ind w:left="714" w:hanging="357"/>
        <w:outlineLvl w:val="9"/>
        <w:rPr>
          <w:rFonts w:cs="Arial"/>
          <w:b w:val="0"/>
          <w:bCs w:val="0"/>
          <w:color w:val="000000" w:themeColor="text1"/>
          <w:sz w:val="20"/>
          <w:lang w:val="hr-HR"/>
        </w:rPr>
      </w:pPr>
      <w:r w:rsidRPr="00C07373">
        <w:rPr>
          <w:rFonts w:cs="Arial"/>
          <w:b w:val="0"/>
          <w:bCs w:val="0"/>
          <w:color w:val="000000" w:themeColor="text1"/>
          <w:sz w:val="20"/>
          <w:lang w:val="hr-HR"/>
        </w:rPr>
        <w:t xml:space="preserve">1. iznosa izloženosti ponderiranog kreditnim rizikom (propisan Metodologijom za izračun stope ukupnog kapitala HBOR-a) i </w:t>
      </w:r>
    </w:p>
    <w:p w14:paraId="4D34B1BE" w14:textId="77777777" w:rsidR="004E2F51" w:rsidRDefault="004E2F51" w:rsidP="004E2F51">
      <w:pPr>
        <w:pStyle w:val="T1"/>
        <w:numPr>
          <w:ilvl w:val="0"/>
          <w:numId w:val="2"/>
        </w:numPr>
        <w:tabs>
          <w:tab w:val="num" w:pos="720"/>
          <w:tab w:val="right" w:pos="9781"/>
        </w:tabs>
        <w:suppressAutoHyphens w:val="0"/>
        <w:autoSpaceDN/>
        <w:spacing w:before="0" w:after="0" w:line="240" w:lineRule="auto"/>
        <w:ind w:left="714" w:hanging="357"/>
        <w:outlineLvl w:val="9"/>
        <w:rPr>
          <w:rFonts w:cs="Arial"/>
          <w:b w:val="0"/>
          <w:bCs w:val="0"/>
          <w:color w:val="000000" w:themeColor="text1"/>
          <w:sz w:val="20"/>
          <w:lang w:val="hr-HR"/>
        </w:rPr>
      </w:pPr>
      <w:r w:rsidRPr="00C07373">
        <w:rPr>
          <w:rFonts w:cs="Arial"/>
          <w:b w:val="0"/>
          <w:bCs w:val="0"/>
          <w:color w:val="000000" w:themeColor="text1"/>
          <w:sz w:val="20"/>
          <w:lang w:val="hr-HR"/>
        </w:rPr>
        <w:t xml:space="preserve">2. iznosa inicijalnih kapitalnih zahtjeva za tržišne rizike, rizik namire i operativni rizik (propisani Metodologijom za izračun stope ukupnog kapitala HBOR-a), pomnoženih s 12,5. </w:t>
      </w:r>
    </w:p>
    <w:p w14:paraId="79939ECF" w14:textId="77777777" w:rsidR="004E2F51" w:rsidRDefault="004E2F51" w:rsidP="004E2F51">
      <w:pPr>
        <w:pStyle w:val="T1"/>
        <w:tabs>
          <w:tab w:val="right" w:pos="9781"/>
        </w:tabs>
        <w:spacing w:before="0" w:after="0" w:line="240" w:lineRule="auto"/>
        <w:rPr>
          <w:rFonts w:cs="Arial"/>
          <w:b w:val="0"/>
          <w:bCs w:val="0"/>
          <w:color w:val="000000" w:themeColor="text1"/>
          <w:sz w:val="20"/>
          <w:lang w:val="hr-HR"/>
        </w:rPr>
      </w:pPr>
    </w:p>
    <w:p w14:paraId="2F4074C5" w14:textId="77777777" w:rsidR="004E2F51" w:rsidRPr="00C07373" w:rsidRDefault="004E2F51" w:rsidP="004E2F51">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Stopa ukupnog kapitala izračunava se temeljem interne metodologije utemeljene na regulatornom okviru u skladu s pristupom izračuna Basel II, na primjeni određenih odredbi važeće bankovne regulative ovisno o mogućnostima sustava HBOR-a i uz daljnje strateško usmjerenje na njezin razvoj u skladu s važećom bankovnom regulativom, primjenjivom na HBOR kao razvojnu i izvoznu banku Republike Hrvatske. </w:t>
      </w:r>
    </w:p>
    <w:p w14:paraId="56CC6FEC" w14:textId="77777777" w:rsidR="004E2F51" w:rsidRPr="00C07373" w:rsidRDefault="004E2F51" w:rsidP="004E2F51">
      <w:pPr>
        <w:pStyle w:val="T1"/>
        <w:tabs>
          <w:tab w:val="right" w:pos="9781"/>
        </w:tabs>
        <w:spacing w:before="0" w:after="0" w:line="240" w:lineRule="auto"/>
        <w:rPr>
          <w:rFonts w:cs="Arial"/>
          <w:b w:val="0"/>
          <w:bCs w:val="0"/>
          <w:color w:val="000000" w:themeColor="text1"/>
          <w:sz w:val="20"/>
          <w:lang w:val="hr-HR"/>
        </w:rPr>
      </w:pPr>
    </w:p>
    <w:p w14:paraId="7BEEA013" w14:textId="77777777" w:rsidR="004E2F51" w:rsidRPr="00C07373" w:rsidRDefault="004E2F51" w:rsidP="004E2F51">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 xml:space="preserve">Sklonost preuzimanju rizika (apetit za rizik) jest razina i vrste rizika koje je HBOR spreman preuzeti kako bi ostvario ciljeve iz svoje strategije poslovanja, a uvijek se utvrđuje unutar definirane sposobnosti podnošenja rizika, koja predstavlja najveću razinu rizika koju HBOR može preuzeti s obzirom na svoju kapitalnu osnovu, sposobnost upravljanja rizicima i kontrole te regulatorna ograničenja ako su propisana i primjenjiva na HBOR. </w:t>
      </w:r>
    </w:p>
    <w:p w14:paraId="0C7FF5F6" w14:textId="77777777" w:rsidR="004E2F51" w:rsidRPr="00C07373" w:rsidRDefault="004E2F51" w:rsidP="004E2F51">
      <w:pPr>
        <w:pStyle w:val="T1"/>
        <w:tabs>
          <w:tab w:val="right" w:pos="9781"/>
        </w:tabs>
        <w:spacing w:before="0" w:after="0" w:line="240" w:lineRule="auto"/>
        <w:rPr>
          <w:rFonts w:cs="Arial"/>
          <w:b w:val="0"/>
          <w:bCs w:val="0"/>
          <w:color w:val="000000" w:themeColor="text1"/>
          <w:sz w:val="20"/>
          <w:lang w:val="hr-HR"/>
        </w:rPr>
      </w:pPr>
    </w:p>
    <w:p w14:paraId="240B97FD" w14:textId="77777777" w:rsidR="004E2F51" w:rsidRDefault="004E2F51" w:rsidP="004E2F51">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U okviru definiranja sklonosti preuzimanju rizika na strateškoj razini utvrđena je minimalno prihvatljiva stopa ukupnog kapitala u visini 20%</w:t>
      </w:r>
      <w:r>
        <w:rPr>
          <w:rFonts w:cs="Arial"/>
          <w:b w:val="0"/>
          <w:bCs w:val="0"/>
          <w:color w:val="000000" w:themeColor="text1"/>
          <w:sz w:val="20"/>
          <w:lang w:val="hr-HR"/>
        </w:rPr>
        <w:t>.</w:t>
      </w:r>
    </w:p>
    <w:p w14:paraId="6BD29289" w14:textId="77777777" w:rsidR="004E2F51" w:rsidRPr="00C07373" w:rsidRDefault="004E2F51" w:rsidP="004E2F51">
      <w:pPr>
        <w:pStyle w:val="T1"/>
        <w:tabs>
          <w:tab w:val="right" w:pos="9781"/>
        </w:tabs>
        <w:spacing w:before="0" w:after="0" w:line="240" w:lineRule="auto"/>
        <w:rPr>
          <w:rFonts w:cs="Arial"/>
          <w:b w:val="0"/>
          <w:bCs w:val="0"/>
          <w:color w:val="000000" w:themeColor="text1"/>
          <w:sz w:val="20"/>
          <w:lang w:val="hr-HR"/>
        </w:rPr>
      </w:pPr>
    </w:p>
    <w:p w14:paraId="084C7281" w14:textId="77777777" w:rsidR="004E2F51" w:rsidRPr="00C07373" w:rsidRDefault="004E2F51" w:rsidP="004E2F51">
      <w:pPr>
        <w:pStyle w:val="T1"/>
        <w:tabs>
          <w:tab w:val="right" w:pos="9781"/>
        </w:tabs>
        <w:spacing w:before="0" w:after="0" w:line="240" w:lineRule="auto"/>
        <w:rPr>
          <w:rFonts w:cs="Arial"/>
          <w:b w:val="0"/>
          <w:bCs w:val="0"/>
          <w:color w:val="000000" w:themeColor="text1"/>
          <w:sz w:val="20"/>
          <w:lang w:val="hr-HR"/>
        </w:rPr>
      </w:pPr>
      <w:r w:rsidRPr="00C07373">
        <w:rPr>
          <w:rFonts w:cs="Arial"/>
          <w:b w:val="0"/>
          <w:bCs w:val="0"/>
          <w:color w:val="000000" w:themeColor="text1"/>
          <w:sz w:val="20"/>
          <w:lang w:val="hr-HR"/>
        </w:rPr>
        <w:t>U nastavku se daje pregled stope adekvatnosti kapitala na dane 31. prosinca 2022. i 31. prosinca 2021.</w:t>
      </w:r>
    </w:p>
    <w:p w14:paraId="77D18585" w14:textId="77777777" w:rsidR="004E2F51" w:rsidRPr="003E7B9E" w:rsidRDefault="004E2F51" w:rsidP="004E2F51">
      <w:pPr>
        <w:pStyle w:val="T1"/>
        <w:tabs>
          <w:tab w:val="right" w:pos="9781"/>
        </w:tabs>
        <w:spacing w:before="0" w:after="0" w:line="240" w:lineRule="auto"/>
        <w:rPr>
          <w:rFonts w:cs="Arial"/>
          <w:b w:val="0"/>
          <w:bCs w:val="0"/>
          <w:color w:val="000000" w:themeColor="text1"/>
          <w:sz w:val="20"/>
          <w:lang w:val="hr-HR"/>
        </w:rPr>
      </w:pPr>
    </w:p>
    <w:tbl>
      <w:tblPr>
        <w:tblW w:w="5228" w:type="pct"/>
        <w:jc w:val="center"/>
        <w:tblLayout w:type="fixed"/>
        <w:tblLook w:val="01E0" w:firstRow="1" w:lastRow="1" w:firstColumn="1" w:lastColumn="1" w:noHBand="0" w:noVBand="0"/>
      </w:tblPr>
      <w:tblGrid>
        <w:gridCol w:w="4254"/>
        <w:gridCol w:w="1382"/>
        <w:gridCol w:w="1382"/>
        <w:gridCol w:w="1381"/>
        <w:gridCol w:w="1383"/>
      </w:tblGrid>
      <w:tr w:rsidR="004E2F51" w:rsidRPr="00753068" w14:paraId="696598E4" w14:textId="77777777" w:rsidTr="00E032FC">
        <w:trPr>
          <w:trHeight w:val="190"/>
          <w:jc w:val="center"/>
        </w:trPr>
        <w:tc>
          <w:tcPr>
            <w:tcW w:w="2174" w:type="pct"/>
          </w:tcPr>
          <w:p w14:paraId="3BFC242C" w14:textId="77777777" w:rsidR="004E2F51" w:rsidRPr="00753068" w:rsidRDefault="004E2F51" w:rsidP="00E032FC">
            <w:pPr>
              <w:pStyle w:val="T1"/>
              <w:keepNext w:val="0"/>
              <w:tabs>
                <w:tab w:val="right" w:pos="9781"/>
              </w:tabs>
              <w:spacing w:before="0" w:after="0" w:line="220" w:lineRule="exact"/>
              <w:rPr>
                <w:rFonts w:cs="Arial"/>
                <w:b w:val="0"/>
                <w:bCs w:val="0"/>
                <w:color w:val="000000" w:themeColor="text1"/>
                <w:sz w:val="18"/>
                <w:szCs w:val="18"/>
                <w:lang w:val="hr-HR"/>
              </w:rPr>
            </w:pPr>
          </w:p>
        </w:tc>
        <w:tc>
          <w:tcPr>
            <w:tcW w:w="706" w:type="pct"/>
            <w:vAlign w:val="bottom"/>
          </w:tcPr>
          <w:p w14:paraId="53047257" w14:textId="77777777" w:rsidR="004E2F51" w:rsidRPr="00753068" w:rsidRDefault="004E2F51" w:rsidP="00E032FC">
            <w:pPr>
              <w:pStyle w:val="TH"/>
              <w:jc w:val="right"/>
              <w:rPr>
                <w:rFonts w:cs="Arial"/>
                <w:color w:val="000000" w:themeColor="text1"/>
                <w:sz w:val="18"/>
                <w:szCs w:val="18"/>
                <w:lang w:val="hr-HR"/>
              </w:rPr>
            </w:pPr>
          </w:p>
        </w:tc>
        <w:tc>
          <w:tcPr>
            <w:tcW w:w="706" w:type="pct"/>
            <w:vAlign w:val="bottom"/>
          </w:tcPr>
          <w:p w14:paraId="6CA362F2" w14:textId="77777777" w:rsidR="004E2F51" w:rsidRPr="00753068" w:rsidRDefault="004E2F51" w:rsidP="00E032FC">
            <w:pPr>
              <w:pStyle w:val="TH"/>
              <w:jc w:val="right"/>
              <w:rPr>
                <w:rFonts w:cs="Arial"/>
                <w:color w:val="000000" w:themeColor="text1"/>
                <w:sz w:val="18"/>
                <w:szCs w:val="18"/>
                <w:lang w:val="hr-HR"/>
              </w:rPr>
            </w:pPr>
            <w:bookmarkStart w:id="2067" w:name="_Toc67331443"/>
            <w:r w:rsidRPr="00753068">
              <w:rPr>
                <w:rFonts w:cs="Arial"/>
                <w:color w:val="000000" w:themeColor="text1"/>
                <w:sz w:val="18"/>
                <w:szCs w:val="18"/>
                <w:lang w:val="hr-HR"/>
              </w:rPr>
              <w:t>Grupa</w:t>
            </w:r>
            <w:bookmarkEnd w:id="2067"/>
          </w:p>
        </w:tc>
        <w:tc>
          <w:tcPr>
            <w:tcW w:w="706" w:type="pct"/>
            <w:vAlign w:val="bottom"/>
          </w:tcPr>
          <w:p w14:paraId="5317DAF8" w14:textId="77777777" w:rsidR="004E2F51" w:rsidRPr="00753068" w:rsidRDefault="004E2F51" w:rsidP="00E032FC">
            <w:pPr>
              <w:pStyle w:val="TH"/>
              <w:jc w:val="right"/>
              <w:rPr>
                <w:rFonts w:cs="Arial"/>
                <w:color w:val="000000" w:themeColor="text1"/>
                <w:sz w:val="18"/>
                <w:szCs w:val="18"/>
                <w:lang w:val="hr-HR"/>
              </w:rPr>
            </w:pPr>
          </w:p>
        </w:tc>
        <w:tc>
          <w:tcPr>
            <w:tcW w:w="707" w:type="pct"/>
          </w:tcPr>
          <w:p w14:paraId="55383C13" w14:textId="77777777" w:rsidR="004E2F51" w:rsidRPr="00753068" w:rsidRDefault="004E2F51" w:rsidP="00E032FC">
            <w:pPr>
              <w:pStyle w:val="TH"/>
              <w:jc w:val="right"/>
              <w:rPr>
                <w:rFonts w:cs="Arial"/>
                <w:color w:val="000000" w:themeColor="text1"/>
                <w:sz w:val="18"/>
                <w:szCs w:val="18"/>
                <w:lang w:val="hr-HR"/>
              </w:rPr>
            </w:pPr>
            <w:bookmarkStart w:id="2068" w:name="_Toc67331444"/>
            <w:r w:rsidRPr="00753068">
              <w:rPr>
                <w:rFonts w:cs="Arial"/>
                <w:color w:val="000000" w:themeColor="text1"/>
                <w:sz w:val="18"/>
                <w:szCs w:val="18"/>
                <w:lang w:val="hr-HR"/>
              </w:rPr>
              <w:t>Banka</w:t>
            </w:r>
            <w:bookmarkEnd w:id="2068"/>
          </w:p>
        </w:tc>
      </w:tr>
      <w:tr w:rsidR="004E2F51" w:rsidRPr="00753068" w14:paraId="004F5F1E" w14:textId="77777777" w:rsidTr="00E032FC">
        <w:trPr>
          <w:trHeight w:val="190"/>
          <w:jc w:val="center"/>
        </w:trPr>
        <w:tc>
          <w:tcPr>
            <w:tcW w:w="2174" w:type="pct"/>
          </w:tcPr>
          <w:p w14:paraId="79A7438F" w14:textId="77777777" w:rsidR="004E2F51" w:rsidRPr="00753068" w:rsidRDefault="004E2F51" w:rsidP="00E032FC">
            <w:pPr>
              <w:pStyle w:val="T1"/>
              <w:keepNext w:val="0"/>
              <w:tabs>
                <w:tab w:val="right" w:pos="9781"/>
              </w:tabs>
              <w:spacing w:before="0" w:after="0" w:line="220" w:lineRule="exact"/>
              <w:rPr>
                <w:rFonts w:cs="Arial"/>
                <w:b w:val="0"/>
                <w:bCs w:val="0"/>
                <w:color w:val="000000" w:themeColor="text1"/>
                <w:sz w:val="18"/>
                <w:szCs w:val="18"/>
                <w:lang w:val="hr-HR"/>
              </w:rPr>
            </w:pPr>
          </w:p>
        </w:tc>
        <w:tc>
          <w:tcPr>
            <w:tcW w:w="706" w:type="pct"/>
            <w:vAlign w:val="bottom"/>
          </w:tcPr>
          <w:p w14:paraId="20D7B1E6" w14:textId="77777777" w:rsidR="004E2F51" w:rsidRPr="00753068" w:rsidRDefault="004E2F51" w:rsidP="00E032FC">
            <w:pPr>
              <w:pStyle w:val="TH"/>
              <w:jc w:val="right"/>
              <w:rPr>
                <w:rFonts w:cs="Arial"/>
                <w:color w:val="000000" w:themeColor="text1"/>
                <w:sz w:val="18"/>
                <w:szCs w:val="18"/>
                <w:lang w:val="hr-HR"/>
              </w:rPr>
            </w:pPr>
            <w:bookmarkStart w:id="2069" w:name="_Toc67331445"/>
            <w:r w:rsidRPr="00753068">
              <w:rPr>
                <w:rFonts w:cs="Arial"/>
                <w:color w:val="000000" w:themeColor="text1"/>
                <w:sz w:val="18"/>
                <w:szCs w:val="18"/>
                <w:lang w:val="hr-HR"/>
              </w:rPr>
              <w:t>31. prosinca 2022.</w:t>
            </w:r>
            <w:bookmarkEnd w:id="2069"/>
          </w:p>
        </w:tc>
        <w:tc>
          <w:tcPr>
            <w:tcW w:w="706" w:type="pct"/>
            <w:vAlign w:val="bottom"/>
          </w:tcPr>
          <w:p w14:paraId="0DD07C3B" w14:textId="77777777" w:rsidR="004E2F51" w:rsidRPr="00753068" w:rsidRDefault="004E2F51" w:rsidP="00E032FC">
            <w:pPr>
              <w:pStyle w:val="TH"/>
              <w:jc w:val="right"/>
              <w:rPr>
                <w:rFonts w:cs="Arial"/>
                <w:color w:val="000000" w:themeColor="text1"/>
                <w:sz w:val="18"/>
                <w:szCs w:val="18"/>
                <w:lang w:val="hr-HR"/>
              </w:rPr>
            </w:pPr>
            <w:bookmarkStart w:id="2070" w:name="_Toc67331446"/>
            <w:r w:rsidRPr="00753068">
              <w:rPr>
                <w:rFonts w:cs="Arial"/>
                <w:color w:val="000000" w:themeColor="text1"/>
                <w:sz w:val="18"/>
                <w:szCs w:val="18"/>
                <w:lang w:val="hr-HR"/>
              </w:rPr>
              <w:t>31. prosinca 2021.</w:t>
            </w:r>
            <w:bookmarkEnd w:id="2070"/>
          </w:p>
        </w:tc>
        <w:tc>
          <w:tcPr>
            <w:tcW w:w="706" w:type="pct"/>
            <w:vAlign w:val="bottom"/>
          </w:tcPr>
          <w:p w14:paraId="123A9557" w14:textId="77777777" w:rsidR="004E2F51" w:rsidRPr="00753068" w:rsidRDefault="004E2F51" w:rsidP="00E032FC">
            <w:pPr>
              <w:pStyle w:val="TH"/>
              <w:jc w:val="right"/>
              <w:rPr>
                <w:rFonts w:cs="Arial"/>
                <w:color w:val="000000" w:themeColor="text1"/>
                <w:sz w:val="18"/>
                <w:szCs w:val="18"/>
                <w:lang w:val="hr-HR"/>
              </w:rPr>
            </w:pPr>
            <w:bookmarkStart w:id="2071" w:name="_Toc67331447"/>
            <w:r w:rsidRPr="00753068">
              <w:rPr>
                <w:rFonts w:cs="Arial"/>
                <w:color w:val="000000" w:themeColor="text1"/>
                <w:sz w:val="18"/>
                <w:szCs w:val="18"/>
                <w:lang w:val="hr-HR"/>
              </w:rPr>
              <w:t>31. prosinca 2022.</w:t>
            </w:r>
            <w:bookmarkEnd w:id="2071"/>
          </w:p>
        </w:tc>
        <w:tc>
          <w:tcPr>
            <w:tcW w:w="707" w:type="pct"/>
            <w:vAlign w:val="bottom"/>
          </w:tcPr>
          <w:p w14:paraId="6C7FDD08" w14:textId="77777777" w:rsidR="004E2F51" w:rsidRPr="00753068" w:rsidRDefault="004E2F51" w:rsidP="00E032FC">
            <w:pPr>
              <w:pStyle w:val="TH"/>
              <w:jc w:val="right"/>
              <w:rPr>
                <w:rFonts w:cs="Arial"/>
                <w:color w:val="000000" w:themeColor="text1"/>
                <w:sz w:val="18"/>
                <w:szCs w:val="18"/>
                <w:lang w:val="hr-HR"/>
              </w:rPr>
            </w:pPr>
            <w:bookmarkStart w:id="2072" w:name="_Toc67331448"/>
            <w:r w:rsidRPr="00753068">
              <w:rPr>
                <w:rFonts w:cs="Arial"/>
                <w:color w:val="000000" w:themeColor="text1"/>
                <w:sz w:val="18"/>
                <w:szCs w:val="18"/>
                <w:lang w:val="hr-HR"/>
              </w:rPr>
              <w:t>31. prosinca 2021.</w:t>
            </w:r>
            <w:bookmarkEnd w:id="2072"/>
          </w:p>
        </w:tc>
      </w:tr>
      <w:tr w:rsidR="004E2F51" w:rsidRPr="00753068" w14:paraId="1486E528" w14:textId="77777777" w:rsidTr="00E032FC">
        <w:trPr>
          <w:trHeight w:val="185"/>
          <w:jc w:val="center"/>
        </w:trPr>
        <w:tc>
          <w:tcPr>
            <w:tcW w:w="2174" w:type="pct"/>
          </w:tcPr>
          <w:p w14:paraId="0000A1E6" w14:textId="77777777" w:rsidR="004E2F51" w:rsidRPr="00753068" w:rsidRDefault="004E2F51" w:rsidP="00E032FC">
            <w:pPr>
              <w:pStyle w:val="TH"/>
              <w:tabs>
                <w:tab w:val="right" w:pos="9781"/>
              </w:tabs>
              <w:spacing w:line="220" w:lineRule="exact"/>
              <w:rPr>
                <w:rFonts w:cs="Arial"/>
                <w:b w:val="0"/>
                <w:bCs/>
                <w:color w:val="000000" w:themeColor="text1"/>
                <w:sz w:val="18"/>
                <w:szCs w:val="18"/>
                <w:lang w:val="hr-HR"/>
              </w:rPr>
            </w:pPr>
          </w:p>
        </w:tc>
        <w:tc>
          <w:tcPr>
            <w:tcW w:w="706" w:type="pct"/>
            <w:vAlign w:val="center"/>
          </w:tcPr>
          <w:p w14:paraId="334F972D" w14:textId="77777777" w:rsidR="004E2F51" w:rsidRPr="00753068" w:rsidRDefault="004E2F51" w:rsidP="00E032FC">
            <w:pPr>
              <w:pStyle w:val="TH"/>
              <w:spacing w:line="220" w:lineRule="exact"/>
              <w:jc w:val="right"/>
              <w:rPr>
                <w:rFonts w:cs="Arial"/>
                <w:color w:val="000000" w:themeColor="text1"/>
                <w:sz w:val="18"/>
                <w:szCs w:val="18"/>
                <w:lang w:val="hr-HR"/>
              </w:rPr>
            </w:pPr>
            <w:bookmarkStart w:id="2073" w:name="_Toc67331449"/>
            <w:r w:rsidRPr="00753068">
              <w:rPr>
                <w:rFonts w:cs="Arial"/>
                <w:color w:val="000000" w:themeColor="text1"/>
                <w:sz w:val="18"/>
                <w:szCs w:val="18"/>
                <w:lang w:val="hr-HR"/>
              </w:rPr>
              <w:t>000 kuna</w:t>
            </w:r>
            <w:bookmarkEnd w:id="2073"/>
          </w:p>
        </w:tc>
        <w:tc>
          <w:tcPr>
            <w:tcW w:w="706" w:type="pct"/>
            <w:vAlign w:val="center"/>
          </w:tcPr>
          <w:p w14:paraId="0F67580E" w14:textId="77777777" w:rsidR="004E2F51" w:rsidRPr="00753068" w:rsidRDefault="004E2F51" w:rsidP="00E032FC">
            <w:pPr>
              <w:pStyle w:val="TH"/>
              <w:spacing w:line="220" w:lineRule="exact"/>
              <w:jc w:val="right"/>
              <w:rPr>
                <w:rFonts w:cs="Arial"/>
                <w:color w:val="000000" w:themeColor="text1"/>
                <w:sz w:val="18"/>
                <w:szCs w:val="18"/>
                <w:lang w:val="hr-HR"/>
              </w:rPr>
            </w:pPr>
            <w:bookmarkStart w:id="2074" w:name="_Toc67331450"/>
            <w:r w:rsidRPr="00753068">
              <w:rPr>
                <w:rFonts w:cs="Arial"/>
                <w:color w:val="000000" w:themeColor="text1"/>
                <w:sz w:val="18"/>
                <w:szCs w:val="18"/>
                <w:lang w:val="hr-HR"/>
              </w:rPr>
              <w:t>000 kuna</w:t>
            </w:r>
            <w:bookmarkEnd w:id="2074"/>
          </w:p>
        </w:tc>
        <w:tc>
          <w:tcPr>
            <w:tcW w:w="706" w:type="pct"/>
            <w:vAlign w:val="center"/>
          </w:tcPr>
          <w:p w14:paraId="0AA9BF9F" w14:textId="77777777" w:rsidR="004E2F51" w:rsidRPr="00753068" w:rsidRDefault="004E2F51" w:rsidP="00E032FC">
            <w:pPr>
              <w:pStyle w:val="T1"/>
              <w:spacing w:before="0" w:after="0" w:line="220" w:lineRule="exact"/>
              <w:jc w:val="right"/>
              <w:rPr>
                <w:rFonts w:cs="Arial"/>
                <w:color w:val="000000" w:themeColor="text1"/>
                <w:sz w:val="18"/>
                <w:szCs w:val="18"/>
                <w:lang w:val="hr-HR"/>
              </w:rPr>
            </w:pPr>
            <w:r w:rsidRPr="00753068">
              <w:rPr>
                <w:rFonts w:cs="Arial"/>
                <w:color w:val="000000" w:themeColor="text1"/>
                <w:sz w:val="18"/>
                <w:szCs w:val="18"/>
                <w:lang w:val="hr-HR"/>
              </w:rPr>
              <w:t>000 kuna</w:t>
            </w:r>
          </w:p>
        </w:tc>
        <w:tc>
          <w:tcPr>
            <w:tcW w:w="707" w:type="pct"/>
            <w:vAlign w:val="center"/>
          </w:tcPr>
          <w:p w14:paraId="2D28E285" w14:textId="77777777" w:rsidR="004E2F51" w:rsidRPr="00753068" w:rsidRDefault="004E2F51" w:rsidP="00E032FC">
            <w:pPr>
              <w:pStyle w:val="T1"/>
              <w:spacing w:before="0" w:after="0" w:line="220" w:lineRule="exact"/>
              <w:jc w:val="right"/>
              <w:rPr>
                <w:rFonts w:cs="Arial"/>
                <w:color w:val="000000" w:themeColor="text1"/>
                <w:sz w:val="18"/>
                <w:szCs w:val="18"/>
                <w:lang w:val="hr-HR"/>
              </w:rPr>
            </w:pPr>
            <w:r w:rsidRPr="00753068">
              <w:rPr>
                <w:rFonts w:cs="Arial"/>
                <w:color w:val="000000" w:themeColor="text1"/>
                <w:sz w:val="18"/>
                <w:szCs w:val="18"/>
                <w:lang w:val="hr-HR"/>
              </w:rPr>
              <w:t>000 kuna</w:t>
            </w:r>
          </w:p>
        </w:tc>
      </w:tr>
      <w:tr w:rsidR="004E2F51" w:rsidRPr="00753068" w14:paraId="5EC5A454" w14:textId="77777777" w:rsidTr="00E032FC">
        <w:trPr>
          <w:trHeight w:val="185"/>
          <w:jc w:val="center"/>
        </w:trPr>
        <w:tc>
          <w:tcPr>
            <w:tcW w:w="2174" w:type="pct"/>
          </w:tcPr>
          <w:p w14:paraId="1611E508" w14:textId="77777777" w:rsidR="004E2F51" w:rsidRPr="00753068" w:rsidRDefault="004E2F51" w:rsidP="00E032FC">
            <w:pPr>
              <w:pStyle w:val="TH"/>
              <w:tabs>
                <w:tab w:val="right" w:pos="9781"/>
              </w:tabs>
              <w:spacing w:line="220" w:lineRule="exact"/>
              <w:rPr>
                <w:rFonts w:cs="Arial"/>
                <w:b w:val="0"/>
                <w:bCs/>
                <w:color w:val="000000" w:themeColor="text1"/>
                <w:sz w:val="18"/>
                <w:szCs w:val="18"/>
                <w:lang w:val="hr-HR"/>
              </w:rPr>
            </w:pPr>
          </w:p>
        </w:tc>
        <w:tc>
          <w:tcPr>
            <w:tcW w:w="706" w:type="pct"/>
            <w:vAlign w:val="center"/>
          </w:tcPr>
          <w:p w14:paraId="478C31E8" w14:textId="77777777" w:rsidR="004E2F51" w:rsidRPr="00753068" w:rsidRDefault="004E2F51" w:rsidP="00E032FC">
            <w:pPr>
              <w:pStyle w:val="TH"/>
              <w:spacing w:line="220" w:lineRule="exact"/>
              <w:jc w:val="right"/>
              <w:rPr>
                <w:rFonts w:cs="Arial"/>
                <w:color w:val="000000" w:themeColor="text1"/>
                <w:sz w:val="18"/>
                <w:szCs w:val="18"/>
                <w:lang w:val="hr-HR"/>
              </w:rPr>
            </w:pPr>
          </w:p>
        </w:tc>
        <w:tc>
          <w:tcPr>
            <w:tcW w:w="706" w:type="pct"/>
            <w:vAlign w:val="center"/>
          </w:tcPr>
          <w:p w14:paraId="68636E7D" w14:textId="77777777" w:rsidR="004E2F51" w:rsidRPr="00753068" w:rsidRDefault="004E2F51" w:rsidP="00E032FC">
            <w:pPr>
              <w:pStyle w:val="TH"/>
              <w:spacing w:line="220" w:lineRule="exact"/>
              <w:jc w:val="right"/>
              <w:rPr>
                <w:rFonts w:cs="Arial"/>
                <w:color w:val="000000" w:themeColor="text1"/>
                <w:sz w:val="18"/>
                <w:szCs w:val="18"/>
                <w:lang w:val="hr-HR"/>
              </w:rPr>
            </w:pPr>
          </w:p>
        </w:tc>
        <w:tc>
          <w:tcPr>
            <w:tcW w:w="706" w:type="pct"/>
            <w:vAlign w:val="center"/>
          </w:tcPr>
          <w:p w14:paraId="4992B01D" w14:textId="77777777" w:rsidR="004E2F51" w:rsidRPr="00753068" w:rsidRDefault="004E2F51" w:rsidP="00E032FC">
            <w:pPr>
              <w:pStyle w:val="T1"/>
              <w:spacing w:before="0" w:after="0" w:line="220" w:lineRule="exact"/>
              <w:jc w:val="right"/>
              <w:rPr>
                <w:rFonts w:cs="Arial"/>
                <w:color w:val="000000" w:themeColor="text1"/>
                <w:sz w:val="18"/>
                <w:szCs w:val="18"/>
                <w:lang w:val="hr-HR"/>
              </w:rPr>
            </w:pPr>
          </w:p>
        </w:tc>
        <w:tc>
          <w:tcPr>
            <w:tcW w:w="707" w:type="pct"/>
            <w:vAlign w:val="center"/>
          </w:tcPr>
          <w:p w14:paraId="1B7B284C" w14:textId="77777777" w:rsidR="004E2F51" w:rsidRPr="00753068" w:rsidRDefault="004E2F51" w:rsidP="00E032FC">
            <w:pPr>
              <w:pStyle w:val="T1"/>
              <w:spacing w:before="0" w:after="0" w:line="220" w:lineRule="exact"/>
              <w:jc w:val="right"/>
              <w:rPr>
                <w:rFonts w:cs="Arial"/>
                <w:color w:val="000000" w:themeColor="text1"/>
                <w:sz w:val="18"/>
                <w:szCs w:val="18"/>
                <w:lang w:val="hr-HR"/>
              </w:rPr>
            </w:pPr>
          </w:p>
        </w:tc>
      </w:tr>
      <w:tr w:rsidR="004E2F51" w:rsidRPr="00753068" w14:paraId="3108CFFD" w14:textId="77777777" w:rsidTr="00E032FC">
        <w:trPr>
          <w:trHeight w:val="241"/>
          <w:jc w:val="center"/>
        </w:trPr>
        <w:tc>
          <w:tcPr>
            <w:tcW w:w="2174" w:type="pct"/>
            <w:vAlign w:val="bottom"/>
          </w:tcPr>
          <w:p w14:paraId="5F3E179C" w14:textId="77777777" w:rsidR="004E2F51" w:rsidRPr="00753068" w:rsidRDefault="004E2F51" w:rsidP="00E032FC">
            <w:pPr>
              <w:pStyle w:val="TT"/>
              <w:tabs>
                <w:tab w:val="right" w:pos="9781"/>
              </w:tabs>
              <w:spacing w:line="220" w:lineRule="exact"/>
              <w:rPr>
                <w:rFonts w:cs="Arial"/>
                <w:b/>
                <w:bCs/>
                <w:color w:val="000000" w:themeColor="text1"/>
                <w:sz w:val="18"/>
                <w:szCs w:val="18"/>
                <w:lang w:val="hr-HR"/>
              </w:rPr>
            </w:pPr>
            <w:bookmarkStart w:id="2075" w:name="_Toc67331451"/>
            <w:r w:rsidRPr="00753068">
              <w:rPr>
                <w:rFonts w:cs="Arial"/>
                <w:b/>
                <w:bCs/>
                <w:color w:val="000000" w:themeColor="text1"/>
                <w:sz w:val="18"/>
                <w:szCs w:val="18"/>
                <w:lang w:val="hr-HR"/>
              </w:rPr>
              <w:t>Ukupni regulatorni kapital</w:t>
            </w:r>
            <w:bookmarkEnd w:id="2075"/>
          </w:p>
        </w:tc>
        <w:tc>
          <w:tcPr>
            <w:tcW w:w="706" w:type="pct"/>
            <w:tcBorders>
              <w:top w:val="nil"/>
              <w:left w:val="nil"/>
              <w:bottom w:val="nil"/>
              <w:right w:val="nil"/>
            </w:tcBorders>
            <w:shd w:val="clear" w:color="auto" w:fill="auto"/>
            <w:vAlign w:val="bottom"/>
          </w:tcPr>
          <w:p w14:paraId="6C1CA77E" w14:textId="77777777" w:rsidR="004E2F51" w:rsidRPr="00753068" w:rsidRDefault="004E2F51" w:rsidP="00E032FC">
            <w:pPr>
              <w:pStyle w:val="TT"/>
              <w:jc w:val="right"/>
              <w:rPr>
                <w:rFonts w:cs="Arial"/>
                <w:b/>
                <w:bCs/>
                <w:color w:val="000000" w:themeColor="text1"/>
                <w:sz w:val="18"/>
                <w:szCs w:val="18"/>
                <w:lang w:val="hr-HR"/>
              </w:rPr>
            </w:pPr>
            <w:r w:rsidRPr="00C77333">
              <w:rPr>
                <w:rFonts w:cs="Arial"/>
                <w:b/>
                <w:bCs/>
                <w:color w:val="000000" w:themeColor="text1"/>
                <w:sz w:val="18"/>
                <w:szCs w:val="18"/>
                <w:lang w:val="hr-HR"/>
              </w:rPr>
              <w:t>10.660.761</w:t>
            </w:r>
          </w:p>
        </w:tc>
        <w:tc>
          <w:tcPr>
            <w:tcW w:w="706" w:type="pct"/>
            <w:tcBorders>
              <w:top w:val="nil"/>
              <w:left w:val="nil"/>
              <w:bottom w:val="nil"/>
              <w:right w:val="nil"/>
            </w:tcBorders>
            <w:shd w:val="clear" w:color="auto" w:fill="auto"/>
            <w:vAlign w:val="bottom"/>
          </w:tcPr>
          <w:p w14:paraId="2252753A" w14:textId="77777777" w:rsidR="004E2F51" w:rsidRPr="00753068" w:rsidRDefault="004E2F51" w:rsidP="00E032FC">
            <w:pPr>
              <w:pStyle w:val="TT"/>
              <w:jc w:val="right"/>
              <w:rPr>
                <w:rFonts w:cs="Arial"/>
                <w:b/>
                <w:bCs/>
                <w:color w:val="000000" w:themeColor="text1"/>
                <w:sz w:val="18"/>
                <w:szCs w:val="18"/>
                <w:lang w:val="hr-HR"/>
              </w:rPr>
            </w:pPr>
            <w:r w:rsidRPr="00753068">
              <w:rPr>
                <w:rFonts w:cs="Arial"/>
                <w:b/>
                <w:bCs/>
                <w:sz w:val="18"/>
                <w:szCs w:val="18"/>
              </w:rPr>
              <w:t xml:space="preserve"> 10.310.733 </w:t>
            </w:r>
          </w:p>
        </w:tc>
        <w:tc>
          <w:tcPr>
            <w:tcW w:w="706" w:type="pct"/>
            <w:tcBorders>
              <w:top w:val="nil"/>
              <w:left w:val="nil"/>
              <w:bottom w:val="nil"/>
              <w:right w:val="nil"/>
            </w:tcBorders>
            <w:shd w:val="clear" w:color="auto" w:fill="auto"/>
            <w:vAlign w:val="bottom"/>
          </w:tcPr>
          <w:p w14:paraId="5067EDA3" w14:textId="77777777" w:rsidR="004E2F51" w:rsidRPr="00753068" w:rsidRDefault="004E2F51" w:rsidP="00E032FC">
            <w:pPr>
              <w:pStyle w:val="TT"/>
              <w:jc w:val="right"/>
              <w:rPr>
                <w:rFonts w:cs="Arial"/>
                <w:b/>
                <w:bCs/>
                <w:color w:val="000000" w:themeColor="text1"/>
                <w:sz w:val="18"/>
                <w:szCs w:val="18"/>
                <w:lang w:val="hr-HR"/>
              </w:rPr>
            </w:pPr>
            <w:r w:rsidRPr="00C77333">
              <w:rPr>
                <w:rFonts w:cs="Arial"/>
                <w:b/>
                <w:bCs/>
                <w:color w:val="000000" w:themeColor="text1"/>
                <w:sz w:val="18"/>
                <w:szCs w:val="18"/>
                <w:lang w:val="hr-HR"/>
              </w:rPr>
              <w:t>10.658.048</w:t>
            </w:r>
          </w:p>
        </w:tc>
        <w:tc>
          <w:tcPr>
            <w:tcW w:w="707" w:type="pct"/>
            <w:tcBorders>
              <w:top w:val="nil"/>
              <w:left w:val="nil"/>
              <w:bottom w:val="nil"/>
              <w:right w:val="nil"/>
            </w:tcBorders>
            <w:shd w:val="clear" w:color="auto" w:fill="auto"/>
            <w:vAlign w:val="bottom"/>
          </w:tcPr>
          <w:p w14:paraId="3E146F91" w14:textId="77777777" w:rsidR="004E2F51" w:rsidRPr="00753068" w:rsidRDefault="004E2F51" w:rsidP="00E032FC">
            <w:pPr>
              <w:pStyle w:val="TT"/>
              <w:jc w:val="right"/>
              <w:rPr>
                <w:rFonts w:cs="Arial"/>
                <w:b/>
                <w:bCs/>
                <w:color w:val="000000" w:themeColor="text1"/>
                <w:sz w:val="18"/>
                <w:szCs w:val="18"/>
                <w:lang w:val="hr-HR"/>
              </w:rPr>
            </w:pPr>
            <w:r w:rsidRPr="00753068">
              <w:rPr>
                <w:rFonts w:cs="Arial"/>
                <w:b/>
                <w:bCs/>
                <w:sz w:val="18"/>
                <w:szCs w:val="18"/>
              </w:rPr>
              <w:t xml:space="preserve"> 10.310.068 </w:t>
            </w:r>
          </w:p>
        </w:tc>
      </w:tr>
      <w:tr w:rsidR="004E2F51" w:rsidRPr="00753068" w14:paraId="0E7A076C" w14:textId="77777777" w:rsidTr="00E032FC">
        <w:trPr>
          <w:trHeight w:val="311"/>
          <w:jc w:val="center"/>
        </w:trPr>
        <w:tc>
          <w:tcPr>
            <w:tcW w:w="2174" w:type="pct"/>
            <w:vAlign w:val="bottom"/>
          </w:tcPr>
          <w:p w14:paraId="3A1FED3C" w14:textId="77777777" w:rsidR="004E2F51" w:rsidRPr="00753068" w:rsidRDefault="004E2F51" w:rsidP="00E032FC">
            <w:pPr>
              <w:pStyle w:val="TT"/>
              <w:tabs>
                <w:tab w:val="right" w:pos="9781"/>
              </w:tabs>
              <w:spacing w:line="220" w:lineRule="exact"/>
              <w:rPr>
                <w:rFonts w:cs="Arial"/>
                <w:b/>
                <w:bCs/>
                <w:color w:val="000000" w:themeColor="text1"/>
                <w:sz w:val="18"/>
                <w:szCs w:val="18"/>
                <w:lang w:val="hr-HR"/>
              </w:rPr>
            </w:pPr>
            <w:bookmarkStart w:id="2076" w:name="_Toc67331456"/>
            <w:r w:rsidRPr="00753068">
              <w:rPr>
                <w:rFonts w:cs="Arial"/>
                <w:color w:val="000000" w:themeColor="text1"/>
                <w:sz w:val="18"/>
                <w:szCs w:val="18"/>
                <w:lang w:val="hr-HR"/>
              </w:rPr>
              <w:t>Iznos izloženosti ponderiran kreditnim rizikom</w:t>
            </w:r>
            <w:bookmarkEnd w:id="2076"/>
          </w:p>
        </w:tc>
        <w:tc>
          <w:tcPr>
            <w:tcW w:w="706" w:type="pct"/>
            <w:tcBorders>
              <w:top w:val="nil"/>
              <w:left w:val="nil"/>
              <w:bottom w:val="nil"/>
              <w:right w:val="nil"/>
            </w:tcBorders>
            <w:shd w:val="clear" w:color="auto" w:fill="auto"/>
            <w:vAlign w:val="bottom"/>
          </w:tcPr>
          <w:p w14:paraId="75DCE5D8" w14:textId="77777777" w:rsidR="004E2F51" w:rsidRPr="00753068" w:rsidRDefault="004E2F51" w:rsidP="00E032FC">
            <w:pPr>
              <w:pStyle w:val="TT"/>
              <w:jc w:val="right"/>
              <w:rPr>
                <w:rFonts w:cs="Arial"/>
                <w:color w:val="000000" w:themeColor="text1"/>
                <w:sz w:val="18"/>
                <w:szCs w:val="18"/>
                <w:lang w:val="hr-HR"/>
              </w:rPr>
            </w:pPr>
            <w:r w:rsidRPr="00C77333">
              <w:rPr>
                <w:rFonts w:cs="Arial"/>
                <w:color w:val="000000" w:themeColor="text1"/>
                <w:sz w:val="18"/>
                <w:szCs w:val="18"/>
                <w:lang w:val="hr-HR"/>
              </w:rPr>
              <w:t>17.098.424</w:t>
            </w:r>
          </w:p>
        </w:tc>
        <w:tc>
          <w:tcPr>
            <w:tcW w:w="706" w:type="pct"/>
            <w:tcBorders>
              <w:top w:val="nil"/>
              <w:left w:val="nil"/>
              <w:bottom w:val="nil"/>
              <w:right w:val="nil"/>
            </w:tcBorders>
            <w:shd w:val="clear" w:color="auto" w:fill="auto"/>
            <w:vAlign w:val="bottom"/>
          </w:tcPr>
          <w:p w14:paraId="366A8183" w14:textId="77777777" w:rsidR="004E2F51" w:rsidRPr="00753068" w:rsidRDefault="004E2F51" w:rsidP="00E032FC">
            <w:pPr>
              <w:pStyle w:val="TT"/>
              <w:jc w:val="right"/>
              <w:rPr>
                <w:rFonts w:cs="Arial"/>
                <w:color w:val="000000" w:themeColor="text1"/>
                <w:sz w:val="18"/>
                <w:szCs w:val="18"/>
                <w:lang w:val="hr-HR"/>
              </w:rPr>
            </w:pPr>
            <w:r w:rsidRPr="00753068">
              <w:rPr>
                <w:rFonts w:cs="Arial"/>
                <w:sz w:val="18"/>
                <w:szCs w:val="18"/>
              </w:rPr>
              <w:t xml:space="preserve"> 14.243.551 </w:t>
            </w:r>
          </w:p>
        </w:tc>
        <w:tc>
          <w:tcPr>
            <w:tcW w:w="706" w:type="pct"/>
            <w:tcBorders>
              <w:top w:val="nil"/>
              <w:left w:val="nil"/>
              <w:bottom w:val="nil"/>
              <w:right w:val="nil"/>
            </w:tcBorders>
            <w:shd w:val="clear" w:color="auto" w:fill="auto"/>
            <w:vAlign w:val="bottom"/>
          </w:tcPr>
          <w:p w14:paraId="2EF743C0" w14:textId="77777777" w:rsidR="004E2F51" w:rsidRPr="00753068" w:rsidRDefault="004E2F51" w:rsidP="00E032FC">
            <w:pPr>
              <w:pStyle w:val="TT"/>
              <w:jc w:val="right"/>
              <w:rPr>
                <w:rFonts w:cs="Arial"/>
                <w:color w:val="000000" w:themeColor="text1"/>
                <w:sz w:val="18"/>
                <w:szCs w:val="18"/>
                <w:lang w:val="hr-HR"/>
              </w:rPr>
            </w:pPr>
            <w:r w:rsidRPr="00C77333">
              <w:rPr>
                <w:rFonts w:cs="Arial"/>
                <w:color w:val="000000" w:themeColor="text1"/>
                <w:sz w:val="18"/>
                <w:szCs w:val="18"/>
                <w:lang w:val="hr-HR"/>
              </w:rPr>
              <w:t>17.082.528</w:t>
            </w:r>
          </w:p>
        </w:tc>
        <w:tc>
          <w:tcPr>
            <w:tcW w:w="707" w:type="pct"/>
            <w:tcBorders>
              <w:top w:val="nil"/>
              <w:left w:val="nil"/>
              <w:bottom w:val="nil"/>
              <w:right w:val="nil"/>
            </w:tcBorders>
            <w:shd w:val="clear" w:color="auto" w:fill="auto"/>
            <w:vAlign w:val="bottom"/>
          </w:tcPr>
          <w:p w14:paraId="5EEEE953" w14:textId="77777777" w:rsidR="004E2F51" w:rsidRPr="00753068" w:rsidRDefault="004E2F51" w:rsidP="00E032FC">
            <w:pPr>
              <w:pStyle w:val="TT"/>
              <w:jc w:val="right"/>
              <w:rPr>
                <w:rFonts w:cs="Arial"/>
                <w:color w:val="000000" w:themeColor="text1"/>
                <w:sz w:val="18"/>
                <w:szCs w:val="18"/>
                <w:lang w:val="hr-HR"/>
              </w:rPr>
            </w:pPr>
            <w:r w:rsidRPr="00753068">
              <w:rPr>
                <w:rFonts w:cs="Arial"/>
                <w:sz w:val="18"/>
                <w:szCs w:val="18"/>
              </w:rPr>
              <w:t xml:space="preserve"> 14.237.375 </w:t>
            </w:r>
          </w:p>
        </w:tc>
      </w:tr>
      <w:tr w:rsidR="004E2F51" w:rsidRPr="00753068" w14:paraId="67E20B5E" w14:textId="77777777" w:rsidTr="00E032FC">
        <w:trPr>
          <w:trHeight w:val="311"/>
          <w:jc w:val="center"/>
        </w:trPr>
        <w:tc>
          <w:tcPr>
            <w:tcW w:w="2174" w:type="pct"/>
            <w:vAlign w:val="bottom"/>
          </w:tcPr>
          <w:p w14:paraId="7A7B6DC8" w14:textId="77777777" w:rsidR="004E2F51" w:rsidRPr="00753068" w:rsidRDefault="004E2F51" w:rsidP="00E032FC">
            <w:pPr>
              <w:pStyle w:val="TT"/>
              <w:tabs>
                <w:tab w:val="right" w:pos="9781"/>
              </w:tabs>
              <w:spacing w:line="220" w:lineRule="exact"/>
              <w:rPr>
                <w:rFonts w:cs="Arial"/>
                <w:b/>
                <w:bCs/>
                <w:color w:val="000000" w:themeColor="text1"/>
                <w:sz w:val="18"/>
                <w:szCs w:val="18"/>
                <w:lang w:val="hr-HR"/>
              </w:rPr>
            </w:pPr>
            <w:bookmarkStart w:id="2077" w:name="_Toc67331461"/>
            <w:r>
              <w:rPr>
                <w:rFonts w:cs="Arial"/>
                <w:color w:val="000000" w:themeColor="text1"/>
                <w:sz w:val="18"/>
                <w:szCs w:val="18"/>
                <w:lang w:val="hr-HR"/>
              </w:rPr>
              <w:t>Kapitalni</w:t>
            </w:r>
            <w:r w:rsidRPr="00753068">
              <w:rPr>
                <w:rFonts w:cs="Arial"/>
                <w:color w:val="000000" w:themeColor="text1"/>
                <w:sz w:val="18"/>
                <w:szCs w:val="18"/>
                <w:lang w:val="hr-HR"/>
              </w:rPr>
              <w:t xml:space="preserve"> zahtjev za operativni rizik</w:t>
            </w:r>
            <w:bookmarkEnd w:id="2077"/>
          </w:p>
        </w:tc>
        <w:tc>
          <w:tcPr>
            <w:tcW w:w="706" w:type="pct"/>
            <w:tcBorders>
              <w:top w:val="nil"/>
              <w:left w:val="nil"/>
              <w:bottom w:val="nil"/>
              <w:right w:val="nil"/>
            </w:tcBorders>
            <w:shd w:val="clear" w:color="auto" w:fill="auto"/>
            <w:vAlign w:val="bottom"/>
          </w:tcPr>
          <w:p w14:paraId="6C2F90A8" w14:textId="77777777" w:rsidR="004E2F51" w:rsidRPr="00753068" w:rsidRDefault="004E2F51" w:rsidP="00E032FC">
            <w:pPr>
              <w:pStyle w:val="TT"/>
              <w:jc w:val="right"/>
              <w:rPr>
                <w:rFonts w:cs="Arial"/>
                <w:color w:val="000000" w:themeColor="text1"/>
                <w:sz w:val="18"/>
                <w:szCs w:val="18"/>
                <w:lang w:val="hr-HR"/>
              </w:rPr>
            </w:pPr>
            <w:r w:rsidRPr="00C77333">
              <w:rPr>
                <w:rFonts w:cs="Arial"/>
                <w:color w:val="000000" w:themeColor="text1"/>
                <w:sz w:val="18"/>
                <w:szCs w:val="18"/>
                <w:lang w:val="hr-HR"/>
              </w:rPr>
              <w:t>934.316</w:t>
            </w:r>
          </w:p>
        </w:tc>
        <w:tc>
          <w:tcPr>
            <w:tcW w:w="706" w:type="pct"/>
            <w:tcBorders>
              <w:top w:val="nil"/>
              <w:left w:val="nil"/>
              <w:bottom w:val="nil"/>
              <w:right w:val="nil"/>
            </w:tcBorders>
            <w:shd w:val="clear" w:color="auto" w:fill="auto"/>
            <w:vAlign w:val="bottom"/>
          </w:tcPr>
          <w:p w14:paraId="77CD78BC" w14:textId="77777777" w:rsidR="004E2F51" w:rsidRPr="00753068" w:rsidRDefault="004E2F51" w:rsidP="00E032FC">
            <w:pPr>
              <w:pStyle w:val="TT"/>
              <w:jc w:val="right"/>
              <w:rPr>
                <w:rFonts w:cs="Arial"/>
                <w:color w:val="000000" w:themeColor="text1"/>
                <w:sz w:val="18"/>
                <w:szCs w:val="18"/>
                <w:lang w:val="hr-HR"/>
              </w:rPr>
            </w:pPr>
            <w:r w:rsidRPr="00753068">
              <w:rPr>
                <w:rFonts w:cs="Arial"/>
                <w:sz w:val="18"/>
                <w:szCs w:val="18"/>
                <w:lang w:val="it-IT"/>
              </w:rPr>
              <w:t xml:space="preserve"> </w:t>
            </w:r>
            <w:r w:rsidRPr="00753068">
              <w:rPr>
                <w:rFonts w:cs="Arial"/>
                <w:sz w:val="18"/>
                <w:szCs w:val="18"/>
              </w:rPr>
              <w:t xml:space="preserve">849.144 </w:t>
            </w:r>
          </w:p>
        </w:tc>
        <w:tc>
          <w:tcPr>
            <w:tcW w:w="706" w:type="pct"/>
            <w:tcBorders>
              <w:top w:val="nil"/>
              <w:left w:val="nil"/>
              <w:bottom w:val="nil"/>
              <w:right w:val="nil"/>
            </w:tcBorders>
            <w:shd w:val="clear" w:color="auto" w:fill="auto"/>
            <w:vAlign w:val="bottom"/>
          </w:tcPr>
          <w:p w14:paraId="209DC04E" w14:textId="77777777" w:rsidR="004E2F51" w:rsidRPr="00753068" w:rsidRDefault="004E2F51" w:rsidP="00E032FC">
            <w:pPr>
              <w:pStyle w:val="TT"/>
              <w:jc w:val="right"/>
              <w:rPr>
                <w:rFonts w:cs="Arial"/>
                <w:color w:val="000000" w:themeColor="text1"/>
                <w:sz w:val="18"/>
                <w:szCs w:val="18"/>
                <w:lang w:val="hr-HR"/>
              </w:rPr>
            </w:pPr>
            <w:r w:rsidRPr="00C77333">
              <w:rPr>
                <w:rFonts w:cs="Arial"/>
                <w:color w:val="000000" w:themeColor="text1"/>
                <w:sz w:val="18"/>
                <w:szCs w:val="18"/>
                <w:lang w:val="hr-HR"/>
              </w:rPr>
              <w:t>909.244</w:t>
            </w:r>
          </w:p>
        </w:tc>
        <w:tc>
          <w:tcPr>
            <w:tcW w:w="707" w:type="pct"/>
            <w:tcBorders>
              <w:top w:val="nil"/>
              <w:left w:val="nil"/>
              <w:bottom w:val="nil"/>
              <w:right w:val="nil"/>
            </w:tcBorders>
            <w:shd w:val="clear" w:color="auto" w:fill="auto"/>
            <w:vAlign w:val="bottom"/>
          </w:tcPr>
          <w:p w14:paraId="5EE73B7D" w14:textId="77777777" w:rsidR="004E2F51" w:rsidRPr="00753068" w:rsidRDefault="004E2F51" w:rsidP="00E032FC">
            <w:pPr>
              <w:pStyle w:val="TT"/>
              <w:jc w:val="right"/>
              <w:rPr>
                <w:rFonts w:cs="Arial"/>
                <w:color w:val="000000" w:themeColor="text1"/>
                <w:sz w:val="18"/>
                <w:szCs w:val="18"/>
                <w:lang w:val="hr-HR"/>
              </w:rPr>
            </w:pPr>
            <w:r w:rsidRPr="00753068">
              <w:rPr>
                <w:rFonts w:cs="Arial"/>
                <w:sz w:val="18"/>
                <w:szCs w:val="18"/>
              </w:rPr>
              <w:t xml:space="preserve"> 827.476 </w:t>
            </w:r>
          </w:p>
        </w:tc>
      </w:tr>
      <w:tr w:rsidR="004E2F51" w:rsidRPr="00753068" w14:paraId="564CC13E" w14:textId="77777777" w:rsidTr="00E032FC">
        <w:trPr>
          <w:trHeight w:val="311"/>
          <w:jc w:val="center"/>
        </w:trPr>
        <w:tc>
          <w:tcPr>
            <w:tcW w:w="2174" w:type="pct"/>
            <w:vAlign w:val="bottom"/>
          </w:tcPr>
          <w:p w14:paraId="65DAF0A2" w14:textId="77777777" w:rsidR="004E2F51" w:rsidRPr="00753068" w:rsidRDefault="004E2F51" w:rsidP="00E032FC">
            <w:pPr>
              <w:pStyle w:val="TT"/>
              <w:tabs>
                <w:tab w:val="right" w:pos="9781"/>
              </w:tabs>
              <w:spacing w:line="220" w:lineRule="exact"/>
              <w:rPr>
                <w:rFonts w:cs="Arial"/>
                <w:b/>
                <w:bCs/>
                <w:color w:val="000000" w:themeColor="text1"/>
                <w:sz w:val="18"/>
                <w:szCs w:val="18"/>
                <w:lang w:val="hr-HR"/>
              </w:rPr>
            </w:pPr>
            <w:bookmarkStart w:id="2078" w:name="_Toc67331466"/>
            <w:r w:rsidRPr="00753068">
              <w:rPr>
                <w:rFonts w:cs="Arial"/>
                <w:color w:val="000000" w:themeColor="text1"/>
                <w:sz w:val="18"/>
                <w:szCs w:val="18"/>
                <w:lang w:val="hr-HR"/>
              </w:rPr>
              <w:t>Kapitalni zahtjev za valutni rizik</w:t>
            </w:r>
            <w:bookmarkEnd w:id="2078"/>
          </w:p>
        </w:tc>
        <w:tc>
          <w:tcPr>
            <w:tcW w:w="706" w:type="pct"/>
            <w:tcBorders>
              <w:top w:val="nil"/>
              <w:left w:val="nil"/>
              <w:bottom w:val="nil"/>
              <w:right w:val="nil"/>
            </w:tcBorders>
            <w:shd w:val="clear" w:color="auto" w:fill="auto"/>
            <w:vAlign w:val="bottom"/>
          </w:tcPr>
          <w:p w14:paraId="1B4E6EBD" w14:textId="77777777" w:rsidR="004E2F51" w:rsidRPr="00753068" w:rsidRDefault="004E2F51" w:rsidP="00E032FC">
            <w:pPr>
              <w:pStyle w:val="TT"/>
              <w:jc w:val="right"/>
              <w:rPr>
                <w:rFonts w:cs="Arial"/>
                <w:color w:val="000000" w:themeColor="text1"/>
                <w:sz w:val="18"/>
                <w:szCs w:val="18"/>
                <w:highlight w:val="yellow"/>
                <w:lang w:val="hr-HR"/>
              </w:rPr>
            </w:pPr>
            <w:r w:rsidRPr="00C77333">
              <w:rPr>
                <w:rFonts w:cs="Arial"/>
                <w:color w:val="000000" w:themeColor="text1"/>
                <w:sz w:val="18"/>
                <w:szCs w:val="18"/>
                <w:lang w:val="hr-HR"/>
              </w:rPr>
              <w:t>475.427</w:t>
            </w:r>
          </w:p>
        </w:tc>
        <w:tc>
          <w:tcPr>
            <w:tcW w:w="706" w:type="pct"/>
            <w:tcBorders>
              <w:top w:val="nil"/>
              <w:left w:val="nil"/>
              <w:bottom w:val="nil"/>
              <w:right w:val="nil"/>
            </w:tcBorders>
            <w:shd w:val="clear" w:color="auto" w:fill="auto"/>
            <w:vAlign w:val="bottom"/>
          </w:tcPr>
          <w:p w14:paraId="2AFB141D" w14:textId="77777777" w:rsidR="004E2F51" w:rsidRPr="00753068" w:rsidRDefault="004E2F51" w:rsidP="00E032FC">
            <w:pPr>
              <w:pStyle w:val="TT"/>
              <w:jc w:val="right"/>
              <w:rPr>
                <w:rFonts w:cs="Arial"/>
                <w:color w:val="000000" w:themeColor="text1"/>
                <w:sz w:val="18"/>
                <w:szCs w:val="18"/>
                <w:lang w:val="hr-HR"/>
              </w:rPr>
            </w:pPr>
            <w:r w:rsidRPr="00753068">
              <w:rPr>
                <w:rFonts w:cs="Arial"/>
                <w:sz w:val="18"/>
                <w:szCs w:val="18"/>
                <w:lang w:val="it-IT"/>
              </w:rPr>
              <w:t xml:space="preserve"> </w:t>
            </w:r>
            <w:r w:rsidRPr="00753068">
              <w:rPr>
                <w:rFonts w:cs="Arial"/>
                <w:sz w:val="18"/>
                <w:szCs w:val="18"/>
              </w:rPr>
              <w:t xml:space="preserve">749.598 </w:t>
            </w:r>
          </w:p>
        </w:tc>
        <w:tc>
          <w:tcPr>
            <w:tcW w:w="706" w:type="pct"/>
            <w:tcBorders>
              <w:top w:val="nil"/>
              <w:left w:val="nil"/>
              <w:bottom w:val="nil"/>
              <w:right w:val="nil"/>
            </w:tcBorders>
            <w:shd w:val="clear" w:color="auto" w:fill="auto"/>
            <w:vAlign w:val="bottom"/>
          </w:tcPr>
          <w:p w14:paraId="7D3F7300" w14:textId="77777777" w:rsidR="004E2F51" w:rsidRPr="00753068" w:rsidRDefault="004E2F51" w:rsidP="00E032FC">
            <w:pPr>
              <w:pStyle w:val="TT"/>
              <w:jc w:val="right"/>
              <w:rPr>
                <w:rFonts w:cs="Arial"/>
                <w:color w:val="000000" w:themeColor="text1"/>
                <w:sz w:val="18"/>
                <w:szCs w:val="18"/>
                <w:lang w:val="hr-HR"/>
              </w:rPr>
            </w:pPr>
            <w:r w:rsidRPr="00C77333">
              <w:rPr>
                <w:rFonts w:cs="Arial"/>
                <w:color w:val="000000" w:themeColor="text1"/>
                <w:sz w:val="18"/>
                <w:szCs w:val="18"/>
                <w:lang w:val="hr-HR"/>
              </w:rPr>
              <w:t>452.800</w:t>
            </w:r>
          </w:p>
        </w:tc>
        <w:tc>
          <w:tcPr>
            <w:tcW w:w="707" w:type="pct"/>
            <w:tcBorders>
              <w:top w:val="nil"/>
              <w:left w:val="nil"/>
              <w:bottom w:val="nil"/>
              <w:right w:val="nil"/>
            </w:tcBorders>
            <w:shd w:val="clear" w:color="auto" w:fill="auto"/>
            <w:vAlign w:val="bottom"/>
          </w:tcPr>
          <w:p w14:paraId="062BB85F" w14:textId="77777777" w:rsidR="004E2F51" w:rsidRPr="00753068" w:rsidRDefault="004E2F51" w:rsidP="00E032FC">
            <w:pPr>
              <w:pStyle w:val="TT"/>
              <w:jc w:val="right"/>
              <w:rPr>
                <w:rFonts w:cs="Arial"/>
                <w:color w:val="000000" w:themeColor="text1"/>
                <w:sz w:val="18"/>
                <w:szCs w:val="18"/>
                <w:lang w:val="hr-HR"/>
              </w:rPr>
            </w:pPr>
            <w:r w:rsidRPr="00753068">
              <w:rPr>
                <w:rFonts w:cs="Arial"/>
                <w:sz w:val="18"/>
                <w:szCs w:val="18"/>
              </w:rPr>
              <w:t xml:space="preserve"> 719.956 </w:t>
            </w:r>
          </w:p>
        </w:tc>
      </w:tr>
      <w:tr w:rsidR="004E2F51" w:rsidRPr="00753068" w14:paraId="38F5920D" w14:textId="77777777" w:rsidTr="00E032FC">
        <w:trPr>
          <w:trHeight w:val="311"/>
          <w:jc w:val="center"/>
        </w:trPr>
        <w:tc>
          <w:tcPr>
            <w:tcW w:w="2174" w:type="pct"/>
            <w:vAlign w:val="bottom"/>
          </w:tcPr>
          <w:p w14:paraId="599E5238" w14:textId="77777777" w:rsidR="004E2F51" w:rsidRPr="00753068" w:rsidRDefault="004E2F51" w:rsidP="00E032FC">
            <w:pPr>
              <w:pStyle w:val="TT"/>
              <w:tabs>
                <w:tab w:val="right" w:pos="9781"/>
              </w:tabs>
              <w:spacing w:line="220" w:lineRule="exact"/>
              <w:rPr>
                <w:rFonts w:cs="Arial"/>
                <w:b/>
                <w:bCs/>
                <w:color w:val="000000" w:themeColor="text1"/>
                <w:sz w:val="18"/>
                <w:szCs w:val="18"/>
                <w:lang w:val="hr-HR"/>
              </w:rPr>
            </w:pPr>
            <w:bookmarkStart w:id="2079" w:name="_Toc67331471"/>
            <w:r w:rsidRPr="00753068">
              <w:rPr>
                <w:rFonts w:cs="Arial"/>
                <w:b/>
                <w:bCs/>
                <w:color w:val="000000" w:themeColor="text1"/>
                <w:sz w:val="18"/>
                <w:szCs w:val="18"/>
                <w:lang w:val="hr-HR"/>
              </w:rPr>
              <w:t>Ukupno kapitalni zahtjevi</w:t>
            </w:r>
            <w:bookmarkEnd w:id="2079"/>
          </w:p>
        </w:tc>
        <w:tc>
          <w:tcPr>
            <w:tcW w:w="706" w:type="pct"/>
            <w:tcBorders>
              <w:top w:val="nil"/>
              <w:left w:val="nil"/>
              <w:bottom w:val="nil"/>
              <w:right w:val="nil"/>
            </w:tcBorders>
            <w:shd w:val="clear" w:color="auto" w:fill="auto"/>
            <w:vAlign w:val="bottom"/>
          </w:tcPr>
          <w:p w14:paraId="29C5215C" w14:textId="77777777" w:rsidR="004E2F51" w:rsidRPr="00753068" w:rsidRDefault="004E2F51" w:rsidP="00E032FC">
            <w:pPr>
              <w:pStyle w:val="TT"/>
              <w:jc w:val="right"/>
              <w:rPr>
                <w:rFonts w:cs="Arial"/>
                <w:b/>
                <w:color w:val="000000" w:themeColor="text1"/>
                <w:sz w:val="18"/>
                <w:szCs w:val="18"/>
                <w:lang w:val="hr-HR"/>
              </w:rPr>
            </w:pPr>
            <w:r w:rsidRPr="00C77333">
              <w:rPr>
                <w:rFonts w:cs="Arial"/>
                <w:b/>
                <w:color w:val="000000" w:themeColor="text1"/>
                <w:sz w:val="18"/>
                <w:szCs w:val="18"/>
                <w:lang w:val="hr-HR"/>
              </w:rPr>
              <w:t>18.508.167</w:t>
            </w:r>
          </w:p>
        </w:tc>
        <w:tc>
          <w:tcPr>
            <w:tcW w:w="706" w:type="pct"/>
            <w:tcBorders>
              <w:top w:val="nil"/>
              <w:left w:val="nil"/>
              <w:bottom w:val="nil"/>
              <w:right w:val="nil"/>
            </w:tcBorders>
            <w:shd w:val="clear" w:color="auto" w:fill="auto"/>
            <w:vAlign w:val="bottom"/>
          </w:tcPr>
          <w:p w14:paraId="0A9D994C" w14:textId="77777777" w:rsidR="004E2F51" w:rsidRPr="00753068" w:rsidRDefault="004E2F51" w:rsidP="00E032FC">
            <w:pPr>
              <w:pStyle w:val="TT"/>
              <w:jc w:val="right"/>
              <w:rPr>
                <w:rFonts w:cs="Arial"/>
                <w:b/>
                <w:color w:val="000000" w:themeColor="text1"/>
                <w:sz w:val="18"/>
                <w:szCs w:val="18"/>
                <w:lang w:val="hr-HR"/>
              </w:rPr>
            </w:pPr>
            <w:r w:rsidRPr="00753068">
              <w:rPr>
                <w:rFonts w:cs="Arial"/>
                <w:b/>
                <w:color w:val="000000" w:themeColor="text1"/>
                <w:sz w:val="18"/>
                <w:szCs w:val="18"/>
                <w:lang w:val="hr-HR"/>
              </w:rPr>
              <w:t>15.842.293</w:t>
            </w:r>
          </w:p>
        </w:tc>
        <w:tc>
          <w:tcPr>
            <w:tcW w:w="706" w:type="pct"/>
            <w:tcBorders>
              <w:top w:val="nil"/>
              <w:left w:val="nil"/>
              <w:bottom w:val="nil"/>
              <w:right w:val="nil"/>
            </w:tcBorders>
            <w:shd w:val="clear" w:color="auto" w:fill="auto"/>
            <w:vAlign w:val="bottom"/>
          </w:tcPr>
          <w:p w14:paraId="5B0EA80A" w14:textId="77777777" w:rsidR="004E2F51" w:rsidRPr="00753068" w:rsidRDefault="004E2F51" w:rsidP="00E032FC">
            <w:pPr>
              <w:pStyle w:val="TT"/>
              <w:jc w:val="right"/>
              <w:rPr>
                <w:rFonts w:cs="Arial"/>
                <w:b/>
                <w:color w:val="000000" w:themeColor="text1"/>
                <w:sz w:val="18"/>
                <w:szCs w:val="18"/>
                <w:lang w:val="hr-HR"/>
              </w:rPr>
            </w:pPr>
            <w:r w:rsidRPr="00C77333">
              <w:rPr>
                <w:rFonts w:cs="Arial"/>
                <w:b/>
                <w:color w:val="000000" w:themeColor="text1"/>
                <w:sz w:val="18"/>
                <w:szCs w:val="18"/>
                <w:lang w:val="hr-HR"/>
              </w:rPr>
              <w:t>18.444.57</w:t>
            </w:r>
            <w:r>
              <w:rPr>
                <w:rFonts w:cs="Arial"/>
                <w:b/>
                <w:color w:val="000000" w:themeColor="text1"/>
                <w:sz w:val="18"/>
                <w:szCs w:val="18"/>
                <w:lang w:val="hr-HR"/>
              </w:rPr>
              <w:t>2</w:t>
            </w:r>
          </w:p>
        </w:tc>
        <w:tc>
          <w:tcPr>
            <w:tcW w:w="707" w:type="pct"/>
            <w:tcBorders>
              <w:top w:val="nil"/>
              <w:left w:val="nil"/>
              <w:bottom w:val="nil"/>
              <w:right w:val="nil"/>
            </w:tcBorders>
            <w:shd w:val="clear" w:color="auto" w:fill="auto"/>
            <w:vAlign w:val="bottom"/>
          </w:tcPr>
          <w:p w14:paraId="5C5160A5" w14:textId="77777777" w:rsidR="004E2F51" w:rsidRPr="00753068" w:rsidRDefault="004E2F51" w:rsidP="00E032FC">
            <w:pPr>
              <w:pStyle w:val="TT"/>
              <w:jc w:val="right"/>
              <w:rPr>
                <w:rFonts w:cs="Arial"/>
                <w:b/>
                <w:color w:val="000000" w:themeColor="text1"/>
                <w:sz w:val="18"/>
                <w:szCs w:val="18"/>
                <w:lang w:val="hr-HR"/>
              </w:rPr>
            </w:pPr>
            <w:r w:rsidRPr="00753068">
              <w:rPr>
                <w:rFonts w:cs="Arial"/>
                <w:b/>
                <w:color w:val="000000" w:themeColor="text1"/>
                <w:sz w:val="18"/>
                <w:szCs w:val="18"/>
                <w:lang w:val="hr-HR"/>
              </w:rPr>
              <w:t>15.784.807</w:t>
            </w:r>
          </w:p>
        </w:tc>
      </w:tr>
      <w:tr w:rsidR="004E2F51" w:rsidRPr="00753068" w14:paraId="6D851553" w14:textId="77777777" w:rsidTr="00E032FC">
        <w:trPr>
          <w:trHeight w:val="179"/>
          <w:jc w:val="center"/>
        </w:trPr>
        <w:tc>
          <w:tcPr>
            <w:tcW w:w="2174" w:type="pct"/>
          </w:tcPr>
          <w:p w14:paraId="3FF0DD15" w14:textId="77777777" w:rsidR="004E2F51" w:rsidRPr="00753068" w:rsidRDefault="004E2F51" w:rsidP="00E032FC">
            <w:pPr>
              <w:pStyle w:val="T1"/>
              <w:keepNext w:val="0"/>
              <w:tabs>
                <w:tab w:val="right" w:pos="9781"/>
              </w:tabs>
              <w:spacing w:before="0" w:after="0" w:line="140" w:lineRule="exact"/>
              <w:rPr>
                <w:rFonts w:cs="Arial"/>
                <w:b w:val="0"/>
                <w:bCs w:val="0"/>
                <w:color w:val="000000" w:themeColor="text1"/>
                <w:sz w:val="18"/>
                <w:szCs w:val="18"/>
                <w:lang w:val="hr-HR"/>
              </w:rPr>
            </w:pPr>
          </w:p>
        </w:tc>
        <w:tc>
          <w:tcPr>
            <w:tcW w:w="706" w:type="pct"/>
            <w:tcBorders>
              <w:top w:val="single" w:sz="12" w:space="0" w:color="auto"/>
            </w:tcBorders>
            <w:vAlign w:val="bottom"/>
          </w:tcPr>
          <w:p w14:paraId="165E38BC" w14:textId="77777777" w:rsidR="004E2F51" w:rsidRPr="00753068" w:rsidRDefault="004E2F51" w:rsidP="00E032FC">
            <w:pPr>
              <w:pStyle w:val="Thick"/>
              <w:jc w:val="right"/>
              <w:rPr>
                <w:rFonts w:cs="Arial"/>
                <w:color w:val="000000" w:themeColor="text1"/>
                <w:sz w:val="18"/>
                <w:szCs w:val="18"/>
                <w:lang w:val="hr-HR"/>
              </w:rPr>
            </w:pPr>
          </w:p>
        </w:tc>
        <w:tc>
          <w:tcPr>
            <w:tcW w:w="706" w:type="pct"/>
            <w:tcBorders>
              <w:top w:val="single" w:sz="12" w:space="0" w:color="auto"/>
            </w:tcBorders>
            <w:vAlign w:val="bottom"/>
          </w:tcPr>
          <w:p w14:paraId="37B3506D" w14:textId="77777777" w:rsidR="004E2F51" w:rsidRPr="00753068" w:rsidRDefault="004E2F51" w:rsidP="00E032FC">
            <w:pPr>
              <w:pStyle w:val="Thick"/>
              <w:jc w:val="right"/>
              <w:rPr>
                <w:rFonts w:cs="Arial"/>
                <w:color w:val="000000" w:themeColor="text1"/>
                <w:sz w:val="18"/>
                <w:szCs w:val="18"/>
                <w:lang w:val="hr-HR"/>
              </w:rPr>
            </w:pPr>
          </w:p>
        </w:tc>
        <w:tc>
          <w:tcPr>
            <w:tcW w:w="706" w:type="pct"/>
            <w:tcBorders>
              <w:top w:val="single" w:sz="12" w:space="0" w:color="auto"/>
            </w:tcBorders>
            <w:vAlign w:val="bottom"/>
          </w:tcPr>
          <w:p w14:paraId="75212E0D" w14:textId="77777777" w:rsidR="004E2F51" w:rsidRPr="00753068" w:rsidRDefault="004E2F51" w:rsidP="00E032FC">
            <w:pPr>
              <w:pStyle w:val="Thick"/>
              <w:jc w:val="right"/>
              <w:rPr>
                <w:rFonts w:cs="Arial"/>
                <w:color w:val="000000" w:themeColor="text1"/>
                <w:sz w:val="18"/>
                <w:szCs w:val="18"/>
                <w:lang w:val="hr-HR"/>
              </w:rPr>
            </w:pPr>
          </w:p>
        </w:tc>
        <w:tc>
          <w:tcPr>
            <w:tcW w:w="707" w:type="pct"/>
            <w:tcBorders>
              <w:top w:val="single" w:sz="12" w:space="0" w:color="auto"/>
            </w:tcBorders>
            <w:vAlign w:val="bottom"/>
          </w:tcPr>
          <w:p w14:paraId="14F09B5E" w14:textId="77777777" w:rsidR="004E2F51" w:rsidRPr="00753068" w:rsidRDefault="004E2F51" w:rsidP="00E032FC">
            <w:pPr>
              <w:pStyle w:val="Thick"/>
              <w:jc w:val="right"/>
              <w:rPr>
                <w:rFonts w:cs="Arial"/>
                <w:color w:val="000000" w:themeColor="text1"/>
                <w:sz w:val="18"/>
                <w:szCs w:val="18"/>
                <w:lang w:val="hr-HR"/>
              </w:rPr>
            </w:pPr>
          </w:p>
        </w:tc>
      </w:tr>
      <w:tr w:rsidR="004E2F51" w:rsidRPr="00753068" w14:paraId="32A517D0" w14:textId="77777777" w:rsidTr="00E032FC">
        <w:trPr>
          <w:trHeight w:val="170"/>
          <w:jc w:val="center"/>
        </w:trPr>
        <w:tc>
          <w:tcPr>
            <w:tcW w:w="2174" w:type="pct"/>
          </w:tcPr>
          <w:p w14:paraId="2590097D" w14:textId="77777777" w:rsidR="004E2F51" w:rsidRPr="00753068" w:rsidRDefault="004E2F51" w:rsidP="00E032FC">
            <w:pPr>
              <w:pStyle w:val="T1"/>
              <w:keepNext w:val="0"/>
              <w:tabs>
                <w:tab w:val="right" w:pos="9781"/>
              </w:tabs>
              <w:spacing w:before="0" w:after="0" w:line="220" w:lineRule="exact"/>
              <w:rPr>
                <w:rFonts w:cs="Arial"/>
                <w:b w:val="0"/>
                <w:bCs w:val="0"/>
                <w:color w:val="000000" w:themeColor="text1"/>
                <w:sz w:val="18"/>
                <w:szCs w:val="18"/>
                <w:lang w:val="hr-HR"/>
              </w:rPr>
            </w:pPr>
          </w:p>
        </w:tc>
        <w:tc>
          <w:tcPr>
            <w:tcW w:w="706" w:type="pct"/>
            <w:vAlign w:val="bottom"/>
          </w:tcPr>
          <w:p w14:paraId="21C8CF76" w14:textId="77777777" w:rsidR="004E2F51" w:rsidRPr="00753068" w:rsidRDefault="004E2F51" w:rsidP="00E032FC">
            <w:pPr>
              <w:pStyle w:val="T1"/>
              <w:keepNext w:val="0"/>
              <w:tabs>
                <w:tab w:val="right" w:pos="9781"/>
              </w:tabs>
              <w:spacing w:before="0" w:after="0" w:line="220" w:lineRule="exact"/>
              <w:jc w:val="right"/>
              <w:rPr>
                <w:rFonts w:cs="Arial"/>
                <w:bCs w:val="0"/>
                <w:color w:val="000000" w:themeColor="text1"/>
                <w:sz w:val="18"/>
                <w:szCs w:val="18"/>
                <w:lang w:val="hr-HR"/>
              </w:rPr>
            </w:pPr>
            <w:r w:rsidRPr="00753068">
              <w:rPr>
                <w:rFonts w:cs="Arial"/>
                <w:bCs w:val="0"/>
                <w:color w:val="000000" w:themeColor="text1"/>
                <w:sz w:val="18"/>
                <w:szCs w:val="18"/>
                <w:lang w:val="hr-HR"/>
              </w:rPr>
              <w:t>%</w:t>
            </w:r>
          </w:p>
        </w:tc>
        <w:tc>
          <w:tcPr>
            <w:tcW w:w="706" w:type="pct"/>
            <w:vAlign w:val="bottom"/>
          </w:tcPr>
          <w:p w14:paraId="2FCBAD8C" w14:textId="77777777" w:rsidR="004E2F51" w:rsidRPr="00753068" w:rsidRDefault="004E2F51" w:rsidP="00E032FC">
            <w:pPr>
              <w:pStyle w:val="T1"/>
              <w:keepNext w:val="0"/>
              <w:tabs>
                <w:tab w:val="right" w:pos="9781"/>
              </w:tabs>
              <w:spacing w:before="0" w:after="0" w:line="220" w:lineRule="exact"/>
              <w:jc w:val="right"/>
              <w:rPr>
                <w:rFonts w:cs="Arial"/>
                <w:bCs w:val="0"/>
                <w:color w:val="000000" w:themeColor="text1"/>
                <w:sz w:val="18"/>
                <w:szCs w:val="18"/>
                <w:lang w:val="hr-HR"/>
              </w:rPr>
            </w:pPr>
            <w:r w:rsidRPr="00753068">
              <w:rPr>
                <w:rFonts w:cs="Arial"/>
                <w:bCs w:val="0"/>
                <w:color w:val="000000" w:themeColor="text1"/>
                <w:sz w:val="18"/>
                <w:szCs w:val="18"/>
                <w:lang w:val="hr-HR"/>
              </w:rPr>
              <w:t>%</w:t>
            </w:r>
          </w:p>
        </w:tc>
        <w:tc>
          <w:tcPr>
            <w:tcW w:w="706" w:type="pct"/>
            <w:vAlign w:val="bottom"/>
          </w:tcPr>
          <w:p w14:paraId="33CD98DF" w14:textId="77777777" w:rsidR="004E2F51" w:rsidRPr="00753068" w:rsidRDefault="004E2F51" w:rsidP="00E032FC">
            <w:pPr>
              <w:pStyle w:val="T1"/>
              <w:keepNext w:val="0"/>
              <w:tabs>
                <w:tab w:val="right" w:pos="9781"/>
              </w:tabs>
              <w:spacing w:before="0" w:after="0" w:line="220" w:lineRule="exact"/>
              <w:jc w:val="right"/>
              <w:rPr>
                <w:rFonts w:cs="Arial"/>
                <w:bCs w:val="0"/>
                <w:color w:val="000000" w:themeColor="text1"/>
                <w:sz w:val="18"/>
                <w:szCs w:val="18"/>
                <w:lang w:val="hr-HR"/>
              </w:rPr>
            </w:pPr>
            <w:r w:rsidRPr="00753068">
              <w:rPr>
                <w:rFonts w:cs="Arial"/>
                <w:bCs w:val="0"/>
                <w:color w:val="000000" w:themeColor="text1"/>
                <w:sz w:val="18"/>
                <w:szCs w:val="18"/>
                <w:lang w:val="hr-HR"/>
              </w:rPr>
              <w:t>%</w:t>
            </w:r>
          </w:p>
        </w:tc>
        <w:tc>
          <w:tcPr>
            <w:tcW w:w="707" w:type="pct"/>
            <w:vAlign w:val="bottom"/>
          </w:tcPr>
          <w:p w14:paraId="716E61A6" w14:textId="77777777" w:rsidR="004E2F51" w:rsidRPr="00753068" w:rsidRDefault="004E2F51" w:rsidP="00E032FC">
            <w:pPr>
              <w:pStyle w:val="T1"/>
              <w:keepNext w:val="0"/>
              <w:tabs>
                <w:tab w:val="right" w:pos="9781"/>
              </w:tabs>
              <w:spacing w:before="0" w:after="0" w:line="220" w:lineRule="exact"/>
              <w:jc w:val="right"/>
              <w:rPr>
                <w:rFonts w:cs="Arial"/>
                <w:bCs w:val="0"/>
                <w:color w:val="000000" w:themeColor="text1"/>
                <w:sz w:val="18"/>
                <w:szCs w:val="18"/>
                <w:lang w:val="hr-HR"/>
              </w:rPr>
            </w:pPr>
            <w:r w:rsidRPr="00753068">
              <w:rPr>
                <w:rFonts w:cs="Arial"/>
                <w:bCs w:val="0"/>
                <w:color w:val="000000" w:themeColor="text1"/>
                <w:sz w:val="18"/>
                <w:szCs w:val="18"/>
                <w:lang w:val="hr-HR"/>
              </w:rPr>
              <w:t>%</w:t>
            </w:r>
          </w:p>
        </w:tc>
      </w:tr>
      <w:tr w:rsidR="004E2F51" w:rsidRPr="00753068" w14:paraId="2F24BD8B" w14:textId="77777777" w:rsidTr="00E032FC">
        <w:trPr>
          <w:trHeight w:val="271"/>
          <w:jc w:val="center"/>
        </w:trPr>
        <w:tc>
          <w:tcPr>
            <w:tcW w:w="2174" w:type="pct"/>
            <w:vAlign w:val="bottom"/>
          </w:tcPr>
          <w:p w14:paraId="028F5FCE" w14:textId="77777777" w:rsidR="004E2F51" w:rsidRPr="00753068" w:rsidRDefault="004E2F51" w:rsidP="00E032FC">
            <w:pPr>
              <w:pStyle w:val="Tot"/>
              <w:tabs>
                <w:tab w:val="right" w:pos="9781"/>
              </w:tabs>
              <w:spacing w:line="220" w:lineRule="exact"/>
              <w:rPr>
                <w:rFonts w:cs="Arial"/>
                <w:b/>
                <w:bCs/>
                <w:color w:val="000000" w:themeColor="text1"/>
                <w:sz w:val="18"/>
                <w:szCs w:val="18"/>
                <w:lang w:val="hr-HR"/>
              </w:rPr>
            </w:pPr>
            <w:bookmarkStart w:id="2080" w:name="_Toc67331476"/>
            <w:r w:rsidRPr="00753068">
              <w:rPr>
                <w:rFonts w:cs="Arial"/>
                <w:b/>
                <w:bCs/>
                <w:color w:val="000000" w:themeColor="text1"/>
                <w:sz w:val="18"/>
                <w:szCs w:val="18"/>
                <w:lang w:val="hr-HR"/>
              </w:rPr>
              <w:t>Stopa adekvatnosti kapitala</w:t>
            </w:r>
            <w:bookmarkEnd w:id="2080"/>
          </w:p>
        </w:tc>
        <w:tc>
          <w:tcPr>
            <w:tcW w:w="706" w:type="pct"/>
            <w:tcBorders>
              <w:top w:val="nil"/>
              <w:left w:val="nil"/>
              <w:bottom w:val="single" w:sz="12" w:space="0" w:color="auto"/>
              <w:right w:val="nil"/>
            </w:tcBorders>
            <w:shd w:val="clear" w:color="auto" w:fill="auto"/>
            <w:vAlign w:val="center"/>
          </w:tcPr>
          <w:p w14:paraId="515B2220" w14:textId="77777777" w:rsidR="004E2F51" w:rsidRPr="00753068" w:rsidRDefault="004E2F51" w:rsidP="00E032FC">
            <w:pPr>
              <w:pStyle w:val="Tot"/>
              <w:jc w:val="right"/>
              <w:rPr>
                <w:rFonts w:cs="Arial"/>
                <w:b/>
                <w:bCs/>
                <w:color w:val="000000" w:themeColor="text1"/>
                <w:sz w:val="18"/>
                <w:szCs w:val="18"/>
                <w:lang w:val="hr-HR"/>
              </w:rPr>
            </w:pPr>
            <w:r w:rsidRPr="00C77333">
              <w:rPr>
                <w:rFonts w:cs="Arial"/>
                <w:b/>
                <w:bCs/>
                <w:color w:val="000000" w:themeColor="text1"/>
                <w:sz w:val="18"/>
                <w:szCs w:val="18"/>
                <w:lang w:val="hr-HR"/>
              </w:rPr>
              <w:t>57,60</w:t>
            </w:r>
          </w:p>
        </w:tc>
        <w:tc>
          <w:tcPr>
            <w:tcW w:w="706" w:type="pct"/>
            <w:tcBorders>
              <w:top w:val="nil"/>
              <w:left w:val="nil"/>
              <w:bottom w:val="single" w:sz="12" w:space="0" w:color="auto"/>
              <w:right w:val="nil"/>
            </w:tcBorders>
            <w:shd w:val="clear" w:color="auto" w:fill="auto"/>
            <w:vAlign w:val="center"/>
          </w:tcPr>
          <w:p w14:paraId="3038F9A0" w14:textId="77777777" w:rsidR="004E2F51" w:rsidRPr="00753068" w:rsidRDefault="004E2F51" w:rsidP="00E032FC">
            <w:pPr>
              <w:pStyle w:val="Tot"/>
              <w:jc w:val="right"/>
              <w:rPr>
                <w:rFonts w:cs="Arial"/>
                <w:b/>
                <w:bCs/>
                <w:color w:val="000000" w:themeColor="text1"/>
                <w:sz w:val="18"/>
                <w:szCs w:val="18"/>
                <w:lang w:val="hr-HR"/>
              </w:rPr>
            </w:pPr>
            <w:r w:rsidRPr="00753068">
              <w:rPr>
                <w:rFonts w:cs="Arial"/>
                <w:b/>
                <w:bCs/>
                <w:color w:val="000000" w:themeColor="text1"/>
                <w:sz w:val="18"/>
                <w:szCs w:val="18"/>
                <w:lang w:val="hr-HR"/>
              </w:rPr>
              <w:t>65,08</w:t>
            </w:r>
          </w:p>
        </w:tc>
        <w:tc>
          <w:tcPr>
            <w:tcW w:w="706" w:type="pct"/>
            <w:tcBorders>
              <w:top w:val="nil"/>
              <w:left w:val="nil"/>
              <w:bottom w:val="single" w:sz="12" w:space="0" w:color="auto"/>
              <w:right w:val="nil"/>
            </w:tcBorders>
            <w:shd w:val="clear" w:color="auto" w:fill="auto"/>
            <w:vAlign w:val="center"/>
          </w:tcPr>
          <w:p w14:paraId="14CD2AFF" w14:textId="77777777" w:rsidR="004E2F51" w:rsidRPr="00753068" w:rsidRDefault="004E2F51" w:rsidP="00E032FC">
            <w:pPr>
              <w:pStyle w:val="Tot"/>
              <w:jc w:val="right"/>
              <w:rPr>
                <w:rFonts w:cs="Arial"/>
                <w:b/>
                <w:bCs/>
                <w:color w:val="000000" w:themeColor="text1"/>
                <w:sz w:val="18"/>
                <w:szCs w:val="18"/>
                <w:lang w:val="hr-HR"/>
              </w:rPr>
            </w:pPr>
            <w:r w:rsidRPr="00C77333">
              <w:rPr>
                <w:rFonts w:cs="Arial"/>
                <w:b/>
                <w:bCs/>
                <w:color w:val="000000" w:themeColor="text1"/>
                <w:sz w:val="18"/>
                <w:szCs w:val="18"/>
                <w:lang w:val="hr-HR"/>
              </w:rPr>
              <w:t>57,78</w:t>
            </w:r>
          </w:p>
        </w:tc>
        <w:tc>
          <w:tcPr>
            <w:tcW w:w="707" w:type="pct"/>
            <w:tcBorders>
              <w:top w:val="nil"/>
              <w:left w:val="nil"/>
              <w:bottom w:val="single" w:sz="12" w:space="0" w:color="auto"/>
              <w:right w:val="nil"/>
            </w:tcBorders>
            <w:shd w:val="clear" w:color="auto" w:fill="auto"/>
            <w:vAlign w:val="center"/>
          </w:tcPr>
          <w:p w14:paraId="1DF73123" w14:textId="77777777" w:rsidR="004E2F51" w:rsidRPr="00753068" w:rsidRDefault="004E2F51" w:rsidP="00E032FC">
            <w:pPr>
              <w:pStyle w:val="Tot"/>
              <w:jc w:val="right"/>
              <w:rPr>
                <w:rFonts w:cs="Arial"/>
                <w:b/>
                <w:bCs/>
                <w:color w:val="000000" w:themeColor="text1"/>
                <w:sz w:val="18"/>
                <w:szCs w:val="18"/>
                <w:lang w:val="hr-HR"/>
              </w:rPr>
            </w:pPr>
            <w:r w:rsidRPr="00753068">
              <w:rPr>
                <w:rFonts w:cs="Arial"/>
                <w:b/>
                <w:bCs/>
                <w:color w:val="000000" w:themeColor="text1"/>
                <w:sz w:val="18"/>
                <w:szCs w:val="18"/>
                <w:lang w:val="hr-HR"/>
              </w:rPr>
              <w:t>65,32</w:t>
            </w:r>
          </w:p>
        </w:tc>
      </w:tr>
      <w:tr w:rsidR="004E2F51" w:rsidRPr="00753068" w14:paraId="6E6E00A1" w14:textId="77777777" w:rsidTr="00E032FC">
        <w:trPr>
          <w:trHeight w:hRule="exact" w:val="221"/>
          <w:jc w:val="center"/>
        </w:trPr>
        <w:tc>
          <w:tcPr>
            <w:tcW w:w="2174" w:type="pct"/>
            <w:vAlign w:val="bottom"/>
          </w:tcPr>
          <w:p w14:paraId="2F884F52" w14:textId="77777777" w:rsidR="004E2F51" w:rsidRPr="00753068" w:rsidRDefault="004E2F51" w:rsidP="00E032FC">
            <w:pPr>
              <w:pStyle w:val="Tot"/>
              <w:tabs>
                <w:tab w:val="right" w:pos="9781"/>
              </w:tabs>
              <w:spacing w:line="220" w:lineRule="exact"/>
              <w:rPr>
                <w:rFonts w:cs="Arial"/>
                <w:b/>
                <w:bCs/>
                <w:color w:val="000000" w:themeColor="text1"/>
                <w:sz w:val="18"/>
                <w:szCs w:val="18"/>
                <w:lang w:val="hr-HR"/>
              </w:rPr>
            </w:pPr>
          </w:p>
        </w:tc>
        <w:tc>
          <w:tcPr>
            <w:tcW w:w="706" w:type="pct"/>
            <w:tcBorders>
              <w:top w:val="single" w:sz="12" w:space="0" w:color="auto"/>
              <w:left w:val="nil"/>
              <w:bottom w:val="nil"/>
              <w:right w:val="nil"/>
            </w:tcBorders>
            <w:shd w:val="clear" w:color="auto" w:fill="auto"/>
            <w:vAlign w:val="center"/>
          </w:tcPr>
          <w:p w14:paraId="1B57BDC1" w14:textId="77777777" w:rsidR="004E2F51" w:rsidRPr="00753068" w:rsidRDefault="004E2F51" w:rsidP="00E032FC">
            <w:pPr>
              <w:pStyle w:val="Tot"/>
              <w:jc w:val="right"/>
              <w:rPr>
                <w:rFonts w:cs="Arial"/>
                <w:b/>
                <w:bCs/>
                <w:color w:val="000000" w:themeColor="text1"/>
                <w:sz w:val="18"/>
                <w:szCs w:val="18"/>
                <w:lang w:val="hr-HR"/>
              </w:rPr>
            </w:pPr>
          </w:p>
        </w:tc>
        <w:tc>
          <w:tcPr>
            <w:tcW w:w="706" w:type="pct"/>
            <w:tcBorders>
              <w:top w:val="single" w:sz="12" w:space="0" w:color="auto"/>
              <w:left w:val="nil"/>
              <w:bottom w:val="nil"/>
              <w:right w:val="nil"/>
            </w:tcBorders>
            <w:shd w:val="clear" w:color="auto" w:fill="auto"/>
            <w:vAlign w:val="center"/>
          </w:tcPr>
          <w:p w14:paraId="10175B19" w14:textId="77777777" w:rsidR="004E2F51" w:rsidRPr="00753068" w:rsidRDefault="004E2F51" w:rsidP="00E032FC">
            <w:pPr>
              <w:pStyle w:val="Tot"/>
              <w:jc w:val="right"/>
              <w:rPr>
                <w:rFonts w:cs="Arial"/>
                <w:b/>
                <w:bCs/>
                <w:color w:val="000000" w:themeColor="text1"/>
                <w:sz w:val="18"/>
                <w:szCs w:val="18"/>
                <w:lang w:val="hr-HR"/>
              </w:rPr>
            </w:pPr>
          </w:p>
        </w:tc>
        <w:tc>
          <w:tcPr>
            <w:tcW w:w="706" w:type="pct"/>
            <w:tcBorders>
              <w:top w:val="single" w:sz="12" w:space="0" w:color="auto"/>
              <w:left w:val="nil"/>
              <w:bottom w:val="nil"/>
              <w:right w:val="nil"/>
            </w:tcBorders>
            <w:shd w:val="clear" w:color="auto" w:fill="auto"/>
            <w:vAlign w:val="center"/>
          </w:tcPr>
          <w:p w14:paraId="6B0E9A95" w14:textId="77777777" w:rsidR="004E2F51" w:rsidRPr="00753068" w:rsidRDefault="004E2F51" w:rsidP="00E032FC">
            <w:pPr>
              <w:pStyle w:val="Tot"/>
              <w:jc w:val="right"/>
              <w:rPr>
                <w:rFonts w:cs="Arial"/>
                <w:b/>
                <w:bCs/>
                <w:color w:val="000000" w:themeColor="text1"/>
                <w:sz w:val="18"/>
                <w:szCs w:val="18"/>
                <w:lang w:val="hr-HR"/>
              </w:rPr>
            </w:pPr>
          </w:p>
        </w:tc>
        <w:tc>
          <w:tcPr>
            <w:tcW w:w="707" w:type="pct"/>
            <w:tcBorders>
              <w:top w:val="single" w:sz="12" w:space="0" w:color="auto"/>
              <w:left w:val="nil"/>
              <w:bottom w:val="nil"/>
              <w:right w:val="nil"/>
            </w:tcBorders>
            <w:shd w:val="clear" w:color="auto" w:fill="auto"/>
            <w:vAlign w:val="center"/>
          </w:tcPr>
          <w:p w14:paraId="2A4D316E" w14:textId="77777777" w:rsidR="004E2F51" w:rsidRPr="00753068" w:rsidRDefault="004E2F51" w:rsidP="00E032FC">
            <w:pPr>
              <w:pStyle w:val="Tot"/>
              <w:jc w:val="right"/>
              <w:rPr>
                <w:rFonts w:cs="Arial"/>
                <w:b/>
                <w:bCs/>
                <w:color w:val="000000" w:themeColor="text1"/>
                <w:sz w:val="18"/>
                <w:szCs w:val="18"/>
                <w:lang w:val="hr-HR"/>
              </w:rPr>
            </w:pPr>
          </w:p>
        </w:tc>
      </w:tr>
      <w:tr w:rsidR="004E2F51" w:rsidRPr="00753068" w14:paraId="31AA4671" w14:textId="77777777" w:rsidTr="00E032FC">
        <w:trPr>
          <w:trHeight w:val="180"/>
          <w:jc w:val="center"/>
        </w:trPr>
        <w:tc>
          <w:tcPr>
            <w:tcW w:w="2174" w:type="pct"/>
            <w:vAlign w:val="bottom"/>
          </w:tcPr>
          <w:p w14:paraId="0D1B1F1F" w14:textId="77777777" w:rsidR="004E2F51" w:rsidRPr="00753068" w:rsidRDefault="004E2F51" w:rsidP="00E032FC">
            <w:pPr>
              <w:pStyle w:val="T1"/>
              <w:keepNext w:val="0"/>
              <w:tabs>
                <w:tab w:val="right" w:pos="9781"/>
              </w:tabs>
              <w:spacing w:before="0" w:after="0" w:line="220" w:lineRule="exact"/>
              <w:jc w:val="left"/>
              <w:rPr>
                <w:rFonts w:cs="Arial"/>
                <w:b w:val="0"/>
                <w:bCs w:val="0"/>
                <w:color w:val="000000" w:themeColor="text1"/>
                <w:sz w:val="18"/>
                <w:szCs w:val="18"/>
                <w:lang w:val="hr-HR"/>
              </w:rPr>
            </w:pPr>
          </w:p>
        </w:tc>
        <w:tc>
          <w:tcPr>
            <w:tcW w:w="706" w:type="pct"/>
            <w:vAlign w:val="bottom"/>
          </w:tcPr>
          <w:p w14:paraId="64859AD6" w14:textId="77777777" w:rsidR="004E2F51" w:rsidRPr="00753068" w:rsidRDefault="004E2F51" w:rsidP="00E032FC">
            <w:pPr>
              <w:pStyle w:val="TH"/>
              <w:spacing w:line="220" w:lineRule="exact"/>
              <w:jc w:val="right"/>
              <w:rPr>
                <w:rFonts w:cs="Arial"/>
                <w:color w:val="000000" w:themeColor="text1"/>
                <w:sz w:val="18"/>
                <w:szCs w:val="18"/>
                <w:lang w:val="hr-HR"/>
              </w:rPr>
            </w:pPr>
            <w:r w:rsidRPr="00753068">
              <w:rPr>
                <w:rFonts w:cs="Arial"/>
                <w:color w:val="000000" w:themeColor="text1"/>
                <w:sz w:val="18"/>
                <w:szCs w:val="18"/>
                <w:lang w:val="hr-HR"/>
              </w:rPr>
              <w:t>000 kuna</w:t>
            </w:r>
          </w:p>
        </w:tc>
        <w:tc>
          <w:tcPr>
            <w:tcW w:w="706" w:type="pct"/>
            <w:vAlign w:val="bottom"/>
          </w:tcPr>
          <w:p w14:paraId="7491F4E2" w14:textId="77777777" w:rsidR="004E2F51" w:rsidRPr="00753068" w:rsidRDefault="004E2F51" w:rsidP="00E032FC">
            <w:pPr>
              <w:pStyle w:val="TH"/>
              <w:spacing w:line="220" w:lineRule="exact"/>
              <w:jc w:val="right"/>
              <w:rPr>
                <w:rFonts w:cs="Arial"/>
                <w:color w:val="000000" w:themeColor="text1"/>
                <w:sz w:val="18"/>
                <w:szCs w:val="18"/>
                <w:lang w:val="hr-HR"/>
              </w:rPr>
            </w:pPr>
            <w:r w:rsidRPr="00753068">
              <w:rPr>
                <w:rFonts w:cs="Arial"/>
                <w:color w:val="000000" w:themeColor="text1"/>
                <w:sz w:val="18"/>
                <w:szCs w:val="18"/>
                <w:lang w:val="hr-HR"/>
              </w:rPr>
              <w:t>000 kuna</w:t>
            </w:r>
          </w:p>
        </w:tc>
        <w:tc>
          <w:tcPr>
            <w:tcW w:w="706" w:type="pct"/>
            <w:vAlign w:val="bottom"/>
          </w:tcPr>
          <w:p w14:paraId="1E6C6695" w14:textId="77777777" w:rsidR="004E2F51" w:rsidRPr="00753068" w:rsidRDefault="004E2F51" w:rsidP="00E032FC">
            <w:pPr>
              <w:pStyle w:val="TH"/>
              <w:spacing w:line="220" w:lineRule="exact"/>
              <w:jc w:val="right"/>
              <w:rPr>
                <w:rFonts w:cs="Arial"/>
                <w:color w:val="000000" w:themeColor="text1"/>
                <w:sz w:val="18"/>
                <w:szCs w:val="18"/>
                <w:lang w:val="hr-HR"/>
              </w:rPr>
            </w:pPr>
            <w:r w:rsidRPr="00753068">
              <w:rPr>
                <w:rFonts w:cs="Arial"/>
                <w:color w:val="000000" w:themeColor="text1"/>
                <w:sz w:val="18"/>
                <w:szCs w:val="18"/>
                <w:lang w:val="hr-HR"/>
              </w:rPr>
              <w:t>000 kuna</w:t>
            </w:r>
          </w:p>
        </w:tc>
        <w:tc>
          <w:tcPr>
            <w:tcW w:w="707" w:type="pct"/>
            <w:vAlign w:val="bottom"/>
          </w:tcPr>
          <w:p w14:paraId="3FA82BEF" w14:textId="77777777" w:rsidR="004E2F51" w:rsidRPr="00753068" w:rsidRDefault="004E2F51" w:rsidP="00E032FC">
            <w:pPr>
              <w:pStyle w:val="TH"/>
              <w:spacing w:line="220" w:lineRule="exact"/>
              <w:jc w:val="right"/>
              <w:rPr>
                <w:rFonts w:cs="Arial"/>
                <w:color w:val="000000" w:themeColor="text1"/>
                <w:sz w:val="18"/>
                <w:szCs w:val="18"/>
                <w:lang w:val="hr-HR"/>
              </w:rPr>
            </w:pPr>
            <w:bookmarkStart w:id="2081" w:name="_Toc67331483"/>
            <w:r w:rsidRPr="00753068">
              <w:rPr>
                <w:rFonts w:cs="Arial"/>
                <w:color w:val="000000" w:themeColor="text1"/>
                <w:sz w:val="18"/>
                <w:szCs w:val="18"/>
                <w:lang w:val="hr-HR"/>
              </w:rPr>
              <w:t>000 kuna</w:t>
            </w:r>
            <w:bookmarkEnd w:id="2081"/>
          </w:p>
        </w:tc>
      </w:tr>
      <w:tr w:rsidR="004E2F51" w:rsidRPr="00753068" w14:paraId="78C27359" w14:textId="77777777" w:rsidTr="00E032FC">
        <w:trPr>
          <w:trHeight w:val="703"/>
          <w:jc w:val="center"/>
        </w:trPr>
        <w:tc>
          <w:tcPr>
            <w:tcW w:w="2174" w:type="pct"/>
            <w:vAlign w:val="bottom"/>
          </w:tcPr>
          <w:p w14:paraId="6C5D35FD" w14:textId="77777777" w:rsidR="004E2F51" w:rsidRPr="00753068" w:rsidRDefault="004E2F51" w:rsidP="00E032FC">
            <w:pPr>
              <w:pStyle w:val="Tot"/>
              <w:tabs>
                <w:tab w:val="right" w:pos="9781"/>
              </w:tabs>
              <w:spacing w:line="220" w:lineRule="exact"/>
              <w:rPr>
                <w:rFonts w:cs="Arial"/>
                <w:b/>
                <w:bCs/>
                <w:color w:val="000000" w:themeColor="text1"/>
                <w:sz w:val="18"/>
                <w:szCs w:val="18"/>
                <w:lang w:val="hr-HR"/>
              </w:rPr>
            </w:pPr>
            <w:bookmarkStart w:id="2082" w:name="_Toc67331485"/>
            <w:r w:rsidRPr="00753068">
              <w:rPr>
                <w:rFonts w:cs="Arial"/>
                <w:b/>
                <w:bCs/>
                <w:color w:val="000000" w:themeColor="text1"/>
                <w:sz w:val="18"/>
                <w:szCs w:val="18"/>
                <w:lang w:val="hr-HR"/>
              </w:rPr>
              <w:t>Potreban iznos regulatornog kapitala za pokriće kapitalnih zahtjeva prema regulatornim zahtjevima</w:t>
            </w:r>
            <w:bookmarkEnd w:id="2082"/>
          </w:p>
        </w:tc>
        <w:tc>
          <w:tcPr>
            <w:tcW w:w="706" w:type="pct"/>
            <w:tcBorders>
              <w:bottom w:val="single" w:sz="12" w:space="0" w:color="auto"/>
            </w:tcBorders>
            <w:vAlign w:val="bottom"/>
          </w:tcPr>
          <w:p w14:paraId="4EED1C0D" w14:textId="77777777" w:rsidR="004E2F51" w:rsidRPr="00753068" w:rsidRDefault="004E2F51" w:rsidP="00E032FC">
            <w:pPr>
              <w:pStyle w:val="Tot"/>
              <w:jc w:val="right"/>
              <w:rPr>
                <w:rFonts w:cs="Arial"/>
                <w:b/>
                <w:bCs/>
                <w:color w:val="000000" w:themeColor="text1"/>
                <w:sz w:val="18"/>
                <w:szCs w:val="18"/>
                <w:lang w:val="hr-HR"/>
              </w:rPr>
            </w:pPr>
            <w:r w:rsidRPr="00C77333">
              <w:rPr>
                <w:rFonts w:cs="Arial"/>
                <w:b/>
                <w:bCs/>
                <w:color w:val="000000" w:themeColor="text1"/>
                <w:sz w:val="18"/>
                <w:szCs w:val="18"/>
                <w:lang w:val="hr-HR"/>
              </w:rPr>
              <w:t>2.220.980</w:t>
            </w:r>
          </w:p>
        </w:tc>
        <w:tc>
          <w:tcPr>
            <w:tcW w:w="706" w:type="pct"/>
            <w:tcBorders>
              <w:bottom w:val="single" w:sz="12" w:space="0" w:color="auto"/>
            </w:tcBorders>
            <w:vAlign w:val="bottom"/>
          </w:tcPr>
          <w:p w14:paraId="795A0359" w14:textId="77777777" w:rsidR="004E2F51" w:rsidRPr="00753068" w:rsidRDefault="004E2F51" w:rsidP="00E032FC">
            <w:pPr>
              <w:pStyle w:val="Tot"/>
              <w:jc w:val="right"/>
              <w:rPr>
                <w:rFonts w:cs="Arial"/>
                <w:b/>
                <w:bCs/>
                <w:color w:val="000000" w:themeColor="text1"/>
                <w:sz w:val="18"/>
                <w:szCs w:val="18"/>
                <w:lang w:val="hr-HR"/>
              </w:rPr>
            </w:pPr>
            <w:r w:rsidRPr="00753068">
              <w:rPr>
                <w:rFonts w:cs="Arial"/>
                <w:b/>
                <w:bCs/>
                <w:color w:val="000000" w:themeColor="text1"/>
                <w:sz w:val="18"/>
                <w:szCs w:val="18"/>
                <w:lang w:val="hr-HR"/>
              </w:rPr>
              <w:t>1.901.075</w:t>
            </w:r>
          </w:p>
        </w:tc>
        <w:tc>
          <w:tcPr>
            <w:tcW w:w="706" w:type="pct"/>
            <w:tcBorders>
              <w:bottom w:val="single" w:sz="12" w:space="0" w:color="auto"/>
            </w:tcBorders>
            <w:vAlign w:val="bottom"/>
          </w:tcPr>
          <w:p w14:paraId="0D3F6B5D" w14:textId="77777777" w:rsidR="004E2F51" w:rsidRPr="00753068" w:rsidRDefault="004E2F51" w:rsidP="00E032FC">
            <w:pPr>
              <w:pStyle w:val="Tot"/>
              <w:jc w:val="right"/>
              <w:rPr>
                <w:rFonts w:cs="Arial"/>
                <w:b/>
                <w:bCs/>
                <w:color w:val="000000" w:themeColor="text1"/>
                <w:sz w:val="18"/>
                <w:szCs w:val="18"/>
                <w:lang w:val="hr-HR"/>
              </w:rPr>
            </w:pPr>
            <w:r w:rsidRPr="00C77333">
              <w:rPr>
                <w:rFonts w:cs="Arial"/>
                <w:b/>
                <w:bCs/>
                <w:color w:val="000000" w:themeColor="text1"/>
                <w:sz w:val="18"/>
                <w:szCs w:val="18"/>
                <w:lang w:val="hr-HR"/>
              </w:rPr>
              <w:t>2.213.349</w:t>
            </w:r>
          </w:p>
        </w:tc>
        <w:tc>
          <w:tcPr>
            <w:tcW w:w="707" w:type="pct"/>
            <w:tcBorders>
              <w:bottom w:val="single" w:sz="12" w:space="0" w:color="auto"/>
            </w:tcBorders>
            <w:vAlign w:val="bottom"/>
          </w:tcPr>
          <w:p w14:paraId="55069657" w14:textId="77777777" w:rsidR="004E2F51" w:rsidRPr="00753068" w:rsidRDefault="004E2F51" w:rsidP="00E032FC">
            <w:pPr>
              <w:pStyle w:val="Tot"/>
              <w:jc w:val="right"/>
              <w:rPr>
                <w:rFonts w:cs="Arial"/>
                <w:b/>
                <w:bCs/>
                <w:color w:val="000000" w:themeColor="text1"/>
                <w:sz w:val="18"/>
                <w:szCs w:val="18"/>
                <w:lang w:val="hr-HR"/>
              </w:rPr>
            </w:pPr>
            <w:r w:rsidRPr="00753068">
              <w:rPr>
                <w:rFonts w:cs="Arial"/>
                <w:b/>
                <w:bCs/>
                <w:color w:val="000000" w:themeColor="text1"/>
                <w:sz w:val="18"/>
                <w:szCs w:val="18"/>
                <w:lang w:val="hr-HR"/>
              </w:rPr>
              <w:t>1.894.177</w:t>
            </w:r>
          </w:p>
        </w:tc>
      </w:tr>
    </w:tbl>
    <w:p w14:paraId="56D0252D" w14:textId="77777777" w:rsidR="004E2F51" w:rsidRPr="003E7B9E" w:rsidRDefault="004E2F51" w:rsidP="004E2F51">
      <w:pPr>
        <w:pStyle w:val="T1"/>
        <w:spacing w:before="0" w:after="0" w:line="240" w:lineRule="auto"/>
        <w:rPr>
          <w:rFonts w:cs="Arial"/>
          <w:b w:val="0"/>
          <w:color w:val="000000" w:themeColor="text1"/>
          <w:sz w:val="20"/>
          <w:lang w:val="hr-HR"/>
        </w:rPr>
      </w:pPr>
    </w:p>
    <w:p w14:paraId="0A2F1554" w14:textId="77777777" w:rsidR="004E2F51" w:rsidRPr="00B91D09" w:rsidRDefault="004E2F51" w:rsidP="004E2F51">
      <w:pPr>
        <w:pStyle w:val="T1"/>
        <w:tabs>
          <w:tab w:val="left" w:pos="567"/>
        </w:tabs>
        <w:spacing w:before="0" w:after="0" w:line="240" w:lineRule="auto"/>
        <w:ind w:left="709" w:hanging="709"/>
        <w:rPr>
          <w:rFonts w:cs="Arial"/>
          <w:color w:val="000000" w:themeColor="text1"/>
          <w:spacing w:val="-3"/>
          <w:sz w:val="22"/>
          <w:szCs w:val="22"/>
          <w:lang w:val="hr-HR"/>
        </w:rPr>
        <w:sectPr w:rsidR="004E2F51" w:rsidRPr="00B91D09" w:rsidSect="00623DBA">
          <w:footerReference w:type="default" r:id="rId232"/>
          <w:pgSz w:w="11907" w:h="16840" w:code="9"/>
          <w:pgMar w:top="1418" w:right="1134" w:bottom="1134" w:left="1418" w:header="851" w:footer="851" w:gutter="0"/>
          <w:cols w:space="720"/>
          <w:noEndnote/>
        </w:sectPr>
      </w:pPr>
    </w:p>
    <w:p w14:paraId="4B51F328" w14:textId="77777777" w:rsidR="004E2F51" w:rsidRPr="003E7B9E" w:rsidRDefault="004E2F51" w:rsidP="004E2F51">
      <w:pPr>
        <w:pStyle w:val="T1"/>
        <w:tabs>
          <w:tab w:val="left" w:pos="567"/>
        </w:tabs>
        <w:spacing w:before="0" w:after="0" w:line="240" w:lineRule="auto"/>
        <w:ind w:left="709" w:hanging="709"/>
        <w:rPr>
          <w:rFonts w:cs="Arial"/>
          <w:color w:val="000000" w:themeColor="text1"/>
          <w:spacing w:val="-3"/>
          <w:sz w:val="20"/>
          <w:lang w:val="hr-HR"/>
        </w:rPr>
      </w:pPr>
    </w:p>
    <w:p w14:paraId="21EA35DA" w14:textId="77777777" w:rsidR="004E2F51" w:rsidRPr="003E7B9E" w:rsidRDefault="004E2F51" w:rsidP="004E2F51">
      <w:pPr>
        <w:pStyle w:val="NormalWeb"/>
        <w:tabs>
          <w:tab w:val="left" w:pos="567"/>
        </w:tabs>
        <w:spacing w:before="0" w:beforeAutospacing="0" w:after="0" w:afterAutospacing="0"/>
        <w:rPr>
          <w:rFonts w:ascii="Arial" w:hAnsi="Arial" w:cs="Arial"/>
          <w:b/>
          <w:color w:val="000000" w:themeColor="text1"/>
          <w:sz w:val="20"/>
          <w:szCs w:val="20"/>
          <w:lang w:val="hr-HR"/>
        </w:rPr>
      </w:pPr>
      <w:r w:rsidRPr="003E7B9E">
        <w:rPr>
          <w:rFonts w:ascii="Arial" w:hAnsi="Arial" w:cs="Arial"/>
          <w:b/>
          <w:color w:val="000000" w:themeColor="text1"/>
          <w:sz w:val="20"/>
          <w:szCs w:val="20"/>
          <w:lang w:val="hr-HR"/>
        </w:rPr>
        <w:t>3</w:t>
      </w:r>
      <w:r>
        <w:rPr>
          <w:rFonts w:ascii="Arial" w:hAnsi="Arial" w:cs="Arial"/>
          <w:b/>
          <w:color w:val="000000" w:themeColor="text1"/>
          <w:sz w:val="20"/>
          <w:szCs w:val="20"/>
          <w:lang w:val="hr-HR"/>
        </w:rPr>
        <w:t>5</w:t>
      </w:r>
      <w:r w:rsidRPr="003E7B9E">
        <w:rPr>
          <w:rFonts w:ascii="Arial" w:hAnsi="Arial" w:cs="Arial"/>
          <w:b/>
          <w:color w:val="000000" w:themeColor="text1"/>
          <w:sz w:val="20"/>
          <w:szCs w:val="20"/>
          <w:lang w:val="hr-HR"/>
        </w:rPr>
        <w:t xml:space="preserve">. </w:t>
      </w:r>
      <w:r w:rsidRPr="003E7B9E">
        <w:rPr>
          <w:rFonts w:ascii="Arial" w:hAnsi="Arial" w:cs="Arial"/>
          <w:b/>
          <w:color w:val="000000" w:themeColor="text1"/>
          <w:sz w:val="20"/>
          <w:szCs w:val="20"/>
          <w:lang w:val="hr-HR"/>
        </w:rPr>
        <w:tab/>
        <w:t>Zarada po dionici</w:t>
      </w:r>
    </w:p>
    <w:p w14:paraId="3120AA63" w14:textId="77777777" w:rsidR="004E2F51" w:rsidRPr="003E7B9E" w:rsidRDefault="004E2F51" w:rsidP="004E2F51">
      <w:pPr>
        <w:pStyle w:val="NormalWeb"/>
        <w:tabs>
          <w:tab w:val="left" w:pos="567"/>
        </w:tabs>
        <w:spacing w:before="0" w:beforeAutospacing="0" w:after="0" w:afterAutospacing="0"/>
        <w:rPr>
          <w:rFonts w:ascii="Arial" w:hAnsi="Arial" w:cs="Arial"/>
          <w:b/>
          <w:color w:val="000000" w:themeColor="text1"/>
          <w:sz w:val="20"/>
          <w:szCs w:val="20"/>
          <w:lang w:val="hr-HR"/>
        </w:rPr>
      </w:pPr>
    </w:p>
    <w:p w14:paraId="4D3568AA" w14:textId="77777777" w:rsidR="004E2F51" w:rsidRPr="003E7B9E" w:rsidRDefault="004E2F51" w:rsidP="004E2F51">
      <w:pPr>
        <w:pStyle w:val="NormalWeb"/>
        <w:spacing w:before="0" w:beforeAutospacing="0" w:after="0" w:afterAutospacing="0"/>
        <w:jc w:val="both"/>
        <w:rPr>
          <w:rFonts w:ascii="Arial" w:hAnsi="Arial" w:cs="Arial"/>
          <w:color w:val="000000" w:themeColor="text1"/>
          <w:sz w:val="20"/>
          <w:szCs w:val="20"/>
          <w:lang w:val="hr-HR"/>
        </w:rPr>
      </w:pPr>
      <w:r w:rsidRPr="003E7B9E">
        <w:rPr>
          <w:rFonts w:ascii="Arial" w:hAnsi="Arial" w:cs="Arial"/>
          <w:color w:val="000000" w:themeColor="text1"/>
          <w:sz w:val="20"/>
          <w:szCs w:val="20"/>
          <w:lang w:val="hr-HR"/>
        </w:rPr>
        <w:t>Sukladno Zakonu o HBOR-u temeljni kapital Banke čini jedan poslovni udio koji se ne može dijeliti, prenositi niti zalagati i u isključivom je vlasništvu Republike Hrvatske.</w:t>
      </w:r>
    </w:p>
    <w:p w14:paraId="14FD0D4A" w14:textId="77777777" w:rsidR="004E2F51" w:rsidRPr="003E7B9E" w:rsidRDefault="004E2F51" w:rsidP="004E2F51">
      <w:pPr>
        <w:pStyle w:val="T1"/>
        <w:keepNext w:val="0"/>
        <w:spacing w:before="0" w:after="0" w:line="240" w:lineRule="auto"/>
        <w:rPr>
          <w:rFonts w:cs="Arial"/>
          <w:b w:val="0"/>
          <w:color w:val="000000" w:themeColor="text1"/>
          <w:sz w:val="20"/>
          <w:lang w:val="hr-HR"/>
        </w:rPr>
      </w:pPr>
      <w:r w:rsidRPr="003E7B9E">
        <w:rPr>
          <w:rFonts w:cs="Arial"/>
          <w:b w:val="0"/>
          <w:color w:val="000000" w:themeColor="text1"/>
          <w:sz w:val="20"/>
          <w:lang w:val="hr-HR"/>
        </w:rPr>
        <w:t>U svrhu izračuna zarade po dionici, zarada predstavlja neto dobit poslije oporezivanja.</w:t>
      </w:r>
    </w:p>
    <w:p w14:paraId="4AF386F4" w14:textId="77777777" w:rsidR="004E2F51" w:rsidRPr="003E7B9E" w:rsidRDefault="004E2F51" w:rsidP="004E2F51">
      <w:pPr>
        <w:pStyle w:val="T1"/>
        <w:tabs>
          <w:tab w:val="left" w:pos="567"/>
        </w:tabs>
        <w:spacing w:before="0" w:after="0" w:line="240" w:lineRule="auto"/>
        <w:ind w:left="709" w:hanging="709"/>
        <w:rPr>
          <w:rFonts w:cs="Arial"/>
          <w:color w:val="000000" w:themeColor="text1"/>
          <w:spacing w:val="-3"/>
          <w:sz w:val="20"/>
          <w:lang w:val="hr-HR"/>
        </w:rPr>
      </w:pPr>
    </w:p>
    <w:p w14:paraId="7B8D2BE2" w14:textId="77777777" w:rsidR="004E2F51" w:rsidRPr="003E7B9E" w:rsidRDefault="004E2F51" w:rsidP="004E2F51">
      <w:pPr>
        <w:pStyle w:val="T1"/>
        <w:tabs>
          <w:tab w:val="left" w:pos="567"/>
        </w:tabs>
        <w:spacing w:before="0" w:after="0" w:line="240" w:lineRule="auto"/>
        <w:ind w:left="709" w:hanging="709"/>
        <w:rPr>
          <w:rFonts w:cs="Arial"/>
          <w:color w:val="000000" w:themeColor="text1"/>
          <w:spacing w:val="-3"/>
          <w:sz w:val="20"/>
          <w:lang w:val="hr-HR"/>
        </w:rPr>
      </w:pPr>
    </w:p>
    <w:p w14:paraId="71D976DB" w14:textId="77777777" w:rsidR="004E2F51" w:rsidRPr="00961E03" w:rsidRDefault="004E2F51" w:rsidP="004E2F51">
      <w:pPr>
        <w:pStyle w:val="T1"/>
        <w:keepNext w:val="0"/>
        <w:tabs>
          <w:tab w:val="left" w:pos="567"/>
        </w:tabs>
        <w:spacing w:before="0" w:after="0" w:line="240" w:lineRule="auto"/>
        <w:rPr>
          <w:rFonts w:cs="Arial"/>
          <w:bCs w:val="0"/>
          <w:sz w:val="20"/>
          <w:lang w:val="hr-HR"/>
        </w:rPr>
      </w:pPr>
      <w:bookmarkStart w:id="2083" w:name="_Hlk97029861"/>
      <w:bookmarkStart w:id="2084" w:name="_Hlk98750651"/>
      <w:bookmarkStart w:id="2085" w:name="_Hlk98849048"/>
      <w:r w:rsidRPr="00961E03">
        <w:rPr>
          <w:rFonts w:cs="Arial"/>
          <w:bCs w:val="0"/>
          <w:sz w:val="20"/>
          <w:lang w:val="hr-HR"/>
        </w:rPr>
        <w:t>3</w:t>
      </w:r>
      <w:r>
        <w:rPr>
          <w:rFonts w:cs="Arial"/>
          <w:bCs w:val="0"/>
          <w:sz w:val="20"/>
          <w:lang w:val="hr-HR"/>
        </w:rPr>
        <w:t>6</w:t>
      </w:r>
      <w:r w:rsidRPr="00961E03">
        <w:rPr>
          <w:rFonts w:cs="Arial"/>
          <w:bCs w:val="0"/>
          <w:sz w:val="20"/>
          <w:lang w:val="hr-HR"/>
        </w:rPr>
        <w:t xml:space="preserve">. </w:t>
      </w:r>
      <w:r w:rsidRPr="00961E03">
        <w:rPr>
          <w:rFonts w:cs="Arial"/>
          <w:bCs w:val="0"/>
          <w:sz w:val="20"/>
          <w:lang w:val="hr-HR"/>
        </w:rPr>
        <w:tab/>
        <w:t>Događaji nakon datuma izvještajnog razdoblja</w:t>
      </w:r>
    </w:p>
    <w:p w14:paraId="3EB1B635" w14:textId="77777777" w:rsidR="004E2F51" w:rsidRDefault="004E2F51" w:rsidP="004E2F51">
      <w:pPr>
        <w:pStyle w:val="T1"/>
        <w:keepNext w:val="0"/>
        <w:tabs>
          <w:tab w:val="left" w:pos="567"/>
        </w:tabs>
        <w:spacing w:before="0" w:after="0" w:line="240" w:lineRule="auto"/>
        <w:rPr>
          <w:rFonts w:cs="Arial"/>
          <w:bCs w:val="0"/>
          <w:sz w:val="20"/>
          <w:highlight w:val="yellow"/>
          <w:lang w:val="hr-HR"/>
        </w:rPr>
      </w:pPr>
    </w:p>
    <w:p w14:paraId="42A7D277" w14:textId="77777777" w:rsidR="004E2F51" w:rsidRPr="003E7B9E" w:rsidRDefault="004E2F51" w:rsidP="004E2F51">
      <w:pPr>
        <w:pStyle w:val="T1"/>
        <w:keepNext w:val="0"/>
        <w:tabs>
          <w:tab w:val="left" w:pos="567"/>
        </w:tabs>
        <w:spacing w:before="0" w:after="0" w:line="240" w:lineRule="auto"/>
        <w:rPr>
          <w:rFonts w:cs="Arial"/>
          <w:bCs w:val="0"/>
          <w:sz w:val="20"/>
          <w:highlight w:val="yellow"/>
          <w:lang w:val="hr-HR"/>
        </w:rPr>
      </w:pPr>
      <w:r w:rsidRPr="00961E03">
        <w:rPr>
          <w:rFonts w:cs="Arial"/>
          <w:bCs w:val="0"/>
          <w:sz w:val="20"/>
          <w:lang w:val="hr-HR"/>
        </w:rPr>
        <w:t>3</w:t>
      </w:r>
      <w:r>
        <w:rPr>
          <w:rFonts w:cs="Arial"/>
          <w:bCs w:val="0"/>
          <w:sz w:val="20"/>
          <w:lang w:val="hr-HR"/>
        </w:rPr>
        <w:t>6</w:t>
      </w:r>
      <w:r w:rsidRPr="00961E03">
        <w:rPr>
          <w:rFonts w:cs="Arial"/>
          <w:bCs w:val="0"/>
          <w:sz w:val="20"/>
          <w:lang w:val="hr-HR"/>
        </w:rPr>
        <w:t>.1. Nadzorni odbor HBOR-a</w:t>
      </w:r>
    </w:p>
    <w:p w14:paraId="3B41F673" w14:textId="77777777" w:rsidR="004E2F51" w:rsidRPr="003E7B9E" w:rsidRDefault="004E2F51" w:rsidP="004E2F51">
      <w:pPr>
        <w:pStyle w:val="T1"/>
        <w:keepNext w:val="0"/>
        <w:spacing w:before="0" w:after="0" w:line="240" w:lineRule="auto"/>
        <w:rPr>
          <w:rFonts w:cs="Arial"/>
          <w:b w:val="0"/>
          <w:color w:val="000000" w:themeColor="text1"/>
          <w:sz w:val="20"/>
          <w:highlight w:val="yellow"/>
          <w:lang w:val="hr-HR"/>
        </w:rPr>
      </w:pPr>
    </w:p>
    <w:bookmarkEnd w:id="2083"/>
    <w:p w14:paraId="6C985DBC" w14:textId="77777777" w:rsidR="004E2F51" w:rsidRPr="00961E03" w:rsidRDefault="004E2F51" w:rsidP="004E2F51">
      <w:pPr>
        <w:pStyle w:val="T1"/>
        <w:keepNext w:val="0"/>
        <w:spacing w:before="0" w:after="0" w:line="240" w:lineRule="auto"/>
        <w:rPr>
          <w:rFonts w:cs="Arial"/>
          <w:b w:val="0"/>
          <w:color w:val="000000" w:themeColor="text1"/>
          <w:sz w:val="20"/>
          <w:lang w:val="hr-HR"/>
        </w:rPr>
      </w:pPr>
      <w:r w:rsidRPr="00961E03">
        <w:rPr>
          <w:rFonts w:cs="Arial"/>
          <w:b w:val="0"/>
          <w:color w:val="000000" w:themeColor="text1"/>
          <w:sz w:val="20"/>
          <w:lang w:val="hr-HR"/>
        </w:rPr>
        <w:t>Nakon izvještajnog razdoblja, Vlada Republike Hrvatske je na sjednici održanoj 20. siječnja 2023. donijela Rješenje o razrješenju i imenovanju dijela članova Nadzornog odbora Hrvatske banke za obnovu i razvitak kojom se razrješuju dužnosti članovi Nadzornog odbora - Nataša Tramišak i Ivan Paladina, a imenuje se Šime Erlić, ministar regionalnoga razvoja i fondova Europske unije, članom Nadzornog odbora HBOR-a po položaju te Branko Bačić, potpredsjednik Vlade Republike Hrvatske i ministar prostornoga uređenja, graditeljstva i državne imovine, članom Nadzornog odbora HBOR-a.</w:t>
      </w:r>
    </w:p>
    <w:p w14:paraId="2C50EBD6" w14:textId="77777777" w:rsidR="004E2F51" w:rsidRPr="00961E03" w:rsidRDefault="004E2F51" w:rsidP="004E2F51">
      <w:pPr>
        <w:pStyle w:val="T1"/>
        <w:keepNext w:val="0"/>
        <w:spacing w:before="0" w:after="0" w:line="240" w:lineRule="auto"/>
        <w:rPr>
          <w:rFonts w:cs="Arial"/>
          <w:b w:val="0"/>
          <w:color w:val="000000" w:themeColor="text1"/>
          <w:sz w:val="20"/>
          <w:lang w:val="hr-HR"/>
        </w:rPr>
      </w:pPr>
    </w:p>
    <w:p w14:paraId="37743201" w14:textId="77777777" w:rsidR="004E2F51" w:rsidRDefault="004E2F51" w:rsidP="004E2F51">
      <w:pPr>
        <w:pStyle w:val="T1"/>
        <w:keepNext w:val="0"/>
        <w:spacing w:before="0" w:after="0" w:line="240" w:lineRule="auto"/>
        <w:rPr>
          <w:rFonts w:cs="Arial"/>
          <w:b w:val="0"/>
          <w:color w:val="000000" w:themeColor="text1"/>
          <w:sz w:val="20"/>
          <w:lang w:val="hr-HR"/>
        </w:rPr>
      </w:pPr>
      <w:r w:rsidRPr="00961E03">
        <w:rPr>
          <w:rFonts w:cs="Arial"/>
          <w:b w:val="0"/>
          <w:color w:val="000000" w:themeColor="text1"/>
          <w:sz w:val="20"/>
          <w:lang w:val="hr-HR"/>
        </w:rPr>
        <w:t>Sukladno navedenome, s danom 20. siječnja 2023. godine Nadzorni odbor HBOR-a djeluje u sljedećem sastavu:</w:t>
      </w:r>
    </w:p>
    <w:p w14:paraId="7FAF3237" w14:textId="77777777" w:rsidR="004E2F51" w:rsidRDefault="004E2F51">
      <w:pPr>
        <w:pStyle w:val="T1"/>
        <w:keepNext w:val="0"/>
        <w:numPr>
          <w:ilvl w:val="0"/>
          <w:numId w:val="67"/>
        </w:numPr>
        <w:suppressAutoHyphens w:val="0"/>
        <w:autoSpaceDN/>
        <w:spacing w:before="0" w:after="0" w:line="240" w:lineRule="auto"/>
        <w:outlineLvl w:val="9"/>
        <w:rPr>
          <w:rFonts w:cs="Arial"/>
          <w:b w:val="0"/>
          <w:color w:val="000000" w:themeColor="text1"/>
          <w:sz w:val="20"/>
          <w:lang w:val="hr-HR"/>
        </w:rPr>
      </w:pPr>
      <w:r w:rsidRPr="00961E03">
        <w:rPr>
          <w:rFonts w:cs="Arial"/>
          <w:b w:val="0"/>
          <w:color w:val="000000" w:themeColor="text1"/>
          <w:sz w:val="20"/>
          <w:lang w:val="hr-HR"/>
        </w:rPr>
        <w:t>izv. prof. dr. sc. Marko Primorac, ministar financija – po položaju predsjednik Nadzornog odbora,</w:t>
      </w:r>
    </w:p>
    <w:p w14:paraId="7F2670B9" w14:textId="77777777" w:rsidR="004E2F51" w:rsidRDefault="004E2F51">
      <w:pPr>
        <w:pStyle w:val="T1"/>
        <w:keepNext w:val="0"/>
        <w:numPr>
          <w:ilvl w:val="0"/>
          <w:numId w:val="67"/>
        </w:numPr>
        <w:suppressAutoHyphens w:val="0"/>
        <w:autoSpaceDN/>
        <w:spacing w:before="0" w:after="0" w:line="240" w:lineRule="auto"/>
        <w:outlineLvl w:val="9"/>
        <w:rPr>
          <w:rFonts w:cs="Arial"/>
          <w:b w:val="0"/>
          <w:color w:val="000000" w:themeColor="text1"/>
          <w:sz w:val="20"/>
          <w:lang w:val="hr-HR"/>
        </w:rPr>
      </w:pPr>
      <w:r w:rsidRPr="00961E03">
        <w:rPr>
          <w:rFonts w:cs="Arial"/>
          <w:b w:val="0"/>
          <w:color w:val="000000" w:themeColor="text1"/>
          <w:sz w:val="20"/>
          <w:lang w:val="hr-HR"/>
        </w:rPr>
        <w:t>izv. prof. dr. sc. Davor Filipović, ministar gospodarstva i održivog razvoja – po položaju zamjenik predsjednika Nadzornog odbora,</w:t>
      </w:r>
    </w:p>
    <w:p w14:paraId="00BF5615" w14:textId="77777777" w:rsidR="004E2F51" w:rsidRDefault="004E2F51">
      <w:pPr>
        <w:pStyle w:val="T1"/>
        <w:keepNext w:val="0"/>
        <w:numPr>
          <w:ilvl w:val="0"/>
          <w:numId w:val="67"/>
        </w:numPr>
        <w:suppressAutoHyphens w:val="0"/>
        <w:autoSpaceDN/>
        <w:spacing w:before="0" w:after="0" w:line="240" w:lineRule="auto"/>
        <w:outlineLvl w:val="9"/>
        <w:rPr>
          <w:rFonts w:cs="Arial"/>
          <w:b w:val="0"/>
          <w:color w:val="000000" w:themeColor="text1"/>
          <w:sz w:val="20"/>
          <w:lang w:val="hr-HR"/>
        </w:rPr>
      </w:pPr>
      <w:r w:rsidRPr="00961E03">
        <w:rPr>
          <w:rFonts w:cs="Arial"/>
          <w:b w:val="0"/>
          <w:color w:val="000000" w:themeColor="text1"/>
          <w:sz w:val="20"/>
          <w:lang w:val="hr-HR"/>
        </w:rPr>
        <w:t>Šime Erlić, ministar regionalnoga razvoja i fondova Europske unije,</w:t>
      </w:r>
    </w:p>
    <w:p w14:paraId="47561442" w14:textId="77777777" w:rsidR="004E2F51" w:rsidRDefault="004E2F51">
      <w:pPr>
        <w:pStyle w:val="T1"/>
        <w:keepNext w:val="0"/>
        <w:numPr>
          <w:ilvl w:val="0"/>
          <w:numId w:val="67"/>
        </w:numPr>
        <w:suppressAutoHyphens w:val="0"/>
        <w:autoSpaceDN/>
        <w:spacing w:before="0" w:after="0" w:line="240" w:lineRule="auto"/>
        <w:outlineLvl w:val="9"/>
        <w:rPr>
          <w:rFonts w:cs="Arial"/>
          <w:b w:val="0"/>
          <w:color w:val="000000" w:themeColor="text1"/>
          <w:sz w:val="20"/>
          <w:lang w:val="hr-HR"/>
        </w:rPr>
      </w:pPr>
      <w:r w:rsidRPr="00961E03">
        <w:rPr>
          <w:rFonts w:cs="Arial"/>
          <w:b w:val="0"/>
          <w:color w:val="000000" w:themeColor="text1"/>
          <w:sz w:val="20"/>
          <w:lang w:val="hr-HR"/>
        </w:rPr>
        <w:t>dr. sc. Nikolina Brnjac, ministrica turizma i sporta,</w:t>
      </w:r>
    </w:p>
    <w:p w14:paraId="4C53FD65" w14:textId="77777777" w:rsidR="004E2F51" w:rsidRDefault="004E2F51">
      <w:pPr>
        <w:pStyle w:val="T1"/>
        <w:keepNext w:val="0"/>
        <w:numPr>
          <w:ilvl w:val="0"/>
          <w:numId w:val="67"/>
        </w:numPr>
        <w:suppressAutoHyphens w:val="0"/>
        <w:autoSpaceDN/>
        <w:spacing w:before="0" w:after="0" w:line="240" w:lineRule="auto"/>
        <w:outlineLvl w:val="9"/>
        <w:rPr>
          <w:rFonts w:cs="Arial"/>
          <w:b w:val="0"/>
          <w:color w:val="000000" w:themeColor="text1"/>
          <w:sz w:val="20"/>
          <w:lang w:val="hr-HR"/>
        </w:rPr>
      </w:pPr>
      <w:r w:rsidRPr="00961E03">
        <w:rPr>
          <w:rFonts w:cs="Arial"/>
          <w:b w:val="0"/>
          <w:color w:val="000000" w:themeColor="text1"/>
          <w:sz w:val="20"/>
          <w:lang w:val="hr-HR"/>
        </w:rPr>
        <w:t>mr. sc. Marija Vučković, ministrica poljoprivrede,</w:t>
      </w:r>
    </w:p>
    <w:p w14:paraId="4D2CF3B1" w14:textId="77777777" w:rsidR="004E2F51" w:rsidRDefault="004E2F51">
      <w:pPr>
        <w:pStyle w:val="T1"/>
        <w:keepNext w:val="0"/>
        <w:numPr>
          <w:ilvl w:val="0"/>
          <w:numId w:val="67"/>
        </w:numPr>
        <w:suppressAutoHyphens w:val="0"/>
        <w:autoSpaceDN/>
        <w:spacing w:before="0" w:after="0" w:line="240" w:lineRule="auto"/>
        <w:outlineLvl w:val="9"/>
        <w:rPr>
          <w:rFonts w:cs="Arial"/>
          <w:b w:val="0"/>
          <w:color w:val="000000" w:themeColor="text1"/>
          <w:sz w:val="20"/>
          <w:lang w:val="hr-HR"/>
        </w:rPr>
      </w:pPr>
      <w:r w:rsidRPr="00961E03">
        <w:rPr>
          <w:rFonts w:cs="Arial"/>
          <w:b w:val="0"/>
          <w:color w:val="000000" w:themeColor="text1"/>
          <w:sz w:val="20"/>
          <w:lang w:val="hr-HR"/>
        </w:rPr>
        <w:t>Branko Bačić, potpredsjednik Vlade Republike Hrvatske i ministar prostornoga uređenja, graditeljstva i državne imovine,</w:t>
      </w:r>
    </w:p>
    <w:p w14:paraId="508DABA3" w14:textId="77777777" w:rsidR="004E2F51" w:rsidRDefault="004E2F51">
      <w:pPr>
        <w:pStyle w:val="T1"/>
        <w:keepNext w:val="0"/>
        <w:numPr>
          <w:ilvl w:val="0"/>
          <w:numId w:val="67"/>
        </w:numPr>
        <w:suppressAutoHyphens w:val="0"/>
        <w:autoSpaceDN/>
        <w:spacing w:before="0" w:after="0" w:line="240" w:lineRule="auto"/>
        <w:outlineLvl w:val="9"/>
        <w:rPr>
          <w:rFonts w:cs="Arial"/>
          <w:b w:val="0"/>
          <w:color w:val="000000" w:themeColor="text1"/>
          <w:sz w:val="20"/>
          <w:lang w:val="hr-HR"/>
        </w:rPr>
      </w:pPr>
      <w:r w:rsidRPr="00961E03">
        <w:rPr>
          <w:rFonts w:cs="Arial"/>
          <w:b w:val="0"/>
          <w:color w:val="000000" w:themeColor="text1"/>
          <w:sz w:val="20"/>
          <w:lang w:val="hr-HR"/>
        </w:rPr>
        <w:t>dr. sc. Luka Burilović, predsjednik Hrvatske gospodarske komore – po položaju član Nadzornog odbora,</w:t>
      </w:r>
    </w:p>
    <w:p w14:paraId="65FE59FD" w14:textId="77777777" w:rsidR="004E2F51" w:rsidRDefault="004E2F51">
      <w:pPr>
        <w:pStyle w:val="T1"/>
        <w:keepNext w:val="0"/>
        <w:numPr>
          <w:ilvl w:val="0"/>
          <w:numId w:val="67"/>
        </w:numPr>
        <w:suppressAutoHyphens w:val="0"/>
        <w:autoSpaceDN/>
        <w:spacing w:before="0" w:after="0" w:line="240" w:lineRule="auto"/>
        <w:outlineLvl w:val="9"/>
        <w:rPr>
          <w:rFonts w:cs="Arial"/>
          <w:b w:val="0"/>
          <w:color w:val="000000" w:themeColor="text1"/>
          <w:sz w:val="20"/>
          <w:lang w:val="hr-HR"/>
        </w:rPr>
      </w:pPr>
      <w:r w:rsidRPr="00961E03">
        <w:rPr>
          <w:rFonts w:cs="Arial"/>
          <w:b w:val="0"/>
          <w:color w:val="000000" w:themeColor="text1"/>
          <w:sz w:val="20"/>
          <w:lang w:val="hr-HR"/>
        </w:rPr>
        <w:t>Žarko Tušek, saborski zastupnik,</w:t>
      </w:r>
    </w:p>
    <w:p w14:paraId="69CF2D94" w14:textId="77777777" w:rsidR="004E2F51" w:rsidRDefault="004E2F51">
      <w:pPr>
        <w:pStyle w:val="T1"/>
        <w:keepNext w:val="0"/>
        <w:numPr>
          <w:ilvl w:val="0"/>
          <w:numId w:val="67"/>
        </w:numPr>
        <w:suppressAutoHyphens w:val="0"/>
        <w:autoSpaceDN/>
        <w:spacing w:before="0" w:after="0" w:line="240" w:lineRule="auto"/>
        <w:outlineLvl w:val="9"/>
        <w:rPr>
          <w:rFonts w:cs="Arial"/>
          <w:b w:val="0"/>
          <w:color w:val="000000" w:themeColor="text1"/>
          <w:sz w:val="20"/>
          <w:lang w:val="hr-HR"/>
        </w:rPr>
      </w:pPr>
      <w:r w:rsidRPr="00961E03">
        <w:rPr>
          <w:rFonts w:cs="Arial"/>
          <w:b w:val="0"/>
          <w:color w:val="000000" w:themeColor="text1"/>
          <w:sz w:val="20"/>
          <w:lang w:val="hr-HR"/>
        </w:rPr>
        <w:t>Predrag Štromar, saborski zastupnik,</w:t>
      </w:r>
    </w:p>
    <w:p w14:paraId="4C146B78" w14:textId="77777777" w:rsidR="004E2F51" w:rsidRDefault="004E2F51">
      <w:pPr>
        <w:pStyle w:val="T1"/>
        <w:keepNext w:val="0"/>
        <w:numPr>
          <w:ilvl w:val="0"/>
          <w:numId w:val="67"/>
        </w:numPr>
        <w:suppressAutoHyphens w:val="0"/>
        <w:autoSpaceDN/>
        <w:spacing w:before="0" w:after="0" w:line="240" w:lineRule="auto"/>
        <w:outlineLvl w:val="9"/>
        <w:rPr>
          <w:rFonts w:cs="Arial"/>
          <w:b w:val="0"/>
          <w:color w:val="000000" w:themeColor="text1"/>
          <w:sz w:val="20"/>
          <w:lang w:val="hr-HR"/>
        </w:rPr>
      </w:pPr>
      <w:r w:rsidRPr="00961E03">
        <w:rPr>
          <w:rFonts w:cs="Arial"/>
          <w:b w:val="0"/>
          <w:color w:val="000000" w:themeColor="text1"/>
          <w:sz w:val="20"/>
          <w:lang w:val="hr-HR"/>
        </w:rPr>
        <w:t>dr. sc. Siniša Hajdaš Dončić, saborski zastupnik.</w:t>
      </w:r>
    </w:p>
    <w:p w14:paraId="466BB93A" w14:textId="77777777" w:rsidR="004E2F51" w:rsidRDefault="004E2F51" w:rsidP="004E2F51">
      <w:pPr>
        <w:pStyle w:val="T1"/>
        <w:keepNext w:val="0"/>
        <w:spacing w:before="0" w:after="0" w:line="240" w:lineRule="auto"/>
        <w:rPr>
          <w:rFonts w:cs="Arial"/>
          <w:b w:val="0"/>
          <w:color w:val="000000" w:themeColor="text1"/>
          <w:sz w:val="20"/>
          <w:lang w:val="hr-HR"/>
        </w:rPr>
      </w:pPr>
    </w:p>
    <w:p w14:paraId="2DADCFB8" w14:textId="77777777" w:rsidR="004E2F51" w:rsidRDefault="004E2F51" w:rsidP="004E2F51">
      <w:pPr>
        <w:pStyle w:val="T1"/>
        <w:keepNext w:val="0"/>
        <w:spacing w:before="0" w:after="0" w:line="240" w:lineRule="auto"/>
        <w:rPr>
          <w:rFonts w:cs="Arial"/>
          <w:b w:val="0"/>
          <w:color w:val="000000" w:themeColor="text1"/>
          <w:sz w:val="20"/>
          <w:lang w:val="hr-HR"/>
        </w:rPr>
      </w:pPr>
    </w:p>
    <w:p w14:paraId="0006A408" w14:textId="77777777" w:rsidR="004E2F51" w:rsidRDefault="004E2F51" w:rsidP="004E2F51">
      <w:pPr>
        <w:pStyle w:val="T1"/>
        <w:keepNext w:val="0"/>
        <w:spacing w:before="0" w:after="0" w:line="240" w:lineRule="auto"/>
        <w:rPr>
          <w:rFonts w:cs="Arial"/>
          <w:b w:val="0"/>
          <w:color w:val="000000" w:themeColor="text1"/>
          <w:sz w:val="20"/>
          <w:lang w:val="hr-HR"/>
        </w:rPr>
      </w:pPr>
    </w:p>
    <w:p w14:paraId="19CF86BF" w14:textId="77777777" w:rsidR="004E2F51" w:rsidRDefault="004E2F51" w:rsidP="004E2F51">
      <w:pPr>
        <w:pStyle w:val="T1"/>
        <w:keepNext w:val="0"/>
        <w:tabs>
          <w:tab w:val="left" w:pos="567"/>
        </w:tabs>
        <w:spacing w:before="0" w:after="0" w:line="240" w:lineRule="auto"/>
        <w:rPr>
          <w:rFonts w:cs="Arial"/>
          <w:bCs w:val="0"/>
          <w:sz w:val="20"/>
          <w:lang w:val="hr-HR"/>
        </w:rPr>
      </w:pPr>
      <w:r w:rsidRPr="00961E03">
        <w:rPr>
          <w:rFonts w:cs="Arial"/>
          <w:bCs w:val="0"/>
          <w:sz w:val="20"/>
          <w:lang w:val="hr-HR"/>
        </w:rPr>
        <w:t>3</w:t>
      </w:r>
      <w:r>
        <w:rPr>
          <w:rFonts w:cs="Arial"/>
          <w:bCs w:val="0"/>
          <w:sz w:val="20"/>
          <w:lang w:val="hr-HR"/>
        </w:rPr>
        <w:t>6</w:t>
      </w:r>
      <w:r w:rsidRPr="00961E03">
        <w:rPr>
          <w:rFonts w:cs="Arial"/>
          <w:bCs w:val="0"/>
          <w:sz w:val="20"/>
          <w:lang w:val="hr-HR"/>
        </w:rPr>
        <w:t>.</w:t>
      </w:r>
      <w:r>
        <w:rPr>
          <w:rFonts w:cs="Arial"/>
          <w:bCs w:val="0"/>
          <w:sz w:val="20"/>
          <w:lang w:val="hr-HR"/>
        </w:rPr>
        <w:t>2</w:t>
      </w:r>
      <w:r w:rsidRPr="00961E03">
        <w:rPr>
          <w:rFonts w:cs="Arial"/>
          <w:bCs w:val="0"/>
          <w:sz w:val="20"/>
          <w:lang w:val="hr-HR"/>
        </w:rPr>
        <w:t xml:space="preserve">. Nadzorni </w:t>
      </w:r>
      <w:r>
        <w:rPr>
          <w:rFonts w:cs="Arial"/>
          <w:bCs w:val="0"/>
          <w:sz w:val="20"/>
          <w:lang w:val="hr-HR"/>
        </w:rPr>
        <w:t xml:space="preserve">i Revizijski </w:t>
      </w:r>
      <w:r w:rsidRPr="00961E03">
        <w:rPr>
          <w:rFonts w:cs="Arial"/>
          <w:bCs w:val="0"/>
          <w:sz w:val="20"/>
          <w:lang w:val="hr-HR"/>
        </w:rPr>
        <w:t>odbor H</w:t>
      </w:r>
      <w:r>
        <w:rPr>
          <w:rFonts w:cs="Arial"/>
          <w:bCs w:val="0"/>
          <w:sz w:val="20"/>
          <w:lang w:val="hr-HR"/>
        </w:rPr>
        <w:t>KO-a</w:t>
      </w:r>
    </w:p>
    <w:p w14:paraId="49711DF0" w14:textId="77777777" w:rsidR="004E2F51" w:rsidRDefault="004E2F51" w:rsidP="004E2F51">
      <w:pPr>
        <w:pStyle w:val="T1PARAGRAPH"/>
        <w:widowControl w:val="0"/>
        <w:numPr>
          <w:ilvl w:val="0"/>
          <w:numId w:val="0"/>
        </w:numPr>
        <w:spacing w:after="0" w:line="240" w:lineRule="auto"/>
        <w:rPr>
          <w:color w:val="000000" w:themeColor="text1"/>
          <w:sz w:val="20"/>
        </w:rPr>
      </w:pPr>
    </w:p>
    <w:p w14:paraId="13964B70" w14:textId="77777777" w:rsidR="004E2F51" w:rsidRPr="008E7C1E" w:rsidRDefault="004E2F51" w:rsidP="004E2F51">
      <w:pPr>
        <w:pStyle w:val="T1PARAGRAPH"/>
        <w:widowControl w:val="0"/>
        <w:numPr>
          <w:ilvl w:val="0"/>
          <w:numId w:val="0"/>
        </w:numPr>
        <w:spacing w:after="0" w:line="240" w:lineRule="auto"/>
        <w:rPr>
          <w:i/>
          <w:iCs/>
          <w:color w:val="000000" w:themeColor="text1"/>
          <w:sz w:val="20"/>
        </w:rPr>
      </w:pPr>
      <w:r w:rsidRPr="008E7C1E">
        <w:rPr>
          <w:i/>
          <w:iCs/>
          <w:color w:val="000000" w:themeColor="text1"/>
          <w:sz w:val="20"/>
        </w:rPr>
        <w:t>Nadzorni odbor</w:t>
      </w:r>
    </w:p>
    <w:p w14:paraId="07D8C163" w14:textId="77777777" w:rsidR="004E2F51" w:rsidRPr="004B4498" w:rsidRDefault="004E2F51" w:rsidP="004E2F51">
      <w:pPr>
        <w:pStyle w:val="T1PARAGRAPH"/>
        <w:widowControl w:val="0"/>
        <w:numPr>
          <w:ilvl w:val="0"/>
          <w:numId w:val="0"/>
        </w:numPr>
        <w:spacing w:after="0" w:line="240" w:lineRule="auto"/>
        <w:rPr>
          <w:color w:val="000000" w:themeColor="text1"/>
          <w:sz w:val="20"/>
        </w:rPr>
      </w:pPr>
      <w:r w:rsidRPr="004B4498">
        <w:rPr>
          <w:color w:val="000000" w:themeColor="text1"/>
          <w:sz w:val="20"/>
        </w:rPr>
        <w:t>Na dan 31. prosinca 202</w:t>
      </w:r>
      <w:r>
        <w:rPr>
          <w:color w:val="000000" w:themeColor="text1"/>
          <w:sz w:val="20"/>
        </w:rPr>
        <w:t>2</w:t>
      </w:r>
      <w:r w:rsidRPr="004B4498">
        <w:rPr>
          <w:color w:val="000000" w:themeColor="text1"/>
          <w:sz w:val="20"/>
        </w:rPr>
        <w:t>. Nadzorni odbor djeluje u sljedećem sastavu:</w:t>
      </w:r>
    </w:p>
    <w:p w14:paraId="217FA133" w14:textId="77777777" w:rsidR="004E2F51" w:rsidRPr="004B4498" w:rsidRDefault="004E2F51" w:rsidP="004E2F51">
      <w:pPr>
        <w:pStyle w:val="T1PARAGRAPH"/>
        <w:widowControl w:val="0"/>
        <w:numPr>
          <w:ilvl w:val="0"/>
          <w:numId w:val="0"/>
        </w:numPr>
        <w:spacing w:after="0" w:line="240" w:lineRule="auto"/>
        <w:rPr>
          <w:color w:val="000000" w:themeColor="text1"/>
          <w:sz w:val="20"/>
        </w:rPr>
      </w:pPr>
    </w:p>
    <w:p w14:paraId="3857D7C7" w14:textId="77777777" w:rsidR="004E2F51" w:rsidRPr="00A24238" w:rsidRDefault="004E2F51" w:rsidP="004E2F51">
      <w:pPr>
        <w:ind w:firstLine="567"/>
        <w:jc w:val="both"/>
        <w:rPr>
          <w:rFonts w:ascii="Arial" w:hAnsi="Arial" w:cs="Arial"/>
          <w:sz w:val="20"/>
          <w:szCs w:val="20"/>
          <w:lang w:val="hr-HR"/>
        </w:rPr>
      </w:pPr>
      <w:r w:rsidRPr="0002282A">
        <w:rPr>
          <w:rFonts w:ascii="Arial" w:hAnsi="Arial" w:cs="Arial"/>
          <w:sz w:val="20"/>
          <w:szCs w:val="20"/>
          <w:lang w:val="hr-HR"/>
        </w:rPr>
        <w:t xml:space="preserve">- </w:t>
      </w:r>
      <w:r w:rsidRPr="00A24238">
        <w:rPr>
          <w:rFonts w:ascii="Arial" w:hAnsi="Arial" w:cs="Arial"/>
          <w:sz w:val="20"/>
          <w:szCs w:val="20"/>
          <w:lang w:val="hr-HR"/>
        </w:rPr>
        <w:t>Vedran Jakšić, predsjednik N</w:t>
      </w:r>
      <w:r>
        <w:rPr>
          <w:rFonts w:ascii="Arial" w:hAnsi="Arial" w:cs="Arial"/>
          <w:sz w:val="20"/>
          <w:szCs w:val="20"/>
          <w:lang w:val="hr-HR"/>
        </w:rPr>
        <w:t>adzornog odbora</w:t>
      </w:r>
      <w:r w:rsidRPr="00A24238">
        <w:rPr>
          <w:rFonts w:ascii="Arial" w:hAnsi="Arial" w:cs="Arial"/>
          <w:sz w:val="20"/>
          <w:szCs w:val="20"/>
          <w:lang w:val="hr-HR"/>
        </w:rPr>
        <w:t xml:space="preserve"> (do 3. siječnja 2023.),</w:t>
      </w:r>
    </w:p>
    <w:p w14:paraId="1CFDB441" w14:textId="77777777" w:rsidR="004E2F51" w:rsidRDefault="004E2F51" w:rsidP="004E2F51">
      <w:pPr>
        <w:ind w:firstLine="567"/>
        <w:jc w:val="both"/>
        <w:rPr>
          <w:rFonts w:ascii="Arial" w:hAnsi="Arial" w:cs="Arial"/>
          <w:sz w:val="20"/>
          <w:szCs w:val="20"/>
          <w:lang w:val="hr-HR"/>
        </w:rPr>
      </w:pPr>
      <w:r w:rsidRPr="00A24238">
        <w:rPr>
          <w:rFonts w:ascii="Arial" w:hAnsi="Arial" w:cs="Arial"/>
          <w:sz w:val="20"/>
          <w:szCs w:val="20"/>
          <w:lang w:val="hr-HR"/>
        </w:rPr>
        <w:t>- Andreja Mergeduš, zamjenica predsjednika N</w:t>
      </w:r>
      <w:r>
        <w:rPr>
          <w:rFonts w:ascii="Arial" w:hAnsi="Arial" w:cs="Arial"/>
          <w:sz w:val="20"/>
          <w:szCs w:val="20"/>
          <w:lang w:val="hr-HR"/>
        </w:rPr>
        <w:t>adzornog odbora</w:t>
      </w:r>
      <w:r w:rsidRPr="00A24238">
        <w:rPr>
          <w:rFonts w:ascii="Arial" w:hAnsi="Arial" w:cs="Arial"/>
          <w:sz w:val="20"/>
          <w:szCs w:val="20"/>
          <w:lang w:val="hr-HR"/>
        </w:rPr>
        <w:t>,</w:t>
      </w:r>
    </w:p>
    <w:p w14:paraId="4BF8D59D" w14:textId="77777777" w:rsidR="004E2F51" w:rsidRPr="00A24238" w:rsidRDefault="004E2F51" w:rsidP="004E2F51">
      <w:pPr>
        <w:ind w:firstLine="567"/>
        <w:jc w:val="both"/>
        <w:rPr>
          <w:rFonts w:ascii="Arial" w:hAnsi="Arial" w:cs="Arial"/>
          <w:sz w:val="20"/>
          <w:szCs w:val="20"/>
          <w:lang w:val="hr-HR"/>
        </w:rPr>
      </w:pPr>
      <w:r>
        <w:rPr>
          <w:rFonts w:ascii="Arial" w:hAnsi="Arial" w:cs="Arial"/>
          <w:sz w:val="20"/>
          <w:szCs w:val="20"/>
          <w:lang w:val="hr-HR"/>
        </w:rPr>
        <w:t>- Ante Artuković, član Nadzornog odbora,</w:t>
      </w:r>
    </w:p>
    <w:p w14:paraId="2427C420" w14:textId="77777777" w:rsidR="004E2F51" w:rsidRPr="00A24238" w:rsidRDefault="004E2F51" w:rsidP="004E2F51">
      <w:pPr>
        <w:ind w:firstLine="567"/>
        <w:jc w:val="both"/>
        <w:rPr>
          <w:rFonts w:ascii="Arial" w:hAnsi="Arial" w:cs="Arial"/>
          <w:sz w:val="20"/>
          <w:szCs w:val="20"/>
          <w:lang w:val="hr-HR"/>
        </w:rPr>
      </w:pPr>
      <w:r w:rsidRPr="00A24238">
        <w:rPr>
          <w:rFonts w:ascii="Arial" w:hAnsi="Arial" w:cs="Arial"/>
          <w:sz w:val="20"/>
          <w:szCs w:val="20"/>
          <w:lang w:val="hr-HR"/>
        </w:rPr>
        <w:t>-</w:t>
      </w:r>
      <w:r>
        <w:rPr>
          <w:rFonts w:ascii="Arial" w:hAnsi="Arial" w:cs="Arial"/>
          <w:sz w:val="20"/>
          <w:szCs w:val="20"/>
          <w:lang w:val="hr-HR"/>
        </w:rPr>
        <w:t xml:space="preserve"> </w:t>
      </w:r>
      <w:r w:rsidRPr="00A24238">
        <w:rPr>
          <w:rFonts w:ascii="Arial" w:hAnsi="Arial" w:cs="Arial"/>
          <w:sz w:val="20"/>
          <w:szCs w:val="20"/>
          <w:lang w:val="hr-HR"/>
        </w:rPr>
        <w:t>Gordan Kuvek, član N</w:t>
      </w:r>
      <w:r>
        <w:rPr>
          <w:rFonts w:ascii="Arial" w:hAnsi="Arial" w:cs="Arial"/>
          <w:sz w:val="20"/>
          <w:szCs w:val="20"/>
          <w:lang w:val="hr-HR"/>
        </w:rPr>
        <w:t>adzornog odbora,</w:t>
      </w:r>
    </w:p>
    <w:p w14:paraId="249BBC2B" w14:textId="77777777" w:rsidR="004E2F51" w:rsidRPr="00A24238" w:rsidRDefault="004E2F51" w:rsidP="004E2F51">
      <w:pPr>
        <w:ind w:firstLine="567"/>
        <w:jc w:val="both"/>
        <w:rPr>
          <w:rFonts w:ascii="Arial" w:hAnsi="Arial" w:cs="Arial"/>
          <w:sz w:val="20"/>
          <w:szCs w:val="20"/>
          <w:lang w:val="hr-HR"/>
        </w:rPr>
      </w:pPr>
      <w:r w:rsidRPr="00A24238">
        <w:rPr>
          <w:rFonts w:ascii="Arial" w:hAnsi="Arial" w:cs="Arial"/>
          <w:sz w:val="20"/>
          <w:szCs w:val="20"/>
          <w:lang w:val="hr-HR"/>
        </w:rPr>
        <w:t>- Marija Jerkić, članica N</w:t>
      </w:r>
      <w:r>
        <w:rPr>
          <w:rFonts w:ascii="Arial" w:hAnsi="Arial" w:cs="Arial"/>
          <w:sz w:val="20"/>
          <w:szCs w:val="20"/>
          <w:lang w:val="hr-HR"/>
        </w:rPr>
        <w:t>adzornog odbora.</w:t>
      </w:r>
    </w:p>
    <w:p w14:paraId="058E8E79" w14:textId="77777777" w:rsidR="004E2F51" w:rsidRPr="0002282A" w:rsidRDefault="004E2F51" w:rsidP="004E2F51">
      <w:pPr>
        <w:jc w:val="both"/>
        <w:rPr>
          <w:rFonts w:ascii="Arial" w:hAnsi="Arial" w:cs="Arial"/>
          <w:color w:val="000000" w:themeColor="text1"/>
          <w:sz w:val="20"/>
          <w:szCs w:val="20"/>
          <w:lang w:val="hr-HR"/>
        </w:rPr>
      </w:pPr>
    </w:p>
    <w:p w14:paraId="48FC6B0F" w14:textId="77777777" w:rsidR="004E2F51" w:rsidRDefault="004E2F51" w:rsidP="004E2F51">
      <w:pPr>
        <w:jc w:val="both"/>
        <w:rPr>
          <w:rFonts w:ascii="Arial" w:hAnsi="Arial" w:cs="Arial"/>
          <w:color w:val="000000" w:themeColor="text1"/>
          <w:sz w:val="20"/>
          <w:szCs w:val="20"/>
          <w:lang w:val="hr-HR"/>
        </w:rPr>
      </w:pPr>
      <w:r w:rsidRPr="00A94E1E">
        <w:rPr>
          <w:rFonts w:ascii="Arial" w:hAnsi="Arial" w:cs="Arial"/>
          <w:color w:val="000000" w:themeColor="text1"/>
          <w:sz w:val="20"/>
          <w:szCs w:val="20"/>
          <w:lang w:val="hr-HR"/>
        </w:rPr>
        <w:t xml:space="preserve">Nakon izvještajnog razdoblja, </w:t>
      </w:r>
      <w:r>
        <w:rPr>
          <w:rFonts w:ascii="Arial" w:hAnsi="Arial" w:cs="Arial"/>
          <w:color w:val="000000" w:themeColor="text1"/>
          <w:sz w:val="20"/>
          <w:szCs w:val="20"/>
          <w:lang w:val="hr-HR"/>
        </w:rPr>
        <w:t xml:space="preserve">odlukom Nadzornog odbora HKO-a sa sjednice održane 2. ožujka 2023. godine, za predsjednika Nadzornog odbora HKO-a izabran je Ante Artuković, direktor Sektora analiza Hrvatske banke za obnovu i razvitak, a Marin Pranjić, direktor Sektora računovodstva Hrvatske banke za obnovu  i razvitak, za člana Nadzornog odbora. </w:t>
      </w:r>
    </w:p>
    <w:p w14:paraId="16A3F3A5" w14:textId="77777777" w:rsidR="004E2F51" w:rsidRDefault="004E2F51" w:rsidP="004E2F51">
      <w:pPr>
        <w:jc w:val="both"/>
        <w:rPr>
          <w:rFonts w:ascii="Arial" w:eastAsia="SimSun" w:hAnsi="Arial" w:cs="Arial"/>
          <w:color w:val="000000" w:themeColor="text1"/>
          <w:sz w:val="20"/>
          <w:szCs w:val="20"/>
          <w:lang w:val="hr-HR"/>
        </w:rPr>
      </w:pPr>
      <w:r>
        <w:rPr>
          <w:rFonts w:ascii="Arial" w:hAnsi="Arial" w:cs="Arial"/>
          <w:color w:val="000000" w:themeColor="text1"/>
          <w:sz w:val="20"/>
          <w:szCs w:val="20"/>
          <w:lang w:val="hr-HR"/>
        </w:rPr>
        <w:t xml:space="preserve">Hrvatska agencija za nadzor </w:t>
      </w:r>
      <w:r w:rsidRPr="009460A6">
        <w:rPr>
          <w:rFonts w:ascii="Arial" w:hAnsi="Arial" w:cs="Arial"/>
          <w:color w:val="000000" w:themeColor="text1"/>
          <w:sz w:val="20"/>
          <w:szCs w:val="20"/>
          <w:lang w:val="hr-HR"/>
        </w:rPr>
        <w:t xml:space="preserve">financijskih usluga </w:t>
      </w:r>
      <w:r w:rsidRPr="009460A6">
        <w:rPr>
          <w:rFonts w:ascii="Arial" w:eastAsia="SimSun" w:hAnsi="Arial" w:cs="Arial"/>
          <w:color w:val="000000" w:themeColor="text1"/>
          <w:sz w:val="20"/>
          <w:szCs w:val="20"/>
          <w:lang w:val="hr-HR"/>
        </w:rPr>
        <w:t xml:space="preserve">izdala je dana 3. veljače 2023. Rješenje kojim se izdaje odobrenje za obavljanje funkcije člana Nadzornog odbora </w:t>
      </w:r>
      <w:r>
        <w:rPr>
          <w:rFonts w:ascii="Arial" w:eastAsia="SimSun" w:hAnsi="Arial" w:cs="Arial"/>
          <w:color w:val="000000" w:themeColor="text1"/>
          <w:sz w:val="20"/>
          <w:szCs w:val="20"/>
          <w:lang w:val="hr-HR"/>
        </w:rPr>
        <w:t xml:space="preserve">HKO-a </w:t>
      </w:r>
      <w:r w:rsidRPr="009460A6">
        <w:rPr>
          <w:rFonts w:ascii="Arial" w:eastAsia="SimSun" w:hAnsi="Arial" w:cs="Arial"/>
          <w:color w:val="000000" w:themeColor="text1"/>
          <w:sz w:val="20"/>
          <w:szCs w:val="20"/>
          <w:lang w:val="hr-HR"/>
        </w:rPr>
        <w:t>za Marina Pranjića.</w:t>
      </w:r>
    </w:p>
    <w:p w14:paraId="2AC6C893" w14:textId="77777777" w:rsidR="004E2F51" w:rsidRDefault="004E2F51" w:rsidP="004E2F51">
      <w:pPr>
        <w:jc w:val="both"/>
        <w:rPr>
          <w:rFonts w:ascii="Arial" w:eastAsia="PMingLiU" w:hAnsi="Arial" w:cs="Arial"/>
          <w:color w:val="000000" w:themeColor="text1"/>
          <w:sz w:val="20"/>
          <w:szCs w:val="20"/>
          <w:lang w:val="hr-HR"/>
        </w:rPr>
        <w:sectPr w:rsidR="004E2F51" w:rsidSect="00623DBA">
          <w:footerReference w:type="default" r:id="rId233"/>
          <w:pgSz w:w="11907" w:h="16840" w:code="9"/>
          <w:pgMar w:top="1418" w:right="1134" w:bottom="1134" w:left="1418" w:header="851" w:footer="851" w:gutter="0"/>
          <w:cols w:space="720"/>
          <w:noEndnote/>
        </w:sectPr>
      </w:pPr>
    </w:p>
    <w:p w14:paraId="27097BC2" w14:textId="77777777" w:rsidR="004E2F51" w:rsidRPr="0002282A" w:rsidRDefault="004E2F51" w:rsidP="004E2F51">
      <w:pPr>
        <w:rPr>
          <w:lang w:val="hr-HR"/>
        </w:rPr>
      </w:pPr>
    </w:p>
    <w:p w14:paraId="31DD787A" w14:textId="77777777" w:rsidR="004E2F51" w:rsidRPr="00961E03" w:rsidRDefault="004E2F51" w:rsidP="004E2F51">
      <w:pPr>
        <w:pStyle w:val="T1"/>
        <w:keepNext w:val="0"/>
        <w:tabs>
          <w:tab w:val="left" w:pos="567"/>
        </w:tabs>
        <w:spacing w:before="0" w:after="0" w:line="240" w:lineRule="auto"/>
        <w:rPr>
          <w:rFonts w:cs="Arial"/>
          <w:bCs w:val="0"/>
          <w:sz w:val="20"/>
          <w:lang w:val="hr-HR"/>
        </w:rPr>
      </w:pPr>
      <w:r w:rsidRPr="00961E03">
        <w:rPr>
          <w:rFonts w:cs="Arial"/>
          <w:bCs w:val="0"/>
          <w:sz w:val="20"/>
          <w:lang w:val="hr-HR"/>
        </w:rPr>
        <w:t>3</w:t>
      </w:r>
      <w:r>
        <w:rPr>
          <w:rFonts w:cs="Arial"/>
          <w:bCs w:val="0"/>
          <w:sz w:val="20"/>
          <w:lang w:val="hr-HR"/>
        </w:rPr>
        <w:t>6</w:t>
      </w:r>
      <w:r w:rsidRPr="00961E03">
        <w:rPr>
          <w:rFonts w:cs="Arial"/>
          <w:bCs w:val="0"/>
          <w:sz w:val="20"/>
          <w:lang w:val="hr-HR"/>
        </w:rPr>
        <w:t xml:space="preserve">. </w:t>
      </w:r>
      <w:r w:rsidRPr="00961E03">
        <w:rPr>
          <w:rFonts w:cs="Arial"/>
          <w:bCs w:val="0"/>
          <w:sz w:val="20"/>
          <w:lang w:val="hr-HR"/>
        </w:rPr>
        <w:tab/>
        <w:t>Događaji nakon datuma izvještajnog razdoblja</w:t>
      </w:r>
      <w:r>
        <w:rPr>
          <w:rFonts w:cs="Arial"/>
          <w:bCs w:val="0"/>
          <w:sz w:val="20"/>
          <w:lang w:val="hr-HR"/>
        </w:rPr>
        <w:t xml:space="preserve"> (nastavak)</w:t>
      </w:r>
    </w:p>
    <w:p w14:paraId="1863A03D" w14:textId="77777777" w:rsidR="004E2F51" w:rsidRPr="0002282A" w:rsidRDefault="004E2F51" w:rsidP="004E2F51">
      <w:pPr>
        <w:rPr>
          <w:lang w:val="hr-HR"/>
        </w:rPr>
      </w:pPr>
    </w:p>
    <w:p w14:paraId="4106F550" w14:textId="77777777" w:rsidR="004E2F51" w:rsidRPr="00AE7568" w:rsidRDefault="004E2F51" w:rsidP="004E2F51">
      <w:pPr>
        <w:tabs>
          <w:tab w:val="left" w:pos="567"/>
        </w:tabs>
        <w:jc w:val="both"/>
        <w:rPr>
          <w:rFonts w:ascii="Arial" w:hAnsi="Arial" w:cs="Arial"/>
          <w:b/>
          <w:sz w:val="20"/>
          <w:szCs w:val="20"/>
          <w:lang w:val="hr-HR"/>
        </w:rPr>
      </w:pPr>
      <w:r w:rsidRPr="00AE7568">
        <w:rPr>
          <w:rFonts w:ascii="Arial" w:hAnsi="Arial" w:cs="Arial"/>
          <w:b/>
          <w:sz w:val="20"/>
          <w:szCs w:val="20"/>
          <w:lang w:val="hr-HR"/>
        </w:rPr>
        <w:t>36.2. Nadzorni i Revizijski odbor HKO-a</w:t>
      </w:r>
      <w:r>
        <w:rPr>
          <w:rFonts w:ascii="Arial" w:hAnsi="Arial" w:cs="Arial"/>
          <w:b/>
          <w:sz w:val="20"/>
          <w:szCs w:val="20"/>
          <w:lang w:val="hr-HR"/>
        </w:rPr>
        <w:t xml:space="preserve"> (nastavak)</w:t>
      </w:r>
    </w:p>
    <w:p w14:paraId="42FDDDE5" w14:textId="77777777" w:rsidR="004E2F51" w:rsidRPr="0002282A" w:rsidRDefault="004E2F51" w:rsidP="004E2F51">
      <w:pPr>
        <w:rPr>
          <w:lang w:val="it-IT"/>
        </w:rPr>
      </w:pPr>
    </w:p>
    <w:p w14:paraId="2036803F" w14:textId="77777777" w:rsidR="004E2F51" w:rsidRDefault="004E2F51" w:rsidP="004E2F51">
      <w:pPr>
        <w:jc w:val="both"/>
        <w:rPr>
          <w:rFonts w:ascii="Arial" w:hAnsi="Arial" w:cs="Arial"/>
          <w:color w:val="000000"/>
          <w:sz w:val="20"/>
          <w:szCs w:val="20"/>
          <w:lang w:val="hr-HR" w:eastAsia="hr-HR"/>
        </w:rPr>
      </w:pPr>
      <w:r w:rsidRPr="00F13BA4">
        <w:rPr>
          <w:rFonts w:ascii="Arial" w:hAnsi="Arial" w:cs="Arial"/>
          <w:color w:val="000000"/>
          <w:sz w:val="20"/>
          <w:szCs w:val="20"/>
          <w:lang w:val="hr-HR" w:eastAsia="hr-HR"/>
        </w:rPr>
        <w:t xml:space="preserve">Sukladno navedenome, s danom </w:t>
      </w:r>
      <w:r>
        <w:rPr>
          <w:rFonts w:ascii="Arial" w:hAnsi="Arial" w:cs="Arial"/>
          <w:color w:val="000000"/>
          <w:sz w:val="20"/>
          <w:szCs w:val="20"/>
          <w:lang w:val="hr-HR" w:eastAsia="hr-HR"/>
        </w:rPr>
        <w:t>2. ožujka</w:t>
      </w:r>
      <w:r w:rsidRPr="00F13BA4">
        <w:rPr>
          <w:rFonts w:ascii="Arial" w:hAnsi="Arial" w:cs="Arial"/>
          <w:color w:val="000000"/>
          <w:sz w:val="20"/>
          <w:szCs w:val="20"/>
          <w:lang w:val="hr-HR" w:eastAsia="hr-HR"/>
        </w:rPr>
        <w:t xml:space="preserve"> 2023. godine Nadzorni odbor H</w:t>
      </w:r>
      <w:r>
        <w:rPr>
          <w:rFonts w:ascii="Arial" w:hAnsi="Arial" w:cs="Arial"/>
          <w:color w:val="000000"/>
          <w:sz w:val="20"/>
          <w:szCs w:val="20"/>
          <w:lang w:val="hr-HR" w:eastAsia="hr-HR"/>
        </w:rPr>
        <w:t>KO</w:t>
      </w:r>
      <w:r w:rsidRPr="00F13BA4">
        <w:rPr>
          <w:rFonts w:ascii="Arial" w:hAnsi="Arial" w:cs="Arial"/>
          <w:color w:val="000000"/>
          <w:sz w:val="20"/>
          <w:szCs w:val="20"/>
          <w:lang w:val="hr-HR" w:eastAsia="hr-HR"/>
        </w:rPr>
        <w:t>-a djeluje u sljedećem sastavu:</w:t>
      </w:r>
    </w:p>
    <w:p w14:paraId="65E2B37F" w14:textId="77777777" w:rsidR="004E2F51" w:rsidRPr="008E7C1E" w:rsidRDefault="004E2F51" w:rsidP="004E2F51">
      <w:pPr>
        <w:ind w:left="567"/>
        <w:jc w:val="both"/>
        <w:rPr>
          <w:rFonts w:ascii="Arial" w:hAnsi="Arial" w:cs="Arial"/>
          <w:sz w:val="20"/>
          <w:szCs w:val="20"/>
          <w:lang w:val="hr-HR"/>
        </w:rPr>
      </w:pPr>
      <w:r w:rsidRPr="008E7C1E">
        <w:rPr>
          <w:rFonts w:ascii="Arial" w:hAnsi="Arial" w:cs="Arial"/>
          <w:color w:val="000000"/>
          <w:sz w:val="20"/>
          <w:szCs w:val="20"/>
          <w:lang w:val="hr-HR" w:eastAsia="hr-HR"/>
        </w:rPr>
        <w:t>-</w:t>
      </w:r>
      <w:r w:rsidRPr="008E7C1E">
        <w:rPr>
          <w:rFonts w:ascii="Arial" w:hAnsi="Arial" w:cs="Arial"/>
          <w:sz w:val="20"/>
          <w:szCs w:val="20"/>
          <w:lang w:val="hr-HR"/>
        </w:rPr>
        <w:t xml:space="preserve"> Ante Artuković, predsjednik N</w:t>
      </w:r>
      <w:r>
        <w:rPr>
          <w:rFonts w:ascii="Arial" w:hAnsi="Arial" w:cs="Arial"/>
          <w:sz w:val="20"/>
          <w:szCs w:val="20"/>
          <w:lang w:val="hr-HR"/>
        </w:rPr>
        <w:t>adzornog odbora</w:t>
      </w:r>
      <w:r w:rsidRPr="008E7C1E">
        <w:rPr>
          <w:rFonts w:ascii="Arial" w:hAnsi="Arial" w:cs="Arial"/>
          <w:sz w:val="20"/>
          <w:szCs w:val="20"/>
          <w:lang w:val="hr-HR"/>
        </w:rPr>
        <w:t>,</w:t>
      </w:r>
    </w:p>
    <w:p w14:paraId="450CFB55" w14:textId="77777777" w:rsidR="004E2F51" w:rsidRPr="008E7C1E" w:rsidRDefault="004E2F51" w:rsidP="004E2F51">
      <w:pPr>
        <w:ind w:left="567"/>
        <w:jc w:val="both"/>
        <w:rPr>
          <w:rFonts w:ascii="Arial" w:hAnsi="Arial" w:cs="Arial"/>
          <w:sz w:val="20"/>
          <w:szCs w:val="20"/>
          <w:lang w:val="hr-HR"/>
        </w:rPr>
      </w:pPr>
      <w:r w:rsidRPr="008E7C1E">
        <w:rPr>
          <w:rFonts w:ascii="Arial" w:hAnsi="Arial" w:cs="Arial"/>
          <w:sz w:val="20"/>
          <w:szCs w:val="20"/>
          <w:lang w:val="hr-HR"/>
        </w:rPr>
        <w:t>- Andreja Mergeduš, zamjenica predsjednika N</w:t>
      </w:r>
      <w:r>
        <w:rPr>
          <w:rFonts w:ascii="Arial" w:hAnsi="Arial" w:cs="Arial"/>
          <w:sz w:val="20"/>
          <w:szCs w:val="20"/>
          <w:lang w:val="hr-HR"/>
        </w:rPr>
        <w:t>adzornog odbora</w:t>
      </w:r>
      <w:r w:rsidRPr="008E7C1E">
        <w:rPr>
          <w:rFonts w:ascii="Arial" w:hAnsi="Arial" w:cs="Arial"/>
          <w:sz w:val="20"/>
          <w:szCs w:val="20"/>
          <w:lang w:val="hr-HR"/>
        </w:rPr>
        <w:t>,</w:t>
      </w:r>
    </w:p>
    <w:p w14:paraId="1E12D0CF" w14:textId="77777777" w:rsidR="004E2F51" w:rsidRPr="008E7C1E" w:rsidRDefault="004E2F51" w:rsidP="004E2F51">
      <w:pPr>
        <w:ind w:left="567"/>
        <w:jc w:val="both"/>
        <w:rPr>
          <w:rFonts w:ascii="Arial" w:hAnsi="Arial" w:cs="Arial"/>
          <w:sz w:val="20"/>
          <w:szCs w:val="20"/>
          <w:lang w:val="hr-HR"/>
        </w:rPr>
      </w:pPr>
      <w:r w:rsidRPr="008E7C1E">
        <w:rPr>
          <w:rFonts w:ascii="Arial" w:hAnsi="Arial" w:cs="Arial"/>
          <w:sz w:val="20"/>
          <w:szCs w:val="20"/>
          <w:lang w:val="hr-HR"/>
        </w:rPr>
        <w:t>- Marija Jerkić, članica N</w:t>
      </w:r>
      <w:r>
        <w:rPr>
          <w:rFonts w:ascii="Arial" w:hAnsi="Arial" w:cs="Arial"/>
          <w:sz w:val="20"/>
          <w:szCs w:val="20"/>
          <w:lang w:val="hr-HR"/>
        </w:rPr>
        <w:t>adzornog odbora</w:t>
      </w:r>
      <w:r w:rsidRPr="008E7C1E">
        <w:rPr>
          <w:rFonts w:ascii="Arial" w:hAnsi="Arial" w:cs="Arial"/>
          <w:sz w:val="20"/>
          <w:szCs w:val="20"/>
          <w:lang w:val="hr-HR"/>
        </w:rPr>
        <w:t>,</w:t>
      </w:r>
    </w:p>
    <w:p w14:paraId="52E16260" w14:textId="77777777" w:rsidR="004E2F51" w:rsidRPr="008E7C1E" w:rsidRDefault="004E2F51" w:rsidP="004E2F51">
      <w:pPr>
        <w:ind w:left="567"/>
        <w:jc w:val="both"/>
        <w:rPr>
          <w:rFonts w:ascii="Arial" w:hAnsi="Arial" w:cs="Arial"/>
          <w:sz w:val="20"/>
          <w:szCs w:val="20"/>
          <w:lang w:val="hr-HR"/>
        </w:rPr>
      </w:pPr>
      <w:r w:rsidRPr="008E7C1E">
        <w:rPr>
          <w:rFonts w:ascii="Arial" w:hAnsi="Arial" w:cs="Arial"/>
          <w:sz w:val="20"/>
          <w:szCs w:val="20"/>
          <w:lang w:val="hr-HR"/>
        </w:rPr>
        <w:t>- Gordan Kuvek, član N</w:t>
      </w:r>
      <w:r>
        <w:rPr>
          <w:rFonts w:ascii="Arial" w:hAnsi="Arial" w:cs="Arial"/>
          <w:sz w:val="20"/>
          <w:szCs w:val="20"/>
          <w:lang w:val="hr-HR"/>
        </w:rPr>
        <w:t>adzornog odbora</w:t>
      </w:r>
      <w:r w:rsidRPr="008E7C1E">
        <w:rPr>
          <w:rFonts w:ascii="Arial" w:hAnsi="Arial" w:cs="Arial"/>
          <w:sz w:val="20"/>
          <w:szCs w:val="20"/>
          <w:lang w:val="hr-HR"/>
        </w:rPr>
        <w:t>,</w:t>
      </w:r>
    </w:p>
    <w:p w14:paraId="2B87DA2A" w14:textId="77777777" w:rsidR="004E2F51" w:rsidRDefault="004E2F51" w:rsidP="004E2F51">
      <w:pPr>
        <w:ind w:left="567"/>
        <w:jc w:val="both"/>
        <w:rPr>
          <w:rFonts w:ascii="Arial" w:hAnsi="Arial" w:cs="Arial"/>
          <w:sz w:val="20"/>
          <w:szCs w:val="20"/>
          <w:lang w:val="hr-HR"/>
        </w:rPr>
      </w:pPr>
      <w:r w:rsidRPr="008E7C1E">
        <w:rPr>
          <w:rFonts w:ascii="Arial" w:hAnsi="Arial" w:cs="Arial"/>
          <w:sz w:val="20"/>
          <w:szCs w:val="20"/>
          <w:lang w:val="hr-HR"/>
        </w:rPr>
        <w:t>- Marin Pranjić, član N</w:t>
      </w:r>
      <w:r>
        <w:rPr>
          <w:rFonts w:ascii="Arial" w:hAnsi="Arial" w:cs="Arial"/>
          <w:sz w:val="20"/>
          <w:szCs w:val="20"/>
          <w:lang w:val="hr-HR"/>
        </w:rPr>
        <w:t>adzornog odbora.</w:t>
      </w:r>
    </w:p>
    <w:p w14:paraId="15C93635" w14:textId="77777777" w:rsidR="004E2F51" w:rsidRDefault="004E2F51" w:rsidP="004E2F51">
      <w:pPr>
        <w:jc w:val="both"/>
        <w:rPr>
          <w:rFonts w:ascii="Arial" w:hAnsi="Arial" w:cs="Arial"/>
          <w:sz w:val="20"/>
          <w:szCs w:val="20"/>
          <w:lang w:val="hr-HR"/>
        </w:rPr>
      </w:pPr>
    </w:p>
    <w:p w14:paraId="63314487" w14:textId="77777777" w:rsidR="004E2F51" w:rsidRDefault="004E2F51" w:rsidP="004E2F51">
      <w:pPr>
        <w:jc w:val="both"/>
        <w:rPr>
          <w:rFonts w:ascii="Arial" w:hAnsi="Arial" w:cs="Arial"/>
          <w:i/>
          <w:iCs/>
          <w:sz w:val="20"/>
          <w:szCs w:val="20"/>
          <w:lang w:val="hr-HR"/>
        </w:rPr>
      </w:pPr>
      <w:r w:rsidRPr="008E7C1E">
        <w:rPr>
          <w:rFonts w:ascii="Arial" w:hAnsi="Arial" w:cs="Arial"/>
          <w:i/>
          <w:iCs/>
          <w:sz w:val="20"/>
          <w:szCs w:val="20"/>
          <w:lang w:val="hr-HR"/>
        </w:rPr>
        <w:t>Revizijski odbor</w:t>
      </w:r>
    </w:p>
    <w:p w14:paraId="741ECE80" w14:textId="77777777" w:rsidR="004E2F51" w:rsidRPr="004E33B3" w:rsidRDefault="004E2F51" w:rsidP="004E2F51">
      <w:pPr>
        <w:jc w:val="both"/>
        <w:rPr>
          <w:rFonts w:ascii="Arial" w:eastAsia="PMingLiU" w:hAnsi="Arial" w:cs="Arial"/>
          <w:sz w:val="20"/>
          <w:szCs w:val="20"/>
          <w:lang w:val="hr-HR"/>
        </w:rPr>
      </w:pPr>
      <w:r w:rsidRPr="004E33B3">
        <w:rPr>
          <w:rFonts w:ascii="Arial" w:eastAsia="PMingLiU" w:hAnsi="Arial" w:cs="Arial"/>
          <w:sz w:val="20"/>
          <w:szCs w:val="20"/>
          <w:lang w:val="hr-HR"/>
        </w:rPr>
        <w:t>Revizijski odbor HKO-a j</w:t>
      </w:r>
      <w:r>
        <w:rPr>
          <w:rFonts w:ascii="Arial" w:eastAsia="PMingLiU" w:hAnsi="Arial" w:cs="Arial"/>
          <w:sz w:val="20"/>
          <w:szCs w:val="20"/>
          <w:lang w:val="hr-HR"/>
        </w:rPr>
        <w:t>e u 2022. godini</w:t>
      </w:r>
      <w:r w:rsidRPr="004E33B3">
        <w:rPr>
          <w:rFonts w:ascii="Arial" w:eastAsia="PMingLiU" w:hAnsi="Arial" w:cs="Arial"/>
          <w:sz w:val="20"/>
          <w:szCs w:val="20"/>
          <w:lang w:val="hr-HR"/>
        </w:rPr>
        <w:t xml:space="preserve"> djelovao u sljedećem sastavu:</w:t>
      </w:r>
    </w:p>
    <w:p w14:paraId="5CE4EE13" w14:textId="77777777" w:rsidR="004E2F51" w:rsidRPr="004E33B3" w:rsidRDefault="004E2F51" w:rsidP="004E2F51">
      <w:pPr>
        <w:numPr>
          <w:ilvl w:val="0"/>
          <w:numId w:val="20"/>
        </w:numPr>
        <w:tabs>
          <w:tab w:val="left" w:pos="3836"/>
        </w:tabs>
        <w:ind w:left="567" w:hanging="284"/>
        <w:jc w:val="both"/>
        <w:rPr>
          <w:rFonts w:ascii="Arial" w:eastAsia="SimSun" w:hAnsi="Arial" w:cs="Arial"/>
          <w:sz w:val="20"/>
          <w:szCs w:val="20"/>
          <w:lang w:val="hr-HR"/>
        </w:rPr>
      </w:pPr>
      <w:r w:rsidRPr="004E33B3">
        <w:rPr>
          <w:rFonts w:ascii="Arial" w:eastAsia="SimSun" w:hAnsi="Arial" w:cs="Arial"/>
          <w:sz w:val="20"/>
          <w:szCs w:val="20"/>
          <w:lang w:val="hr-HR"/>
        </w:rPr>
        <w:t>Ante Artuković, predsjednik Revizijskog odbora,</w:t>
      </w:r>
    </w:p>
    <w:p w14:paraId="558E2631" w14:textId="77777777" w:rsidR="004E2F51" w:rsidRPr="004E33B3" w:rsidRDefault="004E2F51" w:rsidP="004E2F51">
      <w:pPr>
        <w:numPr>
          <w:ilvl w:val="0"/>
          <w:numId w:val="20"/>
        </w:numPr>
        <w:tabs>
          <w:tab w:val="left" w:pos="3836"/>
        </w:tabs>
        <w:ind w:left="567" w:hanging="284"/>
        <w:jc w:val="both"/>
        <w:rPr>
          <w:rFonts w:ascii="Arial" w:eastAsia="SimSun" w:hAnsi="Arial" w:cs="Arial"/>
          <w:sz w:val="20"/>
          <w:szCs w:val="20"/>
          <w:lang w:val="hr-HR"/>
        </w:rPr>
      </w:pPr>
      <w:r w:rsidRPr="004E33B3">
        <w:rPr>
          <w:rFonts w:ascii="Arial" w:eastAsia="SimSun" w:hAnsi="Arial" w:cs="Arial"/>
          <w:sz w:val="20"/>
          <w:szCs w:val="20"/>
          <w:lang w:val="hr-HR"/>
        </w:rPr>
        <w:t>Vedran Jakšić, zamjenik predsjednika Revizijskog odbora</w:t>
      </w:r>
      <w:r>
        <w:rPr>
          <w:rFonts w:ascii="Arial" w:eastAsia="SimSun" w:hAnsi="Arial" w:cs="Arial"/>
          <w:sz w:val="20"/>
          <w:szCs w:val="20"/>
          <w:lang w:val="hr-HR"/>
        </w:rPr>
        <w:t xml:space="preserve"> (</w:t>
      </w:r>
      <w:r w:rsidRPr="004E33B3">
        <w:rPr>
          <w:rFonts w:ascii="Arial" w:eastAsia="SimSun" w:hAnsi="Arial" w:cs="Arial"/>
          <w:sz w:val="20"/>
          <w:szCs w:val="20"/>
          <w:lang w:val="hr-HR"/>
        </w:rPr>
        <w:t>do 19. prosinca 2022.</w:t>
      </w:r>
      <w:r>
        <w:rPr>
          <w:rFonts w:ascii="Arial" w:eastAsia="SimSun" w:hAnsi="Arial" w:cs="Arial"/>
          <w:sz w:val="20"/>
          <w:szCs w:val="20"/>
          <w:lang w:val="hr-HR"/>
        </w:rPr>
        <w:t>),</w:t>
      </w:r>
    </w:p>
    <w:p w14:paraId="495C1718" w14:textId="77777777" w:rsidR="004E2F51" w:rsidRPr="004E33B3" w:rsidRDefault="004E2F51" w:rsidP="004E2F51">
      <w:pPr>
        <w:numPr>
          <w:ilvl w:val="0"/>
          <w:numId w:val="20"/>
        </w:numPr>
        <w:tabs>
          <w:tab w:val="left" w:pos="3836"/>
        </w:tabs>
        <w:ind w:left="567" w:hanging="284"/>
        <w:jc w:val="both"/>
        <w:rPr>
          <w:rFonts w:ascii="Arial" w:eastAsia="SimSun" w:hAnsi="Arial" w:cs="Arial"/>
          <w:sz w:val="20"/>
          <w:szCs w:val="20"/>
          <w:lang w:val="hr-HR"/>
        </w:rPr>
      </w:pPr>
      <w:r w:rsidRPr="004E33B3">
        <w:rPr>
          <w:rFonts w:ascii="Arial" w:eastAsia="SimSun" w:hAnsi="Arial" w:cs="Arial"/>
          <w:sz w:val="20"/>
          <w:szCs w:val="20"/>
          <w:lang w:val="hr-HR"/>
        </w:rPr>
        <w:t>Andreja Mergeduš, zamjenica predsjednika Revizijskog odbora</w:t>
      </w:r>
      <w:r>
        <w:rPr>
          <w:rFonts w:ascii="Arial" w:eastAsia="SimSun" w:hAnsi="Arial" w:cs="Arial"/>
          <w:sz w:val="20"/>
          <w:szCs w:val="20"/>
          <w:lang w:val="hr-HR"/>
        </w:rPr>
        <w:t xml:space="preserve"> (</w:t>
      </w:r>
      <w:r w:rsidRPr="004E33B3">
        <w:rPr>
          <w:rFonts w:ascii="Arial" w:eastAsia="SimSun" w:hAnsi="Arial" w:cs="Arial"/>
          <w:sz w:val="20"/>
          <w:szCs w:val="20"/>
          <w:lang w:val="hr-HR"/>
        </w:rPr>
        <w:t>od 19. prosinca 2022.</w:t>
      </w:r>
      <w:r>
        <w:rPr>
          <w:rFonts w:ascii="Arial" w:eastAsia="SimSun" w:hAnsi="Arial" w:cs="Arial"/>
          <w:sz w:val="20"/>
          <w:szCs w:val="20"/>
          <w:lang w:val="hr-HR"/>
        </w:rPr>
        <w:t>),</w:t>
      </w:r>
    </w:p>
    <w:p w14:paraId="6CEEBFC5" w14:textId="77777777" w:rsidR="004E2F51" w:rsidRPr="004E33B3" w:rsidRDefault="004E2F51" w:rsidP="004E2F51">
      <w:pPr>
        <w:numPr>
          <w:ilvl w:val="0"/>
          <w:numId w:val="20"/>
        </w:numPr>
        <w:tabs>
          <w:tab w:val="left" w:pos="3836"/>
        </w:tabs>
        <w:ind w:left="567" w:hanging="284"/>
        <w:jc w:val="both"/>
        <w:rPr>
          <w:rFonts w:ascii="Arial" w:eastAsia="SimSun" w:hAnsi="Arial" w:cs="Arial"/>
          <w:sz w:val="20"/>
          <w:szCs w:val="20"/>
          <w:lang w:val="hr-HR"/>
        </w:rPr>
      </w:pPr>
      <w:r w:rsidRPr="004E33B3">
        <w:rPr>
          <w:rFonts w:ascii="Arial" w:eastAsia="SimSun" w:hAnsi="Arial" w:cs="Arial"/>
          <w:sz w:val="20"/>
          <w:szCs w:val="20"/>
          <w:lang w:val="hr-HR"/>
        </w:rPr>
        <w:t>Andreja Svečnjak, članica Revizijskog odbora.</w:t>
      </w:r>
    </w:p>
    <w:p w14:paraId="1E3FD06B" w14:textId="77777777" w:rsidR="004E2F51" w:rsidRDefault="004E2F51" w:rsidP="004E2F51">
      <w:pPr>
        <w:ind w:left="567"/>
        <w:jc w:val="both"/>
        <w:rPr>
          <w:rFonts w:ascii="Arial" w:hAnsi="Arial" w:cs="Arial"/>
          <w:color w:val="000000" w:themeColor="text1"/>
          <w:sz w:val="20"/>
          <w:szCs w:val="20"/>
          <w:lang w:val="hr-HR"/>
        </w:rPr>
      </w:pPr>
    </w:p>
    <w:p w14:paraId="112B696C" w14:textId="77777777" w:rsidR="004E2F51" w:rsidRDefault="004E2F51" w:rsidP="004E2F51">
      <w:pPr>
        <w:jc w:val="both"/>
        <w:rPr>
          <w:rFonts w:ascii="Arial" w:hAnsi="Arial" w:cs="Arial"/>
          <w:i/>
          <w:iCs/>
          <w:sz w:val="20"/>
          <w:szCs w:val="20"/>
          <w:lang w:val="hr-HR"/>
        </w:rPr>
      </w:pPr>
      <w:r>
        <w:rPr>
          <w:rFonts w:ascii="Arial" w:hAnsi="Arial" w:cs="Arial"/>
          <w:color w:val="000000" w:themeColor="text1"/>
          <w:sz w:val="20"/>
          <w:szCs w:val="20"/>
          <w:lang w:val="hr-HR"/>
        </w:rPr>
        <w:t>Odlukom Nadzornog odbora HKO-a sa sjednice održane 2. ožujka 2023. godine, za predsjednika Revizijskog odbora HKO-a izabran je Marin Pranjić, direktor Sektora računovodstva Hrvatske banke za obnovu i razvitak, a za zamjenika predsjednika Revizijskog odbora Ante Artuković, direktor Sektora analiza Hrvatske banke za obnovu i razvitak.</w:t>
      </w:r>
    </w:p>
    <w:p w14:paraId="497811D3" w14:textId="77777777" w:rsidR="004E2F51" w:rsidRDefault="004E2F51" w:rsidP="004E2F51">
      <w:pPr>
        <w:jc w:val="both"/>
        <w:rPr>
          <w:rFonts w:ascii="Arial" w:hAnsi="Arial" w:cs="Arial"/>
          <w:color w:val="000000"/>
          <w:sz w:val="20"/>
          <w:szCs w:val="20"/>
          <w:lang w:val="hr-HR" w:eastAsia="hr-HR"/>
        </w:rPr>
      </w:pPr>
    </w:p>
    <w:p w14:paraId="1E50B155" w14:textId="77777777" w:rsidR="004E2F51" w:rsidRDefault="004E2F51" w:rsidP="004E2F51">
      <w:pPr>
        <w:jc w:val="both"/>
        <w:rPr>
          <w:rFonts w:ascii="Arial" w:hAnsi="Arial" w:cs="Arial"/>
          <w:color w:val="000000"/>
          <w:sz w:val="20"/>
          <w:szCs w:val="20"/>
          <w:lang w:val="hr-HR" w:eastAsia="hr-HR"/>
        </w:rPr>
      </w:pPr>
      <w:r w:rsidRPr="00F13BA4">
        <w:rPr>
          <w:rFonts w:ascii="Arial" w:hAnsi="Arial" w:cs="Arial"/>
          <w:color w:val="000000"/>
          <w:sz w:val="20"/>
          <w:szCs w:val="20"/>
          <w:lang w:val="hr-HR" w:eastAsia="hr-HR"/>
        </w:rPr>
        <w:t xml:space="preserve">Sukladno navedenome, s danom </w:t>
      </w:r>
      <w:r>
        <w:rPr>
          <w:rFonts w:ascii="Arial" w:hAnsi="Arial" w:cs="Arial"/>
          <w:color w:val="000000"/>
          <w:sz w:val="20"/>
          <w:szCs w:val="20"/>
          <w:lang w:val="hr-HR" w:eastAsia="hr-HR"/>
        </w:rPr>
        <w:t>2. ožujka</w:t>
      </w:r>
      <w:r w:rsidRPr="00F13BA4">
        <w:rPr>
          <w:rFonts w:ascii="Arial" w:hAnsi="Arial" w:cs="Arial"/>
          <w:color w:val="000000"/>
          <w:sz w:val="20"/>
          <w:szCs w:val="20"/>
          <w:lang w:val="hr-HR" w:eastAsia="hr-HR"/>
        </w:rPr>
        <w:t xml:space="preserve"> 2023. godine </w:t>
      </w:r>
      <w:r>
        <w:rPr>
          <w:rFonts w:ascii="Arial" w:hAnsi="Arial" w:cs="Arial"/>
          <w:color w:val="000000"/>
          <w:sz w:val="20"/>
          <w:szCs w:val="20"/>
          <w:lang w:val="hr-HR" w:eastAsia="hr-HR"/>
        </w:rPr>
        <w:t>Revizijski</w:t>
      </w:r>
      <w:r w:rsidRPr="00F13BA4">
        <w:rPr>
          <w:rFonts w:ascii="Arial" w:hAnsi="Arial" w:cs="Arial"/>
          <w:color w:val="000000"/>
          <w:sz w:val="20"/>
          <w:szCs w:val="20"/>
          <w:lang w:val="hr-HR" w:eastAsia="hr-HR"/>
        </w:rPr>
        <w:t xml:space="preserve"> odbor H</w:t>
      </w:r>
      <w:r>
        <w:rPr>
          <w:rFonts w:ascii="Arial" w:hAnsi="Arial" w:cs="Arial"/>
          <w:color w:val="000000"/>
          <w:sz w:val="20"/>
          <w:szCs w:val="20"/>
          <w:lang w:val="hr-HR" w:eastAsia="hr-HR"/>
        </w:rPr>
        <w:t>KO</w:t>
      </w:r>
      <w:r w:rsidRPr="00F13BA4">
        <w:rPr>
          <w:rFonts w:ascii="Arial" w:hAnsi="Arial" w:cs="Arial"/>
          <w:color w:val="000000"/>
          <w:sz w:val="20"/>
          <w:szCs w:val="20"/>
          <w:lang w:val="hr-HR" w:eastAsia="hr-HR"/>
        </w:rPr>
        <w:t>-a djeluje u sljedećem sastavu:</w:t>
      </w:r>
    </w:p>
    <w:p w14:paraId="18AFD004" w14:textId="77777777" w:rsidR="004E2F51" w:rsidRDefault="004E2F51" w:rsidP="004E2F51">
      <w:pPr>
        <w:jc w:val="both"/>
        <w:rPr>
          <w:rFonts w:ascii="Arial" w:hAnsi="Arial" w:cs="Arial"/>
          <w:i/>
          <w:iCs/>
          <w:sz w:val="20"/>
          <w:szCs w:val="20"/>
          <w:lang w:val="hr-HR"/>
        </w:rPr>
      </w:pPr>
    </w:p>
    <w:p w14:paraId="2BCBDD88" w14:textId="77777777" w:rsidR="004E2F51" w:rsidRPr="004E33B3" w:rsidRDefault="004E2F51" w:rsidP="004E2F51">
      <w:pPr>
        <w:ind w:left="1134" w:hanging="567"/>
        <w:jc w:val="both"/>
        <w:rPr>
          <w:rFonts w:ascii="Arial" w:hAnsi="Arial" w:cs="Arial"/>
          <w:sz w:val="20"/>
          <w:szCs w:val="20"/>
          <w:lang w:val="hr-HR"/>
        </w:rPr>
      </w:pPr>
      <w:r w:rsidRPr="004E33B3">
        <w:rPr>
          <w:rFonts w:ascii="Arial" w:hAnsi="Arial" w:cs="Arial"/>
          <w:sz w:val="20"/>
          <w:szCs w:val="20"/>
          <w:lang w:val="hr-HR"/>
        </w:rPr>
        <w:t>- Marin Pranjić, predsjednik R</w:t>
      </w:r>
      <w:r>
        <w:rPr>
          <w:rFonts w:ascii="Arial" w:hAnsi="Arial" w:cs="Arial"/>
          <w:sz w:val="20"/>
          <w:szCs w:val="20"/>
          <w:lang w:val="hr-HR"/>
        </w:rPr>
        <w:t>evizijskog odbora</w:t>
      </w:r>
      <w:r w:rsidRPr="004E33B3">
        <w:rPr>
          <w:rFonts w:ascii="Arial" w:hAnsi="Arial" w:cs="Arial"/>
          <w:sz w:val="20"/>
          <w:szCs w:val="20"/>
          <w:lang w:val="hr-HR"/>
        </w:rPr>
        <w:t>,</w:t>
      </w:r>
    </w:p>
    <w:p w14:paraId="46FE6719" w14:textId="77777777" w:rsidR="004E2F51" w:rsidRPr="004E33B3" w:rsidRDefault="004E2F51" w:rsidP="004E2F51">
      <w:pPr>
        <w:ind w:left="1134" w:hanging="567"/>
        <w:jc w:val="both"/>
        <w:rPr>
          <w:rFonts w:ascii="Arial" w:hAnsi="Arial" w:cs="Arial"/>
          <w:sz w:val="20"/>
          <w:szCs w:val="20"/>
          <w:lang w:val="hr-HR"/>
        </w:rPr>
      </w:pPr>
      <w:r w:rsidRPr="004E33B3">
        <w:rPr>
          <w:rFonts w:ascii="Arial" w:hAnsi="Arial" w:cs="Arial"/>
          <w:sz w:val="20"/>
          <w:szCs w:val="20"/>
          <w:lang w:val="hr-HR"/>
        </w:rPr>
        <w:t>- Ante Artuković, zamjenik predsjednika R</w:t>
      </w:r>
      <w:r>
        <w:rPr>
          <w:rFonts w:ascii="Arial" w:hAnsi="Arial" w:cs="Arial"/>
          <w:sz w:val="20"/>
          <w:szCs w:val="20"/>
          <w:lang w:val="hr-HR"/>
        </w:rPr>
        <w:t>evizijskog odbora</w:t>
      </w:r>
      <w:r w:rsidRPr="004E33B3">
        <w:rPr>
          <w:rFonts w:ascii="Arial" w:hAnsi="Arial" w:cs="Arial"/>
          <w:sz w:val="20"/>
          <w:szCs w:val="20"/>
          <w:lang w:val="hr-HR"/>
        </w:rPr>
        <w:t>,</w:t>
      </w:r>
    </w:p>
    <w:p w14:paraId="28C608DE" w14:textId="77777777" w:rsidR="004E2F51" w:rsidRPr="004E33B3" w:rsidRDefault="004E2F51" w:rsidP="004E2F51">
      <w:pPr>
        <w:ind w:left="1134" w:hanging="567"/>
        <w:jc w:val="both"/>
        <w:rPr>
          <w:rFonts w:ascii="Arial" w:hAnsi="Arial" w:cs="Arial"/>
          <w:sz w:val="20"/>
          <w:szCs w:val="20"/>
          <w:lang w:val="hr-HR"/>
        </w:rPr>
      </w:pPr>
      <w:r w:rsidRPr="004E33B3">
        <w:rPr>
          <w:rFonts w:ascii="Arial" w:hAnsi="Arial" w:cs="Arial"/>
          <w:sz w:val="20"/>
          <w:szCs w:val="20"/>
          <w:lang w:val="hr-HR"/>
        </w:rPr>
        <w:t>- Andreja Svečnjak, članica R</w:t>
      </w:r>
      <w:r>
        <w:rPr>
          <w:rFonts w:ascii="Arial" w:hAnsi="Arial" w:cs="Arial"/>
          <w:sz w:val="20"/>
          <w:szCs w:val="20"/>
          <w:lang w:val="hr-HR"/>
        </w:rPr>
        <w:t>evizijskog odbora.</w:t>
      </w:r>
    </w:p>
    <w:p w14:paraId="504EFDDF" w14:textId="77777777" w:rsidR="004E2F51" w:rsidRPr="00961E03" w:rsidRDefault="004E2F51" w:rsidP="004E2F51">
      <w:pPr>
        <w:pStyle w:val="T1"/>
        <w:keepNext w:val="0"/>
        <w:spacing w:before="0" w:after="0" w:line="240" w:lineRule="auto"/>
        <w:rPr>
          <w:rFonts w:cs="Arial"/>
          <w:b w:val="0"/>
          <w:color w:val="000000" w:themeColor="text1"/>
          <w:sz w:val="20"/>
          <w:lang w:val="hr-HR"/>
        </w:rPr>
      </w:pPr>
    </w:p>
    <w:p w14:paraId="016E29F5" w14:textId="77777777" w:rsidR="004E2F51" w:rsidRPr="00961E03" w:rsidRDefault="004E2F51" w:rsidP="004E2F51">
      <w:pPr>
        <w:pStyle w:val="T1"/>
        <w:keepNext w:val="0"/>
        <w:spacing w:before="0" w:after="0" w:line="240" w:lineRule="auto"/>
        <w:rPr>
          <w:rFonts w:cs="Arial"/>
          <w:b w:val="0"/>
          <w:color w:val="000000" w:themeColor="text1"/>
          <w:sz w:val="20"/>
          <w:lang w:val="hr-HR"/>
        </w:rPr>
      </w:pPr>
      <w:r w:rsidRPr="00961E03">
        <w:rPr>
          <w:rFonts w:cs="Arial"/>
          <w:b w:val="0"/>
          <w:color w:val="000000" w:themeColor="text1"/>
          <w:sz w:val="20"/>
          <w:lang w:val="hr-HR"/>
        </w:rPr>
        <w:t xml:space="preserve"> </w:t>
      </w:r>
    </w:p>
    <w:bookmarkEnd w:id="2084"/>
    <w:p w14:paraId="7A4C5C97" w14:textId="77777777" w:rsidR="004E2F51" w:rsidRDefault="004E2F51" w:rsidP="004E2F51">
      <w:pPr>
        <w:rPr>
          <w:rFonts w:ascii="Arial" w:hAnsi="Arial" w:cs="Arial"/>
          <w:color w:val="000000" w:themeColor="text1"/>
          <w:sz w:val="22"/>
          <w:szCs w:val="22"/>
          <w:lang w:val="hr-HR"/>
        </w:rPr>
      </w:pPr>
    </w:p>
    <w:p w14:paraId="5E88FCB9" w14:textId="77777777" w:rsidR="004E2F51" w:rsidRDefault="004E2F51" w:rsidP="004E2F51">
      <w:pPr>
        <w:rPr>
          <w:rFonts w:ascii="Arial" w:hAnsi="Arial" w:cs="Arial"/>
          <w:b/>
          <w:bCs/>
          <w:color w:val="000000" w:themeColor="text1"/>
          <w:sz w:val="20"/>
          <w:szCs w:val="20"/>
          <w:lang w:val="hr-HR"/>
        </w:rPr>
      </w:pPr>
      <w:r w:rsidRPr="00AC0716">
        <w:rPr>
          <w:rFonts w:ascii="Arial" w:hAnsi="Arial" w:cs="Arial"/>
          <w:b/>
          <w:bCs/>
          <w:color w:val="000000" w:themeColor="text1"/>
          <w:sz w:val="20"/>
          <w:szCs w:val="20"/>
          <w:lang w:val="hr-HR"/>
        </w:rPr>
        <w:t>36.3. Uvođenje eura</w:t>
      </w:r>
      <w:r>
        <w:rPr>
          <w:rFonts w:ascii="Arial" w:hAnsi="Arial" w:cs="Arial"/>
          <w:b/>
          <w:bCs/>
          <w:color w:val="000000" w:themeColor="text1"/>
          <w:sz w:val="20"/>
          <w:szCs w:val="20"/>
          <w:lang w:val="hr-HR"/>
        </w:rPr>
        <w:t xml:space="preserve"> kao službene valute u Republici Hrvatskoj</w:t>
      </w:r>
    </w:p>
    <w:p w14:paraId="485431EE" w14:textId="77777777" w:rsidR="004E2F51" w:rsidRPr="00AC0716" w:rsidRDefault="004E2F51" w:rsidP="004E2F51">
      <w:pPr>
        <w:rPr>
          <w:rFonts w:ascii="Arial" w:hAnsi="Arial" w:cs="Arial"/>
          <w:color w:val="000000" w:themeColor="text1"/>
          <w:sz w:val="20"/>
          <w:szCs w:val="20"/>
          <w:lang w:val="hr-HR"/>
        </w:rPr>
      </w:pPr>
    </w:p>
    <w:p w14:paraId="610C4070" w14:textId="77777777" w:rsidR="004E2F51" w:rsidRDefault="004E2F51" w:rsidP="004E2F51">
      <w:pPr>
        <w:jc w:val="both"/>
        <w:rPr>
          <w:rFonts w:ascii="Arial" w:eastAsia="SimSun" w:hAnsi="Arial" w:cs="Arial"/>
          <w:spacing w:val="-1"/>
          <w:sz w:val="20"/>
          <w:szCs w:val="20"/>
          <w:lang w:val="hr-HR"/>
        </w:rPr>
      </w:pPr>
      <w:r w:rsidRPr="00AC0716">
        <w:rPr>
          <w:rFonts w:ascii="Arial" w:eastAsia="SimSun" w:hAnsi="Arial" w:cs="Arial"/>
          <w:spacing w:val="-1"/>
          <w:sz w:val="20"/>
          <w:szCs w:val="20"/>
          <w:lang w:val="hr-HR"/>
        </w:rPr>
        <w:t xml:space="preserve">Usporedno s aktivnostima uvođenja eura na nacionalnoj razini, HBOR je početkom 2021. započeo s procjenom utjecaja zamjene kune eurom u svakom aspektu poslovanja radi pokretanja projekta uvođenja eura. Poseban fokus bio je stavljen na analizu svih poslovnih aktivnosti HBOR-a s ciljem pravodobnog usklađenja s Nacionalnim planom zamjene hrvatske kune eurom i Zakonom o uvođenju eura kao službene valute u Republici Hrvatskoj, kao i izmjenama zakonskih i podzakonskih propisa iz domene platnog prometa, poreznog sustava, tržišta kapitala, financijskog sustava i trgovačkog prava. </w:t>
      </w:r>
    </w:p>
    <w:p w14:paraId="2E1105BF" w14:textId="77777777" w:rsidR="004E2F51" w:rsidRDefault="004E2F51" w:rsidP="004E2F51">
      <w:pPr>
        <w:jc w:val="both"/>
        <w:rPr>
          <w:rFonts w:ascii="Arial" w:eastAsia="SimSun" w:hAnsi="Arial" w:cs="Arial"/>
          <w:spacing w:val="-1"/>
          <w:sz w:val="20"/>
          <w:szCs w:val="20"/>
          <w:lang w:val="hr-HR"/>
        </w:rPr>
      </w:pPr>
    </w:p>
    <w:p w14:paraId="5E1629EE" w14:textId="77777777" w:rsidR="004E2F51" w:rsidRPr="00AC0716" w:rsidRDefault="004E2F51" w:rsidP="004E2F51">
      <w:pPr>
        <w:jc w:val="both"/>
        <w:rPr>
          <w:rFonts w:ascii="Arial" w:eastAsia="SimSun" w:hAnsi="Arial" w:cs="Arial"/>
          <w:spacing w:val="-1"/>
          <w:sz w:val="20"/>
          <w:szCs w:val="20"/>
          <w:lang w:val="hr-HR"/>
        </w:rPr>
      </w:pPr>
      <w:r w:rsidRPr="00AC0716">
        <w:rPr>
          <w:rFonts w:ascii="Arial" w:eastAsia="SimSun" w:hAnsi="Arial" w:cs="Arial"/>
          <w:spacing w:val="-1"/>
          <w:sz w:val="20"/>
          <w:szCs w:val="20"/>
          <w:lang w:val="hr-HR"/>
        </w:rPr>
        <w:t>U okviru dvogodišnjeg projekta uvođenja eura, HBOR se pravodobno uskladio s obvezama propisanim Zakonom o uvođenju eura kao službene valute u Republici Hrvatskoj i uspješno završio projekt uvođenja eura u HBOR-u.</w:t>
      </w:r>
    </w:p>
    <w:p w14:paraId="13537C7C" w14:textId="77777777" w:rsidR="004E2F51" w:rsidRPr="00AC0716" w:rsidRDefault="004E2F51" w:rsidP="004E2F51">
      <w:pPr>
        <w:rPr>
          <w:rFonts w:ascii="Arial" w:hAnsi="Arial" w:cs="Arial"/>
          <w:color w:val="000000" w:themeColor="text1"/>
          <w:sz w:val="20"/>
          <w:szCs w:val="20"/>
          <w:lang w:val="hr-HR"/>
        </w:rPr>
      </w:pPr>
    </w:p>
    <w:p w14:paraId="04DB5F8A" w14:textId="77777777" w:rsidR="004E2F51" w:rsidRPr="00AC0716" w:rsidRDefault="004E2F51" w:rsidP="004E2F51">
      <w:pPr>
        <w:rPr>
          <w:rFonts w:ascii="Arial" w:hAnsi="Arial" w:cs="Arial"/>
          <w:color w:val="000000" w:themeColor="text1"/>
          <w:sz w:val="20"/>
          <w:szCs w:val="20"/>
          <w:lang w:val="hr-HR"/>
        </w:rPr>
      </w:pPr>
    </w:p>
    <w:p w14:paraId="6EECF757" w14:textId="77777777" w:rsidR="004E2F51" w:rsidRPr="00AC0716" w:rsidRDefault="004E2F51" w:rsidP="004E2F51">
      <w:pPr>
        <w:rPr>
          <w:rFonts w:ascii="Arial" w:hAnsi="Arial" w:cs="Arial"/>
          <w:color w:val="000000" w:themeColor="text1"/>
          <w:sz w:val="20"/>
          <w:szCs w:val="20"/>
          <w:lang w:val="hr-HR"/>
        </w:rPr>
      </w:pPr>
    </w:p>
    <w:p w14:paraId="13D9A604" w14:textId="77777777" w:rsidR="004E2F51" w:rsidRPr="00AC0716" w:rsidRDefault="004E2F51" w:rsidP="004E2F51">
      <w:pPr>
        <w:rPr>
          <w:rFonts w:ascii="Arial" w:hAnsi="Arial" w:cs="Arial"/>
          <w:color w:val="000000" w:themeColor="text1"/>
          <w:sz w:val="20"/>
          <w:szCs w:val="20"/>
          <w:lang w:val="hr-HR"/>
        </w:rPr>
      </w:pPr>
    </w:p>
    <w:p w14:paraId="1FC2A007" w14:textId="77777777" w:rsidR="004E2F51" w:rsidRPr="00AC0716" w:rsidRDefault="004E2F51" w:rsidP="004E2F51">
      <w:pPr>
        <w:rPr>
          <w:rFonts w:ascii="Arial" w:hAnsi="Arial" w:cs="Arial"/>
          <w:color w:val="000000" w:themeColor="text1"/>
          <w:sz w:val="20"/>
          <w:szCs w:val="20"/>
          <w:lang w:val="hr-HR"/>
        </w:rPr>
        <w:sectPr w:rsidR="004E2F51" w:rsidRPr="00AC0716" w:rsidSect="00623DBA">
          <w:footerReference w:type="default" r:id="rId234"/>
          <w:pgSz w:w="11907" w:h="16840" w:code="9"/>
          <w:pgMar w:top="1418" w:right="1134" w:bottom="1134" w:left="1418" w:header="851" w:footer="851" w:gutter="0"/>
          <w:cols w:space="720"/>
          <w:noEndnote/>
        </w:sectPr>
      </w:pPr>
    </w:p>
    <w:bookmarkEnd w:id="2085"/>
    <w:p w14:paraId="0881E558" w14:textId="77777777" w:rsidR="004E2F51" w:rsidRPr="00B91D09" w:rsidRDefault="004E2F51" w:rsidP="004E2F51">
      <w:pPr>
        <w:rPr>
          <w:rFonts w:ascii="Arial" w:hAnsi="Arial" w:cs="Arial"/>
          <w:b/>
          <w:color w:val="000000" w:themeColor="text1"/>
          <w:sz w:val="22"/>
          <w:szCs w:val="22"/>
          <w:lang w:val="hr-HR"/>
        </w:rPr>
      </w:pPr>
    </w:p>
    <w:tbl>
      <w:tblPr>
        <w:tblpPr w:leftFromText="181" w:rightFromText="181" w:vertAnchor="text" w:horzAnchor="margin" w:tblpXSpec="center" w:tblpY="1"/>
        <w:tblW w:w="9008" w:type="dxa"/>
        <w:tblLayout w:type="fixed"/>
        <w:tblLook w:val="04A0" w:firstRow="1" w:lastRow="0" w:firstColumn="1" w:lastColumn="0" w:noHBand="0" w:noVBand="1"/>
      </w:tblPr>
      <w:tblGrid>
        <w:gridCol w:w="6387"/>
        <w:gridCol w:w="1403"/>
        <w:gridCol w:w="1218"/>
      </w:tblGrid>
      <w:tr w:rsidR="004E2F51" w:rsidRPr="00B91D09" w14:paraId="2539F0FB" w14:textId="77777777" w:rsidTr="00E032FC">
        <w:trPr>
          <w:trHeight w:val="80"/>
        </w:trPr>
        <w:tc>
          <w:tcPr>
            <w:tcW w:w="6387" w:type="dxa"/>
            <w:tcBorders>
              <w:left w:val="nil"/>
              <w:bottom w:val="nil"/>
              <w:right w:val="nil"/>
            </w:tcBorders>
            <w:shd w:val="clear" w:color="auto" w:fill="auto"/>
            <w:vAlign w:val="bottom"/>
          </w:tcPr>
          <w:p w14:paraId="7A48084E" w14:textId="77777777" w:rsidR="004E2F51" w:rsidRPr="00B91D09" w:rsidRDefault="004E2F51" w:rsidP="00E032FC">
            <w:pPr>
              <w:rPr>
                <w:rFonts w:ascii="Arial" w:hAnsi="Arial" w:cs="Arial"/>
                <w:b/>
                <w:bCs/>
                <w:color w:val="000000" w:themeColor="text1"/>
                <w:sz w:val="18"/>
                <w:szCs w:val="18"/>
                <w:lang w:val="hr-HR"/>
              </w:rPr>
            </w:pPr>
          </w:p>
        </w:tc>
        <w:tc>
          <w:tcPr>
            <w:tcW w:w="1403" w:type="dxa"/>
            <w:tcBorders>
              <w:left w:val="nil"/>
              <w:bottom w:val="nil"/>
              <w:right w:val="nil"/>
            </w:tcBorders>
            <w:shd w:val="clear" w:color="auto" w:fill="auto"/>
            <w:noWrap/>
            <w:vAlign w:val="bottom"/>
          </w:tcPr>
          <w:p w14:paraId="3873800A"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2</w:t>
            </w:r>
            <w:r w:rsidRPr="00B91D09">
              <w:rPr>
                <w:rFonts w:ascii="Arial" w:hAnsi="Arial" w:cs="Arial"/>
                <w:b/>
                <w:bCs/>
                <w:color w:val="000000" w:themeColor="text1"/>
                <w:sz w:val="18"/>
                <w:szCs w:val="18"/>
                <w:lang w:val="hr-HR"/>
              </w:rPr>
              <w:t>.</w:t>
            </w:r>
          </w:p>
        </w:tc>
        <w:tc>
          <w:tcPr>
            <w:tcW w:w="1218" w:type="dxa"/>
            <w:tcBorders>
              <w:left w:val="nil"/>
              <w:bottom w:val="nil"/>
              <w:right w:val="nil"/>
            </w:tcBorders>
            <w:vAlign w:val="bottom"/>
          </w:tcPr>
          <w:p w14:paraId="4203C218"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1</w:t>
            </w:r>
            <w:r w:rsidRPr="00B91D09">
              <w:rPr>
                <w:rFonts w:ascii="Arial" w:hAnsi="Arial" w:cs="Arial"/>
                <w:b/>
                <w:bCs/>
                <w:color w:val="000000" w:themeColor="text1"/>
                <w:sz w:val="18"/>
                <w:szCs w:val="18"/>
                <w:lang w:val="hr-HR"/>
              </w:rPr>
              <w:t>.</w:t>
            </w:r>
          </w:p>
        </w:tc>
      </w:tr>
      <w:tr w:rsidR="004E2F51" w:rsidRPr="00B91D09" w14:paraId="1B3D9B38" w14:textId="77777777" w:rsidTr="00E032FC">
        <w:trPr>
          <w:trHeight w:val="64"/>
        </w:trPr>
        <w:tc>
          <w:tcPr>
            <w:tcW w:w="6387" w:type="dxa"/>
            <w:tcBorders>
              <w:left w:val="nil"/>
              <w:bottom w:val="nil"/>
              <w:right w:val="nil"/>
            </w:tcBorders>
            <w:shd w:val="clear" w:color="auto" w:fill="auto"/>
            <w:vAlign w:val="bottom"/>
          </w:tcPr>
          <w:p w14:paraId="3ADE93FE" w14:textId="77777777" w:rsidR="004E2F51" w:rsidRPr="00B91D09" w:rsidRDefault="004E2F51" w:rsidP="00E032FC">
            <w:pPr>
              <w:rPr>
                <w:rFonts w:ascii="Arial" w:hAnsi="Arial" w:cs="Arial"/>
                <w:b/>
                <w:bCs/>
                <w:color w:val="000000" w:themeColor="text1"/>
                <w:sz w:val="18"/>
                <w:szCs w:val="18"/>
                <w:lang w:val="hr-HR"/>
              </w:rPr>
            </w:pPr>
          </w:p>
        </w:tc>
        <w:tc>
          <w:tcPr>
            <w:tcW w:w="1403" w:type="dxa"/>
            <w:tcBorders>
              <w:left w:val="nil"/>
              <w:bottom w:val="nil"/>
              <w:right w:val="nil"/>
            </w:tcBorders>
            <w:shd w:val="clear" w:color="auto" w:fill="auto"/>
            <w:noWrap/>
            <w:vAlign w:val="bottom"/>
          </w:tcPr>
          <w:p w14:paraId="07E043B4"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000 kuna</w:t>
            </w:r>
          </w:p>
        </w:tc>
        <w:tc>
          <w:tcPr>
            <w:tcW w:w="1218" w:type="dxa"/>
            <w:tcBorders>
              <w:left w:val="nil"/>
              <w:bottom w:val="nil"/>
              <w:right w:val="nil"/>
            </w:tcBorders>
            <w:vAlign w:val="bottom"/>
          </w:tcPr>
          <w:p w14:paraId="41920E5B"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000 kuna</w:t>
            </w:r>
          </w:p>
        </w:tc>
      </w:tr>
      <w:tr w:rsidR="004E2F51" w:rsidRPr="00B91D09" w14:paraId="6331286E" w14:textId="77777777" w:rsidTr="00E032FC">
        <w:trPr>
          <w:trHeight w:val="73"/>
        </w:trPr>
        <w:tc>
          <w:tcPr>
            <w:tcW w:w="6387" w:type="dxa"/>
            <w:tcBorders>
              <w:top w:val="nil"/>
              <w:left w:val="nil"/>
              <w:bottom w:val="nil"/>
              <w:right w:val="nil"/>
            </w:tcBorders>
            <w:shd w:val="clear" w:color="auto" w:fill="auto"/>
            <w:vAlign w:val="bottom"/>
          </w:tcPr>
          <w:p w14:paraId="257864E0" w14:textId="77777777" w:rsidR="004E2F51" w:rsidRPr="00B91D09" w:rsidRDefault="004E2F51" w:rsidP="00E032F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Zarađene premije</w:t>
            </w:r>
          </w:p>
        </w:tc>
        <w:tc>
          <w:tcPr>
            <w:tcW w:w="1403" w:type="dxa"/>
            <w:tcBorders>
              <w:top w:val="nil"/>
              <w:left w:val="nil"/>
              <w:bottom w:val="nil"/>
              <w:right w:val="nil"/>
            </w:tcBorders>
            <w:shd w:val="clear" w:color="auto" w:fill="auto"/>
            <w:noWrap/>
            <w:vAlign w:val="bottom"/>
          </w:tcPr>
          <w:p w14:paraId="16C29B54" w14:textId="77777777" w:rsidR="004E2F51" w:rsidRPr="00B91D09" w:rsidRDefault="004E2F51" w:rsidP="00E032FC">
            <w:pPr>
              <w:jc w:val="right"/>
              <w:rPr>
                <w:rFonts w:ascii="Arial" w:hAnsi="Arial" w:cs="Arial"/>
                <w:color w:val="000000" w:themeColor="text1"/>
                <w:sz w:val="18"/>
                <w:szCs w:val="18"/>
                <w:lang w:val="hr-HR"/>
              </w:rPr>
            </w:pPr>
          </w:p>
        </w:tc>
        <w:tc>
          <w:tcPr>
            <w:tcW w:w="1218" w:type="dxa"/>
            <w:tcBorders>
              <w:top w:val="nil"/>
              <w:left w:val="nil"/>
              <w:bottom w:val="nil"/>
              <w:right w:val="nil"/>
            </w:tcBorders>
            <w:vAlign w:val="bottom"/>
          </w:tcPr>
          <w:p w14:paraId="42CD9099" w14:textId="77777777" w:rsidR="004E2F51" w:rsidRPr="00B91D09" w:rsidRDefault="004E2F51" w:rsidP="00E032FC">
            <w:pPr>
              <w:jc w:val="right"/>
              <w:rPr>
                <w:rFonts w:ascii="Arial" w:hAnsi="Arial" w:cs="Arial"/>
                <w:color w:val="000000" w:themeColor="text1"/>
                <w:sz w:val="18"/>
                <w:szCs w:val="18"/>
                <w:lang w:val="hr-HR"/>
              </w:rPr>
            </w:pPr>
          </w:p>
        </w:tc>
      </w:tr>
      <w:tr w:rsidR="004E2F51" w:rsidRPr="00B91D09" w14:paraId="7FF3DAA1" w14:textId="77777777" w:rsidTr="00E032FC">
        <w:trPr>
          <w:trHeight w:val="44"/>
        </w:trPr>
        <w:tc>
          <w:tcPr>
            <w:tcW w:w="6387" w:type="dxa"/>
            <w:tcBorders>
              <w:top w:val="nil"/>
              <w:left w:val="nil"/>
              <w:bottom w:val="nil"/>
              <w:right w:val="nil"/>
            </w:tcBorders>
            <w:shd w:val="clear" w:color="auto" w:fill="auto"/>
            <w:vAlign w:val="bottom"/>
          </w:tcPr>
          <w:p w14:paraId="6FE8DE8C"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Zaračunana bruto premija</w:t>
            </w:r>
          </w:p>
        </w:tc>
        <w:tc>
          <w:tcPr>
            <w:tcW w:w="1403" w:type="dxa"/>
            <w:shd w:val="clear" w:color="auto" w:fill="auto"/>
            <w:noWrap/>
            <w:vAlign w:val="bottom"/>
          </w:tcPr>
          <w:p w14:paraId="53AE91DA" w14:textId="77777777" w:rsidR="004E2F51" w:rsidRPr="007C7186" w:rsidRDefault="004E2F51" w:rsidP="00E032FC">
            <w:pPr>
              <w:jc w:val="right"/>
              <w:rPr>
                <w:rFonts w:ascii="Arial" w:hAnsi="Arial" w:cs="Arial"/>
                <w:bCs/>
                <w:color w:val="000000"/>
                <w:sz w:val="18"/>
                <w:szCs w:val="18"/>
              </w:rPr>
            </w:pPr>
            <w:r w:rsidRPr="007C7186">
              <w:rPr>
                <w:rFonts w:ascii="Arial" w:hAnsi="Arial" w:cs="Arial"/>
                <w:bCs/>
                <w:color w:val="000000"/>
                <w:sz w:val="18"/>
                <w:szCs w:val="18"/>
              </w:rPr>
              <w:t>19.712</w:t>
            </w:r>
          </w:p>
        </w:tc>
        <w:tc>
          <w:tcPr>
            <w:tcW w:w="1218" w:type="dxa"/>
            <w:shd w:val="clear" w:color="auto" w:fill="auto"/>
          </w:tcPr>
          <w:p w14:paraId="6B1E2EBC"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17.613</w:t>
            </w:r>
          </w:p>
        </w:tc>
      </w:tr>
      <w:tr w:rsidR="004E2F51" w:rsidRPr="00B91D09" w14:paraId="03786DC1" w14:textId="77777777" w:rsidTr="00E032FC">
        <w:trPr>
          <w:trHeight w:val="122"/>
        </w:trPr>
        <w:tc>
          <w:tcPr>
            <w:tcW w:w="6387" w:type="dxa"/>
            <w:tcBorders>
              <w:top w:val="nil"/>
              <w:left w:val="nil"/>
              <w:bottom w:val="nil"/>
              <w:right w:val="nil"/>
            </w:tcBorders>
            <w:shd w:val="clear" w:color="auto" w:fill="auto"/>
            <w:vAlign w:val="bottom"/>
          </w:tcPr>
          <w:p w14:paraId="491747E7"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Ispravak vrijednosti i naplaćeni ispravak premije</w:t>
            </w:r>
          </w:p>
        </w:tc>
        <w:tc>
          <w:tcPr>
            <w:tcW w:w="1403" w:type="dxa"/>
            <w:shd w:val="clear" w:color="auto" w:fill="auto"/>
            <w:noWrap/>
            <w:vAlign w:val="bottom"/>
          </w:tcPr>
          <w:p w14:paraId="1D2E34AC" w14:textId="77777777" w:rsidR="004E2F51" w:rsidRPr="007C7186" w:rsidRDefault="004E2F51" w:rsidP="00E032FC">
            <w:pPr>
              <w:jc w:val="right"/>
              <w:rPr>
                <w:rFonts w:ascii="Arial" w:hAnsi="Arial" w:cs="Arial"/>
                <w:bCs/>
                <w:color w:val="000000"/>
                <w:sz w:val="18"/>
                <w:szCs w:val="18"/>
              </w:rPr>
            </w:pPr>
            <w:r w:rsidRPr="0002282A">
              <w:rPr>
                <w:rFonts w:ascii="Arial" w:hAnsi="Arial" w:cs="Arial"/>
                <w:bCs/>
                <w:color w:val="000000"/>
                <w:sz w:val="18"/>
                <w:szCs w:val="18"/>
                <w:lang w:val="it-IT"/>
              </w:rPr>
              <w:t xml:space="preserve"> </w:t>
            </w:r>
            <w:r w:rsidRPr="007C7186">
              <w:rPr>
                <w:rFonts w:ascii="Arial" w:hAnsi="Arial" w:cs="Arial"/>
                <w:bCs/>
                <w:color w:val="000000"/>
                <w:sz w:val="18"/>
                <w:szCs w:val="18"/>
              </w:rPr>
              <w:t>(6)</w:t>
            </w:r>
          </w:p>
        </w:tc>
        <w:tc>
          <w:tcPr>
            <w:tcW w:w="1218" w:type="dxa"/>
            <w:shd w:val="clear" w:color="auto" w:fill="auto"/>
          </w:tcPr>
          <w:p w14:paraId="10A77677"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(18)</w:t>
            </w:r>
          </w:p>
        </w:tc>
      </w:tr>
      <w:tr w:rsidR="004E2F51" w:rsidRPr="00B91D09" w14:paraId="7F221026" w14:textId="77777777" w:rsidTr="00E032FC">
        <w:trPr>
          <w:trHeight w:val="124"/>
        </w:trPr>
        <w:tc>
          <w:tcPr>
            <w:tcW w:w="6387" w:type="dxa"/>
            <w:tcBorders>
              <w:top w:val="nil"/>
              <w:left w:val="nil"/>
              <w:bottom w:val="nil"/>
              <w:right w:val="nil"/>
            </w:tcBorders>
            <w:shd w:val="clear" w:color="auto" w:fill="auto"/>
            <w:vAlign w:val="bottom"/>
          </w:tcPr>
          <w:p w14:paraId="3E173345"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Bruto premije predane u reosiguranje</w:t>
            </w:r>
          </w:p>
        </w:tc>
        <w:tc>
          <w:tcPr>
            <w:tcW w:w="1403" w:type="dxa"/>
            <w:shd w:val="clear" w:color="auto" w:fill="auto"/>
            <w:noWrap/>
            <w:vAlign w:val="bottom"/>
          </w:tcPr>
          <w:p w14:paraId="1B16B3B6" w14:textId="77777777" w:rsidR="004E2F51" w:rsidRPr="007C7186" w:rsidRDefault="004E2F51" w:rsidP="00E032FC">
            <w:pPr>
              <w:jc w:val="right"/>
              <w:rPr>
                <w:rFonts w:ascii="Arial" w:hAnsi="Arial" w:cs="Arial"/>
                <w:bCs/>
                <w:color w:val="000000"/>
                <w:sz w:val="18"/>
                <w:szCs w:val="18"/>
              </w:rPr>
            </w:pPr>
            <w:r w:rsidRPr="0002282A">
              <w:rPr>
                <w:rFonts w:ascii="Arial" w:hAnsi="Arial" w:cs="Arial"/>
                <w:bCs/>
                <w:color w:val="000000"/>
                <w:sz w:val="18"/>
                <w:szCs w:val="18"/>
                <w:lang w:val="it-IT"/>
              </w:rPr>
              <w:t xml:space="preserve"> </w:t>
            </w:r>
            <w:r w:rsidRPr="007C7186">
              <w:rPr>
                <w:rFonts w:ascii="Arial" w:hAnsi="Arial" w:cs="Arial"/>
                <w:bCs/>
                <w:color w:val="000000"/>
                <w:sz w:val="18"/>
                <w:szCs w:val="18"/>
              </w:rPr>
              <w:t>(8.277)</w:t>
            </w:r>
          </w:p>
        </w:tc>
        <w:tc>
          <w:tcPr>
            <w:tcW w:w="1218" w:type="dxa"/>
            <w:shd w:val="clear" w:color="auto" w:fill="auto"/>
          </w:tcPr>
          <w:p w14:paraId="50F91832"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(8.046)</w:t>
            </w:r>
          </w:p>
        </w:tc>
      </w:tr>
      <w:tr w:rsidR="004E2F51" w:rsidRPr="00B91D09" w14:paraId="45757541" w14:textId="77777777" w:rsidTr="00E032FC">
        <w:trPr>
          <w:trHeight w:val="111"/>
        </w:trPr>
        <w:tc>
          <w:tcPr>
            <w:tcW w:w="6387" w:type="dxa"/>
            <w:tcBorders>
              <w:left w:val="nil"/>
              <w:right w:val="nil"/>
            </w:tcBorders>
            <w:shd w:val="clear" w:color="auto" w:fill="auto"/>
            <w:vAlign w:val="bottom"/>
          </w:tcPr>
          <w:p w14:paraId="58D287C6" w14:textId="77777777" w:rsidR="004E2F51" w:rsidRPr="00B91D09" w:rsidRDefault="004E2F51" w:rsidP="00E032F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Neto zaračunate premije</w:t>
            </w:r>
          </w:p>
        </w:tc>
        <w:tc>
          <w:tcPr>
            <w:tcW w:w="1403" w:type="dxa"/>
            <w:tcBorders>
              <w:top w:val="single" w:sz="4" w:space="0" w:color="auto"/>
              <w:left w:val="nil"/>
              <w:bottom w:val="single" w:sz="12" w:space="0" w:color="auto"/>
              <w:right w:val="nil"/>
            </w:tcBorders>
            <w:shd w:val="clear" w:color="auto" w:fill="auto"/>
            <w:noWrap/>
            <w:vAlign w:val="bottom"/>
          </w:tcPr>
          <w:p w14:paraId="1FAFAE71" w14:textId="77777777" w:rsidR="004E2F51" w:rsidRPr="00B91D09" w:rsidRDefault="004E2F51" w:rsidP="00E032FC">
            <w:pPr>
              <w:jc w:val="right"/>
              <w:rPr>
                <w:rFonts w:ascii="Arial" w:hAnsi="Arial" w:cs="Arial"/>
                <w:b/>
                <w:bCs/>
                <w:color w:val="000000" w:themeColor="text1"/>
                <w:sz w:val="18"/>
                <w:szCs w:val="18"/>
                <w:lang w:val="hr-HR"/>
              </w:rPr>
            </w:pPr>
            <w:r w:rsidRPr="007C7186">
              <w:rPr>
                <w:rFonts w:ascii="Arial" w:hAnsi="Arial" w:cs="Arial"/>
                <w:b/>
                <w:bCs/>
                <w:color w:val="000000" w:themeColor="text1"/>
                <w:sz w:val="18"/>
                <w:szCs w:val="18"/>
                <w:lang w:val="hr-HR"/>
              </w:rPr>
              <w:t>11.429</w:t>
            </w:r>
          </w:p>
        </w:tc>
        <w:tc>
          <w:tcPr>
            <w:tcW w:w="1218" w:type="dxa"/>
            <w:tcBorders>
              <w:top w:val="single" w:sz="4" w:space="0" w:color="auto"/>
              <w:left w:val="nil"/>
              <w:bottom w:val="single" w:sz="12" w:space="0" w:color="auto"/>
              <w:right w:val="nil"/>
            </w:tcBorders>
            <w:shd w:val="clear" w:color="auto" w:fill="auto"/>
          </w:tcPr>
          <w:p w14:paraId="31C3F407"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sz w:val="18"/>
                <w:szCs w:val="18"/>
              </w:rPr>
              <w:t>9.549</w:t>
            </w:r>
          </w:p>
        </w:tc>
      </w:tr>
      <w:tr w:rsidR="004E2F51" w:rsidRPr="00B91D09" w14:paraId="000A78A7" w14:textId="77777777" w:rsidTr="00E032FC">
        <w:trPr>
          <w:trHeight w:hRule="exact" w:val="125"/>
        </w:trPr>
        <w:tc>
          <w:tcPr>
            <w:tcW w:w="6387" w:type="dxa"/>
            <w:tcBorders>
              <w:left w:val="nil"/>
              <w:bottom w:val="nil"/>
              <w:right w:val="nil"/>
            </w:tcBorders>
            <w:shd w:val="clear" w:color="auto" w:fill="auto"/>
            <w:vAlign w:val="bottom"/>
          </w:tcPr>
          <w:p w14:paraId="462007BE"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403" w:type="dxa"/>
            <w:tcBorders>
              <w:top w:val="single" w:sz="12" w:space="0" w:color="auto"/>
              <w:left w:val="nil"/>
              <w:bottom w:val="nil"/>
              <w:right w:val="nil"/>
            </w:tcBorders>
            <w:shd w:val="clear" w:color="auto" w:fill="auto"/>
            <w:noWrap/>
            <w:vAlign w:val="bottom"/>
          </w:tcPr>
          <w:p w14:paraId="55D5E8A7" w14:textId="77777777" w:rsidR="004E2F51" w:rsidRPr="00B91D09" w:rsidRDefault="004E2F51" w:rsidP="00E032FC">
            <w:pPr>
              <w:spacing w:line="140" w:lineRule="exact"/>
              <w:jc w:val="right"/>
              <w:rPr>
                <w:rFonts w:ascii="Arial" w:hAnsi="Arial" w:cs="Arial"/>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0A4B2656" w14:textId="77777777" w:rsidR="004E2F51" w:rsidRPr="00B91D09" w:rsidRDefault="004E2F51" w:rsidP="00E032FC">
            <w:pPr>
              <w:spacing w:line="140" w:lineRule="exact"/>
              <w:jc w:val="right"/>
              <w:rPr>
                <w:rFonts w:ascii="Arial" w:hAnsi="Arial" w:cs="Arial"/>
                <w:color w:val="000000" w:themeColor="text1"/>
                <w:sz w:val="18"/>
                <w:szCs w:val="18"/>
                <w:lang w:val="hr-HR"/>
              </w:rPr>
            </w:pPr>
          </w:p>
        </w:tc>
      </w:tr>
      <w:tr w:rsidR="004E2F51" w:rsidRPr="00B91D09" w14:paraId="6F818188" w14:textId="77777777" w:rsidTr="00E032FC">
        <w:trPr>
          <w:trHeight w:val="100"/>
        </w:trPr>
        <w:tc>
          <w:tcPr>
            <w:tcW w:w="6387" w:type="dxa"/>
            <w:tcBorders>
              <w:top w:val="nil"/>
              <w:left w:val="nil"/>
              <w:bottom w:val="nil"/>
              <w:right w:val="nil"/>
            </w:tcBorders>
            <w:shd w:val="clear" w:color="auto" w:fill="auto"/>
            <w:vAlign w:val="bottom"/>
          </w:tcPr>
          <w:p w14:paraId="2CC3561E"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Promjena bruto pričuva prijenosnih premija</w:t>
            </w:r>
          </w:p>
        </w:tc>
        <w:tc>
          <w:tcPr>
            <w:tcW w:w="1403" w:type="dxa"/>
            <w:shd w:val="clear" w:color="auto" w:fill="auto"/>
            <w:noWrap/>
            <w:vAlign w:val="bottom"/>
          </w:tcPr>
          <w:p w14:paraId="5CCB8042" w14:textId="77777777" w:rsidR="004E2F51" w:rsidRPr="00B91D09" w:rsidRDefault="004E2F51" w:rsidP="00E032FC">
            <w:pPr>
              <w:jc w:val="right"/>
              <w:rPr>
                <w:rFonts w:ascii="Arial" w:hAnsi="Arial" w:cs="Arial"/>
                <w:color w:val="000000" w:themeColor="text1"/>
                <w:sz w:val="18"/>
                <w:szCs w:val="18"/>
                <w:lang w:val="hr-HR"/>
              </w:rPr>
            </w:pPr>
            <w:r w:rsidRPr="007C7186">
              <w:rPr>
                <w:rFonts w:ascii="Arial" w:hAnsi="Arial" w:cs="Arial"/>
                <w:color w:val="000000" w:themeColor="text1"/>
                <w:sz w:val="18"/>
                <w:szCs w:val="18"/>
                <w:lang w:val="hr-HR"/>
              </w:rPr>
              <w:t>(3)</w:t>
            </w:r>
          </w:p>
        </w:tc>
        <w:tc>
          <w:tcPr>
            <w:tcW w:w="1218" w:type="dxa"/>
            <w:shd w:val="clear" w:color="auto" w:fill="auto"/>
          </w:tcPr>
          <w:p w14:paraId="060456C5"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(2.993)</w:t>
            </w:r>
          </w:p>
        </w:tc>
      </w:tr>
      <w:tr w:rsidR="004E2F51" w:rsidRPr="00B91D09" w14:paraId="2B4E871F" w14:textId="77777777" w:rsidTr="00E032FC">
        <w:trPr>
          <w:trHeight w:val="172"/>
        </w:trPr>
        <w:tc>
          <w:tcPr>
            <w:tcW w:w="6387" w:type="dxa"/>
            <w:tcBorders>
              <w:top w:val="nil"/>
              <w:left w:val="nil"/>
              <w:bottom w:val="nil"/>
              <w:right w:val="nil"/>
            </w:tcBorders>
            <w:shd w:val="clear" w:color="auto" w:fill="auto"/>
            <w:vAlign w:val="bottom"/>
          </w:tcPr>
          <w:p w14:paraId="56532090"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Promjena bruto pričuva prijenosnih premija, udio reosiguranja</w:t>
            </w:r>
          </w:p>
        </w:tc>
        <w:tc>
          <w:tcPr>
            <w:tcW w:w="1403" w:type="dxa"/>
            <w:tcBorders>
              <w:top w:val="nil"/>
              <w:left w:val="nil"/>
              <w:bottom w:val="single" w:sz="4" w:space="0" w:color="auto"/>
              <w:right w:val="nil"/>
            </w:tcBorders>
            <w:shd w:val="clear" w:color="auto" w:fill="auto"/>
            <w:noWrap/>
            <w:vAlign w:val="bottom"/>
          </w:tcPr>
          <w:p w14:paraId="4E150C5A" w14:textId="77777777" w:rsidR="004E2F51" w:rsidRPr="00B91D09" w:rsidRDefault="004E2F51" w:rsidP="00E032FC">
            <w:pPr>
              <w:jc w:val="right"/>
              <w:rPr>
                <w:rFonts w:ascii="Arial" w:hAnsi="Arial" w:cs="Arial"/>
                <w:color w:val="000000" w:themeColor="text1"/>
                <w:sz w:val="18"/>
                <w:szCs w:val="18"/>
                <w:lang w:val="hr-HR"/>
              </w:rPr>
            </w:pPr>
            <w:r w:rsidRPr="007C7186">
              <w:rPr>
                <w:rFonts w:ascii="Arial" w:hAnsi="Arial" w:cs="Arial"/>
                <w:color w:val="000000" w:themeColor="text1"/>
                <w:sz w:val="18"/>
                <w:szCs w:val="18"/>
                <w:lang w:val="hr-HR"/>
              </w:rPr>
              <w:t>(501)</w:t>
            </w:r>
          </w:p>
        </w:tc>
        <w:tc>
          <w:tcPr>
            <w:tcW w:w="1218" w:type="dxa"/>
            <w:tcBorders>
              <w:top w:val="nil"/>
              <w:left w:val="nil"/>
              <w:bottom w:val="single" w:sz="4" w:space="0" w:color="auto"/>
              <w:right w:val="nil"/>
            </w:tcBorders>
            <w:shd w:val="clear" w:color="auto" w:fill="auto"/>
          </w:tcPr>
          <w:p w14:paraId="1887C2F2"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1.424</w:t>
            </w:r>
          </w:p>
        </w:tc>
      </w:tr>
      <w:tr w:rsidR="004E2F51" w:rsidRPr="00B91D09" w14:paraId="4BB4F638" w14:textId="77777777" w:rsidTr="00E032FC">
        <w:trPr>
          <w:trHeight w:val="128"/>
        </w:trPr>
        <w:tc>
          <w:tcPr>
            <w:tcW w:w="6387" w:type="dxa"/>
            <w:tcBorders>
              <w:left w:val="nil"/>
              <w:right w:val="nil"/>
            </w:tcBorders>
            <w:shd w:val="clear" w:color="auto" w:fill="auto"/>
            <w:vAlign w:val="bottom"/>
          </w:tcPr>
          <w:p w14:paraId="7EA2757E"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Neto zarađene premije</w:t>
            </w:r>
          </w:p>
        </w:tc>
        <w:tc>
          <w:tcPr>
            <w:tcW w:w="1403" w:type="dxa"/>
            <w:tcBorders>
              <w:top w:val="nil"/>
              <w:left w:val="nil"/>
              <w:bottom w:val="single" w:sz="12" w:space="0" w:color="auto"/>
              <w:right w:val="nil"/>
            </w:tcBorders>
            <w:shd w:val="clear" w:color="auto" w:fill="auto"/>
            <w:noWrap/>
            <w:vAlign w:val="bottom"/>
          </w:tcPr>
          <w:p w14:paraId="39825CAF" w14:textId="77777777" w:rsidR="004E2F51" w:rsidRPr="00B91D09" w:rsidRDefault="004E2F51" w:rsidP="00E032FC">
            <w:pPr>
              <w:jc w:val="right"/>
              <w:rPr>
                <w:rFonts w:ascii="Arial" w:hAnsi="Arial" w:cs="Arial"/>
                <w:b/>
                <w:bCs/>
                <w:color w:val="000000" w:themeColor="text1"/>
                <w:sz w:val="18"/>
                <w:szCs w:val="18"/>
                <w:lang w:val="hr-HR"/>
              </w:rPr>
            </w:pPr>
            <w:r w:rsidRPr="007C7186">
              <w:rPr>
                <w:rFonts w:ascii="Arial" w:hAnsi="Arial" w:cs="Arial"/>
                <w:b/>
                <w:bCs/>
                <w:color w:val="000000" w:themeColor="text1"/>
                <w:sz w:val="18"/>
                <w:szCs w:val="18"/>
                <w:lang w:val="hr-HR"/>
              </w:rPr>
              <w:t>10.925</w:t>
            </w:r>
          </w:p>
        </w:tc>
        <w:tc>
          <w:tcPr>
            <w:tcW w:w="1218" w:type="dxa"/>
            <w:tcBorders>
              <w:top w:val="nil"/>
              <w:left w:val="nil"/>
              <w:bottom w:val="single" w:sz="12" w:space="0" w:color="auto"/>
              <w:right w:val="nil"/>
            </w:tcBorders>
            <w:shd w:val="clear" w:color="auto" w:fill="auto"/>
          </w:tcPr>
          <w:p w14:paraId="592A6D6E"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sz w:val="18"/>
                <w:szCs w:val="18"/>
              </w:rPr>
              <w:t>7.980</w:t>
            </w:r>
          </w:p>
        </w:tc>
      </w:tr>
      <w:tr w:rsidR="004E2F51" w:rsidRPr="00B91D09" w14:paraId="43730897" w14:textId="77777777" w:rsidTr="00E032FC">
        <w:trPr>
          <w:trHeight w:val="38"/>
        </w:trPr>
        <w:tc>
          <w:tcPr>
            <w:tcW w:w="6387" w:type="dxa"/>
            <w:tcBorders>
              <w:left w:val="nil"/>
              <w:bottom w:val="nil"/>
              <w:right w:val="nil"/>
            </w:tcBorders>
            <w:shd w:val="clear" w:color="auto" w:fill="auto"/>
            <w:vAlign w:val="bottom"/>
          </w:tcPr>
          <w:p w14:paraId="78569357"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403" w:type="dxa"/>
            <w:tcBorders>
              <w:top w:val="single" w:sz="12" w:space="0" w:color="auto"/>
              <w:left w:val="nil"/>
              <w:bottom w:val="nil"/>
              <w:right w:val="nil"/>
            </w:tcBorders>
            <w:shd w:val="clear" w:color="auto" w:fill="auto"/>
            <w:noWrap/>
            <w:vAlign w:val="bottom"/>
          </w:tcPr>
          <w:p w14:paraId="2C5F5802" w14:textId="77777777" w:rsidR="004E2F51" w:rsidRPr="00B91D09" w:rsidRDefault="004E2F51" w:rsidP="00E032FC">
            <w:pPr>
              <w:spacing w:line="140" w:lineRule="exact"/>
              <w:jc w:val="right"/>
              <w:rPr>
                <w:rFonts w:ascii="Arial" w:hAnsi="Arial" w:cs="Arial"/>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60C011AD" w14:textId="77777777" w:rsidR="004E2F51" w:rsidRPr="00B91D09" w:rsidRDefault="004E2F51" w:rsidP="00E032FC">
            <w:pPr>
              <w:spacing w:line="140" w:lineRule="exact"/>
              <w:jc w:val="right"/>
              <w:rPr>
                <w:rFonts w:ascii="Arial" w:hAnsi="Arial" w:cs="Arial"/>
                <w:color w:val="000000" w:themeColor="text1"/>
                <w:sz w:val="18"/>
                <w:szCs w:val="18"/>
                <w:lang w:val="hr-HR"/>
              </w:rPr>
            </w:pPr>
          </w:p>
        </w:tc>
      </w:tr>
      <w:tr w:rsidR="004E2F51" w:rsidRPr="00B91D09" w14:paraId="7883C955" w14:textId="77777777" w:rsidTr="00E032FC">
        <w:trPr>
          <w:trHeight w:val="149"/>
        </w:trPr>
        <w:tc>
          <w:tcPr>
            <w:tcW w:w="6387" w:type="dxa"/>
            <w:tcBorders>
              <w:top w:val="nil"/>
              <w:left w:val="nil"/>
              <w:bottom w:val="nil"/>
              <w:right w:val="nil"/>
            </w:tcBorders>
            <w:shd w:val="clear" w:color="auto" w:fill="auto"/>
            <w:vAlign w:val="bottom"/>
          </w:tcPr>
          <w:p w14:paraId="2F1D7487" w14:textId="77777777" w:rsidR="004E2F51" w:rsidRPr="00B91D09" w:rsidRDefault="004E2F51" w:rsidP="00E032FC">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Prihodi od provizija i naknada</w:t>
            </w:r>
          </w:p>
        </w:tc>
        <w:tc>
          <w:tcPr>
            <w:tcW w:w="1403" w:type="dxa"/>
            <w:shd w:val="clear" w:color="auto" w:fill="auto"/>
            <w:noWrap/>
            <w:vAlign w:val="bottom"/>
          </w:tcPr>
          <w:p w14:paraId="180C398F" w14:textId="77777777" w:rsidR="004E2F51" w:rsidRPr="007C7186" w:rsidRDefault="004E2F51" w:rsidP="00E032FC">
            <w:pPr>
              <w:jc w:val="right"/>
              <w:rPr>
                <w:rFonts w:ascii="Arial" w:hAnsi="Arial" w:cs="Arial"/>
                <w:bCs/>
                <w:color w:val="000000"/>
                <w:sz w:val="18"/>
                <w:szCs w:val="18"/>
              </w:rPr>
            </w:pPr>
            <w:r w:rsidRPr="007C7186">
              <w:rPr>
                <w:rFonts w:ascii="Arial" w:hAnsi="Arial" w:cs="Arial"/>
                <w:bCs/>
                <w:color w:val="000000"/>
                <w:sz w:val="18"/>
                <w:szCs w:val="18"/>
              </w:rPr>
              <w:t>3.877</w:t>
            </w:r>
          </w:p>
        </w:tc>
        <w:tc>
          <w:tcPr>
            <w:tcW w:w="1218" w:type="dxa"/>
            <w:shd w:val="clear" w:color="auto" w:fill="auto"/>
          </w:tcPr>
          <w:p w14:paraId="2808E69C" w14:textId="77777777" w:rsidR="004E2F51" w:rsidRPr="00B91D09" w:rsidRDefault="004E2F51" w:rsidP="00E032FC">
            <w:pPr>
              <w:jc w:val="right"/>
              <w:rPr>
                <w:rFonts w:ascii="Arial" w:hAnsi="Arial" w:cs="Arial"/>
                <w:bCs/>
                <w:color w:val="000000" w:themeColor="text1"/>
                <w:sz w:val="18"/>
                <w:szCs w:val="18"/>
                <w:lang w:val="hr-HR"/>
              </w:rPr>
            </w:pPr>
            <w:r w:rsidRPr="00B91D09">
              <w:rPr>
                <w:rFonts w:ascii="Arial" w:hAnsi="Arial" w:cs="Arial"/>
                <w:bCs/>
                <w:color w:val="000000"/>
                <w:sz w:val="18"/>
                <w:szCs w:val="18"/>
              </w:rPr>
              <w:t>3.318</w:t>
            </w:r>
          </w:p>
        </w:tc>
      </w:tr>
      <w:tr w:rsidR="004E2F51" w:rsidRPr="00B91D09" w14:paraId="5AAA4177" w14:textId="77777777" w:rsidTr="00E032FC">
        <w:trPr>
          <w:trHeight w:val="132"/>
        </w:trPr>
        <w:tc>
          <w:tcPr>
            <w:tcW w:w="6387" w:type="dxa"/>
            <w:tcBorders>
              <w:top w:val="nil"/>
              <w:left w:val="nil"/>
              <w:bottom w:val="nil"/>
              <w:right w:val="nil"/>
            </w:tcBorders>
            <w:shd w:val="clear" w:color="auto" w:fill="auto"/>
            <w:vAlign w:val="bottom"/>
          </w:tcPr>
          <w:p w14:paraId="72CFB9D6"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prihodi od ulaganja</w:t>
            </w:r>
          </w:p>
        </w:tc>
        <w:tc>
          <w:tcPr>
            <w:tcW w:w="1403" w:type="dxa"/>
            <w:shd w:val="clear" w:color="auto" w:fill="auto"/>
            <w:noWrap/>
            <w:vAlign w:val="bottom"/>
          </w:tcPr>
          <w:p w14:paraId="26193F9A" w14:textId="77777777" w:rsidR="004E2F51" w:rsidRPr="007C7186" w:rsidRDefault="004E2F51" w:rsidP="00E032FC">
            <w:pPr>
              <w:jc w:val="right"/>
              <w:rPr>
                <w:rFonts w:ascii="Arial" w:hAnsi="Arial" w:cs="Arial"/>
                <w:bCs/>
                <w:color w:val="000000"/>
                <w:sz w:val="18"/>
                <w:szCs w:val="18"/>
              </w:rPr>
            </w:pPr>
            <w:r w:rsidRPr="007C7186">
              <w:rPr>
                <w:rFonts w:ascii="Arial" w:hAnsi="Arial" w:cs="Arial"/>
                <w:bCs/>
                <w:color w:val="000000"/>
                <w:sz w:val="18"/>
                <w:szCs w:val="18"/>
              </w:rPr>
              <w:t>1.339</w:t>
            </w:r>
          </w:p>
        </w:tc>
        <w:tc>
          <w:tcPr>
            <w:tcW w:w="1218" w:type="dxa"/>
            <w:shd w:val="clear" w:color="auto" w:fill="auto"/>
          </w:tcPr>
          <w:p w14:paraId="31A9D056" w14:textId="77777777" w:rsidR="004E2F51" w:rsidRPr="00B91D09" w:rsidRDefault="004E2F51" w:rsidP="00E032FC">
            <w:pPr>
              <w:jc w:val="right"/>
              <w:rPr>
                <w:rFonts w:ascii="Arial" w:hAnsi="Arial" w:cs="Arial"/>
                <w:bCs/>
                <w:color w:val="000000" w:themeColor="text1"/>
                <w:sz w:val="18"/>
                <w:szCs w:val="18"/>
                <w:lang w:val="hr-HR"/>
              </w:rPr>
            </w:pPr>
            <w:r w:rsidRPr="00B91D09">
              <w:rPr>
                <w:rFonts w:ascii="Arial" w:hAnsi="Arial" w:cs="Arial"/>
                <w:bCs/>
                <w:color w:val="000000"/>
                <w:sz w:val="18"/>
                <w:szCs w:val="18"/>
              </w:rPr>
              <w:t>1.206</w:t>
            </w:r>
          </w:p>
        </w:tc>
      </w:tr>
      <w:tr w:rsidR="004E2F51" w:rsidRPr="00B91D09" w14:paraId="4C1E49A6" w14:textId="77777777" w:rsidTr="00E032FC">
        <w:trPr>
          <w:trHeight w:val="125"/>
        </w:trPr>
        <w:tc>
          <w:tcPr>
            <w:tcW w:w="6387" w:type="dxa"/>
            <w:tcBorders>
              <w:top w:val="nil"/>
              <w:left w:val="nil"/>
              <w:right w:val="nil"/>
            </w:tcBorders>
            <w:shd w:val="clear" w:color="auto" w:fill="auto"/>
            <w:vAlign w:val="bottom"/>
          </w:tcPr>
          <w:p w14:paraId="509E6458"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Ostali poslovni prihodi</w:t>
            </w:r>
          </w:p>
        </w:tc>
        <w:tc>
          <w:tcPr>
            <w:tcW w:w="1403" w:type="dxa"/>
            <w:tcBorders>
              <w:top w:val="nil"/>
              <w:left w:val="nil"/>
              <w:bottom w:val="single" w:sz="4" w:space="0" w:color="auto"/>
              <w:right w:val="nil"/>
            </w:tcBorders>
            <w:shd w:val="clear" w:color="auto" w:fill="auto"/>
            <w:noWrap/>
            <w:vAlign w:val="bottom"/>
          </w:tcPr>
          <w:p w14:paraId="677C764F" w14:textId="77777777" w:rsidR="004E2F51" w:rsidRPr="007C7186" w:rsidRDefault="004E2F51" w:rsidP="00E032FC">
            <w:pPr>
              <w:jc w:val="right"/>
              <w:rPr>
                <w:rFonts w:ascii="Arial" w:hAnsi="Arial" w:cs="Arial"/>
                <w:bCs/>
                <w:color w:val="000000"/>
                <w:sz w:val="18"/>
                <w:szCs w:val="18"/>
              </w:rPr>
            </w:pPr>
            <w:r w:rsidRPr="007C7186">
              <w:rPr>
                <w:rFonts w:ascii="Arial" w:hAnsi="Arial" w:cs="Arial"/>
                <w:bCs/>
                <w:color w:val="000000"/>
                <w:sz w:val="18"/>
                <w:szCs w:val="18"/>
              </w:rPr>
              <w:t>76</w:t>
            </w:r>
          </w:p>
        </w:tc>
        <w:tc>
          <w:tcPr>
            <w:tcW w:w="1218" w:type="dxa"/>
            <w:tcBorders>
              <w:top w:val="nil"/>
              <w:left w:val="nil"/>
              <w:bottom w:val="single" w:sz="4" w:space="0" w:color="auto"/>
              <w:right w:val="nil"/>
            </w:tcBorders>
            <w:shd w:val="clear" w:color="auto" w:fill="auto"/>
          </w:tcPr>
          <w:p w14:paraId="2CD39595"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bCs/>
                <w:color w:val="000000"/>
                <w:sz w:val="18"/>
                <w:szCs w:val="18"/>
              </w:rPr>
              <w:t>78</w:t>
            </w:r>
          </w:p>
        </w:tc>
      </w:tr>
      <w:tr w:rsidR="004E2F51" w:rsidRPr="00B91D09" w14:paraId="3B3CD3F8" w14:textId="77777777" w:rsidTr="00E032FC">
        <w:trPr>
          <w:trHeight w:val="112"/>
        </w:trPr>
        <w:tc>
          <w:tcPr>
            <w:tcW w:w="6387" w:type="dxa"/>
            <w:tcBorders>
              <w:left w:val="nil"/>
              <w:right w:val="nil"/>
            </w:tcBorders>
            <w:shd w:val="clear" w:color="auto" w:fill="auto"/>
            <w:vAlign w:val="bottom"/>
          </w:tcPr>
          <w:p w14:paraId="40FC3AF3"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Neto prihodi</w:t>
            </w:r>
          </w:p>
        </w:tc>
        <w:tc>
          <w:tcPr>
            <w:tcW w:w="1403" w:type="dxa"/>
            <w:tcBorders>
              <w:top w:val="single" w:sz="4" w:space="0" w:color="auto"/>
              <w:left w:val="nil"/>
              <w:bottom w:val="single" w:sz="12" w:space="0" w:color="auto"/>
              <w:right w:val="nil"/>
            </w:tcBorders>
            <w:shd w:val="clear" w:color="auto" w:fill="auto"/>
            <w:noWrap/>
            <w:vAlign w:val="bottom"/>
          </w:tcPr>
          <w:p w14:paraId="276E475B" w14:textId="77777777" w:rsidR="004E2F51" w:rsidRPr="00B91D09" w:rsidRDefault="004E2F51" w:rsidP="00E032FC">
            <w:pPr>
              <w:jc w:val="right"/>
              <w:rPr>
                <w:rFonts w:ascii="Arial" w:hAnsi="Arial" w:cs="Arial"/>
                <w:b/>
                <w:bCs/>
                <w:color w:val="000000" w:themeColor="text1"/>
                <w:sz w:val="18"/>
                <w:szCs w:val="18"/>
                <w:lang w:val="hr-HR"/>
              </w:rPr>
            </w:pPr>
            <w:r w:rsidRPr="007C7186">
              <w:rPr>
                <w:rFonts w:ascii="Arial" w:hAnsi="Arial" w:cs="Arial"/>
                <w:b/>
                <w:bCs/>
                <w:color w:val="000000" w:themeColor="text1"/>
                <w:sz w:val="18"/>
                <w:szCs w:val="18"/>
                <w:lang w:val="hr-HR"/>
              </w:rPr>
              <w:t>16.217</w:t>
            </w:r>
          </w:p>
        </w:tc>
        <w:tc>
          <w:tcPr>
            <w:tcW w:w="1218" w:type="dxa"/>
            <w:tcBorders>
              <w:top w:val="single" w:sz="4" w:space="0" w:color="auto"/>
              <w:left w:val="nil"/>
              <w:bottom w:val="single" w:sz="12" w:space="0" w:color="auto"/>
              <w:right w:val="nil"/>
            </w:tcBorders>
            <w:shd w:val="clear" w:color="auto" w:fill="auto"/>
          </w:tcPr>
          <w:p w14:paraId="4CB4480C"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color w:val="000000"/>
                <w:sz w:val="18"/>
                <w:szCs w:val="18"/>
              </w:rPr>
              <w:t>12.582</w:t>
            </w:r>
          </w:p>
        </w:tc>
      </w:tr>
      <w:tr w:rsidR="004E2F51" w:rsidRPr="00B91D09" w14:paraId="1A2FF2C0" w14:textId="77777777" w:rsidTr="00E032FC">
        <w:trPr>
          <w:trHeight w:hRule="exact" w:val="125"/>
        </w:trPr>
        <w:tc>
          <w:tcPr>
            <w:tcW w:w="6387" w:type="dxa"/>
            <w:tcBorders>
              <w:left w:val="nil"/>
              <w:bottom w:val="nil"/>
              <w:right w:val="nil"/>
            </w:tcBorders>
            <w:shd w:val="clear" w:color="auto" w:fill="auto"/>
            <w:vAlign w:val="bottom"/>
          </w:tcPr>
          <w:p w14:paraId="279CA23E"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403" w:type="dxa"/>
            <w:tcBorders>
              <w:top w:val="single" w:sz="12" w:space="0" w:color="auto"/>
              <w:left w:val="nil"/>
              <w:bottom w:val="nil"/>
              <w:right w:val="nil"/>
            </w:tcBorders>
            <w:shd w:val="clear" w:color="auto" w:fill="auto"/>
            <w:noWrap/>
            <w:vAlign w:val="bottom"/>
          </w:tcPr>
          <w:p w14:paraId="3F08F380" w14:textId="77777777" w:rsidR="004E2F51" w:rsidRPr="00B91D09" w:rsidRDefault="004E2F51" w:rsidP="00E032FC">
            <w:pPr>
              <w:spacing w:line="140" w:lineRule="exact"/>
              <w:jc w:val="right"/>
              <w:rPr>
                <w:rFonts w:ascii="Arial" w:hAnsi="Arial" w:cs="Arial"/>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55723A35" w14:textId="77777777" w:rsidR="004E2F51" w:rsidRPr="00B91D09" w:rsidRDefault="004E2F51" w:rsidP="00E032FC">
            <w:pPr>
              <w:spacing w:line="140" w:lineRule="exact"/>
              <w:jc w:val="right"/>
              <w:rPr>
                <w:rFonts w:ascii="Arial" w:hAnsi="Arial" w:cs="Arial"/>
                <w:color w:val="000000" w:themeColor="text1"/>
                <w:sz w:val="18"/>
                <w:szCs w:val="18"/>
                <w:lang w:val="hr-HR"/>
              </w:rPr>
            </w:pPr>
          </w:p>
        </w:tc>
      </w:tr>
      <w:tr w:rsidR="004E2F51" w:rsidRPr="00B91D09" w14:paraId="2DEF98EF" w14:textId="77777777" w:rsidTr="00E032FC">
        <w:trPr>
          <w:trHeight w:val="111"/>
        </w:trPr>
        <w:tc>
          <w:tcPr>
            <w:tcW w:w="6387" w:type="dxa"/>
            <w:tcBorders>
              <w:top w:val="nil"/>
              <w:left w:val="nil"/>
              <w:right w:val="nil"/>
            </w:tcBorders>
            <w:shd w:val="clear" w:color="auto" w:fill="auto"/>
            <w:vAlign w:val="bottom"/>
          </w:tcPr>
          <w:p w14:paraId="3C806E04"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Bruto izdatak za povrat premije</w:t>
            </w:r>
          </w:p>
        </w:tc>
        <w:tc>
          <w:tcPr>
            <w:tcW w:w="1403" w:type="dxa"/>
            <w:shd w:val="clear" w:color="auto" w:fill="auto"/>
            <w:noWrap/>
            <w:vAlign w:val="bottom"/>
          </w:tcPr>
          <w:p w14:paraId="2609671F" w14:textId="77777777" w:rsidR="004E2F51" w:rsidRPr="007C7186" w:rsidRDefault="004E2F51" w:rsidP="00E032FC">
            <w:pPr>
              <w:jc w:val="right"/>
              <w:rPr>
                <w:rFonts w:ascii="Arial" w:hAnsi="Arial" w:cs="Arial"/>
                <w:color w:val="000000"/>
                <w:sz w:val="18"/>
                <w:szCs w:val="18"/>
              </w:rPr>
            </w:pPr>
            <w:r w:rsidRPr="0002282A">
              <w:rPr>
                <w:rFonts w:ascii="Arial" w:hAnsi="Arial" w:cs="Arial"/>
                <w:color w:val="000000"/>
                <w:sz w:val="18"/>
                <w:szCs w:val="18"/>
                <w:lang w:val="it-IT"/>
              </w:rPr>
              <w:t xml:space="preserve"> </w:t>
            </w:r>
            <w:r w:rsidRPr="007C7186">
              <w:rPr>
                <w:rFonts w:ascii="Arial" w:hAnsi="Arial" w:cs="Arial"/>
                <w:color w:val="000000"/>
                <w:sz w:val="18"/>
                <w:szCs w:val="18"/>
              </w:rPr>
              <w:t>(1.116)</w:t>
            </w:r>
          </w:p>
        </w:tc>
        <w:tc>
          <w:tcPr>
            <w:tcW w:w="1218" w:type="dxa"/>
            <w:shd w:val="clear" w:color="auto" w:fill="auto"/>
          </w:tcPr>
          <w:p w14:paraId="51C5D7AB"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(640)</w:t>
            </w:r>
          </w:p>
        </w:tc>
      </w:tr>
      <w:tr w:rsidR="004E2F51" w:rsidRPr="00B91D09" w14:paraId="0EE87C18" w14:textId="77777777" w:rsidTr="00E032FC">
        <w:trPr>
          <w:trHeight w:val="152"/>
        </w:trPr>
        <w:tc>
          <w:tcPr>
            <w:tcW w:w="6387" w:type="dxa"/>
            <w:tcBorders>
              <w:top w:val="nil"/>
              <w:left w:val="nil"/>
              <w:right w:val="nil"/>
            </w:tcBorders>
            <w:shd w:val="clear" w:color="auto" w:fill="auto"/>
            <w:vAlign w:val="bottom"/>
          </w:tcPr>
          <w:p w14:paraId="5BCACC2F"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Udio reosiguravatelja u povratu premije</w:t>
            </w:r>
          </w:p>
        </w:tc>
        <w:tc>
          <w:tcPr>
            <w:tcW w:w="1403" w:type="dxa"/>
            <w:shd w:val="clear" w:color="auto" w:fill="auto"/>
            <w:noWrap/>
            <w:vAlign w:val="bottom"/>
          </w:tcPr>
          <w:p w14:paraId="0E080C3B" w14:textId="77777777" w:rsidR="004E2F51" w:rsidRPr="007C7186" w:rsidRDefault="004E2F51" w:rsidP="00E032FC">
            <w:pPr>
              <w:jc w:val="right"/>
              <w:rPr>
                <w:rFonts w:ascii="Arial" w:hAnsi="Arial" w:cs="Arial"/>
                <w:color w:val="000000"/>
                <w:sz w:val="18"/>
                <w:szCs w:val="18"/>
              </w:rPr>
            </w:pPr>
            <w:r w:rsidRPr="007C7186">
              <w:rPr>
                <w:rFonts w:ascii="Arial" w:hAnsi="Arial" w:cs="Arial"/>
                <w:color w:val="000000"/>
                <w:sz w:val="18"/>
                <w:szCs w:val="18"/>
              </w:rPr>
              <w:t>514</w:t>
            </w:r>
          </w:p>
        </w:tc>
        <w:tc>
          <w:tcPr>
            <w:tcW w:w="1218" w:type="dxa"/>
            <w:shd w:val="clear" w:color="auto" w:fill="auto"/>
          </w:tcPr>
          <w:p w14:paraId="65C9EF26"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286</w:t>
            </w:r>
          </w:p>
        </w:tc>
      </w:tr>
      <w:tr w:rsidR="004E2F51" w:rsidRPr="00B91D09" w14:paraId="1628966C" w14:textId="77777777" w:rsidTr="00E032FC">
        <w:trPr>
          <w:trHeight w:val="193"/>
        </w:trPr>
        <w:tc>
          <w:tcPr>
            <w:tcW w:w="6387" w:type="dxa"/>
            <w:tcBorders>
              <w:top w:val="nil"/>
              <w:left w:val="nil"/>
              <w:right w:val="nil"/>
            </w:tcBorders>
            <w:shd w:val="clear" w:color="auto" w:fill="auto"/>
            <w:vAlign w:val="bottom"/>
          </w:tcPr>
          <w:p w14:paraId="07ED5ECB"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Bruto pričuva za povrate premija</w:t>
            </w:r>
          </w:p>
        </w:tc>
        <w:tc>
          <w:tcPr>
            <w:tcW w:w="1403" w:type="dxa"/>
            <w:shd w:val="clear" w:color="auto" w:fill="auto"/>
            <w:noWrap/>
            <w:vAlign w:val="bottom"/>
          </w:tcPr>
          <w:p w14:paraId="385A3C75" w14:textId="77777777" w:rsidR="004E2F51" w:rsidRPr="007C7186" w:rsidRDefault="004E2F51" w:rsidP="00E032FC">
            <w:pPr>
              <w:jc w:val="right"/>
              <w:rPr>
                <w:rFonts w:ascii="Arial" w:hAnsi="Arial" w:cs="Arial"/>
                <w:color w:val="000000"/>
                <w:sz w:val="18"/>
                <w:szCs w:val="18"/>
              </w:rPr>
            </w:pPr>
            <w:r>
              <w:rPr>
                <w:rFonts w:ascii="Arial" w:hAnsi="Arial" w:cs="Arial"/>
                <w:color w:val="000000"/>
                <w:sz w:val="18"/>
                <w:szCs w:val="18"/>
              </w:rPr>
              <w:t>(</w:t>
            </w:r>
            <w:r w:rsidRPr="007C7186">
              <w:rPr>
                <w:rFonts w:ascii="Arial" w:hAnsi="Arial" w:cs="Arial"/>
                <w:color w:val="000000"/>
                <w:sz w:val="18"/>
                <w:szCs w:val="18"/>
              </w:rPr>
              <w:t>721</w:t>
            </w:r>
            <w:r>
              <w:rPr>
                <w:rFonts w:ascii="Arial" w:hAnsi="Arial" w:cs="Arial"/>
                <w:color w:val="000000"/>
                <w:sz w:val="18"/>
                <w:szCs w:val="18"/>
              </w:rPr>
              <w:t>)</w:t>
            </w:r>
          </w:p>
        </w:tc>
        <w:tc>
          <w:tcPr>
            <w:tcW w:w="1218" w:type="dxa"/>
            <w:shd w:val="clear" w:color="auto" w:fill="auto"/>
          </w:tcPr>
          <w:p w14:paraId="78CE1C82"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(606)</w:t>
            </w:r>
          </w:p>
        </w:tc>
      </w:tr>
      <w:tr w:rsidR="004E2F51" w:rsidRPr="00B91D09" w14:paraId="270348BE" w14:textId="77777777" w:rsidTr="00E032FC">
        <w:trPr>
          <w:trHeight w:val="89"/>
        </w:trPr>
        <w:tc>
          <w:tcPr>
            <w:tcW w:w="6387" w:type="dxa"/>
            <w:tcBorders>
              <w:top w:val="nil"/>
              <w:left w:val="nil"/>
              <w:right w:val="nil"/>
            </w:tcBorders>
            <w:shd w:val="clear" w:color="auto" w:fill="auto"/>
            <w:vAlign w:val="bottom"/>
          </w:tcPr>
          <w:p w14:paraId="2E1F75FE"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Udio reosiguravatelja u pričuvi</w:t>
            </w:r>
          </w:p>
        </w:tc>
        <w:tc>
          <w:tcPr>
            <w:tcW w:w="1403" w:type="dxa"/>
            <w:tcBorders>
              <w:top w:val="nil"/>
              <w:left w:val="nil"/>
              <w:bottom w:val="single" w:sz="4" w:space="0" w:color="auto"/>
              <w:right w:val="nil"/>
            </w:tcBorders>
            <w:shd w:val="clear" w:color="auto" w:fill="auto"/>
            <w:noWrap/>
            <w:vAlign w:val="bottom"/>
          </w:tcPr>
          <w:p w14:paraId="07FE5310" w14:textId="77777777" w:rsidR="004E2F51" w:rsidRPr="007C7186" w:rsidRDefault="004E2F51" w:rsidP="00E032FC">
            <w:pPr>
              <w:jc w:val="right"/>
              <w:rPr>
                <w:rFonts w:ascii="Arial" w:hAnsi="Arial" w:cs="Arial"/>
                <w:color w:val="000000"/>
                <w:sz w:val="18"/>
                <w:szCs w:val="18"/>
              </w:rPr>
            </w:pPr>
            <w:r w:rsidRPr="007C7186">
              <w:rPr>
                <w:rFonts w:ascii="Arial" w:hAnsi="Arial" w:cs="Arial"/>
                <w:color w:val="000000"/>
                <w:sz w:val="18"/>
                <w:szCs w:val="18"/>
              </w:rPr>
              <w:t xml:space="preserve"> 264 </w:t>
            </w:r>
          </w:p>
        </w:tc>
        <w:tc>
          <w:tcPr>
            <w:tcW w:w="1218" w:type="dxa"/>
            <w:tcBorders>
              <w:top w:val="nil"/>
              <w:left w:val="nil"/>
              <w:bottom w:val="single" w:sz="4" w:space="0" w:color="auto"/>
              <w:right w:val="nil"/>
            </w:tcBorders>
            <w:shd w:val="clear" w:color="auto" w:fill="auto"/>
          </w:tcPr>
          <w:p w14:paraId="42C552B9"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295</w:t>
            </w:r>
          </w:p>
        </w:tc>
      </w:tr>
      <w:tr w:rsidR="004E2F51" w:rsidRPr="00B91D09" w14:paraId="17BF1C80" w14:textId="77777777" w:rsidTr="00E032FC">
        <w:trPr>
          <w:trHeight w:val="123"/>
        </w:trPr>
        <w:tc>
          <w:tcPr>
            <w:tcW w:w="6387" w:type="dxa"/>
            <w:tcBorders>
              <w:left w:val="nil"/>
              <w:right w:val="nil"/>
            </w:tcBorders>
            <w:shd w:val="clear" w:color="auto" w:fill="auto"/>
            <w:vAlign w:val="bottom"/>
          </w:tcPr>
          <w:p w14:paraId="440A6A14"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Neto izdaci i pričuve za povrat premije</w:t>
            </w:r>
          </w:p>
        </w:tc>
        <w:tc>
          <w:tcPr>
            <w:tcW w:w="1403" w:type="dxa"/>
            <w:tcBorders>
              <w:top w:val="single" w:sz="4" w:space="0" w:color="auto"/>
              <w:left w:val="nil"/>
              <w:bottom w:val="single" w:sz="12" w:space="0" w:color="auto"/>
              <w:right w:val="nil"/>
            </w:tcBorders>
            <w:shd w:val="clear" w:color="auto" w:fill="auto"/>
            <w:noWrap/>
            <w:vAlign w:val="bottom"/>
          </w:tcPr>
          <w:p w14:paraId="5E945EED" w14:textId="77777777" w:rsidR="004E2F51" w:rsidRPr="00B91D09" w:rsidRDefault="004E2F51" w:rsidP="00E032FC">
            <w:pPr>
              <w:jc w:val="right"/>
              <w:rPr>
                <w:rFonts w:ascii="Arial" w:hAnsi="Arial" w:cs="Arial"/>
                <w:b/>
                <w:color w:val="000000" w:themeColor="text1"/>
                <w:sz w:val="18"/>
                <w:szCs w:val="18"/>
                <w:lang w:val="hr-HR"/>
              </w:rPr>
            </w:pPr>
            <w:r w:rsidRPr="007C7186">
              <w:rPr>
                <w:rFonts w:ascii="Arial" w:hAnsi="Arial" w:cs="Arial"/>
                <w:b/>
                <w:color w:val="000000" w:themeColor="text1"/>
                <w:sz w:val="18"/>
                <w:szCs w:val="18"/>
                <w:lang w:val="hr-HR"/>
              </w:rPr>
              <w:t>(1.059)</w:t>
            </w:r>
          </w:p>
        </w:tc>
        <w:tc>
          <w:tcPr>
            <w:tcW w:w="1218" w:type="dxa"/>
            <w:tcBorders>
              <w:top w:val="single" w:sz="4" w:space="0" w:color="auto"/>
              <w:left w:val="nil"/>
              <w:bottom w:val="single" w:sz="12" w:space="0" w:color="auto"/>
              <w:right w:val="nil"/>
            </w:tcBorders>
            <w:shd w:val="clear" w:color="auto" w:fill="auto"/>
          </w:tcPr>
          <w:p w14:paraId="7D0A85E2" w14:textId="77777777" w:rsidR="004E2F51" w:rsidRPr="00B91D09" w:rsidRDefault="004E2F51" w:rsidP="00E032FC">
            <w:pPr>
              <w:jc w:val="right"/>
              <w:rPr>
                <w:rFonts w:ascii="Arial" w:hAnsi="Arial" w:cs="Arial"/>
                <w:b/>
                <w:color w:val="000000" w:themeColor="text1"/>
                <w:sz w:val="18"/>
                <w:szCs w:val="18"/>
                <w:lang w:val="hr-HR"/>
              </w:rPr>
            </w:pPr>
            <w:r w:rsidRPr="00B91D09">
              <w:rPr>
                <w:rFonts w:ascii="Arial" w:hAnsi="Arial" w:cs="Arial"/>
                <w:b/>
                <w:bCs/>
                <w:color w:val="000000"/>
                <w:sz w:val="18"/>
                <w:szCs w:val="18"/>
              </w:rPr>
              <w:t>(665)</w:t>
            </w:r>
          </w:p>
        </w:tc>
      </w:tr>
      <w:tr w:rsidR="004E2F51" w:rsidRPr="00B91D09" w14:paraId="507F25C2" w14:textId="77777777" w:rsidTr="00E032FC">
        <w:trPr>
          <w:trHeight w:val="82"/>
        </w:trPr>
        <w:tc>
          <w:tcPr>
            <w:tcW w:w="6387" w:type="dxa"/>
            <w:tcBorders>
              <w:left w:val="nil"/>
              <w:bottom w:val="nil"/>
              <w:right w:val="nil"/>
            </w:tcBorders>
            <w:shd w:val="clear" w:color="auto" w:fill="auto"/>
            <w:vAlign w:val="bottom"/>
          </w:tcPr>
          <w:p w14:paraId="19B51579"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403" w:type="dxa"/>
            <w:tcBorders>
              <w:top w:val="single" w:sz="12" w:space="0" w:color="auto"/>
              <w:left w:val="nil"/>
              <w:bottom w:val="nil"/>
              <w:right w:val="nil"/>
            </w:tcBorders>
            <w:shd w:val="clear" w:color="auto" w:fill="auto"/>
            <w:noWrap/>
            <w:vAlign w:val="bottom"/>
          </w:tcPr>
          <w:p w14:paraId="5305748F" w14:textId="77777777" w:rsidR="004E2F51" w:rsidRPr="00B91D09" w:rsidRDefault="004E2F51" w:rsidP="00E032FC">
            <w:pPr>
              <w:spacing w:line="140" w:lineRule="exact"/>
              <w:jc w:val="right"/>
              <w:rPr>
                <w:rFonts w:ascii="Arial" w:hAnsi="Arial" w:cs="Arial"/>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1355753B" w14:textId="77777777" w:rsidR="004E2F51" w:rsidRPr="00B91D09" w:rsidRDefault="004E2F51" w:rsidP="00E032FC">
            <w:pPr>
              <w:spacing w:line="140" w:lineRule="exact"/>
              <w:jc w:val="right"/>
              <w:rPr>
                <w:rFonts w:ascii="Arial" w:hAnsi="Arial" w:cs="Arial"/>
                <w:color w:val="000000" w:themeColor="text1"/>
                <w:sz w:val="18"/>
                <w:szCs w:val="18"/>
                <w:lang w:val="hr-HR"/>
              </w:rPr>
            </w:pPr>
          </w:p>
        </w:tc>
      </w:tr>
      <w:tr w:rsidR="004E2F51" w:rsidRPr="00B91D09" w14:paraId="2E3A053A" w14:textId="77777777" w:rsidTr="00E032FC">
        <w:trPr>
          <w:trHeight w:val="163"/>
        </w:trPr>
        <w:tc>
          <w:tcPr>
            <w:tcW w:w="6387" w:type="dxa"/>
            <w:tcBorders>
              <w:top w:val="nil"/>
              <w:left w:val="nil"/>
              <w:bottom w:val="nil"/>
              <w:right w:val="nil"/>
            </w:tcBorders>
            <w:shd w:val="clear" w:color="auto" w:fill="auto"/>
            <w:vAlign w:val="bottom"/>
          </w:tcPr>
          <w:p w14:paraId="38D86EB3"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Izdaci za osigurane slučajeve</w:t>
            </w:r>
          </w:p>
        </w:tc>
        <w:tc>
          <w:tcPr>
            <w:tcW w:w="1403" w:type="dxa"/>
            <w:shd w:val="clear" w:color="auto" w:fill="auto"/>
            <w:noWrap/>
            <w:vAlign w:val="bottom"/>
          </w:tcPr>
          <w:p w14:paraId="621BA018" w14:textId="77777777" w:rsidR="004E2F51" w:rsidRPr="007C7186" w:rsidRDefault="004E2F51" w:rsidP="00E032FC">
            <w:pPr>
              <w:jc w:val="right"/>
              <w:rPr>
                <w:rFonts w:ascii="Arial" w:hAnsi="Arial" w:cs="Arial"/>
                <w:color w:val="000000"/>
                <w:sz w:val="18"/>
                <w:szCs w:val="18"/>
              </w:rPr>
            </w:pPr>
            <w:r w:rsidRPr="007C7186">
              <w:rPr>
                <w:rFonts w:ascii="Arial" w:hAnsi="Arial" w:cs="Arial"/>
                <w:color w:val="000000"/>
                <w:sz w:val="18"/>
                <w:szCs w:val="18"/>
              </w:rPr>
              <w:t xml:space="preserve"> (6.323)</w:t>
            </w:r>
          </w:p>
        </w:tc>
        <w:tc>
          <w:tcPr>
            <w:tcW w:w="1218" w:type="dxa"/>
            <w:shd w:val="clear" w:color="auto" w:fill="auto"/>
          </w:tcPr>
          <w:p w14:paraId="58D9951B"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(2.290)</w:t>
            </w:r>
          </w:p>
        </w:tc>
      </w:tr>
      <w:tr w:rsidR="004E2F51" w:rsidRPr="00B91D09" w14:paraId="7030A136" w14:textId="77777777" w:rsidTr="00E032FC">
        <w:trPr>
          <w:trHeight w:val="98"/>
        </w:trPr>
        <w:tc>
          <w:tcPr>
            <w:tcW w:w="6387" w:type="dxa"/>
            <w:tcBorders>
              <w:top w:val="nil"/>
              <w:left w:val="nil"/>
              <w:bottom w:val="nil"/>
              <w:right w:val="nil"/>
            </w:tcBorders>
            <w:shd w:val="clear" w:color="auto" w:fill="auto"/>
            <w:vAlign w:val="bottom"/>
          </w:tcPr>
          <w:p w14:paraId="02E74270"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Izdaci za osigurane slučajeve, udio reosiguranja</w:t>
            </w:r>
          </w:p>
        </w:tc>
        <w:tc>
          <w:tcPr>
            <w:tcW w:w="1403" w:type="dxa"/>
            <w:shd w:val="clear" w:color="auto" w:fill="auto"/>
            <w:noWrap/>
            <w:vAlign w:val="bottom"/>
          </w:tcPr>
          <w:p w14:paraId="7CEC7749" w14:textId="77777777" w:rsidR="004E2F51" w:rsidRPr="007C7186" w:rsidRDefault="004E2F51" w:rsidP="00E032FC">
            <w:pPr>
              <w:jc w:val="right"/>
              <w:rPr>
                <w:rFonts w:ascii="Arial" w:hAnsi="Arial" w:cs="Arial"/>
                <w:color w:val="000000"/>
                <w:sz w:val="18"/>
                <w:szCs w:val="18"/>
              </w:rPr>
            </w:pPr>
            <w:r w:rsidRPr="007C7186">
              <w:rPr>
                <w:rFonts w:ascii="Arial" w:hAnsi="Arial" w:cs="Arial"/>
                <w:color w:val="000000"/>
                <w:sz w:val="18"/>
                <w:szCs w:val="18"/>
              </w:rPr>
              <w:t>1.996</w:t>
            </w:r>
          </w:p>
        </w:tc>
        <w:tc>
          <w:tcPr>
            <w:tcW w:w="1218" w:type="dxa"/>
            <w:shd w:val="clear" w:color="auto" w:fill="auto"/>
          </w:tcPr>
          <w:p w14:paraId="16A918FF"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1.018</w:t>
            </w:r>
          </w:p>
        </w:tc>
      </w:tr>
      <w:tr w:rsidR="004E2F51" w:rsidRPr="00B91D09" w14:paraId="60650EBA" w14:textId="77777777" w:rsidTr="00E032FC">
        <w:trPr>
          <w:trHeight w:val="138"/>
        </w:trPr>
        <w:tc>
          <w:tcPr>
            <w:tcW w:w="6387" w:type="dxa"/>
            <w:tcBorders>
              <w:top w:val="nil"/>
              <w:left w:val="nil"/>
              <w:bottom w:val="nil"/>
              <w:right w:val="nil"/>
            </w:tcBorders>
            <w:shd w:val="clear" w:color="auto" w:fill="auto"/>
            <w:vAlign w:val="bottom"/>
          </w:tcPr>
          <w:p w14:paraId="14A585C3"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Promjena pričuva za štete</w:t>
            </w:r>
          </w:p>
        </w:tc>
        <w:tc>
          <w:tcPr>
            <w:tcW w:w="1403" w:type="dxa"/>
            <w:shd w:val="clear" w:color="auto" w:fill="auto"/>
            <w:noWrap/>
            <w:vAlign w:val="bottom"/>
          </w:tcPr>
          <w:p w14:paraId="2D09481B" w14:textId="77777777" w:rsidR="004E2F51" w:rsidRPr="007C7186" w:rsidRDefault="004E2F51" w:rsidP="00E032FC">
            <w:pPr>
              <w:jc w:val="right"/>
              <w:rPr>
                <w:rFonts w:ascii="Arial" w:hAnsi="Arial" w:cs="Arial"/>
                <w:color w:val="000000"/>
                <w:sz w:val="18"/>
                <w:szCs w:val="18"/>
              </w:rPr>
            </w:pPr>
            <w:r w:rsidRPr="007C7186">
              <w:rPr>
                <w:rFonts w:ascii="Arial" w:hAnsi="Arial" w:cs="Arial"/>
                <w:color w:val="000000"/>
                <w:sz w:val="18"/>
                <w:szCs w:val="18"/>
              </w:rPr>
              <w:t xml:space="preserve"> 2.916 </w:t>
            </w:r>
          </w:p>
        </w:tc>
        <w:tc>
          <w:tcPr>
            <w:tcW w:w="1218" w:type="dxa"/>
            <w:shd w:val="clear" w:color="auto" w:fill="auto"/>
          </w:tcPr>
          <w:p w14:paraId="58200B79"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(1.004)</w:t>
            </w:r>
          </w:p>
        </w:tc>
      </w:tr>
      <w:tr w:rsidR="004E2F51" w:rsidRPr="00B91D09" w14:paraId="364CEB66" w14:textId="77777777" w:rsidTr="00E032FC">
        <w:trPr>
          <w:trHeight w:val="82"/>
        </w:trPr>
        <w:tc>
          <w:tcPr>
            <w:tcW w:w="6387" w:type="dxa"/>
            <w:tcBorders>
              <w:top w:val="nil"/>
              <w:left w:val="nil"/>
              <w:right w:val="nil"/>
            </w:tcBorders>
            <w:shd w:val="clear" w:color="auto" w:fill="auto"/>
            <w:vAlign w:val="bottom"/>
          </w:tcPr>
          <w:p w14:paraId="1FF2D362"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Promjena pričuva za štete, udio reosiguranja</w:t>
            </w:r>
          </w:p>
        </w:tc>
        <w:tc>
          <w:tcPr>
            <w:tcW w:w="1403" w:type="dxa"/>
            <w:tcBorders>
              <w:top w:val="nil"/>
              <w:left w:val="nil"/>
              <w:bottom w:val="single" w:sz="4" w:space="0" w:color="auto"/>
              <w:right w:val="nil"/>
            </w:tcBorders>
            <w:shd w:val="clear" w:color="auto" w:fill="auto"/>
            <w:noWrap/>
            <w:vAlign w:val="bottom"/>
          </w:tcPr>
          <w:p w14:paraId="41A419F6" w14:textId="77777777" w:rsidR="004E2F51" w:rsidRPr="007C7186" w:rsidRDefault="004E2F51" w:rsidP="00E032FC">
            <w:pPr>
              <w:jc w:val="right"/>
              <w:rPr>
                <w:rFonts w:ascii="Arial" w:hAnsi="Arial" w:cs="Arial"/>
                <w:color w:val="000000"/>
                <w:sz w:val="18"/>
                <w:szCs w:val="18"/>
              </w:rPr>
            </w:pPr>
            <w:r>
              <w:rPr>
                <w:rFonts w:ascii="Arial" w:hAnsi="Arial" w:cs="Arial"/>
                <w:color w:val="000000"/>
                <w:sz w:val="18"/>
                <w:szCs w:val="18"/>
              </w:rPr>
              <w:t>(</w:t>
            </w:r>
            <w:r w:rsidRPr="007C7186">
              <w:rPr>
                <w:rFonts w:ascii="Arial" w:hAnsi="Arial" w:cs="Arial"/>
                <w:color w:val="000000"/>
                <w:sz w:val="18"/>
                <w:szCs w:val="18"/>
              </w:rPr>
              <w:t>1.018</w:t>
            </w:r>
            <w:r>
              <w:rPr>
                <w:rFonts w:ascii="Arial" w:hAnsi="Arial" w:cs="Arial"/>
                <w:color w:val="000000"/>
                <w:sz w:val="18"/>
                <w:szCs w:val="18"/>
              </w:rPr>
              <w:t>)</w:t>
            </w:r>
          </w:p>
        </w:tc>
        <w:tc>
          <w:tcPr>
            <w:tcW w:w="1218" w:type="dxa"/>
            <w:tcBorders>
              <w:top w:val="nil"/>
              <w:left w:val="nil"/>
              <w:bottom w:val="single" w:sz="4" w:space="0" w:color="auto"/>
              <w:right w:val="nil"/>
            </w:tcBorders>
            <w:shd w:val="clear" w:color="auto" w:fill="auto"/>
          </w:tcPr>
          <w:p w14:paraId="4F84D785"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(234)</w:t>
            </w:r>
          </w:p>
        </w:tc>
      </w:tr>
      <w:tr w:rsidR="004E2F51" w:rsidRPr="00B91D09" w14:paraId="769B64F1" w14:textId="77777777" w:rsidTr="00E032FC">
        <w:trPr>
          <w:trHeight w:val="97"/>
        </w:trPr>
        <w:tc>
          <w:tcPr>
            <w:tcW w:w="6387" w:type="dxa"/>
            <w:tcBorders>
              <w:left w:val="nil"/>
              <w:right w:val="nil"/>
            </w:tcBorders>
            <w:shd w:val="clear" w:color="auto" w:fill="auto"/>
            <w:vAlign w:val="bottom"/>
          </w:tcPr>
          <w:p w14:paraId="3FEF78FA"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Neto izdaci za osigurane slučajeve</w:t>
            </w:r>
          </w:p>
        </w:tc>
        <w:tc>
          <w:tcPr>
            <w:tcW w:w="1403" w:type="dxa"/>
            <w:tcBorders>
              <w:top w:val="single" w:sz="4" w:space="0" w:color="auto"/>
              <w:left w:val="nil"/>
              <w:bottom w:val="single" w:sz="12" w:space="0" w:color="auto"/>
              <w:right w:val="nil"/>
            </w:tcBorders>
            <w:shd w:val="clear" w:color="auto" w:fill="auto"/>
            <w:noWrap/>
            <w:vAlign w:val="bottom"/>
          </w:tcPr>
          <w:p w14:paraId="6100EF40" w14:textId="77777777" w:rsidR="004E2F51" w:rsidRPr="00B91D09" w:rsidRDefault="004E2F51" w:rsidP="00E032FC">
            <w:pPr>
              <w:jc w:val="right"/>
              <w:rPr>
                <w:rFonts w:ascii="Arial" w:hAnsi="Arial" w:cs="Arial"/>
                <w:b/>
                <w:bCs/>
                <w:color w:val="000000" w:themeColor="text1"/>
                <w:sz w:val="18"/>
                <w:szCs w:val="18"/>
                <w:lang w:val="hr-HR"/>
              </w:rPr>
            </w:pPr>
            <w:r w:rsidRPr="007C7186">
              <w:rPr>
                <w:rFonts w:ascii="Arial" w:hAnsi="Arial" w:cs="Arial"/>
                <w:b/>
                <w:bCs/>
                <w:color w:val="000000" w:themeColor="text1"/>
                <w:sz w:val="18"/>
                <w:szCs w:val="18"/>
                <w:lang w:val="hr-HR"/>
              </w:rPr>
              <w:t>(2.429)</w:t>
            </w:r>
          </w:p>
        </w:tc>
        <w:tc>
          <w:tcPr>
            <w:tcW w:w="1218" w:type="dxa"/>
            <w:tcBorders>
              <w:top w:val="single" w:sz="4" w:space="0" w:color="auto"/>
              <w:left w:val="nil"/>
              <w:bottom w:val="single" w:sz="12" w:space="0" w:color="auto"/>
              <w:right w:val="nil"/>
            </w:tcBorders>
            <w:shd w:val="clear" w:color="auto" w:fill="auto"/>
          </w:tcPr>
          <w:p w14:paraId="7BE761AF"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sz w:val="18"/>
                <w:szCs w:val="18"/>
              </w:rPr>
              <w:t>(2.510)</w:t>
            </w:r>
          </w:p>
        </w:tc>
      </w:tr>
      <w:tr w:rsidR="004E2F51" w:rsidRPr="00B91D09" w14:paraId="2E74D870" w14:textId="77777777" w:rsidTr="00E032FC">
        <w:trPr>
          <w:trHeight w:hRule="exact" w:val="129"/>
        </w:trPr>
        <w:tc>
          <w:tcPr>
            <w:tcW w:w="6387" w:type="dxa"/>
            <w:tcBorders>
              <w:left w:val="nil"/>
              <w:right w:val="nil"/>
            </w:tcBorders>
            <w:shd w:val="clear" w:color="auto" w:fill="auto"/>
            <w:vAlign w:val="bottom"/>
          </w:tcPr>
          <w:p w14:paraId="427C60D2" w14:textId="77777777" w:rsidR="004E2F51" w:rsidRPr="00B91D09" w:rsidRDefault="004E2F51" w:rsidP="00E032FC">
            <w:pPr>
              <w:spacing w:line="140" w:lineRule="exact"/>
              <w:rPr>
                <w:rFonts w:ascii="Arial" w:hAnsi="Arial" w:cs="Arial"/>
                <w:b/>
                <w:bCs/>
                <w:color w:val="000000" w:themeColor="text1"/>
                <w:sz w:val="18"/>
                <w:szCs w:val="18"/>
                <w:lang w:val="hr-HR"/>
              </w:rPr>
            </w:pPr>
          </w:p>
        </w:tc>
        <w:tc>
          <w:tcPr>
            <w:tcW w:w="1403" w:type="dxa"/>
            <w:tcBorders>
              <w:top w:val="single" w:sz="12" w:space="0" w:color="auto"/>
              <w:left w:val="nil"/>
              <w:bottom w:val="nil"/>
              <w:right w:val="nil"/>
            </w:tcBorders>
            <w:shd w:val="clear" w:color="auto" w:fill="auto"/>
            <w:noWrap/>
            <w:vAlign w:val="bottom"/>
          </w:tcPr>
          <w:p w14:paraId="389B2817" w14:textId="77777777" w:rsidR="004E2F51" w:rsidRPr="00B91D09" w:rsidRDefault="004E2F51" w:rsidP="00E032FC">
            <w:pPr>
              <w:spacing w:line="140" w:lineRule="exact"/>
              <w:jc w:val="right"/>
              <w:rPr>
                <w:rFonts w:ascii="Arial" w:hAnsi="Arial" w:cs="Arial"/>
                <w:b/>
                <w:bCs/>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335DBEFE" w14:textId="77777777" w:rsidR="004E2F51" w:rsidRPr="00B91D09" w:rsidRDefault="004E2F51" w:rsidP="00E032FC">
            <w:pPr>
              <w:spacing w:line="140" w:lineRule="exact"/>
              <w:jc w:val="right"/>
              <w:rPr>
                <w:rFonts w:ascii="Arial" w:hAnsi="Arial" w:cs="Arial"/>
                <w:b/>
                <w:bCs/>
                <w:color w:val="000000" w:themeColor="text1"/>
                <w:sz w:val="18"/>
                <w:szCs w:val="18"/>
                <w:lang w:val="hr-HR"/>
              </w:rPr>
            </w:pPr>
          </w:p>
        </w:tc>
      </w:tr>
      <w:tr w:rsidR="004E2F51" w:rsidRPr="00B91D09" w14:paraId="35FE28C6" w14:textId="77777777" w:rsidTr="00E032FC">
        <w:trPr>
          <w:trHeight w:val="155"/>
        </w:trPr>
        <w:tc>
          <w:tcPr>
            <w:tcW w:w="6387" w:type="dxa"/>
            <w:tcBorders>
              <w:left w:val="nil"/>
              <w:right w:val="nil"/>
            </w:tcBorders>
            <w:shd w:val="clear" w:color="auto" w:fill="auto"/>
            <w:vAlign w:val="bottom"/>
          </w:tcPr>
          <w:p w14:paraId="53A00313" w14:textId="77777777" w:rsidR="004E2F51" w:rsidRPr="00B91D09" w:rsidRDefault="004E2F51" w:rsidP="00E032FC">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Troškovi pribave i marketinga</w:t>
            </w:r>
          </w:p>
        </w:tc>
        <w:tc>
          <w:tcPr>
            <w:tcW w:w="1403" w:type="dxa"/>
            <w:shd w:val="clear" w:color="auto" w:fill="auto"/>
            <w:noWrap/>
            <w:vAlign w:val="bottom"/>
          </w:tcPr>
          <w:p w14:paraId="3CA2C732" w14:textId="77777777" w:rsidR="004E2F51" w:rsidRPr="007C7186" w:rsidRDefault="004E2F51" w:rsidP="00E032FC">
            <w:pPr>
              <w:jc w:val="right"/>
              <w:rPr>
                <w:rFonts w:ascii="Arial" w:hAnsi="Arial" w:cs="Arial"/>
                <w:bCs/>
                <w:color w:val="000000"/>
                <w:sz w:val="18"/>
                <w:szCs w:val="18"/>
              </w:rPr>
            </w:pPr>
            <w:r w:rsidRPr="007C7186">
              <w:rPr>
                <w:rFonts w:ascii="Arial" w:hAnsi="Arial" w:cs="Arial"/>
                <w:bCs/>
                <w:color w:val="000000"/>
                <w:sz w:val="18"/>
                <w:szCs w:val="18"/>
              </w:rPr>
              <w:t xml:space="preserve"> (911)</w:t>
            </w:r>
          </w:p>
        </w:tc>
        <w:tc>
          <w:tcPr>
            <w:tcW w:w="1218" w:type="dxa"/>
            <w:shd w:val="clear" w:color="auto" w:fill="auto"/>
          </w:tcPr>
          <w:p w14:paraId="4BC09418" w14:textId="77777777" w:rsidR="004E2F51" w:rsidRPr="00B91D09" w:rsidRDefault="004E2F51" w:rsidP="00E032FC">
            <w:pPr>
              <w:jc w:val="right"/>
              <w:rPr>
                <w:rFonts w:ascii="Arial" w:hAnsi="Arial" w:cs="Arial"/>
                <w:bCs/>
                <w:color w:val="000000" w:themeColor="text1"/>
                <w:sz w:val="18"/>
                <w:szCs w:val="18"/>
                <w:lang w:val="hr-HR"/>
              </w:rPr>
            </w:pPr>
            <w:r w:rsidRPr="00B91D09">
              <w:rPr>
                <w:rFonts w:ascii="Arial" w:hAnsi="Arial" w:cs="Arial"/>
                <w:bCs/>
                <w:color w:val="000000"/>
                <w:sz w:val="18"/>
                <w:szCs w:val="18"/>
              </w:rPr>
              <w:t>(453)</w:t>
            </w:r>
          </w:p>
        </w:tc>
      </w:tr>
      <w:tr w:rsidR="004E2F51" w:rsidRPr="00B91D09" w14:paraId="3A9A766C" w14:textId="77777777" w:rsidTr="00E032FC">
        <w:trPr>
          <w:trHeight w:val="90"/>
        </w:trPr>
        <w:tc>
          <w:tcPr>
            <w:tcW w:w="6387" w:type="dxa"/>
            <w:tcBorders>
              <w:left w:val="nil"/>
              <w:right w:val="nil"/>
            </w:tcBorders>
            <w:shd w:val="clear" w:color="auto" w:fill="auto"/>
            <w:vAlign w:val="bottom"/>
          </w:tcPr>
          <w:p w14:paraId="726EF56A" w14:textId="77777777" w:rsidR="004E2F51" w:rsidRPr="00B91D09" w:rsidRDefault="004E2F51" w:rsidP="00E032FC">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Administrativni troškovi</w:t>
            </w:r>
          </w:p>
        </w:tc>
        <w:tc>
          <w:tcPr>
            <w:tcW w:w="1403" w:type="dxa"/>
            <w:shd w:val="clear" w:color="auto" w:fill="auto"/>
            <w:noWrap/>
            <w:vAlign w:val="bottom"/>
          </w:tcPr>
          <w:p w14:paraId="25C9DA45" w14:textId="77777777" w:rsidR="004E2F51" w:rsidRPr="007C7186" w:rsidRDefault="004E2F51" w:rsidP="00E032FC">
            <w:pPr>
              <w:jc w:val="right"/>
              <w:rPr>
                <w:rFonts w:ascii="Arial" w:hAnsi="Arial" w:cs="Arial"/>
                <w:bCs/>
                <w:color w:val="000000"/>
                <w:sz w:val="18"/>
                <w:szCs w:val="18"/>
              </w:rPr>
            </w:pPr>
            <w:r w:rsidRPr="007C7186">
              <w:rPr>
                <w:rFonts w:ascii="Arial" w:hAnsi="Arial" w:cs="Arial"/>
                <w:bCs/>
                <w:color w:val="000000"/>
                <w:sz w:val="18"/>
                <w:szCs w:val="18"/>
              </w:rPr>
              <w:t xml:space="preserve"> (8.002)</w:t>
            </w:r>
          </w:p>
        </w:tc>
        <w:tc>
          <w:tcPr>
            <w:tcW w:w="1218" w:type="dxa"/>
            <w:shd w:val="clear" w:color="auto" w:fill="auto"/>
          </w:tcPr>
          <w:p w14:paraId="4BC75F29" w14:textId="77777777" w:rsidR="004E2F51" w:rsidRPr="00B91D09" w:rsidRDefault="004E2F51" w:rsidP="00E032FC">
            <w:pPr>
              <w:jc w:val="right"/>
              <w:rPr>
                <w:rFonts w:ascii="Arial" w:hAnsi="Arial" w:cs="Arial"/>
                <w:bCs/>
                <w:color w:val="000000" w:themeColor="text1"/>
                <w:sz w:val="18"/>
                <w:szCs w:val="18"/>
                <w:lang w:val="hr-HR"/>
              </w:rPr>
            </w:pPr>
            <w:r w:rsidRPr="00B91D09">
              <w:rPr>
                <w:rFonts w:ascii="Arial" w:hAnsi="Arial" w:cs="Arial"/>
                <w:bCs/>
                <w:color w:val="000000"/>
                <w:sz w:val="18"/>
                <w:szCs w:val="18"/>
              </w:rPr>
              <w:t>(7.593)</w:t>
            </w:r>
          </w:p>
        </w:tc>
      </w:tr>
      <w:tr w:rsidR="004E2F51" w:rsidRPr="00B91D09" w14:paraId="6F4BD476" w14:textId="77777777" w:rsidTr="00E032FC">
        <w:trPr>
          <w:trHeight w:val="140"/>
        </w:trPr>
        <w:tc>
          <w:tcPr>
            <w:tcW w:w="6387" w:type="dxa"/>
            <w:tcBorders>
              <w:left w:val="nil"/>
              <w:right w:val="nil"/>
            </w:tcBorders>
            <w:shd w:val="clear" w:color="auto" w:fill="auto"/>
            <w:vAlign w:val="bottom"/>
          </w:tcPr>
          <w:p w14:paraId="52BDCE7F" w14:textId="77777777" w:rsidR="004E2F51" w:rsidRPr="00B91D09" w:rsidRDefault="004E2F51" w:rsidP="00E032FC">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Ostali poslovni troškovi</w:t>
            </w:r>
          </w:p>
        </w:tc>
        <w:tc>
          <w:tcPr>
            <w:tcW w:w="1403" w:type="dxa"/>
            <w:shd w:val="clear" w:color="auto" w:fill="auto"/>
            <w:noWrap/>
            <w:vAlign w:val="bottom"/>
          </w:tcPr>
          <w:p w14:paraId="56A7BFFE" w14:textId="77777777" w:rsidR="004E2F51" w:rsidRPr="007C7186" w:rsidRDefault="004E2F51" w:rsidP="00E032FC">
            <w:pPr>
              <w:jc w:val="right"/>
              <w:rPr>
                <w:rFonts w:ascii="Arial" w:hAnsi="Arial" w:cs="Arial"/>
                <w:bCs/>
                <w:color w:val="000000"/>
                <w:sz w:val="18"/>
                <w:szCs w:val="18"/>
              </w:rPr>
            </w:pPr>
            <w:r w:rsidRPr="007C7186">
              <w:rPr>
                <w:rFonts w:ascii="Arial" w:hAnsi="Arial" w:cs="Arial"/>
                <w:bCs/>
                <w:color w:val="000000"/>
                <w:sz w:val="18"/>
                <w:szCs w:val="18"/>
              </w:rPr>
              <w:t xml:space="preserve"> 134 </w:t>
            </w:r>
          </w:p>
        </w:tc>
        <w:tc>
          <w:tcPr>
            <w:tcW w:w="1218" w:type="dxa"/>
            <w:shd w:val="clear" w:color="auto" w:fill="auto"/>
          </w:tcPr>
          <w:p w14:paraId="7C7D55A7" w14:textId="77777777" w:rsidR="004E2F51" w:rsidRPr="00B91D09" w:rsidRDefault="004E2F51" w:rsidP="00E032FC">
            <w:pPr>
              <w:jc w:val="right"/>
              <w:rPr>
                <w:rFonts w:ascii="Arial" w:hAnsi="Arial" w:cs="Arial"/>
                <w:bCs/>
                <w:color w:val="000000" w:themeColor="text1"/>
                <w:sz w:val="18"/>
                <w:szCs w:val="18"/>
                <w:lang w:val="hr-HR"/>
              </w:rPr>
            </w:pPr>
            <w:r w:rsidRPr="00B91D09">
              <w:rPr>
                <w:rFonts w:ascii="Arial" w:hAnsi="Arial" w:cs="Arial"/>
                <w:bCs/>
                <w:color w:val="000000"/>
                <w:sz w:val="18"/>
                <w:szCs w:val="18"/>
              </w:rPr>
              <w:t>(36)</w:t>
            </w:r>
          </w:p>
        </w:tc>
      </w:tr>
      <w:tr w:rsidR="004E2F51" w:rsidRPr="00B91D09" w14:paraId="1483DA15" w14:textId="77777777" w:rsidTr="00E032FC">
        <w:trPr>
          <w:trHeight w:val="181"/>
        </w:trPr>
        <w:tc>
          <w:tcPr>
            <w:tcW w:w="6387" w:type="dxa"/>
            <w:tcBorders>
              <w:left w:val="nil"/>
              <w:right w:val="nil"/>
            </w:tcBorders>
            <w:shd w:val="clear" w:color="auto" w:fill="auto"/>
            <w:vAlign w:val="bottom"/>
          </w:tcPr>
          <w:p w14:paraId="4B22A92E" w14:textId="77777777" w:rsidR="004E2F51" w:rsidRPr="00B91D09" w:rsidRDefault="004E2F51" w:rsidP="00E032FC">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Neto tečajne razlike koje ne proizlaze iz financijskih instrumenata</w:t>
            </w:r>
          </w:p>
        </w:tc>
        <w:tc>
          <w:tcPr>
            <w:tcW w:w="1403" w:type="dxa"/>
            <w:tcBorders>
              <w:top w:val="nil"/>
              <w:left w:val="nil"/>
              <w:bottom w:val="single" w:sz="4" w:space="0" w:color="auto"/>
              <w:right w:val="nil"/>
            </w:tcBorders>
            <w:shd w:val="clear" w:color="auto" w:fill="auto"/>
            <w:noWrap/>
            <w:vAlign w:val="bottom"/>
          </w:tcPr>
          <w:p w14:paraId="0BC11C5C" w14:textId="77777777" w:rsidR="004E2F51" w:rsidRPr="007C7186" w:rsidRDefault="004E2F51" w:rsidP="00E032FC">
            <w:pPr>
              <w:jc w:val="right"/>
              <w:rPr>
                <w:rFonts w:ascii="Arial" w:hAnsi="Arial" w:cs="Arial"/>
                <w:bCs/>
                <w:color w:val="000000"/>
                <w:sz w:val="18"/>
                <w:szCs w:val="18"/>
              </w:rPr>
            </w:pPr>
            <w:r w:rsidRPr="0002282A">
              <w:rPr>
                <w:rFonts w:ascii="Arial" w:hAnsi="Arial" w:cs="Arial"/>
                <w:bCs/>
                <w:color w:val="000000"/>
                <w:sz w:val="18"/>
                <w:szCs w:val="18"/>
                <w:lang w:val="it-IT"/>
              </w:rPr>
              <w:t xml:space="preserve"> </w:t>
            </w:r>
            <w:r w:rsidRPr="007C7186">
              <w:rPr>
                <w:rFonts w:ascii="Arial" w:hAnsi="Arial" w:cs="Arial"/>
                <w:bCs/>
                <w:color w:val="000000"/>
                <w:sz w:val="18"/>
                <w:szCs w:val="18"/>
              </w:rPr>
              <w:t xml:space="preserve">7 </w:t>
            </w:r>
          </w:p>
        </w:tc>
        <w:tc>
          <w:tcPr>
            <w:tcW w:w="1218" w:type="dxa"/>
            <w:tcBorders>
              <w:top w:val="nil"/>
              <w:left w:val="nil"/>
              <w:bottom w:val="single" w:sz="4" w:space="0" w:color="auto"/>
              <w:right w:val="nil"/>
            </w:tcBorders>
            <w:shd w:val="clear" w:color="auto" w:fill="auto"/>
          </w:tcPr>
          <w:p w14:paraId="0A69B650" w14:textId="77777777" w:rsidR="004E2F51" w:rsidRPr="00B91D09" w:rsidRDefault="004E2F51" w:rsidP="00E032FC">
            <w:pPr>
              <w:jc w:val="right"/>
              <w:rPr>
                <w:rFonts w:ascii="Arial" w:hAnsi="Arial" w:cs="Arial"/>
                <w:bCs/>
                <w:color w:val="000000" w:themeColor="text1"/>
                <w:sz w:val="18"/>
                <w:szCs w:val="18"/>
                <w:lang w:val="hr-HR"/>
              </w:rPr>
            </w:pPr>
            <w:r w:rsidRPr="00B91D09">
              <w:rPr>
                <w:rFonts w:ascii="Arial" w:hAnsi="Arial" w:cs="Arial"/>
                <w:bCs/>
                <w:color w:val="000000"/>
                <w:sz w:val="18"/>
                <w:szCs w:val="18"/>
              </w:rPr>
              <w:t>(8)</w:t>
            </w:r>
          </w:p>
        </w:tc>
      </w:tr>
      <w:tr w:rsidR="004E2F51" w:rsidRPr="00B91D09" w14:paraId="6B0B022F" w14:textId="77777777" w:rsidTr="00E032FC">
        <w:trPr>
          <w:trHeight w:val="73"/>
        </w:trPr>
        <w:tc>
          <w:tcPr>
            <w:tcW w:w="6387" w:type="dxa"/>
            <w:tcBorders>
              <w:left w:val="nil"/>
              <w:right w:val="nil"/>
            </w:tcBorders>
            <w:shd w:val="clear" w:color="auto" w:fill="auto"/>
            <w:vAlign w:val="bottom"/>
          </w:tcPr>
          <w:p w14:paraId="215201E4"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Dobit prije oporezivanja</w:t>
            </w:r>
          </w:p>
        </w:tc>
        <w:tc>
          <w:tcPr>
            <w:tcW w:w="1403" w:type="dxa"/>
            <w:tcBorders>
              <w:top w:val="single" w:sz="4" w:space="0" w:color="auto"/>
              <w:left w:val="nil"/>
              <w:bottom w:val="single" w:sz="12" w:space="0" w:color="auto"/>
              <w:right w:val="nil"/>
            </w:tcBorders>
            <w:shd w:val="clear" w:color="auto" w:fill="auto"/>
            <w:noWrap/>
            <w:vAlign w:val="bottom"/>
          </w:tcPr>
          <w:p w14:paraId="621F4C63" w14:textId="77777777" w:rsidR="004E2F51" w:rsidRPr="00B91D09" w:rsidRDefault="004E2F51" w:rsidP="00E032FC">
            <w:pPr>
              <w:jc w:val="right"/>
              <w:rPr>
                <w:rFonts w:ascii="Arial" w:hAnsi="Arial" w:cs="Arial"/>
                <w:b/>
                <w:bCs/>
                <w:color w:val="000000" w:themeColor="text1"/>
                <w:sz w:val="18"/>
                <w:szCs w:val="18"/>
                <w:lang w:val="hr-HR"/>
              </w:rPr>
            </w:pPr>
            <w:r w:rsidRPr="007C7186">
              <w:rPr>
                <w:rFonts w:ascii="Arial" w:hAnsi="Arial" w:cs="Arial"/>
                <w:b/>
                <w:bCs/>
                <w:color w:val="000000" w:themeColor="text1"/>
                <w:sz w:val="18"/>
                <w:szCs w:val="18"/>
                <w:lang w:val="hr-HR"/>
              </w:rPr>
              <w:t>3.957</w:t>
            </w:r>
          </w:p>
        </w:tc>
        <w:tc>
          <w:tcPr>
            <w:tcW w:w="1218" w:type="dxa"/>
            <w:tcBorders>
              <w:top w:val="single" w:sz="4" w:space="0" w:color="auto"/>
              <w:left w:val="nil"/>
              <w:bottom w:val="single" w:sz="12" w:space="0" w:color="auto"/>
              <w:right w:val="nil"/>
            </w:tcBorders>
            <w:shd w:val="clear" w:color="auto" w:fill="auto"/>
          </w:tcPr>
          <w:p w14:paraId="65C25385"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color w:val="000000"/>
                <w:sz w:val="18"/>
                <w:szCs w:val="18"/>
              </w:rPr>
              <w:t>1.317</w:t>
            </w:r>
          </w:p>
        </w:tc>
      </w:tr>
      <w:tr w:rsidR="004E2F51" w:rsidRPr="00B91D09" w14:paraId="37105614" w14:textId="77777777" w:rsidTr="00E032FC">
        <w:trPr>
          <w:trHeight w:hRule="exact" w:val="129"/>
        </w:trPr>
        <w:tc>
          <w:tcPr>
            <w:tcW w:w="6387" w:type="dxa"/>
            <w:tcBorders>
              <w:left w:val="nil"/>
              <w:right w:val="nil"/>
            </w:tcBorders>
            <w:shd w:val="clear" w:color="auto" w:fill="auto"/>
            <w:vAlign w:val="bottom"/>
          </w:tcPr>
          <w:p w14:paraId="205FC25B" w14:textId="77777777" w:rsidR="004E2F51" w:rsidRPr="00B91D09" w:rsidRDefault="004E2F51" w:rsidP="00E032FC">
            <w:pPr>
              <w:spacing w:line="140" w:lineRule="exact"/>
              <w:rPr>
                <w:rFonts w:ascii="Arial" w:hAnsi="Arial" w:cs="Arial"/>
                <w:bCs/>
                <w:color w:val="000000" w:themeColor="text1"/>
                <w:sz w:val="18"/>
                <w:szCs w:val="18"/>
                <w:lang w:val="hr-HR"/>
              </w:rPr>
            </w:pPr>
          </w:p>
        </w:tc>
        <w:tc>
          <w:tcPr>
            <w:tcW w:w="1403" w:type="dxa"/>
            <w:tcBorders>
              <w:top w:val="single" w:sz="12" w:space="0" w:color="auto"/>
              <w:left w:val="nil"/>
              <w:bottom w:val="nil"/>
              <w:right w:val="nil"/>
            </w:tcBorders>
            <w:shd w:val="clear" w:color="auto" w:fill="auto"/>
            <w:noWrap/>
            <w:vAlign w:val="bottom"/>
          </w:tcPr>
          <w:p w14:paraId="14AFEB83" w14:textId="77777777" w:rsidR="004E2F51" w:rsidRPr="00B91D09" w:rsidRDefault="004E2F51" w:rsidP="00E032FC">
            <w:pPr>
              <w:spacing w:line="140" w:lineRule="exact"/>
              <w:jc w:val="right"/>
              <w:rPr>
                <w:rFonts w:ascii="Arial" w:hAnsi="Arial" w:cs="Arial"/>
                <w:bCs/>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3BEABAE2" w14:textId="77777777" w:rsidR="004E2F51" w:rsidRPr="00B91D09" w:rsidRDefault="004E2F51" w:rsidP="00E032FC">
            <w:pPr>
              <w:spacing w:line="140" w:lineRule="exact"/>
              <w:jc w:val="right"/>
              <w:rPr>
                <w:rFonts w:ascii="Arial" w:hAnsi="Arial" w:cs="Arial"/>
                <w:bCs/>
                <w:color w:val="000000" w:themeColor="text1"/>
                <w:sz w:val="18"/>
                <w:szCs w:val="18"/>
                <w:lang w:val="hr-HR"/>
              </w:rPr>
            </w:pPr>
          </w:p>
        </w:tc>
      </w:tr>
      <w:tr w:rsidR="004E2F51" w:rsidRPr="00B91D09" w14:paraId="22C8ED3B" w14:textId="77777777" w:rsidTr="00E032FC">
        <w:trPr>
          <w:trHeight w:val="102"/>
        </w:trPr>
        <w:tc>
          <w:tcPr>
            <w:tcW w:w="6387" w:type="dxa"/>
            <w:tcBorders>
              <w:left w:val="nil"/>
              <w:right w:val="nil"/>
            </w:tcBorders>
            <w:shd w:val="clear" w:color="auto" w:fill="auto"/>
            <w:vAlign w:val="bottom"/>
          </w:tcPr>
          <w:p w14:paraId="08C31F47" w14:textId="77777777" w:rsidR="004E2F51" w:rsidRPr="00B91D09" w:rsidRDefault="004E2F51" w:rsidP="00E032FC">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Porez na dobit</w:t>
            </w:r>
          </w:p>
        </w:tc>
        <w:tc>
          <w:tcPr>
            <w:tcW w:w="1403" w:type="dxa"/>
            <w:shd w:val="clear" w:color="auto" w:fill="auto"/>
            <w:noWrap/>
            <w:vAlign w:val="bottom"/>
          </w:tcPr>
          <w:p w14:paraId="40938A62" w14:textId="77777777" w:rsidR="004E2F51" w:rsidRPr="00B91D09" w:rsidRDefault="004E2F51" w:rsidP="00E032FC">
            <w:pPr>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w:t>
            </w:r>
            <w:r w:rsidRPr="007C7186">
              <w:rPr>
                <w:rFonts w:ascii="Arial" w:hAnsi="Arial" w:cs="Arial"/>
                <w:bCs/>
                <w:color w:val="000000" w:themeColor="text1"/>
                <w:sz w:val="18"/>
                <w:szCs w:val="18"/>
                <w:lang w:val="hr-HR"/>
              </w:rPr>
              <w:t>672</w:t>
            </w:r>
            <w:r>
              <w:rPr>
                <w:rFonts w:ascii="Arial" w:hAnsi="Arial" w:cs="Arial"/>
                <w:bCs/>
                <w:color w:val="000000" w:themeColor="text1"/>
                <w:sz w:val="18"/>
                <w:szCs w:val="18"/>
                <w:lang w:val="hr-HR"/>
              </w:rPr>
              <w:t>)</w:t>
            </w:r>
          </w:p>
        </w:tc>
        <w:tc>
          <w:tcPr>
            <w:tcW w:w="1218" w:type="dxa"/>
            <w:shd w:val="clear" w:color="auto" w:fill="auto"/>
          </w:tcPr>
          <w:p w14:paraId="7730B627" w14:textId="77777777" w:rsidR="004E2F51" w:rsidRPr="00B91D09" w:rsidRDefault="004E2F51" w:rsidP="00E032FC">
            <w:pPr>
              <w:jc w:val="right"/>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(214)</w:t>
            </w:r>
          </w:p>
        </w:tc>
      </w:tr>
      <w:tr w:rsidR="004E2F51" w:rsidRPr="00B91D09" w14:paraId="1F8B5872" w14:textId="77777777" w:rsidTr="00E032FC">
        <w:trPr>
          <w:trHeight w:val="108"/>
        </w:trPr>
        <w:tc>
          <w:tcPr>
            <w:tcW w:w="6387" w:type="dxa"/>
            <w:tcBorders>
              <w:left w:val="nil"/>
              <w:right w:val="nil"/>
            </w:tcBorders>
            <w:shd w:val="clear" w:color="auto" w:fill="auto"/>
            <w:vAlign w:val="bottom"/>
          </w:tcPr>
          <w:p w14:paraId="1141BC0A" w14:textId="77777777" w:rsidR="004E2F51" w:rsidRPr="00B91D09" w:rsidRDefault="004E2F51" w:rsidP="00E032FC">
            <w:pPr>
              <w:spacing w:line="140" w:lineRule="exact"/>
              <w:rPr>
                <w:rFonts w:ascii="Arial" w:hAnsi="Arial" w:cs="Arial"/>
                <w:b/>
                <w:bCs/>
                <w:color w:val="000000" w:themeColor="text1"/>
                <w:sz w:val="18"/>
                <w:szCs w:val="18"/>
                <w:lang w:val="hr-HR"/>
              </w:rPr>
            </w:pPr>
          </w:p>
        </w:tc>
        <w:tc>
          <w:tcPr>
            <w:tcW w:w="1403" w:type="dxa"/>
            <w:tcBorders>
              <w:top w:val="nil"/>
              <w:left w:val="nil"/>
              <w:bottom w:val="single" w:sz="4" w:space="0" w:color="auto"/>
              <w:right w:val="nil"/>
            </w:tcBorders>
            <w:shd w:val="clear" w:color="auto" w:fill="auto"/>
            <w:noWrap/>
            <w:vAlign w:val="bottom"/>
          </w:tcPr>
          <w:p w14:paraId="21D789AD" w14:textId="77777777" w:rsidR="004E2F51" w:rsidRPr="00B91D09" w:rsidRDefault="004E2F51" w:rsidP="00E032FC">
            <w:pPr>
              <w:spacing w:line="140" w:lineRule="exact"/>
              <w:jc w:val="right"/>
              <w:rPr>
                <w:rFonts w:ascii="Arial" w:hAnsi="Arial" w:cs="Arial"/>
                <w:b/>
                <w:bCs/>
                <w:color w:val="000000" w:themeColor="text1"/>
                <w:sz w:val="18"/>
                <w:szCs w:val="18"/>
                <w:lang w:val="hr-HR"/>
              </w:rPr>
            </w:pPr>
          </w:p>
        </w:tc>
        <w:tc>
          <w:tcPr>
            <w:tcW w:w="1218" w:type="dxa"/>
            <w:tcBorders>
              <w:top w:val="nil"/>
              <w:left w:val="nil"/>
              <w:bottom w:val="single" w:sz="4" w:space="0" w:color="auto"/>
              <w:right w:val="nil"/>
            </w:tcBorders>
            <w:shd w:val="clear" w:color="auto" w:fill="auto"/>
          </w:tcPr>
          <w:p w14:paraId="64C9749B" w14:textId="77777777" w:rsidR="004E2F51" w:rsidRPr="00B91D09" w:rsidRDefault="004E2F51" w:rsidP="00E032FC">
            <w:pPr>
              <w:spacing w:line="140" w:lineRule="exact"/>
              <w:jc w:val="right"/>
              <w:rPr>
                <w:rFonts w:ascii="Arial" w:hAnsi="Arial" w:cs="Arial"/>
                <w:b/>
                <w:bCs/>
                <w:color w:val="000000" w:themeColor="text1"/>
                <w:sz w:val="18"/>
                <w:szCs w:val="18"/>
                <w:lang w:val="hr-HR"/>
              </w:rPr>
            </w:pPr>
          </w:p>
        </w:tc>
      </w:tr>
      <w:tr w:rsidR="004E2F51" w:rsidRPr="00B91D09" w14:paraId="351F07C2" w14:textId="77777777" w:rsidTr="00E032FC">
        <w:trPr>
          <w:trHeight w:val="135"/>
        </w:trPr>
        <w:tc>
          <w:tcPr>
            <w:tcW w:w="6387" w:type="dxa"/>
            <w:tcBorders>
              <w:left w:val="nil"/>
              <w:right w:val="nil"/>
            </w:tcBorders>
            <w:shd w:val="clear" w:color="auto" w:fill="auto"/>
            <w:vAlign w:val="bottom"/>
          </w:tcPr>
          <w:p w14:paraId="3FCCC3BD"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Dobit tekuće godine</w:t>
            </w:r>
          </w:p>
        </w:tc>
        <w:tc>
          <w:tcPr>
            <w:tcW w:w="1403" w:type="dxa"/>
            <w:tcBorders>
              <w:top w:val="single" w:sz="4" w:space="0" w:color="auto"/>
              <w:left w:val="nil"/>
              <w:bottom w:val="single" w:sz="12" w:space="0" w:color="auto"/>
              <w:right w:val="nil"/>
            </w:tcBorders>
            <w:shd w:val="clear" w:color="auto" w:fill="auto"/>
            <w:noWrap/>
            <w:vAlign w:val="bottom"/>
          </w:tcPr>
          <w:p w14:paraId="2D7DF796" w14:textId="77777777" w:rsidR="004E2F51" w:rsidRPr="00B91D09" w:rsidRDefault="004E2F51" w:rsidP="00E032FC">
            <w:pPr>
              <w:jc w:val="right"/>
              <w:rPr>
                <w:rFonts w:ascii="Arial" w:hAnsi="Arial" w:cs="Arial"/>
                <w:b/>
                <w:bCs/>
                <w:color w:val="000000" w:themeColor="text1"/>
                <w:sz w:val="18"/>
                <w:szCs w:val="18"/>
                <w:lang w:val="hr-HR"/>
              </w:rPr>
            </w:pPr>
            <w:r w:rsidRPr="007C7186">
              <w:rPr>
                <w:rFonts w:ascii="Arial" w:hAnsi="Arial" w:cs="Arial"/>
                <w:b/>
                <w:bCs/>
                <w:color w:val="000000" w:themeColor="text1"/>
                <w:sz w:val="18"/>
                <w:szCs w:val="18"/>
                <w:lang w:val="hr-HR"/>
              </w:rPr>
              <w:t>3.285</w:t>
            </w:r>
          </w:p>
        </w:tc>
        <w:tc>
          <w:tcPr>
            <w:tcW w:w="1218" w:type="dxa"/>
            <w:tcBorders>
              <w:top w:val="single" w:sz="4" w:space="0" w:color="auto"/>
              <w:left w:val="nil"/>
              <w:bottom w:val="single" w:sz="12" w:space="0" w:color="auto"/>
              <w:right w:val="nil"/>
            </w:tcBorders>
            <w:shd w:val="clear" w:color="auto" w:fill="auto"/>
          </w:tcPr>
          <w:p w14:paraId="54900BBC"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1.103</w:t>
            </w:r>
          </w:p>
        </w:tc>
      </w:tr>
      <w:tr w:rsidR="004E2F51" w:rsidRPr="00B91D09" w14:paraId="5F961E2E" w14:textId="77777777" w:rsidTr="00E032FC">
        <w:trPr>
          <w:trHeight w:val="134"/>
        </w:trPr>
        <w:tc>
          <w:tcPr>
            <w:tcW w:w="6387" w:type="dxa"/>
            <w:tcBorders>
              <w:left w:val="nil"/>
              <w:right w:val="nil"/>
            </w:tcBorders>
            <w:shd w:val="clear" w:color="auto" w:fill="auto"/>
            <w:vAlign w:val="bottom"/>
          </w:tcPr>
          <w:p w14:paraId="02797CDD" w14:textId="77777777" w:rsidR="004E2F51" w:rsidRPr="00B91D09" w:rsidRDefault="004E2F51" w:rsidP="00E032FC">
            <w:pPr>
              <w:spacing w:line="140" w:lineRule="exact"/>
              <w:rPr>
                <w:rFonts w:ascii="Arial" w:hAnsi="Arial" w:cs="Arial"/>
                <w:b/>
                <w:bCs/>
                <w:color w:val="000000" w:themeColor="text1"/>
                <w:sz w:val="18"/>
                <w:szCs w:val="18"/>
                <w:lang w:val="hr-HR"/>
              </w:rPr>
            </w:pPr>
          </w:p>
        </w:tc>
        <w:tc>
          <w:tcPr>
            <w:tcW w:w="1403" w:type="dxa"/>
            <w:tcBorders>
              <w:top w:val="single" w:sz="12" w:space="0" w:color="auto"/>
              <w:left w:val="nil"/>
              <w:bottom w:val="nil"/>
              <w:right w:val="nil"/>
            </w:tcBorders>
            <w:shd w:val="clear" w:color="auto" w:fill="auto"/>
            <w:noWrap/>
            <w:vAlign w:val="bottom"/>
          </w:tcPr>
          <w:p w14:paraId="09B7E688" w14:textId="77777777" w:rsidR="004E2F51" w:rsidRPr="00B91D09" w:rsidRDefault="004E2F51" w:rsidP="00E032FC">
            <w:pPr>
              <w:spacing w:line="140" w:lineRule="exact"/>
              <w:jc w:val="right"/>
              <w:rPr>
                <w:rFonts w:ascii="Arial" w:hAnsi="Arial" w:cs="Arial"/>
                <w:b/>
                <w:bCs/>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6F13A461" w14:textId="77777777" w:rsidR="004E2F51" w:rsidRPr="00B91D09" w:rsidRDefault="004E2F51" w:rsidP="00E032FC">
            <w:pPr>
              <w:spacing w:line="140" w:lineRule="exact"/>
              <w:jc w:val="right"/>
              <w:rPr>
                <w:rFonts w:ascii="Arial" w:hAnsi="Arial" w:cs="Arial"/>
                <w:b/>
                <w:bCs/>
                <w:color w:val="000000" w:themeColor="text1"/>
                <w:sz w:val="18"/>
                <w:szCs w:val="18"/>
                <w:lang w:val="hr-HR"/>
              </w:rPr>
            </w:pPr>
          </w:p>
        </w:tc>
      </w:tr>
      <w:tr w:rsidR="004E2F51" w:rsidRPr="00B91D09" w14:paraId="01DECFDA" w14:textId="77777777" w:rsidTr="00E032FC">
        <w:trPr>
          <w:trHeight w:val="213"/>
        </w:trPr>
        <w:tc>
          <w:tcPr>
            <w:tcW w:w="6387" w:type="dxa"/>
            <w:tcBorders>
              <w:left w:val="nil"/>
              <w:right w:val="nil"/>
            </w:tcBorders>
            <w:shd w:val="clear" w:color="auto" w:fill="auto"/>
            <w:vAlign w:val="bottom"/>
          </w:tcPr>
          <w:p w14:paraId="1D10AC7F"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Ostala sveobuhvatna dobit</w:t>
            </w:r>
          </w:p>
        </w:tc>
        <w:tc>
          <w:tcPr>
            <w:tcW w:w="1403" w:type="dxa"/>
            <w:shd w:val="clear" w:color="auto" w:fill="auto"/>
            <w:noWrap/>
            <w:vAlign w:val="bottom"/>
          </w:tcPr>
          <w:p w14:paraId="23B63930" w14:textId="77777777" w:rsidR="004E2F51" w:rsidRPr="00B91D09" w:rsidRDefault="004E2F51" w:rsidP="00E032FC">
            <w:pPr>
              <w:jc w:val="right"/>
              <w:rPr>
                <w:rFonts w:ascii="Arial" w:hAnsi="Arial" w:cs="Arial"/>
                <w:b/>
                <w:bCs/>
                <w:color w:val="000000" w:themeColor="text1"/>
                <w:sz w:val="18"/>
                <w:szCs w:val="18"/>
                <w:lang w:val="hr-HR"/>
              </w:rPr>
            </w:pPr>
          </w:p>
        </w:tc>
        <w:tc>
          <w:tcPr>
            <w:tcW w:w="1218" w:type="dxa"/>
            <w:shd w:val="clear" w:color="auto" w:fill="auto"/>
          </w:tcPr>
          <w:p w14:paraId="20BCB0FE" w14:textId="77777777" w:rsidR="004E2F51" w:rsidRPr="00B91D09" w:rsidRDefault="004E2F51" w:rsidP="00E032FC">
            <w:pPr>
              <w:jc w:val="right"/>
              <w:rPr>
                <w:rFonts w:ascii="Arial" w:hAnsi="Arial" w:cs="Arial"/>
                <w:b/>
                <w:bCs/>
                <w:color w:val="000000" w:themeColor="text1"/>
                <w:sz w:val="18"/>
                <w:szCs w:val="18"/>
                <w:lang w:val="hr-HR"/>
              </w:rPr>
            </w:pPr>
          </w:p>
        </w:tc>
      </w:tr>
      <w:tr w:rsidR="004E2F51" w:rsidRPr="0002282A" w14:paraId="5285421E" w14:textId="77777777" w:rsidTr="00E032FC">
        <w:trPr>
          <w:trHeight w:val="241"/>
        </w:trPr>
        <w:tc>
          <w:tcPr>
            <w:tcW w:w="6387" w:type="dxa"/>
            <w:tcBorders>
              <w:left w:val="nil"/>
              <w:right w:val="nil"/>
            </w:tcBorders>
            <w:shd w:val="clear" w:color="auto" w:fill="auto"/>
            <w:vAlign w:val="bottom"/>
          </w:tcPr>
          <w:p w14:paraId="5BD88DEC"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Stavke koje se kasnije ne prenose u dobit ili gubitak:</w:t>
            </w:r>
          </w:p>
        </w:tc>
        <w:tc>
          <w:tcPr>
            <w:tcW w:w="1403" w:type="dxa"/>
            <w:shd w:val="clear" w:color="auto" w:fill="auto"/>
            <w:noWrap/>
            <w:vAlign w:val="bottom"/>
          </w:tcPr>
          <w:p w14:paraId="1DC98BA1" w14:textId="77777777" w:rsidR="004E2F51" w:rsidRPr="00B91D09" w:rsidRDefault="004E2F51" w:rsidP="00E032FC">
            <w:pPr>
              <w:jc w:val="right"/>
              <w:rPr>
                <w:rFonts w:ascii="Arial" w:hAnsi="Arial" w:cs="Arial"/>
                <w:b/>
                <w:bCs/>
                <w:color w:val="000000" w:themeColor="text1"/>
                <w:sz w:val="18"/>
                <w:szCs w:val="18"/>
                <w:lang w:val="hr-HR"/>
              </w:rPr>
            </w:pPr>
          </w:p>
        </w:tc>
        <w:tc>
          <w:tcPr>
            <w:tcW w:w="1218" w:type="dxa"/>
            <w:shd w:val="clear" w:color="auto" w:fill="auto"/>
            <w:vAlign w:val="bottom"/>
          </w:tcPr>
          <w:p w14:paraId="57FE5164" w14:textId="77777777" w:rsidR="004E2F51" w:rsidRPr="00B91D09" w:rsidRDefault="004E2F51" w:rsidP="00E032FC">
            <w:pPr>
              <w:jc w:val="right"/>
              <w:rPr>
                <w:rFonts w:ascii="Arial" w:hAnsi="Arial" w:cs="Arial"/>
                <w:b/>
                <w:bCs/>
                <w:color w:val="000000" w:themeColor="text1"/>
                <w:sz w:val="18"/>
                <w:szCs w:val="18"/>
                <w:lang w:val="hr-HR"/>
              </w:rPr>
            </w:pPr>
          </w:p>
        </w:tc>
      </w:tr>
      <w:tr w:rsidR="004E2F51" w:rsidRPr="00B91D09" w14:paraId="433AAACA" w14:textId="77777777" w:rsidTr="00E032FC">
        <w:trPr>
          <w:trHeight w:val="93"/>
        </w:trPr>
        <w:tc>
          <w:tcPr>
            <w:tcW w:w="6387" w:type="dxa"/>
            <w:tcBorders>
              <w:left w:val="nil"/>
              <w:right w:val="nil"/>
            </w:tcBorders>
            <w:shd w:val="clear" w:color="auto" w:fill="auto"/>
            <w:vAlign w:val="bottom"/>
          </w:tcPr>
          <w:p w14:paraId="5D465C1A"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Ukupno stavke koje se kasnije ne prenose u dobit ili gubitak</w:t>
            </w:r>
          </w:p>
        </w:tc>
        <w:tc>
          <w:tcPr>
            <w:tcW w:w="1403" w:type="dxa"/>
            <w:tcBorders>
              <w:top w:val="single" w:sz="4" w:space="0" w:color="auto"/>
              <w:left w:val="nil"/>
              <w:bottom w:val="single" w:sz="12" w:space="0" w:color="auto"/>
              <w:right w:val="nil"/>
            </w:tcBorders>
            <w:shd w:val="clear" w:color="auto" w:fill="auto"/>
            <w:noWrap/>
            <w:vAlign w:val="bottom"/>
          </w:tcPr>
          <w:p w14:paraId="6F483E2A" w14:textId="77777777" w:rsidR="004E2F51" w:rsidRPr="00B91D09" w:rsidRDefault="004E2F51" w:rsidP="00E032FC">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c>
          <w:tcPr>
            <w:tcW w:w="1218" w:type="dxa"/>
            <w:tcBorders>
              <w:top w:val="single" w:sz="4" w:space="0" w:color="auto"/>
              <w:left w:val="nil"/>
              <w:bottom w:val="single" w:sz="12" w:space="0" w:color="auto"/>
              <w:right w:val="nil"/>
            </w:tcBorders>
            <w:shd w:val="clear" w:color="auto" w:fill="auto"/>
            <w:vAlign w:val="bottom"/>
          </w:tcPr>
          <w:p w14:paraId="4185C09A"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sz w:val="18"/>
                <w:szCs w:val="18"/>
              </w:rPr>
              <w:t>-</w:t>
            </w:r>
          </w:p>
        </w:tc>
      </w:tr>
      <w:tr w:rsidR="004E2F51" w:rsidRPr="00B91D09" w14:paraId="0BA6680A" w14:textId="77777777" w:rsidTr="00E032FC">
        <w:trPr>
          <w:trHeight w:val="64"/>
        </w:trPr>
        <w:tc>
          <w:tcPr>
            <w:tcW w:w="6387" w:type="dxa"/>
            <w:tcBorders>
              <w:left w:val="nil"/>
              <w:right w:val="nil"/>
            </w:tcBorders>
            <w:shd w:val="clear" w:color="auto" w:fill="auto"/>
            <w:vAlign w:val="bottom"/>
          </w:tcPr>
          <w:p w14:paraId="3CB6CEDD" w14:textId="77777777" w:rsidR="004E2F51" w:rsidRPr="00B91D09" w:rsidRDefault="004E2F51" w:rsidP="00E032FC">
            <w:pPr>
              <w:spacing w:line="140" w:lineRule="exact"/>
              <w:rPr>
                <w:rFonts w:ascii="Arial" w:hAnsi="Arial" w:cs="Arial"/>
                <w:bCs/>
                <w:color w:val="000000" w:themeColor="text1"/>
                <w:sz w:val="18"/>
                <w:szCs w:val="18"/>
                <w:lang w:val="hr-HR"/>
              </w:rPr>
            </w:pPr>
          </w:p>
        </w:tc>
        <w:tc>
          <w:tcPr>
            <w:tcW w:w="1403" w:type="dxa"/>
            <w:tcBorders>
              <w:top w:val="single" w:sz="12" w:space="0" w:color="auto"/>
              <w:left w:val="nil"/>
              <w:bottom w:val="nil"/>
              <w:right w:val="nil"/>
            </w:tcBorders>
            <w:shd w:val="clear" w:color="auto" w:fill="auto"/>
            <w:noWrap/>
            <w:vAlign w:val="bottom"/>
          </w:tcPr>
          <w:p w14:paraId="4C2AD910" w14:textId="77777777" w:rsidR="004E2F51" w:rsidRPr="00B91D09" w:rsidRDefault="004E2F51" w:rsidP="00E032FC">
            <w:pPr>
              <w:spacing w:line="140" w:lineRule="exact"/>
              <w:jc w:val="right"/>
              <w:rPr>
                <w:rFonts w:ascii="Arial" w:hAnsi="Arial" w:cs="Arial"/>
                <w:bCs/>
                <w:color w:val="000000" w:themeColor="text1"/>
                <w:sz w:val="18"/>
                <w:szCs w:val="18"/>
                <w:lang w:val="hr-HR"/>
              </w:rPr>
            </w:pPr>
          </w:p>
        </w:tc>
        <w:tc>
          <w:tcPr>
            <w:tcW w:w="1218" w:type="dxa"/>
            <w:tcBorders>
              <w:top w:val="single" w:sz="12" w:space="0" w:color="auto"/>
              <w:left w:val="nil"/>
              <w:bottom w:val="nil"/>
              <w:right w:val="nil"/>
            </w:tcBorders>
            <w:shd w:val="clear" w:color="auto" w:fill="auto"/>
          </w:tcPr>
          <w:p w14:paraId="22D6206B" w14:textId="77777777" w:rsidR="004E2F51" w:rsidRPr="00B91D09" w:rsidRDefault="004E2F51" w:rsidP="00E032FC">
            <w:pPr>
              <w:spacing w:line="140" w:lineRule="exact"/>
              <w:jc w:val="right"/>
              <w:rPr>
                <w:rFonts w:ascii="Arial" w:hAnsi="Arial" w:cs="Arial"/>
                <w:bCs/>
                <w:color w:val="000000" w:themeColor="text1"/>
                <w:sz w:val="18"/>
                <w:szCs w:val="18"/>
                <w:lang w:val="hr-HR"/>
              </w:rPr>
            </w:pPr>
          </w:p>
        </w:tc>
      </w:tr>
      <w:tr w:rsidR="004E2F51" w:rsidRPr="00B91D09" w14:paraId="2BF0BFEC" w14:textId="77777777" w:rsidTr="00E032FC">
        <w:trPr>
          <w:trHeight w:val="124"/>
        </w:trPr>
        <w:tc>
          <w:tcPr>
            <w:tcW w:w="6387" w:type="dxa"/>
            <w:tcBorders>
              <w:left w:val="nil"/>
              <w:right w:val="nil"/>
            </w:tcBorders>
            <w:shd w:val="clear" w:color="auto" w:fill="auto"/>
            <w:vAlign w:val="bottom"/>
          </w:tcPr>
          <w:p w14:paraId="09F1FFD5"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Stavke koje se kasnije mogu uračunati u dobit ili gubitak:</w:t>
            </w:r>
          </w:p>
        </w:tc>
        <w:tc>
          <w:tcPr>
            <w:tcW w:w="1403" w:type="dxa"/>
            <w:shd w:val="clear" w:color="auto" w:fill="auto"/>
            <w:noWrap/>
            <w:vAlign w:val="bottom"/>
          </w:tcPr>
          <w:p w14:paraId="23F04AB3" w14:textId="77777777" w:rsidR="004E2F51" w:rsidRPr="00B91D09" w:rsidRDefault="004E2F51" w:rsidP="00E032FC">
            <w:pPr>
              <w:jc w:val="right"/>
              <w:rPr>
                <w:rFonts w:ascii="Arial" w:hAnsi="Arial" w:cs="Arial"/>
                <w:b/>
                <w:bCs/>
                <w:color w:val="000000" w:themeColor="text1"/>
                <w:sz w:val="18"/>
                <w:szCs w:val="18"/>
                <w:lang w:val="hr-HR"/>
              </w:rPr>
            </w:pPr>
          </w:p>
        </w:tc>
        <w:tc>
          <w:tcPr>
            <w:tcW w:w="1218" w:type="dxa"/>
            <w:shd w:val="clear" w:color="auto" w:fill="auto"/>
          </w:tcPr>
          <w:p w14:paraId="546E70F8" w14:textId="77777777" w:rsidR="004E2F51" w:rsidRPr="00B91D09" w:rsidRDefault="004E2F51" w:rsidP="00E032FC">
            <w:pPr>
              <w:jc w:val="right"/>
              <w:rPr>
                <w:rFonts w:ascii="Arial" w:hAnsi="Arial" w:cs="Arial"/>
                <w:b/>
                <w:bCs/>
                <w:color w:val="000000" w:themeColor="text1"/>
                <w:sz w:val="18"/>
                <w:szCs w:val="18"/>
                <w:lang w:val="hr-HR"/>
              </w:rPr>
            </w:pPr>
          </w:p>
        </w:tc>
      </w:tr>
      <w:tr w:rsidR="004E2F51" w:rsidRPr="00B91D09" w14:paraId="5A22F8DB" w14:textId="77777777" w:rsidTr="00E032FC">
        <w:trPr>
          <w:trHeight w:val="115"/>
        </w:trPr>
        <w:tc>
          <w:tcPr>
            <w:tcW w:w="6387" w:type="dxa"/>
            <w:tcBorders>
              <w:left w:val="nil"/>
              <w:right w:val="nil"/>
            </w:tcBorders>
            <w:shd w:val="clear" w:color="auto" w:fill="auto"/>
            <w:vAlign w:val="bottom"/>
          </w:tcPr>
          <w:p w14:paraId="4DFF94CE" w14:textId="77777777" w:rsidR="004E2F51" w:rsidRPr="00B91D09" w:rsidRDefault="004E2F51" w:rsidP="00E032FC">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Dobici proizašli iz revalorizacije financijske imovine raspoložive za prodaju</w:t>
            </w:r>
          </w:p>
        </w:tc>
        <w:tc>
          <w:tcPr>
            <w:tcW w:w="1403" w:type="dxa"/>
            <w:shd w:val="clear" w:color="auto" w:fill="auto"/>
            <w:noWrap/>
            <w:vAlign w:val="bottom"/>
          </w:tcPr>
          <w:p w14:paraId="60FC7508" w14:textId="77777777" w:rsidR="004E2F51" w:rsidRPr="00B91D09" w:rsidRDefault="004E2F51" w:rsidP="00E032FC">
            <w:pPr>
              <w:jc w:val="right"/>
              <w:rPr>
                <w:rFonts w:ascii="Arial" w:hAnsi="Arial" w:cs="Arial"/>
                <w:bCs/>
                <w:color w:val="000000" w:themeColor="text1"/>
                <w:sz w:val="18"/>
                <w:szCs w:val="18"/>
                <w:lang w:val="hr-HR"/>
              </w:rPr>
            </w:pPr>
            <w:r w:rsidRPr="007C7186">
              <w:rPr>
                <w:rFonts w:ascii="Arial" w:hAnsi="Arial" w:cs="Arial"/>
                <w:bCs/>
                <w:color w:val="000000" w:themeColor="text1"/>
                <w:sz w:val="18"/>
                <w:szCs w:val="18"/>
                <w:lang w:val="hr-HR"/>
              </w:rPr>
              <w:t>1.710</w:t>
            </w:r>
          </w:p>
        </w:tc>
        <w:tc>
          <w:tcPr>
            <w:tcW w:w="1218" w:type="dxa"/>
            <w:shd w:val="clear" w:color="auto" w:fill="auto"/>
            <w:vAlign w:val="bottom"/>
          </w:tcPr>
          <w:p w14:paraId="502297B6" w14:textId="77777777" w:rsidR="004E2F51" w:rsidRPr="00B91D09" w:rsidRDefault="004E2F51" w:rsidP="00E032FC">
            <w:pPr>
              <w:jc w:val="right"/>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764</w:t>
            </w:r>
          </w:p>
        </w:tc>
      </w:tr>
      <w:tr w:rsidR="004E2F51" w:rsidRPr="00B91D09" w14:paraId="61643562" w14:textId="77777777" w:rsidTr="00E032FC">
        <w:trPr>
          <w:trHeight w:val="178"/>
        </w:trPr>
        <w:tc>
          <w:tcPr>
            <w:tcW w:w="6387" w:type="dxa"/>
            <w:tcBorders>
              <w:left w:val="nil"/>
              <w:right w:val="nil"/>
            </w:tcBorders>
            <w:shd w:val="clear" w:color="auto" w:fill="auto"/>
            <w:vAlign w:val="bottom"/>
          </w:tcPr>
          <w:p w14:paraId="0AB1DE4D" w14:textId="77777777" w:rsidR="004E2F51" w:rsidRPr="00B91D09" w:rsidRDefault="004E2F51" w:rsidP="00E032FC">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Smanjenje fer vrijednosti imovine raspoložive za prodaju</w:t>
            </w:r>
          </w:p>
        </w:tc>
        <w:tc>
          <w:tcPr>
            <w:tcW w:w="1403" w:type="dxa"/>
            <w:shd w:val="clear" w:color="auto" w:fill="auto"/>
            <w:noWrap/>
            <w:vAlign w:val="bottom"/>
          </w:tcPr>
          <w:p w14:paraId="64A9E34C" w14:textId="77777777" w:rsidR="004E2F51" w:rsidRPr="00B91D09" w:rsidRDefault="004E2F51" w:rsidP="00E032FC">
            <w:pPr>
              <w:jc w:val="right"/>
              <w:rPr>
                <w:rFonts w:ascii="Arial" w:hAnsi="Arial" w:cs="Arial"/>
                <w:bCs/>
                <w:color w:val="000000" w:themeColor="text1"/>
                <w:sz w:val="18"/>
                <w:szCs w:val="18"/>
                <w:lang w:val="hr-HR"/>
              </w:rPr>
            </w:pPr>
            <w:r w:rsidRPr="007C7186">
              <w:rPr>
                <w:rFonts w:ascii="Arial" w:hAnsi="Arial" w:cs="Arial"/>
                <w:bCs/>
                <w:color w:val="000000" w:themeColor="text1"/>
                <w:sz w:val="18"/>
                <w:szCs w:val="18"/>
                <w:lang w:val="hr-HR"/>
              </w:rPr>
              <w:t>(11.362)</w:t>
            </w:r>
          </w:p>
        </w:tc>
        <w:tc>
          <w:tcPr>
            <w:tcW w:w="1218" w:type="dxa"/>
            <w:shd w:val="clear" w:color="auto" w:fill="auto"/>
            <w:vAlign w:val="bottom"/>
          </w:tcPr>
          <w:p w14:paraId="6481C4B5" w14:textId="77777777" w:rsidR="004E2F51" w:rsidRPr="00B91D09" w:rsidRDefault="004E2F51" w:rsidP="00E032FC">
            <w:pPr>
              <w:jc w:val="right"/>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(2.213)</w:t>
            </w:r>
          </w:p>
        </w:tc>
      </w:tr>
      <w:tr w:rsidR="004E2F51" w:rsidRPr="00B91D09" w14:paraId="61CD2E2A" w14:textId="77777777" w:rsidTr="00E032FC">
        <w:trPr>
          <w:trHeight w:val="178"/>
        </w:trPr>
        <w:tc>
          <w:tcPr>
            <w:tcW w:w="6387" w:type="dxa"/>
            <w:tcBorders>
              <w:left w:val="nil"/>
              <w:right w:val="nil"/>
            </w:tcBorders>
            <w:shd w:val="clear" w:color="auto" w:fill="auto"/>
            <w:vAlign w:val="bottom"/>
          </w:tcPr>
          <w:p w14:paraId="5C60E470" w14:textId="77777777" w:rsidR="004E2F51" w:rsidRPr="00B91D09" w:rsidRDefault="004E2F51" w:rsidP="00E032FC">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Prijenos realiziranog gubitka po imovini raspoloživoj za prodaju u IDG</w:t>
            </w:r>
          </w:p>
        </w:tc>
        <w:tc>
          <w:tcPr>
            <w:tcW w:w="1403" w:type="dxa"/>
            <w:shd w:val="clear" w:color="auto" w:fill="auto"/>
            <w:noWrap/>
            <w:vAlign w:val="bottom"/>
          </w:tcPr>
          <w:p w14:paraId="0C2895DA" w14:textId="77777777" w:rsidR="004E2F51" w:rsidRPr="00B91D09" w:rsidRDefault="004E2F51" w:rsidP="00E032FC">
            <w:pPr>
              <w:jc w:val="right"/>
              <w:rPr>
                <w:rFonts w:ascii="Arial" w:hAnsi="Arial" w:cs="Arial"/>
                <w:bCs/>
                <w:color w:val="000000" w:themeColor="text1"/>
                <w:sz w:val="18"/>
                <w:szCs w:val="18"/>
                <w:lang w:val="hr-HR"/>
              </w:rPr>
            </w:pPr>
            <w:r>
              <w:rPr>
                <w:rFonts w:ascii="Arial" w:hAnsi="Arial" w:cs="Arial"/>
                <w:bCs/>
                <w:color w:val="000000" w:themeColor="text1"/>
                <w:sz w:val="18"/>
                <w:szCs w:val="18"/>
                <w:lang w:val="hr-HR"/>
              </w:rPr>
              <w:t>-</w:t>
            </w:r>
          </w:p>
        </w:tc>
        <w:tc>
          <w:tcPr>
            <w:tcW w:w="1218" w:type="dxa"/>
            <w:shd w:val="clear" w:color="auto" w:fill="auto"/>
            <w:vAlign w:val="bottom"/>
          </w:tcPr>
          <w:p w14:paraId="0C0974A9" w14:textId="77777777" w:rsidR="004E2F51" w:rsidRPr="00B91D09" w:rsidRDefault="004E2F51" w:rsidP="00E032FC">
            <w:pPr>
              <w:jc w:val="right"/>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w:t>
            </w:r>
          </w:p>
        </w:tc>
      </w:tr>
      <w:tr w:rsidR="004E2F51" w:rsidRPr="00B91D09" w14:paraId="5C190BFE" w14:textId="77777777" w:rsidTr="00E032FC">
        <w:trPr>
          <w:trHeight w:val="102"/>
        </w:trPr>
        <w:tc>
          <w:tcPr>
            <w:tcW w:w="6387" w:type="dxa"/>
            <w:tcBorders>
              <w:left w:val="nil"/>
              <w:right w:val="nil"/>
            </w:tcBorders>
            <w:shd w:val="clear" w:color="auto" w:fill="auto"/>
            <w:vAlign w:val="bottom"/>
          </w:tcPr>
          <w:p w14:paraId="1770F8FF" w14:textId="77777777" w:rsidR="004E2F51" w:rsidRPr="00B91D09" w:rsidRDefault="004E2F51" w:rsidP="00E032FC">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Odgođeni porez</w:t>
            </w:r>
          </w:p>
        </w:tc>
        <w:tc>
          <w:tcPr>
            <w:tcW w:w="1403" w:type="dxa"/>
            <w:tcBorders>
              <w:top w:val="nil"/>
              <w:left w:val="nil"/>
              <w:bottom w:val="single" w:sz="4" w:space="0" w:color="auto"/>
              <w:right w:val="nil"/>
            </w:tcBorders>
            <w:shd w:val="clear" w:color="auto" w:fill="auto"/>
            <w:noWrap/>
            <w:vAlign w:val="bottom"/>
          </w:tcPr>
          <w:p w14:paraId="640D0C27" w14:textId="77777777" w:rsidR="004E2F51" w:rsidRPr="00B91D09" w:rsidRDefault="004E2F51" w:rsidP="00E032FC">
            <w:pPr>
              <w:jc w:val="right"/>
              <w:rPr>
                <w:rFonts w:ascii="Arial" w:hAnsi="Arial" w:cs="Arial"/>
                <w:bCs/>
                <w:color w:val="000000" w:themeColor="text1"/>
                <w:sz w:val="18"/>
                <w:szCs w:val="18"/>
                <w:lang w:val="hr-HR"/>
              </w:rPr>
            </w:pPr>
            <w:r w:rsidRPr="007C7186">
              <w:rPr>
                <w:rFonts w:ascii="Arial" w:hAnsi="Arial" w:cs="Arial"/>
                <w:bCs/>
                <w:color w:val="000000" w:themeColor="text1"/>
                <w:sz w:val="18"/>
                <w:szCs w:val="18"/>
                <w:lang w:val="hr-HR"/>
              </w:rPr>
              <w:t>1.737</w:t>
            </w:r>
          </w:p>
        </w:tc>
        <w:tc>
          <w:tcPr>
            <w:tcW w:w="1218" w:type="dxa"/>
            <w:tcBorders>
              <w:top w:val="nil"/>
              <w:left w:val="nil"/>
              <w:bottom w:val="single" w:sz="4" w:space="0" w:color="auto"/>
              <w:right w:val="nil"/>
            </w:tcBorders>
            <w:shd w:val="clear" w:color="auto" w:fill="auto"/>
            <w:vAlign w:val="bottom"/>
          </w:tcPr>
          <w:p w14:paraId="639812E0" w14:textId="77777777" w:rsidR="004E2F51" w:rsidRPr="00B91D09" w:rsidRDefault="004E2F51" w:rsidP="00E032FC">
            <w:pPr>
              <w:jc w:val="right"/>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262</w:t>
            </w:r>
          </w:p>
        </w:tc>
      </w:tr>
      <w:tr w:rsidR="004E2F51" w:rsidRPr="00B91D09" w14:paraId="24BD61C7" w14:textId="77777777" w:rsidTr="00E032FC">
        <w:trPr>
          <w:trHeight w:val="213"/>
        </w:trPr>
        <w:tc>
          <w:tcPr>
            <w:tcW w:w="6387" w:type="dxa"/>
            <w:tcBorders>
              <w:left w:val="nil"/>
              <w:right w:val="nil"/>
            </w:tcBorders>
            <w:shd w:val="clear" w:color="auto" w:fill="auto"/>
            <w:vAlign w:val="bottom"/>
          </w:tcPr>
          <w:p w14:paraId="47EDE956"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Ukupno stavke koje se kasnije mogu uračunati u dobit ili gubitak</w:t>
            </w:r>
          </w:p>
        </w:tc>
        <w:tc>
          <w:tcPr>
            <w:tcW w:w="1403" w:type="dxa"/>
            <w:tcBorders>
              <w:top w:val="single" w:sz="4" w:space="0" w:color="auto"/>
              <w:left w:val="nil"/>
              <w:bottom w:val="single" w:sz="12" w:space="0" w:color="auto"/>
              <w:right w:val="nil"/>
            </w:tcBorders>
            <w:shd w:val="clear" w:color="auto" w:fill="auto"/>
            <w:noWrap/>
            <w:vAlign w:val="bottom"/>
          </w:tcPr>
          <w:p w14:paraId="0D1D6ED3" w14:textId="77777777" w:rsidR="004E2F51" w:rsidRPr="00B91D09" w:rsidRDefault="004E2F51" w:rsidP="00E032FC">
            <w:pPr>
              <w:jc w:val="right"/>
              <w:rPr>
                <w:rFonts w:ascii="Arial" w:hAnsi="Arial" w:cs="Arial"/>
                <w:b/>
                <w:color w:val="000000" w:themeColor="text1"/>
                <w:sz w:val="18"/>
                <w:szCs w:val="18"/>
                <w:lang w:val="hr-HR"/>
              </w:rPr>
            </w:pPr>
            <w:r w:rsidRPr="007C7186">
              <w:rPr>
                <w:rFonts w:ascii="Arial" w:hAnsi="Arial" w:cs="Arial"/>
                <w:b/>
                <w:color w:val="000000" w:themeColor="text1"/>
                <w:sz w:val="18"/>
                <w:szCs w:val="18"/>
                <w:lang w:val="hr-HR"/>
              </w:rPr>
              <w:t>(7.915)</w:t>
            </w:r>
          </w:p>
        </w:tc>
        <w:tc>
          <w:tcPr>
            <w:tcW w:w="1218" w:type="dxa"/>
            <w:tcBorders>
              <w:top w:val="single" w:sz="4" w:space="0" w:color="auto"/>
              <w:left w:val="nil"/>
              <w:bottom w:val="single" w:sz="12" w:space="0" w:color="auto"/>
              <w:right w:val="nil"/>
            </w:tcBorders>
            <w:shd w:val="clear" w:color="auto" w:fill="auto"/>
            <w:vAlign w:val="bottom"/>
          </w:tcPr>
          <w:p w14:paraId="3D313B51"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color w:val="000000" w:themeColor="text1"/>
                <w:sz w:val="18"/>
                <w:szCs w:val="18"/>
                <w:lang w:val="hr-HR"/>
              </w:rPr>
              <w:t>(1.187)</w:t>
            </w:r>
          </w:p>
        </w:tc>
      </w:tr>
      <w:tr w:rsidR="004E2F51" w:rsidRPr="00B91D09" w14:paraId="4013468E" w14:textId="77777777" w:rsidTr="00E032FC">
        <w:trPr>
          <w:trHeight w:hRule="exact" w:val="113"/>
        </w:trPr>
        <w:tc>
          <w:tcPr>
            <w:tcW w:w="6387" w:type="dxa"/>
            <w:tcBorders>
              <w:left w:val="nil"/>
              <w:right w:val="nil"/>
            </w:tcBorders>
            <w:shd w:val="clear" w:color="auto" w:fill="auto"/>
            <w:vAlign w:val="bottom"/>
          </w:tcPr>
          <w:p w14:paraId="105CD07C" w14:textId="77777777" w:rsidR="004E2F51" w:rsidRPr="00B91D09" w:rsidRDefault="004E2F51" w:rsidP="00E032FC">
            <w:pPr>
              <w:spacing w:line="140" w:lineRule="exact"/>
              <w:rPr>
                <w:rFonts w:ascii="Arial" w:hAnsi="Arial" w:cs="Arial"/>
                <w:b/>
                <w:bCs/>
                <w:color w:val="000000" w:themeColor="text1"/>
                <w:sz w:val="18"/>
                <w:szCs w:val="18"/>
                <w:lang w:val="hr-HR"/>
              </w:rPr>
            </w:pPr>
          </w:p>
        </w:tc>
        <w:tc>
          <w:tcPr>
            <w:tcW w:w="1403" w:type="dxa"/>
            <w:tcBorders>
              <w:top w:val="single" w:sz="12" w:space="0" w:color="auto"/>
              <w:left w:val="nil"/>
              <w:right w:val="nil"/>
            </w:tcBorders>
            <w:shd w:val="clear" w:color="auto" w:fill="auto"/>
            <w:noWrap/>
            <w:vAlign w:val="bottom"/>
          </w:tcPr>
          <w:p w14:paraId="53B6D992" w14:textId="77777777" w:rsidR="004E2F51" w:rsidRPr="00B91D09" w:rsidRDefault="004E2F51" w:rsidP="00E032FC">
            <w:pPr>
              <w:jc w:val="right"/>
              <w:rPr>
                <w:rFonts w:ascii="Arial" w:hAnsi="Arial" w:cs="Arial"/>
                <w:b/>
                <w:color w:val="000000" w:themeColor="text1"/>
                <w:sz w:val="18"/>
                <w:szCs w:val="18"/>
                <w:lang w:val="hr-HR"/>
              </w:rPr>
            </w:pPr>
          </w:p>
        </w:tc>
        <w:tc>
          <w:tcPr>
            <w:tcW w:w="1218" w:type="dxa"/>
            <w:tcBorders>
              <w:top w:val="single" w:sz="12" w:space="0" w:color="auto"/>
              <w:left w:val="nil"/>
              <w:right w:val="nil"/>
            </w:tcBorders>
            <w:shd w:val="clear" w:color="auto" w:fill="auto"/>
            <w:vAlign w:val="bottom"/>
          </w:tcPr>
          <w:p w14:paraId="28C59C8B" w14:textId="77777777" w:rsidR="004E2F51" w:rsidRPr="00B91D09" w:rsidRDefault="004E2F51" w:rsidP="00E032FC">
            <w:pPr>
              <w:spacing w:line="140" w:lineRule="exact"/>
              <w:jc w:val="right"/>
              <w:rPr>
                <w:rFonts w:ascii="Arial" w:hAnsi="Arial" w:cs="Arial"/>
                <w:bCs/>
                <w:color w:val="000000" w:themeColor="text1"/>
                <w:sz w:val="18"/>
                <w:szCs w:val="18"/>
                <w:lang w:val="hr-HR"/>
              </w:rPr>
            </w:pPr>
          </w:p>
        </w:tc>
      </w:tr>
      <w:tr w:rsidR="004E2F51" w:rsidRPr="00B91D09" w14:paraId="695B8F7E" w14:textId="77777777" w:rsidTr="00E032FC">
        <w:trPr>
          <w:trHeight w:val="94"/>
        </w:trPr>
        <w:tc>
          <w:tcPr>
            <w:tcW w:w="6387" w:type="dxa"/>
            <w:tcBorders>
              <w:left w:val="nil"/>
              <w:right w:val="nil"/>
            </w:tcBorders>
            <w:shd w:val="clear" w:color="auto" w:fill="auto"/>
            <w:vAlign w:val="bottom"/>
          </w:tcPr>
          <w:p w14:paraId="3E86890E"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Ostala sveobuhvatna dobit nakon oporezivanja</w:t>
            </w:r>
          </w:p>
        </w:tc>
        <w:tc>
          <w:tcPr>
            <w:tcW w:w="1403" w:type="dxa"/>
            <w:tcBorders>
              <w:bottom w:val="single" w:sz="4" w:space="0" w:color="auto"/>
            </w:tcBorders>
            <w:shd w:val="clear" w:color="auto" w:fill="auto"/>
            <w:noWrap/>
            <w:vAlign w:val="bottom"/>
          </w:tcPr>
          <w:p w14:paraId="4A44C543" w14:textId="77777777" w:rsidR="004E2F51" w:rsidRPr="00B91D09" w:rsidRDefault="004E2F51" w:rsidP="00E032FC">
            <w:pPr>
              <w:jc w:val="right"/>
              <w:rPr>
                <w:rFonts w:ascii="Arial" w:hAnsi="Arial" w:cs="Arial"/>
                <w:b/>
                <w:color w:val="000000" w:themeColor="text1"/>
                <w:sz w:val="18"/>
                <w:szCs w:val="18"/>
                <w:lang w:val="hr-HR"/>
              </w:rPr>
            </w:pPr>
            <w:r w:rsidRPr="007C7186">
              <w:rPr>
                <w:rFonts w:ascii="Arial" w:hAnsi="Arial" w:cs="Arial"/>
                <w:b/>
                <w:color w:val="000000" w:themeColor="text1"/>
                <w:sz w:val="18"/>
                <w:szCs w:val="18"/>
                <w:lang w:val="hr-HR"/>
              </w:rPr>
              <w:t>(7.915)</w:t>
            </w:r>
          </w:p>
        </w:tc>
        <w:tc>
          <w:tcPr>
            <w:tcW w:w="1218" w:type="dxa"/>
            <w:tcBorders>
              <w:bottom w:val="single" w:sz="4" w:space="0" w:color="auto"/>
            </w:tcBorders>
            <w:shd w:val="clear" w:color="auto" w:fill="auto"/>
            <w:vAlign w:val="bottom"/>
          </w:tcPr>
          <w:p w14:paraId="4B5079C0"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color w:val="000000" w:themeColor="text1"/>
                <w:sz w:val="18"/>
                <w:szCs w:val="18"/>
                <w:lang w:val="hr-HR"/>
              </w:rPr>
              <w:t>(1.187)</w:t>
            </w:r>
          </w:p>
        </w:tc>
      </w:tr>
      <w:tr w:rsidR="004E2F51" w:rsidRPr="00B91D09" w14:paraId="408B09C1" w14:textId="77777777" w:rsidTr="00E032FC">
        <w:trPr>
          <w:trHeight w:hRule="exact" w:val="125"/>
        </w:trPr>
        <w:tc>
          <w:tcPr>
            <w:tcW w:w="6387" w:type="dxa"/>
            <w:tcBorders>
              <w:left w:val="nil"/>
              <w:right w:val="nil"/>
            </w:tcBorders>
            <w:shd w:val="clear" w:color="auto" w:fill="auto"/>
            <w:vAlign w:val="bottom"/>
          </w:tcPr>
          <w:p w14:paraId="789CBF51" w14:textId="77777777" w:rsidR="004E2F51" w:rsidRPr="00B91D09" w:rsidRDefault="004E2F51" w:rsidP="00E032FC">
            <w:pPr>
              <w:spacing w:line="140" w:lineRule="exact"/>
              <w:rPr>
                <w:rFonts w:ascii="Arial" w:hAnsi="Arial" w:cs="Arial"/>
                <w:b/>
                <w:bCs/>
                <w:color w:val="000000" w:themeColor="text1"/>
                <w:sz w:val="18"/>
                <w:szCs w:val="18"/>
                <w:lang w:val="hr-HR"/>
              </w:rPr>
            </w:pPr>
          </w:p>
        </w:tc>
        <w:tc>
          <w:tcPr>
            <w:tcW w:w="1403" w:type="dxa"/>
            <w:tcBorders>
              <w:top w:val="single" w:sz="4" w:space="0" w:color="auto"/>
              <w:left w:val="nil"/>
              <w:right w:val="nil"/>
            </w:tcBorders>
            <w:shd w:val="clear" w:color="auto" w:fill="auto"/>
            <w:noWrap/>
            <w:vAlign w:val="bottom"/>
          </w:tcPr>
          <w:p w14:paraId="306491DE" w14:textId="77777777" w:rsidR="004E2F51" w:rsidRPr="00B91D09" w:rsidRDefault="004E2F51" w:rsidP="00E032FC">
            <w:pPr>
              <w:jc w:val="right"/>
              <w:rPr>
                <w:rFonts w:ascii="Arial" w:hAnsi="Arial" w:cs="Arial"/>
                <w:b/>
                <w:color w:val="000000" w:themeColor="text1"/>
                <w:sz w:val="18"/>
                <w:szCs w:val="18"/>
                <w:lang w:val="hr-HR"/>
              </w:rPr>
            </w:pPr>
          </w:p>
        </w:tc>
        <w:tc>
          <w:tcPr>
            <w:tcW w:w="1218" w:type="dxa"/>
            <w:tcBorders>
              <w:top w:val="single" w:sz="4" w:space="0" w:color="auto"/>
              <w:left w:val="nil"/>
              <w:right w:val="nil"/>
            </w:tcBorders>
            <w:shd w:val="clear" w:color="auto" w:fill="auto"/>
            <w:vAlign w:val="bottom"/>
          </w:tcPr>
          <w:p w14:paraId="1D3CCCD7" w14:textId="77777777" w:rsidR="004E2F51" w:rsidRPr="00B91D09" w:rsidRDefault="004E2F51" w:rsidP="00E032FC">
            <w:pPr>
              <w:spacing w:line="140" w:lineRule="exact"/>
              <w:jc w:val="right"/>
              <w:rPr>
                <w:rFonts w:ascii="Arial" w:hAnsi="Arial" w:cs="Arial"/>
                <w:b/>
                <w:bCs/>
                <w:color w:val="000000" w:themeColor="text1"/>
                <w:sz w:val="18"/>
                <w:szCs w:val="18"/>
                <w:lang w:val="hr-HR"/>
              </w:rPr>
            </w:pPr>
          </w:p>
        </w:tc>
      </w:tr>
      <w:tr w:rsidR="004E2F51" w:rsidRPr="00B91D09" w14:paraId="373AD80B" w14:textId="77777777" w:rsidTr="00E032FC">
        <w:trPr>
          <w:trHeight w:val="123"/>
        </w:trPr>
        <w:tc>
          <w:tcPr>
            <w:tcW w:w="6387" w:type="dxa"/>
            <w:tcBorders>
              <w:left w:val="nil"/>
              <w:right w:val="nil"/>
            </w:tcBorders>
            <w:shd w:val="clear" w:color="auto" w:fill="auto"/>
            <w:vAlign w:val="bottom"/>
          </w:tcPr>
          <w:p w14:paraId="31020D0D"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Ukupna sveobuhvatna dobit prije oporezivanja</w:t>
            </w:r>
          </w:p>
        </w:tc>
        <w:tc>
          <w:tcPr>
            <w:tcW w:w="1403" w:type="dxa"/>
            <w:tcBorders>
              <w:left w:val="nil"/>
              <w:bottom w:val="single" w:sz="12" w:space="0" w:color="auto"/>
              <w:right w:val="nil"/>
            </w:tcBorders>
            <w:shd w:val="clear" w:color="auto" w:fill="auto"/>
            <w:noWrap/>
            <w:vAlign w:val="bottom"/>
          </w:tcPr>
          <w:p w14:paraId="36BB80B1" w14:textId="77777777" w:rsidR="004E2F51" w:rsidRPr="00B91D09" w:rsidRDefault="004E2F51" w:rsidP="00E032FC">
            <w:pPr>
              <w:jc w:val="right"/>
              <w:rPr>
                <w:rFonts w:ascii="Arial" w:hAnsi="Arial" w:cs="Arial"/>
                <w:b/>
                <w:color w:val="000000" w:themeColor="text1"/>
                <w:sz w:val="18"/>
                <w:szCs w:val="18"/>
                <w:lang w:val="hr-HR"/>
              </w:rPr>
            </w:pPr>
            <w:r w:rsidRPr="007C7186">
              <w:rPr>
                <w:rFonts w:ascii="Arial" w:hAnsi="Arial" w:cs="Arial"/>
                <w:b/>
                <w:color w:val="000000" w:themeColor="text1"/>
                <w:sz w:val="18"/>
                <w:szCs w:val="18"/>
                <w:lang w:val="hr-HR"/>
              </w:rPr>
              <w:t>(4.630)</w:t>
            </w:r>
          </w:p>
        </w:tc>
        <w:tc>
          <w:tcPr>
            <w:tcW w:w="1218" w:type="dxa"/>
            <w:tcBorders>
              <w:left w:val="nil"/>
              <w:bottom w:val="single" w:sz="12" w:space="0" w:color="auto"/>
              <w:right w:val="nil"/>
            </w:tcBorders>
            <w:shd w:val="clear" w:color="auto" w:fill="auto"/>
            <w:vAlign w:val="bottom"/>
          </w:tcPr>
          <w:p w14:paraId="5244DF64"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color w:val="000000" w:themeColor="text1"/>
                <w:sz w:val="18"/>
                <w:szCs w:val="18"/>
                <w:lang w:val="hr-HR"/>
              </w:rPr>
              <w:t>(84)</w:t>
            </w:r>
          </w:p>
        </w:tc>
      </w:tr>
      <w:tr w:rsidR="004E2F51" w:rsidRPr="00B91D09" w14:paraId="44334945" w14:textId="77777777" w:rsidTr="00E032FC">
        <w:trPr>
          <w:trHeight w:hRule="exact" w:val="125"/>
        </w:trPr>
        <w:tc>
          <w:tcPr>
            <w:tcW w:w="6387" w:type="dxa"/>
            <w:tcBorders>
              <w:left w:val="nil"/>
              <w:right w:val="nil"/>
            </w:tcBorders>
            <w:shd w:val="clear" w:color="auto" w:fill="auto"/>
            <w:vAlign w:val="bottom"/>
          </w:tcPr>
          <w:p w14:paraId="677EFA3B" w14:textId="77777777" w:rsidR="004E2F51" w:rsidRPr="00B91D09" w:rsidRDefault="004E2F51" w:rsidP="00E032FC">
            <w:pPr>
              <w:spacing w:line="140" w:lineRule="exact"/>
              <w:rPr>
                <w:rFonts w:ascii="Arial" w:hAnsi="Arial" w:cs="Arial"/>
                <w:bCs/>
                <w:color w:val="000000" w:themeColor="text1"/>
                <w:sz w:val="18"/>
                <w:szCs w:val="18"/>
                <w:lang w:val="hr-HR"/>
              </w:rPr>
            </w:pPr>
          </w:p>
        </w:tc>
        <w:tc>
          <w:tcPr>
            <w:tcW w:w="1403" w:type="dxa"/>
            <w:tcBorders>
              <w:top w:val="single" w:sz="12" w:space="0" w:color="auto"/>
              <w:left w:val="nil"/>
              <w:bottom w:val="nil"/>
              <w:right w:val="nil"/>
            </w:tcBorders>
            <w:shd w:val="clear" w:color="auto" w:fill="auto"/>
            <w:noWrap/>
            <w:vAlign w:val="bottom"/>
          </w:tcPr>
          <w:p w14:paraId="0D529A47" w14:textId="77777777" w:rsidR="004E2F51" w:rsidRPr="00B91D09" w:rsidRDefault="004E2F51" w:rsidP="00E032FC">
            <w:pPr>
              <w:jc w:val="right"/>
              <w:rPr>
                <w:rFonts w:ascii="Arial" w:hAnsi="Arial" w:cs="Arial"/>
                <w:b/>
                <w:color w:val="000000" w:themeColor="text1"/>
                <w:sz w:val="18"/>
                <w:szCs w:val="18"/>
                <w:lang w:val="hr-HR"/>
              </w:rPr>
            </w:pPr>
          </w:p>
        </w:tc>
        <w:tc>
          <w:tcPr>
            <w:tcW w:w="1218" w:type="dxa"/>
            <w:tcBorders>
              <w:top w:val="single" w:sz="12" w:space="0" w:color="auto"/>
              <w:left w:val="nil"/>
              <w:bottom w:val="nil"/>
              <w:right w:val="nil"/>
            </w:tcBorders>
            <w:shd w:val="clear" w:color="auto" w:fill="auto"/>
            <w:vAlign w:val="bottom"/>
          </w:tcPr>
          <w:p w14:paraId="34F55E66" w14:textId="77777777" w:rsidR="004E2F51" w:rsidRPr="00B91D09" w:rsidRDefault="004E2F51" w:rsidP="00E032FC">
            <w:pPr>
              <w:spacing w:line="140" w:lineRule="exact"/>
              <w:jc w:val="right"/>
              <w:rPr>
                <w:rFonts w:ascii="Arial" w:hAnsi="Arial" w:cs="Arial"/>
                <w:bCs/>
                <w:color w:val="000000" w:themeColor="text1"/>
                <w:sz w:val="18"/>
                <w:szCs w:val="18"/>
                <w:lang w:val="hr-HR"/>
              </w:rPr>
            </w:pPr>
          </w:p>
        </w:tc>
      </w:tr>
      <w:tr w:rsidR="004E2F51" w:rsidRPr="00B91D09" w14:paraId="18D0E93E" w14:textId="77777777" w:rsidTr="00E032FC">
        <w:trPr>
          <w:trHeight w:val="69"/>
        </w:trPr>
        <w:tc>
          <w:tcPr>
            <w:tcW w:w="6387" w:type="dxa"/>
            <w:tcBorders>
              <w:left w:val="nil"/>
              <w:right w:val="nil"/>
            </w:tcBorders>
            <w:shd w:val="clear" w:color="auto" w:fill="auto"/>
            <w:vAlign w:val="bottom"/>
          </w:tcPr>
          <w:p w14:paraId="7E8EAA37"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Ukupna sveobuhvatna dobit za raspodjelu:</w:t>
            </w:r>
          </w:p>
        </w:tc>
        <w:tc>
          <w:tcPr>
            <w:tcW w:w="1403" w:type="dxa"/>
            <w:shd w:val="clear" w:color="auto" w:fill="auto"/>
            <w:noWrap/>
            <w:vAlign w:val="bottom"/>
          </w:tcPr>
          <w:p w14:paraId="4224EB21" w14:textId="77777777" w:rsidR="004E2F51" w:rsidRPr="00B91D09" w:rsidRDefault="004E2F51" w:rsidP="00E032FC">
            <w:pPr>
              <w:jc w:val="right"/>
              <w:rPr>
                <w:rFonts w:ascii="Arial" w:hAnsi="Arial" w:cs="Arial"/>
                <w:b/>
                <w:color w:val="000000" w:themeColor="text1"/>
                <w:sz w:val="18"/>
                <w:szCs w:val="18"/>
                <w:lang w:val="hr-HR"/>
              </w:rPr>
            </w:pPr>
          </w:p>
        </w:tc>
        <w:tc>
          <w:tcPr>
            <w:tcW w:w="1218" w:type="dxa"/>
            <w:shd w:val="clear" w:color="auto" w:fill="auto"/>
            <w:vAlign w:val="bottom"/>
          </w:tcPr>
          <w:p w14:paraId="1D5D213D" w14:textId="77777777" w:rsidR="004E2F51" w:rsidRPr="00B91D09" w:rsidRDefault="004E2F51" w:rsidP="00E032FC">
            <w:pPr>
              <w:jc w:val="right"/>
              <w:rPr>
                <w:rFonts w:ascii="Arial" w:hAnsi="Arial" w:cs="Arial"/>
                <w:bCs/>
                <w:color w:val="000000" w:themeColor="text1"/>
                <w:sz w:val="18"/>
                <w:szCs w:val="18"/>
                <w:lang w:val="hr-HR"/>
              </w:rPr>
            </w:pPr>
          </w:p>
        </w:tc>
      </w:tr>
      <w:tr w:rsidR="004E2F51" w:rsidRPr="00B91D09" w14:paraId="3506D73F" w14:textId="77777777" w:rsidTr="00E032FC">
        <w:trPr>
          <w:trHeight w:val="54"/>
        </w:trPr>
        <w:tc>
          <w:tcPr>
            <w:tcW w:w="6387" w:type="dxa"/>
            <w:tcBorders>
              <w:left w:val="nil"/>
              <w:right w:val="nil"/>
            </w:tcBorders>
            <w:shd w:val="clear" w:color="auto" w:fill="auto"/>
            <w:vAlign w:val="bottom"/>
          </w:tcPr>
          <w:p w14:paraId="2190BF53" w14:textId="77777777" w:rsidR="004E2F51" w:rsidRPr="00B91D09" w:rsidRDefault="004E2F51" w:rsidP="00E032FC">
            <w:pPr>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Vlasnicima društva</w:t>
            </w:r>
          </w:p>
        </w:tc>
        <w:tc>
          <w:tcPr>
            <w:tcW w:w="1403" w:type="dxa"/>
            <w:tcBorders>
              <w:top w:val="nil"/>
              <w:left w:val="nil"/>
              <w:bottom w:val="single" w:sz="12" w:space="0" w:color="auto"/>
              <w:right w:val="nil"/>
            </w:tcBorders>
            <w:shd w:val="clear" w:color="auto" w:fill="auto"/>
            <w:noWrap/>
            <w:vAlign w:val="bottom"/>
          </w:tcPr>
          <w:p w14:paraId="490897C9" w14:textId="77777777" w:rsidR="004E2F51" w:rsidRPr="00B91D09" w:rsidRDefault="004E2F51" w:rsidP="00E032FC">
            <w:pPr>
              <w:jc w:val="right"/>
              <w:rPr>
                <w:rFonts w:ascii="Arial" w:hAnsi="Arial" w:cs="Arial"/>
                <w:color w:val="000000" w:themeColor="text1"/>
                <w:sz w:val="18"/>
                <w:szCs w:val="18"/>
                <w:lang w:val="hr-HR"/>
              </w:rPr>
            </w:pPr>
            <w:r w:rsidRPr="007C7186">
              <w:rPr>
                <w:rFonts w:ascii="Arial" w:hAnsi="Arial" w:cs="Arial"/>
                <w:color w:val="000000" w:themeColor="text1"/>
                <w:sz w:val="18"/>
                <w:szCs w:val="18"/>
                <w:lang w:val="hr-HR"/>
              </w:rPr>
              <w:t>(4.630)</w:t>
            </w:r>
          </w:p>
        </w:tc>
        <w:tc>
          <w:tcPr>
            <w:tcW w:w="1218" w:type="dxa"/>
            <w:tcBorders>
              <w:top w:val="nil"/>
              <w:left w:val="nil"/>
              <w:bottom w:val="single" w:sz="12" w:space="0" w:color="auto"/>
              <w:right w:val="nil"/>
            </w:tcBorders>
            <w:shd w:val="clear" w:color="auto" w:fill="auto"/>
            <w:vAlign w:val="bottom"/>
          </w:tcPr>
          <w:p w14:paraId="69B3E28B" w14:textId="77777777" w:rsidR="004E2F51" w:rsidRPr="00B91D09" w:rsidRDefault="004E2F51" w:rsidP="00E032FC">
            <w:pPr>
              <w:jc w:val="right"/>
              <w:rPr>
                <w:rFonts w:ascii="Arial" w:hAnsi="Arial" w:cs="Arial"/>
                <w:bCs/>
                <w:color w:val="000000" w:themeColor="text1"/>
                <w:sz w:val="18"/>
                <w:szCs w:val="18"/>
                <w:lang w:val="hr-HR"/>
              </w:rPr>
            </w:pPr>
            <w:r w:rsidRPr="00B91D09">
              <w:rPr>
                <w:rFonts w:ascii="Arial" w:hAnsi="Arial" w:cs="Arial"/>
                <w:color w:val="000000" w:themeColor="text1"/>
                <w:sz w:val="18"/>
                <w:szCs w:val="18"/>
                <w:lang w:val="hr-HR"/>
              </w:rPr>
              <w:t>(84)</w:t>
            </w:r>
          </w:p>
        </w:tc>
      </w:tr>
    </w:tbl>
    <w:p w14:paraId="627C632D" w14:textId="77777777" w:rsidR="004E2F51" w:rsidRPr="00B91D09" w:rsidRDefault="004E2F51" w:rsidP="004E2F51">
      <w:pPr>
        <w:spacing w:before="120" w:line="300" w:lineRule="exact"/>
        <w:rPr>
          <w:rFonts w:ascii="Arial" w:hAnsi="Arial" w:cs="Arial"/>
          <w:b/>
          <w:color w:val="000000" w:themeColor="text1"/>
          <w:sz w:val="22"/>
          <w:szCs w:val="22"/>
          <w:lang w:val="hr-HR"/>
        </w:rPr>
      </w:pPr>
    </w:p>
    <w:p w14:paraId="58F5A6A3" w14:textId="77777777" w:rsidR="004E2F51" w:rsidRPr="00B91D09" w:rsidRDefault="004E2F51" w:rsidP="004E2F51">
      <w:pPr>
        <w:spacing w:before="120"/>
        <w:jc w:val="both"/>
        <w:rPr>
          <w:rFonts w:ascii="Arial" w:hAnsi="Arial" w:cs="Arial"/>
          <w:color w:val="000000" w:themeColor="text1"/>
          <w:sz w:val="20"/>
          <w:szCs w:val="20"/>
          <w:lang w:val="hr-HR"/>
        </w:rPr>
      </w:pPr>
      <w:r w:rsidRPr="00B91D09">
        <w:rPr>
          <w:rFonts w:ascii="Arial" w:hAnsi="Arial" w:cs="Arial"/>
          <w:color w:val="000000" w:themeColor="text1"/>
          <w:sz w:val="20"/>
          <w:szCs w:val="20"/>
          <w:lang w:val="hr-HR"/>
        </w:rPr>
        <w:t>Dobit prije i poslije oporezivanja je u odvojenim financijskim izvještajima Grupe HKO različita u odnosu na konsolidirani Račun dobiti i gubitka jer u odvojenim financijskim izvještajima nije primijenjen MSFI 9.</w:t>
      </w:r>
    </w:p>
    <w:p w14:paraId="6306ADA1" w14:textId="77777777" w:rsidR="004E2F51" w:rsidRPr="00B91D09" w:rsidRDefault="004E2F51" w:rsidP="004E2F51">
      <w:pPr>
        <w:spacing w:before="120" w:line="300" w:lineRule="exact"/>
        <w:rPr>
          <w:rFonts w:ascii="Arial" w:hAnsi="Arial" w:cs="Arial"/>
          <w:b/>
          <w:color w:val="000000" w:themeColor="text1"/>
          <w:sz w:val="20"/>
          <w:szCs w:val="20"/>
          <w:lang w:val="hr-HR"/>
        </w:rPr>
        <w:sectPr w:rsidR="004E2F51" w:rsidRPr="00B91D09" w:rsidSect="00623DBA">
          <w:headerReference w:type="default" r:id="rId235"/>
          <w:footerReference w:type="default" r:id="rId236"/>
          <w:pgSz w:w="11907" w:h="16840" w:code="9"/>
          <w:pgMar w:top="1418" w:right="1134" w:bottom="1134" w:left="1418" w:header="851" w:footer="851" w:gutter="0"/>
          <w:cols w:space="720"/>
          <w:noEndnote/>
        </w:sectPr>
      </w:pPr>
    </w:p>
    <w:p w14:paraId="123FE158" w14:textId="77777777" w:rsidR="004E2F51" w:rsidRPr="00B91D09" w:rsidRDefault="004E2F51" w:rsidP="004E2F51">
      <w:pPr>
        <w:spacing w:before="120" w:line="300" w:lineRule="exact"/>
        <w:ind w:firstLine="680"/>
        <w:rPr>
          <w:rFonts w:ascii="Arial" w:hAnsi="Arial" w:cs="Arial"/>
          <w:b/>
          <w:color w:val="000000" w:themeColor="text1"/>
          <w:sz w:val="22"/>
          <w:szCs w:val="22"/>
          <w:lang w:val="hr-HR"/>
        </w:rPr>
      </w:pPr>
    </w:p>
    <w:tbl>
      <w:tblPr>
        <w:tblpPr w:leftFromText="181" w:rightFromText="181" w:vertAnchor="text" w:horzAnchor="margin" w:tblpXSpec="center" w:tblpY="1"/>
        <w:tblW w:w="8472" w:type="dxa"/>
        <w:tblLayout w:type="fixed"/>
        <w:tblLook w:val="04A0" w:firstRow="1" w:lastRow="0" w:firstColumn="1" w:lastColumn="0" w:noHBand="0" w:noVBand="1"/>
      </w:tblPr>
      <w:tblGrid>
        <w:gridCol w:w="6062"/>
        <w:gridCol w:w="1276"/>
        <w:gridCol w:w="1134"/>
      </w:tblGrid>
      <w:tr w:rsidR="004E2F51" w:rsidRPr="00B91D09" w14:paraId="0073F448" w14:textId="77777777" w:rsidTr="00E032FC">
        <w:trPr>
          <w:trHeight w:val="119"/>
        </w:trPr>
        <w:tc>
          <w:tcPr>
            <w:tcW w:w="6062" w:type="dxa"/>
            <w:tcBorders>
              <w:left w:val="nil"/>
              <w:bottom w:val="nil"/>
              <w:right w:val="nil"/>
            </w:tcBorders>
            <w:shd w:val="clear" w:color="auto" w:fill="auto"/>
            <w:vAlign w:val="bottom"/>
          </w:tcPr>
          <w:p w14:paraId="37B49701" w14:textId="77777777" w:rsidR="004E2F51" w:rsidRPr="00B91D09" w:rsidRDefault="004E2F51" w:rsidP="00E032FC">
            <w:pPr>
              <w:rPr>
                <w:rFonts w:ascii="Arial" w:hAnsi="Arial" w:cs="Arial"/>
                <w:b/>
                <w:bCs/>
                <w:color w:val="000000" w:themeColor="text1"/>
                <w:sz w:val="18"/>
                <w:szCs w:val="18"/>
                <w:lang w:val="hr-HR"/>
              </w:rPr>
            </w:pPr>
          </w:p>
        </w:tc>
        <w:tc>
          <w:tcPr>
            <w:tcW w:w="1276" w:type="dxa"/>
            <w:tcBorders>
              <w:left w:val="nil"/>
              <w:bottom w:val="nil"/>
              <w:right w:val="nil"/>
            </w:tcBorders>
            <w:shd w:val="clear" w:color="auto" w:fill="auto"/>
            <w:noWrap/>
            <w:vAlign w:val="bottom"/>
          </w:tcPr>
          <w:p w14:paraId="2611D762"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2</w:t>
            </w:r>
            <w:r w:rsidRPr="00B91D09">
              <w:rPr>
                <w:rFonts w:ascii="Arial" w:hAnsi="Arial" w:cs="Arial"/>
                <w:b/>
                <w:bCs/>
                <w:color w:val="000000" w:themeColor="text1"/>
                <w:sz w:val="18"/>
                <w:szCs w:val="18"/>
                <w:lang w:val="hr-HR"/>
              </w:rPr>
              <w:t>.</w:t>
            </w:r>
          </w:p>
        </w:tc>
        <w:tc>
          <w:tcPr>
            <w:tcW w:w="1134" w:type="dxa"/>
            <w:tcBorders>
              <w:left w:val="nil"/>
              <w:bottom w:val="nil"/>
              <w:right w:val="nil"/>
            </w:tcBorders>
            <w:vAlign w:val="bottom"/>
          </w:tcPr>
          <w:p w14:paraId="15809229"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1</w:t>
            </w:r>
            <w:r w:rsidRPr="00B91D09">
              <w:rPr>
                <w:rFonts w:ascii="Arial" w:hAnsi="Arial" w:cs="Arial"/>
                <w:b/>
                <w:bCs/>
                <w:color w:val="000000" w:themeColor="text1"/>
                <w:sz w:val="18"/>
                <w:szCs w:val="18"/>
                <w:lang w:val="hr-HR"/>
              </w:rPr>
              <w:t>.</w:t>
            </w:r>
          </w:p>
        </w:tc>
      </w:tr>
      <w:tr w:rsidR="004E2F51" w:rsidRPr="00B91D09" w14:paraId="3448149B" w14:textId="77777777" w:rsidTr="00E032FC">
        <w:trPr>
          <w:trHeight w:val="95"/>
        </w:trPr>
        <w:tc>
          <w:tcPr>
            <w:tcW w:w="6062" w:type="dxa"/>
            <w:tcBorders>
              <w:left w:val="nil"/>
              <w:bottom w:val="nil"/>
              <w:right w:val="nil"/>
            </w:tcBorders>
            <w:shd w:val="clear" w:color="auto" w:fill="auto"/>
            <w:vAlign w:val="bottom"/>
          </w:tcPr>
          <w:p w14:paraId="7B6F2945" w14:textId="77777777" w:rsidR="004E2F51" w:rsidRPr="00B91D09" w:rsidRDefault="004E2F51" w:rsidP="00E032FC">
            <w:pPr>
              <w:rPr>
                <w:rFonts w:ascii="Arial" w:hAnsi="Arial" w:cs="Arial"/>
                <w:b/>
                <w:bCs/>
                <w:color w:val="000000" w:themeColor="text1"/>
                <w:sz w:val="18"/>
                <w:szCs w:val="18"/>
                <w:lang w:val="hr-HR"/>
              </w:rPr>
            </w:pPr>
          </w:p>
        </w:tc>
        <w:tc>
          <w:tcPr>
            <w:tcW w:w="1276" w:type="dxa"/>
            <w:tcBorders>
              <w:left w:val="nil"/>
              <w:bottom w:val="nil"/>
              <w:right w:val="nil"/>
            </w:tcBorders>
            <w:shd w:val="clear" w:color="auto" w:fill="auto"/>
            <w:noWrap/>
            <w:vAlign w:val="bottom"/>
          </w:tcPr>
          <w:p w14:paraId="728F4855"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000 kuna</w:t>
            </w:r>
          </w:p>
        </w:tc>
        <w:tc>
          <w:tcPr>
            <w:tcW w:w="1134" w:type="dxa"/>
            <w:tcBorders>
              <w:left w:val="nil"/>
              <w:bottom w:val="nil"/>
              <w:right w:val="nil"/>
            </w:tcBorders>
            <w:vAlign w:val="bottom"/>
          </w:tcPr>
          <w:p w14:paraId="7DD6CB74"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000 kuna</w:t>
            </w:r>
          </w:p>
        </w:tc>
      </w:tr>
      <w:tr w:rsidR="004E2F51" w:rsidRPr="00B91D09" w14:paraId="081F3B05" w14:textId="77777777" w:rsidTr="00E032FC">
        <w:trPr>
          <w:trHeight w:val="59"/>
        </w:trPr>
        <w:tc>
          <w:tcPr>
            <w:tcW w:w="6062" w:type="dxa"/>
            <w:tcBorders>
              <w:top w:val="nil"/>
              <w:left w:val="nil"/>
              <w:bottom w:val="nil"/>
              <w:right w:val="nil"/>
            </w:tcBorders>
            <w:shd w:val="clear" w:color="auto" w:fill="auto"/>
            <w:vAlign w:val="bottom"/>
          </w:tcPr>
          <w:p w14:paraId="4C4B54B3"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00FD416E"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vAlign w:val="bottom"/>
          </w:tcPr>
          <w:p w14:paraId="0EC3C9BE" w14:textId="77777777" w:rsidR="004E2F51" w:rsidRPr="00B91D09" w:rsidRDefault="004E2F51" w:rsidP="00E032FC">
            <w:pPr>
              <w:spacing w:line="140" w:lineRule="exact"/>
              <w:rPr>
                <w:rFonts w:ascii="Arial" w:hAnsi="Arial" w:cs="Arial"/>
                <w:color w:val="000000" w:themeColor="text1"/>
                <w:sz w:val="18"/>
                <w:szCs w:val="18"/>
                <w:lang w:val="hr-HR"/>
              </w:rPr>
            </w:pPr>
          </w:p>
        </w:tc>
      </w:tr>
      <w:tr w:rsidR="004E2F51" w:rsidRPr="00B91D09" w14:paraId="42C32739" w14:textId="77777777" w:rsidTr="00E032FC">
        <w:trPr>
          <w:trHeight w:val="109"/>
        </w:trPr>
        <w:tc>
          <w:tcPr>
            <w:tcW w:w="6062" w:type="dxa"/>
            <w:tcBorders>
              <w:top w:val="nil"/>
              <w:left w:val="nil"/>
              <w:bottom w:val="nil"/>
              <w:right w:val="nil"/>
            </w:tcBorders>
            <w:shd w:val="clear" w:color="auto" w:fill="auto"/>
            <w:vAlign w:val="bottom"/>
          </w:tcPr>
          <w:p w14:paraId="3127E840" w14:textId="77777777" w:rsidR="004E2F51" w:rsidRPr="00B91D09" w:rsidRDefault="004E2F51" w:rsidP="00E032F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Imovina</w:t>
            </w:r>
          </w:p>
        </w:tc>
        <w:tc>
          <w:tcPr>
            <w:tcW w:w="1276" w:type="dxa"/>
            <w:tcBorders>
              <w:top w:val="nil"/>
              <w:left w:val="nil"/>
              <w:bottom w:val="nil"/>
              <w:right w:val="nil"/>
            </w:tcBorders>
            <w:shd w:val="clear" w:color="auto" w:fill="auto"/>
            <w:noWrap/>
            <w:vAlign w:val="bottom"/>
          </w:tcPr>
          <w:p w14:paraId="6305AEA2" w14:textId="77777777" w:rsidR="004E2F51" w:rsidRPr="00B91D09" w:rsidRDefault="004E2F51" w:rsidP="00E032FC">
            <w:pPr>
              <w:jc w:val="right"/>
              <w:rPr>
                <w:rFonts w:ascii="Arial" w:hAnsi="Arial" w:cs="Arial"/>
                <w:color w:val="000000" w:themeColor="text1"/>
                <w:sz w:val="18"/>
                <w:szCs w:val="18"/>
                <w:lang w:val="hr-HR"/>
              </w:rPr>
            </w:pPr>
          </w:p>
        </w:tc>
        <w:tc>
          <w:tcPr>
            <w:tcW w:w="1134" w:type="dxa"/>
            <w:tcBorders>
              <w:top w:val="nil"/>
              <w:left w:val="nil"/>
              <w:bottom w:val="nil"/>
              <w:right w:val="nil"/>
            </w:tcBorders>
            <w:vAlign w:val="bottom"/>
          </w:tcPr>
          <w:p w14:paraId="6C097B11" w14:textId="77777777" w:rsidR="004E2F51" w:rsidRPr="00B91D09" w:rsidRDefault="004E2F51" w:rsidP="00E032FC">
            <w:pPr>
              <w:jc w:val="right"/>
              <w:rPr>
                <w:rFonts w:ascii="Arial" w:hAnsi="Arial" w:cs="Arial"/>
                <w:color w:val="000000" w:themeColor="text1"/>
                <w:sz w:val="18"/>
                <w:szCs w:val="18"/>
                <w:lang w:val="hr-HR"/>
              </w:rPr>
            </w:pPr>
          </w:p>
        </w:tc>
      </w:tr>
      <w:tr w:rsidR="004E2F51" w:rsidRPr="00B91D09" w14:paraId="72D22208" w14:textId="77777777" w:rsidTr="00E032FC">
        <w:trPr>
          <w:trHeight w:val="66"/>
        </w:trPr>
        <w:tc>
          <w:tcPr>
            <w:tcW w:w="6062" w:type="dxa"/>
            <w:tcBorders>
              <w:top w:val="nil"/>
              <w:left w:val="nil"/>
              <w:bottom w:val="nil"/>
              <w:right w:val="nil"/>
            </w:tcBorders>
            <w:shd w:val="clear" w:color="auto" w:fill="auto"/>
            <w:vAlign w:val="bottom"/>
          </w:tcPr>
          <w:p w14:paraId="53C48CD9" w14:textId="77777777" w:rsidR="004E2F51" w:rsidRPr="00B91D09" w:rsidRDefault="004E2F51" w:rsidP="00E032F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Dugotrajna imovina</w:t>
            </w:r>
          </w:p>
        </w:tc>
        <w:tc>
          <w:tcPr>
            <w:tcW w:w="1276" w:type="dxa"/>
            <w:tcBorders>
              <w:top w:val="nil"/>
              <w:left w:val="nil"/>
              <w:bottom w:val="nil"/>
              <w:right w:val="nil"/>
            </w:tcBorders>
            <w:shd w:val="clear" w:color="auto" w:fill="auto"/>
            <w:noWrap/>
            <w:vAlign w:val="bottom"/>
          </w:tcPr>
          <w:p w14:paraId="365C4430" w14:textId="77777777" w:rsidR="004E2F51" w:rsidRPr="00B91D09" w:rsidRDefault="004E2F51" w:rsidP="00E032FC">
            <w:pPr>
              <w:jc w:val="right"/>
              <w:rPr>
                <w:rFonts w:ascii="Arial" w:hAnsi="Arial" w:cs="Arial"/>
                <w:color w:val="000000" w:themeColor="text1"/>
                <w:sz w:val="18"/>
                <w:szCs w:val="18"/>
                <w:lang w:val="hr-HR"/>
              </w:rPr>
            </w:pPr>
          </w:p>
        </w:tc>
        <w:tc>
          <w:tcPr>
            <w:tcW w:w="1134" w:type="dxa"/>
            <w:tcBorders>
              <w:top w:val="nil"/>
              <w:left w:val="nil"/>
              <w:bottom w:val="nil"/>
              <w:right w:val="nil"/>
            </w:tcBorders>
            <w:vAlign w:val="bottom"/>
          </w:tcPr>
          <w:p w14:paraId="0CB0B9BC" w14:textId="77777777" w:rsidR="004E2F51" w:rsidRPr="00B91D09" w:rsidRDefault="004E2F51" w:rsidP="00E032FC">
            <w:pPr>
              <w:jc w:val="right"/>
              <w:rPr>
                <w:rFonts w:ascii="Arial" w:hAnsi="Arial" w:cs="Arial"/>
                <w:color w:val="000000" w:themeColor="text1"/>
                <w:sz w:val="18"/>
                <w:szCs w:val="18"/>
                <w:lang w:val="hr-HR"/>
              </w:rPr>
            </w:pPr>
          </w:p>
        </w:tc>
      </w:tr>
      <w:tr w:rsidR="004E2F51" w:rsidRPr="00B91D09" w14:paraId="736E578D" w14:textId="77777777" w:rsidTr="00E032FC">
        <w:trPr>
          <w:trHeight w:val="180"/>
        </w:trPr>
        <w:tc>
          <w:tcPr>
            <w:tcW w:w="6062" w:type="dxa"/>
            <w:tcBorders>
              <w:top w:val="nil"/>
              <w:left w:val="nil"/>
              <w:bottom w:val="nil"/>
              <w:right w:val="nil"/>
            </w:tcBorders>
            <w:shd w:val="clear" w:color="auto" w:fill="auto"/>
            <w:vAlign w:val="bottom"/>
          </w:tcPr>
          <w:p w14:paraId="02708AB7"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Nekretnine i oprema</w:t>
            </w:r>
          </w:p>
        </w:tc>
        <w:tc>
          <w:tcPr>
            <w:tcW w:w="1276" w:type="dxa"/>
            <w:shd w:val="clear" w:color="auto" w:fill="auto"/>
            <w:noWrap/>
            <w:vAlign w:val="bottom"/>
          </w:tcPr>
          <w:p w14:paraId="3286410F" w14:textId="77777777" w:rsidR="004E2F51" w:rsidRPr="00B91D09" w:rsidRDefault="004E2F51" w:rsidP="00E032FC">
            <w:pPr>
              <w:jc w:val="right"/>
              <w:rPr>
                <w:rFonts w:ascii="Arial" w:hAnsi="Arial" w:cs="Arial"/>
                <w:color w:val="000000" w:themeColor="text1"/>
                <w:sz w:val="18"/>
                <w:szCs w:val="18"/>
                <w:lang w:val="hr-HR"/>
              </w:rPr>
            </w:pPr>
            <w:r w:rsidRPr="007C7186">
              <w:rPr>
                <w:rFonts w:ascii="Arial" w:hAnsi="Arial" w:cs="Arial"/>
                <w:color w:val="000000" w:themeColor="text1"/>
                <w:sz w:val="18"/>
                <w:szCs w:val="18"/>
                <w:lang w:val="hr-HR"/>
              </w:rPr>
              <w:t>533</w:t>
            </w:r>
          </w:p>
        </w:tc>
        <w:tc>
          <w:tcPr>
            <w:tcW w:w="1134" w:type="dxa"/>
            <w:shd w:val="clear" w:color="auto" w:fill="auto"/>
          </w:tcPr>
          <w:p w14:paraId="637AA73A"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825</w:t>
            </w:r>
          </w:p>
        </w:tc>
      </w:tr>
      <w:tr w:rsidR="004E2F51" w:rsidRPr="00B91D09" w14:paraId="4D02175C" w14:textId="77777777" w:rsidTr="00E032FC">
        <w:trPr>
          <w:trHeight w:val="180"/>
        </w:trPr>
        <w:tc>
          <w:tcPr>
            <w:tcW w:w="6062" w:type="dxa"/>
            <w:tcBorders>
              <w:top w:val="nil"/>
              <w:left w:val="nil"/>
              <w:bottom w:val="nil"/>
              <w:right w:val="nil"/>
            </w:tcBorders>
            <w:shd w:val="clear" w:color="auto" w:fill="auto"/>
            <w:vAlign w:val="bottom"/>
          </w:tcPr>
          <w:p w14:paraId="6B21A33F"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Nematerijalna imovina</w:t>
            </w:r>
          </w:p>
        </w:tc>
        <w:tc>
          <w:tcPr>
            <w:tcW w:w="1276" w:type="dxa"/>
            <w:shd w:val="clear" w:color="auto" w:fill="auto"/>
            <w:noWrap/>
            <w:vAlign w:val="bottom"/>
          </w:tcPr>
          <w:p w14:paraId="04809ECD" w14:textId="77777777" w:rsidR="004E2F51" w:rsidRPr="00B91D09" w:rsidRDefault="004E2F51" w:rsidP="00E032FC">
            <w:pPr>
              <w:jc w:val="right"/>
              <w:rPr>
                <w:rFonts w:ascii="Arial" w:hAnsi="Arial" w:cs="Arial"/>
                <w:color w:val="000000" w:themeColor="text1"/>
                <w:sz w:val="18"/>
                <w:szCs w:val="18"/>
                <w:lang w:val="hr-HR"/>
              </w:rPr>
            </w:pPr>
            <w:r w:rsidRPr="007C7186">
              <w:rPr>
                <w:rFonts w:ascii="Arial" w:hAnsi="Arial" w:cs="Arial"/>
                <w:color w:val="000000" w:themeColor="text1"/>
                <w:sz w:val="18"/>
                <w:szCs w:val="18"/>
                <w:lang w:val="hr-HR"/>
              </w:rPr>
              <w:t>571</w:t>
            </w:r>
          </w:p>
        </w:tc>
        <w:tc>
          <w:tcPr>
            <w:tcW w:w="1134" w:type="dxa"/>
            <w:shd w:val="clear" w:color="auto" w:fill="auto"/>
          </w:tcPr>
          <w:p w14:paraId="5558DC23"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439</w:t>
            </w:r>
          </w:p>
        </w:tc>
      </w:tr>
      <w:tr w:rsidR="004E2F51" w:rsidRPr="00B91D09" w14:paraId="7742523E" w14:textId="77777777" w:rsidTr="00E032FC">
        <w:trPr>
          <w:trHeight w:val="180"/>
        </w:trPr>
        <w:tc>
          <w:tcPr>
            <w:tcW w:w="6062" w:type="dxa"/>
            <w:tcBorders>
              <w:top w:val="nil"/>
              <w:left w:val="nil"/>
              <w:bottom w:val="nil"/>
              <w:right w:val="nil"/>
            </w:tcBorders>
            <w:shd w:val="clear" w:color="auto" w:fill="auto"/>
            <w:vAlign w:val="bottom"/>
          </w:tcPr>
          <w:p w14:paraId="64470CCC" w14:textId="77777777" w:rsidR="004E2F51" w:rsidRPr="00B91D09" w:rsidRDefault="004E2F51" w:rsidP="00E032FC">
            <w:pPr>
              <w:rPr>
                <w:rFonts w:ascii="Arial" w:hAnsi="Arial" w:cs="Arial"/>
                <w:color w:val="000000" w:themeColor="text1"/>
                <w:sz w:val="18"/>
                <w:szCs w:val="18"/>
                <w:lang w:val="hr-HR"/>
              </w:rPr>
            </w:pPr>
            <w:r w:rsidRPr="007C7186">
              <w:rPr>
                <w:rFonts w:ascii="Arial" w:hAnsi="Arial" w:cs="Arial"/>
                <w:color w:val="000000" w:themeColor="text1"/>
                <w:sz w:val="18"/>
                <w:szCs w:val="18"/>
                <w:lang w:val="hr-HR"/>
              </w:rPr>
              <w:t>Odgođena porezna imovina</w:t>
            </w:r>
          </w:p>
        </w:tc>
        <w:tc>
          <w:tcPr>
            <w:tcW w:w="1276" w:type="dxa"/>
            <w:shd w:val="clear" w:color="auto" w:fill="auto"/>
            <w:noWrap/>
            <w:vAlign w:val="bottom"/>
          </w:tcPr>
          <w:p w14:paraId="14C2C8ED" w14:textId="77777777" w:rsidR="004E2F51" w:rsidRPr="00B91D09" w:rsidRDefault="004E2F51" w:rsidP="00E032FC">
            <w:pPr>
              <w:jc w:val="right"/>
              <w:rPr>
                <w:rFonts w:ascii="Arial" w:hAnsi="Arial" w:cs="Arial"/>
                <w:color w:val="000000" w:themeColor="text1"/>
                <w:sz w:val="18"/>
                <w:szCs w:val="18"/>
                <w:lang w:val="hr-HR"/>
              </w:rPr>
            </w:pPr>
            <w:r w:rsidRPr="007C7186">
              <w:rPr>
                <w:rFonts w:ascii="Arial" w:hAnsi="Arial" w:cs="Arial"/>
                <w:color w:val="000000" w:themeColor="text1"/>
                <w:sz w:val="18"/>
                <w:szCs w:val="18"/>
                <w:lang w:val="hr-HR"/>
              </w:rPr>
              <w:t>1.174</w:t>
            </w:r>
          </w:p>
        </w:tc>
        <w:tc>
          <w:tcPr>
            <w:tcW w:w="1134" w:type="dxa"/>
            <w:shd w:val="clear" w:color="auto" w:fill="auto"/>
          </w:tcPr>
          <w:p w14:paraId="0FA2E545" w14:textId="77777777" w:rsidR="004E2F51" w:rsidRPr="00B91D09" w:rsidRDefault="004E2F51" w:rsidP="00E032FC">
            <w:pPr>
              <w:jc w:val="right"/>
              <w:rPr>
                <w:rFonts w:ascii="Arial" w:hAnsi="Arial" w:cs="Arial"/>
                <w:color w:val="000000"/>
                <w:sz w:val="18"/>
                <w:szCs w:val="18"/>
              </w:rPr>
            </w:pPr>
            <w:r>
              <w:rPr>
                <w:rFonts w:ascii="Arial" w:hAnsi="Arial" w:cs="Arial"/>
                <w:color w:val="000000"/>
                <w:sz w:val="18"/>
                <w:szCs w:val="18"/>
              </w:rPr>
              <w:t>-</w:t>
            </w:r>
          </w:p>
        </w:tc>
      </w:tr>
      <w:tr w:rsidR="004E2F51" w:rsidRPr="00B91D09" w14:paraId="28E12AE0" w14:textId="77777777" w:rsidTr="00E032FC">
        <w:trPr>
          <w:trHeight w:val="164"/>
        </w:trPr>
        <w:tc>
          <w:tcPr>
            <w:tcW w:w="6062" w:type="dxa"/>
            <w:tcBorders>
              <w:left w:val="nil"/>
              <w:right w:val="nil"/>
            </w:tcBorders>
            <w:shd w:val="clear" w:color="auto" w:fill="auto"/>
            <w:vAlign w:val="bottom"/>
          </w:tcPr>
          <w:p w14:paraId="465A0DFB" w14:textId="77777777" w:rsidR="004E2F51" w:rsidRPr="00B91D09" w:rsidRDefault="004E2F51" w:rsidP="00E032F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Ukupna dugotrajna imovina</w:t>
            </w:r>
          </w:p>
        </w:tc>
        <w:tc>
          <w:tcPr>
            <w:tcW w:w="1276" w:type="dxa"/>
            <w:tcBorders>
              <w:top w:val="single" w:sz="4" w:space="0" w:color="auto"/>
              <w:left w:val="nil"/>
              <w:bottom w:val="single" w:sz="12" w:space="0" w:color="auto"/>
              <w:right w:val="nil"/>
            </w:tcBorders>
            <w:shd w:val="clear" w:color="auto" w:fill="auto"/>
            <w:noWrap/>
            <w:vAlign w:val="bottom"/>
          </w:tcPr>
          <w:p w14:paraId="07D740F6" w14:textId="77777777" w:rsidR="004E2F51" w:rsidRPr="00B91D09" w:rsidRDefault="004E2F51" w:rsidP="00E032FC">
            <w:pPr>
              <w:jc w:val="right"/>
              <w:rPr>
                <w:rFonts w:ascii="Arial" w:hAnsi="Arial" w:cs="Arial"/>
                <w:b/>
                <w:bCs/>
                <w:color w:val="000000" w:themeColor="text1"/>
                <w:sz w:val="18"/>
                <w:szCs w:val="18"/>
                <w:lang w:val="hr-HR"/>
              </w:rPr>
            </w:pPr>
            <w:r w:rsidRPr="007C7186">
              <w:rPr>
                <w:rFonts w:ascii="Arial" w:hAnsi="Arial" w:cs="Arial"/>
                <w:b/>
                <w:bCs/>
                <w:color w:val="000000" w:themeColor="text1"/>
                <w:sz w:val="18"/>
                <w:szCs w:val="18"/>
                <w:lang w:val="hr-HR"/>
              </w:rPr>
              <w:t>2.278</w:t>
            </w:r>
          </w:p>
        </w:tc>
        <w:tc>
          <w:tcPr>
            <w:tcW w:w="1134" w:type="dxa"/>
            <w:tcBorders>
              <w:top w:val="single" w:sz="4" w:space="0" w:color="auto"/>
              <w:left w:val="nil"/>
              <w:bottom w:val="single" w:sz="12" w:space="0" w:color="auto"/>
              <w:right w:val="nil"/>
            </w:tcBorders>
            <w:shd w:val="clear" w:color="auto" w:fill="auto"/>
            <w:vAlign w:val="bottom"/>
          </w:tcPr>
          <w:p w14:paraId="67E3CA9F"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1.264</w:t>
            </w:r>
          </w:p>
        </w:tc>
      </w:tr>
      <w:tr w:rsidR="004E2F51" w:rsidRPr="00B91D09" w14:paraId="2A4B3BBE" w14:textId="77777777" w:rsidTr="00E032FC">
        <w:trPr>
          <w:trHeight w:val="60"/>
        </w:trPr>
        <w:tc>
          <w:tcPr>
            <w:tcW w:w="6062" w:type="dxa"/>
            <w:tcBorders>
              <w:left w:val="nil"/>
              <w:bottom w:val="nil"/>
              <w:right w:val="nil"/>
            </w:tcBorders>
            <w:shd w:val="clear" w:color="auto" w:fill="auto"/>
            <w:vAlign w:val="bottom"/>
          </w:tcPr>
          <w:p w14:paraId="6136A98A"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09130EFE" w14:textId="77777777" w:rsidR="004E2F51" w:rsidRPr="00B91D09" w:rsidRDefault="004E2F51" w:rsidP="00E032F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3B32E36A" w14:textId="77777777" w:rsidR="004E2F51" w:rsidRPr="00B91D09" w:rsidRDefault="004E2F51" w:rsidP="00E032FC">
            <w:pPr>
              <w:spacing w:line="140" w:lineRule="exact"/>
              <w:jc w:val="right"/>
              <w:rPr>
                <w:rFonts w:ascii="Arial" w:hAnsi="Arial" w:cs="Arial"/>
                <w:color w:val="000000" w:themeColor="text1"/>
                <w:sz w:val="18"/>
                <w:szCs w:val="18"/>
                <w:lang w:val="hr-HR"/>
              </w:rPr>
            </w:pPr>
          </w:p>
        </w:tc>
      </w:tr>
      <w:tr w:rsidR="004E2F51" w:rsidRPr="00B91D09" w14:paraId="3F6042B0" w14:textId="77777777" w:rsidTr="00E032FC">
        <w:trPr>
          <w:trHeight w:val="148"/>
        </w:trPr>
        <w:tc>
          <w:tcPr>
            <w:tcW w:w="6062" w:type="dxa"/>
            <w:tcBorders>
              <w:top w:val="nil"/>
              <w:left w:val="nil"/>
              <w:bottom w:val="nil"/>
              <w:right w:val="nil"/>
            </w:tcBorders>
            <w:shd w:val="clear" w:color="auto" w:fill="auto"/>
            <w:vAlign w:val="bottom"/>
          </w:tcPr>
          <w:p w14:paraId="233FA085" w14:textId="77777777" w:rsidR="004E2F51" w:rsidRPr="00B91D09" w:rsidRDefault="004E2F51" w:rsidP="00E032F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Kratkotrajna imovina</w:t>
            </w:r>
          </w:p>
        </w:tc>
        <w:tc>
          <w:tcPr>
            <w:tcW w:w="1276" w:type="dxa"/>
            <w:shd w:val="clear" w:color="auto" w:fill="auto"/>
            <w:noWrap/>
            <w:vAlign w:val="bottom"/>
          </w:tcPr>
          <w:p w14:paraId="5AFDE681" w14:textId="77777777" w:rsidR="004E2F51" w:rsidRPr="00B91D09" w:rsidRDefault="004E2F51" w:rsidP="00E032FC">
            <w:pPr>
              <w:jc w:val="right"/>
              <w:rPr>
                <w:rFonts w:ascii="Arial" w:hAnsi="Arial" w:cs="Arial"/>
                <w:color w:val="000000" w:themeColor="text1"/>
                <w:sz w:val="18"/>
                <w:szCs w:val="18"/>
                <w:lang w:val="hr-HR"/>
              </w:rPr>
            </w:pPr>
          </w:p>
        </w:tc>
        <w:tc>
          <w:tcPr>
            <w:tcW w:w="1134" w:type="dxa"/>
            <w:shd w:val="clear" w:color="auto" w:fill="auto"/>
            <w:vAlign w:val="bottom"/>
          </w:tcPr>
          <w:p w14:paraId="5980DB0C" w14:textId="77777777" w:rsidR="004E2F51" w:rsidRPr="00B91D09" w:rsidRDefault="004E2F51" w:rsidP="00E032FC">
            <w:pPr>
              <w:jc w:val="right"/>
              <w:rPr>
                <w:rFonts w:ascii="Arial" w:hAnsi="Arial" w:cs="Arial"/>
                <w:color w:val="000000" w:themeColor="text1"/>
                <w:sz w:val="18"/>
                <w:szCs w:val="18"/>
                <w:lang w:val="hr-HR"/>
              </w:rPr>
            </w:pPr>
          </w:p>
        </w:tc>
      </w:tr>
      <w:tr w:rsidR="004E2F51" w:rsidRPr="00B91D09" w14:paraId="444190A0" w14:textId="77777777" w:rsidTr="00E032FC">
        <w:trPr>
          <w:trHeight w:val="254"/>
        </w:trPr>
        <w:tc>
          <w:tcPr>
            <w:tcW w:w="6062" w:type="dxa"/>
            <w:tcBorders>
              <w:top w:val="nil"/>
              <w:left w:val="nil"/>
              <w:bottom w:val="nil"/>
              <w:right w:val="nil"/>
            </w:tcBorders>
            <w:shd w:val="clear" w:color="auto" w:fill="auto"/>
            <w:vAlign w:val="bottom"/>
          </w:tcPr>
          <w:p w14:paraId="6AEB1FEB"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Ulaganja raspoloživa za prodaju</w:t>
            </w:r>
          </w:p>
        </w:tc>
        <w:tc>
          <w:tcPr>
            <w:tcW w:w="1276" w:type="dxa"/>
            <w:shd w:val="clear" w:color="auto" w:fill="auto"/>
            <w:noWrap/>
            <w:vAlign w:val="bottom"/>
          </w:tcPr>
          <w:p w14:paraId="59346D3C" w14:textId="77777777" w:rsidR="004E2F51" w:rsidRPr="00B91D09" w:rsidRDefault="004E2F51" w:rsidP="00E032FC">
            <w:pPr>
              <w:jc w:val="right"/>
              <w:rPr>
                <w:rFonts w:ascii="Arial" w:hAnsi="Arial" w:cs="Arial"/>
                <w:color w:val="000000" w:themeColor="text1"/>
                <w:sz w:val="18"/>
                <w:szCs w:val="18"/>
                <w:lang w:val="hr-HR"/>
              </w:rPr>
            </w:pPr>
            <w:r w:rsidRPr="007C7186">
              <w:rPr>
                <w:rFonts w:ascii="Arial" w:hAnsi="Arial" w:cs="Arial"/>
                <w:color w:val="000000" w:themeColor="text1"/>
                <w:sz w:val="18"/>
                <w:szCs w:val="18"/>
                <w:lang w:val="hr-HR"/>
              </w:rPr>
              <w:t>47.150</w:t>
            </w:r>
          </w:p>
        </w:tc>
        <w:tc>
          <w:tcPr>
            <w:tcW w:w="1134" w:type="dxa"/>
            <w:shd w:val="clear" w:color="auto" w:fill="auto"/>
            <w:vAlign w:val="bottom"/>
          </w:tcPr>
          <w:p w14:paraId="4B4F822B"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56.826</w:t>
            </w:r>
          </w:p>
        </w:tc>
      </w:tr>
      <w:tr w:rsidR="004E2F51" w:rsidRPr="00B91D09" w14:paraId="0BE21805" w14:textId="77777777" w:rsidTr="00E032FC">
        <w:trPr>
          <w:trHeight w:val="254"/>
        </w:trPr>
        <w:tc>
          <w:tcPr>
            <w:tcW w:w="6062" w:type="dxa"/>
            <w:tcBorders>
              <w:top w:val="nil"/>
              <w:left w:val="nil"/>
              <w:bottom w:val="nil"/>
              <w:right w:val="nil"/>
            </w:tcBorders>
            <w:shd w:val="clear" w:color="auto" w:fill="auto"/>
            <w:vAlign w:val="bottom"/>
          </w:tcPr>
          <w:p w14:paraId="22561E46" w14:textId="77777777" w:rsidR="004E2F51" w:rsidRPr="00B91D09" w:rsidRDefault="004E2F51" w:rsidP="00E032FC">
            <w:pPr>
              <w:rPr>
                <w:rFonts w:ascii="Arial" w:hAnsi="Arial" w:cs="Arial"/>
                <w:color w:val="000000" w:themeColor="text1"/>
                <w:sz w:val="18"/>
                <w:szCs w:val="18"/>
                <w:lang w:val="hr-HR"/>
              </w:rPr>
            </w:pPr>
            <w:r w:rsidRPr="00E86836">
              <w:rPr>
                <w:rFonts w:ascii="Arial" w:hAnsi="Arial" w:cs="Arial"/>
                <w:color w:val="000000" w:themeColor="text1"/>
                <w:sz w:val="18"/>
                <w:szCs w:val="18"/>
                <w:lang w:val="hr-HR"/>
              </w:rPr>
              <w:t>Depoziti u bankama</w:t>
            </w:r>
          </w:p>
        </w:tc>
        <w:tc>
          <w:tcPr>
            <w:tcW w:w="1276" w:type="dxa"/>
            <w:shd w:val="clear" w:color="auto" w:fill="auto"/>
            <w:noWrap/>
            <w:vAlign w:val="bottom"/>
          </w:tcPr>
          <w:p w14:paraId="5CD4163B" w14:textId="77777777" w:rsidR="004E2F51" w:rsidRPr="007C7186"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22.584</w:t>
            </w:r>
          </w:p>
        </w:tc>
        <w:tc>
          <w:tcPr>
            <w:tcW w:w="1134" w:type="dxa"/>
            <w:shd w:val="clear" w:color="auto" w:fill="auto"/>
            <w:vAlign w:val="bottom"/>
          </w:tcPr>
          <w:p w14:paraId="4F65B51E" w14:textId="77777777" w:rsidR="004E2F51" w:rsidRPr="00B91D09" w:rsidRDefault="004E2F51" w:rsidP="00E032F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4E2F51" w:rsidRPr="00B91D09" w14:paraId="01F8C342" w14:textId="77777777" w:rsidTr="00E032FC">
        <w:trPr>
          <w:trHeight w:val="254"/>
        </w:trPr>
        <w:tc>
          <w:tcPr>
            <w:tcW w:w="6062" w:type="dxa"/>
            <w:tcBorders>
              <w:top w:val="nil"/>
              <w:left w:val="nil"/>
              <w:bottom w:val="nil"/>
              <w:right w:val="nil"/>
            </w:tcBorders>
            <w:shd w:val="clear" w:color="auto" w:fill="auto"/>
            <w:vAlign w:val="bottom"/>
          </w:tcPr>
          <w:p w14:paraId="7BC01C4E"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Potraživanja iz poslova osiguranja</w:t>
            </w:r>
          </w:p>
        </w:tc>
        <w:tc>
          <w:tcPr>
            <w:tcW w:w="1276" w:type="dxa"/>
            <w:shd w:val="clear" w:color="auto" w:fill="auto"/>
            <w:noWrap/>
            <w:vAlign w:val="bottom"/>
          </w:tcPr>
          <w:p w14:paraId="140AC7C9" w14:textId="77777777" w:rsidR="004E2F51" w:rsidRPr="00B91D09" w:rsidRDefault="004E2F51" w:rsidP="00E032FC">
            <w:pPr>
              <w:jc w:val="right"/>
              <w:rPr>
                <w:rFonts w:ascii="Arial" w:hAnsi="Arial" w:cs="Arial"/>
                <w:color w:val="000000" w:themeColor="text1"/>
                <w:sz w:val="18"/>
                <w:szCs w:val="18"/>
                <w:lang w:val="hr-HR"/>
              </w:rPr>
            </w:pPr>
            <w:r w:rsidRPr="007C7186">
              <w:rPr>
                <w:rFonts w:ascii="Arial" w:hAnsi="Arial" w:cs="Arial"/>
                <w:color w:val="000000" w:themeColor="text1"/>
                <w:sz w:val="18"/>
                <w:szCs w:val="18"/>
                <w:lang w:val="hr-HR"/>
              </w:rPr>
              <w:t>5.761</w:t>
            </w:r>
          </w:p>
        </w:tc>
        <w:tc>
          <w:tcPr>
            <w:tcW w:w="1134" w:type="dxa"/>
            <w:shd w:val="clear" w:color="auto" w:fill="auto"/>
            <w:vAlign w:val="bottom"/>
          </w:tcPr>
          <w:p w14:paraId="7C9F2FC6"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2.361</w:t>
            </w:r>
          </w:p>
        </w:tc>
      </w:tr>
      <w:tr w:rsidR="004E2F51" w:rsidRPr="00B91D09" w14:paraId="6D286573" w14:textId="77777777" w:rsidTr="00E032FC">
        <w:trPr>
          <w:trHeight w:val="254"/>
        </w:trPr>
        <w:tc>
          <w:tcPr>
            <w:tcW w:w="6062" w:type="dxa"/>
            <w:tcBorders>
              <w:top w:val="nil"/>
              <w:left w:val="nil"/>
              <w:bottom w:val="nil"/>
              <w:right w:val="nil"/>
            </w:tcBorders>
            <w:shd w:val="clear" w:color="auto" w:fill="auto"/>
            <w:vAlign w:val="bottom"/>
          </w:tcPr>
          <w:p w14:paraId="3F676610"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Ostala potraživanja</w:t>
            </w:r>
          </w:p>
        </w:tc>
        <w:tc>
          <w:tcPr>
            <w:tcW w:w="1276" w:type="dxa"/>
            <w:shd w:val="clear" w:color="auto" w:fill="auto"/>
            <w:noWrap/>
            <w:vAlign w:val="bottom"/>
          </w:tcPr>
          <w:p w14:paraId="7CC3384C" w14:textId="77777777" w:rsidR="004E2F51" w:rsidRPr="00B91D09" w:rsidRDefault="004E2F51" w:rsidP="00E032FC">
            <w:pPr>
              <w:jc w:val="right"/>
              <w:rPr>
                <w:rFonts w:ascii="Arial" w:hAnsi="Arial" w:cs="Arial"/>
                <w:color w:val="000000" w:themeColor="text1"/>
                <w:sz w:val="18"/>
                <w:szCs w:val="18"/>
                <w:lang w:val="hr-HR"/>
              </w:rPr>
            </w:pPr>
            <w:r w:rsidRPr="007C7186">
              <w:rPr>
                <w:rFonts w:ascii="Arial" w:hAnsi="Arial" w:cs="Arial"/>
                <w:color w:val="000000" w:themeColor="text1"/>
                <w:sz w:val="18"/>
                <w:szCs w:val="18"/>
                <w:lang w:val="hr-HR"/>
              </w:rPr>
              <w:t>808</w:t>
            </w:r>
          </w:p>
        </w:tc>
        <w:tc>
          <w:tcPr>
            <w:tcW w:w="1134" w:type="dxa"/>
            <w:shd w:val="clear" w:color="auto" w:fill="auto"/>
            <w:vAlign w:val="bottom"/>
          </w:tcPr>
          <w:p w14:paraId="6853AD33"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683</w:t>
            </w:r>
          </w:p>
        </w:tc>
      </w:tr>
      <w:tr w:rsidR="004E2F51" w:rsidRPr="00B91D09" w14:paraId="1ED57198" w14:textId="77777777" w:rsidTr="00E032FC">
        <w:trPr>
          <w:trHeight w:val="254"/>
        </w:trPr>
        <w:tc>
          <w:tcPr>
            <w:tcW w:w="6062" w:type="dxa"/>
            <w:tcBorders>
              <w:top w:val="nil"/>
              <w:left w:val="nil"/>
              <w:bottom w:val="nil"/>
              <w:right w:val="nil"/>
            </w:tcBorders>
            <w:shd w:val="clear" w:color="auto" w:fill="auto"/>
            <w:vAlign w:val="bottom"/>
          </w:tcPr>
          <w:p w14:paraId="41C8EA82"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Novac i novčani ekvivalenti</w:t>
            </w:r>
          </w:p>
        </w:tc>
        <w:tc>
          <w:tcPr>
            <w:tcW w:w="1276" w:type="dxa"/>
            <w:tcBorders>
              <w:top w:val="nil"/>
              <w:left w:val="nil"/>
              <w:bottom w:val="single" w:sz="4" w:space="0" w:color="auto"/>
              <w:right w:val="nil"/>
            </w:tcBorders>
            <w:shd w:val="clear" w:color="auto" w:fill="auto"/>
            <w:noWrap/>
            <w:vAlign w:val="bottom"/>
          </w:tcPr>
          <w:p w14:paraId="53D94F46" w14:textId="77777777" w:rsidR="004E2F51" w:rsidRPr="00B91D09" w:rsidRDefault="004E2F51" w:rsidP="00E032FC">
            <w:pPr>
              <w:jc w:val="right"/>
              <w:rPr>
                <w:rFonts w:ascii="Arial" w:hAnsi="Arial" w:cs="Arial"/>
                <w:color w:val="000000" w:themeColor="text1"/>
                <w:sz w:val="18"/>
                <w:szCs w:val="18"/>
                <w:lang w:val="hr-HR"/>
              </w:rPr>
            </w:pPr>
            <w:r w:rsidRPr="007C7186">
              <w:rPr>
                <w:rFonts w:ascii="Arial" w:hAnsi="Arial" w:cs="Arial"/>
                <w:color w:val="000000" w:themeColor="text1"/>
                <w:sz w:val="18"/>
                <w:szCs w:val="18"/>
                <w:lang w:val="hr-HR"/>
              </w:rPr>
              <w:t>5.400</w:t>
            </w:r>
          </w:p>
        </w:tc>
        <w:tc>
          <w:tcPr>
            <w:tcW w:w="1134" w:type="dxa"/>
            <w:tcBorders>
              <w:top w:val="nil"/>
              <w:left w:val="nil"/>
              <w:bottom w:val="single" w:sz="4" w:space="0" w:color="auto"/>
              <w:right w:val="nil"/>
            </w:tcBorders>
            <w:shd w:val="clear" w:color="auto" w:fill="auto"/>
            <w:vAlign w:val="bottom"/>
          </w:tcPr>
          <w:p w14:paraId="52C3064C"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3.366</w:t>
            </w:r>
          </w:p>
        </w:tc>
      </w:tr>
      <w:tr w:rsidR="004E2F51" w:rsidRPr="00B91D09" w14:paraId="3A3428B7" w14:textId="77777777" w:rsidTr="00E032FC">
        <w:trPr>
          <w:trHeight w:val="190"/>
        </w:trPr>
        <w:tc>
          <w:tcPr>
            <w:tcW w:w="6062" w:type="dxa"/>
            <w:tcBorders>
              <w:left w:val="nil"/>
              <w:right w:val="nil"/>
            </w:tcBorders>
            <w:shd w:val="clear" w:color="auto" w:fill="auto"/>
            <w:vAlign w:val="bottom"/>
          </w:tcPr>
          <w:p w14:paraId="7D73A1D7"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Ukupna kratkotrajna imovina</w:t>
            </w:r>
          </w:p>
        </w:tc>
        <w:tc>
          <w:tcPr>
            <w:tcW w:w="1276" w:type="dxa"/>
            <w:tcBorders>
              <w:top w:val="single" w:sz="4" w:space="0" w:color="auto"/>
              <w:left w:val="nil"/>
              <w:bottom w:val="single" w:sz="12" w:space="0" w:color="auto"/>
              <w:right w:val="nil"/>
            </w:tcBorders>
            <w:shd w:val="clear" w:color="auto" w:fill="auto"/>
            <w:noWrap/>
            <w:vAlign w:val="bottom"/>
          </w:tcPr>
          <w:p w14:paraId="5814BC33" w14:textId="77777777" w:rsidR="004E2F51" w:rsidRPr="00B91D09" w:rsidRDefault="004E2F51" w:rsidP="00E032FC">
            <w:pPr>
              <w:jc w:val="right"/>
              <w:rPr>
                <w:rFonts w:ascii="Arial" w:hAnsi="Arial" w:cs="Arial"/>
                <w:b/>
                <w:bCs/>
                <w:color w:val="000000" w:themeColor="text1"/>
                <w:sz w:val="18"/>
                <w:szCs w:val="18"/>
                <w:lang w:val="hr-HR"/>
              </w:rPr>
            </w:pPr>
            <w:r w:rsidRPr="00E86836">
              <w:rPr>
                <w:rFonts w:ascii="Arial" w:hAnsi="Arial" w:cs="Arial"/>
                <w:b/>
                <w:bCs/>
                <w:color w:val="000000" w:themeColor="text1"/>
                <w:sz w:val="18"/>
                <w:szCs w:val="18"/>
                <w:lang w:val="hr-HR"/>
              </w:rPr>
              <w:t>81.703</w:t>
            </w:r>
          </w:p>
        </w:tc>
        <w:tc>
          <w:tcPr>
            <w:tcW w:w="1134" w:type="dxa"/>
            <w:tcBorders>
              <w:top w:val="single" w:sz="4" w:space="0" w:color="auto"/>
              <w:left w:val="nil"/>
              <w:bottom w:val="single" w:sz="12" w:space="0" w:color="auto"/>
              <w:right w:val="nil"/>
            </w:tcBorders>
            <w:shd w:val="clear" w:color="auto" w:fill="auto"/>
            <w:vAlign w:val="bottom"/>
          </w:tcPr>
          <w:p w14:paraId="2E84DD8D"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63.236</w:t>
            </w:r>
          </w:p>
        </w:tc>
      </w:tr>
      <w:tr w:rsidR="004E2F51" w:rsidRPr="00B91D09" w14:paraId="430F3E27" w14:textId="77777777" w:rsidTr="00E032FC">
        <w:trPr>
          <w:trHeight w:val="56"/>
        </w:trPr>
        <w:tc>
          <w:tcPr>
            <w:tcW w:w="6062" w:type="dxa"/>
            <w:tcBorders>
              <w:left w:val="nil"/>
              <w:bottom w:val="nil"/>
              <w:right w:val="nil"/>
            </w:tcBorders>
            <w:shd w:val="clear" w:color="auto" w:fill="auto"/>
            <w:vAlign w:val="bottom"/>
          </w:tcPr>
          <w:p w14:paraId="7E0ABAAF"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single" w:sz="4" w:space="0" w:color="auto"/>
              <w:right w:val="nil"/>
            </w:tcBorders>
            <w:shd w:val="clear" w:color="auto" w:fill="auto"/>
            <w:noWrap/>
            <w:vAlign w:val="bottom"/>
          </w:tcPr>
          <w:p w14:paraId="7CA8D357" w14:textId="77777777" w:rsidR="004E2F51" w:rsidRPr="00B91D09" w:rsidRDefault="004E2F51" w:rsidP="00E032F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single" w:sz="4" w:space="0" w:color="auto"/>
              <w:right w:val="nil"/>
            </w:tcBorders>
            <w:shd w:val="clear" w:color="auto" w:fill="auto"/>
            <w:vAlign w:val="bottom"/>
          </w:tcPr>
          <w:p w14:paraId="73C0B5E6" w14:textId="77777777" w:rsidR="004E2F51" w:rsidRPr="00B91D09" w:rsidRDefault="004E2F51" w:rsidP="00E032FC">
            <w:pPr>
              <w:spacing w:line="140" w:lineRule="exact"/>
              <w:jc w:val="right"/>
              <w:rPr>
                <w:rFonts w:ascii="Arial" w:hAnsi="Arial" w:cs="Arial"/>
                <w:color w:val="000000" w:themeColor="text1"/>
                <w:sz w:val="18"/>
                <w:szCs w:val="18"/>
                <w:lang w:val="hr-HR"/>
              </w:rPr>
            </w:pPr>
          </w:p>
        </w:tc>
      </w:tr>
      <w:tr w:rsidR="004E2F51" w:rsidRPr="00B91D09" w14:paraId="096095DB" w14:textId="77777777" w:rsidTr="00E032FC">
        <w:trPr>
          <w:trHeight w:val="220"/>
        </w:trPr>
        <w:tc>
          <w:tcPr>
            <w:tcW w:w="6062" w:type="dxa"/>
            <w:tcBorders>
              <w:top w:val="nil"/>
              <w:left w:val="nil"/>
              <w:bottom w:val="nil"/>
              <w:right w:val="nil"/>
            </w:tcBorders>
            <w:shd w:val="clear" w:color="auto" w:fill="auto"/>
            <w:vAlign w:val="bottom"/>
          </w:tcPr>
          <w:p w14:paraId="3AD032EA"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Ukupna imovina</w:t>
            </w:r>
          </w:p>
        </w:tc>
        <w:tc>
          <w:tcPr>
            <w:tcW w:w="1276" w:type="dxa"/>
            <w:tcBorders>
              <w:top w:val="single" w:sz="4" w:space="0" w:color="auto"/>
              <w:left w:val="nil"/>
              <w:bottom w:val="single" w:sz="12" w:space="0" w:color="auto"/>
              <w:right w:val="nil"/>
            </w:tcBorders>
            <w:shd w:val="clear" w:color="auto" w:fill="auto"/>
            <w:noWrap/>
            <w:vAlign w:val="bottom"/>
          </w:tcPr>
          <w:p w14:paraId="603DFF31" w14:textId="77777777" w:rsidR="004E2F51" w:rsidRPr="00B91D09" w:rsidRDefault="004E2F51" w:rsidP="00E032FC">
            <w:pPr>
              <w:jc w:val="right"/>
              <w:rPr>
                <w:rFonts w:ascii="Arial" w:hAnsi="Arial" w:cs="Arial"/>
                <w:b/>
                <w:bCs/>
                <w:color w:val="000000" w:themeColor="text1"/>
                <w:sz w:val="18"/>
                <w:szCs w:val="18"/>
                <w:lang w:val="hr-HR"/>
              </w:rPr>
            </w:pPr>
            <w:r w:rsidRPr="00E86836">
              <w:rPr>
                <w:rFonts w:ascii="Arial" w:hAnsi="Arial" w:cs="Arial"/>
                <w:b/>
                <w:bCs/>
                <w:color w:val="000000" w:themeColor="text1"/>
                <w:sz w:val="18"/>
                <w:szCs w:val="18"/>
                <w:lang w:val="hr-HR"/>
              </w:rPr>
              <w:t>83.981</w:t>
            </w:r>
          </w:p>
        </w:tc>
        <w:tc>
          <w:tcPr>
            <w:tcW w:w="1134" w:type="dxa"/>
            <w:tcBorders>
              <w:top w:val="single" w:sz="4" w:space="0" w:color="auto"/>
              <w:left w:val="nil"/>
              <w:bottom w:val="single" w:sz="12" w:space="0" w:color="auto"/>
              <w:right w:val="nil"/>
            </w:tcBorders>
            <w:shd w:val="clear" w:color="auto" w:fill="auto"/>
            <w:vAlign w:val="bottom"/>
          </w:tcPr>
          <w:p w14:paraId="4573DFE1"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64.500</w:t>
            </w:r>
          </w:p>
        </w:tc>
      </w:tr>
      <w:tr w:rsidR="004E2F51" w:rsidRPr="00B91D09" w14:paraId="512374CC" w14:textId="77777777" w:rsidTr="00E032FC">
        <w:trPr>
          <w:trHeight w:val="74"/>
        </w:trPr>
        <w:tc>
          <w:tcPr>
            <w:tcW w:w="6062" w:type="dxa"/>
            <w:tcBorders>
              <w:top w:val="nil"/>
              <w:left w:val="nil"/>
              <w:bottom w:val="nil"/>
              <w:right w:val="nil"/>
            </w:tcBorders>
            <w:shd w:val="clear" w:color="auto" w:fill="auto"/>
            <w:vAlign w:val="bottom"/>
          </w:tcPr>
          <w:p w14:paraId="5961A13D"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11738139" w14:textId="77777777" w:rsidR="004E2F51" w:rsidRPr="00B91D09" w:rsidRDefault="004E2F51" w:rsidP="00E032FC">
            <w:pPr>
              <w:spacing w:line="140" w:lineRule="exact"/>
              <w:jc w:val="right"/>
              <w:rPr>
                <w:rFonts w:ascii="Arial" w:hAnsi="Arial" w:cs="Arial"/>
                <w:bCs/>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173115F1" w14:textId="77777777" w:rsidR="004E2F51" w:rsidRPr="00B91D09" w:rsidRDefault="004E2F51" w:rsidP="00E032FC">
            <w:pPr>
              <w:spacing w:line="140" w:lineRule="exact"/>
              <w:jc w:val="right"/>
              <w:rPr>
                <w:rFonts w:ascii="Arial" w:hAnsi="Arial" w:cs="Arial"/>
                <w:bCs/>
                <w:color w:val="000000" w:themeColor="text1"/>
                <w:sz w:val="18"/>
                <w:szCs w:val="18"/>
                <w:lang w:val="hr-HR"/>
              </w:rPr>
            </w:pPr>
          </w:p>
        </w:tc>
      </w:tr>
      <w:tr w:rsidR="004E2F51" w:rsidRPr="00B91D09" w14:paraId="02C45812" w14:textId="77777777" w:rsidTr="00E032FC">
        <w:trPr>
          <w:trHeight w:val="196"/>
        </w:trPr>
        <w:tc>
          <w:tcPr>
            <w:tcW w:w="6062" w:type="dxa"/>
            <w:tcBorders>
              <w:top w:val="nil"/>
              <w:left w:val="nil"/>
              <w:bottom w:val="nil"/>
              <w:right w:val="nil"/>
            </w:tcBorders>
            <w:shd w:val="clear" w:color="auto" w:fill="auto"/>
            <w:vAlign w:val="bottom"/>
          </w:tcPr>
          <w:p w14:paraId="5844A36E" w14:textId="77777777" w:rsidR="004E2F51" w:rsidRPr="00B91D09" w:rsidRDefault="004E2F51" w:rsidP="00E032F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Kapital i obveze</w:t>
            </w:r>
          </w:p>
        </w:tc>
        <w:tc>
          <w:tcPr>
            <w:tcW w:w="1276" w:type="dxa"/>
            <w:shd w:val="clear" w:color="auto" w:fill="auto"/>
            <w:noWrap/>
            <w:vAlign w:val="bottom"/>
          </w:tcPr>
          <w:p w14:paraId="5C3E8D53" w14:textId="77777777" w:rsidR="004E2F51" w:rsidRPr="00B91D09" w:rsidRDefault="004E2F51" w:rsidP="00E032FC">
            <w:pPr>
              <w:jc w:val="right"/>
              <w:rPr>
                <w:rFonts w:ascii="Arial" w:hAnsi="Arial" w:cs="Arial"/>
                <w:bCs/>
                <w:color w:val="000000" w:themeColor="text1"/>
                <w:sz w:val="18"/>
                <w:szCs w:val="18"/>
                <w:lang w:val="hr-HR"/>
              </w:rPr>
            </w:pPr>
          </w:p>
        </w:tc>
        <w:tc>
          <w:tcPr>
            <w:tcW w:w="1134" w:type="dxa"/>
            <w:shd w:val="clear" w:color="auto" w:fill="auto"/>
            <w:vAlign w:val="bottom"/>
          </w:tcPr>
          <w:p w14:paraId="66C0853D" w14:textId="77777777" w:rsidR="004E2F51" w:rsidRPr="00B91D09" w:rsidRDefault="004E2F51" w:rsidP="00E032FC">
            <w:pPr>
              <w:jc w:val="right"/>
              <w:rPr>
                <w:rFonts w:ascii="Arial" w:hAnsi="Arial" w:cs="Arial"/>
                <w:bCs/>
                <w:color w:val="000000" w:themeColor="text1"/>
                <w:sz w:val="18"/>
                <w:szCs w:val="18"/>
                <w:lang w:val="hr-HR"/>
              </w:rPr>
            </w:pPr>
          </w:p>
        </w:tc>
      </w:tr>
      <w:tr w:rsidR="004E2F51" w:rsidRPr="00B91D09" w14:paraId="63DA11A4" w14:textId="77777777" w:rsidTr="00E032FC">
        <w:trPr>
          <w:trHeight w:val="186"/>
        </w:trPr>
        <w:tc>
          <w:tcPr>
            <w:tcW w:w="6062" w:type="dxa"/>
            <w:tcBorders>
              <w:top w:val="nil"/>
              <w:left w:val="nil"/>
              <w:right w:val="nil"/>
            </w:tcBorders>
            <w:shd w:val="clear" w:color="auto" w:fill="auto"/>
            <w:vAlign w:val="bottom"/>
          </w:tcPr>
          <w:p w14:paraId="41735506" w14:textId="77777777" w:rsidR="004E2F51" w:rsidRPr="00B91D09" w:rsidRDefault="004E2F51" w:rsidP="00E032F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Kapital</w:t>
            </w:r>
          </w:p>
        </w:tc>
        <w:tc>
          <w:tcPr>
            <w:tcW w:w="1276" w:type="dxa"/>
            <w:shd w:val="clear" w:color="auto" w:fill="auto"/>
            <w:noWrap/>
            <w:vAlign w:val="bottom"/>
          </w:tcPr>
          <w:p w14:paraId="0091A0A7" w14:textId="77777777" w:rsidR="004E2F51" w:rsidRPr="00B91D09" w:rsidRDefault="004E2F51" w:rsidP="00E032FC">
            <w:pPr>
              <w:jc w:val="right"/>
              <w:rPr>
                <w:rFonts w:ascii="Arial" w:hAnsi="Arial" w:cs="Arial"/>
                <w:color w:val="000000" w:themeColor="text1"/>
                <w:sz w:val="18"/>
                <w:szCs w:val="18"/>
                <w:lang w:val="hr-HR"/>
              </w:rPr>
            </w:pPr>
          </w:p>
        </w:tc>
        <w:tc>
          <w:tcPr>
            <w:tcW w:w="1134" w:type="dxa"/>
            <w:shd w:val="clear" w:color="auto" w:fill="auto"/>
            <w:vAlign w:val="bottom"/>
          </w:tcPr>
          <w:p w14:paraId="6DCCC623" w14:textId="77777777" w:rsidR="004E2F51" w:rsidRPr="00B91D09" w:rsidRDefault="004E2F51" w:rsidP="00E032FC">
            <w:pPr>
              <w:jc w:val="right"/>
              <w:rPr>
                <w:rFonts w:ascii="Arial" w:hAnsi="Arial" w:cs="Arial"/>
                <w:color w:val="000000" w:themeColor="text1"/>
                <w:sz w:val="18"/>
                <w:szCs w:val="18"/>
                <w:lang w:val="hr-HR"/>
              </w:rPr>
            </w:pPr>
          </w:p>
        </w:tc>
      </w:tr>
      <w:tr w:rsidR="004E2F51" w:rsidRPr="00B91D09" w14:paraId="1AE7DCAC" w14:textId="77777777" w:rsidTr="00E032FC">
        <w:trPr>
          <w:trHeight w:val="186"/>
        </w:trPr>
        <w:tc>
          <w:tcPr>
            <w:tcW w:w="6062" w:type="dxa"/>
            <w:tcBorders>
              <w:top w:val="nil"/>
              <w:left w:val="nil"/>
              <w:right w:val="nil"/>
            </w:tcBorders>
            <w:shd w:val="clear" w:color="auto" w:fill="auto"/>
            <w:vAlign w:val="bottom"/>
          </w:tcPr>
          <w:p w14:paraId="3FE3BFBB"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Temeljni kapital</w:t>
            </w:r>
          </w:p>
        </w:tc>
        <w:tc>
          <w:tcPr>
            <w:tcW w:w="1276" w:type="dxa"/>
            <w:shd w:val="clear" w:color="auto" w:fill="auto"/>
            <w:noWrap/>
            <w:vAlign w:val="bottom"/>
          </w:tcPr>
          <w:p w14:paraId="1F3F4C24"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57.500</w:t>
            </w:r>
          </w:p>
        </w:tc>
        <w:tc>
          <w:tcPr>
            <w:tcW w:w="1134" w:type="dxa"/>
            <w:shd w:val="clear" w:color="auto" w:fill="auto"/>
            <w:vAlign w:val="bottom"/>
          </w:tcPr>
          <w:p w14:paraId="5A58C76F"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37.500</w:t>
            </w:r>
          </w:p>
        </w:tc>
      </w:tr>
      <w:tr w:rsidR="004E2F51" w:rsidRPr="00B91D09" w14:paraId="314140E4" w14:textId="77777777" w:rsidTr="00E032FC">
        <w:trPr>
          <w:trHeight w:val="186"/>
        </w:trPr>
        <w:tc>
          <w:tcPr>
            <w:tcW w:w="6062" w:type="dxa"/>
            <w:tcBorders>
              <w:top w:val="nil"/>
              <w:left w:val="nil"/>
              <w:right w:val="nil"/>
            </w:tcBorders>
            <w:shd w:val="clear" w:color="auto" w:fill="auto"/>
            <w:vAlign w:val="bottom"/>
          </w:tcPr>
          <w:p w14:paraId="4C0962D0"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Zadržana dobit i rezerve</w:t>
            </w:r>
          </w:p>
        </w:tc>
        <w:tc>
          <w:tcPr>
            <w:tcW w:w="1276" w:type="dxa"/>
            <w:shd w:val="clear" w:color="auto" w:fill="auto"/>
            <w:noWrap/>
            <w:vAlign w:val="bottom"/>
          </w:tcPr>
          <w:p w14:paraId="1F20A579"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5.044</w:t>
            </w:r>
          </w:p>
        </w:tc>
        <w:tc>
          <w:tcPr>
            <w:tcW w:w="1134" w:type="dxa"/>
            <w:shd w:val="clear" w:color="auto" w:fill="auto"/>
          </w:tcPr>
          <w:p w14:paraId="4278D99D"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3.941</w:t>
            </w:r>
          </w:p>
        </w:tc>
      </w:tr>
      <w:tr w:rsidR="004E2F51" w:rsidRPr="00B91D09" w14:paraId="0D9A15D2" w14:textId="77777777" w:rsidTr="00E032FC">
        <w:trPr>
          <w:trHeight w:val="186"/>
        </w:trPr>
        <w:tc>
          <w:tcPr>
            <w:tcW w:w="6062" w:type="dxa"/>
            <w:tcBorders>
              <w:top w:val="nil"/>
              <w:left w:val="nil"/>
              <w:right w:val="nil"/>
            </w:tcBorders>
            <w:shd w:val="clear" w:color="auto" w:fill="auto"/>
            <w:vAlign w:val="bottom"/>
          </w:tcPr>
          <w:p w14:paraId="2F63310A"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Ostale rezerve</w:t>
            </w:r>
          </w:p>
        </w:tc>
        <w:tc>
          <w:tcPr>
            <w:tcW w:w="1276" w:type="dxa"/>
            <w:shd w:val="clear" w:color="auto" w:fill="auto"/>
            <w:noWrap/>
            <w:vAlign w:val="bottom"/>
          </w:tcPr>
          <w:p w14:paraId="0B5D07AE" w14:textId="77777777" w:rsidR="004E2F51" w:rsidRPr="00B91D09" w:rsidRDefault="004E2F51" w:rsidP="00E032F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r w:rsidRPr="00E86836">
              <w:rPr>
                <w:rFonts w:ascii="Arial" w:hAnsi="Arial" w:cs="Arial"/>
                <w:color w:val="000000" w:themeColor="text1"/>
                <w:sz w:val="18"/>
                <w:szCs w:val="18"/>
                <w:lang w:val="hr-HR"/>
              </w:rPr>
              <w:t>5.277</w:t>
            </w:r>
            <w:r>
              <w:rPr>
                <w:rFonts w:ascii="Arial" w:hAnsi="Arial" w:cs="Arial"/>
                <w:color w:val="000000" w:themeColor="text1"/>
                <w:sz w:val="18"/>
                <w:szCs w:val="18"/>
                <w:lang w:val="hr-HR"/>
              </w:rPr>
              <w:t>)</w:t>
            </w:r>
          </w:p>
        </w:tc>
        <w:tc>
          <w:tcPr>
            <w:tcW w:w="1134" w:type="dxa"/>
            <w:shd w:val="clear" w:color="auto" w:fill="auto"/>
          </w:tcPr>
          <w:p w14:paraId="0AFC56C9"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2.638</w:t>
            </w:r>
          </w:p>
        </w:tc>
      </w:tr>
      <w:tr w:rsidR="004E2F51" w:rsidRPr="00B91D09" w14:paraId="45BA9A95" w14:textId="77777777" w:rsidTr="00E032FC">
        <w:trPr>
          <w:trHeight w:val="186"/>
        </w:trPr>
        <w:tc>
          <w:tcPr>
            <w:tcW w:w="6062" w:type="dxa"/>
            <w:tcBorders>
              <w:top w:val="nil"/>
              <w:left w:val="nil"/>
              <w:right w:val="nil"/>
            </w:tcBorders>
            <w:shd w:val="clear" w:color="auto" w:fill="auto"/>
            <w:vAlign w:val="bottom"/>
          </w:tcPr>
          <w:p w14:paraId="6B43C0A0"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Dobit tekuće godine</w:t>
            </w:r>
          </w:p>
        </w:tc>
        <w:tc>
          <w:tcPr>
            <w:tcW w:w="1276" w:type="dxa"/>
            <w:tcBorders>
              <w:top w:val="nil"/>
              <w:left w:val="nil"/>
              <w:bottom w:val="single" w:sz="4" w:space="0" w:color="auto"/>
              <w:right w:val="nil"/>
            </w:tcBorders>
            <w:shd w:val="clear" w:color="auto" w:fill="auto"/>
            <w:noWrap/>
            <w:vAlign w:val="bottom"/>
          </w:tcPr>
          <w:p w14:paraId="2141A1D4"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3.285</w:t>
            </w:r>
          </w:p>
        </w:tc>
        <w:tc>
          <w:tcPr>
            <w:tcW w:w="1134" w:type="dxa"/>
            <w:tcBorders>
              <w:top w:val="nil"/>
              <w:left w:val="nil"/>
              <w:bottom w:val="single" w:sz="4" w:space="0" w:color="auto"/>
              <w:right w:val="nil"/>
            </w:tcBorders>
            <w:shd w:val="clear" w:color="auto" w:fill="auto"/>
          </w:tcPr>
          <w:p w14:paraId="6DEA0479"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1.103</w:t>
            </w:r>
          </w:p>
        </w:tc>
      </w:tr>
      <w:tr w:rsidR="004E2F51" w:rsidRPr="00B91D09" w14:paraId="5F5DA858" w14:textId="77777777" w:rsidTr="00E032FC">
        <w:trPr>
          <w:trHeight w:val="166"/>
        </w:trPr>
        <w:tc>
          <w:tcPr>
            <w:tcW w:w="6062" w:type="dxa"/>
            <w:tcBorders>
              <w:left w:val="nil"/>
              <w:right w:val="nil"/>
            </w:tcBorders>
            <w:shd w:val="clear" w:color="auto" w:fill="auto"/>
            <w:vAlign w:val="bottom"/>
          </w:tcPr>
          <w:p w14:paraId="22C90D17"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Ukupan kapital</w:t>
            </w:r>
          </w:p>
        </w:tc>
        <w:tc>
          <w:tcPr>
            <w:tcW w:w="1276" w:type="dxa"/>
            <w:tcBorders>
              <w:top w:val="single" w:sz="4" w:space="0" w:color="auto"/>
              <w:left w:val="nil"/>
              <w:bottom w:val="single" w:sz="12" w:space="0" w:color="auto"/>
              <w:right w:val="nil"/>
            </w:tcBorders>
            <w:shd w:val="clear" w:color="auto" w:fill="auto"/>
            <w:noWrap/>
            <w:vAlign w:val="bottom"/>
          </w:tcPr>
          <w:p w14:paraId="1607DF5C" w14:textId="77777777" w:rsidR="004E2F51" w:rsidRPr="00B91D09" w:rsidRDefault="004E2F51" w:rsidP="00E032FC">
            <w:pPr>
              <w:jc w:val="right"/>
              <w:rPr>
                <w:rFonts w:ascii="Arial" w:hAnsi="Arial" w:cs="Arial"/>
                <w:b/>
                <w:bCs/>
                <w:color w:val="000000" w:themeColor="text1"/>
                <w:sz w:val="18"/>
                <w:szCs w:val="18"/>
                <w:lang w:val="hr-HR"/>
              </w:rPr>
            </w:pPr>
            <w:r w:rsidRPr="00E86836">
              <w:rPr>
                <w:rFonts w:ascii="Arial" w:hAnsi="Arial" w:cs="Arial"/>
                <w:b/>
                <w:bCs/>
                <w:color w:val="000000" w:themeColor="text1"/>
                <w:sz w:val="18"/>
                <w:szCs w:val="18"/>
                <w:lang w:val="hr-HR"/>
              </w:rPr>
              <w:t>60.552</w:t>
            </w:r>
          </w:p>
        </w:tc>
        <w:tc>
          <w:tcPr>
            <w:tcW w:w="1134" w:type="dxa"/>
            <w:tcBorders>
              <w:top w:val="single" w:sz="4" w:space="0" w:color="auto"/>
              <w:left w:val="nil"/>
              <w:bottom w:val="single" w:sz="12" w:space="0" w:color="auto"/>
              <w:right w:val="nil"/>
            </w:tcBorders>
            <w:shd w:val="clear" w:color="auto" w:fill="auto"/>
          </w:tcPr>
          <w:p w14:paraId="47108225"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sz w:val="18"/>
                <w:szCs w:val="18"/>
              </w:rPr>
              <w:t>45.182</w:t>
            </w:r>
          </w:p>
        </w:tc>
      </w:tr>
      <w:tr w:rsidR="004E2F51" w:rsidRPr="00B91D09" w14:paraId="15DF1C21" w14:textId="77777777" w:rsidTr="00E032FC">
        <w:trPr>
          <w:trHeight w:val="96"/>
        </w:trPr>
        <w:tc>
          <w:tcPr>
            <w:tcW w:w="6062" w:type="dxa"/>
            <w:tcBorders>
              <w:left w:val="nil"/>
              <w:bottom w:val="nil"/>
              <w:right w:val="nil"/>
            </w:tcBorders>
            <w:shd w:val="clear" w:color="auto" w:fill="auto"/>
            <w:vAlign w:val="bottom"/>
          </w:tcPr>
          <w:p w14:paraId="27102F2E"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32EED12D" w14:textId="77777777" w:rsidR="004E2F51" w:rsidRPr="00B91D09" w:rsidRDefault="004E2F51" w:rsidP="00E032F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0EDB808B" w14:textId="77777777" w:rsidR="004E2F51" w:rsidRPr="00B91D09" w:rsidRDefault="004E2F51" w:rsidP="00E032FC">
            <w:pPr>
              <w:spacing w:line="140" w:lineRule="exact"/>
              <w:jc w:val="right"/>
              <w:rPr>
                <w:rFonts w:ascii="Arial" w:hAnsi="Arial" w:cs="Arial"/>
                <w:color w:val="000000" w:themeColor="text1"/>
                <w:sz w:val="18"/>
                <w:szCs w:val="18"/>
                <w:lang w:val="hr-HR"/>
              </w:rPr>
            </w:pPr>
          </w:p>
        </w:tc>
      </w:tr>
      <w:tr w:rsidR="004E2F51" w:rsidRPr="00B91D09" w14:paraId="02414E3F" w14:textId="77777777" w:rsidTr="00E032FC">
        <w:trPr>
          <w:trHeight w:val="164"/>
        </w:trPr>
        <w:tc>
          <w:tcPr>
            <w:tcW w:w="6062" w:type="dxa"/>
            <w:tcBorders>
              <w:top w:val="nil"/>
              <w:left w:val="nil"/>
              <w:right w:val="nil"/>
            </w:tcBorders>
            <w:shd w:val="clear" w:color="auto" w:fill="auto"/>
            <w:vAlign w:val="bottom"/>
          </w:tcPr>
          <w:p w14:paraId="2B46EA58" w14:textId="77777777" w:rsidR="004E2F51" w:rsidRPr="00B91D09" w:rsidRDefault="004E2F51" w:rsidP="00E032F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Tehničke pričuve</w:t>
            </w:r>
          </w:p>
        </w:tc>
        <w:tc>
          <w:tcPr>
            <w:tcW w:w="1276" w:type="dxa"/>
            <w:shd w:val="clear" w:color="auto" w:fill="auto"/>
            <w:noWrap/>
            <w:vAlign w:val="bottom"/>
          </w:tcPr>
          <w:p w14:paraId="5A98E8F7" w14:textId="77777777" w:rsidR="004E2F51" w:rsidRPr="00B91D09" w:rsidRDefault="004E2F51" w:rsidP="00E032FC">
            <w:pPr>
              <w:jc w:val="right"/>
              <w:rPr>
                <w:rFonts w:ascii="Arial" w:hAnsi="Arial" w:cs="Arial"/>
                <w:color w:val="000000" w:themeColor="text1"/>
                <w:sz w:val="18"/>
                <w:szCs w:val="18"/>
                <w:lang w:val="hr-HR"/>
              </w:rPr>
            </w:pPr>
          </w:p>
        </w:tc>
        <w:tc>
          <w:tcPr>
            <w:tcW w:w="1134" w:type="dxa"/>
            <w:shd w:val="clear" w:color="auto" w:fill="auto"/>
            <w:vAlign w:val="bottom"/>
          </w:tcPr>
          <w:p w14:paraId="372E3202" w14:textId="77777777" w:rsidR="004E2F51" w:rsidRPr="00B91D09" w:rsidRDefault="004E2F51" w:rsidP="00E032FC">
            <w:pPr>
              <w:jc w:val="right"/>
              <w:rPr>
                <w:rFonts w:ascii="Arial" w:hAnsi="Arial" w:cs="Arial"/>
                <w:color w:val="000000" w:themeColor="text1"/>
                <w:sz w:val="18"/>
                <w:szCs w:val="18"/>
                <w:lang w:val="hr-HR"/>
              </w:rPr>
            </w:pPr>
          </w:p>
        </w:tc>
      </w:tr>
      <w:tr w:rsidR="004E2F51" w:rsidRPr="00B91D09" w14:paraId="67A9CFEF" w14:textId="77777777" w:rsidTr="00E032FC">
        <w:trPr>
          <w:trHeight w:val="164"/>
        </w:trPr>
        <w:tc>
          <w:tcPr>
            <w:tcW w:w="6062" w:type="dxa"/>
            <w:tcBorders>
              <w:top w:val="nil"/>
              <w:left w:val="nil"/>
              <w:right w:val="nil"/>
            </w:tcBorders>
            <w:shd w:val="clear" w:color="auto" w:fill="auto"/>
            <w:vAlign w:val="bottom"/>
          </w:tcPr>
          <w:p w14:paraId="1E63805C"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Bruto tehničke pričuve</w:t>
            </w:r>
          </w:p>
        </w:tc>
        <w:tc>
          <w:tcPr>
            <w:tcW w:w="1276" w:type="dxa"/>
            <w:shd w:val="clear" w:color="auto" w:fill="auto"/>
            <w:noWrap/>
            <w:vAlign w:val="bottom"/>
          </w:tcPr>
          <w:p w14:paraId="6A40091C"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21.669</w:t>
            </w:r>
          </w:p>
        </w:tc>
        <w:tc>
          <w:tcPr>
            <w:tcW w:w="1134" w:type="dxa"/>
            <w:shd w:val="clear" w:color="auto" w:fill="auto"/>
          </w:tcPr>
          <w:p w14:paraId="35AA7726"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23.861</w:t>
            </w:r>
          </w:p>
        </w:tc>
      </w:tr>
      <w:tr w:rsidR="004E2F51" w:rsidRPr="00B91D09" w14:paraId="65E71007" w14:textId="77777777" w:rsidTr="00E032FC">
        <w:trPr>
          <w:trHeight w:val="164"/>
        </w:trPr>
        <w:tc>
          <w:tcPr>
            <w:tcW w:w="6062" w:type="dxa"/>
            <w:tcBorders>
              <w:top w:val="nil"/>
              <w:left w:val="nil"/>
              <w:right w:val="nil"/>
            </w:tcBorders>
            <w:shd w:val="clear" w:color="auto" w:fill="auto"/>
            <w:vAlign w:val="bottom"/>
          </w:tcPr>
          <w:p w14:paraId="789AE993"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Tehničke pričuve – udio reosiguranja</w:t>
            </w:r>
          </w:p>
        </w:tc>
        <w:tc>
          <w:tcPr>
            <w:tcW w:w="1276" w:type="dxa"/>
            <w:tcBorders>
              <w:top w:val="nil"/>
              <w:left w:val="nil"/>
              <w:bottom w:val="single" w:sz="4" w:space="0" w:color="auto"/>
              <w:right w:val="nil"/>
            </w:tcBorders>
            <w:shd w:val="clear" w:color="auto" w:fill="auto"/>
            <w:noWrap/>
            <w:vAlign w:val="bottom"/>
          </w:tcPr>
          <w:p w14:paraId="69FF9FDD" w14:textId="77777777" w:rsidR="004E2F51" w:rsidRPr="00B91D09" w:rsidRDefault="004E2F51" w:rsidP="00E032F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r w:rsidRPr="00E86836">
              <w:rPr>
                <w:rFonts w:ascii="Arial" w:hAnsi="Arial" w:cs="Arial"/>
                <w:color w:val="000000" w:themeColor="text1"/>
                <w:sz w:val="18"/>
                <w:szCs w:val="18"/>
                <w:lang w:val="hr-HR"/>
              </w:rPr>
              <w:t>9.062</w:t>
            </w: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shd w:val="clear" w:color="auto" w:fill="auto"/>
          </w:tcPr>
          <w:p w14:paraId="0EA4DE0B"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(10.317)</w:t>
            </w:r>
          </w:p>
        </w:tc>
      </w:tr>
      <w:tr w:rsidR="004E2F51" w:rsidRPr="00B91D09" w14:paraId="7F343BC5" w14:textId="77777777" w:rsidTr="00E032FC">
        <w:trPr>
          <w:trHeight w:val="182"/>
        </w:trPr>
        <w:tc>
          <w:tcPr>
            <w:tcW w:w="6062" w:type="dxa"/>
            <w:tcBorders>
              <w:left w:val="nil"/>
              <w:right w:val="nil"/>
            </w:tcBorders>
            <w:shd w:val="clear" w:color="auto" w:fill="auto"/>
            <w:vAlign w:val="bottom"/>
          </w:tcPr>
          <w:p w14:paraId="6C5EDA0C" w14:textId="77777777" w:rsidR="004E2F51" w:rsidRPr="00B91D09" w:rsidRDefault="004E2F51" w:rsidP="00E032FC">
            <w:pPr>
              <w:rPr>
                <w:rFonts w:ascii="Arial" w:hAnsi="Arial" w:cs="Arial"/>
                <w:b/>
                <w:bCs/>
                <w:color w:val="000000" w:themeColor="text1"/>
                <w:sz w:val="18"/>
                <w:szCs w:val="18"/>
                <w:lang w:val="hr-HR"/>
              </w:rPr>
            </w:pPr>
          </w:p>
        </w:tc>
        <w:tc>
          <w:tcPr>
            <w:tcW w:w="1276" w:type="dxa"/>
            <w:tcBorders>
              <w:top w:val="single" w:sz="4" w:space="0" w:color="auto"/>
              <w:left w:val="nil"/>
              <w:bottom w:val="single" w:sz="12" w:space="0" w:color="auto"/>
              <w:right w:val="nil"/>
            </w:tcBorders>
            <w:shd w:val="clear" w:color="auto" w:fill="auto"/>
            <w:noWrap/>
            <w:vAlign w:val="bottom"/>
          </w:tcPr>
          <w:p w14:paraId="0DDFE1B8" w14:textId="77777777" w:rsidR="004E2F51" w:rsidRPr="00B91D09" w:rsidRDefault="004E2F51" w:rsidP="00E032FC">
            <w:pPr>
              <w:jc w:val="right"/>
              <w:rPr>
                <w:rFonts w:ascii="Arial" w:hAnsi="Arial" w:cs="Arial"/>
                <w:b/>
                <w:bCs/>
                <w:color w:val="000000" w:themeColor="text1"/>
                <w:sz w:val="18"/>
                <w:szCs w:val="18"/>
                <w:lang w:val="hr-HR"/>
              </w:rPr>
            </w:pPr>
            <w:r w:rsidRPr="00E86836">
              <w:rPr>
                <w:rFonts w:ascii="Arial" w:hAnsi="Arial" w:cs="Arial"/>
                <w:b/>
                <w:bCs/>
                <w:color w:val="000000" w:themeColor="text1"/>
                <w:sz w:val="18"/>
                <w:szCs w:val="18"/>
                <w:lang w:val="hr-HR"/>
              </w:rPr>
              <w:t>12.607</w:t>
            </w:r>
          </w:p>
        </w:tc>
        <w:tc>
          <w:tcPr>
            <w:tcW w:w="1134" w:type="dxa"/>
            <w:tcBorders>
              <w:top w:val="single" w:sz="4" w:space="0" w:color="auto"/>
              <w:left w:val="nil"/>
              <w:bottom w:val="single" w:sz="12" w:space="0" w:color="auto"/>
              <w:right w:val="nil"/>
            </w:tcBorders>
            <w:shd w:val="clear" w:color="auto" w:fill="auto"/>
          </w:tcPr>
          <w:p w14:paraId="60E2FDEC"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sz w:val="18"/>
                <w:szCs w:val="18"/>
              </w:rPr>
              <w:t>13.544</w:t>
            </w:r>
          </w:p>
        </w:tc>
      </w:tr>
      <w:tr w:rsidR="004E2F51" w:rsidRPr="00B91D09" w14:paraId="6B35D88B" w14:textId="77777777" w:rsidTr="00E032FC">
        <w:trPr>
          <w:trHeight w:val="121"/>
        </w:trPr>
        <w:tc>
          <w:tcPr>
            <w:tcW w:w="6062" w:type="dxa"/>
            <w:tcBorders>
              <w:left w:val="nil"/>
              <w:bottom w:val="nil"/>
              <w:right w:val="nil"/>
            </w:tcBorders>
            <w:shd w:val="clear" w:color="auto" w:fill="auto"/>
            <w:vAlign w:val="bottom"/>
          </w:tcPr>
          <w:p w14:paraId="11E5EA22"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3C53CDAE" w14:textId="77777777" w:rsidR="004E2F51" w:rsidRPr="00B91D09" w:rsidRDefault="004E2F51" w:rsidP="00E032F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76064FF1" w14:textId="77777777" w:rsidR="004E2F51" w:rsidRPr="00B91D09" w:rsidRDefault="004E2F51" w:rsidP="00E032FC">
            <w:pPr>
              <w:spacing w:line="140" w:lineRule="exact"/>
              <w:jc w:val="right"/>
              <w:rPr>
                <w:rFonts w:ascii="Arial" w:hAnsi="Arial" w:cs="Arial"/>
                <w:color w:val="000000" w:themeColor="text1"/>
                <w:sz w:val="18"/>
                <w:szCs w:val="18"/>
                <w:lang w:val="hr-HR"/>
              </w:rPr>
            </w:pPr>
          </w:p>
        </w:tc>
      </w:tr>
      <w:tr w:rsidR="004E2F51" w:rsidRPr="00B91D09" w14:paraId="01CB9BBD" w14:textId="77777777" w:rsidTr="00E032FC">
        <w:trPr>
          <w:trHeight w:val="240"/>
        </w:trPr>
        <w:tc>
          <w:tcPr>
            <w:tcW w:w="6062" w:type="dxa"/>
            <w:tcBorders>
              <w:top w:val="nil"/>
              <w:left w:val="nil"/>
              <w:bottom w:val="nil"/>
              <w:right w:val="nil"/>
            </w:tcBorders>
            <w:shd w:val="clear" w:color="auto" w:fill="auto"/>
            <w:vAlign w:val="bottom"/>
          </w:tcPr>
          <w:p w14:paraId="0BC1406A" w14:textId="77777777" w:rsidR="004E2F51" w:rsidRPr="00B91D09" w:rsidRDefault="004E2F51" w:rsidP="00E032F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Kratkotrajne obveze</w:t>
            </w:r>
          </w:p>
        </w:tc>
        <w:tc>
          <w:tcPr>
            <w:tcW w:w="1276" w:type="dxa"/>
            <w:shd w:val="clear" w:color="auto" w:fill="auto"/>
            <w:noWrap/>
            <w:vAlign w:val="bottom"/>
          </w:tcPr>
          <w:p w14:paraId="0FD0D5FD" w14:textId="77777777" w:rsidR="004E2F51" w:rsidRPr="00B91D09" w:rsidRDefault="004E2F51" w:rsidP="00E032FC">
            <w:pPr>
              <w:jc w:val="right"/>
              <w:rPr>
                <w:rFonts w:ascii="Arial" w:hAnsi="Arial" w:cs="Arial"/>
                <w:color w:val="000000" w:themeColor="text1"/>
                <w:sz w:val="18"/>
                <w:szCs w:val="18"/>
                <w:lang w:val="hr-HR"/>
              </w:rPr>
            </w:pPr>
          </w:p>
        </w:tc>
        <w:tc>
          <w:tcPr>
            <w:tcW w:w="1134" w:type="dxa"/>
            <w:shd w:val="clear" w:color="auto" w:fill="auto"/>
            <w:vAlign w:val="bottom"/>
          </w:tcPr>
          <w:p w14:paraId="59ADF638" w14:textId="77777777" w:rsidR="004E2F51" w:rsidRPr="00B91D09" w:rsidRDefault="004E2F51" w:rsidP="00E032FC">
            <w:pPr>
              <w:jc w:val="right"/>
              <w:rPr>
                <w:rFonts w:ascii="Arial" w:hAnsi="Arial" w:cs="Arial"/>
                <w:color w:val="000000" w:themeColor="text1"/>
                <w:sz w:val="18"/>
                <w:szCs w:val="18"/>
                <w:lang w:val="hr-HR"/>
              </w:rPr>
            </w:pPr>
          </w:p>
        </w:tc>
      </w:tr>
      <w:tr w:rsidR="004E2F51" w:rsidRPr="00B91D09" w14:paraId="6473263A" w14:textId="77777777" w:rsidTr="00E032FC">
        <w:trPr>
          <w:trHeight w:val="145"/>
        </w:trPr>
        <w:tc>
          <w:tcPr>
            <w:tcW w:w="6062" w:type="dxa"/>
            <w:tcBorders>
              <w:top w:val="nil"/>
              <w:left w:val="nil"/>
              <w:bottom w:val="nil"/>
              <w:right w:val="nil"/>
            </w:tcBorders>
            <w:shd w:val="clear" w:color="auto" w:fill="auto"/>
            <w:vAlign w:val="bottom"/>
          </w:tcPr>
          <w:p w14:paraId="7B224985"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Obveze iz poslova osiguranja</w:t>
            </w:r>
          </w:p>
        </w:tc>
        <w:tc>
          <w:tcPr>
            <w:tcW w:w="1276" w:type="dxa"/>
            <w:shd w:val="clear" w:color="auto" w:fill="auto"/>
            <w:noWrap/>
            <w:vAlign w:val="bottom"/>
          </w:tcPr>
          <w:p w14:paraId="6D6B656F"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8.509</w:t>
            </w:r>
          </w:p>
        </w:tc>
        <w:tc>
          <w:tcPr>
            <w:tcW w:w="1134" w:type="dxa"/>
            <w:shd w:val="clear" w:color="auto" w:fill="auto"/>
          </w:tcPr>
          <w:p w14:paraId="4C1F364E"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2.568</w:t>
            </w:r>
          </w:p>
        </w:tc>
      </w:tr>
      <w:tr w:rsidR="004E2F51" w:rsidRPr="00B91D09" w14:paraId="1F4C56D8" w14:textId="77777777" w:rsidTr="00E032FC">
        <w:trPr>
          <w:trHeight w:val="204"/>
        </w:trPr>
        <w:tc>
          <w:tcPr>
            <w:tcW w:w="6062" w:type="dxa"/>
            <w:tcBorders>
              <w:top w:val="nil"/>
              <w:left w:val="nil"/>
              <w:bottom w:val="nil"/>
              <w:right w:val="nil"/>
            </w:tcBorders>
            <w:shd w:val="clear" w:color="auto" w:fill="auto"/>
            <w:vAlign w:val="bottom"/>
          </w:tcPr>
          <w:p w14:paraId="308E5B62"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Ostale obveze</w:t>
            </w:r>
          </w:p>
        </w:tc>
        <w:tc>
          <w:tcPr>
            <w:tcW w:w="1276" w:type="dxa"/>
            <w:tcBorders>
              <w:top w:val="nil"/>
              <w:left w:val="nil"/>
              <w:bottom w:val="single" w:sz="4" w:space="0" w:color="auto"/>
              <w:right w:val="nil"/>
            </w:tcBorders>
            <w:shd w:val="clear" w:color="auto" w:fill="auto"/>
            <w:noWrap/>
            <w:vAlign w:val="bottom"/>
          </w:tcPr>
          <w:p w14:paraId="6054900C"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2.313</w:t>
            </w:r>
          </w:p>
        </w:tc>
        <w:tc>
          <w:tcPr>
            <w:tcW w:w="1134" w:type="dxa"/>
            <w:tcBorders>
              <w:top w:val="nil"/>
              <w:left w:val="nil"/>
              <w:bottom w:val="single" w:sz="4" w:space="0" w:color="auto"/>
              <w:right w:val="nil"/>
            </w:tcBorders>
            <w:shd w:val="clear" w:color="auto" w:fill="auto"/>
          </w:tcPr>
          <w:p w14:paraId="27270735"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sz w:val="18"/>
                <w:szCs w:val="18"/>
              </w:rPr>
              <w:t>3.206</w:t>
            </w:r>
          </w:p>
        </w:tc>
      </w:tr>
      <w:tr w:rsidR="004E2F51" w:rsidRPr="00B91D09" w14:paraId="3592A9FC" w14:textId="77777777" w:rsidTr="00E032FC">
        <w:trPr>
          <w:trHeight w:val="144"/>
        </w:trPr>
        <w:tc>
          <w:tcPr>
            <w:tcW w:w="6062" w:type="dxa"/>
            <w:tcBorders>
              <w:left w:val="nil"/>
              <w:right w:val="nil"/>
            </w:tcBorders>
            <w:shd w:val="clear" w:color="auto" w:fill="auto"/>
            <w:vAlign w:val="bottom"/>
          </w:tcPr>
          <w:p w14:paraId="4EAC6719"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Ukupno obveze</w:t>
            </w:r>
          </w:p>
        </w:tc>
        <w:tc>
          <w:tcPr>
            <w:tcW w:w="1276" w:type="dxa"/>
            <w:tcBorders>
              <w:top w:val="single" w:sz="4" w:space="0" w:color="auto"/>
              <w:left w:val="nil"/>
              <w:bottom w:val="single" w:sz="12" w:space="0" w:color="auto"/>
              <w:right w:val="nil"/>
            </w:tcBorders>
            <w:shd w:val="clear" w:color="auto" w:fill="auto"/>
            <w:noWrap/>
            <w:vAlign w:val="bottom"/>
          </w:tcPr>
          <w:p w14:paraId="46FC00A0" w14:textId="77777777" w:rsidR="004E2F51" w:rsidRPr="00B91D09" w:rsidRDefault="004E2F51" w:rsidP="00E032FC">
            <w:pPr>
              <w:jc w:val="right"/>
              <w:rPr>
                <w:rFonts w:ascii="Arial" w:hAnsi="Arial" w:cs="Arial"/>
                <w:b/>
                <w:bCs/>
                <w:color w:val="000000" w:themeColor="text1"/>
                <w:sz w:val="18"/>
                <w:szCs w:val="18"/>
                <w:lang w:val="hr-HR"/>
              </w:rPr>
            </w:pPr>
            <w:r w:rsidRPr="00E86836">
              <w:rPr>
                <w:rFonts w:ascii="Arial" w:hAnsi="Arial" w:cs="Arial"/>
                <w:b/>
                <w:bCs/>
                <w:color w:val="000000" w:themeColor="text1"/>
                <w:sz w:val="18"/>
                <w:szCs w:val="18"/>
                <w:lang w:val="hr-HR"/>
              </w:rPr>
              <w:t>10.822</w:t>
            </w:r>
          </w:p>
        </w:tc>
        <w:tc>
          <w:tcPr>
            <w:tcW w:w="1134" w:type="dxa"/>
            <w:tcBorders>
              <w:top w:val="single" w:sz="4" w:space="0" w:color="auto"/>
              <w:left w:val="nil"/>
              <w:bottom w:val="single" w:sz="12" w:space="0" w:color="auto"/>
              <w:right w:val="nil"/>
            </w:tcBorders>
            <w:shd w:val="clear" w:color="auto" w:fill="auto"/>
          </w:tcPr>
          <w:p w14:paraId="4CB0CC19"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sz w:val="18"/>
                <w:szCs w:val="18"/>
              </w:rPr>
              <w:t>5.774</w:t>
            </w:r>
          </w:p>
        </w:tc>
      </w:tr>
      <w:tr w:rsidR="004E2F51" w:rsidRPr="00B91D09" w14:paraId="4FAA237F" w14:textId="77777777" w:rsidTr="00E032FC">
        <w:trPr>
          <w:trHeight w:val="56"/>
        </w:trPr>
        <w:tc>
          <w:tcPr>
            <w:tcW w:w="6062" w:type="dxa"/>
            <w:tcBorders>
              <w:left w:val="nil"/>
              <w:right w:val="nil"/>
            </w:tcBorders>
            <w:shd w:val="clear" w:color="auto" w:fill="auto"/>
            <w:vAlign w:val="bottom"/>
          </w:tcPr>
          <w:p w14:paraId="568FE649" w14:textId="77777777" w:rsidR="004E2F51" w:rsidRPr="00B91D09" w:rsidRDefault="004E2F51" w:rsidP="00E032FC">
            <w:pPr>
              <w:spacing w:line="140" w:lineRule="exact"/>
              <w:rPr>
                <w:rFonts w:ascii="Arial" w:hAnsi="Arial" w:cs="Arial"/>
                <w:b/>
                <w:bCs/>
                <w:color w:val="000000" w:themeColor="text1"/>
                <w:sz w:val="18"/>
                <w:szCs w:val="18"/>
                <w:lang w:val="hr-HR"/>
              </w:rPr>
            </w:pPr>
          </w:p>
        </w:tc>
        <w:tc>
          <w:tcPr>
            <w:tcW w:w="1276" w:type="dxa"/>
            <w:tcBorders>
              <w:top w:val="single" w:sz="12" w:space="0" w:color="auto"/>
              <w:left w:val="nil"/>
              <w:bottom w:val="single" w:sz="4" w:space="0" w:color="auto"/>
              <w:right w:val="nil"/>
            </w:tcBorders>
            <w:shd w:val="clear" w:color="auto" w:fill="auto"/>
            <w:noWrap/>
            <w:vAlign w:val="bottom"/>
          </w:tcPr>
          <w:p w14:paraId="69827222" w14:textId="77777777" w:rsidR="004E2F51" w:rsidRPr="00B91D09" w:rsidRDefault="004E2F51" w:rsidP="00E032FC">
            <w:pPr>
              <w:spacing w:line="140" w:lineRule="exact"/>
              <w:jc w:val="right"/>
              <w:rPr>
                <w:rFonts w:ascii="Arial" w:hAnsi="Arial" w:cs="Arial"/>
                <w:b/>
                <w:bCs/>
                <w:color w:val="000000" w:themeColor="text1"/>
                <w:sz w:val="18"/>
                <w:szCs w:val="18"/>
                <w:lang w:val="hr-HR"/>
              </w:rPr>
            </w:pPr>
          </w:p>
        </w:tc>
        <w:tc>
          <w:tcPr>
            <w:tcW w:w="1134" w:type="dxa"/>
            <w:tcBorders>
              <w:top w:val="single" w:sz="12" w:space="0" w:color="auto"/>
              <w:left w:val="nil"/>
              <w:bottom w:val="single" w:sz="4" w:space="0" w:color="auto"/>
              <w:right w:val="nil"/>
            </w:tcBorders>
            <w:shd w:val="clear" w:color="auto" w:fill="auto"/>
            <w:vAlign w:val="bottom"/>
          </w:tcPr>
          <w:p w14:paraId="4C61669B" w14:textId="77777777" w:rsidR="004E2F51" w:rsidRPr="00B91D09" w:rsidRDefault="004E2F51" w:rsidP="00E032FC">
            <w:pPr>
              <w:spacing w:line="140" w:lineRule="exact"/>
              <w:jc w:val="right"/>
              <w:rPr>
                <w:rFonts w:ascii="Arial" w:hAnsi="Arial" w:cs="Arial"/>
                <w:b/>
                <w:bCs/>
                <w:color w:val="000000" w:themeColor="text1"/>
                <w:sz w:val="18"/>
                <w:szCs w:val="18"/>
                <w:lang w:val="hr-HR"/>
              </w:rPr>
            </w:pPr>
          </w:p>
        </w:tc>
      </w:tr>
      <w:tr w:rsidR="004E2F51" w:rsidRPr="00B91D09" w14:paraId="7D069E82" w14:textId="77777777" w:rsidTr="00E032FC">
        <w:trPr>
          <w:trHeight w:val="230"/>
        </w:trPr>
        <w:tc>
          <w:tcPr>
            <w:tcW w:w="6062" w:type="dxa"/>
            <w:tcBorders>
              <w:left w:val="nil"/>
              <w:right w:val="nil"/>
            </w:tcBorders>
            <w:shd w:val="clear" w:color="auto" w:fill="auto"/>
            <w:vAlign w:val="bottom"/>
          </w:tcPr>
          <w:p w14:paraId="4D209B26"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Ukupno kapital i obveze</w:t>
            </w:r>
          </w:p>
        </w:tc>
        <w:tc>
          <w:tcPr>
            <w:tcW w:w="1276" w:type="dxa"/>
            <w:tcBorders>
              <w:top w:val="single" w:sz="4" w:space="0" w:color="auto"/>
              <w:left w:val="nil"/>
              <w:bottom w:val="single" w:sz="12" w:space="0" w:color="auto"/>
              <w:right w:val="nil"/>
            </w:tcBorders>
            <w:shd w:val="clear" w:color="auto" w:fill="auto"/>
            <w:noWrap/>
            <w:vAlign w:val="bottom"/>
          </w:tcPr>
          <w:p w14:paraId="76ECDCBD" w14:textId="77777777" w:rsidR="004E2F51" w:rsidRPr="00B91D09" w:rsidRDefault="004E2F51" w:rsidP="00E032FC">
            <w:pPr>
              <w:jc w:val="right"/>
              <w:rPr>
                <w:rFonts w:ascii="Arial" w:hAnsi="Arial" w:cs="Arial"/>
                <w:b/>
                <w:bCs/>
                <w:color w:val="000000" w:themeColor="text1"/>
                <w:sz w:val="18"/>
                <w:szCs w:val="18"/>
                <w:lang w:val="hr-HR"/>
              </w:rPr>
            </w:pPr>
            <w:r w:rsidRPr="00E86836">
              <w:rPr>
                <w:rFonts w:ascii="Arial" w:hAnsi="Arial" w:cs="Arial"/>
                <w:b/>
                <w:bCs/>
                <w:color w:val="000000" w:themeColor="text1"/>
                <w:sz w:val="18"/>
                <w:szCs w:val="18"/>
                <w:lang w:val="hr-HR"/>
              </w:rPr>
              <w:t>83.981</w:t>
            </w:r>
          </w:p>
        </w:tc>
        <w:tc>
          <w:tcPr>
            <w:tcW w:w="1134" w:type="dxa"/>
            <w:tcBorders>
              <w:top w:val="single" w:sz="4" w:space="0" w:color="auto"/>
              <w:left w:val="nil"/>
              <w:bottom w:val="single" w:sz="12" w:space="0" w:color="auto"/>
              <w:right w:val="nil"/>
            </w:tcBorders>
            <w:shd w:val="clear" w:color="auto" w:fill="auto"/>
            <w:vAlign w:val="bottom"/>
          </w:tcPr>
          <w:p w14:paraId="77DD39FD"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64.500</w:t>
            </w:r>
          </w:p>
        </w:tc>
      </w:tr>
    </w:tbl>
    <w:p w14:paraId="01FBEE52" w14:textId="77777777" w:rsidR="004E2F51" w:rsidRPr="00B91D09" w:rsidRDefault="004E2F51" w:rsidP="004E2F51">
      <w:pPr>
        <w:spacing w:before="120" w:line="300" w:lineRule="exact"/>
        <w:rPr>
          <w:rFonts w:ascii="Arial" w:hAnsi="Arial" w:cs="Arial"/>
          <w:b/>
          <w:color w:val="000000" w:themeColor="text1"/>
          <w:sz w:val="22"/>
          <w:szCs w:val="22"/>
          <w:lang w:val="hr-HR"/>
        </w:rPr>
      </w:pPr>
    </w:p>
    <w:p w14:paraId="38F27477" w14:textId="77777777" w:rsidR="004E2F51" w:rsidRPr="00B91D09" w:rsidRDefault="004E2F51" w:rsidP="004E2F51">
      <w:pPr>
        <w:rPr>
          <w:rFonts w:ascii="Arial" w:hAnsi="Arial" w:cs="Arial"/>
          <w:color w:val="000000" w:themeColor="text1"/>
          <w:sz w:val="22"/>
          <w:szCs w:val="22"/>
          <w:lang w:val="hr-HR"/>
        </w:rPr>
      </w:pPr>
    </w:p>
    <w:p w14:paraId="486AC74F" w14:textId="77777777" w:rsidR="004E2F51" w:rsidRPr="00B91D09" w:rsidRDefault="004E2F51" w:rsidP="004E2F51">
      <w:pPr>
        <w:ind w:firstLine="680"/>
        <w:rPr>
          <w:rFonts w:ascii="Arial" w:hAnsi="Arial" w:cs="Arial"/>
          <w:color w:val="000000" w:themeColor="text1"/>
          <w:sz w:val="22"/>
          <w:szCs w:val="22"/>
          <w:lang w:val="hr-HR"/>
        </w:rPr>
      </w:pPr>
    </w:p>
    <w:p w14:paraId="436CF685" w14:textId="77777777" w:rsidR="004E2F51" w:rsidRPr="00B91D09" w:rsidRDefault="004E2F51" w:rsidP="004E2F51">
      <w:pPr>
        <w:rPr>
          <w:rFonts w:ascii="Arial" w:hAnsi="Arial" w:cs="Arial"/>
          <w:color w:val="000000" w:themeColor="text1"/>
          <w:sz w:val="22"/>
          <w:szCs w:val="22"/>
          <w:lang w:val="hr-HR"/>
        </w:rPr>
      </w:pPr>
    </w:p>
    <w:p w14:paraId="463A1778" w14:textId="77777777" w:rsidR="004E2F51" w:rsidRPr="00B91D09" w:rsidRDefault="004E2F51" w:rsidP="004E2F51">
      <w:pPr>
        <w:rPr>
          <w:rFonts w:ascii="Arial" w:hAnsi="Arial" w:cs="Arial"/>
          <w:color w:val="000000" w:themeColor="text1"/>
          <w:sz w:val="22"/>
          <w:szCs w:val="22"/>
          <w:lang w:val="hr-HR"/>
        </w:rPr>
      </w:pPr>
    </w:p>
    <w:p w14:paraId="3DA3378D" w14:textId="77777777" w:rsidR="004E2F51" w:rsidRPr="00B91D09" w:rsidRDefault="004E2F51" w:rsidP="004E2F51">
      <w:pPr>
        <w:rPr>
          <w:rFonts w:ascii="Arial" w:hAnsi="Arial" w:cs="Arial"/>
          <w:color w:val="000000" w:themeColor="text1"/>
          <w:sz w:val="22"/>
          <w:szCs w:val="22"/>
          <w:lang w:val="hr-HR"/>
        </w:rPr>
      </w:pPr>
    </w:p>
    <w:p w14:paraId="3996F7B6" w14:textId="77777777" w:rsidR="004E2F51" w:rsidRPr="00B91D09" w:rsidRDefault="004E2F51" w:rsidP="004E2F51">
      <w:pPr>
        <w:rPr>
          <w:rFonts w:ascii="Arial" w:hAnsi="Arial" w:cs="Arial"/>
          <w:color w:val="000000" w:themeColor="text1"/>
          <w:sz w:val="22"/>
          <w:szCs w:val="22"/>
          <w:lang w:val="hr-HR"/>
        </w:rPr>
      </w:pPr>
    </w:p>
    <w:p w14:paraId="6FA9D2A3" w14:textId="77777777" w:rsidR="004E2F51" w:rsidRPr="00B91D09" w:rsidRDefault="004E2F51" w:rsidP="004E2F51">
      <w:pPr>
        <w:rPr>
          <w:rFonts w:ascii="Arial" w:hAnsi="Arial" w:cs="Arial"/>
          <w:color w:val="000000" w:themeColor="text1"/>
          <w:sz w:val="22"/>
          <w:szCs w:val="22"/>
          <w:lang w:val="hr-HR"/>
        </w:rPr>
      </w:pPr>
    </w:p>
    <w:p w14:paraId="6102A907" w14:textId="77777777" w:rsidR="004E2F51" w:rsidRPr="00B91D09" w:rsidRDefault="004E2F51" w:rsidP="004E2F51">
      <w:pPr>
        <w:rPr>
          <w:rFonts w:ascii="Arial" w:hAnsi="Arial" w:cs="Arial"/>
          <w:color w:val="000000" w:themeColor="text1"/>
          <w:sz w:val="22"/>
          <w:szCs w:val="22"/>
          <w:lang w:val="hr-HR"/>
        </w:rPr>
        <w:sectPr w:rsidR="004E2F51" w:rsidRPr="00B91D09" w:rsidSect="00623DBA">
          <w:headerReference w:type="default" r:id="rId237"/>
          <w:footerReference w:type="default" r:id="rId238"/>
          <w:pgSz w:w="11907" w:h="16840" w:code="9"/>
          <w:pgMar w:top="1418" w:right="1134" w:bottom="1134" w:left="1418" w:header="851" w:footer="851" w:gutter="0"/>
          <w:cols w:space="720"/>
          <w:noEndnote/>
        </w:sectPr>
      </w:pPr>
    </w:p>
    <w:p w14:paraId="3E1B6E73" w14:textId="77777777" w:rsidR="004E2F51" w:rsidRPr="00B91D09" w:rsidRDefault="004E2F51" w:rsidP="004E2F51">
      <w:pPr>
        <w:spacing w:before="120" w:line="300" w:lineRule="exact"/>
        <w:rPr>
          <w:rFonts w:ascii="Arial" w:hAnsi="Arial" w:cs="Arial"/>
          <w:b/>
          <w:color w:val="000000" w:themeColor="text1"/>
          <w:sz w:val="22"/>
          <w:szCs w:val="22"/>
          <w:lang w:val="hr-HR"/>
        </w:rPr>
      </w:pPr>
    </w:p>
    <w:tbl>
      <w:tblPr>
        <w:tblpPr w:leftFromText="181" w:rightFromText="181" w:vertAnchor="text" w:horzAnchor="margin" w:tblpXSpec="center" w:tblpY="1"/>
        <w:tblW w:w="8647" w:type="dxa"/>
        <w:tblLayout w:type="fixed"/>
        <w:tblLook w:val="04A0" w:firstRow="1" w:lastRow="0" w:firstColumn="1" w:lastColumn="0" w:noHBand="0" w:noVBand="1"/>
      </w:tblPr>
      <w:tblGrid>
        <w:gridCol w:w="6237"/>
        <w:gridCol w:w="1276"/>
        <w:gridCol w:w="1134"/>
      </w:tblGrid>
      <w:tr w:rsidR="004E2F51" w:rsidRPr="00B91D09" w14:paraId="3B3B0066" w14:textId="77777777" w:rsidTr="00E032FC">
        <w:trPr>
          <w:trHeight w:val="66"/>
        </w:trPr>
        <w:tc>
          <w:tcPr>
            <w:tcW w:w="6237" w:type="dxa"/>
            <w:tcBorders>
              <w:left w:val="nil"/>
              <w:right w:val="nil"/>
            </w:tcBorders>
            <w:shd w:val="clear" w:color="auto" w:fill="auto"/>
          </w:tcPr>
          <w:p w14:paraId="3D6903C0"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276" w:type="dxa"/>
            <w:tcBorders>
              <w:left w:val="nil"/>
              <w:right w:val="nil"/>
            </w:tcBorders>
            <w:shd w:val="clear" w:color="auto" w:fill="auto"/>
          </w:tcPr>
          <w:p w14:paraId="00C1ABA7" w14:textId="77777777" w:rsidR="004E2F51" w:rsidRPr="00B91D09" w:rsidRDefault="004E2F51" w:rsidP="00E032FC">
            <w:pPr>
              <w:spacing w:line="140" w:lineRule="exact"/>
              <w:jc w:val="right"/>
              <w:rPr>
                <w:rFonts w:ascii="Arial" w:hAnsi="Arial" w:cs="Arial"/>
                <w:color w:val="000000" w:themeColor="text1"/>
                <w:sz w:val="18"/>
                <w:szCs w:val="18"/>
                <w:lang w:val="hr-HR"/>
              </w:rPr>
            </w:pPr>
          </w:p>
        </w:tc>
        <w:tc>
          <w:tcPr>
            <w:tcW w:w="1134" w:type="dxa"/>
            <w:tcBorders>
              <w:left w:val="nil"/>
              <w:right w:val="nil"/>
            </w:tcBorders>
          </w:tcPr>
          <w:p w14:paraId="20E2E369" w14:textId="77777777" w:rsidR="004E2F51" w:rsidRPr="00B91D09" w:rsidRDefault="004E2F51" w:rsidP="00E032FC">
            <w:pPr>
              <w:spacing w:line="140" w:lineRule="exact"/>
              <w:jc w:val="right"/>
              <w:rPr>
                <w:rFonts w:ascii="Arial" w:hAnsi="Arial" w:cs="Arial"/>
                <w:color w:val="000000" w:themeColor="text1"/>
                <w:sz w:val="18"/>
                <w:szCs w:val="18"/>
                <w:lang w:val="hr-HR"/>
              </w:rPr>
            </w:pPr>
          </w:p>
        </w:tc>
      </w:tr>
      <w:tr w:rsidR="004E2F51" w:rsidRPr="00B91D09" w14:paraId="24D4D89F" w14:textId="77777777" w:rsidTr="00E032FC">
        <w:trPr>
          <w:trHeight w:val="119"/>
        </w:trPr>
        <w:tc>
          <w:tcPr>
            <w:tcW w:w="6237" w:type="dxa"/>
            <w:tcBorders>
              <w:left w:val="nil"/>
              <w:bottom w:val="nil"/>
              <w:right w:val="nil"/>
            </w:tcBorders>
            <w:shd w:val="clear" w:color="auto" w:fill="auto"/>
            <w:vAlign w:val="bottom"/>
          </w:tcPr>
          <w:p w14:paraId="618B1272" w14:textId="77777777" w:rsidR="004E2F51" w:rsidRPr="00B91D09" w:rsidRDefault="004E2F51" w:rsidP="00E032FC">
            <w:pPr>
              <w:rPr>
                <w:rFonts w:ascii="Arial" w:hAnsi="Arial" w:cs="Arial"/>
                <w:b/>
                <w:bCs/>
                <w:color w:val="000000" w:themeColor="text1"/>
                <w:sz w:val="18"/>
                <w:szCs w:val="18"/>
                <w:lang w:val="hr-HR"/>
              </w:rPr>
            </w:pPr>
          </w:p>
        </w:tc>
        <w:tc>
          <w:tcPr>
            <w:tcW w:w="1276" w:type="dxa"/>
            <w:tcBorders>
              <w:left w:val="nil"/>
              <w:bottom w:val="nil"/>
              <w:right w:val="nil"/>
            </w:tcBorders>
            <w:shd w:val="clear" w:color="auto" w:fill="auto"/>
            <w:noWrap/>
            <w:vAlign w:val="bottom"/>
          </w:tcPr>
          <w:p w14:paraId="2F4F8937"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2</w:t>
            </w:r>
            <w:r w:rsidRPr="00B91D09">
              <w:rPr>
                <w:rFonts w:ascii="Arial" w:hAnsi="Arial" w:cs="Arial"/>
                <w:b/>
                <w:bCs/>
                <w:color w:val="000000" w:themeColor="text1"/>
                <w:sz w:val="18"/>
                <w:szCs w:val="18"/>
                <w:lang w:val="hr-HR"/>
              </w:rPr>
              <w:t>.</w:t>
            </w:r>
          </w:p>
        </w:tc>
        <w:tc>
          <w:tcPr>
            <w:tcW w:w="1134" w:type="dxa"/>
            <w:tcBorders>
              <w:left w:val="nil"/>
              <w:bottom w:val="nil"/>
              <w:right w:val="nil"/>
            </w:tcBorders>
            <w:shd w:val="clear" w:color="auto" w:fill="auto"/>
            <w:vAlign w:val="bottom"/>
          </w:tcPr>
          <w:p w14:paraId="194FC8BE"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202</w:t>
            </w:r>
            <w:r>
              <w:rPr>
                <w:rFonts w:ascii="Arial" w:hAnsi="Arial" w:cs="Arial"/>
                <w:b/>
                <w:bCs/>
                <w:color w:val="000000" w:themeColor="text1"/>
                <w:sz w:val="18"/>
                <w:szCs w:val="18"/>
                <w:lang w:val="hr-HR"/>
              </w:rPr>
              <w:t>1</w:t>
            </w:r>
            <w:r w:rsidRPr="00B91D09">
              <w:rPr>
                <w:rFonts w:ascii="Arial" w:hAnsi="Arial" w:cs="Arial"/>
                <w:b/>
                <w:bCs/>
                <w:color w:val="000000" w:themeColor="text1"/>
                <w:sz w:val="18"/>
                <w:szCs w:val="18"/>
                <w:lang w:val="hr-HR"/>
              </w:rPr>
              <w:t>.</w:t>
            </w:r>
          </w:p>
        </w:tc>
      </w:tr>
      <w:tr w:rsidR="004E2F51" w:rsidRPr="00B91D09" w14:paraId="1023907F" w14:textId="77777777" w:rsidTr="00E032FC">
        <w:trPr>
          <w:trHeight w:val="95"/>
        </w:trPr>
        <w:tc>
          <w:tcPr>
            <w:tcW w:w="6237" w:type="dxa"/>
            <w:tcBorders>
              <w:left w:val="nil"/>
              <w:bottom w:val="nil"/>
              <w:right w:val="nil"/>
            </w:tcBorders>
            <w:shd w:val="clear" w:color="auto" w:fill="auto"/>
            <w:vAlign w:val="bottom"/>
          </w:tcPr>
          <w:p w14:paraId="14871D10" w14:textId="77777777" w:rsidR="004E2F51" w:rsidRPr="00B91D09" w:rsidRDefault="004E2F51" w:rsidP="00E032FC">
            <w:pPr>
              <w:rPr>
                <w:rFonts w:ascii="Arial" w:hAnsi="Arial" w:cs="Arial"/>
                <w:b/>
                <w:bCs/>
                <w:color w:val="000000" w:themeColor="text1"/>
                <w:sz w:val="18"/>
                <w:szCs w:val="18"/>
                <w:lang w:val="hr-HR"/>
              </w:rPr>
            </w:pPr>
          </w:p>
        </w:tc>
        <w:tc>
          <w:tcPr>
            <w:tcW w:w="1276" w:type="dxa"/>
            <w:tcBorders>
              <w:left w:val="nil"/>
              <w:bottom w:val="nil"/>
              <w:right w:val="nil"/>
            </w:tcBorders>
            <w:shd w:val="clear" w:color="auto" w:fill="auto"/>
            <w:noWrap/>
            <w:vAlign w:val="bottom"/>
          </w:tcPr>
          <w:p w14:paraId="1E72A55D"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000 kuna</w:t>
            </w:r>
          </w:p>
        </w:tc>
        <w:tc>
          <w:tcPr>
            <w:tcW w:w="1134" w:type="dxa"/>
            <w:tcBorders>
              <w:left w:val="nil"/>
              <w:bottom w:val="nil"/>
              <w:right w:val="nil"/>
            </w:tcBorders>
            <w:shd w:val="clear" w:color="auto" w:fill="auto"/>
            <w:vAlign w:val="bottom"/>
          </w:tcPr>
          <w:p w14:paraId="2F3E9D41"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000 kuna</w:t>
            </w:r>
          </w:p>
        </w:tc>
      </w:tr>
      <w:tr w:rsidR="004E2F51" w:rsidRPr="00B91D09" w14:paraId="47A5C7CE" w14:textId="77777777" w:rsidTr="00E032FC">
        <w:trPr>
          <w:trHeight w:val="59"/>
        </w:trPr>
        <w:tc>
          <w:tcPr>
            <w:tcW w:w="6237" w:type="dxa"/>
            <w:tcBorders>
              <w:top w:val="nil"/>
              <w:left w:val="nil"/>
              <w:bottom w:val="nil"/>
              <w:right w:val="nil"/>
            </w:tcBorders>
            <w:shd w:val="clear" w:color="auto" w:fill="auto"/>
            <w:vAlign w:val="bottom"/>
          </w:tcPr>
          <w:p w14:paraId="3F6B0F5C"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0939113F"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vAlign w:val="bottom"/>
          </w:tcPr>
          <w:p w14:paraId="6D5742AD" w14:textId="77777777" w:rsidR="004E2F51" w:rsidRPr="00B91D09" w:rsidRDefault="004E2F51" w:rsidP="00E032FC">
            <w:pPr>
              <w:spacing w:line="140" w:lineRule="exact"/>
              <w:rPr>
                <w:rFonts w:ascii="Arial" w:hAnsi="Arial" w:cs="Arial"/>
                <w:color w:val="000000" w:themeColor="text1"/>
                <w:sz w:val="18"/>
                <w:szCs w:val="18"/>
                <w:lang w:val="hr-HR"/>
              </w:rPr>
            </w:pPr>
          </w:p>
        </w:tc>
      </w:tr>
      <w:tr w:rsidR="004E2F51" w:rsidRPr="00B91D09" w14:paraId="3975FAD9" w14:textId="77777777" w:rsidTr="00E032FC">
        <w:trPr>
          <w:trHeight w:val="109"/>
        </w:trPr>
        <w:tc>
          <w:tcPr>
            <w:tcW w:w="6237" w:type="dxa"/>
            <w:tcBorders>
              <w:top w:val="nil"/>
              <w:left w:val="nil"/>
              <w:bottom w:val="nil"/>
              <w:right w:val="nil"/>
            </w:tcBorders>
            <w:shd w:val="clear" w:color="auto" w:fill="auto"/>
            <w:vAlign w:val="bottom"/>
          </w:tcPr>
          <w:p w14:paraId="3DEF0579" w14:textId="77777777" w:rsidR="004E2F51" w:rsidRPr="00B91D09" w:rsidRDefault="004E2F51" w:rsidP="00E032F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Poslovne aktivnosti</w:t>
            </w:r>
          </w:p>
        </w:tc>
        <w:tc>
          <w:tcPr>
            <w:tcW w:w="1276" w:type="dxa"/>
            <w:tcBorders>
              <w:top w:val="nil"/>
              <w:left w:val="nil"/>
              <w:bottom w:val="nil"/>
              <w:right w:val="nil"/>
            </w:tcBorders>
            <w:shd w:val="clear" w:color="auto" w:fill="auto"/>
            <w:noWrap/>
            <w:vAlign w:val="bottom"/>
          </w:tcPr>
          <w:p w14:paraId="15B1D26B" w14:textId="77777777" w:rsidR="004E2F51" w:rsidRPr="00B91D09" w:rsidRDefault="004E2F51" w:rsidP="00E032FC">
            <w:pPr>
              <w:jc w:val="right"/>
              <w:rPr>
                <w:rFonts w:ascii="Arial" w:hAnsi="Arial" w:cs="Arial"/>
                <w:color w:val="000000" w:themeColor="text1"/>
                <w:sz w:val="18"/>
                <w:szCs w:val="18"/>
                <w:lang w:val="hr-HR"/>
              </w:rPr>
            </w:pPr>
          </w:p>
        </w:tc>
        <w:tc>
          <w:tcPr>
            <w:tcW w:w="1134" w:type="dxa"/>
            <w:tcBorders>
              <w:top w:val="nil"/>
              <w:left w:val="nil"/>
              <w:bottom w:val="nil"/>
              <w:right w:val="nil"/>
            </w:tcBorders>
            <w:shd w:val="clear" w:color="auto" w:fill="auto"/>
            <w:vAlign w:val="bottom"/>
          </w:tcPr>
          <w:p w14:paraId="61E21614" w14:textId="77777777" w:rsidR="004E2F51" w:rsidRPr="00B91D09" w:rsidRDefault="004E2F51" w:rsidP="00E032FC">
            <w:pPr>
              <w:jc w:val="right"/>
              <w:rPr>
                <w:rFonts w:ascii="Arial" w:hAnsi="Arial" w:cs="Arial"/>
                <w:color w:val="000000" w:themeColor="text1"/>
                <w:sz w:val="18"/>
                <w:szCs w:val="18"/>
                <w:lang w:val="hr-HR"/>
              </w:rPr>
            </w:pPr>
          </w:p>
        </w:tc>
      </w:tr>
      <w:tr w:rsidR="004E2F51" w:rsidRPr="00B91D09" w14:paraId="45ABD391" w14:textId="77777777" w:rsidTr="00E032FC">
        <w:trPr>
          <w:trHeight w:val="66"/>
        </w:trPr>
        <w:tc>
          <w:tcPr>
            <w:tcW w:w="6237" w:type="dxa"/>
            <w:tcBorders>
              <w:top w:val="nil"/>
              <w:left w:val="nil"/>
              <w:bottom w:val="nil"/>
              <w:right w:val="nil"/>
            </w:tcBorders>
            <w:shd w:val="clear" w:color="auto" w:fill="auto"/>
            <w:vAlign w:val="bottom"/>
          </w:tcPr>
          <w:p w14:paraId="7E251ACA"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Dobit prije oporezivanja</w:t>
            </w:r>
          </w:p>
        </w:tc>
        <w:tc>
          <w:tcPr>
            <w:tcW w:w="1276" w:type="dxa"/>
            <w:shd w:val="clear" w:color="auto" w:fill="auto"/>
            <w:noWrap/>
            <w:vAlign w:val="bottom"/>
          </w:tcPr>
          <w:p w14:paraId="7081ADEB" w14:textId="77777777" w:rsidR="004E2F51" w:rsidRPr="00B91D09" w:rsidRDefault="004E2F51" w:rsidP="00E032FC">
            <w:pPr>
              <w:jc w:val="right"/>
              <w:rPr>
                <w:rFonts w:ascii="Arial" w:hAnsi="Arial" w:cs="Arial"/>
                <w:bCs/>
                <w:color w:val="000000" w:themeColor="text1"/>
                <w:sz w:val="18"/>
                <w:szCs w:val="18"/>
                <w:lang w:val="hr-HR"/>
              </w:rPr>
            </w:pPr>
            <w:r w:rsidRPr="00E86836">
              <w:rPr>
                <w:rFonts w:ascii="Arial" w:hAnsi="Arial" w:cs="Arial"/>
                <w:bCs/>
                <w:color w:val="000000" w:themeColor="text1"/>
                <w:sz w:val="18"/>
                <w:szCs w:val="18"/>
                <w:lang w:val="hr-HR"/>
              </w:rPr>
              <w:t>3.957</w:t>
            </w:r>
          </w:p>
        </w:tc>
        <w:tc>
          <w:tcPr>
            <w:tcW w:w="1134" w:type="dxa"/>
            <w:shd w:val="clear" w:color="auto" w:fill="auto"/>
            <w:vAlign w:val="bottom"/>
          </w:tcPr>
          <w:p w14:paraId="39F9F7FF" w14:textId="77777777" w:rsidR="004E2F51" w:rsidRPr="00B91D09" w:rsidRDefault="004E2F51" w:rsidP="00E032FC">
            <w:pPr>
              <w:jc w:val="right"/>
              <w:rPr>
                <w:rFonts w:ascii="Arial" w:hAnsi="Arial" w:cs="Arial"/>
                <w:bCs/>
                <w:color w:val="000000" w:themeColor="text1"/>
                <w:sz w:val="18"/>
                <w:szCs w:val="18"/>
                <w:lang w:val="hr-HR"/>
              </w:rPr>
            </w:pPr>
            <w:r w:rsidRPr="00B91D09">
              <w:rPr>
                <w:rFonts w:ascii="Arial" w:hAnsi="Arial" w:cs="Arial"/>
                <w:bCs/>
                <w:color w:val="000000" w:themeColor="text1"/>
                <w:sz w:val="18"/>
                <w:szCs w:val="18"/>
                <w:lang w:val="hr-HR"/>
              </w:rPr>
              <w:t>1.317</w:t>
            </w:r>
          </w:p>
        </w:tc>
      </w:tr>
      <w:tr w:rsidR="004E2F51" w:rsidRPr="00B91D09" w14:paraId="08913F06" w14:textId="77777777" w:rsidTr="00E032FC">
        <w:trPr>
          <w:trHeight w:val="180"/>
        </w:trPr>
        <w:tc>
          <w:tcPr>
            <w:tcW w:w="6237" w:type="dxa"/>
            <w:tcBorders>
              <w:top w:val="nil"/>
              <w:left w:val="nil"/>
              <w:bottom w:val="nil"/>
              <w:right w:val="nil"/>
            </w:tcBorders>
            <w:shd w:val="clear" w:color="auto" w:fill="auto"/>
            <w:vAlign w:val="bottom"/>
          </w:tcPr>
          <w:p w14:paraId="6BE04B06" w14:textId="77777777" w:rsidR="004E2F51" w:rsidRPr="00B91D09" w:rsidRDefault="004E2F51" w:rsidP="00E032FC">
            <w:pPr>
              <w:rPr>
                <w:rFonts w:ascii="Arial" w:hAnsi="Arial" w:cs="Arial"/>
                <w:i/>
                <w:color w:val="000000" w:themeColor="text1"/>
                <w:sz w:val="18"/>
                <w:szCs w:val="18"/>
                <w:lang w:val="hr-HR"/>
              </w:rPr>
            </w:pPr>
            <w:r w:rsidRPr="00B91D09">
              <w:rPr>
                <w:rFonts w:ascii="Arial" w:hAnsi="Arial" w:cs="Arial"/>
                <w:i/>
                <w:color w:val="000000" w:themeColor="text1"/>
                <w:sz w:val="18"/>
                <w:szCs w:val="18"/>
                <w:lang w:val="hr-HR"/>
              </w:rPr>
              <w:t>Usklađenje na neto novčana sredstva ostvarena i uporabljena za poslovne aktivnosti</w:t>
            </w:r>
          </w:p>
        </w:tc>
        <w:tc>
          <w:tcPr>
            <w:tcW w:w="1276" w:type="dxa"/>
            <w:shd w:val="clear" w:color="auto" w:fill="auto"/>
            <w:noWrap/>
            <w:vAlign w:val="bottom"/>
          </w:tcPr>
          <w:p w14:paraId="16AB0DDB" w14:textId="77777777" w:rsidR="004E2F51" w:rsidRPr="00B91D09" w:rsidRDefault="004E2F51" w:rsidP="00E032FC">
            <w:pPr>
              <w:jc w:val="right"/>
              <w:rPr>
                <w:rFonts w:ascii="Arial" w:hAnsi="Arial" w:cs="Arial"/>
                <w:color w:val="000000" w:themeColor="text1"/>
                <w:sz w:val="18"/>
                <w:szCs w:val="18"/>
                <w:lang w:val="hr-HR"/>
              </w:rPr>
            </w:pPr>
          </w:p>
        </w:tc>
        <w:tc>
          <w:tcPr>
            <w:tcW w:w="1134" w:type="dxa"/>
            <w:shd w:val="clear" w:color="auto" w:fill="auto"/>
            <w:vAlign w:val="bottom"/>
          </w:tcPr>
          <w:p w14:paraId="3B3F5AF5" w14:textId="77777777" w:rsidR="004E2F51" w:rsidRPr="00B91D09" w:rsidRDefault="004E2F51" w:rsidP="00E032FC">
            <w:pPr>
              <w:jc w:val="right"/>
              <w:rPr>
                <w:rFonts w:ascii="Arial" w:hAnsi="Arial" w:cs="Arial"/>
                <w:color w:val="000000" w:themeColor="text1"/>
                <w:sz w:val="18"/>
                <w:szCs w:val="18"/>
                <w:lang w:val="hr-HR"/>
              </w:rPr>
            </w:pPr>
          </w:p>
        </w:tc>
      </w:tr>
      <w:tr w:rsidR="004E2F51" w:rsidRPr="00B91D09" w14:paraId="45C5E14C" w14:textId="77777777" w:rsidTr="00E032FC">
        <w:trPr>
          <w:trHeight w:val="180"/>
        </w:trPr>
        <w:tc>
          <w:tcPr>
            <w:tcW w:w="6237" w:type="dxa"/>
            <w:tcBorders>
              <w:top w:val="nil"/>
              <w:left w:val="nil"/>
              <w:bottom w:val="nil"/>
              <w:right w:val="nil"/>
            </w:tcBorders>
            <w:shd w:val="clear" w:color="auto" w:fill="auto"/>
            <w:vAlign w:val="bottom"/>
          </w:tcPr>
          <w:p w14:paraId="472B90BC"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Amortizacija</w:t>
            </w:r>
          </w:p>
        </w:tc>
        <w:tc>
          <w:tcPr>
            <w:tcW w:w="1276" w:type="dxa"/>
            <w:shd w:val="clear" w:color="auto" w:fill="auto"/>
            <w:noWrap/>
            <w:vAlign w:val="bottom"/>
          </w:tcPr>
          <w:p w14:paraId="6D5C680B"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353</w:t>
            </w:r>
          </w:p>
        </w:tc>
        <w:tc>
          <w:tcPr>
            <w:tcW w:w="1134" w:type="dxa"/>
            <w:shd w:val="clear" w:color="auto" w:fill="auto"/>
            <w:vAlign w:val="bottom"/>
          </w:tcPr>
          <w:p w14:paraId="0D104F7B"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314</w:t>
            </w:r>
          </w:p>
        </w:tc>
      </w:tr>
      <w:tr w:rsidR="004E2F51" w:rsidRPr="00B91D09" w14:paraId="73031DF2" w14:textId="77777777" w:rsidTr="00E032FC">
        <w:trPr>
          <w:trHeight w:val="180"/>
        </w:trPr>
        <w:tc>
          <w:tcPr>
            <w:tcW w:w="6237" w:type="dxa"/>
            <w:tcBorders>
              <w:top w:val="nil"/>
              <w:left w:val="nil"/>
              <w:bottom w:val="nil"/>
              <w:right w:val="nil"/>
            </w:tcBorders>
            <w:shd w:val="clear" w:color="auto" w:fill="auto"/>
            <w:vAlign w:val="bottom"/>
          </w:tcPr>
          <w:p w14:paraId="5361029D"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Gubitak od umanjenja vrijednosti i rezerviranja</w:t>
            </w:r>
          </w:p>
        </w:tc>
        <w:tc>
          <w:tcPr>
            <w:tcW w:w="1276" w:type="dxa"/>
            <w:shd w:val="clear" w:color="auto" w:fill="auto"/>
            <w:noWrap/>
            <w:vAlign w:val="bottom"/>
          </w:tcPr>
          <w:p w14:paraId="4BAE315A"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(151)</w:t>
            </w:r>
          </w:p>
        </w:tc>
        <w:tc>
          <w:tcPr>
            <w:tcW w:w="1134" w:type="dxa"/>
            <w:shd w:val="clear" w:color="auto" w:fill="auto"/>
            <w:vAlign w:val="bottom"/>
          </w:tcPr>
          <w:p w14:paraId="74A82E3F"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26</w:t>
            </w:r>
          </w:p>
        </w:tc>
      </w:tr>
      <w:tr w:rsidR="004E2F51" w:rsidRPr="00B91D09" w14:paraId="29ED908E" w14:textId="77777777" w:rsidTr="00E032FC">
        <w:trPr>
          <w:trHeight w:val="184"/>
        </w:trPr>
        <w:tc>
          <w:tcPr>
            <w:tcW w:w="6237" w:type="dxa"/>
            <w:tcBorders>
              <w:top w:val="nil"/>
              <w:left w:val="nil"/>
              <w:bottom w:val="nil"/>
              <w:right w:val="nil"/>
            </w:tcBorders>
            <w:shd w:val="clear" w:color="auto" w:fill="auto"/>
            <w:vAlign w:val="bottom"/>
          </w:tcPr>
          <w:p w14:paraId="59A0BEE1"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Porez na dobit</w:t>
            </w:r>
          </w:p>
        </w:tc>
        <w:tc>
          <w:tcPr>
            <w:tcW w:w="1276" w:type="dxa"/>
            <w:shd w:val="clear" w:color="auto" w:fill="auto"/>
            <w:noWrap/>
            <w:vAlign w:val="bottom"/>
          </w:tcPr>
          <w:p w14:paraId="06C7A239"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(201)</w:t>
            </w:r>
          </w:p>
        </w:tc>
        <w:tc>
          <w:tcPr>
            <w:tcW w:w="1134" w:type="dxa"/>
            <w:shd w:val="clear" w:color="auto" w:fill="auto"/>
            <w:vAlign w:val="bottom"/>
          </w:tcPr>
          <w:p w14:paraId="33A70813"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(369)</w:t>
            </w:r>
          </w:p>
        </w:tc>
      </w:tr>
      <w:tr w:rsidR="004E2F51" w:rsidRPr="00B91D09" w14:paraId="75DFABA1" w14:textId="77777777" w:rsidTr="00E032FC">
        <w:trPr>
          <w:trHeight w:val="184"/>
        </w:trPr>
        <w:tc>
          <w:tcPr>
            <w:tcW w:w="6237" w:type="dxa"/>
            <w:tcBorders>
              <w:top w:val="nil"/>
              <w:left w:val="nil"/>
              <w:bottom w:val="nil"/>
              <w:right w:val="nil"/>
            </w:tcBorders>
            <w:shd w:val="clear" w:color="auto" w:fill="auto"/>
            <w:vAlign w:val="bottom"/>
          </w:tcPr>
          <w:p w14:paraId="19CF4E49"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Obračunane kamate</w:t>
            </w:r>
          </w:p>
        </w:tc>
        <w:tc>
          <w:tcPr>
            <w:tcW w:w="1276" w:type="dxa"/>
            <w:shd w:val="clear" w:color="auto" w:fill="auto"/>
            <w:noWrap/>
            <w:vAlign w:val="bottom"/>
          </w:tcPr>
          <w:p w14:paraId="40FB10EC"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(10)</w:t>
            </w:r>
          </w:p>
        </w:tc>
        <w:tc>
          <w:tcPr>
            <w:tcW w:w="1134" w:type="dxa"/>
            <w:shd w:val="clear" w:color="auto" w:fill="auto"/>
            <w:vAlign w:val="bottom"/>
          </w:tcPr>
          <w:p w14:paraId="7AC515BB"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19</w:t>
            </w:r>
          </w:p>
        </w:tc>
      </w:tr>
      <w:tr w:rsidR="004E2F51" w:rsidRPr="00B91D09" w14:paraId="15500B82" w14:textId="77777777" w:rsidTr="00E032FC">
        <w:trPr>
          <w:trHeight w:val="184"/>
        </w:trPr>
        <w:tc>
          <w:tcPr>
            <w:tcW w:w="6237" w:type="dxa"/>
            <w:tcBorders>
              <w:top w:val="nil"/>
              <w:left w:val="nil"/>
              <w:bottom w:val="nil"/>
              <w:right w:val="nil"/>
            </w:tcBorders>
            <w:shd w:val="clear" w:color="auto" w:fill="auto"/>
            <w:vAlign w:val="bottom"/>
          </w:tcPr>
          <w:p w14:paraId="20C833B4"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Ostalo</w:t>
            </w:r>
          </w:p>
        </w:tc>
        <w:tc>
          <w:tcPr>
            <w:tcW w:w="1276" w:type="dxa"/>
            <w:shd w:val="clear" w:color="auto" w:fill="auto"/>
            <w:noWrap/>
            <w:vAlign w:val="bottom"/>
          </w:tcPr>
          <w:p w14:paraId="3B744FBE" w14:textId="77777777" w:rsidR="004E2F51" w:rsidRPr="00B91D09" w:rsidRDefault="004E2F51" w:rsidP="00E032F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vAlign w:val="bottom"/>
          </w:tcPr>
          <w:p w14:paraId="7823ED35" w14:textId="77777777" w:rsidR="004E2F51" w:rsidRPr="00B91D09" w:rsidRDefault="004E2F51" w:rsidP="00E032FC">
            <w:pPr>
              <w:jc w:val="right"/>
              <w:rPr>
                <w:rFonts w:ascii="Arial" w:hAnsi="Arial" w:cs="Arial"/>
                <w:bCs/>
                <w:color w:val="000000" w:themeColor="text1"/>
                <w:sz w:val="18"/>
                <w:szCs w:val="18"/>
                <w:lang w:val="hr-HR"/>
              </w:rPr>
            </w:pPr>
            <w:r w:rsidRPr="00B91D09">
              <w:rPr>
                <w:rFonts w:ascii="Arial" w:hAnsi="Arial" w:cs="Arial"/>
                <w:color w:val="000000" w:themeColor="text1"/>
                <w:sz w:val="18"/>
                <w:szCs w:val="18"/>
                <w:lang w:val="hr-HR"/>
              </w:rPr>
              <w:t>(22)</w:t>
            </w:r>
          </w:p>
        </w:tc>
      </w:tr>
      <w:tr w:rsidR="004E2F51" w:rsidRPr="00B91D09" w14:paraId="1C1A0297" w14:textId="77777777" w:rsidTr="00E032FC">
        <w:trPr>
          <w:trHeight w:val="164"/>
        </w:trPr>
        <w:tc>
          <w:tcPr>
            <w:tcW w:w="6237" w:type="dxa"/>
            <w:tcBorders>
              <w:left w:val="nil"/>
              <w:right w:val="nil"/>
            </w:tcBorders>
            <w:shd w:val="clear" w:color="auto" w:fill="auto"/>
            <w:vAlign w:val="bottom"/>
          </w:tcPr>
          <w:p w14:paraId="3AD63A71" w14:textId="77777777" w:rsidR="004E2F51" w:rsidRPr="00B91D09" w:rsidRDefault="004E2F51" w:rsidP="00E032FC">
            <w:pPr>
              <w:rPr>
                <w:rFonts w:ascii="Arial" w:hAnsi="Arial" w:cs="Arial"/>
                <w:i/>
                <w:color w:val="000000" w:themeColor="text1"/>
                <w:sz w:val="18"/>
                <w:szCs w:val="18"/>
                <w:lang w:val="hr-HR"/>
              </w:rPr>
            </w:pPr>
            <w:r w:rsidRPr="00B91D09">
              <w:rPr>
                <w:rFonts w:ascii="Arial" w:hAnsi="Arial" w:cs="Arial"/>
                <w:i/>
                <w:color w:val="000000" w:themeColor="text1"/>
                <w:sz w:val="18"/>
                <w:szCs w:val="18"/>
                <w:lang w:val="hr-HR"/>
              </w:rPr>
              <w:t>Dobit iz poslovnih aktivnosti prije promjena radnoga kapitala</w:t>
            </w:r>
          </w:p>
        </w:tc>
        <w:tc>
          <w:tcPr>
            <w:tcW w:w="1276" w:type="dxa"/>
            <w:shd w:val="clear" w:color="auto" w:fill="auto"/>
            <w:noWrap/>
            <w:vAlign w:val="bottom"/>
          </w:tcPr>
          <w:p w14:paraId="478CCE14" w14:textId="77777777" w:rsidR="004E2F51" w:rsidRPr="00B91D09" w:rsidRDefault="004E2F51" w:rsidP="00E032FC">
            <w:pPr>
              <w:jc w:val="right"/>
              <w:rPr>
                <w:rFonts w:ascii="Arial" w:hAnsi="Arial" w:cs="Arial"/>
                <w:bCs/>
                <w:i/>
                <w:color w:val="000000" w:themeColor="text1"/>
                <w:sz w:val="18"/>
                <w:szCs w:val="18"/>
                <w:lang w:val="hr-HR"/>
              </w:rPr>
            </w:pPr>
            <w:r w:rsidRPr="00E86836">
              <w:rPr>
                <w:rFonts w:ascii="Arial" w:hAnsi="Arial" w:cs="Arial"/>
                <w:bCs/>
                <w:i/>
                <w:color w:val="000000" w:themeColor="text1"/>
                <w:sz w:val="18"/>
                <w:szCs w:val="18"/>
                <w:lang w:val="hr-HR"/>
              </w:rPr>
              <w:t>3.948</w:t>
            </w:r>
          </w:p>
        </w:tc>
        <w:tc>
          <w:tcPr>
            <w:tcW w:w="1134" w:type="dxa"/>
            <w:shd w:val="clear" w:color="auto" w:fill="auto"/>
            <w:vAlign w:val="bottom"/>
          </w:tcPr>
          <w:p w14:paraId="7FCAA49C" w14:textId="77777777" w:rsidR="004E2F51" w:rsidRPr="00B91D09" w:rsidRDefault="004E2F51" w:rsidP="00E032FC">
            <w:pPr>
              <w:jc w:val="right"/>
              <w:rPr>
                <w:rFonts w:ascii="Arial" w:hAnsi="Arial" w:cs="Arial"/>
                <w:bCs/>
                <w:i/>
                <w:color w:val="000000" w:themeColor="text1"/>
                <w:sz w:val="18"/>
                <w:szCs w:val="18"/>
                <w:lang w:val="hr-HR"/>
              </w:rPr>
            </w:pPr>
            <w:r w:rsidRPr="00B91D09">
              <w:rPr>
                <w:rFonts w:ascii="Arial" w:hAnsi="Arial" w:cs="Arial"/>
                <w:bCs/>
                <w:i/>
                <w:color w:val="000000" w:themeColor="text1"/>
                <w:sz w:val="18"/>
                <w:szCs w:val="18"/>
                <w:lang w:val="hr-HR"/>
              </w:rPr>
              <w:t>1.285</w:t>
            </w:r>
          </w:p>
        </w:tc>
      </w:tr>
      <w:tr w:rsidR="004E2F51" w:rsidRPr="00B91D09" w14:paraId="529DEE94" w14:textId="77777777" w:rsidTr="00E032FC">
        <w:trPr>
          <w:trHeight w:val="60"/>
        </w:trPr>
        <w:tc>
          <w:tcPr>
            <w:tcW w:w="6237" w:type="dxa"/>
            <w:tcBorders>
              <w:left w:val="nil"/>
              <w:bottom w:val="nil"/>
              <w:right w:val="nil"/>
            </w:tcBorders>
            <w:shd w:val="clear" w:color="auto" w:fill="auto"/>
            <w:vAlign w:val="bottom"/>
          </w:tcPr>
          <w:p w14:paraId="2CE20F88"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276" w:type="dxa"/>
            <w:shd w:val="clear" w:color="auto" w:fill="auto"/>
            <w:noWrap/>
            <w:vAlign w:val="bottom"/>
          </w:tcPr>
          <w:p w14:paraId="777AA27A" w14:textId="77777777" w:rsidR="004E2F51" w:rsidRPr="00B91D09" w:rsidRDefault="004E2F51" w:rsidP="00E032FC">
            <w:pPr>
              <w:spacing w:line="140" w:lineRule="exact"/>
              <w:jc w:val="right"/>
              <w:rPr>
                <w:rFonts w:ascii="Arial" w:hAnsi="Arial" w:cs="Arial"/>
                <w:color w:val="000000" w:themeColor="text1"/>
                <w:sz w:val="18"/>
                <w:szCs w:val="18"/>
                <w:lang w:val="hr-HR"/>
              </w:rPr>
            </w:pPr>
          </w:p>
        </w:tc>
        <w:tc>
          <w:tcPr>
            <w:tcW w:w="1134" w:type="dxa"/>
            <w:shd w:val="clear" w:color="auto" w:fill="auto"/>
            <w:vAlign w:val="bottom"/>
          </w:tcPr>
          <w:p w14:paraId="36B82CDD" w14:textId="77777777" w:rsidR="004E2F51" w:rsidRPr="00B91D09" w:rsidRDefault="004E2F51" w:rsidP="00E032FC">
            <w:pPr>
              <w:spacing w:line="140" w:lineRule="exact"/>
              <w:jc w:val="right"/>
              <w:rPr>
                <w:rFonts w:ascii="Arial" w:hAnsi="Arial" w:cs="Arial"/>
                <w:color w:val="000000" w:themeColor="text1"/>
                <w:sz w:val="18"/>
                <w:szCs w:val="18"/>
                <w:lang w:val="hr-HR"/>
              </w:rPr>
            </w:pPr>
          </w:p>
        </w:tc>
      </w:tr>
      <w:tr w:rsidR="004E2F51" w:rsidRPr="0002282A" w14:paraId="4A033B84" w14:textId="77777777" w:rsidTr="00E032FC">
        <w:trPr>
          <w:trHeight w:val="148"/>
        </w:trPr>
        <w:tc>
          <w:tcPr>
            <w:tcW w:w="6237" w:type="dxa"/>
            <w:tcBorders>
              <w:top w:val="nil"/>
              <w:left w:val="nil"/>
              <w:bottom w:val="nil"/>
              <w:right w:val="nil"/>
            </w:tcBorders>
            <w:shd w:val="clear" w:color="auto" w:fill="auto"/>
            <w:vAlign w:val="bottom"/>
          </w:tcPr>
          <w:p w14:paraId="0FD68ADF" w14:textId="77777777" w:rsidR="004E2F51" w:rsidRPr="00B91D09" w:rsidRDefault="004E2F51" w:rsidP="00E032F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Promjene u poslovnim sredstvima i izvorima</w:t>
            </w:r>
          </w:p>
        </w:tc>
        <w:tc>
          <w:tcPr>
            <w:tcW w:w="1276" w:type="dxa"/>
            <w:shd w:val="clear" w:color="auto" w:fill="auto"/>
            <w:noWrap/>
            <w:vAlign w:val="bottom"/>
          </w:tcPr>
          <w:p w14:paraId="349A3E17" w14:textId="77777777" w:rsidR="004E2F51" w:rsidRPr="00B91D09" w:rsidRDefault="004E2F51" w:rsidP="00E032FC">
            <w:pPr>
              <w:jc w:val="right"/>
              <w:rPr>
                <w:rFonts w:ascii="Arial" w:hAnsi="Arial" w:cs="Arial"/>
                <w:color w:val="000000" w:themeColor="text1"/>
                <w:sz w:val="18"/>
                <w:szCs w:val="18"/>
                <w:lang w:val="hr-HR"/>
              </w:rPr>
            </w:pPr>
          </w:p>
        </w:tc>
        <w:tc>
          <w:tcPr>
            <w:tcW w:w="1134" w:type="dxa"/>
            <w:shd w:val="clear" w:color="auto" w:fill="auto"/>
            <w:vAlign w:val="bottom"/>
          </w:tcPr>
          <w:p w14:paraId="1C4CD139" w14:textId="77777777" w:rsidR="004E2F51" w:rsidRPr="00B91D09" w:rsidRDefault="004E2F51" w:rsidP="00E032FC">
            <w:pPr>
              <w:jc w:val="right"/>
              <w:rPr>
                <w:rFonts w:ascii="Arial" w:hAnsi="Arial" w:cs="Arial"/>
                <w:color w:val="000000" w:themeColor="text1"/>
                <w:sz w:val="18"/>
                <w:szCs w:val="18"/>
                <w:lang w:val="hr-HR"/>
              </w:rPr>
            </w:pPr>
          </w:p>
        </w:tc>
      </w:tr>
      <w:tr w:rsidR="004E2F51" w:rsidRPr="00B91D09" w14:paraId="5DA4BF61" w14:textId="77777777" w:rsidTr="00E032FC">
        <w:trPr>
          <w:trHeight w:val="148"/>
        </w:trPr>
        <w:tc>
          <w:tcPr>
            <w:tcW w:w="6237" w:type="dxa"/>
            <w:tcBorders>
              <w:top w:val="nil"/>
              <w:left w:val="nil"/>
              <w:bottom w:val="nil"/>
              <w:right w:val="nil"/>
            </w:tcBorders>
            <w:shd w:val="clear" w:color="auto" w:fill="auto"/>
            <w:vAlign w:val="bottom"/>
          </w:tcPr>
          <w:p w14:paraId="790F1F8D" w14:textId="77777777" w:rsidR="004E2F51" w:rsidRPr="00E86836" w:rsidRDefault="004E2F51" w:rsidP="00E032FC">
            <w:pPr>
              <w:rPr>
                <w:rFonts w:ascii="Arial" w:hAnsi="Arial" w:cs="Arial"/>
                <w:color w:val="000000" w:themeColor="text1"/>
                <w:sz w:val="18"/>
                <w:szCs w:val="18"/>
                <w:lang w:val="hr-HR"/>
              </w:rPr>
            </w:pPr>
            <w:r w:rsidRPr="00E86836">
              <w:rPr>
                <w:rFonts w:ascii="Arial" w:hAnsi="Arial" w:cs="Arial"/>
                <w:color w:val="000000" w:themeColor="text1"/>
                <w:sz w:val="18"/>
                <w:szCs w:val="18"/>
                <w:lang w:val="hr-HR"/>
              </w:rPr>
              <w:t>Neto smanjenje depozita kod drugih banaka</w:t>
            </w:r>
          </w:p>
        </w:tc>
        <w:tc>
          <w:tcPr>
            <w:tcW w:w="1276" w:type="dxa"/>
            <w:shd w:val="clear" w:color="auto" w:fill="auto"/>
            <w:noWrap/>
            <w:vAlign w:val="bottom"/>
          </w:tcPr>
          <w:p w14:paraId="543A53F1" w14:textId="77777777" w:rsidR="004E2F51" w:rsidRPr="00B91D09" w:rsidRDefault="004E2F51" w:rsidP="00E032F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r w:rsidRPr="00E86836">
              <w:rPr>
                <w:rFonts w:ascii="Arial" w:hAnsi="Arial" w:cs="Arial"/>
                <w:color w:val="000000" w:themeColor="text1"/>
                <w:sz w:val="18"/>
                <w:szCs w:val="18"/>
                <w:lang w:val="hr-HR"/>
              </w:rPr>
              <w:t>22.604</w:t>
            </w:r>
            <w:r>
              <w:rPr>
                <w:rFonts w:ascii="Arial" w:hAnsi="Arial" w:cs="Arial"/>
                <w:color w:val="000000" w:themeColor="text1"/>
                <w:sz w:val="18"/>
                <w:szCs w:val="18"/>
                <w:lang w:val="hr-HR"/>
              </w:rPr>
              <w:t>)</w:t>
            </w:r>
          </w:p>
        </w:tc>
        <w:tc>
          <w:tcPr>
            <w:tcW w:w="1134" w:type="dxa"/>
            <w:shd w:val="clear" w:color="auto" w:fill="auto"/>
            <w:vAlign w:val="bottom"/>
          </w:tcPr>
          <w:p w14:paraId="5CB317CB" w14:textId="77777777" w:rsidR="004E2F51" w:rsidRPr="00B91D09" w:rsidRDefault="004E2F51" w:rsidP="00E032F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4E2F51" w:rsidRPr="00B91D09" w14:paraId="625187D0" w14:textId="77777777" w:rsidTr="00E032FC">
        <w:trPr>
          <w:trHeight w:val="254"/>
        </w:trPr>
        <w:tc>
          <w:tcPr>
            <w:tcW w:w="6237" w:type="dxa"/>
            <w:tcBorders>
              <w:top w:val="nil"/>
              <w:left w:val="nil"/>
              <w:bottom w:val="nil"/>
              <w:right w:val="nil"/>
            </w:tcBorders>
            <w:shd w:val="clear" w:color="auto" w:fill="auto"/>
            <w:vAlign w:val="bottom"/>
          </w:tcPr>
          <w:p w14:paraId="144ED704"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Smanjenje diskonta po imovini raspoloživoj za prodaju i imovini do dospijeća</w:t>
            </w:r>
          </w:p>
        </w:tc>
        <w:tc>
          <w:tcPr>
            <w:tcW w:w="1276" w:type="dxa"/>
            <w:shd w:val="clear" w:color="auto" w:fill="auto"/>
            <w:noWrap/>
            <w:vAlign w:val="bottom"/>
          </w:tcPr>
          <w:p w14:paraId="2F9B61B6"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91</w:t>
            </w:r>
          </w:p>
        </w:tc>
        <w:tc>
          <w:tcPr>
            <w:tcW w:w="1134" w:type="dxa"/>
            <w:shd w:val="clear" w:color="auto" w:fill="auto"/>
            <w:vAlign w:val="bottom"/>
          </w:tcPr>
          <w:p w14:paraId="770051DD"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91</w:t>
            </w:r>
          </w:p>
        </w:tc>
      </w:tr>
      <w:tr w:rsidR="004E2F51" w:rsidRPr="00B91D09" w14:paraId="5BFBA1D0" w14:textId="77777777" w:rsidTr="00E032FC">
        <w:trPr>
          <w:trHeight w:val="254"/>
        </w:trPr>
        <w:tc>
          <w:tcPr>
            <w:tcW w:w="6237" w:type="dxa"/>
            <w:tcBorders>
              <w:top w:val="nil"/>
              <w:left w:val="nil"/>
              <w:bottom w:val="nil"/>
              <w:right w:val="nil"/>
            </w:tcBorders>
            <w:shd w:val="clear" w:color="auto" w:fill="auto"/>
            <w:vAlign w:val="bottom"/>
          </w:tcPr>
          <w:p w14:paraId="6CD43291"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Potraživanja po premijama</w:t>
            </w:r>
          </w:p>
        </w:tc>
        <w:tc>
          <w:tcPr>
            <w:tcW w:w="1276" w:type="dxa"/>
            <w:shd w:val="clear" w:color="auto" w:fill="auto"/>
            <w:noWrap/>
            <w:vAlign w:val="bottom"/>
          </w:tcPr>
          <w:p w14:paraId="23A4D61F"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 xml:space="preserve"> (3.405)</w:t>
            </w:r>
          </w:p>
        </w:tc>
        <w:tc>
          <w:tcPr>
            <w:tcW w:w="1134" w:type="dxa"/>
            <w:shd w:val="clear" w:color="auto" w:fill="auto"/>
            <w:vAlign w:val="bottom"/>
          </w:tcPr>
          <w:p w14:paraId="05B7170B"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118</w:t>
            </w:r>
          </w:p>
        </w:tc>
      </w:tr>
      <w:tr w:rsidR="004E2F51" w:rsidRPr="00B91D09" w14:paraId="2F9DD99B" w14:textId="77777777" w:rsidTr="00E032FC">
        <w:trPr>
          <w:trHeight w:val="254"/>
        </w:trPr>
        <w:tc>
          <w:tcPr>
            <w:tcW w:w="6237" w:type="dxa"/>
            <w:tcBorders>
              <w:top w:val="nil"/>
              <w:left w:val="nil"/>
              <w:bottom w:val="nil"/>
              <w:right w:val="nil"/>
            </w:tcBorders>
            <w:shd w:val="clear" w:color="auto" w:fill="auto"/>
            <w:vAlign w:val="bottom"/>
          </w:tcPr>
          <w:p w14:paraId="5F7B97D4"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smanjenje/(povećanje) ostale imovine</w:t>
            </w:r>
          </w:p>
        </w:tc>
        <w:tc>
          <w:tcPr>
            <w:tcW w:w="1276" w:type="dxa"/>
            <w:shd w:val="clear" w:color="auto" w:fill="auto"/>
            <w:noWrap/>
            <w:vAlign w:val="bottom"/>
          </w:tcPr>
          <w:p w14:paraId="237C961B"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 xml:space="preserve"> (159)</w:t>
            </w:r>
          </w:p>
        </w:tc>
        <w:tc>
          <w:tcPr>
            <w:tcW w:w="1134" w:type="dxa"/>
            <w:shd w:val="clear" w:color="auto" w:fill="auto"/>
            <w:vAlign w:val="bottom"/>
          </w:tcPr>
          <w:p w14:paraId="7D974779"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(168)</w:t>
            </w:r>
          </w:p>
        </w:tc>
      </w:tr>
      <w:tr w:rsidR="004E2F51" w:rsidRPr="00B91D09" w14:paraId="60EB7944" w14:textId="77777777" w:rsidTr="00E032FC">
        <w:trPr>
          <w:trHeight w:val="254"/>
        </w:trPr>
        <w:tc>
          <w:tcPr>
            <w:tcW w:w="6237" w:type="dxa"/>
            <w:tcBorders>
              <w:top w:val="nil"/>
              <w:left w:val="nil"/>
              <w:bottom w:val="nil"/>
              <w:right w:val="nil"/>
            </w:tcBorders>
            <w:shd w:val="clear" w:color="auto" w:fill="auto"/>
            <w:vAlign w:val="bottom"/>
          </w:tcPr>
          <w:p w14:paraId="55B1D178"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smanjenje imovine i obveza iz poslova osiguranja</w:t>
            </w:r>
          </w:p>
        </w:tc>
        <w:tc>
          <w:tcPr>
            <w:tcW w:w="1276" w:type="dxa"/>
            <w:shd w:val="clear" w:color="auto" w:fill="auto"/>
            <w:noWrap/>
            <w:vAlign w:val="bottom"/>
          </w:tcPr>
          <w:p w14:paraId="21BDD158"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5.941</w:t>
            </w:r>
          </w:p>
        </w:tc>
        <w:tc>
          <w:tcPr>
            <w:tcW w:w="1134" w:type="dxa"/>
            <w:shd w:val="clear" w:color="auto" w:fill="auto"/>
            <w:vAlign w:val="bottom"/>
          </w:tcPr>
          <w:p w14:paraId="0A14F444"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(812)</w:t>
            </w:r>
          </w:p>
        </w:tc>
      </w:tr>
      <w:tr w:rsidR="004E2F51" w:rsidRPr="00B91D09" w14:paraId="4A2193D2" w14:textId="77777777" w:rsidTr="00E032FC">
        <w:trPr>
          <w:trHeight w:val="254"/>
        </w:trPr>
        <w:tc>
          <w:tcPr>
            <w:tcW w:w="6237" w:type="dxa"/>
            <w:tcBorders>
              <w:top w:val="nil"/>
              <w:left w:val="nil"/>
              <w:bottom w:val="nil"/>
              <w:right w:val="nil"/>
            </w:tcBorders>
            <w:shd w:val="clear" w:color="auto" w:fill="auto"/>
            <w:vAlign w:val="bottom"/>
          </w:tcPr>
          <w:p w14:paraId="4498181E"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povećanje tehničkih pričuva</w:t>
            </w:r>
          </w:p>
        </w:tc>
        <w:tc>
          <w:tcPr>
            <w:tcW w:w="1276" w:type="dxa"/>
            <w:shd w:val="clear" w:color="auto" w:fill="auto"/>
            <w:noWrap/>
            <w:vAlign w:val="bottom"/>
          </w:tcPr>
          <w:p w14:paraId="19E21EC0" w14:textId="77777777" w:rsidR="004E2F51" w:rsidRPr="00B91D09" w:rsidRDefault="004E2F51" w:rsidP="00E032F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r w:rsidRPr="00E86836">
              <w:rPr>
                <w:rFonts w:ascii="Arial" w:hAnsi="Arial" w:cs="Arial"/>
                <w:color w:val="000000" w:themeColor="text1"/>
                <w:sz w:val="18"/>
                <w:szCs w:val="18"/>
                <w:lang w:val="hr-HR"/>
              </w:rPr>
              <w:t>937</w:t>
            </w:r>
            <w:r>
              <w:rPr>
                <w:rFonts w:ascii="Arial" w:hAnsi="Arial" w:cs="Arial"/>
                <w:color w:val="000000" w:themeColor="text1"/>
                <w:sz w:val="18"/>
                <w:szCs w:val="18"/>
                <w:lang w:val="hr-HR"/>
              </w:rPr>
              <w:t>)</w:t>
            </w:r>
          </w:p>
        </w:tc>
        <w:tc>
          <w:tcPr>
            <w:tcW w:w="1134" w:type="dxa"/>
            <w:shd w:val="clear" w:color="auto" w:fill="auto"/>
            <w:vAlign w:val="bottom"/>
          </w:tcPr>
          <w:p w14:paraId="12C27C27"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3.118</w:t>
            </w:r>
          </w:p>
        </w:tc>
      </w:tr>
      <w:tr w:rsidR="004E2F51" w:rsidRPr="00B91D09" w14:paraId="16D99797" w14:textId="77777777" w:rsidTr="00E032FC">
        <w:trPr>
          <w:trHeight w:val="254"/>
        </w:trPr>
        <w:tc>
          <w:tcPr>
            <w:tcW w:w="6237" w:type="dxa"/>
            <w:tcBorders>
              <w:top w:val="nil"/>
              <w:left w:val="nil"/>
              <w:bottom w:val="nil"/>
              <w:right w:val="nil"/>
            </w:tcBorders>
            <w:shd w:val="clear" w:color="auto" w:fill="auto"/>
            <w:vAlign w:val="bottom"/>
          </w:tcPr>
          <w:p w14:paraId="0530CD36"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povećanje ostalih obveza</w:t>
            </w:r>
          </w:p>
        </w:tc>
        <w:tc>
          <w:tcPr>
            <w:tcW w:w="1276" w:type="dxa"/>
            <w:tcBorders>
              <w:top w:val="nil"/>
              <w:left w:val="nil"/>
              <w:bottom w:val="single" w:sz="4" w:space="0" w:color="auto"/>
              <w:right w:val="nil"/>
            </w:tcBorders>
            <w:shd w:val="clear" w:color="auto" w:fill="auto"/>
            <w:noWrap/>
            <w:vAlign w:val="bottom"/>
          </w:tcPr>
          <w:p w14:paraId="3C3D5600"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 xml:space="preserve"> (577)</w:t>
            </w:r>
          </w:p>
        </w:tc>
        <w:tc>
          <w:tcPr>
            <w:tcW w:w="1134" w:type="dxa"/>
            <w:tcBorders>
              <w:top w:val="nil"/>
              <w:left w:val="nil"/>
              <w:bottom w:val="single" w:sz="4" w:space="0" w:color="auto"/>
              <w:right w:val="nil"/>
            </w:tcBorders>
            <w:shd w:val="clear" w:color="auto" w:fill="auto"/>
            <w:vAlign w:val="bottom"/>
          </w:tcPr>
          <w:p w14:paraId="18191F7C"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383</w:t>
            </w:r>
          </w:p>
        </w:tc>
      </w:tr>
      <w:tr w:rsidR="004E2F51" w:rsidRPr="00B91D09" w14:paraId="3DF99394" w14:textId="77777777" w:rsidTr="00E032FC">
        <w:trPr>
          <w:trHeight w:val="190"/>
        </w:trPr>
        <w:tc>
          <w:tcPr>
            <w:tcW w:w="6237" w:type="dxa"/>
            <w:tcBorders>
              <w:left w:val="nil"/>
              <w:right w:val="nil"/>
            </w:tcBorders>
            <w:shd w:val="clear" w:color="auto" w:fill="auto"/>
            <w:vAlign w:val="bottom"/>
          </w:tcPr>
          <w:p w14:paraId="34993088"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Neto novčana sredstva ostvarena za poslovne aktivnosti</w:t>
            </w:r>
          </w:p>
        </w:tc>
        <w:tc>
          <w:tcPr>
            <w:tcW w:w="1276" w:type="dxa"/>
            <w:tcBorders>
              <w:top w:val="single" w:sz="4" w:space="0" w:color="auto"/>
              <w:left w:val="nil"/>
              <w:bottom w:val="nil"/>
              <w:right w:val="nil"/>
            </w:tcBorders>
            <w:shd w:val="clear" w:color="auto" w:fill="auto"/>
            <w:noWrap/>
            <w:vAlign w:val="bottom"/>
          </w:tcPr>
          <w:p w14:paraId="73E79F7B" w14:textId="77777777" w:rsidR="004E2F51" w:rsidRPr="00B91D09" w:rsidRDefault="004E2F51" w:rsidP="00E032FC">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r w:rsidRPr="00E86836">
              <w:rPr>
                <w:rFonts w:ascii="Arial" w:hAnsi="Arial" w:cs="Arial"/>
                <w:b/>
                <w:bCs/>
                <w:color w:val="000000" w:themeColor="text1"/>
                <w:sz w:val="18"/>
                <w:szCs w:val="18"/>
                <w:lang w:val="hr-HR"/>
              </w:rPr>
              <w:t>17.702</w:t>
            </w:r>
            <w:r>
              <w:rPr>
                <w:rFonts w:ascii="Arial" w:hAnsi="Arial" w:cs="Arial"/>
                <w:b/>
                <w:bCs/>
                <w:color w:val="000000" w:themeColor="text1"/>
                <w:sz w:val="18"/>
                <w:szCs w:val="18"/>
                <w:lang w:val="hr-HR"/>
              </w:rPr>
              <w:t>)</w:t>
            </w:r>
          </w:p>
        </w:tc>
        <w:tc>
          <w:tcPr>
            <w:tcW w:w="1134" w:type="dxa"/>
            <w:tcBorders>
              <w:top w:val="single" w:sz="4" w:space="0" w:color="auto"/>
              <w:left w:val="nil"/>
              <w:bottom w:val="nil"/>
              <w:right w:val="nil"/>
            </w:tcBorders>
            <w:shd w:val="clear" w:color="auto" w:fill="auto"/>
            <w:vAlign w:val="bottom"/>
          </w:tcPr>
          <w:p w14:paraId="17DE15DE"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4.015</w:t>
            </w:r>
          </w:p>
        </w:tc>
      </w:tr>
      <w:tr w:rsidR="004E2F51" w:rsidRPr="00B91D09" w14:paraId="6F37F084" w14:textId="77777777" w:rsidTr="00E032FC">
        <w:trPr>
          <w:trHeight w:val="74"/>
        </w:trPr>
        <w:tc>
          <w:tcPr>
            <w:tcW w:w="6237" w:type="dxa"/>
            <w:tcBorders>
              <w:top w:val="nil"/>
              <w:left w:val="nil"/>
              <w:bottom w:val="nil"/>
              <w:right w:val="nil"/>
            </w:tcBorders>
            <w:shd w:val="clear" w:color="auto" w:fill="auto"/>
            <w:vAlign w:val="bottom"/>
          </w:tcPr>
          <w:p w14:paraId="2A9F7BDE"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435FCB17" w14:textId="77777777" w:rsidR="004E2F51" w:rsidRPr="00B91D09" w:rsidRDefault="004E2F51" w:rsidP="00E032FC">
            <w:pPr>
              <w:spacing w:line="140" w:lineRule="exact"/>
              <w:jc w:val="right"/>
              <w:rPr>
                <w:rFonts w:ascii="Arial" w:hAnsi="Arial" w:cs="Arial"/>
                <w:bCs/>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4CFF0A38" w14:textId="77777777" w:rsidR="004E2F51" w:rsidRPr="00B91D09" w:rsidRDefault="004E2F51" w:rsidP="00E032FC">
            <w:pPr>
              <w:spacing w:line="140" w:lineRule="exact"/>
              <w:jc w:val="right"/>
              <w:rPr>
                <w:rFonts w:ascii="Arial" w:hAnsi="Arial" w:cs="Arial"/>
                <w:bCs/>
                <w:color w:val="000000" w:themeColor="text1"/>
                <w:sz w:val="18"/>
                <w:szCs w:val="18"/>
                <w:lang w:val="hr-HR"/>
              </w:rPr>
            </w:pPr>
          </w:p>
        </w:tc>
      </w:tr>
      <w:tr w:rsidR="004E2F51" w:rsidRPr="00B91D09" w14:paraId="127CA4AA" w14:textId="77777777" w:rsidTr="00E032FC">
        <w:trPr>
          <w:trHeight w:val="196"/>
        </w:trPr>
        <w:tc>
          <w:tcPr>
            <w:tcW w:w="6237" w:type="dxa"/>
            <w:tcBorders>
              <w:top w:val="nil"/>
              <w:left w:val="nil"/>
              <w:bottom w:val="nil"/>
              <w:right w:val="nil"/>
            </w:tcBorders>
            <w:shd w:val="clear" w:color="auto" w:fill="auto"/>
            <w:vAlign w:val="bottom"/>
          </w:tcPr>
          <w:p w14:paraId="5012E08D" w14:textId="77777777" w:rsidR="004E2F51" w:rsidRPr="00B91D09" w:rsidRDefault="004E2F51" w:rsidP="00E032F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Ulagateljske aktivnosti</w:t>
            </w:r>
          </w:p>
        </w:tc>
        <w:tc>
          <w:tcPr>
            <w:tcW w:w="1276" w:type="dxa"/>
            <w:shd w:val="clear" w:color="auto" w:fill="auto"/>
            <w:noWrap/>
            <w:vAlign w:val="bottom"/>
          </w:tcPr>
          <w:p w14:paraId="7F3D70F0" w14:textId="77777777" w:rsidR="004E2F51" w:rsidRPr="00B91D09" w:rsidRDefault="004E2F51" w:rsidP="00E032FC">
            <w:pPr>
              <w:jc w:val="right"/>
              <w:rPr>
                <w:rFonts w:ascii="Arial" w:hAnsi="Arial" w:cs="Arial"/>
                <w:bCs/>
                <w:color w:val="000000" w:themeColor="text1"/>
                <w:sz w:val="18"/>
                <w:szCs w:val="18"/>
                <w:lang w:val="hr-HR"/>
              </w:rPr>
            </w:pPr>
          </w:p>
        </w:tc>
        <w:tc>
          <w:tcPr>
            <w:tcW w:w="1134" w:type="dxa"/>
            <w:shd w:val="clear" w:color="auto" w:fill="auto"/>
            <w:vAlign w:val="bottom"/>
          </w:tcPr>
          <w:p w14:paraId="7322A0B8" w14:textId="77777777" w:rsidR="004E2F51" w:rsidRPr="00B91D09" w:rsidRDefault="004E2F51" w:rsidP="00E032FC">
            <w:pPr>
              <w:jc w:val="right"/>
              <w:rPr>
                <w:rFonts w:ascii="Arial" w:hAnsi="Arial" w:cs="Arial"/>
                <w:bCs/>
                <w:color w:val="000000" w:themeColor="text1"/>
                <w:sz w:val="18"/>
                <w:szCs w:val="18"/>
                <w:lang w:val="hr-HR"/>
              </w:rPr>
            </w:pPr>
          </w:p>
        </w:tc>
      </w:tr>
      <w:tr w:rsidR="004E2F51" w:rsidRPr="00B91D09" w14:paraId="765718D9" w14:textId="77777777" w:rsidTr="00E032FC">
        <w:trPr>
          <w:trHeight w:val="186"/>
        </w:trPr>
        <w:tc>
          <w:tcPr>
            <w:tcW w:w="6237" w:type="dxa"/>
            <w:tcBorders>
              <w:top w:val="nil"/>
              <w:left w:val="nil"/>
              <w:right w:val="nil"/>
            </w:tcBorders>
            <w:shd w:val="clear" w:color="auto" w:fill="auto"/>
            <w:vAlign w:val="bottom"/>
          </w:tcPr>
          <w:p w14:paraId="52C5BDF0"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kupovina imovine raspoložive za prodaju</w:t>
            </w:r>
          </w:p>
        </w:tc>
        <w:tc>
          <w:tcPr>
            <w:tcW w:w="1276" w:type="dxa"/>
            <w:shd w:val="clear" w:color="auto" w:fill="auto"/>
            <w:noWrap/>
            <w:vAlign w:val="bottom"/>
          </w:tcPr>
          <w:p w14:paraId="0714722A" w14:textId="77777777" w:rsidR="004E2F51" w:rsidRPr="00B91D09" w:rsidRDefault="004E2F51" w:rsidP="00E032F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vAlign w:val="bottom"/>
          </w:tcPr>
          <w:p w14:paraId="366C5DCC"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(8.003)</w:t>
            </w:r>
          </w:p>
        </w:tc>
      </w:tr>
      <w:tr w:rsidR="004E2F51" w:rsidRPr="00B91D09" w14:paraId="6C5F3C99" w14:textId="77777777" w:rsidTr="00E032FC">
        <w:trPr>
          <w:trHeight w:val="186"/>
        </w:trPr>
        <w:tc>
          <w:tcPr>
            <w:tcW w:w="6237" w:type="dxa"/>
            <w:tcBorders>
              <w:top w:val="nil"/>
              <w:left w:val="nil"/>
              <w:right w:val="nil"/>
            </w:tcBorders>
            <w:shd w:val="clear" w:color="auto" w:fill="auto"/>
            <w:vAlign w:val="bottom"/>
          </w:tcPr>
          <w:p w14:paraId="06613073"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prodaja imovine raspoložive za prodaju</w:t>
            </w:r>
          </w:p>
        </w:tc>
        <w:tc>
          <w:tcPr>
            <w:tcW w:w="1276" w:type="dxa"/>
            <w:shd w:val="clear" w:color="auto" w:fill="auto"/>
            <w:noWrap/>
            <w:vAlign w:val="bottom"/>
          </w:tcPr>
          <w:p w14:paraId="598C69BE" w14:textId="77777777" w:rsidR="004E2F51" w:rsidRPr="00B91D09" w:rsidRDefault="004E2F51" w:rsidP="00E032F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vAlign w:val="bottom"/>
          </w:tcPr>
          <w:p w14:paraId="7AC1802D"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2.000</w:t>
            </w:r>
          </w:p>
        </w:tc>
      </w:tr>
      <w:tr w:rsidR="004E2F51" w:rsidRPr="00B91D09" w14:paraId="019DF551" w14:textId="77777777" w:rsidTr="00E032FC">
        <w:trPr>
          <w:trHeight w:val="186"/>
        </w:trPr>
        <w:tc>
          <w:tcPr>
            <w:tcW w:w="6237" w:type="dxa"/>
            <w:tcBorders>
              <w:top w:val="nil"/>
              <w:left w:val="nil"/>
              <w:right w:val="nil"/>
            </w:tcBorders>
            <w:shd w:val="clear" w:color="auto" w:fill="auto"/>
            <w:vAlign w:val="bottom"/>
          </w:tcPr>
          <w:p w14:paraId="1CA4BC56"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Neto nabava nekretnina, postrojenja i opreme i nematerijalne imovine</w:t>
            </w:r>
          </w:p>
        </w:tc>
        <w:tc>
          <w:tcPr>
            <w:tcW w:w="1276" w:type="dxa"/>
            <w:tcBorders>
              <w:top w:val="nil"/>
              <w:left w:val="nil"/>
              <w:bottom w:val="single" w:sz="4" w:space="0" w:color="auto"/>
              <w:right w:val="nil"/>
            </w:tcBorders>
            <w:shd w:val="clear" w:color="auto" w:fill="auto"/>
            <w:noWrap/>
            <w:vAlign w:val="bottom"/>
          </w:tcPr>
          <w:p w14:paraId="76D9E15E"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(194)</w:t>
            </w:r>
          </w:p>
        </w:tc>
        <w:tc>
          <w:tcPr>
            <w:tcW w:w="1134" w:type="dxa"/>
            <w:tcBorders>
              <w:top w:val="nil"/>
              <w:left w:val="nil"/>
              <w:bottom w:val="single" w:sz="4" w:space="0" w:color="auto"/>
              <w:right w:val="nil"/>
            </w:tcBorders>
            <w:shd w:val="clear" w:color="auto" w:fill="auto"/>
            <w:vAlign w:val="bottom"/>
          </w:tcPr>
          <w:p w14:paraId="1FA7C0D9"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(661)</w:t>
            </w:r>
          </w:p>
        </w:tc>
      </w:tr>
      <w:tr w:rsidR="004E2F51" w:rsidRPr="00B91D09" w14:paraId="132B658C" w14:textId="77777777" w:rsidTr="00E032FC">
        <w:trPr>
          <w:trHeight w:val="166"/>
        </w:trPr>
        <w:tc>
          <w:tcPr>
            <w:tcW w:w="6237" w:type="dxa"/>
            <w:tcBorders>
              <w:left w:val="nil"/>
              <w:right w:val="nil"/>
            </w:tcBorders>
            <w:shd w:val="clear" w:color="auto" w:fill="auto"/>
            <w:vAlign w:val="bottom"/>
          </w:tcPr>
          <w:p w14:paraId="23D8C58C" w14:textId="77777777" w:rsidR="004E2F51" w:rsidRPr="00B91D09" w:rsidRDefault="004E2F51" w:rsidP="00E032FC">
            <w:pPr>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Neto novčana sredstva (uporabljena) u ulagateljskim aktivnostima</w:t>
            </w:r>
          </w:p>
        </w:tc>
        <w:tc>
          <w:tcPr>
            <w:tcW w:w="1276" w:type="dxa"/>
            <w:tcBorders>
              <w:top w:val="single" w:sz="4" w:space="0" w:color="auto"/>
              <w:left w:val="nil"/>
              <w:bottom w:val="single" w:sz="12" w:space="0" w:color="auto"/>
              <w:right w:val="nil"/>
            </w:tcBorders>
            <w:shd w:val="clear" w:color="auto" w:fill="auto"/>
            <w:noWrap/>
            <w:vAlign w:val="bottom"/>
          </w:tcPr>
          <w:p w14:paraId="4E1F4A46" w14:textId="77777777" w:rsidR="004E2F51" w:rsidRPr="00B91D09" w:rsidRDefault="004E2F51" w:rsidP="00E032FC">
            <w:pPr>
              <w:jc w:val="right"/>
              <w:rPr>
                <w:rFonts w:ascii="Arial" w:hAnsi="Arial" w:cs="Arial"/>
                <w:b/>
                <w:bCs/>
                <w:color w:val="000000" w:themeColor="text1"/>
                <w:sz w:val="18"/>
                <w:szCs w:val="18"/>
                <w:lang w:val="hr-HR"/>
              </w:rPr>
            </w:pPr>
            <w:r w:rsidRPr="00E86836">
              <w:rPr>
                <w:rFonts w:ascii="Arial" w:hAnsi="Arial" w:cs="Arial"/>
                <w:b/>
                <w:bCs/>
                <w:color w:val="000000" w:themeColor="text1"/>
                <w:sz w:val="18"/>
                <w:szCs w:val="18"/>
                <w:lang w:val="hr-HR"/>
              </w:rPr>
              <w:t>(194)</w:t>
            </w:r>
          </w:p>
        </w:tc>
        <w:tc>
          <w:tcPr>
            <w:tcW w:w="1134" w:type="dxa"/>
            <w:tcBorders>
              <w:top w:val="single" w:sz="4" w:space="0" w:color="auto"/>
              <w:left w:val="nil"/>
              <w:bottom w:val="single" w:sz="12" w:space="0" w:color="auto"/>
              <w:right w:val="nil"/>
            </w:tcBorders>
            <w:shd w:val="clear" w:color="auto" w:fill="auto"/>
            <w:vAlign w:val="bottom"/>
          </w:tcPr>
          <w:p w14:paraId="21715089" w14:textId="77777777" w:rsidR="004E2F51" w:rsidRPr="00B91D09" w:rsidRDefault="004E2F51" w:rsidP="00E032FC">
            <w:pPr>
              <w:jc w:val="right"/>
              <w:rPr>
                <w:rFonts w:ascii="Arial" w:hAnsi="Arial" w:cs="Arial"/>
                <w:b/>
                <w:bCs/>
                <w:color w:val="000000" w:themeColor="text1"/>
                <w:sz w:val="18"/>
                <w:szCs w:val="18"/>
                <w:lang w:val="hr-HR"/>
              </w:rPr>
            </w:pPr>
            <w:r w:rsidRPr="00B91D09">
              <w:rPr>
                <w:rFonts w:ascii="Arial" w:hAnsi="Arial" w:cs="Arial"/>
                <w:b/>
                <w:bCs/>
                <w:color w:val="000000" w:themeColor="text1"/>
                <w:sz w:val="18"/>
                <w:szCs w:val="18"/>
                <w:lang w:val="hr-HR"/>
              </w:rPr>
              <w:t>(6.664)</w:t>
            </w:r>
          </w:p>
        </w:tc>
      </w:tr>
      <w:tr w:rsidR="004E2F51" w:rsidRPr="00B91D09" w14:paraId="37DA77A7" w14:textId="77777777" w:rsidTr="00E032FC">
        <w:trPr>
          <w:trHeight w:val="96"/>
        </w:trPr>
        <w:tc>
          <w:tcPr>
            <w:tcW w:w="6237" w:type="dxa"/>
            <w:tcBorders>
              <w:left w:val="nil"/>
              <w:bottom w:val="nil"/>
              <w:right w:val="nil"/>
            </w:tcBorders>
            <w:shd w:val="clear" w:color="auto" w:fill="auto"/>
            <w:vAlign w:val="bottom"/>
          </w:tcPr>
          <w:p w14:paraId="02E3742B"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6AEC53F6" w14:textId="77777777" w:rsidR="004E2F51" w:rsidRPr="00B91D09" w:rsidRDefault="004E2F51" w:rsidP="00E032F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075DE302" w14:textId="77777777" w:rsidR="004E2F51" w:rsidRPr="00B91D09" w:rsidRDefault="004E2F51" w:rsidP="00E032FC">
            <w:pPr>
              <w:spacing w:line="140" w:lineRule="exact"/>
              <w:jc w:val="right"/>
              <w:rPr>
                <w:rFonts w:ascii="Arial" w:hAnsi="Arial" w:cs="Arial"/>
                <w:color w:val="000000" w:themeColor="text1"/>
                <w:sz w:val="18"/>
                <w:szCs w:val="18"/>
                <w:lang w:val="hr-HR"/>
              </w:rPr>
            </w:pPr>
          </w:p>
        </w:tc>
      </w:tr>
      <w:tr w:rsidR="004E2F51" w:rsidRPr="00B91D09" w14:paraId="27EA985E" w14:textId="77777777" w:rsidTr="00E032FC">
        <w:trPr>
          <w:trHeight w:val="187"/>
        </w:trPr>
        <w:tc>
          <w:tcPr>
            <w:tcW w:w="6237" w:type="dxa"/>
            <w:tcBorders>
              <w:left w:val="nil"/>
              <w:bottom w:val="nil"/>
              <w:right w:val="nil"/>
            </w:tcBorders>
            <w:shd w:val="clear" w:color="auto" w:fill="auto"/>
            <w:vAlign w:val="bottom"/>
          </w:tcPr>
          <w:p w14:paraId="532D16C9" w14:textId="77777777" w:rsidR="004E2F51" w:rsidRPr="00E86836" w:rsidRDefault="004E2F51" w:rsidP="00E032FC">
            <w:pPr>
              <w:rPr>
                <w:rFonts w:ascii="Arial" w:hAnsi="Arial" w:cs="Arial"/>
                <w:b/>
                <w:color w:val="000000" w:themeColor="text1"/>
                <w:sz w:val="18"/>
                <w:szCs w:val="18"/>
                <w:lang w:val="hr-HR"/>
              </w:rPr>
            </w:pPr>
            <w:r w:rsidRPr="00E86836">
              <w:rPr>
                <w:rFonts w:ascii="Arial" w:hAnsi="Arial" w:cs="Arial"/>
                <w:b/>
                <w:color w:val="000000" w:themeColor="text1"/>
                <w:sz w:val="18"/>
                <w:szCs w:val="18"/>
                <w:lang w:val="hr-HR"/>
              </w:rPr>
              <w:t>Financijske aktivnosti</w:t>
            </w:r>
          </w:p>
        </w:tc>
        <w:tc>
          <w:tcPr>
            <w:tcW w:w="1276" w:type="dxa"/>
            <w:tcBorders>
              <w:left w:val="nil"/>
              <w:bottom w:val="nil"/>
              <w:right w:val="nil"/>
            </w:tcBorders>
            <w:shd w:val="clear" w:color="auto" w:fill="auto"/>
            <w:noWrap/>
            <w:vAlign w:val="bottom"/>
          </w:tcPr>
          <w:p w14:paraId="03D0040D" w14:textId="77777777" w:rsidR="004E2F51" w:rsidRPr="00B91D09" w:rsidRDefault="004E2F51" w:rsidP="00E032FC">
            <w:pPr>
              <w:jc w:val="right"/>
              <w:rPr>
                <w:rFonts w:ascii="Arial" w:hAnsi="Arial" w:cs="Arial"/>
                <w:color w:val="000000" w:themeColor="text1"/>
                <w:sz w:val="18"/>
                <w:szCs w:val="18"/>
                <w:lang w:val="hr-HR"/>
              </w:rPr>
            </w:pPr>
          </w:p>
        </w:tc>
        <w:tc>
          <w:tcPr>
            <w:tcW w:w="1134" w:type="dxa"/>
            <w:tcBorders>
              <w:left w:val="nil"/>
              <w:bottom w:val="nil"/>
              <w:right w:val="nil"/>
            </w:tcBorders>
            <w:shd w:val="clear" w:color="auto" w:fill="auto"/>
            <w:vAlign w:val="bottom"/>
          </w:tcPr>
          <w:p w14:paraId="5E3810D5" w14:textId="77777777" w:rsidR="004E2F51" w:rsidRPr="00B91D09" w:rsidRDefault="004E2F51" w:rsidP="00E032FC">
            <w:pPr>
              <w:jc w:val="right"/>
              <w:rPr>
                <w:rFonts w:ascii="Arial" w:hAnsi="Arial" w:cs="Arial"/>
                <w:color w:val="000000" w:themeColor="text1"/>
                <w:sz w:val="18"/>
                <w:szCs w:val="18"/>
                <w:lang w:val="hr-HR"/>
              </w:rPr>
            </w:pPr>
          </w:p>
        </w:tc>
      </w:tr>
      <w:tr w:rsidR="004E2F51" w:rsidRPr="00B91D09" w14:paraId="3247DEC9" w14:textId="77777777" w:rsidTr="00E032FC">
        <w:trPr>
          <w:trHeight w:val="187"/>
        </w:trPr>
        <w:tc>
          <w:tcPr>
            <w:tcW w:w="6237" w:type="dxa"/>
            <w:tcBorders>
              <w:left w:val="nil"/>
              <w:bottom w:val="nil"/>
              <w:right w:val="nil"/>
            </w:tcBorders>
            <w:shd w:val="clear" w:color="auto" w:fill="auto"/>
            <w:vAlign w:val="bottom"/>
          </w:tcPr>
          <w:p w14:paraId="6DE41195" w14:textId="77777777" w:rsidR="004E2F51" w:rsidRPr="00B91D09" w:rsidRDefault="004E2F51" w:rsidP="00E032FC">
            <w:pPr>
              <w:rPr>
                <w:rFonts w:ascii="Arial" w:hAnsi="Arial" w:cs="Arial"/>
                <w:color w:val="000000" w:themeColor="text1"/>
                <w:sz w:val="18"/>
                <w:szCs w:val="18"/>
                <w:lang w:val="hr-HR"/>
              </w:rPr>
            </w:pPr>
            <w:r w:rsidRPr="00E86836">
              <w:rPr>
                <w:rFonts w:ascii="Arial" w:hAnsi="Arial" w:cs="Arial"/>
                <w:color w:val="000000" w:themeColor="text1"/>
                <w:sz w:val="18"/>
                <w:szCs w:val="18"/>
                <w:lang w:val="hr-HR"/>
              </w:rPr>
              <w:t>Neto povećanje osnivačkog kapitala</w:t>
            </w:r>
          </w:p>
        </w:tc>
        <w:tc>
          <w:tcPr>
            <w:tcW w:w="1276" w:type="dxa"/>
            <w:tcBorders>
              <w:left w:val="nil"/>
              <w:bottom w:val="single" w:sz="4" w:space="0" w:color="auto"/>
              <w:right w:val="nil"/>
            </w:tcBorders>
            <w:shd w:val="clear" w:color="auto" w:fill="auto"/>
            <w:noWrap/>
            <w:vAlign w:val="bottom"/>
          </w:tcPr>
          <w:p w14:paraId="61836D40" w14:textId="77777777" w:rsidR="004E2F51" w:rsidRPr="00B91D09" w:rsidRDefault="004E2F51" w:rsidP="00E032FC">
            <w:pPr>
              <w:jc w:val="right"/>
              <w:rPr>
                <w:rFonts w:ascii="Arial" w:hAnsi="Arial" w:cs="Arial"/>
                <w:color w:val="000000" w:themeColor="text1"/>
                <w:sz w:val="18"/>
                <w:szCs w:val="18"/>
                <w:lang w:val="hr-HR"/>
              </w:rPr>
            </w:pPr>
            <w:r w:rsidRPr="009D1B23">
              <w:rPr>
                <w:rFonts w:ascii="Arial" w:hAnsi="Arial" w:cs="Arial"/>
                <w:color w:val="000000" w:themeColor="text1"/>
                <w:sz w:val="18"/>
                <w:szCs w:val="18"/>
                <w:lang w:val="hr-HR"/>
              </w:rPr>
              <w:t>20.000</w:t>
            </w:r>
          </w:p>
        </w:tc>
        <w:tc>
          <w:tcPr>
            <w:tcW w:w="1134" w:type="dxa"/>
            <w:tcBorders>
              <w:left w:val="nil"/>
              <w:bottom w:val="single" w:sz="4" w:space="0" w:color="auto"/>
              <w:right w:val="nil"/>
            </w:tcBorders>
            <w:shd w:val="clear" w:color="auto" w:fill="auto"/>
            <w:vAlign w:val="bottom"/>
          </w:tcPr>
          <w:p w14:paraId="0A030E4A" w14:textId="77777777" w:rsidR="004E2F51" w:rsidRPr="00B91D09" w:rsidRDefault="004E2F51" w:rsidP="00E032FC">
            <w:pPr>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r>
      <w:tr w:rsidR="004E2F51" w:rsidRPr="00B91D09" w14:paraId="6695D30E" w14:textId="77777777" w:rsidTr="00E032FC">
        <w:trPr>
          <w:trHeight w:val="187"/>
        </w:trPr>
        <w:tc>
          <w:tcPr>
            <w:tcW w:w="6237" w:type="dxa"/>
            <w:tcBorders>
              <w:left w:val="nil"/>
              <w:bottom w:val="nil"/>
              <w:right w:val="nil"/>
            </w:tcBorders>
            <w:shd w:val="clear" w:color="auto" w:fill="auto"/>
            <w:vAlign w:val="bottom"/>
          </w:tcPr>
          <w:p w14:paraId="0A3A9DD0" w14:textId="77777777" w:rsidR="004E2F51" w:rsidRPr="00E86836" w:rsidRDefault="004E2F51" w:rsidP="00E032FC">
            <w:pPr>
              <w:rPr>
                <w:rFonts w:ascii="Arial" w:hAnsi="Arial" w:cs="Arial"/>
                <w:b/>
                <w:bCs/>
                <w:color w:val="000000" w:themeColor="text1"/>
                <w:sz w:val="18"/>
                <w:szCs w:val="18"/>
                <w:lang w:val="hr-HR"/>
              </w:rPr>
            </w:pPr>
            <w:r w:rsidRPr="009D1B23">
              <w:rPr>
                <w:rFonts w:ascii="Arial" w:hAnsi="Arial" w:cs="Arial"/>
                <w:b/>
                <w:bCs/>
                <w:color w:val="000000" w:themeColor="text1"/>
                <w:sz w:val="18"/>
                <w:szCs w:val="18"/>
                <w:lang w:val="hr-HR"/>
              </w:rPr>
              <w:t xml:space="preserve">Neto novčana sredstva ostvarena </w:t>
            </w:r>
            <w:r>
              <w:rPr>
                <w:rFonts w:ascii="Arial" w:hAnsi="Arial" w:cs="Arial"/>
                <w:b/>
                <w:bCs/>
                <w:color w:val="000000" w:themeColor="text1"/>
                <w:sz w:val="18"/>
                <w:szCs w:val="18"/>
                <w:lang w:val="hr-HR"/>
              </w:rPr>
              <w:t xml:space="preserve">u </w:t>
            </w:r>
            <w:r w:rsidRPr="009D1B23">
              <w:rPr>
                <w:rFonts w:ascii="Arial" w:hAnsi="Arial" w:cs="Arial"/>
                <w:b/>
                <w:bCs/>
                <w:color w:val="000000" w:themeColor="text1"/>
                <w:sz w:val="18"/>
                <w:szCs w:val="18"/>
                <w:lang w:val="hr-HR"/>
              </w:rPr>
              <w:t>financijskim aktivnostima</w:t>
            </w:r>
          </w:p>
        </w:tc>
        <w:tc>
          <w:tcPr>
            <w:tcW w:w="1276" w:type="dxa"/>
            <w:tcBorders>
              <w:top w:val="single" w:sz="4" w:space="0" w:color="auto"/>
              <w:left w:val="nil"/>
              <w:bottom w:val="single" w:sz="12" w:space="0" w:color="auto"/>
              <w:right w:val="nil"/>
            </w:tcBorders>
            <w:shd w:val="clear" w:color="auto" w:fill="auto"/>
            <w:noWrap/>
            <w:vAlign w:val="bottom"/>
          </w:tcPr>
          <w:p w14:paraId="05C4F168" w14:textId="77777777" w:rsidR="004E2F51" w:rsidRPr="009D1B23" w:rsidRDefault="004E2F51" w:rsidP="00E032FC">
            <w:pPr>
              <w:jc w:val="right"/>
              <w:rPr>
                <w:rFonts w:ascii="Arial" w:hAnsi="Arial" w:cs="Arial"/>
                <w:b/>
                <w:bCs/>
                <w:color w:val="000000" w:themeColor="text1"/>
                <w:sz w:val="18"/>
                <w:szCs w:val="18"/>
                <w:lang w:val="hr-HR"/>
              </w:rPr>
            </w:pPr>
            <w:r w:rsidRPr="009D1B23">
              <w:rPr>
                <w:rFonts w:ascii="Arial" w:hAnsi="Arial" w:cs="Arial"/>
                <w:b/>
                <w:bCs/>
                <w:color w:val="000000" w:themeColor="text1"/>
                <w:sz w:val="18"/>
                <w:szCs w:val="18"/>
                <w:lang w:val="hr-HR"/>
              </w:rPr>
              <w:t>20.000</w:t>
            </w:r>
          </w:p>
        </w:tc>
        <w:tc>
          <w:tcPr>
            <w:tcW w:w="1134" w:type="dxa"/>
            <w:tcBorders>
              <w:top w:val="single" w:sz="4" w:space="0" w:color="auto"/>
              <w:left w:val="nil"/>
              <w:bottom w:val="single" w:sz="12" w:space="0" w:color="auto"/>
              <w:right w:val="nil"/>
            </w:tcBorders>
            <w:shd w:val="clear" w:color="auto" w:fill="auto"/>
            <w:vAlign w:val="bottom"/>
          </w:tcPr>
          <w:p w14:paraId="6F6DE923" w14:textId="77777777" w:rsidR="004E2F51" w:rsidRPr="009D1B23" w:rsidRDefault="004E2F51" w:rsidP="00E032FC">
            <w:pPr>
              <w:jc w:val="right"/>
              <w:rPr>
                <w:rFonts w:ascii="Arial" w:hAnsi="Arial" w:cs="Arial"/>
                <w:b/>
                <w:bCs/>
                <w:color w:val="000000" w:themeColor="text1"/>
                <w:sz w:val="18"/>
                <w:szCs w:val="18"/>
                <w:lang w:val="hr-HR"/>
              </w:rPr>
            </w:pPr>
            <w:r>
              <w:rPr>
                <w:rFonts w:ascii="Arial" w:hAnsi="Arial" w:cs="Arial"/>
                <w:b/>
                <w:bCs/>
                <w:color w:val="000000" w:themeColor="text1"/>
                <w:sz w:val="18"/>
                <w:szCs w:val="18"/>
                <w:lang w:val="hr-HR"/>
              </w:rPr>
              <w:t>-</w:t>
            </w:r>
          </w:p>
        </w:tc>
      </w:tr>
      <w:tr w:rsidR="004E2F51" w:rsidRPr="00B91D09" w14:paraId="5D8244EF" w14:textId="77777777" w:rsidTr="00E032FC">
        <w:trPr>
          <w:trHeight w:val="96"/>
        </w:trPr>
        <w:tc>
          <w:tcPr>
            <w:tcW w:w="6237" w:type="dxa"/>
            <w:tcBorders>
              <w:left w:val="nil"/>
              <w:bottom w:val="nil"/>
              <w:right w:val="nil"/>
            </w:tcBorders>
            <w:shd w:val="clear" w:color="auto" w:fill="auto"/>
            <w:vAlign w:val="bottom"/>
          </w:tcPr>
          <w:p w14:paraId="1CCEBD4B"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4240ADBA" w14:textId="77777777" w:rsidR="004E2F51" w:rsidRPr="00B91D09" w:rsidRDefault="004E2F51" w:rsidP="00E032F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46559D59" w14:textId="77777777" w:rsidR="004E2F51" w:rsidRPr="00B91D09" w:rsidRDefault="004E2F51" w:rsidP="00E032FC">
            <w:pPr>
              <w:spacing w:line="140" w:lineRule="exact"/>
              <w:jc w:val="right"/>
              <w:rPr>
                <w:rFonts w:ascii="Arial" w:hAnsi="Arial" w:cs="Arial"/>
                <w:color w:val="000000" w:themeColor="text1"/>
                <w:sz w:val="18"/>
                <w:szCs w:val="18"/>
                <w:lang w:val="hr-HR"/>
              </w:rPr>
            </w:pPr>
          </w:p>
        </w:tc>
      </w:tr>
      <w:tr w:rsidR="004E2F51" w:rsidRPr="0002282A" w14:paraId="48C9C48D" w14:textId="77777777" w:rsidTr="00E032FC">
        <w:trPr>
          <w:trHeight w:val="164"/>
        </w:trPr>
        <w:tc>
          <w:tcPr>
            <w:tcW w:w="6237" w:type="dxa"/>
            <w:tcBorders>
              <w:top w:val="nil"/>
              <w:left w:val="nil"/>
              <w:right w:val="nil"/>
            </w:tcBorders>
            <w:shd w:val="clear" w:color="auto" w:fill="auto"/>
            <w:vAlign w:val="bottom"/>
          </w:tcPr>
          <w:p w14:paraId="699B6A5A" w14:textId="77777777" w:rsidR="004E2F51" w:rsidRPr="00B91D09" w:rsidRDefault="004E2F51" w:rsidP="00E032F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Učinci promjene tečajeva na novac i novčane ekvivalente</w:t>
            </w:r>
          </w:p>
        </w:tc>
        <w:tc>
          <w:tcPr>
            <w:tcW w:w="1276" w:type="dxa"/>
            <w:shd w:val="clear" w:color="auto" w:fill="auto"/>
            <w:noWrap/>
            <w:vAlign w:val="bottom"/>
          </w:tcPr>
          <w:p w14:paraId="0A4BDD42" w14:textId="77777777" w:rsidR="004E2F51" w:rsidRPr="00B91D09" w:rsidRDefault="004E2F51" w:rsidP="00E032FC">
            <w:pPr>
              <w:jc w:val="right"/>
              <w:rPr>
                <w:rFonts w:ascii="Arial" w:hAnsi="Arial" w:cs="Arial"/>
                <w:color w:val="000000" w:themeColor="text1"/>
                <w:sz w:val="18"/>
                <w:szCs w:val="18"/>
                <w:lang w:val="hr-HR"/>
              </w:rPr>
            </w:pPr>
          </w:p>
        </w:tc>
        <w:tc>
          <w:tcPr>
            <w:tcW w:w="1134" w:type="dxa"/>
            <w:shd w:val="clear" w:color="auto" w:fill="auto"/>
            <w:vAlign w:val="bottom"/>
          </w:tcPr>
          <w:p w14:paraId="1B73E94C" w14:textId="77777777" w:rsidR="004E2F51" w:rsidRPr="00B91D09" w:rsidRDefault="004E2F51" w:rsidP="00E032FC">
            <w:pPr>
              <w:jc w:val="right"/>
              <w:rPr>
                <w:rFonts w:ascii="Arial" w:hAnsi="Arial" w:cs="Arial"/>
                <w:color w:val="000000" w:themeColor="text1"/>
                <w:sz w:val="18"/>
                <w:szCs w:val="18"/>
                <w:lang w:val="hr-HR"/>
              </w:rPr>
            </w:pPr>
          </w:p>
        </w:tc>
      </w:tr>
      <w:tr w:rsidR="004E2F51" w:rsidRPr="00B91D09" w14:paraId="42788719" w14:textId="77777777" w:rsidTr="00E032FC">
        <w:trPr>
          <w:trHeight w:val="164"/>
        </w:trPr>
        <w:tc>
          <w:tcPr>
            <w:tcW w:w="6237" w:type="dxa"/>
            <w:tcBorders>
              <w:top w:val="nil"/>
              <w:left w:val="nil"/>
              <w:right w:val="nil"/>
            </w:tcBorders>
            <w:shd w:val="clear" w:color="auto" w:fill="auto"/>
            <w:vAlign w:val="bottom"/>
          </w:tcPr>
          <w:p w14:paraId="7F863B0C"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 xml:space="preserve">Neto tečajne razlike </w:t>
            </w:r>
          </w:p>
        </w:tc>
        <w:tc>
          <w:tcPr>
            <w:tcW w:w="1276" w:type="dxa"/>
            <w:shd w:val="clear" w:color="auto" w:fill="auto"/>
            <w:noWrap/>
            <w:vAlign w:val="bottom"/>
          </w:tcPr>
          <w:p w14:paraId="5B9435CA"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(71)</w:t>
            </w:r>
          </w:p>
        </w:tc>
        <w:tc>
          <w:tcPr>
            <w:tcW w:w="1134" w:type="dxa"/>
            <w:shd w:val="clear" w:color="auto" w:fill="auto"/>
            <w:vAlign w:val="bottom"/>
          </w:tcPr>
          <w:p w14:paraId="5FE07F17"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56</w:t>
            </w:r>
          </w:p>
        </w:tc>
      </w:tr>
      <w:tr w:rsidR="004E2F51" w:rsidRPr="00B91D09" w14:paraId="4B10933A" w14:textId="77777777" w:rsidTr="00E032FC">
        <w:trPr>
          <w:trHeight w:val="164"/>
        </w:trPr>
        <w:tc>
          <w:tcPr>
            <w:tcW w:w="6237" w:type="dxa"/>
            <w:tcBorders>
              <w:top w:val="nil"/>
              <w:left w:val="nil"/>
              <w:right w:val="nil"/>
            </w:tcBorders>
            <w:shd w:val="clear" w:color="auto" w:fill="auto"/>
            <w:vAlign w:val="bottom"/>
          </w:tcPr>
          <w:p w14:paraId="24E39995" w14:textId="77777777" w:rsidR="004E2F51" w:rsidRPr="00B91D09" w:rsidRDefault="004E2F51" w:rsidP="00E032F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Neto učinak</w:t>
            </w:r>
          </w:p>
        </w:tc>
        <w:tc>
          <w:tcPr>
            <w:tcW w:w="1276" w:type="dxa"/>
            <w:tcBorders>
              <w:top w:val="single" w:sz="4" w:space="0" w:color="auto"/>
              <w:left w:val="nil"/>
              <w:bottom w:val="nil"/>
              <w:right w:val="nil"/>
            </w:tcBorders>
            <w:shd w:val="clear" w:color="auto" w:fill="auto"/>
            <w:noWrap/>
            <w:vAlign w:val="bottom"/>
          </w:tcPr>
          <w:p w14:paraId="4A87B841" w14:textId="77777777" w:rsidR="004E2F51" w:rsidRPr="00B91D09" w:rsidRDefault="004E2F51" w:rsidP="00E032FC">
            <w:pPr>
              <w:jc w:val="right"/>
              <w:rPr>
                <w:rFonts w:ascii="Arial" w:hAnsi="Arial" w:cs="Arial"/>
                <w:b/>
                <w:color w:val="000000" w:themeColor="text1"/>
                <w:sz w:val="18"/>
                <w:szCs w:val="18"/>
                <w:lang w:val="hr-HR"/>
              </w:rPr>
            </w:pPr>
            <w:r w:rsidRPr="00E86836">
              <w:rPr>
                <w:rFonts w:ascii="Arial" w:hAnsi="Arial" w:cs="Arial"/>
                <w:b/>
                <w:color w:val="000000" w:themeColor="text1"/>
                <w:sz w:val="18"/>
                <w:szCs w:val="18"/>
                <w:lang w:val="hr-HR"/>
              </w:rPr>
              <w:t>(71)</w:t>
            </w:r>
          </w:p>
        </w:tc>
        <w:tc>
          <w:tcPr>
            <w:tcW w:w="1134" w:type="dxa"/>
            <w:tcBorders>
              <w:top w:val="single" w:sz="4" w:space="0" w:color="auto"/>
              <w:left w:val="nil"/>
              <w:bottom w:val="nil"/>
              <w:right w:val="nil"/>
            </w:tcBorders>
            <w:shd w:val="clear" w:color="auto" w:fill="auto"/>
            <w:vAlign w:val="bottom"/>
          </w:tcPr>
          <w:p w14:paraId="53B46842" w14:textId="77777777" w:rsidR="004E2F51" w:rsidRPr="00B91D09" w:rsidRDefault="004E2F51" w:rsidP="00E032FC">
            <w:pPr>
              <w:jc w:val="right"/>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56</w:t>
            </w:r>
          </w:p>
        </w:tc>
      </w:tr>
      <w:tr w:rsidR="004E2F51" w:rsidRPr="00B91D09" w14:paraId="6BBF3C73" w14:textId="77777777" w:rsidTr="00E032FC">
        <w:trPr>
          <w:trHeight w:val="56"/>
        </w:trPr>
        <w:tc>
          <w:tcPr>
            <w:tcW w:w="6237" w:type="dxa"/>
            <w:tcBorders>
              <w:top w:val="nil"/>
              <w:left w:val="nil"/>
              <w:right w:val="nil"/>
            </w:tcBorders>
            <w:shd w:val="clear" w:color="auto" w:fill="auto"/>
            <w:vAlign w:val="bottom"/>
          </w:tcPr>
          <w:p w14:paraId="55ECFD73"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276" w:type="dxa"/>
            <w:tcBorders>
              <w:top w:val="single" w:sz="12" w:space="0" w:color="auto"/>
              <w:left w:val="nil"/>
              <w:bottom w:val="nil"/>
              <w:right w:val="nil"/>
            </w:tcBorders>
            <w:shd w:val="clear" w:color="auto" w:fill="auto"/>
            <w:noWrap/>
            <w:vAlign w:val="bottom"/>
          </w:tcPr>
          <w:p w14:paraId="7FC3F566" w14:textId="77777777" w:rsidR="004E2F51" w:rsidRPr="00B91D09" w:rsidRDefault="004E2F51" w:rsidP="00E032FC">
            <w:pPr>
              <w:spacing w:line="140" w:lineRule="exact"/>
              <w:jc w:val="right"/>
              <w:rPr>
                <w:rFonts w:ascii="Arial" w:hAnsi="Arial" w:cs="Arial"/>
                <w:color w:val="000000" w:themeColor="text1"/>
                <w:sz w:val="18"/>
                <w:szCs w:val="18"/>
                <w:lang w:val="hr-HR"/>
              </w:rPr>
            </w:pPr>
          </w:p>
        </w:tc>
        <w:tc>
          <w:tcPr>
            <w:tcW w:w="1134" w:type="dxa"/>
            <w:tcBorders>
              <w:top w:val="single" w:sz="12" w:space="0" w:color="auto"/>
              <w:left w:val="nil"/>
              <w:bottom w:val="nil"/>
              <w:right w:val="nil"/>
            </w:tcBorders>
            <w:shd w:val="clear" w:color="auto" w:fill="auto"/>
            <w:vAlign w:val="bottom"/>
          </w:tcPr>
          <w:p w14:paraId="1BAA34FB" w14:textId="77777777" w:rsidR="004E2F51" w:rsidRPr="00B91D09" w:rsidRDefault="004E2F51" w:rsidP="00E032FC">
            <w:pPr>
              <w:spacing w:line="140" w:lineRule="exact"/>
              <w:jc w:val="right"/>
              <w:rPr>
                <w:rFonts w:ascii="Arial" w:hAnsi="Arial" w:cs="Arial"/>
                <w:color w:val="000000" w:themeColor="text1"/>
                <w:sz w:val="18"/>
                <w:szCs w:val="18"/>
                <w:lang w:val="hr-HR"/>
              </w:rPr>
            </w:pPr>
          </w:p>
        </w:tc>
      </w:tr>
      <w:tr w:rsidR="004E2F51" w:rsidRPr="00B91D09" w14:paraId="55229DFA" w14:textId="77777777" w:rsidTr="00E032FC">
        <w:trPr>
          <w:trHeight w:val="164"/>
        </w:trPr>
        <w:tc>
          <w:tcPr>
            <w:tcW w:w="6237" w:type="dxa"/>
            <w:tcBorders>
              <w:top w:val="nil"/>
              <w:left w:val="nil"/>
              <w:right w:val="nil"/>
            </w:tcBorders>
            <w:shd w:val="clear" w:color="auto" w:fill="auto"/>
            <w:vAlign w:val="bottom"/>
          </w:tcPr>
          <w:p w14:paraId="227EFB9E"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 xml:space="preserve">Neto </w:t>
            </w:r>
            <w:r w:rsidRPr="00E86836">
              <w:rPr>
                <w:rFonts w:ascii="Arial" w:hAnsi="Arial" w:cs="Arial"/>
                <w:color w:val="000000" w:themeColor="text1"/>
                <w:sz w:val="18"/>
                <w:szCs w:val="18"/>
                <w:lang w:val="hr-HR"/>
              </w:rPr>
              <w:t>povećanje/(smanjenje)</w:t>
            </w:r>
            <w:r w:rsidRPr="00B91D09">
              <w:rPr>
                <w:rFonts w:ascii="Arial" w:hAnsi="Arial" w:cs="Arial"/>
                <w:color w:val="000000" w:themeColor="text1"/>
                <w:sz w:val="18"/>
                <w:szCs w:val="18"/>
                <w:lang w:val="hr-HR"/>
              </w:rPr>
              <w:t xml:space="preserve"> novca i novčanih ekvivalenata</w:t>
            </w:r>
          </w:p>
        </w:tc>
        <w:tc>
          <w:tcPr>
            <w:tcW w:w="1276" w:type="dxa"/>
            <w:shd w:val="clear" w:color="auto" w:fill="auto"/>
            <w:noWrap/>
            <w:vAlign w:val="bottom"/>
          </w:tcPr>
          <w:p w14:paraId="7C87AF57"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2.033</w:t>
            </w:r>
          </w:p>
        </w:tc>
        <w:tc>
          <w:tcPr>
            <w:tcW w:w="1134" w:type="dxa"/>
            <w:shd w:val="clear" w:color="auto" w:fill="auto"/>
            <w:vAlign w:val="bottom"/>
          </w:tcPr>
          <w:p w14:paraId="7C5E9FBA"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(2.593)</w:t>
            </w:r>
          </w:p>
        </w:tc>
      </w:tr>
      <w:tr w:rsidR="004E2F51" w:rsidRPr="00B91D09" w14:paraId="37EF5502" w14:textId="77777777" w:rsidTr="00E032FC">
        <w:trPr>
          <w:trHeight w:val="66"/>
        </w:trPr>
        <w:tc>
          <w:tcPr>
            <w:tcW w:w="6237" w:type="dxa"/>
            <w:tcBorders>
              <w:top w:val="nil"/>
              <w:left w:val="nil"/>
              <w:right w:val="nil"/>
            </w:tcBorders>
            <w:shd w:val="clear" w:color="auto" w:fill="auto"/>
            <w:vAlign w:val="bottom"/>
          </w:tcPr>
          <w:p w14:paraId="2C135FF4"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276" w:type="dxa"/>
            <w:shd w:val="clear" w:color="auto" w:fill="auto"/>
            <w:noWrap/>
            <w:vAlign w:val="bottom"/>
          </w:tcPr>
          <w:p w14:paraId="7E54EF33" w14:textId="77777777" w:rsidR="004E2F51" w:rsidRPr="00B91D09" w:rsidRDefault="004E2F51" w:rsidP="00E032FC">
            <w:pPr>
              <w:spacing w:line="140" w:lineRule="exact"/>
              <w:jc w:val="right"/>
              <w:rPr>
                <w:rFonts w:ascii="Arial" w:hAnsi="Arial" w:cs="Arial"/>
                <w:color w:val="000000" w:themeColor="text1"/>
                <w:sz w:val="18"/>
                <w:szCs w:val="18"/>
                <w:lang w:val="hr-HR"/>
              </w:rPr>
            </w:pPr>
          </w:p>
        </w:tc>
        <w:tc>
          <w:tcPr>
            <w:tcW w:w="1134" w:type="dxa"/>
            <w:shd w:val="clear" w:color="auto" w:fill="auto"/>
            <w:vAlign w:val="bottom"/>
          </w:tcPr>
          <w:p w14:paraId="1B697662" w14:textId="77777777" w:rsidR="004E2F51" w:rsidRPr="00B91D09" w:rsidRDefault="004E2F51" w:rsidP="00E032FC">
            <w:pPr>
              <w:spacing w:line="140" w:lineRule="exact"/>
              <w:jc w:val="right"/>
              <w:rPr>
                <w:rFonts w:ascii="Arial" w:hAnsi="Arial" w:cs="Arial"/>
                <w:color w:val="000000" w:themeColor="text1"/>
                <w:sz w:val="18"/>
                <w:szCs w:val="18"/>
                <w:lang w:val="hr-HR"/>
              </w:rPr>
            </w:pPr>
          </w:p>
        </w:tc>
      </w:tr>
      <w:tr w:rsidR="004E2F51" w:rsidRPr="00B91D09" w14:paraId="7D7A241F" w14:textId="77777777" w:rsidTr="00E032FC">
        <w:trPr>
          <w:trHeight w:val="164"/>
        </w:trPr>
        <w:tc>
          <w:tcPr>
            <w:tcW w:w="6237" w:type="dxa"/>
            <w:tcBorders>
              <w:top w:val="nil"/>
              <w:left w:val="nil"/>
              <w:right w:val="nil"/>
            </w:tcBorders>
            <w:shd w:val="clear" w:color="auto" w:fill="auto"/>
            <w:vAlign w:val="bottom"/>
          </w:tcPr>
          <w:p w14:paraId="739D0B89"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Stanje na dan 1. siječnja</w:t>
            </w:r>
          </w:p>
        </w:tc>
        <w:tc>
          <w:tcPr>
            <w:tcW w:w="1276" w:type="dxa"/>
            <w:shd w:val="clear" w:color="auto" w:fill="auto"/>
            <w:noWrap/>
            <w:vAlign w:val="bottom"/>
          </w:tcPr>
          <w:p w14:paraId="6AD0707E"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3.371</w:t>
            </w:r>
          </w:p>
        </w:tc>
        <w:tc>
          <w:tcPr>
            <w:tcW w:w="1134" w:type="dxa"/>
            <w:shd w:val="clear" w:color="auto" w:fill="auto"/>
            <w:vAlign w:val="bottom"/>
          </w:tcPr>
          <w:p w14:paraId="59787700"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5.964</w:t>
            </w:r>
          </w:p>
        </w:tc>
      </w:tr>
      <w:tr w:rsidR="004E2F51" w:rsidRPr="00B91D09" w14:paraId="027A4649" w14:textId="77777777" w:rsidTr="00E032FC">
        <w:trPr>
          <w:trHeight w:val="164"/>
        </w:trPr>
        <w:tc>
          <w:tcPr>
            <w:tcW w:w="6237" w:type="dxa"/>
            <w:tcBorders>
              <w:top w:val="nil"/>
              <w:left w:val="nil"/>
              <w:right w:val="nil"/>
            </w:tcBorders>
            <w:shd w:val="clear" w:color="auto" w:fill="auto"/>
            <w:vAlign w:val="bottom"/>
          </w:tcPr>
          <w:p w14:paraId="51C8B365" w14:textId="77777777" w:rsidR="004E2F51" w:rsidRPr="00B91D09" w:rsidRDefault="004E2F51" w:rsidP="00E032FC">
            <w:pPr>
              <w:rPr>
                <w:rFonts w:ascii="Arial" w:hAnsi="Arial" w:cs="Arial"/>
                <w:color w:val="000000" w:themeColor="text1"/>
                <w:sz w:val="18"/>
                <w:szCs w:val="18"/>
                <w:lang w:val="hr-HR"/>
              </w:rPr>
            </w:pPr>
            <w:r w:rsidRPr="00B91D09">
              <w:rPr>
                <w:rFonts w:ascii="Arial" w:hAnsi="Arial" w:cs="Arial"/>
                <w:color w:val="000000" w:themeColor="text1"/>
                <w:sz w:val="18"/>
                <w:szCs w:val="18"/>
                <w:lang w:val="hr-HR"/>
              </w:rPr>
              <w:t xml:space="preserve">Neto </w:t>
            </w:r>
            <w:r w:rsidRPr="00E86836">
              <w:rPr>
                <w:rFonts w:ascii="Arial" w:hAnsi="Arial" w:cs="Arial"/>
                <w:color w:val="000000" w:themeColor="text1"/>
                <w:sz w:val="18"/>
                <w:szCs w:val="18"/>
                <w:lang w:val="hr-HR"/>
              </w:rPr>
              <w:t>povećanje/(smanjenje</w:t>
            </w:r>
            <w:r>
              <w:rPr>
                <w:rFonts w:ascii="Arial" w:hAnsi="Arial" w:cs="Arial"/>
                <w:color w:val="000000" w:themeColor="text1"/>
                <w:sz w:val="18"/>
                <w:szCs w:val="18"/>
                <w:lang w:val="hr-HR"/>
              </w:rPr>
              <w:t>)</w:t>
            </w:r>
            <w:r w:rsidRPr="00E86836">
              <w:rPr>
                <w:rFonts w:ascii="Arial" w:hAnsi="Arial" w:cs="Arial"/>
                <w:color w:val="000000" w:themeColor="text1"/>
                <w:sz w:val="18"/>
                <w:szCs w:val="18"/>
                <w:lang w:val="hr-HR"/>
              </w:rPr>
              <w:t xml:space="preserve"> </w:t>
            </w:r>
            <w:r w:rsidRPr="00B91D09">
              <w:rPr>
                <w:rFonts w:ascii="Arial" w:hAnsi="Arial" w:cs="Arial"/>
                <w:color w:val="000000" w:themeColor="text1"/>
                <w:sz w:val="18"/>
                <w:szCs w:val="18"/>
                <w:lang w:val="hr-HR"/>
              </w:rPr>
              <w:t>novca</w:t>
            </w:r>
          </w:p>
        </w:tc>
        <w:tc>
          <w:tcPr>
            <w:tcW w:w="1276" w:type="dxa"/>
            <w:shd w:val="clear" w:color="auto" w:fill="auto"/>
            <w:noWrap/>
            <w:vAlign w:val="bottom"/>
          </w:tcPr>
          <w:p w14:paraId="1B970688" w14:textId="77777777" w:rsidR="004E2F51" w:rsidRPr="00B91D09" w:rsidRDefault="004E2F51" w:rsidP="00E032FC">
            <w:pPr>
              <w:jc w:val="right"/>
              <w:rPr>
                <w:rFonts w:ascii="Arial" w:hAnsi="Arial" w:cs="Arial"/>
                <w:color w:val="000000" w:themeColor="text1"/>
                <w:sz w:val="18"/>
                <w:szCs w:val="18"/>
                <w:lang w:val="hr-HR"/>
              </w:rPr>
            </w:pPr>
            <w:r w:rsidRPr="00E86836">
              <w:rPr>
                <w:rFonts w:ascii="Arial" w:hAnsi="Arial" w:cs="Arial"/>
                <w:color w:val="000000" w:themeColor="text1"/>
                <w:sz w:val="18"/>
                <w:szCs w:val="18"/>
                <w:lang w:val="hr-HR"/>
              </w:rPr>
              <w:t>2.033</w:t>
            </w:r>
          </w:p>
        </w:tc>
        <w:tc>
          <w:tcPr>
            <w:tcW w:w="1134" w:type="dxa"/>
            <w:shd w:val="clear" w:color="auto" w:fill="auto"/>
            <w:vAlign w:val="bottom"/>
          </w:tcPr>
          <w:p w14:paraId="0BE244E9" w14:textId="77777777" w:rsidR="004E2F51" w:rsidRPr="00B91D09" w:rsidRDefault="004E2F51" w:rsidP="00E032FC">
            <w:pPr>
              <w:jc w:val="right"/>
              <w:rPr>
                <w:rFonts w:ascii="Arial" w:hAnsi="Arial" w:cs="Arial"/>
                <w:color w:val="000000" w:themeColor="text1"/>
                <w:sz w:val="18"/>
                <w:szCs w:val="18"/>
                <w:lang w:val="hr-HR"/>
              </w:rPr>
            </w:pPr>
            <w:r w:rsidRPr="00B91D09">
              <w:rPr>
                <w:rFonts w:ascii="Arial" w:hAnsi="Arial" w:cs="Arial"/>
                <w:color w:val="000000" w:themeColor="text1"/>
                <w:sz w:val="18"/>
                <w:szCs w:val="18"/>
                <w:lang w:val="hr-HR"/>
              </w:rPr>
              <w:t>(2.593)</w:t>
            </w:r>
          </w:p>
        </w:tc>
      </w:tr>
      <w:tr w:rsidR="004E2F51" w:rsidRPr="00B91D09" w14:paraId="04C95F02" w14:textId="77777777" w:rsidTr="00E032FC">
        <w:trPr>
          <w:trHeight w:val="66"/>
        </w:trPr>
        <w:tc>
          <w:tcPr>
            <w:tcW w:w="6237" w:type="dxa"/>
            <w:tcBorders>
              <w:top w:val="nil"/>
              <w:left w:val="nil"/>
              <w:right w:val="nil"/>
            </w:tcBorders>
            <w:shd w:val="clear" w:color="auto" w:fill="auto"/>
            <w:vAlign w:val="bottom"/>
          </w:tcPr>
          <w:p w14:paraId="27E7155E" w14:textId="77777777" w:rsidR="004E2F51" w:rsidRPr="00B91D09" w:rsidRDefault="004E2F51" w:rsidP="00E032FC">
            <w:pPr>
              <w:spacing w:line="140" w:lineRule="exact"/>
              <w:rPr>
                <w:rFonts w:ascii="Arial" w:hAnsi="Arial" w:cs="Arial"/>
                <w:color w:val="000000" w:themeColor="text1"/>
                <w:sz w:val="18"/>
                <w:szCs w:val="18"/>
                <w:lang w:val="hr-HR"/>
              </w:rPr>
            </w:pPr>
          </w:p>
        </w:tc>
        <w:tc>
          <w:tcPr>
            <w:tcW w:w="1276" w:type="dxa"/>
            <w:shd w:val="clear" w:color="auto" w:fill="auto"/>
            <w:noWrap/>
            <w:vAlign w:val="bottom"/>
          </w:tcPr>
          <w:p w14:paraId="672B8F7D" w14:textId="77777777" w:rsidR="004E2F51" w:rsidRPr="00B91D09" w:rsidRDefault="004E2F51" w:rsidP="00E032FC">
            <w:pPr>
              <w:spacing w:line="140" w:lineRule="exact"/>
              <w:jc w:val="right"/>
              <w:rPr>
                <w:rFonts w:ascii="Arial" w:hAnsi="Arial" w:cs="Arial"/>
                <w:color w:val="000000" w:themeColor="text1"/>
                <w:sz w:val="18"/>
                <w:szCs w:val="18"/>
                <w:lang w:val="hr-HR"/>
              </w:rPr>
            </w:pPr>
          </w:p>
        </w:tc>
        <w:tc>
          <w:tcPr>
            <w:tcW w:w="1134" w:type="dxa"/>
            <w:shd w:val="clear" w:color="auto" w:fill="auto"/>
            <w:vAlign w:val="bottom"/>
          </w:tcPr>
          <w:p w14:paraId="0D2CA52D" w14:textId="77777777" w:rsidR="004E2F51" w:rsidRPr="00B91D09" w:rsidRDefault="004E2F51" w:rsidP="00E032FC">
            <w:pPr>
              <w:spacing w:line="140" w:lineRule="exact"/>
              <w:jc w:val="right"/>
              <w:rPr>
                <w:rFonts w:ascii="Arial" w:hAnsi="Arial" w:cs="Arial"/>
                <w:color w:val="000000" w:themeColor="text1"/>
                <w:sz w:val="18"/>
                <w:szCs w:val="18"/>
                <w:lang w:val="hr-HR"/>
              </w:rPr>
            </w:pPr>
          </w:p>
        </w:tc>
      </w:tr>
      <w:tr w:rsidR="004E2F51" w:rsidRPr="00B91D09" w14:paraId="4955FA24" w14:textId="77777777" w:rsidTr="00E032FC">
        <w:trPr>
          <w:trHeight w:val="164"/>
        </w:trPr>
        <w:tc>
          <w:tcPr>
            <w:tcW w:w="6237" w:type="dxa"/>
            <w:tcBorders>
              <w:top w:val="nil"/>
              <w:left w:val="nil"/>
              <w:right w:val="nil"/>
            </w:tcBorders>
            <w:shd w:val="clear" w:color="auto" w:fill="auto"/>
            <w:vAlign w:val="bottom"/>
          </w:tcPr>
          <w:p w14:paraId="3C4E70EC" w14:textId="77777777" w:rsidR="004E2F51" w:rsidRPr="00B91D09" w:rsidRDefault="004E2F51" w:rsidP="00E032FC">
            <w:pPr>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Stanje na dan 31. prosinca</w:t>
            </w:r>
          </w:p>
        </w:tc>
        <w:tc>
          <w:tcPr>
            <w:tcW w:w="1276" w:type="dxa"/>
            <w:tcBorders>
              <w:top w:val="single" w:sz="4" w:space="0" w:color="auto"/>
              <w:left w:val="nil"/>
              <w:bottom w:val="single" w:sz="12" w:space="0" w:color="auto"/>
              <w:right w:val="nil"/>
            </w:tcBorders>
            <w:shd w:val="clear" w:color="auto" w:fill="auto"/>
            <w:noWrap/>
            <w:vAlign w:val="bottom"/>
          </w:tcPr>
          <w:p w14:paraId="284ED31F" w14:textId="77777777" w:rsidR="004E2F51" w:rsidRPr="00B91D09" w:rsidRDefault="004E2F51" w:rsidP="00E032FC">
            <w:pPr>
              <w:jc w:val="right"/>
              <w:rPr>
                <w:rFonts w:ascii="Arial" w:hAnsi="Arial" w:cs="Arial"/>
                <w:b/>
                <w:color w:val="000000" w:themeColor="text1"/>
                <w:sz w:val="18"/>
                <w:szCs w:val="18"/>
                <w:lang w:val="hr-HR"/>
              </w:rPr>
            </w:pPr>
            <w:r w:rsidRPr="00E86836">
              <w:rPr>
                <w:rFonts w:ascii="Arial" w:hAnsi="Arial" w:cs="Arial"/>
                <w:b/>
                <w:color w:val="000000" w:themeColor="text1"/>
                <w:sz w:val="18"/>
                <w:szCs w:val="18"/>
                <w:lang w:val="hr-HR"/>
              </w:rPr>
              <w:t>5.404</w:t>
            </w:r>
          </w:p>
        </w:tc>
        <w:tc>
          <w:tcPr>
            <w:tcW w:w="1134" w:type="dxa"/>
            <w:tcBorders>
              <w:top w:val="single" w:sz="4" w:space="0" w:color="auto"/>
              <w:left w:val="nil"/>
              <w:bottom w:val="single" w:sz="12" w:space="0" w:color="auto"/>
              <w:right w:val="nil"/>
            </w:tcBorders>
            <w:shd w:val="clear" w:color="auto" w:fill="auto"/>
            <w:vAlign w:val="bottom"/>
          </w:tcPr>
          <w:p w14:paraId="73060761" w14:textId="77777777" w:rsidR="004E2F51" w:rsidRPr="00B91D09" w:rsidRDefault="004E2F51" w:rsidP="00E032FC">
            <w:pPr>
              <w:jc w:val="right"/>
              <w:rPr>
                <w:rFonts w:ascii="Arial" w:hAnsi="Arial" w:cs="Arial"/>
                <w:b/>
                <w:color w:val="000000" w:themeColor="text1"/>
                <w:sz w:val="18"/>
                <w:szCs w:val="18"/>
                <w:lang w:val="hr-HR"/>
              </w:rPr>
            </w:pPr>
            <w:r w:rsidRPr="00B91D09">
              <w:rPr>
                <w:rFonts w:ascii="Arial" w:hAnsi="Arial" w:cs="Arial"/>
                <w:b/>
                <w:color w:val="000000" w:themeColor="text1"/>
                <w:sz w:val="18"/>
                <w:szCs w:val="18"/>
                <w:lang w:val="hr-HR"/>
              </w:rPr>
              <w:t>3.371</w:t>
            </w:r>
          </w:p>
        </w:tc>
      </w:tr>
    </w:tbl>
    <w:p w14:paraId="026A121F" w14:textId="77777777" w:rsidR="004E2F51" w:rsidRPr="00B91D09" w:rsidRDefault="004E2F51" w:rsidP="004E2F51">
      <w:pPr>
        <w:spacing w:before="120" w:line="300" w:lineRule="exact"/>
        <w:rPr>
          <w:rFonts w:ascii="Arial" w:hAnsi="Arial" w:cs="Arial"/>
          <w:b/>
          <w:color w:val="000000" w:themeColor="text1"/>
          <w:sz w:val="22"/>
          <w:szCs w:val="22"/>
          <w:lang w:val="hr-HR"/>
        </w:rPr>
      </w:pPr>
    </w:p>
    <w:p w14:paraId="3A45D6F9" w14:textId="77777777" w:rsidR="004E2F51" w:rsidRPr="00B91D09" w:rsidRDefault="004E2F51" w:rsidP="004E2F51">
      <w:pPr>
        <w:spacing w:before="120" w:line="300" w:lineRule="exact"/>
        <w:rPr>
          <w:rFonts w:ascii="Arial" w:hAnsi="Arial" w:cs="Arial"/>
          <w:b/>
          <w:color w:val="000000" w:themeColor="text1"/>
          <w:sz w:val="22"/>
          <w:szCs w:val="22"/>
          <w:lang w:val="hr-HR"/>
        </w:rPr>
      </w:pPr>
    </w:p>
    <w:p w14:paraId="2454F2A4" w14:textId="77777777" w:rsidR="004E2F51" w:rsidRPr="00B91D09" w:rsidRDefault="004E2F51" w:rsidP="004E2F51">
      <w:pPr>
        <w:spacing w:before="120" w:line="300" w:lineRule="exact"/>
        <w:rPr>
          <w:rFonts w:ascii="Arial" w:hAnsi="Arial" w:cs="Arial"/>
          <w:b/>
          <w:color w:val="000000" w:themeColor="text1"/>
          <w:sz w:val="22"/>
          <w:szCs w:val="22"/>
          <w:lang w:val="hr-HR"/>
        </w:rPr>
      </w:pPr>
    </w:p>
    <w:p w14:paraId="69ED426F" w14:textId="77777777" w:rsidR="004E2F51" w:rsidRPr="00B91D09" w:rsidRDefault="004E2F51" w:rsidP="004E2F51">
      <w:pPr>
        <w:spacing w:before="120" w:line="300" w:lineRule="exact"/>
        <w:rPr>
          <w:rFonts w:ascii="Arial" w:hAnsi="Arial" w:cs="Arial"/>
          <w:b/>
          <w:color w:val="000000" w:themeColor="text1"/>
          <w:sz w:val="22"/>
          <w:szCs w:val="22"/>
          <w:lang w:val="hr-HR"/>
        </w:rPr>
      </w:pPr>
    </w:p>
    <w:p w14:paraId="4E1A99C1" w14:textId="77777777" w:rsidR="004E2F51" w:rsidRPr="00B91D09" w:rsidRDefault="004E2F51" w:rsidP="004E2F51">
      <w:pPr>
        <w:spacing w:before="120" w:line="300" w:lineRule="exact"/>
        <w:rPr>
          <w:rFonts w:ascii="Arial" w:hAnsi="Arial" w:cs="Arial"/>
          <w:b/>
          <w:color w:val="000000" w:themeColor="text1"/>
          <w:sz w:val="22"/>
          <w:szCs w:val="22"/>
          <w:lang w:val="hr-HR"/>
        </w:rPr>
        <w:sectPr w:rsidR="004E2F51" w:rsidRPr="00B91D09" w:rsidSect="00623DBA">
          <w:headerReference w:type="default" r:id="rId239"/>
          <w:footerReference w:type="default" r:id="rId240"/>
          <w:pgSz w:w="11907" w:h="16840" w:code="9"/>
          <w:pgMar w:top="1418" w:right="1134" w:bottom="1134" w:left="1418" w:header="851" w:footer="851" w:gutter="0"/>
          <w:cols w:space="720"/>
          <w:noEndnote/>
        </w:sectPr>
      </w:pPr>
    </w:p>
    <w:p w14:paraId="6D895D7F" w14:textId="77777777" w:rsidR="004E2F51" w:rsidRPr="00B91D09" w:rsidRDefault="004E2F51" w:rsidP="004E2F51">
      <w:pPr>
        <w:spacing w:before="120" w:line="300" w:lineRule="exact"/>
        <w:rPr>
          <w:rFonts w:ascii="Arial" w:hAnsi="Arial" w:cs="Arial"/>
          <w:b/>
          <w:color w:val="000000" w:themeColor="text1"/>
          <w:sz w:val="22"/>
          <w:szCs w:val="22"/>
          <w:lang w:val="hr-HR"/>
        </w:rPr>
      </w:pPr>
    </w:p>
    <w:tbl>
      <w:tblPr>
        <w:tblpPr w:leftFromText="180" w:rightFromText="180" w:vertAnchor="page" w:horzAnchor="margin" w:tblpXSpec="center" w:tblpY="3044"/>
        <w:tblW w:w="5317" w:type="pct"/>
        <w:tblLayout w:type="fixed"/>
        <w:tblCellMar>
          <w:left w:w="120" w:type="dxa"/>
          <w:right w:w="120" w:type="dxa"/>
        </w:tblCellMar>
        <w:tblLook w:val="0000" w:firstRow="0" w:lastRow="0" w:firstColumn="0" w:lastColumn="0" w:noHBand="0" w:noVBand="0"/>
      </w:tblPr>
      <w:tblGrid>
        <w:gridCol w:w="2533"/>
        <w:gridCol w:w="1200"/>
        <w:gridCol w:w="1348"/>
        <w:gridCol w:w="1098"/>
        <w:gridCol w:w="1098"/>
        <w:gridCol w:w="1236"/>
        <w:gridCol w:w="1085"/>
      </w:tblGrid>
      <w:tr w:rsidR="004E2F51" w:rsidRPr="00B91D09" w14:paraId="4EB8D356" w14:textId="77777777" w:rsidTr="00E032FC">
        <w:trPr>
          <w:trHeight w:val="783"/>
        </w:trPr>
        <w:tc>
          <w:tcPr>
            <w:tcW w:w="1320" w:type="pct"/>
          </w:tcPr>
          <w:p w14:paraId="49D4CFEA" w14:textId="77777777" w:rsidR="004E2F51" w:rsidRPr="00B91D09" w:rsidRDefault="004E2F51" w:rsidP="00E032FC">
            <w:pPr>
              <w:tabs>
                <w:tab w:val="right" w:pos="1202"/>
              </w:tabs>
              <w:spacing w:line="301" w:lineRule="exact"/>
              <w:outlineLvl w:val="0"/>
              <w:rPr>
                <w:rFonts w:ascii="Arial" w:eastAsia="Calibri" w:hAnsi="Arial" w:cs="Arial"/>
                <w:b/>
                <w:iCs/>
                <w:color w:val="000000" w:themeColor="text1"/>
                <w:sz w:val="17"/>
                <w:szCs w:val="17"/>
                <w:lang w:val="hr-HR"/>
              </w:rPr>
            </w:pPr>
          </w:p>
        </w:tc>
        <w:tc>
          <w:tcPr>
            <w:tcW w:w="625" w:type="pct"/>
            <w:vAlign w:val="bottom"/>
          </w:tcPr>
          <w:p w14:paraId="04392ABD" w14:textId="77777777" w:rsidR="004E2F51" w:rsidRPr="00B91D09" w:rsidRDefault="004E2F51" w:rsidP="00E032FC">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2086" w:name="_Toc67331490"/>
            <w:r w:rsidRPr="00B91D09">
              <w:rPr>
                <w:rFonts w:ascii="Arial" w:eastAsia="Calibri" w:hAnsi="Arial" w:cs="Arial"/>
                <w:b/>
                <w:iCs/>
                <w:color w:val="000000" w:themeColor="text1"/>
                <w:sz w:val="17"/>
                <w:szCs w:val="17"/>
                <w:lang w:val="hr-HR"/>
              </w:rPr>
              <w:t>Temeljni</w:t>
            </w:r>
            <w:bookmarkEnd w:id="2086"/>
            <w:r w:rsidRPr="00B91D09">
              <w:rPr>
                <w:rFonts w:ascii="Arial" w:eastAsia="Calibri" w:hAnsi="Arial" w:cs="Arial"/>
                <w:b/>
                <w:iCs/>
                <w:color w:val="000000" w:themeColor="text1"/>
                <w:sz w:val="17"/>
                <w:szCs w:val="17"/>
                <w:lang w:val="hr-HR"/>
              </w:rPr>
              <w:t xml:space="preserve"> </w:t>
            </w:r>
          </w:p>
          <w:p w14:paraId="20294943" w14:textId="77777777" w:rsidR="004E2F51" w:rsidRPr="00B91D09" w:rsidRDefault="004E2F51" w:rsidP="00E032FC">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2087" w:name="_Toc67331491"/>
            <w:r w:rsidRPr="00B91D09">
              <w:rPr>
                <w:rFonts w:ascii="Arial" w:eastAsia="Calibri" w:hAnsi="Arial" w:cs="Arial"/>
                <w:b/>
                <w:iCs/>
                <w:color w:val="000000" w:themeColor="text1"/>
                <w:sz w:val="17"/>
                <w:szCs w:val="17"/>
                <w:lang w:val="hr-HR"/>
              </w:rPr>
              <w:t>kapital</w:t>
            </w:r>
            <w:bookmarkEnd w:id="2087"/>
          </w:p>
        </w:tc>
        <w:tc>
          <w:tcPr>
            <w:tcW w:w="702" w:type="pct"/>
            <w:vAlign w:val="bottom"/>
          </w:tcPr>
          <w:p w14:paraId="6AEC5672" w14:textId="77777777" w:rsidR="004E2F51" w:rsidRPr="00B91D09" w:rsidRDefault="004E2F51" w:rsidP="00E032FC">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2088" w:name="_Toc67331492"/>
            <w:r w:rsidRPr="00B91D09">
              <w:rPr>
                <w:rFonts w:ascii="Arial" w:eastAsia="Calibri" w:hAnsi="Arial" w:cs="Arial"/>
                <w:b/>
                <w:iCs/>
                <w:color w:val="000000" w:themeColor="text1"/>
                <w:sz w:val="17"/>
                <w:szCs w:val="17"/>
                <w:lang w:val="hr-HR"/>
              </w:rPr>
              <w:t>Zadržana dobit i rezerve</w:t>
            </w:r>
            <w:bookmarkEnd w:id="2088"/>
          </w:p>
        </w:tc>
        <w:tc>
          <w:tcPr>
            <w:tcW w:w="572" w:type="pct"/>
            <w:vAlign w:val="bottom"/>
          </w:tcPr>
          <w:p w14:paraId="07BD3BB8" w14:textId="77777777" w:rsidR="004E2F51" w:rsidRPr="00B91D09" w:rsidRDefault="004E2F51" w:rsidP="00E032FC">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2089" w:name="_Toc67331493"/>
            <w:r w:rsidRPr="00B91D09">
              <w:rPr>
                <w:rFonts w:ascii="Arial" w:eastAsia="Calibri" w:hAnsi="Arial" w:cs="Arial"/>
                <w:b/>
                <w:iCs/>
                <w:color w:val="000000" w:themeColor="text1"/>
                <w:sz w:val="17"/>
                <w:szCs w:val="17"/>
                <w:lang w:val="hr-HR"/>
              </w:rPr>
              <w:t>Ostale rezerve</w:t>
            </w:r>
            <w:bookmarkEnd w:id="2089"/>
          </w:p>
        </w:tc>
        <w:tc>
          <w:tcPr>
            <w:tcW w:w="572" w:type="pct"/>
            <w:vAlign w:val="bottom"/>
          </w:tcPr>
          <w:p w14:paraId="01A8AF54" w14:textId="77777777" w:rsidR="004E2F51" w:rsidRPr="00B91D09" w:rsidRDefault="004E2F51" w:rsidP="00E032FC">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2090" w:name="_Toc67331494"/>
            <w:r w:rsidRPr="00B91D09">
              <w:rPr>
                <w:rFonts w:ascii="Arial" w:eastAsia="Calibri" w:hAnsi="Arial" w:cs="Arial"/>
                <w:b/>
                <w:iCs/>
                <w:color w:val="000000" w:themeColor="text1"/>
                <w:sz w:val="17"/>
                <w:szCs w:val="17"/>
                <w:lang w:val="hr-HR"/>
              </w:rPr>
              <w:t>Neto dobit</w:t>
            </w:r>
            <w:bookmarkEnd w:id="2090"/>
            <w:r w:rsidRPr="00B91D09">
              <w:rPr>
                <w:rFonts w:ascii="Arial" w:eastAsia="Calibri" w:hAnsi="Arial" w:cs="Arial"/>
                <w:b/>
                <w:iCs/>
                <w:color w:val="000000" w:themeColor="text1"/>
                <w:sz w:val="17"/>
                <w:szCs w:val="17"/>
                <w:lang w:val="hr-HR"/>
              </w:rPr>
              <w:t xml:space="preserve"> </w:t>
            </w:r>
          </w:p>
          <w:p w14:paraId="3F5AE6CF" w14:textId="77777777" w:rsidR="004E2F51" w:rsidRPr="00B91D09" w:rsidRDefault="004E2F51" w:rsidP="00E032FC">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2091" w:name="_Toc67331495"/>
            <w:r w:rsidRPr="00B91D09">
              <w:rPr>
                <w:rFonts w:ascii="Arial" w:eastAsia="Calibri" w:hAnsi="Arial" w:cs="Arial"/>
                <w:b/>
                <w:iCs/>
                <w:color w:val="000000" w:themeColor="text1"/>
                <w:sz w:val="17"/>
                <w:szCs w:val="17"/>
                <w:lang w:val="hr-HR"/>
              </w:rPr>
              <w:t>tekuće godine</w:t>
            </w:r>
            <w:bookmarkEnd w:id="2091"/>
          </w:p>
        </w:tc>
        <w:tc>
          <w:tcPr>
            <w:tcW w:w="644" w:type="pct"/>
            <w:vAlign w:val="bottom"/>
          </w:tcPr>
          <w:p w14:paraId="1D555D02" w14:textId="77777777" w:rsidR="004E2F51" w:rsidRPr="00B91D09" w:rsidRDefault="004E2F51" w:rsidP="00E032FC">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2092" w:name="_Toc67331496"/>
            <w:r w:rsidRPr="00B91D09">
              <w:rPr>
                <w:rFonts w:ascii="Arial" w:eastAsia="Calibri" w:hAnsi="Arial" w:cs="Arial"/>
                <w:b/>
                <w:iCs/>
                <w:color w:val="000000" w:themeColor="text1"/>
                <w:sz w:val="17"/>
                <w:szCs w:val="17"/>
                <w:lang w:val="hr-HR"/>
              </w:rPr>
              <w:t>Ukupni kapital koji pripada vlasnicima društva</w:t>
            </w:r>
            <w:bookmarkEnd w:id="2092"/>
          </w:p>
        </w:tc>
        <w:tc>
          <w:tcPr>
            <w:tcW w:w="565" w:type="pct"/>
            <w:vAlign w:val="bottom"/>
          </w:tcPr>
          <w:p w14:paraId="6EDDD171" w14:textId="77777777" w:rsidR="004E2F51" w:rsidRPr="00B91D09" w:rsidRDefault="004E2F51" w:rsidP="00E032FC">
            <w:pPr>
              <w:tabs>
                <w:tab w:val="right" w:pos="1202"/>
              </w:tabs>
              <w:spacing w:line="301" w:lineRule="exact"/>
              <w:jc w:val="right"/>
              <w:outlineLvl w:val="0"/>
              <w:rPr>
                <w:rFonts w:ascii="Arial" w:eastAsia="Calibri" w:hAnsi="Arial" w:cs="Arial"/>
                <w:b/>
                <w:iCs/>
                <w:color w:val="000000" w:themeColor="text1"/>
                <w:sz w:val="17"/>
                <w:szCs w:val="17"/>
                <w:lang w:val="hr-HR"/>
              </w:rPr>
            </w:pPr>
            <w:bookmarkStart w:id="2093" w:name="_Toc67331497"/>
            <w:r w:rsidRPr="00B91D09">
              <w:rPr>
                <w:rFonts w:ascii="Arial" w:eastAsia="Calibri" w:hAnsi="Arial" w:cs="Arial"/>
                <w:b/>
                <w:iCs/>
                <w:color w:val="000000" w:themeColor="text1"/>
                <w:sz w:val="17"/>
                <w:szCs w:val="17"/>
                <w:lang w:val="hr-HR"/>
              </w:rPr>
              <w:t>Ukupni kapital</w:t>
            </w:r>
            <w:bookmarkEnd w:id="2093"/>
          </w:p>
        </w:tc>
      </w:tr>
      <w:tr w:rsidR="004E2F51" w:rsidRPr="00B91D09" w14:paraId="0F2F26BC" w14:textId="77777777" w:rsidTr="00E032FC">
        <w:trPr>
          <w:trHeight w:val="298"/>
        </w:trPr>
        <w:tc>
          <w:tcPr>
            <w:tcW w:w="1320" w:type="pct"/>
          </w:tcPr>
          <w:p w14:paraId="23906AAD" w14:textId="77777777" w:rsidR="004E2F51" w:rsidRPr="00B91D09" w:rsidRDefault="004E2F51" w:rsidP="00E032FC">
            <w:pPr>
              <w:tabs>
                <w:tab w:val="right" w:pos="1202"/>
              </w:tabs>
              <w:spacing w:line="301" w:lineRule="exact"/>
              <w:outlineLvl w:val="0"/>
              <w:rPr>
                <w:rFonts w:ascii="Arial" w:eastAsia="Calibri" w:hAnsi="Arial" w:cs="Arial"/>
                <w:iCs/>
                <w:color w:val="000000" w:themeColor="text1"/>
                <w:sz w:val="17"/>
                <w:szCs w:val="17"/>
                <w:lang w:val="hr-HR"/>
              </w:rPr>
            </w:pPr>
          </w:p>
        </w:tc>
        <w:tc>
          <w:tcPr>
            <w:tcW w:w="625" w:type="pct"/>
          </w:tcPr>
          <w:p w14:paraId="76593FEB" w14:textId="77777777" w:rsidR="004E2F51" w:rsidRPr="00B91D09" w:rsidRDefault="004E2F51" w:rsidP="00E032FC">
            <w:pPr>
              <w:keepLines/>
              <w:tabs>
                <w:tab w:val="right" w:pos="1202"/>
              </w:tabs>
              <w:spacing w:line="301" w:lineRule="exact"/>
              <w:jc w:val="right"/>
              <w:outlineLvl w:val="0"/>
              <w:rPr>
                <w:rFonts w:ascii="Arial" w:eastAsia="Calibri" w:hAnsi="Arial" w:cs="Arial"/>
                <w:b/>
                <w:bCs/>
                <w:color w:val="000000" w:themeColor="text1"/>
                <w:sz w:val="17"/>
                <w:szCs w:val="17"/>
                <w:lang w:val="hr-HR"/>
              </w:rPr>
            </w:pPr>
            <w:bookmarkStart w:id="2094" w:name="_Toc67331498"/>
            <w:r w:rsidRPr="00B91D09">
              <w:rPr>
                <w:rFonts w:ascii="Arial" w:eastAsia="Calibri" w:hAnsi="Arial" w:cs="Arial"/>
                <w:b/>
                <w:bCs/>
                <w:color w:val="000000" w:themeColor="text1"/>
                <w:sz w:val="17"/>
                <w:szCs w:val="17"/>
                <w:lang w:val="hr-HR"/>
              </w:rPr>
              <w:t>000 kuna</w:t>
            </w:r>
            <w:bookmarkEnd w:id="2094"/>
          </w:p>
        </w:tc>
        <w:tc>
          <w:tcPr>
            <w:tcW w:w="702" w:type="pct"/>
          </w:tcPr>
          <w:p w14:paraId="58F608BD" w14:textId="77777777" w:rsidR="004E2F51" w:rsidRPr="00B91D09" w:rsidRDefault="004E2F51" w:rsidP="00E032FC">
            <w:pPr>
              <w:keepLines/>
              <w:tabs>
                <w:tab w:val="right" w:pos="1202"/>
              </w:tabs>
              <w:spacing w:line="301" w:lineRule="exact"/>
              <w:jc w:val="right"/>
              <w:outlineLvl w:val="0"/>
              <w:rPr>
                <w:rFonts w:ascii="Arial" w:eastAsia="Calibri" w:hAnsi="Arial" w:cs="Arial"/>
                <w:b/>
                <w:bCs/>
                <w:color w:val="000000" w:themeColor="text1"/>
                <w:sz w:val="17"/>
                <w:szCs w:val="17"/>
                <w:lang w:val="hr-HR"/>
              </w:rPr>
            </w:pPr>
            <w:bookmarkStart w:id="2095" w:name="_Toc67331499"/>
            <w:r w:rsidRPr="00B91D09">
              <w:rPr>
                <w:rFonts w:ascii="Arial" w:eastAsia="Calibri" w:hAnsi="Arial" w:cs="Arial"/>
                <w:b/>
                <w:bCs/>
                <w:color w:val="000000" w:themeColor="text1"/>
                <w:sz w:val="17"/>
                <w:szCs w:val="17"/>
                <w:lang w:val="hr-HR"/>
              </w:rPr>
              <w:t>000 kuna</w:t>
            </w:r>
            <w:bookmarkEnd w:id="2095"/>
          </w:p>
        </w:tc>
        <w:tc>
          <w:tcPr>
            <w:tcW w:w="572" w:type="pct"/>
          </w:tcPr>
          <w:p w14:paraId="71BA29ED" w14:textId="77777777" w:rsidR="004E2F51" w:rsidRPr="00B91D09" w:rsidRDefault="004E2F51" w:rsidP="00E032FC">
            <w:pPr>
              <w:keepLines/>
              <w:tabs>
                <w:tab w:val="right" w:pos="1202"/>
              </w:tabs>
              <w:spacing w:line="301" w:lineRule="exact"/>
              <w:jc w:val="right"/>
              <w:outlineLvl w:val="0"/>
              <w:rPr>
                <w:rFonts w:ascii="Arial" w:eastAsia="Calibri" w:hAnsi="Arial" w:cs="Arial"/>
                <w:b/>
                <w:bCs/>
                <w:color w:val="000000" w:themeColor="text1"/>
                <w:sz w:val="17"/>
                <w:szCs w:val="17"/>
                <w:lang w:val="hr-HR"/>
              </w:rPr>
            </w:pPr>
            <w:bookmarkStart w:id="2096" w:name="_Toc67331500"/>
            <w:r w:rsidRPr="00B91D09">
              <w:rPr>
                <w:rFonts w:ascii="Arial" w:eastAsia="Calibri" w:hAnsi="Arial" w:cs="Arial"/>
                <w:b/>
                <w:bCs/>
                <w:color w:val="000000" w:themeColor="text1"/>
                <w:sz w:val="17"/>
                <w:szCs w:val="17"/>
                <w:lang w:val="hr-HR"/>
              </w:rPr>
              <w:t>000 kuna</w:t>
            </w:r>
            <w:bookmarkEnd w:id="2096"/>
          </w:p>
        </w:tc>
        <w:tc>
          <w:tcPr>
            <w:tcW w:w="572" w:type="pct"/>
          </w:tcPr>
          <w:p w14:paraId="0DE75F30" w14:textId="77777777" w:rsidR="004E2F51" w:rsidRPr="00B91D09" w:rsidRDefault="004E2F51" w:rsidP="00E032FC">
            <w:pPr>
              <w:keepLines/>
              <w:tabs>
                <w:tab w:val="right" w:pos="1202"/>
              </w:tabs>
              <w:spacing w:line="301" w:lineRule="exact"/>
              <w:jc w:val="right"/>
              <w:outlineLvl w:val="0"/>
              <w:rPr>
                <w:rFonts w:ascii="Arial" w:eastAsia="Calibri" w:hAnsi="Arial" w:cs="Arial"/>
                <w:b/>
                <w:bCs/>
                <w:color w:val="000000" w:themeColor="text1"/>
                <w:sz w:val="17"/>
                <w:szCs w:val="17"/>
                <w:lang w:val="hr-HR"/>
              </w:rPr>
            </w:pPr>
            <w:bookmarkStart w:id="2097" w:name="_Toc67331501"/>
            <w:r w:rsidRPr="00B91D09">
              <w:rPr>
                <w:rFonts w:ascii="Arial" w:eastAsia="Calibri" w:hAnsi="Arial" w:cs="Arial"/>
                <w:b/>
                <w:bCs/>
                <w:color w:val="000000" w:themeColor="text1"/>
                <w:sz w:val="17"/>
                <w:szCs w:val="17"/>
                <w:lang w:val="hr-HR"/>
              </w:rPr>
              <w:t>000 kuna</w:t>
            </w:r>
            <w:bookmarkEnd w:id="2097"/>
          </w:p>
        </w:tc>
        <w:tc>
          <w:tcPr>
            <w:tcW w:w="644" w:type="pct"/>
          </w:tcPr>
          <w:p w14:paraId="003B721C" w14:textId="77777777" w:rsidR="004E2F51" w:rsidRPr="00B91D09" w:rsidRDefault="004E2F51" w:rsidP="00E032FC">
            <w:pPr>
              <w:keepLines/>
              <w:tabs>
                <w:tab w:val="right" w:pos="1202"/>
              </w:tabs>
              <w:spacing w:line="301" w:lineRule="exact"/>
              <w:jc w:val="right"/>
              <w:outlineLvl w:val="0"/>
              <w:rPr>
                <w:rFonts w:ascii="Arial" w:eastAsia="Calibri" w:hAnsi="Arial" w:cs="Arial"/>
                <w:b/>
                <w:bCs/>
                <w:color w:val="000000" w:themeColor="text1"/>
                <w:sz w:val="17"/>
                <w:szCs w:val="17"/>
                <w:lang w:val="hr-HR"/>
              </w:rPr>
            </w:pPr>
            <w:bookmarkStart w:id="2098" w:name="_Toc67331502"/>
            <w:r w:rsidRPr="00B91D09">
              <w:rPr>
                <w:rFonts w:ascii="Arial" w:eastAsia="Calibri" w:hAnsi="Arial" w:cs="Arial"/>
                <w:b/>
                <w:bCs/>
                <w:color w:val="000000" w:themeColor="text1"/>
                <w:sz w:val="17"/>
                <w:szCs w:val="17"/>
                <w:lang w:val="hr-HR"/>
              </w:rPr>
              <w:t>000 kuna</w:t>
            </w:r>
            <w:bookmarkEnd w:id="2098"/>
          </w:p>
        </w:tc>
        <w:tc>
          <w:tcPr>
            <w:tcW w:w="565" w:type="pct"/>
          </w:tcPr>
          <w:p w14:paraId="03953C18" w14:textId="77777777" w:rsidR="004E2F51" w:rsidRPr="00B91D09" w:rsidRDefault="004E2F51" w:rsidP="00E032FC">
            <w:pPr>
              <w:keepLines/>
              <w:tabs>
                <w:tab w:val="right" w:pos="1202"/>
              </w:tabs>
              <w:spacing w:line="301" w:lineRule="exact"/>
              <w:jc w:val="right"/>
              <w:outlineLvl w:val="0"/>
              <w:rPr>
                <w:rFonts w:ascii="Arial" w:eastAsia="Calibri" w:hAnsi="Arial" w:cs="Arial"/>
                <w:b/>
                <w:bCs/>
                <w:color w:val="000000" w:themeColor="text1"/>
                <w:sz w:val="17"/>
                <w:szCs w:val="17"/>
                <w:lang w:val="hr-HR"/>
              </w:rPr>
            </w:pPr>
            <w:bookmarkStart w:id="2099" w:name="_Toc67331503"/>
            <w:r w:rsidRPr="00B91D09">
              <w:rPr>
                <w:rFonts w:ascii="Arial" w:eastAsia="Calibri" w:hAnsi="Arial" w:cs="Arial"/>
                <w:b/>
                <w:bCs/>
                <w:color w:val="000000" w:themeColor="text1"/>
                <w:sz w:val="17"/>
                <w:szCs w:val="17"/>
                <w:lang w:val="hr-HR"/>
              </w:rPr>
              <w:t>000 kuna</w:t>
            </w:r>
            <w:bookmarkEnd w:id="2099"/>
          </w:p>
        </w:tc>
      </w:tr>
      <w:tr w:rsidR="004E2F51" w:rsidRPr="00B91D09" w14:paraId="5132B45A" w14:textId="77777777" w:rsidTr="00E032FC">
        <w:trPr>
          <w:trHeight w:val="132"/>
        </w:trPr>
        <w:tc>
          <w:tcPr>
            <w:tcW w:w="1320" w:type="pct"/>
          </w:tcPr>
          <w:p w14:paraId="1EEDBD1F" w14:textId="77777777" w:rsidR="004E2F51" w:rsidRPr="00B91D09" w:rsidRDefault="004E2F51" w:rsidP="00E032FC">
            <w:pPr>
              <w:tabs>
                <w:tab w:val="right" w:pos="1202"/>
              </w:tabs>
              <w:spacing w:line="140" w:lineRule="exact"/>
              <w:outlineLvl w:val="0"/>
              <w:rPr>
                <w:rFonts w:ascii="Arial" w:eastAsia="Calibri" w:hAnsi="Arial" w:cs="Arial"/>
                <w:iCs/>
                <w:color w:val="000000" w:themeColor="text1"/>
                <w:sz w:val="17"/>
                <w:szCs w:val="17"/>
                <w:lang w:val="hr-HR"/>
              </w:rPr>
            </w:pPr>
          </w:p>
        </w:tc>
        <w:tc>
          <w:tcPr>
            <w:tcW w:w="625" w:type="pct"/>
            <w:vAlign w:val="bottom"/>
          </w:tcPr>
          <w:p w14:paraId="217D121D" w14:textId="77777777" w:rsidR="004E2F51" w:rsidRPr="00B91D09" w:rsidRDefault="004E2F51" w:rsidP="00E032FC">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702" w:type="pct"/>
            <w:vAlign w:val="bottom"/>
          </w:tcPr>
          <w:p w14:paraId="562C9513" w14:textId="77777777" w:rsidR="004E2F51" w:rsidRPr="00B91D09" w:rsidRDefault="004E2F51" w:rsidP="00E032FC">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572" w:type="pct"/>
          </w:tcPr>
          <w:p w14:paraId="075FD462" w14:textId="77777777" w:rsidR="004E2F51" w:rsidRPr="00B91D09" w:rsidRDefault="004E2F51" w:rsidP="00E032FC">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572" w:type="pct"/>
            <w:vAlign w:val="bottom"/>
          </w:tcPr>
          <w:p w14:paraId="02636090" w14:textId="77777777" w:rsidR="004E2F51" w:rsidRPr="00B91D09" w:rsidRDefault="004E2F51" w:rsidP="00E032FC">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644" w:type="pct"/>
            <w:vAlign w:val="bottom"/>
          </w:tcPr>
          <w:p w14:paraId="397C2731" w14:textId="77777777" w:rsidR="004E2F51" w:rsidRPr="00B91D09" w:rsidRDefault="004E2F51" w:rsidP="00E032FC">
            <w:pPr>
              <w:tabs>
                <w:tab w:val="right" w:pos="1202"/>
              </w:tabs>
              <w:spacing w:line="140" w:lineRule="exact"/>
              <w:jc w:val="right"/>
              <w:outlineLvl w:val="0"/>
              <w:rPr>
                <w:rFonts w:ascii="Arial" w:eastAsia="Calibri" w:hAnsi="Arial" w:cs="Arial"/>
                <w:b/>
                <w:bCs/>
                <w:color w:val="000000" w:themeColor="text1"/>
                <w:sz w:val="17"/>
                <w:szCs w:val="17"/>
                <w:lang w:val="hr-HR"/>
              </w:rPr>
            </w:pPr>
          </w:p>
        </w:tc>
        <w:tc>
          <w:tcPr>
            <w:tcW w:w="565" w:type="pct"/>
            <w:vAlign w:val="bottom"/>
          </w:tcPr>
          <w:p w14:paraId="6AF84317" w14:textId="77777777" w:rsidR="004E2F51" w:rsidRPr="00B91D09" w:rsidRDefault="004E2F51" w:rsidP="00E032FC">
            <w:pPr>
              <w:tabs>
                <w:tab w:val="right" w:pos="1202"/>
              </w:tabs>
              <w:spacing w:line="140" w:lineRule="exact"/>
              <w:jc w:val="right"/>
              <w:outlineLvl w:val="0"/>
              <w:rPr>
                <w:rFonts w:ascii="Arial" w:eastAsia="Calibri" w:hAnsi="Arial" w:cs="Arial"/>
                <w:b/>
                <w:bCs/>
                <w:color w:val="000000" w:themeColor="text1"/>
                <w:sz w:val="17"/>
                <w:szCs w:val="17"/>
                <w:lang w:val="hr-HR"/>
              </w:rPr>
            </w:pPr>
          </w:p>
        </w:tc>
      </w:tr>
      <w:tr w:rsidR="004E2F51" w:rsidRPr="00B91D09" w14:paraId="4E1126A6" w14:textId="77777777" w:rsidTr="00E032FC">
        <w:trPr>
          <w:trHeight w:val="473"/>
        </w:trPr>
        <w:tc>
          <w:tcPr>
            <w:tcW w:w="1320" w:type="pct"/>
            <w:vAlign w:val="bottom"/>
          </w:tcPr>
          <w:p w14:paraId="213DC939" w14:textId="77777777" w:rsidR="004E2F51" w:rsidRPr="00B91D09" w:rsidRDefault="004E2F51" w:rsidP="00E032FC">
            <w:pPr>
              <w:tabs>
                <w:tab w:val="right" w:pos="1202"/>
              </w:tabs>
              <w:spacing w:line="240" w:lineRule="exact"/>
              <w:outlineLvl w:val="0"/>
              <w:rPr>
                <w:rFonts w:ascii="Arial" w:eastAsia="Calibri" w:hAnsi="Arial" w:cs="Arial"/>
                <w:b/>
                <w:iCs/>
                <w:color w:val="000000" w:themeColor="text1"/>
                <w:sz w:val="17"/>
                <w:szCs w:val="17"/>
                <w:lang w:val="hr-HR"/>
              </w:rPr>
            </w:pPr>
            <w:bookmarkStart w:id="2100" w:name="_Toc67331504"/>
            <w:r w:rsidRPr="00B91D09">
              <w:rPr>
                <w:rFonts w:ascii="Arial" w:eastAsia="Calibri" w:hAnsi="Arial" w:cs="Arial"/>
                <w:b/>
                <w:iCs/>
                <w:color w:val="000000" w:themeColor="text1"/>
                <w:sz w:val="17"/>
                <w:szCs w:val="17"/>
                <w:lang w:val="hr-HR"/>
              </w:rPr>
              <w:t>Stanje 1. siječnja 202</w:t>
            </w:r>
            <w:r>
              <w:rPr>
                <w:rFonts w:ascii="Arial" w:eastAsia="Calibri" w:hAnsi="Arial" w:cs="Arial"/>
                <w:b/>
                <w:iCs/>
                <w:color w:val="000000" w:themeColor="text1"/>
                <w:sz w:val="17"/>
                <w:szCs w:val="17"/>
                <w:lang w:val="hr-HR"/>
              </w:rPr>
              <w:t>1</w:t>
            </w:r>
            <w:r w:rsidRPr="00B91D09">
              <w:rPr>
                <w:rFonts w:ascii="Arial" w:eastAsia="Calibri" w:hAnsi="Arial" w:cs="Arial"/>
                <w:b/>
                <w:iCs/>
                <w:color w:val="000000" w:themeColor="text1"/>
                <w:sz w:val="17"/>
                <w:szCs w:val="17"/>
                <w:lang w:val="hr-HR"/>
              </w:rPr>
              <w:t>.</w:t>
            </w:r>
            <w:bookmarkEnd w:id="2100"/>
            <w:r w:rsidRPr="00B91D09">
              <w:rPr>
                <w:rFonts w:ascii="Arial" w:eastAsia="Calibri" w:hAnsi="Arial" w:cs="Arial"/>
                <w:b/>
                <w:iCs/>
                <w:color w:val="000000" w:themeColor="text1"/>
                <w:sz w:val="17"/>
                <w:szCs w:val="17"/>
                <w:lang w:val="hr-HR"/>
              </w:rPr>
              <w:t xml:space="preserve"> </w:t>
            </w:r>
          </w:p>
        </w:tc>
        <w:tc>
          <w:tcPr>
            <w:tcW w:w="625" w:type="pct"/>
            <w:tcBorders>
              <w:top w:val="nil"/>
              <w:left w:val="nil"/>
              <w:bottom w:val="single" w:sz="12" w:space="0" w:color="auto"/>
              <w:right w:val="nil"/>
            </w:tcBorders>
            <w:shd w:val="clear" w:color="auto" w:fill="auto"/>
            <w:vAlign w:val="bottom"/>
          </w:tcPr>
          <w:p w14:paraId="5A5D5218" w14:textId="77777777" w:rsidR="004E2F51" w:rsidRPr="00B91D09" w:rsidRDefault="004E2F51" w:rsidP="00E032FC">
            <w:pPr>
              <w:jc w:val="right"/>
              <w:rPr>
                <w:rFonts w:ascii="Arial" w:eastAsia="Calibri" w:hAnsi="Arial" w:cs="Arial"/>
                <w:b/>
                <w:bCs/>
                <w:color w:val="000000" w:themeColor="text1"/>
                <w:sz w:val="17"/>
                <w:szCs w:val="17"/>
                <w:lang w:val="hr-HR"/>
              </w:rPr>
            </w:pPr>
            <w:r w:rsidRPr="00B91D09">
              <w:rPr>
                <w:rFonts w:ascii="Arial" w:hAnsi="Arial" w:cs="Arial"/>
                <w:b/>
                <w:bCs/>
                <w:color w:val="000000"/>
                <w:sz w:val="17"/>
                <w:szCs w:val="17"/>
              </w:rPr>
              <w:t>37.500</w:t>
            </w:r>
          </w:p>
        </w:tc>
        <w:tc>
          <w:tcPr>
            <w:tcW w:w="702" w:type="pct"/>
            <w:tcBorders>
              <w:top w:val="nil"/>
              <w:left w:val="nil"/>
              <w:bottom w:val="single" w:sz="12" w:space="0" w:color="auto"/>
              <w:right w:val="nil"/>
            </w:tcBorders>
            <w:shd w:val="clear" w:color="auto" w:fill="auto"/>
            <w:vAlign w:val="bottom"/>
          </w:tcPr>
          <w:p w14:paraId="49233A03" w14:textId="77777777" w:rsidR="004E2F51" w:rsidRPr="00B91D09" w:rsidRDefault="004E2F51" w:rsidP="00E032FC">
            <w:pPr>
              <w:jc w:val="right"/>
              <w:rPr>
                <w:rFonts w:ascii="Arial" w:eastAsia="Calibri" w:hAnsi="Arial" w:cs="Arial"/>
                <w:b/>
                <w:bCs/>
                <w:color w:val="000000" w:themeColor="text1"/>
                <w:sz w:val="17"/>
                <w:szCs w:val="17"/>
                <w:lang w:val="hr-HR"/>
              </w:rPr>
            </w:pPr>
            <w:r w:rsidRPr="00B91D09">
              <w:rPr>
                <w:rFonts w:ascii="Arial" w:hAnsi="Arial" w:cs="Arial"/>
                <w:b/>
                <w:bCs/>
                <w:color w:val="000000"/>
                <w:sz w:val="17"/>
                <w:szCs w:val="17"/>
              </w:rPr>
              <w:t>1.749</w:t>
            </w:r>
          </w:p>
        </w:tc>
        <w:tc>
          <w:tcPr>
            <w:tcW w:w="572" w:type="pct"/>
            <w:tcBorders>
              <w:top w:val="nil"/>
              <w:left w:val="nil"/>
              <w:bottom w:val="single" w:sz="12" w:space="0" w:color="auto"/>
              <w:right w:val="nil"/>
            </w:tcBorders>
            <w:shd w:val="clear" w:color="auto" w:fill="auto"/>
            <w:vAlign w:val="bottom"/>
          </w:tcPr>
          <w:p w14:paraId="67755004" w14:textId="77777777" w:rsidR="004E2F51" w:rsidRPr="00B91D09" w:rsidRDefault="004E2F51" w:rsidP="00E032FC">
            <w:pPr>
              <w:jc w:val="right"/>
              <w:rPr>
                <w:rFonts w:ascii="Arial" w:eastAsia="Calibri" w:hAnsi="Arial" w:cs="Arial"/>
                <w:b/>
                <w:bCs/>
                <w:color w:val="000000" w:themeColor="text1"/>
                <w:sz w:val="17"/>
                <w:szCs w:val="17"/>
                <w:lang w:val="hr-HR"/>
              </w:rPr>
            </w:pPr>
            <w:r w:rsidRPr="00B91D09">
              <w:rPr>
                <w:rFonts w:ascii="Arial" w:hAnsi="Arial" w:cs="Arial"/>
                <w:b/>
                <w:bCs/>
                <w:color w:val="000000"/>
                <w:sz w:val="17"/>
                <w:szCs w:val="17"/>
              </w:rPr>
              <w:t>3.825</w:t>
            </w:r>
          </w:p>
        </w:tc>
        <w:tc>
          <w:tcPr>
            <w:tcW w:w="572" w:type="pct"/>
            <w:tcBorders>
              <w:top w:val="nil"/>
              <w:left w:val="nil"/>
              <w:bottom w:val="single" w:sz="12" w:space="0" w:color="auto"/>
              <w:right w:val="nil"/>
            </w:tcBorders>
            <w:shd w:val="clear" w:color="auto" w:fill="auto"/>
            <w:vAlign w:val="bottom"/>
          </w:tcPr>
          <w:p w14:paraId="1A8B9BDF" w14:textId="77777777" w:rsidR="004E2F51" w:rsidRPr="00B91D09" w:rsidRDefault="004E2F51" w:rsidP="00E032FC">
            <w:pPr>
              <w:jc w:val="right"/>
              <w:rPr>
                <w:rFonts w:ascii="Arial" w:eastAsia="Calibri" w:hAnsi="Arial" w:cs="Arial"/>
                <w:b/>
                <w:bCs/>
                <w:color w:val="000000" w:themeColor="text1"/>
                <w:sz w:val="17"/>
                <w:szCs w:val="17"/>
                <w:lang w:val="hr-HR"/>
              </w:rPr>
            </w:pPr>
            <w:r w:rsidRPr="00B91D09">
              <w:rPr>
                <w:rFonts w:ascii="Arial" w:hAnsi="Arial" w:cs="Arial"/>
                <w:b/>
                <w:bCs/>
                <w:color w:val="000000"/>
                <w:sz w:val="17"/>
                <w:szCs w:val="17"/>
              </w:rPr>
              <w:t>2.192</w:t>
            </w:r>
          </w:p>
        </w:tc>
        <w:tc>
          <w:tcPr>
            <w:tcW w:w="644" w:type="pct"/>
            <w:tcBorders>
              <w:top w:val="nil"/>
              <w:left w:val="nil"/>
              <w:bottom w:val="single" w:sz="12" w:space="0" w:color="auto"/>
              <w:right w:val="nil"/>
            </w:tcBorders>
            <w:shd w:val="clear" w:color="auto" w:fill="auto"/>
            <w:vAlign w:val="bottom"/>
          </w:tcPr>
          <w:p w14:paraId="78E77B7F" w14:textId="77777777" w:rsidR="004E2F51" w:rsidRPr="00B91D09" w:rsidRDefault="004E2F51" w:rsidP="00E032FC">
            <w:pPr>
              <w:jc w:val="right"/>
              <w:rPr>
                <w:rFonts w:ascii="Arial" w:eastAsia="Calibri" w:hAnsi="Arial" w:cs="Arial"/>
                <w:b/>
                <w:bCs/>
                <w:color w:val="000000" w:themeColor="text1"/>
                <w:sz w:val="17"/>
                <w:szCs w:val="17"/>
                <w:lang w:val="hr-HR"/>
              </w:rPr>
            </w:pPr>
            <w:r w:rsidRPr="00B91D09">
              <w:rPr>
                <w:rFonts w:ascii="Arial" w:hAnsi="Arial" w:cs="Arial"/>
                <w:b/>
                <w:bCs/>
                <w:color w:val="000000"/>
                <w:sz w:val="17"/>
                <w:szCs w:val="17"/>
              </w:rPr>
              <w:t>45.266</w:t>
            </w:r>
          </w:p>
        </w:tc>
        <w:tc>
          <w:tcPr>
            <w:tcW w:w="565" w:type="pct"/>
            <w:tcBorders>
              <w:top w:val="nil"/>
              <w:left w:val="nil"/>
              <w:bottom w:val="single" w:sz="12" w:space="0" w:color="auto"/>
              <w:right w:val="nil"/>
            </w:tcBorders>
            <w:shd w:val="clear" w:color="auto" w:fill="auto"/>
            <w:vAlign w:val="bottom"/>
          </w:tcPr>
          <w:p w14:paraId="6379ADE5" w14:textId="77777777" w:rsidR="004E2F51" w:rsidRPr="00B91D09" w:rsidRDefault="004E2F51" w:rsidP="00E032FC">
            <w:pPr>
              <w:jc w:val="right"/>
              <w:rPr>
                <w:rFonts w:ascii="Arial" w:eastAsia="Calibri" w:hAnsi="Arial" w:cs="Arial"/>
                <w:b/>
                <w:bCs/>
                <w:color w:val="000000" w:themeColor="text1"/>
                <w:sz w:val="17"/>
                <w:szCs w:val="17"/>
                <w:lang w:val="hr-HR"/>
              </w:rPr>
            </w:pPr>
            <w:r w:rsidRPr="00B91D09">
              <w:rPr>
                <w:rFonts w:ascii="Arial" w:hAnsi="Arial" w:cs="Arial"/>
                <w:b/>
                <w:bCs/>
                <w:color w:val="000000"/>
                <w:sz w:val="17"/>
                <w:szCs w:val="17"/>
              </w:rPr>
              <w:t>45.266</w:t>
            </w:r>
          </w:p>
        </w:tc>
      </w:tr>
      <w:tr w:rsidR="004E2F51" w:rsidRPr="00B91D09" w14:paraId="19BC7461" w14:textId="77777777" w:rsidTr="00E032FC">
        <w:trPr>
          <w:trHeight w:val="61"/>
        </w:trPr>
        <w:tc>
          <w:tcPr>
            <w:tcW w:w="1320" w:type="pct"/>
          </w:tcPr>
          <w:p w14:paraId="03047CD5" w14:textId="77777777" w:rsidR="004E2F51" w:rsidRPr="00B91D09" w:rsidRDefault="004E2F51" w:rsidP="00E032FC">
            <w:pPr>
              <w:tabs>
                <w:tab w:val="right" w:pos="1202"/>
              </w:tabs>
              <w:spacing w:line="140" w:lineRule="exact"/>
              <w:jc w:val="right"/>
              <w:outlineLvl w:val="0"/>
              <w:rPr>
                <w:rFonts w:ascii="Arial" w:eastAsia="Calibri" w:hAnsi="Arial" w:cs="Arial"/>
                <w:b/>
                <w:iCs/>
                <w:color w:val="000000" w:themeColor="text1"/>
                <w:sz w:val="17"/>
                <w:szCs w:val="17"/>
                <w:lang w:val="hr-HR"/>
              </w:rPr>
            </w:pPr>
          </w:p>
        </w:tc>
        <w:tc>
          <w:tcPr>
            <w:tcW w:w="625" w:type="pct"/>
            <w:tcBorders>
              <w:top w:val="single" w:sz="12" w:space="0" w:color="auto"/>
            </w:tcBorders>
            <w:vAlign w:val="bottom"/>
          </w:tcPr>
          <w:p w14:paraId="5E35B8A4" w14:textId="77777777" w:rsidR="004E2F51" w:rsidRPr="00B91D09" w:rsidRDefault="004E2F51" w:rsidP="00E032FC">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702" w:type="pct"/>
            <w:tcBorders>
              <w:top w:val="single" w:sz="12" w:space="0" w:color="auto"/>
            </w:tcBorders>
            <w:vAlign w:val="bottom"/>
          </w:tcPr>
          <w:p w14:paraId="4DF94D70" w14:textId="77777777" w:rsidR="004E2F51" w:rsidRPr="00B91D09" w:rsidRDefault="004E2F51" w:rsidP="00E032FC">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572" w:type="pct"/>
            <w:tcBorders>
              <w:top w:val="single" w:sz="12" w:space="0" w:color="auto"/>
            </w:tcBorders>
            <w:vAlign w:val="bottom"/>
          </w:tcPr>
          <w:p w14:paraId="701C94B5" w14:textId="77777777" w:rsidR="004E2F51" w:rsidRPr="00B91D09" w:rsidRDefault="004E2F51" w:rsidP="00E032FC">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572" w:type="pct"/>
            <w:tcBorders>
              <w:top w:val="single" w:sz="12" w:space="0" w:color="auto"/>
            </w:tcBorders>
            <w:vAlign w:val="bottom"/>
          </w:tcPr>
          <w:p w14:paraId="1381C77D" w14:textId="77777777" w:rsidR="004E2F51" w:rsidRPr="00B91D09" w:rsidRDefault="004E2F51" w:rsidP="00E032FC">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644" w:type="pct"/>
            <w:tcBorders>
              <w:top w:val="single" w:sz="12" w:space="0" w:color="auto"/>
            </w:tcBorders>
            <w:vAlign w:val="bottom"/>
          </w:tcPr>
          <w:p w14:paraId="74CEB0E4" w14:textId="77777777" w:rsidR="004E2F51" w:rsidRPr="00B91D09" w:rsidRDefault="004E2F51" w:rsidP="00E032FC">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565" w:type="pct"/>
            <w:tcBorders>
              <w:top w:val="single" w:sz="12" w:space="0" w:color="auto"/>
            </w:tcBorders>
            <w:vAlign w:val="bottom"/>
          </w:tcPr>
          <w:p w14:paraId="38651AA8" w14:textId="77777777" w:rsidR="004E2F51" w:rsidRPr="00B91D09" w:rsidRDefault="004E2F51" w:rsidP="00E032FC">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r>
      <w:tr w:rsidR="004E2F51" w:rsidRPr="00B91D09" w14:paraId="3CB657C8" w14:textId="77777777" w:rsidTr="00E032FC">
        <w:trPr>
          <w:trHeight w:val="77"/>
        </w:trPr>
        <w:tc>
          <w:tcPr>
            <w:tcW w:w="1320" w:type="pct"/>
            <w:vAlign w:val="bottom"/>
          </w:tcPr>
          <w:p w14:paraId="6DC95C71" w14:textId="77777777" w:rsidR="004E2F51" w:rsidRPr="00B91D09" w:rsidRDefault="004E2F51" w:rsidP="00E032FC">
            <w:pPr>
              <w:tabs>
                <w:tab w:val="right" w:pos="1202"/>
              </w:tabs>
              <w:spacing w:line="240" w:lineRule="exact"/>
              <w:outlineLvl w:val="0"/>
              <w:rPr>
                <w:rFonts w:ascii="Arial" w:eastAsia="Calibri" w:hAnsi="Arial" w:cs="Arial"/>
                <w:iCs/>
                <w:color w:val="000000" w:themeColor="text1"/>
                <w:sz w:val="17"/>
                <w:szCs w:val="17"/>
                <w:lang w:val="hr-HR"/>
              </w:rPr>
            </w:pPr>
            <w:bookmarkStart w:id="2101" w:name="_Toc67331505"/>
            <w:r w:rsidRPr="00B91D09">
              <w:rPr>
                <w:rFonts w:ascii="Arial" w:eastAsia="Calibri" w:hAnsi="Arial" w:cs="Arial"/>
                <w:iCs/>
                <w:color w:val="000000" w:themeColor="text1"/>
                <w:sz w:val="17"/>
                <w:szCs w:val="17"/>
                <w:lang w:val="hr-HR"/>
              </w:rPr>
              <w:t>Dobit tekuće godine</w:t>
            </w:r>
            <w:bookmarkEnd w:id="2101"/>
          </w:p>
        </w:tc>
        <w:tc>
          <w:tcPr>
            <w:tcW w:w="625" w:type="pct"/>
            <w:vAlign w:val="bottom"/>
          </w:tcPr>
          <w:p w14:paraId="60EC4586" w14:textId="77777777" w:rsidR="004E2F51" w:rsidRPr="00B91D09" w:rsidRDefault="004E2F51" w:rsidP="00E032FC">
            <w:pPr>
              <w:tabs>
                <w:tab w:val="right" w:pos="1202"/>
              </w:tabs>
              <w:spacing w:line="301" w:lineRule="exact"/>
              <w:jc w:val="right"/>
              <w:outlineLvl w:val="0"/>
              <w:rPr>
                <w:rFonts w:ascii="Arial" w:eastAsia="Calibri" w:hAnsi="Arial" w:cs="Arial"/>
                <w:iCs/>
                <w:color w:val="000000" w:themeColor="text1"/>
                <w:sz w:val="17"/>
                <w:szCs w:val="17"/>
                <w:lang w:val="hr-HR"/>
              </w:rPr>
            </w:pPr>
            <w:r w:rsidRPr="00B91D09">
              <w:rPr>
                <w:rFonts w:ascii="Arial" w:hAnsi="Arial" w:cs="Arial"/>
                <w:color w:val="000000"/>
                <w:sz w:val="17"/>
                <w:szCs w:val="17"/>
              </w:rPr>
              <w:t>-</w:t>
            </w:r>
          </w:p>
        </w:tc>
        <w:tc>
          <w:tcPr>
            <w:tcW w:w="702" w:type="pct"/>
            <w:vAlign w:val="bottom"/>
          </w:tcPr>
          <w:p w14:paraId="633403DD" w14:textId="77777777" w:rsidR="004E2F51" w:rsidRPr="00B91D09" w:rsidRDefault="004E2F51" w:rsidP="00E032FC">
            <w:pPr>
              <w:tabs>
                <w:tab w:val="right" w:pos="1202"/>
              </w:tabs>
              <w:spacing w:line="301" w:lineRule="exact"/>
              <w:jc w:val="right"/>
              <w:outlineLvl w:val="0"/>
              <w:rPr>
                <w:rFonts w:ascii="Arial" w:eastAsia="Calibri" w:hAnsi="Arial" w:cs="Arial"/>
                <w:iCs/>
                <w:color w:val="000000" w:themeColor="text1"/>
                <w:sz w:val="17"/>
                <w:szCs w:val="17"/>
                <w:lang w:val="hr-HR"/>
              </w:rPr>
            </w:pPr>
            <w:r w:rsidRPr="00B91D09">
              <w:rPr>
                <w:rFonts w:ascii="Arial" w:hAnsi="Arial" w:cs="Arial"/>
                <w:color w:val="000000"/>
                <w:sz w:val="17"/>
                <w:szCs w:val="17"/>
              </w:rPr>
              <w:t>-</w:t>
            </w:r>
          </w:p>
        </w:tc>
        <w:tc>
          <w:tcPr>
            <w:tcW w:w="572" w:type="pct"/>
            <w:vAlign w:val="bottom"/>
          </w:tcPr>
          <w:p w14:paraId="5D851B7C" w14:textId="77777777" w:rsidR="004E2F51" w:rsidRPr="00B91D09" w:rsidRDefault="004E2F51" w:rsidP="00E032FC">
            <w:pPr>
              <w:tabs>
                <w:tab w:val="right" w:pos="1202"/>
              </w:tabs>
              <w:spacing w:line="301" w:lineRule="exact"/>
              <w:jc w:val="right"/>
              <w:outlineLvl w:val="0"/>
              <w:rPr>
                <w:rFonts w:ascii="Arial" w:eastAsia="Calibri" w:hAnsi="Arial" w:cs="Arial"/>
                <w:iCs/>
                <w:color w:val="000000" w:themeColor="text1"/>
                <w:sz w:val="17"/>
                <w:szCs w:val="17"/>
                <w:lang w:val="hr-HR"/>
              </w:rPr>
            </w:pPr>
            <w:r w:rsidRPr="00B91D09">
              <w:rPr>
                <w:rFonts w:ascii="Arial" w:hAnsi="Arial" w:cs="Arial"/>
                <w:color w:val="000000"/>
                <w:sz w:val="17"/>
                <w:szCs w:val="17"/>
              </w:rPr>
              <w:t>-</w:t>
            </w:r>
          </w:p>
        </w:tc>
        <w:tc>
          <w:tcPr>
            <w:tcW w:w="572" w:type="pct"/>
            <w:vAlign w:val="bottom"/>
          </w:tcPr>
          <w:p w14:paraId="567C5AF5" w14:textId="77777777" w:rsidR="004E2F51" w:rsidRPr="00B91D09" w:rsidRDefault="004E2F51" w:rsidP="00E032FC">
            <w:pPr>
              <w:tabs>
                <w:tab w:val="right" w:pos="1202"/>
              </w:tabs>
              <w:spacing w:line="301" w:lineRule="exact"/>
              <w:jc w:val="right"/>
              <w:outlineLvl w:val="0"/>
              <w:rPr>
                <w:rFonts w:ascii="Arial" w:eastAsia="Calibri" w:hAnsi="Arial" w:cs="Arial"/>
                <w:iCs/>
                <w:color w:val="000000" w:themeColor="text1"/>
                <w:sz w:val="17"/>
                <w:szCs w:val="17"/>
                <w:lang w:val="hr-HR"/>
              </w:rPr>
            </w:pPr>
            <w:r w:rsidRPr="00B91D09">
              <w:rPr>
                <w:rFonts w:ascii="Arial" w:hAnsi="Arial" w:cs="Arial"/>
                <w:color w:val="000000"/>
                <w:sz w:val="17"/>
                <w:szCs w:val="17"/>
              </w:rPr>
              <w:t>1.103</w:t>
            </w:r>
          </w:p>
        </w:tc>
        <w:tc>
          <w:tcPr>
            <w:tcW w:w="644" w:type="pct"/>
            <w:vAlign w:val="bottom"/>
          </w:tcPr>
          <w:p w14:paraId="7BBA4CF4" w14:textId="77777777" w:rsidR="004E2F51" w:rsidRPr="00B91D09" w:rsidRDefault="004E2F51" w:rsidP="00E032FC">
            <w:pPr>
              <w:tabs>
                <w:tab w:val="right" w:pos="1202"/>
              </w:tabs>
              <w:spacing w:line="301" w:lineRule="exact"/>
              <w:jc w:val="right"/>
              <w:outlineLvl w:val="0"/>
              <w:rPr>
                <w:rFonts w:ascii="Arial" w:eastAsia="Calibri" w:hAnsi="Arial" w:cs="Arial"/>
                <w:b/>
                <w:iCs/>
                <w:color w:val="000000" w:themeColor="text1"/>
                <w:sz w:val="17"/>
                <w:szCs w:val="17"/>
                <w:lang w:val="hr-HR"/>
              </w:rPr>
            </w:pPr>
            <w:r w:rsidRPr="00B91D09">
              <w:rPr>
                <w:rFonts w:ascii="Arial" w:hAnsi="Arial" w:cs="Arial"/>
                <w:b/>
                <w:bCs/>
                <w:color w:val="000000"/>
                <w:sz w:val="17"/>
                <w:szCs w:val="17"/>
              </w:rPr>
              <w:t>1.103</w:t>
            </w:r>
          </w:p>
        </w:tc>
        <w:tc>
          <w:tcPr>
            <w:tcW w:w="565" w:type="pct"/>
            <w:shd w:val="clear" w:color="auto" w:fill="auto"/>
            <w:vAlign w:val="bottom"/>
          </w:tcPr>
          <w:p w14:paraId="352738AF" w14:textId="77777777" w:rsidR="004E2F51" w:rsidRPr="00B91D09" w:rsidRDefault="004E2F51" w:rsidP="00E032FC">
            <w:pPr>
              <w:tabs>
                <w:tab w:val="right" w:pos="1202"/>
              </w:tabs>
              <w:spacing w:line="301" w:lineRule="exact"/>
              <w:jc w:val="right"/>
              <w:outlineLvl w:val="0"/>
              <w:rPr>
                <w:rFonts w:ascii="Arial" w:eastAsia="Calibri" w:hAnsi="Arial" w:cs="Arial"/>
                <w:b/>
                <w:iCs/>
                <w:color w:val="000000" w:themeColor="text1"/>
                <w:sz w:val="17"/>
                <w:szCs w:val="17"/>
                <w:lang w:val="hr-HR"/>
              </w:rPr>
            </w:pPr>
            <w:r w:rsidRPr="00B91D09">
              <w:rPr>
                <w:rFonts w:ascii="Arial" w:hAnsi="Arial" w:cs="Arial"/>
                <w:b/>
                <w:bCs/>
                <w:color w:val="000000"/>
                <w:sz w:val="17"/>
                <w:szCs w:val="17"/>
              </w:rPr>
              <w:t>1.103</w:t>
            </w:r>
          </w:p>
        </w:tc>
      </w:tr>
      <w:tr w:rsidR="004E2F51" w:rsidRPr="00B91D09" w14:paraId="462C930F" w14:textId="77777777" w:rsidTr="00E032FC">
        <w:trPr>
          <w:trHeight w:val="77"/>
        </w:trPr>
        <w:tc>
          <w:tcPr>
            <w:tcW w:w="1320" w:type="pct"/>
            <w:vAlign w:val="bottom"/>
          </w:tcPr>
          <w:p w14:paraId="3A527510" w14:textId="77777777" w:rsidR="004E2F51" w:rsidRPr="00B91D09" w:rsidRDefault="004E2F51" w:rsidP="00E032FC">
            <w:pPr>
              <w:tabs>
                <w:tab w:val="right" w:pos="1202"/>
              </w:tabs>
              <w:spacing w:line="240" w:lineRule="exact"/>
              <w:outlineLvl w:val="0"/>
              <w:rPr>
                <w:rFonts w:ascii="Arial" w:eastAsia="Calibri" w:hAnsi="Arial" w:cs="Arial"/>
                <w:iCs/>
                <w:color w:val="000000" w:themeColor="text1"/>
                <w:sz w:val="17"/>
                <w:szCs w:val="17"/>
                <w:lang w:val="hr-HR"/>
              </w:rPr>
            </w:pPr>
            <w:bookmarkStart w:id="2102" w:name="_Toc67331512"/>
            <w:r w:rsidRPr="00B91D09">
              <w:rPr>
                <w:rFonts w:ascii="Arial" w:eastAsia="Calibri" w:hAnsi="Arial" w:cs="Arial"/>
                <w:iCs/>
                <w:color w:val="000000" w:themeColor="text1"/>
                <w:sz w:val="17"/>
                <w:szCs w:val="17"/>
                <w:lang w:val="hr-HR"/>
              </w:rPr>
              <w:t>Ostala sveobuhvatna dobit</w:t>
            </w:r>
            <w:bookmarkEnd w:id="2102"/>
          </w:p>
        </w:tc>
        <w:tc>
          <w:tcPr>
            <w:tcW w:w="625" w:type="pct"/>
            <w:tcBorders>
              <w:top w:val="nil"/>
              <w:left w:val="nil"/>
              <w:bottom w:val="single" w:sz="4" w:space="0" w:color="auto"/>
              <w:right w:val="nil"/>
            </w:tcBorders>
            <w:vAlign w:val="bottom"/>
          </w:tcPr>
          <w:p w14:paraId="0861C5C0" w14:textId="77777777" w:rsidR="004E2F51" w:rsidRPr="00B91D09" w:rsidRDefault="004E2F51" w:rsidP="00E032FC">
            <w:pPr>
              <w:tabs>
                <w:tab w:val="right" w:pos="1202"/>
              </w:tabs>
              <w:spacing w:line="301" w:lineRule="exact"/>
              <w:jc w:val="right"/>
              <w:outlineLvl w:val="0"/>
              <w:rPr>
                <w:rFonts w:ascii="Arial" w:eastAsia="Calibri" w:hAnsi="Arial" w:cs="Arial"/>
                <w:iCs/>
                <w:color w:val="000000" w:themeColor="text1"/>
                <w:sz w:val="17"/>
                <w:szCs w:val="17"/>
                <w:lang w:val="hr-HR"/>
              </w:rPr>
            </w:pPr>
            <w:r w:rsidRPr="00B91D09">
              <w:rPr>
                <w:rFonts w:ascii="Arial" w:hAnsi="Arial" w:cs="Arial"/>
                <w:color w:val="000000"/>
                <w:sz w:val="17"/>
                <w:szCs w:val="17"/>
              </w:rPr>
              <w:t>-</w:t>
            </w:r>
          </w:p>
        </w:tc>
        <w:tc>
          <w:tcPr>
            <w:tcW w:w="702" w:type="pct"/>
            <w:tcBorders>
              <w:top w:val="nil"/>
              <w:left w:val="nil"/>
              <w:bottom w:val="single" w:sz="4" w:space="0" w:color="auto"/>
              <w:right w:val="nil"/>
            </w:tcBorders>
            <w:vAlign w:val="bottom"/>
          </w:tcPr>
          <w:p w14:paraId="29EC0F8C" w14:textId="77777777" w:rsidR="004E2F51" w:rsidRPr="00B91D09" w:rsidRDefault="004E2F51" w:rsidP="00E032FC">
            <w:pPr>
              <w:tabs>
                <w:tab w:val="right" w:pos="1202"/>
              </w:tabs>
              <w:spacing w:line="301" w:lineRule="exact"/>
              <w:jc w:val="right"/>
              <w:outlineLvl w:val="0"/>
              <w:rPr>
                <w:rFonts w:ascii="Arial" w:eastAsia="Calibri" w:hAnsi="Arial" w:cs="Arial"/>
                <w:iCs/>
                <w:color w:val="000000" w:themeColor="text1"/>
                <w:sz w:val="17"/>
                <w:szCs w:val="17"/>
                <w:lang w:val="hr-HR"/>
              </w:rPr>
            </w:pPr>
            <w:r w:rsidRPr="00B91D09">
              <w:rPr>
                <w:rFonts w:ascii="Arial" w:hAnsi="Arial" w:cs="Arial"/>
                <w:color w:val="000000"/>
                <w:sz w:val="17"/>
                <w:szCs w:val="17"/>
              </w:rPr>
              <w:t>-</w:t>
            </w:r>
          </w:p>
        </w:tc>
        <w:tc>
          <w:tcPr>
            <w:tcW w:w="572" w:type="pct"/>
            <w:tcBorders>
              <w:top w:val="nil"/>
              <w:left w:val="nil"/>
              <w:bottom w:val="single" w:sz="4" w:space="0" w:color="auto"/>
              <w:right w:val="nil"/>
            </w:tcBorders>
            <w:vAlign w:val="bottom"/>
          </w:tcPr>
          <w:p w14:paraId="601D3B8F" w14:textId="77777777" w:rsidR="004E2F51" w:rsidRPr="00B91D09" w:rsidRDefault="004E2F51" w:rsidP="00E032FC">
            <w:pPr>
              <w:tabs>
                <w:tab w:val="right" w:pos="1202"/>
              </w:tabs>
              <w:spacing w:line="301" w:lineRule="exact"/>
              <w:jc w:val="right"/>
              <w:outlineLvl w:val="0"/>
              <w:rPr>
                <w:rFonts w:ascii="Arial" w:eastAsia="Calibri" w:hAnsi="Arial" w:cs="Arial"/>
                <w:iCs/>
                <w:color w:val="000000" w:themeColor="text1"/>
                <w:sz w:val="17"/>
                <w:szCs w:val="17"/>
                <w:lang w:val="hr-HR"/>
              </w:rPr>
            </w:pPr>
            <w:r w:rsidRPr="00B91D09">
              <w:rPr>
                <w:rFonts w:ascii="Arial" w:hAnsi="Arial" w:cs="Arial"/>
                <w:color w:val="000000"/>
                <w:sz w:val="17"/>
                <w:szCs w:val="17"/>
              </w:rPr>
              <w:t>(1.187)</w:t>
            </w:r>
          </w:p>
        </w:tc>
        <w:tc>
          <w:tcPr>
            <w:tcW w:w="572" w:type="pct"/>
            <w:tcBorders>
              <w:top w:val="nil"/>
              <w:left w:val="nil"/>
              <w:bottom w:val="single" w:sz="4" w:space="0" w:color="auto"/>
              <w:right w:val="nil"/>
            </w:tcBorders>
            <w:vAlign w:val="bottom"/>
          </w:tcPr>
          <w:p w14:paraId="5C82C4A6" w14:textId="77777777" w:rsidR="004E2F51" w:rsidRPr="00B91D09" w:rsidRDefault="004E2F51" w:rsidP="00E032FC">
            <w:pPr>
              <w:tabs>
                <w:tab w:val="right" w:pos="1202"/>
              </w:tabs>
              <w:spacing w:line="301" w:lineRule="exact"/>
              <w:jc w:val="right"/>
              <w:outlineLvl w:val="0"/>
              <w:rPr>
                <w:rFonts w:ascii="Arial" w:eastAsia="Calibri" w:hAnsi="Arial" w:cs="Arial"/>
                <w:iCs/>
                <w:color w:val="000000" w:themeColor="text1"/>
                <w:sz w:val="17"/>
                <w:szCs w:val="17"/>
                <w:lang w:val="hr-HR"/>
              </w:rPr>
            </w:pPr>
            <w:r w:rsidRPr="00B91D09">
              <w:rPr>
                <w:rFonts w:ascii="Arial" w:hAnsi="Arial" w:cs="Arial"/>
                <w:color w:val="000000"/>
                <w:sz w:val="17"/>
                <w:szCs w:val="17"/>
              </w:rPr>
              <w:t>-</w:t>
            </w:r>
          </w:p>
        </w:tc>
        <w:tc>
          <w:tcPr>
            <w:tcW w:w="644" w:type="pct"/>
            <w:tcBorders>
              <w:top w:val="nil"/>
              <w:left w:val="nil"/>
              <w:bottom w:val="single" w:sz="4" w:space="0" w:color="auto"/>
              <w:right w:val="nil"/>
            </w:tcBorders>
            <w:vAlign w:val="bottom"/>
          </w:tcPr>
          <w:p w14:paraId="1FBEFD22" w14:textId="77777777" w:rsidR="004E2F51" w:rsidRPr="00B91D09" w:rsidRDefault="004E2F51" w:rsidP="00E032FC">
            <w:pPr>
              <w:tabs>
                <w:tab w:val="right" w:pos="1202"/>
              </w:tabs>
              <w:spacing w:line="301" w:lineRule="exact"/>
              <w:jc w:val="right"/>
              <w:outlineLvl w:val="0"/>
              <w:rPr>
                <w:rFonts w:ascii="Arial" w:eastAsia="Calibri" w:hAnsi="Arial" w:cs="Arial"/>
                <w:b/>
                <w:iCs/>
                <w:color w:val="000000" w:themeColor="text1"/>
                <w:sz w:val="17"/>
                <w:szCs w:val="17"/>
                <w:lang w:val="hr-HR"/>
              </w:rPr>
            </w:pPr>
            <w:r w:rsidRPr="00B91D09">
              <w:rPr>
                <w:rFonts w:ascii="Arial" w:hAnsi="Arial" w:cs="Arial"/>
                <w:b/>
                <w:bCs/>
                <w:color w:val="000000"/>
                <w:sz w:val="17"/>
                <w:szCs w:val="17"/>
              </w:rPr>
              <w:t>(1.187)</w:t>
            </w:r>
          </w:p>
        </w:tc>
        <w:tc>
          <w:tcPr>
            <w:tcW w:w="565" w:type="pct"/>
            <w:tcBorders>
              <w:top w:val="nil"/>
              <w:left w:val="nil"/>
              <w:bottom w:val="single" w:sz="4" w:space="0" w:color="auto"/>
              <w:right w:val="nil"/>
            </w:tcBorders>
            <w:shd w:val="clear" w:color="auto" w:fill="auto"/>
            <w:vAlign w:val="bottom"/>
          </w:tcPr>
          <w:p w14:paraId="7D01B93F" w14:textId="77777777" w:rsidR="004E2F51" w:rsidRPr="00B91D09" w:rsidRDefault="004E2F51" w:rsidP="00E032FC">
            <w:pPr>
              <w:tabs>
                <w:tab w:val="right" w:pos="1202"/>
              </w:tabs>
              <w:spacing w:line="301" w:lineRule="exact"/>
              <w:jc w:val="right"/>
              <w:outlineLvl w:val="0"/>
              <w:rPr>
                <w:rFonts w:ascii="Arial" w:eastAsia="Calibri" w:hAnsi="Arial" w:cs="Arial"/>
                <w:b/>
                <w:iCs/>
                <w:color w:val="000000" w:themeColor="text1"/>
                <w:sz w:val="17"/>
                <w:szCs w:val="17"/>
                <w:lang w:val="hr-HR"/>
              </w:rPr>
            </w:pPr>
            <w:r w:rsidRPr="00B91D09">
              <w:rPr>
                <w:rFonts w:ascii="Arial" w:hAnsi="Arial" w:cs="Arial"/>
                <w:b/>
                <w:bCs/>
                <w:color w:val="000000"/>
                <w:sz w:val="17"/>
                <w:szCs w:val="17"/>
              </w:rPr>
              <w:t>(1.187)</w:t>
            </w:r>
          </w:p>
        </w:tc>
      </w:tr>
      <w:tr w:rsidR="004E2F51" w:rsidRPr="00B91D09" w14:paraId="62254D29" w14:textId="77777777" w:rsidTr="00E032FC">
        <w:trPr>
          <w:trHeight w:val="132"/>
        </w:trPr>
        <w:tc>
          <w:tcPr>
            <w:tcW w:w="1320" w:type="pct"/>
          </w:tcPr>
          <w:p w14:paraId="371272F4" w14:textId="77777777" w:rsidR="004E2F51" w:rsidRPr="00B91D09" w:rsidRDefault="004E2F51" w:rsidP="00E032FC">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59D0BF93" w14:textId="77777777" w:rsidR="004E2F51" w:rsidRPr="00B91D09" w:rsidRDefault="004E2F51" w:rsidP="00E032F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702" w:type="pct"/>
            <w:tcBorders>
              <w:top w:val="single" w:sz="4" w:space="0" w:color="auto"/>
              <w:left w:val="nil"/>
              <w:bottom w:val="nil"/>
              <w:right w:val="nil"/>
            </w:tcBorders>
            <w:vAlign w:val="bottom"/>
          </w:tcPr>
          <w:p w14:paraId="38524870" w14:textId="77777777" w:rsidR="004E2F51" w:rsidRPr="00B91D09" w:rsidRDefault="004E2F51" w:rsidP="00E032F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47B1C8F4" w14:textId="77777777" w:rsidR="004E2F51" w:rsidRPr="00B91D09" w:rsidRDefault="004E2F51" w:rsidP="00E032F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0A77116F" w14:textId="77777777" w:rsidR="004E2F51" w:rsidRPr="00B91D09" w:rsidRDefault="004E2F51" w:rsidP="00E032F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644" w:type="pct"/>
            <w:tcBorders>
              <w:top w:val="single" w:sz="4" w:space="0" w:color="auto"/>
              <w:left w:val="nil"/>
              <w:bottom w:val="nil"/>
              <w:right w:val="nil"/>
            </w:tcBorders>
            <w:vAlign w:val="bottom"/>
          </w:tcPr>
          <w:p w14:paraId="14E48C2B" w14:textId="77777777" w:rsidR="004E2F51" w:rsidRPr="00B91D09" w:rsidRDefault="004E2F51" w:rsidP="00E032F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65" w:type="pct"/>
            <w:tcBorders>
              <w:top w:val="single" w:sz="4" w:space="0" w:color="auto"/>
              <w:left w:val="nil"/>
              <w:bottom w:val="nil"/>
              <w:right w:val="nil"/>
            </w:tcBorders>
            <w:vAlign w:val="bottom"/>
          </w:tcPr>
          <w:p w14:paraId="1EE213FB" w14:textId="77777777" w:rsidR="004E2F51" w:rsidRPr="00B91D09" w:rsidRDefault="004E2F51" w:rsidP="00E032F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r>
      <w:tr w:rsidR="004E2F51" w:rsidRPr="00B91D09" w14:paraId="2F4FFDB0" w14:textId="77777777" w:rsidTr="00E032FC">
        <w:trPr>
          <w:trHeight w:val="77"/>
        </w:trPr>
        <w:tc>
          <w:tcPr>
            <w:tcW w:w="1320" w:type="pct"/>
            <w:vAlign w:val="bottom"/>
          </w:tcPr>
          <w:p w14:paraId="4C0E1AF3" w14:textId="77777777" w:rsidR="004E2F51" w:rsidRPr="00B91D09" w:rsidRDefault="004E2F51" w:rsidP="00E032FC">
            <w:pPr>
              <w:tabs>
                <w:tab w:val="right" w:pos="1202"/>
              </w:tabs>
              <w:spacing w:line="240" w:lineRule="exact"/>
              <w:outlineLvl w:val="0"/>
              <w:rPr>
                <w:rFonts w:ascii="Arial" w:eastAsia="Calibri" w:hAnsi="Arial" w:cs="Arial"/>
                <w:iCs/>
                <w:color w:val="000000" w:themeColor="text1"/>
                <w:sz w:val="17"/>
                <w:szCs w:val="17"/>
                <w:lang w:val="hr-HR"/>
              </w:rPr>
            </w:pPr>
            <w:bookmarkStart w:id="2103" w:name="_Toc67331519"/>
            <w:r w:rsidRPr="00B91D09">
              <w:rPr>
                <w:rFonts w:ascii="Arial" w:eastAsia="Calibri" w:hAnsi="Arial" w:cs="Arial"/>
                <w:iCs/>
                <w:color w:val="000000" w:themeColor="text1"/>
                <w:sz w:val="17"/>
                <w:szCs w:val="17"/>
                <w:lang w:val="hr-HR"/>
              </w:rPr>
              <w:t>Ukupna sveobuhvatna dobit</w:t>
            </w:r>
            <w:bookmarkEnd w:id="2103"/>
          </w:p>
        </w:tc>
        <w:tc>
          <w:tcPr>
            <w:tcW w:w="625" w:type="pct"/>
            <w:tcBorders>
              <w:top w:val="nil"/>
              <w:left w:val="nil"/>
              <w:bottom w:val="single" w:sz="4" w:space="0" w:color="auto"/>
              <w:right w:val="nil"/>
            </w:tcBorders>
            <w:shd w:val="clear" w:color="auto" w:fill="auto"/>
            <w:vAlign w:val="bottom"/>
          </w:tcPr>
          <w:p w14:paraId="542CBC2F" w14:textId="77777777" w:rsidR="004E2F51" w:rsidRPr="00B91D09" w:rsidRDefault="004E2F51" w:rsidP="00E032FC">
            <w:pPr>
              <w:tabs>
                <w:tab w:val="right" w:pos="1202"/>
              </w:tabs>
              <w:spacing w:line="301" w:lineRule="exact"/>
              <w:jc w:val="right"/>
              <w:outlineLvl w:val="0"/>
              <w:rPr>
                <w:rFonts w:ascii="Arial" w:eastAsia="Calibri" w:hAnsi="Arial" w:cs="Arial"/>
                <w:iCs/>
                <w:color w:val="000000" w:themeColor="text1"/>
                <w:sz w:val="17"/>
                <w:szCs w:val="17"/>
                <w:lang w:val="hr-HR"/>
              </w:rPr>
            </w:pPr>
            <w:r w:rsidRPr="00B91D09">
              <w:rPr>
                <w:rFonts w:ascii="Arial" w:hAnsi="Arial" w:cs="Arial"/>
                <w:color w:val="000000"/>
                <w:sz w:val="17"/>
                <w:szCs w:val="17"/>
              </w:rPr>
              <w:t>-</w:t>
            </w:r>
          </w:p>
        </w:tc>
        <w:tc>
          <w:tcPr>
            <w:tcW w:w="702" w:type="pct"/>
            <w:tcBorders>
              <w:top w:val="nil"/>
              <w:left w:val="nil"/>
              <w:bottom w:val="single" w:sz="4" w:space="0" w:color="auto"/>
              <w:right w:val="nil"/>
            </w:tcBorders>
            <w:shd w:val="clear" w:color="auto" w:fill="auto"/>
            <w:vAlign w:val="bottom"/>
          </w:tcPr>
          <w:p w14:paraId="533C4418" w14:textId="77777777" w:rsidR="004E2F51" w:rsidRPr="00B91D09" w:rsidRDefault="004E2F51" w:rsidP="00E032FC">
            <w:pPr>
              <w:tabs>
                <w:tab w:val="right" w:pos="1202"/>
              </w:tabs>
              <w:spacing w:line="301" w:lineRule="exact"/>
              <w:jc w:val="right"/>
              <w:outlineLvl w:val="0"/>
              <w:rPr>
                <w:rFonts w:ascii="Arial" w:eastAsia="Calibri" w:hAnsi="Arial" w:cs="Arial"/>
                <w:iCs/>
                <w:color w:val="000000" w:themeColor="text1"/>
                <w:sz w:val="17"/>
                <w:szCs w:val="17"/>
                <w:lang w:val="hr-HR"/>
              </w:rPr>
            </w:pPr>
            <w:r w:rsidRPr="00B91D09">
              <w:rPr>
                <w:rFonts w:ascii="Arial" w:hAnsi="Arial" w:cs="Arial"/>
                <w:color w:val="000000"/>
                <w:sz w:val="17"/>
                <w:szCs w:val="17"/>
              </w:rPr>
              <w:t>-</w:t>
            </w:r>
          </w:p>
        </w:tc>
        <w:tc>
          <w:tcPr>
            <w:tcW w:w="572" w:type="pct"/>
            <w:tcBorders>
              <w:top w:val="nil"/>
              <w:left w:val="nil"/>
              <w:bottom w:val="single" w:sz="4" w:space="0" w:color="auto"/>
              <w:right w:val="nil"/>
            </w:tcBorders>
            <w:shd w:val="clear" w:color="auto" w:fill="auto"/>
            <w:vAlign w:val="bottom"/>
          </w:tcPr>
          <w:p w14:paraId="4A0D3192" w14:textId="77777777" w:rsidR="004E2F51" w:rsidRPr="00B91D09" w:rsidRDefault="004E2F51" w:rsidP="00E032FC">
            <w:pPr>
              <w:tabs>
                <w:tab w:val="right" w:pos="1202"/>
              </w:tabs>
              <w:spacing w:line="301" w:lineRule="exact"/>
              <w:jc w:val="right"/>
              <w:outlineLvl w:val="0"/>
              <w:rPr>
                <w:rFonts w:ascii="Arial" w:eastAsia="Calibri" w:hAnsi="Arial" w:cs="Arial"/>
                <w:iCs/>
                <w:color w:val="000000" w:themeColor="text1"/>
                <w:sz w:val="17"/>
                <w:szCs w:val="17"/>
                <w:lang w:val="hr-HR"/>
              </w:rPr>
            </w:pPr>
            <w:r w:rsidRPr="00B91D09">
              <w:rPr>
                <w:rFonts w:ascii="Arial" w:hAnsi="Arial" w:cs="Arial"/>
                <w:color w:val="000000"/>
                <w:sz w:val="17"/>
                <w:szCs w:val="17"/>
              </w:rPr>
              <w:t>(1.187)</w:t>
            </w:r>
          </w:p>
        </w:tc>
        <w:tc>
          <w:tcPr>
            <w:tcW w:w="572" w:type="pct"/>
            <w:tcBorders>
              <w:top w:val="nil"/>
              <w:left w:val="nil"/>
              <w:bottom w:val="single" w:sz="4" w:space="0" w:color="auto"/>
              <w:right w:val="nil"/>
            </w:tcBorders>
            <w:shd w:val="clear" w:color="auto" w:fill="auto"/>
            <w:vAlign w:val="bottom"/>
          </w:tcPr>
          <w:p w14:paraId="77339A9B" w14:textId="77777777" w:rsidR="004E2F51" w:rsidRPr="00B91D09" w:rsidRDefault="004E2F51" w:rsidP="00E032FC">
            <w:pPr>
              <w:tabs>
                <w:tab w:val="right" w:pos="1202"/>
              </w:tabs>
              <w:spacing w:line="301" w:lineRule="exact"/>
              <w:jc w:val="right"/>
              <w:outlineLvl w:val="0"/>
              <w:rPr>
                <w:rFonts w:ascii="Arial" w:eastAsia="Calibri" w:hAnsi="Arial" w:cs="Arial"/>
                <w:iCs/>
                <w:color w:val="000000" w:themeColor="text1"/>
                <w:sz w:val="17"/>
                <w:szCs w:val="17"/>
                <w:lang w:val="hr-HR"/>
              </w:rPr>
            </w:pPr>
            <w:r w:rsidRPr="00B91D09">
              <w:rPr>
                <w:rFonts w:ascii="Arial" w:hAnsi="Arial" w:cs="Arial"/>
                <w:color w:val="000000"/>
                <w:sz w:val="17"/>
                <w:szCs w:val="17"/>
              </w:rPr>
              <w:t>1.103</w:t>
            </w:r>
          </w:p>
        </w:tc>
        <w:tc>
          <w:tcPr>
            <w:tcW w:w="644" w:type="pct"/>
            <w:tcBorders>
              <w:top w:val="nil"/>
              <w:left w:val="nil"/>
              <w:bottom w:val="single" w:sz="4" w:space="0" w:color="auto"/>
              <w:right w:val="nil"/>
            </w:tcBorders>
            <w:shd w:val="clear" w:color="auto" w:fill="auto"/>
            <w:vAlign w:val="bottom"/>
          </w:tcPr>
          <w:p w14:paraId="11BF3415" w14:textId="77777777" w:rsidR="004E2F51" w:rsidRPr="00B91D09" w:rsidRDefault="004E2F51" w:rsidP="00E032FC">
            <w:pPr>
              <w:tabs>
                <w:tab w:val="right" w:pos="1202"/>
              </w:tabs>
              <w:spacing w:line="301" w:lineRule="exact"/>
              <w:jc w:val="right"/>
              <w:outlineLvl w:val="0"/>
              <w:rPr>
                <w:rFonts w:ascii="Arial" w:eastAsia="Calibri" w:hAnsi="Arial" w:cs="Arial"/>
                <w:b/>
                <w:iCs/>
                <w:color w:val="000000" w:themeColor="text1"/>
                <w:sz w:val="17"/>
                <w:szCs w:val="17"/>
                <w:lang w:val="hr-HR"/>
              </w:rPr>
            </w:pPr>
            <w:r w:rsidRPr="00B91D09">
              <w:rPr>
                <w:rFonts w:ascii="Arial" w:hAnsi="Arial" w:cs="Arial"/>
                <w:b/>
                <w:bCs/>
                <w:color w:val="000000"/>
                <w:sz w:val="17"/>
                <w:szCs w:val="17"/>
              </w:rPr>
              <w:t>(84)</w:t>
            </w:r>
          </w:p>
        </w:tc>
        <w:tc>
          <w:tcPr>
            <w:tcW w:w="565" w:type="pct"/>
            <w:tcBorders>
              <w:top w:val="nil"/>
              <w:left w:val="nil"/>
              <w:bottom w:val="single" w:sz="4" w:space="0" w:color="auto"/>
              <w:right w:val="nil"/>
            </w:tcBorders>
            <w:shd w:val="clear" w:color="auto" w:fill="auto"/>
            <w:vAlign w:val="bottom"/>
          </w:tcPr>
          <w:p w14:paraId="6F3DC232" w14:textId="77777777" w:rsidR="004E2F51" w:rsidRPr="00B91D09" w:rsidRDefault="004E2F51" w:rsidP="00E032FC">
            <w:pPr>
              <w:tabs>
                <w:tab w:val="right" w:pos="1202"/>
              </w:tabs>
              <w:spacing w:line="301" w:lineRule="exact"/>
              <w:jc w:val="right"/>
              <w:outlineLvl w:val="0"/>
              <w:rPr>
                <w:rFonts w:ascii="Arial" w:eastAsia="Calibri" w:hAnsi="Arial" w:cs="Arial"/>
                <w:b/>
                <w:iCs/>
                <w:color w:val="000000" w:themeColor="text1"/>
                <w:sz w:val="17"/>
                <w:szCs w:val="17"/>
                <w:lang w:val="hr-HR"/>
              </w:rPr>
            </w:pPr>
            <w:r w:rsidRPr="00B91D09">
              <w:rPr>
                <w:rFonts w:ascii="Arial" w:hAnsi="Arial" w:cs="Arial"/>
                <w:b/>
                <w:bCs/>
                <w:color w:val="000000"/>
                <w:sz w:val="17"/>
                <w:szCs w:val="17"/>
              </w:rPr>
              <w:t>(84)</w:t>
            </w:r>
          </w:p>
        </w:tc>
      </w:tr>
      <w:tr w:rsidR="004E2F51" w:rsidRPr="00B91D09" w14:paraId="3B765D09" w14:textId="77777777" w:rsidTr="00E032FC">
        <w:trPr>
          <w:trHeight w:val="132"/>
        </w:trPr>
        <w:tc>
          <w:tcPr>
            <w:tcW w:w="1320" w:type="pct"/>
          </w:tcPr>
          <w:p w14:paraId="2AC416CA" w14:textId="77777777" w:rsidR="004E2F51" w:rsidRPr="00B91D09" w:rsidRDefault="004E2F51" w:rsidP="00E032FC">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3FAB12A8" w14:textId="77777777" w:rsidR="004E2F51" w:rsidRPr="00B91D09" w:rsidRDefault="004E2F51" w:rsidP="00E032F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702" w:type="pct"/>
            <w:tcBorders>
              <w:top w:val="single" w:sz="4" w:space="0" w:color="auto"/>
              <w:left w:val="nil"/>
              <w:bottom w:val="nil"/>
              <w:right w:val="nil"/>
            </w:tcBorders>
            <w:vAlign w:val="bottom"/>
          </w:tcPr>
          <w:p w14:paraId="20F7979E" w14:textId="77777777" w:rsidR="004E2F51" w:rsidRPr="00B91D09" w:rsidRDefault="004E2F51" w:rsidP="00E032F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5580410B" w14:textId="77777777" w:rsidR="004E2F51" w:rsidRPr="00B91D09" w:rsidRDefault="004E2F51" w:rsidP="00E032F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344C2920" w14:textId="77777777" w:rsidR="004E2F51" w:rsidRPr="00B91D09" w:rsidRDefault="004E2F51" w:rsidP="00E032F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644" w:type="pct"/>
            <w:tcBorders>
              <w:top w:val="single" w:sz="4" w:space="0" w:color="auto"/>
              <w:left w:val="nil"/>
              <w:bottom w:val="nil"/>
              <w:right w:val="nil"/>
            </w:tcBorders>
            <w:vAlign w:val="bottom"/>
          </w:tcPr>
          <w:p w14:paraId="68D27A34" w14:textId="77777777" w:rsidR="004E2F51" w:rsidRPr="00B91D09" w:rsidRDefault="004E2F51" w:rsidP="00E032F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65" w:type="pct"/>
            <w:tcBorders>
              <w:top w:val="single" w:sz="4" w:space="0" w:color="auto"/>
              <w:left w:val="nil"/>
              <w:bottom w:val="nil"/>
              <w:right w:val="nil"/>
            </w:tcBorders>
            <w:vAlign w:val="bottom"/>
          </w:tcPr>
          <w:p w14:paraId="6DA704F7" w14:textId="77777777" w:rsidR="004E2F51" w:rsidRPr="00B91D09" w:rsidRDefault="004E2F51" w:rsidP="00E032F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r>
      <w:tr w:rsidR="004E2F51" w:rsidRPr="00B91D09" w14:paraId="4B7BBFE2" w14:textId="77777777" w:rsidTr="00E032FC">
        <w:trPr>
          <w:trHeight w:val="463"/>
        </w:trPr>
        <w:tc>
          <w:tcPr>
            <w:tcW w:w="1320" w:type="pct"/>
          </w:tcPr>
          <w:p w14:paraId="46DBEBED" w14:textId="77777777" w:rsidR="004E2F51" w:rsidRPr="00B91D09" w:rsidRDefault="004E2F51" w:rsidP="00E032FC">
            <w:pPr>
              <w:tabs>
                <w:tab w:val="right" w:pos="1202"/>
              </w:tabs>
              <w:spacing w:line="240" w:lineRule="exact"/>
              <w:outlineLvl w:val="0"/>
              <w:rPr>
                <w:rFonts w:ascii="Arial" w:eastAsia="Calibri" w:hAnsi="Arial" w:cs="Arial"/>
                <w:i/>
                <w:iCs/>
                <w:color w:val="000000" w:themeColor="text1"/>
                <w:sz w:val="17"/>
                <w:szCs w:val="17"/>
                <w:lang w:val="hr-HR"/>
              </w:rPr>
            </w:pPr>
            <w:r w:rsidRPr="00B91D09">
              <w:rPr>
                <w:rFonts w:ascii="Arial" w:eastAsia="Calibri" w:hAnsi="Arial" w:cs="Arial"/>
                <w:iCs/>
                <w:color w:val="000000" w:themeColor="text1"/>
                <w:sz w:val="17"/>
                <w:szCs w:val="17"/>
                <w:lang w:val="hr-HR"/>
              </w:rPr>
              <w:t>Pokrivanje gubitka iz 20</w:t>
            </w:r>
            <w:r>
              <w:rPr>
                <w:rFonts w:ascii="Arial" w:eastAsia="Calibri" w:hAnsi="Arial" w:cs="Arial"/>
                <w:iCs/>
                <w:color w:val="000000" w:themeColor="text1"/>
                <w:sz w:val="17"/>
                <w:szCs w:val="17"/>
                <w:lang w:val="hr-HR"/>
              </w:rPr>
              <w:t>20</w:t>
            </w:r>
            <w:r w:rsidRPr="00B91D09">
              <w:rPr>
                <w:rFonts w:ascii="Arial" w:eastAsia="Calibri" w:hAnsi="Arial" w:cs="Arial"/>
                <w:iCs/>
                <w:color w:val="000000" w:themeColor="text1"/>
                <w:sz w:val="17"/>
                <w:szCs w:val="17"/>
                <w:lang w:val="hr-HR"/>
              </w:rPr>
              <w:t>. godine iz zadržane dobiti</w:t>
            </w:r>
          </w:p>
        </w:tc>
        <w:tc>
          <w:tcPr>
            <w:tcW w:w="625" w:type="pct"/>
            <w:shd w:val="clear" w:color="auto" w:fill="auto"/>
            <w:vAlign w:val="bottom"/>
          </w:tcPr>
          <w:p w14:paraId="7DF6ABC6" w14:textId="77777777" w:rsidR="004E2F51" w:rsidRPr="00B91D09" w:rsidRDefault="004E2F51" w:rsidP="00E032FC">
            <w:pPr>
              <w:tabs>
                <w:tab w:val="right" w:pos="1202"/>
              </w:tabs>
              <w:spacing w:line="301" w:lineRule="exact"/>
              <w:jc w:val="right"/>
              <w:outlineLvl w:val="0"/>
              <w:rPr>
                <w:rFonts w:ascii="Arial" w:eastAsia="Calibri" w:hAnsi="Arial" w:cs="Arial"/>
                <w:iCs/>
                <w:color w:val="000000" w:themeColor="text1"/>
                <w:sz w:val="17"/>
                <w:szCs w:val="17"/>
                <w:lang w:val="hr-HR"/>
              </w:rPr>
            </w:pPr>
            <w:r w:rsidRPr="00B91D09">
              <w:rPr>
                <w:rFonts w:ascii="Arial" w:hAnsi="Arial" w:cs="Arial"/>
                <w:color w:val="000000"/>
                <w:sz w:val="17"/>
                <w:szCs w:val="17"/>
              </w:rPr>
              <w:t>-</w:t>
            </w:r>
          </w:p>
        </w:tc>
        <w:tc>
          <w:tcPr>
            <w:tcW w:w="702" w:type="pct"/>
            <w:shd w:val="clear" w:color="auto" w:fill="auto"/>
            <w:vAlign w:val="bottom"/>
          </w:tcPr>
          <w:p w14:paraId="7B28D279" w14:textId="77777777" w:rsidR="004E2F51" w:rsidRPr="00B91D09" w:rsidRDefault="004E2F51" w:rsidP="00E032FC">
            <w:pPr>
              <w:tabs>
                <w:tab w:val="right" w:pos="1202"/>
              </w:tabs>
              <w:spacing w:line="301" w:lineRule="exact"/>
              <w:jc w:val="right"/>
              <w:outlineLvl w:val="0"/>
              <w:rPr>
                <w:rFonts w:ascii="Arial" w:eastAsia="Calibri" w:hAnsi="Arial" w:cs="Arial"/>
                <w:iCs/>
                <w:color w:val="000000" w:themeColor="text1"/>
                <w:sz w:val="17"/>
                <w:szCs w:val="17"/>
                <w:lang w:val="hr-HR"/>
              </w:rPr>
            </w:pPr>
            <w:r w:rsidRPr="00B91D09">
              <w:rPr>
                <w:rFonts w:ascii="Arial" w:hAnsi="Arial" w:cs="Arial"/>
                <w:color w:val="000000"/>
                <w:sz w:val="17"/>
                <w:szCs w:val="17"/>
              </w:rPr>
              <w:t>2.192</w:t>
            </w:r>
          </w:p>
        </w:tc>
        <w:tc>
          <w:tcPr>
            <w:tcW w:w="572" w:type="pct"/>
            <w:shd w:val="clear" w:color="auto" w:fill="auto"/>
            <w:vAlign w:val="bottom"/>
          </w:tcPr>
          <w:p w14:paraId="681F5C6C" w14:textId="77777777" w:rsidR="004E2F51" w:rsidRPr="00B91D09" w:rsidRDefault="004E2F51" w:rsidP="00E032FC">
            <w:pPr>
              <w:tabs>
                <w:tab w:val="right" w:pos="1202"/>
              </w:tabs>
              <w:spacing w:line="301" w:lineRule="exact"/>
              <w:jc w:val="right"/>
              <w:outlineLvl w:val="0"/>
              <w:rPr>
                <w:rFonts w:ascii="Arial" w:eastAsia="Calibri" w:hAnsi="Arial" w:cs="Arial"/>
                <w:iCs/>
                <w:color w:val="000000" w:themeColor="text1"/>
                <w:sz w:val="17"/>
                <w:szCs w:val="17"/>
                <w:lang w:val="hr-HR"/>
              </w:rPr>
            </w:pPr>
            <w:r w:rsidRPr="00B91D09">
              <w:rPr>
                <w:rFonts w:ascii="Arial" w:hAnsi="Arial" w:cs="Arial"/>
                <w:color w:val="000000"/>
                <w:sz w:val="17"/>
                <w:szCs w:val="17"/>
              </w:rPr>
              <w:t>-</w:t>
            </w:r>
          </w:p>
        </w:tc>
        <w:tc>
          <w:tcPr>
            <w:tcW w:w="572" w:type="pct"/>
            <w:shd w:val="clear" w:color="auto" w:fill="auto"/>
            <w:vAlign w:val="bottom"/>
          </w:tcPr>
          <w:p w14:paraId="16298DCD" w14:textId="77777777" w:rsidR="004E2F51" w:rsidRPr="00B91D09" w:rsidRDefault="004E2F51" w:rsidP="00E032FC">
            <w:pPr>
              <w:tabs>
                <w:tab w:val="right" w:pos="1202"/>
              </w:tabs>
              <w:spacing w:line="301" w:lineRule="exact"/>
              <w:jc w:val="right"/>
              <w:outlineLvl w:val="0"/>
              <w:rPr>
                <w:rFonts w:ascii="Arial" w:eastAsia="Calibri" w:hAnsi="Arial" w:cs="Arial"/>
                <w:iCs/>
                <w:color w:val="000000" w:themeColor="text1"/>
                <w:sz w:val="17"/>
                <w:szCs w:val="17"/>
                <w:lang w:val="hr-HR"/>
              </w:rPr>
            </w:pPr>
            <w:r w:rsidRPr="00B91D09">
              <w:rPr>
                <w:rFonts w:ascii="Arial" w:hAnsi="Arial" w:cs="Arial"/>
                <w:color w:val="000000"/>
                <w:sz w:val="17"/>
                <w:szCs w:val="17"/>
              </w:rPr>
              <w:t>(2.192)</w:t>
            </w:r>
          </w:p>
        </w:tc>
        <w:tc>
          <w:tcPr>
            <w:tcW w:w="644" w:type="pct"/>
            <w:shd w:val="clear" w:color="auto" w:fill="auto"/>
            <w:vAlign w:val="bottom"/>
          </w:tcPr>
          <w:p w14:paraId="5331C0E5" w14:textId="77777777" w:rsidR="004E2F51" w:rsidRPr="00B91D09" w:rsidRDefault="004E2F51" w:rsidP="00E032FC">
            <w:pPr>
              <w:tabs>
                <w:tab w:val="right" w:pos="1202"/>
              </w:tabs>
              <w:spacing w:line="301" w:lineRule="exact"/>
              <w:jc w:val="right"/>
              <w:outlineLvl w:val="0"/>
              <w:rPr>
                <w:rFonts w:ascii="Arial" w:eastAsia="Calibri" w:hAnsi="Arial" w:cs="Arial"/>
                <w:b/>
                <w:iCs/>
                <w:color w:val="000000" w:themeColor="text1"/>
                <w:sz w:val="17"/>
                <w:szCs w:val="17"/>
                <w:lang w:val="hr-HR"/>
              </w:rPr>
            </w:pPr>
            <w:r w:rsidRPr="00B91D09">
              <w:rPr>
                <w:rFonts w:ascii="Arial" w:hAnsi="Arial" w:cs="Arial"/>
                <w:b/>
                <w:bCs/>
                <w:color w:val="000000"/>
                <w:sz w:val="17"/>
                <w:szCs w:val="17"/>
              </w:rPr>
              <w:t>-</w:t>
            </w:r>
          </w:p>
        </w:tc>
        <w:tc>
          <w:tcPr>
            <w:tcW w:w="565" w:type="pct"/>
            <w:shd w:val="clear" w:color="auto" w:fill="auto"/>
            <w:vAlign w:val="bottom"/>
          </w:tcPr>
          <w:p w14:paraId="36C1FFB6" w14:textId="77777777" w:rsidR="004E2F51" w:rsidRPr="00B91D09" w:rsidRDefault="004E2F51" w:rsidP="00E032FC">
            <w:pPr>
              <w:tabs>
                <w:tab w:val="right" w:pos="1202"/>
              </w:tabs>
              <w:spacing w:line="301" w:lineRule="exact"/>
              <w:jc w:val="right"/>
              <w:outlineLvl w:val="0"/>
              <w:rPr>
                <w:rFonts w:ascii="Arial" w:eastAsia="Calibri" w:hAnsi="Arial" w:cs="Arial"/>
                <w:b/>
                <w:iCs/>
                <w:color w:val="000000" w:themeColor="text1"/>
                <w:sz w:val="17"/>
                <w:szCs w:val="17"/>
                <w:lang w:val="hr-HR"/>
              </w:rPr>
            </w:pPr>
            <w:r w:rsidRPr="00B91D09">
              <w:rPr>
                <w:rFonts w:ascii="Arial" w:hAnsi="Arial" w:cs="Arial"/>
                <w:b/>
                <w:bCs/>
                <w:color w:val="000000"/>
                <w:sz w:val="17"/>
                <w:szCs w:val="17"/>
              </w:rPr>
              <w:t>-</w:t>
            </w:r>
          </w:p>
        </w:tc>
      </w:tr>
      <w:tr w:rsidR="004E2F51" w:rsidRPr="00B91D09" w14:paraId="5EAB4ACB" w14:textId="77777777" w:rsidTr="00E032FC">
        <w:trPr>
          <w:trHeight w:val="132"/>
        </w:trPr>
        <w:tc>
          <w:tcPr>
            <w:tcW w:w="1320" w:type="pct"/>
          </w:tcPr>
          <w:p w14:paraId="657D27FA" w14:textId="77777777" w:rsidR="004E2F51" w:rsidRPr="00B91D09" w:rsidRDefault="004E2F51" w:rsidP="00E032FC">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0D738AB9" w14:textId="77777777" w:rsidR="004E2F51" w:rsidRPr="00B91D09" w:rsidRDefault="004E2F51" w:rsidP="00E032F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702" w:type="pct"/>
            <w:tcBorders>
              <w:top w:val="single" w:sz="4" w:space="0" w:color="auto"/>
              <w:left w:val="nil"/>
              <w:bottom w:val="nil"/>
              <w:right w:val="nil"/>
            </w:tcBorders>
            <w:vAlign w:val="bottom"/>
          </w:tcPr>
          <w:p w14:paraId="249D9A13" w14:textId="77777777" w:rsidR="004E2F51" w:rsidRPr="00B91D09" w:rsidRDefault="004E2F51" w:rsidP="00E032F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4D2C8D97" w14:textId="77777777" w:rsidR="004E2F51" w:rsidRPr="00B91D09" w:rsidRDefault="004E2F51" w:rsidP="00E032F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72" w:type="pct"/>
            <w:tcBorders>
              <w:top w:val="single" w:sz="4" w:space="0" w:color="auto"/>
              <w:left w:val="nil"/>
              <w:bottom w:val="nil"/>
              <w:right w:val="nil"/>
            </w:tcBorders>
            <w:vAlign w:val="bottom"/>
          </w:tcPr>
          <w:p w14:paraId="4140A6A8" w14:textId="77777777" w:rsidR="004E2F51" w:rsidRPr="00B91D09" w:rsidRDefault="004E2F51" w:rsidP="00E032F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644" w:type="pct"/>
            <w:tcBorders>
              <w:top w:val="single" w:sz="4" w:space="0" w:color="auto"/>
              <w:left w:val="nil"/>
              <w:bottom w:val="nil"/>
              <w:right w:val="nil"/>
            </w:tcBorders>
            <w:vAlign w:val="bottom"/>
          </w:tcPr>
          <w:p w14:paraId="68465BD6" w14:textId="77777777" w:rsidR="004E2F51" w:rsidRPr="00B91D09" w:rsidRDefault="004E2F51" w:rsidP="00E032F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c>
          <w:tcPr>
            <w:tcW w:w="565" w:type="pct"/>
            <w:tcBorders>
              <w:top w:val="single" w:sz="4" w:space="0" w:color="auto"/>
              <w:left w:val="nil"/>
              <w:bottom w:val="nil"/>
              <w:right w:val="nil"/>
            </w:tcBorders>
            <w:vAlign w:val="bottom"/>
          </w:tcPr>
          <w:p w14:paraId="6E3E14A7" w14:textId="77777777" w:rsidR="004E2F51" w:rsidRPr="00B91D09" w:rsidRDefault="004E2F51" w:rsidP="00E032FC">
            <w:pPr>
              <w:keepNext/>
              <w:keepLines/>
              <w:tabs>
                <w:tab w:val="decimal" w:pos="1015"/>
                <w:tab w:val="decimal" w:pos="1202"/>
              </w:tabs>
              <w:spacing w:line="140" w:lineRule="exact"/>
              <w:jc w:val="right"/>
              <w:rPr>
                <w:rFonts w:ascii="Arial" w:eastAsia="Calibri" w:hAnsi="Arial" w:cs="Arial"/>
                <w:color w:val="000000" w:themeColor="text1"/>
                <w:spacing w:val="-2"/>
                <w:position w:val="4"/>
                <w:sz w:val="17"/>
                <w:szCs w:val="17"/>
                <w:lang w:val="hr-HR"/>
              </w:rPr>
            </w:pPr>
          </w:p>
        </w:tc>
      </w:tr>
      <w:tr w:rsidR="004E2F51" w:rsidRPr="00B91D09" w14:paraId="1606FC89" w14:textId="77777777" w:rsidTr="00E032FC">
        <w:trPr>
          <w:trHeight w:val="275"/>
        </w:trPr>
        <w:tc>
          <w:tcPr>
            <w:tcW w:w="1320" w:type="pct"/>
            <w:vAlign w:val="bottom"/>
          </w:tcPr>
          <w:p w14:paraId="6C613EF6" w14:textId="77777777" w:rsidR="004E2F51" w:rsidRPr="00B91D09" w:rsidRDefault="004E2F51" w:rsidP="00E032FC">
            <w:pPr>
              <w:tabs>
                <w:tab w:val="right" w:pos="1202"/>
              </w:tabs>
              <w:spacing w:line="240" w:lineRule="exact"/>
              <w:outlineLvl w:val="0"/>
              <w:rPr>
                <w:rFonts w:ascii="Arial" w:eastAsia="Calibri" w:hAnsi="Arial" w:cs="Arial"/>
                <w:b/>
                <w:iCs/>
                <w:color w:val="000000" w:themeColor="text1"/>
                <w:sz w:val="17"/>
                <w:szCs w:val="17"/>
                <w:lang w:val="hr-HR"/>
              </w:rPr>
            </w:pPr>
            <w:bookmarkStart w:id="2104" w:name="_Toc67331540"/>
            <w:r w:rsidRPr="00B91D09">
              <w:rPr>
                <w:rFonts w:ascii="Arial" w:eastAsia="Calibri" w:hAnsi="Arial" w:cs="Arial"/>
                <w:b/>
                <w:iCs/>
                <w:color w:val="000000" w:themeColor="text1"/>
                <w:sz w:val="17"/>
                <w:szCs w:val="17"/>
                <w:lang w:val="hr-HR"/>
              </w:rPr>
              <w:t>Stanje 31. prosinca 202</w:t>
            </w:r>
            <w:r>
              <w:rPr>
                <w:rFonts w:ascii="Arial" w:eastAsia="Calibri" w:hAnsi="Arial" w:cs="Arial"/>
                <w:b/>
                <w:iCs/>
                <w:color w:val="000000" w:themeColor="text1"/>
                <w:sz w:val="17"/>
                <w:szCs w:val="17"/>
                <w:lang w:val="hr-HR"/>
              </w:rPr>
              <w:t>1</w:t>
            </w:r>
            <w:r w:rsidRPr="00B91D09">
              <w:rPr>
                <w:rFonts w:ascii="Arial" w:eastAsia="Calibri" w:hAnsi="Arial" w:cs="Arial"/>
                <w:b/>
                <w:iCs/>
                <w:color w:val="000000" w:themeColor="text1"/>
                <w:sz w:val="17"/>
                <w:szCs w:val="17"/>
                <w:lang w:val="hr-HR"/>
              </w:rPr>
              <w:t>.</w:t>
            </w:r>
            <w:bookmarkEnd w:id="2104"/>
            <w:r w:rsidRPr="00B91D09">
              <w:rPr>
                <w:rFonts w:ascii="Arial" w:eastAsia="Calibri" w:hAnsi="Arial" w:cs="Arial"/>
                <w:b/>
                <w:iCs/>
                <w:color w:val="000000" w:themeColor="text1"/>
                <w:sz w:val="17"/>
                <w:szCs w:val="17"/>
                <w:lang w:val="hr-HR"/>
              </w:rPr>
              <w:t xml:space="preserve"> </w:t>
            </w:r>
          </w:p>
        </w:tc>
        <w:tc>
          <w:tcPr>
            <w:tcW w:w="625" w:type="pct"/>
            <w:tcBorders>
              <w:top w:val="nil"/>
              <w:left w:val="nil"/>
              <w:bottom w:val="single" w:sz="12" w:space="0" w:color="auto"/>
              <w:right w:val="nil"/>
            </w:tcBorders>
            <w:shd w:val="clear" w:color="auto" w:fill="auto"/>
            <w:vAlign w:val="bottom"/>
          </w:tcPr>
          <w:p w14:paraId="69B94ED0" w14:textId="77777777" w:rsidR="004E2F51" w:rsidRPr="00B91D09" w:rsidRDefault="004E2F51" w:rsidP="00E032FC">
            <w:pPr>
              <w:jc w:val="right"/>
              <w:rPr>
                <w:rFonts w:ascii="Arial" w:eastAsia="Calibri" w:hAnsi="Arial" w:cs="Arial"/>
                <w:b/>
                <w:bCs/>
                <w:color w:val="000000" w:themeColor="text1"/>
                <w:sz w:val="17"/>
                <w:szCs w:val="17"/>
                <w:lang w:val="hr-HR"/>
              </w:rPr>
            </w:pPr>
            <w:r w:rsidRPr="00B91D09">
              <w:rPr>
                <w:rFonts w:ascii="Arial" w:hAnsi="Arial" w:cs="Arial"/>
                <w:b/>
                <w:bCs/>
                <w:color w:val="000000"/>
                <w:sz w:val="17"/>
                <w:szCs w:val="17"/>
              </w:rPr>
              <w:t>37.500</w:t>
            </w:r>
          </w:p>
        </w:tc>
        <w:tc>
          <w:tcPr>
            <w:tcW w:w="702" w:type="pct"/>
            <w:tcBorders>
              <w:top w:val="nil"/>
              <w:left w:val="nil"/>
              <w:bottom w:val="single" w:sz="12" w:space="0" w:color="auto"/>
              <w:right w:val="nil"/>
            </w:tcBorders>
            <w:shd w:val="clear" w:color="auto" w:fill="auto"/>
            <w:vAlign w:val="bottom"/>
          </w:tcPr>
          <w:p w14:paraId="05116DB0" w14:textId="77777777" w:rsidR="004E2F51" w:rsidRPr="00B91D09" w:rsidRDefault="004E2F51" w:rsidP="00E032FC">
            <w:pPr>
              <w:jc w:val="right"/>
              <w:rPr>
                <w:rFonts w:ascii="Arial" w:eastAsia="Calibri" w:hAnsi="Arial" w:cs="Arial"/>
                <w:b/>
                <w:bCs/>
                <w:color w:val="000000" w:themeColor="text1"/>
                <w:sz w:val="17"/>
                <w:szCs w:val="17"/>
                <w:lang w:val="hr-HR"/>
              </w:rPr>
            </w:pPr>
            <w:r w:rsidRPr="00B91D09">
              <w:rPr>
                <w:rFonts w:ascii="Arial" w:hAnsi="Arial" w:cs="Arial"/>
                <w:b/>
                <w:bCs/>
                <w:color w:val="000000"/>
                <w:sz w:val="17"/>
                <w:szCs w:val="17"/>
              </w:rPr>
              <w:t>3.941</w:t>
            </w:r>
          </w:p>
        </w:tc>
        <w:tc>
          <w:tcPr>
            <w:tcW w:w="572" w:type="pct"/>
            <w:tcBorders>
              <w:top w:val="nil"/>
              <w:left w:val="nil"/>
              <w:bottom w:val="single" w:sz="12" w:space="0" w:color="auto"/>
              <w:right w:val="nil"/>
            </w:tcBorders>
            <w:shd w:val="clear" w:color="auto" w:fill="auto"/>
            <w:vAlign w:val="bottom"/>
          </w:tcPr>
          <w:p w14:paraId="08A9B08A" w14:textId="77777777" w:rsidR="004E2F51" w:rsidRPr="00B91D09" w:rsidRDefault="004E2F51" w:rsidP="00E032FC">
            <w:pPr>
              <w:jc w:val="right"/>
              <w:rPr>
                <w:rFonts w:ascii="Arial" w:eastAsia="Calibri" w:hAnsi="Arial" w:cs="Arial"/>
                <w:b/>
                <w:bCs/>
                <w:color w:val="000000" w:themeColor="text1"/>
                <w:sz w:val="17"/>
                <w:szCs w:val="17"/>
                <w:lang w:val="hr-HR"/>
              </w:rPr>
            </w:pPr>
            <w:r w:rsidRPr="00B91D09">
              <w:rPr>
                <w:rFonts w:ascii="Arial" w:hAnsi="Arial" w:cs="Arial"/>
                <w:b/>
                <w:bCs/>
                <w:color w:val="000000"/>
                <w:sz w:val="17"/>
                <w:szCs w:val="17"/>
              </w:rPr>
              <w:t>2.638</w:t>
            </w:r>
          </w:p>
        </w:tc>
        <w:tc>
          <w:tcPr>
            <w:tcW w:w="572" w:type="pct"/>
            <w:tcBorders>
              <w:top w:val="nil"/>
              <w:left w:val="nil"/>
              <w:bottom w:val="single" w:sz="12" w:space="0" w:color="auto"/>
              <w:right w:val="nil"/>
            </w:tcBorders>
            <w:shd w:val="clear" w:color="auto" w:fill="auto"/>
            <w:vAlign w:val="bottom"/>
          </w:tcPr>
          <w:p w14:paraId="70E64910" w14:textId="77777777" w:rsidR="004E2F51" w:rsidRPr="00B91D09" w:rsidRDefault="004E2F51" w:rsidP="00E032FC">
            <w:pPr>
              <w:jc w:val="right"/>
              <w:rPr>
                <w:rFonts w:ascii="Arial" w:eastAsia="Calibri" w:hAnsi="Arial" w:cs="Arial"/>
                <w:b/>
                <w:bCs/>
                <w:color w:val="000000" w:themeColor="text1"/>
                <w:sz w:val="17"/>
                <w:szCs w:val="17"/>
                <w:lang w:val="hr-HR"/>
              </w:rPr>
            </w:pPr>
            <w:r w:rsidRPr="00B91D09">
              <w:rPr>
                <w:rFonts w:ascii="Arial" w:hAnsi="Arial" w:cs="Arial"/>
                <w:b/>
                <w:bCs/>
                <w:color w:val="000000"/>
                <w:sz w:val="17"/>
                <w:szCs w:val="17"/>
              </w:rPr>
              <w:t>1.103</w:t>
            </w:r>
          </w:p>
        </w:tc>
        <w:tc>
          <w:tcPr>
            <w:tcW w:w="644" w:type="pct"/>
            <w:tcBorders>
              <w:top w:val="nil"/>
              <w:left w:val="nil"/>
              <w:bottom w:val="single" w:sz="12" w:space="0" w:color="auto"/>
              <w:right w:val="nil"/>
            </w:tcBorders>
            <w:shd w:val="clear" w:color="auto" w:fill="auto"/>
            <w:vAlign w:val="bottom"/>
          </w:tcPr>
          <w:p w14:paraId="4D8DEE16" w14:textId="77777777" w:rsidR="004E2F51" w:rsidRPr="00B91D09" w:rsidRDefault="004E2F51" w:rsidP="00E032FC">
            <w:pPr>
              <w:jc w:val="right"/>
              <w:rPr>
                <w:rFonts w:ascii="Arial" w:eastAsia="Calibri" w:hAnsi="Arial" w:cs="Arial"/>
                <w:b/>
                <w:bCs/>
                <w:color w:val="000000" w:themeColor="text1"/>
                <w:sz w:val="17"/>
                <w:szCs w:val="17"/>
                <w:lang w:val="hr-HR"/>
              </w:rPr>
            </w:pPr>
            <w:r w:rsidRPr="00B91D09">
              <w:rPr>
                <w:rFonts w:ascii="Arial" w:hAnsi="Arial" w:cs="Arial"/>
                <w:b/>
                <w:bCs/>
                <w:color w:val="000000"/>
                <w:sz w:val="17"/>
                <w:szCs w:val="17"/>
              </w:rPr>
              <w:t>45.182</w:t>
            </w:r>
          </w:p>
        </w:tc>
        <w:tc>
          <w:tcPr>
            <w:tcW w:w="565" w:type="pct"/>
            <w:tcBorders>
              <w:top w:val="nil"/>
              <w:left w:val="nil"/>
              <w:bottom w:val="single" w:sz="12" w:space="0" w:color="auto"/>
              <w:right w:val="nil"/>
            </w:tcBorders>
            <w:shd w:val="clear" w:color="auto" w:fill="auto"/>
            <w:vAlign w:val="bottom"/>
          </w:tcPr>
          <w:p w14:paraId="58F3A4D2" w14:textId="77777777" w:rsidR="004E2F51" w:rsidRPr="00B91D09" w:rsidRDefault="004E2F51" w:rsidP="00E032FC">
            <w:pPr>
              <w:jc w:val="right"/>
              <w:rPr>
                <w:rFonts w:ascii="Arial" w:eastAsia="Calibri" w:hAnsi="Arial" w:cs="Arial"/>
                <w:b/>
                <w:bCs/>
                <w:color w:val="000000" w:themeColor="text1"/>
                <w:sz w:val="17"/>
                <w:szCs w:val="17"/>
                <w:lang w:val="hr-HR"/>
              </w:rPr>
            </w:pPr>
            <w:r w:rsidRPr="00B91D09">
              <w:rPr>
                <w:rFonts w:ascii="Arial" w:hAnsi="Arial" w:cs="Arial"/>
                <w:b/>
                <w:bCs/>
                <w:color w:val="000000"/>
                <w:sz w:val="17"/>
                <w:szCs w:val="17"/>
              </w:rPr>
              <w:t>45.182</w:t>
            </w:r>
          </w:p>
        </w:tc>
      </w:tr>
      <w:tr w:rsidR="004E2F51" w:rsidRPr="00B91D09" w14:paraId="0F86BCBB" w14:textId="77777777" w:rsidTr="00E032FC">
        <w:trPr>
          <w:trHeight w:val="76"/>
        </w:trPr>
        <w:tc>
          <w:tcPr>
            <w:tcW w:w="1320" w:type="pct"/>
          </w:tcPr>
          <w:p w14:paraId="2512CAFE" w14:textId="77777777" w:rsidR="004E2F51" w:rsidRPr="00B91D09" w:rsidRDefault="004E2F51" w:rsidP="00E032FC">
            <w:pPr>
              <w:tabs>
                <w:tab w:val="right" w:pos="1202"/>
              </w:tabs>
              <w:spacing w:line="140" w:lineRule="exact"/>
              <w:jc w:val="right"/>
              <w:outlineLvl w:val="0"/>
              <w:rPr>
                <w:rFonts w:ascii="Arial" w:eastAsia="Calibri" w:hAnsi="Arial" w:cs="Arial"/>
                <w:b/>
                <w:iCs/>
                <w:color w:val="000000" w:themeColor="text1"/>
                <w:sz w:val="17"/>
                <w:szCs w:val="17"/>
                <w:lang w:val="hr-HR"/>
              </w:rPr>
            </w:pPr>
          </w:p>
        </w:tc>
        <w:tc>
          <w:tcPr>
            <w:tcW w:w="625" w:type="pct"/>
            <w:tcBorders>
              <w:top w:val="single" w:sz="12" w:space="0" w:color="auto"/>
            </w:tcBorders>
            <w:vAlign w:val="bottom"/>
          </w:tcPr>
          <w:p w14:paraId="5D024717" w14:textId="77777777" w:rsidR="004E2F51" w:rsidRPr="00B91D09" w:rsidRDefault="004E2F51" w:rsidP="00E032FC">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702" w:type="pct"/>
            <w:tcBorders>
              <w:top w:val="single" w:sz="12" w:space="0" w:color="auto"/>
            </w:tcBorders>
            <w:vAlign w:val="bottom"/>
          </w:tcPr>
          <w:p w14:paraId="3B6E2EDF" w14:textId="77777777" w:rsidR="004E2F51" w:rsidRPr="00B91D09" w:rsidRDefault="004E2F51" w:rsidP="00E032FC">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572" w:type="pct"/>
            <w:tcBorders>
              <w:top w:val="single" w:sz="12" w:space="0" w:color="auto"/>
            </w:tcBorders>
            <w:vAlign w:val="bottom"/>
          </w:tcPr>
          <w:p w14:paraId="0D0901F9" w14:textId="77777777" w:rsidR="004E2F51" w:rsidRPr="00B91D09" w:rsidRDefault="004E2F51" w:rsidP="00E032FC">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572" w:type="pct"/>
            <w:tcBorders>
              <w:top w:val="single" w:sz="12" w:space="0" w:color="auto"/>
            </w:tcBorders>
            <w:vAlign w:val="bottom"/>
          </w:tcPr>
          <w:p w14:paraId="2D9D6295" w14:textId="77777777" w:rsidR="004E2F51" w:rsidRPr="00B91D09" w:rsidRDefault="004E2F51" w:rsidP="00E032FC">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644" w:type="pct"/>
            <w:tcBorders>
              <w:top w:val="single" w:sz="12" w:space="0" w:color="auto"/>
            </w:tcBorders>
            <w:vAlign w:val="bottom"/>
          </w:tcPr>
          <w:p w14:paraId="09DBBFA8" w14:textId="77777777" w:rsidR="004E2F51" w:rsidRPr="00B91D09" w:rsidRDefault="004E2F51" w:rsidP="00E032FC">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c>
          <w:tcPr>
            <w:tcW w:w="565" w:type="pct"/>
            <w:tcBorders>
              <w:top w:val="single" w:sz="12" w:space="0" w:color="auto"/>
            </w:tcBorders>
            <w:vAlign w:val="bottom"/>
          </w:tcPr>
          <w:p w14:paraId="4E54351F" w14:textId="77777777" w:rsidR="004E2F51" w:rsidRPr="00B91D09" w:rsidRDefault="004E2F51" w:rsidP="00E032FC">
            <w:pPr>
              <w:keepNext/>
              <w:keepLines/>
              <w:tabs>
                <w:tab w:val="decimal" w:pos="1015"/>
              </w:tabs>
              <w:spacing w:line="140" w:lineRule="exact"/>
              <w:jc w:val="right"/>
              <w:rPr>
                <w:rFonts w:ascii="Arial" w:eastAsia="Calibri" w:hAnsi="Arial" w:cs="Arial"/>
                <w:b/>
                <w:color w:val="000000" w:themeColor="text1"/>
                <w:position w:val="4"/>
                <w:sz w:val="17"/>
                <w:szCs w:val="17"/>
                <w:u w:val="thick"/>
                <w:lang w:val="hr-HR"/>
              </w:rPr>
            </w:pPr>
          </w:p>
        </w:tc>
      </w:tr>
      <w:tr w:rsidR="004E2F51" w:rsidRPr="00B91D09" w14:paraId="1135F73F" w14:textId="77777777" w:rsidTr="00E032FC">
        <w:trPr>
          <w:trHeight w:val="76"/>
        </w:trPr>
        <w:tc>
          <w:tcPr>
            <w:tcW w:w="1320" w:type="pct"/>
            <w:vAlign w:val="bottom"/>
          </w:tcPr>
          <w:p w14:paraId="3F031CF0" w14:textId="77777777" w:rsidR="004E2F51" w:rsidRPr="00B91D09" w:rsidRDefault="004E2F51" w:rsidP="00E032FC">
            <w:pPr>
              <w:tabs>
                <w:tab w:val="right" w:pos="1202"/>
              </w:tabs>
              <w:spacing w:line="240" w:lineRule="exact"/>
              <w:outlineLvl w:val="0"/>
              <w:rPr>
                <w:rFonts w:ascii="Arial" w:eastAsia="Calibri" w:hAnsi="Arial" w:cs="Arial"/>
                <w:iCs/>
                <w:color w:val="000000" w:themeColor="text1"/>
                <w:sz w:val="17"/>
                <w:szCs w:val="17"/>
                <w:lang w:val="hr-HR"/>
              </w:rPr>
            </w:pPr>
            <w:bookmarkStart w:id="2105" w:name="_Toc67331541"/>
            <w:r w:rsidRPr="00B91D09">
              <w:rPr>
                <w:rFonts w:ascii="Arial" w:eastAsia="Calibri" w:hAnsi="Arial" w:cs="Arial"/>
                <w:iCs/>
                <w:color w:val="000000" w:themeColor="text1"/>
                <w:sz w:val="17"/>
                <w:szCs w:val="17"/>
                <w:lang w:val="hr-HR"/>
              </w:rPr>
              <w:t>Dobit tekuće godine</w:t>
            </w:r>
            <w:bookmarkEnd w:id="2105"/>
          </w:p>
        </w:tc>
        <w:tc>
          <w:tcPr>
            <w:tcW w:w="625" w:type="pct"/>
            <w:vAlign w:val="bottom"/>
          </w:tcPr>
          <w:p w14:paraId="7579F635" w14:textId="77777777" w:rsidR="004E2F51" w:rsidRPr="00B91D09" w:rsidRDefault="004E2F51" w:rsidP="00E032FC">
            <w:pPr>
              <w:jc w:val="right"/>
              <w:rPr>
                <w:rFonts w:ascii="Arial" w:hAnsi="Arial" w:cs="Arial"/>
                <w:color w:val="000000"/>
                <w:sz w:val="17"/>
                <w:szCs w:val="17"/>
              </w:rPr>
            </w:pPr>
            <w:r>
              <w:rPr>
                <w:rFonts w:ascii="Arial" w:hAnsi="Arial" w:cs="Arial"/>
                <w:color w:val="000000"/>
                <w:sz w:val="17"/>
                <w:szCs w:val="17"/>
              </w:rPr>
              <w:t>-</w:t>
            </w:r>
          </w:p>
        </w:tc>
        <w:tc>
          <w:tcPr>
            <w:tcW w:w="702" w:type="pct"/>
            <w:vAlign w:val="bottom"/>
          </w:tcPr>
          <w:p w14:paraId="62E732FB" w14:textId="77777777" w:rsidR="004E2F51" w:rsidRPr="00B91D09" w:rsidRDefault="004E2F51" w:rsidP="00E032FC">
            <w:pPr>
              <w:jc w:val="right"/>
              <w:rPr>
                <w:rFonts w:ascii="Arial" w:hAnsi="Arial" w:cs="Arial"/>
                <w:color w:val="000000"/>
                <w:sz w:val="17"/>
                <w:szCs w:val="17"/>
              </w:rPr>
            </w:pPr>
            <w:r>
              <w:rPr>
                <w:rFonts w:ascii="Arial" w:hAnsi="Arial" w:cs="Arial"/>
                <w:color w:val="000000"/>
                <w:sz w:val="17"/>
                <w:szCs w:val="17"/>
              </w:rPr>
              <w:t>-</w:t>
            </w:r>
          </w:p>
        </w:tc>
        <w:tc>
          <w:tcPr>
            <w:tcW w:w="572" w:type="pct"/>
            <w:vAlign w:val="bottom"/>
          </w:tcPr>
          <w:p w14:paraId="5A9BBE65" w14:textId="77777777" w:rsidR="004E2F51" w:rsidRPr="00B91D09" w:rsidRDefault="004E2F51" w:rsidP="00E032FC">
            <w:pPr>
              <w:jc w:val="right"/>
              <w:rPr>
                <w:rFonts w:ascii="Arial" w:hAnsi="Arial" w:cs="Arial"/>
                <w:color w:val="000000"/>
                <w:sz w:val="17"/>
                <w:szCs w:val="17"/>
              </w:rPr>
            </w:pPr>
            <w:r>
              <w:rPr>
                <w:rFonts w:ascii="Arial" w:hAnsi="Arial" w:cs="Arial"/>
                <w:color w:val="000000"/>
                <w:sz w:val="17"/>
                <w:szCs w:val="17"/>
              </w:rPr>
              <w:t>-</w:t>
            </w:r>
          </w:p>
        </w:tc>
        <w:tc>
          <w:tcPr>
            <w:tcW w:w="572" w:type="pct"/>
            <w:vAlign w:val="bottom"/>
          </w:tcPr>
          <w:p w14:paraId="23E40228" w14:textId="77777777" w:rsidR="004E2F51" w:rsidRPr="00B91D09" w:rsidRDefault="004E2F51" w:rsidP="00E032FC">
            <w:pPr>
              <w:jc w:val="right"/>
              <w:rPr>
                <w:rFonts w:ascii="Arial" w:hAnsi="Arial" w:cs="Arial"/>
                <w:color w:val="000000"/>
                <w:sz w:val="17"/>
                <w:szCs w:val="17"/>
              </w:rPr>
            </w:pPr>
            <w:r w:rsidRPr="009D1B23">
              <w:rPr>
                <w:rFonts w:ascii="Arial" w:hAnsi="Arial" w:cs="Arial"/>
                <w:color w:val="000000"/>
                <w:sz w:val="17"/>
                <w:szCs w:val="17"/>
              </w:rPr>
              <w:t>3.285</w:t>
            </w:r>
          </w:p>
        </w:tc>
        <w:tc>
          <w:tcPr>
            <w:tcW w:w="644" w:type="pct"/>
            <w:vAlign w:val="bottom"/>
          </w:tcPr>
          <w:p w14:paraId="7D338DB9" w14:textId="77777777" w:rsidR="004E2F51" w:rsidRPr="00B91D09" w:rsidRDefault="004E2F51" w:rsidP="00E032FC">
            <w:pPr>
              <w:jc w:val="right"/>
              <w:rPr>
                <w:rFonts w:ascii="Arial" w:hAnsi="Arial" w:cs="Arial"/>
                <w:b/>
                <w:bCs/>
                <w:color w:val="000000"/>
                <w:sz w:val="17"/>
                <w:szCs w:val="17"/>
              </w:rPr>
            </w:pPr>
            <w:r w:rsidRPr="009D1B23">
              <w:rPr>
                <w:rFonts w:ascii="Arial" w:hAnsi="Arial" w:cs="Arial"/>
                <w:b/>
                <w:bCs/>
                <w:color w:val="000000"/>
                <w:sz w:val="17"/>
                <w:szCs w:val="17"/>
              </w:rPr>
              <w:t>3.285</w:t>
            </w:r>
          </w:p>
        </w:tc>
        <w:tc>
          <w:tcPr>
            <w:tcW w:w="565" w:type="pct"/>
            <w:shd w:val="clear" w:color="auto" w:fill="auto"/>
            <w:vAlign w:val="bottom"/>
          </w:tcPr>
          <w:p w14:paraId="3DD0E034" w14:textId="77777777" w:rsidR="004E2F51" w:rsidRPr="00B91D09" w:rsidRDefault="004E2F51" w:rsidP="00E032FC">
            <w:pPr>
              <w:jc w:val="right"/>
              <w:rPr>
                <w:rFonts w:ascii="Arial" w:hAnsi="Arial" w:cs="Arial"/>
                <w:b/>
                <w:bCs/>
                <w:color w:val="000000"/>
                <w:sz w:val="17"/>
                <w:szCs w:val="17"/>
              </w:rPr>
            </w:pPr>
            <w:r w:rsidRPr="009D1B23">
              <w:rPr>
                <w:rFonts w:ascii="Arial" w:hAnsi="Arial" w:cs="Arial"/>
                <w:b/>
                <w:bCs/>
                <w:color w:val="000000"/>
                <w:sz w:val="17"/>
                <w:szCs w:val="17"/>
              </w:rPr>
              <w:t>3.285</w:t>
            </w:r>
          </w:p>
        </w:tc>
      </w:tr>
      <w:tr w:rsidR="004E2F51" w:rsidRPr="00B91D09" w14:paraId="7DB2F26B" w14:textId="77777777" w:rsidTr="00E032FC">
        <w:trPr>
          <w:trHeight w:val="76"/>
        </w:trPr>
        <w:tc>
          <w:tcPr>
            <w:tcW w:w="1320" w:type="pct"/>
            <w:vAlign w:val="bottom"/>
          </w:tcPr>
          <w:p w14:paraId="5E5AE2E2" w14:textId="77777777" w:rsidR="004E2F51" w:rsidRPr="00B91D09" w:rsidRDefault="004E2F51" w:rsidP="00E032FC">
            <w:pPr>
              <w:tabs>
                <w:tab w:val="right" w:pos="1202"/>
              </w:tabs>
              <w:spacing w:line="240" w:lineRule="exact"/>
              <w:outlineLvl w:val="0"/>
              <w:rPr>
                <w:rFonts w:ascii="Arial" w:eastAsia="Calibri" w:hAnsi="Arial" w:cs="Arial"/>
                <w:iCs/>
                <w:color w:val="000000" w:themeColor="text1"/>
                <w:sz w:val="17"/>
                <w:szCs w:val="17"/>
                <w:lang w:val="hr-HR"/>
              </w:rPr>
            </w:pPr>
            <w:bookmarkStart w:id="2106" w:name="_Toc67331542"/>
            <w:r w:rsidRPr="00B91D09">
              <w:rPr>
                <w:rFonts w:ascii="Arial" w:eastAsia="Calibri" w:hAnsi="Arial" w:cs="Arial"/>
                <w:iCs/>
                <w:color w:val="000000" w:themeColor="text1"/>
                <w:sz w:val="17"/>
                <w:szCs w:val="17"/>
                <w:lang w:val="hr-HR"/>
              </w:rPr>
              <w:t>Ostala sveobuhvatna dobit</w:t>
            </w:r>
            <w:bookmarkEnd w:id="2106"/>
          </w:p>
        </w:tc>
        <w:tc>
          <w:tcPr>
            <w:tcW w:w="625" w:type="pct"/>
            <w:tcBorders>
              <w:top w:val="nil"/>
              <w:left w:val="nil"/>
              <w:bottom w:val="single" w:sz="4" w:space="0" w:color="auto"/>
              <w:right w:val="nil"/>
            </w:tcBorders>
            <w:vAlign w:val="bottom"/>
          </w:tcPr>
          <w:p w14:paraId="5FBEDE61" w14:textId="77777777" w:rsidR="004E2F51" w:rsidRPr="00B91D09" w:rsidRDefault="004E2F51" w:rsidP="00E032FC">
            <w:pPr>
              <w:jc w:val="right"/>
              <w:rPr>
                <w:rFonts w:ascii="Arial" w:hAnsi="Arial" w:cs="Arial"/>
                <w:color w:val="000000"/>
                <w:sz w:val="17"/>
                <w:szCs w:val="17"/>
              </w:rPr>
            </w:pPr>
            <w:r>
              <w:rPr>
                <w:rFonts w:ascii="Arial" w:hAnsi="Arial" w:cs="Arial"/>
                <w:color w:val="000000"/>
                <w:sz w:val="17"/>
                <w:szCs w:val="17"/>
              </w:rPr>
              <w:t>-</w:t>
            </w:r>
          </w:p>
        </w:tc>
        <w:tc>
          <w:tcPr>
            <w:tcW w:w="702" w:type="pct"/>
            <w:tcBorders>
              <w:top w:val="nil"/>
              <w:left w:val="nil"/>
              <w:bottom w:val="single" w:sz="4" w:space="0" w:color="auto"/>
              <w:right w:val="nil"/>
            </w:tcBorders>
            <w:vAlign w:val="bottom"/>
          </w:tcPr>
          <w:p w14:paraId="386606C1" w14:textId="77777777" w:rsidR="004E2F51" w:rsidRPr="00B91D09" w:rsidRDefault="004E2F51" w:rsidP="00E032FC">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single" w:sz="4" w:space="0" w:color="auto"/>
              <w:right w:val="nil"/>
            </w:tcBorders>
            <w:vAlign w:val="bottom"/>
          </w:tcPr>
          <w:p w14:paraId="3D1DF9F2" w14:textId="77777777" w:rsidR="004E2F51" w:rsidRPr="00B91D09" w:rsidRDefault="004E2F51" w:rsidP="00E032FC">
            <w:pPr>
              <w:jc w:val="right"/>
              <w:rPr>
                <w:rFonts w:ascii="Arial" w:hAnsi="Arial" w:cs="Arial"/>
                <w:color w:val="000000"/>
                <w:sz w:val="17"/>
                <w:szCs w:val="17"/>
              </w:rPr>
            </w:pPr>
            <w:r>
              <w:rPr>
                <w:rFonts w:ascii="Arial" w:hAnsi="Arial" w:cs="Arial"/>
                <w:color w:val="000000"/>
                <w:sz w:val="17"/>
                <w:szCs w:val="17"/>
              </w:rPr>
              <w:t>(</w:t>
            </w:r>
            <w:r w:rsidRPr="009D1B23">
              <w:rPr>
                <w:rFonts w:ascii="Arial" w:hAnsi="Arial" w:cs="Arial"/>
                <w:color w:val="000000"/>
                <w:sz w:val="17"/>
                <w:szCs w:val="17"/>
              </w:rPr>
              <w:t>7.915</w:t>
            </w:r>
            <w:r>
              <w:rPr>
                <w:rFonts w:ascii="Arial" w:hAnsi="Arial" w:cs="Arial"/>
                <w:color w:val="000000"/>
                <w:sz w:val="17"/>
                <w:szCs w:val="17"/>
              </w:rPr>
              <w:t>)</w:t>
            </w:r>
          </w:p>
        </w:tc>
        <w:tc>
          <w:tcPr>
            <w:tcW w:w="572" w:type="pct"/>
            <w:tcBorders>
              <w:top w:val="nil"/>
              <w:left w:val="nil"/>
              <w:bottom w:val="single" w:sz="4" w:space="0" w:color="auto"/>
              <w:right w:val="nil"/>
            </w:tcBorders>
            <w:vAlign w:val="bottom"/>
          </w:tcPr>
          <w:p w14:paraId="420A9EF7" w14:textId="77777777" w:rsidR="004E2F51" w:rsidRPr="00B91D09" w:rsidRDefault="004E2F51" w:rsidP="00E032FC">
            <w:pPr>
              <w:jc w:val="right"/>
              <w:rPr>
                <w:rFonts w:ascii="Arial" w:hAnsi="Arial" w:cs="Arial"/>
                <w:color w:val="000000"/>
                <w:sz w:val="17"/>
                <w:szCs w:val="17"/>
              </w:rPr>
            </w:pPr>
            <w:r>
              <w:rPr>
                <w:rFonts w:ascii="Arial" w:hAnsi="Arial" w:cs="Arial"/>
                <w:color w:val="000000"/>
                <w:sz w:val="17"/>
                <w:szCs w:val="17"/>
              </w:rPr>
              <w:t>-</w:t>
            </w:r>
          </w:p>
        </w:tc>
        <w:tc>
          <w:tcPr>
            <w:tcW w:w="644" w:type="pct"/>
            <w:tcBorders>
              <w:top w:val="nil"/>
              <w:left w:val="nil"/>
              <w:bottom w:val="single" w:sz="4" w:space="0" w:color="auto"/>
              <w:right w:val="nil"/>
            </w:tcBorders>
            <w:vAlign w:val="bottom"/>
          </w:tcPr>
          <w:p w14:paraId="2C8152B5" w14:textId="77777777" w:rsidR="004E2F51" w:rsidRPr="00B91D09" w:rsidRDefault="004E2F51" w:rsidP="00E032FC">
            <w:pPr>
              <w:jc w:val="right"/>
              <w:rPr>
                <w:rFonts w:ascii="Arial" w:hAnsi="Arial" w:cs="Arial"/>
                <w:b/>
                <w:bCs/>
                <w:color w:val="000000"/>
                <w:sz w:val="17"/>
                <w:szCs w:val="17"/>
              </w:rPr>
            </w:pPr>
            <w:r w:rsidRPr="009D1B23">
              <w:rPr>
                <w:rFonts w:ascii="Arial" w:hAnsi="Arial" w:cs="Arial"/>
                <w:b/>
                <w:bCs/>
                <w:color w:val="000000"/>
                <w:sz w:val="17"/>
                <w:szCs w:val="17"/>
              </w:rPr>
              <w:t>(7.915)</w:t>
            </w:r>
          </w:p>
        </w:tc>
        <w:tc>
          <w:tcPr>
            <w:tcW w:w="565" w:type="pct"/>
            <w:tcBorders>
              <w:top w:val="nil"/>
              <w:left w:val="nil"/>
              <w:bottom w:val="single" w:sz="4" w:space="0" w:color="auto"/>
              <w:right w:val="nil"/>
            </w:tcBorders>
            <w:shd w:val="clear" w:color="auto" w:fill="auto"/>
            <w:vAlign w:val="bottom"/>
          </w:tcPr>
          <w:p w14:paraId="784EAF95" w14:textId="77777777" w:rsidR="004E2F51" w:rsidRPr="00B91D09" w:rsidRDefault="004E2F51" w:rsidP="00E032FC">
            <w:pPr>
              <w:jc w:val="right"/>
              <w:rPr>
                <w:rFonts w:ascii="Arial" w:hAnsi="Arial" w:cs="Arial"/>
                <w:b/>
                <w:bCs/>
                <w:color w:val="000000"/>
                <w:sz w:val="17"/>
                <w:szCs w:val="17"/>
              </w:rPr>
            </w:pPr>
            <w:r w:rsidRPr="009D1B23">
              <w:rPr>
                <w:rFonts w:ascii="Arial" w:hAnsi="Arial" w:cs="Arial"/>
                <w:b/>
                <w:bCs/>
                <w:color w:val="000000"/>
                <w:sz w:val="17"/>
                <w:szCs w:val="17"/>
              </w:rPr>
              <w:t>(7.915)</w:t>
            </w:r>
          </w:p>
        </w:tc>
      </w:tr>
      <w:tr w:rsidR="004E2F51" w:rsidRPr="00B91D09" w14:paraId="0224400B" w14:textId="77777777" w:rsidTr="00E032FC">
        <w:trPr>
          <w:trHeight w:val="76"/>
        </w:trPr>
        <w:tc>
          <w:tcPr>
            <w:tcW w:w="1320" w:type="pct"/>
          </w:tcPr>
          <w:p w14:paraId="550AE67C" w14:textId="77777777" w:rsidR="004E2F51" w:rsidRPr="00B91D09" w:rsidRDefault="004E2F51" w:rsidP="00E032FC">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1E390761" w14:textId="77777777" w:rsidR="004E2F51" w:rsidRPr="00B91D09" w:rsidRDefault="004E2F51" w:rsidP="00E032FC">
            <w:pPr>
              <w:jc w:val="right"/>
              <w:rPr>
                <w:rFonts w:ascii="Arial" w:hAnsi="Arial" w:cs="Arial"/>
                <w:color w:val="000000"/>
                <w:sz w:val="17"/>
                <w:szCs w:val="17"/>
              </w:rPr>
            </w:pPr>
          </w:p>
        </w:tc>
        <w:tc>
          <w:tcPr>
            <w:tcW w:w="702" w:type="pct"/>
            <w:tcBorders>
              <w:top w:val="single" w:sz="4" w:space="0" w:color="auto"/>
              <w:left w:val="nil"/>
              <w:bottom w:val="nil"/>
              <w:right w:val="nil"/>
            </w:tcBorders>
            <w:vAlign w:val="bottom"/>
          </w:tcPr>
          <w:p w14:paraId="0CDCD009" w14:textId="77777777" w:rsidR="004E2F51" w:rsidRPr="00B91D09" w:rsidRDefault="004E2F51" w:rsidP="00E032FC">
            <w:pPr>
              <w:jc w:val="right"/>
              <w:rPr>
                <w:rFonts w:ascii="Arial" w:hAnsi="Arial" w:cs="Arial"/>
                <w:color w:val="000000"/>
                <w:sz w:val="17"/>
                <w:szCs w:val="17"/>
              </w:rPr>
            </w:pPr>
          </w:p>
        </w:tc>
        <w:tc>
          <w:tcPr>
            <w:tcW w:w="572" w:type="pct"/>
            <w:tcBorders>
              <w:top w:val="single" w:sz="4" w:space="0" w:color="auto"/>
              <w:left w:val="nil"/>
              <w:bottom w:val="nil"/>
              <w:right w:val="nil"/>
            </w:tcBorders>
            <w:vAlign w:val="bottom"/>
          </w:tcPr>
          <w:p w14:paraId="0E259ACD" w14:textId="77777777" w:rsidR="004E2F51" w:rsidRPr="00B91D09" w:rsidRDefault="004E2F51" w:rsidP="00E032FC">
            <w:pPr>
              <w:jc w:val="right"/>
              <w:rPr>
                <w:rFonts w:ascii="Arial" w:hAnsi="Arial" w:cs="Arial"/>
                <w:color w:val="000000"/>
                <w:sz w:val="17"/>
                <w:szCs w:val="17"/>
              </w:rPr>
            </w:pPr>
          </w:p>
        </w:tc>
        <w:tc>
          <w:tcPr>
            <w:tcW w:w="572" w:type="pct"/>
            <w:tcBorders>
              <w:top w:val="single" w:sz="4" w:space="0" w:color="auto"/>
              <w:left w:val="nil"/>
              <w:bottom w:val="nil"/>
              <w:right w:val="nil"/>
            </w:tcBorders>
            <w:vAlign w:val="bottom"/>
          </w:tcPr>
          <w:p w14:paraId="53B0606C" w14:textId="77777777" w:rsidR="004E2F51" w:rsidRPr="00B91D09" w:rsidRDefault="004E2F51" w:rsidP="00E032FC">
            <w:pPr>
              <w:jc w:val="right"/>
              <w:rPr>
                <w:rFonts w:ascii="Arial" w:hAnsi="Arial" w:cs="Arial"/>
                <w:color w:val="000000"/>
                <w:sz w:val="17"/>
                <w:szCs w:val="17"/>
              </w:rPr>
            </w:pPr>
          </w:p>
        </w:tc>
        <w:tc>
          <w:tcPr>
            <w:tcW w:w="644" w:type="pct"/>
            <w:tcBorders>
              <w:top w:val="single" w:sz="4" w:space="0" w:color="auto"/>
              <w:left w:val="nil"/>
              <w:bottom w:val="nil"/>
              <w:right w:val="nil"/>
            </w:tcBorders>
            <w:vAlign w:val="bottom"/>
          </w:tcPr>
          <w:p w14:paraId="306FE0AF" w14:textId="77777777" w:rsidR="004E2F51" w:rsidRPr="00B91D09" w:rsidRDefault="004E2F51" w:rsidP="00E032FC">
            <w:pPr>
              <w:jc w:val="right"/>
              <w:rPr>
                <w:rFonts w:ascii="Arial" w:hAnsi="Arial" w:cs="Arial"/>
                <w:b/>
                <w:bCs/>
                <w:color w:val="000000"/>
                <w:sz w:val="17"/>
                <w:szCs w:val="17"/>
              </w:rPr>
            </w:pPr>
          </w:p>
        </w:tc>
        <w:tc>
          <w:tcPr>
            <w:tcW w:w="565" w:type="pct"/>
            <w:tcBorders>
              <w:top w:val="single" w:sz="4" w:space="0" w:color="auto"/>
              <w:left w:val="nil"/>
              <w:bottom w:val="nil"/>
              <w:right w:val="nil"/>
            </w:tcBorders>
            <w:vAlign w:val="bottom"/>
          </w:tcPr>
          <w:p w14:paraId="4F0B5E0F" w14:textId="77777777" w:rsidR="004E2F51" w:rsidRPr="00B91D09" w:rsidRDefault="004E2F51" w:rsidP="00E032FC">
            <w:pPr>
              <w:jc w:val="right"/>
              <w:rPr>
                <w:rFonts w:ascii="Arial" w:hAnsi="Arial" w:cs="Arial"/>
                <w:b/>
                <w:bCs/>
                <w:color w:val="000000"/>
                <w:sz w:val="17"/>
                <w:szCs w:val="17"/>
              </w:rPr>
            </w:pPr>
          </w:p>
        </w:tc>
      </w:tr>
      <w:tr w:rsidR="004E2F51" w:rsidRPr="00B91D09" w14:paraId="193A384C" w14:textId="77777777" w:rsidTr="00E032FC">
        <w:trPr>
          <w:trHeight w:val="76"/>
        </w:trPr>
        <w:tc>
          <w:tcPr>
            <w:tcW w:w="1320" w:type="pct"/>
            <w:vAlign w:val="bottom"/>
          </w:tcPr>
          <w:p w14:paraId="43B98A43" w14:textId="77777777" w:rsidR="004E2F51" w:rsidRPr="00B91D09" w:rsidRDefault="004E2F51" w:rsidP="00E032FC">
            <w:pPr>
              <w:tabs>
                <w:tab w:val="right" w:pos="1202"/>
              </w:tabs>
              <w:spacing w:line="240" w:lineRule="exact"/>
              <w:outlineLvl w:val="0"/>
              <w:rPr>
                <w:rFonts w:ascii="Arial" w:eastAsia="Calibri" w:hAnsi="Arial" w:cs="Arial"/>
                <w:iCs/>
                <w:color w:val="000000" w:themeColor="text1"/>
                <w:sz w:val="17"/>
                <w:szCs w:val="17"/>
                <w:lang w:val="hr-HR"/>
              </w:rPr>
            </w:pPr>
            <w:bookmarkStart w:id="2107" w:name="_Toc67331543"/>
            <w:r w:rsidRPr="00B91D09">
              <w:rPr>
                <w:rFonts w:ascii="Arial" w:eastAsia="Calibri" w:hAnsi="Arial" w:cs="Arial"/>
                <w:iCs/>
                <w:color w:val="000000" w:themeColor="text1"/>
                <w:sz w:val="17"/>
                <w:szCs w:val="17"/>
                <w:lang w:val="hr-HR"/>
              </w:rPr>
              <w:t>Ukupna sveobuhvatna dobit</w:t>
            </w:r>
            <w:bookmarkEnd w:id="2107"/>
          </w:p>
        </w:tc>
        <w:tc>
          <w:tcPr>
            <w:tcW w:w="625" w:type="pct"/>
            <w:tcBorders>
              <w:top w:val="nil"/>
              <w:left w:val="nil"/>
              <w:bottom w:val="single" w:sz="4" w:space="0" w:color="auto"/>
              <w:right w:val="nil"/>
            </w:tcBorders>
            <w:shd w:val="clear" w:color="auto" w:fill="auto"/>
            <w:vAlign w:val="bottom"/>
          </w:tcPr>
          <w:p w14:paraId="3FFA02E2" w14:textId="77777777" w:rsidR="004E2F51" w:rsidRPr="00B91D09" w:rsidRDefault="004E2F51" w:rsidP="00E032FC">
            <w:pPr>
              <w:jc w:val="right"/>
              <w:rPr>
                <w:rFonts w:ascii="Arial" w:hAnsi="Arial" w:cs="Arial"/>
                <w:color w:val="000000"/>
                <w:sz w:val="17"/>
                <w:szCs w:val="17"/>
              </w:rPr>
            </w:pPr>
            <w:r>
              <w:rPr>
                <w:rFonts w:ascii="Arial" w:hAnsi="Arial" w:cs="Arial"/>
                <w:color w:val="000000"/>
                <w:sz w:val="17"/>
                <w:szCs w:val="17"/>
              </w:rPr>
              <w:t>-</w:t>
            </w:r>
          </w:p>
        </w:tc>
        <w:tc>
          <w:tcPr>
            <w:tcW w:w="702" w:type="pct"/>
            <w:tcBorders>
              <w:top w:val="nil"/>
              <w:left w:val="nil"/>
              <w:bottom w:val="single" w:sz="4" w:space="0" w:color="auto"/>
              <w:right w:val="nil"/>
            </w:tcBorders>
            <w:shd w:val="clear" w:color="auto" w:fill="auto"/>
            <w:vAlign w:val="bottom"/>
          </w:tcPr>
          <w:p w14:paraId="754D8113" w14:textId="77777777" w:rsidR="004E2F51" w:rsidRPr="00B91D09" w:rsidRDefault="004E2F51" w:rsidP="00E032FC">
            <w:pPr>
              <w:jc w:val="right"/>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single" w:sz="4" w:space="0" w:color="auto"/>
              <w:right w:val="nil"/>
            </w:tcBorders>
            <w:shd w:val="clear" w:color="auto" w:fill="auto"/>
            <w:vAlign w:val="bottom"/>
          </w:tcPr>
          <w:p w14:paraId="395DA219" w14:textId="77777777" w:rsidR="004E2F51" w:rsidRPr="00B91D09" w:rsidRDefault="004E2F51" w:rsidP="00E032FC">
            <w:pPr>
              <w:jc w:val="right"/>
              <w:rPr>
                <w:rFonts w:ascii="Arial" w:hAnsi="Arial" w:cs="Arial"/>
                <w:color w:val="000000"/>
                <w:sz w:val="17"/>
                <w:szCs w:val="17"/>
              </w:rPr>
            </w:pPr>
            <w:r w:rsidRPr="009D1B23">
              <w:rPr>
                <w:rFonts w:ascii="Arial" w:hAnsi="Arial" w:cs="Arial"/>
                <w:color w:val="000000"/>
                <w:sz w:val="17"/>
                <w:szCs w:val="17"/>
              </w:rPr>
              <w:t>(7.915)</w:t>
            </w:r>
          </w:p>
        </w:tc>
        <w:tc>
          <w:tcPr>
            <w:tcW w:w="572" w:type="pct"/>
            <w:tcBorders>
              <w:top w:val="nil"/>
              <w:left w:val="nil"/>
              <w:bottom w:val="single" w:sz="4" w:space="0" w:color="auto"/>
              <w:right w:val="nil"/>
            </w:tcBorders>
            <w:shd w:val="clear" w:color="auto" w:fill="auto"/>
            <w:vAlign w:val="bottom"/>
          </w:tcPr>
          <w:p w14:paraId="58207E02" w14:textId="77777777" w:rsidR="004E2F51" w:rsidRPr="00B91D09" w:rsidRDefault="004E2F51" w:rsidP="00E032FC">
            <w:pPr>
              <w:jc w:val="right"/>
              <w:rPr>
                <w:rFonts w:ascii="Arial" w:hAnsi="Arial" w:cs="Arial"/>
                <w:color w:val="000000"/>
                <w:sz w:val="17"/>
                <w:szCs w:val="17"/>
              </w:rPr>
            </w:pPr>
            <w:r w:rsidRPr="009D1B23">
              <w:rPr>
                <w:rFonts w:ascii="Arial" w:hAnsi="Arial" w:cs="Arial"/>
                <w:color w:val="000000"/>
                <w:sz w:val="17"/>
                <w:szCs w:val="17"/>
              </w:rPr>
              <w:t>3.285</w:t>
            </w:r>
          </w:p>
        </w:tc>
        <w:tc>
          <w:tcPr>
            <w:tcW w:w="644" w:type="pct"/>
            <w:tcBorders>
              <w:top w:val="nil"/>
              <w:left w:val="nil"/>
              <w:bottom w:val="single" w:sz="4" w:space="0" w:color="auto"/>
              <w:right w:val="nil"/>
            </w:tcBorders>
            <w:shd w:val="clear" w:color="auto" w:fill="auto"/>
            <w:vAlign w:val="bottom"/>
          </w:tcPr>
          <w:p w14:paraId="718F0643" w14:textId="77777777" w:rsidR="004E2F51" w:rsidRPr="00B91D09" w:rsidRDefault="004E2F51" w:rsidP="00E032FC">
            <w:pPr>
              <w:jc w:val="right"/>
              <w:rPr>
                <w:rFonts w:ascii="Arial" w:hAnsi="Arial" w:cs="Arial"/>
                <w:b/>
                <w:bCs/>
                <w:color w:val="000000"/>
                <w:sz w:val="17"/>
                <w:szCs w:val="17"/>
              </w:rPr>
            </w:pPr>
            <w:r>
              <w:rPr>
                <w:rFonts w:ascii="Arial" w:hAnsi="Arial" w:cs="Arial"/>
                <w:b/>
                <w:bCs/>
                <w:color w:val="000000"/>
                <w:sz w:val="17"/>
                <w:szCs w:val="17"/>
              </w:rPr>
              <w:t>(</w:t>
            </w:r>
            <w:r w:rsidRPr="009D1B23">
              <w:rPr>
                <w:rFonts w:ascii="Arial" w:hAnsi="Arial" w:cs="Arial"/>
                <w:b/>
                <w:bCs/>
                <w:color w:val="000000"/>
                <w:sz w:val="17"/>
                <w:szCs w:val="17"/>
              </w:rPr>
              <w:t>4.630</w:t>
            </w:r>
            <w:r>
              <w:rPr>
                <w:rFonts w:ascii="Arial" w:hAnsi="Arial" w:cs="Arial"/>
                <w:b/>
                <w:bCs/>
                <w:color w:val="000000"/>
                <w:sz w:val="17"/>
                <w:szCs w:val="17"/>
              </w:rPr>
              <w:t>)</w:t>
            </w:r>
          </w:p>
        </w:tc>
        <w:tc>
          <w:tcPr>
            <w:tcW w:w="565" w:type="pct"/>
            <w:tcBorders>
              <w:top w:val="nil"/>
              <w:left w:val="nil"/>
              <w:bottom w:val="single" w:sz="4" w:space="0" w:color="auto"/>
              <w:right w:val="nil"/>
            </w:tcBorders>
            <w:shd w:val="clear" w:color="auto" w:fill="auto"/>
            <w:vAlign w:val="bottom"/>
          </w:tcPr>
          <w:p w14:paraId="16F03BFE" w14:textId="77777777" w:rsidR="004E2F51" w:rsidRPr="00B91D09" w:rsidRDefault="004E2F51" w:rsidP="00E032FC">
            <w:pPr>
              <w:jc w:val="right"/>
              <w:rPr>
                <w:rFonts w:ascii="Arial" w:hAnsi="Arial" w:cs="Arial"/>
                <w:b/>
                <w:bCs/>
                <w:color w:val="000000"/>
                <w:sz w:val="17"/>
                <w:szCs w:val="17"/>
              </w:rPr>
            </w:pPr>
            <w:r w:rsidRPr="009D1B23">
              <w:rPr>
                <w:rFonts w:ascii="Arial" w:hAnsi="Arial" w:cs="Arial"/>
                <w:b/>
                <w:bCs/>
                <w:color w:val="000000"/>
                <w:sz w:val="17"/>
                <w:szCs w:val="17"/>
              </w:rPr>
              <w:t>(4.630)</w:t>
            </w:r>
          </w:p>
        </w:tc>
      </w:tr>
      <w:tr w:rsidR="004E2F51" w:rsidRPr="00B91D09" w14:paraId="56111C36" w14:textId="77777777" w:rsidTr="00E032FC">
        <w:trPr>
          <w:trHeight w:val="76"/>
        </w:trPr>
        <w:tc>
          <w:tcPr>
            <w:tcW w:w="1320" w:type="pct"/>
          </w:tcPr>
          <w:p w14:paraId="698E77D9" w14:textId="77777777" w:rsidR="004E2F51" w:rsidRPr="00B91D09" w:rsidRDefault="004E2F51" w:rsidP="00E032FC">
            <w:pPr>
              <w:tabs>
                <w:tab w:val="right" w:pos="1202"/>
              </w:tabs>
              <w:spacing w:line="140" w:lineRule="exact"/>
              <w:jc w:val="right"/>
              <w:outlineLvl w:val="0"/>
              <w:rPr>
                <w:rFonts w:ascii="Arial" w:eastAsia="Calibri" w:hAnsi="Arial" w:cs="Arial"/>
                <w:iCs/>
                <w:color w:val="000000" w:themeColor="text1"/>
                <w:sz w:val="17"/>
                <w:szCs w:val="17"/>
                <w:lang w:val="hr-HR"/>
              </w:rPr>
            </w:pPr>
          </w:p>
        </w:tc>
        <w:tc>
          <w:tcPr>
            <w:tcW w:w="625" w:type="pct"/>
            <w:tcBorders>
              <w:top w:val="single" w:sz="4" w:space="0" w:color="auto"/>
              <w:left w:val="nil"/>
              <w:bottom w:val="nil"/>
              <w:right w:val="nil"/>
            </w:tcBorders>
            <w:vAlign w:val="bottom"/>
          </w:tcPr>
          <w:p w14:paraId="1998C189" w14:textId="77777777" w:rsidR="004E2F51" w:rsidRPr="00B91D09" w:rsidRDefault="004E2F51" w:rsidP="00E032FC">
            <w:pPr>
              <w:jc w:val="right"/>
              <w:rPr>
                <w:rFonts w:ascii="Arial" w:hAnsi="Arial" w:cs="Arial"/>
                <w:color w:val="000000"/>
                <w:sz w:val="17"/>
                <w:szCs w:val="17"/>
              </w:rPr>
            </w:pPr>
          </w:p>
        </w:tc>
        <w:tc>
          <w:tcPr>
            <w:tcW w:w="702" w:type="pct"/>
            <w:tcBorders>
              <w:top w:val="single" w:sz="4" w:space="0" w:color="auto"/>
              <w:left w:val="nil"/>
              <w:bottom w:val="nil"/>
              <w:right w:val="nil"/>
            </w:tcBorders>
            <w:vAlign w:val="bottom"/>
          </w:tcPr>
          <w:p w14:paraId="1445685C" w14:textId="77777777" w:rsidR="004E2F51" w:rsidRPr="00B91D09" w:rsidRDefault="004E2F51" w:rsidP="00E032FC">
            <w:pPr>
              <w:jc w:val="right"/>
              <w:rPr>
                <w:rFonts w:ascii="Arial" w:hAnsi="Arial" w:cs="Arial"/>
                <w:color w:val="000000"/>
                <w:sz w:val="17"/>
                <w:szCs w:val="17"/>
              </w:rPr>
            </w:pPr>
          </w:p>
        </w:tc>
        <w:tc>
          <w:tcPr>
            <w:tcW w:w="572" w:type="pct"/>
            <w:tcBorders>
              <w:top w:val="single" w:sz="4" w:space="0" w:color="auto"/>
              <w:left w:val="nil"/>
              <w:bottom w:val="nil"/>
              <w:right w:val="nil"/>
            </w:tcBorders>
            <w:vAlign w:val="bottom"/>
          </w:tcPr>
          <w:p w14:paraId="45C13EC1" w14:textId="77777777" w:rsidR="004E2F51" w:rsidRPr="00B91D09" w:rsidRDefault="004E2F51" w:rsidP="00E032FC">
            <w:pPr>
              <w:jc w:val="right"/>
              <w:rPr>
                <w:rFonts w:ascii="Arial" w:hAnsi="Arial" w:cs="Arial"/>
                <w:color w:val="000000"/>
                <w:sz w:val="17"/>
                <w:szCs w:val="17"/>
              </w:rPr>
            </w:pPr>
          </w:p>
        </w:tc>
        <w:tc>
          <w:tcPr>
            <w:tcW w:w="572" w:type="pct"/>
            <w:tcBorders>
              <w:top w:val="single" w:sz="4" w:space="0" w:color="auto"/>
              <w:left w:val="nil"/>
              <w:bottom w:val="nil"/>
              <w:right w:val="nil"/>
            </w:tcBorders>
            <w:vAlign w:val="bottom"/>
          </w:tcPr>
          <w:p w14:paraId="219147D5" w14:textId="77777777" w:rsidR="004E2F51" w:rsidRPr="00B91D09" w:rsidRDefault="004E2F51" w:rsidP="00E032FC">
            <w:pPr>
              <w:jc w:val="right"/>
              <w:rPr>
                <w:rFonts w:ascii="Arial" w:hAnsi="Arial" w:cs="Arial"/>
                <w:color w:val="000000"/>
                <w:sz w:val="17"/>
                <w:szCs w:val="17"/>
              </w:rPr>
            </w:pPr>
          </w:p>
        </w:tc>
        <w:tc>
          <w:tcPr>
            <w:tcW w:w="644" w:type="pct"/>
            <w:tcBorders>
              <w:top w:val="single" w:sz="4" w:space="0" w:color="auto"/>
              <w:left w:val="nil"/>
              <w:bottom w:val="nil"/>
              <w:right w:val="nil"/>
            </w:tcBorders>
            <w:vAlign w:val="bottom"/>
          </w:tcPr>
          <w:p w14:paraId="5D7D886D" w14:textId="77777777" w:rsidR="004E2F51" w:rsidRPr="00B91D09" w:rsidRDefault="004E2F51" w:rsidP="00E032FC">
            <w:pPr>
              <w:jc w:val="right"/>
              <w:rPr>
                <w:rFonts w:ascii="Arial" w:hAnsi="Arial" w:cs="Arial"/>
                <w:b/>
                <w:bCs/>
                <w:color w:val="000000"/>
                <w:sz w:val="17"/>
                <w:szCs w:val="17"/>
              </w:rPr>
            </w:pPr>
          </w:p>
        </w:tc>
        <w:tc>
          <w:tcPr>
            <w:tcW w:w="565" w:type="pct"/>
            <w:tcBorders>
              <w:top w:val="single" w:sz="4" w:space="0" w:color="auto"/>
              <w:left w:val="nil"/>
              <w:bottom w:val="nil"/>
              <w:right w:val="nil"/>
            </w:tcBorders>
            <w:vAlign w:val="bottom"/>
          </w:tcPr>
          <w:p w14:paraId="33E79377" w14:textId="77777777" w:rsidR="004E2F51" w:rsidRPr="00B91D09" w:rsidRDefault="004E2F51" w:rsidP="00E032FC">
            <w:pPr>
              <w:jc w:val="right"/>
              <w:rPr>
                <w:rFonts w:ascii="Arial" w:hAnsi="Arial" w:cs="Arial"/>
                <w:b/>
                <w:bCs/>
                <w:color w:val="000000"/>
                <w:sz w:val="17"/>
                <w:szCs w:val="17"/>
              </w:rPr>
            </w:pPr>
          </w:p>
        </w:tc>
      </w:tr>
      <w:tr w:rsidR="004E2F51" w:rsidRPr="00B91D09" w14:paraId="24B8C15F" w14:textId="77777777" w:rsidTr="00E032FC">
        <w:trPr>
          <w:trHeight w:val="76"/>
        </w:trPr>
        <w:tc>
          <w:tcPr>
            <w:tcW w:w="1320" w:type="pct"/>
          </w:tcPr>
          <w:p w14:paraId="6974379B" w14:textId="77777777" w:rsidR="004E2F51" w:rsidRPr="00B91D09" w:rsidRDefault="004E2F51" w:rsidP="00E032FC">
            <w:pPr>
              <w:tabs>
                <w:tab w:val="right" w:pos="1202"/>
              </w:tabs>
              <w:spacing w:line="240" w:lineRule="exact"/>
              <w:outlineLvl w:val="0"/>
              <w:rPr>
                <w:rFonts w:ascii="Arial" w:eastAsia="Calibri" w:hAnsi="Arial" w:cs="Arial"/>
                <w:i/>
                <w:iCs/>
                <w:color w:val="000000" w:themeColor="text1"/>
                <w:sz w:val="17"/>
                <w:szCs w:val="17"/>
                <w:lang w:val="hr-HR"/>
              </w:rPr>
            </w:pPr>
            <w:r w:rsidRPr="009D1B23">
              <w:rPr>
                <w:rFonts w:ascii="Arial" w:eastAsia="Calibri" w:hAnsi="Arial" w:cs="Arial"/>
                <w:iCs/>
                <w:color w:val="000000" w:themeColor="text1"/>
                <w:sz w:val="17"/>
                <w:szCs w:val="17"/>
                <w:lang w:val="hr-HR"/>
              </w:rPr>
              <w:t>Prijenos dobiti prethodne godine u zadržanu dobit</w:t>
            </w:r>
          </w:p>
        </w:tc>
        <w:tc>
          <w:tcPr>
            <w:tcW w:w="625" w:type="pct"/>
            <w:shd w:val="clear" w:color="auto" w:fill="auto"/>
            <w:vAlign w:val="bottom"/>
          </w:tcPr>
          <w:p w14:paraId="2A86160B" w14:textId="77777777" w:rsidR="004E2F51" w:rsidRPr="00B91D09" w:rsidRDefault="004E2F51" w:rsidP="00E032FC">
            <w:pPr>
              <w:jc w:val="right"/>
              <w:rPr>
                <w:rFonts w:ascii="Arial" w:hAnsi="Arial" w:cs="Arial"/>
                <w:color w:val="000000"/>
                <w:sz w:val="17"/>
                <w:szCs w:val="17"/>
              </w:rPr>
            </w:pPr>
            <w:r>
              <w:rPr>
                <w:rFonts w:ascii="Arial" w:hAnsi="Arial" w:cs="Arial"/>
                <w:color w:val="000000"/>
                <w:sz w:val="17"/>
                <w:szCs w:val="17"/>
              </w:rPr>
              <w:t>-</w:t>
            </w:r>
          </w:p>
        </w:tc>
        <w:tc>
          <w:tcPr>
            <w:tcW w:w="702" w:type="pct"/>
            <w:shd w:val="clear" w:color="auto" w:fill="auto"/>
            <w:vAlign w:val="bottom"/>
          </w:tcPr>
          <w:p w14:paraId="75086A93" w14:textId="77777777" w:rsidR="004E2F51" w:rsidRPr="00B91D09" w:rsidRDefault="004E2F51" w:rsidP="00E032FC">
            <w:pPr>
              <w:jc w:val="right"/>
              <w:rPr>
                <w:rFonts w:ascii="Arial" w:hAnsi="Arial" w:cs="Arial"/>
                <w:color w:val="000000"/>
                <w:sz w:val="17"/>
                <w:szCs w:val="17"/>
              </w:rPr>
            </w:pPr>
            <w:r>
              <w:rPr>
                <w:rFonts w:ascii="Arial" w:hAnsi="Arial" w:cs="Arial"/>
                <w:color w:val="000000"/>
                <w:sz w:val="17"/>
                <w:szCs w:val="17"/>
              </w:rPr>
              <w:t>1.103</w:t>
            </w:r>
          </w:p>
        </w:tc>
        <w:tc>
          <w:tcPr>
            <w:tcW w:w="572" w:type="pct"/>
            <w:shd w:val="clear" w:color="auto" w:fill="auto"/>
            <w:vAlign w:val="bottom"/>
          </w:tcPr>
          <w:p w14:paraId="5EED8DA6" w14:textId="77777777" w:rsidR="004E2F51" w:rsidRPr="00B91D09" w:rsidRDefault="004E2F51" w:rsidP="00E032FC">
            <w:pPr>
              <w:jc w:val="right"/>
              <w:rPr>
                <w:rFonts w:ascii="Arial" w:hAnsi="Arial" w:cs="Arial"/>
                <w:color w:val="000000"/>
                <w:sz w:val="17"/>
                <w:szCs w:val="17"/>
              </w:rPr>
            </w:pPr>
            <w:r>
              <w:rPr>
                <w:rFonts w:ascii="Arial" w:hAnsi="Arial" w:cs="Arial"/>
                <w:color w:val="000000"/>
                <w:sz w:val="17"/>
                <w:szCs w:val="17"/>
              </w:rPr>
              <w:t>-</w:t>
            </w:r>
          </w:p>
        </w:tc>
        <w:tc>
          <w:tcPr>
            <w:tcW w:w="572" w:type="pct"/>
            <w:shd w:val="clear" w:color="auto" w:fill="auto"/>
            <w:vAlign w:val="bottom"/>
          </w:tcPr>
          <w:p w14:paraId="5A600A12" w14:textId="77777777" w:rsidR="004E2F51" w:rsidRPr="00B91D09" w:rsidRDefault="004E2F51" w:rsidP="00E032FC">
            <w:pPr>
              <w:jc w:val="right"/>
              <w:rPr>
                <w:rFonts w:ascii="Arial" w:hAnsi="Arial" w:cs="Arial"/>
                <w:color w:val="000000"/>
                <w:sz w:val="17"/>
                <w:szCs w:val="17"/>
              </w:rPr>
            </w:pPr>
            <w:r>
              <w:rPr>
                <w:rFonts w:ascii="Arial" w:hAnsi="Arial" w:cs="Arial"/>
                <w:color w:val="000000"/>
                <w:sz w:val="17"/>
                <w:szCs w:val="17"/>
              </w:rPr>
              <w:t>(1.103)</w:t>
            </w:r>
          </w:p>
        </w:tc>
        <w:tc>
          <w:tcPr>
            <w:tcW w:w="644" w:type="pct"/>
            <w:shd w:val="clear" w:color="auto" w:fill="auto"/>
            <w:vAlign w:val="bottom"/>
          </w:tcPr>
          <w:p w14:paraId="316F3C8A" w14:textId="77777777" w:rsidR="004E2F51" w:rsidRPr="00B91D09" w:rsidRDefault="004E2F51" w:rsidP="00E032FC">
            <w:pPr>
              <w:jc w:val="right"/>
              <w:rPr>
                <w:rFonts w:ascii="Arial" w:hAnsi="Arial" w:cs="Arial"/>
                <w:b/>
                <w:bCs/>
                <w:color w:val="000000"/>
                <w:sz w:val="17"/>
                <w:szCs w:val="17"/>
              </w:rPr>
            </w:pPr>
            <w:r>
              <w:rPr>
                <w:rFonts w:ascii="Arial" w:hAnsi="Arial" w:cs="Arial"/>
                <w:b/>
                <w:bCs/>
                <w:color w:val="000000"/>
                <w:sz w:val="17"/>
                <w:szCs w:val="17"/>
              </w:rPr>
              <w:t>-</w:t>
            </w:r>
          </w:p>
        </w:tc>
        <w:tc>
          <w:tcPr>
            <w:tcW w:w="565" w:type="pct"/>
            <w:shd w:val="clear" w:color="auto" w:fill="auto"/>
            <w:vAlign w:val="bottom"/>
          </w:tcPr>
          <w:p w14:paraId="13725878" w14:textId="77777777" w:rsidR="004E2F51" w:rsidRPr="00B91D09" w:rsidRDefault="004E2F51" w:rsidP="00E032FC">
            <w:pPr>
              <w:jc w:val="right"/>
              <w:rPr>
                <w:rFonts w:ascii="Arial" w:hAnsi="Arial" w:cs="Arial"/>
                <w:b/>
                <w:bCs/>
                <w:color w:val="000000"/>
                <w:sz w:val="17"/>
                <w:szCs w:val="17"/>
              </w:rPr>
            </w:pPr>
            <w:r>
              <w:rPr>
                <w:rFonts w:ascii="Arial" w:hAnsi="Arial" w:cs="Arial"/>
                <w:b/>
                <w:bCs/>
                <w:color w:val="000000"/>
                <w:sz w:val="17"/>
                <w:szCs w:val="17"/>
              </w:rPr>
              <w:t>-</w:t>
            </w:r>
          </w:p>
        </w:tc>
      </w:tr>
      <w:tr w:rsidR="004E2F51" w:rsidRPr="00B91D09" w14:paraId="7DC419C7" w14:textId="77777777" w:rsidTr="00E032FC">
        <w:trPr>
          <w:trHeight w:val="76"/>
        </w:trPr>
        <w:tc>
          <w:tcPr>
            <w:tcW w:w="1320" w:type="pct"/>
          </w:tcPr>
          <w:p w14:paraId="5EDF21D1" w14:textId="77777777" w:rsidR="004E2F51" w:rsidRPr="009D1B23" w:rsidRDefault="004E2F51" w:rsidP="00E032FC">
            <w:pPr>
              <w:tabs>
                <w:tab w:val="right" w:pos="1202"/>
              </w:tabs>
              <w:spacing w:line="240" w:lineRule="exact"/>
              <w:outlineLvl w:val="0"/>
              <w:rPr>
                <w:rFonts w:ascii="Arial" w:eastAsia="Calibri" w:hAnsi="Arial" w:cs="Arial"/>
                <w:iCs/>
                <w:color w:val="000000" w:themeColor="text1"/>
                <w:sz w:val="17"/>
                <w:szCs w:val="17"/>
                <w:lang w:val="hr-HR"/>
              </w:rPr>
            </w:pPr>
            <w:r w:rsidRPr="009D1B23">
              <w:rPr>
                <w:rFonts w:ascii="Arial" w:eastAsia="Calibri" w:hAnsi="Arial" w:cs="Arial"/>
                <w:iCs/>
                <w:color w:val="000000" w:themeColor="text1"/>
                <w:sz w:val="17"/>
                <w:szCs w:val="17"/>
                <w:lang w:val="hr-HR"/>
              </w:rPr>
              <w:t>Uplate u temeljni kapital</w:t>
            </w:r>
          </w:p>
        </w:tc>
        <w:tc>
          <w:tcPr>
            <w:tcW w:w="625" w:type="pct"/>
            <w:shd w:val="clear" w:color="auto" w:fill="auto"/>
            <w:vAlign w:val="bottom"/>
          </w:tcPr>
          <w:p w14:paraId="312133A1" w14:textId="77777777" w:rsidR="004E2F51" w:rsidRPr="00B91D09" w:rsidRDefault="004E2F51" w:rsidP="00E032FC">
            <w:pPr>
              <w:jc w:val="right"/>
              <w:rPr>
                <w:rFonts w:ascii="Arial" w:hAnsi="Arial" w:cs="Arial"/>
                <w:color w:val="000000"/>
                <w:sz w:val="17"/>
                <w:szCs w:val="17"/>
              </w:rPr>
            </w:pPr>
            <w:r w:rsidRPr="009D1B23">
              <w:rPr>
                <w:rFonts w:ascii="Arial" w:hAnsi="Arial" w:cs="Arial"/>
                <w:color w:val="000000"/>
                <w:sz w:val="17"/>
                <w:szCs w:val="17"/>
              </w:rPr>
              <w:t>20.000</w:t>
            </w:r>
          </w:p>
        </w:tc>
        <w:tc>
          <w:tcPr>
            <w:tcW w:w="702" w:type="pct"/>
            <w:shd w:val="clear" w:color="auto" w:fill="auto"/>
            <w:vAlign w:val="bottom"/>
          </w:tcPr>
          <w:p w14:paraId="61C6861F" w14:textId="77777777" w:rsidR="004E2F51" w:rsidRPr="00B91D09" w:rsidRDefault="004E2F51" w:rsidP="00E032FC">
            <w:pPr>
              <w:jc w:val="right"/>
              <w:rPr>
                <w:rFonts w:ascii="Arial" w:hAnsi="Arial" w:cs="Arial"/>
                <w:color w:val="000000"/>
                <w:sz w:val="17"/>
                <w:szCs w:val="17"/>
              </w:rPr>
            </w:pPr>
            <w:r>
              <w:rPr>
                <w:rFonts w:ascii="Arial" w:hAnsi="Arial" w:cs="Arial"/>
                <w:color w:val="000000"/>
                <w:sz w:val="17"/>
                <w:szCs w:val="17"/>
              </w:rPr>
              <w:t>-</w:t>
            </w:r>
          </w:p>
        </w:tc>
        <w:tc>
          <w:tcPr>
            <w:tcW w:w="572" w:type="pct"/>
            <w:shd w:val="clear" w:color="auto" w:fill="auto"/>
            <w:vAlign w:val="bottom"/>
          </w:tcPr>
          <w:p w14:paraId="18143CEA" w14:textId="77777777" w:rsidR="004E2F51" w:rsidRPr="00B91D09" w:rsidRDefault="004E2F51" w:rsidP="00E032FC">
            <w:pPr>
              <w:jc w:val="right"/>
              <w:rPr>
                <w:rFonts w:ascii="Arial" w:hAnsi="Arial" w:cs="Arial"/>
                <w:color w:val="000000"/>
                <w:sz w:val="17"/>
                <w:szCs w:val="17"/>
              </w:rPr>
            </w:pPr>
            <w:r>
              <w:rPr>
                <w:rFonts w:ascii="Arial" w:hAnsi="Arial" w:cs="Arial"/>
                <w:color w:val="000000"/>
                <w:sz w:val="17"/>
                <w:szCs w:val="17"/>
              </w:rPr>
              <w:t>-</w:t>
            </w:r>
          </w:p>
        </w:tc>
        <w:tc>
          <w:tcPr>
            <w:tcW w:w="572" w:type="pct"/>
            <w:shd w:val="clear" w:color="auto" w:fill="auto"/>
            <w:vAlign w:val="bottom"/>
          </w:tcPr>
          <w:p w14:paraId="5B7194D4" w14:textId="77777777" w:rsidR="004E2F51" w:rsidRPr="00B91D09" w:rsidRDefault="004E2F51" w:rsidP="00E032FC">
            <w:pPr>
              <w:jc w:val="right"/>
              <w:rPr>
                <w:rFonts w:ascii="Arial" w:hAnsi="Arial" w:cs="Arial"/>
                <w:color w:val="000000"/>
                <w:sz w:val="17"/>
                <w:szCs w:val="17"/>
              </w:rPr>
            </w:pPr>
            <w:r>
              <w:rPr>
                <w:rFonts w:ascii="Arial" w:hAnsi="Arial" w:cs="Arial"/>
                <w:color w:val="000000"/>
                <w:sz w:val="17"/>
                <w:szCs w:val="17"/>
              </w:rPr>
              <w:t>-</w:t>
            </w:r>
          </w:p>
        </w:tc>
        <w:tc>
          <w:tcPr>
            <w:tcW w:w="644" w:type="pct"/>
            <w:shd w:val="clear" w:color="auto" w:fill="auto"/>
            <w:vAlign w:val="bottom"/>
          </w:tcPr>
          <w:p w14:paraId="2F676F38" w14:textId="77777777" w:rsidR="004E2F51" w:rsidRPr="00B91D09" w:rsidRDefault="004E2F51" w:rsidP="00E032FC">
            <w:pPr>
              <w:jc w:val="right"/>
              <w:rPr>
                <w:rFonts w:ascii="Arial" w:hAnsi="Arial" w:cs="Arial"/>
                <w:b/>
                <w:bCs/>
                <w:color w:val="000000"/>
                <w:sz w:val="17"/>
                <w:szCs w:val="17"/>
              </w:rPr>
            </w:pPr>
            <w:r w:rsidRPr="009D1B23">
              <w:rPr>
                <w:rFonts w:ascii="Arial" w:hAnsi="Arial" w:cs="Arial"/>
                <w:b/>
                <w:bCs/>
                <w:color w:val="000000"/>
                <w:sz w:val="17"/>
                <w:szCs w:val="17"/>
              </w:rPr>
              <w:t>20.000</w:t>
            </w:r>
          </w:p>
        </w:tc>
        <w:tc>
          <w:tcPr>
            <w:tcW w:w="565" w:type="pct"/>
            <w:shd w:val="clear" w:color="auto" w:fill="auto"/>
            <w:vAlign w:val="bottom"/>
          </w:tcPr>
          <w:p w14:paraId="2E2287E5" w14:textId="77777777" w:rsidR="004E2F51" w:rsidRPr="00B91D09" w:rsidRDefault="004E2F51" w:rsidP="00E032FC">
            <w:pPr>
              <w:jc w:val="right"/>
              <w:rPr>
                <w:rFonts w:ascii="Arial" w:hAnsi="Arial" w:cs="Arial"/>
                <w:b/>
                <w:bCs/>
                <w:color w:val="000000"/>
                <w:sz w:val="17"/>
                <w:szCs w:val="17"/>
              </w:rPr>
            </w:pPr>
            <w:r w:rsidRPr="009D1B23">
              <w:rPr>
                <w:rFonts w:ascii="Arial" w:hAnsi="Arial" w:cs="Arial"/>
                <w:b/>
                <w:bCs/>
                <w:color w:val="000000"/>
                <w:sz w:val="17"/>
                <w:szCs w:val="17"/>
              </w:rPr>
              <w:t>20.000</w:t>
            </w:r>
          </w:p>
        </w:tc>
      </w:tr>
      <w:tr w:rsidR="004E2F51" w:rsidRPr="00B91D09" w14:paraId="51E06DF8" w14:textId="77777777" w:rsidTr="00E032FC">
        <w:trPr>
          <w:trHeight w:val="83"/>
        </w:trPr>
        <w:tc>
          <w:tcPr>
            <w:tcW w:w="1320" w:type="pct"/>
          </w:tcPr>
          <w:p w14:paraId="671DF355" w14:textId="77777777" w:rsidR="004E2F51" w:rsidRPr="00B91D09" w:rsidRDefault="004E2F51" w:rsidP="00E032FC">
            <w:pPr>
              <w:tabs>
                <w:tab w:val="right" w:pos="1202"/>
              </w:tabs>
              <w:spacing w:line="140" w:lineRule="exact"/>
              <w:jc w:val="right"/>
              <w:outlineLvl w:val="0"/>
              <w:rPr>
                <w:rFonts w:ascii="Arial" w:eastAsia="Calibri" w:hAnsi="Arial" w:cs="Arial"/>
                <w:iCs/>
                <w:color w:val="000000" w:themeColor="text1"/>
                <w:sz w:val="6"/>
                <w:szCs w:val="6"/>
                <w:lang w:val="hr-HR"/>
              </w:rPr>
            </w:pPr>
          </w:p>
        </w:tc>
        <w:tc>
          <w:tcPr>
            <w:tcW w:w="625" w:type="pct"/>
            <w:tcBorders>
              <w:top w:val="single" w:sz="4" w:space="0" w:color="auto"/>
              <w:left w:val="nil"/>
              <w:bottom w:val="nil"/>
              <w:right w:val="nil"/>
            </w:tcBorders>
            <w:vAlign w:val="bottom"/>
          </w:tcPr>
          <w:p w14:paraId="030CF074" w14:textId="77777777" w:rsidR="004E2F51" w:rsidRPr="00B91D09" w:rsidRDefault="004E2F51" w:rsidP="00E032FC">
            <w:pPr>
              <w:jc w:val="right"/>
              <w:rPr>
                <w:rFonts w:ascii="Arial" w:hAnsi="Arial" w:cs="Arial"/>
                <w:b/>
                <w:bCs/>
                <w:color w:val="000000"/>
                <w:sz w:val="6"/>
                <w:szCs w:val="6"/>
              </w:rPr>
            </w:pPr>
          </w:p>
        </w:tc>
        <w:tc>
          <w:tcPr>
            <w:tcW w:w="702" w:type="pct"/>
            <w:tcBorders>
              <w:top w:val="single" w:sz="4" w:space="0" w:color="auto"/>
              <w:left w:val="nil"/>
              <w:bottom w:val="nil"/>
              <w:right w:val="nil"/>
            </w:tcBorders>
            <w:vAlign w:val="bottom"/>
          </w:tcPr>
          <w:p w14:paraId="22714D30" w14:textId="77777777" w:rsidR="004E2F51" w:rsidRPr="00B91D09" w:rsidRDefault="004E2F51" w:rsidP="00E032FC">
            <w:pPr>
              <w:jc w:val="right"/>
              <w:rPr>
                <w:rFonts w:ascii="Arial" w:hAnsi="Arial" w:cs="Arial"/>
                <w:b/>
                <w:bCs/>
                <w:color w:val="000000"/>
                <w:sz w:val="6"/>
                <w:szCs w:val="6"/>
              </w:rPr>
            </w:pPr>
          </w:p>
        </w:tc>
        <w:tc>
          <w:tcPr>
            <w:tcW w:w="572" w:type="pct"/>
            <w:tcBorders>
              <w:top w:val="single" w:sz="4" w:space="0" w:color="auto"/>
              <w:left w:val="nil"/>
              <w:bottom w:val="nil"/>
              <w:right w:val="nil"/>
            </w:tcBorders>
            <w:vAlign w:val="bottom"/>
          </w:tcPr>
          <w:p w14:paraId="6FAAE302" w14:textId="77777777" w:rsidR="004E2F51" w:rsidRPr="00B91D09" w:rsidRDefault="004E2F51" w:rsidP="00E032FC">
            <w:pPr>
              <w:jc w:val="right"/>
              <w:rPr>
                <w:rFonts w:ascii="Arial" w:hAnsi="Arial" w:cs="Arial"/>
                <w:b/>
                <w:bCs/>
                <w:color w:val="000000"/>
                <w:sz w:val="6"/>
                <w:szCs w:val="6"/>
              </w:rPr>
            </w:pPr>
          </w:p>
        </w:tc>
        <w:tc>
          <w:tcPr>
            <w:tcW w:w="572" w:type="pct"/>
            <w:tcBorders>
              <w:top w:val="single" w:sz="4" w:space="0" w:color="auto"/>
              <w:left w:val="nil"/>
              <w:bottom w:val="nil"/>
              <w:right w:val="nil"/>
            </w:tcBorders>
            <w:vAlign w:val="bottom"/>
          </w:tcPr>
          <w:p w14:paraId="09D3B9E4" w14:textId="77777777" w:rsidR="004E2F51" w:rsidRPr="00B91D09" w:rsidRDefault="004E2F51" w:rsidP="00E032FC">
            <w:pPr>
              <w:jc w:val="right"/>
              <w:rPr>
                <w:rFonts w:ascii="Arial" w:hAnsi="Arial" w:cs="Arial"/>
                <w:b/>
                <w:bCs/>
                <w:color w:val="000000"/>
                <w:sz w:val="6"/>
                <w:szCs w:val="6"/>
              </w:rPr>
            </w:pPr>
          </w:p>
        </w:tc>
        <w:tc>
          <w:tcPr>
            <w:tcW w:w="644" w:type="pct"/>
            <w:tcBorders>
              <w:top w:val="single" w:sz="4" w:space="0" w:color="auto"/>
              <w:left w:val="nil"/>
              <w:bottom w:val="nil"/>
              <w:right w:val="nil"/>
            </w:tcBorders>
            <w:vAlign w:val="bottom"/>
          </w:tcPr>
          <w:p w14:paraId="1A8F248A" w14:textId="77777777" w:rsidR="004E2F51" w:rsidRPr="00B91D09" w:rsidRDefault="004E2F51" w:rsidP="00E032FC">
            <w:pPr>
              <w:jc w:val="right"/>
              <w:rPr>
                <w:rFonts w:ascii="Arial" w:hAnsi="Arial" w:cs="Arial"/>
                <w:b/>
                <w:bCs/>
                <w:color w:val="000000"/>
                <w:sz w:val="6"/>
                <w:szCs w:val="6"/>
              </w:rPr>
            </w:pPr>
          </w:p>
        </w:tc>
        <w:tc>
          <w:tcPr>
            <w:tcW w:w="565" w:type="pct"/>
            <w:tcBorders>
              <w:top w:val="single" w:sz="4" w:space="0" w:color="auto"/>
              <w:left w:val="nil"/>
              <w:bottom w:val="nil"/>
              <w:right w:val="nil"/>
            </w:tcBorders>
            <w:vAlign w:val="bottom"/>
          </w:tcPr>
          <w:p w14:paraId="00798B44" w14:textId="77777777" w:rsidR="004E2F51" w:rsidRPr="00B91D09" w:rsidRDefault="004E2F51" w:rsidP="00E032FC">
            <w:pPr>
              <w:jc w:val="right"/>
              <w:rPr>
                <w:rFonts w:ascii="Arial" w:hAnsi="Arial" w:cs="Arial"/>
                <w:b/>
                <w:bCs/>
                <w:color w:val="000000"/>
                <w:sz w:val="6"/>
                <w:szCs w:val="6"/>
              </w:rPr>
            </w:pPr>
          </w:p>
        </w:tc>
      </w:tr>
      <w:tr w:rsidR="004E2F51" w:rsidRPr="00B91D09" w14:paraId="2FB51D28" w14:textId="77777777" w:rsidTr="00E032FC">
        <w:trPr>
          <w:trHeight w:val="313"/>
        </w:trPr>
        <w:tc>
          <w:tcPr>
            <w:tcW w:w="1320" w:type="pct"/>
            <w:vAlign w:val="bottom"/>
          </w:tcPr>
          <w:p w14:paraId="29E79AC3" w14:textId="77777777" w:rsidR="004E2F51" w:rsidRPr="00B91D09" w:rsidRDefault="004E2F51" w:rsidP="00E032FC">
            <w:pPr>
              <w:tabs>
                <w:tab w:val="right" w:pos="1202"/>
              </w:tabs>
              <w:spacing w:line="240" w:lineRule="exact"/>
              <w:outlineLvl w:val="0"/>
              <w:rPr>
                <w:rFonts w:ascii="Arial" w:eastAsia="Calibri" w:hAnsi="Arial" w:cs="Arial"/>
                <w:iCs/>
                <w:color w:val="000000" w:themeColor="text1"/>
                <w:sz w:val="17"/>
                <w:szCs w:val="17"/>
                <w:lang w:val="hr-HR"/>
              </w:rPr>
            </w:pPr>
            <w:bookmarkStart w:id="2108" w:name="_Toc67331546"/>
            <w:r w:rsidRPr="00B91D09">
              <w:rPr>
                <w:rFonts w:ascii="Arial" w:eastAsia="Calibri" w:hAnsi="Arial" w:cs="Arial"/>
                <w:b/>
                <w:iCs/>
                <w:color w:val="000000" w:themeColor="text1"/>
                <w:sz w:val="17"/>
                <w:szCs w:val="17"/>
                <w:lang w:val="hr-HR"/>
              </w:rPr>
              <w:t>Stanje 31. prosinca 202</w:t>
            </w:r>
            <w:r>
              <w:rPr>
                <w:rFonts w:ascii="Arial" w:eastAsia="Calibri" w:hAnsi="Arial" w:cs="Arial"/>
                <w:b/>
                <w:iCs/>
                <w:color w:val="000000" w:themeColor="text1"/>
                <w:sz w:val="17"/>
                <w:szCs w:val="17"/>
                <w:lang w:val="hr-HR"/>
              </w:rPr>
              <w:t>2</w:t>
            </w:r>
            <w:r w:rsidRPr="00B91D09">
              <w:rPr>
                <w:rFonts w:ascii="Arial" w:eastAsia="Calibri" w:hAnsi="Arial" w:cs="Arial"/>
                <w:b/>
                <w:iCs/>
                <w:color w:val="000000" w:themeColor="text1"/>
                <w:sz w:val="17"/>
                <w:szCs w:val="17"/>
                <w:lang w:val="hr-HR"/>
              </w:rPr>
              <w:t>.</w:t>
            </w:r>
            <w:bookmarkEnd w:id="2108"/>
            <w:r w:rsidRPr="00B91D09">
              <w:rPr>
                <w:rFonts w:ascii="Arial" w:eastAsia="Calibri" w:hAnsi="Arial" w:cs="Arial"/>
                <w:b/>
                <w:iCs/>
                <w:color w:val="000000" w:themeColor="text1"/>
                <w:sz w:val="17"/>
                <w:szCs w:val="17"/>
                <w:lang w:val="hr-HR"/>
              </w:rPr>
              <w:t xml:space="preserve"> </w:t>
            </w:r>
          </w:p>
        </w:tc>
        <w:tc>
          <w:tcPr>
            <w:tcW w:w="625" w:type="pct"/>
            <w:tcBorders>
              <w:top w:val="nil"/>
              <w:left w:val="nil"/>
              <w:bottom w:val="single" w:sz="12" w:space="0" w:color="auto"/>
              <w:right w:val="nil"/>
            </w:tcBorders>
            <w:shd w:val="clear" w:color="auto" w:fill="auto"/>
            <w:vAlign w:val="bottom"/>
          </w:tcPr>
          <w:p w14:paraId="3528FDB6" w14:textId="77777777" w:rsidR="004E2F51" w:rsidRPr="00B91D09" w:rsidRDefault="004E2F51" w:rsidP="00E032FC">
            <w:pPr>
              <w:jc w:val="right"/>
              <w:rPr>
                <w:rFonts w:ascii="Arial" w:hAnsi="Arial" w:cs="Arial"/>
                <w:b/>
                <w:bCs/>
                <w:color w:val="000000"/>
                <w:sz w:val="17"/>
                <w:szCs w:val="17"/>
              </w:rPr>
            </w:pPr>
            <w:r>
              <w:rPr>
                <w:rFonts w:ascii="Arial" w:hAnsi="Arial" w:cs="Arial"/>
                <w:b/>
                <w:bCs/>
                <w:color w:val="000000"/>
                <w:sz w:val="17"/>
                <w:szCs w:val="17"/>
              </w:rPr>
              <w:t>57.500</w:t>
            </w:r>
          </w:p>
        </w:tc>
        <w:tc>
          <w:tcPr>
            <w:tcW w:w="702" w:type="pct"/>
            <w:tcBorders>
              <w:top w:val="nil"/>
              <w:left w:val="nil"/>
              <w:bottom w:val="single" w:sz="12" w:space="0" w:color="auto"/>
              <w:right w:val="nil"/>
            </w:tcBorders>
            <w:shd w:val="clear" w:color="auto" w:fill="auto"/>
            <w:vAlign w:val="bottom"/>
          </w:tcPr>
          <w:p w14:paraId="009A04EA" w14:textId="77777777" w:rsidR="004E2F51" w:rsidRPr="00B91D09" w:rsidRDefault="004E2F51" w:rsidP="00E032FC">
            <w:pPr>
              <w:jc w:val="right"/>
              <w:rPr>
                <w:rFonts w:ascii="Arial" w:hAnsi="Arial" w:cs="Arial"/>
                <w:b/>
                <w:bCs/>
                <w:color w:val="000000"/>
                <w:sz w:val="17"/>
                <w:szCs w:val="17"/>
              </w:rPr>
            </w:pPr>
            <w:r w:rsidRPr="009D1B23">
              <w:rPr>
                <w:rFonts w:ascii="Arial" w:hAnsi="Arial" w:cs="Arial"/>
                <w:b/>
                <w:bCs/>
                <w:color w:val="000000"/>
                <w:sz w:val="17"/>
                <w:szCs w:val="17"/>
              </w:rPr>
              <w:t>5.044</w:t>
            </w:r>
          </w:p>
        </w:tc>
        <w:tc>
          <w:tcPr>
            <w:tcW w:w="572" w:type="pct"/>
            <w:tcBorders>
              <w:top w:val="nil"/>
              <w:left w:val="nil"/>
              <w:bottom w:val="single" w:sz="12" w:space="0" w:color="auto"/>
              <w:right w:val="nil"/>
            </w:tcBorders>
            <w:shd w:val="clear" w:color="auto" w:fill="auto"/>
            <w:vAlign w:val="bottom"/>
          </w:tcPr>
          <w:p w14:paraId="2FBB37A9" w14:textId="77777777" w:rsidR="004E2F51" w:rsidRPr="00B91D09" w:rsidRDefault="004E2F51" w:rsidP="00E032FC">
            <w:pPr>
              <w:jc w:val="right"/>
              <w:rPr>
                <w:rFonts w:ascii="Arial" w:hAnsi="Arial" w:cs="Arial"/>
                <w:b/>
                <w:bCs/>
                <w:color w:val="000000"/>
                <w:sz w:val="17"/>
                <w:szCs w:val="17"/>
              </w:rPr>
            </w:pPr>
            <w:r w:rsidRPr="009D1B23">
              <w:rPr>
                <w:rFonts w:ascii="Arial" w:hAnsi="Arial" w:cs="Arial"/>
                <w:b/>
                <w:bCs/>
                <w:color w:val="000000"/>
                <w:sz w:val="17"/>
                <w:szCs w:val="17"/>
              </w:rPr>
              <w:t>(5.277)</w:t>
            </w:r>
          </w:p>
        </w:tc>
        <w:tc>
          <w:tcPr>
            <w:tcW w:w="572" w:type="pct"/>
            <w:tcBorders>
              <w:top w:val="nil"/>
              <w:left w:val="nil"/>
              <w:bottom w:val="single" w:sz="12" w:space="0" w:color="auto"/>
              <w:right w:val="nil"/>
            </w:tcBorders>
            <w:shd w:val="clear" w:color="auto" w:fill="auto"/>
            <w:vAlign w:val="bottom"/>
          </w:tcPr>
          <w:p w14:paraId="3C532025" w14:textId="77777777" w:rsidR="004E2F51" w:rsidRPr="00B91D09" w:rsidRDefault="004E2F51" w:rsidP="00E032FC">
            <w:pPr>
              <w:jc w:val="right"/>
              <w:rPr>
                <w:rFonts w:ascii="Arial" w:hAnsi="Arial" w:cs="Arial"/>
                <w:b/>
                <w:bCs/>
                <w:color w:val="000000"/>
                <w:sz w:val="17"/>
                <w:szCs w:val="17"/>
              </w:rPr>
            </w:pPr>
            <w:r w:rsidRPr="009D1B23">
              <w:rPr>
                <w:rFonts w:ascii="Arial" w:hAnsi="Arial" w:cs="Arial"/>
                <w:b/>
                <w:bCs/>
                <w:color w:val="000000"/>
                <w:sz w:val="17"/>
                <w:szCs w:val="17"/>
              </w:rPr>
              <w:t>3.285</w:t>
            </w:r>
          </w:p>
        </w:tc>
        <w:tc>
          <w:tcPr>
            <w:tcW w:w="644" w:type="pct"/>
            <w:tcBorders>
              <w:top w:val="nil"/>
              <w:left w:val="nil"/>
              <w:bottom w:val="single" w:sz="12" w:space="0" w:color="auto"/>
              <w:right w:val="nil"/>
            </w:tcBorders>
            <w:shd w:val="clear" w:color="auto" w:fill="auto"/>
            <w:vAlign w:val="bottom"/>
          </w:tcPr>
          <w:p w14:paraId="5C04F0F0" w14:textId="77777777" w:rsidR="004E2F51" w:rsidRPr="00B91D09" w:rsidRDefault="004E2F51" w:rsidP="00E032FC">
            <w:pPr>
              <w:jc w:val="right"/>
              <w:rPr>
                <w:rFonts w:ascii="Arial" w:hAnsi="Arial" w:cs="Arial"/>
                <w:b/>
                <w:bCs/>
                <w:color w:val="000000"/>
                <w:sz w:val="17"/>
                <w:szCs w:val="17"/>
              </w:rPr>
            </w:pPr>
            <w:r w:rsidRPr="009D1B23">
              <w:rPr>
                <w:rFonts w:ascii="Arial" w:hAnsi="Arial" w:cs="Arial"/>
                <w:b/>
                <w:bCs/>
                <w:color w:val="000000"/>
                <w:sz w:val="17"/>
                <w:szCs w:val="17"/>
              </w:rPr>
              <w:t>60.552</w:t>
            </w:r>
          </w:p>
        </w:tc>
        <w:tc>
          <w:tcPr>
            <w:tcW w:w="565" w:type="pct"/>
            <w:tcBorders>
              <w:top w:val="nil"/>
              <w:left w:val="nil"/>
              <w:bottom w:val="single" w:sz="12" w:space="0" w:color="auto"/>
              <w:right w:val="nil"/>
            </w:tcBorders>
            <w:shd w:val="clear" w:color="auto" w:fill="auto"/>
            <w:vAlign w:val="bottom"/>
          </w:tcPr>
          <w:p w14:paraId="449BFFE7" w14:textId="77777777" w:rsidR="004E2F51" w:rsidRPr="00B91D09" w:rsidRDefault="004E2F51" w:rsidP="00E032FC">
            <w:pPr>
              <w:jc w:val="right"/>
              <w:rPr>
                <w:rFonts w:ascii="Arial" w:hAnsi="Arial" w:cs="Arial"/>
                <w:b/>
                <w:bCs/>
                <w:color w:val="000000"/>
                <w:sz w:val="17"/>
                <w:szCs w:val="17"/>
              </w:rPr>
            </w:pPr>
            <w:r w:rsidRPr="009D1B23">
              <w:rPr>
                <w:rFonts w:ascii="Arial" w:hAnsi="Arial" w:cs="Arial"/>
                <w:b/>
                <w:bCs/>
                <w:color w:val="000000"/>
                <w:sz w:val="17"/>
                <w:szCs w:val="17"/>
              </w:rPr>
              <w:t>60.552</w:t>
            </w:r>
          </w:p>
        </w:tc>
      </w:tr>
    </w:tbl>
    <w:p w14:paraId="5F761353" w14:textId="77777777" w:rsidR="004E2F51" w:rsidRPr="005D22E7" w:rsidRDefault="004E2F51" w:rsidP="005D22E7">
      <w:pPr>
        <w:rPr>
          <w:rFonts w:ascii="Arial" w:hAnsi="Arial" w:cs="Arial"/>
          <w:b/>
          <w:bCs/>
          <w:sz w:val="20"/>
          <w:szCs w:val="20"/>
          <w:lang w:val="hr-HR"/>
        </w:rPr>
      </w:pPr>
    </w:p>
    <w:sectPr w:rsidR="004E2F51" w:rsidRPr="005D22E7" w:rsidSect="001856C5">
      <w:headerReference w:type="default" r:id="rId241"/>
      <w:footerReference w:type="default" r:id="rId2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AB6CA" w14:textId="77777777" w:rsidR="003822D9" w:rsidRDefault="003822D9">
      <w:r>
        <w:separator/>
      </w:r>
    </w:p>
  </w:endnote>
  <w:endnote w:type="continuationSeparator" w:id="0">
    <w:p w14:paraId="2AC2E8DF" w14:textId="77777777" w:rsidR="003822D9" w:rsidRDefault="003822D9">
      <w:r>
        <w:continuationSeparator/>
      </w:r>
    </w:p>
  </w:endnote>
  <w:endnote w:type="continuationNotice" w:id="1">
    <w:p w14:paraId="68C0803D" w14:textId="77777777" w:rsidR="003822D9" w:rsidRDefault="003822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msRmn 12pt 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Times New Roman"/>
    <w:charset w:val="00"/>
    <w:family w:val="swiss"/>
    <w:pitch w:val="default"/>
    <w:sig w:usb0="00000003" w:usb1="00000000" w:usb2="00000000" w:usb3="00000000" w:csb0="00000001" w:csb1="00000000"/>
  </w:font>
  <w:font w:name="FrutigerNextPro-Light">
    <w:altName w:val="Times New Roman"/>
    <w:panose1 w:val="00000000000000000000"/>
    <w:charset w:val="4D"/>
    <w:family w:val="auto"/>
    <w:notTrueType/>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00"/>
    <w:family w:val="roman"/>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Futura Lt BT">
    <w:altName w:val="Segoe UI Semilight"/>
    <w:charset w:val="00"/>
    <w:family w:val="swiss"/>
    <w:pitch w:val="variable"/>
    <w:sig w:usb0="00000087" w:usb1="00000000" w:usb2="00000000" w:usb3="00000000" w:csb0="0000001B"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D6AB" w14:textId="77777777" w:rsidR="00955B06" w:rsidRDefault="00054989">
    <w:pPr>
      <w:pStyle w:val="Podnoje1"/>
      <w:pBdr>
        <w:top w:val="single" w:sz="4" w:space="1" w:color="000000"/>
      </w:pBdr>
      <w:tabs>
        <w:tab w:val="clear" w:pos="4153"/>
        <w:tab w:val="clear" w:pos="8306"/>
        <w:tab w:val="left" w:pos="8916"/>
      </w:tabs>
      <w:ind w:right="4"/>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5</w:t>
    </w:r>
    <w:r>
      <w:rPr>
        <w:rStyle w:val="Brojstranice1"/>
        <w:rFonts w:ascii="Calibri" w:hAnsi="Calibri"/>
        <w:sz w:val="19"/>
        <w:lang w:val="pl-PL"/>
      </w:rPr>
      <w:fldChar w:fldCharType="end"/>
    </w:r>
    <w:r>
      <w:rPr>
        <w:rStyle w:val="Brojstranice1"/>
        <w:rFonts w:ascii="Calibri" w:hAnsi="Calibri"/>
        <w:sz w:val="19"/>
        <w:lang w:val="pl-PL"/>
      </w:rPr>
      <w:t xml:space="preserve">  Hrvatska </w:t>
    </w:r>
    <w:r w:rsidRPr="006D0EB6">
      <w:rPr>
        <w:rStyle w:val="Brojstranice1"/>
        <w:rFonts w:ascii="Calibri" w:hAnsi="Calibri"/>
        <w:sz w:val="19"/>
        <w:lang w:val="pl-PL"/>
      </w:rPr>
      <w:t>banka za obnovu i razvitak</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66AA9" w14:textId="77777777" w:rsidR="007E5D38" w:rsidRPr="0038483C" w:rsidRDefault="007E5D38" w:rsidP="00D17EE8">
    <w:pPr>
      <w:pStyle w:val="Footer"/>
      <w:framePr w:wrap="auto" w:vAnchor="text" w:hAnchor="page" w:x="10756" w:y="204"/>
      <w:rPr>
        <w:rStyle w:val="PageNumber"/>
      </w:rPr>
    </w:pPr>
  </w:p>
  <w:p w14:paraId="31A6B53B" w14:textId="1885864C" w:rsidR="007E5D38" w:rsidRPr="004B4498" w:rsidRDefault="00AE4F6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7</w:t>
    </w:r>
    <w:r w:rsidR="007E5D38">
      <w:rPr>
        <w:rStyle w:val="PageNumber"/>
        <w:rFonts w:ascii="Arial" w:hAnsi="Arial" w:cs="Arial"/>
        <w:sz w:val="17"/>
        <w:szCs w:val="17"/>
        <w:lang w:val="pl-PL"/>
      </w:rPr>
      <w:t>5</w:t>
    </w:r>
    <w:r w:rsidR="007E5D38" w:rsidRPr="004B4498">
      <w:rPr>
        <w:rStyle w:val="PageNumber"/>
        <w:rFonts w:ascii="Arial" w:hAnsi="Arial" w:cs="Arial"/>
        <w:noProof/>
        <w:sz w:val="17"/>
        <w:szCs w:val="17"/>
        <w:lang w:val="pl-PL"/>
      </w:rPr>
      <w:t xml:space="preserve"> </w:t>
    </w:r>
    <w:r w:rsidR="007E5D38" w:rsidRPr="004B4498">
      <w:rPr>
        <w:rStyle w:val="PageNumber"/>
        <w:rFonts w:ascii="Arial" w:hAnsi="Arial" w:cs="Arial"/>
        <w:sz w:val="17"/>
        <w:szCs w:val="17"/>
        <w:lang w:val="pl-PL"/>
      </w:rPr>
      <w:t>Hrvatska banka za obnovu i razvitak</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6328D" w14:textId="77777777" w:rsidR="004E2F51" w:rsidRPr="0038483C" w:rsidRDefault="004E2F51" w:rsidP="00D17EE8">
    <w:pPr>
      <w:pStyle w:val="Footer"/>
      <w:framePr w:wrap="auto" w:vAnchor="text" w:hAnchor="page" w:x="10756" w:y="204"/>
      <w:rPr>
        <w:rStyle w:val="PageNumber"/>
      </w:rPr>
    </w:pPr>
  </w:p>
  <w:p w14:paraId="150E5638" w14:textId="5931D7DC" w:rsidR="004E2F51" w:rsidRPr="003F7756"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165</w:t>
    </w:r>
    <w:r w:rsidR="004E2F51" w:rsidRPr="003F7756">
      <w:rPr>
        <w:rStyle w:val="PageNumber"/>
        <w:rFonts w:ascii="Arial" w:hAnsi="Arial" w:cs="Arial"/>
        <w:sz w:val="17"/>
        <w:szCs w:val="17"/>
        <w:lang w:val="pl-PL"/>
      </w:rPr>
      <w:t xml:space="preserve">  Hrvatska banka za obnovu i razvitak</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AE95" w14:textId="77777777" w:rsidR="004E2F51" w:rsidRPr="0038483C" w:rsidRDefault="004E2F51" w:rsidP="00D17EE8">
    <w:pPr>
      <w:pStyle w:val="Footer"/>
      <w:framePr w:wrap="auto" w:vAnchor="text" w:hAnchor="page" w:x="10756" w:y="204"/>
      <w:rPr>
        <w:rStyle w:val="PageNumber"/>
      </w:rPr>
    </w:pPr>
  </w:p>
  <w:p w14:paraId="7A6C63D1" w14:textId="4A5EA821" w:rsidR="004E2F51" w:rsidRPr="003F7756"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166</w:t>
    </w:r>
    <w:r w:rsidR="004E2F51" w:rsidRPr="003F7756">
      <w:rPr>
        <w:rStyle w:val="PageNumber"/>
        <w:rFonts w:ascii="Arial" w:hAnsi="Arial" w:cs="Arial"/>
        <w:sz w:val="17"/>
        <w:szCs w:val="17"/>
        <w:lang w:val="pl-PL"/>
      </w:rPr>
      <w:t xml:space="preserve">  Hrvatska banka za obnovu i razvitak</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84ED1" w14:textId="77777777" w:rsidR="004E2F51" w:rsidRPr="0038483C" w:rsidRDefault="004E2F51" w:rsidP="00D17EE8">
    <w:pPr>
      <w:pStyle w:val="Footer"/>
      <w:framePr w:wrap="auto" w:vAnchor="text" w:hAnchor="page" w:x="10756" w:y="204"/>
      <w:rPr>
        <w:rStyle w:val="PageNumber"/>
      </w:rPr>
    </w:pPr>
  </w:p>
  <w:p w14:paraId="67344F09" w14:textId="75996668" w:rsidR="004E2F51" w:rsidRPr="003F7756"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167</w:t>
    </w:r>
    <w:r w:rsidR="004E2F51" w:rsidRPr="003F7756">
      <w:rPr>
        <w:rStyle w:val="PageNumber"/>
        <w:rFonts w:ascii="Arial" w:hAnsi="Arial" w:cs="Arial"/>
        <w:sz w:val="17"/>
        <w:szCs w:val="17"/>
        <w:lang w:val="pl-PL"/>
      </w:rPr>
      <w:t xml:space="preserve">  Hrvatska banka za obnovu i razvitak</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21BCA" w14:textId="77777777" w:rsidR="004E2F51" w:rsidRPr="0038483C" w:rsidRDefault="004E2F51" w:rsidP="00D17EE8">
    <w:pPr>
      <w:pStyle w:val="Footer"/>
      <w:framePr w:wrap="auto" w:vAnchor="text" w:hAnchor="page" w:x="10756" w:y="204"/>
      <w:rPr>
        <w:rStyle w:val="PageNumber"/>
      </w:rPr>
    </w:pPr>
  </w:p>
  <w:p w14:paraId="4B50CB28" w14:textId="388154EA" w:rsidR="004E2F51" w:rsidRPr="003F7756"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168</w:t>
    </w:r>
    <w:r w:rsidR="004E2F51" w:rsidRPr="003F7756">
      <w:rPr>
        <w:rStyle w:val="PageNumber"/>
        <w:rFonts w:ascii="Arial" w:hAnsi="Arial" w:cs="Arial"/>
        <w:sz w:val="17"/>
        <w:szCs w:val="17"/>
        <w:lang w:val="pl-PL"/>
      </w:rPr>
      <w:t xml:space="preserve">  Hrvatska banka za obnovu i razvitak</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D17CB" w14:textId="77777777" w:rsidR="004E2F51" w:rsidRPr="0038483C" w:rsidRDefault="004E2F51" w:rsidP="00D17EE8">
    <w:pPr>
      <w:pStyle w:val="Footer"/>
      <w:framePr w:wrap="auto" w:vAnchor="text" w:hAnchor="page" w:x="10756" w:y="204"/>
      <w:rPr>
        <w:rStyle w:val="PageNumber"/>
      </w:rPr>
    </w:pPr>
  </w:p>
  <w:p w14:paraId="0656CBE6" w14:textId="4D298F13" w:rsidR="004E2F51" w:rsidRPr="003F7756"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169</w:t>
    </w:r>
    <w:r w:rsidR="004E2F51" w:rsidRPr="003F7756">
      <w:rPr>
        <w:rStyle w:val="PageNumber"/>
        <w:rFonts w:ascii="Arial" w:hAnsi="Arial" w:cs="Arial"/>
        <w:sz w:val="17"/>
        <w:szCs w:val="17"/>
        <w:lang w:val="pl-PL"/>
      </w:rPr>
      <w:t xml:space="preserve">  Hrvatska banka za obnovu i razvitak</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5551" w14:textId="77777777" w:rsidR="004E2F51" w:rsidRPr="0038483C" w:rsidRDefault="004E2F51" w:rsidP="00D17EE8">
    <w:pPr>
      <w:pStyle w:val="Footer"/>
      <w:framePr w:wrap="auto" w:vAnchor="text" w:hAnchor="page" w:x="10756" w:y="204"/>
      <w:rPr>
        <w:rStyle w:val="PageNumber"/>
      </w:rPr>
    </w:pPr>
  </w:p>
  <w:p w14:paraId="67890D9E" w14:textId="3C56EFF1" w:rsidR="004E2F51" w:rsidRPr="003F7756"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170</w:t>
    </w:r>
    <w:r w:rsidR="004E2F51" w:rsidRPr="003F7756">
      <w:rPr>
        <w:rStyle w:val="PageNumber"/>
        <w:rFonts w:ascii="Arial" w:hAnsi="Arial" w:cs="Arial"/>
        <w:sz w:val="17"/>
        <w:szCs w:val="17"/>
        <w:lang w:val="pl-PL"/>
      </w:rPr>
      <w:t xml:space="preserve">  Hrvatska banka za obnovu i razvitak</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78F0A" w14:textId="77777777" w:rsidR="004E2F51" w:rsidRPr="0038483C" w:rsidRDefault="004E2F51" w:rsidP="00D17EE8">
    <w:pPr>
      <w:pStyle w:val="Footer"/>
      <w:framePr w:wrap="auto" w:vAnchor="text" w:hAnchor="page" w:x="10756" w:y="204"/>
      <w:rPr>
        <w:rStyle w:val="PageNumber"/>
      </w:rPr>
    </w:pPr>
  </w:p>
  <w:p w14:paraId="3E371CF8" w14:textId="13407B51" w:rsidR="004E2F51" w:rsidRPr="003F7756"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171</w:t>
    </w:r>
    <w:r w:rsidR="004E2F51" w:rsidRPr="003F7756">
      <w:rPr>
        <w:rStyle w:val="PageNumber"/>
        <w:rFonts w:ascii="Arial" w:hAnsi="Arial" w:cs="Arial"/>
        <w:sz w:val="17"/>
        <w:szCs w:val="17"/>
        <w:lang w:val="pl-PL"/>
      </w:rPr>
      <w:t xml:space="preserve">  Hrvatska banka za obnovu i razvitak</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9AE32" w14:textId="77777777" w:rsidR="004E2F51" w:rsidRPr="0038483C" w:rsidRDefault="004E2F51" w:rsidP="00D17EE8">
    <w:pPr>
      <w:pStyle w:val="Footer"/>
      <w:framePr w:wrap="auto" w:vAnchor="text" w:hAnchor="page" w:x="10756" w:y="204"/>
      <w:rPr>
        <w:rStyle w:val="PageNumber"/>
      </w:rPr>
    </w:pPr>
  </w:p>
  <w:p w14:paraId="49BCA169" w14:textId="555460E4" w:rsidR="004E2F51" w:rsidRPr="003F7756"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172</w:t>
    </w:r>
    <w:r w:rsidR="004E2F51" w:rsidRPr="003F7756">
      <w:rPr>
        <w:rStyle w:val="PageNumber"/>
        <w:rFonts w:ascii="Arial" w:hAnsi="Arial" w:cs="Arial"/>
        <w:sz w:val="17"/>
        <w:szCs w:val="17"/>
        <w:lang w:val="pl-PL"/>
      </w:rPr>
      <w:t xml:space="preserve">  Hrvatska banka za obnovu i razvitak</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2EA56" w14:textId="77777777" w:rsidR="004E2F51" w:rsidRPr="0038483C" w:rsidRDefault="004E2F51" w:rsidP="00D17EE8">
    <w:pPr>
      <w:pStyle w:val="Footer"/>
      <w:framePr w:wrap="auto" w:vAnchor="text" w:hAnchor="page" w:x="10756" w:y="204"/>
      <w:rPr>
        <w:rStyle w:val="PageNumber"/>
      </w:rPr>
    </w:pPr>
  </w:p>
  <w:p w14:paraId="02D4EE24" w14:textId="0C98AA8A" w:rsidR="004E2F51" w:rsidRPr="003F7756"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173</w:t>
    </w:r>
    <w:r w:rsidR="004E2F51" w:rsidRPr="003F7756">
      <w:rPr>
        <w:rStyle w:val="PageNumber"/>
        <w:rFonts w:ascii="Arial" w:hAnsi="Arial" w:cs="Arial"/>
        <w:sz w:val="17"/>
        <w:szCs w:val="17"/>
        <w:lang w:val="pl-PL"/>
      </w:rPr>
      <w:t xml:space="preserve">  Hrvatska banka za obnovu i razvitak</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AB893" w14:textId="77777777" w:rsidR="004E2F51" w:rsidRPr="0038483C" w:rsidRDefault="004E2F51" w:rsidP="00D17EE8">
    <w:pPr>
      <w:pStyle w:val="Footer"/>
      <w:framePr w:wrap="auto" w:vAnchor="text" w:hAnchor="page" w:x="10756" w:y="204"/>
      <w:rPr>
        <w:rStyle w:val="PageNumber"/>
      </w:rPr>
    </w:pPr>
  </w:p>
  <w:p w14:paraId="19679F3E" w14:textId="74AD5A96" w:rsidR="004E2F51" w:rsidRPr="003F7756"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174</w:t>
    </w:r>
    <w:r w:rsidR="004E2F51" w:rsidRPr="003F7756">
      <w:rPr>
        <w:rStyle w:val="PageNumber"/>
        <w:rFonts w:ascii="Arial" w:hAnsi="Arial" w:cs="Arial"/>
        <w:sz w:val="17"/>
        <w:szCs w:val="17"/>
        <w:lang w:val="pl-PL"/>
      </w:rPr>
      <w:t xml:space="preserve">  Hrvatska banka za obnovu i razvitak</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31618" w14:textId="77777777" w:rsidR="00AE4F61" w:rsidRPr="0038483C" w:rsidRDefault="00AE4F61" w:rsidP="00AE4F61">
    <w:pPr>
      <w:pStyle w:val="Footer"/>
      <w:framePr w:wrap="auto" w:vAnchor="text" w:hAnchor="page" w:x="10756" w:y="204"/>
      <w:rPr>
        <w:rStyle w:val="PageNumber"/>
      </w:rPr>
    </w:pPr>
  </w:p>
  <w:p w14:paraId="49E363AB" w14:textId="0CF65088" w:rsidR="00AE4F61" w:rsidRPr="004B4498" w:rsidRDefault="00AE4F61" w:rsidP="00AE4F61">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noProof/>
        <w:sz w:val="17"/>
        <w:szCs w:val="17"/>
        <w:lang w:val="pl-PL"/>
      </w:rPr>
      <w:t>7</w:t>
    </w:r>
    <w:r w:rsidR="00D042BF">
      <w:rPr>
        <w:rStyle w:val="PageNumber"/>
        <w:rFonts w:ascii="Arial" w:hAnsi="Arial" w:cs="Arial"/>
        <w:noProof/>
        <w:sz w:val="17"/>
        <w:szCs w:val="17"/>
        <w:lang w:val="pl-PL"/>
      </w:rPr>
      <w:t>6</w:t>
    </w:r>
    <w:r w:rsidRPr="004B4498">
      <w:rPr>
        <w:rStyle w:val="PageNumber"/>
        <w:rFonts w:ascii="Arial" w:hAnsi="Arial" w:cs="Arial"/>
        <w:noProof/>
        <w:sz w:val="17"/>
        <w:szCs w:val="17"/>
        <w:lang w:val="pl-PL"/>
      </w:rPr>
      <w:t xml:space="preserve"> </w:t>
    </w:r>
    <w:r w:rsidRPr="004B4498">
      <w:rPr>
        <w:rStyle w:val="PageNumber"/>
        <w:rFonts w:ascii="Arial" w:hAnsi="Arial" w:cs="Arial"/>
        <w:sz w:val="17"/>
        <w:szCs w:val="17"/>
        <w:lang w:val="pl-PL"/>
      </w:rPr>
      <w:t>Hrvatska banka za obnovu i razvitak</w:t>
    </w:r>
  </w:p>
  <w:p w14:paraId="337385DE" w14:textId="77777777" w:rsidR="00AE4F61" w:rsidRPr="00AE4F61" w:rsidRDefault="00AE4F61" w:rsidP="00AE4F61">
    <w:pPr>
      <w:pStyle w:val="Footer"/>
      <w:rPr>
        <w:rStyle w:val="PageNumber"/>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83C7E" w14:textId="77777777" w:rsidR="004E2F51" w:rsidRPr="0038483C" w:rsidRDefault="004E2F51" w:rsidP="00D17EE8">
    <w:pPr>
      <w:pStyle w:val="Footer"/>
      <w:framePr w:wrap="auto" w:vAnchor="text" w:hAnchor="page" w:x="10756" w:y="204"/>
      <w:rPr>
        <w:rStyle w:val="PageNumber"/>
      </w:rPr>
    </w:pPr>
  </w:p>
  <w:p w14:paraId="7B959373" w14:textId="41FDFA66" w:rsidR="004E2F51" w:rsidRPr="003F7756"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175</w:t>
    </w:r>
    <w:r w:rsidR="004E2F51" w:rsidRPr="003F7756">
      <w:rPr>
        <w:rStyle w:val="PageNumber"/>
        <w:rFonts w:ascii="Arial" w:hAnsi="Arial" w:cs="Arial"/>
        <w:sz w:val="17"/>
        <w:szCs w:val="17"/>
        <w:lang w:val="pl-PL"/>
      </w:rPr>
      <w:t xml:space="preserve">  Hrvatska banka za obnovu i razvitak</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4ADF" w14:textId="77777777" w:rsidR="004E2F51" w:rsidRPr="0038483C" w:rsidRDefault="004E2F51" w:rsidP="00D17EE8">
    <w:pPr>
      <w:pStyle w:val="Footer"/>
      <w:framePr w:wrap="auto" w:vAnchor="text" w:hAnchor="page" w:x="10756" w:y="204"/>
      <w:rPr>
        <w:rStyle w:val="PageNumber"/>
      </w:rPr>
    </w:pPr>
  </w:p>
  <w:p w14:paraId="3D8C09B4" w14:textId="323014AA" w:rsidR="004E2F51" w:rsidRPr="003F7756"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176</w:t>
    </w:r>
    <w:r w:rsidR="004E2F51" w:rsidRPr="003F7756">
      <w:rPr>
        <w:rStyle w:val="PageNumber"/>
        <w:rFonts w:ascii="Arial" w:hAnsi="Arial" w:cs="Arial"/>
        <w:sz w:val="17"/>
        <w:szCs w:val="17"/>
        <w:lang w:val="pl-PL"/>
      </w:rPr>
      <w:t xml:space="preserve">  Hrvatska banka za obnovu i razvitak</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1892" w14:textId="77777777" w:rsidR="004E2F51" w:rsidRPr="0038483C" w:rsidRDefault="004E2F51" w:rsidP="00D17EE8">
    <w:pPr>
      <w:pStyle w:val="Footer"/>
      <w:framePr w:wrap="auto" w:vAnchor="text" w:hAnchor="page" w:x="10756" w:y="204"/>
      <w:rPr>
        <w:rStyle w:val="PageNumber"/>
      </w:rPr>
    </w:pPr>
  </w:p>
  <w:p w14:paraId="42FC6EFB" w14:textId="6E640546" w:rsidR="004E2F51" w:rsidRPr="00D17EE8" w:rsidRDefault="003909C1" w:rsidP="00D17EE8">
    <w:pPr>
      <w:pStyle w:val="Footer"/>
      <w:pBdr>
        <w:top w:val="single" w:sz="4" w:space="1" w:color="auto"/>
      </w:pBdr>
      <w:tabs>
        <w:tab w:val="left" w:pos="8916"/>
      </w:tabs>
      <w:ind w:right="4"/>
      <w:rPr>
        <w:rStyle w:val="PageNumber"/>
        <w:rFonts w:ascii="Calibri" w:hAnsi="Calibri" w:cs="Calibri"/>
        <w:lang w:val="pl-PL"/>
      </w:rPr>
    </w:pPr>
    <w:r>
      <w:rPr>
        <w:rStyle w:val="PageNumber"/>
        <w:rFonts w:ascii="Arial" w:hAnsi="Arial" w:cs="Arial"/>
        <w:sz w:val="17"/>
        <w:szCs w:val="17"/>
        <w:lang w:val="pl-PL"/>
      </w:rPr>
      <w:t>177</w:t>
    </w:r>
    <w:r w:rsidR="004E2F51" w:rsidRPr="003F7756">
      <w:rPr>
        <w:rStyle w:val="PageNumber"/>
        <w:rFonts w:ascii="Arial" w:hAnsi="Arial" w:cs="Arial"/>
        <w:sz w:val="17"/>
        <w:szCs w:val="17"/>
        <w:lang w:val="pl-PL"/>
      </w:rPr>
      <w:t xml:space="preserve">  Hrvatska banka za obnovu i razvita</w:t>
    </w:r>
    <w:r w:rsidR="004E2F51" w:rsidRPr="00AB04C8">
      <w:rPr>
        <w:rStyle w:val="PageNumber"/>
        <w:rFonts w:asciiTheme="minorHAnsi" w:hAnsiTheme="minorHAnsi"/>
        <w:sz w:val="19"/>
        <w:lang w:val="pl-PL"/>
      </w:rPr>
      <w:t>k</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5A39" w14:textId="77777777" w:rsidR="004E2F51" w:rsidRPr="0038483C" w:rsidRDefault="004E2F51" w:rsidP="00D17EE8">
    <w:pPr>
      <w:pStyle w:val="Footer"/>
      <w:framePr w:wrap="auto" w:vAnchor="text" w:hAnchor="page" w:x="10756" w:y="204"/>
      <w:rPr>
        <w:rStyle w:val="PageNumber"/>
      </w:rPr>
    </w:pPr>
  </w:p>
  <w:p w14:paraId="6ECDF773" w14:textId="713BBED8" w:rsidR="004E2F51" w:rsidRPr="003F7756"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178</w:t>
    </w:r>
    <w:r w:rsidR="004E2F51" w:rsidRPr="003F7756">
      <w:rPr>
        <w:rStyle w:val="PageNumber"/>
        <w:rFonts w:ascii="Arial" w:hAnsi="Arial" w:cs="Arial"/>
        <w:sz w:val="17"/>
        <w:szCs w:val="17"/>
        <w:lang w:val="pl-PL"/>
      </w:rPr>
      <w:t xml:space="preserve">  Hrvatska banka za obnovu i razvitak</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7F43F" w14:textId="77777777" w:rsidR="004E2F51" w:rsidRPr="0038483C" w:rsidRDefault="004E2F51" w:rsidP="00D17EE8">
    <w:pPr>
      <w:pStyle w:val="Footer"/>
      <w:framePr w:wrap="auto" w:vAnchor="text" w:hAnchor="page" w:x="10756" w:y="204"/>
      <w:rPr>
        <w:rStyle w:val="PageNumber"/>
      </w:rPr>
    </w:pPr>
  </w:p>
  <w:p w14:paraId="4E81E822" w14:textId="4F4E4E39" w:rsidR="004E2F51" w:rsidRPr="0088257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179</w:t>
    </w:r>
    <w:r w:rsidR="004E2F51" w:rsidRPr="00882573">
      <w:rPr>
        <w:rStyle w:val="PageNumber"/>
        <w:rFonts w:ascii="Arial" w:hAnsi="Arial" w:cs="Arial"/>
        <w:sz w:val="17"/>
        <w:szCs w:val="17"/>
        <w:lang w:val="pl-PL"/>
      </w:rPr>
      <w:t xml:space="preserve">  Hrvatska banka za obnovu i razvitak</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9E889" w14:textId="77777777" w:rsidR="004E2F51" w:rsidRPr="0038483C" w:rsidRDefault="004E2F51" w:rsidP="00D17EE8">
    <w:pPr>
      <w:pStyle w:val="Footer"/>
      <w:framePr w:wrap="auto" w:vAnchor="text" w:hAnchor="page" w:x="10756" w:y="204"/>
      <w:rPr>
        <w:rStyle w:val="PageNumber"/>
      </w:rPr>
    </w:pPr>
  </w:p>
  <w:p w14:paraId="3A4AA364" w14:textId="7DB59F2C" w:rsidR="004E2F51" w:rsidRPr="0088257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180</w:t>
    </w:r>
    <w:r w:rsidR="004E2F51" w:rsidRPr="00882573">
      <w:rPr>
        <w:rStyle w:val="PageNumber"/>
        <w:rFonts w:ascii="Arial" w:hAnsi="Arial" w:cs="Arial"/>
        <w:sz w:val="17"/>
        <w:szCs w:val="17"/>
        <w:lang w:val="pl-PL"/>
      </w:rPr>
      <w:t xml:space="preserve">  Hrvatska banka za obnovu i razvitak</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B8F70" w14:textId="77777777" w:rsidR="004E2F51" w:rsidRPr="0038483C" w:rsidRDefault="004E2F51" w:rsidP="00D17EE8">
    <w:pPr>
      <w:pStyle w:val="Footer"/>
      <w:framePr w:wrap="auto" w:vAnchor="text" w:hAnchor="page" w:x="10756" w:y="204"/>
      <w:rPr>
        <w:rStyle w:val="PageNumber"/>
      </w:rPr>
    </w:pPr>
  </w:p>
  <w:p w14:paraId="57FA6AD1" w14:textId="06798BEA" w:rsidR="004E2F51" w:rsidRPr="0088257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181</w:t>
    </w:r>
    <w:r w:rsidR="004E2F51" w:rsidRPr="00882573">
      <w:rPr>
        <w:rStyle w:val="PageNumber"/>
        <w:rFonts w:ascii="Arial" w:hAnsi="Arial" w:cs="Arial"/>
        <w:sz w:val="17"/>
        <w:szCs w:val="17"/>
        <w:lang w:val="pl-PL"/>
      </w:rPr>
      <w:t xml:space="preserve">  Hrvatska banka za obnovu i razvitak</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9D932" w14:textId="77777777" w:rsidR="004E2F51" w:rsidRPr="0038483C" w:rsidRDefault="004E2F51" w:rsidP="00D17EE8">
    <w:pPr>
      <w:pStyle w:val="Footer"/>
      <w:framePr w:wrap="auto" w:vAnchor="text" w:hAnchor="page" w:x="10756" w:y="204"/>
      <w:rPr>
        <w:rStyle w:val="PageNumber"/>
      </w:rPr>
    </w:pPr>
  </w:p>
  <w:p w14:paraId="0D3E0BAA" w14:textId="081EEE0F" w:rsidR="004E2F51" w:rsidRPr="0088257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182</w:t>
    </w:r>
    <w:r w:rsidR="004E2F51" w:rsidRPr="00882573">
      <w:rPr>
        <w:rStyle w:val="PageNumber"/>
        <w:rFonts w:ascii="Arial" w:hAnsi="Arial" w:cs="Arial"/>
        <w:sz w:val="17"/>
        <w:szCs w:val="17"/>
        <w:lang w:val="pl-PL"/>
      </w:rPr>
      <w:t xml:space="preserve">  Hrvatska banka za obnovu i razvitak</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88E51" w14:textId="77777777" w:rsidR="004E2F51" w:rsidRPr="0038483C" w:rsidRDefault="004E2F51" w:rsidP="00D17EE8">
    <w:pPr>
      <w:pStyle w:val="Footer"/>
      <w:framePr w:wrap="auto" w:vAnchor="text" w:hAnchor="page" w:x="10756" w:y="204"/>
      <w:rPr>
        <w:rStyle w:val="PageNumber"/>
      </w:rPr>
    </w:pPr>
  </w:p>
  <w:p w14:paraId="13B87A64" w14:textId="6C773452" w:rsidR="004E2F51" w:rsidRPr="0088257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183</w:t>
    </w:r>
    <w:r w:rsidR="004E2F51" w:rsidRPr="00882573">
      <w:rPr>
        <w:rStyle w:val="PageNumber"/>
        <w:rFonts w:ascii="Arial" w:hAnsi="Arial" w:cs="Arial"/>
        <w:sz w:val="17"/>
        <w:szCs w:val="17"/>
        <w:lang w:val="pl-PL"/>
      </w:rPr>
      <w:t xml:space="preserve">  Hrvatska banka za obnovu i razvitak</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40D90" w14:textId="77777777" w:rsidR="004E2F51" w:rsidRPr="0038483C" w:rsidRDefault="004E2F51" w:rsidP="00D17EE8">
    <w:pPr>
      <w:pStyle w:val="Footer"/>
      <w:framePr w:wrap="auto" w:vAnchor="text" w:hAnchor="page" w:x="10756" w:y="204"/>
      <w:rPr>
        <w:rStyle w:val="PageNumber"/>
      </w:rPr>
    </w:pPr>
  </w:p>
  <w:p w14:paraId="35E9389C" w14:textId="799F5F9B" w:rsidR="004E2F51" w:rsidRPr="0088257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184</w:t>
    </w:r>
    <w:r w:rsidR="004E2F51" w:rsidRPr="00882573">
      <w:rPr>
        <w:rStyle w:val="PageNumber"/>
        <w:rFonts w:ascii="Arial" w:hAnsi="Arial" w:cs="Arial"/>
        <w:sz w:val="17"/>
        <w:szCs w:val="17"/>
        <w:lang w:val="pl-PL"/>
      </w:rPr>
      <w:t xml:space="preserve">  Hrvatska banka za obnovu i razvitak</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29B53" w14:textId="77777777" w:rsidR="00D042BF" w:rsidRPr="0038483C" w:rsidRDefault="00D042BF" w:rsidP="00AE4F61">
    <w:pPr>
      <w:pStyle w:val="Footer"/>
      <w:framePr w:wrap="auto" w:vAnchor="text" w:hAnchor="page" w:x="10756" w:y="204"/>
      <w:rPr>
        <w:rStyle w:val="PageNumber"/>
      </w:rPr>
    </w:pPr>
  </w:p>
  <w:p w14:paraId="300DAE7F" w14:textId="19DF92C2" w:rsidR="00D042BF" w:rsidRPr="004B4498" w:rsidRDefault="00D042BF" w:rsidP="00AE4F61">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noProof/>
        <w:sz w:val="17"/>
        <w:szCs w:val="17"/>
        <w:lang w:val="pl-PL"/>
      </w:rPr>
      <w:t>77</w:t>
    </w:r>
    <w:r w:rsidRPr="004B4498">
      <w:rPr>
        <w:rStyle w:val="PageNumber"/>
        <w:rFonts w:ascii="Arial" w:hAnsi="Arial" w:cs="Arial"/>
        <w:noProof/>
        <w:sz w:val="17"/>
        <w:szCs w:val="17"/>
        <w:lang w:val="pl-PL"/>
      </w:rPr>
      <w:t xml:space="preserve"> </w:t>
    </w:r>
    <w:r w:rsidRPr="004B4498">
      <w:rPr>
        <w:rStyle w:val="PageNumber"/>
        <w:rFonts w:ascii="Arial" w:hAnsi="Arial" w:cs="Arial"/>
        <w:sz w:val="17"/>
        <w:szCs w:val="17"/>
        <w:lang w:val="pl-PL"/>
      </w:rPr>
      <w:t>Hrvatska banka za obnovu i razvitak</w:t>
    </w:r>
  </w:p>
  <w:p w14:paraId="17EC14D5" w14:textId="77777777" w:rsidR="00D042BF" w:rsidRPr="00AE4F61" w:rsidRDefault="00D042BF" w:rsidP="00AE4F61">
    <w:pPr>
      <w:pStyle w:val="Footer"/>
      <w:rPr>
        <w:rStyle w:val="PageNumber"/>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7606" w14:textId="77777777" w:rsidR="004E2F51" w:rsidRPr="0038483C" w:rsidRDefault="004E2F51" w:rsidP="00D17EE8">
    <w:pPr>
      <w:pStyle w:val="Footer"/>
      <w:framePr w:wrap="auto" w:vAnchor="text" w:hAnchor="page" w:x="10756" w:y="204"/>
      <w:rPr>
        <w:rStyle w:val="PageNumber"/>
      </w:rPr>
    </w:pPr>
  </w:p>
  <w:p w14:paraId="23EB769C" w14:textId="2FA2B4CD"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185</w:t>
    </w:r>
    <w:r w:rsidR="004E2F51" w:rsidRPr="00C30FC3">
      <w:rPr>
        <w:rStyle w:val="PageNumber"/>
        <w:rFonts w:ascii="Arial" w:hAnsi="Arial" w:cs="Arial"/>
        <w:sz w:val="17"/>
        <w:szCs w:val="17"/>
        <w:lang w:val="pl-PL"/>
      </w:rPr>
      <w:t xml:space="preserve">  Hrvatska banka za obnovu i razvitak</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ABD4F" w14:textId="77777777" w:rsidR="004E2F51" w:rsidRPr="0038483C" w:rsidRDefault="004E2F51" w:rsidP="00D17EE8">
    <w:pPr>
      <w:pStyle w:val="Footer"/>
      <w:framePr w:wrap="auto" w:vAnchor="text" w:hAnchor="page" w:x="10756" w:y="204"/>
      <w:rPr>
        <w:rStyle w:val="PageNumber"/>
      </w:rPr>
    </w:pPr>
  </w:p>
  <w:p w14:paraId="508D6F0B" w14:textId="0993FAE8"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186</w:t>
    </w:r>
    <w:r w:rsidR="004E2F51" w:rsidRPr="00C30FC3">
      <w:rPr>
        <w:rStyle w:val="PageNumber"/>
        <w:rFonts w:ascii="Arial" w:hAnsi="Arial" w:cs="Arial"/>
        <w:sz w:val="17"/>
        <w:szCs w:val="17"/>
        <w:lang w:val="pl-PL"/>
      </w:rPr>
      <w:t xml:space="preserve">  Hrvatska banka za obnovu i razvitak</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172D9" w14:textId="77777777" w:rsidR="004E2F51" w:rsidRPr="0038483C" w:rsidRDefault="004E2F51" w:rsidP="00D17EE8">
    <w:pPr>
      <w:pStyle w:val="Footer"/>
      <w:framePr w:wrap="auto" w:vAnchor="text" w:hAnchor="page" w:x="10756" w:y="204"/>
      <w:rPr>
        <w:rStyle w:val="PageNumber"/>
      </w:rPr>
    </w:pPr>
  </w:p>
  <w:p w14:paraId="4E2FB57D" w14:textId="3BC08667"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187</w:t>
    </w:r>
    <w:r w:rsidR="004E2F51" w:rsidRPr="00C30FC3">
      <w:rPr>
        <w:rStyle w:val="PageNumber"/>
        <w:rFonts w:ascii="Arial" w:hAnsi="Arial" w:cs="Arial"/>
        <w:sz w:val="17"/>
        <w:szCs w:val="17"/>
        <w:lang w:val="pl-PL"/>
      </w:rPr>
      <w:t xml:space="preserve">  Hrvatska banka za obnovu i razvitak</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A33E9" w14:textId="77777777" w:rsidR="004E2F51" w:rsidRPr="0038483C" w:rsidRDefault="004E2F51" w:rsidP="00D17EE8">
    <w:pPr>
      <w:pStyle w:val="Footer"/>
      <w:framePr w:wrap="auto" w:vAnchor="text" w:hAnchor="page" w:x="10756" w:y="204"/>
      <w:rPr>
        <w:rStyle w:val="PageNumber"/>
      </w:rPr>
    </w:pPr>
  </w:p>
  <w:p w14:paraId="5B56530D" w14:textId="5D2A9E4D"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188</w:t>
    </w:r>
    <w:r w:rsidR="004E2F51" w:rsidRPr="00C30FC3">
      <w:rPr>
        <w:rStyle w:val="PageNumber"/>
        <w:rFonts w:ascii="Arial" w:hAnsi="Arial" w:cs="Arial"/>
        <w:sz w:val="17"/>
        <w:szCs w:val="17"/>
        <w:lang w:val="pl-PL"/>
      </w:rPr>
      <w:t xml:space="preserve">  Hrvatska banka za obnovu i razvitak</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2432" w14:textId="77777777" w:rsidR="004E2F51" w:rsidRPr="0038483C" w:rsidRDefault="004E2F51" w:rsidP="00D17EE8">
    <w:pPr>
      <w:pStyle w:val="Footer"/>
      <w:framePr w:wrap="auto" w:vAnchor="text" w:hAnchor="page" w:x="10756" w:y="204"/>
      <w:rPr>
        <w:rStyle w:val="PageNumber"/>
      </w:rPr>
    </w:pPr>
  </w:p>
  <w:p w14:paraId="5E253980" w14:textId="1731264A"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189</w:t>
    </w:r>
    <w:r w:rsidR="004E2F51" w:rsidRPr="00C30FC3">
      <w:rPr>
        <w:rStyle w:val="PageNumber"/>
        <w:rFonts w:ascii="Arial" w:hAnsi="Arial" w:cs="Arial"/>
        <w:sz w:val="17"/>
        <w:szCs w:val="17"/>
        <w:lang w:val="pl-PL"/>
      </w:rPr>
      <w:t xml:space="preserve">  Hrvatska banka za obnovu i razvitak</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F57D1" w14:textId="77777777" w:rsidR="004E2F51" w:rsidRPr="0038483C" w:rsidRDefault="004E2F51" w:rsidP="00D17EE8">
    <w:pPr>
      <w:pStyle w:val="Footer"/>
      <w:framePr w:wrap="auto" w:vAnchor="text" w:hAnchor="page" w:x="10756" w:y="204"/>
      <w:rPr>
        <w:rStyle w:val="PageNumber"/>
      </w:rPr>
    </w:pPr>
  </w:p>
  <w:p w14:paraId="4CE8C32B" w14:textId="65EB7B7A"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190</w:t>
    </w:r>
    <w:r w:rsidR="004E2F51" w:rsidRPr="00C30FC3">
      <w:rPr>
        <w:rStyle w:val="PageNumber"/>
        <w:rFonts w:ascii="Arial" w:hAnsi="Arial" w:cs="Arial"/>
        <w:sz w:val="17"/>
        <w:szCs w:val="17"/>
        <w:lang w:val="pl-PL"/>
      </w:rPr>
      <w:t xml:space="preserve">  Hrvatska banka za obnovu i razvitak</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F7604" w14:textId="77777777" w:rsidR="004E2F51" w:rsidRPr="0038483C" w:rsidRDefault="004E2F51" w:rsidP="00D17EE8">
    <w:pPr>
      <w:pStyle w:val="Footer"/>
      <w:framePr w:wrap="auto" w:vAnchor="text" w:hAnchor="page" w:x="10756" w:y="204"/>
      <w:rPr>
        <w:rStyle w:val="PageNumber"/>
      </w:rPr>
    </w:pPr>
  </w:p>
  <w:p w14:paraId="173F33B3" w14:textId="642554A5"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191</w:t>
    </w:r>
    <w:r w:rsidR="004E2F51" w:rsidRPr="00C30FC3">
      <w:rPr>
        <w:rStyle w:val="PageNumber"/>
        <w:rFonts w:ascii="Arial" w:hAnsi="Arial" w:cs="Arial"/>
        <w:sz w:val="17"/>
        <w:szCs w:val="17"/>
        <w:lang w:val="pl-PL"/>
      </w:rPr>
      <w:t xml:space="preserve">  Hrvatska banka za obnovu i razvitak</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F5CF3" w14:textId="77777777" w:rsidR="004E2F51" w:rsidRPr="0038483C" w:rsidRDefault="004E2F51" w:rsidP="00D17EE8">
    <w:pPr>
      <w:pStyle w:val="Footer"/>
      <w:framePr w:wrap="auto" w:vAnchor="text" w:hAnchor="page" w:x="10756" w:y="204"/>
      <w:rPr>
        <w:rStyle w:val="PageNumber"/>
      </w:rPr>
    </w:pPr>
  </w:p>
  <w:p w14:paraId="2FFDAA20" w14:textId="51F6F42A"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192</w:t>
    </w:r>
    <w:r w:rsidR="004E2F51" w:rsidRPr="00C30FC3">
      <w:rPr>
        <w:rStyle w:val="PageNumber"/>
        <w:rFonts w:ascii="Arial" w:hAnsi="Arial" w:cs="Arial"/>
        <w:sz w:val="17"/>
        <w:szCs w:val="17"/>
        <w:lang w:val="pl-PL"/>
      </w:rPr>
      <w:t xml:space="preserve">  Hrvatska banka za obnovu i razvitak</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E32D" w14:textId="77777777" w:rsidR="004E2F51" w:rsidRPr="0038483C" w:rsidRDefault="004E2F51" w:rsidP="00D17EE8">
    <w:pPr>
      <w:pStyle w:val="Footer"/>
      <w:framePr w:wrap="auto" w:vAnchor="text" w:hAnchor="page" w:x="10756" w:y="204"/>
      <w:rPr>
        <w:rStyle w:val="PageNumber"/>
      </w:rPr>
    </w:pPr>
  </w:p>
  <w:p w14:paraId="009A0BF8" w14:textId="7323FA0B" w:rsidR="004E2F51" w:rsidRPr="00C30FC3" w:rsidRDefault="004E2F5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w:t>
    </w:r>
    <w:r w:rsidR="003909C1">
      <w:rPr>
        <w:rStyle w:val="PageNumber"/>
        <w:rFonts w:ascii="Arial" w:hAnsi="Arial" w:cs="Arial"/>
        <w:sz w:val="17"/>
        <w:szCs w:val="17"/>
        <w:lang w:val="pl-PL"/>
      </w:rPr>
      <w:t>93</w:t>
    </w:r>
    <w:r w:rsidRPr="00C30FC3">
      <w:rPr>
        <w:rStyle w:val="PageNumber"/>
        <w:rFonts w:ascii="Arial" w:hAnsi="Arial" w:cs="Arial"/>
        <w:sz w:val="17"/>
        <w:szCs w:val="17"/>
        <w:lang w:val="pl-PL"/>
      </w:rPr>
      <w:t xml:space="preserve">  Hrvatska banka za obnovu i razvitak</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D2043" w14:textId="77777777" w:rsidR="004E2F51" w:rsidRPr="0038483C" w:rsidRDefault="004E2F51" w:rsidP="00D17EE8">
    <w:pPr>
      <w:pStyle w:val="Footer"/>
      <w:framePr w:wrap="auto" w:vAnchor="text" w:hAnchor="page" w:x="10756" w:y="204"/>
      <w:rPr>
        <w:rStyle w:val="PageNumber"/>
      </w:rPr>
    </w:pPr>
  </w:p>
  <w:p w14:paraId="6BCB9A51" w14:textId="6F493FD0" w:rsidR="004E2F51" w:rsidRPr="00C30FC3" w:rsidRDefault="004E2F5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w:t>
    </w:r>
    <w:r w:rsidR="003909C1">
      <w:rPr>
        <w:rStyle w:val="PageNumber"/>
        <w:rFonts w:ascii="Arial" w:hAnsi="Arial" w:cs="Arial"/>
        <w:sz w:val="17"/>
        <w:szCs w:val="17"/>
        <w:lang w:val="pl-PL"/>
      </w:rPr>
      <w:t>94</w:t>
    </w:r>
    <w:r w:rsidRPr="00C30FC3">
      <w:rPr>
        <w:rStyle w:val="PageNumber"/>
        <w:rFonts w:ascii="Arial" w:hAnsi="Arial" w:cs="Arial"/>
        <w:sz w:val="17"/>
        <w:szCs w:val="17"/>
        <w:lang w:val="pl-PL"/>
      </w:rPr>
      <w:t xml:space="preserve">  Hrvatska banka za obnovu i razvitak</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24E9" w14:textId="77777777" w:rsidR="00D042BF" w:rsidRPr="0038483C" w:rsidRDefault="00D042BF" w:rsidP="00AE4F61">
    <w:pPr>
      <w:pStyle w:val="Footer"/>
      <w:framePr w:wrap="auto" w:vAnchor="text" w:hAnchor="page" w:x="10756" w:y="204"/>
      <w:rPr>
        <w:rStyle w:val="PageNumber"/>
      </w:rPr>
    </w:pPr>
  </w:p>
  <w:p w14:paraId="24CFED21" w14:textId="1F9B44B9" w:rsidR="00D042BF" w:rsidRPr="004B4498" w:rsidRDefault="00D042BF" w:rsidP="00AE4F61">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noProof/>
        <w:sz w:val="17"/>
        <w:szCs w:val="17"/>
        <w:lang w:val="pl-PL"/>
      </w:rPr>
      <w:t>78</w:t>
    </w:r>
    <w:r w:rsidRPr="004B4498">
      <w:rPr>
        <w:rStyle w:val="PageNumber"/>
        <w:rFonts w:ascii="Arial" w:hAnsi="Arial" w:cs="Arial"/>
        <w:noProof/>
        <w:sz w:val="17"/>
        <w:szCs w:val="17"/>
        <w:lang w:val="pl-PL"/>
      </w:rPr>
      <w:t xml:space="preserve"> </w:t>
    </w:r>
    <w:r w:rsidRPr="004B4498">
      <w:rPr>
        <w:rStyle w:val="PageNumber"/>
        <w:rFonts w:ascii="Arial" w:hAnsi="Arial" w:cs="Arial"/>
        <w:sz w:val="17"/>
        <w:szCs w:val="17"/>
        <w:lang w:val="pl-PL"/>
      </w:rPr>
      <w:t>Hrvatska banka za obnovu i razvitak</w:t>
    </w:r>
  </w:p>
  <w:p w14:paraId="57C8CB33" w14:textId="77777777" w:rsidR="00D042BF" w:rsidRPr="00AE4F61" w:rsidRDefault="00D042BF" w:rsidP="00AE4F61">
    <w:pPr>
      <w:pStyle w:val="Footer"/>
      <w:rPr>
        <w:rStyle w:val="PageNumber"/>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FF59F" w14:textId="77777777" w:rsidR="004E2F51" w:rsidRPr="0038483C" w:rsidRDefault="004E2F51" w:rsidP="00D17EE8">
    <w:pPr>
      <w:pStyle w:val="Footer"/>
      <w:framePr w:wrap="auto" w:vAnchor="text" w:hAnchor="page" w:x="10756" w:y="204"/>
      <w:rPr>
        <w:rStyle w:val="PageNumber"/>
      </w:rPr>
    </w:pPr>
  </w:p>
  <w:p w14:paraId="500E8970" w14:textId="5EF06D23" w:rsidR="004E2F51" w:rsidRPr="00C30FC3" w:rsidRDefault="004E2F5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w:t>
    </w:r>
    <w:r w:rsidR="003909C1">
      <w:rPr>
        <w:rStyle w:val="PageNumber"/>
        <w:rFonts w:ascii="Arial" w:hAnsi="Arial" w:cs="Arial"/>
        <w:sz w:val="17"/>
        <w:szCs w:val="17"/>
        <w:lang w:val="pl-PL"/>
      </w:rPr>
      <w:t>95</w:t>
    </w:r>
    <w:r w:rsidRPr="00C30FC3">
      <w:rPr>
        <w:rStyle w:val="PageNumber"/>
        <w:rFonts w:ascii="Arial" w:hAnsi="Arial" w:cs="Arial"/>
        <w:sz w:val="17"/>
        <w:szCs w:val="17"/>
        <w:lang w:val="pl-PL"/>
      </w:rPr>
      <w:t xml:space="preserve">  Hrvatska banka za obnovu i razvitak</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C2C05" w14:textId="77777777" w:rsidR="004E2F51" w:rsidRPr="0038483C" w:rsidRDefault="004E2F51" w:rsidP="00D17EE8">
    <w:pPr>
      <w:pStyle w:val="Footer"/>
      <w:framePr w:wrap="auto" w:vAnchor="text" w:hAnchor="page" w:x="10756" w:y="204"/>
      <w:rPr>
        <w:rStyle w:val="PageNumber"/>
      </w:rPr>
    </w:pPr>
  </w:p>
  <w:p w14:paraId="1BF1900A" w14:textId="1B857060" w:rsidR="004E2F51" w:rsidRPr="00C30FC3" w:rsidRDefault="004E2F5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w:t>
    </w:r>
    <w:r w:rsidR="003909C1">
      <w:rPr>
        <w:rStyle w:val="PageNumber"/>
        <w:rFonts w:ascii="Arial" w:hAnsi="Arial" w:cs="Arial"/>
        <w:sz w:val="17"/>
        <w:szCs w:val="17"/>
        <w:lang w:val="pl-PL"/>
      </w:rPr>
      <w:t>96</w:t>
    </w:r>
    <w:r w:rsidRPr="00C30FC3">
      <w:rPr>
        <w:rStyle w:val="PageNumber"/>
        <w:rFonts w:ascii="Arial" w:hAnsi="Arial" w:cs="Arial"/>
        <w:sz w:val="17"/>
        <w:szCs w:val="17"/>
        <w:lang w:val="pl-PL"/>
      </w:rPr>
      <w:t xml:space="preserve"> Hrvatska banka za obnovu i razvitak</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70FFB" w14:textId="77777777" w:rsidR="004E2F51" w:rsidRPr="0038483C" w:rsidRDefault="004E2F51" w:rsidP="00D17EE8">
    <w:pPr>
      <w:pStyle w:val="Footer"/>
      <w:framePr w:wrap="auto" w:vAnchor="text" w:hAnchor="page" w:x="10756" w:y="204"/>
      <w:rPr>
        <w:rStyle w:val="PageNumber"/>
      </w:rPr>
    </w:pPr>
  </w:p>
  <w:p w14:paraId="60ECE8AC" w14:textId="0A2A4EFE" w:rsidR="004E2F51" w:rsidRPr="00C30FC3" w:rsidRDefault="004E2F5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w:t>
    </w:r>
    <w:r w:rsidR="003909C1">
      <w:rPr>
        <w:rStyle w:val="PageNumber"/>
        <w:rFonts w:ascii="Arial" w:hAnsi="Arial" w:cs="Arial"/>
        <w:sz w:val="17"/>
        <w:szCs w:val="17"/>
        <w:lang w:val="pl-PL"/>
      </w:rPr>
      <w:t>97</w:t>
    </w:r>
    <w:r w:rsidRPr="00C30FC3">
      <w:rPr>
        <w:rStyle w:val="PageNumber"/>
        <w:rFonts w:ascii="Arial" w:hAnsi="Arial" w:cs="Arial"/>
        <w:sz w:val="17"/>
        <w:szCs w:val="17"/>
        <w:lang w:val="pl-PL"/>
      </w:rPr>
      <w:t xml:space="preserve">  Hrvatska banka za obnovu i razvitak</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5478D" w14:textId="77777777" w:rsidR="004E2F51" w:rsidRPr="0038483C" w:rsidRDefault="004E2F51" w:rsidP="00D17EE8">
    <w:pPr>
      <w:pStyle w:val="Footer"/>
      <w:framePr w:wrap="auto" w:vAnchor="text" w:hAnchor="page" w:x="10756" w:y="204"/>
      <w:rPr>
        <w:rStyle w:val="PageNumber"/>
      </w:rPr>
    </w:pPr>
  </w:p>
  <w:p w14:paraId="4136DA25" w14:textId="78BE047A" w:rsidR="004E2F51" w:rsidRPr="00C30FC3" w:rsidRDefault="004E2F5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w:t>
    </w:r>
    <w:r w:rsidR="003909C1">
      <w:rPr>
        <w:rStyle w:val="PageNumber"/>
        <w:rFonts w:ascii="Arial" w:hAnsi="Arial" w:cs="Arial"/>
        <w:sz w:val="17"/>
        <w:szCs w:val="17"/>
        <w:lang w:val="pl-PL"/>
      </w:rPr>
      <w:t>98</w:t>
    </w:r>
    <w:r w:rsidRPr="00C30FC3">
      <w:rPr>
        <w:rStyle w:val="PageNumber"/>
        <w:rFonts w:ascii="Arial" w:hAnsi="Arial" w:cs="Arial"/>
        <w:sz w:val="17"/>
        <w:szCs w:val="17"/>
        <w:lang w:val="pl-PL"/>
      </w:rPr>
      <w:t xml:space="preserve">  Hrvatska banka za obnovu i razvitak</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6BA23" w14:textId="77777777" w:rsidR="004E2F51" w:rsidRPr="0038483C" w:rsidRDefault="004E2F51" w:rsidP="00D17EE8">
    <w:pPr>
      <w:pStyle w:val="Footer"/>
      <w:framePr w:wrap="auto" w:vAnchor="text" w:hAnchor="page" w:x="10756" w:y="204"/>
      <w:rPr>
        <w:rStyle w:val="PageNumber"/>
      </w:rPr>
    </w:pPr>
  </w:p>
  <w:p w14:paraId="5A0F9054" w14:textId="54C3BFC9" w:rsidR="004E2F51" w:rsidRPr="00C30FC3" w:rsidRDefault="004E2F5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w:t>
    </w:r>
    <w:r w:rsidR="003909C1">
      <w:rPr>
        <w:rStyle w:val="PageNumber"/>
        <w:rFonts w:ascii="Arial" w:hAnsi="Arial" w:cs="Arial"/>
        <w:sz w:val="17"/>
        <w:szCs w:val="17"/>
        <w:lang w:val="pl-PL"/>
      </w:rPr>
      <w:t>99</w:t>
    </w:r>
    <w:r w:rsidRPr="00C30FC3">
      <w:rPr>
        <w:rStyle w:val="PageNumber"/>
        <w:rFonts w:ascii="Arial" w:hAnsi="Arial" w:cs="Arial"/>
        <w:sz w:val="17"/>
        <w:szCs w:val="17"/>
        <w:lang w:val="pl-PL"/>
      </w:rPr>
      <w:t xml:space="preserve">  Hrvatska banka za obnovu i razvitak</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99DA3" w14:textId="77777777" w:rsidR="004E2F51" w:rsidRPr="0038483C" w:rsidRDefault="004E2F51" w:rsidP="00D17EE8">
    <w:pPr>
      <w:pStyle w:val="Footer"/>
      <w:framePr w:wrap="auto" w:vAnchor="text" w:hAnchor="page" w:x="10756" w:y="204"/>
      <w:rPr>
        <w:rStyle w:val="PageNumber"/>
      </w:rPr>
    </w:pPr>
  </w:p>
  <w:p w14:paraId="11E151B5" w14:textId="5ED074F5"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200</w:t>
    </w:r>
    <w:r w:rsidR="004E2F51" w:rsidRPr="00C30FC3">
      <w:rPr>
        <w:rStyle w:val="PageNumber"/>
        <w:rFonts w:ascii="Arial" w:hAnsi="Arial" w:cs="Arial"/>
        <w:sz w:val="17"/>
        <w:szCs w:val="17"/>
        <w:lang w:val="pl-PL"/>
      </w:rPr>
      <w:t xml:space="preserve">  Hrvatska banka za obnovu i razvitak</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D776" w14:textId="77777777" w:rsidR="004E2F51" w:rsidRPr="0038483C" w:rsidRDefault="004E2F51" w:rsidP="00D17EE8">
    <w:pPr>
      <w:pStyle w:val="Footer"/>
      <w:framePr w:wrap="auto" w:vAnchor="text" w:hAnchor="page" w:x="10756" w:y="204"/>
      <w:rPr>
        <w:rStyle w:val="PageNumber"/>
      </w:rPr>
    </w:pPr>
  </w:p>
  <w:p w14:paraId="2237A056" w14:textId="35281864"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201</w:t>
    </w:r>
    <w:r w:rsidR="004E2F51" w:rsidRPr="00C30FC3">
      <w:rPr>
        <w:rStyle w:val="PageNumber"/>
        <w:rFonts w:ascii="Arial" w:hAnsi="Arial" w:cs="Arial"/>
        <w:sz w:val="17"/>
        <w:szCs w:val="17"/>
        <w:lang w:val="pl-PL"/>
      </w:rPr>
      <w:t xml:space="preserve">  Hrvatska banka za obnovu i razvitak</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B19E9" w14:textId="77777777" w:rsidR="004E2F51" w:rsidRPr="0038483C" w:rsidRDefault="004E2F51" w:rsidP="00D17EE8">
    <w:pPr>
      <w:pStyle w:val="Footer"/>
      <w:framePr w:wrap="auto" w:vAnchor="text" w:hAnchor="page" w:x="10756" w:y="204"/>
      <w:rPr>
        <w:rStyle w:val="PageNumber"/>
      </w:rPr>
    </w:pPr>
  </w:p>
  <w:p w14:paraId="4EEDBD03" w14:textId="1628311E"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202</w:t>
    </w:r>
    <w:r w:rsidR="004E2F51" w:rsidRPr="00C30FC3">
      <w:rPr>
        <w:rStyle w:val="PageNumber"/>
        <w:rFonts w:ascii="Arial" w:hAnsi="Arial" w:cs="Arial"/>
        <w:sz w:val="17"/>
        <w:szCs w:val="17"/>
        <w:lang w:val="pl-PL"/>
      </w:rPr>
      <w:t xml:space="preserve">  Hrvatska banka za obnovu i razvitak</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ACC7" w14:textId="77777777" w:rsidR="004E2F51" w:rsidRPr="0038483C" w:rsidRDefault="004E2F51" w:rsidP="00D17EE8">
    <w:pPr>
      <w:pStyle w:val="Footer"/>
      <w:framePr w:wrap="auto" w:vAnchor="text" w:hAnchor="page" w:x="10756" w:y="204"/>
      <w:rPr>
        <w:rStyle w:val="PageNumber"/>
      </w:rPr>
    </w:pPr>
  </w:p>
  <w:p w14:paraId="5EA84DF8" w14:textId="40760979"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203</w:t>
    </w:r>
    <w:r w:rsidR="004E2F51" w:rsidRPr="00C30FC3">
      <w:rPr>
        <w:rStyle w:val="PageNumber"/>
        <w:rFonts w:ascii="Arial" w:hAnsi="Arial" w:cs="Arial"/>
        <w:sz w:val="17"/>
        <w:szCs w:val="17"/>
        <w:lang w:val="pl-PL"/>
      </w:rPr>
      <w:t xml:space="preserve">  Hrvatska banka za obnovu i razvitak</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0C5A" w14:textId="77777777" w:rsidR="004E2F51" w:rsidRPr="0038483C" w:rsidRDefault="004E2F51" w:rsidP="00D17EE8">
    <w:pPr>
      <w:pStyle w:val="Footer"/>
      <w:framePr w:wrap="auto" w:vAnchor="text" w:hAnchor="page" w:x="10756" w:y="204"/>
      <w:rPr>
        <w:rStyle w:val="PageNumber"/>
      </w:rPr>
    </w:pPr>
  </w:p>
  <w:p w14:paraId="3C60CAD0" w14:textId="1FFBC3F9"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204</w:t>
    </w:r>
    <w:r w:rsidR="004E2F51" w:rsidRPr="00C30FC3">
      <w:rPr>
        <w:rStyle w:val="PageNumber"/>
        <w:rFonts w:ascii="Arial" w:hAnsi="Arial" w:cs="Arial"/>
        <w:sz w:val="17"/>
        <w:szCs w:val="17"/>
        <w:lang w:val="pl-PL"/>
      </w:rPr>
      <w:t xml:space="preserve">  Hrvatska banka za obnovu i razvitak</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59D8" w14:textId="77777777" w:rsidR="00D042BF" w:rsidRPr="0038483C" w:rsidRDefault="00D042BF" w:rsidP="00AE4F61">
    <w:pPr>
      <w:pStyle w:val="Footer"/>
      <w:framePr w:wrap="auto" w:vAnchor="text" w:hAnchor="page" w:x="10756" w:y="204"/>
      <w:rPr>
        <w:rStyle w:val="PageNumber"/>
      </w:rPr>
    </w:pPr>
  </w:p>
  <w:p w14:paraId="3D4CB0AD" w14:textId="17E295DA" w:rsidR="00D042BF" w:rsidRPr="004B4498" w:rsidRDefault="00D042BF" w:rsidP="00AE4F61">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noProof/>
        <w:sz w:val="17"/>
        <w:szCs w:val="17"/>
        <w:lang w:val="pl-PL"/>
      </w:rPr>
      <w:t>79</w:t>
    </w:r>
    <w:r w:rsidRPr="004B4498">
      <w:rPr>
        <w:rStyle w:val="PageNumber"/>
        <w:rFonts w:ascii="Arial" w:hAnsi="Arial" w:cs="Arial"/>
        <w:noProof/>
        <w:sz w:val="17"/>
        <w:szCs w:val="17"/>
        <w:lang w:val="pl-PL"/>
      </w:rPr>
      <w:t xml:space="preserve"> </w:t>
    </w:r>
    <w:r w:rsidRPr="004B4498">
      <w:rPr>
        <w:rStyle w:val="PageNumber"/>
        <w:rFonts w:ascii="Arial" w:hAnsi="Arial" w:cs="Arial"/>
        <w:sz w:val="17"/>
        <w:szCs w:val="17"/>
        <w:lang w:val="pl-PL"/>
      </w:rPr>
      <w:t>Hrvatska banka za obnovu i razvitak</w:t>
    </w:r>
  </w:p>
  <w:p w14:paraId="4222A454" w14:textId="77777777" w:rsidR="00D042BF" w:rsidRPr="00AE4F61" w:rsidRDefault="00D042BF" w:rsidP="00AE4F61">
    <w:pPr>
      <w:pStyle w:val="Footer"/>
      <w:rPr>
        <w:rStyle w:val="PageNumber"/>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7C3E4" w14:textId="77777777" w:rsidR="004E2F51" w:rsidRPr="0038483C" w:rsidRDefault="004E2F51" w:rsidP="00D17EE8">
    <w:pPr>
      <w:pStyle w:val="Footer"/>
      <w:framePr w:wrap="auto" w:vAnchor="text" w:hAnchor="page" w:x="10756" w:y="204"/>
      <w:rPr>
        <w:rStyle w:val="PageNumber"/>
      </w:rPr>
    </w:pPr>
  </w:p>
  <w:p w14:paraId="3D52ABDD" w14:textId="4401DABF"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205</w:t>
    </w:r>
    <w:r w:rsidR="004E2F51" w:rsidRPr="00C30FC3">
      <w:rPr>
        <w:rStyle w:val="PageNumber"/>
        <w:rFonts w:ascii="Arial" w:hAnsi="Arial" w:cs="Arial"/>
        <w:sz w:val="17"/>
        <w:szCs w:val="17"/>
        <w:lang w:val="pl-PL"/>
      </w:rPr>
      <w:t xml:space="preserve">  Hrvatska banka za obnovu i razvitak</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5EE5" w14:textId="77777777" w:rsidR="004E2F51" w:rsidRPr="0038483C" w:rsidRDefault="004E2F51" w:rsidP="00D17EE8">
    <w:pPr>
      <w:pStyle w:val="Footer"/>
      <w:framePr w:wrap="auto" w:vAnchor="text" w:hAnchor="page" w:x="10756" w:y="204"/>
      <w:rPr>
        <w:rStyle w:val="PageNumber"/>
      </w:rPr>
    </w:pPr>
  </w:p>
  <w:p w14:paraId="1E2A3C94" w14:textId="5517B18F"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206</w:t>
    </w:r>
    <w:r w:rsidR="004E2F51" w:rsidRPr="00C30FC3">
      <w:rPr>
        <w:rStyle w:val="PageNumber"/>
        <w:rFonts w:ascii="Arial" w:hAnsi="Arial" w:cs="Arial"/>
        <w:sz w:val="17"/>
        <w:szCs w:val="17"/>
        <w:lang w:val="pl-PL"/>
      </w:rPr>
      <w:t xml:space="preserve">  Hrvatska banka za obnovu i razvitak</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22801" w14:textId="77777777" w:rsidR="004E2F51" w:rsidRPr="0038483C" w:rsidRDefault="004E2F51" w:rsidP="00D17EE8">
    <w:pPr>
      <w:pStyle w:val="Footer"/>
      <w:framePr w:wrap="auto" w:vAnchor="text" w:hAnchor="page" w:x="10756" w:y="204"/>
      <w:rPr>
        <w:rStyle w:val="PageNumber"/>
      </w:rPr>
    </w:pPr>
  </w:p>
  <w:p w14:paraId="21858967" w14:textId="2AB0C7C9"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207</w:t>
    </w:r>
    <w:r w:rsidR="004E2F51" w:rsidRPr="00C30FC3">
      <w:rPr>
        <w:rStyle w:val="PageNumber"/>
        <w:rFonts w:ascii="Arial" w:hAnsi="Arial" w:cs="Arial"/>
        <w:sz w:val="17"/>
        <w:szCs w:val="17"/>
        <w:lang w:val="pl-PL"/>
      </w:rPr>
      <w:t xml:space="preserve">  Hrvatska banka za obnovu i razvitak</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D7FF4" w14:textId="77777777" w:rsidR="004E2F51" w:rsidRPr="0038483C" w:rsidRDefault="004E2F51" w:rsidP="00D17EE8">
    <w:pPr>
      <w:pStyle w:val="Footer"/>
      <w:framePr w:wrap="auto" w:vAnchor="text" w:hAnchor="page" w:x="10756" w:y="204"/>
      <w:rPr>
        <w:rStyle w:val="PageNumber"/>
      </w:rPr>
    </w:pPr>
  </w:p>
  <w:p w14:paraId="37D287DC" w14:textId="6F988A6F"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208</w:t>
    </w:r>
    <w:r w:rsidR="004E2F51" w:rsidRPr="00C30FC3">
      <w:rPr>
        <w:rStyle w:val="PageNumber"/>
        <w:rFonts w:ascii="Arial" w:hAnsi="Arial" w:cs="Arial"/>
        <w:sz w:val="17"/>
        <w:szCs w:val="17"/>
        <w:lang w:val="pl-PL"/>
      </w:rPr>
      <w:t xml:space="preserve"> Hrvatska banka za obnovu i razvitak</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D6BA6" w14:textId="77777777" w:rsidR="004E2F51" w:rsidRPr="0038483C" w:rsidRDefault="004E2F51" w:rsidP="00D17EE8">
    <w:pPr>
      <w:pStyle w:val="Footer"/>
      <w:framePr w:wrap="auto" w:vAnchor="text" w:hAnchor="page" w:x="10756" w:y="204"/>
      <w:rPr>
        <w:rStyle w:val="PageNumber"/>
      </w:rPr>
    </w:pPr>
  </w:p>
  <w:p w14:paraId="54D797CB" w14:textId="2C453009"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209</w:t>
    </w:r>
    <w:r w:rsidR="004E2F51" w:rsidRPr="00C30FC3">
      <w:rPr>
        <w:rStyle w:val="PageNumber"/>
        <w:rFonts w:ascii="Arial" w:hAnsi="Arial" w:cs="Arial"/>
        <w:sz w:val="17"/>
        <w:szCs w:val="17"/>
        <w:lang w:val="pl-PL"/>
      </w:rPr>
      <w:t xml:space="preserve">  Hrvatska banka za obnovu i razvitak</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3A9E4" w14:textId="77777777" w:rsidR="004E2F51" w:rsidRPr="0038483C" w:rsidRDefault="004E2F51" w:rsidP="00D17EE8">
    <w:pPr>
      <w:pStyle w:val="Footer"/>
      <w:framePr w:wrap="auto" w:vAnchor="text" w:hAnchor="page" w:x="10756" w:y="204"/>
      <w:rPr>
        <w:rStyle w:val="PageNumber"/>
      </w:rPr>
    </w:pPr>
  </w:p>
  <w:p w14:paraId="28297DC0" w14:textId="42965931"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210</w:t>
    </w:r>
    <w:r w:rsidR="004E2F51" w:rsidRPr="00C30FC3">
      <w:rPr>
        <w:rStyle w:val="PageNumber"/>
        <w:rFonts w:ascii="Arial" w:hAnsi="Arial" w:cs="Arial"/>
        <w:sz w:val="17"/>
        <w:szCs w:val="17"/>
        <w:lang w:val="pl-PL"/>
      </w:rPr>
      <w:t xml:space="preserve">  Hrvatska banka za obnovu i razvitak</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9DD6" w14:textId="77777777" w:rsidR="004E2F51" w:rsidRPr="0038483C" w:rsidRDefault="004E2F51" w:rsidP="00D17EE8">
    <w:pPr>
      <w:pStyle w:val="Footer"/>
      <w:framePr w:wrap="auto" w:vAnchor="text" w:hAnchor="page" w:x="10756" w:y="204"/>
      <w:rPr>
        <w:rStyle w:val="PageNumber"/>
      </w:rPr>
    </w:pPr>
  </w:p>
  <w:p w14:paraId="095EDA49" w14:textId="0ABC614E"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211</w:t>
    </w:r>
    <w:r w:rsidR="004E2F51" w:rsidRPr="00C30FC3">
      <w:rPr>
        <w:rStyle w:val="PageNumber"/>
        <w:rFonts w:ascii="Arial" w:hAnsi="Arial" w:cs="Arial"/>
        <w:sz w:val="17"/>
        <w:szCs w:val="17"/>
        <w:lang w:val="pl-PL"/>
      </w:rPr>
      <w:t xml:space="preserve">  Hrvatska banka za obnovu i razvitak</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4673C" w14:textId="77777777" w:rsidR="004E2F51" w:rsidRPr="0038483C" w:rsidRDefault="004E2F51" w:rsidP="00D17EE8">
    <w:pPr>
      <w:pStyle w:val="Footer"/>
      <w:framePr w:wrap="auto" w:vAnchor="text" w:hAnchor="page" w:x="10756" w:y="204"/>
      <w:rPr>
        <w:rStyle w:val="PageNumber"/>
      </w:rPr>
    </w:pPr>
  </w:p>
  <w:p w14:paraId="41497357" w14:textId="579B2AD5"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212</w:t>
    </w:r>
    <w:r w:rsidR="004E2F51" w:rsidRPr="00C30FC3">
      <w:rPr>
        <w:rStyle w:val="PageNumber"/>
        <w:rFonts w:ascii="Arial" w:hAnsi="Arial" w:cs="Arial"/>
        <w:sz w:val="17"/>
        <w:szCs w:val="17"/>
        <w:lang w:val="pl-PL"/>
      </w:rPr>
      <w:t xml:space="preserve">  Hrvatska banka za obnovu i razvitak</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4F2A9" w14:textId="77777777" w:rsidR="004E2F51" w:rsidRPr="0038483C" w:rsidRDefault="004E2F51" w:rsidP="00D17EE8">
    <w:pPr>
      <w:pStyle w:val="Footer"/>
      <w:framePr w:wrap="auto" w:vAnchor="text" w:hAnchor="page" w:x="10756" w:y="204"/>
      <w:rPr>
        <w:rStyle w:val="PageNumber"/>
      </w:rPr>
    </w:pPr>
  </w:p>
  <w:p w14:paraId="370DEE79" w14:textId="3FEC9F37"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213</w:t>
    </w:r>
    <w:r w:rsidR="004E2F51" w:rsidRPr="00C30FC3">
      <w:rPr>
        <w:rStyle w:val="PageNumber"/>
        <w:rFonts w:ascii="Arial" w:hAnsi="Arial" w:cs="Arial"/>
        <w:sz w:val="17"/>
        <w:szCs w:val="17"/>
        <w:lang w:val="pl-PL"/>
      </w:rPr>
      <w:t xml:space="preserve">  Hrvatska banka za obnovu i razvitak</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F1277" w14:textId="77777777" w:rsidR="004E2F51" w:rsidRPr="0038483C" w:rsidRDefault="004E2F51" w:rsidP="00D17EE8">
    <w:pPr>
      <w:pStyle w:val="Footer"/>
      <w:framePr w:wrap="auto" w:vAnchor="text" w:hAnchor="page" w:x="10756" w:y="204"/>
      <w:rPr>
        <w:rStyle w:val="PageNumber"/>
      </w:rPr>
    </w:pPr>
  </w:p>
  <w:p w14:paraId="5FE42177" w14:textId="474DCC94"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214</w:t>
    </w:r>
    <w:r w:rsidR="004E2F51" w:rsidRPr="00C30FC3">
      <w:rPr>
        <w:rStyle w:val="PageNumber"/>
        <w:rFonts w:ascii="Arial" w:hAnsi="Arial" w:cs="Arial"/>
        <w:sz w:val="17"/>
        <w:szCs w:val="17"/>
        <w:lang w:val="pl-PL"/>
      </w:rPr>
      <w:t xml:space="preserve">  Hrvatska banka za obnovu i razvitak</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103F0" w14:textId="77777777" w:rsidR="00D042BF" w:rsidRPr="0038483C" w:rsidRDefault="00D042BF" w:rsidP="00AE4F61">
    <w:pPr>
      <w:pStyle w:val="Footer"/>
      <w:framePr w:wrap="auto" w:vAnchor="text" w:hAnchor="page" w:x="10756" w:y="204"/>
      <w:rPr>
        <w:rStyle w:val="PageNumber"/>
      </w:rPr>
    </w:pPr>
  </w:p>
  <w:p w14:paraId="6850E2B4" w14:textId="457FD16D" w:rsidR="00D042BF" w:rsidRPr="004B4498" w:rsidRDefault="00D042BF" w:rsidP="00AE4F61">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noProof/>
        <w:sz w:val="17"/>
        <w:szCs w:val="17"/>
        <w:lang w:val="pl-PL"/>
      </w:rPr>
      <w:t>80</w:t>
    </w:r>
    <w:r w:rsidRPr="004B4498">
      <w:rPr>
        <w:rStyle w:val="PageNumber"/>
        <w:rFonts w:ascii="Arial" w:hAnsi="Arial" w:cs="Arial"/>
        <w:noProof/>
        <w:sz w:val="17"/>
        <w:szCs w:val="17"/>
        <w:lang w:val="pl-PL"/>
      </w:rPr>
      <w:t xml:space="preserve"> </w:t>
    </w:r>
    <w:r w:rsidRPr="004B4498">
      <w:rPr>
        <w:rStyle w:val="PageNumber"/>
        <w:rFonts w:ascii="Arial" w:hAnsi="Arial" w:cs="Arial"/>
        <w:sz w:val="17"/>
        <w:szCs w:val="17"/>
        <w:lang w:val="pl-PL"/>
      </w:rPr>
      <w:t>Hrvatska banka za obnovu i razvitak</w:t>
    </w:r>
  </w:p>
  <w:p w14:paraId="02160F67" w14:textId="77777777" w:rsidR="00D042BF" w:rsidRPr="00AE4F61" w:rsidRDefault="00D042BF" w:rsidP="00AE4F61">
    <w:pPr>
      <w:pStyle w:val="Footer"/>
      <w:rPr>
        <w:rStyle w:val="PageNumber"/>
      </w:rP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15A72" w14:textId="77777777" w:rsidR="004E2F51" w:rsidRPr="0038483C" w:rsidRDefault="004E2F51" w:rsidP="00D17EE8">
    <w:pPr>
      <w:pStyle w:val="Footer"/>
      <w:framePr w:wrap="auto" w:vAnchor="text" w:hAnchor="page" w:x="10756" w:y="204"/>
      <w:rPr>
        <w:rStyle w:val="PageNumber"/>
      </w:rPr>
    </w:pPr>
  </w:p>
  <w:p w14:paraId="5527B914" w14:textId="48513E4A"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215</w:t>
    </w:r>
    <w:r w:rsidR="004E2F51" w:rsidRPr="00C30FC3">
      <w:rPr>
        <w:rStyle w:val="PageNumber"/>
        <w:rFonts w:ascii="Arial" w:hAnsi="Arial" w:cs="Arial"/>
        <w:sz w:val="17"/>
        <w:szCs w:val="17"/>
        <w:lang w:val="pl-PL"/>
      </w:rPr>
      <w:t xml:space="preserve">  Hrvatska banka za obnovu i razvitak</w: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AF25" w14:textId="77777777" w:rsidR="004E2F51" w:rsidRPr="0038483C" w:rsidRDefault="004E2F51" w:rsidP="00D17EE8">
    <w:pPr>
      <w:pStyle w:val="Footer"/>
      <w:framePr w:wrap="auto" w:vAnchor="text" w:hAnchor="page" w:x="10756" w:y="204"/>
      <w:rPr>
        <w:rStyle w:val="PageNumber"/>
      </w:rPr>
    </w:pPr>
  </w:p>
  <w:p w14:paraId="034CCA6E" w14:textId="10734330"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216</w:t>
    </w:r>
    <w:r w:rsidR="004E2F51" w:rsidRPr="00C30FC3">
      <w:rPr>
        <w:rStyle w:val="PageNumber"/>
        <w:rFonts w:ascii="Arial" w:hAnsi="Arial" w:cs="Arial"/>
        <w:sz w:val="17"/>
        <w:szCs w:val="17"/>
        <w:lang w:val="pl-PL"/>
      </w:rPr>
      <w:t xml:space="preserve">  Hrvatska banka za obnovu i razvitak</w: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38052" w14:textId="77777777" w:rsidR="004E2F51" w:rsidRPr="0038483C" w:rsidRDefault="004E2F51" w:rsidP="00D17EE8">
    <w:pPr>
      <w:pStyle w:val="Footer"/>
      <w:framePr w:wrap="auto" w:vAnchor="text" w:hAnchor="page" w:x="10756" w:y="204"/>
      <w:rPr>
        <w:rStyle w:val="PageNumber"/>
      </w:rPr>
    </w:pPr>
  </w:p>
  <w:p w14:paraId="298EAFEB" w14:textId="73DA89DC"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217</w:t>
    </w:r>
    <w:r w:rsidR="004E2F51" w:rsidRPr="00C30FC3">
      <w:rPr>
        <w:rStyle w:val="PageNumber"/>
        <w:rFonts w:ascii="Arial" w:hAnsi="Arial" w:cs="Arial"/>
        <w:sz w:val="17"/>
        <w:szCs w:val="17"/>
        <w:lang w:val="pl-PL"/>
      </w:rPr>
      <w:t xml:space="preserve">  Hrvatska banka za obnovu i razvitak</w: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BB95B" w14:textId="77777777" w:rsidR="004E2F51" w:rsidRPr="0038483C" w:rsidRDefault="004E2F51" w:rsidP="00D17EE8">
    <w:pPr>
      <w:pStyle w:val="Footer"/>
      <w:framePr w:wrap="auto" w:vAnchor="text" w:hAnchor="page" w:x="10756" w:y="204"/>
      <w:rPr>
        <w:rStyle w:val="PageNumber"/>
      </w:rPr>
    </w:pPr>
  </w:p>
  <w:p w14:paraId="1C629700" w14:textId="54A5F9DC" w:rsidR="004E2F51" w:rsidRPr="00C30FC3" w:rsidRDefault="002662A2"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218</w:t>
    </w:r>
    <w:r w:rsidR="004E2F51" w:rsidRPr="00C30FC3">
      <w:rPr>
        <w:rStyle w:val="PageNumber"/>
        <w:rFonts w:ascii="Arial" w:hAnsi="Arial" w:cs="Arial"/>
        <w:sz w:val="17"/>
        <w:szCs w:val="17"/>
        <w:lang w:val="pl-PL"/>
      </w:rPr>
      <w:t xml:space="preserve">  Hrvatska banka za obnovu i razvitak</w: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489B7" w14:textId="77777777" w:rsidR="004E2F51" w:rsidRPr="0038483C" w:rsidRDefault="004E2F51" w:rsidP="00D17EE8">
    <w:pPr>
      <w:pStyle w:val="Footer"/>
      <w:framePr w:wrap="auto" w:vAnchor="text" w:hAnchor="page" w:x="10756" w:y="204"/>
      <w:rPr>
        <w:rStyle w:val="PageNumber"/>
      </w:rPr>
    </w:pPr>
  </w:p>
  <w:p w14:paraId="47A3EC4D" w14:textId="10281F6D"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21</w:t>
    </w:r>
    <w:r w:rsidR="002662A2">
      <w:rPr>
        <w:rStyle w:val="PageNumber"/>
        <w:rFonts w:ascii="Arial" w:hAnsi="Arial" w:cs="Arial"/>
        <w:sz w:val="17"/>
        <w:szCs w:val="17"/>
        <w:lang w:val="pl-PL"/>
      </w:rPr>
      <w:t>9</w:t>
    </w:r>
    <w:r w:rsidR="004E2F51" w:rsidRPr="00C30FC3">
      <w:rPr>
        <w:rStyle w:val="PageNumber"/>
        <w:rFonts w:ascii="Arial" w:hAnsi="Arial" w:cs="Arial"/>
        <w:sz w:val="17"/>
        <w:szCs w:val="17"/>
        <w:lang w:val="pl-PL"/>
      </w:rPr>
      <w:t xml:space="preserve">  Hrvatska banka za obnovu i razvitak</w: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BBB85" w14:textId="77777777" w:rsidR="004E2F51" w:rsidRPr="0038483C" w:rsidRDefault="004E2F51" w:rsidP="00D17EE8">
    <w:pPr>
      <w:pStyle w:val="Footer"/>
      <w:framePr w:wrap="auto" w:vAnchor="text" w:hAnchor="page" w:x="10756" w:y="204"/>
      <w:rPr>
        <w:rStyle w:val="PageNumber"/>
      </w:rPr>
    </w:pPr>
  </w:p>
  <w:p w14:paraId="3C65D055" w14:textId="1B661F20"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w:t>
    </w:r>
    <w:r w:rsidR="002662A2">
      <w:rPr>
        <w:rStyle w:val="PageNumber"/>
        <w:rFonts w:ascii="Arial" w:hAnsi="Arial" w:cs="Arial"/>
        <w:sz w:val="17"/>
        <w:szCs w:val="17"/>
        <w:lang w:val="pl-PL"/>
      </w:rPr>
      <w:t>20</w:t>
    </w:r>
    <w:r w:rsidR="004E2F51" w:rsidRPr="00C30FC3">
      <w:rPr>
        <w:rStyle w:val="PageNumber"/>
        <w:rFonts w:ascii="Arial" w:hAnsi="Arial" w:cs="Arial"/>
        <w:sz w:val="17"/>
        <w:szCs w:val="17"/>
        <w:lang w:val="pl-PL"/>
      </w:rPr>
      <w:t xml:space="preserve">  Hrvatska banka za obnovu i razvitak</w: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CDE8C" w14:textId="77777777" w:rsidR="004E2F51" w:rsidRPr="0038483C" w:rsidRDefault="004E2F51" w:rsidP="00D17EE8">
    <w:pPr>
      <w:pStyle w:val="Footer"/>
      <w:framePr w:wrap="auto" w:vAnchor="text" w:hAnchor="page" w:x="10756" w:y="204"/>
      <w:rPr>
        <w:rStyle w:val="PageNumber"/>
      </w:rPr>
    </w:pPr>
  </w:p>
  <w:p w14:paraId="25625383" w14:textId="14E0D3E4"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22</w:t>
    </w:r>
    <w:r w:rsidR="002662A2">
      <w:rPr>
        <w:rStyle w:val="PageNumber"/>
        <w:rFonts w:ascii="Arial" w:hAnsi="Arial" w:cs="Arial"/>
        <w:sz w:val="17"/>
        <w:szCs w:val="17"/>
        <w:lang w:val="pl-PL"/>
      </w:rPr>
      <w:t>1</w:t>
    </w:r>
    <w:r w:rsidR="004E2F51" w:rsidRPr="00C30FC3">
      <w:rPr>
        <w:rStyle w:val="PageNumber"/>
        <w:rFonts w:ascii="Arial" w:hAnsi="Arial" w:cs="Arial"/>
        <w:sz w:val="17"/>
        <w:szCs w:val="17"/>
        <w:lang w:val="pl-PL"/>
      </w:rPr>
      <w:t xml:space="preserve">  Hrvatska banka za obnovu i razvitak</w: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FB59A" w14:textId="77777777" w:rsidR="004E2F51" w:rsidRPr="0038483C" w:rsidRDefault="004E2F51" w:rsidP="00D17EE8">
    <w:pPr>
      <w:pStyle w:val="Footer"/>
      <w:framePr w:wrap="auto" w:vAnchor="text" w:hAnchor="page" w:x="10756" w:y="204"/>
      <w:rPr>
        <w:rStyle w:val="PageNumber"/>
      </w:rPr>
    </w:pPr>
  </w:p>
  <w:p w14:paraId="49969F0D" w14:textId="417623EF"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22</w:t>
    </w:r>
    <w:r w:rsidR="002662A2">
      <w:rPr>
        <w:rStyle w:val="PageNumber"/>
        <w:rFonts w:ascii="Arial" w:hAnsi="Arial" w:cs="Arial"/>
        <w:sz w:val="17"/>
        <w:szCs w:val="17"/>
        <w:lang w:val="pl-PL"/>
      </w:rPr>
      <w:t>2</w:t>
    </w:r>
    <w:r w:rsidR="004E2F51" w:rsidRPr="00C30FC3">
      <w:rPr>
        <w:rStyle w:val="PageNumber"/>
        <w:rFonts w:ascii="Arial" w:hAnsi="Arial" w:cs="Arial"/>
        <w:sz w:val="17"/>
        <w:szCs w:val="17"/>
        <w:lang w:val="pl-PL"/>
      </w:rPr>
      <w:t xml:space="preserve">  Hrvatska banka za obnovu i razvitak</w: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250A7" w14:textId="77777777" w:rsidR="004E2F51" w:rsidRPr="0038483C" w:rsidRDefault="004E2F51" w:rsidP="00D17EE8">
    <w:pPr>
      <w:pStyle w:val="Footer"/>
      <w:framePr w:wrap="auto" w:vAnchor="text" w:hAnchor="page" w:x="10756" w:y="204"/>
      <w:rPr>
        <w:rStyle w:val="PageNumber"/>
      </w:rPr>
    </w:pPr>
  </w:p>
  <w:p w14:paraId="45BCE2F2" w14:textId="6F01CFEE"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22</w:t>
    </w:r>
    <w:r w:rsidR="002662A2">
      <w:rPr>
        <w:rStyle w:val="PageNumber"/>
        <w:rFonts w:ascii="Arial" w:hAnsi="Arial" w:cs="Arial"/>
        <w:sz w:val="17"/>
        <w:szCs w:val="17"/>
        <w:lang w:val="pl-PL"/>
      </w:rPr>
      <w:t>3</w:t>
    </w:r>
    <w:r w:rsidR="004E2F51" w:rsidRPr="00C30FC3">
      <w:rPr>
        <w:rStyle w:val="PageNumber"/>
        <w:rFonts w:ascii="Arial" w:hAnsi="Arial" w:cs="Arial"/>
        <w:sz w:val="17"/>
        <w:szCs w:val="17"/>
        <w:lang w:val="pl-PL"/>
      </w:rPr>
      <w:t xml:space="preserve">  Hrvatska banka za obnovu i razvitak</w: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27EBD" w14:textId="77777777" w:rsidR="004E2F51" w:rsidRPr="0038483C" w:rsidRDefault="004E2F51" w:rsidP="00D17EE8">
    <w:pPr>
      <w:pStyle w:val="Footer"/>
      <w:framePr w:wrap="auto" w:vAnchor="text" w:hAnchor="page" w:x="10756" w:y="204"/>
      <w:rPr>
        <w:rStyle w:val="PageNumber"/>
      </w:rPr>
    </w:pPr>
  </w:p>
  <w:p w14:paraId="4CF4C970" w14:textId="1FD0C83D"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22</w:t>
    </w:r>
    <w:r w:rsidR="002662A2">
      <w:rPr>
        <w:rStyle w:val="PageNumber"/>
        <w:rFonts w:ascii="Arial" w:hAnsi="Arial" w:cs="Arial"/>
        <w:sz w:val="17"/>
        <w:szCs w:val="17"/>
        <w:lang w:val="pl-PL"/>
      </w:rPr>
      <w:t>4</w:t>
    </w:r>
    <w:r w:rsidR="004E2F51" w:rsidRPr="00C30FC3">
      <w:rPr>
        <w:rStyle w:val="PageNumber"/>
        <w:rFonts w:ascii="Arial" w:hAnsi="Arial" w:cs="Arial"/>
        <w:sz w:val="17"/>
        <w:szCs w:val="17"/>
        <w:lang w:val="pl-PL"/>
      </w:rPr>
      <w:t xml:space="preserve"> Hrvatska banka za obnovu i razvitak</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22808" w14:textId="77777777" w:rsidR="00D042BF" w:rsidRPr="0038483C" w:rsidRDefault="00D042BF" w:rsidP="00AE4F61">
    <w:pPr>
      <w:pStyle w:val="Footer"/>
      <w:framePr w:wrap="auto" w:vAnchor="text" w:hAnchor="page" w:x="10756" w:y="204"/>
      <w:rPr>
        <w:rStyle w:val="PageNumber"/>
      </w:rPr>
    </w:pPr>
  </w:p>
  <w:p w14:paraId="14F6AC47" w14:textId="6A8124E3" w:rsidR="00D042BF" w:rsidRPr="004B4498" w:rsidRDefault="00D042BF" w:rsidP="00AE4F61">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noProof/>
        <w:sz w:val="17"/>
        <w:szCs w:val="17"/>
        <w:lang w:val="pl-PL"/>
      </w:rPr>
      <w:t>81</w:t>
    </w:r>
    <w:r w:rsidRPr="004B4498">
      <w:rPr>
        <w:rStyle w:val="PageNumber"/>
        <w:rFonts w:ascii="Arial" w:hAnsi="Arial" w:cs="Arial"/>
        <w:noProof/>
        <w:sz w:val="17"/>
        <w:szCs w:val="17"/>
        <w:lang w:val="pl-PL"/>
      </w:rPr>
      <w:t xml:space="preserve"> </w:t>
    </w:r>
    <w:r w:rsidRPr="004B4498">
      <w:rPr>
        <w:rStyle w:val="PageNumber"/>
        <w:rFonts w:ascii="Arial" w:hAnsi="Arial" w:cs="Arial"/>
        <w:sz w:val="17"/>
        <w:szCs w:val="17"/>
        <w:lang w:val="pl-PL"/>
      </w:rPr>
      <w:t>Hrvatska banka za obnovu i razvitak</w:t>
    </w:r>
  </w:p>
  <w:p w14:paraId="563BCC86" w14:textId="77777777" w:rsidR="00D042BF" w:rsidRPr="00AE4F61" w:rsidRDefault="00D042BF" w:rsidP="00AE4F61">
    <w:pPr>
      <w:pStyle w:val="Footer"/>
      <w:rPr>
        <w:rStyle w:val="PageNumber"/>
      </w:rP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4C74A" w14:textId="77777777" w:rsidR="004E2F51" w:rsidRPr="0038483C" w:rsidRDefault="004E2F51" w:rsidP="00D17EE8">
    <w:pPr>
      <w:pStyle w:val="Footer"/>
      <w:framePr w:wrap="auto" w:vAnchor="text" w:hAnchor="page" w:x="10756" w:y="204"/>
      <w:rPr>
        <w:rStyle w:val="PageNumber"/>
      </w:rPr>
    </w:pPr>
  </w:p>
  <w:p w14:paraId="048E48FD" w14:textId="075F78B5" w:rsidR="004E2F51" w:rsidRPr="00D17EE8" w:rsidRDefault="003909C1" w:rsidP="00D17EE8">
    <w:pPr>
      <w:pStyle w:val="Footer"/>
      <w:pBdr>
        <w:top w:val="single" w:sz="4" w:space="1" w:color="auto"/>
      </w:pBdr>
      <w:tabs>
        <w:tab w:val="left" w:pos="8916"/>
      </w:tabs>
      <w:ind w:right="4"/>
      <w:rPr>
        <w:rStyle w:val="PageNumber"/>
        <w:rFonts w:ascii="Calibri" w:hAnsi="Calibri" w:cs="Calibri"/>
        <w:lang w:val="pl-PL"/>
      </w:rPr>
    </w:pPr>
    <w:r>
      <w:rPr>
        <w:rStyle w:val="PageNumber"/>
        <w:rFonts w:asciiTheme="minorHAnsi" w:hAnsiTheme="minorHAnsi"/>
        <w:sz w:val="19"/>
        <w:lang w:val="pl-PL"/>
      </w:rPr>
      <w:t>22</w:t>
    </w:r>
    <w:r w:rsidR="002662A2">
      <w:rPr>
        <w:rStyle w:val="PageNumber"/>
        <w:rFonts w:asciiTheme="minorHAnsi" w:hAnsiTheme="minorHAnsi"/>
        <w:sz w:val="19"/>
        <w:lang w:val="pl-PL"/>
      </w:rPr>
      <w:t>5</w:t>
    </w:r>
    <w:r w:rsidR="004E2F51">
      <w:rPr>
        <w:rStyle w:val="PageNumber"/>
        <w:rFonts w:asciiTheme="minorHAnsi" w:hAnsiTheme="minorHAnsi"/>
        <w:noProof/>
        <w:sz w:val="19"/>
        <w:lang w:val="pl-PL"/>
      </w:rPr>
      <w:t xml:space="preserve">  </w:t>
    </w:r>
    <w:r w:rsidR="004E2F51" w:rsidRPr="00AB04C8">
      <w:rPr>
        <w:rStyle w:val="PageNumber"/>
        <w:rFonts w:asciiTheme="minorHAnsi" w:hAnsiTheme="minorHAnsi"/>
        <w:sz w:val="19"/>
        <w:lang w:val="pl-PL"/>
      </w:rPr>
      <w:t>Hrvatska banka za obnovu i razvitak</w: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6E45E" w14:textId="77777777" w:rsidR="003909C1" w:rsidRPr="0038483C" w:rsidRDefault="003909C1" w:rsidP="00D17EE8">
    <w:pPr>
      <w:pStyle w:val="Footer"/>
      <w:framePr w:wrap="auto" w:vAnchor="text" w:hAnchor="page" w:x="10756" w:y="204"/>
      <w:rPr>
        <w:rStyle w:val="PageNumber"/>
      </w:rPr>
    </w:pPr>
  </w:p>
  <w:p w14:paraId="5273E7F4" w14:textId="3180502E" w:rsidR="003909C1" w:rsidRPr="00D17EE8" w:rsidRDefault="003909C1" w:rsidP="00D17EE8">
    <w:pPr>
      <w:pStyle w:val="Footer"/>
      <w:pBdr>
        <w:top w:val="single" w:sz="4" w:space="1" w:color="auto"/>
      </w:pBdr>
      <w:tabs>
        <w:tab w:val="left" w:pos="8916"/>
      </w:tabs>
      <w:ind w:right="4"/>
      <w:rPr>
        <w:rStyle w:val="PageNumber"/>
        <w:rFonts w:ascii="Calibri" w:hAnsi="Calibri" w:cs="Calibri"/>
        <w:lang w:val="pl-PL"/>
      </w:rPr>
    </w:pPr>
    <w:r>
      <w:rPr>
        <w:rStyle w:val="PageNumber"/>
        <w:rFonts w:asciiTheme="minorHAnsi" w:hAnsiTheme="minorHAnsi"/>
        <w:sz w:val="19"/>
        <w:lang w:val="pl-PL"/>
      </w:rPr>
      <w:t>22</w:t>
    </w:r>
    <w:r w:rsidR="002662A2">
      <w:rPr>
        <w:rStyle w:val="PageNumber"/>
        <w:rFonts w:asciiTheme="minorHAnsi" w:hAnsiTheme="minorHAnsi"/>
        <w:sz w:val="19"/>
        <w:lang w:val="pl-PL"/>
      </w:rPr>
      <w:t>6</w:t>
    </w:r>
    <w:r>
      <w:rPr>
        <w:rStyle w:val="PageNumber"/>
        <w:rFonts w:asciiTheme="minorHAnsi" w:hAnsiTheme="minorHAnsi"/>
        <w:noProof/>
        <w:sz w:val="19"/>
        <w:lang w:val="pl-PL"/>
      </w:rPr>
      <w:t xml:space="preserve">  </w:t>
    </w:r>
    <w:r w:rsidRPr="00AB04C8">
      <w:rPr>
        <w:rStyle w:val="PageNumber"/>
        <w:rFonts w:asciiTheme="minorHAnsi" w:hAnsiTheme="minorHAnsi"/>
        <w:sz w:val="19"/>
        <w:lang w:val="pl-PL"/>
      </w:rPr>
      <w:t>Hrvatska banka za obnovu i razvitak</w: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FB9FA" w14:textId="77777777" w:rsidR="004E2F51" w:rsidRPr="0038483C" w:rsidRDefault="004E2F51" w:rsidP="00D17EE8">
    <w:pPr>
      <w:pStyle w:val="Footer"/>
      <w:framePr w:wrap="auto" w:vAnchor="text" w:hAnchor="page" w:x="10756" w:y="204"/>
      <w:rPr>
        <w:rStyle w:val="PageNumber"/>
      </w:rPr>
    </w:pPr>
  </w:p>
  <w:p w14:paraId="506E4DFD" w14:textId="28FD4123"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22</w:t>
    </w:r>
    <w:r w:rsidR="002662A2">
      <w:rPr>
        <w:rStyle w:val="PageNumber"/>
        <w:rFonts w:ascii="Arial" w:hAnsi="Arial" w:cs="Arial"/>
        <w:sz w:val="17"/>
        <w:szCs w:val="17"/>
        <w:lang w:val="pl-PL"/>
      </w:rPr>
      <w:t>7</w:t>
    </w:r>
    <w:r w:rsidR="004E2F51" w:rsidRPr="00C30FC3">
      <w:rPr>
        <w:rStyle w:val="PageNumber"/>
        <w:rFonts w:ascii="Arial" w:hAnsi="Arial" w:cs="Arial"/>
        <w:sz w:val="17"/>
        <w:szCs w:val="17"/>
        <w:lang w:val="pl-PL"/>
      </w:rPr>
      <w:t xml:space="preserve">  Hrvatska banka za obnovu i razvitak</w: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F6616" w14:textId="77777777" w:rsidR="004E2F51" w:rsidRPr="0038483C" w:rsidRDefault="004E2F51" w:rsidP="00D17EE8">
    <w:pPr>
      <w:pStyle w:val="Footer"/>
      <w:framePr w:wrap="auto" w:vAnchor="text" w:hAnchor="page" w:x="10756" w:y="204"/>
      <w:rPr>
        <w:rStyle w:val="PageNumber"/>
      </w:rPr>
    </w:pPr>
  </w:p>
  <w:p w14:paraId="0CDC4F8F" w14:textId="44793885"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22</w:t>
    </w:r>
    <w:r w:rsidR="002662A2">
      <w:rPr>
        <w:rStyle w:val="PageNumber"/>
        <w:rFonts w:ascii="Arial" w:hAnsi="Arial" w:cs="Arial"/>
        <w:sz w:val="17"/>
        <w:szCs w:val="17"/>
        <w:lang w:val="pl-PL"/>
      </w:rPr>
      <w:t>8</w:t>
    </w:r>
    <w:r w:rsidR="004E2F51" w:rsidRPr="00C30FC3">
      <w:rPr>
        <w:rStyle w:val="PageNumber"/>
        <w:rFonts w:ascii="Arial" w:hAnsi="Arial" w:cs="Arial"/>
        <w:sz w:val="17"/>
        <w:szCs w:val="17"/>
        <w:lang w:val="pl-PL"/>
      </w:rPr>
      <w:t xml:space="preserve">  Hrvatska banka za obnovu i razvitak</w: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EDCB" w14:textId="77777777" w:rsidR="004E2F51" w:rsidRPr="0038483C" w:rsidRDefault="004E2F51" w:rsidP="00D17EE8">
    <w:pPr>
      <w:pStyle w:val="Footer"/>
      <w:framePr w:wrap="auto" w:vAnchor="text" w:hAnchor="page" w:x="10756" w:y="204"/>
      <w:rPr>
        <w:rStyle w:val="PageNumber"/>
      </w:rPr>
    </w:pPr>
  </w:p>
  <w:p w14:paraId="1EFA797D" w14:textId="5DE867ED" w:rsidR="004E2F51" w:rsidRPr="00C30FC3"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22</w:t>
    </w:r>
    <w:r w:rsidR="002662A2">
      <w:rPr>
        <w:rStyle w:val="PageNumber"/>
        <w:rFonts w:ascii="Arial" w:hAnsi="Arial" w:cs="Arial"/>
        <w:sz w:val="17"/>
        <w:szCs w:val="17"/>
        <w:lang w:val="pl-PL"/>
      </w:rPr>
      <w:t>9</w:t>
    </w:r>
    <w:r w:rsidR="004E2F51" w:rsidRPr="00C30FC3">
      <w:rPr>
        <w:rStyle w:val="PageNumber"/>
        <w:rFonts w:ascii="Arial" w:hAnsi="Arial" w:cs="Arial"/>
        <w:sz w:val="17"/>
        <w:szCs w:val="17"/>
        <w:lang w:val="pl-PL"/>
      </w:rPr>
      <w:t xml:space="preserve">  Hrvatska banka za obnovu i razvitak</w: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E5330" w14:textId="77777777" w:rsidR="004E2F51" w:rsidRPr="0038483C" w:rsidRDefault="004E2F51" w:rsidP="00AE4F61">
    <w:pPr>
      <w:pStyle w:val="Footer"/>
      <w:framePr w:wrap="auto" w:vAnchor="text" w:hAnchor="page" w:x="10756" w:y="204"/>
      <w:rPr>
        <w:rStyle w:val="PageNumber"/>
      </w:rPr>
    </w:pPr>
  </w:p>
  <w:p w14:paraId="799A08EA" w14:textId="26627475" w:rsidR="004E2F51" w:rsidRPr="004B4498" w:rsidRDefault="003909C1" w:rsidP="00AE4F61">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noProof/>
        <w:sz w:val="17"/>
        <w:szCs w:val="17"/>
        <w:lang w:val="pl-PL"/>
      </w:rPr>
      <w:t>2</w:t>
    </w:r>
    <w:r w:rsidR="002662A2">
      <w:rPr>
        <w:rStyle w:val="PageNumber"/>
        <w:rFonts w:ascii="Arial" w:hAnsi="Arial" w:cs="Arial"/>
        <w:noProof/>
        <w:sz w:val="17"/>
        <w:szCs w:val="17"/>
        <w:lang w:val="pl-PL"/>
      </w:rPr>
      <w:t>30</w:t>
    </w:r>
    <w:r w:rsidR="004E2F51" w:rsidRPr="004B4498">
      <w:rPr>
        <w:rStyle w:val="PageNumber"/>
        <w:rFonts w:ascii="Arial" w:hAnsi="Arial" w:cs="Arial"/>
        <w:noProof/>
        <w:sz w:val="17"/>
        <w:szCs w:val="17"/>
        <w:lang w:val="pl-PL"/>
      </w:rPr>
      <w:t xml:space="preserve"> </w:t>
    </w:r>
    <w:r w:rsidR="004E2F51" w:rsidRPr="004B4498">
      <w:rPr>
        <w:rStyle w:val="PageNumber"/>
        <w:rFonts w:ascii="Arial" w:hAnsi="Arial" w:cs="Arial"/>
        <w:sz w:val="17"/>
        <w:szCs w:val="17"/>
        <w:lang w:val="pl-PL"/>
      </w:rPr>
      <w:t>Hrvatska banka za obnovu i razvitak</w:t>
    </w:r>
  </w:p>
  <w:p w14:paraId="2554E6DB" w14:textId="77777777" w:rsidR="004E2F51" w:rsidRPr="00AE4F61" w:rsidRDefault="004E2F51" w:rsidP="00AE4F61">
    <w:pPr>
      <w:pStyle w:val="Footer"/>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365C" w14:textId="77777777" w:rsidR="004E2F51" w:rsidRPr="0038483C" w:rsidRDefault="004E2F51" w:rsidP="00D17EE8">
    <w:pPr>
      <w:pStyle w:val="Footer"/>
      <w:framePr w:wrap="auto" w:vAnchor="text" w:hAnchor="page" w:x="10756" w:y="204"/>
      <w:rPr>
        <w:rStyle w:val="PageNumber"/>
      </w:rPr>
    </w:pPr>
  </w:p>
  <w:p w14:paraId="47BB38DE" w14:textId="07EBBDD5" w:rsidR="004E2F51" w:rsidRPr="004B4498" w:rsidRDefault="004E2F5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 xml:space="preserve">82 </w:t>
    </w:r>
    <w:r w:rsidRPr="004B4498">
      <w:rPr>
        <w:rStyle w:val="PageNumber"/>
        <w:rFonts w:ascii="Arial" w:hAnsi="Arial" w:cs="Arial"/>
        <w:sz w:val="17"/>
        <w:szCs w:val="17"/>
        <w:lang w:val="pl-PL"/>
      </w:rPr>
      <w:t>Hrvatska banka za obnovu i razvitak</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84C21" w14:textId="77777777" w:rsidR="004E2F51" w:rsidRPr="0038483C" w:rsidRDefault="004E2F51" w:rsidP="00D17EE8">
    <w:pPr>
      <w:pStyle w:val="Footer"/>
      <w:framePr w:wrap="auto" w:vAnchor="text" w:hAnchor="page" w:x="10756" w:y="204"/>
      <w:rPr>
        <w:rStyle w:val="PageNumber"/>
      </w:rPr>
    </w:pPr>
  </w:p>
  <w:p w14:paraId="03FD76D1" w14:textId="4FA43054" w:rsidR="004E2F51" w:rsidRPr="004B4498" w:rsidRDefault="004E2F5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 xml:space="preserve">83 </w:t>
    </w:r>
    <w:r w:rsidRPr="004B4498">
      <w:rPr>
        <w:rStyle w:val="PageNumber"/>
        <w:rFonts w:ascii="Arial" w:hAnsi="Arial" w:cs="Arial"/>
        <w:sz w:val="17"/>
        <w:szCs w:val="17"/>
        <w:lang w:val="pl-PL"/>
      </w:rPr>
      <w:t>Hrvatska banka za obnovu i razvitak</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257DE" w14:textId="77777777" w:rsidR="004E2F51" w:rsidRPr="0038483C" w:rsidRDefault="004E2F51" w:rsidP="00D17EE8">
    <w:pPr>
      <w:pStyle w:val="Footer"/>
      <w:framePr w:wrap="auto" w:vAnchor="text" w:hAnchor="page" w:x="10756" w:y="204"/>
      <w:rPr>
        <w:rStyle w:val="PageNumber"/>
      </w:rPr>
    </w:pPr>
  </w:p>
  <w:p w14:paraId="0601A4D0" w14:textId="4CA0D6D4" w:rsidR="004E2F51" w:rsidRPr="004B4498" w:rsidRDefault="004E2F5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 xml:space="preserve">84 </w:t>
    </w:r>
    <w:r w:rsidRPr="004B4498">
      <w:rPr>
        <w:rStyle w:val="PageNumber"/>
        <w:rFonts w:ascii="Arial" w:hAnsi="Arial" w:cs="Arial"/>
        <w:sz w:val="17"/>
        <w:szCs w:val="17"/>
        <w:lang w:val="pl-PL"/>
      </w:rPr>
      <w:t>Hrvatska banka za obnovu i razvitak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7D665" w14:textId="77777777" w:rsidR="00804BFE" w:rsidRPr="00A021AA" w:rsidRDefault="00804BFE">
    <w:pPr>
      <w:pStyle w:val="Footer"/>
      <w:rPr>
        <w:rStyle w:val="PageNumber"/>
        <w:rFonts w:ascii="Arial" w:hAnsi="Arial" w:cs="Arial"/>
        <w:sz w:val="19"/>
        <w:szCs w:val="19"/>
        <w:lang w:val="pl-PL"/>
      </w:rPr>
    </w:pPr>
    <w:r>
      <w:rPr>
        <w:rStyle w:val="PageNumber"/>
        <w:rFonts w:ascii="Arial" w:hAnsi="Arial" w:cs="Arial"/>
        <w:sz w:val="19"/>
        <w:szCs w:val="19"/>
      </w:rPr>
      <w:fldChar w:fldCharType="begin"/>
    </w:r>
    <w:r w:rsidRPr="00A021AA">
      <w:rPr>
        <w:rStyle w:val="PageNumber"/>
        <w:rFonts w:ascii="Arial" w:hAnsi="Arial" w:cs="Arial"/>
        <w:sz w:val="19"/>
        <w:szCs w:val="19"/>
        <w:lang w:val="pl-PL"/>
      </w:rPr>
      <w:instrText xml:space="preserve">PAGE  </w:instrText>
    </w:r>
    <w:r>
      <w:rPr>
        <w:rStyle w:val="PageNumber"/>
        <w:rFonts w:ascii="Arial" w:hAnsi="Arial" w:cs="Arial"/>
        <w:sz w:val="19"/>
        <w:szCs w:val="19"/>
      </w:rPr>
      <w:fldChar w:fldCharType="separate"/>
    </w:r>
    <w:r>
      <w:rPr>
        <w:rStyle w:val="PageNumber"/>
        <w:rFonts w:ascii="Arial" w:hAnsi="Arial" w:cs="Arial"/>
        <w:noProof/>
        <w:sz w:val="19"/>
        <w:szCs w:val="19"/>
        <w:lang w:val="pl-PL"/>
      </w:rPr>
      <w:t>3</w:t>
    </w:r>
    <w:r>
      <w:rPr>
        <w:rStyle w:val="PageNumber"/>
        <w:rFonts w:ascii="Arial" w:hAnsi="Arial" w:cs="Arial"/>
        <w:sz w:val="19"/>
        <w:szCs w:val="19"/>
      </w:rPr>
      <w:fldChar w:fldCharType="end"/>
    </w:r>
  </w:p>
  <w:p w14:paraId="7DE8BE93" w14:textId="77777777" w:rsidR="00804BFE" w:rsidRDefault="00804BFE" w:rsidP="007A0959">
    <w:pPr>
      <w:pStyle w:val="Footer"/>
      <w:pBdr>
        <w:top w:val="single" w:sz="4" w:space="1" w:color="auto"/>
      </w:pBdr>
      <w:ind w:right="-5"/>
      <w:rPr>
        <w:lang w:val="pl-PL"/>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94F32" w14:textId="77777777" w:rsidR="004E2F51" w:rsidRPr="0038483C" w:rsidRDefault="004E2F51" w:rsidP="00D17EE8">
    <w:pPr>
      <w:pStyle w:val="Footer"/>
      <w:framePr w:wrap="auto" w:vAnchor="text" w:hAnchor="page" w:x="10756" w:y="204"/>
      <w:rPr>
        <w:rStyle w:val="PageNumber"/>
      </w:rPr>
    </w:pPr>
  </w:p>
  <w:p w14:paraId="7CE00B13" w14:textId="01F37FDF" w:rsidR="004E2F51" w:rsidRPr="004B4498" w:rsidRDefault="004E2F5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 xml:space="preserve">85 </w:t>
    </w:r>
    <w:r w:rsidRPr="004B4498">
      <w:rPr>
        <w:rStyle w:val="PageNumber"/>
        <w:rFonts w:ascii="Arial" w:hAnsi="Arial" w:cs="Arial"/>
        <w:sz w:val="17"/>
        <w:szCs w:val="17"/>
        <w:lang w:val="pl-PL"/>
      </w:rPr>
      <w:t>Hrvatska banka za obnovu i razvitak</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2579F" w14:textId="77777777" w:rsidR="004E2F51" w:rsidRPr="0038483C" w:rsidRDefault="004E2F51" w:rsidP="00D17EE8">
    <w:pPr>
      <w:pStyle w:val="Footer"/>
      <w:framePr w:wrap="auto" w:vAnchor="text" w:hAnchor="page" w:x="10756" w:y="204"/>
      <w:rPr>
        <w:rStyle w:val="PageNumber"/>
      </w:rPr>
    </w:pPr>
  </w:p>
  <w:p w14:paraId="70486AB1" w14:textId="7779A7A0"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86</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133DC" w14:textId="77777777" w:rsidR="004E2F51" w:rsidRPr="0038483C" w:rsidRDefault="004E2F51" w:rsidP="00D17EE8">
    <w:pPr>
      <w:pStyle w:val="Footer"/>
      <w:framePr w:wrap="auto" w:vAnchor="text" w:hAnchor="page" w:x="10756" w:y="204"/>
      <w:rPr>
        <w:rStyle w:val="PageNumber"/>
      </w:rPr>
    </w:pPr>
  </w:p>
  <w:p w14:paraId="486F3685" w14:textId="2D7DD31F"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87</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32CF3" w14:textId="77777777" w:rsidR="004E2F51" w:rsidRPr="0038483C" w:rsidRDefault="004E2F51" w:rsidP="00D17EE8">
    <w:pPr>
      <w:pStyle w:val="Footer"/>
      <w:framePr w:wrap="auto" w:vAnchor="text" w:hAnchor="page" w:x="10756" w:y="204"/>
      <w:rPr>
        <w:rStyle w:val="PageNumber"/>
      </w:rPr>
    </w:pPr>
  </w:p>
  <w:p w14:paraId="273022BF" w14:textId="375ADB1F"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88</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CE54A" w14:textId="77777777" w:rsidR="004E2F51" w:rsidRPr="0038483C" w:rsidRDefault="004E2F51" w:rsidP="00D17EE8">
    <w:pPr>
      <w:pStyle w:val="Footer"/>
      <w:framePr w:wrap="auto" w:vAnchor="text" w:hAnchor="page" w:x="10756" w:y="204"/>
      <w:rPr>
        <w:rStyle w:val="PageNumber"/>
      </w:rPr>
    </w:pPr>
  </w:p>
  <w:p w14:paraId="00151CC8" w14:textId="4810B44E"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89</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4F58" w14:textId="77777777" w:rsidR="004E2F51" w:rsidRPr="0038483C" w:rsidRDefault="004E2F51" w:rsidP="00D17EE8">
    <w:pPr>
      <w:pStyle w:val="Footer"/>
      <w:framePr w:wrap="auto" w:vAnchor="text" w:hAnchor="page" w:x="10756" w:y="204"/>
      <w:rPr>
        <w:rStyle w:val="PageNumber"/>
      </w:rPr>
    </w:pPr>
  </w:p>
  <w:p w14:paraId="76BDCC77" w14:textId="7139286E"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90</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011A1" w14:textId="77777777" w:rsidR="004E2F51" w:rsidRPr="0038483C" w:rsidRDefault="004E2F51" w:rsidP="00D17EE8">
    <w:pPr>
      <w:pStyle w:val="Footer"/>
      <w:framePr w:wrap="auto" w:vAnchor="text" w:hAnchor="page" w:x="10756" w:y="204"/>
      <w:rPr>
        <w:rStyle w:val="PageNumber"/>
      </w:rPr>
    </w:pPr>
  </w:p>
  <w:p w14:paraId="6750FDE4" w14:textId="33924FB9"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91</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B44B" w14:textId="77777777" w:rsidR="004E2F51" w:rsidRPr="0038483C" w:rsidRDefault="004E2F51" w:rsidP="00D17EE8">
    <w:pPr>
      <w:pStyle w:val="Footer"/>
      <w:framePr w:wrap="auto" w:vAnchor="text" w:hAnchor="page" w:x="10756" w:y="204"/>
      <w:rPr>
        <w:rStyle w:val="PageNumber"/>
      </w:rPr>
    </w:pPr>
  </w:p>
  <w:p w14:paraId="7BDF601C" w14:textId="2B58C214"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92</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086A9" w14:textId="77777777" w:rsidR="004E2F51" w:rsidRPr="0038483C" w:rsidRDefault="004E2F51" w:rsidP="00D17EE8">
    <w:pPr>
      <w:pStyle w:val="Footer"/>
      <w:framePr w:wrap="auto" w:vAnchor="text" w:hAnchor="page" w:x="10756" w:y="204"/>
      <w:rPr>
        <w:rStyle w:val="PageNumber"/>
      </w:rPr>
    </w:pPr>
  </w:p>
  <w:p w14:paraId="318AC9C7" w14:textId="022EF722"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93</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39A76" w14:textId="77777777" w:rsidR="004E2F51" w:rsidRPr="0038483C" w:rsidRDefault="004E2F51" w:rsidP="00D17EE8">
    <w:pPr>
      <w:pStyle w:val="Footer"/>
      <w:framePr w:wrap="auto" w:vAnchor="text" w:hAnchor="page" w:x="10756" w:y="204"/>
      <w:rPr>
        <w:rStyle w:val="PageNumber"/>
      </w:rPr>
    </w:pPr>
  </w:p>
  <w:p w14:paraId="4B296487" w14:textId="5267379A"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94</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2756" w14:textId="6BE2431A" w:rsidR="00804BFE" w:rsidRPr="004B4498" w:rsidRDefault="001856C5" w:rsidP="00804BFE">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6</w:t>
    </w:r>
    <w:r w:rsidR="00804BFE" w:rsidRPr="004B4498">
      <w:rPr>
        <w:rStyle w:val="PageNumber"/>
        <w:rFonts w:ascii="Arial" w:hAnsi="Arial" w:cs="Arial"/>
        <w:sz w:val="17"/>
        <w:szCs w:val="17"/>
        <w:lang w:val="pl-PL"/>
      </w:rPr>
      <w:t>3  Hrvatska banka za obnovu i razvitak</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165B" w14:textId="77777777" w:rsidR="004E2F51" w:rsidRPr="0038483C" w:rsidRDefault="004E2F51" w:rsidP="00D17EE8">
    <w:pPr>
      <w:pStyle w:val="Footer"/>
      <w:framePr w:wrap="auto" w:vAnchor="text" w:hAnchor="page" w:x="10756" w:y="204"/>
      <w:rPr>
        <w:rStyle w:val="PageNumber"/>
      </w:rPr>
    </w:pPr>
  </w:p>
  <w:p w14:paraId="04CC4D1F" w14:textId="7ADA35AE"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95</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81E45" w14:textId="77777777" w:rsidR="004E2F51" w:rsidRPr="0038483C" w:rsidRDefault="004E2F51" w:rsidP="00D17EE8">
    <w:pPr>
      <w:pStyle w:val="Footer"/>
      <w:framePr w:wrap="auto" w:vAnchor="text" w:hAnchor="page" w:x="10756" w:y="204"/>
      <w:rPr>
        <w:rStyle w:val="PageNumber"/>
      </w:rPr>
    </w:pPr>
  </w:p>
  <w:p w14:paraId="629DE633" w14:textId="298B6E2E"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96</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CF41A" w14:textId="77777777" w:rsidR="004E2F51" w:rsidRPr="0038483C" w:rsidRDefault="004E2F51" w:rsidP="00D17EE8">
    <w:pPr>
      <w:pStyle w:val="Footer"/>
      <w:framePr w:wrap="auto" w:vAnchor="text" w:hAnchor="page" w:x="10756" w:y="204"/>
      <w:rPr>
        <w:rStyle w:val="PageNumber"/>
      </w:rPr>
    </w:pPr>
  </w:p>
  <w:p w14:paraId="269D4A56" w14:textId="401FFB55"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97</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3A899" w14:textId="77777777" w:rsidR="004E2F51" w:rsidRPr="0038483C" w:rsidRDefault="004E2F51" w:rsidP="00D17EE8">
    <w:pPr>
      <w:pStyle w:val="Footer"/>
      <w:framePr w:wrap="auto" w:vAnchor="text" w:hAnchor="page" w:x="10756" w:y="204"/>
      <w:rPr>
        <w:rStyle w:val="PageNumber"/>
      </w:rPr>
    </w:pPr>
  </w:p>
  <w:p w14:paraId="03B7E082" w14:textId="2CFE26BD"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98</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373BF" w14:textId="77777777" w:rsidR="004E2F51" w:rsidRPr="0038483C" w:rsidRDefault="004E2F51" w:rsidP="00D17EE8">
    <w:pPr>
      <w:pStyle w:val="Footer"/>
      <w:framePr w:wrap="auto" w:vAnchor="text" w:hAnchor="page" w:x="10756" w:y="204"/>
      <w:rPr>
        <w:rStyle w:val="PageNumber"/>
      </w:rPr>
    </w:pPr>
  </w:p>
  <w:p w14:paraId="78CC16F0" w14:textId="7E56B92F"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99</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5E2BC" w14:textId="77777777" w:rsidR="004E2F51" w:rsidRPr="0038483C" w:rsidRDefault="004E2F51" w:rsidP="00D17EE8">
    <w:pPr>
      <w:pStyle w:val="Footer"/>
      <w:framePr w:wrap="auto" w:vAnchor="text" w:hAnchor="page" w:x="10756" w:y="204"/>
      <w:rPr>
        <w:rStyle w:val="PageNumber"/>
      </w:rPr>
    </w:pPr>
  </w:p>
  <w:p w14:paraId="52E80CE1" w14:textId="7F3B802C"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100</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5174" w14:textId="77777777" w:rsidR="004E2F51" w:rsidRPr="0038483C" w:rsidRDefault="004E2F51" w:rsidP="00D17EE8">
    <w:pPr>
      <w:pStyle w:val="Footer"/>
      <w:framePr w:wrap="auto" w:vAnchor="text" w:hAnchor="page" w:x="10756" w:y="204"/>
      <w:rPr>
        <w:rStyle w:val="PageNumber"/>
      </w:rPr>
    </w:pPr>
  </w:p>
  <w:p w14:paraId="1F0DB02D" w14:textId="28AD6092"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101</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C3E74" w14:textId="77777777" w:rsidR="004E2F51" w:rsidRPr="0038483C" w:rsidRDefault="004E2F51" w:rsidP="00D17EE8">
    <w:pPr>
      <w:pStyle w:val="Footer"/>
      <w:framePr w:wrap="auto" w:vAnchor="text" w:hAnchor="page" w:x="10756" w:y="204"/>
      <w:rPr>
        <w:rStyle w:val="PageNumber"/>
      </w:rPr>
    </w:pPr>
  </w:p>
  <w:p w14:paraId="64F4B40B" w14:textId="74B0A3E0"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102</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33A49" w14:textId="77777777" w:rsidR="004E2F51" w:rsidRPr="0038483C" w:rsidRDefault="004E2F51" w:rsidP="00D17EE8">
    <w:pPr>
      <w:pStyle w:val="Footer"/>
      <w:framePr w:wrap="auto" w:vAnchor="text" w:hAnchor="page" w:x="10756" w:y="204"/>
      <w:rPr>
        <w:rStyle w:val="PageNumber"/>
      </w:rPr>
    </w:pPr>
  </w:p>
  <w:p w14:paraId="46EFD7CA" w14:textId="615B170B"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103</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541C8" w14:textId="77777777" w:rsidR="004E2F51" w:rsidRPr="0038483C" w:rsidRDefault="004E2F51" w:rsidP="00D17EE8">
    <w:pPr>
      <w:pStyle w:val="Footer"/>
      <w:framePr w:wrap="auto" w:vAnchor="text" w:hAnchor="page" w:x="10756" w:y="204"/>
      <w:rPr>
        <w:rStyle w:val="PageNumber"/>
      </w:rPr>
    </w:pPr>
  </w:p>
  <w:p w14:paraId="43A94D07" w14:textId="0290F1AF"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104</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noProof/>
        <w:sz w:val="18"/>
        <w:szCs w:val="18"/>
      </w:rPr>
      <w:id w:val="953132930"/>
      <w:docPartObj>
        <w:docPartGallery w:val="Page Numbers (Bottom of Page)"/>
        <w:docPartUnique/>
      </w:docPartObj>
    </w:sdtPr>
    <w:sdtContent>
      <w:p w14:paraId="38AD271C" w14:textId="4051C7B8" w:rsidR="0024722B" w:rsidRPr="0024722B" w:rsidRDefault="0024722B">
        <w:pPr>
          <w:pStyle w:val="Footer"/>
          <w:jc w:val="right"/>
          <w:rPr>
            <w:rFonts w:ascii="Trebuchet MS" w:hAnsi="Trebuchet MS"/>
            <w:noProof/>
            <w:sz w:val="18"/>
            <w:szCs w:val="18"/>
          </w:rPr>
        </w:pPr>
        <w:r w:rsidRPr="0024722B">
          <w:rPr>
            <w:rFonts w:ascii="Trebuchet MS" w:hAnsi="Trebuchet MS"/>
            <w:noProof/>
            <w:sz w:val="18"/>
            <w:szCs w:val="18"/>
          </w:rPr>
          <w:fldChar w:fldCharType="begin"/>
        </w:r>
        <w:r w:rsidRPr="0024722B">
          <w:rPr>
            <w:rFonts w:ascii="Trebuchet MS" w:hAnsi="Trebuchet MS"/>
            <w:noProof/>
            <w:sz w:val="18"/>
            <w:szCs w:val="18"/>
          </w:rPr>
          <w:instrText>PAGE   \* MERGEFORMAT</w:instrText>
        </w:r>
        <w:r w:rsidRPr="0024722B">
          <w:rPr>
            <w:rFonts w:ascii="Trebuchet MS" w:hAnsi="Trebuchet MS"/>
            <w:noProof/>
            <w:sz w:val="18"/>
            <w:szCs w:val="18"/>
          </w:rPr>
          <w:fldChar w:fldCharType="separate"/>
        </w:r>
        <w:r w:rsidRPr="0024722B">
          <w:rPr>
            <w:rFonts w:ascii="Trebuchet MS" w:hAnsi="Trebuchet MS"/>
            <w:noProof/>
            <w:sz w:val="18"/>
            <w:szCs w:val="18"/>
          </w:rPr>
          <w:t>2</w:t>
        </w:r>
        <w:r w:rsidRPr="0024722B">
          <w:rPr>
            <w:rFonts w:ascii="Trebuchet MS" w:hAnsi="Trebuchet MS"/>
            <w:noProof/>
            <w:sz w:val="18"/>
            <w:szCs w:val="18"/>
          </w:rPr>
          <w:fldChar w:fldCharType="end"/>
        </w:r>
      </w:p>
    </w:sdtContent>
  </w:sdt>
  <w:p w14:paraId="37CA215D" w14:textId="77777777" w:rsidR="00AE3B0D" w:rsidRDefault="00AE3B0D" w:rsidP="00CA7A53">
    <w:pPr>
      <w:pStyle w:val="Footer"/>
      <w:ind w:right="360"/>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894E3" w14:textId="77777777" w:rsidR="004E2F51" w:rsidRPr="0038483C" w:rsidRDefault="004E2F51" w:rsidP="00D17EE8">
    <w:pPr>
      <w:pStyle w:val="Footer"/>
      <w:framePr w:wrap="auto" w:vAnchor="text" w:hAnchor="page" w:x="10756" w:y="204"/>
      <w:rPr>
        <w:rStyle w:val="PageNumber"/>
      </w:rPr>
    </w:pPr>
  </w:p>
  <w:p w14:paraId="742483CE" w14:textId="14765C19"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105</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B38B1" w14:textId="77777777" w:rsidR="004E2F51" w:rsidRPr="0038483C" w:rsidRDefault="004E2F51" w:rsidP="00D17EE8">
    <w:pPr>
      <w:pStyle w:val="Footer"/>
      <w:framePr w:wrap="auto" w:vAnchor="text" w:hAnchor="page" w:x="10756" w:y="204"/>
      <w:rPr>
        <w:rStyle w:val="PageNumber"/>
      </w:rPr>
    </w:pPr>
  </w:p>
  <w:p w14:paraId="69AAB477" w14:textId="2BFDB39A"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106</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707F" w14:textId="77777777" w:rsidR="004E2F51" w:rsidRPr="0038483C" w:rsidRDefault="004E2F51" w:rsidP="00D17EE8">
    <w:pPr>
      <w:pStyle w:val="Footer"/>
      <w:framePr w:wrap="auto" w:vAnchor="text" w:hAnchor="page" w:x="10756" w:y="204"/>
      <w:rPr>
        <w:rStyle w:val="PageNumber"/>
      </w:rPr>
    </w:pPr>
  </w:p>
  <w:p w14:paraId="1A6F9A5F" w14:textId="3B6D69C5"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107</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80FEC" w14:textId="77777777" w:rsidR="004E2F51" w:rsidRPr="0038483C" w:rsidRDefault="004E2F51" w:rsidP="00D17EE8">
    <w:pPr>
      <w:pStyle w:val="Footer"/>
      <w:framePr w:wrap="auto" w:vAnchor="text" w:hAnchor="page" w:x="10756" w:y="204"/>
      <w:rPr>
        <w:rStyle w:val="PageNumber"/>
      </w:rPr>
    </w:pPr>
  </w:p>
  <w:p w14:paraId="7ED77C30" w14:textId="6FBC88D7"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108</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30296" w14:textId="77777777" w:rsidR="004E2F51" w:rsidRPr="0038483C" w:rsidRDefault="004E2F51" w:rsidP="00D17EE8">
    <w:pPr>
      <w:pStyle w:val="Footer"/>
      <w:framePr w:wrap="auto" w:vAnchor="text" w:hAnchor="page" w:x="10756" w:y="204"/>
      <w:rPr>
        <w:rStyle w:val="PageNumber"/>
      </w:rPr>
    </w:pPr>
  </w:p>
  <w:p w14:paraId="510706EA" w14:textId="1F5B7B33"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109</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39B6F" w14:textId="77777777" w:rsidR="004E2F51" w:rsidRPr="0038483C" w:rsidRDefault="004E2F51" w:rsidP="00D17EE8">
    <w:pPr>
      <w:pStyle w:val="Footer"/>
      <w:framePr w:wrap="auto" w:vAnchor="text" w:hAnchor="page" w:x="10756" w:y="204"/>
      <w:rPr>
        <w:rStyle w:val="PageNumber"/>
      </w:rPr>
    </w:pPr>
  </w:p>
  <w:p w14:paraId="740EE72F" w14:textId="73119E5E"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110</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4C5F5" w14:textId="77777777" w:rsidR="004E2F51" w:rsidRPr="0038483C" w:rsidRDefault="004E2F51" w:rsidP="00D17EE8">
    <w:pPr>
      <w:pStyle w:val="Footer"/>
      <w:framePr w:wrap="auto" w:vAnchor="text" w:hAnchor="page" w:x="10756" w:y="204"/>
      <w:rPr>
        <w:rStyle w:val="PageNumber"/>
      </w:rPr>
    </w:pPr>
  </w:p>
  <w:p w14:paraId="664B2F54" w14:textId="1DE7AB26"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111</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0BCA" w14:textId="77777777" w:rsidR="004E2F51" w:rsidRPr="0038483C" w:rsidRDefault="004E2F51" w:rsidP="00D17EE8">
    <w:pPr>
      <w:pStyle w:val="Footer"/>
      <w:framePr w:wrap="auto" w:vAnchor="text" w:hAnchor="page" w:x="10756" w:y="204"/>
      <w:rPr>
        <w:rStyle w:val="PageNumber"/>
      </w:rPr>
    </w:pPr>
  </w:p>
  <w:p w14:paraId="5EC60964" w14:textId="28A62591"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112</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25F05" w14:textId="77777777" w:rsidR="004E2F51" w:rsidRPr="0038483C" w:rsidRDefault="004E2F51" w:rsidP="00D17EE8">
    <w:pPr>
      <w:pStyle w:val="Footer"/>
      <w:framePr w:wrap="auto" w:vAnchor="text" w:hAnchor="page" w:x="10756" w:y="204"/>
      <w:rPr>
        <w:rStyle w:val="PageNumber"/>
      </w:rPr>
    </w:pPr>
  </w:p>
  <w:p w14:paraId="77C4426B" w14:textId="282C1419"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113</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6D9E" w14:textId="77777777" w:rsidR="004E2F51" w:rsidRPr="0038483C" w:rsidRDefault="004E2F51" w:rsidP="00D17EE8">
    <w:pPr>
      <w:pStyle w:val="Footer"/>
      <w:framePr w:wrap="auto" w:vAnchor="text" w:hAnchor="page" w:x="10756" w:y="204"/>
      <w:rPr>
        <w:rStyle w:val="PageNumber"/>
      </w:rPr>
    </w:pPr>
  </w:p>
  <w:p w14:paraId="4E643AD6" w14:textId="544399CD"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114</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270731"/>
      <w:docPartObj>
        <w:docPartGallery w:val="Page Numbers (Bottom of Page)"/>
        <w:docPartUnique/>
      </w:docPartObj>
    </w:sdtPr>
    <w:sdtEndPr>
      <w:rPr>
        <w:rFonts w:ascii="Trebuchet MS" w:hAnsi="Trebuchet MS"/>
        <w:noProof/>
        <w:sz w:val="18"/>
        <w:szCs w:val="18"/>
      </w:rPr>
    </w:sdtEndPr>
    <w:sdtContent>
      <w:p w14:paraId="549977AD" w14:textId="30B167D5" w:rsidR="0024722B" w:rsidRPr="0024722B" w:rsidRDefault="0024722B">
        <w:pPr>
          <w:pStyle w:val="Footer"/>
          <w:jc w:val="right"/>
          <w:rPr>
            <w:rFonts w:ascii="Trebuchet MS" w:hAnsi="Trebuchet MS"/>
            <w:noProof/>
            <w:sz w:val="18"/>
            <w:szCs w:val="18"/>
          </w:rPr>
        </w:pPr>
        <w:r w:rsidRPr="0024722B">
          <w:rPr>
            <w:rFonts w:ascii="Trebuchet MS" w:hAnsi="Trebuchet MS"/>
            <w:noProof/>
            <w:sz w:val="18"/>
            <w:szCs w:val="18"/>
          </w:rPr>
          <w:fldChar w:fldCharType="begin"/>
        </w:r>
        <w:r w:rsidRPr="0024722B">
          <w:rPr>
            <w:rFonts w:ascii="Trebuchet MS" w:hAnsi="Trebuchet MS"/>
            <w:noProof/>
            <w:sz w:val="18"/>
            <w:szCs w:val="18"/>
          </w:rPr>
          <w:instrText>PAGE   \* MERGEFORMAT</w:instrText>
        </w:r>
        <w:r w:rsidRPr="0024722B">
          <w:rPr>
            <w:rFonts w:ascii="Trebuchet MS" w:hAnsi="Trebuchet MS"/>
            <w:noProof/>
            <w:sz w:val="18"/>
            <w:szCs w:val="18"/>
          </w:rPr>
          <w:fldChar w:fldCharType="separate"/>
        </w:r>
        <w:r w:rsidRPr="0024722B">
          <w:rPr>
            <w:rFonts w:ascii="Trebuchet MS" w:hAnsi="Trebuchet MS"/>
            <w:noProof/>
            <w:sz w:val="18"/>
            <w:szCs w:val="18"/>
          </w:rPr>
          <w:t>2</w:t>
        </w:r>
        <w:r w:rsidRPr="0024722B">
          <w:rPr>
            <w:rFonts w:ascii="Trebuchet MS" w:hAnsi="Trebuchet MS"/>
            <w:noProof/>
            <w:sz w:val="18"/>
            <w:szCs w:val="18"/>
          </w:rPr>
          <w:fldChar w:fldCharType="end"/>
        </w:r>
      </w:p>
    </w:sdtContent>
  </w:sdt>
  <w:p w14:paraId="5A432728" w14:textId="77777777" w:rsidR="00AE3B0D" w:rsidRPr="00E07D1F" w:rsidRDefault="00AE3B0D" w:rsidP="00CA7A53">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7CB1" w14:textId="77777777" w:rsidR="004E2F51" w:rsidRPr="0038483C" w:rsidRDefault="004E2F51" w:rsidP="00D17EE8">
    <w:pPr>
      <w:pStyle w:val="Footer"/>
      <w:framePr w:wrap="auto" w:vAnchor="text" w:hAnchor="page" w:x="10756" w:y="204"/>
      <w:rPr>
        <w:rStyle w:val="PageNumber"/>
      </w:rPr>
    </w:pPr>
  </w:p>
  <w:p w14:paraId="74F890B4" w14:textId="34B2C91A"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115</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C3BB" w14:textId="77777777" w:rsidR="004E2F51" w:rsidRPr="0038483C" w:rsidRDefault="004E2F51" w:rsidP="00D17EE8">
    <w:pPr>
      <w:pStyle w:val="Footer"/>
      <w:framePr w:wrap="auto" w:vAnchor="text" w:hAnchor="page" w:x="10756" w:y="204"/>
      <w:rPr>
        <w:rStyle w:val="PageNumber"/>
      </w:rPr>
    </w:pPr>
  </w:p>
  <w:p w14:paraId="3CF1A517" w14:textId="34B8CBE7"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116</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D9E24" w14:textId="77777777" w:rsidR="004E2F51" w:rsidRPr="0038483C" w:rsidRDefault="004E2F51" w:rsidP="00D17EE8">
    <w:pPr>
      <w:pStyle w:val="Footer"/>
      <w:framePr w:wrap="auto" w:vAnchor="text" w:hAnchor="page" w:x="10756" w:y="204"/>
      <w:rPr>
        <w:rStyle w:val="PageNumber"/>
      </w:rPr>
    </w:pPr>
  </w:p>
  <w:p w14:paraId="40888D9D" w14:textId="48D700E1"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117</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9E465" w14:textId="77777777" w:rsidR="004E2F51" w:rsidRPr="0038483C" w:rsidRDefault="004E2F51" w:rsidP="00D17EE8">
    <w:pPr>
      <w:pStyle w:val="Footer"/>
      <w:framePr w:wrap="auto" w:vAnchor="text" w:hAnchor="page" w:x="10756" w:y="204"/>
      <w:rPr>
        <w:rStyle w:val="PageNumber"/>
      </w:rPr>
    </w:pPr>
  </w:p>
  <w:p w14:paraId="49AB9D21" w14:textId="0B6F775E"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118</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7EEA9" w14:textId="77777777" w:rsidR="004E2F51" w:rsidRPr="0038483C" w:rsidRDefault="004E2F51" w:rsidP="00D17EE8">
    <w:pPr>
      <w:pStyle w:val="Footer"/>
      <w:framePr w:wrap="auto" w:vAnchor="text" w:hAnchor="page" w:x="10756" w:y="204"/>
      <w:rPr>
        <w:rStyle w:val="PageNumber"/>
      </w:rPr>
    </w:pPr>
  </w:p>
  <w:p w14:paraId="6B0BA328" w14:textId="62DECFDB"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119</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8992C" w14:textId="77777777" w:rsidR="004E2F51" w:rsidRPr="0038483C" w:rsidRDefault="004E2F51" w:rsidP="00D17EE8">
    <w:pPr>
      <w:pStyle w:val="Footer"/>
      <w:framePr w:wrap="auto" w:vAnchor="text" w:hAnchor="page" w:x="10756" w:y="204"/>
      <w:rPr>
        <w:rStyle w:val="PageNumber"/>
      </w:rPr>
    </w:pPr>
  </w:p>
  <w:p w14:paraId="5C18DB70" w14:textId="06E8913A"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120</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03C4F" w14:textId="77777777" w:rsidR="004E2F51" w:rsidRPr="0038483C" w:rsidRDefault="004E2F51" w:rsidP="00D17EE8">
    <w:pPr>
      <w:pStyle w:val="Footer"/>
      <w:framePr w:wrap="auto" w:vAnchor="text" w:hAnchor="page" w:x="10756" w:y="204"/>
      <w:rPr>
        <w:rStyle w:val="PageNumber"/>
      </w:rPr>
    </w:pPr>
  </w:p>
  <w:p w14:paraId="40069C88" w14:textId="6C1BCAB6"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121</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C9647" w14:textId="77777777" w:rsidR="004E2F51" w:rsidRPr="0038483C" w:rsidRDefault="004E2F51" w:rsidP="00D17EE8">
    <w:pPr>
      <w:pStyle w:val="Footer"/>
      <w:framePr w:wrap="auto" w:vAnchor="text" w:hAnchor="page" w:x="10756" w:y="204"/>
      <w:rPr>
        <w:rStyle w:val="PageNumber"/>
      </w:rPr>
    </w:pPr>
  </w:p>
  <w:p w14:paraId="222E14A9" w14:textId="3FC9A709"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122</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4C06B" w14:textId="77777777" w:rsidR="004E2F51" w:rsidRPr="0038483C" w:rsidRDefault="004E2F51" w:rsidP="00D17EE8">
    <w:pPr>
      <w:pStyle w:val="Footer"/>
      <w:framePr w:wrap="auto" w:vAnchor="text" w:hAnchor="page" w:x="10756" w:y="204"/>
      <w:rPr>
        <w:rStyle w:val="PageNumber"/>
      </w:rPr>
    </w:pPr>
  </w:p>
  <w:p w14:paraId="2806C361" w14:textId="2F2F301A"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123</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10419" w14:textId="77777777" w:rsidR="004E2F51" w:rsidRPr="0038483C" w:rsidRDefault="004E2F51" w:rsidP="00D17EE8">
    <w:pPr>
      <w:pStyle w:val="Footer"/>
      <w:framePr w:wrap="auto" w:vAnchor="text" w:hAnchor="page" w:x="10756" w:y="204"/>
      <w:rPr>
        <w:rStyle w:val="PageNumber"/>
      </w:rPr>
    </w:pPr>
  </w:p>
  <w:p w14:paraId="0F673190" w14:textId="56FB61EF"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124</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936134354"/>
      <w:docPartObj>
        <w:docPartGallery w:val="Page Numbers (Bottom of Page)"/>
        <w:docPartUnique/>
      </w:docPartObj>
    </w:sdtPr>
    <w:sdtEndPr>
      <w:rPr>
        <w:noProof/>
      </w:rPr>
    </w:sdtEndPr>
    <w:sdtContent>
      <w:p w14:paraId="5D0B89E3" w14:textId="2A0EFD78" w:rsidR="00633ACD" w:rsidRPr="00633ACD" w:rsidRDefault="00633ACD">
        <w:pPr>
          <w:pStyle w:val="Footer"/>
          <w:jc w:val="right"/>
          <w:rPr>
            <w:rFonts w:ascii="Trebuchet MS" w:hAnsi="Trebuchet MS"/>
            <w:sz w:val="22"/>
            <w:szCs w:val="22"/>
          </w:rPr>
        </w:pPr>
        <w:r w:rsidRPr="00633ACD">
          <w:rPr>
            <w:rFonts w:ascii="Trebuchet MS" w:hAnsi="Trebuchet MS"/>
            <w:sz w:val="18"/>
            <w:szCs w:val="18"/>
          </w:rPr>
          <w:fldChar w:fldCharType="begin"/>
        </w:r>
        <w:r w:rsidRPr="00633ACD">
          <w:rPr>
            <w:rFonts w:ascii="Trebuchet MS" w:hAnsi="Trebuchet MS"/>
            <w:sz w:val="18"/>
            <w:szCs w:val="18"/>
          </w:rPr>
          <w:instrText xml:space="preserve"> PAGE   \* MERGEFORMAT </w:instrText>
        </w:r>
        <w:r w:rsidRPr="00633ACD">
          <w:rPr>
            <w:rFonts w:ascii="Trebuchet MS" w:hAnsi="Trebuchet MS"/>
            <w:sz w:val="18"/>
            <w:szCs w:val="18"/>
          </w:rPr>
          <w:fldChar w:fldCharType="separate"/>
        </w:r>
        <w:r w:rsidRPr="00633ACD">
          <w:rPr>
            <w:rFonts w:ascii="Trebuchet MS" w:hAnsi="Trebuchet MS"/>
            <w:noProof/>
            <w:sz w:val="18"/>
            <w:szCs w:val="18"/>
          </w:rPr>
          <w:t>2</w:t>
        </w:r>
        <w:r w:rsidRPr="00633ACD">
          <w:rPr>
            <w:rFonts w:ascii="Trebuchet MS" w:hAnsi="Trebuchet MS"/>
            <w:noProof/>
            <w:sz w:val="18"/>
            <w:szCs w:val="18"/>
          </w:rPr>
          <w:fldChar w:fldCharType="end"/>
        </w:r>
      </w:p>
    </w:sdtContent>
  </w:sdt>
  <w:p w14:paraId="6956B8EA" w14:textId="425F4CA1" w:rsidR="00633ACD" w:rsidRPr="00633ACD" w:rsidRDefault="00633ACD" w:rsidP="00633ACD">
    <w:pPr>
      <w:pStyle w:val="Footer"/>
      <w:rPr>
        <w:rFonts w:ascii="Arial" w:hAnsi="Arial" w:cs="Arial"/>
        <w:sz w:val="19"/>
        <w:szCs w:val="19"/>
        <w:lang w:val="pl-PL"/>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C32B4" w14:textId="77777777" w:rsidR="004E2F51" w:rsidRPr="0038483C" w:rsidRDefault="004E2F51" w:rsidP="00D17EE8">
    <w:pPr>
      <w:pStyle w:val="Footer"/>
      <w:framePr w:wrap="auto" w:vAnchor="text" w:hAnchor="page" w:x="10756" w:y="204"/>
      <w:rPr>
        <w:rStyle w:val="PageNumber"/>
      </w:rPr>
    </w:pPr>
  </w:p>
  <w:p w14:paraId="28920F5D" w14:textId="40CB4537"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125</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E08BD" w14:textId="77777777" w:rsidR="004E2F51" w:rsidRPr="0038483C" w:rsidRDefault="004E2F51" w:rsidP="00D17EE8">
    <w:pPr>
      <w:pStyle w:val="Footer"/>
      <w:framePr w:wrap="auto" w:vAnchor="text" w:hAnchor="page" w:x="10756" w:y="204"/>
      <w:rPr>
        <w:rStyle w:val="PageNumber"/>
      </w:rPr>
    </w:pPr>
  </w:p>
  <w:p w14:paraId="48A216D2" w14:textId="7C2DADC3"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126</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FF7FC" w14:textId="77777777" w:rsidR="004E2F51" w:rsidRPr="0038483C" w:rsidRDefault="004E2F51" w:rsidP="00D17EE8">
    <w:pPr>
      <w:pStyle w:val="Footer"/>
      <w:framePr w:wrap="auto" w:vAnchor="text" w:hAnchor="page" w:x="10756" w:y="204"/>
      <w:rPr>
        <w:rStyle w:val="PageNumber"/>
      </w:rPr>
    </w:pPr>
  </w:p>
  <w:p w14:paraId="2D195863" w14:textId="78F5BE9B"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127</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9099A" w14:textId="77777777" w:rsidR="004E2F51" w:rsidRPr="0038483C" w:rsidRDefault="004E2F51" w:rsidP="00D17EE8">
    <w:pPr>
      <w:pStyle w:val="Footer"/>
      <w:framePr w:wrap="auto" w:vAnchor="text" w:hAnchor="page" w:x="10756" w:y="204"/>
      <w:rPr>
        <w:rStyle w:val="PageNumber"/>
      </w:rPr>
    </w:pPr>
  </w:p>
  <w:p w14:paraId="02524D8A" w14:textId="677C2B40"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128</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57CA8" w14:textId="77777777" w:rsidR="004E2F51" w:rsidRPr="0038483C" w:rsidRDefault="004E2F51" w:rsidP="00D17EE8">
    <w:pPr>
      <w:pStyle w:val="Footer"/>
      <w:framePr w:wrap="auto" w:vAnchor="text" w:hAnchor="page" w:x="10756" w:y="204"/>
      <w:rPr>
        <w:rStyle w:val="PageNumber"/>
      </w:rPr>
    </w:pPr>
  </w:p>
  <w:p w14:paraId="7A8C30EA" w14:textId="77C2A85E"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129</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DF32" w14:textId="77777777" w:rsidR="004E2F51" w:rsidRPr="0038483C" w:rsidRDefault="004E2F51" w:rsidP="00D17EE8">
    <w:pPr>
      <w:pStyle w:val="Footer"/>
      <w:framePr w:wrap="auto" w:vAnchor="text" w:hAnchor="page" w:x="10756" w:y="204"/>
      <w:rPr>
        <w:rStyle w:val="PageNumber"/>
      </w:rPr>
    </w:pPr>
  </w:p>
  <w:p w14:paraId="56015336" w14:textId="63761C51"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130</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8B907" w14:textId="77777777" w:rsidR="004E2F51" w:rsidRPr="0038483C" w:rsidRDefault="004E2F51" w:rsidP="00D17EE8">
    <w:pPr>
      <w:pStyle w:val="Footer"/>
      <w:framePr w:wrap="auto" w:vAnchor="text" w:hAnchor="page" w:x="10756" w:y="204"/>
      <w:rPr>
        <w:rStyle w:val="PageNumber"/>
      </w:rPr>
    </w:pPr>
  </w:p>
  <w:p w14:paraId="4A1F3588" w14:textId="729E5B75"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131</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4C2A9" w14:textId="77777777" w:rsidR="004E2F51" w:rsidRPr="0038483C" w:rsidRDefault="004E2F51" w:rsidP="00D17EE8">
    <w:pPr>
      <w:pStyle w:val="Footer"/>
      <w:framePr w:wrap="auto" w:vAnchor="text" w:hAnchor="page" w:x="10756" w:y="204"/>
      <w:rPr>
        <w:rStyle w:val="PageNumber"/>
      </w:rPr>
    </w:pPr>
  </w:p>
  <w:p w14:paraId="3EFCAB48" w14:textId="6765E5C3"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132</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7D15" w14:textId="77777777" w:rsidR="004E2F51" w:rsidRPr="0038483C" w:rsidRDefault="004E2F51" w:rsidP="00D17EE8">
    <w:pPr>
      <w:pStyle w:val="Footer"/>
      <w:framePr w:wrap="auto" w:vAnchor="text" w:hAnchor="page" w:x="10756" w:y="204"/>
      <w:rPr>
        <w:rStyle w:val="PageNumber"/>
      </w:rPr>
    </w:pPr>
  </w:p>
  <w:p w14:paraId="4C504ACC" w14:textId="3BE120DB"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133</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35E64" w14:textId="77777777" w:rsidR="004E2F51" w:rsidRPr="0038483C" w:rsidRDefault="004E2F51" w:rsidP="00D17EE8">
    <w:pPr>
      <w:pStyle w:val="Footer"/>
      <w:framePr w:wrap="auto" w:vAnchor="text" w:hAnchor="page" w:x="10756" w:y="204"/>
      <w:rPr>
        <w:rStyle w:val="PageNumber"/>
      </w:rPr>
    </w:pPr>
  </w:p>
  <w:p w14:paraId="4638F5A6" w14:textId="7CDFADA4"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134</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8FE11" w14:textId="77777777" w:rsidR="00633ACD" w:rsidRPr="0038483C" w:rsidRDefault="00633ACD" w:rsidP="00D17EE8">
    <w:pPr>
      <w:pStyle w:val="Footer"/>
      <w:framePr w:wrap="auto" w:vAnchor="text" w:hAnchor="page" w:x="10756" w:y="204"/>
      <w:rPr>
        <w:rStyle w:val="PageNumber"/>
      </w:rPr>
    </w:pPr>
  </w:p>
  <w:p w14:paraId="2027CA83" w14:textId="77777777" w:rsidR="00633ACD" w:rsidRPr="004B4498" w:rsidRDefault="00633ACD" w:rsidP="00856CC8">
    <w:pPr>
      <w:pStyle w:val="Footer"/>
      <w:pBdr>
        <w:top w:val="single" w:sz="4" w:space="1" w:color="auto"/>
      </w:pBdr>
      <w:tabs>
        <w:tab w:val="clear" w:pos="4536"/>
        <w:tab w:val="clear" w:pos="9072"/>
        <w:tab w:val="left" w:pos="3504"/>
      </w:tabs>
      <w:ind w:right="4"/>
      <w:rPr>
        <w:rStyle w:val="PageNumber"/>
        <w:rFonts w:ascii="Arial" w:hAnsi="Arial" w:cs="Arial"/>
        <w:sz w:val="17"/>
        <w:szCs w:val="17"/>
        <w:lang w:val="pl-PL"/>
      </w:rPr>
    </w:pPr>
    <w:r>
      <w:rPr>
        <w:rStyle w:val="PageNumber"/>
        <w:rFonts w:ascii="Arial" w:hAnsi="Arial" w:cs="Arial"/>
        <w:noProof/>
        <w:sz w:val="17"/>
        <w:szCs w:val="17"/>
        <w:lang w:val="pl-PL"/>
      </w:rPr>
      <w:t>72</w:t>
    </w:r>
    <w:r w:rsidRPr="004B4498">
      <w:rPr>
        <w:rStyle w:val="PageNumber"/>
        <w:rFonts w:ascii="Arial" w:hAnsi="Arial" w:cs="Arial"/>
        <w:noProof/>
        <w:sz w:val="17"/>
        <w:szCs w:val="17"/>
        <w:lang w:val="pl-PL"/>
      </w:rPr>
      <w:t xml:space="preserve">  </w:t>
    </w:r>
    <w:r w:rsidRPr="004B4498">
      <w:rPr>
        <w:rStyle w:val="PageNumber"/>
        <w:rFonts w:ascii="Arial" w:hAnsi="Arial" w:cs="Arial"/>
        <w:sz w:val="17"/>
        <w:szCs w:val="17"/>
        <w:lang w:val="pl-PL"/>
      </w:rPr>
      <w:t>Hrvatska banka za obnovu i razvitak</w:t>
    </w:r>
    <w:r>
      <w:rPr>
        <w:rStyle w:val="PageNumber"/>
        <w:rFonts w:ascii="Arial" w:hAnsi="Arial" w:cs="Arial"/>
        <w:sz w:val="17"/>
        <w:szCs w:val="17"/>
        <w:lang w:val="pl-PL"/>
      </w:rPr>
      <w:tab/>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4D27" w14:textId="77777777" w:rsidR="004E2F51" w:rsidRPr="0038483C" w:rsidRDefault="004E2F51" w:rsidP="00D17EE8">
    <w:pPr>
      <w:pStyle w:val="Footer"/>
      <w:framePr w:wrap="auto" w:vAnchor="text" w:hAnchor="page" w:x="10756" w:y="204"/>
      <w:rPr>
        <w:rStyle w:val="PageNumber"/>
      </w:rPr>
    </w:pPr>
  </w:p>
  <w:p w14:paraId="76CD7ECC" w14:textId="7AAC89FE"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135</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3FF3" w14:textId="77777777" w:rsidR="004E2F51" w:rsidRPr="0038483C" w:rsidRDefault="004E2F51" w:rsidP="00D17EE8">
    <w:pPr>
      <w:pStyle w:val="Footer"/>
      <w:framePr w:wrap="auto" w:vAnchor="text" w:hAnchor="page" w:x="10756" w:y="204"/>
      <w:rPr>
        <w:rStyle w:val="PageNumber"/>
      </w:rPr>
    </w:pPr>
  </w:p>
  <w:p w14:paraId="46904B02" w14:textId="2CFF6559"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136</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C4ACC" w14:textId="77777777" w:rsidR="004E2F51" w:rsidRPr="0038483C" w:rsidRDefault="004E2F51" w:rsidP="00D17EE8">
    <w:pPr>
      <w:pStyle w:val="Footer"/>
      <w:framePr w:wrap="auto" w:vAnchor="text" w:hAnchor="page" w:x="10756" w:y="204"/>
      <w:rPr>
        <w:rStyle w:val="PageNumber"/>
      </w:rPr>
    </w:pPr>
  </w:p>
  <w:p w14:paraId="039E5419" w14:textId="36B1AAB2"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137</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12B3" w14:textId="77777777" w:rsidR="004E2F51" w:rsidRPr="0038483C" w:rsidRDefault="004E2F51" w:rsidP="00D17EE8">
    <w:pPr>
      <w:pStyle w:val="Footer"/>
      <w:framePr w:wrap="auto" w:vAnchor="text" w:hAnchor="page" w:x="10756" w:y="204"/>
      <w:rPr>
        <w:rStyle w:val="PageNumber"/>
      </w:rPr>
    </w:pPr>
  </w:p>
  <w:p w14:paraId="46E54A0C" w14:textId="227B39A8" w:rsidR="004E2F51" w:rsidRPr="004B4498"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138</w:t>
    </w:r>
    <w:r w:rsidR="004E2F51">
      <w:rPr>
        <w:rStyle w:val="PageNumber"/>
        <w:rFonts w:ascii="Arial" w:hAnsi="Arial" w:cs="Arial"/>
        <w:sz w:val="17"/>
        <w:szCs w:val="17"/>
        <w:lang w:val="pl-PL"/>
      </w:rPr>
      <w:t xml:space="preserve"> </w:t>
    </w:r>
    <w:r w:rsidR="004E2F51" w:rsidRPr="004B4498">
      <w:rPr>
        <w:rStyle w:val="PageNumber"/>
        <w:rFonts w:ascii="Arial" w:hAnsi="Arial" w:cs="Arial"/>
        <w:sz w:val="17"/>
        <w:szCs w:val="17"/>
        <w:lang w:val="pl-PL"/>
      </w:rPr>
      <w:t>Hrvatska banka za obnovu i razvitak</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6B30" w14:textId="77777777" w:rsidR="004E2F51" w:rsidRPr="0038483C" w:rsidRDefault="004E2F51" w:rsidP="00D17EE8">
    <w:pPr>
      <w:pStyle w:val="Footer"/>
      <w:framePr w:wrap="auto" w:vAnchor="text" w:hAnchor="page" w:x="10756" w:y="204"/>
      <w:rPr>
        <w:rStyle w:val="PageNumber"/>
      </w:rPr>
    </w:pPr>
  </w:p>
  <w:p w14:paraId="38CEF1D8" w14:textId="279881B9"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139</w:t>
    </w:r>
    <w:r w:rsidR="004E2F51" w:rsidRPr="00D14589">
      <w:rPr>
        <w:rStyle w:val="PageNumber"/>
        <w:rFonts w:ascii="Arial" w:hAnsi="Arial" w:cs="Arial"/>
        <w:noProof/>
        <w:sz w:val="17"/>
        <w:szCs w:val="17"/>
        <w:lang w:val="pl-PL"/>
      </w:rPr>
      <w:t xml:space="preserve">  </w:t>
    </w:r>
    <w:r w:rsidR="004E2F51" w:rsidRPr="00D14589">
      <w:rPr>
        <w:rStyle w:val="PageNumber"/>
        <w:rFonts w:ascii="Arial" w:hAnsi="Arial" w:cs="Arial"/>
        <w:sz w:val="17"/>
        <w:szCs w:val="17"/>
        <w:lang w:val="pl-PL"/>
      </w:rPr>
      <w:t>Hrvatska banka za obnovu i razvitak</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1B093" w14:textId="77777777" w:rsidR="004E2F51" w:rsidRPr="0038483C" w:rsidRDefault="004E2F51" w:rsidP="00D17EE8">
    <w:pPr>
      <w:pStyle w:val="Footer"/>
      <w:framePr w:wrap="auto" w:vAnchor="text" w:hAnchor="page" w:x="10756" w:y="204"/>
      <w:rPr>
        <w:rStyle w:val="PageNumber"/>
      </w:rPr>
    </w:pPr>
  </w:p>
  <w:p w14:paraId="52DFEB9E" w14:textId="62C668EB"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140</w:t>
    </w:r>
    <w:r w:rsidR="004E2F51" w:rsidRPr="00D14589">
      <w:rPr>
        <w:rStyle w:val="PageNumber"/>
        <w:rFonts w:ascii="Arial" w:hAnsi="Arial" w:cs="Arial"/>
        <w:sz w:val="17"/>
        <w:szCs w:val="17"/>
        <w:lang w:val="pl-PL"/>
      </w:rPr>
      <w:t xml:space="preserve">  Hrvatska banka za obnovu i razvitak</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E3612" w14:textId="77777777" w:rsidR="004E2F51" w:rsidRPr="0038483C" w:rsidRDefault="004E2F51" w:rsidP="00D17EE8">
    <w:pPr>
      <w:pStyle w:val="Footer"/>
      <w:framePr w:wrap="auto" w:vAnchor="text" w:hAnchor="page" w:x="10756" w:y="204"/>
      <w:rPr>
        <w:rStyle w:val="PageNumber"/>
      </w:rPr>
    </w:pPr>
  </w:p>
  <w:p w14:paraId="370D0943" w14:textId="363129C4"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141</w:t>
    </w:r>
    <w:r w:rsidR="004E2F51" w:rsidRPr="00D14589">
      <w:rPr>
        <w:rStyle w:val="PageNumber"/>
        <w:rFonts w:ascii="Arial" w:hAnsi="Arial" w:cs="Arial"/>
        <w:sz w:val="17"/>
        <w:szCs w:val="17"/>
        <w:lang w:val="pl-PL"/>
      </w:rPr>
      <w:t xml:space="preserve">  Hrvatska banka za obnovu i razvitak</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09C5C" w14:textId="77777777" w:rsidR="004E2F51" w:rsidRPr="0038483C" w:rsidRDefault="004E2F51" w:rsidP="00D17EE8">
    <w:pPr>
      <w:pStyle w:val="Footer"/>
      <w:framePr w:wrap="auto" w:vAnchor="text" w:hAnchor="page" w:x="10756" w:y="204"/>
      <w:rPr>
        <w:rStyle w:val="PageNumber"/>
      </w:rPr>
    </w:pPr>
  </w:p>
  <w:p w14:paraId="7ABB5DDE" w14:textId="54BED663"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142</w:t>
    </w:r>
    <w:r w:rsidR="004E2F51" w:rsidRPr="00D14589">
      <w:rPr>
        <w:rStyle w:val="PageNumber"/>
        <w:rFonts w:ascii="Arial" w:hAnsi="Arial" w:cs="Arial"/>
        <w:sz w:val="17"/>
        <w:szCs w:val="17"/>
        <w:lang w:val="pl-PL"/>
      </w:rPr>
      <w:t xml:space="preserve"> Hrvatska banka za obnovu i razvitak</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E83B" w14:textId="77777777" w:rsidR="004E2F51" w:rsidRPr="0038483C" w:rsidRDefault="004E2F51" w:rsidP="00D17EE8">
    <w:pPr>
      <w:pStyle w:val="Footer"/>
      <w:framePr w:wrap="auto" w:vAnchor="text" w:hAnchor="page" w:x="10756" w:y="204"/>
      <w:rPr>
        <w:rStyle w:val="PageNumber"/>
      </w:rPr>
    </w:pPr>
  </w:p>
  <w:p w14:paraId="0D1F1753" w14:textId="62CFEA8A"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143</w:t>
    </w:r>
    <w:r w:rsidR="004E2F51" w:rsidRPr="00D14589">
      <w:rPr>
        <w:rStyle w:val="PageNumber"/>
        <w:rFonts w:ascii="Arial" w:hAnsi="Arial" w:cs="Arial"/>
        <w:sz w:val="17"/>
        <w:szCs w:val="17"/>
        <w:lang w:val="pl-PL"/>
      </w:rPr>
      <w:t xml:space="preserve">  Hrvatska banka za obnovu i razvitak</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F7D14" w14:textId="77777777" w:rsidR="004E2F51" w:rsidRPr="0038483C" w:rsidRDefault="004E2F51" w:rsidP="00D17EE8">
    <w:pPr>
      <w:pStyle w:val="Footer"/>
      <w:framePr w:wrap="auto" w:vAnchor="text" w:hAnchor="page" w:x="10756" w:y="204"/>
      <w:rPr>
        <w:rStyle w:val="PageNumber"/>
      </w:rPr>
    </w:pPr>
  </w:p>
  <w:p w14:paraId="081E1E71" w14:textId="74CD1E04"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144</w:t>
    </w:r>
    <w:r w:rsidR="004E2F51" w:rsidRPr="00D14589">
      <w:rPr>
        <w:rStyle w:val="PageNumber"/>
        <w:rFonts w:ascii="Arial" w:hAnsi="Arial" w:cs="Arial"/>
        <w:sz w:val="17"/>
        <w:szCs w:val="17"/>
        <w:lang w:val="pl-PL"/>
      </w:rPr>
      <w:t xml:space="preserve">  Hrvatska banka za obnovu i razvitak</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70921" w14:textId="77777777" w:rsidR="00856CC8" w:rsidRPr="0038483C" w:rsidRDefault="00856CC8" w:rsidP="00D17EE8">
    <w:pPr>
      <w:pStyle w:val="Footer"/>
      <w:framePr w:wrap="auto" w:vAnchor="text" w:hAnchor="page" w:x="10756" w:y="204"/>
      <w:rPr>
        <w:rStyle w:val="PageNumber"/>
      </w:rPr>
    </w:pPr>
  </w:p>
  <w:p w14:paraId="39262B47" w14:textId="44809D89" w:rsidR="00856CC8" w:rsidRPr="004B4498" w:rsidRDefault="00856CC8" w:rsidP="00856CC8">
    <w:pPr>
      <w:pStyle w:val="Footer"/>
      <w:pBdr>
        <w:top w:val="single" w:sz="4" w:space="1" w:color="auto"/>
      </w:pBdr>
      <w:tabs>
        <w:tab w:val="clear" w:pos="4536"/>
        <w:tab w:val="clear" w:pos="9072"/>
        <w:tab w:val="left" w:pos="3504"/>
      </w:tabs>
      <w:ind w:right="4"/>
      <w:rPr>
        <w:rStyle w:val="PageNumber"/>
        <w:rFonts w:ascii="Arial" w:hAnsi="Arial" w:cs="Arial"/>
        <w:sz w:val="17"/>
        <w:szCs w:val="17"/>
        <w:lang w:val="pl-PL"/>
      </w:rPr>
    </w:pPr>
    <w:r>
      <w:rPr>
        <w:rStyle w:val="PageNumber"/>
        <w:rFonts w:ascii="Arial" w:hAnsi="Arial" w:cs="Arial"/>
        <w:noProof/>
        <w:sz w:val="17"/>
        <w:szCs w:val="17"/>
        <w:lang w:val="pl-PL"/>
      </w:rPr>
      <w:t>73</w:t>
    </w:r>
    <w:r w:rsidRPr="004B4498">
      <w:rPr>
        <w:rStyle w:val="PageNumber"/>
        <w:rFonts w:ascii="Arial" w:hAnsi="Arial" w:cs="Arial"/>
        <w:noProof/>
        <w:sz w:val="17"/>
        <w:szCs w:val="17"/>
        <w:lang w:val="pl-PL"/>
      </w:rPr>
      <w:t xml:space="preserve">  </w:t>
    </w:r>
    <w:r w:rsidRPr="004B4498">
      <w:rPr>
        <w:rStyle w:val="PageNumber"/>
        <w:rFonts w:ascii="Arial" w:hAnsi="Arial" w:cs="Arial"/>
        <w:sz w:val="17"/>
        <w:szCs w:val="17"/>
        <w:lang w:val="pl-PL"/>
      </w:rPr>
      <w:t>Hrvatska banka za obnovu i razvitak</w:t>
    </w:r>
    <w:r>
      <w:rPr>
        <w:rStyle w:val="PageNumber"/>
        <w:rFonts w:ascii="Arial" w:hAnsi="Arial" w:cs="Arial"/>
        <w:sz w:val="17"/>
        <w:szCs w:val="17"/>
        <w:lang w:val="pl-PL"/>
      </w:rPr>
      <w:tab/>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C7F1E" w14:textId="77777777" w:rsidR="004E2F51" w:rsidRPr="0038483C" w:rsidRDefault="004E2F51" w:rsidP="00D17EE8">
    <w:pPr>
      <w:pStyle w:val="Footer"/>
      <w:framePr w:wrap="auto" w:vAnchor="text" w:hAnchor="page" w:x="10756" w:y="204"/>
      <w:rPr>
        <w:rStyle w:val="PageNumber"/>
      </w:rPr>
    </w:pPr>
  </w:p>
  <w:p w14:paraId="40C57D9C" w14:textId="48E0B84A"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145</w:t>
    </w:r>
    <w:r w:rsidR="004E2F51" w:rsidRPr="00D14589">
      <w:rPr>
        <w:rStyle w:val="PageNumber"/>
        <w:rFonts w:ascii="Arial" w:hAnsi="Arial" w:cs="Arial"/>
        <w:sz w:val="17"/>
        <w:szCs w:val="17"/>
        <w:lang w:val="pl-PL"/>
      </w:rPr>
      <w:t xml:space="preserve">  Hrvatska banka za obnovu i razvitak</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09489" w14:textId="77777777" w:rsidR="004E2F51" w:rsidRPr="0038483C" w:rsidRDefault="004E2F51" w:rsidP="00D17EE8">
    <w:pPr>
      <w:pStyle w:val="Footer"/>
      <w:framePr w:wrap="auto" w:vAnchor="text" w:hAnchor="page" w:x="10756" w:y="204"/>
      <w:rPr>
        <w:rStyle w:val="PageNumber"/>
      </w:rPr>
    </w:pPr>
  </w:p>
  <w:p w14:paraId="0DEF2384" w14:textId="6070FA29"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146</w:t>
    </w:r>
    <w:r w:rsidR="004E2F51" w:rsidRPr="00D14589">
      <w:rPr>
        <w:rStyle w:val="PageNumber"/>
        <w:rFonts w:ascii="Arial" w:hAnsi="Arial" w:cs="Arial"/>
        <w:sz w:val="17"/>
        <w:szCs w:val="17"/>
        <w:lang w:val="pl-PL"/>
      </w:rPr>
      <w:t xml:space="preserve">  Hrvatska banka za obnovu i razvitak</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DAB6B" w14:textId="77777777" w:rsidR="004E2F51" w:rsidRPr="0038483C" w:rsidRDefault="004E2F51" w:rsidP="00D17EE8">
    <w:pPr>
      <w:pStyle w:val="Footer"/>
      <w:framePr w:wrap="auto" w:vAnchor="text" w:hAnchor="page" w:x="10756" w:y="204"/>
      <w:rPr>
        <w:rStyle w:val="PageNumber"/>
      </w:rPr>
    </w:pPr>
  </w:p>
  <w:p w14:paraId="647611F8" w14:textId="4714BF21"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147</w:t>
    </w:r>
    <w:r w:rsidR="004E2F51" w:rsidRPr="00D14589">
      <w:rPr>
        <w:rStyle w:val="PageNumber"/>
        <w:rFonts w:ascii="Arial" w:hAnsi="Arial" w:cs="Arial"/>
        <w:sz w:val="17"/>
        <w:szCs w:val="17"/>
        <w:lang w:val="pl-PL"/>
      </w:rPr>
      <w:t xml:space="preserve">  Hrvatska banka za obnovu i razvitak</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9050C" w14:textId="77777777" w:rsidR="004E2F51" w:rsidRPr="0038483C" w:rsidRDefault="004E2F51" w:rsidP="00D17EE8">
    <w:pPr>
      <w:pStyle w:val="Footer"/>
      <w:framePr w:wrap="auto" w:vAnchor="text" w:hAnchor="page" w:x="10756" w:y="204"/>
      <w:rPr>
        <w:rStyle w:val="PageNumber"/>
      </w:rPr>
    </w:pPr>
  </w:p>
  <w:p w14:paraId="3A837028" w14:textId="449B9A46"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148</w:t>
    </w:r>
    <w:r w:rsidR="004E2F51" w:rsidRPr="00D14589">
      <w:rPr>
        <w:rStyle w:val="PageNumber"/>
        <w:rFonts w:ascii="Arial" w:hAnsi="Arial" w:cs="Arial"/>
        <w:sz w:val="17"/>
        <w:szCs w:val="17"/>
        <w:lang w:val="pl-PL"/>
      </w:rPr>
      <w:t xml:space="preserve">  Hrvatska banka za obnovu i razvitak</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FE932" w14:textId="77777777" w:rsidR="004E2F51" w:rsidRPr="0038483C" w:rsidRDefault="004E2F51" w:rsidP="00D17EE8">
    <w:pPr>
      <w:pStyle w:val="Footer"/>
      <w:framePr w:wrap="auto" w:vAnchor="text" w:hAnchor="page" w:x="10756" w:y="204"/>
      <w:rPr>
        <w:rStyle w:val="PageNumber"/>
      </w:rPr>
    </w:pPr>
  </w:p>
  <w:p w14:paraId="1CE1F48A" w14:textId="24F9E227"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149</w:t>
    </w:r>
    <w:r w:rsidR="004E2F51" w:rsidRPr="00D14589">
      <w:rPr>
        <w:rStyle w:val="PageNumber"/>
        <w:rFonts w:ascii="Arial" w:hAnsi="Arial" w:cs="Arial"/>
        <w:sz w:val="17"/>
        <w:szCs w:val="17"/>
        <w:lang w:val="pl-PL"/>
      </w:rPr>
      <w:t xml:space="preserve">  Hrvatska banka za obnovu i razvitak</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83203" w14:textId="77777777" w:rsidR="004E2F51" w:rsidRPr="0038483C" w:rsidRDefault="004E2F51" w:rsidP="00D17EE8">
    <w:pPr>
      <w:pStyle w:val="Footer"/>
      <w:framePr w:wrap="auto" w:vAnchor="text" w:hAnchor="page" w:x="10756" w:y="204"/>
      <w:rPr>
        <w:rStyle w:val="PageNumber"/>
      </w:rPr>
    </w:pPr>
  </w:p>
  <w:p w14:paraId="13638DB6" w14:textId="3B2427FD"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150</w:t>
    </w:r>
    <w:r w:rsidR="004E2F51" w:rsidRPr="00D14589">
      <w:rPr>
        <w:rStyle w:val="PageNumber"/>
        <w:rFonts w:ascii="Arial" w:hAnsi="Arial" w:cs="Arial"/>
        <w:sz w:val="17"/>
        <w:szCs w:val="17"/>
        <w:lang w:val="pl-PL"/>
      </w:rPr>
      <w:t xml:space="preserve">  Hrvatska banka za obnovu i razvitak</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425F" w14:textId="77777777" w:rsidR="004E2F51" w:rsidRPr="0038483C" w:rsidRDefault="004E2F51" w:rsidP="00D17EE8">
    <w:pPr>
      <w:pStyle w:val="Footer"/>
      <w:framePr w:wrap="auto" w:vAnchor="text" w:hAnchor="page" w:x="10756" w:y="204"/>
      <w:rPr>
        <w:rStyle w:val="PageNumber"/>
      </w:rPr>
    </w:pPr>
  </w:p>
  <w:p w14:paraId="731825ED" w14:textId="6CDDAA82"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151</w:t>
    </w:r>
    <w:r w:rsidR="004E2F51" w:rsidRPr="00D14589">
      <w:rPr>
        <w:rStyle w:val="PageNumber"/>
        <w:rFonts w:ascii="Arial" w:hAnsi="Arial" w:cs="Arial"/>
        <w:sz w:val="17"/>
        <w:szCs w:val="17"/>
        <w:lang w:val="pl-PL"/>
      </w:rPr>
      <w:t xml:space="preserve">  Hrvatska banka za obnovu i razvitak</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8F632" w14:textId="77777777" w:rsidR="004E2F51" w:rsidRPr="0038483C" w:rsidRDefault="004E2F51" w:rsidP="00D17EE8">
    <w:pPr>
      <w:pStyle w:val="Footer"/>
      <w:framePr w:wrap="auto" w:vAnchor="text" w:hAnchor="page" w:x="10756" w:y="204"/>
      <w:rPr>
        <w:rStyle w:val="PageNumber"/>
      </w:rPr>
    </w:pPr>
  </w:p>
  <w:p w14:paraId="4A79D77F" w14:textId="21419CE2"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152</w:t>
    </w:r>
    <w:r w:rsidR="004E2F51" w:rsidRPr="00D14589">
      <w:rPr>
        <w:rStyle w:val="PageNumber"/>
        <w:rFonts w:ascii="Arial" w:hAnsi="Arial" w:cs="Arial"/>
        <w:sz w:val="17"/>
        <w:szCs w:val="17"/>
        <w:lang w:val="pl-PL"/>
      </w:rPr>
      <w:t xml:space="preserve">  Hrvatska banka za obnovu i razvitak</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C1DF" w14:textId="77777777" w:rsidR="004E2F51" w:rsidRPr="0038483C" w:rsidRDefault="004E2F51" w:rsidP="00D17EE8">
    <w:pPr>
      <w:pStyle w:val="Footer"/>
      <w:framePr w:wrap="auto" w:vAnchor="text" w:hAnchor="page" w:x="10756" w:y="204"/>
      <w:rPr>
        <w:rStyle w:val="PageNumber"/>
      </w:rPr>
    </w:pPr>
  </w:p>
  <w:p w14:paraId="082D4F6C" w14:textId="01139BEB"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153</w:t>
    </w:r>
    <w:r w:rsidR="004E2F51" w:rsidRPr="00D14589">
      <w:rPr>
        <w:rStyle w:val="PageNumber"/>
        <w:rFonts w:ascii="Arial" w:hAnsi="Arial" w:cs="Arial"/>
        <w:sz w:val="17"/>
        <w:szCs w:val="17"/>
        <w:lang w:val="pl-PL"/>
      </w:rPr>
      <w:t xml:space="preserve">  Hrvatska banka za obnovu i razvitak</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91F0" w14:textId="77777777" w:rsidR="004E2F51" w:rsidRPr="0038483C" w:rsidRDefault="004E2F51" w:rsidP="00D17EE8">
    <w:pPr>
      <w:pStyle w:val="Footer"/>
      <w:framePr w:wrap="auto" w:vAnchor="text" w:hAnchor="page" w:x="10756" w:y="204"/>
      <w:rPr>
        <w:rStyle w:val="PageNumber"/>
      </w:rPr>
    </w:pPr>
  </w:p>
  <w:p w14:paraId="26DB62FB" w14:textId="41A579F9"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154</w:t>
    </w:r>
    <w:r w:rsidR="004E2F51" w:rsidRPr="00D14589">
      <w:rPr>
        <w:rStyle w:val="PageNumber"/>
        <w:rFonts w:ascii="Arial" w:hAnsi="Arial" w:cs="Arial"/>
        <w:sz w:val="17"/>
        <w:szCs w:val="17"/>
        <w:lang w:val="pl-PL"/>
      </w:rPr>
      <w:t xml:space="preserve">  Hrvatska banka za obnovu i razvitak</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84053" w14:textId="77777777" w:rsidR="007E5D38" w:rsidRPr="0038483C" w:rsidRDefault="007E5D38" w:rsidP="00D17EE8">
    <w:pPr>
      <w:pStyle w:val="Footer"/>
      <w:framePr w:wrap="auto" w:vAnchor="text" w:hAnchor="page" w:x="10756" w:y="204"/>
      <w:rPr>
        <w:rStyle w:val="PageNumber"/>
      </w:rPr>
    </w:pPr>
  </w:p>
  <w:p w14:paraId="45287A08" w14:textId="5F38DF80" w:rsidR="007E5D38" w:rsidRPr="004B4498" w:rsidRDefault="007E5D38"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74</w:t>
    </w:r>
    <w:r w:rsidRPr="004B4498">
      <w:rPr>
        <w:rStyle w:val="PageNumber"/>
        <w:rFonts w:ascii="Arial" w:hAnsi="Arial" w:cs="Arial"/>
        <w:noProof/>
        <w:sz w:val="17"/>
        <w:szCs w:val="17"/>
        <w:lang w:val="pl-PL"/>
      </w:rPr>
      <w:t xml:space="preserve">  </w:t>
    </w:r>
    <w:r w:rsidRPr="004B4498">
      <w:rPr>
        <w:rStyle w:val="PageNumber"/>
        <w:rFonts w:ascii="Arial" w:hAnsi="Arial" w:cs="Arial"/>
        <w:sz w:val="17"/>
        <w:szCs w:val="17"/>
        <w:lang w:val="pl-PL"/>
      </w:rPr>
      <w:t>Hrvatska banka za obnovu i razvitak</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58D8" w14:textId="77777777" w:rsidR="004E2F51" w:rsidRPr="0038483C" w:rsidRDefault="004E2F51" w:rsidP="00D17EE8">
    <w:pPr>
      <w:pStyle w:val="Footer"/>
      <w:framePr w:wrap="auto" w:vAnchor="text" w:hAnchor="page" w:x="10756" w:y="204"/>
      <w:rPr>
        <w:rStyle w:val="PageNumber"/>
      </w:rPr>
    </w:pPr>
  </w:p>
  <w:p w14:paraId="2014108A" w14:textId="52C398A8"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155</w:t>
    </w:r>
    <w:r w:rsidR="004E2F51" w:rsidRPr="00D14589">
      <w:rPr>
        <w:rStyle w:val="PageNumber"/>
        <w:rFonts w:ascii="Arial" w:hAnsi="Arial" w:cs="Arial"/>
        <w:sz w:val="17"/>
        <w:szCs w:val="17"/>
        <w:lang w:val="pl-PL"/>
      </w:rPr>
      <w:t xml:space="preserve">  Hrvatska banka za obnovu i razvitak</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A6C42" w14:textId="77777777" w:rsidR="004E2F51" w:rsidRPr="0038483C" w:rsidRDefault="004E2F51" w:rsidP="00D17EE8">
    <w:pPr>
      <w:pStyle w:val="Footer"/>
      <w:framePr w:wrap="auto" w:vAnchor="text" w:hAnchor="page" w:x="10756" w:y="204"/>
      <w:rPr>
        <w:rStyle w:val="PageNumber"/>
      </w:rPr>
    </w:pPr>
  </w:p>
  <w:p w14:paraId="4B080F2B" w14:textId="2AC7E86E"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156</w:t>
    </w:r>
    <w:r w:rsidR="004E2F51" w:rsidRPr="00D14589">
      <w:rPr>
        <w:rStyle w:val="PageNumber"/>
        <w:rFonts w:ascii="Arial" w:hAnsi="Arial" w:cs="Arial"/>
        <w:sz w:val="17"/>
        <w:szCs w:val="17"/>
        <w:lang w:val="pl-PL"/>
      </w:rPr>
      <w:t xml:space="preserve">  Hrvatska banka za obnovu i razvitak</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E1CF" w14:textId="77777777" w:rsidR="004E2F51" w:rsidRPr="0038483C" w:rsidRDefault="004E2F51" w:rsidP="00D17EE8">
    <w:pPr>
      <w:pStyle w:val="Footer"/>
      <w:framePr w:wrap="auto" w:vAnchor="text" w:hAnchor="page" w:x="10756" w:y="204"/>
      <w:rPr>
        <w:rStyle w:val="PageNumber"/>
      </w:rPr>
    </w:pPr>
  </w:p>
  <w:p w14:paraId="67B8AE78" w14:textId="5F7FD81F"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157</w:t>
    </w:r>
    <w:r w:rsidR="004E2F51" w:rsidRPr="00D14589">
      <w:rPr>
        <w:rStyle w:val="PageNumber"/>
        <w:rFonts w:ascii="Arial" w:hAnsi="Arial" w:cs="Arial"/>
        <w:sz w:val="17"/>
        <w:szCs w:val="17"/>
        <w:lang w:val="pl-PL"/>
      </w:rPr>
      <w:t xml:space="preserve">  Hrvatska banka za obnovu i razvitak</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A33D5" w14:textId="77777777" w:rsidR="004E2F51" w:rsidRPr="0038483C" w:rsidRDefault="004E2F51" w:rsidP="00D17EE8">
    <w:pPr>
      <w:pStyle w:val="Footer"/>
      <w:framePr w:wrap="auto" w:vAnchor="text" w:hAnchor="page" w:x="10756" w:y="204"/>
      <w:rPr>
        <w:rStyle w:val="PageNumber"/>
      </w:rPr>
    </w:pPr>
  </w:p>
  <w:p w14:paraId="564329AD" w14:textId="5A5294AD"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158</w:t>
    </w:r>
    <w:r w:rsidR="004E2F51" w:rsidRPr="00D14589">
      <w:rPr>
        <w:rStyle w:val="PageNumber"/>
        <w:rFonts w:ascii="Arial" w:hAnsi="Arial" w:cs="Arial"/>
        <w:sz w:val="17"/>
        <w:szCs w:val="17"/>
        <w:lang w:val="pl-PL"/>
      </w:rPr>
      <w:t xml:space="preserve">  Hrvatska banka za obnovu i razvitak</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C0D40" w14:textId="77777777" w:rsidR="004E2F51" w:rsidRPr="0038483C" w:rsidRDefault="004E2F51" w:rsidP="00D17EE8">
    <w:pPr>
      <w:pStyle w:val="Footer"/>
      <w:framePr w:wrap="auto" w:vAnchor="text" w:hAnchor="page" w:x="10756" w:y="204"/>
      <w:rPr>
        <w:rStyle w:val="PageNumber"/>
      </w:rPr>
    </w:pPr>
  </w:p>
  <w:p w14:paraId="1AC50B39" w14:textId="71168616"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159</w:t>
    </w:r>
    <w:r w:rsidR="004E2F51" w:rsidRPr="00D14589">
      <w:rPr>
        <w:rStyle w:val="PageNumber"/>
        <w:rFonts w:ascii="Arial" w:hAnsi="Arial" w:cs="Arial"/>
        <w:sz w:val="17"/>
        <w:szCs w:val="17"/>
        <w:lang w:val="pl-PL"/>
      </w:rPr>
      <w:t xml:space="preserve">  Hrvatska banka za obnovu i razvitak</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C28FB" w14:textId="77777777" w:rsidR="004E2F51" w:rsidRPr="0038483C" w:rsidRDefault="004E2F51" w:rsidP="00D17EE8">
    <w:pPr>
      <w:pStyle w:val="Footer"/>
      <w:framePr w:wrap="auto" w:vAnchor="text" w:hAnchor="page" w:x="10756" w:y="204"/>
      <w:rPr>
        <w:rStyle w:val="PageNumber"/>
      </w:rPr>
    </w:pPr>
  </w:p>
  <w:p w14:paraId="5B0CF282" w14:textId="21CE6E4B"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160</w:t>
    </w:r>
    <w:r w:rsidR="004E2F51" w:rsidRPr="00D14589">
      <w:rPr>
        <w:rStyle w:val="PageNumber"/>
        <w:rFonts w:ascii="Arial" w:hAnsi="Arial" w:cs="Arial"/>
        <w:sz w:val="17"/>
        <w:szCs w:val="17"/>
        <w:lang w:val="pl-PL"/>
      </w:rPr>
      <w:t xml:space="preserve">  Hrvatska banka za obnovu i razvitak</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B22D8" w14:textId="77777777" w:rsidR="004E2F51" w:rsidRPr="0038483C" w:rsidRDefault="004E2F51" w:rsidP="00D17EE8">
    <w:pPr>
      <w:pStyle w:val="Footer"/>
      <w:framePr w:wrap="auto" w:vAnchor="text" w:hAnchor="page" w:x="10756" w:y="204"/>
      <w:rPr>
        <w:rStyle w:val="PageNumber"/>
      </w:rPr>
    </w:pPr>
  </w:p>
  <w:p w14:paraId="17D494DC" w14:textId="695C61A7"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161</w:t>
    </w:r>
    <w:r w:rsidR="004E2F51" w:rsidRPr="00D14589">
      <w:rPr>
        <w:rStyle w:val="PageNumber"/>
        <w:rFonts w:ascii="Arial" w:hAnsi="Arial" w:cs="Arial"/>
        <w:sz w:val="17"/>
        <w:szCs w:val="17"/>
        <w:lang w:val="pl-PL"/>
      </w:rPr>
      <w:t xml:space="preserve">  Hrvatska banka za obnovu i razvitak</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AD02F" w14:textId="77777777" w:rsidR="004E2F51" w:rsidRPr="0038483C" w:rsidRDefault="004E2F51" w:rsidP="00D17EE8">
    <w:pPr>
      <w:pStyle w:val="Footer"/>
      <w:framePr w:wrap="auto" w:vAnchor="text" w:hAnchor="page" w:x="10756" w:y="204"/>
      <w:rPr>
        <w:rStyle w:val="PageNumber"/>
      </w:rPr>
    </w:pPr>
  </w:p>
  <w:p w14:paraId="1AE1760A" w14:textId="2EB529CC"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162</w:t>
    </w:r>
    <w:r w:rsidR="004E2F51" w:rsidRPr="00D14589">
      <w:rPr>
        <w:rStyle w:val="PageNumber"/>
        <w:rFonts w:ascii="Arial" w:hAnsi="Arial" w:cs="Arial"/>
        <w:sz w:val="17"/>
        <w:szCs w:val="17"/>
        <w:lang w:val="pl-PL"/>
      </w:rPr>
      <w:t xml:space="preserve">  Hrvatska banka za obnovu i razvitak</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04EF6" w14:textId="77777777" w:rsidR="004E2F51" w:rsidRPr="0038483C" w:rsidRDefault="004E2F51" w:rsidP="00D17EE8">
    <w:pPr>
      <w:pStyle w:val="Footer"/>
      <w:framePr w:wrap="auto" w:vAnchor="text" w:hAnchor="page" w:x="10756" w:y="204"/>
      <w:rPr>
        <w:rStyle w:val="PageNumber"/>
      </w:rPr>
    </w:pPr>
  </w:p>
  <w:p w14:paraId="06420737" w14:textId="7F7A049E" w:rsidR="004E2F51" w:rsidRPr="00D14589"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163</w:t>
    </w:r>
    <w:r w:rsidR="004E2F51" w:rsidRPr="00D14589">
      <w:rPr>
        <w:rStyle w:val="PageNumber"/>
        <w:rFonts w:ascii="Arial" w:hAnsi="Arial" w:cs="Arial"/>
        <w:sz w:val="17"/>
        <w:szCs w:val="17"/>
        <w:lang w:val="pl-PL"/>
      </w:rPr>
      <w:t xml:space="preserve">  Hrvatska banka za obnovu i razvitak</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AF53B" w14:textId="77777777" w:rsidR="004E2F51" w:rsidRPr="0038483C" w:rsidRDefault="004E2F51" w:rsidP="00D17EE8">
    <w:pPr>
      <w:pStyle w:val="Footer"/>
      <w:framePr w:wrap="auto" w:vAnchor="text" w:hAnchor="page" w:x="10756" w:y="204"/>
      <w:rPr>
        <w:rStyle w:val="PageNumber"/>
      </w:rPr>
    </w:pPr>
  </w:p>
  <w:p w14:paraId="669ED569" w14:textId="5AA99BEA" w:rsidR="004E2F51" w:rsidRPr="003F7756" w:rsidRDefault="003909C1" w:rsidP="00D17EE8">
    <w:pPr>
      <w:pStyle w:val="Footer"/>
      <w:pBdr>
        <w:top w:val="single" w:sz="4" w:space="1" w:color="auto"/>
      </w:pBdr>
      <w:tabs>
        <w:tab w:val="left" w:pos="8916"/>
      </w:tabs>
      <w:ind w:right="4"/>
      <w:rPr>
        <w:rStyle w:val="PageNumber"/>
        <w:rFonts w:ascii="Arial" w:hAnsi="Arial" w:cs="Arial"/>
        <w:sz w:val="17"/>
        <w:szCs w:val="17"/>
        <w:lang w:val="pl-PL"/>
      </w:rPr>
    </w:pPr>
    <w:r>
      <w:rPr>
        <w:rStyle w:val="PageNumber"/>
        <w:rFonts w:ascii="Arial" w:hAnsi="Arial" w:cs="Arial"/>
        <w:sz w:val="17"/>
        <w:szCs w:val="17"/>
        <w:lang w:val="pl-PL"/>
      </w:rPr>
      <w:t>164</w:t>
    </w:r>
    <w:r w:rsidR="004E2F51" w:rsidRPr="003F7756">
      <w:rPr>
        <w:rStyle w:val="PageNumber"/>
        <w:rFonts w:ascii="Arial" w:hAnsi="Arial" w:cs="Arial"/>
        <w:sz w:val="17"/>
        <w:szCs w:val="17"/>
        <w:lang w:val="pl-PL"/>
      </w:rPr>
      <w:t xml:space="preserve">  Hrvatska banka za obnovu i razvitak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D9C4F" w14:textId="77777777" w:rsidR="003822D9" w:rsidRDefault="003822D9">
      <w:r>
        <w:rPr>
          <w:color w:val="000000"/>
        </w:rPr>
        <w:separator/>
      </w:r>
    </w:p>
  </w:footnote>
  <w:footnote w:type="continuationSeparator" w:id="0">
    <w:p w14:paraId="1CDE3976" w14:textId="77777777" w:rsidR="003822D9" w:rsidRDefault="003822D9">
      <w:r>
        <w:continuationSeparator/>
      </w:r>
    </w:p>
  </w:footnote>
  <w:footnote w:type="continuationNotice" w:id="1">
    <w:p w14:paraId="38B842B8" w14:textId="77777777" w:rsidR="003822D9" w:rsidRDefault="003822D9"/>
  </w:footnote>
  <w:footnote w:id="2">
    <w:p w14:paraId="116D585B" w14:textId="77777777" w:rsidR="004E2F51" w:rsidRPr="00001BA7" w:rsidRDefault="004E2F51" w:rsidP="004E2F51">
      <w:pPr>
        <w:pStyle w:val="FootnoteText"/>
        <w:rPr>
          <w:rFonts w:ascii="Arial" w:hAnsi="Arial" w:cs="Arial"/>
          <w:sz w:val="18"/>
          <w:szCs w:val="18"/>
        </w:rPr>
      </w:pPr>
      <w:r w:rsidRPr="00001BA7">
        <w:rPr>
          <w:rStyle w:val="FootnoteReference"/>
          <w:rFonts w:ascii="Arial" w:hAnsi="Arial" w:cs="Arial"/>
          <w:sz w:val="18"/>
          <w:szCs w:val="18"/>
        </w:rPr>
        <w:footnoteRef/>
      </w:r>
      <w:r w:rsidRPr="00001BA7">
        <w:rPr>
          <w:rFonts w:ascii="Arial" w:hAnsi="Arial" w:cs="Arial"/>
          <w:sz w:val="18"/>
          <w:szCs w:val="18"/>
        </w:rPr>
        <w:t xml:space="preserve"> Obrtna sredstva Kriza 2022 je novi program u 2022. godini te nema stanja u 2022. godini</w:t>
      </w:r>
    </w:p>
  </w:footnote>
  <w:footnote w:id="3">
    <w:p w14:paraId="2AE34834" w14:textId="77777777" w:rsidR="004E2F51" w:rsidRPr="00001BA7" w:rsidRDefault="004E2F51" w:rsidP="004E2F51">
      <w:pPr>
        <w:pStyle w:val="FootnoteText"/>
        <w:rPr>
          <w:rFonts w:ascii="Arial" w:hAnsi="Arial" w:cs="Arial"/>
          <w:sz w:val="18"/>
          <w:szCs w:val="18"/>
        </w:rPr>
      </w:pPr>
      <w:r w:rsidRPr="00001BA7">
        <w:rPr>
          <w:rStyle w:val="FootnoteReference"/>
          <w:rFonts w:ascii="Arial" w:hAnsi="Arial" w:cs="Arial"/>
          <w:sz w:val="18"/>
          <w:szCs w:val="18"/>
        </w:rPr>
        <w:footnoteRef/>
      </w:r>
      <w:r w:rsidRPr="00001BA7">
        <w:rPr>
          <w:rFonts w:ascii="Arial" w:hAnsi="Arial" w:cs="Arial"/>
          <w:sz w:val="18"/>
          <w:szCs w:val="18"/>
        </w:rPr>
        <w:t xml:space="preserve"> Obrtna sredstva Kriza 2022 je novi program u 2022. godini te nema stanja u 2021. godini</w:t>
      </w:r>
    </w:p>
  </w:footnote>
  <w:footnote w:id="4">
    <w:p w14:paraId="6C55CA5E" w14:textId="77777777" w:rsidR="004E2F51" w:rsidRPr="00982B7B" w:rsidRDefault="004E2F51" w:rsidP="004E2F51">
      <w:pPr>
        <w:pStyle w:val="FootnoteText"/>
        <w:jc w:val="both"/>
        <w:rPr>
          <w:rFonts w:ascii="Arial" w:hAnsi="Arial" w:cs="Arial"/>
          <w:i/>
          <w:iCs/>
          <w:sz w:val="18"/>
          <w:szCs w:val="18"/>
        </w:rPr>
      </w:pPr>
      <w:r w:rsidRPr="00982B7B">
        <w:rPr>
          <w:rStyle w:val="FootnoteReference"/>
          <w:rFonts w:ascii="Arial" w:hAnsi="Arial" w:cs="Arial"/>
          <w:i/>
          <w:iCs/>
          <w:sz w:val="18"/>
          <w:szCs w:val="18"/>
        </w:rPr>
        <w:t xml:space="preserve">3 i 4 </w:t>
      </w:r>
      <w:r w:rsidRPr="00982B7B">
        <w:rPr>
          <w:rFonts w:ascii="Arial" w:hAnsi="Arial" w:cs="Arial"/>
          <w:i/>
          <w:iCs/>
          <w:sz w:val="18"/>
          <w:szCs w:val="18"/>
        </w:rPr>
        <w:t xml:space="preserve"> </w:t>
      </w:r>
      <w:r w:rsidRPr="00982B7B">
        <w:rPr>
          <w:rFonts w:ascii="Arial" w:hAnsi="Arial" w:cs="Arial"/>
          <w:i/>
          <w:iCs/>
          <w:color w:val="000000" w:themeColor="text1"/>
          <w:sz w:val="18"/>
          <w:szCs w:val="18"/>
        </w:rPr>
        <w:t>Fer vrijednost neto imovine Fondova za gospodarsku suradnju i Investicijskog fonda Inicijative triju mora u 2022. godini iskazana je prema zadnjim raspoloživim podacima i ne predstavlja konačnu fer vrijednost dok je za 2021. godinu iznos iskazan prema revidiranim financijskim izvještajima.</w:t>
      </w:r>
    </w:p>
  </w:footnote>
  <w:footnote w:id="5">
    <w:p w14:paraId="324167AE" w14:textId="77777777" w:rsidR="004E2F51" w:rsidRDefault="004E2F51" w:rsidP="004E2F51">
      <w:pPr>
        <w:pStyle w:val="FootnoteText"/>
      </w:pPr>
    </w:p>
  </w:footnote>
  <w:footnote w:id="6">
    <w:p w14:paraId="12335342" w14:textId="77777777" w:rsidR="004E2F51" w:rsidRPr="00131EA9" w:rsidRDefault="004E2F51" w:rsidP="004E2F51">
      <w:pPr>
        <w:pStyle w:val="FootnoteText"/>
        <w:rPr>
          <w:rFonts w:ascii="Arial" w:hAnsi="Arial" w:cs="Arial"/>
          <w:i/>
          <w:iCs/>
          <w:sz w:val="18"/>
          <w:szCs w:val="18"/>
        </w:rPr>
      </w:pPr>
      <w:r>
        <w:rPr>
          <w:rStyle w:val="FootnoteReference"/>
          <w:rFonts w:ascii="Arial" w:hAnsi="Arial" w:cs="Arial"/>
          <w:sz w:val="18"/>
          <w:szCs w:val="18"/>
        </w:rPr>
        <w:t>5</w:t>
      </w:r>
      <w:r w:rsidRPr="00131EA9">
        <w:rPr>
          <w:rFonts w:ascii="Arial" w:hAnsi="Arial" w:cs="Arial"/>
          <w:sz w:val="18"/>
          <w:szCs w:val="18"/>
        </w:rPr>
        <w:t xml:space="preserve"> </w:t>
      </w:r>
      <w:r w:rsidRPr="00131EA9">
        <w:rPr>
          <w:rFonts w:ascii="Arial" w:hAnsi="Arial" w:cs="Arial"/>
          <w:i/>
          <w:iCs/>
          <w:sz w:val="18"/>
          <w:szCs w:val="18"/>
        </w:rPr>
        <w:t>Nema utjecaja zbog primjene zero floor-a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7BFC1" w14:textId="77777777" w:rsidR="00804BFE" w:rsidRPr="004B4498" w:rsidRDefault="00804BFE" w:rsidP="008342AA">
    <w:pPr>
      <w:pStyle w:val="Header"/>
      <w:pBdr>
        <w:bottom w:val="single" w:sz="4" w:space="1" w:color="auto"/>
      </w:pBdr>
      <w:rPr>
        <w:rFonts w:ascii="Arial" w:hAnsi="Arial" w:cs="Arial"/>
        <w:i/>
        <w:lang w:val="hr-HR"/>
      </w:rPr>
    </w:pPr>
    <w:r w:rsidRPr="004B4498">
      <w:rPr>
        <w:rFonts w:ascii="Arial" w:hAnsi="Arial" w:cs="Arial"/>
        <w:lang w:val="hr-HR"/>
      </w:rPr>
      <w:t>Sadržaj</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C4274" w14:textId="77777777" w:rsidR="007E5D38" w:rsidRPr="004B4498" w:rsidRDefault="007E5D38" w:rsidP="003C6BA3">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005E4EEF" w14:textId="77777777" w:rsidR="007E5D38" w:rsidRPr="004B4498" w:rsidRDefault="007E5D38" w:rsidP="003C6BA3">
    <w:pPr>
      <w:pStyle w:val="PH"/>
      <w:pBdr>
        <w:bottom w:val="single" w:sz="4" w:space="1" w:color="auto"/>
      </w:pBdr>
      <w:spacing w:line="240" w:lineRule="auto"/>
      <w:rPr>
        <w:rFonts w:cs="Arial"/>
        <w:szCs w:val="24"/>
        <w:lang w:val="pl-PL"/>
      </w:rPr>
    </w:pPr>
    <w:r w:rsidRPr="004B4498">
      <w:rPr>
        <w:rFonts w:cs="Arial"/>
        <w:szCs w:val="24"/>
        <w:lang w:val="hr-HR"/>
      </w:rPr>
      <w:t xml:space="preserve">Izvještaj o novčanim tokovima </w:t>
    </w:r>
  </w:p>
  <w:p w14:paraId="3D06E4CA" w14:textId="77777777" w:rsidR="007E5D38" w:rsidRPr="004B4498" w:rsidRDefault="007E5D38" w:rsidP="00AB5E26">
    <w:pPr>
      <w:pStyle w:val="PH1"/>
      <w:pBdr>
        <w:bottom w:val="single" w:sz="4" w:space="1" w:color="auto"/>
      </w:pBdr>
      <w:spacing w:line="301" w:lineRule="atLeast"/>
      <w:rPr>
        <w:rFonts w:cs="Arial"/>
        <w:sz w:val="24"/>
        <w:szCs w:val="24"/>
        <w:lang w:val="pl-PL"/>
      </w:rPr>
    </w:pPr>
    <w:r w:rsidRPr="004B4498">
      <w:rPr>
        <w:rFonts w:cs="Arial"/>
        <w:sz w:val="24"/>
        <w:szCs w:val="24"/>
        <w:lang w:val="pl-PL"/>
      </w:rPr>
      <w:t>za godinu koja je završila 31. prosinca</w:t>
    </w:r>
  </w:p>
  <w:p w14:paraId="4C83FB8A" w14:textId="77777777" w:rsidR="007E5D38" w:rsidRPr="004B4498" w:rsidRDefault="007E5D38"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(Svi iznosi izraženi su u tisućama kuna)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3C43" w14:textId="77777777" w:rsidR="00AE4F61" w:rsidRPr="004B4498" w:rsidRDefault="00AE4F61" w:rsidP="00AE4F61">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7D0D8AC9" w14:textId="77777777" w:rsidR="00AE4F61" w:rsidRPr="004B4498" w:rsidRDefault="00AE4F61" w:rsidP="00AE4F61">
    <w:pPr>
      <w:pStyle w:val="PH"/>
      <w:pBdr>
        <w:bottom w:val="single" w:sz="4" w:space="1" w:color="auto"/>
      </w:pBdr>
      <w:spacing w:line="240" w:lineRule="auto"/>
      <w:rPr>
        <w:rFonts w:cs="Arial"/>
        <w:szCs w:val="24"/>
        <w:lang w:val="hr-HR"/>
      </w:rPr>
    </w:pPr>
    <w:r w:rsidRPr="004B4498">
      <w:rPr>
        <w:rFonts w:cs="Arial"/>
        <w:szCs w:val="24"/>
        <w:lang w:val="hr-HR"/>
      </w:rPr>
      <w:t>Izvještaj o promjenama na kapitalu i rezervama</w:t>
    </w:r>
  </w:p>
  <w:p w14:paraId="0B9246EB" w14:textId="77777777" w:rsidR="00AE4F61" w:rsidRPr="004B4498" w:rsidRDefault="00AE4F61" w:rsidP="00AE4F61">
    <w:pPr>
      <w:pStyle w:val="PH1"/>
      <w:pBdr>
        <w:bottom w:val="single" w:sz="4" w:space="1" w:color="auto"/>
      </w:pBdr>
      <w:spacing w:line="301" w:lineRule="atLeast"/>
      <w:rPr>
        <w:rFonts w:cs="Arial"/>
        <w:sz w:val="24"/>
        <w:szCs w:val="24"/>
        <w:lang w:val="hr-HR"/>
      </w:rPr>
    </w:pPr>
    <w:r w:rsidRPr="004B4498">
      <w:rPr>
        <w:rFonts w:cs="Arial"/>
        <w:sz w:val="24"/>
        <w:szCs w:val="24"/>
        <w:lang w:val="hr-HR"/>
      </w:rPr>
      <w:t>za godinu koja je završila 31. prosinca</w:t>
    </w:r>
  </w:p>
  <w:p w14:paraId="05B76FA1" w14:textId="77777777" w:rsidR="00AE4F61" w:rsidRPr="004B4498" w:rsidRDefault="00AE4F61" w:rsidP="00AE4F61">
    <w:pPr>
      <w:pStyle w:val="BodyText3"/>
      <w:pBdr>
        <w:bottom w:val="single" w:sz="4" w:space="1" w:color="auto"/>
      </w:pBdr>
      <w:spacing w:line="301" w:lineRule="atLeast"/>
      <w:rPr>
        <w:rFonts w:ascii="Arial" w:hAnsi="Arial" w:cs="Arial"/>
        <w:sz w:val="20"/>
        <w:lang w:val="hr-HR"/>
      </w:rPr>
    </w:pPr>
    <w:r w:rsidRPr="004B4498">
      <w:rPr>
        <w:rFonts w:ascii="Arial" w:hAnsi="Arial" w:cs="Arial"/>
        <w:sz w:val="20"/>
        <w:lang w:val="hr-HR"/>
      </w:rPr>
      <w:t>(Svi iznosi izraženi su u tisućama kuna)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C3AE5" w14:textId="77777777" w:rsidR="00103C06" w:rsidRPr="004B4498" w:rsidRDefault="00103C06" w:rsidP="00103C06">
    <w:pPr>
      <w:pStyle w:val="PH1"/>
      <w:pBdr>
        <w:bottom w:val="single" w:sz="4" w:space="1" w:color="auto"/>
      </w:pBdr>
      <w:spacing w:line="240" w:lineRule="auto"/>
      <w:rPr>
        <w:rFonts w:cs="Arial"/>
        <w:sz w:val="24"/>
        <w:szCs w:val="24"/>
        <w:lang w:val="pl-PL"/>
      </w:rPr>
    </w:pPr>
    <w:r w:rsidRPr="004B4498">
      <w:rPr>
        <w:rFonts w:cs="Arial"/>
        <w:sz w:val="24"/>
        <w:szCs w:val="24"/>
        <w:lang w:val="pl-PL"/>
      </w:rPr>
      <w:t>Odvojeni financijski izvještaji Banke</w:t>
    </w:r>
  </w:p>
  <w:p w14:paraId="1C3C1FBC" w14:textId="77777777" w:rsidR="00103C06" w:rsidRPr="004B4498" w:rsidRDefault="00103C06" w:rsidP="00103C06">
    <w:pPr>
      <w:pStyle w:val="PH1"/>
      <w:pBdr>
        <w:bottom w:val="single" w:sz="4" w:space="1" w:color="auto"/>
      </w:pBdr>
      <w:spacing w:line="240" w:lineRule="auto"/>
      <w:rPr>
        <w:rFonts w:cs="Arial"/>
        <w:sz w:val="24"/>
        <w:szCs w:val="24"/>
        <w:lang w:val="pl-PL"/>
      </w:rPr>
    </w:pPr>
    <w:r w:rsidRPr="004B4498">
      <w:rPr>
        <w:rFonts w:cs="Arial"/>
        <w:sz w:val="24"/>
        <w:szCs w:val="24"/>
        <w:lang w:val="pl-PL"/>
      </w:rPr>
      <w:t xml:space="preserve">Račun dobiti i gubitka </w:t>
    </w:r>
  </w:p>
  <w:p w14:paraId="499A4025" w14:textId="77777777" w:rsidR="00103C06" w:rsidRPr="004B4498" w:rsidRDefault="00103C06" w:rsidP="00103C06">
    <w:pPr>
      <w:pStyle w:val="PH1"/>
      <w:pBdr>
        <w:bottom w:val="single" w:sz="4" w:space="1" w:color="auto"/>
      </w:pBdr>
      <w:spacing w:line="301" w:lineRule="atLeast"/>
      <w:rPr>
        <w:rFonts w:cs="Arial"/>
        <w:sz w:val="24"/>
        <w:szCs w:val="24"/>
        <w:lang w:val="pl-PL"/>
      </w:rPr>
    </w:pPr>
    <w:r w:rsidRPr="004B4498">
      <w:rPr>
        <w:rFonts w:cs="Arial"/>
        <w:sz w:val="24"/>
        <w:szCs w:val="24"/>
        <w:lang w:val="pl-PL"/>
      </w:rPr>
      <w:t>za godinu koja je završila 31. prosinca</w:t>
    </w:r>
  </w:p>
  <w:p w14:paraId="3D9BA4E8" w14:textId="77777777" w:rsidR="00103C06" w:rsidRPr="004B4498" w:rsidRDefault="00103C06" w:rsidP="00103C0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(Svi iznosi izraženi su u tisućama kuna)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C211" w14:textId="77777777" w:rsidR="00D042BF" w:rsidRPr="004B4498" w:rsidRDefault="00D042BF" w:rsidP="00D042BF">
    <w:pPr>
      <w:pStyle w:val="PH1"/>
      <w:pBdr>
        <w:bottom w:val="single" w:sz="4" w:space="1" w:color="auto"/>
      </w:pBdr>
      <w:spacing w:line="240" w:lineRule="auto"/>
      <w:rPr>
        <w:rFonts w:cs="Arial"/>
        <w:sz w:val="24"/>
        <w:szCs w:val="24"/>
        <w:lang w:val="pl-PL"/>
      </w:rPr>
    </w:pPr>
    <w:r w:rsidRPr="004B4498">
      <w:rPr>
        <w:rFonts w:cs="Arial"/>
        <w:sz w:val="24"/>
        <w:szCs w:val="24"/>
        <w:lang w:val="pl-PL"/>
      </w:rPr>
      <w:t>Odvojeni financijski izvještaji Banke</w:t>
    </w:r>
  </w:p>
  <w:p w14:paraId="7ECABF31" w14:textId="77777777" w:rsidR="00D042BF" w:rsidRPr="004B4498" w:rsidRDefault="00D042BF" w:rsidP="00D042BF">
    <w:pPr>
      <w:pStyle w:val="PH"/>
      <w:pBdr>
        <w:bottom w:val="single" w:sz="4" w:space="1" w:color="auto"/>
      </w:pBdr>
      <w:spacing w:line="240" w:lineRule="auto"/>
      <w:rPr>
        <w:rFonts w:cs="Arial"/>
        <w:szCs w:val="24"/>
        <w:lang w:val="pl-PL"/>
      </w:rPr>
    </w:pPr>
    <w:r w:rsidRPr="004B4498">
      <w:rPr>
        <w:rFonts w:cs="Arial"/>
        <w:szCs w:val="24"/>
        <w:lang w:val="pl-PL"/>
      </w:rPr>
      <w:t xml:space="preserve">Izvještaj o dobiti i gubitku te ostaloj sveobuhvatnoj dobiti </w:t>
    </w:r>
  </w:p>
  <w:p w14:paraId="4315C3C5" w14:textId="77777777" w:rsidR="00D042BF" w:rsidRPr="004B4498" w:rsidRDefault="00D042BF" w:rsidP="00D042BF">
    <w:pPr>
      <w:pStyle w:val="PH"/>
      <w:pBdr>
        <w:bottom w:val="single" w:sz="4" w:space="1" w:color="auto"/>
      </w:pBdr>
      <w:rPr>
        <w:rFonts w:cs="Arial"/>
        <w:szCs w:val="24"/>
        <w:lang w:val="pl-PL"/>
      </w:rPr>
    </w:pPr>
    <w:r w:rsidRPr="004B4498">
      <w:rPr>
        <w:rFonts w:cs="Arial"/>
        <w:szCs w:val="24"/>
        <w:lang w:val="pl-PL"/>
      </w:rPr>
      <w:t>za godinu koja je završila 31. prosinca</w:t>
    </w:r>
  </w:p>
  <w:p w14:paraId="350437E8" w14:textId="77777777" w:rsidR="00D042BF" w:rsidRPr="004B4498" w:rsidRDefault="00D042BF" w:rsidP="00D042BF">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(Svi iznosi izraženi su u tisućama kuna)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BDB8E" w14:textId="77777777" w:rsidR="00D042BF" w:rsidRPr="004B4498" w:rsidRDefault="00D042BF" w:rsidP="00D042BF">
    <w:pPr>
      <w:pStyle w:val="PH1"/>
      <w:pBdr>
        <w:bottom w:val="single" w:sz="4" w:space="1" w:color="auto"/>
      </w:pBdr>
      <w:spacing w:line="240" w:lineRule="auto"/>
      <w:rPr>
        <w:rFonts w:cs="Arial"/>
        <w:sz w:val="24"/>
        <w:szCs w:val="24"/>
        <w:lang w:val="pl-PL"/>
      </w:rPr>
    </w:pPr>
    <w:r w:rsidRPr="004B4498">
      <w:rPr>
        <w:rFonts w:cs="Arial"/>
        <w:sz w:val="24"/>
        <w:szCs w:val="24"/>
        <w:lang w:val="pl-PL"/>
      </w:rPr>
      <w:t>Odvojeni financijski izvještaji Banke</w:t>
    </w:r>
  </w:p>
  <w:p w14:paraId="4092A689" w14:textId="77777777" w:rsidR="00D042BF" w:rsidRPr="004B4498" w:rsidRDefault="00D042BF" w:rsidP="00D042BF">
    <w:pPr>
      <w:pStyle w:val="PH"/>
      <w:pBdr>
        <w:bottom w:val="single" w:sz="4" w:space="1" w:color="auto"/>
      </w:pBdr>
      <w:spacing w:line="240" w:lineRule="auto"/>
      <w:rPr>
        <w:rFonts w:cs="Arial"/>
        <w:szCs w:val="24"/>
        <w:lang w:val="pl-PL"/>
      </w:rPr>
    </w:pPr>
    <w:r w:rsidRPr="004B4498">
      <w:rPr>
        <w:rFonts w:cs="Arial"/>
        <w:szCs w:val="24"/>
        <w:lang w:val="hr-HR"/>
      </w:rPr>
      <w:t xml:space="preserve">Izvještaj o financijskom položaju </w:t>
    </w:r>
  </w:p>
  <w:p w14:paraId="550BA857" w14:textId="77777777" w:rsidR="00D042BF" w:rsidRPr="004B4498" w:rsidRDefault="00D042BF" w:rsidP="00D042BF">
    <w:pPr>
      <w:pStyle w:val="PH"/>
      <w:pBdr>
        <w:bottom w:val="single" w:sz="4" w:space="1" w:color="auto"/>
      </w:pBdr>
      <w:rPr>
        <w:rFonts w:cs="Arial"/>
        <w:szCs w:val="24"/>
        <w:lang w:val="pl-PL"/>
      </w:rPr>
    </w:pPr>
    <w:r w:rsidRPr="004B4498">
      <w:rPr>
        <w:rFonts w:cs="Arial"/>
        <w:szCs w:val="24"/>
        <w:lang w:val="pl-PL"/>
      </w:rPr>
      <w:t>na dan 31. prosinca</w:t>
    </w:r>
  </w:p>
  <w:p w14:paraId="3B45F1E4" w14:textId="77777777" w:rsidR="00D042BF" w:rsidRPr="004B4498" w:rsidRDefault="00D042BF" w:rsidP="00D042BF">
    <w:pPr>
      <w:pStyle w:val="PH"/>
      <w:pBdr>
        <w:bottom w:val="single" w:sz="4" w:space="1" w:color="auto"/>
      </w:pBdr>
      <w:rPr>
        <w:rFonts w:cs="Arial"/>
        <w:sz w:val="20"/>
        <w:lang w:val="pl-PL"/>
      </w:rPr>
    </w:pPr>
    <w:r w:rsidRPr="004B4498">
      <w:rPr>
        <w:rFonts w:cs="Arial"/>
        <w:sz w:val="20"/>
        <w:lang w:val="pl-PL"/>
      </w:rPr>
      <w:t>(Svi iznosi izraženi su u tisućama kuna)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6FAC7" w14:textId="1D89E562" w:rsidR="00D042BF" w:rsidRPr="004B4498" w:rsidRDefault="00D042BF" w:rsidP="00D042BF">
    <w:pPr>
      <w:pStyle w:val="PH1"/>
      <w:pBdr>
        <w:bottom w:val="single" w:sz="4" w:space="1" w:color="auto"/>
      </w:pBdr>
      <w:spacing w:line="240" w:lineRule="auto"/>
      <w:rPr>
        <w:rFonts w:cs="Arial"/>
        <w:sz w:val="24"/>
        <w:szCs w:val="24"/>
        <w:lang w:val="pl-PL"/>
      </w:rPr>
    </w:pPr>
    <w:r>
      <w:rPr>
        <w:rFonts w:cs="Arial"/>
        <w:sz w:val="24"/>
        <w:szCs w:val="24"/>
        <w:lang w:val="pl-PL"/>
      </w:rPr>
      <w:t>O</w:t>
    </w:r>
    <w:r w:rsidRPr="004B4498">
      <w:rPr>
        <w:rFonts w:cs="Arial"/>
        <w:sz w:val="24"/>
        <w:szCs w:val="24"/>
        <w:lang w:val="pl-PL"/>
      </w:rPr>
      <w:t>dvojeni financijski izvještaji Banke</w:t>
    </w:r>
  </w:p>
  <w:p w14:paraId="689F67F4" w14:textId="77777777" w:rsidR="00D042BF" w:rsidRPr="004B4498" w:rsidRDefault="00D042BF" w:rsidP="00D042BF">
    <w:pPr>
      <w:pStyle w:val="PH"/>
      <w:pBdr>
        <w:bottom w:val="single" w:sz="4" w:space="1" w:color="auto"/>
      </w:pBdr>
      <w:spacing w:line="240" w:lineRule="auto"/>
      <w:rPr>
        <w:rFonts w:cs="Arial"/>
        <w:szCs w:val="24"/>
        <w:lang w:val="hr-HR"/>
      </w:rPr>
    </w:pPr>
    <w:r w:rsidRPr="004B4498">
      <w:rPr>
        <w:rFonts w:cs="Arial"/>
        <w:szCs w:val="24"/>
        <w:lang w:val="hr-HR"/>
      </w:rPr>
      <w:t xml:space="preserve">Izvještaj o novčanim tokovima </w:t>
    </w:r>
  </w:p>
  <w:p w14:paraId="4663E1CE" w14:textId="77777777" w:rsidR="00D042BF" w:rsidRPr="004B4498" w:rsidRDefault="00D042BF" w:rsidP="00D042BF">
    <w:pPr>
      <w:pStyle w:val="PH"/>
      <w:pBdr>
        <w:bottom w:val="single" w:sz="4" w:space="1" w:color="auto"/>
      </w:pBdr>
      <w:rPr>
        <w:rFonts w:cs="Arial"/>
        <w:szCs w:val="24"/>
        <w:lang w:val="pl-PL"/>
      </w:rPr>
    </w:pPr>
    <w:r w:rsidRPr="004B4498">
      <w:rPr>
        <w:rFonts w:cs="Arial"/>
        <w:szCs w:val="24"/>
        <w:lang w:val="pl-PL"/>
      </w:rPr>
      <w:t>za godinu koja je završila 31. prosinca</w:t>
    </w:r>
  </w:p>
  <w:p w14:paraId="00DA7C0C" w14:textId="77777777" w:rsidR="00D042BF" w:rsidRPr="004B4498" w:rsidRDefault="00D042BF" w:rsidP="00D042BF">
    <w:pPr>
      <w:pStyle w:val="PH"/>
      <w:pBdr>
        <w:bottom w:val="single" w:sz="4" w:space="1" w:color="auto"/>
      </w:pBdr>
      <w:rPr>
        <w:rFonts w:cs="Arial"/>
        <w:sz w:val="20"/>
        <w:lang w:val="pl-PL"/>
      </w:rPr>
    </w:pPr>
    <w:r w:rsidRPr="004B4498">
      <w:rPr>
        <w:rFonts w:cs="Arial"/>
        <w:sz w:val="20"/>
        <w:lang w:val="pl-PL"/>
      </w:rPr>
      <w:t>(Svi iznosi izraženi su u tisućama kuna)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E92EF" w14:textId="77777777" w:rsidR="00D042BF" w:rsidRPr="004B4498" w:rsidRDefault="00D042BF" w:rsidP="00D042BF">
    <w:pPr>
      <w:pStyle w:val="PH1"/>
      <w:pBdr>
        <w:bottom w:val="single" w:sz="4" w:space="1" w:color="auto"/>
      </w:pBdr>
      <w:spacing w:line="240" w:lineRule="auto"/>
      <w:rPr>
        <w:rFonts w:cs="Arial"/>
        <w:sz w:val="24"/>
        <w:szCs w:val="24"/>
        <w:lang w:val="pl-PL"/>
      </w:rPr>
    </w:pPr>
    <w:r w:rsidRPr="004B4498">
      <w:rPr>
        <w:rFonts w:cs="Arial"/>
        <w:sz w:val="24"/>
        <w:szCs w:val="24"/>
        <w:lang w:val="pl-PL"/>
      </w:rPr>
      <w:t>Odvojeni financijski izvještaji Banke</w:t>
    </w:r>
  </w:p>
  <w:p w14:paraId="6E77B3B0" w14:textId="77777777" w:rsidR="00D042BF" w:rsidRPr="004B4498" w:rsidRDefault="00D042BF" w:rsidP="00D042BF">
    <w:pPr>
      <w:pStyle w:val="PH"/>
      <w:pBdr>
        <w:bottom w:val="single" w:sz="4" w:space="1" w:color="auto"/>
      </w:pBdr>
      <w:spacing w:line="240" w:lineRule="auto"/>
      <w:rPr>
        <w:rFonts w:cs="Arial"/>
        <w:szCs w:val="24"/>
        <w:lang w:val="hr-HR"/>
      </w:rPr>
    </w:pPr>
    <w:r w:rsidRPr="004B4498">
      <w:rPr>
        <w:rFonts w:cs="Arial"/>
        <w:szCs w:val="24"/>
        <w:lang w:val="hr-HR"/>
      </w:rPr>
      <w:t xml:space="preserve">Izvještaj o promjenama na kapitalu i rezervama </w:t>
    </w:r>
  </w:p>
  <w:p w14:paraId="0135511D" w14:textId="77777777" w:rsidR="00D042BF" w:rsidRPr="004B4498" w:rsidRDefault="00D042BF" w:rsidP="00D042BF">
    <w:pPr>
      <w:pStyle w:val="PH"/>
      <w:pBdr>
        <w:bottom w:val="single" w:sz="4" w:space="1" w:color="auto"/>
      </w:pBdr>
      <w:rPr>
        <w:rFonts w:cs="Arial"/>
        <w:szCs w:val="24"/>
        <w:lang w:val="hr-HR"/>
      </w:rPr>
    </w:pPr>
    <w:r w:rsidRPr="004B4498">
      <w:rPr>
        <w:rFonts w:cs="Arial"/>
        <w:szCs w:val="24"/>
        <w:lang w:val="hr-HR"/>
      </w:rPr>
      <w:t>za godinu koja je završila 31. prosinca</w:t>
    </w:r>
  </w:p>
  <w:p w14:paraId="757587D8" w14:textId="77777777" w:rsidR="00D042BF" w:rsidRPr="004B4498" w:rsidRDefault="00D042BF" w:rsidP="00D042BF">
    <w:pPr>
      <w:pStyle w:val="PH"/>
      <w:pBdr>
        <w:bottom w:val="single" w:sz="4" w:space="1" w:color="auto"/>
      </w:pBdr>
      <w:rPr>
        <w:rFonts w:cs="Arial"/>
        <w:sz w:val="20"/>
        <w:lang w:val="hr-HR"/>
      </w:rPr>
    </w:pPr>
    <w:r w:rsidRPr="004B4498">
      <w:rPr>
        <w:rFonts w:cs="Arial"/>
        <w:sz w:val="20"/>
        <w:lang w:val="hr-HR"/>
      </w:rPr>
      <w:t>(Svi iznosi izraženi su u tisućama kuna)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DC4AC" w14:textId="77777777" w:rsidR="004E2F51" w:rsidRDefault="004E2F51" w:rsidP="008B0750">
    <w:pPr>
      <w:pStyle w:val="PH1"/>
      <w:pBdr>
        <w:bottom w:val="single" w:sz="4" w:space="1" w:color="auto"/>
      </w:pBdr>
      <w:spacing w:line="360" w:lineRule="auto"/>
      <w:rPr>
        <w:rFonts w:cs="Arial"/>
        <w:sz w:val="24"/>
        <w:lang w:val="pl-PL"/>
      </w:rPr>
    </w:pPr>
    <w:r>
      <w:rPr>
        <w:rFonts w:cs="Arial"/>
        <w:sz w:val="24"/>
        <w:lang w:val="pl-PL"/>
      </w:rPr>
      <w:t>Bilješke uz financijske izvještaje</w:t>
    </w:r>
  </w:p>
  <w:p w14:paraId="693ECF14" w14:textId="77777777" w:rsidR="004E2F51" w:rsidRDefault="004E2F51"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14:paraId="299B0EE1" w14:textId="77777777" w:rsidR="004E2F51" w:rsidRPr="00555641" w:rsidRDefault="004E2F51" w:rsidP="00555641">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4B06" w14:textId="77777777" w:rsidR="004E2F51" w:rsidRPr="004B4498" w:rsidRDefault="004E2F51" w:rsidP="003C6BA3">
    <w:pPr>
      <w:pStyle w:val="BodyText3"/>
      <w:pBdr>
        <w:bottom w:val="single" w:sz="4" w:space="1" w:color="auto"/>
      </w:pBdr>
      <w:rPr>
        <w:rFonts w:ascii="Arial" w:hAnsi="Arial" w:cs="Arial"/>
        <w:spacing w:val="0"/>
        <w:sz w:val="24"/>
        <w:szCs w:val="24"/>
        <w:lang w:val="hr-HR"/>
      </w:rPr>
    </w:pPr>
    <w:r w:rsidRPr="004B4498">
      <w:rPr>
        <w:rFonts w:ascii="Arial" w:hAnsi="Arial" w:cs="Arial"/>
        <w:spacing w:val="0"/>
        <w:sz w:val="24"/>
        <w:szCs w:val="24"/>
        <w:lang w:val="hr-HR"/>
      </w:rPr>
      <w:t>Bilješke uz financijske izvještaje</w:t>
    </w:r>
  </w:p>
  <w:p w14:paraId="7FF227A0" w14:textId="77777777" w:rsidR="004E2F51" w:rsidRPr="004B4498" w:rsidRDefault="004E2F51" w:rsidP="00AB5E26">
    <w:pPr>
      <w:pStyle w:val="BodyText3"/>
      <w:pBdr>
        <w:bottom w:val="single" w:sz="4" w:space="1" w:color="auto"/>
      </w:pBdr>
      <w:spacing w:line="301" w:lineRule="atLeast"/>
      <w:rPr>
        <w:rFonts w:ascii="Arial" w:hAnsi="Arial" w:cs="Arial"/>
        <w:spacing w:val="0"/>
        <w:sz w:val="24"/>
        <w:szCs w:val="24"/>
        <w:lang w:val="hr-HR"/>
      </w:rPr>
    </w:pPr>
    <w:r w:rsidRPr="004B4498">
      <w:rPr>
        <w:rFonts w:ascii="Arial" w:hAnsi="Arial" w:cs="Arial"/>
        <w:spacing w:val="0"/>
        <w:sz w:val="24"/>
        <w:szCs w:val="24"/>
        <w:lang w:val="hr-HR"/>
      </w:rPr>
      <w:t>za godinu koja je završila 31. prosinca 202</w:t>
    </w:r>
    <w:r>
      <w:rPr>
        <w:rFonts w:ascii="Arial" w:hAnsi="Arial" w:cs="Arial"/>
        <w:spacing w:val="0"/>
        <w:sz w:val="24"/>
        <w:szCs w:val="24"/>
        <w:lang w:val="hr-HR"/>
      </w:rPr>
      <w:t>2</w:t>
    </w:r>
    <w:r w:rsidRPr="004B4498">
      <w:rPr>
        <w:rFonts w:ascii="Arial" w:hAnsi="Arial" w:cs="Arial"/>
        <w:spacing w:val="0"/>
        <w:sz w:val="24"/>
        <w:szCs w:val="24"/>
        <w:lang w:val="hr-HR"/>
      </w:rPr>
      <w:t>.</w:t>
    </w:r>
  </w:p>
  <w:p w14:paraId="07E72E79" w14:textId="77777777" w:rsidR="004E2F51" w:rsidRPr="004B4498" w:rsidRDefault="004E2F51"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(Svi iznosi izraženi su u tisućama kuna)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7EDBA" w14:textId="77777777" w:rsidR="004E2F51" w:rsidRDefault="004E2F51" w:rsidP="008B0750">
    <w:pPr>
      <w:pStyle w:val="PH1"/>
      <w:pBdr>
        <w:bottom w:val="single" w:sz="4" w:space="1" w:color="auto"/>
      </w:pBdr>
      <w:spacing w:line="360" w:lineRule="auto"/>
      <w:rPr>
        <w:rFonts w:cs="Arial"/>
        <w:sz w:val="24"/>
        <w:lang w:val="pl-PL"/>
      </w:rPr>
    </w:pPr>
    <w:r>
      <w:rPr>
        <w:rFonts w:cs="Arial"/>
        <w:sz w:val="24"/>
        <w:lang w:val="pl-PL"/>
      </w:rPr>
      <w:t>Bilješke uz financijske izvještaje (nastavak)</w:t>
    </w:r>
  </w:p>
  <w:p w14:paraId="04A7C347" w14:textId="77777777" w:rsidR="004E2F51" w:rsidRDefault="004E2F51" w:rsidP="008B0750">
    <w:pPr>
      <w:pStyle w:val="PH1"/>
      <w:pBdr>
        <w:bottom w:val="single" w:sz="4" w:space="1" w:color="auto"/>
      </w:pBdr>
      <w:spacing w:line="360" w:lineRule="auto"/>
      <w:rPr>
        <w:rFonts w:cs="Arial"/>
        <w:sz w:val="24"/>
        <w:lang w:val="pl-PL"/>
      </w:rPr>
    </w:pPr>
    <w:r>
      <w:rPr>
        <w:rFonts w:cs="Arial"/>
        <w:sz w:val="24"/>
        <w:lang w:val="pl-PL"/>
      </w:rPr>
      <w:t>za godinu koja je završila 31. prosinca 2011.</w:t>
    </w:r>
    <w:r w:rsidRPr="00C87849">
      <w:rPr>
        <w:rFonts w:cs="Arial"/>
        <w:sz w:val="24"/>
        <w:lang w:val="pl-PL"/>
      </w:rPr>
      <w:t xml:space="preserve"> godin</w:t>
    </w:r>
    <w:r>
      <w:rPr>
        <w:rFonts w:cs="Arial"/>
        <w:sz w:val="24"/>
        <w:lang w:val="pl-PL"/>
      </w:rPr>
      <w:t xml:space="preserve">e </w:t>
    </w:r>
  </w:p>
  <w:p w14:paraId="32FB31F1" w14:textId="77777777" w:rsidR="004E2F51" w:rsidRPr="00555641" w:rsidRDefault="004E2F51" w:rsidP="00555641">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F3982" w14:textId="0D1E0417" w:rsidR="00804BFE" w:rsidRPr="00804BFE" w:rsidRDefault="00804BFE" w:rsidP="00804BFE">
    <w:pPr>
      <w:pStyle w:val="PH"/>
      <w:pBdr>
        <w:bottom w:val="single" w:sz="4" w:space="1" w:color="auto"/>
      </w:pBdr>
      <w:ind w:right="4"/>
      <w:rPr>
        <w:rFonts w:cs="Arial"/>
        <w:szCs w:val="24"/>
        <w:lang w:val="hr-HR"/>
      </w:rPr>
    </w:pPr>
    <w:bookmarkStart w:id="86" w:name="_Hlk130201254"/>
    <w:bookmarkStart w:id="87" w:name="_Hlk130201255"/>
    <w:bookmarkStart w:id="88" w:name="_Hlk130202250"/>
    <w:bookmarkStart w:id="89" w:name="_Hlk130202251"/>
    <w:bookmarkStart w:id="90" w:name="_Hlk130202261"/>
    <w:bookmarkStart w:id="91" w:name="_Hlk130202262"/>
    <w:r w:rsidRPr="00BA7D49">
      <w:rPr>
        <w:rFonts w:cs="Arial"/>
        <w:szCs w:val="24"/>
        <w:lang w:val="hr-HR"/>
      </w:rPr>
      <w:t>Odgovornosti Uprave i Nadzornog odbora za pripremu i prihvaćanje odvojenih i konsolidiranih financijskih izvještaja</w:t>
    </w:r>
    <w:bookmarkEnd w:id="86"/>
    <w:bookmarkEnd w:id="87"/>
    <w:bookmarkEnd w:id="88"/>
    <w:bookmarkEnd w:id="89"/>
    <w:bookmarkEnd w:id="90"/>
    <w:bookmarkEnd w:id="91"/>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16B1" w14:textId="77777777" w:rsidR="004E2F51" w:rsidRPr="004B4498" w:rsidRDefault="004E2F51" w:rsidP="003C6BA3">
    <w:pPr>
      <w:pStyle w:val="BodyText3"/>
      <w:pBdr>
        <w:bottom w:val="single" w:sz="4" w:space="1" w:color="auto"/>
      </w:pBdr>
      <w:rPr>
        <w:rFonts w:ascii="Arial" w:hAnsi="Arial" w:cs="Arial"/>
        <w:spacing w:val="0"/>
        <w:sz w:val="24"/>
        <w:szCs w:val="24"/>
        <w:lang w:val="hr-HR"/>
      </w:rPr>
    </w:pPr>
    <w:r w:rsidRPr="004B4498">
      <w:rPr>
        <w:rFonts w:ascii="Arial" w:hAnsi="Arial" w:cs="Arial"/>
        <w:spacing w:val="0"/>
        <w:sz w:val="24"/>
        <w:szCs w:val="24"/>
        <w:lang w:val="hr-HR"/>
      </w:rPr>
      <w:t xml:space="preserve">Bilješke uz financijske izvještaje koje obuhvaćaju važne računovodstvene politike i druga objašnjenja </w:t>
    </w:r>
  </w:p>
  <w:p w14:paraId="11B564E3" w14:textId="77777777" w:rsidR="004E2F51" w:rsidRPr="004B4498" w:rsidRDefault="004E2F51" w:rsidP="00AB5E26">
    <w:pPr>
      <w:pStyle w:val="BodyText3"/>
      <w:pBdr>
        <w:bottom w:val="single" w:sz="4" w:space="1" w:color="auto"/>
      </w:pBdr>
      <w:spacing w:line="301" w:lineRule="atLeast"/>
      <w:rPr>
        <w:rFonts w:ascii="Arial" w:hAnsi="Arial" w:cs="Arial"/>
        <w:spacing w:val="0"/>
        <w:sz w:val="24"/>
        <w:szCs w:val="24"/>
        <w:lang w:val="hr-HR"/>
      </w:rPr>
    </w:pPr>
    <w:r w:rsidRPr="004B4498">
      <w:rPr>
        <w:rFonts w:ascii="Arial" w:hAnsi="Arial" w:cs="Arial"/>
        <w:spacing w:val="0"/>
        <w:sz w:val="24"/>
        <w:szCs w:val="24"/>
        <w:lang w:val="hr-HR"/>
      </w:rPr>
      <w:t>za godinu koja je završila 31. prosinca 202</w:t>
    </w:r>
    <w:r>
      <w:rPr>
        <w:rFonts w:ascii="Arial" w:hAnsi="Arial" w:cs="Arial"/>
        <w:spacing w:val="0"/>
        <w:sz w:val="24"/>
        <w:szCs w:val="24"/>
        <w:lang w:val="hr-HR"/>
      </w:rPr>
      <w:t>2</w:t>
    </w:r>
    <w:r w:rsidRPr="004B4498">
      <w:rPr>
        <w:rFonts w:ascii="Arial" w:hAnsi="Arial" w:cs="Arial"/>
        <w:spacing w:val="0"/>
        <w:sz w:val="24"/>
        <w:szCs w:val="24"/>
        <w:lang w:val="hr-HR"/>
      </w:rPr>
      <w:t>. (nastavak)</w:t>
    </w:r>
  </w:p>
  <w:p w14:paraId="76EC111C" w14:textId="77777777" w:rsidR="004E2F51" w:rsidRPr="004B4498" w:rsidRDefault="004E2F51"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(Svi iznosi izraženi su u tisućama kuna)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F3CC6" w14:textId="77777777" w:rsidR="004E2F51" w:rsidRPr="00306935" w:rsidRDefault="004E2F51" w:rsidP="00306935">
    <w:pPr>
      <w:pStyle w:val="PH"/>
      <w:pBdr>
        <w:bottom w:val="single" w:sz="4" w:space="0" w:color="auto"/>
      </w:pBdr>
      <w:spacing w:line="240" w:lineRule="auto"/>
      <w:rPr>
        <w:rFonts w:cs="Arial"/>
        <w:szCs w:val="24"/>
        <w:lang w:val="hr-HR"/>
      </w:rPr>
    </w:pPr>
    <w:r w:rsidRPr="00306935">
      <w:rPr>
        <w:rFonts w:cs="Arial"/>
        <w:szCs w:val="24"/>
        <w:lang w:val="hr-HR"/>
      </w:rPr>
      <w:t xml:space="preserve">Dodatak uz financijske izvještaje – Financijsko poslovanje Grupe HKO </w:t>
    </w:r>
  </w:p>
  <w:p w14:paraId="38DB621B" w14:textId="77777777" w:rsidR="004E2F51" w:rsidRPr="00306935" w:rsidRDefault="004E2F51" w:rsidP="00306935">
    <w:pPr>
      <w:pStyle w:val="PH"/>
      <w:pBdr>
        <w:bottom w:val="single" w:sz="4" w:space="0" w:color="auto"/>
      </w:pBdr>
      <w:spacing w:line="240" w:lineRule="auto"/>
      <w:rPr>
        <w:rFonts w:cs="Arial"/>
        <w:szCs w:val="24"/>
        <w:lang w:val="hr-HR"/>
      </w:rPr>
    </w:pPr>
    <w:r w:rsidRPr="00306935">
      <w:rPr>
        <w:rFonts w:cs="Arial"/>
        <w:szCs w:val="24"/>
        <w:lang w:val="hr-HR"/>
      </w:rPr>
      <w:t>Izvještaj o dobiti i gubitku te ostaloj sveobuhvatnoj dobiti</w:t>
    </w:r>
  </w:p>
  <w:p w14:paraId="534F680B" w14:textId="77777777" w:rsidR="004E2F51" w:rsidRPr="00306935" w:rsidRDefault="004E2F51" w:rsidP="00306935">
    <w:pPr>
      <w:pStyle w:val="PH"/>
      <w:pBdr>
        <w:bottom w:val="single" w:sz="4" w:space="0" w:color="auto"/>
      </w:pBdr>
      <w:spacing w:line="240" w:lineRule="auto"/>
      <w:rPr>
        <w:rFonts w:cs="Arial"/>
        <w:szCs w:val="24"/>
        <w:lang w:val="hr-HR"/>
      </w:rPr>
    </w:pPr>
    <w:r w:rsidRPr="00306935">
      <w:rPr>
        <w:rFonts w:cs="Arial"/>
        <w:szCs w:val="24"/>
        <w:lang w:val="hr-HR"/>
      </w:rPr>
      <w:t xml:space="preserve">za godinu koja je završila 31. prosinca </w:t>
    </w:r>
  </w:p>
  <w:p w14:paraId="28575DB7" w14:textId="77777777" w:rsidR="004E2F51" w:rsidRPr="00306935" w:rsidRDefault="004E2F51" w:rsidP="007E056A">
    <w:pPr>
      <w:pStyle w:val="PH"/>
      <w:pBdr>
        <w:bottom w:val="single" w:sz="4" w:space="0" w:color="auto"/>
      </w:pBdr>
      <w:spacing w:line="400" w:lineRule="exact"/>
      <w:rPr>
        <w:rFonts w:asciiTheme="minorHAnsi" w:hAnsiTheme="minorHAnsi"/>
        <w:sz w:val="20"/>
        <w:lang w:val="hr-HR"/>
      </w:rPr>
    </w:pPr>
    <w:r w:rsidRPr="00306935">
      <w:rPr>
        <w:rFonts w:asciiTheme="minorHAnsi" w:hAnsiTheme="minorHAnsi" w:cs="Arial"/>
        <w:sz w:val="20"/>
        <w:lang w:val="pl-PL"/>
      </w:rPr>
      <w:t>(Svi iznosi izraženi su u tisućama kuna)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FA45" w14:textId="77777777" w:rsidR="004E2F51" w:rsidRPr="00306935" w:rsidRDefault="004E2F51" w:rsidP="00306935">
    <w:pPr>
      <w:pStyle w:val="PH"/>
      <w:pBdr>
        <w:bottom w:val="single" w:sz="4" w:space="0" w:color="auto"/>
      </w:pBdr>
      <w:spacing w:line="240" w:lineRule="auto"/>
      <w:rPr>
        <w:rFonts w:cs="Arial"/>
        <w:szCs w:val="24"/>
        <w:lang w:val="hr-HR"/>
      </w:rPr>
    </w:pPr>
    <w:r w:rsidRPr="00306935">
      <w:rPr>
        <w:rFonts w:cs="Arial"/>
        <w:szCs w:val="24"/>
        <w:lang w:val="hr-HR"/>
      </w:rPr>
      <w:t xml:space="preserve">Dodatak uz financijske izvještaje – Financijsko poslovanje Grupe HKO </w:t>
    </w:r>
  </w:p>
  <w:p w14:paraId="4647E575" w14:textId="77777777" w:rsidR="004E2F51" w:rsidRPr="00306935" w:rsidRDefault="004E2F51" w:rsidP="00306935">
    <w:pPr>
      <w:pStyle w:val="PH"/>
      <w:pBdr>
        <w:bottom w:val="single" w:sz="4" w:space="0" w:color="auto"/>
      </w:pBdr>
      <w:spacing w:line="240" w:lineRule="auto"/>
      <w:rPr>
        <w:rFonts w:cs="Arial"/>
        <w:szCs w:val="24"/>
        <w:lang w:val="hr-HR"/>
      </w:rPr>
    </w:pPr>
    <w:r w:rsidRPr="00306935">
      <w:rPr>
        <w:rFonts w:cs="Arial"/>
        <w:szCs w:val="24"/>
        <w:lang w:val="hr-HR"/>
      </w:rPr>
      <w:t>Izvještaj o financijskom položaju</w:t>
    </w:r>
  </w:p>
  <w:p w14:paraId="4F3AA2C7" w14:textId="77777777" w:rsidR="004E2F51" w:rsidRPr="00306935" w:rsidRDefault="004E2F51" w:rsidP="00306935">
    <w:pPr>
      <w:pStyle w:val="PH"/>
      <w:pBdr>
        <w:bottom w:val="single" w:sz="4" w:space="0" w:color="auto"/>
      </w:pBdr>
      <w:spacing w:line="240" w:lineRule="auto"/>
      <w:rPr>
        <w:rFonts w:cs="Arial"/>
        <w:szCs w:val="24"/>
        <w:lang w:val="hr-HR"/>
      </w:rPr>
    </w:pPr>
    <w:r w:rsidRPr="00306935">
      <w:rPr>
        <w:rFonts w:cs="Arial"/>
        <w:szCs w:val="24"/>
        <w:lang w:val="hr-HR"/>
      </w:rPr>
      <w:t xml:space="preserve">na dan 31. prosinca </w:t>
    </w:r>
  </w:p>
  <w:p w14:paraId="17838E01" w14:textId="77777777" w:rsidR="004E2F51" w:rsidRPr="00306935" w:rsidRDefault="004E2F51" w:rsidP="007F0E1B">
    <w:pPr>
      <w:pStyle w:val="BodyText3"/>
      <w:pBdr>
        <w:bottom w:val="single" w:sz="4" w:space="0" w:color="auto"/>
      </w:pBdr>
      <w:spacing w:line="400" w:lineRule="exact"/>
      <w:rPr>
        <w:rFonts w:ascii="Arial" w:hAnsi="Arial" w:cs="Arial"/>
        <w:sz w:val="20"/>
        <w:lang w:val="pl-PL"/>
      </w:rPr>
    </w:pPr>
    <w:r w:rsidRPr="00306935">
      <w:rPr>
        <w:rFonts w:ascii="Arial" w:hAnsi="Arial" w:cs="Arial"/>
        <w:sz w:val="20"/>
        <w:lang w:val="pl-PL"/>
      </w:rPr>
      <w:t>(Svi iznosi izraženi su u tisućama kuna)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8BA9" w14:textId="77777777" w:rsidR="004E2F51" w:rsidRPr="00306935" w:rsidRDefault="004E2F51" w:rsidP="00306935">
    <w:pPr>
      <w:pStyle w:val="PH"/>
      <w:pBdr>
        <w:bottom w:val="single" w:sz="4" w:space="0" w:color="auto"/>
      </w:pBdr>
      <w:spacing w:line="240" w:lineRule="auto"/>
      <w:rPr>
        <w:rFonts w:cs="Arial"/>
        <w:szCs w:val="24"/>
        <w:lang w:val="hr-HR"/>
      </w:rPr>
    </w:pPr>
    <w:r w:rsidRPr="00306935">
      <w:rPr>
        <w:rFonts w:cs="Arial"/>
        <w:szCs w:val="24"/>
        <w:lang w:val="hr-HR"/>
      </w:rPr>
      <w:t xml:space="preserve">Dodatak uz financijske izvještaje – Financijsko poslovanje Grupe HKO </w:t>
    </w:r>
  </w:p>
  <w:p w14:paraId="17D391DD" w14:textId="77777777" w:rsidR="004E2F51" w:rsidRPr="00306935" w:rsidRDefault="004E2F51" w:rsidP="00306935">
    <w:pPr>
      <w:pStyle w:val="PH"/>
      <w:pBdr>
        <w:bottom w:val="single" w:sz="4" w:space="0" w:color="auto"/>
      </w:pBdr>
      <w:spacing w:line="240" w:lineRule="auto"/>
      <w:rPr>
        <w:rFonts w:cs="Arial"/>
        <w:szCs w:val="24"/>
        <w:lang w:val="hr-HR"/>
      </w:rPr>
    </w:pPr>
    <w:r w:rsidRPr="00306935">
      <w:rPr>
        <w:rFonts w:cs="Arial"/>
        <w:szCs w:val="24"/>
        <w:lang w:val="hr-HR"/>
      </w:rPr>
      <w:t>Izvještaj o novčanim tokovima</w:t>
    </w:r>
  </w:p>
  <w:p w14:paraId="2A8F78FE" w14:textId="77777777" w:rsidR="004E2F51" w:rsidRPr="00306935" w:rsidRDefault="004E2F51" w:rsidP="00306935">
    <w:pPr>
      <w:pStyle w:val="PH"/>
      <w:pBdr>
        <w:bottom w:val="single" w:sz="4" w:space="0" w:color="auto"/>
      </w:pBdr>
      <w:spacing w:line="240" w:lineRule="auto"/>
      <w:rPr>
        <w:rFonts w:cs="Arial"/>
        <w:szCs w:val="24"/>
        <w:lang w:val="hr-HR"/>
      </w:rPr>
    </w:pPr>
    <w:r w:rsidRPr="00306935">
      <w:rPr>
        <w:rFonts w:cs="Arial"/>
        <w:szCs w:val="24"/>
        <w:lang w:val="hr-HR"/>
      </w:rPr>
      <w:t xml:space="preserve">za godinu koja je završila 31. prosinca </w:t>
    </w:r>
  </w:p>
  <w:p w14:paraId="5D217A78" w14:textId="77777777" w:rsidR="004E2F51" w:rsidRPr="00306935" w:rsidRDefault="004E2F51" w:rsidP="007F0E1B">
    <w:pPr>
      <w:pStyle w:val="BodyText3"/>
      <w:pBdr>
        <w:bottom w:val="single" w:sz="4" w:space="0" w:color="auto"/>
      </w:pBdr>
      <w:spacing w:line="400" w:lineRule="exact"/>
      <w:rPr>
        <w:rFonts w:ascii="Arial" w:hAnsi="Arial" w:cs="Arial"/>
        <w:sz w:val="20"/>
        <w:lang w:val="pl-PL"/>
      </w:rPr>
    </w:pPr>
    <w:r w:rsidRPr="00306935">
      <w:rPr>
        <w:rFonts w:ascii="Arial" w:hAnsi="Arial" w:cs="Arial"/>
        <w:sz w:val="20"/>
        <w:lang w:val="pl-PL"/>
      </w:rPr>
      <w:t>(Svi iznosi izraženi su u tisućama kuna)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C273" w14:textId="77777777" w:rsidR="003909C1" w:rsidRPr="00306935" w:rsidRDefault="003909C1" w:rsidP="003909C1">
    <w:pPr>
      <w:pStyle w:val="PH"/>
      <w:pBdr>
        <w:bottom w:val="single" w:sz="4" w:space="0" w:color="auto"/>
      </w:pBdr>
      <w:spacing w:line="240" w:lineRule="auto"/>
      <w:rPr>
        <w:rFonts w:cs="Arial"/>
        <w:szCs w:val="24"/>
        <w:lang w:val="hr-HR"/>
      </w:rPr>
    </w:pPr>
    <w:r w:rsidRPr="00306935">
      <w:rPr>
        <w:rFonts w:cs="Arial"/>
        <w:szCs w:val="24"/>
        <w:lang w:val="hr-HR"/>
      </w:rPr>
      <w:t xml:space="preserve">Dodatak uz financijske izvještaje – Financijsko poslovanje Grupe HKO </w:t>
    </w:r>
  </w:p>
  <w:p w14:paraId="64ADA5DE" w14:textId="77777777" w:rsidR="003909C1" w:rsidRPr="00306935" w:rsidRDefault="003909C1" w:rsidP="003909C1">
    <w:pPr>
      <w:pStyle w:val="PH"/>
      <w:pBdr>
        <w:bottom w:val="single" w:sz="4" w:space="0" w:color="auto"/>
      </w:pBdr>
      <w:spacing w:line="240" w:lineRule="auto"/>
      <w:rPr>
        <w:rFonts w:cs="Arial"/>
        <w:szCs w:val="24"/>
        <w:lang w:val="hr-HR"/>
      </w:rPr>
    </w:pPr>
    <w:r w:rsidRPr="00306935">
      <w:rPr>
        <w:rFonts w:cs="Arial"/>
        <w:szCs w:val="24"/>
        <w:lang w:val="hr-HR"/>
      </w:rPr>
      <w:t>Izvještaj o promjenama na kapitalu</w:t>
    </w:r>
  </w:p>
  <w:p w14:paraId="74C12BA8" w14:textId="77777777" w:rsidR="003909C1" w:rsidRPr="00306935" w:rsidRDefault="003909C1" w:rsidP="003909C1">
    <w:pPr>
      <w:pStyle w:val="PH"/>
      <w:pBdr>
        <w:bottom w:val="single" w:sz="4" w:space="0" w:color="auto"/>
      </w:pBdr>
      <w:spacing w:line="240" w:lineRule="auto"/>
      <w:rPr>
        <w:rFonts w:cs="Arial"/>
        <w:szCs w:val="24"/>
        <w:lang w:val="hr-HR"/>
      </w:rPr>
    </w:pPr>
    <w:r w:rsidRPr="00306935">
      <w:rPr>
        <w:rFonts w:cs="Arial"/>
        <w:szCs w:val="24"/>
        <w:lang w:val="hr-HR"/>
      </w:rPr>
      <w:t xml:space="preserve">za godinu koja je završila 31. prosinca </w:t>
    </w:r>
  </w:p>
  <w:p w14:paraId="31B4CF75" w14:textId="77777777" w:rsidR="003909C1" w:rsidRPr="008576C3" w:rsidRDefault="003909C1" w:rsidP="003909C1">
    <w:pPr>
      <w:pStyle w:val="BodyText3"/>
      <w:pBdr>
        <w:bottom w:val="single" w:sz="4" w:space="0" w:color="auto"/>
      </w:pBdr>
      <w:spacing w:line="400" w:lineRule="exact"/>
      <w:rPr>
        <w:rFonts w:ascii="Arial" w:hAnsi="Arial" w:cs="Arial"/>
        <w:sz w:val="20"/>
        <w:lang w:val="pl-PL"/>
      </w:rPr>
    </w:pPr>
    <w:r w:rsidRPr="008576C3">
      <w:rPr>
        <w:rFonts w:ascii="Arial" w:hAnsi="Arial" w:cs="Arial"/>
        <w:sz w:val="20"/>
        <w:lang w:val="pl-PL"/>
      </w:rPr>
      <w:t>(Svi iznosi izraženi su u tisućama kuna)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4535"/>
      <w:gridCol w:w="2958"/>
      <w:gridCol w:w="1862"/>
    </w:tblGrid>
    <w:tr w:rsidR="00AE3B0D" w14:paraId="71974F27" w14:textId="77777777" w:rsidTr="002E490A">
      <w:tc>
        <w:tcPr>
          <w:tcW w:w="2424" w:type="pct"/>
        </w:tcPr>
        <w:p w14:paraId="319D017D" w14:textId="77777777" w:rsidR="00AE3B0D" w:rsidRDefault="00AE3B0D" w:rsidP="0043509A">
          <w:pPr>
            <w:pStyle w:val="BDONormal"/>
          </w:pPr>
          <w:r>
            <w:rPr>
              <w:noProof/>
              <w:lang w:val="hr-HR" w:eastAsia="hr-HR"/>
            </w:rPr>
            <w:drawing>
              <wp:inline distT="0" distB="0" distL="0" distR="0" wp14:anchorId="4D05FCEB" wp14:editId="79C495F0">
                <wp:extent cx="981075" cy="371475"/>
                <wp:effectExtent l="19050" t="0" r="9525" b="0"/>
                <wp:docPr id="41" name="Picture 41"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981075" cy="371475"/>
                        </a:xfrm>
                        <a:prstGeom prst="rect">
                          <a:avLst/>
                        </a:prstGeom>
                        <a:noFill/>
                        <a:ln w="9525">
                          <a:noFill/>
                          <a:miter lim="800000"/>
                          <a:headEnd/>
                          <a:tailEnd/>
                        </a:ln>
                      </pic:spPr>
                    </pic:pic>
                  </a:graphicData>
                </a:graphic>
              </wp:inline>
            </w:drawing>
          </w:r>
        </w:p>
      </w:tc>
      <w:tc>
        <w:tcPr>
          <w:tcW w:w="1581" w:type="pct"/>
        </w:tcPr>
        <w:p w14:paraId="6F4EF505" w14:textId="77777777" w:rsidR="00AE3B0D" w:rsidRPr="002529C8" w:rsidRDefault="00AE3B0D" w:rsidP="0043509A">
          <w:pPr>
            <w:pStyle w:val="BDOAddressBold"/>
            <w:rPr>
              <w:b w:val="0"/>
              <w:color w:val="595959"/>
              <w:lang w:val="hr-HR"/>
            </w:rPr>
          </w:pPr>
          <w:r>
            <w:rPr>
              <w:noProof/>
            </w:rPr>
            <w:drawing>
              <wp:anchor distT="0" distB="0" distL="114300" distR="114300" simplePos="0" relativeHeight="251661312" behindDoc="0" locked="0" layoutInCell="1" allowOverlap="1" wp14:anchorId="05B91ED6" wp14:editId="29E0BAF4">
                <wp:simplePos x="0" y="0"/>
                <wp:positionH relativeFrom="margin">
                  <wp:posOffset>356870</wp:posOffset>
                </wp:positionH>
                <wp:positionV relativeFrom="paragraph">
                  <wp:posOffset>-144780</wp:posOffset>
                </wp:positionV>
                <wp:extent cx="2669324" cy="487680"/>
                <wp:effectExtent l="0" t="0" r="0" b="7620"/>
                <wp:wrapNone/>
                <wp:docPr id="42" name="Graphic 42">
                  <a:extLst xmlns:a="http://schemas.openxmlformats.org/drawingml/2006/main">
                    <a:ext uri="{FF2B5EF4-FFF2-40B4-BE49-F238E27FC236}">
                      <a16:creationId xmlns:a16="http://schemas.microsoft.com/office/drawing/2014/main" id="{7EAA3722-2FAB-48BB-B476-4610B15D7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
                          <a:extLst>
                            <a:ext uri="{FF2B5EF4-FFF2-40B4-BE49-F238E27FC236}">
                              <a16:creationId xmlns:a16="http://schemas.microsoft.com/office/drawing/2014/main" id="{7EAA3722-2FAB-48BB-B476-4610B15D7955}"/>
                            </a:ext>
                          </a:extLst>
                        </pic:cNvPr>
                        <pic:cNvPicPr>
                          <a:picLocks noChangeAspect="1"/>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l="5646" t="22127" r="54307"/>
                        <a:stretch/>
                      </pic:blipFill>
                      <pic:spPr bwMode="auto">
                        <a:xfrm>
                          <a:off x="0" y="0"/>
                          <a:ext cx="2669324" cy="487680"/>
                        </a:xfrm>
                        <a:prstGeom prst="rect">
                          <a:avLst/>
                        </a:prstGeom>
                        <a:extLst>
                          <a:ext uri="{53640926-AAD7-44d8-BBD7-CCE9431645EC}">
                            <a14:shadowObscured xmlns:arto="http://schemas.microsoft.com/office/word/2006/arto"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http://schemas.openxmlformats.org/presentationml/2006/main"/>
                          </a:ext>
                        </a:extLst>
                      </pic:spPr>
                    </pic:pic>
                  </a:graphicData>
                </a:graphic>
                <wp14:sizeRelH relativeFrom="page">
                  <wp14:pctWidth>0</wp14:pctWidth>
                </wp14:sizeRelH>
                <wp14:sizeRelV relativeFrom="page">
                  <wp14:pctHeight>0</wp14:pctHeight>
                </wp14:sizeRelV>
              </wp:anchor>
            </w:drawing>
          </w:r>
        </w:p>
      </w:tc>
      <w:tc>
        <w:tcPr>
          <w:tcW w:w="995" w:type="pct"/>
        </w:tcPr>
        <w:p w14:paraId="431AAE23" w14:textId="77777777" w:rsidR="00AE3B0D" w:rsidRPr="002529C8" w:rsidRDefault="00AE3B0D" w:rsidP="0043509A">
          <w:pPr>
            <w:pStyle w:val="BDOAddress"/>
            <w:rPr>
              <w:color w:val="595959"/>
              <w:lang w:val="hr-HR"/>
            </w:rPr>
          </w:pPr>
        </w:p>
      </w:tc>
    </w:tr>
  </w:tbl>
  <w:p w14:paraId="54C46E39" w14:textId="77777777" w:rsidR="00AE3B0D" w:rsidRPr="00EE47C6" w:rsidRDefault="00AE3B0D" w:rsidP="0043509A">
    <w:pPr>
      <w:pStyle w:val="Header"/>
      <w:rPr>
        <w:rFonts w:ascii="Trebuchet MS" w:hAnsi="Trebuchet MS"/>
      </w:rPr>
    </w:pPr>
  </w:p>
  <w:p w14:paraId="0EC55FA5" w14:textId="77777777" w:rsidR="00AE3B0D" w:rsidRPr="0043509A" w:rsidRDefault="00AE3B0D" w:rsidP="004350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4535"/>
      <w:gridCol w:w="2958"/>
      <w:gridCol w:w="1862"/>
    </w:tblGrid>
    <w:tr w:rsidR="00AE3B0D" w14:paraId="193BBDAA" w14:textId="77777777" w:rsidTr="00E469E6">
      <w:tc>
        <w:tcPr>
          <w:tcW w:w="2424" w:type="pct"/>
        </w:tcPr>
        <w:p w14:paraId="111AC417" w14:textId="77777777" w:rsidR="00AE3B0D" w:rsidRDefault="00AE3B0D" w:rsidP="00C76C6B">
          <w:pPr>
            <w:pStyle w:val="BDONormal"/>
          </w:pPr>
          <w:r>
            <w:rPr>
              <w:noProof/>
              <w:lang w:val="hr-HR" w:eastAsia="hr-HR"/>
            </w:rPr>
            <w:drawing>
              <wp:inline distT="0" distB="0" distL="0" distR="0" wp14:anchorId="2D70F9DC" wp14:editId="622E30E1">
                <wp:extent cx="981075" cy="371475"/>
                <wp:effectExtent l="19050" t="0" r="9525" b="0"/>
                <wp:docPr id="2" name="Picture 1"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981075" cy="371475"/>
                        </a:xfrm>
                        <a:prstGeom prst="rect">
                          <a:avLst/>
                        </a:prstGeom>
                        <a:noFill/>
                        <a:ln w="9525">
                          <a:noFill/>
                          <a:miter lim="800000"/>
                          <a:headEnd/>
                          <a:tailEnd/>
                        </a:ln>
                      </pic:spPr>
                    </pic:pic>
                  </a:graphicData>
                </a:graphic>
              </wp:inline>
            </w:drawing>
          </w:r>
        </w:p>
      </w:tc>
      <w:tc>
        <w:tcPr>
          <w:tcW w:w="1581" w:type="pct"/>
        </w:tcPr>
        <w:p w14:paraId="4AE15E40" w14:textId="77777777" w:rsidR="00AE3B0D" w:rsidRPr="002529C8" w:rsidRDefault="00AE3B0D" w:rsidP="00C76C6B">
          <w:pPr>
            <w:pStyle w:val="BDOAddressBold"/>
            <w:rPr>
              <w:b w:val="0"/>
              <w:color w:val="595959"/>
              <w:lang w:val="hr-HR"/>
            </w:rPr>
          </w:pPr>
          <w:r>
            <w:rPr>
              <w:noProof/>
            </w:rPr>
            <w:drawing>
              <wp:anchor distT="0" distB="0" distL="114300" distR="114300" simplePos="0" relativeHeight="251662336" behindDoc="0" locked="0" layoutInCell="1" allowOverlap="1" wp14:anchorId="21161E47" wp14:editId="68944AE7">
                <wp:simplePos x="0" y="0"/>
                <wp:positionH relativeFrom="margin">
                  <wp:posOffset>356870</wp:posOffset>
                </wp:positionH>
                <wp:positionV relativeFrom="paragraph">
                  <wp:posOffset>-144780</wp:posOffset>
                </wp:positionV>
                <wp:extent cx="2669324" cy="487680"/>
                <wp:effectExtent l="0" t="0" r="0" b="7620"/>
                <wp:wrapNone/>
                <wp:docPr id="43" name="Graphic 43">
                  <a:extLst xmlns:a="http://schemas.openxmlformats.org/drawingml/2006/main">
                    <a:ext uri="{FF2B5EF4-FFF2-40B4-BE49-F238E27FC236}">
                      <a16:creationId xmlns:a16="http://schemas.microsoft.com/office/drawing/2014/main" id="{7EAA3722-2FAB-48BB-B476-4610B15D7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
                          <a:extLst>
                            <a:ext uri="{FF2B5EF4-FFF2-40B4-BE49-F238E27FC236}">
                              <a16:creationId xmlns:a16="http://schemas.microsoft.com/office/drawing/2014/main" id="{7EAA3722-2FAB-48BB-B476-4610B15D7955}"/>
                            </a:ext>
                          </a:extLst>
                        </pic:cNvPr>
                        <pic:cNvPicPr>
                          <a:picLocks noChangeAspect="1"/>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l="5646" t="22127" r="54307"/>
                        <a:stretch/>
                      </pic:blipFill>
                      <pic:spPr bwMode="auto">
                        <a:xfrm>
                          <a:off x="0" y="0"/>
                          <a:ext cx="2669324" cy="487680"/>
                        </a:xfrm>
                        <a:prstGeom prst="rect">
                          <a:avLst/>
                        </a:prstGeom>
                        <a:extLst>
                          <a:ext uri="{53640926-AAD7-44d8-BBD7-CCE9431645EC}">
                            <a14:shadowObscured xmlns:arto="http://schemas.microsoft.com/office/word/2006/arto" xmlns:p="http://schemas.openxmlformats.org/presentationml/2006/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a:graphicData>
                </a:graphic>
                <wp14:sizeRelH relativeFrom="page">
                  <wp14:pctWidth>0</wp14:pctWidth>
                </wp14:sizeRelH>
                <wp14:sizeRelV relativeFrom="page">
                  <wp14:pctHeight>0</wp14:pctHeight>
                </wp14:sizeRelV>
              </wp:anchor>
            </w:drawing>
          </w:r>
        </w:p>
      </w:tc>
      <w:tc>
        <w:tcPr>
          <w:tcW w:w="995" w:type="pct"/>
        </w:tcPr>
        <w:p w14:paraId="42E9AA6C" w14:textId="77777777" w:rsidR="00AE3B0D" w:rsidRPr="002529C8" w:rsidRDefault="00AE3B0D" w:rsidP="00C76C6B">
          <w:pPr>
            <w:pStyle w:val="BDOAddress"/>
            <w:rPr>
              <w:color w:val="595959"/>
              <w:lang w:val="hr-HR"/>
            </w:rPr>
          </w:pPr>
        </w:p>
      </w:tc>
    </w:tr>
  </w:tbl>
  <w:p w14:paraId="23E7E0BA" w14:textId="77777777" w:rsidR="00AE3B0D" w:rsidRPr="00EE47C6" w:rsidRDefault="00AE3B0D" w:rsidP="00CA7A53">
    <w:pPr>
      <w:pStyle w:val="Header"/>
      <w:rPr>
        <w:rFonts w:ascii="Trebuchet MS" w:hAnsi="Trebuchet MS"/>
      </w:rPr>
    </w:pPr>
  </w:p>
  <w:p w14:paraId="11A4FB5E" w14:textId="77777777" w:rsidR="00AE3B0D" w:rsidRPr="00EE47C6" w:rsidRDefault="00AE3B0D" w:rsidP="00CA7A53">
    <w:pPr>
      <w:pStyle w:val="Header"/>
      <w:rPr>
        <w:rFonts w:ascii="Trebuchet MS" w:hAnsi="Trebuchet M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4535"/>
      <w:gridCol w:w="2958"/>
      <w:gridCol w:w="1862"/>
    </w:tblGrid>
    <w:tr w:rsidR="00E63F93" w:rsidRPr="00E63F93" w14:paraId="568B2D5F" w14:textId="77777777" w:rsidTr="008A0F3C">
      <w:tc>
        <w:tcPr>
          <w:tcW w:w="2424" w:type="pct"/>
        </w:tcPr>
        <w:p w14:paraId="70BD8EDB" w14:textId="77777777" w:rsidR="00E63F93" w:rsidRPr="00E63F93" w:rsidRDefault="00E63F93" w:rsidP="00E63F93">
          <w:pPr>
            <w:suppressAutoHyphens w:val="0"/>
            <w:autoSpaceDN/>
            <w:rPr>
              <w:rFonts w:ascii="Trebuchet MS" w:hAnsi="Trebuchet MS"/>
              <w:sz w:val="20"/>
              <w:lang w:val="en-GB" w:eastAsia="en-GB"/>
            </w:rPr>
          </w:pPr>
          <w:bookmarkStart w:id="129" w:name="_Hlk35860014"/>
          <w:r w:rsidRPr="00E63F93">
            <w:rPr>
              <w:rFonts w:ascii="Trebuchet MS" w:hAnsi="Trebuchet MS"/>
              <w:noProof/>
              <w:sz w:val="20"/>
              <w:lang w:val="hr-HR" w:eastAsia="hr-HR"/>
            </w:rPr>
            <w:drawing>
              <wp:inline distT="0" distB="0" distL="0" distR="0" wp14:anchorId="34586D8E" wp14:editId="3F6FA479">
                <wp:extent cx="981075" cy="371475"/>
                <wp:effectExtent l="19050" t="0" r="9525" b="0"/>
                <wp:docPr id="37" name="Picture 37"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981075" cy="371475"/>
                        </a:xfrm>
                        <a:prstGeom prst="rect">
                          <a:avLst/>
                        </a:prstGeom>
                        <a:noFill/>
                        <a:ln w="9525">
                          <a:noFill/>
                          <a:miter lim="800000"/>
                          <a:headEnd/>
                          <a:tailEnd/>
                        </a:ln>
                      </pic:spPr>
                    </pic:pic>
                  </a:graphicData>
                </a:graphic>
              </wp:inline>
            </w:drawing>
          </w:r>
        </w:p>
      </w:tc>
      <w:tc>
        <w:tcPr>
          <w:tcW w:w="1581" w:type="pct"/>
        </w:tcPr>
        <w:p w14:paraId="331E5388" w14:textId="77777777" w:rsidR="00E63F93" w:rsidRPr="00E63F93" w:rsidRDefault="00E63F93" w:rsidP="00E63F93">
          <w:pPr>
            <w:suppressAutoHyphens w:val="0"/>
            <w:autoSpaceDN/>
            <w:spacing w:line="170" w:lineRule="exact"/>
            <w:rPr>
              <w:rFonts w:ascii="Trebuchet MS" w:hAnsi="Trebuchet MS"/>
              <w:color w:val="595959"/>
              <w:sz w:val="16"/>
              <w:lang w:val="hr-HR" w:eastAsia="en-GB"/>
            </w:rPr>
          </w:pPr>
          <w:r w:rsidRPr="00E63F93">
            <w:rPr>
              <w:rFonts w:ascii="Trebuchet MS" w:hAnsi="Trebuchet MS"/>
              <w:b/>
              <w:noProof/>
              <w:color w:val="786860"/>
              <w:sz w:val="16"/>
              <w:lang w:val="en-GB" w:eastAsia="en-GB"/>
            </w:rPr>
            <w:drawing>
              <wp:anchor distT="0" distB="0" distL="114300" distR="114300" simplePos="0" relativeHeight="251659264" behindDoc="0" locked="0" layoutInCell="1" allowOverlap="1" wp14:anchorId="39057F2A" wp14:editId="22EC337E">
                <wp:simplePos x="0" y="0"/>
                <wp:positionH relativeFrom="margin">
                  <wp:posOffset>356870</wp:posOffset>
                </wp:positionH>
                <wp:positionV relativeFrom="paragraph">
                  <wp:posOffset>-144780</wp:posOffset>
                </wp:positionV>
                <wp:extent cx="2669324" cy="487680"/>
                <wp:effectExtent l="0" t="0" r="0" b="7620"/>
                <wp:wrapNone/>
                <wp:docPr id="38" name="Graphic 38">
                  <a:extLst xmlns:a="http://schemas.openxmlformats.org/drawingml/2006/main">
                    <a:ext uri="{FF2B5EF4-FFF2-40B4-BE49-F238E27FC236}">
                      <a16:creationId xmlns:a16="http://schemas.microsoft.com/office/drawing/2014/main" id="{7EAA3722-2FAB-48BB-B476-4610B15D7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
                          <a:extLst>
                            <a:ext uri="{FF2B5EF4-FFF2-40B4-BE49-F238E27FC236}">
                              <a16:creationId xmlns:a16="http://schemas.microsoft.com/office/drawing/2014/main" id="{7EAA3722-2FAB-48BB-B476-4610B15D7955}"/>
                            </a:ext>
                          </a:extLst>
                        </pic:cNvPr>
                        <pic:cNvPicPr>
                          <a:picLocks noChangeAspect="1"/>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l="5646" t="22127" r="54307"/>
                        <a:stretch/>
                      </pic:blipFill>
                      <pic:spPr bwMode="auto">
                        <a:xfrm>
                          <a:off x="0" y="0"/>
                          <a:ext cx="2669324" cy="487680"/>
                        </a:xfrm>
                        <a:prstGeom prst="rect">
                          <a:avLst/>
                        </a:prstGeom>
                        <a:extLst>
                          <a:ext uri="{53640926-AAD7-44d8-BBD7-CCE9431645EC}">
                            <a14:shadowObscured xmlns:arto="http://schemas.microsoft.com/office/word/2006/arto"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http://schemas.openxmlformats.org/presentationml/2006/main"/>
                          </a:ext>
                        </a:extLst>
                      </pic:spPr>
                    </pic:pic>
                  </a:graphicData>
                </a:graphic>
                <wp14:sizeRelH relativeFrom="page">
                  <wp14:pctWidth>0</wp14:pctWidth>
                </wp14:sizeRelH>
                <wp14:sizeRelV relativeFrom="page">
                  <wp14:pctHeight>0</wp14:pctHeight>
                </wp14:sizeRelV>
              </wp:anchor>
            </w:drawing>
          </w:r>
        </w:p>
      </w:tc>
      <w:tc>
        <w:tcPr>
          <w:tcW w:w="995" w:type="pct"/>
        </w:tcPr>
        <w:p w14:paraId="2D775882" w14:textId="77777777" w:rsidR="00E63F93" w:rsidRPr="00E63F93" w:rsidRDefault="00E63F93" w:rsidP="00E63F93">
          <w:pPr>
            <w:suppressAutoHyphens w:val="0"/>
            <w:autoSpaceDN/>
            <w:spacing w:line="170" w:lineRule="exact"/>
            <w:rPr>
              <w:rFonts w:ascii="Trebuchet MS" w:hAnsi="Trebuchet MS"/>
              <w:color w:val="595959"/>
              <w:sz w:val="16"/>
              <w:lang w:val="hr-HR" w:eastAsia="en-GB"/>
            </w:rPr>
          </w:pPr>
        </w:p>
      </w:tc>
    </w:tr>
    <w:bookmarkEnd w:id="129"/>
  </w:tbl>
  <w:p w14:paraId="22D92107" w14:textId="02000B5A" w:rsidR="00633ACD" w:rsidRDefault="00633ACD">
    <w:pPr>
      <w:pStyle w:val="Header"/>
    </w:pPr>
  </w:p>
  <w:p w14:paraId="56C03577" w14:textId="77777777" w:rsidR="00E63F93" w:rsidRDefault="00E63F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95A9F" w14:textId="77777777" w:rsidR="00633ACD" w:rsidRPr="004B4498" w:rsidRDefault="00633ACD" w:rsidP="003C6BA3">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3C36618D" w14:textId="77777777" w:rsidR="00633ACD" w:rsidRPr="004B4498" w:rsidRDefault="00633ACD" w:rsidP="003C6BA3">
    <w:pPr>
      <w:pStyle w:val="PH"/>
      <w:pBdr>
        <w:bottom w:val="single" w:sz="4" w:space="1" w:color="auto"/>
      </w:pBdr>
      <w:spacing w:line="240" w:lineRule="auto"/>
      <w:rPr>
        <w:rFonts w:cs="Arial"/>
        <w:szCs w:val="24"/>
        <w:lang w:val="pl-PL"/>
      </w:rPr>
    </w:pPr>
    <w:r w:rsidRPr="004B4498">
      <w:rPr>
        <w:rFonts w:cs="Arial"/>
        <w:szCs w:val="24"/>
        <w:lang w:val="pl-PL"/>
      </w:rPr>
      <w:t xml:space="preserve">Račun dobiti i gubitka  </w:t>
    </w:r>
  </w:p>
  <w:p w14:paraId="0D492542" w14:textId="77777777" w:rsidR="00633ACD" w:rsidRPr="004B4498" w:rsidRDefault="00633ACD" w:rsidP="00AB5E26">
    <w:pPr>
      <w:pStyle w:val="PH1"/>
      <w:pBdr>
        <w:bottom w:val="single" w:sz="4" w:space="1" w:color="auto"/>
      </w:pBdr>
      <w:spacing w:line="301" w:lineRule="atLeast"/>
      <w:rPr>
        <w:rFonts w:cs="Arial"/>
        <w:sz w:val="24"/>
        <w:szCs w:val="24"/>
        <w:lang w:val="pl-PL"/>
      </w:rPr>
    </w:pPr>
    <w:r w:rsidRPr="004B4498">
      <w:rPr>
        <w:rFonts w:cs="Arial"/>
        <w:sz w:val="24"/>
        <w:szCs w:val="24"/>
        <w:lang w:val="pl-PL"/>
      </w:rPr>
      <w:t>za godinu koja je završila 31. prosinca</w:t>
    </w:r>
  </w:p>
  <w:p w14:paraId="4A270FF2" w14:textId="77777777" w:rsidR="00633ACD" w:rsidRPr="004B4498" w:rsidRDefault="00633ACD" w:rsidP="00633ACD">
    <w:pPr>
      <w:pStyle w:val="BodyText3"/>
      <w:pBdr>
        <w:bottom w:val="single" w:sz="4" w:space="1" w:color="auto"/>
      </w:pBdr>
      <w:tabs>
        <w:tab w:val="clear" w:pos="4513"/>
        <w:tab w:val="center" w:pos="4748"/>
      </w:tabs>
      <w:spacing w:line="301" w:lineRule="atLeast"/>
      <w:rPr>
        <w:rFonts w:ascii="Arial" w:hAnsi="Arial" w:cs="Arial"/>
        <w:sz w:val="20"/>
        <w:lang w:val="pl-PL"/>
      </w:rPr>
    </w:pPr>
    <w:r w:rsidRPr="004B4498">
      <w:rPr>
        <w:rFonts w:ascii="Arial" w:hAnsi="Arial" w:cs="Arial"/>
        <w:sz w:val="20"/>
        <w:lang w:val="pl-PL"/>
      </w:rPr>
      <w:t>(Svi iznosi izraženi su u tisućama kuna)</w:t>
    </w:r>
    <w:r>
      <w:rPr>
        <w:rFonts w:ascii="Arial" w:hAnsi="Arial" w:cs="Arial"/>
        <w:sz w:val="20"/>
        <w:lang w:val="pl-PL"/>
      </w:rPr>
      <w:tab/>
    </w:r>
  </w:p>
  <w:p w14:paraId="579B8EE1" w14:textId="77777777" w:rsidR="00633ACD" w:rsidRPr="00060FB1" w:rsidRDefault="00633ACD" w:rsidP="00447AB8">
    <w:pPr>
      <w:pStyle w:val="BodyText3"/>
      <w:spacing w:line="400" w:lineRule="exact"/>
      <w:rPr>
        <w:rFonts w:asciiTheme="minorHAnsi" w:hAnsiTheme="minorHAnsi" w:cs="Arial"/>
        <w:szCs w:val="22"/>
        <w:lang w:val="pl-P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0C68" w14:textId="77777777" w:rsidR="001856C5" w:rsidRPr="004B4498" w:rsidRDefault="001856C5" w:rsidP="001856C5">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2DFEE1CD" w14:textId="77777777" w:rsidR="001856C5" w:rsidRPr="004B4498" w:rsidRDefault="001856C5" w:rsidP="001856C5">
    <w:pPr>
      <w:pStyle w:val="PH"/>
      <w:pBdr>
        <w:bottom w:val="single" w:sz="4" w:space="1" w:color="auto"/>
      </w:pBdr>
      <w:spacing w:line="240" w:lineRule="auto"/>
      <w:rPr>
        <w:rFonts w:cs="Arial"/>
        <w:szCs w:val="24"/>
        <w:lang w:val="pl-PL"/>
      </w:rPr>
    </w:pPr>
    <w:r w:rsidRPr="004B4498">
      <w:rPr>
        <w:rFonts w:cs="Arial"/>
        <w:szCs w:val="24"/>
        <w:lang w:val="pl-PL"/>
      </w:rPr>
      <w:t xml:space="preserve">Izvještaj o dobiti i gubitku te ostaloj sveobuhvatnoj dobiti </w:t>
    </w:r>
  </w:p>
  <w:p w14:paraId="2629499E" w14:textId="77777777" w:rsidR="001856C5" w:rsidRPr="004B4498" w:rsidRDefault="001856C5" w:rsidP="001856C5">
    <w:pPr>
      <w:pStyle w:val="PH1"/>
      <w:pBdr>
        <w:bottom w:val="single" w:sz="4" w:space="1" w:color="auto"/>
      </w:pBdr>
      <w:spacing w:line="301" w:lineRule="atLeast"/>
      <w:rPr>
        <w:rFonts w:cs="Arial"/>
        <w:sz w:val="24"/>
        <w:szCs w:val="24"/>
        <w:lang w:val="pl-PL"/>
      </w:rPr>
    </w:pPr>
    <w:r w:rsidRPr="004B4498">
      <w:rPr>
        <w:rFonts w:cs="Arial"/>
        <w:sz w:val="24"/>
        <w:szCs w:val="24"/>
        <w:lang w:val="pl-PL"/>
      </w:rPr>
      <w:t>za godinu koja je završila 31. prosinca</w:t>
    </w:r>
  </w:p>
  <w:p w14:paraId="18FA0B91" w14:textId="77777777" w:rsidR="001856C5" w:rsidRPr="004B4498" w:rsidRDefault="001856C5" w:rsidP="001856C5">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(Svi iznosi izraženi su u tisućama kuna)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3DB94" w14:textId="77777777" w:rsidR="007E5D38" w:rsidRDefault="007E5D38" w:rsidP="008B0750">
    <w:pPr>
      <w:pStyle w:val="PH1"/>
      <w:pBdr>
        <w:bottom w:val="single" w:sz="4" w:space="1" w:color="auto"/>
      </w:pBdr>
      <w:spacing w:line="360" w:lineRule="auto"/>
      <w:rPr>
        <w:rFonts w:cs="Arial"/>
        <w:sz w:val="24"/>
        <w:lang w:val="pl-PL"/>
      </w:rPr>
    </w:pPr>
    <w:r>
      <w:rPr>
        <w:rFonts w:cs="Arial"/>
        <w:sz w:val="24"/>
        <w:lang w:val="pl-PL"/>
      </w:rPr>
      <w:t>Konsolidirani izvještaj o financijskom položaju</w:t>
    </w:r>
  </w:p>
  <w:p w14:paraId="3FBBA3CB" w14:textId="77777777" w:rsidR="007E5D38" w:rsidRDefault="007E5D38" w:rsidP="008B0750">
    <w:pPr>
      <w:pStyle w:val="PH1"/>
      <w:pBdr>
        <w:bottom w:val="single" w:sz="4" w:space="1" w:color="auto"/>
      </w:pBdr>
      <w:spacing w:line="360" w:lineRule="auto"/>
      <w:rPr>
        <w:rFonts w:cs="Arial"/>
        <w:sz w:val="24"/>
        <w:lang w:val="pl-PL"/>
      </w:rPr>
    </w:pPr>
    <w:r>
      <w:rPr>
        <w:rFonts w:cs="Arial"/>
        <w:sz w:val="24"/>
        <w:lang w:val="pl-PL"/>
      </w:rPr>
      <w:t>na dan 31. prosinca 2011.</w:t>
    </w:r>
    <w:r w:rsidRPr="00C87849">
      <w:rPr>
        <w:rFonts w:cs="Arial"/>
        <w:sz w:val="24"/>
        <w:lang w:val="pl-PL"/>
      </w:rPr>
      <w:t xml:space="preserve"> godin</w:t>
    </w:r>
    <w:r>
      <w:rPr>
        <w:rFonts w:cs="Arial"/>
        <w:sz w:val="24"/>
        <w:lang w:val="pl-PL"/>
      </w:rPr>
      <w:t xml:space="preserve">e </w:t>
    </w:r>
  </w:p>
  <w:p w14:paraId="1C877339" w14:textId="77777777" w:rsidR="007E5D38" w:rsidRPr="00D334D3" w:rsidRDefault="007E5D38" w:rsidP="008B0750">
    <w:pPr>
      <w:pStyle w:val="PH"/>
      <w:pBdr>
        <w:bottom w:val="single" w:sz="4" w:space="1" w:color="auto"/>
      </w:pBdr>
      <w:spacing w:line="360" w:lineRule="auto"/>
      <w:rPr>
        <w:rFonts w:cs="Arial"/>
        <w:sz w:val="19"/>
        <w:szCs w:val="19"/>
        <w:lang w:val="pl-PL"/>
      </w:rPr>
    </w:pPr>
    <w:r w:rsidRPr="00D334D3">
      <w:rPr>
        <w:rFonts w:cs="Arial"/>
        <w:sz w:val="19"/>
        <w:szCs w:val="19"/>
        <w:lang w:val="pl-PL"/>
      </w:rPr>
      <w:t>(Svi iznosi izraženi su u tisućama kuna)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86850" w14:textId="77777777" w:rsidR="007E5D38" w:rsidRPr="004B4498" w:rsidRDefault="007E5D38" w:rsidP="003C6BA3">
    <w:pPr>
      <w:pStyle w:val="PH"/>
      <w:pBdr>
        <w:bottom w:val="single" w:sz="4" w:space="1" w:color="auto"/>
      </w:pBdr>
      <w:spacing w:line="240" w:lineRule="auto"/>
      <w:rPr>
        <w:rFonts w:cs="Arial"/>
        <w:szCs w:val="24"/>
        <w:lang w:val="pl-PL"/>
      </w:rPr>
    </w:pPr>
    <w:r w:rsidRPr="004B4498">
      <w:rPr>
        <w:rFonts w:cs="Arial"/>
        <w:szCs w:val="24"/>
        <w:lang w:val="pl-PL"/>
      </w:rPr>
      <w:t>Konsolidirani financijski izvještaji Grupe</w:t>
    </w:r>
  </w:p>
  <w:p w14:paraId="5986B12F" w14:textId="77777777" w:rsidR="007E5D38" w:rsidRPr="004B4498" w:rsidRDefault="007E5D38" w:rsidP="003C6BA3">
    <w:pPr>
      <w:pStyle w:val="PH"/>
      <w:pBdr>
        <w:bottom w:val="single" w:sz="4" w:space="1" w:color="auto"/>
      </w:pBdr>
      <w:spacing w:line="240" w:lineRule="auto"/>
      <w:rPr>
        <w:rFonts w:cs="Arial"/>
        <w:szCs w:val="24"/>
        <w:lang w:val="pl-PL"/>
      </w:rPr>
    </w:pPr>
    <w:r w:rsidRPr="004B4498">
      <w:rPr>
        <w:rFonts w:cs="Arial"/>
        <w:szCs w:val="24"/>
        <w:lang w:val="pl-PL"/>
      </w:rPr>
      <w:t xml:space="preserve">Izvještaj o financijskom položaju </w:t>
    </w:r>
  </w:p>
  <w:p w14:paraId="1F483609" w14:textId="77777777" w:rsidR="007E5D38" w:rsidRPr="004B4498" w:rsidRDefault="007E5D38" w:rsidP="00AB5E26">
    <w:pPr>
      <w:pStyle w:val="BodyText3"/>
      <w:pBdr>
        <w:bottom w:val="single" w:sz="4" w:space="1" w:color="auto"/>
      </w:pBdr>
      <w:spacing w:line="301" w:lineRule="atLeast"/>
      <w:rPr>
        <w:rFonts w:ascii="Arial" w:hAnsi="Arial" w:cs="Arial"/>
        <w:sz w:val="24"/>
        <w:szCs w:val="24"/>
        <w:lang w:val="pl-PL"/>
      </w:rPr>
    </w:pPr>
    <w:r w:rsidRPr="004B4498">
      <w:rPr>
        <w:rFonts w:ascii="Arial" w:hAnsi="Arial" w:cs="Arial"/>
        <w:sz w:val="24"/>
        <w:szCs w:val="24"/>
        <w:lang w:val="pl-PL"/>
      </w:rPr>
      <w:t xml:space="preserve">na dan 31. prosinca </w:t>
    </w:r>
  </w:p>
  <w:p w14:paraId="304DC891" w14:textId="77777777" w:rsidR="007E5D38" w:rsidRPr="004B4498" w:rsidRDefault="007E5D38" w:rsidP="00AB5E26">
    <w:pPr>
      <w:pStyle w:val="BodyText3"/>
      <w:pBdr>
        <w:bottom w:val="single" w:sz="4" w:space="1" w:color="auto"/>
      </w:pBdr>
      <w:spacing w:line="301" w:lineRule="atLeast"/>
      <w:rPr>
        <w:rFonts w:ascii="Arial" w:hAnsi="Arial" w:cs="Arial"/>
        <w:sz w:val="20"/>
        <w:lang w:val="pl-PL"/>
      </w:rPr>
    </w:pPr>
    <w:r w:rsidRPr="004B4498">
      <w:rPr>
        <w:rFonts w:ascii="Arial" w:hAnsi="Arial" w:cs="Arial"/>
        <w:sz w:val="20"/>
        <w:lang w:val="pl-PL"/>
      </w:rPr>
      <w:t>(Svi iznosi izraženi su u tisućama kuna)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7C1F"/>
    <w:multiLevelType w:val="hybridMultilevel"/>
    <w:tmpl w:val="1AF81976"/>
    <w:lvl w:ilvl="0" w:tplc="6BC62CD4">
      <w:numFmt w:val="bullet"/>
      <w:lvlText w:val="-"/>
      <w:lvlJc w:val="left"/>
      <w:pPr>
        <w:ind w:left="720" w:hanging="360"/>
      </w:pPr>
      <w:rPr>
        <w:rFonts w:ascii="Times New Roman" w:hAnsi="Times New Roman"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7C4458"/>
    <w:multiLevelType w:val="singleLevel"/>
    <w:tmpl w:val="041A0001"/>
    <w:lvl w:ilvl="0">
      <w:start w:val="1"/>
      <w:numFmt w:val="bullet"/>
      <w:lvlText w:val=""/>
      <w:lvlJc w:val="left"/>
      <w:pPr>
        <w:ind w:left="360" w:hanging="360"/>
      </w:pPr>
      <w:rPr>
        <w:rFonts w:ascii="Symbol" w:hAnsi="Symbol" w:hint="default"/>
        <w:color w:val="auto"/>
        <w:sz w:val="24"/>
      </w:rPr>
    </w:lvl>
  </w:abstractNum>
  <w:abstractNum w:abstractNumId="2" w15:restartNumberingAfterBreak="0">
    <w:nsid w:val="055B1E6C"/>
    <w:multiLevelType w:val="hybridMultilevel"/>
    <w:tmpl w:val="88909706"/>
    <w:lvl w:ilvl="0" w:tplc="5E02CD10">
      <w:start w:val="1"/>
      <w:numFmt w:val="bullet"/>
      <w:lvlText w:val=""/>
      <w:lvlJc w:val="left"/>
      <w:pPr>
        <w:tabs>
          <w:tab w:val="num" w:pos="720"/>
        </w:tabs>
        <w:ind w:left="720" w:hanging="360"/>
      </w:pPr>
      <w:rPr>
        <w:rFonts w:ascii="Wingdings" w:hAnsi="Wingdings" w:hint="default"/>
      </w:rPr>
    </w:lvl>
    <w:lvl w:ilvl="1" w:tplc="99246792" w:tentative="1">
      <w:start w:val="1"/>
      <w:numFmt w:val="bullet"/>
      <w:lvlText w:val=""/>
      <w:lvlJc w:val="left"/>
      <w:pPr>
        <w:tabs>
          <w:tab w:val="num" w:pos="1440"/>
        </w:tabs>
        <w:ind w:left="1440" w:hanging="360"/>
      </w:pPr>
      <w:rPr>
        <w:rFonts w:ascii="Wingdings" w:hAnsi="Wingdings" w:hint="default"/>
      </w:rPr>
    </w:lvl>
    <w:lvl w:ilvl="2" w:tplc="041A0001">
      <w:start w:val="1"/>
      <w:numFmt w:val="bullet"/>
      <w:lvlText w:val=""/>
      <w:lvlJc w:val="left"/>
      <w:pPr>
        <w:tabs>
          <w:tab w:val="num" w:pos="2160"/>
        </w:tabs>
        <w:ind w:left="2160" w:hanging="360"/>
      </w:pPr>
      <w:rPr>
        <w:rFonts w:ascii="Symbol" w:hAnsi="Symbol" w:hint="default"/>
      </w:rPr>
    </w:lvl>
    <w:lvl w:ilvl="3" w:tplc="F1C0D3E2" w:tentative="1">
      <w:start w:val="1"/>
      <w:numFmt w:val="bullet"/>
      <w:lvlText w:val=""/>
      <w:lvlJc w:val="left"/>
      <w:pPr>
        <w:tabs>
          <w:tab w:val="num" w:pos="2880"/>
        </w:tabs>
        <w:ind w:left="2880" w:hanging="360"/>
      </w:pPr>
      <w:rPr>
        <w:rFonts w:ascii="Wingdings" w:hAnsi="Wingdings" w:hint="default"/>
      </w:rPr>
    </w:lvl>
    <w:lvl w:ilvl="4" w:tplc="1146179A" w:tentative="1">
      <w:start w:val="1"/>
      <w:numFmt w:val="bullet"/>
      <w:lvlText w:val=""/>
      <w:lvlJc w:val="left"/>
      <w:pPr>
        <w:tabs>
          <w:tab w:val="num" w:pos="3600"/>
        </w:tabs>
        <w:ind w:left="3600" w:hanging="360"/>
      </w:pPr>
      <w:rPr>
        <w:rFonts w:ascii="Wingdings" w:hAnsi="Wingdings" w:hint="default"/>
      </w:rPr>
    </w:lvl>
    <w:lvl w:ilvl="5" w:tplc="F82A2586" w:tentative="1">
      <w:start w:val="1"/>
      <w:numFmt w:val="bullet"/>
      <w:lvlText w:val=""/>
      <w:lvlJc w:val="left"/>
      <w:pPr>
        <w:tabs>
          <w:tab w:val="num" w:pos="4320"/>
        </w:tabs>
        <w:ind w:left="4320" w:hanging="360"/>
      </w:pPr>
      <w:rPr>
        <w:rFonts w:ascii="Wingdings" w:hAnsi="Wingdings" w:hint="default"/>
      </w:rPr>
    </w:lvl>
    <w:lvl w:ilvl="6" w:tplc="D64A6F72" w:tentative="1">
      <w:start w:val="1"/>
      <w:numFmt w:val="bullet"/>
      <w:lvlText w:val=""/>
      <w:lvlJc w:val="left"/>
      <w:pPr>
        <w:tabs>
          <w:tab w:val="num" w:pos="5040"/>
        </w:tabs>
        <w:ind w:left="5040" w:hanging="360"/>
      </w:pPr>
      <w:rPr>
        <w:rFonts w:ascii="Wingdings" w:hAnsi="Wingdings" w:hint="default"/>
      </w:rPr>
    </w:lvl>
    <w:lvl w:ilvl="7" w:tplc="C8C49A72" w:tentative="1">
      <w:start w:val="1"/>
      <w:numFmt w:val="bullet"/>
      <w:lvlText w:val=""/>
      <w:lvlJc w:val="left"/>
      <w:pPr>
        <w:tabs>
          <w:tab w:val="num" w:pos="5760"/>
        </w:tabs>
        <w:ind w:left="5760" w:hanging="360"/>
      </w:pPr>
      <w:rPr>
        <w:rFonts w:ascii="Wingdings" w:hAnsi="Wingdings" w:hint="default"/>
      </w:rPr>
    </w:lvl>
    <w:lvl w:ilvl="8" w:tplc="A3EAFA3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CD439D"/>
    <w:multiLevelType w:val="hybridMultilevel"/>
    <w:tmpl w:val="6972D638"/>
    <w:lvl w:ilvl="0" w:tplc="041A001B">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60F2379"/>
    <w:multiLevelType w:val="hybridMultilevel"/>
    <w:tmpl w:val="1F66D4E4"/>
    <w:lvl w:ilvl="0" w:tplc="041A0001">
      <w:start w:val="1"/>
      <w:numFmt w:val="bullet"/>
      <w:lvlText w:val=""/>
      <w:lvlJc w:val="left"/>
      <w:pPr>
        <w:ind w:left="771" w:hanging="360"/>
      </w:pPr>
      <w:rPr>
        <w:rFonts w:ascii="Symbol" w:hAnsi="Symbol" w:hint="default"/>
      </w:rPr>
    </w:lvl>
    <w:lvl w:ilvl="1" w:tplc="041A0003">
      <w:start w:val="1"/>
      <w:numFmt w:val="bullet"/>
      <w:lvlText w:val="o"/>
      <w:lvlJc w:val="left"/>
      <w:pPr>
        <w:ind w:left="1491" w:hanging="360"/>
      </w:pPr>
      <w:rPr>
        <w:rFonts w:ascii="Courier New" w:hAnsi="Courier New" w:cs="Courier New" w:hint="default"/>
      </w:rPr>
    </w:lvl>
    <w:lvl w:ilvl="2" w:tplc="041A0005" w:tentative="1">
      <w:start w:val="1"/>
      <w:numFmt w:val="bullet"/>
      <w:lvlText w:val=""/>
      <w:lvlJc w:val="left"/>
      <w:pPr>
        <w:ind w:left="2211" w:hanging="360"/>
      </w:pPr>
      <w:rPr>
        <w:rFonts w:ascii="Wingdings" w:hAnsi="Wingdings" w:hint="default"/>
      </w:rPr>
    </w:lvl>
    <w:lvl w:ilvl="3" w:tplc="041A0001" w:tentative="1">
      <w:start w:val="1"/>
      <w:numFmt w:val="bullet"/>
      <w:lvlText w:val=""/>
      <w:lvlJc w:val="left"/>
      <w:pPr>
        <w:ind w:left="2931" w:hanging="360"/>
      </w:pPr>
      <w:rPr>
        <w:rFonts w:ascii="Symbol" w:hAnsi="Symbol" w:hint="default"/>
      </w:rPr>
    </w:lvl>
    <w:lvl w:ilvl="4" w:tplc="041A0003" w:tentative="1">
      <w:start w:val="1"/>
      <w:numFmt w:val="bullet"/>
      <w:lvlText w:val="o"/>
      <w:lvlJc w:val="left"/>
      <w:pPr>
        <w:ind w:left="3651" w:hanging="360"/>
      </w:pPr>
      <w:rPr>
        <w:rFonts w:ascii="Courier New" w:hAnsi="Courier New" w:cs="Courier New" w:hint="default"/>
      </w:rPr>
    </w:lvl>
    <w:lvl w:ilvl="5" w:tplc="041A0005" w:tentative="1">
      <w:start w:val="1"/>
      <w:numFmt w:val="bullet"/>
      <w:lvlText w:val=""/>
      <w:lvlJc w:val="left"/>
      <w:pPr>
        <w:ind w:left="4371" w:hanging="360"/>
      </w:pPr>
      <w:rPr>
        <w:rFonts w:ascii="Wingdings" w:hAnsi="Wingdings" w:hint="default"/>
      </w:rPr>
    </w:lvl>
    <w:lvl w:ilvl="6" w:tplc="041A0001" w:tentative="1">
      <w:start w:val="1"/>
      <w:numFmt w:val="bullet"/>
      <w:lvlText w:val=""/>
      <w:lvlJc w:val="left"/>
      <w:pPr>
        <w:ind w:left="5091" w:hanging="360"/>
      </w:pPr>
      <w:rPr>
        <w:rFonts w:ascii="Symbol" w:hAnsi="Symbol" w:hint="default"/>
      </w:rPr>
    </w:lvl>
    <w:lvl w:ilvl="7" w:tplc="041A0003" w:tentative="1">
      <w:start w:val="1"/>
      <w:numFmt w:val="bullet"/>
      <w:lvlText w:val="o"/>
      <w:lvlJc w:val="left"/>
      <w:pPr>
        <w:ind w:left="5811" w:hanging="360"/>
      </w:pPr>
      <w:rPr>
        <w:rFonts w:ascii="Courier New" w:hAnsi="Courier New" w:cs="Courier New" w:hint="default"/>
      </w:rPr>
    </w:lvl>
    <w:lvl w:ilvl="8" w:tplc="041A0005" w:tentative="1">
      <w:start w:val="1"/>
      <w:numFmt w:val="bullet"/>
      <w:lvlText w:val=""/>
      <w:lvlJc w:val="left"/>
      <w:pPr>
        <w:ind w:left="6531" w:hanging="360"/>
      </w:pPr>
      <w:rPr>
        <w:rFonts w:ascii="Wingdings" w:hAnsi="Wingdings" w:hint="default"/>
      </w:rPr>
    </w:lvl>
  </w:abstractNum>
  <w:abstractNum w:abstractNumId="5" w15:restartNumberingAfterBreak="0">
    <w:nsid w:val="0637115B"/>
    <w:multiLevelType w:val="hybridMultilevel"/>
    <w:tmpl w:val="28B2AA32"/>
    <w:lvl w:ilvl="0" w:tplc="B614A01C">
      <w:start w:val="26"/>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ED7450"/>
    <w:multiLevelType w:val="multilevel"/>
    <w:tmpl w:val="EA8802D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 w15:restartNumberingAfterBreak="0">
    <w:nsid w:val="0A63298E"/>
    <w:multiLevelType w:val="multilevel"/>
    <w:tmpl w:val="82E2A854"/>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8" w15:restartNumberingAfterBreak="0">
    <w:nsid w:val="0AB458B5"/>
    <w:multiLevelType w:val="hybridMultilevel"/>
    <w:tmpl w:val="80781AF8"/>
    <w:lvl w:ilvl="0" w:tplc="F30486C2">
      <w:start w:val="1"/>
      <w:numFmt w:val="decimal"/>
      <w:lvlText w:val="%1."/>
      <w:lvlJc w:val="left"/>
      <w:pPr>
        <w:tabs>
          <w:tab w:val="num" w:pos="720"/>
        </w:tabs>
        <w:ind w:left="720" w:hanging="360"/>
      </w:pPr>
      <w:rPr>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 w15:restartNumberingAfterBreak="0">
    <w:nsid w:val="0AE82946"/>
    <w:multiLevelType w:val="hybridMultilevel"/>
    <w:tmpl w:val="5F84E4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DAC4302"/>
    <w:multiLevelType w:val="hybridMultilevel"/>
    <w:tmpl w:val="B81A4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ED77D0F"/>
    <w:multiLevelType w:val="hybridMultilevel"/>
    <w:tmpl w:val="A8F8B4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04E236D"/>
    <w:multiLevelType w:val="multilevel"/>
    <w:tmpl w:val="95102BC4"/>
    <w:styleLink w:val="LFO6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4117306"/>
    <w:multiLevelType w:val="multilevel"/>
    <w:tmpl w:val="0FFA3F3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4" w15:restartNumberingAfterBreak="0">
    <w:nsid w:val="15370918"/>
    <w:multiLevelType w:val="hybridMultilevel"/>
    <w:tmpl w:val="1B74A8FC"/>
    <w:lvl w:ilvl="0" w:tplc="89A2892E">
      <w:numFmt w:val="bullet"/>
      <w:lvlText w:val="-"/>
      <w:lvlJc w:val="left"/>
      <w:pPr>
        <w:tabs>
          <w:tab w:val="num" w:pos="1040"/>
        </w:tabs>
        <w:ind w:left="1040" w:hanging="360"/>
      </w:pPr>
      <w:rPr>
        <w:rFonts w:ascii="Arial" w:eastAsia="Times New Roman" w:hAnsi="Arial" w:cs="Arial" w:hint="default"/>
      </w:rPr>
    </w:lvl>
    <w:lvl w:ilvl="1" w:tplc="04090003">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15" w15:restartNumberingAfterBreak="0">
    <w:nsid w:val="16126978"/>
    <w:multiLevelType w:val="hybridMultilevel"/>
    <w:tmpl w:val="E85CD212"/>
    <w:lvl w:ilvl="0" w:tplc="041A0001">
      <w:start w:val="1"/>
      <w:numFmt w:val="bullet"/>
      <w:lvlText w:val=""/>
      <w:lvlJc w:val="left"/>
      <w:pPr>
        <w:ind w:left="1069" w:hanging="360"/>
      </w:pPr>
      <w:rPr>
        <w:rFonts w:ascii="Symbol" w:hAnsi="Symbol" w:hint="default"/>
      </w:rPr>
    </w:lvl>
    <w:lvl w:ilvl="1" w:tplc="041A0019">
      <w:start w:val="1"/>
      <w:numFmt w:val="lowerLetter"/>
      <w:lvlText w:val="%2."/>
      <w:lvlJc w:val="left"/>
      <w:pPr>
        <w:ind w:left="1789" w:hanging="360"/>
      </w:pPr>
    </w:lvl>
    <w:lvl w:ilvl="2" w:tplc="041A001B">
      <w:start w:val="1"/>
      <w:numFmt w:val="lowerRoman"/>
      <w:lvlText w:val="%3."/>
      <w:lvlJc w:val="right"/>
      <w:pPr>
        <w:ind w:left="2509" w:hanging="180"/>
      </w:pPr>
    </w:lvl>
    <w:lvl w:ilvl="3" w:tplc="041A000F">
      <w:start w:val="1"/>
      <w:numFmt w:val="decimal"/>
      <w:lvlText w:val="%4."/>
      <w:lvlJc w:val="left"/>
      <w:pPr>
        <w:ind w:left="3229" w:hanging="360"/>
      </w:pPr>
    </w:lvl>
    <w:lvl w:ilvl="4" w:tplc="041A0019">
      <w:start w:val="1"/>
      <w:numFmt w:val="lowerLetter"/>
      <w:lvlText w:val="%5."/>
      <w:lvlJc w:val="left"/>
      <w:pPr>
        <w:ind w:left="3949" w:hanging="360"/>
      </w:pPr>
    </w:lvl>
    <w:lvl w:ilvl="5" w:tplc="041A001B">
      <w:start w:val="1"/>
      <w:numFmt w:val="lowerRoman"/>
      <w:lvlText w:val="%6."/>
      <w:lvlJc w:val="right"/>
      <w:pPr>
        <w:ind w:left="4669" w:hanging="180"/>
      </w:pPr>
    </w:lvl>
    <w:lvl w:ilvl="6" w:tplc="041A000F">
      <w:start w:val="1"/>
      <w:numFmt w:val="decimal"/>
      <w:lvlText w:val="%7."/>
      <w:lvlJc w:val="left"/>
      <w:pPr>
        <w:ind w:left="5389" w:hanging="360"/>
      </w:pPr>
    </w:lvl>
    <w:lvl w:ilvl="7" w:tplc="041A0019">
      <w:start w:val="1"/>
      <w:numFmt w:val="lowerLetter"/>
      <w:lvlText w:val="%8."/>
      <w:lvlJc w:val="left"/>
      <w:pPr>
        <w:ind w:left="6109" w:hanging="360"/>
      </w:pPr>
    </w:lvl>
    <w:lvl w:ilvl="8" w:tplc="041A001B">
      <w:start w:val="1"/>
      <w:numFmt w:val="lowerRoman"/>
      <w:lvlText w:val="%9."/>
      <w:lvlJc w:val="right"/>
      <w:pPr>
        <w:ind w:left="6829" w:hanging="180"/>
      </w:pPr>
    </w:lvl>
  </w:abstractNum>
  <w:abstractNum w:abstractNumId="16" w15:restartNumberingAfterBreak="0">
    <w:nsid w:val="17F7245A"/>
    <w:multiLevelType w:val="multilevel"/>
    <w:tmpl w:val="82FC88FE"/>
    <w:lvl w:ilvl="0">
      <w:start w:val="5"/>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17" w15:restartNumberingAfterBreak="0">
    <w:nsid w:val="19CC584F"/>
    <w:multiLevelType w:val="multilevel"/>
    <w:tmpl w:val="4AEA5B98"/>
    <w:lvl w:ilvl="0">
      <w:start w:val="3"/>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18" w15:restartNumberingAfterBreak="0">
    <w:nsid w:val="1B717D71"/>
    <w:multiLevelType w:val="hybridMultilevel"/>
    <w:tmpl w:val="3C8EA87E"/>
    <w:lvl w:ilvl="0" w:tplc="89A2892E">
      <w:numFmt w:val="bullet"/>
      <w:lvlText w:val="-"/>
      <w:lvlJc w:val="left"/>
      <w:pPr>
        <w:tabs>
          <w:tab w:val="num" w:pos="1040"/>
        </w:tabs>
        <w:ind w:left="1040" w:hanging="360"/>
      </w:pPr>
      <w:rPr>
        <w:rFonts w:ascii="Arial" w:eastAsia="Times New Roman" w:hAnsi="Arial" w:cs="Arial" w:hint="default"/>
      </w:rPr>
    </w:lvl>
    <w:lvl w:ilvl="1" w:tplc="04090003">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19" w15:restartNumberingAfterBreak="0">
    <w:nsid w:val="1BE72493"/>
    <w:multiLevelType w:val="hybridMultilevel"/>
    <w:tmpl w:val="BF12CC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DDB0ACB"/>
    <w:multiLevelType w:val="hybridMultilevel"/>
    <w:tmpl w:val="4AD060C0"/>
    <w:lvl w:ilvl="0" w:tplc="389E5C28">
      <w:numFmt w:val="bullet"/>
      <w:lvlText w:val="-"/>
      <w:lvlJc w:val="left"/>
      <w:pPr>
        <w:ind w:left="1353"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E497ED6"/>
    <w:multiLevelType w:val="multilevel"/>
    <w:tmpl w:val="5126786E"/>
    <w:lvl w:ilvl="0">
      <w:start w:val="6"/>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2" w15:restartNumberingAfterBreak="0">
    <w:nsid w:val="1F6F0ED6"/>
    <w:multiLevelType w:val="hybridMultilevel"/>
    <w:tmpl w:val="E7381476"/>
    <w:lvl w:ilvl="0" w:tplc="89A2892E">
      <w:numFmt w:val="bullet"/>
      <w:lvlText w:val="-"/>
      <w:lvlJc w:val="left"/>
      <w:pPr>
        <w:tabs>
          <w:tab w:val="num" w:pos="840"/>
        </w:tabs>
        <w:ind w:left="840" w:hanging="360"/>
      </w:pPr>
      <w:rPr>
        <w:rFonts w:ascii="Arial" w:eastAsia="Times New Roman" w:hAnsi="Arial" w:cs="Arial" w:hint="default"/>
      </w:rPr>
    </w:lvl>
    <w:lvl w:ilvl="1" w:tplc="041A0003">
      <w:start w:val="1"/>
      <w:numFmt w:val="bullet"/>
      <w:lvlText w:val="o"/>
      <w:lvlJc w:val="left"/>
      <w:pPr>
        <w:tabs>
          <w:tab w:val="num" w:pos="1320"/>
        </w:tabs>
        <w:ind w:left="1320" w:hanging="360"/>
      </w:pPr>
      <w:rPr>
        <w:rFonts w:ascii="Courier New" w:hAnsi="Courier New" w:cs="Courier New" w:hint="default"/>
      </w:rPr>
    </w:lvl>
    <w:lvl w:ilvl="2" w:tplc="54E41676">
      <w:numFmt w:val="bullet"/>
      <w:lvlText w:val="–"/>
      <w:lvlJc w:val="left"/>
      <w:pPr>
        <w:tabs>
          <w:tab w:val="num" w:pos="2040"/>
        </w:tabs>
        <w:ind w:left="2040" w:hanging="360"/>
      </w:pPr>
      <w:rPr>
        <w:rFonts w:ascii="Times New Roman" w:eastAsia="Times New Roman" w:hAnsi="Times New Roman" w:cs="Times New Roman" w:hint="default"/>
      </w:rPr>
    </w:lvl>
    <w:lvl w:ilvl="3" w:tplc="041A0001" w:tentative="1">
      <w:start w:val="1"/>
      <w:numFmt w:val="bullet"/>
      <w:lvlText w:val=""/>
      <w:lvlJc w:val="left"/>
      <w:pPr>
        <w:tabs>
          <w:tab w:val="num" w:pos="2760"/>
        </w:tabs>
        <w:ind w:left="2760" w:hanging="360"/>
      </w:pPr>
      <w:rPr>
        <w:rFonts w:ascii="Symbol" w:hAnsi="Symbol" w:hint="default"/>
      </w:rPr>
    </w:lvl>
    <w:lvl w:ilvl="4" w:tplc="041A0003" w:tentative="1">
      <w:start w:val="1"/>
      <w:numFmt w:val="bullet"/>
      <w:lvlText w:val="o"/>
      <w:lvlJc w:val="left"/>
      <w:pPr>
        <w:tabs>
          <w:tab w:val="num" w:pos="3480"/>
        </w:tabs>
        <w:ind w:left="3480" w:hanging="360"/>
      </w:pPr>
      <w:rPr>
        <w:rFonts w:ascii="Courier New" w:hAnsi="Courier New" w:cs="Courier New" w:hint="default"/>
      </w:rPr>
    </w:lvl>
    <w:lvl w:ilvl="5" w:tplc="041A0005" w:tentative="1">
      <w:start w:val="1"/>
      <w:numFmt w:val="bullet"/>
      <w:lvlText w:val=""/>
      <w:lvlJc w:val="left"/>
      <w:pPr>
        <w:tabs>
          <w:tab w:val="num" w:pos="4200"/>
        </w:tabs>
        <w:ind w:left="4200" w:hanging="360"/>
      </w:pPr>
      <w:rPr>
        <w:rFonts w:ascii="Wingdings" w:hAnsi="Wingdings" w:hint="default"/>
      </w:rPr>
    </w:lvl>
    <w:lvl w:ilvl="6" w:tplc="041A0001" w:tentative="1">
      <w:start w:val="1"/>
      <w:numFmt w:val="bullet"/>
      <w:lvlText w:val=""/>
      <w:lvlJc w:val="left"/>
      <w:pPr>
        <w:tabs>
          <w:tab w:val="num" w:pos="4920"/>
        </w:tabs>
        <w:ind w:left="4920" w:hanging="360"/>
      </w:pPr>
      <w:rPr>
        <w:rFonts w:ascii="Symbol" w:hAnsi="Symbol" w:hint="default"/>
      </w:rPr>
    </w:lvl>
    <w:lvl w:ilvl="7" w:tplc="041A0003" w:tentative="1">
      <w:start w:val="1"/>
      <w:numFmt w:val="bullet"/>
      <w:lvlText w:val="o"/>
      <w:lvlJc w:val="left"/>
      <w:pPr>
        <w:tabs>
          <w:tab w:val="num" w:pos="5640"/>
        </w:tabs>
        <w:ind w:left="5640" w:hanging="360"/>
      </w:pPr>
      <w:rPr>
        <w:rFonts w:ascii="Courier New" w:hAnsi="Courier New" w:cs="Courier New" w:hint="default"/>
      </w:rPr>
    </w:lvl>
    <w:lvl w:ilvl="8" w:tplc="041A0005" w:tentative="1">
      <w:start w:val="1"/>
      <w:numFmt w:val="bullet"/>
      <w:lvlText w:val=""/>
      <w:lvlJc w:val="left"/>
      <w:pPr>
        <w:tabs>
          <w:tab w:val="num" w:pos="6360"/>
        </w:tabs>
        <w:ind w:left="6360" w:hanging="360"/>
      </w:pPr>
      <w:rPr>
        <w:rFonts w:ascii="Wingdings" w:hAnsi="Wingdings" w:hint="default"/>
      </w:rPr>
    </w:lvl>
  </w:abstractNum>
  <w:abstractNum w:abstractNumId="23" w15:restartNumberingAfterBreak="0">
    <w:nsid w:val="1F774466"/>
    <w:multiLevelType w:val="hybridMultilevel"/>
    <w:tmpl w:val="115A2B82"/>
    <w:lvl w:ilvl="0" w:tplc="4CCA37E0">
      <w:start w:val="1"/>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2640817"/>
    <w:multiLevelType w:val="hybridMultilevel"/>
    <w:tmpl w:val="0FC2CC72"/>
    <w:lvl w:ilvl="0" w:tplc="27126A0E">
      <w:start w:val="39"/>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40C0CE8"/>
    <w:multiLevelType w:val="multilevel"/>
    <w:tmpl w:val="98CEABD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6" w15:restartNumberingAfterBreak="0">
    <w:nsid w:val="26CC22CC"/>
    <w:multiLevelType w:val="multilevel"/>
    <w:tmpl w:val="179C347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7" w15:restartNumberingAfterBreak="0">
    <w:nsid w:val="26D028A6"/>
    <w:multiLevelType w:val="multilevel"/>
    <w:tmpl w:val="61266DAA"/>
    <w:lvl w:ilvl="0">
      <w:numFmt w:val="bullet"/>
      <w:lvlText w:val="-"/>
      <w:lvlJc w:val="left"/>
      <w:pPr>
        <w:ind w:left="1353" w:hanging="360"/>
      </w:pPr>
      <w:rPr>
        <w:rFonts w:ascii="Calibri" w:eastAsia="Times New Roman" w:hAnsi="Calibri" w:cs="Calibri"/>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29251E38"/>
    <w:multiLevelType w:val="hybridMultilevel"/>
    <w:tmpl w:val="0708F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96550F6"/>
    <w:multiLevelType w:val="hybridMultilevel"/>
    <w:tmpl w:val="4E1AA2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B6E6755"/>
    <w:multiLevelType w:val="multilevel"/>
    <w:tmpl w:val="CA56DD9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1" w15:restartNumberingAfterBreak="0">
    <w:nsid w:val="35123D9B"/>
    <w:multiLevelType w:val="multilevel"/>
    <w:tmpl w:val="61D6ABDA"/>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32" w15:restartNumberingAfterBreak="0">
    <w:nsid w:val="36046897"/>
    <w:multiLevelType w:val="hybridMultilevel"/>
    <w:tmpl w:val="49D60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3B404123"/>
    <w:multiLevelType w:val="hybridMultilevel"/>
    <w:tmpl w:val="35A2E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3B915E0C"/>
    <w:multiLevelType w:val="multilevel"/>
    <w:tmpl w:val="66CAD6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 w15:restartNumberingAfterBreak="0">
    <w:nsid w:val="3E42210D"/>
    <w:multiLevelType w:val="hybridMultilevel"/>
    <w:tmpl w:val="652CDBA2"/>
    <w:lvl w:ilvl="0" w:tplc="041A0017">
      <w:start w:val="1"/>
      <w:numFmt w:val="lowerLetter"/>
      <w:lvlText w:val="%1)"/>
      <w:lvlJc w:val="left"/>
      <w:pPr>
        <w:ind w:left="1428" w:hanging="360"/>
      </w:pPr>
    </w:lvl>
    <w:lvl w:ilvl="1" w:tplc="041A0019">
      <w:start w:val="1"/>
      <w:numFmt w:val="lowerLetter"/>
      <w:lvlText w:val="%2."/>
      <w:lvlJc w:val="left"/>
      <w:pPr>
        <w:ind w:left="2148" w:hanging="360"/>
      </w:pPr>
    </w:lvl>
    <w:lvl w:ilvl="2" w:tplc="041A001B">
      <w:start w:val="1"/>
      <w:numFmt w:val="lowerRoman"/>
      <w:lvlText w:val="%3."/>
      <w:lvlJc w:val="right"/>
      <w:pPr>
        <w:ind w:left="2868" w:hanging="180"/>
      </w:pPr>
    </w:lvl>
    <w:lvl w:ilvl="3" w:tplc="041A000F">
      <w:start w:val="1"/>
      <w:numFmt w:val="decimal"/>
      <w:lvlText w:val="%4."/>
      <w:lvlJc w:val="left"/>
      <w:pPr>
        <w:ind w:left="3588" w:hanging="360"/>
      </w:pPr>
    </w:lvl>
    <w:lvl w:ilvl="4" w:tplc="041A0019">
      <w:start w:val="1"/>
      <w:numFmt w:val="lowerLetter"/>
      <w:lvlText w:val="%5."/>
      <w:lvlJc w:val="left"/>
      <w:pPr>
        <w:ind w:left="4308" w:hanging="360"/>
      </w:pPr>
    </w:lvl>
    <w:lvl w:ilvl="5" w:tplc="041A001B">
      <w:start w:val="1"/>
      <w:numFmt w:val="lowerRoman"/>
      <w:lvlText w:val="%6."/>
      <w:lvlJc w:val="right"/>
      <w:pPr>
        <w:ind w:left="5028" w:hanging="180"/>
      </w:pPr>
    </w:lvl>
    <w:lvl w:ilvl="6" w:tplc="041A000F">
      <w:start w:val="1"/>
      <w:numFmt w:val="decimal"/>
      <w:lvlText w:val="%7."/>
      <w:lvlJc w:val="left"/>
      <w:pPr>
        <w:ind w:left="5748" w:hanging="360"/>
      </w:pPr>
    </w:lvl>
    <w:lvl w:ilvl="7" w:tplc="041A0019">
      <w:start w:val="1"/>
      <w:numFmt w:val="lowerLetter"/>
      <w:lvlText w:val="%8."/>
      <w:lvlJc w:val="left"/>
      <w:pPr>
        <w:ind w:left="6468" w:hanging="360"/>
      </w:pPr>
    </w:lvl>
    <w:lvl w:ilvl="8" w:tplc="041A001B">
      <w:start w:val="1"/>
      <w:numFmt w:val="lowerRoman"/>
      <w:lvlText w:val="%9."/>
      <w:lvlJc w:val="right"/>
      <w:pPr>
        <w:ind w:left="7188" w:hanging="180"/>
      </w:pPr>
    </w:lvl>
  </w:abstractNum>
  <w:abstractNum w:abstractNumId="36" w15:restartNumberingAfterBreak="0">
    <w:nsid w:val="3F170A1C"/>
    <w:multiLevelType w:val="hybridMultilevel"/>
    <w:tmpl w:val="13FC22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3F376449"/>
    <w:multiLevelType w:val="hybridMultilevel"/>
    <w:tmpl w:val="2078E810"/>
    <w:lvl w:ilvl="0" w:tplc="389E5C28">
      <w:numFmt w:val="bullet"/>
      <w:lvlText w:val="-"/>
      <w:lvlJc w:val="left"/>
      <w:pPr>
        <w:ind w:left="720" w:hanging="360"/>
      </w:pPr>
      <w:rPr>
        <w:rFonts w:ascii="Calibri" w:eastAsia="Times New Roman"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401648A8"/>
    <w:multiLevelType w:val="hybridMultilevel"/>
    <w:tmpl w:val="E1B0B0B6"/>
    <w:lvl w:ilvl="0" w:tplc="94E22872">
      <w:start w:val="4"/>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9" w15:restartNumberingAfterBreak="0">
    <w:nsid w:val="43ED2906"/>
    <w:multiLevelType w:val="hybridMultilevel"/>
    <w:tmpl w:val="2CA88C12"/>
    <w:lvl w:ilvl="0" w:tplc="04090001">
      <w:start w:val="1"/>
      <w:numFmt w:val="bullet"/>
      <w:lvlText w:val=""/>
      <w:lvlJc w:val="left"/>
      <w:pPr>
        <w:tabs>
          <w:tab w:val="num" w:pos="1040"/>
        </w:tabs>
        <w:ind w:left="1040" w:hanging="360"/>
      </w:pPr>
      <w:rPr>
        <w:rFonts w:ascii="Symbol" w:hAnsi="Symbol" w:hint="default"/>
      </w:rPr>
    </w:lvl>
    <w:lvl w:ilvl="1" w:tplc="04090003">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40" w15:restartNumberingAfterBreak="0">
    <w:nsid w:val="47AF4B18"/>
    <w:multiLevelType w:val="hybridMultilevel"/>
    <w:tmpl w:val="5EEA9D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975580C"/>
    <w:multiLevelType w:val="multilevel"/>
    <w:tmpl w:val="F53CBA32"/>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49C37B2E"/>
    <w:multiLevelType w:val="multilevel"/>
    <w:tmpl w:val="B016BC6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3" w15:restartNumberingAfterBreak="0">
    <w:nsid w:val="4C6D4680"/>
    <w:multiLevelType w:val="hybridMultilevel"/>
    <w:tmpl w:val="FD347504"/>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4" w15:restartNumberingAfterBreak="0">
    <w:nsid w:val="4E777516"/>
    <w:multiLevelType w:val="hybridMultilevel"/>
    <w:tmpl w:val="263069B0"/>
    <w:lvl w:ilvl="0" w:tplc="041A0011">
      <w:start w:val="1"/>
      <w:numFmt w:val="decimal"/>
      <w:lvlText w:val="%1)"/>
      <w:lvlJc w:val="left"/>
      <w:pPr>
        <w:ind w:left="720" w:hanging="360"/>
      </w:p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5" w15:restartNumberingAfterBreak="0">
    <w:nsid w:val="51AB422E"/>
    <w:multiLevelType w:val="hybridMultilevel"/>
    <w:tmpl w:val="2870C9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54603FBB"/>
    <w:multiLevelType w:val="hybridMultilevel"/>
    <w:tmpl w:val="226E37CA"/>
    <w:lvl w:ilvl="0" w:tplc="38465924">
      <w:start w:val="1"/>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660664C"/>
    <w:multiLevelType w:val="hybridMultilevel"/>
    <w:tmpl w:val="6F6289AE"/>
    <w:lvl w:ilvl="0" w:tplc="08090001">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48" w15:restartNumberingAfterBreak="0">
    <w:nsid w:val="56A719E1"/>
    <w:multiLevelType w:val="multilevel"/>
    <w:tmpl w:val="0BEC9C80"/>
    <w:lvl w:ilvl="0">
      <w:start w:val="2"/>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49" w15:restartNumberingAfterBreak="0">
    <w:nsid w:val="57F04F6F"/>
    <w:multiLevelType w:val="multilevel"/>
    <w:tmpl w:val="11F42512"/>
    <w:lvl w:ilvl="0">
      <w:start w:val="4"/>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50" w15:restartNumberingAfterBreak="0">
    <w:nsid w:val="58614E43"/>
    <w:multiLevelType w:val="multilevel"/>
    <w:tmpl w:val="4BCEA3E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1" w15:restartNumberingAfterBreak="0">
    <w:nsid w:val="5A71714B"/>
    <w:multiLevelType w:val="hybridMultilevel"/>
    <w:tmpl w:val="53A205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5CE930DB"/>
    <w:multiLevelType w:val="multilevel"/>
    <w:tmpl w:val="E2405FE8"/>
    <w:styleLink w:val="LFO1"/>
    <w:lvl w:ilvl="0">
      <w:numFmt w:val="bullet"/>
      <w:pStyle w:val="T1PARAGRAPH"/>
      <w:lvlText w:val="-"/>
      <w:lvlJc w:val="left"/>
      <w:pPr>
        <w:ind w:left="720" w:hanging="72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3" w15:restartNumberingAfterBreak="0">
    <w:nsid w:val="604F70C8"/>
    <w:multiLevelType w:val="multilevel"/>
    <w:tmpl w:val="DCBA7F3E"/>
    <w:styleLink w:val="LFO6"/>
    <w:lvl w:ilvl="0">
      <w:start w:val="1"/>
      <w:numFmt w:val="decimal"/>
      <w:pStyle w:val="Bullet"/>
      <w:lvlText w:val="Example %1"/>
      <w:lvlJc w:val="left"/>
      <w:pPr>
        <w:ind w:left="720" w:hanging="720"/>
      </w:pPr>
      <w:rPr>
        <w:b/>
        <w:i w:val="0"/>
        <w:sz w:val="22"/>
      </w:rPr>
    </w:lvl>
    <w:lvl w:ilvl="1">
      <w:numFmt w:val="bullet"/>
      <w:lvlText w:val=""/>
      <w:lvlJc w:val="left"/>
      <w:pPr>
        <w:ind w:left="643" w:hanging="360"/>
      </w:pPr>
      <w:rPr>
        <w:rFonts w:ascii="Wingdings" w:hAnsi="Wingdings"/>
        <w:sz w:val="24"/>
      </w:rPr>
    </w:lvl>
    <w:lvl w:ilvl="2">
      <w:start w:val="1"/>
      <w:numFmt w:val="lowerRoman"/>
      <w:lvlText w:val="%3."/>
      <w:lvlJc w:val="right"/>
      <w:pPr>
        <w:ind w:left="2160" w:hanging="180"/>
      </w:pPr>
    </w:lvl>
    <w:lvl w:ilvl="3">
      <w:numFmt w:val="bullet"/>
      <w:lvlText w:val="•"/>
      <w:lvlJc w:val="left"/>
      <w:pPr>
        <w:ind w:left="3240" w:hanging="720"/>
      </w:pPr>
      <w:rPr>
        <w:rFonts w:ascii="Arial" w:eastAsia="Times New Roman"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0B00180"/>
    <w:multiLevelType w:val="hybridMultilevel"/>
    <w:tmpl w:val="510C90EC"/>
    <w:lvl w:ilvl="0" w:tplc="FFFFFFFF">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FFFFFFFF" w:tentative="1">
      <w:start w:val="1"/>
      <w:numFmt w:val="bullet"/>
      <w:lvlText w:val=""/>
      <w:lvlJc w:val="left"/>
      <w:pPr>
        <w:ind w:left="1828" w:hanging="360"/>
      </w:pPr>
      <w:rPr>
        <w:rFonts w:ascii="Wingdings" w:hAnsi="Wingdings" w:hint="default"/>
      </w:rPr>
    </w:lvl>
    <w:lvl w:ilvl="3" w:tplc="FFFFFFFF" w:tentative="1">
      <w:start w:val="1"/>
      <w:numFmt w:val="bullet"/>
      <w:lvlText w:val=""/>
      <w:lvlJc w:val="left"/>
      <w:pPr>
        <w:ind w:left="2548" w:hanging="360"/>
      </w:pPr>
      <w:rPr>
        <w:rFonts w:ascii="Symbol" w:hAnsi="Symbol" w:hint="default"/>
      </w:rPr>
    </w:lvl>
    <w:lvl w:ilvl="4" w:tplc="FFFFFFFF" w:tentative="1">
      <w:start w:val="1"/>
      <w:numFmt w:val="bullet"/>
      <w:lvlText w:val="o"/>
      <w:lvlJc w:val="left"/>
      <w:pPr>
        <w:ind w:left="3268" w:hanging="360"/>
      </w:pPr>
      <w:rPr>
        <w:rFonts w:ascii="Courier New" w:hAnsi="Courier New" w:cs="Courier New" w:hint="default"/>
      </w:rPr>
    </w:lvl>
    <w:lvl w:ilvl="5" w:tplc="FFFFFFFF" w:tentative="1">
      <w:start w:val="1"/>
      <w:numFmt w:val="bullet"/>
      <w:lvlText w:val=""/>
      <w:lvlJc w:val="left"/>
      <w:pPr>
        <w:ind w:left="3988" w:hanging="360"/>
      </w:pPr>
      <w:rPr>
        <w:rFonts w:ascii="Wingdings" w:hAnsi="Wingdings" w:hint="default"/>
      </w:rPr>
    </w:lvl>
    <w:lvl w:ilvl="6" w:tplc="FFFFFFFF" w:tentative="1">
      <w:start w:val="1"/>
      <w:numFmt w:val="bullet"/>
      <w:lvlText w:val=""/>
      <w:lvlJc w:val="left"/>
      <w:pPr>
        <w:ind w:left="4708" w:hanging="360"/>
      </w:pPr>
      <w:rPr>
        <w:rFonts w:ascii="Symbol" w:hAnsi="Symbol" w:hint="default"/>
      </w:rPr>
    </w:lvl>
    <w:lvl w:ilvl="7" w:tplc="FFFFFFFF" w:tentative="1">
      <w:start w:val="1"/>
      <w:numFmt w:val="bullet"/>
      <w:lvlText w:val="o"/>
      <w:lvlJc w:val="left"/>
      <w:pPr>
        <w:ind w:left="5428" w:hanging="360"/>
      </w:pPr>
      <w:rPr>
        <w:rFonts w:ascii="Courier New" w:hAnsi="Courier New" w:cs="Courier New" w:hint="default"/>
      </w:rPr>
    </w:lvl>
    <w:lvl w:ilvl="8" w:tplc="FFFFFFFF" w:tentative="1">
      <w:start w:val="1"/>
      <w:numFmt w:val="bullet"/>
      <w:lvlText w:val=""/>
      <w:lvlJc w:val="left"/>
      <w:pPr>
        <w:ind w:left="6148" w:hanging="360"/>
      </w:pPr>
      <w:rPr>
        <w:rFonts w:ascii="Wingdings" w:hAnsi="Wingdings" w:hint="default"/>
      </w:rPr>
    </w:lvl>
  </w:abstractNum>
  <w:abstractNum w:abstractNumId="55" w15:restartNumberingAfterBreak="0">
    <w:nsid w:val="60E04F52"/>
    <w:multiLevelType w:val="multilevel"/>
    <w:tmpl w:val="AABA44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62DE2000"/>
    <w:multiLevelType w:val="hybridMultilevel"/>
    <w:tmpl w:val="A6B287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65B50E0F"/>
    <w:multiLevelType w:val="hybridMultilevel"/>
    <w:tmpl w:val="304C2C5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65BF1A48"/>
    <w:multiLevelType w:val="multilevel"/>
    <w:tmpl w:val="F138988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9" w15:restartNumberingAfterBreak="0">
    <w:nsid w:val="6E9D5019"/>
    <w:multiLevelType w:val="hybridMultilevel"/>
    <w:tmpl w:val="4F481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6F880C88"/>
    <w:multiLevelType w:val="hybridMultilevel"/>
    <w:tmpl w:val="05108C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71243C82"/>
    <w:multiLevelType w:val="multilevel"/>
    <w:tmpl w:val="199E305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62" w15:restartNumberingAfterBreak="0">
    <w:nsid w:val="75B0389D"/>
    <w:multiLevelType w:val="multilevel"/>
    <w:tmpl w:val="679C2C5A"/>
    <w:lvl w:ilvl="0">
      <w:start w:val="1"/>
      <w:numFmt w:val="decimal"/>
      <w:lvlText w:val="%1."/>
      <w:lvlJc w:val="left"/>
      <w:pPr>
        <w:ind w:left="720" w:hanging="360"/>
      </w:pPr>
      <w:rPr>
        <w:rFonts w:asciiTheme="minorHAnsi" w:hAnsiTheme="minorHAnsi" w:cstheme="minorHAnsi"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D796D12"/>
    <w:multiLevelType w:val="hybridMultilevel"/>
    <w:tmpl w:val="DBE43E0E"/>
    <w:lvl w:ilvl="0" w:tplc="89A2892E">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7EB070C7"/>
    <w:multiLevelType w:val="multilevel"/>
    <w:tmpl w:val="879862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5" w15:restartNumberingAfterBreak="0">
    <w:nsid w:val="7EB379BB"/>
    <w:multiLevelType w:val="hybridMultilevel"/>
    <w:tmpl w:val="912CCF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7FCB58C6"/>
    <w:multiLevelType w:val="hybridMultilevel"/>
    <w:tmpl w:val="D8F82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883667227">
    <w:abstractNumId w:val="53"/>
  </w:num>
  <w:num w:numId="2" w16cid:durableId="1150514532">
    <w:abstractNumId w:val="12"/>
  </w:num>
  <w:num w:numId="3" w16cid:durableId="1758670129">
    <w:abstractNumId w:val="52"/>
  </w:num>
  <w:num w:numId="4" w16cid:durableId="1967537498">
    <w:abstractNumId w:val="30"/>
  </w:num>
  <w:num w:numId="5" w16cid:durableId="360059374">
    <w:abstractNumId w:val="42"/>
  </w:num>
  <w:num w:numId="6" w16cid:durableId="1647777534">
    <w:abstractNumId w:val="13"/>
  </w:num>
  <w:num w:numId="7" w16cid:durableId="370543427">
    <w:abstractNumId w:val="58"/>
  </w:num>
  <w:num w:numId="8" w16cid:durableId="909147626">
    <w:abstractNumId w:val="50"/>
  </w:num>
  <w:num w:numId="9" w16cid:durableId="1732801189">
    <w:abstractNumId w:val="6"/>
  </w:num>
  <w:num w:numId="10" w16cid:durableId="650057629">
    <w:abstractNumId w:val="61"/>
  </w:num>
  <w:num w:numId="11" w16cid:durableId="1671716932">
    <w:abstractNumId w:val="41"/>
  </w:num>
  <w:num w:numId="12" w16cid:durableId="1778871648">
    <w:abstractNumId w:val="62"/>
  </w:num>
  <w:num w:numId="13" w16cid:durableId="340473842">
    <w:abstractNumId w:val="55"/>
  </w:num>
  <w:num w:numId="14" w16cid:durableId="680086883">
    <w:abstractNumId w:val="31"/>
  </w:num>
  <w:num w:numId="15" w16cid:durableId="578558111">
    <w:abstractNumId w:val="48"/>
  </w:num>
  <w:num w:numId="16" w16cid:durableId="675303489">
    <w:abstractNumId w:val="17"/>
  </w:num>
  <w:num w:numId="17" w16cid:durableId="951211312">
    <w:abstractNumId w:val="49"/>
  </w:num>
  <w:num w:numId="18" w16cid:durableId="1834099460">
    <w:abstractNumId w:val="16"/>
  </w:num>
  <w:num w:numId="19" w16cid:durableId="1062214384">
    <w:abstractNumId w:val="21"/>
  </w:num>
  <w:num w:numId="20" w16cid:durableId="919607312">
    <w:abstractNumId w:val="27"/>
  </w:num>
  <w:num w:numId="21" w16cid:durableId="1805848482">
    <w:abstractNumId w:val="25"/>
  </w:num>
  <w:num w:numId="22" w16cid:durableId="684333039">
    <w:abstractNumId w:val="34"/>
  </w:num>
  <w:num w:numId="23" w16cid:durableId="515077563">
    <w:abstractNumId w:val="64"/>
  </w:num>
  <w:num w:numId="24" w16cid:durableId="1790394703">
    <w:abstractNumId w:val="20"/>
  </w:num>
  <w:num w:numId="25" w16cid:durableId="635255938">
    <w:abstractNumId w:val="51"/>
  </w:num>
  <w:num w:numId="26" w16cid:durableId="157842297">
    <w:abstractNumId w:val="2"/>
  </w:num>
  <w:num w:numId="27" w16cid:durableId="831944318">
    <w:abstractNumId w:val="33"/>
  </w:num>
  <w:num w:numId="28" w16cid:durableId="526259611">
    <w:abstractNumId w:val="47"/>
  </w:num>
  <w:num w:numId="29" w16cid:durableId="285963707">
    <w:abstractNumId w:val="54"/>
  </w:num>
  <w:num w:numId="30" w16cid:durableId="803156308">
    <w:abstractNumId w:val="46"/>
  </w:num>
  <w:num w:numId="31" w16cid:durableId="717628775">
    <w:abstractNumId w:val="8"/>
  </w:num>
  <w:num w:numId="32" w16cid:durableId="483932528">
    <w:abstractNumId w:val="5"/>
  </w:num>
  <w:num w:numId="33" w16cid:durableId="1179350228">
    <w:abstractNumId w:val="22"/>
  </w:num>
  <w:num w:numId="34" w16cid:durableId="767699516">
    <w:abstractNumId w:val="14"/>
  </w:num>
  <w:num w:numId="35" w16cid:durableId="1738631246">
    <w:abstractNumId w:val="43"/>
  </w:num>
  <w:num w:numId="36" w16cid:durableId="854422228">
    <w:abstractNumId w:val="10"/>
  </w:num>
  <w:num w:numId="37" w16cid:durableId="121735804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10324064">
    <w:abstractNumId w:val="0"/>
  </w:num>
  <w:num w:numId="39" w16cid:durableId="1500342200">
    <w:abstractNumId w:val="18"/>
  </w:num>
  <w:num w:numId="40" w16cid:durableId="650713324">
    <w:abstractNumId w:val="44"/>
    <w:lvlOverride w:ilvl="0">
      <w:startOverride w:val="1"/>
    </w:lvlOverride>
    <w:lvlOverride w:ilvl="1"/>
    <w:lvlOverride w:ilvl="2"/>
    <w:lvlOverride w:ilvl="3"/>
    <w:lvlOverride w:ilvl="4"/>
    <w:lvlOverride w:ilvl="5"/>
    <w:lvlOverride w:ilvl="6"/>
    <w:lvlOverride w:ilvl="7"/>
    <w:lvlOverride w:ilvl="8"/>
  </w:num>
  <w:num w:numId="41" w16cid:durableId="16240725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10683335">
    <w:abstractNumId w:val="11"/>
  </w:num>
  <w:num w:numId="43" w16cid:durableId="2021466521">
    <w:abstractNumId w:val="19"/>
  </w:num>
  <w:num w:numId="44" w16cid:durableId="289939208">
    <w:abstractNumId w:val="28"/>
  </w:num>
  <w:num w:numId="45" w16cid:durableId="842938306">
    <w:abstractNumId w:val="57"/>
  </w:num>
  <w:num w:numId="46" w16cid:durableId="1387030051">
    <w:abstractNumId w:val="40"/>
  </w:num>
  <w:num w:numId="47" w16cid:durableId="534775229">
    <w:abstractNumId w:val="45"/>
  </w:num>
  <w:num w:numId="48" w16cid:durableId="1317412435">
    <w:abstractNumId w:val="32"/>
  </w:num>
  <w:num w:numId="49" w16cid:durableId="26758654">
    <w:abstractNumId w:val="66"/>
  </w:num>
  <w:num w:numId="50" w16cid:durableId="1364943403">
    <w:abstractNumId w:val="56"/>
  </w:num>
  <w:num w:numId="51" w16cid:durableId="1392969400">
    <w:abstractNumId w:val="9"/>
  </w:num>
  <w:num w:numId="52" w16cid:durableId="2047411672">
    <w:abstractNumId w:val="4"/>
  </w:num>
  <w:num w:numId="53" w16cid:durableId="1314531683">
    <w:abstractNumId w:val="29"/>
  </w:num>
  <w:num w:numId="54" w16cid:durableId="1750736810">
    <w:abstractNumId w:val="59"/>
  </w:num>
  <w:num w:numId="55" w16cid:durableId="1740251512">
    <w:abstractNumId w:val="39"/>
  </w:num>
  <w:num w:numId="56" w16cid:durableId="16867095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49269978">
    <w:abstractNumId w:val="37"/>
  </w:num>
  <w:num w:numId="58" w16cid:durableId="1017080196">
    <w:abstractNumId w:val="23"/>
  </w:num>
  <w:num w:numId="59" w16cid:durableId="951085053">
    <w:abstractNumId w:val="3"/>
  </w:num>
  <w:num w:numId="60" w16cid:durableId="300161190">
    <w:abstractNumId w:val="7"/>
  </w:num>
  <w:num w:numId="61" w16cid:durableId="1238127097">
    <w:abstractNumId w:val="1"/>
  </w:num>
  <w:num w:numId="62" w16cid:durableId="198782739">
    <w:abstractNumId w:val="60"/>
  </w:num>
  <w:num w:numId="63" w16cid:durableId="1439371574">
    <w:abstractNumId w:val="24"/>
  </w:num>
  <w:num w:numId="64" w16cid:durableId="1840805378">
    <w:abstractNumId w:val="38"/>
  </w:num>
  <w:num w:numId="65" w16cid:durableId="654646394">
    <w:abstractNumId w:val="65"/>
  </w:num>
  <w:num w:numId="66" w16cid:durableId="770397131">
    <w:abstractNumId w:val="36"/>
  </w:num>
  <w:num w:numId="67" w16cid:durableId="1249386345">
    <w:abstractNumId w:val="63"/>
  </w:num>
  <w:num w:numId="68" w16cid:durableId="451367226">
    <w:abstractNumId w:val="47"/>
  </w:num>
  <w:num w:numId="69" w16cid:durableId="26028278">
    <w:abstractNumId w:val="54"/>
  </w:num>
  <w:num w:numId="70" w16cid:durableId="226188315">
    <w:abstractNumId w:val="33"/>
  </w:num>
  <w:num w:numId="71" w16cid:durableId="253174164">
    <w:abstractNumId w:val="51"/>
  </w:num>
  <w:num w:numId="72" w16cid:durableId="2125230777">
    <w:abstractNumId w:val="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68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CF2"/>
    <w:rsid w:val="00020AA3"/>
    <w:rsid w:val="0002451D"/>
    <w:rsid w:val="00025A48"/>
    <w:rsid w:val="00030541"/>
    <w:rsid w:val="00030D51"/>
    <w:rsid w:val="0003144F"/>
    <w:rsid w:val="000320EC"/>
    <w:rsid w:val="000322CE"/>
    <w:rsid w:val="000329B4"/>
    <w:rsid w:val="00035362"/>
    <w:rsid w:val="000370E6"/>
    <w:rsid w:val="00047FEF"/>
    <w:rsid w:val="00054989"/>
    <w:rsid w:val="0006179B"/>
    <w:rsid w:val="000627AD"/>
    <w:rsid w:val="00066076"/>
    <w:rsid w:val="000734C7"/>
    <w:rsid w:val="00074C70"/>
    <w:rsid w:val="00084C64"/>
    <w:rsid w:val="00090ABC"/>
    <w:rsid w:val="000A1B71"/>
    <w:rsid w:val="000A5400"/>
    <w:rsid w:val="000B648A"/>
    <w:rsid w:val="000B6C30"/>
    <w:rsid w:val="000D54B7"/>
    <w:rsid w:val="000D55F2"/>
    <w:rsid w:val="000D7573"/>
    <w:rsid w:val="000F0866"/>
    <w:rsid w:val="000F235C"/>
    <w:rsid w:val="000F238D"/>
    <w:rsid w:val="000F5E41"/>
    <w:rsid w:val="00103C06"/>
    <w:rsid w:val="00105FFC"/>
    <w:rsid w:val="0010612F"/>
    <w:rsid w:val="001066AF"/>
    <w:rsid w:val="00112534"/>
    <w:rsid w:val="00114229"/>
    <w:rsid w:val="0011710C"/>
    <w:rsid w:val="00117AFB"/>
    <w:rsid w:val="00120425"/>
    <w:rsid w:val="001209CB"/>
    <w:rsid w:val="00121BA4"/>
    <w:rsid w:val="00122EBC"/>
    <w:rsid w:val="0012339D"/>
    <w:rsid w:val="001250DF"/>
    <w:rsid w:val="00126286"/>
    <w:rsid w:val="0012797E"/>
    <w:rsid w:val="00130751"/>
    <w:rsid w:val="00131CD7"/>
    <w:rsid w:val="0013250F"/>
    <w:rsid w:val="00132B44"/>
    <w:rsid w:val="00140D79"/>
    <w:rsid w:val="00141BB8"/>
    <w:rsid w:val="00142243"/>
    <w:rsid w:val="001528DA"/>
    <w:rsid w:val="00162785"/>
    <w:rsid w:val="00162A62"/>
    <w:rsid w:val="00162ED6"/>
    <w:rsid w:val="00163AF2"/>
    <w:rsid w:val="00173300"/>
    <w:rsid w:val="0017330D"/>
    <w:rsid w:val="00174E78"/>
    <w:rsid w:val="00176009"/>
    <w:rsid w:val="001817DC"/>
    <w:rsid w:val="00185239"/>
    <w:rsid w:val="001856C5"/>
    <w:rsid w:val="00191FC3"/>
    <w:rsid w:val="001924D5"/>
    <w:rsid w:val="0019481C"/>
    <w:rsid w:val="001A0A0A"/>
    <w:rsid w:val="001A26DC"/>
    <w:rsid w:val="001A3A4D"/>
    <w:rsid w:val="001A6967"/>
    <w:rsid w:val="001B3E44"/>
    <w:rsid w:val="001C1B91"/>
    <w:rsid w:val="001C6278"/>
    <w:rsid w:val="001D3131"/>
    <w:rsid w:val="001D3BBA"/>
    <w:rsid w:val="001E6F96"/>
    <w:rsid w:val="001F089E"/>
    <w:rsid w:val="001F1E10"/>
    <w:rsid w:val="001F2313"/>
    <w:rsid w:val="001F2424"/>
    <w:rsid w:val="001F7D65"/>
    <w:rsid w:val="00203AE9"/>
    <w:rsid w:val="0020498D"/>
    <w:rsid w:val="00204C71"/>
    <w:rsid w:val="00205D0A"/>
    <w:rsid w:val="002076E0"/>
    <w:rsid w:val="002109F4"/>
    <w:rsid w:val="00210F93"/>
    <w:rsid w:val="00211679"/>
    <w:rsid w:val="00211EC4"/>
    <w:rsid w:val="002157E1"/>
    <w:rsid w:val="00222381"/>
    <w:rsid w:val="00223B36"/>
    <w:rsid w:val="00235B74"/>
    <w:rsid w:val="00243057"/>
    <w:rsid w:val="0024604E"/>
    <w:rsid w:val="0024722B"/>
    <w:rsid w:val="002504D5"/>
    <w:rsid w:val="00253443"/>
    <w:rsid w:val="00257D95"/>
    <w:rsid w:val="002662A2"/>
    <w:rsid w:val="00267AC3"/>
    <w:rsid w:val="002722BD"/>
    <w:rsid w:val="002817CF"/>
    <w:rsid w:val="00283D1D"/>
    <w:rsid w:val="002846E0"/>
    <w:rsid w:val="0028677A"/>
    <w:rsid w:val="002871E7"/>
    <w:rsid w:val="00291822"/>
    <w:rsid w:val="00295699"/>
    <w:rsid w:val="00296EC0"/>
    <w:rsid w:val="002A032D"/>
    <w:rsid w:val="002A41DA"/>
    <w:rsid w:val="002B37FF"/>
    <w:rsid w:val="002B7292"/>
    <w:rsid w:val="002C1DB7"/>
    <w:rsid w:val="002C5D89"/>
    <w:rsid w:val="002D0454"/>
    <w:rsid w:val="002D68C5"/>
    <w:rsid w:val="002D6F0B"/>
    <w:rsid w:val="002F0EFD"/>
    <w:rsid w:val="002F5AE0"/>
    <w:rsid w:val="003075BC"/>
    <w:rsid w:val="003105AD"/>
    <w:rsid w:val="00311E03"/>
    <w:rsid w:val="00311E9C"/>
    <w:rsid w:val="00312594"/>
    <w:rsid w:val="00312BB4"/>
    <w:rsid w:val="00320D4E"/>
    <w:rsid w:val="00321D27"/>
    <w:rsid w:val="00324128"/>
    <w:rsid w:val="00327C22"/>
    <w:rsid w:val="003317D2"/>
    <w:rsid w:val="00341483"/>
    <w:rsid w:val="003423D4"/>
    <w:rsid w:val="003517D1"/>
    <w:rsid w:val="003518ED"/>
    <w:rsid w:val="00351B13"/>
    <w:rsid w:val="00353F58"/>
    <w:rsid w:val="00354421"/>
    <w:rsid w:val="00354E4E"/>
    <w:rsid w:val="00356F34"/>
    <w:rsid w:val="00364EE3"/>
    <w:rsid w:val="00370568"/>
    <w:rsid w:val="003714BD"/>
    <w:rsid w:val="003732B2"/>
    <w:rsid w:val="00381E4F"/>
    <w:rsid w:val="003822D9"/>
    <w:rsid w:val="00382CF2"/>
    <w:rsid w:val="00387042"/>
    <w:rsid w:val="003909C1"/>
    <w:rsid w:val="00390CEE"/>
    <w:rsid w:val="00391DDA"/>
    <w:rsid w:val="00394AB2"/>
    <w:rsid w:val="0039634B"/>
    <w:rsid w:val="00396B19"/>
    <w:rsid w:val="003A12EC"/>
    <w:rsid w:val="003A309C"/>
    <w:rsid w:val="003B1363"/>
    <w:rsid w:val="003B25E9"/>
    <w:rsid w:val="003B561B"/>
    <w:rsid w:val="003B6068"/>
    <w:rsid w:val="003C105E"/>
    <w:rsid w:val="003C423C"/>
    <w:rsid w:val="003D46CB"/>
    <w:rsid w:val="003E3EFF"/>
    <w:rsid w:val="003E465D"/>
    <w:rsid w:val="003F54D6"/>
    <w:rsid w:val="00407F87"/>
    <w:rsid w:val="00412073"/>
    <w:rsid w:val="004128E6"/>
    <w:rsid w:val="0041461F"/>
    <w:rsid w:val="004146FB"/>
    <w:rsid w:val="00420BB3"/>
    <w:rsid w:val="00423752"/>
    <w:rsid w:val="00423C33"/>
    <w:rsid w:val="00424B33"/>
    <w:rsid w:val="0042777A"/>
    <w:rsid w:val="0043181F"/>
    <w:rsid w:val="00436A90"/>
    <w:rsid w:val="0044110F"/>
    <w:rsid w:val="00442C3B"/>
    <w:rsid w:val="00444A7D"/>
    <w:rsid w:val="004455A3"/>
    <w:rsid w:val="00445AA6"/>
    <w:rsid w:val="00447766"/>
    <w:rsid w:val="00455752"/>
    <w:rsid w:val="004610CD"/>
    <w:rsid w:val="00462220"/>
    <w:rsid w:val="00473671"/>
    <w:rsid w:val="00480888"/>
    <w:rsid w:val="00482B77"/>
    <w:rsid w:val="00486835"/>
    <w:rsid w:val="00486C03"/>
    <w:rsid w:val="00491571"/>
    <w:rsid w:val="004A06EA"/>
    <w:rsid w:val="004A467A"/>
    <w:rsid w:val="004A7DB0"/>
    <w:rsid w:val="004B1895"/>
    <w:rsid w:val="004B24B1"/>
    <w:rsid w:val="004C6309"/>
    <w:rsid w:val="004D67B0"/>
    <w:rsid w:val="004D6F0F"/>
    <w:rsid w:val="004E2F51"/>
    <w:rsid w:val="004E5337"/>
    <w:rsid w:val="004F4DD1"/>
    <w:rsid w:val="004F5C67"/>
    <w:rsid w:val="00505FE8"/>
    <w:rsid w:val="00506607"/>
    <w:rsid w:val="00507B1F"/>
    <w:rsid w:val="00511D3E"/>
    <w:rsid w:val="00511D7F"/>
    <w:rsid w:val="00512E9C"/>
    <w:rsid w:val="0051526D"/>
    <w:rsid w:val="00520E5C"/>
    <w:rsid w:val="00524784"/>
    <w:rsid w:val="005409A8"/>
    <w:rsid w:val="0055174E"/>
    <w:rsid w:val="00552B17"/>
    <w:rsid w:val="00553F44"/>
    <w:rsid w:val="00557B64"/>
    <w:rsid w:val="00564A82"/>
    <w:rsid w:val="00566525"/>
    <w:rsid w:val="00571070"/>
    <w:rsid w:val="0057395B"/>
    <w:rsid w:val="005819D7"/>
    <w:rsid w:val="005823A8"/>
    <w:rsid w:val="00585088"/>
    <w:rsid w:val="0058618D"/>
    <w:rsid w:val="0059109F"/>
    <w:rsid w:val="00592975"/>
    <w:rsid w:val="005942CE"/>
    <w:rsid w:val="005952D6"/>
    <w:rsid w:val="0059685A"/>
    <w:rsid w:val="005A4AA0"/>
    <w:rsid w:val="005B31E1"/>
    <w:rsid w:val="005B34C5"/>
    <w:rsid w:val="005B3E69"/>
    <w:rsid w:val="005B4867"/>
    <w:rsid w:val="005C4722"/>
    <w:rsid w:val="005D22E7"/>
    <w:rsid w:val="005E013D"/>
    <w:rsid w:val="005E35CB"/>
    <w:rsid w:val="005E6726"/>
    <w:rsid w:val="005F66C3"/>
    <w:rsid w:val="00603AB7"/>
    <w:rsid w:val="00603AF4"/>
    <w:rsid w:val="00606FAE"/>
    <w:rsid w:val="0061136B"/>
    <w:rsid w:val="00623A1D"/>
    <w:rsid w:val="00624084"/>
    <w:rsid w:val="006310D9"/>
    <w:rsid w:val="00633ACD"/>
    <w:rsid w:val="00634DEF"/>
    <w:rsid w:val="00637B38"/>
    <w:rsid w:val="006403C9"/>
    <w:rsid w:val="006407B7"/>
    <w:rsid w:val="00641263"/>
    <w:rsid w:val="006466E3"/>
    <w:rsid w:val="00655550"/>
    <w:rsid w:val="006560EC"/>
    <w:rsid w:val="006579E6"/>
    <w:rsid w:val="006641EF"/>
    <w:rsid w:val="00664C6C"/>
    <w:rsid w:val="00672285"/>
    <w:rsid w:val="00683D51"/>
    <w:rsid w:val="00685EEA"/>
    <w:rsid w:val="00690F12"/>
    <w:rsid w:val="00695D30"/>
    <w:rsid w:val="006A261B"/>
    <w:rsid w:val="006A2D47"/>
    <w:rsid w:val="006A7758"/>
    <w:rsid w:val="006B0A91"/>
    <w:rsid w:val="006B299B"/>
    <w:rsid w:val="006B7128"/>
    <w:rsid w:val="006B7E2A"/>
    <w:rsid w:val="006C7C20"/>
    <w:rsid w:val="006D0EB6"/>
    <w:rsid w:val="006D48E6"/>
    <w:rsid w:val="006D612B"/>
    <w:rsid w:val="006E3DA9"/>
    <w:rsid w:val="006F1160"/>
    <w:rsid w:val="006F176F"/>
    <w:rsid w:val="006F1F13"/>
    <w:rsid w:val="006F2CD2"/>
    <w:rsid w:val="006F43E3"/>
    <w:rsid w:val="006F52D1"/>
    <w:rsid w:val="007020D6"/>
    <w:rsid w:val="00705CBD"/>
    <w:rsid w:val="00705E68"/>
    <w:rsid w:val="00706472"/>
    <w:rsid w:val="007161F1"/>
    <w:rsid w:val="00720022"/>
    <w:rsid w:val="0072585D"/>
    <w:rsid w:val="007333F6"/>
    <w:rsid w:val="00734BAD"/>
    <w:rsid w:val="00747551"/>
    <w:rsid w:val="007515D1"/>
    <w:rsid w:val="00752746"/>
    <w:rsid w:val="007528E9"/>
    <w:rsid w:val="00752D2A"/>
    <w:rsid w:val="00753142"/>
    <w:rsid w:val="007535FD"/>
    <w:rsid w:val="00753654"/>
    <w:rsid w:val="00753CAD"/>
    <w:rsid w:val="00754738"/>
    <w:rsid w:val="00754C14"/>
    <w:rsid w:val="0075733D"/>
    <w:rsid w:val="00763573"/>
    <w:rsid w:val="00776563"/>
    <w:rsid w:val="007814DA"/>
    <w:rsid w:val="00782C19"/>
    <w:rsid w:val="007850B4"/>
    <w:rsid w:val="00786198"/>
    <w:rsid w:val="007929AD"/>
    <w:rsid w:val="00795EF0"/>
    <w:rsid w:val="0079718B"/>
    <w:rsid w:val="007A6E07"/>
    <w:rsid w:val="007A7018"/>
    <w:rsid w:val="007B53E5"/>
    <w:rsid w:val="007B61CB"/>
    <w:rsid w:val="007B6354"/>
    <w:rsid w:val="007C1DAF"/>
    <w:rsid w:val="007C2E06"/>
    <w:rsid w:val="007C4604"/>
    <w:rsid w:val="007C7F0B"/>
    <w:rsid w:val="007D35D5"/>
    <w:rsid w:val="007D5BEF"/>
    <w:rsid w:val="007E3A4D"/>
    <w:rsid w:val="007E3D72"/>
    <w:rsid w:val="007E5D38"/>
    <w:rsid w:val="007F13D5"/>
    <w:rsid w:val="007F307F"/>
    <w:rsid w:val="007F3D38"/>
    <w:rsid w:val="007F4B50"/>
    <w:rsid w:val="007F7665"/>
    <w:rsid w:val="00804BFE"/>
    <w:rsid w:val="00804CB8"/>
    <w:rsid w:val="008101D5"/>
    <w:rsid w:val="008142F4"/>
    <w:rsid w:val="00816E3B"/>
    <w:rsid w:val="00821198"/>
    <w:rsid w:val="00822821"/>
    <w:rsid w:val="00825760"/>
    <w:rsid w:val="00826764"/>
    <w:rsid w:val="00834686"/>
    <w:rsid w:val="00834EF2"/>
    <w:rsid w:val="008363C6"/>
    <w:rsid w:val="00841588"/>
    <w:rsid w:val="00847A9E"/>
    <w:rsid w:val="00850C16"/>
    <w:rsid w:val="0085350C"/>
    <w:rsid w:val="00856CC8"/>
    <w:rsid w:val="00857D0A"/>
    <w:rsid w:val="008629AF"/>
    <w:rsid w:val="008639C8"/>
    <w:rsid w:val="0086451A"/>
    <w:rsid w:val="00867A50"/>
    <w:rsid w:val="008703DB"/>
    <w:rsid w:val="00871762"/>
    <w:rsid w:val="00872A90"/>
    <w:rsid w:val="00874C60"/>
    <w:rsid w:val="00875E80"/>
    <w:rsid w:val="00875FA6"/>
    <w:rsid w:val="00883AD9"/>
    <w:rsid w:val="008917EB"/>
    <w:rsid w:val="00891AF9"/>
    <w:rsid w:val="00891E0E"/>
    <w:rsid w:val="0089384A"/>
    <w:rsid w:val="008947A3"/>
    <w:rsid w:val="00896A43"/>
    <w:rsid w:val="008A33E6"/>
    <w:rsid w:val="008B03FE"/>
    <w:rsid w:val="008B38E7"/>
    <w:rsid w:val="008C0262"/>
    <w:rsid w:val="008C0EF2"/>
    <w:rsid w:val="008C2E70"/>
    <w:rsid w:val="008D146A"/>
    <w:rsid w:val="008D35FB"/>
    <w:rsid w:val="008D3815"/>
    <w:rsid w:val="008E0495"/>
    <w:rsid w:val="008E05EE"/>
    <w:rsid w:val="008E329D"/>
    <w:rsid w:val="008E33C7"/>
    <w:rsid w:val="008E3E24"/>
    <w:rsid w:val="008E4AC3"/>
    <w:rsid w:val="008E4C3B"/>
    <w:rsid w:val="008F15BA"/>
    <w:rsid w:val="008F4F7E"/>
    <w:rsid w:val="00902A05"/>
    <w:rsid w:val="009051FB"/>
    <w:rsid w:val="009079A2"/>
    <w:rsid w:val="00910A2E"/>
    <w:rsid w:val="009119BC"/>
    <w:rsid w:val="00923B32"/>
    <w:rsid w:val="00927E2E"/>
    <w:rsid w:val="009307DC"/>
    <w:rsid w:val="00937960"/>
    <w:rsid w:val="00937D2E"/>
    <w:rsid w:val="00940BB0"/>
    <w:rsid w:val="00945AEB"/>
    <w:rsid w:val="0095327F"/>
    <w:rsid w:val="00955B06"/>
    <w:rsid w:val="00956802"/>
    <w:rsid w:val="00957DFF"/>
    <w:rsid w:val="009620F6"/>
    <w:rsid w:val="00972D5C"/>
    <w:rsid w:val="009741C0"/>
    <w:rsid w:val="00977700"/>
    <w:rsid w:val="009841C9"/>
    <w:rsid w:val="009905B5"/>
    <w:rsid w:val="009922E1"/>
    <w:rsid w:val="009A0B3A"/>
    <w:rsid w:val="009A72BE"/>
    <w:rsid w:val="009B3F08"/>
    <w:rsid w:val="009B6A62"/>
    <w:rsid w:val="009C2CD1"/>
    <w:rsid w:val="009C7617"/>
    <w:rsid w:val="009D1B37"/>
    <w:rsid w:val="009D3036"/>
    <w:rsid w:val="009D347B"/>
    <w:rsid w:val="009E08C3"/>
    <w:rsid w:val="009E0A27"/>
    <w:rsid w:val="009E5252"/>
    <w:rsid w:val="009F41BE"/>
    <w:rsid w:val="009F4C08"/>
    <w:rsid w:val="009F71BC"/>
    <w:rsid w:val="00A01D7A"/>
    <w:rsid w:val="00A0295A"/>
    <w:rsid w:val="00A02E47"/>
    <w:rsid w:val="00A03E48"/>
    <w:rsid w:val="00A10400"/>
    <w:rsid w:val="00A11654"/>
    <w:rsid w:val="00A1692D"/>
    <w:rsid w:val="00A17B30"/>
    <w:rsid w:val="00A2037B"/>
    <w:rsid w:val="00A23DDB"/>
    <w:rsid w:val="00A31743"/>
    <w:rsid w:val="00A31CAC"/>
    <w:rsid w:val="00A41317"/>
    <w:rsid w:val="00A415CF"/>
    <w:rsid w:val="00A54311"/>
    <w:rsid w:val="00A55E1D"/>
    <w:rsid w:val="00A562C0"/>
    <w:rsid w:val="00A60BF2"/>
    <w:rsid w:val="00A62696"/>
    <w:rsid w:val="00A639D8"/>
    <w:rsid w:val="00A65BD5"/>
    <w:rsid w:val="00A709D8"/>
    <w:rsid w:val="00A727CC"/>
    <w:rsid w:val="00A73942"/>
    <w:rsid w:val="00A755D6"/>
    <w:rsid w:val="00A76958"/>
    <w:rsid w:val="00A80BAD"/>
    <w:rsid w:val="00A8771C"/>
    <w:rsid w:val="00A90822"/>
    <w:rsid w:val="00A914CD"/>
    <w:rsid w:val="00A920B1"/>
    <w:rsid w:val="00A9237E"/>
    <w:rsid w:val="00A92DEC"/>
    <w:rsid w:val="00A93C39"/>
    <w:rsid w:val="00A957C6"/>
    <w:rsid w:val="00AB33F4"/>
    <w:rsid w:val="00AB5F92"/>
    <w:rsid w:val="00AC135C"/>
    <w:rsid w:val="00AC4579"/>
    <w:rsid w:val="00AC5EAD"/>
    <w:rsid w:val="00AE0176"/>
    <w:rsid w:val="00AE0656"/>
    <w:rsid w:val="00AE1CE5"/>
    <w:rsid w:val="00AE3B0D"/>
    <w:rsid w:val="00AE4BAA"/>
    <w:rsid w:val="00AE4C8B"/>
    <w:rsid w:val="00AE4F61"/>
    <w:rsid w:val="00AE619C"/>
    <w:rsid w:val="00AF062A"/>
    <w:rsid w:val="00AF48F2"/>
    <w:rsid w:val="00B24002"/>
    <w:rsid w:val="00B27482"/>
    <w:rsid w:val="00B317D1"/>
    <w:rsid w:val="00B35AC2"/>
    <w:rsid w:val="00B37805"/>
    <w:rsid w:val="00B37A90"/>
    <w:rsid w:val="00B520B0"/>
    <w:rsid w:val="00B52B11"/>
    <w:rsid w:val="00B57242"/>
    <w:rsid w:val="00B62047"/>
    <w:rsid w:val="00B64830"/>
    <w:rsid w:val="00B733B1"/>
    <w:rsid w:val="00B81629"/>
    <w:rsid w:val="00B85B50"/>
    <w:rsid w:val="00B93E80"/>
    <w:rsid w:val="00B94D6C"/>
    <w:rsid w:val="00B95E48"/>
    <w:rsid w:val="00BA0699"/>
    <w:rsid w:val="00BA06B2"/>
    <w:rsid w:val="00BA4E29"/>
    <w:rsid w:val="00BA5D04"/>
    <w:rsid w:val="00BA73F7"/>
    <w:rsid w:val="00BB01A8"/>
    <w:rsid w:val="00BB131D"/>
    <w:rsid w:val="00BB609F"/>
    <w:rsid w:val="00BB66B5"/>
    <w:rsid w:val="00BC2670"/>
    <w:rsid w:val="00BD1260"/>
    <w:rsid w:val="00BD1CAB"/>
    <w:rsid w:val="00BD2102"/>
    <w:rsid w:val="00BD43BE"/>
    <w:rsid w:val="00BD6FCC"/>
    <w:rsid w:val="00BE1EC0"/>
    <w:rsid w:val="00BE29E4"/>
    <w:rsid w:val="00BE7D0F"/>
    <w:rsid w:val="00BF4576"/>
    <w:rsid w:val="00BF521E"/>
    <w:rsid w:val="00BF752D"/>
    <w:rsid w:val="00C0181E"/>
    <w:rsid w:val="00C028E6"/>
    <w:rsid w:val="00C0544B"/>
    <w:rsid w:val="00C1045B"/>
    <w:rsid w:val="00C12D74"/>
    <w:rsid w:val="00C14925"/>
    <w:rsid w:val="00C226FF"/>
    <w:rsid w:val="00C22849"/>
    <w:rsid w:val="00C34FB6"/>
    <w:rsid w:val="00C47E37"/>
    <w:rsid w:val="00C54E38"/>
    <w:rsid w:val="00C56ECA"/>
    <w:rsid w:val="00C615FE"/>
    <w:rsid w:val="00C62119"/>
    <w:rsid w:val="00C636B1"/>
    <w:rsid w:val="00C639A1"/>
    <w:rsid w:val="00C657CF"/>
    <w:rsid w:val="00C65BD4"/>
    <w:rsid w:val="00C7039E"/>
    <w:rsid w:val="00C71CC3"/>
    <w:rsid w:val="00C744C1"/>
    <w:rsid w:val="00C772AB"/>
    <w:rsid w:val="00C800F2"/>
    <w:rsid w:val="00C802B8"/>
    <w:rsid w:val="00C81E8B"/>
    <w:rsid w:val="00C837EC"/>
    <w:rsid w:val="00C8476F"/>
    <w:rsid w:val="00C9021B"/>
    <w:rsid w:val="00C908B8"/>
    <w:rsid w:val="00C97AEB"/>
    <w:rsid w:val="00CA2C34"/>
    <w:rsid w:val="00CA431D"/>
    <w:rsid w:val="00CA547B"/>
    <w:rsid w:val="00CB0528"/>
    <w:rsid w:val="00CB2A45"/>
    <w:rsid w:val="00CC1FFB"/>
    <w:rsid w:val="00CC7575"/>
    <w:rsid w:val="00CD3EA4"/>
    <w:rsid w:val="00CD6310"/>
    <w:rsid w:val="00CD6ED9"/>
    <w:rsid w:val="00CE0161"/>
    <w:rsid w:val="00CE1958"/>
    <w:rsid w:val="00CE2233"/>
    <w:rsid w:val="00CF2231"/>
    <w:rsid w:val="00CF3127"/>
    <w:rsid w:val="00CF76A9"/>
    <w:rsid w:val="00D01208"/>
    <w:rsid w:val="00D035E7"/>
    <w:rsid w:val="00D042BF"/>
    <w:rsid w:val="00D169DC"/>
    <w:rsid w:val="00D2143C"/>
    <w:rsid w:val="00D250AC"/>
    <w:rsid w:val="00D25B8D"/>
    <w:rsid w:val="00D32822"/>
    <w:rsid w:val="00D37B91"/>
    <w:rsid w:val="00D42113"/>
    <w:rsid w:val="00D459CC"/>
    <w:rsid w:val="00D47BF8"/>
    <w:rsid w:val="00D5192D"/>
    <w:rsid w:val="00D62BD7"/>
    <w:rsid w:val="00D63272"/>
    <w:rsid w:val="00D6467E"/>
    <w:rsid w:val="00D73B0F"/>
    <w:rsid w:val="00D75F28"/>
    <w:rsid w:val="00D804DF"/>
    <w:rsid w:val="00D85B5F"/>
    <w:rsid w:val="00D87F2A"/>
    <w:rsid w:val="00D9081D"/>
    <w:rsid w:val="00D914CA"/>
    <w:rsid w:val="00DA027C"/>
    <w:rsid w:val="00DA03F8"/>
    <w:rsid w:val="00DA5A86"/>
    <w:rsid w:val="00DA7315"/>
    <w:rsid w:val="00DB7B6C"/>
    <w:rsid w:val="00DD0605"/>
    <w:rsid w:val="00DD4B19"/>
    <w:rsid w:val="00DD551B"/>
    <w:rsid w:val="00DD7CDA"/>
    <w:rsid w:val="00DE344A"/>
    <w:rsid w:val="00DE3EF1"/>
    <w:rsid w:val="00DE79EE"/>
    <w:rsid w:val="00DF084A"/>
    <w:rsid w:val="00DF5D0D"/>
    <w:rsid w:val="00DF5D5A"/>
    <w:rsid w:val="00DF7463"/>
    <w:rsid w:val="00E000C2"/>
    <w:rsid w:val="00E039DC"/>
    <w:rsid w:val="00E053FB"/>
    <w:rsid w:val="00E064C1"/>
    <w:rsid w:val="00E0717E"/>
    <w:rsid w:val="00E168BE"/>
    <w:rsid w:val="00E20524"/>
    <w:rsid w:val="00E2060A"/>
    <w:rsid w:val="00E23982"/>
    <w:rsid w:val="00E23F7A"/>
    <w:rsid w:val="00E31268"/>
    <w:rsid w:val="00E31F79"/>
    <w:rsid w:val="00E35875"/>
    <w:rsid w:val="00E36B70"/>
    <w:rsid w:val="00E45A39"/>
    <w:rsid w:val="00E46000"/>
    <w:rsid w:val="00E56D74"/>
    <w:rsid w:val="00E62E59"/>
    <w:rsid w:val="00E63F93"/>
    <w:rsid w:val="00E64437"/>
    <w:rsid w:val="00E66E12"/>
    <w:rsid w:val="00E76A93"/>
    <w:rsid w:val="00E77B8F"/>
    <w:rsid w:val="00E80CB4"/>
    <w:rsid w:val="00E8359C"/>
    <w:rsid w:val="00E84407"/>
    <w:rsid w:val="00E86A0D"/>
    <w:rsid w:val="00E9699B"/>
    <w:rsid w:val="00EA34A9"/>
    <w:rsid w:val="00EA3D82"/>
    <w:rsid w:val="00EA5526"/>
    <w:rsid w:val="00EB3E96"/>
    <w:rsid w:val="00EB63E7"/>
    <w:rsid w:val="00EB7EA7"/>
    <w:rsid w:val="00EC05F2"/>
    <w:rsid w:val="00EC4074"/>
    <w:rsid w:val="00EC450F"/>
    <w:rsid w:val="00EC613F"/>
    <w:rsid w:val="00ED0A0F"/>
    <w:rsid w:val="00ED2160"/>
    <w:rsid w:val="00ED5093"/>
    <w:rsid w:val="00EE4570"/>
    <w:rsid w:val="00EE5B34"/>
    <w:rsid w:val="00EF6C41"/>
    <w:rsid w:val="00F00AAD"/>
    <w:rsid w:val="00F012A3"/>
    <w:rsid w:val="00F0179F"/>
    <w:rsid w:val="00F01828"/>
    <w:rsid w:val="00F0446F"/>
    <w:rsid w:val="00F04D76"/>
    <w:rsid w:val="00F116A4"/>
    <w:rsid w:val="00F16BB1"/>
    <w:rsid w:val="00F176DB"/>
    <w:rsid w:val="00F30B98"/>
    <w:rsid w:val="00F3693A"/>
    <w:rsid w:val="00F408C1"/>
    <w:rsid w:val="00F414C9"/>
    <w:rsid w:val="00F42CCB"/>
    <w:rsid w:val="00F42F47"/>
    <w:rsid w:val="00F430DB"/>
    <w:rsid w:val="00F45324"/>
    <w:rsid w:val="00F50591"/>
    <w:rsid w:val="00F506E5"/>
    <w:rsid w:val="00F51E0B"/>
    <w:rsid w:val="00F53010"/>
    <w:rsid w:val="00F54513"/>
    <w:rsid w:val="00F62580"/>
    <w:rsid w:val="00F64184"/>
    <w:rsid w:val="00F65C9F"/>
    <w:rsid w:val="00F70F1E"/>
    <w:rsid w:val="00F74666"/>
    <w:rsid w:val="00F82210"/>
    <w:rsid w:val="00F8327F"/>
    <w:rsid w:val="00F946A9"/>
    <w:rsid w:val="00F979CE"/>
    <w:rsid w:val="00FA0054"/>
    <w:rsid w:val="00FA1535"/>
    <w:rsid w:val="00FA1950"/>
    <w:rsid w:val="00FA20A9"/>
    <w:rsid w:val="00FA65C1"/>
    <w:rsid w:val="00FB034A"/>
    <w:rsid w:val="00FB52CD"/>
    <w:rsid w:val="00FC49CF"/>
    <w:rsid w:val="00FC6427"/>
    <w:rsid w:val="00FD2919"/>
    <w:rsid w:val="00FE06C6"/>
    <w:rsid w:val="00FE0D9E"/>
    <w:rsid w:val="00FE4A32"/>
    <w:rsid w:val="00FF16F1"/>
    <w:rsid w:val="00FF30EA"/>
    <w:rsid w:val="00FF5A40"/>
    <w:rsid w:val="00FF62B6"/>
    <w:rsid w:val="00FF7DAA"/>
    <w:rsid w:val="049DA6E3"/>
    <w:rsid w:val="04F846AF"/>
    <w:rsid w:val="069B160E"/>
    <w:rsid w:val="08211F6B"/>
    <w:rsid w:val="1465088D"/>
    <w:rsid w:val="148333EB"/>
    <w:rsid w:val="1495992F"/>
    <w:rsid w:val="1BFDA6C7"/>
    <w:rsid w:val="20B00302"/>
    <w:rsid w:val="226929A5"/>
    <w:rsid w:val="25108395"/>
    <w:rsid w:val="2767BDFC"/>
    <w:rsid w:val="27AF7E1D"/>
    <w:rsid w:val="2D5F5D79"/>
    <w:rsid w:val="2EDD9F9F"/>
    <w:rsid w:val="317E0E4B"/>
    <w:rsid w:val="33AB00D1"/>
    <w:rsid w:val="38D92637"/>
    <w:rsid w:val="3A75D660"/>
    <w:rsid w:val="3B47A3A8"/>
    <w:rsid w:val="3BF66FAC"/>
    <w:rsid w:val="43EABE2E"/>
    <w:rsid w:val="480B611F"/>
    <w:rsid w:val="49B4F192"/>
    <w:rsid w:val="4AF032DA"/>
    <w:rsid w:val="4CA878C4"/>
    <w:rsid w:val="4CD10B3D"/>
    <w:rsid w:val="4DB17F52"/>
    <w:rsid w:val="52F28258"/>
    <w:rsid w:val="5801BEA1"/>
    <w:rsid w:val="5C80D097"/>
    <w:rsid w:val="5DC73205"/>
    <w:rsid w:val="6874245F"/>
    <w:rsid w:val="6B254CED"/>
    <w:rsid w:val="6CE21C17"/>
    <w:rsid w:val="7E72E80C"/>
    <w:rsid w:val="7EB8D50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8D63E"/>
  <w15:docId w15:val="{B58CDE56-7AF4-49C1-8395-F7B773DCF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rPr>
  </w:style>
  <w:style w:type="paragraph" w:styleId="Heading1">
    <w:name w:val="heading 1"/>
    <w:aliases w:val="h1"/>
    <w:basedOn w:val="Normal"/>
    <w:next w:val="Normal"/>
    <w:link w:val="Heading1Char"/>
    <w:uiPriority w:val="9"/>
    <w:qFormat/>
    <w:rsid w:val="004E2F5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4BF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40"/>
      <w:outlineLvl w:val="2"/>
    </w:pPr>
    <w:rPr>
      <w:rFonts w:ascii="Calibri Light" w:hAnsi="Calibri Light"/>
      <w:color w:val="1F3763"/>
    </w:rPr>
  </w:style>
  <w:style w:type="paragraph" w:styleId="Heading4">
    <w:name w:val="heading 4"/>
    <w:basedOn w:val="Normal"/>
    <w:next w:val="Normal"/>
    <w:link w:val="Heading4Char"/>
    <w:uiPriority w:val="9"/>
    <w:qFormat/>
    <w:rsid w:val="004E2F51"/>
    <w:pPr>
      <w:keepNext/>
      <w:suppressAutoHyphens w:val="0"/>
      <w:autoSpaceDN/>
      <w:jc w:val="right"/>
      <w:outlineLvl w:val="3"/>
    </w:pPr>
    <w:rPr>
      <w:rFonts w:ascii="Arial" w:hAnsi="Arial" w:cs="Arial"/>
      <w:sz w:val="19"/>
    </w:rPr>
  </w:style>
  <w:style w:type="paragraph" w:styleId="Heading5">
    <w:name w:val="heading 5"/>
    <w:basedOn w:val="Normal"/>
    <w:next w:val="Normal"/>
    <w:link w:val="Heading5Char"/>
    <w:uiPriority w:val="9"/>
    <w:semiHidden/>
    <w:unhideWhenUsed/>
    <w:qFormat/>
    <w:rsid w:val="004E2F51"/>
    <w:pPr>
      <w:keepNext/>
      <w:keepLines/>
      <w:suppressAutoHyphens w:val="0"/>
      <w:autoSpaceDN/>
      <w:spacing w:before="40"/>
      <w:outlineLvl w:val="4"/>
    </w:pPr>
    <w:rPr>
      <w:rFonts w:ascii="Calibri" w:eastAsia="SimSun" w:hAnsi="Calibri"/>
      <w:color w:val="3476B1"/>
    </w:rPr>
  </w:style>
  <w:style w:type="paragraph" w:styleId="Heading6">
    <w:name w:val="heading 6"/>
    <w:basedOn w:val="Normal"/>
    <w:next w:val="Normal"/>
    <w:link w:val="Heading6Char"/>
    <w:uiPriority w:val="9"/>
    <w:semiHidden/>
    <w:unhideWhenUsed/>
    <w:qFormat/>
    <w:rsid w:val="004E2F51"/>
    <w:pPr>
      <w:keepNext/>
      <w:keepLines/>
      <w:suppressAutoHyphens w:val="0"/>
      <w:autoSpaceDN/>
      <w:spacing w:before="40"/>
      <w:outlineLvl w:val="5"/>
    </w:pPr>
    <w:rPr>
      <w:rFonts w:ascii="Calibri" w:eastAsia="SimSun" w:hAnsi="Calibri"/>
      <w:i/>
      <w:iCs/>
      <w:color w:val="234F77"/>
    </w:rPr>
  </w:style>
  <w:style w:type="paragraph" w:styleId="Heading7">
    <w:name w:val="heading 7"/>
    <w:basedOn w:val="Normal"/>
    <w:next w:val="Normal"/>
    <w:link w:val="Heading7Char"/>
    <w:uiPriority w:val="9"/>
    <w:semiHidden/>
    <w:unhideWhenUsed/>
    <w:qFormat/>
    <w:rsid w:val="004E2F51"/>
    <w:pPr>
      <w:keepNext/>
      <w:keepLines/>
      <w:suppressAutoHyphens w:val="0"/>
      <w:autoSpaceDN/>
      <w:spacing w:before="40"/>
      <w:outlineLvl w:val="6"/>
    </w:pPr>
    <w:rPr>
      <w:rFonts w:ascii="Calibri" w:eastAsia="SimSun" w:hAnsi="Calibri"/>
      <w:b/>
      <w:bCs/>
      <w:color w:val="234F77"/>
      <w:sz w:val="22"/>
      <w:szCs w:val="22"/>
    </w:rPr>
  </w:style>
  <w:style w:type="paragraph" w:styleId="Heading8">
    <w:name w:val="heading 8"/>
    <w:basedOn w:val="Normal"/>
    <w:next w:val="Normal"/>
    <w:link w:val="Heading8Char"/>
    <w:uiPriority w:val="9"/>
    <w:semiHidden/>
    <w:unhideWhenUsed/>
    <w:qFormat/>
    <w:rsid w:val="004E2F51"/>
    <w:pPr>
      <w:keepNext/>
      <w:keepLines/>
      <w:suppressAutoHyphens w:val="0"/>
      <w:autoSpaceDN/>
      <w:spacing w:before="40"/>
      <w:outlineLvl w:val="7"/>
    </w:pPr>
    <w:rPr>
      <w:rFonts w:ascii="Calibri" w:eastAsia="SimSun" w:hAnsi="Calibri"/>
      <w:color w:val="234F77"/>
      <w:sz w:val="22"/>
      <w:szCs w:val="22"/>
    </w:rPr>
  </w:style>
  <w:style w:type="paragraph" w:styleId="Heading9">
    <w:name w:val="heading 9"/>
    <w:basedOn w:val="Normal"/>
    <w:next w:val="Normal"/>
    <w:link w:val="Heading9Char"/>
    <w:uiPriority w:val="9"/>
    <w:semiHidden/>
    <w:unhideWhenUsed/>
    <w:qFormat/>
    <w:rsid w:val="004E2F51"/>
    <w:pPr>
      <w:keepNext/>
      <w:keepLines/>
      <w:suppressAutoHyphens w:val="0"/>
      <w:autoSpaceDN/>
      <w:spacing w:before="40"/>
      <w:outlineLvl w:val="8"/>
    </w:pPr>
    <w:rPr>
      <w:rFonts w:ascii="Calibri" w:eastAsia="SimSun" w:hAnsi="Calibri"/>
      <w:i/>
      <w:iCs/>
      <w:color w:val="234F77"/>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11">
    <w:name w:val="Naslov 11"/>
    <w:basedOn w:val="Normal"/>
    <w:next w:val="Normal"/>
    <w:pPr>
      <w:keepNext/>
      <w:tabs>
        <w:tab w:val="left" w:pos="-720"/>
      </w:tabs>
      <w:jc w:val="both"/>
      <w:outlineLvl w:val="0"/>
    </w:pPr>
    <w:rPr>
      <w:spacing w:val="-3"/>
      <w:sz w:val="22"/>
      <w:szCs w:val="20"/>
      <w:u w:val="single"/>
      <w:lang w:val="en-GB"/>
    </w:rPr>
  </w:style>
  <w:style w:type="paragraph" w:customStyle="1" w:styleId="Naslov21">
    <w:name w:val="Naslov 21"/>
    <w:basedOn w:val="Normal"/>
    <w:next w:val="Normal"/>
    <w:pPr>
      <w:keepNext/>
      <w:spacing w:line="280" w:lineRule="atLeast"/>
      <w:jc w:val="center"/>
      <w:outlineLvl w:val="1"/>
    </w:pPr>
    <w:rPr>
      <w:rFonts w:ascii="Arial" w:hAnsi="Arial" w:cs="Arial"/>
      <w:b/>
      <w:bCs/>
    </w:rPr>
  </w:style>
  <w:style w:type="paragraph" w:customStyle="1" w:styleId="Naslov31">
    <w:name w:val="Naslov 31"/>
    <w:basedOn w:val="Normal"/>
    <w:next w:val="Normal"/>
    <w:pPr>
      <w:keepNext/>
      <w:outlineLvl w:val="2"/>
    </w:pPr>
    <w:rPr>
      <w:rFonts w:ascii="Arial" w:hAnsi="Arial" w:cs="Arial"/>
      <w:b/>
      <w:bCs/>
      <w:lang w:val="pl-PL"/>
    </w:rPr>
  </w:style>
  <w:style w:type="paragraph" w:customStyle="1" w:styleId="Naslov41">
    <w:name w:val="Naslov 41"/>
    <w:basedOn w:val="Normal"/>
    <w:next w:val="Normal"/>
    <w:pPr>
      <w:keepNext/>
      <w:jc w:val="right"/>
      <w:outlineLvl w:val="3"/>
    </w:pPr>
    <w:rPr>
      <w:rFonts w:ascii="Arial" w:hAnsi="Arial" w:cs="Arial"/>
      <w:sz w:val="19"/>
    </w:rPr>
  </w:style>
  <w:style w:type="paragraph" w:customStyle="1" w:styleId="Naslov51">
    <w:name w:val="Naslov 51"/>
    <w:basedOn w:val="Normal"/>
    <w:next w:val="Normal"/>
    <w:pPr>
      <w:keepNext/>
      <w:keepLines/>
      <w:spacing w:before="40"/>
      <w:outlineLvl w:val="4"/>
    </w:pPr>
    <w:rPr>
      <w:rFonts w:ascii="Calibri" w:eastAsia="SimSun" w:hAnsi="Calibri"/>
      <w:color w:val="3476B1"/>
    </w:rPr>
  </w:style>
  <w:style w:type="paragraph" w:customStyle="1" w:styleId="Naslov61">
    <w:name w:val="Naslov 61"/>
    <w:basedOn w:val="Normal"/>
    <w:next w:val="Normal"/>
    <w:pPr>
      <w:keepNext/>
      <w:keepLines/>
      <w:spacing w:before="40"/>
      <w:outlineLvl w:val="5"/>
    </w:pPr>
    <w:rPr>
      <w:rFonts w:ascii="Calibri" w:eastAsia="SimSun" w:hAnsi="Calibri"/>
      <w:i/>
      <w:iCs/>
      <w:color w:val="234F77"/>
    </w:rPr>
  </w:style>
  <w:style w:type="paragraph" w:customStyle="1" w:styleId="Naslov71">
    <w:name w:val="Naslov 71"/>
    <w:basedOn w:val="Normal"/>
    <w:next w:val="Normal"/>
    <w:pPr>
      <w:keepNext/>
      <w:keepLines/>
      <w:spacing w:before="40"/>
      <w:outlineLvl w:val="6"/>
    </w:pPr>
    <w:rPr>
      <w:rFonts w:ascii="Calibri" w:eastAsia="SimSun" w:hAnsi="Calibri"/>
      <w:b/>
      <w:bCs/>
      <w:color w:val="234F77"/>
      <w:sz w:val="22"/>
      <w:szCs w:val="22"/>
    </w:rPr>
  </w:style>
  <w:style w:type="paragraph" w:customStyle="1" w:styleId="Naslov81">
    <w:name w:val="Naslov 81"/>
    <w:basedOn w:val="Normal"/>
    <w:next w:val="Normal"/>
    <w:pPr>
      <w:keepNext/>
      <w:keepLines/>
      <w:spacing w:before="40"/>
      <w:outlineLvl w:val="7"/>
    </w:pPr>
    <w:rPr>
      <w:rFonts w:ascii="Calibri" w:eastAsia="SimSun" w:hAnsi="Calibri"/>
      <w:color w:val="234F77"/>
      <w:sz w:val="22"/>
      <w:szCs w:val="22"/>
    </w:rPr>
  </w:style>
  <w:style w:type="paragraph" w:customStyle="1" w:styleId="Naslov91">
    <w:name w:val="Naslov 91"/>
    <w:basedOn w:val="Normal"/>
    <w:next w:val="Normal"/>
    <w:pPr>
      <w:keepNext/>
      <w:keepLines/>
      <w:spacing w:before="40"/>
      <w:outlineLvl w:val="8"/>
    </w:pPr>
    <w:rPr>
      <w:rFonts w:ascii="Calibri" w:eastAsia="SimSun" w:hAnsi="Calibri"/>
      <w:i/>
      <w:iCs/>
      <w:color w:val="234F77"/>
      <w:sz w:val="22"/>
      <w:szCs w:val="22"/>
    </w:rPr>
  </w:style>
  <w:style w:type="character" w:customStyle="1" w:styleId="Zadanifontodlomka1">
    <w:name w:val="Zadani font odlomka1"/>
  </w:style>
  <w:style w:type="character" w:customStyle="1" w:styleId="Naslov1Char">
    <w:name w:val="Naslov 1 Char"/>
    <w:aliases w:val="h1 Char"/>
    <w:uiPriority w:val="9"/>
    <w:rPr>
      <w:spacing w:val="-3"/>
      <w:sz w:val="22"/>
      <w:u w:val="single"/>
      <w:lang w:val="en-GB"/>
    </w:rPr>
  </w:style>
  <w:style w:type="character" w:customStyle="1" w:styleId="Naslov2Char">
    <w:name w:val="Naslov 2 Char"/>
    <w:uiPriority w:val="9"/>
    <w:rPr>
      <w:rFonts w:ascii="Arial" w:hAnsi="Arial" w:cs="Arial"/>
      <w:b/>
      <w:bCs/>
      <w:sz w:val="24"/>
      <w:szCs w:val="24"/>
    </w:rPr>
  </w:style>
  <w:style w:type="character" w:customStyle="1" w:styleId="Naslov3Char">
    <w:name w:val="Naslov 3 Char"/>
    <w:basedOn w:val="Zadanifontodlomka1"/>
    <w:uiPriority w:val="9"/>
    <w:rPr>
      <w:rFonts w:ascii="Arial" w:hAnsi="Arial" w:cs="Arial"/>
      <w:b/>
      <w:bCs/>
      <w:sz w:val="24"/>
      <w:szCs w:val="24"/>
      <w:lang w:val="pl-PL"/>
    </w:rPr>
  </w:style>
  <w:style w:type="paragraph" w:customStyle="1" w:styleId="T1">
    <w:name w:val="T1"/>
    <w:basedOn w:val="Naslov11"/>
    <w:pPr>
      <w:tabs>
        <w:tab w:val="clear" w:pos="-720"/>
      </w:tabs>
      <w:spacing w:before="240" w:after="120" w:line="360" w:lineRule="auto"/>
    </w:pPr>
    <w:rPr>
      <w:rFonts w:ascii="Arial" w:hAnsi="Arial"/>
      <w:b/>
      <w:bCs/>
      <w:spacing w:val="0"/>
      <w:sz w:val="19"/>
      <w:u w:val="none"/>
      <w:lang w:val="pl-PL"/>
    </w:rPr>
  </w:style>
  <w:style w:type="character" w:customStyle="1" w:styleId="T1Char">
    <w:name w:val="T1 Char"/>
    <w:rPr>
      <w:rFonts w:ascii="Arial" w:hAnsi="Arial"/>
      <w:b/>
      <w:bCs/>
      <w:sz w:val="19"/>
      <w:lang w:val="pl-PL" w:eastAsia="en-US" w:bidi="ar-SA"/>
    </w:rPr>
  </w:style>
  <w:style w:type="paragraph" w:customStyle="1" w:styleId="TT">
    <w:name w:val="TT"/>
    <w:basedOn w:val="Normal"/>
    <w:pPr>
      <w:tabs>
        <w:tab w:val="right" w:pos="1202"/>
      </w:tabs>
      <w:spacing w:line="301" w:lineRule="exact"/>
      <w:outlineLvl w:val="0"/>
    </w:pPr>
    <w:rPr>
      <w:rFonts w:ascii="Arial" w:hAnsi="Arial"/>
      <w:sz w:val="19"/>
      <w:szCs w:val="20"/>
      <w:lang w:val="en-GB"/>
    </w:rPr>
  </w:style>
  <w:style w:type="paragraph" w:customStyle="1" w:styleId="PH">
    <w:name w:val="PH"/>
    <w:basedOn w:val="Zaglavlje1"/>
    <w:pPr>
      <w:tabs>
        <w:tab w:val="clear" w:pos="4153"/>
        <w:tab w:val="clear" w:pos="8306"/>
      </w:tabs>
      <w:spacing w:line="301" w:lineRule="atLeast"/>
    </w:pPr>
    <w:rPr>
      <w:rFonts w:ascii="Arial" w:hAnsi="Arial"/>
      <w:i w:val="0"/>
      <w:lang w:val="en-GB"/>
    </w:rPr>
  </w:style>
  <w:style w:type="paragraph" w:customStyle="1" w:styleId="Zaglavlje1">
    <w:name w:val="Zaglavlje1"/>
    <w:basedOn w:val="Normal"/>
    <w:pPr>
      <w:tabs>
        <w:tab w:val="center" w:pos="4153"/>
        <w:tab w:val="right" w:pos="8306"/>
      </w:tabs>
    </w:pPr>
    <w:rPr>
      <w:rFonts w:ascii="TmsRmn 12pt Italic" w:hAnsi="TmsRmn 12pt Italic"/>
      <w:i/>
      <w:szCs w:val="20"/>
    </w:rPr>
  </w:style>
  <w:style w:type="character" w:customStyle="1" w:styleId="ZaglavljeChar">
    <w:name w:val="Zaglavlje Char"/>
    <w:basedOn w:val="Zadanifontodlomka1"/>
    <w:uiPriority w:val="99"/>
    <w:rPr>
      <w:rFonts w:ascii="TmsRmn 12pt Italic" w:hAnsi="TmsRmn 12pt Italic"/>
      <w:i/>
      <w:sz w:val="24"/>
    </w:rPr>
  </w:style>
  <w:style w:type="paragraph" w:customStyle="1" w:styleId="Thin">
    <w:name w:val="Thin"/>
    <w:basedOn w:val="Normal"/>
    <w:next w:val="Normal"/>
    <w:pPr>
      <w:keepNext/>
      <w:keepLines/>
      <w:tabs>
        <w:tab w:val="left" w:pos="1202"/>
      </w:tabs>
      <w:spacing w:line="100" w:lineRule="exact"/>
    </w:pPr>
    <w:rPr>
      <w:rFonts w:ascii="Arial" w:hAnsi="Arial"/>
      <w:b/>
      <w:position w:val="4"/>
      <w:sz w:val="16"/>
      <w:szCs w:val="20"/>
    </w:rPr>
  </w:style>
  <w:style w:type="paragraph" w:customStyle="1" w:styleId="Tot">
    <w:name w:val="Tot"/>
    <w:basedOn w:val="TT"/>
    <w:pPr>
      <w:spacing w:line="340" w:lineRule="exact"/>
    </w:pPr>
  </w:style>
  <w:style w:type="paragraph" w:customStyle="1" w:styleId="Thick">
    <w:name w:val="Thick"/>
    <w:basedOn w:val="Thin"/>
    <w:next w:val="Normal"/>
    <w:rPr>
      <w:u w:val="thick"/>
    </w:rPr>
  </w:style>
  <w:style w:type="paragraph" w:customStyle="1" w:styleId="PH1">
    <w:name w:val="PH1"/>
    <w:basedOn w:val="PH"/>
    <w:pPr>
      <w:spacing w:line="301" w:lineRule="exact"/>
    </w:pPr>
    <w:rPr>
      <w:sz w:val="19"/>
    </w:rPr>
  </w:style>
  <w:style w:type="paragraph" w:customStyle="1" w:styleId="TH">
    <w:name w:val="TH"/>
    <w:basedOn w:val="Normal"/>
    <w:pPr>
      <w:tabs>
        <w:tab w:val="right" w:pos="1202"/>
      </w:tabs>
      <w:spacing w:line="240" w:lineRule="atLeast"/>
      <w:outlineLvl w:val="0"/>
    </w:pPr>
    <w:rPr>
      <w:rFonts w:ascii="Arial" w:hAnsi="Arial"/>
      <w:b/>
      <w:sz w:val="19"/>
      <w:szCs w:val="20"/>
      <w:lang w:val="en-GB"/>
    </w:rPr>
  </w:style>
  <w:style w:type="paragraph" w:customStyle="1" w:styleId="accountingpolicytitle">
    <w:name w:val="accounting policy title"/>
    <w:basedOn w:val="Normal"/>
    <w:uiPriority w:val="99"/>
    <w:pPr>
      <w:jc w:val="both"/>
    </w:pPr>
    <w:rPr>
      <w:rFonts w:ascii="Arial" w:hAnsi="Arial"/>
      <w:b/>
      <w:sz w:val="19"/>
      <w:szCs w:val="20"/>
      <w:lang w:val="pl-PL"/>
    </w:rPr>
  </w:style>
  <w:style w:type="paragraph" w:customStyle="1" w:styleId="Tijeloteksta1">
    <w:name w:val="Tijelo teksta1"/>
    <w:basedOn w:val="Normal"/>
    <w:pPr>
      <w:tabs>
        <w:tab w:val="left" w:pos="-720"/>
      </w:tabs>
      <w:ind w:right="-612"/>
    </w:pPr>
    <w:rPr>
      <w:szCs w:val="20"/>
      <w:lang w:val="en-GB"/>
    </w:rPr>
  </w:style>
  <w:style w:type="paragraph" w:customStyle="1" w:styleId="Tijeloteksta-uvlaka21">
    <w:name w:val="Tijelo teksta - uvlaka 21"/>
    <w:basedOn w:val="Normal"/>
    <w:pPr>
      <w:tabs>
        <w:tab w:val="left" w:pos="-720"/>
      </w:tabs>
      <w:ind w:left="709" w:hanging="709"/>
      <w:jc w:val="both"/>
    </w:pPr>
    <w:rPr>
      <w:b/>
      <w:spacing w:val="-3"/>
      <w:szCs w:val="20"/>
      <w:lang w:val="en-GB"/>
    </w:rPr>
  </w:style>
  <w:style w:type="paragraph" w:customStyle="1" w:styleId="Tijeloteksta31">
    <w:name w:val="Tijelo teksta 31"/>
    <w:basedOn w:val="Normal"/>
    <w:pPr>
      <w:tabs>
        <w:tab w:val="center" w:pos="4513"/>
      </w:tabs>
      <w:jc w:val="both"/>
    </w:pPr>
    <w:rPr>
      <w:spacing w:val="-3"/>
      <w:sz w:val="22"/>
      <w:szCs w:val="20"/>
      <w:lang w:val="en-GB"/>
    </w:rPr>
  </w:style>
  <w:style w:type="paragraph" w:customStyle="1" w:styleId="Tijeloteksta-uvlaka31">
    <w:name w:val="Tijelo teksta - uvlaka 31"/>
    <w:basedOn w:val="Normal"/>
    <w:pPr>
      <w:tabs>
        <w:tab w:val="left" w:pos="-720"/>
      </w:tabs>
      <w:ind w:firstLine="4416"/>
      <w:jc w:val="both"/>
    </w:pPr>
    <w:rPr>
      <w:spacing w:val="-2"/>
      <w:sz w:val="20"/>
      <w:szCs w:val="20"/>
      <w:lang w:val="en-GB"/>
    </w:rPr>
  </w:style>
  <w:style w:type="paragraph" w:customStyle="1" w:styleId="Tijeloteksta21">
    <w:name w:val="Tijelo teksta 21"/>
    <w:basedOn w:val="Normal"/>
    <w:pPr>
      <w:ind w:right="708"/>
      <w:jc w:val="both"/>
    </w:pPr>
    <w:rPr>
      <w:szCs w:val="20"/>
      <w:lang w:val="en-GB"/>
    </w:rPr>
  </w:style>
  <w:style w:type="paragraph" w:customStyle="1" w:styleId="Uvuenotijeloteksta1">
    <w:name w:val="Uvučeno tijelo teksta1"/>
    <w:basedOn w:val="Normal"/>
    <w:pPr>
      <w:tabs>
        <w:tab w:val="left" w:pos="-720"/>
      </w:tabs>
      <w:ind w:left="709"/>
      <w:jc w:val="both"/>
    </w:pPr>
    <w:rPr>
      <w:b/>
      <w:spacing w:val="-3"/>
      <w:szCs w:val="20"/>
      <w:lang w:val="en-GB"/>
    </w:rPr>
  </w:style>
  <w:style w:type="character" w:customStyle="1" w:styleId="Brojstranice1">
    <w:name w:val="Broj stranice1"/>
    <w:basedOn w:val="Zadanifontodlomka1"/>
  </w:style>
  <w:style w:type="paragraph" w:customStyle="1" w:styleId="Podnoje1">
    <w:name w:val="Podnožje1"/>
    <w:basedOn w:val="Normal"/>
    <w:pPr>
      <w:tabs>
        <w:tab w:val="center" w:pos="4153"/>
        <w:tab w:val="right" w:pos="8306"/>
      </w:tabs>
    </w:pPr>
    <w:rPr>
      <w:szCs w:val="20"/>
      <w:lang w:val="en-GB"/>
    </w:rPr>
  </w:style>
  <w:style w:type="character" w:customStyle="1" w:styleId="PodnojeChar">
    <w:name w:val="Podnožje Char"/>
    <w:uiPriority w:val="99"/>
    <w:rPr>
      <w:sz w:val="24"/>
      <w:lang w:val="en-GB"/>
    </w:rPr>
  </w:style>
  <w:style w:type="paragraph" w:customStyle="1" w:styleId="Predmetkomentara1">
    <w:name w:val="Predmet komentara1"/>
    <w:basedOn w:val="Tekstkomentara1"/>
    <w:next w:val="Tekstkomentara1"/>
    <w:pPr>
      <w:tabs>
        <w:tab w:val="left" w:pos="1134"/>
      </w:tabs>
      <w:spacing w:line="280" w:lineRule="atLeast"/>
    </w:pPr>
    <w:rPr>
      <w:b/>
      <w:bCs/>
    </w:rPr>
  </w:style>
  <w:style w:type="paragraph" w:customStyle="1" w:styleId="Tekstkomentara1">
    <w:name w:val="Tekst komentara1"/>
    <w:basedOn w:val="Normal"/>
    <w:rPr>
      <w:sz w:val="20"/>
      <w:szCs w:val="20"/>
    </w:rPr>
  </w:style>
  <w:style w:type="character" w:customStyle="1" w:styleId="TekstkomentaraChar">
    <w:name w:val="Tekst komentara Char"/>
    <w:rPr>
      <w:lang w:val="en-US" w:eastAsia="en-US"/>
    </w:rPr>
  </w:style>
  <w:style w:type="paragraph" w:customStyle="1" w:styleId="T2">
    <w:name w:val="T2"/>
    <w:basedOn w:val="T1"/>
    <w:pPr>
      <w:spacing w:before="0" w:after="0" w:line="301" w:lineRule="atLeast"/>
      <w:jc w:val="left"/>
    </w:pPr>
    <w:rPr>
      <w:b w:val="0"/>
      <w:bCs w:val="0"/>
      <w:lang w:val="en-GB"/>
    </w:rPr>
  </w:style>
  <w:style w:type="character" w:customStyle="1" w:styleId="Referencafusnote1">
    <w:name w:val="Referenca fusnote1"/>
    <w:rPr>
      <w:position w:val="0"/>
      <w:vertAlign w:val="superscript"/>
    </w:rPr>
  </w:style>
  <w:style w:type="paragraph" w:customStyle="1" w:styleId="Notetext">
    <w:name w:val="Note text"/>
    <w:basedOn w:val="Normal"/>
    <w:pPr>
      <w:widowControl w:val="0"/>
      <w:tabs>
        <w:tab w:val="left" w:pos="0"/>
      </w:tabs>
      <w:spacing w:after="240"/>
    </w:pPr>
    <w:rPr>
      <w:rFonts w:ascii="Arial" w:hAnsi="Arial"/>
      <w:sz w:val="18"/>
      <w:szCs w:val="20"/>
      <w:lang w:val="en-GB"/>
    </w:rPr>
  </w:style>
  <w:style w:type="paragraph" w:customStyle="1" w:styleId="Notetotable">
    <w:name w:val="Note to table"/>
    <w:basedOn w:val="Normal"/>
    <w:pPr>
      <w:spacing w:line="240" w:lineRule="atLeast"/>
      <w:ind w:left="357" w:hanging="357"/>
    </w:pPr>
    <w:rPr>
      <w:rFonts w:ascii="Arial" w:hAnsi="Arial"/>
      <w:sz w:val="13"/>
      <w:szCs w:val="20"/>
    </w:rPr>
  </w:style>
  <w:style w:type="paragraph" w:customStyle="1" w:styleId="BodyTextBodyText1">
    <w:name w:val="Body Text.Body Text1"/>
    <w:basedOn w:val="Normal"/>
    <w:pPr>
      <w:tabs>
        <w:tab w:val="left" w:pos="1134"/>
      </w:tabs>
      <w:spacing w:after="120" w:line="280" w:lineRule="atLeast"/>
    </w:pPr>
    <w:rPr>
      <w:sz w:val="20"/>
      <w:szCs w:val="20"/>
    </w:rPr>
  </w:style>
  <w:style w:type="paragraph" w:customStyle="1" w:styleId="TTH">
    <w:name w:val="TT&amp;H"/>
    <w:basedOn w:val="Normal"/>
    <w:pPr>
      <w:keepNext/>
      <w:tabs>
        <w:tab w:val="left" w:pos="1134"/>
        <w:tab w:val="right" w:pos="1202"/>
      </w:tabs>
      <w:spacing w:before="120" w:line="301" w:lineRule="exact"/>
      <w:outlineLvl w:val="0"/>
    </w:pPr>
    <w:rPr>
      <w:rFonts w:ascii="Arial" w:hAnsi="Arial"/>
      <w:sz w:val="19"/>
      <w:szCs w:val="20"/>
    </w:rPr>
  </w:style>
  <w:style w:type="paragraph" w:customStyle="1" w:styleId="thin0">
    <w:name w:val="¸thin"/>
    <w:basedOn w:val="Thin"/>
    <w:pPr>
      <w:tabs>
        <w:tab w:val="left" w:pos="1134"/>
      </w:tabs>
    </w:pPr>
  </w:style>
  <w:style w:type="paragraph" w:customStyle="1" w:styleId="Tekstbalonia1">
    <w:name w:val="Tekst balončića1"/>
    <w:basedOn w:val="Normal"/>
    <w:pPr>
      <w:tabs>
        <w:tab w:val="left" w:pos="1134"/>
      </w:tabs>
      <w:spacing w:line="280" w:lineRule="atLeast"/>
    </w:pPr>
    <w:rPr>
      <w:rFonts w:ascii="Tahoma" w:hAnsi="Tahoma" w:cs="Tahoma"/>
      <w:sz w:val="16"/>
      <w:szCs w:val="16"/>
    </w:rPr>
  </w:style>
  <w:style w:type="paragraph" w:customStyle="1" w:styleId="FootnotesTitle">
    <w:name w:val="Footnotes Title"/>
    <w:basedOn w:val="Normal"/>
    <w:pPr>
      <w:widowControl w:val="0"/>
    </w:pPr>
    <w:rPr>
      <w:rFonts w:ascii="Arial" w:hAnsi="Arial"/>
      <w:b/>
      <w:sz w:val="16"/>
      <w:szCs w:val="20"/>
      <w:lang w:val="en-GB"/>
    </w:rPr>
  </w:style>
  <w:style w:type="paragraph" w:customStyle="1" w:styleId="Noteheading1">
    <w:name w:val="Note heading1"/>
    <w:basedOn w:val="Normal"/>
    <w:autoRedefine/>
    <w:pPr>
      <w:tabs>
        <w:tab w:val="left" w:pos="720"/>
      </w:tabs>
      <w:spacing w:before="360" w:after="240"/>
      <w:ind w:left="720" w:hanging="360"/>
      <w:jc w:val="both"/>
    </w:pPr>
    <w:rPr>
      <w:rFonts w:ascii="Arial" w:hAnsi="Arial" w:cs="Arial"/>
      <w:b/>
      <w:bCs/>
      <w:sz w:val="19"/>
      <w:szCs w:val="20"/>
    </w:rPr>
  </w:style>
  <w:style w:type="paragraph" w:customStyle="1" w:styleId="performed">
    <w:name w:val="performed"/>
    <w:basedOn w:val="Normal"/>
    <w:pPr>
      <w:keepNext/>
      <w:keepLines/>
      <w:spacing w:before="120"/>
      <w:jc w:val="center"/>
    </w:pPr>
    <w:rPr>
      <w:sz w:val="22"/>
      <w:szCs w:val="22"/>
    </w:rPr>
  </w:style>
  <w:style w:type="paragraph" w:customStyle="1" w:styleId="Obinouvueno1">
    <w:name w:val="Obično uvučeno1"/>
    <w:basedOn w:val="Normal"/>
    <w:pPr>
      <w:spacing w:line="240" w:lineRule="atLeast"/>
      <w:ind w:left="851"/>
      <w:jc w:val="both"/>
    </w:pPr>
    <w:rPr>
      <w:rFonts w:ascii="Arial" w:hAnsi="Arial"/>
      <w:szCs w:val="20"/>
      <w:lang w:val="de-DE"/>
    </w:rPr>
  </w:style>
  <w:style w:type="paragraph" w:customStyle="1" w:styleId="T1PARAGRAPH">
    <w:name w:val="T1PARAGRAPH"/>
    <w:basedOn w:val="Tijeloteksta31"/>
    <w:uiPriority w:val="99"/>
    <w:pPr>
      <w:numPr>
        <w:numId w:val="3"/>
      </w:numPr>
      <w:tabs>
        <w:tab w:val="clear" w:pos="4513"/>
        <w:tab w:val="left" w:pos="-720"/>
      </w:tabs>
      <w:spacing w:after="301" w:line="301" w:lineRule="atLeast"/>
    </w:pPr>
    <w:rPr>
      <w:rFonts w:ascii="Arial" w:hAnsi="Arial" w:cs="Arial"/>
      <w:spacing w:val="0"/>
      <w:sz w:val="19"/>
      <w:lang w:val="hr-HR"/>
    </w:rPr>
  </w:style>
  <w:style w:type="paragraph" w:customStyle="1" w:styleId="T1PARAGRAPH0">
    <w:name w:val="T1 PARAGRAPH"/>
    <w:basedOn w:val="T1"/>
    <w:next w:val="T1"/>
    <w:pPr>
      <w:spacing w:before="160" w:after="160" w:line="200" w:lineRule="exact"/>
      <w:ind w:left="547"/>
      <w:jc w:val="left"/>
    </w:pPr>
    <w:rPr>
      <w:b w:val="0"/>
      <w:bCs w:val="0"/>
      <w:lang w:val="hr-HR"/>
    </w:rPr>
  </w:style>
  <w:style w:type="character" w:customStyle="1" w:styleId="Referencakomentara1">
    <w:name w:val="Referenca komentara1"/>
    <w:rPr>
      <w:sz w:val="16"/>
      <w:szCs w:val="16"/>
    </w:rPr>
  </w:style>
  <w:style w:type="paragraph" w:customStyle="1" w:styleId="Italics">
    <w:name w:val="Italics"/>
    <w:basedOn w:val="Normal"/>
    <w:pPr>
      <w:spacing w:before="120" w:line="240" w:lineRule="atLeast"/>
      <w:jc w:val="both"/>
    </w:pPr>
    <w:rPr>
      <w:rFonts w:ascii="Arial" w:hAnsi="Arial"/>
      <w:i/>
      <w:sz w:val="20"/>
      <w:szCs w:val="20"/>
    </w:rPr>
  </w:style>
  <w:style w:type="paragraph" w:customStyle="1" w:styleId="Opisslike1">
    <w:name w:val="Opis slike1"/>
    <w:basedOn w:val="Normal"/>
    <w:next w:val="Normal"/>
    <w:pPr>
      <w:spacing w:before="120" w:after="120" w:line="240" w:lineRule="atLeast"/>
      <w:ind w:left="567"/>
    </w:pPr>
    <w:rPr>
      <w:rFonts w:ascii="Arial" w:hAnsi="Arial"/>
      <w:b/>
      <w:sz w:val="20"/>
      <w:szCs w:val="20"/>
      <w:lang w:val="en-GB"/>
    </w:rPr>
  </w:style>
  <w:style w:type="paragraph" w:customStyle="1" w:styleId="StandardWeb1">
    <w:name w:val="Standard (Web)1"/>
    <w:basedOn w:val="Normal"/>
    <w:pPr>
      <w:spacing w:before="100" w:after="100"/>
    </w:pPr>
    <w:rPr>
      <w:lang w:eastAsia="hr-HR"/>
    </w:rPr>
  </w:style>
  <w:style w:type="character" w:customStyle="1" w:styleId="NormalWebChar">
    <w:name w:val="Normal (Web) Char"/>
    <w:basedOn w:val="Zadanifontodlomka1"/>
    <w:link w:val="NormalWeb"/>
    <w:uiPriority w:val="99"/>
    <w:rPr>
      <w:sz w:val="24"/>
      <w:szCs w:val="24"/>
      <w:lang w:eastAsia="hr-HR"/>
    </w:rPr>
  </w:style>
  <w:style w:type="character" w:customStyle="1" w:styleId="Naglaeno1">
    <w:name w:val="Naglašeno1"/>
    <w:rPr>
      <w:b/>
      <w:bCs/>
    </w:rPr>
  </w:style>
  <w:style w:type="paragraph" w:customStyle="1" w:styleId="AuditReport">
    <w:name w:val="Audit Report"/>
    <w:basedOn w:val="Normal"/>
    <w:pPr>
      <w:tabs>
        <w:tab w:val="left" w:pos="284"/>
      </w:tabs>
      <w:spacing w:before="120" w:line="260" w:lineRule="atLeast"/>
      <w:jc w:val="both"/>
    </w:pPr>
    <w:rPr>
      <w:rFonts w:ascii="Arial" w:hAnsi="Arial"/>
      <w:sz w:val="19"/>
      <w:szCs w:val="20"/>
      <w:lang w:val="en-GB"/>
    </w:rPr>
  </w:style>
  <w:style w:type="paragraph" w:customStyle="1" w:styleId="tt0">
    <w:name w:val="tt"/>
    <w:basedOn w:val="Normal"/>
    <w:pPr>
      <w:spacing w:line="301" w:lineRule="atLeast"/>
    </w:pPr>
    <w:rPr>
      <w:rFonts w:ascii="Arial" w:hAnsi="Arial" w:cs="Arial"/>
      <w:sz w:val="19"/>
      <w:szCs w:val="19"/>
    </w:rPr>
  </w:style>
  <w:style w:type="paragraph" w:customStyle="1" w:styleId="T3">
    <w:name w:val="T3"/>
    <w:basedOn w:val="T2"/>
    <w:next w:val="T1"/>
    <w:pPr>
      <w:keepNext w:val="0"/>
      <w:spacing w:after="240" w:line="300" w:lineRule="atLeast"/>
      <w:jc w:val="both"/>
    </w:pPr>
    <w:rPr>
      <w:kern w:val="3"/>
    </w:rPr>
  </w:style>
  <w:style w:type="paragraph" w:customStyle="1" w:styleId="Normaltext">
    <w:name w:val="Normal text"/>
    <w:basedOn w:val="Normal"/>
    <w:pPr>
      <w:overflowPunct w:val="0"/>
      <w:autoSpaceDE w:val="0"/>
      <w:spacing w:line="240" w:lineRule="atLeast"/>
      <w:ind w:right="568"/>
      <w:jc w:val="both"/>
      <w:textAlignment w:val="baseline"/>
    </w:pPr>
    <w:rPr>
      <w:lang w:val="en-GB"/>
    </w:rPr>
  </w:style>
  <w:style w:type="paragraph" w:customStyle="1" w:styleId="Revizija1">
    <w:name w:val="Revizija1"/>
    <w:pPr>
      <w:suppressAutoHyphens/>
    </w:pPr>
    <w:rPr>
      <w:sz w:val="24"/>
      <w:szCs w:val="24"/>
    </w:rPr>
  </w:style>
  <w:style w:type="paragraph" w:customStyle="1" w:styleId="Obinitekst1">
    <w:name w:val="Obični tekst1"/>
    <w:basedOn w:val="Normal"/>
    <w:rPr>
      <w:rFonts w:ascii="Verdana" w:hAnsi="Verdana"/>
      <w:color w:val="000000"/>
      <w:sz w:val="20"/>
      <w:szCs w:val="21"/>
    </w:rPr>
  </w:style>
  <w:style w:type="character" w:customStyle="1" w:styleId="PlainTextChar">
    <w:name w:val="Plain Text Char"/>
    <w:link w:val="PlainText"/>
    <w:uiPriority w:val="99"/>
    <w:rPr>
      <w:rFonts w:ascii="Verdana" w:hAnsi="Verdana"/>
      <w:color w:val="000000"/>
      <w:szCs w:val="21"/>
    </w:rPr>
  </w:style>
  <w:style w:type="paragraph" w:customStyle="1" w:styleId="MACNormal">
    <w:name w:val="MACNormal"/>
    <w:pPr>
      <w:tabs>
        <w:tab w:val="left" w:pos="-1440"/>
        <w:tab w:val="left" w:pos="-720"/>
      </w:tabs>
      <w:suppressAutoHyphens/>
      <w:jc w:val="both"/>
    </w:pPr>
    <w:rPr>
      <w:color w:val="000000"/>
      <w:lang w:val="en-GB" w:eastAsia="hr-HR"/>
    </w:rPr>
  </w:style>
  <w:style w:type="paragraph" w:customStyle="1" w:styleId="Legalentity">
    <w:name w:val="Legal entity"/>
    <w:basedOn w:val="Normal"/>
    <w:pPr>
      <w:widowControl w:val="0"/>
      <w:autoSpaceDE w:val="0"/>
      <w:spacing w:after="90" w:line="180" w:lineRule="atLeast"/>
      <w:textAlignment w:val="center"/>
    </w:pPr>
    <w:rPr>
      <w:rFonts w:ascii="ArialMT" w:hAnsi="ArialMT"/>
      <w:color w:val="000000"/>
      <w:sz w:val="15"/>
      <w:szCs w:val="20"/>
      <w:lang w:val="en-GB" w:eastAsia="en-GB"/>
    </w:rPr>
  </w:style>
  <w:style w:type="paragraph" w:customStyle="1" w:styleId="Amember">
    <w:name w:val="A member"/>
    <w:basedOn w:val="Normal"/>
    <w:pPr>
      <w:widowControl w:val="0"/>
      <w:autoSpaceDE w:val="0"/>
      <w:spacing w:line="160" w:lineRule="atLeast"/>
      <w:textAlignment w:val="center"/>
    </w:pPr>
    <w:rPr>
      <w:rFonts w:ascii="FrutigerNextPro-Light" w:hAnsi="FrutigerNextPro-Light"/>
      <w:color w:val="000000"/>
      <w:sz w:val="14"/>
      <w:szCs w:val="20"/>
      <w:lang w:val="en-GB" w:eastAsia="en-GB"/>
    </w:rPr>
  </w:style>
  <w:style w:type="paragraph" w:customStyle="1" w:styleId="tekst">
    <w:name w:val="tekst"/>
    <w:basedOn w:val="Normal"/>
    <w:pPr>
      <w:spacing w:before="100" w:after="100"/>
    </w:pPr>
    <w:rPr>
      <w:lang w:val="hr-HR" w:eastAsia="hr-HR"/>
    </w:rPr>
  </w:style>
  <w:style w:type="character" w:customStyle="1" w:styleId="bold">
    <w:name w:val="bold"/>
    <w:basedOn w:val="Zadanifontodlomka1"/>
  </w:style>
  <w:style w:type="paragraph" w:customStyle="1" w:styleId="Odlomakpopisa1">
    <w:name w:val="Odlomak popisa1"/>
    <w:basedOn w:val="Normal"/>
    <w:pPr>
      <w:ind w:left="720"/>
      <w:contextualSpacing/>
    </w:pPr>
  </w:style>
  <w:style w:type="character" w:customStyle="1" w:styleId="OdlomakpopisaChar">
    <w:name w:val="Odlomak popisa Char"/>
    <w:aliases w:val="Lettre d'introduction Char,REPORT Bullet Char"/>
    <w:uiPriority w:val="34"/>
    <w:rPr>
      <w:sz w:val="24"/>
      <w:szCs w:val="24"/>
    </w:rPr>
  </w:style>
  <w:style w:type="paragraph" w:customStyle="1" w:styleId="Bodycopy">
    <w:name w:val="Body copy"/>
    <w:pPr>
      <w:suppressAutoHyphens/>
      <w:spacing w:before="20" w:line="210" w:lineRule="exact"/>
    </w:pPr>
    <w:rPr>
      <w:rFonts w:ascii="Arial" w:eastAsia="PMingLiU" w:hAnsi="Arial" w:cs="Arial"/>
      <w:color w:val="000000"/>
      <w:sz w:val="17"/>
      <w:szCs w:val="17"/>
      <w:lang w:val="hr-HR" w:eastAsia="hr-HR" w:bidi="hr-HR"/>
    </w:rPr>
  </w:style>
  <w:style w:type="paragraph" w:customStyle="1" w:styleId="t-9-8">
    <w:name w:val="t-9-8"/>
    <w:basedOn w:val="Normal"/>
    <w:pPr>
      <w:spacing w:before="100" w:after="100"/>
    </w:pPr>
    <w:rPr>
      <w:rFonts w:eastAsia="Calibri"/>
      <w:lang w:val="hr-HR" w:eastAsia="hr-HR"/>
    </w:rPr>
  </w:style>
  <w:style w:type="character" w:customStyle="1" w:styleId="HeaderChar1">
    <w:name w:val="Header Char1"/>
    <w:uiPriority w:val="99"/>
    <w:rPr>
      <w:rFonts w:ascii="Arial" w:eastAsia="Times New Roman" w:hAnsi="Arial" w:cs="Times New Roman"/>
      <w:sz w:val="28"/>
      <w:szCs w:val="20"/>
    </w:rPr>
  </w:style>
  <w:style w:type="paragraph" w:customStyle="1" w:styleId="Default">
    <w:name w:val="Default"/>
    <w:pPr>
      <w:suppressAutoHyphens/>
      <w:autoSpaceDE w:val="0"/>
    </w:pPr>
    <w:rPr>
      <w:rFonts w:ascii="Arial" w:eastAsia="Calibri" w:hAnsi="Arial" w:cs="Arial"/>
      <w:color w:val="000000"/>
      <w:sz w:val="24"/>
      <w:szCs w:val="24"/>
      <w:lang w:val="hr-HR"/>
    </w:rPr>
  </w:style>
  <w:style w:type="paragraph" w:customStyle="1" w:styleId="Header1">
    <w:name w:val="Header 1"/>
    <w:basedOn w:val="Zaglavlje1"/>
    <w:uiPriority w:val="99"/>
    <w:pPr>
      <w:tabs>
        <w:tab w:val="clear" w:pos="4153"/>
        <w:tab w:val="clear" w:pos="8306"/>
      </w:tabs>
      <w:spacing w:before="120" w:line="260" w:lineRule="atLeast"/>
    </w:pPr>
    <w:rPr>
      <w:rFonts w:ascii="Arial" w:hAnsi="Arial"/>
      <w:b/>
      <w:i w:val="0"/>
      <w:sz w:val="22"/>
    </w:rPr>
  </w:style>
  <w:style w:type="character" w:customStyle="1" w:styleId="DocumentMapChar">
    <w:name w:val="Document Map Char"/>
    <w:basedOn w:val="Zadanifontodlomka1"/>
    <w:link w:val="DocumentMap"/>
    <w:rPr>
      <w:rFonts w:ascii="Tahoma" w:hAnsi="Tahoma" w:cs="Tahoma"/>
      <w:shd w:val="clear" w:color="auto" w:fill="000080"/>
      <w:lang w:val="hr-HR" w:eastAsia="hr-HR"/>
    </w:rPr>
  </w:style>
  <w:style w:type="paragraph" w:customStyle="1" w:styleId="Kartadokumenta1">
    <w:name w:val="Karta dokumenta1"/>
    <w:basedOn w:val="Normal"/>
    <w:pPr>
      <w:shd w:val="clear" w:color="auto" w:fill="000080"/>
    </w:pPr>
    <w:rPr>
      <w:rFonts w:ascii="Tahoma" w:hAnsi="Tahoma" w:cs="Tahoma"/>
      <w:sz w:val="20"/>
      <w:szCs w:val="20"/>
      <w:lang w:val="hr-HR" w:eastAsia="hr-HR"/>
    </w:rPr>
  </w:style>
  <w:style w:type="paragraph" w:customStyle="1" w:styleId="Bezproreda1">
    <w:name w:val="Bez proreda1"/>
    <w:pPr>
      <w:suppressAutoHyphens/>
    </w:pPr>
    <w:rPr>
      <w:rFonts w:ascii="Calibri" w:hAnsi="Calibri"/>
      <w:sz w:val="22"/>
      <w:szCs w:val="22"/>
      <w:lang w:val="hr-HR"/>
    </w:rPr>
  </w:style>
  <w:style w:type="character" w:customStyle="1" w:styleId="NoSpacingChar">
    <w:name w:val="No Spacing Char"/>
    <w:link w:val="NoSpacing"/>
    <w:uiPriority w:val="1"/>
    <w:rPr>
      <w:rFonts w:ascii="Calibri" w:hAnsi="Calibri"/>
      <w:sz w:val="22"/>
      <w:szCs w:val="22"/>
      <w:lang w:val="hr-HR"/>
    </w:rPr>
  </w:style>
  <w:style w:type="paragraph" w:customStyle="1" w:styleId="TOCNaslov1">
    <w:name w:val="TOC Naslov1"/>
    <w:basedOn w:val="Naslov11"/>
    <w:next w:val="Normal"/>
    <w:pPr>
      <w:keepLines/>
      <w:tabs>
        <w:tab w:val="clear" w:pos="-720"/>
      </w:tabs>
      <w:spacing w:before="480" w:line="276" w:lineRule="auto"/>
      <w:jc w:val="left"/>
    </w:pPr>
    <w:rPr>
      <w:rFonts w:ascii="Cambria" w:hAnsi="Cambria"/>
      <w:b/>
      <w:bCs/>
      <w:color w:val="365F91"/>
      <w:spacing w:val="0"/>
      <w:sz w:val="28"/>
      <w:szCs w:val="28"/>
      <w:u w:val="none"/>
      <w:lang w:val="en-US"/>
    </w:rPr>
  </w:style>
  <w:style w:type="paragraph" w:customStyle="1" w:styleId="Sadraj11">
    <w:name w:val="Sadržaj 11"/>
    <w:basedOn w:val="Normal"/>
    <w:next w:val="Normal"/>
    <w:autoRedefine/>
    <w:pPr>
      <w:tabs>
        <w:tab w:val="right" w:leader="dot" w:pos="9355"/>
      </w:tabs>
      <w:spacing w:line="276" w:lineRule="auto"/>
    </w:pPr>
    <w:rPr>
      <w:rFonts w:ascii="Calibri" w:hAnsi="Calibri" w:cs="Calibri"/>
      <w:b/>
      <w:sz w:val="22"/>
      <w:szCs w:val="28"/>
      <w:lang w:val="hr-HR" w:eastAsia="hr-HR"/>
    </w:rPr>
  </w:style>
  <w:style w:type="character" w:customStyle="1" w:styleId="Hiperveza1">
    <w:name w:val="Hiperveza1"/>
    <w:rPr>
      <w:color w:val="0000FF"/>
      <w:u w:val="single"/>
    </w:rPr>
  </w:style>
  <w:style w:type="character" w:customStyle="1" w:styleId="SlijeenaHiperveza1">
    <w:name w:val="SlijeđenaHiperveza1"/>
    <w:rPr>
      <w:color w:val="800080"/>
      <w:u w:val="single"/>
    </w:rPr>
  </w:style>
  <w:style w:type="character" w:customStyle="1" w:styleId="xclaimempty">
    <w:name w:val="xclaimempty"/>
    <w:basedOn w:val="Zadanifontodlomka1"/>
  </w:style>
  <w:style w:type="paragraph" w:customStyle="1" w:styleId="ParagrafL">
    <w:name w:val="Paragraf L"/>
    <w:basedOn w:val="Normal"/>
    <w:pPr>
      <w:widowControl w:val="0"/>
      <w:autoSpaceDE w:val="0"/>
      <w:spacing w:line="312" w:lineRule="auto"/>
      <w:jc w:val="both"/>
    </w:pPr>
    <w:rPr>
      <w:rFonts w:ascii="Arial" w:hAnsi="Arial" w:cs="Arial"/>
      <w:iCs/>
      <w:sz w:val="20"/>
      <w:szCs w:val="20"/>
      <w:lang w:val="hr-HR" w:eastAsia="hr-HR"/>
    </w:rPr>
  </w:style>
  <w:style w:type="character" w:customStyle="1" w:styleId="ParagrafLChar">
    <w:name w:val="Paragraf L Char"/>
    <w:rPr>
      <w:rFonts w:ascii="Arial" w:hAnsi="Arial" w:cs="Arial"/>
      <w:iCs/>
      <w:lang w:val="hr-HR" w:eastAsia="hr-HR"/>
    </w:rPr>
  </w:style>
  <w:style w:type="paragraph" w:customStyle="1" w:styleId="Sadraj21">
    <w:name w:val="Sadržaj 21"/>
    <w:basedOn w:val="Normal"/>
    <w:next w:val="Normal"/>
    <w:autoRedefine/>
    <w:rsid w:val="002F0EFD"/>
    <w:pPr>
      <w:tabs>
        <w:tab w:val="right" w:leader="dot" w:pos="9356"/>
      </w:tabs>
      <w:spacing w:after="100"/>
      <w:ind w:left="240"/>
    </w:pPr>
    <w:rPr>
      <w:rFonts w:ascii="Calibri" w:hAnsi="Calibri" w:cs="Calibri"/>
      <w:b/>
      <w:bCs/>
      <w:iCs/>
      <w:sz w:val="20"/>
      <w:lang w:val="hr-HR"/>
    </w:rPr>
  </w:style>
  <w:style w:type="paragraph" w:customStyle="1" w:styleId="tekstdiv">
    <w:name w:val="tekstdiv"/>
    <w:basedOn w:val="Normal"/>
    <w:pPr>
      <w:spacing w:before="100" w:after="100"/>
    </w:pPr>
    <w:rPr>
      <w:rFonts w:eastAsia="SimSun"/>
      <w:lang w:val="hr-HR" w:eastAsia="zh-CN"/>
    </w:rPr>
  </w:style>
  <w:style w:type="paragraph" w:customStyle="1" w:styleId="Tekstfusnote1">
    <w:name w:val="Tekst fusnote1"/>
    <w:basedOn w:val="Normal"/>
    <w:rPr>
      <w:sz w:val="20"/>
      <w:szCs w:val="20"/>
      <w:lang w:val="hr-HR" w:eastAsia="hr-HR"/>
    </w:rPr>
  </w:style>
  <w:style w:type="character" w:customStyle="1" w:styleId="FootnoteTextChar">
    <w:name w:val="Footnote Text Char"/>
    <w:basedOn w:val="Zadanifontodlomka1"/>
    <w:link w:val="FootnoteText"/>
    <w:uiPriority w:val="99"/>
    <w:rPr>
      <w:lang w:val="hr-HR" w:eastAsia="hr-HR"/>
    </w:rPr>
  </w:style>
  <w:style w:type="paragraph" w:customStyle="1" w:styleId="Sadraj31">
    <w:name w:val="Sadržaj 31"/>
    <w:basedOn w:val="Normal"/>
    <w:next w:val="Normal"/>
    <w:autoRedefine/>
    <w:pPr>
      <w:spacing w:after="100"/>
      <w:ind w:left="480"/>
    </w:pPr>
    <w:rPr>
      <w:rFonts w:ascii="Calibri" w:hAnsi="Calibri"/>
      <w:b/>
      <w:sz w:val="20"/>
      <w:lang w:val="hr-HR" w:eastAsia="hr-HR"/>
    </w:rPr>
  </w:style>
  <w:style w:type="character" w:customStyle="1" w:styleId="st">
    <w:name w:val="st"/>
    <w:basedOn w:val="Zadanifontodlomka1"/>
  </w:style>
  <w:style w:type="paragraph" w:customStyle="1" w:styleId="ColorfulShading-Accent11">
    <w:name w:val="Colorful Shading - Accent 11"/>
    <w:uiPriority w:val="99"/>
    <w:pPr>
      <w:suppressAutoHyphens/>
    </w:pPr>
    <w:rPr>
      <w:sz w:val="24"/>
      <w:szCs w:val="24"/>
    </w:rPr>
  </w:style>
  <w:style w:type="paragraph" w:customStyle="1" w:styleId="ColorfulList-Accent11">
    <w:name w:val="Colorful List - Accent 11"/>
    <w:basedOn w:val="Normal"/>
    <w:uiPriority w:val="34"/>
    <w:qFormat/>
    <w:pPr>
      <w:ind w:left="720"/>
      <w:contextualSpacing/>
    </w:pPr>
  </w:style>
  <w:style w:type="character" w:customStyle="1" w:styleId="ColorfulList-Accent1Char">
    <w:name w:val="Colorful List - Accent 1 Char"/>
    <w:uiPriority w:val="34"/>
    <w:rPr>
      <w:sz w:val="24"/>
      <w:szCs w:val="24"/>
    </w:rPr>
  </w:style>
  <w:style w:type="paragraph" w:customStyle="1" w:styleId="MediumGrid21">
    <w:name w:val="Medium Grid 21"/>
    <w:uiPriority w:val="1"/>
    <w:qFormat/>
    <w:pPr>
      <w:suppressAutoHyphens/>
    </w:pPr>
    <w:rPr>
      <w:rFonts w:ascii="Calibri" w:hAnsi="Calibri"/>
      <w:sz w:val="22"/>
      <w:szCs w:val="22"/>
      <w:lang w:val="hr-HR" w:eastAsia="hr-HR"/>
    </w:rPr>
  </w:style>
  <w:style w:type="character" w:customStyle="1" w:styleId="MediumGrid2Char">
    <w:name w:val="Medium Grid 2 Char"/>
    <w:uiPriority w:val="1"/>
    <w:rPr>
      <w:rFonts w:ascii="Calibri" w:hAnsi="Calibri"/>
      <w:sz w:val="22"/>
      <w:szCs w:val="22"/>
      <w:lang w:val="hr-HR" w:eastAsia="hr-HR"/>
    </w:rPr>
  </w:style>
  <w:style w:type="paragraph" w:customStyle="1" w:styleId="GridTable31">
    <w:name w:val="Grid Table 31"/>
    <w:basedOn w:val="Naslov11"/>
    <w:next w:val="Normal"/>
    <w:uiPriority w:val="39"/>
    <w:qFormat/>
    <w:pPr>
      <w:keepLines/>
      <w:tabs>
        <w:tab w:val="clear" w:pos="-720"/>
      </w:tabs>
      <w:spacing w:before="480" w:line="276" w:lineRule="auto"/>
      <w:jc w:val="left"/>
    </w:pPr>
    <w:rPr>
      <w:rFonts w:ascii="Cambria" w:hAnsi="Cambria"/>
      <w:b/>
      <w:bCs/>
      <w:color w:val="365F91"/>
      <w:spacing w:val="0"/>
      <w:sz w:val="28"/>
      <w:szCs w:val="28"/>
      <w:u w:val="none"/>
      <w:lang w:val="en-US"/>
    </w:rPr>
  </w:style>
  <w:style w:type="character" w:customStyle="1" w:styleId="Istaknuto1">
    <w:name w:val="Istaknuto1"/>
    <w:rPr>
      <w:i/>
      <w:iCs/>
    </w:rPr>
  </w:style>
  <w:style w:type="character" w:customStyle="1" w:styleId="CommentTitleChar">
    <w:name w:val="Comment Title Char"/>
    <w:basedOn w:val="Zadanifontodlomka1"/>
    <w:rPr>
      <w:rFonts w:ascii="Arial Unicode MS" w:eastAsia="Arial Unicode MS" w:hAnsi="Arial Unicode MS" w:cs="Arial Unicode MS"/>
      <w:b/>
      <w:kern w:val="3"/>
      <w:szCs w:val="24"/>
    </w:rPr>
  </w:style>
  <w:style w:type="paragraph" w:customStyle="1" w:styleId="CommentTitle">
    <w:name w:val="Comment Title"/>
    <w:basedOn w:val="Normal"/>
    <w:next w:val="Normal"/>
    <w:qFormat/>
    <w:pPr>
      <w:keepNext/>
      <w:tabs>
        <w:tab w:val="left" w:pos="907"/>
      </w:tabs>
      <w:spacing w:after="260" w:line="240" w:lineRule="atLeast"/>
      <w:outlineLvl w:val="2"/>
    </w:pPr>
    <w:rPr>
      <w:rFonts w:ascii="Arial Unicode MS" w:eastAsia="Arial Unicode MS" w:hAnsi="Arial Unicode MS" w:cs="Arial Unicode MS"/>
      <w:b/>
      <w:kern w:val="3"/>
      <w:sz w:val="20"/>
    </w:rPr>
  </w:style>
  <w:style w:type="character" w:customStyle="1" w:styleId="BalloonTextChar">
    <w:name w:val="Balloon Text Char"/>
    <w:basedOn w:val="Zadanifontodlomka1"/>
    <w:link w:val="BalloonText"/>
    <w:uiPriority w:val="99"/>
    <w:rPr>
      <w:rFonts w:ascii="Tahoma" w:hAnsi="Tahoma" w:cs="Tahoma"/>
      <w:sz w:val="16"/>
      <w:szCs w:val="16"/>
    </w:rPr>
  </w:style>
  <w:style w:type="paragraph" w:customStyle="1" w:styleId="HTMLunaprijedoblikovano1">
    <w:name w:val="HTML unaprijed oblikovano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r-HR" w:eastAsia="hr-HR"/>
    </w:rPr>
  </w:style>
  <w:style w:type="character" w:customStyle="1" w:styleId="HTMLPreformattedChar">
    <w:name w:val="HTML Preformatted Char"/>
    <w:basedOn w:val="Zadanifontodlomka1"/>
    <w:link w:val="HTMLPreformatted"/>
    <w:uiPriority w:val="99"/>
    <w:rPr>
      <w:rFonts w:ascii="Courier New" w:hAnsi="Courier New" w:cs="Courier New"/>
      <w:lang w:val="hr-HR" w:eastAsia="hr-HR"/>
    </w:rPr>
  </w:style>
  <w:style w:type="character" w:customStyle="1" w:styleId="Nerijeenospominjanje1">
    <w:name w:val="Neriješeno spominjanje1"/>
    <w:basedOn w:val="Zadanifontodlomka1"/>
    <w:uiPriority w:val="99"/>
    <w:rPr>
      <w:color w:val="808080"/>
      <w:shd w:val="clear" w:color="auto" w:fill="E6E6E6"/>
    </w:rPr>
  </w:style>
  <w:style w:type="character" w:customStyle="1" w:styleId="CharStyle31">
    <w:name w:val="Char Style 31"/>
    <w:basedOn w:val="Zadanifontodlomka1"/>
    <w:rPr>
      <w:rFonts w:ascii="Arial" w:eastAsia="Arial" w:hAnsi="Arial" w:cs="Arial"/>
      <w:sz w:val="18"/>
      <w:szCs w:val="18"/>
      <w:shd w:val="clear" w:color="auto" w:fill="FFFFFF"/>
    </w:rPr>
  </w:style>
  <w:style w:type="paragraph" w:customStyle="1" w:styleId="Style26">
    <w:name w:val="Style 26"/>
    <w:basedOn w:val="Normal"/>
    <w:qFormat/>
    <w:pPr>
      <w:widowControl w:val="0"/>
      <w:shd w:val="clear" w:color="auto" w:fill="FFFFFF"/>
      <w:spacing w:before="140" w:line="216" w:lineRule="exact"/>
      <w:ind w:hanging="900"/>
    </w:pPr>
    <w:rPr>
      <w:rFonts w:ascii="Arial" w:eastAsia="Arial" w:hAnsi="Arial" w:cs="Arial"/>
      <w:sz w:val="18"/>
      <w:szCs w:val="18"/>
    </w:rPr>
  </w:style>
  <w:style w:type="character" w:customStyle="1" w:styleId="CharStyle65">
    <w:name w:val="Char Style 65"/>
    <w:basedOn w:val="CharStyle31"/>
    <w:rPr>
      <w:rFonts w:ascii="Arial" w:eastAsia="Arial" w:hAnsi="Arial" w:cs="Arial"/>
      <w:color w:val="000000"/>
      <w:spacing w:val="0"/>
      <w:w w:val="100"/>
      <w:position w:val="0"/>
      <w:sz w:val="16"/>
      <w:szCs w:val="16"/>
      <w:shd w:val="clear" w:color="auto" w:fill="FFFFFF"/>
      <w:vertAlign w:val="baseline"/>
      <w:lang w:val="en-US" w:eastAsia="en-US" w:bidi="en-US"/>
    </w:rPr>
  </w:style>
  <w:style w:type="character" w:customStyle="1" w:styleId="CharStyle118">
    <w:name w:val="Char Style 118"/>
    <w:basedOn w:val="CharStyle31"/>
    <w:rPr>
      <w:rFonts w:ascii="Arial" w:eastAsia="Arial" w:hAnsi="Arial" w:cs="Arial"/>
      <w:i/>
      <w:iCs/>
      <w:color w:val="000000"/>
      <w:spacing w:val="0"/>
      <w:w w:val="100"/>
      <w:position w:val="0"/>
      <w:sz w:val="16"/>
      <w:szCs w:val="16"/>
      <w:shd w:val="clear" w:color="auto" w:fill="FFFFFF"/>
      <w:vertAlign w:val="baseline"/>
      <w:lang w:val="en-US" w:eastAsia="en-US" w:bidi="en-US"/>
    </w:rPr>
  </w:style>
  <w:style w:type="character" w:customStyle="1" w:styleId="CharStyle3">
    <w:name w:val="Char Style 3"/>
    <w:basedOn w:val="Zadanifontodlomka1"/>
    <w:rPr>
      <w:rFonts w:ascii="Arial" w:eastAsia="Arial" w:hAnsi="Arial" w:cs="Arial"/>
      <w:sz w:val="16"/>
      <w:szCs w:val="16"/>
      <w:shd w:val="clear" w:color="auto" w:fill="FFFFFF"/>
    </w:rPr>
  </w:style>
  <w:style w:type="paragraph" w:customStyle="1" w:styleId="Style2">
    <w:name w:val="Style 2"/>
    <w:basedOn w:val="Normal"/>
    <w:pPr>
      <w:widowControl w:val="0"/>
      <w:shd w:val="clear" w:color="auto" w:fill="FFFFFF"/>
      <w:spacing w:line="216" w:lineRule="exact"/>
    </w:pPr>
    <w:rPr>
      <w:rFonts w:ascii="Arial" w:eastAsia="Arial" w:hAnsi="Arial" w:cs="Arial"/>
      <w:sz w:val="16"/>
      <w:szCs w:val="16"/>
    </w:rPr>
  </w:style>
  <w:style w:type="character" w:customStyle="1" w:styleId="CharStyle53">
    <w:name w:val="Char Style 53"/>
    <w:basedOn w:val="Zadanifontodlomka1"/>
    <w:rPr>
      <w:rFonts w:ascii="Arial" w:eastAsia="Arial" w:hAnsi="Arial" w:cs="Arial"/>
      <w:sz w:val="16"/>
      <w:szCs w:val="16"/>
      <w:shd w:val="clear" w:color="auto" w:fill="FFFFFF"/>
    </w:rPr>
  </w:style>
  <w:style w:type="paragraph" w:customStyle="1" w:styleId="Style44">
    <w:name w:val="Style 44"/>
    <w:basedOn w:val="Normal"/>
    <w:pPr>
      <w:widowControl w:val="0"/>
      <w:shd w:val="clear" w:color="auto" w:fill="FFFFFF"/>
      <w:spacing w:line="326" w:lineRule="exact"/>
      <w:ind w:hanging="380"/>
    </w:pPr>
    <w:rPr>
      <w:rFonts w:ascii="Arial" w:eastAsia="Arial" w:hAnsi="Arial" w:cs="Arial"/>
      <w:sz w:val="16"/>
      <w:szCs w:val="16"/>
    </w:rPr>
  </w:style>
  <w:style w:type="paragraph" w:customStyle="1" w:styleId="sez">
    <w:name w:val="sez"/>
    <w:pPr>
      <w:keepLines/>
      <w:widowControl w:val="0"/>
      <w:tabs>
        <w:tab w:val="left" w:pos="0"/>
        <w:tab w:val="left" w:pos="1077"/>
        <w:tab w:val="left" w:pos="2160"/>
        <w:tab w:val="left" w:pos="3237"/>
        <w:tab w:val="left" w:pos="4320"/>
        <w:tab w:val="left" w:pos="5397"/>
        <w:tab w:val="left" w:pos="6480"/>
        <w:tab w:val="left" w:pos="7557"/>
        <w:tab w:val="left" w:pos="8640"/>
        <w:tab w:val="left" w:pos="9717"/>
        <w:tab w:val="left" w:pos="10800"/>
        <w:tab w:val="left" w:pos="11883"/>
        <w:tab w:val="left" w:pos="12960"/>
        <w:tab w:val="left" w:pos="14037"/>
        <w:tab w:val="left" w:pos="15120"/>
        <w:tab w:val="left" w:pos="16197"/>
        <w:tab w:val="left" w:pos="17280"/>
        <w:tab w:val="left" w:pos="18357"/>
        <w:tab w:val="left" w:pos="19440"/>
        <w:tab w:val="left" w:pos="20517"/>
        <w:tab w:val="left" w:pos="21600"/>
        <w:tab w:val="left" w:pos="22677"/>
        <w:tab w:val="left" w:pos="23760"/>
        <w:tab w:val="left" w:pos="24843"/>
        <w:tab w:val="left" w:pos="25920"/>
        <w:tab w:val="left" w:pos="26997"/>
        <w:tab w:val="left" w:pos="28080"/>
        <w:tab w:val="left" w:pos="29157"/>
        <w:tab w:val="left" w:pos="30240"/>
        <w:tab w:val="left" w:pos="31317"/>
      </w:tabs>
      <w:suppressAutoHyphens/>
      <w:spacing w:before="303" w:after="113" w:line="220" w:lineRule="atLeast"/>
      <w:jc w:val="both"/>
    </w:pPr>
    <w:rPr>
      <w:rFonts w:ascii="Times" w:eastAsia="Calibri" w:hAnsi="Times" w:cs="Arial"/>
      <w:b/>
      <w:sz w:val="24"/>
      <w:szCs w:val="22"/>
      <w:lang w:val="en-GB" w:eastAsia="ko-KR"/>
    </w:rPr>
  </w:style>
  <w:style w:type="paragraph" w:customStyle="1" w:styleId="Tabletext">
    <w:name w:val="Tabletext"/>
    <w:basedOn w:val="Normal"/>
    <w:uiPriority w:val="99"/>
    <w:pPr>
      <w:ind w:left="153" w:hanging="153"/>
    </w:pPr>
    <w:rPr>
      <w:rFonts w:ascii="Futura Lt BT" w:hAnsi="Futura Lt BT" w:cs="Futura Lt BT"/>
      <w:sz w:val="18"/>
      <w:szCs w:val="18"/>
      <w:lang w:val="en-GB"/>
    </w:rPr>
  </w:style>
  <w:style w:type="character" w:customStyle="1" w:styleId="Brojretka1">
    <w:name w:val="Broj retka1"/>
    <w:basedOn w:val="Zadanifontodlomka1"/>
  </w:style>
  <w:style w:type="paragraph" w:customStyle="1" w:styleId="Tekstkrajnjebiljeke1">
    <w:name w:val="Tekst krajnje bilješke1"/>
    <w:basedOn w:val="Normal"/>
    <w:rPr>
      <w:sz w:val="20"/>
      <w:szCs w:val="20"/>
    </w:rPr>
  </w:style>
  <w:style w:type="character" w:customStyle="1" w:styleId="EndnoteTextChar">
    <w:name w:val="Endnote Text Char"/>
    <w:basedOn w:val="Zadanifontodlomka1"/>
    <w:link w:val="EndnoteText"/>
  </w:style>
  <w:style w:type="character" w:customStyle="1" w:styleId="Referencakrajnjebiljeke1">
    <w:name w:val="Referenca krajnje bilješke1"/>
    <w:basedOn w:val="Zadanifontodlomka1"/>
    <w:rPr>
      <w:position w:val="0"/>
      <w:vertAlign w:val="superscript"/>
    </w:rPr>
  </w:style>
  <w:style w:type="character" w:customStyle="1" w:styleId="Nerijeenospominjanje2">
    <w:name w:val="Neriješeno spominjanje2"/>
    <w:basedOn w:val="Zadanifontodlomka1"/>
    <w:rPr>
      <w:color w:val="605E5C"/>
      <w:shd w:val="clear" w:color="auto" w:fill="E1DFDD"/>
    </w:rPr>
  </w:style>
  <w:style w:type="paragraph" w:customStyle="1" w:styleId="Naslovipoglavlja">
    <w:name w:val="Naslovi poglavlja"/>
    <w:basedOn w:val="Naslov11"/>
    <w:pPr>
      <w:tabs>
        <w:tab w:val="clear" w:pos="-720"/>
      </w:tabs>
      <w:textAlignment w:val="baseline"/>
    </w:pPr>
    <w:rPr>
      <w:rFonts w:ascii="Arial" w:hAnsi="Arial"/>
      <w:b/>
      <w:spacing w:val="0"/>
      <w:kern w:val="3"/>
      <w:sz w:val="28"/>
      <w:u w:val="none"/>
    </w:rPr>
  </w:style>
  <w:style w:type="paragraph" w:customStyle="1" w:styleId="KAMKNormal">
    <w:name w:val="KAMKNormal"/>
    <w:basedOn w:val="Normal"/>
    <w:qFormat/>
    <w:pPr>
      <w:spacing w:before="120" w:after="120"/>
      <w:textAlignment w:val="baseline"/>
    </w:pPr>
    <w:rPr>
      <w:rFonts w:ascii="Tahoma" w:hAnsi="Tahoma"/>
      <w:color w:val="000000"/>
      <w:sz w:val="22"/>
    </w:rPr>
  </w:style>
  <w:style w:type="character" w:customStyle="1" w:styleId="KAMKNormalChar">
    <w:name w:val="KAMKNormal Char"/>
    <w:rPr>
      <w:rFonts w:ascii="Tahoma" w:hAnsi="Tahoma"/>
      <w:color w:val="000000"/>
      <w:sz w:val="22"/>
      <w:szCs w:val="24"/>
    </w:rPr>
  </w:style>
  <w:style w:type="paragraph" w:customStyle="1" w:styleId="Bullet">
    <w:name w:val="Bullet"/>
    <w:basedOn w:val="Normal"/>
    <w:pPr>
      <w:numPr>
        <w:numId w:val="1"/>
      </w:numPr>
      <w:textAlignment w:val="baseline"/>
    </w:pPr>
  </w:style>
  <w:style w:type="paragraph" w:styleId="Revision">
    <w:name w:val="Revision"/>
    <w:uiPriority w:val="99"/>
    <w:rPr>
      <w:sz w:val="24"/>
      <w:szCs w:val="24"/>
    </w:rPr>
  </w:style>
  <w:style w:type="character" w:customStyle="1" w:styleId="Heading3Char">
    <w:name w:val="Heading 3 Char"/>
    <w:basedOn w:val="DefaultParagraphFont"/>
    <w:rPr>
      <w:rFonts w:ascii="Calibri Light" w:eastAsia="Times New Roman" w:hAnsi="Calibri Light" w:cs="Times New Roman"/>
      <w:color w:val="1F3763"/>
      <w:sz w:val="24"/>
      <w:szCs w:val="24"/>
    </w:rPr>
  </w:style>
  <w:style w:type="paragraph" w:customStyle="1" w:styleId="Popis1">
    <w:name w:val="Popis1"/>
    <w:basedOn w:val="Normal"/>
    <w:pPr>
      <w:ind w:left="283" w:hanging="283"/>
      <w:textAlignment w:val="baseline"/>
    </w:pPr>
    <w:rPr>
      <w:sz w:val="22"/>
      <w:szCs w:val="20"/>
      <w:lang w:val="en-GB"/>
    </w:rPr>
  </w:style>
  <w:style w:type="paragraph" w:customStyle="1" w:styleId="RNormal">
    <w:name w:val="RNormal"/>
    <w:basedOn w:val="Normal"/>
    <w:pPr>
      <w:jc w:val="both"/>
    </w:pPr>
    <w:rPr>
      <w:sz w:val="22"/>
    </w:rPr>
  </w:style>
  <w:style w:type="character" w:customStyle="1" w:styleId="BodyText3Char">
    <w:name w:val="Body Text 3 Char"/>
    <w:basedOn w:val="Zadanifontodlomka1"/>
    <w:link w:val="BodyText3"/>
    <w:uiPriority w:val="99"/>
    <w:rPr>
      <w:spacing w:val="-3"/>
      <w:sz w:val="22"/>
      <w:lang w:val="en-GB"/>
    </w:rPr>
  </w:style>
  <w:style w:type="character" w:customStyle="1" w:styleId="BodyTextChar">
    <w:name w:val="Body Text Char"/>
    <w:aliases w:val="Body Text1 Char,b Char,heading3 Char,Body Text - Level 2 Char,Body Text x Char,Szövegtörzs1 Char,body text Char,contents Char,body Char,b-heading 1/heading 2 Char,bd Char,heading1body-heading2body Char,bt Char"/>
    <w:basedOn w:val="Zadanifontodlomka1"/>
    <w:link w:val="BodyText"/>
    <w:rPr>
      <w:sz w:val="24"/>
      <w:lang w:val="en-GB"/>
    </w:rPr>
  </w:style>
  <w:style w:type="character" w:customStyle="1" w:styleId="PredmetkomentaraChar">
    <w:name w:val="Predmet komentara Char"/>
    <w:basedOn w:val="TekstkomentaraChar"/>
    <w:uiPriority w:val="99"/>
    <w:rPr>
      <w:b/>
      <w:bCs/>
      <w:lang w:val="en-US" w:eastAsia="en-US"/>
    </w:rPr>
  </w:style>
  <w:style w:type="paragraph" w:customStyle="1" w:styleId="Heading51">
    <w:name w:val="Heading 51"/>
    <w:basedOn w:val="Normal"/>
    <w:next w:val="Normal"/>
    <w:uiPriority w:val="9"/>
    <w:qFormat/>
    <w:pPr>
      <w:keepNext/>
      <w:keepLines/>
      <w:spacing w:before="80"/>
      <w:jc w:val="both"/>
      <w:outlineLvl w:val="4"/>
    </w:pPr>
    <w:rPr>
      <w:rFonts w:ascii="Calibri" w:eastAsia="SimSun" w:hAnsi="Calibri"/>
      <w:color w:val="3476B1"/>
    </w:rPr>
  </w:style>
  <w:style w:type="paragraph" w:customStyle="1" w:styleId="Heading61">
    <w:name w:val="Heading 61"/>
    <w:basedOn w:val="Normal"/>
    <w:next w:val="Normal"/>
    <w:uiPriority w:val="9"/>
    <w:qFormat/>
    <w:pPr>
      <w:keepNext/>
      <w:keepLines/>
      <w:spacing w:before="80"/>
      <w:jc w:val="both"/>
      <w:outlineLvl w:val="5"/>
    </w:pPr>
    <w:rPr>
      <w:rFonts w:ascii="Calibri" w:eastAsia="SimSun" w:hAnsi="Calibri"/>
      <w:i/>
      <w:iCs/>
      <w:color w:val="234F77"/>
    </w:rPr>
  </w:style>
  <w:style w:type="paragraph" w:customStyle="1" w:styleId="Heading71">
    <w:name w:val="Heading 71"/>
    <w:basedOn w:val="Normal"/>
    <w:next w:val="Normal"/>
    <w:uiPriority w:val="9"/>
    <w:qFormat/>
    <w:pPr>
      <w:keepNext/>
      <w:keepLines/>
      <w:spacing w:before="80"/>
      <w:jc w:val="both"/>
      <w:outlineLvl w:val="6"/>
    </w:pPr>
    <w:rPr>
      <w:rFonts w:ascii="Calibri" w:eastAsia="SimSun" w:hAnsi="Calibri"/>
      <w:b/>
      <w:bCs/>
      <w:color w:val="234F77"/>
      <w:sz w:val="22"/>
      <w:szCs w:val="22"/>
    </w:rPr>
  </w:style>
  <w:style w:type="paragraph" w:customStyle="1" w:styleId="Heading81">
    <w:name w:val="Heading 81"/>
    <w:basedOn w:val="Normal"/>
    <w:next w:val="Normal"/>
    <w:uiPriority w:val="9"/>
    <w:qFormat/>
    <w:pPr>
      <w:keepNext/>
      <w:keepLines/>
      <w:spacing w:before="80"/>
      <w:jc w:val="both"/>
      <w:outlineLvl w:val="7"/>
    </w:pPr>
    <w:rPr>
      <w:rFonts w:ascii="Calibri" w:eastAsia="SimSun" w:hAnsi="Calibri"/>
      <w:color w:val="234F77"/>
      <w:sz w:val="22"/>
      <w:szCs w:val="22"/>
    </w:rPr>
  </w:style>
  <w:style w:type="paragraph" w:customStyle="1" w:styleId="Heading91">
    <w:name w:val="Heading 91"/>
    <w:basedOn w:val="Normal"/>
    <w:next w:val="Normal"/>
    <w:uiPriority w:val="9"/>
    <w:qFormat/>
    <w:pPr>
      <w:keepNext/>
      <w:keepLines/>
      <w:spacing w:before="80"/>
      <w:jc w:val="both"/>
      <w:outlineLvl w:val="8"/>
    </w:pPr>
    <w:rPr>
      <w:rFonts w:ascii="Calibri" w:eastAsia="SimSun" w:hAnsi="Calibri"/>
      <w:i/>
      <w:iCs/>
      <w:color w:val="234F77"/>
      <w:sz w:val="22"/>
      <w:szCs w:val="22"/>
    </w:rPr>
  </w:style>
  <w:style w:type="character" w:customStyle="1" w:styleId="st1">
    <w:name w:val="st1"/>
    <w:basedOn w:val="Zadanifontodlomka1"/>
  </w:style>
  <w:style w:type="paragraph" w:customStyle="1" w:styleId="TOC41">
    <w:name w:val="TOC 41"/>
    <w:basedOn w:val="Normal"/>
    <w:next w:val="Normal"/>
    <w:autoRedefine/>
    <w:pPr>
      <w:spacing w:after="160" w:line="276" w:lineRule="auto"/>
      <w:ind w:left="480"/>
      <w:jc w:val="both"/>
    </w:pPr>
    <w:rPr>
      <w:rFonts w:ascii="Calibri" w:eastAsia="SimSun" w:hAnsi="Calibri"/>
      <w:sz w:val="20"/>
      <w:szCs w:val="20"/>
    </w:rPr>
  </w:style>
  <w:style w:type="paragraph" w:customStyle="1" w:styleId="TOC51">
    <w:name w:val="TOC 51"/>
    <w:basedOn w:val="Normal"/>
    <w:next w:val="Normal"/>
    <w:autoRedefine/>
    <w:pPr>
      <w:spacing w:after="160" w:line="276" w:lineRule="auto"/>
      <w:ind w:left="720"/>
      <w:jc w:val="both"/>
    </w:pPr>
    <w:rPr>
      <w:rFonts w:ascii="Calibri" w:eastAsia="SimSun" w:hAnsi="Calibri"/>
      <w:sz w:val="20"/>
      <w:szCs w:val="20"/>
    </w:rPr>
  </w:style>
  <w:style w:type="paragraph" w:customStyle="1" w:styleId="TOC61">
    <w:name w:val="TOC 61"/>
    <w:basedOn w:val="Normal"/>
    <w:next w:val="Normal"/>
    <w:autoRedefine/>
    <w:pPr>
      <w:spacing w:after="160" w:line="276" w:lineRule="auto"/>
      <w:ind w:left="960"/>
      <w:jc w:val="both"/>
    </w:pPr>
    <w:rPr>
      <w:rFonts w:ascii="Calibri" w:eastAsia="SimSun" w:hAnsi="Calibri"/>
      <w:sz w:val="20"/>
      <w:szCs w:val="20"/>
    </w:rPr>
  </w:style>
  <w:style w:type="paragraph" w:customStyle="1" w:styleId="TOC71">
    <w:name w:val="TOC 71"/>
    <w:basedOn w:val="Normal"/>
    <w:next w:val="Normal"/>
    <w:autoRedefine/>
    <w:pPr>
      <w:spacing w:after="160" w:line="276" w:lineRule="auto"/>
      <w:ind w:left="1200"/>
      <w:jc w:val="both"/>
    </w:pPr>
    <w:rPr>
      <w:rFonts w:ascii="Calibri" w:eastAsia="SimSun" w:hAnsi="Calibri"/>
      <w:sz w:val="20"/>
      <w:szCs w:val="20"/>
    </w:rPr>
  </w:style>
  <w:style w:type="paragraph" w:customStyle="1" w:styleId="TOC81">
    <w:name w:val="TOC 81"/>
    <w:basedOn w:val="Normal"/>
    <w:next w:val="Normal"/>
    <w:autoRedefine/>
    <w:pPr>
      <w:spacing w:after="160" w:line="276" w:lineRule="auto"/>
      <w:ind w:left="1440"/>
      <w:jc w:val="both"/>
    </w:pPr>
    <w:rPr>
      <w:rFonts w:ascii="Calibri" w:eastAsia="SimSun" w:hAnsi="Calibri"/>
      <w:sz w:val="20"/>
      <w:szCs w:val="20"/>
    </w:rPr>
  </w:style>
  <w:style w:type="paragraph" w:customStyle="1" w:styleId="TOC91">
    <w:name w:val="TOC 91"/>
    <w:basedOn w:val="Normal"/>
    <w:next w:val="Normal"/>
    <w:autoRedefine/>
    <w:pPr>
      <w:spacing w:after="160" w:line="276" w:lineRule="auto"/>
      <w:ind w:left="1680"/>
      <w:jc w:val="both"/>
    </w:pPr>
    <w:rPr>
      <w:rFonts w:ascii="Calibri" w:eastAsia="SimSun" w:hAnsi="Calibri"/>
      <w:sz w:val="20"/>
      <w:szCs w:val="20"/>
    </w:rPr>
  </w:style>
  <w:style w:type="character" w:customStyle="1" w:styleId="Heading4Char">
    <w:name w:val="Heading 4 Char"/>
    <w:basedOn w:val="Zadanifontodlomka1"/>
    <w:link w:val="Heading4"/>
    <w:uiPriority w:val="9"/>
    <w:rPr>
      <w:rFonts w:ascii="Arial" w:hAnsi="Arial" w:cs="Arial"/>
      <w:sz w:val="19"/>
      <w:szCs w:val="24"/>
    </w:rPr>
  </w:style>
  <w:style w:type="character" w:customStyle="1" w:styleId="Heading5Char">
    <w:name w:val="Heading 5 Char"/>
    <w:basedOn w:val="Zadanifontodlomka1"/>
    <w:link w:val="Heading5"/>
    <w:uiPriority w:val="9"/>
    <w:rPr>
      <w:rFonts w:ascii="Calibri" w:eastAsia="SimSun" w:hAnsi="Calibri" w:cs="Times New Roman"/>
      <w:color w:val="3476B1"/>
      <w:sz w:val="24"/>
      <w:szCs w:val="24"/>
    </w:rPr>
  </w:style>
  <w:style w:type="character" w:customStyle="1" w:styleId="Heading6Char">
    <w:name w:val="Heading 6 Char"/>
    <w:basedOn w:val="Zadanifontodlomka1"/>
    <w:link w:val="Heading6"/>
    <w:uiPriority w:val="9"/>
    <w:rPr>
      <w:rFonts w:ascii="Calibri" w:eastAsia="SimSun" w:hAnsi="Calibri" w:cs="Times New Roman"/>
      <w:i/>
      <w:iCs/>
      <w:color w:val="234F77"/>
      <w:sz w:val="24"/>
      <w:szCs w:val="24"/>
    </w:rPr>
  </w:style>
  <w:style w:type="character" w:customStyle="1" w:styleId="Heading7Char">
    <w:name w:val="Heading 7 Char"/>
    <w:basedOn w:val="Zadanifontodlomka1"/>
    <w:link w:val="Heading7"/>
    <w:uiPriority w:val="9"/>
    <w:rPr>
      <w:rFonts w:ascii="Calibri" w:eastAsia="SimSun" w:hAnsi="Calibri" w:cs="Times New Roman"/>
      <w:b/>
      <w:bCs/>
      <w:color w:val="234F77"/>
      <w:sz w:val="22"/>
      <w:szCs w:val="22"/>
    </w:rPr>
  </w:style>
  <w:style w:type="character" w:customStyle="1" w:styleId="Heading8Char">
    <w:name w:val="Heading 8 Char"/>
    <w:basedOn w:val="Zadanifontodlomka1"/>
    <w:link w:val="Heading8"/>
    <w:uiPriority w:val="9"/>
    <w:rPr>
      <w:rFonts w:ascii="Calibri" w:eastAsia="SimSun" w:hAnsi="Calibri" w:cs="Times New Roman"/>
      <w:color w:val="234F77"/>
      <w:sz w:val="22"/>
      <w:szCs w:val="22"/>
    </w:rPr>
  </w:style>
  <w:style w:type="character" w:customStyle="1" w:styleId="Heading9Char">
    <w:name w:val="Heading 9 Char"/>
    <w:basedOn w:val="Zadanifontodlomka1"/>
    <w:link w:val="Heading9"/>
    <w:uiPriority w:val="9"/>
    <w:rPr>
      <w:rFonts w:ascii="Calibri" w:eastAsia="SimSun" w:hAnsi="Calibri" w:cs="Times New Roman"/>
      <w:i/>
      <w:iCs/>
      <w:color w:val="234F77"/>
      <w:sz w:val="22"/>
      <w:szCs w:val="22"/>
    </w:rPr>
  </w:style>
  <w:style w:type="paragraph" w:customStyle="1" w:styleId="Title1">
    <w:name w:val="Title1"/>
    <w:basedOn w:val="Normal"/>
    <w:next w:val="Normal"/>
    <w:uiPriority w:val="10"/>
    <w:qFormat/>
    <w:pPr>
      <w:contextualSpacing/>
      <w:jc w:val="both"/>
    </w:pPr>
    <w:rPr>
      <w:rFonts w:ascii="Calibri" w:eastAsia="SimSun" w:hAnsi="Calibri"/>
      <w:color w:val="262626"/>
      <w:sz w:val="96"/>
      <w:szCs w:val="96"/>
    </w:rPr>
  </w:style>
  <w:style w:type="character" w:customStyle="1" w:styleId="TitleChar">
    <w:name w:val="Title Char"/>
    <w:basedOn w:val="Zadanifontodlomka1"/>
    <w:link w:val="Title"/>
    <w:uiPriority w:val="10"/>
    <w:rPr>
      <w:rFonts w:ascii="Calibri" w:eastAsia="SimSun" w:hAnsi="Calibri" w:cs="Times New Roman"/>
      <w:color w:val="262626"/>
      <w:sz w:val="96"/>
      <w:szCs w:val="96"/>
    </w:rPr>
  </w:style>
  <w:style w:type="paragraph" w:customStyle="1" w:styleId="Subtitle1">
    <w:name w:val="Subtitle1"/>
    <w:basedOn w:val="Normal"/>
    <w:next w:val="Normal"/>
    <w:uiPriority w:val="11"/>
    <w:qFormat/>
    <w:pPr>
      <w:spacing w:after="240" w:line="276" w:lineRule="auto"/>
      <w:jc w:val="both"/>
    </w:pPr>
    <w:rPr>
      <w:rFonts w:ascii="Calibri" w:eastAsia="SimSun" w:hAnsi="Calibri"/>
      <w:caps/>
      <w:color w:val="404040"/>
      <w:spacing w:val="20"/>
      <w:sz w:val="28"/>
      <w:szCs w:val="28"/>
    </w:rPr>
  </w:style>
  <w:style w:type="character" w:customStyle="1" w:styleId="SubtitleChar">
    <w:name w:val="Subtitle Char"/>
    <w:basedOn w:val="Zadanifontodlomka1"/>
    <w:link w:val="Subtitle"/>
    <w:uiPriority w:val="11"/>
    <w:rPr>
      <w:caps/>
      <w:color w:val="404040"/>
      <w:spacing w:val="20"/>
      <w:sz w:val="28"/>
      <w:szCs w:val="28"/>
    </w:rPr>
  </w:style>
  <w:style w:type="paragraph" w:customStyle="1" w:styleId="Quote1">
    <w:name w:val="Quote1"/>
    <w:basedOn w:val="Normal"/>
    <w:next w:val="Normal"/>
    <w:uiPriority w:val="29"/>
    <w:qFormat/>
    <w:pPr>
      <w:spacing w:before="160" w:after="160" w:line="276" w:lineRule="auto"/>
      <w:ind w:left="720" w:right="720"/>
      <w:jc w:val="center"/>
    </w:pPr>
    <w:rPr>
      <w:rFonts w:ascii="Calibri" w:eastAsia="SimSun" w:hAnsi="Calibri"/>
      <w:color w:val="000000"/>
    </w:rPr>
  </w:style>
  <w:style w:type="character" w:customStyle="1" w:styleId="QuoteChar">
    <w:name w:val="Quote Char"/>
    <w:basedOn w:val="Zadanifontodlomka1"/>
    <w:link w:val="Quote"/>
    <w:uiPriority w:val="29"/>
    <w:rPr>
      <w:rFonts w:ascii="Calibri" w:eastAsia="SimSun" w:hAnsi="Calibri" w:cs="Times New Roman"/>
      <w:color w:val="000000"/>
      <w:sz w:val="24"/>
      <w:szCs w:val="24"/>
    </w:rPr>
  </w:style>
  <w:style w:type="paragraph" w:customStyle="1" w:styleId="IntenseQuote1">
    <w:name w:val="Intense Quote1"/>
    <w:basedOn w:val="Normal"/>
    <w:next w:val="Normal"/>
    <w:uiPriority w:val="30"/>
    <w:qFormat/>
    <w:pPr>
      <w:pBdr>
        <w:top w:val="single" w:sz="24" w:space="4" w:color="629DD1"/>
      </w:pBdr>
      <w:spacing w:before="240" w:after="240"/>
      <w:ind w:left="936" w:right="936"/>
      <w:jc w:val="center"/>
    </w:pPr>
    <w:rPr>
      <w:rFonts w:ascii="Calibri" w:eastAsia="SimSun" w:hAnsi="Calibri"/>
    </w:rPr>
  </w:style>
  <w:style w:type="character" w:customStyle="1" w:styleId="IntenseQuoteChar">
    <w:name w:val="Intense Quote Char"/>
    <w:basedOn w:val="Zadanifontodlomka1"/>
    <w:link w:val="IntenseQuote"/>
    <w:uiPriority w:val="30"/>
    <w:rPr>
      <w:rFonts w:ascii="Calibri" w:eastAsia="SimSun" w:hAnsi="Calibri" w:cs="Times New Roman"/>
      <w:sz w:val="24"/>
      <w:szCs w:val="24"/>
    </w:rPr>
  </w:style>
  <w:style w:type="character" w:customStyle="1" w:styleId="SubtleEmphasis1">
    <w:name w:val="Subtle Emphasis1"/>
    <w:basedOn w:val="Zadanifontodlomka1"/>
    <w:uiPriority w:val="19"/>
    <w:qFormat/>
    <w:rPr>
      <w:i/>
      <w:iCs/>
      <w:color w:val="595959"/>
    </w:rPr>
  </w:style>
  <w:style w:type="character" w:customStyle="1" w:styleId="IntenseEmphasis1">
    <w:name w:val="Intense Emphasis1"/>
    <w:basedOn w:val="Zadanifontodlomka1"/>
    <w:uiPriority w:val="21"/>
    <w:qFormat/>
    <w:rPr>
      <w:b/>
      <w:bCs/>
      <w:i/>
      <w:iCs/>
      <w:caps w:val="0"/>
      <w:smallCaps w:val="0"/>
      <w:strike w:val="0"/>
      <w:dstrike w:val="0"/>
      <w:color w:val="629DD1"/>
    </w:rPr>
  </w:style>
  <w:style w:type="character" w:customStyle="1" w:styleId="SubtleReference1">
    <w:name w:val="Subtle Reference1"/>
    <w:basedOn w:val="Zadanifontodlomka1"/>
    <w:uiPriority w:val="31"/>
    <w:qFormat/>
    <w:rPr>
      <w:caps w:val="0"/>
      <w:smallCaps/>
      <w:color w:val="404040"/>
      <w:spacing w:val="0"/>
      <w:u w:val="single" w:color="7F7F7F"/>
    </w:rPr>
  </w:style>
  <w:style w:type="character" w:customStyle="1" w:styleId="Istaknutareferenca1">
    <w:name w:val="Istaknuta referenca1"/>
    <w:basedOn w:val="Zadanifontodlomka1"/>
    <w:rPr>
      <w:b/>
      <w:bCs/>
      <w:caps w:val="0"/>
      <w:smallCaps/>
      <w:color w:val="auto"/>
      <w:spacing w:val="0"/>
      <w:u w:val="single"/>
    </w:rPr>
  </w:style>
  <w:style w:type="character" w:customStyle="1" w:styleId="Naslovknjige1">
    <w:name w:val="Naslov knjige1"/>
    <w:basedOn w:val="Zadanifontodlomka1"/>
    <w:rPr>
      <w:b/>
      <w:bCs/>
      <w:caps w:val="0"/>
      <w:smallCaps/>
      <w:spacing w:val="0"/>
    </w:rPr>
  </w:style>
  <w:style w:type="character" w:customStyle="1" w:styleId="Heading5Char1">
    <w:name w:val="Heading 5 Char1"/>
    <w:basedOn w:val="Zadanifontodlomka1"/>
    <w:rPr>
      <w:rFonts w:ascii="Cambria" w:eastAsia="SimSun" w:hAnsi="Cambria" w:cs="Times New Roman"/>
      <w:color w:val="365F91"/>
      <w:sz w:val="24"/>
      <w:szCs w:val="24"/>
    </w:rPr>
  </w:style>
  <w:style w:type="character" w:customStyle="1" w:styleId="Heading6Char1">
    <w:name w:val="Heading 6 Char1"/>
    <w:basedOn w:val="Zadanifontodlomka1"/>
    <w:rPr>
      <w:rFonts w:ascii="Cambria" w:eastAsia="SimSun" w:hAnsi="Cambria" w:cs="Times New Roman"/>
      <w:color w:val="243F60"/>
      <w:sz w:val="24"/>
      <w:szCs w:val="24"/>
    </w:rPr>
  </w:style>
  <w:style w:type="character" w:customStyle="1" w:styleId="Heading7Char1">
    <w:name w:val="Heading 7 Char1"/>
    <w:basedOn w:val="Zadanifontodlomka1"/>
    <w:rPr>
      <w:rFonts w:ascii="Cambria" w:eastAsia="SimSun" w:hAnsi="Cambria" w:cs="Times New Roman"/>
      <w:i/>
      <w:iCs/>
      <w:color w:val="243F60"/>
      <w:sz w:val="24"/>
      <w:szCs w:val="24"/>
    </w:rPr>
  </w:style>
  <w:style w:type="character" w:customStyle="1" w:styleId="Heading8Char1">
    <w:name w:val="Heading 8 Char1"/>
    <w:basedOn w:val="Zadanifontodlomka1"/>
    <w:rPr>
      <w:rFonts w:ascii="Cambria" w:eastAsia="SimSun" w:hAnsi="Cambria" w:cs="Times New Roman"/>
      <w:color w:val="272727"/>
      <w:sz w:val="21"/>
      <w:szCs w:val="21"/>
    </w:rPr>
  </w:style>
  <w:style w:type="character" w:customStyle="1" w:styleId="Heading9Char1">
    <w:name w:val="Heading 9 Char1"/>
    <w:basedOn w:val="Zadanifontodlomka1"/>
    <w:rPr>
      <w:rFonts w:ascii="Cambria" w:eastAsia="SimSun" w:hAnsi="Cambria" w:cs="Times New Roman"/>
      <w:i/>
      <w:iCs/>
      <w:color w:val="272727"/>
      <w:sz w:val="21"/>
      <w:szCs w:val="21"/>
    </w:rPr>
  </w:style>
  <w:style w:type="paragraph" w:customStyle="1" w:styleId="Naslov1">
    <w:name w:val="Naslov1"/>
    <w:basedOn w:val="Normal"/>
    <w:next w:val="Normal"/>
    <w:pPr>
      <w:contextualSpacing/>
    </w:pPr>
    <w:rPr>
      <w:rFonts w:ascii="Calibri" w:eastAsia="SimSun" w:hAnsi="Calibri"/>
      <w:color w:val="262626"/>
      <w:sz w:val="96"/>
      <w:szCs w:val="96"/>
    </w:rPr>
  </w:style>
  <w:style w:type="character" w:customStyle="1" w:styleId="TitleChar1">
    <w:name w:val="Title Char1"/>
    <w:basedOn w:val="Zadanifontodlomka1"/>
    <w:rPr>
      <w:rFonts w:ascii="Cambria" w:eastAsia="SimSun" w:hAnsi="Cambria" w:cs="Times New Roman"/>
      <w:spacing w:val="-10"/>
      <w:kern w:val="3"/>
      <w:sz w:val="56"/>
      <w:szCs w:val="56"/>
    </w:rPr>
  </w:style>
  <w:style w:type="paragraph" w:customStyle="1" w:styleId="Podnaslov1">
    <w:name w:val="Podnaslov1"/>
    <w:basedOn w:val="Normal"/>
    <w:next w:val="Normal"/>
    <w:pPr>
      <w:spacing w:after="160"/>
    </w:pPr>
    <w:rPr>
      <w:caps/>
      <w:color w:val="404040"/>
      <w:spacing w:val="20"/>
      <w:sz w:val="28"/>
      <w:szCs w:val="28"/>
    </w:rPr>
  </w:style>
  <w:style w:type="character" w:customStyle="1" w:styleId="SubtitleChar1">
    <w:name w:val="Subtitle Char1"/>
    <w:basedOn w:val="Zadanifontodlomka1"/>
    <w:rPr>
      <w:rFonts w:ascii="Calibri" w:eastAsia="SimSun" w:hAnsi="Calibri" w:cs="Arial"/>
      <w:color w:val="5A5A5A"/>
      <w:spacing w:val="15"/>
      <w:sz w:val="22"/>
      <w:szCs w:val="22"/>
    </w:rPr>
  </w:style>
  <w:style w:type="paragraph" w:customStyle="1" w:styleId="Citat1">
    <w:name w:val="Citat1"/>
    <w:basedOn w:val="Normal"/>
    <w:next w:val="Normal"/>
    <w:pPr>
      <w:spacing w:before="200" w:after="160"/>
      <w:ind w:left="864" w:right="864"/>
      <w:jc w:val="center"/>
    </w:pPr>
    <w:rPr>
      <w:rFonts w:ascii="Calibri" w:eastAsia="SimSun" w:hAnsi="Calibri"/>
      <w:color w:val="000000"/>
    </w:rPr>
  </w:style>
  <w:style w:type="character" w:customStyle="1" w:styleId="QuoteChar1">
    <w:name w:val="Quote Char1"/>
    <w:basedOn w:val="Zadanifontodlomka1"/>
    <w:uiPriority w:val="29"/>
    <w:rPr>
      <w:i/>
      <w:iCs/>
      <w:color w:val="404040"/>
      <w:sz w:val="24"/>
      <w:szCs w:val="24"/>
    </w:rPr>
  </w:style>
  <w:style w:type="paragraph" w:customStyle="1" w:styleId="Naglaencitat1">
    <w:name w:val="Naglašen citat1"/>
    <w:basedOn w:val="Normal"/>
    <w:next w:val="Normal"/>
    <w:pPr>
      <w:pBdr>
        <w:top w:val="single" w:sz="4" w:space="10" w:color="4F81BD"/>
        <w:bottom w:val="single" w:sz="4" w:space="10" w:color="4F81BD"/>
      </w:pBdr>
      <w:spacing w:before="360" w:after="360"/>
      <w:ind w:left="864" w:right="864"/>
      <w:jc w:val="center"/>
    </w:pPr>
    <w:rPr>
      <w:rFonts w:ascii="Calibri" w:eastAsia="SimSun" w:hAnsi="Calibri"/>
    </w:rPr>
  </w:style>
  <w:style w:type="character" w:customStyle="1" w:styleId="IntenseQuoteChar1">
    <w:name w:val="Intense Quote Char1"/>
    <w:basedOn w:val="Zadanifontodlomka1"/>
    <w:uiPriority w:val="30"/>
    <w:rPr>
      <w:i/>
      <w:iCs/>
      <w:color w:val="4F81BD"/>
      <w:sz w:val="24"/>
      <w:szCs w:val="24"/>
    </w:rPr>
  </w:style>
  <w:style w:type="character" w:customStyle="1" w:styleId="Neupadljivoisticanje1">
    <w:name w:val="Neupadljivo isticanje1"/>
    <w:basedOn w:val="Zadanifontodlomka1"/>
    <w:rPr>
      <w:i/>
      <w:iCs/>
      <w:color w:val="404040"/>
    </w:rPr>
  </w:style>
  <w:style w:type="character" w:customStyle="1" w:styleId="Jakoisticanje1">
    <w:name w:val="Jako isticanje1"/>
    <w:basedOn w:val="Zadanifontodlomka1"/>
    <w:rPr>
      <w:i/>
      <w:iCs/>
      <w:color w:val="4F81BD"/>
    </w:rPr>
  </w:style>
  <w:style w:type="character" w:customStyle="1" w:styleId="Neupadljivareferenca1">
    <w:name w:val="Neupadljiva referenca1"/>
    <w:basedOn w:val="Zadanifontodlomka1"/>
    <w:rPr>
      <w:smallCaps/>
      <w:color w:val="5A5A5A"/>
    </w:rPr>
  </w:style>
  <w:style w:type="paragraph" w:customStyle="1" w:styleId="Sadraj41">
    <w:name w:val="Sadržaj 41"/>
    <w:basedOn w:val="Normal"/>
    <w:next w:val="Normal"/>
    <w:autoRedefine/>
    <w:pPr>
      <w:spacing w:after="100" w:line="254" w:lineRule="auto"/>
      <w:ind w:left="660"/>
    </w:pPr>
    <w:rPr>
      <w:rFonts w:ascii="Calibri" w:eastAsia="SimSun" w:hAnsi="Calibri" w:cs="Arial"/>
      <w:sz w:val="20"/>
      <w:szCs w:val="22"/>
      <w:lang w:val="hr-HR" w:eastAsia="hr-HR"/>
    </w:rPr>
  </w:style>
  <w:style w:type="paragraph" w:customStyle="1" w:styleId="Sadraj51">
    <w:name w:val="Sadržaj 51"/>
    <w:basedOn w:val="Normal"/>
    <w:next w:val="Normal"/>
    <w:autoRedefine/>
    <w:pPr>
      <w:spacing w:after="100" w:line="254" w:lineRule="auto"/>
      <w:ind w:left="880"/>
    </w:pPr>
    <w:rPr>
      <w:rFonts w:ascii="Calibri" w:eastAsia="SimSun" w:hAnsi="Calibri" w:cs="Arial"/>
      <w:sz w:val="22"/>
      <w:szCs w:val="22"/>
      <w:lang w:val="hr-HR" w:eastAsia="hr-HR"/>
    </w:rPr>
  </w:style>
  <w:style w:type="paragraph" w:customStyle="1" w:styleId="Sadraj61">
    <w:name w:val="Sadržaj 61"/>
    <w:basedOn w:val="Normal"/>
    <w:next w:val="Normal"/>
    <w:autoRedefine/>
    <w:pPr>
      <w:spacing w:after="100" w:line="254" w:lineRule="auto"/>
      <w:ind w:left="1100"/>
    </w:pPr>
    <w:rPr>
      <w:rFonts w:ascii="Calibri" w:eastAsia="SimSun" w:hAnsi="Calibri" w:cs="Arial"/>
      <w:sz w:val="22"/>
      <w:szCs w:val="22"/>
      <w:lang w:val="hr-HR" w:eastAsia="hr-HR"/>
    </w:rPr>
  </w:style>
  <w:style w:type="paragraph" w:customStyle="1" w:styleId="Sadraj71">
    <w:name w:val="Sadržaj 71"/>
    <w:basedOn w:val="Normal"/>
    <w:next w:val="Normal"/>
    <w:autoRedefine/>
    <w:pPr>
      <w:spacing w:after="100" w:line="254" w:lineRule="auto"/>
      <w:ind w:left="1320"/>
    </w:pPr>
    <w:rPr>
      <w:rFonts w:ascii="Calibri" w:eastAsia="SimSun" w:hAnsi="Calibri" w:cs="Arial"/>
      <w:sz w:val="22"/>
      <w:szCs w:val="22"/>
      <w:lang w:val="hr-HR" w:eastAsia="hr-HR"/>
    </w:rPr>
  </w:style>
  <w:style w:type="paragraph" w:customStyle="1" w:styleId="Sadraj81">
    <w:name w:val="Sadržaj 81"/>
    <w:basedOn w:val="Normal"/>
    <w:next w:val="Normal"/>
    <w:autoRedefine/>
    <w:pPr>
      <w:spacing w:after="100" w:line="254" w:lineRule="auto"/>
      <w:ind w:left="1540"/>
    </w:pPr>
    <w:rPr>
      <w:rFonts w:ascii="Calibri" w:eastAsia="SimSun" w:hAnsi="Calibri" w:cs="Arial"/>
      <w:sz w:val="22"/>
      <w:szCs w:val="22"/>
      <w:lang w:val="hr-HR" w:eastAsia="hr-HR"/>
    </w:rPr>
  </w:style>
  <w:style w:type="paragraph" w:customStyle="1" w:styleId="Sadraj91">
    <w:name w:val="Sadržaj 91"/>
    <w:basedOn w:val="Normal"/>
    <w:next w:val="Normal"/>
    <w:autoRedefine/>
    <w:pPr>
      <w:spacing w:after="100" w:line="254" w:lineRule="auto"/>
      <w:ind w:left="1760"/>
    </w:pPr>
    <w:rPr>
      <w:rFonts w:ascii="Calibri" w:eastAsia="SimSun" w:hAnsi="Calibri" w:cs="Arial"/>
      <w:sz w:val="22"/>
      <w:szCs w:val="22"/>
      <w:lang w:val="hr-HR" w:eastAsia="hr-HR"/>
    </w:rPr>
  </w:style>
  <w:style w:type="paragraph" w:customStyle="1" w:styleId="BDONormal">
    <w:name w:val="BDO_Normal"/>
    <w:pPr>
      <w:suppressAutoHyphens/>
    </w:pPr>
    <w:rPr>
      <w:rFonts w:ascii="Trebuchet MS" w:hAnsi="Trebuchet MS"/>
      <w:szCs w:val="24"/>
      <w:lang w:val="en-GB" w:eastAsia="en-GB"/>
    </w:rPr>
  </w:style>
  <w:style w:type="paragraph" w:customStyle="1" w:styleId="BDOAddress">
    <w:name w:val="BDO_Address"/>
    <w:basedOn w:val="BDONormal"/>
    <w:pPr>
      <w:spacing w:line="170" w:lineRule="exact"/>
    </w:pPr>
    <w:rPr>
      <w:color w:val="786860"/>
      <w:sz w:val="16"/>
    </w:rPr>
  </w:style>
  <w:style w:type="paragraph" w:customStyle="1" w:styleId="BDOAddressBold">
    <w:name w:val="BDO_Address (Bold)"/>
    <w:basedOn w:val="BDOAddress"/>
    <w:rPr>
      <w:b/>
    </w:rPr>
  </w:style>
  <w:style w:type="character" w:customStyle="1" w:styleId="s1">
    <w:name w:val="s1"/>
    <w:basedOn w:val="Zadanifontodlomka1"/>
  </w:style>
  <w:style w:type="paragraph" w:customStyle="1" w:styleId="paragraph">
    <w:name w:val="paragraph"/>
    <w:basedOn w:val="Normal"/>
    <w:rPr>
      <w:rFonts w:ascii="Calibri" w:eastAsia="Calibri" w:hAnsi="Calibri" w:cs="Calibri"/>
      <w:sz w:val="22"/>
      <w:szCs w:val="22"/>
      <w:lang w:val="hr-HR" w:eastAsia="hr-HR"/>
    </w:rPr>
  </w:style>
  <w:style w:type="character" w:customStyle="1" w:styleId="normaltextrun">
    <w:name w:val="normaltextrun"/>
    <w:basedOn w:val="Zadanifontodlomka1"/>
  </w:style>
  <w:style w:type="character" w:customStyle="1" w:styleId="Spominjanje1">
    <w:name w:val="Spominjanje1"/>
    <w:basedOn w:val="Zadanifontodlomka1"/>
    <w:rPr>
      <w:color w:val="2B579A"/>
      <w:shd w:val="clear" w:color="auto" w:fill="E6E6E6"/>
    </w:rPr>
  </w:style>
  <w:style w:type="character" w:customStyle="1" w:styleId="eop">
    <w:name w:val="eop"/>
    <w:basedOn w:val="Zadanifontodlomka1"/>
  </w:style>
  <w:style w:type="character" w:customStyle="1" w:styleId="superscript">
    <w:name w:val="superscript"/>
    <w:basedOn w:val="Zadanifontodlomka1"/>
  </w:style>
  <w:style w:type="paragraph" w:styleId="CommentText">
    <w:name w:val="annotation text"/>
    <w:basedOn w:val="Normal"/>
    <w:link w:val="CommentTextChar1"/>
    <w:rPr>
      <w:sz w:val="20"/>
      <w:szCs w:val="20"/>
    </w:rPr>
  </w:style>
  <w:style w:type="character" w:customStyle="1" w:styleId="CommentTextChar">
    <w:name w:val="Comment Text Char"/>
    <w:basedOn w:val="DefaultParagraphFont"/>
  </w:style>
  <w:style w:type="character" w:styleId="CommentReference">
    <w:name w:val="annotation reference"/>
    <w:basedOn w:val="DefaultParagraphFont"/>
    <w:rPr>
      <w:sz w:val="16"/>
      <w:szCs w:val="16"/>
    </w:rPr>
  </w:style>
  <w:style w:type="paragraph" w:styleId="Header">
    <w:name w:val="header"/>
    <w:basedOn w:val="Normal"/>
    <w:uiPriority w:val="99"/>
    <w:pPr>
      <w:tabs>
        <w:tab w:val="center" w:pos="4536"/>
        <w:tab w:val="right" w:pos="9072"/>
      </w:tabs>
    </w:pPr>
  </w:style>
  <w:style w:type="character" w:customStyle="1" w:styleId="HeaderChar">
    <w:name w:val="Header Char"/>
    <w:basedOn w:val="DefaultParagraphFont"/>
    <w:rPr>
      <w:sz w:val="24"/>
      <w:szCs w:val="24"/>
    </w:rPr>
  </w:style>
  <w:style w:type="paragraph" w:styleId="Footer">
    <w:name w:val="footer"/>
    <w:basedOn w:val="Normal"/>
    <w:uiPriority w:val="99"/>
    <w:pPr>
      <w:tabs>
        <w:tab w:val="center" w:pos="4536"/>
        <w:tab w:val="right" w:pos="9072"/>
      </w:tabs>
    </w:pPr>
  </w:style>
  <w:style w:type="character" w:customStyle="1" w:styleId="FooterChar">
    <w:name w:val="Footer Char"/>
    <w:basedOn w:val="DefaultParagraphFont"/>
    <w:uiPriority w:val="99"/>
    <w:rPr>
      <w:sz w:val="24"/>
      <w:szCs w:val="24"/>
    </w:rPr>
  </w:style>
  <w:style w:type="numbering" w:customStyle="1" w:styleId="LFO6">
    <w:name w:val="LFO6"/>
    <w:basedOn w:val="NoList"/>
    <w:pPr>
      <w:numPr>
        <w:numId w:val="1"/>
      </w:numPr>
    </w:pPr>
  </w:style>
  <w:style w:type="numbering" w:customStyle="1" w:styleId="LFO63">
    <w:name w:val="LFO63"/>
    <w:basedOn w:val="NoList"/>
    <w:pPr>
      <w:numPr>
        <w:numId w:val="2"/>
      </w:numPr>
    </w:pPr>
  </w:style>
  <w:style w:type="numbering" w:customStyle="1" w:styleId="LFO1">
    <w:name w:val="LFO1"/>
    <w:basedOn w:val="NoList"/>
    <w:pPr>
      <w:numPr>
        <w:numId w:val="3"/>
      </w:numPr>
    </w:pPr>
  </w:style>
  <w:style w:type="paragraph" w:styleId="TOC1">
    <w:name w:val="toc 1"/>
    <w:basedOn w:val="Normal"/>
    <w:next w:val="Normal"/>
    <w:autoRedefine/>
    <w:uiPriority w:val="39"/>
    <w:unhideWhenUsed/>
    <w:rsid w:val="008E4C3B"/>
    <w:pPr>
      <w:tabs>
        <w:tab w:val="right" w:leader="dot" w:pos="9345"/>
      </w:tabs>
      <w:spacing w:after="100"/>
    </w:pPr>
    <w:rPr>
      <w:rFonts w:asciiTheme="minorHAnsi" w:hAnsiTheme="minorHAnsi"/>
      <w:sz w:val="22"/>
    </w:rPr>
  </w:style>
  <w:style w:type="paragraph" w:styleId="TOC3">
    <w:name w:val="toc 3"/>
    <w:basedOn w:val="Normal"/>
    <w:next w:val="Normal"/>
    <w:autoRedefine/>
    <w:uiPriority w:val="39"/>
    <w:unhideWhenUsed/>
    <w:rsid w:val="00E45A39"/>
    <w:pPr>
      <w:spacing w:after="100"/>
      <w:ind w:left="480"/>
    </w:pPr>
    <w:rPr>
      <w:rFonts w:asciiTheme="minorHAnsi" w:hAnsiTheme="minorHAnsi"/>
      <w:sz w:val="20"/>
    </w:rPr>
  </w:style>
  <w:style w:type="paragraph" w:styleId="TOC2">
    <w:name w:val="toc 2"/>
    <w:basedOn w:val="Normal"/>
    <w:next w:val="Normal"/>
    <w:autoRedefine/>
    <w:uiPriority w:val="39"/>
    <w:unhideWhenUsed/>
    <w:rsid w:val="00F45324"/>
    <w:pPr>
      <w:tabs>
        <w:tab w:val="right" w:leader="dot" w:pos="9345"/>
      </w:tabs>
      <w:spacing w:after="100"/>
      <w:ind w:left="240"/>
    </w:pPr>
    <w:rPr>
      <w:rFonts w:asciiTheme="minorHAnsi" w:hAnsiTheme="minorHAnsi"/>
      <w:sz w:val="18"/>
    </w:rPr>
  </w:style>
  <w:style w:type="character" w:styleId="Hyperlink">
    <w:name w:val="Hyperlink"/>
    <w:basedOn w:val="DefaultParagraphFont"/>
    <w:uiPriority w:val="99"/>
    <w:unhideWhenUsed/>
    <w:rsid w:val="002F0EFD"/>
    <w:rPr>
      <w:color w:val="0563C1" w:themeColor="hyperlink"/>
      <w:u w:val="single"/>
    </w:rPr>
  </w:style>
  <w:style w:type="paragraph" w:styleId="CommentSubject">
    <w:name w:val="annotation subject"/>
    <w:basedOn w:val="CommentText"/>
    <w:next w:val="CommentText"/>
    <w:link w:val="CommentSubjectChar"/>
    <w:semiHidden/>
    <w:unhideWhenUsed/>
    <w:rsid w:val="00763573"/>
    <w:rPr>
      <w:b/>
      <w:bCs/>
    </w:rPr>
  </w:style>
  <w:style w:type="character" w:customStyle="1" w:styleId="CommentTextChar1">
    <w:name w:val="Comment Text Char1"/>
    <w:basedOn w:val="DefaultParagraphFont"/>
    <w:link w:val="CommentText"/>
    <w:rsid w:val="00763573"/>
  </w:style>
  <w:style w:type="character" w:customStyle="1" w:styleId="CommentSubjectChar">
    <w:name w:val="Comment Subject Char"/>
    <w:basedOn w:val="CommentTextChar1"/>
    <w:link w:val="CommentSubject"/>
    <w:uiPriority w:val="99"/>
    <w:semiHidden/>
    <w:rsid w:val="00763573"/>
    <w:rPr>
      <w:b/>
      <w:bCs/>
    </w:rPr>
  </w:style>
  <w:style w:type="paragraph" w:styleId="ListParagraph">
    <w:name w:val="List Paragraph"/>
    <w:aliases w:val="Lettre d'introduction,REPORT Bullet"/>
    <w:basedOn w:val="Normal"/>
    <w:uiPriority w:val="34"/>
    <w:qFormat/>
    <w:rsid w:val="0028677A"/>
    <w:pPr>
      <w:ind w:left="720"/>
      <w:contextualSpacing/>
    </w:pPr>
  </w:style>
  <w:style w:type="character" w:styleId="Emphasis">
    <w:name w:val="Emphasis"/>
    <w:basedOn w:val="DefaultParagraphFont"/>
    <w:uiPriority w:val="20"/>
    <w:qFormat/>
    <w:rsid w:val="0058618D"/>
    <w:rPr>
      <w:i/>
      <w:iCs/>
    </w:rPr>
  </w:style>
  <w:style w:type="paragraph" w:customStyle="1" w:styleId="Naslov92">
    <w:name w:val="Naslov 92"/>
    <w:basedOn w:val="Normal"/>
    <w:next w:val="Normal"/>
    <w:rsid w:val="00121BA4"/>
    <w:pPr>
      <w:keepNext/>
      <w:keepLines/>
      <w:spacing w:before="40"/>
      <w:outlineLvl w:val="8"/>
    </w:pPr>
    <w:rPr>
      <w:rFonts w:ascii="Calibri" w:eastAsia="SimSun" w:hAnsi="Calibri"/>
      <w:i/>
      <w:iCs/>
      <w:color w:val="234F77"/>
      <w:sz w:val="22"/>
      <w:szCs w:val="22"/>
    </w:rPr>
  </w:style>
  <w:style w:type="character" w:customStyle="1" w:styleId="Heading2Char">
    <w:name w:val="Heading 2 Char"/>
    <w:basedOn w:val="DefaultParagraphFont"/>
    <w:link w:val="Heading2"/>
    <w:uiPriority w:val="9"/>
    <w:semiHidden/>
    <w:rsid w:val="00804BFE"/>
    <w:rPr>
      <w:rFonts w:asciiTheme="majorHAnsi" w:eastAsiaTheme="majorEastAsia" w:hAnsiTheme="majorHAnsi" w:cstheme="majorBidi"/>
      <w:color w:val="2F5496" w:themeColor="accent1" w:themeShade="BF"/>
      <w:sz w:val="26"/>
      <w:szCs w:val="26"/>
    </w:rPr>
  </w:style>
  <w:style w:type="character" w:styleId="PageNumber">
    <w:name w:val="page number"/>
    <w:basedOn w:val="DefaultParagraphFont"/>
    <w:rsid w:val="00804BFE"/>
  </w:style>
  <w:style w:type="table" w:customStyle="1" w:styleId="TableGrid18">
    <w:name w:val="Table Grid18"/>
    <w:basedOn w:val="TableNormal"/>
    <w:uiPriority w:val="59"/>
    <w:rsid w:val="001856C5"/>
    <w:pPr>
      <w:autoSpaceDN/>
      <w:jc w:val="both"/>
    </w:pPr>
    <w:rPr>
      <w:rFonts w:ascii="Calibri" w:eastAsia="Calibri" w:hAnsi="Calibri"/>
      <w:sz w:val="22"/>
      <w:szCs w:val="22"/>
      <w:lang w:val="af-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1856C5"/>
    <w:pPr>
      <w:autoSpaceDN/>
      <w:jc w:val="both"/>
    </w:pPr>
    <w:rPr>
      <w:rFonts w:ascii="Calibri" w:eastAsia="Calibri" w:hAnsi="Calibri"/>
      <w:sz w:val="22"/>
      <w:szCs w:val="22"/>
      <w:lang w:val="af-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1856C5"/>
    <w:pPr>
      <w:tabs>
        <w:tab w:val="center" w:pos="4513"/>
      </w:tabs>
      <w:autoSpaceDN/>
      <w:jc w:val="both"/>
    </w:pPr>
    <w:rPr>
      <w:spacing w:val="-3"/>
      <w:sz w:val="22"/>
      <w:szCs w:val="20"/>
      <w:lang w:val="en-GB"/>
    </w:rPr>
  </w:style>
  <w:style w:type="character" w:customStyle="1" w:styleId="Tijeloteksta3Char1">
    <w:name w:val="Tijelo teksta 3 Char1"/>
    <w:basedOn w:val="DefaultParagraphFont"/>
    <w:uiPriority w:val="99"/>
    <w:semiHidden/>
    <w:rsid w:val="001856C5"/>
    <w:rPr>
      <w:sz w:val="16"/>
      <w:szCs w:val="16"/>
    </w:rPr>
  </w:style>
  <w:style w:type="paragraph" w:styleId="BodyText">
    <w:name w:val="Body Text"/>
    <w:aliases w:val="Body Text1,b,heading3,Body Text - Level 2,Body Text x,Szövegtörzs1,body text,contents,body,b-heading 1/heading 2,bd,heading1body-heading2body,bt"/>
    <w:basedOn w:val="Normal"/>
    <w:link w:val="BodyTextChar"/>
    <w:qFormat/>
    <w:rsid w:val="00D042BF"/>
    <w:pPr>
      <w:tabs>
        <w:tab w:val="left" w:pos="-720"/>
      </w:tabs>
      <w:autoSpaceDN/>
      <w:ind w:right="-612"/>
    </w:pPr>
    <w:rPr>
      <w:szCs w:val="20"/>
      <w:lang w:val="en-GB"/>
    </w:rPr>
  </w:style>
  <w:style w:type="character" w:customStyle="1" w:styleId="TijelotekstaChar1">
    <w:name w:val="Tijelo teksta Char1"/>
    <w:basedOn w:val="DefaultParagraphFont"/>
    <w:uiPriority w:val="99"/>
    <w:semiHidden/>
    <w:rsid w:val="00D042BF"/>
    <w:rPr>
      <w:sz w:val="24"/>
      <w:szCs w:val="24"/>
    </w:rPr>
  </w:style>
  <w:style w:type="paragraph" w:styleId="BodyTextIndent">
    <w:name w:val="Body Text Indent"/>
    <w:basedOn w:val="Normal"/>
    <w:link w:val="BodyTextIndentChar"/>
    <w:rsid w:val="00D042BF"/>
    <w:pPr>
      <w:tabs>
        <w:tab w:val="left" w:pos="-720"/>
      </w:tabs>
      <w:autoSpaceDN/>
      <w:ind w:left="709"/>
      <w:jc w:val="both"/>
    </w:pPr>
    <w:rPr>
      <w:b/>
      <w:spacing w:val="-3"/>
      <w:szCs w:val="20"/>
      <w:lang w:val="en-GB"/>
    </w:rPr>
  </w:style>
  <w:style w:type="character" w:customStyle="1" w:styleId="BodyTextIndentChar">
    <w:name w:val="Body Text Indent Char"/>
    <w:basedOn w:val="DefaultParagraphFont"/>
    <w:link w:val="BodyTextIndent"/>
    <w:rsid w:val="00D042BF"/>
    <w:rPr>
      <w:b/>
      <w:spacing w:val="-3"/>
      <w:sz w:val="24"/>
      <w:lang w:val="en-GB"/>
    </w:rPr>
  </w:style>
  <w:style w:type="table" w:customStyle="1" w:styleId="GridTable22">
    <w:name w:val="Grid Table 22"/>
    <w:basedOn w:val="TableNormal"/>
    <w:next w:val="GridTable2"/>
    <w:uiPriority w:val="47"/>
    <w:rsid w:val="00D042BF"/>
    <w:pPr>
      <w:autoSpaceDN/>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
    <w:name w:val="Grid Table 2"/>
    <w:basedOn w:val="TableNormal"/>
    <w:uiPriority w:val="47"/>
    <w:rsid w:val="00D042B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2-Accent1">
    <w:name w:val="Medium List 2 Accent 1"/>
    <w:basedOn w:val="TableNormal"/>
    <w:uiPriority w:val="66"/>
    <w:semiHidden/>
    <w:unhideWhenUsed/>
    <w:rsid w:val="00D042BF"/>
    <w:pPr>
      <w:autoSpaceDN/>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1Light-Accent52">
    <w:name w:val="Grid Table 1 Light - Accent 52"/>
    <w:basedOn w:val="TableNormal"/>
    <w:next w:val="GridTable1Light-Accent5"/>
    <w:uiPriority w:val="46"/>
    <w:rsid w:val="00D042BF"/>
    <w:pPr>
      <w:autoSpaceDN/>
      <w:spacing w:after="160" w:line="276" w:lineRule="auto"/>
    </w:pPr>
    <w:rPr>
      <w:rFonts w:ascii="Calibri" w:eastAsia="SimSun" w:hAnsi="Calibri"/>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ListTable4-Accent12">
    <w:name w:val="List Table 4 - Accent 12"/>
    <w:basedOn w:val="TableNormal"/>
    <w:next w:val="ListTable4-Accent1"/>
    <w:uiPriority w:val="49"/>
    <w:rsid w:val="00D042BF"/>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styleId="GridTable1Light-Accent5">
    <w:name w:val="Grid Table 1 Light Accent 5"/>
    <w:basedOn w:val="TableNormal"/>
    <w:uiPriority w:val="46"/>
    <w:rsid w:val="00D042BF"/>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D042B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aliases w:val="h1 Char1"/>
    <w:basedOn w:val="DefaultParagraphFont"/>
    <w:link w:val="Heading1"/>
    <w:uiPriority w:val="9"/>
    <w:rsid w:val="004E2F51"/>
    <w:rPr>
      <w:rFonts w:asciiTheme="majorHAnsi" w:eastAsiaTheme="majorEastAsia" w:hAnsiTheme="majorHAnsi" w:cstheme="majorBidi"/>
      <w:color w:val="2F5496" w:themeColor="accent1" w:themeShade="BF"/>
      <w:sz w:val="32"/>
      <w:szCs w:val="32"/>
    </w:rPr>
  </w:style>
  <w:style w:type="character" w:customStyle="1" w:styleId="Naslov4Char1">
    <w:name w:val="Naslov 4 Char1"/>
    <w:basedOn w:val="DefaultParagraphFont"/>
    <w:uiPriority w:val="9"/>
    <w:semiHidden/>
    <w:rsid w:val="004E2F51"/>
    <w:rPr>
      <w:rFonts w:asciiTheme="majorHAnsi" w:eastAsiaTheme="majorEastAsia" w:hAnsiTheme="majorHAnsi" w:cstheme="majorBidi"/>
      <w:i/>
      <w:iCs/>
      <w:color w:val="2F5496" w:themeColor="accent1" w:themeShade="BF"/>
      <w:sz w:val="24"/>
      <w:szCs w:val="24"/>
    </w:rPr>
  </w:style>
  <w:style w:type="character" w:customStyle="1" w:styleId="Naslov5Char1">
    <w:name w:val="Naslov 5 Char1"/>
    <w:basedOn w:val="DefaultParagraphFont"/>
    <w:uiPriority w:val="9"/>
    <w:semiHidden/>
    <w:rsid w:val="004E2F51"/>
    <w:rPr>
      <w:rFonts w:asciiTheme="majorHAnsi" w:eastAsiaTheme="majorEastAsia" w:hAnsiTheme="majorHAnsi" w:cstheme="majorBidi"/>
      <w:color w:val="2F5496" w:themeColor="accent1" w:themeShade="BF"/>
      <w:sz w:val="24"/>
      <w:szCs w:val="24"/>
    </w:rPr>
  </w:style>
  <w:style w:type="character" w:customStyle="1" w:styleId="Naslov6Char1">
    <w:name w:val="Naslov 6 Char1"/>
    <w:basedOn w:val="DefaultParagraphFont"/>
    <w:uiPriority w:val="9"/>
    <w:semiHidden/>
    <w:rsid w:val="004E2F51"/>
    <w:rPr>
      <w:rFonts w:asciiTheme="majorHAnsi" w:eastAsiaTheme="majorEastAsia" w:hAnsiTheme="majorHAnsi" w:cstheme="majorBidi"/>
      <w:color w:val="1F3763" w:themeColor="accent1" w:themeShade="7F"/>
      <w:sz w:val="24"/>
      <w:szCs w:val="24"/>
    </w:rPr>
  </w:style>
  <w:style w:type="character" w:customStyle="1" w:styleId="Naslov7Char1">
    <w:name w:val="Naslov 7 Char1"/>
    <w:basedOn w:val="DefaultParagraphFont"/>
    <w:uiPriority w:val="9"/>
    <w:semiHidden/>
    <w:rsid w:val="004E2F51"/>
    <w:rPr>
      <w:rFonts w:asciiTheme="majorHAnsi" w:eastAsiaTheme="majorEastAsia" w:hAnsiTheme="majorHAnsi" w:cstheme="majorBidi"/>
      <w:i/>
      <w:iCs/>
      <w:color w:val="1F3763" w:themeColor="accent1" w:themeShade="7F"/>
      <w:sz w:val="24"/>
      <w:szCs w:val="24"/>
    </w:rPr>
  </w:style>
  <w:style w:type="character" w:customStyle="1" w:styleId="Naslov8Char1">
    <w:name w:val="Naslov 8 Char1"/>
    <w:basedOn w:val="DefaultParagraphFont"/>
    <w:uiPriority w:val="9"/>
    <w:semiHidden/>
    <w:rsid w:val="004E2F51"/>
    <w:rPr>
      <w:rFonts w:asciiTheme="majorHAnsi" w:eastAsiaTheme="majorEastAsia" w:hAnsiTheme="majorHAnsi" w:cstheme="majorBidi"/>
      <w:color w:val="272727" w:themeColor="text1" w:themeTint="D8"/>
      <w:sz w:val="21"/>
      <w:szCs w:val="21"/>
    </w:rPr>
  </w:style>
  <w:style w:type="character" w:customStyle="1" w:styleId="Naslov9Char1">
    <w:name w:val="Naslov 9 Char1"/>
    <w:basedOn w:val="DefaultParagraphFont"/>
    <w:uiPriority w:val="9"/>
    <w:semiHidden/>
    <w:rsid w:val="004E2F51"/>
    <w:rPr>
      <w:rFonts w:asciiTheme="majorHAnsi" w:eastAsiaTheme="majorEastAsia" w:hAnsiTheme="majorHAnsi" w:cstheme="majorBidi"/>
      <w:i/>
      <w:iCs/>
      <w:color w:val="272727" w:themeColor="text1" w:themeTint="D8"/>
      <w:sz w:val="21"/>
      <w:szCs w:val="21"/>
    </w:rPr>
  </w:style>
  <w:style w:type="paragraph" w:styleId="BodyTextIndent2">
    <w:name w:val="Body Text Indent 2"/>
    <w:basedOn w:val="Normal"/>
    <w:link w:val="BodyTextIndent2Char"/>
    <w:rsid w:val="004E2F51"/>
    <w:pPr>
      <w:tabs>
        <w:tab w:val="left" w:pos="-720"/>
      </w:tabs>
      <w:autoSpaceDN/>
      <w:ind w:left="709" w:hanging="709"/>
      <w:jc w:val="both"/>
    </w:pPr>
    <w:rPr>
      <w:b/>
      <w:spacing w:val="-3"/>
      <w:szCs w:val="20"/>
      <w:lang w:val="en-GB"/>
    </w:rPr>
  </w:style>
  <w:style w:type="character" w:customStyle="1" w:styleId="BodyTextIndent2Char">
    <w:name w:val="Body Text Indent 2 Char"/>
    <w:basedOn w:val="DefaultParagraphFont"/>
    <w:link w:val="BodyTextIndent2"/>
    <w:rsid w:val="004E2F51"/>
    <w:rPr>
      <w:b/>
      <w:spacing w:val="-3"/>
      <w:sz w:val="24"/>
      <w:lang w:val="en-GB"/>
    </w:rPr>
  </w:style>
  <w:style w:type="paragraph" w:styleId="BodyTextIndent3">
    <w:name w:val="Body Text Indent 3"/>
    <w:basedOn w:val="Normal"/>
    <w:link w:val="BodyTextIndent3Char"/>
    <w:rsid w:val="004E2F51"/>
    <w:pPr>
      <w:tabs>
        <w:tab w:val="left" w:pos="-720"/>
      </w:tabs>
      <w:autoSpaceDN/>
      <w:ind w:firstLine="4416"/>
      <w:jc w:val="both"/>
    </w:pPr>
    <w:rPr>
      <w:spacing w:val="-2"/>
      <w:sz w:val="20"/>
      <w:szCs w:val="20"/>
      <w:lang w:val="en-GB"/>
    </w:rPr>
  </w:style>
  <w:style w:type="character" w:customStyle="1" w:styleId="BodyTextIndent3Char">
    <w:name w:val="Body Text Indent 3 Char"/>
    <w:basedOn w:val="DefaultParagraphFont"/>
    <w:link w:val="BodyTextIndent3"/>
    <w:rsid w:val="004E2F51"/>
    <w:rPr>
      <w:spacing w:val="-2"/>
      <w:lang w:val="en-GB"/>
    </w:rPr>
  </w:style>
  <w:style w:type="paragraph" w:styleId="BodyText2">
    <w:name w:val="Body Text 2"/>
    <w:basedOn w:val="Normal"/>
    <w:link w:val="BodyText2Char"/>
    <w:rsid w:val="004E2F51"/>
    <w:pPr>
      <w:suppressAutoHyphens w:val="0"/>
      <w:autoSpaceDN/>
      <w:ind w:right="708"/>
      <w:jc w:val="both"/>
    </w:pPr>
    <w:rPr>
      <w:szCs w:val="20"/>
      <w:lang w:val="en-GB"/>
    </w:rPr>
  </w:style>
  <w:style w:type="character" w:customStyle="1" w:styleId="BodyText2Char">
    <w:name w:val="Body Text 2 Char"/>
    <w:basedOn w:val="DefaultParagraphFont"/>
    <w:link w:val="BodyText2"/>
    <w:rsid w:val="004E2F51"/>
    <w:rPr>
      <w:sz w:val="24"/>
      <w:lang w:val="en-GB"/>
    </w:rPr>
  </w:style>
  <w:style w:type="character" w:styleId="FootnoteReference">
    <w:name w:val="footnote reference"/>
    <w:uiPriority w:val="99"/>
    <w:rsid w:val="004E2F51"/>
    <w:rPr>
      <w:vertAlign w:val="superscript"/>
    </w:rPr>
  </w:style>
  <w:style w:type="paragraph" w:styleId="BalloonText">
    <w:name w:val="Balloon Text"/>
    <w:basedOn w:val="Normal"/>
    <w:link w:val="BalloonTextChar"/>
    <w:uiPriority w:val="99"/>
    <w:semiHidden/>
    <w:rsid w:val="004E2F51"/>
    <w:pPr>
      <w:tabs>
        <w:tab w:val="left" w:pos="1134"/>
      </w:tabs>
      <w:suppressAutoHyphens w:val="0"/>
      <w:autoSpaceDN/>
      <w:spacing w:line="280" w:lineRule="atLeast"/>
    </w:pPr>
    <w:rPr>
      <w:rFonts w:ascii="Tahoma" w:hAnsi="Tahoma" w:cs="Tahoma"/>
      <w:sz w:val="16"/>
      <w:szCs w:val="16"/>
    </w:rPr>
  </w:style>
  <w:style w:type="character" w:customStyle="1" w:styleId="TekstbaloniaChar1">
    <w:name w:val="Tekst balončića Char1"/>
    <w:basedOn w:val="DefaultParagraphFont"/>
    <w:uiPriority w:val="99"/>
    <w:semiHidden/>
    <w:rsid w:val="004E2F51"/>
    <w:rPr>
      <w:rFonts w:ascii="Segoe UI" w:hAnsi="Segoe UI" w:cs="Segoe UI"/>
      <w:sz w:val="18"/>
      <w:szCs w:val="18"/>
    </w:rPr>
  </w:style>
  <w:style w:type="paragraph" w:styleId="NormalIndent">
    <w:name w:val="Normal Indent"/>
    <w:basedOn w:val="Normal"/>
    <w:rsid w:val="004E2F51"/>
    <w:pPr>
      <w:suppressAutoHyphens w:val="0"/>
      <w:autoSpaceDN/>
      <w:spacing w:line="240" w:lineRule="atLeast"/>
      <w:ind w:left="851"/>
      <w:jc w:val="both"/>
    </w:pPr>
    <w:rPr>
      <w:rFonts w:ascii="Arial" w:hAnsi="Arial"/>
      <w:szCs w:val="20"/>
      <w:lang w:val="de-DE"/>
    </w:rPr>
  </w:style>
  <w:style w:type="paragraph" w:styleId="Caption">
    <w:name w:val="caption"/>
    <w:basedOn w:val="Normal"/>
    <w:next w:val="Normal"/>
    <w:uiPriority w:val="35"/>
    <w:qFormat/>
    <w:rsid w:val="004E2F51"/>
    <w:pPr>
      <w:suppressAutoHyphens w:val="0"/>
      <w:autoSpaceDN/>
      <w:spacing w:before="120" w:after="120" w:line="240" w:lineRule="atLeast"/>
      <w:ind w:left="567"/>
    </w:pPr>
    <w:rPr>
      <w:rFonts w:ascii="Arial" w:hAnsi="Arial"/>
      <w:b/>
      <w:sz w:val="20"/>
      <w:szCs w:val="20"/>
      <w:lang w:val="en-GB"/>
    </w:rPr>
  </w:style>
  <w:style w:type="paragraph" w:styleId="NormalWeb">
    <w:name w:val="Normal (Web)"/>
    <w:basedOn w:val="Normal"/>
    <w:link w:val="NormalWebChar"/>
    <w:uiPriority w:val="99"/>
    <w:rsid w:val="004E2F51"/>
    <w:pPr>
      <w:suppressAutoHyphens w:val="0"/>
      <w:autoSpaceDN/>
      <w:spacing w:before="100" w:beforeAutospacing="1" w:after="100" w:afterAutospacing="1"/>
    </w:pPr>
    <w:rPr>
      <w:lang w:eastAsia="hr-HR"/>
    </w:rPr>
  </w:style>
  <w:style w:type="character" w:styleId="Strong">
    <w:name w:val="Strong"/>
    <w:uiPriority w:val="22"/>
    <w:qFormat/>
    <w:rsid w:val="004E2F51"/>
    <w:rPr>
      <w:b/>
      <w:bCs/>
    </w:rPr>
  </w:style>
  <w:style w:type="table" w:styleId="TableGrid">
    <w:name w:val="Table Grid"/>
    <w:basedOn w:val="TableNormal"/>
    <w:rsid w:val="004E2F51"/>
    <w:pPr>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4E2F51"/>
    <w:pPr>
      <w:suppressAutoHyphens w:val="0"/>
      <w:autoSpaceDN/>
    </w:pPr>
    <w:rPr>
      <w:rFonts w:ascii="Verdana" w:hAnsi="Verdana"/>
      <w:color w:val="000000"/>
      <w:sz w:val="20"/>
      <w:szCs w:val="21"/>
    </w:rPr>
  </w:style>
  <w:style w:type="character" w:customStyle="1" w:styleId="ObinitekstChar1">
    <w:name w:val="Obični tekst Char1"/>
    <w:basedOn w:val="DefaultParagraphFont"/>
    <w:uiPriority w:val="99"/>
    <w:semiHidden/>
    <w:rsid w:val="004E2F51"/>
    <w:rPr>
      <w:rFonts w:ascii="Consolas" w:hAnsi="Consolas"/>
      <w:sz w:val="21"/>
      <w:szCs w:val="21"/>
    </w:rPr>
  </w:style>
  <w:style w:type="table" w:customStyle="1" w:styleId="TableGrid2">
    <w:name w:val="Table Grid2"/>
    <w:basedOn w:val="TableNormal"/>
    <w:next w:val="TableGrid"/>
    <w:uiPriority w:val="59"/>
    <w:rsid w:val="004E2F51"/>
    <w:pPr>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4E2F51"/>
    <w:pPr>
      <w:shd w:val="clear" w:color="auto" w:fill="000080"/>
      <w:suppressAutoHyphens w:val="0"/>
      <w:autoSpaceDN/>
    </w:pPr>
    <w:rPr>
      <w:rFonts w:ascii="Tahoma" w:hAnsi="Tahoma" w:cs="Tahoma"/>
      <w:sz w:val="20"/>
      <w:szCs w:val="20"/>
      <w:lang w:val="hr-HR" w:eastAsia="hr-HR"/>
    </w:rPr>
  </w:style>
  <w:style w:type="character" w:customStyle="1" w:styleId="KartadokumentaChar1">
    <w:name w:val="Karta dokumenta Char1"/>
    <w:basedOn w:val="DefaultParagraphFont"/>
    <w:uiPriority w:val="99"/>
    <w:semiHidden/>
    <w:rsid w:val="004E2F51"/>
    <w:rPr>
      <w:rFonts w:ascii="Segoe UI" w:hAnsi="Segoe UI" w:cs="Segoe UI"/>
      <w:sz w:val="16"/>
      <w:szCs w:val="16"/>
    </w:rPr>
  </w:style>
  <w:style w:type="paragraph" w:styleId="NoSpacing">
    <w:name w:val="No Spacing"/>
    <w:link w:val="NoSpacingChar"/>
    <w:uiPriority w:val="1"/>
    <w:qFormat/>
    <w:rsid w:val="004E2F51"/>
    <w:pPr>
      <w:autoSpaceDN/>
    </w:pPr>
    <w:rPr>
      <w:rFonts w:ascii="Calibri" w:hAnsi="Calibri"/>
      <w:sz w:val="22"/>
      <w:szCs w:val="22"/>
      <w:lang w:val="hr-HR"/>
    </w:rPr>
  </w:style>
  <w:style w:type="paragraph" w:styleId="TOCHeading">
    <w:name w:val="TOC Heading"/>
    <w:basedOn w:val="Heading1"/>
    <w:next w:val="Normal"/>
    <w:uiPriority w:val="39"/>
    <w:qFormat/>
    <w:rsid w:val="004E2F51"/>
    <w:pPr>
      <w:suppressAutoHyphens w:val="0"/>
      <w:autoSpaceDN/>
      <w:spacing w:before="480" w:line="276" w:lineRule="auto"/>
      <w:outlineLvl w:val="9"/>
    </w:pPr>
    <w:rPr>
      <w:rFonts w:ascii="Cambria" w:eastAsia="Times New Roman" w:hAnsi="Cambria" w:cs="Times New Roman"/>
      <w:b/>
      <w:bCs/>
      <w:color w:val="365F91"/>
      <w:sz w:val="28"/>
      <w:szCs w:val="28"/>
    </w:rPr>
  </w:style>
  <w:style w:type="character" w:styleId="FollowedHyperlink">
    <w:name w:val="FollowedHyperlink"/>
    <w:rsid w:val="004E2F51"/>
    <w:rPr>
      <w:color w:val="800080"/>
      <w:u w:val="single"/>
    </w:rPr>
  </w:style>
  <w:style w:type="paragraph" w:styleId="FootnoteText">
    <w:name w:val="footnote text"/>
    <w:basedOn w:val="Normal"/>
    <w:link w:val="FootnoteTextChar"/>
    <w:uiPriority w:val="99"/>
    <w:rsid w:val="004E2F51"/>
    <w:pPr>
      <w:suppressAutoHyphens w:val="0"/>
      <w:autoSpaceDN/>
    </w:pPr>
    <w:rPr>
      <w:sz w:val="20"/>
      <w:szCs w:val="20"/>
      <w:lang w:val="hr-HR" w:eastAsia="hr-HR"/>
    </w:rPr>
  </w:style>
  <w:style w:type="character" w:customStyle="1" w:styleId="TekstfusnoteChar1">
    <w:name w:val="Tekst fusnote Char1"/>
    <w:basedOn w:val="DefaultParagraphFont"/>
    <w:uiPriority w:val="99"/>
    <w:semiHidden/>
    <w:rsid w:val="004E2F51"/>
  </w:style>
  <w:style w:type="paragraph" w:styleId="HTMLPreformatted">
    <w:name w:val="HTML Preformatted"/>
    <w:basedOn w:val="Normal"/>
    <w:link w:val="HTMLPreformattedChar"/>
    <w:uiPriority w:val="99"/>
    <w:unhideWhenUsed/>
    <w:rsid w:val="004E2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pPr>
    <w:rPr>
      <w:rFonts w:ascii="Courier New" w:hAnsi="Courier New" w:cs="Courier New"/>
      <w:sz w:val="20"/>
      <w:szCs w:val="20"/>
      <w:lang w:val="hr-HR" w:eastAsia="hr-HR"/>
    </w:rPr>
  </w:style>
  <w:style w:type="character" w:customStyle="1" w:styleId="HTMLunaprijedoblikovanoChar1">
    <w:name w:val="HTML unaprijed oblikovano Char1"/>
    <w:basedOn w:val="DefaultParagraphFont"/>
    <w:uiPriority w:val="99"/>
    <w:semiHidden/>
    <w:rsid w:val="004E2F51"/>
    <w:rPr>
      <w:rFonts w:ascii="Consolas" w:hAnsi="Consolas"/>
    </w:rPr>
  </w:style>
  <w:style w:type="table" w:customStyle="1" w:styleId="GridTable5Dark-Accent51">
    <w:name w:val="Grid Table 5 Dark - Accent 51"/>
    <w:basedOn w:val="TableNormal"/>
    <w:next w:val="GridTable5Dark-Accent5"/>
    <w:uiPriority w:val="50"/>
    <w:rsid w:val="004E2F51"/>
    <w:pPr>
      <w:autoSpaceDN/>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5">
    <w:name w:val="Grid Table 5 Dark Accent 5"/>
    <w:basedOn w:val="TableNormal"/>
    <w:uiPriority w:val="50"/>
    <w:rsid w:val="004E2F51"/>
    <w:pPr>
      <w:autoSpaceDN/>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LineNumber">
    <w:name w:val="line number"/>
    <w:basedOn w:val="DefaultParagraphFont"/>
    <w:semiHidden/>
    <w:unhideWhenUsed/>
    <w:rsid w:val="004E2F51"/>
  </w:style>
  <w:style w:type="paragraph" w:styleId="EndnoteText">
    <w:name w:val="endnote text"/>
    <w:basedOn w:val="Normal"/>
    <w:link w:val="EndnoteTextChar"/>
    <w:semiHidden/>
    <w:unhideWhenUsed/>
    <w:rsid w:val="004E2F51"/>
    <w:pPr>
      <w:suppressAutoHyphens w:val="0"/>
      <w:autoSpaceDN/>
    </w:pPr>
    <w:rPr>
      <w:sz w:val="20"/>
      <w:szCs w:val="20"/>
    </w:rPr>
  </w:style>
  <w:style w:type="character" w:customStyle="1" w:styleId="TekstkrajnjebiljekeChar1">
    <w:name w:val="Tekst krajnje bilješke Char1"/>
    <w:basedOn w:val="DefaultParagraphFont"/>
    <w:uiPriority w:val="99"/>
    <w:semiHidden/>
    <w:rsid w:val="004E2F51"/>
  </w:style>
  <w:style w:type="character" w:styleId="EndnoteReference">
    <w:name w:val="endnote reference"/>
    <w:basedOn w:val="DefaultParagraphFont"/>
    <w:semiHidden/>
    <w:unhideWhenUsed/>
    <w:rsid w:val="004E2F51"/>
    <w:rPr>
      <w:vertAlign w:val="superscript"/>
    </w:rPr>
  </w:style>
  <w:style w:type="character" w:styleId="UnresolvedMention">
    <w:name w:val="Unresolved Mention"/>
    <w:basedOn w:val="DefaultParagraphFont"/>
    <w:uiPriority w:val="99"/>
    <w:unhideWhenUsed/>
    <w:rsid w:val="004E2F51"/>
    <w:rPr>
      <w:color w:val="605E5C"/>
      <w:shd w:val="clear" w:color="auto" w:fill="E1DFDD"/>
    </w:rPr>
  </w:style>
  <w:style w:type="paragraph" w:styleId="List">
    <w:name w:val="List"/>
    <w:basedOn w:val="Normal"/>
    <w:rsid w:val="004E2F51"/>
    <w:pPr>
      <w:ind w:left="283" w:hanging="283"/>
      <w:textAlignment w:val="baseline"/>
    </w:pPr>
    <w:rPr>
      <w:sz w:val="22"/>
      <w:szCs w:val="20"/>
      <w:lang w:val="en-GB"/>
    </w:rPr>
  </w:style>
  <w:style w:type="numbering" w:customStyle="1" w:styleId="NoList1">
    <w:name w:val="No List1"/>
    <w:next w:val="NoList"/>
    <w:uiPriority w:val="99"/>
    <w:semiHidden/>
    <w:unhideWhenUsed/>
    <w:rsid w:val="004E2F51"/>
  </w:style>
  <w:style w:type="table" w:customStyle="1" w:styleId="TableGrid1">
    <w:name w:val="Table Grid1"/>
    <w:basedOn w:val="TableNormal"/>
    <w:next w:val="TableGrid"/>
    <w:rsid w:val="004E2F51"/>
    <w:pPr>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61">
    <w:name w:val="LFO61"/>
    <w:basedOn w:val="NoList"/>
    <w:rsid w:val="004E2F51"/>
  </w:style>
  <w:style w:type="numbering" w:customStyle="1" w:styleId="NoList2">
    <w:name w:val="No List2"/>
    <w:next w:val="NoList"/>
    <w:uiPriority w:val="99"/>
    <w:semiHidden/>
    <w:unhideWhenUsed/>
    <w:rsid w:val="004E2F51"/>
  </w:style>
  <w:style w:type="table" w:customStyle="1" w:styleId="TableGrid3">
    <w:name w:val="Table Grid3"/>
    <w:basedOn w:val="TableNormal"/>
    <w:next w:val="TableGrid"/>
    <w:rsid w:val="004E2F51"/>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E2F51"/>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next w:val="GridTable1Light-Accent5"/>
    <w:uiPriority w:val="46"/>
    <w:rsid w:val="004E2F51"/>
    <w:pPr>
      <w:autoSpaceDN/>
      <w:spacing w:after="160" w:line="276" w:lineRule="auto"/>
    </w:pPr>
    <w:rPr>
      <w:rFonts w:ascii="Calibri" w:eastAsia="SimSun" w:hAnsi="Calibri"/>
      <w:sz w:val="21"/>
      <w:szCs w:val="21"/>
    </w:rPr>
    <w:tblPr>
      <w:tblStyleRowBandSize w:val="1"/>
      <w:tblStyleColBandSize w:val="1"/>
      <w:tblBorders>
        <w:top w:val="single" w:sz="4" w:space="0" w:color="BCD9DE"/>
        <w:left w:val="single" w:sz="4" w:space="0" w:color="BCD9DE"/>
        <w:bottom w:val="single" w:sz="4" w:space="0" w:color="BCD9DE"/>
        <w:right w:val="single" w:sz="4" w:space="0" w:color="BCD9DE"/>
        <w:insideH w:val="single" w:sz="4" w:space="0" w:color="BCD9DE"/>
        <w:insideV w:val="single" w:sz="4" w:space="0" w:color="BCD9DE"/>
      </w:tblBorders>
    </w:tblPr>
    <w:tblStylePr w:type="firstRow">
      <w:rPr>
        <w:b/>
        <w:bCs/>
      </w:rPr>
      <w:tblPr/>
      <w:tcPr>
        <w:tcBorders>
          <w:bottom w:val="single" w:sz="12" w:space="0" w:color="9BC7CE"/>
        </w:tcBorders>
      </w:tcPr>
    </w:tblStylePr>
    <w:tblStylePr w:type="lastRow">
      <w:rPr>
        <w:b/>
        <w:bCs/>
      </w:rPr>
      <w:tblPr/>
      <w:tcPr>
        <w:tcBorders>
          <w:top w:val="double" w:sz="2" w:space="0" w:color="9BC7CE"/>
        </w:tcBorders>
      </w:tcPr>
    </w:tblStylePr>
    <w:tblStylePr w:type="firstCol">
      <w:rPr>
        <w:b/>
        <w:bCs/>
      </w:rPr>
    </w:tblStylePr>
    <w:tblStylePr w:type="lastCol">
      <w:rPr>
        <w:b/>
        <w:bCs/>
      </w:rPr>
    </w:tblStylePr>
  </w:style>
  <w:style w:type="table" w:customStyle="1" w:styleId="GridTable5Dark-Accent511">
    <w:name w:val="Grid Table 5 Dark - Accent 511"/>
    <w:basedOn w:val="TableNormal"/>
    <w:next w:val="GridTable5Dark-Accent5"/>
    <w:uiPriority w:val="50"/>
    <w:rsid w:val="004E2F51"/>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2">
    <w:name w:val="Grid Table 5 Dark - Accent 52"/>
    <w:basedOn w:val="TableNormal"/>
    <w:next w:val="GridTable5Dark-Accent5"/>
    <w:uiPriority w:val="50"/>
    <w:rsid w:val="004E2F51"/>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numbering" w:customStyle="1" w:styleId="LFO62">
    <w:name w:val="LFO62"/>
    <w:basedOn w:val="NoList"/>
    <w:rsid w:val="004E2F51"/>
  </w:style>
  <w:style w:type="table" w:customStyle="1" w:styleId="MediumList2-Accent11">
    <w:name w:val="Medium List 2 - Accent 11"/>
    <w:basedOn w:val="TableNormal"/>
    <w:next w:val="MediumList2-Accent1"/>
    <w:uiPriority w:val="66"/>
    <w:rsid w:val="004E2F51"/>
    <w:pPr>
      <w:autoSpaceDN/>
      <w:spacing w:after="160" w:line="276" w:lineRule="auto"/>
    </w:pPr>
    <w:rPr>
      <w:rFonts w:ascii="Calibri" w:eastAsia="SimSun" w:hAnsi="Calibri"/>
      <w:color w:val="000000"/>
      <w:sz w:val="22"/>
      <w:szCs w:val="22"/>
      <w:lang w:val="hr-HR" w:eastAsia="hr-HR"/>
    </w:rPr>
    <w:tblPr>
      <w:tblStyleRowBandSize w:val="1"/>
      <w:tblStyleColBandSize w:val="1"/>
      <w:tblBorders>
        <w:top w:val="single" w:sz="8" w:space="0" w:color="4A66AC"/>
        <w:left w:val="single" w:sz="8" w:space="0" w:color="4A66AC"/>
        <w:bottom w:val="single" w:sz="8" w:space="0" w:color="4A66AC"/>
        <w:right w:val="single" w:sz="8" w:space="0" w:color="4A66AC"/>
      </w:tblBorders>
    </w:tblPr>
    <w:tblStylePr w:type="firstRow">
      <w:rPr>
        <w:sz w:val="24"/>
        <w:szCs w:val="24"/>
      </w:rPr>
      <w:tblPr/>
      <w:tcPr>
        <w:tcBorders>
          <w:top w:val="nil"/>
          <w:left w:val="nil"/>
          <w:bottom w:val="single" w:sz="24" w:space="0" w:color="4A66AC"/>
          <w:right w:val="nil"/>
          <w:insideH w:val="nil"/>
          <w:insideV w:val="nil"/>
        </w:tcBorders>
        <w:shd w:val="clear" w:color="auto" w:fill="FFFFFF"/>
      </w:tcPr>
    </w:tblStylePr>
    <w:tblStylePr w:type="lastRow">
      <w:tblPr/>
      <w:tcPr>
        <w:tcBorders>
          <w:top w:val="single" w:sz="8" w:space="0" w:color="4A66AC"/>
          <w:left w:val="nil"/>
          <w:bottom w:val="nil"/>
          <w:right w:val="nil"/>
          <w:insideH w:val="nil"/>
          <w:insideV w:val="nil"/>
        </w:tcBorders>
        <w:shd w:val="clear" w:color="auto" w:fill="FFFFFF"/>
      </w:tcPr>
    </w:tblStylePr>
    <w:tblStylePr w:type="firstCol">
      <w:tblPr/>
      <w:tcPr>
        <w:tcBorders>
          <w:top w:val="nil"/>
          <w:left w:val="nil"/>
          <w:bottom w:val="nil"/>
          <w:right w:val="single" w:sz="8" w:space="0" w:color="4A66AC"/>
          <w:insideH w:val="nil"/>
          <w:insideV w:val="nil"/>
        </w:tcBorders>
        <w:shd w:val="clear" w:color="auto" w:fill="FFFFFF"/>
      </w:tcPr>
    </w:tblStylePr>
    <w:tblStylePr w:type="lastCol">
      <w:tblPr/>
      <w:tcPr>
        <w:tcBorders>
          <w:top w:val="nil"/>
          <w:left w:val="single" w:sz="8" w:space="0" w:color="4A66A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1D8EB"/>
      </w:tcPr>
    </w:tblStylePr>
    <w:tblStylePr w:type="band1Horz">
      <w:tblPr/>
      <w:tcPr>
        <w:tcBorders>
          <w:top w:val="nil"/>
          <w:bottom w:val="nil"/>
          <w:insideH w:val="nil"/>
          <w:insideV w:val="nil"/>
        </w:tcBorders>
        <w:shd w:val="clear" w:color="auto" w:fill="D1D8EB"/>
      </w:tcPr>
    </w:tblStylePr>
    <w:tblStylePr w:type="nwCell">
      <w:tblPr/>
      <w:tcPr>
        <w:shd w:val="clear" w:color="auto" w:fill="FFFFFF"/>
      </w:tcPr>
    </w:tblStylePr>
    <w:tblStylePr w:type="swCell">
      <w:tblPr/>
      <w:tcPr>
        <w:tcBorders>
          <w:top w:val="nil"/>
        </w:tcBorders>
      </w:tcPr>
    </w:tblStylePr>
  </w:style>
  <w:style w:type="table" w:customStyle="1" w:styleId="GridTable21">
    <w:name w:val="Grid Table 21"/>
    <w:basedOn w:val="TableNormal"/>
    <w:next w:val="GridTable2"/>
    <w:uiPriority w:val="47"/>
    <w:rsid w:val="004E2F51"/>
    <w:pPr>
      <w:autoSpaceDN/>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1">
    <w:name w:val="List Table 3 - Accent 11"/>
    <w:basedOn w:val="TableNormal"/>
    <w:next w:val="ListTable3-Accent1"/>
    <w:uiPriority w:val="48"/>
    <w:rsid w:val="004E2F51"/>
    <w:pPr>
      <w:autoSpaceDN/>
      <w:spacing w:after="160" w:line="276" w:lineRule="auto"/>
    </w:pPr>
    <w:rPr>
      <w:rFonts w:ascii="Calibri" w:eastAsia="SimSun" w:hAnsi="Calibri"/>
      <w:sz w:val="21"/>
      <w:szCs w:val="21"/>
    </w:rPr>
    <w:tblPr>
      <w:tblStyleRowBandSize w:val="1"/>
      <w:tblStyleColBandSize w:val="1"/>
      <w:tblBorders>
        <w:top w:val="single" w:sz="4" w:space="0" w:color="4A66AC"/>
        <w:left w:val="single" w:sz="4" w:space="0" w:color="4A66AC"/>
        <w:bottom w:val="single" w:sz="4" w:space="0" w:color="4A66AC"/>
        <w:right w:val="single" w:sz="4" w:space="0" w:color="4A66AC"/>
      </w:tblBorders>
    </w:tblPr>
    <w:tblStylePr w:type="firstRow">
      <w:rPr>
        <w:b/>
        <w:bCs/>
        <w:color w:val="FFFFFF"/>
      </w:rPr>
      <w:tblPr/>
      <w:tcPr>
        <w:shd w:val="clear" w:color="auto" w:fill="4A66AC"/>
      </w:tcPr>
    </w:tblStylePr>
    <w:tblStylePr w:type="lastRow">
      <w:rPr>
        <w:b/>
        <w:bCs/>
      </w:rPr>
      <w:tblPr/>
      <w:tcPr>
        <w:tcBorders>
          <w:top w:val="double" w:sz="4" w:space="0" w:color="4A66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66AC"/>
          <w:right w:val="single" w:sz="4" w:space="0" w:color="4A66AC"/>
        </w:tcBorders>
      </w:tcPr>
    </w:tblStylePr>
    <w:tblStylePr w:type="band1Horz">
      <w:tblPr/>
      <w:tcPr>
        <w:tcBorders>
          <w:top w:val="single" w:sz="4" w:space="0" w:color="4A66AC"/>
          <w:bottom w:val="single" w:sz="4" w:space="0" w:color="4A66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left w:val="nil"/>
        </w:tcBorders>
      </w:tcPr>
    </w:tblStylePr>
    <w:tblStylePr w:type="swCell">
      <w:tblPr/>
      <w:tcPr>
        <w:tcBorders>
          <w:top w:val="double" w:sz="4" w:space="0" w:color="4A66AC"/>
          <w:right w:val="nil"/>
        </w:tcBorders>
      </w:tcPr>
    </w:tblStylePr>
  </w:style>
  <w:style w:type="table" w:customStyle="1" w:styleId="ListTable4-Accent11">
    <w:name w:val="List Table 4 - Accent 11"/>
    <w:basedOn w:val="TableNormal"/>
    <w:next w:val="ListTable4-Accent1"/>
    <w:uiPriority w:val="49"/>
    <w:rsid w:val="004E2F51"/>
    <w:pPr>
      <w:autoSpaceDN/>
      <w:spacing w:after="160" w:line="276" w:lineRule="auto"/>
    </w:pPr>
    <w:rPr>
      <w:rFonts w:ascii="Calibri" w:eastAsia="SimSun" w:hAnsi="Calibri"/>
      <w:sz w:val="21"/>
      <w:szCs w:val="21"/>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tcBorders>
        <w:shd w:val="clear" w:color="auto" w:fill="4A66AC"/>
      </w:tcPr>
    </w:tblStylePr>
    <w:tblStylePr w:type="lastRow">
      <w:rPr>
        <w:b/>
        <w:bCs/>
      </w:rPr>
      <w:tblPr/>
      <w:tcPr>
        <w:tcBorders>
          <w:top w:val="double" w:sz="4" w:space="0" w:color="90A1CF"/>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GridTable4-Accent11">
    <w:name w:val="Grid Table 4 - Accent 11"/>
    <w:basedOn w:val="TableNormal"/>
    <w:next w:val="GridTable4-Accent1"/>
    <w:uiPriority w:val="49"/>
    <w:rsid w:val="004E2F51"/>
    <w:pPr>
      <w:autoSpaceDN/>
      <w:spacing w:after="160" w:line="276" w:lineRule="auto"/>
    </w:pPr>
    <w:rPr>
      <w:rFonts w:ascii="Calibri" w:eastAsia="SimSun" w:hAnsi="Calibri"/>
      <w:sz w:val="21"/>
      <w:szCs w:val="21"/>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ListTable31">
    <w:name w:val="List Table 31"/>
    <w:basedOn w:val="TableNormal"/>
    <w:next w:val="ListTable3"/>
    <w:uiPriority w:val="48"/>
    <w:rsid w:val="004E2F51"/>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1">
    <w:name w:val="List Table 41"/>
    <w:basedOn w:val="TableNormal"/>
    <w:next w:val="ListTable4"/>
    <w:uiPriority w:val="49"/>
    <w:rsid w:val="004E2F51"/>
    <w:pPr>
      <w:autoSpaceDN/>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IntenseReference">
    <w:name w:val="Intense Reference"/>
    <w:basedOn w:val="DefaultParagraphFont"/>
    <w:uiPriority w:val="32"/>
    <w:qFormat/>
    <w:rsid w:val="004E2F51"/>
    <w:rPr>
      <w:b/>
      <w:bCs/>
      <w:caps w:val="0"/>
      <w:smallCaps/>
      <w:color w:val="auto"/>
      <w:spacing w:val="0"/>
      <w:u w:val="single"/>
    </w:rPr>
  </w:style>
  <w:style w:type="character" w:styleId="BookTitle">
    <w:name w:val="Book Title"/>
    <w:basedOn w:val="DefaultParagraphFont"/>
    <w:uiPriority w:val="33"/>
    <w:qFormat/>
    <w:rsid w:val="004E2F51"/>
    <w:rPr>
      <w:b/>
      <w:bCs/>
      <w:caps w:val="0"/>
      <w:smallCaps/>
      <w:spacing w:val="0"/>
    </w:rPr>
  </w:style>
  <w:style w:type="table" w:customStyle="1" w:styleId="GridTable41">
    <w:name w:val="Grid Table 41"/>
    <w:basedOn w:val="TableNormal"/>
    <w:next w:val="GridTable4"/>
    <w:uiPriority w:val="49"/>
    <w:rsid w:val="004E2F51"/>
    <w:pPr>
      <w:autoSpaceDN/>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3-Accent1">
    <w:name w:val="List Table 3 Accent 1"/>
    <w:basedOn w:val="TableNormal"/>
    <w:uiPriority w:val="48"/>
    <w:rsid w:val="004E2F51"/>
    <w:pPr>
      <w:autoSpaceDN/>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4-Accent1">
    <w:name w:val="Grid Table 4 Accent 1"/>
    <w:basedOn w:val="TableNormal"/>
    <w:uiPriority w:val="49"/>
    <w:rsid w:val="004E2F51"/>
    <w:pPr>
      <w:autoSpaceDN/>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
    <w:name w:val="List Table 3"/>
    <w:basedOn w:val="TableNormal"/>
    <w:uiPriority w:val="48"/>
    <w:rsid w:val="004E2F51"/>
    <w:pPr>
      <w:autoSpaceDN/>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4E2F51"/>
    <w:pPr>
      <w:autoSpaceDN/>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4E2F51"/>
    <w:pPr>
      <w:suppressAutoHyphens w:val="0"/>
      <w:autoSpaceDN/>
      <w:contextualSpacing/>
    </w:pPr>
    <w:rPr>
      <w:rFonts w:ascii="Calibri" w:eastAsia="SimSun" w:hAnsi="Calibri"/>
      <w:color w:val="262626"/>
      <w:sz w:val="96"/>
      <w:szCs w:val="96"/>
    </w:rPr>
  </w:style>
  <w:style w:type="character" w:customStyle="1" w:styleId="NaslovChar1">
    <w:name w:val="Naslov Char1"/>
    <w:basedOn w:val="DefaultParagraphFont"/>
    <w:uiPriority w:val="10"/>
    <w:rsid w:val="004E2F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2F51"/>
    <w:pPr>
      <w:numPr>
        <w:ilvl w:val="1"/>
      </w:numPr>
      <w:suppressAutoHyphens w:val="0"/>
      <w:autoSpaceDN/>
      <w:spacing w:after="160"/>
    </w:pPr>
    <w:rPr>
      <w:caps/>
      <w:color w:val="404040"/>
      <w:spacing w:val="20"/>
      <w:sz w:val="28"/>
      <w:szCs w:val="28"/>
    </w:rPr>
  </w:style>
  <w:style w:type="character" w:customStyle="1" w:styleId="PodnaslovChar1">
    <w:name w:val="Podnaslov Char1"/>
    <w:basedOn w:val="DefaultParagraphFont"/>
    <w:uiPriority w:val="11"/>
    <w:rsid w:val="004E2F51"/>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4E2F51"/>
    <w:pPr>
      <w:suppressAutoHyphens w:val="0"/>
      <w:autoSpaceDN/>
      <w:spacing w:before="200" w:after="160"/>
      <w:ind w:left="864" w:right="864"/>
      <w:jc w:val="center"/>
    </w:pPr>
    <w:rPr>
      <w:rFonts w:ascii="Calibri" w:eastAsia="SimSun" w:hAnsi="Calibri"/>
      <w:color w:val="000000"/>
    </w:rPr>
  </w:style>
  <w:style w:type="character" w:customStyle="1" w:styleId="CitatChar1">
    <w:name w:val="Citat Char1"/>
    <w:basedOn w:val="DefaultParagraphFont"/>
    <w:uiPriority w:val="29"/>
    <w:rsid w:val="004E2F51"/>
    <w:rPr>
      <w:i/>
      <w:iCs/>
      <w:color w:val="404040" w:themeColor="text1" w:themeTint="BF"/>
      <w:sz w:val="24"/>
      <w:szCs w:val="24"/>
    </w:rPr>
  </w:style>
  <w:style w:type="paragraph" w:styleId="IntenseQuote">
    <w:name w:val="Intense Quote"/>
    <w:basedOn w:val="Normal"/>
    <w:next w:val="Normal"/>
    <w:link w:val="IntenseQuoteChar"/>
    <w:uiPriority w:val="30"/>
    <w:qFormat/>
    <w:rsid w:val="004E2F51"/>
    <w:pPr>
      <w:pBdr>
        <w:top w:val="single" w:sz="4" w:space="10" w:color="4472C4" w:themeColor="accent1"/>
        <w:bottom w:val="single" w:sz="4" w:space="10" w:color="4472C4" w:themeColor="accent1"/>
      </w:pBdr>
      <w:suppressAutoHyphens w:val="0"/>
      <w:autoSpaceDN/>
      <w:spacing w:before="360" w:after="360"/>
      <w:ind w:left="864" w:right="864"/>
      <w:jc w:val="center"/>
    </w:pPr>
    <w:rPr>
      <w:rFonts w:ascii="Calibri" w:eastAsia="SimSun" w:hAnsi="Calibri"/>
    </w:rPr>
  </w:style>
  <w:style w:type="character" w:customStyle="1" w:styleId="NaglaencitatChar1">
    <w:name w:val="Naglašen citat Char1"/>
    <w:basedOn w:val="DefaultParagraphFont"/>
    <w:uiPriority w:val="30"/>
    <w:rsid w:val="004E2F51"/>
    <w:rPr>
      <w:i/>
      <w:iCs/>
      <w:color w:val="4472C4" w:themeColor="accent1"/>
      <w:sz w:val="24"/>
      <w:szCs w:val="24"/>
    </w:rPr>
  </w:style>
  <w:style w:type="character" w:styleId="SubtleEmphasis">
    <w:name w:val="Subtle Emphasis"/>
    <w:basedOn w:val="DefaultParagraphFont"/>
    <w:uiPriority w:val="19"/>
    <w:qFormat/>
    <w:rsid w:val="004E2F51"/>
    <w:rPr>
      <w:i/>
      <w:iCs/>
      <w:color w:val="404040" w:themeColor="text1" w:themeTint="BF"/>
    </w:rPr>
  </w:style>
  <w:style w:type="character" w:styleId="IntenseEmphasis">
    <w:name w:val="Intense Emphasis"/>
    <w:basedOn w:val="DefaultParagraphFont"/>
    <w:uiPriority w:val="21"/>
    <w:qFormat/>
    <w:rsid w:val="004E2F51"/>
    <w:rPr>
      <w:i/>
      <w:iCs/>
      <w:color w:val="4472C4" w:themeColor="accent1"/>
    </w:rPr>
  </w:style>
  <w:style w:type="character" w:styleId="SubtleReference">
    <w:name w:val="Subtle Reference"/>
    <w:basedOn w:val="DefaultParagraphFont"/>
    <w:uiPriority w:val="31"/>
    <w:qFormat/>
    <w:rsid w:val="004E2F51"/>
    <w:rPr>
      <w:smallCaps/>
      <w:color w:val="5A5A5A" w:themeColor="text1" w:themeTint="A5"/>
    </w:rPr>
  </w:style>
  <w:style w:type="table" w:styleId="GridTable4">
    <w:name w:val="Grid Table 4"/>
    <w:basedOn w:val="TableNormal"/>
    <w:uiPriority w:val="49"/>
    <w:rsid w:val="004E2F51"/>
    <w:pPr>
      <w:autoSpaceDN/>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2">
    <w:name w:val="List Table 42"/>
    <w:basedOn w:val="TableNormal"/>
    <w:next w:val="ListTable4"/>
    <w:uiPriority w:val="49"/>
    <w:rsid w:val="004E2F51"/>
    <w:pPr>
      <w:autoSpaceDN/>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2">
    <w:name w:val="List Table 32"/>
    <w:basedOn w:val="TableNormal"/>
    <w:next w:val="ListTable3"/>
    <w:uiPriority w:val="48"/>
    <w:rsid w:val="004E2F51"/>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styleId="TOC4">
    <w:name w:val="toc 4"/>
    <w:basedOn w:val="Normal"/>
    <w:next w:val="Normal"/>
    <w:autoRedefine/>
    <w:uiPriority w:val="39"/>
    <w:unhideWhenUsed/>
    <w:rsid w:val="004E2F51"/>
    <w:pPr>
      <w:suppressAutoHyphens w:val="0"/>
      <w:autoSpaceDN/>
      <w:spacing w:after="100" w:line="259" w:lineRule="auto"/>
      <w:ind w:left="660"/>
    </w:pPr>
    <w:rPr>
      <w:rFonts w:asciiTheme="minorHAnsi" w:eastAsiaTheme="minorEastAsia" w:hAnsiTheme="minorHAnsi" w:cstheme="minorBidi"/>
      <w:sz w:val="22"/>
      <w:szCs w:val="22"/>
      <w:lang w:val="hr-HR" w:eastAsia="hr-HR"/>
    </w:rPr>
  </w:style>
  <w:style w:type="paragraph" w:styleId="TOC5">
    <w:name w:val="toc 5"/>
    <w:basedOn w:val="Normal"/>
    <w:next w:val="Normal"/>
    <w:autoRedefine/>
    <w:uiPriority w:val="39"/>
    <w:unhideWhenUsed/>
    <w:rsid w:val="004E2F51"/>
    <w:pPr>
      <w:suppressAutoHyphens w:val="0"/>
      <w:autoSpaceDN/>
      <w:spacing w:after="100" w:line="259" w:lineRule="auto"/>
      <w:ind w:left="880"/>
    </w:pPr>
    <w:rPr>
      <w:rFonts w:asciiTheme="minorHAnsi" w:eastAsiaTheme="minorEastAsia" w:hAnsiTheme="minorHAnsi" w:cstheme="minorBidi"/>
      <w:sz w:val="22"/>
      <w:szCs w:val="22"/>
      <w:lang w:val="hr-HR" w:eastAsia="hr-HR"/>
    </w:rPr>
  </w:style>
  <w:style w:type="paragraph" w:styleId="TOC6">
    <w:name w:val="toc 6"/>
    <w:basedOn w:val="Normal"/>
    <w:next w:val="Normal"/>
    <w:autoRedefine/>
    <w:uiPriority w:val="39"/>
    <w:unhideWhenUsed/>
    <w:rsid w:val="004E2F51"/>
    <w:pPr>
      <w:suppressAutoHyphens w:val="0"/>
      <w:autoSpaceDN/>
      <w:spacing w:after="100" w:line="259" w:lineRule="auto"/>
      <w:ind w:left="1100"/>
    </w:pPr>
    <w:rPr>
      <w:rFonts w:asciiTheme="minorHAnsi" w:eastAsiaTheme="minorEastAsia" w:hAnsiTheme="minorHAnsi" w:cstheme="minorBidi"/>
      <w:sz w:val="22"/>
      <w:szCs w:val="22"/>
      <w:lang w:val="hr-HR" w:eastAsia="hr-HR"/>
    </w:rPr>
  </w:style>
  <w:style w:type="paragraph" w:styleId="TOC7">
    <w:name w:val="toc 7"/>
    <w:basedOn w:val="Normal"/>
    <w:next w:val="Normal"/>
    <w:autoRedefine/>
    <w:uiPriority w:val="39"/>
    <w:unhideWhenUsed/>
    <w:rsid w:val="004E2F51"/>
    <w:pPr>
      <w:suppressAutoHyphens w:val="0"/>
      <w:autoSpaceDN/>
      <w:spacing w:after="100" w:line="259" w:lineRule="auto"/>
      <w:ind w:left="1320"/>
    </w:pPr>
    <w:rPr>
      <w:rFonts w:asciiTheme="minorHAnsi" w:eastAsiaTheme="minorEastAsia" w:hAnsiTheme="minorHAnsi" w:cstheme="minorBidi"/>
      <w:sz w:val="22"/>
      <w:szCs w:val="22"/>
      <w:lang w:val="hr-HR" w:eastAsia="hr-HR"/>
    </w:rPr>
  </w:style>
  <w:style w:type="paragraph" w:styleId="TOC8">
    <w:name w:val="toc 8"/>
    <w:basedOn w:val="Normal"/>
    <w:next w:val="Normal"/>
    <w:autoRedefine/>
    <w:uiPriority w:val="39"/>
    <w:unhideWhenUsed/>
    <w:rsid w:val="004E2F51"/>
    <w:pPr>
      <w:suppressAutoHyphens w:val="0"/>
      <w:autoSpaceDN/>
      <w:spacing w:after="100" w:line="259" w:lineRule="auto"/>
      <w:ind w:left="1540"/>
    </w:pPr>
    <w:rPr>
      <w:rFonts w:asciiTheme="minorHAnsi" w:eastAsiaTheme="minorEastAsia" w:hAnsiTheme="minorHAnsi" w:cstheme="minorBidi"/>
      <w:sz w:val="22"/>
      <w:szCs w:val="22"/>
      <w:lang w:val="hr-HR" w:eastAsia="hr-HR"/>
    </w:rPr>
  </w:style>
  <w:style w:type="paragraph" w:styleId="TOC9">
    <w:name w:val="toc 9"/>
    <w:basedOn w:val="Normal"/>
    <w:next w:val="Normal"/>
    <w:autoRedefine/>
    <w:uiPriority w:val="39"/>
    <w:unhideWhenUsed/>
    <w:rsid w:val="004E2F51"/>
    <w:pPr>
      <w:suppressAutoHyphens w:val="0"/>
      <w:autoSpaceDN/>
      <w:spacing w:after="100" w:line="259" w:lineRule="auto"/>
      <w:ind w:left="1760"/>
    </w:pPr>
    <w:rPr>
      <w:rFonts w:asciiTheme="minorHAnsi" w:eastAsiaTheme="minorEastAsia" w:hAnsiTheme="minorHAnsi" w:cstheme="minorBidi"/>
      <w:sz w:val="22"/>
      <w:szCs w:val="22"/>
      <w:lang w:val="hr-HR" w:eastAsia="hr-HR"/>
    </w:rPr>
  </w:style>
  <w:style w:type="numbering" w:customStyle="1" w:styleId="NoList3">
    <w:name w:val="No List3"/>
    <w:next w:val="NoList"/>
    <w:uiPriority w:val="99"/>
    <w:semiHidden/>
    <w:unhideWhenUsed/>
    <w:rsid w:val="004E2F51"/>
  </w:style>
  <w:style w:type="table" w:customStyle="1" w:styleId="TableGrid4">
    <w:name w:val="Table Grid4"/>
    <w:basedOn w:val="TableNormal"/>
    <w:next w:val="TableGrid"/>
    <w:rsid w:val="004E2F51"/>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4E2F51"/>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2">
    <w:name w:val="Grid Table 5 Dark - Accent 512"/>
    <w:basedOn w:val="TableNormal"/>
    <w:next w:val="GridTable5Dark-Accent5"/>
    <w:uiPriority w:val="50"/>
    <w:rsid w:val="004E2F51"/>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3">
    <w:name w:val="Grid Table 5 Dark - Accent 53"/>
    <w:basedOn w:val="TableNormal"/>
    <w:next w:val="GridTable5Dark-Accent5"/>
    <w:uiPriority w:val="50"/>
    <w:rsid w:val="004E2F51"/>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MediumList2-Accent12">
    <w:name w:val="Medium List 2 - Accent 12"/>
    <w:basedOn w:val="TableNormal"/>
    <w:next w:val="MediumList2-Accent1"/>
    <w:uiPriority w:val="66"/>
    <w:rsid w:val="004E2F51"/>
    <w:pPr>
      <w:autoSpaceDN/>
      <w:spacing w:after="160" w:line="276" w:lineRule="auto"/>
    </w:pPr>
    <w:rPr>
      <w:rFonts w:ascii="Calibri" w:eastAsia="SimHei" w:hAnsi="Calibri"/>
      <w:color w:val="000000"/>
      <w:sz w:val="22"/>
      <w:szCs w:val="22"/>
      <w:lang w:val="hr-HR" w:eastAsia="hr-H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ListTable3-Accent12">
    <w:name w:val="List Table 3 - Accent 12"/>
    <w:basedOn w:val="TableNormal"/>
    <w:next w:val="ListTable3-Accent1"/>
    <w:uiPriority w:val="48"/>
    <w:rsid w:val="004E2F51"/>
    <w:pPr>
      <w:autoSpaceDN/>
      <w:spacing w:after="160" w:line="276" w:lineRule="auto"/>
    </w:pPr>
    <w:rPr>
      <w:rFonts w:ascii="Calibri" w:eastAsia="SimSun" w:hAnsi="Calibri"/>
      <w:sz w:val="21"/>
      <w:szCs w:val="21"/>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GridTable4-Accent12">
    <w:name w:val="Grid Table 4 - Accent 12"/>
    <w:basedOn w:val="TableNormal"/>
    <w:next w:val="GridTable4-Accent1"/>
    <w:uiPriority w:val="49"/>
    <w:rsid w:val="004E2F51"/>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ListTable33">
    <w:name w:val="List Table 33"/>
    <w:basedOn w:val="TableNormal"/>
    <w:next w:val="ListTable3"/>
    <w:uiPriority w:val="48"/>
    <w:rsid w:val="004E2F51"/>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3">
    <w:name w:val="List Table 43"/>
    <w:basedOn w:val="TableNormal"/>
    <w:next w:val="ListTable4"/>
    <w:uiPriority w:val="49"/>
    <w:rsid w:val="004E2F51"/>
    <w:pPr>
      <w:autoSpaceDN/>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next w:val="GridTable4"/>
    <w:uiPriority w:val="49"/>
    <w:rsid w:val="004E2F51"/>
    <w:pPr>
      <w:autoSpaceDN/>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1">
    <w:name w:val="List Table 311"/>
    <w:basedOn w:val="TableNormal"/>
    <w:uiPriority w:val="48"/>
    <w:rsid w:val="004E2F51"/>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character" w:styleId="Mention">
    <w:name w:val="Mention"/>
    <w:basedOn w:val="DefaultParagraphFont"/>
    <w:uiPriority w:val="99"/>
    <w:unhideWhenUsed/>
    <w:rsid w:val="004E2F5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037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52.xml"/><Relationship Id="rId21" Type="http://schemas.openxmlformats.org/officeDocument/2006/relationships/chart" Target="charts/chart8.xml"/><Relationship Id="rId42" Type="http://schemas.openxmlformats.org/officeDocument/2006/relationships/image" Target="media/image23.png"/><Relationship Id="rId63" Type="http://schemas.openxmlformats.org/officeDocument/2006/relationships/footer" Target="footer9.xml"/><Relationship Id="rId84" Type="http://schemas.openxmlformats.org/officeDocument/2006/relationships/footer" Target="footer19.xml"/><Relationship Id="rId138" Type="http://schemas.openxmlformats.org/officeDocument/2006/relationships/customXml" Target="ink/ink2.xml"/><Relationship Id="rId159" Type="http://schemas.openxmlformats.org/officeDocument/2006/relationships/footer" Target="footer86.xml"/><Relationship Id="rId170" Type="http://schemas.openxmlformats.org/officeDocument/2006/relationships/footer" Target="footer97.xml"/><Relationship Id="rId191" Type="http://schemas.openxmlformats.org/officeDocument/2006/relationships/footer" Target="footer118.xml"/><Relationship Id="rId205" Type="http://schemas.openxmlformats.org/officeDocument/2006/relationships/footer" Target="footer132.xml"/><Relationship Id="rId226" Type="http://schemas.openxmlformats.org/officeDocument/2006/relationships/footer" Target="footer153.xml"/><Relationship Id="rId107" Type="http://schemas.openxmlformats.org/officeDocument/2006/relationships/footer" Target="footer42.xml"/><Relationship Id="rId11" Type="http://schemas.openxmlformats.org/officeDocument/2006/relationships/image" Target="media/image1.png"/><Relationship Id="rId32" Type="http://schemas.openxmlformats.org/officeDocument/2006/relationships/image" Target="media/image13.png"/><Relationship Id="rId53" Type="http://schemas.openxmlformats.org/officeDocument/2006/relationships/header" Target="header4.xml"/><Relationship Id="rId74" Type="http://schemas.openxmlformats.org/officeDocument/2006/relationships/header" Target="header15.xml"/><Relationship Id="rId128" Type="http://schemas.openxmlformats.org/officeDocument/2006/relationships/footer" Target="footer63.xml"/><Relationship Id="rId149" Type="http://schemas.openxmlformats.org/officeDocument/2006/relationships/footer" Target="footer76.xml"/><Relationship Id="rId5" Type="http://schemas.openxmlformats.org/officeDocument/2006/relationships/numbering" Target="numbering.xml"/><Relationship Id="rId95" Type="http://schemas.openxmlformats.org/officeDocument/2006/relationships/footer" Target="footer30.xml"/><Relationship Id="rId160" Type="http://schemas.openxmlformats.org/officeDocument/2006/relationships/footer" Target="footer87.xml"/><Relationship Id="rId181" Type="http://schemas.openxmlformats.org/officeDocument/2006/relationships/footer" Target="footer108.xml"/><Relationship Id="rId216" Type="http://schemas.openxmlformats.org/officeDocument/2006/relationships/footer" Target="footer143.xml"/><Relationship Id="rId237" Type="http://schemas.openxmlformats.org/officeDocument/2006/relationships/header" Target="header22.xml"/><Relationship Id="rId22" Type="http://schemas.openxmlformats.org/officeDocument/2006/relationships/image" Target="media/image3.png"/><Relationship Id="rId43" Type="http://schemas.openxmlformats.org/officeDocument/2006/relationships/image" Target="media/image24.png"/><Relationship Id="rId64" Type="http://schemas.openxmlformats.org/officeDocument/2006/relationships/header" Target="header10.xml"/><Relationship Id="rId118" Type="http://schemas.openxmlformats.org/officeDocument/2006/relationships/footer" Target="footer53.xml"/><Relationship Id="rId139" Type="http://schemas.openxmlformats.org/officeDocument/2006/relationships/image" Target="media/image31.png"/><Relationship Id="rId85" Type="http://schemas.openxmlformats.org/officeDocument/2006/relationships/footer" Target="footer20.xml"/><Relationship Id="rId150" Type="http://schemas.openxmlformats.org/officeDocument/2006/relationships/footer" Target="footer77.xml"/><Relationship Id="rId171" Type="http://schemas.openxmlformats.org/officeDocument/2006/relationships/footer" Target="footer98.xml"/><Relationship Id="rId192" Type="http://schemas.openxmlformats.org/officeDocument/2006/relationships/footer" Target="footer119.xml"/><Relationship Id="rId206" Type="http://schemas.openxmlformats.org/officeDocument/2006/relationships/footer" Target="footer133.xml"/><Relationship Id="rId227" Type="http://schemas.openxmlformats.org/officeDocument/2006/relationships/footer" Target="footer154.xml"/><Relationship Id="rId12" Type="http://schemas.openxmlformats.org/officeDocument/2006/relationships/hyperlink" Target="http://www.hkosig.hr/" TargetMode="External"/><Relationship Id="rId33" Type="http://schemas.openxmlformats.org/officeDocument/2006/relationships/image" Target="media/image14.png"/><Relationship Id="rId108" Type="http://schemas.openxmlformats.org/officeDocument/2006/relationships/footer" Target="footer43.xml"/><Relationship Id="rId129" Type="http://schemas.openxmlformats.org/officeDocument/2006/relationships/footer" Target="footer64.xml"/><Relationship Id="rId54" Type="http://schemas.openxmlformats.org/officeDocument/2006/relationships/footer" Target="footer5.xml"/><Relationship Id="rId75" Type="http://schemas.openxmlformats.org/officeDocument/2006/relationships/footer" Target="footer15.xml"/><Relationship Id="rId96" Type="http://schemas.openxmlformats.org/officeDocument/2006/relationships/footer" Target="footer31.xml"/><Relationship Id="rId140" Type="http://schemas.openxmlformats.org/officeDocument/2006/relationships/footer" Target="footer67.xml"/><Relationship Id="rId161" Type="http://schemas.openxmlformats.org/officeDocument/2006/relationships/footer" Target="footer88.xml"/><Relationship Id="rId182" Type="http://schemas.openxmlformats.org/officeDocument/2006/relationships/footer" Target="footer109.xml"/><Relationship Id="rId217" Type="http://schemas.openxmlformats.org/officeDocument/2006/relationships/footer" Target="footer144.xml"/><Relationship Id="rId6" Type="http://schemas.openxmlformats.org/officeDocument/2006/relationships/styles" Target="styles.xml"/><Relationship Id="rId238" Type="http://schemas.openxmlformats.org/officeDocument/2006/relationships/footer" Target="footer163.xml"/><Relationship Id="rId23" Type="http://schemas.openxmlformats.org/officeDocument/2006/relationships/image" Target="media/image4.png"/><Relationship Id="rId119" Type="http://schemas.openxmlformats.org/officeDocument/2006/relationships/footer" Target="footer54.xml"/><Relationship Id="rId44" Type="http://schemas.openxmlformats.org/officeDocument/2006/relationships/image" Target="media/image25.png"/><Relationship Id="rId65" Type="http://schemas.openxmlformats.org/officeDocument/2006/relationships/footer" Target="footer10.xml"/><Relationship Id="rId86" Type="http://schemas.openxmlformats.org/officeDocument/2006/relationships/footer" Target="footer21.xml"/><Relationship Id="rId130" Type="http://schemas.openxmlformats.org/officeDocument/2006/relationships/footer" Target="footer65.xml"/><Relationship Id="rId151" Type="http://schemas.openxmlformats.org/officeDocument/2006/relationships/footer" Target="footer78.xml"/><Relationship Id="rId172" Type="http://schemas.openxmlformats.org/officeDocument/2006/relationships/footer" Target="footer99.xml"/><Relationship Id="rId193" Type="http://schemas.openxmlformats.org/officeDocument/2006/relationships/footer" Target="footer120.xml"/><Relationship Id="rId207" Type="http://schemas.openxmlformats.org/officeDocument/2006/relationships/footer" Target="footer134.xml"/><Relationship Id="rId228" Type="http://schemas.openxmlformats.org/officeDocument/2006/relationships/footer" Target="footer155.xml"/><Relationship Id="rId13" Type="http://schemas.openxmlformats.org/officeDocument/2006/relationships/chart" Target="charts/chart1.xml"/><Relationship Id="rId109" Type="http://schemas.openxmlformats.org/officeDocument/2006/relationships/footer" Target="footer44.xml"/><Relationship Id="rId34" Type="http://schemas.openxmlformats.org/officeDocument/2006/relationships/image" Target="media/image15.png"/><Relationship Id="rId55" Type="http://schemas.openxmlformats.org/officeDocument/2006/relationships/header" Target="header5.xml"/><Relationship Id="rId76" Type="http://schemas.openxmlformats.org/officeDocument/2006/relationships/header" Target="header16.xml"/><Relationship Id="rId97" Type="http://schemas.openxmlformats.org/officeDocument/2006/relationships/footer" Target="footer32.xml"/><Relationship Id="rId120" Type="http://schemas.openxmlformats.org/officeDocument/2006/relationships/footer" Target="footer55.xml"/><Relationship Id="rId141" Type="http://schemas.openxmlformats.org/officeDocument/2006/relationships/footer" Target="footer68.xml"/><Relationship Id="rId7" Type="http://schemas.openxmlformats.org/officeDocument/2006/relationships/settings" Target="settings.xml"/><Relationship Id="rId162" Type="http://schemas.openxmlformats.org/officeDocument/2006/relationships/footer" Target="footer89.xml"/><Relationship Id="rId183" Type="http://schemas.openxmlformats.org/officeDocument/2006/relationships/footer" Target="footer110.xml"/><Relationship Id="rId218" Type="http://schemas.openxmlformats.org/officeDocument/2006/relationships/footer" Target="footer145.xml"/><Relationship Id="rId239" Type="http://schemas.openxmlformats.org/officeDocument/2006/relationships/header" Target="header23.xml"/><Relationship Id="rId24" Type="http://schemas.openxmlformats.org/officeDocument/2006/relationships/image" Target="media/image5.png"/><Relationship Id="rId45" Type="http://schemas.openxmlformats.org/officeDocument/2006/relationships/image" Target="media/image26.png"/><Relationship Id="rId66" Type="http://schemas.openxmlformats.org/officeDocument/2006/relationships/header" Target="header11.xml"/><Relationship Id="rId87" Type="http://schemas.openxmlformats.org/officeDocument/2006/relationships/footer" Target="footer22.xml"/><Relationship Id="rId110" Type="http://schemas.openxmlformats.org/officeDocument/2006/relationships/footer" Target="footer45.xml"/><Relationship Id="rId131" Type="http://schemas.openxmlformats.org/officeDocument/2006/relationships/footer" Target="footer66.xml"/><Relationship Id="rId152" Type="http://schemas.openxmlformats.org/officeDocument/2006/relationships/footer" Target="footer79.xml"/><Relationship Id="rId173" Type="http://schemas.openxmlformats.org/officeDocument/2006/relationships/footer" Target="footer100.xml"/><Relationship Id="rId194" Type="http://schemas.openxmlformats.org/officeDocument/2006/relationships/footer" Target="footer121.xml"/><Relationship Id="rId208" Type="http://schemas.openxmlformats.org/officeDocument/2006/relationships/footer" Target="footer135.xml"/><Relationship Id="rId229" Type="http://schemas.openxmlformats.org/officeDocument/2006/relationships/footer" Target="footer156.xml"/><Relationship Id="rId240" Type="http://schemas.openxmlformats.org/officeDocument/2006/relationships/footer" Target="footer164.xml"/><Relationship Id="rId14" Type="http://schemas.openxmlformats.org/officeDocument/2006/relationships/chart" Target="charts/chart2.xml"/><Relationship Id="rId35" Type="http://schemas.openxmlformats.org/officeDocument/2006/relationships/image" Target="media/image16.png"/><Relationship Id="rId56" Type="http://schemas.openxmlformats.org/officeDocument/2006/relationships/footer" Target="footer6.xml"/><Relationship Id="rId77" Type="http://schemas.openxmlformats.org/officeDocument/2006/relationships/footer" Target="footer16.xml"/><Relationship Id="rId100" Type="http://schemas.openxmlformats.org/officeDocument/2006/relationships/footer" Target="footer35.xml"/><Relationship Id="rId8" Type="http://schemas.openxmlformats.org/officeDocument/2006/relationships/webSettings" Target="webSettings.xml"/><Relationship Id="rId98" Type="http://schemas.openxmlformats.org/officeDocument/2006/relationships/footer" Target="footer33.xml"/><Relationship Id="rId121" Type="http://schemas.openxmlformats.org/officeDocument/2006/relationships/footer" Target="footer56.xml"/><Relationship Id="rId142" Type="http://schemas.openxmlformats.org/officeDocument/2006/relationships/footer" Target="footer69.xml"/><Relationship Id="rId163" Type="http://schemas.openxmlformats.org/officeDocument/2006/relationships/footer" Target="footer90.xml"/><Relationship Id="rId184" Type="http://schemas.openxmlformats.org/officeDocument/2006/relationships/footer" Target="footer111.xml"/><Relationship Id="rId219" Type="http://schemas.openxmlformats.org/officeDocument/2006/relationships/footer" Target="footer146.xml"/><Relationship Id="rId230" Type="http://schemas.openxmlformats.org/officeDocument/2006/relationships/footer" Target="footer157.xml"/><Relationship Id="rId25" Type="http://schemas.openxmlformats.org/officeDocument/2006/relationships/image" Target="media/image6.png"/><Relationship Id="rId46" Type="http://schemas.openxmlformats.org/officeDocument/2006/relationships/footer" Target="footer1.xml"/><Relationship Id="rId67" Type="http://schemas.openxmlformats.org/officeDocument/2006/relationships/footer" Target="footer11.xml"/><Relationship Id="rId88" Type="http://schemas.openxmlformats.org/officeDocument/2006/relationships/footer" Target="footer23.xml"/><Relationship Id="rId111" Type="http://schemas.openxmlformats.org/officeDocument/2006/relationships/footer" Target="footer46.xml"/><Relationship Id="rId132" Type="http://schemas.openxmlformats.org/officeDocument/2006/relationships/customXml" Target="ink/ink1.xml"/><Relationship Id="rId153" Type="http://schemas.openxmlformats.org/officeDocument/2006/relationships/footer" Target="footer80.xml"/><Relationship Id="rId174" Type="http://schemas.openxmlformats.org/officeDocument/2006/relationships/footer" Target="footer101.xml"/><Relationship Id="rId195" Type="http://schemas.openxmlformats.org/officeDocument/2006/relationships/footer" Target="footer122.xml"/><Relationship Id="rId209" Type="http://schemas.openxmlformats.org/officeDocument/2006/relationships/footer" Target="footer136.xml"/><Relationship Id="rId190" Type="http://schemas.openxmlformats.org/officeDocument/2006/relationships/footer" Target="footer117.xml"/><Relationship Id="rId204" Type="http://schemas.openxmlformats.org/officeDocument/2006/relationships/footer" Target="footer131.xml"/><Relationship Id="rId220" Type="http://schemas.openxmlformats.org/officeDocument/2006/relationships/footer" Target="footer147.xml"/><Relationship Id="rId225" Type="http://schemas.openxmlformats.org/officeDocument/2006/relationships/footer" Target="footer152.xml"/><Relationship Id="rId241" Type="http://schemas.openxmlformats.org/officeDocument/2006/relationships/header" Target="header24.xml"/><Relationship Id="rId15" Type="http://schemas.openxmlformats.org/officeDocument/2006/relationships/chart" Target="charts/chart3.xml"/><Relationship Id="rId36" Type="http://schemas.openxmlformats.org/officeDocument/2006/relationships/image" Target="media/image17.png"/><Relationship Id="rId57" Type="http://schemas.openxmlformats.org/officeDocument/2006/relationships/header" Target="header6.xml"/><Relationship Id="rId106" Type="http://schemas.openxmlformats.org/officeDocument/2006/relationships/footer" Target="footer41.xml"/><Relationship Id="rId127" Type="http://schemas.openxmlformats.org/officeDocument/2006/relationships/footer" Target="footer62.xml"/><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footer" Target="footer4.xml"/><Relationship Id="rId73" Type="http://schemas.openxmlformats.org/officeDocument/2006/relationships/footer" Target="footer14.xml"/><Relationship Id="rId78" Type="http://schemas.openxmlformats.org/officeDocument/2006/relationships/header" Target="header17.xml"/><Relationship Id="rId94" Type="http://schemas.openxmlformats.org/officeDocument/2006/relationships/footer" Target="footer29.xml"/><Relationship Id="rId99" Type="http://schemas.openxmlformats.org/officeDocument/2006/relationships/footer" Target="footer34.xml"/><Relationship Id="rId101" Type="http://schemas.openxmlformats.org/officeDocument/2006/relationships/footer" Target="footer36.xml"/><Relationship Id="rId122" Type="http://schemas.openxmlformats.org/officeDocument/2006/relationships/footer" Target="footer57.xml"/><Relationship Id="rId143" Type="http://schemas.openxmlformats.org/officeDocument/2006/relationships/footer" Target="footer70.xml"/><Relationship Id="rId148" Type="http://schemas.openxmlformats.org/officeDocument/2006/relationships/footer" Target="footer75.xml"/><Relationship Id="rId164" Type="http://schemas.openxmlformats.org/officeDocument/2006/relationships/footer" Target="footer91.xml"/><Relationship Id="rId169" Type="http://schemas.openxmlformats.org/officeDocument/2006/relationships/footer" Target="footer96.xml"/><Relationship Id="rId185" Type="http://schemas.openxmlformats.org/officeDocument/2006/relationships/footer" Target="footer11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107.xml"/><Relationship Id="rId210" Type="http://schemas.openxmlformats.org/officeDocument/2006/relationships/footer" Target="footer137.xml"/><Relationship Id="rId215" Type="http://schemas.openxmlformats.org/officeDocument/2006/relationships/footer" Target="footer142.xml"/><Relationship Id="rId236" Type="http://schemas.openxmlformats.org/officeDocument/2006/relationships/footer" Target="footer162.xml"/><Relationship Id="rId26" Type="http://schemas.openxmlformats.org/officeDocument/2006/relationships/image" Target="media/image7.png"/><Relationship Id="rId231" Type="http://schemas.openxmlformats.org/officeDocument/2006/relationships/footer" Target="footer158.xml"/><Relationship Id="rId47" Type="http://schemas.openxmlformats.org/officeDocument/2006/relationships/footer" Target="footer2.xml"/><Relationship Id="rId68" Type="http://schemas.openxmlformats.org/officeDocument/2006/relationships/header" Target="header12.xml"/><Relationship Id="rId89" Type="http://schemas.openxmlformats.org/officeDocument/2006/relationships/footer" Target="footer24.xml"/><Relationship Id="rId112" Type="http://schemas.openxmlformats.org/officeDocument/2006/relationships/footer" Target="footer47.xml"/><Relationship Id="rId154" Type="http://schemas.openxmlformats.org/officeDocument/2006/relationships/footer" Target="footer81.xml"/><Relationship Id="rId175" Type="http://schemas.openxmlformats.org/officeDocument/2006/relationships/footer" Target="footer102.xml"/><Relationship Id="rId196" Type="http://schemas.openxmlformats.org/officeDocument/2006/relationships/footer" Target="footer123.xml"/><Relationship Id="rId200" Type="http://schemas.openxmlformats.org/officeDocument/2006/relationships/footer" Target="footer127.xml"/><Relationship Id="rId16" Type="http://schemas.openxmlformats.org/officeDocument/2006/relationships/chart" Target="charts/chart4.xml"/><Relationship Id="rId221" Type="http://schemas.openxmlformats.org/officeDocument/2006/relationships/footer" Target="footer148.xml"/><Relationship Id="rId242" Type="http://schemas.openxmlformats.org/officeDocument/2006/relationships/footer" Target="footer165.xml"/><Relationship Id="rId37" Type="http://schemas.openxmlformats.org/officeDocument/2006/relationships/image" Target="media/image18.png"/><Relationship Id="rId58" Type="http://schemas.openxmlformats.org/officeDocument/2006/relationships/footer" Target="footer7.xml"/><Relationship Id="rId79" Type="http://schemas.openxmlformats.org/officeDocument/2006/relationships/header" Target="header18.xml"/><Relationship Id="rId102" Type="http://schemas.openxmlformats.org/officeDocument/2006/relationships/footer" Target="footer37.xml"/><Relationship Id="rId123" Type="http://schemas.openxmlformats.org/officeDocument/2006/relationships/footer" Target="footer58.xml"/><Relationship Id="rId144" Type="http://schemas.openxmlformats.org/officeDocument/2006/relationships/footer" Target="footer71.xml"/><Relationship Id="rId90" Type="http://schemas.openxmlformats.org/officeDocument/2006/relationships/footer" Target="footer25.xml"/><Relationship Id="rId165" Type="http://schemas.openxmlformats.org/officeDocument/2006/relationships/footer" Target="footer92.xml"/><Relationship Id="rId186" Type="http://schemas.openxmlformats.org/officeDocument/2006/relationships/footer" Target="footer113.xml"/><Relationship Id="rId211" Type="http://schemas.openxmlformats.org/officeDocument/2006/relationships/footer" Target="footer138.xml"/><Relationship Id="rId232" Type="http://schemas.openxmlformats.org/officeDocument/2006/relationships/footer" Target="footer159.xml"/><Relationship Id="rId27" Type="http://schemas.openxmlformats.org/officeDocument/2006/relationships/image" Target="media/image8.png"/><Relationship Id="rId48" Type="http://schemas.openxmlformats.org/officeDocument/2006/relationships/header" Target="header1.xml"/><Relationship Id="rId69" Type="http://schemas.openxmlformats.org/officeDocument/2006/relationships/footer" Target="footer12.xml"/><Relationship Id="rId113" Type="http://schemas.openxmlformats.org/officeDocument/2006/relationships/footer" Target="footer48.xml"/><Relationship Id="rId80" Type="http://schemas.openxmlformats.org/officeDocument/2006/relationships/footer" Target="footer17.xml"/><Relationship Id="rId155" Type="http://schemas.openxmlformats.org/officeDocument/2006/relationships/footer" Target="footer82.xml"/><Relationship Id="rId176" Type="http://schemas.openxmlformats.org/officeDocument/2006/relationships/footer" Target="footer103.xml"/><Relationship Id="rId197" Type="http://schemas.openxmlformats.org/officeDocument/2006/relationships/footer" Target="footer124.xml"/><Relationship Id="rId201" Type="http://schemas.openxmlformats.org/officeDocument/2006/relationships/footer" Target="footer128.xml"/><Relationship Id="rId222" Type="http://schemas.openxmlformats.org/officeDocument/2006/relationships/footer" Target="footer149.xml"/><Relationship Id="rId243" Type="http://schemas.openxmlformats.org/officeDocument/2006/relationships/fontTable" Target="fontTable.xml"/><Relationship Id="rId17" Type="http://schemas.openxmlformats.org/officeDocument/2006/relationships/chart" Target="charts/chart5.xml"/><Relationship Id="rId38" Type="http://schemas.openxmlformats.org/officeDocument/2006/relationships/image" Target="media/image19.png"/><Relationship Id="rId59" Type="http://schemas.openxmlformats.org/officeDocument/2006/relationships/header" Target="header7.xml"/><Relationship Id="rId103" Type="http://schemas.openxmlformats.org/officeDocument/2006/relationships/footer" Target="footer38.xml"/><Relationship Id="rId124" Type="http://schemas.openxmlformats.org/officeDocument/2006/relationships/footer" Target="footer59.xml"/><Relationship Id="rId70" Type="http://schemas.openxmlformats.org/officeDocument/2006/relationships/header" Target="header13.xml"/><Relationship Id="rId91" Type="http://schemas.openxmlformats.org/officeDocument/2006/relationships/footer" Target="footer26.xml"/><Relationship Id="rId145" Type="http://schemas.openxmlformats.org/officeDocument/2006/relationships/footer" Target="footer72.xml"/><Relationship Id="rId166" Type="http://schemas.openxmlformats.org/officeDocument/2006/relationships/footer" Target="footer93.xml"/><Relationship Id="rId187" Type="http://schemas.openxmlformats.org/officeDocument/2006/relationships/footer" Target="footer114.xml"/><Relationship Id="rId1" Type="http://schemas.openxmlformats.org/officeDocument/2006/relationships/customXml" Target="../customXml/item1.xml"/><Relationship Id="rId212" Type="http://schemas.openxmlformats.org/officeDocument/2006/relationships/footer" Target="footer139.xml"/><Relationship Id="rId233" Type="http://schemas.openxmlformats.org/officeDocument/2006/relationships/footer" Target="footer160.xml"/><Relationship Id="rId28" Type="http://schemas.openxmlformats.org/officeDocument/2006/relationships/image" Target="media/image9.png"/><Relationship Id="rId49" Type="http://schemas.openxmlformats.org/officeDocument/2006/relationships/header" Target="header2.xml"/><Relationship Id="rId114" Type="http://schemas.openxmlformats.org/officeDocument/2006/relationships/footer" Target="footer49.xml"/><Relationship Id="rId60" Type="http://schemas.openxmlformats.org/officeDocument/2006/relationships/footer" Target="footer8.xml"/><Relationship Id="rId81" Type="http://schemas.openxmlformats.org/officeDocument/2006/relationships/header" Target="header19.xml"/><Relationship Id="rId156" Type="http://schemas.openxmlformats.org/officeDocument/2006/relationships/footer" Target="footer83.xml"/><Relationship Id="rId177" Type="http://schemas.openxmlformats.org/officeDocument/2006/relationships/footer" Target="footer104.xml"/><Relationship Id="rId198" Type="http://schemas.openxmlformats.org/officeDocument/2006/relationships/footer" Target="footer125.xml"/><Relationship Id="rId202" Type="http://schemas.openxmlformats.org/officeDocument/2006/relationships/footer" Target="footer129.xml"/><Relationship Id="rId223" Type="http://schemas.openxmlformats.org/officeDocument/2006/relationships/footer" Target="footer150.xml"/><Relationship Id="rId244" Type="http://schemas.openxmlformats.org/officeDocument/2006/relationships/theme" Target="theme/theme1.xml"/><Relationship Id="rId18" Type="http://schemas.openxmlformats.org/officeDocument/2006/relationships/chart" Target="charts/chart6.xml"/><Relationship Id="rId39" Type="http://schemas.openxmlformats.org/officeDocument/2006/relationships/image" Target="media/image20.png"/><Relationship Id="rId50" Type="http://schemas.openxmlformats.org/officeDocument/2006/relationships/footer" Target="footer3.xml"/><Relationship Id="rId104" Type="http://schemas.openxmlformats.org/officeDocument/2006/relationships/footer" Target="footer39.xml"/><Relationship Id="rId125" Type="http://schemas.openxmlformats.org/officeDocument/2006/relationships/footer" Target="footer60.xml"/><Relationship Id="rId146" Type="http://schemas.openxmlformats.org/officeDocument/2006/relationships/footer" Target="footer73.xml"/><Relationship Id="rId167" Type="http://schemas.openxmlformats.org/officeDocument/2006/relationships/footer" Target="footer94.xml"/><Relationship Id="rId188" Type="http://schemas.openxmlformats.org/officeDocument/2006/relationships/footer" Target="footer115.xml"/><Relationship Id="rId71" Type="http://schemas.openxmlformats.org/officeDocument/2006/relationships/footer" Target="footer13.xml"/><Relationship Id="rId92" Type="http://schemas.openxmlformats.org/officeDocument/2006/relationships/footer" Target="footer27.xml"/><Relationship Id="rId213" Type="http://schemas.openxmlformats.org/officeDocument/2006/relationships/footer" Target="footer140.xml"/><Relationship Id="rId234" Type="http://schemas.openxmlformats.org/officeDocument/2006/relationships/footer" Target="footer161.xml"/><Relationship Id="rId2" Type="http://schemas.openxmlformats.org/officeDocument/2006/relationships/customXml" Target="../customXml/item2.xml"/><Relationship Id="rId29" Type="http://schemas.openxmlformats.org/officeDocument/2006/relationships/image" Target="media/image10.png"/><Relationship Id="rId40" Type="http://schemas.openxmlformats.org/officeDocument/2006/relationships/image" Target="media/image21.png"/><Relationship Id="rId115" Type="http://schemas.openxmlformats.org/officeDocument/2006/relationships/footer" Target="footer50.xml"/><Relationship Id="rId157" Type="http://schemas.openxmlformats.org/officeDocument/2006/relationships/footer" Target="footer84.xml"/><Relationship Id="rId178" Type="http://schemas.openxmlformats.org/officeDocument/2006/relationships/footer" Target="footer105.xml"/><Relationship Id="rId61" Type="http://schemas.openxmlformats.org/officeDocument/2006/relationships/header" Target="header8.xml"/><Relationship Id="rId82" Type="http://schemas.openxmlformats.org/officeDocument/2006/relationships/header" Target="header20.xml"/><Relationship Id="rId199" Type="http://schemas.openxmlformats.org/officeDocument/2006/relationships/footer" Target="footer126.xml"/><Relationship Id="rId203" Type="http://schemas.openxmlformats.org/officeDocument/2006/relationships/footer" Target="footer130.xml"/><Relationship Id="rId19" Type="http://schemas.openxmlformats.org/officeDocument/2006/relationships/chart" Target="charts/chart7.xml"/><Relationship Id="rId224" Type="http://schemas.openxmlformats.org/officeDocument/2006/relationships/footer" Target="footer151.xml"/><Relationship Id="rId30" Type="http://schemas.openxmlformats.org/officeDocument/2006/relationships/image" Target="media/image11.png"/><Relationship Id="rId105" Type="http://schemas.openxmlformats.org/officeDocument/2006/relationships/footer" Target="footer40.xml"/><Relationship Id="rId126" Type="http://schemas.openxmlformats.org/officeDocument/2006/relationships/footer" Target="footer61.xml"/><Relationship Id="rId147" Type="http://schemas.openxmlformats.org/officeDocument/2006/relationships/footer" Target="footer74.xml"/><Relationship Id="rId168" Type="http://schemas.openxmlformats.org/officeDocument/2006/relationships/footer" Target="footer95.xml"/><Relationship Id="rId51" Type="http://schemas.openxmlformats.org/officeDocument/2006/relationships/header" Target="header3.xml"/><Relationship Id="rId72" Type="http://schemas.openxmlformats.org/officeDocument/2006/relationships/header" Target="header14.xml"/><Relationship Id="rId93" Type="http://schemas.openxmlformats.org/officeDocument/2006/relationships/footer" Target="footer28.xml"/><Relationship Id="rId189" Type="http://schemas.openxmlformats.org/officeDocument/2006/relationships/footer" Target="footer116.xml"/><Relationship Id="rId3" Type="http://schemas.openxmlformats.org/officeDocument/2006/relationships/customXml" Target="../customXml/item3.xml"/><Relationship Id="rId214" Type="http://schemas.openxmlformats.org/officeDocument/2006/relationships/footer" Target="footer141.xml"/><Relationship Id="rId235" Type="http://schemas.openxmlformats.org/officeDocument/2006/relationships/header" Target="header21.xml"/><Relationship Id="rId116" Type="http://schemas.openxmlformats.org/officeDocument/2006/relationships/footer" Target="footer51.xml"/><Relationship Id="rId137" Type="http://schemas.openxmlformats.org/officeDocument/2006/relationships/image" Target="media/image30.png"/><Relationship Id="rId158" Type="http://schemas.openxmlformats.org/officeDocument/2006/relationships/footer" Target="footer85.xml"/><Relationship Id="rId20" Type="http://schemas.openxmlformats.org/officeDocument/2006/relationships/image" Target="media/image2.png"/><Relationship Id="rId41" Type="http://schemas.openxmlformats.org/officeDocument/2006/relationships/image" Target="media/image22.png"/><Relationship Id="rId62" Type="http://schemas.openxmlformats.org/officeDocument/2006/relationships/header" Target="header9.xml"/><Relationship Id="rId83" Type="http://schemas.openxmlformats.org/officeDocument/2006/relationships/footer" Target="footer18.xml"/><Relationship Id="rId179" Type="http://schemas.openxmlformats.org/officeDocument/2006/relationships/footer" Target="footer106.xml"/></Relationships>
</file>

<file path=word/_rels/header3.xml.rels><?xml version="1.0" encoding="UTF-8" standalone="yes"?>
<Relationships xmlns="http://schemas.openxmlformats.org/package/2006/relationships"><Relationship Id="rId3" Type="http://schemas.openxmlformats.org/officeDocument/2006/relationships/image" Target="media/image29.svg"/><Relationship Id="rId2" Type="http://schemas.openxmlformats.org/officeDocument/2006/relationships/image" Target="media/image28.png"/><Relationship Id="rId1" Type="http://schemas.openxmlformats.org/officeDocument/2006/relationships/image" Target="media/image27.png"/></Relationships>
</file>

<file path=word/_rels/header4.xml.rels><?xml version="1.0" encoding="UTF-8" standalone="yes"?>
<Relationships xmlns="http://schemas.openxmlformats.org/package/2006/relationships"><Relationship Id="rId3" Type="http://schemas.openxmlformats.org/officeDocument/2006/relationships/image" Target="media/image29.svg"/><Relationship Id="rId2" Type="http://schemas.openxmlformats.org/officeDocument/2006/relationships/image" Target="media/image28.png"/><Relationship Id="rId1" Type="http://schemas.openxmlformats.org/officeDocument/2006/relationships/image" Target="media/image27.png"/></Relationships>
</file>

<file path=word/_rels/header5.xml.rels><?xml version="1.0" encoding="UTF-8" standalone="yes"?>
<Relationships xmlns="http://schemas.openxmlformats.org/package/2006/relationships"><Relationship Id="rId3" Type="http://schemas.openxmlformats.org/officeDocument/2006/relationships/image" Target="media/image29.svg"/><Relationship Id="rId2" Type="http://schemas.openxmlformats.org/officeDocument/2006/relationships/image" Target="media/image28.png"/><Relationship Id="rId1"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r>
              <a:rPr lang="hr-HR" sz="1100" b="0" i="0">
                <a:effectLst/>
              </a:rPr>
              <a:t>POSLOVNA aktivnost</a:t>
            </a:r>
            <a:r>
              <a:rPr lang="hr-HR" sz="1100" b="0" i="0" baseline="0">
                <a:effectLst/>
              </a:rPr>
              <a:t>, u mlrd. kn</a:t>
            </a:r>
            <a:endParaRPr lang="hr-HR" sz="1100" b="0" i="0">
              <a:effectLst/>
            </a:endParaRPr>
          </a:p>
        </c:rich>
      </c:tx>
      <c:overlay val="0"/>
      <c:spPr>
        <a:noFill/>
        <a:ln>
          <a:noFill/>
        </a:ln>
        <a:effectLst/>
      </c:spPr>
      <c:txPr>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4250440917107582E-2"/>
          <c:y val="0.26514705882352946"/>
          <c:w val="0.95149911816578481"/>
          <c:h val="0.60623398178168908"/>
        </c:manualLayout>
      </c:layout>
      <c:barChart>
        <c:barDir val="col"/>
        <c:grouping val="clustered"/>
        <c:varyColors val="0"/>
        <c:ser>
          <c:idx val="0"/>
          <c:order val="0"/>
          <c:tx>
            <c:strRef>
              <c:f>Sheet1!$B$1</c:f>
              <c:strCache>
                <c:ptCount val="1"/>
                <c:pt idx="0">
                  <c:v>Kreditna aktivnost, u mlrd kn</c:v>
                </c:pt>
              </c:strCache>
            </c:strRef>
          </c:tx>
          <c:spPr>
            <a:solidFill>
              <a:schemeClr val="tx1">
                <a:lumMod val="65000"/>
                <a:lumOff val="35000"/>
              </a:schemeClr>
            </a:solidFill>
            <a:ln>
              <a:noFill/>
            </a:ln>
            <a:effectLst/>
          </c:spPr>
          <c:invertIfNegative val="0"/>
          <c:dLbls>
            <c:dLbl>
              <c:idx val="2"/>
              <c:layout>
                <c:manualLayout>
                  <c:x val="0"/>
                  <c:y val="0.3899463486181874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47-4FFD-B030-CA29256F3DB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2020.</c:v>
                </c:pt>
                <c:pt idx="1">
                  <c:v>2021.</c:v>
                </c:pt>
                <c:pt idx="2">
                  <c:v>2022.</c:v>
                </c:pt>
              </c:strCache>
            </c:strRef>
          </c:cat>
          <c:val>
            <c:numRef>
              <c:f>Sheet1!$B$2:$B$4</c:f>
              <c:numCache>
                <c:formatCode>0.00</c:formatCode>
                <c:ptCount val="3"/>
                <c:pt idx="0">
                  <c:v>7.9</c:v>
                </c:pt>
                <c:pt idx="1">
                  <c:v>7.7</c:v>
                </c:pt>
                <c:pt idx="2">
                  <c:v>9.5</c:v>
                </c:pt>
              </c:numCache>
            </c:numRef>
          </c:val>
          <c:extLst>
            <c:ext xmlns:c16="http://schemas.microsoft.com/office/drawing/2014/chart" uri="{C3380CC4-5D6E-409C-BE32-E72D297353CC}">
              <c16:uniqueId val="{00000001-0C47-4FFD-B030-CA29256F3DBF}"/>
            </c:ext>
          </c:extLst>
        </c:ser>
        <c:dLbls>
          <c:dLblPos val="ctr"/>
          <c:showLegendKey val="0"/>
          <c:showVal val="1"/>
          <c:showCatName val="0"/>
          <c:showSerName val="0"/>
          <c:showPercent val="0"/>
          <c:showBubbleSize val="0"/>
        </c:dLbls>
        <c:gapWidth val="79"/>
        <c:axId val="669051032"/>
        <c:axId val="669054168"/>
      </c:barChart>
      <c:catAx>
        <c:axId val="6690510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US"/>
          </a:p>
        </c:txPr>
        <c:crossAx val="669054168"/>
        <c:crosses val="autoZero"/>
        <c:auto val="1"/>
        <c:lblAlgn val="ctr"/>
        <c:lblOffset val="100"/>
        <c:noMultiLvlLbl val="0"/>
      </c:catAx>
      <c:valAx>
        <c:axId val="669054168"/>
        <c:scaling>
          <c:orientation val="minMax"/>
          <c:min val="0"/>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6690510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POSLOVNA AKTIVNOST 2022. GODINE</a:t>
            </a:r>
            <a:endParaRPr lang="en-US" sz="1100"/>
          </a:p>
        </c:rich>
      </c:tx>
      <c:layout>
        <c:manualLayout>
          <c:xMode val="edge"/>
          <c:yMode val="edge"/>
          <c:x val="0.32987451834478138"/>
          <c:y val="5.063937007874015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8038746315597272"/>
          <c:y val="0.23634873319970143"/>
          <c:w val="0.28712801040389624"/>
          <c:h val="0.55383311885531994"/>
        </c:manualLayout>
      </c:layout>
      <c:doughnutChart>
        <c:varyColors val="1"/>
        <c:ser>
          <c:idx val="0"/>
          <c:order val="0"/>
          <c:tx>
            <c:strRef>
              <c:f>Sheet1!$B$1</c:f>
              <c:strCache>
                <c:ptCount val="1"/>
                <c:pt idx="0">
                  <c:v>POSLOVNA AKTIVNOST 2022. GODINE</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793E-427E-A3C1-876ADB622101}"/>
              </c:ext>
            </c:extLst>
          </c:dPt>
          <c:dPt>
            <c:idx val="1"/>
            <c:bubble3D val="0"/>
            <c:spPr>
              <a:solidFill>
                <a:sysClr val="windowText" lastClr="000000">
                  <a:lumMod val="65000"/>
                  <a:lumOff val="35000"/>
                </a:sysClr>
              </a:solidFill>
              <a:ln w="19050">
                <a:solidFill>
                  <a:schemeClr val="lt1"/>
                </a:solidFill>
              </a:ln>
              <a:effectLst/>
            </c:spPr>
            <c:extLst>
              <c:ext xmlns:c16="http://schemas.microsoft.com/office/drawing/2014/chart" uri="{C3380CC4-5D6E-409C-BE32-E72D297353CC}">
                <c16:uniqueId val="{00000003-793E-427E-A3C1-876ADB622101}"/>
              </c:ext>
            </c:extLst>
          </c:dPt>
          <c:dPt>
            <c:idx val="2"/>
            <c:bubble3D val="0"/>
            <c:spPr>
              <a:solidFill>
                <a:sysClr val="window" lastClr="FFFFFF">
                  <a:lumMod val="75000"/>
                </a:sysClr>
              </a:solidFill>
              <a:ln w="19050">
                <a:solidFill>
                  <a:schemeClr val="lt1"/>
                </a:solidFill>
              </a:ln>
              <a:effectLst/>
            </c:spPr>
            <c:extLst>
              <c:ext xmlns:c16="http://schemas.microsoft.com/office/drawing/2014/chart" uri="{C3380CC4-5D6E-409C-BE32-E72D297353CC}">
                <c16:uniqueId val="{00000005-793E-427E-A3C1-876ADB62210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3E-427E-A3C1-876ADB622101}"/>
              </c:ext>
            </c:extLst>
          </c:dPt>
          <c:dLbls>
            <c:dLbl>
              <c:idx val="0"/>
              <c:layout>
                <c:manualLayout>
                  <c:x val="4.9361702127659494E-2"/>
                  <c:y val="5.4769553805774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3E-427E-A3C1-876ADB622101}"/>
                </c:ext>
              </c:extLst>
            </c:dLbl>
            <c:dLbl>
              <c:idx val="1"/>
              <c:layout>
                <c:manualLayout>
                  <c:x val="-7.1063829787234079E-2"/>
                  <c:y val="-1.8256517935258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3E-427E-A3C1-876ADB622101}"/>
                </c:ext>
              </c:extLst>
            </c:dLbl>
            <c:dLbl>
              <c:idx val="2"/>
              <c:layout>
                <c:manualLayout>
                  <c:x val="-4.539006686635913E-3"/>
                  <c:y val="-0.10041078577154013"/>
                </c:manualLayout>
              </c:layout>
              <c:showLegendKey val="0"/>
              <c:showVal val="1"/>
              <c:showCatName val="0"/>
              <c:showSerName val="0"/>
              <c:showPercent val="0"/>
              <c:showBubbleSize val="0"/>
              <c:extLst>
                <c:ext xmlns:c15="http://schemas.microsoft.com/office/drawing/2012/chart" uri="{CE6537A1-D6FC-4f65-9D91-7224C49458BB}">
                  <c15:layout>
                    <c:manualLayout>
                      <c:w val="8.1100612622941853E-2"/>
                      <c:h val="0.13367414062167574"/>
                    </c:manualLayout>
                  </c15:layout>
                </c:ext>
                <c:ext xmlns:c16="http://schemas.microsoft.com/office/drawing/2014/chart" uri="{C3380CC4-5D6E-409C-BE32-E72D297353CC}">
                  <c16:uniqueId val="{00000005-793E-427E-A3C1-876ADB622101}"/>
                </c:ext>
              </c:extLst>
            </c:dLbl>
            <c:spPr>
              <a:noFill/>
              <a:ln>
                <a:noFill/>
              </a:ln>
              <a:effectLst/>
            </c:spPr>
            <c:txPr>
              <a:bodyPr rot="0" spcFirstLastPara="1" vertOverflow="ellipsis" vert="horz" wrap="square" anchor="ctr" anchorCtr="1"/>
              <a:lstStyle/>
              <a:p>
                <a:pPr>
                  <a:defRPr sz="1197"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Sheet1!$A$2:$A$4</c:f>
              <c:strCache>
                <c:ptCount val="3"/>
                <c:pt idx="0">
                  <c:v>Kreditiranje</c:v>
                </c:pt>
                <c:pt idx="1">
                  <c:v>Osiguranje izvoza</c:v>
                </c:pt>
                <c:pt idx="2">
                  <c:v>Ostalo</c:v>
                </c:pt>
              </c:strCache>
            </c:strRef>
          </c:cat>
          <c:val>
            <c:numRef>
              <c:f>Sheet1!$B$2:$B$4</c:f>
              <c:numCache>
                <c:formatCode>0.0%</c:formatCode>
                <c:ptCount val="3"/>
                <c:pt idx="0">
                  <c:v>0.64628297835184834</c:v>
                </c:pt>
                <c:pt idx="1">
                  <c:v>0.2965705316455961</c:v>
                </c:pt>
                <c:pt idx="2">
                  <c:v>5.7146490002555617E-2</c:v>
                </c:pt>
              </c:numCache>
            </c:numRef>
          </c:val>
          <c:extLst>
            <c:ext xmlns:c16="http://schemas.microsoft.com/office/drawing/2014/chart" uri="{C3380CC4-5D6E-409C-BE32-E72D297353CC}">
              <c16:uniqueId val="{00000008-793E-427E-A3C1-876ADB622101}"/>
            </c:ext>
          </c:extLst>
        </c:ser>
        <c:dLbls>
          <c:showLegendKey val="0"/>
          <c:showVal val="1"/>
          <c:showCatName val="0"/>
          <c:showSerName val="0"/>
          <c:showPercent val="0"/>
          <c:showBubbleSize val="0"/>
          <c:showLeaderLines val="0"/>
        </c:dLbls>
        <c:firstSliceAng val="0"/>
        <c:holeSize val="75"/>
      </c:doughnutChart>
      <c:spPr>
        <a:noFill/>
        <a:ln>
          <a:noFill/>
        </a:ln>
        <a:effectLst/>
      </c:spPr>
    </c:plotArea>
    <c:legend>
      <c:legendPos val="b"/>
      <c:layout>
        <c:manualLayout>
          <c:xMode val="edge"/>
          <c:yMode val="edge"/>
          <c:x val="0.2596196400089219"/>
          <c:y val="0.88666093027031412"/>
          <c:w val="0.48308956964685629"/>
          <c:h val="7.4719999815997418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r>
              <a:rPr lang="hr-HR" sz="1100" b="0" i="0">
                <a:effectLst/>
              </a:rPr>
              <a:t>Struktura odobrenih kredita prema namjeni</a:t>
            </a:r>
          </a:p>
        </c:rich>
      </c:tx>
      <c:overlay val="0"/>
      <c:spPr>
        <a:noFill/>
        <a:ln>
          <a:noFill/>
        </a:ln>
        <a:effectLst/>
      </c:spPr>
      <c:txPr>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Obrtna sredstva</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2020.</c:v>
                </c:pt>
                <c:pt idx="1">
                  <c:v>2021.</c:v>
                </c:pt>
                <c:pt idx="2">
                  <c:v>2022.</c:v>
                </c:pt>
              </c:strCache>
            </c:strRef>
          </c:cat>
          <c:val>
            <c:numRef>
              <c:f>Sheet1!$B$2:$B$4</c:f>
              <c:numCache>
                <c:formatCode>0%</c:formatCode>
                <c:ptCount val="3"/>
                <c:pt idx="0">
                  <c:v>0.49</c:v>
                </c:pt>
                <c:pt idx="1">
                  <c:v>0.47</c:v>
                </c:pt>
                <c:pt idx="2">
                  <c:v>0.54</c:v>
                </c:pt>
              </c:numCache>
            </c:numRef>
          </c:val>
          <c:extLst>
            <c:ext xmlns:c16="http://schemas.microsoft.com/office/drawing/2014/chart" uri="{C3380CC4-5D6E-409C-BE32-E72D297353CC}">
              <c16:uniqueId val="{00000000-7BEF-4470-A289-9AAC28CF94E2}"/>
            </c:ext>
          </c:extLst>
        </c:ser>
        <c:ser>
          <c:idx val="1"/>
          <c:order val="1"/>
          <c:tx>
            <c:strRef>
              <c:f>Sheet1!$C$1</c:f>
              <c:strCache>
                <c:ptCount val="1"/>
                <c:pt idx="0">
                  <c:v>Investicije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2020.</c:v>
                </c:pt>
                <c:pt idx="1">
                  <c:v>2021.</c:v>
                </c:pt>
                <c:pt idx="2">
                  <c:v>2022.</c:v>
                </c:pt>
              </c:strCache>
            </c:strRef>
          </c:cat>
          <c:val>
            <c:numRef>
              <c:f>Sheet1!$C$2:$C$4</c:f>
              <c:numCache>
                <c:formatCode>0%</c:formatCode>
                <c:ptCount val="3"/>
                <c:pt idx="0">
                  <c:v>0.51</c:v>
                </c:pt>
                <c:pt idx="1">
                  <c:v>0.53</c:v>
                </c:pt>
                <c:pt idx="2">
                  <c:v>0.46</c:v>
                </c:pt>
              </c:numCache>
            </c:numRef>
          </c:val>
          <c:extLst>
            <c:ext xmlns:c16="http://schemas.microsoft.com/office/drawing/2014/chart" uri="{C3380CC4-5D6E-409C-BE32-E72D297353CC}">
              <c16:uniqueId val="{00000001-7BEF-4470-A289-9AAC28CF94E2}"/>
            </c:ext>
          </c:extLst>
        </c:ser>
        <c:dLbls>
          <c:dLblPos val="ctr"/>
          <c:showLegendKey val="0"/>
          <c:showVal val="1"/>
          <c:showCatName val="0"/>
          <c:showSerName val="0"/>
          <c:showPercent val="0"/>
          <c:showBubbleSize val="0"/>
        </c:dLbls>
        <c:gapWidth val="79"/>
        <c:overlap val="100"/>
        <c:axId val="669051032"/>
        <c:axId val="669054168"/>
      </c:barChart>
      <c:catAx>
        <c:axId val="669051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US"/>
          </a:p>
        </c:txPr>
        <c:crossAx val="669054168"/>
        <c:crosses val="autoZero"/>
        <c:auto val="1"/>
        <c:lblAlgn val="ctr"/>
        <c:lblOffset val="100"/>
        <c:noMultiLvlLbl val="0"/>
      </c:catAx>
      <c:valAx>
        <c:axId val="669054168"/>
        <c:scaling>
          <c:orientation val="minMax"/>
        </c:scaling>
        <c:delete val="1"/>
        <c:axPos val="l"/>
        <c:numFmt formatCode="0%" sourceLinked="1"/>
        <c:majorTickMark val="none"/>
        <c:minorTickMark val="none"/>
        <c:tickLblPos val="nextTo"/>
        <c:crossAx val="66905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spc="0" baseline="0">
                <a:solidFill>
                  <a:srgbClr val="595959"/>
                </a:solidFill>
                <a:latin typeface="Calibri"/>
              </a:defRPr>
            </a:pPr>
            <a:r>
              <a:rPr lang="hr-HR" sz="1100" b="0" i="0" u="none" strike="noStrike" kern="1200" cap="none" spc="0" baseline="0">
                <a:solidFill>
                  <a:srgbClr val="595959"/>
                </a:solidFill>
                <a:uFillTx/>
                <a:latin typeface="Calibri"/>
              </a:rPr>
              <a:t>FINANCIJSKI INSTRUMENTI U OKVIRU NPOO-a, u mil. kn</a:t>
            </a:r>
          </a:p>
        </c:rich>
      </c:tx>
      <c:overlay val="0"/>
      <c:spPr>
        <a:noFill/>
        <a:ln>
          <a:noFill/>
        </a:ln>
      </c:spPr>
    </c:title>
    <c:autoTitleDeleted val="0"/>
    <c:plotArea>
      <c:layout>
        <c:manualLayout>
          <c:xMode val="edge"/>
          <c:yMode val="edge"/>
          <c:x val="0.32051911188744392"/>
          <c:y val="0.23559232239974826"/>
          <c:w val="0.36939969158967778"/>
          <c:h val="0.46039191375430355"/>
        </c:manualLayout>
      </c:layout>
      <c:doughnutChart>
        <c:varyColors val="1"/>
        <c:ser>
          <c:idx val="0"/>
          <c:order val="0"/>
          <c:tx>
            <c:v>Column1</c:v>
          </c:tx>
          <c:dPt>
            <c:idx val="0"/>
            <c:bubble3D val="0"/>
            <c:spPr>
              <a:solidFill>
                <a:srgbClr val="FF0000"/>
              </a:solidFill>
              <a:ln w="19046">
                <a:solidFill>
                  <a:srgbClr val="FFFFFF"/>
                </a:solidFill>
                <a:prstDash val="solid"/>
              </a:ln>
            </c:spPr>
            <c:extLst>
              <c:ext xmlns:c16="http://schemas.microsoft.com/office/drawing/2014/chart" uri="{C3380CC4-5D6E-409C-BE32-E72D297353CC}">
                <c16:uniqueId val="{00000001-D101-4FCA-829E-053252C9CDE0}"/>
              </c:ext>
            </c:extLst>
          </c:dPt>
          <c:dPt>
            <c:idx val="1"/>
            <c:bubble3D val="0"/>
            <c:spPr>
              <a:solidFill>
                <a:srgbClr val="595959"/>
              </a:solidFill>
              <a:ln w="19046">
                <a:solidFill>
                  <a:srgbClr val="FFFFFF"/>
                </a:solidFill>
                <a:prstDash val="solid"/>
              </a:ln>
            </c:spPr>
            <c:extLst>
              <c:ext xmlns:c16="http://schemas.microsoft.com/office/drawing/2014/chart" uri="{C3380CC4-5D6E-409C-BE32-E72D297353CC}">
                <c16:uniqueId val="{00000002-D101-4FCA-829E-053252C9CDE0}"/>
              </c:ext>
            </c:extLst>
          </c:dPt>
          <c:dPt>
            <c:idx val="2"/>
            <c:bubble3D val="0"/>
            <c:spPr>
              <a:solidFill>
                <a:srgbClr val="7F7F7F"/>
              </a:solidFill>
              <a:ln w="19046">
                <a:solidFill>
                  <a:srgbClr val="FFFFFF"/>
                </a:solidFill>
                <a:prstDash val="solid"/>
              </a:ln>
            </c:spPr>
            <c:extLst>
              <c:ext xmlns:c16="http://schemas.microsoft.com/office/drawing/2014/chart" uri="{C3380CC4-5D6E-409C-BE32-E72D297353CC}">
                <c16:uniqueId val="{00000003-D101-4FCA-829E-053252C9CDE0}"/>
              </c:ext>
            </c:extLst>
          </c:dPt>
          <c:dPt>
            <c:idx val="3"/>
            <c:bubble3D val="0"/>
            <c:spPr>
              <a:solidFill>
                <a:srgbClr val="0070C0"/>
              </a:solidFill>
              <a:ln w="19046">
                <a:solidFill>
                  <a:srgbClr val="FFFFFF"/>
                </a:solidFill>
                <a:prstDash val="solid"/>
              </a:ln>
            </c:spPr>
            <c:extLst>
              <c:ext xmlns:c16="http://schemas.microsoft.com/office/drawing/2014/chart" uri="{C3380CC4-5D6E-409C-BE32-E72D297353CC}">
                <c16:uniqueId val="{00000004-D101-4FCA-829E-053252C9CDE0}"/>
              </c:ext>
            </c:extLst>
          </c:dPt>
          <c:dPt>
            <c:idx val="4"/>
            <c:bubble3D val="0"/>
            <c:spPr>
              <a:solidFill>
                <a:srgbClr val="002060"/>
              </a:solidFill>
              <a:ln w="19046">
                <a:solidFill>
                  <a:srgbClr val="FFFFFF"/>
                </a:solidFill>
                <a:prstDash val="solid"/>
              </a:ln>
            </c:spPr>
            <c:extLst>
              <c:ext xmlns:c16="http://schemas.microsoft.com/office/drawing/2014/chart" uri="{C3380CC4-5D6E-409C-BE32-E72D297353CC}">
                <c16:uniqueId val="{00000005-D101-4FCA-829E-053252C9CDE0}"/>
              </c:ext>
            </c:extLst>
          </c:dPt>
          <c:dPt>
            <c:idx val="5"/>
            <c:bubble3D val="0"/>
            <c:spPr>
              <a:solidFill>
                <a:srgbClr val="66CCFF"/>
              </a:solidFill>
              <a:ln w="19046">
                <a:solidFill>
                  <a:srgbClr val="FFFFFF"/>
                </a:solidFill>
                <a:prstDash val="solid"/>
              </a:ln>
            </c:spPr>
            <c:extLst>
              <c:ext xmlns:c16="http://schemas.microsoft.com/office/drawing/2014/chart" uri="{C3380CC4-5D6E-409C-BE32-E72D297353CC}">
                <c16:uniqueId val="{00000006-D101-4FCA-829E-053252C9CDE0}"/>
              </c:ext>
            </c:extLst>
          </c:dPt>
          <c:dLbls>
            <c:dLbl>
              <c:idx val="0"/>
              <c:layout>
                <c:manualLayout>
                  <c:x val="0.14975950363223656"/>
                  <c:y val="-0.10991961513949136"/>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D101-4FCA-829E-053252C9CDE0}"/>
                </c:ext>
              </c:extLst>
            </c:dLbl>
            <c:dLbl>
              <c:idx val="1"/>
              <c:layout>
                <c:manualLayout>
                  <c:x val="0.1527382560715439"/>
                  <c:y val="7.4284593718815795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D101-4FCA-829E-053252C9CDE0}"/>
                </c:ext>
              </c:extLst>
            </c:dLbl>
            <c:dLbl>
              <c:idx val="2"/>
              <c:layout>
                <c:manualLayout>
                  <c:x val="-2.5333860997011404E-2"/>
                  <c:y val="0.16137098648971338"/>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D101-4FCA-829E-053252C9CDE0}"/>
                </c:ext>
              </c:extLst>
            </c:dLbl>
            <c:dLbl>
              <c:idx val="3"/>
              <c:layout>
                <c:manualLayout>
                  <c:x val="-0.2117985598420648"/>
                  <c:y val="0.10230811929790157"/>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D101-4FCA-829E-053252C9CDE0}"/>
                </c:ext>
              </c:extLst>
            </c:dLbl>
            <c:dLbl>
              <c:idx val="4"/>
              <c:layout>
                <c:manualLayout>
                  <c:x val="-0.19982841832812492"/>
                  <c:y val="-1.9973020544554854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D101-4FCA-829E-053252C9CDE0}"/>
                </c:ext>
              </c:extLst>
            </c:dLbl>
            <c:dLbl>
              <c:idx val="5"/>
              <c:layout>
                <c:manualLayout>
                  <c:x val="-8.1896859946232914E-2"/>
                  <c:y val="-0.12690939742192797"/>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D101-4FCA-829E-053252C9CDE0}"/>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endParaRPr lang="en-U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Lit>
              <c:ptCount val="6"/>
              <c:pt idx="0">
                <c:v>Izravni krediti</c:v>
              </c:pt>
              <c:pt idx="1">
                <c:v>Subvencije po kreditima HBOR-a za MSP</c:v>
              </c:pt>
              <c:pt idx="2">
                <c:v>Jamstveni fond za MidCap i velike poduzetnike</c:v>
              </c:pt>
              <c:pt idx="3">
                <c:v>Subvencije po kreditima HBOR-a za MidCap i velike poduzetnike</c:v>
              </c:pt>
              <c:pt idx="4">
                <c:v>Subvencije po kreditima HBOR-a za javni sektor</c:v>
              </c:pt>
              <c:pt idx="5">
                <c:v>Fondovi rizičnog kapitala</c:v>
              </c:pt>
            </c:strLit>
          </c:cat>
          <c:val>
            <c:numLit>
              <c:formatCode>General</c:formatCode>
              <c:ptCount val="6"/>
              <c:pt idx="0">
                <c:v>500</c:v>
              </c:pt>
              <c:pt idx="1">
                <c:v>200</c:v>
              </c:pt>
              <c:pt idx="2">
                <c:v>600</c:v>
              </c:pt>
              <c:pt idx="3">
                <c:v>200</c:v>
              </c:pt>
              <c:pt idx="4">
                <c:v>200</c:v>
              </c:pt>
              <c:pt idx="5">
                <c:v>225</c:v>
              </c:pt>
            </c:numLit>
          </c:val>
          <c:extLst>
            <c:ext xmlns:c16="http://schemas.microsoft.com/office/drawing/2014/chart" uri="{C3380CC4-5D6E-409C-BE32-E72D297353CC}">
              <c16:uniqueId val="{00000000-D101-4FCA-829E-053252C9CDE0}"/>
            </c:ext>
          </c:extLst>
        </c:ser>
        <c:dLbls>
          <c:showLegendKey val="0"/>
          <c:showVal val="0"/>
          <c:showCatName val="0"/>
          <c:showSerName val="0"/>
          <c:showPercent val="0"/>
          <c:showBubbleSize val="0"/>
          <c:showLeaderLines val="1"/>
        </c:dLbls>
        <c:firstSliceAng val="0"/>
        <c:holeSize val="75"/>
      </c:doughnutChart>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197"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OSIGURANI PROMET U 2022. GODINI, PO DRŽAVAMA</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624213639961672"/>
          <c:y val="0.29043493362689321"/>
          <c:w val="0.37707588321371333"/>
          <c:h val="0.64074538460396901"/>
        </c:manualLayout>
      </c:layout>
      <c:doughnutChart>
        <c:varyColors val="1"/>
        <c:ser>
          <c:idx val="0"/>
          <c:order val="0"/>
          <c:dPt>
            <c:idx val="0"/>
            <c:bubble3D val="0"/>
            <c:spPr>
              <a:solidFill>
                <a:srgbClr val="535959"/>
              </a:solidFill>
              <a:ln w="19050">
                <a:solidFill>
                  <a:schemeClr val="lt1"/>
                </a:solidFill>
              </a:ln>
              <a:effectLst/>
            </c:spPr>
            <c:extLst>
              <c:ext xmlns:c16="http://schemas.microsoft.com/office/drawing/2014/chart" uri="{C3380CC4-5D6E-409C-BE32-E72D297353CC}">
                <c16:uniqueId val="{00000001-2DFB-4E65-8694-32A5DD4C50A3}"/>
              </c:ext>
            </c:extLst>
          </c:dPt>
          <c:dPt>
            <c:idx val="1"/>
            <c:bubble3D val="0"/>
            <c:spPr>
              <a:solidFill>
                <a:srgbClr val="E31C22"/>
              </a:solidFill>
              <a:ln w="19050">
                <a:solidFill>
                  <a:schemeClr val="lt1"/>
                </a:solidFill>
              </a:ln>
              <a:effectLst/>
            </c:spPr>
            <c:extLst>
              <c:ext xmlns:c16="http://schemas.microsoft.com/office/drawing/2014/chart" uri="{C3380CC4-5D6E-409C-BE32-E72D297353CC}">
                <c16:uniqueId val="{00000003-2DFB-4E65-8694-32A5DD4C50A3}"/>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2DFB-4E65-8694-32A5DD4C50A3}"/>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2DFB-4E65-8694-32A5DD4C50A3}"/>
              </c:ext>
            </c:extLst>
          </c:dPt>
          <c:dPt>
            <c:idx val="4"/>
            <c:bubble3D val="0"/>
            <c:spPr>
              <a:solidFill>
                <a:srgbClr val="70AD47">
                  <a:lumMod val="60000"/>
                  <a:lumOff val="40000"/>
                </a:srgbClr>
              </a:solidFill>
              <a:ln w="19050">
                <a:solidFill>
                  <a:schemeClr val="lt1"/>
                </a:solidFill>
              </a:ln>
              <a:effectLst/>
            </c:spPr>
            <c:extLst>
              <c:ext xmlns:c16="http://schemas.microsoft.com/office/drawing/2014/chart" uri="{C3380CC4-5D6E-409C-BE32-E72D297353CC}">
                <c16:uniqueId val="{00000009-2DFB-4E65-8694-32A5DD4C50A3}"/>
              </c:ext>
            </c:extLst>
          </c:dPt>
          <c:dPt>
            <c:idx val="5"/>
            <c:bubble3D val="0"/>
            <c:spPr>
              <a:solidFill>
                <a:srgbClr val="002060"/>
              </a:solidFill>
              <a:ln w="19050">
                <a:solidFill>
                  <a:schemeClr val="lt1"/>
                </a:solidFill>
              </a:ln>
              <a:effectLst/>
            </c:spPr>
            <c:extLst>
              <c:ext xmlns:c16="http://schemas.microsoft.com/office/drawing/2014/chart" uri="{C3380CC4-5D6E-409C-BE32-E72D297353CC}">
                <c16:uniqueId val="{0000000B-2DFB-4E65-8694-32A5DD4C50A3}"/>
              </c:ext>
            </c:extLst>
          </c:dPt>
          <c:dPt>
            <c:idx val="6"/>
            <c:bubble3D val="0"/>
            <c:spPr>
              <a:solidFill>
                <a:srgbClr val="66CCFF"/>
              </a:solidFill>
              <a:ln w="19050">
                <a:solidFill>
                  <a:schemeClr val="lt1"/>
                </a:solidFill>
              </a:ln>
              <a:effectLst/>
            </c:spPr>
            <c:extLst>
              <c:ext xmlns:c16="http://schemas.microsoft.com/office/drawing/2014/chart" uri="{C3380CC4-5D6E-409C-BE32-E72D297353CC}">
                <c16:uniqueId val="{0000000D-2DFB-4E65-8694-32A5DD4C50A3}"/>
              </c:ext>
            </c:extLst>
          </c:dPt>
          <c:dPt>
            <c:idx val="7"/>
            <c:bubble3D val="0"/>
            <c:spPr>
              <a:solidFill>
                <a:srgbClr val="FFFF00"/>
              </a:solidFill>
              <a:ln w="19050">
                <a:solidFill>
                  <a:schemeClr val="lt1"/>
                </a:solidFill>
              </a:ln>
              <a:effectLst/>
            </c:spPr>
            <c:extLst>
              <c:ext xmlns:c16="http://schemas.microsoft.com/office/drawing/2014/chart" uri="{C3380CC4-5D6E-409C-BE32-E72D297353CC}">
                <c16:uniqueId val="{0000000F-2DFB-4E65-8694-32A5DD4C50A3}"/>
              </c:ext>
            </c:extLst>
          </c:dPt>
          <c:dPt>
            <c:idx val="8"/>
            <c:bubble3D val="0"/>
            <c:spPr>
              <a:solidFill>
                <a:srgbClr val="0777C0"/>
              </a:solidFill>
              <a:ln w="19050">
                <a:solidFill>
                  <a:schemeClr val="lt1"/>
                </a:solidFill>
              </a:ln>
              <a:effectLst/>
            </c:spPr>
            <c:extLst>
              <c:ext xmlns:c16="http://schemas.microsoft.com/office/drawing/2014/chart" uri="{C3380CC4-5D6E-409C-BE32-E72D297353CC}">
                <c16:uniqueId val="{00000011-2DFB-4E65-8694-32A5DD4C50A3}"/>
              </c:ext>
            </c:extLst>
          </c:dPt>
          <c:dLbls>
            <c:dLbl>
              <c:idx val="0"/>
              <c:layout>
                <c:manualLayout>
                  <c:x val="0.11452949259085553"/>
                  <c:y val="-1.9849718785151856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DFB-4E65-8694-32A5DD4C50A3}"/>
                </c:ext>
              </c:extLst>
            </c:dLbl>
            <c:dLbl>
              <c:idx val="1"/>
              <c:layout>
                <c:manualLayout>
                  <c:x val="-9.8104056437389786E-2"/>
                  <c:y val="6.4034151547491994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layout>
                    <c:manualLayout>
                      <c:w val="0.10144409032204307"/>
                      <c:h val="7.0651013874066165E-2"/>
                    </c:manualLayout>
                  </c15:layout>
                </c:ext>
                <c:ext xmlns:c16="http://schemas.microsoft.com/office/drawing/2014/chart" uri="{C3380CC4-5D6E-409C-BE32-E72D297353CC}">
                  <c16:uniqueId val="{00000003-2DFB-4E65-8694-32A5DD4C50A3}"/>
                </c:ext>
              </c:extLst>
            </c:dLbl>
            <c:dLbl>
              <c:idx val="2"/>
              <c:layout>
                <c:manualLayout>
                  <c:x val="-0.12125220458553794"/>
                  <c:y val="0.1173959445037353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2DFB-4E65-8694-32A5DD4C50A3}"/>
                </c:ext>
              </c:extLst>
            </c:dLbl>
            <c:dLbl>
              <c:idx val="3"/>
              <c:layout>
                <c:manualLayout>
                  <c:x val="-0.1322751322751323"/>
                  <c:y val="7.826396300249022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2DFB-4E65-8694-32A5DD4C50A3}"/>
                </c:ext>
              </c:extLst>
            </c:dLbl>
            <c:dLbl>
              <c:idx val="4"/>
              <c:layout>
                <c:manualLayout>
                  <c:x val="-0.1388888888888889"/>
                  <c:y val="2.8459622909996377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2DFB-4E65-8694-32A5DD4C50A3}"/>
                </c:ext>
              </c:extLst>
            </c:dLbl>
            <c:dLbl>
              <c:idx val="5"/>
              <c:layout>
                <c:manualLayout>
                  <c:x val="-0.14991181657848326"/>
                  <c:y val="-2.8459622909996443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2DFB-4E65-8694-32A5DD4C50A3}"/>
                </c:ext>
              </c:extLst>
            </c:dLbl>
            <c:dLbl>
              <c:idx val="6"/>
              <c:layout>
                <c:manualLayout>
                  <c:x val="-0.16093474426807761"/>
                  <c:y val="-8.1821415866239838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2DFB-4E65-8694-32A5DD4C50A3}"/>
                </c:ext>
              </c:extLst>
            </c:dLbl>
            <c:dLbl>
              <c:idx val="7"/>
              <c:layout>
                <c:manualLayout>
                  <c:x val="-0.1146384479717813"/>
                  <c:y val="-0.13327058770801994"/>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2DFB-4E65-8694-32A5DD4C50A3}"/>
                </c:ext>
              </c:extLst>
            </c:dLbl>
            <c:dLbl>
              <c:idx val="8"/>
              <c:layout>
                <c:manualLayout>
                  <c:x val="-5.0705467372134001E-2"/>
                  <c:y val="-0.13972498368333627"/>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2DFB-4E65-8694-32A5DD4C50A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Sheet1!$D$6:$D$14</c:f>
              <c:strCache>
                <c:ptCount val="9"/>
                <c:pt idx="0">
                  <c:v>Hrvatska</c:v>
                </c:pt>
                <c:pt idx="1">
                  <c:v>Irak</c:v>
                </c:pt>
                <c:pt idx="2">
                  <c:v>Grčka</c:v>
                </c:pt>
                <c:pt idx="3">
                  <c:v>Ukrajina</c:v>
                </c:pt>
                <c:pt idx="4">
                  <c:v>Francuska</c:v>
                </c:pt>
                <c:pt idx="5">
                  <c:v>Švicarska</c:v>
                </c:pt>
                <c:pt idx="6">
                  <c:v>Kanada</c:v>
                </c:pt>
                <c:pt idx="7">
                  <c:v>Slovenija</c:v>
                </c:pt>
                <c:pt idx="8">
                  <c:v>Ostale</c:v>
                </c:pt>
              </c:strCache>
            </c:strRef>
          </c:cat>
          <c:val>
            <c:numRef>
              <c:f>Sheet1!$E$6:$E$14</c:f>
              <c:numCache>
                <c:formatCode>_-* #,##0\ "kn"_-;\-* #,##0\ "kn"_-;_-* "-"??\ "kn"_-;_-@_-</c:formatCode>
                <c:ptCount val="9"/>
                <c:pt idx="0">
                  <c:v>1878508900.4899998</c:v>
                </c:pt>
                <c:pt idx="1">
                  <c:v>334136992.19999999</c:v>
                </c:pt>
                <c:pt idx="2">
                  <c:v>80004745.639999986</c:v>
                </c:pt>
                <c:pt idx="3">
                  <c:v>77115218.342133179</c:v>
                </c:pt>
                <c:pt idx="4">
                  <c:v>56761107.980000004</c:v>
                </c:pt>
                <c:pt idx="5">
                  <c:v>43335462.740000017</c:v>
                </c:pt>
                <c:pt idx="6">
                  <c:v>43281951.610000007</c:v>
                </c:pt>
                <c:pt idx="7">
                  <c:v>29666668.210000001</c:v>
                </c:pt>
                <c:pt idx="8">
                  <c:v>291667122.42975926</c:v>
                </c:pt>
              </c:numCache>
            </c:numRef>
          </c:val>
          <c:extLst>
            <c:ext xmlns:c16="http://schemas.microsoft.com/office/drawing/2014/chart" uri="{C3380CC4-5D6E-409C-BE32-E72D297353CC}">
              <c16:uniqueId val="{00000012-2DFB-4E65-8694-32A5DD4C50A3}"/>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spc="0" baseline="0">
                <a:solidFill>
                  <a:srgbClr val="595959"/>
                </a:solidFill>
                <a:latin typeface="Calibri"/>
              </a:defRPr>
            </a:pPr>
            <a:r>
              <a:rPr lang="hr-HR" sz="1100" b="0" i="0" u="none" strike="noStrike" kern="1200" cap="none" spc="0" baseline="0">
                <a:solidFill>
                  <a:srgbClr val="595959"/>
                </a:solidFill>
                <a:uFillTx/>
                <a:latin typeface="Calibri"/>
              </a:rPr>
              <a:t>UKUPNI BRUTO PORTFELJ PO STUPNJEVIMA KREDITNOG RIZIKA </a:t>
            </a:r>
            <a:br>
              <a:rPr lang="hr-HR" sz="1100" b="0" i="0" u="none" strike="noStrike" kern="1200" cap="none" spc="0" baseline="0">
                <a:solidFill>
                  <a:srgbClr val="595959"/>
                </a:solidFill>
                <a:uFillTx/>
                <a:latin typeface="Calibri"/>
              </a:rPr>
            </a:br>
            <a:r>
              <a:rPr lang="hr-HR" sz="1100" b="0" i="0" u="none" strike="noStrike" kern="1200" cap="none" spc="0" baseline="0">
                <a:solidFill>
                  <a:srgbClr val="595959"/>
                </a:solidFill>
                <a:uFillTx/>
                <a:latin typeface="Calibri"/>
              </a:rPr>
              <a:t>31. 12. 2022.</a:t>
            </a:r>
          </a:p>
        </c:rich>
      </c:tx>
      <c:overlay val="0"/>
      <c:spPr>
        <a:noFill/>
        <a:ln>
          <a:noFill/>
        </a:ln>
      </c:spPr>
    </c:title>
    <c:autoTitleDeleted val="0"/>
    <c:plotArea>
      <c:layout>
        <c:manualLayout>
          <c:xMode val="edge"/>
          <c:yMode val="edge"/>
          <c:x val="0.30983018787161054"/>
          <c:y val="0.25784080654839608"/>
          <c:w val="0.37601350180696735"/>
          <c:h val="0.60495099543621611"/>
        </c:manualLayout>
      </c:layout>
      <c:doughnutChart>
        <c:varyColors val="1"/>
        <c:ser>
          <c:idx val="0"/>
          <c:order val="0"/>
          <c:tx>
            <c:v>Column1</c:v>
          </c:tx>
          <c:dPt>
            <c:idx val="0"/>
            <c:bubble3D val="0"/>
            <c:spPr>
              <a:solidFill>
                <a:srgbClr val="535959"/>
              </a:solidFill>
              <a:ln w="19046">
                <a:solidFill>
                  <a:srgbClr val="FFFFFF"/>
                </a:solidFill>
                <a:prstDash val="solid"/>
              </a:ln>
            </c:spPr>
            <c:extLst>
              <c:ext xmlns:c16="http://schemas.microsoft.com/office/drawing/2014/chart" uri="{C3380CC4-5D6E-409C-BE32-E72D297353CC}">
                <c16:uniqueId val="{00000001-AA6B-47B8-87DD-FDD558F34A6D}"/>
              </c:ext>
            </c:extLst>
          </c:dPt>
          <c:dPt>
            <c:idx val="1"/>
            <c:bubble3D val="0"/>
            <c:spPr>
              <a:solidFill>
                <a:srgbClr val="0777C0"/>
              </a:solidFill>
              <a:ln w="19046">
                <a:solidFill>
                  <a:srgbClr val="FFFFFF"/>
                </a:solidFill>
                <a:prstDash val="solid"/>
              </a:ln>
            </c:spPr>
            <c:extLst>
              <c:ext xmlns:c16="http://schemas.microsoft.com/office/drawing/2014/chart" uri="{C3380CC4-5D6E-409C-BE32-E72D297353CC}">
                <c16:uniqueId val="{00000003-AA6B-47B8-87DD-FDD558F34A6D}"/>
              </c:ext>
            </c:extLst>
          </c:dPt>
          <c:dPt>
            <c:idx val="2"/>
            <c:bubble3D val="0"/>
            <c:spPr>
              <a:solidFill>
                <a:srgbClr val="E31C22"/>
              </a:solidFill>
              <a:ln w="19046">
                <a:solidFill>
                  <a:srgbClr val="FFFFFF"/>
                </a:solidFill>
                <a:prstDash val="solid"/>
              </a:ln>
            </c:spPr>
            <c:extLst>
              <c:ext xmlns:c16="http://schemas.microsoft.com/office/drawing/2014/chart" uri="{C3380CC4-5D6E-409C-BE32-E72D297353CC}">
                <c16:uniqueId val="{00000005-AA6B-47B8-87DD-FDD558F34A6D}"/>
              </c:ext>
            </c:extLst>
          </c:dPt>
          <c:dPt>
            <c:idx val="3"/>
            <c:bubble3D val="0"/>
            <c:spPr>
              <a:solidFill>
                <a:srgbClr val="FF8006"/>
              </a:solidFill>
              <a:ln w="19046">
                <a:solidFill>
                  <a:srgbClr val="FFFFFF"/>
                </a:solidFill>
                <a:prstDash val="solid"/>
              </a:ln>
            </c:spPr>
            <c:extLst>
              <c:ext xmlns:c16="http://schemas.microsoft.com/office/drawing/2014/chart" uri="{C3380CC4-5D6E-409C-BE32-E72D297353CC}">
                <c16:uniqueId val="{00000007-AA6B-47B8-87DD-FDD558F34A6D}"/>
              </c:ext>
            </c:extLst>
          </c:dPt>
          <c:dLbls>
            <c:dLbl>
              <c:idx val="0"/>
              <c:layout>
                <c:manualLayout>
                  <c:x val="5.4041267751186894E-2"/>
                  <c:y val="6.3551262025929089E-2"/>
                </c:manualLayout>
              </c:layout>
              <c:tx>
                <c:rich>
                  <a:bodyPr/>
                  <a:lstStyle/>
                  <a:p>
                    <a:r>
                      <a:rPr lang="en-US" sz="1100" b="0" i="0" u="none" strike="noStrike" kern="1200" cap="none" spc="0" baseline="0">
                        <a:solidFill>
                          <a:srgbClr val="404040"/>
                        </a:solidFill>
                        <a:uFillTx/>
                        <a:latin typeface="Calibri"/>
                      </a:rPr>
                      <a:t>78,4%</a:t>
                    </a:r>
                  </a:p>
                </c:rich>
              </c:tx>
              <c:showLegendKey val="0"/>
              <c:showVal val="1"/>
              <c:showCatName val="0"/>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AA6B-47B8-87DD-FDD558F34A6D}"/>
                </c:ext>
              </c:extLst>
            </c:dLbl>
            <c:dLbl>
              <c:idx val="1"/>
              <c:layout>
                <c:manualLayout>
                  <c:x val="-8.9091338990340441E-2"/>
                  <c:y val="4.8965476174116895E-2"/>
                </c:manualLayout>
              </c:layout>
              <c:tx>
                <c:rich>
                  <a:bodyPr/>
                  <a:lstStyle/>
                  <a:p>
                    <a:r>
                      <a:rPr lang="en-US" sz="1100" b="0" i="0" u="none" strike="noStrike" kern="1200" cap="none" spc="0" baseline="0">
                        <a:solidFill>
                          <a:srgbClr val="404040"/>
                        </a:solidFill>
                        <a:uFillTx/>
                        <a:latin typeface="Calibri"/>
                      </a:rPr>
                      <a:t>7,4%</a:t>
                    </a:r>
                  </a:p>
                </c:rich>
              </c:tx>
              <c:showLegendKey val="0"/>
              <c:showVal val="1"/>
              <c:showCatName val="0"/>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AA6B-47B8-87DD-FDD558F34A6D}"/>
                </c:ext>
              </c:extLst>
            </c:dLbl>
            <c:dLbl>
              <c:idx val="2"/>
              <c:layout>
                <c:manualLayout>
                  <c:x val="-0.1377153735927974"/>
                  <c:y val="-0.1336383999120529"/>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r>
                      <a:rPr lang="en-US" sz="1100" b="0" i="0" u="none" strike="noStrike" kern="1200" cap="none" spc="0" baseline="0">
                        <a:solidFill>
                          <a:srgbClr val="404040"/>
                        </a:solidFill>
                        <a:uFillTx/>
                        <a:latin typeface="Calibri"/>
                      </a:rPr>
                      <a:t>14,1%</a:t>
                    </a:r>
                  </a:p>
                </c:rich>
              </c:tx>
              <c:numFmt formatCode="#.#00%" sourceLinked="0"/>
              <c:spPr>
                <a:noFill/>
                <a:ln>
                  <a:noFill/>
                </a:ln>
                <a:effectLst/>
              </c:spPr>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5-AA6B-47B8-87DD-FDD558F34A6D}"/>
                </c:ext>
              </c:extLst>
            </c:dLbl>
            <c:dLbl>
              <c:idx val="3"/>
              <c:layout>
                <c:manualLayout>
                  <c:x val="-3.7608769651916729E-2"/>
                  <c:y val="-9.8393285481548715E-2"/>
                </c:manualLayout>
              </c:layout>
              <c:tx>
                <c:rich>
                  <a:bodyPr/>
                  <a:lstStyle/>
                  <a:p>
                    <a:r>
                      <a:rPr lang="en-US" sz="1100" b="0" i="0" u="none" strike="noStrike" kern="1200" cap="none" spc="0" baseline="0">
                        <a:solidFill>
                          <a:srgbClr val="404040"/>
                        </a:solidFill>
                        <a:uFillTx/>
                        <a:latin typeface="Calibri"/>
                      </a:rPr>
                      <a:t>0,1%</a:t>
                    </a:r>
                  </a:p>
                </c:rich>
              </c:tx>
              <c:showLegendKey val="0"/>
              <c:showVal val="1"/>
              <c:showCatName val="0"/>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7-AA6B-47B8-87DD-FDD558F34A6D}"/>
                </c:ext>
              </c:extLst>
            </c:dLbl>
            <c:numFmt formatCode="General"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endParaRPr lang="en-US"/>
              </a:p>
            </c:txPr>
            <c:showLegendKey val="0"/>
            <c:showVal val="1"/>
            <c:showCatName val="0"/>
            <c:showSerName val="0"/>
            <c:showPercent val="1"/>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Lit>
              <c:ptCount val="4"/>
              <c:pt idx="0">
                <c:v>1. stupanj</c:v>
              </c:pt>
              <c:pt idx="1">
                <c:v>2. stupanj</c:v>
              </c:pt>
              <c:pt idx="2">
                <c:v>3. stupanj</c:v>
              </c:pt>
              <c:pt idx="3">
                <c:v>bez stupnja</c:v>
              </c:pt>
            </c:strLit>
          </c:cat>
          <c:val>
            <c:numLit>
              <c:formatCode>General</c:formatCode>
              <c:ptCount val="4"/>
              <c:pt idx="0">
                <c:v>0.78400000000000003</c:v>
              </c:pt>
              <c:pt idx="1">
                <c:v>7.3999999999999996E-2</c:v>
              </c:pt>
              <c:pt idx="2">
                <c:v>0.14099999999999999</c:v>
              </c:pt>
              <c:pt idx="3">
                <c:v>1E-3</c:v>
              </c:pt>
            </c:numLit>
          </c:val>
          <c:extLst>
            <c:ext xmlns:c16="http://schemas.microsoft.com/office/drawing/2014/chart" uri="{C3380CC4-5D6E-409C-BE32-E72D297353CC}">
              <c16:uniqueId val="{00000008-AA6B-47B8-87DD-FDD558F34A6D}"/>
            </c:ext>
          </c:extLst>
        </c:ser>
        <c:dLbls>
          <c:showLegendKey val="0"/>
          <c:showVal val="0"/>
          <c:showCatName val="0"/>
          <c:showSerName val="0"/>
          <c:showPercent val="0"/>
          <c:showBubbleSize val="0"/>
          <c:showLeaderLines val="1"/>
        </c:dLbls>
        <c:firstSliceAng val="0"/>
        <c:holeSize val="75"/>
      </c:doughnutChart>
      <c:spPr>
        <a:noFill/>
        <a:ln>
          <a:noFill/>
        </a:ln>
      </c:spPr>
    </c:plotArea>
    <c:legend>
      <c:legendPos val="r"/>
      <c:layout>
        <c:manualLayout>
          <c:xMode val="edge"/>
          <c:yMode val="edge"/>
          <c:x val="0.13762711449833978"/>
          <c:y val="0.68254478661371509"/>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hr-HR" sz="1197"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chemeClr val="bg1">
          <a:lumMod val="85000"/>
        </a:schemeClr>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197"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b="0" i="0" baseline="0">
                <a:effectLst/>
              </a:rPr>
              <a:t>UKUPNI BRUTO KREDITNI PORTFELJ PO STUPNJEVIMA KREDITNOG RIZIKA </a:t>
            </a:r>
          </a:p>
          <a:p>
            <a:pPr>
              <a:defRPr sz="1100"/>
            </a:pPr>
            <a:r>
              <a:rPr lang="hr-HR" sz="1100" b="0" i="0" baseline="0">
                <a:effectLst/>
              </a:rPr>
              <a:t>31. 12. 2022.</a:t>
            </a:r>
            <a:endParaRPr lang="en-US" sz="1100">
              <a:effectLst/>
            </a:endParaRPr>
          </a:p>
        </c:rich>
      </c:tx>
      <c:layout>
        <c:manualLayout>
          <c:xMode val="edge"/>
          <c:yMode val="edge"/>
          <c:x val="0.11329031384889043"/>
          <c:y val="3.70218017276840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503420361570889"/>
          <c:y val="0.2594478784614464"/>
          <c:w val="0.37601363703457752"/>
          <c:h val="0.60495133706628568"/>
        </c:manualLayout>
      </c:layout>
      <c:doughnutChart>
        <c:varyColors val="1"/>
        <c:ser>
          <c:idx val="0"/>
          <c:order val="0"/>
          <c:tx>
            <c:strRef>
              <c:f>Sheet1!$B$1</c:f>
              <c:strCache>
                <c:ptCount val="1"/>
                <c:pt idx="0">
                  <c:v>Column1</c:v>
                </c:pt>
              </c:strCache>
            </c:strRef>
          </c:tx>
          <c:spPr>
            <a:ln>
              <a:solidFill>
                <a:schemeClr val="bg1"/>
              </a:solidFill>
            </a:ln>
          </c:spPr>
          <c:dPt>
            <c:idx val="0"/>
            <c:bubble3D val="0"/>
            <c:spPr>
              <a:solidFill>
                <a:srgbClr val="535959"/>
              </a:solidFill>
              <a:ln w="19050">
                <a:solidFill>
                  <a:schemeClr val="bg1"/>
                </a:solidFill>
              </a:ln>
              <a:effectLst/>
            </c:spPr>
            <c:extLst>
              <c:ext xmlns:c16="http://schemas.microsoft.com/office/drawing/2014/chart" uri="{C3380CC4-5D6E-409C-BE32-E72D297353CC}">
                <c16:uniqueId val="{00000001-4EBC-4DFD-B79D-272C94040622}"/>
              </c:ext>
            </c:extLst>
          </c:dPt>
          <c:dPt>
            <c:idx val="1"/>
            <c:bubble3D val="0"/>
            <c:spPr>
              <a:solidFill>
                <a:srgbClr val="0777C0"/>
              </a:solidFill>
              <a:ln w="19050">
                <a:solidFill>
                  <a:schemeClr val="bg1"/>
                </a:solidFill>
              </a:ln>
              <a:effectLst/>
            </c:spPr>
            <c:extLst>
              <c:ext xmlns:c16="http://schemas.microsoft.com/office/drawing/2014/chart" uri="{C3380CC4-5D6E-409C-BE32-E72D297353CC}">
                <c16:uniqueId val="{00000003-4EBC-4DFD-B79D-272C94040622}"/>
              </c:ext>
            </c:extLst>
          </c:dPt>
          <c:dPt>
            <c:idx val="2"/>
            <c:bubble3D val="0"/>
            <c:spPr>
              <a:solidFill>
                <a:srgbClr val="E31C22"/>
              </a:solidFill>
              <a:ln w="19050">
                <a:solidFill>
                  <a:schemeClr val="bg1"/>
                </a:solidFill>
              </a:ln>
              <a:effectLst/>
            </c:spPr>
            <c:extLst>
              <c:ext xmlns:c16="http://schemas.microsoft.com/office/drawing/2014/chart" uri="{C3380CC4-5D6E-409C-BE32-E72D297353CC}">
                <c16:uniqueId val="{00000005-4EBC-4DFD-B79D-272C94040622}"/>
              </c:ext>
            </c:extLst>
          </c:dPt>
          <c:dPt>
            <c:idx val="3"/>
            <c:bubble3D val="0"/>
            <c:spPr>
              <a:solidFill>
                <a:schemeClr val="accent4"/>
              </a:solidFill>
              <a:ln w="19050">
                <a:solidFill>
                  <a:schemeClr val="bg1"/>
                </a:solidFill>
              </a:ln>
              <a:effectLst/>
            </c:spPr>
            <c:extLst>
              <c:ext xmlns:c16="http://schemas.microsoft.com/office/drawing/2014/chart" uri="{C3380CC4-5D6E-409C-BE32-E72D297353CC}">
                <c16:uniqueId val="{00000007-4EBC-4DFD-B79D-272C94040622}"/>
              </c:ext>
            </c:extLst>
          </c:dPt>
          <c:dLbls>
            <c:dLbl>
              <c:idx val="0"/>
              <c:layout>
                <c:manualLayout>
                  <c:x val="5.8969418003544175E-2"/>
                  <c:y val="6.9374780921114501E-2"/>
                </c:manualLayout>
              </c:layout>
              <c:tx>
                <c:rich>
                  <a:bodyPr/>
                  <a:lstStyle/>
                  <a:p>
                    <a:fld id="{FAA7012D-8CAB-463F-8575-1061BB49535A}" type="VALUE">
                      <a:rPr lang="en-US" baseline="0"/>
                      <a:pPr/>
                      <a:t>[VALUE]</a:t>
                    </a:fld>
                    <a:endParaRPr lang="en-U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EBC-4DFD-B79D-272C94040622}"/>
                </c:ext>
              </c:extLst>
            </c:dLbl>
            <c:dLbl>
              <c:idx val="1"/>
              <c:layout>
                <c:manualLayout>
                  <c:x val="-0.10462525819577329"/>
                  <c:y val="-6.0338386040507154E-3"/>
                </c:manualLayout>
              </c:layout>
              <c:tx>
                <c:rich>
                  <a:bodyPr/>
                  <a:lstStyle/>
                  <a:p>
                    <a:fld id="{9BDCF1CF-9B15-4E50-B42F-122E7D9D0205}" type="VALUE">
                      <a:rPr lang="en-US" baseline="0"/>
                      <a:pPr/>
                      <a:t>[VALUE]</a:t>
                    </a:fld>
                    <a:endParaRPr lang="en-U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EBC-4DFD-B79D-272C94040622}"/>
                </c:ext>
              </c:extLst>
            </c:dLbl>
            <c:dLbl>
              <c:idx val="2"/>
              <c:layout>
                <c:manualLayout>
                  <c:x val="-0.13254352006309816"/>
                  <c:y val="-8.8754264023186064E-2"/>
                </c:manualLayout>
              </c:layout>
              <c:tx>
                <c:rich>
                  <a:bodyPr/>
                  <a:lstStyle/>
                  <a:p>
                    <a:fld id="{0D865256-F442-49C7-9994-E939D83FF263}" type="VALUE">
                      <a:rPr lang="en-US" baseline="0"/>
                      <a:pPr/>
                      <a:t>[VALUE]</a:t>
                    </a:fld>
                    <a:endParaRPr lang="en-U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EBC-4DFD-B79D-272C9404062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1. stupanj</c:v>
                </c:pt>
                <c:pt idx="1">
                  <c:v>2. stupanj</c:v>
                </c:pt>
                <c:pt idx="2">
                  <c:v>3. stupanj</c:v>
                </c:pt>
              </c:strCache>
            </c:strRef>
          </c:cat>
          <c:val>
            <c:numRef>
              <c:f>Sheet1!$B$2:$B$4</c:f>
              <c:numCache>
                <c:formatCode>0.0%</c:formatCode>
                <c:ptCount val="3"/>
                <c:pt idx="0">
                  <c:v>0.75800000000000001</c:v>
                </c:pt>
                <c:pt idx="1">
                  <c:v>8.5000000000000006E-2</c:v>
                </c:pt>
                <c:pt idx="2">
                  <c:v>0.157</c:v>
                </c:pt>
              </c:numCache>
            </c:numRef>
          </c:val>
          <c:extLst>
            <c:ext xmlns:c16="http://schemas.microsoft.com/office/drawing/2014/chart" uri="{C3380CC4-5D6E-409C-BE32-E72D297353CC}">
              <c16:uniqueId val="{00000008-4EBC-4DFD-B79D-272C94040622}"/>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11364445563108805"/>
          <c:y val="0.71551121256422756"/>
          <c:w val="0.22139730915931355"/>
          <c:h val="0.2584301555139483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spc="0" baseline="0">
                <a:solidFill>
                  <a:srgbClr val="595959"/>
                </a:solidFill>
                <a:latin typeface="Calibri"/>
              </a:defRPr>
            </a:pPr>
            <a:r>
              <a:rPr lang="hr-HR" sz="1100" b="0" i="0" u="none" strike="noStrike" kern="1200" cap="none" spc="0" baseline="0">
                <a:solidFill>
                  <a:srgbClr val="595959"/>
                </a:solidFill>
                <a:uFillTx/>
                <a:latin typeface="Calibri"/>
              </a:rPr>
              <a:t>IZLOŽENOST PREMA IZNOSU LIMITA NA 31. 12. 2022., PO DRŽAVAMA</a:t>
            </a:r>
          </a:p>
        </c:rich>
      </c:tx>
      <c:overlay val="0"/>
      <c:spPr>
        <a:noFill/>
        <a:ln>
          <a:noFill/>
        </a:ln>
      </c:spPr>
    </c:title>
    <c:autoTitleDeleted val="0"/>
    <c:plotArea>
      <c:layout>
        <c:manualLayout>
          <c:layoutTarget val="inner"/>
          <c:xMode val="edge"/>
          <c:yMode val="edge"/>
          <c:x val="0.36652947934223878"/>
          <c:y val="0.26413226850206667"/>
          <c:w val="0.37707562912463416"/>
          <c:h val="0.56068727751073866"/>
        </c:manualLayout>
      </c:layout>
      <c:doughnutChart>
        <c:varyColors val="1"/>
        <c:ser>
          <c:idx val="0"/>
          <c:order val="0"/>
          <c:tx>
            <c:v>Skup1</c:v>
          </c:tx>
          <c:dPt>
            <c:idx val="0"/>
            <c:bubble3D val="0"/>
            <c:spPr>
              <a:solidFill>
                <a:srgbClr val="535959"/>
              </a:solidFill>
              <a:ln w="19046">
                <a:solidFill>
                  <a:srgbClr val="FFFFFF"/>
                </a:solidFill>
                <a:prstDash val="solid"/>
              </a:ln>
            </c:spPr>
            <c:extLst>
              <c:ext xmlns:c16="http://schemas.microsoft.com/office/drawing/2014/chart" uri="{C3380CC4-5D6E-409C-BE32-E72D297353CC}">
                <c16:uniqueId val="{00000001-AC47-439C-A670-ABA27990C000}"/>
              </c:ext>
            </c:extLst>
          </c:dPt>
          <c:dPt>
            <c:idx val="1"/>
            <c:bubble3D val="0"/>
            <c:spPr>
              <a:solidFill>
                <a:schemeClr val="bg1">
                  <a:lumMod val="65000"/>
                </a:schemeClr>
              </a:solidFill>
              <a:ln w="19046">
                <a:solidFill>
                  <a:srgbClr val="FFFFFF"/>
                </a:solidFill>
                <a:prstDash val="solid"/>
              </a:ln>
            </c:spPr>
            <c:extLst>
              <c:ext xmlns:c16="http://schemas.microsoft.com/office/drawing/2014/chart" uri="{C3380CC4-5D6E-409C-BE32-E72D297353CC}">
                <c16:uniqueId val="{00000002-AC47-439C-A670-ABA27990C000}"/>
              </c:ext>
            </c:extLst>
          </c:dPt>
          <c:dPt>
            <c:idx val="2"/>
            <c:bubble3D val="0"/>
            <c:spPr>
              <a:solidFill>
                <a:schemeClr val="bg2">
                  <a:lumMod val="90000"/>
                </a:schemeClr>
              </a:solidFill>
              <a:ln w="19046">
                <a:solidFill>
                  <a:srgbClr val="FFFFFF"/>
                </a:solidFill>
                <a:prstDash val="solid"/>
              </a:ln>
            </c:spPr>
            <c:extLst>
              <c:ext xmlns:c16="http://schemas.microsoft.com/office/drawing/2014/chart" uri="{C3380CC4-5D6E-409C-BE32-E72D297353CC}">
                <c16:uniqueId val="{00000003-AC47-439C-A670-ABA27990C000}"/>
              </c:ext>
            </c:extLst>
          </c:dPt>
          <c:dPt>
            <c:idx val="3"/>
            <c:bubble3D val="0"/>
            <c:spPr>
              <a:solidFill>
                <a:srgbClr val="0070C0"/>
              </a:solidFill>
              <a:ln w="19046">
                <a:solidFill>
                  <a:srgbClr val="FFFFFF"/>
                </a:solidFill>
                <a:prstDash val="solid"/>
              </a:ln>
            </c:spPr>
            <c:extLst>
              <c:ext xmlns:c16="http://schemas.microsoft.com/office/drawing/2014/chart" uri="{C3380CC4-5D6E-409C-BE32-E72D297353CC}">
                <c16:uniqueId val="{00000004-AC47-439C-A670-ABA27990C000}"/>
              </c:ext>
            </c:extLst>
          </c:dPt>
          <c:dPt>
            <c:idx val="4"/>
            <c:bubble3D val="0"/>
            <c:spPr>
              <a:solidFill>
                <a:srgbClr val="002060"/>
              </a:solidFill>
              <a:ln w="19046">
                <a:solidFill>
                  <a:srgbClr val="FFFFFF"/>
                </a:solidFill>
                <a:prstDash val="solid"/>
              </a:ln>
            </c:spPr>
            <c:extLst>
              <c:ext xmlns:c16="http://schemas.microsoft.com/office/drawing/2014/chart" uri="{C3380CC4-5D6E-409C-BE32-E72D297353CC}">
                <c16:uniqueId val="{00000005-AC47-439C-A670-ABA27990C000}"/>
              </c:ext>
            </c:extLst>
          </c:dPt>
          <c:dPt>
            <c:idx val="5"/>
            <c:bubble3D val="0"/>
            <c:spPr>
              <a:solidFill>
                <a:srgbClr val="66CCFF"/>
              </a:solidFill>
              <a:ln w="19046">
                <a:solidFill>
                  <a:srgbClr val="FFFFFF"/>
                </a:solidFill>
                <a:prstDash val="solid"/>
              </a:ln>
            </c:spPr>
            <c:extLst>
              <c:ext xmlns:c16="http://schemas.microsoft.com/office/drawing/2014/chart" uri="{C3380CC4-5D6E-409C-BE32-E72D297353CC}">
                <c16:uniqueId val="{00000006-AC47-439C-A670-ABA27990C000}"/>
              </c:ext>
            </c:extLst>
          </c:dPt>
          <c:dPt>
            <c:idx val="6"/>
            <c:bubble3D val="0"/>
            <c:spPr>
              <a:solidFill>
                <a:srgbClr val="FFFF00"/>
              </a:solidFill>
              <a:ln w="19046">
                <a:solidFill>
                  <a:srgbClr val="FFFFFF"/>
                </a:solidFill>
                <a:prstDash val="solid"/>
              </a:ln>
            </c:spPr>
            <c:extLst>
              <c:ext xmlns:c16="http://schemas.microsoft.com/office/drawing/2014/chart" uri="{C3380CC4-5D6E-409C-BE32-E72D297353CC}">
                <c16:uniqueId val="{00000007-AC47-439C-A670-ABA27990C000}"/>
              </c:ext>
            </c:extLst>
          </c:dPt>
          <c:dPt>
            <c:idx val="7"/>
            <c:bubble3D val="0"/>
            <c:spPr>
              <a:solidFill>
                <a:srgbClr val="00B050"/>
              </a:solidFill>
              <a:ln w="19046">
                <a:solidFill>
                  <a:srgbClr val="FFFFFF"/>
                </a:solidFill>
                <a:prstDash val="solid"/>
              </a:ln>
            </c:spPr>
            <c:extLst>
              <c:ext xmlns:c16="http://schemas.microsoft.com/office/drawing/2014/chart" uri="{C3380CC4-5D6E-409C-BE32-E72D297353CC}">
                <c16:uniqueId val="{00000008-AC47-439C-A670-ABA27990C000}"/>
              </c:ext>
            </c:extLst>
          </c:dPt>
          <c:dPt>
            <c:idx val="8"/>
            <c:bubble3D val="0"/>
            <c:spPr>
              <a:solidFill>
                <a:srgbClr val="92D050"/>
              </a:solidFill>
              <a:ln w="19046">
                <a:solidFill>
                  <a:srgbClr val="FFFFFF"/>
                </a:solidFill>
                <a:prstDash val="solid"/>
              </a:ln>
            </c:spPr>
            <c:extLst>
              <c:ext xmlns:c16="http://schemas.microsoft.com/office/drawing/2014/chart" uri="{C3380CC4-5D6E-409C-BE32-E72D297353CC}">
                <c16:uniqueId val="{00000009-AC47-439C-A670-ABA27990C000}"/>
              </c:ext>
            </c:extLst>
          </c:dPt>
          <c:dPt>
            <c:idx val="9"/>
            <c:bubble3D val="0"/>
            <c:spPr>
              <a:solidFill>
                <a:srgbClr val="7030A0"/>
              </a:solidFill>
              <a:ln w="19046">
                <a:solidFill>
                  <a:srgbClr val="FFFFFF"/>
                </a:solidFill>
                <a:prstDash val="solid"/>
              </a:ln>
            </c:spPr>
            <c:extLst>
              <c:ext xmlns:c16="http://schemas.microsoft.com/office/drawing/2014/chart" uri="{C3380CC4-5D6E-409C-BE32-E72D297353CC}">
                <c16:uniqueId val="{0000000A-AC47-439C-A670-ABA27990C000}"/>
              </c:ext>
            </c:extLst>
          </c:dPt>
          <c:dPt>
            <c:idx val="10"/>
            <c:bubble3D val="0"/>
            <c:spPr>
              <a:solidFill>
                <a:srgbClr val="E31C22"/>
              </a:solidFill>
              <a:ln w="19046">
                <a:solidFill>
                  <a:srgbClr val="FFFFFF"/>
                </a:solidFill>
                <a:prstDash val="solid"/>
              </a:ln>
            </c:spPr>
            <c:extLst>
              <c:ext xmlns:c16="http://schemas.microsoft.com/office/drawing/2014/chart" uri="{C3380CC4-5D6E-409C-BE32-E72D297353CC}">
                <c16:uniqueId val="{0000000B-AC47-439C-A670-ABA27990C000}"/>
              </c:ext>
            </c:extLst>
          </c:dPt>
          <c:dLbls>
            <c:dLbl>
              <c:idx val="0"/>
              <c:layout>
                <c:manualLayout>
                  <c:x val="7.86578760988208E-2"/>
                  <c:y val="-2.12229714782010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47-439C-A670-ABA27990C000}"/>
                </c:ext>
              </c:extLst>
            </c:dLbl>
            <c:dLbl>
              <c:idx val="1"/>
              <c:layout>
                <c:manualLayout>
                  <c:x val="6.8140440778236111E-2"/>
                  <c:y val="0.131107961140653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C47-439C-A670-ABA27990C000}"/>
                </c:ext>
              </c:extLst>
            </c:dLbl>
            <c:dLbl>
              <c:idx val="2"/>
              <c:layout>
                <c:manualLayout>
                  <c:x val="-4.2108104542487756E-2"/>
                  <c:y val="0.1467593085723805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C47-439C-A670-ABA27990C000}"/>
                </c:ext>
              </c:extLst>
            </c:dLbl>
            <c:dLbl>
              <c:idx val="3"/>
              <c:layout>
                <c:manualLayout>
                  <c:x val="-0.13231939757530309"/>
                  <c:y val="0.1250944308340229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C47-439C-A670-ABA27990C000}"/>
                </c:ext>
              </c:extLst>
            </c:dLbl>
            <c:dLbl>
              <c:idx val="4"/>
              <c:layout>
                <c:manualLayout>
                  <c:x val="-0.22265879959449514"/>
                  <c:y val="0.1224331609953542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C47-439C-A670-ABA27990C000}"/>
                </c:ext>
              </c:extLst>
            </c:dLbl>
            <c:dLbl>
              <c:idx val="5"/>
              <c:layout>
                <c:manualLayout>
                  <c:x val="-0.23561290949742397"/>
                  <c:y val="3.5050977628836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C47-439C-A670-ABA27990C000}"/>
                </c:ext>
              </c:extLst>
            </c:dLbl>
            <c:dLbl>
              <c:idx val="6"/>
              <c:layout>
                <c:manualLayout>
                  <c:x val="-0.20509606438084127"/>
                  <c:y val="-0.1079264545625865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C47-439C-A670-ABA27990C000}"/>
                </c:ext>
              </c:extLst>
            </c:dLbl>
            <c:dLbl>
              <c:idx val="7"/>
              <c:layout>
                <c:manualLayout>
                  <c:x val="-0.26087225207960119"/>
                  <c:y val="-0.2311751483718020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C47-439C-A670-ABA27990C000}"/>
                </c:ext>
              </c:extLst>
            </c:dLbl>
            <c:dLbl>
              <c:idx val="8"/>
              <c:layout>
                <c:manualLayout>
                  <c:x val="-0.1733463872571484"/>
                  <c:y val="-0.314201086466688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C47-439C-A670-ABA27990C000}"/>
                </c:ext>
              </c:extLst>
            </c:dLbl>
            <c:dLbl>
              <c:idx val="9"/>
              <c:layout>
                <c:manualLayout>
                  <c:x val="-2.4944277798608527E-2"/>
                  <c:y val="-0.2593356111443405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AC47-439C-A670-ABA27990C000}"/>
                </c:ext>
              </c:extLst>
            </c:dLbl>
            <c:dLbl>
              <c:idx val="10"/>
              <c:layout>
                <c:manualLayout>
                  <c:x val="7.7160320237748103E-2"/>
                  <c:y val="-0.156433177382483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C47-439C-A670-ABA27990C000}"/>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Lit>
              <c:ptCount val="11"/>
              <c:pt idx="0">
                <c:v>Hrvatska</c:v>
              </c:pt>
              <c:pt idx="1">
                <c:v>Italija</c:v>
              </c:pt>
              <c:pt idx="2">
                <c:v>Njemačka</c:v>
              </c:pt>
              <c:pt idx="3">
                <c:v>Slovenija</c:v>
              </c:pt>
              <c:pt idx="4">
                <c:v>Srbija</c:v>
              </c:pt>
              <c:pt idx="5">
                <c:v>Ujedinjena Kraljevina</c:v>
              </c:pt>
              <c:pt idx="6">
                <c:v>Bosna i Hercegovina</c:v>
              </c:pt>
              <c:pt idx="7">
                <c:v>Mađarska</c:v>
              </c:pt>
              <c:pt idx="8">
                <c:v>Španjolska</c:v>
              </c:pt>
              <c:pt idx="9">
                <c:v>Francuska</c:v>
              </c:pt>
              <c:pt idx="10">
                <c:v>Ostali</c:v>
              </c:pt>
            </c:strLit>
          </c:cat>
          <c:val>
            <c:numLit>
              <c:formatCode>General</c:formatCode>
              <c:ptCount val="11"/>
              <c:pt idx="0">
                <c:v>0.42</c:v>
              </c:pt>
              <c:pt idx="1">
                <c:v>0.08</c:v>
              </c:pt>
              <c:pt idx="2">
                <c:v>0.06</c:v>
              </c:pt>
              <c:pt idx="3">
                <c:v>0.06</c:v>
              </c:pt>
              <c:pt idx="4">
                <c:v>0.04</c:v>
              </c:pt>
              <c:pt idx="5">
                <c:v>0.04</c:v>
              </c:pt>
              <c:pt idx="6">
                <c:v>0.03</c:v>
              </c:pt>
              <c:pt idx="7">
                <c:v>0.03</c:v>
              </c:pt>
              <c:pt idx="8">
                <c:v>0.02</c:v>
              </c:pt>
              <c:pt idx="9">
                <c:v>0.02</c:v>
              </c:pt>
              <c:pt idx="10">
                <c:v>0.2</c:v>
              </c:pt>
            </c:numLit>
          </c:val>
          <c:extLst>
            <c:ext xmlns:c16="http://schemas.microsoft.com/office/drawing/2014/chart" uri="{C3380CC4-5D6E-409C-BE32-E72D297353CC}">
              <c16:uniqueId val="{00000000-AC47-439C-A670-ABA27990C000}"/>
            </c:ext>
          </c:extLst>
        </c:ser>
        <c:dLbls>
          <c:showLegendKey val="0"/>
          <c:showVal val="0"/>
          <c:showCatName val="0"/>
          <c:showSerName val="0"/>
          <c:showPercent val="0"/>
          <c:showBubbleSize val="0"/>
          <c:showLeaderLines val="1"/>
        </c:dLbls>
        <c:firstSliceAng val="0"/>
        <c:holeSize val="75"/>
      </c:doughnutChart>
      <c:spPr>
        <a:noFill/>
        <a:ln>
          <a:noFill/>
        </a:ln>
      </c:spPr>
    </c:plotArea>
    <c:plotVisOnly val="1"/>
    <c:dispBlanksAs val="gap"/>
    <c:showDLblsOverMax val="0"/>
  </c:chart>
  <c:spPr>
    <a:solidFill>
      <a:srgbClr val="FFFFFF"/>
    </a:solidFill>
    <a:ln w="9528" cap="flat">
      <a:solidFill>
        <a:schemeClr val="bg1">
          <a:lumMod val="85000"/>
        </a:schemeClr>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lt1"/>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lt1"/>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0.44676</cdr:x>
      <cdr:y>0.14632</cdr:y>
    </cdr:from>
    <cdr:to>
      <cdr:x>0.59193</cdr:x>
      <cdr:y>0.26049</cdr:y>
    </cdr:to>
    <cdr:sp macro="" textlink="">
      <cdr:nvSpPr>
        <cdr:cNvPr id="2" name="Text Box 2"/>
        <cdr:cNvSpPr txBox="1">
          <a:spLocks xmlns:a="http://schemas.openxmlformats.org/drawingml/2006/main" noChangeArrowheads="1"/>
        </cdr:cNvSpPr>
      </cdr:nvSpPr>
      <cdr:spPr bwMode="auto">
        <a:xfrm xmlns:a="http://schemas.openxmlformats.org/drawingml/2006/main">
          <a:off x="2573641" y="379083"/>
          <a:ext cx="836284" cy="29579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nSpc>
              <a:spcPct val="115000"/>
            </a:lnSpc>
            <a:spcBef>
              <a:spcPts val="600"/>
            </a:spcBef>
            <a:spcAft>
              <a:spcPts val="600"/>
            </a:spcAft>
          </a:pPr>
          <a:r>
            <a:rPr lang="hr-HR" sz="1200" b="1">
              <a:solidFill>
                <a:srgbClr val="595959"/>
              </a:solidFill>
              <a:effectLst/>
              <a:latin typeface="Calibri" panose="020F0502020204030204" pitchFamily="34" charset="0"/>
              <a:ea typeface="SimSun" panose="02010600030101010101" pitchFamily="2" charset="-122"/>
              <a:cs typeface="Calibri" panose="020F0502020204030204" pitchFamily="34" charset="0"/>
            </a:rPr>
            <a:t> -2</a:t>
          </a:r>
          <a:r>
            <a:rPr lang="hr-HR" sz="1200" b="1" baseline="0">
              <a:solidFill>
                <a:srgbClr val="595959"/>
              </a:solidFill>
              <a:effectLst/>
              <a:latin typeface="Calibri" panose="020F0502020204030204" pitchFamily="34" charset="0"/>
              <a:ea typeface="SimSun" panose="02010600030101010101" pitchFamily="2" charset="-122"/>
              <a:cs typeface="Calibri" panose="020F0502020204030204" pitchFamily="34" charset="0"/>
            </a:rPr>
            <a:t> </a:t>
          </a:r>
          <a:r>
            <a:rPr lang="en-US" sz="1200" b="1">
              <a:solidFill>
                <a:srgbClr val="595959"/>
              </a:solidFill>
              <a:effectLst/>
              <a:latin typeface="Calibri" panose="020F0502020204030204" pitchFamily="34" charset="0"/>
              <a:ea typeface="SimSun" panose="02010600030101010101" pitchFamily="2" charset="-122"/>
              <a:cs typeface="Calibri" panose="020F0502020204030204" pitchFamily="34" charset="0"/>
            </a:rPr>
            <a:t>%</a:t>
          </a:r>
          <a:endParaRPr lang="hr-HR" sz="1200">
            <a:effectLst/>
            <a:latin typeface="Calibri" panose="020F0502020204030204" pitchFamily="34" charset="0"/>
            <a:ea typeface="SimSun" panose="02010600030101010101" pitchFamily="2" charset="-122"/>
            <a:cs typeface="Times New Roman" panose="02020603050405020304" pitchFamily="18" charset="0"/>
          </a:endParaRPr>
        </a:p>
      </cdr:txBody>
    </cdr:sp>
  </cdr:relSizeAnchor>
  <cdr:relSizeAnchor xmlns:cdr="http://schemas.openxmlformats.org/drawingml/2006/chartDrawing">
    <cdr:from>
      <cdr:x>0.76312</cdr:x>
      <cdr:y>0.15123</cdr:y>
    </cdr:from>
    <cdr:to>
      <cdr:x>0.88459</cdr:x>
      <cdr:y>0.2654</cdr:y>
    </cdr:to>
    <cdr:sp macro="" textlink="">
      <cdr:nvSpPr>
        <cdr:cNvPr id="3" name="Text Box 2"/>
        <cdr:cNvSpPr txBox="1">
          <a:spLocks xmlns:a="http://schemas.openxmlformats.org/drawingml/2006/main" noChangeArrowheads="1"/>
        </cdr:cNvSpPr>
      </cdr:nvSpPr>
      <cdr:spPr bwMode="auto">
        <a:xfrm xmlns:a="http://schemas.openxmlformats.org/drawingml/2006/main">
          <a:off x="4396103" y="391796"/>
          <a:ext cx="699754" cy="29579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15000"/>
            </a:lnSpc>
            <a:spcBef>
              <a:spcPts val="600"/>
            </a:spcBef>
            <a:spcAft>
              <a:spcPts val="600"/>
            </a:spcAft>
          </a:pPr>
          <a:r>
            <a:rPr lang="hr-HR" sz="1200" b="1">
              <a:solidFill>
                <a:srgbClr val="595959"/>
              </a:solidFill>
              <a:effectLst/>
              <a:latin typeface="Calibri" panose="020F0502020204030204" pitchFamily="34" charset="0"/>
              <a:ea typeface="SimSun" panose="02010600030101010101" pitchFamily="2" charset="-122"/>
              <a:cs typeface="Calibri" panose="020F0502020204030204" pitchFamily="34" charset="0"/>
            </a:rPr>
            <a:t> +23</a:t>
          </a:r>
          <a:r>
            <a:rPr lang="hr-HR" sz="1200" b="1" baseline="0">
              <a:solidFill>
                <a:srgbClr val="595959"/>
              </a:solidFill>
              <a:effectLst/>
              <a:latin typeface="Calibri" panose="020F0502020204030204" pitchFamily="34" charset="0"/>
              <a:ea typeface="SimSun" panose="02010600030101010101" pitchFamily="2" charset="-122"/>
              <a:cs typeface="Calibri" panose="020F0502020204030204" pitchFamily="34" charset="0"/>
            </a:rPr>
            <a:t> </a:t>
          </a:r>
          <a:r>
            <a:rPr lang="en-US" sz="1200" b="1">
              <a:solidFill>
                <a:srgbClr val="595959"/>
              </a:solidFill>
              <a:effectLst/>
              <a:latin typeface="Calibri" panose="020F0502020204030204" pitchFamily="34" charset="0"/>
              <a:ea typeface="SimSun" panose="02010600030101010101" pitchFamily="2" charset="-122"/>
              <a:cs typeface="Calibri" panose="020F0502020204030204" pitchFamily="34" charset="0"/>
            </a:rPr>
            <a:t>%</a:t>
          </a:r>
          <a:endParaRPr lang="hr-HR" sz="1200">
            <a:effectLst/>
            <a:latin typeface="Calibri" panose="020F0502020204030204" pitchFamily="34" charset="0"/>
            <a:ea typeface="SimSun" panose="02010600030101010101" pitchFamily="2" charset="-122"/>
            <a:cs typeface="Times New Roman" panose="02020603050405020304" pitchFamily="18" charset="0"/>
          </a:endParaRP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17T12:20:09.95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17T12:20:09.952"/>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10 0,'-4'0,"-1"0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85A2A9EB2663498A4939D32B56C082" ma:contentTypeVersion="10" ma:contentTypeDescription="Create a new document." ma:contentTypeScope="" ma:versionID="64e01229d0f07869bec325fecb01511b">
  <xsd:schema xmlns:xsd="http://www.w3.org/2001/XMLSchema" xmlns:xs="http://www.w3.org/2001/XMLSchema" xmlns:p="http://schemas.microsoft.com/office/2006/metadata/properties" xmlns:ns2="6a834578-004d-42ee-ade6-eb765fe66246" xmlns:ns3="77d63962-8f6a-4226-a74a-ab84c17cf3bb" targetNamespace="http://schemas.microsoft.com/office/2006/metadata/properties" ma:root="true" ma:fieldsID="d61da1b41f90f5feb583df8a1bfb3d3e" ns2:_="" ns3:_="">
    <xsd:import namespace="6a834578-004d-42ee-ade6-eb765fe66246"/>
    <xsd:import namespace="77d63962-8f6a-4226-a74a-ab84c17cf3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34578-004d-42ee-ade6-eb765fe662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a2cf20-993a-444b-a589-f9851580d31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d63962-8f6a-4226-a74a-ab84c17cf3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01c2ae1-b439-4229-9723-2c34d5dc97e9}" ma:internalName="TaxCatchAll" ma:showField="CatchAllData" ma:web="77d63962-8f6a-4226-a74a-ab84c17cf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a834578-004d-42ee-ade6-eb765fe66246">
      <Terms xmlns="http://schemas.microsoft.com/office/infopath/2007/PartnerControls"/>
    </lcf76f155ced4ddcb4097134ff3c332f>
    <TaxCatchAll xmlns="77d63962-8f6a-4226-a74a-ab84c17cf3bb" xsi:nil="true"/>
  </documentManagement>
</p:properties>
</file>

<file path=customXml/itemProps1.xml><?xml version="1.0" encoding="utf-8"?>
<ds:datastoreItem xmlns:ds="http://schemas.openxmlformats.org/officeDocument/2006/customXml" ds:itemID="{BE343DB0-4BBC-473A-BA41-787F970F8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34578-004d-42ee-ade6-eb765fe66246"/>
    <ds:schemaRef ds:uri="77d63962-8f6a-4226-a74a-ab84c17cf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FB5961-EB8B-48AD-97AA-5C855BFAA2D2}">
  <ds:schemaRefs>
    <ds:schemaRef ds:uri="http://schemas.microsoft.com/sharepoint/v3/contenttype/forms"/>
  </ds:schemaRefs>
</ds:datastoreItem>
</file>

<file path=customXml/itemProps3.xml><?xml version="1.0" encoding="utf-8"?>
<ds:datastoreItem xmlns:ds="http://schemas.openxmlformats.org/officeDocument/2006/customXml" ds:itemID="{75DDF287-E626-497F-AE14-330E3B818734}">
  <ds:schemaRefs>
    <ds:schemaRef ds:uri="http://schemas.openxmlformats.org/officeDocument/2006/bibliography"/>
  </ds:schemaRefs>
</ds:datastoreItem>
</file>

<file path=customXml/itemProps4.xml><?xml version="1.0" encoding="utf-8"?>
<ds:datastoreItem xmlns:ds="http://schemas.openxmlformats.org/officeDocument/2006/customXml" ds:itemID="{8D4C3355-D8EA-4FD8-A846-BDEE488DE63F}">
  <ds:schemaRefs>
    <ds:schemaRef ds:uri="http://schemas.microsoft.com/office/2006/metadata/properties"/>
    <ds:schemaRef ds:uri="http://schemas.microsoft.com/office/infopath/2007/PartnerControls"/>
    <ds:schemaRef ds:uri="6a834578-004d-42ee-ade6-eb765fe66246"/>
    <ds:schemaRef ds:uri="77d63962-8f6a-4226-a74a-ab84c17cf3bb"/>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230</Pages>
  <Words>74288</Words>
  <Characters>423442</Characters>
  <Application>Microsoft Office Word</Application>
  <DocSecurity>0</DocSecurity>
  <Lines>3528</Lines>
  <Paragraphs>993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496737</CharactersWithSpaces>
  <SharedDoc>false</SharedDoc>
  <HLinks>
    <vt:vector size="192" baseType="variant">
      <vt:variant>
        <vt:i4>1638471</vt:i4>
      </vt:variant>
      <vt:variant>
        <vt:i4>189</vt:i4>
      </vt:variant>
      <vt:variant>
        <vt:i4>0</vt:i4>
      </vt:variant>
      <vt:variant>
        <vt:i4>5</vt:i4>
      </vt:variant>
      <vt:variant>
        <vt:lpwstr>http://www.hkosig.hr/</vt:lpwstr>
      </vt:variant>
      <vt:variant>
        <vt:lpwstr/>
      </vt:variant>
      <vt:variant>
        <vt:i4>1245246</vt:i4>
      </vt:variant>
      <vt:variant>
        <vt:i4>182</vt:i4>
      </vt:variant>
      <vt:variant>
        <vt:i4>0</vt:i4>
      </vt:variant>
      <vt:variant>
        <vt:i4>5</vt:i4>
      </vt:variant>
      <vt:variant>
        <vt:lpwstr/>
      </vt:variant>
      <vt:variant>
        <vt:lpwstr>_Toc128135424</vt:lpwstr>
      </vt:variant>
      <vt:variant>
        <vt:i4>1245246</vt:i4>
      </vt:variant>
      <vt:variant>
        <vt:i4>176</vt:i4>
      </vt:variant>
      <vt:variant>
        <vt:i4>0</vt:i4>
      </vt:variant>
      <vt:variant>
        <vt:i4>5</vt:i4>
      </vt:variant>
      <vt:variant>
        <vt:lpwstr/>
      </vt:variant>
      <vt:variant>
        <vt:lpwstr>_Toc128135423</vt:lpwstr>
      </vt:variant>
      <vt:variant>
        <vt:i4>1245246</vt:i4>
      </vt:variant>
      <vt:variant>
        <vt:i4>170</vt:i4>
      </vt:variant>
      <vt:variant>
        <vt:i4>0</vt:i4>
      </vt:variant>
      <vt:variant>
        <vt:i4>5</vt:i4>
      </vt:variant>
      <vt:variant>
        <vt:lpwstr/>
      </vt:variant>
      <vt:variant>
        <vt:lpwstr>_Toc128135422</vt:lpwstr>
      </vt:variant>
      <vt:variant>
        <vt:i4>1245246</vt:i4>
      </vt:variant>
      <vt:variant>
        <vt:i4>164</vt:i4>
      </vt:variant>
      <vt:variant>
        <vt:i4>0</vt:i4>
      </vt:variant>
      <vt:variant>
        <vt:i4>5</vt:i4>
      </vt:variant>
      <vt:variant>
        <vt:lpwstr/>
      </vt:variant>
      <vt:variant>
        <vt:lpwstr>_Toc128135421</vt:lpwstr>
      </vt:variant>
      <vt:variant>
        <vt:i4>1245246</vt:i4>
      </vt:variant>
      <vt:variant>
        <vt:i4>158</vt:i4>
      </vt:variant>
      <vt:variant>
        <vt:i4>0</vt:i4>
      </vt:variant>
      <vt:variant>
        <vt:i4>5</vt:i4>
      </vt:variant>
      <vt:variant>
        <vt:lpwstr/>
      </vt:variant>
      <vt:variant>
        <vt:lpwstr>_Toc128135420</vt:lpwstr>
      </vt:variant>
      <vt:variant>
        <vt:i4>1048638</vt:i4>
      </vt:variant>
      <vt:variant>
        <vt:i4>152</vt:i4>
      </vt:variant>
      <vt:variant>
        <vt:i4>0</vt:i4>
      </vt:variant>
      <vt:variant>
        <vt:i4>5</vt:i4>
      </vt:variant>
      <vt:variant>
        <vt:lpwstr/>
      </vt:variant>
      <vt:variant>
        <vt:lpwstr>_Toc128135419</vt:lpwstr>
      </vt:variant>
      <vt:variant>
        <vt:i4>1048638</vt:i4>
      </vt:variant>
      <vt:variant>
        <vt:i4>146</vt:i4>
      </vt:variant>
      <vt:variant>
        <vt:i4>0</vt:i4>
      </vt:variant>
      <vt:variant>
        <vt:i4>5</vt:i4>
      </vt:variant>
      <vt:variant>
        <vt:lpwstr/>
      </vt:variant>
      <vt:variant>
        <vt:lpwstr>_Toc128135418</vt:lpwstr>
      </vt:variant>
      <vt:variant>
        <vt:i4>1048638</vt:i4>
      </vt:variant>
      <vt:variant>
        <vt:i4>140</vt:i4>
      </vt:variant>
      <vt:variant>
        <vt:i4>0</vt:i4>
      </vt:variant>
      <vt:variant>
        <vt:i4>5</vt:i4>
      </vt:variant>
      <vt:variant>
        <vt:lpwstr/>
      </vt:variant>
      <vt:variant>
        <vt:lpwstr>_Toc128135417</vt:lpwstr>
      </vt:variant>
      <vt:variant>
        <vt:i4>1048638</vt:i4>
      </vt:variant>
      <vt:variant>
        <vt:i4>134</vt:i4>
      </vt:variant>
      <vt:variant>
        <vt:i4>0</vt:i4>
      </vt:variant>
      <vt:variant>
        <vt:i4>5</vt:i4>
      </vt:variant>
      <vt:variant>
        <vt:lpwstr/>
      </vt:variant>
      <vt:variant>
        <vt:lpwstr>_Toc128135416</vt:lpwstr>
      </vt:variant>
      <vt:variant>
        <vt:i4>1048638</vt:i4>
      </vt:variant>
      <vt:variant>
        <vt:i4>128</vt:i4>
      </vt:variant>
      <vt:variant>
        <vt:i4>0</vt:i4>
      </vt:variant>
      <vt:variant>
        <vt:i4>5</vt:i4>
      </vt:variant>
      <vt:variant>
        <vt:lpwstr/>
      </vt:variant>
      <vt:variant>
        <vt:lpwstr>_Toc128135415</vt:lpwstr>
      </vt:variant>
      <vt:variant>
        <vt:i4>1048638</vt:i4>
      </vt:variant>
      <vt:variant>
        <vt:i4>122</vt:i4>
      </vt:variant>
      <vt:variant>
        <vt:i4>0</vt:i4>
      </vt:variant>
      <vt:variant>
        <vt:i4>5</vt:i4>
      </vt:variant>
      <vt:variant>
        <vt:lpwstr/>
      </vt:variant>
      <vt:variant>
        <vt:lpwstr>_Toc128135414</vt:lpwstr>
      </vt:variant>
      <vt:variant>
        <vt:i4>1048638</vt:i4>
      </vt:variant>
      <vt:variant>
        <vt:i4>116</vt:i4>
      </vt:variant>
      <vt:variant>
        <vt:i4>0</vt:i4>
      </vt:variant>
      <vt:variant>
        <vt:i4>5</vt:i4>
      </vt:variant>
      <vt:variant>
        <vt:lpwstr/>
      </vt:variant>
      <vt:variant>
        <vt:lpwstr>_Toc128135413</vt:lpwstr>
      </vt:variant>
      <vt:variant>
        <vt:i4>1048638</vt:i4>
      </vt:variant>
      <vt:variant>
        <vt:i4>110</vt:i4>
      </vt:variant>
      <vt:variant>
        <vt:i4>0</vt:i4>
      </vt:variant>
      <vt:variant>
        <vt:i4>5</vt:i4>
      </vt:variant>
      <vt:variant>
        <vt:lpwstr/>
      </vt:variant>
      <vt:variant>
        <vt:lpwstr>_Toc128135412</vt:lpwstr>
      </vt:variant>
      <vt:variant>
        <vt:i4>1048638</vt:i4>
      </vt:variant>
      <vt:variant>
        <vt:i4>104</vt:i4>
      </vt:variant>
      <vt:variant>
        <vt:i4>0</vt:i4>
      </vt:variant>
      <vt:variant>
        <vt:i4>5</vt:i4>
      </vt:variant>
      <vt:variant>
        <vt:lpwstr/>
      </vt:variant>
      <vt:variant>
        <vt:lpwstr>_Toc128135411</vt:lpwstr>
      </vt:variant>
      <vt:variant>
        <vt:i4>1048638</vt:i4>
      </vt:variant>
      <vt:variant>
        <vt:i4>98</vt:i4>
      </vt:variant>
      <vt:variant>
        <vt:i4>0</vt:i4>
      </vt:variant>
      <vt:variant>
        <vt:i4>5</vt:i4>
      </vt:variant>
      <vt:variant>
        <vt:lpwstr/>
      </vt:variant>
      <vt:variant>
        <vt:lpwstr>_Toc128135410</vt:lpwstr>
      </vt:variant>
      <vt:variant>
        <vt:i4>1114174</vt:i4>
      </vt:variant>
      <vt:variant>
        <vt:i4>92</vt:i4>
      </vt:variant>
      <vt:variant>
        <vt:i4>0</vt:i4>
      </vt:variant>
      <vt:variant>
        <vt:i4>5</vt:i4>
      </vt:variant>
      <vt:variant>
        <vt:lpwstr/>
      </vt:variant>
      <vt:variant>
        <vt:lpwstr>_Toc128135409</vt:lpwstr>
      </vt:variant>
      <vt:variant>
        <vt:i4>1114174</vt:i4>
      </vt:variant>
      <vt:variant>
        <vt:i4>86</vt:i4>
      </vt:variant>
      <vt:variant>
        <vt:i4>0</vt:i4>
      </vt:variant>
      <vt:variant>
        <vt:i4>5</vt:i4>
      </vt:variant>
      <vt:variant>
        <vt:lpwstr/>
      </vt:variant>
      <vt:variant>
        <vt:lpwstr>_Toc128135408</vt:lpwstr>
      </vt:variant>
      <vt:variant>
        <vt:i4>1114174</vt:i4>
      </vt:variant>
      <vt:variant>
        <vt:i4>80</vt:i4>
      </vt:variant>
      <vt:variant>
        <vt:i4>0</vt:i4>
      </vt:variant>
      <vt:variant>
        <vt:i4>5</vt:i4>
      </vt:variant>
      <vt:variant>
        <vt:lpwstr/>
      </vt:variant>
      <vt:variant>
        <vt:lpwstr>_Toc128135407</vt:lpwstr>
      </vt:variant>
      <vt:variant>
        <vt:i4>1114174</vt:i4>
      </vt:variant>
      <vt:variant>
        <vt:i4>74</vt:i4>
      </vt:variant>
      <vt:variant>
        <vt:i4>0</vt:i4>
      </vt:variant>
      <vt:variant>
        <vt:i4>5</vt:i4>
      </vt:variant>
      <vt:variant>
        <vt:lpwstr/>
      </vt:variant>
      <vt:variant>
        <vt:lpwstr>_Toc128135406</vt:lpwstr>
      </vt:variant>
      <vt:variant>
        <vt:i4>1114174</vt:i4>
      </vt:variant>
      <vt:variant>
        <vt:i4>68</vt:i4>
      </vt:variant>
      <vt:variant>
        <vt:i4>0</vt:i4>
      </vt:variant>
      <vt:variant>
        <vt:i4>5</vt:i4>
      </vt:variant>
      <vt:variant>
        <vt:lpwstr/>
      </vt:variant>
      <vt:variant>
        <vt:lpwstr>_Toc128135405</vt:lpwstr>
      </vt:variant>
      <vt:variant>
        <vt:i4>1114174</vt:i4>
      </vt:variant>
      <vt:variant>
        <vt:i4>62</vt:i4>
      </vt:variant>
      <vt:variant>
        <vt:i4>0</vt:i4>
      </vt:variant>
      <vt:variant>
        <vt:i4>5</vt:i4>
      </vt:variant>
      <vt:variant>
        <vt:lpwstr/>
      </vt:variant>
      <vt:variant>
        <vt:lpwstr>_Toc128135404</vt:lpwstr>
      </vt:variant>
      <vt:variant>
        <vt:i4>1114174</vt:i4>
      </vt:variant>
      <vt:variant>
        <vt:i4>56</vt:i4>
      </vt:variant>
      <vt:variant>
        <vt:i4>0</vt:i4>
      </vt:variant>
      <vt:variant>
        <vt:i4>5</vt:i4>
      </vt:variant>
      <vt:variant>
        <vt:lpwstr/>
      </vt:variant>
      <vt:variant>
        <vt:lpwstr>_Toc128135403</vt:lpwstr>
      </vt:variant>
      <vt:variant>
        <vt:i4>1114174</vt:i4>
      </vt:variant>
      <vt:variant>
        <vt:i4>50</vt:i4>
      </vt:variant>
      <vt:variant>
        <vt:i4>0</vt:i4>
      </vt:variant>
      <vt:variant>
        <vt:i4>5</vt:i4>
      </vt:variant>
      <vt:variant>
        <vt:lpwstr/>
      </vt:variant>
      <vt:variant>
        <vt:lpwstr>_Toc128135402</vt:lpwstr>
      </vt:variant>
      <vt:variant>
        <vt:i4>1114174</vt:i4>
      </vt:variant>
      <vt:variant>
        <vt:i4>44</vt:i4>
      </vt:variant>
      <vt:variant>
        <vt:i4>0</vt:i4>
      </vt:variant>
      <vt:variant>
        <vt:i4>5</vt:i4>
      </vt:variant>
      <vt:variant>
        <vt:lpwstr/>
      </vt:variant>
      <vt:variant>
        <vt:lpwstr>_Toc128135401</vt:lpwstr>
      </vt:variant>
      <vt:variant>
        <vt:i4>1114174</vt:i4>
      </vt:variant>
      <vt:variant>
        <vt:i4>38</vt:i4>
      </vt:variant>
      <vt:variant>
        <vt:i4>0</vt:i4>
      </vt:variant>
      <vt:variant>
        <vt:i4>5</vt:i4>
      </vt:variant>
      <vt:variant>
        <vt:lpwstr/>
      </vt:variant>
      <vt:variant>
        <vt:lpwstr>_Toc128135400</vt:lpwstr>
      </vt:variant>
      <vt:variant>
        <vt:i4>1572921</vt:i4>
      </vt:variant>
      <vt:variant>
        <vt:i4>32</vt:i4>
      </vt:variant>
      <vt:variant>
        <vt:i4>0</vt:i4>
      </vt:variant>
      <vt:variant>
        <vt:i4>5</vt:i4>
      </vt:variant>
      <vt:variant>
        <vt:lpwstr/>
      </vt:variant>
      <vt:variant>
        <vt:lpwstr>_Toc128135399</vt:lpwstr>
      </vt:variant>
      <vt:variant>
        <vt:i4>1572921</vt:i4>
      </vt:variant>
      <vt:variant>
        <vt:i4>26</vt:i4>
      </vt:variant>
      <vt:variant>
        <vt:i4>0</vt:i4>
      </vt:variant>
      <vt:variant>
        <vt:i4>5</vt:i4>
      </vt:variant>
      <vt:variant>
        <vt:lpwstr/>
      </vt:variant>
      <vt:variant>
        <vt:lpwstr>_Toc128135398</vt:lpwstr>
      </vt:variant>
      <vt:variant>
        <vt:i4>1572921</vt:i4>
      </vt:variant>
      <vt:variant>
        <vt:i4>20</vt:i4>
      </vt:variant>
      <vt:variant>
        <vt:i4>0</vt:i4>
      </vt:variant>
      <vt:variant>
        <vt:i4>5</vt:i4>
      </vt:variant>
      <vt:variant>
        <vt:lpwstr/>
      </vt:variant>
      <vt:variant>
        <vt:lpwstr>_Toc128135397</vt:lpwstr>
      </vt:variant>
      <vt:variant>
        <vt:i4>1572921</vt:i4>
      </vt:variant>
      <vt:variant>
        <vt:i4>14</vt:i4>
      </vt:variant>
      <vt:variant>
        <vt:i4>0</vt:i4>
      </vt:variant>
      <vt:variant>
        <vt:i4>5</vt:i4>
      </vt:variant>
      <vt:variant>
        <vt:lpwstr/>
      </vt:variant>
      <vt:variant>
        <vt:lpwstr>_Toc128135396</vt:lpwstr>
      </vt:variant>
      <vt:variant>
        <vt:i4>1572921</vt:i4>
      </vt:variant>
      <vt:variant>
        <vt:i4>8</vt:i4>
      </vt:variant>
      <vt:variant>
        <vt:i4>0</vt:i4>
      </vt:variant>
      <vt:variant>
        <vt:i4>5</vt:i4>
      </vt:variant>
      <vt:variant>
        <vt:lpwstr/>
      </vt:variant>
      <vt:variant>
        <vt:lpwstr>_Toc128135395</vt:lpwstr>
      </vt:variant>
      <vt:variant>
        <vt:i4>1572921</vt:i4>
      </vt:variant>
      <vt:variant>
        <vt:i4>2</vt:i4>
      </vt:variant>
      <vt:variant>
        <vt:i4>0</vt:i4>
      </vt:variant>
      <vt:variant>
        <vt:i4>5</vt:i4>
      </vt:variant>
      <vt:variant>
        <vt:lpwstr/>
      </vt:variant>
      <vt:variant>
        <vt:lpwstr>_Toc128135394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Iva</dc:creator>
  <cp:keywords/>
  <dc:description/>
  <cp:lastModifiedBy>Iva Paskov</cp:lastModifiedBy>
  <cp:revision>3</cp:revision>
  <cp:lastPrinted>2023-03-22T10:00:00Z</cp:lastPrinted>
  <dcterms:created xsi:type="dcterms:W3CDTF">2023-03-22T09:59:00Z</dcterms:created>
  <dcterms:modified xsi:type="dcterms:W3CDTF">2023-03-22T10:03:00Z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0x010100D285A2A9EB2663498A4939D32B56C082</vt:lpwstr>
  </property>
</Properties>
</file>